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63F99" w14:textId="77777777" w:rsidR="00BB749B" w:rsidRDefault="00BB749B" w:rsidP="002A4F0E">
      <w:pPr>
        <w:rPr>
          <w:rFonts w:ascii="Times New Roman" w:hAnsi="Times New Roman" w:cs="Times New Roman"/>
          <w:sz w:val="22"/>
          <w:szCs w:val="22"/>
        </w:rPr>
      </w:pPr>
    </w:p>
    <w:p w14:paraId="534E1F19" w14:textId="77777777" w:rsidR="00BB749B" w:rsidRDefault="00BB749B" w:rsidP="002A4F0E">
      <w:pPr>
        <w:rPr>
          <w:rFonts w:ascii="Times New Roman" w:hAnsi="Times New Roman" w:cs="Times New Roman"/>
          <w:sz w:val="22"/>
          <w:szCs w:val="22"/>
        </w:rPr>
      </w:pPr>
    </w:p>
    <w:p w14:paraId="1F56A382" w14:textId="77777777" w:rsidR="00BB749B" w:rsidRDefault="00BB749B" w:rsidP="002A4F0E">
      <w:pPr>
        <w:rPr>
          <w:rFonts w:ascii="Times New Roman" w:hAnsi="Times New Roman" w:cs="Times New Roman"/>
          <w:sz w:val="22"/>
          <w:szCs w:val="22"/>
        </w:rPr>
      </w:pPr>
    </w:p>
    <w:p w14:paraId="6EC3D120" w14:textId="77777777" w:rsidR="00BB749B" w:rsidRDefault="00BB749B" w:rsidP="002A4F0E">
      <w:pPr>
        <w:rPr>
          <w:rFonts w:ascii="Times New Roman" w:hAnsi="Times New Roman" w:cs="Times New Roman"/>
          <w:sz w:val="22"/>
          <w:szCs w:val="22"/>
        </w:rPr>
      </w:pPr>
    </w:p>
    <w:p w14:paraId="08EEDB83" w14:textId="77777777" w:rsidR="00BB749B" w:rsidRDefault="00BB749B" w:rsidP="002A4F0E">
      <w:pPr>
        <w:rPr>
          <w:rFonts w:ascii="Times New Roman" w:hAnsi="Times New Roman" w:cs="Times New Roman"/>
          <w:sz w:val="22"/>
          <w:szCs w:val="22"/>
        </w:rPr>
      </w:pPr>
    </w:p>
    <w:p w14:paraId="04967B7A" w14:textId="77777777" w:rsidR="00BB749B" w:rsidRDefault="00BB749B" w:rsidP="002A4F0E">
      <w:pPr>
        <w:rPr>
          <w:rFonts w:ascii="Times New Roman" w:hAnsi="Times New Roman" w:cs="Times New Roman"/>
          <w:sz w:val="22"/>
          <w:szCs w:val="22"/>
        </w:rPr>
      </w:pPr>
    </w:p>
    <w:p w14:paraId="08F72B04" w14:textId="77777777" w:rsidR="00BB749B" w:rsidRDefault="00BB749B" w:rsidP="002A4F0E">
      <w:pPr>
        <w:rPr>
          <w:rFonts w:ascii="Times New Roman" w:hAnsi="Times New Roman" w:cs="Times New Roman"/>
          <w:sz w:val="22"/>
          <w:szCs w:val="22"/>
        </w:rPr>
      </w:pPr>
    </w:p>
    <w:p w14:paraId="00AFCB90" w14:textId="77777777" w:rsidR="00BB749B" w:rsidRDefault="00BB749B" w:rsidP="002A4F0E">
      <w:pPr>
        <w:rPr>
          <w:rFonts w:ascii="Times New Roman" w:hAnsi="Times New Roman" w:cs="Times New Roman"/>
          <w:sz w:val="22"/>
          <w:szCs w:val="22"/>
        </w:rPr>
      </w:pPr>
    </w:p>
    <w:p w14:paraId="52EEFD7F" w14:textId="77777777" w:rsidR="00BB749B" w:rsidRDefault="00BB749B" w:rsidP="002A4F0E">
      <w:pPr>
        <w:rPr>
          <w:rFonts w:ascii="Times New Roman" w:hAnsi="Times New Roman" w:cs="Times New Roman"/>
          <w:sz w:val="22"/>
          <w:szCs w:val="22"/>
        </w:rPr>
      </w:pPr>
    </w:p>
    <w:p w14:paraId="0604832E" w14:textId="77777777" w:rsidR="00BB749B" w:rsidRDefault="00BB749B" w:rsidP="002A4F0E">
      <w:pPr>
        <w:rPr>
          <w:rFonts w:ascii="Times New Roman" w:hAnsi="Times New Roman" w:cs="Times New Roman"/>
          <w:sz w:val="22"/>
          <w:szCs w:val="22"/>
        </w:rPr>
      </w:pPr>
    </w:p>
    <w:p w14:paraId="347A9126" w14:textId="357FE1C1" w:rsidR="00686DA3" w:rsidRPr="00D57189" w:rsidRDefault="00686DA3" w:rsidP="002A4F0E">
      <w:pPr>
        <w:rPr>
          <w:rFonts w:ascii="Times New Roman" w:hAnsi="Times New Roman" w:cs="Times New Roman"/>
          <w:sz w:val="22"/>
          <w:szCs w:val="22"/>
        </w:rPr>
      </w:pPr>
      <w:r w:rsidRPr="00D57189">
        <w:rPr>
          <w:rFonts w:ascii="Times New Roman" w:hAnsi="Times New Roman" w:cs="Times New Roman"/>
          <w:sz w:val="22"/>
          <w:szCs w:val="22"/>
        </w:rPr>
        <w:t>Mr Tim Irish</w:t>
      </w:r>
    </w:p>
    <w:p w14:paraId="5D1F3293" w14:textId="77777777" w:rsidR="00D57189" w:rsidRDefault="00D57189" w:rsidP="002A4F0E">
      <w:pPr>
        <w:rPr>
          <w:rFonts w:ascii="Times New Roman" w:hAnsi="Times New Roman" w:cs="Times New Roman"/>
          <w:sz w:val="22"/>
          <w:szCs w:val="22"/>
        </w:rPr>
      </w:pPr>
      <w:r>
        <w:rPr>
          <w:rFonts w:ascii="Times New Roman" w:hAnsi="Times New Roman" w:cs="Times New Roman"/>
          <w:sz w:val="22"/>
          <w:szCs w:val="22"/>
        </w:rPr>
        <w:t>Vice Chair</w:t>
      </w:r>
    </w:p>
    <w:p w14:paraId="10E40E18" w14:textId="77777777" w:rsidR="00686DA3" w:rsidRPr="00D57189" w:rsidRDefault="00686DA3" w:rsidP="002A4F0E">
      <w:pPr>
        <w:rPr>
          <w:rFonts w:ascii="Times New Roman" w:hAnsi="Times New Roman" w:cs="Times New Roman"/>
          <w:sz w:val="22"/>
          <w:szCs w:val="22"/>
        </w:rPr>
      </w:pPr>
      <w:r w:rsidRPr="00D57189">
        <w:rPr>
          <w:rFonts w:ascii="Times New Roman" w:hAnsi="Times New Roman" w:cs="Times New Roman"/>
          <w:sz w:val="22"/>
          <w:szCs w:val="22"/>
        </w:rPr>
        <w:t>National Institu</w:t>
      </w:r>
      <w:r w:rsidR="00D57189">
        <w:rPr>
          <w:rFonts w:ascii="Times New Roman" w:hAnsi="Times New Roman" w:cs="Times New Roman"/>
          <w:sz w:val="22"/>
          <w:szCs w:val="22"/>
        </w:rPr>
        <w:t>te for Health and Care Excellence</w:t>
      </w:r>
    </w:p>
    <w:p w14:paraId="17FD5649" w14:textId="77777777" w:rsidR="00686DA3" w:rsidRPr="00D57189" w:rsidRDefault="00686DA3" w:rsidP="002A4F0E">
      <w:pPr>
        <w:rPr>
          <w:rFonts w:ascii="Times New Roman" w:hAnsi="Times New Roman" w:cs="Times New Roman"/>
          <w:sz w:val="22"/>
          <w:szCs w:val="22"/>
        </w:rPr>
      </w:pPr>
      <w:r w:rsidRPr="00D57189">
        <w:rPr>
          <w:rFonts w:ascii="Times New Roman" w:hAnsi="Times New Roman" w:cs="Times New Roman"/>
          <w:sz w:val="22"/>
          <w:szCs w:val="22"/>
        </w:rPr>
        <w:t>10 Spring Gardens</w:t>
      </w:r>
    </w:p>
    <w:p w14:paraId="6CE3DE65" w14:textId="77777777" w:rsidR="00686DA3" w:rsidRPr="00D57189" w:rsidRDefault="00686DA3" w:rsidP="002A4F0E">
      <w:pPr>
        <w:rPr>
          <w:rFonts w:ascii="Times New Roman" w:hAnsi="Times New Roman" w:cs="Times New Roman"/>
          <w:sz w:val="22"/>
          <w:szCs w:val="22"/>
        </w:rPr>
      </w:pPr>
      <w:r w:rsidRPr="00D57189">
        <w:rPr>
          <w:rFonts w:ascii="Times New Roman" w:hAnsi="Times New Roman" w:cs="Times New Roman"/>
          <w:sz w:val="22"/>
          <w:szCs w:val="22"/>
        </w:rPr>
        <w:t>London, SW1V 2BU</w:t>
      </w:r>
    </w:p>
    <w:p w14:paraId="7CD7CB83" w14:textId="77777777" w:rsidR="00686DA3" w:rsidRPr="00D57189" w:rsidRDefault="00686DA3" w:rsidP="002A4F0E">
      <w:pPr>
        <w:rPr>
          <w:rFonts w:ascii="Times New Roman" w:hAnsi="Times New Roman" w:cs="Times New Roman"/>
          <w:sz w:val="22"/>
          <w:szCs w:val="22"/>
        </w:rPr>
      </w:pPr>
    </w:p>
    <w:p w14:paraId="7DA7667C" w14:textId="5F46E66A" w:rsidR="00686DA3" w:rsidRPr="00D57189" w:rsidRDefault="00A90DCE" w:rsidP="00686DA3">
      <w:pPr>
        <w:jc w:val="right"/>
        <w:rPr>
          <w:rFonts w:ascii="Times New Roman" w:hAnsi="Times New Roman" w:cs="Times New Roman"/>
          <w:sz w:val="22"/>
          <w:szCs w:val="22"/>
        </w:rPr>
      </w:pPr>
      <w:r>
        <w:rPr>
          <w:rFonts w:ascii="Times New Roman" w:hAnsi="Times New Roman" w:cs="Times New Roman"/>
          <w:sz w:val="22"/>
          <w:szCs w:val="22"/>
        </w:rPr>
        <w:t>26 March 2019</w:t>
      </w:r>
    </w:p>
    <w:p w14:paraId="1A1393AB" w14:textId="77777777" w:rsidR="00686DA3" w:rsidRPr="00D57189" w:rsidRDefault="00686DA3" w:rsidP="002A4F0E">
      <w:pPr>
        <w:rPr>
          <w:rFonts w:ascii="Times New Roman" w:hAnsi="Times New Roman" w:cs="Times New Roman"/>
          <w:sz w:val="22"/>
          <w:szCs w:val="22"/>
        </w:rPr>
      </w:pPr>
    </w:p>
    <w:p w14:paraId="7C14BAE5" w14:textId="77777777" w:rsidR="00686DA3" w:rsidRPr="00D57189" w:rsidRDefault="00686DA3" w:rsidP="001950E5">
      <w:pPr>
        <w:jc w:val="both"/>
        <w:rPr>
          <w:rFonts w:ascii="Times New Roman" w:hAnsi="Times New Roman" w:cs="Times New Roman"/>
          <w:sz w:val="22"/>
          <w:szCs w:val="22"/>
        </w:rPr>
      </w:pPr>
      <w:r w:rsidRPr="00D57189">
        <w:rPr>
          <w:rFonts w:ascii="Times New Roman" w:hAnsi="Times New Roman" w:cs="Times New Roman"/>
          <w:sz w:val="22"/>
          <w:szCs w:val="22"/>
        </w:rPr>
        <w:t>Dear Mr Irish</w:t>
      </w:r>
    </w:p>
    <w:p w14:paraId="4252D0BD" w14:textId="77777777" w:rsidR="00686DA3" w:rsidRPr="00D57189" w:rsidRDefault="00686DA3" w:rsidP="001950E5">
      <w:pPr>
        <w:jc w:val="both"/>
        <w:rPr>
          <w:rFonts w:ascii="Times New Roman" w:hAnsi="Times New Roman" w:cs="Times New Roman"/>
          <w:sz w:val="22"/>
          <w:szCs w:val="22"/>
        </w:rPr>
      </w:pPr>
    </w:p>
    <w:p w14:paraId="7E1EABB6" w14:textId="0A89F3BD" w:rsidR="00686DA3" w:rsidRPr="003B5C5A" w:rsidRDefault="00686DA3" w:rsidP="613B5181">
      <w:pPr>
        <w:jc w:val="both"/>
        <w:rPr>
          <w:rFonts w:ascii="Times New Roman" w:hAnsi="Times New Roman" w:cs="Times New Roman"/>
          <w:b/>
          <w:bCs/>
          <w:sz w:val="22"/>
          <w:szCs w:val="22"/>
        </w:rPr>
      </w:pPr>
      <w:r w:rsidRPr="024B4842">
        <w:rPr>
          <w:rFonts w:ascii="Times New Roman" w:hAnsi="Times New Roman" w:cs="Times New Roman"/>
          <w:b/>
          <w:bCs/>
          <w:sz w:val="22"/>
          <w:szCs w:val="22"/>
        </w:rPr>
        <w:t xml:space="preserve">Re:  Final Appraisal Determination </w:t>
      </w:r>
      <w:r w:rsidR="005814BD">
        <w:rPr>
          <w:rFonts w:ascii="Times New Roman" w:hAnsi="Times New Roman" w:cs="Times New Roman"/>
          <w:b/>
          <w:bCs/>
          <w:sz w:val="22"/>
          <w:szCs w:val="22"/>
        </w:rPr>
        <w:t>–</w:t>
      </w:r>
      <w:r w:rsidRPr="024B4842">
        <w:rPr>
          <w:rFonts w:ascii="Times New Roman" w:hAnsi="Times New Roman" w:cs="Times New Roman"/>
          <w:b/>
          <w:bCs/>
          <w:sz w:val="22"/>
          <w:szCs w:val="22"/>
        </w:rPr>
        <w:t xml:space="preserve"> Pembrolizumab for treating locally advanced or metastatic urothelial carcinoma after platinum</w:t>
      </w:r>
      <w:r w:rsidR="3C1BD10A" w:rsidRPr="024B4842">
        <w:rPr>
          <w:rFonts w:ascii="Times New Roman" w:hAnsi="Times New Roman" w:cs="Times New Roman"/>
          <w:b/>
          <w:bCs/>
          <w:sz w:val="22"/>
          <w:szCs w:val="22"/>
        </w:rPr>
        <w:t xml:space="preserve"> </w:t>
      </w:r>
      <w:r w:rsidRPr="024B4842">
        <w:rPr>
          <w:rFonts w:ascii="Times New Roman" w:hAnsi="Times New Roman" w:cs="Times New Roman"/>
          <w:b/>
          <w:bCs/>
          <w:sz w:val="22"/>
          <w:szCs w:val="22"/>
        </w:rPr>
        <w:t>-</w:t>
      </w:r>
      <w:r w:rsidR="3C1BD10A" w:rsidRPr="024B4842">
        <w:rPr>
          <w:rFonts w:ascii="Times New Roman" w:hAnsi="Times New Roman" w:cs="Times New Roman"/>
          <w:b/>
          <w:bCs/>
          <w:sz w:val="22"/>
          <w:szCs w:val="22"/>
        </w:rPr>
        <w:t xml:space="preserve"> </w:t>
      </w:r>
      <w:r w:rsidRPr="024B4842">
        <w:rPr>
          <w:rFonts w:ascii="Times New Roman" w:hAnsi="Times New Roman" w:cs="Times New Roman"/>
          <w:b/>
          <w:bCs/>
          <w:sz w:val="22"/>
          <w:szCs w:val="22"/>
        </w:rPr>
        <w:t>containing chemotherapy [</w:t>
      </w:r>
      <w:r w:rsidR="003B5C5A" w:rsidRPr="024B4842">
        <w:rPr>
          <w:rFonts w:ascii="Times New Roman" w:hAnsi="Times New Roman" w:cs="Times New Roman"/>
          <w:b/>
          <w:bCs/>
          <w:sz w:val="22"/>
          <w:szCs w:val="22"/>
        </w:rPr>
        <w:t>ID1536</w:t>
      </w:r>
      <w:r w:rsidR="004F01A3" w:rsidRPr="024B4842">
        <w:rPr>
          <w:rFonts w:ascii="Times New Roman" w:hAnsi="Times New Roman" w:cs="Times New Roman"/>
          <w:b/>
          <w:bCs/>
          <w:sz w:val="22"/>
          <w:szCs w:val="22"/>
        </w:rPr>
        <w:t>]</w:t>
      </w:r>
      <w:r w:rsidRPr="024B4842">
        <w:rPr>
          <w:rFonts w:ascii="Times New Roman" w:hAnsi="Times New Roman" w:cs="Times New Roman"/>
          <w:b/>
          <w:bCs/>
          <w:sz w:val="22"/>
          <w:szCs w:val="22"/>
        </w:rPr>
        <w:t xml:space="preserve"> </w:t>
      </w:r>
      <w:r w:rsidR="003B5C5A" w:rsidRPr="024B4842">
        <w:rPr>
          <w:rFonts w:ascii="Times New Roman" w:hAnsi="Times New Roman" w:cs="Times New Roman"/>
          <w:b/>
          <w:bCs/>
          <w:sz w:val="22"/>
          <w:szCs w:val="22"/>
        </w:rPr>
        <w:t>(</w:t>
      </w:r>
      <w:r w:rsidRPr="024B4842">
        <w:rPr>
          <w:rFonts w:ascii="Times New Roman" w:hAnsi="Times New Roman" w:cs="Times New Roman"/>
          <w:b/>
          <w:bCs/>
          <w:sz w:val="22"/>
          <w:szCs w:val="22"/>
        </w:rPr>
        <w:t>CDF</w:t>
      </w:r>
      <w:r w:rsidR="00E234F3" w:rsidRPr="024B4842">
        <w:rPr>
          <w:rFonts w:ascii="Times New Roman" w:hAnsi="Times New Roman" w:cs="Times New Roman"/>
          <w:b/>
          <w:bCs/>
          <w:sz w:val="22"/>
          <w:szCs w:val="22"/>
        </w:rPr>
        <w:t xml:space="preserve"> </w:t>
      </w:r>
      <w:r w:rsidR="00AA574D" w:rsidRPr="024B4842">
        <w:rPr>
          <w:rFonts w:ascii="Times New Roman" w:hAnsi="Times New Roman" w:cs="Times New Roman"/>
          <w:b/>
          <w:bCs/>
          <w:sz w:val="22"/>
          <w:szCs w:val="22"/>
        </w:rPr>
        <w:t>guidance</w:t>
      </w:r>
      <w:r w:rsidRPr="024B4842">
        <w:rPr>
          <w:rFonts w:ascii="Times New Roman" w:hAnsi="Times New Roman" w:cs="Times New Roman"/>
          <w:b/>
          <w:bCs/>
          <w:sz w:val="22"/>
          <w:szCs w:val="22"/>
        </w:rPr>
        <w:t xml:space="preserve"> review of TA519</w:t>
      </w:r>
      <w:r w:rsidR="003B5C5A" w:rsidRPr="024B4842">
        <w:rPr>
          <w:rFonts w:ascii="Times New Roman" w:hAnsi="Times New Roman" w:cs="Times New Roman"/>
          <w:b/>
          <w:bCs/>
          <w:sz w:val="22"/>
          <w:szCs w:val="22"/>
        </w:rPr>
        <w:t>)</w:t>
      </w:r>
    </w:p>
    <w:p w14:paraId="79AE6923" w14:textId="77777777" w:rsidR="004F140B" w:rsidRPr="00D57189" w:rsidRDefault="004F140B" w:rsidP="001950E5">
      <w:pPr>
        <w:jc w:val="both"/>
        <w:rPr>
          <w:rFonts w:ascii="Times New Roman" w:hAnsi="Times New Roman" w:cs="Times New Roman"/>
          <w:sz w:val="22"/>
          <w:szCs w:val="22"/>
        </w:rPr>
      </w:pPr>
    </w:p>
    <w:p w14:paraId="2D6D8EB0" w14:textId="5A03D334" w:rsidR="00D57189" w:rsidRPr="00986818" w:rsidRDefault="00686DA3" w:rsidP="003820FD">
      <w:pPr>
        <w:jc w:val="both"/>
        <w:rPr>
          <w:rFonts w:ascii="Times New Roman" w:hAnsi="Times New Roman" w:cs="Times New Roman"/>
          <w:sz w:val="22"/>
          <w:szCs w:val="22"/>
        </w:rPr>
      </w:pPr>
      <w:r w:rsidRPr="00D57189">
        <w:rPr>
          <w:rFonts w:ascii="Times New Roman" w:hAnsi="Times New Roman" w:cs="Times New Roman"/>
          <w:sz w:val="22"/>
          <w:szCs w:val="22"/>
        </w:rPr>
        <w:t xml:space="preserve">Merck Sharp &amp; Dohme (“MSD”) wishes to appeal against the </w:t>
      </w:r>
      <w:r w:rsidR="00B618EF">
        <w:rPr>
          <w:rFonts w:ascii="Times New Roman" w:hAnsi="Times New Roman" w:cs="Times New Roman"/>
          <w:sz w:val="22"/>
          <w:szCs w:val="22"/>
        </w:rPr>
        <w:t>above</w:t>
      </w:r>
      <w:r w:rsidR="00B618EF" w:rsidRPr="00D57189">
        <w:rPr>
          <w:rFonts w:ascii="Times New Roman" w:hAnsi="Times New Roman" w:cs="Times New Roman"/>
          <w:sz w:val="22"/>
          <w:szCs w:val="22"/>
        </w:rPr>
        <w:t xml:space="preserve"> </w:t>
      </w:r>
      <w:r w:rsidRPr="00D57189">
        <w:rPr>
          <w:rFonts w:ascii="Times New Roman" w:hAnsi="Times New Roman" w:cs="Times New Roman"/>
          <w:sz w:val="22"/>
          <w:szCs w:val="22"/>
        </w:rPr>
        <w:t xml:space="preserve">Final </w:t>
      </w:r>
      <w:r w:rsidR="00D57189" w:rsidRPr="00D57189">
        <w:rPr>
          <w:rFonts w:ascii="Times New Roman" w:hAnsi="Times New Roman" w:cs="Times New Roman"/>
          <w:sz w:val="22"/>
          <w:szCs w:val="22"/>
        </w:rPr>
        <w:t xml:space="preserve">Appraisal Determination, </w:t>
      </w:r>
      <w:r w:rsidR="00D0705C">
        <w:rPr>
          <w:rFonts w:ascii="Times New Roman" w:hAnsi="Times New Roman" w:cs="Times New Roman"/>
          <w:sz w:val="22"/>
          <w:szCs w:val="22"/>
        </w:rPr>
        <w:t xml:space="preserve">according to </w:t>
      </w:r>
      <w:r w:rsidR="00D57189" w:rsidRPr="00D57189">
        <w:rPr>
          <w:rFonts w:ascii="Times New Roman" w:hAnsi="Times New Roman" w:cs="Times New Roman"/>
          <w:sz w:val="22"/>
          <w:szCs w:val="22"/>
        </w:rPr>
        <w:t xml:space="preserve">which pembrolizumab is not recommended for routine funding </w:t>
      </w:r>
      <w:r w:rsidR="00D0705C">
        <w:rPr>
          <w:rFonts w:ascii="Times New Roman" w:hAnsi="Times New Roman" w:cs="Times New Roman"/>
          <w:sz w:val="22"/>
          <w:szCs w:val="22"/>
        </w:rPr>
        <w:t xml:space="preserve">once </w:t>
      </w:r>
      <w:r w:rsidR="00D57189" w:rsidRPr="00D57189">
        <w:rPr>
          <w:rFonts w:ascii="Times New Roman" w:hAnsi="Times New Roman" w:cs="Times New Roman"/>
          <w:sz w:val="22"/>
          <w:szCs w:val="22"/>
        </w:rPr>
        <w:t xml:space="preserve">it exits the Cancer Drugs Fund (“CDF”).  </w:t>
      </w:r>
      <w:r w:rsidR="00B343AD" w:rsidRPr="00D57189">
        <w:rPr>
          <w:rFonts w:ascii="Times New Roman" w:hAnsi="Times New Roman" w:cs="Times New Roman"/>
          <w:sz w:val="22"/>
          <w:szCs w:val="22"/>
        </w:rPr>
        <w:t xml:space="preserve">MSD was disappointed by the Appraisal Committee’s </w:t>
      </w:r>
      <w:r w:rsidR="00AE2190" w:rsidRPr="00D57189">
        <w:rPr>
          <w:rFonts w:ascii="Times New Roman" w:hAnsi="Times New Roman" w:cs="Times New Roman"/>
          <w:sz w:val="22"/>
          <w:szCs w:val="22"/>
        </w:rPr>
        <w:t>decision and</w:t>
      </w:r>
      <w:r w:rsidR="00B343AD" w:rsidRPr="00D57189">
        <w:rPr>
          <w:rFonts w:ascii="Times New Roman" w:hAnsi="Times New Roman" w:cs="Times New Roman"/>
          <w:sz w:val="22"/>
          <w:szCs w:val="22"/>
        </w:rPr>
        <w:t xml:space="preserve"> disagrees with many aspects of the F</w:t>
      </w:r>
      <w:r w:rsidR="00B343AD">
        <w:rPr>
          <w:rFonts w:ascii="Times New Roman" w:hAnsi="Times New Roman" w:cs="Times New Roman"/>
          <w:sz w:val="22"/>
          <w:szCs w:val="22"/>
        </w:rPr>
        <w:t xml:space="preserve">inal </w:t>
      </w:r>
      <w:r w:rsidR="00B343AD" w:rsidRPr="00D57189">
        <w:rPr>
          <w:rFonts w:ascii="Times New Roman" w:hAnsi="Times New Roman" w:cs="Times New Roman"/>
          <w:sz w:val="22"/>
          <w:szCs w:val="22"/>
        </w:rPr>
        <w:t>A</w:t>
      </w:r>
      <w:r w:rsidR="00B343AD">
        <w:rPr>
          <w:rFonts w:ascii="Times New Roman" w:hAnsi="Times New Roman" w:cs="Times New Roman"/>
          <w:sz w:val="22"/>
          <w:szCs w:val="22"/>
        </w:rPr>
        <w:t xml:space="preserve">ppraisal </w:t>
      </w:r>
      <w:r w:rsidR="00B343AD" w:rsidRPr="00D57189">
        <w:rPr>
          <w:rFonts w:ascii="Times New Roman" w:hAnsi="Times New Roman" w:cs="Times New Roman"/>
          <w:sz w:val="22"/>
          <w:szCs w:val="22"/>
        </w:rPr>
        <w:t>D</w:t>
      </w:r>
      <w:r w:rsidR="00B343AD">
        <w:rPr>
          <w:rFonts w:ascii="Times New Roman" w:hAnsi="Times New Roman" w:cs="Times New Roman"/>
          <w:sz w:val="22"/>
          <w:szCs w:val="22"/>
        </w:rPr>
        <w:t>ocument (“FAD”)</w:t>
      </w:r>
      <w:r w:rsidR="00B343AD" w:rsidRPr="00D57189">
        <w:rPr>
          <w:rFonts w:ascii="Times New Roman" w:hAnsi="Times New Roman" w:cs="Times New Roman"/>
          <w:sz w:val="22"/>
          <w:szCs w:val="22"/>
        </w:rPr>
        <w:t xml:space="preserve">.  </w:t>
      </w:r>
      <w:bookmarkStart w:id="0" w:name="_Hlk35845868"/>
      <w:r w:rsidR="00B343AD" w:rsidRPr="00D57189">
        <w:rPr>
          <w:rFonts w:ascii="Times New Roman" w:hAnsi="Times New Roman" w:cs="Times New Roman"/>
          <w:sz w:val="22"/>
          <w:szCs w:val="22"/>
        </w:rPr>
        <w:t>However, the company has not taken the decision to bring this appeal lightly.</w:t>
      </w:r>
      <w:bookmarkEnd w:id="0"/>
      <w:r w:rsidR="00B343AD" w:rsidRPr="00D57189">
        <w:rPr>
          <w:rFonts w:ascii="Times New Roman" w:hAnsi="Times New Roman" w:cs="Times New Roman"/>
          <w:sz w:val="22"/>
          <w:szCs w:val="22"/>
        </w:rPr>
        <w:t xml:space="preserve">  We appreciate that </w:t>
      </w:r>
      <w:r w:rsidR="00B343AD">
        <w:rPr>
          <w:rFonts w:ascii="Times New Roman" w:hAnsi="Times New Roman" w:cs="Times New Roman"/>
          <w:sz w:val="22"/>
          <w:szCs w:val="22"/>
        </w:rPr>
        <w:t xml:space="preserve">NICE is often faced with taking </w:t>
      </w:r>
      <w:r w:rsidR="00B343AD" w:rsidRPr="00D57189">
        <w:rPr>
          <w:rFonts w:ascii="Times New Roman" w:hAnsi="Times New Roman" w:cs="Times New Roman"/>
          <w:sz w:val="22"/>
          <w:szCs w:val="22"/>
        </w:rPr>
        <w:t>difficult</w:t>
      </w:r>
      <w:r w:rsidR="00B343AD">
        <w:rPr>
          <w:rFonts w:ascii="Times New Roman" w:hAnsi="Times New Roman" w:cs="Times New Roman"/>
          <w:sz w:val="22"/>
          <w:szCs w:val="22"/>
        </w:rPr>
        <w:t xml:space="preserve"> decisions</w:t>
      </w:r>
      <w:r w:rsidR="00B343AD" w:rsidRPr="00D57189">
        <w:rPr>
          <w:rFonts w:ascii="Times New Roman" w:hAnsi="Times New Roman" w:cs="Times New Roman"/>
          <w:sz w:val="22"/>
          <w:szCs w:val="22"/>
        </w:rPr>
        <w:t xml:space="preserve">.  Nevertheless, </w:t>
      </w:r>
      <w:r w:rsidR="00EA33AC">
        <w:rPr>
          <w:rFonts w:ascii="Times New Roman" w:hAnsi="Times New Roman" w:cs="Times New Roman"/>
          <w:sz w:val="22"/>
          <w:szCs w:val="22"/>
        </w:rPr>
        <w:t xml:space="preserve">the Appraisal Committee </w:t>
      </w:r>
      <w:r w:rsidR="00B343AD">
        <w:rPr>
          <w:rFonts w:ascii="Times New Roman" w:hAnsi="Times New Roman" w:cs="Times New Roman"/>
          <w:sz w:val="22"/>
          <w:szCs w:val="22"/>
        </w:rPr>
        <w:t xml:space="preserve">must act </w:t>
      </w:r>
      <w:r w:rsidR="00B343AD" w:rsidRPr="00D57189">
        <w:rPr>
          <w:rFonts w:ascii="Times New Roman" w:hAnsi="Times New Roman" w:cs="Times New Roman"/>
          <w:sz w:val="22"/>
          <w:szCs w:val="22"/>
        </w:rPr>
        <w:t>rationally and reasonably</w:t>
      </w:r>
      <w:r w:rsidR="00B343AD">
        <w:rPr>
          <w:rFonts w:ascii="Times New Roman" w:hAnsi="Times New Roman" w:cs="Times New Roman"/>
          <w:sz w:val="22"/>
          <w:szCs w:val="22"/>
        </w:rPr>
        <w:t xml:space="preserve"> </w:t>
      </w:r>
      <w:proofErr w:type="gramStart"/>
      <w:r w:rsidR="00B343AD">
        <w:rPr>
          <w:rFonts w:ascii="Times New Roman" w:hAnsi="Times New Roman" w:cs="Times New Roman"/>
          <w:sz w:val="22"/>
          <w:szCs w:val="22"/>
        </w:rPr>
        <w:t>in light of</w:t>
      </w:r>
      <w:proofErr w:type="gramEnd"/>
      <w:r w:rsidR="00B343AD">
        <w:rPr>
          <w:rFonts w:ascii="Times New Roman" w:hAnsi="Times New Roman" w:cs="Times New Roman"/>
          <w:sz w:val="22"/>
          <w:szCs w:val="22"/>
        </w:rPr>
        <w:t xml:space="preserve"> the evidence</w:t>
      </w:r>
      <w:r w:rsidR="00B343AD" w:rsidRPr="00D57189">
        <w:rPr>
          <w:rFonts w:ascii="Times New Roman" w:hAnsi="Times New Roman" w:cs="Times New Roman"/>
          <w:sz w:val="22"/>
          <w:szCs w:val="22"/>
        </w:rPr>
        <w:t>, applying a methodology that is fair and</w:t>
      </w:r>
      <w:r w:rsidR="00B343AD">
        <w:rPr>
          <w:rFonts w:ascii="Times New Roman" w:hAnsi="Times New Roman" w:cs="Times New Roman"/>
          <w:sz w:val="22"/>
          <w:szCs w:val="22"/>
        </w:rPr>
        <w:t xml:space="preserve"> equitable</w:t>
      </w:r>
      <w:r w:rsidR="00AE2190">
        <w:rPr>
          <w:rFonts w:ascii="Times New Roman" w:hAnsi="Times New Roman" w:cs="Times New Roman"/>
          <w:sz w:val="22"/>
          <w:szCs w:val="22"/>
        </w:rPr>
        <w:t>.</w:t>
      </w:r>
    </w:p>
    <w:p w14:paraId="5F07B27A" w14:textId="77777777" w:rsidR="00D57189" w:rsidRPr="00D57189" w:rsidRDefault="00D57189" w:rsidP="001950E5">
      <w:pPr>
        <w:jc w:val="both"/>
        <w:rPr>
          <w:rFonts w:ascii="Times New Roman" w:hAnsi="Times New Roman" w:cs="Times New Roman"/>
          <w:sz w:val="22"/>
          <w:szCs w:val="22"/>
        </w:rPr>
      </w:pPr>
    </w:p>
    <w:p w14:paraId="4556E988" w14:textId="77777777" w:rsidR="00951391" w:rsidRPr="00951391" w:rsidRDefault="00951391" w:rsidP="001950E5">
      <w:pPr>
        <w:jc w:val="both"/>
        <w:rPr>
          <w:rFonts w:ascii="Times New Roman" w:hAnsi="Times New Roman" w:cs="Times New Roman"/>
          <w:sz w:val="22"/>
          <w:szCs w:val="22"/>
        </w:rPr>
      </w:pPr>
      <w:r>
        <w:rPr>
          <w:rFonts w:ascii="Times New Roman" w:hAnsi="Times New Roman" w:cs="Times New Roman"/>
          <w:sz w:val="22"/>
          <w:szCs w:val="22"/>
        </w:rPr>
        <w:t>MSD requests that</w:t>
      </w:r>
      <w:r w:rsidR="00D0705C">
        <w:rPr>
          <w:rFonts w:ascii="Times New Roman" w:hAnsi="Times New Roman" w:cs="Times New Roman"/>
          <w:sz w:val="22"/>
          <w:szCs w:val="22"/>
        </w:rPr>
        <w:t>: (</w:t>
      </w:r>
      <w:proofErr w:type="spellStart"/>
      <w:r w:rsidR="00D0705C">
        <w:rPr>
          <w:rFonts w:ascii="Times New Roman" w:hAnsi="Times New Roman" w:cs="Times New Roman"/>
          <w:sz w:val="22"/>
          <w:szCs w:val="22"/>
        </w:rPr>
        <w:t>i</w:t>
      </w:r>
      <w:proofErr w:type="spellEnd"/>
      <w:r w:rsidR="00D0705C">
        <w:rPr>
          <w:rFonts w:ascii="Times New Roman" w:hAnsi="Times New Roman" w:cs="Times New Roman"/>
          <w:sz w:val="22"/>
          <w:szCs w:val="22"/>
        </w:rPr>
        <w:t>)</w:t>
      </w:r>
      <w:r>
        <w:rPr>
          <w:rFonts w:ascii="Times New Roman" w:hAnsi="Times New Roman" w:cs="Times New Roman"/>
          <w:sz w:val="22"/>
          <w:szCs w:val="22"/>
        </w:rPr>
        <w:t xml:space="preserve"> this appeal b</w:t>
      </w:r>
      <w:r w:rsidR="00D0705C">
        <w:rPr>
          <w:rFonts w:ascii="Times New Roman" w:hAnsi="Times New Roman" w:cs="Times New Roman"/>
          <w:sz w:val="22"/>
          <w:szCs w:val="22"/>
        </w:rPr>
        <w:t>e determined at an oral hearing; and (ii)</w:t>
      </w:r>
      <w:r>
        <w:rPr>
          <w:rFonts w:ascii="Times New Roman" w:hAnsi="Times New Roman" w:cs="Times New Roman"/>
          <w:sz w:val="22"/>
          <w:szCs w:val="22"/>
        </w:rPr>
        <w:t xml:space="preserve"> if the appeal is successful, the Appraisal Committee reconvenes to </w:t>
      </w:r>
      <w:r w:rsidR="00D0705C">
        <w:rPr>
          <w:rFonts w:ascii="Times New Roman" w:hAnsi="Times New Roman" w:cs="Times New Roman"/>
          <w:sz w:val="22"/>
          <w:szCs w:val="22"/>
        </w:rPr>
        <w:t>re</w:t>
      </w:r>
      <w:r>
        <w:rPr>
          <w:rFonts w:ascii="Times New Roman" w:hAnsi="Times New Roman" w:cs="Times New Roman"/>
          <w:sz w:val="22"/>
          <w:szCs w:val="22"/>
        </w:rPr>
        <w:t xml:space="preserve">consider </w:t>
      </w:r>
      <w:r w:rsidR="00D0705C">
        <w:rPr>
          <w:rFonts w:ascii="Times New Roman" w:hAnsi="Times New Roman" w:cs="Times New Roman"/>
          <w:sz w:val="22"/>
          <w:szCs w:val="22"/>
        </w:rPr>
        <w:t>its decision</w:t>
      </w:r>
      <w:r>
        <w:rPr>
          <w:rFonts w:ascii="Times New Roman" w:hAnsi="Times New Roman" w:cs="Times New Roman"/>
          <w:sz w:val="22"/>
          <w:szCs w:val="22"/>
        </w:rPr>
        <w:t>.</w:t>
      </w:r>
    </w:p>
    <w:p w14:paraId="3249DFDF" w14:textId="77777777" w:rsidR="00951391" w:rsidRPr="00951391" w:rsidRDefault="00951391" w:rsidP="001950E5">
      <w:pPr>
        <w:jc w:val="both"/>
        <w:rPr>
          <w:rFonts w:ascii="Times New Roman" w:hAnsi="Times New Roman" w:cs="Times New Roman"/>
          <w:sz w:val="22"/>
          <w:szCs w:val="22"/>
        </w:rPr>
      </w:pPr>
    </w:p>
    <w:p w14:paraId="571E4334" w14:textId="77777777" w:rsidR="00D57189" w:rsidRPr="003B5C5A" w:rsidRDefault="00D57189" w:rsidP="001950E5">
      <w:pPr>
        <w:jc w:val="both"/>
        <w:rPr>
          <w:rFonts w:ascii="Times New Roman" w:hAnsi="Times New Roman" w:cs="Times New Roman"/>
          <w:b/>
          <w:sz w:val="22"/>
          <w:szCs w:val="22"/>
        </w:rPr>
      </w:pPr>
      <w:r w:rsidRPr="003B5C5A">
        <w:rPr>
          <w:rFonts w:ascii="Times New Roman" w:hAnsi="Times New Roman" w:cs="Times New Roman"/>
          <w:b/>
          <w:sz w:val="22"/>
          <w:szCs w:val="22"/>
        </w:rPr>
        <w:t>Introduction</w:t>
      </w:r>
    </w:p>
    <w:p w14:paraId="403F43D1" w14:textId="4D52CEC1" w:rsidR="0010453B" w:rsidRDefault="0010453B" w:rsidP="0010453B">
      <w:pPr>
        <w:jc w:val="both"/>
        <w:rPr>
          <w:rFonts w:ascii="Times New Roman" w:hAnsi="Times New Roman" w:cs="Times New Roman"/>
          <w:sz w:val="22"/>
          <w:szCs w:val="22"/>
        </w:rPr>
      </w:pPr>
    </w:p>
    <w:p w14:paraId="56198649" w14:textId="61FA0C6A" w:rsidR="004D7061" w:rsidRPr="00D57189" w:rsidRDefault="006A730D" w:rsidP="001950E5">
      <w:pPr>
        <w:jc w:val="both"/>
        <w:rPr>
          <w:rFonts w:ascii="Times New Roman" w:hAnsi="Times New Roman" w:cs="Times New Roman"/>
          <w:sz w:val="22"/>
          <w:szCs w:val="22"/>
        </w:rPr>
      </w:pPr>
      <w:r w:rsidRPr="024B4842">
        <w:rPr>
          <w:rFonts w:ascii="Times New Roman" w:hAnsi="Times New Roman" w:cs="Times New Roman"/>
          <w:sz w:val="22"/>
          <w:szCs w:val="22"/>
        </w:rPr>
        <w:t xml:space="preserve">Pembrolizumab is an </w:t>
      </w:r>
      <w:r w:rsidR="005231B6" w:rsidRPr="024B4842">
        <w:rPr>
          <w:rFonts w:ascii="Times New Roman" w:hAnsi="Times New Roman" w:cs="Times New Roman"/>
          <w:sz w:val="22"/>
          <w:szCs w:val="22"/>
        </w:rPr>
        <w:t>immune check</w:t>
      </w:r>
      <w:r w:rsidR="00D0705C" w:rsidRPr="024B4842">
        <w:rPr>
          <w:rFonts w:ascii="Times New Roman" w:hAnsi="Times New Roman" w:cs="Times New Roman"/>
          <w:sz w:val="22"/>
          <w:szCs w:val="22"/>
        </w:rPr>
        <w:t>point inhibitor</w:t>
      </w:r>
      <w:r w:rsidR="00193DC3" w:rsidRPr="024B4842">
        <w:rPr>
          <w:rFonts w:ascii="Times New Roman" w:hAnsi="Times New Roman" w:cs="Times New Roman"/>
          <w:sz w:val="22"/>
          <w:szCs w:val="22"/>
        </w:rPr>
        <w:t xml:space="preserve"> </w:t>
      </w:r>
      <w:r w:rsidR="00193DC3" w:rsidRPr="024B4842">
        <w:rPr>
          <w:sz w:val="22"/>
          <w:szCs w:val="22"/>
        </w:rPr>
        <w:t>that bind</w:t>
      </w:r>
      <w:r w:rsidR="00EA33AC" w:rsidRPr="024B4842">
        <w:rPr>
          <w:sz w:val="22"/>
          <w:szCs w:val="22"/>
        </w:rPr>
        <w:t>s</w:t>
      </w:r>
      <w:r w:rsidR="00193DC3" w:rsidRPr="024B4842">
        <w:rPr>
          <w:sz w:val="22"/>
          <w:szCs w:val="22"/>
        </w:rPr>
        <w:t xml:space="preserve"> to the</w:t>
      </w:r>
      <w:r w:rsidR="005D20FE">
        <w:rPr>
          <w:sz w:val="22"/>
          <w:szCs w:val="22"/>
        </w:rPr>
        <w:t xml:space="preserve"> </w:t>
      </w:r>
      <w:r w:rsidR="00193DC3" w:rsidRPr="024B4842">
        <w:rPr>
          <w:sz w:val="22"/>
          <w:szCs w:val="22"/>
        </w:rPr>
        <w:t xml:space="preserve">receptor </w:t>
      </w:r>
      <w:r w:rsidR="007D1932">
        <w:rPr>
          <w:sz w:val="22"/>
          <w:szCs w:val="22"/>
        </w:rPr>
        <w:t>programmed death-1 (PD-</w:t>
      </w:r>
      <w:r w:rsidR="00DDCD3F" w:rsidRPr="024B4842">
        <w:rPr>
          <w:sz w:val="22"/>
          <w:szCs w:val="22"/>
        </w:rPr>
        <w:t xml:space="preserve">1) </w:t>
      </w:r>
      <w:r w:rsidR="00193DC3" w:rsidRPr="024B4842">
        <w:rPr>
          <w:sz w:val="22"/>
          <w:szCs w:val="22"/>
        </w:rPr>
        <w:t>and block</w:t>
      </w:r>
      <w:r w:rsidR="002B0E24" w:rsidRPr="024B4842">
        <w:rPr>
          <w:sz w:val="22"/>
          <w:szCs w:val="22"/>
        </w:rPr>
        <w:t>s</w:t>
      </w:r>
      <w:r w:rsidR="00193DC3" w:rsidRPr="024B4842">
        <w:rPr>
          <w:sz w:val="22"/>
          <w:szCs w:val="22"/>
        </w:rPr>
        <w:t xml:space="preserve"> its interaction with ligands PD-L1 and PD-L2</w:t>
      </w:r>
      <w:r w:rsidR="005231B6" w:rsidRPr="024B4842">
        <w:rPr>
          <w:rFonts w:ascii="Times New Roman" w:hAnsi="Times New Roman" w:cs="Times New Roman"/>
          <w:sz w:val="22"/>
          <w:szCs w:val="22"/>
        </w:rPr>
        <w:t xml:space="preserve">.  </w:t>
      </w:r>
      <w:r w:rsidR="00EC0C1A" w:rsidRPr="024B4842">
        <w:rPr>
          <w:rFonts w:ascii="Times New Roman" w:hAnsi="Times New Roman" w:cs="Times New Roman"/>
          <w:sz w:val="22"/>
          <w:szCs w:val="22"/>
        </w:rPr>
        <w:t>T</w:t>
      </w:r>
      <w:r w:rsidR="005231B6" w:rsidRPr="024B4842">
        <w:rPr>
          <w:rFonts w:ascii="Times New Roman" w:hAnsi="Times New Roman" w:cs="Times New Roman"/>
          <w:sz w:val="22"/>
          <w:szCs w:val="22"/>
        </w:rPr>
        <w:t xml:space="preserve">echnologies </w:t>
      </w:r>
      <w:r w:rsidR="00EC0C1A" w:rsidRPr="024B4842">
        <w:rPr>
          <w:rFonts w:ascii="Times New Roman" w:hAnsi="Times New Roman" w:cs="Times New Roman"/>
          <w:sz w:val="22"/>
          <w:szCs w:val="22"/>
        </w:rPr>
        <w:t xml:space="preserve">such as pembrolizumab </w:t>
      </w:r>
      <w:r w:rsidR="004D18E2">
        <w:rPr>
          <w:rFonts w:ascii="Times New Roman" w:hAnsi="Times New Roman" w:cs="Times New Roman"/>
          <w:sz w:val="22"/>
          <w:szCs w:val="22"/>
        </w:rPr>
        <w:t>are considered</w:t>
      </w:r>
      <w:r w:rsidR="005231B6" w:rsidRPr="024B4842">
        <w:rPr>
          <w:rFonts w:ascii="Times New Roman" w:hAnsi="Times New Roman" w:cs="Times New Roman"/>
          <w:sz w:val="22"/>
          <w:szCs w:val="22"/>
        </w:rPr>
        <w:t xml:space="preserve"> a step forward in the treatment o</w:t>
      </w:r>
      <w:r w:rsidR="0067419B" w:rsidRPr="024B4842">
        <w:rPr>
          <w:rFonts w:ascii="Times New Roman" w:hAnsi="Times New Roman" w:cs="Times New Roman"/>
          <w:sz w:val="22"/>
          <w:szCs w:val="22"/>
        </w:rPr>
        <w:t xml:space="preserve">f </w:t>
      </w:r>
      <w:r w:rsidR="00AA574D" w:rsidRPr="024B4842">
        <w:rPr>
          <w:rFonts w:ascii="Times New Roman" w:hAnsi="Times New Roman" w:cs="Times New Roman"/>
          <w:sz w:val="22"/>
          <w:szCs w:val="22"/>
        </w:rPr>
        <w:t>urothelial</w:t>
      </w:r>
      <w:r w:rsidR="00AA31B6" w:rsidRPr="024B4842">
        <w:rPr>
          <w:rFonts w:ascii="Times New Roman" w:hAnsi="Times New Roman" w:cs="Times New Roman"/>
          <w:sz w:val="22"/>
          <w:szCs w:val="22"/>
        </w:rPr>
        <w:t>,</w:t>
      </w:r>
      <w:r w:rsidR="00AA574D" w:rsidRPr="024B4842">
        <w:rPr>
          <w:rFonts w:ascii="Times New Roman" w:hAnsi="Times New Roman" w:cs="Times New Roman"/>
          <w:sz w:val="22"/>
          <w:szCs w:val="22"/>
        </w:rPr>
        <w:t xml:space="preserve"> </w:t>
      </w:r>
      <w:r w:rsidR="0067419B" w:rsidRPr="024B4842">
        <w:rPr>
          <w:rFonts w:ascii="Times New Roman" w:hAnsi="Times New Roman" w:cs="Times New Roman"/>
          <w:sz w:val="22"/>
          <w:szCs w:val="22"/>
        </w:rPr>
        <w:t>and other</w:t>
      </w:r>
      <w:r w:rsidR="00AA31B6" w:rsidRPr="024B4842">
        <w:rPr>
          <w:rFonts w:ascii="Times New Roman" w:hAnsi="Times New Roman" w:cs="Times New Roman"/>
          <w:sz w:val="22"/>
          <w:szCs w:val="22"/>
        </w:rPr>
        <w:t>,</w:t>
      </w:r>
      <w:r w:rsidR="0067419B" w:rsidRPr="024B4842">
        <w:rPr>
          <w:rFonts w:ascii="Times New Roman" w:hAnsi="Times New Roman" w:cs="Times New Roman"/>
          <w:sz w:val="22"/>
          <w:szCs w:val="22"/>
        </w:rPr>
        <w:t xml:space="preserve"> cancers.  T</w:t>
      </w:r>
      <w:r w:rsidR="005231B6" w:rsidRPr="024B4842">
        <w:rPr>
          <w:rFonts w:ascii="Times New Roman" w:hAnsi="Times New Roman" w:cs="Times New Roman"/>
          <w:sz w:val="22"/>
          <w:szCs w:val="22"/>
        </w:rPr>
        <w:t xml:space="preserve">hey are better tolerated and more effective than chemotherapy.  NICE acknowledges </w:t>
      </w:r>
      <w:r w:rsidR="003D5DC6" w:rsidRPr="024B4842">
        <w:rPr>
          <w:rFonts w:ascii="Times New Roman" w:hAnsi="Times New Roman" w:cs="Times New Roman"/>
          <w:sz w:val="22"/>
          <w:szCs w:val="22"/>
        </w:rPr>
        <w:t xml:space="preserve">that pembrolizumab significantly improves overall survival compared to chemotherapy.  Clinicians have described it to have </w:t>
      </w:r>
      <w:r w:rsidR="003D5DC6" w:rsidRPr="00911EDF">
        <w:rPr>
          <w:rFonts w:ascii="Times New Roman" w:hAnsi="Times New Roman" w:cs="Times New Roman"/>
          <w:i/>
          <w:sz w:val="22"/>
          <w:szCs w:val="22"/>
        </w:rPr>
        <w:t>“</w:t>
      </w:r>
      <w:r w:rsidR="003D5DC6" w:rsidRPr="00911EDF">
        <w:rPr>
          <w:rFonts w:ascii="Times New Roman" w:hAnsi="Times New Roman" w:cs="Times New Roman"/>
          <w:i/>
          <w:iCs/>
          <w:sz w:val="22"/>
          <w:szCs w:val="22"/>
        </w:rPr>
        <w:t>transformative</w:t>
      </w:r>
      <w:r w:rsidR="003D5DC6" w:rsidRPr="00911EDF">
        <w:rPr>
          <w:rFonts w:ascii="Times New Roman" w:hAnsi="Times New Roman" w:cs="Times New Roman"/>
          <w:i/>
          <w:sz w:val="22"/>
          <w:szCs w:val="22"/>
        </w:rPr>
        <w:t>”</w:t>
      </w:r>
      <w:r w:rsidR="003D5DC6" w:rsidRPr="024B4842">
        <w:rPr>
          <w:rFonts w:ascii="Times New Roman" w:hAnsi="Times New Roman" w:cs="Times New Roman"/>
          <w:sz w:val="22"/>
          <w:szCs w:val="22"/>
        </w:rPr>
        <w:t xml:space="preserve"> effects on certain patients, </w:t>
      </w:r>
      <w:r w:rsidR="006417F8" w:rsidRPr="024B4842">
        <w:rPr>
          <w:rFonts w:ascii="Times New Roman" w:hAnsi="Times New Roman" w:cs="Times New Roman"/>
          <w:sz w:val="22"/>
          <w:szCs w:val="22"/>
        </w:rPr>
        <w:t xml:space="preserve">a proportion </w:t>
      </w:r>
      <w:r w:rsidR="003D5DC6" w:rsidRPr="024B4842">
        <w:rPr>
          <w:rFonts w:ascii="Times New Roman" w:hAnsi="Times New Roman" w:cs="Times New Roman"/>
          <w:sz w:val="22"/>
          <w:szCs w:val="22"/>
        </w:rPr>
        <w:t xml:space="preserve">of whom go on to complete remission. </w:t>
      </w:r>
      <w:r w:rsidR="0037005E" w:rsidRPr="024B4842">
        <w:rPr>
          <w:rFonts w:ascii="Times New Roman" w:hAnsi="Times New Roman" w:cs="Times New Roman"/>
          <w:sz w:val="22"/>
          <w:szCs w:val="22"/>
        </w:rPr>
        <w:t xml:space="preserve"> </w:t>
      </w:r>
    </w:p>
    <w:p w14:paraId="2C4184CC" w14:textId="77777777" w:rsidR="004D7061" w:rsidRPr="00D57189" w:rsidRDefault="004D7061" w:rsidP="001950E5">
      <w:pPr>
        <w:jc w:val="both"/>
        <w:rPr>
          <w:rFonts w:ascii="Times New Roman" w:hAnsi="Times New Roman" w:cs="Times New Roman"/>
          <w:sz w:val="22"/>
          <w:szCs w:val="22"/>
        </w:rPr>
      </w:pPr>
    </w:p>
    <w:p w14:paraId="68905DA0" w14:textId="13B3F06D" w:rsidR="00D13D1A" w:rsidRPr="00D57189" w:rsidRDefault="003D5DC6" w:rsidP="001950E5">
      <w:pPr>
        <w:jc w:val="both"/>
        <w:rPr>
          <w:rFonts w:ascii="Times New Roman" w:hAnsi="Times New Roman" w:cs="Times New Roman"/>
          <w:sz w:val="22"/>
          <w:szCs w:val="22"/>
        </w:rPr>
      </w:pPr>
      <w:r w:rsidRPr="00D57189">
        <w:rPr>
          <w:rFonts w:ascii="Times New Roman" w:hAnsi="Times New Roman" w:cs="Times New Roman"/>
          <w:sz w:val="22"/>
          <w:szCs w:val="22"/>
        </w:rPr>
        <w:t xml:space="preserve">NICE initially reviewed pembrolizumab for urothelial cancer in 2018 </w:t>
      </w:r>
      <w:r w:rsidR="0055474D" w:rsidRPr="00D57189">
        <w:rPr>
          <w:rFonts w:ascii="Times New Roman" w:hAnsi="Times New Roman" w:cs="Times New Roman"/>
          <w:sz w:val="22"/>
          <w:szCs w:val="22"/>
        </w:rPr>
        <w:t xml:space="preserve">(TA519) </w:t>
      </w:r>
      <w:r w:rsidRPr="00D57189">
        <w:rPr>
          <w:rFonts w:ascii="Times New Roman" w:hAnsi="Times New Roman" w:cs="Times New Roman"/>
          <w:sz w:val="22"/>
          <w:szCs w:val="22"/>
        </w:rPr>
        <w:t xml:space="preserve">and considered </w:t>
      </w:r>
      <w:r w:rsidR="00F63D89">
        <w:rPr>
          <w:rFonts w:ascii="Times New Roman" w:hAnsi="Times New Roman" w:cs="Times New Roman"/>
          <w:sz w:val="22"/>
          <w:szCs w:val="22"/>
        </w:rPr>
        <w:t xml:space="preserve">that </w:t>
      </w:r>
      <w:r w:rsidRPr="00D57189">
        <w:rPr>
          <w:rFonts w:ascii="Times New Roman" w:hAnsi="Times New Roman" w:cs="Times New Roman"/>
          <w:sz w:val="22"/>
          <w:szCs w:val="22"/>
        </w:rPr>
        <w:t xml:space="preserve">the product had the potential to be </w:t>
      </w:r>
      <w:r w:rsidR="0050726B" w:rsidRPr="00D57189">
        <w:rPr>
          <w:rFonts w:ascii="Times New Roman" w:hAnsi="Times New Roman" w:cs="Times New Roman"/>
          <w:sz w:val="22"/>
          <w:szCs w:val="22"/>
        </w:rPr>
        <w:t>cost-effective</w:t>
      </w:r>
      <w:r w:rsidR="0055474D" w:rsidRPr="00D57189">
        <w:rPr>
          <w:rFonts w:ascii="Times New Roman" w:hAnsi="Times New Roman" w:cs="Times New Roman"/>
          <w:sz w:val="22"/>
          <w:szCs w:val="22"/>
        </w:rPr>
        <w:t xml:space="preserve"> (</w:t>
      </w:r>
      <w:r w:rsidR="0055474D" w:rsidRPr="0067419B">
        <w:rPr>
          <w:rFonts w:ascii="Times New Roman" w:hAnsi="Times New Roman" w:cs="Times New Roman"/>
          <w:i/>
          <w:sz w:val="22"/>
          <w:szCs w:val="22"/>
        </w:rPr>
        <w:t>i.e.</w:t>
      </w:r>
      <w:r w:rsidR="0055474D" w:rsidRPr="00D57189">
        <w:rPr>
          <w:rFonts w:ascii="Times New Roman" w:hAnsi="Times New Roman" w:cs="Times New Roman"/>
          <w:sz w:val="22"/>
          <w:szCs w:val="22"/>
        </w:rPr>
        <w:t xml:space="preserve">, </w:t>
      </w:r>
      <w:r w:rsidR="00D14DFF" w:rsidRPr="00D57189">
        <w:rPr>
          <w:rFonts w:ascii="Times New Roman" w:hAnsi="Times New Roman" w:cs="Times New Roman"/>
          <w:sz w:val="22"/>
          <w:szCs w:val="22"/>
        </w:rPr>
        <w:t xml:space="preserve">that </w:t>
      </w:r>
      <w:r w:rsidR="0055474D" w:rsidRPr="00D57189">
        <w:rPr>
          <w:rFonts w:ascii="Times New Roman" w:hAnsi="Times New Roman" w:cs="Times New Roman"/>
          <w:sz w:val="22"/>
          <w:szCs w:val="22"/>
        </w:rPr>
        <w:t>the ICER could potentially fall under £50,000, the threshold for end-of life treatments)</w:t>
      </w:r>
      <w:r w:rsidR="0050726B" w:rsidRPr="00D57189">
        <w:rPr>
          <w:rFonts w:ascii="Times New Roman" w:hAnsi="Times New Roman" w:cs="Times New Roman"/>
          <w:sz w:val="22"/>
          <w:szCs w:val="22"/>
        </w:rPr>
        <w:t>.</w:t>
      </w:r>
      <w:r w:rsidRPr="00D57189">
        <w:rPr>
          <w:rFonts w:ascii="Times New Roman" w:hAnsi="Times New Roman" w:cs="Times New Roman"/>
          <w:sz w:val="22"/>
          <w:szCs w:val="22"/>
        </w:rPr>
        <w:t xml:space="preserve"> </w:t>
      </w:r>
      <w:r w:rsidR="0055474D" w:rsidRPr="00D57189">
        <w:rPr>
          <w:rFonts w:ascii="Times New Roman" w:hAnsi="Times New Roman" w:cs="Times New Roman"/>
          <w:sz w:val="22"/>
          <w:szCs w:val="22"/>
        </w:rPr>
        <w:t xml:space="preserve"> In that initial review, </w:t>
      </w:r>
      <w:r w:rsidR="00443585">
        <w:rPr>
          <w:rFonts w:ascii="Times New Roman" w:hAnsi="Times New Roman" w:cs="Times New Roman"/>
          <w:sz w:val="22"/>
          <w:szCs w:val="22"/>
        </w:rPr>
        <w:t xml:space="preserve">Appraisal Committee </w:t>
      </w:r>
      <w:r w:rsidR="00EA33AC">
        <w:rPr>
          <w:rFonts w:ascii="Times New Roman" w:hAnsi="Times New Roman" w:cs="Times New Roman"/>
          <w:sz w:val="22"/>
          <w:szCs w:val="22"/>
        </w:rPr>
        <w:t xml:space="preserve">D </w:t>
      </w:r>
      <w:r w:rsidR="00443585">
        <w:rPr>
          <w:rFonts w:ascii="Times New Roman" w:hAnsi="Times New Roman" w:cs="Times New Roman"/>
          <w:sz w:val="22"/>
          <w:szCs w:val="22"/>
        </w:rPr>
        <w:t xml:space="preserve">identified </w:t>
      </w:r>
      <w:r w:rsidR="000B0535" w:rsidRPr="00D57189">
        <w:rPr>
          <w:rFonts w:ascii="Times New Roman" w:hAnsi="Times New Roman" w:cs="Times New Roman"/>
          <w:sz w:val="22"/>
          <w:szCs w:val="22"/>
        </w:rPr>
        <w:t>“</w:t>
      </w:r>
      <w:r w:rsidR="000B0535" w:rsidRPr="00443585">
        <w:rPr>
          <w:rFonts w:ascii="Times New Roman" w:hAnsi="Times New Roman" w:cs="Times New Roman"/>
          <w:i/>
          <w:sz w:val="22"/>
          <w:szCs w:val="22"/>
        </w:rPr>
        <w:t xml:space="preserve">uncertainty around overall survival </w:t>
      </w:r>
      <w:r w:rsidR="000B0535" w:rsidRPr="00913AC0">
        <w:rPr>
          <w:rFonts w:ascii="Times New Roman" w:hAnsi="Times New Roman" w:cs="Times New Roman"/>
          <w:i/>
          <w:sz w:val="22"/>
          <w:szCs w:val="22"/>
        </w:rPr>
        <w:t>and [the] continued treatment effect [of pembrolizumab]</w:t>
      </w:r>
      <w:r w:rsidR="000B0535" w:rsidRPr="00D57189">
        <w:rPr>
          <w:rFonts w:ascii="Times New Roman" w:hAnsi="Times New Roman" w:cs="Times New Roman"/>
          <w:sz w:val="22"/>
          <w:szCs w:val="22"/>
        </w:rPr>
        <w:t>” which could affect its cost-effectiven</w:t>
      </w:r>
      <w:r w:rsidR="00D0705C">
        <w:rPr>
          <w:rFonts w:ascii="Times New Roman" w:hAnsi="Times New Roman" w:cs="Times New Roman"/>
          <w:sz w:val="22"/>
          <w:szCs w:val="22"/>
        </w:rPr>
        <w:t xml:space="preserve">ess.  NICE </w:t>
      </w:r>
      <w:r w:rsidR="000B0535" w:rsidRPr="00D57189">
        <w:rPr>
          <w:rFonts w:ascii="Times New Roman" w:hAnsi="Times New Roman" w:cs="Times New Roman"/>
          <w:sz w:val="22"/>
          <w:szCs w:val="22"/>
        </w:rPr>
        <w:t>theref</w:t>
      </w:r>
      <w:r w:rsidR="00D13D1A" w:rsidRPr="00D57189">
        <w:rPr>
          <w:rFonts w:ascii="Times New Roman" w:hAnsi="Times New Roman" w:cs="Times New Roman"/>
          <w:sz w:val="22"/>
          <w:szCs w:val="22"/>
        </w:rPr>
        <w:t>ore recommended the product for use within the C</w:t>
      </w:r>
      <w:r w:rsidR="003520CD">
        <w:rPr>
          <w:rFonts w:ascii="Times New Roman" w:hAnsi="Times New Roman" w:cs="Times New Roman"/>
          <w:sz w:val="22"/>
          <w:szCs w:val="22"/>
        </w:rPr>
        <w:t>DF</w:t>
      </w:r>
      <w:r w:rsidR="00D13D1A" w:rsidRPr="00D57189">
        <w:rPr>
          <w:rFonts w:ascii="Times New Roman" w:hAnsi="Times New Roman" w:cs="Times New Roman"/>
          <w:sz w:val="22"/>
          <w:szCs w:val="22"/>
        </w:rPr>
        <w:t xml:space="preserve">.  This </w:t>
      </w:r>
      <w:r w:rsidR="00443585">
        <w:rPr>
          <w:rFonts w:ascii="Times New Roman" w:hAnsi="Times New Roman" w:cs="Times New Roman"/>
          <w:sz w:val="22"/>
          <w:szCs w:val="22"/>
        </w:rPr>
        <w:t xml:space="preserve">provided time to collect </w:t>
      </w:r>
      <w:r w:rsidR="00D13D1A" w:rsidRPr="00D57189">
        <w:rPr>
          <w:rFonts w:ascii="Times New Roman" w:hAnsi="Times New Roman" w:cs="Times New Roman"/>
          <w:sz w:val="22"/>
          <w:szCs w:val="22"/>
        </w:rPr>
        <w:t>addi</w:t>
      </w:r>
      <w:r w:rsidR="00443585">
        <w:rPr>
          <w:rFonts w:ascii="Times New Roman" w:hAnsi="Times New Roman" w:cs="Times New Roman"/>
          <w:sz w:val="22"/>
          <w:szCs w:val="22"/>
        </w:rPr>
        <w:t xml:space="preserve">tional data to </w:t>
      </w:r>
      <w:r w:rsidR="00F209AF">
        <w:rPr>
          <w:rFonts w:ascii="Times New Roman" w:hAnsi="Times New Roman" w:cs="Times New Roman"/>
          <w:sz w:val="22"/>
          <w:szCs w:val="22"/>
        </w:rPr>
        <w:t xml:space="preserve">try to </w:t>
      </w:r>
      <w:r w:rsidR="00443585">
        <w:rPr>
          <w:rFonts w:ascii="Times New Roman" w:hAnsi="Times New Roman" w:cs="Times New Roman"/>
          <w:sz w:val="22"/>
          <w:szCs w:val="22"/>
        </w:rPr>
        <w:t xml:space="preserve">resolve </w:t>
      </w:r>
      <w:r w:rsidR="00F209AF">
        <w:rPr>
          <w:rFonts w:ascii="Times New Roman" w:hAnsi="Times New Roman" w:cs="Times New Roman"/>
          <w:sz w:val="22"/>
          <w:szCs w:val="22"/>
        </w:rPr>
        <w:t>the</w:t>
      </w:r>
      <w:r w:rsidR="00D0705C">
        <w:rPr>
          <w:rFonts w:ascii="Times New Roman" w:hAnsi="Times New Roman" w:cs="Times New Roman"/>
          <w:sz w:val="22"/>
          <w:szCs w:val="22"/>
        </w:rPr>
        <w:t xml:space="preserve"> </w:t>
      </w:r>
      <w:r w:rsidR="00D13D1A" w:rsidRPr="00D57189">
        <w:rPr>
          <w:rFonts w:ascii="Times New Roman" w:hAnsi="Times New Roman" w:cs="Times New Roman"/>
          <w:sz w:val="22"/>
          <w:szCs w:val="22"/>
        </w:rPr>
        <w:t>uncertainties</w:t>
      </w:r>
      <w:r w:rsidR="00F209AF">
        <w:rPr>
          <w:rFonts w:ascii="Times New Roman" w:hAnsi="Times New Roman" w:cs="Times New Roman"/>
          <w:sz w:val="22"/>
          <w:szCs w:val="22"/>
        </w:rPr>
        <w:t xml:space="preserve"> identified</w:t>
      </w:r>
      <w:r w:rsidR="00D13D1A" w:rsidRPr="00D57189">
        <w:rPr>
          <w:rFonts w:ascii="Times New Roman" w:hAnsi="Times New Roman" w:cs="Times New Roman"/>
          <w:sz w:val="22"/>
          <w:szCs w:val="22"/>
        </w:rPr>
        <w:t xml:space="preserve">.  </w:t>
      </w:r>
      <w:r w:rsidR="00D0705C">
        <w:rPr>
          <w:rFonts w:ascii="Times New Roman" w:hAnsi="Times New Roman" w:cs="Times New Roman"/>
          <w:sz w:val="22"/>
          <w:szCs w:val="22"/>
        </w:rPr>
        <w:t xml:space="preserve">The purpose of </w:t>
      </w:r>
      <w:r w:rsidR="006417F8">
        <w:rPr>
          <w:rFonts w:ascii="Times New Roman" w:hAnsi="Times New Roman" w:cs="Times New Roman"/>
          <w:sz w:val="22"/>
          <w:szCs w:val="22"/>
        </w:rPr>
        <w:t xml:space="preserve">appraisal </w:t>
      </w:r>
      <w:r w:rsidR="00D0705C">
        <w:rPr>
          <w:rFonts w:ascii="Times New Roman" w:hAnsi="Times New Roman" w:cs="Times New Roman"/>
          <w:sz w:val="22"/>
          <w:szCs w:val="22"/>
        </w:rPr>
        <w:t xml:space="preserve">ID1536 </w:t>
      </w:r>
      <w:r w:rsidR="0067419B">
        <w:rPr>
          <w:rFonts w:ascii="Times New Roman" w:hAnsi="Times New Roman" w:cs="Times New Roman"/>
          <w:sz w:val="22"/>
          <w:szCs w:val="22"/>
        </w:rPr>
        <w:t xml:space="preserve">was </w:t>
      </w:r>
      <w:r w:rsidR="00D0705C">
        <w:rPr>
          <w:rFonts w:ascii="Times New Roman" w:hAnsi="Times New Roman" w:cs="Times New Roman"/>
          <w:sz w:val="22"/>
          <w:szCs w:val="22"/>
        </w:rPr>
        <w:t xml:space="preserve">to review updated data </w:t>
      </w:r>
      <w:r w:rsidR="00AA574D">
        <w:rPr>
          <w:rFonts w:ascii="Times New Roman" w:hAnsi="Times New Roman" w:cs="Times New Roman"/>
          <w:sz w:val="22"/>
          <w:szCs w:val="22"/>
        </w:rPr>
        <w:t xml:space="preserve">from the KEYNOTE-045 trial </w:t>
      </w:r>
      <w:r w:rsidR="00D0705C">
        <w:rPr>
          <w:rFonts w:ascii="Times New Roman" w:hAnsi="Times New Roman" w:cs="Times New Roman"/>
          <w:sz w:val="22"/>
          <w:szCs w:val="22"/>
        </w:rPr>
        <w:t>and assess whether pembrolizumab</w:t>
      </w:r>
      <w:r w:rsidR="0067419B">
        <w:rPr>
          <w:rFonts w:ascii="Times New Roman" w:hAnsi="Times New Roman" w:cs="Times New Roman"/>
          <w:sz w:val="22"/>
          <w:szCs w:val="22"/>
        </w:rPr>
        <w:t xml:space="preserve"> was cost-effective</w:t>
      </w:r>
      <w:r w:rsidR="00D13D1A" w:rsidRPr="00D57189">
        <w:rPr>
          <w:rFonts w:ascii="Times New Roman" w:hAnsi="Times New Roman" w:cs="Times New Roman"/>
          <w:sz w:val="22"/>
          <w:szCs w:val="22"/>
        </w:rPr>
        <w:t xml:space="preserve">.  </w:t>
      </w:r>
    </w:p>
    <w:p w14:paraId="0564A2F6" w14:textId="5DFC5C66" w:rsidR="00D13D1A" w:rsidRDefault="00D13D1A" w:rsidP="001950E5">
      <w:pPr>
        <w:jc w:val="both"/>
        <w:rPr>
          <w:rFonts w:ascii="Times New Roman" w:hAnsi="Times New Roman" w:cs="Times New Roman"/>
          <w:sz w:val="22"/>
          <w:szCs w:val="22"/>
        </w:rPr>
      </w:pPr>
    </w:p>
    <w:p w14:paraId="023AB62C" w14:textId="77777777" w:rsidR="007311FB" w:rsidRDefault="007311FB" w:rsidP="001950E5">
      <w:pPr>
        <w:jc w:val="both"/>
        <w:rPr>
          <w:rFonts w:ascii="Times New Roman" w:hAnsi="Times New Roman" w:cs="Times New Roman"/>
          <w:b/>
          <w:sz w:val="22"/>
          <w:szCs w:val="22"/>
        </w:rPr>
      </w:pPr>
    </w:p>
    <w:p w14:paraId="31C219A5" w14:textId="77777777" w:rsidR="007311FB" w:rsidRDefault="007311FB" w:rsidP="001950E5">
      <w:pPr>
        <w:jc w:val="both"/>
        <w:rPr>
          <w:rFonts w:ascii="Times New Roman" w:hAnsi="Times New Roman" w:cs="Times New Roman"/>
          <w:b/>
          <w:sz w:val="22"/>
          <w:szCs w:val="22"/>
        </w:rPr>
      </w:pPr>
    </w:p>
    <w:p w14:paraId="3571A0BA" w14:textId="216B705B" w:rsidR="00D0707E" w:rsidRPr="00D0707E" w:rsidRDefault="00D0707E" w:rsidP="001950E5">
      <w:pPr>
        <w:jc w:val="both"/>
        <w:rPr>
          <w:rFonts w:ascii="Times New Roman" w:hAnsi="Times New Roman" w:cs="Times New Roman"/>
          <w:b/>
          <w:sz w:val="22"/>
          <w:szCs w:val="22"/>
        </w:rPr>
      </w:pPr>
      <w:r w:rsidRPr="00D0707E">
        <w:rPr>
          <w:rFonts w:ascii="Times New Roman" w:hAnsi="Times New Roman" w:cs="Times New Roman"/>
          <w:b/>
          <w:sz w:val="22"/>
          <w:szCs w:val="22"/>
        </w:rPr>
        <w:lastRenderedPageBreak/>
        <w:t>Summary of Grounds for Appeal</w:t>
      </w:r>
    </w:p>
    <w:p w14:paraId="073354A7" w14:textId="77777777" w:rsidR="004B602A" w:rsidRDefault="004B602A" w:rsidP="001950E5">
      <w:pPr>
        <w:jc w:val="both"/>
        <w:rPr>
          <w:rFonts w:ascii="Times New Roman" w:hAnsi="Times New Roman" w:cs="Times New Roman"/>
          <w:sz w:val="22"/>
          <w:szCs w:val="22"/>
        </w:rPr>
      </w:pPr>
    </w:p>
    <w:p w14:paraId="57432E55" w14:textId="065F9B1E" w:rsidR="001956C5" w:rsidRPr="009D2D0B" w:rsidRDefault="007A337B" w:rsidP="001950E5">
      <w:pPr>
        <w:jc w:val="both"/>
        <w:rPr>
          <w:rFonts w:ascii="Times New Roman" w:hAnsi="Times New Roman" w:cs="Times New Roman"/>
          <w:sz w:val="22"/>
          <w:szCs w:val="22"/>
        </w:rPr>
      </w:pPr>
      <w:r w:rsidRPr="009D2D0B">
        <w:rPr>
          <w:rFonts w:ascii="Times New Roman" w:hAnsi="Times New Roman" w:cs="Times New Roman"/>
          <w:sz w:val="22"/>
          <w:szCs w:val="22"/>
        </w:rPr>
        <w:t xml:space="preserve">The Appraisal Committee has </w:t>
      </w:r>
      <w:r w:rsidR="00E75D20" w:rsidRPr="009D2D0B">
        <w:rPr>
          <w:rFonts w:ascii="Times New Roman" w:hAnsi="Times New Roman" w:cs="Times New Roman"/>
          <w:sz w:val="22"/>
          <w:szCs w:val="22"/>
        </w:rPr>
        <w:t xml:space="preserve">chosen </w:t>
      </w:r>
      <w:r w:rsidRPr="009D2D0B">
        <w:rPr>
          <w:rFonts w:ascii="Times New Roman" w:hAnsi="Times New Roman" w:cs="Times New Roman"/>
          <w:sz w:val="22"/>
          <w:szCs w:val="22"/>
        </w:rPr>
        <w:t xml:space="preserve">not </w:t>
      </w:r>
      <w:r w:rsidR="00E75D20" w:rsidRPr="009D2D0B">
        <w:rPr>
          <w:rFonts w:ascii="Times New Roman" w:hAnsi="Times New Roman" w:cs="Times New Roman"/>
          <w:sz w:val="22"/>
          <w:szCs w:val="22"/>
        </w:rPr>
        <w:t>to recommend</w:t>
      </w:r>
      <w:r w:rsidRPr="009D2D0B">
        <w:rPr>
          <w:rFonts w:ascii="Times New Roman" w:hAnsi="Times New Roman" w:cs="Times New Roman"/>
          <w:sz w:val="22"/>
          <w:szCs w:val="22"/>
        </w:rPr>
        <w:t xml:space="preserve"> pembrolizuma</w:t>
      </w:r>
      <w:r w:rsidR="00AA242B" w:rsidRPr="009D2D0B">
        <w:rPr>
          <w:rFonts w:ascii="Times New Roman" w:hAnsi="Times New Roman" w:cs="Times New Roman"/>
          <w:sz w:val="22"/>
          <w:szCs w:val="22"/>
        </w:rPr>
        <w:t xml:space="preserve">b because it </w:t>
      </w:r>
      <w:r w:rsidR="007D1932">
        <w:rPr>
          <w:rFonts w:ascii="Times New Roman" w:hAnsi="Times New Roman" w:cs="Times New Roman"/>
          <w:sz w:val="22"/>
          <w:szCs w:val="22"/>
        </w:rPr>
        <w:t>considers</w:t>
      </w:r>
      <w:r w:rsidR="00207B93" w:rsidRPr="009D2D0B">
        <w:rPr>
          <w:rFonts w:ascii="Times New Roman" w:hAnsi="Times New Roman" w:cs="Times New Roman"/>
          <w:sz w:val="22"/>
          <w:szCs w:val="22"/>
        </w:rPr>
        <w:t xml:space="preserve"> </w:t>
      </w:r>
      <w:r w:rsidR="00AA242B" w:rsidRPr="009D2D0B">
        <w:rPr>
          <w:rFonts w:ascii="Times New Roman" w:hAnsi="Times New Roman" w:cs="Times New Roman"/>
          <w:sz w:val="22"/>
          <w:szCs w:val="22"/>
        </w:rPr>
        <w:t>that the most plausible</w:t>
      </w:r>
      <w:r w:rsidRPr="009D2D0B">
        <w:rPr>
          <w:rFonts w:ascii="Times New Roman" w:hAnsi="Times New Roman" w:cs="Times New Roman"/>
          <w:sz w:val="22"/>
          <w:szCs w:val="22"/>
        </w:rPr>
        <w:t xml:space="preserve"> ICER is likely to be above £50,000.  </w:t>
      </w:r>
      <w:r w:rsidR="00317D9C" w:rsidRPr="009D2D0B">
        <w:rPr>
          <w:rFonts w:ascii="Times New Roman" w:hAnsi="Times New Roman" w:cs="Times New Roman"/>
          <w:sz w:val="22"/>
          <w:szCs w:val="22"/>
        </w:rPr>
        <w:t xml:space="preserve">That is </w:t>
      </w:r>
      <w:r w:rsidR="00207B93" w:rsidRPr="009D2D0B">
        <w:rPr>
          <w:rFonts w:ascii="Times New Roman" w:hAnsi="Times New Roman" w:cs="Times New Roman"/>
          <w:sz w:val="22"/>
          <w:szCs w:val="22"/>
        </w:rPr>
        <w:t xml:space="preserve">based </w:t>
      </w:r>
      <w:r w:rsidR="00317D9C" w:rsidRPr="009D2D0B">
        <w:rPr>
          <w:rFonts w:ascii="Times New Roman" w:hAnsi="Times New Roman" w:cs="Times New Roman"/>
          <w:sz w:val="22"/>
          <w:szCs w:val="22"/>
        </w:rPr>
        <w:t xml:space="preserve">upon </w:t>
      </w:r>
      <w:r w:rsidR="00F33718" w:rsidRPr="009D2D0B">
        <w:rPr>
          <w:rFonts w:ascii="Times New Roman" w:hAnsi="Times New Roman" w:cs="Times New Roman"/>
          <w:sz w:val="22"/>
          <w:szCs w:val="22"/>
        </w:rPr>
        <w:t xml:space="preserve">various </w:t>
      </w:r>
      <w:r w:rsidR="00317D9C" w:rsidRPr="009D2D0B">
        <w:rPr>
          <w:rFonts w:ascii="Times New Roman" w:hAnsi="Times New Roman" w:cs="Times New Roman"/>
          <w:sz w:val="22"/>
          <w:szCs w:val="22"/>
        </w:rPr>
        <w:t>judgements</w:t>
      </w:r>
      <w:r w:rsidR="00096217">
        <w:rPr>
          <w:rFonts w:ascii="Times New Roman" w:hAnsi="Times New Roman" w:cs="Times New Roman"/>
          <w:sz w:val="22"/>
          <w:szCs w:val="22"/>
        </w:rPr>
        <w:t xml:space="preserve"> and assumptions</w:t>
      </w:r>
      <w:r w:rsidR="00317D9C" w:rsidRPr="009D2D0B">
        <w:rPr>
          <w:rFonts w:ascii="Times New Roman" w:hAnsi="Times New Roman" w:cs="Times New Roman"/>
          <w:sz w:val="22"/>
          <w:szCs w:val="22"/>
        </w:rPr>
        <w:t xml:space="preserve"> </w:t>
      </w:r>
      <w:r w:rsidR="0041568D" w:rsidRPr="009D2D0B">
        <w:rPr>
          <w:rFonts w:ascii="Times New Roman" w:hAnsi="Times New Roman" w:cs="Times New Roman"/>
          <w:sz w:val="22"/>
          <w:szCs w:val="22"/>
        </w:rPr>
        <w:t xml:space="preserve">the Appraisal Committee has </w:t>
      </w:r>
      <w:r w:rsidR="007D5481" w:rsidRPr="009D2D0B">
        <w:rPr>
          <w:rFonts w:ascii="Times New Roman" w:hAnsi="Times New Roman" w:cs="Times New Roman"/>
          <w:sz w:val="22"/>
          <w:szCs w:val="22"/>
        </w:rPr>
        <w:t xml:space="preserve">made </w:t>
      </w:r>
      <w:r w:rsidR="0041568D" w:rsidRPr="009D2D0B">
        <w:rPr>
          <w:rFonts w:ascii="Times New Roman" w:hAnsi="Times New Roman" w:cs="Times New Roman"/>
          <w:sz w:val="22"/>
          <w:szCs w:val="22"/>
        </w:rPr>
        <w:t xml:space="preserve">on </w:t>
      </w:r>
      <w:r w:rsidR="00317D9C" w:rsidRPr="009D2D0B">
        <w:rPr>
          <w:rFonts w:ascii="Times New Roman" w:hAnsi="Times New Roman" w:cs="Times New Roman"/>
          <w:sz w:val="22"/>
          <w:szCs w:val="22"/>
        </w:rPr>
        <w:t>key aspects of the evidence-base</w:t>
      </w:r>
      <w:r w:rsidR="00AA31B6">
        <w:rPr>
          <w:rFonts w:ascii="Times New Roman" w:hAnsi="Times New Roman" w:cs="Times New Roman"/>
          <w:sz w:val="22"/>
          <w:szCs w:val="22"/>
        </w:rPr>
        <w:t>,</w:t>
      </w:r>
      <w:r w:rsidR="00610C69">
        <w:rPr>
          <w:rFonts w:ascii="Times New Roman" w:hAnsi="Times New Roman" w:cs="Times New Roman"/>
          <w:sz w:val="22"/>
          <w:szCs w:val="22"/>
        </w:rPr>
        <w:t xml:space="preserve"> </w:t>
      </w:r>
      <w:proofErr w:type="gramStart"/>
      <w:r w:rsidR="00AE2190">
        <w:rPr>
          <w:rFonts w:ascii="Times New Roman" w:hAnsi="Times New Roman" w:cs="Times New Roman"/>
          <w:sz w:val="22"/>
          <w:szCs w:val="22"/>
        </w:rPr>
        <w:t xml:space="preserve">in particular </w:t>
      </w:r>
      <w:r w:rsidR="00610C69">
        <w:rPr>
          <w:rFonts w:ascii="Times New Roman" w:hAnsi="Times New Roman" w:cs="Times New Roman"/>
          <w:sz w:val="22"/>
          <w:szCs w:val="22"/>
        </w:rPr>
        <w:t>to</w:t>
      </w:r>
      <w:proofErr w:type="gramEnd"/>
      <w:r w:rsidR="00610C69">
        <w:rPr>
          <w:rFonts w:ascii="Times New Roman" w:hAnsi="Times New Roman" w:cs="Times New Roman"/>
          <w:sz w:val="22"/>
          <w:szCs w:val="22"/>
        </w:rPr>
        <w:t xml:space="preserve"> manage uncertainties in the evidence</w:t>
      </w:r>
      <w:r w:rsidR="00EC0C1A">
        <w:rPr>
          <w:rFonts w:ascii="Times New Roman" w:hAnsi="Times New Roman" w:cs="Times New Roman"/>
          <w:sz w:val="22"/>
          <w:szCs w:val="22"/>
        </w:rPr>
        <w:t>.  We submit that m</w:t>
      </w:r>
      <w:r w:rsidR="00317D9C" w:rsidRPr="009D2D0B">
        <w:rPr>
          <w:rFonts w:ascii="Times New Roman" w:hAnsi="Times New Roman" w:cs="Times New Roman"/>
          <w:sz w:val="22"/>
          <w:szCs w:val="22"/>
        </w:rPr>
        <w:t xml:space="preserve">any of those </w:t>
      </w:r>
      <w:r w:rsidR="00096217">
        <w:rPr>
          <w:rFonts w:ascii="Times New Roman" w:hAnsi="Times New Roman" w:cs="Times New Roman"/>
          <w:sz w:val="22"/>
          <w:szCs w:val="22"/>
        </w:rPr>
        <w:t xml:space="preserve">judgements and assumptions </w:t>
      </w:r>
      <w:r w:rsidR="00317D9C" w:rsidRPr="009D2D0B">
        <w:rPr>
          <w:rFonts w:ascii="Times New Roman" w:hAnsi="Times New Roman" w:cs="Times New Roman"/>
          <w:sz w:val="22"/>
          <w:szCs w:val="22"/>
        </w:rPr>
        <w:t>canno</w:t>
      </w:r>
      <w:r w:rsidR="00EC0C1A">
        <w:rPr>
          <w:rFonts w:ascii="Times New Roman" w:hAnsi="Times New Roman" w:cs="Times New Roman"/>
          <w:sz w:val="22"/>
          <w:szCs w:val="22"/>
        </w:rPr>
        <w:t xml:space="preserve">t, by objective standards, </w:t>
      </w:r>
      <w:r w:rsidR="00317D9C" w:rsidRPr="009D2D0B">
        <w:rPr>
          <w:rFonts w:ascii="Times New Roman" w:hAnsi="Times New Roman" w:cs="Times New Roman"/>
          <w:sz w:val="22"/>
          <w:szCs w:val="22"/>
        </w:rPr>
        <w:t xml:space="preserve">be considered reasonable </w:t>
      </w:r>
      <w:proofErr w:type="gramStart"/>
      <w:r w:rsidR="00443585" w:rsidRPr="009D2D0B">
        <w:rPr>
          <w:rFonts w:ascii="Times New Roman" w:hAnsi="Times New Roman" w:cs="Times New Roman"/>
          <w:sz w:val="22"/>
          <w:szCs w:val="22"/>
        </w:rPr>
        <w:t xml:space="preserve">in light </w:t>
      </w:r>
      <w:r w:rsidR="00317D9C" w:rsidRPr="009D2D0B">
        <w:rPr>
          <w:rFonts w:ascii="Times New Roman" w:hAnsi="Times New Roman" w:cs="Times New Roman"/>
          <w:sz w:val="22"/>
          <w:szCs w:val="22"/>
        </w:rPr>
        <w:t>of</w:t>
      </w:r>
      <w:proofErr w:type="gramEnd"/>
      <w:r w:rsidR="00317D9C" w:rsidRPr="009D2D0B">
        <w:rPr>
          <w:rFonts w:ascii="Times New Roman" w:hAnsi="Times New Roman" w:cs="Times New Roman"/>
          <w:sz w:val="22"/>
          <w:szCs w:val="22"/>
        </w:rPr>
        <w:t xml:space="preserve"> the evidence</w:t>
      </w:r>
      <w:r w:rsidR="00BB75D7" w:rsidRPr="009D2D0B">
        <w:rPr>
          <w:rFonts w:ascii="Times New Roman" w:hAnsi="Times New Roman" w:cs="Times New Roman"/>
          <w:sz w:val="22"/>
          <w:szCs w:val="22"/>
        </w:rPr>
        <w:t xml:space="preserve">. </w:t>
      </w:r>
      <w:r w:rsidR="004B602A" w:rsidRPr="009D2D0B">
        <w:rPr>
          <w:rFonts w:ascii="Times New Roman" w:hAnsi="Times New Roman" w:cs="Times New Roman"/>
          <w:sz w:val="22"/>
          <w:szCs w:val="22"/>
        </w:rPr>
        <w:t xml:space="preserve"> </w:t>
      </w:r>
      <w:r w:rsidR="00207B93" w:rsidRPr="009D2D0B">
        <w:rPr>
          <w:rFonts w:ascii="Times New Roman" w:hAnsi="Times New Roman" w:cs="Times New Roman"/>
          <w:sz w:val="22"/>
          <w:szCs w:val="22"/>
        </w:rPr>
        <w:t>T</w:t>
      </w:r>
      <w:r w:rsidR="00990D8D">
        <w:rPr>
          <w:rFonts w:ascii="Times New Roman" w:hAnsi="Times New Roman" w:cs="Times New Roman"/>
          <w:sz w:val="22"/>
          <w:szCs w:val="22"/>
        </w:rPr>
        <w:t>he</w:t>
      </w:r>
      <w:r w:rsidR="0041568D" w:rsidRPr="009D2D0B">
        <w:rPr>
          <w:rFonts w:ascii="Times New Roman" w:hAnsi="Times New Roman" w:cs="Times New Roman"/>
          <w:sz w:val="22"/>
          <w:szCs w:val="22"/>
        </w:rPr>
        <w:t xml:space="preserve"> Appraisal Committee has</w:t>
      </w:r>
      <w:r w:rsidR="00F33718" w:rsidRPr="009D2D0B">
        <w:rPr>
          <w:rFonts w:ascii="Times New Roman" w:hAnsi="Times New Roman" w:cs="Times New Roman"/>
          <w:sz w:val="22"/>
          <w:szCs w:val="22"/>
        </w:rPr>
        <w:t xml:space="preserve"> </w:t>
      </w:r>
      <w:r w:rsidR="00990D8D">
        <w:rPr>
          <w:rFonts w:ascii="Times New Roman" w:hAnsi="Times New Roman" w:cs="Times New Roman"/>
          <w:sz w:val="22"/>
          <w:szCs w:val="22"/>
        </w:rPr>
        <w:t xml:space="preserve">reached conservative and pessimistic conclusions because it has subjected the evidence </w:t>
      </w:r>
      <w:r w:rsidR="00610C69">
        <w:rPr>
          <w:rFonts w:ascii="Times New Roman" w:hAnsi="Times New Roman" w:cs="Times New Roman"/>
          <w:sz w:val="22"/>
          <w:szCs w:val="22"/>
        </w:rPr>
        <w:t xml:space="preserve">available </w:t>
      </w:r>
      <w:r w:rsidR="00990D8D">
        <w:rPr>
          <w:rFonts w:ascii="Times New Roman" w:hAnsi="Times New Roman" w:cs="Times New Roman"/>
          <w:sz w:val="22"/>
          <w:szCs w:val="22"/>
        </w:rPr>
        <w:t xml:space="preserve">to </w:t>
      </w:r>
      <w:r w:rsidR="00C800BC" w:rsidRPr="009D2D0B">
        <w:rPr>
          <w:rFonts w:ascii="Times New Roman" w:hAnsi="Times New Roman" w:cs="Times New Roman"/>
          <w:sz w:val="22"/>
          <w:szCs w:val="22"/>
        </w:rPr>
        <w:t xml:space="preserve">onerous and </w:t>
      </w:r>
      <w:r w:rsidR="00A07880" w:rsidRPr="009D2D0B">
        <w:rPr>
          <w:rFonts w:ascii="Times New Roman" w:hAnsi="Times New Roman" w:cs="Times New Roman"/>
          <w:sz w:val="22"/>
          <w:szCs w:val="22"/>
        </w:rPr>
        <w:t xml:space="preserve">sometimes </w:t>
      </w:r>
      <w:r w:rsidR="00CB5D21" w:rsidRPr="009D2D0B">
        <w:rPr>
          <w:rFonts w:ascii="Times New Roman" w:hAnsi="Times New Roman" w:cs="Times New Roman"/>
          <w:sz w:val="22"/>
          <w:szCs w:val="22"/>
        </w:rPr>
        <w:t>impossible</w:t>
      </w:r>
      <w:r w:rsidR="00096217">
        <w:rPr>
          <w:rFonts w:ascii="Times New Roman" w:hAnsi="Times New Roman" w:cs="Times New Roman"/>
          <w:sz w:val="22"/>
          <w:szCs w:val="22"/>
        </w:rPr>
        <w:t xml:space="preserve"> requirements</w:t>
      </w:r>
      <w:r w:rsidR="00C800BC" w:rsidRPr="009D2D0B">
        <w:rPr>
          <w:rFonts w:ascii="Times New Roman" w:hAnsi="Times New Roman" w:cs="Times New Roman"/>
          <w:sz w:val="22"/>
          <w:szCs w:val="22"/>
        </w:rPr>
        <w:t xml:space="preserve">, </w:t>
      </w:r>
      <w:r w:rsidR="0041568D" w:rsidRPr="009D2D0B">
        <w:rPr>
          <w:rFonts w:ascii="Times New Roman" w:hAnsi="Times New Roman" w:cs="Times New Roman"/>
          <w:sz w:val="22"/>
          <w:szCs w:val="22"/>
        </w:rPr>
        <w:t>w</w:t>
      </w:r>
      <w:r w:rsidR="00DA3F03" w:rsidRPr="009D2D0B">
        <w:rPr>
          <w:rFonts w:ascii="Times New Roman" w:hAnsi="Times New Roman" w:cs="Times New Roman"/>
          <w:sz w:val="22"/>
          <w:szCs w:val="22"/>
        </w:rPr>
        <w:t>ithout proper justification</w:t>
      </w:r>
      <w:r w:rsidR="0041568D" w:rsidRPr="009D2D0B">
        <w:rPr>
          <w:rFonts w:ascii="Times New Roman" w:hAnsi="Times New Roman" w:cs="Times New Roman"/>
          <w:sz w:val="22"/>
          <w:szCs w:val="22"/>
        </w:rPr>
        <w:t xml:space="preserve">.  </w:t>
      </w:r>
      <w:r w:rsidR="00EC0C1A">
        <w:rPr>
          <w:rFonts w:ascii="Times New Roman" w:hAnsi="Times New Roman" w:cs="Times New Roman"/>
          <w:sz w:val="22"/>
          <w:szCs w:val="22"/>
        </w:rPr>
        <w:t>The</w:t>
      </w:r>
      <w:r w:rsidR="00610C69">
        <w:rPr>
          <w:rFonts w:ascii="Times New Roman" w:hAnsi="Times New Roman" w:cs="Times New Roman"/>
          <w:sz w:val="22"/>
          <w:szCs w:val="22"/>
        </w:rPr>
        <w:t xml:space="preserve"> conclusions</w:t>
      </w:r>
      <w:r w:rsidR="00F33718" w:rsidRPr="009D2D0B">
        <w:rPr>
          <w:rFonts w:ascii="Times New Roman" w:hAnsi="Times New Roman" w:cs="Times New Roman"/>
          <w:sz w:val="22"/>
          <w:szCs w:val="22"/>
        </w:rPr>
        <w:t xml:space="preserve"> </w:t>
      </w:r>
      <w:r w:rsidR="00EC0C1A">
        <w:rPr>
          <w:rFonts w:ascii="Times New Roman" w:hAnsi="Times New Roman" w:cs="Times New Roman"/>
          <w:sz w:val="22"/>
          <w:szCs w:val="22"/>
        </w:rPr>
        <w:t xml:space="preserve">reached </w:t>
      </w:r>
      <w:r w:rsidR="00F33718" w:rsidRPr="009D2D0B">
        <w:rPr>
          <w:rFonts w:ascii="Times New Roman" w:hAnsi="Times New Roman" w:cs="Times New Roman"/>
          <w:sz w:val="22"/>
          <w:szCs w:val="22"/>
        </w:rPr>
        <w:t>are</w:t>
      </w:r>
      <w:r w:rsidR="00C07135" w:rsidRPr="009D2D0B">
        <w:rPr>
          <w:rFonts w:ascii="Times New Roman" w:hAnsi="Times New Roman" w:cs="Times New Roman"/>
          <w:sz w:val="22"/>
          <w:szCs w:val="22"/>
        </w:rPr>
        <w:t xml:space="preserve"> inconsistent with the</w:t>
      </w:r>
      <w:r w:rsidR="001F1A46" w:rsidRPr="009D2D0B">
        <w:rPr>
          <w:rFonts w:ascii="Times New Roman" w:hAnsi="Times New Roman" w:cs="Times New Roman"/>
          <w:sz w:val="22"/>
          <w:szCs w:val="22"/>
        </w:rPr>
        <w:t xml:space="preserve"> </w:t>
      </w:r>
      <w:r w:rsidR="00CB5D21" w:rsidRPr="009D2D0B">
        <w:rPr>
          <w:rFonts w:ascii="Times New Roman" w:hAnsi="Times New Roman" w:cs="Times New Roman"/>
          <w:sz w:val="22"/>
          <w:szCs w:val="22"/>
        </w:rPr>
        <w:t xml:space="preserve">type and </w:t>
      </w:r>
      <w:r w:rsidR="00C07135" w:rsidRPr="009D2D0B">
        <w:rPr>
          <w:rFonts w:ascii="Times New Roman" w:hAnsi="Times New Roman" w:cs="Times New Roman"/>
          <w:sz w:val="22"/>
          <w:szCs w:val="22"/>
        </w:rPr>
        <w:t xml:space="preserve">quality of the </w:t>
      </w:r>
      <w:r w:rsidR="001F1A46" w:rsidRPr="009D2D0B">
        <w:rPr>
          <w:rFonts w:ascii="Times New Roman" w:hAnsi="Times New Roman" w:cs="Times New Roman"/>
          <w:sz w:val="22"/>
          <w:szCs w:val="22"/>
        </w:rPr>
        <w:t xml:space="preserve">data </w:t>
      </w:r>
      <w:r w:rsidR="00C800BC" w:rsidRPr="009D2D0B">
        <w:rPr>
          <w:rFonts w:ascii="Times New Roman" w:hAnsi="Times New Roman" w:cs="Times New Roman"/>
          <w:sz w:val="22"/>
          <w:szCs w:val="22"/>
        </w:rPr>
        <w:t xml:space="preserve">submitted </w:t>
      </w:r>
      <w:r w:rsidR="00C07135" w:rsidRPr="009D2D0B">
        <w:rPr>
          <w:rFonts w:ascii="Times New Roman" w:hAnsi="Times New Roman" w:cs="Times New Roman"/>
          <w:sz w:val="22"/>
          <w:szCs w:val="22"/>
        </w:rPr>
        <w:t>and</w:t>
      </w:r>
      <w:r w:rsidR="00AA242B" w:rsidRPr="009D2D0B">
        <w:rPr>
          <w:rFonts w:ascii="Times New Roman" w:hAnsi="Times New Roman" w:cs="Times New Roman"/>
          <w:sz w:val="22"/>
          <w:szCs w:val="22"/>
        </w:rPr>
        <w:t xml:space="preserve"> the approach taken to similar </w:t>
      </w:r>
      <w:r w:rsidR="00CB5D21" w:rsidRPr="009D2D0B">
        <w:rPr>
          <w:rFonts w:ascii="Times New Roman" w:hAnsi="Times New Roman" w:cs="Times New Roman"/>
          <w:sz w:val="22"/>
          <w:szCs w:val="22"/>
        </w:rPr>
        <w:t xml:space="preserve">issues </w:t>
      </w:r>
      <w:r w:rsidR="00AA242B" w:rsidRPr="009D2D0B">
        <w:rPr>
          <w:rFonts w:ascii="Times New Roman" w:hAnsi="Times New Roman" w:cs="Times New Roman"/>
          <w:sz w:val="22"/>
          <w:szCs w:val="22"/>
        </w:rPr>
        <w:t>in</w:t>
      </w:r>
      <w:r w:rsidR="00B855DD" w:rsidRPr="009D2D0B">
        <w:rPr>
          <w:rFonts w:ascii="Times New Roman" w:hAnsi="Times New Roman" w:cs="Times New Roman"/>
          <w:sz w:val="22"/>
          <w:szCs w:val="22"/>
        </w:rPr>
        <w:t xml:space="preserve"> analogous appraisals</w:t>
      </w:r>
      <w:r w:rsidR="007D1932">
        <w:rPr>
          <w:rFonts w:ascii="Times New Roman" w:hAnsi="Times New Roman" w:cs="Times New Roman"/>
          <w:sz w:val="22"/>
          <w:szCs w:val="22"/>
        </w:rPr>
        <w:t>,</w:t>
      </w:r>
      <w:r w:rsidR="00B855DD" w:rsidRPr="009D2D0B">
        <w:rPr>
          <w:rFonts w:ascii="Times New Roman" w:hAnsi="Times New Roman" w:cs="Times New Roman"/>
          <w:sz w:val="22"/>
          <w:szCs w:val="22"/>
        </w:rPr>
        <w:t xml:space="preserve"> particularly TA525</w:t>
      </w:r>
      <w:r w:rsidR="00BB75D7" w:rsidRPr="009D2D0B">
        <w:rPr>
          <w:rFonts w:ascii="Times New Roman" w:hAnsi="Times New Roman" w:cs="Times New Roman"/>
          <w:sz w:val="22"/>
          <w:szCs w:val="22"/>
        </w:rPr>
        <w:t xml:space="preserve"> </w:t>
      </w:r>
      <w:r w:rsidR="00BB75D7" w:rsidRPr="009D2D0B">
        <w:rPr>
          <w:rFonts w:ascii="Times New Roman" w:hAnsi="Times New Roman" w:cs="Times New Roman"/>
          <w:sz w:val="22"/>
          <w:szCs w:val="22"/>
          <w:lang w:val="en-US"/>
        </w:rPr>
        <w:t>(</w:t>
      </w:r>
      <w:r w:rsidR="00174D38" w:rsidRPr="009D2D0B">
        <w:rPr>
          <w:rFonts w:ascii="Times New Roman" w:hAnsi="Times New Roman" w:cs="Times New Roman"/>
          <w:sz w:val="22"/>
          <w:szCs w:val="22"/>
        </w:rPr>
        <w:t>atezolizumab</w:t>
      </w:r>
      <w:r w:rsidR="00BB75D7" w:rsidRPr="009D2D0B">
        <w:rPr>
          <w:rFonts w:ascii="Times New Roman" w:hAnsi="Times New Roman" w:cs="Times New Roman"/>
          <w:sz w:val="22"/>
          <w:szCs w:val="22"/>
        </w:rPr>
        <w:t xml:space="preserve"> for locally advanced or metastatic urothelial carcinoma)</w:t>
      </w:r>
      <w:r w:rsidR="009F3FA1">
        <w:rPr>
          <w:rFonts w:ascii="Times New Roman" w:hAnsi="Times New Roman" w:cs="Times New Roman"/>
          <w:sz w:val="22"/>
          <w:szCs w:val="22"/>
        </w:rPr>
        <w:t xml:space="preserve">, </w:t>
      </w:r>
      <w:r w:rsidR="00AA31B6">
        <w:rPr>
          <w:rFonts w:ascii="Times New Roman" w:hAnsi="Times New Roman" w:cs="Times New Roman"/>
          <w:sz w:val="22"/>
          <w:szCs w:val="22"/>
        </w:rPr>
        <w:t>despite</w:t>
      </w:r>
      <w:r w:rsidR="009F3FA1">
        <w:rPr>
          <w:rFonts w:ascii="Times New Roman" w:hAnsi="Times New Roman" w:cs="Times New Roman"/>
          <w:sz w:val="22"/>
          <w:szCs w:val="22"/>
        </w:rPr>
        <w:t xml:space="preserve"> </w:t>
      </w:r>
      <w:r w:rsidR="00B618EF">
        <w:rPr>
          <w:rFonts w:ascii="Times New Roman" w:hAnsi="Times New Roman" w:cs="Times New Roman"/>
          <w:sz w:val="22"/>
          <w:szCs w:val="22"/>
        </w:rPr>
        <w:t xml:space="preserve">there being greater uncertainty in </w:t>
      </w:r>
      <w:r w:rsidR="009F3FA1">
        <w:rPr>
          <w:rFonts w:ascii="Times New Roman" w:hAnsi="Times New Roman" w:cs="Times New Roman"/>
          <w:sz w:val="22"/>
          <w:szCs w:val="22"/>
        </w:rPr>
        <w:t>the evidence for that product</w:t>
      </w:r>
      <w:r w:rsidR="00B855DD" w:rsidRPr="009D2D0B">
        <w:rPr>
          <w:rFonts w:ascii="Times New Roman" w:hAnsi="Times New Roman" w:cs="Times New Roman"/>
          <w:sz w:val="22"/>
          <w:szCs w:val="22"/>
        </w:rPr>
        <w:t>.</w:t>
      </w:r>
      <w:r w:rsidR="00C07135" w:rsidRPr="009D2D0B">
        <w:rPr>
          <w:rFonts w:ascii="Times New Roman" w:hAnsi="Times New Roman" w:cs="Times New Roman"/>
          <w:sz w:val="22"/>
          <w:szCs w:val="22"/>
        </w:rPr>
        <w:t xml:space="preserve">  </w:t>
      </w:r>
      <w:r w:rsidR="00780E82">
        <w:rPr>
          <w:rFonts w:ascii="Times New Roman" w:hAnsi="Times New Roman" w:cs="Times New Roman"/>
          <w:sz w:val="22"/>
          <w:szCs w:val="22"/>
        </w:rPr>
        <w:t xml:space="preserve">The Appraisal Committee’s </w:t>
      </w:r>
      <w:r w:rsidR="00DE73C6" w:rsidRPr="009D2D0B">
        <w:rPr>
          <w:rFonts w:ascii="Times New Roman" w:hAnsi="Times New Roman" w:cs="Times New Roman"/>
          <w:sz w:val="22"/>
          <w:szCs w:val="22"/>
        </w:rPr>
        <w:t xml:space="preserve">approach </w:t>
      </w:r>
      <w:r w:rsidR="00780E82">
        <w:rPr>
          <w:rFonts w:ascii="Times New Roman" w:hAnsi="Times New Roman" w:cs="Times New Roman"/>
          <w:sz w:val="22"/>
          <w:szCs w:val="22"/>
        </w:rPr>
        <w:t xml:space="preserve">is therefore </w:t>
      </w:r>
      <w:r w:rsidR="00A31E7B">
        <w:rPr>
          <w:rFonts w:ascii="Times New Roman" w:hAnsi="Times New Roman" w:cs="Times New Roman"/>
          <w:sz w:val="22"/>
          <w:szCs w:val="22"/>
        </w:rPr>
        <w:t xml:space="preserve">inequitable and </w:t>
      </w:r>
      <w:r w:rsidR="00DE73C6" w:rsidRPr="009D2D0B">
        <w:rPr>
          <w:rFonts w:ascii="Times New Roman" w:hAnsi="Times New Roman" w:cs="Times New Roman"/>
          <w:sz w:val="22"/>
          <w:szCs w:val="22"/>
        </w:rPr>
        <w:t>unfair</w:t>
      </w:r>
      <w:r w:rsidR="00A31E7B">
        <w:rPr>
          <w:rFonts w:ascii="Times New Roman" w:hAnsi="Times New Roman" w:cs="Times New Roman"/>
          <w:sz w:val="22"/>
          <w:szCs w:val="22"/>
        </w:rPr>
        <w:t>,</w:t>
      </w:r>
      <w:r w:rsidR="00DE73C6" w:rsidRPr="009D2D0B">
        <w:rPr>
          <w:rFonts w:ascii="Times New Roman" w:hAnsi="Times New Roman" w:cs="Times New Roman"/>
          <w:sz w:val="22"/>
          <w:szCs w:val="22"/>
        </w:rPr>
        <w:t xml:space="preserve"> and </w:t>
      </w:r>
      <w:r w:rsidR="00A31E7B">
        <w:rPr>
          <w:rFonts w:ascii="Times New Roman" w:hAnsi="Times New Roman" w:cs="Times New Roman"/>
          <w:sz w:val="22"/>
          <w:szCs w:val="22"/>
        </w:rPr>
        <w:t xml:space="preserve">inevitably </w:t>
      </w:r>
      <w:r w:rsidR="00602678" w:rsidRPr="009D2D0B">
        <w:rPr>
          <w:rFonts w:ascii="Times New Roman" w:hAnsi="Times New Roman" w:cs="Times New Roman"/>
          <w:sz w:val="22"/>
          <w:szCs w:val="22"/>
        </w:rPr>
        <w:t xml:space="preserve">results in </w:t>
      </w:r>
      <w:r w:rsidR="00DE73C6" w:rsidRPr="009D2D0B">
        <w:rPr>
          <w:rFonts w:ascii="Times New Roman" w:hAnsi="Times New Roman" w:cs="Times New Roman"/>
          <w:sz w:val="22"/>
          <w:szCs w:val="22"/>
        </w:rPr>
        <w:t xml:space="preserve">an </w:t>
      </w:r>
      <w:r w:rsidR="00610C69">
        <w:rPr>
          <w:rFonts w:ascii="Times New Roman" w:hAnsi="Times New Roman" w:cs="Times New Roman"/>
          <w:sz w:val="22"/>
          <w:szCs w:val="22"/>
        </w:rPr>
        <w:t xml:space="preserve">unreasonable </w:t>
      </w:r>
      <w:r w:rsidR="00C800BC" w:rsidRPr="009D2D0B">
        <w:rPr>
          <w:rFonts w:ascii="Times New Roman" w:hAnsi="Times New Roman" w:cs="Times New Roman"/>
          <w:sz w:val="22"/>
          <w:szCs w:val="22"/>
        </w:rPr>
        <w:t>cost-effectiveness</w:t>
      </w:r>
      <w:r w:rsidR="00BB75D7" w:rsidRPr="009D2D0B">
        <w:rPr>
          <w:rFonts w:ascii="Times New Roman" w:hAnsi="Times New Roman" w:cs="Times New Roman"/>
          <w:sz w:val="22"/>
          <w:szCs w:val="22"/>
        </w:rPr>
        <w:t xml:space="preserve"> </w:t>
      </w:r>
      <w:r w:rsidR="00CB5D21" w:rsidRPr="009D2D0B">
        <w:rPr>
          <w:rFonts w:ascii="Times New Roman" w:hAnsi="Times New Roman" w:cs="Times New Roman"/>
          <w:sz w:val="22"/>
          <w:szCs w:val="22"/>
        </w:rPr>
        <w:t>assessment</w:t>
      </w:r>
      <w:r w:rsidR="00DA3F03" w:rsidRPr="009D2D0B">
        <w:rPr>
          <w:rFonts w:ascii="Times New Roman" w:hAnsi="Times New Roman" w:cs="Times New Roman"/>
          <w:sz w:val="22"/>
          <w:szCs w:val="22"/>
        </w:rPr>
        <w:t xml:space="preserve">.  </w:t>
      </w:r>
      <w:r w:rsidR="00610C69">
        <w:rPr>
          <w:rFonts w:ascii="Times New Roman" w:hAnsi="Times New Roman" w:cs="Times New Roman"/>
          <w:sz w:val="22"/>
          <w:szCs w:val="22"/>
        </w:rPr>
        <w:t>Because of that, m</w:t>
      </w:r>
      <w:r w:rsidR="0020100E" w:rsidRPr="009D2D0B">
        <w:rPr>
          <w:rFonts w:ascii="Times New Roman" w:hAnsi="Times New Roman" w:cs="Times New Roman"/>
          <w:sz w:val="22"/>
          <w:szCs w:val="22"/>
        </w:rPr>
        <w:t>any of the arguments made under Grounds 1a and 2 are interconnected</w:t>
      </w:r>
      <w:r w:rsidR="00AA242B" w:rsidRPr="009D2D0B">
        <w:rPr>
          <w:rFonts w:ascii="Times New Roman" w:hAnsi="Times New Roman" w:cs="Times New Roman"/>
          <w:sz w:val="22"/>
          <w:szCs w:val="22"/>
        </w:rPr>
        <w:t xml:space="preserve"> </w:t>
      </w:r>
      <w:r w:rsidR="004813B3" w:rsidRPr="009D2D0B">
        <w:rPr>
          <w:rFonts w:ascii="Times New Roman" w:hAnsi="Times New Roman" w:cs="Times New Roman"/>
          <w:sz w:val="22"/>
          <w:szCs w:val="22"/>
        </w:rPr>
        <w:t>and we have</w:t>
      </w:r>
      <w:r w:rsidR="001956C5" w:rsidRPr="009D2D0B">
        <w:rPr>
          <w:rFonts w:ascii="Times New Roman" w:hAnsi="Times New Roman" w:cs="Times New Roman"/>
          <w:sz w:val="22"/>
          <w:szCs w:val="22"/>
        </w:rPr>
        <w:t xml:space="preserve"> structure</w:t>
      </w:r>
      <w:r w:rsidR="004813B3" w:rsidRPr="009D2D0B">
        <w:rPr>
          <w:rFonts w:ascii="Times New Roman" w:hAnsi="Times New Roman" w:cs="Times New Roman"/>
          <w:sz w:val="22"/>
          <w:szCs w:val="22"/>
        </w:rPr>
        <w:t>d</w:t>
      </w:r>
      <w:r w:rsidR="001956C5" w:rsidRPr="009D2D0B">
        <w:rPr>
          <w:rFonts w:ascii="Times New Roman" w:hAnsi="Times New Roman" w:cs="Times New Roman"/>
          <w:sz w:val="22"/>
          <w:szCs w:val="22"/>
        </w:rPr>
        <w:t xml:space="preserve"> the Grounds to demonstrate this</w:t>
      </w:r>
      <w:r w:rsidR="00BB75D7" w:rsidRPr="009D2D0B">
        <w:rPr>
          <w:rFonts w:ascii="Times New Roman" w:hAnsi="Times New Roman" w:cs="Times New Roman"/>
          <w:sz w:val="22"/>
          <w:szCs w:val="22"/>
        </w:rPr>
        <w:t xml:space="preserve"> as clearly as possible</w:t>
      </w:r>
      <w:r w:rsidR="001956C5" w:rsidRPr="009D2D0B">
        <w:rPr>
          <w:rFonts w:ascii="Times New Roman" w:hAnsi="Times New Roman" w:cs="Times New Roman"/>
          <w:sz w:val="22"/>
          <w:szCs w:val="22"/>
        </w:rPr>
        <w:t>.</w:t>
      </w:r>
    </w:p>
    <w:p w14:paraId="47555E67" w14:textId="77777777" w:rsidR="001956C5" w:rsidRPr="009D2D0B" w:rsidRDefault="001956C5" w:rsidP="001950E5">
      <w:pPr>
        <w:jc w:val="both"/>
        <w:rPr>
          <w:rFonts w:ascii="Times New Roman" w:hAnsi="Times New Roman" w:cs="Times New Roman"/>
          <w:sz w:val="22"/>
          <w:szCs w:val="22"/>
        </w:rPr>
      </w:pPr>
    </w:p>
    <w:p w14:paraId="311361FF" w14:textId="661521BC" w:rsidR="002713AB" w:rsidRDefault="009F3FA1" w:rsidP="003820FD">
      <w:pPr>
        <w:pStyle w:val="BodyText"/>
        <w:contextualSpacing/>
        <w:jc w:val="both"/>
        <w:rPr>
          <w:rFonts w:ascii="Times New Roman" w:hAnsi="Times New Roman" w:cs="Times New Roman"/>
          <w:sz w:val="22"/>
          <w:szCs w:val="22"/>
        </w:rPr>
      </w:pPr>
      <w:r w:rsidRPr="024B4842">
        <w:rPr>
          <w:rFonts w:ascii="Times New Roman" w:hAnsi="Times New Roman" w:cs="Times New Roman"/>
          <w:sz w:val="22"/>
          <w:szCs w:val="22"/>
        </w:rPr>
        <w:t xml:space="preserve">We also </w:t>
      </w:r>
      <w:r w:rsidR="00B855DD" w:rsidRPr="024B4842">
        <w:rPr>
          <w:rFonts w:ascii="Times New Roman" w:hAnsi="Times New Roman" w:cs="Times New Roman"/>
          <w:sz w:val="22"/>
          <w:szCs w:val="22"/>
        </w:rPr>
        <w:t xml:space="preserve">urge the Appeal Panel not to lose sight of the wider context of this appeal.  </w:t>
      </w:r>
      <w:r w:rsidR="00F85487" w:rsidRPr="024B4842">
        <w:rPr>
          <w:rFonts w:ascii="Times New Roman" w:hAnsi="Times New Roman" w:cs="Times New Roman"/>
          <w:sz w:val="22"/>
          <w:szCs w:val="22"/>
        </w:rPr>
        <w:t>Pembrolizumab is</w:t>
      </w:r>
      <w:r w:rsidR="00AA31B6" w:rsidRPr="024B4842">
        <w:rPr>
          <w:rFonts w:ascii="Times New Roman" w:hAnsi="Times New Roman" w:cs="Times New Roman"/>
          <w:sz w:val="22"/>
          <w:szCs w:val="22"/>
        </w:rPr>
        <w:t xml:space="preserve"> a</w:t>
      </w:r>
      <w:r w:rsidR="00F85487" w:rsidRPr="024B4842">
        <w:rPr>
          <w:rFonts w:ascii="Times New Roman" w:hAnsi="Times New Roman" w:cs="Times New Roman"/>
          <w:sz w:val="22"/>
          <w:szCs w:val="22"/>
        </w:rPr>
        <w:t xml:space="preserve"> life-extending and life-improving immunotherapy.  </w:t>
      </w:r>
      <w:r w:rsidR="00EA33AC" w:rsidRPr="024B4842">
        <w:rPr>
          <w:rFonts w:ascii="Times New Roman" w:hAnsi="Times New Roman" w:cs="Times New Roman"/>
          <w:sz w:val="22"/>
          <w:szCs w:val="22"/>
        </w:rPr>
        <w:t xml:space="preserve">It </w:t>
      </w:r>
      <w:r w:rsidR="00F27A2A" w:rsidRPr="024B4842">
        <w:rPr>
          <w:rFonts w:ascii="Times New Roman" w:hAnsi="Times New Roman" w:cs="Times New Roman"/>
          <w:sz w:val="22"/>
          <w:szCs w:val="22"/>
        </w:rPr>
        <w:t xml:space="preserve">is one of two </w:t>
      </w:r>
      <w:r w:rsidRPr="024B4842">
        <w:rPr>
          <w:rFonts w:ascii="Times New Roman" w:hAnsi="Times New Roman" w:cs="Times New Roman"/>
          <w:sz w:val="22"/>
          <w:szCs w:val="22"/>
        </w:rPr>
        <w:t xml:space="preserve">immune checkpoint </w:t>
      </w:r>
      <w:r w:rsidR="00193DC3" w:rsidRPr="024B4842">
        <w:rPr>
          <w:sz w:val="22"/>
          <w:szCs w:val="22"/>
        </w:rPr>
        <w:t>monoclonal antibodies indicated for the treatment of locally advanced or metastatic urothelial carcinoma</w:t>
      </w:r>
      <w:r w:rsidRPr="024B4842">
        <w:rPr>
          <w:sz w:val="22"/>
          <w:szCs w:val="22"/>
        </w:rPr>
        <w:t>, both of which</w:t>
      </w:r>
      <w:r w:rsidR="00193DC3" w:rsidRPr="024B4842">
        <w:rPr>
          <w:sz w:val="22"/>
          <w:szCs w:val="22"/>
        </w:rPr>
        <w:t xml:space="preserve"> </w:t>
      </w:r>
      <w:r w:rsidR="74215F68" w:rsidRPr="024B4842">
        <w:rPr>
          <w:sz w:val="22"/>
          <w:szCs w:val="22"/>
        </w:rPr>
        <w:t>block signalling through the PD-1/PD-L1 axis</w:t>
      </w:r>
      <w:r w:rsidR="00193DC3" w:rsidRPr="024B4842">
        <w:rPr>
          <w:sz w:val="22"/>
          <w:szCs w:val="22"/>
        </w:rPr>
        <w:t xml:space="preserve">.  The other product is </w:t>
      </w:r>
      <w:r w:rsidR="00CA1E13" w:rsidRPr="024B4842">
        <w:rPr>
          <w:rFonts w:ascii="Times New Roman" w:hAnsi="Times New Roman" w:cs="Times New Roman"/>
          <w:sz w:val="22"/>
          <w:szCs w:val="22"/>
        </w:rPr>
        <w:t>atezolizumab</w:t>
      </w:r>
      <w:r w:rsidR="00193DC3" w:rsidRPr="024B4842">
        <w:rPr>
          <w:rFonts w:ascii="Times New Roman" w:hAnsi="Times New Roman" w:cs="Times New Roman"/>
          <w:sz w:val="22"/>
          <w:szCs w:val="22"/>
        </w:rPr>
        <w:t xml:space="preserve">, </w:t>
      </w:r>
      <w:r w:rsidR="32820251" w:rsidRPr="024B4842">
        <w:rPr>
          <w:rFonts w:ascii="Times New Roman" w:hAnsi="Times New Roman" w:cs="Times New Roman"/>
          <w:sz w:val="22"/>
          <w:szCs w:val="22"/>
        </w:rPr>
        <w:t>a monoclonal antibody that inhibits pr</w:t>
      </w:r>
      <w:r w:rsidR="00351DB4">
        <w:rPr>
          <w:rFonts w:ascii="Times New Roman" w:hAnsi="Times New Roman" w:cs="Times New Roman"/>
          <w:sz w:val="22"/>
          <w:szCs w:val="22"/>
        </w:rPr>
        <w:t xml:space="preserve">ogrammed death ligand-1 </w:t>
      </w:r>
      <w:r w:rsidR="7A8F5C48" w:rsidRPr="024B4842">
        <w:rPr>
          <w:rFonts w:ascii="Times New Roman" w:hAnsi="Times New Roman" w:cs="Times New Roman"/>
          <w:sz w:val="22"/>
          <w:szCs w:val="22"/>
        </w:rPr>
        <w:t xml:space="preserve">(PD-L1), </w:t>
      </w:r>
      <w:r w:rsidR="00193DC3" w:rsidRPr="024B4842">
        <w:rPr>
          <w:rFonts w:ascii="Times New Roman" w:hAnsi="Times New Roman" w:cs="Times New Roman"/>
          <w:sz w:val="22"/>
          <w:szCs w:val="22"/>
        </w:rPr>
        <w:t xml:space="preserve">which was assessed and recommended following TA525.  </w:t>
      </w:r>
      <w:r w:rsidR="0050760F">
        <w:rPr>
          <w:rFonts w:ascii="Times New Roman" w:hAnsi="Times New Roman" w:cs="Times New Roman"/>
          <w:sz w:val="22"/>
          <w:szCs w:val="22"/>
        </w:rPr>
        <w:t xml:space="preserve">Both products are checkpoint inhibiting immunotherapies.  </w:t>
      </w:r>
      <w:r w:rsidR="005D20FE">
        <w:rPr>
          <w:rFonts w:ascii="Times New Roman" w:hAnsi="Times New Roman" w:cs="Times New Roman"/>
          <w:sz w:val="22"/>
          <w:szCs w:val="22"/>
        </w:rPr>
        <w:t xml:space="preserve">They </w:t>
      </w:r>
      <w:r w:rsidR="008765BE" w:rsidRPr="024B4842">
        <w:rPr>
          <w:rFonts w:ascii="Times New Roman" w:hAnsi="Times New Roman" w:cs="Times New Roman"/>
          <w:sz w:val="22"/>
          <w:szCs w:val="22"/>
        </w:rPr>
        <w:t>work</w:t>
      </w:r>
      <w:r w:rsidR="00174D38" w:rsidRPr="024B4842">
        <w:rPr>
          <w:rFonts w:ascii="Times New Roman" w:hAnsi="Times New Roman" w:cs="Times New Roman"/>
          <w:sz w:val="22"/>
          <w:szCs w:val="22"/>
        </w:rPr>
        <w:t xml:space="preserve"> through the same overall pathway</w:t>
      </w:r>
      <w:r w:rsidR="00750B50" w:rsidRPr="024B4842">
        <w:rPr>
          <w:rFonts w:ascii="Times New Roman" w:hAnsi="Times New Roman" w:cs="Times New Roman"/>
          <w:sz w:val="22"/>
          <w:szCs w:val="22"/>
        </w:rPr>
        <w:t xml:space="preserve"> and are indicated to </w:t>
      </w:r>
      <w:r w:rsidR="00193DC3" w:rsidRPr="024B4842">
        <w:rPr>
          <w:sz w:val="22"/>
          <w:szCs w:val="22"/>
        </w:rPr>
        <w:t xml:space="preserve">treat the same patient population. </w:t>
      </w:r>
      <w:r w:rsidR="00610C69" w:rsidRPr="024B4842">
        <w:rPr>
          <w:sz w:val="22"/>
          <w:szCs w:val="22"/>
        </w:rPr>
        <w:t xml:space="preserve"> </w:t>
      </w:r>
      <w:r w:rsidR="00193DC3" w:rsidRPr="024B4842">
        <w:rPr>
          <w:sz w:val="22"/>
          <w:szCs w:val="22"/>
        </w:rPr>
        <w:t xml:space="preserve">There are also clear parallels in </w:t>
      </w:r>
      <w:r w:rsidRPr="024B4842">
        <w:rPr>
          <w:sz w:val="22"/>
          <w:szCs w:val="22"/>
        </w:rPr>
        <w:t xml:space="preserve">the nature </w:t>
      </w:r>
      <w:r w:rsidR="00193DC3" w:rsidRPr="024B4842">
        <w:rPr>
          <w:sz w:val="22"/>
          <w:szCs w:val="22"/>
        </w:rPr>
        <w:t>of the data presented during their respective technology appraisals</w:t>
      </w:r>
      <w:r w:rsidR="009D2D0B" w:rsidRPr="024B4842">
        <w:rPr>
          <w:sz w:val="22"/>
          <w:szCs w:val="22"/>
        </w:rPr>
        <w:t xml:space="preserve">, </w:t>
      </w:r>
      <w:r w:rsidR="009D2D0B" w:rsidRPr="024B4842">
        <w:rPr>
          <w:i/>
          <w:iCs/>
          <w:sz w:val="22"/>
          <w:szCs w:val="22"/>
        </w:rPr>
        <w:t>i.e.</w:t>
      </w:r>
      <w:r w:rsidR="009D2D0B" w:rsidRPr="024B4842">
        <w:rPr>
          <w:sz w:val="22"/>
          <w:szCs w:val="22"/>
        </w:rPr>
        <w:t xml:space="preserve"> similarly </w:t>
      </w:r>
      <w:r w:rsidR="00193DC3" w:rsidRPr="024B4842">
        <w:rPr>
          <w:sz w:val="22"/>
          <w:szCs w:val="22"/>
        </w:rPr>
        <w:t>sized open-label, randomised controlled trials versus the standard of care (</w:t>
      </w:r>
      <w:r w:rsidR="00193DC3" w:rsidRPr="024B4842">
        <w:rPr>
          <w:i/>
          <w:iCs/>
          <w:sz w:val="22"/>
          <w:szCs w:val="22"/>
        </w:rPr>
        <w:t>i.e.</w:t>
      </w:r>
      <w:r w:rsidR="00193DC3" w:rsidRPr="024B4842">
        <w:rPr>
          <w:sz w:val="22"/>
          <w:szCs w:val="22"/>
        </w:rPr>
        <w:t>, investigators</w:t>
      </w:r>
      <w:r w:rsidR="00F06C85">
        <w:rPr>
          <w:sz w:val="22"/>
          <w:szCs w:val="22"/>
        </w:rPr>
        <w:t>’</w:t>
      </w:r>
      <w:r w:rsidR="00193DC3" w:rsidRPr="024B4842">
        <w:rPr>
          <w:sz w:val="22"/>
          <w:szCs w:val="22"/>
        </w:rPr>
        <w:t xml:space="preserve"> choice of vinflunine, docetaxel or paclitaxel).  </w:t>
      </w:r>
      <w:r w:rsidR="0031436D" w:rsidRPr="024B4842">
        <w:rPr>
          <w:sz w:val="22"/>
          <w:szCs w:val="22"/>
        </w:rPr>
        <w:t>Where they differ, h</w:t>
      </w:r>
      <w:r w:rsidR="00193DC3" w:rsidRPr="024B4842">
        <w:rPr>
          <w:sz w:val="22"/>
          <w:szCs w:val="22"/>
        </w:rPr>
        <w:t xml:space="preserve">owever, </w:t>
      </w:r>
      <w:r w:rsidR="0031436D" w:rsidRPr="024B4842">
        <w:rPr>
          <w:sz w:val="22"/>
          <w:szCs w:val="22"/>
        </w:rPr>
        <w:t>is</w:t>
      </w:r>
      <w:r w:rsidR="00B618EF" w:rsidRPr="024B4842">
        <w:rPr>
          <w:sz w:val="22"/>
          <w:szCs w:val="22"/>
        </w:rPr>
        <w:t xml:space="preserve"> that</w:t>
      </w:r>
      <w:r w:rsidR="0031436D" w:rsidRPr="024B4842">
        <w:rPr>
          <w:sz w:val="22"/>
          <w:szCs w:val="22"/>
        </w:rPr>
        <w:t xml:space="preserve"> </w:t>
      </w:r>
      <w:r w:rsidR="00193DC3" w:rsidRPr="024B4842">
        <w:rPr>
          <w:sz w:val="22"/>
          <w:szCs w:val="22"/>
        </w:rPr>
        <w:t xml:space="preserve">the data for pembrolizumab </w:t>
      </w:r>
      <w:r w:rsidR="0031436D" w:rsidRPr="024B4842">
        <w:rPr>
          <w:sz w:val="22"/>
          <w:szCs w:val="22"/>
        </w:rPr>
        <w:t>are</w:t>
      </w:r>
      <w:r w:rsidR="002713AB" w:rsidRPr="024B4842">
        <w:rPr>
          <w:sz w:val="22"/>
          <w:szCs w:val="22"/>
        </w:rPr>
        <w:t xml:space="preserve"> more robust</w:t>
      </w:r>
      <w:r w:rsidR="00EA33AC" w:rsidRPr="024B4842">
        <w:rPr>
          <w:sz w:val="22"/>
          <w:szCs w:val="22"/>
        </w:rPr>
        <w:t xml:space="preserve">, with a longer duration of follow-up. </w:t>
      </w:r>
      <w:r w:rsidR="00902C93">
        <w:rPr>
          <w:sz w:val="22"/>
          <w:szCs w:val="22"/>
        </w:rPr>
        <w:t xml:space="preserve"> </w:t>
      </w:r>
      <w:r w:rsidR="00FF6582" w:rsidRPr="00FF6582">
        <w:rPr>
          <w:sz w:val="22"/>
          <w:szCs w:val="22"/>
        </w:rPr>
        <w:t>Moreover, atezolizumab failed to meet its primary outcome in patients with PD-L1 expression ≥ 5%, thus precluding further formal statistical analysis in patients with PD-L1 expression ≥ 1% or the overall study population</w:t>
      </w:r>
      <w:r w:rsidR="002713AB" w:rsidRPr="024B4842">
        <w:rPr>
          <w:sz w:val="22"/>
          <w:szCs w:val="22"/>
        </w:rPr>
        <w:t xml:space="preserve">. </w:t>
      </w:r>
      <w:r w:rsidR="00D67408" w:rsidRPr="024B4842">
        <w:rPr>
          <w:sz w:val="22"/>
          <w:szCs w:val="22"/>
        </w:rPr>
        <w:t xml:space="preserve"> </w:t>
      </w:r>
      <w:r w:rsidR="002037E3" w:rsidRPr="024B4842">
        <w:rPr>
          <w:sz w:val="22"/>
          <w:szCs w:val="22"/>
        </w:rPr>
        <w:t>As discussed further in this appeal</w:t>
      </w:r>
      <w:r w:rsidR="008A21CB" w:rsidRPr="024B4842">
        <w:rPr>
          <w:sz w:val="22"/>
          <w:szCs w:val="22"/>
        </w:rPr>
        <w:t xml:space="preserve"> letter</w:t>
      </w:r>
      <w:r w:rsidR="002037E3" w:rsidRPr="024B4842">
        <w:rPr>
          <w:sz w:val="22"/>
          <w:szCs w:val="22"/>
        </w:rPr>
        <w:t>, m</w:t>
      </w:r>
      <w:r w:rsidR="00CB5D21" w:rsidRPr="024B4842">
        <w:rPr>
          <w:rFonts w:ascii="Times New Roman" w:hAnsi="Times New Roman" w:cs="Times New Roman"/>
          <w:sz w:val="22"/>
          <w:szCs w:val="22"/>
        </w:rPr>
        <w:t>ost</w:t>
      </w:r>
      <w:r w:rsidR="00E75009" w:rsidRPr="024B4842">
        <w:rPr>
          <w:rFonts w:ascii="Times New Roman" w:hAnsi="Times New Roman" w:cs="Times New Roman"/>
          <w:sz w:val="22"/>
          <w:szCs w:val="22"/>
        </w:rPr>
        <w:t xml:space="preserve"> clinicians </w:t>
      </w:r>
      <w:r w:rsidR="002713AB" w:rsidRPr="024B4842">
        <w:rPr>
          <w:rFonts w:ascii="Times New Roman" w:hAnsi="Times New Roman" w:cs="Times New Roman"/>
          <w:sz w:val="22"/>
          <w:szCs w:val="22"/>
        </w:rPr>
        <w:t xml:space="preserve">therefore </w:t>
      </w:r>
      <w:r w:rsidR="00E75009" w:rsidRPr="024B4842">
        <w:rPr>
          <w:rFonts w:ascii="Times New Roman" w:hAnsi="Times New Roman" w:cs="Times New Roman"/>
          <w:sz w:val="22"/>
          <w:szCs w:val="22"/>
        </w:rPr>
        <w:t xml:space="preserve">prefer pembrolizumab over atezolizumab because the study data for pembrolizumab </w:t>
      </w:r>
      <w:r w:rsidR="0031436D" w:rsidRPr="024B4842">
        <w:rPr>
          <w:rFonts w:ascii="Times New Roman" w:hAnsi="Times New Roman" w:cs="Times New Roman"/>
          <w:sz w:val="22"/>
          <w:szCs w:val="22"/>
        </w:rPr>
        <w:t>are</w:t>
      </w:r>
      <w:r w:rsidR="00E75009" w:rsidRPr="024B4842">
        <w:rPr>
          <w:rFonts w:ascii="Times New Roman" w:hAnsi="Times New Roman" w:cs="Times New Roman"/>
          <w:sz w:val="22"/>
          <w:szCs w:val="22"/>
        </w:rPr>
        <w:t xml:space="preserve"> of </w:t>
      </w:r>
      <w:r w:rsidR="00F209AF" w:rsidRPr="024B4842">
        <w:rPr>
          <w:rFonts w:ascii="Times New Roman" w:hAnsi="Times New Roman" w:cs="Times New Roman"/>
          <w:sz w:val="22"/>
          <w:szCs w:val="22"/>
        </w:rPr>
        <w:t xml:space="preserve">better </w:t>
      </w:r>
      <w:r w:rsidR="00E75009" w:rsidRPr="024B4842">
        <w:rPr>
          <w:rFonts w:ascii="Times New Roman" w:hAnsi="Times New Roman" w:cs="Times New Roman"/>
          <w:sz w:val="22"/>
          <w:szCs w:val="22"/>
        </w:rPr>
        <w:t>quality and suggest improved outcomes</w:t>
      </w:r>
      <w:r w:rsidR="00F209AF" w:rsidRPr="024B4842">
        <w:rPr>
          <w:rFonts w:ascii="Times New Roman" w:hAnsi="Times New Roman" w:cs="Times New Roman"/>
          <w:sz w:val="22"/>
          <w:szCs w:val="22"/>
        </w:rPr>
        <w:t xml:space="preserve"> and survival prospects</w:t>
      </w:r>
      <w:r w:rsidR="00A77EF1" w:rsidRPr="024B4842">
        <w:rPr>
          <w:rFonts w:ascii="Times New Roman" w:hAnsi="Times New Roman" w:cs="Times New Roman"/>
          <w:sz w:val="22"/>
          <w:szCs w:val="22"/>
        </w:rPr>
        <w:t xml:space="preserve">. </w:t>
      </w:r>
    </w:p>
    <w:p w14:paraId="4FA33F8A" w14:textId="77777777" w:rsidR="00C80B94" w:rsidRDefault="00C80B94" w:rsidP="003820FD">
      <w:pPr>
        <w:pStyle w:val="BodyText"/>
        <w:contextualSpacing/>
        <w:jc w:val="both"/>
        <w:rPr>
          <w:rFonts w:ascii="Times New Roman" w:hAnsi="Times New Roman" w:cs="Times New Roman"/>
          <w:sz w:val="22"/>
          <w:szCs w:val="22"/>
        </w:rPr>
      </w:pPr>
    </w:p>
    <w:p w14:paraId="7E1C83FF" w14:textId="36578467" w:rsidR="00C80B94" w:rsidRDefault="002713AB" w:rsidP="003820FD">
      <w:pPr>
        <w:pStyle w:val="BodyText"/>
        <w:contextualSpacing/>
        <w:jc w:val="both"/>
        <w:rPr>
          <w:rFonts w:ascii="Times New Roman" w:hAnsi="Times New Roman" w:cs="Times New Roman"/>
          <w:sz w:val="22"/>
          <w:szCs w:val="22"/>
        </w:rPr>
      </w:pPr>
      <w:r w:rsidRPr="024B4842">
        <w:rPr>
          <w:rFonts w:ascii="Times New Roman" w:hAnsi="Times New Roman" w:cs="Times New Roman"/>
          <w:sz w:val="22"/>
          <w:szCs w:val="22"/>
        </w:rPr>
        <w:t xml:space="preserve">While we understand that NICE is not bound to conduct HTAs </w:t>
      </w:r>
      <w:r w:rsidR="00C80B94" w:rsidRPr="024B4842">
        <w:rPr>
          <w:rFonts w:ascii="Times New Roman" w:hAnsi="Times New Roman" w:cs="Times New Roman"/>
          <w:sz w:val="22"/>
          <w:szCs w:val="22"/>
        </w:rPr>
        <w:t>in the same way</w:t>
      </w:r>
      <w:r w:rsidRPr="024B4842">
        <w:rPr>
          <w:rFonts w:ascii="Times New Roman" w:hAnsi="Times New Roman" w:cs="Times New Roman"/>
          <w:sz w:val="22"/>
          <w:szCs w:val="22"/>
        </w:rPr>
        <w:t xml:space="preserve">, </w:t>
      </w:r>
      <w:r w:rsidR="008A0364" w:rsidRPr="024B4842">
        <w:rPr>
          <w:rFonts w:ascii="Times New Roman" w:hAnsi="Times New Roman" w:cs="Times New Roman"/>
          <w:sz w:val="22"/>
          <w:szCs w:val="22"/>
        </w:rPr>
        <w:t>the Methods Guide requires that Appraisal Committees strive for consistency</w:t>
      </w:r>
      <w:r w:rsidR="004C6BC3">
        <w:rPr>
          <w:rFonts w:ascii="Times New Roman" w:hAnsi="Times New Roman" w:cs="Times New Roman"/>
          <w:sz w:val="22"/>
          <w:szCs w:val="22"/>
        </w:rPr>
        <w:t>,</w:t>
      </w:r>
      <w:r w:rsidR="00DD5065" w:rsidRPr="024B4842">
        <w:rPr>
          <w:rFonts w:ascii="Times New Roman" w:hAnsi="Times New Roman" w:cs="Times New Roman"/>
          <w:sz w:val="22"/>
          <w:szCs w:val="22"/>
        </w:rPr>
        <w:t xml:space="preserve"> particularly in the approach taken to</w:t>
      </w:r>
      <w:r w:rsidR="00A8693F" w:rsidRPr="024B4842">
        <w:rPr>
          <w:rFonts w:ascii="Times New Roman" w:hAnsi="Times New Roman" w:cs="Times New Roman"/>
          <w:sz w:val="22"/>
          <w:szCs w:val="22"/>
        </w:rPr>
        <w:t xml:space="preserve"> assessing</w:t>
      </w:r>
      <w:r w:rsidR="00DD5065" w:rsidRPr="024B4842">
        <w:rPr>
          <w:rFonts w:ascii="Times New Roman" w:hAnsi="Times New Roman" w:cs="Times New Roman"/>
          <w:sz w:val="22"/>
          <w:szCs w:val="22"/>
        </w:rPr>
        <w:t xml:space="preserve"> cost-effectiveness</w:t>
      </w:r>
      <w:r w:rsidR="008A0364" w:rsidRPr="024B4842">
        <w:rPr>
          <w:rFonts w:ascii="Times New Roman" w:hAnsi="Times New Roman" w:cs="Times New Roman"/>
          <w:sz w:val="22"/>
          <w:szCs w:val="22"/>
        </w:rPr>
        <w:t xml:space="preserve">.  </w:t>
      </w:r>
      <w:r w:rsidR="00A8693F" w:rsidRPr="024B4842">
        <w:rPr>
          <w:rFonts w:ascii="Times New Roman" w:hAnsi="Times New Roman" w:cs="Times New Roman"/>
          <w:sz w:val="22"/>
          <w:szCs w:val="22"/>
        </w:rPr>
        <w:t xml:space="preserve">We </w:t>
      </w:r>
      <w:r w:rsidR="008A21CB" w:rsidRPr="024B4842">
        <w:rPr>
          <w:rFonts w:ascii="Times New Roman" w:hAnsi="Times New Roman" w:cs="Times New Roman"/>
          <w:sz w:val="22"/>
          <w:szCs w:val="22"/>
        </w:rPr>
        <w:t xml:space="preserve">respect the fact </w:t>
      </w:r>
      <w:r w:rsidR="00A8693F" w:rsidRPr="024B4842">
        <w:rPr>
          <w:rFonts w:ascii="Times New Roman" w:hAnsi="Times New Roman" w:cs="Times New Roman"/>
          <w:sz w:val="22"/>
          <w:szCs w:val="22"/>
        </w:rPr>
        <w:t xml:space="preserve">that different Appraisal Committees may choose to take different approaches, or that differences in the quality and robustness of the </w:t>
      </w:r>
      <w:r w:rsidR="008A21CB" w:rsidRPr="024B4842">
        <w:rPr>
          <w:rFonts w:ascii="Times New Roman" w:hAnsi="Times New Roman" w:cs="Times New Roman"/>
          <w:sz w:val="22"/>
          <w:szCs w:val="22"/>
        </w:rPr>
        <w:t>evidence base sometimes require taking</w:t>
      </w:r>
      <w:r w:rsidR="00A8693F" w:rsidRPr="024B4842">
        <w:rPr>
          <w:rFonts w:ascii="Times New Roman" w:hAnsi="Times New Roman" w:cs="Times New Roman"/>
          <w:sz w:val="22"/>
          <w:szCs w:val="22"/>
        </w:rPr>
        <w:t xml:space="preserve"> a divergent approach.  </w:t>
      </w:r>
      <w:r w:rsidR="008A21CB" w:rsidRPr="024B4842">
        <w:rPr>
          <w:rFonts w:ascii="Times New Roman" w:hAnsi="Times New Roman" w:cs="Times New Roman"/>
          <w:sz w:val="22"/>
          <w:szCs w:val="22"/>
        </w:rPr>
        <w:t>However, g</w:t>
      </w:r>
      <w:r w:rsidR="008A0364" w:rsidRPr="024B4842">
        <w:rPr>
          <w:rFonts w:ascii="Times New Roman" w:hAnsi="Times New Roman" w:cs="Times New Roman"/>
          <w:sz w:val="22"/>
          <w:szCs w:val="22"/>
        </w:rPr>
        <w:t xml:space="preserve">iven the similarities between </w:t>
      </w:r>
      <w:r w:rsidR="008A0364" w:rsidRPr="024B4842">
        <w:rPr>
          <w:sz w:val="22"/>
          <w:szCs w:val="22"/>
        </w:rPr>
        <w:t xml:space="preserve">pembrolizumab and </w:t>
      </w:r>
      <w:r w:rsidR="008A0364" w:rsidRPr="024B4842">
        <w:rPr>
          <w:rFonts w:ascii="Times New Roman" w:hAnsi="Times New Roman" w:cs="Times New Roman"/>
          <w:sz w:val="22"/>
          <w:szCs w:val="22"/>
        </w:rPr>
        <w:t>atezolizumab</w:t>
      </w:r>
      <w:r w:rsidR="008A21CB" w:rsidRPr="024B4842">
        <w:rPr>
          <w:rFonts w:ascii="Times New Roman" w:hAnsi="Times New Roman" w:cs="Times New Roman"/>
          <w:sz w:val="22"/>
          <w:szCs w:val="22"/>
        </w:rPr>
        <w:t xml:space="preserve">, </w:t>
      </w:r>
      <w:r w:rsidR="00C80B94" w:rsidRPr="024B4842">
        <w:rPr>
          <w:rFonts w:ascii="Times New Roman" w:hAnsi="Times New Roman" w:cs="Times New Roman"/>
          <w:sz w:val="22"/>
          <w:szCs w:val="22"/>
        </w:rPr>
        <w:t>the nature of their evidence bases</w:t>
      </w:r>
      <w:r w:rsidR="008A21CB" w:rsidRPr="024B4842">
        <w:rPr>
          <w:rFonts w:ascii="Times New Roman" w:hAnsi="Times New Roman" w:cs="Times New Roman"/>
          <w:sz w:val="22"/>
          <w:szCs w:val="22"/>
        </w:rPr>
        <w:t xml:space="preserve"> and the similar questions NICE faced during both assessments, </w:t>
      </w:r>
      <w:r w:rsidR="008A0364" w:rsidRPr="024B4842">
        <w:rPr>
          <w:rFonts w:ascii="Times New Roman" w:hAnsi="Times New Roman" w:cs="Times New Roman"/>
          <w:sz w:val="22"/>
          <w:szCs w:val="22"/>
        </w:rPr>
        <w:t xml:space="preserve">we </w:t>
      </w:r>
      <w:r w:rsidR="008A21CB" w:rsidRPr="024B4842">
        <w:rPr>
          <w:rFonts w:ascii="Times New Roman" w:hAnsi="Times New Roman" w:cs="Times New Roman"/>
          <w:sz w:val="22"/>
          <w:szCs w:val="22"/>
        </w:rPr>
        <w:t xml:space="preserve">believe we </w:t>
      </w:r>
      <w:r w:rsidR="00EA33AC" w:rsidRPr="024B4842">
        <w:rPr>
          <w:rFonts w:ascii="Times New Roman" w:hAnsi="Times New Roman" w:cs="Times New Roman"/>
          <w:sz w:val="22"/>
          <w:szCs w:val="22"/>
        </w:rPr>
        <w:t xml:space="preserve">had every reason to </w:t>
      </w:r>
      <w:r w:rsidR="008A0364" w:rsidRPr="024B4842">
        <w:rPr>
          <w:rFonts w:ascii="Times New Roman" w:hAnsi="Times New Roman" w:cs="Times New Roman"/>
          <w:sz w:val="22"/>
          <w:szCs w:val="22"/>
        </w:rPr>
        <w:t>expect</w:t>
      </w:r>
      <w:r w:rsidR="00883306" w:rsidRPr="024B4842">
        <w:rPr>
          <w:rFonts w:ascii="Times New Roman" w:hAnsi="Times New Roman" w:cs="Times New Roman"/>
          <w:sz w:val="22"/>
          <w:szCs w:val="22"/>
        </w:rPr>
        <w:t xml:space="preserve"> a</w:t>
      </w:r>
      <w:r w:rsidR="00351DB4">
        <w:rPr>
          <w:rFonts w:ascii="Times New Roman" w:hAnsi="Times New Roman" w:cs="Times New Roman"/>
          <w:sz w:val="22"/>
          <w:szCs w:val="22"/>
        </w:rPr>
        <w:t xml:space="preserve"> fair and consistent </w:t>
      </w:r>
      <w:r w:rsidR="008A0364" w:rsidRPr="024B4842">
        <w:rPr>
          <w:rFonts w:ascii="Times New Roman" w:hAnsi="Times New Roman" w:cs="Times New Roman"/>
          <w:sz w:val="22"/>
          <w:szCs w:val="22"/>
        </w:rPr>
        <w:t>approach</w:t>
      </w:r>
      <w:r w:rsidR="00DD5065" w:rsidRPr="024B4842">
        <w:rPr>
          <w:rFonts w:ascii="Times New Roman" w:hAnsi="Times New Roman" w:cs="Times New Roman"/>
          <w:sz w:val="22"/>
          <w:szCs w:val="22"/>
        </w:rPr>
        <w:t xml:space="preserve"> on key points </w:t>
      </w:r>
      <w:r w:rsidR="00AF6C15" w:rsidRPr="024B4842">
        <w:rPr>
          <w:rFonts w:ascii="Times New Roman" w:hAnsi="Times New Roman" w:cs="Times New Roman"/>
          <w:sz w:val="22"/>
          <w:szCs w:val="22"/>
        </w:rPr>
        <w:t>impacting</w:t>
      </w:r>
      <w:r w:rsidR="00DD5065" w:rsidRPr="024B4842">
        <w:rPr>
          <w:rFonts w:ascii="Times New Roman" w:hAnsi="Times New Roman" w:cs="Times New Roman"/>
          <w:sz w:val="22"/>
          <w:szCs w:val="22"/>
        </w:rPr>
        <w:t xml:space="preserve"> the ICER.</w:t>
      </w:r>
    </w:p>
    <w:p w14:paraId="2CFE5E11" w14:textId="77777777" w:rsidR="00812C6E" w:rsidRDefault="00812C6E" w:rsidP="003820FD">
      <w:pPr>
        <w:pStyle w:val="BodyText"/>
        <w:contextualSpacing/>
        <w:jc w:val="both"/>
        <w:rPr>
          <w:rFonts w:ascii="Times New Roman" w:hAnsi="Times New Roman" w:cs="Times New Roman"/>
          <w:sz w:val="22"/>
          <w:szCs w:val="22"/>
        </w:rPr>
      </w:pPr>
    </w:p>
    <w:p w14:paraId="2700C945" w14:textId="09E58BDB" w:rsidR="00097234" w:rsidRDefault="001358FD" w:rsidP="003820FD">
      <w:pPr>
        <w:pStyle w:val="BodyText"/>
        <w:contextualSpacing/>
        <w:jc w:val="both"/>
        <w:rPr>
          <w:rFonts w:ascii="Times New Roman" w:hAnsi="Times New Roman" w:cs="Times New Roman"/>
          <w:sz w:val="22"/>
          <w:szCs w:val="22"/>
        </w:rPr>
      </w:pPr>
      <w:r w:rsidRPr="024B4842">
        <w:rPr>
          <w:rFonts w:ascii="Times New Roman" w:hAnsi="Times New Roman" w:cs="Times New Roman"/>
          <w:sz w:val="22"/>
          <w:szCs w:val="22"/>
        </w:rPr>
        <w:t xml:space="preserve">We accept that there </w:t>
      </w:r>
      <w:r w:rsidR="00E348B5" w:rsidRPr="024B4842">
        <w:rPr>
          <w:rFonts w:ascii="Times New Roman" w:hAnsi="Times New Roman" w:cs="Times New Roman"/>
          <w:sz w:val="22"/>
          <w:szCs w:val="22"/>
        </w:rPr>
        <w:t>may be case</w:t>
      </w:r>
      <w:r w:rsidRPr="024B4842">
        <w:rPr>
          <w:rFonts w:ascii="Times New Roman" w:hAnsi="Times New Roman" w:cs="Times New Roman"/>
          <w:sz w:val="22"/>
          <w:szCs w:val="22"/>
        </w:rPr>
        <w:t xml:space="preserve">s </w:t>
      </w:r>
      <w:r w:rsidR="00C80B94" w:rsidRPr="024B4842">
        <w:rPr>
          <w:rFonts w:ascii="Times New Roman" w:hAnsi="Times New Roman" w:cs="Times New Roman"/>
          <w:sz w:val="22"/>
          <w:szCs w:val="22"/>
        </w:rPr>
        <w:t xml:space="preserve">where poorer quality </w:t>
      </w:r>
      <w:r w:rsidR="00E348B5" w:rsidRPr="024B4842">
        <w:rPr>
          <w:rFonts w:ascii="Times New Roman" w:hAnsi="Times New Roman" w:cs="Times New Roman"/>
          <w:sz w:val="22"/>
          <w:szCs w:val="22"/>
        </w:rPr>
        <w:t>evidence</w:t>
      </w:r>
      <w:r w:rsidR="00800A84" w:rsidRPr="024B4842">
        <w:rPr>
          <w:rFonts w:ascii="Times New Roman" w:hAnsi="Times New Roman" w:cs="Times New Roman"/>
          <w:sz w:val="22"/>
          <w:szCs w:val="22"/>
        </w:rPr>
        <w:t xml:space="preserve"> introduces greater uncertainty, </w:t>
      </w:r>
      <w:r w:rsidRPr="024B4842">
        <w:rPr>
          <w:rFonts w:ascii="Times New Roman" w:hAnsi="Times New Roman" w:cs="Times New Roman"/>
          <w:sz w:val="22"/>
          <w:szCs w:val="22"/>
        </w:rPr>
        <w:t xml:space="preserve">and that this </w:t>
      </w:r>
      <w:r w:rsidR="00800A84" w:rsidRPr="024B4842">
        <w:rPr>
          <w:rFonts w:ascii="Times New Roman" w:hAnsi="Times New Roman" w:cs="Times New Roman"/>
          <w:sz w:val="22"/>
          <w:szCs w:val="22"/>
        </w:rPr>
        <w:t xml:space="preserve">may mean that </w:t>
      </w:r>
      <w:r w:rsidR="00883306" w:rsidRPr="024B4842">
        <w:rPr>
          <w:rFonts w:ascii="Times New Roman" w:hAnsi="Times New Roman" w:cs="Times New Roman"/>
          <w:sz w:val="22"/>
          <w:szCs w:val="22"/>
        </w:rPr>
        <w:t xml:space="preserve">an </w:t>
      </w:r>
      <w:r w:rsidR="00800A84" w:rsidRPr="024B4842">
        <w:rPr>
          <w:rFonts w:ascii="Times New Roman" w:hAnsi="Times New Roman" w:cs="Times New Roman"/>
          <w:sz w:val="22"/>
          <w:szCs w:val="22"/>
        </w:rPr>
        <w:t xml:space="preserve">Appraisal Committee </w:t>
      </w:r>
      <w:r w:rsidR="00883306" w:rsidRPr="024B4842">
        <w:rPr>
          <w:rFonts w:ascii="Times New Roman" w:hAnsi="Times New Roman" w:cs="Times New Roman"/>
          <w:sz w:val="22"/>
          <w:szCs w:val="22"/>
        </w:rPr>
        <w:t xml:space="preserve">needs to </w:t>
      </w:r>
      <w:r w:rsidR="00800A84" w:rsidRPr="024B4842">
        <w:rPr>
          <w:rFonts w:ascii="Times New Roman" w:hAnsi="Times New Roman" w:cs="Times New Roman"/>
          <w:sz w:val="22"/>
          <w:szCs w:val="22"/>
        </w:rPr>
        <w:t xml:space="preserve">make more conservative assumptions.  </w:t>
      </w:r>
      <w:r w:rsidR="00C80B94" w:rsidRPr="024B4842">
        <w:rPr>
          <w:rFonts w:ascii="Times New Roman" w:hAnsi="Times New Roman" w:cs="Times New Roman"/>
          <w:sz w:val="22"/>
          <w:szCs w:val="22"/>
        </w:rPr>
        <w:t xml:space="preserve">Here, however, </w:t>
      </w:r>
      <w:r w:rsidR="00800A84" w:rsidRPr="024B4842">
        <w:rPr>
          <w:rFonts w:ascii="Times New Roman" w:hAnsi="Times New Roman" w:cs="Times New Roman"/>
          <w:sz w:val="22"/>
          <w:szCs w:val="22"/>
        </w:rPr>
        <w:t xml:space="preserve">the same Appraisal Committee </w:t>
      </w:r>
      <w:r w:rsidR="00097234" w:rsidRPr="024B4842">
        <w:rPr>
          <w:rFonts w:ascii="Times New Roman" w:hAnsi="Times New Roman" w:cs="Times New Roman"/>
          <w:sz w:val="22"/>
          <w:szCs w:val="22"/>
        </w:rPr>
        <w:t xml:space="preserve">was faced with more robust evidence of effectiveness but has </w:t>
      </w:r>
      <w:r w:rsidR="00800A84" w:rsidRPr="024B4842">
        <w:rPr>
          <w:rFonts w:ascii="Times New Roman" w:hAnsi="Times New Roman" w:cs="Times New Roman"/>
          <w:sz w:val="22"/>
          <w:szCs w:val="22"/>
        </w:rPr>
        <w:t>take</w:t>
      </w:r>
      <w:r w:rsidR="00097234" w:rsidRPr="024B4842">
        <w:rPr>
          <w:rFonts w:ascii="Times New Roman" w:hAnsi="Times New Roman" w:cs="Times New Roman"/>
          <w:sz w:val="22"/>
          <w:szCs w:val="22"/>
        </w:rPr>
        <w:t>n</w:t>
      </w:r>
      <w:r w:rsidR="00800A84" w:rsidRPr="024B4842">
        <w:rPr>
          <w:rFonts w:ascii="Times New Roman" w:hAnsi="Times New Roman" w:cs="Times New Roman"/>
          <w:sz w:val="22"/>
          <w:szCs w:val="22"/>
        </w:rPr>
        <w:t xml:space="preserve"> a more conservative approach.  This is both procedurally unfair and unreasonable</w:t>
      </w:r>
      <w:r w:rsidR="00097234" w:rsidRPr="024B4842">
        <w:rPr>
          <w:rFonts w:ascii="Times New Roman" w:hAnsi="Times New Roman" w:cs="Times New Roman"/>
          <w:sz w:val="22"/>
          <w:szCs w:val="22"/>
        </w:rPr>
        <w:t>.</w:t>
      </w:r>
      <w:r w:rsidR="00800A84" w:rsidRPr="024B4842">
        <w:rPr>
          <w:rFonts w:ascii="Times New Roman" w:hAnsi="Times New Roman" w:cs="Times New Roman"/>
          <w:sz w:val="22"/>
          <w:szCs w:val="22"/>
        </w:rPr>
        <w:t xml:space="preserve">  </w:t>
      </w:r>
    </w:p>
    <w:p w14:paraId="64362AD0" w14:textId="77777777" w:rsidR="00097234" w:rsidRDefault="00097234" w:rsidP="003820FD">
      <w:pPr>
        <w:pStyle w:val="BodyText"/>
        <w:contextualSpacing/>
        <w:jc w:val="both"/>
        <w:rPr>
          <w:rFonts w:ascii="Times New Roman" w:hAnsi="Times New Roman" w:cs="Times New Roman"/>
          <w:sz w:val="22"/>
          <w:szCs w:val="22"/>
        </w:rPr>
      </w:pPr>
    </w:p>
    <w:p w14:paraId="0B732B20" w14:textId="684419EB" w:rsidR="00D13D1A" w:rsidRPr="002614CC" w:rsidRDefault="00097234" w:rsidP="003820FD">
      <w:pPr>
        <w:pStyle w:val="BodyText"/>
        <w:contextualSpacing/>
        <w:jc w:val="both"/>
        <w:rPr>
          <w:rFonts w:ascii="Times New Roman" w:hAnsi="Times New Roman" w:cs="Times New Roman"/>
          <w:sz w:val="22"/>
          <w:szCs w:val="22"/>
        </w:rPr>
      </w:pPr>
      <w:r w:rsidRPr="024B4842">
        <w:rPr>
          <w:rFonts w:ascii="Times New Roman" w:hAnsi="Times New Roman" w:cs="Times New Roman"/>
          <w:sz w:val="22"/>
          <w:szCs w:val="22"/>
        </w:rPr>
        <w:t>T</w:t>
      </w:r>
      <w:r w:rsidR="00A77EF1" w:rsidRPr="024B4842">
        <w:rPr>
          <w:rFonts w:ascii="Times New Roman" w:hAnsi="Times New Roman" w:cs="Times New Roman"/>
          <w:sz w:val="22"/>
          <w:szCs w:val="22"/>
        </w:rPr>
        <w:t>he benefit of doubt afforded to atezolizumab in TA525</w:t>
      </w:r>
      <w:r w:rsidR="00FC45D0" w:rsidRPr="024B4842">
        <w:rPr>
          <w:rFonts w:ascii="Times New Roman" w:hAnsi="Times New Roman" w:cs="Times New Roman"/>
          <w:sz w:val="22"/>
          <w:szCs w:val="22"/>
        </w:rPr>
        <w:t>, despite the uncertainties inherent in the evidence base for that product</w:t>
      </w:r>
      <w:r w:rsidRPr="024B4842">
        <w:rPr>
          <w:rFonts w:ascii="Times New Roman" w:hAnsi="Times New Roman" w:cs="Times New Roman"/>
          <w:sz w:val="22"/>
          <w:szCs w:val="22"/>
        </w:rPr>
        <w:t xml:space="preserve">, </w:t>
      </w:r>
      <w:r w:rsidR="00883306" w:rsidRPr="024B4842">
        <w:rPr>
          <w:rFonts w:ascii="Times New Roman" w:hAnsi="Times New Roman" w:cs="Times New Roman"/>
          <w:sz w:val="22"/>
          <w:szCs w:val="22"/>
        </w:rPr>
        <w:t xml:space="preserve">also </w:t>
      </w:r>
      <w:r w:rsidR="005C21DD" w:rsidRPr="024B4842">
        <w:rPr>
          <w:rFonts w:ascii="Times New Roman" w:hAnsi="Times New Roman" w:cs="Times New Roman"/>
          <w:sz w:val="22"/>
          <w:szCs w:val="22"/>
        </w:rPr>
        <w:t xml:space="preserve">raises </w:t>
      </w:r>
      <w:r w:rsidR="00A77EF1" w:rsidRPr="024B4842">
        <w:rPr>
          <w:rFonts w:ascii="Times New Roman" w:hAnsi="Times New Roman" w:cs="Times New Roman"/>
          <w:sz w:val="22"/>
          <w:szCs w:val="22"/>
        </w:rPr>
        <w:t xml:space="preserve">questions about </w:t>
      </w:r>
      <w:r w:rsidR="00554DCF" w:rsidRPr="024B4842">
        <w:rPr>
          <w:rFonts w:ascii="Times New Roman" w:hAnsi="Times New Roman" w:cs="Times New Roman"/>
          <w:sz w:val="22"/>
          <w:szCs w:val="22"/>
        </w:rPr>
        <w:t>whether NICE</w:t>
      </w:r>
      <w:r w:rsidR="00AA242B" w:rsidRPr="024B4842">
        <w:rPr>
          <w:rFonts w:ascii="Times New Roman" w:hAnsi="Times New Roman" w:cs="Times New Roman"/>
          <w:sz w:val="22"/>
          <w:szCs w:val="22"/>
        </w:rPr>
        <w:t xml:space="preserve"> has met its</w:t>
      </w:r>
      <w:r w:rsidR="00554DCF" w:rsidRPr="024B4842">
        <w:rPr>
          <w:rFonts w:ascii="Times New Roman" w:hAnsi="Times New Roman" w:cs="Times New Roman"/>
          <w:sz w:val="22"/>
          <w:szCs w:val="22"/>
        </w:rPr>
        <w:t xml:space="preserve"> obligations under human rights and equalities laws</w:t>
      </w:r>
      <w:r w:rsidR="00812C6E">
        <w:rPr>
          <w:rFonts w:ascii="Times New Roman" w:hAnsi="Times New Roman" w:cs="Times New Roman"/>
          <w:sz w:val="22"/>
          <w:szCs w:val="22"/>
        </w:rPr>
        <w:t xml:space="preserve"> in this appraisal</w:t>
      </w:r>
      <w:r w:rsidR="00554DCF" w:rsidRPr="024B4842">
        <w:rPr>
          <w:rFonts w:ascii="Times New Roman" w:hAnsi="Times New Roman" w:cs="Times New Roman"/>
          <w:sz w:val="22"/>
          <w:szCs w:val="22"/>
        </w:rPr>
        <w:t xml:space="preserve">.  </w:t>
      </w:r>
      <w:r w:rsidR="005C21DD" w:rsidRPr="024B4842">
        <w:rPr>
          <w:rFonts w:ascii="Times New Roman" w:hAnsi="Times New Roman" w:cs="Times New Roman"/>
          <w:sz w:val="22"/>
          <w:szCs w:val="22"/>
        </w:rPr>
        <w:t>W</w:t>
      </w:r>
      <w:r w:rsidR="00E75009" w:rsidRPr="024B4842">
        <w:rPr>
          <w:rFonts w:ascii="Times New Roman" w:hAnsi="Times New Roman" w:cs="Times New Roman"/>
          <w:sz w:val="22"/>
          <w:szCs w:val="22"/>
        </w:rPr>
        <w:t xml:space="preserve">hen </w:t>
      </w:r>
      <w:r w:rsidR="004E6ED5" w:rsidRPr="024B4842">
        <w:rPr>
          <w:rFonts w:ascii="Times New Roman" w:hAnsi="Times New Roman" w:cs="Times New Roman"/>
          <w:sz w:val="22"/>
          <w:szCs w:val="22"/>
        </w:rPr>
        <w:t xml:space="preserve">appraising </w:t>
      </w:r>
      <w:r w:rsidR="00E75009" w:rsidRPr="024B4842">
        <w:rPr>
          <w:rFonts w:ascii="Times New Roman" w:hAnsi="Times New Roman" w:cs="Times New Roman"/>
          <w:sz w:val="22"/>
          <w:szCs w:val="22"/>
        </w:rPr>
        <w:t xml:space="preserve">life-extending technologies, </w:t>
      </w:r>
      <w:r w:rsidR="00883306" w:rsidRPr="024B4842">
        <w:rPr>
          <w:rFonts w:ascii="Times New Roman" w:hAnsi="Times New Roman" w:cs="Times New Roman"/>
          <w:sz w:val="22"/>
          <w:szCs w:val="22"/>
        </w:rPr>
        <w:t>w</w:t>
      </w:r>
      <w:r w:rsidR="003A64CE" w:rsidRPr="024B4842">
        <w:rPr>
          <w:rFonts w:ascii="Times New Roman" w:hAnsi="Times New Roman" w:cs="Times New Roman"/>
          <w:sz w:val="22"/>
          <w:szCs w:val="22"/>
        </w:rPr>
        <w:t>e recogni</w:t>
      </w:r>
      <w:r w:rsidR="561DEDB6" w:rsidRPr="024B4842">
        <w:rPr>
          <w:rFonts w:ascii="Times New Roman" w:hAnsi="Times New Roman" w:cs="Times New Roman"/>
          <w:sz w:val="22"/>
          <w:szCs w:val="22"/>
        </w:rPr>
        <w:t>s</w:t>
      </w:r>
      <w:r w:rsidR="003A64CE" w:rsidRPr="024B4842">
        <w:rPr>
          <w:rFonts w:ascii="Times New Roman" w:hAnsi="Times New Roman" w:cs="Times New Roman"/>
          <w:sz w:val="22"/>
          <w:szCs w:val="22"/>
        </w:rPr>
        <w:t xml:space="preserve">e that NICE has difficult decisions to make about the allocation of resources. </w:t>
      </w:r>
      <w:r w:rsidR="00883306" w:rsidRPr="024B4842">
        <w:rPr>
          <w:rFonts w:ascii="Times New Roman" w:hAnsi="Times New Roman" w:cs="Times New Roman"/>
          <w:sz w:val="22"/>
          <w:szCs w:val="22"/>
        </w:rPr>
        <w:t xml:space="preserve"> In cases where human rights laws engage, h</w:t>
      </w:r>
      <w:r w:rsidR="003A64CE" w:rsidRPr="024B4842">
        <w:rPr>
          <w:rFonts w:ascii="Times New Roman" w:hAnsi="Times New Roman" w:cs="Times New Roman"/>
          <w:sz w:val="22"/>
          <w:szCs w:val="22"/>
        </w:rPr>
        <w:t xml:space="preserve">owever, </w:t>
      </w:r>
      <w:r w:rsidR="00883306" w:rsidRPr="024B4842">
        <w:rPr>
          <w:rFonts w:ascii="Times New Roman" w:hAnsi="Times New Roman" w:cs="Times New Roman"/>
          <w:sz w:val="22"/>
          <w:szCs w:val="22"/>
        </w:rPr>
        <w:t xml:space="preserve">Appraisal Committees must take particular </w:t>
      </w:r>
      <w:r w:rsidR="00703EE7" w:rsidRPr="024B4842">
        <w:rPr>
          <w:rFonts w:ascii="Times New Roman" w:hAnsi="Times New Roman" w:cs="Times New Roman"/>
          <w:sz w:val="22"/>
          <w:szCs w:val="22"/>
        </w:rPr>
        <w:t xml:space="preserve">care when considering </w:t>
      </w:r>
      <w:r w:rsidR="00703EE7" w:rsidRPr="024B4842">
        <w:rPr>
          <w:sz w:val="22"/>
          <w:szCs w:val="22"/>
        </w:rPr>
        <w:t xml:space="preserve">evidence that is material to the survival prospects of patients and take decisions in a manner proportionate to the life-extending nature of the product.  </w:t>
      </w:r>
      <w:r w:rsidR="00703EE7" w:rsidRPr="024B4842">
        <w:rPr>
          <w:rFonts w:ascii="Times New Roman" w:hAnsi="Times New Roman" w:cs="Times New Roman"/>
          <w:sz w:val="22"/>
          <w:szCs w:val="22"/>
        </w:rPr>
        <w:t xml:space="preserve">They must </w:t>
      </w:r>
      <w:r w:rsidR="006C7053" w:rsidRPr="024B4842">
        <w:rPr>
          <w:rFonts w:ascii="Times New Roman" w:hAnsi="Times New Roman" w:cs="Times New Roman"/>
          <w:sz w:val="22"/>
          <w:szCs w:val="22"/>
        </w:rPr>
        <w:t xml:space="preserve">also act </w:t>
      </w:r>
      <w:r w:rsidR="003A64CE" w:rsidRPr="024B4842">
        <w:rPr>
          <w:rFonts w:ascii="Times New Roman" w:hAnsi="Times New Roman" w:cs="Times New Roman"/>
          <w:sz w:val="22"/>
          <w:szCs w:val="22"/>
        </w:rPr>
        <w:t xml:space="preserve">in a </w:t>
      </w:r>
      <w:r w:rsidR="00E75009" w:rsidRPr="024B4842">
        <w:rPr>
          <w:rFonts w:ascii="Times New Roman" w:hAnsi="Times New Roman" w:cs="Times New Roman"/>
          <w:sz w:val="22"/>
          <w:szCs w:val="22"/>
        </w:rPr>
        <w:t>non-discriminatory</w:t>
      </w:r>
      <w:r w:rsidR="003A64CE" w:rsidRPr="024B4842">
        <w:rPr>
          <w:rFonts w:ascii="Times New Roman" w:hAnsi="Times New Roman" w:cs="Times New Roman"/>
          <w:sz w:val="22"/>
          <w:szCs w:val="22"/>
        </w:rPr>
        <w:t xml:space="preserve"> </w:t>
      </w:r>
      <w:r w:rsidR="00C23AFA" w:rsidRPr="024B4842">
        <w:rPr>
          <w:rFonts w:ascii="Times New Roman" w:hAnsi="Times New Roman" w:cs="Times New Roman"/>
          <w:sz w:val="22"/>
          <w:szCs w:val="22"/>
        </w:rPr>
        <w:t>manner</w:t>
      </w:r>
      <w:r w:rsidR="00E75009" w:rsidRPr="024B4842">
        <w:rPr>
          <w:rFonts w:ascii="Times New Roman" w:hAnsi="Times New Roman" w:cs="Times New Roman"/>
          <w:sz w:val="22"/>
          <w:szCs w:val="22"/>
        </w:rPr>
        <w:t>.</w:t>
      </w:r>
      <w:r w:rsidR="009F135C" w:rsidRPr="024B4842">
        <w:rPr>
          <w:rFonts w:ascii="Times New Roman" w:hAnsi="Times New Roman" w:cs="Times New Roman"/>
          <w:sz w:val="22"/>
          <w:szCs w:val="22"/>
        </w:rPr>
        <w:t xml:space="preserve">  </w:t>
      </w:r>
      <w:r w:rsidR="00C23AFA" w:rsidRPr="024B4842">
        <w:rPr>
          <w:rFonts w:ascii="Times New Roman" w:hAnsi="Times New Roman" w:cs="Times New Roman"/>
          <w:sz w:val="22"/>
          <w:szCs w:val="22"/>
        </w:rPr>
        <w:t xml:space="preserve">It is difficult to see how </w:t>
      </w:r>
      <w:r w:rsidR="009F135C" w:rsidRPr="024B4842">
        <w:rPr>
          <w:rFonts w:ascii="Times New Roman" w:hAnsi="Times New Roman" w:cs="Times New Roman"/>
          <w:sz w:val="22"/>
          <w:szCs w:val="22"/>
        </w:rPr>
        <w:t xml:space="preserve">the Appraisal Committee </w:t>
      </w:r>
      <w:r w:rsidR="00C23AFA" w:rsidRPr="024B4842">
        <w:rPr>
          <w:rFonts w:ascii="Times New Roman" w:hAnsi="Times New Roman" w:cs="Times New Roman"/>
          <w:sz w:val="22"/>
          <w:szCs w:val="22"/>
        </w:rPr>
        <w:t xml:space="preserve">can reconcile </w:t>
      </w:r>
      <w:r w:rsidRPr="024B4842">
        <w:rPr>
          <w:rFonts w:ascii="Times New Roman" w:hAnsi="Times New Roman" w:cs="Times New Roman"/>
          <w:sz w:val="22"/>
          <w:szCs w:val="22"/>
        </w:rPr>
        <w:t xml:space="preserve">these </w:t>
      </w:r>
      <w:r w:rsidR="00C23AFA" w:rsidRPr="024B4842">
        <w:rPr>
          <w:rFonts w:ascii="Times New Roman" w:hAnsi="Times New Roman" w:cs="Times New Roman"/>
          <w:sz w:val="22"/>
          <w:szCs w:val="22"/>
        </w:rPr>
        <w:t xml:space="preserve">obligations with the </w:t>
      </w:r>
      <w:r w:rsidRPr="024B4842">
        <w:rPr>
          <w:rFonts w:ascii="Times New Roman" w:hAnsi="Times New Roman" w:cs="Times New Roman"/>
          <w:sz w:val="22"/>
          <w:szCs w:val="22"/>
        </w:rPr>
        <w:lastRenderedPageBreak/>
        <w:t xml:space="preserve">more </w:t>
      </w:r>
      <w:r w:rsidR="00C23AFA" w:rsidRPr="024B4842">
        <w:rPr>
          <w:rFonts w:ascii="Times New Roman" w:hAnsi="Times New Roman" w:cs="Times New Roman"/>
          <w:sz w:val="22"/>
          <w:szCs w:val="22"/>
        </w:rPr>
        <w:t>conservative approach it has taken in this appraisal</w:t>
      </w:r>
      <w:r w:rsidRPr="024B4842">
        <w:rPr>
          <w:rFonts w:ascii="Times New Roman" w:hAnsi="Times New Roman" w:cs="Times New Roman"/>
          <w:sz w:val="22"/>
          <w:szCs w:val="22"/>
        </w:rPr>
        <w:t>, given that pembrolizumab is more effective and is backed by a stronger evidence base</w:t>
      </w:r>
      <w:r w:rsidR="00703EE7" w:rsidRPr="024B4842">
        <w:rPr>
          <w:rFonts w:ascii="Times New Roman" w:hAnsi="Times New Roman" w:cs="Times New Roman"/>
          <w:sz w:val="22"/>
          <w:szCs w:val="22"/>
        </w:rPr>
        <w:t xml:space="preserve"> than atezolizumab</w:t>
      </w:r>
      <w:r w:rsidRPr="024B4842">
        <w:rPr>
          <w:rFonts w:ascii="Times New Roman" w:hAnsi="Times New Roman" w:cs="Times New Roman"/>
          <w:sz w:val="22"/>
          <w:szCs w:val="22"/>
        </w:rPr>
        <w:t xml:space="preserve">.  </w:t>
      </w:r>
      <w:r w:rsidR="00C34CBB">
        <w:rPr>
          <w:rFonts w:ascii="Times New Roman" w:hAnsi="Times New Roman" w:cs="Times New Roman"/>
          <w:sz w:val="22"/>
          <w:szCs w:val="22"/>
        </w:rPr>
        <w:t>T</w:t>
      </w:r>
      <w:r w:rsidR="008A21CB" w:rsidRPr="024B4842">
        <w:rPr>
          <w:rFonts w:ascii="Times New Roman" w:hAnsi="Times New Roman" w:cs="Times New Roman"/>
          <w:sz w:val="22"/>
          <w:szCs w:val="22"/>
        </w:rPr>
        <w:t>his infringe</w:t>
      </w:r>
      <w:r w:rsidR="00C34CBB">
        <w:rPr>
          <w:rFonts w:ascii="Times New Roman" w:hAnsi="Times New Roman" w:cs="Times New Roman"/>
          <w:sz w:val="22"/>
          <w:szCs w:val="22"/>
        </w:rPr>
        <w:t>s</w:t>
      </w:r>
      <w:r w:rsidR="008A21CB" w:rsidRPr="024B4842">
        <w:rPr>
          <w:rFonts w:ascii="Times New Roman" w:hAnsi="Times New Roman" w:cs="Times New Roman"/>
          <w:sz w:val="22"/>
          <w:szCs w:val="22"/>
        </w:rPr>
        <w:t xml:space="preserve"> key</w:t>
      </w:r>
      <w:r w:rsidRPr="024B4842">
        <w:rPr>
          <w:rFonts w:ascii="Times New Roman" w:hAnsi="Times New Roman" w:cs="Times New Roman"/>
          <w:sz w:val="22"/>
          <w:szCs w:val="22"/>
        </w:rPr>
        <w:t xml:space="preserve"> human rights</w:t>
      </w:r>
      <w:r w:rsidR="00C34CBB">
        <w:rPr>
          <w:rFonts w:ascii="Times New Roman" w:hAnsi="Times New Roman" w:cs="Times New Roman"/>
          <w:sz w:val="22"/>
          <w:szCs w:val="22"/>
        </w:rPr>
        <w:t xml:space="preserve"> and equalities</w:t>
      </w:r>
      <w:r w:rsidR="008A21CB" w:rsidRPr="024B4842">
        <w:rPr>
          <w:rFonts w:ascii="Times New Roman" w:hAnsi="Times New Roman" w:cs="Times New Roman"/>
          <w:sz w:val="22"/>
          <w:szCs w:val="22"/>
        </w:rPr>
        <w:t xml:space="preserve"> principles</w:t>
      </w:r>
      <w:r w:rsidR="00C34CBB">
        <w:rPr>
          <w:rFonts w:ascii="Times New Roman" w:hAnsi="Times New Roman" w:cs="Times New Roman"/>
          <w:sz w:val="22"/>
          <w:szCs w:val="22"/>
        </w:rPr>
        <w:t xml:space="preserve"> and fails to </w:t>
      </w:r>
      <w:r w:rsidR="004C6BC3">
        <w:rPr>
          <w:rFonts w:ascii="Times New Roman" w:hAnsi="Times New Roman" w:cs="Times New Roman"/>
          <w:sz w:val="22"/>
          <w:szCs w:val="22"/>
        </w:rPr>
        <w:t xml:space="preserve">give </w:t>
      </w:r>
      <w:r w:rsidR="00C34CBB">
        <w:rPr>
          <w:rFonts w:ascii="Times New Roman" w:hAnsi="Times New Roman" w:cs="Times New Roman"/>
          <w:sz w:val="22"/>
          <w:szCs w:val="22"/>
        </w:rPr>
        <w:t>proper regard to</w:t>
      </w:r>
      <w:r w:rsidR="009F135C" w:rsidRPr="024B4842">
        <w:rPr>
          <w:rFonts w:ascii="Times New Roman" w:hAnsi="Times New Roman" w:cs="Times New Roman"/>
          <w:sz w:val="22"/>
          <w:szCs w:val="22"/>
        </w:rPr>
        <w:t xml:space="preserve"> patients w</w:t>
      </w:r>
      <w:r w:rsidR="00933840" w:rsidRPr="024B4842">
        <w:rPr>
          <w:rFonts w:ascii="Times New Roman" w:hAnsi="Times New Roman" w:cs="Times New Roman"/>
          <w:sz w:val="22"/>
          <w:szCs w:val="22"/>
        </w:rPr>
        <w:t xml:space="preserve">ho may benefit from </w:t>
      </w:r>
      <w:r w:rsidR="00C34CBB">
        <w:rPr>
          <w:rFonts w:ascii="Times New Roman" w:hAnsi="Times New Roman" w:cs="Times New Roman"/>
          <w:sz w:val="22"/>
          <w:szCs w:val="22"/>
        </w:rPr>
        <w:t>pembrolizumab</w:t>
      </w:r>
      <w:r w:rsidR="00933840" w:rsidRPr="024B4842">
        <w:rPr>
          <w:rFonts w:ascii="Times New Roman" w:hAnsi="Times New Roman" w:cs="Times New Roman"/>
          <w:sz w:val="22"/>
          <w:szCs w:val="22"/>
        </w:rPr>
        <w:t xml:space="preserve">. </w:t>
      </w:r>
      <w:r w:rsidR="00391875" w:rsidRPr="024B4842">
        <w:rPr>
          <w:rFonts w:ascii="Times New Roman" w:hAnsi="Times New Roman" w:cs="Times New Roman"/>
          <w:sz w:val="22"/>
          <w:szCs w:val="22"/>
        </w:rPr>
        <w:t xml:space="preserve"> On that basis, MSD feels compelled to bring this appeal</w:t>
      </w:r>
      <w:r w:rsidR="00986818" w:rsidRPr="024B4842">
        <w:rPr>
          <w:rFonts w:ascii="Times New Roman" w:hAnsi="Times New Roman" w:cs="Times New Roman"/>
          <w:sz w:val="22"/>
          <w:szCs w:val="22"/>
        </w:rPr>
        <w:t>.</w:t>
      </w:r>
    </w:p>
    <w:p w14:paraId="5C4A267E" w14:textId="77777777" w:rsidR="00E87090" w:rsidRPr="003820FD" w:rsidRDefault="00D848F8" w:rsidP="001950E5">
      <w:pPr>
        <w:jc w:val="both"/>
        <w:rPr>
          <w:rFonts w:ascii="Times New Roman" w:hAnsi="Times New Roman" w:cs="Times New Roman"/>
          <w:b/>
          <w:sz w:val="22"/>
          <w:szCs w:val="22"/>
        </w:rPr>
      </w:pPr>
      <w:r w:rsidRPr="003820FD">
        <w:rPr>
          <w:rFonts w:ascii="Times New Roman" w:hAnsi="Times New Roman" w:cs="Times New Roman"/>
          <w:b/>
          <w:sz w:val="22"/>
          <w:szCs w:val="22"/>
        </w:rPr>
        <w:t>Detailed Grounds for Appeal</w:t>
      </w:r>
    </w:p>
    <w:p w14:paraId="23B38EA2" w14:textId="77777777" w:rsidR="00D848F8" w:rsidRDefault="00D848F8" w:rsidP="001950E5">
      <w:pPr>
        <w:jc w:val="both"/>
        <w:rPr>
          <w:rFonts w:ascii="Times New Roman" w:hAnsi="Times New Roman" w:cs="Times New Roman"/>
          <w:sz w:val="22"/>
          <w:szCs w:val="22"/>
        </w:rPr>
      </w:pPr>
    </w:p>
    <w:p w14:paraId="3A73B50B" w14:textId="068307EB" w:rsidR="003773EE" w:rsidRDefault="00D848F8" w:rsidP="00D848F8">
      <w:pPr>
        <w:jc w:val="both"/>
        <w:rPr>
          <w:rFonts w:ascii="Times New Roman" w:hAnsi="Times New Roman" w:cs="Times New Roman"/>
          <w:sz w:val="22"/>
          <w:szCs w:val="22"/>
        </w:rPr>
      </w:pPr>
      <w:r w:rsidRPr="024B4842">
        <w:rPr>
          <w:rFonts w:ascii="Times New Roman" w:hAnsi="Times New Roman" w:cs="Times New Roman"/>
          <w:sz w:val="22"/>
          <w:szCs w:val="22"/>
        </w:rPr>
        <w:t xml:space="preserve">The summary above shows that the grounds for this appeal concern multiple examples of unfairness, </w:t>
      </w:r>
      <w:proofErr w:type="gramStart"/>
      <w:r w:rsidRPr="024B4842">
        <w:rPr>
          <w:rFonts w:ascii="Times New Roman" w:hAnsi="Times New Roman" w:cs="Times New Roman"/>
          <w:sz w:val="22"/>
          <w:szCs w:val="22"/>
        </w:rPr>
        <w:t>unreasonableness</w:t>
      </w:r>
      <w:proofErr w:type="gramEnd"/>
      <w:r w:rsidR="00A52A34" w:rsidRPr="024B4842">
        <w:rPr>
          <w:rFonts w:ascii="Times New Roman" w:hAnsi="Times New Roman" w:cs="Times New Roman"/>
          <w:sz w:val="22"/>
          <w:szCs w:val="22"/>
        </w:rPr>
        <w:t xml:space="preserve"> or NICE acting </w:t>
      </w:r>
      <w:r w:rsidR="00A52A34" w:rsidRPr="024B4842">
        <w:rPr>
          <w:rFonts w:ascii="Times New Roman" w:hAnsi="Times New Roman" w:cs="Times New Roman"/>
          <w:i/>
          <w:iCs/>
          <w:sz w:val="22"/>
          <w:szCs w:val="22"/>
        </w:rPr>
        <w:t>ultra vires</w:t>
      </w:r>
      <w:r w:rsidRPr="024B4842">
        <w:rPr>
          <w:rFonts w:ascii="Times New Roman" w:hAnsi="Times New Roman" w:cs="Times New Roman"/>
          <w:sz w:val="22"/>
          <w:szCs w:val="22"/>
        </w:rPr>
        <w:t>.</w:t>
      </w:r>
      <w:r w:rsidR="00BF2588" w:rsidRPr="024B4842">
        <w:rPr>
          <w:rFonts w:ascii="Times New Roman" w:hAnsi="Times New Roman" w:cs="Times New Roman"/>
          <w:sz w:val="22"/>
          <w:szCs w:val="22"/>
        </w:rPr>
        <w:t xml:space="preserve">  </w:t>
      </w:r>
      <w:r w:rsidRPr="024B4842">
        <w:rPr>
          <w:rFonts w:ascii="Times New Roman" w:hAnsi="Times New Roman" w:cs="Times New Roman"/>
          <w:sz w:val="22"/>
          <w:szCs w:val="22"/>
        </w:rPr>
        <w:t xml:space="preserve">However, </w:t>
      </w:r>
      <w:r w:rsidR="00703EE7" w:rsidRPr="024B4842">
        <w:rPr>
          <w:rFonts w:ascii="Times New Roman" w:hAnsi="Times New Roman" w:cs="Times New Roman"/>
          <w:sz w:val="22"/>
          <w:szCs w:val="22"/>
        </w:rPr>
        <w:t xml:space="preserve">most are </w:t>
      </w:r>
      <w:r w:rsidRPr="024B4842">
        <w:rPr>
          <w:rFonts w:ascii="Times New Roman" w:hAnsi="Times New Roman" w:cs="Times New Roman"/>
          <w:sz w:val="22"/>
          <w:szCs w:val="22"/>
        </w:rPr>
        <w:t>inter-</w:t>
      </w:r>
      <w:proofErr w:type="gramStart"/>
      <w:r w:rsidRPr="024B4842">
        <w:rPr>
          <w:rFonts w:ascii="Times New Roman" w:hAnsi="Times New Roman" w:cs="Times New Roman"/>
          <w:sz w:val="22"/>
          <w:szCs w:val="22"/>
        </w:rPr>
        <w:t>related</w:t>
      </w:r>
      <w:proofErr w:type="gramEnd"/>
      <w:r w:rsidRPr="024B4842">
        <w:rPr>
          <w:rFonts w:ascii="Times New Roman" w:hAnsi="Times New Roman" w:cs="Times New Roman"/>
          <w:sz w:val="22"/>
          <w:szCs w:val="22"/>
        </w:rPr>
        <w:t xml:space="preserve"> and it is necessary to view them holistically and in a logical sequence.  We have therefore structured </w:t>
      </w:r>
      <w:r w:rsidR="003773EE" w:rsidRPr="024B4842">
        <w:rPr>
          <w:rFonts w:ascii="Times New Roman" w:hAnsi="Times New Roman" w:cs="Times New Roman"/>
          <w:sz w:val="22"/>
          <w:szCs w:val="22"/>
        </w:rPr>
        <w:t xml:space="preserve">the key </w:t>
      </w:r>
      <w:r w:rsidR="002C166E" w:rsidRPr="024B4842">
        <w:rPr>
          <w:rFonts w:ascii="Times New Roman" w:hAnsi="Times New Roman" w:cs="Times New Roman"/>
          <w:sz w:val="22"/>
          <w:szCs w:val="22"/>
        </w:rPr>
        <w:t xml:space="preserve">elements </w:t>
      </w:r>
      <w:r w:rsidR="003773EE" w:rsidRPr="024B4842">
        <w:rPr>
          <w:rFonts w:ascii="Times New Roman" w:hAnsi="Times New Roman" w:cs="Times New Roman"/>
          <w:sz w:val="22"/>
          <w:szCs w:val="22"/>
        </w:rPr>
        <w:t xml:space="preserve">of </w:t>
      </w:r>
      <w:r w:rsidRPr="024B4842">
        <w:rPr>
          <w:rFonts w:ascii="Times New Roman" w:hAnsi="Times New Roman" w:cs="Times New Roman"/>
          <w:sz w:val="22"/>
          <w:szCs w:val="22"/>
        </w:rPr>
        <w:t>our appeal in</w:t>
      </w:r>
      <w:r w:rsidR="00C20DBA" w:rsidRPr="024B4842">
        <w:rPr>
          <w:rFonts w:ascii="Times New Roman" w:hAnsi="Times New Roman" w:cs="Times New Roman"/>
          <w:sz w:val="22"/>
          <w:szCs w:val="22"/>
        </w:rPr>
        <w:t xml:space="preserve"> order</w:t>
      </w:r>
      <w:r w:rsidRPr="024B4842">
        <w:rPr>
          <w:rFonts w:ascii="Times New Roman" w:hAnsi="Times New Roman" w:cs="Times New Roman"/>
          <w:sz w:val="22"/>
          <w:szCs w:val="22"/>
        </w:rPr>
        <w:t xml:space="preserve"> </w:t>
      </w:r>
      <w:r w:rsidR="005E7608" w:rsidRPr="024B4842">
        <w:rPr>
          <w:rFonts w:ascii="Times New Roman" w:hAnsi="Times New Roman" w:cs="Times New Roman"/>
          <w:sz w:val="22"/>
          <w:szCs w:val="22"/>
        </w:rPr>
        <w:t>to reflect this logic</w:t>
      </w:r>
      <w:r w:rsidRPr="024B4842">
        <w:rPr>
          <w:rFonts w:ascii="Times New Roman" w:hAnsi="Times New Roman" w:cs="Times New Roman"/>
          <w:sz w:val="22"/>
          <w:szCs w:val="22"/>
        </w:rPr>
        <w:t>, while still categori</w:t>
      </w:r>
      <w:r w:rsidR="74DD7AA7" w:rsidRPr="024B4842">
        <w:rPr>
          <w:rFonts w:ascii="Times New Roman" w:hAnsi="Times New Roman" w:cs="Times New Roman"/>
          <w:sz w:val="22"/>
          <w:szCs w:val="22"/>
        </w:rPr>
        <w:t>s</w:t>
      </w:r>
      <w:r w:rsidRPr="024B4842">
        <w:rPr>
          <w:rFonts w:ascii="Times New Roman" w:hAnsi="Times New Roman" w:cs="Times New Roman"/>
          <w:sz w:val="22"/>
          <w:szCs w:val="22"/>
        </w:rPr>
        <w:t xml:space="preserve">ing </w:t>
      </w:r>
      <w:r w:rsidR="005E7608" w:rsidRPr="024B4842">
        <w:rPr>
          <w:rFonts w:ascii="Times New Roman" w:hAnsi="Times New Roman" w:cs="Times New Roman"/>
          <w:sz w:val="22"/>
          <w:szCs w:val="22"/>
        </w:rPr>
        <w:t xml:space="preserve">the grounds </w:t>
      </w:r>
      <w:r w:rsidRPr="024B4842">
        <w:rPr>
          <w:rFonts w:ascii="Times New Roman" w:hAnsi="Times New Roman" w:cs="Times New Roman"/>
          <w:sz w:val="22"/>
          <w:szCs w:val="22"/>
        </w:rPr>
        <w:t xml:space="preserve">according to NICE convention: NICE has failed to act fairly (Ground 1a); NICE has exceeded its powers (Ground 1b); and unreasonableness in light of the evidence submitted (Ground 2). </w:t>
      </w:r>
      <w:r w:rsidR="005E7608" w:rsidRPr="024B4842">
        <w:rPr>
          <w:rFonts w:ascii="Times New Roman" w:hAnsi="Times New Roman" w:cs="Times New Roman"/>
          <w:sz w:val="22"/>
          <w:szCs w:val="22"/>
        </w:rPr>
        <w:t xml:space="preserve"> We hope </w:t>
      </w:r>
      <w:r w:rsidR="002C166E" w:rsidRPr="024B4842">
        <w:rPr>
          <w:rFonts w:ascii="Times New Roman" w:hAnsi="Times New Roman" w:cs="Times New Roman"/>
          <w:sz w:val="22"/>
          <w:szCs w:val="22"/>
        </w:rPr>
        <w:t xml:space="preserve">that this </w:t>
      </w:r>
      <w:r w:rsidR="00DD5065" w:rsidRPr="024B4842">
        <w:rPr>
          <w:rFonts w:ascii="Times New Roman" w:hAnsi="Times New Roman" w:cs="Times New Roman"/>
          <w:sz w:val="22"/>
          <w:szCs w:val="22"/>
        </w:rPr>
        <w:t xml:space="preserve">structure </w:t>
      </w:r>
      <w:r w:rsidR="002C166E" w:rsidRPr="024B4842">
        <w:rPr>
          <w:rFonts w:ascii="Times New Roman" w:hAnsi="Times New Roman" w:cs="Times New Roman"/>
          <w:sz w:val="22"/>
          <w:szCs w:val="22"/>
        </w:rPr>
        <w:t xml:space="preserve">will assist the Appeal Board and </w:t>
      </w:r>
      <w:r w:rsidR="005E7608" w:rsidRPr="024B4842">
        <w:rPr>
          <w:rFonts w:ascii="Times New Roman" w:hAnsi="Times New Roman" w:cs="Times New Roman"/>
          <w:sz w:val="22"/>
          <w:szCs w:val="22"/>
        </w:rPr>
        <w:t>that NICE will accept our approach</w:t>
      </w:r>
      <w:r w:rsidR="002C166E" w:rsidRPr="024B4842">
        <w:rPr>
          <w:rFonts w:ascii="Times New Roman" w:hAnsi="Times New Roman" w:cs="Times New Roman"/>
          <w:sz w:val="22"/>
          <w:szCs w:val="22"/>
        </w:rPr>
        <w:t xml:space="preserve">.  However, </w:t>
      </w:r>
      <w:r w:rsidR="005E7608" w:rsidRPr="024B4842">
        <w:rPr>
          <w:rFonts w:ascii="Times New Roman" w:hAnsi="Times New Roman" w:cs="Times New Roman"/>
          <w:sz w:val="22"/>
          <w:szCs w:val="22"/>
        </w:rPr>
        <w:t xml:space="preserve">we are willing to modify it following initial </w:t>
      </w:r>
      <w:proofErr w:type="gramStart"/>
      <w:r w:rsidR="005E7608" w:rsidRPr="024B4842">
        <w:rPr>
          <w:rFonts w:ascii="Times New Roman" w:hAnsi="Times New Roman" w:cs="Times New Roman"/>
          <w:sz w:val="22"/>
          <w:szCs w:val="22"/>
        </w:rPr>
        <w:t>scrutiny, if</w:t>
      </w:r>
      <w:proofErr w:type="gramEnd"/>
      <w:r w:rsidR="005E7608" w:rsidRPr="024B4842">
        <w:rPr>
          <w:rFonts w:ascii="Times New Roman" w:hAnsi="Times New Roman" w:cs="Times New Roman"/>
          <w:sz w:val="22"/>
          <w:szCs w:val="22"/>
        </w:rPr>
        <w:t xml:space="preserve"> the Institute wishes us to do so.  </w:t>
      </w:r>
      <w:r w:rsidR="003773EE" w:rsidRPr="024B4842">
        <w:rPr>
          <w:rFonts w:ascii="Times New Roman" w:hAnsi="Times New Roman" w:cs="Times New Roman"/>
          <w:sz w:val="22"/>
          <w:szCs w:val="22"/>
        </w:rPr>
        <w:t xml:space="preserve">We then list </w:t>
      </w:r>
      <w:proofErr w:type="gramStart"/>
      <w:r w:rsidR="003773EE" w:rsidRPr="024B4842">
        <w:rPr>
          <w:rFonts w:ascii="Times New Roman" w:hAnsi="Times New Roman" w:cs="Times New Roman"/>
          <w:sz w:val="22"/>
          <w:szCs w:val="22"/>
        </w:rPr>
        <w:t>a number of</w:t>
      </w:r>
      <w:proofErr w:type="gramEnd"/>
      <w:r w:rsidR="003773EE" w:rsidRPr="024B4842">
        <w:rPr>
          <w:rFonts w:ascii="Times New Roman" w:hAnsi="Times New Roman" w:cs="Times New Roman"/>
          <w:sz w:val="22"/>
          <w:szCs w:val="22"/>
        </w:rPr>
        <w:t xml:space="preserve"> additional individual grounds according to NICE convention.</w:t>
      </w:r>
    </w:p>
    <w:p w14:paraId="24D45750" w14:textId="6386388E" w:rsidR="002A25B4" w:rsidRDefault="002A25B4" w:rsidP="003820FD">
      <w:pPr>
        <w:jc w:val="both"/>
      </w:pPr>
    </w:p>
    <w:p w14:paraId="01266C36" w14:textId="69584531" w:rsidR="00D413E0" w:rsidRPr="00DA7704" w:rsidRDefault="00D413E0" w:rsidP="024B4842">
      <w:pPr>
        <w:pStyle w:val="Heading1"/>
        <w:numPr>
          <w:ilvl w:val="0"/>
          <w:numId w:val="0"/>
        </w:numPr>
        <w:jc w:val="both"/>
        <w:rPr>
          <w:rFonts w:ascii="Times New Roman" w:hAnsi="Times New Roman" w:cs="Times New Roman"/>
          <w:b/>
        </w:rPr>
      </w:pPr>
      <w:r w:rsidRPr="024B4842">
        <w:rPr>
          <w:rFonts w:ascii="Times New Roman" w:hAnsi="Times New Roman" w:cs="Times New Roman"/>
          <w:b/>
        </w:rPr>
        <w:t xml:space="preserve">Ground 2 </w:t>
      </w:r>
      <w:r w:rsidR="005814BD">
        <w:rPr>
          <w:rFonts w:ascii="Times New Roman" w:hAnsi="Times New Roman" w:cs="Times New Roman"/>
          <w:b/>
        </w:rPr>
        <w:t>–</w:t>
      </w:r>
      <w:r w:rsidRPr="024B4842">
        <w:rPr>
          <w:rFonts w:ascii="Times New Roman" w:hAnsi="Times New Roman" w:cs="Times New Roman"/>
          <w:b/>
        </w:rPr>
        <w:t xml:space="preserve"> the recommendation not to recommend pembrolizumab is unreasonable </w:t>
      </w:r>
      <w:proofErr w:type="gramStart"/>
      <w:r w:rsidRPr="024B4842">
        <w:rPr>
          <w:rFonts w:ascii="Times New Roman" w:hAnsi="Times New Roman" w:cs="Times New Roman"/>
          <w:b/>
        </w:rPr>
        <w:t>in light of</w:t>
      </w:r>
      <w:proofErr w:type="gramEnd"/>
      <w:r w:rsidRPr="024B4842">
        <w:rPr>
          <w:rFonts w:ascii="Times New Roman" w:hAnsi="Times New Roman" w:cs="Times New Roman"/>
          <w:b/>
        </w:rPr>
        <w:t xml:space="preserve"> the evidence submitted to NICE</w:t>
      </w:r>
    </w:p>
    <w:p w14:paraId="3A12066B" w14:textId="4B27AF94" w:rsidR="00D413E0" w:rsidRPr="00351739" w:rsidRDefault="00D413E0" w:rsidP="024B4842">
      <w:pPr>
        <w:pStyle w:val="Heading2"/>
        <w:numPr>
          <w:ilvl w:val="1"/>
          <w:numId w:val="0"/>
        </w:numPr>
        <w:ind w:left="1440"/>
        <w:jc w:val="both"/>
        <w:rPr>
          <w:rFonts w:ascii="Times New Roman" w:hAnsi="Times New Roman" w:cs="Times New Roman"/>
          <w:b/>
          <w:sz w:val="22"/>
          <w:szCs w:val="22"/>
        </w:rPr>
      </w:pPr>
      <w:r w:rsidRPr="024B4842">
        <w:rPr>
          <w:rFonts w:ascii="Times New Roman" w:hAnsi="Times New Roman" w:cs="Times New Roman"/>
          <w:b/>
          <w:sz w:val="22"/>
          <w:szCs w:val="22"/>
        </w:rPr>
        <w:t xml:space="preserve">Ground 2.1 </w:t>
      </w:r>
      <w:r w:rsidR="005814BD">
        <w:rPr>
          <w:rFonts w:ascii="Times New Roman" w:hAnsi="Times New Roman" w:cs="Times New Roman"/>
          <w:b/>
          <w:sz w:val="22"/>
          <w:szCs w:val="22"/>
        </w:rPr>
        <w:t>–</w:t>
      </w:r>
      <w:r w:rsidRPr="024B4842">
        <w:rPr>
          <w:rFonts w:ascii="Times New Roman" w:hAnsi="Times New Roman" w:cs="Times New Roman"/>
          <w:b/>
          <w:sz w:val="22"/>
          <w:szCs w:val="22"/>
        </w:rPr>
        <w:t xml:space="preserve"> </w:t>
      </w:r>
      <w:r w:rsidR="00D2149B" w:rsidRPr="00D2149B">
        <w:rPr>
          <w:rFonts w:ascii="Times New Roman" w:hAnsi="Times New Roman" w:cs="Times New Roman"/>
          <w:b/>
          <w:sz w:val="22"/>
          <w:szCs w:val="22"/>
        </w:rPr>
        <w:t>The Appraisal Committee’s assessment of duration of treatment effect and its effect on cost-effectiveness is illogical and unreasonable</w:t>
      </w:r>
    </w:p>
    <w:p w14:paraId="608D168E" w14:textId="3B69DFDE" w:rsidR="00D413E0" w:rsidRPr="00D57189" w:rsidRDefault="00D413E0" w:rsidP="00D413E0">
      <w:pPr>
        <w:pStyle w:val="BodyText"/>
        <w:jc w:val="both"/>
        <w:rPr>
          <w:rFonts w:ascii="Times New Roman" w:eastAsia="Arial Unicode MS" w:hAnsi="Times New Roman" w:cs="Times New Roman"/>
          <w:sz w:val="22"/>
          <w:szCs w:val="22"/>
          <w:lang w:val="en-US"/>
        </w:rPr>
      </w:pPr>
      <w:r>
        <w:rPr>
          <w:rFonts w:ascii="Times New Roman" w:eastAsia="Arial Unicode MS" w:hAnsi="Times New Roman" w:cs="Times New Roman"/>
          <w:sz w:val="22"/>
          <w:szCs w:val="22"/>
          <w:lang w:val="en-US"/>
        </w:rPr>
        <w:t xml:space="preserve">A </w:t>
      </w:r>
      <w:r w:rsidR="00A52A34">
        <w:rPr>
          <w:rFonts w:ascii="Times New Roman" w:eastAsia="Arial Unicode MS" w:hAnsi="Times New Roman" w:cs="Times New Roman"/>
          <w:sz w:val="22"/>
          <w:szCs w:val="22"/>
          <w:lang w:val="en-US"/>
        </w:rPr>
        <w:t xml:space="preserve">key example of the unreasonable </w:t>
      </w:r>
      <w:r>
        <w:rPr>
          <w:rFonts w:ascii="Times New Roman" w:eastAsia="Arial Unicode MS" w:hAnsi="Times New Roman" w:cs="Times New Roman"/>
          <w:sz w:val="22"/>
          <w:szCs w:val="22"/>
          <w:lang w:val="en-US"/>
        </w:rPr>
        <w:t xml:space="preserve">and inconsistent approach the Appraisal Committee took is its assessment of the </w:t>
      </w:r>
      <w:r w:rsidRPr="00D57189">
        <w:rPr>
          <w:rFonts w:ascii="Times New Roman" w:eastAsia="Arial Unicode MS" w:hAnsi="Times New Roman" w:cs="Times New Roman"/>
          <w:sz w:val="22"/>
          <w:szCs w:val="22"/>
          <w:lang w:val="en-US"/>
        </w:rPr>
        <w:t>duration of treatment effect</w:t>
      </w:r>
      <w:r w:rsidR="00812C6E">
        <w:rPr>
          <w:rFonts w:ascii="Times New Roman" w:eastAsia="Arial Unicode MS" w:hAnsi="Times New Roman" w:cs="Times New Roman"/>
          <w:sz w:val="22"/>
          <w:szCs w:val="22"/>
          <w:lang w:val="en-US"/>
        </w:rPr>
        <w:t xml:space="preserve"> of pembrolizumab</w:t>
      </w:r>
      <w:r>
        <w:rPr>
          <w:rFonts w:ascii="Times New Roman" w:eastAsia="Arial Unicode MS" w:hAnsi="Times New Roman" w:cs="Times New Roman"/>
          <w:sz w:val="22"/>
          <w:szCs w:val="22"/>
          <w:lang w:val="en-US"/>
        </w:rPr>
        <w:t xml:space="preserve">.  In this case, the </w:t>
      </w:r>
      <w:r w:rsidRPr="00D57189">
        <w:rPr>
          <w:rFonts w:ascii="Times New Roman" w:eastAsia="Arial Unicode MS" w:hAnsi="Times New Roman" w:cs="Times New Roman"/>
          <w:sz w:val="22"/>
          <w:szCs w:val="22"/>
          <w:lang w:val="en-US"/>
        </w:rPr>
        <w:t xml:space="preserve">duration of treatment effect was a critical </w:t>
      </w:r>
      <w:r>
        <w:rPr>
          <w:rFonts w:ascii="Times New Roman" w:eastAsia="Arial Unicode MS" w:hAnsi="Times New Roman" w:cs="Times New Roman"/>
          <w:sz w:val="22"/>
          <w:szCs w:val="22"/>
          <w:lang w:val="en-US"/>
        </w:rPr>
        <w:t xml:space="preserve">factor to </w:t>
      </w:r>
      <w:proofErr w:type="gramStart"/>
      <w:r>
        <w:rPr>
          <w:rFonts w:ascii="Times New Roman" w:eastAsia="Arial Unicode MS" w:hAnsi="Times New Roman" w:cs="Times New Roman"/>
          <w:sz w:val="22"/>
          <w:szCs w:val="22"/>
          <w:lang w:val="en-US"/>
        </w:rPr>
        <w:t>whether or not</w:t>
      </w:r>
      <w:proofErr w:type="gramEnd"/>
      <w:r>
        <w:rPr>
          <w:rFonts w:ascii="Times New Roman" w:eastAsia="Arial Unicode MS" w:hAnsi="Times New Roman" w:cs="Times New Roman"/>
          <w:sz w:val="22"/>
          <w:szCs w:val="22"/>
          <w:lang w:val="en-US"/>
        </w:rPr>
        <w:t xml:space="preserve"> pembrolizumab fell within the cost-effectiveness threshold.</w:t>
      </w:r>
    </w:p>
    <w:p w14:paraId="3CE9AB5A" w14:textId="67BE1007" w:rsidR="0077101A" w:rsidRDefault="00D413E0" w:rsidP="00D413E0">
      <w:pPr>
        <w:pStyle w:val="BodyText"/>
        <w:jc w:val="both"/>
        <w:rPr>
          <w:rFonts w:ascii="Times New Roman" w:eastAsia="Arial Unicode MS" w:hAnsi="Times New Roman" w:cs="Times New Roman"/>
          <w:sz w:val="22"/>
          <w:szCs w:val="22"/>
          <w:lang w:val="en-US"/>
        </w:rPr>
      </w:pPr>
      <w:r w:rsidRPr="024B4842">
        <w:rPr>
          <w:rFonts w:ascii="Times New Roman" w:eastAsia="Arial Unicode MS" w:hAnsi="Times New Roman" w:cs="Times New Roman"/>
          <w:sz w:val="22"/>
          <w:szCs w:val="22"/>
          <w:lang w:val="en-US"/>
        </w:rPr>
        <w:t xml:space="preserve">MSD </w:t>
      </w:r>
      <w:r w:rsidR="004471CC" w:rsidRPr="024B4842">
        <w:rPr>
          <w:rFonts w:ascii="Times New Roman" w:eastAsia="Arial Unicode MS" w:hAnsi="Times New Roman" w:cs="Times New Roman"/>
          <w:sz w:val="22"/>
          <w:szCs w:val="22"/>
          <w:lang w:val="en-US"/>
        </w:rPr>
        <w:t>(and the Appraisal Committee’s clinical expert</w:t>
      </w:r>
      <w:r w:rsidR="00615922" w:rsidRPr="024B4842">
        <w:rPr>
          <w:rFonts w:ascii="Times New Roman" w:eastAsia="Arial Unicode MS" w:hAnsi="Times New Roman" w:cs="Times New Roman"/>
          <w:sz w:val="22"/>
          <w:szCs w:val="22"/>
          <w:lang w:val="en-US"/>
        </w:rPr>
        <w:t>)</w:t>
      </w:r>
      <w:r w:rsidR="004471CC" w:rsidRPr="024B4842">
        <w:rPr>
          <w:rFonts w:ascii="Times New Roman" w:eastAsia="Arial Unicode MS" w:hAnsi="Times New Roman" w:cs="Times New Roman"/>
          <w:sz w:val="22"/>
          <w:szCs w:val="22"/>
          <w:lang w:val="en-US"/>
        </w:rPr>
        <w:t xml:space="preserve"> </w:t>
      </w:r>
      <w:r w:rsidRPr="024B4842">
        <w:rPr>
          <w:rFonts w:ascii="Times New Roman" w:eastAsia="Arial Unicode MS" w:hAnsi="Times New Roman" w:cs="Times New Roman"/>
          <w:sz w:val="22"/>
          <w:szCs w:val="22"/>
          <w:lang w:val="en-US"/>
        </w:rPr>
        <w:t>considers that</w:t>
      </w:r>
      <w:r w:rsidR="00544F4E" w:rsidRPr="024B4842">
        <w:rPr>
          <w:rFonts w:ascii="Times New Roman" w:eastAsia="Arial Unicode MS" w:hAnsi="Times New Roman" w:cs="Times New Roman"/>
          <w:sz w:val="22"/>
          <w:szCs w:val="22"/>
          <w:lang w:val="en-US"/>
        </w:rPr>
        <w:t xml:space="preserve"> a proportion of patients treated with </w:t>
      </w:r>
      <w:r w:rsidRPr="024B4842">
        <w:rPr>
          <w:rFonts w:ascii="Times New Roman" w:eastAsia="Arial Unicode MS" w:hAnsi="Times New Roman" w:cs="Times New Roman"/>
          <w:sz w:val="22"/>
          <w:szCs w:val="22"/>
          <w:lang w:val="en-US"/>
        </w:rPr>
        <w:t xml:space="preserve">pembrolizumab </w:t>
      </w:r>
      <w:r w:rsidR="00544F4E" w:rsidRPr="024B4842">
        <w:rPr>
          <w:rFonts w:ascii="Times New Roman" w:eastAsia="Arial Unicode MS" w:hAnsi="Times New Roman" w:cs="Times New Roman"/>
          <w:sz w:val="22"/>
          <w:szCs w:val="22"/>
          <w:lang w:val="en-US"/>
        </w:rPr>
        <w:t>maintain a durable response</w:t>
      </w:r>
      <w:r w:rsidRPr="024B4842">
        <w:rPr>
          <w:rFonts w:ascii="Times New Roman" w:eastAsia="Arial Unicode MS" w:hAnsi="Times New Roman" w:cs="Times New Roman"/>
          <w:sz w:val="22"/>
          <w:szCs w:val="22"/>
          <w:lang w:val="en-US"/>
        </w:rPr>
        <w:t xml:space="preserve">, likely reaching beyond </w:t>
      </w:r>
      <w:r w:rsidR="38F0456B" w:rsidRPr="024B4842">
        <w:rPr>
          <w:rFonts w:ascii="Times New Roman" w:eastAsia="Arial Unicode MS" w:hAnsi="Times New Roman" w:cs="Times New Roman"/>
          <w:sz w:val="22"/>
          <w:szCs w:val="22"/>
          <w:lang w:val="en-US"/>
        </w:rPr>
        <w:t>5</w:t>
      </w:r>
      <w:r w:rsidRPr="024B4842">
        <w:rPr>
          <w:rFonts w:ascii="Times New Roman" w:eastAsia="Arial Unicode MS" w:hAnsi="Times New Roman" w:cs="Times New Roman"/>
          <w:sz w:val="22"/>
          <w:szCs w:val="22"/>
          <w:lang w:val="en-US"/>
        </w:rPr>
        <w:t xml:space="preserve"> years</w:t>
      </w:r>
      <w:r w:rsidR="00544F4E" w:rsidRPr="024B4842">
        <w:rPr>
          <w:rFonts w:ascii="Times New Roman" w:eastAsia="Arial Unicode MS" w:hAnsi="Times New Roman" w:cs="Times New Roman"/>
          <w:sz w:val="22"/>
          <w:szCs w:val="22"/>
          <w:lang w:val="en-US"/>
        </w:rPr>
        <w:t xml:space="preserve">, owing to a </w:t>
      </w:r>
      <w:r w:rsidR="00FC32F2" w:rsidRPr="024B4842">
        <w:rPr>
          <w:rFonts w:ascii="Times New Roman" w:eastAsia="Arial Unicode MS" w:hAnsi="Times New Roman" w:cs="Times New Roman"/>
          <w:sz w:val="22"/>
          <w:szCs w:val="22"/>
          <w:lang w:val="en-US"/>
        </w:rPr>
        <w:t>“</w:t>
      </w:r>
      <w:r w:rsidR="00544F4E" w:rsidRPr="024B4842">
        <w:rPr>
          <w:rFonts w:ascii="Times New Roman" w:eastAsia="Arial Unicode MS" w:hAnsi="Times New Roman" w:cs="Times New Roman"/>
          <w:sz w:val="22"/>
          <w:szCs w:val="22"/>
          <w:lang w:val="en-US"/>
        </w:rPr>
        <w:t xml:space="preserve">tail of the </w:t>
      </w:r>
      <w:r w:rsidR="00FC32F2" w:rsidRPr="024B4842">
        <w:rPr>
          <w:rFonts w:ascii="Times New Roman" w:eastAsia="Arial Unicode MS" w:hAnsi="Times New Roman" w:cs="Times New Roman"/>
          <w:sz w:val="22"/>
          <w:szCs w:val="22"/>
          <w:lang w:val="en-US"/>
        </w:rPr>
        <w:t xml:space="preserve">curve” </w:t>
      </w:r>
      <w:r w:rsidR="00544F4E" w:rsidRPr="024B4842">
        <w:rPr>
          <w:rFonts w:ascii="Times New Roman" w:eastAsia="Arial Unicode MS" w:hAnsi="Times New Roman" w:cs="Times New Roman"/>
          <w:sz w:val="22"/>
          <w:szCs w:val="22"/>
          <w:lang w:val="en-US"/>
        </w:rPr>
        <w:t>effect</w:t>
      </w:r>
      <w:r w:rsidRPr="024B4842">
        <w:rPr>
          <w:rFonts w:ascii="Times New Roman" w:eastAsia="Arial Unicode MS" w:hAnsi="Times New Roman" w:cs="Times New Roman"/>
          <w:sz w:val="22"/>
          <w:szCs w:val="22"/>
          <w:lang w:val="en-US"/>
        </w:rPr>
        <w:t xml:space="preserve">.  </w:t>
      </w:r>
      <w:r w:rsidR="00D75B71" w:rsidRPr="024B4842">
        <w:rPr>
          <w:rFonts w:ascii="Times New Roman" w:eastAsia="Arial Unicode MS" w:hAnsi="Times New Roman" w:cs="Times New Roman"/>
          <w:sz w:val="22"/>
          <w:szCs w:val="22"/>
          <w:lang w:val="en-US"/>
        </w:rPr>
        <w:t xml:space="preserve">As such, </w:t>
      </w:r>
      <w:r w:rsidR="007B65E0" w:rsidRPr="024B4842">
        <w:rPr>
          <w:rFonts w:ascii="Times New Roman" w:eastAsia="Arial Unicode MS" w:hAnsi="Times New Roman" w:cs="Times New Roman"/>
          <w:sz w:val="22"/>
          <w:szCs w:val="22"/>
          <w:lang w:val="en-US"/>
        </w:rPr>
        <w:t xml:space="preserve">MSD felt that </w:t>
      </w:r>
      <w:r w:rsidR="00D75B71" w:rsidRPr="024B4842">
        <w:rPr>
          <w:rFonts w:ascii="Times New Roman" w:eastAsia="Arial Unicode MS" w:hAnsi="Times New Roman" w:cs="Times New Roman"/>
          <w:sz w:val="22"/>
          <w:szCs w:val="22"/>
          <w:lang w:val="en-US"/>
        </w:rPr>
        <w:t>capping the duration of treatment effect</w:t>
      </w:r>
      <w:r w:rsidR="007B65E0" w:rsidRPr="024B4842">
        <w:rPr>
          <w:rFonts w:ascii="Times New Roman" w:eastAsia="Arial Unicode MS" w:hAnsi="Times New Roman" w:cs="Times New Roman"/>
          <w:sz w:val="22"/>
          <w:szCs w:val="22"/>
          <w:lang w:val="en-US"/>
        </w:rPr>
        <w:t xml:space="preserve"> at 5 years in this appraisal was an appropriate approach,</w:t>
      </w:r>
      <w:r w:rsidR="00FC32F2" w:rsidRPr="024B4842">
        <w:rPr>
          <w:rFonts w:ascii="Times New Roman" w:eastAsia="Arial Unicode MS" w:hAnsi="Times New Roman" w:cs="Times New Roman"/>
          <w:sz w:val="22"/>
          <w:szCs w:val="22"/>
          <w:lang w:val="en-US"/>
        </w:rPr>
        <w:t xml:space="preserve"> and most</w:t>
      </w:r>
      <w:r w:rsidR="007B65E0" w:rsidRPr="024B4842">
        <w:rPr>
          <w:rFonts w:ascii="Times New Roman" w:eastAsia="Arial Unicode MS" w:hAnsi="Times New Roman" w:cs="Times New Roman"/>
          <w:sz w:val="22"/>
          <w:szCs w:val="22"/>
          <w:lang w:val="en-US"/>
        </w:rPr>
        <w:t xml:space="preserve"> </w:t>
      </w:r>
      <w:r w:rsidR="00A60C8C" w:rsidRPr="024B4842">
        <w:rPr>
          <w:rFonts w:ascii="Times New Roman" w:eastAsia="Arial Unicode MS" w:hAnsi="Times New Roman" w:cs="Times New Roman"/>
          <w:sz w:val="22"/>
          <w:szCs w:val="22"/>
          <w:lang w:val="en-US"/>
        </w:rPr>
        <w:t xml:space="preserve">likely </w:t>
      </w:r>
      <w:r w:rsidR="007B65E0" w:rsidRPr="024B4842">
        <w:rPr>
          <w:rFonts w:ascii="Times New Roman" w:eastAsia="Arial Unicode MS" w:hAnsi="Times New Roman" w:cs="Times New Roman"/>
          <w:sz w:val="22"/>
          <w:szCs w:val="22"/>
          <w:lang w:val="en-US"/>
        </w:rPr>
        <w:t>a conservative one.</w:t>
      </w:r>
      <w:r w:rsidR="00D75B71" w:rsidRPr="024B4842">
        <w:rPr>
          <w:rFonts w:ascii="Times New Roman" w:eastAsia="Arial Unicode MS" w:hAnsi="Times New Roman" w:cs="Times New Roman"/>
          <w:sz w:val="22"/>
          <w:szCs w:val="22"/>
          <w:lang w:val="en-US"/>
        </w:rPr>
        <w:t xml:space="preserve"> </w:t>
      </w:r>
      <w:r w:rsidR="007B65E0" w:rsidRPr="024B4842">
        <w:rPr>
          <w:rFonts w:ascii="Times New Roman" w:eastAsia="Arial Unicode MS" w:hAnsi="Times New Roman" w:cs="Times New Roman"/>
          <w:sz w:val="22"/>
          <w:szCs w:val="22"/>
          <w:lang w:val="en-US"/>
        </w:rPr>
        <w:t xml:space="preserve"> </w:t>
      </w:r>
    </w:p>
    <w:p w14:paraId="1FA7292B" w14:textId="622B074E" w:rsidR="00D413E0" w:rsidRPr="00D57189" w:rsidRDefault="00D413E0" w:rsidP="00D413E0">
      <w:pPr>
        <w:pStyle w:val="BodyText"/>
        <w:jc w:val="both"/>
        <w:rPr>
          <w:rFonts w:ascii="Times New Roman" w:hAnsi="Times New Roman" w:cs="Times New Roman"/>
          <w:sz w:val="22"/>
          <w:szCs w:val="22"/>
        </w:rPr>
      </w:pPr>
      <w:r w:rsidRPr="00D57189">
        <w:rPr>
          <w:rFonts w:ascii="Times New Roman" w:hAnsi="Times New Roman" w:cs="Times New Roman"/>
          <w:sz w:val="22"/>
          <w:szCs w:val="22"/>
        </w:rPr>
        <w:t>The Appraisal Committee</w:t>
      </w:r>
      <w:r>
        <w:rPr>
          <w:rFonts w:ascii="Times New Roman" w:hAnsi="Times New Roman" w:cs="Times New Roman"/>
          <w:sz w:val="22"/>
          <w:szCs w:val="22"/>
        </w:rPr>
        <w:t xml:space="preserve"> took a different view</w:t>
      </w:r>
      <w:r w:rsidR="007B65E0">
        <w:rPr>
          <w:rFonts w:ascii="Times New Roman" w:hAnsi="Times New Roman" w:cs="Times New Roman"/>
          <w:sz w:val="22"/>
          <w:szCs w:val="22"/>
        </w:rPr>
        <w:t>, though its rationale</w:t>
      </w:r>
      <w:r w:rsidR="0077101A">
        <w:rPr>
          <w:rFonts w:ascii="Times New Roman" w:hAnsi="Times New Roman" w:cs="Times New Roman"/>
          <w:sz w:val="22"/>
          <w:szCs w:val="22"/>
        </w:rPr>
        <w:t xml:space="preserve"> for this</w:t>
      </w:r>
      <w:r w:rsidR="007B65E0">
        <w:rPr>
          <w:rFonts w:ascii="Times New Roman" w:hAnsi="Times New Roman" w:cs="Times New Roman"/>
          <w:sz w:val="22"/>
          <w:szCs w:val="22"/>
        </w:rPr>
        <w:t xml:space="preserve"> is difficult to </w:t>
      </w:r>
      <w:r w:rsidR="00FC32F2">
        <w:rPr>
          <w:rFonts w:ascii="Times New Roman" w:hAnsi="Times New Roman" w:cs="Times New Roman"/>
          <w:sz w:val="22"/>
          <w:szCs w:val="22"/>
        </w:rPr>
        <w:t>understand</w:t>
      </w:r>
      <w:r w:rsidRPr="00D57189">
        <w:rPr>
          <w:rFonts w:ascii="Times New Roman" w:hAnsi="Times New Roman" w:cs="Times New Roman"/>
          <w:sz w:val="22"/>
          <w:szCs w:val="22"/>
        </w:rPr>
        <w:t xml:space="preserve">.  </w:t>
      </w:r>
      <w:r w:rsidR="00FC32F2">
        <w:rPr>
          <w:rFonts w:ascii="Times New Roman" w:hAnsi="Times New Roman" w:cs="Times New Roman"/>
          <w:sz w:val="22"/>
          <w:szCs w:val="22"/>
        </w:rPr>
        <w:t xml:space="preserve">It </w:t>
      </w:r>
      <w:r w:rsidRPr="00D57189">
        <w:rPr>
          <w:rFonts w:ascii="Times New Roman" w:hAnsi="Times New Roman" w:cs="Times New Roman"/>
          <w:sz w:val="22"/>
          <w:szCs w:val="22"/>
        </w:rPr>
        <w:t>concluded that a</w:t>
      </w:r>
      <w:r w:rsidR="00544F4E">
        <w:rPr>
          <w:rFonts w:ascii="Times New Roman" w:hAnsi="Times New Roman" w:cs="Times New Roman"/>
          <w:sz w:val="22"/>
          <w:szCs w:val="22"/>
        </w:rPr>
        <w:t xml:space="preserve"> 3-year duration of treatment effect </w:t>
      </w:r>
      <w:r w:rsidR="00892148">
        <w:rPr>
          <w:rFonts w:ascii="Times New Roman" w:hAnsi="Times New Roman" w:cs="Times New Roman"/>
          <w:sz w:val="22"/>
          <w:szCs w:val="22"/>
        </w:rPr>
        <w:t>“</w:t>
      </w:r>
      <w:r w:rsidR="00544F4E">
        <w:rPr>
          <w:rFonts w:ascii="Times New Roman" w:hAnsi="Times New Roman" w:cs="Times New Roman"/>
          <w:sz w:val="22"/>
          <w:szCs w:val="22"/>
        </w:rPr>
        <w:t>is</w:t>
      </w:r>
      <w:r w:rsidR="00892148">
        <w:rPr>
          <w:rFonts w:ascii="Times New Roman" w:hAnsi="Times New Roman" w:cs="Times New Roman"/>
          <w:sz w:val="22"/>
          <w:szCs w:val="22"/>
        </w:rPr>
        <w:t>”</w:t>
      </w:r>
      <w:r w:rsidR="00544F4E">
        <w:rPr>
          <w:rFonts w:ascii="Times New Roman" w:hAnsi="Times New Roman" w:cs="Times New Roman"/>
          <w:sz w:val="22"/>
          <w:szCs w:val="22"/>
        </w:rPr>
        <w:t xml:space="preserve"> plausible</w:t>
      </w:r>
      <w:r w:rsidR="007B65E0">
        <w:rPr>
          <w:rFonts w:ascii="Times New Roman" w:hAnsi="Times New Roman" w:cs="Times New Roman"/>
          <w:sz w:val="22"/>
          <w:szCs w:val="22"/>
        </w:rPr>
        <w:t xml:space="preserve"> and</w:t>
      </w:r>
      <w:r w:rsidR="00544F4E">
        <w:rPr>
          <w:rFonts w:ascii="Times New Roman" w:hAnsi="Times New Roman" w:cs="Times New Roman"/>
          <w:sz w:val="22"/>
          <w:szCs w:val="22"/>
        </w:rPr>
        <w:t xml:space="preserve"> a</w:t>
      </w:r>
      <w:r w:rsidRPr="00D57189">
        <w:rPr>
          <w:rFonts w:ascii="Times New Roman" w:hAnsi="Times New Roman" w:cs="Times New Roman"/>
          <w:sz w:val="22"/>
          <w:szCs w:val="22"/>
        </w:rPr>
        <w:t xml:space="preserve"> 3-year to 5-year duration of treatment effect “could be plausible</w:t>
      </w:r>
      <w:r w:rsidR="007822C0">
        <w:rPr>
          <w:rFonts w:ascii="Times New Roman" w:hAnsi="Times New Roman" w:cs="Times New Roman"/>
          <w:sz w:val="22"/>
          <w:szCs w:val="22"/>
        </w:rPr>
        <w:t>.</w:t>
      </w:r>
      <w:r w:rsidRPr="00D57189">
        <w:rPr>
          <w:rFonts w:ascii="Times New Roman" w:hAnsi="Times New Roman" w:cs="Times New Roman"/>
          <w:sz w:val="22"/>
          <w:szCs w:val="22"/>
        </w:rPr>
        <w:t>”</w:t>
      </w:r>
      <w:r w:rsidR="00383A12">
        <w:rPr>
          <w:rStyle w:val="FootnoteReference"/>
          <w:rFonts w:ascii="Times New Roman" w:hAnsi="Times New Roman" w:cs="Times New Roman"/>
          <w:sz w:val="22"/>
          <w:szCs w:val="22"/>
        </w:rPr>
        <w:footnoteReference w:id="2"/>
      </w:r>
      <w:r w:rsidR="007B65E0">
        <w:rPr>
          <w:rFonts w:ascii="Times New Roman" w:hAnsi="Times New Roman" w:cs="Times New Roman"/>
          <w:sz w:val="22"/>
          <w:szCs w:val="22"/>
        </w:rPr>
        <w:t xml:space="preserve">  However, the Committee also concluded </w:t>
      </w:r>
      <w:r w:rsidRPr="00D57189">
        <w:rPr>
          <w:rFonts w:ascii="Times New Roman" w:hAnsi="Times New Roman" w:cs="Times New Roman"/>
          <w:sz w:val="22"/>
          <w:szCs w:val="22"/>
        </w:rPr>
        <w:t>that “</w:t>
      </w:r>
      <w:r w:rsidRPr="024B4842">
        <w:rPr>
          <w:rFonts w:ascii="Times New Roman" w:hAnsi="Times New Roman" w:cs="Times New Roman"/>
          <w:i/>
          <w:iCs/>
          <w:sz w:val="22"/>
          <w:szCs w:val="22"/>
        </w:rPr>
        <w:t>there is no strong evidence to support a 5-year or longer treatment effect</w:t>
      </w:r>
      <w:r w:rsidR="000C0EE7" w:rsidRPr="024B4842">
        <w:rPr>
          <w:rFonts w:ascii="Times New Roman" w:hAnsi="Times New Roman" w:cs="Times New Roman"/>
          <w:i/>
          <w:iCs/>
          <w:sz w:val="22"/>
          <w:szCs w:val="22"/>
        </w:rPr>
        <w:t>.</w:t>
      </w:r>
      <w:r w:rsidRPr="00D57189">
        <w:rPr>
          <w:rFonts w:ascii="Times New Roman" w:hAnsi="Times New Roman" w:cs="Times New Roman"/>
          <w:sz w:val="22"/>
          <w:szCs w:val="22"/>
        </w:rPr>
        <w:t>”</w:t>
      </w:r>
      <w:r w:rsidR="00383A12">
        <w:rPr>
          <w:rStyle w:val="FootnoteReference"/>
          <w:rFonts w:ascii="Times New Roman" w:hAnsi="Times New Roman" w:cs="Times New Roman"/>
          <w:sz w:val="22"/>
          <w:szCs w:val="22"/>
        </w:rPr>
        <w:footnoteReference w:id="3"/>
      </w:r>
      <w:r w:rsidRPr="00D57189">
        <w:rPr>
          <w:rFonts w:ascii="Times New Roman" w:hAnsi="Times New Roman" w:cs="Times New Roman"/>
          <w:sz w:val="22"/>
          <w:szCs w:val="22"/>
        </w:rPr>
        <w:t xml:space="preserve">  </w:t>
      </w:r>
      <w:r w:rsidR="0077101A">
        <w:rPr>
          <w:rFonts w:ascii="Times New Roman" w:hAnsi="Times New Roman" w:cs="Times New Roman"/>
          <w:sz w:val="22"/>
          <w:szCs w:val="22"/>
        </w:rPr>
        <w:t xml:space="preserve">The language used suggests </w:t>
      </w:r>
      <w:r w:rsidR="005814BD">
        <w:rPr>
          <w:rFonts w:ascii="Times New Roman" w:hAnsi="Times New Roman" w:cs="Times New Roman"/>
          <w:sz w:val="22"/>
          <w:szCs w:val="22"/>
        </w:rPr>
        <w:t>–</w:t>
      </w:r>
      <w:r w:rsidR="000C0EE7">
        <w:rPr>
          <w:rFonts w:ascii="Times New Roman" w:hAnsi="Times New Roman" w:cs="Times New Roman"/>
          <w:sz w:val="22"/>
          <w:szCs w:val="22"/>
        </w:rPr>
        <w:t xml:space="preserve"> but does not </w:t>
      </w:r>
      <w:r w:rsidR="00812C6E">
        <w:rPr>
          <w:rFonts w:ascii="Times New Roman" w:hAnsi="Times New Roman" w:cs="Times New Roman"/>
          <w:sz w:val="22"/>
          <w:szCs w:val="22"/>
        </w:rPr>
        <w:t xml:space="preserve">go as far as to </w:t>
      </w:r>
      <w:r w:rsidR="000C0EE7">
        <w:rPr>
          <w:rFonts w:ascii="Times New Roman" w:hAnsi="Times New Roman" w:cs="Times New Roman"/>
          <w:sz w:val="22"/>
          <w:szCs w:val="22"/>
        </w:rPr>
        <w:t xml:space="preserve">say </w:t>
      </w:r>
      <w:r w:rsidR="005814BD">
        <w:rPr>
          <w:rFonts w:ascii="Times New Roman" w:hAnsi="Times New Roman" w:cs="Times New Roman"/>
          <w:sz w:val="22"/>
          <w:szCs w:val="22"/>
        </w:rPr>
        <w:t>–</w:t>
      </w:r>
      <w:r w:rsidR="000C0EE7">
        <w:rPr>
          <w:rFonts w:ascii="Times New Roman" w:hAnsi="Times New Roman" w:cs="Times New Roman"/>
          <w:sz w:val="22"/>
          <w:szCs w:val="22"/>
        </w:rPr>
        <w:t xml:space="preserve"> </w:t>
      </w:r>
      <w:r w:rsidR="0077101A">
        <w:rPr>
          <w:rFonts w:ascii="Times New Roman" w:hAnsi="Times New Roman" w:cs="Times New Roman"/>
          <w:sz w:val="22"/>
          <w:szCs w:val="22"/>
        </w:rPr>
        <w:t>the Appraisal Committee believed a 3-year treatment effect to be more credible than the company’s submission supporting a 5-year cap.  Based on this, though without any further explanation</w:t>
      </w:r>
      <w:r w:rsidR="00351DB4">
        <w:rPr>
          <w:rFonts w:ascii="Times New Roman" w:hAnsi="Times New Roman" w:cs="Times New Roman"/>
          <w:sz w:val="22"/>
          <w:szCs w:val="22"/>
        </w:rPr>
        <w:t xml:space="preserve"> or detail</w:t>
      </w:r>
      <w:r w:rsidR="0077101A">
        <w:rPr>
          <w:rFonts w:ascii="Times New Roman" w:hAnsi="Times New Roman" w:cs="Times New Roman"/>
          <w:sz w:val="22"/>
          <w:szCs w:val="22"/>
        </w:rPr>
        <w:t xml:space="preserve">, the </w:t>
      </w:r>
      <w:r w:rsidRPr="007B65E0">
        <w:rPr>
          <w:rFonts w:ascii="Times New Roman" w:hAnsi="Times New Roman" w:cs="Times New Roman"/>
          <w:sz w:val="22"/>
          <w:szCs w:val="22"/>
        </w:rPr>
        <w:t>Committee applied a treatment</w:t>
      </w:r>
      <w:r w:rsidR="005814BD">
        <w:rPr>
          <w:rFonts w:ascii="Times New Roman" w:hAnsi="Times New Roman" w:cs="Times New Roman"/>
          <w:sz w:val="22"/>
          <w:szCs w:val="22"/>
        </w:rPr>
        <w:t xml:space="preserve"> </w:t>
      </w:r>
      <w:r w:rsidRPr="007B65E0">
        <w:rPr>
          <w:rFonts w:ascii="Times New Roman" w:hAnsi="Times New Roman" w:cs="Times New Roman"/>
          <w:sz w:val="22"/>
          <w:szCs w:val="22"/>
        </w:rPr>
        <w:t xml:space="preserve">effect cap of 3-5 years to calculate </w:t>
      </w:r>
      <w:r w:rsidR="009018A5">
        <w:rPr>
          <w:rFonts w:ascii="Times New Roman" w:hAnsi="Times New Roman" w:cs="Times New Roman"/>
          <w:sz w:val="22"/>
          <w:szCs w:val="22"/>
        </w:rPr>
        <w:t xml:space="preserve">its range of possible </w:t>
      </w:r>
      <w:r w:rsidR="005773CD">
        <w:rPr>
          <w:rFonts w:ascii="Times New Roman" w:hAnsi="Times New Roman" w:cs="Times New Roman"/>
          <w:sz w:val="22"/>
          <w:szCs w:val="22"/>
        </w:rPr>
        <w:t>ICERs.</w:t>
      </w:r>
      <w:r w:rsidR="00870DAF">
        <w:rPr>
          <w:rStyle w:val="FootnoteReference"/>
          <w:rFonts w:ascii="Times New Roman" w:hAnsi="Times New Roman" w:cs="Times New Roman"/>
          <w:sz w:val="22"/>
          <w:szCs w:val="22"/>
        </w:rPr>
        <w:footnoteReference w:id="4"/>
      </w:r>
      <w:r w:rsidR="009018A5">
        <w:rPr>
          <w:rFonts w:ascii="Times New Roman" w:hAnsi="Times New Roman" w:cs="Times New Roman"/>
          <w:sz w:val="22"/>
          <w:szCs w:val="22"/>
        </w:rPr>
        <w:t xml:space="preserve">  The C</w:t>
      </w:r>
      <w:r w:rsidR="000C0EE7">
        <w:rPr>
          <w:rFonts w:ascii="Times New Roman" w:hAnsi="Times New Roman" w:cs="Times New Roman"/>
          <w:sz w:val="22"/>
          <w:szCs w:val="22"/>
        </w:rPr>
        <w:t xml:space="preserve">ommittee has not expressed a preference for a particular point in </w:t>
      </w:r>
      <w:r w:rsidR="009018A5">
        <w:rPr>
          <w:rFonts w:ascii="Times New Roman" w:hAnsi="Times New Roman" w:cs="Times New Roman"/>
          <w:sz w:val="22"/>
          <w:szCs w:val="22"/>
        </w:rPr>
        <w:t xml:space="preserve">that range, though the clear implication from the language of the FAD is to call into question the company’s preference for the upper end. </w:t>
      </w:r>
      <w:r>
        <w:rPr>
          <w:rFonts w:ascii="Times New Roman" w:hAnsi="Times New Roman" w:cs="Times New Roman"/>
          <w:sz w:val="22"/>
          <w:szCs w:val="22"/>
        </w:rPr>
        <w:t xml:space="preserve"> </w:t>
      </w:r>
    </w:p>
    <w:p w14:paraId="6AE31974" w14:textId="77777777" w:rsidR="00D413E0" w:rsidRPr="00D57189" w:rsidRDefault="00D413E0" w:rsidP="00D413E0">
      <w:pPr>
        <w:pStyle w:val="BodyText"/>
        <w:jc w:val="both"/>
        <w:rPr>
          <w:rFonts w:ascii="Times New Roman" w:hAnsi="Times New Roman" w:cs="Times New Roman"/>
          <w:sz w:val="22"/>
          <w:szCs w:val="22"/>
        </w:rPr>
      </w:pPr>
      <w:r>
        <w:rPr>
          <w:rFonts w:ascii="Times New Roman" w:hAnsi="Times New Roman" w:cs="Times New Roman"/>
          <w:sz w:val="22"/>
          <w:szCs w:val="22"/>
        </w:rPr>
        <w:t>We submit t</w:t>
      </w:r>
      <w:r w:rsidRPr="00D57189">
        <w:rPr>
          <w:rFonts w:ascii="Times New Roman" w:hAnsi="Times New Roman" w:cs="Times New Roman"/>
          <w:sz w:val="22"/>
          <w:szCs w:val="22"/>
        </w:rPr>
        <w:t>he Appraisal Committee’s approach is misconceived</w:t>
      </w:r>
      <w:r>
        <w:rPr>
          <w:rFonts w:ascii="Times New Roman" w:hAnsi="Times New Roman" w:cs="Times New Roman"/>
          <w:sz w:val="22"/>
          <w:szCs w:val="22"/>
        </w:rPr>
        <w:t xml:space="preserve"> and unreasonable.</w:t>
      </w:r>
      <w:r w:rsidRPr="00D57189">
        <w:rPr>
          <w:rFonts w:ascii="Times New Roman" w:hAnsi="Times New Roman" w:cs="Times New Roman"/>
          <w:sz w:val="22"/>
          <w:szCs w:val="22"/>
        </w:rPr>
        <w:t xml:space="preserve"> </w:t>
      </w:r>
    </w:p>
    <w:p w14:paraId="2554783E" w14:textId="375E44CD" w:rsidR="00D413E0" w:rsidRPr="00351739" w:rsidRDefault="00D413E0" w:rsidP="00D413E0">
      <w:pPr>
        <w:pStyle w:val="BodyText"/>
        <w:jc w:val="both"/>
        <w:rPr>
          <w:rFonts w:ascii="Times New Roman" w:hAnsi="Times New Roman" w:cs="Times New Roman"/>
          <w:b/>
          <w:i/>
          <w:sz w:val="22"/>
          <w:szCs w:val="22"/>
        </w:rPr>
      </w:pPr>
      <w:r w:rsidRPr="00351739">
        <w:rPr>
          <w:rFonts w:ascii="Times New Roman" w:hAnsi="Times New Roman" w:cs="Times New Roman"/>
          <w:b/>
          <w:i/>
          <w:sz w:val="22"/>
          <w:szCs w:val="22"/>
        </w:rPr>
        <w:t>Unreasonable requirement for “strong evidence”</w:t>
      </w:r>
      <w:r w:rsidR="009018A5">
        <w:rPr>
          <w:rFonts w:ascii="Times New Roman" w:hAnsi="Times New Roman" w:cs="Times New Roman"/>
          <w:b/>
          <w:i/>
          <w:sz w:val="22"/>
          <w:szCs w:val="22"/>
        </w:rPr>
        <w:t xml:space="preserve"> of a 5-year treatment effect</w:t>
      </w:r>
      <w:r w:rsidRPr="00351739">
        <w:rPr>
          <w:rFonts w:ascii="Times New Roman" w:hAnsi="Times New Roman" w:cs="Times New Roman"/>
          <w:b/>
          <w:i/>
          <w:sz w:val="22"/>
          <w:szCs w:val="22"/>
        </w:rPr>
        <w:t xml:space="preserve"> </w:t>
      </w:r>
    </w:p>
    <w:p w14:paraId="3495BB2A" w14:textId="1537027D" w:rsidR="00D413E0" w:rsidRPr="00D57189" w:rsidRDefault="00D413E0" w:rsidP="00D413E0">
      <w:pPr>
        <w:pStyle w:val="BodyText"/>
        <w:jc w:val="both"/>
        <w:rPr>
          <w:rFonts w:ascii="Times New Roman" w:hAnsi="Times New Roman" w:cs="Times New Roman"/>
          <w:sz w:val="22"/>
          <w:szCs w:val="22"/>
        </w:rPr>
      </w:pPr>
      <w:r w:rsidRPr="00D57189">
        <w:rPr>
          <w:rFonts w:ascii="Times New Roman" w:hAnsi="Times New Roman" w:cs="Times New Roman"/>
          <w:sz w:val="22"/>
          <w:szCs w:val="22"/>
        </w:rPr>
        <w:t>The Appraisal Committee</w:t>
      </w:r>
      <w:r w:rsidR="009018A5">
        <w:rPr>
          <w:rFonts w:ascii="Times New Roman" w:hAnsi="Times New Roman" w:cs="Times New Roman"/>
          <w:sz w:val="22"/>
          <w:szCs w:val="22"/>
        </w:rPr>
        <w:t xml:space="preserve"> calls into question the company’s preference of a 5-year cap by stating there is “no strong evidence” to support it.  The</w:t>
      </w:r>
      <w:r w:rsidRPr="00D57189">
        <w:rPr>
          <w:rFonts w:ascii="Times New Roman" w:hAnsi="Times New Roman" w:cs="Times New Roman"/>
          <w:sz w:val="22"/>
          <w:szCs w:val="22"/>
        </w:rPr>
        <w:t xml:space="preserve"> requirement </w:t>
      </w:r>
      <w:r w:rsidR="009018A5">
        <w:rPr>
          <w:rFonts w:ascii="Times New Roman" w:hAnsi="Times New Roman" w:cs="Times New Roman"/>
          <w:sz w:val="22"/>
          <w:szCs w:val="22"/>
        </w:rPr>
        <w:t xml:space="preserve">for </w:t>
      </w:r>
      <w:r w:rsidRPr="00D57189">
        <w:rPr>
          <w:rFonts w:ascii="Times New Roman" w:hAnsi="Times New Roman" w:cs="Times New Roman"/>
          <w:sz w:val="22"/>
          <w:szCs w:val="22"/>
        </w:rPr>
        <w:t>“strong evidence” to support a 5-year cap</w:t>
      </w:r>
      <w:r>
        <w:rPr>
          <w:rFonts w:ascii="Times New Roman" w:hAnsi="Times New Roman" w:cs="Times New Roman"/>
          <w:sz w:val="22"/>
          <w:szCs w:val="22"/>
        </w:rPr>
        <w:t xml:space="preserve"> is </w:t>
      </w:r>
      <w:r>
        <w:rPr>
          <w:rFonts w:ascii="Times New Roman" w:hAnsi="Times New Roman" w:cs="Times New Roman"/>
          <w:sz w:val="22"/>
          <w:szCs w:val="22"/>
        </w:rPr>
        <w:lastRenderedPageBreak/>
        <w:t>plainly wrong</w:t>
      </w:r>
      <w:r w:rsidRPr="00D57189">
        <w:rPr>
          <w:rFonts w:ascii="Times New Roman" w:hAnsi="Times New Roman" w:cs="Times New Roman"/>
          <w:sz w:val="22"/>
          <w:szCs w:val="22"/>
        </w:rPr>
        <w:t>.  By its nature, this is an exercise in estimation</w:t>
      </w:r>
      <w:r>
        <w:rPr>
          <w:rFonts w:ascii="Times New Roman" w:hAnsi="Times New Roman" w:cs="Times New Roman"/>
          <w:sz w:val="22"/>
          <w:szCs w:val="22"/>
        </w:rPr>
        <w:t>.  Requiring technologies to demonstrate “strong evidence” i</w:t>
      </w:r>
      <w:r w:rsidR="000C0EE7">
        <w:rPr>
          <w:rFonts w:ascii="Times New Roman" w:hAnsi="Times New Roman" w:cs="Times New Roman"/>
          <w:sz w:val="22"/>
          <w:szCs w:val="22"/>
        </w:rPr>
        <w:t>n the present circumstances is</w:t>
      </w:r>
      <w:r>
        <w:rPr>
          <w:rFonts w:ascii="Times New Roman" w:hAnsi="Times New Roman" w:cs="Times New Roman"/>
          <w:sz w:val="22"/>
          <w:szCs w:val="22"/>
        </w:rPr>
        <w:t xml:space="preserve"> an unattainably high standard</w:t>
      </w:r>
      <w:r w:rsidRPr="00D57189">
        <w:rPr>
          <w:rFonts w:ascii="Times New Roman" w:hAnsi="Times New Roman" w:cs="Times New Roman"/>
          <w:sz w:val="22"/>
          <w:szCs w:val="22"/>
        </w:rPr>
        <w:t xml:space="preserve">.  The duration of treatment effect is a question that features routinely in technology appraisals for </w:t>
      </w:r>
      <w:r>
        <w:rPr>
          <w:rFonts w:ascii="Times New Roman" w:hAnsi="Times New Roman" w:cs="Times New Roman"/>
          <w:sz w:val="22"/>
          <w:szCs w:val="22"/>
        </w:rPr>
        <w:t>immun</w:t>
      </w:r>
      <w:r w:rsidR="00C20DBA">
        <w:rPr>
          <w:rFonts w:ascii="Times New Roman" w:hAnsi="Times New Roman" w:cs="Times New Roman"/>
          <w:sz w:val="22"/>
          <w:szCs w:val="22"/>
        </w:rPr>
        <w:t>o</w:t>
      </w:r>
      <w:r>
        <w:rPr>
          <w:rFonts w:ascii="Times New Roman" w:hAnsi="Times New Roman" w:cs="Times New Roman"/>
          <w:sz w:val="22"/>
          <w:szCs w:val="22"/>
        </w:rPr>
        <w:t xml:space="preserve">-oncology </w:t>
      </w:r>
      <w:r w:rsidRPr="00D57189">
        <w:rPr>
          <w:rFonts w:ascii="Times New Roman" w:hAnsi="Times New Roman" w:cs="Times New Roman"/>
          <w:sz w:val="22"/>
          <w:szCs w:val="22"/>
        </w:rPr>
        <w:t>drugs.  Often, the dat</w:t>
      </w:r>
      <w:r>
        <w:rPr>
          <w:rFonts w:ascii="Times New Roman" w:hAnsi="Times New Roman" w:cs="Times New Roman"/>
          <w:sz w:val="22"/>
          <w:szCs w:val="22"/>
        </w:rPr>
        <w:t xml:space="preserve">a available </w:t>
      </w:r>
      <w:r w:rsidR="0031436D">
        <w:rPr>
          <w:rFonts w:ascii="Times New Roman" w:hAnsi="Times New Roman" w:cs="Times New Roman"/>
          <w:sz w:val="22"/>
          <w:szCs w:val="22"/>
        </w:rPr>
        <w:t>are</w:t>
      </w:r>
      <w:r>
        <w:rPr>
          <w:rFonts w:ascii="Times New Roman" w:hAnsi="Times New Roman" w:cs="Times New Roman"/>
          <w:sz w:val="22"/>
          <w:szCs w:val="22"/>
        </w:rPr>
        <w:t xml:space="preserve"> limited and, as in this case, clinical trials are rarely sufficiently powered to provide “strong evidence” of long-term effects.  The routine approach is for Appraisal </w:t>
      </w:r>
      <w:r w:rsidRPr="00D57189">
        <w:rPr>
          <w:rFonts w:ascii="Times New Roman" w:hAnsi="Times New Roman" w:cs="Times New Roman"/>
          <w:sz w:val="22"/>
          <w:szCs w:val="22"/>
        </w:rPr>
        <w:t>Committee</w:t>
      </w:r>
      <w:r>
        <w:rPr>
          <w:rFonts w:ascii="Times New Roman" w:hAnsi="Times New Roman" w:cs="Times New Roman"/>
          <w:sz w:val="22"/>
          <w:szCs w:val="22"/>
        </w:rPr>
        <w:t>s, informed by the ERG, to review a broad range of evidence to estimate the most likely period</w:t>
      </w:r>
      <w:r w:rsidRPr="00D57189">
        <w:rPr>
          <w:rFonts w:ascii="Times New Roman" w:hAnsi="Times New Roman" w:cs="Times New Roman"/>
          <w:sz w:val="22"/>
          <w:szCs w:val="22"/>
        </w:rPr>
        <w:t xml:space="preserve">.  </w:t>
      </w:r>
      <w:r>
        <w:rPr>
          <w:rFonts w:ascii="Times New Roman" w:hAnsi="Times New Roman" w:cs="Times New Roman"/>
          <w:sz w:val="22"/>
          <w:szCs w:val="22"/>
        </w:rPr>
        <w:t xml:space="preserve">Technologies are often given the benefit of doubt so as not to unfairly prejudice the appraisal.  </w:t>
      </w:r>
      <w:r w:rsidRPr="00D57189">
        <w:rPr>
          <w:rFonts w:ascii="Times New Roman" w:hAnsi="Times New Roman" w:cs="Times New Roman"/>
          <w:sz w:val="22"/>
          <w:szCs w:val="22"/>
        </w:rPr>
        <w:t xml:space="preserve">We refer </w:t>
      </w:r>
      <w:r w:rsidR="00351DB4">
        <w:rPr>
          <w:rFonts w:ascii="Times New Roman" w:hAnsi="Times New Roman" w:cs="Times New Roman"/>
          <w:sz w:val="22"/>
          <w:szCs w:val="22"/>
        </w:rPr>
        <w:t xml:space="preserve">to </w:t>
      </w:r>
      <w:r w:rsidRPr="00D57189">
        <w:rPr>
          <w:rFonts w:ascii="Times New Roman" w:hAnsi="Times New Roman" w:cs="Times New Roman"/>
          <w:sz w:val="22"/>
          <w:szCs w:val="22"/>
        </w:rPr>
        <w:t xml:space="preserve">examples under Ground </w:t>
      </w:r>
      <w:r w:rsidR="00770777" w:rsidRPr="00911EDF">
        <w:rPr>
          <w:rFonts w:ascii="Times New Roman" w:hAnsi="Times New Roman" w:cs="Times New Roman"/>
          <w:sz w:val="22"/>
          <w:szCs w:val="22"/>
        </w:rPr>
        <w:t>1a.1</w:t>
      </w:r>
      <w:r w:rsidRPr="00D57189">
        <w:rPr>
          <w:rFonts w:ascii="Times New Roman" w:hAnsi="Times New Roman" w:cs="Times New Roman"/>
          <w:sz w:val="22"/>
          <w:szCs w:val="22"/>
        </w:rPr>
        <w:t xml:space="preserve">, in which NICE has accepted a </w:t>
      </w:r>
      <w:r w:rsidR="00892148">
        <w:rPr>
          <w:rFonts w:ascii="Times New Roman" w:hAnsi="Times New Roman" w:cs="Times New Roman"/>
          <w:sz w:val="22"/>
          <w:szCs w:val="22"/>
        </w:rPr>
        <w:t>5</w:t>
      </w:r>
      <w:r w:rsidRPr="00D57189">
        <w:rPr>
          <w:rFonts w:ascii="Times New Roman" w:hAnsi="Times New Roman" w:cs="Times New Roman"/>
          <w:sz w:val="22"/>
          <w:szCs w:val="22"/>
        </w:rPr>
        <w:t>-year cap</w:t>
      </w:r>
      <w:r>
        <w:rPr>
          <w:rFonts w:ascii="Times New Roman" w:hAnsi="Times New Roman" w:cs="Times New Roman"/>
          <w:sz w:val="22"/>
          <w:szCs w:val="22"/>
        </w:rPr>
        <w:t xml:space="preserve"> or higher</w:t>
      </w:r>
      <w:r w:rsidR="00892148">
        <w:rPr>
          <w:rFonts w:ascii="Times New Roman" w:hAnsi="Times New Roman" w:cs="Times New Roman"/>
          <w:sz w:val="22"/>
          <w:szCs w:val="22"/>
        </w:rPr>
        <w:t xml:space="preserve"> (from starting treatment)</w:t>
      </w:r>
      <w:r w:rsidRPr="00D57189">
        <w:rPr>
          <w:rFonts w:ascii="Times New Roman" w:hAnsi="Times New Roman" w:cs="Times New Roman"/>
          <w:sz w:val="22"/>
          <w:szCs w:val="22"/>
        </w:rPr>
        <w:t>, based on a broad assessment of the data.  The m</w:t>
      </w:r>
      <w:r>
        <w:rPr>
          <w:rFonts w:ascii="Times New Roman" w:hAnsi="Times New Roman" w:cs="Times New Roman"/>
          <w:sz w:val="22"/>
          <w:szCs w:val="22"/>
        </w:rPr>
        <w:t>ost notable example is TA525</w:t>
      </w:r>
      <w:r w:rsidR="004471CC">
        <w:rPr>
          <w:rFonts w:ascii="Times New Roman" w:hAnsi="Times New Roman" w:cs="Times New Roman"/>
          <w:sz w:val="22"/>
          <w:szCs w:val="22"/>
        </w:rPr>
        <w:t>, which we discuss further below</w:t>
      </w:r>
      <w:r>
        <w:rPr>
          <w:rFonts w:ascii="Times New Roman" w:hAnsi="Times New Roman" w:cs="Times New Roman"/>
          <w:sz w:val="22"/>
          <w:szCs w:val="22"/>
        </w:rPr>
        <w:t xml:space="preserve">. </w:t>
      </w:r>
      <w:r w:rsidRPr="00D57189">
        <w:rPr>
          <w:rFonts w:ascii="Times New Roman" w:hAnsi="Times New Roman" w:cs="Times New Roman"/>
          <w:sz w:val="22"/>
          <w:szCs w:val="22"/>
        </w:rPr>
        <w:t xml:space="preserve"> </w:t>
      </w:r>
    </w:p>
    <w:p w14:paraId="40248E3F" w14:textId="6B694B1E" w:rsidR="00D413E0" w:rsidRPr="007D4D82" w:rsidRDefault="00D413E0" w:rsidP="00D413E0">
      <w:pPr>
        <w:pStyle w:val="BodyText"/>
        <w:jc w:val="both"/>
        <w:rPr>
          <w:rFonts w:ascii="Times New Roman" w:hAnsi="Times New Roman" w:cs="Times New Roman"/>
          <w:i/>
          <w:sz w:val="22"/>
          <w:szCs w:val="22"/>
        </w:rPr>
      </w:pPr>
      <w:r>
        <w:rPr>
          <w:rFonts w:ascii="Times New Roman" w:hAnsi="Times New Roman" w:cs="Times New Roman"/>
          <w:sz w:val="22"/>
          <w:szCs w:val="22"/>
        </w:rPr>
        <w:t xml:space="preserve">ID1536 </w:t>
      </w:r>
      <w:r w:rsidRPr="00D57189">
        <w:rPr>
          <w:rFonts w:ascii="Times New Roman" w:hAnsi="Times New Roman" w:cs="Times New Roman"/>
          <w:sz w:val="22"/>
          <w:szCs w:val="22"/>
        </w:rPr>
        <w:t>is</w:t>
      </w:r>
      <w:r>
        <w:rPr>
          <w:rFonts w:ascii="Times New Roman" w:hAnsi="Times New Roman" w:cs="Times New Roman"/>
          <w:sz w:val="22"/>
          <w:szCs w:val="22"/>
        </w:rPr>
        <w:t xml:space="preserve"> in many respects unprecedented in that </w:t>
      </w:r>
      <w:r w:rsidRPr="00D57189">
        <w:rPr>
          <w:rFonts w:ascii="Times New Roman" w:hAnsi="Times New Roman" w:cs="Times New Roman"/>
          <w:sz w:val="22"/>
          <w:szCs w:val="22"/>
        </w:rPr>
        <w:t>approximately 4 years of data from KEYNOTE-045</w:t>
      </w:r>
      <w:r>
        <w:rPr>
          <w:rFonts w:ascii="Times New Roman" w:hAnsi="Times New Roman" w:cs="Times New Roman"/>
          <w:sz w:val="22"/>
          <w:szCs w:val="22"/>
        </w:rPr>
        <w:t xml:space="preserve"> </w:t>
      </w:r>
      <w:r w:rsidR="0031436D">
        <w:rPr>
          <w:rFonts w:ascii="Times New Roman" w:hAnsi="Times New Roman" w:cs="Times New Roman"/>
          <w:sz w:val="22"/>
          <w:szCs w:val="22"/>
        </w:rPr>
        <w:t>are</w:t>
      </w:r>
      <w:r>
        <w:rPr>
          <w:rFonts w:ascii="Times New Roman" w:hAnsi="Times New Roman" w:cs="Times New Roman"/>
          <w:sz w:val="22"/>
          <w:szCs w:val="22"/>
        </w:rPr>
        <w:t xml:space="preserve"> available for review</w:t>
      </w:r>
      <w:r w:rsidRPr="00D57189">
        <w:rPr>
          <w:rFonts w:ascii="Times New Roman" w:hAnsi="Times New Roman" w:cs="Times New Roman"/>
          <w:sz w:val="22"/>
          <w:szCs w:val="22"/>
        </w:rPr>
        <w:t xml:space="preserve">.  This </w:t>
      </w:r>
      <w:r>
        <w:rPr>
          <w:rFonts w:ascii="Times New Roman" w:hAnsi="Times New Roman" w:cs="Times New Roman"/>
          <w:sz w:val="22"/>
          <w:szCs w:val="22"/>
        </w:rPr>
        <w:t xml:space="preserve">is a higher </w:t>
      </w:r>
      <w:r w:rsidRPr="00D57189">
        <w:rPr>
          <w:rFonts w:ascii="Times New Roman" w:hAnsi="Times New Roman" w:cs="Times New Roman"/>
          <w:sz w:val="22"/>
          <w:szCs w:val="22"/>
        </w:rPr>
        <w:t xml:space="preserve">quality of </w:t>
      </w:r>
      <w:r>
        <w:rPr>
          <w:rFonts w:ascii="Times New Roman" w:hAnsi="Times New Roman" w:cs="Times New Roman"/>
          <w:sz w:val="22"/>
          <w:szCs w:val="22"/>
        </w:rPr>
        <w:t xml:space="preserve">primary </w:t>
      </w:r>
      <w:r w:rsidRPr="00D57189">
        <w:rPr>
          <w:rFonts w:ascii="Times New Roman" w:hAnsi="Times New Roman" w:cs="Times New Roman"/>
          <w:sz w:val="22"/>
          <w:szCs w:val="22"/>
        </w:rPr>
        <w:t xml:space="preserve">evidence than is available for </w:t>
      </w:r>
      <w:r>
        <w:rPr>
          <w:rFonts w:ascii="Times New Roman" w:hAnsi="Times New Roman" w:cs="Times New Roman"/>
          <w:sz w:val="22"/>
          <w:szCs w:val="22"/>
        </w:rPr>
        <w:t xml:space="preserve">many </w:t>
      </w:r>
      <w:r w:rsidRPr="00D57189">
        <w:rPr>
          <w:rFonts w:ascii="Times New Roman" w:hAnsi="Times New Roman" w:cs="Times New Roman"/>
          <w:sz w:val="22"/>
          <w:szCs w:val="22"/>
        </w:rPr>
        <w:t xml:space="preserve">other </w:t>
      </w:r>
      <w:r>
        <w:rPr>
          <w:rFonts w:ascii="Times New Roman" w:hAnsi="Times New Roman" w:cs="Times New Roman"/>
          <w:sz w:val="22"/>
          <w:szCs w:val="22"/>
        </w:rPr>
        <w:t>technology appraisals for immun</w:t>
      </w:r>
      <w:r w:rsidR="003E50FB">
        <w:rPr>
          <w:rFonts w:ascii="Times New Roman" w:hAnsi="Times New Roman" w:cs="Times New Roman"/>
          <w:sz w:val="22"/>
          <w:szCs w:val="22"/>
        </w:rPr>
        <w:t>o</w:t>
      </w:r>
      <w:r w:rsidRPr="00D57189">
        <w:rPr>
          <w:rFonts w:ascii="Times New Roman" w:hAnsi="Times New Roman" w:cs="Times New Roman"/>
          <w:sz w:val="22"/>
          <w:szCs w:val="22"/>
        </w:rPr>
        <w:t>-oncology products</w:t>
      </w:r>
      <w:r w:rsidR="004471CC">
        <w:rPr>
          <w:rFonts w:ascii="Times New Roman" w:hAnsi="Times New Roman" w:cs="Times New Roman"/>
          <w:sz w:val="22"/>
          <w:szCs w:val="22"/>
        </w:rPr>
        <w:t>, as indeed was the case in TA525</w:t>
      </w:r>
      <w:r w:rsidR="00EE6CA8">
        <w:rPr>
          <w:rFonts w:ascii="Times New Roman" w:hAnsi="Times New Roman" w:cs="Times New Roman"/>
          <w:sz w:val="22"/>
          <w:szCs w:val="22"/>
        </w:rPr>
        <w:t>.  Given this</w:t>
      </w:r>
      <w:r w:rsidRPr="00D57189">
        <w:rPr>
          <w:rFonts w:ascii="Times New Roman" w:hAnsi="Times New Roman" w:cs="Times New Roman"/>
          <w:sz w:val="22"/>
          <w:szCs w:val="22"/>
        </w:rPr>
        <w:t xml:space="preserve">, it is </w:t>
      </w:r>
      <w:r w:rsidR="00EE6CA8">
        <w:rPr>
          <w:rFonts w:ascii="Times New Roman" w:hAnsi="Times New Roman" w:cs="Times New Roman"/>
          <w:sz w:val="22"/>
          <w:szCs w:val="22"/>
        </w:rPr>
        <w:t xml:space="preserve">illogical and </w:t>
      </w:r>
      <w:r w:rsidRPr="00D57189">
        <w:rPr>
          <w:rFonts w:ascii="Times New Roman" w:hAnsi="Times New Roman" w:cs="Times New Roman"/>
          <w:sz w:val="22"/>
          <w:szCs w:val="22"/>
        </w:rPr>
        <w:t xml:space="preserve">unreasonable </w:t>
      </w:r>
      <w:r>
        <w:rPr>
          <w:rFonts w:ascii="Times New Roman" w:hAnsi="Times New Roman" w:cs="Times New Roman"/>
          <w:sz w:val="22"/>
          <w:szCs w:val="22"/>
        </w:rPr>
        <w:t>to expect there to be “</w:t>
      </w:r>
      <w:r w:rsidRPr="00D57189">
        <w:rPr>
          <w:rFonts w:ascii="Times New Roman" w:hAnsi="Times New Roman" w:cs="Times New Roman"/>
          <w:sz w:val="22"/>
          <w:szCs w:val="22"/>
        </w:rPr>
        <w:t>strong</w:t>
      </w:r>
      <w:r>
        <w:rPr>
          <w:rFonts w:ascii="Times New Roman" w:hAnsi="Times New Roman" w:cs="Times New Roman"/>
          <w:sz w:val="22"/>
          <w:szCs w:val="22"/>
        </w:rPr>
        <w:t xml:space="preserve"> evidence</w:t>
      </w:r>
      <w:r w:rsidRPr="00D57189">
        <w:rPr>
          <w:rFonts w:ascii="Times New Roman" w:hAnsi="Times New Roman" w:cs="Times New Roman"/>
          <w:sz w:val="22"/>
          <w:szCs w:val="22"/>
        </w:rPr>
        <w:t>”</w:t>
      </w:r>
      <w:r>
        <w:rPr>
          <w:rFonts w:ascii="Times New Roman" w:hAnsi="Times New Roman" w:cs="Times New Roman"/>
          <w:sz w:val="22"/>
          <w:szCs w:val="22"/>
        </w:rPr>
        <w:t xml:space="preserve"> supporting a 5-year cap</w:t>
      </w:r>
      <w:r w:rsidR="00EE6CA8">
        <w:rPr>
          <w:rFonts w:ascii="Times New Roman" w:hAnsi="Times New Roman" w:cs="Times New Roman"/>
          <w:sz w:val="22"/>
          <w:szCs w:val="22"/>
        </w:rPr>
        <w:t xml:space="preserve"> for pembrolizumab when that is not the same standard used elsewhere and when the data available </w:t>
      </w:r>
      <w:r w:rsidR="00E86083">
        <w:rPr>
          <w:rFonts w:ascii="Times New Roman" w:hAnsi="Times New Roman" w:cs="Times New Roman"/>
          <w:sz w:val="22"/>
          <w:szCs w:val="22"/>
        </w:rPr>
        <w:t xml:space="preserve">concerning the effect of treatment </w:t>
      </w:r>
      <w:r w:rsidR="00EE6CA8">
        <w:rPr>
          <w:rFonts w:ascii="Times New Roman" w:hAnsi="Times New Roman" w:cs="Times New Roman"/>
          <w:sz w:val="22"/>
          <w:szCs w:val="22"/>
        </w:rPr>
        <w:t xml:space="preserve">are </w:t>
      </w:r>
      <w:r w:rsidR="00E86083">
        <w:rPr>
          <w:rFonts w:ascii="Times New Roman" w:hAnsi="Times New Roman" w:cs="Times New Roman"/>
          <w:sz w:val="22"/>
          <w:szCs w:val="22"/>
        </w:rPr>
        <w:t xml:space="preserve">far </w:t>
      </w:r>
      <w:r w:rsidR="00EE6CA8">
        <w:rPr>
          <w:rFonts w:ascii="Times New Roman" w:hAnsi="Times New Roman" w:cs="Times New Roman"/>
          <w:sz w:val="22"/>
          <w:szCs w:val="22"/>
        </w:rPr>
        <w:t>stronger than in comparable appraisals</w:t>
      </w:r>
      <w:r>
        <w:rPr>
          <w:rFonts w:ascii="Times New Roman" w:hAnsi="Times New Roman" w:cs="Times New Roman"/>
          <w:sz w:val="22"/>
          <w:szCs w:val="22"/>
        </w:rPr>
        <w:t>.</w:t>
      </w:r>
    </w:p>
    <w:p w14:paraId="5571EB97" w14:textId="27C4152D" w:rsidR="00D413E0" w:rsidRPr="00DB659B" w:rsidRDefault="00D413E0" w:rsidP="024B4842">
      <w:pPr>
        <w:pStyle w:val="BodyText"/>
        <w:jc w:val="both"/>
        <w:rPr>
          <w:rFonts w:ascii="Times New Roman" w:hAnsi="Times New Roman" w:cs="Times New Roman"/>
          <w:b/>
          <w:bCs/>
          <w:i/>
          <w:iCs/>
          <w:sz w:val="22"/>
          <w:szCs w:val="22"/>
        </w:rPr>
      </w:pPr>
      <w:r w:rsidRPr="024B4842">
        <w:rPr>
          <w:rFonts w:ascii="Times New Roman" w:hAnsi="Times New Roman" w:cs="Times New Roman"/>
          <w:b/>
          <w:bCs/>
          <w:i/>
          <w:iCs/>
          <w:sz w:val="22"/>
          <w:szCs w:val="22"/>
        </w:rPr>
        <w:t>Applying a</w:t>
      </w:r>
      <w:r w:rsidR="007D4D82" w:rsidRPr="024B4842">
        <w:rPr>
          <w:rFonts w:ascii="Times New Roman" w:hAnsi="Times New Roman" w:cs="Times New Roman"/>
          <w:b/>
          <w:bCs/>
          <w:i/>
          <w:iCs/>
          <w:sz w:val="22"/>
          <w:szCs w:val="22"/>
        </w:rPr>
        <w:t xml:space="preserve"> vague</w:t>
      </w:r>
      <w:r w:rsidRPr="024B4842">
        <w:rPr>
          <w:rFonts w:ascii="Times New Roman" w:hAnsi="Times New Roman" w:cs="Times New Roman"/>
          <w:b/>
          <w:bCs/>
          <w:i/>
          <w:iCs/>
          <w:sz w:val="22"/>
          <w:szCs w:val="22"/>
        </w:rPr>
        <w:t xml:space="preserve"> </w:t>
      </w:r>
      <w:proofErr w:type="gramStart"/>
      <w:r w:rsidRPr="024B4842">
        <w:rPr>
          <w:rFonts w:ascii="Times New Roman" w:hAnsi="Times New Roman" w:cs="Times New Roman"/>
          <w:b/>
          <w:bCs/>
          <w:i/>
          <w:iCs/>
          <w:sz w:val="22"/>
          <w:szCs w:val="22"/>
        </w:rPr>
        <w:t>3</w:t>
      </w:r>
      <w:r w:rsidR="00F63D89">
        <w:rPr>
          <w:rFonts w:ascii="Times New Roman" w:hAnsi="Times New Roman" w:cs="Times New Roman"/>
          <w:b/>
          <w:bCs/>
          <w:i/>
          <w:iCs/>
          <w:sz w:val="22"/>
          <w:szCs w:val="22"/>
        </w:rPr>
        <w:t>-</w:t>
      </w:r>
      <w:r w:rsidRPr="024B4842">
        <w:rPr>
          <w:rFonts w:ascii="Times New Roman" w:hAnsi="Times New Roman" w:cs="Times New Roman"/>
          <w:b/>
          <w:bCs/>
          <w:i/>
          <w:iCs/>
          <w:sz w:val="22"/>
          <w:szCs w:val="22"/>
        </w:rPr>
        <w:t>5 year</w:t>
      </w:r>
      <w:proofErr w:type="gramEnd"/>
      <w:r w:rsidRPr="024B4842">
        <w:rPr>
          <w:rFonts w:ascii="Times New Roman" w:hAnsi="Times New Roman" w:cs="Times New Roman"/>
          <w:b/>
          <w:bCs/>
          <w:i/>
          <w:iCs/>
          <w:sz w:val="22"/>
          <w:szCs w:val="22"/>
        </w:rPr>
        <w:t xml:space="preserve"> range of treatment effect when calculating the most plausible ICER</w:t>
      </w:r>
    </w:p>
    <w:p w14:paraId="487F5CA2" w14:textId="53BC0E86" w:rsidR="00D413E0" w:rsidRPr="00DB659B" w:rsidRDefault="007D4D82" w:rsidP="00D413E0">
      <w:pPr>
        <w:pStyle w:val="BodyText"/>
        <w:jc w:val="both"/>
        <w:rPr>
          <w:rFonts w:ascii="Times New Roman" w:hAnsi="Times New Roman" w:cs="Times New Roman"/>
          <w:strike/>
          <w:sz w:val="22"/>
          <w:szCs w:val="22"/>
        </w:rPr>
      </w:pPr>
      <w:r w:rsidRPr="024B4842">
        <w:rPr>
          <w:rFonts w:ascii="Times New Roman" w:hAnsi="Times New Roman" w:cs="Times New Roman"/>
          <w:sz w:val="22"/>
          <w:szCs w:val="22"/>
        </w:rPr>
        <w:t>When calculating the range of possible ICERs, t</w:t>
      </w:r>
      <w:r w:rsidR="00D413E0" w:rsidRPr="024B4842">
        <w:rPr>
          <w:rFonts w:ascii="Times New Roman" w:hAnsi="Times New Roman" w:cs="Times New Roman"/>
          <w:sz w:val="22"/>
          <w:szCs w:val="22"/>
        </w:rPr>
        <w:t>he Appraisal Committee</w:t>
      </w:r>
      <w:r w:rsidRPr="024B4842">
        <w:rPr>
          <w:rFonts w:ascii="Times New Roman" w:hAnsi="Times New Roman" w:cs="Times New Roman"/>
          <w:sz w:val="22"/>
          <w:szCs w:val="22"/>
        </w:rPr>
        <w:t xml:space="preserve"> applied a broad </w:t>
      </w:r>
      <w:proofErr w:type="gramStart"/>
      <w:r w:rsidRPr="024B4842">
        <w:rPr>
          <w:rFonts w:ascii="Times New Roman" w:hAnsi="Times New Roman" w:cs="Times New Roman"/>
          <w:sz w:val="22"/>
          <w:szCs w:val="22"/>
        </w:rPr>
        <w:t>3-5 year</w:t>
      </w:r>
      <w:proofErr w:type="gramEnd"/>
      <w:r w:rsidRPr="024B4842">
        <w:rPr>
          <w:rFonts w:ascii="Times New Roman" w:hAnsi="Times New Roman" w:cs="Times New Roman"/>
          <w:sz w:val="22"/>
          <w:szCs w:val="22"/>
        </w:rPr>
        <w:t xml:space="preserve"> range, though the FAD effectively </w:t>
      </w:r>
      <w:r w:rsidR="006D7CD5" w:rsidRPr="024B4842">
        <w:rPr>
          <w:rFonts w:ascii="Times New Roman" w:hAnsi="Times New Roman" w:cs="Times New Roman"/>
          <w:sz w:val="22"/>
          <w:szCs w:val="22"/>
        </w:rPr>
        <w:t xml:space="preserve">casts doubt over </w:t>
      </w:r>
      <w:r w:rsidRPr="024B4842">
        <w:rPr>
          <w:rFonts w:ascii="Times New Roman" w:hAnsi="Times New Roman" w:cs="Times New Roman"/>
          <w:sz w:val="22"/>
          <w:szCs w:val="22"/>
        </w:rPr>
        <w:t xml:space="preserve">the upper-end of that range.  </w:t>
      </w:r>
      <w:r w:rsidR="00B65780">
        <w:rPr>
          <w:rFonts w:ascii="Times New Roman" w:hAnsi="Times New Roman" w:cs="Times New Roman"/>
          <w:sz w:val="22"/>
          <w:szCs w:val="22"/>
        </w:rPr>
        <w:t xml:space="preserve">To do this undermines the company’s </w:t>
      </w:r>
      <w:r w:rsidR="004154F7">
        <w:rPr>
          <w:rFonts w:ascii="Times New Roman" w:hAnsi="Times New Roman" w:cs="Times New Roman"/>
          <w:sz w:val="22"/>
          <w:szCs w:val="22"/>
        </w:rPr>
        <w:t>position and implicitly favours a treatment effect of less than 5 years (</w:t>
      </w:r>
      <w:r w:rsidR="004154F7" w:rsidRPr="004154F7">
        <w:rPr>
          <w:rFonts w:ascii="Times New Roman" w:hAnsi="Times New Roman" w:cs="Times New Roman"/>
          <w:i/>
          <w:sz w:val="22"/>
          <w:szCs w:val="22"/>
        </w:rPr>
        <w:t>i.e.</w:t>
      </w:r>
      <w:r w:rsidR="004154F7">
        <w:rPr>
          <w:rFonts w:ascii="Times New Roman" w:hAnsi="Times New Roman" w:cs="Times New Roman"/>
          <w:sz w:val="22"/>
          <w:szCs w:val="22"/>
        </w:rPr>
        <w:t xml:space="preserve">, 3 years).  </w:t>
      </w:r>
      <w:r w:rsidRPr="024B4842">
        <w:rPr>
          <w:rFonts w:ascii="Times New Roman" w:hAnsi="Times New Roman" w:cs="Times New Roman"/>
          <w:sz w:val="22"/>
          <w:szCs w:val="22"/>
        </w:rPr>
        <w:t>Th</w:t>
      </w:r>
      <w:r w:rsidR="004154F7">
        <w:rPr>
          <w:rFonts w:ascii="Times New Roman" w:hAnsi="Times New Roman" w:cs="Times New Roman"/>
          <w:sz w:val="22"/>
          <w:szCs w:val="22"/>
        </w:rPr>
        <w:t>is approach</w:t>
      </w:r>
      <w:r w:rsidR="00D413E0" w:rsidRPr="024B4842">
        <w:rPr>
          <w:rFonts w:ascii="Times New Roman" w:hAnsi="Times New Roman" w:cs="Times New Roman"/>
          <w:sz w:val="22"/>
          <w:szCs w:val="22"/>
        </w:rPr>
        <w:t xml:space="preserve"> </w:t>
      </w:r>
      <w:r w:rsidR="004154F7">
        <w:rPr>
          <w:rFonts w:ascii="Times New Roman" w:hAnsi="Times New Roman" w:cs="Times New Roman"/>
          <w:sz w:val="22"/>
          <w:szCs w:val="22"/>
        </w:rPr>
        <w:t xml:space="preserve">amounts to </w:t>
      </w:r>
      <w:r w:rsidR="00D413E0" w:rsidRPr="024B4842">
        <w:rPr>
          <w:rFonts w:ascii="Times New Roman" w:hAnsi="Times New Roman" w:cs="Times New Roman"/>
          <w:sz w:val="22"/>
          <w:szCs w:val="22"/>
        </w:rPr>
        <w:t>an unreasonable interpretation of the evidence</w:t>
      </w:r>
      <w:r w:rsidR="006D7CD5" w:rsidRPr="024B4842">
        <w:rPr>
          <w:rFonts w:ascii="Times New Roman" w:hAnsi="Times New Roman" w:cs="Times New Roman"/>
          <w:sz w:val="22"/>
          <w:szCs w:val="22"/>
        </w:rPr>
        <w:t xml:space="preserve"> submitted</w:t>
      </w:r>
      <w:r w:rsidR="00D413E0" w:rsidRPr="024B4842">
        <w:rPr>
          <w:rFonts w:ascii="Times New Roman" w:hAnsi="Times New Roman" w:cs="Times New Roman"/>
          <w:sz w:val="22"/>
          <w:szCs w:val="22"/>
        </w:rPr>
        <w:t>.  Th</w:t>
      </w:r>
      <w:r w:rsidR="006D7CD5" w:rsidRPr="024B4842">
        <w:rPr>
          <w:rFonts w:ascii="Times New Roman" w:hAnsi="Times New Roman" w:cs="Times New Roman"/>
          <w:sz w:val="22"/>
          <w:szCs w:val="22"/>
        </w:rPr>
        <w:t>at</w:t>
      </w:r>
      <w:r w:rsidR="00D413E0" w:rsidRPr="024B4842">
        <w:rPr>
          <w:rFonts w:ascii="Times New Roman" w:hAnsi="Times New Roman" w:cs="Times New Roman"/>
          <w:sz w:val="22"/>
          <w:szCs w:val="22"/>
        </w:rPr>
        <w:t xml:space="preserve"> evidence indicates that (</w:t>
      </w:r>
      <w:proofErr w:type="spellStart"/>
      <w:r w:rsidR="00D413E0" w:rsidRPr="024B4842">
        <w:rPr>
          <w:rFonts w:ascii="Times New Roman" w:hAnsi="Times New Roman" w:cs="Times New Roman"/>
          <w:sz w:val="22"/>
          <w:szCs w:val="22"/>
        </w:rPr>
        <w:t>i</w:t>
      </w:r>
      <w:proofErr w:type="spellEnd"/>
      <w:r w:rsidR="00D413E0" w:rsidRPr="024B4842">
        <w:rPr>
          <w:rFonts w:ascii="Times New Roman" w:hAnsi="Times New Roman" w:cs="Times New Roman"/>
          <w:sz w:val="22"/>
          <w:szCs w:val="22"/>
        </w:rPr>
        <w:t>) the lower end of the range (</w:t>
      </w:r>
      <w:r w:rsidR="7224D242" w:rsidRPr="024B4842">
        <w:rPr>
          <w:rFonts w:ascii="Times New Roman" w:hAnsi="Times New Roman" w:cs="Times New Roman"/>
          <w:sz w:val="22"/>
          <w:szCs w:val="22"/>
        </w:rPr>
        <w:t xml:space="preserve">3 </w:t>
      </w:r>
      <w:r w:rsidR="00D413E0" w:rsidRPr="024B4842">
        <w:rPr>
          <w:rFonts w:ascii="Times New Roman" w:hAnsi="Times New Roman" w:cs="Times New Roman"/>
          <w:sz w:val="22"/>
          <w:szCs w:val="22"/>
        </w:rPr>
        <w:t>years) is unsuitable; and (ii) the most plausible estimate is likely to be at the upper end (</w:t>
      </w:r>
      <w:r w:rsidR="35101826" w:rsidRPr="024B4842">
        <w:rPr>
          <w:rFonts w:ascii="Times New Roman" w:hAnsi="Times New Roman" w:cs="Times New Roman"/>
          <w:sz w:val="22"/>
          <w:szCs w:val="22"/>
        </w:rPr>
        <w:t xml:space="preserve">5 </w:t>
      </w:r>
      <w:r w:rsidR="00D413E0" w:rsidRPr="024B4842">
        <w:rPr>
          <w:rFonts w:ascii="Times New Roman" w:hAnsi="Times New Roman" w:cs="Times New Roman"/>
          <w:sz w:val="22"/>
          <w:szCs w:val="22"/>
        </w:rPr>
        <w:t>years).  In that respect, the most appropriate c</w:t>
      </w:r>
      <w:r w:rsidR="009F0863">
        <w:rPr>
          <w:rFonts w:ascii="Times New Roman" w:hAnsi="Times New Roman" w:cs="Times New Roman"/>
          <w:sz w:val="22"/>
          <w:szCs w:val="22"/>
        </w:rPr>
        <w:t>ap on treatment effect would most likely be</w:t>
      </w:r>
      <w:r w:rsidR="00D413E0" w:rsidRPr="024B4842">
        <w:rPr>
          <w:rFonts w:ascii="Times New Roman" w:hAnsi="Times New Roman" w:cs="Times New Roman"/>
          <w:sz w:val="22"/>
          <w:szCs w:val="22"/>
        </w:rPr>
        <w:t xml:space="preserve"> 5 years.</w:t>
      </w:r>
      <w:r w:rsidR="00892148" w:rsidRPr="024B4842">
        <w:rPr>
          <w:rFonts w:ascii="Times New Roman" w:hAnsi="Times New Roman" w:cs="Times New Roman"/>
          <w:sz w:val="22"/>
          <w:szCs w:val="22"/>
        </w:rPr>
        <w:t xml:space="preserve"> </w:t>
      </w:r>
      <w:r w:rsidR="0029216B" w:rsidRPr="024B4842">
        <w:rPr>
          <w:rFonts w:ascii="Times New Roman" w:hAnsi="Times New Roman" w:cs="Times New Roman"/>
          <w:sz w:val="22"/>
          <w:szCs w:val="22"/>
        </w:rPr>
        <w:t xml:space="preserve"> </w:t>
      </w:r>
      <w:r w:rsidR="00892148" w:rsidRPr="024B4842">
        <w:rPr>
          <w:rFonts w:ascii="Times New Roman" w:hAnsi="Times New Roman" w:cs="Times New Roman"/>
          <w:sz w:val="22"/>
          <w:szCs w:val="22"/>
        </w:rPr>
        <w:t>All evidence presented within the appraisal process</w:t>
      </w:r>
      <w:r w:rsidR="00AA7448">
        <w:rPr>
          <w:rFonts w:ascii="Times New Roman" w:hAnsi="Times New Roman" w:cs="Times New Roman"/>
          <w:sz w:val="22"/>
          <w:szCs w:val="22"/>
        </w:rPr>
        <w:t xml:space="preserve"> </w:t>
      </w:r>
      <w:r w:rsidR="00892148" w:rsidRPr="024B4842">
        <w:rPr>
          <w:rFonts w:ascii="Times New Roman" w:hAnsi="Times New Roman" w:cs="Times New Roman"/>
          <w:sz w:val="22"/>
          <w:szCs w:val="22"/>
        </w:rPr>
        <w:t>— data from the phase III randomised clinical trial KEYNOTE-045, opinion stated by clinical experts and biological plausibility owing to the mechanism of action of pembrolizumab</w:t>
      </w:r>
      <w:r w:rsidR="00AA7448">
        <w:rPr>
          <w:rFonts w:ascii="Times New Roman" w:hAnsi="Times New Roman" w:cs="Times New Roman"/>
          <w:sz w:val="22"/>
          <w:szCs w:val="22"/>
        </w:rPr>
        <w:t xml:space="preserve"> </w:t>
      </w:r>
      <w:r w:rsidR="00911EDF">
        <w:rPr>
          <w:rFonts w:ascii="Times New Roman" w:hAnsi="Times New Roman" w:cs="Times New Roman"/>
          <w:sz w:val="22"/>
          <w:szCs w:val="22"/>
        </w:rPr>
        <w:t>— firmly suggests</w:t>
      </w:r>
      <w:r w:rsidR="00892148" w:rsidRPr="024B4842">
        <w:rPr>
          <w:rFonts w:ascii="Times New Roman" w:hAnsi="Times New Roman" w:cs="Times New Roman"/>
          <w:sz w:val="22"/>
          <w:szCs w:val="22"/>
        </w:rPr>
        <w:t xml:space="preserve"> a treatment effect </w:t>
      </w:r>
      <w:r w:rsidR="000E517C">
        <w:rPr>
          <w:rFonts w:ascii="Times New Roman" w:hAnsi="Times New Roman" w:cs="Times New Roman"/>
          <w:sz w:val="22"/>
          <w:szCs w:val="22"/>
        </w:rPr>
        <w:t xml:space="preserve">of </w:t>
      </w:r>
      <w:r w:rsidR="00892148" w:rsidRPr="024B4842">
        <w:rPr>
          <w:rFonts w:ascii="Times New Roman" w:hAnsi="Times New Roman" w:cs="Times New Roman"/>
          <w:sz w:val="22"/>
          <w:szCs w:val="22"/>
        </w:rPr>
        <w:t xml:space="preserve">greater than </w:t>
      </w:r>
      <w:r w:rsidR="70FD87D6" w:rsidRPr="024B4842">
        <w:rPr>
          <w:rFonts w:ascii="Times New Roman" w:hAnsi="Times New Roman" w:cs="Times New Roman"/>
          <w:sz w:val="22"/>
          <w:szCs w:val="22"/>
        </w:rPr>
        <w:t xml:space="preserve">3 </w:t>
      </w:r>
      <w:r w:rsidR="00892148" w:rsidRPr="024B4842">
        <w:rPr>
          <w:rFonts w:ascii="Times New Roman" w:hAnsi="Times New Roman" w:cs="Times New Roman"/>
          <w:sz w:val="22"/>
          <w:szCs w:val="22"/>
        </w:rPr>
        <w:t>years</w:t>
      </w:r>
      <w:r w:rsidR="00FE71D9" w:rsidRPr="024B4842">
        <w:rPr>
          <w:rFonts w:ascii="Times New Roman" w:hAnsi="Times New Roman" w:cs="Times New Roman"/>
          <w:sz w:val="22"/>
          <w:szCs w:val="22"/>
        </w:rPr>
        <w:t xml:space="preserve"> and that </w:t>
      </w:r>
      <w:r w:rsidR="0FC00EDF" w:rsidRPr="024B4842">
        <w:rPr>
          <w:rFonts w:ascii="Times New Roman" w:hAnsi="Times New Roman" w:cs="Times New Roman"/>
          <w:sz w:val="22"/>
          <w:szCs w:val="22"/>
        </w:rPr>
        <w:t xml:space="preserve">5 </w:t>
      </w:r>
      <w:r w:rsidR="009F0863">
        <w:rPr>
          <w:rFonts w:ascii="Times New Roman" w:hAnsi="Times New Roman" w:cs="Times New Roman"/>
          <w:sz w:val="22"/>
          <w:szCs w:val="22"/>
        </w:rPr>
        <w:t>years is the</w:t>
      </w:r>
      <w:r w:rsidR="004F193C">
        <w:rPr>
          <w:rFonts w:ascii="Times New Roman" w:hAnsi="Times New Roman" w:cs="Times New Roman"/>
          <w:sz w:val="22"/>
          <w:szCs w:val="22"/>
        </w:rPr>
        <w:t xml:space="preserve">refore the most credible </w:t>
      </w:r>
      <w:r w:rsidR="009F0863">
        <w:rPr>
          <w:rFonts w:ascii="Times New Roman" w:hAnsi="Times New Roman" w:cs="Times New Roman"/>
          <w:sz w:val="22"/>
          <w:szCs w:val="22"/>
        </w:rPr>
        <w:t>estimate</w:t>
      </w:r>
      <w:r w:rsidR="00892148" w:rsidRPr="024B4842">
        <w:rPr>
          <w:rFonts w:ascii="Times New Roman" w:hAnsi="Times New Roman" w:cs="Times New Roman"/>
          <w:sz w:val="22"/>
          <w:szCs w:val="22"/>
        </w:rPr>
        <w:t>.</w:t>
      </w:r>
      <w:r w:rsidR="00D413E0" w:rsidRPr="024B4842">
        <w:rPr>
          <w:rFonts w:ascii="Times New Roman" w:hAnsi="Times New Roman" w:cs="Times New Roman"/>
          <w:sz w:val="22"/>
          <w:szCs w:val="22"/>
        </w:rPr>
        <w:t xml:space="preserve">  If the Appraisal Committee considered that it had no choice but to </w:t>
      </w:r>
      <w:r w:rsidR="004F193C">
        <w:rPr>
          <w:rFonts w:ascii="Times New Roman" w:hAnsi="Times New Roman" w:cs="Times New Roman"/>
          <w:sz w:val="22"/>
          <w:szCs w:val="22"/>
        </w:rPr>
        <w:t xml:space="preserve">rely upon </w:t>
      </w:r>
      <w:r w:rsidR="00D413E0" w:rsidRPr="024B4842">
        <w:rPr>
          <w:rFonts w:ascii="Times New Roman" w:hAnsi="Times New Roman" w:cs="Times New Roman"/>
          <w:sz w:val="22"/>
          <w:szCs w:val="22"/>
        </w:rPr>
        <w:t xml:space="preserve">a range of possibilities, the lower end of the range </w:t>
      </w:r>
      <w:r w:rsidR="0029216B" w:rsidRPr="024B4842">
        <w:rPr>
          <w:rFonts w:ascii="Times New Roman" w:hAnsi="Times New Roman" w:cs="Times New Roman"/>
          <w:sz w:val="22"/>
          <w:szCs w:val="22"/>
        </w:rPr>
        <w:t xml:space="preserve">ought to have been </w:t>
      </w:r>
      <w:r w:rsidR="004F193C">
        <w:rPr>
          <w:rFonts w:ascii="Times New Roman" w:hAnsi="Times New Roman" w:cs="Times New Roman"/>
          <w:sz w:val="22"/>
          <w:szCs w:val="22"/>
        </w:rPr>
        <w:t xml:space="preserve">higher than 3 years </w:t>
      </w:r>
      <w:r w:rsidR="0029216B" w:rsidRPr="024B4842">
        <w:rPr>
          <w:rFonts w:ascii="Times New Roman" w:hAnsi="Times New Roman" w:cs="Times New Roman"/>
          <w:sz w:val="22"/>
          <w:szCs w:val="22"/>
        </w:rPr>
        <w:t xml:space="preserve">and/or </w:t>
      </w:r>
      <w:r w:rsidR="00D413E0" w:rsidRPr="024B4842">
        <w:rPr>
          <w:rFonts w:ascii="Times New Roman" w:hAnsi="Times New Roman" w:cs="Times New Roman"/>
          <w:sz w:val="22"/>
          <w:szCs w:val="22"/>
        </w:rPr>
        <w:t xml:space="preserve">there ought to have been a significant weighting towards </w:t>
      </w:r>
      <w:r w:rsidR="3F615CA4" w:rsidRPr="024B4842">
        <w:rPr>
          <w:rFonts w:ascii="Times New Roman" w:hAnsi="Times New Roman" w:cs="Times New Roman"/>
          <w:sz w:val="22"/>
          <w:szCs w:val="22"/>
        </w:rPr>
        <w:t xml:space="preserve">5 </w:t>
      </w:r>
      <w:r w:rsidR="00D413E0" w:rsidRPr="024B4842">
        <w:rPr>
          <w:rFonts w:ascii="Times New Roman" w:hAnsi="Times New Roman" w:cs="Times New Roman"/>
          <w:sz w:val="22"/>
          <w:szCs w:val="22"/>
        </w:rPr>
        <w:t xml:space="preserve">years. </w:t>
      </w:r>
      <w:r w:rsidR="00902C93">
        <w:rPr>
          <w:rFonts w:ascii="Times New Roman" w:hAnsi="Times New Roman" w:cs="Times New Roman"/>
          <w:sz w:val="22"/>
          <w:szCs w:val="22"/>
        </w:rPr>
        <w:t xml:space="preserve"> </w:t>
      </w:r>
      <w:r w:rsidR="00D413E0" w:rsidRPr="024B4842">
        <w:rPr>
          <w:rFonts w:ascii="Times New Roman" w:hAnsi="Times New Roman" w:cs="Times New Roman"/>
          <w:sz w:val="22"/>
          <w:szCs w:val="22"/>
        </w:rPr>
        <w:t>We summari</w:t>
      </w:r>
      <w:r w:rsidR="748CD53A" w:rsidRPr="024B4842">
        <w:rPr>
          <w:rFonts w:ascii="Times New Roman" w:hAnsi="Times New Roman" w:cs="Times New Roman"/>
          <w:sz w:val="22"/>
          <w:szCs w:val="22"/>
        </w:rPr>
        <w:t>s</w:t>
      </w:r>
      <w:r w:rsidR="00D413E0" w:rsidRPr="024B4842">
        <w:rPr>
          <w:rFonts w:ascii="Times New Roman" w:hAnsi="Times New Roman" w:cs="Times New Roman"/>
          <w:sz w:val="22"/>
          <w:szCs w:val="22"/>
        </w:rPr>
        <w:t xml:space="preserve">e this evidence and the flaws in the Appraisal Committee’s </w:t>
      </w:r>
      <w:r w:rsidR="004F193C">
        <w:rPr>
          <w:rFonts w:ascii="Times New Roman" w:hAnsi="Times New Roman" w:cs="Times New Roman"/>
          <w:sz w:val="22"/>
          <w:szCs w:val="22"/>
        </w:rPr>
        <w:t xml:space="preserve">treatment of it </w:t>
      </w:r>
      <w:r w:rsidR="00D413E0" w:rsidRPr="024B4842">
        <w:rPr>
          <w:rFonts w:ascii="Times New Roman" w:hAnsi="Times New Roman" w:cs="Times New Roman"/>
          <w:sz w:val="22"/>
          <w:szCs w:val="22"/>
        </w:rPr>
        <w:t>below:</w:t>
      </w:r>
    </w:p>
    <w:p w14:paraId="5911990D" w14:textId="286D3105" w:rsidR="00D413E0" w:rsidRDefault="00D413E0" w:rsidP="00D413E0">
      <w:pPr>
        <w:pStyle w:val="BodyText"/>
        <w:numPr>
          <w:ilvl w:val="0"/>
          <w:numId w:val="32"/>
        </w:numPr>
        <w:jc w:val="both"/>
        <w:rPr>
          <w:rFonts w:ascii="Times New Roman" w:hAnsi="Times New Roman" w:cs="Times New Roman"/>
          <w:sz w:val="22"/>
          <w:szCs w:val="22"/>
        </w:rPr>
      </w:pPr>
      <w:r w:rsidRPr="00D57189">
        <w:rPr>
          <w:rFonts w:ascii="Times New Roman" w:hAnsi="Times New Roman" w:cs="Times New Roman"/>
          <w:sz w:val="22"/>
          <w:szCs w:val="22"/>
        </w:rPr>
        <w:t xml:space="preserve">A broad consensus of clinicians </w:t>
      </w:r>
      <w:r>
        <w:rPr>
          <w:rFonts w:ascii="Times New Roman" w:hAnsi="Times New Roman" w:cs="Times New Roman"/>
          <w:sz w:val="22"/>
          <w:szCs w:val="22"/>
        </w:rPr>
        <w:t>and research groups support</w:t>
      </w:r>
      <w:r w:rsidRPr="00D57189">
        <w:rPr>
          <w:rFonts w:ascii="Times New Roman" w:hAnsi="Times New Roman" w:cs="Times New Roman"/>
          <w:sz w:val="22"/>
          <w:szCs w:val="22"/>
        </w:rPr>
        <w:t xml:space="preserve"> a long tail of treatment</w:t>
      </w:r>
      <w:r w:rsidR="005814BD">
        <w:rPr>
          <w:rFonts w:ascii="Times New Roman" w:hAnsi="Times New Roman" w:cs="Times New Roman"/>
          <w:sz w:val="22"/>
          <w:szCs w:val="22"/>
        </w:rPr>
        <w:t xml:space="preserve"> </w:t>
      </w:r>
      <w:r w:rsidRPr="00D57189">
        <w:rPr>
          <w:rFonts w:ascii="Times New Roman" w:hAnsi="Times New Roman" w:cs="Times New Roman"/>
          <w:sz w:val="22"/>
          <w:szCs w:val="22"/>
        </w:rPr>
        <w:t>effect for pembrolizumab in this indication.  This includes the ERG’s exper</w:t>
      </w:r>
      <w:r w:rsidR="00202E0B">
        <w:rPr>
          <w:rFonts w:ascii="Times New Roman" w:hAnsi="Times New Roman" w:cs="Times New Roman"/>
          <w:sz w:val="22"/>
          <w:szCs w:val="22"/>
        </w:rPr>
        <w:t xml:space="preserve">t clinician, who suggested that </w:t>
      </w:r>
      <w:r w:rsidRPr="00D57189">
        <w:rPr>
          <w:rFonts w:ascii="Times New Roman" w:hAnsi="Times New Roman" w:cs="Times New Roman"/>
          <w:sz w:val="22"/>
          <w:szCs w:val="22"/>
        </w:rPr>
        <w:t>“</w:t>
      </w:r>
      <w:r w:rsidRPr="0059547E">
        <w:rPr>
          <w:rFonts w:ascii="Times New Roman" w:hAnsi="Times New Roman" w:cs="Times New Roman"/>
          <w:i/>
          <w:sz w:val="22"/>
          <w:szCs w:val="22"/>
        </w:rPr>
        <w:t>some sustained long-term benefit could be plausible for patients receiving pembrolizumab</w:t>
      </w:r>
      <w:r w:rsidR="00FC32F2">
        <w:rPr>
          <w:rFonts w:ascii="Times New Roman" w:hAnsi="Times New Roman" w:cs="Times New Roman"/>
          <w:i/>
          <w:sz w:val="22"/>
          <w:szCs w:val="22"/>
        </w:rPr>
        <w:t>.</w:t>
      </w:r>
      <w:r w:rsidRPr="00D57189">
        <w:rPr>
          <w:rFonts w:ascii="Times New Roman" w:hAnsi="Times New Roman" w:cs="Times New Roman"/>
          <w:sz w:val="22"/>
          <w:szCs w:val="22"/>
        </w:rPr>
        <w:t>”</w:t>
      </w:r>
      <w:r w:rsidR="00552ECF">
        <w:rPr>
          <w:rStyle w:val="FootnoteReference"/>
          <w:rFonts w:ascii="Times New Roman" w:hAnsi="Times New Roman" w:cs="Times New Roman"/>
          <w:sz w:val="22"/>
          <w:szCs w:val="22"/>
        </w:rPr>
        <w:footnoteReference w:id="5"/>
      </w:r>
      <w:r w:rsidRPr="00D57189">
        <w:rPr>
          <w:rFonts w:ascii="Times New Roman" w:hAnsi="Times New Roman" w:cs="Times New Roman"/>
          <w:sz w:val="22"/>
          <w:szCs w:val="22"/>
        </w:rPr>
        <w:t xml:space="preserve">  </w:t>
      </w:r>
      <w:r>
        <w:rPr>
          <w:rFonts w:ascii="Times New Roman" w:hAnsi="Times New Roman" w:cs="Times New Roman"/>
          <w:sz w:val="22"/>
          <w:szCs w:val="22"/>
        </w:rPr>
        <w:t>The NCRI-ACP-RCP-RCR Research Group</w:t>
      </w:r>
      <w:r w:rsidR="00502D97">
        <w:rPr>
          <w:rFonts w:ascii="Times New Roman" w:hAnsi="Times New Roman" w:cs="Times New Roman"/>
          <w:sz w:val="22"/>
          <w:szCs w:val="22"/>
        </w:rPr>
        <w:t xml:space="preserve"> (“Research Group”)</w:t>
      </w:r>
      <w:r>
        <w:rPr>
          <w:rFonts w:ascii="Times New Roman" w:hAnsi="Times New Roman" w:cs="Times New Roman"/>
          <w:sz w:val="22"/>
          <w:szCs w:val="22"/>
        </w:rPr>
        <w:t xml:space="preserve"> noted “transformational” effects observed in some pembrolizumab patients and urged the Appraisal Committee to “</w:t>
      </w:r>
      <w:r w:rsidRPr="003E124C">
        <w:rPr>
          <w:rFonts w:ascii="Times New Roman" w:hAnsi="Times New Roman" w:cs="Times New Roman"/>
          <w:i/>
          <w:sz w:val="22"/>
          <w:szCs w:val="22"/>
        </w:rPr>
        <w:t>permit more ‘benefit of doubt’ to the [company’s] optimistic</w:t>
      </w:r>
      <w:r>
        <w:rPr>
          <w:rFonts w:ascii="Times New Roman" w:hAnsi="Times New Roman" w:cs="Times New Roman"/>
          <w:sz w:val="22"/>
          <w:szCs w:val="22"/>
        </w:rPr>
        <w:t>” estimate of treatment effect.</w:t>
      </w:r>
      <w:r w:rsidR="005F4483">
        <w:rPr>
          <w:rStyle w:val="FootnoteReference"/>
          <w:rFonts w:ascii="Times New Roman" w:hAnsi="Times New Roman" w:cs="Times New Roman"/>
          <w:sz w:val="22"/>
          <w:szCs w:val="22"/>
        </w:rPr>
        <w:footnoteReference w:id="6"/>
      </w:r>
      <w:r w:rsidR="00502D97">
        <w:rPr>
          <w:rFonts w:ascii="Times New Roman" w:hAnsi="Times New Roman" w:cs="Times New Roman"/>
          <w:sz w:val="22"/>
          <w:szCs w:val="22"/>
        </w:rPr>
        <w:t xml:space="preserve"> </w:t>
      </w:r>
      <w:r w:rsidRPr="0065453B">
        <w:rPr>
          <w:rFonts w:ascii="Times New Roman" w:hAnsi="Times New Roman" w:cs="Times New Roman"/>
          <w:sz w:val="22"/>
          <w:szCs w:val="22"/>
        </w:rPr>
        <w:t xml:space="preserve"> </w:t>
      </w:r>
      <w:r>
        <w:rPr>
          <w:rFonts w:ascii="Times New Roman" w:hAnsi="Times New Roman" w:cs="Times New Roman"/>
          <w:sz w:val="22"/>
          <w:szCs w:val="22"/>
        </w:rPr>
        <w:t>Th</w:t>
      </w:r>
      <w:r w:rsidRPr="0065453B">
        <w:rPr>
          <w:rFonts w:ascii="Times New Roman" w:hAnsi="Times New Roman" w:cs="Times New Roman"/>
          <w:sz w:val="22"/>
          <w:szCs w:val="22"/>
        </w:rPr>
        <w:t>e Research Group goes on to say that the most recent updated analysis of the KEYNOTE-045 study (which demonstrates that 20.7% of patients are still alive at 36 months and the median duration of response is 29.7 months) “</w:t>
      </w:r>
      <w:r w:rsidRPr="0065453B">
        <w:rPr>
          <w:rFonts w:ascii="Times New Roman" w:hAnsi="Times New Roman" w:cs="Times New Roman"/>
          <w:i/>
          <w:sz w:val="22"/>
          <w:szCs w:val="22"/>
        </w:rPr>
        <w:t>is consistent with more positive long-term survival estimates than those assumed by the Appraisal Committee.</w:t>
      </w:r>
      <w:r w:rsidRPr="0065453B">
        <w:rPr>
          <w:rFonts w:ascii="Times New Roman" w:hAnsi="Times New Roman" w:cs="Times New Roman"/>
          <w:sz w:val="22"/>
          <w:szCs w:val="22"/>
        </w:rPr>
        <w:t>”</w:t>
      </w:r>
      <w:r>
        <w:rPr>
          <w:rStyle w:val="FootnoteReference"/>
          <w:rFonts w:ascii="Times New Roman" w:hAnsi="Times New Roman" w:cs="Times New Roman"/>
          <w:sz w:val="22"/>
          <w:szCs w:val="22"/>
        </w:rPr>
        <w:footnoteReference w:id="7"/>
      </w:r>
    </w:p>
    <w:p w14:paraId="13297EA3" w14:textId="4872577D" w:rsidR="00D413E0" w:rsidRPr="00D57189" w:rsidRDefault="00D91DA5" w:rsidP="00D413E0">
      <w:pPr>
        <w:pStyle w:val="BodyText"/>
        <w:numPr>
          <w:ilvl w:val="0"/>
          <w:numId w:val="32"/>
        </w:numPr>
        <w:jc w:val="both"/>
        <w:rPr>
          <w:rFonts w:ascii="Times New Roman" w:hAnsi="Times New Roman" w:cs="Times New Roman"/>
          <w:sz w:val="22"/>
          <w:szCs w:val="22"/>
        </w:rPr>
      </w:pPr>
      <w:bookmarkStart w:id="1" w:name="_Hlk35854520"/>
      <w:r w:rsidRPr="00D91DA5">
        <w:rPr>
          <w:rFonts w:ascii="Times New Roman" w:hAnsi="Times New Roman" w:cs="Times New Roman"/>
          <w:sz w:val="22"/>
          <w:szCs w:val="22"/>
        </w:rPr>
        <w:t xml:space="preserve">The most recent data cut from the KEYNOTE-045 trial (November 2018) provides a total of approximately </w:t>
      </w:r>
      <w:r w:rsidR="38770D3F" w:rsidRPr="00D91DA5">
        <w:rPr>
          <w:rFonts w:ascii="Times New Roman" w:hAnsi="Times New Roman" w:cs="Times New Roman"/>
          <w:sz w:val="22"/>
          <w:szCs w:val="22"/>
        </w:rPr>
        <w:t xml:space="preserve">4 </w:t>
      </w:r>
      <w:r w:rsidRPr="00D91DA5">
        <w:rPr>
          <w:rFonts w:ascii="Times New Roman" w:hAnsi="Times New Roman" w:cs="Times New Roman"/>
          <w:sz w:val="22"/>
          <w:szCs w:val="22"/>
        </w:rPr>
        <w:t>years</w:t>
      </w:r>
      <w:r>
        <w:rPr>
          <w:rFonts w:ascii="Times New Roman" w:hAnsi="Times New Roman" w:cs="Times New Roman"/>
          <w:sz w:val="22"/>
          <w:szCs w:val="22"/>
        </w:rPr>
        <w:t>’</w:t>
      </w:r>
      <w:r w:rsidRPr="00D91DA5">
        <w:rPr>
          <w:rFonts w:ascii="Times New Roman" w:hAnsi="Times New Roman" w:cs="Times New Roman"/>
          <w:sz w:val="22"/>
          <w:szCs w:val="22"/>
        </w:rPr>
        <w:t xml:space="preserve"> follow-up data from the start of treatment (</w:t>
      </w:r>
      <w:r w:rsidRPr="024B4842">
        <w:rPr>
          <w:rFonts w:ascii="Times New Roman" w:hAnsi="Times New Roman" w:cs="Times New Roman"/>
          <w:i/>
          <w:iCs/>
          <w:sz w:val="22"/>
          <w:szCs w:val="22"/>
        </w:rPr>
        <w:t>i.e.</w:t>
      </w:r>
      <w:r w:rsidRPr="00D91DA5">
        <w:rPr>
          <w:rFonts w:ascii="Times New Roman" w:hAnsi="Times New Roman" w:cs="Times New Roman"/>
          <w:sz w:val="22"/>
          <w:szCs w:val="22"/>
        </w:rPr>
        <w:t xml:space="preserve">, over </w:t>
      </w:r>
      <w:r w:rsidR="0B0BDF07" w:rsidRPr="00D91DA5">
        <w:rPr>
          <w:rFonts w:ascii="Times New Roman" w:hAnsi="Times New Roman" w:cs="Times New Roman"/>
          <w:sz w:val="22"/>
          <w:szCs w:val="22"/>
        </w:rPr>
        <w:t xml:space="preserve">2 </w:t>
      </w:r>
      <w:r w:rsidRPr="00D91DA5">
        <w:rPr>
          <w:rFonts w:ascii="Times New Roman" w:hAnsi="Times New Roman" w:cs="Times New Roman"/>
          <w:sz w:val="22"/>
          <w:szCs w:val="22"/>
        </w:rPr>
        <w:t xml:space="preserve">years of additional follow-up data compared with the company’s pre-CDF submission).  The hazard ratio for </w:t>
      </w:r>
      <w:r w:rsidRPr="00D91DA5">
        <w:rPr>
          <w:rFonts w:ascii="Times New Roman" w:hAnsi="Times New Roman" w:cs="Times New Roman"/>
          <w:sz w:val="22"/>
          <w:szCs w:val="22"/>
        </w:rPr>
        <w:lastRenderedPageBreak/>
        <w:t xml:space="preserve">pembrolizumab versus UK standard of care decreases from 0.74 to 0.64 (2-stage adjusted) and 0.79 to 0.74 (unadjusted) with additional </w:t>
      </w:r>
      <w:r w:rsidR="45AA3518" w:rsidRPr="00D91DA5">
        <w:rPr>
          <w:rFonts w:ascii="Times New Roman" w:hAnsi="Times New Roman" w:cs="Times New Roman"/>
          <w:sz w:val="22"/>
          <w:szCs w:val="22"/>
        </w:rPr>
        <w:t>2</w:t>
      </w:r>
      <w:r w:rsidRPr="00D91DA5">
        <w:rPr>
          <w:rFonts w:ascii="Times New Roman" w:hAnsi="Times New Roman" w:cs="Times New Roman"/>
          <w:sz w:val="22"/>
          <w:szCs w:val="22"/>
        </w:rPr>
        <w:t xml:space="preserve">-year data.  This supports a sustained treatment effect, beyond </w:t>
      </w:r>
      <w:r w:rsidR="6865B103" w:rsidRPr="00D91DA5">
        <w:rPr>
          <w:rFonts w:ascii="Times New Roman" w:hAnsi="Times New Roman" w:cs="Times New Roman"/>
          <w:sz w:val="22"/>
          <w:szCs w:val="22"/>
        </w:rPr>
        <w:t xml:space="preserve">3 </w:t>
      </w:r>
      <w:r w:rsidRPr="00D91DA5">
        <w:rPr>
          <w:rFonts w:ascii="Times New Roman" w:hAnsi="Times New Roman" w:cs="Times New Roman"/>
          <w:sz w:val="22"/>
          <w:szCs w:val="22"/>
        </w:rPr>
        <w:t>years.  A clinical expert consulted by MSD confirmed that some patients respond well and remain in response, progression‐free.</w:t>
      </w:r>
      <w:r w:rsidR="00CD6324">
        <w:rPr>
          <w:rFonts w:ascii="Times New Roman" w:hAnsi="Times New Roman" w:cs="Times New Roman"/>
          <w:sz w:val="22"/>
          <w:szCs w:val="22"/>
        </w:rPr>
        <w:t xml:space="preserve"> </w:t>
      </w:r>
      <w:r w:rsidRPr="00D91DA5">
        <w:rPr>
          <w:rFonts w:ascii="Times New Roman" w:hAnsi="Times New Roman" w:cs="Times New Roman"/>
          <w:sz w:val="22"/>
          <w:szCs w:val="22"/>
        </w:rPr>
        <w:t xml:space="preserve"> Patients who are progression-free after 2-3 years can expect long-term survival and more favourable outcomes; hence a treatment effect of at least 5 years should be considered plausible and </w:t>
      </w:r>
      <w:r w:rsidR="004F193C">
        <w:rPr>
          <w:rFonts w:ascii="Times New Roman" w:hAnsi="Times New Roman" w:cs="Times New Roman"/>
          <w:sz w:val="22"/>
          <w:szCs w:val="22"/>
        </w:rPr>
        <w:t xml:space="preserve">even </w:t>
      </w:r>
      <w:r w:rsidRPr="00D91DA5">
        <w:rPr>
          <w:rFonts w:ascii="Times New Roman" w:hAnsi="Times New Roman" w:cs="Times New Roman"/>
          <w:sz w:val="22"/>
          <w:szCs w:val="22"/>
        </w:rPr>
        <w:t>conservative</w:t>
      </w:r>
      <w:r w:rsidR="00D413E0" w:rsidRPr="00D57189">
        <w:rPr>
          <w:rFonts w:ascii="Times New Roman" w:hAnsi="Times New Roman" w:cs="Times New Roman"/>
          <w:sz w:val="22"/>
          <w:szCs w:val="22"/>
        </w:rPr>
        <w:t>.</w:t>
      </w:r>
      <w:r w:rsidR="005F4483">
        <w:rPr>
          <w:rStyle w:val="FootnoteReference"/>
          <w:rFonts w:ascii="Times New Roman" w:hAnsi="Times New Roman" w:cs="Times New Roman"/>
          <w:sz w:val="22"/>
          <w:szCs w:val="22"/>
        </w:rPr>
        <w:footnoteReference w:id="8"/>
      </w:r>
      <w:r w:rsidR="00D413E0" w:rsidRPr="00D57189">
        <w:rPr>
          <w:rFonts w:ascii="Times New Roman" w:hAnsi="Times New Roman" w:cs="Times New Roman"/>
          <w:sz w:val="22"/>
          <w:szCs w:val="22"/>
        </w:rPr>
        <w:t xml:space="preserve">  </w:t>
      </w:r>
    </w:p>
    <w:p w14:paraId="4BCF4BD9" w14:textId="7E6E7D20" w:rsidR="42A25473" w:rsidRPr="001548B5" w:rsidRDefault="00D91DA5" w:rsidP="001548B5">
      <w:pPr>
        <w:pStyle w:val="BodyText"/>
        <w:numPr>
          <w:ilvl w:val="0"/>
          <w:numId w:val="32"/>
        </w:numPr>
        <w:jc w:val="both"/>
        <w:rPr>
          <w:rFonts w:ascii="Times New Roman" w:hAnsi="Times New Roman" w:cs="Times New Roman"/>
          <w:sz w:val="22"/>
          <w:szCs w:val="22"/>
        </w:rPr>
      </w:pPr>
      <w:r w:rsidRPr="00D91DA5">
        <w:rPr>
          <w:rFonts w:ascii="Times New Roman" w:hAnsi="Times New Roman" w:cs="Times New Roman"/>
          <w:sz w:val="22"/>
          <w:szCs w:val="22"/>
        </w:rPr>
        <w:t xml:space="preserve">A 5-year duration of treatment effect for pembrolizumab is further supported by the time varying hazard ratio.  These data show that the mean estimate of hazard ratio comparing pembrolizumab to the UK standard of care is continually lower than </w:t>
      </w:r>
      <w:r w:rsidR="386FC117" w:rsidRPr="00D91DA5">
        <w:rPr>
          <w:rFonts w:ascii="Times New Roman" w:hAnsi="Times New Roman" w:cs="Times New Roman"/>
          <w:sz w:val="22"/>
          <w:szCs w:val="22"/>
        </w:rPr>
        <w:t>1</w:t>
      </w:r>
      <w:r w:rsidRPr="00D91DA5">
        <w:rPr>
          <w:rFonts w:ascii="Times New Roman" w:hAnsi="Times New Roman" w:cs="Times New Roman"/>
          <w:sz w:val="22"/>
          <w:szCs w:val="22"/>
        </w:rPr>
        <w:t xml:space="preserve"> after week </w:t>
      </w:r>
      <w:r w:rsidR="026DD29C" w:rsidRPr="00D91DA5">
        <w:rPr>
          <w:rFonts w:ascii="Times New Roman" w:hAnsi="Times New Roman" w:cs="Times New Roman"/>
          <w:sz w:val="22"/>
          <w:szCs w:val="22"/>
        </w:rPr>
        <w:t>8</w:t>
      </w:r>
      <w:r w:rsidRPr="00D91DA5">
        <w:rPr>
          <w:rFonts w:ascii="Times New Roman" w:hAnsi="Times New Roman" w:cs="Times New Roman"/>
          <w:sz w:val="22"/>
          <w:szCs w:val="22"/>
        </w:rPr>
        <w:t xml:space="preserve"> and reaches a plateau of 0.62 from week 170 (~3 years) to at least year 5. </w:t>
      </w:r>
      <w:r>
        <w:rPr>
          <w:rFonts w:ascii="Times New Roman" w:hAnsi="Times New Roman" w:cs="Times New Roman"/>
          <w:sz w:val="22"/>
          <w:szCs w:val="22"/>
        </w:rPr>
        <w:t xml:space="preserve"> </w:t>
      </w:r>
      <w:r w:rsidRPr="00D91DA5">
        <w:rPr>
          <w:rFonts w:ascii="Times New Roman" w:hAnsi="Times New Roman" w:cs="Times New Roman"/>
          <w:sz w:val="22"/>
          <w:szCs w:val="22"/>
        </w:rPr>
        <w:t>MSD discussed this with a clinical expert, who confirmed that the plateau in the hazard ratio beyond 3 years to 5 years is consistent with his clinical experience.</w:t>
      </w:r>
      <w:r>
        <w:rPr>
          <w:rStyle w:val="FootnoteReference"/>
          <w:rFonts w:ascii="Times New Roman" w:hAnsi="Times New Roman" w:cs="Times New Roman"/>
          <w:sz w:val="22"/>
          <w:szCs w:val="22"/>
        </w:rPr>
        <w:footnoteReference w:id="9"/>
      </w:r>
      <w:r w:rsidR="00294ABD">
        <w:rPr>
          <w:sz w:val="22"/>
          <w:szCs w:val="22"/>
        </w:rPr>
        <w:t xml:space="preserve"> </w:t>
      </w:r>
      <w:r w:rsidR="00A7041C">
        <w:rPr>
          <w:sz w:val="22"/>
          <w:szCs w:val="22"/>
        </w:rPr>
        <w:t>T</w:t>
      </w:r>
      <w:r w:rsidR="42A25473" w:rsidRPr="024B4842">
        <w:rPr>
          <w:sz w:val="22"/>
          <w:szCs w:val="22"/>
        </w:rPr>
        <w:t>he preferred extrapolation curve (log-logistic distribution) produced a hazard ratio trend that was in line with the fitted time-varying hazard ratio based</w:t>
      </w:r>
      <w:r w:rsidR="00C23D5D">
        <w:rPr>
          <w:sz w:val="22"/>
          <w:szCs w:val="22"/>
        </w:rPr>
        <w:t xml:space="preserve"> on the maximum follow-up data, supporting a 5-year cap.</w:t>
      </w:r>
    </w:p>
    <w:p w14:paraId="2B81F484" w14:textId="7FFE6634" w:rsidR="00D413E0" w:rsidRPr="003E124C" w:rsidRDefault="00D413E0" w:rsidP="00D413E0">
      <w:pPr>
        <w:pStyle w:val="BodyText"/>
        <w:numPr>
          <w:ilvl w:val="0"/>
          <w:numId w:val="32"/>
        </w:numPr>
        <w:jc w:val="both"/>
        <w:rPr>
          <w:rFonts w:ascii="Times New Roman" w:hAnsi="Times New Roman" w:cs="Times New Roman"/>
          <w:sz w:val="22"/>
          <w:szCs w:val="22"/>
        </w:rPr>
      </w:pPr>
      <w:r>
        <w:rPr>
          <w:rFonts w:ascii="Times New Roman" w:hAnsi="Times New Roman" w:cs="Times New Roman"/>
          <w:sz w:val="22"/>
          <w:szCs w:val="22"/>
        </w:rPr>
        <w:t>T</w:t>
      </w:r>
      <w:r w:rsidRPr="00D57189">
        <w:rPr>
          <w:rFonts w:ascii="Times New Roman" w:hAnsi="Times New Roman" w:cs="Times New Roman"/>
          <w:sz w:val="22"/>
          <w:szCs w:val="22"/>
        </w:rPr>
        <w:t xml:space="preserve">he company’s extrapolation of overall survival does not fit well with a 3-year treatment effect cap and suggests a 5-year cap </w:t>
      </w:r>
      <w:r>
        <w:rPr>
          <w:rFonts w:ascii="Times New Roman" w:hAnsi="Times New Roman" w:cs="Times New Roman"/>
          <w:sz w:val="22"/>
          <w:szCs w:val="22"/>
        </w:rPr>
        <w:t xml:space="preserve">or higher </w:t>
      </w:r>
      <w:r w:rsidRPr="00D57189">
        <w:rPr>
          <w:rFonts w:ascii="Times New Roman" w:hAnsi="Times New Roman" w:cs="Times New Roman"/>
          <w:sz w:val="22"/>
          <w:szCs w:val="22"/>
        </w:rPr>
        <w:t xml:space="preserve">is </w:t>
      </w:r>
      <w:r>
        <w:rPr>
          <w:rFonts w:ascii="Times New Roman" w:hAnsi="Times New Roman" w:cs="Times New Roman"/>
          <w:sz w:val="22"/>
          <w:szCs w:val="22"/>
        </w:rPr>
        <w:t>more appropriate</w:t>
      </w:r>
      <w:r w:rsidRPr="00D57189">
        <w:rPr>
          <w:rFonts w:ascii="Times New Roman" w:hAnsi="Times New Roman" w:cs="Times New Roman"/>
          <w:sz w:val="22"/>
          <w:szCs w:val="22"/>
        </w:rPr>
        <w:t>.</w:t>
      </w:r>
      <w:r w:rsidR="005F4483">
        <w:rPr>
          <w:rStyle w:val="FootnoteReference"/>
          <w:rFonts w:ascii="Times New Roman" w:hAnsi="Times New Roman" w:cs="Times New Roman"/>
          <w:sz w:val="22"/>
          <w:szCs w:val="22"/>
        </w:rPr>
        <w:footnoteReference w:id="10"/>
      </w:r>
      <w:r w:rsidRPr="00D57189">
        <w:rPr>
          <w:rFonts w:ascii="Times New Roman" w:hAnsi="Times New Roman" w:cs="Times New Roman"/>
          <w:sz w:val="22"/>
          <w:szCs w:val="22"/>
        </w:rPr>
        <w:t xml:space="preserve">  The </w:t>
      </w:r>
      <w:r>
        <w:rPr>
          <w:rFonts w:ascii="Times New Roman" w:hAnsi="Times New Roman" w:cs="Times New Roman"/>
          <w:sz w:val="22"/>
          <w:szCs w:val="22"/>
        </w:rPr>
        <w:t xml:space="preserve">views of the clinical </w:t>
      </w:r>
      <w:r w:rsidRPr="00D57189">
        <w:rPr>
          <w:rFonts w:ascii="Times New Roman" w:hAnsi="Times New Roman" w:cs="Times New Roman"/>
          <w:sz w:val="22"/>
          <w:szCs w:val="22"/>
        </w:rPr>
        <w:t>expert cit</w:t>
      </w:r>
      <w:r>
        <w:rPr>
          <w:rFonts w:ascii="Times New Roman" w:hAnsi="Times New Roman" w:cs="Times New Roman"/>
          <w:sz w:val="22"/>
          <w:szCs w:val="22"/>
        </w:rPr>
        <w:t xml:space="preserve">ed in paragraph 3.15 of the FAD are consistent with this interpretation.  The expert </w:t>
      </w:r>
      <w:r w:rsidRPr="00D57189">
        <w:rPr>
          <w:rFonts w:ascii="Times New Roman" w:hAnsi="Times New Roman" w:cs="Times New Roman"/>
          <w:sz w:val="22"/>
          <w:szCs w:val="22"/>
        </w:rPr>
        <w:t>found it plausible that approximately 5%</w:t>
      </w:r>
      <w:r w:rsidR="00D22667">
        <w:rPr>
          <w:rFonts w:ascii="Times New Roman" w:hAnsi="Times New Roman" w:cs="Times New Roman"/>
          <w:sz w:val="22"/>
          <w:szCs w:val="22"/>
        </w:rPr>
        <w:t xml:space="preserve"> to</w:t>
      </w:r>
      <w:r w:rsidRPr="00D57189">
        <w:rPr>
          <w:rFonts w:ascii="Times New Roman" w:hAnsi="Times New Roman" w:cs="Times New Roman"/>
          <w:sz w:val="22"/>
          <w:szCs w:val="22"/>
        </w:rPr>
        <w:t xml:space="preserve"> 10% of </w:t>
      </w:r>
      <w:r w:rsidR="0031436D">
        <w:rPr>
          <w:rFonts w:ascii="Times New Roman" w:hAnsi="Times New Roman" w:cs="Times New Roman"/>
          <w:sz w:val="22"/>
          <w:szCs w:val="22"/>
        </w:rPr>
        <w:t xml:space="preserve">patients treated with </w:t>
      </w:r>
      <w:r w:rsidRPr="00D57189">
        <w:rPr>
          <w:rFonts w:ascii="Times New Roman" w:hAnsi="Times New Roman" w:cs="Times New Roman"/>
          <w:sz w:val="22"/>
          <w:szCs w:val="22"/>
        </w:rPr>
        <w:t>pembrolizumab might survive to 10 years after starting treatment.  Using a preferred l</w:t>
      </w:r>
      <w:r>
        <w:rPr>
          <w:rFonts w:ascii="Times New Roman" w:hAnsi="Times New Roman" w:cs="Times New Roman"/>
          <w:sz w:val="22"/>
          <w:szCs w:val="22"/>
        </w:rPr>
        <w:t>og-logistic extrapolation curve: (</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w:t>
      </w:r>
      <w:r w:rsidRPr="00D57189">
        <w:rPr>
          <w:rFonts w:ascii="Times New Roman" w:hAnsi="Times New Roman" w:cs="Times New Roman"/>
          <w:sz w:val="22"/>
          <w:szCs w:val="22"/>
        </w:rPr>
        <w:t xml:space="preserve"> if a 5-year effect is assumed</w:t>
      </w:r>
      <w:r>
        <w:rPr>
          <w:rFonts w:ascii="Times New Roman" w:hAnsi="Times New Roman" w:cs="Times New Roman"/>
          <w:sz w:val="22"/>
          <w:szCs w:val="22"/>
        </w:rPr>
        <w:t xml:space="preserve">, approximately </w:t>
      </w:r>
      <w:r w:rsidRPr="00D57189">
        <w:rPr>
          <w:rFonts w:ascii="Times New Roman" w:hAnsi="Times New Roman" w:cs="Times New Roman"/>
          <w:sz w:val="22"/>
          <w:szCs w:val="22"/>
        </w:rPr>
        <w:t>5.48%</w:t>
      </w:r>
      <w:r>
        <w:rPr>
          <w:rFonts w:ascii="Times New Roman" w:hAnsi="Times New Roman" w:cs="Times New Roman"/>
          <w:sz w:val="22"/>
          <w:szCs w:val="22"/>
        </w:rPr>
        <w:t xml:space="preserve"> of patients would survive for 10 years; but (ii)</w:t>
      </w:r>
      <w:r w:rsidRPr="00D57189">
        <w:rPr>
          <w:rFonts w:ascii="Times New Roman" w:hAnsi="Times New Roman" w:cs="Times New Roman"/>
          <w:sz w:val="22"/>
          <w:szCs w:val="22"/>
        </w:rPr>
        <w:t xml:space="preserve"> </w:t>
      </w:r>
      <w:r>
        <w:rPr>
          <w:rFonts w:ascii="Times New Roman" w:hAnsi="Times New Roman" w:cs="Times New Roman"/>
          <w:sz w:val="22"/>
          <w:szCs w:val="22"/>
        </w:rPr>
        <w:t>if a 3-year cap applies, the 10</w:t>
      </w:r>
      <w:r w:rsidR="2736D19C">
        <w:rPr>
          <w:rFonts w:ascii="Times New Roman" w:hAnsi="Times New Roman" w:cs="Times New Roman"/>
          <w:sz w:val="22"/>
          <w:szCs w:val="22"/>
        </w:rPr>
        <w:t>-</w:t>
      </w:r>
      <w:r>
        <w:rPr>
          <w:rFonts w:ascii="Times New Roman" w:hAnsi="Times New Roman" w:cs="Times New Roman"/>
          <w:sz w:val="22"/>
          <w:szCs w:val="22"/>
        </w:rPr>
        <w:t>year survi</w:t>
      </w:r>
      <w:r w:rsidR="001548B5">
        <w:rPr>
          <w:rFonts w:ascii="Times New Roman" w:hAnsi="Times New Roman" w:cs="Times New Roman"/>
          <w:sz w:val="22"/>
          <w:szCs w:val="22"/>
        </w:rPr>
        <w:t>val rate would be approximately</w:t>
      </w:r>
      <w:r w:rsidRPr="00D57189">
        <w:rPr>
          <w:rFonts w:ascii="Times New Roman" w:hAnsi="Times New Roman" w:cs="Times New Roman"/>
          <w:sz w:val="22"/>
          <w:szCs w:val="22"/>
        </w:rPr>
        <w:t xml:space="preserve"> 4.43%.  </w:t>
      </w:r>
      <w:r>
        <w:rPr>
          <w:rFonts w:ascii="Times New Roman" w:hAnsi="Times New Roman" w:cs="Times New Roman"/>
          <w:sz w:val="22"/>
          <w:szCs w:val="22"/>
        </w:rPr>
        <w:t>Therefore</w:t>
      </w:r>
      <w:r w:rsidRPr="00D57189">
        <w:rPr>
          <w:rFonts w:ascii="Times New Roman" w:hAnsi="Times New Roman" w:cs="Times New Roman"/>
          <w:sz w:val="22"/>
          <w:szCs w:val="22"/>
        </w:rPr>
        <w:t>,</w:t>
      </w:r>
      <w:r>
        <w:rPr>
          <w:rFonts w:ascii="Times New Roman" w:hAnsi="Times New Roman" w:cs="Times New Roman"/>
          <w:sz w:val="22"/>
          <w:szCs w:val="22"/>
        </w:rPr>
        <w:t xml:space="preserve"> even at the lower end of the expert’s prediction, a 3-year treatment effect does not </w:t>
      </w:r>
      <w:proofErr w:type="gramStart"/>
      <w:r>
        <w:rPr>
          <w:rFonts w:ascii="Times New Roman" w:hAnsi="Times New Roman" w:cs="Times New Roman"/>
          <w:sz w:val="22"/>
          <w:szCs w:val="22"/>
        </w:rPr>
        <w:t>fit;</w:t>
      </w:r>
      <w:proofErr w:type="gramEnd"/>
      <w:r>
        <w:rPr>
          <w:rFonts w:ascii="Times New Roman" w:hAnsi="Times New Roman" w:cs="Times New Roman"/>
          <w:sz w:val="22"/>
          <w:szCs w:val="22"/>
        </w:rPr>
        <w:t xml:space="preserve"> whereas a 5-year effect does. </w:t>
      </w:r>
      <w:r w:rsidRPr="00D57189">
        <w:rPr>
          <w:rFonts w:ascii="Times New Roman" w:hAnsi="Times New Roman" w:cs="Times New Roman"/>
          <w:sz w:val="22"/>
          <w:szCs w:val="22"/>
        </w:rPr>
        <w:t xml:space="preserve"> </w:t>
      </w:r>
    </w:p>
    <w:bookmarkEnd w:id="1"/>
    <w:p w14:paraId="4785DA72" w14:textId="73ACC784" w:rsidR="00D91DA5" w:rsidRDefault="0096181C" w:rsidP="00501A93">
      <w:pPr>
        <w:pStyle w:val="BodyText"/>
        <w:numPr>
          <w:ilvl w:val="0"/>
          <w:numId w:val="32"/>
        </w:numPr>
        <w:jc w:val="both"/>
        <w:rPr>
          <w:rFonts w:eastAsiaTheme="minorEastAsia"/>
          <w:sz w:val="22"/>
          <w:szCs w:val="22"/>
        </w:rPr>
      </w:pPr>
      <w:r>
        <w:rPr>
          <w:sz w:val="22"/>
          <w:szCs w:val="22"/>
        </w:rPr>
        <w:t xml:space="preserve">The company </w:t>
      </w:r>
      <w:r w:rsidR="00C23D5D">
        <w:rPr>
          <w:sz w:val="22"/>
          <w:szCs w:val="22"/>
        </w:rPr>
        <w:t xml:space="preserve">extrapolated </w:t>
      </w:r>
      <w:r w:rsidR="00C23D5D" w:rsidRPr="024B4842">
        <w:rPr>
          <w:sz w:val="22"/>
          <w:szCs w:val="22"/>
        </w:rPr>
        <w:t>overall</w:t>
      </w:r>
      <w:r w:rsidR="045C5329" w:rsidRPr="024B4842">
        <w:rPr>
          <w:sz w:val="22"/>
          <w:szCs w:val="22"/>
        </w:rPr>
        <w:t xml:space="preserve"> survival using the entirety of the follow-up data from KEYNOTE-045, which included a 2-year stopping rule.</w:t>
      </w:r>
      <w:r w:rsidR="00501A93">
        <w:rPr>
          <w:sz w:val="22"/>
          <w:szCs w:val="22"/>
        </w:rPr>
        <w:t xml:space="preserve">  The follow-up data spanned approximately 4 years.  As such</w:t>
      </w:r>
      <w:r w:rsidR="045C5329" w:rsidRPr="024B4842">
        <w:rPr>
          <w:sz w:val="22"/>
          <w:szCs w:val="22"/>
        </w:rPr>
        <w:t xml:space="preserve">, if any treatment effect </w:t>
      </w:r>
      <w:proofErr w:type="gramStart"/>
      <w:r w:rsidR="045C5329" w:rsidRPr="024B4842">
        <w:rPr>
          <w:sz w:val="22"/>
          <w:szCs w:val="22"/>
        </w:rPr>
        <w:t>was</w:t>
      </w:r>
      <w:proofErr w:type="gramEnd"/>
      <w:r w:rsidR="045C5329" w:rsidRPr="024B4842">
        <w:rPr>
          <w:sz w:val="22"/>
          <w:szCs w:val="22"/>
        </w:rPr>
        <w:t xml:space="preserve"> observed within the </w:t>
      </w:r>
      <w:r w:rsidR="00501A93">
        <w:rPr>
          <w:sz w:val="22"/>
          <w:szCs w:val="22"/>
        </w:rPr>
        <w:t xml:space="preserve">4-year </w:t>
      </w:r>
      <w:r w:rsidR="045C5329" w:rsidRPr="024B4842">
        <w:rPr>
          <w:sz w:val="22"/>
          <w:szCs w:val="22"/>
        </w:rPr>
        <w:t xml:space="preserve">follow-up data, </w:t>
      </w:r>
      <w:r w:rsidR="00501A93">
        <w:rPr>
          <w:sz w:val="22"/>
          <w:szCs w:val="22"/>
        </w:rPr>
        <w:t xml:space="preserve">it </w:t>
      </w:r>
      <w:r w:rsidR="045C5329" w:rsidRPr="024B4842">
        <w:rPr>
          <w:sz w:val="22"/>
          <w:szCs w:val="22"/>
        </w:rPr>
        <w:t xml:space="preserve">would most accurately be reflected within the fitting of the overall survival curves. </w:t>
      </w:r>
      <w:r w:rsidR="00902C93">
        <w:rPr>
          <w:sz w:val="22"/>
          <w:szCs w:val="22"/>
        </w:rPr>
        <w:t xml:space="preserve"> </w:t>
      </w:r>
      <w:r w:rsidR="045C5329" w:rsidRPr="024B4842">
        <w:rPr>
          <w:sz w:val="22"/>
          <w:szCs w:val="22"/>
        </w:rPr>
        <w:t>Therefore, by applying a treatment effect duration shorter than the follow-up</w:t>
      </w:r>
      <w:r w:rsidR="00501A93">
        <w:rPr>
          <w:sz w:val="22"/>
          <w:szCs w:val="22"/>
        </w:rPr>
        <w:t xml:space="preserve"> period</w:t>
      </w:r>
      <w:r w:rsidR="045C5329" w:rsidRPr="024B4842">
        <w:rPr>
          <w:sz w:val="22"/>
          <w:szCs w:val="22"/>
        </w:rPr>
        <w:t xml:space="preserve">, two issues arise: </w:t>
      </w:r>
      <w:r w:rsidR="00F21327">
        <w:rPr>
          <w:sz w:val="22"/>
          <w:szCs w:val="22"/>
        </w:rPr>
        <w:t>(</w:t>
      </w:r>
      <w:proofErr w:type="spellStart"/>
      <w:r w:rsidR="00F21327">
        <w:rPr>
          <w:sz w:val="22"/>
          <w:szCs w:val="22"/>
        </w:rPr>
        <w:t>i</w:t>
      </w:r>
      <w:proofErr w:type="spellEnd"/>
      <w:r w:rsidR="045C5329" w:rsidRPr="024B4842">
        <w:rPr>
          <w:sz w:val="22"/>
          <w:szCs w:val="22"/>
        </w:rPr>
        <w:t xml:space="preserve">) all pembrolizumab overall survival information conveyed beyond 3 years from the observed data is </w:t>
      </w:r>
      <w:r w:rsidR="00F21327">
        <w:rPr>
          <w:sz w:val="22"/>
          <w:szCs w:val="22"/>
        </w:rPr>
        <w:t xml:space="preserve">effectively </w:t>
      </w:r>
      <w:r w:rsidR="045C5329" w:rsidRPr="024B4842">
        <w:rPr>
          <w:sz w:val="22"/>
          <w:szCs w:val="22"/>
        </w:rPr>
        <w:t xml:space="preserve">entirely disregarded; </w:t>
      </w:r>
      <w:r w:rsidR="00F21327">
        <w:rPr>
          <w:sz w:val="22"/>
          <w:szCs w:val="22"/>
        </w:rPr>
        <w:t>and (ii</w:t>
      </w:r>
      <w:r w:rsidR="045C5329" w:rsidRPr="024B4842">
        <w:rPr>
          <w:sz w:val="22"/>
          <w:szCs w:val="22"/>
        </w:rPr>
        <w:t xml:space="preserve">) manipulating the fitting data within the observed period </w:t>
      </w:r>
      <w:r w:rsidR="00F21327">
        <w:rPr>
          <w:sz w:val="22"/>
          <w:szCs w:val="22"/>
        </w:rPr>
        <w:t xml:space="preserve">would </w:t>
      </w:r>
      <w:r w:rsidR="045C5329" w:rsidRPr="024B4842">
        <w:rPr>
          <w:sz w:val="22"/>
          <w:szCs w:val="22"/>
        </w:rPr>
        <w:t>potentially double count the treatment waning effect that has already been reflected by the parametric fitting.</w:t>
      </w:r>
      <w:r w:rsidR="00F21327">
        <w:rPr>
          <w:sz w:val="22"/>
          <w:szCs w:val="22"/>
        </w:rPr>
        <w:t xml:space="preserve">  Taken together, this clearly calls into question why a treatment effect that is shorter than the follow-up period was considered appropriate, when this does not fit with overall survival.</w:t>
      </w:r>
    </w:p>
    <w:p w14:paraId="338E3216" w14:textId="4DA3073D" w:rsidR="00D413E0" w:rsidRPr="00DE6EE3" w:rsidRDefault="00D413E0" w:rsidP="00D413E0">
      <w:pPr>
        <w:pStyle w:val="BodyText"/>
        <w:numPr>
          <w:ilvl w:val="0"/>
          <w:numId w:val="32"/>
        </w:numPr>
        <w:jc w:val="both"/>
        <w:rPr>
          <w:rFonts w:ascii="Times New Roman" w:hAnsi="Times New Roman" w:cs="Times New Roman"/>
          <w:sz w:val="22"/>
          <w:szCs w:val="22"/>
        </w:rPr>
      </w:pPr>
      <w:r w:rsidRPr="024B4842">
        <w:rPr>
          <w:rFonts w:ascii="Times New Roman" w:hAnsi="Times New Roman" w:cs="Times New Roman"/>
          <w:sz w:val="22"/>
          <w:szCs w:val="22"/>
        </w:rPr>
        <w:t xml:space="preserve">As discussed in Ground </w:t>
      </w:r>
      <w:r w:rsidR="00E046C2">
        <w:rPr>
          <w:rFonts w:ascii="Times New Roman" w:hAnsi="Times New Roman" w:cs="Times New Roman"/>
          <w:sz w:val="22"/>
          <w:szCs w:val="22"/>
        </w:rPr>
        <w:t>1a.1</w:t>
      </w:r>
      <w:r w:rsidRPr="00AB17F5">
        <w:rPr>
          <w:rFonts w:ascii="Times New Roman" w:hAnsi="Times New Roman" w:cs="Times New Roman"/>
          <w:sz w:val="22"/>
          <w:szCs w:val="22"/>
        </w:rPr>
        <w:t>,</w:t>
      </w:r>
      <w:r w:rsidRPr="024B4842">
        <w:rPr>
          <w:rFonts w:ascii="Times New Roman" w:hAnsi="Times New Roman" w:cs="Times New Roman"/>
          <w:sz w:val="22"/>
          <w:szCs w:val="22"/>
        </w:rPr>
        <w:t xml:space="preserve"> MSD submitted extensive evidence to demonstrate that applying greater than 3-year treatment effect is consistent with clinical trials for pembrolizumab in other indications and other comparable technology appraisals.</w:t>
      </w:r>
    </w:p>
    <w:p w14:paraId="6CD99BF2" w14:textId="6B1D31E0" w:rsidR="006F44E9" w:rsidRDefault="008D5584" w:rsidP="006F44E9">
      <w:pPr>
        <w:pStyle w:val="BodyText"/>
        <w:jc w:val="both"/>
        <w:rPr>
          <w:sz w:val="22"/>
          <w:szCs w:val="22"/>
        </w:rPr>
      </w:pPr>
      <w:r>
        <w:rPr>
          <w:sz w:val="22"/>
          <w:szCs w:val="22"/>
        </w:rPr>
        <w:t xml:space="preserve">It is clear the </w:t>
      </w:r>
      <w:r w:rsidR="00D413E0" w:rsidRPr="00BD0A9C">
        <w:rPr>
          <w:sz w:val="22"/>
          <w:szCs w:val="22"/>
        </w:rPr>
        <w:t xml:space="preserve">ERG </w:t>
      </w:r>
      <w:proofErr w:type="gramStart"/>
      <w:r>
        <w:rPr>
          <w:sz w:val="22"/>
          <w:szCs w:val="22"/>
        </w:rPr>
        <w:t xml:space="preserve">had </w:t>
      </w:r>
      <w:r w:rsidR="00D413E0" w:rsidRPr="00BD0A9C">
        <w:rPr>
          <w:sz w:val="22"/>
          <w:szCs w:val="22"/>
        </w:rPr>
        <w:t>a preference for</w:t>
      </w:r>
      <w:proofErr w:type="gramEnd"/>
      <w:r w:rsidR="00D413E0" w:rsidRPr="00BD0A9C">
        <w:rPr>
          <w:sz w:val="22"/>
          <w:szCs w:val="22"/>
        </w:rPr>
        <w:t xml:space="preserve"> a 3-year cap.  It points to the relatively low number of events (</w:t>
      </w:r>
      <w:r w:rsidR="00D413E0" w:rsidRPr="024B4842">
        <w:rPr>
          <w:i/>
          <w:iCs/>
          <w:sz w:val="22"/>
          <w:szCs w:val="22"/>
        </w:rPr>
        <w:t>i.e.</w:t>
      </w:r>
      <w:r w:rsidR="00D413E0" w:rsidRPr="00BD0A9C">
        <w:rPr>
          <w:sz w:val="22"/>
          <w:szCs w:val="22"/>
        </w:rPr>
        <w:t xml:space="preserve">, deaths) in the standard of care population beyond </w:t>
      </w:r>
      <w:r w:rsidR="5AE4EB01" w:rsidRPr="00BD0A9C">
        <w:rPr>
          <w:sz w:val="22"/>
          <w:szCs w:val="22"/>
        </w:rPr>
        <w:t>3</w:t>
      </w:r>
      <w:r w:rsidR="00D413E0" w:rsidRPr="00BD0A9C">
        <w:rPr>
          <w:sz w:val="22"/>
          <w:szCs w:val="22"/>
        </w:rPr>
        <w:t xml:space="preserve"> years as evidence that data generated beyond this point is unlikely to be meaningful.</w:t>
      </w:r>
      <w:r w:rsidR="00D413E0" w:rsidRPr="00BD0A9C">
        <w:rPr>
          <w:rStyle w:val="FootnoteReference"/>
          <w:rFonts w:ascii="Times New Roman" w:hAnsi="Times New Roman" w:cs="Times New Roman"/>
          <w:sz w:val="22"/>
          <w:szCs w:val="22"/>
        </w:rPr>
        <w:footnoteReference w:id="11"/>
      </w:r>
      <w:r w:rsidR="00D413E0" w:rsidRPr="00BD0A9C">
        <w:rPr>
          <w:sz w:val="22"/>
          <w:szCs w:val="22"/>
        </w:rPr>
        <w:t xml:space="preserve">  </w:t>
      </w:r>
      <w:r w:rsidR="00D413E0">
        <w:rPr>
          <w:sz w:val="22"/>
          <w:szCs w:val="22"/>
        </w:rPr>
        <w:t>Again, t</w:t>
      </w:r>
      <w:r w:rsidR="00D413E0" w:rsidRPr="00BD0A9C">
        <w:rPr>
          <w:sz w:val="22"/>
          <w:szCs w:val="22"/>
        </w:rPr>
        <w:t xml:space="preserve">his overlooks the fact that KEYNOTE-045 was not powered to demonstrate long-term treatment effect.  </w:t>
      </w:r>
      <w:r w:rsidR="00D413E0">
        <w:rPr>
          <w:sz w:val="22"/>
          <w:szCs w:val="22"/>
        </w:rPr>
        <w:t xml:space="preserve">Given the powering and the likelihood of mortality </w:t>
      </w:r>
      <w:r w:rsidR="00D413E0">
        <w:rPr>
          <w:sz w:val="22"/>
          <w:szCs w:val="22"/>
        </w:rPr>
        <w:lastRenderedPageBreak/>
        <w:t xml:space="preserve">in this indication, </w:t>
      </w:r>
      <w:r w:rsidR="2F93181C">
        <w:rPr>
          <w:sz w:val="22"/>
          <w:szCs w:val="22"/>
        </w:rPr>
        <w:t xml:space="preserve">it </w:t>
      </w:r>
      <w:r w:rsidR="00D413E0" w:rsidRPr="00BD0A9C">
        <w:rPr>
          <w:sz w:val="22"/>
          <w:szCs w:val="22"/>
        </w:rPr>
        <w:t xml:space="preserve">is unsurprising that there are low numbers of events in the comparator arm after </w:t>
      </w:r>
      <w:r w:rsidR="54523CDE" w:rsidRPr="00BD0A9C">
        <w:rPr>
          <w:sz w:val="22"/>
          <w:szCs w:val="22"/>
        </w:rPr>
        <w:t>3</w:t>
      </w:r>
      <w:r w:rsidR="00D413E0" w:rsidRPr="00BD0A9C">
        <w:rPr>
          <w:sz w:val="22"/>
          <w:szCs w:val="22"/>
        </w:rPr>
        <w:t xml:space="preserve"> years.  It is illogical to conclude that the statistical powering of the study means that a 3-year cap on treatment effect must apply by default.  Nor does it undermine the company’s evidence in support of a 5-year cap.  </w:t>
      </w:r>
    </w:p>
    <w:p w14:paraId="7124506E" w14:textId="2A8FE1B3" w:rsidR="00D413E0" w:rsidRPr="00BD0A9C" w:rsidRDefault="00D413E0" w:rsidP="006F44E9">
      <w:pPr>
        <w:pStyle w:val="BodyText"/>
        <w:jc w:val="both"/>
        <w:rPr>
          <w:sz w:val="22"/>
          <w:szCs w:val="22"/>
        </w:rPr>
      </w:pPr>
      <w:r w:rsidRPr="00BD0A9C">
        <w:rPr>
          <w:sz w:val="22"/>
          <w:szCs w:val="22"/>
        </w:rPr>
        <w:t xml:space="preserve">The ERG also refers to the 95% confidence interval for the hazard ratio crossing “one” within the first </w:t>
      </w:r>
      <w:r w:rsidR="748C1CA6" w:rsidRPr="00BD0A9C">
        <w:rPr>
          <w:sz w:val="22"/>
          <w:szCs w:val="22"/>
        </w:rPr>
        <w:t>2</w:t>
      </w:r>
      <w:r w:rsidRPr="00BD0A9C">
        <w:rPr>
          <w:sz w:val="22"/>
          <w:szCs w:val="22"/>
        </w:rPr>
        <w:t xml:space="preserve"> years of follow-up, which </w:t>
      </w:r>
      <w:r>
        <w:rPr>
          <w:sz w:val="22"/>
          <w:szCs w:val="22"/>
        </w:rPr>
        <w:t xml:space="preserve">according to the </w:t>
      </w:r>
      <w:r w:rsidRPr="00BD0A9C">
        <w:rPr>
          <w:sz w:val="22"/>
          <w:szCs w:val="22"/>
        </w:rPr>
        <w:t xml:space="preserve">ERG suggests </w:t>
      </w:r>
      <w:r>
        <w:rPr>
          <w:sz w:val="22"/>
          <w:szCs w:val="22"/>
        </w:rPr>
        <w:t xml:space="preserve">a </w:t>
      </w:r>
      <w:r w:rsidRPr="00BD0A9C">
        <w:rPr>
          <w:sz w:val="22"/>
          <w:szCs w:val="22"/>
        </w:rPr>
        <w:t>potential waning effect and “considerable uncertainty”</w:t>
      </w:r>
      <w:r>
        <w:rPr>
          <w:sz w:val="22"/>
          <w:szCs w:val="22"/>
        </w:rPr>
        <w:t xml:space="preserve"> in using this parameter</w:t>
      </w:r>
      <w:r w:rsidRPr="00BD0A9C">
        <w:rPr>
          <w:sz w:val="22"/>
          <w:szCs w:val="22"/>
        </w:rPr>
        <w:t>.</w:t>
      </w:r>
      <w:r w:rsidR="00AD28C3">
        <w:rPr>
          <w:rStyle w:val="FootnoteReference"/>
          <w:sz w:val="22"/>
          <w:szCs w:val="22"/>
        </w:rPr>
        <w:footnoteReference w:id="12"/>
      </w:r>
      <w:r w:rsidRPr="00BD0A9C">
        <w:rPr>
          <w:sz w:val="22"/>
          <w:szCs w:val="22"/>
        </w:rPr>
        <w:t xml:space="preserve">  While MSD acknowledges this observation, it would be highly speculative</w:t>
      </w:r>
      <w:r>
        <w:rPr>
          <w:sz w:val="22"/>
          <w:szCs w:val="22"/>
        </w:rPr>
        <w:t xml:space="preserve"> </w:t>
      </w:r>
      <w:r w:rsidRPr="00BD0A9C">
        <w:rPr>
          <w:sz w:val="22"/>
          <w:szCs w:val="22"/>
        </w:rPr>
        <w:t>to conclude</w:t>
      </w:r>
      <w:r w:rsidRPr="001A5932">
        <w:rPr>
          <w:sz w:val="22"/>
          <w:szCs w:val="22"/>
        </w:rPr>
        <w:t xml:space="preserve"> </w:t>
      </w:r>
      <w:r>
        <w:rPr>
          <w:sz w:val="22"/>
          <w:szCs w:val="22"/>
        </w:rPr>
        <w:t>from this alone</w:t>
      </w:r>
      <w:r w:rsidRPr="00BD0A9C">
        <w:rPr>
          <w:sz w:val="22"/>
          <w:szCs w:val="22"/>
        </w:rPr>
        <w:t xml:space="preserve"> that there is no </w:t>
      </w:r>
      <w:r w:rsidR="2E514630" w:rsidRPr="00BD0A9C">
        <w:rPr>
          <w:sz w:val="22"/>
          <w:szCs w:val="22"/>
        </w:rPr>
        <w:t>treatment</w:t>
      </w:r>
      <w:r w:rsidRPr="00BD0A9C">
        <w:rPr>
          <w:sz w:val="22"/>
          <w:szCs w:val="22"/>
        </w:rPr>
        <w:t xml:space="preserve"> effect beyond </w:t>
      </w:r>
      <w:r w:rsidR="4950DAC0" w:rsidRPr="00BD0A9C">
        <w:rPr>
          <w:sz w:val="22"/>
          <w:szCs w:val="22"/>
        </w:rPr>
        <w:t>3</w:t>
      </w:r>
      <w:r w:rsidRPr="00BD0A9C">
        <w:rPr>
          <w:sz w:val="22"/>
          <w:szCs w:val="22"/>
        </w:rPr>
        <w:t xml:space="preserve"> years.</w:t>
      </w:r>
      <w:r>
        <w:rPr>
          <w:sz w:val="22"/>
          <w:szCs w:val="22"/>
        </w:rPr>
        <w:t xml:space="preserve">  </w:t>
      </w:r>
    </w:p>
    <w:p w14:paraId="192E6F05" w14:textId="3FA31349" w:rsidR="00404D9A" w:rsidRDefault="00D413E0" w:rsidP="00D413E0">
      <w:pPr>
        <w:pStyle w:val="BodyText"/>
        <w:jc w:val="both"/>
        <w:rPr>
          <w:rFonts w:ascii="Times New Roman" w:hAnsi="Times New Roman" w:cs="Times New Roman"/>
          <w:sz w:val="22"/>
          <w:szCs w:val="22"/>
        </w:rPr>
      </w:pPr>
      <w:r w:rsidRPr="024B4842">
        <w:rPr>
          <w:rFonts w:ascii="Times New Roman" w:hAnsi="Times New Roman" w:cs="Times New Roman"/>
          <w:sz w:val="22"/>
          <w:szCs w:val="22"/>
        </w:rPr>
        <w:t>While the differences between MSD’s and the ERG’s positions may be technical, it is important for the Appeal Panel to recogni</w:t>
      </w:r>
      <w:r w:rsidR="1691823B" w:rsidRPr="024B4842">
        <w:rPr>
          <w:rFonts w:ascii="Times New Roman" w:hAnsi="Times New Roman" w:cs="Times New Roman"/>
          <w:sz w:val="22"/>
          <w:szCs w:val="22"/>
        </w:rPr>
        <w:t>s</w:t>
      </w:r>
      <w:r w:rsidRPr="024B4842">
        <w:rPr>
          <w:rFonts w:ascii="Times New Roman" w:hAnsi="Times New Roman" w:cs="Times New Roman"/>
          <w:sz w:val="22"/>
          <w:szCs w:val="22"/>
        </w:rPr>
        <w:t xml:space="preserve">e that this appeal Ground is not simply a matter of technical disagreement.  Our submission is that the demands placed upon the company’s evidence by the ERG and the Appraisal Committee were </w:t>
      </w:r>
      <w:r w:rsidR="005E09D9" w:rsidRPr="024B4842">
        <w:rPr>
          <w:rFonts w:ascii="Times New Roman" w:hAnsi="Times New Roman" w:cs="Times New Roman"/>
          <w:sz w:val="22"/>
          <w:szCs w:val="22"/>
        </w:rPr>
        <w:t xml:space="preserve">self-evidently </w:t>
      </w:r>
      <w:r w:rsidRPr="024B4842">
        <w:rPr>
          <w:rFonts w:ascii="Times New Roman" w:hAnsi="Times New Roman" w:cs="Times New Roman"/>
          <w:sz w:val="22"/>
          <w:szCs w:val="22"/>
        </w:rPr>
        <w:t>unrealistic and unattainable given the powering and structure of KEYNOTE-045</w:t>
      </w:r>
      <w:r w:rsidR="00003E4C" w:rsidRPr="024B4842">
        <w:rPr>
          <w:rFonts w:ascii="Times New Roman" w:hAnsi="Times New Roman" w:cs="Times New Roman"/>
          <w:sz w:val="22"/>
          <w:szCs w:val="22"/>
        </w:rPr>
        <w:t xml:space="preserve">.  The Committee’s position seems </w:t>
      </w:r>
      <w:proofErr w:type="gramStart"/>
      <w:r w:rsidR="00003E4C" w:rsidRPr="024B4842">
        <w:rPr>
          <w:rFonts w:ascii="Times New Roman" w:hAnsi="Times New Roman" w:cs="Times New Roman"/>
          <w:sz w:val="22"/>
          <w:szCs w:val="22"/>
        </w:rPr>
        <w:t>all the more</w:t>
      </w:r>
      <w:proofErr w:type="gramEnd"/>
      <w:r w:rsidR="00003E4C" w:rsidRPr="024B4842">
        <w:rPr>
          <w:rFonts w:ascii="Times New Roman" w:hAnsi="Times New Roman" w:cs="Times New Roman"/>
          <w:sz w:val="22"/>
          <w:szCs w:val="22"/>
        </w:rPr>
        <w:t xml:space="preserve"> unreasonable when one considers that the Committee would have been well aware of the structure and limitations of</w:t>
      </w:r>
      <w:r w:rsidR="00404D9A" w:rsidRPr="024B4842">
        <w:rPr>
          <w:rFonts w:ascii="Times New Roman" w:hAnsi="Times New Roman" w:cs="Times New Roman"/>
          <w:sz w:val="22"/>
          <w:szCs w:val="22"/>
        </w:rPr>
        <w:t xml:space="preserve"> </w:t>
      </w:r>
      <w:r w:rsidR="00003E4C" w:rsidRPr="024B4842">
        <w:rPr>
          <w:rFonts w:ascii="Times New Roman" w:hAnsi="Times New Roman" w:cs="Times New Roman"/>
          <w:sz w:val="22"/>
          <w:szCs w:val="22"/>
        </w:rPr>
        <w:t xml:space="preserve">KEYNOTE-045 from the outset.  This </w:t>
      </w:r>
      <w:r w:rsidR="00404D9A" w:rsidRPr="024B4842">
        <w:rPr>
          <w:rFonts w:ascii="Times New Roman" w:hAnsi="Times New Roman" w:cs="Times New Roman"/>
          <w:sz w:val="22"/>
          <w:szCs w:val="22"/>
        </w:rPr>
        <w:t>was the trial that</w:t>
      </w:r>
      <w:r w:rsidR="003E50FB" w:rsidRPr="024B4842">
        <w:rPr>
          <w:rFonts w:ascii="Times New Roman" w:hAnsi="Times New Roman" w:cs="Times New Roman"/>
          <w:sz w:val="22"/>
          <w:szCs w:val="22"/>
        </w:rPr>
        <w:t xml:space="preserve"> informed NICE</w:t>
      </w:r>
      <w:r w:rsidR="005E09D9" w:rsidRPr="024B4842">
        <w:rPr>
          <w:rFonts w:ascii="Times New Roman" w:hAnsi="Times New Roman" w:cs="Times New Roman"/>
          <w:sz w:val="22"/>
          <w:szCs w:val="22"/>
        </w:rPr>
        <w:t>’s</w:t>
      </w:r>
      <w:r w:rsidR="003E50FB" w:rsidRPr="024B4842">
        <w:rPr>
          <w:rFonts w:ascii="Times New Roman" w:hAnsi="Times New Roman" w:cs="Times New Roman"/>
          <w:sz w:val="22"/>
          <w:szCs w:val="22"/>
        </w:rPr>
        <w:t xml:space="preserve"> decision to fund pembrolizumab through</w:t>
      </w:r>
      <w:r w:rsidR="00404D9A" w:rsidRPr="024B4842">
        <w:rPr>
          <w:rFonts w:ascii="Times New Roman" w:hAnsi="Times New Roman" w:cs="Times New Roman"/>
          <w:sz w:val="22"/>
          <w:szCs w:val="22"/>
        </w:rPr>
        <w:t xml:space="preserve"> the CDF</w:t>
      </w:r>
      <w:r w:rsidR="003E50FB" w:rsidRPr="024B4842">
        <w:rPr>
          <w:rFonts w:ascii="Times New Roman" w:hAnsi="Times New Roman" w:cs="Times New Roman"/>
          <w:sz w:val="22"/>
          <w:szCs w:val="22"/>
        </w:rPr>
        <w:t>,</w:t>
      </w:r>
      <w:r w:rsidR="00404D9A" w:rsidRPr="024B4842">
        <w:rPr>
          <w:rFonts w:ascii="Times New Roman" w:hAnsi="Times New Roman" w:cs="Times New Roman"/>
          <w:sz w:val="22"/>
          <w:szCs w:val="22"/>
        </w:rPr>
        <w:t xml:space="preserve"> and </w:t>
      </w:r>
      <w:r w:rsidR="005E09D9" w:rsidRPr="024B4842">
        <w:rPr>
          <w:rFonts w:ascii="Times New Roman" w:hAnsi="Times New Roman" w:cs="Times New Roman"/>
          <w:sz w:val="22"/>
          <w:szCs w:val="22"/>
        </w:rPr>
        <w:t xml:space="preserve">the trial </w:t>
      </w:r>
      <w:r w:rsidR="00404D9A" w:rsidRPr="024B4842">
        <w:rPr>
          <w:rFonts w:ascii="Times New Roman" w:hAnsi="Times New Roman" w:cs="Times New Roman"/>
          <w:sz w:val="22"/>
          <w:szCs w:val="22"/>
        </w:rPr>
        <w:t xml:space="preserve">that NICE had </w:t>
      </w:r>
      <w:r w:rsidR="003E50FB" w:rsidRPr="024B4842">
        <w:rPr>
          <w:rFonts w:ascii="Times New Roman" w:hAnsi="Times New Roman" w:cs="Times New Roman"/>
          <w:sz w:val="22"/>
          <w:szCs w:val="22"/>
        </w:rPr>
        <w:t xml:space="preserve">agreed </w:t>
      </w:r>
      <w:r w:rsidR="00404D9A" w:rsidRPr="024B4842">
        <w:rPr>
          <w:rFonts w:ascii="Times New Roman" w:hAnsi="Times New Roman" w:cs="Times New Roman"/>
          <w:sz w:val="22"/>
          <w:szCs w:val="22"/>
        </w:rPr>
        <w:t>would form the basis for this reassessment</w:t>
      </w:r>
      <w:r w:rsidR="003E50FB" w:rsidRPr="024B4842">
        <w:rPr>
          <w:rFonts w:ascii="Times New Roman" w:hAnsi="Times New Roman" w:cs="Times New Roman"/>
          <w:sz w:val="22"/>
          <w:szCs w:val="22"/>
        </w:rPr>
        <w:t xml:space="preserve"> as per the agreed Data Collection Arrangement </w:t>
      </w:r>
      <w:r w:rsidR="005E09D9" w:rsidRPr="024B4842">
        <w:rPr>
          <w:rFonts w:ascii="Times New Roman" w:hAnsi="Times New Roman" w:cs="Times New Roman"/>
          <w:sz w:val="22"/>
          <w:szCs w:val="22"/>
        </w:rPr>
        <w:t>(</w:t>
      </w:r>
      <w:r w:rsidR="003E50FB" w:rsidRPr="024B4842">
        <w:rPr>
          <w:rFonts w:ascii="Times New Roman" w:hAnsi="Times New Roman" w:cs="Times New Roman"/>
          <w:sz w:val="22"/>
          <w:szCs w:val="22"/>
        </w:rPr>
        <w:t xml:space="preserve">which formed part of the Managed Access Agreement at the time of the publication </w:t>
      </w:r>
      <w:r w:rsidR="00FD567A" w:rsidRPr="024B4842">
        <w:rPr>
          <w:rFonts w:ascii="Times New Roman" w:hAnsi="Times New Roman" w:cs="Times New Roman"/>
          <w:sz w:val="22"/>
          <w:szCs w:val="22"/>
        </w:rPr>
        <w:t>o</w:t>
      </w:r>
      <w:r w:rsidR="003E50FB" w:rsidRPr="024B4842">
        <w:rPr>
          <w:rFonts w:ascii="Times New Roman" w:hAnsi="Times New Roman" w:cs="Times New Roman"/>
          <w:sz w:val="22"/>
          <w:szCs w:val="22"/>
        </w:rPr>
        <w:t>f TA519</w:t>
      </w:r>
      <w:r w:rsidR="005E09D9" w:rsidRPr="024B4842">
        <w:rPr>
          <w:rFonts w:ascii="Times New Roman" w:hAnsi="Times New Roman" w:cs="Times New Roman"/>
          <w:sz w:val="22"/>
          <w:szCs w:val="22"/>
        </w:rPr>
        <w:t>)</w:t>
      </w:r>
      <w:r w:rsidR="00003E4C" w:rsidRPr="024B4842">
        <w:rPr>
          <w:rFonts w:ascii="Times New Roman" w:hAnsi="Times New Roman" w:cs="Times New Roman"/>
          <w:sz w:val="22"/>
          <w:szCs w:val="22"/>
        </w:rPr>
        <w:t>.</w:t>
      </w:r>
      <w:r w:rsidRPr="024B4842">
        <w:rPr>
          <w:rFonts w:ascii="Times New Roman" w:hAnsi="Times New Roman" w:cs="Times New Roman"/>
          <w:sz w:val="22"/>
          <w:szCs w:val="22"/>
        </w:rPr>
        <w:t xml:space="preserve">  </w:t>
      </w:r>
    </w:p>
    <w:p w14:paraId="2565CB64" w14:textId="6C72D02E" w:rsidR="00D413E0" w:rsidRPr="00D57189" w:rsidRDefault="00404D9A" w:rsidP="00D413E0">
      <w:pPr>
        <w:pStyle w:val="BodyText"/>
        <w:jc w:val="both"/>
        <w:rPr>
          <w:rFonts w:ascii="Times New Roman" w:hAnsi="Times New Roman" w:cs="Times New Roman"/>
          <w:sz w:val="22"/>
          <w:szCs w:val="22"/>
        </w:rPr>
      </w:pPr>
      <w:r>
        <w:rPr>
          <w:rFonts w:ascii="Times New Roman" w:hAnsi="Times New Roman" w:cs="Times New Roman"/>
          <w:sz w:val="22"/>
          <w:szCs w:val="22"/>
        </w:rPr>
        <w:t xml:space="preserve">The Appraisal Committee </w:t>
      </w:r>
      <w:r w:rsidR="00D413E0">
        <w:rPr>
          <w:rFonts w:ascii="Times New Roman" w:hAnsi="Times New Roman" w:cs="Times New Roman"/>
          <w:sz w:val="22"/>
          <w:szCs w:val="22"/>
        </w:rPr>
        <w:t xml:space="preserve">appears to have decided that </w:t>
      </w:r>
      <w:r w:rsidR="00D413E0" w:rsidRPr="00D57189">
        <w:rPr>
          <w:rFonts w:ascii="Times New Roman" w:hAnsi="Times New Roman" w:cs="Times New Roman"/>
          <w:sz w:val="22"/>
          <w:szCs w:val="22"/>
        </w:rPr>
        <w:t>the most conservative possible estimate of treatment effect must</w:t>
      </w:r>
      <w:r w:rsidR="00D413E0">
        <w:rPr>
          <w:rFonts w:ascii="Times New Roman" w:hAnsi="Times New Roman" w:cs="Times New Roman"/>
          <w:sz w:val="22"/>
          <w:szCs w:val="22"/>
        </w:rPr>
        <w:t xml:space="preserve"> apply by default</w:t>
      </w:r>
      <w:r w:rsidR="00D413E0" w:rsidRPr="00D57189">
        <w:rPr>
          <w:rFonts w:ascii="Times New Roman" w:hAnsi="Times New Roman" w:cs="Times New Roman"/>
          <w:sz w:val="22"/>
          <w:szCs w:val="22"/>
        </w:rPr>
        <w:t xml:space="preserve">.  </w:t>
      </w:r>
      <w:r w:rsidR="00D413E0">
        <w:rPr>
          <w:rFonts w:ascii="Times New Roman" w:hAnsi="Times New Roman" w:cs="Times New Roman"/>
          <w:sz w:val="22"/>
          <w:szCs w:val="22"/>
        </w:rPr>
        <w:t xml:space="preserve">That is </w:t>
      </w:r>
      <w:proofErr w:type="gramStart"/>
      <w:r w:rsidR="00D413E0">
        <w:rPr>
          <w:rFonts w:ascii="Times New Roman" w:hAnsi="Times New Roman" w:cs="Times New Roman"/>
          <w:sz w:val="22"/>
          <w:szCs w:val="22"/>
        </w:rPr>
        <w:t>despite the fact that</w:t>
      </w:r>
      <w:proofErr w:type="gramEnd"/>
      <w:r w:rsidR="00D413E0">
        <w:rPr>
          <w:rFonts w:ascii="Times New Roman" w:hAnsi="Times New Roman" w:cs="Times New Roman"/>
          <w:sz w:val="22"/>
          <w:szCs w:val="22"/>
        </w:rPr>
        <w:t xml:space="preserve"> o</w:t>
      </w:r>
      <w:r w:rsidR="00D413E0" w:rsidRPr="00D57189">
        <w:rPr>
          <w:rFonts w:ascii="Times New Roman" w:hAnsi="Times New Roman" w:cs="Times New Roman"/>
          <w:sz w:val="22"/>
          <w:szCs w:val="22"/>
        </w:rPr>
        <w:t xml:space="preserve">ther products have not been subject to such </w:t>
      </w:r>
      <w:r w:rsidR="00D413E0">
        <w:rPr>
          <w:rFonts w:ascii="Times New Roman" w:hAnsi="Times New Roman" w:cs="Times New Roman"/>
          <w:sz w:val="22"/>
          <w:szCs w:val="22"/>
        </w:rPr>
        <w:t>a</w:t>
      </w:r>
      <w:r>
        <w:rPr>
          <w:rFonts w:ascii="Times New Roman" w:hAnsi="Times New Roman" w:cs="Times New Roman"/>
          <w:sz w:val="22"/>
          <w:szCs w:val="22"/>
        </w:rPr>
        <w:t>n approach, including in TA525</w:t>
      </w:r>
      <w:r w:rsidR="00D413E0" w:rsidRPr="00D57189">
        <w:rPr>
          <w:rFonts w:ascii="Times New Roman" w:hAnsi="Times New Roman" w:cs="Times New Roman"/>
          <w:sz w:val="22"/>
          <w:szCs w:val="22"/>
        </w:rPr>
        <w:t>.</w:t>
      </w:r>
      <w:r w:rsidR="00D413E0">
        <w:rPr>
          <w:rFonts w:ascii="Times New Roman" w:hAnsi="Times New Roman" w:cs="Times New Roman"/>
          <w:sz w:val="22"/>
          <w:szCs w:val="22"/>
        </w:rPr>
        <w:t xml:space="preserve">  Based on the above, NICE’s approach </w:t>
      </w:r>
      <w:r w:rsidR="00D413E0" w:rsidRPr="00D57189">
        <w:rPr>
          <w:rFonts w:ascii="Times New Roman" w:hAnsi="Times New Roman" w:cs="Times New Roman"/>
          <w:sz w:val="22"/>
          <w:szCs w:val="22"/>
        </w:rPr>
        <w:t xml:space="preserve">is unreasonable.  </w:t>
      </w:r>
    </w:p>
    <w:p w14:paraId="4D387420" w14:textId="4A9C9095" w:rsidR="00D413E0" w:rsidRPr="004F01A3" w:rsidRDefault="00D413E0" w:rsidP="00D413E0">
      <w:pPr>
        <w:pStyle w:val="Heading2"/>
        <w:numPr>
          <w:ilvl w:val="0"/>
          <w:numId w:val="0"/>
        </w:numPr>
        <w:ind w:left="1440"/>
        <w:jc w:val="both"/>
        <w:rPr>
          <w:rFonts w:ascii="Times New Roman" w:hAnsi="Times New Roman" w:cs="Times New Roman"/>
          <w:b/>
          <w:sz w:val="22"/>
          <w:szCs w:val="22"/>
        </w:rPr>
      </w:pPr>
      <w:r w:rsidRPr="004F01A3">
        <w:rPr>
          <w:rFonts w:ascii="Times New Roman" w:hAnsi="Times New Roman" w:cs="Times New Roman"/>
          <w:b/>
          <w:sz w:val="22"/>
          <w:szCs w:val="22"/>
        </w:rPr>
        <w:t xml:space="preserve">Ground 2.2 – The Appraisal Committee’s analysis of evidence from </w:t>
      </w:r>
      <w:r w:rsidR="002336E8">
        <w:rPr>
          <w:rFonts w:ascii="Times New Roman" w:hAnsi="Times New Roman" w:cs="Times New Roman"/>
          <w:b/>
          <w:sz w:val="22"/>
          <w:szCs w:val="22"/>
        </w:rPr>
        <w:t xml:space="preserve">the </w:t>
      </w:r>
      <w:r w:rsidRPr="004F01A3">
        <w:rPr>
          <w:rFonts w:ascii="Times New Roman" w:hAnsi="Times New Roman" w:cs="Times New Roman"/>
          <w:b/>
          <w:sz w:val="22"/>
          <w:szCs w:val="22"/>
        </w:rPr>
        <w:t xml:space="preserve">clinical expert in paragraph 3.15 of the FAD is internally inconsistent and its conclusions are unreasonable </w:t>
      </w:r>
    </w:p>
    <w:p w14:paraId="09CBBD54" w14:textId="6F99CC68" w:rsidR="00D413E0" w:rsidRPr="00D57189" w:rsidRDefault="00D413E0" w:rsidP="00D413E0">
      <w:pPr>
        <w:pStyle w:val="BodyText"/>
        <w:jc w:val="both"/>
        <w:rPr>
          <w:sz w:val="22"/>
          <w:szCs w:val="22"/>
        </w:rPr>
      </w:pPr>
      <w:r w:rsidRPr="00D57189">
        <w:rPr>
          <w:sz w:val="22"/>
          <w:szCs w:val="22"/>
        </w:rPr>
        <w:t xml:space="preserve">Paragraph 3.15 of the FAD concerns the duration of treatment effect and the </w:t>
      </w:r>
      <w:r>
        <w:rPr>
          <w:sz w:val="22"/>
          <w:szCs w:val="22"/>
        </w:rPr>
        <w:t xml:space="preserve">overall </w:t>
      </w:r>
      <w:r w:rsidRPr="00D57189">
        <w:rPr>
          <w:sz w:val="22"/>
          <w:szCs w:val="22"/>
        </w:rPr>
        <w:t>survival prospects of patients treated with pembrolizumab.  The Appraisal Committee</w:t>
      </w:r>
      <w:r>
        <w:rPr>
          <w:sz w:val="22"/>
          <w:szCs w:val="22"/>
        </w:rPr>
        <w:t xml:space="preserve"> reached</w:t>
      </w:r>
      <w:r w:rsidRPr="00D57189">
        <w:rPr>
          <w:sz w:val="22"/>
          <w:szCs w:val="22"/>
        </w:rPr>
        <w:t xml:space="preserve"> two conclusions: “</w:t>
      </w:r>
      <w:r w:rsidRPr="00D57189">
        <w:rPr>
          <w:i/>
          <w:sz w:val="22"/>
          <w:szCs w:val="22"/>
        </w:rPr>
        <w:t>there was no strong evidence to support a 5-year or longer treatment effect [and] no more than 5% of patients treated with pembrolizumab might be alive after 10 years.</w:t>
      </w:r>
      <w:r>
        <w:rPr>
          <w:sz w:val="22"/>
          <w:szCs w:val="22"/>
        </w:rPr>
        <w:t xml:space="preserve">”  </w:t>
      </w:r>
      <w:r w:rsidRPr="00D57189">
        <w:rPr>
          <w:sz w:val="22"/>
          <w:szCs w:val="22"/>
        </w:rPr>
        <w:t>The Appraisal Committee</w:t>
      </w:r>
      <w:r>
        <w:rPr>
          <w:sz w:val="22"/>
          <w:szCs w:val="22"/>
        </w:rPr>
        <w:t xml:space="preserve">’s analysis of the </w:t>
      </w:r>
      <w:r w:rsidRPr="00D57189">
        <w:rPr>
          <w:sz w:val="22"/>
          <w:szCs w:val="22"/>
        </w:rPr>
        <w:t xml:space="preserve">evidence is confused and internally inconsistent.  </w:t>
      </w:r>
    </w:p>
    <w:p w14:paraId="682B00DA" w14:textId="6457A741" w:rsidR="00D413E0" w:rsidRPr="00D57189" w:rsidRDefault="00D413E0" w:rsidP="00D413E0">
      <w:pPr>
        <w:pStyle w:val="BodyText"/>
        <w:jc w:val="both"/>
        <w:rPr>
          <w:sz w:val="22"/>
          <w:szCs w:val="22"/>
        </w:rPr>
      </w:pPr>
      <w:r w:rsidRPr="024B4842">
        <w:rPr>
          <w:sz w:val="22"/>
          <w:szCs w:val="22"/>
        </w:rPr>
        <w:t xml:space="preserve">The Appraisal Committee </w:t>
      </w:r>
      <w:r w:rsidR="00404D9A" w:rsidRPr="024B4842">
        <w:rPr>
          <w:sz w:val="22"/>
          <w:szCs w:val="22"/>
        </w:rPr>
        <w:t>took that advice of its clinical expert and noted that</w:t>
      </w:r>
      <w:r w:rsidRPr="024B4842">
        <w:rPr>
          <w:sz w:val="22"/>
          <w:szCs w:val="22"/>
        </w:rPr>
        <w:t>: “</w:t>
      </w:r>
      <w:r w:rsidR="00AD28C3" w:rsidRPr="024B4842">
        <w:rPr>
          <w:i/>
          <w:iCs/>
          <w:sz w:val="22"/>
          <w:szCs w:val="22"/>
        </w:rPr>
        <w:t>[t]</w:t>
      </w:r>
      <w:r w:rsidRPr="024B4842">
        <w:rPr>
          <w:i/>
          <w:iCs/>
          <w:sz w:val="22"/>
          <w:szCs w:val="22"/>
        </w:rPr>
        <w:t>he clinical expert found it plausible that 5% to 10% of people having pembrolizumab might survive to 10 years after starting treatment (with a 2-year stopping rule).</w:t>
      </w:r>
      <w:r w:rsidRPr="024B4842">
        <w:rPr>
          <w:sz w:val="22"/>
          <w:szCs w:val="22"/>
        </w:rPr>
        <w:t xml:space="preserve">”  The Appraisal Committee then refers to evidence from the CDF clinical lead and a patient expert that there was uncertainty about how long people might survive after having pembrolizumab.  The evidence cited directly contradicts the </w:t>
      </w:r>
      <w:r w:rsidR="00F21327">
        <w:rPr>
          <w:sz w:val="22"/>
          <w:szCs w:val="22"/>
        </w:rPr>
        <w:t xml:space="preserve">conclusion </w:t>
      </w:r>
      <w:r w:rsidR="004C6BC3">
        <w:rPr>
          <w:sz w:val="22"/>
          <w:szCs w:val="22"/>
        </w:rPr>
        <w:t>t</w:t>
      </w:r>
      <w:r w:rsidRPr="024B4842">
        <w:rPr>
          <w:sz w:val="22"/>
          <w:szCs w:val="22"/>
        </w:rPr>
        <w:t>hat “</w:t>
      </w:r>
      <w:r w:rsidRPr="024B4842">
        <w:rPr>
          <w:i/>
          <w:iCs/>
          <w:sz w:val="22"/>
          <w:szCs w:val="22"/>
        </w:rPr>
        <w:t>no more than 5% of patients treated</w:t>
      </w:r>
      <w:r w:rsidRPr="024B4842">
        <w:rPr>
          <w:sz w:val="22"/>
          <w:szCs w:val="22"/>
        </w:rPr>
        <w:t xml:space="preserve">” would be alive after 10 years.  Nor does the evidence disprove a 5-year or longer treatment effect.  Rather, as discussed under Ground 2.1, a 5% survival rate at 10 years (the lower end of the clinician’s range) would in fact support the company’s modelling of a 5-year effect of treatment. </w:t>
      </w:r>
    </w:p>
    <w:p w14:paraId="54CC9405" w14:textId="2AB7FF26" w:rsidR="00D413E0" w:rsidRPr="00D57189" w:rsidRDefault="00D413E0" w:rsidP="00D413E0">
      <w:pPr>
        <w:pStyle w:val="BodyText"/>
        <w:jc w:val="both"/>
        <w:rPr>
          <w:sz w:val="22"/>
          <w:szCs w:val="22"/>
        </w:rPr>
      </w:pPr>
      <w:r w:rsidRPr="00D57189">
        <w:rPr>
          <w:sz w:val="22"/>
          <w:szCs w:val="22"/>
        </w:rPr>
        <w:t xml:space="preserve">MSD raised this inconsistency during the ACD consultation phase and the Appraisal Committee </w:t>
      </w:r>
      <w:r w:rsidR="006F44E9">
        <w:rPr>
          <w:sz w:val="22"/>
          <w:szCs w:val="22"/>
        </w:rPr>
        <w:t>did not substantively</w:t>
      </w:r>
      <w:r w:rsidRPr="00D57189">
        <w:rPr>
          <w:sz w:val="22"/>
          <w:szCs w:val="22"/>
        </w:rPr>
        <w:t xml:space="preserve"> respond to it.</w:t>
      </w:r>
      <w:r w:rsidR="00AD28C3">
        <w:rPr>
          <w:rStyle w:val="FootnoteReference"/>
          <w:sz w:val="22"/>
          <w:szCs w:val="22"/>
        </w:rPr>
        <w:footnoteReference w:id="13"/>
      </w:r>
      <w:r w:rsidR="006F44E9">
        <w:rPr>
          <w:sz w:val="22"/>
          <w:szCs w:val="22"/>
        </w:rPr>
        <w:t xml:space="preserve">  As such,</w:t>
      </w:r>
      <w:r w:rsidRPr="00D57189">
        <w:rPr>
          <w:sz w:val="22"/>
          <w:szCs w:val="22"/>
        </w:rPr>
        <w:t xml:space="preserve"> the Appraisal Committee </w:t>
      </w:r>
      <w:r w:rsidR="006F44E9">
        <w:rPr>
          <w:sz w:val="22"/>
          <w:szCs w:val="22"/>
        </w:rPr>
        <w:t xml:space="preserve">has not </w:t>
      </w:r>
      <w:r w:rsidRPr="00D57189">
        <w:rPr>
          <w:sz w:val="22"/>
          <w:szCs w:val="22"/>
        </w:rPr>
        <w:t xml:space="preserve">explained why it has </w:t>
      </w:r>
      <w:r>
        <w:rPr>
          <w:sz w:val="22"/>
          <w:szCs w:val="22"/>
        </w:rPr>
        <w:t xml:space="preserve">in effect overruled the </w:t>
      </w:r>
      <w:r w:rsidR="006B0086">
        <w:rPr>
          <w:sz w:val="22"/>
          <w:szCs w:val="22"/>
        </w:rPr>
        <w:t xml:space="preserve">evidence </w:t>
      </w:r>
      <w:r>
        <w:rPr>
          <w:sz w:val="22"/>
          <w:szCs w:val="22"/>
        </w:rPr>
        <w:t xml:space="preserve">of </w:t>
      </w:r>
      <w:r w:rsidRPr="007B65E0">
        <w:rPr>
          <w:sz w:val="22"/>
          <w:szCs w:val="22"/>
        </w:rPr>
        <w:t>the</w:t>
      </w:r>
      <w:r w:rsidR="00231F47">
        <w:rPr>
          <w:sz w:val="22"/>
          <w:szCs w:val="22"/>
        </w:rPr>
        <w:t xml:space="preserve"> nominated</w:t>
      </w:r>
      <w:r>
        <w:rPr>
          <w:sz w:val="22"/>
          <w:szCs w:val="22"/>
        </w:rPr>
        <w:t xml:space="preserve"> clinical expert, to the detriment of pembrolizumab</w:t>
      </w:r>
      <w:r w:rsidR="002C166E">
        <w:rPr>
          <w:sz w:val="22"/>
          <w:szCs w:val="22"/>
        </w:rPr>
        <w:t xml:space="preserve">. </w:t>
      </w:r>
    </w:p>
    <w:p w14:paraId="47576213" w14:textId="7E6B0FB2" w:rsidR="00D413E0" w:rsidRDefault="00D413E0" w:rsidP="00D413E0">
      <w:pPr>
        <w:pStyle w:val="BodyText"/>
        <w:jc w:val="both"/>
        <w:rPr>
          <w:sz w:val="22"/>
          <w:szCs w:val="22"/>
        </w:rPr>
      </w:pPr>
      <w:r w:rsidRPr="00D57189">
        <w:rPr>
          <w:sz w:val="22"/>
          <w:szCs w:val="22"/>
        </w:rPr>
        <w:lastRenderedPageBreak/>
        <w:t xml:space="preserve">Treatment effect and survival rates are central considerations in assessing the most plausible ICER.  </w:t>
      </w:r>
      <w:r>
        <w:rPr>
          <w:sz w:val="22"/>
          <w:szCs w:val="22"/>
        </w:rPr>
        <w:t>As</w:t>
      </w:r>
      <w:r w:rsidRPr="00D57189">
        <w:rPr>
          <w:sz w:val="22"/>
          <w:szCs w:val="22"/>
        </w:rPr>
        <w:t xml:space="preserve"> the FAD currently stands, the conclusions reached in paragraph 3.16 of the FAD are unsupported by the evidence </w:t>
      </w:r>
      <w:r>
        <w:rPr>
          <w:sz w:val="22"/>
          <w:szCs w:val="22"/>
        </w:rPr>
        <w:t>cited</w:t>
      </w:r>
      <w:r w:rsidRPr="00D57189">
        <w:rPr>
          <w:sz w:val="22"/>
          <w:szCs w:val="22"/>
        </w:rPr>
        <w:t>.</w:t>
      </w:r>
    </w:p>
    <w:p w14:paraId="04DFE5AC" w14:textId="645B4F67" w:rsidR="00FE1BE1" w:rsidRPr="004F01A3" w:rsidRDefault="00FE1BE1" w:rsidP="024B4842">
      <w:pPr>
        <w:pStyle w:val="Heading2"/>
        <w:numPr>
          <w:ilvl w:val="1"/>
          <w:numId w:val="0"/>
        </w:numPr>
        <w:ind w:left="1440"/>
        <w:jc w:val="both"/>
        <w:rPr>
          <w:rFonts w:ascii="Times New Roman" w:hAnsi="Times New Roman" w:cs="Times New Roman"/>
          <w:b/>
          <w:sz w:val="22"/>
          <w:szCs w:val="22"/>
        </w:rPr>
      </w:pPr>
      <w:r w:rsidRPr="024B4842">
        <w:rPr>
          <w:rFonts w:ascii="Times New Roman" w:hAnsi="Times New Roman" w:cs="Times New Roman"/>
          <w:b/>
          <w:sz w:val="22"/>
          <w:szCs w:val="22"/>
        </w:rPr>
        <w:t xml:space="preserve">Ground 2.3 </w:t>
      </w:r>
      <w:r w:rsidR="005814BD">
        <w:rPr>
          <w:rFonts w:ascii="Times New Roman" w:hAnsi="Times New Roman" w:cs="Times New Roman"/>
          <w:b/>
          <w:sz w:val="22"/>
          <w:szCs w:val="22"/>
        </w:rPr>
        <w:t>–</w:t>
      </w:r>
      <w:r w:rsidRPr="024B4842">
        <w:rPr>
          <w:rFonts w:ascii="Times New Roman" w:hAnsi="Times New Roman" w:cs="Times New Roman"/>
          <w:b/>
          <w:sz w:val="22"/>
          <w:szCs w:val="22"/>
        </w:rPr>
        <w:t xml:space="preserve"> The Appraisal Committee’s decisions that: (</w:t>
      </w:r>
      <w:proofErr w:type="spellStart"/>
      <w:r w:rsidRPr="024B4842">
        <w:rPr>
          <w:rFonts w:ascii="Times New Roman" w:hAnsi="Times New Roman" w:cs="Times New Roman"/>
          <w:b/>
          <w:sz w:val="22"/>
          <w:szCs w:val="22"/>
        </w:rPr>
        <w:t>i</w:t>
      </w:r>
      <w:proofErr w:type="spellEnd"/>
      <w:r w:rsidRPr="024B4842">
        <w:rPr>
          <w:rFonts w:ascii="Times New Roman" w:hAnsi="Times New Roman" w:cs="Times New Roman"/>
          <w:b/>
          <w:sz w:val="22"/>
          <w:szCs w:val="22"/>
        </w:rPr>
        <w:t xml:space="preserve">) a range of possible ICERs from £48,518 to £70,520 applies; and (ii) the “most plausible” ICER for pembrolizumab is likely to be above £50,000, are unreasonable </w:t>
      </w:r>
      <w:proofErr w:type="gramStart"/>
      <w:r w:rsidRPr="024B4842">
        <w:rPr>
          <w:rFonts w:ascii="Times New Roman" w:hAnsi="Times New Roman" w:cs="Times New Roman"/>
          <w:b/>
          <w:sz w:val="22"/>
          <w:szCs w:val="22"/>
        </w:rPr>
        <w:t>in light of</w:t>
      </w:r>
      <w:proofErr w:type="gramEnd"/>
      <w:r w:rsidRPr="024B4842">
        <w:rPr>
          <w:rFonts w:ascii="Times New Roman" w:hAnsi="Times New Roman" w:cs="Times New Roman"/>
          <w:b/>
          <w:sz w:val="22"/>
          <w:szCs w:val="22"/>
        </w:rPr>
        <w:t xml:space="preserve"> the evidence submitted</w:t>
      </w:r>
    </w:p>
    <w:p w14:paraId="1C7AB826" w14:textId="77777777" w:rsidR="00FE1BE1" w:rsidRPr="00D57189" w:rsidRDefault="00FE1BE1" w:rsidP="00FE1BE1">
      <w:pPr>
        <w:pStyle w:val="BodyText"/>
        <w:jc w:val="both"/>
        <w:rPr>
          <w:rFonts w:ascii="Times New Roman" w:hAnsi="Times New Roman" w:cs="Times New Roman"/>
          <w:sz w:val="22"/>
          <w:szCs w:val="22"/>
        </w:rPr>
      </w:pPr>
      <w:r w:rsidRPr="00D57189">
        <w:rPr>
          <w:rFonts w:ascii="Times New Roman" w:hAnsi="Times New Roman" w:cs="Times New Roman"/>
          <w:sz w:val="22"/>
          <w:szCs w:val="22"/>
        </w:rPr>
        <w:t xml:space="preserve">In paragraph 3.22 of the FAD, the Appraisal Committee concludes that there is a range of possible ICERs and, based on that range, the “most plausible” ICER is likely to be above £50,000.  MSD submits that </w:t>
      </w:r>
      <w:proofErr w:type="gramStart"/>
      <w:r w:rsidRPr="00D57189">
        <w:rPr>
          <w:rFonts w:ascii="Times New Roman" w:hAnsi="Times New Roman" w:cs="Times New Roman"/>
          <w:sz w:val="22"/>
          <w:szCs w:val="22"/>
        </w:rPr>
        <w:t>both of these</w:t>
      </w:r>
      <w:proofErr w:type="gramEnd"/>
      <w:r w:rsidRPr="00D57189">
        <w:rPr>
          <w:rFonts w:ascii="Times New Roman" w:hAnsi="Times New Roman" w:cs="Times New Roman"/>
          <w:sz w:val="22"/>
          <w:szCs w:val="22"/>
        </w:rPr>
        <w:t xml:space="preserve"> assertions are</w:t>
      </w:r>
      <w:r w:rsidRPr="003D017B">
        <w:rPr>
          <w:rFonts w:ascii="Times New Roman" w:hAnsi="Times New Roman" w:cs="Times New Roman"/>
          <w:sz w:val="22"/>
          <w:szCs w:val="22"/>
        </w:rPr>
        <w:t xml:space="preserve"> </w:t>
      </w:r>
      <w:r>
        <w:rPr>
          <w:rFonts w:ascii="Times New Roman" w:hAnsi="Times New Roman" w:cs="Times New Roman"/>
          <w:sz w:val="22"/>
          <w:szCs w:val="22"/>
        </w:rPr>
        <w:t>unsound and the result from an</w:t>
      </w:r>
      <w:r w:rsidRPr="00D57189">
        <w:rPr>
          <w:rFonts w:ascii="Times New Roman" w:hAnsi="Times New Roman" w:cs="Times New Roman"/>
          <w:sz w:val="22"/>
          <w:szCs w:val="22"/>
        </w:rPr>
        <w:t xml:space="preserve"> unreasonable assessment of the evidence.</w:t>
      </w:r>
    </w:p>
    <w:p w14:paraId="2AF75A47" w14:textId="77777777" w:rsidR="00FE1BE1" w:rsidRPr="00D75B71" w:rsidRDefault="00FE1BE1" w:rsidP="00FE1BE1">
      <w:pPr>
        <w:pStyle w:val="BodyText"/>
        <w:jc w:val="both"/>
        <w:rPr>
          <w:rFonts w:ascii="Times New Roman" w:hAnsi="Times New Roman" w:cs="Times New Roman"/>
          <w:b/>
          <w:i/>
          <w:sz w:val="22"/>
          <w:szCs w:val="22"/>
        </w:rPr>
      </w:pPr>
      <w:r w:rsidRPr="00D75B71">
        <w:rPr>
          <w:rFonts w:ascii="Times New Roman" w:hAnsi="Times New Roman" w:cs="Times New Roman"/>
          <w:b/>
          <w:i/>
          <w:sz w:val="22"/>
          <w:szCs w:val="22"/>
        </w:rPr>
        <w:t>Range of Possible ICERs from £48,518 to £70,520</w:t>
      </w:r>
    </w:p>
    <w:p w14:paraId="6E4F32C7" w14:textId="0FF0699B" w:rsidR="00FE1BE1" w:rsidRPr="007B65E0" w:rsidRDefault="00FE1BE1" w:rsidP="00FE1BE1">
      <w:pPr>
        <w:pStyle w:val="BodyText"/>
        <w:jc w:val="both"/>
        <w:rPr>
          <w:rFonts w:ascii="Times New Roman" w:hAnsi="Times New Roman" w:cs="Times New Roman"/>
          <w:sz w:val="22"/>
          <w:szCs w:val="22"/>
        </w:rPr>
      </w:pPr>
      <w:r w:rsidRPr="00174D38">
        <w:rPr>
          <w:rFonts w:ascii="Times New Roman" w:hAnsi="Times New Roman" w:cs="Times New Roman"/>
          <w:sz w:val="22"/>
          <w:szCs w:val="22"/>
        </w:rPr>
        <w:t>The range is structured upon certain parameters that the Appraisal Committee considered to be uncertain and therefore variable.  These include: (</w:t>
      </w:r>
      <w:proofErr w:type="spellStart"/>
      <w:r w:rsidRPr="00174D38">
        <w:rPr>
          <w:rFonts w:ascii="Times New Roman" w:hAnsi="Times New Roman" w:cs="Times New Roman"/>
          <w:sz w:val="22"/>
          <w:szCs w:val="22"/>
        </w:rPr>
        <w:t>i</w:t>
      </w:r>
      <w:proofErr w:type="spellEnd"/>
      <w:r w:rsidRPr="00174D38">
        <w:rPr>
          <w:rFonts w:ascii="Times New Roman" w:hAnsi="Times New Roman" w:cs="Times New Roman"/>
          <w:sz w:val="22"/>
          <w:szCs w:val="22"/>
        </w:rPr>
        <w:t xml:space="preserve">) a </w:t>
      </w:r>
      <w:proofErr w:type="gramStart"/>
      <w:r w:rsidRPr="00174D38">
        <w:rPr>
          <w:rFonts w:ascii="Times New Roman" w:hAnsi="Times New Roman" w:cs="Times New Roman"/>
          <w:sz w:val="22"/>
          <w:szCs w:val="22"/>
        </w:rPr>
        <w:t>3-5 year</w:t>
      </w:r>
      <w:proofErr w:type="gramEnd"/>
      <w:r w:rsidRPr="00174D38">
        <w:rPr>
          <w:rFonts w:ascii="Times New Roman" w:hAnsi="Times New Roman" w:cs="Times New Roman"/>
          <w:sz w:val="22"/>
          <w:szCs w:val="22"/>
        </w:rPr>
        <w:t xml:space="preserve"> treatment effect; and (ii) taking adjusted and unadjusted figures into account for treatment switching</w:t>
      </w:r>
      <w:r w:rsidR="00841749">
        <w:rPr>
          <w:rStyle w:val="FootnoteReference"/>
          <w:rFonts w:ascii="Times New Roman" w:hAnsi="Times New Roman" w:cs="Times New Roman"/>
          <w:sz w:val="22"/>
          <w:szCs w:val="22"/>
        </w:rPr>
        <w:footnoteReference w:id="14"/>
      </w:r>
      <w:r w:rsidRPr="00174D38">
        <w:rPr>
          <w:rFonts w:ascii="Times New Roman" w:hAnsi="Times New Roman" w:cs="Times New Roman"/>
          <w:sz w:val="22"/>
          <w:szCs w:val="22"/>
        </w:rPr>
        <w:t xml:space="preserve"> </w:t>
      </w:r>
      <w:r w:rsidRPr="007B65E0">
        <w:rPr>
          <w:rFonts w:ascii="Times New Roman" w:hAnsi="Times New Roman" w:cs="Times New Roman"/>
          <w:sz w:val="22"/>
          <w:szCs w:val="22"/>
        </w:rPr>
        <w:t>(see Ground 2.</w:t>
      </w:r>
      <w:r w:rsidR="003F2B47" w:rsidRPr="007B65E0">
        <w:rPr>
          <w:rFonts w:ascii="Times New Roman" w:hAnsi="Times New Roman" w:cs="Times New Roman"/>
          <w:sz w:val="22"/>
          <w:szCs w:val="22"/>
        </w:rPr>
        <w:t>5</w:t>
      </w:r>
      <w:r w:rsidRPr="007B65E0">
        <w:rPr>
          <w:rFonts w:ascii="Times New Roman" w:hAnsi="Times New Roman" w:cs="Times New Roman"/>
          <w:sz w:val="22"/>
          <w:szCs w:val="22"/>
        </w:rPr>
        <w:t xml:space="preserve"> below).  </w:t>
      </w:r>
    </w:p>
    <w:p w14:paraId="6F5BE617" w14:textId="15100EF7" w:rsidR="00FE1BE1" w:rsidRPr="007B65E0" w:rsidRDefault="00FE1BE1" w:rsidP="00FE1BE1">
      <w:pPr>
        <w:pStyle w:val="BodyText"/>
        <w:jc w:val="both"/>
        <w:rPr>
          <w:rFonts w:ascii="Times New Roman" w:hAnsi="Times New Roman" w:cs="Times New Roman"/>
          <w:sz w:val="22"/>
          <w:szCs w:val="22"/>
        </w:rPr>
      </w:pPr>
      <w:r w:rsidRPr="024B4842">
        <w:rPr>
          <w:rFonts w:ascii="Times New Roman" w:hAnsi="Times New Roman" w:cs="Times New Roman"/>
          <w:sz w:val="22"/>
          <w:szCs w:val="22"/>
        </w:rPr>
        <w:t>The credibility of the ICERs depends on whether the Appraisal Committee correctly accounted for treatment effect and treatment switching.  Our submission in Grou</w:t>
      </w:r>
      <w:r w:rsidRPr="006D2AA2">
        <w:rPr>
          <w:rFonts w:ascii="Times New Roman" w:hAnsi="Times New Roman" w:cs="Times New Roman"/>
          <w:sz w:val="22"/>
          <w:szCs w:val="22"/>
        </w:rPr>
        <w:t xml:space="preserve">nds </w:t>
      </w:r>
      <w:r w:rsidR="00575A26" w:rsidRPr="005C4826">
        <w:rPr>
          <w:rFonts w:ascii="Times New Roman" w:hAnsi="Times New Roman" w:cs="Times New Roman"/>
          <w:sz w:val="22"/>
          <w:szCs w:val="22"/>
        </w:rPr>
        <w:t>2.1,</w:t>
      </w:r>
      <w:r w:rsidR="00944DC8">
        <w:rPr>
          <w:rFonts w:ascii="Times New Roman" w:hAnsi="Times New Roman" w:cs="Times New Roman"/>
          <w:sz w:val="22"/>
          <w:szCs w:val="22"/>
        </w:rPr>
        <w:t xml:space="preserve"> </w:t>
      </w:r>
      <w:r w:rsidR="00770777" w:rsidRPr="005C4826">
        <w:rPr>
          <w:rFonts w:ascii="Times New Roman" w:hAnsi="Times New Roman" w:cs="Times New Roman"/>
          <w:sz w:val="22"/>
          <w:szCs w:val="22"/>
        </w:rPr>
        <w:t>1a.1</w:t>
      </w:r>
      <w:r w:rsidR="00944DC8">
        <w:rPr>
          <w:rFonts w:ascii="Times New Roman" w:hAnsi="Times New Roman" w:cs="Times New Roman"/>
          <w:sz w:val="22"/>
          <w:szCs w:val="22"/>
        </w:rPr>
        <w:t xml:space="preserve">, </w:t>
      </w:r>
      <w:r w:rsidR="00575A26" w:rsidRPr="005C4826">
        <w:rPr>
          <w:rFonts w:ascii="Times New Roman" w:hAnsi="Times New Roman" w:cs="Times New Roman"/>
          <w:sz w:val="22"/>
          <w:szCs w:val="22"/>
        </w:rPr>
        <w:t>2.2</w:t>
      </w:r>
      <w:r w:rsidRPr="006D2AA2">
        <w:rPr>
          <w:rFonts w:ascii="Times New Roman" w:hAnsi="Times New Roman" w:cs="Times New Roman"/>
          <w:sz w:val="22"/>
          <w:szCs w:val="22"/>
        </w:rPr>
        <w:t xml:space="preserve"> and </w:t>
      </w:r>
      <w:r w:rsidR="00575A26" w:rsidRPr="005C4826">
        <w:rPr>
          <w:rFonts w:ascii="Times New Roman" w:hAnsi="Times New Roman" w:cs="Times New Roman"/>
          <w:sz w:val="22"/>
          <w:szCs w:val="22"/>
        </w:rPr>
        <w:t>2.</w:t>
      </w:r>
      <w:r w:rsidR="003F2B47" w:rsidRPr="005C4826">
        <w:rPr>
          <w:rFonts w:ascii="Times New Roman" w:hAnsi="Times New Roman" w:cs="Times New Roman"/>
          <w:sz w:val="22"/>
          <w:szCs w:val="22"/>
        </w:rPr>
        <w:t>5</w:t>
      </w:r>
      <w:r w:rsidRPr="006D2AA2">
        <w:rPr>
          <w:rFonts w:ascii="Times New Roman" w:hAnsi="Times New Roman" w:cs="Times New Roman"/>
          <w:sz w:val="22"/>
          <w:szCs w:val="22"/>
        </w:rPr>
        <w:t>,</w:t>
      </w:r>
      <w:r w:rsidRPr="024B4842">
        <w:rPr>
          <w:rFonts w:ascii="Times New Roman" w:hAnsi="Times New Roman" w:cs="Times New Roman"/>
          <w:sz w:val="22"/>
          <w:szCs w:val="22"/>
        </w:rPr>
        <w:t xml:space="preserve"> is that NICE made errors with </w:t>
      </w:r>
      <w:proofErr w:type="gramStart"/>
      <w:r w:rsidRPr="024B4842">
        <w:rPr>
          <w:rFonts w:ascii="Times New Roman" w:hAnsi="Times New Roman" w:cs="Times New Roman"/>
          <w:sz w:val="22"/>
          <w:szCs w:val="22"/>
        </w:rPr>
        <w:t>both of these</w:t>
      </w:r>
      <w:proofErr w:type="gramEnd"/>
      <w:r w:rsidRPr="024B4842">
        <w:rPr>
          <w:rFonts w:ascii="Times New Roman" w:hAnsi="Times New Roman" w:cs="Times New Roman"/>
          <w:sz w:val="22"/>
          <w:szCs w:val="22"/>
        </w:rPr>
        <w:t xml:space="preserve"> inputs.  The </w:t>
      </w:r>
      <w:proofErr w:type="gramStart"/>
      <w:r w:rsidRPr="024B4842">
        <w:rPr>
          <w:rFonts w:ascii="Times New Roman" w:hAnsi="Times New Roman" w:cs="Times New Roman"/>
          <w:sz w:val="22"/>
          <w:szCs w:val="22"/>
        </w:rPr>
        <w:t>3</w:t>
      </w:r>
      <w:r w:rsidR="00F63D89">
        <w:rPr>
          <w:rFonts w:ascii="Times New Roman" w:hAnsi="Times New Roman" w:cs="Times New Roman"/>
          <w:sz w:val="22"/>
          <w:szCs w:val="22"/>
        </w:rPr>
        <w:t>-</w:t>
      </w:r>
      <w:r w:rsidRPr="024B4842">
        <w:rPr>
          <w:rFonts w:ascii="Times New Roman" w:hAnsi="Times New Roman" w:cs="Times New Roman"/>
          <w:sz w:val="22"/>
          <w:szCs w:val="22"/>
        </w:rPr>
        <w:t>5 year</w:t>
      </w:r>
      <w:proofErr w:type="gramEnd"/>
      <w:r w:rsidRPr="024B4842">
        <w:rPr>
          <w:rFonts w:ascii="Times New Roman" w:hAnsi="Times New Roman" w:cs="Times New Roman"/>
          <w:sz w:val="22"/>
          <w:szCs w:val="22"/>
        </w:rPr>
        <w:t xml:space="preserve"> range of treatment effect is overly broad and ought, at a minimum, to be weighted in favour of 5</w:t>
      </w:r>
      <w:r w:rsidR="0C54020F" w:rsidRPr="024B4842">
        <w:rPr>
          <w:rFonts w:ascii="Times New Roman" w:hAnsi="Times New Roman" w:cs="Times New Roman"/>
          <w:sz w:val="22"/>
          <w:szCs w:val="22"/>
        </w:rPr>
        <w:t xml:space="preserve"> </w:t>
      </w:r>
      <w:r w:rsidRPr="024B4842">
        <w:rPr>
          <w:rFonts w:ascii="Times New Roman" w:hAnsi="Times New Roman" w:cs="Times New Roman"/>
          <w:sz w:val="22"/>
          <w:szCs w:val="22"/>
        </w:rPr>
        <w:t>years.  In addition, there was no justifiable basis to include unadjusted figures for treatment switching</w:t>
      </w:r>
      <w:r w:rsidR="00A7283B" w:rsidRPr="024B4842">
        <w:rPr>
          <w:rFonts w:ascii="Times New Roman" w:hAnsi="Times New Roman" w:cs="Times New Roman"/>
          <w:sz w:val="22"/>
          <w:szCs w:val="22"/>
        </w:rPr>
        <w:t xml:space="preserve"> (as discussed below)</w:t>
      </w:r>
      <w:r w:rsidRPr="024B4842">
        <w:rPr>
          <w:rFonts w:ascii="Times New Roman" w:hAnsi="Times New Roman" w:cs="Times New Roman"/>
          <w:sz w:val="22"/>
          <w:szCs w:val="22"/>
        </w:rPr>
        <w:t xml:space="preserve">.  If those errors were corrected, the range of possible ICERs would </w:t>
      </w:r>
      <w:r w:rsidR="00A7283B" w:rsidRPr="024B4842">
        <w:rPr>
          <w:rFonts w:ascii="Times New Roman" w:hAnsi="Times New Roman" w:cs="Times New Roman"/>
          <w:sz w:val="22"/>
          <w:szCs w:val="22"/>
        </w:rPr>
        <w:t xml:space="preserve">consequently </w:t>
      </w:r>
      <w:r w:rsidRPr="024B4842">
        <w:rPr>
          <w:rFonts w:ascii="Times New Roman" w:hAnsi="Times New Roman" w:cs="Times New Roman"/>
          <w:sz w:val="22"/>
          <w:szCs w:val="22"/>
        </w:rPr>
        <w:t>become narrower, moving towards the lower end (</w:t>
      </w:r>
      <w:r w:rsidRPr="024B4842">
        <w:rPr>
          <w:rFonts w:ascii="Times New Roman" w:hAnsi="Times New Roman" w:cs="Times New Roman"/>
          <w:i/>
          <w:iCs/>
          <w:sz w:val="22"/>
          <w:szCs w:val="22"/>
        </w:rPr>
        <w:t>i.e.</w:t>
      </w:r>
      <w:r w:rsidRPr="024B4842">
        <w:rPr>
          <w:rFonts w:ascii="Times New Roman" w:hAnsi="Times New Roman" w:cs="Times New Roman"/>
          <w:sz w:val="22"/>
          <w:szCs w:val="22"/>
        </w:rPr>
        <w:t>, £48,518).  In other words, because the input variables are wrong, the range</w:t>
      </w:r>
      <w:r w:rsidR="006F44E9" w:rsidRPr="024B4842">
        <w:rPr>
          <w:rFonts w:ascii="Times New Roman" w:hAnsi="Times New Roman" w:cs="Times New Roman"/>
          <w:sz w:val="22"/>
          <w:szCs w:val="22"/>
        </w:rPr>
        <w:t xml:space="preserve"> of ICERs that NICE relies upon not to recommend pembrolizumab</w:t>
      </w:r>
      <w:r w:rsidRPr="024B4842">
        <w:rPr>
          <w:rFonts w:ascii="Times New Roman" w:hAnsi="Times New Roman" w:cs="Times New Roman"/>
          <w:sz w:val="22"/>
          <w:szCs w:val="22"/>
        </w:rPr>
        <w:t xml:space="preserve"> is necessarily unreliable and prejudices against</w:t>
      </w:r>
      <w:r w:rsidR="006F44E9" w:rsidRPr="024B4842">
        <w:rPr>
          <w:rFonts w:ascii="Times New Roman" w:hAnsi="Times New Roman" w:cs="Times New Roman"/>
          <w:sz w:val="22"/>
          <w:szCs w:val="22"/>
        </w:rPr>
        <w:t xml:space="preserve"> MSD</w:t>
      </w:r>
      <w:r w:rsidRPr="024B4842">
        <w:rPr>
          <w:rFonts w:ascii="Times New Roman" w:hAnsi="Times New Roman" w:cs="Times New Roman"/>
          <w:sz w:val="22"/>
          <w:szCs w:val="22"/>
        </w:rPr>
        <w:t>.</w:t>
      </w:r>
    </w:p>
    <w:p w14:paraId="3396EC7A" w14:textId="401BF1FB" w:rsidR="00FE1BE1" w:rsidRPr="007B65E0" w:rsidRDefault="00FE1BE1" w:rsidP="00FE1BE1">
      <w:pPr>
        <w:pStyle w:val="BodyText"/>
        <w:jc w:val="both"/>
        <w:rPr>
          <w:rFonts w:ascii="Times New Roman" w:hAnsi="Times New Roman" w:cs="Times New Roman"/>
          <w:sz w:val="22"/>
          <w:szCs w:val="22"/>
        </w:rPr>
      </w:pPr>
      <w:r w:rsidRPr="00EE5C0A">
        <w:rPr>
          <w:rFonts w:ascii="Times New Roman" w:hAnsi="Times New Roman" w:cs="Times New Roman"/>
          <w:sz w:val="22"/>
          <w:szCs w:val="22"/>
        </w:rPr>
        <w:t xml:space="preserve">MSD acknowledges that some of the issues raised under Grounds </w:t>
      </w:r>
      <w:r w:rsidR="00575A26" w:rsidRPr="005C4826">
        <w:rPr>
          <w:rFonts w:ascii="Times New Roman" w:hAnsi="Times New Roman" w:cs="Times New Roman"/>
          <w:sz w:val="22"/>
          <w:szCs w:val="22"/>
        </w:rPr>
        <w:t>2.1</w:t>
      </w:r>
      <w:r w:rsidR="008D442B" w:rsidRPr="00EE5C0A">
        <w:rPr>
          <w:rFonts w:ascii="Times New Roman" w:hAnsi="Times New Roman" w:cs="Times New Roman"/>
          <w:sz w:val="22"/>
          <w:szCs w:val="22"/>
        </w:rPr>
        <w:t xml:space="preserve"> </w:t>
      </w:r>
      <w:r w:rsidR="00575A26" w:rsidRPr="00EE5C0A">
        <w:rPr>
          <w:rFonts w:ascii="Times New Roman" w:hAnsi="Times New Roman" w:cs="Times New Roman"/>
          <w:sz w:val="22"/>
          <w:szCs w:val="22"/>
        </w:rPr>
        <w:t xml:space="preserve">and </w:t>
      </w:r>
      <w:r w:rsidR="008D442B" w:rsidRPr="005C4826">
        <w:rPr>
          <w:rFonts w:ascii="Times New Roman" w:hAnsi="Times New Roman" w:cs="Times New Roman"/>
          <w:sz w:val="22"/>
          <w:szCs w:val="22"/>
        </w:rPr>
        <w:t>2.5</w:t>
      </w:r>
      <w:r w:rsidR="00575A26" w:rsidRPr="00EE5C0A">
        <w:rPr>
          <w:rFonts w:ascii="Times New Roman" w:hAnsi="Times New Roman" w:cs="Times New Roman"/>
          <w:sz w:val="22"/>
          <w:szCs w:val="22"/>
        </w:rPr>
        <w:t xml:space="preserve"> </w:t>
      </w:r>
      <w:r w:rsidRPr="00EE5C0A">
        <w:rPr>
          <w:rFonts w:ascii="Times New Roman" w:hAnsi="Times New Roman" w:cs="Times New Roman"/>
          <w:sz w:val="22"/>
          <w:szCs w:val="22"/>
        </w:rPr>
        <w:t>w</w:t>
      </w:r>
      <w:r w:rsidRPr="024B4842">
        <w:rPr>
          <w:rFonts w:ascii="Times New Roman" w:hAnsi="Times New Roman" w:cs="Times New Roman"/>
          <w:sz w:val="22"/>
          <w:szCs w:val="22"/>
        </w:rPr>
        <w:t xml:space="preserve">ere subject to detailed discussions between the company and the ERG and continued to be areas of disagreement.  </w:t>
      </w:r>
      <w:r w:rsidR="00944DC8">
        <w:rPr>
          <w:rFonts w:ascii="Times New Roman" w:hAnsi="Times New Roman" w:cs="Times New Roman"/>
          <w:sz w:val="22"/>
          <w:szCs w:val="22"/>
        </w:rPr>
        <w:t>Notwithstanding that the company and the ERG had differing views</w:t>
      </w:r>
      <w:r w:rsidRPr="024B4842">
        <w:rPr>
          <w:rFonts w:ascii="Times New Roman" w:hAnsi="Times New Roman" w:cs="Times New Roman"/>
          <w:sz w:val="22"/>
          <w:szCs w:val="22"/>
        </w:rPr>
        <w:t xml:space="preserve">, it is the Appraisal Committee’s responsibility to exercise its discretion and make value judgements that produce meaningful </w:t>
      </w:r>
      <w:r w:rsidR="00575A26" w:rsidRPr="024B4842">
        <w:rPr>
          <w:rFonts w:ascii="Times New Roman" w:hAnsi="Times New Roman" w:cs="Times New Roman"/>
          <w:sz w:val="22"/>
          <w:szCs w:val="22"/>
        </w:rPr>
        <w:t xml:space="preserve">conclusions that </w:t>
      </w:r>
      <w:r w:rsidRPr="024B4842">
        <w:rPr>
          <w:rFonts w:ascii="Times New Roman" w:hAnsi="Times New Roman" w:cs="Times New Roman"/>
          <w:sz w:val="22"/>
          <w:szCs w:val="22"/>
        </w:rPr>
        <w:t>appropriately reflect the evidence.  Unless justified by genuine uncertainty, the Appraisal Committee should not simply summari</w:t>
      </w:r>
      <w:r w:rsidR="277E1FB4" w:rsidRPr="024B4842">
        <w:rPr>
          <w:rFonts w:ascii="Times New Roman" w:hAnsi="Times New Roman" w:cs="Times New Roman"/>
          <w:sz w:val="22"/>
          <w:szCs w:val="22"/>
        </w:rPr>
        <w:t>s</w:t>
      </w:r>
      <w:r w:rsidRPr="024B4842">
        <w:rPr>
          <w:rFonts w:ascii="Times New Roman" w:hAnsi="Times New Roman" w:cs="Times New Roman"/>
          <w:sz w:val="22"/>
          <w:szCs w:val="22"/>
        </w:rPr>
        <w:t xml:space="preserve">e areas of disagreement between the company and the ERG and distil these into a range of possible ICERs.  </w:t>
      </w:r>
      <w:r w:rsidR="00564A02" w:rsidRPr="024B4842">
        <w:rPr>
          <w:rFonts w:ascii="Times New Roman" w:hAnsi="Times New Roman" w:cs="Times New Roman"/>
          <w:sz w:val="22"/>
          <w:szCs w:val="22"/>
        </w:rPr>
        <w:t>We fail to see any such genuine uncertainty here</w:t>
      </w:r>
      <w:r w:rsidR="00023325" w:rsidRPr="024B4842">
        <w:rPr>
          <w:rFonts w:ascii="Times New Roman" w:hAnsi="Times New Roman" w:cs="Times New Roman"/>
          <w:sz w:val="22"/>
          <w:szCs w:val="22"/>
        </w:rPr>
        <w:t>, particularly when less certain data has received a greater benefit of doubt in other appraisals.</w:t>
      </w:r>
    </w:p>
    <w:p w14:paraId="3FFAE25B" w14:textId="77777777" w:rsidR="00FE1BE1" w:rsidRPr="007B65E0" w:rsidRDefault="00FE1BE1" w:rsidP="00FE1BE1">
      <w:pPr>
        <w:pStyle w:val="BodyText"/>
        <w:jc w:val="both"/>
        <w:rPr>
          <w:rFonts w:ascii="Times New Roman" w:hAnsi="Times New Roman" w:cs="Times New Roman"/>
          <w:b/>
          <w:i/>
          <w:sz w:val="22"/>
          <w:szCs w:val="22"/>
        </w:rPr>
      </w:pPr>
      <w:r w:rsidRPr="007B65E0">
        <w:rPr>
          <w:rFonts w:ascii="Times New Roman" w:hAnsi="Times New Roman" w:cs="Times New Roman"/>
          <w:b/>
          <w:i/>
          <w:sz w:val="22"/>
          <w:szCs w:val="22"/>
        </w:rPr>
        <w:t>Most Plausible ICER is Likely Above £50,000</w:t>
      </w:r>
    </w:p>
    <w:p w14:paraId="6C460D0F" w14:textId="7A7E2557" w:rsidR="00FE1BE1" w:rsidRDefault="00FE1BE1" w:rsidP="00D413E0">
      <w:pPr>
        <w:pStyle w:val="BodyText"/>
        <w:jc w:val="both"/>
        <w:rPr>
          <w:rFonts w:ascii="Times New Roman" w:hAnsi="Times New Roman" w:cs="Times New Roman"/>
          <w:sz w:val="22"/>
          <w:szCs w:val="22"/>
        </w:rPr>
      </w:pPr>
      <w:r w:rsidRPr="007B65E0">
        <w:rPr>
          <w:rFonts w:ascii="Times New Roman" w:hAnsi="Times New Roman" w:cs="Times New Roman"/>
          <w:sz w:val="22"/>
          <w:szCs w:val="22"/>
        </w:rPr>
        <w:t xml:space="preserve">The Appraisal Committee’s conclusion that the </w:t>
      </w:r>
      <w:r w:rsidRPr="00A43363">
        <w:rPr>
          <w:rFonts w:ascii="Times New Roman" w:hAnsi="Times New Roman" w:cs="Times New Roman"/>
          <w:sz w:val="22"/>
          <w:szCs w:val="22"/>
        </w:rPr>
        <w:t>“</w:t>
      </w:r>
      <w:r w:rsidRPr="005C4826">
        <w:rPr>
          <w:rFonts w:ascii="Times New Roman" w:hAnsi="Times New Roman" w:cs="Times New Roman"/>
          <w:sz w:val="22"/>
          <w:szCs w:val="22"/>
        </w:rPr>
        <w:t>most plausible</w:t>
      </w:r>
      <w:r w:rsidRPr="00A43363">
        <w:rPr>
          <w:rFonts w:ascii="Times New Roman" w:hAnsi="Times New Roman" w:cs="Times New Roman"/>
          <w:sz w:val="22"/>
          <w:szCs w:val="22"/>
        </w:rPr>
        <w:t xml:space="preserve">” </w:t>
      </w:r>
      <w:r w:rsidRPr="007B65E0">
        <w:rPr>
          <w:rFonts w:ascii="Times New Roman" w:hAnsi="Times New Roman" w:cs="Times New Roman"/>
          <w:sz w:val="22"/>
          <w:szCs w:val="22"/>
        </w:rPr>
        <w:t>ICER is likely to be higher than £50,000 relies on a highly simplistic analysis (</w:t>
      </w:r>
      <w:r w:rsidRPr="007B65E0">
        <w:rPr>
          <w:rFonts w:ascii="Times New Roman" w:hAnsi="Times New Roman" w:cs="Times New Roman"/>
          <w:i/>
          <w:sz w:val="22"/>
          <w:szCs w:val="22"/>
        </w:rPr>
        <w:t>i.e.</w:t>
      </w:r>
      <w:r w:rsidRPr="007B65E0">
        <w:rPr>
          <w:rFonts w:ascii="Times New Roman" w:hAnsi="Times New Roman" w:cs="Times New Roman"/>
          <w:sz w:val="22"/>
          <w:szCs w:val="22"/>
        </w:rPr>
        <w:t xml:space="preserve">, that the most plausible ICER is at the mid-point of the range).  The evidence submitted does not support this.  If anything, </w:t>
      </w:r>
      <w:r w:rsidR="00023325">
        <w:rPr>
          <w:rFonts w:ascii="Times New Roman" w:hAnsi="Times New Roman" w:cs="Times New Roman"/>
          <w:sz w:val="22"/>
          <w:szCs w:val="22"/>
        </w:rPr>
        <w:t xml:space="preserve">for the reasons discussed above, </w:t>
      </w:r>
      <w:r w:rsidRPr="007B65E0">
        <w:rPr>
          <w:rFonts w:ascii="Times New Roman" w:hAnsi="Times New Roman" w:cs="Times New Roman"/>
          <w:sz w:val="22"/>
          <w:szCs w:val="22"/>
        </w:rPr>
        <w:t>the most plausible ICER is</w:t>
      </w:r>
      <w:r w:rsidR="00023325">
        <w:rPr>
          <w:rFonts w:ascii="Times New Roman" w:hAnsi="Times New Roman" w:cs="Times New Roman"/>
          <w:sz w:val="22"/>
          <w:szCs w:val="22"/>
        </w:rPr>
        <w:t xml:space="preserve"> most</w:t>
      </w:r>
      <w:r w:rsidRPr="007B65E0">
        <w:rPr>
          <w:rFonts w:ascii="Times New Roman" w:hAnsi="Times New Roman" w:cs="Times New Roman"/>
          <w:sz w:val="22"/>
          <w:szCs w:val="22"/>
        </w:rPr>
        <w:t xml:space="preserve"> likely to be weighted towards the lower end of (or below) the range. </w:t>
      </w:r>
      <w:r w:rsidR="00902C93">
        <w:rPr>
          <w:rFonts w:ascii="Times New Roman" w:hAnsi="Times New Roman" w:cs="Times New Roman"/>
          <w:sz w:val="22"/>
          <w:szCs w:val="22"/>
        </w:rPr>
        <w:t xml:space="preserve"> </w:t>
      </w:r>
      <w:r w:rsidRPr="00D75B71">
        <w:rPr>
          <w:rFonts w:ascii="Times New Roman" w:hAnsi="Times New Roman" w:cs="Times New Roman"/>
          <w:sz w:val="22"/>
          <w:szCs w:val="22"/>
        </w:rPr>
        <w:t xml:space="preserve">Given the evidence, it is unreasonable for the Appraisal Committee </w:t>
      </w:r>
      <w:r w:rsidR="00023325">
        <w:rPr>
          <w:rFonts w:ascii="Times New Roman" w:hAnsi="Times New Roman" w:cs="Times New Roman"/>
          <w:sz w:val="22"/>
          <w:szCs w:val="22"/>
        </w:rPr>
        <w:t xml:space="preserve">not to </w:t>
      </w:r>
      <w:r w:rsidRPr="00D75B71">
        <w:rPr>
          <w:rFonts w:ascii="Times New Roman" w:hAnsi="Times New Roman" w:cs="Times New Roman"/>
          <w:sz w:val="22"/>
          <w:szCs w:val="22"/>
        </w:rPr>
        <w:t>consider this possi</w:t>
      </w:r>
      <w:r w:rsidR="00481714">
        <w:rPr>
          <w:rFonts w:ascii="Times New Roman" w:hAnsi="Times New Roman" w:cs="Times New Roman"/>
          <w:sz w:val="22"/>
          <w:szCs w:val="22"/>
        </w:rPr>
        <w:t>bility.  On that basis, it is unreasonable to conclude that pembrolizumab is not cost-effective because the £50,000 threshold is below the midpoint in the range.</w:t>
      </w:r>
      <w:r w:rsidR="00023325">
        <w:rPr>
          <w:rFonts w:ascii="Times New Roman" w:hAnsi="Times New Roman" w:cs="Times New Roman"/>
          <w:sz w:val="22"/>
          <w:szCs w:val="22"/>
        </w:rPr>
        <w:t xml:space="preserve"> </w:t>
      </w:r>
    </w:p>
    <w:p w14:paraId="546B68F9" w14:textId="37A707BA" w:rsidR="00A01CD9" w:rsidRDefault="00A01CD9" w:rsidP="00D413E0">
      <w:pPr>
        <w:pStyle w:val="BodyText"/>
        <w:jc w:val="both"/>
        <w:rPr>
          <w:rFonts w:ascii="Times New Roman" w:hAnsi="Times New Roman" w:cs="Times New Roman"/>
          <w:sz w:val="22"/>
          <w:szCs w:val="22"/>
        </w:rPr>
      </w:pPr>
    </w:p>
    <w:p w14:paraId="1DE03A4C" w14:textId="77777777" w:rsidR="00A01CD9" w:rsidRPr="00711E70" w:rsidRDefault="00A01CD9" w:rsidP="00D413E0">
      <w:pPr>
        <w:pStyle w:val="BodyText"/>
        <w:jc w:val="both"/>
        <w:rPr>
          <w:sz w:val="22"/>
          <w:szCs w:val="22"/>
        </w:rPr>
      </w:pPr>
    </w:p>
    <w:p w14:paraId="40761336" w14:textId="6EEA6FBB" w:rsidR="00AD10F9" w:rsidRPr="003820FD" w:rsidRDefault="004F5B26" w:rsidP="003820FD">
      <w:pPr>
        <w:pStyle w:val="Heading1"/>
        <w:numPr>
          <w:ilvl w:val="0"/>
          <w:numId w:val="0"/>
        </w:numPr>
        <w:rPr>
          <w:b/>
        </w:rPr>
      </w:pPr>
      <w:r w:rsidRPr="003820FD">
        <w:rPr>
          <w:b/>
          <w:lang w:val="en-US"/>
        </w:rPr>
        <w:lastRenderedPageBreak/>
        <w:t xml:space="preserve">Ground 1a – NICE has </w:t>
      </w:r>
      <w:r w:rsidR="000A69F3">
        <w:rPr>
          <w:b/>
          <w:lang w:val="en-US"/>
        </w:rPr>
        <w:t>f</w:t>
      </w:r>
      <w:r w:rsidRPr="003820FD">
        <w:rPr>
          <w:b/>
          <w:lang w:val="en-US"/>
        </w:rPr>
        <w:t xml:space="preserve">ailed to </w:t>
      </w:r>
      <w:r w:rsidR="000A69F3">
        <w:rPr>
          <w:b/>
          <w:lang w:val="en-US"/>
        </w:rPr>
        <w:t>a</w:t>
      </w:r>
      <w:r w:rsidRPr="003820FD">
        <w:rPr>
          <w:b/>
          <w:lang w:val="en-US"/>
        </w:rPr>
        <w:t xml:space="preserve">ct </w:t>
      </w:r>
      <w:r w:rsidR="000A69F3">
        <w:rPr>
          <w:b/>
          <w:lang w:val="en-US"/>
        </w:rPr>
        <w:t>f</w:t>
      </w:r>
      <w:r w:rsidRPr="003820FD">
        <w:rPr>
          <w:b/>
          <w:lang w:val="en-US"/>
        </w:rPr>
        <w:t>airly</w:t>
      </w:r>
    </w:p>
    <w:p w14:paraId="501BCBD8" w14:textId="00A566AA" w:rsidR="00F9003A" w:rsidRDefault="00D472B7" w:rsidP="00934AE3">
      <w:pPr>
        <w:pStyle w:val="Heading2"/>
        <w:numPr>
          <w:ilvl w:val="0"/>
          <w:numId w:val="0"/>
        </w:numPr>
        <w:ind w:left="1440"/>
        <w:rPr>
          <w:lang w:val="en-US"/>
        </w:rPr>
      </w:pPr>
      <w:r w:rsidRPr="003820FD">
        <w:rPr>
          <w:b/>
          <w:sz w:val="22"/>
          <w:szCs w:val="22"/>
          <w:lang w:val="en-US"/>
        </w:rPr>
        <w:t>Ground 1a.</w:t>
      </w:r>
      <w:r w:rsidR="00FE1BE1" w:rsidRPr="003820FD">
        <w:rPr>
          <w:b/>
          <w:sz w:val="22"/>
          <w:szCs w:val="22"/>
          <w:lang w:val="en-US"/>
        </w:rPr>
        <w:t>1</w:t>
      </w:r>
      <w:r w:rsidRPr="003820FD">
        <w:rPr>
          <w:b/>
          <w:sz w:val="22"/>
          <w:szCs w:val="22"/>
          <w:lang w:val="en-US"/>
        </w:rPr>
        <w:t xml:space="preserve"> </w:t>
      </w:r>
      <w:r w:rsidR="00CB5EFC" w:rsidRPr="003820FD">
        <w:rPr>
          <w:b/>
          <w:sz w:val="22"/>
          <w:szCs w:val="22"/>
          <w:lang w:val="en-US"/>
        </w:rPr>
        <w:t xml:space="preserve">– Fundamental differences </w:t>
      </w:r>
      <w:r w:rsidR="00D76037" w:rsidRPr="003820FD">
        <w:rPr>
          <w:b/>
          <w:sz w:val="22"/>
          <w:szCs w:val="22"/>
          <w:lang w:val="en-US"/>
        </w:rPr>
        <w:t xml:space="preserve">with </w:t>
      </w:r>
      <w:r w:rsidR="00CB5EFC" w:rsidRPr="003820FD">
        <w:rPr>
          <w:b/>
          <w:sz w:val="22"/>
          <w:szCs w:val="22"/>
          <w:lang w:val="en-US"/>
        </w:rPr>
        <w:t xml:space="preserve">the approach taken in </w:t>
      </w:r>
      <w:r w:rsidR="00D76037" w:rsidRPr="003820FD">
        <w:rPr>
          <w:b/>
          <w:sz w:val="22"/>
          <w:szCs w:val="22"/>
          <w:lang w:val="en-US"/>
        </w:rPr>
        <w:t>TA525 evidence an inconsistent methodology, in breach of the Methods Guide and the principle of procedural fairness</w:t>
      </w:r>
    </w:p>
    <w:p w14:paraId="5567FFB3" w14:textId="77777777" w:rsidR="00902B35" w:rsidRPr="00D57189" w:rsidRDefault="00CE625F" w:rsidP="001950E5">
      <w:pPr>
        <w:pStyle w:val="BodyText"/>
        <w:jc w:val="both"/>
        <w:rPr>
          <w:rFonts w:ascii="Times New Roman" w:eastAsia="Arial Unicode MS" w:hAnsi="Times New Roman" w:cs="Times New Roman"/>
          <w:b/>
          <w:i/>
          <w:sz w:val="22"/>
          <w:szCs w:val="22"/>
          <w:lang w:val="en-US"/>
        </w:rPr>
      </w:pPr>
      <w:r w:rsidRPr="00D57189">
        <w:rPr>
          <w:rFonts w:ascii="Times New Roman" w:eastAsia="Arial Unicode MS" w:hAnsi="Times New Roman" w:cs="Times New Roman"/>
          <w:b/>
          <w:i/>
          <w:sz w:val="22"/>
          <w:szCs w:val="22"/>
          <w:lang w:val="en-US"/>
        </w:rPr>
        <w:t xml:space="preserve">Principle of Consistency </w:t>
      </w:r>
      <w:r w:rsidR="006955F6" w:rsidRPr="00D57189">
        <w:rPr>
          <w:rFonts w:ascii="Times New Roman" w:eastAsia="Arial Unicode MS" w:hAnsi="Times New Roman" w:cs="Times New Roman"/>
          <w:b/>
          <w:i/>
          <w:sz w:val="22"/>
          <w:szCs w:val="22"/>
          <w:lang w:val="en-US"/>
        </w:rPr>
        <w:t>between</w:t>
      </w:r>
      <w:r w:rsidRPr="00D57189">
        <w:rPr>
          <w:rFonts w:ascii="Times New Roman" w:eastAsia="Arial Unicode MS" w:hAnsi="Times New Roman" w:cs="Times New Roman"/>
          <w:b/>
          <w:i/>
          <w:sz w:val="22"/>
          <w:szCs w:val="22"/>
          <w:lang w:val="en-US"/>
        </w:rPr>
        <w:t xml:space="preserve"> NICE Appraisals</w:t>
      </w:r>
    </w:p>
    <w:p w14:paraId="11C954E4" w14:textId="5B2C1A33" w:rsidR="007F3506" w:rsidRPr="00E63DD1" w:rsidRDefault="00A13B32" w:rsidP="001950E5">
      <w:pPr>
        <w:pStyle w:val="BodyText"/>
        <w:jc w:val="both"/>
        <w:rPr>
          <w:rFonts w:ascii="Times New Roman" w:eastAsia="Arial Unicode MS" w:hAnsi="Times New Roman" w:cs="Times New Roman"/>
          <w:sz w:val="22"/>
          <w:szCs w:val="22"/>
        </w:rPr>
      </w:pPr>
      <w:r w:rsidRPr="00D57189">
        <w:rPr>
          <w:rFonts w:ascii="Times New Roman" w:eastAsia="Arial Unicode MS" w:hAnsi="Times New Roman" w:cs="Times New Roman"/>
          <w:sz w:val="22"/>
          <w:szCs w:val="22"/>
          <w:lang w:val="en-US"/>
        </w:rPr>
        <w:t xml:space="preserve">MSD </w:t>
      </w:r>
      <w:r w:rsidR="006955F6" w:rsidRPr="00D57189">
        <w:rPr>
          <w:rFonts w:ascii="Times New Roman" w:eastAsia="Arial Unicode MS" w:hAnsi="Times New Roman" w:cs="Times New Roman"/>
          <w:sz w:val="22"/>
          <w:szCs w:val="22"/>
          <w:lang w:val="en-US"/>
        </w:rPr>
        <w:t>appreciates that that</w:t>
      </w:r>
      <w:r w:rsidRPr="00D57189">
        <w:rPr>
          <w:rFonts w:ascii="Times New Roman" w:eastAsia="Arial Unicode MS" w:hAnsi="Times New Roman" w:cs="Times New Roman"/>
          <w:sz w:val="22"/>
          <w:szCs w:val="22"/>
          <w:lang w:val="en-US"/>
        </w:rPr>
        <w:t xml:space="preserve"> Appraisal Committee</w:t>
      </w:r>
      <w:r w:rsidR="006955F6" w:rsidRPr="00D57189">
        <w:rPr>
          <w:rFonts w:ascii="Times New Roman" w:eastAsia="Arial Unicode MS" w:hAnsi="Times New Roman" w:cs="Times New Roman"/>
          <w:sz w:val="22"/>
          <w:szCs w:val="22"/>
          <w:lang w:val="en-US"/>
        </w:rPr>
        <w:t>s</w:t>
      </w:r>
      <w:r w:rsidRPr="00D57189">
        <w:rPr>
          <w:rFonts w:ascii="Times New Roman" w:eastAsia="Arial Unicode MS" w:hAnsi="Times New Roman" w:cs="Times New Roman"/>
          <w:sz w:val="22"/>
          <w:szCs w:val="22"/>
          <w:lang w:val="en-US"/>
        </w:rPr>
        <w:t xml:space="preserve"> </w:t>
      </w:r>
      <w:r w:rsidR="00666478">
        <w:rPr>
          <w:rFonts w:ascii="Times New Roman" w:eastAsia="Arial Unicode MS" w:hAnsi="Times New Roman" w:cs="Times New Roman"/>
          <w:sz w:val="22"/>
          <w:szCs w:val="22"/>
          <w:lang w:val="en-US"/>
        </w:rPr>
        <w:t>a</w:t>
      </w:r>
      <w:r w:rsidR="006955F6" w:rsidRPr="00D57189">
        <w:rPr>
          <w:rFonts w:ascii="Times New Roman" w:eastAsia="Arial Unicode MS" w:hAnsi="Times New Roman" w:cs="Times New Roman"/>
          <w:sz w:val="22"/>
          <w:szCs w:val="22"/>
          <w:lang w:val="en-US"/>
        </w:rPr>
        <w:t>re</w:t>
      </w:r>
      <w:r w:rsidRPr="00D57189">
        <w:rPr>
          <w:rFonts w:ascii="Times New Roman" w:eastAsia="Arial Unicode MS" w:hAnsi="Times New Roman" w:cs="Times New Roman"/>
          <w:sz w:val="22"/>
          <w:szCs w:val="22"/>
          <w:lang w:val="en-US"/>
        </w:rPr>
        <w:t xml:space="preserve"> not</w:t>
      </w:r>
      <w:r w:rsidR="007F3506" w:rsidRPr="00D57189">
        <w:rPr>
          <w:rFonts w:ascii="Times New Roman" w:eastAsia="Arial Unicode MS" w:hAnsi="Times New Roman" w:cs="Times New Roman"/>
          <w:sz w:val="22"/>
          <w:szCs w:val="22"/>
          <w:lang w:val="en-US"/>
        </w:rPr>
        <w:t xml:space="preserve"> bound by </w:t>
      </w:r>
      <w:r w:rsidR="00CE625F" w:rsidRPr="00D57189">
        <w:rPr>
          <w:rFonts w:ascii="Times New Roman" w:eastAsia="Arial Unicode MS" w:hAnsi="Times New Roman" w:cs="Times New Roman"/>
          <w:sz w:val="22"/>
          <w:szCs w:val="22"/>
          <w:lang w:val="en-US"/>
        </w:rPr>
        <w:t xml:space="preserve">decisions in prior appraisals.  </w:t>
      </w:r>
      <w:r w:rsidR="005D573F">
        <w:rPr>
          <w:rFonts w:ascii="Times New Roman" w:eastAsia="Arial Unicode MS" w:hAnsi="Times New Roman" w:cs="Times New Roman"/>
          <w:sz w:val="22"/>
          <w:szCs w:val="22"/>
          <w:lang w:val="en-US"/>
        </w:rPr>
        <w:t>We also appreciate</w:t>
      </w:r>
      <w:r w:rsidR="006955F6" w:rsidRPr="00D57189">
        <w:rPr>
          <w:rFonts w:ascii="Times New Roman" w:eastAsia="Arial Unicode MS" w:hAnsi="Times New Roman" w:cs="Times New Roman"/>
          <w:sz w:val="22"/>
          <w:szCs w:val="22"/>
          <w:lang w:val="en-US"/>
        </w:rPr>
        <w:t xml:space="preserve"> that NICE’s recommending atezolizumab in TA525 does not mean that </w:t>
      </w:r>
      <w:r w:rsidR="00EC24D8">
        <w:rPr>
          <w:rFonts w:ascii="Times New Roman" w:eastAsia="Arial Unicode MS" w:hAnsi="Times New Roman" w:cs="Times New Roman"/>
          <w:sz w:val="22"/>
          <w:szCs w:val="22"/>
          <w:lang w:val="en-US"/>
        </w:rPr>
        <w:t xml:space="preserve">the Appraisal Committee must automatically treat </w:t>
      </w:r>
      <w:r w:rsidR="009330E9" w:rsidRPr="00D57189">
        <w:rPr>
          <w:rFonts w:ascii="Times New Roman" w:eastAsia="Arial Unicode MS" w:hAnsi="Times New Roman" w:cs="Times New Roman"/>
          <w:sz w:val="22"/>
          <w:szCs w:val="22"/>
          <w:lang w:val="en-US"/>
        </w:rPr>
        <w:t xml:space="preserve">pembrolizumab </w:t>
      </w:r>
      <w:r w:rsidR="00EC24D8">
        <w:rPr>
          <w:rFonts w:ascii="Times New Roman" w:eastAsia="Arial Unicode MS" w:hAnsi="Times New Roman" w:cs="Times New Roman"/>
          <w:sz w:val="22"/>
          <w:szCs w:val="22"/>
          <w:lang w:val="en-US"/>
        </w:rPr>
        <w:t>in the same way</w:t>
      </w:r>
      <w:r w:rsidR="00CE625F" w:rsidRPr="00D57189">
        <w:rPr>
          <w:rFonts w:ascii="Times New Roman" w:eastAsia="Arial Unicode MS" w:hAnsi="Times New Roman" w:cs="Times New Roman"/>
          <w:sz w:val="22"/>
          <w:szCs w:val="22"/>
          <w:lang w:val="en-US"/>
        </w:rPr>
        <w:t xml:space="preserve">.  </w:t>
      </w:r>
      <w:r w:rsidR="00942C0B" w:rsidRPr="00D57189">
        <w:rPr>
          <w:rFonts w:ascii="Times New Roman" w:eastAsia="Arial Unicode MS" w:hAnsi="Times New Roman" w:cs="Times New Roman"/>
          <w:sz w:val="22"/>
          <w:szCs w:val="22"/>
          <w:lang w:val="en-US"/>
        </w:rPr>
        <w:t xml:space="preserve">However, </w:t>
      </w:r>
      <w:r w:rsidR="0083066C" w:rsidRPr="00D57189">
        <w:rPr>
          <w:rFonts w:ascii="Times New Roman" w:eastAsia="Arial Unicode MS" w:hAnsi="Times New Roman" w:cs="Times New Roman"/>
          <w:sz w:val="22"/>
          <w:szCs w:val="22"/>
          <w:lang w:val="en-US"/>
        </w:rPr>
        <w:t>principle</w:t>
      </w:r>
      <w:r w:rsidR="00666478">
        <w:rPr>
          <w:rFonts w:ascii="Times New Roman" w:eastAsia="Arial Unicode MS" w:hAnsi="Times New Roman" w:cs="Times New Roman"/>
          <w:sz w:val="22"/>
          <w:szCs w:val="22"/>
          <w:lang w:val="en-US"/>
        </w:rPr>
        <w:t>s</w:t>
      </w:r>
      <w:r w:rsidR="00942C0B" w:rsidRPr="00D57189">
        <w:rPr>
          <w:rFonts w:ascii="Times New Roman" w:eastAsia="Arial Unicode MS" w:hAnsi="Times New Roman" w:cs="Times New Roman"/>
          <w:sz w:val="22"/>
          <w:szCs w:val="22"/>
          <w:lang w:val="en-US"/>
        </w:rPr>
        <w:t xml:space="preserve"> of procedural fairness require NICE to maintain basic levels of consistency in</w:t>
      </w:r>
      <w:r w:rsidR="00CE625F" w:rsidRPr="00D57189">
        <w:rPr>
          <w:rFonts w:ascii="Times New Roman" w:eastAsia="Arial Unicode MS" w:hAnsi="Times New Roman" w:cs="Times New Roman"/>
          <w:sz w:val="22"/>
          <w:szCs w:val="22"/>
          <w:lang w:val="en-US"/>
        </w:rPr>
        <w:t xml:space="preserve"> its</w:t>
      </w:r>
      <w:r w:rsidR="00942C0B" w:rsidRPr="00D57189">
        <w:rPr>
          <w:rFonts w:ascii="Times New Roman" w:eastAsia="Arial Unicode MS" w:hAnsi="Times New Roman" w:cs="Times New Roman"/>
          <w:sz w:val="22"/>
          <w:szCs w:val="22"/>
          <w:lang w:val="en-US"/>
        </w:rPr>
        <w:t xml:space="preserve"> </w:t>
      </w:r>
      <w:r w:rsidR="00AD7F58" w:rsidRPr="00D57189">
        <w:rPr>
          <w:rFonts w:ascii="Times New Roman" w:eastAsia="Arial Unicode MS" w:hAnsi="Times New Roman" w:cs="Times New Roman"/>
          <w:sz w:val="22"/>
          <w:szCs w:val="22"/>
          <w:lang w:val="en-US"/>
        </w:rPr>
        <w:t>methodology</w:t>
      </w:r>
      <w:r w:rsidR="00942C0B" w:rsidRPr="00D57189">
        <w:rPr>
          <w:rFonts w:ascii="Times New Roman" w:eastAsia="Arial Unicode MS" w:hAnsi="Times New Roman" w:cs="Times New Roman"/>
          <w:sz w:val="22"/>
          <w:szCs w:val="22"/>
          <w:lang w:val="en-US"/>
        </w:rPr>
        <w:t xml:space="preserve">, particularly when reviewing </w:t>
      </w:r>
      <w:r w:rsidR="007A17CA" w:rsidRPr="00D57189">
        <w:rPr>
          <w:rFonts w:ascii="Times New Roman" w:eastAsia="Arial Unicode MS" w:hAnsi="Times New Roman" w:cs="Times New Roman"/>
          <w:sz w:val="22"/>
          <w:szCs w:val="22"/>
          <w:lang w:val="en-US"/>
        </w:rPr>
        <w:t xml:space="preserve">similar </w:t>
      </w:r>
      <w:r w:rsidR="00942C0B" w:rsidRPr="00D57189">
        <w:rPr>
          <w:rFonts w:ascii="Times New Roman" w:eastAsia="Arial Unicode MS" w:hAnsi="Times New Roman" w:cs="Times New Roman"/>
          <w:sz w:val="22"/>
          <w:szCs w:val="22"/>
          <w:lang w:val="en-US"/>
        </w:rPr>
        <w:t xml:space="preserve">technologies </w:t>
      </w:r>
      <w:r w:rsidR="00EC24D8">
        <w:rPr>
          <w:rFonts w:ascii="Times New Roman" w:eastAsia="Arial Unicode MS" w:hAnsi="Times New Roman" w:cs="Times New Roman"/>
          <w:sz w:val="22"/>
          <w:szCs w:val="22"/>
          <w:lang w:val="en-US"/>
        </w:rPr>
        <w:t xml:space="preserve">based on a very </w:t>
      </w:r>
      <w:r w:rsidR="0031436D">
        <w:rPr>
          <w:rFonts w:ascii="Times New Roman" w:eastAsia="Arial Unicode MS" w:hAnsi="Times New Roman" w:cs="Times New Roman"/>
          <w:sz w:val="22"/>
          <w:szCs w:val="22"/>
          <w:lang w:val="en-US"/>
        </w:rPr>
        <w:t xml:space="preserve">similar </w:t>
      </w:r>
      <w:r w:rsidR="00EC24D8">
        <w:rPr>
          <w:rFonts w:ascii="Times New Roman" w:eastAsia="Arial Unicode MS" w:hAnsi="Times New Roman" w:cs="Times New Roman"/>
          <w:sz w:val="22"/>
          <w:szCs w:val="22"/>
          <w:lang w:val="en-US"/>
        </w:rPr>
        <w:t xml:space="preserve">evidence base, where very </w:t>
      </w:r>
      <w:r w:rsidR="005D573F">
        <w:rPr>
          <w:rFonts w:ascii="Times New Roman" w:eastAsia="Arial Unicode MS" w:hAnsi="Times New Roman" w:cs="Times New Roman"/>
          <w:sz w:val="22"/>
          <w:szCs w:val="22"/>
          <w:lang w:val="en-US"/>
        </w:rPr>
        <w:t>similar judgement calls</w:t>
      </w:r>
      <w:r w:rsidR="007A17CA" w:rsidRPr="00D57189">
        <w:rPr>
          <w:rFonts w:ascii="Times New Roman" w:eastAsia="Arial Unicode MS" w:hAnsi="Times New Roman" w:cs="Times New Roman"/>
          <w:sz w:val="22"/>
          <w:szCs w:val="22"/>
          <w:lang w:val="en-US"/>
        </w:rPr>
        <w:t xml:space="preserve"> </w:t>
      </w:r>
      <w:r w:rsidR="008D5032" w:rsidRPr="00D57189">
        <w:rPr>
          <w:rFonts w:ascii="Times New Roman" w:eastAsia="Arial Unicode MS" w:hAnsi="Times New Roman" w:cs="Times New Roman"/>
          <w:sz w:val="22"/>
          <w:szCs w:val="22"/>
          <w:lang w:val="en-US"/>
        </w:rPr>
        <w:t xml:space="preserve">must be made </w:t>
      </w:r>
      <w:r w:rsidR="005D573F">
        <w:rPr>
          <w:rFonts w:ascii="Times New Roman" w:eastAsia="Arial Unicode MS" w:hAnsi="Times New Roman" w:cs="Times New Roman"/>
          <w:sz w:val="22"/>
          <w:szCs w:val="22"/>
          <w:lang w:val="en-US"/>
        </w:rPr>
        <w:t xml:space="preserve">around uncertainty and </w:t>
      </w:r>
      <w:r w:rsidR="008D5032" w:rsidRPr="00D57189">
        <w:rPr>
          <w:rFonts w:ascii="Times New Roman" w:eastAsia="Arial Unicode MS" w:hAnsi="Times New Roman" w:cs="Times New Roman"/>
          <w:sz w:val="22"/>
          <w:szCs w:val="22"/>
          <w:lang w:val="en-US"/>
        </w:rPr>
        <w:t>cost-</w:t>
      </w:r>
      <w:r w:rsidR="00525A80" w:rsidRPr="00D57189">
        <w:rPr>
          <w:rFonts w:ascii="Times New Roman" w:eastAsia="Arial Unicode MS" w:hAnsi="Times New Roman" w:cs="Times New Roman"/>
          <w:sz w:val="22"/>
          <w:szCs w:val="22"/>
          <w:lang w:val="en-US"/>
        </w:rPr>
        <w:t>effectiveness</w:t>
      </w:r>
      <w:r w:rsidR="008D5032" w:rsidRPr="00D57189">
        <w:rPr>
          <w:rFonts w:ascii="Times New Roman" w:eastAsia="Arial Unicode MS" w:hAnsi="Times New Roman" w:cs="Times New Roman"/>
          <w:sz w:val="22"/>
          <w:szCs w:val="22"/>
          <w:lang w:val="en-US"/>
        </w:rPr>
        <w:t>.</w:t>
      </w:r>
      <w:r w:rsidR="005D573F" w:rsidRPr="005D573F">
        <w:rPr>
          <w:rFonts w:ascii="Times New Roman" w:eastAsia="Arial Unicode MS" w:hAnsi="Times New Roman" w:cs="Times New Roman"/>
          <w:sz w:val="22"/>
          <w:szCs w:val="22"/>
        </w:rPr>
        <w:t xml:space="preserve"> </w:t>
      </w:r>
      <w:r w:rsidR="00CB5EFC">
        <w:rPr>
          <w:rFonts w:ascii="Times New Roman" w:eastAsia="Arial Unicode MS" w:hAnsi="Times New Roman" w:cs="Times New Roman"/>
          <w:sz w:val="22"/>
          <w:szCs w:val="22"/>
        </w:rPr>
        <w:t xml:space="preserve"> </w:t>
      </w:r>
      <w:r w:rsidR="003C4D76">
        <w:rPr>
          <w:rFonts w:ascii="Times New Roman" w:eastAsia="Arial Unicode MS" w:hAnsi="Times New Roman" w:cs="Times New Roman"/>
          <w:sz w:val="22"/>
          <w:szCs w:val="22"/>
        </w:rPr>
        <w:t>P</w:t>
      </w:r>
      <w:r w:rsidR="005D573F" w:rsidRPr="00D57189">
        <w:rPr>
          <w:rFonts w:ascii="Times New Roman" w:eastAsia="Arial Unicode MS" w:hAnsi="Times New Roman" w:cs="Times New Roman"/>
          <w:sz w:val="22"/>
          <w:szCs w:val="22"/>
        </w:rPr>
        <w:t>revio</w:t>
      </w:r>
      <w:r w:rsidR="00696583">
        <w:rPr>
          <w:rFonts w:ascii="Times New Roman" w:eastAsia="Arial Unicode MS" w:hAnsi="Times New Roman" w:cs="Times New Roman"/>
          <w:sz w:val="22"/>
          <w:szCs w:val="22"/>
        </w:rPr>
        <w:t xml:space="preserve">us NICE appeals have suggested that the question is </w:t>
      </w:r>
      <w:r w:rsidR="005D573F" w:rsidRPr="00D57189">
        <w:rPr>
          <w:rFonts w:ascii="Times New Roman" w:eastAsia="Arial Unicode MS" w:hAnsi="Times New Roman" w:cs="Times New Roman"/>
          <w:sz w:val="22"/>
          <w:szCs w:val="22"/>
        </w:rPr>
        <w:t>relevant when “</w:t>
      </w:r>
      <w:r w:rsidR="005D573F" w:rsidRPr="00696583">
        <w:rPr>
          <w:rFonts w:ascii="Times New Roman" w:eastAsia="Arial Unicode MS" w:hAnsi="Times New Roman" w:cs="Times New Roman"/>
          <w:i/>
          <w:sz w:val="22"/>
          <w:szCs w:val="22"/>
        </w:rPr>
        <w:t>appraisals or their evidence base are sufficiently similar to make consistency a reasonable consideration.</w:t>
      </w:r>
      <w:r w:rsidR="005D573F" w:rsidRPr="00D57189">
        <w:rPr>
          <w:rFonts w:ascii="Times New Roman" w:eastAsia="Arial Unicode MS" w:hAnsi="Times New Roman" w:cs="Times New Roman"/>
          <w:sz w:val="22"/>
          <w:szCs w:val="22"/>
        </w:rPr>
        <w:t>”</w:t>
      </w:r>
      <w:r w:rsidR="005D573F" w:rsidRPr="00D57189">
        <w:rPr>
          <w:rStyle w:val="FootnoteReference"/>
          <w:rFonts w:ascii="Times New Roman" w:eastAsia="Arial Unicode MS" w:hAnsi="Times New Roman" w:cs="Times New Roman"/>
          <w:sz w:val="22"/>
          <w:szCs w:val="22"/>
        </w:rPr>
        <w:footnoteReference w:id="15"/>
      </w:r>
      <w:r w:rsidR="00E63DD1">
        <w:rPr>
          <w:rFonts w:ascii="Times New Roman" w:eastAsia="Arial Unicode MS" w:hAnsi="Times New Roman" w:cs="Times New Roman"/>
          <w:sz w:val="22"/>
          <w:szCs w:val="22"/>
        </w:rPr>
        <w:t xml:space="preserve">  </w:t>
      </w:r>
    </w:p>
    <w:p w14:paraId="73CA60A7" w14:textId="77777777" w:rsidR="00AD7F58" w:rsidRPr="00D57189" w:rsidRDefault="00AD7F58" w:rsidP="001950E5">
      <w:pPr>
        <w:pStyle w:val="BodyText"/>
        <w:jc w:val="both"/>
        <w:rPr>
          <w:rFonts w:ascii="Times New Roman" w:eastAsia="Arial Unicode MS" w:hAnsi="Times New Roman" w:cs="Times New Roman"/>
          <w:sz w:val="22"/>
          <w:szCs w:val="22"/>
          <w:lang w:val="en-US"/>
        </w:rPr>
      </w:pPr>
      <w:r w:rsidRPr="00D57189">
        <w:rPr>
          <w:rFonts w:ascii="Times New Roman" w:eastAsia="Arial Unicode MS" w:hAnsi="Times New Roman" w:cs="Times New Roman"/>
          <w:sz w:val="22"/>
          <w:szCs w:val="22"/>
          <w:lang w:val="en-US"/>
        </w:rPr>
        <w:t xml:space="preserve">Section 6.2.15 of the Methods Guide </w:t>
      </w:r>
      <w:r w:rsidR="005D573F">
        <w:rPr>
          <w:rFonts w:ascii="Times New Roman" w:eastAsia="Arial Unicode MS" w:hAnsi="Times New Roman" w:cs="Times New Roman"/>
          <w:sz w:val="22"/>
          <w:szCs w:val="22"/>
          <w:lang w:val="en-US"/>
        </w:rPr>
        <w:t xml:space="preserve">reflects </w:t>
      </w:r>
      <w:r w:rsidR="00696583">
        <w:rPr>
          <w:rFonts w:ascii="Times New Roman" w:eastAsia="Arial Unicode MS" w:hAnsi="Times New Roman" w:cs="Times New Roman"/>
          <w:sz w:val="22"/>
          <w:szCs w:val="22"/>
          <w:lang w:val="en-US"/>
        </w:rPr>
        <w:t xml:space="preserve">the general </w:t>
      </w:r>
      <w:r w:rsidR="005D573F">
        <w:rPr>
          <w:rFonts w:ascii="Times New Roman" w:eastAsia="Arial Unicode MS" w:hAnsi="Times New Roman" w:cs="Times New Roman"/>
          <w:sz w:val="22"/>
          <w:szCs w:val="22"/>
          <w:lang w:val="en-US"/>
        </w:rPr>
        <w:t>principle</w:t>
      </w:r>
      <w:r w:rsidRPr="00D57189">
        <w:rPr>
          <w:rFonts w:ascii="Times New Roman" w:eastAsia="Arial Unicode MS" w:hAnsi="Times New Roman" w:cs="Times New Roman"/>
          <w:sz w:val="22"/>
          <w:szCs w:val="22"/>
          <w:lang w:val="en-US"/>
        </w:rPr>
        <w:t>:</w:t>
      </w:r>
    </w:p>
    <w:p w14:paraId="35EADEDB" w14:textId="77777777" w:rsidR="00AD7F58" w:rsidRPr="00D57189" w:rsidRDefault="00AD7F58" w:rsidP="001950E5">
      <w:pPr>
        <w:pStyle w:val="BodyText"/>
        <w:ind w:left="720"/>
        <w:jc w:val="both"/>
        <w:rPr>
          <w:rFonts w:ascii="Times New Roman" w:eastAsia="Arial Unicode MS" w:hAnsi="Times New Roman" w:cs="Times New Roman"/>
          <w:sz w:val="22"/>
          <w:szCs w:val="22"/>
          <w:lang w:val="en-US"/>
        </w:rPr>
      </w:pPr>
      <w:r w:rsidRPr="00D57189">
        <w:rPr>
          <w:rFonts w:ascii="Times New Roman" w:eastAsia="Arial Unicode MS" w:hAnsi="Times New Roman" w:cs="Times New Roman"/>
          <w:sz w:val="22"/>
          <w:szCs w:val="22"/>
          <w:lang w:val="en-US"/>
        </w:rPr>
        <w:t>“</w:t>
      </w:r>
      <w:r w:rsidRPr="00D57189">
        <w:rPr>
          <w:rFonts w:ascii="Times New Roman" w:eastAsia="Arial Unicode MS" w:hAnsi="Times New Roman" w:cs="Times New Roman"/>
          <w:i/>
          <w:sz w:val="22"/>
          <w:szCs w:val="22"/>
          <w:lang w:val="en-US"/>
        </w:rPr>
        <w:t xml:space="preserve">The Appraisal Committee takes account of how the incremental cost effectiveness of the technology being appraised relates to other interventions or technologies currently or potentially applied in the NHS. </w:t>
      </w:r>
      <w:r w:rsidRPr="00D57189">
        <w:rPr>
          <w:rFonts w:ascii="Times New Roman" w:eastAsia="Arial Unicode MS" w:hAnsi="Times New Roman" w:cs="Times New Roman"/>
          <w:b/>
          <w:i/>
          <w:sz w:val="22"/>
          <w:szCs w:val="22"/>
          <w:lang w:val="en-US"/>
        </w:rPr>
        <w:t>In addition, as far as possible, the Committee will want to ensure that their judgements regarding the cost-effective use of NHS resources are consistently applied between appraisals</w:t>
      </w:r>
      <w:r w:rsidRPr="00D57189">
        <w:rPr>
          <w:rFonts w:ascii="Times New Roman" w:eastAsia="Arial Unicode MS" w:hAnsi="Times New Roman" w:cs="Times New Roman"/>
          <w:sz w:val="22"/>
          <w:szCs w:val="22"/>
          <w:lang w:val="en-US"/>
        </w:rPr>
        <w:t>” (emphasis added).</w:t>
      </w:r>
    </w:p>
    <w:p w14:paraId="0E743886" w14:textId="77777777" w:rsidR="00AD7F58" w:rsidRPr="00D57189" w:rsidRDefault="009330E9" w:rsidP="001950E5">
      <w:pPr>
        <w:pStyle w:val="BodyText"/>
        <w:jc w:val="both"/>
        <w:rPr>
          <w:rFonts w:ascii="Times New Roman" w:eastAsia="Arial Unicode MS" w:hAnsi="Times New Roman" w:cs="Times New Roman"/>
          <w:sz w:val="22"/>
          <w:szCs w:val="22"/>
          <w:lang w:val="en-US"/>
        </w:rPr>
      </w:pPr>
      <w:r w:rsidRPr="00D57189">
        <w:rPr>
          <w:rFonts w:ascii="Times New Roman" w:eastAsia="Arial Unicode MS" w:hAnsi="Times New Roman" w:cs="Times New Roman"/>
          <w:sz w:val="22"/>
          <w:szCs w:val="22"/>
          <w:lang w:val="en-US"/>
        </w:rPr>
        <w:t>As such</w:t>
      </w:r>
      <w:r w:rsidR="0087524F" w:rsidRPr="00D57189">
        <w:rPr>
          <w:rFonts w:ascii="Times New Roman" w:eastAsia="Arial Unicode MS" w:hAnsi="Times New Roman" w:cs="Times New Roman"/>
          <w:sz w:val="22"/>
          <w:szCs w:val="22"/>
          <w:lang w:val="en-US"/>
        </w:rPr>
        <w:t>, the Appraisal Committee should</w:t>
      </w:r>
      <w:r w:rsidR="00E1688E" w:rsidRPr="00D57189">
        <w:rPr>
          <w:rFonts w:ascii="Times New Roman" w:eastAsia="Arial Unicode MS" w:hAnsi="Times New Roman" w:cs="Times New Roman"/>
          <w:sz w:val="22"/>
          <w:szCs w:val="22"/>
          <w:lang w:val="en-US"/>
        </w:rPr>
        <w:t xml:space="preserve"> aim to</w:t>
      </w:r>
      <w:r w:rsidR="0087524F" w:rsidRPr="00D57189">
        <w:rPr>
          <w:rFonts w:ascii="Times New Roman" w:eastAsia="Arial Unicode MS" w:hAnsi="Times New Roman" w:cs="Times New Roman"/>
          <w:sz w:val="22"/>
          <w:szCs w:val="22"/>
          <w:lang w:val="en-US"/>
        </w:rPr>
        <w:t xml:space="preserve"> ensure that </w:t>
      </w:r>
      <w:r w:rsidR="005D573F">
        <w:rPr>
          <w:rFonts w:ascii="Times New Roman" w:eastAsia="Arial Unicode MS" w:hAnsi="Times New Roman" w:cs="Times New Roman"/>
          <w:sz w:val="22"/>
          <w:szCs w:val="22"/>
          <w:lang w:val="en-US"/>
        </w:rPr>
        <w:t xml:space="preserve">it approaches </w:t>
      </w:r>
      <w:r w:rsidR="0087524F" w:rsidRPr="00D57189">
        <w:rPr>
          <w:rFonts w:ascii="Times New Roman" w:eastAsia="Arial Unicode MS" w:hAnsi="Times New Roman" w:cs="Times New Roman"/>
          <w:sz w:val="22"/>
          <w:szCs w:val="22"/>
          <w:lang w:val="en-US"/>
        </w:rPr>
        <w:t xml:space="preserve">cost-effectiveness judgements </w:t>
      </w:r>
      <w:r w:rsidR="005D573F">
        <w:rPr>
          <w:rFonts w:ascii="Times New Roman" w:eastAsia="Arial Unicode MS" w:hAnsi="Times New Roman" w:cs="Times New Roman"/>
          <w:sz w:val="22"/>
          <w:szCs w:val="22"/>
          <w:lang w:val="en-US"/>
        </w:rPr>
        <w:t>in its appraisals in a manner that</w:t>
      </w:r>
      <w:r w:rsidR="00E63DD1">
        <w:rPr>
          <w:rFonts w:ascii="Times New Roman" w:eastAsia="Arial Unicode MS" w:hAnsi="Times New Roman" w:cs="Times New Roman"/>
          <w:sz w:val="22"/>
          <w:szCs w:val="22"/>
          <w:lang w:val="en-US"/>
        </w:rPr>
        <w:t xml:space="preserve"> is not fundamentally and unjustifiably different to other appraisals</w:t>
      </w:r>
      <w:r w:rsidR="0087524F" w:rsidRPr="00D57189">
        <w:rPr>
          <w:rFonts w:ascii="Times New Roman" w:eastAsia="Arial Unicode MS" w:hAnsi="Times New Roman" w:cs="Times New Roman"/>
          <w:sz w:val="22"/>
          <w:szCs w:val="22"/>
          <w:lang w:val="en-US"/>
        </w:rPr>
        <w:t>.</w:t>
      </w:r>
    </w:p>
    <w:p w14:paraId="1BA932AA" w14:textId="77777777" w:rsidR="00CE625F" w:rsidRPr="00696583" w:rsidRDefault="0083066C" w:rsidP="001950E5">
      <w:pPr>
        <w:pStyle w:val="BodyText"/>
        <w:jc w:val="both"/>
        <w:rPr>
          <w:rFonts w:ascii="Times New Roman" w:eastAsia="Arial Unicode MS" w:hAnsi="Times New Roman" w:cs="Times New Roman"/>
          <w:b/>
          <w:i/>
          <w:sz w:val="22"/>
          <w:szCs w:val="22"/>
          <w:lang w:val="en-US"/>
        </w:rPr>
      </w:pPr>
      <w:r w:rsidRPr="00D57189">
        <w:rPr>
          <w:rFonts w:ascii="Times New Roman" w:eastAsia="Arial Unicode MS" w:hAnsi="Times New Roman" w:cs="Times New Roman"/>
          <w:b/>
          <w:i/>
          <w:sz w:val="22"/>
          <w:szCs w:val="22"/>
          <w:lang w:val="en-US"/>
        </w:rPr>
        <w:t xml:space="preserve">Principle of </w:t>
      </w:r>
      <w:r w:rsidR="00CE625F" w:rsidRPr="00D57189">
        <w:rPr>
          <w:rFonts w:ascii="Times New Roman" w:eastAsia="Arial Unicode MS" w:hAnsi="Times New Roman" w:cs="Times New Roman"/>
          <w:b/>
          <w:i/>
          <w:sz w:val="22"/>
          <w:szCs w:val="22"/>
          <w:lang w:val="en-US"/>
        </w:rPr>
        <w:t>Consistency Engaged in this Case</w:t>
      </w:r>
    </w:p>
    <w:p w14:paraId="45097042" w14:textId="0099F657" w:rsidR="00702871" w:rsidRPr="00D57189" w:rsidRDefault="008522C4" w:rsidP="024B4842">
      <w:pPr>
        <w:pStyle w:val="BodyText"/>
        <w:jc w:val="both"/>
        <w:rPr>
          <w:rFonts w:ascii="Times New Roman" w:hAnsi="Times New Roman" w:cs="Times New Roman"/>
          <w:sz w:val="22"/>
          <w:szCs w:val="22"/>
          <w:lang w:val="en-US"/>
        </w:rPr>
      </w:pPr>
      <w:r w:rsidRPr="024B4842">
        <w:rPr>
          <w:rFonts w:ascii="Times New Roman" w:hAnsi="Times New Roman" w:cs="Times New Roman"/>
          <w:sz w:val="22"/>
          <w:szCs w:val="22"/>
          <w:lang w:val="en-US"/>
        </w:rPr>
        <w:t>T</w:t>
      </w:r>
      <w:r w:rsidR="00897B5B" w:rsidRPr="024B4842">
        <w:rPr>
          <w:rFonts w:ascii="Times New Roman" w:hAnsi="Times New Roman" w:cs="Times New Roman"/>
          <w:sz w:val="22"/>
          <w:szCs w:val="22"/>
          <w:lang w:val="en-US"/>
        </w:rPr>
        <w:t>here are multiple points of similarity</w:t>
      </w:r>
      <w:r w:rsidRPr="024B4842">
        <w:rPr>
          <w:rFonts w:ascii="Times New Roman" w:hAnsi="Times New Roman" w:cs="Times New Roman"/>
          <w:sz w:val="22"/>
          <w:szCs w:val="22"/>
          <w:lang w:val="en-US"/>
        </w:rPr>
        <w:t xml:space="preserve"> between TA525 and</w:t>
      </w:r>
      <w:r w:rsidR="009F43CD" w:rsidRPr="024B4842">
        <w:rPr>
          <w:rFonts w:ascii="Times New Roman" w:hAnsi="Times New Roman" w:cs="Times New Roman"/>
          <w:sz w:val="22"/>
          <w:szCs w:val="22"/>
          <w:lang w:val="en-US"/>
        </w:rPr>
        <w:t xml:space="preserve"> ID1536</w:t>
      </w:r>
      <w:r w:rsidR="00897B5B" w:rsidRPr="024B4842">
        <w:rPr>
          <w:rFonts w:ascii="Times New Roman" w:hAnsi="Times New Roman" w:cs="Times New Roman"/>
          <w:sz w:val="22"/>
          <w:szCs w:val="22"/>
          <w:lang w:val="en-US"/>
        </w:rPr>
        <w:t xml:space="preserve">.  </w:t>
      </w:r>
      <w:r w:rsidR="00DD51D8" w:rsidRPr="024B4842">
        <w:rPr>
          <w:rFonts w:ascii="Times New Roman" w:hAnsi="Times New Roman" w:cs="Times New Roman"/>
          <w:sz w:val="22"/>
          <w:szCs w:val="22"/>
          <w:lang w:val="en-US"/>
        </w:rPr>
        <w:t>Pembrolizumab and atezolizumab are</w:t>
      </w:r>
      <w:r w:rsidR="0000475C">
        <w:rPr>
          <w:rFonts w:ascii="Times New Roman" w:hAnsi="Times New Roman" w:cs="Times New Roman"/>
          <w:sz w:val="22"/>
          <w:szCs w:val="22"/>
        </w:rPr>
        <w:t xml:space="preserve"> both </w:t>
      </w:r>
      <w:r w:rsidR="00DD51D8" w:rsidRPr="024B4842">
        <w:rPr>
          <w:rFonts w:ascii="Times New Roman" w:hAnsi="Times New Roman" w:cs="Times New Roman"/>
          <w:sz w:val="22"/>
          <w:szCs w:val="22"/>
          <w:lang w:val="en-US"/>
        </w:rPr>
        <w:t>checkpoint-inhibiting monoclonal antibodies that block the PD-1/PD-L1 signaling axis</w:t>
      </w:r>
      <w:r w:rsidR="0000475C">
        <w:rPr>
          <w:rFonts w:ascii="Times New Roman" w:hAnsi="Times New Roman" w:cs="Times New Roman"/>
          <w:sz w:val="22"/>
          <w:szCs w:val="22"/>
          <w:lang w:val="en-US"/>
        </w:rPr>
        <w:t xml:space="preserve"> and are indicated to treat same patient population</w:t>
      </w:r>
      <w:r w:rsidR="00DD51D8" w:rsidRPr="024B4842">
        <w:rPr>
          <w:rFonts w:ascii="Times New Roman" w:hAnsi="Times New Roman" w:cs="Times New Roman"/>
          <w:sz w:val="22"/>
          <w:szCs w:val="22"/>
          <w:lang w:val="en-US"/>
        </w:rPr>
        <w:t xml:space="preserve">.  </w:t>
      </w:r>
      <w:r w:rsidR="0000475C">
        <w:rPr>
          <w:rFonts w:ascii="Times New Roman" w:hAnsi="Times New Roman" w:cs="Times New Roman"/>
          <w:sz w:val="22"/>
          <w:szCs w:val="22"/>
          <w:lang w:val="en-US"/>
        </w:rPr>
        <w:t>In addition, b</w:t>
      </w:r>
      <w:r w:rsidRPr="024B4842">
        <w:rPr>
          <w:rFonts w:ascii="Times New Roman" w:hAnsi="Times New Roman" w:cs="Times New Roman"/>
          <w:sz w:val="22"/>
          <w:szCs w:val="22"/>
          <w:lang w:val="en-US"/>
        </w:rPr>
        <w:t xml:space="preserve">oth </w:t>
      </w:r>
      <w:r w:rsidR="00DD51D8" w:rsidRPr="024B4842">
        <w:rPr>
          <w:rFonts w:ascii="Times New Roman" w:hAnsi="Times New Roman" w:cs="Times New Roman"/>
          <w:sz w:val="22"/>
          <w:szCs w:val="22"/>
          <w:lang w:val="en-US"/>
        </w:rPr>
        <w:t xml:space="preserve">TA525 and </w:t>
      </w:r>
      <w:r w:rsidR="009F43CD" w:rsidRPr="024B4842">
        <w:rPr>
          <w:rFonts w:ascii="Times New Roman" w:hAnsi="Times New Roman" w:cs="Times New Roman"/>
          <w:sz w:val="22"/>
          <w:szCs w:val="22"/>
          <w:lang w:val="en-US"/>
        </w:rPr>
        <w:t xml:space="preserve">ID1536 </w:t>
      </w:r>
      <w:r w:rsidRPr="024B4842">
        <w:rPr>
          <w:rFonts w:ascii="Times New Roman" w:hAnsi="Times New Roman" w:cs="Times New Roman"/>
          <w:sz w:val="22"/>
          <w:szCs w:val="22"/>
          <w:lang w:val="en-US"/>
        </w:rPr>
        <w:t xml:space="preserve">concern the same indication and patient populations. </w:t>
      </w:r>
      <w:r w:rsidR="008D2631" w:rsidRPr="024B4842">
        <w:rPr>
          <w:rFonts w:ascii="Times New Roman" w:hAnsi="Times New Roman" w:cs="Times New Roman"/>
          <w:sz w:val="22"/>
          <w:szCs w:val="22"/>
          <w:lang w:val="en-US"/>
        </w:rPr>
        <w:t xml:space="preserve"> </w:t>
      </w:r>
      <w:r w:rsidR="00696583" w:rsidRPr="024B4842">
        <w:rPr>
          <w:rFonts w:ascii="Times New Roman" w:hAnsi="Times New Roman" w:cs="Times New Roman"/>
          <w:sz w:val="22"/>
          <w:szCs w:val="22"/>
          <w:lang w:val="en-US"/>
        </w:rPr>
        <w:t xml:space="preserve">The primary source of evidence for both came from similarly sized </w:t>
      </w:r>
      <w:proofErr w:type="gramStart"/>
      <w:r w:rsidR="00696583" w:rsidRPr="024B4842">
        <w:rPr>
          <w:rFonts w:ascii="Times New Roman" w:hAnsi="Times New Roman" w:cs="Times New Roman"/>
          <w:sz w:val="22"/>
          <w:szCs w:val="22"/>
          <w:lang w:val="en-US"/>
        </w:rPr>
        <w:t>open-label</w:t>
      </w:r>
      <w:proofErr w:type="gramEnd"/>
      <w:r w:rsidR="00696583" w:rsidRPr="024B4842">
        <w:rPr>
          <w:rFonts w:ascii="Times New Roman" w:hAnsi="Times New Roman" w:cs="Times New Roman"/>
          <w:sz w:val="22"/>
          <w:szCs w:val="22"/>
          <w:lang w:val="en-US"/>
        </w:rPr>
        <w:t xml:space="preserve">, </w:t>
      </w:r>
      <w:proofErr w:type="spellStart"/>
      <w:r w:rsidR="00696583" w:rsidRPr="024B4842">
        <w:rPr>
          <w:rFonts w:ascii="Times New Roman" w:hAnsi="Times New Roman" w:cs="Times New Roman"/>
          <w:sz w:val="22"/>
          <w:szCs w:val="22"/>
          <w:lang w:val="en-US"/>
        </w:rPr>
        <w:t>randomi</w:t>
      </w:r>
      <w:r w:rsidR="081F3474" w:rsidRPr="024B4842">
        <w:rPr>
          <w:rFonts w:ascii="Times New Roman" w:hAnsi="Times New Roman" w:cs="Times New Roman"/>
          <w:sz w:val="22"/>
          <w:szCs w:val="22"/>
          <w:lang w:val="en-US"/>
        </w:rPr>
        <w:t>s</w:t>
      </w:r>
      <w:r w:rsidR="00696583" w:rsidRPr="024B4842">
        <w:rPr>
          <w:rFonts w:ascii="Times New Roman" w:hAnsi="Times New Roman" w:cs="Times New Roman"/>
          <w:sz w:val="22"/>
          <w:szCs w:val="22"/>
          <w:lang w:val="en-US"/>
        </w:rPr>
        <w:t>ed</w:t>
      </w:r>
      <w:proofErr w:type="spellEnd"/>
      <w:r w:rsidR="00696583" w:rsidRPr="024B4842">
        <w:rPr>
          <w:rFonts w:ascii="Times New Roman" w:hAnsi="Times New Roman" w:cs="Times New Roman"/>
          <w:sz w:val="22"/>
          <w:szCs w:val="22"/>
          <w:lang w:val="en-US"/>
        </w:rPr>
        <w:t xml:space="preserve"> controlled trials versus the standard of care. </w:t>
      </w:r>
      <w:r w:rsidRPr="024B4842">
        <w:rPr>
          <w:rFonts w:ascii="Times New Roman" w:hAnsi="Times New Roman" w:cs="Times New Roman"/>
          <w:sz w:val="22"/>
          <w:szCs w:val="22"/>
          <w:lang w:val="en-US"/>
        </w:rPr>
        <w:t xml:space="preserve"> </w:t>
      </w:r>
      <w:r w:rsidR="00897B5B" w:rsidRPr="024B4842">
        <w:rPr>
          <w:rFonts w:ascii="Times New Roman" w:hAnsi="Times New Roman" w:cs="Times New Roman"/>
          <w:sz w:val="22"/>
          <w:szCs w:val="22"/>
          <w:lang w:val="en-US"/>
        </w:rPr>
        <w:t xml:space="preserve">There are clear parallels in terms of the </w:t>
      </w:r>
      <w:r w:rsidR="00AE2FC9" w:rsidRPr="024B4842">
        <w:rPr>
          <w:rFonts w:ascii="Times New Roman" w:hAnsi="Times New Roman" w:cs="Times New Roman"/>
          <w:sz w:val="22"/>
          <w:szCs w:val="22"/>
          <w:lang w:val="en-US"/>
        </w:rPr>
        <w:t xml:space="preserve">type of data available to </w:t>
      </w:r>
      <w:r w:rsidR="00897B5B" w:rsidRPr="024B4842">
        <w:rPr>
          <w:rFonts w:ascii="Times New Roman" w:hAnsi="Times New Roman" w:cs="Times New Roman"/>
          <w:sz w:val="22"/>
          <w:szCs w:val="22"/>
          <w:lang w:val="en-US"/>
        </w:rPr>
        <w:t>the</w:t>
      </w:r>
      <w:r w:rsidR="00696583" w:rsidRPr="024B4842">
        <w:rPr>
          <w:rFonts w:ascii="Times New Roman" w:hAnsi="Times New Roman" w:cs="Times New Roman"/>
          <w:sz w:val="22"/>
          <w:szCs w:val="22"/>
          <w:lang w:val="en-US"/>
        </w:rPr>
        <w:t xml:space="preserve"> Appraisal Committee and similar issues arose </w:t>
      </w:r>
      <w:r w:rsidR="00E63DD1" w:rsidRPr="024B4842">
        <w:rPr>
          <w:rFonts w:ascii="Times New Roman" w:hAnsi="Times New Roman" w:cs="Times New Roman"/>
          <w:sz w:val="22"/>
          <w:szCs w:val="22"/>
          <w:lang w:val="en-US"/>
        </w:rPr>
        <w:t>concerning uncertainty and extrapolating evidence</w:t>
      </w:r>
      <w:r w:rsidR="00696583" w:rsidRPr="024B4842">
        <w:rPr>
          <w:rFonts w:ascii="Times New Roman" w:hAnsi="Times New Roman" w:cs="Times New Roman"/>
          <w:sz w:val="22"/>
          <w:szCs w:val="22"/>
          <w:lang w:val="en-US"/>
        </w:rPr>
        <w:t xml:space="preserve">.  In both cases, these issues </w:t>
      </w:r>
      <w:r w:rsidR="000D2072" w:rsidRPr="024B4842">
        <w:rPr>
          <w:rFonts w:ascii="Times New Roman" w:hAnsi="Times New Roman" w:cs="Times New Roman"/>
          <w:sz w:val="22"/>
          <w:szCs w:val="22"/>
          <w:lang w:val="en-US"/>
        </w:rPr>
        <w:t>significantly affected the cost-effectiveness analysis.</w:t>
      </w:r>
      <w:r w:rsidR="002155D4" w:rsidRPr="024B4842">
        <w:rPr>
          <w:rFonts w:ascii="Times New Roman" w:hAnsi="Times New Roman" w:cs="Times New Roman"/>
          <w:sz w:val="22"/>
          <w:szCs w:val="22"/>
          <w:lang w:val="en-US"/>
        </w:rPr>
        <w:t xml:space="preserve">  </w:t>
      </w:r>
    </w:p>
    <w:p w14:paraId="16247F47" w14:textId="5C4372C9" w:rsidR="004D15A9" w:rsidRPr="00D57189" w:rsidRDefault="00702871" w:rsidP="024B4842">
      <w:pPr>
        <w:pStyle w:val="BodyText"/>
        <w:jc w:val="both"/>
        <w:rPr>
          <w:rFonts w:ascii="Times New Roman" w:hAnsi="Times New Roman" w:cs="Times New Roman"/>
          <w:sz w:val="22"/>
          <w:szCs w:val="22"/>
          <w:lang w:val="en-US"/>
        </w:rPr>
      </w:pPr>
      <w:r w:rsidRPr="024B4842">
        <w:rPr>
          <w:rFonts w:ascii="Times New Roman" w:hAnsi="Times New Roman" w:cs="Times New Roman"/>
          <w:sz w:val="22"/>
          <w:szCs w:val="22"/>
          <w:lang w:val="en-US"/>
        </w:rPr>
        <w:t>T</w:t>
      </w:r>
      <w:r w:rsidR="002155D4" w:rsidRPr="024B4842">
        <w:rPr>
          <w:rFonts w:ascii="Times New Roman" w:hAnsi="Times New Roman" w:cs="Times New Roman"/>
          <w:sz w:val="22"/>
          <w:szCs w:val="22"/>
          <w:lang w:val="en-US"/>
        </w:rPr>
        <w:t xml:space="preserve">he same Appraisal Committee (Committee D) conducted </w:t>
      </w:r>
      <w:r w:rsidRPr="024B4842">
        <w:rPr>
          <w:rFonts w:ascii="Times New Roman" w:hAnsi="Times New Roman" w:cs="Times New Roman"/>
          <w:sz w:val="22"/>
          <w:szCs w:val="22"/>
          <w:lang w:val="en-US"/>
        </w:rPr>
        <w:t xml:space="preserve">the </w:t>
      </w:r>
      <w:r w:rsidR="00A959B9" w:rsidRPr="024B4842">
        <w:rPr>
          <w:rFonts w:ascii="Times New Roman" w:hAnsi="Times New Roman" w:cs="Times New Roman"/>
          <w:sz w:val="22"/>
          <w:szCs w:val="22"/>
          <w:lang w:val="en-US"/>
        </w:rPr>
        <w:t>original (</w:t>
      </w:r>
      <w:r w:rsidRPr="024B4842">
        <w:rPr>
          <w:rFonts w:ascii="Times New Roman" w:hAnsi="Times New Roman" w:cs="Times New Roman"/>
          <w:sz w:val="22"/>
          <w:szCs w:val="22"/>
          <w:lang w:val="en-US"/>
        </w:rPr>
        <w:t>pre-CDF</w:t>
      </w:r>
      <w:r w:rsidR="00A959B9" w:rsidRPr="024B4842">
        <w:rPr>
          <w:rFonts w:ascii="Times New Roman" w:hAnsi="Times New Roman" w:cs="Times New Roman"/>
          <w:sz w:val="22"/>
          <w:szCs w:val="22"/>
          <w:lang w:val="en-US"/>
        </w:rPr>
        <w:t>)</w:t>
      </w:r>
      <w:r w:rsidRPr="024B4842">
        <w:rPr>
          <w:rFonts w:ascii="Times New Roman" w:hAnsi="Times New Roman" w:cs="Times New Roman"/>
          <w:sz w:val="22"/>
          <w:szCs w:val="22"/>
          <w:lang w:val="en-US"/>
        </w:rPr>
        <w:t xml:space="preserve"> appraisal of pembrolizumab (TA519) </w:t>
      </w:r>
      <w:r w:rsidR="00A959B9" w:rsidRPr="024B4842">
        <w:rPr>
          <w:rFonts w:ascii="Times New Roman" w:hAnsi="Times New Roman" w:cs="Times New Roman"/>
          <w:sz w:val="22"/>
          <w:szCs w:val="22"/>
          <w:lang w:val="en-US"/>
        </w:rPr>
        <w:t xml:space="preserve">submitted </w:t>
      </w:r>
      <w:r w:rsidRPr="024B4842">
        <w:rPr>
          <w:rFonts w:ascii="Times New Roman" w:hAnsi="Times New Roman" w:cs="Times New Roman"/>
          <w:sz w:val="22"/>
          <w:szCs w:val="22"/>
          <w:lang w:val="en-US"/>
        </w:rPr>
        <w:t xml:space="preserve">in February 2017, the appraisal of </w:t>
      </w:r>
      <w:r w:rsidR="00696583" w:rsidRPr="024B4842">
        <w:rPr>
          <w:rFonts w:ascii="Times New Roman" w:hAnsi="Times New Roman" w:cs="Times New Roman"/>
          <w:sz w:val="22"/>
          <w:szCs w:val="22"/>
          <w:lang w:val="en-US"/>
        </w:rPr>
        <w:t>atezolizumab</w:t>
      </w:r>
      <w:r w:rsidRPr="024B4842">
        <w:rPr>
          <w:rFonts w:ascii="Times New Roman" w:hAnsi="Times New Roman" w:cs="Times New Roman"/>
          <w:sz w:val="22"/>
          <w:szCs w:val="22"/>
          <w:lang w:val="en-US"/>
        </w:rPr>
        <w:t xml:space="preserve"> (TA525)</w:t>
      </w:r>
      <w:r w:rsidR="00696583" w:rsidRPr="024B4842">
        <w:rPr>
          <w:rFonts w:ascii="Times New Roman" w:hAnsi="Times New Roman" w:cs="Times New Roman"/>
          <w:sz w:val="22"/>
          <w:szCs w:val="22"/>
          <w:lang w:val="en-US"/>
        </w:rPr>
        <w:t xml:space="preserve"> in 2018</w:t>
      </w:r>
      <w:r w:rsidRPr="024B4842">
        <w:rPr>
          <w:rFonts w:ascii="Times New Roman" w:hAnsi="Times New Roman" w:cs="Times New Roman"/>
          <w:sz w:val="22"/>
          <w:szCs w:val="22"/>
          <w:lang w:val="en-US"/>
        </w:rPr>
        <w:t xml:space="preserve"> and the CDF</w:t>
      </w:r>
      <w:r w:rsidR="00A959B9" w:rsidRPr="024B4842">
        <w:rPr>
          <w:rFonts w:ascii="Times New Roman" w:hAnsi="Times New Roman" w:cs="Times New Roman"/>
          <w:sz w:val="22"/>
          <w:szCs w:val="22"/>
          <w:lang w:val="en-US"/>
        </w:rPr>
        <w:t xml:space="preserve"> guidance</w:t>
      </w:r>
      <w:r w:rsidRPr="024B4842">
        <w:rPr>
          <w:rFonts w:ascii="Times New Roman" w:hAnsi="Times New Roman" w:cs="Times New Roman"/>
          <w:sz w:val="22"/>
          <w:szCs w:val="22"/>
          <w:lang w:val="en-US"/>
        </w:rPr>
        <w:t xml:space="preserve"> </w:t>
      </w:r>
      <w:r w:rsidR="009F43CD" w:rsidRPr="024B4842">
        <w:rPr>
          <w:rFonts w:ascii="Times New Roman" w:hAnsi="Times New Roman" w:cs="Times New Roman"/>
          <w:sz w:val="22"/>
          <w:szCs w:val="22"/>
          <w:lang w:val="en-US"/>
        </w:rPr>
        <w:t xml:space="preserve">review </w:t>
      </w:r>
      <w:r w:rsidRPr="024B4842">
        <w:rPr>
          <w:rFonts w:ascii="Times New Roman" w:hAnsi="Times New Roman" w:cs="Times New Roman"/>
          <w:sz w:val="22"/>
          <w:szCs w:val="22"/>
          <w:lang w:val="en-US"/>
        </w:rPr>
        <w:t>of pembrolizumab</w:t>
      </w:r>
      <w:r w:rsidR="00174D38" w:rsidRPr="024B4842">
        <w:rPr>
          <w:rFonts w:ascii="Times New Roman" w:hAnsi="Times New Roman" w:cs="Times New Roman"/>
          <w:sz w:val="22"/>
          <w:szCs w:val="22"/>
          <w:lang w:val="en-US"/>
        </w:rPr>
        <w:t>,</w:t>
      </w:r>
      <w:r w:rsidRPr="024B4842">
        <w:rPr>
          <w:rFonts w:ascii="Times New Roman" w:hAnsi="Times New Roman" w:cs="Times New Roman"/>
          <w:sz w:val="22"/>
          <w:szCs w:val="22"/>
          <w:lang w:val="en-US"/>
        </w:rPr>
        <w:t xml:space="preserve"> </w:t>
      </w:r>
      <w:r w:rsidR="00A959B9" w:rsidRPr="024B4842">
        <w:rPr>
          <w:rFonts w:ascii="Times New Roman" w:hAnsi="Times New Roman" w:cs="Times New Roman"/>
          <w:sz w:val="22"/>
          <w:szCs w:val="22"/>
          <w:lang w:val="en-US"/>
        </w:rPr>
        <w:t>submitted in July 2019</w:t>
      </w:r>
      <w:r w:rsidR="009F43CD" w:rsidRPr="024B4842">
        <w:rPr>
          <w:rFonts w:ascii="Times New Roman" w:hAnsi="Times New Roman" w:cs="Times New Roman"/>
          <w:sz w:val="22"/>
          <w:szCs w:val="22"/>
          <w:lang w:val="en-US"/>
        </w:rPr>
        <w:t xml:space="preserve"> (ID1536)</w:t>
      </w:r>
      <w:r w:rsidRPr="024B4842">
        <w:rPr>
          <w:rFonts w:ascii="Times New Roman" w:hAnsi="Times New Roman" w:cs="Times New Roman"/>
          <w:sz w:val="22"/>
          <w:szCs w:val="22"/>
          <w:lang w:val="en-US"/>
        </w:rPr>
        <w:t>.  The</w:t>
      </w:r>
      <w:r w:rsidR="00B70ACA" w:rsidRPr="024B4842">
        <w:rPr>
          <w:rFonts w:ascii="Times New Roman" w:hAnsi="Times New Roman" w:cs="Times New Roman"/>
          <w:sz w:val="22"/>
          <w:szCs w:val="22"/>
          <w:lang w:val="en-US"/>
        </w:rPr>
        <w:t>refore, the</w:t>
      </w:r>
      <w:r w:rsidRPr="024B4842">
        <w:rPr>
          <w:rFonts w:ascii="Times New Roman" w:hAnsi="Times New Roman" w:cs="Times New Roman"/>
          <w:sz w:val="22"/>
          <w:szCs w:val="22"/>
          <w:lang w:val="en-US"/>
        </w:rPr>
        <w:t xml:space="preserve"> Committee </w:t>
      </w:r>
      <w:r w:rsidR="00696583" w:rsidRPr="024B4842">
        <w:rPr>
          <w:rFonts w:ascii="Times New Roman" w:hAnsi="Times New Roman" w:cs="Times New Roman"/>
          <w:sz w:val="22"/>
          <w:szCs w:val="22"/>
          <w:lang w:val="en-US"/>
        </w:rPr>
        <w:t xml:space="preserve">would clearly have been </w:t>
      </w:r>
      <w:r w:rsidR="002155D4" w:rsidRPr="024B4842">
        <w:rPr>
          <w:rFonts w:ascii="Times New Roman" w:hAnsi="Times New Roman" w:cs="Times New Roman"/>
          <w:sz w:val="22"/>
          <w:szCs w:val="22"/>
          <w:lang w:val="en-US"/>
        </w:rPr>
        <w:t xml:space="preserve">aware of </w:t>
      </w:r>
      <w:r w:rsidR="00696583" w:rsidRPr="024B4842">
        <w:rPr>
          <w:rFonts w:ascii="Times New Roman" w:hAnsi="Times New Roman" w:cs="Times New Roman"/>
          <w:sz w:val="22"/>
          <w:szCs w:val="22"/>
          <w:lang w:val="en-US"/>
        </w:rPr>
        <w:t xml:space="preserve">the similarities </w:t>
      </w:r>
      <w:r w:rsidR="00534525" w:rsidRPr="024B4842">
        <w:rPr>
          <w:rFonts w:ascii="Times New Roman" w:hAnsi="Times New Roman" w:cs="Times New Roman"/>
          <w:sz w:val="22"/>
          <w:szCs w:val="22"/>
          <w:lang w:val="en-US"/>
        </w:rPr>
        <w:t xml:space="preserve">of </w:t>
      </w:r>
      <w:r w:rsidR="00696583" w:rsidRPr="024B4842">
        <w:rPr>
          <w:rFonts w:ascii="Times New Roman" w:hAnsi="Times New Roman" w:cs="Times New Roman"/>
          <w:sz w:val="22"/>
          <w:szCs w:val="22"/>
          <w:lang w:val="en-US"/>
        </w:rPr>
        <w:t>both cases</w:t>
      </w:r>
      <w:r w:rsidRPr="024B4842">
        <w:rPr>
          <w:rFonts w:ascii="Times New Roman" w:hAnsi="Times New Roman" w:cs="Times New Roman"/>
          <w:sz w:val="22"/>
          <w:szCs w:val="22"/>
          <w:lang w:val="en-US"/>
        </w:rPr>
        <w:t xml:space="preserve">, the </w:t>
      </w:r>
      <w:r w:rsidR="009F43CD" w:rsidRPr="024B4842">
        <w:rPr>
          <w:rFonts w:ascii="Times New Roman" w:hAnsi="Times New Roman" w:cs="Times New Roman"/>
          <w:sz w:val="22"/>
          <w:szCs w:val="22"/>
          <w:lang w:val="en-US"/>
        </w:rPr>
        <w:t>relative strengths</w:t>
      </w:r>
      <w:r w:rsidR="00E63DD1" w:rsidRPr="024B4842">
        <w:rPr>
          <w:rFonts w:ascii="Times New Roman" w:hAnsi="Times New Roman" w:cs="Times New Roman"/>
          <w:sz w:val="22"/>
          <w:szCs w:val="22"/>
          <w:lang w:val="en-US"/>
        </w:rPr>
        <w:t xml:space="preserve"> of the evidence base</w:t>
      </w:r>
      <w:r w:rsidRPr="024B4842">
        <w:rPr>
          <w:rFonts w:ascii="Times New Roman" w:hAnsi="Times New Roman" w:cs="Times New Roman"/>
          <w:sz w:val="22"/>
          <w:szCs w:val="22"/>
          <w:lang w:val="en-US"/>
        </w:rPr>
        <w:t xml:space="preserve"> and the</w:t>
      </w:r>
      <w:r w:rsidR="00E63DD1" w:rsidRPr="024B4842">
        <w:rPr>
          <w:rFonts w:ascii="Times New Roman" w:hAnsi="Times New Roman" w:cs="Times New Roman"/>
          <w:sz w:val="22"/>
          <w:szCs w:val="22"/>
          <w:lang w:val="en-US"/>
        </w:rPr>
        <w:t xml:space="preserve"> approach taken to managing</w:t>
      </w:r>
      <w:r w:rsidR="009F43CD" w:rsidRPr="024B4842">
        <w:rPr>
          <w:rFonts w:ascii="Times New Roman" w:hAnsi="Times New Roman" w:cs="Times New Roman"/>
          <w:sz w:val="22"/>
          <w:szCs w:val="22"/>
          <w:lang w:val="en-US"/>
        </w:rPr>
        <w:t xml:space="preserve"> uncertainties</w:t>
      </w:r>
      <w:r w:rsidR="002155D4" w:rsidRPr="024B4842">
        <w:rPr>
          <w:rFonts w:ascii="Times New Roman" w:hAnsi="Times New Roman" w:cs="Times New Roman"/>
          <w:sz w:val="22"/>
          <w:szCs w:val="22"/>
          <w:lang w:val="en-US"/>
        </w:rPr>
        <w:t>.</w:t>
      </w:r>
    </w:p>
    <w:p w14:paraId="11337E78" w14:textId="6915164F" w:rsidR="004D15A9" w:rsidRPr="00934AE3" w:rsidRDefault="004D15A9" w:rsidP="001950E5">
      <w:pPr>
        <w:pStyle w:val="BodyText"/>
        <w:jc w:val="both"/>
        <w:rPr>
          <w:rFonts w:ascii="Times New Roman" w:hAnsi="Times New Roman" w:cs="Times New Roman"/>
          <w:b/>
          <w:bCs/>
          <w:i/>
          <w:iCs/>
          <w:sz w:val="22"/>
          <w:szCs w:val="22"/>
          <w:lang w:val="en-US"/>
        </w:rPr>
      </w:pPr>
      <w:r w:rsidRPr="00934AE3">
        <w:rPr>
          <w:rFonts w:ascii="Times New Roman" w:hAnsi="Times New Roman" w:cs="Times New Roman"/>
          <w:b/>
          <w:bCs/>
          <w:i/>
          <w:iCs/>
          <w:sz w:val="22"/>
          <w:szCs w:val="22"/>
          <w:lang w:val="en-US"/>
        </w:rPr>
        <w:t xml:space="preserve">The </w:t>
      </w:r>
      <w:r w:rsidR="00EC24D8" w:rsidRPr="00934AE3">
        <w:rPr>
          <w:rFonts w:ascii="Times New Roman" w:hAnsi="Times New Roman" w:cs="Times New Roman"/>
          <w:b/>
          <w:bCs/>
          <w:i/>
          <w:iCs/>
          <w:sz w:val="22"/>
          <w:szCs w:val="22"/>
          <w:lang w:val="en-US"/>
        </w:rPr>
        <w:t xml:space="preserve">Approach in the </w:t>
      </w:r>
      <w:r w:rsidRPr="00934AE3">
        <w:rPr>
          <w:rFonts w:ascii="Times New Roman" w:hAnsi="Times New Roman" w:cs="Times New Roman"/>
          <w:b/>
          <w:bCs/>
          <w:i/>
          <w:iCs/>
          <w:sz w:val="22"/>
          <w:szCs w:val="22"/>
          <w:lang w:val="en-US"/>
        </w:rPr>
        <w:t xml:space="preserve">Present Appraisal </w:t>
      </w:r>
      <w:r w:rsidR="00EC24D8" w:rsidRPr="00934AE3">
        <w:rPr>
          <w:rFonts w:ascii="Times New Roman" w:hAnsi="Times New Roman" w:cs="Times New Roman"/>
          <w:b/>
          <w:bCs/>
          <w:i/>
          <w:iCs/>
          <w:sz w:val="22"/>
          <w:szCs w:val="22"/>
          <w:lang w:val="en-US"/>
        </w:rPr>
        <w:t>is I</w:t>
      </w:r>
      <w:r w:rsidR="009B2F28" w:rsidRPr="00934AE3">
        <w:rPr>
          <w:rFonts w:ascii="Times New Roman" w:hAnsi="Times New Roman" w:cs="Times New Roman"/>
          <w:b/>
          <w:bCs/>
          <w:i/>
          <w:iCs/>
          <w:sz w:val="22"/>
          <w:szCs w:val="22"/>
          <w:lang w:val="en-US"/>
        </w:rPr>
        <w:t>nconsistent with TA525</w:t>
      </w:r>
    </w:p>
    <w:p w14:paraId="7F87737E" w14:textId="77777777" w:rsidR="00E860B1" w:rsidRPr="00D57189" w:rsidRDefault="00F73D6F" w:rsidP="001950E5">
      <w:pPr>
        <w:pStyle w:val="BodyText"/>
        <w:jc w:val="both"/>
        <w:rPr>
          <w:rFonts w:ascii="Times New Roman" w:hAnsi="Times New Roman" w:cs="Times New Roman"/>
          <w:bCs/>
          <w:iCs/>
          <w:sz w:val="22"/>
          <w:szCs w:val="22"/>
          <w:lang w:val="en-US"/>
        </w:rPr>
      </w:pPr>
      <w:r w:rsidRPr="00D57189">
        <w:rPr>
          <w:rFonts w:ascii="Times New Roman" w:hAnsi="Times New Roman" w:cs="Times New Roman"/>
          <w:bCs/>
          <w:iCs/>
          <w:sz w:val="22"/>
          <w:szCs w:val="22"/>
          <w:lang w:val="en-US"/>
        </w:rPr>
        <w:t>The divergences of approach</w:t>
      </w:r>
      <w:r w:rsidR="006502C5">
        <w:rPr>
          <w:rFonts w:ascii="Times New Roman" w:hAnsi="Times New Roman" w:cs="Times New Roman"/>
          <w:bCs/>
          <w:iCs/>
          <w:sz w:val="22"/>
          <w:szCs w:val="22"/>
          <w:lang w:val="en-US"/>
        </w:rPr>
        <w:t xml:space="preserve"> are clearest in the following examples</w:t>
      </w:r>
      <w:r w:rsidRPr="00D57189">
        <w:rPr>
          <w:rFonts w:ascii="Times New Roman" w:hAnsi="Times New Roman" w:cs="Times New Roman"/>
          <w:bCs/>
          <w:iCs/>
          <w:sz w:val="22"/>
          <w:szCs w:val="22"/>
          <w:lang w:val="en-US"/>
        </w:rPr>
        <w:t>:</w:t>
      </w:r>
    </w:p>
    <w:p w14:paraId="47390C24" w14:textId="241AE14A" w:rsidR="00E74B5F" w:rsidRPr="00E74B5F" w:rsidRDefault="00702871" w:rsidP="009D03D8">
      <w:pPr>
        <w:pStyle w:val="BodyText"/>
        <w:numPr>
          <w:ilvl w:val="0"/>
          <w:numId w:val="37"/>
        </w:numPr>
        <w:jc w:val="both"/>
        <w:rPr>
          <w:rFonts w:eastAsiaTheme="minorEastAsia"/>
          <w:b/>
          <w:bCs/>
          <w:sz w:val="22"/>
          <w:szCs w:val="22"/>
          <w:lang w:val="en-US"/>
        </w:rPr>
      </w:pPr>
      <w:r w:rsidRPr="024B4842">
        <w:rPr>
          <w:rFonts w:ascii="Times New Roman" w:hAnsi="Times New Roman" w:cs="Times New Roman"/>
          <w:b/>
          <w:bCs/>
          <w:sz w:val="22"/>
          <w:szCs w:val="22"/>
          <w:lang w:val="en-US"/>
        </w:rPr>
        <w:t>Approach to Duration of Treatment Effect</w:t>
      </w:r>
      <w:r w:rsidRPr="024B4842">
        <w:rPr>
          <w:rFonts w:ascii="Times New Roman" w:hAnsi="Times New Roman" w:cs="Times New Roman"/>
          <w:sz w:val="22"/>
          <w:szCs w:val="22"/>
          <w:lang w:val="en-US"/>
        </w:rPr>
        <w:t xml:space="preserve"> </w:t>
      </w:r>
      <w:r w:rsidR="00423474" w:rsidRPr="024B4842">
        <w:rPr>
          <w:rFonts w:ascii="Times New Roman" w:hAnsi="Times New Roman" w:cs="Times New Roman"/>
          <w:sz w:val="22"/>
          <w:szCs w:val="22"/>
          <w:lang w:val="en-US"/>
        </w:rPr>
        <w:t>–</w:t>
      </w:r>
      <w:r w:rsidRPr="024B4842">
        <w:rPr>
          <w:rFonts w:ascii="Times New Roman" w:hAnsi="Times New Roman" w:cs="Times New Roman"/>
          <w:sz w:val="22"/>
          <w:szCs w:val="22"/>
          <w:lang w:val="en-US"/>
        </w:rPr>
        <w:t xml:space="preserve"> </w:t>
      </w:r>
      <w:r w:rsidR="00975B44">
        <w:rPr>
          <w:rFonts w:ascii="Times New Roman" w:hAnsi="Times New Roman" w:cs="Times New Roman"/>
          <w:sz w:val="22"/>
          <w:szCs w:val="22"/>
          <w:lang w:val="en-US"/>
        </w:rPr>
        <w:t xml:space="preserve">It is important to </w:t>
      </w:r>
      <w:r w:rsidR="00BF57E3">
        <w:rPr>
          <w:rFonts w:ascii="Times New Roman" w:hAnsi="Times New Roman" w:cs="Times New Roman"/>
          <w:sz w:val="22"/>
          <w:szCs w:val="22"/>
          <w:lang w:val="en-US"/>
        </w:rPr>
        <w:t xml:space="preserve">state </w:t>
      </w:r>
      <w:r w:rsidR="00975B44">
        <w:rPr>
          <w:rFonts w:ascii="Times New Roman" w:hAnsi="Times New Roman" w:cs="Times New Roman"/>
          <w:sz w:val="22"/>
          <w:szCs w:val="22"/>
          <w:lang w:val="en-US"/>
        </w:rPr>
        <w:t xml:space="preserve">at the outset that in TA525, NICE expressed the treatment effect cap of atezolizumab in terms of its effects after </w:t>
      </w:r>
      <w:r w:rsidR="00975B44">
        <w:rPr>
          <w:rFonts w:ascii="Times New Roman" w:hAnsi="Times New Roman" w:cs="Times New Roman"/>
          <w:sz w:val="22"/>
          <w:szCs w:val="22"/>
          <w:lang w:val="en-US"/>
        </w:rPr>
        <w:lastRenderedPageBreak/>
        <w:t xml:space="preserve">stopping treatment; in ID1536, this was expressed differently – </w:t>
      </w:r>
      <w:r w:rsidR="00975B44" w:rsidRPr="00975B44">
        <w:rPr>
          <w:rFonts w:ascii="Times New Roman" w:hAnsi="Times New Roman" w:cs="Times New Roman"/>
          <w:i/>
          <w:sz w:val="22"/>
          <w:szCs w:val="22"/>
          <w:lang w:val="en-US"/>
        </w:rPr>
        <w:t>i.e.</w:t>
      </w:r>
      <w:r w:rsidR="00975B44">
        <w:rPr>
          <w:rFonts w:ascii="Times New Roman" w:hAnsi="Times New Roman" w:cs="Times New Roman"/>
          <w:sz w:val="22"/>
          <w:szCs w:val="22"/>
          <w:lang w:val="en-US"/>
        </w:rPr>
        <w:t>,</w:t>
      </w:r>
      <w:r w:rsidR="00BF57E3">
        <w:rPr>
          <w:rFonts w:ascii="Times New Roman" w:hAnsi="Times New Roman" w:cs="Times New Roman"/>
          <w:sz w:val="22"/>
          <w:szCs w:val="22"/>
          <w:lang w:val="en-US"/>
        </w:rPr>
        <w:t xml:space="preserve"> the effect from initiation of treatment.</w:t>
      </w:r>
      <w:r w:rsidR="00944DC8" w:rsidRPr="00944DC8">
        <w:rPr>
          <w:rStyle w:val="FootnoteReference"/>
          <w:rFonts w:ascii="Times New Roman" w:hAnsi="Times New Roman" w:cs="Times New Roman"/>
          <w:sz w:val="22"/>
          <w:szCs w:val="22"/>
          <w:lang w:val="en-US"/>
        </w:rPr>
        <w:t xml:space="preserve"> </w:t>
      </w:r>
      <w:r w:rsidR="00944DC8">
        <w:rPr>
          <w:rStyle w:val="FootnoteReference"/>
          <w:rFonts w:ascii="Times New Roman" w:hAnsi="Times New Roman" w:cs="Times New Roman"/>
          <w:sz w:val="22"/>
          <w:szCs w:val="22"/>
          <w:lang w:val="en-US"/>
        </w:rPr>
        <w:footnoteReference w:id="16"/>
      </w:r>
      <w:r w:rsidR="00BF57E3">
        <w:rPr>
          <w:rFonts w:ascii="Times New Roman" w:hAnsi="Times New Roman" w:cs="Times New Roman"/>
          <w:sz w:val="22"/>
          <w:szCs w:val="22"/>
          <w:lang w:val="en-US"/>
        </w:rPr>
        <w:t xml:space="preserve">  This appears to have caused confusion during consultation. </w:t>
      </w:r>
      <w:r w:rsidR="00944DC8">
        <w:rPr>
          <w:rFonts w:ascii="Times New Roman" w:hAnsi="Times New Roman" w:cs="Times New Roman"/>
          <w:sz w:val="22"/>
          <w:szCs w:val="22"/>
          <w:lang w:val="en-US"/>
        </w:rPr>
        <w:t xml:space="preserve"> </w:t>
      </w:r>
      <w:r w:rsidR="00BF57E3">
        <w:rPr>
          <w:rFonts w:ascii="Times New Roman" w:hAnsi="Times New Roman" w:cs="Times New Roman"/>
          <w:sz w:val="22"/>
          <w:szCs w:val="22"/>
          <w:lang w:val="en-US"/>
        </w:rPr>
        <w:t>We have tried to clarify this potent</w:t>
      </w:r>
      <w:r w:rsidR="00944DC8">
        <w:rPr>
          <w:rFonts w:ascii="Times New Roman" w:hAnsi="Times New Roman" w:cs="Times New Roman"/>
          <w:sz w:val="22"/>
          <w:szCs w:val="22"/>
          <w:lang w:val="en-US"/>
        </w:rPr>
        <w:t>ial confusion as part of the following d</w:t>
      </w:r>
      <w:r w:rsidR="00C10701">
        <w:rPr>
          <w:rFonts w:ascii="Times New Roman" w:hAnsi="Times New Roman" w:cs="Times New Roman"/>
          <w:sz w:val="22"/>
          <w:szCs w:val="22"/>
          <w:lang w:val="en-US"/>
        </w:rPr>
        <w:t xml:space="preserve">iscussion concerning the significant inconsistencies of approach between the two appraisals. </w:t>
      </w:r>
    </w:p>
    <w:p w14:paraId="7F7DA208" w14:textId="36419944" w:rsidR="00E74B5F" w:rsidRPr="00E74B5F" w:rsidRDefault="00423474" w:rsidP="00E74B5F">
      <w:pPr>
        <w:pStyle w:val="BodyText"/>
        <w:numPr>
          <w:ilvl w:val="1"/>
          <w:numId w:val="37"/>
        </w:numPr>
        <w:jc w:val="both"/>
        <w:rPr>
          <w:rFonts w:eastAsiaTheme="minorEastAsia"/>
          <w:b/>
          <w:bCs/>
          <w:sz w:val="22"/>
          <w:szCs w:val="22"/>
          <w:lang w:val="en-US"/>
        </w:rPr>
      </w:pPr>
      <w:r w:rsidRPr="024B4842">
        <w:rPr>
          <w:rFonts w:ascii="Times New Roman" w:hAnsi="Times New Roman" w:cs="Times New Roman"/>
          <w:sz w:val="22"/>
          <w:szCs w:val="22"/>
          <w:lang w:val="en-US"/>
        </w:rPr>
        <w:t>In TA525, the</w:t>
      </w:r>
      <w:r w:rsidR="00934184" w:rsidRPr="024B4842">
        <w:rPr>
          <w:rFonts w:ascii="Times New Roman" w:hAnsi="Times New Roman" w:cs="Times New Roman"/>
          <w:sz w:val="22"/>
          <w:szCs w:val="22"/>
          <w:lang w:val="en-US"/>
        </w:rPr>
        <w:t xml:space="preserve"> follow-up data in the relevant clinical trial</w:t>
      </w:r>
      <w:r w:rsidR="007F04A8" w:rsidRPr="024B4842">
        <w:rPr>
          <w:rFonts w:ascii="Times New Roman" w:hAnsi="Times New Roman" w:cs="Times New Roman"/>
          <w:sz w:val="22"/>
          <w:szCs w:val="22"/>
          <w:lang w:val="en-US"/>
        </w:rPr>
        <w:t xml:space="preserve">, </w:t>
      </w:r>
      <w:proofErr w:type="spellStart"/>
      <w:r w:rsidR="007F04A8" w:rsidRPr="024B4842">
        <w:rPr>
          <w:rFonts w:ascii="Times New Roman" w:hAnsi="Times New Roman" w:cs="Times New Roman"/>
          <w:sz w:val="22"/>
          <w:szCs w:val="22"/>
          <w:lang w:val="en-US"/>
        </w:rPr>
        <w:t>IMvigor</w:t>
      </w:r>
      <w:proofErr w:type="spellEnd"/>
      <w:r w:rsidR="007F04A8" w:rsidRPr="024B4842">
        <w:rPr>
          <w:rFonts w:ascii="Times New Roman" w:hAnsi="Times New Roman" w:cs="Times New Roman"/>
          <w:sz w:val="22"/>
          <w:szCs w:val="22"/>
          <w:lang w:val="en-US"/>
        </w:rPr>
        <w:t xml:space="preserve"> 211,</w:t>
      </w:r>
      <w:r w:rsidR="00934184" w:rsidRPr="024B4842">
        <w:rPr>
          <w:rFonts w:ascii="Times New Roman" w:hAnsi="Times New Roman" w:cs="Times New Roman"/>
          <w:sz w:val="22"/>
          <w:szCs w:val="22"/>
          <w:lang w:val="en-US"/>
        </w:rPr>
        <w:t xml:space="preserve"> was very limited (a median follow-up of 17.4 months after stopping treatment; and a maximum of 24.5 months). </w:t>
      </w:r>
      <w:r w:rsidR="002C7AF0">
        <w:rPr>
          <w:rFonts w:ascii="Times New Roman" w:hAnsi="Times New Roman" w:cs="Times New Roman"/>
          <w:sz w:val="22"/>
          <w:szCs w:val="22"/>
          <w:lang w:val="en-US"/>
        </w:rPr>
        <w:t xml:space="preserve"> </w:t>
      </w:r>
      <w:r w:rsidR="007F04A8" w:rsidRPr="024B4842">
        <w:rPr>
          <w:rFonts w:ascii="Times New Roman" w:hAnsi="Times New Roman" w:cs="Times New Roman"/>
          <w:sz w:val="22"/>
          <w:szCs w:val="22"/>
          <w:lang w:val="en-US"/>
        </w:rPr>
        <w:t>Moreover, the trial did not show that the primary outcome of overall survival in high PD-L1 expressers was statistically significantly higher than with chemotherapy.</w:t>
      </w:r>
      <w:r w:rsidR="00934184" w:rsidRPr="024B4842">
        <w:rPr>
          <w:rFonts w:ascii="Times New Roman" w:hAnsi="Times New Roman" w:cs="Times New Roman"/>
          <w:sz w:val="22"/>
          <w:szCs w:val="22"/>
          <w:lang w:val="en-US"/>
        </w:rPr>
        <w:t xml:space="preserve"> </w:t>
      </w:r>
      <w:r w:rsidR="007F04A8" w:rsidRPr="024B4842">
        <w:rPr>
          <w:rFonts w:ascii="Times New Roman" w:hAnsi="Times New Roman" w:cs="Times New Roman"/>
          <w:sz w:val="22"/>
          <w:szCs w:val="22"/>
          <w:lang w:val="en-US"/>
        </w:rPr>
        <w:t xml:space="preserve"> </w:t>
      </w:r>
      <w:r w:rsidR="00934184" w:rsidRPr="024B4842">
        <w:rPr>
          <w:rFonts w:ascii="Times New Roman" w:hAnsi="Times New Roman" w:cs="Times New Roman"/>
          <w:sz w:val="22"/>
          <w:szCs w:val="22"/>
          <w:lang w:val="en-US"/>
        </w:rPr>
        <w:t xml:space="preserve">The </w:t>
      </w:r>
      <w:r w:rsidRPr="024B4842">
        <w:rPr>
          <w:rFonts w:ascii="Times New Roman" w:hAnsi="Times New Roman" w:cs="Times New Roman"/>
          <w:sz w:val="22"/>
          <w:szCs w:val="22"/>
          <w:lang w:val="en-US"/>
        </w:rPr>
        <w:t>Appraisal Committee considered there was insufficient evidence to</w:t>
      </w:r>
      <w:r w:rsidR="00C73E4C" w:rsidRPr="024B4842">
        <w:rPr>
          <w:rFonts w:ascii="Times New Roman" w:hAnsi="Times New Roman" w:cs="Times New Roman"/>
          <w:sz w:val="22"/>
          <w:szCs w:val="22"/>
          <w:lang w:val="en-US"/>
        </w:rPr>
        <w:t xml:space="preserve"> support a specific duration </w:t>
      </w:r>
      <w:r w:rsidRPr="024B4842">
        <w:rPr>
          <w:rFonts w:ascii="Times New Roman" w:hAnsi="Times New Roman" w:cs="Times New Roman"/>
          <w:sz w:val="22"/>
          <w:szCs w:val="22"/>
          <w:lang w:val="en-US"/>
        </w:rPr>
        <w:t>of treatment</w:t>
      </w:r>
      <w:r w:rsidR="00C73E4C" w:rsidRPr="024B4842">
        <w:rPr>
          <w:rFonts w:ascii="Times New Roman" w:hAnsi="Times New Roman" w:cs="Times New Roman"/>
          <w:sz w:val="22"/>
          <w:szCs w:val="22"/>
          <w:lang w:val="en-US"/>
        </w:rPr>
        <w:t xml:space="preserve"> benefit</w:t>
      </w:r>
      <w:r w:rsidRPr="024B4842">
        <w:rPr>
          <w:rFonts w:ascii="Times New Roman" w:hAnsi="Times New Roman" w:cs="Times New Roman"/>
          <w:sz w:val="22"/>
          <w:szCs w:val="22"/>
          <w:lang w:val="en-US"/>
        </w:rPr>
        <w:t xml:space="preserve"> for atezolizumab.</w:t>
      </w:r>
      <w:r w:rsidR="00AD28C3" w:rsidRPr="024B4842">
        <w:rPr>
          <w:rStyle w:val="FootnoteReference"/>
          <w:rFonts w:ascii="Times New Roman" w:hAnsi="Times New Roman" w:cs="Times New Roman"/>
          <w:sz w:val="22"/>
          <w:szCs w:val="22"/>
          <w:lang w:val="en-US"/>
        </w:rPr>
        <w:footnoteReference w:id="17"/>
      </w:r>
      <w:r w:rsidRPr="024B4842">
        <w:rPr>
          <w:rFonts w:ascii="Times New Roman" w:hAnsi="Times New Roman" w:cs="Times New Roman"/>
          <w:sz w:val="22"/>
          <w:szCs w:val="22"/>
          <w:lang w:val="en-US"/>
        </w:rPr>
        <w:t xml:space="preserve">  </w:t>
      </w:r>
      <w:r w:rsidR="00934184" w:rsidRPr="024B4842">
        <w:rPr>
          <w:rFonts w:ascii="Times New Roman" w:hAnsi="Times New Roman" w:cs="Times New Roman"/>
          <w:sz w:val="22"/>
          <w:szCs w:val="22"/>
          <w:lang w:val="en-US"/>
        </w:rPr>
        <w:t>Despite this</w:t>
      </w:r>
      <w:r w:rsidR="002956B6">
        <w:rPr>
          <w:rFonts w:ascii="Times New Roman" w:hAnsi="Times New Roman" w:cs="Times New Roman"/>
          <w:sz w:val="22"/>
          <w:szCs w:val="22"/>
          <w:lang w:val="en-US"/>
        </w:rPr>
        <w:t>,</w:t>
      </w:r>
      <w:r w:rsidRPr="024B4842">
        <w:rPr>
          <w:rFonts w:ascii="Times New Roman" w:hAnsi="Times New Roman" w:cs="Times New Roman"/>
          <w:sz w:val="22"/>
          <w:szCs w:val="22"/>
          <w:lang w:val="en-US"/>
        </w:rPr>
        <w:t xml:space="preserve"> the Appraisal Committee </w:t>
      </w:r>
      <w:r w:rsidR="00C73E4C" w:rsidRPr="024B4842">
        <w:rPr>
          <w:rFonts w:ascii="Times New Roman" w:hAnsi="Times New Roman" w:cs="Times New Roman"/>
          <w:sz w:val="22"/>
          <w:szCs w:val="22"/>
          <w:lang w:val="en-US"/>
        </w:rPr>
        <w:t>considered it appropriate to apply</w:t>
      </w:r>
      <w:r w:rsidR="006502C5" w:rsidRPr="024B4842">
        <w:rPr>
          <w:rFonts w:ascii="Times New Roman" w:hAnsi="Times New Roman" w:cs="Times New Roman"/>
          <w:sz w:val="22"/>
          <w:szCs w:val="22"/>
          <w:lang w:val="en-US"/>
        </w:rPr>
        <w:t xml:space="preserve"> </w:t>
      </w:r>
      <w:r w:rsidR="00501F69" w:rsidRPr="024B4842">
        <w:rPr>
          <w:rFonts w:ascii="Times New Roman" w:hAnsi="Times New Roman" w:cs="Times New Roman"/>
          <w:sz w:val="22"/>
          <w:szCs w:val="22"/>
          <w:lang w:val="en-US"/>
        </w:rPr>
        <w:t>a 3</w:t>
      </w:r>
      <w:r w:rsidR="000D5790" w:rsidRPr="024B4842">
        <w:rPr>
          <w:rFonts w:ascii="Times New Roman" w:hAnsi="Times New Roman" w:cs="Times New Roman"/>
          <w:sz w:val="22"/>
          <w:szCs w:val="22"/>
          <w:lang w:val="en-US"/>
        </w:rPr>
        <w:t xml:space="preserve">-year </w:t>
      </w:r>
      <w:r w:rsidR="00C73E4C" w:rsidRPr="024B4842">
        <w:rPr>
          <w:rFonts w:ascii="Times New Roman" w:hAnsi="Times New Roman" w:cs="Times New Roman"/>
          <w:sz w:val="22"/>
          <w:szCs w:val="22"/>
          <w:lang w:val="en-US"/>
        </w:rPr>
        <w:t>treatment</w:t>
      </w:r>
      <w:r w:rsidR="005814BD">
        <w:rPr>
          <w:rFonts w:ascii="Times New Roman" w:hAnsi="Times New Roman" w:cs="Times New Roman"/>
          <w:sz w:val="22"/>
          <w:szCs w:val="22"/>
          <w:lang w:val="en-US"/>
        </w:rPr>
        <w:t xml:space="preserve"> </w:t>
      </w:r>
      <w:r w:rsidR="00C73E4C" w:rsidRPr="024B4842">
        <w:rPr>
          <w:rFonts w:ascii="Times New Roman" w:hAnsi="Times New Roman" w:cs="Times New Roman"/>
          <w:sz w:val="22"/>
          <w:szCs w:val="22"/>
          <w:lang w:val="en-US"/>
        </w:rPr>
        <w:t xml:space="preserve">effect </w:t>
      </w:r>
      <w:r w:rsidR="000D5790" w:rsidRPr="024B4842">
        <w:rPr>
          <w:rFonts w:ascii="Times New Roman" w:hAnsi="Times New Roman" w:cs="Times New Roman"/>
          <w:sz w:val="22"/>
          <w:szCs w:val="22"/>
          <w:lang w:val="en-US"/>
        </w:rPr>
        <w:t>cap</w:t>
      </w:r>
      <w:r w:rsidR="00501F69" w:rsidRPr="024B4842">
        <w:rPr>
          <w:rFonts w:ascii="Times New Roman" w:hAnsi="Times New Roman" w:cs="Times New Roman"/>
          <w:sz w:val="22"/>
          <w:szCs w:val="22"/>
          <w:lang w:val="en-US"/>
        </w:rPr>
        <w:t>,</w:t>
      </w:r>
      <w:r w:rsidR="000D5790" w:rsidRPr="024B4842">
        <w:rPr>
          <w:rFonts w:ascii="Times New Roman" w:hAnsi="Times New Roman" w:cs="Times New Roman"/>
          <w:sz w:val="22"/>
          <w:szCs w:val="22"/>
          <w:lang w:val="en-US"/>
        </w:rPr>
        <w:t xml:space="preserve"> </w:t>
      </w:r>
      <w:r w:rsidR="006502C5" w:rsidRPr="024B4842">
        <w:rPr>
          <w:rFonts w:ascii="Times New Roman" w:hAnsi="Times New Roman" w:cs="Times New Roman"/>
          <w:sz w:val="22"/>
          <w:szCs w:val="22"/>
          <w:lang w:val="en-US"/>
        </w:rPr>
        <w:t>following a 2-year stopping rule</w:t>
      </w:r>
      <w:r w:rsidR="000A16A6">
        <w:rPr>
          <w:rFonts w:ascii="Times New Roman" w:eastAsia="Times New Roman" w:hAnsi="Times New Roman" w:cs="Times New Roman"/>
          <w:sz w:val="22"/>
          <w:szCs w:val="22"/>
          <w:lang w:val="en-US"/>
        </w:rPr>
        <w:t>.</w:t>
      </w:r>
      <w:r w:rsidR="000A16A6" w:rsidRPr="024B4842">
        <w:rPr>
          <w:rStyle w:val="FootnoteReference"/>
          <w:rFonts w:ascii="Times New Roman" w:hAnsi="Times New Roman" w:cs="Times New Roman"/>
          <w:sz w:val="22"/>
          <w:szCs w:val="22"/>
          <w:lang w:val="en-US"/>
        </w:rPr>
        <w:footnoteReference w:id="18"/>
      </w:r>
      <w:r w:rsidR="000A16A6">
        <w:rPr>
          <w:rFonts w:ascii="Times New Roman" w:eastAsia="Times New Roman" w:hAnsi="Times New Roman" w:cs="Times New Roman"/>
          <w:sz w:val="22"/>
          <w:szCs w:val="22"/>
          <w:lang w:val="en-US"/>
        </w:rPr>
        <w:t xml:space="preserve">  In effect, this </w:t>
      </w:r>
      <w:r w:rsidR="00095CB1">
        <w:rPr>
          <w:rFonts w:ascii="Times New Roman" w:eastAsia="Times New Roman" w:hAnsi="Times New Roman" w:cs="Times New Roman"/>
          <w:sz w:val="22"/>
          <w:szCs w:val="22"/>
          <w:lang w:val="en-US"/>
        </w:rPr>
        <w:t xml:space="preserve">equates </w:t>
      </w:r>
      <w:r w:rsidR="5F8DA6E6" w:rsidRPr="024B4842">
        <w:rPr>
          <w:rFonts w:ascii="Times New Roman" w:eastAsia="Times New Roman" w:hAnsi="Times New Roman" w:cs="Times New Roman"/>
          <w:sz w:val="22"/>
          <w:szCs w:val="22"/>
          <w:lang w:val="en-US"/>
        </w:rPr>
        <w:t>to 5</w:t>
      </w:r>
      <w:r w:rsidR="00BB1AEE">
        <w:rPr>
          <w:rFonts w:ascii="Times New Roman" w:eastAsia="Times New Roman" w:hAnsi="Times New Roman" w:cs="Times New Roman"/>
          <w:sz w:val="22"/>
          <w:szCs w:val="22"/>
          <w:lang w:val="en-US"/>
        </w:rPr>
        <w:t>-</w:t>
      </w:r>
      <w:r w:rsidR="5F8DA6E6" w:rsidRPr="024B4842">
        <w:rPr>
          <w:rFonts w:ascii="Times New Roman" w:eastAsia="Times New Roman" w:hAnsi="Times New Roman" w:cs="Times New Roman"/>
          <w:sz w:val="22"/>
          <w:szCs w:val="22"/>
          <w:lang w:val="en-US"/>
        </w:rPr>
        <w:t xml:space="preserve">year treatment effect </w:t>
      </w:r>
      <w:r w:rsidR="00095CB1">
        <w:rPr>
          <w:rFonts w:ascii="Times New Roman" w:eastAsia="Times New Roman" w:hAnsi="Times New Roman" w:cs="Times New Roman"/>
          <w:sz w:val="22"/>
          <w:szCs w:val="22"/>
          <w:lang w:val="en-US"/>
        </w:rPr>
        <w:t xml:space="preserve">cap </w:t>
      </w:r>
      <w:r w:rsidR="5F8DA6E6" w:rsidRPr="000A16A6">
        <w:rPr>
          <w:rFonts w:ascii="Times New Roman" w:eastAsia="Times New Roman" w:hAnsi="Times New Roman" w:cs="Times New Roman"/>
          <w:b/>
          <w:sz w:val="22"/>
          <w:szCs w:val="22"/>
          <w:lang w:val="en-US"/>
        </w:rPr>
        <w:t>from</w:t>
      </w:r>
      <w:r w:rsidR="002D0F30">
        <w:rPr>
          <w:rFonts w:ascii="Times New Roman" w:eastAsia="Times New Roman" w:hAnsi="Times New Roman" w:cs="Times New Roman"/>
          <w:b/>
          <w:sz w:val="22"/>
          <w:szCs w:val="22"/>
          <w:lang w:val="en-US"/>
        </w:rPr>
        <w:t xml:space="preserve"> the start of treatment</w:t>
      </w:r>
      <w:r w:rsidR="009D03D8" w:rsidRPr="009D03D8">
        <w:rPr>
          <w:rFonts w:ascii="Times New Roman" w:eastAsia="Times New Roman" w:hAnsi="Times New Roman" w:cs="Times New Roman"/>
          <w:sz w:val="22"/>
          <w:szCs w:val="22"/>
          <w:lang w:val="en-US"/>
        </w:rPr>
        <w:t xml:space="preserve">, as established within </w:t>
      </w:r>
      <w:r w:rsidR="008B158D">
        <w:rPr>
          <w:rFonts w:ascii="Times New Roman" w:eastAsia="Times New Roman" w:hAnsi="Times New Roman" w:cs="Times New Roman"/>
          <w:sz w:val="22"/>
          <w:szCs w:val="22"/>
          <w:lang w:val="en-US"/>
        </w:rPr>
        <w:t>C</w:t>
      </w:r>
      <w:r w:rsidR="009D03D8" w:rsidRPr="009D03D8">
        <w:rPr>
          <w:rFonts w:ascii="Times New Roman" w:eastAsia="Times New Roman" w:hAnsi="Times New Roman" w:cs="Times New Roman"/>
          <w:sz w:val="22"/>
          <w:szCs w:val="22"/>
          <w:lang w:val="en-US"/>
        </w:rPr>
        <w:t xml:space="preserve">omment </w:t>
      </w:r>
      <w:r w:rsidR="009D03D8">
        <w:rPr>
          <w:rFonts w:ascii="Times New Roman" w:eastAsia="Times New Roman" w:hAnsi="Times New Roman" w:cs="Times New Roman"/>
          <w:sz w:val="22"/>
          <w:szCs w:val="22"/>
          <w:lang w:val="en-US"/>
        </w:rPr>
        <w:t>12 of MSD’s response to the ACD.  This figure</w:t>
      </w:r>
      <w:r w:rsidR="002D0F30">
        <w:rPr>
          <w:rFonts w:ascii="Times New Roman" w:eastAsia="Times New Roman" w:hAnsi="Times New Roman" w:cs="Times New Roman"/>
          <w:sz w:val="22"/>
          <w:szCs w:val="22"/>
          <w:lang w:val="en-US"/>
        </w:rPr>
        <w:t xml:space="preserve"> fed into NICE’s preferred base case and its calculation of ICERs</w:t>
      </w:r>
      <w:r w:rsidR="009D03D8">
        <w:rPr>
          <w:rFonts w:ascii="Times New Roman" w:hAnsi="Times New Roman" w:cs="Times New Roman"/>
          <w:sz w:val="22"/>
          <w:szCs w:val="22"/>
          <w:lang w:val="en-US"/>
        </w:rPr>
        <w:t xml:space="preserve">, as </w:t>
      </w:r>
      <w:r w:rsidR="004F6730" w:rsidRPr="024B4842">
        <w:rPr>
          <w:rFonts w:ascii="Times New Roman" w:hAnsi="Times New Roman" w:cs="Times New Roman"/>
          <w:sz w:val="22"/>
          <w:szCs w:val="22"/>
          <w:lang w:val="en-US"/>
        </w:rPr>
        <w:t xml:space="preserve">reflected in paragraphs 3.12 and 3.13 of the </w:t>
      </w:r>
      <w:proofErr w:type="gramStart"/>
      <w:r w:rsidR="004F6730" w:rsidRPr="024B4842">
        <w:rPr>
          <w:rFonts w:ascii="Times New Roman" w:hAnsi="Times New Roman" w:cs="Times New Roman"/>
          <w:sz w:val="22"/>
          <w:szCs w:val="22"/>
          <w:lang w:val="en-US"/>
        </w:rPr>
        <w:t>FAD</w:t>
      </w:r>
      <w:proofErr w:type="gramEnd"/>
      <w:r w:rsidR="004F6730" w:rsidRPr="024B4842">
        <w:rPr>
          <w:rFonts w:ascii="Times New Roman" w:hAnsi="Times New Roman" w:cs="Times New Roman"/>
          <w:sz w:val="22"/>
          <w:szCs w:val="22"/>
          <w:lang w:val="en-US"/>
        </w:rPr>
        <w:t xml:space="preserve"> in TA525.</w:t>
      </w:r>
      <w:r w:rsidR="001D0A77" w:rsidRPr="024B4842">
        <w:rPr>
          <w:rFonts w:ascii="Times New Roman" w:hAnsi="Times New Roman" w:cs="Times New Roman"/>
          <w:sz w:val="22"/>
          <w:szCs w:val="22"/>
          <w:lang w:val="en-US"/>
        </w:rPr>
        <w:t xml:space="preserve"> </w:t>
      </w:r>
    </w:p>
    <w:p w14:paraId="3804C410" w14:textId="0DA1A730" w:rsidR="00E74B5F" w:rsidRPr="00E74B5F" w:rsidRDefault="004F6730" w:rsidP="00E74B5F">
      <w:pPr>
        <w:pStyle w:val="BodyText"/>
        <w:numPr>
          <w:ilvl w:val="1"/>
          <w:numId w:val="37"/>
        </w:numPr>
        <w:jc w:val="both"/>
        <w:rPr>
          <w:rFonts w:eastAsiaTheme="minorEastAsia"/>
          <w:b/>
          <w:bCs/>
          <w:sz w:val="22"/>
          <w:szCs w:val="22"/>
          <w:lang w:val="en-US"/>
        </w:rPr>
      </w:pPr>
      <w:r w:rsidRPr="024B4842">
        <w:rPr>
          <w:rFonts w:ascii="Times New Roman" w:hAnsi="Times New Roman" w:cs="Times New Roman"/>
          <w:sz w:val="22"/>
          <w:szCs w:val="22"/>
          <w:lang w:val="en-US"/>
        </w:rPr>
        <w:t>I</w:t>
      </w:r>
      <w:r w:rsidR="00AB6503" w:rsidRPr="024B4842">
        <w:rPr>
          <w:rFonts w:ascii="Times New Roman" w:hAnsi="Times New Roman" w:cs="Times New Roman"/>
          <w:sz w:val="22"/>
          <w:szCs w:val="22"/>
          <w:lang w:val="en-US"/>
        </w:rPr>
        <w:t>n</w:t>
      </w:r>
      <w:r w:rsidR="00B442EB" w:rsidRPr="024B4842">
        <w:rPr>
          <w:rFonts w:ascii="Times New Roman" w:hAnsi="Times New Roman" w:cs="Times New Roman"/>
          <w:sz w:val="22"/>
          <w:szCs w:val="22"/>
          <w:lang w:val="en-US"/>
        </w:rPr>
        <w:t xml:space="preserve"> ID1536</w:t>
      </w:r>
      <w:r w:rsidR="00AB6503" w:rsidRPr="024B4842">
        <w:rPr>
          <w:rFonts w:ascii="Times New Roman" w:hAnsi="Times New Roman" w:cs="Times New Roman"/>
          <w:sz w:val="22"/>
          <w:szCs w:val="22"/>
          <w:lang w:val="en-US"/>
        </w:rPr>
        <w:t>,</w:t>
      </w:r>
      <w:r w:rsidR="00E637A4">
        <w:rPr>
          <w:rFonts w:ascii="Times New Roman" w:hAnsi="Times New Roman" w:cs="Times New Roman"/>
          <w:sz w:val="22"/>
          <w:szCs w:val="22"/>
          <w:lang w:val="en-US"/>
        </w:rPr>
        <w:t xml:space="preserve"> </w:t>
      </w:r>
      <w:r w:rsidR="000A16A6">
        <w:rPr>
          <w:rFonts w:ascii="Times New Roman" w:hAnsi="Times New Roman" w:cs="Times New Roman"/>
          <w:sz w:val="22"/>
          <w:szCs w:val="22"/>
          <w:lang w:val="en-US"/>
        </w:rPr>
        <w:t xml:space="preserve">MSD’s base case </w:t>
      </w:r>
      <w:r w:rsidR="00C10701">
        <w:rPr>
          <w:rFonts w:ascii="Times New Roman" w:hAnsi="Times New Roman" w:cs="Times New Roman"/>
          <w:sz w:val="22"/>
          <w:szCs w:val="22"/>
          <w:lang w:val="en-US"/>
        </w:rPr>
        <w:t xml:space="preserve">also </w:t>
      </w:r>
      <w:r w:rsidR="000A16A6">
        <w:rPr>
          <w:rFonts w:ascii="Times New Roman" w:hAnsi="Times New Roman" w:cs="Times New Roman"/>
          <w:sz w:val="22"/>
          <w:szCs w:val="22"/>
          <w:lang w:val="en-US"/>
        </w:rPr>
        <w:t>assumed a 5</w:t>
      </w:r>
      <w:r w:rsidR="00095CB1">
        <w:rPr>
          <w:rFonts w:ascii="Times New Roman" w:hAnsi="Times New Roman" w:cs="Times New Roman"/>
          <w:sz w:val="22"/>
          <w:szCs w:val="22"/>
          <w:lang w:val="en-US"/>
        </w:rPr>
        <w:t>-</w:t>
      </w:r>
      <w:r w:rsidR="000A16A6">
        <w:rPr>
          <w:rFonts w:ascii="Times New Roman" w:hAnsi="Times New Roman" w:cs="Times New Roman"/>
          <w:sz w:val="22"/>
          <w:szCs w:val="22"/>
          <w:lang w:val="en-US"/>
        </w:rPr>
        <w:t xml:space="preserve">year treatment effect </w:t>
      </w:r>
      <w:r w:rsidR="000A16A6" w:rsidRPr="00095CB1">
        <w:rPr>
          <w:rFonts w:ascii="Times New Roman" w:hAnsi="Times New Roman" w:cs="Times New Roman"/>
          <w:b/>
          <w:sz w:val="22"/>
          <w:szCs w:val="22"/>
          <w:lang w:val="en-US"/>
        </w:rPr>
        <w:t>from the start of treatment</w:t>
      </w:r>
      <w:r w:rsidR="000A16A6">
        <w:rPr>
          <w:rFonts w:ascii="Times New Roman" w:hAnsi="Times New Roman" w:cs="Times New Roman"/>
          <w:sz w:val="22"/>
          <w:szCs w:val="22"/>
          <w:lang w:val="en-US"/>
        </w:rPr>
        <w:t xml:space="preserve">.  </w:t>
      </w:r>
      <w:r w:rsidR="00F77A84">
        <w:rPr>
          <w:rFonts w:ascii="Times New Roman" w:hAnsi="Times New Roman" w:cs="Times New Roman"/>
          <w:sz w:val="22"/>
          <w:szCs w:val="22"/>
          <w:lang w:val="en-US"/>
        </w:rPr>
        <w:t>This was a conservative estimate, particularly because a</w:t>
      </w:r>
      <w:r w:rsidR="001F6DCB" w:rsidRPr="024B4842">
        <w:rPr>
          <w:rFonts w:ascii="Times New Roman" w:hAnsi="Times New Roman" w:cs="Times New Roman"/>
          <w:sz w:val="22"/>
          <w:szCs w:val="22"/>
          <w:lang w:val="en-US"/>
        </w:rPr>
        <w:t xml:space="preserve"> considerably longer period of follow-up data </w:t>
      </w:r>
      <w:r w:rsidR="00DB4708" w:rsidRPr="024B4842">
        <w:rPr>
          <w:rFonts w:ascii="Times New Roman" w:hAnsi="Times New Roman" w:cs="Times New Roman"/>
          <w:sz w:val="22"/>
          <w:szCs w:val="22"/>
          <w:lang w:val="en-US"/>
        </w:rPr>
        <w:t xml:space="preserve">was </w:t>
      </w:r>
      <w:r w:rsidR="001F6DCB" w:rsidRPr="024B4842">
        <w:rPr>
          <w:rFonts w:ascii="Times New Roman" w:hAnsi="Times New Roman" w:cs="Times New Roman"/>
          <w:sz w:val="22"/>
          <w:szCs w:val="22"/>
          <w:lang w:val="en-US"/>
        </w:rPr>
        <w:t>available</w:t>
      </w:r>
      <w:r w:rsidR="00DB4708" w:rsidRPr="024B4842">
        <w:rPr>
          <w:rFonts w:ascii="Times New Roman" w:hAnsi="Times New Roman" w:cs="Times New Roman"/>
          <w:sz w:val="22"/>
          <w:szCs w:val="22"/>
          <w:lang w:val="en-US"/>
        </w:rPr>
        <w:t xml:space="preserve"> </w:t>
      </w:r>
      <w:r w:rsidR="007F04A8" w:rsidRPr="024B4842">
        <w:rPr>
          <w:rFonts w:ascii="Times New Roman" w:hAnsi="Times New Roman" w:cs="Times New Roman"/>
          <w:sz w:val="22"/>
          <w:szCs w:val="22"/>
          <w:lang w:val="en-US"/>
        </w:rPr>
        <w:t>from KEYNOTE-045</w:t>
      </w:r>
      <w:r w:rsidR="00095CB1">
        <w:rPr>
          <w:rFonts w:ascii="Times New Roman" w:hAnsi="Times New Roman" w:cs="Times New Roman"/>
          <w:sz w:val="22"/>
          <w:szCs w:val="22"/>
          <w:lang w:val="en-US"/>
        </w:rPr>
        <w:t xml:space="preserve"> compared with the studies used to support TA525</w:t>
      </w:r>
      <w:r w:rsidR="007F04A8" w:rsidRPr="024B4842">
        <w:rPr>
          <w:rFonts w:ascii="Times New Roman" w:hAnsi="Times New Roman" w:cs="Times New Roman"/>
          <w:sz w:val="22"/>
          <w:szCs w:val="22"/>
          <w:lang w:val="en-US"/>
        </w:rPr>
        <w:t xml:space="preserve"> </w:t>
      </w:r>
      <w:r w:rsidR="00DB4708" w:rsidRPr="024B4842">
        <w:rPr>
          <w:rFonts w:ascii="Times New Roman" w:hAnsi="Times New Roman" w:cs="Times New Roman"/>
          <w:sz w:val="22"/>
          <w:szCs w:val="22"/>
          <w:lang w:val="en-US"/>
        </w:rPr>
        <w:t>(a median follow-up of 40.9 months from the start of treatment and a maximum of 48.9 months).  D</w:t>
      </w:r>
      <w:r w:rsidR="00E51024" w:rsidRPr="024B4842">
        <w:rPr>
          <w:rFonts w:ascii="Times New Roman" w:hAnsi="Times New Roman" w:cs="Times New Roman"/>
          <w:sz w:val="22"/>
          <w:szCs w:val="22"/>
          <w:lang w:val="en-US"/>
        </w:rPr>
        <w:t>e</w:t>
      </w:r>
      <w:r w:rsidR="00DB4708" w:rsidRPr="024B4842">
        <w:rPr>
          <w:rFonts w:ascii="Times New Roman" w:hAnsi="Times New Roman" w:cs="Times New Roman"/>
          <w:sz w:val="22"/>
          <w:szCs w:val="22"/>
          <w:lang w:val="en-US"/>
        </w:rPr>
        <w:t xml:space="preserve">spite </w:t>
      </w:r>
      <w:r w:rsidR="72C3E23A" w:rsidRPr="024B4842">
        <w:rPr>
          <w:rFonts w:ascii="Times New Roman" w:hAnsi="Times New Roman" w:cs="Times New Roman"/>
          <w:sz w:val="22"/>
          <w:szCs w:val="22"/>
          <w:lang w:val="en-US"/>
        </w:rPr>
        <w:t xml:space="preserve">pembrolizumab </w:t>
      </w:r>
      <w:r w:rsidR="00501F69" w:rsidRPr="024B4842">
        <w:rPr>
          <w:rFonts w:ascii="Times New Roman" w:hAnsi="Times New Roman" w:cs="Times New Roman"/>
          <w:sz w:val="22"/>
          <w:szCs w:val="22"/>
          <w:lang w:val="en-US"/>
        </w:rPr>
        <w:t xml:space="preserve">having </w:t>
      </w:r>
      <w:r w:rsidR="003C4D76" w:rsidRPr="024B4842">
        <w:rPr>
          <w:rFonts w:ascii="Times New Roman" w:hAnsi="Times New Roman" w:cs="Times New Roman"/>
          <w:sz w:val="22"/>
          <w:szCs w:val="22"/>
          <w:lang w:val="en-US"/>
        </w:rPr>
        <w:t>better qu</w:t>
      </w:r>
      <w:r w:rsidR="003C4D76" w:rsidRPr="002D0F30">
        <w:rPr>
          <w:rFonts w:ascii="Times New Roman" w:hAnsi="Times New Roman" w:cs="Times New Roman"/>
          <w:sz w:val="22"/>
          <w:szCs w:val="22"/>
          <w:lang w:val="en-US"/>
        </w:rPr>
        <w:t xml:space="preserve">ality </w:t>
      </w:r>
      <w:r w:rsidR="00501F69" w:rsidRPr="002D0F30">
        <w:rPr>
          <w:rFonts w:ascii="Times New Roman" w:hAnsi="Times New Roman" w:cs="Times New Roman"/>
          <w:sz w:val="22"/>
          <w:szCs w:val="22"/>
          <w:lang w:val="en-US"/>
        </w:rPr>
        <w:t>data</w:t>
      </w:r>
      <w:r w:rsidR="00E51024" w:rsidRPr="002D0F30">
        <w:rPr>
          <w:rFonts w:ascii="Times New Roman" w:hAnsi="Times New Roman" w:cs="Times New Roman"/>
          <w:sz w:val="22"/>
          <w:szCs w:val="22"/>
          <w:lang w:val="en-US"/>
        </w:rPr>
        <w:t>, t</w:t>
      </w:r>
      <w:r w:rsidR="00DB4708" w:rsidRPr="002D0F30">
        <w:rPr>
          <w:rFonts w:ascii="Times New Roman" w:hAnsi="Times New Roman" w:cs="Times New Roman"/>
          <w:sz w:val="22"/>
          <w:szCs w:val="22"/>
          <w:lang w:val="en-US"/>
        </w:rPr>
        <w:t>he Appraisal Committee disagreed with the company’s</w:t>
      </w:r>
      <w:r w:rsidR="003C4D76" w:rsidRPr="002D0F30">
        <w:rPr>
          <w:rFonts w:ascii="Times New Roman" w:hAnsi="Times New Roman" w:cs="Times New Roman"/>
          <w:sz w:val="22"/>
          <w:szCs w:val="22"/>
          <w:lang w:val="en-US"/>
        </w:rPr>
        <w:t xml:space="preserve"> proposal of a 5-year cap</w:t>
      </w:r>
      <w:r w:rsidR="003B1DFB" w:rsidRPr="002D0F30">
        <w:rPr>
          <w:rFonts w:ascii="Times New Roman" w:hAnsi="Times New Roman" w:cs="Times New Roman"/>
          <w:sz w:val="22"/>
          <w:szCs w:val="22"/>
          <w:lang w:val="en-US"/>
        </w:rPr>
        <w:t xml:space="preserve"> </w:t>
      </w:r>
      <w:r w:rsidR="00095CB1" w:rsidRPr="002D0F30">
        <w:rPr>
          <w:rFonts w:ascii="Times New Roman" w:hAnsi="Times New Roman" w:cs="Times New Roman"/>
          <w:sz w:val="22"/>
          <w:szCs w:val="22"/>
          <w:lang w:val="en-US"/>
        </w:rPr>
        <w:t>from the start of treatment.  I</w:t>
      </w:r>
      <w:r w:rsidR="002D0F30">
        <w:rPr>
          <w:rFonts w:ascii="Times New Roman" w:hAnsi="Times New Roman" w:cs="Times New Roman"/>
          <w:sz w:val="22"/>
          <w:szCs w:val="22"/>
          <w:lang w:val="en-US"/>
        </w:rPr>
        <w:t>nstead, i</w:t>
      </w:r>
      <w:r w:rsidR="00870BEC">
        <w:rPr>
          <w:rFonts w:ascii="Times New Roman" w:hAnsi="Times New Roman" w:cs="Times New Roman"/>
          <w:sz w:val="22"/>
          <w:szCs w:val="22"/>
          <w:lang w:val="en-US"/>
        </w:rPr>
        <w:t xml:space="preserve">n the cost-effectiveness assessment for pembrolizumab, the Appraisal Committee </w:t>
      </w:r>
      <w:r w:rsidR="002D0F30">
        <w:rPr>
          <w:rFonts w:ascii="Times New Roman" w:hAnsi="Times New Roman" w:cs="Times New Roman"/>
          <w:sz w:val="22"/>
          <w:szCs w:val="22"/>
          <w:lang w:val="en-US"/>
        </w:rPr>
        <w:t xml:space="preserve">assumed </w:t>
      </w:r>
      <w:r w:rsidR="00870BEC">
        <w:rPr>
          <w:rFonts w:ascii="Times New Roman" w:hAnsi="Times New Roman" w:cs="Times New Roman"/>
          <w:sz w:val="22"/>
          <w:szCs w:val="22"/>
          <w:lang w:val="en-US"/>
        </w:rPr>
        <w:t>a 3</w:t>
      </w:r>
      <w:r w:rsidR="00F63D89">
        <w:rPr>
          <w:rFonts w:ascii="Times New Roman" w:hAnsi="Times New Roman" w:cs="Times New Roman"/>
          <w:sz w:val="22"/>
          <w:szCs w:val="22"/>
          <w:lang w:val="en-US"/>
        </w:rPr>
        <w:t>-</w:t>
      </w:r>
      <w:r w:rsidR="00870BEC">
        <w:rPr>
          <w:rFonts w:ascii="Times New Roman" w:hAnsi="Times New Roman" w:cs="Times New Roman"/>
          <w:sz w:val="22"/>
          <w:szCs w:val="22"/>
          <w:lang w:val="en-US"/>
        </w:rPr>
        <w:t xml:space="preserve">5 year range of treatment effect from treatment initiation, showing preference for </w:t>
      </w:r>
      <w:r w:rsidR="002D0F30">
        <w:rPr>
          <w:rFonts w:ascii="Times New Roman" w:hAnsi="Times New Roman" w:cs="Times New Roman"/>
          <w:sz w:val="22"/>
          <w:szCs w:val="22"/>
          <w:lang w:val="en-US"/>
        </w:rPr>
        <w:t xml:space="preserve">the lower end of the range and </w:t>
      </w:r>
      <w:r w:rsidR="00870BEC">
        <w:rPr>
          <w:rFonts w:ascii="Times New Roman" w:hAnsi="Times New Roman" w:cs="Times New Roman"/>
          <w:sz w:val="22"/>
          <w:szCs w:val="22"/>
          <w:lang w:val="en-US"/>
        </w:rPr>
        <w:t xml:space="preserve">casting doubt over the </w:t>
      </w:r>
      <w:r w:rsidR="002D0F30">
        <w:rPr>
          <w:rFonts w:ascii="Times New Roman" w:hAnsi="Times New Roman" w:cs="Times New Roman"/>
          <w:sz w:val="22"/>
          <w:szCs w:val="22"/>
          <w:lang w:val="en-US"/>
        </w:rPr>
        <w:t>upper end</w:t>
      </w:r>
      <w:r w:rsidR="00D773F7" w:rsidRPr="024B4842">
        <w:rPr>
          <w:rFonts w:ascii="Times New Roman" w:hAnsi="Times New Roman" w:cs="Times New Roman"/>
          <w:sz w:val="22"/>
          <w:szCs w:val="22"/>
          <w:lang w:val="en-US"/>
        </w:rPr>
        <w:t>.</w:t>
      </w:r>
      <w:r w:rsidR="004E3BB8" w:rsidRPr="024B4842">
        <w:rPr>
          <w:rStyle w:val="FootnoteReference"/>
          <w:rFonts w:ascii="Times New Roman" w:hAnsi="Times New Roman" w:cs="Times New Roman"/>
          <w:sz w:val="22"/>
          <w:szCs w:val="22"/>
          <w:lang w:val="en-US"/>
        </w:rPr>
        <w:footnoteReference w:id="19"/>
      </w:r>
      <w:r w:rsidR="00E637A4">
        <w:rPr>
          <w:rFonts w:ascii="Times New Roman" w:hAnsi="Times New Roman" w:cs="Times New Roman"/>
          <w:sz w:val="22"/>
          <w:szCs w:val="22"/>
          <w:lang w:val="en-US"/>
        </w:rPr>
        <w:t xml:space="preserve"> </w:t>
      </w:r>
      <w:r w:rsidR="003609E0">
        <w:rPr>
          <w:rFonts w:ascii="Times New Roman" w:hAnsi="Times New Roman" w:cs="Times New Roman"/>
          <w:sz w:val="22"/>
          <w:szCs w:val="22"/>
          <w:lang w:val="en-US"/>
        </w:rPr>
        <w:t xml:space="preserve"> </w:t>
      </w:r>
      <w:r w:rsidR="00D773F7" w:rsidRPr="024B4842">
        <w:rPr>
          <w:rFonts w:ascii="Times New Roman" w:hAnsi="Times New Roman" w:cs="Times New Roman"/>
          <w:sz w:val="22"/>
          <w:szCs w:val="22"/>
          <w:lang w:val="en-US"/>
        </w:rPr>
        <w:t xml:space="preserve">This </w:t>
      </w:r>
      <w:r w:rsidR="003B1DFB" w:rsidRPr="024B4842">
        <w:rPr>
          <w:rFonts w:ascii="Times New Roman" w:hAnsi="Times New Roman" w:cs="Times New Roman"/>
          <w:sz w:val="22"/>
          <w:szCs w:val="22"/>
          <w:lang w:val="en-US"/>
        </w:rPr>
        <w:t xml:space="preserve">departs </w:t>
      </w:r>
      <w:r w:rsidR="002D0F30">
        <w:rPr>
          <w:rFonts w:ascii="Times New Roman" w:hAnsi="Times New Roman" w:cs="Times New Roman"/>
          <w:sz w:val="22"/>
          <w:szCs w:val="22"/>
          <w:lang w:val="en-US"/>
        </w:rPr>
        <w:t xml:space="preserve">significantly </w:t>
      </w:r>
      <w:r w:rsidR="003B1DFB" w:rsidRPr="024B4842">
        <w:rPr>
          <w:rFonts w:ascii="Times New Roman" w:hAnsi="Times New Roman" w:cs="Times New Roman"/>
          <w:sz w:val="22"/>
          <w:szCs w:val="22"/>
          <w:lang w:val="en-US"/>
        </w:rPr>
        <w:t>from</w:t>
      </w:r>
      <w:r w:rsidR="002D0F30">
        <w:rPr>
          <w:rFonts w:ascii="Times New Roman" w:hAnsi="Times New Roman" w:cs="Times New Roman"/>
          <w:sz w:val="22"/>
          <w:szCs w:val="22"/>
          <w:lang w:val="en-US"/>
        </w:rPr>
        <w:t xml:space="preserve"> the</w:t>
      </w:r>
      <w:r w:rsidR="003B1DFB" w:rsidRPr="024B4842">
        <w:rPr>
          <w:rFonts w:ascii="Times New Roman" w:hAnsi="Times New Roman" w:cs="Times New Roman"/>
          <w:sz w:val="22"/>
          <w:szCs w:val="22"/>
          <w:lang w:val="en-US"/>
        </w:rPr>
        <w:t xml:space="preserve"> </w:t>
      </w:r>
      <w:r w:rsidR="00501F69" w:rsidRPr="024B4842">
        <w:rPr>
          <w:rFonts w:ascii="Times New Roman" w:hAnsi="Times New Roman" w:cs="Times New Roman"/>
          <w:sz w:val="22"/>
          <w:szCs w:val="22"/>
          <w:lang w:val="en-US"/>
        </w:rPr>
        <w:t>latitude afforded to atezolizumab</w:t>
      </w:r>
      <w:r w:rsidR="00D16319" w:rsidRPr="024B4842">
        <w:rPr>
          <w:rFonts w:ascii="Times New Roman" w:hAnsi="Times New Roman" w:cs="Times New Roman"/>
          <w:sz w:val="22"/>
          <w:szCs w:val="22"/>
          <w:lang w:val="en-US"/>
        </w:rPr>
        <w:t>.</w:t>
      </w:r>
      <w:r w:rsidR="002D0F30">
        <w:rPr>
          <w:rFonts w:ascii="Times New Roman" w:hAnsi="Times New Roman" w:cs="Times New Roman"/>
          <w:sz w:val="22"/>
          <w:szCs w:val="22"/>
          <w:lang w:val="en-US"/>
        </w:rPr>
        <w:t xml:space="preserve">  </w:t>
      </w:r>
    </w:p>
    <w:p w14:paraId="1429A69F" w14:textId="1BDBB732" w:rsidR="00E26DDB" w:rsidRPr="00E26DDB" w:rsidRDefault="002D0F30" w:rsidP="00E74B5F">
      <w:pPr>
        <w:pStyle w:val="BodyText"/>
        <w:numPr>
          <w:ilvl w:val="1"/>
          <w:numId w:val="37"/>
        </w:numPr>
        <w:jc w:val="both"/>
        <w:rPr>
          <w:rFonts w:eastAsiaTheme="minorEastAsia"/>
          <w:b/>
          <w:bCs/>
          <w:sz w:val="22"/>
          <w:szCs w:val="22"/>
          <w:lang w:val="en-US"/>
        </w:rPr>
      </w:pPr>
      <w:r>
        <w:rPr>
          <w:rFonts w:ascii="Times New Roman" w:hAnsi="Times New Roman" w:cs="Times New Roman"/>
          <w:sz w:val="22"/>
          <w:szCs w:val="22"/>
          <w:lang w:val="en-US"/>
        </w:rPr>
        <w:t>T</w:t>
      </w:r>
      <w:r w:rsidR="00D773F7" w:rsidRPr="024B4842">
        <w:rPr>
          <w:rFonts w:ascii="Times New Roman" w:hAnsi="Times New Roman" w:cs="Times New Roman"/>
          <w:sz w:val="22"/>
          <w:szCs w:val="22"/>
          <w:lang w:val="en-US"/>
        </w:rPr>
        <w:t xml:space="preserve">he cost-effectiveness parameters for the two products are inexplicably different: </w:t>
      </w:r>
      <w:r w:rsidR="00D773F7" w:rsidRPr="00E637A4">
        <w:rPr>
          <w:rFonts w:ascii="Times New Roman" w:hAnsi="Times New Roman" w:cs="Times New Roman"/>
          <w:b/>
          <w:sz w:val="22"/>
          <w:szCs w:val="22"/>
          <w:lang w:val="en-US"/>
        </w:rPr>
        <w:t>(</w:t>
      </w:r>
      <w:proofErr w:type="spellStart"/>
      <w:r w:rsidR="00D773F7" w:rsidRPr="00E637A4">
        <w:rPr>
          <w:rFonts w:ascii="Times New Roman" w:hAnsi="Times New Roman" w:cs="Times New Roman"/>
          <w:b/>
          <w:sz w:val="22"/>
          <w:szCs w:val="22"/>
          <w:lang w:val="en-US"/>
        </w:rPr>
        <w:t>i</w:t>
      </w:r>
      <w:proofErr w:type="spellEnd"/>
      <w:r w:rsidR="00D773F7" w:rsidRPr="00E637A4">
        <w:rPr>
          <w:rFonts w:ascii="Times New Roman" w:hAnsi="Times New Roman" w:cs="Times New Roman"/>
          <w:b/>
          <w:sz w:val="22"/>
          <w:szCs w:val="22"/>
          <w:lang w:val="en-US"/>
        </w:rPr>
        <w:t xml:space="preserve">) </w:t>
      </w:r>
      <w:r w:rsidR="00C10701">
        <w:rPr>
          <w:rFonts w:ascii="Times New Roman" w:hAnsi="Times New Roman" w:cs="Times New Roman"/>
          <w:b/>
          <w:sz w:val="22"/>
          <w:szCs w:val="22"/>
          <w:lang w:val="en-US"/>
        </w:rPr>
        <w:t xml:space="preserve">for atezolizumab, NICE assumes </w:t>
      </w:r>
      <w:r w:rsidR="00D773F7" w:rsidRPr="00E637A4">
        <w:rPr>
          <w:rFonts w:ascii="Times New Roman" w:hAnsi="Times New Roman" w:cs="Times New Roman"/>
          <w:b/>
          <w:sz w:val="22"/>
          <w:szCs w:val="22"/>
          <w:lang w:val="en-US"/>
        </w:rPr>
        <w:t>a treatment effect cap of</w:t>
      </w:r>
      <w:r w:rsidR="3EEDFAB4" w:rsidRPr="00E637A4">
        <w:rPr>
          <w:rFonts w:ascii="Times New Roman" w:hAnsi="Times New Roman" w:cs="Times New Roman"/>
          <w:b/>
          <w:sz w:val="22"/>
          <w:szCs w:val="22"/>
          <w:lang w:val="en-US"/>
        </w:rPr>
        <w:t xml:space="preserve"> 5 years from treatment initiation</w:t>
      </w:r>
      <w:r w:rsidR="00323273" w:rsidRPr="00E637A4">
        <w:rPr>
          <w:rFonts w:ascii="Times New Roman" w:hAnsi="Times New Roman" w:cs="Times New Roman"/>
          <w:b/>
          <w:sz w:val="22"/>
          <w:szCs w:val="22"/>
          <w:lang w:val="en-US"/>
        </w:rPr>
        <w:t>, based on</w:t>
      </w:r>
      <w:r w:rsidR="00C10701">
        <w:rPr>
          <w:rFonts w:ascii="Times New Roman" w:hAnsi="Times New Roman" w:cs="Times New Roman"/>
          <w:b/>
          <w:sz w:val="22"/>
          <w:szCs w:val="22"/>
          <w:lang w:val="en-US"/>
        </w:rPr>
        <w:t xml:space="preserve"> relatively weak follow-up</w:t>
      </w:r>
      <w:r w:rsidR="00323273" w:rsidRPr="00E637A4">
        <w:rPr>
          <w:rFonts w:ascii="Times New Roman" w:hAnsi="Times New Roman" w:cs="Times New Roman"/>
          <w:b/>
          <w:sz w:val="22"/>
          <w:szCs w:val="22"/>
          <w:lang w:val="en-US"/>
        </w:rPr>
        <w:t xml:space="preserve"> </w:t>
      </w:r>
      <w:r w:rsidR="00D773F7" w:rsidRPr="00E637A4">
        <w:rPr>
          <w:rFonts w:ascii="Times New Roman" w:hAnsi="Times New Roman" w:cs="Times New Roman"/>
          <w:b/>
          <w:sz w:val="22"/>
          <w:szCs w:val="22"/>
          <w:lang w:val="en-US"/>
        </w:rPr>
        <w:t>data;</w:t>
      </w:r>
      <w:r w:rsidR="004E3BB8" w:rsidRPr="00E637A4">
        <w:rPr>
          <w:rStyle w:val="FootnoteReference"/>
          <w:rFonts w:ascii="Times New Roman" w:hAnsi="Times New Roman" w:cs="Times New Roman"/>
          <w:b/>
          <w:sz w:val="22"/>
          <w:szCs w:val="22"/>
          <w:lang w:val="en-US"/>
        </w:rPr>
        <w:footnoteReference w:id="20"/>
      </w:r>
      <w:r w:rsidR="00D773F7" w:rsidRPr="00E637A4">
        <w:rPr>
          <w:rFonts w:ascii="Times New Roman" w:hAnsi="Times New Roman" w:cs="Times New Roman"/>
          <w:b/>
          <w:sz w:val="22"/>
          <w:szCs w:val="22"/>
          <w:lang w:val="en-US"/>
        </w:rPr>
        <w:t xml:space="preserve"> (ii) </w:t>
      </w:r>
      <w:r w:rsidR="00C10701">
        <w:rPr>
          <w:rFonts w:ascii="Times New Roman" w:hAnsi="Times New Roman" w:cs="Times New Roman"/>
          <w:b/>
          <w:sz w:val="22"/>
          <w:szCs w:val="22"/>
          <w:lang w:val="en-US"/>
        </w:rPr>
        <w:t xml:space="preserve">for pembrolizumab, NICE applies </w:t>
      </w:r>
      <w:r w:rsidR="00D773F7" w:rsidRPr="00E637A4">
        <w:rPr>
          <w:rFonts w:ascii="Times New Roman" w:hAnsi="Times New Roman" w:cs="Times New Roman"/>
          <w:b/>
          <w:sz w:val="22"/>
          <w:szCs w:val="22"/>
          <w:lang w:val="en-US"/>
        </w:rPr>
        <w:t xml:space="preserve">a treatment effect cap </w:t>
      </w:r>
      <w:r w:rsidR="008D3098" w:rsidRPr="00E637A4">
        <w:rPr>
          <w:rFonts w:ascii="Times New Roman" w:hAnsi="Times New Roman" w:cs="Times New Roman"/>
          <w:b/>
          <w:sz w:val="22"/>
          <w:szCs w:val="22"/>
          <w:lang w:val="en-US"/>
        </w:rPr>
        <w:t>of</w:t>
      </w:r>
      <w:r w:rsidR="00D773F7" w:rsidRPr="00E637A4">
        <w:rPr>
          <w:rFonts w:ascii="Times New Roman" w:hAnsi="Times New Roman" w:cs="Times New Roman"/>
          <w:b/>
          <w:sz w:val="22"/>
          <w:szCs w:val="22"/>
          <w:lang w:val="en-US"/>
        </w:rPr>
        <w:t xml:space="preserve"> </w:t>
      </w:r>
      <w:r w:rsidR="79C2FE76" w:rsidRPr="00E637A4">
        <w:rPr>
          <w:rFonts w:ascii="Times New Roman" w:hAnsi="Times New Roman" w:cs="Times New Roman"/>
          <w:b/>
          <w:sz w:val="22"/>
          <w:szCs w:val="22"/>
          <w:lang w:val="en-US"/>
        </w:rPr>
        <w:t>3</w:t>
      </w:r>
      <w:r w:rsidR="00F77A84" w:rsidRPr="00E637A4">
        <w:rPr>
          <w:rFonts w:ascii="Times New Roman" w:hAnsi="Times New Roman" w:cs="Times New Roman"/>
          <w:b/>
          <w:sz w:val="22"/>
          <w:szCs w:val="22"/>
          <w:lang w:val="en-US"/>
        </w:rPr>
        <w:t>-5</w:t>
      </w:r>
      <w:r w:rsidR="79C2FE76" w:rsidRPr="00E637A4">
        <w:rPr>
          <w:rFonts w:ascii="Times New Roman" w:hAnsi="Times New Roman" w:cs="Times New Roman"/>
          <w:b/>
          <w:sz w:val="22"/>
          <w:szCs w:val="22"/>
          <w:lang w:val="en-US"/>
        </w:rPr>
        <w:t xml:space="preserve"> years</w:t>
      </w:r>
      <w:r w:rsidR="00F77A84" w:rsidRPr="00E637A4">
        <w:rPr>
          <w:rFonts w:ascii="Times New Roman" w:hAnsi="Times New Roman" w:cs="Times New Roman"/>
          <w:b/>
          <w:sz w:val="22"/>
          <w:szCs w:val="22"/>
          <w:lang w:val="en-US"/>
        </w:rPr>
        <w:t xml:space="preserve"> (with doubt</w:t>
      </w:r>
      <w:r w:rsidR="006456FC" w:rsidRPr="00E637A4">
        <w:rPr>
          <w:rFonts w:ascii="Times New Roman" w:hAnsi="Times New Roman" w:cs="Times New Roman"/>
          <w:b/>
          <w:sz w:val="22"/>
          <w:szCs w:val="22"/>
          <w:lang w:val="en-US"/>
        </w:rPr>
        <w:t xml:space="preserve"> cast</w:t>
      </w:r>
      <w:r w:rsidR="00F77A84" w:rsidRPr="00E637A4">
        <w:rPr>
          <w:rFonts w:ascii="Times New Roman" w:hAnsi="Times New Roman" w:cs="Times New Roman"/>
          <w:b/>
          <w:sz w:val="22"/>
          <w:szCs w:val="22"/>
          <w:lang w:val="en-US"/>
        </w:rPr>
        <w:t xml:space="preserve"> over the upper end)</w:t>
      </w:r>
      <w:r w:rsidR="79C2FE76" w:rsidRPr="00E637A4">
        <w:rPr>
          <w:rFonts w:ascii="Times New Roman" w:hAnsi="Times New Roman" w:cs="Times New Roman"/>
          <w:b/>
          <w:sz w:val="22"/>
          <w:szCs w:val="22"/>
          <w:lang w:val="en-US"/>
        </w:rPr>
        <w:t xml:space="preserve"> from treatment initiation</w:t>
      </w:r>
      <w:r w:rsidR="00323273" w:rsidRPr="00E637A4">
        <w:rPr>
          <w:rFonts w:ascii="Times New Roman" w:hAnsi="Times New Roman" w:cs="Times New Roman"/>
          <w:b/>
          <w:sz w:val="22"/>
          <w:szCs w:val="22"/>
          <w:lang w:val="en-US"/>
        </w:rPr>
        <w:t xml:space="preserve">, based on stronger </w:t>
      </w:r>
      <w:r w:rsidR="00D773F7" w:rsidRPr="00E637A4">
        <w:rPr>
          <w:rFonts w:ascii="Times New Roman" w:hAnsi="Times New Roman" w:cs="Times New Roman"/>
          <w:b/>
          <w:sz w:val="22"/>
          <w:szCs w:val="22"/>
          <w:lang w:val="en-US"/>
        </w:rPr>
        <w:t>data</w:t>
      </w:r>
      <w:r w:rsidR="00D773F7" w:rsidRPr="024B4842">
        <w:rPr>
          <w:rFonts w:ascii="Times New Roman" w:hAnsi="Times New Roman" w:cs="Times New Roman"/>
          <w:sz w:val="22"/>
          <w:szCs w:val="22"/>
          <w:lang w:val="en-US"/>
        </w:rPr>
        <w:t>.</w:t>
      </w:r>
      <w:r w:rsidR="00D16319" w:rsidRPr="024B4842">
        <w:rPr>
          <w:rFonts w:ascii="Times New Roman" w:hAnsi="Times New Roman" w:cs="Times New Roman"/>
          <w:sz w:val="22"/>
          <w:szCs w:val="22"/>
          <w:lang w:val="en-US"/>
        </w:rPr>
        <w:t xml:space="preserve"> </w:t>
      </w:r>
    </w:p>
    <w:p w14:paraId="24A86DD5" w14:textId="6FF0E0A7" w:rsidR="00E26DDB" w:rsidRPr="00E26DDB" w:rsidRDefault="00D16319" w:rsidP="00E74B5F">
      <w:pPr>
        <w:pStyle w:val="BodyText"/>
        <w:numPr>
          <w:ilvl w:val="1"/>
          <w:numId w:val="37"/>
        </w:numPr>
        <w:jc w:val="both"/>
        <w:rPr>
          <w:rFonts w:eastAsiaTheme="minorEastAsia"/>
          <w:b/>
          <w:bCs/>
          <w:sz w:val="22"/>
          <w:szCs w:val="22"/>
          <w:lang w:val="en-US"/>
        </w:rPr>
      </w:pPr>
      <w:r w:rsidRPr="024B4842">
        <w:rPr>
          <w:rFonts w:ascii="Times New Roman" w:hAnsi="Times New Roman" w:cs="Times New Roman"/>
          <w:sz w:val="22"/>
          <w:szCs w:val="22"/>
          <w:lang w:val="en-US"/>
        </w:rPr>
        <w:t xml:space="preserve">Throughout the consultation process, MSD </w:t>
      </w:r>
      <w:r w:rsidR="003B1DFB" w:rsidRPr="024B4842">
        <w:rPr>
          <w:rFonts w:ascii="Times New Roman" w:hAnsi="Times New Roman" w:cs="Times New Roman"/>
          <w:sz w:val="22"/>
          <w:szCs w:val="22"/>
          <w:lang w:val="en-US"/>
        </w:rPr>
        <w:t xml:space="preserve">questioned this </w:t>
      </w:r>
      <w:r w:rsidR="006456FC">
        <w:rPr>
          <w:rFonts w:ascii="Times New Roman" w:hAnsi="Times New Roman" w:cs="Times New Roman"/>
          <w:sz w:val="22"/>
          <w:szCs w:val="22"/>
          <w:lang w:val="en-US"/>
        </w:rPr>
        <w:t xml:space="preserve">obvious inconsistency </w:t>
      </w:r>
      <w:proofErr w:type="gramStart"/>
      <w:r w:rsidR="006456FC">
        <w:rPr>
          <w:rFonts w:ascii="Times New Roman" w:hAnsi="Times New Roman" w:cs="Times New Roman"/>
          <w:sz w:val="22"/>
          <w:szCs w:val="22"/>
          <w:lang w:val="en-US"/>
        </w:rPr>
        <w:t>in  approach</w:t>
      </w:r>
      <w:proofErr w:type="gramEnd"/>
      <w:r w:rsidR="006456FC">
        <w:rPr>
          <w:rFonts w:ascii="Times New Roman" w:hAnsi="Times New Roman" w:cs="Times New Roman"/>
          <w:sz w:val="22"/>
          <w:szCs w:val="22"/>
          <w:lang w:val="en-US"/>
        </w:rPr>
        <w:t xml:space="preserve">.  We pointed out </w:t>
      </w:r>
      <w:r w:rsidR="00D773F7" w:rsidRPr="024B4842">
        <w:rPr>
          <w:rFonts w:ascii="Times New Roman" w:hAnsi="Times New Roman" w:cs="Times New Roman"/>
          <w:sz w:val="22"/>
          <w:szCs w:val="22"/>
          <w:lang w:val="en-US"/>
        </w:rPr>
        <w:t xml:space="preserve">the </w:t>
      </w:r>
      <w:r w:rsidRPr="024B4842">
        <w:rPr>
          <w:rFonts w:ascii="Times New Roman" w:hAnsi="Times New Roman" w:cs="Times New Roman"/>
          <w:sz w:val="22"/>
          <w:szCs w:val="22"/>
          <w:lang w:val="en-US"/>
        </w:rPr>
        <w:t xml:space="preserve">stronger </w:t>
      </w:r>
      <w:proofErr w:type="gramStart"/>
      <w:r w:rsidR="00822D65" w:rsidRPr="024B4842">
        <w:rPr>
          <w:rFonts w:ascii="Times New Roman" w:hAnsi="Times New Roman" w:cs="Times New Roman"/>
          <w:sz w:val="22"/>
          <w:szCs w:val="22"/>
          <w:lang w:val="en-US"/>
        </w:rPr>
        <w:t>longer term</w:t>
      </w:r>
      <w:proofErr w:type="gramEnd"/>
      <w:r w:rsidR="00822D65" w:rsidRPr="024B4842">
        <w:rPr>
          <w:rFonts w:ascii="Times New Roman" w:hAnsi="Times New Roman" w:cs="Times New Roman"/>
          <w:sz w:val="22"/>
          <w:szCs w:val="22"/>
          <w:lang w:val="en-US"/>
        </w:rPr>
        <w:t xml:space="preserve"> </w:t>
      </w:r>
      <w:r w:rsidR="009117E3">
        <w:rPr>
          <w:rFonts w:ascii="Times New Roman" w:hAnsi="Times New Roman" w:cs="Times New Roman"/>
          <w:sz w:val="22"/>
          <w:szCs w:val="22"/>
          <w:lang w:val="en-US"/>
        </w:rPr>
        <w:t xml:space="preserve">follow-up </w:t>
      </w:r>
      <w:r w:rsidRPr="024B4842">
        <w:rPr>
          <w:rFonts w:ascii="Times New Roman" w:hAnsi="Times New Roman" w:cs="Times New Roman"/>
          <w:sz w:val="22"/>
          <w:szCs w:val="22"/>
          <w:lang w:val="en-US"/>
        </w:rPr>
        <w:t>data for pembrolizumab</w:t>
      </w:r>
      <w:r w:rsidR="009117E3">
        <w:rPr>
          <w:rFonts w:ascii="Times New Roman" w:hAnsi="Times New Roman" w:cs="Times New Roman"/>
          <w:sz w:val="22"/>
          <w:szCs w:val="22"/>
          <w:lang w:val="en-US"/>
        </w:rPr>
        <w:t>, which ought to strengthen the company’s assumption of a 5-year treatment effect, rather than put it in a weaker position compared to atezolizumab</w:t>
      </w:r>
      <w:r w:rsidRPr="024B4842">
        <w:rPr>
          <w:rFonts w:ascii="Times New Roman" w:hAnsi="Times New Roman" w:cs="Times New Roman"/>
          <w:sz w:val="22"/>
          <w:szCs w:val="22"/>
          <w:lang w:val="en-US"/>
        </w:rPr>
        <w:t xml:space="preserve">.  In response to ACD consultation, the Appraisal Committee </w:t>
      </w:r>
      <w:r w:rsidR="00D773F7" w:rsidRPr="024B4842">
        <w:rPr>
          <w:rFonts w:ascii="Times New Roman" w:hAnsi="Times New Roman" w:cs="Times New Roman"/>
          <w:sz w:val="22"/>
          <w:szCs w:val="22"/>
          <w:lang w:val="en-US"/>
        </w:rPr>
        <w:t xml:space="preserve">vaguely </w:t>
      </w:r>
      <w:r w:rsidRPr="024B4842">
        <w:rPr>
          <w:rFonts w:ascii="Times New Roman" w:hAnsi="Times New Roman" w:cs="Times New Roman"/>
          <w:sz w:val="22"/>
          <w:szCs w:val="22"/>
          <w:lang w:val="en-US"/>
        </w:rPr>
        <w:t xml:space="preserve">pointed to a </w:t>
      </w:r>
      <w:r w:rsidRPr="002328F2">
        <w:rPr>
          <w:rFonts w:ascii="Times New Roman" w:hAnsi="Times New Roman" w:cs="Times New Roman"/>
          <w:sz w:val="22"/>
          <w:szCs w:val="22"/>
          <w:lang w:val="en-US"/>
        </w:rPr>
        <w:t>“</w:t>
      </w:r>
      <w:r w:rsidRPr="00A17675">
        <w:rPr>
          <w:rFonts w:ascii="Times New Roman" w:hAnsi="Times New Roman" w:cs="Times New Roman"/>
          <w:iCs/>
          <w:sz w:val="22"/>
          <w:szCs w:val="22"/>
          <w:lang w:val="en-US"/>
        </w:rPr>
        <w:t>number of differences</w:t>
      </w:r>
      <w:r w:rsidRPr="002328F2">
        <w:rPr>
          <w:rFonts w:ascii="Times New Roman" w:hAnsi="Times New Roman" w:cs="Times New Roman"/>
          <w:sz w:val="22"/>
          <w:szCs w:val="22"/>
          <w:lang w:val="en-US"/>
        </w:rPr>
        <w:t>”</w:t>
      </w:r>
      <w:r w:rsidRPr="024B4842">
        <w:rPr>
          <w:rFonts w:ascii="Times New Roman" w:hAnsi="Times New Roman" w:cs="Times New Roman"/>
          <w:sz w:val="22"/>
          <w:szCs w:val="22"/>
          <w:lang w:val="en-US"/>
        </w:rPr>
        <w:t xml:space="preserve"> between atezolizumab and pembrolizumab</w:t>
      </w:r>
      <w:r w:rsidR="009117E3">
        <w:rPr>
          <w:rFonts w:ascii="Times New Roman" w:hAnsi="Times New Roman" w:cs="Times New Roman"/>
          <w:sz w:val="22"/>
          <w:szCs w:val="22"/>
          <w:lang w:val="en-US"/>
        </w:rPr>
        <w:t xml:space="preserve">.  Specifically, the Committee </w:t>
      </w:r>
      <w:r w:rsidR="00D773F7" w:rsidRPr="024B4842">
        <w:rPr>
          <w:rFonts w:ascii="Times New Roman" w:hAnsi="Times New Roman" w:cs="Times New Roman"/>
          <w:sz w:val="22"/>
          <w:szCs w:val="22"/>
          <w:lang w:val="en-US"/>
        </w:rPr>
        <w:t xml:space="preserve">mentioned </w:t>
      </w:r>
      <w:r w:rsidR="00740E5D" w:rsidRPr="024B4842">
        <w:rPr>
          <w:rFonts w:ascii="Times New Roman" w:hAnsi="Times New Roman" w:cs="Times New Roman"/>
          <w:sz w:val="22"/>
          <w:szCs w:val="22"/>
          <w:lang w:val="en-US"/>
        </w:rPr>
        <w:t xml:space="preserve">the </w:t>
      </w:r>
      <w:r w:rsidR="00740E5D" w:rsidRPr="024B4842">
        <w:rPr>
          <w:rFonts w:ascii="Times New Roman" w:hAnsi="Times New Roman" w:cs="Times New Roman"/>
          <w:sz w:val="22"/>
          <w:szCs w:val="22"/>
          <w:lang w:val="en-US"/>
        </w:rPr>
        <w:lastRenderedPageBreak/>
        <w:t xml:space="preserve">absence of a stopping rule in the atezolizumab </w:t>
      </w:r>
      <w:r w:rsidR="003B1DFB" w:rsidRPr="024B4842">
        <w:rPr>
          <w:rFonts w:ascii="Times New Roman" w:hAnsi="Times New Roman" w:cs="Times New Roman"/>
          <w:sz w:val="22"/>
          <w:szCs w:val="22"/>
          <w:lang w:val="en-US"/>
        </w:rPr>
        <w:t>study</w:t>
      </w:r>
      <w:r w:rsidR="00740E5D" w:rsidRPr="024B4842">
        <w:rPr>
          <w:rFonts w:ascii="Times New Roman" w:hAnsi="Times New Roman" w:cs="Times New Roman"/>
          <w:sz w:val="22"/>
          <w:szCs w:val="22"/>
          <w:lang w:val="en-US"/>
        </w:rPr>
        <w:t>.</w:t>
      </w:r>
      <w:r w:rsidR="00625411" w:rsidRPr="024B4842">
        <w:rPr>
          <w:rStyle w:val="FootnoteReference"/>
          <w:rFonts w:ascii="Times New Roman" w:hAnsi="Times New Roman" w:cs="Times New Roman"/>
          <w:sz w:val="22"/>
          <w:szCs w:val="22"/>
          <w:lang w:val="en-US"/>
        </w:rPr>
        <w:footnoteReference w:id="21"/>
      </w:r>
      <w:r w:rsidR="00625411" w:rsidRPr="024B4842">
        <w:rPr>
          <w:rFonts w:ascii="Times New Roman" w:hAnsi="Times New Roman" w:cs="Times New Roman"/>
          <w:sz w:val="22"/>
          <w:szCs w:val="22"/>
          <w:lang w:val="en-US"/>
        </w:rPr>
        <w:t xml:space="preserve">  </w:t>
      </w:r>
      <w:r w:rsidR="00B26BB3" w:rsidRPr="024B4842">
        <w:rPr>
          <w:rFonts w:ascii="Times New Roman" w:hAnsi="Times New Roman" w:cs="Times New Roman"/>
          <w:sz w:val="22"/>
          <w:szCs w:val="22"/>
          <w:lang w:val="en-US"/>
        </w:rPr>
        <w:t>While the 2-year stopping rule is</w:t>
      </w:r>
      <w:r w:rsidR="00AE0082" w:rsidRPr="024B4842">
        <w:rPr>
          <w:rFonts w:ascii="Times New Roman" w:hAnsi="Times New Roman" w:cs="Times New Roman"/>
          <w:sz w:val="22"/>
          <w:szCs w:val="22"/>
          <w:lang w:val="en-US"/>
        </w:rPr>
        <w:t xml:space="preserve"> </w:t>
      </w:r>
      <w:r w:rsidR="00B26BB3" w:rsidRPr="024B4842">
        <w:rPr>
          <w:rFonts w:ascii="Times New Roman" w:hAnsi="Times New Roman" w:cs="Times New Roman"/>
          <w:sz w:val="22"/>
          <w:szCs w:val="22"/>
          <w:lang w:val="en-US"/>
        </w:rPr>
        <w:t xml:space="preserve">a difference between the two sets of study data, </w:t>
      </w:r>
      <w:r w:rsidR="004446ED" w:rsidRPr="024B4842">
        <w:rPr>
          <w:rFonts w:ascii="Times New Roman" w:hAnsi="Times New Roman" w:cs="Times New Roman"/>
          <w:sz w:val="22"/>
          <w:szCs w:val="22"/>
          <w:lang w:val="en-US"/>
        </w:rPr>
        <w:t xml:space="preserve">it is </w:t>
      </w:r>
      <w:r w:rsidR="00D773F7" w:rsidRPr="024B4842">
        <w:rPr>
          <w:rFonts w:ascii="Times New Roman" w:hAnsi="Times New Roman" w:cs="Times New Roman"/>
          <w:sz w:val="22"/>
          <w:szCs w:val="22"/>
          <w:lang w:val="en-US"/>
        </w:rPr>
        <w:t xml:space="preserve">does not explain why </w:t>
      </w:r>
      <w:r w:rsidR="004446ED" w:rsidRPr="024B4842">
        <w:rPr>
          <w:rFonts w:ascii="Times New Roman" w:hAnsi="Times New Roman" w:cs="Times New Roman"/>
          <w:sz w:val="22"/>
          <w:szCs w:val="22"/>
          <w:lang w:val="en-US"/>
        </w:rPr>
        <w:t>the cost-effective</w:t>
      </w:r>
      <w:r w:rsidR="00D773F7" w:rsidRPr="024B4842">
        <w:rPr>
          <w:rFonts w:ascii="Times New Roman" w:hAnsi="Times New Roman" w:cs="Times New Roman"/>
          <w:sz w:val="22"/>
          <w:szCs w:val="22"/>
          <w:lang w:val="en-US"/>
        </w:rPr>
        <w:t xml:space="preserve">ness parameters </w:t>
      </w:r>
      <w:r w:rsidR="004446ED" w:rsidRPr="024B4842">
        <w:rPr>
          <w:rFonts w:ascii="Times New Roman" w:hAnsi="Times New Roman" w:cs="Times New Roman"/>
          <w:sz w:val="22"/>
          <w:szCs w:val="22"/>
          <w:lang w:val="en-US"/>
        </w:rPr>
        <w:t>(</w:t>
      </w:r>
      <w:r w:rsidR="00AE0082" w:rsidRPr="024B4842">
        <w:rPr>
          <w:rFonts w:ascii="Times New Roman" w:hAnsi="Times New Roman" w:cs="Times New Roman"/>
          <w:sz w:val="22"/>
          <w:szCs w:val="22"/>
          <w:lang w:val="en-US"/>
        </w:rPr>
        <w:t xml:space="preserve">for </w:t>
      </w:r>
      <w:r w:rsidR="004446ED" w:rsidRPr="024B4842">
        <w:rPr>
          <w:rFonts w:ascii="Times New Roman" w:hAnsi="Times New Roman" w:cs="Times New Roman"/>
          <w:sz w:val="22"/>
          <w:szCs w:val="22"/>
          <w:lang w:val="en-US"/>
        </w:rPr>
        <w:t>which a 2-year stopping rule</w:t>
      </w:r>
      <w:r w:rsidR="00AE0082" w:rsidRPr="024B4842">
        <w:rPr>
          <w:rFonts w:ascii="Times New Roman" w:hAnsi="Times New Roman" w:cs="Times New Roman"/>
          <w:sz w:val="22"/>
          <w:szCs w:val="22"/>
          <w:lang w:val="en-US"/>
        </w:rPr>
        <w:t xml:space="preserve"> is</w:t>
      </w:r>
      <w:r w:rsidR="00B751E0" w:rsidRPr="024B4842">
        <w:rPr>
          <w:rFonts w:ascii="Times New Roman" w:hAnsi="Times New Roman" w:cs="Times New Roman"/>
          <w:sz w:val="22"/>
          <w:szCs w:val="22"/>
          <w:lang w:val="en-US"/>
        </w:rPr>
        <w:t xml:space="preserve"> common</w:t>
      </w:r>
      <w:r w:rsidR="004446ED" w:rsidRPr="024B4842">
        <w:rPr>
          <w:rFonts w:ascii="Times New Roman" w:hAnsi="Times New Roman" w:cs="Times New Roman"/>
          <w:sz w:val="22"/>
          <w:szCs w:val="22"/>
          <w:lang w:val="en-US"/>
        </w:rPr>
        <w:t>)</w:t>
      </w:r>
      <w:r w:rsidR="00323273" w:rsidRPr="024B4842">
        <w:rPr>
          <w:rFonts w:ascii="Times New Roman" w:hAnsi="Times New Roman" w:cs="Times New Roman"/>
          <w:sz w:val="22"/>
          <w:szCs w:val="22"/>
          <w:lang w:val="en-US"/>
        </w:rPr>
        <w:t xml:space="preserve"> are </w:t>
      </w:r>
      <w:r w:rsidR="009117E3">
        <w:rPr>
          <w:rFonts w:ascii="Times New Roman" w:hAnsi="Times New Roman" w:cs="Times New Roman"/>
          <w:sz w:val="22"/>
          <w:szCs w:val="22"/>
          <w:lang w:val="en-US"/>
        </w:rPr>
        <w:t xml:space="preserve">approached so </w:t>
      </w:r>
      <w:r w:rsidR="001D2953" w:rsidRPr="024B4842">
        <w:rPr>
          <w:rFonts w:ascii="Times New Roman" w:hAnsi="Times New Roman" w:cs="Times New Roman"/>
          <w:sz w:val="22"/>
          <w:szCs w:val="22"/>
          <w:lang w:val="en-US"/>
        </w:rPr>
        <w:t>different</w:t>
      </w:r>
      <w:r w:rsidR="009117E3">
        <w:rPr>
          <w:rFonts w:ascii="Times New Roman" w:hAnsi="Times New Roman" w:cs="Times New Roman"/>
          <w:sz w:val="22"/>
          <w:szCs w:val="22"/>
          <w:lang w:val="en-US"/>
        </w:rPr>
        <w:t>ly</w:t>
      </w:r>
      <w:r w:rsidR="008D3098" w:rsidRPr="024B4842">
        <w:rPr>
          <w:rFonts w:ascii="Times New Roman" w:hAnsi="Times New Roman" w:cs="Times New Roman"/>
          <w:sz w:val="22"/>
          <w:szCs w:val="22"/>
          <w:lang w:val="en-US"/>
        </w:rPr>
        <w:t>, especially as a 2</w:t>
      </w:r>
      <w:r w:rsidR="2C366A81" w:rsidRPr="024B4842">
        <w:rPr>
          <w:rFonts w:ascii="Times New Roman" w:hAnsi="Times New Roman" w:cs="Times New Roman"/>
          <w:sz w:val="22"/>
          <w:szCs w:val="22"/>
          <w:lang w:val="en-US"/>
        </w:rPr>
        <w:t>-</w:t>
      </w:r>
      <w:r w:rsidR="008D3098" w:rsidRPr="024B4842">
        <w:rPr>
          <w:rFonts w:ascii="Times New Roman" w:hAnsi="Times New Roman" w:cs="Times New Roman"/>
          <w:sz w:val="22"/>
          <w:szCs w:val="22"/>
          <w:lang w:val="en-US"/>
        </w:rPr>
        <w:t xml:space="preserve"> year stopping rule has been implemented for TA525</w:t>
      </w:r>
      <w:r w:rsidR="009A40BB" w:rsidRPr="024B4842">
        <w:rPr>
          <w:rFonts w:ascii="Times New Roman" w:hAnsi="Times New Roman" w:cs="Times New Roman"/>
          <w:sz w:val="22"/>
          <w:szCs w:val="22"/>
          <w:lang w:val="en-US"/>
        </w:rPr>
        <w:t>,</w:t>
      </w:r>
      <w:r w:rsidR="008D3098" w:rsidRPr="024B4842">
        <w:rPr>
          <w:rFonts w:ascii="Times New Roman" w:hAnsi="Times New Roman" w:cs="Times New Roman"/>
          <w:sz w:val="22"/>
          <w:szCs w:val="22"/>
          <w:lang w:val="en-US"/>
        </w:rPr>
        <w:t xml:space="preserve"> therefore within UK clinical practice the scenarios are identical</w:t>
      </w:r>
      <w:r w:rsidR="004446ED" w:rsidRPr="024B4842">
        <w:rPr>
          <w:rFonts w:ascii="Times New Roman" w:hAnsi="Times New Roman" w:cs="Times New Roman"/>
          <w:sz w:val="22"/>
          <w:szCs w:val="22"/>
          <w:lang w:val="en-US"/>
        </w:rPr>
        <w:t>.</w:t>
      </w:r>
      <w:r w:rsidR="00AE0082" w:rsidRPr="024B4842">
        <w:rPr>
          <w:rFonts w:ascii="Times New Roman" w:hAnsi="Times New Roman" w:cs="Times New Roman"/>
          <w:sz w:val="22"/>
          <w:szCs w:val="22"/>
          <w:lang w:val="en-US"/>
        </w:rPr>
        <w:t xml:space="preserve"> </w:t>
      </w:r>
      <w:r w:rsidR="00902C93">
        <w:rPr>
          <w:rFonts w:ascii="Times New Roman" w:hAnsi="Times New Roman" w:cs="Times New Roman"/>
          <w:sz w:val="22"/>
          <w:szCs w:val="22"/>
          <w:lang w:val="en-US"/>
        </w:rPr>
        <w:t xml:space="preserve"> </w:t>
      </w:r>
      <w:r w:rsidR="008968F3" w:rsidRPr="024B4842">
        <w:rPr>
          <w:rFonts w:ascii="Times New Roman" w:hAnsi="Times New Roman" w:cs="Times New Roman"/>
          <w:sz w:val="22"/>
          <w:szCs w:val="22"/>
          <w:lang w:val="en-US"/>
        </w:rPr>
        <w:t>The fact that the stopping rule applies to both and reflects clinical practice in the UK goes to the external validity of the data.</w:t>
      </w:r>
      <w:r w:rsidR="008968F3" w:rsidRPr="024B4842">
        <w:rPr>
          <w:rStyle w:val="FootnoteReference"/>
          <w:rFonts w:ascii="Times New Roman" w:hAnsi="Times New Roman" w:cs="Times New Roman"/>
          <w:sz w:val="22"/>
          <w:szCs w:val="22"/>
          <w:lang w:val="en-US"/>
        </w:rPr>
        <w:footnoteReference w:id="22"/>
      </w:r>
      <w:r w:rsidR="008968F3" w:rsidRPr="024B4842">
        <w:rPr>
          <w:rFonts w:ascii="Times New Roman" w:hAnsi="Times New Roman" w:cs="Times New Roman"/>
          <w:sz w:val="22"/>
          <w:szCs w:val="22"/>
          <w:lang w:val="en-US"/>
        </w:rPr>
        <w:t xml:space="preserve">  Given the importance NICE places on taking decisions based on the realities of clinical practice, it is difficult to understand why the cost parameters</w:t>
      </w:r>
      <w:r w:rsidR="008968F3">
        <w:rPr>
          <w:rFonts w:ascii="Times New Roman" w:hAnsi="Times New Roman" w:cs="Times New Roman"/>
          <w:sz w:val="22"/>
          <w:szCs w:val="22"/>
          <w:lang w:val="en-US"/>
        </w:rPr>
        <w:t xml:space="preserve"> are so strikingly different</w:t>
      </w:r>
      <w:r w:rsidR="008968F3" w:rsidRPr="024B4842">
        <w:rPr>
          <w:rFonts w:ascii="Times New Roman" w:hAnsi="Times New Roman" w:cs="Times New Roman"/>
          <w:sz w:val="22"/>
          <w:szCs w:val="22"/>
          <w:lang w:val="en-US"/>
        </w:rPr>
        <w:t>.</w:t>
      </w:r>
    </w:p>
    <w:p w14:paraId="1F451261" w14:textId="0D979BFB" w:rsidR="00E860B1" w:rsidRPr="00D57189" w:rsidRDefault="00CC0B40" w:rsidP="024B4842">
      <w:pPr>
        <w:pStyle w:val="BodyText"/>
        <w:numPr>
          <w:ilvl w:val="0"/>
          <w:numId w:val="37"/>
        </w:numPr>
        <w:jc w:val="both"/>
        <w:rPr>
          <w:rFonts w:ascii="Times New Roman" w:hAnsi="Times New Roman" w:cs="Times New Roman"/>
          <w:sz w:val="22"/>
          <w:szCs w:val="22"/>
          <w:lang w:val="en-US"/>
        </w:rPr>
      </w:pPr>
      <w:r w:rsidRPr="024B4842">
        <w:rPr>
          <w:rFonts w:ascii="Times New Roman" w:hAnsi="Times New Roman" w:cs="Times New Roman"/>
          <w:b/>
          <w:bCs/>
          <w:sz w:val="22"/>
          <w:szCs w:val="22"/>
          <w:lang w:val="en-US"/>
        </w:rPr>
        <w:t xml:space="preserve">Rejection of </w:t>
      </w:r>
      <w:r w:rsidR="00945D87">
        <w:rPr>
          <w:rFonts w:ascii="Times New Roman" w:hAnsi="Times New Roman" w:cs="Times New Roman"/>
          <w:b/>
          <w:bCs/>
          <w:sz w:val="22"/>
          <w:szCs w:val="22"/>
          <w:lang w:val="en-US"/>
        </w:rPr>
        <w:t>Precedent from Other Immuno-Oncology Technology Appraisals</w:t>
      </w:r>
      <w:r w:rsidR="007A76BE">
        <w:rPr>
          <w:rFonts w:ascii="Times New Roman" w:hAnsi="Times New Roman" w:cs="Times New Roman"/>
          <w:b/>
          <w:bCs/>
          <w:sz w:val="22"/>
          <w:szCs w:val="22"/>
          <w:lang w:val="en-US"/>
        </w:rPr>
        <w:t xml:space="preserve"> </w:t>
      </w:r>
      <w:r w:rsidR="000A31AD" w:rsidRPr="024B4842">
        <w:rPr>
          <w:rFonts w:ascii="Times New Roman" w:hAnsi="Times New Roman" w:cs="Times New Roman"/>
          <w:sz w:val="22"/>
          <w:szCs w:val="22"/>
          <w:lang w:val="en-US"/>
        </w:rPr>
        <w:t>–</w:t>
      </w:r>
      <w:r w:rsidRPr="024B4842">
        <w:rPr>
          <w:rFonts w:ascii="Times New Roman" w:hAnsi="Times New Roman" w:cs="Times New Roman"/>
          <w:sz w:val="22"/>
          <w:szCs w:val="22"/>
          <w:lang w:val="en-US"/>
        </w:rPr>
        <w:t xml:space="preserve"> </w:t>
      </w:r>
      <w:r w:rsidR="000A31AD" w:rsidRPr="024B4842">
        <w:rPr>
          <w:rFonts w:ascii="Times New Roman" w:hAnsi="Times New Roman" w:cs="Times New Roman"/>
          <w:sz w:val="22"/>
          <w:szCs w:val="22"/>
          <w:lang w:val="en-US"/>
        </w:rPr>
        <w:t>In TA525, there was insufficient evidence from clinical trial data in that indication to determine the precise duration of treatment effect.  In the absence of this, the</w:t>
      </w:r>
      <w:r w:rsidR="00F162C0">
        <w:rPr>
          <w:rFonts w:ascii="Times New Roman" w:hAnsi="Times New Roman" w:cs="Times New Roman"/>
          <w:sz w:val="22"/>
          <w:szCs w:val="22"/>
          <w:lang w:val="en-US"/>
        </w:rPr>
        <w:t xml:space="preserve"> applicant company suggested, and the Appraisal Committee </w:t>
      </w:r>
      <w:r w:rsidR="00E82077" w:rsidRPr="024B4842">
        <w:rPr>
          <w:rFonts w:ascii="Times New Roman" w:hAnsi="Times New Roman" w:cs="Times New Roman"/>
          <w:sz w:val="22"/>
          <w:szCs w:val="22"/>
          <w:lang w:val="en-US"/>
        </w:rPr>
        <w:t>supported</w:t>
      </w:r>
      <w:r w:rsidR="00247335">
        <w:rPr>
          <w:rFonts w:ascii="Times New Roman" w:hAnsi="Times New Roman" w:cs="Times New Roman"/>
          <w:sz w:val="22"/>
          <w:szCs w:val="22"/>
          <w:lang w:val="en-US"/>
        </w:rPr>
        <w:t>,</w:t>
      </w:r>
      <w:r w:rsidR="00E82077" w:rsidRPr="024B4842">
        <w:rPr>
          <w:rFonts w:ascii="Times New Roman" w:hAnsi="Times New Roman" w:cs="Times New Roman"/>
          <w:sz w:val="22"/>
          <w:szCs w:val="22"/>
          <w:lang w:val="en-US"/>
        </w:rPr>
        <w:t xml:space="preserve"> </w:t>
      </w:r>
      <w:r w:rsidR="00F162C0">
        <w:rPr>
          <w:rFonts w:ascii="Times New Roman" w:hAnsi="Times New Roman" w:cs="Times New Roman"/>
          <w:sz w:val="22"/>
          <w:szCs w:val="22"/>
          <w:lang w:val="en-US"/>
        </w:rPr>
        <w:t xml:space="preserve">an </w:t>
      </w:r>
      <w:r w:rsidR="00E82077" w:rsidRPr="024B4842">
        <w:rPr>
          <w:rFonts w:ascii="Times New Roman" w:hAnsi="Times New Roman" w:cs="Times New Roman"/>
          <w:sz w:val="22"/>
          <w:szCs w:val="22"/>
          <w:lang w:val="en-US"/>
        </w:rPr>
        <w:t xml:space="preserve">approach </w:t>
      </w:r>
      <w:r w:rsidR="00F162C0">
        <w:rPr>
          <w:rFonts w:ascii="Times New Roman" w:hAnsi="Times New Roman" w:cs="Times New Roman"/>
          <w:sz w:val="22"/>
          <w:szCs w:val="22"/>
          <w:lang w:val="en-US"/>
        </w:rPr>
        <w:t xml:space="preserve">of estimating the likely treatment effect cap </w:t>
      </w:r>
      <w:r w:rsidR="00E82077" w:rsidRPr="024B4842">
        <w:rPr>
          <w:rFonts w:ascii="Times New Roman" w:hAnsi="Times New Roman" w:cs="Times New Roman"/>
          <w:sz w:val="22"/>
          <w:szCs w:val="22"/>
          <w:lang w:val="en-US"/>
        </w:rPr>
        <w:t xml:space="preserve">by reference to </w:t>
      </w:r>
      <w:r w:rsidR="000A31AD" w:rsidRPr="024B4842">
        <w:rPr>
          <w:rFonts w:ascii="Times New Roman" w:hAnsi="Times New Roman" w:cs="Times New Roman"/>
          <w:sz w:val="22"/>
          <w:szCs w:val="22"/>
          <w:lang w:val="en-US"/>
        </w:rPr>
        <w:t>appraisals of other immuno</w:t>
      </w:r>
      <w:r w:rsidR="00E82077" w:rsidRPr="024B4842">
        <w:rPr>
          <w:rFonts w:ascii="Times New Roman" w:hAnsi="Times New Roman" w:cs="Times New Roman"/>
          <w:sz w:val="22"/>
          <w:szCs w:val="22"/>
          <w:lang w:val="en-US"/>
        </w:rPr>
        <w:t xml:space="preserve">therapies </w:t>
      </w:r>
      <w:r w:rsidR="00F162C0">
        <w:rPr>
          <w:rFonts w:ascii="Times New Roman" w:hAnsi="Times New Roman" w:cs="Times New Roman"/>
          <w:sz w:val="22"/>
          <w:szCs w:val="22"/>
          <w:lang w:val="en-US"/>
        </w:rPr>
        <w:t xml:space="preserve">in other indications </w:t>
      </w:r>
      <w:r w:rsidR="00E82077" w:rsidRPr="024B4842">
        <w:rPr>
          <w:rFonts w:ascii="Times New Roman" w:hAnsi="Times New Roman" w:cs="Times New Roman"/>
          <w:sz w:val="22"/>
          <w:szCs w:val="22"/>
          <w:lang w:val="en-US"/>
        </w:rPr>
        <w:t xml:space="preserve">where a stopping </w:t>
      </w:r>
      <w:r w:rsidR="00772602" w:rsidRPr="024B4842">
        <w:rPr>
          <w:rFonts w:ascii="Times New Roman" w:hAnsi="Times New Roman" w:cs="Times New Roman"/>
          <w:sz w:val="22"/>
          <w:szCs w:val="22"/>
          <w:lang w:val="en-US"/>
        </w:rPr>
        <w:t xml:space="preserve">rule </w:t>
      </w:r>
      <w:r w:rsidR="000A31AD" w:rsidRPr="024B4842">
        <w:rPr>
          <w:rFonts w:ascii="Times New Roman" w:hAnsi="Times New Roman" w:cs="Times New Roman"/>
          <w:sz w:val="22"/>
          <w:szCs w:val="22"/>
          <w:lang w:val="en-US"/>
        </w:rPr>
        <w:t>applied.</w:t>
      </w:r>
      <w:r w:rsidR="00647679" w:rsidRPr="024B4842">
        <w:rPr>
          <w:rStyle w:val="FootnoteReference"/>
          <w:rFonts w:ascii="Times New Roman" w:hAnsi="Times New Roman" w:cs="Times New Roman"/>
          <w:sz w:val="22"/>
          <w:szCs w:val="22"/>
          <w:lang w:val="en-US"/>
        </w:rPr>
        <w:footnoteReference w:id="23"/>
      </w:r>
      <w:r w:rsidR="000A31AD" w:rsidRPr="024B4842">
        <w:rPr>
          <w:rFonts w:ascii="Times New Roman" w:hAnsi="Times New Roman" w:cs="Times New Roman"/>
          <w:sz w:val="22"/>
          <w:szCs w:val="22"/>
          <w:lang w:val="en-US"/>
        </w:rPr>
        <w:t xml:space="preserve">  </w:t>
      </w:r>
      <w:r w:rsidR="00772602" w:rsidRPr="024B4842">
        <w:rPr>
          <w:rFonts w:ascii="Times New Roman" w:hAnsi="Times New Roman" w:cs="Times New Roman"/>
          <w:sz w:val="22"/>
          <w:szCs w:val="22"/>
          <w:lang w:val="en-US"/>
        </w:rPr>
        <w:t xml:space="preserve">Consistent with this, in ID1536, </w:t>
      </w:r>
      <w:r w:rsidR="00E26D9E" w:rsidRPr="024B4842">
        <w:rPr>
          <w:rFonts w:ascii="Times New Roman" w:hAnsi="Times New Roman" w:cs="Times New Roman"/>
          <w:sz w:val="22"/>
          <w:szCs w:val="22"/>
          <w:lang w:val="en-US"/>
        </w:rPr>
        <w:t xml:space="preserve">MSD </w:t>
      </w:r>
      <w:r w:rsidR="00E82077" w:rsidRPr="024B4842">
        <w:rPr>
          <w:rFonts w:ascii="Times New Roman" w:hAnsi="Times New Roman" w:cs="Times New Roman"/>
          <w:sz w:val="22"/>
          <w:szCs w:val="22"/>
          <w:lang w:val="en-US"/>
        </w:rPr>
        <w:t xml:space="preserve">also </w:t>
      </w:r>
      <w:r w:rsidR="00E26D9E" w:rsidRPr="024B4842">
        <w:rPr>
          <w:rFonts w:ascii="Times New Roman" w:hAnsi="Times New Roman" w:cs="Times New Roman"/>
          <w:sz w:val="22"/>
          <w:szCs w:val="22"/>
          <w:lang w:val="en-US"/>
        </w:rPr>
        <w:t xml:space="preserve">supported its evidence </w:t>
      </w:r>
      <w:r w:rsidR="00407A7C" w:rsidRPr="024B4842">
        <w:rPr>
          <w:rFonts w:ascii="Times New Roman" w:hAnsi="Times New Roman" w:cs="Times New Roman"/>
          <w:sz w:val="22"/>
          <w:szCs w:val="22"/>
          <w:lang w:val="en-US"/>
        </w:rPr>
        <w:t xml:space="preserve">and approach </w:t>
      </w:r>
      <w:r w:rsidR="00E26D9E" w:rsidRPr="024B4842">
        <w:rPr>
          <w:rFonts w:ascii="Times New Roman" w:hAnsi="Times New Roman" w:cs="Times New Roman"/>
          <w:sz w:val="22"/>
          <w:szCs w:val="22"/>
          <w:lang w:val="en-US"/>
        </w:rPr>
        <w:t>with data from pembrolizumab studies</w:t>
      </w:r>
      <w:r w:rsidR="00772602" w:rsidRPr="024B4842">
        <w:rPr>
          <w:rFonts w:ascii="Times New Roman" w:hAnsi="Times New Roman" w:cs="Times New Roman"/>
          <w:sz w:val="22"/>
          <w:szCs w:val="22"/>
          <w:lang w:val="en-US"/>
        </w:rPr>
        <w:t xml:space="preserve"> in other indications</w:t>
      </w:r>
      <w:r w:rsidR="00E43AEE" w:rsidRPr="024B4842">
        <w:rPr>
          <w:rFonts w:ascii="Times New Roman" w:hAnsi="Times New Roman" w:cs="Times New Roman"/>
          <w:sz w:val="22"/>
          <w:szCs w:val="22"/>
          <w:lang w:val="en-US"/>
        </w:rPr>
        <w:t>.</w:t>
      </w:r>
      <w:r w:rsidR="00E82077" w:rsidRPr="024B4842">
        <w:rPr>
          <w:rStyle w:val="FootnoteReference"/>
          <w:rFonts w:ascii="Times New Roman" w:hAnsi="Times New Roman" w:cs="Times New Roman"/>
          <w:sz w:val="22"/>
          <w:szCs w:val="22"/>
          <w:lang w:val="en-US"/>
        </w:rPr>
        <w:footnoteReference w:id="24"/>
      </w:r>
      <w:r w:rsidR="00772602" w:rsidRPr="024B4842">
        <w:rPr>
          <w:rFonts w:ascii="Times New Roman" w:hAnsi="Times New Roman" w:cs="Times New Roman"/>
          <w:sz w:val="22"/>
          <w:szCs w:val="22"/>
          <w:lang w:val="en-US"/>
        </w:rPr>
        <w:t xml:space="preserve"> </w:t>
      </w:r>
      <w:r w:rsidR="00407A7C" w:rsidRPr="024B4842">
        <w:rPr>
          <w:rFonts w:ascii="Times New Roman" w:hAnsi="Times New Roman" w:cs="Times New Roman"/>
          <w:sz w:val="22"/>
          <w:szCs w:val="22"/>
          <w:lang w:val="en-US"/>
        </w:rPr>
        <w:t xml:space="preserve"> Inconsistent with the approach it took in TA525, </w:t>
      </w:r>
      <w:r w:rsidR="00A30BFC" w:rsidRPr="024B4842">
        <w:rPr>
          <w:rFonts w:ascii="Times New Roman" w:hAnsi="Times New Roman" w:cs="Times New Roman"/>
          <w:sz w:val="22"/>
          <w:szCs w:val="22"/>
          <w:lang w:val="en-US"/>
        </w:rPr>
        <w:t xml:space="preserve">however, </w:t>
      </w:r>
      <w:r w:rsidR="004B0ABF" w:rsidRPr="024B4842">
        <w:rPr>
          <w:rFonts w:ascii="Times New Roman" w:hAnsi="Times New Roman" w:cs="Times New Roman"/>
          <w:sz w:val="22"/>
          <w:szCs w:val="22"/>
          <w:lang w:val="en-US"/>
        </w:rPr>
        <w:t xml:space="preserve">Appraisal Committee </w:t>
      </w:r>
      <w:r w:rsidR="00407A7C" w:rsidRPr="024B4842">
        <w:rPr>
          <w:rFonts w:ascii="Times New Roman" w:hAnsi="Times New Roman" w:cs="Times New Roman"/>
          <w:sz w:val="22"/>
          <w:szCs w:val="22"/>
          <w:lang w:val="en-US"/>
        </w:rPr>
        <w:t xml:space="preserve">D </w:t>
      </w:r>
      <w:r w:rsidR="004B0ABF" w:rsidRPr="024B4842">
        <w:rPr>
          <w:rFonts w:ascii="Times New Roman" w:hAnsi="Times New Roman" w:cs="Times New Roman"/>
          <w:sz w:val="22"/>
          <w:szCs w:val="22"/>
          <w:lang w:val="en-US"/>
        </w:rPr>
        <w:t>did not accept MSD’s other</w:t>
      </w:r>
      <w:r w:rsidR="00772602" w:rsidRPr="024B4842">
        <w:rPr>
          <w:rFonts w:ascii="Times New Roman" w:hAnsi="Times New Roman" w:cs="Times New Roman"/>
          <w:sz w:val="22"/>
          <w:szCs w:val="22"/>
          <w:lang w:val="en-US"/>
        </w:rPr>
        <w:t xml:space="preserve"> supporting evidence from immunotherapy appraisals in which a greater than 3-year treatment</w:t>
      </w:r>
      <w:r w:rsidR="005814BD">
        <w:rPr>
          <w:rFonts w:ascii="Times New Roman" w:hAnsi="Times New Roman" w:cs="Times New Roman"/>
          <w:sz w:val="22"/>
          <w:szCs w:val="22"/>
          <w:lang w:val="en-US"/>
        </w:rPr>
        <w:t xml:space="preserve"> </w:t>
      </w:r>
      <w:r w:rsidR="00772602" w:rsidRPr="024B4842">
        <w:rPr>
          <w:rFonts w:ascii="Times New Roman" w:hAnsi="Times New Roman" w:cs="Times New Roman"/>
          <w:sz w:val="22"/>
          <w:szCs w:val="22"/>
          <w:lang w:val="en-US"/>
        </w:rPr>
        <w:t>effect was acceptable to the Appraisal Committee (</w:t>
      </w:r>
      <w:r w:rsidR="0047424D" w:rsidRPr="024B4842">
        <w:rPr>
          <w:rFonts w:ascii="Times New Roman" w:hAnsi="Times New Roman" w:cs="Times New Roman"/>
          <w:i/>
          <w:iCs/>
          <w:sz w:val="22"/>
          <w:szCs w:val="22"/>
          <w:lang w:val="en-US"/>
        </w:rPr>
        <w:t>i.e.</w:t>
      </w:r>
      <w:r w:rsidR="0047424D" w:rsidRPr="024B4842">
        <w:rPr>
          <w:rFonts w:ascii="Times New Roman" w:hAnsi="Times New Roman" w:cs="Times New Roman"/>
          <w:sz w:val="22"/>
          <w:szCs w:val="22"/>
          <w:lang w:val="en-US"/>
        </w:rPr>
        <w:t xml:space="preserve">, in </w:t>
      </w:r>
      <w:r w:rsidR="00772602" w:rsidRPr="024B4842">
        <w:rPr>
          <w:rFonts w:ascii="Times New Roman" w:hAnsi="Times New Roman" w:cs="Times New Roman"/>
          <w:sz w:val="22"/>
          <w:szCs w:val="22"/>
          <w:lang w:val="en-US"/>
        </w:rPr>
        <w:t>TA428, TA600, TA484, TA483, TA578 and TA520).</w:t>
      </w:r>
      <w:r w:rsidR="00E82077" w:rsidRPr="024B4842">
        <w:rPr>
          <w:rStyle w:val="FootnoteReference"/>
          <w:rFonts w:ascii="Times New Roman" w:hAnsi="Times New Roman" w:cs="Times New Roman"/>
          <w:sz w:val="22"/>
          <w:szCs w:val="22"/>
          <w:lang w:val="en-US"/>
        </w:rPr>
        <w:footnoteReference w:id="25"/>
      </w:r>
      <w:r w:rsidR="00E26D9E" w:rsidRPr="024B4842">
        <w:rPr>
          <w:rFonts w:ascii="Times New Roman" w:hAnsi="Times New Roman" w:cs="Times New Roman"/>
          <w:sz w:val="22"/>
          <w:szCs w:val="22"/>
          <w:lang w:val="en-US"/>
        </w:rPr>
        <w:t xml:space="preserve">  </w:t>
      </w:r>
      <w:r w:rsidR="007C6328" w:rsidRPr="024B4842">
        <w:rPr>
          <w:rFonts w:ascii="Times New Roman" w:hAnsi="Times New Roman" w:cs="Times New Roman"/>
          <w:sz w:val="22"/>
          <w:szCs w:val="22"/>
          <w:lang w:val="en-US"/>
        </w:rPr>
        <w:t xml:space="preserve">We do not understand how the </w:t>
      </w:r>
      <w:r w:rsidR="00E43AEE" w:rsidRPr="024B4842">
        <w:rPr>
          <w:rFonts w:ascii="Times New Roman" w:hAnsi="Times New Roman" w:cs="Times New Roman"/>
          <w:sz w:val="22"/>
          <w:szCs w:val="22"/>
          <w:lang w:val="en-US"/>
        </w:rPr>
        <w:t xml:space="preserve">same Appraisal Committee </w:t>
      </w:r>
      <w:r w:rsidR="0072333F" w:rsidRPr="024B4842">
        <w:rPr>
          <w:rFonts w:ascii="Times New Roman" w:hAnsi="Times New Roman" w:cs="Times New Roman"/>
          <w:sz w:val="22"/>
          <w:szCs w:val="22"/>
          <w:lang w:val="en-US"/>
        </w:rPr>
        <w:t>considered external data to be relevant in</w:t>
      </w:r>
      <w:r w:rsidR="00E43AEE" w:rsidRPr="024B4842">
        <w:rPr>
          <w:rFonts w:ascii="Times New Roman" w:hAnsi="Times New Roman" w:cs="Times New Roman"/>
          <w:sz w:val="22"/>
          <w:szCs w:val="22"/>
          <w:lang w:val="en-US"/>
        </w:rPr>
        <w:t xml:space="preserve"> one appraisal but not in another</w:t>
      </w:r>
      <w:r w:rsidR="004B0ABF" w:rsidRPr="024B4842">
        <w:rPr>
          <w:rFonts w:ascii="Times New Roman" w:hAnsi="Times New Roman" w:cs="Times New Roman"/>
          <w:sz w:val="22"/>
          <w:szCs w:val="22"/>
          <w:lang w:val="en-US"/>
        </w:rPr>
        <w:t>.</w:t>
      </w:r>
      <w:r w:rsidR="0072333F" w:rsidRPr="024B4842">
        <w:rPr>
          <w:rFonts w:ascii="Times New Roman" w:hAnsi="Times New Roman" w:cs="Times New Roman"/>
          <w:sz w:val="22"/>
          <w:szCs w:val="22"/>
          <w:lang w:val="en-US"/>
        </w:rPr>
        <w:t xml:space="preserve"> </w:t>
      </w:r>
    </w:p>
    <w:p w14:paraId="7C59DF88" w14:textId="32F2E600" w:rsidR="00A5265B" w:rsidRDefault="00E860B1" w:rsidP="00647C0A">
      <w:pPr>
        <w:jc w:val="both"/>
        <w:rPr>
          <w:rFonts w:ascii="Times New Roman" w:hAnsi="Times New Roman" w:cs="Times New Roman"/>
          <w:sz w:val="22"/>
          <w:szCs w:val="22"/>
        </w:rPr>
      </w:pPr>
      <w:r w:rsidRPr="024B4842">
        <w:rPr>
          <w:rFonts w:ascii="Times New Roman" w:hAnsi="Times New Roman" w:cs="Times New Roman"/>
          <w:sz w:val="22"/>
          <w:szCs w:val="22"/>
          <w:lang w:val="en-US"/>
        </w:rPr>
        <w:t xml:space="preserve">These </w:t>
      </w:r>
      <w:r w:rsidR="00AC4CA9" w:rsidRPr="024B4842">
        <w:rPr>
          <w:rFonts w:ascii="Times New Roman" w:hAnsi="Times New Roman" w:cs="Times New Roman"/>
          <w:sz w:val="22"/>
          <w:szCs w:val="22"/>
          <w:lang w:val="en-US"/>
        </w:rPr>
        <w:t xml:space="preserve">methodological inconsistencies </w:t>
      </w:r>
      <w:r w:rsidR="00711222" w:rsidRPr="024B4842">
        <w:rPr>
          <w:rFonts w:ascii="Times New Roman" w:hAnsi="Times New Roman" w:cs="Times New Roman"/>
          <w:sz w:val="22"/>
          <w:szCs w:val="22"/>
          <w:lang w:val="en-US"/>
        </w:rPr>
        <w:t xml:space="preserve">are far from </w:t>
      </w:r>
      <w:r w:rsidR="0047424D" w:rsidRPr="024B4842">
        <w:rPr>
          <w:rFonts w:ascii="Times New Roman" w:hAnsi="Times New Roman" w:cs="Times New Roman"/>
          <w:sz w:val="22"/>
          <w:szCs w:val="22"/>
          <w:lang w:val="en-US"/>
        </w:rPr>
        <w:t xml:space="preserve">trivial </w:t>
      </w:r>
      <w:r w:rsidR="00711222" w:rsidRPr="024B4842">
        <w:rPr>
          <w:rFonts w:ascii="Times New Roman" w:hAnsi="Times New Roman" w:cs="Times New Roman"/>
          <w:sz w:val="22"/>
          <w:szCs w:val="22"/>
          <w:lang w:val="en-US"/>
        </w:rPr>
        <w:t xml:space="preserve">details.  </w:t>
      </w:r>
      <w:r w:rsidR="0047424D" w:rsidRPr="024B4842">
        <w:rPr>
          <w:rFonts w:ascii="Times New Roman" w:hAnsi="Times New Roman" w:cs="Times New Roman"/>
          <w:sz w:val="22"/>
          <w:szCs w:val="22"/>
          <w:lang w:val="en-US"/>
        </w:rPr>
        <w:t>E</w:t>
      </w:r>
      <w:r w:rsidR="00711222" w:rsidRPr="024B4842">
        <w:rPr>
          <w:rFonts w:ascii="Times New Roman" w:hAnsi="Times New Roman" w:cs="Times New Roman"/>
          <w:sz w:val="22"/>
          <w:szCs w:val="22"/>
          <w:lang w:val="en-US"/>
        </w:rPr>
        <w:t xml:space="preserve">stimating the limits of treatment effect was </w:t>
      </w:r>
      <w:r w:rsidRPr="024B4842">
        <w:rPr>
          <w:rFonts w:ascii="Times New Roman" w:hAnsi="Times New Roman" w:cs="Times New Roman"/>
          <w:sz w:val="22"/>
          <w:szCs w:val="22"/>
          <w:lang w:val="en-US"/>
        </w:rPr>
        <w:t>critical to the c</w:t>
      </w:r>
      <w:r w:rsidR="00974B87" w:rsidRPr="024B4842">
        <w:rPr>
          <w:rFonts w:ascii="Times New Roman" w:hAnsi="Times New Roman" w:cs="Times New Roman"/>
          <w:sz w:val="22"/>
          <w:szCs w:val="22"/>
          <w:lang w:val="en-US"/>
        </w:rPr>
        <w:t xml:space="preserve">ost-effectiveness assessment.  We </w:t>
      </w:r>
      <w:r w:rsidR="0047424D" w:rsidRPr="024B4842">
        <w:rPr>
          <w:rFonts w:ascii="Times New Roman" w:hAnsi="Times New Roman" w:cs="Times New Roman"/>
          <w:sz w:val="22"/>
          <w:szCs w:val="22"/>
          <w:lang w:val="en-US"/>
        </w:rPr>
        <w:t xml:space="preserve">maintain </w:t>
      </w:r>
      <w:r w:rsidR="00974B87" w:rsidRPr="024B4842">
        <w:rPr>
          <w:rFonts w:ascii="Times New Roman" w:hAnsi="Times New Roman" w:cs="Times New Roman"/>
          <w:sz w:val="22"/>
          <w:szCs w:val="22"/>
          <w:lang w:val="en-US"/>
        </w:rPr>
        <w:t xml:space="preserve">that </w:t>
      </w:r>
      <w:r w:rsidR="229B5217" w:rsidRPr="024B4842">
        <w:rPr>
          <w:rFonts w:ascii="Times New Roman" w:hAnsi="Times New Roman" w:cs="Times New Roman"/>
          <w:sz w:val="22"/>
          <w:szCs w:val="22"/>
          <w:lang w:val="en-US"/>
        </w:rPr>
        <w:t xml:space="preserve">if </w:t>
      </w:r>
      <w:r w:rsidRPr="024B4842">
        <w:rPr>
          <w:rFonts w:ascii="Times New Roman" w:hAnsi="Times New Roman" w:cs="Times New Roman"/>
          <w:sz w:val="22"/>
          <w:szCs w:val="22"/>
          <w:lang w:val="en-US"/>
        </w:rPr>
        <w:t xml:space="preserve">the Appraisal Committee </w:t>
      </w:r>
      <w:r w:rsidR="30E72EE2" w:rsidRPr="024B4842">
        <w:rPr>
          <w:rFonts w:ascii="Times New Roman" w:hAnsi="Times New Roman" w:cs="Times New Roman"/>
          <w:sz w:val="22"/>
          <w:szCs w:val="22"/>
          <w:lang w:val="en-US"/>
        </w:rPr>
        <w:t xml:space="preserve">had </w:t>
      </w:r>
      <w:r w:rsidR="00AC4CA9" w:rsidRPr="024B4842">
        <w:rPr>
          <w:rFonts w:ascii="Times New Roman" w:hAnsi="Times New Roman" w:cs="Times New Roman"/>
          <w:sz w:val="22"/>
          <w:szCs w:val="22"/>
          <w:lang w:val="en-US"/>
        </w:rPr>
        <w:t xml:space="preserve">taken a methodological approach </w:t>
      </w:r>
      <w:r w:rsidR="00974B87" w:rsidRPr="024B4842">
        <w:rPr>
          <w:rFonts w:ascii="Times New Roman" w:hAnsi="Times New Roman" w:cs="Times New Roman"/>
          <w:sz w:val="22"/>
          <w:szCs w:val="22"/>
          <w:lang w:val="en-US"/>
        </w:rPr>
        <w:t xml:space="preserve">that was consistent with </w:t>
      </w:r>
      <w:r w:rsidR="00AC4CA9" w:rsidRPr="024B4842">
        <w:rPr>
          <w:rFonts w:ascii="Times New Roman" w:hAnsi="Times New Roman" w:cs="Times New Roman"/>
          <w:sz w:val="22"/>
          <w:szCs w:val="22"/>
          <w:lang w:val="en-US"/>
        </w:rPr>
        <w:t>TA525</w:t>
      </w:r>
      <w:r w:rsidR="00974B87" w:rsidRPr="024B4842">
        <w:rPr>
          <w:rFonts w:ascii="Times New Roman" w:hAnsi="Times New Roman" w:cs="Times New Roman"/>
          <w:sz w:val="22"/>
          <w:szCs w:val="22"/>
          <w:lang w:val="en-US"/>
        </w:rPr>
        <w:t xml:space="preserve">, </w:t>
      </w:r>
      <w:r w:rsidRPr="024B4842">
        <w:rPr>
          <w:rFonts w:ascii="Times New Roman" w:hAnsi="Times New Roman" w:cs="Times New Roman"/>
          <w:sz w:val="22"/>
          <w:szCs w:val="22"/>
          <w:lang w:val="en-US"/>
        </w:rPr>
        <w:t xml:space="preserve">the most plausible ICERs would </w:t>
      </w:r>
      <w:r w:rsidR="0047424D" w:rsidRPr="024B4842">
        <w:rPr>
          <w:rFonts w:ascii="Times New Roman" w:hAnsi="Times New Roman" w:cs="Times New Roman"/>
          <w:sz w:val="22"/>
          <w:szCs w:val="22"/>
          <w:lang w:val="en-US"/>
        </w:rPr>
        <w:t xml:space="preserve">most likely </w:t>
      </w:r>
      <w:r w:rsidRPr="024B4842">
        <w:rPr>
          <w:rFonts w:ascii="Times New Roman" w:hAnsi="Times New Roman" w:cs="Times New Roman"/>
          <w:sz w:val="22"/>
          <w:szCs w:val="22"/>
          <w:lang w:val="en-US"/>
        </w:rPr>
        <w:t>have fallen below th</w:t>
      </w:r>
      <w:r w:rsidR="00AC4CA9" w:rsidRPr="024B4842">
        <w:rPr>
          <w:rFonts w:ascii="Times New Roman" w:hAnsi="Times New Roman" w:cs="Times New Roman"/>
          <w:sz w:val="22"/>
          <w:szCs w:val="22"/>
          <w:lang w:val="en-US"/>
        </w:rPr>
        <w:t>e threshold for recommendation.</w:t>
      </w:r>
      <w:r w:rsidR="00D1519F" w:rsidRPr="024B4842">
        <w:rPr>
          <w:rStyle w:val="FootnoteReference"/>
          <w:rFonts w:ascii="Times New Roman" w:hAnsi="Times New Roman" w:cs="Times New Roman"/>
          <w:sz w:val="22"/>
          <w:szCs w:val="22"/>
          <w:lang w:val="en-US"/>
        </w:rPr>
        <w:footnoteReference w:id="26"/>
      </w:r>
      <w:r w:rsidR="00D71E1E" w:rsidRPr="024B4842">
        <w:rPr>
          <w:rFonts w:ascii="Times New Roman" w:hAnsi="Times New Roman" w:cs="Times New Roman"/>
          <w:sz w:val="22"/>
          <w:szCs w:val="22"/>
          <w:lang w:val="en-US"/>
        </w:rPr>
        <w:t xml:space="preserve"> </w:t>
      </w:r>
      <w:r w:rsidR="00EF047F">
        <w:rPr>
          <w:rFonts w:ascii="Times New Roman" w:hAnsi="Times New Roman" w:cs="Times New Roman"/>
          <w:sz w:val="22"/>
          <w:szCs w:val="22"/>
          <w:lang w:val="en-US"/>
        </w:rPr>
        <w:t xml:space="preserve"> </w:t>
      </w:r>
      <w:r w:rsidR="00F73D6F" w:rsidRPr="00D57189">
        <w:rPr>
          <w:rFonts w:ascii="Times New Roman" w:hAnsi="Times New Roman" w:cs="Times New Roman"/>
          <w:sz w:val="22"/>
          <w:szCs w:val="22"/>
        </w:rPr>
        <w:t xml:space="preserve">Adopting </w:t>
      </w:r>
      <w:r w:rsidR="0047424D">
        <w:rPr>
          <w:rFonts w:ascii="Times New Roman" w:hAnsi="Times New Roman" w:cs="Times New Roman"/>
          <w:sz w:val="22"/>
          <w:szCs w:val="22"/>
        </w:rPr>
        <w:t xml:space="preserve">inconsistent </w:t>
      </w:r>
      <w:r w:rsidR="00F73D6F" w:rsidRPr="00D57189">
        <w:rPr>
          <w:rFonts w:ascii="Times New Roman" w:hAnsi="Times New Roman" w:cs="Times New Roman"/>
          <w:sz w:val="22"/>
          <w:szCs w:val="22"/>
        </w:rPr>
        <w:t>appro</w:t>
      </w:r>
      <w:r w:rsidR="00974B87">
        <w:rPr>
          <w:rFonts w:ascii="Times New Roman" w:hAnsi="Times New Roman" w:cs="Times New Roman"/>
          <w:sz w:val="22"/>
          <w:szCs w:val="22"/>
        </w:rPr>
        <w:t>aches to managing the same area</w:t>
      </w:r>
      <w:r w:rsidR="00323273">
        <w:rPr>
          <w:rFonts w:ascii="Times New Roman" w:hAnsi="Times New Roman" w:cs="Times New Roman"/>
          <w:sz w:val="22"/>
          <w:szCs w:val="22"/>
        </w:rPr>
        <w:t>s</w:t>
      </w:r>
      <w:r w:rsidR="00F73D6F" w:rsidRPr="00D57189">
        <w:rPr>
          <w:rFonts w:ascii="Times New Roman" w:hAnsi="Times New Roman" w:cs="Times New Roman"/>
          <w:sz w:val="22"/>
          <w:szCs w:val="22"/>
        </w:rPr>
        <w:t xml:space="preserve"> of uncerta</w:t>
      </w:r>
      <w:r w:rsidR="0047424D">
        <w:rPr>
          <w:rFonts w:ascii="Times New Roman" w:hAnsi="Times New Roman" w:cs="Times New Roman"/>
          <w:sz w:val="22"/>
          <w:szCs w:val="22"/>
        </w:rPr>
        <w:t xml:space="preserve">inty in very similar appraisals, </w:t>
      </w:r>
      <w:r w:rsidR="00F73D6F" w:rsidRPr="00D57189">
        <w:rPr>
          <w:rFonts w:ascii="Times New Roman" w:hAnsi="Times New Roman" w:cs="Times New Roman"/>
          <w:sz w:val="22"/>
          <w:szCs w:val="22"/>
        </w:rPr>
        <w:t>without</w:t>
      </w:r>
      <w:r w:rsidR="0047424D">
        <w:rPr>
          <w:rFonts w:ascii="Times New Roman" w:hAnsi="Times New Roman" w:cs="Times New Roman"/>
          <w:sz w:val="22"/>
          <w:szCs w:val="22"/>
        </w:rPr>
        <w:t xml:space="preserve"> adequate</w:t>
      </w:r>
      <w:r w:rsidR="00F73D6F" w:rsidRPr="00D57189">
        <w:rPr>
          <w:rFonts w:ascii="Times New Roman" w:hAnsi="Times New Roman" w:cs="Times New Roman"/>
          <w:sz w:val="22"/>
          <w:szCs w:val="22"/>
        </w:rPr>
        <w:t xml:space="preserve"> </w:t>
      </w:r>
      <w:r w:rsidR="0047424D">
        <w:rPr>
          <w:rFonts w:ascii="Times New Roman" w:hAnsi="Times New Roman" w:cs="Times New Roman"/>
          <w:sz w:val="22"/>
          <w:szCs w:val="22"/>
        </w:rPr>
        <w:t>explanation</w:t>
      </w:r>
      <w:r w:rsidR="004D15A9" w:rsidRPr="00D57189">
        <w:rPr>
          <w:rFonts w:ascii="Times New Roman" w:hAnsi="Times New Roman" w:cs="Times New Roman"/>
          <w:sz w:val="22"/>
          <w:szCs w:val="22"/>
        </w:rPr>
        <w:t xml:space="preserve"> is, by its nature, </w:t>
      </w:r>
      <w:r w:rsidR="00974B87">
        <w:rPr>
          <w:rFonts w:ascii="Times New Roman" w:hAnsi="Times New Roman" w:cs="Times New Roman"/>
          <w:sz w:val="22"/>
          <w:szCs w:val="22"/>
        </w:rPr>
        <w:t xml:space="preserve">procedurally </w:t>
      </w:r>
      <w:r w:rsidR="004D15A9" w:rsidRPr="00D57189">
        <w:rPr>
          <w:rFonts w:ascii="Times New Roman" w:hAnsi="Times New Roman" w:cs="Times New Roman"/>
          <w:sz w:val="22"/>
          <w:szCs w:val="22"/>
        </w:rPr>
        <w:t>unfair</w:t>
      </w:r>
      <w:r w:rsidR="00F73D6F" w:rsidRPr="00D57189">
        <w:rPr>
          <w:rFonts w:ascii="Times New Roman" w:hAnsi="Times New Roman" w:cs="Times New Roman"/>
          <w:sz w:val="22"/>
          <w:szCs w:val="22"/>
        </w:rPr>
        <w:t>.</w:t>
      </w:r>
    </w:p>
    <w:p w14:paraId="74E913B4" w14:textId="3E293347" w:rsidR="00647C0A" w:rsidRDefault="00647C0A" w:rsidP="00647C0A">
      <w:pPr>
        <w:jc w:val="both"/>
        <w:rPr>
          <w:color w:val="0E0E0E"/>
          <w:lang w:val="en-US"/>
        </w:rPr>
      </w:pPr>
    </w:p>
    <w:p w14:paraId="4DA0F113" w14:textId="324D4E47" w:rsidR="00A01CD9" w:rsidRDefault="00A01CD9" w:rsidP="00647C0A">
      <w:pPr>
        <w:jc w:val="both"/>
        <w:rPr>
          <w:color w:val="0E0E0E"/>
          <w:lang w:val="en-US"/>
        </w:rPr>
      </w:pPr>
    </w:p>
    <w:p w14:paraId="5AC0D49B" w14:textId="32A91DD8" w:rsidR="00A01CD9" w:rsidRDefault="00A01CD9" w:rsidP="00647C0A">
      <w:pPr>
        <w:jc w:val="both"/>
        <w:rPr>
          <w:color w:val="0E0E0E"/>
          <w:lang w:val="en-US"/>
        </w:rPr>
      </w:pPr>
    </w:p>
    <w:p w14:paraId="1CEAB1A6" w14:textId="72AE0066" w:rsidR="00A01CD9" w:rsidRDefault="00A01CD9" w:rsidP="00647C0A">
      <w:pPr>
        <w:jc w:val="both"/>
        <w:rPr>
          <w:color w:val="0E0E0E"/>
          <w:lang w:val="en-US"/>
        </w:rPr>
      </w:pPr>
    </w:p>
    <w:p w14:paraId="185233C1" w14:textId="24983FC4" w:rsidR="00A01CD9" w:rsidRDefault="00A01CD9" w:rsidP="00647C0A">
      <w:pPr>
        <w:jc w:val="both"/>
        <w:rPr>
          <w:color w:val="0E0E0E"/>
          <w:lang w:val="en-US"/>
        </w:rPr>
      </w:pPr>
    </w:p>
    <w:p w14:paraId="7FD31512" w14:textId="77777777" w:rsidR="00A01CD9" w:rsidRPr="00647C0A" w:rsidRDefault="00A01CD9" w:rsidP="00647C0A">
      <w:pPr>
        <w:jc w:val="both"/>
        <w:rPr>
          <w:color w:val="0E0E0E"/>
          <w:lang w:val="en-US"/>
        </w:rPr>
      </w:pPr>
    </w:p>
    <w:p w14:paraId="26474EEE" w14:textId="77777777" w:rsidR="00C32DEA" w:rsidRPr="001D2953" w:rsidRDefault="00C32DEA" w:rsidP="001D2953">
      <w:pPr>
        <w:pStyle w:val="Heading1"/>
        <w:numPr>
          <w:ilvl w:val="0"/>
          <w:numId w:val="0"/>
        </w:numPr>
        <w:ind w:left="720" w:hanging="720"/>
        <w:jc w:val="both"/>
        <w:rPr>
          <w:rFonts w:ascii="Times New Roman" w:hAnsi="Times New Roman" w:cs="Times New Roman"/>
          <w:b/>
          <w:szCs w:val="24"/>
        </w:rPr>
      </w:pPr>
      <w:r w:rsidRPr="001D2953">
        <w:rPr>
          <w:rFonts w:ascii="Times New Roman" w:hAnsi="Times New Roman" w:cs="Times New Roman"/>
          <w:b/>
          <w:szCs w:val="24"/>
        </w:rPr>
        <w:t>Ground 1b – NICE has exceeded its powers</w:t>
      </w:r>
    </w:p>
    <w:p w14:paraId="18ABB5D0" w14:textId="77777777" w:rsidR="00C32DEA" w:rsidRPr="006F3C96" w:rsidRDefault="00C32DEA" w:rsidP="001D2953">
      <w:pPr>
        <w:pStyle w:val="Heading2"/>
        <w:numPr>
          <w:ilvl w:val="0"/>
          <w:numId w:val="0"/>
        </w:numPr>
        <w:ind w:left="1440"/>
        <w:rPr>
          <w:sz w:val="22"/>
          <w:szCs w:val="22"/>
        </w:rPr>
      </w:pPr>
      <w:r w:rsidRPr="00E63DD1">
        <w:rPr>
          <w:b/>
          <w:sz w:val="22"/>
          <w:szCs w:val="22"/>
        </w:rPr>
        <w:lastRenderedPageBreak/>
        <w:t>Ground 1b.1 – NICE has breached its legal obligations under human rights and equalities laws</w:t>
      </w:r>
    </w:p>
    <w:p w14:paraId="0E6AACA1" w14:textId="2B6E4BD1" w:rsidR="002F51ED" w:rsidRPr="006F3C96" w:rsidRDefault="000A2F4D" w:rsidP="002F51ED">
      <w:pPr>
        <w:jc w:val="both"/>
        <w:rPr>
          <w:rFonts w:eastAsia="Times New Roman"/>
          <w:sz w:val="22"/>
          <w:szCs w:val="22"/>
        </w:rPr>
      </w:pPr>
      <w:r w:rsidRPr="024B4842">
        <w:rPr>
          <w:rFonts w:eastAsia="Times New Roman"/>
          <w:sz w:val="22"/>
          <w:szCs w:val="22"/>
        </w:rPr>
        <w:t>NICE is legally obliged to conduct its</w:t>
      </w:r>
      <w:r w:rsidR="002F51ED" w:rsidRPr="024B4842">
        <w:rPr>
          <w:rFonts w:eastAsia="Times New Roman"/>
          <w:sz w:val="22"/>
          <w:szCs w:val="22"/>
        </w:rPr>
        <w:t xml:space="preserve"> health technology assessments in accordance with the obligations imposed on public bodies by human rights legislation, including European Convention of Human Rights (</w:t>
      </w:r>
      <w:r w:rsidR="00C7137C" w:rsidRPr="024B4842">
        <w:rPr>
          <w:rFonts w:eastAsia="Times New Roman"/>
          <w:sz w:val="22"/>
          <w:szCs w:val="22"/>
        </w:rPr>
        <w:t>“</w:t>
      </w:r>
      <w:r w:rsidR="002F51ED" w:rsidRPr="024B4842">
        <w:rPr>
          <w:rFonts w:eastAsia="Times New Roman"/>
          <w:sz w:val="22"/>
          <w:szCs w:val="22"/>
        </w:rPr>
        <w:t>Convention</w:t>
      </w:r>
      <w:r w:rsidR="00C7137C" w:rsidRPr="024B4842">
        <w:rPr>
          <w:rFonts w:eastAsia="Times New Roman"/>
          <w:sz w:val="22"/>
          <w:szCs w:val="22"/>
        </w:rPr>
        <w:t>”</w:t>
      </w:r>
      <w:r w:rsidR="002F51ED" w:rsidRPr="024B4842">
        <w:rPr>
          <w:rFonts w:eastAsia="Times New Roman"/>
          <w:sz w:val="22"/>
          <w:szCs w:val="22"/>
        </w:rPr>
        <w:t>), as transposed into national law under the Human Rights Act 1998 (</w:t>
      </w:r>
      <w:r w:rsidR="00C7137C" w:rsidRPr="024B4842">
        <w:rPr>
          <w:rFonts w:eastAsia="Times New Roman"/>
          <w:sz w:val="22"/>
          <w:szCs w:val="22"/>
        </w:rPr>
        <w:t>“</w:t>
      </w:r>
      <w:r w:rsidR="002F51ED" w:rsidRPr="024B4842">
        <w:rPr>
          <w:rFonts w:eastAsia="Times New Roman"/>
          <w:sz w:val="22"/>
          <w:szCs w:val="22"/>
        </w:rPr>
        <w:t>HRA</w:t>
      </w:r>
      <w:r w:rsidR="00C7137C" w:rsidRPr="024B4842">
        <w:rPr>
          <w:rFonts w:eastAsia="Times New Roman"/>
          <w:sz w:val="22"/>
          <w:szCs w:val="22"/>
        </w:rPr>
        <w:t>”</w:t>
      </w:r>
      <w:r w:rsidR="002F51ED" w:rsidRPr="024B4842">
        <w:rPr>
          <w:rFonts w:eastAsia="Times New Roman"/>
          <w:sz w:val="22"/>
          <w:szCs w:val="22"/>
        </w:rPr>
        <w:t>) and the Equality Act 2010</w:t>
      </w:r>
      <w:r w:rsidR="001C0E40">
        <w:rPr>
          <w:rFonts w:eastAsia="Times New Roman"/>
          <w:sz w:val="22"/>
          <w:szCs w:val="22"/>
        </w:rPr>
        <w:t xml:space="preserve"> (“Equality Act”)</w:t>
      </w:r>
      <w:r w:rsidR="002F51ED" w:rsidRPr="024B4842">
        <w:rPr>
          <w:rFonts w:eastAsia="Times New Roman"/>
          <w:sz w:val="22"/>
          <w:szCs w:val="22"/>
        </w:rPr>
        <w:t xml:space="preserve">.  Further, NICE as a corporate </w:t>
      </w:r>
      <w:r w:rsidR="144DFBB6" w:rsidRPr="024B4842">
        <w:rPr>
          <w:rFonts w:eastAsia="Times New Roman"/>
          <w:sz w:val="22"/>
          <w:szCs w:val="22"/>
        </w:rPr>
        <w:t xml:space="preserve">body </w:t>
      </w:r>
      <w:r w:rsidR="002F51ED" w:rsidRPr="024B4842">
        <w:rPr>
          <w:rFonts w:eastAsia="Times New Roman"/>
          <w:sz w:val="22"/>
          <w:szCs w:val="22"/>
        </w:rPr>
        <w:t xml:space="preserve">may only exercise its functions on the direction of the Secretary of State for Health and/or NHS England and </w:t>
      </w:r>
      <w:r w:rsidR="00711E70">
        <w:rPr>
          <w:rFonts w:eastAsia="Times New Roman"/>
          <w:sz w:val="22"/>
          <w:szCs w:val="22"/>
        </w:rPr>
        <w:t xml:space="preserve">is </w:t>
      </w:r>
      <w:r w:rsidR="002F51ED" w:rsidRPr="024B4842">
        <w:rPr>
          <w:rFonts w:eastAsia="Times New Roman"/>
          <w:sz w:val="22"/>
          <w:szCs w:val="22"/>
        </w:rPr>
        <w:t xml:space="preserve">subject to those directions and therefore is bound to take into </w:t>
      </w:r>
      <w:r w:rsidRPr="024B4842">
        <w:rPr>
          <w:rFonts w:eastAsia="Times New Roman"/>
          <w:sz w:val="22"/>
          <w:szCs w:val="22"/>
        </w:rPr>
        <w:t>account the State’s obligations under human rights law.</w:t>
      </w:r>
    </w:p>
    <w:p w14:paraId="2D6D5B94" w14:textId="77777777" w:rsidR="002F51ED" w:rsidRPr="006F3C96" w:rsidRDefault="002F51ED" w:rsidP="002F51ED">
      <w:pPr>
        <w:jc w:val="both"/>
        <w:rPr>
          <w:rFonts w:eastAsia="Times New Roman"/>
          <w:sz w:val="22"/>
          <w:szCs w:val="22"/>
        </w:rPr>
      </w:pPr>
    </w:p>
    <w:p w14:paraId="575F145B" w14:textId="7916C488" w:rsidR="002F51ED" w:rsidRDefault="00686356" w:rsidP="002F51ED">
      <w:pPr>
        <w:pStyle w:val="BodyText"/>
        <w:jc w:val="both"/>
        <w:rPr>
          <w:rFonts w:eastAsia="Times New Roman"/>
          <w:sz w:val="22"/>
          <w:szCs w:val="22"/>
        </w:rPr>
      </w:pPr>
      <w:r>
        <w:rPr>
          <w:rFonts w:ascii="Times New Roman" w:hAnsi="Times New Roman" w:cs="Times New Roman"/>
          <w:sz w:val="22"/>
          <w:szCs w:val="22"/>
        </w:rPr>
        <w:t xml:space="preserve">The benefit of doubt afforded to atezolizumab in TA525, despite the uncertainties inherent in the evidence base for that product, raises questions about </w:t>
      </w:r>
      <w:r w:rsidRPr="00D57189">
        <w:rPr>
          <w:rFonts w:ascii="Times New Roman" w:hAnsi="Times New Roman" w:cs="Times New Roman"/>
          <w:sz w:val="22"/>
          <w:szCs w:val="22"/>
        </w:rPr>
        <w:t xml:space="preserve">whether NICE has met its obligations under </w:t>
      </w:r>
      <w:r>
        <w:rPr>
          <w:rFonts w:ascii="Times New Roman" w:hAnsi="Times New Roman" w:cs="Times New Roman"/>
          <w:sz w:val="22"/>
          <w:szCs w:val="22"/>
        </w:rPr>
        <w:t xml:space="preserve">these </w:t>
      </w:r>
      <w:r w:rsidRPr="00D57189">
        <w:rPr>
          <w:rFonts w:ascii="Times New Roman" w:hAnsi="Times New Roman" w:cs="Times New Roman"/>
          <w:sz w:val="22"/>
          <w:szCs w:val="22"/>
        </w:rPr>
        <w:t xml:space="preserve">human rights and equalities laws. </w:t>
      </w:r>
      <w:r>
        <w:rPr>
          <w:rFonts w:ascii="Times New Roman" w:hAnsi="Times New Roman" w:cs="Times New Roman"/>
          <w:sz w:val="22"/>
          <w:szCs w:val="22"/>
        </w:rPr>
        <w:t xml:space="preserve"> </w:t>
      </w:r>
      <w:r w:rsidR="002F51ED" w:rsidRPr="006F3C96">
        <w:rPr>
          <w:rFonts w:eastAsia="Times New Roman"/>
          <w:sz w:val="22"/>
          <w:szCs w:val="22"/>
        </w:rPr>
        <w:t xml:space="preserve">MSD submits that NICE’s </w:t>
      </w:r>
      <w:r w:rsidR="009626F9">
        <w:rPr>
          <w:rFonts w:eastAsia="Times New Roman"/>
          <w:sz w:val="22"/>
          <w:szCs w:val="22"/>
        </w:rPr>
        <w:t>approach in this case</w:t>
      </w:r>
      <w:r w:rsidR="002F51ED" w:rsidRPr="006F3C96">
        <w:rPr>
          <w:rFonts w:eastAsia="Times New Roman"/>
          <w:sz w:val="22"/>
          <w:szCs w:val="22"/>
        </w:rPr>
        <w:t xml:space="preserve"> breaches the human rights of affected patients and the</w:t>
      </w:r>
      <w:r w:rsidR="009626F9">
        <w:rPr>
          <w:rFonts w:eastAsia="Times New Roman"/>
          <w:sz w:val="22"/>
          <w:szCs w:val="22"/>
        </w:rPr>
        <w:t xml:space="preserve"> Equality Act.</w:t>
      </w:r>
    </w:p>
    <w:p w14:paraId="759CCDDB" w14:textId="77777777" w:rsidR="00FD344E" w:rsidRPr="00DC7B1E" w:rsidRDefault="00FD344E" w:rsidP="002F51ED">
      <w:pPr>
        <w:pStyle w:val="BodyText"/>
        <w:jc w:val="both"/>
        <w:rPr>
          <w:rFonts w:eastAsia="Times New Roman"/>
          <w:b/>
          <w:i/>
          <w:sz w:val="22"/>
          <w:szCs w:val="22"/>
        </w:rPr>
      </w:pPr>
      <w:r w:rsidRPr="00DC7B1E">
        <w:rPr>
          <w:rFonts w:eastAsia="Times New Roman"/>
          <w:b/>
          <w:i/>
          <w:sz w:val="22"/>
          <w:szCs w:val="22"/>
        </w:rPr>
        <w:t>Context of Appraisal</w:t>
      </w:r>
    </w:p>
    <w:p w14:paraId="1B9252DB" w14:textId="77777777" w:rsidR="00FB3856" w:rsidRDefault="006F3C96" w:rsidP="00FF6A64">
      <w:pPr>
        <w:pStyle w:val="BodyText"/>
        <w:jc w:val="both"/>
        <w:rPr>
          <w:rFonts w:eastAsia="Times New Roman"/>
          <w:sz w:val="22"/>
          <w:szCs w:val="22"/>
        </w:rPr>
      </w:pPr>
      <w:r>
        <w:rPr>
          <w:rFonts w:eastAsia="Times New Roman"/>
          <w:sz w:val="22"/>
          <w:szCs w:val="22"/>
        </w:rPr>
        <w:t xml:space="preserve">If pembrolizumab is not available to NHS patients in this indication, the main alternative checkpoint inhibitor is atezolizumab.  </w:t>
      </w:r>
      <w:r w:rsidR="00DC7B1E">
        <w:rPr>
          <w:rFonts w:eastAsia="Times New Roman"/>
          <w:sz w:val="22"/>
          <w:szCs w:val="22"/>
        </w:rPr>
        <w:t>A</w:t>
      </w:r>
      <w:r w:rsidR="00FB3856">
        <w:rPr>
          <w:rFonts w:eastAsia="Times New Roman"/>
          <w:sz w:val="22"/>
          <w:szCs w:val="22"/>
        </w:rPr>
        <w:t>tezolizumab is not a comparator in this appraisal.  However, in the context of human rights and equalities laws, its existence as the alternative is highly relevant.</w:t>
      </w:r>
    </w:p>
    <w:p w14:paraId="57815E9E" w14:textId="1A394D80" w:rsidR="006F3C96" w:rsidRDefault="009621A8" w:rsidP="00E629E5">
      <w:pPr>
        <w:pStyle w:val="BodyText"/>
        <w:jc w:val="both"/>
        <w:rPr>
          <w:rFonts w:eastAsia="Times New Roman"/>
          <w:sz w:val="22"/>
          <w:szCs w:val="22"/>
        </w:rPr>
      </w:pPr>
      <w:r>
        <w:rPr>
          <w:rFonts w:eastAsia="Times New Roman"/>
          <w:sz w:val="22"/>
          <w:szCs w:val="22"/>
        </w:rPr>
        <w:t>Although direct comparisons are difficult to make, NICE’s evaluation of the study data for each product suggests that pembrolizumab has a stronger evidence base for overall survival.</w:t>
      </w:r>
      <w:r>
        <w:rPr>
          <w:rStyle w:val="FootnoteReference"/>
          <w:rFonts w:eastAsia="Times New Roman"/>
          <w:sz w:val="22"/>
          <w:szCs w:val="22"/>
        </w:rPr>
        <w:footnoteReference w:id="27"/>
      </w:r>
      <w:r>
        <w:rPr>
          <w:rFonts w:eastAsia="Times New Roman"/>
          <w:sz w:val="22"/>
          <w:szCs w:val="22"/>
        </w:rPr>
        <w:t xml:space="preserve"> </w:t>
      </w:r>
      <w:r w:rsidR="00B6682B">
        <w:rPr>
          <w:rFonts w:eastAsia="Times New Roman"/>
          <w:sz w:val="22"/>
          <w:szCs w:val="22"/>
        </w:rPr>
        <w:t>NICE has acknowledged that clinicians generally prefer pembrolizumab over atezolizumab because the evidence</w:t>
      </w:r>
      <w:r w:rsidR="00FF6A64">
        <w:rPr>
          <w:rFonts w:eastAsia="Times New Roman"/>
          <w:sz w:val="22"/>
          <w:szCs w:val="22"/>
        </w:rPr>
        <w:t xml:space="preserve"> </w:t>
      </w:r>
      <w:r w:rsidR="00B6682B">
        <w:rPr>
          <w:rFonts w:eastAsia="Times New Roman"/>
          <w:sz w:val="22"/>
          <w:szCs w:val="22"/>
        </w:rPr>
        <w:t>for pembrolizumab is of higher quality.</w:t>
      </w:r>
      <w:r w:rsidR="00B6682B">
        <w:rPr>
          <w:rStyle w:val="FootnoteReference"/>
          <w:rFonts w:eastAsia="Times New Roman"/>
          <w:sz w:val="22"/>
          <w:szCs w:val="22"/>
        </w:rPr>
        <w:footnoteReference w:id="28"/>
      </w:r>
      <w:r w:rsidR="006F3C96">
        <w:rPr>
          <w:rFonts w:eastAsia="Times New Roman"/>
          <w:sz w:val="22"/>
          <w:szCs w:val="22"/>
        </w:rPr>
        <w:t xml:space="preserve"> </w:t>
      </w:r>
      <w:r w:rsidR="00236445">
        <w:rPr>
          <w:rFonts w:eastAsia="Times New Roman"/>
          <w:sz w:val="22"/>
          <w:szCs w:val="22"/>
        </w:rPr>
        <w:t xml:space="preserve"> </w:t>
      </w:r>
      <w:r>
        <w:rPr>
          <w:rFonts w:eastAsia="Times New Roman"/>
          <w:sz w:val="22"/>
          <w:szCs w:val="22"/>
        </w:rPr>
        <w:t>In our experience, this preference is reflected in clinical practice</w:t>
      </w:r>
      <w:r>
        <w:rPr>
          <w:rStyle w:val="FootnoteReference"/>
          <w:rFonts w:eastAsia="Times New Roman"/>
          <w:sz w:val="22"/>
          <w:szCs w:val="22"/>
        </w:rPr>
        <w:footnoteReference w:id="29"/>
      </w:r>
      <w:r>
        <w:rPr>
          <w:rFonts w:eastAsia="Times New Roman"/>
          <w:sz w:val="22"/>
          <w:szCs w:val="22"/>
        </w:rPr>
        <w:t xml:space="preserve"> and independent guidance.</w:t>
      </w:r>
      <w:r>
        <w:rPr>
          <w:rStyle w:val="FootnoteReference"/>
          <w:rFonts w:eastAsia="Times New Roman"/>
          <w:sz w:val="22"/>
          <w:szCs w:val="22"/>
        </w:rPr>
        <w:footnoteReference w:id="30"/>
      </w:r>
    </w:p>
    <w:p w14:paraId="1917C30B" w14:textId="095E1B41" w:rsidR="00FD344E" w:rsidRPr="006F3C96" w:rsidRDefault="00FD344E" w:rsidP="00E629E5">
      <w:pPr>
        <w:pStyle w:val="BodyText"/>
        <w:jc w:val="both"/>
        <w:rPr>
          <w:b/>
          <w:sz w:val="22"/>
          <w:szCs w:val="22"/>
        </w:rPr>
      </w:pPr>
      <w:r w:rsidRPr="00FD344E">
        <w:rPr>
          <w:rFonts w:eastAsia="Times New Roman"/>
          <w:sz w:val="22"/>
          <w:szCs w:val="22"/>
        </w:rPr>
        <w:t xml:space="preserve">In the ACD consultation, the Research Group </w:t>
      </w:r>
      <w:r>
        <w:rPr>
          <w:rFonts w:eastAsia="Times New Roman"/>
          <w:sz w:val="22"/>
          <w:szCs w:val="22"/>
        </w:rPr>
        <w:t>pointed</w:t>
      </w:r>
      <w:r w:rsidRPr="00FD344E">
        <w:rPr>
          <w:rFonts w:eastAsia="Times New Roman"/>
          <w:sz w:val="22"/>
          <w:szCs w:val="22"/>
        </w:rPr>
        <w:t xml:space="preserve"> out that “</w:t>
      </w:r>
      <w:r w:rsidRPr="00FD344E">
        <w:rPr>
          <w:rFonts w:eastAsia="Times New Roman"/>
          <w:i/>
          <w:sz w:val="22"/>
          <w:szCs w:val="22"/>
        </w:rPr>
        <w:t>the evidence for [pembrolizumab] remains the only level one evidence for urothelial cancer within the product label.</w:t>
      </w:r>
      <w:r>
        <w:rPr>
          <w:rFonts w:eastAsia="Times New Roman"/>
          <w:sz w:val="22"/>
          <w:szCs w:val="22"/>
        </w:rPr>
        <w:t>”</w:t>
      </w:r>
      <w:r w:rsidR="004921EA">
        <w:rPr>
          <w:rStyle w:val="FootnoteReference"/>
          <w:rFonts w:eastAsia="Times New Roman"/>
          <w:sz w:val="22"/>
          <w:szCs w:val="22"/>
        </w:rPr>
        <w:footnoteReference w:id="31"/>
      </w:r>
      <w:r>
        <w:rPr>
          <w:rFonts w:eastAsia="Times New Roman"/>
          <w:sz w:val="22"/>
          <w:szCs w:val="22"/>
        </w:rPr>
        <w:t xml:space="preserve">  The </w:t>
      </w:r>
      <w:r w:rsidR="00BC7F5D">
        <w:rPr>
          <w:rFonts w:eastAsia="Times New Roman"/>
          <w:sz w:val="22"/>
          <w:szCs w:val="22"/>
        </w:rPr>
        <w:t xml:space="preserve">Research </w:t>
      </w:r>
      <w:r>
        <w:rPr>
          <w:rFonts w:eastAsia="Times New Roman"/>
          <w:sz w:val="22"/>
          <w:szCs w:val="22"/>
        </w:rPr>
        <w:t xml:space="preserve">Group did not consider the </w:t>
      </w:r>
      <w:r w:rsidRPr="00FD344E">
        <w:rPr>
          <w:rFonts w:eastAsia="Times New Roman"/>
          <w:sz w:val="22"/>
          <w:szCs w:val="22"/>
        </w:rPr>
        <w:t xml:space="preserve">evidence base for atezolizumab </w:t>
      </w:r>
      <w:r>
        <w:rPr>
          <w:rFonts w:eastAsia="Times New Roman"/>
          <w:sz w:val="22"/>
          <w:szCs w:val="22"/>
        </w:rPr>
        <w:t xml:space="preserve">to be </w:t>
      </w:r>
      <w:r w:rsidRPr="00FD344E">
        <w:rPr>
          <w:rFonts w:eastAsia="Times New Roman"/>
          <w:sz w:val="22"/>
          <w:szCs w:val="22"/>
        </w:rPr>
        <w:t>“level one” evidence.  On that basis, the Research Group</w:t>
      </w:r>
      <w:r w:rsidR="004921EA">
        <w:rPr>
          <w:rFonts w:eastAsia="Times New Roman"/>
          <w:sz w:val="22"/>
          <w:szCs w:val="22"/>
        </w:rPr>
        <w:t xml:space="preserve"> stated</w:t>
      </w:r>
      <w:r w:rsidRPr="00FD344E">
        <w:rPr>
          <w:rFonts w:eastAsia="Times New Roman"/>
          <w:sz w:val="22"/>
          <w:szCs w:val="22"/>
        </w:rPr>
        <w:t>: “</w:t>
      </w:r>
      <w:r w:rsidRPr="004921EA">
        <w:rPr>
          <w:rFonts w:eastAsia="Times New Roman"/>
          <w:i/>
          <w:sz w:val="22"/>
          <w:szCs w:val="22"/>
        </w:rPr>
        <w:t xml:space="preserve">it is undesirable that clinicians may prescribe a drug without level 1 </w:t>
      </w:r>
      <w:r w:rsidRPr="004921EA">
        <w:rPr>
          <w:rFonts w:eastAsia="Times New Roman"/>
          <w:i/>
          <w:sz w:val="22"/>
          <w:szCs w:val="22"/>
        </w:rPr>
        <w:lastRenderedPageBreak/>
        <w:t>evidence (atezolizumab, docetaxel, paclitaxel) where there is an alternative where such evidence exists (pembrolizumab).</w:t>
      </w:r>
      <w:r w:rsidR="004921EA">
        <w:rPr>
          <w:rFonts w:eastAsia="Times New Roman"/>
          <w:i/>
          <w:sz w:val="22"/>
          <w:szCs w:val="22"/>
        </w:rPr>
        <w:t>”</w:t>
      </w:r>
      <w:r w:rsidRPr="004921EA">
        <w:rPr>
          <w:rFonts w:eastAsia="Times New Roman"/>
          <w:i/>
          <w:sz w:val="22"/>
          <w:szCs w:val="22"/>
        </w:rPr>
        <w:t xml:space="preserve"> </w:t>
      </w:r>
      <w:r w:rsidR="004921EA">
        <w:rPr>
          <w:rFonts w:eastAsia="Times New Roman"/>
          <w:i/>
          <w:sz w:val="22"/>
          <w:szCs w:val="22"/>
        </w:rPr>
        <w:t xml:space="preserve"> </w:t>
      </w:r>
      <w:r w:rsidR="004921EA" w:rsidRPr="004921EA">
        <w:rPr>
          <w:rFonts w:eastAsia="Times New Roman"/>
          <w:sz w:val="22"/>
          <w:szCs w:val="22"/>
        </w:rPr>
        <w:t>The Research Group urged</w:t>
      </w:r>
      <w:r w:rsidRPr="004921EA">
        <w:rPr>
          <w:rFonts w:eastAsia="Times New Roman"/>
          <w:i/>
          <w:sz w:val="22"/>
          <w:szCs w:val="22"/>
        </w:rPr>
        <w:t xml:space="preserve"> </w:t>
      </w:r>
      <w:r w:rsidRPr="004921EA">
        <w:rPr>
          <w:rFonts w:eastAsia="Times New Roman"/>
          <w:sz w:val="22"/>
          <w:szCs w:val="22"/>
        </w:rPr>
        <w:t xml:space="preserve">the Appraisal Committee </w:t>
      </w:r>
      <w:r w:rsidR="004921EA" w:rsidRPr="004921EA">
        <w:rPr>
          <w:rFonts w:eastAsia="Times New Roman"/>
          <w:sz w:val="22"/>
          <w:szCs w:val="22"/>
        </w:rPr>
        <w:t>“</w:t>
      </w:r>
      <w:r w:rsidRPr="004921EA">
        <w:rPr>
          <w:rFonts w:eastAsia="Times New Roman"/>
          <w:i/>
          <w:sz w:val="22"/>
          <w:szCs w:val="22"/>
        </w:rPr>
        <w:t>to consider this factor in weighing up other causes of uncer</w:t>
      </w:r>
      <w:r w:rsidR="004921EA">
        <w:rPr>
          <w:rFonts w:eastAsia="Times New Roman"/>
          <w:i/>
          <w:sz w:val="22"/>
          <w:szCs w:val="22"/>
        </w:rPr>
        <w:t>tainty in the economic analysis</w:t>
      </w:r>
      <w:r w:rsidR="00FB3856">
        <w:rPr>
          <w:rFonts w:eastAsia="Times New Roman"/>
          <w:i/>
          <w:sz w:val="22"/>
          <w:szCs w:val="22"/>
        </w:rPr>
        <w:t>.</w:t>
      </w:r>
      <w:r w:rsidRPr="00FD344E">
        <w:rPr>
          <w:rFonts w:eastAsia="Times New Roman"/>
          <w:sz w:val="22"/>
          <w:szCs w:val="22"/>
        </w:rPr>
        <w:t>”</w:t>
      </w:r>
      <w:r w:rsidR="00FB3856">
        <w:rPr>
          <w:rStyle w:val="FootnoteReference"/>
          <w:rFonts w:eastAsia="Times New Roman"/>
          <w:sz w:val="22"/>
          <w:szCs w:val="22"/>
        </w:rPr>
        <w:footnoteReference w:id="32"/>
      </w:r>
    </w:p>
    <w:p w14:paraId="3FA24933" w14:textId="77777777" w:rsidR="00FB3856" w:rsidRDefault="00FB3856" w:rsidP="002F51ED">
      <w:pPr>
        <w:pStyle w:val="BodyText"/>
        <w:jc w:val="both"/>
        <w:rPr>
          <w:b/>
          <w:sz w:val="22"/>
          <w:szCs w:val="22"/>
        </w:rPr>
      </w:pPr>
      <w:r>
        <w:rPr>
          <w:b/>
          <w:sz w:val="22"/>
          <w:szCs w:val="22"/>
        </w:rPr>
        <w:t>Breaches of Human Rights and Equalities Laws</w:t>
      </w:r>
    </w:p>
    <w:p w14:paraId="4FDEF8F3" w14:textId="2BE80D69" w:rsidR="002F51ED" w:rsidRPr="006F3C96" w:rsidRDefault="002F51ED" w:rsidP="002F51ED">
      <w:pPr>
        <w:pStyle w:val="BodyText"/>
        <w:jc w:val="both"/>
        <w:rPr>
          <w:b/>
          <w:sz w:val="22"/>
          <w:szCs w:val="22"/>
        </w:rPr>
      </w:pPr>
      <w:r w:rsidRPr="006F3C96">
        <w:rPr>
          <w:b/>
          <w:sz w:val="22"/>
          <w:szCs w:val="22"/>
        </w:rPr>
        <w:t>Article 2</w:t>
      </w:r>
      <w:r w:rsidR="00E629E5">
        <w:rPr>
          <w:b/>
          <w:sz w:val="22"/>
          <w:szCs w:val="22"/>
        </w:rPr>
        <w:t xml:space="preserve"> of the Convention</w:t>
      </w:r>
    </w:p>
    <w:p w14:paraId="380170CC" w14:textId="02ED26CE" w:rsidR="002F51ED" w:rsidRPr="006F3C96" w:rsidRDefault="002F51ED" w:rsidP="002F51ED">
      <w:pPr>
        <w:pStyle w:val="BodyText"/>
        <w:jc w:val="both"/>
        <w:rPr>
          <w:sz w:val="22"/>
          <w:szCs w:val="22"/>
        </w:rPr>
      </w:pPr>
      <w:r w:rsidRPr="006F3C96">
        <w:rPr>
          <w:sz w:val="22"/>
          <w:szCs w:val="22"/>
        </w:rPr>
        <w:t xml:space="preserve">Article 2 </w:t>
      </w:r>
      <w:r w:rsidR="00FF6A64">
        <w:rPr>
          <w:sz w:val="22"/>
          <w:szCs w:val="22"/>
        </w:rPr>
        <w:t xml:space="preserve">of the Convention </w:t>
      </w:r>
      <w:r w:rsidRPr="006F3C96">
        <w:rPr>
          <w:sz w:val="22"/>
          <w:szCs w:val="22"/>
        </w:rPr>
        <w:t xml:space="preserve">obliges the State to refrain from depriving persons of life intentionally, but also imposes a positive obligation to fund life-saving treatments.  The FAD acknowledges that pembrolizumab meets NICE’s </w:t>
      </w:r>
      <w:r w:rsidR="00FB3856" w:rsidRPr="006F3C96">
        <w:rPr>
          <w:sz w:val="22"/>
          <w:szCs w:val="22"/>
        </w:rPr>
        <w:t>criteria</w:t>
      </w:r>
      <w:r w:rsidRPr="006F3C96">
        <w:rPr>
          <w:sz w:val="22"/>
          <w:szCs w:val="22"/>
        </w:rPr>
        <w:t xml:space="preserve"> to be considered a life-extending treatment at the end of life.</w:t>
      </w:r>
      <w:r w:rsidR="00665287">
        <w:rPr>
          <w:rStyle w:val="FootnoteReference"/>
          <w:sz w:val="22"/>
          <w:szCs w:val="22"/>
        </w:rPr>
        <w:footnoteReference w:id="33"/>
      </w:r>
      <w:r w:rsidRPr="006F3C96">
        <w:rPr>
          <w:sz w:val="22"/>
          <w:szCs w:val="22"/>
        </w:rPr>
        <w:t xml:space="preserve">  Article 2 of the </w:t>
      </w:r>
      <w:r w:rsidR="00601CE5">
        <w:rPr>
          <w:sz w:val="22"/>
          <w:szCs w:val="22"/>
        </w:rPr>
        <w:t>Convention</w:t>
      </w:r>
      <w:r w:rsidR="00601CE5" w:rsidRPr="006F3C96">
        <w:rPr>
          <w:sz w:val="22"/>
          <w:szCs w:val="22"/>
        </w:rPr>
        <w:t xml:space="preserve"> </w:t>
      </w:r>
      <w:r w:rsidRPr="006F3C96">
        <w:rPr>
          <w:sz w:val="22"/>
          <w:szCs w:val="22"/>
        </w:rPr>
        <w:t xml:space="preserve">is </w:t>
      </w:r>
      <w:r w:rsidR="00C7137C" w:rsidRPr="006F3C96">
        <w:rPr>
          <w:sz w:val="22"/>
          <w:szCs w:val="22"/>
        </w:rPr>
        <w:t xml:space="preserve">therefore </w:t>
      </w:r>
      <w:r w:rsidRPr="006F3C96">
        <w:rPr>
          <w:sz w:val="22"/>
          <w:szCs w:val="22"/>
        </w:rPr>
        <w:t xml:space="preserve">necessarily engaged.  </w:t>
      </w:r>
    </w:p>
    <w:p w14:paraId="2A5118E1" w14:textId="203E311C" w:rsidR="002F51ED" w:rsidRPr="006F3C96" w:rsidRDefault="009626F9" w:rsidP="002F51ED">
      <w:pPr>
        <w:pStyle w:val="BodyText"/>
        <w:jc w:val="both"/>
        <w:rPr>
          <w:sz w:val="22"/>
          <w:szCs w:val="22"/>
        </w:rPr>
      </w:pPr>
      <w:r w:rsidRPr="024B4842">
        <w:rPr>
          <w:sz w:val="22"/>
          <w:szCs w:val="22"/>
        </w:rPr>
        <w:t>MSD recogni</w:t>
      </w:r>
      <w:r w:rsidR="66D20055" w:rsidRPr="024B4842">
        <w:rPr>
          <w:sz w:val="22"/>
          <w:szCs w:val="22"/>
        </w:rPr>
        <w:t>s</w:t>
      </w:r>
      <w:r w:rsidR="002F51ED" w:rsidRPr="024B4842">
        <w:rPr>
          <w:sz w:val="22"/>
          <w:szCs w:val="22"/>
        </w:rPr>
        <w:t xml:space="preserve">es that public resources are finite, and that Article 2 does not impose an obligation on the State to provide unlimited resources for medical treatment.  However, </w:t>
      </w:r>
      <w:proofErr w:type="gramStart"/>
      <w:r w:rsidR="002F51ED" w:rsidRPr="024B4842">
        <w:rPr>
          <w:sz w:val="22"/>
          <w:szCs w:val="22"/>
        </w:rPr>
        <w:t>it is clear that pembrolizumab</w:t>
      </w:r>
      <w:proofErr w:type="gramEnd"/>
      <w:r w:rsidR="002F51ED" w:rsidRPr="024B4842">
        <w:rPr>
          <w:sz w:val="22"/>
          <w:szCs w:val="22"/>
        </w:rPr>
        <w:t xml:space="preserve"> is an exceptional, life-ext</w:t>
      </w:r>
      <w:r w:rsidR="00FB3856" w:rsidRPr="024B4842">
        <w:rPr>
          <w:sz w:val="22"/>
          <w:szCs w:val="22"/>
        </w:rPr>
        <w:t>ending treatment that clinicians clearly prefer to other treatments.</w:t>
      </w:r>
      <w:r w:rsidR="002F51ED" w:rsidRPr="024B4842">
        <w:rPr>
          <w:sz w:val="22"/>
          <w:szCs w:val="22"/>
        </w:rPr>
        <w:t xml:space="preserve">  At a minimum</w:t>
      </w:r>
      <w:r w:rsidR="00FB3856" w:rsidRPr="024B4842">
        <w:rPr>
          <w:sz w:val="22"/>
          <w:szCs w:val="22"/>
        </w:rPr>
        <w:t>,</w:t>
      </w:r>
      <w:r w:rsidR="002F51ED" w:rsidRPr="024B4842">
        <w:rPr>
          <w:sz w:val="22"/>
          <w:szCs w:val="22"/>
        </w:rPr>
        <w:t xml:space="preserve"> this requires NICE to </w:t>
      </w:r>
      <w:proofErr w:type="gramStart"/>
      <w:r w:rsidR="002F51ED" w:rsidRPr="024B4842">
        <w:rPr>
          <w:sz w:val="22"/>
          <w:szCs w:val="22"/>
        </w:rPr>
        <w:t xml:space="preserve">give </w:t>
      </w:r>
      <w:r w:rsidRPr="024B4842">
        <w:rPr>
          <w:sz w:val="22"/>
          <w:szCs w:val="22"/>
        </w:rPr>
        <w:t xml:space="preserve">consideration </w:t>
      </w:r>
      <w:r w:rsidR="002F51ED" w:rsidRPr="024B4842">
        <w:rPr>
          <w:sz w:val="22"/>
          <w:szCs w:val="22"/>
        </w:rPr>
        <w:t>to</w:t>
      </w:r>
      <w:proofErr w:type="gramEnd"/>
      <w:r w:rsidR="002F51ED" w:rsidRPr="024B4842">
        <w:rPr>
          <w:sz w:val="22"/>
          <w:szCs w:val="22"/>
        </w:rPr>
        <w:t xml:space="preserve"> </w:t>
      </w:r>
      <w:r w:rsidRPr="024B4842">
        <w:rPr>
          <w:sz w:val="22"/>
          <w:szCs w:val="22"/>
        </w:rPr>
        <w:t>evidence that is material to the survival prospects of patients</w:t>
      </w:r>
      <w:r w:rsidR="002F51ED" w:rsidRPr="024B4842">
        <w:rPr>
          <w:sz w:val="22"/>
          <w:szCs w:val="22"/>
        </w:rPr>
        <w:t xml:space="preserve"> </w:t>
      </w:r>
      <w:r w:rsidRPr="024B4842">
        <w:rPr>
          <w:sz w:val="22"/>
          <w:szCs w:val="22"/>
        </w:rPr>
        <w:t xml:space="preserve">and take decisions </w:t>
      </w:r>
      <w:r w:rsidR="002F51ED" w:rsidRPr="024B4842">
        <w:rPr>
          <w:sz w:val="22"/>
          <w:szCs w:val="22"/>
        </w:rPr>
        <w:t xml:space="preserve">in a manner proportionate to the life-extending nature of the product.  </w:t>
      </w:r>
      <w:r w:rsidR="001B2A38" w:rsidRPr="024B4842">
        <w:rPr>
          <w:sz w:val="22"/>
          <w:szCs w:val="22"/>
        </w:rPr>
        <w:t>We submit t</w:t>
      </w:r>
      <w:r w:rsidR="009E5677" w:rsidRPr="024B4842">
        <w:rPr>
          <w:sz w:val="22"/>
          <w:szCs w:val="22"/>
        </w:rPr>
        <w:t xml:space="preserve">he Appraisal Committee </w:t>
      </w:r>
      <w:r w:rsidR="001B2A38" w:rsidRPr="024B4842">
        <w:rPr>
          <w:sz w:val="22"/>
          <w:szCs w:val="22"/>
        </w:rPr>
        <w:t>ha</w:t>
      </w:r>
      <w:r w:rsidR="00D2004B">
        <w:rPr>
          <w:sz w:val="22"/>
          <w:szCs w:val="22"/>
        </w:rPr>
        <w:t>s not done this (or, if it has, it has done so erroneously</w:t>
      </w:r>
      <w:r w:rsidR="001B2A38" w:rsidRPr="024B4842">
        <w:rPr>
          <w:sz w:val="22"/>
          <w:szCs w:val="22"/>
        </w:rPr>
        <w:t>)</w:t>
      </w:r>
      <w:r w:rsidR="002F51ED" w:rsidRPr="024B4842">
        <w:rPr>
          <w:sz w:val="22"/>
          <w:szCs w:val="22"/>
        </w:rPr>
        <w:t xml:space="preserve">, in particular by </w:t>
      </w:r>
      <w:r w:rsidR="00DC7B1E" w:rsidRPr="024B4842">
        <w:rPr>
          <w:sz w:val="22"/>
          <w:szCs w:val="22"/>
        </w:rPr>
        <w:t xml:space="preserve">reaching </w:t>
      </w:r>
      <w:r w:rsidR="002F51ED" w:rsidRPr="024B4842">
        <w:rPr>
          <w:sz w:val="22"/>
          <w:szCs w:val="22"/>
        </w:rPr>
        <w:t xml:space="preserve">unjustified and overly conservative </w:t>
      </w:r>
      <w:r w:rsidR="00DC7B1E" w:rsidRPr="024B4842">
        <w:rPr>
          <w:sz w:val="22"/>
          <w:szCs w:val="22"/>
        </w:rPr>
        <w:t xml:space="preserve">conclusions concerning </w:t>
      </w:r>
      <w:r w:rsidR="002F51ED" w:rsidRPr="024B4842">
        <w:rPr>
          <w:sz w:val="22"/>
          <w:szCs w:val="22"/>
        </w:rPr>
        <w:t>the</w:t>
      </w:r>
      <w:r w:rsidR="004B635C" w:rsidRPr="024B4842">
        <w:rPr>
          <w:sz w:val="22"/>
          <w:szCs w:val="22"/>
        </w:rPr>
        <w:t xml:space="preserve"> likely</w:t>
      </w:r>
      <w:r w:rsidR="002F51ED" w:rsidRPr="024B4842">
        <w:rPr>
          <w:sz w:val="22"/>
          <w:szCs w:val="22"/>
        </w:rPr>
        <w:t xml:space="preserve"> treatment effect of </w:t>
      </w:r>
      <w:r w:rsidR="005A3E3E" w:rsidRPr="024B4842">
        <w:rPr>
          <w:sz w:val="22"/>
          <w:szCs w:val="22"/>
        </w:rPr>
        <w:t xml:space="preserve">pembrolizumab </w:t>
      </w:r>
      <w:r w:rsidR="002F51ED" w:rsidRPr="024B4842">
        <w:rPr>
          <w:sz w:val="22"/>
          <w:szCs w:val="22"/>
        </w:rPr>
        <w:t xml:space="preserve">and </w:t>
      </w:r>
      <w:r w:rsidR="004B635C" w:rsidRPr="024B4842">
        <w:rPr>
          <w:sz w:val="22"/>
          <w:szCs w:val="22"/>
        </w:rPr>
        <w:t xml:space="preserve">subjecting pembrolizumab to </w:t>
      </w:r>
      <w:r w:rsidR="00DC7B1E" w:rsidRPr="024B4842">
        <w:rPr>
          <w:sz w:val="22"/>
          <w:szCs w:val="22"/>
        </w:rPr>
        <w:t xml:space="preserve">standards </w:t>
      </w:r>
      <w:r w:rsidR="004B635C" w:rsidRPr="024B4842">
        <w:rPr>
          <w:sz w:val="22"/>
          <w:szCs w:val="22"/>
        </w:rPr>
        <w:t xml:space="preserve">that were not applied in analogous cases </w:t>
      </w:r>
      <w:r w:rsidR="005A3E3E" w:rsidRPr="024B4842">
        <w:rPr>
          <w:sz w:val="22"/>
          <w:szCs w:val="22"/>
        </w:rPr>
        <w:t xml:space="preserve">(discussed in Grounds </w:t>
      </w:r>
      <w:r w:rsidR="0026176F" w:rsidRPr="00A17675">
        <w:rPr>
          <w:sz w:val="22"/>
          <w:szCs w:val="22"/>
        </w:rPr>
        <w:t>2.1</w:t>
      </w:r>
      <w:r w:rsidR="005A3E3E" w:rsidRPr="00F674E2">
        <w:rPr>
          <w:sz w:val="22"/>
          <w:szCs w:val="22"/>
        </w:rPr>
        <w:t xml:space="preserve"> and </w:t>
      </w:r>
      <w:r w:rsidR="0026176F" w:rsidRPr="00A17675">
        <w:rPr>
          <w:sz w:val="22"/>
          <w:szCs w:val="22"/>
        </w:rPr>
        <w:t>1a.1</w:t>
      </w:r>
      <w:r w:rsidR="005A3E3E" w:rsidRPr="024B4842">
        <w:rPr>
          <w:sz w:val="22"/>
          <w:szCs w:val="22"/>
        </w:rPr>
        <w:t xml:space="preserve"> respectively)</w:t>
      </w:r>
      <w:r w:rsidR="002F51ED" w:rsidRPr="024B4842">
        <w:rPr>
          <w:sz w:val="22"/>
          <w:szCs w:val="22"/>
        </w:rPr>
        <w:t xml:space="preserve">.  </w:t>
      </w:r>
    </w:p>
    <w:p w14:paraId="04343041" w14:textId="5D54B68F" w:rsidR="002F51ED" w:rsidRPr="006F3C96" w:rsidRDefault="005A3E3E" w:rsidP="002F51ED">
      <w:pPr>
        <w:pStyle w:val="BodyText"/>
        <w:jc w:val="both"/>
        <w:rPr>
          <w:sz w:val="22"/>
          <w:szCs w:val="22"/>
        </w:rPr>
      </w:pPr>
      <w:r>
        <w:rPr>
          <w:sz w:val="22"/>
          <w:szCs w:val="22"/>
        </w:rPr>
        <w:t xml:space="preserve">The </w:t>
      </w:r>
      <w:r w:rsidR="00E91DCD">
        <w:rPr>
          <w:sz w:val="22"/>
          <w:szCs w:val="22"/>
        </w:rPr>
        <w:t xml:space="preserve">direct </w:t>
      </w:r>
      <w:r>
        <w:rPr>
          <w:sz w:val="22"/>
          <w:szCs w:val="22"/>
        </w:rPr>
        <w:t>consequence</w:t>
      </w:r>
      <w:r w:rsidR="002F51ED" w:rsidRPr="006F3C96">
        <w:rPr>
          <w:sz w:val="22"/>
          <w:szCs w:val="22"/>
        </w:rPr>
        <w:t xml:space="preserve"> of NICE’s</w:t>
      </w:r>
      <w:r w:rsidR="00487228">
        <w:rPr>
          <w:sz w:val="22"/>
          <w:szCs w:val="22"/>
        </w:rPr>
        <w:t xml:space="preserve"> decision to</w:t>
      </w:r>
      <w:r w:rsidR="002F51ED" w:rsidRPr="006F3C96">
        <w:rPr>
          <w:sz w:val="22"/>
          <w:szCs w:val="22"/>
        </w:rPr>
        <w:t xml:space="preserve"> not recommend pembrolizumab is</w:t>
      </w:r>
      <w:r w:rsidR="00906785">
        <w:rPr>
          <w:sz w:val="22"/>
          <w:szCs w:val="22"/>
        </w:rPr>
        <w:t xml:space="preserve"> that</w:t>
      </w:r>
      <w:r>
        <w:rPr>
          <w:sz w:val="22"/>
          <w:szCs w:val="22"/>
        </w:rPr>
        <w:t xml:space="preserve">, </w:t>
      </w:r>
      <w:r w:rsidR="00906785">
        <w:rPr>
          <w:sz w:val="22"/>
          <w:szCs w:val="22"/>
        </w:rPr>
        <w:t xml:space="preserve">after </w:t>
      </w:r>
      <w:r>
        <w:rPr>
          <w:sz w:val="22"/>
          <w:szCs w:val="22"/>
        </w:rPr>
        <w:t>the failure of chemotherapy,</w:t>
      </w:r>
      <w:r w:rsidR="002F51ED" w:rsidRPr="006F3C96">
        <w:rPr>
          <w:sz w:val="22"/>
          <w:szCs w:val="22"/>
        </w:rPr>
        <w:t xml:space="preserve"> the </w:t>
      </w:r>
      <w:r>
        <w:rPr>
          <w:sz w:val="22"/>
          <w:szCs w:val="22"/>
        </w:rPr>
        <w:t xml:space="preserve">only checkpoint inhibitor available to </w:t>
      </w:r>
      <w:r w:rsidR="002F51ED" w:rsidRPr="006F3C96">
        <w:rPr>
          <w:sz w:val="22"/>
          <w:szCs w:val="22"/>
        </w:rPr>
        <w:t xml:space="preserve">patients </w:t>
      </w:r>
      <w:r>
        <w:rPr>
          <w:sz w:val="22"/>
          <w:szCs w:val="22"/>
        </w:rPr>
        <w:t xml:space="preserve">in this indication is one that clinicians do not prefer because it is not supported by </w:t>
      </w:r>
      <w:r w:rsidR="00E91DCD">
        <w:rPr>
          <w:sz w:val="22"/>
          <w:szCs w:val="22"/>
        </w:rPr>
        <w:t>the highest quality (level one)</w:t>
      </w:r>
      <w:r>
        <w:rPr>
          <w:sz w:val="22"/>
          <w:szCs w:val="22"/>
        </w:rPr>
        <w:t xml:space="preserve"> study data.  </w:t>
      </w:r>
      <w:r w:rsidR="009136C2">
        <w:rPr>
          <w:sz w:val="22"/>
          <w:szCs w:val="22"/>
        </w:rPr>
        <w:t xml:space="preserve">We appreciate that this does not </w:t>
      </w:r>
      <w:r w:rsidR="009E5677">
        <w:rPr>
          <w:sz w:val="22"/>
          <w:szCs w:val="22"/>
        </w:rPr>
        <w:t xml:space="preserve">automatically </w:t>
      </w:r>
      <w:r w:rsidR="009136C2">
        <w:rPr>
          <w:sz w:val="22"/>
          <w:szCs w:val="22"/>
        </w:rPr>
        <w:t xml:space="preserve">mean that </w:t>
      </w:r>
      <w:r w:rsidR="009E5677">
        <w:rPr>
          <w:sz w:val="22"/>
          <w:szCs w:val="22"/>
        </w:rPr>
        <w:t xml:space="preserve">NICE has infringed </w:t>
      </w:r>
      <w:r w:rsidR="009136C2">
        <w:rPr>
          <w:sz w:val="22"/>
          <w:szCs w:val="22"/>
        </w:rPr>
        <w:t xml:space="preserve">the right to life </w:t>
      </w:r>
      <w:r w:rsidR="00110EED">
        <w:rPr>
          <w:sz w:val="22"/>
          <w:szCs w:val="22"/>
        </w:rPr>
        <w:t>by not recommending pembrolizumab, but</w:t>
      </w:r>
      <w:r w:rsidR="009136C2">
        <w:rPr>
          <w:sz w:val="22"/>
          <w:szCs w:val="22"/>
        </w:rPr>
        <w:t xml:space="preserve"> there is a</w:t>
      </w:r>
      <w:r w:rsidR="00906785">
        <w:rPr>
          <w:sz w:val="22"/>
          <w:szCs w:val="22"/>
        </w:rPr>
        <w:t xml:space="preserve"> real</w:t>
      </w:r>
      <w:r w:rsidR="009136C2">
        <w:rPr>
          <w:sz w:val="22"/>
          <w:szCs w:val="22"/>
        </w:rPr>
        <w:t xml:space="preserve"> risk it could be</w:t>
      </w:r>
      <w:r w:rsidR="00906785">
        <w:rPr>
          <w:sz w:val="22"/>
          <w:szCs w:val="22"/>
        </w:rPr>
        <w:t>.  Where such a risk exists,</w:t>
      </w:r>
      <w:r w:rsidR="00E3701C">
        <w:rPr>
          <w:sz w:val="22"/>
          <w:szCs w:val="22"/>
        </w:rPr>
        <w:t xml:space="preserve"> </w:t>
      </w:r>
      <w:r w:rsidR="009136C2">
        <w:rPr>
          <w:sz w:val="22"/>
          <w:szCs w:val="22"/>
        </w:rPr>
        <w:t xml:space="preserve">authorities </w:t>
      </w:r>
      <w:r w:rsidR="00906785">
        <w:rPr>
          <w:sz w:val="22"/>
          <w:szCs w:val="22"/>
        </w:rPr>
        <w:t>must c</w:t>
      </w:r>
      <w:r w:rsidR="00E3701C">
        <w:rPr>
          <w:sz w:val="22"/>
          <w:szCs w:val="22"/>
        </w:rPr>
        <w:t xml:space="preserve">onsider </w:t>
      </w:r>
      <w:r w:rsidR="00906785">
        <w:rPr>
          <w:sz w:val="22"/>
          <w:szCs w:val="22"/>
        </w:rPr>
        <w:t xml:space="preserve">the impact of their decisions </w:t>
      </w:r>
      <w:r w:rsidR="00E3701C">
        <w:rPr>
          <w:sz w:val="22"/>
          <w:szCs w:val="22"/>
        </w:rPr>
        <w:t>and, where</w:t>
      </w:r>
      <w:r w:rsidR="00906785">
        <w:rPr>
          <w:sz w:val="22"/>
          <w:szCs w:val="22"/>
        </w:rPr>
        <w:t>ver</w:t>
      </w:r>
      <w:r w:rsidR="00E3701C">
        <w:rPr>
          <w:sz w:val="22"/>
          <w:szCs w:val="22"/>
        </w:rPr>
        <w:t xml:space="preserve"> possible, </w:t>
      </w:r>
      <w:r w:rsidR="009136C2">
        <w:rPr>
          <w:sz w:val="22"/>
          <w:szCs w:val="22"/>
        </w:rPr>
        <w:t>make reasonable adjustments</w:t>
      </w:r>
      <w:r w:rsidR="00E3701C">
        <w:rPr>
          <w:sz w:val="22"/>
          <w:szCs w:val="22"/>
        </w:rPr>
        <w:t xml:space="preserve"> to avoid</w:t>
      </w:r>
      <w:r w:rsidR="00110EED">
        <w:rPr>
          <w:sz w:val="22"/>
          <w:szCs w:val="22"/>
        </w:rPr>
        <w:t xml:space="preserve"> an infringement of rights</w:t>
      </w:r>
      <w:r w:rsidR="00E3701C">
        <w:rPr>
          <w:sz w:val="22"/>
          <w:szCs w:val="22"/>
        </w:rPr>
        <w:t xml:space="preserve">.  There is no evidence that the Appraisal Committee has met this expectation.  </w:t>
      </w:r>
      <w:r w:rsidR="00427EC4">
        <w:rPr>
          <w:sz w:val="22"/>
          <w:szCs w:val="22"/>
        </w:rPr>
        <w:t>In fact,</w:t>
      </w:r>
      <w:r w:rsidR="00906785">
        <w:rPr>
          <w:sz w:val="22"/>
          <w:szCs w:val="22"/>
        </w:rPr>
        <w:t xml:space="preserve"> by subjecting pembrolizumab to unattainable </w:t>
      </w:r>
      <w:r w:rsidR="00427EC4">
        <w:rPr>
          <w:sz w:val="22"/>
          <w:szCs w:val="22"/>
        </w:rPr>
        <w:t xml:space="preserve">standards, </w:t>
      </w:r>
      <w:r w:rsidR="00906785">
        <w:rPr>
          <w:sz w:val="22"/>
          <w:szCs w:val="22"/>
        </w:rPr>
        <w:t xml:space="preserve">far more onerous </w:t>
      </w:r>
      <w:r w:rsidR="00427EC4">
        <w:rPr>
          <w:sz w:val="22"/>
          <w:szCs w:val="22"/>
        </w:rPr>
        <w:t xml:space="preserve">than those it applied in TA525, NICE has effectively increased </w:t>
      </w:r>
      <w:r w:rsidR="00110EED">
        <w:rPr>
          <w:sz w:val="22"/>
          <w:szCs w:val="22"/>
        </w:rPr>
        <w:t xml:space="preserve">rather than decreased </w:t>
      </w:r>
      <w:r w:rsidR="00427EC4">
        <w:rPr>
          <w:sz w:val="22"/>
          <w:szCs w:val="22"/>
        </w:rPr>
        <w:t>the risk of</w:t>
      </w:r>
      <w:r w:rsidR="001B2A38">
        <w:rPr>
          <w:sz w:val="22"/>
          <w:szCs w:val="22"/>
        </w:rPr>
        <w:t xml:space="preserve"> infringing Article 2 of the Convention</w:t>
      </w:r>
      <w:r w:rsidR="00427EC4">
        <w:rPr>
          <w:sz w:val="22"/>
          <w:szCs w:val="22"/>
        </w:rPr>
        <w:t>.</w:t>
      </w:r>
      <w:r w:rsidR="009E5677">
        <w:rPr>
          <w:sz w:val="22"/>
          <w:szCs w:val="22"/>
        </w:rPr>
        <w:t xml:space="preserve">  In our submission, Article</w:t>
      </w:r>
      <w:r w:rsidR="007F003E">
        <w:rPr>
          <w:sz w:val="22"/>
          <w:szCs w:val="22"/>
        </w:rPr>
        <w:t xml:space="preserve"> 2</w:t>
      </w:r>
      <w:r w:rsidR="009E5677">
        <w:rPr>
          <w:sz w:val="22"/>
          <w:szCs w:val="22"/>
        </w:rPr>
        <w:t xml:space="preserve"> required it to do </w:t>
      </w:r>
      <w:r w:rsidR="001B2A38">
        <w:rPr>
          <w:sz w:val="22"/>
          <w:szCs w:val="22"/>
        </w:rPr>
        <w:t xml:space="preserve">precisely </w:t>
      </w:r>
      <w:r w:rsidR="009E5677">
        <w:rPr>
          <w:sz w:val="22"/>
          <w:szCs w:val="22"/>
        </w:rPr>
        <w:t>the opposite.</w:t>
      </w:r>
    </w:p>
    <w:p w14:paraId="27662C76" w14:textId="1AF4EDCB" w:rsidR="002F51ED" w:rsidRPr="006F3C96" w:rsidRDefault="002F51ED" w:rsidP="002F51ED">
      <w:pPr>
        <w:pStyle w:val="BodyText"/>
        <w:jc w:val="both"/>
        <w:rPr>
          <w:rFonts w:eastAsia="Times New Roman"/>
          <w:b/>
          <w:sz w:val="22"/>
          <w:szCs w:val="22"/>
        </w:rPr>
      </w:pPr>
      <w:r w:rsidRPr="006F3C96">
        <w:rPr>
          <w:rFonts w:eastAsia="Times New Roman"/>
          <w:b/>
          <w:sz w:val="22"/>
          <w:szCs w:val="22"/>
        </w:rPr>
        <w:t xml:space="preserve">Article 14 of the </w:t>
      </w:r>
      <w:r w:rsidR="00EE4144">
        <w:rPr>
          <w:rFonts w:eastAsia="Times New Roman"/>
          <w:b/>
          <w:sz w:val="22"/>
          <w:szCs w:val="22"/>
        </w:rPr>
        <w:t>Convention</w:t>
      </w:r>
      <w:r w:rsidR="00EE4144" w:rsidRPr="006F3C96">
        <w:rPr>
          <w:rFonts w:eastAsia="Times New Roman"/>
          <w:b/>
          <w:sz w:val="22"/>
          <w:szCs w:val="22"/>
        </w:rPr>
        <w:t xml:space="preserve"> </w:t>
      </w:r>
      <w:r w:rsidRPr="006F3C96">
        <w:rPr>
          <w:rFonts w:eastAsia="Times New Roman"/>
          <w:b/>
          <w:sz w:val="22"/>
          <w:szCs w:val="22"/>
        </w:rPr>
        <w:t>and the Equality Act</w:t>
      </w:r>
    </w:p>
    <w:p w14:paraId="15C47726" w14:textId="41E10BFE" w:rsidR="002F51ED" w:rsidRPr="006F3C96" w:rsidRDefault="002F51ED" w:rsidP="002F51ED">
      <w:pPr>
        <w:pStyle w:val="BodyText"/>
        <w:jc w:val="both"/>
        <w:rPr>
          <w:rFonts w:eastAsia="Times New Roman"/>
          <w:sz w:val="22"/>
          <w:szCs w:val="22"/>
        </w:rPr>
      </w:pPr>
      <w:r w:rsidRPr="006F3C96">
        <w:rPr>
          <w:rFonts w:eastAsia="Times New Roman"/>
          <w:sz w:val="22"/>
          <w:szCs w:val="22"/>
        </w:rPr>
        <w:t xml:space="preserve">Article 14 prohibits discrimination in the enjoyment of other </w:t>
      </w:r>
      <w:r w:rsidR="00B44040">
        <w:rPr>
          <w:rFonts w:eastAsia="Times New Roman"/>
          <w:sz w:val="22"/>
          <w:szCs w:val="22"/>
        </w:rPr>
        <w:t>Convention</w:t>
      </w:r>
      <w:r w:rsidR="00B44040" w:rsidRPr="006F3C96">
        <w:rPr>
          <w:rFonts w:eastAsia="Times New Roman"/>
          <w:sz w:val="22"/>
          <w:szCs w:val="22"/>
        </w:rPr>
        <w:t xml:space="preserve"> </w:t>
      </w:r>
      <w:r w:rsidRPr="006F3C96">
        <w:rPr>
          <w:rFonts w:eastAsia="Times New Roman"/>
          <w:sz w:val="22"/>
          <w:szCs w:val="22"/>
        </w:rPr>
        <w:t xml:space="preserve">rights.  Accordingly, for Article 14 to be engaged, one of the other </w:t>
      </w:r>
      <w:r w:rsidR="00B44040">
        <w:rPr>
          <w:rFonts w:eastAsia="Times New Roman"/>
          <w:sz w:val="22"/>
          <w:szCs w:val="22"/>
        </w:rPr>
        <w:t>Convention</w:t>
      </w:r>
      <w:r w:rsidR="00B44040" w:rsidRPr="006F3C96">
        <w:rPr>
          <w:rFonts w:eastAsia="Times New Roman"/>
          <w:sz w:val="22"/>
          <w:szCs w:val="22"/>
        </w:rPr>
        <w:t xml:space="preserve"> </w:t>
      </w:r>
      <w:r w:rsidRPr="006F3C96">
        <w:rPr>
          <w:rFonts w:eastAsia="Times New Roman"/>
          <w:sz w:val="22"/>
          <w:szCs w:val="22"/>
        </w:rPr>
        <w:t xml:space="preserve">rights must be applicable (although not necessarily infringed).  For the reasons set out above, Article 2 </w:t>
      </w:r>
      <w:r w:rsidR="0021340D">
        <w:rPr>
          <w:rFonts w:eastAsia="Times New Roman"/>
          <w:sz w:val="22"/>
          <w:szCs w:val="22"/>
        </w:rPr>
        <w:t xml:space="preserve">is </w:t>
      </w:r>
      <w:r w:rsidRPr="006F3C96">
        <w:rPr>
          <w:rFonts w:eastAsia="Times New Roman"/>
          <w:sz w:val="22"/>
          <w:szCs w:val="22"/>
        </w:rPr>
        <w:t xml:space="preserve">engaged, such that Article 14 applies.  </w:t>
      </w:r>
      <w:r w:rsidRPr="006F3C96">
        <w:rPr>
          <w:sz w:val="22"/>
          <w:szCs w:val="22"/>
        </w:rPr>
        <w:t>Where a public body, such as NICE</w:t>
      </w:r>
      <w:proofErr w:type="gramStart"/>
      <w:r w:rsidRPr="006F3C96">
        <w:rPr>
          <w:sz w:val="22"/>
          <w:szCs w:val="22"/>
        </w:rPr>
        <w:t>, is providing a public service, it</w:t>
      </w:r>
      <w:proofErr w:type="gramEnd"/>
      <w:r w:rsidRPr="006F3C96">
        <w:rPr>
          <w:sz w:val="22"/>
          <w:szCs w:val="22"/>
        </w:rPr>
        <w:t xml:space="preserve"> is bound by Article 14 to ensure that it does so in a non-discriminatory fashion</w:t>
      </w:r>
      <w:r w:rsidR="00B13847">
        <w:rPr>
          <w:sz w:val="22"/>
          <w:szCs w:val="22"/>
        </w:rPr>
        <w:t>.</w:t>
      </w:r>
      <w:r w:rsidR="00B13847">
        <w:rPr>
          <w:rStyle w:val="FootnoteReference"/>
          <w:sz w:val="22"/>
          <w:szCs w:val="22"/>
        </w:rPr>
        <w:footnoteReference w:id="34"/>
      </w:r>
    </w:p>
    <w:p w14:paraId="2D1B9CD6" w14:textId="06E761B4" w:rsidR="002F51ED" w:rsidRPr="006F3C96" w:rsidRDefault="002F51ED" w:rsidP="002F51ED">
      <w:pPr>
        <w:pStyle w:val="BodyText"/>
        <w:jc w:val="both"/>
        <w:rPr>
          <w:rFonts w:eastAsia="Times New Roman"/>
          <w:sz w:val="22"/>
          <w:szCs w:val="22"/>
        </w:rPr>
      </w:pPr>
      <w:r w:rsidRPr="024B4842">
        <w:rPr>
          <w:rFonts w:eastAsia="Times New Roman"/>
          <w:sz w:val="22"/>
          <w:szCs w:val="22"/>
        </w:rPr>
        <w:t xml:space="preserve">Similarly, </w:t>
      </w:r>
      <w:r w:rsidR="00DB6DC2" w:rsidRPr="024B4842">
        <w:rPr>
          <w:rFonts w:eastAsia="Times New Roman"/>
          <w:sz w:val="22"/>
          <w:szCs w:val="22"/>
        </w:rPr>
        <w:t>s</w:t>
      </w:r>
      <w:r w:rsidRPr="024B4842">
        <w:rPr>
          <w:rFonts w:eastAsia="Times New Roman"/>
          <w:sz w:val="22"/>
          <w:szCs w:val="22"/>
        </w:rPr>
        <w:t xml:space="preserve">ection 149 of the Equality Act also obliges NICE to have due regard to the need to eliminate discrimination. </w:t>
      </w:r>
      <w:r w:rsidR="00902C93">
        <w:rPr>
          <w:rFonts w:eastAsia="Times New Roman"/>
          <w:sz w:val="22"/>
          <w:szCs w:val="22"/>
        </w:rPr>
        <w:t xml:space="preserve"> </w:t>
      </w:r>
      <w:r w:rsidRPr="024B4842">
        <w:rPr>
          <w:rFonts w:eastAsia="Times New Roman"/>
          <w:sz w:val="22"/>
          <w:szCs w:val="22"/>
        </w:rPr>
        <w:t xml:space="preserve">In </w:t>
      </w:r>
      <w:r w:rsidRPr="024B4842">
        <w:rPr>
          <w:rFonts w:eastAsia="Times New Roman"/>
          <w:i/>
          <w:iCs/>
          <w:sz w:val="22"/>
          <w:szCs w:val="22"/>
        </w:rPr>
        <w:t xml:space="preserve">R (on the application of Rahman) v Birmingham City Council [2011] EWHC 944 </w:t>
      </w:r>
      <w:r w:rsidRPr="024B4842">
        <w:rPr>
          <w:rFonts w:eastAsia="Times New Roman"/>
          <w:sz w:val="22"/>
          <w:szCs w:val="22"/>
        </w:rPr>
        <w:t xml:space="preserve">(Admin), the domestic courts noted that limited financial resources did not excuse compliance with the public sector equality duty and indeed there was much to be said for the proposition that in </w:t>
      </w:r>
      <w:r w:rsidR="5E13F497" w:rsidRPr="024B4842">
        <w:rPr>
          <w:rFonts w:eastAsia="Times New Roman"/>
          <w:sz w:val="22"/>
          <w:szCs w:val="22"/>
        </w:rPr>
        <w:t xml:space="preserve">economically constrained </w:t>
      </w:r>
      <w:r w:rsidRPr="024B4842">
        <w:rPr>
          <w:rFonts w:eastAsia="Times New Roman"/>
          <w:sz w:val="22"/>
          <w:szCs w:val="22"/>
        </w:rPr>
        <w:t xml:space="preserve">times the need for clear, well-informed decision-making when assessing the impacts on less-advantaged members of society was as great, if not greater.  </w:t>
      </w:r>
    </w:p>
    <w:p w14:paraId="562C6C11" w14:textId="2651313E" w:rsidR="0021340D" w:rsidRDefault="002F51ED" w:rsidP="002F51ED">
      <w:pPr>
        <w:pStyle w:val="BodyText"/>
        <w:jc w:val="both"/>
        <w:rPr>
          <w:rFonts w:eastAsia="Times New Roman"/>
          <w:sz w:val="22"/>
          <w:szCs w:val="22"/>
        </w:rPr>
      </w:pPr>
      <w:r w:rsidRPr="006F3C96">
        <w:rPr>
          <w:rFonts w:eastAsia="Times New Roman"/>
          <w:sz w:val="22"/>
          <w:szCs w:val="22"/>
        </w:rPr>
        <w:lastRenderedPageBreak/>
        <w:t>In this case</w:t>
      </w:r>
      <w:r w:rsidR="00940645">
        <w:rPr>
          <w:rFonts w:eastAsia="Times New Roman"/>
          <w:sz w:val="22"/>
          <w:szCs w:val="22"/>
        </w:rPr>
        <w:t xml:space="preserve">, </w:t>
      </w:r>
      <w:r w:rsidR="0021340D">
        <w:rPr>
          <w:rFonts w:eastAsia="Times New Roman"/>
          <w:sz w:val="22"/>
          <w:szCs w:val="22"/>
        </w:rPr>
        <w:t xml:space="preserve">the Appraisal Committee’s approach </w:t>
      </w:r>
      <w:r w:rsidR="00940645">
        <w:rPr>
          <w:rFonts w:eastAsia="Times New Roman"/>
          <w:sz w:val="22"/>
          <w:szCs w:val="22"/>
        </w:rPr>
        <w:t xml:space="preserve">prejudices </w:t>
      </w:r>
      <w:r w:rsidR="0021340D">
        <w:rPr>
          <w:rFonts w:eastAsia="Times New Roman"/>
          <w:sz w:val="22"/>
          <w:szCs w:val="22"/>
        </w:rPr>
        <w:t xml:space="preserve">against </w:t>
      </w:r>
      <w:r w:rsidRPr="006F3C96">
        <w:rPr>
          <w:rFonts w:eastAsia="Times New Roman"/>
          <w:sz w:val="22"/>
          <w:szCs w:val="22"/>
        </w:rPr>
        <w:t>patients with locally advanced or metastatic urothelial carcinoma</w:t>
      </w:r>
      <w:r w:rsidR="0021340D">
        <w:rPr>
          <w:rFonts w:eastAsia="Times New Roman"/>
          <w:sz w:val="22"/>
          <w:szCs w:val="22"/>
        </w:rPr>
        <w:t>, by taking an approach that is both procedurally unfair, unre</w:t>
      </w:r>
      <w:r w:rsidR="00940645">
        <w:rPr>
          <w:rFonts w:eastAsia="Times New Roman"/>
          <w:sz w:val="22"/>
          <w:szCs w:val="22"/>
        </w:rPr>
        <w:t xml:space="preserve">asonable and inconsistent, and is therefore discriminatory both </w:t>
      </w:r>
      <w:r w:rsidR="0021340D">
        <w:rPr>
          <w:rFonts w:eastAsia="Times New Roman"/>
          <w:sz w:val="22"/>
          <w:szCs w:val="22"/>
        </w:rPr>
        <w:t xml:space="preserve">against pembrolizumab and patients who would benefit from it.  </w:t>
      </w:r>
    </w:p>
    <w:p w14:paraId="175C81C8" w14:textId="759BF3C1" w:rsidR="002F51ED" w:rsidRPr="006F3C96" w:rsidRDefault="0021340D" w:rsidP="002F51ED">
      <w:pPr>
        <w:pStyle w:val="BodyText"/>
        <w:jc w:val="both"/>
        <w:rPr>
          <w:rFonts w:eastAsia="Times New Roman"/>
          <w:sz w:val="22"/>
          <w:szCs w:val="22"/>
        </w:rPr>
      </w:pPr>
      <w:r>
        <w:rPr>
          <w:rFonts w:eastAsia="Times New Roman"/>
          <w:sz w:val="22"/>
          <w:szCs w:val="22"/>
        </w:rPr>
        <w:t>Moreover, these patients</w:t>
      </w:r>
      <w:r w:rsidR="002F51ED" w:rsidRPr="006F3C96">
        <w:rPr>
          <w:rFonts w:eastAsia="Times New Roman"/>
          <w:sz w:val="22"/>
          <w:szCs w:val="22"/>
        </w:rPr>
        <w:t xml:space="preserve"> are older and may have comorbidities.</w:t>
      </w:r>
      <w:r w:rsidR="00665287">
        <w:rPr>
          <w:rStyle w:val="FootnoteReference"/>
          <w:rFonts w:eastAsia="Times New Roman"/>
          <w:sz w:val="22"/>
          <w:szCs w:val="22"/>
        </w:rPr>
        <w:footnoteReference w:id="35"/>
      </w:r>
      <w:r w:rsidR="002F51ED" w:rsidRPr="006F3C96">
        <w:rPr>
          <w:rFonts w:eastAsia="Times New Roman"/>
          <w:sz w:val="22"/>
          <w:szCs w:val="22"/>
        </w:rPr>
        <w:t xml:space="preserve">  NICE is under a legal and moral duty to ensure that its decision is clear and well-informed and does not discriminate against vulnerable members of the patient </w:t>
      </w:r>
      <w:r w:rsidR="00940645">
        <w:rPr>
          <w:rFonts w:eastAsia="Times New Roman"/>
          <w:sz w:val="22"/>
          <w:szCs w:val="22"/>
        </w:rPr>
        <w:t>population.  We submit</w:t>
      </w:r>
      <w:r w:rsidR="00AB57C9">
        <w:rPr>
          <w:rFonts w:eastAsia="Times New Roman"/>
          <w:sz w:val="22"/>
          <w:szCs w:val="22"/>
        </w:rPr>
        <w:t xml:space="preserve"> that</w:t>
      </w:r>
      <w:r w:rsidR="00940645">
        <w:rPr>
          <w:rFonts w:eastAsia="Times New Roman"/>
          <w:sz w:val="22"/>
          <w:szCs w:val="22"/>
        </w:rPr>
        <w:t xml:space="preserve"> NICE has not fulfilled </w:t>
      </w:r>
      <w:r w:rsidR="002F51ED" w:rsidRPr="006F3C96">
        <w:rPr>
          <w:rFonts w:eastAsia="Times New Roman"/>
          <w:sz w:val="22"/>
          <w:szCs w:val="22"/>
        </w:rPr>
        <w:t>this duty.  It has been unable to objectively justify its asses</w:t>
      </w:r>
      <w:r w:rsidR="00B13847">
        <w:rPr>
          <w:rFonts w:eastAsia="Times New Roman"/>
          <w:sz w:val="22"/>
          <w:szCs w:val="22"/>
        </w:rPr>
        <w:t>sment of the evidence and its rejection of many of the fundamental elements of the company’s evidence</w:t>
      </w:r>
      <w:r w:rsidR="00DA7704">
        <w:rPr>
          <w:rFonts w:eastAsia="Times New Roman"/>
          <w:sz w:val="22"/>
          <w:szCs w:val="22"/>
        </w:rPr>
        <w:t>.</w:t>
      </w:r>
      <w:r w:rsidR="00B13847">
        <w:rPr>
          <w:rFonts w:eastAsia="Times New Roman"/>
          <w:sz w:val="22"/>
          <w:szCs w:val="22"/>
        </w:rPr>
        <w:t xml:space="preserve"> </w:t>
      </w:r>
      <w:r w:rsidR="00902C93">
        <w:rPr>
          <w:rFonts w:eastAsia="Times New Roman"/>
          <w:sz w:val="22"/>
          <w:szCs w:val="22"/>
        </w:rPr>
        <w:t xml:space="preserve"> </w:t>
      </w:r>
      <w:r w:rsidR="002F51ED" w:rsidRPr="006F3C96">
        <w:rPr>
          <w:rFonts w:eastAsia="Times New Roman"/>
          <w:sz w:val="22"/>
          <w:szCs w:val="22"/>
        </w:rPr>
        <w:t xml:space="preserve">Such an approach inevitably </w:t>
      </w:r>
      <w:r w:rsidR="00940645">
        <w:rPr>
          <w:rFonts w:eastAsia="Times New Roman"/>
          <w:sz w:val="22"/>
          <w:szCs w:val="22"/>
        </w:rPr>
        <w:t xml:space="preserve">disadvantages </w:t>
      </w:r>
      <w:r w:rsidR="002F51ED" w:rsidRPr="006F3C96">
        <w:rPr>
          <w:rFonts w:eastAsia="Times New Roman"/>
          <w:sz w:val="22"/>
          <w:szCs w:val="22"/>
        </w:rPr>
        <w:t>against patients who could stand to benefit from pembro</w:t>
      </w:r>
      <w:r w:rsidR="004E5DF8">
        <w:rPr>
          <w:rFonts w:eastAsia="Times New Roman"/>
          <w:sz w:val="22"/>
          <w:szCs w:val="22"/>
        </w:rPr>
        <w:t>lizumab (particularly over atezo</w:t>
      </w:r>
      <w:r w:rsidR="002F51ED" w:rsidRPr="006F3C96">
        <w:rPr>
          <w:rFonts w:eastAsia="Times New Roman"/>
          <w:sz w:val="22"/>
          <w:szCs w:val="22"/>
        </w:rPr>
        <w:t xml:space="preserve">lizumab), who are likely to be older, vulnerable people.  The decision amounts to a breach of Article 14 and </w:t>
      </w:r>
      <w:r w:rsidR="009815C2">
        <w:rPr>
          <w:rFonts w:eastAsia="Times New Roman"/>
          <w:sz w:val="22"/>
          <w:szCs w:val="22"/>
        </w:rPr>
        <w:t>s</w:t>
      </w:r>
      <w:r w:rsidR="002F51ED" w:rsidRPr="006F3C96">
        <w:rPr>
          <w:rFonts w:eastAsia="Times New Roman"/>
          <w:sz w:val="22"/>
          <w:szCs w:val="22"/>
        </w:rPr>
        <w:t xml:space="preserve">ection 149 of the Equality Act.  </w:t>
      </w:r>
    </w:p>
    <w:p w14:paraId="52EB866F" w14:textId="13E1D19E" w:rsidR="00A5265B" w:rsidRDefault="002F51ED" w:rsidP="0030122D">
      <w:pPr>
        <w:pStyle w:val="BodyText"/>
        <w:jc w:val="both"/>
        <w:rPr>
          <w:rFonts w:eastAsia="Times New Roman"/>
          <w:sz w:val="22"/>
          <w:szCs w:val="22"/>
        </w:rPr>
      </w:pPr>
      <w:r w:rsidRPr="006F3C96">
        <w:rPr>
          <w:rFonts w:eastAsia="Times New Roman"/>
          <w:sz w:val="22"/>
          <w:szCs w:val="22"/>
        </w:rPr>
        <w:t xml:space="preserve">In addition, although NICE is entitled to identify clinical priorities and allocate its limited funds accordingly, there are no objective or reasonably justifiable reasons for failing to consider the available data properly or consistently.  Accordingly, the decision is not a proportionate means of achieving a legitimate aim and, in addition to </w:t>
      </w:r>
      <w:r w:rsidR="00940645">
        <w:rPr>
          <w:rFonts w:eastAsia="Times New Roman"/>
          <w:sz w:val="22"/>
          <w:szCs w:val="22"/>
        </w:rPr>
        <w:t>the above breaches, infringes</w:t>
      </w:r>
      <w:r w:rsidRPr="006F3C96">
        <w:rPr>
          <w:rFonts w:eastAsia="Times New Roman"/>
          <w:sz w:val="22"/>
          <w:szCs w:val="22"/>
        </w:rPr>
        <w:t xml:space="preserve"> </w:t>
      </w:r>
      <w:r w:rsidR="009815C2">
        <w:rPr>
          <w:rFonts w:eastAsia="Times New Roman"/>
          <w:sz w:val="22"/>
          <w:szCs w:val="22"/>
        </w:rPr>
        <w:t>s</w:t>
      </w:r>
      <w:r w:rsidRPr="006F3C96">
        <w:rPr>
          <w:rFonts w:eastAsia="Times New Roman"/>
          <w:sz w:val="22"/>
          <w:szCs w:val="22"/>
        </w:rPr>
        <w:t>ection 29(6) of the Equality Act.</w:t>
      </w:r>
    </w:p>
    <w:p w14:paraId="540A2848" w14:textId="2DFE16B9" w:rsidR="007C6328" w:rsidRPr="003647EC" w:rsidRDefault="00DE08C2" w:rsidP="003647EC">
      <w:pPr>
        <w:pStyle w:val="Heading1"/>
        <w:numPr>
          <w:ilvl w:val="0"/>
          <w:numId w:val="0"/>
        </w:numPr>
        <w:ind w:left="720" w:hanging="720"/>
        <w:rPr>
          <w:b/>
        </w:rPr>
      </w:pPr>
      <w:r w:rsidRPr="003647EC">
        <w:rPr>
          <w:b/>
        </w:rPr>
        <w:t>Further</w:t>
      </w:r>
      <w:r w:rsidR="007C6328" w:rsidRPr="003647EC">
        <w:rPr>
          <w:b/>
        </w:rPr>
        <w:t xml:space="preserve"> Grounds for Appeal</w:t>
      </w:r>
    </w:p>
    <w:p w14:paraId="49C4AD69" w14:textId="52C3ECB9" w:rsidR="007C6328" w:rsidRPr="003820FD" w:rsidRDefault="00DE08C2" w:rsidP="003820FD">
      <w:pPr>
        <w:pStyle w:val="BodyText"/>
        <w:rPr>
          <w:rFonts w:eastAsia="Times New Roman"/>
          <w:sz w:val="22"/>
          <w:szCs w:val="22"/>
        </w:rPr>
      </w:pPr>
      <w:r>
        <w:rPr>
          <w:rFonts w:eastAsia="Times New Roman"/>
          <w:sz w:val="22"/>
          <w:szCs w:val="22"/>
        </w:rPr>
        <w:t xml:space="preserve">As discussed above, the clear inter-relationship between the prior grounds for appeal meant that it made considerable sense to approach them in order.  There are, however, </w:t>
      </w:r>
      <w:proofErr w:type="gramStart"/>
      <w:r>
        <w:rPr>
          <w:rFonts w:eastAsia="Times New Roman"/>
          <w:sz w:val="22"/>
          <w:szCs w:val="22"/>
        </w:rPr>
        <w:t>a number of</w:t>
      </w:r>
      <w:proofErr w:type="gramEnd"/>
      <w:r>
        <w:rPr>
          <w:rFonts w:eastAsia="Times New Roman"/>
          <w:sz w:val="22"/>
          <w:szCs w:val="22"/>
        </w:rPr>
        <w:t xml:space="preserve"> other grounds.</w:t>
      </w:r>
    </w:p>
    <w:p w14:paraId="3FF228FE" w14:textId="69D892D1" w:rsidR="007C6328" w:rsidRPr="00B70ACA" w:rsidRDefault="007C6328" w:rsidP="007C6328">
      <w:pPr>
        <w:pStyle w:val="Heading2"/>
        <w:numPr>
          <w:ilvl w:val="0"/>
          <w:numId w:val="0"/>
        </w:numPr>
        <w:ind w:left="1440"/>
        <w:jc w:val="both"/>
        <w:rPr>
          <w:rFonts w:ascii="Times New Roman" w:hAnsi="Times New Roman" w:cs="Times New Roman"/>
          <w:b/>
          <w:sz w:val="22"/>
          <w:szCs w:val="22"/>
        </w:rPr>
      </w:pPr>
      <w:r>
        <w:rPr>
          <w:rFonts w:ascii="Times New Roman" w:hAnsi="Times New Roman" w:cs="Times New Roman"/>
          <w:b/>
          <w:sz w:val="22"/>
          <w:szCs w:val="22"/>
        </w:rPr>
        <w:t>Ground 1</w:t>
      </w:r>
      <w:r w:rsidRPr="00B70ACA">
        <w:rPr>
          <w:rFonts w:ascii="Times New Roman" w:hAnsi="Times New Roman" w:cs="Times New Roman"/>
          <w:b/>
          <w:sz w:val="22"/>
          <w:szCs w:val="22"/>
        </w:rPr>
        <w:t>a.</w:t>
      </w:r>
      <w:r>
        <w:rPr>
          <w:rFonts w:ascii="Times New Roman" w:hAnsi="Times New Roman" w:cs="Times New Roman"/>
          <w:b/>
          <w:sz w:val="22"/>
          <w:szCs w:val="22"/>
        </w:rPr>
        <w:t>2</w:t>
      </w:r>
      <w:r w:rsidRPr="00B70ACA">
        <w:rPr>
          <w:rFonts w:ascii="Times New Roman" w:hAnsi="Times New Roman" w:cs="Times New Roman"/>
          <w:b/>
          <w:sz w:val="22"/>
          <w:szCs w:val="22"/>
        </w:rPr>
        <w:t xml:space="preserve"> – It is procedurally unfair to have introduced paragraph 3.19 (“</w:t>
      </w:r>
      <w:r w:rsidRPr="00B70ACA">
        <w:rPr>
          <w:rFonts w:ascii="Times New Roman" w:hAnsi="Times New Roman" w:cs="Times New Roman"/>
          <w:b/>
          <w:i/>
          <w:sz w:val="22"/>
          <w:szCs w:val="22"/>
        </w:rPr>
        <w:t>The costs of pembrolizumab are likely underestimated in the model</w:t>
      </w:r>
      <w:r w:rsidRPr="00B70ACA">
        <w:rPr>
          <w:rFonts w:ascii="Times New Roman" w:hAnsi="Times New Roman" w:cs="Times New Roman"/>
          <w:b/>
          <w:sz w:val="22"/>
          <w:szCs w:val="22"/>
        </w:rPr>
        <w:t>”) in the FAD at a very late stage, without explanation or any opportunity to respond</w:t>
      </w:r>
    </w:p>
    <w:p w14:paraId="27060982" w14:textId="51B54F10" w:rsidR="000C494A" w:rsidRDefault="007C6328" w:rsidP="00932B93">
      <w:pPr>
        <w:jc w:val="both"/>
        <w:rPr>
          <w:rFonts w:ascii="Times New Roman" w:hAnsi="Times New Roman" w:cs="Times New Roman"/>
          <w:sz w:val="22"/>
          <w:szCs w:val="22"/>
        </w:rPr>
      </w:pPr>
      <w:r w:rsidRPr="00D57189">
        <w:rPr>
          <w:rFonts w:ascii="Times New Roman" w:hAnsi="Times New Roman" w:cs="Times New Roman"/>
          <w:sz w:val="22"/>
          <w:szCs w:val="22"/>
        </w:rPr>
        <w:t xml:space="preserve">Paragraph 3.19 of the FAD asserts that the costs of pembrolizumab are likely underestimated in MSD’s modelling because a small proportion of patients in KEYNOTE-045 restarted treatment </w:t>
      </w:r>
      <w:r w:rsidR="00487228">
        <w:rPr>
          <w:rFonts w:ascii="Times New Roman" w:hAnsi="Times New Roman" w:cs="Times New Roman"/>
          <w:sz w:val="22"/>
          <w:szCs w:val="22"/>
        </w:rPr>
        <w:t xml:space="preserve">after having previously stopped therapy following a </w:t>
      </w:r>
      <w:r w:rsidR="00487228" w:rsidRPr="00487228">
        <w:rPr>
          <w:rFonts w:ascii="Times New Roman" w:hAnsi="Times New Roman" w:cs="Times New Roman"/>
          <w:sz w:val="22"/>
          <w:szCs w:val="22"/>
        </w:rPr>
        <w:t xml:space="preserve">complete response or </w:t>
      </w:r>
      <w:r w:rsidR="00487228">
        <w:rPr>
          <w:rFonts w:ascii="Times New Roman" w:hAnsi="Times New Roman" w:cs="Times New Roman"/>
          <w:sz w:val="22"/>
          <w:szCs w:val="22"/>
        </w:rPr>
        <w:t>completing 2-years’ worth of treatment</w:t>
      </w:r>
      <w:r w:rsidRPr="00D57189">
        <w:rPr>
          <w:rFonts w:ascii="Times New Roman" w:hAnsi="Times New Roman" w:cs="Times New Roman"/>
          <w:sz w:val="22"/>
          <w:szCs w:val="22"/>
        </w:rPr>
        <w:t xml:space="preserve">.  This introduces a new point into the Committee’s evaluation.  </w:t>
      </w:r>
      <w:r w:rsidR="004867C4">
        <w:rPr>
          <w:rFonts w:ascii="Times New Roman" w:hAnsi="Times New Roman" w:cs="Times New Roman"/>
          <w:sz w:val="22"/>
          <w:szCs w:val="22"/>
        </w:rPr>
        <w:t>This issue was raised unexpectedly at the second committee meeting; t</w:t>
      </w:r>
      <w:r w:rsidR="004867C4" w:rsidRPr="00D57189">
        <w:rPr>
          <w:rFonts w:ascii="Times New Roman" w:hAnsi="Times New Roman" w:cs="Times New Roman"/>
          <w:sz w:val="22"/>
          <w:szCs w:val="22"/>
        </w:rPr>
        <w:t xml:space="preserve">he Appraisal Committee </w:t>
      </w:r>
      <w:r w:rsidR="004867C4">
        <w:rPr>
          <w:rFonts w:ascii="Times New Roman" w:hAnsi="Times New Roman" w:cs="Times New Roman"/>
          <w:sz w:val="22"/>
          <w:szCs w:val="22"/>
        </w:rPr>
        <w:t>had</w:t>
      </w:r>
      <w:r w:rsidR="004867C4" w:rsidRPr="00D57189">
        <w:rPr>
          <w:rFonts w:ascii="Times New Roman" w:hAnsi="Times New Roman" w:cs="Times New Roman"/>
          <w:sz w:val="22"/>
          <w:szCs w:val="22"/>
        </w:rPr>
        <w:t xml:space="preserve"> not raise</w:t>
      </w:r>
      <w:r w:rsidR="004867C4">
        <w:rPr>
          <w:rFonts w:ascii="Times New Roman" w:hAnsi="Times New Roman" w:cs="Times New Roman"/>
          <w:sz w:val="22"/>
          <w:szCs w:val="22"/>
        </w:rPr>
        <w:t>d</w:t>
      </w:r>
      <w:r w:rsidR="004867C4" w:rsidRPr="00D57189">
        <w:rPr>
          <w:rFonts w:ascii="Times New Roman" w:hAnsi="Times New Roman" w:cs="Times New Roman"/>
          <w:sz w:val="22"/>
          <w:szCs w:val="22"/>
        </w:rPr>
        <w:t xml:space="preserve"> this issue in the </w:t>
      </w:r>
      <w:proofErr w:type="gramStart"/>
      <w:r w:rsidR="004867C4" w:rsidRPr="00D57189">
        <w:rPr>
          <w:rFonts w:ascii="Times New Roman" w:hAnsi="Times New Roman" w:cs="Times New Roman"/>
          <w:sz w:val="22"/>
          <w:szCs w:val="22"/>
        </w:rPr>
        <w:t>ACD</w:t>
      </w:r>
      <w:proofErr w:type="gramEnd"/>
      <w:r w:rsidR="004867C4" w:rsidRPr="00D57189">
        <w:rPr>
          <w:rFonts w:ascii="Times New Roman" w:hAnsi="Times New Roman" w:cs="Times New Roman"/>
          <w:sz w:val="22"/>
          <w:szCs w:val="22"/>
        </w:rPr>
        <w:t xml:space="preserve"> and the company </w:t>
      </w:r>
      <w:r w:rsidR="004867C4">
        <w:rPr>
          <w:rFonts w:ascii="Times New Roman" w:hAnsi="Times New Roman" w:cs="Times New Roman"/>
          <w:sz w:val="22"/>
          <w:szCs w:val="22"/>
        </w:rPr>
        <w:t xml:space="preserve">did </w:t>
      </w:r>
      <w:r w:rsidR="004867C4" w:rsidRPr="00D57189">
        <w:rPr>
          <w:rFonts w:ascii="Times New Roman" w:hAnsi="Times New Roman" w:cs="Times New Roman"/>
          <w:sz w:val="22"/>
          <w:szCs w:val="22"/>
        </w:rPr>
        <w:t>not ha</w:t>
      </w:r>
      <w:r w:rsidR="004867C4">
        <w:rPr>
          <w:rFonts w:ascii="Times New Roman" w:hAnsi="Times New Roman" w:cs="Times New Roman"/>
          <w:sz w:val="22"/>
          <w:szCs w:val="22"/>
        </w:rPr>
        <w:t xml:space="preserve">ve </w:t>
      </w:r>
      <w:r w:rsidR="004867C4" w:rsidRPr="00D57189">
        <w:rPr>
          <w:rFonts w:ascii="Times New Roman" w:hAnsi="Times New Roman" w:cs="Times New Roman"/>
          <w:sz w:val="22"/>
          <w:szCs w:val="22"/>
        </w:rPr>
        <w:t>the opportunity to formally respond.</w:t>
      </w:r>
      <w:r w:rsidRPr="00D57189">
        <w:rPr>
          <w:rFonts w:ascii="Times New Roman" w:hAnsi="Times New Roman" w:cs="Times New Roman"/>
          <w:sz w:val="22"/>
          <w:szCs w:val="22"/>
        </w:rPr>
        <w:t xml:space="preserve">  The company</w:t>
      </w:r>
      <w:r>
        <w:rPr>
          <w:rFonts w:ascii="Times New Roman" w:hAnsi="Times New Roman" w:cs="Times New Roman"/>
          <w:sz w:val="22"/>
          <w:szCs w:val="22"/>
        </w:rPr>
        <w:t>’s</w:t>
      </w:r>
      <w:r w:rsidRPr="00D57189">
        <w:rPr>
          <w:rFonts w:ascii="Times New Roman" w:hAnsi="Times New Roman" w:cs="Times New Roman"/>
          <w:sz w:val="22"/>
          <w:szCs w:val="22"/>
        </w:rPr>
        <w:t xml:space="preserve"> explanations cited in paragraph</w:t>
      </w:r>
      <w:r>
        <w:rPr>
          <w:rFonts w:ascii="Times New Roman" w:hAnsi="Times New Roman" w:cs="Times New Roman"/>
          <w:sz w:val="22"/>
          <w:szCs w:val="22"/>
        </w:rPr>
        <w:t xml:space="preserve"> 3.</w:t>
      </w:r>
      <w:r w:rsidR="00487228">
        <w:rPr>
          <w:rFonts w:ascii="Times New Roman" w:hAnsi="Times New Roman" w:cs="Times New Roman"/>
          <w:sz w:val="22"/>
          <w:szCs w:val="22"/>
        </w:rPr>
        <w:t>1</w:t>
      </w:r>
      <w:r>
        <w:rPr>
          <w:rFonts w:ascii="Times New Roman" w:hAnsi="Times New Roman" w:cs="Times New Roman"/>
          <w:sz w:val="22"/>
          <w:szCs w:val="22"/>
        </w:rPr>
        <w:t>9 of the FAD</w:t>
      </w:r>
      <w:r w:rsidRPr="00D57189">
        <w:rPr>
          <w:rFonts w:ascii="Times New Roman" w:hAnsi="Times New Roman" w:cs="Times New Roman"/>
          <w:sz w:val="22"/>
          <w:szCs w:val="22"/>
        </w:rPr>
        <w:t xml:space="preserve"> come from a wider discussion of treatment benefit and are unrelated to the cost of the product and its effect on cost-effectiveness.  The Appraisal Commit</w:t>
      </w:r>
      <w:r>
        <w:rPr>
          <w:rFonts w:ascii="Times New Roman" w:hAnsi="Times New Roman" w:cs="Times New Roman"/>
          <w:sz w:val="22"/>
          <w:szCs w:val="22"/>
        </w:rPr>
        <w:t>tee has not explained this last-minute</w:t>
      </w:r>
      <w:r w:rsidRPr="00D57189">
        <w:rPr>
          <w:rFonts w:ascii="Times New Roman" w:hAnsi="Times New Roman" w:cs="Times New Roman"/>
          <w:sz w:val="22"/>
          <w:szCs w:val="22"/>
        </w:rPr>
        <w:t xml:space="preserve"> </w:t>
      </w:r>
      <w:r>
        <w:rPr>
          <w:rFonts w:ascii="Times New Roman" w:hAnsi="Times New Roman" w:cs="Times New Roman"/>
          <w:sz w:val="22"/>
          <w:szCs w:val="22"/>
        </w:rPr>
        <w:t xml:space="preserve">addition </w:t>
      </w:r>
      <w:r w:rsidRPr="00D57189">
        <w:rPr>
          <w:rFonts w:ascii="Times New Roman" w:hAnsi="Times New Roman" w:cs="Times New Roman"/>
          <w:sz w:val="22"/>
          <w:szCs w:val="22"/>
        </w:rPr>
        <w:t>and it is unclear what weight the Committee gave to</w:t>
      </w:r>
      <w:r>
        <w:rPr>
          <w:rFonts w:ascii="Times New Roman" w:hAnsi="Times New Roman" w:cs="Times New Roman"/>
          <w:sz w:val="22"/>
          <w:szCs w:val="22"/>
        </w:rPr>
        <w:t xml:space="preserve"> it in</w:t>
      </w:r>
      <w:r w:rsidRPr="00D57189">
        <w:rPr>
          <w:rFonts w:ascii="Times New Roman" w:hAnsi="Times New Roman" w:cs="Times New Roman"/>
          <w:sz w:val="22"/>
          <w:szCs w:val="22"/>
        </w:rPr>
        <w:t xml:space="preserve"> its overall assessment.  However, it </w:t>
      </w:r>
      <w:r>
        <w:rPr>
          <w:rFonts w:ascii="Times New Roman" w:hAnsi="Times New Roman" w:cs="Times New Roman"/>
          <w:sz w:val="22"/>
          <w:szCs w:val="22"/>
        </w:rPr>
        <w:t xml:space="preserve">clearly had some impact on </w:t>
      </w:r>
      <w:r w:rsidRPr="00D57189">
        <w:rPr>
          <w:rFonts w:ascii="Times New Roman" w:hAnsi="Times New Roman" w:cs="Times New Roman"/>
          <w:sz w:val="22"/>
          <w:szCs w:val="22"/>
        </w:rPr>
        <w:t xml:space="preserve">cost-effectiveness, </w:t>
      </w:r>
      <w:r w:rsidR="002A46BD">
        <w:rPr>
          <w:rFonts w:ascii="Times New Roman" w:hAnsi="Times New Roman" w:cs="Times New Roman"/>
          <w:sz w:val="22"/>
          <w:szCs w:val="22"/>
        </w:rPr>
        <w:t xml:space="preserve">since </w:t>
      </w:r>
      <w:r>
        <w:rPr>
          <w:rFonts w:ascii="Times New Roman" w:hAnsi="Times New Roman" w:cs="Times New Roman"/>
          <w:sz w:val="22"/>
          <w:szCs w:val="22"/>
        </w:rPr>
        <w:t xml:space="preserve">the FAD </w:t>
      </w:r>
      <w:r w:rsidRPr="00D57189">
        <w:rPr>
          <w:rFonts w:ascii="Times New Roman" w:hAnsi="Times New Roman" w:cs="Times New Roman"/>
          <w:sz w:val="22"/>
          <w:szCs w:val="22"/>
        </w:rPr>
        <w:t>concludes that the added cost would “increase the ICERs</w:t>
      </w:r>
      <w:r w:rsidR="006948A1">
        <w:rPr>
          <w:rFonts w:ascii="Times New Roman" w:hAnsi="Times New Roman" w:cs="Times New Roman"/>
          <w:sz w:val="22"/>
          <w:szCs w:val="22"/>
        </w:rPr>
        <w:t>.</w:t>
      </w:r>
      <w:r w:rsidRPr="00D57189">
        <w:rPr>
          <w:rFonts w:ascii="Times New Roman" w:hAnsi="Times New Roman" w:cs="Times New Roman"/>
          <w:sz w:val="22"/>
          <w:szCs w:val="22"/>
        </w:rPr>
        <w:t>”</w:t>
      </w:r>
      <w:r w:rsidR="00665287">
        <w:rPr>
          <w:rStyle w:val="FootnoteReference"/>
          <w:rFonts w:ascii="Times New Roman" w:hAnsi="Times New Roman" w:cs="Times New Roman"/>
          <w:sz w:val="22"/>
          <w:szCs w:val="22"/>
        </w:rPr>
        <w:footnoteReference w:id="36"/>
      </w:r>
      <w:r w:rsidRPr="00D57189">
        <w:rPr>
          <w:rFonts w:ascii="Times New Roman" w:hAnsi="Times New Roman" w:cs="Times New Roman"/>
          <w:sz w:val="22"/>
          <w:szCs w:val="22"/>
        </w:rPr>
        <w:t xml:space="preserve">  The introduction of a material point at such a late stage, without explanation or </w:t>
      </w:r>
      <w:r>
        <w:rPr>
          <w:rFonts w:ascii="Times New Roman" w:hAnsi="Times New Roman" w:cs="Times New Roman"/>
          <w:sz w:val="22"/>
          <w:szCs w:val="22"/>
        </w:rPr>
        <w:t>the right to reply</w:t>
      </w:r>
      <w:r w:rsidR="00487228">
        <w:rPr>
          <w:rFonts w:ascii="Times New Roman" w:hAnsi="Times New Roman" w:cs="Times New Roman"/>
          <w:sz w:val="22"/>
          <w:szCs w:val="22"/>
        </w:rPr>
        <w:t xml:space="preserve"> during a formal consultation phase of the appraisal process</w:t>
      </w:r>
      <w:r>
        <w:rPr>
          <w:rFonts w:ascii="Times New Roman" w:hAnsi="Times New Roman" w:cs="Times New Roman"/>
          <w:sz w:val="22"/>
          <w:szCs w:val="22"/>
        </w:rPr>
        <w:t xml:space="preserve"> </w:t>
      </w:r>
      <w:r w:rsidRPr="00D57189">
        <w:rPr>
          <w:rFonts w:ascii="Times New Roman" w:hAnsi="Times New Roman" w:cs="Times New Roman"/>
          <w:sz w:val="22"/>
          <w:szCs w:val="22"/>
        </w:rPr>
        <w:t xml:space="preserve">is self-evidently unfair.  </w:t>
      </w:r>
    </w:p>
    <w:p w14:paraId="61A8FE15" w14:textId="77777777" w:rsidR="00932B93" w:rsidRPr="00932B93" w:rsidRDefault="00932B93" w:rsidP="00932B93">
      <w:pPr>
        <w:jc w:val="both"/>
        <w:rPr>
          <w:rFonts w:ascii="Times New Roman" w:hAnsi="Times New Roman" w:cs="Times New Roman"/>
          <w:sz w:val="22"/>
          <w:szCs w:val="22"/>
        </w:rPr>
      </w:pPr>
    </w:p>
    <w:p w14:paraId="309133AE" w14:textId="415F6525" w:rsidR="00170813" w:rsidRPr="004F01A3" w:rsidRDefault="004F01A3" w:rsidP="00647161">
      <w:pPr>
        <w:pStyle w:val="Heading2"/>
        <w:numPr>
          <w:ilvl w:val="0"/>
          <w:numId w:val="0"/>
        </w:numPr>
        <w:ind w:left="1440"/>
        <w:jc w:val="both"/>
        <w:rPr>
          <w:rFonts w:ascii="Times New Roman" w:hAnsi="Times New Roman" w:cs="Times New Roman"/>
          <w:b/>
          <w:sz w:val="22"/>
          <w:szCs w:val="22"/>
        </w:rPr>
      </w:pPr>
      <w:r>
        <w:rPr>
          <w:rFonts w:ascii="Times New Roman" w:hAnsi="Times New Roman" w:cs="Times New Roman"/>
          <w:b/>
          <w:sz w:val="22"/>
          <w:szCs w:val="22"/>
        </w:rPr>
        <w:t>Ground 2.</w:t>
      </w:r>
      <w:r w:rsidR="00DE08C2">
        <w:rPr>
          <w:rFonts w:ascii="Times New Roman" w:hAnsi="Times New Roman" w:cs="Times New Roman"/>
          <w:b/>
          <w:sz w:val="22"/>
          <w:szCs w:val="22"/>
        </w:rPr>
        <w:t xml:space="preserve">4 </w:t>
      </w:r>
      <w:r w:rsidR="005814BD">
        <w:rPr>
          <w:rFonts w:ascii="Times New Roman" w:hAnsi="Times New Roman" w:cs="Times New Roman"/>
          <w:b/>
          <w:sz w:val="22"/>
          <w:szCs w:val="22"/>
        </w:rPr>
        <w:t>–</w:t>
      </w:r>
      <w:r>
        <w:rPr>
          <w:rFonts w:ascii="Times New Roman" w:hAnsi="Times New Roman" w:cs="Times New Roman"/>
          <w:b/>
          <w:sz w:val="22"/>
          <w:szCs w:val="22"/>
        </w:rPr>
        <w:t xml:space="preserve"> </w:t>
      </w:r>
      <w:r w:rsidR="00170813" w:rsidRPr="004F01A3">
        <w:rPr>
          <w:rFonts w:ascii="Times New Roman" w:hAnsi="Times New Roman" w:cs="Times New Roman"/>
          <w:b/>
          <w:sz w:val="22"/>
          <w:szCs w:val="22"/>
        </w:rPr>
        <w:t>The statement that “</w:t>
      </w:r>
      <w:r w:rsidR="00170813" w:rsidRPr="004F01A3">
        <w:rPr>
          <w:rFonts w:ascii="Times New Roman" w:hAnsi="Times New Roman" w:cs="Times New Roman"/>
          <w:b/>
          <w:i/>
          <w:sz w:val="22"/>
          <w:szCs w:val="22"/>
        </w:rPr>
        <w:t>the costs of pembrolizumab are likely underestimated in the model</w:t>
      </w:r>
      <w:r w:rsidR="00170813" w:rsidRPr="004F01A3">
        <w:rPr>
          <w:rFonts w:ascii="Times New Roman" w:hAnsi="Times New Roman" w:cs="Times New Roman"/>
          <w:b/>
          <w:sz w:val="22"/>
          <w:szCs w:val="22"/>
        </w:rPr>
        <w:t xml:space="preserve">” lacks meaningful explanation </w:t>
      </w:r>
      <w:r w:rsidR="00DE08C2">
        <w:rPr>
          <w:rFonts w:ascii="Times New Roman" w:hAnsi="Times New Roman" w:cs="Times New Roman"/>
          <w:b/>
          <w:sz w:val="22"/>
          <w:szCs w:val="22"/>
        </w:rPr>
        <w:t xml:space="preserve">and evidence </w:t>
      </w:r>
      <w:r w:rsidR="00170813" w:rsidRPr="004F01A3">
        <w:rPr>
          <w:rFonts w:ascii="Times New Roman" w:hAnsi="Times New Roman" w:cs="Times New Roman"/>
          <w:b/>
          <w:sz w:val="22"/>
          <w:szCs w:val="22"/>
        </w:rPr>
        <w:t xml:space="preserve">and it is unreasonable to have taken it into account for the purposes </w:t>
      </w:r>
      <w:r w:rsidR="001A0879" w:rsidRPr="004F01A3">
        <w:rPr>
          <w:rFonts w:ascii="Times New Roman" w:hAnsi="Times New Roman" w:cs="Times New Roman"/>
          <w:b/>
          <w:sz w:val="22"/>
          <w:szCs w:val="22"/>
        </w:rPr>
        <w:t>of assessing cost-effectiveness</w:t>
      </w:r>
    </w:p>
    <w:p w14:paraId="4D786E81" w14:textId="7AE32A3F" w:rsidR="00170813" w:rsidRPr="00D57189" w:rsidRDefault="00170813" w:rsidP="00170813">
      <w:pPr>
        <w:pStyle w:val="BodyText"/>
        <w:jc w:val="both"/>
        <w:rPr>
          <w:rFonts w:ascii="Times New Roman" w:hAnsi="Times New Roman" w:cs="Times New Roman"/>
          <w:sz w:val="22"/>
          <w:szCs w:val="22"/>
        </w:rPr>
      </w:pPr>
      <w:r w:rsidRPr="00D57189">
        <w:rPr>
          <w:rFonts w:ascii="Times New Roman" w:hAnsi="Times New Roman" w:cs="Times New Roman"/>
          <w:sz w:val="22"/>
          <w:szCs w:val="22"/>
        </w:rPr>
        <w:t>Grou</w:t>
      </w:r>
      <w:r w:rsidRPr="00B060AB">
        <w:rPr>
          <w:rFonts w:ascii="Times New Roman" w:hAnsi="Times New Roman" w:cs="Times New Roman"/>
          <w:sz w:val="22"/>
          <w:szCs w:val="22"/>
        </w:rPr>
        <w:t xml:space="preserve">nd </w:t>
      </w:r>
      <w:r w:rsidRPr="00A17675">
        <w:rPr>
          <w:rFonts w:ascii="Times New Roman" w:hAnsi="Times New Roman" w:cs="Times New Roman"/>
          <w:sz w:val="22"/>
          <w:szCs w:val="22"/>
        </w:rPr>
        <w:t>1a.</w:t>
      </w:r>
      <w:r w:rsidR="00DE08C2" w:rsidRPr="00A17675">
        <w:rPr>
          <w:rFonts w:ascii="Times New Roman" w:hAnsi="Times New Roman" w:cs="Times New Roman"/>
          <w:sz w:val="22"/>
          <w:szCs w:val="22"/>
        </w:rPr>
        <w:t>2</w:t>
      </w:r>
      <w:r w:rsidR="0080717D">
        <w:rPr>
          <w:rFonts w:ascii="Times New Roman" w:hAnsi="Times New Roman" w:cs="Times New Roman"/>
          <w:sz w:val="22"/>
          <w:szCs w:val="22"/>
        </w:rPr>
        <w:t xml:space="preserve"> </w:t>
      </w:r>
      <w:r w:rsidRPr="00D57189">
        <w:rPr>
          <w:rFonts w:ascii="Times New Roman" w:hAnsi="Times New Roman" w:cs="Times New Roman"/>
          <w:sz w:val="22"/>
          <w:szCs w:val="22"/>
        </w:rPr>
        <w:t xml:space="preserve">addresses how this issue was introduced at the last minute.  In addition, we question </w:t>
      </w:r>
      <w:r w:rsidR="00F5094A">
        <w:rPr>
          <w:rFonts w:ascii="Times New Roman" w:hAnsi="Times New Roman" w:cs="Times New Roman"/>
          <w:sz w:val="22"/>
          <w:szCs w:val="22"/>
        </w:rPr>
        <w:t xml:space="preserve">the </w:t>
      </w:r>
      <w:r w:rsidRPr="00D57189">
        <w:rPr>
          <w:rFonts w:ascii="Times New Roman" w:hAnsi="Times New Roman" w:cs="Times New Roman"/>
          <w:sz w:val="22"/>
          <w:szCs w:val="22"/>
        </w:rPr>
        <w:t xml:space="preserve">appropriateness of </w:t>
      </w:r>
      <w:r w:rsidR="00647161">
        <w:rPr>
          <w:rFonts w:ascii="Times New Roman" w:hAnsi="Times New Roman" w:cs="Times New Roman"/>
          <w:sz w:val="22"/>
          <w:szCs w:val="22"/>
        </w:rPr>
        <w:t>taking this point into account</w:t>
      </w:r>
      <w:r w:rsidR="0031436D">
        <w:rPr>
          <w:rFonts w:ascii="Times New Roman" w:hAnsi="Times New Roman" w:cs="Times New Roman"/>
          <w:sz w:val="22"/>
          <w:szCs w:val="22"/>
        </w:rPr>
        <w:t xml:space="preserve"> during</w:t>
      </w:r>
      <w:r w:rsidR="00647161">
        <w:rPr>
          <w:rFonts w:ascii="Times New Roman" w:hAnsi="Times New Roman" w:cs="Times New Roman"/>
          <w:sz w:val="22"/>
          <w:szCs w:val="22"/>
        </w:rPr>
        <w:t xml:space="preserve"> the cost-effectiveness </w:t>
      </w:r>
      <w:r w:rsidRPr="00D57189">
        <w:rPr>
          <w:rFonts w:ascii="Times New Roman" w:hAnsi="Times New Roman" w:cs="Times New Roman"/>
          <w:sz w:val="22"/>
          <w:szCs w:val="22"/>
        </w:rPr>
        <w:t>assessment</w:t>
      </w:r>
      <w:r w:rsidR="00F5094A">
        <w:rPr>
          <w:rFonts w:ascii="Times New Roman" w:hAnsi="Times New Roman" w:cs="Times New Roman"/>
          <w:sz w:val="22"/>
          <w:szCs w:val="22"/>
        </w:rPr>
        <w:t xml:space="preserve"> (</w:t>
      </w:r>
      <w:r w:rsidR="00F5094A" w:rsidRPr="00647161">
        <w:rPr>
          <w:rFonts w:ascii="Times New Roman" w:hAnsi="Times New Roman" w:cs="Times New Roman"/>
          <w:i/>
          <w:sz w:val="22"/>
          <w:szCs w:val="22"/>
        </w:rPr>
        <w:t>i.e.</w:t>
      </w:r>
      <w:r w:rsidR="00F5094A">
        <w:rPr>
          <w:rFonts w:ascii="Times New Roman" w:hAnsi="Times New Roman" w:cs="Times New Roman"/>
          <w:sz w:val="22"/>
          <w:szCs w:val="22"/>
        </w:rPr>
        <w:t>,</w:t>
      </w:r>
      <w:r w:rsidRPr="00D57189">
        <w:rPr>
          <w:rFonts w:ascii="Times New Roman" w:hAnsi="Times New Roman" w:cs="Times New Roman"/>
          <w:sz w:val="22"/>
          <w:szCs w:val="22"/>
        </w:rPr>
        <w:t xml:space="preserve"> because a small number of patients in the KEYNOTE-045 trial had further treatment with pembrolizumab, the ICERs must be</w:t>
      </w:r>
      <w:r w:rsidR="00F5094A">
        <w:rPr>
          <w:rFonts w:ascii="Times New Roman" w:hAnsi="Times New Roman" w:cs="Times New Roman"/>
          <w:sz w:val="22"/>
          <w:szCs w:val="22"/>
        </w:rPr>
        <w:t xml:space="preserve"> higher than those </w:t>
      </w:r>
      <w:r w:rsidR="00CC4853">
        <w:rPr>
          <w:rFonts w:ascii="Times New Roman" w:hAnsi="Times New Roman" w:cs="Times New Roman"/>
          <w:sz w:val="22"/>
          <w:szCs w:val="22"/>
        </w:rPr>
        <w:t xml:space="preserve">the company </w:t>
      </w:r>
      <w:r w:rsidR="00F5094A">
        <w:rPr>
          <w:rFonts w:ascii="Times New Roman" w:hAnsi="Times New Roman" w:cs="Times New Roman"/>
          <w:sz w:val="22"/>
          <w:szCs w:val="22"/>
        </w:rPr>
        <w:t>submitted)</w:t>
      </w:r>
      <w:r w:rsidRPr="00D57189">
        <w:rPr>
          <w:rFonts w:ascii="Times New Roman" w:hAnsi="Times New Roman" w:cs="Times New Roman"/>
          <w:sz w:val="22"/>
          <w:szCs w:val="22"/>
        </w:rPr>
        <w:t xml:space="preserve">.  The numbers of patients in question </w:t>
      </w:r>
      <w:r>
        <w:rPr>
          <w:rFonts w:ascii="Times New Roman" w:hAnsi="Times New Roman" w:cs="Times New Roman"/>
          <w:sz w:val="22"/>
          <w:szCs w:val="22"/>
        </w:rPr>
        <w:t xml:space="preserve">are very small.  Without further analysis, it is impossible to conclude that </w:t>
      </w:r>
      <w:r w:rsidRPr="00D57189">
        <w:rPr>
          <w:rFonts w:ascii="Times New Roman" w:hAnsi="Times New Roman" w:cs="Times New Roman"/>
          <w:sz w:val="22"/>
          <w:szCs w:val="22"/>
        </w:rPr>
        <w:t xml:space="preserve">MSD has </w:t>
      </w:r>
      <w:r>
        <w:rPr>
          <w:rFonts w:ascii="Times New Roman" w:hAnsi="Times New Roman" w:cs="Times New Roman"/>
          <w:sz w:val="22"/>
          <w:szCs w:val="22"/>
        </w:rPr>
        <w:t xml:space="preserve">materially </w:t>
      </w:r>
      <w:r w:rsidRPr="00D57189">
        <w:rPr>
          <w:rFonts w:ascii="Times New Roman" w:hAnsi="Times New Roman" w:cs="Times New Roman"/>
          <w:sz w:val="22"/>
          <w:szCs w:val="22"/>
        </w:rPr>
        <w:t xml:space="preserve">underestimated </w:t>
      </w:r>
      <w:r w:rsidRPr="00D57189">
        <w:rPr>
          <w:rFonts w:ascii="Times New Roman" w:hAnsi="Times New Roman" w:cs="Times New Roman"/>
          <w:sz w:val="22"/>
          <w:szCs w:val="22"/>
        </w:rPr>
        <w:lastRenderedPageBreak/>
        <w:t>the cost of its product.</w:t>
      </w:r>
      <w:r w:rsidR="007F003E" w:rsidRPr="00D57189" w:rsidDel="007F003E">
        <w:rPr>
          <w:rFonts w:ascii="Times New Roman" w:hAnsi="Times New Roman" w:cs="Times New Roman"/>
          <w:sz w:val="22"/>
          <w:szCs w:val="22"/>
        </w:rPr>
        <w:t xml:space="preserve"> </w:t>
      </w:r>
      <w:r w:rsidR="00902C93">
        <w:rPr>
          <w:rFonts w:ascii="Times New Roman" w:hAnsi="Times New Roman" w:cs="Times New Roman"/>
          <w:sz w:val="22"/>
          <w:szCs w:val="22"/>
        </w:rPr>
        <w:t xml:space="preserve"> </w:t>
      </w:r>
      <w:r w:rsidRPr="00D57189">
        <w:rPr>
          <w:rFonts w:ascii="Times New Roman" w:hAnsi="Times New Roman" w:cs="Times New Roman"/>
          <w:sz w:val="22"/>
          <w:szCs w:val="22"/>
        </w:rPr>
        <w:t>We submit that the conclusions that the Appraisal Committee reached in paragraphs 3.19 and 3.22 on this point demonstrate an unreasonable interpretation of the evidence submitted.</w:t>
      </w:r>
    </w:p>
    <w:p w14:paraId="203431F8" w14:textId="03B81C94" w:rsidR="00170813" w:rsidRPr="001A0879" w:rsidRDefault="004F01A3" w:rsidP="00647161">
      <w:pPr>
        <w:pStyle w:val="Heading2"/>
        <w:numPr>
          <w:ilvl w:val="0"/>
          <w:numId w:val="0"/>
        </w:numPr>
        <w:ind w:left="1440"/>
        <w:jc w:val="both"/>
        <w:rPr>
          <w:b/>
          <w:sz w:val="22"/>
          <w:szCs w:val="22"/>
        </w:rPr>
      </w:pPr>
      <w:r>
        <w:rPr>
          <w:b/>
          <w:sz w:val="22"/>
          <w:szCs w:val="22"/>
        </w:rPr>
        <w:t>Ground 2.</w:t>
      </w:r>
      <w:r w:rsidR="0080717D">
        <w:rPr>
          <w:b/>
          <w:sz w:val="22"/>
          <w:szCs w:val="22"/>
        </w:rPr>
        <w:t xml:space="preserve">5 </w:t>
      </w:r>
      <w:r w:rsidR="005814BD">
        <w:rPr>
          <w:b/>
          <w:sz w:val="22"/>
          <w:szCs w:val="22"/>
        </w:rPr>
        <w:t>–</w:t>
      </w:r>
      <w:r>
        <w:rPr>
          <w:b/>
          <w:sz w:val="22"/>
          <w:szCs w:val="22"/>
        </w:rPr>
        <w:t xml:space="preserve"> </w:t>
      </w:r>
      <w:r w:rsidR="00170813" w:rsidRPr="001A0879">
        <w:rPr>
          <w:b/>
          <w:sz w:val="22"/>
          <w:szCs w:val="22"/>
        </w:rPr>
        <w:t xml:space="preserve">The conclusion that new data </w:t>
      </w:r>
      <w:r w:rsidR="001A0879">
        <w:rPr>
          <w:b/>
          <w:sz w:val="22"/>
          <w:szCs w:val="22"/>
        </w:rPr>
        <w:t xml:space="preserve">from KEYNOTE-045 </w:t>
      </w:r>
      <w:r w:rsidR="00170813" w:rsidRPr="001A0879">
        <w:rPr>
          <w:b/>
          <w:sz w:val="22"/>
          <w:szCs w:val="22"/>
        </w:rPr>
        <w:t>“</w:t>
      </w:r>
      <w:r w:rsidR="00170813" w:rsidRPr="001A0879">
        <w:rPr>
          <w:b/>
          <w:i/>
          <w:sz w:val="22"/>
          <w:szCs w:val="22"/>
        </w:rPr>
        <w:t>shows the 2-stage method may not be appropriate, and the unadjusted method should also be taken into account</w:t>
      </w:r>
      <w:r w:rsidR="00170813" w:rsidRPr="001A0879">
        <w:rPr>
          <w:b/>
          <w:sz w:val="22"/>
          <w:szCs w:val="22"/>
        </w:rPr>
        <w:t xml:space="preserve">” </w:t>
      </w:r>
      <w:r w:rsidR="00647161">
        <w:rPr>
          <w:b/>
          <w:sz w:val="22"/>
          <w:szCs w:val="22"/>
        </w:rPr>
        <w:t>results from a flawed and unreasonable interpretation of the evidence</w:t>
      </w:r>
    </w:p>
    <w:p w14:paraId="0D6DA82D" w14:textId="77D8ABE5" w:rsidR="00170813" w:rsidRPr="00D57189" w:rsidRDefault="00170813" w:rsidP="00170813">
      <w:pPr>
        <w:pStyle w:val="BodyText"/>
        <w:jc w:val="both"/>
        <w:rPr>
          <w:sz w:val="22"/>
          <w:szCs w:val="22"/>
          <w:lang w:val="en-US"/>
        </w:rPr>
      </w:pPr>
      <w:proofErr w:type="gramStart"/>
      <w:r w:rsidRPr="00D57189">
        <w:rPr>
          <w:sz w:val="22"/>
          <w:szCs w:val="22"/>
        </w:rPr>
        <w:t>In order to</w:t>
      </w:r>
      <w:proofErr w:type="gramEnd"/>
      <w:r w:rsidRPr="00D57189">
        <w:rPr>
          <w:sz w:val="22"/>
          <w:szCs w:val="22"/>
        </w:rPr>
        <w:t xml:space="preserve"> make a realistic comparison between pembrolizumab and the comparator, it was important to establish the base-case survival</w:t>
      </w:r>
      <w:r w:rsidR="001A0879">
        <w:rPr>
          <w:sz w:val="22"/>
          <w:szCs w:val="22"/>
        </w:rPr>
        <w:t xml:space="preserve"> rate</w:t>
      </w:r>
      <w:r w:rsidRPr="00D57189">
        <w:rPr>
          <w:sz w:val="22"/>
          <w:szCs w:val="22"/>
        </w:rPr>
        <w:t xml:space="preserve"> </w:t>
      </w:r>
      <w:r w:rsidR="001A0879">
        <w:rPr>
          <w:sz w:val="22"/>
          <w:szCs w:val="22"/>
        </w:rPr>
        <w:t xml:space="preserve">for </w:t>
      </w:r>
      <w:r w:rsidR="00A64E55">
        <w:rPr>
          <w:sz w:val="22"/>
          <w:szCs w:val="22"/>
        </w:rPr>
        <w:t xml:space="preserve">the </w:t>
      </w:r>
      <w:r w:rsidR="000C494A">
        <w:rPr>
          <w:sz w:val="22"/>
          <w:szCs w:val="22"/>
        </w:rPr>
        <w:t xml:space="preserve">UK </w:t>
      </w:r>
      <w:r w:rsidR="000C494A" w:rsidRPr="00D57189">
        <w:rPr>
          <w:sz w:val="22"/>
          <w:szCs w:val="22"/>
        </w:rPr>
        <w:t>standard</w:t>
      </w:r>
      <w:r w:rsidRPr="00D57189">
        <w:rPr>
          <w:sz w:val="22"/>
          <w:szCs w:val="22"/>
        </w:rPr>
        <w:t xml:space="preserve"> of care</w:t>
      </w:r>
      <w:r w:rsidR="003C1435">
        <w:rPr>
          <w:sz w:val="22"/>
          <w:szCs w:val="22"/>
        </w:rPr>
        <w:t xml:space="preserve"> arm in KEYNOTE-045</w:t>
      </w:r>
      <w:r w:rsidRPr="00D57189">
        <w:rPr>
          <w:sz w:val="22"/>
          <w:szCs w:val="22"/>
        </w:rPr>
        <w:t xml:space="preserve">.  The complexity here was that in the </w:t>
      </w:r>
      <w:r w:rsidR="003C1435">
        <w:rPr>
          <w:sz w:val="22"/>
          <w:szCs w:val="22"/>
        </w:rPr>
        <w:t xml:space="preserve">standard of care </w:t>
      </w:r>
      <w:r w:rsidRPr="00D57189">
        <w:rPr>
          <w:sz w:val="22"/>
          <w:szCs w:val="22"/>
        </w:rPr>
        <w:t xml:space="preserve">arm, patients whose disease progressed </w:t>
      </w:r>
      <w:r w:rsidRPr="00D57189">
        <w:rPr>
          <w:sz w:val="22"/>
          <w:szCs w:val="22"/>
          <w:lang w:val="en-US"/>
        </w:rPr>
        <w:t>could have had subsequent anti-PD-L1 or PD-1 treatment.  This included treatment with atezolizumab, avelumab, durvalumab, nivolumab, and pembrolizumab.  As such, there was a need to adjust the data</w:t>
      </w:r>
      <w:r w:rsidR="000D39CC">
        <w:rPr>
          <w:sz w:val="22"/>
          <w:szCs w:val="22"/>
          <w:lang w:val="en-US"/>
        </w:rPr>
        <w:t xml:space="preserve"> in the comparator arm</w:t>
      </w:r>
      <w:r w:rsidRPr="00D57189">
        <w:rPr>
          <w:sz w:val="22"/>
          <w:szCs w:val="22"/>
          <w:lang w:val="en-US"/>
        </w:rPr>
        <w:t xml:space="preserve"> to account for this “treatment switching.”  The company proposed a well-established and uncontroversial method to do this – the “2-stage” adjustment method.  In the </w:t>
      </w:r>
      <w:r w:rsidR="00A64E55">
        <w:rPr>
          <w:sz w:val="22"/>
          <w:szCs w:val="22"/>
          <w:lang w:val="en-US"/>
        </w:rPr>
        <w:t xml:space="preserve">original </w:t>
      </w:r>
      <w:r w:rsidRPr="00D57189">
        <w:rPr>
          <w:sz w:val="22"/>
          <w:szCs w:val="22"/>
          <w:lang w:val="en-US"/>
        </w:rPr>
        <w:t xml:space="preserve">pre-CDF appraisal for pembrolizumab, the Appraisal Committee considered this to be </w:t>
      </w:r>
      <w:r w:rsidR="000D39CC">
        <w:rPr>
          <w:sz w:val="22"/>
          <w:szCs w:val="22"/>
          <w:lang w:val="en-US"/>
        </w:rPr>
        <w:t xml:space="preserve">an </w:t>
      </w:r>
      <w:r w:rsidRPr="00D57189">
        <w:rPr>
          <w:sz w:val="22"/>
          <w:szCs w:val="22"/>
          <w:lang w:val="en-US"/>
        </w:rPr>
        <w:t>appropriate method to adjust for switching, notwithstanding the ERG’s concerns with</w:t>
      </w:r>
      <w:r w:rsidR="00826398">
        <w:rPr>
          <w:sz w:val="22"/>
          <w:szCs w:val="22"/>
          <w:lang w:val="en-US"/>
        </w:rPr>
        <w:t xml:space="preserve"> it</w:t>
      </w:r>
      <w:r w:rsidRPr="00D57189">
        <w:rPr>
          <w:sz w:val="22"/>
          <w:szCs w:val="22"/>
          <w:lang w:val="en-US"/>
        </w:rPr>
        <w:t>.</w:t>
      </w:r>
      <w:r w:rsidR="00665287">
        <w:rPr>
          <w:rStyle w:val="FootnoteReference"/>
          <w:sz w:val="22"/>
          <w:szCs w:val="22"/>
          <w:lang w:val="en-US"/>
        </w:rPr>
        <w:footnoteReference w:id="37"/>
      </w:r>
      <w:r w:rsidRPr="00D57189">
        <w:rPr>
          <w:sz w:val="22"/>
          <w:szCs w:val="22"/>
          <w:lang w:val="en-US"/>
        </w:rPr>
        <w:t xml:space="preserve">  </w:t>
      </w:r>
      <w:r w:rsidR="003D03E4">
        <w:rPr>
          <w:sz w:val="22"/>
          <w:szCs w:val="22"/>
          <w:lang w:val="en-US"/>
        </w:rPr>
        <w:t>The Terms of Engagement (</w:t>
      </w:r>
      <w:r w:rsidR="00665287">
        <w:rPr>
          <w:sz w:val="22"/>
          <w:szCs w:val="22"/>
          <w:lang w:val="en-US"/>
        </w:rPr>
        <w:t>“</w:t>
      </w:r>
      <w:proofErr w:type="spellStart"/>
      <w:r w:rsidR="003D03E4">
        <w:rPr>
          <w:sz w:val="22"/>
          <w:szCs w:val="22"/>
          <w:lang w:val="en-US"/>
        </w:rPr>
        <w:t>ToE</w:t>
      </w:r>
      <w:proofErr w:type="spellEnd"/>
      <w:r w:rsidR="00665287">
        <w:rPr>
          <w:sz w:val="22"/>
          <w:szCs w:val="22"/>
          <w:lang w:val="en-US"/>
        </w:rPr>
        <w:t>”</w:t>
      </w:r>
      <w:r w:rsidR="003D03E4">
        <w:rPr>
          <w:sz w:val="22"/>
          <w:szCs w:val="22"/>
          <w:lang w:val="en-US"/>
        </w:rPr>
        <w:t xml:space="preserve">) Document for this CDF guidance review, issued by NICE in advance of the appraisal commencing, did not highlight the 2-stage adjusted analysis as an area which may require deviation from the methodology agreed as appropriate at the time of the original (pre-CDF) appraisal. </w:t>
      </w:r>
      <w:r w:rsidR="00902C93">
        <w:rPr>
          <w:sz w:val="22"/>
          <w:szCs w:val="22"/>
          <w:lang w:val="en-US"/>
        </w:rPr>
        <w:t xml:space="preserve"> </w:t>
      </w:r>
      <w:r w:rsidR="003D03E4">
        <w:rPr>
          <w:sz w:val="22"/>
          <w:szCs w:val="22"/>
          <w:lang w:val="en-US"/>
        </w:rPr>
        <w:t xml:space="preserve">The </w:t>
      </w:r>
      <w:proofErr w:type="spellStart"/>
      <w:r w:rsidR="003D03E4">
        <w:rPr>
          <w:sz w:val="22"/>
          <w:szCs w:val="22"/>
          <w:lang w:val="en-US"/>
        </w:rPr>
        <w:t>ToE</w:t>
      </w:r>
      <w:proofErr w:type="spellEnd"/>
      <w:r w:rsidR="003D03E4">
        <w:rPr>
          <w:sz w:val="22"/>
          <w:szCs w:val="22"/>
          <w:lang w:val="en-US"/>
        </w:rPr>
        <w:t xml:space="preserve"> clearly stated </w:t>
      </w:r>
      <w:r w:rsidR="003D03E4" w:rsidRPr="00A84E79">
        <w:rPr>
          <w:i/>
          <w:sz w:val="22"/>
          <w:szCs w:val="22"/>
          <w:lang w:val="en-US"/>
        </w:rPr>
        <w:t>“Alternative assumptions should be explored and justified only in the areas where data collection is anticipated to address the committee’s key uncertainties. NICE expects all other committee’s preferred assumptions to remain unchanged at the CDF review</w:t>
      </w:r>
      <w:r w:rsidR="00EB4FF6">
        <w:rPr>
          <w:i/>
          <w:sz w:val="22"/>
          <w:szCs w:val="22"/>
          <w:lang w:val="en-US"/>
        </w:rPr>
        <w:t>.</w:t>
      </w:r>
      <w:r w:rsidR="003D03E4">
        <w:rPr>
          <w:i/>
          <w:sz w:val="22"/>
          <w:szCs w:val="22"/>
          <w:lang w:val="en-US"/>
        </w:rPr>
        <w:t>”</w:t>
      </w:r>
      <w:r w:rsidR="003D03E4">
        <w:rPr>
          <w:sz w:val="22"/>
          <w:szCs w:val="22"/>
          <w:lang w:val="en-US"/>
        </w:rPr>
        <w:t xml:space="preserve">  </w:t>
      </w:r>
      <w:r w:rsidRPr="00D57189">
        <w:rPr>
          <w:sz w:val="22"/>
          <w:szCs w:val="22"/>
          <w:lang w:val="en-US"/>
        </w:rPr>
        <w:t>The company therefore considered this to be a settled point</w:t>
      </w:r>
      <w:r w:rsidR="00826398">
        <w:rPr>
          <w:sz w:val="22"/>
          <w:szCs w:val="22"/>
          <w:lang w:val="en-US"/>
        </w:rPr>
        <w:t xml:space="preserve"> </w:t>
      </w:r>
      <w:r w:rsidR="000D39CC">
        <w:rPr>
          <w:sz w:val="22"/>
          <w:szCs w:val="22"/>
          <w:lang w:val="en-US"/>
        </w:rPr>
        <w:t xml:space="preserve">going into </w:t>
      </w:r>
      <w:r w:rsidR="00826398">
        <w:rPr>
          <w:sz w:val="22"/>
          <w:szCs w:val="22"/>
          <w:lang w:val="en-US"/>
        </w:rPr>
        <w:t>ID1536</w:t>
      </w:r>
      <w:r w:rsidRPr="00D57189">
        <w:rPr>
          <w:sz w:val="22"/>
          <w:szCs w:val="22"/>
          <w:lang w:val="en-US"/>
        </w:rPr>
        <w:t>.</w:t>
      </w:r>
    </w:p>
    <w:p w14:paraId="42D978D9" w14:textId="77777777" w:rsidR="00170813" w:rsidRPr="00D57189" w:rsidRDefault="00826398" w:rsidP="00170813">
      <w:pPr>
        <w:pStyle w:val="BodyText"/>
        <w:jc w:val="both"/>
        <w:rPr>
          <w:sz w:val="22"/>
          <w:szCs w:val="22"/>
          <w:lang w:val="en-US"/>
        </w:rPr>
      </w:pPr>
      <w:r>
        <w:rPr>
          <w:sz w:val="22"/>
          <w:szCs w:val="22"/>
          <w:lang w:val="en-US"/>
        </w:rPr>
        <w:t xml:space="preserve">Paragraph 3.6 of the FAD shows that the Appraisal Committee revised </w:t>
      </w:r>
      <w:r w:rsidR="003C1435">
        <w:rPr>
          <w:sz w:val="22"/>
          <w:szCs w:val="22"/>
          <w:lang w:val="en-US"/>
        </w:rPr>
        <w:t xml:space="preserve">its </w:t>
      </w:r>
      <w:r w:rsidR="00170813" w:rsidRPr="00D57189">
        <w:rPr>
          <w:sz w:val="22"/>
          <w:szCs w:val="22"/>
          <w:lang w:val="en-US"/>
        </w:rPr>
        <w:t xml:space="preserve">position </w:t>
      </w:r>
      <w:proofErr w:type="gramStart"/>
      <w:r w:rsidR="00170813" w:rsidRPr="00D57189">
        <w:rPr>
          <w:sz w:val="22"/>
          <w:szCs w:val="22"/>
          <w:lang w:val="en-US"/>
        </w:rPr>
        <w:t>in light of</w:t>
      </w:r>
      <w:proofErr w:type="gramEnd"/>
      <w:r w:rsidR="00170813" w:rsidRPr="00D57189">
        <w:rPr>
          <w:sz w:val="22"/>
          <w:szCs w:val="22"/>
          <w:lang w:val="en-US"/>
        </w:rPr>
        <w:t xml:space="preserve"> the updated evidence the company submitted:</w:t>
      </w:r>
    </w:p>
    <w:p w14:paraId="2BFE0702" w14:textId="4177D2DB" w:rsidR="00170813" w:rsidRPr="00D57189" w:rsidRDefault="00170813" w:rsidP="00826398">
      <w:pPr>
        <w:pStyle w:val="BodyText"/>
        <w:ind w:left="720"/>
        <w:jc w:val="both"/>
        <w:rPr>
          <w:sz w:val="22"/>
          <w:szCs w:val="22"/>
          <w:lang w:val="en-US"/>
        </w:rPr>
      </w:pPr>
      <w:r w:rsidRPr="00D57189">
        <w:rPr>
          <w:sz w:val="22"/>
          <w:szCs w:val="22"/>
          <w:lang w:val="en-US"/>
        </w:rPr>
        <w:t>“</w:t>
      </w:r>
      <w:r w:rsidRPr="00D57189">
        <w:rPr>
          <w:i/>
          <w:sz w:val="22"/>
          <w:szCs w:val="22"/>
          <w:lang w:val="en-US"/>
        </w:rPr>
        <w:t>New KEYNOTE-045 data shows the 2-stage method may not be appropriate, and the unadjusted method should also be taken into account.</w:t>
      </w:r>
      <w:r w:rsidRPr="00D57189">
        <w:rPr>
          <w:sz w:val="22"/>
          <w:szCs w:val="22"/>
          <w:lang w:val="en-US"/>
        </w:rPr>
        <w:t>”</w:t>
      </w:r>
    </w:p>
    <w:p w14:paraId="4B5F99F6" w14:textId="77777777" w:rsidR="00170813" w:rsidRPr="00D57189" w:rsidRDefault="00170813" w:rsidP="00170813">
      <w:pPr>
        <w:pStyle w:val="BodyText"/>
        <w:jc w:val="both"/>
        <w:rPr>
          <w:sz w:val="22"/>
          <w:szCs w:val="22"/>
          <w:lang w:val="en-US"/>
        </w:rPr>
      </w:pPr>
      <w:r w:rsidRPr="00D57189">
        <w:rPr>
          <w:sz w:val="22"/>
          <w:szCs w:val="22"/>
          <w:lang w:val="en-US"/>
        </w:rPr>
        <w:t>The Committee concludes:</w:t>
      </w:r>
    </w:p>
    <w:p w14:paraId="2DA26216" w14:textId="77777777" w:rsidR="00170813" w:rsidRPr="00D57189" w:rsidRDefault="00170813" w:rsidP="00826398">
      <w:pPr>
        <w:pStyle w:val="BodyText"/>
        <w:ind w:left="720"/>
        <w:jc w:val="both"/>
        <w:rPr>
          <w:sz w:val="22"/>
          <w:szCs w:val="22"/>
          <w:lang w:val="en-US"/>
        </w:rPr>
      </w:pPr>
      <w:r w:rsidRPr="00D57189">
        <w:rPr>
          <w:sz w:val="22"/>
          <w:szCs w:val="22"/>
          <w:lang w:val="en-US"/>
        </w:rPr>
        <w:t>“</w:t>
      </w:r>
      <w:r w:rsidRPr="00D57189">
        <w:rPr>
          <w:i/>
          <w:sz w:val="22"/>
          <w:szCs w:val="22"/>
          <w:lang w:val="en-US"/>
        </w:rPr>
        <w:t xml:space="preserve">The committee considered that using the 2-stage adjustment for treatment switching likely underestimated the incremental cost-effectiveness ratios (ICERs) but using no adjustment would overestimate the ICERs. </w:t>
      </w:r>
      <w:r w:rsidRPr="00D57189">
        <w:rPr>
          <w:b/>
          <w:i/>
          <w:sz w:val="22"/>
          <w:szCs w:val="22"/>
          <w:lang w:val="en-US"/>
        </w:rPr>
        <w:t>It concluded that the true overall survival benefit was probably between that seen with an adjustment for treatment switching and that without an adjustment</w:t>
      </w:r>
      <w:r w:rsidRPr="00D57189">
        <w:rPr>
          <w:sz w:val="22"/>
          <w:szCs w:val="22"/>
          <w:lang w:val="en-US"/>
        </w:rPr>
        <w:t>” (emphasis added).</w:t>
      </w:r>
      <w:r w:rsidR="00826398" w:rsidRPr="00826398">
        <w:rPr>
          <w:sz w:val="22"/>
          <w:szCs w:val="22"/>
          <w:lang w:val="en-US"/>
        </w:rPr>
        <w:t xml:space="preserve"> </w:t>
      </w:r>
    </w:p>
    <w:p w14:paraId="4999B92A" w14:textId="4E475784" w:rsidR="00170813" w:rsidRPr="00D57189" w:rsidRDefault="00170813" w:rsidP="00170813">
      <w:pPr>
        <w:pStyle w:val="BodyText"/>
        <w:jc w:val="both"/>
        <w:rPr>
          <w:sz w:val="22"/>
          <w:szCs w:val="22"/>
          <w:lang w:val="en-US"/>
        </w:rPr>
      </w:pPr>
      <w:r w:rsidRPr="00D57189">
        <w:rPr>
          <w:sz w:val="22"/>
          <w:szCs w:val="22"/>
          <w:lang w:val="en-US"/>
        </w:rPr>
        <w:t>The Appraisal Comm</w:t>
      </w:r>
      <w:r w:rsidR="00E54BC9">
        <w:rPr>
          <w:sz w:val="22"/>
          <w:szCs w:val="22"/>
          <w:lang w:val="en-US"/>
        </w:rPr>
        <w:t xml:space="preserve">ittee’s conclusions are significantly influenced </w:t>
      </w:r>
      <w:r w:rsidRPr="00D57189">
        <w:rPr>
          <w:sz w:val="22"/>
          <w:szCs w:val="22"/>
          <w:lang w:val="en-US"/>
        </w:rPr>
        <w:t>by comments from the ERG, which raised concerns wi</w:t>
      </w:r>
      <w:r w:rsidR="003C1435">
        <w:rPr>
          <w:sz w:val="22"/>
          <w:szCs w:val="22"/>
          <w:lang w:val="en-US"/>
        </w:rPr>
        <w:t>th some aspects of the 2-stage method</w:t>
      </w:r>
      <w:r w:rsidRPr="00D57189">
        <w:rPr>
          <w:sz w:val="22"/>
          <w:szCs w:val="22"/>
          <w:lang w:val="en-US"/>
        </w:rPr>
        <w:t>.</w:t>
      </w:r>
      <w:r w:rsidR="003C1435">
        <w:rPr>
          <w:sz w:val="22"/>
          <w:szCs w:val="22"/>
          <w:lang w:val="en-US"/>
        </w:rPr>
        <w:t xml:space="preserve">  </w:t>
      </w:r>
      <w:r w:rsidR="00E54BC9">
        <w:rPr>
          <w:sz w:val="22"/>
          <w:szCs w:val="22"/>
          <w:lang w:val="en-US"/>
        </w:rPr>
        <w:t xml:space="preserve">On that basis, the </w:t>
      </w:r>
      <w:r w:rsidRPr="00D57189">
        <w:rPr>
          <w:sz w:val="22"/>
          <w:szCs w:val="22"/>
          <w:lang w:val="en-US"/>
        </w:rPr>
        <w:t xml:space="preserve">ERG recommended that the Appraisal Committee should take </w:t>
      </w:r>
      <w:r w:rsidR="00826398" w:rsidRPr="00D57189">
        <w:rPr>
          <w:sz w:val="22"/>
          <w:szCs w:val="22"/>
          <w:lang w:val="en-US"/>
        </w:rPr>
        <w:t xml:space="preserve">unadjusted data </w:t>
      </w:r>
      <w:r w:rsidRPr="00D57189">
        <w:rPr>
          <w:sz w:val="22"/>
          <w:szCs w:val="22"/>
          <w:lang w:val="en-US"/>
        </w:rPr>
        <w:t xml:space="preserve">into account alongside </w:t>
      </w:r>
      <w:r w:rsidR="00E54BC9">
        <w:rPr>
          <w:sz w:val="22"/>
          <w:szCs w:val="22"/>
          <w:lang w:val="en-US"/>
        </w:rPr>
        <w:t xml:space="preserve">data adjusted pursuant to </w:t>
      </w:r>
      <w:r w:rsidRPr="00D57189">
        <w:rPr>
          <w:sz w:val="22"/>
          <w:szCs w:val="22"/>
          <w:lang w:val="en-US"/>
        </w:rPr>
        <w:t>company’s 2-stage method.</w:t>
      </w:r>
      <w:r w:rsidR="00826398">
        <w:rPr>
          <w:sz w:val="22"/>
          <w:szCs w:val="22"/>
          <w:lang w:val="en-US"/>
        </w:rPr>
        <w:t xml:space="preserve"> </w:t>
      </w:r>
      <w:r w:rsidR="00902C93">
        <w:rPr>
          <w:sz w:val="22"/>
          <w:szCs w:val="22"/>
          <w:lang w:val="en-US"/>
        </w:rPr>
        <w:t xml:space="preserve"> </w:t>
      </w:r>
      <w:r w:rsidR="003C1435">
        <w:rPr>
          <w:sz w:val="22"/>
          <w:szCs w:val="22"/>
          <w:lang w:val="en-US"/>
        </w:rPr>
        <w:t>The Appraisal Committ</w:t>
      </w:r>
      <w:r w:rsidR="00E54BC9">
        <w:rPr>
          <w:sz w:val="22"/>
          <w:szCs w:val="22"/>
          <w:lang w:val="en-US"/>
        </w:rPr>
        <w:t>ee followed this recommendation in the FAD and both unadjusted and adjusted data feature in the range of plausible ICERs in paragraph 3.22.</w:t>
      </w:r>
    </w:p>
    <w:p w14:paraId="29614B90" w14:textId="65C6A11A" w:rsidR="00170813" w:rsidRPr="00D57189" w:rsidRDefault="00170813" w:rsidP="00170813">
      <w:pPr>
        <w:pStyle w:val="BodyText"/>
        <w:jc w:val="both"/>
        <w:rPr>
          <w:sz w:val="22"/>
          <w:szCs w:val="22"/>
          <w:lang w:val="en-US"/>
        </w:rPr>
      </w:pPr>
      <w:r w:rsidRPr="024B4842">
        <w:rPr>
          <w:sz w:val="22"/>
          <w:szCs w:val="22"/>
          <w:lang w:val="en-US"/>
        </w:rPr>
        <w:t xml:space="preserve">MSD submits that the 2-stage adjustment method has been disproportionately </w:t>
      </w:r>
      <w:proofErr w:type="spellStart"/>
      <w:r w:rsidRPr="024B4842">
        <w:rPr>
          <w:sz w:val="22"/>
          <w:szCs w:val="22"/>
          <w:lang w:val="en-US"/>
        </w:rPr>
        <w:t>critici</w:t>
      </w:r>
      <w:r w:rsidR="4E83D62B" w:rsidRPr="024B4842">
        <w:rPr>
          <w:sz w:val="22"/>
          <w:szCs w:val="22"/>
          <w:lang w:val="en-US"/>
        </w:rPr>
        <w:t>s</w:t>
      </w:r>
      <w:r w:rsidRPr="024B4842">
        <w:rPr>
          <w:sz w:val="22"/>
          <w:szCs w:val="22"/>
          <w:lang w:val="en-US"/>
        </w:rPr>
        <w:t>ed</w:t>
      </w:r>
      <w:proofErr w:type="spellEnd"/>
      <w:r w:rsidRPr="024B4842">
        <w:rPr>
          <w:sz w:val="22"/>
          <w:szCs w:val="22"/>
          <w:lang w:val="en-US"/>
        </w:rPr>
        <w:t xml:space="preserve"> by NICE and the ERG in this appraisal.  The 2-stage method is well-established and has been acceptable in numerous </w:t>
      </w:r>
      <w:r w:rsidR="00826398" w:rsidRPr="024B4842">
        <w:rPr>
          <w:sz w:val="22"/>
          <w:szCs w:val="22"/>
          <w:lang w:val="en-US"/>
        </w:rPr>
        <w:t xml:space="preserve">previous </w:t>
      </w:r>
      <w:r w:rsidRPr="024B4842">
        <w:rPr>
          <w:sz w:val="22"/>
          <w:szCs w:val="22"/>
          <w:lang w:val="en-US"/>
        </w:rPr>
        <w:t>appraisals.  In accommodating adjusted and unadjusted survival rates into the cost-effectiveness assessment, the Appraisal Committee has reached “half-way-house” position that</w:t>
      </w:r>
      <w:r w:rsidR="00FF2C4F" w:rsidRPr="024B4842">
        <w:rPr>
          <w:sz w:val="22"/>
          <w:szCs w:val="22"/>
          <w:lang w:val="en-US"/>
        </w:rPr>
        <w:t xml:space="preserve"> is</w:t>
      </w:r>
      <w:r w:rsidRPr="024B4842">
        <w:rPr>
          <w:sz w:val="22"/>
          <w:szCs w:val="22"/>
          <w:lang w:val="en-US"/>
        </w:rPr>
        <w:t xml:space="preserve"> </w:t>
      </w:r>
      <w:r w:rsidR="00826398" w:rsidRPr="024B4842">
        <w:rPr>
          <w:sz w:val="22"/>
          <w:szCs w:val="22"/>
          <w:lang w:val="en-US"/>
        </w:rPr>
        <w:t xml:space="preserve">non-standard and not supported by the evidence.  It unnecessarily </w:t>
      </w:r>
      <w:r w:rsidRPr="024B4842">
        <w:rPr>
          <w:sz w:val="22"/>
          <w:szCs w:val="22"/>
          <w:lang w:val="en-US"/>
        </w:rPr>
        <w:t xml:space="preserve">introduces uncertainty and imprecision into </w:t>
      </w:r>
      <w:r w:rsidR="00826398" w:rsidRPr="024B4842">
        <w:rPr>
          <w:sz w:val="22"/>
          <w:szCs w:val="22"/>
          <w:lang w:val="en-US"/>
        </w:rPr>
        <w:t xml:space="preserve">the </w:t>
      </w:r>
      <w:r w:rsidRPr="024B4842">
        <w:rPr>
          <w:sz w:val="22"/>
          <w:szCs w:val="22"/>
          <w:lang w:val="en-US"/>
        </w:rPr>
        <w:t xml:space="preserve">calculation of the most </w:t>
      </w:r>
      <w:r w:rsidR="00E54BC9" w:rsidRPr="024B4842">
        <w:rPr>
          <w:sz w:val="22"/>
          <w:szCs w:val="22"/>
          <w:lang w:val="en-US"/>
        </w:rPr>
        <w:t xml:space="preserve">likely </w:t>
      </w:r>
      <w:r w:rsidR="00826398" w:rsidRPr="024B4842">
        <w:rPr>
          <w:sz w:val="22"/>
          <w:szCs w:val="22"/>
          <w:lang w:val="en-US"/>
        </w:rPr>
        <w:t>ICER</w:t>
      </w:r>
      <w:r w:rsidRPr="024B4842">
        <w:rPr>
          <w:sz w:val="22"/>
          <w:szCs w:val="22"/>
          <w:lang w:val="en-US"/>
        </w:rPr>
        <w:t xml:space="preserve">.  We further </w:t>
      </w:r>
      <w:proofErr w:type="spellStart"/>
      <w:r w:rsidRPr="024B4842">
        <w:rPr>
          <w:sz w:val="22"/>
          <w:szCs w:val="22"/>
          <w:lang w:val="en-US"/>
        </w:rPr>
        <w:t>particulari</w:t>
      </w:r>
      <w:r w:rsidR="254B51C2" w:rsidRPr="024B4842">
        <w:rPr>
          <w:sz w:val="22"/>
          <w:szCs w:val="22"/>
          <w:lang w:val="en-US"/>
        </w:rPr>
        <w:t>s</w:t>
      </w:r>
      <w:r w:rsidRPr="024B4842">
        <w:rPr>
          <w:sz w:val="22"/>
          <w:szCs w:val="22"/>
          <w:lang w:val="en-US"/>
        </w:rPr>
        <w:t>e</w:t>
      </w:r>
      <w:proofErr w:type="spellEnd"/>
      <w:r w:rsidRPr="024B4842">
        <w:rPr>
          <w:sz w:val="22"/>
          <w:szCs w:val="22"/>
          <w:lang w:val="en-US"/>
        </w:rPr>
        <w:t xml:space="preserve"> these arguments below:</w:t>
      </w:r>
    </w:p>
    <w:p w14:paraId="5AF30471" w14:textId="6CBBBAA2" w:rsidR="00E93068" w:rsidRPr="00E637A4" w:rsidRDefault="00170813" w:rsidP="00E637A4">
      <w:pPr>
        <w:pStyle w:val="BodyText"/>
        <w:numPr>
          <w:ilvl w:val="0"/>
          <w:numId w:val="34"/>
        </w:numPr>
        <w:jc w:val="both"/>
        <w:rPr>
          <w:sz w:val="22"/>
          <w:szCs w:val="22"/>
          <w:lang w:val="en-US"/>
        </w:rPr>
      </w:pPr>
      <w:r w:rsidRPr="00D57189">
        <w:rPr>
          <w:sz w:val="22"/>
          <w:szCs w:val="22"/>
          <w:lang w:val="en-US"/>
        </w:rPr>
        <w:lastRenderedPageBreak/>
        <w:t>It is accepted that adjusting for treat</w:t>
      </w:r>
      <w:r w:rsidR="00D2004B">
        <w:rPr>
          <w:sz w:val="22"/>
          <w:szCs w:val="22"/>
          <w:lang w:val="en-US"/>
        </w:rPr>
        <w:t xml:space="preserve">ment switching is an issue to </w:t>
      </w:r>
      <w:r w:rsidRPr="00D57189">
        <w:rPr>
          <w:sz w:val="22"/>
          <w:szCs w:val="22"/>
          <w:lang w:val="en-US"/>
        </w:rPr>
        <w:t xml:space="preserve">be </w:t>
      </w:r>
      <w:r w:rsidR="004A4A1A">
        <w:rPr>
          <w:sz w:val="22"/>
          <w:szCs w:val="22"/>
          <w:lang w:val="en-US"/>
        </w:rPr>
        <w:t xml:space="preserve">accounted for </w:t>
      </w:r>
      <w:r w:rsidRPr="00D57189">
        <w:rPr>
          <w:sz w:val="22"/>
          <w:szCs w:val="22"/>
          <w:lang w:val="en-US"/>
        </w:rPr>
        <w:t xml:space="preserve">in the assessment.  </w:t>
      </w:r>
      <w:r w:rsidR="004A4A1A">
        <w:rPr>
          <w:sz w:val="22"/>
          <w:szCs w:val="22"/>
          <w:lang w:val="en-US"/>
        </w:rPr>
        <w:t>The 2-stage method is a</w:t>
      </w:r>
      <w:r w:rsidR="007644DD">
        <w:rPr>
          <w:sz w:val="22"/>
          <w:szCs w:val="22"/>
          <w:lang w:val="en-US"/>
        </w:rPr>
        <w:t>n established and</w:t>
      </w:r>
      <w:r w:rsidR="004A4A1A">
        <w:rPr>
          <w:sz w:val="22"/>
          <w:szCs w:val="22"/>
          <w:lang w:val="en-US"/>
        </w:rPr>
        <w:t xml:space="preserve"> credible approach</w:t>
      </w:r>
      <w:r w:rsidR="007644DD">
        <w:rPr>
          <w:sz w:val="22"/>
          <w:szCs w:val="22"/>
          <w:lang w:val="en-US"/>
        </w:rPr>
        <w:t>,</w:t>
      </w:r>
      <w:r w:rsidR="004A4A1A">
        <w:rPr>
          <w:sz w:val="22"/>
          <w:szCs w:val="22"/>
          <w:lang w:val="en-US"/>
        </w:rPr>
        <w:t xml:space="preserve"> </w:t>
      </w:r>
      <w:r w:rsidR="00FF2C4F">
        <w:rPr>
          <w:sz w:val="22"/>
          <w:szCs w:val="22"/>
          <w:lang w:val="en-US"/>
        </w:rPr>
        <w:t>which has been followed appropriately by the company</w:t>
      </w:r>
      <w:r w:rsidR="007644DD">
        <w:rPr>
          <w:sz w:val="22"/>
          <w:szCs w:val="22"/>
          <w:lang w:val="en-US"/>
        </w:rPr>
        <w:t>.  As the company has made clear,</w:t>
      </w:r>
      <w:r w:rsidR="00665287">
        <w:rPr>
          <w:sz w:val="22"/>
          <w:szCs w:val="22"/>
          <w:lang w:val="en-US"/>
        </w:rPr>
        <w:t xml:space="preserve"> </w:t>
      </w:r>
      <w:r w:rsidR="004A4A1A">
        <w:rPr>
          <w:sz w:val="22"/>
          <w:szCs w:val="22"/>
          <w:lang w:val="en-US"/>
        </w:rPr>
        <w:t>more complex methodologies would not work.</w:t>
      </w:r>
      <w:r w:rsidRPr="00D57189">
        <w:rPr>
          <w:sz w:val="22"/>
          <w:szCs w:val="22"/>
          <w:lang w:val="en-US"/>
        </w:rPr>
        <w:t xml:space="preserve"> </w:t>
      </w:r>
      <w:r w:rsidR="00C4716B">
        <w:rPr>
          <w:sz w:val="22"/>
          <w:szCs w:val="22"/>
          <w:lang w:val="en-US"/>
        </w:rPr>
        <w:t xml:space="preserve"> </w:t>
      </w:r>
      <w:r w:rsidRPr="00D57189">
        <w:rPr>
          <w:sz w:val="22"/>
          <w:szCs w:val="22"/>
          <w:lang w:val="en-US"/>
        </w:rPr>
        <w:t xml:space="preserve">The company acknowledges that </w:t>
      </w:r>
      <w:r w:rsidR="00FF2C4F">
        <w:rPr>
          <w:sz w:val="22"/>
          <w:szCs w:val="22"/>
          <w:lang w:val="en-US"/>
        </w:rPr>
        <w:t xml:space="preserve">the 2-stage </w:t>
      </w:r>
      <w:r w:rsidRPr="00D57189">
        <w:rPr>
          <w:sz w:val="22"/>
          <w:szCs w:val="22"/>
          <w:lang w:val="en-US"/>
        </w:rPr>
        <w:t xml:space="preserve">method </w:t>
      </w:r>
      <w:r w:rsidR="00FF2C4F">
        <w:rPr>
          <w:sz w:val="22"/>
          <w:szCs w:val="22"/>
          <w:lang w:val="en-US"/>
        </w:rPr>
        <w:t>has its limitations</w:t>
      </w:r>
      <w:r w:rsidRPr="00D57189">
        <w:rPr>
          <w:sz w:val="22"/>
          <w:szCs w:val="22"/>
          <w:lang w:val="en-US"/>
        </w:rPr>
        <w:t>.  However,</w:t>
      </w:r>
      <w:r w:rsidR="00E11741">
        <w:rPr>
          <w:sz w:val="22"/>
          <w:szCs w:val="22"/>
          <w:lang w:val="en-US"/>
        </w:rPr>
        <w:t xml:space="preserve"> that is scant justification to arrive at a half-way position between a credible approach and unadjusted data.  It is illogical to bring </w:t>
      </w:r>
      <w:r w:rsidR="00E93068">
        <w:rPr>
          <w:sz w:val="22"/>
          <w:szCs w:val="22"/>
          <w:lang w:val="en-US"/>
        </w:rPr>
        <w:t xml:space="preserve">an </w:t>
      </w:r>
      <w:r w:rsidRPr="00D57189">
        <w:rPr>
          <w:sz w:val="22"/>
          <w:szCs w:val="22"/>
          <w:lang w:val="en-US"/>
        </w:rPr>
        <w:t>unsound</w:t>
      </w:r>
      <w:r w:rsidR="00E93068">
        <w:rPr>
          <w:sz w:val="22"/>
          <w:szCs w:val="22"/>
          <w:lang w:val="en-US"/>
        </w:rPr>
        <w:t xml:space="preserve"> and unsupported</w:t>
      </w:r>
      <w:r w:rsidRPr="00D57189">
        <w:rPr>
          <w:sz w:val="22"/>
          <w:szCs w:val="22"/>
          <w:lang w:val="en-US"/>
        </w:rPr>
        <w:t xml:space="preserve"> met</w:t>
      </w:r>
      <w:r w:rsidR="00E11741">
        <w:rPr>
          <w:sz w:val="22"/>
          <w:szCs w:val="22"/>
          <w:lang w:val="en-US"/>
        </w:rPr>
        <w:t>hodology into consideration and use</w:t>
      </w:r>
      <w:r w:rsidRPr="00D57189">
        <w:rPr>
          <w:sz w:val="22"/>
          <w:szCs w:val="22"/>
          <w:lang w:val="en-US"/>
        </w:rPr>
        <w:t xml:space="preserve"> this as a basis </w:t>
      </w:r>
      <w:r w:rsidR="00E11741">
        <w:rPr>
          <w:sz w:val="22"/>
          <w:szCs w:val="22"/>
          <w:lang w:val="en-US"/>
        </w:rPr>
        <w:t xml:space="preserve">to inform the calculation of </w:t>
      </w:r>
      <w:r w:rsidRPr="00D57189">
        <w:rPr>
          <w:sz w:val="22"/>
          <w:szCs w:val="22"/>
          <w:lang w:val="en-US"/>
        </w:rPr>
        <w:t>ICERs.</w:t>
      </w:r>
    </w:p>
    <w:p w14:paraId="571380B7" w14:textId="77443291" w:rsidR="00170813" w:rsidRPr="00B074E5" w:rsidRDefault="00170813" w:rsidP="007644DD">
      <w:pPr>
        <w:pStyle w:val="ListParagraph"/>
        <w:numPr>
          <w:ilvl w:val="0"/>
          <w:numId w:val="34"/>
        </w:numPr>
        <w:jc w:val="both"/>
        <w:rPr>
          <w:sz w:val="22"/>
          <w:szCs w:val="22"/>
          <w:lang w:val="en-US"/>
        </w:rPr>
      </w:pPr>
      <w:r w:rsidRPr="00FF2C4F">
        <w:rPr>
          <w:sz w:val="22"/>
          <w:szCs w:val="22"/>
          <w:lang w:val="en-US"/>
        </w:rPr>
        <w:t xml:space="preserve">The updated data from KEYNOTE-045 </w:t>
      </w:r>
      <w:r w:rsidR="004A4A1A" w:rsidRPr="00FF2C4F">
        <w:rPr>
          <w:sz w:val="22"/>
          <w:szCs w:val="22"/>
          <w:lang w:val="en-US"/>
        </w:rPr>
        <w:t xml:space="preserve">simply </w:t>
      </w:r>
      <w:r w:rsidRPr="00FF2C4F">
        <w:rPr>
          <w:sz w:val="22"/>
          <w:szCs w:val="22"/>
          <w:lang w:val="en-US"/>
        </w:rPr>
        <w:t>meant that the acceleration factor (a factor applied to the overall survival of chemotherapy patients to adjust for treatment switching) was larger and applied to more patient</w:t>
      </w:r>
      <w:r w:rsidR="004A4A1A" w:rsidRPr="00B074E5">
        <w:rPr>
          <w:sz w:val="22"/>
          <w:szCs w:val="22"/>
          <w:lang w:val="en-US"/>
        </w:rPr>
        <w:t xml:space="preserve">s than </w:t>
      </w:r>
      <w:r w:rsidR="00B074E5">
        <w:rPr>
          <w:sz w:val="22"/>
          <w:szCs w:val="22"/>
          <w:lang w:val="en-US"/>
        </w:rPr>
        <w:t>that originally generated based on the earlier data-cut from KEYNOTE-045</w:t>
      </w:r>
      <w:r w:rsidR="00D2004B">
        <w:rPr>
          <w:sz w:val="22"/>
          <w:szCs w:val="22"/>
          <w:lang w:val="en-US"/>
        </w:rPr>
        <w:t>,</w:t>
      </w:r>
      <w:r w:rsidR="00B074E5">
        <w:rPr>
          <w:sz w:val="22"/>
          <w:szCs w:val="22"/>
          <w:lang w:val="en-US"/>
        </w:rPr>
        <w:t xml:space="preserve"> which informed the original (pre-CDF) appraisal of pembrolizumab. </w:t>
      </w:r>
      <w:r w:rsidRPr="00B074E5">
        <w:rPr>
          <w:sz w:val="22"/>
          <w:szCs w:val="22"/>
          <w:lang w:val="en-US"/>
        </w:rPr>
        <w:t xml:space="preserve"> The updated acceleration </w:t>
      </w:r>
      <w:r w:rsidR="004A4A1A" w:rsidRPr="00B074E5">
        <w:rPr>
          <w:sz w:val="22"/>
          <w:szCs w:val="22"/>
          <w:lang w:val="en-US"/>
        </w:rPr>
        <w:t xml:space="preserve">factor was </w:t>
      </w:r>
      <w:r w:rsidRPr="00B074E5">
        <w:rPr>
          <w:sz w:val="22"/>
          <w:szCs w:val="22"/>
          <w:lang w:val="en-US"/>
        </w:rPr>
        <w:t>based on more robust data and a large</w:t>
      </w:r>
      <w:r w:rsidR="004A4A1A" w:rsidRPr="00B074E5">
        <w:rPr>
          <w:sz w:val="22"/>
          <w:szCs w:val="22"/>
          <w:lang w:val="en-US"/>
        </w:rPr>
        <w:t>r</w:t>
      </w:r>
      <w:r w:rsidRPr="00B074E5">
        <w:rPr>
          <w:sz w:val="22"/>
          <w:szCs w:val="22"/>
          <w:lang w:val="en-US"/>
        </w:rPr>
        <w:t xml:space="preserve"> sample size</w:t>
      </w:r>
      <w:r w:rsidR="004A4A1A" w:rsidRPr="00B074E5">
        <w:rPr>
          <w:sz w:val="22"/>
          <w:szCs w:val="22"/>
          <w:lang w:val="en-US"/>
        </w:rPr>
        <w:t xml:space="preserve"> than the previous </w:t>
      </w:r>
      <w:r w:rsidR="00C87222">
        <w:rPr>
          <w:sz w:val="22"/>
          <w:szCs w:val="22"/>
          <w:lang w:val="en-US"/>
        </w:rPr>
        <w:t xml:space="preserve">acceleration </w:t>
      </w:r>
      <w:r w:rsidR="004A4A1A" w:rsidRPr="00B074E5">
        <w:rPr>
          <w:sz w:val="22"/>
          <w:szCs w:val="22"/>
          <w:lang w:val="en-US"/>
        </w:rPr>
        <w:t>factor and was therefore more reliable</w:t>
      </w:r>
      <w:r w:rsidRPr="00B074E5">
        <w:rPr>
          <w:sz w:val="22"/>
          <w:szCs w:val="22"/>
          <w:lang w:val="en-US"/>
        </w:rPr>
        <w:t xml:space="preserve">. </w:t>
      </w:r>
      <w:r w:rsidR="00FF2C4F" w:rsidRPr="00B074E5">
        <w:rPr>
          <w:sz w:val="22"/>
          <w:szCs w:val="22"/>
          <w:lang w:val="en-US"/>
        </w:rPr>
        <w:t xml:space="preserve"> Although</w:t>
      </w:r>
      <w:r w:rsidRPr="00B074E5">
        <w:rPr>
          <w:sz w:val="22"/>
          <w:szCs w:val="22"/>
          <w:lang w:val="en-US"/>
        </w:rPr>
        <w:t xml:space="preserve"> </w:t>
      </w:r>
      <w:r w:rsidR="00FF2C4F" w:rsidRPr="00B074E5">
        <w:rPr>
          <w:sz w:val="22"/>
          <w:szCs w:val="22"/>
          <w:lang w:val="en-US"/>
        </w:rPr>
        <w:t xml:space="preserve">the </w:t>
      </w:r>
      <w:r w:rsidR="00B074E5">
        <w:rPr>
          <w:sz w:val="22"/>
          <w:szCs w:val="22"/>
          <w:lang w:val="en-US"/>
        </w:rPr>
        <w:t xml:space="preserve">updated </w:t>
      </w:r>
      <w:r w:rsidR="00FF2C4F" w:rsidRPr="00B074E5">
        <w:rPr>
          <w:sz w:val="22"/>
          <w:szCs w:val="22"/>
          <w:lang w:val="en-US"/>
        </w:rPr>
        <w:t xml:space="preserve">acceleration factor </w:t>
      </w:r>
      <w:r w:rsidR="00B074E5">
        <w:rPr>
          <w:sz w:val="22"/>
          <w:szCs w:val="22"/>
          <w:lang w:val="en-US"/>
        </w:rPr>
        <w:t>wa</w:t>
      </w:r>
      <w:r w:rsidR="00FF2C4F" w:rsidRPr="00B074E5">
        <w:rPr>
          <w:sz w:val="22"/>
          <w:szCs w:val="22"/>
          <w:lang w:val="en-US"/>
        </w:rPr>
        <w:t>s higher in magnitude</w:t>
      </w:r>
      <w:r w:rsidR="00B074E5">
        <w:rPr>
          <w:sz w:val="22"/>
          <w:szCs w:val="22"/>
          <w:lang w:val="en-US"/>
        </w:rPr>
        <w:t xml:space="preserve">, </w:t>
      </w:r>
      <w:r w:rsidR="00FF2C4F" w:rsidRPr="00B074E5">
        <w:rPr>
          <w:sz w:val="22"/>
          <w:szCs w:val="22"/>
          <w:lang w:val="en-US"/>
        </w:rPr>
        <w:t xml:space="preserve">the confidence interval generated </w:t>
      </w:r>
      <w:r w:rsidR="00B074E5">
        <w:rPr>
          <w:sz w:val="22"/>
          <w:szCs w:val="22"/>
          <w:lang w:val="en-US"/>
        </w:rPr>
        <w:t>wa</w:t>
      </w:r>
      <w:r w:rsidR="00FF2C4F" w:rsidRPr="00B074E5">
        <w:rPr>
          <w:sz w:val="22"/>
          <w:szCs w:val="22"/>
          <w:lang w:val="en-US"/>
        </w:rPr>
        <w:t xml:space="preserve">s narrower as compared to that generated in the original submission. </w:t>
      </w:r>
      <w:r w:rsidR="00FE4FF7">
        <w:rPr>
          <w:sz w:val="22"/>
          <w:szCs w:val="22"/>
          <w:lang w:val="en-US"/>
        </w:rPr>
        <w:t xml:space="preserve"> </w:t>
      </w:r>
      <w:r w:rsidR="00FF2C4F" w:rsidRPr="00B074E5">
        <w:rPr>
          <w:sz w:val="22"/>
          <w:szCs w:val="22"/>
          <w:lang w:val="en-US"/>
        </w:rPr>
        <w:t>As highlighted by the company in response to the ACD, it is noteworthy that the confidence interval obtained using the</w:t>
      </w:r>
      <w:r w:rsidR="00B074E5">
        <w:rPr>
          <w:sz w:val="22"/>
          <w:szCs w:val="22"/>
          <w:lang w:val="en-US"/>
        </w:rPr>
        <w:t xml:space="preserve"> updated</w:t>
      </w:r>
      <w:r w:rsidR="00FF2C4F" w:rsidRPr="00B074E5">
        <w:rPr>
          <w:sz w:val="22"/>
          <w:szCs w:val="22"/>
          <w:lang w:val="en-US"/>
        </w:rPr>
        <w:t xml:space="preserve"> November 2018 data-cut (3.23 to 10.09) is not only narrower, but also falls entirely within the range of the confidence interval of the original acceleration factor based on the previous data</w:t>
      </w:r>
      <w:r w:rsidR="00C87222">
        <w:rPr>
          <w:sz w:val="22"/>
          <w:szCs w:val="22"/>
          <w:lang w:val="en-US"/>
        </w:rPr>
        <w:t>-</w:t>
      </w:r>
      <w:r w:rsidR="00FF2C4F" w:rsidRPr="00B074E5">
        <w:rPr>
          <w:sz w:val="22"/>
          <w:szCs w:val="22"/>
          <w:lang w:val="en-US"/>
        </w:rPr>
        <w:t>cut at the time of the original appraisal (1.79 to 11.68).</w:t>
      </w:r>
      <w:r w:rsidR="00D2004B">
        <w:rPr>
          <w:sz w:val="22"/>
          <w:szCs w:val="22"/>
          <w:lang w:val="en-US"/>
        </w:rPr>
        <w:t xml:space="preserve"> </w:t>
      </w:r>
      <w:r w:rsidR="00FF2C4F" w:rsidRPr="00B074E5">
        <w:rPr>
          <w:sz w:val="22"/>
          <w:szCs w:val="22"/>
          <w:lang w:val="en-US"/>
        </w:rPr>
        <w:t xml:space="preserve"> </w:t>
      </w:r>
      <w:r w:rsidRPr="00FF2C4F">
        <w:rPr>
          <w:sz w:val="22"/>
          <w:szCs w:val="22"/>
          <w:lang w:val="en-US"/>
        </w:rPr>
        <w:t xml:space="preserve">In that context, the </w:t>
      </w:r>
      <w:r w:rsidR="003A687E" w:rsidRPr="00FF2C4F">
        <w:rPr>
          <w:sz w:val="22"/>
          <w:szCs w:val="22"/>
          <w:lang w:val="en-US"/>
        </w:rPr>
        <w:t xml:space="preserve">overall </w:t>
      </w:r>
      <w:r w:rsidRPr="00FF2C4F">
        <w:rPr>
          <w:sz w:val="22"/>
          <w:szCs w:val="22"/>
          <w:lang w:val="en-US"/>
        </w:rPr>
        <w:t>approach remains consistent with</w:t>
      </w:r>
      <w:r w:rsidR="003A687E" w:rsidRPr="00FF2C4F">
        <w:rPr>
          <w:sz w:val="22"/>
          <w:szCs w:val="22"/>
          <w:lang w:val="en-US"/>
        </w:rPr>
        <w:t xml:space="preserve"> what was previously considered acceptable</w:t>
      </w:r>
      <w:r w:rsidR="00D2004B">
        <w:rPr>
          <w:sz w:val="22"/>
          <w:szCs w:val="22"/>
          <w:lang w:val="en-US"/>
        </w:rPr>
        <w:t xml:space="preserve"> in TA519.</w:t>
      </w:r>
      <w:r w:rsidRPr="00B074E5">
        <w:rPr>
          <w:sz w:val="22"/>
          <w:szCs w:val="22"/>
          <w:lang w:val="en-US"/>
        </w:rPr>
        <w:t xml:space="preserve">  </w:t>
      </w:r>
    </w:p>
    <w:p w14:paraId="4C97E45B" w14:textId="1345434B" w:rsidR="00FF2C4F" w:rsidRPr="00FF2C4F" w:rsidRDefault="00FF2C4F" w:rsidP="00FF2C4F">
      <w:pPr>
        <w:pStyle w:val="Default"/>
        <w:ind w:left="720"/>
        <w:jc w:val="both"/>
        <w:rPr>
          <w:rFonts w:asciiTheme="minorHAnsi" w:eastAsiaTheme="minorHAnsi" w:hAnsiTheme="minorHAnsi" w:cstheme="minorBidi"/>
          <w:color w:val="auto"/>
          <w:sz w:val="22"/>
          <w:szCs w:val="22"/>
          <w:lang w:val="en-US" w:eastAsia="en-US"/>
        </w:rPr>
      </w:pPr>
    </w:p>
    <w:p w14:paraId="223DBEC1" w14:textId="24FE221D" w:rsidR="00170813" w:rsidRPr="008C6C1F" w:rsidRDefault="00170813" w:rsidP="008C6C1F">
      <w:pPr>
        <w:pStyle w:val="BodyText"/>
        <w:numPr>
          <w:ilvl w:val="0"/>
          <w:numId w:val="34"/>
        </w:numPr>
        <w:jc w:val="both"/>
        <w:rPr>
          <w:sz w:val="22"/>
          <w:szCs w:val="22"/>
          <w:lang w:val="en-US"/>
        </w:rPr>
      </w:pPr>
      <w:r w:rsidRPr="00D57189">
        <w:rPr>
          <w:sz w:val="22"/>
          <w:szCs w:val="22"/>
          <w:lang w:val="en-US"/>
        </w:rPr>
        <w:t xml:space="preserve">The Appraisal Committee’s and ERG’s </w:t>
      </w:r>
      <w:r w:rsidR="000C1481">
        <w:rPr>
          <w:sz w:val="22"/>
          <w:szCs w:val="22"/>
          <w:lang w:val="en-US"/>
        </w:rPr>
        <w:t xml:space="preserve">exact </w:t>
      </w:r>
      <w:r w:rsidRPr="00D57189">
        <w:rPr>
          <w:sz w:val="22"/>
          <w:szCs w:val="22"/>
          <w:lang w:val="en-US"/>
        </w:rPr>
        <w:t xml:space="preserve">concerns with the 2-stage method </w:t>
      </w:r>
      <w:r w:rsidR="00B074E5">
        <w:rPr>
          <w:sz w:val="22"/>
          <w:szCs w:val="22"/>
          <w:lang w:val="en-US"/>
        </w:rPr>
        <w:t>have not been articulated in a clear, consistent manner throughout the appraisal</w:t>
      </w:r>
      <w:r w:rsidR="007644DD">
        <w:rPr>
          <w:sz w:val="22"/>
          <w:szCs w:val="22"/>
          <w:lang w:val="en-US"/>
        </w:rPr>
        <w:t xml:space="preserve">.  It remains unclear what these precisely are and how they are material to </w:t>
      </w:r>
      <w:r w:rsidR="003E5D9F">
        <w:rPr>
          <w:sz w:val="22"/>
          <w:szCs w:val="22"/>
          <w:lang w:val="en-US"/>
        </w:rPr>
        <w:t xml:space="preserve">its </w:t>
      </w:r>
      <w:r w:rsidR="007644DD">
        <w:rPr>
          <w:sz w:val="22"/>
          <w:szCs w:val="22"/>
          <w:lang w:val="en-US"/>
        </w:rPr>
        <w:t>overall assessment, particularly with respect to cost-effectiveness.</w:t>
      </w:r>
      <w:r w:rsidR="00E82DA0">
        <w:rPr>
          <w:sz w:val="22"/>
          <w:szCs w:val="22"/>
          <w:lang w:val="en-US"/>
        </w:rPr>
        <w:t xml:space="preserve">  For ex</w:t>
      </w:r>
      <w:r w:rsidR="008C6C1F">
        <w:rPr>
          <w:sz w:val="22"/>
          <w:szCs w:val="22"/>
          <w:lang w:val="en-US"/>
        </w:rPr>
        <w:t>ample, d</w:t>
      </w:r>
      <w:r w:rsidRPr="008C6C1F">
        <w:rPr>
          <w:sz w:val="22"/>
          <w:szCs w:val="22"/>
          <w:lang w:val="en-US"/>
        </w:rPr>
        <w:t xml:space="preserve">uring the early phases of consultation, the ERG appeared to be </w:t>
      </w:r>
      <w:r w:rsidR="00B074E5">
        <w:rPr>
          <w:sz w:val="22"/>
          <w:szCs w:val="22"/>
          <w:lang w:val="en-US"/>
        </w:rPr>
        <w:t xml:space="preserve">specifically </w:t>
      </w:r>
      <w:r w:rsidRPr="008C6C1F">
        <w:rPr>
          <w:sz w:val="22"/>
          <w:szCs w:val="22"/>
          <w:lang w:val="en-US"/>
        </w:rPr>
        <w:t>concerned with the</w:t>
      </w:r>
      <w:r w:rsidR="00C87222">
        <w:rPr>
          <w:sz w:val="22"/>
          <w:szCs w:val="22"/>
          <w:lang w:val="en-US"/>
        </w:rPr>
        <w:t xml:space="preserve"> fact that the</w:t>
      </w:r>
      <w:r w:rsidRPr="008C6C1F">
        <w:rPr>
          <w:sz w:val="22"/>
          <w:szCs w:val="22"/>
          <w:lang w:val="en-US"/>
        </w:rPr>
        <w:t xml:space="preserve"> </w:t>
      </w:r>
      <w:r w:rsidR="00B074E5">
        <w:rPr>
          <w:sz w:val="22"/>
          <w:szCs w:val="22"/>
          <w:lang w:val="en-US"/>
        </w:rPr>
        <w:t xml:space="preserve">higher </w:t>
      </w:r>
      <w:r w:rsidRPr="008C6C1F">
        <w:rPr>
          <w:sz w:val="22"/>
          <w:szCs w:val="22"/>
          <w:lang w:val="en-US"/>
        </w:rPr>
        <w:t>magnitude of the acceleration factor</w:t>
      </w:r>
      <w:r w:rsidR="00B074E5">
        <w:rPr>
          <w:sz w:val="22"/>
          <w:szCs w:val="22"/>
          <w:lang w:val="en-US"/>
        </w:rPr>
        <w:t xml:space="preserve"> result</w:t>
      </w:r>
      <w:r w:rsidR="00C87222">
        <w:rPr>
          <w:sz w:val="22"/>
          <w:szCs w:val="22"/>
          <w:lang w:val="en-US"/>
        </w:rPr>
        <w:t>ed</w:t>
      </w:r>
      <w:r w:rsidR="00B074E5">
        <w:rPr>
          <w:sz w:val="22"/>
          <w:szCs w:val="22"/>
          <w:lang w:val="en-US"/>
        </w:rPr>
        <w:t xml:space="preserve"> in</w:t>
      </w:r>
      <w:r w:rsidR="00B074E5" w:rsidRPr="00B074E5">
        <w:t xml:space="preserve"> </w:t>
      </w:r>
      <w:r w:rsidR="00B074E5">
        <w:t xml:space="preserve">the </w:t>
      </w:r>
      <w:r w:rsidR="00B074E5" w:rsidRPr="00B074E5">
        <w:rPr>
          <w:sz w:val="22"/>
          <w:szCs w:val="22"/>
          <w:lang w:val="en-US"/>
        </w:rPr>
        <w:t>2-stage adjustment ha</w:t>
      </w:r>
      <w:r w:rsidR="00B074E5">
        <w:rPr>
          <w:sz w:val="22"/>
          <w:szCs w:val="22"/>
          <w:lang w:val="en-US"/>
        </w:rPr>
        <w:t xml:space="preserve">ving </w:t>
      </w:r>
      <w:r w:rsidR="00B074E5" w:rsidRPr="00B074E5">
        <w:rPr>
          <w:sz w:val="22"/>
          <w:szCs w:val="22"/>
          <w:lang w:val="en-US"/>
        </w:rPr>
        <w:t>a greater influence on overall survival than it did in the original appraisal</w:t>
      </w:r>
      <w:r w:rsidRPr="008C6C1F">
        <w:rPr>
          <w:sz w:val="22"/>
          <w:szCs w:val="22"/>
          <w:lang w:val="en-US"/>
        </w:rPr>
        <w:t>.</w:t>
      </w:r>
      <w:r w:rsidR="00665287">
        <w:rPr>
          <w:rStyle w:val="FootnoteReference"/>
          <w:sz w:val="22"/>
          <w:szCs w:val="22"/>
          <w:lang w:val="en-US"/>
        </w:rPr>
        <w:footnoteReference w:id="38"/>
      </w:r>
      <w:r w:rsidRPr="008C6C1F">
        <w:rPr>
          <w:sz w:val="22"/>
          <w:szCs w:val="22"/>
          <w:lang w:val="en-US"/>
        </w:rPr>
        <w:t xml:space="preserve">  However, responding to MSD’s comments to the ACD, the ERG</w:t>
      </w:r>
      <w:r w:rsidR="00B074E5">
        <w:rPr>
          <w:sz w:val="22"/>
          <w:szCs w:val="22"/>
          <w:lang w:val="en-US"/>
        </w:rPr>
        <w:t xml:space="preserve"> </w:t>
      </w:r>
      <w:r w:rsidR="00C87222">
        <w:rPr>
          <w:sz w:val="22"/>
          <w:szCs w:val="22"/>
          <w:lang w:val="en-US"/>
        </w:rPr>
        <w:t>expanded</w:t>
      </w:r>
      <w:r w:rsidR="00B074E5">
        <w:rPr>
          <w:sz w:val="22"/>
          <w:szCs w:val="22"/>
          <w:lang w:val="en-US"/>
        </w:rPr>
        <w:t xml:space="preserve"> their </w:t>
      </w:r>
      <w:r w:rsidRPr="008C6C1F">
        <w:rPr>
          <w:sz w:val="22"/>
          <w:szCs w:val="22"/>
          <w:lang w:val="en-US"/>
        </w:rPr>
        <w:t>position</w:t>
      </w:r>
      <w:r w:rsidR="00B074E5">
        <w:rPr>
          <w:sz w:val="22"/>
          <w:szCs w:val="22"/>
          <w:lang w:val="en-US"/>
        </w:rPr>
        <w:t>, stating</w:t>
      </w:r>
      <w:r w:rsidRPr="008C6C1F">
        <w:rPr>
          <w:sz w:val="22"/>
          <w:szCs w:val="22"/>
          <w:lang w:val="en-US"/>
        </w:rPr>
        <w:t>: “</w:t>
      </w:r>
      <w:r w:rsidRPr="008C6C1F">
        <w:rPr>
          <w:i/>
          <w:sz w:val="22"/>
          <w:szCs w:val="22"/>
          <w:lang w:val="en-US"/>
        </w:rPr>
        <w:t xml:space="preserve">The magnitude of the acceleration factor is not a concern, but the increased magnitude has amplified the influence of this adjustment, which increased the importance of </w:t>
      </w:r>
      <w:bookmarkStart w:id="2" w:name="_Hlk35810961"/>
      <w:r w:rsidRPr="008C6C1F">
        <w:rPr>
          <w:i/>
          <w:sz w:val="22"/>
          <w:szCs w:val="22"/>
          <w:lang w:val="en-US"/>
        </w:rPr>
        <w:t>all the other characteristics of the adjustment</w:t>
      </w:r>
      <w:bookmarkEnd w:id="2"/>
      <w:r w:rsidR="00571CF7">
        <w:rPr>
          <w:i/>
          <w:sz w:val="22"/>
          <w:szCs w:val="22"/>
          <w:lang w:val="en-US"/>
        </w:rPr>
        <w:t>.</w:t>
      </w:r>
      <w:r w:rsidR="00571CF7">
        <w:rPr>
          <w:sz w:val="22"/>
          <w:szCs w:val="22"/>
          <w:lang w:val="en-US"/>
        </w:rPr>
        <w:t>”</w:t>
      </w:r>
      <w:r w:rsidR="00665287">
        <w:rPr>
          <w:rStyle w:val="FootnoteReference"/>
          <w:sz w:val="22"/>
          <w:szCs w:val="22"/>
          <w:lang w:val="en-US"/>
        </w:rPr>
        <w:footnoteReference w:id="39"/>
      </w:r>
      <w:r w:rsidRPr="008C6C1F">
        <w:rPr>
          <w:sz w:val="22"/>
          <w:szCs w:val="22"/>
          <w:lang w:val="en-US"/>
        </w:rPr>
        <w:t xml:space="preserve">  The Appraisal Committee reflected the ERG’s revised position in paragraph 3.6 of the FAD.  The shift of focus to</w:t>
      </w:r>
      <w:r w:rsidR="00BC5322">
        <w:rPr>
          <w:sz w:val="22"/>
          <w:szCs w:val="22"/>
          <w:lang w:val="en-US"/>
        </w:rPr>
        <w:t xml:space="preserve"> question</w:t>
      </w:r>
      <w:r w:rsidRPr="008C6C1F">
        <w:rPr>
          <w:sz w:val="22"/>
          <w:szCs w:val="22"/>
          <w:lang w:val="en-US"/>
        </w:rPr>
        <w:t xml:space="preserve"> “</w:t>
      </w:r>
      <w:r w:rsidR="00B074E5" w:rsidRPr="00A84E79">
        <w:rPr>
          <w:i/>
          <w:sz w:val="22"/>
          <w:szCs w:val="22"/>
          <w:lang w:val="en-US"/>
        </w:rPr>
        <w:t>all the other characteristics of the adjustment</w:t>
      </w:r>
      <w:r w:rsidRPr="00A84E79">
        <w:rPr>
          <w:i/>
          <w:sz w:val="22"/>
          <w:szCs w:val="22"/>
          <w:lang w:val="en-US"/>
        </w:rPr>
        <w:t>”</w:t>
      </w:r>
      <w:r w:rsidRPr="008C6C1F">
        <w:rPr>
          <w:sz w:val="22"/>
          <w:szCs w:val="22"/>
          <w:lang w:val="en-US"/>
        </w:rPr>
        <w:t xml:space="preserve"> is novel, </w:t>
      </w:r>
      <w:r w:rsidR="00E93068">
        <w:rPr>
          <w:sz w:val="22"/>
          <w:szCs w:val="22"/>
          <w:lang w:val="en-US"/>
        </w:rPr>
        <w:t xml:space="preserve">unclear </w:t>
      </w:r>
      <w:r w:rsidRPr="008C6C1F">
        <w:rPr>
          <w:sz w:val="22"/>
          <w:szCs w:val="22"/>
          <w:lang w:val="en-US"/>
        </w:rPr>
        <w:t xml:space="preserve">and lacks meaningful explanation.  </w:t>
      </w:r>
    </w:p>
    <w:p w14:paraId="73988084" w14:textId="21F54F60" w:rsidR="001410C1" w:rsidRDefault="00170813" w:rsidP="007018F1">
      <w:pPr>
        <w:pStyle w:val="BodyText"/>
        <w:numPr>
          <w:ilvl w:val="0"/>
          <w:numId w:val="34"/>
        </w:numPr>
        <w:jc w:val="both"/>
        <w:rPr>
          <w:sz w:val="22"/>
          <w:szCs w:val="22"/>
          <w:lang w:val="en-US"/>
        </w:rPr>
      </w:pPr>
      <w:r w:rsidRPr="00EC43F6">
        <w:rPr>
          <w:sz w:val="22"/>
          <w:szCs w:val="22"/>
          <w:lang w:val="en-US"/>
        </w:rPr>
        <w:t>Paragraph 3.6 of the FAD refers to various uncertainties and concerns that the ERG raised about the 2-stage method.</w:t>
      </w:r>
      <w:r w:rsidR="00902C93">
        <w:rPr>
          <w:sz w:val="22"/>
          <w:szCs w:val="22"/>
          <w:lang w:val="en-US"/>
        </w:rPr>
        <w:t xml:space="preserve"> </w:t>
      </w:r>
      <w:r w:rsidRPr="00EC43F6">
        <w:rPr>
          <w:sz w:val="22"/>
          <w:szCs w:val="22"/>
          <w:lang w:val="en-US"/>
        </w:rPr>
        <w:t xml:space="preserve"> </w:t>
      </w:r>
      <w:r w:rsidR="00B2588C" w:rsidRPr="00EC43F6">
        <w:rPr>
          <w:sz w:val="22"/>
          <w:szCs w:val="22"/>
          <w:lang w:val="en-US"/>
        </w:rPr>
        <w:t xml:space="preserve">The material point is that </w:t>
      </w:r>
      <w:r w:rsidRPr="00EC43F6">
        <w:rPr>
          <w:sz w:val="22"/>
          <w:szCs w:val="22"/>
          <w:lang w:val="en-US"/>
        </w:rPr>
        <w:t xml:space="preserve">MSD addressed </w:t>
      </w:r>
      <w:r w:rsidR="00D72A92" w:rsidRPr="00EC43F6">
        <w:rPr>
          <w:sz w:val="22"/>
          <w:szCs w:val="22"/>
          <w:lang w:val="en-US"/>
        </w:rPr>
        <w:t xml:space="preserve">these in full, </w:t>
      </w:r>
      <w:r w:rsidRPr="00EC43F6">
        <w:rPr>
          <w:sz w:val="22"/>
          <w:szCs w:val="22"/>
          <w:lang w:val="en-US"/>
        </w:rPr>
        <w:t>with supporting evidence during the ACD consultation</w:t>
      </w:r>
      <w:r w:rsidR="00D72A92" w:rsidRPr="00EC43F6">
        <w:rPr>
          <w:sz w:val="22"/>
          <w:szCs w:val="22"/>
          <w:lang w:val="en-US"/>
        </w:rPr>
        <w:t xml:space="preserve"> process</w:t>
      </w:r>
      <w:r w:rsidRPr="00EC43F6">
        <w:rPr>
          <w:sz w:val="22"/>
          <w:szCs w:val="22"/>
          <w:lang w:val="en-US"/>
        </w:rPr>
        <w:t xml:space="preserve"> </w:t>
      </w:r>
      <w:r w:rsidR="00B2588C" w:rsidRPr="00EC43F6">
        <w:rPr>
          <w:sz w:val="22"/>
          <w:szCs w:val="22"/>
          <w:lang w:val="en-US"/>
        </w:rPr>
        <w:t>(</w:t>
      </w:r>
      <w:r w:rsidRPr="00EC43F6">
        <w:rPr>
          <w:sz w:val="22"/>
          <w:szCs w:val="22"/>
          <w:lang w:val="en-US"/>
        </w:rPr>
        <w:t xml:space="preserve">Comments </w:t>
      </w:r>
      <w:r w:rsidR="00230C31" w:rsidRPr="00EC43F6">
        <w:rPr>
          <w:sz w:val="22"/>
          <w:szCs w:val="22"/>
          <w:lang w:val="en-US"/>
        </w:rPr>
        <w:t>4, 5, 6 and 7</w:t>
      </w:r>
      <w:r w:rsidR="00D0774F" w:rsidRPr="00EC43F6">
        <w:rPr>
          <w:sz w:val="22"/>
          <w:szCs w:val="22"/>
          <w:lang w:val="en-US"/>
        </w:rPr>
        <w:t xml:space="preserve"> </w:t>
      </w:r>
      <w:r w:rsidRPr="00EC43F6">
        <w:rPr>
          <w:sz w:val="22"/>
          <w:szCs w:val="22"/>
          <w:lang w:val="en-US"/>
        </w:rPr>
        <w:t xml:space="preserve">of MSD’s Comments on the </w:t>
      </w:r>
      <w:r w:rsidR="00B2588C" w:rsidRPr="00EC43F6">
        <w:rPr>
          <w:sz w:val="22"/>
          <w:szCs w:val="22"/>
          <w:lang w:val="en-US"/>
        </w:rPr>
        <w:t xml:space="preserve">ACD).  </w:t>
      </w:r>
      <w:r w:rsidR="00D72A92" w:rsidRPr="00EC43F6">
        <w:rPr>
          <w:sz w:val="22"/>
          <w:szCs w:val="22"/>
          <w:lang w:val="en-US"/>
        </w:rPr>
        <w:t>However, once it had received the ACD comments, the Appraisal Committee’s response did not materially engage with the company’s submissions (pages 9-18 of NICE’s Responses to Comments on the ACD).  On that basis, simply repeating the same points in the FAD makes l</w:t>
      </w:r>
      <w:r w:rsidR="00E93068" w:rsidRPr="00EC43F6">
        <w:rPr>
          <w:sz w:val="22"/>
          <w:szCs w:val="22"/>
          <w:lang w:val="en-US"/>
        </w:rPr>
        <w:t>ittle sense</w:t>
      </w:r>
      <w:r w:rsidR="00D72A92" w:rsidRPr="00EC43F6">
        <w:rPr>
          <w:sz w:val="22"/>
          <w:szCs w:val="22"/>
          <w:lang w:val="en-US"/>
        </w:rPr>
        <w:t>.</w:t>
      </w:r>
      <w:r w:rsidR="0061399D">
        <w:rPr>
          <w:sz w:val="22"/>
          <w:szCs w:val="22"/>
          <w:lang w:val="en-US"/>
        </w:rPr>
        <w:t xml:space="preserve"> </w:t>
      </w:r>
      <w:r w:rsidR="00EC43F6">
        <w:rPr>
          <w:sz w:val="22"/>
          <w:szCs w:val="22"/>
          <w:lang w:val="en-US"/>
        </w:rPr>
        <w:t xml:space="preserve"> </w:t>
      </w:r>
      <w:r w:rsidR="00492B14">
        <w:rPr>
          <w:sz w:val="22"/>
          <w:szCs w:val="22"/>
          <w:lang w:val="en-US"/>
        </w:rPr>
        <w:t>T</w:t>
      </w:r>
      <w:r w:rsidR="00ED72D9" w:rsidRPr="00EC43F6">
        <w:rPr>
          <w:sz w:val="22"/>
          <w:szCs w:val="22"/>
          <w:lang w:val="en-US"/>
        </w:rPr>
        <w:t xml:space="preserve">he conclusions </w:t>
      </w:r>
      <w:r w:rsidR="00A52F49" w:rsidRPr="00EC43F6">
        <w:rPr>
          <w:sz w:val="22"/>
          <w:szCs w:val="22"/>
          <w:lang w:val="en-US"/>
        </w:rPr>
        <w:t xml:space="preserve">reached </w:t>
      </w:r>
      <w:r w:rsidR="00ED72D9" w:rsidRPr="00EC43F6">
        <w:rPr>
          <w:sz w:val="22"/>
          <w:szCs w:val="22"/>
          <w:lang w:val="en-US"/>
        </w:rPr>
        <w:t xml:space="preserve">and </w:t>
      </w:r>
      <w:r w:rsidR="00A52F49" w:rsidRPr="00EC43F6">
        <w:rPr>
          <w:sz w:val="22"/>
          <w:szCs w:val="22"/>
          <w:lang w:val="en-US"/>
        </w:rPr>
        <w:t xml:space="preserve">the related </w:t>
      </w:r>
      <w:r w:rsidR="00ED72D9" w:rsidRPr="00EC43F6">
        <w:rPr>
          <w:sz w:val="22"/>
          <w:szCs w:val="22"/>
          <w:lang w:val="en-US"/>
        </w:rPr>
        <w:t xml:space="preserve">commentary </w:t>
      </w:r>
      <w:r w:rsidR="00E93068" w:rsidRPr="00EC43F6">
        <w:rPr>
          <w:sz w:val="22"/>
          <w:szCs w:val="22"/>
          <w:lang w:val="en-US"/>
        </w:rPr>
        <w:t xml:space="preserve">are </w:t>
      </w:r>
      <w:r w:rsidR="00A52F49" w:rsidRPr="00EC43F6">
        <w:rPr>
          <w:sz w:val="22"/>
          <w:szCs w:val="22"/>
          <w:lang w:val="en-US"/>
        </w:rPr>
        <w:t xml:space="preserve">unfounded, </w:t>
      </w:r>
      <w:proofErr w:type="gramStart"/>
      <w:r w:rsidR="00A52F49" w:rsidRPr="00EC43F6">
        <w:rPr>
          <w:sz w:val="22"/>
          <w:szCs w:val="22"/>
          <w:lang w:val="en-US"/>
        </w:rPr>
        <w:t>in light of</w:t>
      </w:r>
      <w:proofErr w:type="gramEnd"/>
      <w:r w:rsidR="00A52F49" w:rsidRPr="00EC43F6">
        <w:rPr>
          <w:sz w:val="22"/>
          <w:szCs w:val="22"/>
          <w:lang w:val="en-US"/>
        </w:rPr>
        <w:t xml:space="preserve"> the</w:t>
      </w:r>
      <w:r w:rsidR="00ED72D9" w:rsidRPr="00EC43F6">
        <w:rPr>
          <w:sz w:val="22"/>
          <w:szCs w:val="22"/>
          <w:lang w:val="en-US"/>
        </w:rPr>
        <w:t xml:space="preserve"> responses provided by the c</w:t>
      </w:r>
      <w:r w:rsidR="00EC43F6">
        <w:rPr>
          <w:sz w:val="22"/>
          <w:szCs w:val="22"/>
          <w:lang w:val="en-US"/>
        </w:rPr>
        <w:t>ompan</w:t>
      </w:r>
      <w:r w:rsidR="00492B14">
        <w:rPr>
          <w:sz w:val="22"/>
          <w:szCs w:val="22"/>
          <w:lang w:val="en-US"/>
        </w:rPr>
        <w:t>y during ACD consultation.  For example, n</w:t>
      </w:r>
      <w:r w:rsidR="00230C31" w:rsidRPr="00ED72D9">
        <w:rPr>
          <w:sz w:val="22"/>
          <w:szCs w:val="22"/>
          <w:lang w:val="en-US"/>
        </w:rPr>
        <w:t>ew uncertainties were seemingly introduced by the ERG and accepted by the Appraisal Committee following ACD consultation</w:t>
      </w:r>
      <w:r w:rsidR="00B465DB">
        <w:rPr>
          <w:sz w:val="22"/>
          <w:szCs w:val="22"/>
          <w:lang w:val="en-US"/>
        </w:rPr>
        <w:t>.</w:t>
      </w:r>
      <w:r w:rsidR="00230C31" w:rsidRPr="00ED72D9">
        <w:rPr>
          <w:sz w:val="22"/>
          <w:szCs w:val="22"/>
          <w:lang w:val="en-US"/>
        </w:rPr>
        <w:t xml:space="preserve"> </w:t>
      </w:r>
    </w:p>
    <w:p w14:paraId="731DC485" w14:textId="492D0EF7" w:rsidR="001410C1" w:rsidRPr="00A84E79" w:rsidRDefault="00B465DB" w:rsidP="007018F1">
      <w:pPr>
        <w:pStyle w:val="BodyText"/>
        <w:numPr>
          <w:ilvl w:val="1"/>
          <w:numId w:val="34"/>
        </w:numPr>
        <w:jc w:val="both"/>
        <w:rPr>
          <w:sz w:val="22"/>
          <w:szCs w:val="22"/>
          <w:lang w:val="en-US"/>
        </w:rPr>
      </w:pPr>
      <w:r>
        <w:rPr>
          <w:sz w:val="22"/>
          <w:szCs w:val="22"/>
          <w:lang w:val="en-US"/>
        </w:rPr>
        <w:t xml:space="preserve">Paragraph </w:t>
      </w:r>
      <w:r w:rsidR="00ED72D9">
        <w:rPr>
          <w:sz w:val="22"/>
          <w:szCs w:val="22"/>
          <w:lang w:val="en-US"/>
        </w:rPr>
        <w:t xml:space="preserve">3.6 of the FAD acknowledges that the company provided sensitivity analyses in response to ACD consultation to apply the acceleration factor to all 40 </w:t>
      </w:r>
      <w:r w:rsidR="00ED72D9">
        <w:rPr>
          <w:sz w:val="22"/>
          <w:szCs w:val="22"/>
          <w:lang w:val="en-US"/>
        </w:rPr>
        <w:lastRenderedPageBreak/>
        <w:t xml:space="preserve">patients who switched (irrespective </w:t>
      </w:r>
      <w:r>
        <w:rPr>
          <w:sz w:val="22"/>
          <w:szCs w:val="22"/>
          <w:lang w:val="en-US"/>
        </w:rPr>
        <w:t xml:space="preserve">of whether those patients </w:t>
      </w:r>
      <w:r w:rsidR="00ED72D9">
        <w:rPr>
          <w:sz w:val="22"/>
          <w:szCs w:val="22"/>
          <w:lang w:val="en-US"/>
        </w:rPr>
        <w:t xml:space="preserve">were </w:t>
      </w:r>
      <w:r>
        <w:rPr>
          <w:sz w:val="22"/>
          <w:szCs w:val="22"/>
          <w:lang w:val="en-US"/>
        </w:rPr>
        <w:t>“</w:t>
      </w:r>
      <w:r w:rsidR="00ED72D9">
        <w:rPr>
          <w:sz w:val="22"/>
          <w:szCs w:val="22"/>
          <w:lang w:val="en-US"/>
        </w:rPr>
        <w:t>eligible</w:t>
      </w:r>
      <w:r>
        <w:rPr>
          <w:sz w:val="22"/>
          <w:szCs w:val="22"/>
          <w:lang w:val="en-US"/>
        </w:rPr>
        <w:t>”</w:t>
      </w:r>
      <w:r w:rsidR="00ED72D9">
        <w:rPr>
          <w:sz w:val="22"/>
          <w:szCs w:val="22"/>
          <w:lang w:val="en-US"/>
        </w:rPr>
        <w:t xml:space="preserve"> for </w:t>
      </w:r>
      <w:r w:rsidR="001410C1">
        <w:rPr>
          <w:sz w:val="22"/>
          <w:szCs w:val="22"/>
          <w:lang w:val="en-US"/>
        </w:rPr>
        <w:t>switching</w:t>
      </w:r>
      <w:r w:rsidR="00ED72D9">
        <w:rPr>
          <w:sz w:val="22"/>
          <w:szCs w:val="22"/>
          <w:lang w:val="en-US"/>
        </w:rPr>
        <w:t xml:space="preserve"> as defined by the 2-stage method)</w:t>
      </w:r>
      <w:r w:rsidR="001410C1">
        <w:rPr>
          <w:sz w:val="22"/>
          <w:szCs w:val="22"/>
          <w:lang w:val="en-US"/>
        </w:rPr>
        <w:t>.</w:t>
      </w:r>
      <w:r w:rsidR="00E8281F">
        <w:rPr>
          <w:sz w:val="22"/>
          <w:szCs w:val="22"/>
          <w:lang w:val="en-US"/>
        </w:rPr>
        <w:t xml:space="preserve"> </w:t>
      </w:r>
      <w:r w:rsidR="001410C1">
        <w:rPr>
          <w:sz w:val="22"/>
          <w:szCs w:val="22"/>
          <w:lang w:val="en-US"/>
        </w:rPr>
        <w:t xml:space="preserve"> It is important to note that </w:t>
      </w:r>
      <w:r w:rsidR="00C87222">
        <w:rPr>
          <w:sz w:val="22"/>
          <w:szCs w:val="22"/>
          <w:lang w:val="en-US"/>
        </w:rPr>
        <w:t>these</w:t>
      </w:r>
      <w:r w:rsidR="001410C1">
        <w:rPr>
          <w:sz w:val="22"/>
          <w:szCs w:val="22"/>
          <w:lang w:val="en-US"/>
        </w:rPr>
        <w:t xml:space="preserve"> analys</w:t>
      </w:r>
      <w:r w:rsidR="00C87222">
        <w:rPr>
          <w:sz w:val="22"/>
          <w:szCs w:val="22"/>
          <w:lang w:val="en-US"/>
        </w:rPr>
        <w:t>es</w:t>
      </w:r>
      <w:r w:rsidR="001410C1">
        <w:rPr>
          <w:sz w:val="22"/>
          <w:szCs w:val="22"/>
          <w:lang w:val="en-US"/>
        </w:rPr>
        <w:t xml:space="preserve"> w</w:t>
      </w:r>
      <w:r w:rsidR="00C87222">
        <w:rPr>
          <w:sz w:val="22"/>
          <w:szCs w:val="22"/>
          <w:lang w:val="en-US"/>
        </w:rPr>
        <w:t>ere</w:t>
      </w:r>
      <w:r w:rsidR="001410C1">
        <w:rPr>
          <w:sz w:val="22"/>
          <w:szCs w:val="22"/>
          <w:lang w:val="en-US"/>
        </w:rPr>
        <w:t xml:space="preserve"> conducted to address </w:t>
      </w:r>
      <w:r w:rsidR="00D22667">
        <w:rPr>
          <w:sz w:val="22"/>
          <w:szCs w:val="22"/>
          <w:lang w:val="en-US"/>
        </w:rPr>
        <w:t xml:space="preserve">a </w:t>
      </w:r>
      <w:r>
        <w:rPr>
          <w:sz w:val="22"/>
          <w:szCs w:val="22"/>
          <w:lang w:val="en-US"/>
        </w:rPr>
        <w:t xml:space="preserve">specific </w:t>
      </w:r>
      <w:r w:rsidR="001410C1">
        <w:rPr>
          <w:sz w:val="22"/>
          <w:szCs w:val="22"/>
          <w:lang w:val="en-US"/>
        </w:rPr>
        <w:t xml:space="preserve">concern raised by the ERG in </w:t>
      </w:r>
      <w:r>
        <w:rPr>
          <w:sz w:val="22"/>
          <w:szCs w:val="22"/>
          <w:lang w:val="en-US"/>
        </w:rPr>
        <w:t xml:space="preserve">paragraph </w:t>
      </w:r>
      <w:r w:rsidR="001410C1">
        <w:rPr>
          <w:sz w:val="22"/>
          <w:szCs w:val="22"/>
          <w:lang w:val="en-US"/>
        </w:rPr>
        <w:t xml:space="preserve">3.5 of the ACD, which stated </w:t>
      </w:r>
      <w:r w:rsidR="001410C1" w:rsidRPr="00A84E79">
        <w:rPr>
          <w:i/>
          <w:sz w:val="22"/>
          <w:szCs w:val="22"/>
          <w:lang w:val="en-US"/>
        </w:rPr>
        <w:t>“The acceleration factor was calculated from the 25 people who switched when progression of their disease was documented. The acceleration factor was not applied to the overall survival time of 15 patients who switched at different times. It is not known how including these 15 patients in an adjustment would have affected the estimated incremental cost-effectiveness ratio (ICER).</w:t>
      </w:r>
      <w:r w:rsidR="001410C1">
        <w:rPr>
          <w:i/>
          <w:sz w:val="22"/>
          <w:szCs w:val="22"/>
          <w:lang w:val="en-US"/>
        </w:rPr>
        <w:t>”</w:t>
      </w:r>
    </w:p>
    <w:p w14:paraId="520FE6C4" w14:textId="60A3F238" w:rsidR="008E3E01" w:rsidRPr="008E3E01" w:rsidRDefault="001410C1" w:rsidP="008E3E01">
      <w:pPr>
        <w:pStyle w:val="BodyText"/>
        <w:numPr>
          <w:ilvl w:val="1"/>
          <w:numId w:val="34"/>
        </w:numPr>
        <w:jc w:val="both"/>
        <w:rPr>
          <w:sz w:val="22"/>
          <w:szCs w:val="22"/>
          <w:lang w:val="en-US"/>
        </w:rPr>
      </w:pPr>
      <w:r>
        <w:rPr>
          <w:sz w:val="22"/>
          <w:szCs w:val="22"/>
          <w:lang w:val="en-US"/>
        </w:rPr>
        <w:t>Yet upon reviewing the company</w:t>
      </w:r>
      <w:r w:rsidR="00460B03">
        <w:rPr>
          <w:sz w:val="22"/>
          <w:szCs w:val="22"/>
          <w:lang w:val="en-US"/>
        </w:rPr>
        <w:t xml:space="preserve">’s comments on </w:t>
      </w:r>
      <w:r>
        <w:rPr>
          <w:sz w:val="22"/>
          <w:szCs w:val="22"/>
          <w:lang w:val="en-US"/>
        </w:rPr>
        <w:t>the ACD, the ERG’s response c</w:t>
      </w:r>
      <w:r w:rsidRPr="001410C1">
        <w:rPr>
          <w:sz w:val="22"/>
          <w:szCs w:val="22"/>
          <w:lang w:val="en-US"/>
        </w:rPr>
        <w:t>onfusingly state</w:t>
      </w:r>
      <w:r>
        <w:rPr>
          <w:sz w:val="22"/>
          <w:szCs w:val="22"/>
          <w:lang w:val="en-US"/>
        </w:rPr>
        <w:t>d</w:t>
      </w:r>
      <w:r w:rsidR="00460B03">
        <w:rPr>
          <w:sz w:val="22"/>
          <w:szCs w:val="22"/>
          <w:lang w:val="en-US"/>
        </w:rPr>
        <w:t>:</w:t>
      </w:r>
      <w:r>
        <w:rPr>
          <w:sz w:val="22"/>
          <w:szCs w:val="22"/>
          <w:lang w:val="en-US"/>
        </w:rPr>
        <w:t xml:space="preserve"> </w:t>
      </w:r>
      <w:r w:rsidRPr="024B4842">
        <w:rPr>
          <w:i/>
          <w:iCs/>
          <w:sz w:val="22"/>
          <w:szCs w:val="22"/>
          <w:lang w:val="en-US"/>
        </w:rPr>
        <w:t>“</w:t>
      </w:r>
      <w:r w:rsidR="00460B03" w:rsidRPr="024B4842">
        <w:rPr>
          <w:i/>
          <w:iCs/>
          <w:sz w:val="22"/>
          <w:szCs w:val="22"/>
          <w:lang w:val="en-US"/>
        </w:rPr>
        <w:t>[t]</w:t>
      </w:r>
      <w:r w:rsidRPr="024B4842">
        <w:rPr>
          <w:i/>
          <w:iCs/>
          <w:sz w:val="22"/>
          <w:szCs w:val="22"/>
          <w:lang w:val="en-US"/>
        </w:rPr>
        <w:t>he company present an analysis where the acceleration factor is applied to all 40 patients who switched treatment, and not only to those who switched upon disease progression.</w:t>
      </w:r>
      <w:r w:rsidR="00671FF3" w:rsidRPr="024B4842">
        <w:rPr>
          <w:i/>
          <w:iCs/>
          <w:sz w:val="22"/>
          <w:szCs w:val="22"/>
          <w:lang w:val="en-US"/>
        </w:rPr>
        <w:t xml:space="preserve"> </w:t>
      </w:r>
      <w:r w:rsidRPr="024B4842">
        <w:rPr>
          <w:i/>
          <w:iCs/>
          <w:sz w:val="22"/>
          <w:szCs w:val="22"/>
          <w:lang w:val="en-US"/>
        </w:rPr>
        <w:t xml:space="preserve"> Unsurprisingly, reducing the survival time of additional patients in the UKSOC arm makes pembrolizumab slightly better than in the base case analysis.</w:t>
      </w:r>
      <w:r w:rsidR="00671FF3" w:rsidRPr="024B4842">
        <w:rPr>
          <w:i/>
          <w:iCs/>
          <w:sz w:val="22"/>
          <w:szCs w:val="22"/>
          <w:lang w:val="en-US"/>
        </w:rPr>
        <w:t xml:space="preserve"> </w:t>
      </w:r>
      <w:r w:rsidRPr="024B4842">
        <w:rPr>
          <w:i/>
          <w:iCs/>
          <w:sz w:val="22"/>
          <w:szCs w:val="22"/>
          <w:lang w:val="en-US"/>
        </w:rPr>
        <w:t xml:space="preserve"> </w:t>
      </w:r>
      <w:r w:rsidRPr="024B4842">
        <w:rPr>
          <w:b/>
          <w:bCs/>
          <w:i/>
          <w:iCs/>
          <w:sz w:val="22"/>
          <w:szCs w:val="22"/>
          <w:lang w:val="en-US"/>
        </w:rPr>
        <w:t xml:space="preserve">However, the relevance of this analysis is </w:t>
      </w:r>
      <w:proofErr w:type="gramStart"/>
      <w:r w:rsidRPr="024B4842">
        <w:rPr>
          <w:b/>
          <w:bCs/>
          <w:i/>
          <w:iCs/>
          <w:sz w:val="22"/>
          <w:szCs w:val="22"/>
          <w:lang w:val="en-US"/>
        </w:rPr>
        <w:t>questionable, since</w:t>
      </w:r>
      <w:proofErr w:type="gramEnd"/>
      <w:r w:rsidRPr="024B4842">
        <w:rPr>
          <w:b/>
          <w:bCs/>
          <w:i/>
          <w:iCs/>
          <w:sz w:val="22"/>
          <w:szCs w:val="22"/>
          <w:lang w:val="en-US"/>
        </w:rPr>
        <w:t xml:space="preserve"> the estimation of the acceleration factor is not adjusted in any way</w:t>
      </w:r>
      <w:r w:rsidRPr="00A26552">
        <w:rPr>
          <w:bCs/>
          <w:i/>
          <w:iCs/>
          <w:sz w:val="22"/>
          <w:szCs w:val="22"/>
          <w:lang w:val="en-US"/>
        </w:rPr>
        <w:t>.</w:t>
      </w:r>
      <w:r w:rsidRPr="024B4842">
        <w:rPr>
          <w:i/>
          <w:iCs/>
          <w:sz w:val="22"/>
          <w:szCs w:val="22"/>
          <w:lang w:val="en-US"/>
        </w:rPr>
        <w:t>”</w:t>
      </w:r>
      <w:r>
        <w:rPr>
          <w:sz w:val="22"/>
          <w:szCs w:val="22"/>
          <w:lang w:val="en-US"/>
        </w:rPr>
        <w:t xml:space="preserve"> (emphasis added).</w:t>
      </w:r>
      <w:r w:rsidR="00D0774F">
        <w:rPr>
          <w:rStyle w:val="FootnoteReference"/>
          <w:sz w:val="22"/>
          <w:szCs w:val="22"/>
          <w:lang w:val="en-US"/>
        </w:rPr>
        <w:footnoteReference w:id="40"/>
      </w:r>
      <w:r>
        <w:rPr>
          <w:sz w:val="22"/>
          <w:szCs w:val="22"/>
          <w:lang w:val="en-US"/>
        </w:rPr>
        <w:t xml:space="preserve"> </w:t>
      </w:r>
      <w:r w:rsidR="00D7219D">
        <w:rPr>
          <w:sz w:val="22"/>
          <w:szCs w:val="22"/>
          <w:lang w:val="en-US"/>
        </w:rPr>
        <w:t xml:space="preserve"> </w:t>
      </w:r>
      <w:r>
        <w:rPr>
          <w:sz w:val="22"/>
          <w:szCs w:val="22"/>
          <w:lang w:val="en-US"/>
        </w:rPr>
        <w:t>The ERG’s</w:t>
      </w:r>
      <w:r w:rsidR="00C1385E">
        <w:rPr>
          <w:sz w:val="22"/>
          <w:szCs w:val="22"/>
          <w:lang w:val="en-US"/>
        </w:rPr>
        <w:t xml:space="preserve"> late</w:t>
      </w:r>
      <w:r>
        <w:rPr>
          <w:sz w:val="22"/>
          <w:szCs w:val="22"/>
          <w:lang w:val="en-US"/>
        </w:rPr>
        <w:t xml:space="preserve"> shift </w:t>
      </w:r>
      <w:r w:rsidR="004146C1">
        <w:rPr>
          <w:sz w:val="22"/>
          <w:szCs w:val="22"/>
          <w:lang w:val="en-US"/>
        </w:rPr>
        <w:t>to focus on</w:t>
      </w:r>
      <w:r>
        <w:rPr>
          <w:sz w:val="22"/>
          <w:szCs w:val="22"/>
          <w:lang w:val="en-US"/>
        </w:rPr>
        <w:t xml:space="preserve"> the lack of adjustment to the acceleration factor</w:t>
      </w:r>
      <w:r w:rsidRPr="003D03E4">
        <w:rPr>
          <w:sz w:val="22"/>
          <w:szCs w:val="22"/>
          <w:lang w:val="en-US"/>
        </w:rPr>
        <w:t xml:space="preserve"> is reflected </w:t>
      </w:r>
      <w:r w:rsidR="00460B03">
        <w:rPr>
          <w:sz w:val="22"/>
          <w:szCs w:val="22"/>
          <w:lang w:val="en-US"/>
        </w:rPr>
        <w:t xml:space="preserve">in </w:t>
      </w:r>
      <w:r w:rsidRPr="003D03E4">
        <w:rPr>
          <w:sz w:val="22"/>
          <w:szCs w:val="22"/>
          <w:lang w:val="en-US"/>
        </w:rPr>
        <w:t xml:space="preserve">the Appraisal Committee’s commentary in </w:t>
      </w:r>
      <w:r w:rsidR="00460B03">
        <w:rPr>
          <w:sz w:val="22"/>
          <w:szCs w:val="22"/>
          <w:lang w:val="en-US"/>
        </w:rPr>
        <w:t xml:space="preserve">paragraph </w:t>
      </w:r>
      <w:r w:rsidRPr="003D03E4">
        <w:rPr>
          <w:sz w:val="22"/>
          <w:szCs w:val="22"/>
          <w:lang w:val="en-US"/>
        </w:rPr>
        <w:t>3.6 of the  FAD which state</w:t>
      </w:r>
      <w:r w:rsidR="00460B03">
        <w:rPr>
          <w:sz w:val="22"/>
          <w:szCs w:val="22"/>
          <w:lang w:val="en-US"/>
        </w:rPr>
        <w:t>s</w:t>
      </w:r>
      <w:r w:rsidRPr="003D03E4">
        <w:rPr>
          <w:sz w:val="22"/>
          <w:szCs w:val="22"/>
          <w:lang w:val="en-US"/>
        </w:rPr>
        <w:t xml:space="preserve"> </w:t>
      </w:r>
      <w:r w:rsidRPr="024B4842">
        <w:rPr>
          <w:i/>
          <w:iCs/>
          <w:sz w:val="22"/>
          <w:szCs w:val="22"/>
          <w:lang w:val="en-US"/>
        </w:rPr>
        <w:t>“…the company provided a sensitivity analysis applying the acceleration factor to all 40 patients. In this, the hazard ratio for pembrolizumab compared with UK SoC was 0.55. However, the calculation of the acceleration factor was not adjusted to include these 15 patients</w:t>
      </w:r>
      <w:r w:rsidR="00460B03" w:rsidRPr="024B4842">
        <w:rPr>
          <w:i/>
          <w:iCs/>
          <w:sz w:val="22"/>
          <w:szCs w:val="22"/>
          <w:lang w:val="en-US"/>
        </w:rPr>
        <w:t>.</w:t>
      </w:r>
      <w:r w:rsidRPr="024B4842">
        <w:rPr>
          <w:i/>
          <w:iCs/>
          <w:sz w:val="22"/>
          <w:szCs w:val="22"/>
          <w:lang w:val="en-US"/>
        </w:rPr>
        <w:t>”</w:t>
      </w:r>
      <w:r w:rsidR="00B42FF9">
        <w:rPr>
          <w:i/>
          <w:iCs/>
          <w:sz w:val="22"/>
          <w:szCs w:val="22"/>
          <w:lang w:val="en-US"/>
        </w:rPr>
        <w:t xml:space="preserve"> </w:t>
      </w:r>
      <w:r w:rsidR="00460B03">
        <w:rPr>
          <w:sz w:val="22"/>
          <w:szCs w:val="22"/>
          <w:lang w:val="en-US"/>
        </w:rPr>
        <w:t xml:space="preserve"> That criticism of the company’s analysis is wholly unreasonable, given that the sensitivity analysis was to address</w:t>
      </w:r>
      <w:r w:rsidR="006F6FEF">
        <w:rPr>
          <w:sz w:val="22"/>
          <w:szCs w:val="22"/>
          <w:lang w:val="en-US"/>
        </w:rPr>
        <w:t xml:space="preserve"> a</w:t>
      </w:r>
      <w:r w:rsidR="00460B03">
        <w:rPr>
          <w:sz w:val="22"/>
          <w:szCs w:val="22"/>
          <w:lang w:val="en-US"/>
        </w:rPr>
        <w:t xml:space="preserve"> specific request from the ERG</w:t>
      </w:r>
      <w:r w:rsidR="00D764D9">
        <w:rPr>
          <w:sz w:val="22"/>
          <w:szCs w:val="22"/>
          <w:lang w:val="en-US"/>
        </w:rPr>
        <w:t xml:space="preserve"> and its outcome in fact supports the company’s position.  To switch attention to the lack of adjustment in the acceleration factor effectively “shifts the goalposts” at a very late stage and is unwarranted and unreasonable.  Particularly so, as this introduces uncertainty into the assessment that contributes to the range of ICERs.</w:t>
      </w:r>
    </w:p>
    <w:p w14:paraId="6326064C" w14:textId="2DA369CE" w:rsidR="00170813" w:rsidRPr="008E3E01" w:rsidRDefault="00170813" w:rsidP="008E3E01">
      <w:pPr>
        <w:pStyle w:val="ListParagraph"/>
        <w:numPr>
          <w:ilvl w:val="0"/>
          <w:numId w:val="34"/>
        </w:numPr>
        <w:jc w:val="both"/>
        <w:rPr>
          <w:sz w:val="22"/>
          <w:szCs w:val="22"/>
          <w:lang w:val="en-US"/>
        </w:rPr>
      </w:pPr>
      <w:r w:rsidRPr="006B5305">
        <w:rPr>
          <w:sz w:val="22"/>
          <w:szCs w:val="22"/>
          <w:lang w:val="en-US"/>
        </w:rPr>
        <w:t>The</w:t>
      </w:r>
      <w:r w:rsidR="008D6EF4" w:rsidRPr="006B5305">
        <w:rPr>
          <w:sz w:val="22"/>
          <w:szCs w:val="22"/>
          <w:lang w:val="en-US"/>
        </w:rPr>
        <w:t xml:space="preserve"> </w:t>
      </w:r>
      <w:r w:rsidR="00763DC1" w:rsidRPr="006B5305">
        <w:rPr>
          <w:sz w:val="22"/>
          <w:szCs w:val="22"/>
          <w:lang w:val="en-US"/>
        </w:rPr>
        <w:t xml:space="preserve">support for taking </w:t>
      </w:r>
      <w:r w:rsidRPr="006B5305">
        <w:rPr>
          <w:sz w:val="22"/>
          <w:szCs w:val="22"/>
          <w:lang w:val="en-US"/>
        </w:rPr>
        <w:t>unadjusted data</w:t>
      </w:r>
      <w:r w:rsidR="00763DC1" w:rsidRPr="006B5305">
        <w:rPr>
          <w:sz w:val="22"/>
          <w:szCs w:val="22"/>
          <w:lang w:val="en-US"/>
        </w:rPr>
        <w:t xml:space="preserve"> into account relies</w:t>
      </w:r>
      <w:r w:rsidRPr="006B5305">
        <w:rPr>
          <w:sz w:val="22"/>
          <w:szCs w:val="22"/>
          <w:lang w:val="en-US"/>
        </w:rPr>
        <w:t xml:space="preserve">, in part, on the ERG’s </w:t>
      </w:r>
      <w:r w:rsidR="00763DC1" w:rsidRPr="006B5305">
        <w:rPr>
          <w:sz w:val="22"/>
          <w:szCs w:val="22"/>
          <w:lang w:val="en-US"/>
        </w:rPr>
        <w:t xml:space="preserve">use of data from a </w:t>
      </w:r>
      <w:r w:rsidRPr="006B5305">
        <w:rPr>
          <w:sz w:val="22"/>
          <w:szCs w:val="22"/>
          <w:lang w:val="en-US"/>
        </w:rPr>
        <w:t xml:space="preserve">2013 study by </w:t>
      </w:r>
      <w:proofErr w:type="spellStart"/>
      <w:r w:rsidRPr="024B4842">
        <w:rPr>
          <w:i/>
          <w:iCs/>
          <w:sz w:val="22"/>
          <w:szCs w:val="22"/>
          <w:lang w:val="en-US"/>
        </w:rPr>
        <w:t>Bellmunt</w:t>
      </w:r>
      <w:proofErr w:type="spellEnd"/>
      <w:r w:rsidRPr="024B4842">
        <w:rPr>
          <w:i/>
          <w:iCs/>
          <w:sz w:val="22"/>
          <w:szCs w:val="22"/>
          <w:lang w:val="en-US"/>
        </w:rPr>
        <w:t xml:space="preserve"> et al</w:t>
      </w:r>
      <w:r w:rsidR="00763DC1" w:rsidRPr="024B4842">
        <w:rPr>
          <w:i/>
          <w:iCs/>
          <w:sz w:val="22"/>
          <w:szCs w:val="22"/>
          <w:lang w:val="en-US"/>
        </w:rPr>
        <w:t>.</w:t>
      </w:r>
      <w:r w:rsidRPr="006B5305">
        <w:rPr>
          <w:sz w:val="22"/>
          <w:szCs w:val="22"/>
          <w:lang w:val="en-US"/>
        </w:rPr>
        <w:t xml:space="preserve"> concerning vinflunin</w:t>
      </w:r>
      <w:r w:rsidR="00763DC1" w:rsidRPr="006B5305">
        <w:rPr>
          <w:sz w:val="22"/>
          <w:szCs w:val="22"/>
          <w:lang w:val="en-US"/>
        </w:rPr>
        <w:t>e</w:t>
      </w:r>
      <w:r w:rsidRPr="00D57189">
        <w:rPr>
          <w:rStyle w:val="FootnoteReference"/>
          <w:sz w:val="22"/>
          <w:szCs w:val="22"/>
          <w:lang w:val="en-US"/>
        </w:rPr>
        <w:footnoteReference w:id="41"/>
      </w:r>
      <w:r w:rsidRPr="006B5305">
        <w:rPr>
          <w:sz w:val="22"/>
          <w:szCs w:val="22"/>
          <w:lang w:val="en-US"/>
        </w:rPr>
        <w:t xml:space="preserve"> </w:t>
      </w:r>
      <w:r w:rsidR="008D6EF4" w:rsidRPr="006B5305">
        <w:rPr>
          <w:sz w:val="22"/>
          <w:szCs w:val="22"/>
          <w:lang w:val="en-US"/>
        </w:rPr>
        <w:t xml:space="preserve">as a proxy for results expected to be seen </w:t>
      </w:r>
      <w:r w:rsidR="004146C1">
        <w:rPr>
          <w:sz w:val="22"/>
          <w:szCs w:val="22"/>
          <w:lang w:val="en-US"/>
        </w:rPr>
        <w:t>for</w:t>
      </w:r>
      <w:r w:rsidR="008D6EF4" w:rsidRPr="006B5305">
        <w:rPr>
          <w:sz w:val="22"/>
          <w:szCs w:val="22"/>
          <w:lang w:val="en-US"/>
        </w:rPr>
        <w:t xml:space="preserve"> the adjusted UK standard of care </w:t>
      </w:r>
      <w:r w:rsidR="004146C1">
        <w:rPr>
          <w:sz w:val="22"/>
          <w:szCs w:val="22"/>
          <w:lang w:val="en-US"/>
        </w:rPr>
        <w:t xml:space="preserve">arm </w:t>
      </w:r>
      <w:r w:rsidR="008D6EF4" w:rsidRPr="006B5305">
        <w:rPr>
          <w:sz w:val="22"/>
          <w:szCs w:val="22"/>
          <w:lang w:val="en-US"/>
        </w:rPr>
        <w:t xml:space="preserve">of KEYNOTE-045, and hence to validate the results of the 2-stage adjustment. </w:t>
      </w:r>
      <w:r w:rsidR="00671FF3">
        <w:rPr>
          <w:sz w:val="22"/>
          <w:szCs w:val="22"/>
          <w:lang w:val="en-US"/>
        </w:rPr>
        <w:t xml:space="preserve"> </w:t>
      </w:r>
      <w:r w:rsidR="006B5305" w:rsidRPr="006B5305">
        <w:rPr>
          <w:sz w:val="22"/>
          <w:szCs w:val="22"/>
          <w:lang w:val="en-US"/>
        </w:rPr>
        <w:t xml:space="preserve">The ERG’s key concern on this point was that the median overall survival in the vinflunine arm of the </w:t>
      </w:r>
      <w:proofErr w:type="spellStart"/>
      <w:r w:rsidR="006B5305" w:rsidRPr="024B4842">
        <w:rPr>
          <w:i/>
          <w:iCs/>
          <w:sz w:val="22"/>
          <w:szCs w:val="22"/>
          <w:lang w:val="en-US"/>
        </w:rPr>
        <w:t>Bellmunt</w:t>
      </w:r>
      <w:proofErr w:type="spellEnd"/>
      <w:r w:rsidR="006B5305" w:rsidRPr="024B4842">
        <w:rPr>
          <w:i/>
          <w:iCs/>
          <w:sz w:val="22"/>
          <w:szCs w:val="22"/>
          <w:lang w:val="en-US"/>
        </w:rPr>
        <w:t xml:space="preserve"> et al</w:t>
      </w:r>
      <w:r w:rsidR="00C977A4" w:rsidRPr="024B4842">
        <w:rPr>
          <w:i/>
          <w:iCs/>
          <w:sz w:val="22"/>
          <w:szCs w:val="22"/>
          <w:lang w:val="en-US"/>
        </w:rPr>
        <w:t>.</w:t>
      </w:r>
      <w:r w:rsidR="006B5305" w:rsidRPr="006B5305">
        <w:rPr>
          <w:sz w:val="22"/>
          <w:szCs w:val="22"/>
          <w:lang w:val="en-US"/>
        </w:rPr>
        <w:t xml:space="preserve"> study was closer to the median overall survival from the </w:t>
      </w:r>
      <w:r w:rsidR="006B5305" w:rsidRPr="024B4842">
        <w:rPr>
          <w:b/>
          <w:bCs/>
          <w:sz w:val="22"/>
          <w:szCs w:val="22"/>
          <w:lang w:val="en-US"/>
        </w:rPr>
        <w:t>unadjusted</w:t>
      </w:r>
      <w:r w:rsidR="006B5305" w:rsidRPr="006B5305">
        <w:rPr>
          <w:sz w:val="22"/>
          <w:szCs w:val="22"/>
          <w:lang w:val="en-US"/>
        </w:rPr>
        <w:t xml:space="preserve"> UK standard of care arm of the KEYNOTE-045 population</w:t>
      </w:r>
      <w:r w:rsidR="000768EA">
        <w:rPr>
          <w:sz w:val="22"/>
          <w:szCs w:val="22"/>
          <w:lang w:val="en-US"/>
        </w:rPr>
        <w:t>.</w:t>
      </w:r>
      <w:r w:rsidR="006B5305" w:rsidRPr="006B5305">
        <w:rPr>
          <w:sz w:val="22"/>
          <w:szCs w:val="22"/>
          <w:lang w:val="en-US"/>
        </w:rPr>
        <w:t xml:space="preserve"> </w:t>
      </w:r>
      <w:r w:rsidR="00671FF3">
        <w:rPr>
          <w:sz w:val="22"/>
          <w:szCs w:val="22"/>
          <w:lang w:val="en-US"/>
        </w:rPr>
        <w:t xml:space="preserve"> </w:t>
      </w:r>
      <w:r w:rsidR="000768EA">
        <w:rPr>
          <w:sz w:val="22"/>
          <w:szCs w:val="22"/>
          <w:lang w:val="en-US"/>
        </w:rPr>
        <w:t>Y</w:t>
      </w:r>
      <w:r w:rsidR="006B5305" w:rsidRPr="006B5305">
        <w:rPr>
          <w:sz w:val="22"/>
          <w:szCs w:val="22"/>
          <w:lang w:val="en-US"/>
        </w:rPr>
        <w:t>et</w:t>
      </w:r>
      <w:r w:rsidR="000768EA">
        <w:rPr>
          <w:sz w:val="22"/>
          <w:szCs w:val="22"/>
          <w:lang w:val="en-US"/>
        </w:rPr>
        <w:t>,</w:t>
      </w:r>
      <w:r w:rsidR="006B5305" w:rsidRPr="006B5305">
        <w:rPr>
          <w:sz w:val="22"/>
          <w:szCs w:val="22"/>
          <w:lang w:val="en-US"/>
        </w:rPr>
        <w:t xml:space="preserve"> as clearly highlighted in the company response</w:t>
      </w:r>
      <w:r w:rsidR="006B5305">
        <w:rPr>
          <w:sz w:val="22"/>
          <w:szCs w:val="22"/>
          <w:lang w:val="en-US"/>
        </w:rPr>
        <w:t>s</w:t>
      </w:r>
      <w:r w:rsidR="006B5305" w:rsidRPr="006B5305">
        <w:rPr>
          <w:sz w:val="22"/>
          <w:szCs w:val="22"/>
          <w:lang w:val="en-US"/>
        </w:rPr>
        <w:t xml:space="preserve"> to </w:t>
      </w:r>
      <w:r w:rsidR="006B5305">
        <w:rPr>
          <w:sz w:val="22"/>
          <w:szCs w:val="22"/>
          <w:lang w:val="en-US"/>
        </w:rPr>
        <w:t xml:space="preserve">both Technical Engagement and the </w:t>
      </w:r>
      <w:r w:rsidR="006B5305" w:rsidRPr="006B5305">
        <w:rPr>
          <w:sz w:val="22"/>
          <w:szCs w:val="22"/>
          <w:lang w:val="en-US"/>
        </w:rPr>
        <w:t>ACD,</w:t>
      </w:r>
      <w:r w:rsidR="000768EA">
        <w:rPr>
          <w:sz w:val="22"/>
          <w:szCs w:val="22"/>
          <w:lang w:val="en-US"/>
        </w:rPr>
        <w:t xml:space="preserve"> </w:t>
      </w:r>
      <w:r w:rsidR="006B5305" w:rsidRPr="006B5305">
        <w:rPr>
          <w:sz w:val="22"/>
          <w:szCs w:val="22"/>
          <w:lang w:val="en-US"/>
        </w:rPr>
        <w:t xml:space="preserve"> the reported 12, 24 and 30 month overall survival </w:t>
      </w:r>
      <w:r w:rsidR="006B5305">
        <w:rPr>
          <w:sz w:val="22"/>
          <w:szCs w:val="22"/>
          <w:lang w:val="en-US"/>
        </w:rPr>
        <w:t>from</w:t>
      </w:r>
      <w:r w:rsidR="006B5305" w:rsidRPr="006B5305">
        <w:rPr>
          <w:sz w:val="22"/>
          <w:szCs w:val="22"/>
          <w:lang w:val="en-US"/>
        </w:rPr>
        <w:t xml:space="preserve"> the </w:t>
      </w:r>
      <w:proofErr w:type="spellStart"/>
      <w:r w:rsidR="006B5305" w:rsidRPr="024B4842">
        <w:rPr>
          <w:i/>
          <w:iCs/>
          <w:sz w:val="22"/>
          <w:szCs w:val="22"/>
          <w:lang w:val="en-US"/>
        </w:rPr>
        <w:t>Bellmunt</w:t>
      </w:r>
      <w:proofErr w:type="spellEnd"/>
      <w:r w:rsidR="006B5305" w:rsidRPr="024B4842">
        <w:rPr>
          <w:i/>
          <w:iCs/>
          <w:sz w:val="22"/>
          <w:szCs w:val="22"/>
          <w:lang w:val="en-US"/>
        </w:rPr>
        <w:t xml:space="preserve"> et al</w:t>
      </w:r>
      <w:r w:rsidR="000768EA" w:rsidRPr="024B4842">
        <w:rPr>
          <w:i/>
          <w:iCs/>
          <w:sz w:val="22"/>
          <w:szCs w:val="22"/>
          <w:lang w:val="en-US"/>
        </w:rPr>
        <w:t>.</w:t>
      </w:r>
      <w:r w:rsidR="006B5305" w:rsidRPr="006B5305">
        <w:rPr>
          <w:sz w:val="22"/>
          <w:szCs w:val="22"/>
          <w:lang w:val="en-US"/>
        </w:rPr>
        <w:t xml:space="preserve"> study</w:t>
      </w:r>
      <w:r w:rsidR="006B5305">
        <w:rPr>
          <w:sz w:val="22"/>
          <w:szCs w:val="22"/>
          <w:lang w:val="en-US"/>
        </w:rPr>
        <w:t xml:space="preserve"> has </w:t>
      </w:r>
      <w:r w:rsidR="006B5305" w:rsidRPr="006B5305">
        <w:rPr>
          <w:sz w:val="22"/>
          <w:szCs w:val="22"/>
          <w:lang w:val="en-US"/>
        </w:rPr>
        <w:t xml:space="preserve">better consistency with the results of the </w:t>
      </w:r>
      <w:r w:rsidR="006B5305" w:rsidRPr="024B4842">
        <w:rPr>
          <w:b/>
          <w:bCs/>
          <w:sz w:val="22"/>
          <w:szCs w:val="22"/>
          <w:lang w:val="en-US"/>
        </w:rPr>
        <w:t>2-stage adjusted</w:t>
      </w:r>
      <w:r w:rsidR="006B5305" w:rsidRPr="006B5305">
        <w:rPr>
          <w:sz w:val="22"/>
          <w:szCs w:val="22"/>
          <w:lang w:val="en-US"/>
        </w:rPr>
        <w:t xml:space="preserve"> UK standard of care arm from KEYNOTE-045. </w:t>
      </w:r>
      <w:r w:rsidR="00671FF3">
        <w:rPr>
          <w:sz w:val="22"/>
          <w:szCs w:val="22"/>
          <w:lang w:val="en-US"/>
        </w:rPr>
        <w:t xml:space="preserve"> </w:t>
      </w:r>
      <w:r w:rsidR="000768EA">
        <w:rPr>
          <w:sz w:val="22"/>
          <w:szCs w:val="22"/>
          <w:lang w:val="en-US"/>
        </w:rPr>
        <w:t>To fail to take this into account, or even engage with the point, amounts to an unreasonable assessment of the evidence.</w:t>
      </w:r>
      <w:r w:rsidR="00447A99">
        <w:rPr>
          <w:sz w:val="22"/>
          <w:szCs w:val="22"/>
          <w:lang w:val="en-US"/>
        </w:rPr>
        <w:t xml:space="preserve"> </w:t>
      </w:r>
      <w:r w:rsidR="008E3E01" w:rsidRPr="008E3E01">
        <w:rPr>
          <w:sz w:val="22"/>
          <w:szCs w:val="22"/>
          <w:lang w:val="en-US"/>
        </w:rPr>
        <w:t xml:space="preserve"> </w:t>
      </w:r>
      <w:r w:rsidR="008E3E01">
        <w:rPr>
          <w:sz w:val="22"/>
          <w:szCs w:val="22"/>
          <w:lang w:val="en-US"/>
        </w:rPr>
        <w:t xml:space="preserve">Notwithstanding </w:t>
      </w:r>
      <w:r w:rsidR="008E3E01" w:rsidRPr="006B5305">
        <w:rPr>
          <w:sz w:val="22"/>
          <w:szCs w:val="22"/>
          <w:lang w:val="en-US"/>
        </w:rPr>
        <w:t xml:space="preserve">this, </w:t>
      </w:r>
      <w:r w:rsidR="008E3E01">
        <w:rPr>
          <w:sz w:val="22"/>
          <w:szCs w:val="22"/>
          <w:lang w:val="en-US"/>
        </w:rPr>
        <w:t>the company highlighted that</w:t>
      </w:r>
      <w:r w:rsidR="008E3E01" w:rsidRPr="006B5305">
        <w:rPr>
          <w:sz w:val="22"/>
          <w:szCs w:val="22"/>
          <w:lang w:val="en-US"/>
        </w:rPr>
        <w:t xml:space="preserve"> reliance on proxy data as a counterpoint to actual study data is highly questionable, especially when, as in this instance, the proxy (vinflunine) is not recommended by NICE and is not considered established in UK clinical practice. </w:t>
      </w:r>
      <w:r w:rsidR="008E3E01">
        <w:rPr>
          <w:sz w:val="22"/>
          <w:szCs w:val="22"/>
          <w:lang w:val="en-US"/>
        </w:rPr>
        <w:t xml:space="preserve"> </w:t>
      </w:r>
      <w:r w:rsidR="008E3E01" w:rsidRPr="006B5305">
        <w:rPr>
          <w:sz w:val="22"/>
          <w:szCs w:val="22"/>
          <w:lang w:val="en-US"/>
        </w:rPr>
        <w:t>The patient populations between the two trials are also considered to be heterogeneous</w:t>
      </w:r>
      <w:r w:rsidR="008E3E01">
        <w:rPr>
          <w:sz w:val="22"/>
          <w:szCs w:val="22"/>
          <w:lang w:val="en-US"/>
        </w:rPr>
        <w:t>.</w:t>
      </w:r>
      <w:r w:rsidR="008E3E01" w:rsidRPr="006B5305">
        <w:rPr>
          <w:sz w:val="22"/>
          <w:szCs w:val="22"/>
          <w:lang w:val="en-US"/>
        </w:rPr>
        <w:t xml:space="preserve"> </w:t>
      </w:r>
      <w:r w:rsidR="00175F03">
        <w:rPr>
          <w:sz w:val="22"/>
          <w:szCs w:val="22"/>
          <w:lang w:val="en-US"/>
        </w:rPr>
        <w:t xml:space="preserve"> </w:t>
      </w:r>
      <w:r w:rsidR="008E3E01">
        <w:rPr>
          <w:sz w:val="22"/>
          <w:szCs w:val="22"/>
          <w:lang w:val="en-US"/>
        </w:rPr>
        <w:t>C</w:t>
      </w:r>
      <w:r w:rsidR="008E3E01" w:rsidRPr="006B5305">
        <w:rPr>
          <w:sz w:val="22"/>
          <w:szCs w:val="22"/>
          <w:lang w:val="en-US"/>
        </w:rPr>
        <w:t xml:space="preserve">onsequently, the comparison made between the two studies by the Evidence Review Group </w:t>
      </w:r>
      <w:r w:rsidR="005814BD">
        <w:rPr>
          <w:rFonts w:ascii="Times New Roman" w:hAnsi="Times New Roman" w:cs="Times New Roman"/>
          <w:sz w:val="22"/>
          <w:szCs w:val="22"/>
        </w:rPr>
        <w:t>–</w:t>
      </w:r>
      <w:r w:rsidR="008E3E01">
        <w:rPr>
          <w:sz w:val="22"/>
          <w:szCs w:val="22"/>
          <w:lang w:val="en-US"/>
        </w:rPr>
        <w:t xml:space="preserve"> even if it </w:t>
      </w:r>
      <w:r w:rsidR="00D22667">
        <w:rPr>
          <w:sz w:val="22"/>
          <w:szCs w:val="22"/>
          <w:lang w:val="en-US"/>
        </w:rPr>
        <w:t xml:space="preserve">was </w:t>
      </w:r>
      <w:r w:rsidR="008E3E01">
        <w:rPr>
          <w:sz w:val="22"/>
          <w:szCs w:val="22"/>
          <w:lang w:val="en-US"/>
        </w:rPr>
        <w:t xml:space="preserve">conducted reasonably </w:t>
      </w:r>
      <w:r w:rsidR="005814BD">
        <w:rPr>
          <w:rFonts w:ascii="Times New Roman" w:hAnsi="Times New Roman" w:cs="Times New Roman"/>
          <w:sz w:val="22"/>
          <w:szCs w:val="22"/>
        </w:rPr>
        <w:t>–</w:t>
      </w:r>
      <w:r w:rsidR="008E3E01">
        <w:rPr>
          <w:sz w:val="22"/>
          <w:szCs w:val="22"/>
          <w:lang w:val="en-US"/>
        </w:rPr>
        <w:t xml:space="preserve"> is </w:t>
      </w:r>
      <w:r w:rsidR="008E3E01" w:rsidRPr="006B5305">
        <w:rPr>
          <w:sz w:val="22"/>
          <w:szCs w:val="22"/>
          <w:lang w:val="en-US"/>
        </w:rPr>
        <w:t>inappropriate</w:t>
      </w:r>
      <w:r w:rsidR="008E3E01">
        <w:rPr>
          <w:sz w:val="22"/>
          <w:szCs w:val="22"/>
          <w:lang w:val="en-US"/>
        </w:rPr>
        <w:t>.</w:t>
      </w:r>
      <w:r w:rsidR="008E3E01" w:rsidRPr="006B5305">
        <w:rPr>
          <w:sz w:val="22"/>
          <w:szCs w:val="22"/>
          <w:lang w:val="en-US"/>
        </w:rPr>
        <w:t xml:space="preserve"> </w:t>
      </w:r>
      <w:r w:rsidR="00902C93">
        <w:rPr>
          <w:sz w:val="22"/>
          <w:szCs w:val="22"/>
          <w:lang w:val="en-US"/>
        </w:rPr>
        <w:t xml:space="preserve"> </w:t>
      </w:r>
      <w:r w:rsidR="008E3E01">
        <w:rPr>
          <w:sz w:val="22"/>
          <w:szCs w:val="22"/>
          <w:lang w:val="en-US"/>
        </w:rPr>
        <w:t xml:space="preserve">We </w:t>
      </w:r>
      <w:r w:rsidR="008E3E01" w:rsidRPr="006B5305">
        <w:rPr>
          <w:sz w:val="22"/>
          <w:szCs w:val="22"/>
          <w:lang w:val="en-US"/>
        </w:rPr>
        <w:t xml:space="preserve">submit </w:t>
      </w:r>
      <w:r w:rsidR="008E3E01">
        <w:rPr>
          <w:sz w:val="22"/>
          <w:szCs w:val="22"/>
          <w:lang w:val="en-US"/>
        </w:rPr>
        <w:t xml:space="preserve">that such an assessment </w:t>
      </w:r>
      <w:r w:rsidR="008E3E01" w:rsidRPr="006B5305">
        <w:rPr>
          <w:sz w:val="22"/>
          <w:szCs w:val="22"/>
          <w:lang w:val="en-US"/>
        </w:rPr>
        <w:t>should not have had any influence over the Appraisal Committee’s decisions.</w:t>
      </w:r>
      <w:r w:rsidR="008E3E01">
        <w:rPr>
          <w:rStyle w:val="FootnoteReference"/>
          <w:sz w:val="22"/>
          <w:szCs w:val="22"/>
          <w:lang w:val="en-US"/>
        </w:rPr>
        <w:footnoteReference w:id="42"/>
      </w:r>
      <w:r w:rsidR="008E3E01" w:rsidRPr="006B5305">
        <w:rPr>
          <w:sz w:val="22"/>
          <w:szCs w:val="22"/>
          <w:lang w:val="en-US"/>
        </w:rPr>
        <w:t xml:space="preserve">  </w:t>
      </w:r>
    </w:p>
    <w:p w14:paraId="003C8933" w14:textId="77777777" w:rsidR="008E3E01" w:rsidRPr="008E3E01" w:rsidRDefault="008E3E01" w:rsidP="008E3E01">
      <w:pPr>
        <w:pStyle w:val="ListParagraph"/>
        <w:rPr>
          <w:sz w:val="22"/>
          <w:szCs w:val="22"/>
          <w:lang w:val="en-US"/>
        </w:rPr>
      </w:pPr>
    </w:p>
    <w:p w14:paraId="441DFA07" w14:textId="711EC240" w:rsidR="008E3E01" w:rsidRDefault="008E3E01" w:rsidP="00A84E79">
      <w:pPr>
        <w:pStyle w:val="ListParagraph"/>
        <w:numPr>
          <w:ilvl w:val="0"/>
          <w:numId w:val="34"/>
        </w:numPr>
        <w:jc w:val="both"/>
        <w:rPr>
          <w:sz w:val="22"/>
          <w:szCs w:val="22"/>
          <w:lang w:val="en-US"/>
        </w:rPr>
      </w:pPr>
      <w:r w:rsidRPr="024B4842">
        <w:rPr>
          <w:sz w:val="22"/>
          <w:szCs w:val="22"/>
          <w:lang w:val="en-US"/>
        </w:rPr>
        <w:t>The inappropriateness of considering unadjusted data i</w:t>
      </w:r>
      <w:r>
        <w:rPr>
          <w:sz w:val="22"/>
          <w:szCs w:val="22"/>
          <w:lang w:val="en-US"/>
        </w:rPr>
        <w:t xml:space="preserve">s clear in the context of the </w:t>
      </w:r>
      <w:r w:rsidRPr="024B4842">
        <w:rPr>
          <w:sz w:val="22"/>
          <w:szCs w:val="22"/>
          <w:lang w:val="en-US"/>
        </w:rPr>
        <w:t xml:space="preserve">implausibility of the long-term overall survival estimates produced when using this method. </w:t>
      </w:r>
      <w:r w:rsidR="00902C93">
        <w:rPr>
          <w:sz w:val="22"/>
          <w:szCs w:val="22"/>
          <w:lang w:val="en-US"/>
        </w:rPr>
        <w:t xml:space="preserve"> </w:t>
      </w:r>
      <w:r w:rsidRPr="024B4842">
        <w:rPr>
          <w:sz w:val="22"/>
          <w:szCs w:val="22"/>
          <w:lang w:val="en-US"/>
        </w:rPr>
        <w:t>Section 3.20 of the FAD justifies the selection of the log-logistic curve due to the plausibility of the long-term overall survival estimate at 5 years (3.2%) being aligned to the ERG’s clinical expert’s estimate within the original appraisal (2% to 3%).</w:t>
      </w:r>
      <w:r w:rsidR="00CA27C2">
        <w:rPr>
          <w:sz w:val="22"/>
          <w:szCs w:val="22"/>
          <w:lang w:val="en-US"/>
        </w:rPr>
        <w:t xml:space="preserve"> </w:t>
      </w:r>
      <w:r w:rsidRPr="024B4842">
        <w:rPr>
          <w:sz w:val="22"/>
          <w:szCs w:val="22"/>
          <w:lang w:val="en-US"/>
        </w:rPr>
        <w:t xml:space="preserve"> However, this is referring only to extrapolation based on 2-stage adjusted analysis.</w:t>
      </w:r>
      <w:r w:rsidR="00847B5D">
        <w:rPr>
          <w:sz w:val="22"/>
          <w:szCs w:val="22"/>
          <w:lang w:val="en-US"/>
        </w:rPr>
        <w:t xml:space="preserve"> </w:t>
      </w:r>
      <w:r w:rsidRPr="024B4842">
        <w:rPr>
          <w:sz w:val="22"/>
          <w:szCs w:val="22"/>
          <w:lang w:val="en-US"/>
        </w:rPr>
        <w:t xml:space="preserve"> When using </w:t>
      </w:r>
      <w:r>
        <w:rPr>
          <w:sz w:val="22"/>
          <w:szCs w:val="22"/>
          <w:lang w:val="en-US"/>
        </w:rPr>
        <w:t xml:space="preserve">an </w:t>
      </w:r>
      <w:r w:rsidRPr="024B4842">
        <w:rPr>
          <w:sz w:val="22"/>
          <w:szCs w:val="22"/>
          <w:lang w:val="en-US"/>
        </w:rPr>
        <w:t xml:space="preserve">unadjusted analysis, the corresponding 5-year overall survival estimate is 5.9%; a vast overestimation compared to that estimated by the ERG’s clinical expert. </w:t>
      </w:r>
      <w:r w:rsidR="00902C93">
        <w:rPr>
          <w:sz w:val="22"/>
          <w:szCs w:val="22"/>
          <w:lang w:val="en-US"/>
        </w:rPr>
        <w:t xml:space="preserve"> </w:t>
      </w:r>
      <w:r w:rsidRPr="024B4842">
        <w:rPr>
          <w:sz w:val="22"/>
          <w:szCs w:val="22"/>
          <w:lang w:val="en-US"/>
        </w:rPr>
        <w:t xml:space="preserve">Consequently, the conclusion reached by the Appraisal Committee stating that the unadjusted method should also be </w:t>
      </w:r>
      <w:proofErr w:type="gramStart"/>
      <w:r w:rsidRPr="024B4842">
        <w:rPr>
          <w:sz w:val="22"/>
          <w:szCs w:val="22"/>
          <w:lang w:val="en-US"/>
        </w:rPr>
        <w:t>taken into account</w:t>
      </w:r>
      <w:proofErr w:type="gramEnd"/>
      <w:r w:rsidRPr="024B4842">
        <w:rPr>
          <w:sz w:val="22"/>
          <w:szCs w:val="22"/>
          <w:lang w:val="en-US"/>
        </w:rPr>
        <w:t>, directly contradicts Section 3.20 of the FAD, and further exemplifies why only the 2-stage adjusted analyses should be considered appropriate.</w:t>
      </w:r>
    </w:p>
    <w:p w14:paraId="462C5B69" w14:textId="77777777" w:rsidR="000768EA" w:rsidRPr="006B5305" w:rsidRDefault="000768EA" w:rsidP="00A84E79">
      <w:pPr>
        <w:pStyle w:val="ListParagraph"/>
        <w:jc w:val="both"/>
        <w:rPr>
          <w:sz w:val="22"/>
          <w:szCs w:val="22"/>
          <w:lang w:val="en-US"/>
        </w:rPr>
      </w:pPr>
    </w:p>
    <w:p w14:paraId="44CC86B9" w14:textId="440EF6DA" w:rsidR="00170813" w:rsidRDefault="008F6122" w:rsidP="00170813">
      <w:pPr>
        <w:pStyle w:val="BodyText"/>
        <w:jc w:val="both"/>
        <w:rPr>
          <w:sz w:val="22"/>
          <w:szCs w:val="22"/>
          <w:lang w:val="en-US"/>
        </w:rPr>
      </w:pPr>
      <w:r>
        <w:rPr>
          <w:sz w:val="22"/>
          <w:szCs w:val="22"/>
          <w:lang w:val="en-US"/>
        </w:rPr>
        <w:t xml:space="preserve">It </w:t>
      </w:r>
      <w:r w:rsidR="00170813" w:rsidRPr="00D57189">
        <w:rPr>
          <w:sz w:val="22"/>
          <w:szCs w:val="22"/>
          <w:lang w:val="en-US"/>
        </w:rPr>
        <w:t>is clear from the above</w:t>
      </w:r>
      <w:r w:rsidR="00D22667">
        <w:rPr>
          <w:sz w:val="22"/>
          <w:szCs w:val="22"/>
          <w:lang w:val="en-US"/>
        </w:rPr>
        <w:t xml:space="preserve"> that</w:t>
      </w:r>
      <w:r w:rsidR="00170813" w:rsidRPr="00D57189">
        <w:rPr>
          <w:sz w:val="22"/>
          <w:szCs w:val="22"/>
          <w:lang w:val="en-US"/>
        </w:rPr>
        <w:t xml:space="preserve"> </w:t>
      </w:r>
      <w:r>
        <w:rPr>
          <w:sz w:val="22"/>
          <w:szCs w:val="22"/>
          <w:lang w:val="en-US"/>
        </w:rPr>
        <w:t>the Appraisal Committee has</w:t>
      </w:r>
      <w:r w:rsidR="00E93068">
        <w:rPr>
          <w:sz w:val="22"/>
          <w:szCs w:val="22"/>
          <w:lang w:val="en-US"/>
        </w:rPr>
        <w:t xml:space="preserve"> not justified why it has arrived at a position where data from an established and well-founded method are considered alongside one that is unsuitable and lacks support</w:t>
      </w:r>
      <w:r w:rsidR="006A4BD2" w:rsidRPr="00D57189">
        <w:rPr>
          <w:sz w:val="22"/>
          <w:szCs w:val="22"/>
          <w:lang w:val="en-US"/>
        </w:rPr>
        <w:t>.</w:t>
      </w:r>
      <w:r w:rsidR="00B55761">
        <w:rPr>
          <w:sz w:val="22"/>
          <w:szCs w:val="22"/>
          <w:lang w:val="en-US"/>
        </w:rPr>
        <w:t xml:space="preserve">  Importantly, this also calls into question relying on both sets of data to derive a range of ICERs, when to do so increases the risk of an uncertain and imprecise cost-effectiveness assessment.</w:t>
      </w:r>
    </w:p>
    <w:p w14:paraId="34EDD404" w14:textId="234202E2" w:rsidR="00A47C2A" w:rsidRPr="00B55761" w:rsidRDefault="00B55761" w:rsidP="001950E5">
      <w:pPr>
        <w:pStyle w:val="BodyText"/>
        <w:jc w:val="both"/>
        <w:rPr>
          <w:sz w:val="22"/>
          <w:szCs w:val="22"/>
          <w:lang w:val="en-US"/>
        </w:rPr>
      </w:pPr>
      <w:r>
        <w:rPr>
          <w:sz w:val="22"/>
          <w:szCs w:val="22"/>
          <w:lang w:val="en-US"/>
        </w:rPr>
        <w:t>We thank you in advance for considering the company’s submissions in this appeal.  We are available to answer any questions you may have or provide further clarifications.</w:t>
      </w:r>
    </w:p>
    <w:p w14:paraId="538BA2AB" w14:textId="3FBB3C62" w:rsidR="002B0E24" w:rsidRDefault="002B0E24" w:rsidP="001950E5">
      <w:pPr>
        <w:pStyle w:val="BodyText"/>
        <w:jc w:val="both"/>
        <w:rPr>
          <w:sz w:val="22"/>
          <w:szCs w:val="22"/>
        </w:rPr>
      </w:pPr>
      <w:r>
        <w:rPr>
          <w:sz w:val="22"/>
          <w:szCs w:val="22"/>
        </w:rPr>
        <w:t>Yours sincerely</w:t>
      </w:r>
    </w:p>
    <w:p w14:paraId="0D084748" w14:textId="6E402EFF" w:rsidR="002B0E24" w:rsidRDefault="002B0E24" w:rsidP="001950E5">
      <w:pPr>
        <w:pStyle w:val="BodyText"/>
        <w:jc w:val="both"/>
        <w:rPr>
          <w:sz w:val="22"/>
          <w:szCs w:val="22"/>
        </w:rPr>
      </w:pPr>
    </w:p>
    <w:p w14:paraId="2F57E306" w14:textId="50BA9FCA" w:rsidR="002B0E24" w:rsidRDefault="002B0E24" w:rsidP="001950E5">
      <w:pPr>
        <w:pStyle w:val="BodyText"/>
        <w:jc w:val="both"/>
        <w:rPr>
          <w:sz w:val="22"/>
          <w:szCs w:val="22"/>
        </w:rPr>
      </w:pPr>
    </w:p>
    <w:p w14:paraId="2290DFD4" w14:textId="4D12BFB5" w:rsidR="009900D5" w:rsidRPr="002F30DC" w:rsidRDefault="002F30DC" w:rsidP="001950E5">
      <w:pPr>
        <w:pStyle w:val="BodyText"/>
        <w:jc w:val="both"/>
        <w:rPr>
          <w:sz w:val="22"/>
          <w:szCs w:val="22"/>
        </w:rPr>
      </w:pPr>
      <w:proofErr w:type="spellStart"/>
      <w:r w:rsidRPr="002F30DC">
        <w:rPr>
          <w:sz w:val="22"/>
          <w:szCs w:val="22"/>
          <w:highlight w:val="black"/>
        </w:rPr>
        <w:t>Xxxxx</w:t>
      </w:r>
      <w:proofErr w:type="spellEnd"/>
      <w:r>
        <w:rPr>
          <w:sz w:val="22"/>
          <w:szCs w:val="22"/>
        </w:rPr>
        <w:t xml:space="preserve"> </w:t>
      </w:r>
      <w:proofErr w:type="spellStart"/>
      <w:r w:rsidRPr="002F30DC">
        <w:rPr>
          <w:sz w:val="22"/>
          <w:szCs w:val="22"/>
          <w:highlight w:val="black"/>
        </w:rPr>
        <w:t>xxxxxxx</w:t>
      </w:r>
      <w:proofErr w:type="spellEnd"/>
      <w:r>
        <w:rPr>
          <w:sz w:val="22"/>
          <w:szCs w:val="22"/>
        </w:rPr>
        <w:t xml:space="preserve"> </w:t>
      </w:r>
    </w:p>
    <w:p w14:paraId="5F45CFCF" w14:textId="0CE80B29" w:rsidR="009900D5" w:rsidRPr="00D57189" w:rsidRDefault="009900D5" w:rsidP="001950E5">
      <w:pPr>
        <w:pStyle w:val="BodyText"/>
        <w:jc w:val="both"/>
        <w:rPr>
          <w:sz w:val="22"/>
          <w:szCs w:val="22"/>
        </w:rPr>
      </w:pPr>
      <w:r w:rsidRPr="002F30DC">
        <w:rPr>
          <w:sz w:val="22"/>
          <w:szCs w:val="22"/>
        </w:rPr>
        <w:t>Managing Director, UK &amp; Ireland</w:t>
      </w:r>
    </w:p>
    <w:sectPr w:rsidR="009900D5" w:rsidRPr="00D57189" w:rsidSect="00F21E19">
      <w:footerReference w:type="default" r:id="rId9"/>
      <w:headerReference w:type="first" r:id="rId10"/>
      <w:footerReference w:type="first" r:id="rId11"/>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703BD" w14:textId="77777777" w:rsidR="00194D76" w:rsidRDefault="00194D76" w:rsidP="00BF44A2">
      <w:r>
        <w:separator/>
      </w:r>
    </w:p>
  </w:endnote>
  <w:endnote w:type="continuationSeparator" w:id="0">
    <w:p w14:paraId="657CCC83" w14:textId="77777777" w:rsidR="00194D76" w:rsidRDefault="00194D76" w:rsidP="00BF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6FA24" w14:textId="31062587" w:rsidR="00B465DB" w:rsidRDefault="00B465DB" w:rsidP="009626F9">
    <w:pPr>
      <w:pStyle w:val="Footer"/>
      <w:jc w:val="center"/>
    </w:pPr>
    <w:r w:rsidRPr="00D67705">
      <w:fldChar w:fldCharType="begin"/>
    </w:r>
    <w:r w:rsidRPr="00D67705">
      <w:instrText xml:space="preserve"> PAGE   \* MERGEFORMAT </w:instrText>
    </w:r>
    <w:r w:rsidRPr="00D67705">
      <w:fldChar w:fldCharType="separate"/>
    </w:r>
    <w:r w:rsidR="00FD1A9A">
      <w:rPr>
        <w:noProof/>
      </w:rPr>
      <w:t>16</w:t>
    </w:r>
    <w:r w:rsidRPr="00D67705">
      <w:rPr>
        <w:noProof/>
      </w:rPr>
      <w:fldChar w:fldCharType="end"/>
    </w:r>
  </w:p>
  <w:p w14:paraId="1E46FEC9" w14:textId="7806BC76" w:rsidR="00B465DB" w:rsidRDefault="00B46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C1442" w14:textId="6CBD30CD" w:rsidR="00B465DB" w:rsidRDefault="001330BE">
    <w:pPr>
      <w:pStyle w:val="Footer"/>
    </w:pPr>
    <w:r>
      <w:rPr>
        <w:noProof/>
        <w:sz w:val="20"/>
        <w:lang w:val="en-US"/>
      </w:rPr>
      <mc:AlternateContent>
        <mc:Choice Requires="wps">
          <w:drawing>
            <wp:anchor distT="0" distB="0" distL="114300" distR="114300" simplePos="0" relativeHeight="251663360" behindDoc="0" locked="0" layoutInCell="1" allowOverlap="1" wp14:anchorId="516F1AB2" wp14:editId="049F3FF1">
              <wp:simplePos x="0" y="0"/>
              <wp:positionH relativeFrom="column">
                <wp:posOffset>0</wp:posOffset>
              </wp:positionH>
              <wp:positionV relativeFrom="paragraph">
                <wp:posOffset>0</wp:posOffset>
              </wp:positionV>
              <wp:extent cx="2743200" cy="45720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F22F4" w14:textId="594730A2" w:rsidR="001330BE" w:rsidRDefault="001330BE" w:rsidP="001330BE">
                          <w:pPr>
                            <w:pStyle w:val="ImanageFooter"/>
                          </w:pPr>
                          <w:r>
                            <w:t>EMEA: 1518321-1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F1AB2" id="_x0000_t202" coordsize="21600,21600" o:spt="202" path="m,l,21600r21600,l21600,xe">
              <v:stroke joinstyle="miter"/>
              <v:path gradientshapeok="t" o:connecttype="rect"/>
            </v:shapetype>
            <v:shape id="IMFooterFirst1" o:spid="_x0000_s1027" type="#_x0000_t202" style="position:absolute;margin-left:0;margin-top:0;width:3in;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" filled="f" stroked="f">
              <v:textbox inset="0,0,0,0">
                <w:txbxContent>
                  <w:p w14:paraId="603F22F4" w14:textId="594730A2" w:rsidR="001330BE" w:rsidRDefault="001330BE" w:rsidP="001330BE">
                    <w:pPr>
                      <w:pStyle w:val="ImanageFooter"/>
                    </w:pPr>
                    <w:r>
                      <w:t>EMEA: 1518321-1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A2139" w14:textId="77777777" w:rsidR="00194D76" w:rsidRDefault="00194D76" w:rsidP="00BF44A2">
      <w:r>
        <w:separator/>
      </w:r>
    </w:p>
  </w:footnote>
  <w:footnote w:type="continuationSeparator" w:id="0">
    <w:p w14:paraId="469028BD" w14:textId="77777777" w:rsidR="00194D76" w:rsidRPr="00BF44A2" w:rsidRDefault="00194D76" w:rsidP="00BF44A2">
      <w:r>
        <w:separator/>
      </w:r>
    </w:p>
  </w:footnote>
  <w:footnote w:type="continuationNotice" w:id="1">
    <w:p w14:paraId="434E78EC" w14:textId="77777777" w:rsidR="00194D76" w:rsidRDefault="00194D76">
      <w:r>
        <w:t>(continued…)</w:t>
      </w:r>
    </w:p>
  </w:footnote>
  <w:footnote w:id="2">
    <w:p w14:paraId="1AFA6150" w14:textId="01EBF559" w:rsidR="00383A12" w:rsidRPr="007311FB" w:rsidRDefault="007311FB">
      <w:pPr>
        <w:pStyle w:val="FootnoteText"/>
        <w:rPr>
          <w:sz w:val="20"/>
        </w:rPr>
      </w:pPr>
      <w:r w:rsidRPr="007311FB">
        <w:rPr>
          <w:rStyle w:val="FootnoteReference"/>
          <w:sz w:val="20"/>
        </w:rPr>
        <w:footnoteRef/>
      </w:r>
      <w:r w:rsidR="00383A12" w:rsidRPr="007311FB">
        <w:rPr>
          <w:rStyle w:val="FootnoteReference"/>
          <w:sz w:val="20"/>
        </w:rPr>
        <w:footnoteRef/>
      </w:r>
      <w:r w:rsidR="00383A12" w:rsidRPr="007311FB">
        <w:rPr>
          <w:sz w:val="20"/>
        </w:rPr>
        <w:t xml:space="preserve"> </w:t>
      </w:r>
      <w:r w:rsidR="001358FD" w:rsidRPr="007311FB">
        <w:rPr>
          <w:sz w:val="20"/>
        </w:rPr>
        <w:t xml:space="preserve">Paragraph </w:t>
      </w:r>
      <w:r w:rsidR="00383A12" w:rsidRPr="007311FB">
        <w:rPr>
          <w:sz w:val="20"/>
        </w:rPr>
        <w:t>3.18 of the FAD</w:t>
      </w:r>
    </w:p>
  </w:footnote>
  <w:footnote w:id="3">
    <w:p w14:paraId="468746BB" w14:textId="18046F9B" w:rsidR="00383A12" w:rsidRPr="007311FB" w:rsidRDefault="00383A12">
      <w:pPr>
        <w:pStyle w:val="FootnoteText"/>
        <w:rPr>
          <w:sz w:val="20"/>
        </w:rPr>
      </w:pPr>
      <w:r w:rsidRPr="007311FB">
        <w:rPr>
          <w:rStyle w:val="FootnoteReference"/>
          <w:sz w:val="20"/>
        </w:rPr>
        <w:footnoteRef/>
      </w:r>
      <w:r w:rsidRPr="007311FB">
        <w:rPr>
          <w:sz w:val="20"/>
        </w:rPr>
        <w:t xml:space="preserve"> </w:t>
      </w:r>
      <w:r w:rsidR="001358FD" w:rsidRPr="007311FB">
        <w:rPr>
          <w:rFonts w:ascii="Times New Roman" w:hAnsi="Times New Roman" w:cs="Times New Roman"/>
          <w:sz w:val="20"/>
        </w:rPr>
        <w:t xml:space="preserve">Paragraph </w:t>
      </w:r>
      <w:r w:rsidRPr="007311FB">
        <w:rPr>
          <w:rFonts w:ascii="Times New Roman" w:hAnsi="Times New Roman" w:cs="Times New Roman"/>
          <w:sz w:val="20"/>
        </w:rPr>
        <w:t>3.15 of the FAD</w:t>
      </w:r>
    </w:p>
  </w:footnote>
  <w:footnote w:id="4">
    <w:p w14:paraId="5C3C6719" w14:textId="7D3A5011" w:rsidR="00870DAF" w:rsidRPr="007311FB" w:rsidRDefault="00870DAF">
      <w:pPr>
        <w:pStyle w:val="FootnoteText"/>
        <w:rPr>
          <w:sz w:val="20"/>
        </w:rPr>
      </w:pPr>
      <w:r w:rsidRPr="007311FB">
        <w:rPr>
          <w:rStyle w:val="FootnoteReference"/>
          <w:sz w:val="20"/>
        </w:rPr>
        <w:footnoteRef/>
      </w:r>
      <w:r w:rsidRPr="007311FB">
        <w:rPr>
          <w:sz w:val="20"/>
        </w:rPr>
        <w:t xml:space="preserve"> </w:t>
      </w:r>
      <w:r w:rsidR="001358FD" w:rsidRPr="007311FB">
        <w:rPr>
          <w:sz w:val="20"/>
        </w:rPr>
        <w:t xml:space="preserve">Paragraph </w:t>
      </w:r>
      <w:r w:rsidRPr="007311FB">
        <w:rPr>
          <w:sz w:val="20"/>
        </w:rPr>
        <w:t>3.22 of the FAD</w:t>
      </w:r>
    </w:p>
  </w:footnote>
  <w:footnote w:id="5">
    <w:p w14:paraId="5801CFFE" w14:textId="1B315EB3" w:rsidR="00552ECF" w:rsidRPr="007311FB" w:rsidRDefault="00552ECF" w:rsidP="00BF2588">
      <w:pPr>
        <w:pStyle w:val="FootnoteText"/>
        <w:rPr>
          <w:rFonts w:ascii="Times New Roman" w:hAnsi="Times New Roman" w:cs="Times New Roman"/>
          <w:sz w:val="20"/>
        </w:rPr>
      </w:pPr>
      <w:r w:rsidRPr="007311FB">
        <w:rPr>
          <w:rStyle w:val="FootnoteReference"/>
          <w:sz w:val="20"/>
        </w:rPr>
        <w:footnoteRef/>
      </w:r>
      <w:r w:rsidRPr="007311FB">
        <w:rPr>
          <w:sz w:val="20"/>
        </w:rPr>
        <w:t xml:space="preserve"> </w:t>
      </w:r>
      <w:r w:rsidR="00FC32F2" w:rsidRPr="007311FB">
        <w:rPr>
          <w:sz w:val="20"/>
        </w:rPr>
        <w:t xml:space="preserve">Page </w:t>
      </w:r>
      <w:r w:rsidR="00BF2588" w:rsidRPr="007311FB">
        <w:rPr>
          <w:sz w:val="20"/>
        </w:rPr>
        <w:t xml:space="preserve">25 of </w:t>
      </w:r>
      <w:r w:rsidRPr="007311FB">
        <w:rPr>
          <w:rFonts w:ascii="Times New Roman" w:hAnsi="Times New Roman" w:cs="Times New Roman"/>
          <w:sz w:val="20"/>
        </w:rPr>
        <w:t>ERG Report for CDF Guidance Review</w:t>
      </w:r>
      <w:r w:rsidR="00BF2588" w:rsidRPr="007311FB">
        <w:rPr>
          <w:rFonts w:ascii="Times New Roman" w:hAnsi="Times New Roman" w:cs="Times New Roman"/>
          <w:sz w:val="20"/>
        </w:rPr>
        <w:t xml:space="preserve"> (pembrolizumab for previously treated advanced or metastatic urothelial cancer, CDF review of TA519),</w:t>
      </w:r>
      <w:r w:rsidRPr="007311FB">
        <w:rPr>
          <w:rFonts w:ascii="Times New Roman" w:hAnsi="Times New Roman" w:cs="Times New Roman"/>
          <w:sz w:val="20"/>
        </w:rPr>
        <w:t xml:space="preserve"> 22 August 2019</w:t>
      </w:r>
      <w:r w:rsidR="007B49F9" w:rsidRPr="007311FB">
        <w:rPr>
          <w:rFonts w:ascii="Times New Roman" w:hAnsi="Times New Roman" w:cs="Times New Roman"/>
          <w:sz w:val="20"/>
        </w:rPr>
        <w:t>.</w:t>
      </w:r>
    </w:p>
  </w:footnote>
  <w:footnote w:id="6">
    <w:p w14:paraId="776090BC" w14:textId="7557D92E" w:rsidR="005F4483" w:rsidRPr="007311FB" w:rsidRDefault="005F4483">
      <w:pPr>
        <w:pStyle w:val="FootnoteText"/>
        <w:rPr>
          <w:sz w:val="20"/>
        </w:rPr>
      </w:pPr>
      <w:r w:rsidRPr="007311FB">
        <w:rPr>
          <w:rStyle w:val="FootnoteReference"/>
          <w:sz w:val="20"/>
        </w:rPr>
        <w:footnoteRef/>
      </w:r>
      <w:r w:rsidRPr="007311FB">
        <w:rPr>
          <w:sz w:val="20"/>
        </w:rPr>
        <w:t xml:space="preserve"> </w:t>
      </w:r>
      <w:r w:rsidR="00257F9C" w:rsidRPr="007311FB">
        <w:rPr>
          <w:rFonts w:ascii="Times New Roman" w:hAnsi="Times New Roman" w:cs="Times New Roman"/>
          <w:sz w:val="20"/>
        </w:rPr>
        <w:t>C</w:t>
      </w:r>
      <w:r w:rsidRPr="007311FB">
        <w:rPr>
          <w:rFonts w:ascii="Times New Roman" w:hAnsi="Times New Roman" w:cs="Times New Roman"/>
          <w:sz w:val="20"/>
        </w:rPr>
        <w:t xml:space="preserve">omment </w:t>
      </w:r>
      <w:r w:rsidR="009F723A" w:rsidRPr="007311FB">
        <w:rPr>
          <w:rFonts w:ascii="Times New Roman" w:hAnsi="Times New Roman" w:cs="Times New Roman"/>
          <w:sz w:val="20"/>
        </w:rPr>
        <w:t>2</w:t>
      </w:r>
      <w:r w:rsidRPr="007311FB">
        <w:rPr>
          <w:rFonts w:ascii="Times New Roman" w:hAnsi="Times New Roman" w:cs="Times New Roman"/>
          <w:sz w:val="20"/>
        </w:rPr>
        <w:t xml:space="preserve"> of NCRI-ACP-RCP-RCR Comments on the ACD</w:t>
      </w:r>
      <w:r w:rsidR="007B49F9" w:rsidRPr="007311FB">
        <w:rPr>
          <w:rFonts w:ascii="Times New Roman" w:hAnsi="Times New Roman" w:cs="Times New Roman"/>
          <w:sz w:val="20"/>
        </w:rPr>
        <w:t>.</w:t>
      </w:r>
    </w:p>
  </w:footnote>
  <w:footnote w:id="7">
    <w:p w14:paraId="006ED460" w14:textId="5146A9B3" w:rsidR="00B465DB" w:rsidRPr="007311FB" w:rsidRDefault="00B465DB" w:rsidP="00D413E0">
      <w:pPr>
        <w:pStyle w:val="FootnoteText"/>
        <w:rPr>
          <w:sz w:val="20"/>
        </w:rPr>
      </w:pPr>
      <w:r w:rsidRPr="007311FB">
        <w:rPr>
          <w:rStyle w:val="FootnoteReference"/>
          <w:sz w:val="20"/>
        </w:rPr>
        <w:footnoteRef/>
      </w:r>
      <w:r w:rsidRPr="007311FB">
        <w:rPr>
          <w:i/>
          <w:sz w:val="20"/>
        </w:rPr>
        <w:t xml:space="preserve"> Id.</w:t>
      </w:r>
    </w:p>
  </w:footnote>
  <w:footnote w:id="8">
    <w:p w14:paraId="3A6FD600" w14:textId="315E4CE7" w:rsidR="005F4483" w:rsidRPr="007311FB" w:rsidRDefault="005F4483">
      <w:pPr>
        <w:pStyle w:val="FootnoteText"/>
        <w:rPr>
          <w:sz w:val="20"/>
        </w:rPr>
      </w:pPr>
      <w:r w:rsidRPr="007311FB">
        <w:rPr>
          <w:rStyle w:val="FootnoteReference"/>
          <w:sz w:val="20"/>
        </w:rPr>
        <w:footnoteRef/>
      </w:r>
      <w:r w:rsidRPr="007311FB">
        <w:rPr>
          <w:sz w:val="20"/>
        </w:rPr>
        <w:t xml:space="preserve"> </w:t>
      </w:r>
      <w:r w:rsidRPr="007311FB">
        <w:rPr>
          <w:rFonts w:ascii="Times New Roman" w:hAnsi="Times New Roman" w:cs="Times New Roman"/>
          <w:sz w:val="20"/>
        </w:rPr>
        <w:t>MSD’s response to Technical Engagement, at page 1</w:t>
      </w:r>
      <w:r w:rsidR="0041620D" w:rsidRPr="007311FB">
        <w:rPr>
          <w:rFonts w:ascii="Times New Roman" w:hAnsi="Times New Roman" w:cs="Times New Roman"/>
          <w:sz w:val="20"/>
        </w:rPr>
        <w:t>4</w:t>
      </w:r>
      <w:r w:rsidR="007B49F9" w:rsidRPr="007311FB">
        <w:rPr>
          <w:rFonts w:ascii="Times New Roman" w:hAnsi="Times New Roman" w:cs="Times New Roman"/>
          <w:sz w:val="20"/>
        </w:rPr>
        <w:t>.</w:t>
      </w:r>
    </w:p>
  </w:footnote>
  <w:footnote w:id="9">
    <w:p w14:paraId="4A61198B" w14:textId="6D87BE53" w:rsidR="00D91DA5" w:rsidRPr="007311FB" w:rsidRDefault="00D91DA5" w:rsidP="00D91DA5">
      <w:pPr>
        <w:pStyle w:val="FootnoteText"/>
        <w:rPr>
          <w:sz w:val="20"/>
        </w:rPr>
      </w:pPr>
      <w:r w:rsidRPr="007311FB">
        <w:rPr>
          <w:rStyle w:val="FootnoteReference"/>
          <w:sz w:val="20"/>
        </w:rPr>
        <w:footnoteRef/>
      </w:r>
      <w:r w:rsidRPr="007311FB">
        <w:rPr>
          <w:sz w:val="20"/>
        </w:rPr>
        <w:t xml:space="preserve"> </w:t>
      </w:r>
      <w:r w:rsidRPr="007311FB">
        <w:rPr>
          <w:rFonts w:ascii="Times New Roman" w:hAnsi="Times New Roman" w:cs="Times New Roman"/>
          <w:sz w:val="20"/>
        </w:rPr>
        <w:t>MSD’s response to Technical Engagement, at page 15</w:t>
      </w:r>
      <w:r w:rsidR="007B49F9" w:rsidRPr="007311FB">
        <w:rPr>
          <w:rFonts w:ascii="Times New Roman" w:hAnsi="Times New Roman" w:cs="Times New Roman"/>
          <w:sz w:val="20"/>
        </w:rPr>
        <w:t>.</w:t>
      </w:r>
    </w:p>
  </w:footnote>
  <w:footnote w:id="10">
    <w:p w14:paraId="79960C2E" w14:textId="614FFE4A" w:rsidR="005F4483" w:rsidRPr="007311FB" w:rsidRDefault="005F4483">
      <w:pPr>
        <w:pStyle w:val="FootnoteText"/>
        <w:rPr>
          <w:sz w:val="20"/>
        </w:rPr>
      </w:pPr>
      <w:r w:rsidRPr="007311FB">
        <w:rPr>
          <w:rStyle w:val="FootnoteReference"/>
          <w:sz w:val="20"/>
        </w:rPr>
        <w:footnoteRef/>
      </w:r>
      <w:r w:rsidRPr="007311FB">
        <w:rPr>
          <w:sz w:val="20"/>
        </w:rPr>
        <w:t xml:space="preserve"> </w:t>
      </w:r>
      <w:r w:rsidR="00127F82" w:rsidRPr="007311FB">
        <w:rPr>
          <w:rFonts w:ascii="Times New Roman" w:hAnsi="Times New Roman" w:cs="Times New Roman"/>
          <w:sz w:val="20"/>
        </w:rPr>
        <w:t xml:space="preserve">Page </w:t>
      </w:r>
      <w:r w:rsidRPr="007311FB">
        <w:rPr>
          <w:rFonts w:ascii="Times New Roman" w:hAnsi="Times New Roman" w:cs="Times New Roman"/>
          <w:sz w:val="20"/>
        </w:rPr>
        <w:t>14 of MSD’s Response to Technical Engagement and Comment 12 of MSD’s Comments on the ACD, respectively</w:t>
      </w:r>
      <w:r w:rsidR="007B49F9" w:rsidRPr="007311FB">
        <w:rPr>
          <w:rFonts w:ascii="Times New Roman" w:hAnsi="Times New Roman" w:cs="Times New Roman"/>
          <w:sz w:val="20"/>
        </w:rPr>
        <w:t>.</w:t>
      </w:r>
    </w:p>
  </w:footnote>
  <w:footnote w:id="11">
    <w:p w14:paraId="36D628BD" w14:textId="3D6E30A2" w:rsidR="00B465DB" w:rsidRPr="007311FB" w:rsidRDefault="00B465DB" w:rsidP="00D413E0">
      <w:pPr>
        <w:pStyle w:val="FootnoteText"/>
        <w:rPr>
          <w:sz w:val="20"/>
        </w:rPr>
      </w:pPr>
      <w:r w:rsidRPr="007311FB">
        <w:rPr>
          <w:rStyle w:val="FootnoteReference"/>
          <w:sz w:val="20"/>
        </w:rPr>
        <w:footnoteRef/>
      </w:r>
      <w:r w:rsidRPr="007311FB">
        <w:rPr>
          <w:sz w:val="20"/>
        </w:rPr>
        <w:t xml:space="preserve"> </w:t>
      </w:r>
      <w:r w:rsidR="00127F82" w:rsidRPr="007311FB">
        <w:rPr>
          <w:sz w:val="20"/>
        </w:rPr>
        <w:t xml:space="preserve">Page </w:t>
      </w:r>
      <w:r w:rsidR="00AD28C3" w:rsidRPr="007311FB">
        <w:rPr>
          <w:sz w:val="20"/>
        </w:rPr>
        <w:t xml:space="preserve">7 of the ERG’s </w:t>
      </w:r>
      <w:r w:rsidR="00873C7F" w:rsidRPr="007311FB">
        <w:rPr>
          <w:sz w:val="20"/>
        </w:rPr>
        <w:t>Critique of Company Additional Evidence, 9 January 2020</w:t>
      </w:r>
      <w:r w:rsidR="00AD28C3" w:rsidRPr="007311FB">
        <w:rPr>
          <w:sz w:val="20"/>
        </w:rPr>
        <w:t>.</w:t>
      </w:r>
      <w:r w:rsidR="00AD28C3" w:rsidRPr="007311FB">
        <w:rPr>
          <w:rFonts w:ascii="Times New Roman" w:hAnsi="Times New Roman" w:cs="Times New Roman"/>
          <w:sz w:val="20"/>
        </w:rPr>
        <w:t xml:space="preserve"> </w:t>
      </w:r>
      <w:r w:rsidRPr="007311FB">
        <w:rPr>
          <w:rFonts w:ascii="Times New Roman" w:hAnsi="Times New Roman" w:cs="Times New Roman"/>
          <w:sz w:val="20"/>
        </w:rPr>
        <w:t xml:space="preserve">The Appraisal Committee also raises this concern </w:t>
      </w:r>
      <w:r w:rsidR="00AD28C3" w:rsidRPr="007311FB">
        <w:rPr>
          <w:rFonts w:ascii="Times New Roman" w:hAnsi="Times New Roman" w:cs="Times New Roman"/>
          <w:sz w:val="20"/>
        </w:rPr>
        <w:t xml:space="preserve">at </w:t>
      </w:r>
      <w:r w:rsidRPr="007311FB">
        <w:rPr>
          <w:rFonts w:ascii="Times New Roman" w:hAnsi="Times New Roman" w:cs="Times New Roman"/>
          <w:sz w:val="20"/>
        </w:rPr>
        <w:t xml:space="preserve">page 22 of NICE’s Response to ACD Consultation.  </w:t>
      </w:r>
    </w:p>
  </w:footnote>
  <w:footnote w:id="12">
    <w:p w14:paraId="4494BEF3" w14:textId="364D1465" w:rsidR="00AD28C3" w:rsidRPr="007311FB" w:rsidRDefault="00AD28C3">
      <w:pPr>
        <w:pStyle w:val="FootnoteText"/>
        <w:rPr>
          <w:sz w:val="20"/>
        </w:rPr>
      </w:pPr>
      <w:r w:rsidRPr="007311FB">
        <w:rPr>
          <w:rStyle w:val="FootnoteReference"/>
          <w:sz w:val="20"/>
        </w:rPr>
        <w:footnoteRef/>
      </w:r>
      <w:r w:rsidR="00D00B9C" w:rsidRPr="007311FB">
        <w:rPr>
          <w:sz w:val="20"/>
        </w:rPr>
        <w:t xml:space="preserve"> P</w:t>
      </w:r>
      <w:r w:rsidRPr="007311FB">
        <w:rPr>
          <w:sz w:val="20"/>
        </w:rPr>
        <w:t xml:space="preserve">age 7 </w:t>
      </w:r>
      <w:r w:rsidR="00873C7F" w:rsidRPr="007311FB">
        <w:rPr>
          <w:sz w:val="20"/>
        </w:rPr>
        <w:t>of the ERG’s Critique of Company Additional Evidence, 9 January 2020</w:t>
      </w:r>
      <w:r w:rsidR="007B49F9" w:rsidRPr="007311FB">
        <w:rPr>
          <w:sz w:val="20"/>
        </w:rPr>
        <w:t>.</w:t>
      </w:r>
    </w:p>
  </w:footnote>
  <w:footnote w:id="13">
    <w:p w14:paraId="1528846E" w14:textId="6D03CF1D" w:rsidR="00AD28C3" w:rsidRPr="007311FB" w:rsidRDefault="00AD28C3">
      <w:pPr>
        <w:pStyle w:val="FootnoteText"/>
        <w:rPr>
          <w:sz w:val="20"/>
        </w:rPr>
      </w:pPr>
      <w:r w:rsidRPr="007311FB">
        <w:rPr>
          <w:rStyle w:val="FootnoteReference"/>
          <w:sz w:val="20"/>
        </w:rPr>
        <w:footnoteRef/>
      </w:r>
      <w:r w:rsidR="00B96550" w:rsidRPr="007311FB">
        <w:rPr>
          <w:sz w:val="20"/>
        </w:rPr>
        <w:t xml:space="preserve"> P</w:t>
      </w:r>
      <w:r w:rsidRPr="007311FB">
        <w:rPr>
          <w:sz w:val="20"/>
        </w:rPr>
        <w:t xml:space="preserve">age 24 of NICE’s response to </w:t>
      </w:r>
      <w:r w:rsidR="00491F01" w:rsidRPr="007311FB">
        <w:rPr>
          <w:sz w:val="20"/>
        </w:rPr>
        <w:t xml:space="preserve">Consultee, Commentator and Public Comments to </w:t>
      </w:r>
      <w:r w:rsidRPr="007311FB">
        <w:rPr>
          <w:sz w:val="20"/>
        </w:rPr>
        <w:t>ACD</w:t>
      </w:r>
      <w:r w:rsidR="007B49F9" w:rsidRPr="007311FB">
        <w:rPr>
          <w:sz w:val="20"/>
        </w:rPr>
        <w:t>.</w:t>
      </w:r>
      <w:r w:rsidRPr="007311FB">
        <w:rPr>
          <w:sz w:val="20"/>
        </w:rPr>
        <w:t xml:space="preserve"> </w:t>
      </w:r>
    </w:p>
  </w:footnote>
  <w:footnote w:id="14">
    <w:p w14:paraId="36189C93" w14:textId="3B06FE46" w:rsidR="00841749" w:rsidRPr="007311FB" w:rsidRDefault="00841749">
      <w:pPr>
        <w:pStyle w:val="FootnoteText"/>
        <w:rPr>
          <w:sz w:val="20"/>
        </w:rPr>
      </w:pPr>
      <w:r w:rsidRPr="007311FB">
        <w:rPr>
          <w:rStyle w:val="FootnoteReference"/>
          <w:sz w:val="20"/>
        </w:rPr>
        <w:footnoteRef/>
      </w:r>
      <w:r w:rsidRPr="007311FB">
        <w:rPr>
          <w:sz w:val="20"/>
        </w:rPr>
        <w:t xml:space="preserve"> </w:t>
      </w:r>
      <w:r w:rsidR="00127F82" w:rsidRPr="007311FB">
        <w:rPr>
          <w:sz w:val="20"/>
        </w:rPr>
        <w:t xml:space="preserve">Paragraph </w:t>
      </w:r>
      <w:r w:rsidRPr="007311FB">
        <w:rPr>
          <w:sz w:val="20"/>
        </w:rPr>
        <w:t>3.22 of the FAD</w:t>
      </w:r>
      <w:r w:rsidR="007B49F9" w:rsidRPr="007311FB">
        <w:rPr>
          <w:sz w:val="20"/>
        </w:rPr>
        <w:t>.</w:t>
      </w:r>
    </w:p>
  </w:footnote>
  <w:footnote w:id="15">
    <w:p w14:paraId="50E5A789" w14:textId="09F9DA80" w:rsidR="00B465DB" w:rsidRPr="007311FB" w:rsidRDefault="00B465DB" w:rsidP="005D573F">
      <w:pPr>
        <w:pStyle w:val="FootnoteText"/>
        <w:rPr>
          <w:sz w:val="20"/>
        </w:rPr>
      </w:pPr>
      <w:r w:rsidRPr="007311FB">
        <w:rPr>
          <w:rStyle w:val="FootnoteReference"/>
          <w:sz w:val="20"/>
        </w:rPr>
        <w:footnoteRef/>
      </w:r>
      <w:r w:rsidRPr="007311FB">
        <w:rPr>
          <w:sz w:val="20"/>
        </w:rPr>
        <w:t xml:space="preserve"> </w:t>
      </w:r>
      <w:r w:rsidR="00355A7F" w:rsidRPr="007311FB">
        <w:rPr>
          <w:sz w:val="20"/>
        </w:rPr>
        <w:t xml:space="preserve">Page </w:t>
      </w:r>
      <w:r w:rsidRPr="007311FB">
        <w:rPr>
          <w:sz w:val="20"/>
        </w:rPr>
        <w:t>4 of the Scrutiny Letter in Osimertinib for untreated EGFR-positive non-small-cell lung cancer [ID1302], 29 July 2019</w:t>
      </w:r>
      <w:r w:rsidR="007B49F9" w:rsidRPr="007311FB">
        <w:rPr>
          <w:sz w:val="20"/>
        </w:rPr>
        <w:t>.</w:t>
      </w:r>
    </w:p>
  </w:footnote>
  <w:footnote w:id="16">
    <w:p w14:paraId="0FBC38D7" w14:textId="77777777" w:rsidR="00944DC8" w:rsidRPr="007311FB" w:rsidRDefault="00944DC8" w:rsidP="00944DC8">
      <w:pPr>
        <w:pStyle w:val="FootnoteText"/>
        <w:rPr>
          <w:sz w:val="20"/>
        </w:rPr>
      </w:pPr>
      <w:r w:rsidRPr="007311FB">
        <w:rPr>
          <w:rStyle w:val="FootnoteReference"/>
          <w:sz w:val="20"/>
        </w:rPr>
        <w:footnoteRef/>
      </w:r>
      <w:r w:rsidRPr="007311FB">
        <w:rPr>
          <w:sz w:val="20"/>
        </w:rPr>
        <w:t xml:space="preserve"> </w:t>
      </w:r>
      <w:r w:rsidRPr="007311FB">
        <w:rPr>
          <w:sz w:val="20"/>
          <w:lang w:val="en-US"/>
        </w:rPr>
        <w:t>Within section 3.12 of the FAD for TA525, the duration of treatment effect is described as “</w:t>
      </w:r>
      <w:r w:rsidRPr="007311FB">
        <w:rPr>
          <w:i/>
          <w:sz w:val="20"/>
          <w:lang w:val="en-US"/>
        </w:rPr>
        <w:t>3 or 5 years after stopping [the maximum treatment duration of] atezolizumab</w:t>
      </w:r>
      <w:r w:rsidRPr="007311FB">
        <w:rPr>
          <w:sz w:val="20"/>
          <w:lang w:val="en-US"/>
        </w:rPr>
        <w:t xml:space="preserve">” rather than from treatment initiation.  In contrast, in TA519, and consequently ID1536, the wording in the FAD refers to treatment effect duration from the </w:t>
      </w:r>
      <w:r w:rsidRPr="007311FB">
        <w:rPr>
          <w:i/>
          <w:sz w:val="20"/>
          <w:lang w:val="en-US"/>
        </w:rPr>
        <w:t>start</w:t>
      </w:r>
      <w:r w:rsidRPr="007311FB">
        <w:rPr>
          <w:sz w:val="20"/>
          <w:lang w:val="en-US"/>
        </w:rPr>
        <w:t xml:space="preserve"> of treatment.  Section 3.18 of the FAD for </w:t>
      </w:r>
      <w:r w:rsidRPr="007311FB">
        <w:rPr>
          <w:bCs/>
          <w:sz w:val="20"/>
          <w:lang w:val="en-US"/>
        </w:rPr>
        <w:t>ID1536 states “</w:t>
      </w:r>
      <w:r w:rsidRPr="007311FB">
        <w:rPr>
          <w:bCs/>
          <w:i/>
          <w:sz w:val="20"/>
          <w:lang w:val="en-US"/>
        </w:rPr>
        <w:t>a 3-year to 5-year duration of treatment effect from the start of pembrolizumab treatment.</w:t>
      </w:r>
      <w:r w:rsidRPr="007311FB">
        <w:rPr>
          <w:bCs/>
          <w:sz w:val="20"/>
          <w:lang w:val="en-US"/>
        </w:rPr>
        <w:t>”</w:t>
      </w:r>
    </w:p>
  </w:footnote>
  <w:footnote w:id="17">
    <w:p w14:paraId="4FD9DFE9" w14:textId="3E2979DB" w:rsidR="00AD28C3" w:rsidRPr="007311FB" w:rsidRDefault="00AD28C3">
      <w:pPr>
        <w:pStyle w:val="FootnoteText"/>
        <w:rPr>
          <w:sz w:val="20"/>
        </w:rPr>
      </w:pPr>
      <w:r w:rsidRPr="007311FB">
        <w:rPr>
          <w:rStyle w:val="FootnoteReference"/>
          <w:sz w:val="20"/>
        </w:rPr>
        <w:footnoteRef/>
      </w:r>
      <w:r w:rsidRPr="007311FB">
        <w:rPr>
          <w:sz w:val="20"/>
        </w:rPr>
        <w:t xml:space="preserve"> </w:t>
      </w:r>
      <w:r w:rsidR="00355A7F" w:rsidRPr="007311FB">
        <w:rPr>
          <w:sz w:val="20"/>
        </w:rPr>
        <w:t xml:space="preserve">Paragraph </w:t>
      </w:r>
      <w:r w:rsidRPr="007311FB">
        <w:rPr>
          <w:sz w:val="20"/>
        </w:rPr>
        <w:t>3.12 of the FAD in TA525</w:t>
      </w:r>
      <w:r w:rsidR="007B49F9" w:rsidRPr="007311FB">
        <w:rPr>
          <w:sz w:val="20"/>
        </w:rPr>
        <w:t>.</w:t>
      </w:r>
    </w:p>
  </w:footnote>
  <w:footnote w:id="18">
    <w:p w14:paraId="108A66CD" w14:textId="77777777" w:rsidR="000A16A6" w:rsidRPr="007311FB" w:rsidRDefault="000A16A6" w:rsidP="000A16A6">
      <w:pPr>
        <w:pStyle w:val="FootnoteText"/>
        <w:rPr>
          <w:sz w:val="20"/>
        </w:rPr>
      </w:pPr>
      <w:r w:rsidRPr="007311FB">
        <w:rPr>
          <w:rStyle w:val="FootnoteReference"/>
          <w:sz w:val="20"/>
        </w:rPr>
        <w:footnoteRef/>
      </w:r>
      <w:r w:rsidRPr="007311FB">
        <w:rPr>
          <w:sz w:val="20"/>
        </w:rPr>
        <w:t xml:space="preserve"> </w:t>
      </w:r>
      <w:r w:rsidRPr="007311FB">
        <w:rPr>
          <w:rFonts w:ascii="Times New Roman" w:hAnsi="Times New Roman" w:cs="Times New Roman"/>
          <w:bCs/>
          <w:iCs/>
          <w:sz w:val="20"/>
          <w:lang w:val="en-US"/>
        </w:rPr>
        <w:t>Although the precise economic model is not available to us, the modelling method is outlined Comment 12 of MSD’s response to the ACD.</w:t>
      </w:r>
    </w:p>
  </w:footnote>
  <w:footnote w:id="19">
    <w:p w14:paraId="7C29313D" w14:textId="2F0957E7" w:rsidR="004E3BB8" w:rsidRPr="007311FB" w:rsidRDefault="004E3BB8">
      <w:pPr>
        <w:pStyle w:val="FootnoteText"/>
        <w:rPr>
          <w:sz w:val="20"/>
        </w:rPr>
      </w:pPr>
      <w:r w:rsidRPr="007311FB">
        <w:rPr>
          <w:rStyle w:val="FootnoteReference"/>
          <w:sz w:val="20"/>
        </w:rPr>
        <w:footnoteRef/>
      </w:r>
      <w:r w:rsidRPr="007311FB">
        <w:rPr>
          <w:sz w:val="20"/>
        </w:rPr>
        <w:t xml:space="preserve"> </w:t>
      </w:r>
      <w:r w:rsidR="00A30BFC" w:rsidRPr="007311FB">
        <w:rPr>
          <w:sz w:val="20"/>
        </w:rPr>
        <w:t xml:space="preserve">Paragraph </w:t>
      </w:r>
      <w:r w:rsidRPr="007311FB">
        <w:rPr>
          <w:sz w:val="20"/>
        </w:rPr>
        <w:t>3.22 of the FAD</w:t>
      </w:r>
      <w:r w:rsidR="007B49F9" w:rsidRPr="007311FB">
        <w:rPr>
          <w:sz w:val="20"/>
        </w:rPr>
        <w:t>.</w:t>
      </w:r>
    </w:p>
  </w:footnote>
  <w:footnote w:id="20">
    <w:p w14:paraId="627426FC" w14:textId="2682CD02" w:rsidR="004E3BB8" w:rsidRPr="007311FB" w:rsidRDefault="004E3BB8">
      <w:pPr>
        <w:pStyle w:val="FootnoteText"/>
        <w:rPr>
          <w:sz w:val="20"/>
        </w:rPr>
      </w:pPr>
      <w:r w:rsidRPr="007311FB">
        <w:rPr>
          <w:rStyle w:val="FootnoteReference"/>
          <w:sz w:val="20"/>
        </w:rPr>
        <w:footnoteRef/>
      </w:r>
      <w:r w:rsidRPr="007311FB">
        <w:rPr>
          <w:sz w:val="20"/>
        </w:rPr>
        <w:t xml:space="preserve"> </w:t>
      </w:r>
      <w:r w:rsidR="00A30BFC" w:rsidRPr="007311FB">
        <w:rPr>
          <w:sz w:val="20"/>
        </w:rPr>
        <w:t xml:space="preserve">Paragraph </w:t>
      </w:r>
      <w:r w:rsidRPr="007311FB">
        <w:rPr>
          <w:sz w:val="20"/>
        </w:rPr>
        <w:t xml:space="preserve">3.12 of the FAD in </w:t>
      </w:r>
      <w:r w:rsidRPr="007311FB">
        <w:rPr>
          <w:rFonts w:ascii="Times New Roman" w:hAnsi="Times New Roman" w:cs="Times New Roman"/>
          <w:bCs/>
          <w:iCs/>
          <w:sz w:val="20"/>
          <w:lang w:val="en-US"/>
        </w:rPr>
        <w:t>TA525 FAD</w:t>
      </w:r>
      <w:r w:rsidR="007B49F9" w:rsidRPr="007311FB">
        <w:rPr>
          <w:rFonts w:ascii="Times New Roman" w:hAnsi="Times New Roman" w:cs="Times New Roman"/>
          <w:bCs/>
          <w:iCs/>
          <w:sz w:val="20"/>
          <w:lang w:val="en-US"/>
        </w:rPr>
        <w:t>.</w:t>
      </w:r>
    </w:p>
  </w:footnote>
  <w:footnote w:id="21">
    <w:p w14:paraId="15592603" w14:textId="2E164924" w:rsidR="00B465DB" w:rsidRPr="007311FB" w:rsidRDefault="00B465DB">
      <w:pPr>
        <w:pStyle w:val="FootnoteText"/>
        <w:rPr>
          <w:sz w:val="20"/>
        </w:rPr>
      </w:pPr>
      <w:r w:rsidRPr="007311FB">
        <w:rPr>
          <w:rStyle w:val="FootnoteReference"/>
          <w:sz w:val="20"/>
        </w:rPr>
        <w:footnoteRef/>
      </w:r>
      <w:r w:rsidRPr="007311FB">
        <w:rPr>
          <w:sz w:val="20"/>
        </w:rPr>
        <w:t xml:space="preserve"> </w:t>
      </w:r>
      <w:r w:rsidR="00A30BFC" w:rsidRPr="007311FB">
        <w:rPr>
          <w:rFonts w:ascii="Times New Roman" w:hAnsi="Times New Roman" w:cs="Times New Roman"/>
          <w:bCs/>
          <w:iCs/>
          <w:sz w:val="20"/>
          <w:lang w:val="en-US"/>
        </w:rPr>
        <w:t xml:space="preserve">Pages </w:t>
      </w:r>
      <w:r w:rsidR="004E3BB8" w:rsidRPr="007311FB">
        <w:rPr>
          <w:rFonts w:ascii="Times New Roman" w:hAnsi="Times New Roman" w:cs="Times New Roman"/>
          <w:bCs/>
          <w:iCs/>
          <w:sz w:val="20"/>
          <w:lang w:val="en-US"/>
        </w:rPr>
        <w:t>6–7 of NICE’s responses to Consultee, Commentator and Public Comments to the ACD.</w:t>
      </w:r>
      <w:r w:rsidR="003E3388" w:rsidRPr="007311FB">
        <w:rPr>
          <w:rFonts w:ascii="Times New Roman" w:hAnsi="Times New Roman" w:cs="Times New Roman"/>
          <w:bCs/>
          <w:iCs/>
          <w:sz w:val="20"/>
          <w:lang w:val="en-US"/>
        </w:rPr>
        <w:t xml:space="preserve"> </w:t>
      </w:r>
      <w:r w:rsidR="004E3BB8" w:rsidRPr="007311FB">
        <w:rPr>
          <w:rFonts w:ascii="Times New Roman" w:hAnsi="Times New Roman" w:cs="Times New Roman"/>
          <w:bCs/>
          <w:iCs/>
          <w:sz w:val="20"/>
          <w:lang w:val="en-US"/>
        </w:rPr>
        <w:t xml:space="preserve"> </w:t>
      </w:r>
      <w:r w:rsidRPr="007311FB">
        <w:rPr>
          <w:rFonts w:ascii="Times New Roman" w:hAnsi="Times New Roman" w:cs="Times New Roman"/>
          <w:bCs/>
          <w:iCs/>
          <w:sz w:val="20"/>
          <w:lang w:val="en-US"/>
        </w:rPr>
        <w:t xml:space="preserve">The ERG also highlighted the absence of a stopping rule in the atezolizumab study data.  However, it noted that it was not </w:t>
      </w:r>
      <w:proofErr w:type="gramStart"/>
      <w:r w:rsidRPr="007311FB">
        <w:rPr>
          <w:rFonts w:ascii="Times New Roman" w:hAnsi="Times New Roman" w:cs="Times New Roman"/>
          <w:bCs/>
          <w:iCs/>
          <w:sz w:val="20"/>
          <w:lang w:val="en-US"/>
        </w:rPr>
        <w:t>in a position</w:t>
      </w:r>
      <w:proofErr w:type="gramEnd"/>
      <w:r w:rsidRPr="007311FB">
        <w:rPr>
          <w:rFonts w:ascii="Times New Roman" w:hAnsi="Times New Roman" w:cs="Times New Roman"/>
          <w:bCs/>
          <w:iCs/>
          <w:sz w:val="20"/>
          <w:lang w:val="en-US"/>
        </w:rPr>
        <w:t xml:space="preserve"> to comment on the effect on cost effectiveness analysis in TA525 (page 3 </w:t>
      </w:r>
      <w:r w:rsidR="00491F01" w:rsidRPr="007311FB">
        <w:rPr>
          <w:sz w:val="20"/>
        </w:rPr>
        <w:t>ERG’s Critique of Company Additional Evidence, 9 January 2020</w:t>
      </w:r>
      <w:r w:rsidRPr="007311FB">
        <w:rPr>
          <w:rFonts w:ascii="Times New Roman" w:hAnsi="Times New Roman" w:cs="Times New Roman"/>
          <w:bCs/>
          <w:iCs/>
          <w:sz w:val="20"/>
          <w:lang w:val="en-US"/>
        </w:rPr>
        <w:t>).</w:t>
      </w:r>
    </w:p>
  </w:footnote>
  <w:footnote w:id="22">
    <w:p w14:paraId="2F05E326" w14:textId="7C89454C" w:rsidR="008968F3" w:rsidRPr="007311FB" w:rsidRDefault="008968F3" w:rsidP="008968F3">
      <w:pPr>
        <w:pStyle w:val="FootnoteText"/>
        <w:rPr>
          <w:sz w:val="20"/>
        </w:rPr>
      </w:pPr>
      <w:r w:rsidRPr="007311FB">
        <w:rPr>
          <w:rStyle w:val="FootnoteReference"/>
          <w:sz w:val="20"/>
        </w:rPr>
        <w:footnoteRef/>
      </w:r>
      <w:r w:rsidRPr="007311FB">
        <w:rPr>
          <w:sz w:val="20"/>
        </w:rPr>
        <w:t xml:space="preserve"> </w:t>
      </w:r>
      <w:r w:rsidR="00F16606" w:rsidRPr="007311FB">
        <w:rPr>
          <w:sz w:val="20"/>
        </w:rPr>
        <w:t>See, for example, Section 3.3.3</w:t>
      </w:r>
      <w:r w:rsidRPr="007311FB">
        <w:rPr>
          <w:sz w:val="20"/>
        </w:rPr>
        <w:t xml:space="preserve"> of the Methods Guide</w:t>
      </w:r>
      <w:r w:rsidR="007B49F9" w:rsidRPr="007311FB">
        <w:rPr>
          <w:sz w:val="20"/>
        </w:rPr>
        <w:t>.</w:t>
      </w:r>
    </w:p>
  </w:footnote>
  <w:footnote w:id="23">
    <w:p w14:paraId="5109CD05" w14:textId="47B2EC54" w:rsidR="00647679" w:rsidRPr="007311FB" w:rsidRDefault="00647679">
      <w:pPr>
        <w:pStyle w:val="FootnoteText"/>
        <w:rPr>
          <w:sz w:val="20"/>
        </w:rPr>
      </w:pPr>
      <w:r w:rsidRPr="007311FB">
        <w:rPr>
          <w:rStyle w:val="FootnoteReference"/>
          <w:sz w:val="20"/>
        </w:rPr>
        <w:footnoteRef/>
      </w:r>
      <w:r w:rsidRPr="007311FB">
        <w:rPr>
          <w:sz w:val="20"/>
        </w:rPr>
        <w:t xml:space="preserve"> </w:t>
      </w:r>
      <w:r w:rsidR="00A30BFC" w:rsidRPr="007311FB">
        <w:rPr>
          <w:sz w:val="20"/>
        </w:rPr>
        <w:t>See</w:t>
      </w:r>
      <w:r w:rsidRPr="007311FB">
        <w:rPr>
          <w:sz w:val="20"/>
        </w:rPr>
        <w:t>: (</w:t>
      </w:r>
      <w:proofErr w:type="spellStart"/>
      <w:r w:rsidRPr="007311FB">
        <w:rPr>
          <w:sz w:val="20"/>
        </w:rPr>
        <w:t>i</w:t>
      </w:r>
      <w:proofErr w:type="spellEnd"/>
      <w:r w:rsidRPr="007311FB">
        <w:rPr>
          <w:sz w:val="20"/>
        </w:rPr>
        <w:t>) slide 17 of Chair’s Presentation ahead of the 3</w:t>
      </w:r>
      <w:r w:rsidRPr="007311FB">
        <w:rPr>
          <w:sz w:val="20"/>
          <w:vertAlign w:val="superscript"/>
        </w:rPr>
        <w:t>rd</w:t>
      </w:r>
      <w:r w:rsidRPr="007311FB">
        <w:rPr>
          <w:sz w:val="20"/>
        </w:rPr>
        <w:t xml:space="preserve"> Appraisal Committee Meeting in TA525, 6 February 2018; and (ii) page 28 of the Committee Papers following the ACD in TA52</w:t>
      </w:r>
      <w:r w:rsidR="00D00B9C" w:rsidRPr="007311FB">
        <w:rPr>
          <w:sz w:val="20"/>
        </w:rPr>
        <w:t>5, December 2017</w:t>
      </w:r>
      <w:r w:rsidR="00FD1A9A" w:rsidRPr="007311FB">
        <w:rPr>
          <w:sz w:val="20"/>
        </w:rPr>
        <w:t>.</w:t>
      </w:r>
    </w:p>
  </w:footnote>
  <w:footnote w:id="24">
    <w:p w14:paraId="18140281" w14:textId="42F73A5D" w:rsidR="00B465DB" w:rsidRPr="007311FB" w:rsidRDefault="00B465DB">
      <w:pPr>
        <w:pStyle w:val="FootnoteText"/>
        <w:rPr>
          <w:sz w:val="20"/>
        </w:rPr>
      </w:pPr>
      <w:r w:rsidRPr="007311FB">
        <w:rPr>
          <w:rStyle w:val="FootnoteReference"/>
          <w:sz w:val="20"/>
        </w:rPr>
        <w:footnoteRef/>
      </w:r>
      <w:r w:rsidRPr="007311FB">
        <w:rPr>
          <w:sz w:val="20"/>
        </w:rPr>
        <w:t xml:space="preserve"> </w:t>
      </w:r>
      <w:r w:rsidR="00A30BFC" w:rsidRPr="007311FB">
        <w:rPr>
          <w:rFonts w:ascii="Times New Roman" w:hAnsi="Times New Roman" w:cs="Times New Roman"/>
          <w:bCs/>
          <w:iCs/>
          <w:sz w:val="20"/>
          <w:lang w:val="en-US"/>
        </w:rPr>
        <w:t>See, for example</w:t>
      </w:r>
      <w:r w:rsidRPr="007311FB">
        <w:rPr>
          <w:rFonts w:ascii="Times New Roman" w:hAnsi="Times New Roman" w:cs="Times New Roman"/>
          <w:bCs/>
          <w:iCs/>
          <w:sz w:val="20"/>
          <w:lang w:val="en-US"/>
        </w:rPr>
        <w:t xml:space="preserve">, KEYNOTE-001 (melanoma, non-small lung cancer), KEYNOTE-006 (melanoma) and KEYNOTE-024 (non-small lunch cancer) (see Comment 3 of MSD’s Comments </w:t>
      </w:r>
      <w:r w:rsidR="003A77B5" w:rsidRPr="007311FB">
        <w:rPr>
          <w:rFonts w:ascii="Times New Roman" w:hAnsi="Times New Roman" w:cs="Times New Roman"/>
          <w:bCs/>
          <w:iCs/>
          <w:sz w:val="20"/>
          <w:lang w:val="en-US"/>
        </w:rPr>
        <w:t xml:space="preserve">in response to </w:t>
      </w:r>
      <w:r w:rsidRPr="007311FB">
        <w:rPr>
          <w:rFonts w:ascii="Times New Roman" w:hAnsi="Times New Roman" w:cs="Times New Roman"/>
          <w:bCs/>
          <w:iCs/>
          <w:sz w:val="20"/>
          <w:lang w:val="en-US"/>
        </w:rPr>
        <w:t>the ACD</w:t>
      </w:r>
      <w:r w:rsidR="003A77B5" w:rsidRPr="007311FB">
        <w:rPr>
          <w:rFonts w:ascii="Times New Roman" w:hAnsi="Times New Roman" w:cs="Times New Roman"/>
          <w:bCs/>
          <w:iCs/>
          <w:sz w:val="20"/>
          <w:lang w:val="en-US"/>
        </w:rPr>
        <w:t>)</w:t>
      </w:r>
      <w:r w:rsidR="00FD1A9A" w:rsidRPr="007311FB">
        <w:rPr>
          <w:rFonts w:ascii="Times New Roman" w:hAnsi="Times New Roman" w:cs="Times New Roman"/>
          <w:bCs/>
          <w:iCs/>
          <w:sz w:val="20"/>
          <w:lang w:val="en-US"/>
        </w:rPr>
        <w:t>.</w:t>
      </w:r>
    </w:p>
  </w:footnote>
  <w:footnote w:id="25">
    <w:p w14:paraId="52B0D84B" w14:textId="016C79E2" w:rsidR="00B465DB" w:rsidRPr="007311FB" w:rsidRDefault="00B465DB">
      <w:pPr>
        <w:pStyle w:val="FootnoteText"/>
        <w:rPr>
          <w:sz w:val="20"/>
        </w:rPr>
      </w:pPr>
      <w:r w:rsidRPr="007311FB">
        <w:rPr>
          <w:rStyle w:val="FootnoteReference"/>
          <w:sz w:val="20"/>
        </w:rPr>
        <w:footnoteRef/>
      </w:r>
      <w:r w:rsidRPr="007311FB">
        <w:rPr>
          <w:sz w:val="20"/>
        </w:rPr>
        <w:t xml:space="preserve"> </w:t>
      </w:r>
      <w:r w:rsidR="00A30BFC" w:rsidRPr="007311FB">
        <w:rPr>
          <w:rFonts w:ascii="Times New Roman" w:hAnsi="Times New Roman" w:cs="Times New Roman"/>
          <w:bCs/>
          <w:iCs/>
          <w:sz w:val="20"/>
          <w:lang w:val="en-US"/>
        </w:rPr>
        <w:t xml:space="preserve">Paragraph </w:t>
      </w:r>
      <w:r w:rsidRPr="007311FB">
        <w:rPr>
          <w:rFonts w:ascii="Times New Roman" w:hAnsi="Times New Roman" w:cs="Times New Roman"/>
          <w:bCs/>
          <w:iCs/>
          <w:sz w:val="20"/>
          <w:lang w:val="en-US"/>
        </w:rPr>
        <w:t>3.14 of both the ACD and FAD</w:t>
      </w:r>
      <w:r w:rsidR="00FD1A9A" w:rsidRPr="007311FB">
        <w:rPr>
          <w:rFonts w:ascii="Times New Roman" w:hAnsi="Times New Roman" w:cs="Times New Roman"/>
          <w:bCs/>
          <w:iCs/>
          <w:sz w:val="20"/>
          <w:lang w:val="en-US"/>
        </w:rPr>
        <w:t>.</w:t>
      </w:r>
    </w:p>
  </w:footnote>
  <w:footnote w:id="26">
    <w:p w14:paraId="1A442633" w14:textId="3A7FF886" w:rsidR="00D1519F" w:rsidRPr="007311FB" w:rsidRDefault="00D1519F">
      <w:pPr>
        <w:pStyle w:val="FootnoteText"/>
        <w:rPr>
          <w:sz w:val="20"/>
        </w:rPr>
      </w:pPr>
      <w:r w:rsidRPr="007311FB">
        <w:rPr>
          <w:rStyle w:val="FootnoteReference"/>
          <w:sz w:val="20"/>
        </w:rPr>
        <w:footnoteRef/>
      </w:r>
      <w:r w:rsidRPr="007311FB">
        <w:rPr>
          <w:sz w:val="20"/>
        </w:rPr>
        <w:t xml:space="preserve"> </w:t>
      </w:r>
      <w:r w:rsidR="00A30BFC" w:rsidRPr="007311FB">
        <w:rPr>
          <w:bCs/>
          <w:iCs/>
          <w:sz w:val="20"/>
          <w:lang w:val="en-US"/>
        </w:rPr>
        <w:t xml:space="preserve">Paragraph </w:t>
      </w:r>
      <w:r w:rsidRPr="007311FB">
        <w:rPr>
          <w:bCs/>
          <w:iCs/>
          <w:sz w:val="20"/>
          <w:lang w:val="en-US"/>
        </w:rPr>
        <w:t>3.22 of the FAD</w:t>
      </w:r>
      <w:r w:rsidR="00FD1A9A" w:rsidRPr="007311FB">
        <w:rPr>
          <w:bCs/>
          <w:iCs/>
          <w:sz w:val="20"/>
          <w:lang w:val="en-US"/>
        </w:rPr>
        <w:t>.</w:t>
      </w:r>
    </w:p>
  </w:footnote>
  <w:footnote w:id="27">
    <w:p w14:paraId="65668F62" w14:textId="7FC17B35" w:rsidR="00B465DB" w:rsidRPr="007311FB" w:rsidRDefault="00B465DB" w:rsidP="004921EA">
      <w:pPr>
        <w:pStyle w:val="FootnoteText"/>
        <w:jc w:val="both"/>
        <w:rPr>
          <w:rFonts w:cstheme="minorHAnsi"/>
          <w:sz w:val="20"/>
        </w:rPr>
      </w:pPr>
      <w:r w:rsidRPr="007311FB">
        <w:rPr>
          <w:rStyle w:val="FootnoteReference"/>
          <w:rFonts w:cstheme="minorHAnsi"/>
          <w:sz w:val="20"/>
        </w:rPr>
        <w:footnoteRef/>
      </w:r>
      <w:r w:rsidRPr="007311FB">
        <w:rPr>
          <w:rFonts w:cstheme="minorHAnsi"/>
          <w:sz w:val="20"/>
        </w:rPr>
        <w:t xml:space="preserve"> </w:t>
      </w:r>
      <w:r w:rsidR="00A30BFC" w:rsidRPr="007311FB">
        <w:rPr>
          <w:rFonts w:cstheme="minorHAnsi"/>
          <w:sz w:val="20"/>
        </w:rPr>
        <w:t xml:space="preserve">Paragraph </w:t>
      </w:r>
      <w:r w:rsidRPr="007311FB">
        <w:rPr>
          <w:rFonts w:cstheme="minorHAnsi"/>
          <w:sz w:val="20"/>
        </w:rPr>
        <w:t>3.4 of the FAD for pembrolizumab states: “</w:t>
      </w:r>
      <w:r w:rsidRPr="007311FB">
        <w:rPr>
          <w:rFonts w:cstheme="minorHAnsi"/>
          <w:i/>
          <w:sz w:val="20"/>
        </w:rPr>
        <w:t>in the latest data cut of KEYNOTE-045, the median overall survival for pembrolizumab was 10.1 months (95% confidence interval [CI] 7.6 to 12.9) compared with 6.2 months (95% CI 5.2 to 7.4) for the UK SoC arm with a hazard ratio of 0.64 (95% CI 0.49 to 0.81).  This suggests that pembrolizumab improves overall survival compared with docetaxel or paclitaxel.</w:t>
      </w:r>
      <w:r w:rsidRPr="007311FB">
        <w:rPr>
          <w:rFonts w:cstheme="minorHAnsi"/>
          <w:sz w:val="20"/>
        </w:rPr>
        <w:t>”  Paragraph 3.4 of the FAD for atezolizumab (TA525) states: “</w:t>
      </w:r>
      <w:r w:rsidRPr="007311FB">
        <w:rPr>
          <w:rFonts w:cstheme="minorHAnsi"/>
          <w:i/>
          <w:sz w:val="20"/>
        </w:rPr>
        <w:t xml:space="preserve">The primary outcome of </w:t>
      </w:r>
      <w:proofErr w:type="spellStart"/>
      <w:r w:rsidRPr="007311FB">
        <w:rPr>
          <w:rFonts w:cstheme="minorHAnsi"/>
          <w:i/>
          <w:sz w:val="20"/>
        </w:rPr>
        <w:t>IMvigor</w:t>
      </w:r>
      <w:proofErr w:type="spellEnd"/>
      <w:r w:rsidRPr="007311FB">
        <w:rPr>
          <w:rFonts w:cstheme="minorHAnsi"/>
          <w:i/>
          <w:sz w:val="20"/>
        </w:rPr>
        <w:t xml:space="preserve"> 211 was overall survival in the group with the highest level of PD-L1 expression (5% or more, n=234).  In this group, median overall survival was </w:t>
      </w:r>
      <w:r w:rsidRPr="007311FB">
        <w:rPr>
          <w:rFonts w:cstheme="minorHAnsi"/>
          <w:b/>
          <w:i/>
          <w:sz w:val="20"/>
        </w:rPr>
        <w:t>not statistically significantly higher with atezolizumab</w:t>
      </w:r>
      <w:r w:rsidRPr="007311FB">
        <w:rPr>
          <w:rFonts w:cstheme="minorHAnsi"/>
          <w:i/>
          <w:sz w:val="20"/>
        </w:rPr>
        <w:t xml:space="preserve"> (11.1 months) than with chemotherapy (10.6 months, hazard ratio 0.87; 95% CI 0.63 to 1.21)… </w:t>
      </w:r>
      <w:r w:rsidRPr="007311FB">
        <w:rPr>
          <w:rFonts w:cstheme="minorHAnsi"/>
          <w:b/>
          <w:i/>
          <w:sz w:val="20"/>
        </w:rPr>
        <w:t>Median overall survival for the overall population was 8.6 months with atezolizumab and 8.0 months with chemotherapy</w:t>
      </w:r>
      <w:r w:rsidRPr="007311FB">
        <w:rPr>
          <w:rFonts w:cstheme="minorHAnsi"/>
          <w:i/>
          <w:sz w:val="20"/>
        </w:rPr>
        <w:t>, resulting in a similar hazard ratio, 0.85 (95% CI 0.73 to 0.99)…</w:t>
      </w:r>
      <w:r w:rsidRPr="007311FB">
        <w:rPr>
          <w:rFonts w:cstheme="minorHAnsi"/>
          <w:sz w:val="20"/>
        </w:rPr>
        <w:t>” (emphasis added).</w:t>
      </w:r>
    </w:p>
  </w:footnote>
  <w:footnote w:id="28">
    <w:p w14:paraId="2A979026" w14:textId="4B520845" w:rsidR="00B465DB" w:rsidRPr="007311FB" w:rsidRDefault="00B465DB" w:rsidP="004921EA">
      <w:pPr>
        <w:pStyle w:val="FootnoteText"/>
        <w:jc w:val="both"/>
        <w:rPr>
          <w:rFonts w:cstheme="minorHAnsi"/>
          <w:sz w:val="20"/>
        </w:rPr>
      </w:pPr>
      <w:r w:rsidRPr="007311FB">
        <w:rPr>
          <w:rStyle w:val="FootnoteReference"/>
          <w:rFonts w:cstheme="minorHAnsi"/>
          <w:sz w:val="20"/>
        </w:rPr>
        <w:footnoteRef/>
      </w:r>
      <w:r w:rsidRPr="007311FB">
        <w:rPr>
          <w:rFonts w:cstheme="minorHAnsi"/>
          <w:sz w:val="20"/>
        </w:rPr>
        <w:t xml:space="preserve"> Slide 9 of the Chair’s Presentation for the Second Appraisal Committee Meeting, 6 February 2020</w:t>
      </w:r>
      <w:r w:rsidR="00FD1A9A" w:rsidRPr="007311FB">
        <w:rPr>
          <w:rFonts w:cstheme="minorHAnsi"/>
          <w:sz w:val="20"/>
        </w:rPr>
        <w:t>.</w:t>
      </w:r>
    </w:p>
  </w:footnote>
  <w:footnote w:id="29">
    <w:p w14:paraId="1381CAB7" w14:textId="77777777" w:rsidR="00B465DB" w:rsidRPr="007311FB" w:rsidRDefault="00B465DB" w:rsidP="004921EA">
      <w:pPr>
        <w:pStyle w:val="FootnoteText"/>
        <w:jc w:val="both"/>
        <w:rPr>
          <w:rFonts w:cstheme="minorHAnsi"/>
          <w:sz w:val="20"/>
        </w:rPr>
      </w:pPr>
      <w:r w:rsidRPr="007311FB">
        <w:rPr>
          <w:rStyle w:val="FootnoteReference"/>
          <w:rFonts w:cstheme="minorHAnsi"/>
          <w:sz w:val="20"/>
        </w:rPr>
        <w:footnoteRef/>
      </w:r>
      <w:r w:rsidRPr="007311FB">
        <w:rPr>
          <w:rFonts w:cstheme="minorHAnsi"/>
          <w:sz w:val="20"/>
        </w:rPr>
        <w:t xml:space="preserve"> </w:t>
      </w:r>
      <w:r w:rsidRPr="007311FB">
        <w:rPr>
          <w:rFonts w:cstheme="minorHAnsi"/>
          <w:sz w:val="20"/>
          <w:lang w:val="en-US"/>
        </w:rPr>
        <w:t>Data collected from Ipsos’ Global Oncology Monitor shows that, as of the Moving Annual Total ending in September 2019, 39% of reported drug-treated patients in their sample affected with metastatic urothelial cancer in a second-line setting were prescribed with pembrolizumab (following 1st line platinum-containing chemotherapy); this reflects a 17% higher usage share for pembrolizumab compared to atezolizumab (22% patient usage share) among this reported patient sample cohort.</w:t>
      </w:r>
    </w:p>
  </w:footnote>
  <w:footnote w:id="30">
    <w:p w14:paraId="754A77D7" w14:textId="2C5C0718" w:rsidR="00B465DB" w:rsidRPr="007311FB" w:rsidRDefault="00B465DB" w:rsidP="004921EA">
      <w:pPr>
        <w:pStyle w:val="FootnoteText"/>
        <w:jc w:val="both"/>
        <w:rPr>
          <w:sz w:val="20"/>
        </w:rPr>
      </w:pPr>
      <w:r w:rsidRPr="007311FB">
        <w:rPr>
          <w:rStyle w:val="FootnoteReference"/>
          <w:rFonts w:cstheme="minorHAnsi"/>
          <w:sz w:val="20"/>
        </w:rPr>
        <w:footnoteRef/>
      </w:r>
      <w:r w:rsidRPr="007311FB">
        <w:rPr>
          <w:rFonts w:cstheme="minorHAnsi"/>
          <w:sz w:val="20"/>
        </w:rPr>
        <w:t xml:space="preserve"> European Association of Urology – Guidelines on Muscle-Invasive and Metastatic Bladder Cancer (available at: </w:t>
      </w:r>
      <w:hyperlink r:id="rId1" w:history="1">
        <w:r w:rsidRPr="007311FB">
          <w:rPr>
            <w:rStyle w:val="Hyperlink"/>
            <w:rFonts w:cstheme="minorHAnsi"/>
            <w:sz w:val="20"/>
          </w:rPr>
          <w:t>https://uroweb.org/guideline/bladder-cancer-muscle-invasive-and-metastatic/?type=summary-of-changes</w:t>
        </w:r>
      </w:hyperlink>
      <w:r w:rsidR="00D2004B" w:rsidRPr="007311FB">
        <w:rPr>
          <w:rFonts w:cstheme="minorHAnsi"/>
          <w:sz w:val="20"/>
        </w:rPr>
        <w:t>, accessed 20 March 2020)</w:t>
      </w:r>
      <w:r w:rsidR="00FD1A9A" w:rsidRPr="007311FB">
        <w:rPr>
          <w:rFonts w:cstheme="minorHAnsi"/>
          <w:sz w:val="20"/>
        </w:rPr>
        <w:t>.</w:t>
      </w:r>
    </w:p>
  </w:footnote>
  <w:footnote w:id="31">
    <w:p w14:paraId="44E45723" w14:textId="191AFA6F" w:rsidR="00B465DB" w:rsidRPr="007311FB" w:rsidRDefault="00B465DB">
      <w:pPr>
        <w:pStyle w:val="FootnoteText"/>
        <w:rPr>
          <w:sz w:val="20"/>
        </w:rPr>
      </w:pPr>
      <w:r w:rsidRPr="007311FB">
        <w:rPr>
          <w:rStyle w:val="FootnoteReference"/>
          <w:sz w:val="20"/>
        </w:rPr>
        <w:footnoteRef/>
      </w:r>
      <w:r w:rsidRPr="007311FB">
        <w:rPr>
          <w:sz w:val="20"/>
        </w:rPr>
        <w:t xml:space="preserve"> NCRI-ACP-RCP-RCR Group’s Comments </w:t>
      </w:r>
      <w:r w:rsidR="007C3AB6" w:rsidRPr="007311FB">
        <w:rPr>
          <w:sz w:val="20"/>
        </w:rPr>
        <w:t xml:space="preserve">in Response to </w:t>
      </w:r>
      <w:r w:rsidRPr="007311FB">
        <w:rPr>
          <w:sz w:val="20"/>
        </w:rPr>
        <w:t>the ACD, Comments 1-3</w:t>
      </w:r>
      <w:r w:rsidR="00FD1A9A" w:rsidRPr="007311FB">
        <w:rPr>
          <w:sz w:val="20"/>
        </w:rPr>
        <w:t>.</w:t>
      </w:r>
    </w:p>
  </w:footnote>
  <w:footnote w:id="32">
    <w:p w14:paraId="06EFA014" w14:textId="77777777" w:rsidR="00B465DB" w:rsidRPr="007311FB" w:rsidRDefault="00B465DB">
      <w:pPr>
        <w:pStyle w:val="FootnoteText"/>
        <w:rPr>
          <w:sz w:val="20"/>
        </w:rPr>
      </w:pPr>
      <w:r w:rsidRPr="007311FB">
        <w:rPr>
          <w:rStyle w:val="FootnoteReference"/>
          <w:sz w:val="20"/>
        </w:rPr>
        <w:footnoteRef/>
      </w:r>
      <w:r w:rsidRPr="007311FB">
        <w:rPr>
          <w:sz w:val="20"/>
        </w:rPr>
        <w:t xml:space="preserve"> </w:t>
      </w:r>
      <w:r w:rsidRPr="007311FB">
        <w:rPr>
          <w:i/>
          <w:sz w:val="20"/>
        </w:rPr>
        <w:t>Id.</w:t>
      </w:r>
    </w:p>
  </w:footnote>
  <w:footnote w:id="33">
    <w:p w14:paraId="3F8F837F" w14:textId="09212EE0" w:rsidR="00665287" w:rsidRPr="007311FB" w:rsidRDefault="00665287">
      <w:pPr>
        <w:pStyle w:val="FootnoteText"/>
        <w:rPr>
          <w:sz w:val="20"/>
        </w:rPr>
      </w:pPr>
      <w:r w:rsidRPr="007311FB">
        <w:rPr>
          <w:rStyle w:val="FootnoteReference"/>
          <w:sz w:val="20"/>
        </w:rPr>
        <w:footnoteRef/>
      </w:r>
      <w:r w:rsidRPr="007311FB">
        <w:rPr>
          <w:sz w:val="20"/>
        </w:rPr>
        <w:t xml:space="preserve"> </w:t>
      </w:r>
      <w:r w:rsidR="002A46BD" w:rsidRPr="007311FB">
        <w:rPr>
          <w:sz w:val="20"/>
        </w:rPr>
        <w:t xml:space="preserve">Paragraphs </w:t>
      </w:r>
      <w:r w:rsidRPr="007311FB">
        <w:rPr>
          <w:sz w:val="20"/>
        </w:rPr>
        <w:t xml:space="preserve">1, 3.23 and 3.24 of the </w:t>
      </w:r>
      <w:proofErr w:type="gramStart"/>
      <w:r w:rsidRPr="007311FB">
        <w:rPr>
          <w:sz w:val="20"/>
        </w:rPr>
        <w:t>FAD</w:t>
      </w:r>
      <w:proofErr w:type="gramEnd"/>
      <w:r w:rsidR="00FD1A9A" w:rsidRPr="007311FB">
        <w:rPr>
          <w:sz w:val="20"/>
        </w:rPr>
        <w:t>.</w:t>
      </w:r>
    </w:p>
  </w:footnote>
  <w:footnote w:id="34">
    <w:p w14:paraId="31DCC1E2" w14:textId="2507E185" w:rsidR="00B465DB" w:rsidRPr="007311FB" w:rsidRDefault="00B465DB">
      <w:pPr>
        <w:pStyle w:val="FootnoteText"/>
        <w:rPr>
          <w:sz w:val="20"/>
        </w:rPr>
      </w:pPr>
      <w:r w:rsidRPr="007311FB">
        <w:rPr>
          <w:rStyle w:val="FootnoteReference"/>
          <w:sz w:val="20"/>
        </w:rPr>
        <w:footnoteRef/>
      </w:r>
      <w:r w:rsidRPr="007311FB">
        <w:rPr>
          <w:sz w:val="20"/>
        </w:rPr>
        <w:t xml:space="preserve"> </w:t>
      </w:r>
      <w:r w:rsidR="002A46BD" w:rsidRPr="007311FB">
        <w:rPr>
          <w:sz w:val="20"/>
        </w:rPr>
        <w:t>See</w:t>
      </w:r>
      <w:r w:rsidRPr="007311FB">
        <w:rPr>
          <w:sz w:val="20"/>
        </w:rPr>
        <w:t>, for example,</w:t>
      </w:r>
      <w:r w:rsidRPr="007311FB">
        <w:rPr>
          <w:i/>
          <w:sz w:val="20"/>
        </w:rPr>
        <w:t xml:space="preserve"> Belgian Linguistic </w:t>
      </w:r>
      <w:r w:rsidRPr="007311FB">
        <w:rPr>
          <w:sz w:val="20"/>
        </w:rPr>
        <w:t>Case</w:t>
      </w:r>
      <w:r w:rsidRPr="007311FB">
        <w:rPr>
          <w:i/>
          <w:sz w:val="20"/>
        </w:rPr>
        <w:t xml:space="preserve"> </w:t>
      </w:r>
      <w:r w:rsidRPr="007311FB">
        <w:rPr>
          <w:sz w:val="20"/>
        </w:rPr>
        <w:t>(No 2) (1968) I EHRR 252</w:t>
      </w:r>
      <w:r w:rsidR="00FD1A9A" w:rsidRPr="007311FB">
        <w:rPr>
          <w:sz w:val="20"/>
        </w:rPr>
        <w:t>.</w:t>
      </w:r>
    </w:p>
  </w:footnote>
  <w:footnote w:id="35">
    <w:p w14:paraId="140C1A10" w14:textId="360D14E1" w:rsidR="00665287" w:rsidRPr="007311FB" w:rsidRDefault="00665287">
      <w:pPr>
        <w:pStyle w:val="FootnoteText"/>
        <w:rPr>
          <w:sz w:val="20"/>
        </w:rPr>
      </w:pPr>
      <w:r w:rsidRPr="007311FB">
        <w:rPr>
          <w:rStyle w:val="FootnoteReference"/>
          <w:sz w:val="20"/>
        </w:rPr>
        <w:footnoteRef/>
      </w:r>
      <w:r w:rsidRPr="007311FB">
        <w:rPr>
          <w:sz w:val="20"/>
        </w:rPr>
        <w:t xml:space="preserve"> </w:t>
      </w:r>
      <w:r w:rsidR="002A46BD" w:rsidRPr="007311FB">
        <w:rPr>
          <w:rFonts w:eastAsia="Times New Roman"/>
          <w:sz w:val="20"/>
        </w:rPr>
        <w:t>S</w:t>
      </w:r>
      <w:r w:rsidRPr="007311FB">
        <w:rPr>
          <w:rFonts w:eastAsia="Times New Roman"/>
          <w:sz w:val="20"/>
        </w:rPr>
        <w:t>ee</w:t>
      </w:r>
      <w:r w:rsidR="002A46BD" w:rsidRPr="007311FB">
        <w:rPr>
          <w:rFonts w:eastAsia="Times New Roman"/>
          <w:sz w:val="20"/>
        </w:rPr>
        <w:t>, for example,</w:t>
      </w:r>
      <w:r w:rsidRPr="007311FB">
        <w:rPr>
          <w:rFonts w:eastAsia="Times New Roman"/>
          <w:sz w:val="20"/>
        </w:rPr>
        <w:t xml:space="preserve"> para</w:t>
      </w:r>
      <w:r w:rsidR="00F16606" w:rsidRPr="007311FB">
        <w:rPr>
          <w:rFonts w:eastAsia="Times New Roman"/>
          <w:sz w:val="20"/>
        </w:rPr>
        <w:t>graph</w:t>
      </w:r>
      <w:r w:rsidRPr="007311FB">
        <w:rPr>
          <w:rFonts w:eastAsia="Times New Roman"/>
          <w:sz w:val="20"/>
        </w:rPr>
        <w:t xml:space="preserve"> 3.1 of the FAD</w:t>
      </w:r>
      <w:r w:rsidR="00FD1A9A" w:rsidRPr="007311FB">
        <w:rPr>
          <w:rFonts w:eastAsia="Times New Roman"/>
          <w:sz w:val="20"/>
        </w:rPr>
        <w:t>.</w:t>
      </w:r>
    </w:p>
  </w:footnote>
  <w:footnote w:id="36">
    <w:p w14:paraId="74038E48" w14:textId="2D69E71D" w:rsidR="00665287" w:rsidRPr="007311FB" w:rsidRDefault="00665287">
      <w:pPr>
        <w:pStyle w:val="FootnoteText"/>
        <w:rPr>
          <w:sz w:val="20"/>
        </w:rPr>
      </w:pPr>
      <w:r w:rsidRPr="007311FB">
        <w:rPr>
          <w:rStyle w:val="FootnoteReference"/>
          <w:sz w:val="20"/>
        </w:rPr>
        <w:footnoteRef/>
      </w:r>
      <w:r w:rsidRPr="007311FB">
        <w:rPr>
          <w:sz w:val="20"/>
        </w:rPr>
        <w:t xml:space="preserve"> </w:t>
      </w:r>
      <w:r w:rsidR="00671FF3" w:rsidRPr="007311FB">
        <w:rPr>
          <w:rFonts w:ascii="Times New Roman" w:hAnsi="Times New Roman" w:cs="Times New Roman"/>
          <w:sz w:val="20"/>
        </w:rPr>
        <w:t xml:space="preserve">Paragraph </w:t>
      </w:r>
      <w:r w:rsidRPr="007311FB">
        <w:rPr>
          <w:rFonts w:ascii="Times New Roman" w:hAnsi="Times New Roman" w:cs="Times New Roman"/>
          <w:sz w:val="20"/>
        </w:rPr>
        <w:t>3.22 of the FAD</w:t>
      </w:r>
      <w:r w:rsidR="00FD1A9A" w:rsidRPr="007311FB">
        <w:rPr>
          <w:rFonts w:ascii="Times New Roman" w:hAnsi="Times New Roman" w:cs="Times New Roman"/>
          <w:sz w:val="20"/>
        </w:rPr>
        <w:t>.</w:t>
      </w:r>
    </w:p>
  </w:footnote>
  <w:footnote w:id="37">
    <w:p w14:paraId="126F9C37" w14:textId="0502313E" w:rsidR="00665287" w:rsidRPr="007311FB" w:rsidRDefault="00665287">
      <w:pPr>
        <w:pStyle w:val="FootnoteText"/>
        <w:rPr>
          <w:sz w:val="20"/>
        </w:rPr>
      </w:pPr>
      <w:r w:rsidRPr="007311FB">
        <w:rPr>
          <w:rStyle w:val="FootnoteReference"/>
          <w:sz w:val="20"/>
        </w:rPr>
        <w:footnoteRef/>
      </w:r>
      <w:r w:rsidRPr="007311FB">
        <w:rPr>
          <w:sz w:val="20"/>
        </w:rPr>
        <w:t xml:space="preserve"> </w:t>
      </w:r>
      <w:r w:rsidR="00671FF3" w:rsidRPr="007311FB">
        <w:rPr>
          <w:sz w:val="20"/>
          <w:lang w:val="en-US"/>
        </w:rPr>
        <w:t xml:space="preserve">Paragraph </w:t>
      </w:r>
      <w:r w:rsidRPr="007311FB">
        <w:rPr>
          <w:sz w:val="20"/>
          <w:lang w:val="en-US"/>
        </w:rPr>
        <w:t>3.5 of the FAD</w:t>
      </w:r>
      <w:r w:rsidR="00FD1A9A" w:rsidRPr="007311FB">
        <w:rPr>
          <w:sz w:val="20"/>
          <w:lang w:val="en-US"/>
        </w:rPr>
        <w:t>.</w:t>
      </w:r>
    </w:p>
  </w:footnote>
  <w:footnote w:id="38">
    <w:p w14:paraId="24CD0E71" w14:textId="22806DE9" w:rsidR="00665287" w:rsidRPr="007311FB" w:rsidRDefault="00665287">
      <w:pPr>
        <w:pStyle w:val="FootnoteText"/>
        <w:rPr>
          <w:sz w:val="20"/>
        </w:rPr>
      </w:pPr>
      <w:r w:rsidRPr="007311FB">
        <w:rPr>
          <w:rStyle w:val="FootnoteReference"/>
          <w:sz w:val="20"/>
        </w:rPr>
        <w:footnoteRef/>
      </w:r>
      <w:r w:rsidRPr="007311FB">
        <w:rPr>
          <w:sz w:val="20"/>
        </w:rPr>
        <w:t xml:space="preserve"> </w:t>
      </w:r>
      <w:r w:rsidR="00671FF3" w:rsidRPr="007311FB">
        <w:rPr>
          <w:sz w:val="20"/>
        </w:rPr>
        <w:t xml:space="preserve">Paragraph </w:t>
      </w:r>
      <w:r w:rsidRPr="007311FB">
        <w:rPr>
          <w:sz w:val="20"/>
        </w:rPr>
        <w:t>3.5 of the ACD</w:t>
      </w:r>
      <w:r w:rsidR="00FD1A9A" w:rsidRPr="007311FB">
        <w:rPr>
          <w:sz w:val="20"/>
        </w:rPr>
        <w:t>.</w:t>
      </w:r>
    </w:p>
  </w:footnote>
  <w:footnote w:id="39">
    <w:p w14:paraId="31F89E74" w14:textId="3B1BF5B8" w:rsidR="00665287" w:rsidRPr="007311FB" w:rsidRDefault="00665287">
      <w:pPr>
        <w:pStyle w:val="FootnoteText"/>
        <w:rPr>
          <w:sz w:val="20"/>
        </w:rPr>
      </w:pPr>
      <w:r w:rsidRPr="007311FB">
        <w:rPr>
          <w:rStyle w:val="FootnoteReference"/>
          <w:sz w:val="20"/>
        </w:rPr>
        <w:footnoteRef/>
      </w:r>
      <w:r w:rsidRPr="007311FB">
        <w:rPr>
          <w:sz w:val="20"/>
        </w:rPr>
        <w:t xml:space="preserve"> </w:t>
      </w:r>
      <w:r w:rsidRPr="007311FB">
        <w:rPr>
          <w:sz w:val="20"/>
          <w:lang w:val="en-US"/>
        </w:rPr>
        <w:t xml:space="preserve">ERG Response to Company Comment </w:t>
      </w:r>
      <w:r w:rsidR="00711C9A" w:rsidRPr="007311FB">
        <w:rPr>
          <w:sz w:val="20"/>
          <w:lang w:val="en-US"/>
        </w:rPr>
        <w:t>4</w:t>
      </w:r>
      <w:r w:rsidRPr="007311FB">
        <w:rPr>
          <w:sz w:val="20"/>
          <w:lang w:val="en-US"/>
        </w:rPr>
        <w:t xml:space="preserve">, at page 4 of the ERG’s </w:t>
      </w:r>
      <w:r w:rsidR="007C3AB6" w:rsidRPr="007311FB">
        <w:rPr>
          <w:sz w:val="20"/>
        </w:rPr>
        <w:t>Critique of Company Additional Evidence, 9 January 2020</w:t>
      </w:r>
      <w:r w:rsidR="00FD1A9A" w:rsidRPr="007311FB">
        <w:rPr>
          <w:sz w:val="20"/>
        </w:rPr>
        <w:t>.</w:t>
      </w:r>
    </w:p>
  </w:footnote>
  <w:footnote w:id="40">
    <w:p w14:paraId="43DD5279" w14:textId="5BE222D8" w:rsidR="00D0774F" w:rsidRPr="007311FB" w:rsidRDefault="00D0774F">
      <w:pPr>
        <w:pStyle w:val="FootnoteText"/>
        <w:rPr>
          <w:sz w:val="20"/>
        </w:rPr>
      </w:pPr>
      <w:r w:rsidRPr="007311FB">
        <w:rPr>
          <w:rStyle w:val="FootnoteReference"/>
          <w:sz w:val="20"/>
        </w:rPr>
        <w:footnoteRef/>
      </w:r>
      <w:r w:rsidRPr="007311FB">
        <w:rPr>
          <w:sz w:val="20"/>
        </w:rPr>
        <w:t xml:space="preserve"> </w:t>
      </w:r>
      <w:r w:rsidR="00671FF3" w:rsidRPr="007311FB">
        <w:rPr>
          <w:sz w:val="20"/>
        </w:rPr>
        <w:t xml:space="preserve">Page </w:t>
      </w:r>
      <w:r w:rsidR="001E4A5E" w:rsidRPr="007311FB">
        <w:rPr>
          <w:sz w:val="20"/>
        </w:rPr>
        <w:t>5 of the ERG’s Critique of Company Additional Evidence, 9 January 2020</w:t>
      </w:r>
      <w:r w:rsidR="00FD1A9A" w:rsidRPr="007311FB">
        <w:rPr>
          <w:sz w:val="20"/>
        </w:rPr>
        <w:t>.</w:t>
      </w:r>
    </w:p>
  </w:footnote>
  <w:footnote w:id="41">
    <w:p w14:paraId="7D06D1CA" w14:textId="77777777" w:rsidR="00B465DB" w:rsidRPr="007311FB" w:rsidRDefault="00B465DB" w:rsidP="00170813">
      <w:pPr>
        <w:pStyle w:val="FootnoteText"/>
        <w:rPr>
          <w:sz w:val="20"/>
        </w:rPr>
      </w:pPr>
      <w:r w:rsidRPr="007311FB">
        <w:rPr>
          <w:rStyle w:val="FootnoteReference"/>
          <w:sz w:val="20"/>
        </w:rPr>
        <w:footnoteRef/>
      </w:r>
      <w:r w:rsidRPr="007311FB">
        <w:rPr>
          <w:sz w:val="20"/>
        </w:rPr>
        <w:t xml:space="preserve"> </w:t>
      </w:r>
      <w:proofErr w:type="spellStart"/>
      <w:r w:rsidRPr="007311FB">
        <w:rPr>
          <w:sz w:val="20"/>
        </w:rPr>
        <w:t>Bellmunt</w:t>
      </w:r>
      <w:proofErr w:type="spellEnd"/>
      <w:r w:rsidRPr="007311FB">
        <w:rPr>
          <w:sz w:val="20"/>
        </w:rPr>
        <w:t xml:space="preserve"> J, </w:t>
      </w:r>
      <w:proofErr w:type="spellStart"/>
      <w:r w:rsidRPr="007311FB">
        <w:rPr>
          <w:sz w:val="20"/>
        </w:rPr>
        <w:t>Fougeray</w:t>
      </w:r>
      <w:proofErr w:type="spellEnd"/>
      <w:r w:rsidRPr="007311FB">
        <w:rPr>
          <w:sz w:val="20"/>
        </w:rPr>
        <w:t xml:space="preserve"> R, Rosenberg JE, von der </w:t>
      </w:r>
      <w:proofErr w:type="spellStart"/>
      <w:r w:rsidRPr="007311FB">
        <w:rPr>
          <w:sz w:val="20"/>
        </w:rPr>
        <w:t>Maase</w:t>
      </w:r>
      <w:proofErr w:type="spellEnd"/>
      <w:r w:rsidRPr="007311FB">
        <w:rPr>
          <w:sz w:val="20"/>
        </w:rPr>
        <w:t xml:space="preserve"> H, Schutz FA, </w:t>
      </w:r>
      <w:proofErr w:type="spellStart"/>
      <w:r w:rsidRPr="007311FB">
        <w:rPr>
          <w:sz w:val="20"/>
        </w:rPr>
        <w:t>Salhi</w:t>
      </w:r>
      <w:proofErr w:type="spellEnd"/>
      <w:r w:rsidRPr="007311FB">
        <w:rPr>
          <w:sz w:val="20"/>
        </w:rPr>
        <w:t xml:space="preserve"> Y, et al. Long-term survival results of a randomized phase III trial of vinflunine plus best supportive care versus best supportive care alone in advanced urothelial carcinoma patients after failure of platinum-based chemotherapy. Ann Oncol 2013;24:1466-72.</w:t>
      </w:r>
    </w:p>
  </w:footnote>
  <w:footnote w:id="42">
    <w:p w14:paraId="58BAA566" w14:textId="1F12AB0F" w:rsidR="008E3E01" w:rsidRPr="007311FB" w:rsidRDefault="008E3E01" w:rsidP="008E3E01">
      <w:pPr>
        <w:pStyle w:val="FootnoteText"/>
        <w:rPr>
          <w:sz w:val="20"/>
        </w:rPr>
      </w:pPr>
      <w:r w:rsidRPr="007311FB">
        <w:rPr>
          <w:rStyle w:val="FootnoteReference"/>
          <w:sz w:val="20"/>
        </w:rPr>
        <w:footnoteRef/>
      </w:r>
      <w:r w:rsidRPr="007311FB">
        <w:rPr>
          <w:sz w:val="20"/>
        </w:rPr>
        <w:t xml:space="preserve"> </w:t>
      </w:r>
      <w:r w:rsidRPr="007311FB">
        <w:rPr>
          <w:sz w:val="20"/>
          <w:lang w:val="en-US"/>
        </w:rPr>
        <w:t>Comment 10 of MSD’s Comments in Response to the ACD</w:t>
      </w:r>
      <w:r w:rsidR="00FD1A9A" w:rsidRPr="007311FB">
        <w:rPr>
          <w:sz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7661F" w14:textId="77777777" w:rsidR="00BB749B" w:rsidRPr="0060014B" w:rsidRDefault="00BB749B" w:rsidP="00BB749B">
    <w:pPr>
      <w:rPr>
        <w:sz w:val="8"/>
      </w:rPr>
    </w:pPr>
    <w:r>
      <w:rPr>
        <w:noProof/>
        <w:sz w:val="8"/>
        <w:lang w:eastAsia="en-GB"/>
      </w:rPr>
      <mc:AlternateContent>
        <mc:Choice Requires="wps">
          <w:drawing>
            <wp:anchor distT="0" distB="0" distL="114300" distR="114300" simplePos="0" relativeHeight="251666432" behindDoc="0" locked="0" layoutInCell="1" allowOverlap="1" wp14:anchorId="28356A1C" wp14:editId="24348C84">
              <wp:simplePos x="0" y="0"/>
              <wp:positionH relativeFrom="column">
                <wp:posOffset>3921125</wp:posOffset>
              </wp:positionH>
              <wp:positionV relativeFrom="paragraph">
                <wp:posOffset>1134110</wp:posOffset>
              </wp:positionV>
              <wp:extent cx="1847850" cy="932815"/>
              <wp:effectExtent l="0" t="0" r="6350" b="6985"/>
              <wp:wrapTight wrapText="bothSides">
                <wp:wrapPolygon edited="0">
                  <wp:start x="0" y="0"/>
                  <wp:lineTo x="0" y="21174"/>
                  <wp:lineTo x="21377" y="21174"/>
                  <wp:lineTo x="21377"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9328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940C81" w14:textId="77777777" w:rsidR="00BB749B" w:rsidRDefault="00BB749B" w:rsidP="00BB749B">
                          <w:pPr>
                            <w:pStyle w:val="Merckbodycopy"/>
                          </w:pPr>
                          <w:r>
                            <w:t xml:space="preserve">Hertford Road, Hoddesdon, </w:t>
                          </w:r>
                        </w:p>
                        <w:p w14:paraId="79B099C2" w14:textId="77777777" w:rsidR="00BB749B" w:rsidRDefault="00BB749B" w:rsidP="00BB749B">
                          <w:pPr>
                            <w:pStyle w:val="Merckbodycopy"/>
                          </w:pPr>
                          <w:r>
                            <w:t>Herts EN11 9BU</w:t>
                          </w:r>
                        </w:p>
                        <w:p w14:paraId="0707B312" w14:textId="77777777" w:rsidR="00BB749B" w:rsidRPr="00717891" w:rsidRDefault="00BB749B" w:rsidP="00BB749B">
                          <w:pPr>
                            <w:pStyle w:val="Merckbodycopy"/>
                          </w:pPr>
                          <w:r>
                            <w:t>T: 01992 467272</w:t>
                          </w:r>
                        </w:p>
                        <w:p w14:paraId="4D6D7C4D" w14:textId="77777777" w:rsidR="00BB749B" w:rsidRPr="00717891" w:rsidRDefault="00BB749B" w:rsidP="00BB749B">
                          <w:pPr>
                            <w:rPr>
                              <w:color w:val="000000" w:themeColor="text1"/>
                              <w:szCs w:val="20"/>
                            </w:rPr>
                          </w:pPr>
                        </w:p>
                        <w:p w14:paraId="7C4669BD" w14:textId="77777777" w:rsidR="00BB749B" w:rsidRPr="00717891" w:rsidRDefault="00BB749B" w:rsidP="00BB749B">
                          <w:pPr>
                            <w:rPr>
                              <w:color w:val="00877C"/>
                              <w:szCs w:val="20"/>
                            </w:rPr>
                          </w:pPr>
                          <w:r>
                            <w:rPr>
                              <w:color w:val="00877C"/>
                              <w:szCs w:val="20"/>
                            </w:rPr>
                            <w:t>msd</w:t>
                          </w:r>
                          <w:r w:rsidRPr="00717891">
                            <w:rPr>
                              <w:color w:val="00877C"/>
                              <w:szCs w:val="20"/>
                            </w:rPr>
                            <w:t>.com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8356A1C" id="_x0000_t202" coordsize="21600,21600" o:spt="202" path="m,l,21600r21600,l21600,xe">
              <v:stroke joinstyle="miter"/>
              <v:path gradientshapeok="t" o:connecttype="rect"/>
            </v:shapetype>
            <v:shape id="Text Box 14" o:spid="_x0000_s1026" type="#_x0000_t202" style="position:absolute;margin-left:308.75pt;margin-top:89.3pt;width:145.5pt;height:7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" filled="f" stroked="f">
              <v:textbox inset="0,0,0,0">
                <w:txbxContent>
                  <w:p w14:paraId="7B940C81" w14:textId="77777777" w:rsidR="00BB749B" w:rsidRDefault="00BB749B" w:rsidP="00BB749B">
                    <w:pPr>
                      <w:pStyle w:val="Merckbodycopy"/>
                    </w:pPr>
                    <w:r>
                      <w:t xml:space="preserve">Hertford Road, Hoddesdon, </w:t>
                    </w:r>
                  </w:p>
                  <w:p w14:paraId="79B099C2" w14:textId="77777777" w:rsidR="00BB749B" w:rsidRDefault="00BB749B" w:rsidP="00BB749B">
                    <w:pPr>
                      <w:pStyle w:val="Merckbodycopy"/>
                    </w:pPr>
                    <w:r>
                      <w:t>Herts EN11 9BU</w:t>
                    </w:r>
                  </w:p>
                  <w:p w14:paraId="0707B312" w14:textId="77777777" w:rsidR="00BB749B" w:rsidRPr="00717891" w:rsidRDefault="00BB749B" w:rsidP="00BB749B">
                    <w:pPr>
                      <w:pStyle w:val="Merckbodycopy"/>
                    </w:pPr>
                    <w:r>
                      <w:t>T: 01992 467272</w:t>
                    </w:r>
                  </w:p>
                  <w:p w14:paraId="4D6D7C4D" w14:textId="77777777" w:rsidR="00BB749B" w:rsidRPr="00717891" w:rsidRDefault="00BB749B" w:rsidP="00BB749B">
                    <w:pPr>
                      <w:rPr>
                        <w:color w:val="000000" w:themeColor="text1"/>
                        <w:szCs w:val="20"/>
                      </w:rPr>
                    </w:pPr>
                  </w:p>
                  <w:p w14:paraId="7C4669BD" w14:textId="77777777" w:rsidR="00BB749B" w:rsidRPr="00717891" w:rsidRDefault="00BB749B" w:rsidP="00BB749B">
                    <w:pPr>
                      <w:rPr>
                        <w:color w:val="00877C"/>
                        <w:szCs w:val="20"/>
                      </w:rPr>
                    </w:pPr>
                    <w:r>
                      <w:rPr>
                        <w:color w:val="00877C"/>
                        <w:szCs w:val="20"/>
                      </w:rPr>
                      <w:t>msd</w:t>
                    </w:r>
                    <w:r w:rsidRPr="00717891">
                      <w:rPr>
                        <w:color w:val="00877C"/>
                        <w:szCs w:val="20"/>
                      </w:rPr>
                      <w:t>.com</w:t>
                    </w:r>
                  </w:p>
                </w:txbxContent>
              </v:textbox>
              <w10:wrap type="tight"/>
            </v:shape>
          </w:pict>
        </mc:Fallback>
      </mc:AlternateContent>
    </w:r>
    <w:r w:rsidRPr="00196DB9">
      <w:rPr>
        <w:noProof/>
        <w:sz w:val="8"/>
        <w:lang w:eastAsia="en-GB"/>
      </w:rPr>
      <w:drawing>
        <wp:anchor distT="0" distB="0" distL="114300" distR="114300" simplePos="0" relativeHeight="251665408" behindDoc="0" locked="0" layoutInCell="1" allowOverlap="1" wp14:anchorId="0EFF68DA" wp14:editId="77663A90">
          <wp:simplePos x="0" y="0"/>
          <wp:positionH relativeFrom="column">
            <wp:posOffset>3049954</wp:posOffset>
          </wp:positionH>
          <wp:positionV relativeFrom="paragraph">
            <wp:posOffset>35169</wp:posOffset>
          </wp:positionV>
          <wp:extent cx="2902438" cy="817685"/>
          <wp:effectExtent l="25400" t="0" r="0" b="0"/>
          <wp:wrapNone/>
          <wp:docPr id="4" name="Picture 4" descr=":::MSD I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D IFL.png"/>
                  <pic:cNvPicPr>
                    <a:picLocks noChangeAspect="1" noChangeArrowheads="1"/>
                  </pic:cNvPicPr>
                </pic:nvPicPr>
                <pic:blipFill>
                  <a:blip r:embed="rId1"/>
                  <a:srcRect/>
                  <a:stretch>
                    <a:fillRect/>
                  </a:stretch>
                </pic:blipFill>
                <pic:spPr bwMode="auto">
                  <a:xfrm>
                    <a:off x="0" y="0"/>
                    <a:ext cx="2903220" cy="817880"/>
                  </a:xfrm>
                  <a:prstGeom prst="rect">
                    <a:avLst/>
                  </a:prstGeom>
                  <a:noFill/>
                  <a:ln w="9525">
                    <a:noFill/>
                    <a:miter lim="800000"/>
                    <a:headEnd/>
                    <a:tailEnd/>
                  </a:ln>
                </pic:spPr>
              </pic:pic>
            </a:graphicData>
          </a:graphic>
        </wp:anchor>
      </w:drawing>
    </w:r>
  </w:p>
  <w:p w14:paraId="52540015" w14:textId="77777777" w:rsidR="00BB749B" w:rsidRDefault="00BB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9882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6A11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1C30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D095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6E1D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B624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F22A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ECD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8C14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C03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70D01"/>
    <w:multiLevelType w:val="hybridMultilevel"/>
    <w:tmpl w:val="18CE0200"/>
    <w:styleLink w:val="ImportedStyle1"/>
    <w:lvl w:ilvl="0" w:tplc="23EEAAE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9008D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7097C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810D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32EFE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D829B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4A0D4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F2F2D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34FB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82A653B"/>
    <w:multiLevelType w:val="hybridMultilevel"/>
    <w:tmpl w:val="5FFCCEC0"/>
    <w:lvl w:ilvl="0" w:tplc="F476E19A">
      <w:start w:val="1"/>
      <w:numFmt w:val="decimal"/>
      <w:pStyle w:val="NumberedParagraphSing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55679B"/>
    <w:multiLevelType w:val="multilevel"/>
    <w:tmpl w:val="E7541A2A"/>
    <w:numStyleLink w:val="ListNumbers"/>
  </w:abstractNum>
  <w:abstractNum w:abstractNumId="13" w15:restartNumberingAfterBreak="0">
    <w:nsid w:val="0A3003A8"/>
    <w:multiLevelType w:val="hybridMultilevel"/>
    <w:tmpl w:val="18CE0200"/>
    <w:numStyleLink w:val="ImportedStyle1"/>
  </w:abstractNum>
  <w:abstractNum w:abstractNumId="14" w15:restartNumberingAfterBreak="0">
    <w:nsid w:val="0A4811F7"/>
    <w:multiLevelType w:val="hybridMultilevel"/>
    <w:tmpl w:val="DF205194"/>
    <w:lvl w:ilvl="0" w:tplc="9C085498">
      <w:start w:val="1"/>
      <w:numFmt w:val="upperLetter"/>
      <w:pStyle w:val="LetteredParagraphSing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647D15"/>
    <w:multiLevelType w:val="hybridMultilevel"/>
    <w:tmpl w:val="B7AA7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4E6E17"/>
    <w:multiLevelType w:val="hybridMultilevel"/>
    <w:tmpl w:val="6A82694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960B76"/>
    <w:multiLevelType w:val="hybridMultilevel"/>
    <w:tmpl w:val="DCD2F0EA"/>
    <w:lvl w:ilvl="0" w:tplc="55062CD8">
      <w:start w:val="1"/>
      <w:numFmt w:val="upperLetter"/>
      <w:pStyle w:val="LetteredParagraphDoub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B63BB0"/>
    <w:multiLevelType w:val="hybridMultilevel"/>
    <w:tmpl w:val="EF22ABD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FF0437"/>
    <w:multiLevelType w:val="multilevel"/>
    <w:tmpl w:val="E7541A2A"/>
    <w:styleLink w:val="ListNumbers"/>
    <w:lvl w:ilvl="0">
      <w:start w:val="1"/>
      <w:numFmt w:val="decimal"/>
      <w:pStyle w:val="ListNumber"/>
      <w:lvlText w:val="%1."/>
      <w:lvlJc w:val="left"/>
      <w:pPr>
        <w:tabs>
          <w:tab w:val="num" w:pos="360"/>
        </w:tabs>
        <w:ind w:left="360" w:hanging="360"/>
      </w:pPr>
      <w:rPr>
        <w:rFonts w:hint="default"/>
      </w:rPr>
    </w:lvl>
    <w:lvl w:ilvl="1">
      <w:start w:val="1"/>
      <w:numFmt w:val="decimal"/>
      <w:pStyle w:val="ListNumber2"/>
      <w:lvlText w:val="%2."/>
      <w:lvlJc w:val="left"/>
      <w:pPr>
        <w:tabs>
          <w:tab w:val="num" w:pos="720"/>
        </w:tabs>
        <w:ind w:left="720" w:hanging="360"/>
      </w:pPr>
      <w:rPr>
        <w:rFonts w:hint="default"/>
      </w:rPr>
    </w:lvl>
    <w:lvl w:ilvl="2">
      <w:start w:val="1"/>
      <w:numFmt w:val="decimal"/>
      <w:pStyle w:val="ListNumber3"/>
      <w:lvlText w:val="%3."/>
      <w:lvlJc w:val="left"/>
      <w:pPr>
        <w:tabs>
          <w:tab w:val="num" w:pos="1080"/>
        </w:tabs>
        <w:ind w:left="1080" w:hanging="360"/>
      </w:pPr>
      <w:rPr>
        <w:rFonts w:hint="default"/>
      </w:rPr>
    </w:lvl>
    <w:lvl w:ilvl="3">
      <w:start w:val="1"/>
      <w:numFmt w:val="decimal"/>
      <w:pStyle w:val="ListNumber4"/>
      <w:lvlText w:val="%4."/>
      <w:lvlJc w:val="left"/>
      <w:pPr>
        <w:tabs>
          <w:tab w:val="num" w:pos="1440"/>
        </w:tabs>
        <w:ind w:left="1440" w:hanging="360"/>
      </w:pPr>
      <w:rPr>
        <w:rFonts w:hint="default"/>
      </w:rPr>
    </w:lvl>
    <w:lvl w:ilvl="4">
      <w:start w:val="1"/>
      <w:numFmt w:val="decimal"/>
      <w:pStyle w:val="ListNumber5"/>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2E0F3282"/>
    <w:multiLevelType w:val="multilevel"/>
    <w:tmpl w:val="82125A66"/>
    <w:styleLink w:val="CovingtonHeadings"/>
    <w:lvl w:ilvl="0">
      <w:start w:val="1"/>
      <w:numFmt w:val="upperRoman"/>
      <w:pStyle w:val="Heading1"/>
      <w:lvlText w:val="%1."/>
      <w:lvlJc w:val="left"/>
      <w:pPr>
        <w:tabs>
          <w:tab w:val="num" w:pos="720"/>
        </w:tabs>
        <w:ind w:left="720" w:hanging="720"/>
      </w:pPr>
      <w:rPr>
        <w:rFonts w:asciiTheme="majorHAnsi" w:hAnsiTheme="majorHAnsi" w:hint="default"/>
        <w:sz w:val="24"/>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21" w15:restartNumberingAfterBreak="0">
    <w:nsid w:val="37267B4C"/>
    <w:multiLevelType w:val="hybridMultilevel"/>
    <w:tmpl w:val="585C2AAC"/>
    <w:lvl w:ilvl="0" w:tplc="FC82C2EC">
      <w:start w:val="1"/>
      <w:numFmt w:val="decimal"/>
      <w:pStyle w:val="NumberedParagraphDoub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02546"/>
    <w:multiLevelType w:val="hybridMultilevel"/>
    <w:tmpl w:val="B5FAA7C4"/>
    <w:lvl w:ilvl="0" w:tplc="08090017">
      <w:start w:val="1"/>
      <w:numFmt w:val="lowerLetter"/>
      <w:lvlText w:val="%1)"/>
      <w:lvlJc w:val="left"/>
      <w:pPr>
        <w:ind w:left="720" w:hanging="360"/>
      </w:pPr>
      <w:rPr>
        <w:rFonts w:hint="default"/>
      </w:rPr>
    </w:lvl>
    <w:lvl w:ilvl="1" w:tplc="C8CE28F6">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0352A"/>
    <w:multiLevelType w:val="multilevel"/>
    <w:tmpl w:val="1C28AD60"/>
    <w:styleLink w:val="ListBullets"/>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tabs>
          <w:tab w:val="num" w:pos="720"/>
        </w:tabs>
        <w:ind w:left="720" w:hanging="360"/>
      </w:pPr>
      <w:rPr>
        <w:rFonts w:ascii="Symbol" w:hAnsi="Symbol" w:hint="default"/>
        <w:color w:val="auto"/>
      </w:rPr>
    </w:lvl>
    <w:lvl w:ilvl="2">
      <w:start w:val="1"/>
      <w:numFmt w:val="bullet"/>
      <w:pStyle w:val="ListBullet3"/>
      <w:lvlText w:val=""/>
      <w:lvlJc w:val="left"/>
      <w:pPr>
        <w:tabs>
          <w:tab w:val="num" w:pos="1080"/>
        </w:tabs>
        <w:ind w:left="1080" w:hanging="360"/>
      </w:pPr>
      <w:rPr>
        <w:rFonts w:ascii="Symbol" w:hAnsi="Symbol" w:hint="default"/>
        <w:color w:val="auto"/>
      </w:rPr>
    </w:lvl>
    <w:lvl w:ilvl="3">
      <w:start w:val="1"/>
      <w:numFmt w:val="bullet"/>
      <w:pStyle w:val="ListBullet4"/>
      <w:lvlText w:val=""/>
      <w:lvlJc w:val="left"/>
      <w:pPr>
        <w:tabs>
          <w:tab w:val="num" w:pos="1440"/>
        </w:tabs>
        <w:ind w:left="1440" w:hanging="360"/>
      </w:pPr>
      <w:rPr>
        <w:rFonts w:ascii="Symbol" w:hAnsi="Symbol" w:hint="default"/>
        <w:color w:val="auto"/>
      </w:rPr>
    </w:lvl>
    <w:lvl w:ilvl="4">
      <w:start w:val="1"/>
      <w:numFmt w:val="bullet"/>
      <w:pStyle w:val="ListBullet5"/>
      <w:lvlText w:val=""/>
      <w:lvlJc w:val="left"/>
      <w:pPr>
        <w:tabs>
          <w:tab w:val="num" w:pos="1800"/>
        </w:tabs>
        <w:ind w:left="1800" w:hanging="360"/>
      </w:pPr>
      <w:rPr>
        <w:rFonts w:ascii="Symbol" w:hAnsi="Symbol" w:hint="default"/>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5D322113"/>
    <w:multiLevelType w:val="multilevel"/>
    <w:tmpl w:val="17CC4480"/>
    <w:lvl w:ilvl="0">
      <w:start w:val="1"/>
      <w:numFmt w:val="decimal"/>
      <w:lvlText w:val="%1."/>
      <w:lvlJc w:val="left"/>
      <w:pPr>
        <w:tabs>
          <w:tab w:val="num" w:pos="720"/>
        </w:tabs>
        <w:ind w:left="720" w:hanging="720"/>
      </w:pPr>
      <w:rPr>
        <w:rFonts w:hint="default"/>
        <w:sz w:val="24"/>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5" w15:restartNumberingAfterBreak="0">
    <w:nsid w:val="6B380B1D"/>
    <w:multiLevelType w:val="hybridMultilevel"/>
    <w:tmpl w:val="EEB40B7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B76B1E"/>
    <w:multiLevelType w:val="hybridMultilevel"/>
    <w:tmpl w:val="783AE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17773"/>
    <w:multiLevelType w:val="hybridMultilevel"/>
    <w:tmpl w:val="B608EE8A"/>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28" w15:restartNumberingAfterBreak="0">
    <w:nsid w:val="7E531461"/>
    <w:multiLevelType w:val="multilevel"/>
    <w:tmpl w:val="1C28AD60"/>
    <w:numStyleLink w:val="ListBullet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20"/>
    <w:lvlOverride w:ilvl="0">
      <w:lvl w:ilvl="0">
        <w:start w:val="1"/>
        <w:numFmt w:val="upperRoman"/>
        <w:pStyle w:val="Heading1"/>
        <w:lvlText w:val="%1."/>
        <w:lvlJc w:val="left"/>
        <w:pPr>
          <w:tabs>
            <w:tab w:val="num" w:pos="720"/>
          </w:tabs>
          <w:ind w:left="720" w:hanging="720"/>
        </w:pPr>
        <w:rPr>
          <w:rFonts w:asciiTheme="majorHAnsi" w:hAnsiTheme="majorHAnsi" w:hint="default"/>
          <w:sz w:val="24"/>
        </w:rPr>
      </w:lvl>
    </w:lvlOverride>
    <w:lvlOverride w:ilvl="1">
      <w:lvl w:ilvl="1">
        <w:start w:val="1"/>
        <w:numFmt w:val="upperLetter"/>
        <w:pStyle w:val="Heading2"/>
        <w:lvlText w:val="%2."/>
        <w:lvlJc w:val="left"/>
        <w:pPr>
          <w:tabs>
            <w:tab w:val="num" w:pos="1440"/>
          </w:tabs>
          <w:ind w:left="1440" w:hanging="720"/>
        </w:pPr>
        <w:rPr>
          <w:rFonts w:hint="default"/>
        </w:rPr>
      </w:lvl>
    </w:lvlOverride>
    <w:lvlOverride w:ilvl="2">
      <w:lvl w:ilvl="2">
        <w:start w:val="1"/>
        <w:numFmt w:val="decimal"/>
        <w:pStyle w:val="Heading3"/>
        <w:lvlText w:val="%3."/>
        <w:lvlJc w:val="left"/>
        <w:pPr>
          <w:tabs>
            <w:tab w:val="num" w:pos="2160"/>
          </w:tabs>
          <w:ind w:left="2160" w:hanging="720"/>
        </w:pPr>
        <w:rPr>
          <w:rFonts w:hint="default"/>
        </w:rPr>
      </w:lvl>
    </w:lvlOverride>
    <w:lvlOverride w:ilvl="3">
      <w:lvl w:ilvl="3">
        <w:start w:val="1"/>
        <w:numFmt w:val="lowerLetter"/>
        <w:pStyle w:val="Heading4"/>
        <w:lvlText w:val="%4)"/>
        <w:lvlJc w:val="left"/>
        <w:pPr>
          <w:tabs>
            <w:tab w:val="num" w:pos="2880"/>
          </w:tabs>
          <w:ind w:left="2880" w:hanging="720"/>
        </w:pPr>
        <w:rPr>
          <w:rFonts w:hint="default"/>
        </w:rPr>
      </w:lvl>
    </w:lvlOverride>
    <w:lvlOverride w:ilvl="4">
      <w:lvl w:ilvl="4">
        <w:start w:val="1"/>
        <w:numFmt w:val="decimal"/>
        <w:pStyle w:val="Heading5"/>
        <w:lvlText w:val="(%5)"/>
        <w:lvlJc w:val="left"/>
        <w:pPr>
          <w:tabs>
            <w:tab w:val="num" w:pos="3600"/>
          </w:tabs>
          <w:ind w:left="3600" w:hanging="720"/>
        </w:pPr>
        <w:rPr>
          <w:rFonts w:hint="default"/>
        </w:rPr>
      </w:lvl>
    </w:lvlOverride>
    <w:lvlOverride w:ilvl="5">
      <w:lvl w:ilvl="5">
        <w:start w:val="1"/>
        <w:numFmt w:val="lowerLetter"/>
        <w:pStyle w:val="Heading6"/>
        <w:lvlText w:val="(%6)"/>
        <w:lvlJc w:val="left"/>
        <w:pPr>
          <w:tabs>
            <w:tab w:val="num" w:pos="4320"/>
          </w:tabs>
          <w:ind w:left="4320" w:hanging="720"/>
        </w:pPr>
        <w:rPr>
          <w:rFonts w:hint="default"/>
        </w:rPr>
      </w:lvl>
    </w:lvlOverride>
    <w:lvlOverride w:ilvl="6">
      <w:lvl w:ilvl="6">
        <w:start w:val="1"/>
        <w:numFmt w:val="lowerRoman"/>
        <w:pStyle w:val="Heading7"/>
        <w:lvlText w:val="(%7)"/>
        <w:lvlJc w:val="left"/>
        <w:pPr>
          <w:tabs>
            <w:tab w:val="num" w:pos="5040"/>
          </w:tabs>
          <w:ind w:left="5040" w:hanging="720"/>
        </w:pPr>
        <w:rPr>
          <w:rFonts w:hint="default"/>
        </w:rPr>
      </w:lvl>
    </w:lvlOverride>
    <w:lvlOverride w:ilvl="7">
      <w:lvl w:ilvl="7">
        <w:start w:val="1"/>
        <w:numFmt w:val="lowerLetter"/>
        <w:pStyle w:val="Heading8"/>
        <w:lvlText w:val="(%8)"/>
        <w:lvlJc w:val="left"/>
        <w:pPr>
          <w:tabs>
            <w:tab w:val="num" w:pos="5760"/>
          </w:tabs>
          <w:ind w:left="5760" w:hanging="720"/>
        </w:pPr>
        <w:rPr>
          <w:rFonts w:hint="default"/>
        </w:rPr>
      </w:lvl>
    </w:lvlOverride>
    <w:lvlOverride w:ilvl="8">
      <w:lvl w:ilvl="8">
        <w:start w:val="1"/>
        <w:numFmt w:val="lowerRoman"/>
        <w:pStyle w:val="Heading9"/>
        <w:lvlText w:val="(%9)"/>
        <w:lvlJc w:val="left"/>
        <w:pPr>
          <w:tabs>
            <w:tab w:val="num" w:pos="6480"/>
          </w:tabs>
          <w:ind w:left="6480" w:hanging="720"/>
        </w:pPr>
        <w:rPr>
          <w:rFonts w:hint="default"/>
        </w:rPr>
      </w:lvl>
    </w:lvlOverride>
  </w:num>
  <w:num w:numId="22">
    <w:abstractNumId w:val="23"/>
  </w:num>
  <w:num w:numId="23">
    <w:abstractNumId w:val="19"/>
  </w:num>
  <w:num w:numId="24">
    <w:abstractNumId w:val="17"/>
  </w:num>
  <w:num w:numId="25">
    <w:abstractNumId w:val="14"/>
  </w:num>
  <w:num w:numId="26">
    <w:abstractNumId w:val="21"/>
  </w:num>
  <w:num w:numId="27">
    <w:abstractNumId w:val="11"/>
  </w:num>
  <w:num w:numId="28">
    <w:abstractNumId w:val="28"/>
  </w:num>
  <w:num w:numId="29">
    <w:abstractNumId w:val="12"/>
  </w:num>
  <w:num w:numId="30">
    <w:abstractNumId w:val="27"/>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4"/>
  </w:num>
  <w:num w:numId="34">
    <w:abstractNumId w:val="25"/>
  </w:num>
  <w:num w:numId="35">
    <w:abstractNumId w:val="26"/>
  </w:num>
  <w:num w:numId="36">
    <w:abstractNumId w:val="22"/>
  </w:num>
  <w:num w:numId="37">
    <w:abstractNumId w:val="16"/>
  </w:num>
  <w:num w:numId="38">
    <w:abstractNumId w:val="20"/>
    <w:lvlOverride w:ilvl="0">
      <w:lvl w:ilvl="0">
        <w:start w:val="1"/>
        <w:numFmt w:val="upperRoman"/>
        <w:pStyle w:val="Heading1"/>
        <w:lvlText w:val="%1."/>
        <w:lvlJc w:val="left"/>
        <w:pPr>
          <w:tabs>
            <w:tab w:val="num" w:pos="720"/>
          </w:tabs>
          <w:ind w:left="720" w:hanging="720"/>
        </w:pPr>
        <w:rPr>
          <w:rFonts w:asciiTheme="majorHAnsi" w:hAnsiTheme="majorHAnsi" w:hint="default"/>
          <w:sz w:val="24"/>
        </w:rPr>
      </w:lvl>
    </w:lvlOverride>
    <w:lvlOverride w:ilvl="1">
      <w:lvl w:ilvl="1">
        <w:start w:val="1"/>
        <w:numFmt w:val="upperLetter"/>
        <w:pStyle w:val="Heading2"/>
        <w:lvlText w:val="%2."/>
        <w:lvlJc w:val="left"/>
        <w:pPr>
          <w:tabs>
            <w:tab w:val="num" w:pos="1440"/>
          </w:tabs>
          <w:ind w:left="1440" w:hanging="720"/>
        </w:pPr>
        <w:rPr>
          <w:rFonts w:hint="default"/>
        </w:rPr>
      </w:lvl>
    </w:lvlOverride>
    <w:lvlOverride w:ilvl="2">
      <w:lvl w:ilvl="2">
        <w:start w:val="1"/>
        <w:numFmt w:val="decimal"/>
        <w:pStyle w:val="Heading3"/>
        <w:lvlText w:val="%3."/>
        <w:lvlJc w:val="left"/>
        <w:pPr>
          <w:tabs>
            <w:tab w:val="num" w:pos="2160"/>
          </w:tabs>
          <w:ind w:left="2160" w:hanging="720"/>
        </w:pPr>
        <w:rPr>
          <w:rFonts w:hint="default"/>
        </w:rPr>
      </w:lvl>
    </w:lvlOverride>
    <w:lvlOverride w:ilvl="3">
      <w:lvl w:ilvl="3">
        <w:start w:val="1"/>
        <w:numFmt w:val="lowerLetter"/>
        <w:pStyle w:val="Heading4"/>
        <w:lvlText w:val="%4)"/>
        <w:lvlJc w:val="left"/>
        <w:pPr>
          <w:tabs>
            <w:tab w:val="num" w:pos="2880"/>
          </w:tabs>
          <w:ind w:left="2880" w:hanging="720"/>
        </w:pPr>
        <w:rPr>
          <w:rFonts w:hint="default"/>
        </w:rPr>
      </w:lvl>
    </w:lvlOverride>
    <w:lvlOverride w:ilvl="4">
      <w:lvl w:ilvl="4">
        <w:start w:val="1"/>
        <w:numFmt w:val="decimal"/>
        <w:pStyle w:val="Heading5"/>
        <w:lvlText w:val="(%5)"/>
        <w:lvlJc w:val="left"/>
        <w:pPr>
          <w:tabs>
            <w:tab w:val="num" w:pos="3600"/>
          </w:tabs>
          <w:ind w:left="3600" w:hanging="720"/>
        </w:pPr>
        <w:rPr>
          <w:rFonts w:hint="default"/>
        </w:rPr>
      </w:lvl>
    </w:lvlOverride>
    <w:lvlOverride w:ilvl="5">
      <w:lvl w:ilvl="5">
        <w:start w:val="1"/>
        <w:numFmt w:val="lowerLetter"/>
        <w:pStyle w:val="Heading6"/>
        <w:lvlText w:val="(%6)"/>
        <w:lvlJc w:val="left"/>
        <w:pPr>
          <w:tabs>
            <w:tab w:val="num" w:pos="4320"/>
          </w:tabs>
          <w:ind w:left="4320" w:hanging="720"/>
        </w:pPr>
        <w:rPr>
          <w:rFonts w:hint="default"/>
        </w:rPr>
      </w:lvl>
    </w:lvlOverride>
    <w:lvlOverride w:ilvl="6">
      <w:lvl w:ilvl="6">
        <w:start w:val="1"/>
        <w:numFmt w:val="lowerRoman"/>
        <w:pStyle w:val="Heading7"/>
        <w:lvlText w:val="(%7)"/>
        <w:lvlJc w:val="left"/>
        <w:pPr>
          <w:tabs>
            <w:tab w:val="num" w:pos="5040"/>
          </w:tabs>
          <w:ind w:left="5040" w:hanging="720"/>
        </w:pPr>
        <w:rPr>
          <w:rFonts w:hint="default"/>
        </w:rPr>
      </w:lvl>
    </w:lvlOverride>
    <w:lvlOverride w:ilvl="7">
      <w:lvl w:ilvl="7">
        <w:start w:val="1"/>
        <w:numFmt w:val="lowerLetter"/>
        <w:pStyle w:val="Heading8"/>
        <w:lvlText w:val="(%8)"/>
        <w:lvlJc w:val="left"/>
        <w:pPr>
          <w:tabs>
            <w:tab w:val="num" w:pos="5760"/>
          </w:tabs>
          <w:ind w:left="5760" w:hanging="720"/>
        </w:pPr>
        <w:rPr>
          <w:rFonts w:hint="default"/>
        </w:rPr>
      </w:lvl>
    </w:lvlOverride>
    <w:lvlOverride w:ilvl="8">
      <w:lvl w:ilvl="8">
        <w:start w:val="1"/>
        <w:numFmt w:val="lowerRoman"/>
        <w:pStyle w:val="Heading9"/>
        <w:lvlText w:val="(%9)"/>
        <w:lvlJc w:val="left"/>
        <w:pPr>
          <w:tabs>
            <w:tab w:val="num" w:pos="6480"/>
          </w:tabs>
          <w:ind w:left="6480" w:hanging="720"/>
        </w:pPr>
        <w:rPr>
          <w:rFonts w:hint="default"/>
        </w:rPr>
      </w:lvl>
    </w:lvlOverride>
  </w:num>
  <w:num w:numId="39">
    <w:abstractNumId w:val="20"/>
    <w:lvlOverride w:ilvl="0">
      <w:lvl w:ilvl="0">
        <w:start w:val="1"/>
        <w:numFmt w:val="upperRoman"/>
        <w:pStyle w:val="Heading1"/>
        <w:lvlText w:val="%1."/>
        <w:lvlJc w:val="left"/>
        <w:pPr>
          <w:tabs>
            <w:tab w:val="num" w:pos="720"/>
          </w:tabs>
          <w:ind w:left="720" w:hanging="720"/>
        </w:pPr>
        <w:rPr>
          <w:rFonts w:asciiTheme="majorHAnsi" w:hAnsiTheme="majorHAnsi" w:hint="default"/>
          <w:sz w:val="24"/>
        </w:rPr>
      </w:lvl>
    </w:lvlOverride>
    <w:lvlOverride w:ilvl="1">
      <w:lvl w:ilvl="1">
        <w:start w:val="1"/>
        <w:numFmt w:val="upperLetter"/>
        <w:pStyle w:val="Heading2"/>
        <w:lvlText w:val="%2."/>
        <w:lvlJc w:val="left"/>
        <w:pPr>
          <w:tabs>
            <w:tab w:val="num" w:pos="1440"/>
          </w:tabs>
          <w:ind w:left="1440" w:hanging="720"/>
        </w:pPr>
        <w:rPr>
          <w:rFonts w:hint="default"/>
        </w:rPr>
      </w:lvl>
    </w:lvlOverride>
    <w:lvlOverride w:ilvl="2">
      <w:lvl w:ilvl="2">
        <w:start w:val="1"/>
        <w:numFmt w:val="decimal"/>
        <w:pStyle w:val="Heading3"/>
        <w:lvlText w:val="%3."/>
        <w:lvlJc w:val="left"/>
        <w:pPr>
          <w:tabs>
            <w:tab w:val="num" w:pos="2160"/>
          </w:tabs>
          <w:ind w:left="2160" w:hanging="720"/>
        </w:pPr>
        <w:rPr>
          <w:rFonts w:hint="default"/>
        </w:rPr>
      </w:lvl>
    </w:lvlOverride>
    <w:lvlOverride w:ilvl="3">
      <w:lvl w:ilvl="3">
        <w:start w:val="1"/>
        <w:numFmt w:val="lowerLetter"/>
        <w:pStyle w:val="Heading4"/>
        <w:lvlText w:val="%4)"/>
        <w:lvlJc w:val="left"/>
        <w:pPr>
          <w:tabs>
            <w:tab w:val="num" w:pos="2880"/>
          </w:tabs>
          <w:ind w:left="2880" w:hanging="720"/>
        </w:pPr>
        <w:rPr>
          <w:rFonts w:hint="default"/>
        </w:rPr>
      </w:lvl>
    </w:lvlOverride>
    <w:lvlOverride w:ilvl="4">
      <w:lvl w:ilvl="4">
        <w:start w:val="1"/>
        <w:numFmt w:val="decimal"/>
        <w:pStyle w:val="Heading5"/>
        <w:lvlText w:val="(%5)"/>
        <w:lvlJc w:val="left"/>
        <w:pPr>
          <w:tabs>
            <w:tab w:val="num" w:pos="3600"/>
          </w:tabs>
          <w:ind w:left="3600" w:hanging="720"/>
        </w:pPr>
        <w:rPr>
          <w:rFonts w:hint="default"/>
        </w:rPr>
      </w:lvl>
    </w:lvlOverride>
    <w:lvlOverride w:ilvl="5">
      <w:lvl w:ilvl="5">
        <w:start w:val="1"/>
        <w:numFmt w:val="lowerLetter"/>
        <w:pStyle w:val="Heading6"/>
        <w:lvlText w:val="(%6)"/>
        <w:lvlJc w:val="left"/>
        <w:pPr>
          <w:tabs>
            <w:tab w:val="num" w:pos="4320"/>
          </w:tabs>
          <w:ind w:left="4320" w:hanging="720"/>
        </w:pPr>
        <w:rPr>
          <w:rFonts w:hint="default"/>
        </w:rPr>
      </w:lvl>
    </w:lvlOverride>
    <w:lvlOverride w:ilvl="6">
      <w:lvl w:ilvl="6">
        <w:start w:val="1"/>
        <w:numFmt w:val="lowerRoman"/>
        <w:pStyle w:val="Heading7"/>
        <w:lvlText w:val="(%7)"/>
        <w:lvlJc w:val="left"/>
        <w:pPr>
          <w:tabs>
            <w:tab w:val="num" w:pos="5040"/>
          </w:tabs>
          <w:ind w:left="5040" w:hanging="720"/>
        </w:pPr>
        <w:rPr>
          <w:rFonts w:hint="default"/>
        </w:rPr>
      </w:lvl>
    </w:lvlOverride>
    <w:lvlOverride w:ilvl="7">
      <w:lvl w:ilvl="7">
        <w:start w:val="1"/>
        <w:numFmt w:val="lowerLetter"/>
        <w:pStyle w:val="Heading8"/>
        <w:lvlText w:val="(%8)"/>
        <w:lvlJc w:val="left"/>
        <w:pPr>
          <w:tabs>
            <w:tab w:val="num" w:pos="5760"/>
          </w:tabs>
          <w:ind w:left="5760" w:hanging="720"/>
        </w:pPr>
        <w:rPr>
          <w:rFonts w:hint="default"/>
        </w:rPr>
      </w:lvl>
    </w:lvlOverride>
    <w:lvlOverride w:ilvl="8">
      <w:lvl w:ilvl="8">
        <w:start w:val="1"/>
        <w:numFmt w:val="lowerRoman"/>
        <w:pStyle w:val="Heading9"/>
        <w:lvlText w:val="(%9)"/>
        <w:lvlJc w:val="left"/>
        <w:pPr>
          <w:tabs>
            <w:tab w:val="num" w:pos="6480"/>
          </w:tabs>
          <w:ind w:left="6480" w:hanging="720"/>
        </w:pPr>
        <w:rPr>
          <w:rFonts w:hint="default"/>
        </w:rPr>
      </w:lvl>
    </w:lvlOverride>
  </w:num>
  <w:num w:numId="40">
    <w:abstractNumId w:val="20"/>
    <w:lvlOverride w:ilvl="0">
      <w:lvl w:ilvl="0">
        <w:start w:val="1"/>
        <w:numFmt w:val="upperRoman"/>
        <w:pStyle w:val="Heading1"/>
        <w:lvlText w:val="%1."/>
        <w:lvlJc w:val="left"/>
        <w:pPr>
          <w:tabs>
            <w:tab w:val="num" w:pos="720"/>
          </w:tabs>
          <w:ind w:left="720" w:hanging="720"/>
        </w:pPr>
        <w:rPr>
          <w:rFonts w:asciiTheme="majorHAnsi" w:hAnsiTheme="majorHAnsi" w:hint="default"/>
          <w:sz w:val="24"/>
        </w:rPr>
      </w:lvl>
    </w:lvlOverride>
    <w:lvlOverride w:ilvl="1">
      <w:lvl w:ilvl="1">
        <w:start w:val="1"/>
        <w:numFmt w:val="upperLetter"/>
        <w:pStyle w:val="Heading2"/>
        <w:lvlText w:val="%2."/>
        <w:lvlJc w:val="left"/>
        <w:pPr>
          <w:tabs>
            <w:tab w:val="num" w:pos="1440"/>
          </w:tabs>
          <w:ind w:left="1440" w:hanging="720"/>
        </w:pPr>
        <w:rPr>
          <w:rFonts w:hint="default"/>
        </w:rPr>
      </w:lvl>
    </w:lvlOverride>
    <w:lvlOverride w:ilvl="2">
      <w:lvl w:ilvl="2">
        <w:start w:val="1"/>
        <w:numFmt w:val="decimal"/>
        <w:pStyle w:val="Heading3"/>
        <w:lvlText w:val="%3."/>
        <w:lvlJc w:val="left"/>
        <w:pPr>
          <w:tabs>
            <w:tab w:val="num" w:pos="2160"/>
          </w:tabs>
          <w:ind w:left="2160" w:hanging="720"/>
        </w:pPr>
        <w:rPr>
          <w:rFonts w:hint="default"/>
        </w:rPr>
      </w:lvl>
    </w:lvlOverride>
    <w:lvlOverride w:ilvl="3">
      <w:lvl w:ilvl="3">
        <w:start w:val="1"/>
        <w:numFmt w:val="lowerLetter"/>
        <w:pStyle w:val="Heading4"/>
        <w:lvlText w:val="%4)"/>
        <w:lvlJc w:val="left"/>
        <w:pPr>
          <w:tabs>
            <w:tab w:val="num" w:pos="2880"/>
          </w:tabs>
          <w:ind w:left="2880" w:hanging="720"/>
        </w:pPr>
        <w:rPr>
          <w:rFonts w:hint="default"/>
        </w:rPr>
      </w:lvl>
    </w:lvlOverride>
    <w:lvlOverride w:ilvl="4">
      <w:lvl w:ilvl="4">
        <w:start w:val="1"/>
        <w:numFmt w:val="decimal"/>
        <w:pStyle w:val="Heading5"/>
        <w:lvlText w:val="(%5)"/>
        <w:lvlJc w:val="left"/>
        <w:pPr>
          <w:tabs>
            <w:tab w:val="num" w:pos="3600"/>
          </w:tabs>
          <w:ind w:left="3600" w:hanging="720"/>
        </w:pPr>
        <w:rPr>
          <w:rFonts w:hint="default"/>
        </w:rPr>
      </w:lvl>
    </w:lvlOverride>
    <w:lvlOverride w:ilvl="5">
      <w:lvl w:ilvl="5">
        <w:start w:val="1"/>
        <w:numFmt w:val="lowerLetter"/>
        <w:pStyle w:val="Heading6"/>
        <w:lvlText w:val="(%6)"/>
        <w:lvlJc w:val="left"/>
        <w:pPr>
          <w:tabs>
            <w:tab w:val="num" w:pos="4320"/>
          </w:tabs>
          <w:ind w:left="4320" w:hanging="720"/>
        </w:pPr>
        <w:rPr>
          <w:rFonts w:hint="default"/>
        </w:rPr>
      </w:lvl>
    </w:lvlOverride>
    <w:lvlOverride w:ilvl="6">
      <w:lvl w:ilvl="6">
        <w:start w:val="1"/>
        <w:numFmt w:val="lowerRoman"/>
        <w:pStyle w:val="Heading7"/>
        <w:lvlText w:val="(%7)"/>
        <w:lvlJc w:val="left"/>
        <w:pPr>
          <w:tabs>
            <w:tab w:val="num" w:pos="5040"/>
          </w:tabs>
          <w:ind w:left="5040" w:hanging="720"/>
        </w:pPr>
        <w:rPr>
          <w:rFonts w:hint="default"/>
        </w:rPr>
      </w:lvl>
    </w:lvlOverride>
    <w:lvlOverride w:ilvl="7">
      <w:lvl w:ilvl="7">
        <w:start w:val="1"/>
        <w:numFmt w:val="lowerLetter"/>
        <w:pStyle w:val="Heading8"/>
        <w:lvlText w:val="(%8)"/>
        <w:lvlJc w:val="left"/>
        <w:pPr>
          <w:tabs>
            <w:tab w:val="num" w:pos="5760"/>
          </w:tabs>
          <w:ind w:left="5760" w:hanging="720"/>
        </w:pPr>
        <w:rPr>
          <w:rFonts w:hint="default"/>
        </w:rPr>
      </w:lvl>
    </w:lvlOverride>
    <w:lvlOverride w:ilvl="8">
      <w:lvl w:ilvl="8">
        <w:start w:val="1"/>
        <w:numFmt w:val="lowerRoman"/>
        <w:pStyle w:val="Heading9"/>
        <w:lvlText w:val="(%9)"/>
        <w:lvlJc w:val="left"/>
        <w:pPr>
          <w:tabs>
            <w:tab w:val="num" w:pos="6480"/>
          </w:tabs>
          <w:ind w:left="6480" w:hanging="720"/>
        </w:pPr>
        <w:rPr>
          <w:rFonts w:hint="default"/>
        </w:rPr>
      </w:lvl>
    </w:lvlOverride>
  </w:num>
  <w:num w:numId="41">
    <w:abstractNumId w:val="20"/>
    <w:lvlOverride w:ilvl="0">
      <w:lvl w:ilvl="0">
        <w:start w:val="1"/>
        <w:numFmt w:val="upperRoman"/>
        <w:pStyle w:val="Heading1"/>
        <w:lvlText w:val="%1."/>
        <w:lvlJc w:val="left"/>
        <w:pPr>
          <w:tabs>
            <w:tab w:val="num" w:pos="720"/>
          </w:tabs>
          <w:ind w:left="720" w:hanging="720"/>
        </w:pPr>
        <w:rPr>
          <w:rFonts w:asciiTheme="majorHAnsi" w:hAnsiTheme="majorHAnsi" w:hint="default"/>
          <w:sz w:val="24"/>
        </w:rPr>
      </w:lvl>
    </w:lvlOverride>
    <w:lvlOverride w:ilvl="1">
      <w:lvl w:ilvl="1">
        <w:start w:val="1"/>
        <w:numFmt w:val="upperLetter"/>
        <w:pStyle w:val="Heading2"/>
        <w:lvlText w:val="%2."/>
        <w:lvlJc w:val="left"/>
        <w:pPr>
          <w:tabs>
            <w:tab w:val="num" w:pos="1440"/>
          </w:tabs>
          <w:ind w:left="1440" w:hanging="720"/>
        </w:pPr>
        <w:rPr>
          <w:rFonts w:hint="default"/>
        </w:rPr>
      </w:lvl>
    </w:lvlOverride>
    <w:lvlOverride w:ilvl="2">
      <w:lvl w:ilvl="2">
        <w:start w:val="1"/>
        <w:numFmt w:val="decimal"/>
        <w:pStyle w:val="Heading3"/>
        <w:lvlText w:val="%3."/>
        <w:lvlJc w:val="left"/>
        <w:pPr>
          <w:tabs>
            <w:tab w:val="num" w:pos="2160"/>
          </w:tabs>
          <w:ind w:left="2160" w:hanging="720"/>
        </w:pPr>
        <w:rPr>
          <w:rFonts w:hint="default"/>
        </w:rPr>
      </w:lvl>
    </w:lvlOverride>
    <w:lvlOverride w:ilvl="3">
      <w:lvl w:ilvl="3">
        <w:start w:val="1"/>
        <w:numFmt w:val="lowerLetter"/>
        <w:pStyle w:val="Heading4"/>
        <w:lvlText w:val="%4)"/>
        <w:lvlJc w:val="left"/>
        <w:pPr>
          <w:tabs>
            <w:tab w:val="num" w:pos="2880"/>
          </w:tabs>
          <w:ind w:left="2880" w:hanging="720"/>
        </w:pPr>
        <w:rPr>
          <w:rFonts w:hint="default"/>
        </w:rPr>
      </w:lvl>
    </w:lvlOverride>
    <w:lvlOverride w:ilvl="4">
      <w:lvl w:ilvl="4">
        <w:start w:val="1"/>
        <w:numFmt w:val="decimal"/>
        <w:pStyle w:val="Heading5"/>
        <w:lvlText w:val="(%5)"/>
        <w:lvlJc w:val="left"/>
        <w:pPr>
          <w:tabs>
            <w:tab w:val="num" w:pos="3600"/>
          </w:tabs>
          <w:ind w:left="3600" w:hanging="720"/>
        </w:pPr>
        <w:rPr>
          <w:rFonts w:hint="default"/>
        </w:rPr>
      </w:lvl>
    </w:lvlOverride>
    <w:lvlOverride w:ilvl="5">
      <w:lvl w:ilvl="5">
        <w:start w:val="1"/>
        <w:numFmt w:val="lowerLetter"/>
        <w:pStyle w:val="Heading6"/>
        <w:lvlText w:val="(%6)"/>
        <w:lvlJc w:val="left"/>
        <w:pPr>
          <w:tabs>
            <w:tab w:val="num" w:pos="4320"/>
          </w:tabs>
          <w:ind w:left="4320" w:hanging="720"/>
        </w:pPr>
        <w:rPr>
          <w:rFonts w:hint="default"/>
        </w:rPr>
      </w:lvl>
    </w:lvlOverride>
    <w:lvlOverride w:ilvl="6">
      <w:lvl w:ilvl="6">
        <w:start w:val="1"/>
        <w:numFmt w:val="lowerRoman"/>
        <w:pStyle w:val="Heading7"/>
        <w:lvlText w:val="(%7)"/>
        <w:lvlJc w:val="left"/>
        <w:pPr>
          <w:tabs>
            <w:tab w:val="num" w:pos="5040"/>
          </w:tabs>
          <w:ind w:left="5040" w:hanging="720"/>
        </w:pPr>
        <w:rPr>
          <w:rFonts w:hint="default"/>
        </w:rPr>
      </w:lvl>
    </w:lvlOverride>
    <w:lvlOverride w:ilvl="7">
      <w:lvl w:ilvl="7">
        <w:start w:val="1"/>
        <w:numFmt w:val="lowerLetter"/>
        <w:pStyle w:val="Heading8"/>
        <w:lvlText w:val="(%8)"/>
        <w:lvlJc w:val="left"/>
        <w:pPr>
          <w:tabs>
            <w:tab w:val="num" w:pos="5760"/>
          </w:tabs>
          <w:ind w:left="5760" w:hanging="720"/>
        </w:pPr>
        <w:rPr>
          <w:rFonts w:hint="default"/>
        </w:rPr>
      </w:lvl>
    </w:lvlOverride>
    <w:lvlOverride w:ilvl="8">
      <w:lvl w:ilvl="8">
        <w:start w:val="1"/>
        <w:numFmt w:val="lowerRoman"/>
        <w:pStyle w:val="Heading9"/>
        <w:lvlText w:val="(%9)"/>
        <w:lvlJc w:val="left"/>
        <w:pPr>
          <w:tabs>
            <w:tab w:val="num" w:pos="6480"/>
          </w:tabs>
          <w:ind w:left="6480" w:hanging="720"/>
        </w:pPr>
        <w:rPr>
          <w:rFonts w:hint="default"/>
        </w:rPr>
      </w:lvl>
    </w:lvlOverride>
  </w:num>
  <w:num w:numId="42">
    <w:abstractNumId w:val="10"/>
  </w:num>
  <w:num w:numId="43">
    <w:abstractNumId w:val="1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isplayBackgroundShape/>
  <w:proofState w:spelling="clean" w:grammar="clean"/>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0E7EAB"/>
    <w:rsid w:val="0000360D"/>
    <w:rsid w:val="00003E4C"/>
    <w:rsid w:val="0000475C"/>
    <w:rsid w:val="00015CE8"/>
    <w:rsid w:val="00016C5E"/>
    <w:rsid w:val="00023325"/>
    <w:rsid w:val="00023546"/>
    <w:rsid w:val="00026942"/>
    <w:rsid w:val="00040329"/>
    <w:rsid w:val="0004531F"/>
    <w:rsid w:val="00045E87"/>
    <w:rsid w:val="00052C39"/>
    <w:rsid w:val="00053946"/>
    <w:rsid w:val="000602F7"/>
    <w:rsid w:val="00063F90"/>
    <w:rsid w:val="000672E4"/>
    <w:rsid w:val="000768EA"/>
    <w:rsid w:val="000855DC"/>
    <w:rsid w:val="00094A99"/>
    <w:rsid w:val="00095CB1"/>
    <w:rsid w:val="00096217"/>
    <w:rsid w:val="00097234"/>
    <w:rsid w:val="00097BA1"/>
    <w:rsid w:val="000A16A6"/>
    <w:rsid w:val="000A2F4D"/>
    <w:rsid w:val="000A31AD"/>
    <w:rsid w:val="000A3C03"/>
    <w:rsid w:val="000A69F3"/>
    <w:rsid w:val="000B0535"/>
    <w:rsid w:val="000C0EE7"/>
    <w:rsid w:val="000C1481"/>
    <w:rsid w:val="000C371D"/>
    <w:rsid w:val="000C398A"/>
    <w:rsid w:val="000C494A"/>
    <w:rsid w:val="000D2072"/>
    <w:rsid w:val="000D39CC"/>
    <w:rsid w:val="000D4428"/>
    <w:rsid w:val="000D5790"/>
    <w:rsid w:val="000E2DED"/>
    <w:rsid w:val="000E517C"/>
    <w:rsid w:val="000E67C4"/>
    <w:rsid w:val="000E72A7"/>
    <w:rsid w:val="000E7EAB"/>
    <w:rsid w:val="000F1824"/>
    <w:rsid w:val="000F4CEC"/>
    <w:rsid w:val="000F5522"/>
    <w:rsid w:val="0010453B"/>
    <w:rsid w:val="00110CCB"/>
    <w:rsid w:val="00110EED"/>
    <w:rsid w:val="00114538"/>
    <w:rsid w:val="00114E9A"/>
    <w:rsid w:val="0012062B"/>
    <w:rsid w:val="001245D3"/>
    <w:rsid w:val="00125517"/>
    <w:rsid w:val="00127F82"/>
    <w:rsid w:val="00131051"/>
    <w:rsid w:val="00132F5F"/>
    <w:rsid w:val="001330BE"/>
    <w:rsid w:val="0013314E"/>
    <w:rsid w:val="001358FD"/>
    <w:rsid w:val="00140D66"/>
    <w:rsid w:val="001410C1"/>
    <w:rsid w:val="00141207"/>
    <w:rsid w:val="00143416"/>
    <w:rsid w:val="00145A1F"/>
    <w:rsid w:val="00152920"/>
    <w:rsid w:val="001548B5"/>
    <w:rsid w:val="00162DE4"/>
    <w:rsid w:val="00164E45"/>
    <w:rsid w:val="0017050E"/>
    <w:rsid w:val="00170813"/>
    <w:rsid w:val="00174D38"/>
    <w:rsid w:val="00175F03"/>
    <w:rsid w:val="00182ED3"/>
    <w:rsid w:val="00185943"/>
    <w:rsid w:val="0018682D"/>
    <w:rsid w:val="00193DC3"/>
    <w:rsid w:val="00194D5C"/>
    <w:rsid w:val="00194D76"/>
    <w:rsid w:val="001950E5"/>
    <w:rsid w:val="001956C5"/>
    <w:rsid w:val="001972B7"/>
    <w:rsid w:val="001A0830"/>
    <w:rsid w:val="001A0879"/>
    <w:rsid w:val="001A12A3"/>
    <w:rsid w:val="001A30AE"/>
    <w:rsid w:val="001A4461"/>
    <w:rsid w:val="001A4970"/>
    <w:rsid w:val="001A5932"/>
    <w:rsid w:val="001B2A38"/>
    <w:rsid w:val="001B2DA4"/>
    <w:rsid w:val="001B3168"/>
    <w:rsid w:val="001B364F"/>
    <w:rsid w:val="001C0417"/>
    <w:rsid w:val="001C0E40"/>
    <w:rsid w:val="001C1205"/>
    <w:rsid w:val="001C3297"/>
    <w:rsid w:val="001C5B73"/>
    <w:rsid w:val="001C5FEB"/>
    <w:rsid w:val="001D0A77"/>
    <w:rsid w:val="001D18FC"/>
    <w:rsid w:val="001D196C"/>
    <w:rsid w:val="001D2953"/>
    <w:rsid w:val="001D36CA"/>
    <w:rsid w:val="001D3DAC"/>
    <w:rsid w:val="001D7271"/>
    <w:rsid w:val="001E0028"/>
    <w:rsid w:val="001E4A5E"/>
    <w:rsid w:val="001F1A46"/>
    <w:rsid w:val="001F3065"/>
    <w:rsid w:val="001F4C4D"/>
    <w:rsid w:val="001F54D2"/>
    <w:rsid w:val="001F6DCB"/>
    <w:rsid w:val="0020100E"/>
    <w:rsid w:val="00201CCB"/>
    <w:rsid w:val="0020286A"/>
    <w:rsid w:val="00202E0B"/>
    <w:rsid w:val="00203628"/>
    <w:rsid w:val="002037E3"/>
    <w:rsid w:val="00207B93"/>
    <w:rsid w:val="0021103F"/>
    <w:rsid w:val="0021340D"/>
    <w:rsid w:val="0021467A"/>
    <w:rsid w:val="002155D4"/>
    <w:rsid w:val="0022219E"/>
    <w:rsid w:val="00222A0C"/>
    <w:rsid w:val="00230C31"/>
    <w:rsid w:val="00231F47"/>
    <w:rsid w:val="002328F2"/>
    <w:rsid w:val="002336E8"/>
    <w:rsid w:val="00233E7F"/>
    <w:rsid w:val="00236445"/>
    <w:rsid w:val="00236AB4"/>
    <w:rsid w:val="0024136E"/>
    <w:rsid w:val="002420E7"/>
    <w:rsid w:val="0024323D"/>
    <w:rsid w:val="00244D2A"/>
    <w:rsid w:val="00245A1C"/>
    <w:rsid w:val="00245C9D"/>
    <w:rsid w:val="00247335"/>
    <w:rsid w:val="00257F9C"/>
    <w:rsid w:val="002606A9"/>
    <w:rsid w:val="002614CC"/>
    <w:rsid w:val="0026176F"/>
    <w:rsid w:val="0026223A"/>
    <w:rsid w:val="0026752C"/>
    <w:rsid w:val="002713AB"/>
    <w:rsid w:val="00273F9E"/>
    <w:rsid w:val="002743FE"/>
    <w:rsid w:val="00286B17"/>
    <w:rsid w:val="00291D3B"/>
    <w:rsid w:val="0029216B"/>
    <w:rsid w:val="002936D8"/>
    <w:rsid w:val="00294ABD"/>
    <w:rsid w:val="002956B6"/>
    <w:rsid w:val="002A0BBF"/>
    <w:rsid w:val="002A25B4"/>
    <w:rsid w:val="002A338E"/>
    <w:rsid w:val="002A46BD"/>
    <w:rsid w:val="002A4F0E"/>
    <w:rsid w:val="002A5A1D"/>
    <w:rsid w:val="002B0E24"/>
    <w:rsid w:val="002B6249"/>
    <w:rsid w:val="002C166E"/>
    <w:rsid w:val="002C596C"/>
    <w:rsid w:val="002C5CB1"/>
    <w:rsid w:val="002C7AF0"/>
    <w:rsid w:val="002D0F30"/>
    <w:rsid w:val="002D7786"/>
    <w:rsid w:val="002E2DE6"/>
    <w:rsid w:val="002E7829"/>
    <w:rsid w:val="002F0FA8"/>
    <w:rsid w:val="002F30DC"/>
    <w:rsid w:val="002F4889"/>
    <w:rsid w:val="002F51ED"/>
    <w:rsid w:val="002F6C76"/>
    <w:rsid w:val="0030122D"/>
    <w:rsid w:val="00301F3D"/>
    <w:rsid w:val="00302816"/>
    <w:rsid w:val="0030547F"/>
    <w:rsid w:val="0031176D"/>
    <w:rsid w:val="00313A4F"/>
    <w:rsid w:val="0031436D"/>
    <w:rsid w:val="00317C01"/>
    <w:rsid w:val="00317D9C"/>
    <w:rsid w:val="00323273"/>
    <w:rsid w:val="003273FB"/>
    <w:rsid w:val="0033311C"/>
    <w:rsid w:val="00343402"/>
    <w:rsid w:val="0034479F"/>
    <w:rsid w:val="003469D6"/>
    <w:rsid w:val="00351739"/>
    <w:rsid w:val="00351DB4"/>
    <w:rsid w:val="003520CD"/>
    <w:rsid w:val="00355A7F"/>
    <w:rsid w:val="00360927"/>
    <w:rsid w:val="003609E0"/>
    <w:rsid w:val="0036179D"/>
    <w:rsid w:val="003647EC"/>
    <w:rsid w:val="0037005E"/>
    <w:rsid w:val="00373301"/>
    <w:rsid w:val="00374E94"/>
    <w:rsid w:val="003773EE"/>
    <w:rsid w:val="003820FD"/>
    <w:rsid w:val="00383A12"/>
    <w:rsid w:val="00391875"/>
    <w:rsid w:val="003A3F7C"/>
    <w:rsid w:val="003A41CA"/>
    <w:rsid w:val="003A5898"/>
    <w:rsid w:val="003A60F0"/>
    <w:rsid w:val="003A64CE"/>
    <w:rsid w:val="003A687E"/>
    <w:rsid w:val="003A77B5"/>
    <w:rsid w:val="003B1DFB"/>
    <w:rsid w:val="003B2DBE"/>
    <w:rsid w:val="003B49FC"/>
    <w:rsid w:val="003B5C5A"/>
    <w:rsid w:val="003B6EF3"/>
    <w:rsid w:val="003C0DBA"/>
    <w:rsid w:val="003C1435"/>
    <w:rsid w:val="003C1829"/>
    <w:rsid w:val="003C1DFB"/>
    <w:rsid w:val="003C4D76"/>
    <w:rsid w:val="003D017B"/>
    <w:rsid w:val="003D03C8"/>
    <w:rsid w:val="003D03E4"/>
    <w:rsid w:val="003D5DC6"/>
    <w:rsid w:val="003E124C"/>
    <w:rsid w:val="003E3388"/>
    <w:rsid w:val="003E50FB"/>
    <w:rsid w:val="003E5D9F"/>
    <w:rsid w:val="003E6F0E"/>
    <w:rsid w:val="003F2B47"/>
    <w:rsid w:val="003F4418"/>
    <w:rsid w:val="00402A1E"/>
    <w:rsid w:val="00402AB0"/>
    <w:rsid w:val="00404D9A"/>
    <w:rsid w:val="004067CC"/>
    <w:rsid w:val="00407A7C"/>
    <w:rsid w:val="00412188"/>
    <w:rsid w:val="004146C1"/>
    <w:rsid w:val="004154F7"/>
    <w:rsid w:val="0041568D"/>
    <w:rsid w:val="0041620D"/>
    <w:rsid w:val="00423474"/>
    <w:rsid w:val="00424C87"/>
    <w:rsid w:val="00427545"/>
    <w:rsid w:val="004279EC"/>
    <w:rsid w:val="00427E2E"/>
    <w:rsid w:val="00427EC4"/>
    <w:rsid w:val="0043129D"/>
    <w:rsid w:val="0043424B"/>
    <w:rsid w:val="0043753C"/>
    <w:rsid w:val="00443585"/>
    <w:rsid w:val="00443CC6"/>
    <w:rsid w:val="004446ED"/>
    <w:rsid w:val="00444827"/>
    <w:rsid w:val="004471CC"/>
    <w:rsid w:val="00447A99"/>
    <w:rsid w:val="0045491D"/>
    <w:rsid w:val="00460883"/>
    <w:rsid w:val="00460B03"/>
    <w:rsid w:val="0046420D"/>
    <w:rsid w:val="0047032F"/>
    <w:rsid w:val="0047424D"/>
    <w:rsid w:val="004757AA"/>
    <w:rsid w:val="00475C2F"/>
    <w:rsid w:val="00477584"/>
    <w:rsid w:val="004813B3"/>
    <w:rsid w:val="00481714"/>
    <w:rsid w:val="004867C4"/>
    <w:rsid w:val="00487228"/>
    <w:rsid w:val="00487B2C"/>
    <w:rsid w:val="00491F01"/>
    <w:rsid w:val="004921EA"/>
    <w:rsid w:val="00492B14"/>
    <w:rsid w:val="004974F6"/>
    <w:rsid w:val="004A0736"/>
    <w:rsid w:val="004A4A1A"/>
    <w:rsid w:val="004B0ABF"/>
    <w:rsid w:val="004B4A44"/>
    <w:rsid w:val="004B4AF9"/>
    <w:rsid w:val="004B602A"/>
    <w:rsid w:val="004B635C"/>
    <w:rsid w:val="004C0D2D"/>
    <w:rsid w:val="004C2E0F"/>
    <w:rsid w:val="004C2E4B"/>
    <w:rsid w:val="004C6BC3"/>
    <w:rsid w:val="004C7019"/>
    <w:rsid w:val="004D0440"/>
    <w:rsid w:val="004D15A9"/>
    <w:rsid w:val="004D18E2"/>
    <w:rsid w:val="004D303C"/>
    <w:rsid w:val="004D5D1B"/>
    <w:rsid w:val="004D7061"/>
    <w:rsid w:val="004E2048"/>
    <w:rsid w:val="004E3BB8"/>
    <w:rsid w:val="004E5DF8"/>
    <w:rsid w:val="004E6ED5"/>
    <w:rsid w:val="004F01A3"/>
    <w:rsid w:val="004F140B"/>
    <w:rsid w:val="004F193C"/>
    <w:rsid w:val="004F28AB"/>
    <w:rsid w:val="004F5B26"/>
    <w:rsid w:val="004F6730"/>
    <w:rsid w:val="00501A93"/>
    <w:rsid w:val="00501B82"/>
    <w:rsid w:val="00501F69"/>
    <w:rsid w:val="00502D97"/>
    <w:rsid w:val="005065CA"/>
    <w:rsid w:val="00506742"/>
    <w:rsid w:val="0050726B"/>
    <w:rsid w:val="0050760F"/>
    <w:rsid w:val="00516F1E"/>
    <w:rsid w:val="00517A4D"/>
    <w:rsid w:val="005231B6"/>
    <w:rsid w:val="00525A80"/>
    <w:rsid w:val="00527040"/>
    <w:rsid w:val="0052756D"/>
    <w:rsid w:val="00531348"/>
    <w:rsid w:val="00532AA7"/>
    <w:rsid w:val="00534525"/>
    <w:rsid w:val="00537461"/>
    <w:rsid w:val="00543337"/>
    <w:rsid w:val="005442F3"/>
    <w:rsid w:val="00544A2D"/>
    <w:rsid w:val="00544F4E"/>
    <w:rsid w:val="005471E3"/>
    <w:rsid w:val="0054D2FD"/>
    <w:rsid w:val="0055003A"/>
    <w:rsid w:val="005508F3"/>
    <w:rsid w:val="00552164"/>
    <w:rsid w:val="00552648"/>
    <w:rsid w:val="00552ECF"/>
    <w:rsid w:val="0055474D"/>
    <w:rsid w:val="00554DCF"/>
    <w:rsid w:val="00557C17"/>
    <w:rsid w:val="00564A02"/>
    <w:rsid w:val="005719BF"/>
    <w:rsid w:val="00571CF7"/>
    <w:rsid w:val="00573612"/>
    <w:rsid w:val="00573DF5"/>
    <w:rsid w:val="00574081"/>
    <w:rsid w:val="00575A26"/>
    <w:rsid w:val="005768CC"/>
    <w:rsid w:val="005773CD"/>
    <w:rsid w:val="005814BD"/>
    <w:rsid w:val="00581556"/>
    <w:rsid w:val="00582137"/>
    <w:rsid w:val="00585238"/>
    <w:rsid w:val="00586952"/>
    <w:rsid w:val="00587061"/>
    <w:rsid w:val="00587105"/>
    <w:rsid w:val="0059547E"/>
    <w:rsid w:val="00597822"/>
    <w:rsid w:val="005A14C1"/>
    <w:rsid w:val="005A204E"/>
    <w:rsid w:val="005A3E3E"/>
    <w:rsid w:val="005B40CB"/>
    <w:rsid w:val="005C1F1F"/>
    <w:rsid w:val="005C21DD"/>
    <w:rsid w:val="005C3BC5"/>
    <w:rsid w:val="005C4826"/>
    <w:rsid w:val="005D20FE"/>
    <w:rsid w:val="005D47B9"/>
    <w:rsid w:val="005D55D2"/>
    <w:rsid w:val="005D573F"/>
    <w:rsid w:val="005D59BA"/>
    <w:rsid w:val="005D6AE7"/>
    <w:rsid w:val="005E09D9"/>
    <w:rsid w:val="005E0CEE"/>
    <w:rsid w:val="005E7608"/>
    <w:rsid w:val="005F4483"/>
    <w:rsid w:val="005F53F5"/>
    <w:rsid w:val="00601CE5"/>
    <w:rsid w:val="00602678"/>
    <w:rsid w:val="0060292B"/>
    <w:rsid w:val="00610C69"/>
    <w:rsid w:val="0061399D"/>
    <w:rsid w:val="00615922"/>
    <w:rsid w:val="006206FE"/>
    <w:rsid w:val="00620BC4"/>
    <w:rsid w:val="00623B38"/>
    <w:rsid w:val="00624350"/>
    <w:rsid w:val="006246B4"/>
    <w:rsid w:val="00625411"/>
    <w:rsid w:val="006277E0"/>
    <w:rsid w:val="00635DC8"/>
    <w:rsid w:val="006417F8"/>
    <w:rsid w:val="006456FC"/>
    <w:rsid w:val="00646298"/>
    <w:rsid w:val="00647161"/>
    <w:rsid w:val="00647679"/>
    <w:rsid w:val="00647C0A"/>
    <w:rsid w:val="006502C5"/>
    <w:rsid w:val="0065453B"/>
    <w:rsid w:val="0066382E"/>
    <w:rsid w:val="00664FB8"/>
    <w:rsid w:val="00665287"/>
    <w:rsid w:val="00666478"/>
    <w:rsid w:val="00671FF3"/>
    <w:rsid w:val="0067419B"/>
    <w:rsid w:val="0068174B"/>
    <w:rsid w:val="00681827"/>
    <w:rsid w:val="00684015"/>
    <w:rsid w:val="00686356"/>
    <w:rsid w:val="00686DA3"/>
    <w:rsid w:val="00693F7A"/>
    <w:rsid w:val="0069479A"/>
    <w:rsid w:val="006948A1"/>
    <w:rsid w:val="006955F6"/>
    <w:rsid w:val="00696583"/>
    <w:rsid w:val="00696796"/>
    <w:rsid w:val="006A10C0"/>
    <w:rsid w:val="006A17D2"/>
    <w:rsid w:val="006A3683"/>
    <w:rsid w:val="006A4903"/>
    <w:rsid w:val="006A4BD2"/>
    <w:rsid w:val="006A5EF8"/>
    <w:rsid w:val="006A64D0"/>
    <w:rsid w:val="006A730D"/>
    <w:rsid w:val="006B0033"/>
    <w:rsid w:val="006B0086"/>
    <w:rsid w:val="006B5305"/>
    <w:rsid w:val="006B6B16"/>
    <w:rsid w:val="006B7315"/>
    <w:rsid w:val="006B786C"/>
    <w:rsid w:val="006C7053"/>
    <w:rsid w:val="006D2AA2"/>
    <w:rsid w:val="006D2DAB"/>
    <w:rsid w:val="006D3EA9"/>
    <w:rsid w:val="006D7CD5"/>
    <w:rsid w:val="006E0F8E"/>
    <w:rsid w:val="006E72C2"/>
    <w:rsid w:val="006F3C96"/>
    <w:rsid w:val="006F44E9"/>
    <w:rsid w:val="006F64C0"/>
    <w:rsid w:val="006F6FEF"/>
    <w:rsid w:val="007018F1"/>
    <w:rsid w:val="00702871"/>
    <w:rsid w:val="00703EE7"/>
    <w:rsid w:val="00707FA7"/>
    <w:rsid w:val="00711222"/>
    <w:rsid w:val="00711C9A"/>
    <w:rsid w:val="00711E70"/>
    <w:rsid w:val="0071395C"/>
    <w:rsid w:val="0072333F"/>
    <w:rsid w:val="00724B59"/>
    <w:rsid w:val="00726E8E"/>
    <w:rsid w:val="00727E49"/>
    <w:rsid w:val="007311FB"/>
    <w:rsid w:val="00735568"/>
    <w:rsid w:val="00740CCD"/>
    <w:rsid w:val="00740E5D"/>
    <w:rsid w:val="00741FE5"/>
    <w:rsid w:val="00744228"/>
    <w:rsid w:val="0074435D"/>
    <w:rsid w:val="00750B50"/>
    <w:rsid w:val="007632FE"/>
    <w:rsid w:val="00763DC1"/>
    <w:rsid w:val="007641AF"/>
    <w:rsid w:val="007644DD"/>
    <w:rsid w:val="00764677"/>
    <w:rsid w:val="00765EA3"/>
    <w:rsid w:val="00770777"/>
    <w:rsid w:val="0077101A"/>
    <w:rsid w:val="00772602"/>
    <w:rsid w:val="00780E82"/>
    <w:rsid w:val="007822C0"/>
    <w:rsid w:val="00786D97"/>
    <w:rsid w:val="00791FC5"/>
    <w:rsid w:val="00792282"/>
    <w:rsid w:val="00794FF0"/>
    <w:rsid w:val="007954B8"/>
    <w:rsid w:val="00797E14"/>
    <w:rsid w:val="007A17CA"/>
    <w:rsid w:val="007A1CA6"/>
    <w:rsid w:val="007A337B"/>
    <w:rsid w:val="007A76BE"/>
    <w:rsid w:val="007A7997"/>
    <w:rsid w:val="007B23E0"/>
    <w:rsid w:val="007B49F9"/>
    <w:rsid w:val="007B5455"/>
    <w:rsid w:val="007B6427"/>
    <w:rsid w:val="007B65E0"/>
    <w:rsid w:val="007C3AB6"/>
    <w:rsid w:val="007C4389"/>
    <w:rsid w:val="007C4E5A"/>
    <w:rsid w:val="007C6328"/>
    <w:rsid w:val="007D1932"/>
    <w:rsid w:val="007D2065"/>
    <w:rsid w:val="007D2C77"/>
    <w:rsid w:val="007D4D82"/>
    <w:rsid w:val="007D5481"/>
    <w:rsid w:val="007E149F"/>
    <w:rsid w:val="007E2F84"/>
    <w:rsid w:val="007F003E"/>
    <w:rsid w:val="007F04A8"/>
    <w:rsid w:val="007F3506"/>
    <w:rsid w:val="007F678E"/>
    <w:rsid w:val="008005A5"/>
    <w:rsid w:val="00800A84"/>
    <w:rsid w:val="00800A9C"/>
    <w:rsid w:val="00800CD9"/>
    <w:rsid w:val="00804F15"/>
    <w:rsid w:val="0080717D"/>
    <w:rsid w:val="008073EC"/>
    <w:rsid w:val="00812C6E"/>
    <w:rsid w:val="008201FD"/>
    <w:rsid w:val="00822577"/>
    <w:rsid w:val="00822D65"/>
    <w:rsid w:val="00823657"/>
    <w:rsid w:val="00826398"/>
    <w:rsid w:val="00826968"/>
    <w:rsid w:val="0083066C"/>
    <w:rsid w:val="0083424E"/>
    <w:rsid w:val="00834A87"/>
    <w:rsid w:val="0084160D"/>
    <w:rsid w:val="00841749"/>
    <w:rsid w:val="00842D3D"/>
    <w:rsid w:val="00847B5D"/>
    <w:rsid w:val="008522C4"/>
    <w:rsid w:val="008528FD"/>
    <w:rsid w:val="00853E29"/>
    <w:rsid w:val="0085407E"/>
    <w:rsid w:val="008542DF"/>
    <w:rsid w:val="008555BC"/>
    <w:rsid w:val="008572DC"/>
    <w:rsid w:val="00861175"/>
    <w:rsid w:val="00861270"/>
    <w:rsid w:val="00867A82"/>
    <w:rsid w:val="00867E2E"/>
    <w:rsid w:val="00870BEC"/>
    <w:rsid w:val="00870DAF"/>
    <w:rsid w:val="008730CC"/>
    <w:rsid w:val="00873C7F"/>
    <w:rsid w:val="0087524F"/>
    <w:rsid w:val="008765BE"/>
    <w:rsid w:val="00883306"/>
    <w:rsid w:val="00883885"/>
    <w:rsid w:val="008846E5"/>
    <w:rsid w:val="00890638"/>
    <w:rsid w:val="00892148"/>
    <w:rsid w:val="00894753"/>
    <w:rsid w:val="008968F3"/>
    <w:rsid w:val="00897B5B"/>
    <w:rsid w:val="008A0364"/>
    <w:rsid w:val="008A21CB"/>
    <w:rsid w:val="008B0759"/>
    <w:rsid w:val="008B158D"/>
    <w:rsid w:val="008B3B96"/>
    <w:rsid w:val="008C1E98"/>
    <w:rsid w:val="008C2DE8"/>
    <w:rsid w:val="008C313C"/>
    <w:rsid w:val="008C3AE5"/>
    <w:rsid w:val="008C61C7"/>
    <w:rsid w:val="008C6C1F"/>
    <w:rsid w:val="008D2631"/>
    <w:rsid w:val="008D3098"/>
    <w:rsid w:val="008D442B"/>
    <w:rsid w:val="008D5032"/>
    <w:rsid w:val="008D5584"/>
    <w:rsid w:val="008D6EF4"/>
    <w:rsid w:val="008E16DF"/>
    <w:rsid w:val="008E1C1E"/>
    <w:rsid w:val="008E32DF"/>
    <w:rsid w:val="008E3E01"/>
    <w:rsid w:val="008E797C"/>
    <w:rsid w:val="008F3C42"/>
    <w:rsid w:val="008F6122"/>
    <w:rsid w:val="008F6E12"/>
    <w:rsid w:val="009018A5"/>
    <w:rsid w:val="00902B35"/>
    <w:rsid w:val="00902C93"/>
    <w:rsid w:val="00904F43"/>
    <w:rsid w:val="00906785"/>
    <w:rsid w:val="009117E3"/>
    <w:rsid w:val="00911EDF"/>
    <w:rsid w:val="009133E3"/>
    <w:rsid w:val="009136C2"/>
    <w:rsid w:val="00913AC0"/>
    <w:rsid w:val="00920BC4"/>
    <w:rsid w:val="009240D1"/>
    <w:rsid w:val="009305D7"/>
    <w:rsid w:val="00932B93"/>
    <w:rsid w:val="009330E9"/>
    <w:rsid w:val="00933840"/>
    <w:rsid w:val="00934184"/>
    <w:rsid w:val="00934AE3"/>
    <w:rsid w:val="00940645"/>
    <w:rsid w:val="00942C0B"/>
    <w:rsid w:val="00944DC8"/>
    <w:rsid w:val="00945D87"/>
    <w:rsid w:val="00951391"/>
    <w:rsid w:val="00954644"/>
    <w:rsid w:val="00954A73"/>
    <w:rsid w:val="00956D88"/>
    <w:rsid w:val="0096181C"/>
    <w:rsid w:val="009621A8"/>
    <w:rsid w:val="009626F9"/>
    <w:rsid w:val="00967ED3"/>
    <w:rsid w:val="00967F63"/>
    <w:rsid w:val="009727E0"/>
    <w:rsid w:val="0097467B"/>
    <w:rsid w:val="00974B87"/>
    <w:rsid w:val="00975B44"/>
    <w:rsid w:val="009815C2"/>
    <w:rsid w:val="00983CEE"/>
    <w:rsid w:val="0098524E"/>
    <w:rsid w:val="00985E2F"/>
    <w:rsid w:val="00986818"/>
    <w:rsid w:val="009900D5"/>
    <w:rsid w:val="00990CA5"/>
    <w:rsid w:val="00990D8D"/>
    <w:rsid w:val="00991E72"/>
    <w:rsid w:val="009A10D0"/>
    <w:rsid w:val="009A40BB"/>
    <w:rsid w:val="009B2F28"/>
    <w:rsid w:val="009B7685"/>
    <w:rsid w:val="009C0E11"/>
    <w:rsid w:val="009C52CB"/>
    <w:rsid w:val="009D03D8"/>
    <w:rsid w:val="009D2D0B"/>
    <w:rsid w:val="009D6B7C"/>
    <w:rsid w:val="009E4225"/>
    <w:rsid w:val="009E5677"/>
    <w:rsid w:val="009F0863"/>
    <w:rsid w:val="009F135C"/>
    <w:rsid w:val="009F3FA1"/>
    <w:rsid w:val="009F43CD"/>
    <w:rsid w:val="009F723A"/>
    <w:rsid w:val="00A01CD9"/>
    <w:rsid w:val="00A0279C"/>
    <w:rsid w:val="00A07880"/>
    <w:rsid w:val="00A106E0"/>
    <w:rsid w:val="00A13B32"/>
    <w:rsid w:val="00A17675"/>
    <w:rsid w:val="00A17792"/>
    <w:rsid w:val="00A23857"/>
    <w:rsid w:val="00A26552"/>
    <w:rsid w:val="00A30BFC"/>
    <w:rsid w:val="00A3116C"/>
    <w:rsid w:val="00A31E7B"/>
    <w:rsid w:val="00A3705B"/>
    <w:rsid w:val="00A42AEE"/>
    <w:rsid w:val="00A43363"/>
    <w:rsid w:val="00A45D54"/>
    <w:rsid w:val="00A46D2D"/>
    <w:rsid w:val="00A47C2A"/>
    <w:rsid w:val="00A5265B"/>
    <w:rsid w:val="00A52A34"/>
    <w:rsid w:val="00A52F49"/>
    <w:rsid w:val="00A5680F"/>
    <w:rsid w:val="00A60C8C"/>
    <w:rsid w:val="00A617FC"/>
    <w:rsid w:val="00A63014"/>
    <w:rsid w:val="00A63E1D"/>
    <w:rsid w:val="00A64E55"/>
    <w:rsid w:val="00A6599C"/>
    <w:rsid w:val="00A7041C"/>
    <w:rsid w:val="00A7283B"/>
    <w:rsid w:val="00A72849"/>
    <w:rsid w:val="00A75F4A"/>
    <w:rsid w:val="00A77EF1"/>
    <w:rsid w:val="00A83427"/>
    <w:rsid w:val="00A8464D"/>
    <w:rsid w:val="00A84E79"/>
    <w:rsid w:val="00A8693F"/>
    <w:rsid w:val="00A871AF"/>
    <w:rsid w:val="00A90D1C"/>
    <w:rsid w:val="00A90DCE"/>
    <w:rsid w:val="00A959B9"/>
    <w:rsid w:val="00AA242B"/>
    <w:rsid w:val="00AA31B6"/>
    <w:rsid w:val="00AA574D"/>
    <w:rsid w:val="00AA6CF0"/>
    <w:rsid w:val="00AA7280"/>
    <w:rsid w:val="00AA7448"/>
    <w:rsid w:val="00AB17F5"/>
    <w:rsid w:val="00AB4BDB"/>
    <w:rsid w:val="00AB57C9"/>
    <w:rsid w:val="00AB6503"/>
    <w:rsid w:val="00AC4CA9"/>
    <w:rsid w:val="00AC4DC5"/>
    <w:rsid w:val="00AD10F9"/>
    <w:rsid w:val="00AD28C3"/>
    <w:rsid w:val="00AD3F93"/>
    <w:rsid w:val="00AD642F"/>
    <w:rsid w:val="00AD6444"/>
    <w:rsid w:val="00AD79A9"/>
    <w:rsid w:val="00AD7F58"/>
    <w:rsid w:val="00AE0082"/>
    <w:rsid w:val="00AE2190"/>
    <w:rsid w:val="00AE2FC9"/>
    <w:rsid w:val="00AE5B15"/>
    <w:rsid w:val="00AF0029"/>
    <w:rsid w:val="00AF19A9"/>
    <w:rsid w:val="00AF549A"/>
    <w:rsid w:val="00AF6C15"/>
    <w:rsid w:val="00B060AB"/>
    <w:rsid w:val="00B07407"/>
    <w:rsid w:val="00B074E5"/>
    <w:rsid w:val="00B13847"/>
    <w:rsid w:val="00B160B0"/>
    <w:rsid w:val="00B2022F"/>
    <w:rsid w:val="00B21D6F"/>
    <w:rsid w:val="00B249B2"/>
    <w:rsid w:val="00B2588C"/>
    <w:rsid w:val="00B26BB3"/>
    <w:rsid w:val="00B3060A"/>
    <w:rsid w:val="00B3225C"/>
    <w:rsid w:val="00B3369F"/>
    <w:rsid w:val="00B343AD"/>
    <w:rsid w:val="00B35255"/>
    <w:rsid w:val="00B37C38"/>
    <w:rsid w:val="00B4243D"/>
    <w:rsid w:val="00B42FF9"/>
    <w:rsid w:val="00B44040"/>
    <w:rsid w:val="00B442EB"/>
    <w:rsid w:val="00B465DB"/>
    <w:rsid w:val="00B55761"/>
    <w:rsid w:val="00B618EF"/>
    <w:rsid w:val="00B6434F"/>
    <w:rsid w:val="00B65780"/>
    <w:rsid w:val="00B664FF"/>
    <w:rsid w:val="00B6682B"/>
    <w:rsid w:val="00B70ACA"/>
    <w:rsid w:val="00B751E0"/>
    <w:rsid w:val="00B855DD"/>
    <w:rsid w:val="00B90B9C"/>
    <w:rsid w:val="00B93EAB"/>
    <w:rsid w:val="00B95352"/>
    <w:rsid w:val="00B96550"/>
    <w:rsid w:val="00BA11CC"/>
    <w:rsid w:val="00BA36D7"/>
    <w:rsid w:val="00BA3F32"/>
    <w:rsid w:val="00BA4B3E"/>
    <w:rsid w:val="00BB11DB"/>
    <w:rsid w:val="00BB1AEE"/>
    <w:rsid w:val="00BB749B"/>
    <w:rsid w:val="00BB75D7"/>
    <w:rsid w:val="00BC5322"/>
    <w:rsid w:val="00BC7577"/>
    <w:rsid w:val="00BC7F5D"/>
    <w:rsid w:val="00BD0A9C"/>
    <w:rsid w:val="00BE04C7"/>
    <w:rsid w:val="00BE0899"/>
    <w:rsid w:val="00BE0E94"/>
    <w:rsid w:val="00BF14C4"/>
    <w:rsid w:val="00BF2588"/>
    <w:rsid w:val="00BF39CC"/>
    <w:rsid w:val="00BF44A2"/>
    <w:rsid w:val="00BF57E3"/>
    <w:rsid w:val="00BF76C5"/>
    <w:rsid w:val="00C05141"/>
    <w:rsid w:val="00C067C7"/>
    <w:rsid w:val="00C07135"/>
    <w:rsid w:val="00C07F0F"/>
    <w:rsid w:val="00C10701"/>
    <w:rsid w:val="00C112EE"/>
    <w:rsid w:val="00C119CB"/>
    <w:rsid w:val="00C12D41"/>
    <w:rsid w:val="00C13735"/>
    <w:rsid w:val="00C1385E"/>
    <w:rsid w:val="00C13BDD"/>
    <w:rsid w:val="00C20DBA"/>
    <w:rsid w:val="00C21615"/>
    <w:rsid w:val="00C23AFA"/>
    <w:rsid w:val="00C23D5D"/>
    <w:rsid w:val="00C32DEA"/>
    <w:rsid w:val="00C33EF3"/>
    <w:rsid w:val="00C34CBB"/>
    <w:rsid w:val="00C45B46"/>
    <w:rsid w:val="00C46623"/>
    <w:rsid w:val="00C4716B"/>
    <w:rsid w:val="00C53F01"/>
    <w:rsid w:val="00C662F7"/>
    <w:rsid w:val="00C66792"/>
    <w:rsid w:val="00C66891"/>
    <w:rsid w:val="00C7137C"/>
    <w:rsid w:val="00C73E4C"/>
    <w:rsid w:val="00C749CB"/>
    <w:rsid w:val="00C75004"/>
    <w:rsid w:val="00C800BC"/>
    <w:rsid w:val="00C80B94"/>
    <w:rsid w:val="00C840DD"/>
    <w:rsid w:val="00C86F13"/>
    <w:rsid w:val="00C87222"/>
    <w:rsid w:val="00C904A6"/>
    <w:rsid w:val="00C91DC2"/>
    <w:rsid w:val="00C977A4"/>
    <w:rsid w:val="00CA0673"/>
    <w:rsid w:val="00CA1E13"/>
    <w:rsid w:val="00CA27C2"/>
    <w:rsid w:val="00CA4A66"/>
    <w:rsid w:val="00CB0D25"/>
    <w:rsid w:val="00CB295B"/>
    <w:rsid w:val="00CB3F87"/>
    <w:rsid w:val="00CB4780"/>
    <w:rsid w:val="00CB5D21"/>
    <w:rsid w:val="00CB5EFC"/>
    <w:rsid w:val="00CC0B40"/>
    <w:rsid w:val="00CC0E12"/>
    <w:rsid w:val="00CC2840"/>
    <w:rsid w:val="00CC4853"/>
    <w:rsid w:val="00CC51E2"/>
    <w:rsid w:val="00CC750B"/>
    <w:rsid w:val="00CD3F35"/>
    <w:rsid w:val="00CD6324"/>
    <w:rsid w:val="00CD764B"/>
    <w:rsid w:val="00CD7E23"/>
    <w:rsid w:val="00CE5BC8"/>
    <w:rsid w:val="00CE625F"/>
    <w:rsid w:val="00D00B9C"/>
    <w:rsid w:val="00D0337E"/>
    <w:rsid w:val="00D05B12"/>
    <w:rsid w:val="00D06539"/>
    <w:rsid w:val="00D0705C"/>
    <w:rsid w:val="00D0707E"/>
    <w:rsid w:val="00D0748A"/>
    <w:rsid w:val="00D0774F"/>
    <w:rsid w:val="00D11A1C"/>
    <w:rsid w:val="00D13D1A"/>
    <w:rsid w:val="00D14DFF"/>
    <w:rsid w:val="00D1519F"/>
    <w:rsid w:val="00D16105"/>
    <w:rsid w:val="00D16319"/>
    <w:rsid w:val="00D2004B"/>
    <w:rsid w:val="00D2149B"/>
    <w:rsid w:val="00D22667"/>
    <w:rsid w:val="00D22B9C"/>
    <w:rsid w:val="00D24FC4"/>
    <w:rsid w:val="00D32A0F"/>
    <w:rsid w:val="00D413E0"/>
    <w:rsid w:val="00D4546F"/>
    <w:rsid w:val="00D472B7"/>
    <w:rsid w:val="00D51C38"/>
    <w:rsid w:val="00D57189"/>
    <w:rsid w:val="00D57B05"/>
    <w:rsid w:val="00D66C01"/>
    <w:rsid w:val="00D67408"/>
    <w:rsid w:val="00D71515"/>
    <w:rsid w:val="00D71E1E"/>
    <w:rsid w:val="00D7219D"/>
    <w:rsid w:val="00D72A92"/>
    <w:rsid w:val="00D7326A"/>
    <w:rsid w:val="00D74D6D"/>
    <w:rsid w:val="00D756B1"/>
    <w:rsid w:val="00D75B71"/>
    <w:rsid w:val="00D76037"/>
    <w:rsid w:val="00D7612D"/>
    <w:rsid w:val="00D764D9"/>
    <w:rsid w:val="00D773F7"/>
    <w:rsid w:val="00D846EB"/>
    <w:rsid w:val="00D848F8"/>
    <w:rsid w:val="00D84C36"/>
    <w:rsid w:val="00D84E16"/>
    <w:rsid w:val="00D86E24"/>
    <w:rsid w:val="00D87DCD"/>
    <w:rsid w:val="00D91579"/>
    <w:rsid w:val="00D9158F"/>
    <w:rsid w:val="00D91DA5"/>
    <w:rsid w:val="00D92D42"/>
    <w:rsid w:val="00DA169B"/>
    <w:rsid w:val="00DA16FD"/>
    <w:rsid w:val="00DA1D92"/>
    <w:rsid w:val="00DA3F03"/>
    <w:rsid w:val="00DA4D09"/>
    <w:rsid w:val="00DA5590"/>
    <w:rsid w:val="00DA7704"/>
    <w:rsid w:val="00DB1358"/>
    <w:rsid w:val="00DB450E"/>
    <w:rsid w:val="00DB4708"/>
    <w:rsid w:val="00DB49F8"/>
    <w:rsid w:val="00DB5A8F"/>
    <w:rsid w:val="00DB659B"/>
    <w:rsid w:val="00DB6DC2"/>
    <w:rsid w:val="00DC4C1C"/>
    <w:rsid w:val="00DC7B1E"/>
    <w:rsid w:val="00DC7C98"/>
    <w:rsid w:val="00DD11A3"/>
    <w:rsid w:val="00DD5065"/>
    <w:rsid w:val="00DD51D8"/>
    <w:rsid w:val="00DDCD3F"/>
    <w:rsid w:val="00DE08C2"/>
    <w:rsid w:val="00DE6EE3"/>
    <w:rsid w:val="00DE73C6"/>
    <w:rsid w:val="00DF17C2"/>
    <w:rsid w:val="00DF417A"/>
    <w:rsid w:val="00DF4CD2"/>
    <w:rsid w:val="00E0015D"/>
    <w:rsid w:val="00E0100C"/>
    <w:rsid w:val="00E01BA6"/>
    <w:rsid w:val="00E027A8"/>
    <w:rsid w:val="00E046C2"/>
    <w:rsid w:val="00E04BF8"/>
    <w:rsid w:val="00E075C3"/>
    <w:rsid w:val="00E07962"/>
    <w:rsid w:val="00E11741"/>
    <w:rsid w:val="00E12097"/>
    <w:rsid w:val="00E1688E"/>
    <w:rsid w:val="00E22355"/>
    <w:rsid w:val="00E234F3"/>
    <w:rsid w:val="00E25EB7"/>
    <w:rsid w:val="00E26D9E"/>
    <w:rsid w:val="00E26DDB"/>
    <w:rsid w:val="00E348B5"/>
    <w:rsid w:val="00E351D6"/>
    <w:rsid w:val="00E3701C"/>
    <w:rsid w:val="00E43AEE"/>
    <w:rsid w:val="00E45BB1"/>
    <w:rsid w:val="00E4601C"/>
    <w:rsid w:val="00E502DB"/>
    <w:rsid w:val="00E51024"/>
    <w:rsid w:val="00E54BC9"/>
    <w:rsid w:val="00E629E5"/>
    <w:rsid w:val="00E6358C"/>
    <w:rsid w:val="00E637A4"/>
    <w:rsid w:val="00E63DD1"/>
    <w:rsid w:val="00E74B5F"/>
    <w:rsid w:val="00E75009"/>
    <w:rsid w:val="00E75541"/>
    <w:rsid w:val="00E75D20"/>
    <w:rsid w:val="00E82077"/>
    <w:rsid w:val="00E8281F"/>
    <w:rsid w:val="00E82DA0"/>
    <w:rsid w:val="00E834C6"/>
    <w:rsid w:val="00E86083"/>
    <w:rsid w:val="00E860B1"/>
    <w:rsid w:val="00E87090"/>
    <w:rsid w:val="00E911A5"/>
    <w:rsid w:val="00E91DCD"/>
    <w:rsid w:val="00E93068"/>
    <w:rsid w:val="00E94F9E"/>
    <w:rsid w:val="00E9742A"/>
    <w:rsid w:val="00EA33AC"/>
    <w:rsid w:val="00EA3A51"/>
    <w:rsid w:val="00EA4CBA"/>
    <w:rsid w:val="00EA77DF"/>
    <w:rsid w:val="00EA7A68"/>
    <w:rsid w:val="00EB194D"/>
    <w:rsid w:val="00EB3F9A"/>
    <w:rsid w:val="00EB4FF6"/>
    <w:rsid w:val="00EB6BA3"/>
    <w:rsid w:val="00EC0C1A"/>
    <w:rsid w:val="00EC1692"/>
    <w:rsid w:val="00EC24D8"/>
    <w:rsid w:val="00EC43F6"/>
    <w:rsid w:val="00ED1651"/>
    <w:rsid w:val="00ED3AFF"/>
    <w:rsid w:val="00ED72D9"/>
    <w:rsid w:val="00EE4144"/>
    <w:rsid w:val="00EE5C0A"/>
    <w:rsid w:val="00EE6CA8"/>
    <w:rsid w:val="00EF047F"/>
    <w:rsid w:val="00EF4EB0"/>
    <w:rsid w:val="00F060C8"/>
    <w:rsid w:val="00F06C85"/>
    <w:rsid w:val="00F06D96"/>
    <w:rsid w:val="00F162C0"/>
    <w:rsid w:val="00F16606"/>
    <w:rsid w:val="00F20496"/>
    <w:rsid w:val="00F209AF"/>
    <w:rsid w:val="00F20C84"/>
    <w:rsid w:val="00F21327"/>
    <w:rsid w:val="00F21AFF"/>
    <w:rsid w:val="00F21E19"/>
    <w:rsid w:val="00F22A06"/>
    <w:rsid w:val="00F230E3"/>
    <w:rsid w:val="00F27A2A"/>
    <w:rsid w:val="00F31863"/>
    <w:rsid w:val="00F33718"/>
    <w:rsid w:val="00F36AC6"/>
    <w:rsid w:val="00F36ECD"/>
    <w:rsid w:val="00F37201"/>
    <w:rsid w:val="00F41B30"/>
    <w:rsid w:val="00F42E50"/>
    <w:rsid w:val="00F436C3"/>
    <w:rsid w:val="00F43C9B"/>
    <w:rsid w:val="00F4461F"/>
    <w:rsid w:val="00F5094A"/>
    <w:rsid w:val="00F63D89"/>
    <w:rsid w:val="00F645B6"/>
    <w:rsid w:val="00F654D8"/>
    <w:rsid w:val="00F674E2"/>
    <w:rsid w:val="00F702BE"/>
    <w:rsid w:val="00F703E0"/>
    <w:rsid w:val="00F73561"/>
    <w:rsid w:val="00F73D6F"/>
    <w:rsid w:val="00F745E7"/>
    <w:rsid w:val="00F74E0E"/>
    <w:rsid w:val="00F772FF"/>
    <w:rsid w:val="00F77A84"/>
    <w:rsid w:val="00F85487"/>
    <w:rsid w:val="00F862B9"/>
    <w:rsid w:val="00F9003A"/>
    <w:rsid w:val="00F93459"/>
    <w:rsid w:val="00FA08C3"/>
    <w:rsid w:val="00FA245B"/>
    <w:rsid w:val="00FA2C60"/>
    <w:rsid w:val="00FB04ED"/>
    <w:rsid w:val="00FB1F24"/>
    <w:rsid w:val="00FB3856"/>
    <w:rsid w:val="00FC1F74"/>
    <w:rsid w:val="00FC32F2"/>
    <w:rsid w:val="00FC45D0"/>
    <w:rsid w:val="00FC5C79"/>
    <w:rsid w:val="00FD1A9A"/>
    <w:rsid w:val="00FD1FFA"/>
    <w:rsid w:val="00FD344E"/>
    <w:rsid w:val="00FD567A"/>
    <w:rsid w:val="00FE1154"/>
    <w:rsid w:val="00FE1BE1"/>
    <w:rsid w:val="00FE4FF7"/>
    <w:rsid w:val="00FE71D9"/>
    <w:rsid w:val="00FF2C4F"/>
    <w:rsid w:val="00FF46D4"/>
    <w:rsid w:val="00FF6582"/>
    <w:rsid w:val="00FF6A64"/>
    <w:rsid w:val="0177E65C"/>
    <w:rsid w:val="02129E3A"/>
    <w:rsid w:val="024B4842"/>
    <w:rsid w:val="026DD29C"/>
    <w:rsid w:val="03A86F5A"/>
    <w:rsid w:val="045C5329"/>
    <w:rsid w:val="04A91B7F"/>
    <w:rsid w:val="05A80C17"/>
    <w:rsid w:val="05AEDCBB"/>
    <w:rsid w:val="06A755B7"/>
    <w:rsid w:val="06CB9330"/>
    <w:rsid w:val="07380BC8"/>
    <w:rsid w:val="07570B2F"/>
    <w:rsid w:val="080C643F"/>
    <w:rsid w:val="081F3474"/>
    <w:rsid w:val="0883B213"/>
    <w:rsid w:val="08A4AB5E"/>
    <w:rsid w:val="0933E60B"/>
    <w:rsid w:val="0A674382"/>
    <w:rsid w:val="0B0737FB"/>
    <w:rsid w:val="0B0BDF07"/>
    <w:rsid w:val="0B1963BA"/>
    <w:rsid w:val="0C54020F"/>
    <w:rsid w:val="0CA1F7D1"/>
    <w:rsid w:val="0D3143B4"/>
    <w:rsid w:val="0DB13DA8"/>
    <w:rsid w:val="0E29D409"/>
    <w:rsid w:val="0F302ED8"/>
    <w:rsid w:val="0F5381E4"/>
    <w:rsid w:val="0F73CCDF"/>
    <w:rsid w:val="0F745548"/>
    <w:rsid w:val="0FC00EDF"/>
    <w:rsid w:val="121358AC"/>
    <w:rsid w:val="12ED769B"/>
    <w:rsid w:val="1364232A"/>
    <w:rsid w:val="139EDAA2"/>
    <w:rsid w:val="139F5359"/>
    <w:rsid w:val="13D711FB"/>
    <w:rsid w:val="14244362"/>
    <w:rsid w:val="144DFBB6"/>
    <w:rsid w:val="15732A5D"/>
    <w:rsid w:val="1691823B"/>
    <w:rsid w:val="16F82768"/>
    <w:rsid w:val="17D397DA"/>
    <w:rsid w:val="17EE9971"/>
    <w:rsid w:val="186889C1"/>
    <w:rsid w:val="1A373EFB"/>
    <w:rsid w:val="1C95AF6D"/>
    <w:rsid w:val="1CA35A6F"/>
    <w:rsid w:val="1D2CD4F1"/>
    <w:rsid w:val="1E728082"/>
    <w:rsid w:val="205E8BBB"/>
    <w:rsid w:val="20D7EE67"/>
    <w:rsid w:val="229B5217"/>
    <w:rsid w:val="247A8EED"/>
    <w:rsid w:val="254B51C2"/>
    <w:rsid w:val="25F99021"/>
    <w:rsid w:val="25FC1ECA"/>
    <w:rsid w:val="269D6E23"/>
    <w:rsid w:val="26BE3E2C"/>
    <w:rsid w:val="26D580B3"/>
    <w:rsid w:val="26FB5D71"/>
    <w:rsid w:val="270A35D8"/>
    <w:rsid w:val="2724BCF2"/>
    <w:rsid w:val="2736D19C"/>
    <w:rsid w:val="277E1FB4"/>
    <w:rsid w:val="28BC8682"/>
    <w:rsid w:val="29AB9A17"/>
    <w:rsid w:val="29EAF0B4"/>
    <w:rsid w:val="2A1DF650"/>
    <w:rsid w:val="2B120E3A"/>
    <w:rsid w:val="2C366A81"/>
    <w:rsid w:val="2CBF4763"/>
    <w:rsid w:val="2D30BB4A"/>
    <w:rsid w:val="2E170005"/>
    <w:rsid w:val="2E4985FF"/>
    <w:rsid w:val="2E514630"/>
    <w:rsid w:val="2F93181C"/>
    <w:rsid w:val="30E72EE2"/>
    <w:rsid w:val="3127D4FB"/>
    <w:rsid w:val="31E467C6"/>
    <w:rsid w:val="32820251"/>
    <w:rsid w:val="32D4D3AD"/>
    <w:rsid w:val="33447A8A"/>
    <w:rsid w:val="33840DCD"/>
    <w:rsid w:val="35101826"/>
    <w:rsid w:val="36776BBE"/>
    <w:rsid w:val="37ABA547"/>
    <w:rsid w:val="37D86495"/>
    <w:rsid w:val="3858342D"/>
    <w:rsid w:val="386FC117"/>
    <w:rsid w:val="38770D3F"/>
    <w:rsid w:val="38AA96DA"/>
    <w:rsid w:val="38F0456B"/>
    <w:rsid w:val="38F90099"/>
    <w:rsid w:val="3AA2EC19"/>
    <w:rsid w:val="3C1BD10A"/>
    <w:rsid w:val="3D3FAEE1"/>
    <w:rsid w:val="3D8BE974"/>
    <w:rsid w:val="3EC9DDBD"/>
    <w:rsid w:val="3EEDFAB4"/>
    <w:rsid w:val="3F615CA4"/>
    <w:rsid w:val="3FF07D76"/>
    <w:rsid w:val="404E2855"/>
    <w:rsid w:val="421BE5E9"/>
    <w:rsid w:val="428821EA"/>
    <w:rsid w:val="42A25473"/>
    <w:rsid w:val="435BF065"/>
    <w:rsid w:val="452EC72D"/>
    <w:rsid w:val="458E88C5"/>
    <w:rsid w:val="45AA3518"/>
    <w:rsid w:val="481E9431"/>
    <w:rsid w:val="4950DAC0"/>
    <w:rsid w:val="4A2C5B1E"/>
    <w:rsid w:val="4B47B32B"/>
    <w:rsid w:val="4BEAB57D"/>
    <w:rsid w:val="4D1EE3D2"/>
    <w:rsid w:val="4E83D62B"/>
    <w:rsid w:val="4EE60634"/>
    <w:rsid w:val="4EF0F728"/>
    <w:rsid w:val="4F1AAD58"/>
    <w:rsid w:val="4F9335C8"/>
    <w:rsid w:val="4F9D3832"/>
    <w:rsid w:val="5069DBC5"/>
    <w:rsid w:val="5194F2CB"/>
    <w:rsid w:val="52DDE7D3"/>
    <w:rsid w:val="54523CDE"/>
    <w:rsid w:val="54CC5CD0"/>
    <w:rsid w:val="56061C06"/>
    <w:rsid w:val="561DEDB6"/>
    <w:rsid w:val="57038F32"/>
    <w:rsid w:val="580E5E28"/>
    <w:rsid w:val="58FC3766"/>
    <w:rsid w:val="59AFDCD5"/>
    <w:rsid w:val="5A717498"/>
    <w:rsid w:val="5AE4EB01"/>
    <w:rsid w:val="5B5F369B"/>
    <w:rsid w:val="5E13F497"/>
    <w:rsid w:val="5EB902AC"/>
    <w:rsid w:val="5F271B4E"/>
    <w:rsid w:val="5F8DA6E6"/>
    <w:rsid w:val="5F9A7108"/>
    <w:rsid w:val="5FDF2780"/>
    <w:rsid w:val="6077A06C"/>
    <w:rsid w:val="613B5181"/>
    <w:rsid w:val="61E8519D"/>
    <w:rsid w:val="636950AB"/>
    <w:rsid w:val="65134ED0"/>
    <w:rsid w:val="65CE37F4"/>
    <w:rsid w:val="6659A804"/>
    <w:rsid w:val="66D20055"/>
    <w:rsid w:val="6865B103"/>
    <w:rsid w:val="6A3D21D0"/>
    <w:rsid w:val="6BB42E80"/>
    <w:rsid w:val="6BC5323C"/>
    <w:rsid w:val="6C3D07A2"/>
    <w:rsid w:val="6D71B3AA"/>
    <w:rsid w:val="6F13D723"/>
    <w:rsid w:val="6F5B5A02"/>
    <w:rsid w:val="70BD05D6"/>
    <w:rsid w:val="70FD87D6"/>
    <w:rsid w:val="7224D242"/>
    <w:rsid w:val="72501862"/>
    <w:rsid w:val="72C3E23A"/>
    <w:rsid w:val="72DBCC0E"/>
    <w:rsid w:val="74215F68"/>
    <w:rsid w:val="748C1CA6"/>
    <w:rsid w:val="748CD53A"/>
    <w:rsid w:val="74DD7AA7"/>
    <w:rsid w:val="75218E49"/>
    <w:rsid w:val="75E9AFC7"/>
    <w:rsid w:val="797DB4A1"/>
    <w:rsid w:val="79C2FE76"/>
    <w:rsid w:val="79D78F2A"/>
    <w:rsid w:val="7A0ADF23"/>
    <w:rsid w:val="7A8F5C48"/>
    <w:rsid w:val="7AC37234"/>
    <w:rsid w:val="7B116761"/>
    <w:rsid w:val="7B14E647"/>
    <w:rsid w:val="7B231732"/>
    <w:rsid w:val="7B5B752A"/>
    <w:rsid w:val="7B8D55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9699F"/>
  <w15:chartTrackingRefBased/>
  <w15:docId w15:val="{3CAA9259-C384-49B2-A4E9-E3EB208E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9"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5" w:unhideWhenUsed="1" w:qFormat="1"/>
    <w:lsdException w:name="List Bullet" w:uiPriority="6" w:unhideWhenUsed="1" w:qFormat="1"/>
    <w:lsdException w:name="List Number" w:uiPriority="7" w:qFormat="1"/>
    <w:lsdException w:name="List 2" w:uiPriority="5" w:unhideWhenUsed="1" w:qFormat="1"/>
    <w:lsdException w:name="List 3" w:uiPriority="5" w:unhideWhenUsed="1"/>
    <w:lsdException w:name="List 4" w:uiPriority="5"/>
    <w:lsdException w:name="List 5" w:uiPriority="5"/>
    <w:lsdException w:name="List Bullet 2" w:uiPriority="6" w:unhideWhenUsed="1" w:qFormat="1"/>
    <w:lsdException w:name="List Bullet 3" w:uiPriority="6" w:unhideWhenUsed="1"/>
    <w:lsdException w:name="List Bullet 4" w:uiPriority="6" w:unhideWhenUsed="1"/>
    <w:lsdException w:name="List Bullet 5" w:uiPriority="6" w:unhideWhenUsed="1"/>
    <w:lsdException w:name="List Number 2" w:uiPriority="7" w:unhideWhenUsed="1" w:qFormat="1"/>
    <w:lsdException w:name="List Number 3" w:uiPriority="7" w:unhideWhenUsed="1"/>
    <w:lsdException w:name="List Number 4" w:uiPriority="7" w:unhideWhenUsed="1"/>
    <w:lsdException w:name="List Number 5" w:uiPriority="7"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uiPriority="8" w:unhideWhenUsed="1" w:qFormat="1"/>
    <w:lsdException w:name="List Continue 2" w:uiPriority="8" w:unhideWhenUsed="1" w:qFormat="1"/>
    <w:lsdException w:name="List Continue 3" w:uiPriority="8" w:unhideWhenUsed="1"/>
    <w:lsdException w:name="List Continue 4" w:uiPriority="8" w:unhideWhenUsed="1"/>
    <w:lsdException w:name="List Continue 5" w:uiPriority="8"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3B6EF3"/>
    <w:rPr>
      <w:lang w:val="en-GB"/>
    </w:rPr>
  </w:style>
  <w:style w:type="paragraph" w:styleId="Heading1">
    <w:name w:val="heading 1"/>
    <w:basedOn w:val="Normal"/>
    <w:link w:val="Heading1Char"/>
    <w:uiPriority w:val="4"/>
    <w:qFormat/>
    <w:rsid w:val="00A6599C"/>
    <w:pPr>
      <w:numPr>
        <w:numId w:val="21"/>
      </w:numPr>
      <w:spacing w:after="240"/>
      <w:outlineLvl w:val="0"/>
    </w:pPr>
    <w:rPr>
      <w:rFonts w:asciiTheme="majorHAnsi" w:eastAsiaTheme="majorEastAsia" w:hAnsiTheme="majorHAnsi" w:cstheme="majorBidi"/>
      <w:bCs/>
      <w:szCs w:val="28"/>
    </w:rPr>
  </w:style>
  <w:style w:type="paragraph" w:styleId="Heading2">
    <w:name w:val="heading 2"/>
    <w:basedOn w:val="Normal"/>
    <w:link w:val="Heading2Char"/>
    <w:uiPriority w:val="4"/>
    <w:qFormat/>
    <w:rsid w:val="00A6599C"/>
    <w:pPr>
      <w:numPr>
        <w:ilvl w:val="1"/>
        <w:numId w:val="21"/>
      </w:numPr>
      <w:spacing w:after="240"/>
      <w:outlineLvl w:val="1"/>
    </w:pPr>
    <w:rPr>
      <w:rFonts w:asciiTheme="majorHAnsi" w:eastAsiaTheme="majorEastAsia" w:hAnsiTheme="majorHAnsi" w:cstheme="majorBidi"/>
      <w:bCs/>
      <w:szCs w:val="26"/>
    </w:rPr>
  </w:style>
  <w:style w:type="paragraph" w:styleId="Heading3">
    <w:name w:val="heading 3"/>
    <w:basedOn w:val="Normal"/>
    <w:link w:val="Heading3Char"/>
    <w:uiPriority w:val="4"/>
    <w:qFormat/>
    <w:rsid w:val="00A6599C"/>
    <w:pPr>
      <w:numPr>
        <w:ilvl w:val="2"/>
        <w:numId w:val="21"/>
      </w:numPr>
      <w:spacing w:after="240"/>
      <w:outlineLvl w:val="2"/>
    </w:pPr>
    <w:rPr>
      <w:rFonts w:asciiTheme="majorHAnsi" w:eastAsiaTheme="majorEastAsia" w:hAnsiTheme="majorHAnsi" w:cstheme="majorBidi"/>
      <w:bCs/>
    </w:rPr>
  </w:style>
  <w:style w:type="paragraph" w:styleId="Heading4">
    <w:name w:val="heading 4"/>
    <w:basedOn w:val="Normal"/>
    <w:link w:val="Heading4Char"/>
    <w:uiPriority w:val="4"/>
    <w:qFormat/>
    <w:rsid w:val="00A6599C"/>
    <w:pPr>
      <w:numPr>
        <w:ilvl w:val="3"/>
        <w:numId w:val="21"/>
      </w:numPr>
      <w:spacing w:after="240"/>
      <w:outlineLvl w:val="3"/>
    </w:pPr>
    <w:rPr>
      <w:rFonts w:asciiTheme="majorHAnsi" w:eastAsiaTheme="majorEastAsia" w:hAnsiTheme="majorHAnsi" w:cstheme="majorBidi"/>
      <w:bCs/>
      <w:iCs/>
    </w:rPr>
  </w:style>
  <w:style w:type="paragraph" w:styleId="Heading5">
    <w:name w:val="heading 5"/>
    <w:basedOn w:val="Normal"/>
    <w:link w:val="Heading5Char"/>
    <w:uiPriority w:val="4"/>
    <w:qFormat/>
    <w:rsid w:val="00A6599C"/>
    <w:pPr>
      <w:numPr>
        <w:ilvl w:val="4"/>
        <w:numId w:val="21"/>
      </w:numPr>
      <w:spacing w:after="240"/>
      <w:outlineLvl w:val="4"/>
    </w:pPr>
    <w:rPr>
      <w:rFonts w:asciiTheme="majorHAnsi" w:eastAsiaTheme="majorEastAsia" w:hAnsiTheme="majorHAnsi" w:cstheme="majorBidi"/>
    </w:rPr>
  </w:style>
  <w:style w:type="paragraph" w:styleId="Heading6">
    <w:name w:val="heading 6"/>
    <w:basedOn w:val="Normal"/>
    <w:link w:val="Heading6Char"/>
    <w:uiPriority w:val="4"/>
    <w:qFormat/>
    <w:rsid w:val="00A6599C"/>
    <w:pPr>
      <w:numPr>
        <w:ilvl w:val="5"/>
        <w:numId w:val="21"/>
      </w:numPr>
      <w:spacing w:after="240"/>
      <w:outlineLvl w:val="5"/>
    </w:pPr>
    <w:rPr>
      <w:rFonts w:asciiTheme="majorHAnsi" w:eastAsiaTheme="majorEastAsia" w:hAnsiTheme="majorHAnsi" w:cstheme="majorBidi"/>
      <w:iCs/>
    </w:rPr>
  </w:style>
  <w:style w:type="paragraph" w:styleId="Heading7">
    <w:name w:val="heading 7"/>
    <w:basedOn w:val="Normal"/>
    <w:link w:val="Heading7Char"/>
    <w:uiPriority w:val="4"/>
    <w:qFormat/>
    <w:rsid w:val="00A6599C"/>
    <w:pPr>
      <w:numPr>
        <w:ilvl w:val="6"/>
        <w:numId w:val="21"/>
      </w:numPr>
      <w:spacing w:after="240"/>
      <w:outlineLvl w:val="6"/>
    </w:pPr>
    <w:rPr>
      <w:rFonts w:asciiTheme="majorHAnsi" w:eastAsiaTheme="majorEastAsia" w:hAnsiTheme="majorHAnsi" w:cstheme="majorBidi"/>
      <w:iCs/>
    </w:rPr>
  </w:style>
  <w:style w:type="paragraph" w:styleId="Heading8">
    <w:name w:val="heading 8"/>
    <w:basedOn w:val="Normal"/>
    <w:link w:val="Heading8Char"/>
    <w:uiPriority w:val="4"/>
    <w:qFormat/>
    <w:rsid w:val="00A6599C"/>
    <w:pPr>
      <w:numPr>
        <w:ilvl w:val="7"/>
        <w:numId w:val="21"/>
      </w:numPr>
      <w:spacing w:after="240"/>
      <w:outlineLvl w:val="7"/>
    </w:pPr>
    <w:rPr>
      <w:rFonts w:asciiTheme="majorHAnsi" w:eastAsiaTheme="majorEastAsia" w:hAnsiTheme="majorHAnsi" w:cstheme="majorBidi"/>
      <w:szCs w:val="20"/>
    </w:rPr>
  </w:style>
  <w:style w:type="paragraph" w:styleId="Heading9">
    <w:name w:val="heading 9"/>
    <w:basedOn w:val="Normal"/>
    <w:link w:val="Heading9Char"/>
    <w:uiPriority w:val="4"/>
    <w:qFormat/>
    <w:rsid w:val="00A6599C"/>
    <w:pPr>
      <w:numPr>
        <w:ilvl w:val="8"/>
        <w:numId w:val="21"/>
      </w:numPr>
      <w:spacing w:after="24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66891"/>
    <w:pPr>
      <w:spacing w:after="240"/>
    </w:pPr>
  </w:style>
  <w:style w:type="character" w:customStyle="1" w:styleId="BodyTextChar">
    <w:name w:val="Body Text Char"/>
    <w:basedOn w:val="DefaultParagraphFont"/>
    <w:link w:val="BodyText"/>
    <w:rsid w:val="00C66891"/>
  </w:style>
  <w:style w:type="paragraph" w:styleId="BodyText2">
    <w:name w:val="Body Text 2"/>
    <w:basedOn w:val="BodyText"/>
    <w:link w:val="BodyText2Char"/>
    <w:uiPriority w:val="99"/>
    <w:rsid w:val="00C66891"/>
    <w:pPr>
      <w:spacing w:after="0" w:line="480" w:lineRule="auto"/>
    </w:pPr>
  </w:style>
  <w:style w:type="character" w:customStyle="1" w:styleId="BodyText2Char">
    <w:name w:val="Body Text 2 Char"/>
    <w:basedOn w:val="DefaultParagraphFont"/>
    <w:link w:val="BodyText2"/>
    <w:uiPriority w:val="99"/>
    <w:rsid w:val="00C66891"/>
  </w:style>
  <w:style w:type="paragraph" w:styleId="BodyTextFirstIndent">
    <w:name w:val="Body Text First Indent"/>
    <w:basedOn w:val="BodyText"/>
    <w:link w:val="BodyTextFirstIndentChar"/>
    <w:qFormat/>
    <w:rsid w:val="00C66891"/>
    <w:pPr>
      <w:ind w:firstLine="1440"/>
    </w:pPr>
  </w:style>
  <w:style w:type="character" w:customStyle="1" w:styleId="BodyTextFirstIndentChar">
    <w:name w:val="Body Text First Indent Char"/>
    <w:basedOn w:val="BodyTextChar"/>
    <w:link w:val="BodyTextFirstIndent"/>
    <w:rsid w:val="00C66891"/>
  </w:style>
  <w:style w:type="paragraph" w:styleId="BodyTextIndent">
    <w:name w:val="Body Text Indent"/>
    <w:basedOn w:val="BodyText"/>
    <w:link w:val="BodyTextIndentChar"/>
    <w:rsid w:val="00C66891"/>
    <w:pPr>
      <w:ind w:left="1440"/>
    </w:pPr>
  </w:style>
  <w:style w:type="character" w:customStyle="1" w:styleId="BodyTextIndentChar">
    <w:name w:val="Body Text Indent Char"/>
    <w:basedOn w:val="DefaultParagraphFont"/>
    <w:link w:val="BodyTextIndent"/>
    <w:rsid w:val="00C66891"/>
  </w:style>
  <w:style w:type="paragraph" w:styleId="BodyTextFirstIndent2">
    <w:name w:val="Body Text First Indent 2"/>
    <w:basedOn w:val="BodyTextFirstIndent"/>
    <w:link w:val="BodyTextFirstIndent2Char"/>
    <w:rsid w:val="00C66891"/>
    <w:pPr>
      <w:spacing w:after="0" w:line="480" w:lineRule="auto"/>
    </w:pPr>
  </w:style>
  <w:style w:type="character" w:customStyle="1" w:styleId="BodyTextFirstIndent2Char">
    <w:name w:val="Body Text First Indent 2 Char"/>
    <w:basedOn w:val="BodyTextIndentChar"/>
    <w:link w:val="BodyTextFirstIndent2"/>
    <w:rsid w:val="00C66891"/>
  </w:style>
  <w:style w:type="paragraph" w:styleId="BodyTextIndent2">
    <w:name w:val="Body Text Indent 2"/>
    <w:basedOn w:val="BodyTextIndent"/>
    <w:link w:val="BodyTextIndent2Char"/>
    <w:rsid w:val="00C66891"/>
    <w:pPr>
      <w:spacing w:after="0" w:line="480" w:lineRule="auto"/>
    </w:pPr>
  </w:style>
  <w:style w:type="character" w:customStyle="1" w:styleId="BodyTextIndent2Char">
    <w:name w:val="Body Text Indent 2 Char"/>
    <w:basedOn w:val="DefaultParagraphFont"/>
    <w:link w:val="BodyTextIndent2"/>
    <w:rsid w:val="00C66891"/>
  </w:style>
  <w:style w:type="paragraph" w:customStyle="1" w:styleId="BodyTextHalfIndent">
    <w:name w:val="Body Text Half Indent"/>
    <w:basedOn w:val="BodyText"/>
    <w:link w:val="BodyTextHalfIndentChar"/>
    <w:rsid w:val="00C66891"/>
    <w:pPr>
      <w:ind w:left="720"/>
    </w:pPr>
  </w:style>
  <w:style w:type="paragraph" w:customStyle="1" w:styleId="BodyTextHalfIndent2">
    <w:name w:val="Body Text Half Indent 2"/>
    <w:basedOn w:val="BodyTextHalfIndent"/>
    <w:link w:val="BodyTextHalfIndent2Char"/>
    <w:rsid w:val="00C66891"/>
    <w:pPr>
      <w:spacing w:after="0" w:line="480" w:lineRule="auto"/>
    </w:pPr>
  </w:style>
  <w:style w:type="character" w:customStyle="1" w:styleId="BodyTextHalfIndentChar">
    <w:name w:val="Body Text Half Indent Char"/>
    <w:basedOn w:val="BodyTextChar"/>
    <w:link w:val="BodyTextHalfIndent"/>
    <w:rsid w:val="00C66891"/>
  </w:style>
  <w:style w:type="paragraph" w:customStyle="1" w:styleId="BodyTextFirstHalfIndent">
    <w:name w:val="Body Text First Half Indent"/>
    <w:basedOn w:val="BodyText"/>
    <w:link w:val="BodyTextFirstHalfIndentChar"/>
    <w:rsid w:val="00C66891"/>
    <w:pPr>
      <w:ind w:firstLine="720"/>
    </w:pPr>
  </w:style>
  <w:style w:type="character" w:customStyle="1" w:styleId="BodyTextHalfIndent2Char">
    <w:name w:val="Body Text Half Indent 2 Char"/>
    <w:basedOn w:val="BodyTextHalfIndentChar"/>
    <w:link w:val="BodyTextHalfIndent2"/>
    <w:rsid w:val="00C66891"/>
  </w:style>
  <w:style w:type="paragraph" w:customStyle="1" w:styleId="BodyTextFirstHalfIndent2">
    <w:name w:val="Body Text First Half Indent 2"/>
    <w:basedOn w:val="BodyTextFirstHalfIndent"/>
    <w:link w:val="BodyTextFirstHalfIndent2Char"/>
    <w:rsid w:val="00C66891"/>
    <w:pPr>
      <w:spacing w:after="0" w:line="480" w:lineRule="auto"/>
    </w:pPr>
  </w:style>
  <w:style w:type="character" w:customStyle="1" w:styleId="BodyTextFirstHalfIndentChar">
    <w:name w:val="Body Text First Half Indent Char"/>
    <w:basedOn w:val="BodyTextChar"/>
    <w:link w:val="BodyTextFirstHalfIndent"/>
    <w:rsid w:val="00C66891"/>
  </w:style>
  <w:style w:type="paragraph" w:styleId="EnvelopeAddress">
    <w:name w:val="envelope address"/>
    <w:basedOn w:val="Normal"/>
    <w:uiPriority w:val="99"/>
    <w:semiHidden/>
    <w:unhideWhenUsed/>
    <w:rsid w:val="00C66891"/>
    <w:pPr>
      <w:framePr w:w="7920" w:h="1987" w:hRule="exact" w:hSpace="187" w:wrap="around" w:hAnchor="page" w:xAlign="center" w:yAlign="bottom"/>
      <w:ind w:left="2880"/>
    </w:pPr>
    <w:rPr>
      <w:rFonts w:eastAsiaTheme="majorEastAsia" w:cstheme="majorBidi"/>
    </w:rPr>
  </w:style>
  <w:style w:type="character" w:customStyle="1" w:styleId="BodyTextFirstHalfIndent2Char">
    <w:name w:val="Body Text First Half Indent 2 Char"/>
    <w:basedOn w:val="BodyTextFirstHalfIndentChar"/>
    <w:link w:val="BodyTextFirstHalfIndent2"/>
    <w:rsid w:val="00C66891"/>
  </w:style>
  <w:style w:type="paragraph" w:styleId="EnvelopeReturn">
    <w:name w:val="envelope return"/>
    <w:basedOn w:val="Normal"/>
    <w:uiPriority w:val="99"/>
    <w:semiHidden/>
    <w:unhideWhenUsed/>
    <w:rsid w:val="00C66891"/>
    <w:rPr>
      <w:rFonts w:eastAsiaTheme="majorEastAsia" w:cstheme="majorBidi"/>
      <w:sz w:val="20"/>
      <w:szCs w:val="20"/>
    </w:rPr>
  </w:style>
  <w:style w:type="paragraph" w:styleId="Footer">
    <w:name w:val="footer"/>
    <w:basedOn w:val="Normal"/>
    <w:link w:val="FooterChar"/>
    <w:uiPriority w:val="99"/>
    <w:rsid w:val="00C66891"/>
    <w:pPr>
      <w:tabs>
        <w:tab w:val="center" w:pos="4680"/>
        <w:tab w:val="right" w:pos="9360"/>
      </w:tabs>
    </w:pPr>
  </w:style>
  <w:style w:type="character" w:customStyle="1" w:styleId="FooterChar">
    <w:name w:val="Footer Char"/>
    <w:basedOn w:val="DefaultParagraphFont"/>
    <w:link w:val="Footer"/>
    <w:uiPriority w:val="99"/>
    <w:rsid w:val="000A3C03"/>
  </w:style>
  <w:style w:type="paragraph" w:styleId="Header">
    <w:name w:val="header"/>
    <w:basedOn w:val="Normal"/>
    <w:link w:val="HeaderChar"/>
    <w:uiPriority w:val="99"/>
    <w:semiHidden/>
    <w:rsid w:val="00C66891"/>
    <w:pPr>
      <w:tabs>
        <w:tab w:val="center" w:pos="4680"/>
        <w:tab w:val="right" w:pos="9360"/>
      </w:tabs>
    </w:pPr>
  </w:style>
  <w:style w:type="character" w:customStyle="1" w:styleId="HeaderChar">
    <w:name w:val="Header Char"/>
    <w:basedOn w:val="DefaultParagraphFont"/>
    <w:link w:val="Header"/>
    <w:uiPriority w:val="99"/>
    <w:semiHidden/>
    <w:rsid w:val="000A3C03"/>
  </w:style>
  <w:style w:type="paragraph" w:styleId="NormalIndent">
    <w:name w:val="Normal Indent"/>
    <w:basedOn w:val="Normal"/>
    <w:uiPriority w:val="99"/>
    <w:semiHidden/>
    <w:unhideWhenUsed/>
    <w:rsid w:val="00C66891"/>
    <w:pPr>
      <w:ind w:left="1440"/>
    </w:pPr>
  </w:style>
  <w:style w:type="paragraph" w:customStyle="1" w:styleId="NormalHalfIndent">
    <w:name w:val="Normal Half Indent"/>
    <w:basedOn w:val="Normal"/>
    <w:semiHidden/>
    <w:rsid w:val="00C66891"/>
    <w:pPr>
      <w:ind w:left="720"/>
    </w:pPr>
  </w:style>
  <w:style w:type="paragraph" w:styleId="Salutation">
    <w:name w:val="Salutation"/>
    <w:basedOn w:val="Normal"/>
    <w:next w:val="Normal"/>
    <w:link w:val="SalutationChar"/>
    <w:uiPriority w:val="99"/>
    <w:rsid w:val="00B160B0"/>
    <w:pPr>
      <w:spacing w:after="240"/>
    </w:pPr>
  </w:style>
  <w:style w:type="character" w:customStyle="1" w:styleId="SalutationChar">
    <w:name w:val="Salutation Char"/>
    <w:basedOn w:val="DefaultParagraphFont"/>
    <w:link w:val="Salutation"/>
    <w:uiPriority w:val="99"/>
    <w:rsid w:val="00585238"/>
  </w:style>
  <w:style w:type="paragraph" w:styleId="Title">
    <w:name w:val="Title"/>
    <w:basedOn w:val="Normal"/>
    <w:next w:val="Normal"/>
    <w:link w:val="TitleChar"/>
    <w:uiPriority w:val="10"/>
    <w:qFormat/>
    <w:rsid w:val="00A6599C"/>
    <w:pPr>
      <w:spacing w:after="240"/>
      <w:contextualSpacing/>
      <w:jc w:val="center"/>
      <w:outlineLvl w:val="0"/>
    </w:pPr>
    <w:rPr>
      <w:rFonts w:asciiTheme="majorHAnsi" w:eastAsiaTheme="majorEastAsia" w:hAnsiTheme="majorHAnsi" w:cstheme="majorBidi"/>
      <w:b/>
      <w:szCs w:val="52"/>
    </w:rPr>
  </w:style>
  <w:style w:type="character" w:customStyle="1" w:styleId="TitleChar">
    <w:name w:val="Title Char"/>
    <w:basedOn w:val="DefaultParagraphFont"/>
    <w:link w:val="Title"/>
    <w:uiPriority w:val="10"/>
    <w:rsid w:val="00A6599C"/>
    <w:rPr>
      <w:rFonts w:asciiTheme="majorHAnsi" w:eastAsiaTheme="majorEastAsia" w:hAnsiTheme="majorHAnsi" w:cstheme="majorBidi"/>
      <w:b/>
      <w:szCs w:val="52"/>
    </w:rPr>
  </w:style>
  <w:style w:type="paragraph" w:styleId="FootnoteText">
    <w:name w:val="footnote text"/>
    <w:basedOn w:val="Normal"/>
    <w:link w:val="FootnoteTextChar"/>
    <w:uiPriority w:val="99"/>
    <w:semiHidden/>
    <w:unhideWhenUsed/>
    <w:rsid w:val="00C66891"/>
    <w:pPr>
      <w:spacing w:after="120" w:line="260" w:lineRule="exact"/>
    </w:pPr>
    <w:rPr>
      <w:szCs w:val="20"/>
    </w:rPr>
  </w:style>
  <w:style w:type="character" w:customStyle="1" w:styleId="FootnoteTextChar">
    <w:name w:val="Footnote Text Char"/>
    <w:basedOn w:val="DefaultParagraphFont"/>
    <w:link w:val="FootnoteText"/>
    <w:uiPriority w:val="99"/>
    <w:semiHidden/>
    <w:rsid w:val="00C66891"/>
    <w:rPr>
      <w:szCs w:val="20"/>
    </w:rPr>
  </w:style>
  <w:style w:type="character" w:styleId="FootnoteReference">
    <w:name w:val="footnote reference"/>
    <w:basedOn w:val="DefaultParagraphFont"/>
    <w:uiPriority w:val="99"/>
    <w:semiHidden/>
    <w:unhideWhenUsed/>
    <w:rsid w:val="00C66891"/>
    <w:rPr>
      <w:vertAlign w:val="superscript"/>
    </w:rPr>
  </w:style>
  <w:style w:type="paragraph" w:styleId="BlockText">
    <w:name w:val="Block Text"/>
    <w:basedOn w:val="Normal"/>
    <w:link w:val="BlockTextChar"/>
    <w:qFormat/>
    <w:rsid w:val="00C66891"/>
    <w:pPr>
      <w:spacing w:after="240"/>
      <w:ind w:left="1440" w:right="1440"/>
    </w:pPr>
    <w:rPr>
      <w:rFonts w:eastAsiaTheme="minorEastAsia"/>
      <w:iCs/>
    </w:rPr>
  </w:style>
  <w:style w:type="paragraph" w:styleId="EndnoteText">
    <w:name w:val="endnote text"/>
    <w:basedOn w:val="Normal"/>
    <w:link w:val="EndnoteTextChar"/>
    <w:uiPriority w:val="99"/>
    <w:semiHidden/>
    <w:unhideWhenUsed/>
    <w:rsid w:val="00C66891"/>
    <w:rPr>
      <w:szCs w:val="20"/>
    </w:rPr>
  </w:style>
  <w:style w:type="character" w:customStyle="1" w:styleId="EndnoteTextChar">
    <w:name w:val="Endnote Text Char"/>
    <w:basedOn w:val="DefaultParagraphFont"/>
    <w:link w:val="EndnoteText"/>
    <w:uiPriority w:val="99"/>
    <w:semiHidden/>
    <w:rsid w:val="00C66891"/>
    <w:rPr>
      <w:szCs w:val="20"/>
    </w:rPr>
  </w:style>
  <w:style w:type="numbering" w:customStyle="1" w:styleId="CovingtonHeadings">
    <w:name w:val="Covington Headings"/>
    <w:uiPriority w:val="99"/>
    <w:rsid w:val="00C66891"/>
    <w:pPr>
      <w:numPr>
        <w:numId w:val="11"/>
      </w:numPr>
    </w:pPr>
  </w:style>
  <w:style w:type="paragraph" w:styleId="Subtitle">
    <w:name w:val="Subtitle"/>
    <w:basedOn w:val="Normal"/>
    <w:next w:val="Normal"/>
    <w:link w:val="SubtitleChar"/>
    <w:uiPriority w:val="11"/>
    <w:qFormat/>
    <w:rsid w:val="00A6599C"/>
    <w:pPr>
      <w:numPr>
        <w:ilvl w:val="1"/>
      </w:numPr>
      <w:spacing w:after="240"/>
      <w:outlineLvl w:val="1"/>
    </w:pPr>
    <w:rPr>
      <w:rFonts w:asciiTheme="majorHAnsi" w:eastAsiaTheme="majorEastAsia" w:hAnsiTheme="majorHAnsi" w:cstheme="majorBidi"/>
      <w:iCs/>
      <w:u w:val="single"/>
    </w:rPr>
  </w:style>
  <w:style w:type="character" w:customStyle="1" w:styleId="Heading1Char">
    <w:name w:val="Heading 1 Char"/>
    <w:basedOn w:val="DefaultParagraphFont"/>
    <w:link w:val="Heading1"/>
    <w:uiPriority w:val="4"/>
    <w:rsid w:val="00A6599C"/>
    <w:rPr>
      <w:rFonts w:asciiTheme="majorHAnsi" w:eastAsiaTheme="majorEastAsia" w:hAnsiTheme="majorHAnsi" w:cstheme="majorBidi"/>
      <w:bCs/>
      <w:szCs w:val="28"/>
    </w:rPr>
  </w:style>
  <w:style w:type="character" w:customStyle="1" w:styleId="Heading2Char">
    <w:name w:val="Heading 2 Char"/>
    <w:basedOn w:val="DefaultParagraphFont"/>
    <w:link w:val="Heading2"/>
    <w:uiPriority w:val="4"/>
    <w:rsid w:val="00A6599C"/>
    <w:rPr>
      <w:rFonts w:asciiTheme="majorHAnsi" w:eastAsiaTheme="majorEastAsia" w:hAnsiTheme="majorHAnsi" w:cstheme="majorBidi"/>
      <w:bCs/>
      <w:szCs w:val="26"/>
    </w:rPr>
  </w:style>
  <w:style w:type="character" w:customStyle="1" w:styleId="Heading3Char">
    <w:name w:val="Heading 3 Char"/>
    <w:basedOn w:val="DefaultParagraphFont"/>
    <w:link w:val="Heading3"/>
    <w:uiPriority w:val="4"/>
    <w:rsid w:val="00A6599C"/>
    <w:rPr>
      <w:rFonts w:asciiTheme="majorHAnsi" w:eastAsiaTheme="majorEastAsia" w:hAnsiTheme="majorHAnsi" w:cstheme="majorBidi"/>
      <w:bCs/>
    </w:rPr>
  </w:style>
  <w:style w:type="character" w:customStyle="1" w:styleId="Heading4Char">
    <w:name w:val="Heading 4 Char"/>
    <w:basedOn w:val="DefaultParagraphFont"/>
    <w:link w:val="Heading4"/>
    <w:uiPriority w:val="4"/>
    <w:rsid w:val="00A6599C"/>
    <w:rPr>
      <w:rFonts w:asciiTheme="majorHAnsi" w:eastAsiaTheme="majorEastAsia" w:hAnsiTheme="majorHAnsi" w:cstheme="majorBidi"/>
      <w:bCs/>
      <w:iCs/>
    </w:rPr>
  </w:style>
  <w:style w:type="character" w:customStyle="1" w:styleId="Heading5Char">
    <w:name w:val="Heading 5 Char"/>
    <w:basedOn w:val="DefaultParagraphFont"/>
    <w:link w:val="Heading5"/>
    <w:uiPriority w:val="4"/>
    <w:rsid w:val="00A6599C"/>
    <w:rPr>
      <w:rFonts w:asciiTheme="majorHAnsi" w:eastAsiaTheme="majorEastAsia" w:hAnsiTheme="majorHAnsi" w:cstheme="majorBidi"/>
    </w:rPr>
  </w:style>
  <w:style w:type="character" w:customStyle="1" w:styleId="Heading6Char">
    <w:name w:val="Heading 6 Char"/>
    <w:basedOn w:val="DefaultParagraphFont"/>
    <w:link w:val="Heading6"/>
    <w:uiPriority w:val="4"/>
    <w:rsid w:val="00A6599C"/>
    <w:rPr>
      <w:rFonts w:asciiTheme="majorHAnsi" w:eastAsiaTheme="majorEastAsia" w:hAnsiTheme="majorHAnsi" w:cstheme="majorBidi"/>
      <w:iCs/>
    </w:rPr>
  </w:style>
  <w:style w:type="character" w:customStyle="1" w:styleId="Heading7Char">
    <w:name w:val="Heading 7 Char"/>
    <w:basedOn w:val="DefaultParagraphFont"/>
    <w:link w:val="Heading7"/>
    <w:uiPriority w:val="4"/>
    <w:rsid w:val="00A6599C"/>
    <w:rPr>
      <w:rFonts w:asciiTheme="majorHAnsi" w:eastAsiaTheme="majorEastAsia" w:hAnsiTheme="majorHAnsi" w:cstheme="majorBidi"/>
      <w:iCs/>
    </w:rPr>
  </w:style>
  <w:style w:type="character" w:customStyle="1" w:styleId="Heading8Char">
    <w:name w:val="Heading 8 Char"/>
    <w:basedOn w:val="DefaultParagraphFont"/>
    <w:link w:val="Heading8"/>
    <w:uiPriority w:val="4"/>
    <w:rsid w:val="00A6599C"/>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4"/>
    <w:rsid w:val="00A6599C"/>
    <w:rPr>
      <w:rFonts w:asciiTheme="majorHAnsi" w:eastAsiaTheme="majorEastAsia" w:hAnsiTheme="majorHAnsi" w:cstheme="majorBidi"/>
      <w:iCs/>
      <w:szCs w:val="20"/>
    </w:rPr>
  </w:style>
  <w:style w:type="character" w:customStyle="1" w:styleId="SubtitleChar">
    <w:name w:val="Subtitle Char"/>
    <w:basedOn w:val="DefaultParagraphFont"/>
    <w:link w:val="Subtitle"/>
    <w:uiPriority w:val="11"/>
    <w:rsid w:val="00A6599C"/>
    <w:rPr>
      <w:rFonts w:asciiTheme="majorHAnsi" w:eastAsiaTheme="majorEastAsia" w:hAnsiTheme="majorHAnsi" w:cstheme="majorBidi"/>
      <w:iCs/>
      <w:u w:val="single"/>
    </w:rPr>
  </w:style>
  <w:style w:type="paragraph" w:customStyle="1" w:styleId="SubtitleCentered">
    <w:name w:val="Subtitle Centered"/>
    <w:basedOn w:val="Subtitle"/>
    <w:link w:val="SubtitleCenteredChar"/>
    <w:uiPriority w:val="11"/>
    <w:qFormat/>
    <w:rsid w:val="00A6599C"/>
    <w:pPr>
      <w:jc w:val="center"/>
    </w:pPr>
  </w:style>
  <w:style w:type="numbering" w:customStyle="1" w:styleId="ListBullets">
    <w:name w:val="ListBullets"/>
    <w:uiPriority w:val="99"/>
    <w:rsid w:val="00D71515"/>
    <w:pPr>
      <w:numPr>
        <w:numId w:val="22"/>
      </w:numPr>
    </w:pPr>
  </w:style>
  <w:style w:type="numbering" w:customStyle="1" w:styleId="ListNumbers">
    <w:name w:val="ListNumbers"/>
    <w:uiPriority w:val="99"/>
    <w:rsid w:val="00D71515"/>
    <w:pPr>
      <w:numPr>
        <w:numId w:val="23"/>
      </w:numPr>
    </w:pPr>
  </w:style>
  <w:style w:type="paragraph" w:styleId="ListBullet">
    <w:name w:val="List Bullet"/>
    <w:basedOn w:val="Normal"/>
    <w:uiPriority w:val="6"/>
    <w:qFormat/>
    <w:rsid w:val="00477584"/>
    <w:pPr>
      <w:numPr>
        <w:numId w:val="28"/>
      </w:numPr>
      <w:spacing w:after="240"/>
    </w:pPr>
  </w:style>
  <w:style w:type="paragraph" w:styleId="ListBullet2">
    <w:name w:val="List Bullet 2"/>
    <w:basedOn w:val="Normal"/>
    <w:uiPriority w:val="6"/>
    <w:qFormat/>
    <w:rsid w:val="00477584"/>
    <w:pPr>
      <w:numPr>
        <w:ilvl w:val="1"/>
        <w:numId w:val="28"/>
      </w:numPr>
      <w:spacing w:after="240"/>
    </w:pPr>
  </w:style>
  <w:style w:type="paragraph" w:styleId="ListBullet3">
    <w:name w:val="List Bullet 3"/>
    <w:basedOn w:val="Normal"/>
    <w:uiPriority w:val="6"/>
    <w:rsid w:val="00477584"/>
    <w:pPr>
      <w:numPr>
        <w:ilvl w:val="2"/>
        <w:numId w:val="28"/>
      </w:numPr>
      <w:spacing w:after="240"/>
    </w:pPr>
  </w:style>
  <w:style w:type="paragraph" w:styleId="ListBullet4">
    <w:name w:val="List Bullet 4"/>
    <w:basedOn w:val="Normal"/>
    <w:uiPriority w:val="6"/>
    <w:rsid w:val="00477584"/>
    <w:pPr>
      <w:numPr>
        <w:ilvl w:val="3"/>
        <w:numId w:val="28"/>
      </w:numPr>
      <w:spacing w:after="240"/>
    </w:pPr>
  </w:style>
  <w:style w:type="paragraph" w:styleId="ListBullet5">
    <w:name w:val="List Bullet 5"/>
    <w:basedOn w:val="Normal"/>
    <w:uiPriority w:val="6"/>
    <w:rsid w:val="00477584"/>
    <w:pPr>
      <w:numPr>
        <w:ilvl w:val="4"/>
        <w:numId w:val="28"/>
      </w:numPr>
      <w:spacing w:after="240"/>
    </w:pPr>
  </w:style>
  <w:style w:type="paragraph" w:styleId="List">
    <w:name w:val="List"/>
    <w:basedOn w:val="Normal"/>
    <w:uiPriority w:val="5"/>
    <w:semiHidden/>
    <w:qFormat/>
    <w:rsid w:val="00477584"/>
    <w:pPr>
      <w:spacing w:after="240"/>
      <w:ind w:left="360" w:hanging="360"/>
    </w:pPr>
  </w:style>
  <w:style w:type="paragraph" w:styleId="ListNumber">
    <w:name w:val="List Number"/>
    <w:basedOn w:val="Normal"/>
    <w:uiPriority w:val="7"/>
    <w:qFormat/>
    <w:rsid w:val="00477584"/>
    <w:pPr>
      <w:numPr>
        <w:numId w:val="29"/>
      </w:numPr>
      <w:spacing w:after="240"/>
    </w:pPr>
  </w:style>
  <w:style w:type="paragraph" w:styleId="ListNumber2">
    <w:name w:val="List Number 2"/>
    <w:basedOn w:val="Normal"/>
    <w:uiPriority w:val="7"/>
    <w:qFormat/>
    <w:rsid w:val="00477584"/>
    <w:pPr>
      <w:numPr>
        <w:ilvl w:val="1"/>
        <w:numId w:val="29"/>
      </w:numPr>
      <w:spacing w:after="240"/>
    </w:pPr>
  </w:style>
  <w:style w:type="paragraph" w:styleId="ListNumber3">
    <w:name w:val="List Number 3"/>
    <w:basedOn w:val="Normal"/>
    <w:uiPriority w:val="7"/>
    <w:rsid w:val="00477584"/>
    <w:pPr>
      <w:numPr>
        <w:ilvl w:val="2"/>
        <w:numId w:val="29"/>
      </w:numPr>
      <w:spacing w:after="240"/>
    </w:pPr>
  </w:style>
  <w:style w:type="paragraph" w:styleId="ListNumber4">
    <w:name w:val="List Number 4"/>
    <w:basedOn w:val="Normal"/>
    <w:uiPriority w:val="7"/>
    <w:rsid w:val="00477584"/>
    <w:pPr>
      <w:numPr>
        <w:ilvl w:val="3"/>
        <w:numId w:val="29"/>
      </w:numPr>
      <w:spacing w:after="240"/>
    </w:pPr>
  </w:style>
  <w:style w:type="paragraph" w:styleId="List2">
    <w:name w:val="List 2"/>
    <w:basedOn w:val="Normal"/>
    <w:uiPriority w:val="5"/>
    <w:semiHidden/>
    <w:qFormat/>
    <w:rsid w:val="00477584"/>
    <w:pPr>
      <w:spacing w:after="240"/>
      <w:ind w:left="720" w:hanging="360"/>
    </w:pPr>
  </w:style>
  <w:style w:type="paragraph" w:styleId="List3">
    <w:name w:val="List 3"/>
    <w:basedOn w:val="Normal"/>
    <w:uiPriority w:val="5"/>
    <w:semiHidden/>
    <w:rsid w:val="00477584"/>
    <w:pPr>
      <w:spacing w:after="240"/>
      <w:ind w:left="1080" w:hanging="360"/>
    </w:pPr>
  </w:style>
  <w:style w:type="paragraph" w:styleId="List4">
    <w:name w:val="List 4"/>
    <w:basedOn w:val="Normal"/>
    <w:uiPriority w:val="5"/>
    <w:semiHidden/>
    <w:rsid w:val="00477584"/>
    <w:pPr>
      <w:spacing w:after="240"/>
      <w:ind w:left="1440" w:hanging="360"/>
    </w:pPr>
  </w:style>
  <w:style w:type="paragraph" w:styleId="List5">
    <w:name w:val="List 5"/>
    <w:basedOn w:val="Normal"/>
    <w:uiPriority w:val="5"/>
    <w:semiHidden/>
    <w:rsid w:val="00477584"/>
    <w:pPr>
      <w:spacing w:after="240"/>
      <w:ind w:left="1800" w:hanging="360"/>
    </w:pPr>
  </w:style>
  <w:style w:type="paragraph" w:styleId="ListContinue">
    <w:name w:val="List Continue"/>
    <w:basedOn w:val="Normal"/>
    <w:uiPriority w:val="8"/>
    <w:qFormat/>
    <w:rsid w:val="00477584"/>
    <w:pPr>
      <w:spacing w:after="240"/>
      <w:ind w:left="360"/>
    </w:pPr>
  </w:style>
  <w:style w:type="paragraph" w:styleId="ListContinue2">
    <w:name w:val="List Continue 2"/>
    <w:basedOn w:val="Normal"/>
    <w:uiPriority w:val="8"/>
    <w:qFormat/>
    <w:rsid w:val="00477584"/>
    <w:pPr>
      <w:spacing w:after="240"/>
      <w:ind w:left="720"/>
    </w:pPr>
  </w:style>
  <w:style w:type="paragraph" w:styleId="ListContinue3">
    <w:name w:val="List Continue 3"/>
    <w:basedOn w:val="Normal"/>
    <w:uiPriority w:val="8"/>
    <w:rsid w:val="00477584"/>
    <w:pPr>
      <w:spacing w:after="240"/>
      <w:ind w:left="1080"/>
    </w:pPr>
  </w:style>
  <w:style w:type="paragraph" w:styleId="ListContinue4">
    <w:name w:val="List Continue 4"/>
    <w:basedOn w:val="Normal"/>
    <w:uiPriority w:val="8"/>
    <w:rsid w:val="00477584"/>
    <w:pPr>
      <w:spacing w:after="240"/>
      <w:ind w:left="1440"/>
    </w:pPr>
  </w:style>
  <w:style w:type="paragraph" w:styleId="ListContinue5">
    <w:name w:val="List Continue 5"/>
    <w:basedOn w:val="Normal"/>
    <w:uiPriority w:val="8"/>
    <w:rsid w:val="00477584"/>
    <w:pPr>
      <w:spacing w:after="240"/>
      <w:ind w:left="1800"/>
    </w:pPr>
  </w:style>
  <w:style w:type="paragraph" w:styleId="ListNumber5">
    <w:name w:val="List Number 5"/>
    <w:basedOn w:val="Normal"/>
    <w:uiPriority w:val="7"/>
    <w:rsid w:val="00477584"/>
    <w:pPr>
      <w:numPr>
        <w:ilvl w:val="4"/>
        <w:numId w:val="29"/>
      </w:numPr>
      <w:spacing w:after="240"/>
    </w:pPr>
  </w:style>
  <w:style w:type="character" w:customStyle="1" w:styleId="SubtitleCenteredChar">
    <w:name w:val="Subtitle Centered Char"/>
    <w:basedOn w:val="SubtitleChar"/>
    <w:link w:val="SubtitleCentered"/>
    <w:uiPriority w:val="11"/>
    <w:rsid w:val="00A6599C"/>
    <w:rPr>
      <w:rFonts w:asciiTheme="majorHAnsi" w:eastAsiaTheme="majorEastAsia" w:hAnsiTheme="majorHAnsi" w:cstheme="majorBidi"/>
      <w:iCs/>
      <w:u w:val="single"/>
    </w:rPr>
  </w:style>
  <w:style w:type="character" w:customStyle="1" w:styleId="BlockTextChar">
    <w:name w:val="Block Text Char"/>
    <w:basedOn w:val="DefaultParagraphFont"/>
    <w:link w:val="BlockText"/>
    <w:uiPriority w:val="2"/>
    <w:rsid w:val="007A7997"/>
    <w:rPr>
      <w:rFonts w:eastAsiaTheme="minorEastAsia"/>
      <w:iCs/>
    </w:rPr>
  </w:style>
  <w:style w:type="paragraph" w:customStyle="1" w:styleId="LetteredParagraphDouble">
    <w:name w:val="Lettered Paragraph Double"/>
    <w:basedOn w:val="Normal"/>
    <w:link w:val="LetteredParagraphDoubleChar"/>
    <w:unhideWhenUsed/>
    <w:rsid w:val="000E72A7"/>
    <w:pPr>
      <w:numPr>
        <w:numId w:val="24"/>
      </w:numPr>
      <w:tabs>
        <w:tab w:val="left" w:pos="1800"/>
      </w:tabs>
      <w:spacing w:line="480" w:lineRule="auto"/>
    </w:pPr>
  </w:style>
  <w:style w:type="paragraph" w:customStyle="1" w:styleId="LetteredParagraphSingle">
    <w:name w:val="Lettered Paragraph Single"/>
    <w:basedOn w:val="Normal"/>
    <w:link w:val="LetteredParagraphSingleChar"/>
    <w:unhideWhenUsed/>
    <w:rsid w:val="000E72A7"/>
    <w:pPr>
      <w:numPr>
        <w:numId w:val="25"/>
      </w:numPr>
      <w:tabs>
        <w:tab w:val="left" w:pos="1800"/>
      </w:tabs>
      <w:spacing w:after="240"/>
    </w:pPr>
  </w:style>
  <w:style w:type="character" w:customStyle="1" w:styleId="LetteredParagraphDoubleChar">
    <w:name w:val="Lettered Paragraph Double Char"/>
    <w:basedOn w:val="DefaultParagraphFont"/>
    <w:link w:val="LetteredParagraphDouble"/>
    <w:rsid w:val="000E72A7"/>
  </w:style>
  <w:style w:type="paragraph" w:customStyle="1" w:styleId="NumberedParagraphDouble">
    <w:name w:val="Numbered Paragraph Double"/>
    <w:basedOn w:val="Normal"/>
    <w:link w:val="NumberedParagraphDoubleChar"/>
    <w:rsid w:val="000E72A7"/>
    <w:pPr>
      <w:numPr>
        <w:numId w:val="26"/>
      </w:numPr>
      <w:tabs>
        <w:tab w:val="left" w:pos="720"/>
      </w:tabs>
      <w:spacing w:line="480" w:lineRule="auto"/>
    </w:pPr>
  </w:style>
  <w:style w:type="character" w:customStyle="1" w:styleId="LetteredParagraphSingleChar">
    <w:name w:val="Lettered Paragraph Single Char"/>
    <w:basedOn w:val="DefaultParagraphFont"/>
    <w:link w:val="LetteredParagraphSingle"/>
    <w:rsid w:val="000E72A7"/>
  </w:style>
  <w:style w:type="paragraph" w:customStyle="1" w:styleId="NumberedParagraphSingle">
    <w:name w:val="Numbered Paragraph Single"/>
    <w:basedOn w:val="Normal"/>
    <w:link w:val="NumberedParagraphSingleChar"/>
    <w:rsid w:val="000E72A7"/>
    <w:pPr>
      <w:numPr>
        <w:numId w:val="27"/>
      </w:numPr>
      <w:tabs>
        <w:tab w:val="left" w:pos="1800"/>
      </w:tabs>
      <w:spacing w:after="240"/>
    </w:pPr>
  </w:style>
  <w:style w:type="character" w:customStyle="1" w:styleId="NumberedParagraphDoubleChar">
    <w:name w:val="Numbered Paragraph Double Char"/>
    <w:basedOn w:val="DefaultParagraphFont"/>
    <w:link w:val="NumberedParagraphDouble"/>
    <w:rsid w:val="000E72A7"/>
  </w:style>
  <w:style w:type="paragraph" w:customStyle="1" w:styleId="Re">
    <w:name w:val="Re"/>
    <w:basedOn w:val="Normal"/>
    <w:next w:val="Salutation"/>
    <w:uiPriority w:val="19"/>
    <w:rsid w:val="00B160B0"/>
    <w:pPr>
      <w:tabs>
        <w:tab w:val="left" w:pos="2160"/>
      </w:tabs>
      <w:spacing w:before="240" w:after="240"/>
      <w:ind w:left="2160" w:right="1440" w:hanging="720"/>
      <w:contextualSpacing/>
    </w:pPr>
  </w:style>
  <w:style w:type="character" w:customStyle="1" w:styleId="NumberedParagraphSingleChar">
    <w:name w:val="Numbered Paragraph Single Char"/>
    <w:basedOn w:val="DefaultParagraphFont"/>
    <w:link w:val="NumberedParagraphSingle"/>
    <w:rsid w:val="000E72A7"/>
  </w:style>
  <w:style w:type="paragraph" w:customStyle="1" w:styleId="TableEnd">
    <w:name w:val="Table End"/>
    <w:basedOn w:val="Normal"/>
    <w:uiPriority w:val="19"/>
    <w:rsid w:val="003B49FC"/>
    <w:pPr>
      <w:spacing w:before="60" w:after="180"/>
    </w:pPr>
  </w:style>
  <w:style w:type="paragraph" w:customStyle="1" w:styleId="TableHeading">
    <w:name w:val="Table Heading"/>
    <w:basedOn w:val="Normal"/>
    <w:uiPriority w:val="19"/>
    <w:rsid w:val="003B49FC"/>
    <w:pPr>
      <w:keepNext/>
      <w:spacing w:before="240" w:after="60"/>
      <w:jc w:val="center"/>
    </w:pPr>
    <w:rPr>
      <w:b/>
    </w:rPr>
  </w:style>
  <w:style w:type="paragraph" w:customStyle="1" w:styleId="TableText">
    <w:name w:val="Table Text"/>
    <w:basedOn w:val="Normal"/>
    <w:uiPriority w:val="19"/>
    <w:rsid w:val="003B49FC"/>
    <w:pPr>
      <w:spacing w:before="60" w:after="60"/>
    </w:pPr>
  </w:style>
  <w:style w:type="paragraph" w:styleId="TOCHeading">
    <w:name w:val="TOC Heading"/>
    <w:basedOn w:val="Normal"/>
    <w:next w:val="Normal"/>
    <w:uiPriority w:val="39"/>
    <w:semiHidden/>
    <w:unhideWhenUsed/>
    <w:rsid w:val="001B364F"/>
    <w:pPr>
      <w:spacing w:after="240"/>
      <w:contextualSpacing/>
      <w:jc w:val="center"/>
    </w:pPr>
    <w:rPr>
      <w:b/>
    </w:rPr>
  </w:style>
  <w:style w:type="paragraph" w:styleId="TOC1">
    <w:name w:val="toc 1"/>
    <w:basedOn w:val="Normal"/>
    <w:next w:val="Normal"/>
    <w:uiPriority w:val="39"/>
    <w:semiHidden/>
    <w:rsid w:val="001E0028"/>
    <w:pPr>
      <w:tabs>
        <w:tab w:val="right" w:leader="dot" w:pos="9346"/>
      </w:tabs>
      <w:spacing w:after="240"/>
      <w:ind w:left="720" w:right="720" w:hanging="720"/>
    </w:pPr>
    <w:rPr>
      <w:noProof/>
    </w:rPr>
  </w:style>
  <w:style w:type="paragraph" w:styleId="TOC2">
    <w:name w:val="toc 2"/>
    <w:basedOn w:val="Normal"/>
    <w:next w:val="Normal"/>
    <w:uiPriority w:val="39"/>
    <w:semiHidden/>
    <w:rsid w:val="001E0028"/>
    <w:pPr>
      <w:tabs>
        <w:tab w:val="right" w:leader="dot" w:pos="9346"/>
      </w:tabs>
      <w:spacing w:after="240"/>
      <w:ind w:left="1440" w:right="720" w:hanging="720"/>
    </w:pPr>
    <w:rPr>
      <w:noProof/>
    </w:rPr>
  </w:style>
  <w:style w:type="paragraph" w:styleId="TOC3">
    <w:name w:val="toc 3"/>
    <w:basedOn w:val="Normal"/>
    <w:next w:val="Normal"/>
    <w:uiPriority w:val="39"/>
    <w:semiHidden/>
    <w:rsid w:val="001E0028"/>
    <w:pPr>
      <w:tabs>
        <w:tab w:val="right" w:leader="dot" w:pos="9346"/>
      </w:tabs>
      <w:spacing w:after="240"/>
      <w:ind w:left="2160" w:right="720" w:hanging="720"/>
    </w:pPr>
    <w:rPr>
      <w:noProof/>
    </w:rPr>
  </w:style>
  <w:style w:type="paragraph" w:styleId="TOC4">
    <w:name w:val="toc 4"/>
    <w:basedOn w:val="Normal"/>
    <w:next w:val="Normal"/>
    <w:uiPriority w:val="39"/>
    <w:semiHidden/>
    <w:rsid w:val="001E0028"/>
    <w:pPr>
      <w:tabs>
        <w:tab w:val="right" w:leader="dot" w:pos="9346"/>
      </w:tabs>
      <w:spacing w:after="240"/>
      <w:ind w:left="2880" w:right="720" w:hanging="720"/>
    </w:pPr>
    <w:rPr>
      <w:noProof/>
    </w:rPr>
  </w:style>
  <w:style w:type="paragraph" w:styleId="TOC5">
    <w:name w:val="toc 5"/>
    <w:basedOn w:val="Normal"/>
    <w:next w:val="Normal"/>
    <w:uiPriority w:val="39"/>
    <w:semiHidden/>
    <w:rsid w:val="001E0028"/>
    <w:pPr>
      <w:tabs>
        <w:tab w:val="right" w:leader="dot" w:pos="9346"/>
      </w:tabs>
      <w:spacing w:after="240"/>
      <w:ind w:left="3600" w:right="720" w:hanging="720"/>
    </w:pPr>
    <w:rPr>
      <w:noProof/>
    </w:rPr>
  </w:style>
  <w:style w:type="paragraph" w:styleId="TOC6">
    <w:name w:val="toc 6"/>
    <w:basedOn w:val="Normal"/>
    <w:next w:val="Normal"/>
    <w:uiPriority w:val="39"/>
    <w:semiHidden/>
    <w:rsid w:val="001E0028"/>
    <w:pPr>
      <w:tabs>
        <w:tab w:val="right" w:leader="dot" w:pos="9346"/>
      </w:tabs>
      <w:spacing w:after="240"/>
      <w:ind w:left="4320" w:right="720" w:hanging="720"/>
    </w:pPr>
    <w:rPr>
      <w:noProof/>
    </w:rPr>
  </w:style>
  <w:style w:type="paragraph" w:styleId="TOC7">
    <w:name w:val="toc 7"/>
    <w:basedOn w:val="Normal"/>
    <w:next w:val="Normal"/>
    <w:uiPriority w:val="39"/>
    <w:semiHidden/>
    <w:rsid w:val="001E0028"/>
    <w:pPr>
      <w:tabs>
        <w:tab w:val="right" w:leader="dot" w:pos="9346"/>
      </w:tabs>
      <w:spacing w:after="240"/>
      <w:ind w:left="5040" w:right="720" w:hanging="720"/>
    </w:pPr>
    <w:rPr>
      <w:noProof/>
    </w:rPr>
  </w:style>
  <w:style w:type="paragraph" w:styleId="TOC8">
    <w:name w:val="toc 8"/>
    <w:basedOn w:val="Normal"/>
    <w:next w:val="Normal"/>
    <w:uiPriority w:val="39"/>
    <w:semiHidden/>
    <w:rsid w:val="001E0028"/>
    <w:pPr>
      <w:tabs>
        <w:tab w:val="right" w:leader="dot" w:pos="9346"/>
      </w:tabs>
      <w:spacing w:after="240"/>
      <w:ind w:left="5760" w:right="720" w:hanging="720"/>
    </w:pPr>
    <w:rPr>
      <w:noProof/>
    </w:rPr>
  </w:style>
  <w:style w:type="paragraph" w:styleId="TOC9">
    <w:name w:val="toc 9"/>
    <w:basedOn w:val="Normal"/>
    <w:next w:val="Normal"/>
    <w:uiPriority w:val="39"/>
    <w:semiHidden/>
    <w:rsid w:val="008201FD"/>
    <w:pPr>
      <w:tabs>
        <w:tab w:val="right" w:leader="dot" w:pos="9346"/>
      </w:tabs>
      <w:spacing w:after="240"/>
      <w:ind w:left="6480" w:right="720" w:hanging="720"/>
    </w:pPr>
    <w:rPr>
      <w:noProof/>
    </w:rPr>
  </w:style>
  <w:style w:type="paragraph" w:styleId="ListParagraph">
    <w:name w:val="List Paragraph"/>
    <w:basedOn w:val="Normal"/>
    <w:uiPriority w:val="9"/>
    <w:rsid w:val="00391875"/>
    <w:pPr>
      <w:ind w:left="720"/>
      <w:contextualSpacing/>
    </w:pPr>
  </w:style>
  <w:style w:type="character" w:styleId="Hyperlink">
    <w:name w:val="Hyperlink"/>
    <w:basedOn w:val="DefaultParagraphFont"/>
    <w:uiPriority w:val="99"/>
    <w:unhideWhenUsed/>
    <w:rsid w:val="00C07F0F"/>
    <w:rPr>
      <w:color w:val="0000FF" w:themeColor="hyperlink"/>
      <w:u w:val="single"/>
    </w:rPr>
  </w:style>
  <w:style w:type="paragraph" w:styleId="BalloonText">
    <w:name w:val="Balloon Text"/>
    <w:basedOn w:val="Normal"/>
    <w:link w:val="BalloonTextChar"/>
    <w:uiPriority w:val="99"/>
    <w:semiHidden/>
    <w:unhideWhenUsed/>
    <w:rsid w:val="00F209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AF"/>
    <w:rPr>
      <w:rFonts w:ascii="Segoe UI" w:hAnsi="Segoe UI" w:cs="Segoe UI"/>
      <w:sz w:val="18"/>
      <w:szCs w:val="18"/>
      <w:lang w:val="en-GB"/>
    </w:rPr>
  </w:style>
  <w:style w:type="paragraph" w:customStyle="1" w:styleId="ImanageFooter">
    <w:name w:val="Imanage Footer"/>
    <w:basedOn w:val="Normal"/>
    <w:rsid w:val="00D0748A"/>
    <w:rPr>
      <w:rFonts w:ascii="Times New Roman" w:eastAsia="Times New Roman" w:hAnsi="Times New Roman" w:cs="Times New Roman"/>
      <w:sz w:val="16"/>
      <w:lang w:val="en-US"/>
    </w:rPr>
  </w:style>
  <w:style w:type="character" w:styleId="CommentReference">
    <w:name w:val="annotation reference"/>
    <w:basedOn w:val="DefaultParagraphFont"/>
    <w:uiPriority w:val="99"/>
    <w:semiHidden/>
    <w:unhideWhenUsed/>
    <w:rsid w:val="007954B8"/>
    <w:rPr>
      <w:sz w:val="16"/>
      <w:szCs w:val="16"/>
    </w:rPr>
  </w:style>
  <w:style w:type="paragraph" w:styleId="CommentText">
    <w:name w:val="annotation text"/>
    <w:basedOn w:val="Normal"/>
    <w:link w:val="CommentTextChar"/>
    <w:uiPriority w:val="99"/>
    <w:semiHidden/>
    <w:unhideWhenUsed/>
    <w:rsid w:val="007954B8"/>
    <w:rPr>
      <w:sz w:val="20"/>
      <w:szCs w:val="20"/>
    </w:rPr>
  </w:style>
  <w:style w:type="character" w:customStyle="1" w:styleId="CommentTextChar">
    <w:name w:val="Comment Text Char"/>
    <w:basedOn w:val="DefaultParagraphFont"/>
    <w:link w:val="CommentText"/>
    <w:uiPriority w:val="99"/>
    <w:semiHidden/>
    <w:rsid w:val="007954B8"/>
    <w:rPr>
      <w:sz w:val="20"/>
      <w:szCs w:val="20"/>
      <w:lang w:val="en-GB"/>
    </w:rPr>
  </w:style>
  <w:style w:type="paragraph" w:styleId="CommentSubject">
    <w:name w:val="annotation subject"/>
    <w:basedOn w:val="CommentText"/>
    <w:next w:val="CommentText"/>
    <w:link w:val="CommentSubjectChar"/>
    <w:uiPriority w:val="99"/>
    <w:semiHidden/>
    <w:unhideWhenUsed/>
    <w:rsid w:val="007954B8"/>
    <w:rPr>
      <w:b/>
      <w:bCs/>
    </w:rPr>
  </w:style>
  <w:style w:type="character" w:customStyle="1" w:styleId="CommentSubjectChar">
    <w:name w:val="Comment Subject Char"/>
    <w:basedOn w:val="CommentTextChar"/>
    <w:link w:val="CommentSubject"/>
    <w:uiPriority w:val="99"/>
    <w:semiHidden/>
    <w:rsid w:val="007954B8"/>
    <w:rPr>
      <w:b/>
      <w:bCs/>
      <w:sz w:val="20"/>
      <w:szCs w:val="20"/>
      <w:lang w:val="en-GB"/>
    </w:rPr>
  </w:style>
  <w:style w:type="paragraph" w:customStyle="1" w:styleId="Paragraphnonumbers">
    <w:name w:val="Paragraph no numbers"/>
    <w:qFormat/>
    <w:rsid w:val="00A64E55"/>
    <w:pPr>
      <w:pBdr>
        <w:top w:val="nil"/>
        <w:left w:val="nil"/>
        <w:bottom w:val="nil"/>
        <w:right w:val="nil"/>
        <w:between w:val="nil"/>
        <w:bar w:val="nil"/>
      </w:pBdr>
      <w:spacing w:after="240" w:line="276" w:lineRule="auto"/>
    </w:pPr>
    <w:rPr>
      <w:rFonts w:ascii="Arial" w:eastAsia="Arial Unicode MS" w:hAnsi="Arial" w:cs="Arial Unicode MS"/>
      <w:color w:val="000000"/>
      <w:u w:color="000000"/>
      <w:bdr w:val="nil"/>
      <w:lang w:eastAsia="en-GB"/>
    </w:rPr>
  </w:style>
  <w:style w:type="numbering" w:customStyle="1" w:styleId="ImportedStyle1">
    <w:name w:val="Imported Style 1"/>
    <w:rsid w:val="00A64E55"/>
    <w:pPr>
      <w:numPr>
        <w:numId w:val="42"/>
      </w:numPr>
    </w:pPr>
  </w:style>
  <w:style w:type="paragraph" w:customStyle="1" w:styleId="Default">
    <w:name w:val="Default"/>
    <w:rsid w:val="00FF2C4F"/>
    <w:pPr>
      <w:autoSpaceDE w:val="0"/>
      <w:autoSpaceDN w:val="0"/>
      <w:adjustRightInd w:val="0"/>
    </w:pPr>
    <w:rPr>
      <w:rFonts w:ascii="Arial" w:eastAsia="Times New Roman" w:hAnsi="Arial" w:cs="Arial"/>
      <w:color w:val="000000"/>
      <w:lang w:val="en-GB" w:eastAsia="en-GB"/>
    </w:rPr>
  </w:style>
  <w:style w:type="character" w:styleId="FollowedHyperlink">
    <w:name w:val="FollowedHyperlink"/>
    <w:basedOn w:val="DefaultParagraphFont"/>
    <w:uiPriority w:val="99"/>
    <w:semiHidden/>
    <w:unhideWhenUsed/>
    <w:rsid w:val="00B35255"/>
    <w:rPr>
      <w:color w:val="800080" w:themeColor="followedHyperlink"/>
      <w:u w:val="single"/>
    </w:rPr>
  </w:style>
  <w:style w:type="paragraph" w:customStyle="1" w:styleId="Merckbodycopy">
    <w:name w:val="Merck body copy"/>
    <w:basedOn w:val="Normal"/>
    <w:qFormat/>
    <w:rsid w:val="00BB749B"/>
    <w:rPr>
      <w:rFonts w:ascii="Arial Narrow" w:eastAsiaTheme="minorEastAsia" w:hAnsi="Arial Narro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44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roweb.org/guideline/bladder-cancer-muscle-invasive-and-metastatic/?type=summary-of-chan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ack Text">
      <a:dk1>
        <a:srgbClr val="000000"/>
      </a:dk1>
      <a:lt1>
        <a:srgbClr val="FFFFFF"/>
      </a:lt1>
      <a:dk2>
        <a:srgbClr val="003366"/>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vington]">
      <a:majorFont>
        <a:latin typeface="Times New Roman"/>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imes New Roman"/>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lumMod val="60000"/>
            <a:lumOff val="40000"/>
          </a:schemeClr>
        </a:solidFill>
        <a:ln>
          <a:solidFill>
            <a:schemeClr val="tx2">
              <a:lumMod val="60000"/>
              <a:lumOff val="4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AA2AA-5795-4E5A-AC05-7DC73FC3911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DC786DC-6320-4F5A-953A-9528547EC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8524</Words>
  <Characters>48589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Pank</dc:creator>
  <cp:keywords/>
  <dc:description/>
  <cp:lastModifiedBy>Maria Pitan</cp:lastModifiedBy>
  <cp:revision>4</cp:revision>
  <dcterms:created xsi:type="dcterms:W3CDTF">2020-06-17T09:38:00Z</dcterms:created>
  <dcterms:modified xsi:type="dcterms:W3CDTF">2020-06-23T10:08:00Z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b0dc04f1-3eef-4b09-80c0-f38d59202745</vt:lpwstr>
  </property>
  <property fmtid="{D5CDD505-2E9C-101B-9397-08002B2CF9AE}" pid="3" name="bjSaver">
    <vt:lpwstr>aPhk5nVJ6KqZHovHSflw+qDvVuagFal5</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AdHocReviewCycleID">
    <vt:i4>291666193</vt:i4>
  </property>
  <property fmtid="{D5CDD505-2E9C-101B-9397-08002B2CF9AE}" pid="8" name="_NewReviewCycle">
    <vt:lpwstr/>
  </property>
  <property fmtid="{D5CDD505-2E9C-101B-9397-08002B2CF9AE}" pid="9" name="_EmailSubject">
    <vt:lpwstr>Appeal queries </vt:lpwstr>
  </property>
  <property fmtid="{D5CDD505-2E9C-101B-9397-08002B2CF9AE}" pid="10" name="_AuthorEmail">
    <vt:lpwstr>kalpana.doca@merck.com</vt:lpwstr>
  </property>
  <property fmtid="{D5CDD505-2E9C-101B-9397-08002B2CF9AE}" pid="11" name="_AuthorEmailDisplayName">
    <vt:lpwstr>D'Oca, Kalpana</vt:lpwstr>
  </property>
  <property fmtid="{D5CDD505-2E9C-101B-9397-08002B2CF9AE}" pid="12" name="_PreviousAdHocReviewCycleID">
    <vt:i4>261377139</vt:i4>
  </property>
  <property fmtid="{D5CDD505-2E9C-101B-9397-08002B2CF9AE}" pid="13" name="_ReviewingToolsShownOnce">
    <vt:lpwstr/>
  </property>
</Properties>
</file>