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1241C" w14:textId="77777777" w:rsidR="0009043D" w:rsidRDefault="0009043D" w:rsidP="00F673BE">
      <w:pPr>
        <w:jc w:val="both"/>
        <w:rPr>
          <w:sz w:val="22"/>
          <w:szCs w:val="22"/>
        </w:rPr>
      </w:pPr>
    </w:p>
    <w:p w14:paraId="114F5854" w14:textId="77777777" w:rsidR="00A603FD" w:rsidRDefault="00A603FD" w:rsidP="00F673BE">
      <w:pPr>
        <w:jc w:val="both"/>
        <w:rPr>
          <w:sz w:val="22"/>
          <w:szCs w:val="22"/>
        </w:rPr>
      </w:pPr>
    </w:p>
    <w:p w14:paraId="07B5FC5D" w14:textId="77777777" w:rsidR="00A603FD" w:rsidRDefault="00A603FD" w:rsidP="00F673BE">
      <w:pPr>
        <w:jc w:val="both"/>
        <w:rPr>
          <w:sz w:val="22"/>
          <w:szCs w:val="22"/>
        </w:rPr>
      </w:pPr>
    </w:p>
    <w:p w14:paraId="53F9399E" w14:textId="77777777" w:rsidR="00A603FD" w:rsidRDefault="00A603FD" w:rsidP="00F673BE">
      <w:pPr>
        <w:jc w:val="both"/>
        <w:rPr>
          <w:sz w:val="22"/>
          <w:szCs w:val="22"/>
        </w:rPr>
      </w:pPr>
    </w:p>
    <w:p w14:paraId="56FCCF48" w14:textId="77777777" w:rsidR="00A603FD" w:rsidRDefault="00A603FD" w:rsidP="00F673BE">
      <w:pPr>
        <w:jc w:val="both"/>
        <w:rPr>
          <w:sz w:val="22"/>
          <w:szCs w:val="22"/>
        </w:rPr>
      </w:pPr>
    </w:p>
    <w:p w14:paraId="58387BB4" w14:textId="77777777" w:rsidR="00A603FD" w:rsidRDefault="00A603FD" w:rsidP="00F673BE">
      <w:pPr>
        <w:jc w:val="both"/>
        <w:rPr>
          <w:sz w:val="22"/>
          <w:szCs w:val="22"/>
        </w:rPr>
      </w:pPr>
    </w:p>
    <w:p w14:paraId="1F0F5736" w14:textId="77777777" w:rsidR="00A603FD" w:rsidRDefault="00A603FD" w:rsidP="00F673BE">
      <w:pPr>
        <w:jc w:val="both"/>
        <w:rPr>
          <w:sz w:val="22"/>
          <w:szCs w:val="22"/>
        </w:rPr>
      </w:pPr>
    </w:p>
    <w:p w14:paraId="27A1B169" w14:textId="77777777" w:rsidR="00A603FD" w:rsidRDefault="00A603FD" w:rsidP="00F673BE">
      <w:pPr>
        <w:jc w:val="both"/>
        <w:rPr>
          <w:sz w:val="22"/>
          <w:szCs w:val="22"/>
        </w:rPr>
      </w:pPr>
    </w:p>
    <w:p w14:paraId="3AA7E505" w14:textId="77777777" w:rsidR="00A603FD" w:rsidRDefault="00A603FD" w:rsidP="00F673BE">
      <w:pPr>
        <w:jc w:val="both"/>
        <w:rPr>
          <w:sz w:val="22"/>
          <w:szCs w:val="22"/>
        </w:rPr>
      </w:pPr>
    </w:p>
    <w:p w14:paraId="4ED341A2" w14:textId="77777777" w:rsidR="00A603FD" w:rsidRDefault="00A603FD" w:rsidP="00F673BE">
      <w:pPr>
        <w:jc w:val="both"/>
        <w:rPr>
          <w:sz w:val="22"/>
          <w:szCs w:val="22"/>
        </w:rPr>
      </w:pPr>
    </w:p>
    <w:p w14:paraId="5F70FB97" w14:textId="77777777" w:rsidR="00A603FD" w:rsidRDefault="00A603FD" w:rsidP="00A603FD">
      <w:pPr>
        <w:rPr>
          <w:rFonts w:ascii="Times New Roman" w:hAnsi="Times New Roman" w:cs="Times New Roman"/>
          <w:sz w:val="22"/>
          <w:szCs w:val="22"/>
        </w:rPr>
      </w:pPr>
      <w:r w:rsidRPr="00A603FD">
        <w:rPr>
          <w:rFonts w:ascii="Times New Roman" w:hAnsi="Times New Roman" w:cs="Times New Roman"/>
          <w:sz w:val="22"/>
          <w:szCs w:val="22"/>
        </w:rPr>
        <w:t xml:space="preserve">Dr Rima </w:t>
      </w:r>
      <w:proofErr w:type="spellStart"/>
      <w:r w:rsidRPr="00A603FD">
        <w:rPr>
          <w:rFonts w:ascii="Times New Roman" w:hAnsi="Times New Roman" w:cs="Times New Roman"/>
          <w:sz w:val="22"/>
          <w:szCs w:val="22"/>
        </w:rPr>
        <w:t>Makarem</w:t>
      </w:r>
      <w:proofErr w:type="spellEnd"/>
    </w:p>
    <w:p w14:paraId="57BAB22E" w14:textId="2B2FAF9E" w:rsidR="00A603FD" w:rsidRDefault="00A603FD" w:rsidP="00A603FD">
      <w:pPr>
        <w:rPr>
          <w:rFonts w:ascii="Times New Roman" w:hAnsi="Times New Roman" w:cs="Times New Roman"/>
          <w:sz w:val="22"/>
          <w:szCs w:val="22"/>
        </w:rPr>
      </w:pPr>
      <w:r w:rsidRPr="00A603FD">
        <w:rPr>
          <w:rFonts w:ascii="Times New Roman" w:hAnsi="Times New Roman" w:cs="Times New Roman"/>
          <w:sz w:val="22"/>
          <w:szCs w:val="22"/>
        </w:rPr>
        <w:t xml:space="preserve">Interim Vice-Chair </w:t>
      </w:r>
    </w:p>
    <w:p w14:paraId="6A92E8ED" w14:textId="678E435A" w:rsidR="00A603FD" w:rsidRPr="00D57189" w:rsidRDefault="00A603FD" w:rsidP="00A603FD">
      <w:pPr>
        <w:rPr>
          <w:rFonts w:ascii="Times New Roman" w:hAnsi="Times New Roman" w:cs="Times New Roman"/>
          <w:sz w:val="22"/>
          <w:szCs w:val="22"/>
        </w:rPr>
      </w:pPr>
      <w:r w:rsidRPr="00D57189">
        <w:rPr>
          <w:rFonts w:ascii="Times New Roman" w:hAnsi="Times New Roman" w:cs="Times New Roman"/>
          <w:sz w:val="22"/>
          <w:szCs w:val="22"/>
        </w:rPr>
        <w:t>National Institu</w:t>
      </w:r>
      <w:r>
        <w:rPr>
          <w:rFonts w:ascii="Times New Roman" w:hAnsi="Times New Roman" w:cs="Times New Roman"/>
          <w:sz w:val="22"/>
          <w:szCs w:val="22"/>
        </w:rPr>
        <w:t>te for Health and Care Excellence</w:t>
      </w:r>
    </w:p>
    <w:p w14:paraId="20FEAFFB" w14:textId="77777777" w:rsidR="00A603FD" w:rsidRPr="00D57189" w:rsidRDefault="00A603FD" w:rsidP="00A603FD">
      <w:pPr>
        <w:rPr>
          <w:rFonts w:ascii="Times New Roman" w:hAnsi="Times New Roman" w:cs="Times New Roman"/>
          <w:sz w:val="22"/>
          <w:szCs w:val="22"/>
        </w:rPr>
      </w:pPr>
      <w:r w:rsidRPr="00D57189">
        <w:rPr>
          <w:rFonts w:ascii="Times New Roman" w:hAnsi="Times New Roman" w:cs="Times New Roman"/>
          <w:sz w:val="22"/>
          <w:szCs w:val="22"/>
        </w:rPr>
        <w:t>10 Spring Gardens</w:t>
      </w:r>
    </w:p>
    <w:p w14:paraId="65B1E887" w14:textId="5C05027C" w:rsidR="00A603FD" w:rsidRPr="00D57189" w:rsidRDefault="00A603FD" w:rsidP="00A603FD">
      <w:pPr>
        <w:rPr>
          <w:rFonts w:ascii="Times New Roman" w:hAnsi="Times New Roman" w:cs="Times New Roman"/>
          <w:sz w:val="22"/>
          <w:szCs w:val="22"/>
        </w:rPr>
      </w:pPr>
      <w:r w:rsidRPr="00D57189">
        <w:rPr>
          <w:rFonts w:ascii="Times New Roman" w:hAnsi="Times New Roman" w:cs="Times New Roman"/>
          <w:sz w:val="22"/>
          <w:szCs w:val="22"/>
        </w:rPr>
        <w:t>London, SW1</w:t>
      </w:r>
      <w:r>
        <w:rPr>
          <w:rFonts w:ascii="Times New Roman" w:hAnsi="Times New Roman" w:cs="Times New Roman"/>
          <w:sz w:val="22"/>
          <w:szCs w:val="22"/>
        </w:rPr>
        <w:t>A</w:t>
      </w:r>
      <w:r w:rsidRPr="00D57189">
        <w:rPr>
          <w:rFonts w:ascii="Times New Roman" w:hAnsi="Times New Roman" w:cs="Times New Roman"/>
          <w:sz w:val="22"/>
          <w:szCs w:val="22"/>
        </w:rPr>
        <w:t xml:space="preserve"> 2BU</w:t>
      </w:r>
    </w:p>
    <w:p w14:paraId="753273A8" w14:textId="77777777" w:rsidR="00A603FD" w:rsidRPr="00D57189" w:rsidRDefault="00A603FD" w:rsidP="00A603FD">
      <w:pPr>
        <w:rPr>
          <w:rFonts w:ascii="Times New Roman" w:hAnsi="Times New Roman" w:cs="Times New Roman"/>
          <w:sz w:val="22"/>
          <w:szCs w:val="22"/>
        </w:rPr>
      </w:pPr>
    </w:p>
    <w:p w14:paraId="71F0E53E" w14:textId="62A0387D" w:rsidR="00A603FD" w:rsidRPr="00A603FD" w:rsidRDefault="00A603FD" w:rsidP="00A603FD">
      <w:pPr>
        <w:jc w:val="right"/>
        <w:rPr>
          <w:rFonts w:ascii="Times New Roman" w:hAnsi="Times New Roman" w:cs="Times New Roman"/>
          <w:sz w:val="22"/>
          <w:szCs w:val="22"/>
        </w:rPr>
      </w:pPr>
      <w:r>
        <w:rPr>
          <w:rFonts w:ascii="Times New Roman" w:hAnsi="Times New Roman" w:cs="Times New Roman"/>
          <w:sz w:val="22"/>
          <w:szCs w:val="22"/>
        </w:rPr>
        <w:t>21 April 2020</w:t>
      </w:r>
    </w:p>
    <w:p w14:paraId="69B7B43B" w14:textId="77777777" w:rsidR="00A603FD" w:rsidRDefault="00A603FD" w:rsidP="00F673BE">
      <w:pPr>
        <w:jc w:val="both"/>
        <w:rPr>
          <w:sz w:val="22"/>
          <w:szCs w:val="22"/>
        </w:rPr>
      </w:pPr>
    </w:p>
    <w:p w14:paraId="3AB31D3D" w14:textId="41977030" w:rsidR="002A4F0E" w:rsidRPr="00F673BE" w:rsidRDefault="00636203" w:rsidP="00F673BE">
      <w:pPr>
        <w:jc w:val="both"/>
        <w:rPr>
          <w:sz w:val="22"/>
          <w:szCs w:val="22"/>
        </w:rPr>
      </w:pPr>
      <w:r w:rsidRPr="00F673BE">
        <w:rPr>
          <w:sz w:val="22"/>
          <w:szCs w:val="22"/>
        </w:rPr>
        <w:t xml:space="preserve">Dear Dr </w:t>
      </w:r>
      <w:proofErr w:type="spellStart"/>
      <w:r w:rsidRPr="00F673BE">
        <w:rPr>
          <w:sz w:val="22"/>
          <w:szCs w:val="22"/>
        </w:rPr>
        <w:t>Makarem</w:t>
      </w:r>
      <w:proofErr w:type="spellEnd"/>
    </w:p>
    <w:p w14:paraId="0475898D" w14:textId="77777777" w:rsidR="00636203" w:rsidRPr="00F673BE" w:rsidRDefault="00636203" w:rsidP="00F673BE">
      <w:pPr>
        <w:jc w:val="both"/>
        <w:rPr>
          <w:sz w:val="22"/>
          <w:szCs w:val="22"/>
        </w:rPr>
      </w:pPr>
    </w:p>
    <w:p w14:paraId="2C2A9847" w14:textId="2B8F3CAE" w:rsidR="00A14E64" w:rsidRPr="00EC7DB3" w:rsidRDefault="00392AD6" w:rsidP="00F673BE">
      <w:pPr>
        <w:jc w:val="both"/>
        <w:rPr>
          <w:sz w:val="22"/>
          <w:szCs w:val="22"/>
        </w:rPr>
      </w:pPr>
      <w:r w:rsidRPr="00EC7DB3">
        <w:rPr>
          <w:sz w:val="22"/>
          <w:szCs w:val="22"/>
        </w:rPr>
        <w:t xml:space="preserve">Thank you for your detailed consideration of MSD’s Appeal Letter, particularly at such a difficult time for </w:t>
      </w:r>
      <w:r w:rsidR="00F32CB8">
        <w:rPr>
          <w:sz w:val="22"/>
          <w:szCs w:val="22"/>
        </w:rPr>
        <w:t xml:space="preserve">everyone involved in </w:t>
      </w:r>
      <w:r w:rsidR="00724CA2">
        <w:rPr>
          <w:sz w:val="22"/>
          <w:szCs w:val="22"/>
        </w:rPr>
        <w:t xml:space="preserve">supporting </w:t>
      </w:r>
      <w:r w:rsidR="00A70D93">
        <w:rPr>
          <w:sz w:val="22"/>
          <w:szCs w:val="22"/>
        </w:rPr>
        <w:t xml:space="preserve">the </w:t>
      </w:r>
      <w:r w:rsidR="00724CA2">
        <w:rPr>
          <w:sz w:val="22"/>
          <w:szCs w:val="22"/>
        </w:rPr>
        <w:t>H</w:t>
      </w:r>
      <w:r w:rsidRPr="00EC7DB3">
        <w:rPr>
          <w:sz w:val="22"/>
          <w:szCs w:val="22"/>
        </w:rPr>
        <w:t>ealth</w:t>
      </w:r>
      <w:r w:rsidR="00F32CB8">
        <w:rPr>
          <w:sz w:val="22"/>
          <w:szCs w:val="22"/>
        </w:rPr>
        <w:t xml:space="preserve"> </w:t>
      </w:r>
      <w:r w:rsidR="00724CA2">
        <w:rPr>
          <w:sz w:val="22"/>
          <w:szCs w:val="22"/>
        </w:rPr>
        <w:t>Service</w:t>
      </w:r>
      <w:r w:rsidR="005F649D">
        <w:rPr>
          <w:sz w:val="22"/>
          <w:szCs w:val="22"/>
        </w:rPr>
        <w:t>.  MSD is grateful for the opportunity to respond to the Initial Scrutiny Letter.  Below is a summary of</w:t>
      </w:r>
      <w:r w:rsidR="0009043D">
        <w:rPr>
          <w:sz w:val="22"/>
          <w:szCs w:val="22"/>
        </w:rPr>
        <w:t xml:space="preserve"> </w:t>
      </w:r>
      <w:r w:rsidR="00C92387">
        <w:rPr>
          <w:sz w:val="22"/>
          <w:szCs w:val="22"/>
        </w:rPr>
        <w:t xml:space="preserve">our </w:t>
      </w:r>
      <w:r w:rsidR="0009043D">
        <w:rPr>
          <w:sz w:val="22"/>
          <w:szCs w:val="22"/>
        </w:rPr>
        <w:t xml:space="preserve">responses, followed by </w:t>
      </w:r>
      <w:r w:rsidR="005F649D">
        <w:rPr>
          <w:sz w:val="22"/>
          <w:szCs w:val="22"/>
        </w:rPr>
        <w:t>more detailed</w:t>
      </w:r>
      <w:r w:rsidR="0009043D">
        <w:rPr>
          <w:sz w:val="22"/>
          <w:szCs w:val="22"/>
        </w:rPr>
        <w:t xml:space="preserve"> observations</w:t>
      </w:r>
      <w:r w:rsidR="005F649D">
        <w:rPr>
          <w:sz w:val="22"/>
          <w:szCs w:val="22"/>
        </w:rPr>
        <w:t>.</w:t>
      </w:r>
    </w:p>
    <w:p w14:paraId="79209C27" w14:textId="77777777" w:rsidR="00A14E64" w:rsidRPr="00EC7DB3" w:rsidRDefault="00A14E64" w:rsidP="00F673BE">
      <w:pPr>
        <w:jc w:val="both"/>
        <w:rPr>
          <w:sz w:val="22"/>
          <w:szCs w:val="22"/>
        </w:rPr>
      </w:pPr>
    </w:p>
    <w:p w14:paraId="7313857E" w14:textId="77777777" w:rsidR="00C66659" w:rsidRPr="00C157A5" w:rsidRDefault="005F649D" w:rsidP="00C157A5">
      <w:pPr>
        <w:pStyle w:val="Heading1"/>
        <w:rPr>
          <w:b/>
        </w:rPr>
      </w:pPr>
      <w:r>
        <w:rPr>
          <w:b/>
        </w:rPr>
        <w:t>Summary of Responses</w:t>
      </w:r>
    </w:p>
    <w:p w14:paraId="4EF52065" w14:textId="30E74309" w:rsidR="00EC7DB3" w:rsidRPr="00EC7DB3" w:rsidRDefault="00EC7DB3" w:rsidP="00EC7DB3">
      <w:pPr>
        <w:pStyle w:val="ListParagraph"/>
        <w:numPr>
          <w:ilvl w:val="0"/>
          <w:numId w:val="32"/>
        </w:numPr>
        <w:jc w:val="both"/>
        <w:rPr>
          <w:sz w:val="22"/>
          <w:szCs w:val="22"/>
        </w:rPr>
      </w:pPr>
      <w:r w:rsidRPr="00EC7DB3">
        <w:rPr>
          <w:sz w:val="22"/>
          <w:szCs w:val="22"/>
        </w:rPr>
        <w:t>W</w:t>
      </w:r>
      <w:r w:rsidR="00D342DD">
        <w:rPr>
          <w:sz w:val="22"/>
          <w:szCs w:val="22"/>
        </w:rPr>
        <w:t xml:space="preserve">e welcome </w:t>
      </w:r>
      <w:r w:rsidR="005F649D">
        <w:rPr>
          <w:sz w:val="22"/>
          <w:szCs w:val="22"/>
        </w:rPr>
        <w:t xml:space="preserve">that </w:t>
      </w:r>
      <w:r w:rsidR="00ED2BA5">
        <w:rPr>
          <w:sz w:val="22"/>
          <w:szCs w:val="22"/>
        </w:rPr>
        <w:t xml:space="preserve">you consider that </w:t>
      </w:r>
      <w:r w:rsidR="00A14E64" w:rsidRPr="00EC7DB3">
        <w:rPr>
          <w:sz w:val="22"/>
          <w:szCs w:val="22"/>
        </w:rPr>
        <w:t>Grounds 1a.2, 2.1</w:t>
      </w:r>
      <w:r w:rsidR="00F25D55">
        <w:rPr>
          <w:sz w:val="22"/>
          <w:szCs w:val="22"/>
        </w:rPr>
        <w:t>,</w:t>
      </w:r>
      <w:r w:rsidR="00ED2BA5">
        <w:rPr>
          <w:sz w:val="22"/>
          <w:szCs w:val="22"/>
        </w:rPr>
        <w:t xml:space="preserve"> </w:t>
      </w:r>
      <w:r w:rsidR="00A14E64" w:rsidRPr="00EC7DB3">
        <w:rPr>
          <w:sz w:val="22"/>
          <w:szCs w:val="22"/>
        </w:rPr>
        <w:t>2.4</w:t>
      </w:r>
      <w:r w:rsidR="00F25D55">
        <w:rPr>
          <w:sz w:val="22"/>
          <w:szCs w:val="22"/>
        </w:rPr>
        <w:t xml:space="preserve"> and 2.5</w:t>
      </w:r>
      <w:r w:rsidRPr="00EC7DB3">
        <w:rPr>
          <w:sz w:val="22"/>
          <w:szCs w:val="22"/>
        </w:rPr>
        <w:t xml:space="preserve"> </w:t>
      </w:r>
      <w:r w:rsidR="00ED2BA5">
        <w:rPr>
          <w:sz w:val="22"/>
          <w:szCs w:val="22"/>
        </w:rPr>
        <w:t xml:space="preserve">are </w:t>
      </w:r>
      <w:r w:rsidRPr="00EC7DB3">
        <w:rPr>
          <w:sz w:val="22"/>
          <w:szCs w:val="22"/>
        </w:rPr>
        <w:t>admissible</w:t>
      </w:r>
      <w:r w:rsidR="00447780" w:rsidRPr="00EC7DB3">
        <w:rPr>
          <w:sz w:val="22"/>
          <w:szCs w:val="22"/>
        </w:rPr>
        <w:t xml:space="preserve"> and have no</w:t>
      </w:r>
      <w:r w:rsidRPr="00EC7DB3">
        <w:rPr>
          <w:sz w:val="22"/>
          <w:szCs w:val="22"/>
        </w:rPr>
        <w:t xml:space="preserve"> further </w:t>
      </w:r>
      <w:r w:rsidR="00D253E6">
        <w:rPr>
          <w:sz w:val="22"/>
          <w:szCs w:val="22"/>
        </w:rPr>
        <w:t xml:space="preserve">comments </w:t>
      </w:r>
      <w:r w:rsidR="00F32CB8">
        <w:rPr>
          <w:sz w:val="22"/>
          <w:szCs w:val="22"/>
        </w:rPr>
        <w:t>on those</w:t>
      </w:r>
      <w:r w:rsidR="00D253E6">
        <w:rPr>
          <w:sz w:val="22"/>
          <w:szCs w:val="22"/>
        </w:rPr>
        <w:t xml:space="preserve"> Grounds</w:t>
      </w:r>
      <w:r w:rsidR="00E10E46">
        <w:rPr>
          <w:sz w:val="22"/>
          <w:szCs w:val="22"/>
        </w:rPr>
        <w:t>,</w:t>
      </w:r>
      <w:r w:rsidR="00F25D55">
        <w:rPr>
          <w:sz w:val="22"/>
          <w:szCs w:val="22"/>
        </w:rPr>
        <w:t xml:space="preserve"> save for 2.5 for which we provide some additional detail below</w:t>
      </w:r>
      <w:r w:rsidRPr="00EC7DB3">
        <w:rPr>
          <w:sz w:val="22"/>
          <w:szCs w:val="22"/>
        </w:rPr>
        <w:t>.</w:t>
      </w:r>
    </w:p>
    <w:p w14:paraId="2CE892A4" w14:textId="2F017E11" w:rsidR="00EC7DB3" w:rsidRPr="00EC7DB3" w:rsidRDefault="003B6BD5" w:rsidP="00EC7DB3">
      <w:pPr>
        <w:pStyle w:val="ListParagraph"/>
        <w:numPr>
          <w:ilvl w:val="0"/>
          <w:numId w:val="32"/>
        </w:numPr>
        <w:jc w:val="both"/>
        <w:rPr>
          <w:sz w:val="22"/>
          <w:szCs w:val="22"/>
        </w:rPr>
      </w:pPr>
      <w:r>
        <w:rPr>
          <w:sz w:val="22"/>
          <w:szCs w:val="22"/>
        </w:rPr>
        <w:t xml:space="preserve">Regarding </w:t>
      </w:r>
      <w:r w:rsidR="00447780" w:rsidRPr="00EC7DB3">
        <w:rPr>
          <w:sz w:val="22"/>
          <w:szCs w:val="22"/>
        </w:rPr>
        <w:t xml:space="preserve">Ground 1a.1, we </w:t>
      </w:r>
      <w:r w:rsidR="001813BA">
        <w:rPr>
          <w:sz w:val="22"/>
          <w:szCs w:val="22"/>
        </w:rPr>
        <w:t xml:space="preserve">are </w:t>
      </w:r>
      <w:r w:rsidR="005F649D">
        <w:rPr>
          <w:sz w:val="22"/>
          <w:szCs w:val="22"/>
        </w:rPr>
        <w:t xml:space="preserve">very </w:t>
      </w:r>
      <w:r w:rsidR="001813BA">
        <w:rPr>
          <w:sz w:val="22"/>
          <w:szCs w:val="22"/>
        </w:rPr>
        <w:t xml:space="preserve">grateful </w:t>
      </w:r>
      <w:r w:rsidR="005F649D">
        <w:rPr>
          <w:sz w:val="22"/>
          <w:szCs w:val="22"/>
        </w:rPr>
        <w:t xml:space="preserve">for the addition of </w:t>
      </w:r>
      <w:r w:rsidR="001813BA">
        <w:rPr>
          <w:sz w:val="22"/>
          <w:szCs w:val="22"/>
        </w:rPr>
        <w:t>the FAD from TA525 to the bundle</w:t>
      </w:r>
      <w:r w:rsidR="005F649D">
        <w:rPr>
          <w:sz w:val="22"/>
          <w:szCs w:val="22"/>
        </w:rPr>
        <w:t xml:space="preserve"> for this appeal</w:t>
      </w:r>
      <w:r w:rsidR="001813BA">
        <w:rPr>
          <w:sz w:val="22"/>
          <w:szCs w:val="22"/>
        </w:rPr>
        <w:t xml:space="preserve">.  </w:t>
      </w:r>
      <w:r w:rsidR="00D342DD">
        <w:rPr>
          <w:sz w:val="22"/>
          <w:szCs w:val="22"/>
        </w:rPr>
        <w:t>Inconsistency with previous app</w:t>
      </w:r>
      <w:r w:rsidR="0009043D">
        <w:rPr>
          <w:sz w:val="22"/>
          <w:szCs w:val="22"/>
        </w:rPr>
        <w:t>raisals is a pervasive point in this appeal and we raised this issue during the consultation process</w:t>
      </w:r>
      <w:r w:rsidR="00D342DD">
        <w:rPr>
          <w:sz w:val="22"/>
          <w:szCs w:val="22"/>
        </w:rPr>
        <w:t xml:space="preserve">.  </w:t>
      </w:r>
      <w:r w:rsidR="0009043D">
        <w:rPr>
          <w:sz w:val="22"/>
          <w:szCs w:val="22"/>
        </w:rPr>
        <w:t>During consultation and in our Appeal Letter, we referred to</w:t>
      </w:r>
      <w:r w:rsidR="001813BA">
        <w:rPr>
          <w:sz w:val="22"/>
          <w:szCs w:val="22"/>
        </w:rPr>
        <w:t xml:space="preserve"> certain documents from appraisals TA525 and TA520</w:t>
      </w:r>
      <w:r w:rsidR="0009043D">
        <w:rPr>
          <w:sz w:val="22"/>
          <w:szCs w:val="22"/>
        </w:rPr>
        <w:t xml:space="preserve"> to show how this appraisal had taken a different approach</w:t>
      </w:r>
      <w:r w:rsidR="001813BA">
        <w:rPr>
          <w:sz w:val="22"/>
          <w:szCs w:val="22"/>
        </w:rPr>
        <w:t xml:space="preserve">.  </w:t>
      </w:r>
      <w:r w:rsidR="00B943FB">
        <w:rPr>
          <w:sz w:val="22"/>
          <w:szCs w:val="22"/>
        </w:rPr>
        <w:t xml:space="preserve">As such, we feel it would benefit </w:t>
      </w:r>
      <w:r w:rsidR="004D3CFB">
        <w:rPr>
          <w:sz w:val="22"/>
          <w:szCs w:val="22"/>
        </w:rPr>
        <w:t>the</w:t>
      </w:r>
      <w:r w:rsidR="001813BA">
        <w:rPr>
          <w:sz w:val="22"/>
          <w:szCs w:val="22"/>
        </w:rPr>
        <w:t xml:space="preserve"> </w:t>
      </w:r>
      <w:r w:rsidR="0038121A" w:rsidRPr="00EC7DB3">
        <w:rPr>
          <w:sz w:val="22"/>
          <w:szCs w:val="22"/>
        </w:rPr>
        <w:t>Appeal Panel</w:t>
      </w:r>
      <w:r w:rsidR="00B943FB">
        <w:rPr>
          <w:sz w:val="22"/>
          <w:szCs w:val="22"/>
        </w:rPr>
        <w:t xml:space="preserve"> to have those documents </w:t>
      </w:r>
      <w:r w:rsidR="0009043D">
        <w:rPr>
          <w:sz w:val="22"/>
          <w:szCs w:val="22"/>
        </w:rPr>
        <w:t xml:space="preserve">first-hand </w:t>
      </w:r>
      <w:r w:rsidR="00B943FB">
        <w:rPr>
          <w:sz w:val="22"/>
          <w:szCs w:val="22"/>
        </w:rPr>
        <w:t xml:space="preserve">and we </w:t>
      </w:r>
      <w:r w:rsidR="0009043D">
        <w:rPr>
          <w:sz w:val="22"/>
          <w:szCs w:val="22"/>
        </w:rPr>
        <w:t xml:space="preserve">may need to refer </w:t>
      </w:r>
      <w:r w:rsidR="00B943FB">
        <w:rPr>
          <w:sz w:val="22"/>
          <w:szCs w:val="22"/>
        </w:rPr>
        <w:t>to them during the Appeal Hearing</w:t>
      </w:r>
      <w:r w:rsidR="004D3CFB">
        <w:rPr>
          <w:sz w:val="22"/>
          <w:szCs w:val="22"/>
        </w:rPr>
        <w:t>. We</w:t>
      </w:r>
      <w:r w:rsidR="00ED2BA5">
        <w:rPr>
          <w:sz w:val="22"/>
          <w:szCs w:val="22"/>
        </w:rPr>
        <w:t xml:space="preserve"> have listed these below and</w:t>
      </w:r>
      <w:r w:rsidR="004D3CFB">
        <w:rPr>
          <w:sz w:val="22"/>
          <w:szCs w:val="22"/>
        </w:rPr>
        <w:t xml:space="preserve"> respectfully request </w:t>
      </w:r>
      <w:r w:rsidR="00B943FB">
        <w:rPr>
          <w:sz w:val="22"/>
          <w:szCs w:val="22"/>
        </w:rPr>
        <w:t xml:space="preserve">that </w:t>
      </w:r>
      <w:r w:rsidR="004D3CFB">
        <w:rPr>
          <w:sz w:val="22"/>
          <w:szCs w:val="22"/>
        </w:rPr>
        <w:t xml:space="preserve">you consider </w:t>
      </w:r>
      <w:r w:rsidR="00B943FB">
        <w:rPr>
          <w:sz w:val="22"/>
          <w:szCs w:val="22"/>
        </w:rPr>
        <w:t xml:space="preserve">also </w:t>
      </w:r>
      <w:r w:rsidR="004D3CFB">
        <w:rPr>
          <w:sz w:val="22"/>
          <w:szCs w:val="22"/>
        </w:rPr>
        <w:t>adding these documents to the appeal bundle.</w:t>
      </w:r>
    </w:p>
    <w:p w14:paraId="714E7025" w14:textId="4C030B5D" w:rsidR="00A14E64" w:rsidRDefault="0038121A" w:rsidP="00EC7DB3">
      <w:pPr>
        <w:pStyle w:val="ListParagraph"/>
        <w:numPr>
          <w:ilvl w:val="0"/>
          <w:numId w:val="32"/>
        </w:numPr>
        <w:jc w:val="both"/>
        <w:rPr>
          <w:sz w:val="22"/>
          <w:szCs w:val="22"/>
        </w:rPr>
      </w:pPr>
      <w:r w:rsidRPr="00EC7DB3">
        <w:rPr>
          <w:sz w:val="22"/>
          <w:szCs w:val="22"/>
        </w:rPr>
        <w:t>We</w:t>
      </w:r>
      <w:r w:rsidR="005C493A">
        <w:rPr>
          <w:sz w:val="22"/>
          <w:szCs w:val="22"/>
        </w:rPr>
        <w:t xml:space="preserve"> strongly</w:t>
      </w:r>
      <w:r w:rsidRPr="00EC7DB3">
        <w:rPr>
          <w:sz w:val="22"/>
          <w:szCs w:val="22"/>
        </w:rPr>
        <w:t xml:space="preserve"> believe </w:t>
      </w:r>
      <w:r w:rsidR="00D253E6">
        <w:rPr>
          <w:sz w:val="22"/>
          <w:szCs w:val="22"/>
        </w:rPr>
        <w:t xml:space="preserve">that </w:t>
      </w:r>
      <w:r w:rsidR="00ED2BA5">
        <w:rPr>
          <w:sz w:val="22"/>
          <w:szCs w:val="22"/>
        </w:rPr>
        <w:t xml:space="preserve">this appraisal </w:t>
      </w:r>
      <w:r w:rsidR="00D253E6">
        <w:rPr>
          <w:sz w:val="22"/>
          <w:szCs w:val="22"/>
        </w:rPr>
        <w:t xml:space="preserve">raises </w:t>
      </w:r>
      <w:r w:rsidR="0040353B">
        <w:rPr>
          <w:sz w:val="22"/>
          <w:szCs w:val="22"/>
        </w:rPr>
        <w:t xml:space="preserve">substantive </w:t>
      </w:r>
      <w:r w:rsidRPr="00EC7DB3">
        <w:rPr>
          <w:sz w:val="22"/>
          <w:szCs w:val="22"/>
        </w:rPr>
        <w:t>human rights</w:t>
      </w:r>
      <w:r w:rsidR="005C493A">
        <w:rPr>
          <w:sz w:val="22"/>
          <w:szCs w:val="22"/>
        </w:rPr>
        <w:t xml:space="preserve"> arguments</w:t>
      </w:r>
      <w:r w:rsidR="00D253E6">
        <w:rPr>
          <w:sz w:val="22"/>
          <w:szCs w:val="22"/>
        </w:rPr>
        <w:t>,</w:t>
      </w:r>
      <w:r w:rsidR="004D3CFB">
        <w:rPr>
          <w:sz w:val="22"/>
          <w:szCs w:val="22"/>
        </w:rPr>
        <w:t xml:space="preserve"> which are </w:t>
      </w:r>
      <w:r w:rsidR="007B08FC">
        <w:rPr>
          <w:sz w:val="22"/>
          <w:szCs w:val="22"/>
        </w:rPr>
        <w:t xml:space="preserve">central </w:t>
      </w:r>
      <w:r w:rsidR="004D3CFB">
        <w:rPr>
          <w:sz w:val="22"/>
          <w:szCs w:val="22"/>
        </w:rPr>
        <w:t>to this A</w:t>
      </w:r>
      <w:r w:rsidR="007B08FC">
        <w:rPr>
          <w:sz w:val="22"/>
          <w:szCs w:val="22"/>
        </w:rPr>
        <w:t xml:space="preserve">ppeal.  We feel these are issues that the Appeal Panel could only </w:t>
      </w:r>
      <w:r w:rsidR="00B943FB">
        <w:rPr>
          <w:sz w:val="22"/>
          <w:szCs w:val="22"/>
        </w:rPr>
        <w:t xml:space="preserve">address </w:t>
      </w:r>
      <w:r w:rsidR="00ED2BA5">
        <w:rPr>
          <w:sz w:val="22"/>
          <w:szCs w:val="22"/>
        </w:rPr>
        <w:t xml:space="preserve">adequately </w:t>
      </w:r>
      <w:r w:rsidR="003E7D1E">
        <w:rPr>
          <w:sz w:val="22"/>
          <w:szCs w:val="22"/>
        </w:rPr>
        <w:t>under a standalone appeal g</w:t>
      </w:r>
      <w:r w:rsidR="00E44E29">
        <w:rPr>
          <w:sz w:val="22"/>
          <w:szCs w:val="22"/>
        </w:rPr>
        <w:t>round</w:t>
      </w:r>
      <w:r w:rsidR="00ED2BA5">
        <w:rPr>
          <w:sz w:val="22"/>
          <w:szCs w:val="22"/>
        </w:rPr>
        <w:t xml:space="preserve"> under the legality/exceeding powers Ground 1b</w:t>
      </w:r>
      <w:r w:rsidR="00E44E29">
        <w:rPr>
          <w:sz w:val="22"/>
          <w:szCs w:val="22"/>
        </w:rPr>
        <w:t>.</w:t>
      </w:r>
      <w:r w:rsidR="00B943FB">
        <w:rPr>
          <w:sz w:val="22"/>
          <w:szCs w:val="22"/>
        </w:rPr>
        <w:t xml:space="preserve"> </w:t>
      </w:r>
      <w:r w:rsidR="00AA1FDE">
        <w:rPr>
          <w:sz w:val="22"/>
          <w:szCs w:val="22"/>
        </w:rPr>
        <w:t xml:space="preserve"> </w:t>
      </w:r>
      <w:r w:rsidR="00B943FB">
        <w:rPr>
          <w:sz w:val="22"/>
          <w:szCs w:val="22"/>
        </w:rPr>
        <w:t>We provide detailed</w:t>
      </w:r>
      <w:r w:rsidR="00941CC8">
        <w:rPr>
          <w:sz w:val="22"/>
          <w:szCs w:val="22"/>
        </w:rPr>
        <w:t xml:space="preserve"> responses to your observations to </w:t>
      </w:r>
      <w:r w:rsidRPr="00EC7DB3">
        <w:rPr>
          <w:sz w:val="22"/>
          <w:szCs w:val="22"/>
        </w:rPr>
        <w:t>Groun</w:t>
      </w:r>
      <w:r w:rsidR="00E44E29">
        <w:rPr>
          <w:sz w:val="22"/>
          <w:szCs w:val="22"/>
        </w:rPr>
        <w:t xml:space="preserve">d 1b.1 </w:t>
      </w:r>
      <w:r w:rsidR="00B943FB">
        <w:rPr>
          <w:sz w:val="22"/>
          <w:szCs w:val="22"/>
        </w:rPr>
        <w:t xml:space="preserve">below </w:t>
      </w:r>
      <w:r w:rsidR="00E44E29">
        <w:rPr>
          <w:sz w:val="22"/>
          <w:szCs w:val="22"/>
        </w:rPr>
        <w:t xml:space="preserve">and request that this </w:t>
      </w:r>
      <w:r w:rsidR="00D253E6">
        <w:rPr>
          <w:sz w:val="22"/>
          <w:szCs w:val="22"/>
        </w:rPr>
        <w:t xml:space="preserve">Ground is referred to the Panel as </w:t>
      </w:r>
      <w:r w:rsidR="00FC01A2">
        <w:rPr>
          <w:sz w:val="22"/>
          <w:szCs w:val="22"/>
        </w:rPr>
        <w:t>originally</w:t>
      </w:r>
      <w:r w:rsidR="00D253E6">
        <w:rPr>
          <w:sz w:val="22"/>
          <w:szCs w:val="22"/>
        </w:rPr>
        <w:t xml:space="preserve"> particularised.</w:t>
      </w:r>
    </w:p>
    <w:p w14:paraId="69314216" w14:textId="41534729" w:rsidR="00E44E29" w:rsidRDefault="003B6BD5" w:rsidP="00EC7DB3">
      <w:pPr>
        <w:pStyle w:val="ListParagraph"/>
        <w:numPr>
          <w:ilvl w:val="0"/>
          <w:numId w:val="32"/>
        </w:numPr>
        <w:jc w:val="both"/>
        <w:rPr>
          <w:sz w:val="22"/>
          <w:szCs w:val="22"/>
        </w:rPr>
      </w:pPr>
      <w:r w:rsidRPr="003B6BD5">
        <w:rPr>
          <w:sz w:val="22"/>
          <w:szCs w:val="22"/>
        </w:rPr>
        <w:t xml:space="preserve">We have reflected upon your comments on </w:t>
      </w:r>
      <w:r w:rsidR="00E44E29" w:rsidRPr="003B6BD5">
        <w:rPr>
          <w:sz w:val="22"/>
          <w:szCs w:val="22"/>
        </w:rPr>
        <w:t>Ground 2.2</w:t>
      </w:r>
      <w:r w:rsidRPr="003B6BD5">
        <w:rPr>
          <w:sz w:val="22"/>
          <w:szCs w:val="22"/>
        </w:rPr>
        <w:t xml:space="preserve"> </w:t>
      </w:r>
      <w:r w:rsidR="007B08FC" w:rsidRPr="003B6BD5">
        <w:rPr>
          <w:sz w:val="22"/>
          <w:szCs w:val="22"/>
        </w:rPr>
        <w:t xml:space="preserve">and </w:t>
      </w:r>
      <w:r w:rsidR="007B08FC" w:rsidRPr="006A6FE3">
        <w:rPr>
          <w:sz w:val="22"/>
          <w:szCs w:val="22"/>
        </w:rPr>
        <w:t>w</w:t>
      </w:r>
      <w:r w:rsidR="00E44E29" w:rsidRPr="006A6FE3">
        <w:rPr>
          <w:sz w:val="22"/>
          <w:szCs w:val="22"/>
        </w:rPr>
        <w:t xml:space="preserve">ould not object to </w:t>
      </w:r>
      <w:r w:rsidR="00D62804" w:rsidRPr="006A6FE3">
        <w:rPr>
          <w:sz w:val="22"/>
          <w:szCs w:val="22"/>
        </w:rPr>
        <w:t>the Appeal Panel addressing this point as</w:t>
      </w:r>
      <w:r w:rsidR="007B08FC" w:rsidRPr="006A6FE3">
        <w:rPr>
          <w:sz w:val="22"/>
          <w:szCs w:val="22"/>
        </w:rPr>
        <w:t xml:space="preserve"> part of an expanded Ground 2.1, on the assumption that there will be an opportunity to discuss the clinical expert’s comments</w:t>
      </w:r>
      <w:r w:rsidR="00B943FB" w:rsidRPr="006A6FE3">
        <w:rPr>
          <w:sz w:val="22"/>
          <w:szCs w:val="22"/>
        </w:rPr>
        <w:t xml:space="preserve"> in broad terms</w:t>
      </w:r>
      <w:r w:rsidR="007B08FC" w:rsidRPr="006A6FE3">
        <w:rPr>
          <w:sz w:val="22"/>
          <w:szCs w:val="22"/>
        </w:rPr>
        <w:t>.</w:t>
      </w:r>
      <w:r w:rsidRPr="006A6FE3" w:rsidDel="003B6BD5">
        <w:rPr>
          <w:sz w:val="22"/>
          <w:szCs w:val="22"/>
        </w:rPr>
        <w:t xml:space="preserve"> </w:t>
      </w:r>
    </w:p>
    <w:p w14:paraId="21C12F91" w14:textId="7FA858F3" w:rsidR="00D62804" w:rsidRDefault="00ED2BA5" w:rsidP="00EC7DB3">
      <w:pPr>
        <w:pStyle w:val="ListParagraph"/>
        <w:numPr>
          <w:ilvl w:val="0"/>
          <w:numId w:val="32"/>
        </w:numPr>
        <w:jc w:val="both"/>
        <w:rPr>
          <w:sz w:val="22"/>
          <w:szCs w:val="22"/>
        </w:rPr>
      </w:pPr>
      <w:r>
        <w:rPr>
          <w:sz w:val="22"/>
          <w:szCs w:val="22"/>
        </w:rPr>
        <w:t xml:space="preserve">MSD </w:t>
      </w:r>
      <w:r w:rsidR="00715686">
        <w:rPr>
          <w:sz w:val="22"/>
          <w:szCs w:val="22"/>
        </w:rPr>
        <w:t xml:space="preserve">respectfully </w:t>
      </w:r>
      <w:r w:rsidR="00D62804">
        <w:rPr>
          <w:sz w:val="22"/>
          <w:szCs w:val="22"/>
        </w:rPr>
        <w:t>disagree</w:t>
      </w:r>
      <w:r w:rsidR="00C157A5">
        <w:rPr>
          <w:sz w:val="22"/>
          <w:szCs w:val="22"/>
        </w:rPr>
        <w:t>s</w:t>
      </w:r>
      <w:r w:rsidR="00D62804">
        <w:rPr>
          <w:sz w:val="22"/>
          <w:szCs w:val="22"/>
        </w:rPr>
        <w:t xml:space="preserve"> with amalgamati</w:t>
      </w:r>
      <w:r w:rsidR="00A906FC">
        <w:rPr>
          <w:sz w:val="22"/>
          <w:szCs w:val="22"/>
        </w:rPr>
        <w:t>ng Ground 2.3 into Ground 2.1</w:t>
      </w:r>
      <w:r w:rsidR="00C157A5">
        <w:rPr>
          <w:sz w:val="22"/>
          <w:szCs w:val="22"/>
        </w:rPr>
        <w:t>.  They</w:t>
      </w:r>
      <w:r w:rsidR="00A906FC">
        <w:rPr>
          <w:sz w:val="22"/>
          <w:szCs w:val="22"/>
        </w:rPr>
        <w:t xml:space="preserve"> </w:t>
      </w:r>
      <w:r w:rsidR="00C157A5">
        <w:rPr>
          <w:sz w:val="22"/>
          <w:szCs w:val="22"/>
        </w:rPr>
        <w:t xml:space="preserve">concern </w:t>
      </w:r>
      <w:r w:rsidR="00A906FC">
        <w:rPr>
          <w:sz w:val="22"/>
          <w:szCs w:val="22"/>
        </w:rPr>
        <w:t>d</w:t>
      </w:r>
      <w:r w:rsidR="00C157A5">
        <w:rPr>
          <w:sz w:val="22"/>
          <w:szCs w:val="22"/>
        </w:rPr>
        <w:t xml:space="preserve">ifferent </w:t>
      </w:r>
      <w:r>
        <w:rPr>
          <w:sz w:val="22"/>
          <w:szCs w:val="22"/>
        </w:rPr>
        <w:t xml:space="preserve">issues and </w:t>
      </w:r>
      <w:r w:rsidR="00C157A5">
        <w:rPr>
          <w:sz w:val="22"/>
          <w:szCs w:val="22"/>
        </w:rPr>
        <w:t>subject matter and are</w:t>
      </w:r>
      <w:r w:rsidR="00A906FC">
        <w:rPr>
          <w:sz w:val="22"/>
          <w:szCs w:val="22"/>
        </w:rPr>
        <w:t xml:space="preserve"> separate and distinct </w:t>
      </w:r>
      <w:r w:rsidR="00B943FB">
        <w:rPr>
          <w:sz w:val="22"/>
          <w:szCs w:val="22"/>
        </w:rPr>
        <w:t>points of appeal</w:t>
      </w:r>
      <w:r w:rsidR="00D62804">
        <w:rPr>
          <w:sz w:val="22"/>
          <w:szCs w:val="22"/>
        </w:rPr>
        <w:t xml:space="preserve">.  Ground 2.3 </w:t>
      </w:r>
      <w:r w:rsidR="00E46619">
        <w:rPr>
          <w:sz w:val="22"/>
          <w:szCs w:val="22"/>
        </w:rPr>
        <w:t xml:space="preserve">raises methodological questions about </w:t>
      </w:r>
      <w:r w:rsidR="00946BD7">
        <w:rPr>
          <w:sz w:val="22"/>
          <w:szCs w:val="22"/>
        </w:rPr>
        <w:t>how the Appraisal Committee</w:t>
      </w:r>
      <w:r w:rsidR="00E46619">
        <w:rPr>
          <w:sz w:val="22"/>
          <w:szCs w:val="22"/>
        </w:rPr>
        <w:t xml:space="preserve"> arrived at the “most plausible ICER” based on a</w:t>
      </w:r>
      <w:r w:rsidR="00946BD7">
        <w:rPr>
          <w:sz w:val="22"/>
          <w:szCs w:val="22"/>
        </w:rPr>
        <w:t xml:space="preserve"> range of possible ICERs</w:t>
      </w:r>
      <w:r w:rsidR="008C0376">
        <w:rPr>
          <w:sz w:val="22"/>
          <w:szCs w:val="22"/>
        </w:rPr>
        <w:t>.  Treatment effect, the subject</w:t>
      </w:r>
      <w:r w:rsidR="00E46619">
        <w:rPr>
          <w:sz w:val="22"/>
          <w:szCs w:val="22"/>
        </w:rPr>
        <w:t xml:space="preserve"> of Ground 2.1, was one of the</w:t>
      </w:r>
      <w:r w:rsidR="00946BD7">
        <w:rPr>
          <w:sz w:val="22"/>
          <w:szCs w:val="22"/>
        </w:rPr>
        <w:t xml:space="preserve"> inputs</w:t>
      </w:r>
      <w:r w:rsidR="00E46619">
        <w:rPr>
          <w:sz w:val="22"/>
          <w:szCs w:val="22"/>
        </w:rPr>
        <w:t xml:space="preserve"> that contributed to the range</w:t>
      </w:r>
      <w:r w:rsidR="00946BD7">
        <w:rPr>
          <w:sz w:val="22"/>
          <w:szCs w:val="22"/>
        </w:rPr>
        <w:t xml:space="preserve"> but there were several others</w:t>
      </w:r>
      <w:r w:rsidR="00E46619">
        <w:rPr>
          <w:sz w:val="22"/>
          <w:szCs w:val="22"/>
        </w:rPr>
        <w:t>.</w:t>
      </w:r>
      <w:r w:rsidR="00946BD7">
        <w:rPr>
          <w:sz w:val="22"/>
          <w:szCs w:val="22"/>
        </w:rPr>
        <w:t xml:space="preserve">  </w:t>
      </w:r>
      <w:r w:rsidR="00E46619">
        <w:rPr>
          <w:sz w:val="22"/>
          <w:szCs w:val="22"/>
        </w:rPr>
        <w:t xml:space="preserve">We do not see how the methodological points raised under Ground 2.3 could be properly addressed if they were blended into a discussion </w:t>
      </w:r>
      <w:r w:rsidR="00F41D71">
        <w:rPr>
          <w:sz w:val="22"/>
          <w:szCs w:val="22"/>
        </w:rPr>
        <w:t xml:space="preserve">that primarily concerns </w:t>
      </w:r>
      <w:r w:rsidR="00E46619">
        <w:rPr>
          <w:sz w:val="22"/>
          <w:szCs w:val="22"/>
        </w:rPr>
        <w:t>treatment effect.</w:t>
      </w:r>
    </w:p>
    <w:p w14:paraId="0B4AA4E5" w14:textId="52E7D7FD" w:rsidR="00946BD7" w:rsidRPr="00EC7DB3" w:rsidRDefault="00946BD7" w:rsidP="00EC7DB3">
      <w:pPr>
        <w:pStyle w:val="ListParagraph"/>
        <w:numPr>
          <w:ilvl w:val="0"/>
          <w:numId w:val="32"/>
        </w:numPr>
        <w:jc w:val="both"/>
        <w:rPr>
          <w:sz w:val="22"/>
          <w:szCs w:val="22"/>
        </w:rPr>
      </w:pPr>
      <w:r>
        <w:rPr>
          <w:sz w:val="22"/>
          <w:szCs w:val="22"/>
        </w:rPr>
        <w:lastRenderedPageBreak/>
        <w:t xml:space="preserve">Lastly, we </w:t>
      </w:r>
      <w:r w:rsidR="002F1F0E">
        <w:rPr>
          <w:sz w:val="22"/>
          <w:szCs w:val="22"/>
        </w:rPr>
        <w:t>welcome that you cons</w:t>
      </w:r>
      <w:r w:rsidR="00AB5C95">
        <w:rPr>
          <w:sz w:val="22"/>
          <w:szCs w:val="22"/>
        </w:rPr>
        <w:t>ider Ground 2.5 to be a</w:t>
      </w:r>
      <w:r w:rsidR="002F1F0E">
        <w:rPr>
          <w:sz w:val="22"/>
          <w:szCs w:val="22"/>
        </w:rPr>
        <w:t xml:space="preserve"> valid appeal point</w:t>
      </w:r>
      <w:r w:rsidR="00AB5C95">
        <w:rPr>
          <w:sz w:val="22"/>
          <w:szCs w:val="22"/>
        </w:rPr>
        <w:t xml:space="preserve"> and therefore admissible</w:t>
      </w:r>
      <w:r w:rsidR="002F1F0E">
        <w:rPr>
          <w:sz w:val="22"/>
          <w:szCs w:val="22"/>
        </w:rPr>
        <w:t xml:space="preserve">.  We </w:t>
      </w:r>
      <w:r w:rsidR="00143BC1">
        <w:rPr>
          <w:sz w:val="22"/>
          <w:szCs w:val="22"/>
        </w:rPr>
        <w:t xml:space="preserve">thank you for </w:t>
      </w:r>
      <w:r w:rsidR="002F1F0E">
        <w:rPr>
          <w:sz w:val="22"/>
          <w:szCs w:val="22"/>
        </w:rPr>
        <w:t xml:space="preserve">your </w:t>
      </w:r>
      <w:r w:rsidR="00E46619">
        <w:rPr>
          <w:sz w:val="22"/>
          <w:szCs w:val="22"/>
        </w:rPr>
        <w:t>guidance on Ground 2.5</w:t>
      </w:r>
      <w:r w:rsidR="001643DF">
        <w:rPr>
          <w:sz w:val="22"/>
          <w:szCs w:val="22"/>
        </w:rPr>
        <w:t xml:space="preserve">.  </w:t>
      </w:r>
      <w:proofErr w:type="gramStart"/>
      <w:r w:rsidR="002F1F0E">
        <w:rPr>
          <w:sz w:val="22"/>
          <w:szCs w:val="22"/>
        </w:rPr>
        <w:t>W</w:t>
      </w:r>
      <w:r w:rsidR="001643DF">
        <w:rPr>
          <w:sz w:val="22"/>
          <w:szCs w:val="22"/>
        </w:rPr>
        <w:t>e</w:t>
      </w:r>
      <w:r w:rsidR="00143BC1">
        <w:rPr>
          <w:sz w:val="22"/>
          <w:szCs w:val="22"/>
        </w:rPr>
        <w:t xml:space="preserve"> </w:t>
      </w:r>
      <w:r w:rsidR="00E46619">
        <w:rPr>
          <w:sz w:val="22"/>
          <w:szCs w:val="22"/>
        </w:rPr>
        <w:t xml:space="preserve"> offer</w:t>
      </w:r>
      <w:proofErr w:type="gramEnd"/>
      <w:r>
        <w:rPr>
          <w:sz w:val="22"/>
          <w:szCs w:val="22"/>
        </w:rPr>
        <w:t xml:space="preserve"> </w:t>
      </w:r>
      <w:r w:rsidR="00C66659">
        <w:rPr>
          <w:sz w:val="22"/>
          <w:szCs w:val="22"/>
        </w:rPr>
        <w:t>some clarification</w:t>
      </w:r>
      <w:r w:rsidR="00E46619">
        <w:rPr>
          <w:sz w:val="22"/>
          <w:szCs w:val="22"/>
        </w:rPr>
        <w:t xml:space="preserve"> </w:t>
      </w:r>
      <w:r w:rsidR="002F1F0E">
        <w:rPr>
          <w:sz w:val="22"/>
          <w:szCs w:val="22"/>
        </w:rPr>
        <w:t>to our arguments below</w:t>
      </w:r>
      <w:r w:rsidR="00C66659">
        <w:rPr>
          <w:sz w:val="22"/>
          <w:szCs w:val="22"/>
        </w:rPr>
        <w:t>.</w:t>
      </w:r>
    </w:p>
    <w:p w14:paraId="49A4A927" w14:textId="77777777" w:rsidR="0089322B" w:rsidRDefault="0089322B" w:rsidP="00F673BE">
      <w:pPr>
        <w:jc w:val="both"/>
        <w:rPr>
          <w:sz w:val="22"/>
          <w:szCs w:val="22"/>
        </w:rPr>
      </w:pPr>
    </w:p>
    <w:p w14:paraId="4CFA0D57" w14:textId="77777777" w:rsidR="00C157A5" w:rsidRPr="00C157A5" w:rsidRDefault="00C157A5" w:rsidP="00C157A5">
      <w:pPr>
        <w:pStyle w:val="Heading1"/>
        <w:rPr>
          <w:b/>
        </w:rPr>
      </w:pPr>
      <w:r w:rsidRPr="00C157A5">
        <w:rPr>
          <w:b/>
        </w:rPr>
        <w:t>Detailed Responses</w:t>
      </w:r>
    </w:p>
    <w:p w14:paraId="2FDEAA15" w14:textId="77777777" w:rsidR="0089322B" w:rsidRPr="00F673BE" w:rsidRDefault="0089322B" w:rsidP="00F673BE">
      <w:pPr>
        <w:jc w:val="both"/>
        <w:rPr>
          <w:b/>
          <w:i/>
          <w:sz w:val="22"/>
          <w:szCs w:val="22"/>
        </w:rPr>
      </w:pPr>
      <w:r w:rsidRPr="00EC7DB3">
        <w:rPr>
          <w:b/>
          <w:i/>
          <w:sz w:val="22"/>
          <w:szCs w:val="22"/>
        </w:rPr>
        <w:t>Ground 1(a): In making the assessment that preceded the recommendation, NICE has failed to act fairly</w:t>
      </w:r>
    </w:p>
    <w:p w14:paraId="0C2FBB8D" w14:textId="77777777" w:rsidR="0089322B" w:rsidRPr="00F673BE" w:rsidRDefault="0089322B" w:rsidP="00F673BE">
      <w:pPr>
        <w:jc w:val="both"/>
        <w:rPr>
          <w:b/>
          <w:i/>
          <w:sz w:val="22"/>
          <w:szCs w:val="22"/>
        </w:rPr>
      </w:pPr>
    </w:p>
    <w:p w14:paraId="1E3AD47C" w14:textId="77777777" w:rsidR="0089322B" w:rsidRPr="00F673BE" w:rsidRDefault="0089322B" w:rsidP="00F673BE">
      <w:pPr>
        <w:jc w:val="both"/>
        <w:rPr>
          <w:b/>
          <w:sz w:val="22"/>
          <w:szCs w:val="22"/>
        </w:rPr>
      </w:pPr>
      <w:r w:rsidRPr="00F673BE">
        <w:rPr>
          <w:b/>
          <w:sz w:val="22"/>
          <w:szCs w:val="22"/>
        </w:rPr>
        <w:t>Ground 1a.1 – Fundamental differences with the approach taken in TA525 evidence an inconsistent methodology, in breach of the Methods Guide and the principle of procedural fairness</w:t>
      </w:r>
    </w:p>
    <w:p w14:paraId="51F65EBB" w14:textId="77777777" w:rsidR="0089322B" w:rsidRPr="00F673BE" w:rsidRDefault="0089322B" w:rsidP="00F673BE">
      <w:pPr>
        <w:jc w:val="both"/>
        <w:rPr>
          <w:b/>
          <w:sz w:val="22"/>
          <w:szCs w:val="22"/>
        </w:rPr>
      </w:pPr>
    </w:p>
    <w:p w14:paraId="7DA7E803" w14:textId="65F177F6" w:rsidR="00194352" w:rsidRDefault="0089322B" w:rsidP="00F673BE">
      <w:pPr>
        <w:jc w:val="both"/>
        <w:rPr>
          <w:sz w:val="22"/>
          <w:szCs w:val="22"/>
        </w:rPr>
      </w:pPr>
      <w:r w:rsidRPr="00F673BE">
        <w:rPr>
          <w:sz w:val="22"/>
          <w:szCs w:val="22"/>
        </w:rPr>
        <w:t xml:space="preserve">We </w:t>
      </w:r>
      <w:r w:rsidR="00B358C8">
        <w:rPr>
          <w:sz w:val="22"/>
          <w:szCs w:val="22"/>
        </w:rPr>
        <w:t xml:space="preserve">are conscious of </w:t>
      </w:r>
      <w:r w:rsidRPr="00F673BE">
        <w:rPr>
          <w:sz w:val="22"/>
          <w:szCs w:val="22"/>
        </w:rPr>
        <w:t>the challenges that the Appeal Panel face</w:t>
      </w:r>
      <w:r w:rsidR="00295D71">
        <w:rPr>
          <w:sz w:val="22"/>
          <w:szCs w:val="22"/>
        </w:rPr>
        <w:t>s</w:t>
      </w:r>
      <w:r w:rsidRPr="00F673BE">
        <w:rPr>
          <w:sz w:val="22"/>
          <w:szCs w:val="22"/>
        </w:rPr>
        <w:t xml:space="preserve"> when </w:t>
      </w:r>
      <w:r w:rsidR="002034F9" w:rsidRPr="00F673BE">
        <w:rPr>
          <w:sz w:val="22"/>
          <w:szCs w:val="22"/>
        </w:rPr>
        <w:t>assessing questions of inconsistency with other appraisals</w:t>
      </w:r>
      <w:r w:rsidR="00295D71">
        <w:rPr>
          <w:sz w:val="22"/>
          <w:szCs w:val="22"/>
        </w:rPr>
        <w:t xml:space="preserve"> without access to </w:t>
      </w:r>
      <w:proofErr w:type="gramStart"/>
      <w:r w:rsidR="00F41D71">
        <w:rPr>
          <w:sz w:val="22"/>
          <w:szCs w:val="22"/>
        </w:rPr>
        <w:t>all of</w:t>
      </w:r>
      <w:proofErr w:type="gramEnd"/>
      <w:r w:rsidR="00F41D71">
        <w:rPr>
          <w:sz w:val="22"/>
          <w:szCs w:val="22"/>
        </w:rPr>
        <w:t xml:space="preserve"> the </w:t>
      </w:r>
      <w:r w:rsidR="00295D71">
        <w:rPr>
          <w:sz w:val="22"/>
          <w:szCs w:val="22"/>
        </w:rPr>
        <w:t>papers from those appraisals</w:t>
      </w:r>
      <w:r w:rsidR="00B358C8">
        <w:rPr>
          <w:sz w:val="22"/>
          <w:szCs w:val="22"/>
        </w:rPr>
        <w:t xml:space="preserve">.  We appreciate </w:t>
      </w:r>
      <w:r w:rsidR="002034F9" w:rsidRPr="00F673BE">
        <w:rPr>
          <w:sz w:val="22"/>
          <w:szCs w:val="22"/>
        </w:rPr>
        <w:t>your efforts to</w:t>
      </w:r>
      <w:r w:rsidR="00B358C8">
        <w:rPr>
          <w:sz w:val="22"/>
          <w:szCs w:val="22"/>
        </w:rPr>
        <w:t xml:space="preserve"> provide the Appeal Panel with </w:t>
      </w:r>
      <w:r w:rsidR="00F41D71">
        <w:rPr>
          <w:sz w:val="22"/>
          <w:szCs w:val="22"/>
        </w:rPr>
        <w:t xml:space="preserve">sufficient </w:t>
      </w:r>
      <w:r w:rsidR="00B358C8">
        <w:rPr>
          <w:sz w:val="22"/>
          <w:szCs w:val="22"/>
        </w:rPr>
        <w:t>context to</w:t>
      </w:r>
      <w:r w:rsidR="00295D71">
        <w:rPr>
          <w:sz w:val="22"/>
          <w:szCs w:val="22"/>
        </w:rPr>
        <w:t xml:space="preserve"> address </w:t>
      </w:r>
      <w:r w:rsidR="00ED2BA5">
        <w:rPr>
          <w:sz w:val="22"/>
          <w:szCs w:val="22"/>
        </w:rPr>
        <w:t xml:space="preserve">meaningfully </w:t>
      </w:r>
      <w:r w:rsidR="00B358C8">
        <w:rPr>
          <w:sz w:val="22"/>
          <w:szCs w:val="22"/>
        </w:rPr>
        <w:t>our submissions on inconsistency</w:t>
      </w:r>
      <w:r w:rsidR="008A2DCE">
        <w:rPr>
          <w:sz w:val="22"/>
          <w:szCs w:val="22"/>
        </w:rPr>
        <w:t xml:space="preserve">.  We are very grateful </w:t>
      </w:r>
      <w:r w:rsidR="00295D71">
        <w:rPr>
          <w:sz w:val="22"/>
          <w:szCs w:val="22"/>
        </w:rPr>
        <w:t xml:space="preserve">that </w:t>
      </w:r>
      <w:r w:rsidR="008A2DCE">
        <w:rPr>
          <w:sz w:val="22"/>
          <w:szCs w:val="22"/>
        </w:rPr>
        <w:t xml:space="preserve">the FAD </w:t>
      </w:r>
      <w:r w:rsidR="00295D71">
        <w:rPr>
          <w:sz w:val="22"/>
          <w:szCs w:val="22"/>
        </w:rPr>
        <w:t xml:space="preserve">from </w:t>
      </w:r>
      <w:r w:rsidR="008A2DCE">
        <w:rPr>
          <w:sz w:val="22"/>
          <w:szCs w:val="22"/>
        </w:rPr>
        <w:t xml:space="preserve">TA525 </w:t>
      </w:r>
      <w:r w:rsidR="00295D71">
        <w:rPr>
          <w:sz w:val="22"/>
          <w:szCs w:val="22"/>
        </w:rPr>
        <w:t xml:space="preserve">is to be added to </w:t>
      </w:r>
      <w:r w:rsidR="002034F9" w:rsidRPr="00F673BE">
        <w:rPr>
          <w:sz w:val="22"/>
          <w:szCs w:val="22"/>
        </w:rPr>
        <w:t>the</w:t>
      </w:r>
      <w:r w:rsidR="00567094">
        <w:rPr>
          <w:sz w:val="22"/>
          <w:szCs w:val="22"/>
        </w:rPr>
        <w:t xml:space="preserve"> </w:t>
      </w:r>
      <w:r w:rsidR="00B358C8">
        <w:rPr>
          <w:sz w:val="22"/>
          <w:szCs w:val="22"/>
        </w:rPr>
        <w:t xml:space="preserve">appeal </w:t>
      </w:r>
      <w:r w:rsidR="00567094">
        <w:rPr>
          <w:sz w:val="22"/>
          <w:szCs w:val="22"/>
        </w:rPr>
        <w:t xml:space="preserve">bundle </w:t>
      </w:r>
      <w:r w:rsidR="00B358C8">
        <w:rPr>
          <w:sz w:val="22"/>
          <w:szCs w:val="22"/>
        </w:rPr>
        <w:t xml:space="preserve">and agree that this </w:t>
      </w:r>
      <w:r w:rsidR="00567094">
        <w:rPr>
          <w:sz w:val="22"/>
          <w:szCs w:val="22"/>
        </w:rPr>
        <w:t>would benefit the Appeal Hearing</w:t>
      </w:r>
      <w:r w:rsidR="002034F9" w:rsidRPr="00F673BE">
        <w:rPr>
          <w:sz w:val="22"/>
          <w:szCs w:val="22"/>
        </w:rPr>
        <w:t>.  Howev</w:t>
      </w:r>
      <w:r w:rsidR="00075074" w:rsidRPr="00F673BE">
        <w:rPr>
          <w:sz w:val="22"/>
          <w:szCs w:val="22"/>
        </w:rPr>
        <w:t>er, as our Appeal Letter suggests, inconsistency is a pervasive point in this appeal</w:t>
      </w:r>
      <w:r w:rsidR="007E037A">
        <w:rPr>
          <w:sz w:val="22"/>
          <w:szCs w:val="22"/>
        </w:rPr>
        <w:t xml:space="preserve"> and was an issue we had raised in our communications with NICE </w:t>
      </w:r>
      <w:r w:rsidR="00A50A9D">
        <w:rPr>
          <w:sz w:val="22"/>
          <w:szCs w:val="22"/>
        </w:rPr>
        <w:t xml:space="preserve">and the ERG </w:t>
      </w:r>
      <w:r w:rsidR="00F41D71">
        <w:rPr>
          <w:sz w:val="22"/>
          <w:szCs w:val="22"/>
        </w:rPr>
        <w:t>during consultation</w:t>
      </w:r>
      <w:r w:rsidR="00075074" w:rsidRPr="00F673BE">
        <w:rPr>
          <w:sz w:val="22"/>
          <w:szCs w:val="22"/>
        </w:rPr>
        <w:t>.</w:t>
      </w:r>
      <w:r w:rsidR="00D60661" w:rsidRPr="00F673BE">
        <w:rPr>
          <w:sz w:val="22"/>
          <w:szCs w:val="22"/>
        </w:rPr>
        <w:t xml:space="preserve">  </w:t>
      </w:r>
      <w:r w:rsidR="00C73B42">
        <w:rPr>
          <w:sz w:val="22"/>
          <w:szCs w:val="22"/>
        </w:rPr>
        <w:t xml:space="preserve">Much of that only becomes clear when one compares the documents </w:t>
      </w:r>
      <w:r w:rsidR="00D349A1">
        <w:rPr>
          <w:sz w:val="22"/>
          <w:szCs w:val="22"/>
        </w:rPr>
        <w:t>that contributed to the FAD in TA525 against those in this appraisal, as these show the approach taken t</w:t>
      </w:r>
      <w:r w:rsidR="003E425E">
        <w:rPr>
          <w:sz w:val="22"/>
          <w:szCs w:val="22"/>
        </w:rPr>
        <w:t>o the evidence submitted</w:t>
      </w:r>
      <w:r w:rsidR="00D349A1">
        <w:rPr>
          <w:sz w:val="22"/>
          <w:szCs w:val="22"/>
        </w:rPr>
        <w:t>.  T</w:t>
      </w:r>
      <w:r w:rsidR="00C73B42">
        <w:rPr>
          <w:sz w:val="22"/>
          <w:szCs w:val="22"/>
        </w:rPr>
        <w:t>he TA525 FAD</w:t>
      </w:r>
      <w:r w:rsidR="00D349A1">
        <w:rPr>
          <w:sz w:val="22"/>
          <w:szCs w:val="22"/>
        </w:rPr>
        <w:t xml:space="preserve"> ultimately shows the conclusions the</w:t>
      </w:r>
      <w:r w:rsidR="003E425E">
        <w:rPr>
          <w:sz w:val="22"/>
          <w:szCs w:val="22"/>
        </w:rPr>
        <w:t xml:space="preserve"> Appraisal Committee reached with a summary of the methodology.  On </w:t>
      </w:r>
      <w:r w:rsidR="00D349A1">
        <w:rPr>
          <w:sz w:val="22"/>
          <w:szCs w:val="22"/>
        </w:rPr>
        <w:t xml:space="preserve">its own, </w:t>
      </w:r>
      <w:r w:rsidR="003E425E">
        <w:rPr>
          <w:sz w:val="22"/>
          <w:szCs w:val="22"/>
        </w:rPr>
        <w:t xml:space="preserve">it </w:t>
      </w:r>
      <w:r w:rsidR="00C73B42">
        <w:rPr>
          <w:sz w:val="22"/>
          <w:szCs w:val="22"/>
        </w:rPr>
        <w:t xml:space="preserve">is insufficient evidence to demonstrate </w:t>
      </w:r>
      <w:r w:rsidR="00D349A1">
        <w:rPr>
          <w:sz w:val="22"/>
          <w:szCs w:val="22"/>
        </w:rPr>
        <w:t>many of the inconsistencies that are central to this Ground</w:t>
      </w:r>
      <w:r w:rsidR="00C73B42">
        <w:rPr>
          <w:sz w:val="22"/>
          <w:szCs w:val="22"/>
        </w:rPr>
        <w:t>.</w:t>
      </w:r>
    </w:p>
    <w:p w14:paraId="296DD69D" w14:textId="77777777" w:rsidR="00194352" w:rsidRDefault="00194352" w:rsidP="00F673BE">
      <w:pPr>
        <w:jc w:val="both"/>
        <w:rPr>
          <w:sz w:val="22"/>
          <w:szCs w:val="22"/>
        </w:rPr>
      </w:pPr>
    </w:p>
    <w:p w14:paraId="18398021" w14:textId="1260005F" w:rsidR="00D82F82" w:rsidRDefault="001E1C67" w:rsidP="00F673BE">
      <w:pPr>
        <w:jc w:val="both"/>
        <w:rPr>
          <w:sz w:val="22"/>
          <w:szCs w:val="22"/>
        </w:rPr>
      </w:pPr>
      <w:proofErr w:type="gramStart"/>
      <w:r w:rsidRPr="00613C7D">
        <w:rPr>
          <w:sz w:val="22"/>
          <w:szCs w:val="22"/>
        </w:rPr>
        <w:t xml:space="preserve">In particular, </w:t>
      </w:r>
      <w:r w:rsidR="003E425E" w:rsidRPr="00613C7D">
        <w:rPr>
          <w:sz w:val="22"/>
          <w:szCs w:val="22"/>
        </w:rPr>
        <w:t>in</w:t>
      </w:r>
      <w:proofErr w:type="gramEnd"/>
      <w:r w:rsidR="003E425E" w:rsidRPr="00613C7D">
        <w:rPr>
          <w:sz w:val="22"/>
          <w:szCs w:val="22"/>
        </w:rPr>
        <w:t xml:space="preserve"> this appraisal, </w:t>
      </w:r>
      <w:r w:rsidRPr="00613C7D">
        <w:rPr>
          <w:sz w:val="22"/>
          <w:szCs w:val="22"/>
        </w:rPr>
        <w:t xml:space="preserve">ERG </w:t>
      </w:r>
      <w:r w:rsidR="0048205C" w:rsidRPr="00613C7D">
        <w:rPr>
          <w:sz w:val="22"/>
          <w:szCs w:val="22"/>
        </w:rPr>
        <w:t xml:space="preserve">introduced uncertainty around </w:t>
      </w:r>
      <w:r w:rsidR="003E2D35" w:rsidRPr="00613C7D">
        <w:rPr>
          <w:sz w:val="22"/>
          <w:szCs w:val="22"/>
        </w:rPr>
        <w:t>how</w:t>
      </w:r>
      <w:r w:rsidR="005D506D" w:rsidRPr="00613C7D">
        <w:rPr>
          <w:sz w:val="22"/>
          <w:szCs w:val="22"/>
        </w:rPr>
        <w:t xml:space="preserve"> we had understood</w:t>
      </w:r>
      <w:r w:rsidR="00FC5C11" w:rsidRPr="00613C7D">
        <w:rPr>
          <w:sz w:val="22"/>
          <w:szCs w:val="22"/>
        </w:rPr>
        <w:t xml:space="preserve"> treatment effect </w:t>
      </w:r>
      <w:r w:rsidR="00894455" w:rsidRPr="00613C7D">
        <w:rPr>
          <w:sz w:val="22"/>
          <w:szCs w:val="22"/>
        </w:rPr>
        <w:t xml:space="preserve">to be </w:t>
      </w:r>
      <w:r w:rsidR="00FC5C11" w:rsidRPr="00613C7D">
        <w:rPr>
          <w:sz w:val="22"/>
          <w:szCs w:val="22"/>
        </w:rPr>
        <w:t xml:space="preserve">implemented </w:t>
      </w:r>
      <w:r w:rsidR="00173690" w:rsidRPr="00613C7D">
        <w:rPr>
          <w:sz w:val="22"/>
          <w:szCs w:val="22"/>
        </w:rPr>
        <w:t xml:space="preserve">in </w:t>
      </w:r>
      <w:r w:rsidR="00FC5C11" w:rsidRPr="00613C7D">
        <w:rPr>
          <w:sz w:val="22"/>
          <w:szCs w:val="22"/>
        </w:rPr>
        <w:t>the economic mode</w:t>
      </w:r>
      <w:r w:rsidR="00173690" w:rsidRPr="00613C7D">
        <w:rPr>
          <w:sz w:val="22"/>
          <w:szCs w:val="22"/>
        </w:rPr>
        <w:t>lling</w:t>
      </w:r>
      <w:r w:rsidR="00B53A6E" w:rsidRPr="00613C7D">
        <w:rPr>
          <w:sz w:val="22"/>
          <w:szCs w:val="22"/>
        </w:rPr>
        <w:t xml:space="preserve"> for TA525</w:t>
      </w:r>
      <w:r w:rsidR="003E425E" w:rsidRPr="00613C7D">
        <w:rPr>
          <w:sz w:val="22"/>
          <w:szCs w:val="22"/>
        </w:rPr>
        <w:t xml:space="preserve">.  That called into question </w:t>
      </w:r>
      <w:r w:rsidR="003E2D35" w:rsidRPr="00613C7D">
        <w:rPr>
          <w:sz w:val="22"/>
          <w:szCs w:val="22"/>
        </w:rPr>
        <w:t xml:space="preserve">our view that </w:t>
      </w:r>
      <w:r w:rsidR="00AB5C95" w:rsidRPr="00613C7D">
        <w:rPr>
          <w:sz w:val="22"/>
          <w:szCs w:val="22"/>
        </w:rPr>
        <w:t xml:space="preserve">NICE’s </w:t>
      </w:r>
      <w:r w:rsidR="003E2D35" w:rsidRPr="00613C7D">
        <w:rPr>
          <w:sz w:val="22"/>
          <w:szCs w:val="22"/>
        </w:rPr>
        <w:t>approach</w:t>
      </w:r>
      <w:r w:rsidR="00AB5C95" w:rsidRPr="00613C7D">
        <w:rPr>
          <w:sz w:val="22"/>
          <w:szCs w:val="22"/>
        </w:rPr>
        <w:t xml:space="preserve"> in this appraisal</w:t>
      </w:r>
      <w:r w:rsidR="003E2D35" w:rsidRPr="00613C7D">
        <w:rPr>
          <w:sz w:val="22"/>
          <w:szCs w:val="22"/>
        </w:rPr>
        <w:t xml:space="preserve"> was inconsistent with that in TA525.</w:t>
      </w:r>
      <w:r w:rsidR="00FC5C11" w:rsidRPr="00613C7D">
        <w:rPr>
          <w:sz w:val="22"/>
          <w:szCs w:val="22"/>
        </w:rPr>
        <w:t xml:space="preserve">  </w:t>
      </w:r>
      <w:r w:rsidR="00113B6E" w:rsidRPr="00613C7D">
        <w:rPr>
          <w:sz w:val="22"/>
          <w:szCs w:val="22"/>
        </w:rPr>
        <w:t xml:space="preserve">In </w:t>
      </w:r>
      <w:r w:rsidR="00A1451A" w:rsidRPr="00613C7D">
        <w:rPr>
          <w:sz w:val="22"/>
          <w:szCs w:val="22"/>
        </w:rPr>
        <w:t xml:space="preserve">our response to the ACD, we </w:t>
      </w:r>
      <w:r w:rsidR="004F7950" w:rsidRPr="00613C7D">
        <w:rPr>
          <w:sz w:val="22"/>
          <w:szCs w:val="22"/>
        </w:rPr>
        <w:t>pointed to a body of e</w:t>
      </w:r>
      <w:r w:rsidR="00814556" w:rsidRPr="00613C7D">
        <w:rPr>
          <w:sz w:val="22"/>
          <w:szCs w:val="22"/>
        </w:rPr>
        <w:t xml:space="preserve">vidence that underlined </w:t>
      </w:r>
      <w:r w:rsidR="005D506D" w:rsidRPr="00613C7D">
        <w:rPr>
          <w:sz w:val="22"/>
          <w:szCs w:val="22"/>
        </w:rPr>
        <w:t xml:space="preserve">our understanding </w:t>
      </w:r>
      <w:r w:rsidR="003E425E" w:rsidRPr="00613C7D">
        <w:rPr>
          <w:sz w:val="22"/>
          <w:szCs w:val="22"/>
        </w:rPr>
        <w:t xml:space="preserve">of TA525 </w:t>
      </w:r>
      <w:r w:rsidR="005D506D" w:rsidRPr="00613C7D">
        <w:rPr>
          <w:sz w:val="22"/>
          <w:szCs w:val="22"/>
        </w:rPr>
        <w:t xml:space="preserve">and supported our </w:t>
      </w:r>
      <w:r w:rsidR="0080626A" w:rsidRPr="00613C7D">
        <w:rPr>
          <w:sz w:val="22"/>
          <w:szCs w:val="22"/>
        </w:rPr>
        <w:t xml:space="preserve">view </w:t>
      </w:r>
      <w:r w:rsidR="005D506D" w:rsidRPr="00613C7D">
        <w:rPr>
          <w:sz w:val="22"/>
          <w:szCs w:val="22"/>
        </w:rPr>
        <w:t xml:space="preserve">that NICE had taken a divergent approach in this case. We also </w:t>
      </w:r>
      <w:r w:rsidR="00113B6E" w:rsidRPr="00613C7D">
        <w:rPr>
          <w:sz w:val="22"/>
          <w:szCs w:val="22"/>
        </w:rPr>
        <w:t xml:space="preserve">emphasised </w:t>
      </w:r>
      <w:r w:rsidR="007E144C" w:rsidRPr="00613C7D">
        <w:rPr>
          <w:sz w:val="22"/>
          <w:szCs w:val="22"/>
        </w:rPr>
        <w:t xml:space="preserve">that our </w:t>
      </w:r>
      <w:r w:rsidR="006437D7" w:rsidRPr="00613C7D">
        <w:rPr>
          <w:sz w:val="22"/>
          <w:szCs w:val="22"/>
        </w:rPr>
        <w:t xml:space="preserve">base case assumptions concerning the </w:t>
      </w:r>
      <w:r w:rsidR="00756561" w:rsidRPr="00613C7D">
        <w:rPr>
          <w:sz w:val="22"/>
          <w:szCs w:val="22"/>
        </w:rPr>
        <w:t xml:space="preserve">duration of </w:t>
      </w:r>
      <w:r w:rsidR="006437D7" w:rsidRPr="00613C7D">
        <w:rPr>
          <w:sz w:val="22"/>
          <w:szCs w:val="22"/>
        </w:rPr>
        <w:t xml:space="preserve">treatment effect </w:t>
      </w:r>
      <w:r w:rsidR="00756561" w:rsidRPr="00613C7D">
        <w:rPr>
          <w:sz w:val="22"/>
          <w:szCs w:val="22"/>
        </w:rPr>
        <w:t xml:space="preserve">were </w:t>
      </w:r>
      <w:r w:rsidR="005923B2" w:rsidRPr="00613C7D">
        <w:rPr>
          <w:sz w:val="22"/>
          <w:szCs w:val="22"/>
        </w:rPr>
        <w:t xml:space="preserve">clearly </w:t>
      </w:r>
      <w:r w:rsidR="00810A7A" w:rsidRPr="00613C7D">
        <w:rPr>
          <w:sz w:val="22"/>
          <w:szCs w:val="22"/>
        </w:rPr>
        <w:t xml:space="preserve">based on principles and methods </w:t>
      </w:r>
      <w:r w:rsidR="002603AE" w:rsidRPr="00613C7D">
        <w:rPr>
          <w:sz w:val="22"/>
          <w:szCs w:val="22"/>
        </w:rPr>
        <w:t>that the Appraisal Committee had considered to be acceptable in past appraisals.</w:t>
      </w:r>
      <w:r w:rsidR="0008312A" w:rsidRPr="00613C7D">
        <w:rPr>
          <w:sz w:val="22"/>
          <w:szCs w:val="22"/>
        </w:rPr>
        <w:t xml:space="preserve"> </w:t>
      </w:r>
      <w:r w:rsidR="002603AE" w:rsidRPr="00613C7D">
        <w:rPr>
          <w:sz w:val="22"/>
          <w:szCs w:val="22"/>
        </w:rPr>
        <w:t xml:space="preserve"> </w:t>
      </w:r>
      <w:r w:rsidR="005D506D" w:rsidRPr="00613C7D">
        <w:rPr>
          <w:sz w:val="22"/>
          <w:szCs w:val="22"/>
        </w:rPr>
        <w:t xml:space="preserve">To validate our point, Comment 12 of our response to the ACD </w:t>
      </w:r>
      <w:proofErr w:type="gramStart"/>
      <w:r w:rsidR="005D506D" w:rsidRPr="00613C7D">
        <w:rPr>
          <w:sz w:val="22"/>
          <w:szCs w:val="22"/>
        </w:rPr>
        <w:t xml:space="preserve">made </w:t>
      </w:r>
      <w:r w:rsidR="002603AE" w:rsidRPr="00613C7D">
        <w:rPr>
          <w:sz w:val="22"/>
          <w:szCs w:val="22"/>
        </w:rPr>
        <w:t>reference</w:t>
      </w:r>
      <w:proofErr w:type="gramEnd"/>
      <w:r w:rsidR="002603AE" w:rsidRPr="00613C7D">
        <w:rPr>
          <w:sz w:val="22"/>
          <w:szCs w:val="22"/>
        </w:rPr>
        <w:t xml:space="preserve"> to certain documents from TA525 </w:t>
      </w:r>
      <w:r w:rsidR="006437D7" w:rsidRPr="00613C7D">
        <w:rPr>
          <w:sz w:val="22"/>
          <w:szCs w:val="22"/>
        </w:rPr>
        <w:t>(</w:t>
      </w:r>
      <w:r w:rsidR="00756561" w:rsidRPr="00613C7D">
        <w:rPr>
          <w:sz w:val="22"/>
          <w:szCs w:val="22"/>
        </w:rPr>
        <w:t xml:space="preserve">the </w:t>
      </w:r>
      <w:r w:rsidR="006437D7" w:rsidRPr="00613C7D">
        <w:rPr>
          <w:sz w:val="22"/>
          <w:szCs w:val="22"/>
        </w:rPr>
        <w:t>3</w:t>
      </w:r>
      <w:r w:rsidR="006437D7" w:rsidRPr="00613C7D">
        <w:rPr>
          <w:sz w:val="22"/>
          <w:szCs w:val="22"/>
          <w:vertAlign w:val="superscript"/>
        </w:rPr>
        <w:t>rd</w:t>
      </w:r>
      <w:r w:rsidR="006437D7" w:rsidRPr="00613C7D">
        <w:rPr>
          <w:sz w:val="22"/>
          <w:szCs w:val="22"/>
        </w:rPr>
        <w:t xml:space="preserve"> set of </w:t>
      </w:r>
      <w:r w:rsidR="00756561" w:rsidRPr="00613C7D">
        <w:rPr>
          <w:sz w:val="22"/>
          <w:szCs w:val="22"/>
        </w:rPr>
        <w:t>c</w:t>
      </w:r>
      <w:r w:rsidR="006437D7" w:rsidRPr="00613C7D">
        <w:rPr>
          <w:sz w:val="22"/>
          <w:szCs w:val="22"/>
        </w:rPr>
        <w:t xml:space="preserve">ommittee </w:t>
      </w:r>
      <w:r w:rsidR="00756561" w:rsidRPr="00613C7D">
        <w:rPr>
          <w:sz w:val="22"/>
          <w:szCs w:val="22"/>
        </w:rPr>
        <w:t>p</w:t>
      </w:r>
      <w:r w:rsidR="006437D7" w:rsidRPr="00613C7D">
        <w:rPr>
          <w:sz w:val="22"/>
          <w:szCs w:val="22"/>
        </w:rPr>
        <w:t xml:space="preserve">apers) </w:t>
      </w:r>
      <w:r w:rsidR="002603AE" w:rsidRPr="00613C7D">
        <w:rPr>
          <w:sz w:val="22"/>
          <w:szCs w:val="22"/>
        </w:rPr>
        <w:t>and</w:t>
      </w:r>
      <w:r w:rsidR="00871506" w:rsidRPr="00613C7D">
        <w:rPr>
          <w:sz w:val="22"/>
          <w:szCs w:val="22"/>
        </w:rPr>
        <w:t xml:space="preserve"> TA520 </w:t>
      </w:r>
      <w:r w:rsidR="006437D7" w:rsidRPr="00613C7D">
        <w:rPr>
          <w:sz w:val="22"/>
          <w:szCs w:val="22"/>
        </w:rPr>
        <w:t>(</w:t>
      </w:r>
      <w:r w:rsidR="00756561" w:rsidRPr="00613C7D">
        <w:rPr>
          <w:sz w:val="22"/>
          <w:szCs w:val="22"/>
        </w:rPr>
        <w:t xml:space="preserve">the </w:t>
      </w:r>
      <w:r w:rsidR="006437D7" w:rsidRPr="00613C7D">
        <w:rPr>
          <w:sz w:val="22"/>
          <w:szCs w:val="22"/>
        </w:rPr>
        <w:t>1</w:t>
      </w:r>
      <w:r w:rsidR="006437D7" w:rsidRPr="00613C7D">
        <w:rPr>
          <w:sz w:val="22"/>
          <w:szCs w:val="22"/>
          <w:vertAlign w:val="superscript"/>
        </w:rPr>
        <w:t>st</w:t>
      </w:r>
      <w:r w:rsidR="006437D7" w:rsidRPr="00613C7D">
        <w:rPr>
          <w:sz w:val="22"/>
          <w:szCs w:val="22"/>
        </w:rPr>
        <w:t xml:space="preserve"> set of </w:t>
      </w:r>
      <w:r w:rsidR="00756561" w:rsidRPr="00613C7D">
        <w:rPr>
          <w:sz w:val="22"/>
          <w:szCs w:val="22"/>
        </w:rPr>
        <w:t>c</w:t>
      </w:r>
      <w:r w:rsidR="006437D7" w:rsidRPr="00613C7D">
        <w:rPr>
          <w:sz w:val="22"/>
          <w:szCs w:val="22"/>
        </w:rPr>
        <w:t xml:space="preserve">ommittee </w:t>
      </w:r>
      <w:r w:rsidR="00756561" w:rsidRPr="00613C7D">
        <w:rPr>
          <w:sz w:val="22"/>
          <w:szCs w:val="22"/>
        </w:rPr>
        <w:t>p</w:t>
      </w:r>
      <w:r w:rsidR="006437D7" w:rsidRPr="00613C7D">
        <w:rPr>
          <w:sz w:val="22"/>
          <w:szCs w:val="22"/>
        </w:rPr>
        <w:t>apers)</w:t>
      </w:r>
      <w:r w:rsidR="00871506" w:rsidRPr="00613C7D">
        <w:rPr>
          <w:sz w:val="22"/>
          <w:szCs w:val="22"/>
        </w:rPr>
        <w:t xml:space="preserve">.  </w:t>
      </w:r>
      <w:r w:rsidR="00D16305" w:rsidRPr="00613C7D">
        <w:rPr>
          <w:sz w:val="22"/>
          <w:szCs w:val="22"/>
        </w:rPr>
        <w:t xml:space="preserve">Comments 3 and 12 of our response to the ACD also referred </w:t>
      </w:r>
      <w:r w:rsidR="00903C57" w:rsidRPr="00613C7D">
        <w:rPr>
          <w:sz w:val="22"/>
          <w:szCs w:val="22"/>
        </w:rPr>
        <w:t xml:space="preserve">to how the Appraisal Committee in TA525 had looked to </w:t>
      </w:r>
      <w:r w:rsidR="00903C57" w:rsidRPr="00613C7D">
        <w:rPr>
          <w:rFonts w:ascii="Times New Roman" w:hAnsi="Times New Roman" w:cs="Times New Roman"/>
          <w:sz w:val="22"/>
          <w:szCs w:val="22"/>
          <w:lang w:val="en-US"/>
        </w:rPr>
        <w:t>appraisals of immunotherapies in other indications where a stopping rule applied</w:t>
      </w:r>
      <w:r w:rsidR="00903C57" w:rsidRPr="00613C7D">
        <w:rPr>
          <w:sz w:val="22"/>
          <w:szCs w:val="22"/>
        </w:rPr>
        <w:t xml:space="preserve"> to inform its estimate of the treatment effect</w:t>
      </w:r>
      <w:r w:rsidR="00577A14" w:rsidRPr="00613C7D">
        <w:rPr>
          <w:sz w:val="22"/>
          <w:szCs w:val="22"/>
        </w:rPr>
        <w:t xml:space="preserve"> for</w:t>
      </w:r>
      <w:r w:rsidR="00903C57" w:rsidRPr="00613C7D">
        <w:rPr>
          <w:sz w:val="22"/>
          <w:szCs w:val="22"/>
        </w:rPr>
        <w:t xml:space="preserve"> </w:t>
      </w:r>
      <w:r w:rsidR="00903C57">
        <w:rPr>
          <w:sz w:val="22"/>
          <w:szCs w:val="22"/>
        </w:rPr>
        <w:t xml:space="preserve">atezolizumab.  The </w:t>
      </w:r>
      <w:r w:rsidR="006437D7" w:rsidRPr="0097425F">
        <w:rPr>
          <w:sz w:val="22"/>
          <w:szCs w:val="22"/>
        </w:rPr>
        <w:t>3</w:t>
      </w:r>
      <w:r w:rsidR="006437D7" w:rsidRPr="00025B61">
        <w:rPr>
          <w:sz w:val="22"/>
          <w:szCs w:val="22"/>
          <w:vertAlign w:val="superscript"/>
        </w:rPr>
        <w:t>rd</w:t>
      </w:r>
      <w:r w:rsidR="006437D7">
        <w:rPr>
          <w:sz w:val="22"/>
          <w:szCs w:val="22"/>
        </w:rPr>
        <w:t xml:space="preserve"> </w:t>
      </w:r>
      <w:r w:rsidR="006437D7" w:rsidRPr="0097425F">
        <w:rPr>
          <w:sz w:val="22"/>
          <w:szCs w:val="22"/>
        </w:rPr>
        <w:t>set of public committee slides</w:t>
      </w:r>
      <w:r w:rsidR="00903C57">
        <w:rPr>
          <w:sz w:val="22"/>
          <w:szCs w:val="22"/>
        </w:rPr>
        <w:t xml:space="preserve"> in TA525</w:t>
      </w:r>
      <w:r w:rsidR="00113B6E">
        <w:rPr>
          <w:sz w:val="22"/>
          <w:szCs w:val="22"/>
        </w:rPr>
        <w:t xml:space="preserve"> </w:t>
      </w:r>
      <w:r w:rsidR="00903C57">
        <w:rPr>
          <w:sz w:val="22"/>
          <w:szCs w:val="22"/>
        </w:rPr>
        <w:t>shows this succinctly and is important evidence</w:t>
      </w:r>
      <w:r w:rsidR="00D82F82">
        <w:rPr>
          <w:sz w:val="22"/>
          <w:szCs w:val="22"/>
        </w:rPr>
        <w:t xml:space="preserve"> </w:t>
      </w:r>
      <w:r w:rsidR="00903C57">
        <w:rPr>
          <w:sz w:val="22"/>
          <w:szCs w:val="22"/>
        </w:rPr>
        <w:t xml:space="preserve">for </w:t>
      </w:r>
      <w:r w:rsidR="006437D7" w:rsidRPr="0097425F">
        <w:rPr>
          <w:sz w:val="22"/>
          <w:szCs w:val="22"/>
        </w:rPr>
        <w:t xml:space="preserve">Ground 1a.1 </w:t>
      </w:r>
      <w:r w:rsidR="00903C57">
        <w:rPr>
          <w:sz w:val="22"/>
          <w:szCs w:val="22"/>
        </w:rPr>
        <w:t>(particularly the sub-section entitled “</w:t>
      </w:r>
      <w:r w:rsidR="00903C57" w:rsidRPr="00903C57">
        <w:rPr>
          <w:sz w:val="22"/>
          <w:szCs w:val="22"/>
        </w:rPr>
        <w:t>Rejection of Precedent from Other Immuno-Oncology Technology Appraisals</w:t>
      </w:r>
      <w:r w:rsidR="00903C57">
        <w:rPr>
          <w:sz w:val="22"/>
          <w:szCs w:val="22"/>
        </w:rPr>
        <w:t>”).</w:t>
      </w:r>
    </w:p>
    <w:p w14:paraId="34138E0A" w14:textId="77777777" w:rsidR="00D82F82" w:rsidRDefault="00D82F82" w:rsidP="00F673BE">
      <w:pPr>
        <w:jc w:val="both"/>
        <w:rPr>
          <w:sz w:val="22"/>
          <w:szCs w:val="22"/>
        </w:rPr>
      </w:pPr>
    </w:p>
    <w:p w14:paraId="739D02EC" w14:textId="16B03D8C" w:rsidR="00871506" w:rsidRDefault="00D82F82" w:rsidP="00F673BE">
      <w:pPr>
        <w:jc w:val="both"/>
        <w:rPr>
          <w:sz w:val="22"/>
          <w:szCs w:val="22"/>
        </w:rPr>
      </w:pPr>
      <w:r>
        <w:rPr>
          <w:sz w:val="22"/>
          <w:szCs w:val="22"/>
        </w:rPr>
        <w:t>We feel it is important to be able to refer to these documents first-hand during the Appeal Hearing</w:t>
      </w:r>
      <w:r w:rsidR="003E425E">
        <w:rPr>
          <w:sz w:val="22"/>
          <w:szCs w:val="22"/>
        </w:rPr>
        <w:t>,</w:t>
      </w:r>
      <w:r>
        <w:rPr>
          <w:sz w:val="22"/>
          <w:szCs w:val="22"/>
        </w:rPr>
        <w:t xml:space="preserve"> so that the Appeal Panel can </w:t>
      </w:r>
      <w:r w:rsidR="005923B2">
        <w:rPr>
          <w:sz w:val="22"/>
          <w:szCs w:val="22"/>
        </w:rPr>
        <w:t xml:space="preserve">fully </w:t>
      </w:r>
      <w:r>
        <w:rPr>
          <w:sz w:val="22"/>
          <w:szCs w:val="22"/>
        </w:rPr>
        <w:t xml:space="preserve">understand the </w:t>
      </w:r>
      <w:r w:rsidR="005923B2">
        <w:rPr>
          <w:sz w:val="22"/>
          <w:szCs w:val="22"/>
        </w:rPr>
        <w:t xml:space="preserve">differences in the </w:t>
      </w:r>
      <w:r>
        <w:rPr>
          <w:sz w:val="22"/>
          <w:szCs w:val="22"/>
        </w:rPr>
        <w:t>Appraisal Committee’s approach</w:t>
      </w:r>
      <w:r w:rsidR="005923B2">
        <w:rPr>
          <w:sz w:val="22"/>
          <w:szCs w:val="22"/>
        </w:rPr>
        <w:t xml:space="preserve"> to the two appraisals</w:t>
      </w:r>
      <w:r>
        <w:rPr>
          <w:sz w:val="22"/>
          <w:szCs w:val="22"/>
        </w:rPr>
        <w:t xml:space="preserve"> and assess </w:t>
      </w:r>
      <w:r w:rsidRPr="00871506">
        <w:rPr>
          <w:sz w:val="22"/>
          <w:szCs w:val="22"/>
        </w:rPr>
        <w:t xml:space="preserve">whether the </w:t>
      </w:r>
      <w:r w:rsidR="00903C57">
        <w:rPr>
          <w:sz w:val="22"/>
          <w:szCs w:val="22"/>
        </w:rPr>
        <w:t xml:space="preserve">Appraisal Committee was correct, following the ACD consultation, to </w:t>
      </w:r>
      <w:r w:rsidRPr="00871506">
        <w:rPr>
          <w:sz w:val="22"/>
          <w:szCs w:val="22"/>
        </w:rPr>
        <w:t xml:space="preserve">reject </w:t>
      </w:r>
      <w:r>
        <w:rPr>
          <w:sz w:val="22"/>
          <w:szCs w:val="22"/>
        </w:rPr>
        <w:t>our submissions around consistency</w:t>
      </w:r>
      <w:r w:rsidRPr="00871506">
        <w:rPr>
          <w:sz w:val="22"/>
          <w:szCs w:val="22"/>
        </w:rPr>
        <w:t xml:space="preserve">.  </w:t>
      </w:r>
      <w:r>
        <w:rPr>
          <w:sz w:val="22"/>
          <w:szCs w:val="22"/>
        </w:rPr>
        <w:t>It would be impossible to do this without an opportunity to review the underlying documents that we highlighted during our eng</w:t>
      </w:r>
      <w:r w:rsidRPr="001D75BA">
        <w:rPr>
          <w:sz w:val="22"/>
          <w:szCs w:val="22"/>
        </w:rPr>
        <w:t xml:space="preserve">agement with the Appraisal Committee.  Therefore, we </w:t>
      </w:r>
      <w:r w:rsidR="00903C57">
        <w:rPr>
          <w:sz w:val="22"/>
          <w:szCs w:val="22"/>
        </w:rPr>
        <w:t xml:space="preserve">respectfully ask </w:t>
      </w:r>
      <w:r w:rsidRPr="001D75BA">
        <w:rPr>
          <w:sz w:val="22"/>
          <w:szCs w:val="22"/>
        </w:rPr>
        <w:t xml:space="preserve">you </w:t>
      </w:r>
      <w:r>
        <w:rPr>
          <w:sz w:val="22"/>
          <w:szCs w:val="22"/>
        </w:rPr>
        <w:t xml:space="preserve">to </w:t>
      </w:r>
      <w:r w:rsidRPr="001D75BA">
        <w:rPr>
          <w:sz w:val="22"/>
          <w:szCs w:val="22"/>
        </w:rPr>
        <w:t xml:space="preserve">consider adding the </w:t>
      </w:r>
      <w:r>
        <w:rPr>
          <w:sz w:val="22"/>
          <w:szCs w:val="22"/>
        </w:rPr>
        <w:t xml:space="preserve">additional documents </w:t>
      </w:r>
      <w:r w:rsidR="00903C57">
        <w:rPr>
          <w:sz w:val="22"/>
          <w:szCs w:val="22"/>
        </w:rPr>
        <w:t xml:space="preserve">below </w:t>
      </w:r>
      <w:r w:rsidRPr="001D75BA">
        <w:rPr>
          <w:sz w:val="22"/>
          <w:szCs w:val="22"/>
        </w:rPr>
        <w:t xml:space="preserve">to the appeal bundle (together with MSD’s comments in response to the ACD, if </w:t>
      </w:r>
      <w:r w:rsidR="00903C57">
        <w:rPr>
          <w:sz w:val="22"/>
          <w:szCs w:val="22"/>
        </w:rPr>
        <w:t>not already included):</w:t>
      </w:r>
    </w:p>
    <w:p w14:paraId="69861384" w14:textId="77777777" w:rsidR="00871506" w:rsidRDefault="00871506" w:rsidP="00F673BE">
      <w:pPr>
        <w:jc w:val="both"/>
        <w:rPr>
          <w:sz w:val="22"/>
          <w:szCs w:val="22"/>
        </w:rPr>
      </w:pPr>
    </w:p>
    <w:p w14:paraId="4F5A2B4F" w14:textId="7D4AAFBF" w:rsidR="006437D7" w:rsidRDefault="006437D7" w:rsidP="006437D7">
      <w:pPr>
        <w:pStyle w:val="ListParagraph"/>
        <w:numPr>
          <w:ilvl w:val="0"/>
          <w:numId w:val="33"/>
        </w:numPr>
        <w:jc w:val="both"/>
        <w:rPr>
          <w:sz w:val="22"/>
          <w:szCs w:val="22"/>
        </w:rPr>
      </w:pPr>
      <w:r w:rsidRPr="00871506">
        <w:rPr>
          <w:sz w:val="22"/>
          <w:szCs w:val="22"/>
        </w:rPr>
        <w:t>TA525 – 3</w:t>
      </w:r>
      <w:r w:rsidRPr="00871506">
        <w:rPr>
          <w:sz w:val="22"/>
          <w:szCs w:val="22"/>
          <w:vertAlign w:val="superscript"/>
        </w:rPr>
        <w:t>rd</w:t>
      </w:r>
      <w:r w:rsidRPr="00871506">
        <w:rPr>
          <w:sz w:val="22"/>
          <w:szCs w:val="22"/>
        </w:rPr>
        <w:t xml:space="preserve"> set of committee papers (in particular</w:t>
      </w:r>
      <w:r w:rsidR="00903C57">
        <w:rPr>
          <w:sz w:val="22"/>
          <w:szCs w:val="22"/>
        </w:rPr>
        <w:t>,</w:t>
      </w:r>
      <w:r w:rsidRPr="00871506">
        <w:rPr>
          <w:sz w:val="22"/>
          <w:szCs w:val="22"/>
        </w:rPr>
        <w:t xml:space="preserve"> the additional analyse</w:t>
      </w:r>
      <w:r>
        <w:rPr>
          <w:sz w:val="22"/>
          <w:szCs w:val="22"/>
        </w:rPr>
        <w:t>s submitted by the company</w:t>
      </w:r>
      <w:proofErr w:type="gramStart"/>
      <w:r>
        <w:rPr>
          <w:sz w:val="22"/>
          <w:szCs w:val="22"/>
        </w:rPr>
        <w:t>);</w:t>
      </w:r>
      <w:proofErr w:type="gramEnd"/>
    </w:p>
    <w:p w14:paraId="447ECBB8" w14:textId="77777777" w:rsidR="006437D7" w:rsidRDefault="006437D7" w:rsidP="006437D7">
      <w:pPr>
        <w:pStyle w:val="ListParagraph"/>
        <w:jc w:val="both"/>
        <w:rPr>
          <w:sz w:val="22"/>
          <w:szCs w:val="22"/>
        </w:rPr>
      </w:pPr>
    </w:p>
    <w:p w14:paraId="57A78B7D" w14:textId="3545221B" w:rsidR="00871506" w:rsidRDefault="00871506" w:rsidP="00871506">
      <w:pPr>
        <w:pStyle w:val="ListParagraph"/>
        <w:numPr>
          <w:ilvl w:val="0"/>
          <w:numId w:val="33"/>
        </w:numPr>
        <w:jc w:val="both"/>
        <w:rPr>
          <w:sz w:val="22"/>
          <w:szCs w:val="22"/>
        </w:rPr>
      </w:pPr>
      <w:r w:rsidRPr="00B358C8">
        <w:rPr>
          <w:sz w:val="22"/>
          <w:szCs w:val="22"/>
        </w:rPr>
        <w:t xml:space="preserve">TA520 </w:t>
      </w:r>
      <w:r>
        <w:rPr>
          <w:sz w:val="22"/>
          <w:szCs w:val="22"/>
        </w:rPr>
        <w:t>–</w:t>
      </w:r>
      <w:r w:rsidRPr="00B358C8">
        <w:rPr>
          <w:sz w:val="22"/>
          <w:szCs w:val="22"/>
        </w:rPr>
        <w:t xml:space="preserve"> 1</w:t>
      </w:r>
      <w:r w:rsidRPr="00871506">
        <w:rPr>
          <w:sz w:val="22"/>
          <w:szCs w:val="22"/>
          <w:vertAlign w:val="superscript"/>
        </w:rPr>
        <w:t>st</w:t>
      </w:r>
      <w:r>
        <w:rPr>
          <w:sz w:val="22"/>
          <w:szCs w:val="22"/>
        </w:rPr>
        <w:t xml:space="preserve"> </w:t>
      </w:r>
      <w:r w:rsidRPr="00B358C8">
        <w:rPr>
          <w:sz w:val="22"/>
          <w:szCs w:val="22"/>
        </w:rPr>
        <w:t>set of committee papers (in particular</w:t>
      </w:r>
      <w:r w:rsidR="00903C57">
        <w:rPr>
          <w:sz w:val="22"/>
          <w:szCs w:val="22"/>
        </w:rPr>
        <w:t>,</w:t>
      </w:r>
      <w:r w:rsidRPr="00B358C8">
        <w:rPr>
          <w:sz w:val="22"/>
          <w:szCs w:val="22"/>
        </w:rPr>
        <w:t xml:space="preserve"> </w:t>
      </w:r>
      <w:r w:rsidR="006437D7">
        <w:rPr>
          <w:sz w:val="22"/>
          <w:szCs w:val="22"/>
        </w:rPr>
        <w:t>pages 112-113 of</w:t>
      </w:r>
      <w:r w:rsidR="006437D7" w:rsidRPr="00B358C8">
        <w:rPr>
          <w:sz w:val="22"/>
          <w:szCs w:val="22"/>
        </w:rPr>
        <w:t xml:space="preserve"> </w:t>
      </w:r>
      <w:r w:rsidRPr="00B358C8">
        <w:rPr>
          <w:sz w:val="22"/>
          <w:szCs w:val="22"/>
        </w:rPr>
        <w:t>the ERG report)</w:t>
      </w:r>
      <w:r>
        <w:rPr>
          <w:sz w:val="22"/>
          <w:szCs w:val="22"/>
        </w:rPr>
        <w:t>;</w:t>
      </w:r>
      <w:r w:rsidR="006437D7">
        <w:rPr>
          <w:sz w:val="22"/>
          <w:szCs w:val="22"/>
        </w:rPr>
        <w:t xml:space="preserve"> and</w:t>
      </w:r>
    </w:p>
    <w:p w14:paraId="519F20C3" w14:textId="77777777" w:rsidR="00871506" w:rsidRPr="00871506" w:rsidRDefault="00871506" w:rsidP="00871506">
      <w:pPr>
        <w:pStyle w:val="ListParagraph"/>
        <w:rPr>
          <w:sz w:val="22"/>
          <w:szCs w:val="22"/>
        </w:rPr>
      </w:pPr>
    </w:p>
    <w:p w14:paraId="295DC6DE" w14:textId="2CD4FD19" w:rsidR="00871506" w:rsidRPr="00080627" w:rsidRDefault="00871506" w:rsidP="00080627">
      <w:pPr>
        <w:pStyle w:val="ListParagraph"/>
        <w:numPr>
          <w:ilvl w:val="0"/>
          <w:numId w:val="33"/>
        </w:numPr>
        <w:jc w:val="both"/>
        <w:rPr>
          <w:sz w:val="22"/>
          <w:szCs w:val="22"/>
        </w:rPr>
      </w:pPr>
      <w:r>
        <w:rPr>
          <w:sz w:val="22"/>
          <w:szCs w:val="22"/>
        </w:rPr>
        <w:lastRenderedPageBreak/>
        <w:t>TA525 – 3</w:t>
      </w:r>
      <w:r w:rsidRPr="00871506">
        <w:rPr>
          <w:sz w:val="22"/>
          <w:szCs w:val="22"/>
          <w:vertAlign w:val="superscript"/>
        </w:rPr>
        <w:t>rd</w:t>
      </w:r>
      <w:r>
        <w:rPr>
          <w:sz w:val="22"/>
          <w:szCs w:val="22"/>
        </w:rPr>
        <w:t xml:space="preserve"> </w:t>
      </w:r>
      <w:r w:rsidRPr="00B358C8">
        <w:rPr>
          <w:sz w:val="22"/>
          <w:szCs w:val="22"/>
        </w:rPr>
        <w:t>set of committee slides (in particular</w:t>
      </w:r>
      <w:r w:rsidR="00903C57">
        <w:rPr>
          <w:sz w:val="22"/>
          <w:szCs w:val="22"/>
        </w:rPr>
        <w:t xml:space="preserve">, </w:t>
      </w:r>
      <w:r w:rsidRPr="00B358C8">
        <w:rPr>
          <w:sz w:val="22"/>
          <w:szCs w:val="22"/>
        </w:rPr>
        <w:t>slides 15-17)</w:t>
      </w:r>
      <w:r w:rsidR="006437D7">
        <w:rPr>
          <w:sz w:val="22"/>
          <w:szCs w:val="22"/>
        </w:rPr>
        <w:t>.</w:t>
      </w:r>
    </w:p>
    <w:p w14:paraId="3F461592" w14:textId="77777777" w:rsidR="00871506" w:rsidRPr="00871506" w:rsidRDefault="00871506" w:rsidP="00871506">
      <w:pPr>
        <w:pStyle w:val="ListParagraph"/>
        <w:rPr>
          <w:sz w:val="22"/>
          <w:szCs w:val="22"/>
        </w:rPr>
      </w:pPr>
    </w:p>
    <w:p w14:paraId="7EB659A0" w14:textId="7D650579" w:rsidR="00F13F65" w:rsidRPr="00F673BE" w:rsidRDefault="00CA163F" w:rsidP="00CA163F">
      <w:pPr>
        <w:pStyle w:val="BodyText"/>
        <w:jc w:val="both"/>
        <w:rPr>
          <w:sz w:val="22"/>
          <w:szCs w:val="22"/>
        </w:rPr>
      </w:pPr>
      <w:r w:rsidRPr="001D75BA">
        <w:rPr>
          <w:sz w:val="22"/>
          <w:szCs w:val="22"/>
        </w:rPr>
        <w:t xml:space="preserve">We appreciate that some of these documents are lengthy and are happy to provide the Appeal Panel with a precis or excerpts of </w:t>
      </w:r>
      <w:r w:rsidR="00F25D55">
        <w:rPr>
          <w:sz w:val="22"/>
          <w:szCs w:val="22"/>
        </w:rPr>
        <w:t xml:space="preserve">the </w:t>
      </w:r>
      <w:r w:rsidRPr="001D75BA">
        <w:rPr>
          <w:sz w:val="22"/>
          <w:szCs w:val="22"/>
        </w:rPr>
        <w:t xml:space="preserve">key </w:t>
      </w:r>
      <w:proofErr w:type="gramStart"/>
      <w:r w:rsidRPr="001D75BA">
        <w:rPr>
          <w:sz w:val="22"/>
          <w:szCs w:val="22"/>
        </w:rPr>
        <w:t>passages, if</w:t>
      </w:r>
      <w:proofErr w:type="gramEnd"/>
      <w:r w:rsidRPr="001D75BA">
        <w:rPr>
          <w:sz w:val="22"/>
          <w:szCs w:val="22"/>
        </w:rPr>
        <w:t xml:space="preserve"> that would assist.</w:t>
      </w:r>
      <w:r w:rsidR="00E10E46">
        <w:rPr>
          <w:sz w:val="22"/>
          <w:szCs w:val="22"/>
        </w:rPr>
        <w:t xml:space="preserve"> However, the</w:t>
      </w:r>
      <w:r w:rsidR="00F25D55">
        <w:rPr>
          <w:sz w:val="22"/>
          <w:szCs w:val="22"/>
        </w:rPr>
        <w:t xml:space="preserve"> sections</w:t>
      </w:r>
      <w:r w:rsidR="00E10E46">
        <w:rPr>
          <w:sz w:val="22"/>
          <w:szCs w:val="22"/>
        </w:rPr>
        <w:t xml:space="preserve"> identified to be most relevant within those documents</w:t>
      </w:r>
      <w:r w:rsidR="00F25D55">
        <w:rPr>
          <w:sz w:val="22"/>
          <w:szCs w:val="22"/>
        </w:rPr>
        <w:t xml:space="preserve"> are relatively</w:t>
      </w:r>
      <w:r w:rsidR="00E10E46">
        <w:rPr>
          <w:sz w:val="22"/>
          <w:szCs w:val="22"/>
        </w:rPr>
        <w:t xml:space="preserve"> </w:t>
      </w:r>
      <w:r w:rsidR="00F25D55">
        <w:rPr>
          <w:sz w:val="22"/>
          <w:szCs w:val="22"/>
        </w:rPr>
        <w:t xml:space="preserve">short and </w:t>
      </w:r>
      <w:r w:rsidR="00E10E46">
        <w:rPr>
          <w:sz w:val="22"/>
          <w:szCs w:val="22"/>
        </w:rPr>
        <w:t>we do not believe their inclusion,</w:t>
      </w:r>
      <w:r w:rsidR="00E10E46" w:rsidRPr="00E10E46">
        <w:rPr>
          <w:sz w:val="22"/>
          <w:szCs w:val="22"/>
        </w:rPr>
        <w:t xml:space="preserve"> </w:t>
      </w:r>
      <w:r w:rsidR="00E10E46">
        <w:rPr>
          <w:sz w:val="22"/>
          <w:szCs w:val="22"/>
        </w:rPr>
        <w:t xml:space="preserve">added to the FAD in TA525, would </w:t>
      </w:r>
      <w:r w:rsidR="00F25D55">
        <w:rPr>
          <w:sz w:val="22"/>
          <w:szCs w:val="22"/>
        </w:rPr>
        <w:t>subst</w:t>
      </w:r>
      <w:r w:rsidR="00E10E46">
        <w:rPr>
          <w:sz w:val="22"/>
          <w:szCs w:val="22"/>
        </w:rPr>
        <w:t xml:space="preserve">antially increase the Appeal </w:t>
      </w:r>
      <w:r w:rsidR="00F25D55">
        <w:rPr>
          <w:sz w:val="22"/>
          <w:szCs w:val="22"/>
        </w:rPr>
        <w:t>Panel</w:t>
      </w:r>
      <w:r w:rsidR="00E10E46">
        <w:rPr>
          <w:sz w:val="22"/>
          <w:szCs w:val="22"/>
        </w:rPr>
        <w:t>’s burden of review</w:t>
      </w:r>
      <w:r w:rsidR="00F25D55">
        <w:rPr>
          <w:sz w:val="22"/>
          <w:szCs w:val="22"/>
        </w:rPr>
        <w:t xml:space="preserve">. </w:t>
      </w:r>
      <w:r w:rsidR="00F25D55" w:rsidRPr="001D75BA">
        <w:rPr>
          <w:sz w:val="22"/>
          <w:szCs w:val="22"/>
        </w:rPr>
        <w:t xml:space="preserve"> </w:t>
      </w:r>
      <w:r w:rsidR="00D6461C" w:rsidRPr="001D75BA">
        <w:rPr>
          <w:sz w:val="22"/>
          <w:szCs w:val="22"/>
        </w:rPr>
        <w:t xml:space="preserve">Given that we had already referred to these documents </w:t>
      </w:r>
      <w:r w:rsidR="005923B2">
        <w:rPr>
          <w:sz w:val="22"/>
          <w:szCs w:val="22"/>
        </w:rPr>
        <w:t>(or their content</w:t>
      </w:r>
      <w:r w:rsidR="004833A0">
        <w:rPr>
          <w:sz w:val="22"/>
          <w:szCs w:val="22"/>
        </w:rPr>
        <w:t xml:space="preserve">) </w:t>
      </w:r>
      <w:r w:rsidR="00D6461C" w:rsidRPr="001D75BA">
        <w:rPr>
          <w:sz w:val="22"/>
          <w:szCs w:val="22"/>
        </w:rPr>
        <w:t xml:space="preserve">during the </w:t>
      </w:r>
      <w:r w:rsidR="00F41D71" w:rsidRPr="001D75BA">
        <w:rPr>
          <w:sz w:val="22"/>
          <w:szCs w:val="22"/>
        </w:rPr>
        <w:t xml:space="preserve">consultation </w:t>
      </w:r>
      <w:r w:rsidR="00D6461C" w:rsidRPr="001D75BA">
        <w:rPr>
          <w:sz w:val="22"/>
          <w:szCs w:val="22"/>
        </w:rPr>
        <w:t xml:space="preserve">process, we do not believe that their addition </w:t>
      </w:r>
      <w:r w:rsidR="001754E0" w:rsidRPr="001D75BA">
        <w:rPr>
          <w:sz w:val="22"/>
          <w:szCs w:val="22"/>
        </w:rPr>
        <w:t xml:space="preserve">to the appeal bundle </w:t>
      </w:r>
      <w:r w:rsidR="00D6461C" w:rsidRPr="001D75BA">
        <w:rPr>
          <w:sz w:val="22"/>
          <w:szCs w:val="22"/>
        </w:rPr>
        <w:t>introduces new evidence at this stage.</w:t>
      </w:r>
      <w:r w:rsidR="00D6461C">
        <w:rPr>
          <w:sz w:val="22"/>
          <w:szCs w:val="22"/>
        </w:rPr>
        <w:t xml:space="preserve">  </w:t>
      </w:r>
    </w:p>
    <w:p w14:paraId="34995C4A" w14:textId="77777777" w:rsidR="000A5537" w:rsidRPr="00F673BE" w:rsidRDefault="000A5537" w:rsidP="00F673BE">
      <w:pPr>
        <w:jc w:val="both"/>
        <w:rPr>
          <w:b/>
          <w:i/>
          <w:sz w:val="22"/>
          <w:szCs w:val="22"/>
        </w:rPr>
      </w:pPr>
      <w:r w:rsidRPr="00F673BE">
        <w:rPr>
          <w:b/>
          <w:i/>
          <w:sz w:val="22"/>
          <w:szCs w:val="22"/>
        </w:rPr>
        <w:t>Ground 1b NICE has exceeded its powers</w:t>
      </w:r>
    </w:p>
    <w:p w14:paraId="7A7664D0" w14:textId="77777777" w:rsidR="000A5537" w:rsidRPr="00F673BE" w:rsidRDefault="000A5537" w:rsidP="00F673BE">
      <w:pPr>
        <w:jc w:val="both"/>
        <w:rPr>
          <w:b/>
          <w:i/>
          <w:sz w:val="22"/>
          <w:szCs w:val="22"/>
        </w:rPr>
      </w:pPr>
    </w:p>
    <w:p w14:paraId="2B0668EA" w14:textId="77777777" w:rsidR="000A5537" w:rsidRPr="00F673BE" w:rsidRDefault="000A5537" w:rsidP="00F673BE">
      <w:pPr>
        <w:jc w:val="both"/>
        <w:rPr>
          <w:b/>
          <w:sz w:val="22"/>
          <w:szCs w:val="22"/>
        </w:rPr>
      </w:pPr>
      <w:r w:rsidRPr="00F673BE">
        <w:rPr>
          <w:b/>
          <w:sz w:val="22"/>
          <w:szCs w:val="22"/>
        </w:rPr>
        <w:t>Ground 1b.1 – NICE has breached its legal obligations under human rights and equalities laws</w:t>
      </w:r>
    </w:p>
    <w:p w14:paraId="2FF39B78" w14:textId="77777777" w:rsidR="00403A09" w:rsidRPr="00F673BE" w:rsidRDefault="00403A09" w:rsidP="00F673BE">
      <w:pPr>
        <w:jc w:val="both"/>
        <w:rPr>
          <w:sz w:val="22"/>
          <w:szCs w:val="22"/>
        </w:rPr>
      </w:pPr>
    </w:p>
    <w:p w14:paraId="2FA028DB" w14:textId="77777777" w:rsidR="003D6389" w:rsidRDefault="00996ED5" w:rsidP="00F673BE">
      <w:pPr>
        <w:jc w:val="both"/>
        <w:rPr>
          <w:sz w:val="22"/>
          <w:szCs w:val="22"/>
        </w:rPr>
      </w:pPr>
      <w:r>
        <w:rPr>
          <w:sz w:val="22"/>
          <w:szCs w:val="22"/>
        </w:rPr>
        <w:t xml:space="preserve">The Initial Scrutiny Letter </w:t>
      </w:r>
      <w:r w:rsidR="00CA163F">
        <w:rPr>
          <w:sz w:val="22"/>
          <w:szCs w:val="22"/>
        </w:rPr>
        <w:t xml:space="preserve">states </w:t>
      </w:r>
      <w:r>
        <w:rPr>
          <w:sz w:val="22"/>
          <w:szCs w:val="22"/>
        </w:rPr>
        <w:t xml:space="preserve">that, subject to further review, you </w:t>
      </w:r>
      <w:r w:rsidR="00CA163F">
        <w:rPr>
          <w:sz w:val="22"/>
          <w:szCs w:val="22"/>
        </w:rPr>
        <w:t xml:space="preserve">are not </w:t>
      </w:r>
      <w:r>
        <w:rPr>
          <w:sz w:val="22"/>
          <w:szCs w:val="22"/>
        </w:rPr>
        <w:t xml:space="preserve">minded </w:t>
      </w:r>
      <w:proofErr w:type="gramStart"/>
      <w:r>
        <w:rPr>
          <w:sz w:val="22"/>
          <w:szCs w:val="22"/>
        </w:rPr>
        <w:t>to refer</w:t>
      </w:r>
      <w:proofErr w:type="gramEnd"/>
      <w:r>
        <w:rPr>
          <w:sz w:val="22"/>
          <w:szCs w:val="22"/>
        </w:rPr>
        <w:t xml:space="preserve"> Ground 1b.1 to the</w:t>
      </w:r>
      <w:r w:rsidR="00D337D6">
        <w:rPr>
          <w:sz w:val="22"/>
          <w:szCs w:val="22"/>
        </w:rPr>
        <w:t xml:space="preserve"> Appeal Panel.  Your preliminary view was that</w:t>
      </w:r>
      <w:r>
        <w:rPr>
          <w:sz w:val="22"/>
          <w:szCs w:val="22"/>
        </w:rPr>
        <w:t>: (</w:t>
      </w:r>
      <w:proofErr w:type="spellStart"/>
      <w:r>
        <w:rPr>
          <w:sz w:val="22"/>
          <w:szCs w:val="22"/>
        </w:rPr>
        <w:t>i</w:t>
      </w:r>
      <w:proofErr w:type="spellEnd"/>
      <w:r>
        <w:rPr>
          <w:sz w:val="22"/>
          <w:szCs w:val="22"/>
        </w:rPr>
        <w:t xml:space="preserve">) our submissions under Article 2 of the Convention had merit but they would be better addressed under other Grounds concerning unfairness </w:t>
      </w:r>
      <w:r w:rsidR="0087786D">
        <w:rPr>
          <w:sz w:val="22"/>
          <w:szCs w:val="22"/>
        </w:rPr>
        <w:t>and</w:t>
      </w:r>
      <w:r w:rsidR="00CA163F">
        <w:rPr>
          <w:sz w:val="22"/>
          <w:szCs w:val="22"/>
        </w:rPr>
        <w:t xml:space="preserve"> unreasonableness; and (ii) </w:t>
      </w:r>
      <w:r w:rsidR="0087786D">
        <w:rPr>
          <w:sz w:val="22"/>
          <w:szCs w:val="22"/>
        </w:rPr>
        <w:t xml:space="preserve">the Appeal Letter did not raise a specific issue of discrimination.  </w:t>
      </w:r>
    </w:p>
    <w:p w14:paraId="2E4C205E" w14:textId="77777777" w:rsidR="0087786D" w:rsidRDefault="0087786D" w:rsidP="00F673BE">
      <w:pPr>
        <w:jc w:val="both"/>
        <w:rPr>
          <w:sz w:val="22"/>
          <w:szCs w:val="22"/>
        </w:rPr>
      </w:pPr>
    </w:p>
    <w:p w14:paraId="39828293" w14:textId="2F1B85A4" w:rsidR="00324864" w:rsidRDefault="0087786D" w:rsidP="00BA6ACD">
      <w:pPr>
        <w:jc w:val="both"/>
        <w:rPr>
          <w:sz w:val="22"/>
          <w:szCs w:val="22"/>
        </w:rPr>
      </w:pPr>
      <w:r>
        <w:rPr>
          <w:sz w:val="22"/>
          <w:szCs w:val="22"/>
        </w:rPr>
        <w:t>Having</w:t>
      </w:r>
      <w:r w:rsidR="00CA163F">
        <w:rPr>
          <w:sz w:val="22"/>
          <w:szCs w:val="22"/>
        </w:rPr>
        <w:t xml:space="preserve"> car</w:t>
      </w:r>
      <w:r w:rsidR="001754E0">
        <w:rPr>
          <w:sz w:val="22"/>
          <w:szCs w:val="22"/>
        </w:rPr>
        <w:t>efully considered your observations</w:t>
      </w:r>
      <w:r w:rsidR="00F97E4F">
        <w:rPr>
          <w:sz w:val="22"/>
          <w:szCs w:val="22"/>
        </w:rPr>
        <w:t xml:space="preserve">, we continue to feel strongly </w:t>
      </w:r>
      <w:r>
        <w:rPr>
          <w:sz w:val="22"/>
          <w:szCs w:val="22"/>
        </w:rPr>
        <w:t xml:space="preserve">that </w:t>
      </w:r>
      <w:r w:rsidR="00D337D6">
        <w:rPr>
          <w:sz w:val="22"/>
          <w:szCs w:val="22"/>
        </w:rPr>
        <w:t xml:space="preserve">our submissions under Ground 1b.1 raise </w:t>
      </w:r>
      <w:r>
        <w:rPr>
          <w:sz w:val="22"/>
          <w:szCs w:val="22"/>
        </w:rPr>
        <w:t xml:space="preserve">substantive and </w:t>
      </w:r>
      <w:r w:rsidR="00F97E4F">
        <w:rPr>
          <w:sz w:val="22"/>
          <w:szCs w:val="22"/>
        </w:rPr>
        <w:t>weighty</w:t>
      </w:r>
      <w:r w:rsidR="00D337D6">
        <w:rPr>
          <w:sz w:val="22"/>
          <w:szCs w:val="22"/>
        </w:rPr>
        <w:t xml:space="preserve"> questions </w:t>
      </w:r>
      <w:r w:rsidR="007B7F23">
        <w:rPr>
          <w:sz w:val="22"/>
          <w:szCs w:val="22"/>
        </w:rPr>
        <w:t xml:space="preserve">concerning </w:t>
      </w:r>
      <w:r>
        <w:rPr>
          <w:sz w:val="22"/>
          <w:szCs w:val="22"/>
        </w:rPr>
        <w:t xml:space="preserve">human rights and </w:t>
      </w:r>
      <w:r w:rsidR="007B7F23">
        <w:rPr>
          <w:sz w:val="22"/>
          <w:szCs w:val="22"/>
        </w:rPr>
        <w:t xml:space="preserve">equalities laws. </w:t>
      </w:r>
    </w:p>
    <w:p w14:paraId="5ED825BB" w14:textId="77777777" w:rsidR="00875EF5" w:rsidRDefault="00875EF5" w:rsidP="00F673BE">
      <w:pPr>
        <w:jc w:val="both"/>
        <w:rPr>
          <w:sz w:val="22"/>
          <w:szCs w:val="22"/>
        </w:rPr>
      </w:pPr>
    </w:p>
    <w:p w14:paraId="252C5917" w14:textId="77777777" w:rsidR="00403A09" w:rsidRPr="00C157A5" w:rsidRDefault="00403A09" w:rsidP="00F673BE">
      <w:pPr>
        <w:jc w:val="both"/>
        <w:rPr>
          <w:b/>
          <w:i/>
          <w:sz w:val="22"/>
          <w:szCs w:val="22"/>
        </w:rPr>
      </w:pPr>
      <w:r w:rsidRPr="00C157A5">
        <w:rPr>
          <w:b/>
          <w:i/>
          <w:sz w:val="22"/>
          <w:szCs w:val="22"/>
        </w:rPr>
        <w:t>Article 2 of the Convention</w:t>
      </w:r>
    </w:p>
    <w:p w14:paraId="31629F3F" w14:textId="77777777" w:rsidR="00403A09" w:rsidRPr="00F673BE" w:rsidRDefault="00403A09" w:rsidP="00F673BE">
      <w:pPr>
        <w:jc w:val="both"/>
        <w:rPr>
          <w:sz w:val="22"/>
          <w:szCs w:val="22"/>
        </w:rPr>
      </w:pPr>
    </w:p>
    <w:p w14:paraId="786E45F9" w14:textId="0798C2B9" w:rsidR="00403A09" w:rsidRDefault="00194C63" w:rsidP="00F673BE">
      <w:pPr>
        <w:jc w:val="both"/>
        <w:rPr>
          <w:sz w:val="22"/>
          <w:szCs w:val="22"/>
        </w:rPr>
      </w:pPr>
      <w:r w:rsidRPr="00194C63">
        <w:rPr>
          <w:sz w:val="22"/>
          <w:szCs w:val="22"/>
        </w:rPr>
        <w:t>We welcome your acknowledgement that, in principle, Article 2 is engaged in this case.  We also agree with your general characterization of our submission (</w:t>
      </w:r>
      <w:r w:rsidRPr="001D75BA">
        <w:rPr>
          <w:i/>
          <w:sz w:val="22"/>
          <w:szCs w:val="22"/>
        </w:rPr>
        <w:t>i.e.</w:t>
      </w:r>
      <w:r w:rsidRPr="00194C63">
        <w:rPr>
          <w:sz w:val="22"/>
          <w:szCs w:val="22"/>
        </w:rPr>
        <w:t>, that “</w:t>
      </w:r>
      <w:r w:rsidRPr="00FE15EA">
        <w:rPr>
          <w:rFonts w:cs="Arial"/>
          <w:i/>
          <w:sz w:val="22"/>
          <w:szCs w:val="22"/>
        </w:rPr>
        <w:t>the argument is not that Article 2 compels a positive recommendation per se, but rather it compels a particular approach to the evidence or it narrows the range of otherwise reasonable conclusions</w:t>
      </w:r>
      <w:r w:rsidRPr="00194C63">
        <w:rPr>
          <w:rFonts w:cs="Arial"/>
          <w:sz w:val="22"/>
          <w:szCs w:val="22"/>
        </w:rPr>
        <w:t>”).  However, we respectfully disagree that this does not give rise to a stan</w:t>
      </w:r>
      <w:r w:rsidR="003E7D1E">
        <w:rPr>
          <w:rFonts w:cs="Arial"/>
          <w:sz w:val="22"/>
          <w:szCs w:val="22"/>
        </w:rPr>
        <w:t>dalone 1b appeal g</w:t>
      </w:r>
      <w:r>
        <w:rPr>
          <w:rFonts w:cs="Arial"/>
          <w:sz w:val="22"/>
          <w:szCs w:val="22"/>
        </w:rPr>
        <w:t xml:space="preserve">round and that the arguments we raise </w:t>
      </w:r>
      <w:r w:rsidR="007D3530">
        <w:rPr>
          <w:rFonts w:cs="Arial"/>
          <w:sz w:val="22"/>
          <w:szCs w:val="22"/>
        </w:rPr>
        <w:t xml:space="preserve">are best assessed as examples of unreasonableness or </w:t>
      </w:r>
      <w:r w:rsidR="000D343D">
        <w:rPr>
          <w:rFonts w:cs="Arial"/>
          <w:sz w:val="22"/>
          <w:szCs w:val="22"/>
        </w:rPr>
        <w:t xml:space="preserve">procedural </w:t>
      </w:r>
      <w:r w:rsidR="007D3530">
        <w:rPr>
          <w:rFonts w:cs="Arial"/>
          <w:sz w:val="22"/>
          <w:szCs w:val="22"/>
        </w:rPr>
        <w:t>unfairness.</w:t>
      </w:r>
      <w:r w:rsidR="000D343D">
        <w:rPr>
          <w:rFonts w:cs="Arial"/>
          <w:sz w:val="22"/>
          <w:szCs w:val="22"/>
        </w:rPr>
        <w:t xml:space="preserve">  As you suggest in the language above, Article 2 compels a </w:t>
      </w:r>
      <w:proofErr w:type="gramStart"/>
      <w:r w:rsidR="000D343D">
        <w:rPr>
          <w:rFonts w:cs="Arial"/>
          <w:sz w:val="22"/>
          <w:szCs w:val="22"/>
        </w:rPr>
        <w:t>particular approach</w:t>
      </w:r>
      <w:proofErr w:type="gramEnd"/>
      <w:r w:rsidR="000D343D">
        <w:rPr>
          <w:rFonts w:cs="Arial"/>
          <w:sz w:val="22"/>
          <w:szCs w:val="22"/>
        </w:rPr>
        <w:t xml:space="preserve"> </w:t>
      </w:r>
      <w:r w:rsidR="000534DA">
        <w:rPr>
          <w:rFonts w:cs="Arial"/>
          <w:sz w:val="22"/>
          <w:szCs w:val="22"/>
        </w:rPr>
        <w:t>and/</w:t>
      </w:r>
      <w:r w:rsidR="000D343D">
        <w:rPr>
          <w:rFonts w:cs="Arial"/>
          <w:sz w:val="22"/>
          <w:szCs w:val="22"/>
        </w:rPr>
        <w:t xml:space="preserve">or narrows the range of options.  Without this stand-alone ground for appeal </w:t>
      </w:r>
      <w:r w:rsidR="00FB1C9B">
        <w:rPr>
          <w:rFonts w:cs="Arial"/>
          <w:sz w:val="22"/>
          <w:szCs w:val="22"/>
        </w:rPr>
        <w:t>there is a risk that the Appraisal Committee may be afforded greater flexibility and health economic discretion than the law would otherwise permit</w:t>
      </w:r>
      <w:r w:rsidR="00FC06CF">
        <w:rPr>
          <w:sz w:val="22"/>
          <w:szCs w:val="22"/>
        </w:rPr>
        <w:t>.</w:t>
      </w:r>
    </w:p>
    <w:p w14:paraId="0A72F0A7" w14:textId="77777777" w:rsidR="00FC06CF" w:rsidRPr="00F673BE" w:rsidRDefault="00FC06CF" w:rsidP="00F673BE">
      <w:pPr>
        <w:jc w:val="both"/>
        <w:rPr>
          <w:sz w:val="22"/>
          <w:szCs w:val="22"/>
        </w:rPr>
      </w:pPr>
    </w:p>
    <w:p w14:paraId="397F4C4E" w14:textId="64FB78B3" w:rsidR="00117124" w:rsidRPr="00F673BE" w:rsidRDefault="00BE12AB" w:rsidP="00F673BE">
      <w:pPr>
        <w:jc w:val="both"/>
        <w:rPr>
          <w:sz w:val="22"/>
          <w:szCs w:val="22"/>
        </w:rPr>
      </w:pPr>
      <w:r w:rsidRPr="00F673BE">
        <w:rPr>
          <w:sz w:val="22"/>
          <w:szCs w:val="22"/>
        </w:rPr>
        <w:t>NICE’s Process and Methods Guide for Appeals makes clear that “</w:t>
      </w:r>
      <w:r w:rsidRPr="00F673BE">
        <w:rPr>
          <w:i/>
          <w:sz w:val="22"/>
          <w:szCs w:val="22"/>
        </w:rPr>
        <w:t>NICE is a public body…</w:t>
      </w:r>
      <w:r w:rsidRPr="00F673BE">
        <w:rPr>
          <w:sz w:val="22"/>
          <w:szCs w:val="22"/>
        </w:rPr>
        <w:t>[and]</w:t>
      </w:r>
      <w:r w:rsidRPr="00F673BE">
        <w:rPr>
          <w:i/>
          <w:sz w:val="22"/>
          <w:szCs w:val="22"/>
        </w:rPr>
        <w:t xml:space="preserve"> undertakes its work in accordance with public law…</w:t>
      </w:r>
      <w:r w:rsidRPr="00F673BE">
        <w:rPr>
          <w:sz w:val="22"/>
          <w:szCs w:val="22"/>
        </w:rPr>
        <w:t>”  As such “</w:t>
      </w:r>
      <w:r w:rsidRPr="00F673BE">
        <w:rPr>
          <w:i/>
          <w:sz w:val="22"/>
          <w:szCs w:val="22"/>
        </w:rPr>
        <w:t xml:space="preserve">[a]n appellant may appeal on the ground </w:t>
      </w:r>
      <w:r w:rsidRPr="00F673BE">
        <w:rPr>
          <w:sz w:val="22"/>
          <w:szCs w:val="22"/>
        </w:rPr>
        <w:t>[</w:t>
      </w:r>
      <w:r w:rsidRPr="00F673BE">
        <w:rPr>
          <w:i/>
          <w:sz w:val="22"/>
          <w:szCs w:val="22"/>
        </w:rPr>
        <w:t>i.e.</w:t>
      </w:r>
      <w:r w:rsidRPr="00F673BE">
        <w:rPr>
          <w:sz w:val="22"/>
          <w:szCs w:val="22"/>
        </w:rPr>
        <w:t>, Ground 1b]</w:t>
      </w:r>
      <w:r w:rsidRPr="00F673BE">
        <w:rPr>
          <w:i/>
          <w:sz w:val="22"/>
          <w:szCs w:val="22"/>
        </w:rPr>
        <w:t xml:space="preserve"> that NICE has acted outside its remit or has acted unlawfully</w:t>
      </w:r>
      <w:r w:rsidRPr="00F673BE">
        <w:rPr>
          <w:sz w:val="22"/>
          <w:szCs w:val="22"/>
        </w:rPr>
        <w:t>.”</w:t>
      </w:r>
      <w:r w:rsidRPr="00F673BE">
        <w:rPr>
          <w:rStyle w:val="FootnoteReference"/>
          <w:sz w:val="22"/>
          <w:szCs w:val="22"/>
        </w:rPr>
        <w:footnoteReference w:id="2"/>
      </w:r>
      <w:r w:rsidR="003E7D1E">
        <w:rPr>
          <w:sz w:val="22"/>
          <w:szCs w:val="22"/>
        </w:rPr>
        <w:t xml:space="preserve">  As such, a 1b appeal g</w:t>
      </w:r>
      <w:r w:rsidRPr="00F673BE">
        <w:rPr>
          <w:sz w:val="22"/>
          <w:szCs w:val="22"/>
        </w:rPr>
        <w:t xml:space="preserve">round arises if an appellant presents an arguable case for a breach of NICE’s public law obligations.  We believe </w:t>
      </w:r>
      <w:r w:rsidR="00D96EC7" w:rsidRPr="00F673BE">
        <w:rPr>
          <w:sz w:val="22"/>
          <w:szCs w:val="22"/>
        </w:rPr>
        <w:t xml:space="preserve">our submissions concerning Article 2 of the Convention </w:t>
      </w:r>
      <w:r w:rsidR="007D3530">
        <w:rPr>
          <w:sz w:val="22"/>
          <w:szCs w:val="22"/>
        </w:rPr>
        <w:t xml:space="preserve">clearly </w:t>
      </w:r>
      <w:r w:rsidR="00D96EC7" w:rsidRPr="00F673BE">
        <w:rPr>
          <w:sz w:val="22"/>
          <w:szCs w:val="22"/>
        </w:rPr>
        <w:t>present</w:t>
      </w:r>
      <w:r w:rsidRPr="00F673BE">
        <w:rPr>
          <w:sz w:val="22"/>
          <w:szCs w:val="22"/>
        </w:rPr>
        <w:t xml:space="preserve"> such an arguable case.</w:t>
      </w:r>
    </w:p>
    <w:p w14:paraId="639F2712" w14:textId="77777777" w:rsidR="00BE12AB" w:rsidRPr="00F673BE" w:rsidRDefault="00BE12AB" w:rsidP="00F673BE">
      <w:pPr>
        <w:jc w:val="both"/>
        <w:rPr>
          <w:sz w:val="22"/>
          <w:szCs w:val="22"/>
        </w:rPr>
      </w:pPr>
    </w:p>
    <w:p w14:paraId="6BAADC77" w14:textId="323EBA8F" w:rsidR="00FE1FA9" w:rsidRDefault="00EA0F08" w:rsidP="00F673BE">
      <w:pPr>
        <w:jc w:val="both"/>
        <w:rPr>
          <w:sz w:val="22"/>
          <w:szCs w:val="22"/>
        </w:rPr>
      </w:pPr>
      <w:r w:rsidRPr="00F673BE">
        <w:rPr>
          <w:sz w:val="22"/>
          <w:szCs w:val="22"/>
        </w:rPr>
        <w:t>Article 2 is essentially the right to have life protected.  In certain contexts, t</w:t>
      </w:r>
      <w:r w:rsidR="00EF3916" w:rsidRPr="00F673BE">
        <w:rPr>
          <w:sz w:val="22"/>
          <w:szCs w:val="22"/>
        </w:rPr>
        <w:t>h</w:t>
      </w:r>
      <w:r w:rsidRPr="00F673BE">
        <w:rPr>
          <w:sz w:val="22"/>
          <w:szCs w:val="22"/>
        </w:rPr>
        <w:t>is right oblig</w:t>
      </w:r>
      <w:r w:rsidR="00EF3916" w:rsidRPr="00F673BE">
        <w:rPr>
          <w:sz w:val="22"/>
          <w:szCs w:val="22"/>
        </w:rPr>
        <w:t>es</w:t>
      </w:r>
      <w:r w:rsidRPr="00F673BE">
        <w:rPr>
          <w:sz w:val="22"/>
          <w:szCs w:val="22"/>
        </w:rPr>
        <w:t xml:space="preserve"> States to take positive measures to </w:t>
      </w:r>
      <w:r w:rsidR="00EF3916" w:rsidRPr="00F673BE">
        <w:rPr>
          <w:sz w:val="22"/>
          <w:szCs w:val="22"/>
        </w:rPr>
        <w:t xml:space="preserve">preserve </w:t>
      </w:r>
      <w:r w:rsidRPr="00F673BE">
        <w:rPr>
          <w:sz w:val="22"/>
          <w:szCs w:val="22"/>
        </w:rPr>
        <w:t>life.  Case</w:t>
      </w:r>
      <w:r w:rsidR="00FB1C9B">
        <w:rPr>
          <w:sz w:val="22"/>
          <w:szCs w:val="22"/>
        </w:rPr>
        <w:t xml:space="preserve"> </w:t>
      </w:r>
      <w:r w:rsidRPr="00F673BE">
        <w:rPr>
          <w:sz w:val="22"/>
          <w:szCs w:val="22"/>
        </w:rPr>
        <w:t>law concerning Article 2 has contemplated the obligations of a State to fund treatments that are essential in order to save lives.</w:t>
      </w:r>
      <w:r w:rsidRPr="00F673BE">
        <w:rPr>
          <w:rStyle w:val="FootnoteReference"/>
          <w:sz w:val="22"/>
          <w:szCs w:val="22"/>
        </w:rPr>
        <w:footnoteReference w:id="3"/>
      </w:r>
      <w:r w:rsidRPr="00F673BE">
        <w:rPr>
          <w:sz w:val="22"/>
          <w:szCs w:val="22"/>
        </w:rPr>
        <w:t xml:space="preserve">  </w:t>
      </w:r>
      <w:r w:rsidR="000C2F77">
        <w:rPr>
          <w:sz w:val="22"/>
          <w:szCs w:val="22"/>
        </w:rPr>
        <w:t>I</w:t>
      </w:r>
      <w:r w:rsidRPr="00F673BE">
        <w:rPr>
          <w:sz w:val="22"/>
          <w:szCs w:val="22"/>
        </w:rPr>
        <w:t xml:space="preserve">t is </w:t>
      </w:r>
      <w:r w:rsidR="00502CF9">
        <w:rPr>
          <w:sz w:val="22"/>
          <w:szCs w:val="22"/>
        </w:rPr>
        <w:t xml:space="preserve">generally accepted </w:t>
      </w:r>
      <w:r w:rsidR="000C2F77">
        <w:rPr>
          <w:sz w:val="22"/>
          <w:szCs w:val="22"/>
        </w:rPr>
        <w:t>in cases concerning</w:t>
      </w:r>
      <w:r w:rsidRPr="00F673BE">
        <w:rPr>
          <w:sz w:val="22"/>
          <w:szCs w:val="22"/>
        </w:rPr>
        <w:t xml:space="preserve"> </w:t>
      </w:r>
      <w:r w:rsidR="00502CF9">
        <w:rPr>
          <w:sz w:val="22"/>
          <w:szCs w:val="22"/>
        </w:rPr>
        <w:t xml:space="preserve">Article 2 and </w:t>
      </w:r>
      <w:r w:rsidR="00FB1C9B">
        <w:rPr>
          <w:sz w:val="22"/>
          <w:szCs w:val="22"/>
        </w:rPr>
        <w:t>s</w:t>
      </w:r>
      <w:r w:rsidR="00FB1C9B" w:rsidRPr="00F673BE">
        <w:rPr>
          <w:sz w:val="22"/>
          <w:szCs w:val="22"/>
        </w:rPr>
        <w:t>tate</w:t>
      </w:r>
      <w:r w:rsidRPr="00F673BE">
        <w:rPr>
          <w:sz w:val="22"/>
          <w:szCs w:val="22"/>
        </w:rPr>
        <w:t>-funded healthcare “</w:t>
      </w:r>
      <w:r w:rsidRPr="00F673BE">
        <w:rPr>
          <w:i/>
          <w:sz w:val="22"/>
          <w:szCs w:val="22"/>
        </w:rPr>
        <w:t>regard must be had to the fair balance that has to be struck between the competing interests of the individual and the community as a whole</w:t>
      </w:r>
      <w:r w:rsidRPr="00F673BE">
        <w:rPr>
          <w:sz w:val="22"/>
          <w:szCs w:val="22"/>
        </w:rPr>
        <w:t>.”</w:t>
      </w:r>
      <w:r w:rsidRPr="00F673BE">
        <w:rPr>
          <w:rStyle w:val="FootnoteReference"/>
          <w:sz w:val="22"/>
          <w:szCs w:val="22"/>
        </w:rPr>
        <w:footnoteReference w:id="4"/>
      </w:r>
      <w:r w:rsidRPr="00F673BE">
        <w:rPr>
          <w:sz w:val="22"/>
          <w:szCs w:val="22"/>
        </w:rPr>
        <w:t xml:space="preserve">  In other words, </w:t>
      </w:r>
      <w:r w:rsidR="00502CF9">
        <w:rPr>
          <w:sz w:val="22"/>
          <w:szCs w:val="22"/>
        </w:rPr>
        <w:t xml:space="preserve">when Article 2 is engaged, </w:t>
      </w:r>
      <w:r w:rsidRPr="00F673BE">
        <w:rPr>
          <w:sz w:val="22"/>
          <w:szCs w:val="22"/>
        </w:rPr>
        <w:t xml:space="preserve">NICE must conduct a balancing exercise between the needs of particular patients and the wider community.  </w:t>
      </w:r>
    </w:p>
    <w:p w14:paraId="14D8B5E6" w14:textId="77777777" w:rsidR="00FE1FA9" w:rsidRDefault="00FE1FA9" w:rsidP="00F673BE">
      <w:pPr>
        <w:jc w:val="both"/>
        <w:rPr>
          <w:sz w:val="22"/>
          <w:szCs w:val="22"/>
        </w:rPr>
      </w:pPr>
    </w:p>
    <w:p w14:paraId="58C6E4FC" w14:textId="4981B693" w:rsidR="0053471A" w:rsidRPr="00F673BE" w:rsidRDefault="00911801" w:rsidP="00F673BE">
      <w:pPr>
        <w:jc w:val="both"/>
        <w:rPr>
          <w:sz w:val="22"/>
          <w:szCs w:val="22"/>
        </w:rPr>
      </w:pPr>
      <w:r>
        <w:rPr>
          <w:sz w:val="22"/>
          <w:szCs w:val="22"/>
        </w:rPr>
        <w:lastRenderedPageBreak/>
        <w:t xml:space="preserve">That is </w:t>
      </w:r>
      <w:r w:rsidR="00A056D5">
        <w:rPr>
          <w:sz w:val="22"/>
          <w:szCs w:val="22"/>
        </w:rPr>
        <w:t xml:space="preserve">a </w:t>
      </w:r>
      <w:r>
        <w:rPr>
          <w:sz w:val="22"/>
          <w:szCs w:val="22"/>
        </w:rPr>
        <w:t xml:space="preserve">free-standing </w:t>
      </w:r>
      <w:r w:rsidR="00EA0F08" w:rsidRPr="00F673BE">
        <w:rPr>
          <w:sz w:val="22"/>
          <w:szCs w:val="22"/>
        </w:rPr>
        <w:t>obligation</w:t>
      </w:r>
      <w:r>
        <w:rPr>
          <w:sz w:val="22"/>
          <w:szCs w:val="22"/>
        </w:rPr>
        <w:t>.  It is not discharged</w:t>
      </w:r>
      <w:r w:rsidR="00DC5AC3">
        <w:rPr>
          <w:sz w:val="22"/>
          <w:szCs w:val="22"/>
        </w:rPr>
        <w:t xml:space="preserve"> by demonstrating that the appraisal</w:t>
      </w:r>
      <w:r w:rsidR="00DA7A93">
        <w:rPr>
          <w:sz w:val="22"/>
          <w:szCs w:val="22"/>
        </w:rPr>
        <w:t xml:space="preserve"> </w:t>
      </w:r>
      <w:r w:rsidR="00A056D5">
        <w:rPr>
          <w:sz w:val="22"/>
          <w:szCs w:val="22"/>
        </w:rPr>
        <w:t>process</w:t>
      </w:r>
      <w:r w:rsidR="00DC5AC3">
        <w:rPr>
          <w:sz w:val="22"/>
          <w:szCs w:val="22"/>
        </w:rPr>
        <w:t xml:space="preserve"> was procedurally sound</w:t>
      </w:r>
      <w:r w:rsidR="00A056D5">
        <w:rPr>
          <w:sz w:val="22"/>
          <w:szCs w:val="22"/>
        </w:rPr>
        <w:t xml:space="preserve"> </w:t>
      </w:r>
      <w:r>
        <w:rPr>
          <w:sz w:val="22"/>
          <w:szCs w:val="22"/>
        </w:rPr>
        <w:t>or that the Appraisal C</w:t>
      </w:r>
      <w:r w:rsidRPr="00911801">
        <w:rPr>
          <w:sz w:val="22"/>
          <w:szCs w:val="22"/>
        </w:rPr>
        <w:t xml:space="preserve">ommittee </w:t>
      </w:r>
      <w:r>
        <w:rPr>
          <w:sz w:val="22"/>
          <w:szCs w:val="22"/>
        </w:rPr>
        <w:t xml:space="preserve">considered </w:t>
      </w:r>
      <w:r w:rsidRPr="00911801">
        <w:rPr>
          <w:sz w:val="22"/>
          <w:szCs w:val="22"/>
        </w:rPr>
        <w:t>the evidence before it</w:t>
      </w:r>
      <w:r>
        <w:rPr>
          <w:sz w:val="22"/>
          <w:szCs w:val="22"/>
        </w:rPr>
        <w:t xml:space="preserve"> reasonably</w:t>
      </w:r>
      <w:r w:rsidRPr="00911801">
        <w:rPr>
          <w:sz w:val="22"/>
          <w:szCs w:val="22"/>
        </w:rPr>
        <w:t xml:space="preserve">.  </w:t>
      </w:r>
      <w:r>
        <w:rPr>
          <w:sz w:val="22"/>
          <w:szCs w:val="22"/>
        </w:rPr>
        <w:t xml:space="preserve">Rather, the </w:t>
      </w:r>
      <w:r w:rsidRPr="00911801">
        <w:rPr>
          <w:sz w:val="22"/>
          <w:szCs w:val="22"/>
        </w:rPr>
        <w:t>effect is to compel the Appraisal Committee to appraise the product in a manner that respe</w:t>
      </w:r>
      <w:r>
        <w:rPr>
          <w:sz w:val="22"/>
          <w:szCs w:val="22"/>
        </w:rPr>
        <w:t>cts patients’ righ</w:t>
      </w:r>
      <w:r w:rsidR="0024496F">
        <w:rPr>
          <w:sz w:val="22"/>
          <w:szCs w:val="22"/>
        </w:rPr>
        <w:t>t to life and fairly weigh</w:t>
      </w:r>
      <w:r w:rsidR="002105DB">
        <w:rPr>
          <w:sz w:val="22"/>
          <w:szCs w:val="22"/>
        </w:rPr>
        <w:t>s</w:t>
      </w:r>
      <w:r w:rsidR="0024496F">
        <w:rPr>
          <w:sz w:val="22"/>
          <w:szCs w:val="22"/>
        </w:rPr>
        <w:t xml:space="preserve"> the interests of </w:t>
      </w:r>
      <w:r w:rsidR="006F0542">
        <w:rPr>
          <w:sz w:val="22"/>
          <w:szCs w:val="22"/>
        </w:rPr>
        <w:t xml:space="preserve">affected </w:t>
      </w:r>
      <w:r w:rsidR="0024496F">
        <w:rPr>
          <w:sz w:val="22"/>
          <w:szCs w:val="22"/>
        </w:rPr>
        <w:t xml:space="preserve">patients against those </w:t>
      </w:r>
      <w:r>
        <w:rPr>
          <w:sz w:val="22"/>
          <w:szCs w:val="22"/>
        </w:rPr>
        <w:t>of the wider community.</w:t>
      </w:r>
      <w:r w:rsidR="00FE6882">
        <w:rPr>
          <w:sz w:val="22"/>
          <w:szCs w:val="22"/>
        </w:rPr>
        <w:t xml:space="preserve">  </w:t>
      </w:r>
      <w:r w:rsidR="00DA7A93">
        <w:rPr>
          <w:sz w:val="22"/>
          <w:szCs w:val="22"/>
        </w:rPr>
        <w:t>As such, e</w:t>
      </w:r>
      <w:r w:rsidR="00DA7A93" w:rsidRPr="00DA7A93">
        <w:rPr>
          <w:sz w:val="22"/>
          <w:szCs w:val="22"/>
        </w:rPr>
        <w:t xml:space="preserve">ven if the Appraisal Committee could </w:t>
      </w:r>
      <w:r w:rsidR="0024496F">
        <w:rPr>
          <w:sz w:val="22"/>
          <w:szCs w:val="22"/>
        </w:rPr>
        <w:t xml:space="preserve">successfully </w:t>
      </w:r>
      <w:r w:rsidR="00DA7A93" w:rsidRPr="00DA7A93">
        <w:rPr>
          <w:sz w:val="22"/>
          <w:szCs w:val="22"/>
        </w:rPr>
        <w:t xml:space="preserve">demonstrate that its approach was objectively fair and </w:t>
      </w:r>
      <w:r w:rsidR="00DA7A93">
        <w:rPr>
          <w:sz w:val="22"/>
          <w:szCs w:val="22"/>
        </w:rPr>
        <w:t xml:space="preserve">its evaluation of the evidence was reasonable, Article 2 would </w:t>
      </w:r>
      <w:r w:rsidR="00DA7A93" w:rsidRPr="00DA7A93">
        <w:rPr>
          <w:sz w:val="22"/>
          <w:szCs w:val="22"/>
        </w:rPr>
        <w:t xml:space="preserve">require </w:t>
      </w:r>
      <w:r w:rsidR="00DC5AC3">
        <w:rPr>
          <w:sz w:val="22"/>
          <w:szCs w:val="22"/>
        </w:rPr>
        <w:t xml:space="preserve">ensuring </w:t>
      </w:r>
      <w:r w:rsidR="00DA7A93" w:rsidRPr="00DA7A93">
        <w:rPr>
          <w:sz w:val="22"/>
          <w:szCs w:val="22"/>
        </w:rPr>
        <w:t xml:space="preserve">that the decision fairly weighed the interests of patients against those of the wider community.  </w:t>
      </w:r>
      <w:r w:rsidR="00FE6882">
        <w:rPr>
          <w:sz w:val="22"/>
          <w:szCs w:val="22"/>
        </w:rPr>
        <w:t xml:space="preserve">As your letter </w:t>
      </w:r>
      <w:r w:rsidR="00FB1C9B">
        <w:rPr>
          <w:sz w:val="22"/>
          <w:szCs w:val="22"/>
        </w:rPr>
        <w:t>suggests</w:t>
      </w:r>
      <w:r w:rsidR="00FE6882">
        <w:rPr>
          <w:sz w:val="22"/>
          <w:szCs w:val="22"/>
        </w:rPr>
        <w:t xml:space="preserve">, this </w:t>
      </w:r>
      <w:r w:rsidR="00DC5AC3">
        <w:rPr>
          <w:sz w:val="22"/>
          <w:szCs w:val="22"/>
        </w:rPr>
        <w:t>does require</w:t>
      </w:r>
      <w:r w:rsidR="00FE6882">
        <w:rPr>
          <w:sz w:val="22"/>
          <w:szCs w:val="22"/>
        </w:rPr>
        <w:t xml:space="preserve"> taking a </w:t>
      </w:r>
      <w:proofErr w:type="gramStart"/>
      <w:r w:rsidR="00FE6882">
        <w:rPr>
          <w:sz w:val="22"/>
          <w:szCs w:val="22"/>
        </w:rPr>
        <w:t>particular approach</w:t>
      </w:r>
      <w:proofErr w:type="gramEnd"/>
      <w:r w:rsidR="00FE6882">
        <w:rPr>
          <w:sz w:val="22"/>
          <w:szCs w:val="22"/>
        </w:rPr>
        <w:t xml:space="preserve"> to reviewing evidence and may narrow the range of conclusions available to the Appraisal Committee.  </w:t>
      </w:r>
    </w:p>
    <w:p w14:paraId="614B8CBC" w14:textId="77777777" w:rsidR="0053471A" w:rsidRPr="00F673BE" w:rsidRDefault="0053471A" w:rsidP="00F673BE">
      <w:pPr>
        <w:jc w:val="both"/>
        <w:rPr>
          <w:sz w:val="22"/>
          <w:szCs w:val="22"/>
        </w:rPr>
      </w:pPr>
    </w:p>
    <w:p w14:paraId="2A62E56F" w14:textId="77777777" w:rsidR="00DA7A93" w:rsidRDefault="00DC5AC3" w:rsidP="00F673BE">
      <w:pPr>
        <w:jc w:val="both"/>
        <w:rPr>
          <w:sz w:val="22"/>
          <w:szCs w:val="22"/>
        </w:rPr>
      </w:pPr>
      <w:r>
        <w:rPr>
          <w:sz w:val="22"/>
          <w:szCs w:val="22"/>
        </w:rPr>
        <w:t xml:space="preserve">To clarify, </w:t>
      </w:r>
      <w:r w:rsidR="00DA7A93">
        <w:rPr>
          <w:sz w:val="22"/>
          <w:szCs w:val="22"/>
        </w:rPr>
        <w:t xml:space="preserve">MSD’s position in this Appeal is that, in addition to </w:t>
      </w:r>
      <w:r w:rsidR="0096006B">
        <w:rPr>
          <w:sz w:val="22"/>
          <w:szCs w:val="22"/>
        </w:rPr>
        <w:t xml:space="preserve">conducting an unfair and unreasonable assessment (Grounds 1a and 2, respectively), the Appraisal Committee’s approach and conclusions failed to respect the right to life </w:t>
      </w:r>
      <w:r>
        <w:rPr>
          <w:sz w:val="22"/>
          <w:szCs w:val="22"/>
        </w:rPr>
        <w:t xml:space="preserve">or </w:t>
      </w:r>
      <w:r w:rsidR="0096006B">
        <w:rPr>
          <w:sz w:val="22"/>
          <w:szCs w:val="22"/>
        </w:rPr>
        <w:t>balance competing interests fairly.</w:t>
      </w:r>
    </w:p>
    <w:p w14:paraId="2F08A4B3" w14:textId="77777777" w:rsidR="0096006B" w:rsidRDefault="0096006B" w:rsidP="00F673BE">
      <w:pPr>
        <w:jc w:val="both"/>
        <w:rPr>
          <w:sz w:val="22"/>
          <w:szCs w:val="22"/>
        </w:rPr>
      </w:pPr>
    </w:p>
    <w:p w14:paraId="708B9128" w14:textId="77777777" w:rsidR="002B790B" w:rsidRDefault="002B790B" w:rsidP="002B790B">
      <w:pPr>
        <w:jc w:val="both"/>
        <w:rPr>
          <w:sz w:val="22"/>
          <w:szCs w:val="22"/>
        </w:rPr>
      </w:pPr>
      <w:r>
        <w:rPr>
          <w:sz w:val="22"/>
          <w:szCs w:val="22"/>
        </w:rPr>
        <w:t xml:space="preserve">We believe </w:t>
      </w:r>
      <w:r w:rsidRPr="00F673BE">
        <w:rPr>
          <w:sz w:val="22"/>
          <w:szCs w:val="22"/>
        </w:rPr>
        <w:t xml:space="preserve">that </w:t>
      </w:r>
      <w:proofErr w:type="gramStart"/>
      <w:r w:rsidRPr="00F673BE">
        <w:rPr>
          <w:sz w:val="22"/>
          <w:szCs w:val="22"/>
        </w:rPr>
        <w:t>i</w:t>
      </w:r>
      <w:r>
        <w:rPr>
          <w:sz w:val="22"/>
          <w:szCs w:val="22"/>
        </w:rPr>
        <w:t>n order to</w:t>
      </w:r>
      <w:proofErr w:type="gramEnd"/>
      <w:r w:rsidRPr="00F673BE">
        <w:rPr>
          <w:sz w:val="22"/>
          <w:szCs w:val="22"/>
        </w:rPr>
        <w:t xml:space="preserve"> conduct a fair balancing exercise, the Appraisal Committee had a duty to address and accommodate for a number of critically important factors</w:t>
      </w:r>
      <w:r>
        <w:rPr>
          <w:sz w:val="22"/>
          <w:szCs w:val="22"/>
        </w:rPr>
        <w:t>.  These include</w:t>
      </w:r>
      <w:r w:rsidRPr="00F673BE">
        <w:rPr>
          <w:sz w:val="22"/>
          <w:szCs w:val="22"/>
        </w:rPr>
        <w:t>: (</w:t>
      </w:r>
      <w:proofErr w:type="spellStart"/>
      <w:r w:rsidRPr="00F673BE">
        <w:rPr>
          <w:sz w:val="22"/>
          <w:szCs w:val="22"/>
        </w:rPr>
        <w:t>i</w:t>
      </w:r>
      <w:proofErr w:type="spellEnd"/>
      <w:r w:rsidRPr="00F673BE">
        <w:rPr>
          <w:sz w:val="22"/>
          <w:szCs w:val="22"/>
        </w:rPr>
        <w:t xml:space="preserve">) the unique circumstances </w:t>
      </w:r>
      <w:r>
        <w:rPr>
          <w:sz w:val="22"/>
          <w:szCs w:val="22"/>
        </w:rPr>
        <w:t xml:space="preserve">the </w:t>
      </w:r>
      <w:r w:rsidRPr="00F673BE">
        <w:rPr>
          <w:sz w:val="22"/>
          <w:szCs w:val="22"/>
        </w:rPr>
        <w:t>patients faced; (ii) the potential benefits to their life prospects that pembrolizumab offers; (iii) the ramifications of a decision to refuse to fund treatment</w:t>
      </w:r>
      <w:r>
        <w:rPr>
          <w:sz w:val="22"/>
          <w:szCs w:val="22"/>
        </w:rPr>
        <w:t>, particularly as some patients may have poorer life prospects; and (iv) the risk of failing to respect the right to life in those circumstances</w:t>
      </w:r>
      <w:r w:rsidRPr="00F673BE">
        <w:rPr>
          <w:sz w:val="22"/>
          <w:szCs w:val="22"/>
        </w:rPr>
        <w:t xml:space="preserve">.  </w:t>
      </w:r>
      <w:r>
        <w:rPr>
          <w:sz w:val="22"/>
          <w:szCs w:val="22"/>
        </w:rPr>
        <w:t xml:space="preserve">We are unaware of any evidence that the Appraisal Committee considered or gave appropriate weight to these issues.  </w:t>
      </w:r>
    </w:p>
    <w:p w14:paraId="4156834B" w14:textId="5E807BB9" w:rsidR="006F0542" w:rsidRDefault="006F0542" w:rsidP="00F673BE">
      <w:pPr>
        <w:jc w:val="both"/>
        <w:rPr>
          <w:sz w:val="22"/>
          <w:szCs w:val="22"/>
        </w:rPr>
      </w:pPr>
    </w:p>
    <w:p w14:paraId="31E4A100" w14:textId="3B28B361" w:rsidR="002B790B" w:rsidRDefault="002B790B" w:rsidP="002B790B">
      <w:pPr>
        <w:jc w:val="both"/>
        <w:rPr>
          <w:sz w:val="22"/>
          <w:szCs w:val="22"/>
        </w:rPr>
      </w:pPr>
      <w:r>
        <w:rPr>
          <w:sz w:val="22"/>
          <w:szCs w:val="22"/>
        </w:rPr>
        <w:t xml:space="preserve">The key concern in MSD’s submission </w:t>
      </w:r>
      <w:r w:rsidR="00DA3DEE">
        <w:rPr>
          <w:sz w:val="22"/>
          <w:szCs w:val="22"/>
        </w:rPr>
        <w:t xml:space="preserve">related </w:t>
      </w:r>
      <w:r>
        <w:rPr>
          <w:sz w:val="22"/>
          <w:szCs w:val="22"/>
        </w:rPr>
        <w:t xml:space="preserve">to </w:t>
      </w:r>
      <w:r w:rsidR="00DA3DEE">
        <w:rPr>
          <w:sz w:val="22"/>
          <w:szCs w:val="22"/>
        </w:rPr>
        <w:t xml:space="preserve">the </w:t>
      </w:r>
      <w:r w:rsidR="00DC5AC3">
        <w:rPr>
          <w:sz w:val="22"/>
          <w:szCs w:val="22"/>
        </w:rPr>
        <w:t xml:space="preserve">way </w:t>
      </w:r>
      <w:r w:rsidR="00DA3DEE">
        <w:rPr>
          <w:sz w:val="22"/>
          <w:szCs w:val="22"/>
        </w:rPr>
        <w:t>in which</w:t>
      </w:r>
      <w:r w:rsidR="0045199D">
        <w:rPr>
          <w:sz w:val="22"/>
          <w:szCs w:val="22"/>
        </w:rPr>
        <w:t xml:space="preserve"> the Appraisal Committee</w:t>
      </w:r>
      <w:r w:rsidR="00DA3DEE">
        <w:rPr>
          <w:sz w:val="22"/>
          <w:szCs w:val="22"/>
        </w:rPr>
        <w:t xml:space="preserve"> </w:t>
      </w:r>
      <w:r w:rsidR="00DC5AC3">
        <w:rPr>
          <w:sz w:val="22"/>
          <w:szCs w:val="22"/>
        </w:rPr>
        <w:t xml:space="preserve">managed evidential </w:t>
      </w:r>
      <w:r w:rsidR="0045199D">
        <w:rPr>
          <w:sz w:val="22"/>
          <w:szCs w:val="22"/>
        </w:rPr>
        <w:t xml:space="preserve">uncertainty </w:t>
      </w:r>
      <w:r w:rsidR="00DA3DEE">
        <w:rPr>
          <w:sz w:val="22"/>
          <w:szCs w:val="22"/>
        </w:rPr>
        <w:t>a</w:t>
      </w:r>
      <w:r w:rsidR="003B06AB">
        <w:rPr>
          <w:sz w:val="22"/>
          <w:szCs w:val="22"/>
        </w:rPr>
        <w:t>nd whether that approach</w:t>
      </w:r>
      <w:r w:rsidR="00DC5AC3">
        <w:rPr>
          <w:sz w:val="22"/>
          <w:szCs w:val="22"/>
        </w:rPr>
        <w:t xml:space="preserve"> was appropriate in circumstances where Article 2 is engaged</w:t>
      </w:r>
      <w:r w:rsidR="0045199D">
        <w:rPr>
          <w:sz w:val="22"/>
          <w:szCs w:val="22"/>
        </w:rPr>
        <w:t xml:space="preserve">.  </w:t>
      </w:r>
      <w:r>
        <w:rPr>
          <w:sz w:val="22"/>
          <w:szCs w:val="22"/>
        </w:rPr>
        <w:t>P</w:t>
      </w:r>
      <w:r w:rsidRPr="00F673BE">
        <w:rPr>
          <w:sz w:val="22"/>
          <w:szCs w:val="22"/>
        </w:rPr>
        <w:t xml:space="preserve">embrolizumab is </w:t>
      </w:r>
      <w:r>
        <w:rPr>
          <w:sz w:val="22"/>
          <w:szCs w:val="22"/>
        </w:rPr>
        <w:t xml:space="preserve">acknowledged to be life-extending and life-improving, as evidenced by a volume of clinical data that is robust and unprecedented in terms of longer-term follow-up.  The Research Group considers pembrolizumab to be the </w:t>
      </w:r>
      <w:r w:rsidRPr="00F673BE">
        <w:rPr>
          <w:sz w:val="22"/>
          <w:szCs w:val="22"/>
        </w:rPr>
        <w:t xml:space="preserve">only product in this indication </w:t>
      </w:r>
      <w:r>
        <w:rPr>
          <w:sz w:val="22"/>
          <w:szCs w:val="22"/>
        </w:rPr>
        <w:t>that has a “level one” evidence-base.</w:t>
      </w:r>
      <w:r w:rsidR="00625EDE">
        <w:rPr>
          <w:sz w:val="22"/>
          <w:szCs w:val="22"/>
        </w:rPr>
        <w:t xml:space="preserve"> </w:t>
      </w:r>
      <w:r>
        <w:rPr>
          <w:sz w:val="22"/>
          <w:szCs w:val="22"/>
        </w:rPr>
        <w:t xml:space="preserve"> Many clinicians and some clinical guidelines prefer</w:t>
      </w:r>
      <w:r w:rsidRPr="00F673BE">
        <w:rPr>
          <w:sz w:val="22"/>
          <w:szCs w:val="22"/>
        </w:rPr>
        <w:t xml:space="preserve"> treatment with pembrolizumab over </w:t>
      </w:r>
      <w:r>
        <w:rPr>
          <w:sz w:val="22"/>
          <w:szCs w:val="22"/>
        </w:rPr>
        <w:t xml:space="preserve">alternatives (including) </w:t>
      </w:r>
      <w:r w:rsidRPr="00F673BE">
        <w:rPr>
          <w:sz w:val="22"/>
          <w:szCs w:val="22"/>
        </w:rPr>
        <w:t xml:space="preserve">atezolizumab, largely because of stronger evidence </w:t>
      </w:r>
      <w:r>
        <w:rPr>
          <w:sz w:val="22"/>
          <w:szCs w:val="22"/>
        </w:rPr>
        <w:t>of</w:t>
      </w:r>
      <w:r w:rsidRPr="00F673BE">
        <w:rPr>
          <w:sz w:val="22"/>
          <w:szCs w:val="22"/>
        </w:rPr>
        <w:t xml:space="preserve"> overall survival</w:t>
      </w:r>
      <w:r>
        <w:rPr>
          <w:sz w:val="22"/>
          <w:szCs w:val="22"/>
        </w:rPr>
        <w:t xml:space="preserve"> benefits</w:t>
      </w:r>
      <w:r w:rsidRPr="00F673BE">
        <w:rPr>
          <w:sz w:val="22"/>
          <w:szCs w:val="22"/>
        </w:rPr>
        <w:t xml:space="preserve">.  </w:t>
      </w:r>
      <w:r>
        <w:rPr>
          <w:sz w:val="22"/>
          <w:szCs w:val="22"/>
        </w:rPr>
        <w:t>These features have a direct bearing on patients’ right to life and the balancing exercise required under Article 2.</w:t>
      </w:r>
    </w:p>
    <w:p w14:paraId="6E523C1B" w14:textId="77777777" w:rsidR="008B040B" w:rsidRDefault="008B040B" w:rsidP="002B790B">
      <w:pPr>
        <w:jc w:val="both"/>
        <w:rPr>
          <w:sz w:val="22"/>
          <w:szCs w:val="22"/>
        </w:rPr>
      </w:pPr>
    </w:p>
    <w:p w14:paraId="2EF7AB77" w14:textId="021751C9" w:rsidR="006F2F40" w:rsidRDefault="00334029" w:rsidP="00F673BE">
      <w:pPr>
        <w:jc w:val="both"/>
        <w:rPr>
          <w:sz w:val="22"/>
          <w:szCs w:val="22"/>
        </w:rPr>
      </w:pPr>
      <w:r w:rsidRPr="00F673BE">
        <w:rPr>
          <w:sz w:val="22"/>
          <w:szCs w:val="22"/>
        </w:rPr>
        <w:t>As the Research Group suggested, the unique circumstances patients faced</w:t>
      </w:r>
      <w:r w:rsidR="002D5226" w:rsidRPr="00F673BE">
        <w:rPr>
          <w:sz w:val="22"/>
          <w:szCs w:val="22"/>
        </w:rPr>
        <w:t xml:space="preserve"> and the </w:t>
      </w:r>
      <w:r w:rsidR="003B06AB">
        <w:rPr>
          <w:sz w:val="22"/>
          <w:szCs w:val="22"/>
        </w:rPr>
        <w:t xml:space="preserve">potential benefits of </w:t>
      </w:r>
      <w:r w:rsidR="002D5226" w:rsidRPr="00F673BE">
        <w:rPr>
          <w:sz w:val="22"/>
          <w:szCs w:val="22"/>
        </w:rPr>
        <w:t xml:space="preserve">pembrolizumab </w:t>
      </w:r>
      <w:r w:rsidR="003B06AB">
        <w:rPr>
          <w:sz w:val="22"/>
          <w:szCs w:val="22"/>
        </w:rPr>
        <w:t>over alternatives</w:t>
      </w:r>
      <w:r w:rsidR="008B040B">
        <w:rPr>
          <w:sz w:val="22"/>
          <w:szCs w:val="22"/>
        </w:rPr>
        <w:t xml:space="preserve"> like </w:t>
      </w:r>
      <w:r w:rsidR="008B040B" w:rsidRPr="00F673BE">
        <w:rPr>
          <w:sz w:val="22"/>
          <w:szCs w:val="22"/>
        </w:rPr>
        <w:t>atezolizumab</w:t>
      </w:r>
      <w:r w:rsidR="003B06AB">
        <w:rPr>
          <w:sz w:val="22"/>
          <w:szCs w:val="22"/>
        </w:rPr>
        <w:t xml:space="preserve"> </w:t>
      </w:r>
      <w:r w:rsidR="002D5226" w:rsidRPr="00F673BE">
        <w:rPr>
          <w:sz w:val="22"/>
          <w:szCs w:val="22"/>
        </w:rPr>
        <w:t>ought to have led the Appraisal Committee to give the t</w:t>
      </w:r>
      <w:r w:rsidR="003B06AB">
        <w:rPr>
          <w:sz w:val="22"/>
          <w:szCs w:val="22"/>
        </w:rPr>
        <w:t>echnology the “benefit of doubt</w:t>
      </w:r>
      <w:r w:rsidR="002D5226" w:rsidRPr="00F673BE">
        <w:rPr>
          <w:sz w:val="22"/>
          <w:szCs w:val="22"/>
        </w:rPr>
        <w:t>”</w:t>
      </w:r>
      <w:r w:rsidR="003B06AB">
        <w:rPr>
          <w:sz w:val="22"/>
          <w:szCs w:val="22"/>
        </w:rPr>
        <w:t xml:space="preserve"> in situations requiring assumption, extrapolation or the exercise of discretion.</w:t>
      </w:r>
      <w:r w:rsidR="002D5226" w:rsidRPr="00F673BE">
        <w:rPr>
          <w:sz w:val="22"/>
          <w:szCs w:val="22"/>
        </w:rPr>
        <w:t xml:space="preserve">  The unfortunate reality is that the Committee took the opposite approach in key aspects of its decision-making.  </w:t>
      </w:r>
      <w:r w:rsidR="003B06AB">
        <w:rPr>
          <w:sz w:val="22"/>
          <w:szCs w:val="22"/>
        </w:rPr>
        <w:t>The levels of latitude expected in c</w:t>
      </w:r>
      <w:r w:rsidR="00DC5AC3">
        <w:rPr>
          <w:sz w:val="22"/>
          <w:szCs w:val="22"/>
        </w:rPr>
        <w:t>ases where Article 2 is engaged, particularly compared to previous appraisal</w:t>
      </w:r>
      <w:r w:rsidR="008B040B">
        <w:rPr>
          <w:sz w:val="22"/>
          <w:szCs w:val="22"/>
        </w:rPr>
        <w:t xml:space="preserve">s, including that for </w:t>
      </w:r>
      <w:r w:rsidR="008B040B" w:rsidRPr="00F673BE">
        <w:rPr>
          <w:sz w:val="22"/>
          <w:szCs w:val="22"/>
        </w:rPr>
        <w:t>atezolizumab</w:t>
      </w:r>
      <w:r w:rsidR="00DC5AC3">
        <w:rPr>
          <w:sz w:val="22"/>
          <w:szCs w:val="22"/>
        </w:rPr>
        <w:t xml:space="preserve">, </w:t>
      </w:r>
      <w:r w:rsidR="003B06AB">
        <w:rPr>
          <w:sz w:val="22"/>
          <w:szCs w:val="22"/>
        </w:rPr>
        <w:t>were not afford</w:t>
      </w:r>
      <w:r w:rsidR="000C1F4A">
        <w:rPr>
          <w:sz w:val="22"/>
          <w:szCs w:val="22"/>
        </w:rPr>
        <w:t>ed to pembrolizumab and in our view cannot represent a fair balance of competing interests.</w:t>
      </w:r>
    </w:p>
    <w:p w14:paraId="6E79B830" w14:textId="77777777" w:rsidR="006F2F40" w:rsidRDefault="006F2F40" w:rsidP="00F673BE">
      <w:pPr>
        <w:jc w:val="both"/>
        <w:rPr>
          <w:sz w:val="22"/>
          <w:szCs w:val="22"/>
        </w:rPr>
      </w:pPr>
    </w:p>
    <w:p w14:paraId="4E9BFFF9" w14:textId="52BA21C4" w:rsidR="002063DC" w:rsidRPr="00F673BE" w:rsidRDefault="00FB68DE" w:rsidP="00F673BE">
      <w:pPr>
        <w:jc w:val="both"/>
        <w:rPr>
          <w:sz w:val="22"/>
          <w:szCs w:val="22"/>
        </w:rPr>
      </w:pPr>
      <w:r w:rsidRPr="00F673BE">
        <w:rPr>
          <w:sz w:val="22"/>
          <w:szCs w:val="22"/>
        </w:rPr>
        <w:t xml:space="preserve">We appreciate that </w:t>
      </w:r>
      <w:r w:rsidR="006F0542">
        <w:rPr>
          <w:sz w:val="22"/>
          <w:szCs w:val="22"/>
        </w:rPr>
        <w:t>the unique circumstances of this</w:t>
      </w:r>
      <w:r w:rsidRPr="00F673BE">
        <w:rPr>
          <w:sz w:val="22"/>
          <w:szCs w:val="22"/>
        </w:rPr>
        <w:t xml:space="preserve"> case mean that there is </w:t>
      </w:r>
      <w:r w:rsidR="006F0542">
        <w:rPr>
          <w:sz w:val="22"/>
          <w:szCs w:val="22"/>
        </w:rPr>
        <w:t xml:space="preserve">considerable factual </w:t>
      </w:r>
      <w:r w:rsidRPr="00F673BE">
        <w:rPr>
          <w:sz w:val="22"/>
          <w:szCs w:val="22"/>
        </w:rPr>
        <w:t xml:space="preserve">crossover between Ground 1b.1 and </w:t>
      </w:r>
      <w:r w:rsidR="008B040B">
        <w:rPr>
          <w:sz w:val="22"/>
          <w:szCs w:val="22"/>
        </w:rPr>
        <w:t>some</w:t>
      </w:r>
      <w:r w:rsidR="008B040B" w:rsidRPr="00F673BE">
        <w:rPr>
          <w:sz w:val="22"/>
          <w:szCs w:val="22"/>
        </w:rPr>
        <w:t xml:space="preserve"> </w:t>
      </w:r>
      <w:r w:rsidRPr="00F673BE">
        <w:rPr>
          <w:sz w:val="22"/>
          <w:szCs w:val="22"/>
        </w:rPr>
        <w:t>other Grounds.  However, thi</w:t>
      </w:r>
      <w:r w:rsidR="003E7D1E">
        <w:rPr>
          <w:sz w:val="22"/>
          <w:szCs w:val="22"/>
        </w:rPr>
        <w:t>s does not mean that an appeal ground</w:t>
      </w:r>
      <w:r w:rsidRPr="00F673BE">
        <w:rPr>
          <w:sz w:val="22"/>
          <w:szCs w:val="22"/>
        </w:rPr>
        <w:t xml:space="preserve"> under Article 2 ceases to </w:t>
      </w:r>
      <w:proofErr w:type="gramStart"/>
      <w:r w:rsidRPr="00F673BE">
        <w:rPr>
          <w:sz w:val="22"/>
          <w:szCs w:val="22"/>
        </w:rPr>
        <w:t>exist in its own right</w:t>
      </w:r>
      <w:proofErr w:type="gramEnd"/>
      <w:r w:rsidRPr="00F673BE">
        <w:rPr>
          <w:sz w:val="22"/>
          <w:szCs w:val="22"/>
        </w:rPr>
        <w:t>.</w:t>
      </w:r>
      <w:r>
        <w:rPr>
          <w:sz w:val="22"/>
          <w:szCs w:val="22"/>
        </w:rPr>
        <w:t xml:space="preserve">  </w:t>
      </w:r>
      <w:r w:rsidR="006F2F40">
        <w:rPr>
          <w:sz w:val="22"/>
          <w:szCs w:val="22"/>
        </w:rPr>
        <w:t>Article 2 requires the Appraisal Committee to demonstrate that the decisions and approach it took respect</w:t>
      </w:r>
      <w:r w:rsidR="008B040B">
        <w:rPr>
          <w:sz w:val="22"/>
          <w:szCs w:val="22"/>
        </w:rPr>
        <w:t>ed</w:t>
      </w:r>
      <w:r w:rsidR="006F2F40">
        <w:rPr>
          <w:sz w:val="22"/>
          <w:szCs w:val="22"/>
        </w:rPr>
        <w:t xml:space="preserve"> the right to life</w:t>
      </w:r>
      <w:r w:rsidR="000C1F4A">
        <w:rPr>
          <w:sz w:val="22"/>
          <w:szCs w:val="22"/>
        </w:rPr>
        <w:t xml:space="preserve">.  It </w:t>
      </w:r>
      <w:r>
        <w:rPr>
          <w:sz w:val="22"/>
          <w:szCs w:val="22"/>
        </w:rPr>
        <w:t>also requires the Appeal Panel to hold the Appraisal Committee to account.  We believe that the only way to do t</w:t>
      </w:r>
      <w:r w:rsidR="00FE15EA">
        <w:rPr>
          <w:sz w:val="22"/>
          <w:szCs w:val="22"/>
        </w:rPr>
        <w:t xml:space="preserve">his is to consider Article 2 </w:t>
      </w:r>
      <w:r w:rsidR="00667D7B" w:rsidRPr="00F673BE">
        <w:rPr>
          <w:sz w:val="22"/>
          <w:szCs w:val="22"/>
        </w:rPr>
        <w:t>under</w:t>
      </w:r>
      <w:r w:rsidR="003E7D1E">
        <w:rPr>
          <w:sz w:val="22"/>
          <w:szCs w:val="22"/>
        </w:rPr>
        <w:t xml:space="preserve"> a standalone 1b appeal </w:t>
      </w:r>
      <w:r w:rsidR="00324277">
        <w:rPr>
          <w:sz w:val="22"/>
          <w:szCs w:val="22"/>
        </w:rPr>
        <w:t>g</w:t>
      </w:r>
      <w:r w:rsidR="000C1F4A">
        <w:rPr>
          <w:sz w:val="22"/>
          <w:szCs w:val="22"/>
        </w:rPr>
        <w:t>round.</w:t>
      </w:r>
    </w:p>
    <w:p w14:paraId="51B7DB15" w14:textId="77777777" w:rsidR="00A44B95" w:rsidRPr="00F673BE" w:rsidRDefault="00A44B95" w:rsidP="00F673BE">
      <w:pPr>
        <w:jc w:val="both"/>
        <w:rPr>
          <w:sz w:val="22"/>
          <w:szCs w:val="22"/>
        </w:rPr>
      </w:pPr>
    </w:p>
    <w:p w14:paraId="155C967D" w14:textId="77777777" w:rsidR="00526B24" w:rsidRDefault="00526B24" w:rsidP="00F673BE">
      <w:pPr>
        <w:jc w:val="both"/>
        <w:rPr>
          <w:b/>
          <w:i/>
          <w:sz w:val="22"/>
          <w:szCs w:val="22"/>
        </w:rPr>
      </w:pPr>
      <w:r>
        <w:rPr>
          <w:b/>
          <w:i/>
          <w:sz w:val="22"/>
          <w:szCs w:val="22"/>
        </w:rPr>
        <w:t>Discrimination under Article 14 of the Convention and the Equality Act 2010</w:t>
      </w:r>
    </w:p>
    <w:p w14:paraId="1C05F56E" w14:textId="77777777" w:rsidR="00526B24" w:rsidRDefault="00526B24" w:rsidP="00F673BE">
      <w:pPr>
        <w:jc w:val="both"/>
        <w:rPr>
          <w:b/>
          <w:i/>
          <w:sz w:val="22"/>
          <w:szCs w:val="22"/>
        </w:rPr>
      </w:pPr>
    </w:p>
    <w:p w14:paraId="5C55396A" w14:textId="40B8C76B" w:rsidR="00A71EFE" w:rsidRDefault="00A069D6" w:rsidP="00F673BE">
      <w:pPr>
        <w:jc w:val="both"/>
        <w:rPr>
          <w:sz w:val="22"/>
          <w:szCs w:val="22"/>
        </w:rPr>
      </w:pPr>
      <w:r>
        <w:rPr>
          <w:sz w:val="22"/>
          <w:szCs w:val="22"/>
        </w:rPr>
        <w:t xml:space="preserve">We believe the Appraisal Committee’s decision amounts to discrimination </w:t>
      </w:r>
      <w:r w:rsidRPr="00A069D6">
        <w:rPr>
          <w:sz w:val="22"/>
          <w:szCs w:val="22"/>
        </w:rPr>
        <w:t>under Article 14 of the Conv</w:t>
      </w:r>
      <w:r>
        <w:rPr>
          <w:sz w:val="22"/>
          <w:szCs w:val="22"/>
        </w:rPr>
        <w:t>ention and the Equality Act because (</w:t>
      </w:r>
      <w:proofErr w:type="spellStart"/>
      <w:r>
        <w:rPr>
          <w:sz w:val="22"/>
          <w:szCs w:val="22"/>
        </w:rPr>
        <w:t>i</w:t>
      </w:r>
      <w:proofErr w:type="spellEnd"/>
      <w:r>
        <w:rPr>
          <w:sz w:val="22"/>
          <w:szCs w:val="22"/>
        </w:rPr>
        <w:t xml:space="preserve">) it disproportionately </w:t>
      </w:r>
      <w:r w:rsidR="00202AA5">
        <w:rPr>
          <w:sz w:val="22"/>
          <w:szCs w:val="22"/>
        </w:rPr>
        <w:t xml:space="preserve">and </w:t>
      </w:r>
      <w:r>
        <w:rPr>
          <w:sz w:val="22"/>
          <w:szCs w:val="22"/>
        </w:rPr>
        <w:t xml:space="preserve">negatively affects the patient </w:t>
      </w:r>
      <w:r>
        <w:rPr>
          <w:sz w:val="22"/>
          <w:szCs w:val="22"/>
        </w:rPr>
        <w:lastRenderedPageBreak/>
        <w:t>population in this indication</w:t>
      </w:r>
      <w:r w:rsidR="00011C08">
        <w:rPr>
          <w:sz w:val="22"/>
          <w:szCs w:val="22"/>
        </w:rPr>
        <w:t>, who are disabled</w:t>
      </w:r>
      <w:r w:rsidR="00011C08">
        <w:rPr>
          <w:rStyle w:val="FootnoteReference"/>
          <w:sz w:val="22"/>
          <w:szCs w:val="22"/>
        </w:rPr>
        <w:footnoteReference w:id="5"/>
      </w:r>
      <w:r w:rsidR="00011C08">
        <w:rPr>
          <w:sz w:val="22"/>
          <w:szCs w:val="22"/>
        </w:rPr>
        <w:t xml:space="preserve"> and are likely to be older people</w:t>
      </w:r>
      <w:r>
        <w:rPr>
          <w:sz w:val="22"/>
          <w:szCs w:val="22"/>
        </w:rPr>
        <w:t xml:space="preserve">; and (ii) the same patient population, with protected characteristics, </w:t>
      </w:r>
      <w:r w:rsidR="00202AA5">
        <w:rPr>
          <w:sz w:val="22"/>
          <w:szCs w:val="22"/>
        </w:rPr>
        <w:t>has been trea</w:t>
      </w:r>
      <w:r w:rsidR="00011C08">
        <w:rPr>
          <w:sz w:val="22"/>
          <w:szCs w:val="22"/>
        </w:rPr>
        <w:t xml:space="preserve">ted unequally </w:t>
      </w:r>
      <w:r w:rsidR="008B040B">
        <w:rPr>
          <w:sz w:val="22"/>
          <w:szCs w:val="22"/>
        </w:rPr>
        <w:t xml:space="preserve">in </w:t>
      </w:r>
      <w:r w:rsidR="00011C08">
        <w:rPr>
          <w:sz w:val="22"/>
          <w:szCs w:val="22"/>
        </w:rPr>
        <w:t xml:space="preserve">comparable </w:t>
      </w:r>
      <w:r w:rsidR="00202AA5">
        <w:rPr>
          <w:sz w:val="22"/>
          <w:szCs w:val="22"/>
        </w:rPr>
        <w:t xml:space="preserve">appraisals.  </w:t>
      </w:r>
      <w:r w:rsidR="00904E85">
        <w:rPr>
          <w:sz w:val="22"/>
          <w:szCs w:val="22"/>
        </w:rPr>
        <w:t xml:space="preserve">In other words, there are cancer patients who might benefit from a product </w:t>
      </w:r>
      <w:r w:rsidR="00A71EFE">
        <w:rPr>
          <w:sz w:val="22"/>
          <w:szCs w:val="22"/>
        </w:rPr>
        <w:t xml:space="preserve">backed by evidence showing that it increases overall survival who have been disproportionately and negatively disadvantaged because of the approach the Appraisal Committee took.  </w:t>
      </w:r>
    </w:p>
    <w:p w14:paraId="2CFD8C23" w14:textId="77777777" w:rsidR="00A71EFE" w:rsidRDefault="00A71EFE" w:rsidP="00F673BE">
      <w:pPr>
        <w:jc w:val="both"/>
        <w:rPr>
          <w:sz w:val="22"/>
          <w:szCs w:val="22"/>
        </w:rPr>
      </w:pPr>
    </w:p>
    <w:p w14:paraId="2BA54365" w14:textId="4C888906" w:rsidR="0041522A" w:rsidRDefault="00654647" w:rsidP="00F673BE">
      <w:pPr>
        <w:jc w:val="both"/>
        <w:rPr>
          <w:sz w:val="22"/>
          <w:szCs w:val="22"/>
        </w:rPr>
      </w:pPr>
      <w:r w:rsidRPr="001D75BA">
        <w:rPr>
          <w:sz w:val="22"/>
          <w:szCs w:val="22"/>
        </w:rPr>
        <w:t xml:space="preserve">We respectfully disagree that </w:t>
      </w:r>
      <w:proofErr w:type="gramStart"/>
      <w:r w:rsidRPr="001D75BA">
        <w:rPr>
          <w:sz w:val="22"/>
          <w:szCs w:val="22"/>
        </w:rPr>
        <w:t>in order for</w:t>
      </w:r>
      <w:proofErr w:type="gramEnd"/>
      <w:r w:rsidRPr="001D75BA">
        <w:rPr>
          <w:sz w:val="22"/>
          <w:szCs w:val="22"/>
        </w:rPr>
        <w:t xml:space="preserve"> discrimi</w:t>
      </w:r>
      <w:r w:rsidR="003E7D1E">
        <w:rPr>
          <w:sz w:val="22"/>
          <w:szCs w:val="22"/>
        </w:rPr>
        <w:t>nation to form the basis of an appeal g</w:t>
      </w:r>
      <w:r w:rsidRPr="001D75BA">
        <w:rPr>
          <w:sz w:val="22"/>
          <w:szCs w:val="22"/>
        </w:rPr>
        <w:t>round, one must identify a comparator group that has been treated more favourably than patients denied treatment.  Rather, a policy that applies universally (</w:t>
      </w:r>
      <w:r w:rsidRPr="001D75BA">
        <w:rPr>
          <w:i/>
          <w:sz w:val="22"/>
          <w:szCs w:val="22"/>
        </w:rPr>
        <w:t>i.e.</w:t>
      </w:r>
      <w:r w:rsidRPr="001D75BA">
        <w:rPr>
          <w:sz w:val="22"/>
          <w:szCs w:val="22"/>
        </w:rPr>
        <w:t xml:space="preserve">, a treatment is not recommended full stop) can be indirectly discriminatory if a </w:t>
      </w:r>
      <w:proofErr w:type="gramStart"/>
      <w:r w:rsidRPr="001D75BA">
        <w:rPr>
          <w:sz w:val="22"/>
          <w:szCs w:val="22"/>
        </w:rPr>
        <w:t>particular group</w:t>
      </w:r>
      <w:proofErr w:type="gramEnd"/>
      <w:r w:rsidRPr="001D75BA">
        <w:rPr>
          <w:sz w:val="22"/>
          <w:szCs w:val="22"/>
        </w:rPr>
        <w:t xml:space="preserve"> with protected characteristics finds itself disproportionately disadvantaged.  Indirect discrimination falls under the scope of both the Convention and the Act and is only lawful if objectively justified.</w:t>
      </w:r>
      <w:r w:rsidRPr="001D75BA">
        <w:rPr>
          <w:sz w:val="22"/>
          <w:szCs w:val="22"/>
          <w:vertAlign w:val="superscript"/>
        </w:rPr>
        <w:footnoteReference w:id="6"/>
      </w:r>
    </w:p>
    <w:p w14:paraId="7E1749A3" w14:textId="77777777" w:rsidR="00766B40" w:rsidRDefault="00766B40" w:rsidP="00F673BE">
      <w:pPr>
        <w:jc w:val="both"/>
        <w:rPr>
          <w:sz w:val="22"/>
          <w:szCs w:val="22"/>
        </w:rPr>
      </w:pPr>
    </w:p>
    <w:p w14:paraId="5E70EB26" w14:textId="11880A1B" w:rsidR="000C1F4A" w:rsidRDefault="008B040B" w:rsidP="00F673BE">
      <w:pPr>
        <w:jc w:val="both"/>
        <w:rPr>
          <w:sz w:val="22"/>
          <w:szCs w:val="22"/>
        </w:rPr>
      </w:pPr>
      <w:r>
        <w:rPr>
          <w:sz w:val="22"/>
          <w:szCs w:val="22"/>
        </w:rPr>
        <w:t>The requirement for an objective</w:t>
      </w:r>
      <w:r w:rsidRPr="00F673BE">
        <w:rPr>
          <w:sz w:val="22"/>
          <w:szCs w:val="22"/>
        </w:rPr>
        <w:t xml:space="preserve"> </w:t>
      </w:r>
      <w:r w:rsidR="0041522A" w:rsidRPr="00F673BE">
        <w:rPr>
          <w:sz w:val="22"/>
          <w:szCs w:val="22"/>
        </w:rPr>
        <w:t xml:space="preserve">justification is a </w:t>
      </w:r>
      <w:r w:rsidR="0041522A">
        <w:rPr>
          <w:sz w:val="22"/>
          <w:szCs w:val="22"/>
        </w:rPr>
        <w:t xml:space="preserve">specific legal </w:t>
      </w:r>
      <w:r w:rsidR="00A71EFE">
        <w:rPr>
          <w:sz w:val="22"/>
          <w:szCs w:val="22"/>
        </w:rPr>
        <w:t xml:space="preserve">requirement </w:t>
      </w:r>
      <w:r w:rsidR="0041522A" w:rsidRPr="00F673BE">
        <w:rPr>
          <w:sz w:val="22"/>
          <w:szCs w:val="22"/>
        </w:rPr>
        <w:t>under Article 14</w:t>
      </w:r>
      <w:r w:rsidR="0041522A">
        <w:rPr>
          <w:sz w:val="22"/>
          <w:szCs w:val="22"/>
        </w:rPr>
        <w:t xml:space="preserve"> of the Convention and the Equality Act</w:t>
      </w:r>
      <w:r w:rsidR="0041522A" w:rsidRPr="00F673BE">
        <w:rPr>
          <w:sz w:val="22"/>
          <w:szCs w:val="22"/>
        </w:rPr>
        <w:t xml:space="preserve">.  </w:t>
      </w:r>
      <w:r w:rsidR="0041522A">
        <w:rPr>
          <w:sz w:val="22"/>
          <w:szCs w:val="22"/>
        </w:rPr>
        <w:t>It means the decision must represent</w:t>
      </w:r>
      <w:r w:rsidR="0041522A" w:rsidRPr="00F673BE">
        <w:rPr>
          <w:sz w:val="22"/>
          <w:szCs w:val="22"/>
        </w:rPr>
        <w:t xml:space="preserve"> a proportionate means to achieve a legitimate aim.</w:t>
      </w:r>
      <w:r w:rsidR="001C09B7">
        <w:rPr>
          <w:sz w:val="22"/>
          <w:szCs w:val="22"/>
        </w:rPr>
        <w:t xml:space="preserve"> </w:t>
      </w:r>
      <w:r w:rsidR="0041522A" w:rsidRPr="00F673BE">
        <w:rPr>
          <w:sz w:val="22"/>
          <w:szCs w:val="22"/>
        </w:rPr>
        <w:t xml:space="preserve"> </w:t>
      </w:r>
      <w:r w:rsidR="0041522A">
        <w:rPr>
          <w:sz w:val="22"/>
          <w:szCs w:val="22"/>
        </w:rPr>
        <w:t>T</w:t>
      </w:r>
      <w:r w:rsidR="0041522A" w:rsidRPr="00F673BE">
        <w:rPr>
          <w:sz w:val="22"/>
          <w:szCs w:val="22"/>
        </w:rPr>
        <w:t xml:space="preserve">he suggestion in the </w:t>
      </w:r>
      <w:r w:rsidR="0041522A">
        <w:rPr>
          <w:sz w:val="22"/>
          <w:szCs w:val="22"/>
        </w:rPr>
        <w:t xml:space="preserve">Initial Scrutiny Letter that “objective justification” </w:t>
      </w:r>
      <w:r w:rsidR="00506244">
        <w:rPr>
          <w:sz w:val="22"/>
          <w:szCs w:val="22"/>
        </w:rPr>
        <w:t xml:space="preserve">equates to reviewing the evidence reasonably and therefore </w:t>
      </w:r>
      <w:r w:rsidR="0041522A">
        <w:rPr>
          <w:sz w:val="22"/>
          <w:szCs w:val="22"/>
        </w:rPr>
        <w:t xml:space="preserve">is </w:t>
      </w:r>
      <w:r w:rsidR="0041522A" w:rsidRPr="00F673BE">
        <w:rPr>
          <w:sz w:val="22"/>
          <w:szCs w:val="22"/>
        </w:rPr>
        <w:t>best addressed</w:t>
      </w:r>
      <w:r w:rsidR="0041522A">
        <w:rPr>
          <w:sz w:val="22"/>
          <w:szCs w:val="22"/>
        </w:rPr>
        <w:t xml:space="preserve"> as a general matter under Ground 2 is, with due respect, incorrect.  </w:t>
      </w:r>
    </w:p>
    <w:p w14:paraId="2CF9F13D" w14:textId="77777777" w:rsidR="00202AA5" w:rsidRDefault="00202AA5" w:rsidP="00F673BE">
      <w:pPr>
        <w:jc w:val="both"/>
        <w:rPr>
          <w:sz w:val="22"/>
          <w:szCs w:val="22"/>
        </w:rPr>
      </w:pPr>
    </w:p>
    <w:p w14:paraId="0BA8823C" w14:textId="77777777" w:rsidR="003458E7" w:rsidRDefault="003458E7" w:rsidP="00F673BE">
      <w:pPr>
        <w:jc w:val="both"/>
        <w:rPr>
          <w:sz w:val="22"/>
          <w:szCs w:val="22"/>
        </w:rPr>
      </w:pPr>
      <w:r>
        <w:rPr>
          <w:sz w:val="22"/>
          <w:szCs w:val="22"/>
        </w:rPr>
        <w:t xml:space="preserve">In the Appeal Letter, we </w:t>
      </w:r>
      <w:r w:rsidRPr="00F673BE">
        <w:rPr>
          <w:sz w:val="22"/>
          <w:szCs w:val="22"/>
        </w:rPr>
        <w:t>discussed Article 14 of the Convention</w:t>
      </w:r>
      <w:r w:rsidR="00FC5FA1">
        <w:rPr>
          <w:sz w:val="22"/>
          <w:szCs w:val="22"/>
        </w:rPr>
        <w:t xml:space="preserve"> and </w:t>
      </w:r>
      <w:r>
        <w:rPr>
          <w:sz w:val="22"/>
          <w:szCs w:val="22"/>
        </w:rPr>
        <w:t>Equality</w:t>
      </w:r>
      <w:r w:rsidRPr="00F673BE">
        <w:rPr>
          <w:sz w:val="22"/>
          <w:szCs w:val="22"/>
        </w:rPr>
        <w:t xml:space="preserve"> Act</w:t>
      </w:r>
      <w:r w:rsidR="00FC5FA1">
        <w:rPr>
          <w:sz w:val="22"/>
          <w:szCs w:val="22"/>
        </w:rPr>
        <w:t xml:space="preserve"> together</w:t>
      </w:r>
      <w:r w:rsidRPr="00F673BE">
        <w:rPr>
          <w:sz w:val="22"/>
          <w:szCs w:val="22"/>
        </w:rPr>
        <w:t xml:space="preserve">.  </w:t>
      </w:r>
      <w:r>
        <w:rPr>
          <w:sz w:val="22"/>
          <w:szCs w:val="22"/>
        </w:rPr>
        <w:t xml:space="preserve">This was for the sake of </w:t>
      </w:r>
      <w:r w:rsidRPr="00F673BE">
        <w:rPr>
          <w:sz w:val="22"/>
          <w:szCs w:val="22"/>
        </w:rPr>
        <w:t>efficiency</w:t>
      </w:r>
      <w:r>
        <w:rPr>
          <w:sz w:val="22"/>
          <w:szCs w:val="22"/>
        </w:rPr>
        <w:t xml:space="preserve"> and </w:t>
      </w:r>
      <w:r w:rsidRPr="00F673BE">
        <w:rPr>
          <w:sz w:val="22"/>
          <w:szCs w:val="22"/>
        </w:rPr>
        <w:t xml:space="preserve">we apologise </w:t>
      </w:r>
      <w:r>
        <w:rPr>
          <w:sz w:val="22"/>
          <w:szCs w:val="22"/>
        </w:rPr>
        <w:t xml:space="preserve">if it led to </w:t>
      </w:r>
      <w:r w:rsidRPr="00F673BE">
        <w:rPr>
          <w:sz w:val="22"/>
          <w:szCs w:val="22"/>
        </w:rPr>
        <w:t>a lack of clarity.</w:t>
      </w:r>
      <w:r w:rsidR="00FC5FA1">
        <w:rPr>
          <w:sz w:val="22"/>
          <w:szCs w:val="22"/>
        </w:rPr>
        <w:t xml:space="preserve">  Although </w:t>
      </w:r>
      <w:r w:rsidR="00506244">
        <w:rPr>
          <w:sz w:val="22"/>
          <w:szCs w:val="22"/>
        </w:rPr>
        <w:t xml:space="preserve">there is significant overlap between both, we discuss </w:t>
      </w:r>
      <w:r w:rsidR="00FC5FA1">
        <w:rPr>
          <w:sz w:val="22"/>
          <w:szCs w:val="22"/>
        </w:rPr>
        <w:t>each separately below.</w:t>
      </w:r>
    </w:p>
    <w:p w14:paraId="5A98FFCD" w14:textId="77777777" w:rsidR="003458E7" w:rsidRDefault="003458E7" w:rsidP="00F673BE">
      <w:pPr>
        <w:jc w:val="both"/>
        <w:rPr>
          <w:b/>
          <w:i/>
          <w:sz w:val="22"/>
          <w:szCs w:val="22"/>
        </w:rPr>
      </w:pPr>
    </w:p>
    <w:p w14:paraId="3A9A4AAB" w14:textId="77777777" w:rsidR="00BA7F65" w:rsidRPr="009C1E32" w:rsidRDefault="00521327" w:rsidP="00F673BE">
      <w:pPr>
        <w:jc w:val="both"/>
        <w:rPr>
          <w:b/>
          <w:i/>
          <w:sz w:val="22"/>
          <w:szCs w:val="22"/>
        </w:rPr>
      </w:pPr>
      <w:r w:rsidRPr="00C157A5">
        <w:rPr>
          <w:b/>
          <w:i/>
          <w:sz w:val="22"/>
          <w:szCs w:val="22"/>
        </w:rPr>
        <w:t>Article 14 of the Convention</w:t>
      </w:r>
    </w:p>
    <w:p w14:paraId="4C2F4AE0" w14:textId="77777777" w:rsidR="00BA7F65" w:rsidRPr="00F673BE" w:rsidRDefault="00BA7F65" w:rsidP="00F673BE">
      <w:pPr>
        <w:jc w:val="both"/>
        <w:rPr>
          <w:sz w:val="22"/>
          <w:szCs w:val="22"/>
        </w:rPr>
      </w:pPr>
    </w:p>
    <w:p w14:paraId="4D585B86" w14:textId="176DEB89" w:rsidR="0016545C" w:rsidRDefault="00177EB4" w:rsidP="00F673BE">
      <w:pPr>
        <w:jc w:val="both"/>
        <w:rPr>
          <w:sz w:val="22"/>
          <w:szCs w:val="22"/>
        </w:rPr>
      </w:pPr>
      <w:r>
        <w:rPr>
          <w:sz w:val="22"/>
          <w:szCs w:val="22"/>
        </w:rPr>
        <w:t>The basic principle behind Article 14 is that</w:t>
      </w:r>
      <w:r w:rsidRPr="00177EB4">
        <w:t xml:space="preserve"> </w:t>
      </w:r>
      <w:r w:rsidRPr="00177EB4">
        <w:rPr>
          <w:sz w:val="22"/>
          <w:szCs w:val="22"/>
        </w:rPr>
        <w:t>everyone is e</w:t>
      </w:r>
      <w:r>
        <w:rPr>
          <w:sz w:val="22"/>
          <w:szCs w:val="22"/>
        </w:rPr>
        <w:t>ntitled to equal access to human rights established under the Convention</w:t>
      </w:r>
      <w:r w:rsidRPr="00177EB4">
        <w:rPr>
          <w:sz w:val="22"/>
          <w:szCs w:val="22"/>
        </w:rPr>
        <w:t>.</w:t>
      </w:r>
      <w:r w:rsidR="009E6A50">
        <w:rPr>
          <w:sz w:val="22"/>
          <w:szCs w:val="22"/>
        </w:rPr>
        <w:t xml:space="preserve"> </w:t>
      </w:r>
      <w:r w:rsidRPr="00177EB4">
        <w:rPr>
          <w:sz w:val="22"/>
          <w:szCs w:val="22"/>
        </w:rPr>
        <w:t xml:space="preserve"> People cannot be </w:t>
      </w:r>
      <w:r>
        <w:rPr>
          <w:sz w:val="22"/>
          <w:szCs w:val="22"/>
        </w:rPr>
        <w:t xml:space="preserve">directly or indirectly </w:t>
      </w:r>
      <w:r w:rsidRPr="00177EB4">
        <w:rPr>
          <w:sz w:val="22"/>
          <w:szCs w:val="22"/>
        </w:rPr>
        <w:t>denied equal access to</w:t>
      </w:r>
      <w:r>
        <w:rPr>
          <w:sz w:val="22"/>
          <w:szCs w:val="22"/>
        </w:rPr>
        <w:t xml:space="preserve"> Convention rights</w:t>
      </w:r>
      <w:r w:rsidRPr="00177EB4">
        <w:rPr>
          <w:sz w:val="22"/>
          <w:szCs w:val="22"/>
        </w:rPr>
        <w:t xml:space="preserve"> </w:t>
      </w:r>
      <w:r>
        <w:rPr>
          <w:sz w:val="22"/>
          <w:szCs w:val="22"/>
        </w:rPr>
        <w:t xml:space="preserve">on grounds of their personal “status” (including age, sex, race, </w:t>
      </w:r>
      <w:proofErr w:type="gramStart"/>
      <w:r>
        <w:rPr>
          <w:sz w:val="22"/>
          <w:szCs w:val="22"/>
        </w:rPr>
        <w:t>gender</w:t>
      </w:r>
      <w:proofErr w:type="gramEnd"/>
      <w:r>
        <w:rPr>
          <w:sz w:val="22"/>
          <w:szCs w:val="22"/>
        </w:rPr>
        <w:t xml:space="preserve"> or disability). </w:t>
      </w:r>
      <w:r w:rsidR="00823DBD">
        <w:rPr>
          <w:sz w:val="22"/>
          <w:szCs w:val="22"/>
        </w:rPr>
        <w:t xml:space="preserve"> I</w:t>
      </w:r>
      <w:r w:rsidR="00C213D5">
        <w:rPr>
          <w:sz w:val="22"/>
          <w:szCs w:val="22"/>
        </w:rPr>
        <w:t xml:space="preserve">n this case, </w:t>
      </w:r>
      <w:r w:rsidRPr="00F673BE">
        <w:rPr>
          <w:sz w:val="22"/>
          <w:szCs w:val="22"/>
        </w:rPr>
        <w:t>Article 14</w:t>
      </w:r>
      <w:r>
        <w:rPr>
          <w:sz w:val="22"/>
          <w:szCs w:val="22"/>
        </w:rPr>
        <w:t xml:space="preserve"> </w:t>
      </w:r>
      <w:r w:rsidR="00A71EFE">
        <w:rPr>
          <w:sz w:val="22"/>
          <w:szCs w:val="22"/>
        </w:rPr>
        <w:t>is relevant</w:t>
      </w:r>
      <w:r w:rsidR="00823DBD">
        <w:rPr>
          <w:sz w:val="22"/>
          <w:szCs w:val="22"/>
        </w:rPr>
        <w:t xml:space="preserve"> </w:t>
      </w:r>
      <w:r>
        <w:rPr>
          <w:sz w:val="22"/>
          <w:szCs w:val="22"/>
        </w:rPr>
        <w:t>because</w:t>
      </w:r>
      <w:r w:rsidR="0080124C">
        <w:rPr>
          <w:sz w:val="22"/>
          <w:szCs w:val="22"/>
        </w:rPr>
        <w:t xml:space="preserve"> Article 2 is </w:t>
      </w:r>
      <w:r>
        <w:rPr>
          <w:sz w:val="22"/>
          <w:szCs w:val="22"/>
        </w:rPr>
        <w:t>also engaged</w:t>
      </w:r>
      <w:r w:rsidR="0067584B">
        <w:rPr>
          <w:sz w:val="22"/>
          <w:szCs w:val="22"/>
        </w:rPr>
        <w:t>.</w:t>
      </w:r>
      <w:r w:rsidR="00703244">
        <w:rPr>
          <w:sz w:val="22"/>
          <w:szCs w:val="22"/>
        </w:rPr>
        <w:t xml:space="preserve"> </w:t>
      </w:r>
      <w:r w:rsidR="0067584B">
        <w:rPr>
          <w:sz w:val="22"/>
          <w:szCs w:val="22"/>
        </w:rPr>
        <w:t xml:space="preserve"> </w:t>
      </w:r>
      <w:r w:rsidR="00186BDF">
        <w:rPr>
          <w:sz w:val="22"/>
          <w:szCs w:val="22"/>
        </w:rPr>
        <w:t xml:space="preserve">As such, two key </w:t>
      </w:r>
      <w:r w:rsidR="0067584B">
        <w:rPr>
          <w:sz w:val="22"/>
          <w:szCs w:val="22"/>
        </w:rPr>
        <w:t>questions</w:t>
      </w:r>
      <w:r w:rsidR="00186BDF">
        <w:rPr>
          <w:sz w:val="22"/>
          <w:szCs w:val="22"/>
        </w:rPr>
        <w:t xml:space="preserve"> arise</w:t>
      </w:r>
      <w:r w:rsidR="008169CA" w:rsidRPr="00F673BE">
        <w:rPr>
          <w:sz w:val="22"/>
          <w:szCs w:val="22"/>
        </w:rPr>
        <w:t>: (</w:t>
      </w:r>
      <w:proofErr w:type="spellStart"/>
      <w:r w:rsidR="008169CA" w:rsidRPr="00F673BE">
        <w:rPr>
          <w:sz w:val="22"/>
          <w:szCs w:val="22"/>
        </w:rPr>
        <w:t>i</w:t>
      </w:r>
      <w:proofErr w:type="spellEnd"/>
      <w:r w:rsidR="008169CA" w:rsidRPr="00F673BE">
        <w:rPr>
          <w:sz w:val="22"/>
          <w:szCs w:val="22"/>
        </w:rPr>
        <w:t xml:space="preserve">) whether the Appraisal Committee’s decision </w:t>
      </w:r>
      <w:r w:rsidR="00CD71B8">
        <w:rPr>
          <w:sz w:val="22"/>
          <w:szCs w:val="22"/>
        </w:rPr>
        <w:t>is “discriminatory”</w:t>
      </w:r>
      <w:r w:rsidR="00965133">
        <w:rPr>
          <w:sz w:val="22"/>
          <w:szCs w:val="22"/>
        </w:rPr>
        <w:t xml:space="preserve"> as to the enjo</w:t>
      </w:r>
      <w:r w:rsidR="00823DBD">
        <w:rPr>
          <w:sz w:val="22"/>
          <w:szCs w:val="22"/>
        </w:rPr>
        <w:t>yment of the right to life</w:t>
      </w:r>
      <w:r w:rsidR="008169CA" w:rsidRPr="00F673BE">
        <w:rPr>
          <w:sz w:val="22"/>
          <w:szCs w:val="22"/>
        </w:rPr>
        <w:t>; and if so (ii) wh</w:t>
      </w:r>
      <w:r w:rsidR="00CD71B8">
        <w:rPr>
          <w:sz w:val="22"/>
          <w:szCs w:val="22"/>
        </w:rPr>
        <w:t>ether the</w:t>
      </w:r>
      <w:r w:rsidR="004C18F9" w:rsidRPr="00F673BE">
        <w:rPr>
          <w:sz w:val="22"/>
          <w:szCs w:val="22"/>
        </w:rPr>
        <w:t xml:space="preserve"> discrimination is</w:t>
      </w:r>
      <w:r w:rsidR="008169CA" w:rsidRPr="00F673BE">
        <w:rPr>
          <w:sz w:val="22"/>
          <w:szCs w:val="22"/>
        </w:rPr>
        <w:t xml:space="preserve"> objectively justified.</w:t>
      </w:r>
      <w:r w:rsidR="004C18F9" w:rsidRPr="00F673BE">
        <w:rPr>
          <w:sz w:val="22"/>
          <w:szCs w:val="22"/>
        </w:rPr>
        <w:t xml:space="preserve">  </w:t>
      </w:r>
    </w:p>
    <w:p w14:paraId="51BC0FF3" w14:textId="77777777" w:rsidR="0016545C" w:rsidRDefault="0016545C" w:rsidP="00F673BE">
      <w:pPr>
        <w:jc w:val="both"/>
        <w:rPr>
          <w:sz w:val="22"/>
          <w:szCs w:val="22"/>
        </w:rPr>
      </w:pPr>
    </w:p>
    <w:p w14:paraId="36BCC92D" w14:textId="7A104978" w:rsidR="007E1829" w:rsidRPr="00F673BE" w:rsidRDefault="00915100" w:rsidP="00F673BE">
      <w:pPr>
        <w:jc w:val="both"/>
        <w:rPr>
          <w:sz w:val="22"/>
          <w:szCs w:val="22"/>
        </w:rPr>
      </w:pPr>
      <w:r>
        <w:rPr>
          <w:sz w:val="22"/>
          <w:szCs w:val="22"/>
        </w:rPr>
        <w:t xml:space="preserve">A decision engages </w:t>
      </w:r>
      <w:r w:rsidR="00A311F3">
        <w:rPr>
          <w:sz w:val="22"/>
          <w:szCs w:val="22"/>
        </w:rPr>
        <w:t>Article 14</w:t>
      </w:r>
      <w:r>
        <w:rPr>
          <w:sz w:val="22"/>
          <w:szCs w:val="22"/>
        </w:rPr>
        <w:t xml:space="preserve"> when it </w:t>
      </w:r>
      <w:r w:rsidR="008825F5">
        <w:rPr>
          <w:sz w:val="22"/>
          <w:szCs w:val="22"/>
        </w:rPr>
        <w:t>interfere</w:t>
      </w:r>
      <w:r>
        <w:rPr>
          <w:sz w:val="22"/>
          <w:szCs w:val="22"/>
        </w:rPr>
        <w:t>s</w:t>
      </w:r>
      <w:r w:rsidR="008825F5">
        <w:rPr>
          <w:sz w:val="22"/>
          <w:szCs w:val="22"/>
        </w:rPr>
        <w:t xml:space="preserve"> with how persons with protected characteristics exercise </w:t>
      </w:r>
      <w:r w:rsidR="0016545C">
        <w:rPr>
          <w:sz w:val="22"/>
          <w:szCs w:val="22"/>
        </w:rPr>
        <w:t>other Convention rights.</w:t>
      </w:r>
      <w:r w:rsidR="008C285D">
        <w:rPr>
          <w:rStyle w:val="FootnoteReference"/>
          <w:sz w:val="22"/>
          <w:szCs w:val="22"/>
        </w:rPr>
        <w:footnoteReference w:id="7"/>
      </w:r>
      <w:r w:rsidR="0016545C" w:rsidRPr="0016545C">
        <w:rPr>
          <w:sz w:val="22"/>
          <w:szCs w:val="22"/>
        </w:rPr>
        <w:t xml:space="preserve"> </w:t>
      </w:r>
      <w:r w:rsidR="0016545C">
        <w:rPr>
          <w:sz w:val="22"/>
          <w:szCs w:val="22"/>
        </w:rPr>
        <w:t xml:space="preserve"> </w:t>
      </w:r>
      <w:r>
        <w:rPr>
          <w:sz w:val="22"/>
          <w:szCs w:val="22"/>
        </w:rPr>
        <w:t>Cancer patients are necessarily a group protected under equalities</w:t>
      </w:r>
      <w:r w:rsidR="00766B40">
        <w:rPr>
          <w:sz w:val="22"/>
          <w:szCs w:val="22"/>
        </w:rPr>
        <w:t xml:space="preserve"> law</w:t>
      </w:r>
      <w:r>
        <w:rPr>
          <w:sz w:val="22"/>
          <w:szCs w:val="22"/>
        </w:rPr>
        <w:t>.  Moreover, a</w:t>
      </w:r>
      <w:r w:rsidR="00012A30" w:rsidRPr="00F673BE">
        <w:rPr>
          <w:sz w:val="22"/>
          <w:szCs w:val="22"/>
        </w:rPr>
        <w:t xml:space="preserve">s paragraph 3.1 of FAD acknowledges, patients who </w:t>
      </w:r>
      <w:r w:rsidR="007679C5">
        <w:rPr>
          <w:sz w:val="22"/>
          <w:szCs w:val="22"/>
        </w:rPr>
        <w:t xml:space="preserve">stand to </w:t>
      </w:r>
      <w:r w:rsidR="00012A30" w:rsidRPr="00F673BE">
        <w:rPr>
          <w:sz w:val="22"/>
          <w:szCs w:val="22"/>
        </w:rPr>
        <w:t>benefit from</w:t>
      </w:r>
      <w:r w:rsidR="00FC5FA1">
        <w:rPr>
          <w:sz w:val="22"/>
          <w:szCs w:val="22"/>
        </w:rPr>
        <w:t xml:space="preserve"> pembrolizumab are </w:t>
      </w:r>
      <w:r w:rsidR="00012A30" w:rsidRPr="00F673BE">
        <w:rPr>
          <w:sz w:val="22"/>
          <w:szCs w:val="22"/>
        </w:rPr>
        <w:t xml:space="preserve">older and </w:t>
      </w:r>
      <w:r w:rsidR="00FC5FA1">
        <w:rPr>
          <w:sz w:val="22"/>
          <w:szCs w:val="22"/>
        </w:rPr>
        <w:t xml:space="preserve">are likely to </w:t>
      </w:r>
      <w:r w:rsidR="00012A30" w:rsidRPr="00F673BE">
        <w:rPr>
          <w:sz w:val="22"/>
          <w:szCs w:val="22"/>
        </w:rPr>
        <w:t>have significant co-morbidities</w:t>
      </w:r>
      <w:r w:rsidR="00F72867">
        <w:rPr>
          <w:sz w:val="22"/>
          <w:szCs w:val="22"/>
        </w:rPr>
        <w:t xml:space="preserve">, including </w:t>
      </w:r>
      <w:r>
        <w:rPr>
          <w:sz w:val="22"/>
          <w:szCs w:val="22"/>
        </w:rPr>
        <w:t xml:space="preserve">other </w:t>
      </w:r>
      <w:r w:rsidR="00F72867">
        <w:rPr>
          <w:sz w:val="22"/>
          <w:szCs w:val="22"/>
        </w:rPr>
        <w:t>disabilities</w:t>
      </w:r>
      <w:r w:rsidR="00012A30" w:rsidRPr="00F673BE">
        <w:rPr>
          <w:sz w:val="22"/>
          <w:szCs w:val="22"/>
        </w:rPr>
        <w:t xml:space="preserve">.  </w:t>
      </w:r>
      <w:r>
        <w:rPr>
          <w:sz w:val="22"/>
          <w:szCs w:val="22"/>
        </w:rPr>
        <w:t xml:space="preserve">Although the </w:t>
      </w:r>
      <w:r w:rsidR="00012A30" w:rsidRPr="00F673BE">
        <w:rPr>
          <w:sz w:val="22"/>
          <w:szCs w:val="22"/>
        </w:rPr>
        <w:t xml:space="preserve">Appraisal Committee’s decision </w:t>
      </w:r>
      <w:r w:rsidR="00FC5FA1">
        <w:rPr>
          <w:sz w:val="22"/>
          <w:szCs w:val="22"/>
        </w:rPr>
        <w:t>not to recommend pembrolizumab</w:t>
      </w:r>
      <w:r>
        <w:rPr>
          <w:sz w:val="22"/>
          <w:szCs w:val="22"/>
        </w:rPr>
        <w:t xml:space="preserve"> is universal, it</w:t>
      </w:r>
      <w:r w:rsidR="00FC5FA1">
        <w:rPr>
          <w:sz w:val="22"/>
          <w:szCs w:val="22"/>
        </w:rPr>
        <w:t xml:space="preserve"> </w:t>
      </w:r>
      <w:r w:rsidR="007679C5">
        <w:rPr>
          <w:sz w:val="22"/>
          <w:szCs w:val="22"/>
        </w:rPr>
        <w:t xml:space="preserve">disproportionately </w:t>
      </w:r>
      <w:r w:rsidR="00012A30" w:rsidRPr="00F673BE">
        <w:rPr>
          <w:sz w:val="22"/>
          <w:szCs w:val="22"/>
        </w:rPr>
        <w:t xml:space="preserve">affects </w:t>
      </w:r>
      <w:r w:rsidR="00766B40">
        <w:rPr>
          <w:sz w:val="22"/>
          <w:szCs w:val="22"/>
        </w:rPr>
        <w:t xml:space="preserve">those </w:t>
      </w:r>
      <w:r w:rsidR="00A311F3">
        <w:rPr>
          <w:sz w:val="22"/>
          <w:szCs w:val="22"/>
        </w:rPr>
        <w:t xml:space="preserve">patients </w:t>
      </w:r>
      <w:r w:rsidR="00766B40">
        <w:rPr>
          <w:sz w:val="22"/>
          <w:szCs w:val="22"/>
        </w:rPr>
        <w:t xml:space="preserve">(who have </w:t>
      </w:r>
      <w:r>
        <w:rPr>
          <w:sz w:val="22"/>
          <w:szCs w:val="22"/>
        </w:rPr>
        <w:t>protected characteristics</w:t>
      </w:r>
      <w:r w:rsidR="00766B40">
        <w:rPr>
          <w:sz w:val="22"/>
          <w:szCs w:val="22"/>
        </w:rPr>
        <w:t>)</w:t>
      </w:r>
      <w:r>
        <w:rPr>
          <w:sz w:val="22"/>
          <w:szCs w:val="22"/>
        </w:rPr>
        <w:t xml:space="preserve"> </w:t>
      </w:r>
      <w:r w:rsidR="00012A30" w:rsidRPr="00F673BE">
        <w:rPr>
          <w:sz w:val="22"/>
          <w:szCs w:val="22"/>
        </w:rPr>
        <w:t xml:space="preserve">more than </w:t>
      </w:r>
      <w:r w:rsidR="00D65CD6">
        <w:rPr>
          <w:sz w:val="22"/>
          <w:szCs w:val="22"/>
        </w:rPr>
        <w:t xml:space="preserve">other members </w:t>
      </w:r>
      <w:r w:rsidR="00012A30">
        <w:rPr>
          <w:sz w:val="22"/>
          <w:szCs w:val="22"/>
        </w:rPr>
        <w:t>of</w:t>
      </w:r>
      <w:r w:rsidR="00012A30" w:rsidRPr="00F673BE">
        <w:rPr>
          <w:sz w:val="22"/>
          <w:szCs w:val="22"/>
        </w:rPr>
        <w:t xml:space="preserve"> society</w:t>
      </w:r>
      <w:r w:rsidR="00D1701D">
        <w:rPr>
          <w:sz w:val="22"/>
          <w:szCs w:val="22"/>
        </w:rPr>
        <w:t xml:space="preserve">.  The disproportionate </w:t>
      </w:r>
      <w:r w:rsidR="00A20034">
        <w:rPr>
          <w:sz w:val="22"/>
          <w:szCs w:val="22"/>
        </w:rPr>
        <w:t xml:space="preserve">effect </w:t>
      </w:r>
      <w:r w:rsidR="00D1701D">
        <w:rPr>
          <w:sz w:val="22"/>
          <w:szCs w:val="22"/>
        </w:rPr>
        <w:t xml:space="preserve">is </w:t>
      </w:r>
      <w:r w:rsidR="00766B40">
        <w:rPr>
          <w:sz w:val="22"/>
          <w:szCs w:val="22"/>
        </w:rPr>
        <w:t xml:space="preserve">amplified </w:t>
      </w:r>
      <w:r w:rsidR="00A20034">
        <w:rPr>
          <w:sz w:val="22"/>
          <w:szCs w:val="22"/>
        </w:rPr>
        <w:t xml:space="preserve">here </w:t>
      </w:r>
      <w:r w:rsidR="00D1701D">
        <w:rPr>
          <w:sz w:val="22"/>
          <w:szCs w:val="22"/>
        </w:rPr>
        <w:t>because the decision and approach taken in TA525 treated the same patient population very differently.</w:t>
      </w:r>
      <w:r w:rsidR="00E63319">
        <w:rPr>
          <w:sz w:val="22"/>
          <w:szCs w:val="22"/>
        </w:rPr>
        <w:t xml:space="preserve"> The decision also </w:t>
      </w:r>
      <w:r w:rsidR="00012A30" w:rsidRPr="00F673BE">
        <w:rPr>
          <w:sz w:val="22"/>
          <w:szCs w:val="22"/>
        </w:rPr>
        <w:t>i</w:t>
      </w:r>
      <w:r w:rsidR="00A20034">
        <w:rPr>
          <w:sz w:val="22"/>
          <w:szCs w:val="22"/>
        </w:rPr>
        <w:t xml:space="preserve">nterferes with patients’ exercising their </w:t>
      </w:r>
      <w:r w:rsidR="00E63319">
        <w:rPr>
          <w:sz w:val="22"/>
          <w:szCs w:val="22"/>
        </w:rPr>
        <w:t xml:space="preserve">right to life in that </w:t>
      </w:r>
      <w:r w:rsidR="008C285D">
        <w:rPr>
          <w:sz w:val="22"/>
          <w:szCs w:val="22"/>
        </w:rPr>
        <w:t>it blocks their access to</w:t>
      </w:r>
      <w:r w:rsidR="00E63319">
        <w:rPr>
          <w:sz w:val="22"/>
          <w:szCs w:val="22"/>
        </w:rPr>
        <w:t xml:space="preserve"> </w:t>
      </w:r>
      <w:r w:rsidR="00012A30" w:rsidRPr="00F673BE">
        <w:rPr>
          <w:sz w:val="22"/>
          <w:szCs w:val="22"/>
        </w:rPr>
        <w:t>a treatment that</w:t>
      </w:r>
      <w:r w:rsidR="00FC5FA1">
        <w:rPr>
          <w:sz w:val="22"/>
          <w:szCs w:val="22"/>
        </w:rPr>
        <w:t xml:space="preserve"> is </w:t>
      </w:r>
      <w:proofErr w:type="gramStart"/>
      <w:r w:rsidR="00FC5FA1">
        <w:rPr>
          <w:sz w:val="22"/>
          <w:szCs w:val="22"/>
        </w:rPr>
        <w:t>life-saving</w:t>
      </w:r>
      <w:proofErr w:type="gramEnd"/>
      <w:r w:rsidR="00FC5FA1">
        <w:rPr>
          <w:sz w:val="22"/>
          <w:szCs w:val="22"/>
        </w:rPr>
        <w:t xml:space="preserve"> and life-improving</w:t>
      </w:r>
      <w:r w:rsidR="00012A30" w:rsidRPr="00F673BE">
        <w:rPr>
          <w:sz w:val="22"/>
          <w:szCs w:val="22"/>
        </w:rPr>
        <w:t xml:space="preserve">.  As such, </w:t>
      </w:r>
      <w:r w:rsidR="00012A30">
        <w:rPr>
          <w:sz w:val="22"/>
          <w:szCs w:val="22"/>
        </w:rPr>
        <w:t xml:space="preserve">the decision </w:t>
      </w:r>
      <w:r w:rsidR="00FC5FA1">
        <w:rPr>
          <w:sz w:val="22"/>
          <w:szCs w:val="22"/>
        </w:rPr>
        <w:t xml:space="preserve">is </w:t>
      </w:r>
      <w:r w:rsidR="00E63319">
        <w:rPr>
          <w:sz w:val="22"/>
          <w:szCs w:val="22"/>
        </w:rPr>
        <w:t>indirec</w:t>
      </w:r>
      <w:r w:rsidR="00B4558F">
        <w:rPr>
          <w:sz w:val="22"/>
          <w:szCs w:val="22"/>
        </w:rPr>
        <w:t>t</w:t>
      </w:r>
      <w:r w:rsidR="00FC5FA1">
        <w:rPr>
          <w:sz w:val="22"/>
          <w:szCs w:val="22"/>
        </w:rPr>
        <w:t>ly</w:t>
      </w:r>
      <w:r w:rsidR="00E63319">
        <w:rPr>
          <w:sz w:val="22"/>
          <w:szCs w:val="22"/>
        </w:rPr>
        <w:t xml:space="preserve"> </w:t>
      </w:r>
      <w:r w:rsidR="00FC5FA1">
        <w:rPr>
          <w:sz w:val="22"/>
          <w:szCs w:val="22"/>
        </w:rPr>
        <w:t>discriminatory</w:t>
      </w:r>
      <w:r w:rsidR="00E63319">
        <w:rPr>
          <w:sz w:val="22"/>
          <w:szCs w:val="22"/>
        </w:rPr>
        <w:t xml:space="preserve">, </w:t>
      </w:r>
      <w:r w:rsidR="00012A30">
        <w:rPr>
          <w:sz w:val="22"/>
          <w:szCs w:val="22"/>
        </w:rPr>
        <w:t>in the sen</w:t>
      </w:r>
      <w:r w:rsidR="00BB05AC">
        <w:rPr>
          <w:sz w:val="22"/>
          <w:szCs w:val="22"/>
        </w:rPr>
        <w:t>se en</w:t>
      </w:r>
      <w:r w:rsidR="003D6A90">
        <w:rPr>
          <w:sz w:val="22"/>
          <w:szCs w:val="22"/>
        </w:rPr>
        <w:t xml:space="preserve">visaged under Article 14, and would only be </w:t>
      </w:r>
      <w:r w:rsidR="00BB05AC">
        <w:rPr>
          <w:sz w:val="22"/>
          <w:szCs w:val="22"/>
        </w:rPr>
        <w:t>lawful if</w:t>
      </w:r>
      <w:r w:rsidR="003D6A90">
        <w:rPr>
          <w:sz w:val="22"/>
          <w:szCs w:val="22"/>
        </w:rPr>
        <w:t xml:space="preserve"> </w:t>
      </w:r>
      <w:r w:rsidR="00FC5FA1">
        <w:rPr>
          <w:sz w:val="22"/>
          <w:szCs w:val="22"/>
        </w:rPr>
        <w:t>objectively justified</w:t>
      </w:r>
      <w:r w:rsidR="00E63319">
        <w:rPr>
          <w:sz w:val="22"/>
          <w:szCs w:val="22"/>
        </w:rPr>
        <w:t>.</w:t>
      </w:r>
      <w:r w:rsidR="00BB05AC">
        <w:rPr>
          <w:rStyle w:val="FootnoteReference"/>
          <w:sz w:val="22"/>
          <w:szCs w:val="22"/>
        </w:rPr>
        <w:footnoteReference w:id="8"/>
      </w:r>
    </w:p>
    <w:p w14:paraId="037E8C68" w14:textId="77777777" w:rsidR="007E1829" w:rsidRPr="00F673BE" w:rsidRDefault="007E1829" w:rsidP="00F673BE">
      <w:pPr>
        <w:jc w:val="both"/>
        <w:rPr>
          <w:sz w:val="22"/>
          <w:szCs w:val="22"/>
        </w:rPr>
      </w:pPr>
    </w:p>
    <w:p w14:paraId="28DD2914" w14:textId="1A7B9B0E" w:rsidR="00D92067" w:rsidRDefault="00D65CD6" w:rsidP="00F673BE">
      <w:pPr>
        <w:jc w:val="both"/>
        <w:rPr>
          <w:sz w:val="22"/>
          <w:szCs w:val="22"/>
        </w:rPr>
      </w:pPr>
      <w:r>
        <w:rPr>
          <w:sz w:val="22"/>
          <w:szCs w:val="22"/>
        </w:rPr>
        <w:t xml:space="preserve">MSD’s </w:t>
      </w:r>
      <w:r w:rsidR="004576F8">
        <w:rPr>
          <w:sz w:val="22"/>
          <w:szCs w:val="22"/>
        </w:rPr>
        <w:t xml:space="preserve">contention </w:t>
      </w:r>
      <w:r w:rsidR="007E1829" w:rsidRPr="00F673BE">
        <w:rPr>
          <w:sz w:val="22"/>
          <w:szCs w:val="22"/>
        </w:rPr>
        <w:t xml:space="preserve">is that the Appraisal Committee’s decision </w:t>
      </w:r>
      <w:r w:rsidR="00D54CCB">
        <w:rPr>
          <w:sz w:val="22"/>
          <w:szCs w:val="22"/>
        </w:rPr>
        <w:t xml:space="preserve">was </w:t>
      </w:r>
      <w:r w:rsidR="007E1829" w:rsidRPr="00F673BE">
        <w:rPr>
          <w:sz w:val="22"/>
          <w:szCs w:val="22"/>
        </w:rPr>
        <w:t>disproportionate in the circumstances</w:t>
      </w:r>
      <w:r w:rsidR="00766B40">
        <w:rPr>
          <w:sz w:val="22"/>
          <w:szCs w:val="22"/>
        </w:rPr>
        <w:t xml:space="preserve"> and incapable of objective justification</w:t>
      </w:r>
      <w:r w:rsidR="004576F8">
        <w:rPr>
          <w:sz w:val="22"/>
          <w:szCs w:val="22"/>
        </w:rPr>
        <w:t>.</w:t>
      </w:r>
      <w:r w:rsidR="00640E70" w:rsidRPr="00F673BE">
        <w:rPr>
          <w:sz w:val="22"/>
          <w:szCs w:val="22"/>
        </w:rPr>
        <w:t xml:space="preserve">  </w:t>
      </w:r>
      <w:r w:rsidR="004D1B0E">
        <w:rPr>
          <w:sz w:val="22"/>
          <w:szCs w:val="22"/>
        </w:rPr>
        <w:t xml:space="preserve">When Courts </w:t>
      </w:r>
      <w:r w:rsidR="003D6A90">
        <w:rPr>
          <w:sz w:val="22"/>
          <w:szCs w:val="22"/>
        </w:rPr>
        <w:t xml:space="preserve">assess </w:t>
      </w:r>
      <w:r w:rsidR="004D1B0E">
        <w:rPr>
          <w:sz w:val="22"/>
          <w:szCs w:val="22"/>
        </w:rPr>
        <w:t>proportionality under Article 14, they</w:t>
      </w:r>
      <w:r w:rsidR="003D6A90">
        <w:rPr>
          <w:sz w:val="22"/>
          <w:szCs w:val="22"/>
        </w:rPr>
        <w:t xml:space="preserve"> </w:t>
      </w:r>
      <w:r w:rsidR="004D1B0E">
        <w:rPr>
          <w:sz w:val="22"/>
          <w:szCs w:val="22"/>
        </w:rPr>
        <w:t>examine whether less restrictive polici</w:t>
      </w:r>
      <w:r w:rsidR="001F6FE3">
        <w:rPr>
          <w:sz w:val="22"/>
          <w:szCs w:val="22"/>
        </w:rPr>
        <w:t xml:space="preserve">es or approaches were available, </w:t>
      </w:r>
      <w:r w:rsidR="004D1B0E">
        <w:rPr>
          <w:sz w:val="22"/>
          <w:szCs w:val="22"/>
        </w:rPr>
        <w:t>the</w:t>
      </w:r>
      <w:r w:rsidR="001F6FE3">
        <w:rPr>
          <w:sz w:val="22"/>
          <w:szCs w:val="22"/>
        </w:rPr>
        <w:t xml:space="preserve"> balance the decision-maker </w:t>
      </w:r>
      <w:r w:rsidR="001F6FE3">
        <w:rPr>
          <w:sz w:val="22"/>
          <w:szCs w:val="22"/>
        </w:rPr>
        <w:lastRenderedPageBreak/>
        <w:t>struck and the</w:t>
      </w:r>
      <w:r w:rsidR="004D1B0E">
        <w:rPr>
          <w:sz w:val="22"/>
          <w:szCs w:val="22"/>
        </w:rPr>
        <w:t xml:space="preserve"> </w:t>
      </w:r>
      <w:r w:rsidR="003D6A90">
        <w:rPr>
          <w:sz w:val="22"/>
          <w:szCs w:val="22"/>
        </w:rPr>
        <w:t xml:space="preserve">relative weight </w:t>
      </w:r>
      <w:r w:rsidR="001F6FE3">
        <w:rPr>
          <w:sz w:val="22"/>
          <w:szCs w:val="22"/>
        </w:rPr>
        <w:t xml:space="preserve">it </w:t>
      </w:r>
      <w:r w:rsidR="003D6A90">
        <w:rPr>
          <w:sz w:val="22"/>
          <w:szCs w:val="22"/>
        </w:rPr>
        <w:t xml:space="preserve">attached to the </w:t>
      </w:r>
      <w:r w:rsidR="004D1B0E">
        <w:rPr>
          <w:sz w:val="22"/>
          <w:szCs w:val="22"/>
        </w:rPr>
        <w:t>evidence before it.</w:t>
      </w:r>
      <w:r w:rsidR="004D1B0E">
        <w:rPr>
          <w:rStyle w:val="FootnoteReference"/>
          <w:sz w:val="22"/>
          <w:szCs w:val="22"/>
        </w:rPr>
        <w:footnoteReference w:id="9"/>
      </w:r>
      <w:r w:rsidR="004D1B0E">
        <w:rPr>
          <w:sz w:val="22"/>
          <w:szCs w:val="22"/>
        </w:rPr>
        <w:t xml:space="preserve">  </w:t>
      </w:r>
      <w:r w:rsidR="002B3D3B">
        <w:rPr>
          <w:sz w:val="22"/>
          <w:szCs w:val="22"/>
        </w:rPr>
        <w:t xml:space="preserve">As we mentioned in our Appeal </w:t>
      </w:r>
      <w:r w:rsidR="009F71E2">
        <w:rPr>
          <w:sz w:val="22"/>
          <w:szCs w:val="22"/>
        </w:rPr>
        <w:t xml:space="preserve">Letter, there </w:t>
      </w:r>
      <w:r w:rsidR="00AC782C">
        <w:rPr>
          <w:sz w:val="22"/>
          <w:szCs w:val="22"/>
        </w:rPr>
        <w:t>may be</w:t>
      </w:r>
      <w:r w:rsidR="009F71E2">
        <w:rPr>
          <w:sz w:val="22"/>
          <w:szCs w:val="22"/>
        </w:rPr>
        <w:t xml:space="preserve"> circumstances where an Appraisal Committee </w:t>
      </w:r>
      <w:r w:rsidR="00AC782C">
        <w:rPr>
          <w:sz w:val="22"/>
          <w:szCs w:val="22"/>
        </w:rPr>
        <w:t xml:space="preserve">has one or more </w:t>
      </w:r>
      <w:r w:rsidR="009F71E2">
        <w:rPr>
          <w:sz w:val="22"/>
          <w:szCs w:val="22"/>
        </w:rPr>
        <w:t>objective justification</w:t>
      </w:r>
      <w:r w:rsidR="00AC782C">
        <w:rPr>
          <w:sz w:val="22"/>
          <w:szCs w:val="22"/>
        </w:rPr>
        <w:t>s</w:t>
      </w:r>
      <w:r w:rsidR="009F71E2">
        <w:rPr>
          <w:sz w:val="22"/>
          <w:szCs w:val="22"/>
        </w:rPr>
        <w:t xml:space="preserve"> for taking a more restrictive approach or attaching less weight to evidence before it.  That might be the case, for example, w</w:t>
      </w:r>
      <w:r w:rsidR="006437D7">
        <w:rPr>
          <w:sz w:val="22"/>
          <w:szCs w:val="22"/>
        </w:rPr>
        <w:t>h</w:t>
      </w:r>
      <w:r w:rsidR="009F71E2">
        <w:rPr>
          <w:sz w:val="22"/>
          <w:szCs w:val="22"/>
        </w:rPr>
        <w:t>ere there is a lack of quality evidence that gives rise to uncertainties and where the Committee cannot justify certain assumptions</w:t>
      </w:r>
      <w:r w:rsidR="00AC782C">
        <w:rPr>
          <w:sz w:val="22"/>
          <w:szCs w:val="22"/>
        </w:rPr>
        <w:t xml:space="preserve">, approaches or recommendations.  </w:t>
      </w:r>
      <w:r w:rsidR="00EE76B4">
        <w:rPr>
          <w:sz w:val="22"/>
          <w:szCs w:val="22"/>
        </w:rPr>
        <w:t xml:space="preserve">In this case, however, </w:t>
      </w:r>
      <w:r w:rsidR="00EE76B4">
        <w:rPr>
          <w:rFonts w:ascii="Times New Roman" w:hAnsi="Times New Roman" w:cs="Times New Roman"/>
          <w:sz w:val="22"/>
          <w:szCs w:val="22"/>
        </w:rPr>
        <w:t xml:space="preserve">it has eliminated much of the benefit of doubt afforded to atezolizumab in TA525, despite the greater uncertainties inherent in the evidence base for that product.  </w:t>
      </w:r>
      <w:r w:rsidR="00766B40">
        <w:rPr>
          <w:sz w:val="22"/>
          <w:szCs w:val="22"/>
        </w:rPr>
        <w:t xml:space="preserve">As noted above and in the Appeal Letter, </w:t>
      </w:r>
      <w:r w:rsidR="00EE76B4">
        <w:rPr>
          <w:sz w:val="22"/>
          <w:szCs w:val="22"/>
        </w:rPr>
        <w:t xml:space="preserve">this means that </w:t>
      </w:r>
      <w:r w:rsidR="00F9165B">
        <w:rPr>
          <w:sz w:val="22"/>
          <w:szCs w:val="22"/>
        </w:rPr>
        <w:t xml:space="preserve">there are abundant </w:t>
      </w:r>
      <w:r w:rsidR="00640E70" w:rsidRPr="00F673BE">
        <w:rPr>
          <w:sz w:val="22"/>
          <w:szCs w:val="22"/>
        </w:rPr>
        <w:t>examples</w:t>
      </w:r>
      <w:r w:rsidR="001F6FE3">
        <w:rPr>
          <w:sz w:val="22"/>
          <w:szCs w:val="22"/>
        </w:rPr>
        <w:t xml:space="preserve"> throughout this appraisal</w:t>
      </w:r>
      <w:r w:rsidR="00640E70" w:rsidRPr="00F673BE">
        <w:rPr>
          <w:sz w:val="22"/>
          <w:szCs w:val="22"/>
        </w:rPr>
        <w:t xml:space="preserve"> of the Appraisal Committee </w:t>
      </w:r>
      <w:r w:rsidR="00EC2817" w:rsidRPr="00F673BE">
        <w:rPr>
          <w:sz w:val="22"/>
          <w:szCs w:val="22"/>
        </w:rPr>
        <w:t xml:space="preserve">failing to </w:t>
      </w:r>
      <w:r w:rsidR="004D1B0E">
        <w:rPr>
          <w:sz w:val="22"/>
          <w:szCs w:val="22"/>
        </w:rPr>
        <w:t xml:space="preserve">give proper weight to </w:t>
      </w:r>
      <w:r w:rsidR="00640E70" w:rsidRPr="00F673BE">
        <w:rPr>
          <w:sz w:val="22"/>
          <w:szCs w:val="22"/>
        </w:rPr>
        <w:t xml:space="preserve">the </w:t>
      </w:r>
      <w:r w:rsidR="00EC2817" w:rsidRPr="00F673BE">
        <w:rPr>
          <w:sz w:val="22"/>
          <w:szCs w:val="22"/>
        </w:rPr>
        <w:t xml:space="preserve">particular characteristics of patients and the </w:t>
      </w:r>
      <w:r w:rsidR="00640E70" w:rsidRPr="00F673BE">
        <w:rPr>
          <w:sz w:val="22"/>
          <w:szCs w:val="22"/>
        </w:rPr>
        <w:t>po</w:t>
      </w:r>
      <w:r w:rsidR="00EC2817" w:rsidRPr="00F673BE">
        <w:rPr>
          <w:sz w:val="22"/>
          <w:szCs w:val="22"/>
        </w:rPr>
        <w:t>tential impact of</w:t>
      </w:r>
      <w:r w:rsidR="003F605C" w:rsidRPr="00F673BE">
        <w:rPr>
          <w:sz w:val="22"/>
          <w:szCs w:val="22"/>
        </w:rPr>
        <w:t xml:space="preserve"> pembrolizumab</w:t>
      </w:r>
      <w:r w:rsidR="00F9165B">
        <w:rPr>
          <w:sz w:val="22"/>
          <w:szCs w:val="22"/>
        </w:rPr>
        <w:t xml:space="preserve"> treatment on their lives</w:t>
      </w:r>
      <w:r w:rsidR="003F605C" w:rsidRPr="00F673BE">
        <w:rPr>
          <w:sz w:val="22"/>
          <w:szCs w:val="22"/>
        </w:rPr>
        <w:t xml:space="preserve">.  </w:t>
      </w:r>
      <w:r w:rsidR="00F9165B">
        <w:rPr>
          <w:sz w:val="22"/>
          <w:szCs w:val="22"/>
        </w:rPr>
        <w:t xml:space="preserve">The Appeal Letter also provides </w:t>
      </w:r>
      <w:r w:rsidR="003F605C" w:rsidRPr="00F673BE">
        <w:rPr>
          <w:sz w:val="22"/>
          <w:szCs w:val="22"/>
        </w:rPr>
        <w:t>examples of disproportionate</w:t>
      </w:r>
      <w:r w:rsidR="00F9165B">
        <w:rPr>
          <w:sz w:val="22"/>
          <w:szCs w:val="22"/>
        </w:rPr>
        <w:t xml:space="preserve"> decision-making</w:t>
      </w:r>
      <w:r w:rsidR="003F605C" w:rsidRPr="00F673BE">
        <w:rPr>
          <w:sz w:val="22"/>
          <w:szCs w:val="22"/>
        </w:rPr>
        <w:t>, including subjecting pembrolizumab to assessment para</w:t>
      </w:r>
      <w:r w:rsidR="00BF6E35">
        <w:rPr>
          <w:sz w:val="22"/>
          <w:szCs w:val="22"/>
        </w:rPr>
        <w:t>meters that were unachievable.</w:t>
      </w:r>
      <w:r w:rsidR="00275F6A">
        <w:rPr>
          <w:sz w:val="22"/>
          <w:szCs w:val="22"/>
        </w:rPr>
        <w:t xml:space="preserve"> </w:t>
      </w:r>
      <w:r w:rsidR="00BF6E35">
        <w:rPr>
          <w:sz w:val="22"/>
          <w:szCs w:val="22"/>
        </w:rPr>
        <w:t xml:space="preserve"> </w:t>
      </w:r>
      <w:r w:rsidR="004576F8">
        <w:rPr>
          <w:sz w:val="22"/>
          <w:szCs w:val="22"/>
        </w:rPr>
        <w:t>L</w:t>
      </w:r>
      <w:r w:rsidR="001F6FE3">
        <w:rPr>
          <w:sz w:val="22"/>
          <w:szCs w:val="22"/>
        </w:rPr>
        <w:t xml:space="preserve">ess restrictive approaches were clearly available to the Appraisal Committee, most notably </w:t>
      </w:r>
      <w:r w:rsidR="00766B40">
        <w:rPr>
          <w:sz w:val="22"/>
          <w:szCs w:val="22"/>
        </w:rPr>
        <w:t xml:space="preserve">taking an approach that was </w:t>
      </w:r>
      <w:r w:rsidR="001F6FE3">
        <w:rPr>
          <w:sz w:val="22"/>
          <w:szCs w:val="22"/>
        </w:rPr>
        <w:t xml:space="preserve">consistent with TA525.  </w:t>
      </w:r>
    </w:p>
    <w:p w14:paraId="477DC00D" w14:textId="77777777" w:rsidR="00D92067" w:rsidRDefault="00D92067" w:rsidP="00F673BE">
      <w:pPr>
        <w:jc w:val="both"/>
        <w:rPr>
          <w:sz w:val="22"/>
          <w:szCs w:val="22"/>
        </w:rPr>
      </w:pPr>
    </w:p>
    <w:p w14:paraId="3E3DA01E" w14:textId="77777777" w:rsidR="00F47B06" w:rsidRPr="00F673BE" w:rsidRDefault="00BF6E35" w:rsidP="00F673BE">
      <w:pPr>
        <w:jc w:val="both"/>
        <w:rPr>
          <w:sz w:val="22"/>
          <w:szCs w:val="22"/>
        </w:rPr>
      </w:pPr>
      <w:r>
        <w:rPr>
          <w:sz w:val="22"/>
          <w:szCs w:val="22"/>
        </w:rPr>
        <w:t>These examples call into question consistency w</w:t>
      </w:r>
      <w:r w:rsidR="0041522A">
        <w:rPr>
          <w:sz w:val="22"/>
          <w:szCs w:val="22"/>
        </w:rPr>
        <w:t>ith Article 14 and a Court considering this issue would not be satisfied with the defence that the authority had acted reasonably</w:t>
      </w:r>
      <w:r w:rsidR="00766B40">
        <w:rPr>
          <w:sz w:val="22"/>
          <w:szCs w:val="22"/>
        </w:rPr>
        <w:t xml:space="preserve"> (which may be </w:t>
      </w:r>
      <w:r w:rsidR="008F234F">
        <w:rPr>
          <w:sz w:val="22"/>
          <w:szCs w:val="22"/>
        </w:rPr>
        <w:t>a lower standard)</w:t>
      </w:r>
      <w:r>
        <w:rPr>
          <w:sz w:val="22"/>
          <w:szCs w:val="22"/>
        </w:rPr>
        <w:t xml:space="preserve">.  We believe </w:t>
      </w:r>
      <w:r w:rsidR="008F234F">
        <w:rPr>
          <w:sz w:val="22"/>
          <w:szCs w:val="22"/>
        </w:rPr>
        <w:t>this Appeal must take the same approach.</w:t>
      </w:r>
    </w:p>
    <w:p w14:paraId="5D34803B" w14:textId="77777777" w:rsidR="007E5971" w:rsidRPr="00F673BE" w:rsidRDefault="007E5971" w:rsidP="00F673BE">
      <w:pPr>
        <w:jc w:val="both"/>
        <w:rPr>
          <w:sz w:val="22"/>
          <w:szCs w:val="22"/>
        </w:rPr>
      </w:pPr>
    </w:p>
    <w:p w14:paraId="42282F66" w14:textId="77777777" w:rsidR="004C18F9" w:rsidRPr="009C1E32" w:rsidRDefault="008C2CC6" w:rsidP="00F673BE">
      <w:pPr>
        <w:jc w:val="both"/>
        <w:rPr>
          <w:b/>
          <w:i/>
          <w:sz w:val="22"/>
          <w:szCs w:val="22"/>
        </w:rPr>
      </w:pPr>
      <w:r w:rsidRPr="00074FA5">
        <w:rPr>
          <w:b/>
          <w:i/>
          <w:sz w:val="22"/>
          <w:szCs w:val="22"/>
        </w:rPr>
        <w:t>Equality</w:t>
      </w:r>
      <w:r w:rsidR="007E5971" w:rsidRPr="00074FA5">
        <w:rPr>
          <w:b/>
          <w:i/>
          <w:sz w:val="22"/>
          <w:szCs w:val="22"/>
        </w:rPr>
        <w:t xml:space="preserve"> Act</w:t>
      </w:r>
      <w:r w:rsidRPr="00074FA5">
        <w:rPr>
          <w:b/>
          <w:i/>
          <w:sz w:val="22"/>
          <w:szCs w:val="22"/>
        </w:rPr>
        <w:t xml:space="preserve"> 2010</w:t>
      </w:r>
    </w:p>
    <w:p w14:paraId="1AAF3F56" w14:textId="77777777" w:rsidR="008C2CC6" w:rsidRPr="00F673BE" w:rsidRDefault="008C2CC6" w:rsidP="00F673BE">
      <w:pPr>
        <w:jc w:val="both"/>
        <w:rPr>
          <w:sz w:val="22"/>
          <w:szCs w:val="22"/>
        </w:rPr>
      </w:pPr>
    </w:p>
    <w:p w14:paraId="20E7C988" w14:textId="11AA5AE0" w:rsidR="00393D62" w:rsidRPr="0083594E" w:rsidRDefault="00393D62" w:rsidP="00393D62">
      <w:pPr>
        <w:jc w:val="both"/>
        <w:rPr>
          <w:sz w:val="22"/>
          <w:szCs w:val="22"/>
        </w:rPr>
      </w:pPr>
      <w:r w:rsidRPr="001D75BA">
        <w:rPr>
          <w:sz w:val="22"/>
          <w:szCs w:val="22"/>
        </w:rPr>
        <w:t>The Public Sector Equality Duty (“PSED”) set out under section 149 of the Equality Act requires NICE to give due regard to eliminating discrimination or victimisation and advancing equality of opportunity between persons who share a relevant protected characteristic and those who do not.</w:t>
      </w:r>
      <w:r w:rsidR="00766D45">
        <w:rPr>
          <w:sz w:val="22"/>
          <w:szCs w:val="22"/>
        </w:rPr>
        <w:t xml:space="preserve"> </w:t>
      </w:r>
      <w:r w:rsidRPr="001D75BA">
        <w:rPr>
          <w:sz w:val="22"/>
          <w:szCs w:val="22"/>
        </w:rPr>
        <w:t xml:space="preserve"> “Relevant protected characteristics” include a person’s age and any disabilities (including a cancer-diagnosis).  The PSED is broader th</w:t>
      </w:r>
      <w:r w:rsidR="00332471" w:rsidRPr="00332471">
        <w:rPr>
          <w:sz w:val="22"/>
          <w:szCs w:val="22"/>
        </w:rPr>
        <w:t>an Article 14 of the Convention</w:t>
      </w:r>
      <w:r w:rsidR="00AF0D68">
        <w:rPr>
          <w:sz w:val="22"/>
          <w:szCs w:val="22"/>
        </w:rPr>
        <w:t>,</w:t>
      </w:r>
      <w:r w:rsidRPr="001D75BA">
        <w:rPr>
          <w:sz w:val="22"/>
          <w:szCs w:val="22"/>
        </w:rPr>
        <w:t xml:space="preserve"> in that it protects against discrimination in general</w:t>
      </w:r>
      <w:r w:rsidR="00AF0D68">
        <w:rPr>
          <w:sz w:val="22"/>
          <w:szCs w:val="22"/>
        </w:rPr>
        <w:t>,</w:t>
      </w:r>
      <w:r w:rsidRPr="001D75BA">
        <w:rPr>
          <w:sz w:val="22"/>
          <w:szCs w:val="22"/>
        </w:rPr>
        <w:t xml:space="preserve"> rather than specifically with reference to the enjoyment of Convention rights.  However, because both protections are based on very similar principles, an allegation that Article 14 has been breached invariably raises </w:t>
      </w:r>
      <w:r w:rsidR="00EE76B4">
        <w:rPr>
          <w:sz w:val="22"/>
          <w:szCs w:val="22"/>
        </w:rPr>
        <w:t>a similar</w:t>
      </w:r>
      <w:r w:rsidR="00EE76B4" w:rsidRPr="001D75BA">
        <w:rPr>
          <w:sz w:val="22"/>
          <w:szCs w:val="22"/>
        </w:rPr>
        <w:t xml:space="preserve"> </w:t>
      </w:r>
      <w:r w:rsidRPr="001D75BA">
        <w:rPr>
          <w:sz w:val="22"/>
          <w:szCs w:val="22"/>
        </w:rPr>
        <w:t xml:space="preserve">issue under the </w:t>
      </w:r>
      <w:r w:rsidRPr="0083594E">
        <w:rPr>
          <w:sz w:val="22"/>
          <w:szCs w:val="22"/>
        </w:rPr>
        <w:t>Act.  The legal test for objective justification under the Act is essentially the same as under Article 14.  Our comments above explain why the Appraisal Committee’s decision fails to meet that test and, for the sake of brevity, we do not repeat them here.</w:t>
      </w:r>
    </w:p>
    <w:p w14:paraId="4E726368" w14:textId="4558F550" w:rsidR="00393D62" w:rsidRPr="0083594E" w:rsidRDefault="00393D62" w:rsidP="00393D62">
      <w:pPr>
        <w:jc w:val="both"/>
        <w:rPr>
          <w:sz w:val="22"/>
          <w:szCs w:val="22"/>
        </w:rPr>
      </w:pPr>
    </w:p>
    <w:p w14:paraId="155C711D" w14:textId="49AE3F1C" w:rsidR="00393D62" w:rsidRPr="0083594E" w:rsidRDefault="00393D62" w:rsidP="00393D62">
      <w:pPr>
        <w:jc w:val="both"/>
        <w:rPr>
          <w:sz w:val="22"/>
          <w:szCs w:val="22"/>
        </w:rPr>
      </w:pPr>
      <w:r w:rsidRPr="0083594E">
        <w:rPr>
          <w:sz w:val="22"/>
          <w:szCs w:val="22"/>
        </w:rPr>
        <w:t>Moreover, courts have emphasised that Section 149 of the</w:t>
      </w:r>
      <w:r w:rsidR="000613B6">
        <w:rPr>
          <w:sz w:val="22"/>
          <w:szCs w:val="22"/>
        </w:rPr>
        <w:t xml:space="preserve"> </w:t>
      </w:r>
      <w:r w:rsidRPr="0083594E">
        <w:rPr>
          <w:sz w:val="22"/>
          <w:szCs w:val="22"/>
        </w:rPr>
        <w:t>Act imposes “</w:t>
      </w:r>
      <w:r w:rsidRPr="0083594E">
        <w:rPr>
          <w:i/>
          <w:sz w:val="22"/>
          <w:szCs w:val="22"/>
        </w:rPr>
        <w:t>a process, not an outcome duty.</w:t>
      </w:r>
      <w:r w:rsidRPr="0083594E">
        <w:rPr>
          <w:sz w:val="22"/>
          <w:szCs w:val="22"/>
        </w:rPr>
        <w:t>”</w:t>
      </w:r>
      <w:r w:rsidRPr="0083594E">
        <w:rPr>
          <w:rStyle w:val="FootnoteReference"/>
          <w:sz w:val="22"/>
          <w:szCs w:val="22"/>
        </w:rPr>
        <w:footnoteReference w:id="10"/>
      </w:r>
      <w:r w:rsidRPr="0083594E">
        <w:rPr>
          <w:sz w:val="22"/>
          <w:szCs w:val="22"/>
        </w:rPr>
        <w:t xml:space="preserve">  The duty can be breached by conducting a procedure in a prejudicial or improper manner.  The need to have “due regard” to the protected characteristics of people affected by a decision “</w:t>
      </w:r>
      <w:bookmarkStart w:id="0" w:name="para123"/>
      <w:r w:rsidRPr="0083594E">
        <w:rPr>
          <w:i/>
          <w:sz w:val="22"/>
          <w:szCs w:val="22"/>
        </w:rPr>
        <w:t>requires more than simply giving consideration to the issue, but awareness of the special duties the decision-maker owes in this context</w:t>
      </w:r>
      <w:bookmarkEnd w:id="0"/>
      <w:r w:rsidRPr="0083594E">
        <w:rPr>
          <w:i/>
          <w:sz w:val="22"/>
          <w:szCs w:val="22"/>
        </w:rPr>
        <w:t>.</w:t>
      </w:r>
      <w:r w:rsidRPr="0083594E">
        <w:rPr>
          <w:sz w:val="22"/>
          <w:szCs w:val="22"/>
        </w:rPr>
        <w:t>”</w:t>
      </w:r>
      <w:r w:rsidRPr="0083594E">
        <w:rPr>
          <w:rStyle w:val="FootnoteReference"/>
          <w:sz w:val="22"/>
          <w:szCs w:val="22"/>
        </w:rPr>
        <w:footnoteReference w:id="11"/>
      </w:r>
      <w:r w:rsidRPr="0083594E">
        <w:rPr>
          <w:sz w:val="22"/>
          <w:szCs w:val="22"/>
        </w:rPr>
        <w:t xml:space="preserve">  The duty may be breached if the decision-maker has failed to meet the expectations of “</w:t>
      </w:r>
      <w:r w:rsidRPr="0083594E">
        <w:rPr>
          <w:i/>
          <w:sz w:val="22"/>
          <w:szCs w:val="22"/>
        </w:rPr>
        <w:t>a reasonable public authority in the circumstances.</w:t>
      </w:r>
      <w:r w:rsidRPr="0083594E">
        <w:rPr>
          <w:sz w:val="22"/>
          <w:szCs w:val="22"/>
        </w:rPr>
        <w:t>”</w:t>
      </w:r>
      <w:r w:rsidRPr="0083594E">
        <w:rPr>
          <w:rStyle w:val="FootnoteReference"/>
          <w:sz w:val="22"/>
          <w:szCs w:val="22"/>
        </w:rPr>
        <w:footnoteReference w:id="12"/>
      </w:r>
    </w:p>
    <w:p w14:paraId="2884B2CC" w14:textId="77777777" w:rsidR="001D75BA" w:rsidRDefault="001D75BA" w:rsidP="00393D62">
      <w:pPr>
        <w:jc w:val="both"/>
        <w:rPr>
          <w:sz w:val="22"/>
          <w:szCs w:val="22"/>
        </w:rPr>
      </w:pPr>
    </w:p>
    <w:p w14:paraId="4D476B68" w14:textId="664964EE" w:rsidR="00393D62" w:rsidRPr="0083594E" w:rsidRDefault="00393D62" w:rsidP="00393D62">
      <w:pPr>
        <w:jc w:val="both"/>
        <w:rPr>
          <w:sz w:val="22"/>
          <w:szCs w:val="22"/>
        </w:rPr>
      </w:pPr>
      <w:r w:rsidRPr="0083594E">
        <w:rPr>
          <w:sz w:val="22"/>
          <w:szCs w:val="22"/>
        </w:rPr>
        <w:t>Sections 149</w:t>
      </w:r>
      <w:r w:rsidR="001D75BA">
        <w:rPr>
          <w:sz w:val="22"/>
          <w:szCs w:val="22"/>
        </w:rPr>
        <w:t>(3)</w:t>
      </w:r>
      <w:r w:rsidRPr="0083594E">
        <w:rPr>
          <w:sz w:val="22"/>
          <w:szCs w:val="22"/>
        </w:rPr>
        <w:t xml:space="preserve"> and 29 of the Equality Act</w:t>
      </w:r>
      <w:r w:rsidR="001D75BA">
        <w:rPr>
          <w:sz w:val="22"/>
          <w:szCs w:val="22"/>
        </w:rPr>
        <w:t xml:space="preserve"> </w:t>
      </w:r>
      <w:r w:rsidR="0083594E">
        <w:rPr>
          <w:sz w:val="22"/>
          <w:szCs w:val="22"/>
        </w:rPr>
        <w:t xml:space="preserve">provide </w:t>
      </w:r>
      <w:r w:rsidR="001D75BA">
        <w:rPr>
          <w:sz w:val="22"/>
          <w:szCs w:val="22"/>
        </w:rPr>
        <w:t>furthe</w:t>
      </w:r>
      <w:r w:rsidR="0083594E">
        <w:rPr>
          <w:sz w:val="22"/>
          <w:szCs w:val="22"/>
        </w:rPr>
        <w:t>r detail on how decision-makers should exercise their equality obligations</w:t>
      </w:r>
      <w:r w:rsidRPr="0083594E">
        <w:rPr>
          <w:sz w:val="22"/>
          <w:szCs w:val="22"/>
        </w:rPr>
        <w:t>.  Section 149(3) require</w:t>
      </w:r>
      <w:r w:rsidR="00F06D64" w:rsidRPr="0083594E">
        <w:rPr>
          <w:sz w:val="22"/>
          <w:szCs w:val="22"/>
        </w:rPr>
        <w:t>s</w:t>
      </w:r>
      <w:r w:rsidRPr="0083594E">
        <w:rPr>
          <w:sz w:val="22"/>
          <w:szCs w:val="22"/>
        </w:rPr>
        <w:t xml:space="preserve"> having particular regard to: (</w:t>
      </w:r>
      <w:proofErr w:type="spellStart"/>
      <w:r w:rsidRPr="0083594E">
        <w:rPr>
          <w:sz w:val="22"/>
          <w:szCs w:val="22"/>
        </w:rPr>
        <w:t>i</w:t>
      </w:r>
      <w:proofErr w:type="spellEnd"/>
      <w:r w:rsidRPr="0083594E">
        <w:rPr>
          <w:sz w:val="22"/>
          <w:szCs w:val="22"/>
        </w:rPr>
        <w:t xml:space="preserve">) removing or minimising disadvantages suffered by persons who share a protected characteristic; and (ii) taking steps to meet the needs of persons who share a protected characteristic that are different from the needs of persons who do not share it.  Under Sections 29(6) and (7), NICE has a duty to make reasonable adjustments in its appraisal to </w:t>
      </w:r>
      <w:proofErr w:type="gramStart"/>
      <w:r w:rsidRPr="0083594E">
        <w:rPr>
          <w:sz w:val="22"/>
          <w:szCs w:val="22"/>
        </w:rPr>
        <w:t>take into account</w:t>
      </w:r>
      <w:proofErr w:type="gramEnd"/>
      <w:r w:rsidRPr="0083594E">
        <w:rPr>
          <w:sz w:val="22"/>
          <w:szCs w:val="22"/>
        </w:rPr>
        <w:t xml:space="preserve"> the protected characteristics of the patient population.  </w:t>
      </w:r>
    </w:p>
    <w:p w14:paraId="47F05118" w14:textId="77777777" w:rsidR="00393D62" w:rsidRPr="0083594E" w:rsidRDefault="00393D62" w:rsidP="00393D62">
      <w:pPr>
        <w:jc w:val="both"/>
        <w:rPr>
          <w:sz w:val="22"/>
          <w:szCs w:val="22"/>
        </w:rPr>
      </w:pPr>
    </w:p>
    <w:p w14:paraId="2D286081" w14:textId="1D055AA2" w:rsidR="003227B4" w:rsidRDefault="00393D62" w:rsidP="00F673BE">
      <w:pPr>
        <w:jc w:val="both"/>
        <w:rPr>
          <w:sz w:val="22"/>
          <w:szCs w:val="22"/>
        </w:rPr>
      </w:pPr>
      <w:r w:rsidRPr="0083594E">
        <w:rPr>
          <w:sz w:val="22"/>
          <w:szCs w:val="22"/>
        </w:rPr>
        <w:t xml:space="preserve">The facts of this appraisal point to the Appraisal Committee falling short of meeting these legal obligations, particularly as interpreted by the Courts.  The disadvantages suffered by the patient population include the absence of an NHS funded technology that is considered to have “level one” </w:t>
      </w:r>
      <w:r w:rsidRPr="0083594E">
        <w:rPr>
          <w:sz w:val="22"/>
          <w:szCs w:val="22"/>
        </w:rPr>
        <w:lastRenderedPageBreak/>
        <w:t xml:space="preserve">supporting data; and relying on alternative technologies in end-of-life settings that possess a weaker evidence base and may provide poorer life-prospects.  Minimizing those disadvantages and making reasonable adjustments in their favour are part-and-parcel of the “special duties” the Appraisal Committee had in the circumstances.  Fulfilling these duties would have required applying an appropriate methodology of review, consistent with TA525.  We believe that this is the very least that a reasonable public authority would need to achieve in the circumstances. </w:t>
      </w:r>
      <w:r w:rsidR="00F06D64">
        <w:rPr>
          <w:sz w:val="22"/>
          <w:szCs w:val="22"/>
        </w:rPr>
        <w:t xml:space="preserve"> </w:t>
      </w:r>
      <w:r w:rsidRPr="0083594E">
        <w:rPr>
          <w:sz w:val="22"/>
          <w:szCs w:val="22"/>
        </w:rPr>
        <w:t xml:space="preserve">The fact that the Appraisal Committee, inexplicably, took a more conservative approach suggests that barriers and challenges that patients face were exacerbated rather than reduced; in effect working against rather than in favour of the protected characteristics of the patient population.  </w:t>
      </w:r>
      <w:r w:rsidR="003E19F9">
        <w:rPr>
          <w:sz w:val="22"/>
          <w:szCs w:val="22"/>
        </w:rPr>
        <w:t>The</w:t>
      </w:r>
      <w:r w:rsidRPr="0083594E">
        <w:rPr>
          <w:sz w:val="22"/>
          <w:szCs w:val="22"/>
        </w:rPr>
        <w:t xml:space="preserve"> needs and rights of patients were treated inequitably </w:t>
      </w:r>
      <w:r w:rsidR="003E19F9">
        <w:rPr>
          <w:sz w:val="22"/>
          <w:szCs w:val="22"/>
        </w:rPr>
        <w:t xml:space="preserve">in </w:t>
      </w:r>
      <w:r w:rsidRPr="0083594E">
        <w:rPr>
          <w:sz w:val="22"/>
          <w:szCs w:val="22"/>
        </w:rPr>
        <w:t xml:space="preserve">comparable appraisals.  We do not see how NICE could meet its legal obligations without, at a minimum, </w:t>
      </w:r>
      <w:r w:rsidR="003E19F9">
        <w:rPr>
          <w:sz w:val="22"/>
          <w:szCs w:val="22"/>
        </w:rPr>
        <w:t xml:space="preserve">providing objective justifications for </w:t>
      </w:r>
      <w:r w:rsidRPr="0083594E">
        <w:rPr>
          <w:sz w:val="22"/>
          <w:szCs w:val="22"/>
        </w:rPr>
        <w:t>such inequality.</w:t>
      </w:r>
    </w:p>
    <w:p w14:paraId="2D6ECB1F" w14:textId="0E73357D" w:rsidR="000D343D" w:rsidRDefault="000D343D" w:rsidP="00F673BE">
      <w:pPr>
        <w:jc w:val="both"/>
        <w:rPr>
          <w:sz w:val="22"/>
          <w:szCs w:val="22"/>
        </w:rPr>
      </w:pPr>
    </w:p>
    <w:p w14:paraId="10EDEFDD" w14:textId="3DB24C6A" w:rsidR="000D343D" w:rsidRDefault="003E19F9" w:rsidP="000D343D">
      <w:pPr>
        <w:jc w:val="both"/>
        <w:rPr>
          <w:sz w:val="22"/>
          <w:szCs w:val="22"/>
        </w:rPr>
      </w:pPr>
      <w:r>
        <w:rPr>
          <w:sz w:val="22"/>
          <w:szCs w:val="22"/>
        </w:rPr>
        <w:t>To conclude, we</w:t>
      </w:r>
      <w:r w:rsidR="000D343D">
        <w:rPr>
          <w:sz w:val="22"/>
          <w:szCs w:val="22"/>
        </w:rPr>
        <w:t xml:space="preserve"> appreciate that this is a complex and sometimes esoteric legal area and that the A</w:t>
      </w:r>
      <w:r w:rsidR="000D343D" w:rsidRPr="001D75BA">
        <w:rPr>
          <w:sz w:val="22"/>
          <w:szCs w:val="22"/>
        </w:rPr>
        <w:t xml:space="preserve">ppeal Panel </w:t>
      </w:r>
      <w:r>
        <w:rPr>
          <w:sz w:val="22"/>
          <w:szCs w:val="22"/>
        </w:rPr>
        <w:t>is not a judicial body</w:t>
      </w:r>
      <w:r w:rsidR="000D343D" w:rsidRPr="001D75BA">
        <w:rPr>
          <w:sz w:val="22"/>
          <w:szCs w:val="22"/>
        </w:rPr>
        <w:t xml:space="preserve">. Nonetheless, these questions are central to this appeal and, in our view, can only be adequately addressed under a self-contained </w:t>
      </w:r>
      <w:r w:rsidR="000D343D">
        <w:rPr>
          <w:sz w:val="22"/>
          <w:szCs w:val="22"/>
        </w:rPr>
        <w:t>appeal g</w:t>
      </w:r>
      <w:r w:rsidR="000D343D" w:rsidRPr="001D75BA">
        <w:rPr>
          <w:sz w:val="22"/>
          <w:szCs w:val="22"/>
        </w:rPr>
        <w:t xml:space="preserve">round. </w:t>
      </w:r>
    </w:p>
    <w:p w14:paraId="1317BAF1" w14:textId="77777777" w:rsidR="000D343D" w:rsidRDefault="000D343D" w:rsidP="000D343D">
      <w:pPr>
        <w:jc w:val="both"/>
        <w:rPr>
          <w:sz w:val="22"/>
          <w:szCs w:val="22"/>
        </w:rPr>
      </w:pPr>
    </w:p>
    <w:p w14:paraId="74D7ABFD" w14:textId="6CDF1E56" w:rsidR="000D343D" w:rsidRDefault="000D343D" w:rsidP="00F673BE">
      <w:pPr>
        <w:jc w:val="both"/>
        <w:rPr>
          <w:sz w:val="22"/>
          <w:szCs w:val="22"/>
        </w:rPr>
      </w:pPr>
      <w:r w:rsidRPr="001D75BA">
        <w:rPr>
          <w:sz w:val="22"/>
          <w:szCs w:val="22"/>
        </w:rPr>
        <w:t xml:space="preserve">Given the importance of these points to the </w:t>
      </w:r>
      <w:r w:rsidR="003E19F9">
        <w:rPr>
          <w:sz w:val="22"/>
          <w:szCs w:val="22"/>
        </w:rPr>
        <w:t xml:space="preserve">MSD’s </w:t>
      </w:r>
      <w:r w:rsidRPr="001D75BA">
        <w:rPr>
          <w:sz w:val="22"/>
          <w:szCs w:val="22"/>
        </w:rPr>
        <w:t xml:space="preserve">Appeal, one option that we would support is to admit Ground 1b.1 as it stands but </w:t>
      </w:r>
      <w:r w:rsidR="003E19F9">
        <w:rPr>
          <w:sz w:val="22"/>
          <w:szCs w:val="22"/>
        </w:rPr>
        <w:t xml:space="preserve">address it only briefly at the appeal hearing, while </w:t>
      </w:r>
      <w:r w:rsidRPr="001D75BA">
        <w:rPr>
          <w:sz w:val="22"/>
          <w:szCs w:val="22"/>
        </w:rPr>
        <w:t>refer</w:t>
      </w:r>
      <w:r w:rsidR="003E19F9">
        <w:rPr>
          <w:sz w:val="22"/>
          <w:szCs w:val="22"/>
        </w:rPr>
        <w:t>ring</w:t>
      </w:r>
      <w:r w:rsidRPr="001D75BA">
        <w:rPr>
          <w:sz w:val="22"/>
          <w:szCs w:val="22"/>
        </w:rPr>
        <w:t xml:space="preserve"> the issue to </w:t>
      </w:r>
      <w:r w:rsidR="003E19F9">
        <w:rPr>
          <w:sz w:val="22"/>
          <w:szCs w:val="22"/>
        </w:rPr>
        <w:t xml:space="preserve">the Appeal Panel’s </w:t>
      </w:r>
      <w:r w:rsidRPr="001D75BA">
        <w:rPr>
          <w:sz w:val="22"/>
          <w:szCs w:val="22"/>
        </w:rPr>
        <w:t xml:space="preserve">and MSD’s respective legal advisers for resolution or further discussion on an inter-lawyer basis.  We understand this has been </w:t>
      </w:r>
      <w:r w:rsidR="003E19F9">
        <w:rPr>
          <w:sz w:val="22"/>
          <w:szCs w:val="22"/>
        </w:rPr>
        <w:t xml:space="preserve">common </w:t>
      </w:r>
      <w:r w:rsidRPr="001D75BA">
        <w:rPr>
          <w:sz w:val="22"/>
          <w:szCs w:val="22"/>
        </w:rPr>
        <w:t xml:space="preserve">practice in </w:t>
      </w:r>
      <w:r w:rsidR="003E19F9">
        <w:rPr>
          <w:sz w:val="22"/>
          <w:szCs w:val="22"/>
        </w:rPr>
        <w:t xml:space="preserve">previous </w:t>
      </w:r>
      <w:r w:rsidRPr="001D75BA">
        <w:rPr>
          <w:sz w:val="22"/>
          <w:szCs w:val="22"/>
        </w:rPr>
        <w:t>appeals.</w:t>
      </w:r>
    </w:p>
    <w:p w14:paraId="469BA9AD" w14:textId="77777777" w:rsidR="00DF2A4F" w:rsidRPr="00F673BE" w:rsidRDefault="00DF2A4F" w:rsidP="00F673BE">
      <w:pPr>
        <w:jc w:val="both"/>
        <w:rPr>
          <w:sz w:val="22"/>
          <w:szCs w:val="22"/>
        </w:rPr>
      </w:pPr>
    </w:p>
    <w:p w14:paraId="010AFBF9" w14:textId="77777777" w:rsidR="007E1829" w:rsidRPr="00F673BE" w:rsidRDefault="007E1829" w:rsidP="00F673BE">
      <w:pPr>
        <w:jc w:val="both"/>
        <w:rPr>
          <w:sz w:val="22"/>
          <w:szCs w:val="22"/>
        </w:rPr>
      </w:pPr>
    </w:p>
    <w:p w14:paraId="1D714165" w14:textId="77777777" w:rsidR="000A5537" w:rsidRPr="00F673BE" w:rsidRDefault="000A5537" w:rsidP="00F673BE">
      <w:pPr>
        <w:jc w:val="both"/>
        <w:rPr>
          <w:b/>
          <w:i/>
          <w:sz w:val="22"/>
          <w:szCs w:val="22"/>
        </w:rPr>
      </w:pPr>
      <w:r w:rsidRPr="00F673BE">
        <w:rPr>
          <w:b/>
          <w:i/>
          <w:sz w:val="22"/>
          <w:szCs w:val="22"/>
        </w:rPr>
        <w:t>Ground 2:</w:t>
      </w:r>
      <w:r w:rsidRPr="00F673BE">
        <w:rPr>
          <w:i/>
          <w:sz w:val="22"/>
          <w:szCs w:val="22"/>
        </w:rPr>
        <w:t xml:space="preserve"> </w:t>
      </w:r>
      <w:r w:rsidRPr="00F673BE">
        <w:rPr>
          <w:b/>
          <w:i/>
          <w:sz w:val="22"/>
          <w:szCs w:val="22"/>
        </w:rPr>
        <w:t>the recommendation is unreasonable in the light of the evidence submitted to NICE</w:t>
      </w:r>
    </w:p>
    <w:p w14:paraId="1CE6938A" w14:textId="77777777" w:rsidR="000A5537" w:rsidRPr="00F673BE" w:rsidRDefault="000A5537" w:rsidP="00F673BE">
      <w:pPr>
        <w:jc w:val="both"/>
        <w:rPr>
          <w:sz w:val="22"/>
          <w:szCs w:val="22"/>
        </w:rPr>
      </w:pPr>
    </w:p>
    <w:p w14:paraId="54B6DDED" w14:textId="77777777" w:rsidR="000A5537" w:rsidRDefault="000A5537" w:rsidP="00F673BE">
      <w:pPr>
        <w:jc w:val="both"/>
        <w:rPr>
          <w:b/>
          <w:sz w:val="22"/>
          <w:szCs w:val="22"/>
        </w:rPr>
      </w:pPr>
      <w:r w:rsidRPr="00F673BE">
        <w:rPr>
          <w:b/>
          <w:sz w:val="22"/>
          <w:szCs w:val="22"/>
        </w:rPr>
        <w:t>Ground 2.2 – The Appraisal Committee’s analysis of evidence from the clinical expert in paragraph 3.15 of the FAD is internally inconsistent and its conclusions are unreasonable</w:t>
      </w:r>
    </w:p>
    <w:p w14:paraId="066CA58E" w14:textId="77777777" w:rsidR="00F673BE" w:rsidRPr="00F673BE" w:rsidRDefault="00F673BE" w:rsidP="00F673BE">
      <w:pPr>
        <w:jc w:val="both"/>
        <w:rPr>
          <w:b/>
          <w:sz w:val="22"/>
          <w:szCs w:val="22"/>
        </w:rPr>
      </w:pPr>
    </w:p>
    <w:p w14:paraId="5D5D9845" w14:textId="2B505F9D" w:rsidR="009B0634" w:rsidRPr="00F673BE" w:rsidRDefault="00463DF8" w:rsidP="00F673BE">
      <w:pPr>
        <w:jc w:val="both"/>
        <w:rPr>
          <w:sz w:val="22"/>
          <w:szCs w:val="22"/>
        </w:rPr>
      </w:pPr>
      <w:r w:rsidRPr="00F673BE">
        <w:rPr>
          <w:sz w:val="22"/>
          <w:szCs w:val="22"/>
        </w:rPr>
        <w:t xml:space="preserve">We welcome your observation that this is a valid appeal point.  The reason why we had presented it as a standalone </w:t>
      </w:r>
      <w:r w:rsidR="003E7D1E">
        <w:rPr>
          <w:sz w:val="22"/>
          <w:szCs w:val="22"/>
        </w:rPr>
        <w:t>g</w:t>
      </w:r>
      <w:r w:rsidRPr="00F673BE">
        <w:rPr>
          <w:sz w:val="22"/>
          <w:szCs w:val="22"/>
        </w:rPr>
        <w:t xml:space="preserve">round was that the evidence from the clinical expert related both to the duration of treatment effect and overall survival, both of which were </w:t>
      </w:r>
      <w:r w:rsidR="00DB33C1">
        <w:rPr>
          <w:sz w:val="22"/>
          <w:szCs w:val="22"/>
        </w:rPr>
        <w:t xml:space="preserve">factors that affected </w:t>
      </w:r>
      <w:r w:rsidRPr="00F673BE">
        <w:rPr>
          <w:sz w:val="22"/>
          <w:szCs w:val="22"/>
        </w:rPr>
        <w:t>cost-effectiveness</w:t>
      </w:r>
      <w:r w:rsidR="00DB33C1">
        <w:rPr>
          <w:sz w:val="22"/>
          <w:szCs w:val="22"/>
        </w:rPr>
        <w:t xml:space="preserve"> (see </w:t>
      </w:r>
      <w:r w:rsidR="00E8038B" w:rsidRPr="00F673BE">
        <w:rPr>
          <w:sz w:val="22"/>
          <w:szCs w:val="22"/>
        </w:rPr>
        <w:t>paragraphs 3.1</w:t>
      </w:r>
      <w:r w:rsidR="00E8038B" w:rsidRPr="006A6FE3">
        <w:rPr>
          <w:sz w:val="22"/>
          <w:szCs w:val="22"/>
        </w:rPr>
        <w:t>8, 3.20 and 3.22 of the FAD)</w:t>
      </w:r>
      <w:r w:rsidRPr="006A6FE3">
        <w:rPr>
          <w:sz w:val="22"/>
          <w:szCs w:val="22"/>
        </w:rPr>
        <w:t>.</w:t>
      </w:r>
      <w:r w:rsidR="009C1B46" w:rsidRPr="006A6FE3">
        <w:rPr>
          <w:sz w:val="22"/>
          <w:szCs w:val="22"/>
        </w:rPr>
        <w:t xml:space="preserve">  On that basis</w:t>
      </w:r>
      <w:r w:rsidR="00054791" w:rsidRPr="006A6FE3">
        <w:rPr>
          <w:sz w:val="22"/>
          <w:szCs w:val="22"/>
        </w:rPr>
        <w:t>,</w:t>
      </w:r>
      <w:r w:rsidR="009C1B46" w:rsidRPr="006A6FE3">
        <w:rPr>
          <w:sz w:val="22"/>
          <w:szCs w:val="22"/>
        </w:rPr>
        <w:t xml:space="preserve"> Ground 2.2 is related to but is not the same as Ground 2.1.</w:t>
      </w:r>
      <w:r w:rsidR="00C84710" w:rsidRPr="006A6FE3">
        <w:rPr>
          <w:sz w:val="22"/>
          <w:szCs w:val="22"/>
        </w:rPr>
        <w:t xml:space="preserve"> </w:t>
      </w:r>
      <w:r w:rsidR="009C1B46" w:rsidRPr="006A6FE3">
        <w:rPr>
          <w:sz w:val="22"/>
          <w:szCs w:val="22"/>
        </w:rPr>
        <w:t>However, o</w:t>
      </w:r>
      <w:r w:rsidRPr="006A6FE3">
        <w:rPr>
          <w:sz w:val="22"/>
          <w:szCs w:val="22"/>
        </w:rPr>
        <w:t>n reflection, we agree tha</w:t>
      </w:r>
      <w:r w:rsidR="00FA72DD" w:rsidRPr="006A6FE3">
        <w:rPr>
          <w:sz w:val="22"/>
          <w:szCs w:val="22"/>
        </w:rPr>
        <w:t xml:space="preserve">t the Appeal Panel may find it helpful </w:t>
      </w:r>
      <w:r w:rsidR="00C84710" w:rsidRPr="006A6FE3">
        <w:rPr>
          <w:sz w:val="22"/>
          <w:szCs w:val="22"/>
        </w:rPr>
        <w:t xml:space="preserve">to consider </w:t>
      </w:r>
      <w:r w:rsidR="00FA72DD" w:rsidRPr="006A6FE3">
        <w:rPr>
          <w:sz w:val="22"/>
          <w:szCs w:val="22"/>
        </w:rPr>
        <w:t xml:space="preserve">this point </w:t>
      </w:r>
      <w:r w:rsidRPr="006A6FE3">
        <w:rPr>
          <w:sz w:val="22"/>
          <w:szCs w:val="22"/>
        </w:rPr>
        <w:t>as part of a broad-based assessment</w:t>
      </w:r>
      <w:r w:rsidR="009B0634" w:rsidRPr="006A6FE3">
        <w:rPr>
          <w:sz w:val="22"/>
          <w:szCs w:val="22"/>
        </w:rPr>
        <w:t xml:space="preserve"> of Ground 2.1, </w:t>
      </w:r>
      <w:r w:rsidR="002620EE" w:rsidRPr="006A6FE3">
        <w:rPr>
          <w:sz w:val="22"/>
          <w:szCs w:val="22"/>
        </w:rPr>
        <w:t xml:space="preserve">assuming there will be an </w:t>
      </w:r>
      <w:r w:rsidR="009B0634" w:rsidRPr="006A6FE3">
        <w:rPr>
          <w:sz w:val="22"/>
          <w:szCs w:val="22"/>
        </w:rPr>
        <w:t>opportunity to discuss</w:t>
      </w:r>
      <w:r w:rsidR="002620EE" w:rsidRPr="006A6FE3">
        <w:rPr>
          <w:sz w:val="22"/>
          <w:szCs w:val="22"/>
        </w:rPr>
        <w:t xml:space="preserve"> the </w:t>
      </w:r>
      <w:r w:rsidR="00C84710" w:rsidRPr="006A6FE3">
        <w:rPr>
          <w:sz w:val="22"/>
          <w:szCs w:val="22"/>
        </w:rPr>
        <w:t xml:space="preserve">influence </w:t>
      </w:r>
      <w:r w:rsidR="002620EE" w:rsidRPr="006A6FE3">
        <w:rPr>
          <w:sz w:val="22"/>
          <w:szCs w:val="22"/>
        </w:rPr>
        <w:t xml:space="preserve">of the </w:t>
      </w:r>
      <w:r w:rsidR="00C84710" w:rsidRPr="006A6FE3">
        <w:rPr>
          <w:sz w:val="22"/>
          <w:szCs w:val="22"/>
        </w:rPr>
        <w:t xml:space="preserve">clinician’s evidence </w:t>
      </w:r>
      <w:r w:rsidR="009B0634" w:rsidRPr="006A6FE3">
        <w:rPr>
          <w:sz w:val="22"/>
          <w:szCs w:val="22"/>
        </w:rPr>
        <w:t xml:space="preserve">during the </w:t>
      </w:r>
      <w:r w:rsidR="002620EE" w:rsidRPr="006A6FE3">
        <w:rPr>
          <w:sz w:val="22"/>
          <w:szCs w:val="22"/>
        </w:rPr>
        <w:t xml:space="preserve">appeal </w:t>
      </w:r>
      <w:r w:rsidR="009B0634" w:rsidRPr="006A6FE3">
        <w:rPr>
          <w:sz w:val="22"/>
          <w:szCs w:val="22"/>
        </w:rPr>
        <w:t>hearing</w:t>
      </w:r>
      <w:r w:rsidR="006A6FE3" w:rsidRPr="006A6FE3">
        <w:rPr>
          <w:sz w:val="22"/>
          <w:szCs w:val="22"/>
        </w:rPr>
        <w:t>.</w:t>
      </w:r>
      <w:r w:rsidR="001643DF" w:rsidRPr="006A6FE3" w:rsidDel="001643DF">
        <w:rPr>
          <w:sz w:val="22"/>
          <w:szCs w:val="22"/>
        </w:rPr>
        <w:t xml:space="preserve"> </w:t>
      </w:r>
    </w:p>
    <w:p w14:paraId="6AA7677B" w14:textId="77777777" w:rsidR="009B0634" w:rsidRPr="00F673BE" w:rsidRDefault="009B0634" w:rsidP="00F673BE">
      <w:pPr>
        <w:jc w:val="both"/>
        <w:rPr>
          <w:sz w:val="22"/>
          <w:szCs w:val="22"/>
        </w:rPr>
      </w:pPr>
    </w:p>
    <w:p w14:paraId="3339C069" w14:textId="77777777" w:rsidR="000A5537" w:rsidRPr="00F673BE" w:rsidRDefault="00ED1B21" w:rsidP="00F673BE">
      <w:pPr>
        <w:jc w:val="both"/>
        <w:rPr>
          <w:sz w:val="22"/>
          <w:szCs w:val="22"/>
        </w:rPr>
      </w:pPr>
      <w:r w:rsidRPr="00F673BE">
        <w:rPr>
          <w:b/>
          <w:sz w:val="22"/>
          <w:szCs w:val="22"/>
        </w:rPr>
        <w:t>Ground 2.3 – The Appraisal Committee’s decisions that: (</w:t>
      </w:r>
      <w:proofErr w:type="spellStart"/>
      <w:r w:rsidRPr="00F673BE">
        <w:rPr>
          <w:b/>
          <w:sz w:val="22"/>
          <w:szCs w:val="22"/>
        </w:rPr>
        <w:t>i</w:t>
      </w:r>
      <w:proofErr w:type="spellEnd"/>
      <w:r w:rsidRPr="00F673BE">
        <w:rPr>
          <w:b/>
          <w:sz w:val="22"/>
          <w:szCs w:val="22"/>
        </w:rPr>
        <w:t>) a range of possible ICERs from £48,518 to £70,520 applies; and (ii) the “most plausible” ICER for pembrolizumab is likely to be above £50,000, are unreasonable in light of the evidence submitted</w:t>
      </w:r>
    </w:p>
    <w:p w14:paraId="4997571B" w14:textId="77777777" w:rsidR="0089322B" w:rsidRPr="00F673BE" w:rsidRDefault="00D60661" w:rsidP="00F673BE">
      <w:pPr>
        <w:jc w:val="both"/>
        <w:rPr>
          <w:sz w:val="22"/>
          <w:szCs w:val="22"/>
        </w:rPr>
      </w:pPr>
      <w:r w:rsidRPr="00F673BE">
        <w:rPr>
          <w:sz w:val="22"/>
          <w:szCs w:val="22"/>
        </w:rPr>
        <w:t xml:space="preserve"> </w:t>
      </w:r>
    </w:p>
    <w:p w14:paraId="4DF59447" w14:textId="77777777" w:rsidR="001D52F3" w:rsidRPr="00F673BE" w:rsidRDefault="00ED1B21" w:rsidP="00F673BE">
      <w:pPr>
        <w:jc w:val="both"/>
        <w:rPr>
          <w:sz w:val="22"/>
          <w:szCs w:val="22"/>
        </w:rPr>
      </w:pPr>
      <w:r w:rsidRPr="00F673BE">
        <w:rPr>
          <w:sz w:val="22"/>
          <w:szCs w:val="22"/>
        </w:rPr>
        <w:t xml:space="preserve">We respectfully disagree with the proposal to incorporate Ground 2.3 into Ground 2.1.  </w:t>
      </w:r>
    </w:p>
    <w:p w14:paraId="61465017" w14:textId="77777777" w:rsidR="001D52F3" w:rsidRPr="00F673BE" w:rsidRDefault="001D52F3" w:rsidP="00F673BE">
      <w:pPr>
        <w:jc w:val="both"/>
        <w:rPr>
          <w:sz w:val="22"/>
          <w:szCs w:val="22"/>
        </w:rPr>
      </w:pPr>
    </w:p>
    <w:p w14:paraId="617B7C90" w14:textId="75C563B1" w:rsidR="00201BD5" w:rsidRPr="00F673BE" w:rsidRDefault="00D766AE" w:rsidP="00F673BE">
      <w:pPr>
        <w:jc w:val="both"/>
        <w:rPr>
          <w:sz w:val="22"/>
          <w:szCs w:val="22"/>
        </w:rPr>
      </w:pPr>
      <w:r w:rsidRPr="00F673BE">
        <w:rPr>
          <w:sz w:val="22"/>
          <w:szCs w:val="22"/>
        </w:rPr>
        <w:t xml:space="preserve">Ground 2.3 </w:t>
      </w:r>
      <w:r w:rsidR="001D52F3" w:rsidRPr="00F673BE">
        <w:rPr>
          <w:sz w:val="22"/>
          <w:szCs w:val="22"/>
        </w:rPr>
        <w:t>is a broad ground concerning</w:t>
      </w:r>
      <w:r w:rsidRPr="00F673BE">
        <w:rPr>
          <w:sz w:val="22"/>
          <w:szCs w:val="22"/>
        </w:rPr>
        <w:t xml:space="preserve"> the approach the Appraisal Committee took to determining that the “most plausible ICER” was likely to be above £50,000 per Q</w:t>
      </w:r>
      <w:r w:rsidR="00C75AD7" w:rsidRPr="00F673BE">
        <w:rPr>
          <w:sz w:val="22"/>
          <w:szCs w:val="22"/>
        </w:rPr>
        <w:t>ALY gained.</w:t>
      </w:r>
      <w:r w:rsidR="00A51836">
        <w:rPr>
          <w:sz w:val="22"/>
          <w:szCs w:val="22"/>
        </w:rPr>
        <w:t xml:space="preserve"> </w:t>
      </w:r>
      <w:r w:rsidR="00C75AD7" w:rsidRPr="00F673BE">
        <w:rPr>
          <w:sz w:val="22"/>
          <w:szCs w:val="22"/>
        </w:rPr>
        <w:t xml:space="preserve"> </w:t>
      </w:r>
      <w:r w:rsidR="00201BD5" w:rsidRPr="00F673BE">
        <w:rPr>
          <w:sz w:val="22"/>
          <w:szCs w:val="22"/>
        </w:rPr>
        <w:t>As p</w:t>
      </w:r>
      <w:r w:rsidRPr="00F673BE">
        <w:rPr>
          <w:sz w:val="22"/>
          <w:szCs w:val="22"/>
        </w:rPr>
        <w:t>aragraph 3.22 of the FAD makes clear</w:t>
      </w:r>
      <w:r w:rsidR="00201BD5" w:rsidRPr="00F673BE">
        <w:rPr>
          <w:sz w:val="22"/>
          <w:szCs w:val="22"/>
        </w:rPr>
        <w:t>,</w:t>
      </w:r>
      <w:r w:rsidRPr="00F673BE">
        <w:rPr>
          <w:sz w:val="22"/>
          <w:szCs w:val="22"/>
        </w:rPr>
        <w:t xml:space="preserve"> that </w:t>
      </w:r>
      <w:r w:rsidR="00201BD5" w:rsidRPr="00F673BE">
        <w:rPr>
          <w:sz w:val="22"/>
          <w:szCs w:val="22"/>
        </w:rPr>
        <w:t xml:space="preserve">conclusion was based on several different inputs:  the duration of treatment effect; the 2-stage method for adjusting for switching; the cost of pembrolizumab </w:t>
      </w:r>
      <w:r w:rsidR="00201BD5" w:rsidRPr="001255EA">
        <w:rPr>
          <w:i/>
          <w:sz w:val="22"/>
          <w:szCs w:val="22"/>
        </w:rPr>
        <w:t>etc.</w:t>
      </w:r>
      <w:r w:rsidR="00201BD5" w:rsidRPr="00F673BE">
        <w:rPr>
          <w:sz w:val="22"/>
          <w:szCs w:val="22"/>
        </w:rPr>
        <w:t xml:space="preserve">  Ground 2.1 only concerns one of those inputs: the duration of treatment effect.  Therefore, we do not believe it would be appropriate for the Appeal Panel to </w:t>
      </w:r>
      <w:r w:rsidR="005148BF" w:rsidRPr="00F673BE">
        <w:rPr>
          <w:sz w:val="22"/>
          <w:szCs w:val="22"/>
        </w:rPr>
        <w:t xml:space="preserve">consider these under the same </w:t>
      </w:r>
      <w:r w:rsidR="00056389">
        <w:rPr>
          <w:sz w:val="22"/>
          <w:szCs w:val="22"/>
        </w:rPr>
        <w:t>Ground</w:t>
      </w:r>
      <w:r w:rsidR="005148BF" w:rsidRPr="00F673BE">
        <w:rPr>
          <w:sz w:val="22"/>
          <w:szCs w:val="22"/>
        </w:rPr>
        <w:t>.  We believe that merging the Grounds</w:t>
      </w:r>
      <w:r w:rsidR="00201BD5" w:rsidRPr="00F673BE">
        <w:rPr>
          <w:sz w:val="22"/>
          <w:szCs w:val="22"/>
        </w:rPr>
        <w:t xml:space="preserve"> </w:t>
      </w:r>
      <w:r w:rsidR="005148BF" w:rsidRPr="00F673BE">
        <w:rPr>
          <w:sz w:val="22"/>
          <w:szCs w:val="22"/>
        </w:rPr>
        <w:t>risks excluding or undermining</w:t>
      </w:r>
      <w:r w:rsidR="00201BD5" w:rsidRPr="00F673BE">
        <w:rPr>
          <w:sz w:val="22"/>
          <w:szCs w:val="22"/>
        </w:rPr>
        <w:t xml:space="preserve"> </w:t>
      </w:r>
      <w:r w:rsidR="00326CCC" w:rsidRPr="00F673BE">
        <w:rPr>
          <w:sz w:val="22"/>
          <w:szCs w:val="22"/>
        </w:rPr>
        <w:t xml:space="preserve">a discussion of </w:t>
      </w:r>
      <w:r w:rsidR="00201BD5" w:rsidRPr="00F673BE">
        <w:rPr>
          <w:sz w:val="22"/>
          <w:szCs w:val="22"/>
        </w:rPr>
        <w:t>factors</w:t>
      </w:r>
      <w:r w:rsidR="005148BF" w:rsidRPr="00F673BE">
        <w:rPr>
          <w:sz w:val="22"/>
          <w:szCs w:val="22"/>
        </w:rPr>
        <w:t xml:space="preserve"> other than treatment effect</w:t>
      </w:r>
      <w:r w:rsidR="00201BD5" w:rsidRPr="00F673BE">
        <w:rPr>
          <w:sz w:val="22"/>
          <w:szCs w:val="22"/>
        </w:rPr>
        <w:t xml:space="preserve"> that contributed to the Appraisal Committee’s assessment of cost effectiveness.</w:t>
      </w:r>
    </w:p>
    <w:p w14:paraId="596683F7" w14:textId="77777777" w:rsidR="00201BD5" w:rsidRPr="00F673BE" w:rsidRDefault="00201BD5" w:rsidP="00F673BE">
      <w:pPr>
        <w:jc w:val="both"/>
        <w:rPr>
          <w:sz w:val="22"/>
          <w:szCs w:val="22"/>
        </w:rPr>
      </w:pPr>
    </w:p>
    <w:p w14:paraId="4CE18AE6" w14:textId="296F9E89" w:rsidR="00ED1B21" w:rsidRPr="00F673BE" w:rsidRDefault="005148BF" w:rsidP="00F673BE">
      <w:pPr>
        <w:jc w:val="both"/>
        <w:rPr>
          <w:sz w:val="22"/>
          <w:szCs w:val="22"/>
        </w:rPr>
      </w:pPr>
      <w:r w:rsidRPr="00F673BE">
        <w:rPr>
          <w:sz w:val="22"/>
          <w:szCs w:val="22"/>
        </w:rPr>
        <w:t>Moreover</w:t>
      </w:r>
      <w:r w:rsidR="00326CCC" w:rsidRPr="00F673BE">
        <w:rPr>
          <w:sz w:val="22"/>
          <w:szCs w:val="22"/>
        </w:rPr>
        <w:t xml:space="preserve">, MSD’s points under Ground 2.3 are </w:t>
      </w:r>
      <w:r w:rsidR="00BE12AB" w:rsidRPr="00F673BE">
        <w:rPr>
          <w:sz w:val="22"/>
          <w:szCs w:val="22"/>
        </w:rPr>
        <w:t xml:space="preserve">largely methodological.  Our submissions under Ground 2.3 are essentially </w:t>
      </w:r>
      <w:r w:rsidR="001D52F3" w:rsidRPr="00F673BE">
        <w:rPr>
          <w:sz w:val="22"/>
          <w:szCs w:val="22"/>
        </w:rPr>
        <w:t>t</w:t>
      </w:r>
      <w:r w:rsidRPr="00F673BE">
        <w:rPr>
          <w:sz w:val="22"/>
          <w:szCs w:val="22"/>
        </w:rPr>
        <w:t>hat: (</w:t>
      </w:r>
      <w:proofErr w:type="spellStart"/>
      <w:r w:rsidRPr="00F673BE">
        <w:rPr>
          <w:sz w:val="22"/>
          <w:szCs w:val="22"/>
        </w:rPr>
        <w:t>i</w:t>
      </w:r>
      <w:proofErr w:type="spellEnd"/>
      <w:r w:rsidRPr="00F673BE">
        <w:rPr>
          <w:sz w:val="22"/>
          <w:szCs w:val="22"/>
        </w:rPr>
        <w:t xml:space="preserve">) </w:t>
      </w:r>
      <w:r w:rsidR="001D52F3" w:rsidRPr="00F673BE">
        <w:rPr>
          <w:sz w:val="22"/>
          <w:szCs w:val="22"/>
        </w:rPr>
        <w:t>the Appraisal Committee did not use the appropriate inputs to establish its range of possible ICERs</w:t>
      </w:r>
      <w:r w:rsidRPr="00F673BE">
        <w:rPr>
          <w:sz w:val="22"/>
          <w:szCs w:val="22"/>
        </w:rPr>
        <w:t>; and (ii)</w:t>
      </w:r>
      <w:r w:rsidR="001D52F3" w:rsidRPr="00F673BE">
        <w:rPr>
          <w:sz w:val="22"/>
          <w:szCs w:val="22"/>
        </w:rPr>
        <w:t xml:space="preserve"> the Appraisal Committee </w:t>
      </w:r>
      <w:r w:rsidR="004F15D1" w:rsidRPr="00F673BE">
        <w:rPr>
          <w:sz w:val="22"/>
          <w:szCs w:val="22"/>
        </w:rPr>
        <w:t xml:space="preserve">unreasonably </w:t>
      </w:r>
      <w:r w:rsidR="001D52F3" w:rsidRPr="00F673BE">
        <w:rPr>
          <w:sz w:val="22"/>
          <w:szCs w:val="22"/>
        </w:rPr>
        <w:t xml:space="preserve">concluded that </w:t>
      </w:r>
      <w:r w:rsidR="004F15D1" w:rsidRPr="00F673BE">
        <w:rPr>
          <w:sz w:val="22"/>
          <w:szCs w:val="22"/>
        </w:rPr>
        <w:t xml:space="preserve">the “most plausible” ICER would in effect sit at the mid-point of the range of ICERs </w:t>
      </w:r>
      <w:r w:rsidR="00BE12AB" w:rsidRPr="00F673BE">
        <w:rPr>
          <w:sz w:val="22"/>
          <w:szCs w:val="22"/>
        </w:rPr>
        <w:t xml:space="preserve">rather than the </w:t>
      </w:r>
      <w:r w:rsidR="004F15D1" w:rsidRPr="00F673BE">
        <w:rPr>
          <w:sz w:val="22"/>
          <w:szCs w:val="22"/>
        </w:rPr>
        <w:t>lower end</w:t>
      </w:r>
      <w:r w:rsidR="00C650CE" w:rsidRPr="00F673BE">
        <w:rPr>
          <w:sz w:val="22"/>
          <w:szCs w:val="22"/>
        </w:rPr>
        <w:t>.  T</w:t>
      </w:r>
      <w:r w:rsidR="00BE12AB" w:rsidRPr="00F673BE">
        <w:rPr>
          <w:sz w:val="22"/>
          <w:szCs w:val="22"/>
        </w:rPr>
        <w:t xml:space="preserve">hese points concern how the Appraisal Committee reached its decision on the most plausible ICER </w:t>
      </w:r>
      <w:r w:rsidR="00BE12AB" w:rsidRPr="00F673BE">
        <w:rPr>
          <w:sz w:val="22"/>
          <w:szCs w:val="22"/>
        </w:rPr>
        <w:lastRenderedPageBreak/>
        <w:t>for pembrolizumab, rather th</w:t>
      </w:r>
      <w:r w:rsidR="00BF50FE">
        <w:rPr>
          <w:sz w:val="22"/>
          <w:szCs w:val="22"/>
        </w:rPr>
        <w:t>a</w:t>
      </w:r>
      <w:r w:rsidR="00BE12AB" w:rsidRPr="00F673BE">
        <w:rPr>
          <w:sz w:val="22"/>
          <w:szCs w:val="22"/>
        </w:rPr>
        <w:t xml:space="preserve">n how the Committee assessed the evidence on treatment effect (which is the focus of </w:t>
      </w:r>
      <w:r w:rsidR="00C650CE" w:rsidRPr="00F673BE">
        <w:rPr>
          <w:sz w:val="22"/>
          <w:szCs w:val="22"/>
        </w:rPr>
        <w:t>Ground 2.1</w:t>
      </w:r>
      <w:r w:rsidR="00BE12AB" w:rsidRPr="00F673BE">
        <w:rPr>
          <w:sz w:val="22"/>
          <w:szCs w:val="22"/>
        </w:rPr>
        <w:t xml:space="preserve">).  </w:t>
      </w:r>
      <w:r w:rsidR="00C650CE" w:rsidRPr="00F673BE">
        <w:rPr>
          <w:sz w:val="22"/>
          <w:szCs w:val="22"/>
        </w:rPr>
        <w:t>I</w:t>
      </w:r>
      <w:r w:rsidR="004F15D1" w:rsidRPr="00F673BE">
        <w:rPr>
          <w:sz w:val="22"/>
          <w:szCs w:val="22"/>
        </w:rPr>
        <w:t xml:space="preserve">n our view, </w:t>
      </w:r>
      <w:r w:rsidR="00C650CE" w:rsidRPr="00F673BE">
        <w:rPr>
          <w:sz w:val="22"/>
          <w:szCs w:val="22"/>
        </w:rPr>
        <w:t>the two</w:t>
      </w:r>
      <w:r w:rsidR="00BE12AB" w:rsidRPr="00F673BE">
        <w:rPr>
          <w:sz w:val="22"/>
          <w:szCs w:val="22"/>
        </w:rPr>
        <w:t xml:space="preserve"> Grounds pertain to materially different questions and</w:t>
      </w:r>
      <w:r w:rsidR="00C650CE" w:rsidRPr="00F673BE">
        <w:rPr>
          <w:sz w:val="22"/>
          <w:szCs w:val="22"/>
        </w:rPr>
        <w:t xml:space="preserve"> </w:t>
      </w:r>
      <w:r w:rsidR="004F15D1" w:rsidRPr="00F673BE">
        <w:rPr>
          <w:sz w:val="22"/>
          <w:szCs w:val="22"/>
        </w:rPr>
        <w:t>should not be amalgamated into one.</w:t>
      </w:r>
      <w:r w:rsidR="00BE12AB" w:rsidRPr="00F673BE">
        <w:rPr>
          <w:sz w:val="22"/>
          <w:szCs w:val="22"/>
        </w:rPr>
        <w:t xml:space="preserve">  We feel that merging them risks making discussions during the hearing unstructured or unclear. </w:t>
      </w:r>
    </w:p>
    <w:p w14:paraId="039A702D" w14:textId="77777777" w:rsidR="00E328F9" w:rsidRPr="00F673BE" w:rsidRDefault="00E328F9" w:rsidP="00F673BE">
      <w:pPr>
        <w:jc w:val="both"/>
        <w:rPr>
          <w:sz w:val="22"/>
          <w:szCs w:val="22"/>
        </w:rPr>
      </w:pPr>
    </w:p>
    <w:p w14:paraId="56CE20EC" w14:textId="77777777" w:rsidR="007465C3" w:rsidRPr="00F673BE" w:rsidRDefault="007465C3" w:rsidP="00F673BE">
      <w:pPr>
        <w:jc w:val="both"/>
        <w:rPr>
          <w:rFonts w:cs="Arial"/>
          <w:b/>
          <w:sz w:val="22"/>
          <w:szCs w:val="22"/>
        </w:rPr>
      </w:pPr>
      <w:r w:rsidRPr="00F673BE">
        <w:rPr>
          <w:rFonts w:cs="Arial"/>
          <w:b/>
          <w:sz w:val="22"/>
          <w:szCs w:val="22"/>
        </w:rPr>
        <w:t>Ground 2.5 – The conclusion that new data from KEYNOTE</w:t>
      </w:r>
      <w:r w:rsidRPr="00FC06CF">
        <w:rPr>
          <w:rFonts w:cs="Arial"/>
          <w:b/>
          <w:sz w:val="22"/>
          <w:szCs w:val="22"/>
        </w:rPr>
        <w:t>-045 “shows the 2-stage method may not be appropriate, and the unadjusted method should also be taken into account” results from a flawed and unreasonable interpretation of the evidence</w:t>
      </w:r>
    </w:p>
    <w:p w14:paraId="3CD1EEE0" w14:textId="77777777" w:rsidR="007465C3" w:rsidRPr="00F673BE" w:rsidRDefault="007465C3" w:rsidP="00F673BE">
      <w:pPr>
        <w:jc w:val="both"/>
        <w:rPr>
          <w:rFonts w:cs="Arial"/>
          <w:b/>
          <w:sz w:val="22"/>
          <w:szCs w:val="22"/>
        </w:rPr>
      </w:pPr>
    </w:p>
    <w:p w14:paraId="2FF5FA4A" w14:textId="1A5D95CE" w:rsidR="000F3357" w:rsidRDefault="00FF65E0" w:rsidP="00F673BE">
      <w:pPr>
        <w:jc w:val="both"/>
        <w:rPr>
          <w:sz w:val="22"/>
          <w:szCs w:val="22"/>
        </w:rPr>
      </w:pPr>
      <w:r>
        <w:rPr>
          <w:rFonts w:cs="Arial"/>
          <w:sz w:val="22"/>
          <w:szCs w:val="22"/>
        </w:rPr>
        <w:t>We welcome that you consider Ground 2.5 to be a valid appeal point.  We note your comments and helpful guidance on this Ground.  To help clarify, o</w:t>
      </w:r>
      <w:r w:rsidR="000F3357" w:rsidRPr="00F673BE">
        <w:rPr>
          <w:rFonts w:cs="Arial"/>
          <w:sz w:val="22"/>
          <w:szCs w:val="22"/>
        </w:rPr>
        <w:t>ur submission</w:t>
      </w:r>
      <w:r>
        <w:rPr>
          <w:rFonts w:cs="Arial"/>
          <w:sz w:val="22"/>
          <w:szCs w:val="22"/>
        </w:rPr>
        <w:t xml:space="preserve"> under this Ground</w:t>
      </w:r>
      <w:r w:rsidR="000F3357" w:rsidRPr="00F673BE">
        <w:rPr>
          <w:rFonts w:cs="Arial"/>
          <w:sz w:val="22"/>
          <w:szCs w:val="22"/>
        </w:rPr>
        <w:t xml:space="preserve"> is that the 2-stage method was the most appropriate and correct approach to adjust fo</w:t>
      </w:r>
      <w:r w:rsidR="00CA02D0">
        <w:rPr>
          <w:rFonts w:cs="Arial"/>
          <w:sz w:val="22"/>
          <w:szCs w:val="22"/>
        </w:rPr>
        <w:t>r switching, which was an issue the Appraisal Committee and MSD</w:t>
      </w:r>
      <w:r w:rsidR="00FC3CC0">
        <w:rPr>
          <w:rFonts w:cs="Arial"/>
          <w:sz w:val="22"/>
          <w:szCs w:val="22"/>
        </w:rPr>
        <w:t xml:space="preserve"> both</w:t>
      </w:r>
      <w:r w:rsidR="00CA02D0">
        <w:rPr>
          <w:rFonts w:cs="Arial"/>
          <w:sz w:val="22"/>
          <w:szCs w:val="22"/>
        </w:rPr>
        <w:t xml:space="preserve"> acknowledged </w:t>
      </w:r>
      <w:r w:rsidR="000F3357" w:rsidRPr="00F673BE">
        <w:rPr>
          <w:rFonts w:cs="Arial"/>
          <w:sz w:val="22"/>
          <w:szCs w:val="22"/>
        </w:rPr>
        <w:t xml:space="preserve">needed to be managed.  Our contention is that the Appraisal Committee’s decision to </w:t>
      </w:r>
      <w:r w:rsidR="00FC3CC0">
        <w:rPr>
          <w:rFonts w:cs="Arial"/>
          <w:sz w:val="22"/>
          <w:szCs w:val="22"/>
        </w:rPr>
        <w:t xml:space="preserve">include </w:t>
      </w:r>
      <w:r w:rsidR="000F3357" w:rsidRPr="00F673BE">
        <w:rPr>
          <w:rFonts w:cs="Arial"/>
          <w:sz w:val="22"/>
          <w:szCs w:val="22"/>
        </w:rPr>
        <w:t xml:space="preserve">unadjusted figures in its analysis was inappropriate and the technical submissions we made in </w:t>
      </w:r>
      <w:r w:rsidR="00FC3CC0">
        <w:rPr>
          <w:rFonts w:cs="Arial"/>
          <w:sz w:val="22"/>
          <w:szCs w:val="22"/>
        </w:rPr>
        <w:t xml:space="preserve">this </w:t>
      </w:r>
      <w:r w:rsidR="00715686">
        <w:rPr>
          <w:rFonts w:cs="Arial"/>
          <w:sz w:val="22"/>
          <w:szCs w:val="22"/>
        </w:rPr>
        <w:t xml:space="preserve">regard </w:t>
      </w:r>
      <w:r w:rsidR="00FC3CC0">
        <w:rPr>
          <w:rFonts w:cs="Arial"/>
          <w:sz w:val="22"/>
          <w:szCs w:val="22"/>
        </w:rPr>
        <w:t>were not properly addressed</w:t>
      </w:r>
      <w:r w:rsidR="000F3357" w:rsidRPr="00F673BE">
        <w:rPr>
          <w:rFonts w:cs="Arial"/>
          <w:sz w:val="22"/>
          <w:szCs w:val="22"/>
        </w:rPr>
        <w:t>.  As such, the Appraisal Committee’s approach could not be considered reasonably justifiable.</w:t>
      </w:r>
    </w:p>
    <w:p w14:paraId="16595289" w14:textId="7BC0028C" w:rsidR="00067B23" w:rsidRDefault="00067B23" w:rsidP="00F673BE">
      <w:pPr>
        <w:jc w:val="both"/>
        <w:rPr>
          <w:sz w:val="22"/>
          <w:szCs w:val="22"/>
        </w:rPr>
      </w:pPr>
    </w:p>
    <w:p w14:paraId="102EAF38" w14:textId="2E77B0B2" w:rsidR="00067B23" w:rsidRDefault="00067B23" w:rsidP="00F673BE">
      <w:pPr>
        <w:jc w:val="both"/>
        <w:rPr>
          <w:sz w:val="22"/>
          <w:szCs w:val="22"/>
        </w:rPr>
      </w:pPr>
      <w:r>
        <w:rPr>
          <w:sz w:val="22"/>
          <w:szCs w:val="22"/>
        </w:rPr>
        <w:t>We thank you in advance for considering our further observations and look forward to hearing from you.</w:t>
      </w:r>
    </w:p>
    <w:p w14:paraId="79F8550D" w14:textId="77777777" w:rsidR="00DA01FD" w:rsidRDefault="00DA01FD" w:rsidP="00F673BE">
      <w:pPr>
        <w:jc w:val="both"/>
        <w:rPr>
          <w:sz w:val="22"/>
          <w:szCs w:val="22"/>
        </w:rPr>
      </w:pPr>
    </w:p>
    <w:p w14:paraId="14AB23FD" w14:textId="2EFEA478" w:rsidR="00067B23" w:rsidRDefault="00067B23" w:rsidP="00F673BE">
      <w:pPr>
        <w:jc w:val="both"/>
        <w:rPr>
          <w:sz w:val="22"/>
          <w:szCs w:val="22"/>
        </w:rPr>
      </w:pPr>
      <w:r>
        <w:rPr>
          <w:sz w:val="22"/>
          <w:szCs w:val="22"/>
        </w:rPr>
        <w:t>Yours sincerely</w:t>
      </w:r>
    </w:p>
    <w:p w14:paraId="12307D8F" w14:textId="694D98F5" w:rsidR="00FF65E0" w:rsidRDefault="00FF65E0" w:rsidP="00F673BE">
      <w:pPr>
        <w:jc w:val="both"/>
        <w:rPr>
          <w:sz w:val="22"/>
          <w:szCs w:val="22"/>
        </w:rPr>
      </w:pPr>
    </w:p>
    <w:p w14:paraId="60F1F02E" w14:textId="3C97F43F" w:rsidR="00FF65E0" w:rsidRDefault="00FF65E0" w:rsidP="00F673BE">
      <w:pPr>
        <w:jc w:val="both"/>
        <w:rPr>
          <w:sz w:val="22"/>
          <w:szCs w:val="22"/>
        </w:rPr>
      </w:pPr>
    </w:p>
    <w:p w14:paraId="2C81DF11" w14:textId="430C1273" w:rsidR="00FF65E0" w:rsidRDefault="00FF65E0" w:rsidP="00F673BE">
      <w:pPr>
        <w:jc w:val="both"/>
        <w:rPr>
          <w:sz w:val="22"/>
          <w:szCs w:val="22"/>
        </w:rPr>
      </w:pPr>
    </w:p>
    <w:p w14:paraId="6D815C9E" w14:textId="77777777" w:rsidR="00753E7E" w:rsidRDefault="00753E7E" w:rsidP="00753E7E">
      <w:pPr>
        <w:jc w:val="both"/>
        <w:rPr>
          <w:sz w:val="22"/>
          <w:szCs w:val="22"/>
        </w:rPr>
      </w:pPr>
    </w:p>
    <w:p w14:paraId="54276F52" w14:textId="1BF585BD" w:rsidR="00753E7E" w:rsidRPr="003B575E" w:rsidRDefault="00D4301B" w:rsidP="00753E7E">
      <w:pPr>
        <w:jc w:val="both"/>
        <w:rPr>
          <w:sz w:val="22"/>
          <w:szCs w:val="22"/>
          <w:highlight w:val="black"/>
        </w:rPr>
      </w:pPr>
      <w:r w:rsidRPr="00D4301B">
        <w:rPr>
          <w:sz w:val="22"/>
          <w:szCs w:val="22"/>
          <w:highlight w:val="black"/>
        </w:rPr>
        <w:t xml:space="preserve">XXX </w:t>
      </w:r>
      <w:proofErr w:type="spellStart"/>
      <w:r w:rsidRPr="003B575E">
        <w:rPr>
          <w:sz w:val="22"/>
          <w:szCs w:val="22"/>
          <w:highlight w:val="black"/>
        </w:rPr>
        <w:t>XXX</w:t>
      </w:r>
      <w:proofErr w:type="spellEnd"/>
    </w:p>
    <w:p w14:paraId="774D27CB" w14:textId="77777777" w:rsidR="00753E7E" w:rsidRPr="003B575E" w:rsidRDefault="00753E7E" w:rsidP="00753E7E">
      <w:pPr>
        <w:jc w:val="both"/>
        <w:rPr>
          <w:sz w:val="22"/>
          <w:szCs w:val="22"/>
          <w:highlight w:val="black"/>
        </w:rPr>
      </w:pPr>
    </w:p>
    <w:p w14:paraId="2F5BCC23" w14:textId="2F578B1C" w:rsidR="00892063" w:rsidRPr="00BB79F9" w:rsidRDefault="00D4301B" w:rsidP="00BB79F9">
      <w:pPr>
        <w:jc w:val="both"/>
        <w:rPr>
          <w:sz w:val="22"/>
          <w:szCs w:val="22"/>
        </w:rPr>
      </w:pPr>
      <w:r w:rsidRPr="003B575E">
        <w:rPr>
          <w:sz w:val="22"/>
          <w:szCs w:val="22"/>
          <w:highlight w:val="black"/>
        </w:rPr>
        <w:t>XXXXXXXXXXXX</w:t>
      </w:r>
    </w:p>
    <w:sectPr w:rsidR="00892063" w:rsidRPr="00BB79F9" w:rsidSect="00F21E19">
      <w:headerReference w:type="first" r:id="rId11"/>
      <w:footerReference w:type="first" r:id="rId12"/>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CA05A" w14:textId="77777777" w:rsidR="008E7297" w:rsidRDefault="008E7297" w:rsidP="00BF44A2">
      <w:r>
        <w:separator/>
      </w:r>
    </w:p>
  </w:endnote>
  <w:endnote w:type="continuationSeparator" w:id="0">
    <w:p w14:paraId="7A76EFF0" w14:textId="77777777" w:rsidR="008E7297" w:rsidRDefault="008E7297" w:rsidP="00BF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7E244" w14:textId="4D9D98E1" w:rsidR="00783494" w:rsidRDefault="00FF35DF">
    <w:pPr>
      <w:pStyle w:val="Footer"/>
    </w:pPr>
    <w:r>
      <w:rPr>
        <w:noProof/>
        <w:sz w:val="20"/>
        <w:lang w:eastAsia="en-GB"/>
      </w:rPr>
      <mc:AlternateContent>
        <mc:Choice Requires="wps">
          <w:drawing>
            <wp:anchor distT="0" distB="0" distL="114300" distR="114300" simplePos="0" relativeHeight="251663360" behindDoc="0" locked="0" layoutInCell="1" allowOverlap="1" wp14:anchorId="4D4CC682" wp14:editId="5D3D8533">
              <wp:simplePos x="0" y="0"/>
              <wp:positionH relativeFrom="column">
                <wp:posOffset>0</wp:posOffset>
              </wp:positionH>
              <wp:positionV relativeFrom="paragraph">
                <wp:posOffset>0</wp:posOffset>
              </wp:positionV>
              <wp:extent cx="2743200" cy="45720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18D0E" w14:textId="1C2BCEFF" w:rsidR="00FF35DF" w:rsidRDefault="00FF35DF" w:rsidP="00FF35DF">
                          <w:pPr>
                            <w:pStyle w:val="ImanageFooter"/>
                          </w:pPr>
                          <w:r>
                            <w:t>EMEA: 1524446-1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CC682" id="_x0000_t202" coordsize="21600,21600" o:spt="202" path="m,l,21600r21600,l21600,xe">
              <v:stroke joinstyle="miter"/>
              <v:path gradientshapeok="t" o:connecttype="rect"/>
            </v:shapetype>
            <v:shape id="IMFooterFirst1" o:spid="_x0000_s1027" type="#_x0000_t202" style="position:absolute;margin-left:0;margin-top:0;width:3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" filled="f" stroked="f">
              <v:textbox inset="0,0,0,0">
                <w:txbxContent>
                  <w:p w14:paraId="2FF18D0E" w14:textId="1C2BCEFF" w:rsidR="00FF35DF" w:rsidRDefault="00FF35DF" w:rsidP="00FF35DF">
                    <w:pPr>
                      <w:pStyle w:val="ImanageFooter"/>
                    </w:pPr>
                    <w:r>
                      <w:t>EMEA: 1524446-1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CF5A3" w14:textId="77777777" w:rsidR="008E7297" w:rsidRDefault="008E7297" w:rsidP="00BF44A2">
      <w:r>
        <w:separator/>
      </w:r>
    </w:p>
  </w:footnote>
  <w:footnote w:type="continuationSeparator" w:id="0">
    <w:p w14:paraId="13DD8B00" w14:textId="77777777" w:rsidR="008E7297" w:rsidRPr="00BF44A2" w:rsidRDefault="008E7297" w:rsidP="00BF44A2">
      <w:r>
        <w:separator/>
      </w:r>
    </w:p>
  </w:footnote>
  <w:footnote w:type="continuationNotice" w:id="1">
    <w:p w14:paraId="31FE600A" w14:textId="77777777" w:rsidR="008E7297" w:rsidRDefault="008E7297">
      <w:r>
        <w:t>(continued…)</w:t>
      </w:r>
    </w:p>
  </w:footnote>
  <w:footnote w:id="2">
    <w:p w14:paraId="7EB60D30" w14:textId="6E76C61E" w:rsidR="00BE12AB" w:rsidRPr="0083594E" w:rsidRDefault="00BE12AB" w:rsidP="00BE12AB">
      <w:pPr>
        <w:pStyle w:val="FootnoteText"/>
        <w:rPr>
          <w:sz w:val="20"/>
        </w:rPr>
      </w:pPr>
      <w:r w:rsidRPr="0083594E">
        <w:rPr>
          <w:rStyle w:val="FootnoteReference"/>
          <w:sz w:val="20"/>
        </w:rPr>
        <w:footnoteRef/>
      </w:r>
      <w:r w:rsidRPr="0083594E">
        <w:rPr>
          <w:sz w:val="20"/>
        </w:rPr>
        <w:t xml:space="preserve"> </w:t>
      </w:r>
      <w:r w:rsidRPr="0083594E">
        <w:rPr>
          <w:i/>
          <w:sz w:val="20"/>
        </w:rPr>
        <w:t>Guide to the technology appraisal and highly specialised technologies appeal process</w:t>
      </w:r>
      <w:r w:rsidR="00F541C2">
        <w:rPr>
          <w:i/>
          <w:sz w:val="20"/>
        </w:rPr>
        <w:t xml:space="preserve"> </w:t>
      </w:r>
      <w:r w:rsidRPr="0083594E">
        <w:rPr>
          <w:i/>
          <w:sz w:val="20"/>
        </w:rPr>
        <w:t xml:space="preserve">-- </w:t>
      </w:r>
      <w:proofErr w:type="spellStart"/>
      <w:r w:rsidRPr="0083594E">
        <w:rPr>
          <w:i/>
          <w:sz w:val="20"/>
        </w:rPr>
        <w:t>Process</w:t>
      </w:r>
      <w:proofErr w:type="spellEnd"/>
      <w:r w:rsidRPr="0083594E">
        <w:rPr>
          <w:i/>
          <w:sz w:val="20"/>
        </w:rPr>
        <w:t xml:space="preserve"> and methods [PMG18]</w:t>
      </w:r>
    </w:p>
  </w:footnote>
  <w:footnote w:id="3">
    <w:p w14:paraId="2924D4EA" w14:textId="77777777" w:rsidR="00EA0F08" w:rsidRPr="0083594E" w:rsidRDefault="00EA0F08" w:rsidP="00EA0F08">
      <w:pPr>
        <w:pStyle w:val="FootnoteText"/>
        <w:rPr>
          <w:sz w:val="20"/>
        </w:rPr>
      </w:pPr>
      <w:r w:rsidRPr="0083594E">
        <w:rPr>
          <w:rStyle w:val="FootnoteReference"/>
          <w:sz w:val="20"/>
        </w:rPr>
        <w:footnoteRef/>
      </w:r>
      <w:r w:rsidRPr="0083594E">
        <w:rPr>
          <w:sz w:val="20"/>
        </w:rPr>
        <w:t xml:space="preserve"> </w:t>
      </w:r>
      <w:proofErr w:type="spellStart"/>
      <w:r w:rsidRPr="0083594E">
        <w:rPr>
          <w:i/>
          <w:sz w:val="20"/>
        </w:rPr>
        <w:t>Scialacqua</w:t>
      </w:r>
      <w:proofErr w:type="spellEnd"/>
      <w:r w:rsidRPr="0083594E">
        <w:rPr>
          <w:i/>
          <w:sz w:val="20"/>
        </w:rPr>
        <w:t xml:space="preserve"> v Italy </w:t>
      </w:r>
      <w:r w:rsidRPr="0083594E">
        <w:rPr>
          <w:sz w:val="20"/>
        </w:rPr>
        <w:t xml:space="preserve">DR 81, 35, </w:t>
      </w:r>
      <w:proofErr w:type="spellStart"/>
      <w:r w:rsidRPr="0083594E">
        <w:rPr>
          <w:i/>
          <w:color w:val="000000"/>
          <w:sz w:val="20"/>
        </w:rPr>
        <w:t>Pentiacova</w:t>
      </w:r>
      <w:proofErr w:type="spellEnd"/>
      <w:r w:rsidRPr="0083594E">
        <w:rPr>
          <w:i/>
          <w:color w:val="000000"/>
          <w:sz w:val="20"/>
        </w:rPr>
        <w:t xml:space="preserve"> v Moldova</w:t>
      </w:r>
      <w:r w:rsidRPr="0083594E">
        <w:rPr>
          <w:sz w:val="20"/>
        </w:rPr>
        <w:t xml:space="preserve"> </w:t>
      </w:r>
      <w:r w:rsidRPr="0083594E">
        <w:rPr>
          <w:color w:val="000000"/>
          <w:sz w:val="20"/>
        </w:rPr>
        <w:t>14462/03</w:t>
      </w:r>
      <w:r w:rsidRPr="0083594E">
        <w:rPr>
          <w:sz w:val="20"/>
        </w:rPr>
        <w:t xml:space="preserve"> and </w:t>
      </w:r>
      <w:r w:rsidRPr="0083594E">
        <w:rPr>
          <w:i/>
          <w:sz w:val="20"/>
        </w:rPr>
        <w:t xml:space="preserve">NHS Trust A v M </w:t>
      </w:r>
      <w:r w:rsidRPr="0083594E">
        <w:rPr>
          <w:sz w:val="20"/>
        </w:rPr>
        <w:t>[2001] Fam 348</w:t>
      </w:r>
    </w:p>
  </w:footnote>
  <w:footnote w:id="4">
    <w:p w14:paraId="0508CCD5" w14:textId="77777777" w:rsidR="00EA0F08" w:rsidRDefault="00EA0F08" w:rsidP="00EA0F08">
      <w:pPr>
        <w:pStyle w:val="FootnoteText"/>
      </w:pPr>
      <w:r w:rsidRPr="0083594E">
        <w:rPr>
          <w:rStyle w:val="FootnoteReference"/>
          <w:sz w:val="20"/>
        </w:rPr>
        <w:footnoteRef/>
      </w:r>
      <w:r w:rsidRPr="0083594E">
        <w:rPr>
          <w:sz w:val="20"/>
        </w:rPr>
        <w:t xml:space="preserve"> </w:t>
      </w:r>
      <w:proofErr w:type="spellStart"/>
      <w:r w:rsidRPr="0083594E">
        <w:rPr>
          <w:i/>
          <w:color w:val="000000"/>
          <w:sz w:val="20"/>
        </w:rPr>
        <w:t>Pentiacova</w:t>
      </w:r>
      <w:proofErr w:type="spellEnd"/>
      <w:r w:rsidRPr="0083594E">
        <w:rPr>
          <w:i/>
          <w:color w:val="000000"/>
          <w:sz w:val="20"/>
        </w:rPr>
        <w:t xml:space="preserve"> v Moldova</w:t>
      </w:r>
      <w:r w:rsidRPr="0083594E">
        <w:rPr>
          <w:sz w:val="20"/>
        </w:rPr>
        <w:t xml:space="preserve"> </w:t>
      </w:r>
      <w:r w:rsidRPr="0083594E">
        <w:rPr>
          <w:color w:val="000000"/>
          <w:sz w:val="20"/>
        </w:rPr>
        <w:t>14462/03</w:t>
      </w:r>
    </w:p>
  </w:footnote>
  <w:footnote w:id="5">
    <w:p w14:paraId="3DA6C738" w14:textId="77777777" w:rsidR="00011C08" w:rsidRPr="0083594E" w:rsidRDefault="00011C08">
      <w:pPr>
        <w:pStyle w:val="FootnoteText"/>
        <w:rPr>
          <w:sz w:val="20"/>
        </w:rPr>
      </w:pPr>
      <w:r w:rsidRPr="0083594E">
        <w:rPr>
          <w:rStyle w:val="FootnoteReference"/>
          <w:sz w:val="20"/>
        </w:rPr>
        <w:footnoteRef/>
      </w:r>
      <w:r w:rsidRPr="0083594E">
        <w:rPr>
          <w:sz w:val="20"/>
        </w:rPr>
        <w:t xml:space="preserve"> To clarify, a cancer diagnosis in and of itself falls within the definition of a “disability” under the Equality Act (see: </w:t>
      </w:r>
      <w:hyperlink r:id="rId1" w:history="1">
        <w:r w:rsidRPr="0083594E">
          <w:rPr>
            <w:rStyle w:val="Hyperlink"/>
            <w:sz w:val="20"/>
          </w:rPr>
          <w:t>https://www.gov.uk/definition-of-disability-under-equality-act-2010</w:t>
        </w:r>
      </w:hyperlink>
      <w:r w:rsidRPr="0083594E">
        <w:rPr>
          <w:sz w:val="20"/>
        </w:rPr>
        <w:t xml:space="preserve">) </w:t>
      </w:r>
    </w:p>
  </w:footnote>
  <w:footnote w:id="6">
    <w:p w14:paraId="7ABCAE99" w14:textId="0EA9D6A9" w:rsidR="00654647" w:rsidRPr="0083594E" w:rsidRDefault="00654647" w:rsidP="00654647">
      <w:pPr>
        <w:pStyle w:val="FootnoteText"/>
        <w:rPr>
          <w:sz w:val="20"/>
        </w:rPr>
      </w:pPr>
      <w:r w:rsidRPr="0083594E">
        <w:rPr>
          <w:rStyle w:val="FootnoteReference"/>
          <w:sz w:val="20"/>
        </w:rPr>
        <w:footnoteRef/>
      </w:r>
      <w:r w:rsidR="00B63344">
        <w:rPr>
          <w:sz w:val="20"/>
        </w:rPr>
        <w:t xml:space="preserve"> See, </w:t>
      </w:r>
      <w:r w:rsidR="00B63344" w:rsidRPr="00B63344">
        <w:rPr>
          <w:i/>
          <w:sz w:val="20"/>
        </w:rPr>
        <w:t>e.g.</w:t>
      </w:r>
      <w:r w:rsidR="00B63344">
        <w:rPr>
          <w:sz w:val="20"/>
        </w:rPr>
        <w:t xml:space="preserve">, </w:t>
      </w:r>
      <w:r w:rsidR="00B63344" w:rsidRPr="00B63344">
        <w:rPr>
          <w:i/>
          <w:sz w:val="20"/>
        </w:rPr>
        <w:t xml:space="preserve">R (L and others) v </w:t>
      </w:r>
      <w:r w:rsidRPr="00B63344">
        <w:rPr>
          <w:i/>
          <w:sz w:val="20"/>
        </w:rPr>
        <w:t>Manchester City Council</w:t>
      </w:r>
      <w:r w:rsidRPr="0083594E">
        <w:rPr>
          <w:sz w:val="20"/>
        </w:rPr>
        <w:t xml:space="preserve"> </w:t>
      </w:r>
      <w:r w:rsidRPr="0083594E">
        <w:rPr>
          <w:bCs/>
          <w:sz w:val="20"/>
        </w:rPr>
        <w:t>[2001] EWHC 707 (Admin)</w:t>
      </w:r>
    </w:p>
  </w:footnote>
  <w:footnote w:id="7">
    <w:p w14:paraId="197831C9" w14:textId="5BFD59E8" w:rsidR="008C285D" w:rsidRPr="0083594E" w:rsidRDefault="008C285D">
      <w:pPr>
        <w:pStyle w:val="FootnoteText"/>
        <w:rPr>
          <w:sz w:val="20"/>
        </w:rPr>
      </w:pPr>
      <w:r w:rsidRPr="0083594E">
        <w:rPr>
          <w:rStyle w:val="FootnoteReference"/>
          <w:sz w:val="20"/>
        </w:rPr>
        <w:footnoteRef/>
      </w:r>
      <w:r w:rsidRPr="0083594E">
        <w:rPr>
          <w:sz w:val="20"/>
        </w:rPr>
        <w:t xml:space="preserve"> </w:t>
      </w:r>
      <w:r w:rsidRPr="0083594E">
        <w:rPr>
          <w:i/>
          <w:sz w:val="20"/>
        </w:rPr>
        <w:t>See</w:t>
      </w:r>
      <w:r w:rsidRPr="0083594E">
        <w:rPr>
          <w:sz w:val="20"/>
        </w:rPr>
        <w:t xml:space="preserve">, </w:t>
      </w:r>
      <w:r w:rsidRPr="0083594E">
        <w:rPr>
          <w:i/>
          <w:sz w:val="20"/>
        </w:rPr>
        <w:t>e.g.</w:t>
      </w:r>
      <w:r w:rsidRPr="0083594E">
        <w:rPr>
          <w:sz w:val="20"/>
        </w:rPr>
        <w:t xml:space="preserve">, </w:t>
      </w:r>
      <w:proofErr w:type="spellStart"/>
      <w:r w:rsidRPr="00B63344">
        <w:rPr>
          <w:i/>
          <w:sz w:val="20"/>
        </w:rPr>
        <w:t>Petrovic</w:t>
      </w:r>
      <w:proofErr w:type="spellEnd"/>
      <w:r w:rsidRPr="00B63344">
        <w:rPr>
          <w:i/>
          <w:sz w:val="20"/>
        </w:rPr>
        <w:t xml:space="preserve"> v Austria</w:t>
      </w:r>
      <w:r w:rsidRPr="0083594E">
        <w:rPr>
          <w:sz w:val="20"/>
        </w:rPr>
        <w:t xml:space="preserve"> (2001) 33 EHRR 307, 318, 319, paras</w:t>
      </w:r>
      <w:r w:rsidR="00B63344">
        <w:rPr>
          <w:sz w:val="20"/>
        </w:rPr>
        <w:t>. 22, 28</w:t>
      </w:r>
    </w:p>
  </w:footnote>
  <w:footnote w:id="8">
    <w:p w14:paraId="331AAB56" w14:textId="14FC17D6" w:rsidR="00BB05AC" w:rsidRPr="0083594E" w:rsidRDefault="00BB05AC">
      <w:pPr>
        <w:pStyle w:val="FootnoteText"/>
        <w:rPr>
          <w:sz w:val="20"/>
        </w:rPr>
      </w:pPr>
      <w:r w:rsidRPr="0083594E">
        <w:rPr>
          <w:rStyle w:val="FootnoteReference"/>
          <w:sz w:val="20"/>
        </w:rPr>
        <w:footnoteRef/>
      </w:r>
      <w:r w:rsidR="003D6A90" w:rsidRPr="0083594E">
        <w:rPr>
          <w:sz w:val="20"/>
        </w:rPr>
        <w:t xml:space="preserve"> </w:t>
      </w:r>
      <w:r w:rsidR="003D6A90" w:rsidRPr="0083594E">
        <w:rPr>
          <w:i/>
          <w:sz w:val="20"/>
        </w:rPr>
        <w:t>See</w:t>
      </w:r>
      <w:r w:rsidR="003D6A90" w:rsidRPr="0083594E">
        <w:rPr>
          <w:sz w:val="20"/>
        </w:rPr>
        <w:t xml:space="preserve">, </w:t>
      </w:r>
      <w:r w:rsidR="003D6A90" w:rsidRPr="0083594E">
        <w:rPr>
          <w:i/>
          <w:sz w:val="20"/>
        </w:rPr>
        <w:t>e.g.</w:t>
      </w:r>
      <w:r w:rsidR="00B63344">
        <w:rPr>
          <w:sz w:val="20"/>
        </w:rPr>
        <w:t xml:space="preserve">, </w:t>
      </w:r>
      <w:r w:rsidR="00B63344" w:rsidRPr="00B63344">
        <w:rPr>
          <w:i/>
          <w:sz w:val="20"/>
        </w:rPr>
        <w:t xml:space="preserve">R (L and others) v </w:t>
      </w:r>
      <w:r w:rsidR="003D6A90" w:rsidRPr="00B63344">
        <w:rPr>
          <w:i/>
          <w:sz w:val="20"/>
        </w:rPr>
        <w:t>Manchester City Council</w:t>
      </w:r>
      <w:r w:rsidR="003D6A90" w:rsidRPr="0083594E">
        <w:rPr>
          <w:sz w:val="20"/>
        </w:rPr>
        <w:t xml:space="preserve"> </w:t>
      </w:r>
      <w:r w:rsidR="003D6A90" w:rsidRPr="0083594E">
        <w:rPr>
          <w:bCs/>
          <w:sz w:val="20"/>
        </w:rPr>
        <w:t>[2001] EWHC 707 (Admin)</w:t>
      </w:r>
    </w:p>
  </w:footnote>
  <w:footnote w:id="9">
    <w:p w14:paraId="212BC861" w14:textId="4881E0D3" w:rsidR="004D1B0E" w:rsidRDefault="004D1B0E">
      <w:pPr>
        <w:pStyle w:val="FootnoteText"/>
      </w:pPr>
      <w:r w:rsidRPr="0083594E">
        <w:rPr>
          <w:rStyle w:val="FootnoteReference"/>
          <w:sz w:val="20"/>
        </w:rPr>
        <w:footnoteRef/>
      </w:r>
      <w:r w:rsidRPr="0083594E">
        <w:rPr>
          <w:sz w:val="20"/>
        </w:rPr>
        <w:t xml:space="preserve"> </w:t>
      </w:r>
      <w:r w:rsidRPr="0083594E">
        <w:rPr>
          <w:i/>
          <w:sz w:val="20"/>
        </w:rPr>
        <w:t>Id.</w:t>
      </w:r>
      <w:r w:rsidRPr="0083594E">
        <w:rPr>
          <w:sz w:val="20"/>
        </w:rPr>
        <w:t>, para</w:t>
      </w:r>
      <w:r w:rsidR="00B63344">
        <w:rPr>
          <w:sz w:val="20"/>
        </w:rPr>
        <w:t>.</w:t>
      </w:r>
      <w:r w:rsidRPr="0083594E">
        <w:rPr>
          <w:sz w:val="20"/>
        </w:rPr>
        <w:t xml:space="preserve"> 94</w:t>
      </w:r>
    </w:p>
  </w:footnote>
  <w:footnote w:id="10">
    <w:p w14:paraId="3642511B" w14:textId="02AD2C1C" w:rsidR="00393D62" w:rsidRPr="0083594E" w:rsidRDefault="00393D62" w:rsidP="00393D62">
      <w:pPr>
        <w:pStyle w:val="FootnoteText"/>
        <w:rPr>
          <w:sz w:val="20"/>
        </w:rPr>
      </w:pPr>
      <w:r w:rsidRPr="0083594E">
        <w:rPr>
          <w:rStyle w:val="FootnoteReference"/>
          <w:sz w:val="20"/>
        </w:rPr>
        <w:footnoteRef/>
      </w:r>
      <w:r w:rsidRPr="0083594E">
        <w:rPr>
          <w:sz w:val="20"/>
        </w:rPr>
        <w:t xml:space="preserve"> </w:t>
      </w:r>
      <w:r w:rsidR="00B63344">
        <w:rPr>
          <w:i/>
          <w:sz w:val="20"/>
        </w:rPr>
        <w:t xml:space="preserve">R </w:t>
      </w:r>
      <w:r w:rsidRPr="00B63344">
        <w:rPr>
          <w:i/>
          <w:sz w:val="20"/>
        </w:rPr>
        <w:t>(</w:t>
      </w:r>
      <w:proofErr w:type="spellStart"/>
      <w:r w:rsidRPr="00B63344">
        <w:rPr>
          <w:i/>
          <w:sz w:val="20"/>
        </w:rPr>
        <w:t>otao</w:t>
      </w:r>
      <w:proofErr w:type="spellEnd"/>
      <w:r w:rsidRPr="00B63344">
        <w:rPr>
          <w:i/>
          <w:sz w:val="20"/>
        </w:rPr>
        <w:t xml:space="preserve"> Rose) v Thanet CCG</w:t>
      </w:r>
      <w:r w:rsidRPr="0083594E">
        <w:rPr>
          <w:sz w:val="20"/>
        </w:rPr>
        <w:t xml:space="preserve"> [2014] EWHC 1182 (Admin)</w:t>
      </w:r>
    </w:p>
  </w:footnote>
  <w:footnote w:id="11">
    <w:p w14:paraId="292E5366" w14:textId="77777777" w:rsidR="00393D62" w:rsidRPr="0083594E" w:rsidRDefault="00393D62" w:rsidP="00393D62">
      <w:pPr>
        <w:pStyle w:val="FootnoteText"/>
        <w:rPr>
          <w:sz w:val="20"/>
        </w:rPr>
      </w:pPr>
      <w:r w:rsidRPr="0083594E">
        <w:rPr>
          <w:rStyle w:val="FootnoteReference"/>
          <w:sz w:val="20"/>
        </w:rPr>
        <w:footnoteRef/>
      </w:r>
      <w:r w:rsidRPr="0083594E">
        <w:rPr>
          <w:sz w:val="20"/>
        </w:rPr>
        <w:t xml:space="preserve"> </w:t>
      </w:r>
      <w:r w:rsidRPr="0083594E">
        <w:rPr>
          <w:i/>
          <w:sz w:val="20"/>
        </w:rPr>
        <w:t>Id.</w:t>
      </w:r>
    </w:p>
  </w:footnote>
  <w:footnote w:id="12">
    <w:p w14:paraId="71423AAE" w14:textId="77777777" w:rsidR="00393D62" w:rsidRDefault="00393D62" w:rsidP="00393D62">
      <w:pPr>
        <w:pStyle w:val="FootnoteText"/>
      </w:pPr>
      <w:r w:rsidRPr="0083594E">
        <w:rPr>
          <w:rStyle w:val="FootnoteReference"/>
          <w:sz w:val="20"/>
        </w:rPr>
        <w:footnoteRef/>
      </w:r>
      <w:r w:rsidRPr="0083594E">
        <w:rPr>
          <w:sz w:val="20"/>
        </w:rPr>
        <w:t xml:space="preserve"> </w:t>
      </w:r>
      <w:r w:rsidRPr="0083594E">
        <w:rPr>
          <w:i/>
          <w:sz w:val="20"/>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311B" w14:textId="77777777" w:rsidR="00A603FD" w:rsidRPr="0060014B" w:rsidRDefault="00A603FD" w:rsidP="00A603FD">
    <w:pPr>
      <w:rPr>
        <w:sz w:val="8"/>
      </w:rPr>
    </w:pPr>
    <w:r>
      <w:rPr>
        <w:noProof/>
        <w:sz w:val="8"/>
        <w:lang w:eastAsia="en-GB"/>
      </w:rPr>
      <mc:AlternateContent>
        <mc:Choice Requires="wps">
          <w:drawing>
            <wp:anchor distT="0" distB="0" distL="114300" distR="114300" simplePos="0" relativeHeight="251666432" behindDoc="0" locked="0" layoutInCell="1" allowOverlap="1" wp14:anchorId="350B84A5" wp14:editId="15EC6B63">
              <wp:simplePos x="0" y="0"/>
              <wp:positionH relativeFrom="column">
                <wp:posOffset>3921125</wp:posOffset>
              </wp:positionH>
              <wp:positionV relativeFrom="paragraph">
                <wp:posOffset>1134110</wp:posOffset>
              </wp:positionV>
              <wp:extent cx="1847850" cy="932815"/>
              <wp:effectExtent l="0" t="0" r="6350" b="6985"/>
              <wp:wrapTight wrapText="bothSides">
                <wp:wrapPolygon edited="0">
                  <wp:start x="0" y="0"/>
                  <wp:lineTo x="0" y="21174"/>
                  <wp:lineTo x="21377" y="21174"/>
                  <wp:lineTo x="21377"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932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EFB896" w14:textId="77777777" w:rsidR="00A603FD" w:rsidRDefault="00A603FD" w:rsidP="00A603FD">
                          <w:pPr>
                            <w:pStyle w:val="Merckbodycopy"/>
                          </w:pPr>
                          <w:r>
                            <w:t xml:space="preserve">Hertford Road, Hoddesdon, </w:t>
                          </w:r>
                        </w:p>
                        <w:p w14:paraId="3B893805" w14:textId="77777777" w:rsidR="00A603FD" w:rsidRDefault="00A603FD" w:rsidP="00A603FD">
                          <w:pPr>
                            <w:pStyle w:val="Merckbodycopy"/>
                          </w:pPr>
                          <w:r>
                            <w:t>Herts EN11 9BU</w:t>
                          </w:r>
                        </w:p>
                        <w:p w14:paraId="1A36F661" w14:textId="77777777" w:rsidR="00A603FD" w:rsidRPr="00717891" w:rsidRDefault="00A603FD" w:rsidP="00A603FD">
                          <w:pPr>
                            <w:pStyle w:val="Merckbodycopy"/>
                          </w:pPr>
                          <w:r>
                            <w:t>T: 01992 467272</w:t>
                          </w:r>
                        </w:p>
                        <w:p w14:paraId="4996A38E" w14:textId="77777777" w:rsidR="00A603FD" w:rsidRPr="00717891" w:rsidRDefault="00A603FD" w:rsidP="00A603FD">
                          <w:pPr>
                            <w:rPr>
                              <w:color w:val="000000" w:themeColor="text1"/>
                              <w:szCs w:val="20"/>
                            </w:rPr>
                          </w:pPr>
                        </w:p>
                        <w:p w14:paraId="330D60E5" w14:textId="77777777" w:rsidR="00A603FD" w:rsidRPr="00717891" w:rsidRDefault="00A603FD" w:rsidP="00A603FD">
                          <w:pPr>
                            <w:rPr>
                              <w:color w:val="00877C"/>
                              <w:szCs w:val="20"/>
                            </w:rPr>
                          </w:pPr>
                          <w:r>
                            <w:rPr>
                              <w:color w:val="00877C"/>
                              <w:szCs w:val="20"/>
                            </w:rPr>
                            <w:t>msd</w:t>
                          </w:r>
                          <w:r w:rsidRPr="00717891">
                            <w:rPr>
                              <w:color w:val="00877C"/>
                              <w:szCs w:val="20"/>
                            </w:rPr>
                            <w:t>.com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0B84A5" id="_x0000_t202" coordsize="21600,21600" o:spt="202" path="m,l,21600r21600,l21600,xe">
              <v:stroke joinstyle="miter"/>
              <v:path gradientshapeok="t" o:connecttype="rect"/>
            </v:shapetype>
            <v:shape id="Text Box 14" o:spid="_x0000_s1026" type="#_x0000_t202" style="position:absolute;margin-left:308.75pt;margin-top:89.3pt;width:145.5pt;height:7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" filled="f" stroked="f">
              <v:textbox inset="0,0,0,0">
                <w:txbxContent>
                  <w:p w14:paraId="44EFB896" w14:textId="77777777" w:rsidR="00A603FD" w:rsidRDefault="00A603FD" w:rsidP="00A603FD">
                    <w:pPr>
                      <w:pStyle w:val="Merckbodycopy"/>
                    </w:pPr>
                    <w:r>
                      <w:t xml:space="preserve">Hertford Road, Hoddesdon, </w:t>
                    </w:r>
                  </w:p>
                  <w:p w14:paraId="3B893805" w14:textId="77777777" w:rsidR="00A603FD" w:rsidRDefault="00A603FD" w:rsidP="00A603FD">
                    <w:pPr>
                      <w:pStyle w:val="Merckbodycopy"/>
                    </w:pPr>
                    <w:r>
                      <w:t>Herts EN11 9BU</w:t>
                    </w:r>
                  </w:p>
                  <w:p w14:paraId="1A36F661" w14:textId="77777777" w:rsidR="00A603FD" w:rsidRPr="00717891" w:rsidRDefault="00A603FD" w:rsidP="00A603FD">
                    <w:pPr>
                      <w:pStyle w:val="Merckbodycopy"/>
                    </w:pPr>
                    <w:r>
                      <w:t>T: 01992 467272</w:t>
                    </w:r>
                  </w:p>
                  <w:p w14:paraId="4996A38E" w14:textId="77777777" w:rsidR="00A603FD" w:rsidRPr="00717891" w:rsidRDefault="00A603FD" w:rsidP="00A603FD">
                    <w:pPr>
                      <w:rPr>
                        <w:color w:val="000000" w:themeColor="text1"/>
                        <w:szCs w:val="20"/>
                      </w:rPr>
                    </w:pPr>
                  </w:p>
                  <w:p w14:paraId="330D60E5" w14:textId="77777777" w:rsidR="00A603FD" w:rsidRPr="00717891" w:rsidRDefault="00A603FD" w:rsidP="00A603FD">
                    <w:pPr>
                      <w:rPr>
                        <w:color w:val="00877C"/>
                        <w:szCs w:val="20"/>
                      </w:rPr>
                    </w:pPr>
                    <w:r>
                      <w:rPr>
                        <w:color w:val="00877C"/>
                        <w:szCs w:val="20"/>
                      </w:rPr>
                      <w:t>msd</w:t>
                    </w:r>
                    <w:r w:rsidRPr="00717891">
                      <w:rPr>
                        <w:color w:val="00877C"/>
                        <w:szCs w:val="20"/>
                      </w:rPr>
                      <w:t>.com</w:t>
                    </w:r>
                  </w:p>
                </w:txbxContent>
              </v:textbox>
              <w10:wrap type="tight"/>
            </v:shape>
          </w:pict>
        </mc:Fallback>
      </mc:AlternateContent>
    </w:r>
    <w:r w:rsidRPr="00196DB9">
      <w:rPr>
        <w:noProof/>
        <w:sz w:val="8"/>
        <w:lang w:eastAsia="en-GB"/>
      </w:rPr>
      <w:drawing>
        <wp:anchor distT="0" distB="0" distL="114300" distR="114300" simplePos="0" relativeHeight="251665408" behindDoc="0" locked="0" layoutInCell="1" allowOverlap="1" wp14:anchorId="29E06658" wp14:editId="20C30C59">
          <wp:simplePos x="0" y="0"/>
          <wp:positionH relativeFrom="column">
            <wp:posOffset>3049954</wp:posOffset>
          </wp:positionH>
          <wp:positionV relativeFrom="paragraph">
            <wp:posOffset>35169</wp:posOffset>
          </wp:positionV>
          <wp:extent cx="2902438" cy="817685"/>
          <wp:effectExtent l="25400" t="0" r="0" b="0"/>
          <wp:wrapNone/>
          <wp:docPr id="4" name="Picture 4" descr=":::MSD I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D IFL.png"/>
                  <pic:cNvPicPr>
                    <a:picLocks noChangeAspect="1" noChangeArrowheads="1"/>
                  </pic:cNvPicPr>
                </pic:nvPicPr>
                <pic:blipFill>
                  <a:blip r:embed="rId1"/>
                  <a:srcRect/>
                  <a:stretch>
                    <a:fillRect/>
                  </a:stretch>
                </pic:blipFill>
                <pic:spPr bwMode="auto">
                  <a:xfrm>
                    <a:off x="0" y="0"/>
                    <a:ext cx="2903220" cy="817880"/>
                  </a:xfrm>
                  <a:prstGeom prst="rect">
                    <a:avLst/>
                  </a:prstGeom>
                  <a:noFill/>
                  <a:ln w="9525">
                    <a:noFill/>
                    <a:miter lim="800000"/>
                    <a:headEnd/>
                    <a:tailEnd/>
                  </a:ln>
                </pic:spPr>
              </pic:pic>
            </a:graphicData>
          </a:graphic>
        </wp:anchor>
      </w:drawing>
    </w:r>
  </w:p>
  <w:p w14:paraId="09B3772D" w14:textId="77777777" w:rsidR="00A603FD" w:rsidRDefault="00A60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9882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6A11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1C30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D095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6E1D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B62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F22A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ECD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C1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C03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A653B"/>
    <w:multiLevelType w:val="hybridMultilevel"/>
    <w:tmpl w:val="5FFCCEC0"/>
    <w:lvl w:ilvl="0" w:tplc="F476E19A">
      <w:start w:val="1"/>
      <w:numFmt w:val="decimal"/>
      <w:pStyle w:val="Numb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55679B"/>
    <w:multiLevelType w:val="multilevel"/>
    <w:tmpl w:val="E7541A2A"/>
    <w:numStyleLink w:val="ListNumbers"/>
  </w:abstractNum>
  <w:abstractNum w:abstractNumId="12" w15:restartNumberingAfterBreak="0">
    <w:nsid w:val="0A4811F7"/>
    <w:multiLevelType w:val="hybridMultilevel"/>
    <w:tmpl w:val="DF205194"/>
    <w:lvl w:ilvl="0" w:tplc="9C085498">
      <w:start w:val="1"/>
      <w:numFmt w:val="upperLetter"/>
      <w:pStyle w:val="Lett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D718F2"/>
    <w:multiLevelType w:val="hybridMultilevel"/>
    <w:tmpl w:val="515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C0369"/>
    <w:multiLevelType w:val="hybridMultilevel"/>
    <w:tmpl w:val="1EF2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960B76"/>
    <w:multiLevelType w:val="hybridMultilevel"/>
    <w:tmpl w:val="DCD2F0EA"/>
    <w:lvl w:ilvl="0" w:tplc="55062CD8">
      <w:start w:val="1"/>
      <w:numFmt w:val="upperLetter"/>
      <w:pStyle w:val="Lett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F0437"/>
    <w:multiLevelType w:val="multilevel"/>
    <w:tmpl w:val="E7541A2A"/>
    <w:styleLink w:val="ListNumbers"/>
    <w:lvl w:ilvl="0">
      <w:start w:val="1"/>
      <w:numFmt w:val="decimal"/>
      <w:pStyle w:val="ListNumber"/>
      <w:lvlText w:val="%1."/>
      <w:lvlJc w:val="left"/>
      <w:pPr>
        <w:tabs>
          <w:tab w:val="num" w:pos="360"/>
        </w:tabs>
        <w:ind w:left="360" w:hanging="360"/>
      </w:pPr>
      <w:rPr>
        <w:rFonts w:hint="default"/>
      </w:rPr>
    </w:lvl>
    <w:lvl w:ilvl="1">
      <w:start w:val="1"/>
      <w:numFmt w:val="decimal"/>
      <w:pStyle w:val="ListNumber2"/>
      <w:lvlText w:val="%2."/>
      <w:lvlJc w:val="left"/>
      <w:pPr>
        <w:tabs>
          <w:tab w:val="num" w:pos="720"/>
        </w:tabs>
        <w:ind w:left="720" w:hanging="360"/>
      </w:pPr>
      <w:rPr>
        <w:rFonts w:hint="default"/>
      </w:rPr>
    </w:lvl>
    <w:lvl w:ilvl="2">
      <w:start w:val="1"/>
      <w:numFmt w:val="decimal"/>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decimal"/>
      <w:pStyle w:val="ListNumber5"/>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2E0F3282"/>
    <w:multiLevelType w:val="multilevel"/>
    <w:tmpl w:val="371826C2"/>
    <w:styleLink w:val="CovingtonHeadings"/>
    <w:lvl w:ilvl="0">
      <w:start w:val="1"/>
      <w:numFmt w:val="upperRoman"/>
      <w:pStyle w:val="Heading1"/>
      <w:lvlText w:val="%1."/>
      <w:lvlJc w:val="left"/>
      <w:pPr>
        <w:tabs>
          <w:tab w:val="num" w:pos="720"/>
        </w:tabs>
        <w:ind w:left="720" w:hanging="720"/>
      </w:pPr>
      <w:rPr>
        <w:rFonts w:asciiTheme="majorHAnsi" w:hAnsiTheme="majorHAnsi" w:hint="default"/>
        <w:sz w:val="24"/>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8" w15:restartNumberingAfterBreak="0">
    <w:nsid w:val="37267B4C"/>
    <w:multiLevelType w:val="hybridMultilevel"/>
    <w:tmpl w:val="585C2AAC"/>
    <w:lvl w:ilvl="0" w:tplc="FC82C2EC">
      <w:start w:val="1"/>
      <w:numFmt w:val="decimal"/>
      <w:pStyle w:val="Numb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0352A"/>
    <w:multiLevelType w:val="multilevel"/>
    <w:tmpl w:val="1C28AD60"/>
    <w:styleLink w:val="ListBullets"/>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pStyle w:val="ListBullet3"/>
      <w:lvlText w:val=""/>
      <w:lvlJc w:val="left"/>
      <w:pPr>
        <w:tabs>
          <w:tab w:val="num" w:pos="1080"/>
        </w:tabs>
        <w:ind w:left="1080" w:hanging="360"/>
      </w:pPr>
      <w:rPr>
        <w:rFonts w:ascii="Symbol" w:hAnsi="Symbol" w:hint="default"/>
        <w:color w:val="auto"/>
      </w:rPr>
    </w:lvl>
    <w:lvl w:ilvl="3">
      <w:start w:val="1"/>
      <w:numFmt w:val="bullet"/>
      <w:pStyle w:val="ListBullet4"/>
      <w:lvlText w:val=""/>
      <w:lvlJc w:val="left"/>
      <w:pPr>
        <w:tabs>
          <w:tab w:val="num" w:pos="1440"/>
        </w:tabs>
        <w:ind w:left="1440" w:hanging="360"/>
      </w:pPr>
      <w:rPr>
        <w:rFonts w:ascii="Symbol" w:hAnsi="Symbol" w:hint="default"/>
        <w:color w:val="auto"/>
      </w:rPr>
    </w:lvl>
    <w:lvl w:ilvl="4">
      <w:start w:val="1"/>
      <w:numFmt w:val="bullet"/>
      <w:pStyle w:val="ListBullet5"/>
      <w:lvlText w:val=""/>
      <w:lvlJc w:val="left"/>
      <w:pPr>
        <w:tabs>
          <w:tab w:val="num" w:pos="1800"/>
        </w:tabs>
        <w:ind w:left="1800" w:hanging="360"/>
      </w:pPr>
      <w:rPr>
        <w:rFonts w:ascii="Symbol" w:hAnsi="Symbol" w:hint="default"/>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431D7889"/>
    <w:multiLevelType w:val="hybridMultilevel"/>
    <w:tmpl w:val="F026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778AC"/>
    <w:multiLevelType w:val="hybridMultilevel"/>
    <w:tmpl w:val="4074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B247CE"/>
    <w:multiLevelType w:val="hybridMultilevel"/>
    <w:tmpl w:val="C670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D1689"/>
    <w:multiLevelType w:val="hybridMultilevel"/>
    <w:tmpl w:val="8746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31461"/>
    <w:multiLevelType w:val="multilevel"/>
    <w:tmpl w:val="1C28AD60"/>
    <w:numStyleLink w:val="ListBullet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9"/>
  </w:num>
  <w:num w:numId="23">
    <w:abstractNumId w:val="16"/>
  </w:num>
  <w:num w:numId="24">
    <w:abstractNumId w:val="15"/>
  </w:num>
  <w:num w:numId="25">
    <w:abstractNumId w:val="12"/>
  </w:num>
  <w:num w:numId="26">
    <w:abstractNumId w:val="18"/>
  </w:num>
  <w:num w:numId="27">
    <w:abstractNumId w:val="10"/>
  </w:num>
  <w:num w:numId="28">
    <w:abstractNumId w:val="24"/>
  </w:num>
  <w:num w:numId="29">
    <w:abstractNumId w:val="11"/>
  </w:num>
  <w:num w:numId="30">
    <w:abstractNumId w:val="23"/>
  </w:num>
  <w:num w:numId="31">
    <w:abstractNumId w:val="21"/>
  </w:num>
  <w:num w:numId="32">
    <w:abstractNumId w:val="14"/>
  </w:num>
  <w:num w:numId="33">
    <w:abstractNumId w:val="20"/>
  </w:num>
  <w:num w:numId="34">
    <w:abstractNumId w:val="1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SortMethod w:val="0000"/>
  <w:defaultTabStop w:val="720"/>
  <w:characterSpacingControl w:val="doNotCompress"/>
  <w:hdrShapeDefaults>
    <o:shapedefaults v:ext="edit" spidmax="6553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E7297"/>
    <w:rsid w:val="00011BBC"/>
    <w:rsid w:val="00011C08"/>
    <w:rsid w:val="00012A30"/>
    <w:rsid w:val="00025B61"/>
    <w:rsid w:val="0005148D"/>
    <w:rsid w:val="000534DA"/>
    <w:rsid w:val="00054791"/>
    <w:rsid w:val="00056389"/>
    <w:rsid w:val="000613B6"/>
    <w:rsid w:val="00067B23"/>
    <w:rsid w:val="00074B40"/>
    <w:rsid w:val="00074FA5"/>
    <w:rsid w:val="00075074"/>
    <w:rsid w:val="00080627"/>
    <w:rsid w:val="0008312A"/>
    <w:rsid w:val="0008622C"/>
    <w:rsid w:val="000875F1"/>
    <w:rsid w:val="0009043D"/>
    <w:rsid w:val="000A3C03"/>
    <w:rsid w:val="000A5537"/>
    <w:rsid w:val="000B5BD7"/>
    <w:rsid w:val="000C1F4A"/>
    <w:rsid w:val="000C2F77"/>
    <w:rsid w:val="000D343D"/>
    <w:rsid w:val="000D5082"/>
    <w:rsid w:val="000E017F"/>
    <w:rsid w:val="000E51B6"/>
    <w:rsid w:val="000E72A7"/>
    <w:rsid w:val="000E75B0"/>
    <w:rsid w:val="000F3357"/>
    <w:rsid w:val="00112509"/>
    <w:rsid w:val="00113B6E"/>
    <w:rsid w:val="00113DEB"/>
    <w:rsid w:val="00114538"/>
    <w:rsid w:val="00117124"/>
    <w:rsid w:val="001255EA"/>
    <w:rsid w:val="00126230"/>
    <w:rsid w:val="00132623"/>
    <w:rsid w:val="00132C1A"/>
    <w:rsid w:val="00143BC1"/>
    <w:rsid w:val="001643DF"/>
    <w:rsid w:val="0016545C"/>
    <w:rsid w:val="00173690"/>
    <w:rsid w:val="001754E0"/>
    <w:rsid w:val="001761C2"/>
    <w:rsid w:val="00177EB4"/>
    <w:rsid w:val="001813BA"/>
    <w:rsid w:val="00182ED3"/>
    <w:rsid w:val="00184F65"/>
    <w:rsid w:val="00186815"/>
    <w:rsid w:val="0018682D"/>
    <w:rsid w:val="00186BDF"/>
    <w:rsid w:val="00194352"/>
    <w:rsid w:val="00194C63"/>
    <w:rsid w:val="00195786"/>
    <w:rsid w:val="001A12A3"/>
    <w:rsid w:val="001A4D50"/>
    <w:rsid w:val="001A69CD"/>
    <w:rsid w:val="001A79E6"/>
    <w:rsid w:val="001B364F"/>
    <w:rsid w:val="001C09B7"/>
    <w:rsid w:val="001C3DA1"/>
    <w:rsid w:val="001C5B73"/>
    <w:rsid w:val="001D1677"/>
    <w:rsid w:val="001D18FC"/>
    <w:rsid w:val="001D196C"/>
    <w:rsid w:val="001D52F3"/>
    <w:rsid w:val="001D7271"/>
    <w:rsid w:val="001D75BA"/>
    <w:rsid w:val="001E0028"/>
    <w:rsid w:val="001E1C67"/>
    <w:rsid w:val="001F6FE3"/>
    <w:rsid w:val="00201BD5"/>
    <w:rsid w:val="00202AA5"/>
    <w:rsid w:val="002034F9"/>
    <w:rsid w:val="0020626B"/>
    <w:rsid w:val="002063DC"/>
    <w:rsid w:val="002066D3"/>
    <w:rsid w:val="002105DB"/>
    <w:rsid w:val="002222FC"/>
    <w:rsid w:val="00225A68"/>
    <w:rsid w:val="00233E7F"/>
    <w:rsid w:val="002409B6"/>
    <w:rsid w:val="0024496F"/>
    <w:rsid w:val="00245A1C"/>
    <w:rsid w:val="002603AE"/>
    <w:rsid w:val="00261CE4"/>
    <w:rsid w:val="002620EE"/>
    <w:rsid w:val="0026752C"/>
    <w:rsid w:val="00275F6A"/>
    <w:rsid w:val="00277CE4"/>
    <w:rsid w:val="00280B97"/>
    <w:rsid w:val="00282BC4"/>
    <w:rsid w:val="00294B5B"/>
    <w:rsid w:val="00295D71"/>
    <w:rsid w:val="002A4F0E"/>
    <w:rsid w:val="002B1C9E"/>
    <w:rsid w:val="002B3D3B"/>
    <w:rsid w:val="002B450D"/>
    <w:rsid w:val="002B790B"/>
    <w:rsid w:val="002C675D"/>
    <w:rsid w:val="002D347A"/>
    <w:rsid w:val="002D5226"/>
    <w:rsid w:val="002F1F0E"/>
    <w:rsid w:val="002F2BB9"/>
    <w:rsid w:val="00317C01"/>
    <w:rsid w:val="003227B4"/>
    <w:rsid w:val="00324277"/>
    <w:rsid w:val="00324864"/>
    <w:rsid w:val="00326CCC"/>
    <w:rsid w:val="00332471"/>
    <w:rsid w:val="00334029"/>
    <w:rsid w:val="00341226"/>
    <w:rsid w:val="003458DF"/>
    <w:rsid w:val="003458E7"/>
    <w:rsid w:val="00364CDC"/>
    <w:rsid w:val="0038121A"/>
    <w:rsid w:val="00392AD6"/>
    <w:rsid w:val="00393D62"/>
    <w:rsid w:val="003A719B"/>
    <w:rsid w:val="003A7E9A"/>
    <w:rsid w:val="003B06AB"/>
    <w:rsid w:val="003B49FC"/>
    <w:rsid w:val="003B575E"/>
    <w:rsid w:val="003B6BD5"/>
    <w:rsid w:val="003B6EF3"/>
    <w:rsid w:val="003D05CE"/>
    <w:rsid w:val="003D6389"/>
    <w:rsid w:val="003D6A90"/>
    <w:rsid w:val="003E019C"/>
    <w:rsid w:val="003E19F9"/>
    <w:rsid w:val="003E2D35"/>
    <w:rsid w:val="003E425E"/>
    <w:rsid w:val="003E5EE1"/>
    <w:rsid w:val="003E6F0E"/>
    <w:rsid w:val="003E701C"/>
    <w:rsid w:val="003E7D1E"/>
    <w:rsid w:val="003F605C"/>
    <w:rsid w:val="0040353B"/>
    <w:rsid w:val="004038F0"/>
    <w:rsid w:val="00403A09"/>
    <w:rsid w:val="004067CC"/>
    <w:rsid w:val="0041522A"/>
    <w:rsid w:val="00424B7A"/>
    <w:rsid w:val="00425F8F"/>
    <w:rsid w:val="004317DF"/>
    <w:rsid w:val="0044590D"/>
    <w:rsid w:val="00447780"/>
    <w:rsid w:val="0045199D"/>
    <w:rsid w:val="0045580D"/>
    <w:rsid w:val="004576F8"/>
    <w:rsid w:val="00463DF8"/>
    <w:rsid w:val="004757AA"/>
    <w:rsid w:val="00477584"/>
    <w:rsid w:val="0048205C"/>
    <w:rsid w:val="004833A0"/>
    <w:rsid w:val="004874DE"/>
    <w:rsid w:val="004942D2"/>
    <w:rsid w:val="004A47A0"/>
    <w:rsid w:val="004B6C0C"/>
    <w:rsid w:val="004C18F9"/>
    <w:rsid w:val="004C2E4B"/>
    <w:rsid w:val="004D1A22"/>
    <w:rsid w:val="004D1B0E"/>
    <w:rsid w:val="004D3CFB"/>
    <w:rsid w:val="004D78B0"/>
    <w:rsid w:val="004E3C5B"/>
    <w:rsid w:val="004F15D1"/>
    <w:rsid w:val="004F1EA6"/>
    <w:rsid w:val="004F7950"/>
    <w:rsid w:val="00502CF9"/>
    <w:rsid w:val="005059CA"/>
    <w:rsid w:val="00506244"/>
    <w:rsid w:val="00511FF3"/>
    <w:rsid w:val="005148BF"/>
    <w:rsid w:val="00521327"/>
    <w:rsid w:val="00526B24"/>
    <w:rsid w:val="0053471A"/>
    <w:rsid w:val="00535DFD"/>
    <w:rsid w:val="00547904"/>
    <w:rsid w:val="00552020"/>
    <w:rsid w:val="00552648"/>
    <w:rsid w:val="00562C54"/>
    <w:rsid w:val="00567094"/>
    <w:rsid w:val="005733DA"/>
    <w:rsid w:val="00575050"/>
    <w:rsid w:val="00577A14"/>
    <w:rsid w:val="00585238"/>
    <w:rsid w:val="00587727"/>
    <w:rsid w:val="00590E64"/>
    <w:rsid w:val="005923B2"/>
    <w:rsid w:val="00595D47"/>
    <w:rsid w:val="005A3E65"/>
    <w:rsid w:val="005A4CE9"/>
    <w:rsid w:val="005A79B2"/>
    <w:rsid w:val="005B6043"/>
    <w:rsid w:val="005C493A"/>
    <w:rsid w:val="005D506D"/>
    <w:rsid w:val="005D547F"/>
    <w:rsid w:val="005E02ED"/>
    <w:rsid w:val="005E4AE0"/>
    <w:rsid w:val="005E6D62"/>
    <w:rsid w:val="005F1212"/>
    <w:rsid w:val="005F2D9B"/>
    <w:rsid w:val="005F649D"/>
    <w:rsid w:val="00600394"/>
    <w:rsid w:val="006057CC"/>
    <w:rsid w:val="00613996"/>
    <w:rsid w:val="00613C7D"/>
    <w:rsid w:val="00625EDE"/>
    <w:rsid w:val="00626DA9"/>
    <w:rsid w:val="006277E0"/>
    <w:rsid w:val="00634049"/>
    <w:rsid w:val="00636203"/>
    <w:rsid w:val="00640E70"/>
    <w:rsid w:val="006437D7"/>
    <w:rsid w:val="00654647"/>
    <w:rsid w:val="00664705"/>
    <w:rsid w:val="00667D7B"/>
    <w:rsid w:val="00672D50"/>
    <w:rsid w:val="0067584B"/>
    <w:rsid w:val="006842B0"/>
    <w:rsid w:val="00693EDA"/>
    <w:rsid w:val="00693F7A"/>
    <w:rsid w:val="00696796"/>
    <w:rsid w:val="006A46F1"/>
    <w:rsid w:val="006A5EF8"/>
    <w:rsid w:val="006A6FE3"/>
    <w:rsid w:val="006B3917"/>
    <w:rsid w:val="006D63F3"/>
    <w:rsid w:val="006E56FD"/>
    <w:rsid w:val="006E72C2"/>
    <w:rsid w:val="006E7560"/>
    <w:rsid w:val="006F0542"/>
    <w:rsid w:val="006F2F40"/>
    <w:rsid w:val="006F78C2"/>
    <w:rsid w:val="00703244"/>
    <w:rsid w:val="00713375"/>
    <w:rsid w:val="00714125"/>
    <w:rsid w:val="00715686"/>
    <w:rsid w:val="00724CA2"/>
    <w:rsid w:val="00727E49"/>
    <w:rsid w:val="00730FD8"/>
    <w:rsid w:val="007465C3"/>
    <w:rsid w:val="00750127"/>
    <w:rsid w:val="00750331"/>
    <w:rsid w:val="00753E7E"/>
    <w:rsid w:val="00755789"/>
    <w:rsid w:val="00756002"/>
    <w:rsid w:val="00756561"/>
    <w:rsid w:val="00766B40"/>
    <w:rsid w:val="00766D45"/>
    <w:rsid w:val="007679C5"/>
    <w:rsid w:val="00781410"/>
    <w:rsid w:val="00783494"/>
    <w:rsid w:val="00791FC5"/>
    <w:rsid w:val="00792282"/>
    <w:rsid w:val="007A45B5"/>
    <w:rsid w:val="007A5CD0"/>
    <w:rsid w:val="007A7997"/>
    <w:rsid w:val="007B08FC"/>
    <w:rsid w:val="007B6427"/>
    <w:rsid w:val="007B6F59"/>
    <w:rsid w:val="007B7F23"/>
    <w:rsid w:val="007C6F7E"/>
    <w:rsid w:val="007D3530"/>
    <w:rsid w:val="007D609B"/>
    <w:rsid w:val="007E037A"/>
    <w:rsid w:val="007E144C"/>
    <w:rsid w:val="007E1829"/>
    <w:rsid w:val="007E2F84"/>
    <w:rsid w:val="007E5971"/>
    <w:rsid w:val="007F1735"/>
    <w:rsid w:val="007F3D02"/>
    <w:rsid w:val="0080124C"/>
    <w:rsid w:val="00802858"/>
    <w:rsid w:val="0080626A"/>
    <w:rsid w:val="00810A7A"/>
    <w:rsid w:val="00814556"/>
    <w:rsid w:val="008169CA"/>
    <w:rsid w:val="008201FD"/>
    <w:rsid w:val="00821D0F"/>
    <w:rsid w:val="00822577"/>
    <w:rsid w:val="00823DBD"/>
    <w:rsid w:val="008249DE"/>
    <w:rsid w:val="00825D63"/>
    <w:rsid w:val="0083056E"/>
    <w:rsid w:val="0083440F"/>
    <w:rsid w:val="0083594E"/>
    <w:rsid w:val="00836E91"/>
    <w:rsid w:val="00837330"/>
    <w:rsid w:val="008465EB"/>
    <w:rsid w:val="00871463"/>
    <w:rsid w:val="00871506"/>
    <w:rsid w:val="00874402"/>
    <w:rsid w:val="00875635"/>
    <w:rsid w:val="00875EF5"/>
    <w:rsid w:val="0087786D"/>
    <w:rsid w:val="008825F5"/>
    <w:rsid w:val="00892063"/>
    <w:rsid w:val="0089322B"/>
    <w:rsid w:val="00893735"/>
    <w:rsid w:val="00894455"/>
    <w:rsid w:val="008946DB"/>
    <w:rsid w:val="0089559F"/>
    <w:rsid w:val="008A1193"/>
    <w:rsid w:val="008A20B1"/>
    <w:rsid w:val="008A2DCE"/>
    <w:rsid w:val="008B040B"/>
    <w:rsid w:val="008C0376"/>
    <w:rsid w:val="008C1E98"/>
    <w:rsid w:val="008C285D"/>
    <w:rsid w:val="008C2CC6"/>
    <w:rsid w:val="008C7D5D"/>
    <w:rsid w:val="008D3861"/>
    <w:rsid w:val="008D4B7D"/>
    <w:rsid w:val="008E7297"/>
    <w:rsid w:val="008F05A8"/>
    <w:rsid w:val="008F234F"/>
    <w:rsid w:val="00903C57"/>
    <w:rsid w:val="00904E85"/>
    <w:rsid w:val="00910936"/>
    <w:rsid w:val="00911801"/>
    <w:rsid w:val="0091416D"/>
    <w:rsid w:val="00915100"/>
    <w:rsid w:val="00915FAF"/>
    <w:rsid w:val="009266ED"/>
    <w:rsid w:val="00941591"/>
    <w:rsid w:val="00941CC8"/>
    <w:rsid w:val="00946BD7"/>
    <w:rsid w:val="0096006B"/>
    <w:rsid w:val="009600DC"/>
    <w:rsid w:val="00965133"/>
    <w:rsid w:val="0098062C"/>
    <w:rsid w:val="00991E72"/>
    <w:rsid w:val="00991FB3"/>
    <w:rsid w:val="00996ED5"/>
    <w:rsid w:val="00997374"/>
    <w:rsid w:val="009A2FA0"/>
    <w:rsid w:val="009A5184"/>
    <w:rsid w:val="009B0634"/>
    <w:rsid w:val="009B36FE"/>
    <w:rsid w:val="009C1B46"/>
    <w:rsid w:val="009C1E32"/>
    <w:rsid w:val="009D1F69"/>
    <w:rsid w:val="009D6B7C"/>
    <w:rsid w:val="009E13FF"/>
    <w:rsid w:val="009E3DAD"/>
    <w:rsid w:val="009E6A50"/>
    <w:rsid w:val="009F13D0"/>
    <w:rsid w:val="009F674A"/>
    <w:rsid w:val="009F71E2"/>
    <w:rsid w:val="00A056D5"/>
    <w:rsid w:val="00A069D6"/>
    <w:rsid w:val="00A1451A"/>
    <w:rsid w:val="00A14E64"/>
    <w:rsid w:val="00A20034"/>
    <w:rsid w:val="00A311F3"/>
    <w:rsid w:val="00A3705B"/>
    <w:rsid w:val="00A44B95"/>
    <w:rsid w:val="00A46D2D"/>
    <w:rsid w:val="00A50A9D"/>
    <w:rsid w:val="00A51836"/>
    <w:rsid w:val="00A52C1B"/>
    <w:rsid w:val="00A5721C"/>
    <w:rsid w:val="00A603FD"/>
    <w:rsid w:val="00A63E1D"/>
    <w:rsid w:val="00A6599C"/>
    <w:rsid w:val="00A70D93"/>
    <w:rsid w:val="00A71EFE"/>
    <w:rsid w:val="00A81CB2"/>
    <w:rsid w:val="00A906FC"/>
    <w:rsid w:val="00AA1FDE"/>
    <w:rsid w:val="00AA6CF0"/>
    <w:rsid w:val="00AB4BD1"/>
    <w:rsid w:val="00AB5C95"/>
    <w:rsid w:val="00AC782C"/>
    <w:rsid w:val="00AD2274"/>
    <w:rsid w:val="00AE3C2F"/>
    <w:rsid w:val="00AF0D68"/>
    <w:rsid w:val="00B05D9B"/>
    <w:rsid w:val="00B12C8D"/>
    <w:rsid w:val="00B14367"/>
    <w:rsid w:val="00B160B0"/>
    <w:rsid w:val="00B25AEE"/>
    <w:rsid w:val="00B32A8A"/>
    <w:rsid w:val="00B358C8"/>
    <w:rsid w:val="00B4558F"/>
    <w:rsid w:val="00B513C5"/>
    <w:rsid w:val="00B52263"/>
    <w:rsid w:val="00B53A6E"/>
    <w:rsid w:val="00B63344"/>
    <w:rsid w:val="00B84B19"/>
    <w:rsid w:val="00B860E6"/>
    <w:rsid w:val="00B93557"/>
    <w:rsid w:val="00B942E9"/>
    <w:rsid w:val="00B943FB"/>
    <w:rsid w:val="00BA3F32"/>
    <w:rsid w:val="00BA6ACD"/>
    <w:rsid w:val="00BA7F65"/>
    <w:rsid w:val="00BB05AC"/>
    <w:rsid w:val="00BB79F9"/>
    <w:rsid w:val="00BD663D"/>
    <w:rsid w:val="00BD7502"/>
    <w:rsid w:val="00BE12AB"/>
    <w:rsid w:val="00BE6564"/>
    <w:rsid w:val="00BE7532"/>
    <w:rsid w:val="00BF05C5"/>
    <w:rsid w:val="00BF44A2"/>
    <w:rsid w:val="00BF50FE"/>
    <w:rsid w:val="00BF6E35"/>
    <w:rsid w:val="00C04387"/>
    <w:rsid w:val="00C119CB"/>
    <w:rsid w:val="00C157A5"/>
    <w:rsid w:val="00C213D5"/>
    <w:rsid w:val="00C23ED9"/>
    <w:rsid w:val="00C24FE8"/>
    <w:rsid w:val="00C33EF3"/>
    <w:rsid w:val="00C36849"/>
    <w:rsid w:val="00C40963"/>
    <w:rsid w:val="00C455CE"/>
    <w:rsid w:val="00C650CE"/>
    <w:rsid w:val="00C66659"/>
    <w:rsid w:val="00C66891"/>
    <w:rsid w:val="00C70B0D"/>
    <w:rsid w:val="00C73B42"/>
    <w:rsid w:val="00C75AD7"/>
    <w:rsid w:val="00C840DD"/>
    <w:rsid w:val="00C84710"/>
    <w:rsid w:val="00C85906"/>
    <w:rsid w:val="00C92387"/>
    <w:rsid w:val="00CA02D0"/>
    <w:rsid w:val="00CA0673"/>
    <w:rsid w:val="00CA163F"/>
    <w:rsid w:val="00CB029D"/>
    <w:rsid w:val="00CB295B"/>
    <w:rsid w:val="00CB752F"/>
    <w:rsid w:val="00CC089E"/>
    <w:rsid w:val="00CC750B"/>
    <w:rsid w:val="00CD71B8"/>
    <w:rsid w:val="00CE7437"/>
    <w:rsid w:val="00CF0D63"/>
    <w:rsid w:val="00D022EA"/>
    <w:rsid w:val="00D12C97"/>
    <w:rsid w:val="00D140CB"/>
    <w:rsid w:val="00D16105"/>
    <w:rsid w:val="00D16305"/>
    <w:rsid w:val="00D1701D"/>
    <w:rsid w:val="00D21FCC"/>
    <w:rsid w:val="00D24FC4"/>
    <w:rsid w:val="00D253E6"/>
    <w:rsid w:val="00D31382"/>
    <w:rsid w:val="00D32A0F"/>
    <w:rsid w:val="00D337D6"/>
    <w:rsid w:val="00D342DD"/>
    <w:rsid w:val="00D349A1"/>
    <w:rsid w:val="00D37164"/>
    <w:rsid w:val="00D37C47"/>
    <w:rsid w:val="00D4301B"/>
    <w:rsid w:val="00D54CCB"/>
    <w:rsid w:val="00D55430"/>
    <w:rsid w:val="00D60661"/>
    <w:rsid w:val="00D62804"/>
    <w:rsid w:val="00D6461C"/>
    <w:rsid w:val="00D65572"/>
    <w:rsid w:val="00D65CD6"/>
    <w:rsid w:val="00D66EC5"/>
    <w:rsid w:val="00D71515"/>
    <w:rsid w:val="00D766AE"/>
    <w:rsid w:val="00D82F82"/>
    <w:rsid w:val="00D84E16"/>
    <w:rsid w:val="00D87DCD"/>
    <w:rsid w:val="00D92067"/>
    <w:rsid w:val="00D96EC7"/>
    <w:rsid w:val="00DA01FD"/>
    <w:rsid w:val="00DA3DEE"/>
    <w:rsid w:val="00DA7A93"/>
    <w:rsid w:val="00DB33C1"/>
    <w:rsid w:val="00DC5AC3"/>
    <w:rsid w:val="00DE42BF"/>
    <w:rsid w:val="00DE5B6F"/>
    <w:rsid w:val="00DF17C2"/>
    <w:rsid w:val="00DF2A4F"/>
    <w:rsid w:val="00E053CA"/>
    <w:rsid w:val="00E10E46"/>
    <w:rsid w:val="00E142AF"/>
    <w:rsid w:val="00E22CFF"/>
    <w:rsid w:val="00E239D0"/>
    <w:rsid w:val="00E328F9"/>
    <w:rsid w:val="00E34CDC"/>
    <w:rsid w:val="00E44E29"/>
    <w:rsid w:val="00E46619"/>
    <w:rsid w:val="00E470F0"/>
    <w:rsid w:val="00E63319"/>
    <w:rsid w:val="00E762EA"/>
    <w:rsid w:val="00E8038B"/>
    <w:rsid w:val="00EA0F08"/>
    <w:rsid w:val="00EB3F9A"/>
    <w:rsid w:val="00EB6996"/>
    <w:rsid w:val="00EC2817"/>
    <w:rsid w:val="00EC7DB3"/>
    <w:rsid w:val="00ED1B21"/>
    <w:rsid w:val="00ED2BA5"/>
    <w:rsid w:val="00EE485B"/>
    <w:rsid w:val="00EE55CD"/>
    <w:rsid w:val="00EE5DCA"/>
    <w:rsid w:val="00EE76B4"/>
    <w:rsid w:val="00EF3916"/>
    <w:rsid w:val="00EF78DF"/>
    <w:rsid w:val="00F06D64"/>
    <w:rsid w:val="00F13F65"/>
    <w:rsid w:val="00F14577"/>
    <w:rsid w:val="00F21E19"/>
    <w:rsid w:val="00F25D55"/>
    <w:rsid w:val="00F32CB8"/>
    <w:rsid w:val="00F34344"/>
    <w:rsid w:val="00F41D71"/>
    <w:rsid w:val="00F42213"/>
    <w:rsid w:val="00F47B06"/>
    <w:rsid w:val="00F541C2"/>
    <w:rsid w:val="00F608D7"/>
    <w:rsid w:val="00F673BE"/>
    <w:rsid w:val="00F72867"/>
    <w:rsid w:val="00F86254"/>
    <w:rsid w:val="00F9165B"/>
    <w:rsid w:val="00F97E4F"/>
    <w:rsid w:val="00FA2C60"/>
    <w:rsid w:val="00FA4760"/>
    <w:rsid w:val="00FA72DD"/>
    <w:rsid w:val="00FB1C9B"/>
    <w:rsid w:val="00FB68DE"/>
    <w:rsid w:val="00FB6BCA"/>
    <w:rsid w:val="00FC01A2"/>
    <w:rsid w:val="00FC06CF"/>
    <w:rsid w:val="00FC3CC0"/>
    <w:rsid w:val="00FC5914"/>
    <w:rsid w:val="00FC5C11"/>
    <w:rsid w:val="00FC5C79"/>
    <w:rsid w:val="00FC5FA1"/>
    <w:rsid w:val="00FC6FF4"/>
    <w:rsid w:val="00FC75FF"/>
    <w:rsid w:val="00FD7A20"/>
    <w:rsid w:val="00FE15EA"/>
    <w:rsid w:val="00FE1FA9"/>
    <w:rsid w:val="00FE6882"/>
    <w:rsid w:val="00FF35DF"/>
    <w:rsid w:val="00FF65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C842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9"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5" w:unhideWhenUsed="1" w:qFormat="1"/>
    <w:lsdException w:name="List Bullet" w:uiPriority="6" w:unhideWhenUsed="1" w:qFormat="1"/>
    <w:lsdException w:name="List Number" w:uiPriority="7" w:qFormat="1"/>
    <w:lsdException w:name="List 2" w:uiPriority="5" w:unhideWhenUsed="1" w:qFormat="1"/>
    <w:lsdException w:name="List 3" w:uiPriority="5" w:unhideWhenUsed="1"/>
    <w:lsdException w:name="List 4" w:uiPriority="5"/>
    <w:lsdException w:name="List 5" w:uiPriority="5"/>
    <w:lsdException w:name="List Bullet 2" w:uiPriority="6" w:unhideWhenUsed="1" w:qFormat="1"/>
    <w:lsdException w:name="List Bullet 3" w:uiPriority="6" w:unhideWhenUsed="1"/>
    <w:lsdException w:name="List Bullet 4" w:uiPriority="6" w:unhideWhenUsed="1"/>
    <w:lsdException w:name="List Bullet 5" w:uiPriority="6" w:unhideWhenUsed="1"/>
    <w:lsdException w:name="List Number 2" w:uiPriority="7" w:unhideWhenUsed="1" w:qFormat="1"/>
    <w:lsdException w:name="List Number 3" w:uiPriority="7" w:unhideWhenUsed="1"/>
    <w:lsdException w:name="List Number 4" w:uiPriority="7" w:unhideWhenUsed="1"/>
    <w:lsdException w:name="List Number 5" w:uiPriority="7"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uiPriority="8" w:unhideWhenUsed="1" w:qFormat="1"/>
    <w:lsdException w:name="List Continue 2" w:uiPriority="8" w:unhideWhenUsed="1" w:qFormat="1"/>
    <w:lsdException w:name="List Continue 3" w:uiPriority="8" w:unhideWhenUsed="1"/>
    <w:lsdException w:name="List Continue 4" w:uiPriority="8" w:unhideWhenUsed="1"/>
    <w:lsdException w:name="List Continue 5" w:uiPriority="8"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3B6EF3"/>
    <w:rPr>
      <w:lang w:val="en-GB"/>
    </w:rPr>
  </w:style>
  <w:style w:type="paragraph" w:styleId="Heading1">
    <w:name w:val="heading 1"/>
    <w:basedOn w:val="Normal"/>
    <w:link w:val="Heading1Char"/>
    <w:uiPriority w:val="4"/>
    <w:qFormat/>
    <w:rsid w:val="00A6599C"/>
    <w:pPr>
      <w:numPr>
        <w:numId w:val="21"/>
      </w:numPr>
      <w:spacing w:after="240"/>
      <w:outlineLvl w:val="0"/>
    </w:pPr>
    <w:rPr>
      <w:rFonts w:asciiTheme="majorHAnsi" w:eastAsiaTheme="majorEastAsia" w:hAnsiTheme="majorHAnsi" w:cstheme="majorBidi"/>
      <w:bCs/>
      <w:szCs w:val="28"/>
    </w:rPr>
  </w:style>
  <w:style w:type="paragraph" w:styleId="Heading2">
    <w:name w:val="heading 2"/>
    <w:basedOn w:val="Normal"/>
    <w:link w:val="Heading2Char"/>
    <w:uiPriority w:val="4"/>
    <w:qFormat/>
    <w:rsid w:val="00A6599C"/>
    <w:pPr>
      <w:numPr>
        <w:ilvl w:val="1"/>
        <w:numId w:val="21"/>
      </w:numPr>
      <w:spacing w:after="240"/>
      <w:outlineLvl w:val="1"/>
    </w:pPr>
    <w:rPr>
      <w:rFonts w:asciiTheme="majorHAnsi" w:eastAsiaTheme="majorEastAsia" w:hAnsiTheme="majorHAnsi" w:cstheme="majorBidi"/>
      <w:bCs/>
      <w:szCs w:val="26"/>
    </w:rPr>
  </w:style>
  <w:style w:type="paragraph" w:styleId="Heading3">
    <w:name w:val="heading 3"/>
    <w:basedOn w:val="Normal"/>
    <w:link w:val="Heading3Char"/>
    <w:uiPriority w:val="4"/>
    <w:qFormat/>
    <w:rsid w:val="00A6599C"/>
    <w:pPr>
      <w:numPr>
        <w:ilvl w:val="2"/>
        <w:numId w:val="21"/>
      </w:numPr>
      <w:spacing w:after="240"/>
      <w:outlineLvl w:val="2"/>
    </w:pPr>
    <w:rPr>
      <w:rFonts w:asciiTheme="majorHAnsi" w:eastAsiaTheme="majorEastAsia" w:hAnsiTheme="majorHAnsi" w:cstheme="majorBidi"/>
      <w:bCs/>
    </w:rPr>
  </w:style>
  <w:style w:type="paragraph" w:styleId="Heading4">
    <w:name w:val="heading 4"/>
    <w:basedOn w:val="Normal"/>
    <w:link w:val="Heading4Char"/>
    <w:uiPriority w:val="4"/>
    <w:qFormat/>
    <w:rsid w:val="00A6599C"/>
    <w:pPr>
      <w:numPr>
        <w:ilvl w:val="3"/>
        <w:numId w:val="21"/>
      </w:numPr>
      <w:spacing w:after="240"/>
      <w:outlineLvl w:val="3"/>
    </w:pPr>
    <w:rPr>
      <w:rFonts w:asciiTheme="majorHAnsi" w:eastAsiaTheme="majorEastAsia" w:hAnsiTheme="majorHAnsi" w:cstheme="majorBidi"/>
      <w:bCs/>
      <w:iCs/>
    </w:rPr>
  </w:style>
  <w:style w:type="paragraph" w:styleId="Heading5">
    <w:name w:val="heading 5"/>
    <w:basedOn w:val="Normal"/>
    <w:link w:val="Heading5Char"/>
    <w:uiPriority w:val="4"/>
    <w:qFormat/>
    <w:rsid w:val="00A6599C"/>
    <w:pPr>
      <w:numPr>
        <w:ilvl w:val="4"/>
        <w:numId w:val="21"/>
      </w:numPr>
      <w:spacing w:after="240"/>
      <w:outlineLvl w:val="4"/>
    </w:pPr>
    <w:rPr>
      <w:rFonts w:asciiTheme="majorHAnsi" w:eastAsiaTheme="majorEastAsia" w:hAnsiTheme="majorHAnsi" w:cstheme="majorBidi"/>
    </w:rPr>
  </w:style>
  <w:style w:type="paragraph" w:styleId="Heading6">
    <w:name w:val="heading 6"/>
    <w:basedOn w:val="Normal"/>
    <w:link w:val="Heading6Char"/>
    <w:uiPriority w:val="4"/>
    <w:qFormat/>
    <w:rsid w:val="00A6599C"/>
    <w:pPr>
      <w:numPr>
        <w:ilvl w:val="5"/>
        <w:numId w:val="21"/>
      </w:numPr>
      <w:spacing w:after="240"/>
      <w:outlineLvl w:val="5"/>
    </w:pPr>
    <w:rPr>
      <w:rFonts w:asciiTheme="majorHAnsi" w:eastAsiaTheme="majorEastAsia" w:hAnsiTheme="majorHAnsi" w:cstheme="majorBidi"/>
      <w:iCs/>
    </w:rPr>
  </w:style>
  <w:style w:type="paragraph" w:styleId="Heading7">
    <w:name w:val="heading 7"/>
    <w:basedOn w:val="Normal"/>
    <w:link w:val="Heading7Char"/>
    <w:uiPriority w:val="4"/>
    <w:qFormat/>
    <w:rsid w:val="00A6599C"/>
    <w:pPr>
      <w:numPr>
        <w:ilvl w:val="6"/>
        <w:numId w:val="21"/>
      </w:numPr>
      <w:spacing w:after="240"/>
      <w:outlineLvl w:val="6"/>
    </w:pPr>
    <w:rPr>
      <w:rFonts w:asciiTheme="majorHAnsi" w:eastAsiaTheme="majorEastAsia" w:hAnsiTheme="majorHAnsi" w:cstheme="majorBidi"/>
      <w:iCs/>
    </w:rPr>
  </w:style>
  <w:style w:type="paragraph" w:styleId="Heading8">
    <w:name w:val="heading 8"/>
    <w:basedOn w:val="Normal"/>
    <w:link w:val="Heading8Char"/>
    <w:uiPriority w:val="4"/>
    <w:qFormat/>
    <w:rsid w:val="00A6599C"/>
    <w:pPr>
      <w:numPr>
        <w:ilvl w:val="7"/>
        <w:numId w:val="21"/>
      </w:numPr>
      <w:spacing w:after="240"/>
      <w:outlineLvl w:val="7"/>
    </w:pPr>
    <w:rPr>
      <w:rFonts w:asciiTheme="majorHAnsi" w:eastAsiaTheme="majorEastAsia" w:hAnsiTheme="majorHAnsi" w:cstheme="majorBidi"/>
      <w:szCs w:val="20"/>
    </w:rPr>
  </w:style>
  <w:style w:type="paragraph" w:styleId="Heading9">
    <w:name w:val="heading 9"/>
    <w:basedOn w:val="Normal"/>
    <w:link w:val="Heading9Char"/>
    <w:uiPriority w:val="4"/>
    <w:qFormat/>
    <w:rsid w:val="00A6599C"/>
    <w:pPr>
      <w:numPr>
        <w:ilvl w:val="8"/>
        <w:numId w:val="21"/>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66891"/>
    <w:pPr>
      <w:spacing w:after="240"/>
    </w:pPr>
  </w:style>
  <w:style w:type="character" w:customStyle="1" w:styleId="BodyTextChar">
    <w:name w:val="Body Text Char"/>
    <w:basedOn w:val="DefaultParagraphFont"/>
    <w:link w:val="BodyText"/>
    <w:rsid w:val="00C66891"/>
  </w:style>
  <w:style w:type="paragraph" w:styleId="BodyText2">
    <w:name w:val="Body Text 2"/>
    <w:basedOn w:val="BodyText"/>
    <w:link w:val="BodyText2Char"/>
    <w:uiPriority w:val="99"/>
    <w:rsid w:val="00C66891"/>
    <w:pPr>
      <w:spacing w:after="0" w:line="480" w:lineRule="auto"/>
    </w:pPr>
  </w:style>
  <w:style w:type="character" w:customStyle="1" w:styleId="BodyText2Char">
    <w:name w:val="Body Text 2 Char"/>
    <w:basedOn w:val="DefaultParagraphFont"/>
    <w:link w:val="BodyText2"/>
    <w:uiPriority w:val="99"/>
    <w:rsid w:val="00C66891"/>
  </w:style>
  <w:style w:type="paragraph" w:styleId="BodyTextFirstIndent">
    <w:name w:val="Body Text First Indent"/>
    <w:basedOn w:val="BodyText"/>
    <w:link w:val="BodyTextFirstIndentChar"/>
    <w:qFormat/>
    <w:rsid w:val="00C66891"/>
    <w:pPr>
      <w:ind w:firstLine="1440"/>
    </w:pPr>
  </w:style>
  <w:style w:type="character" w:customStyle="1" w:styleId="BodyTextFirstIndentChar">
    <w:name w:val="Body Text First Indent Char"/>
    <w:basedOn w:val="BodyTextChar"/>
    <w:link w:val="BodyTextFirstIndent"/>
    <w:rsid w:val="00C66891"/>
  </w:style>
  <w:style w:type="paragraph" w:styleId="BodyTextIndent">
    <w:name w:val="Body Text Indent"/>
    <w:basedOn w:val="BodyText"/>
    <w:link w:val="BodyTextIndentChar"/>
    <w:rsid w:val="00C66891"/>
    <w:pPr>
      <w:ind w:left="1440"/>
    </w:pPr>
  </w:style>
  <w:style w:type="character" w:customStyle="1" w:styleId="BodyTextIndentChar">
    <w:name w:val="Body Text Indent Char"/>
    <w:basedOn w:val="DefaultParagraphFont"/>
    <w:link w:val="BodyTextIndent"/>
    <w:rsid w:val="00C66891"/>
  </w:style>
  <w:style w:type="paragraph" w:styleId="BodyTextFirstIndent2">
    <w:name w:val="Body Text First Indent 2"/>
    <w:basedOn w:val="BodyTextFirstIndent"/>
    <w:link w:val="BodyTextFirstIndent2Char"/>
    <w:rsid w:val="00C66891"/>
    <w:pPr>
      <w:spacing w:after="0" w:line="480" w:lineRule="auto"/>
    </w:pPr>
  </w:style>
  <w:style w:type="character" w:customStyle="1" w:styleId="BodyTextFirstIndent2Char">
    <w:name w:val="Body Text First Indent 2 Char"/>
    <w:basedOn w:val="BodyTextIndentChar"/>
    <w:link w:val="BodyTextFirstIndent2"/>
    <w:rsid w:val="00C66891"/>
  </w:style>
  <w:style w:type="paragraph" w:styleId="BodyTextIndent2">
    <w:name w:val="Body Text Indent 2"/>
    <w:basedOn w:val="BodyTextIndent"/>
    <w:link w:val="BodyTextIndent2Char"/>
    <w:rsid w:val="00C66891"/>
    <w:pPr>
      <w:spacing w:after="0" w:line="480" w:lineRule="auto"/>
    </w:pPr>
  </w:style>
  <w:style w:type="character" w:customStyle="1" w:styleId="BodyTextIndent2Char">
    <w:name w:val="Body Text Indent 2 Char"/>
    <w:basedOn w:val="DefaultParagraphFont"/>
    <w:link w:val="BodyTextIndent2"/>
    <w:rsid w:val="00C66891"/>
  </w:style>
  <w:style w:type="paragraph" w:customStyle="1" w:styleId="BodyTextHalfIndent">
    <w:name w:val="Body Text Half Indent"/>
    <w:basedOn w:val="BodyText"/>
    <w:link w:val="BodyTextHalfIndentChar"/>
    <w:rsid w:val="00C66891"/>
    <w:pPr>
      <w:ind w:left="720"/>
    </w:pPr>
  </w:style>
  <w:style w:type="paragraph" w:customStyle="1" w:styleId="BodyTextHalfIndent2">
    <w:name w:val="Body Text Half Indent 2"/>
    <w:basedOn w:val="BodyTextHalfIndent"/>
    <w:link w:val="BodyTextHalfIndent2Char"/>
    <w:rsid w:val="00C66891"/>
    <w:pPr>
      <w:spacing w:after="0" w:line="480" w:lineRule="auto"/>
    </w:pPr>
  </w:style>
  <w:style w:type="character" w:customStyle="1" w:styleId="BodyTextHalfIndentChar">
    <w:name w:val="Body Text Half Indent Char"/>
    <w:basedOn w:val="BodyTextChar"/>
    <w:link w:val="BodyTextHalfIndent"/>
    <w:rsid w:val="00C66891"/>
  </w:style>
  <w:style w:type="paragraph" w:customStyle="1" w:styleId="BodyTextFirstHalfIndent">
    <w:name w:val="Body Text First Half Indent"/>
    <w:basedOn w:val="BodyText"/>
    <w:link w:val="BodyTextFirstHalfIndentChar"/>
    <w:rsid w:val="00C66891"/>
    <w:pPr>
      <w:ind w:firstLine="720"/>
    </w:pPr>
  </w:style>
  <w:style w:type="character" w:customStyle="1" w:styleId="BodyTextHalfIndent2Char">
    <w:name w:val="Body Text Half Indent 2 Char"/>
    <w:basedOn w:val="BodyTextHalfIndentChar"/>
    <w:link w:val="BodyTextHalfIndent2"/>
    <w:rsid w:val="00C66891"/>
  </w:style>
  <w:style w:type="paragraph" w:customStyle="1" w:styleId="BodyTextFirstHalfIndent2">
    <w:name w:val="Body Text First Half Indent 2"/>
    <w:basedOn w:val="BodyTextFirstHalfIndent"/>
    <w:link w:val="BodyTextFirstHalfIndent2Char"/>
    <w:rsid w:val="00C66891"/>
    <w:pPr>
      <w:spacing w:after="0" w:line="480" w:lineRule="auto"/>
    </w:pPr>
  </w:style>
  <w:style w:type="character" w:customStyle="1" w:styleId="BodyTextFirstHalfIndentChar">
    <w:name w:val="Body Text First Half Indent Char"/>
    <w:basedOn w:val="BodyTextChar"/>
    <w:link w:val="BodyTextFirstHalfIndent"/>
    <w:rsid w:val="00C66891"/>
  </w:style>
  <w:style w:type="paragraph" w:styleId="EnvelopeAddress">
    <w:name w:val="envelope address"/>
    <w:basedOn w:val="Normal"/>
    <w:uiPriority w:val="99"/>
    <w:semiHidden/>
    <w:unhideWhenUsed/>
    <w:rsid w:val="00C66891"/>
    <w:pPr>
      <w:framePr w:w="7920" w:h="1987" w:hRule="exact" w:hSpace="187" w:wrap="around" w:hAnchor="page" w:xAlign="center" w:yAlign="bottom"/>
      <w:ind w:left="2880"/>
    </w:pPr>
    <w:rPr>
      <w:rFonts w:eastAsiaTheme="majorEastAsia" w:cstheme="majorBidi"/>
    </w:rPr>
  </w:style>
  <w:style w:type="character" w:customStyle="1" w:styleId="BodyTextFirstHalfIndent2Char">
    <w:name w:val="Body Text First Half Indent 2 Char"/>
    <w:basedOn w:val="BodyTextFirstHalfIndentChar"/>
    <w:link w:val="BodyTextFirstHalfIndent2"/>
    <w:rsid w:val="00C66891"/>
  </w:style>
  <w:style w:type="paragraph" w:styleId="EnvelopeReturn">
    <w:name w:val="envelope return"/>
    <w:basedOn w:val="Normal"/>
    <w:uiPriority w:val="99"/>
    <w:semiHidden/>
    <w:unhideWhenUsed/>
    <w:rsid w:val="00C66891"/>
    <w:rPr>
      <w:rFonts w:eastAsiaTheme="majorEastAsia" w:cstheme="majorBidi"/>
      <w:sz w:val="20"/>
      <w:szCs w:val="20"/>
    </w:rPr>
  </w:style>
  <w:style w:type="paragraph" w:styleId="Footer">
    <w:name w:val="footer"/>
    <w:basedOn w:val="Normal"/>
    <w:link w:val="FooterChar"/>
    <w:uiPriority w:val="99"/>
    <w:semiHidden/>
    <w:rsid w:val="00C66891"/>
    <w:pPr>
      <w:tabs>
        <w:tab w:val="center" w:pos="4680"/>
        <w:tab w:val="right" w:pos="9360"/>
      </w:tabs>
    </w:pPr>
  </w:style>
  <w:style w:type="character" w:customStyle="1" w:styleId="FooterChar">
    <w:name w:val="Footer Char"/>
    <w:basedOn w:val="DefaultParagraphFont"/>
    <w:link w:val="Footer"/>
    <w:uiPriority w:val="99"/>
    <w:semiHidden/>
    <w:rsid w:val="000A3C03"/>
  </w:style>
  <w:style w:type="paragraph" w:styleId="Header">
    <w:name w:val="header"/>
    <w:basedOn w:val="Normal"/>
    <w:link w:val="HeaderChar"/>
    <w:uiPriority w:val="99"/>
    <w:semiHidden/>
    <w:rsid w:val="00C66891"/>
    <w:pPr>
      <w:tabs>
        <w:tab w:val="center" w:pos="4680"/>
        <w:tab w:val="right" w:pos="9360"/>
      </w:tabs>
    </w:pPr>
  </w:style>
  <w:style w:type="character" w:customStyle="1" w:styleId="HeaderChar">
    <w:name w:val="Header Char"/>
    <w:basedOn w:val="DefaultParagraphFont"/>
    <w:link w:val="Header"/>
    <w:uiPriority w:val="99"/>
    <w:semiHidden/>
    <w:rsid w:val="000A3C03"/>
  </w:style>
  <w:style w:type="paragraph" w:styleId="NormalIndent">
    <w:name w:val="Normal Indent"/>
    <w:basedOn w:val="Normal"/>
    <w:uiPriority w:val="99"/>
    <w:semiHidden/>
    <w:unhideWhenUsed/>
    <w:rsid w:val="00C66891"/>
    <w:pPr>
      <w:ind w:left="1440"/>
    </w:pPr>
  </w:style>
  <w:style w:type="paragraph" w:customStyle="1" w:styleId="NormalHalfIndent">
    <w:name w:val="Normal Half Indent"/>
    <w:basedOn w:val="Normal"/>
    <w:semiHidden/>
    <w:rsid w:val="00C66891"/>
    <w:pPr>
      <w:ind w:left="720"/>
    </w:pPr>
  </w:style>
  <w:style w:type="paragraph" w:styleId="Salutation">
    <w:name w:val="Salutation"/>
    <w:basedOn w:val="Normal"/>
    <w:next w:val="Normal"/>
    <w:link w:val="SalutationChar"/>
    <w:uiPriority w:val="99"/>
    <w:rsid w:val="00B160B0"/>
    <w:pPr>
      <w:spacing w:after="240"/>
    </w:pPr>
  </w:style>
  <w:style w:type="character" w:customStyle="1" w:styleId="SalutationChar">
    <w:name w:val="Salutation Char"/>
    <w:basedOn w:val="DefaultParagraphFont"/>
    <w:link w:val="Salutation"/>
    <w:uiPriority w:val="99"/>
    <w:rsid w:val="00585238"/>
  </w:style>
  <w:style w:type="paragraph" w:styleId="Title">
    <w:name w:val="Title"/>
    <w:basedOn w:val="Normal"/>
    <w:next w:val="Normal"/>
    <w:link w:val="TitleChar"/>
    <w:uiPriority w:val="10"/>
    <w:qFormat/>
    <w:rsid w:val="00A6599C"/>
    <w:pPr>
      <w:spacing w:after="240"/>
      <w:contextualSpacing/>
      <w:jc w:val="center"/>
      <w:outlineLvl w:val="0"/>
    </w:pPr>
    <w:rPr>
      <w:rFonts w:asciiTheme="majorHAnsi" w:eastAsiaTheme="majorEastAsia" w:hAnsiTheme="majorHAnsi" w:cstheme="majorBidi"/>
      <w:b/>
      <w:szCs w:val="52"/>
    </w:rPr>
  </w:style>
  <w:style w:type="character" w:customStyle="1" w:styleId="TitleChar">
    <w:name w:val="Title Char"/>
    <w:basedOn w:val="DefaultParagraphFont"/>
    <w:link w:val="Title"/>
    <w:uiPriority w:val="10"/>
    <w:rsid w:val="00A6599C"/>
    <w:rPr>
      <w:rFonts w:asciiTheme="majorHAnsi" w:eastAsiaTheme="majorEastAsia" w:hAnsiTheme="majorHAnsi" w:cstheme="majorBidi"/>
      <w:b/>
      <w:szCs w:val="52"/>
    </w:rPr>
  </w:style>
  <w:style w:type="paragraph" w:styleId="FootnoteText">
    <w:name w:val="footnote text"/>
    <w:basedOn w:val="Normal"/>
    <w:link w:val="FootnoteTextChar"/>
    <w:uiPriority w:val="99"/>
    <w:semiHidden/>
    <w:unhideWhenUsed/>
    <w:rsid w:val="00C66891"/>
    <w:pPr>
      <w:spacing w:after="120" w:line="260" w:lineRule="exact"/>
    </w:pPr>
    <w:rPr>
      <w:szCs w:val="20"/>
    </w:rPr>
  </w:style>
  <w:style w:type="character" w:customStyle="1" w:styleId="FootnoteTextChar">
    <w:name w:val="Footnote Text Char"/>
    <w:basedOn w:val="DefaultParagraphFont"/>
    <w:link w:val="FootnoteText"/>
    <w:uiPriority w:val="99"/>
    <w:semiHidden/>
    <w:rsid w:val="00C66891"/>
    <w:rPr>
      <w:szCs w:val="20"/>
    </w:rPr>
  </w:style>
  <w:style w:type="character" w:styleId="FootnoteReference">
    <w:name w:val="footnote reference"/>
    <w:basedOn w:val="DefaultParagraphFont"/>
    <w:uiPriority w:val="99"/>
    <w:semiHidden/>
    <w:unhideWhenUsed/>
    <w:rsid w:val="00C66891"/>
    <w:rPr>
      <w:vertAlign w:val="superscript"/>
    </w:rPr>
  </w:style>
  <w:style w:type="paragraph" w:styleId="BlockText">
    <w:name w:val="Block Text"/>
    <w:basedOn w:val="Normal"/>
    <w:link w:val="BlockTextChar"/>
    <w:uiPriority w:val="2"/>
    <w:qFormat/>
    <w:rsid w:val="00C66891"/>
    <w:pPr>
      <w:spacing w:after="240"/>
      <w:ind w:left="1440" w:right="1440"/>
    </w:pPr>
    <w:rPr>
      <w:rFonts w:eastAsiaTheme="minorEastAsia"/>
      <w:iCs/>
    </w:rPr>
  </w:style>
  <w:style w:type="paragraph" w:styleId="EndnoteText">
    <w:name w:val="endnote text"/>
    <w:basedOn w:val="Normal"/>
    <w:link w:val="EndnoteTextChar"/>
    <w:uiPriority w:val="99"/>
    <w:semiHidden/>
    <w:unhideWhenUsed/>
    <w:rsid w:val="00C66891"/>
    <w:rPr>
      <w:szCs w:val="20"/>
    </w:rPr>
  </w:style>
  <w:style w:type="character" w:customStyle="1" w:styleId="EndnoteTextChar">
    <w:name w:val="Endnote Text Char"/>
    <w:basedOn w:val="DefaultParagraphFont"/>
    <w:link w:val="EndnoteText"/>
    <w:uiPriority w:val="99"/>
    <w:semiHidden/>
    <w:rsid w:val="00C66891"/>
    <w:rPr>
      <w:szCs w:val="20"/>
    </w:rPr>
  </w:style>
  <w:style w:type="numbering" w:customStyle="1" w:styleId="CovingtonHeadings">
    <w:name w:val="Covington Headings"/>
    <w:uiPriority w:val="99"/>
    <w:rsid w:val="00C66891"/>
    <w:pPr>
      <w:numPr>
        <w:numId w:val="11"/>
      </w:numPr>
    </w:pPr>
  </w:style>
  <w:style w:type="paragraph" w:styleId="Subtitle">
    <w:name w:val="Subtitle"/>
    <w:basedOn w:val="Normal"/>
    <w:next w:val="Normal"/>
    <w:link w:val="SubtitleChar"/>
    <w:uiPriority w:val="11"/>
    <w:qFormat/>
    <w:rsid w:val="00A6599C"/>
    <w:pPr>
      <w:numPr>
        <w:ilvl w:val="1"/>
      </w:numPr>
      <w:spacing w:after="240"/>
      <w:outlineLvl w:val="1"/>
    </w:pPr>
    <w:rPr>
      <w:rFonts w:asciiTheme="majorHAnsi" w:eastAsiaTheme="majorEastAsia" w:hAnsiTheme="majorHAnsi" w:cstheme="majorBidi"/>
      <w:iCs/>
      <w:u w:val="single"/>
    </w:rPr>
  </w:style>
  <w:style w:type="character" w:customStyle="1" w:styleId="Heading1Char">
    <w:name w:val="Heading 1 Char"/>
    <w:basedOn w:val="DefaultParagraphFont"/>
    <w:link w:val="Heading1"/>
    <w:uiPriority w:val="4"/>
    <w:rsid w:val="00A6599C"/>
    <w:rPr>
      <w:rFonts w:asciiTheme="majorHAnsi" w:eastAsiaTheme="majorEastAsia" w:hAnsiTheme="majorHAnsi" w:cstheme="majorBidi"/>
      <w:bCs/>
      <w:szCs w:val="28"/>
    </w:rPr>
  </w:style>
  <w:style w:type="character" w:customStyle="1" w:styleId="Heading2Char">
    <w:name w:val="Heading 2 Char"/>
    <w:basedOn w:val="DefaultParagraphFont"/>
    <w:link w:val="Heading2"/>
    <w:uiPriority w:val="4"/>
    <w:rsid w:val="00A6599C"/>
    <w:rPr>
      <w:rFonts w:asciiTheme="majorHAnsi" w:eastAsiaTheme="majorEastAsia" w:hAnsiTheme="majorHAnsi" w:cstheme="majorBidi"/>
      <w:bCs/>
      <w:szCs w:val="26"/>
    </w:rPr>
  </w:style>
  <w:style w:type="character" w:customStyle="1" w:styleId="Heading3Char">
    <w:name w:val="Heading 3 Char"/>
    <w:basedOn w:val="DefaultParagraphFont"/>
    <w:link w:val="Heading3"/>
    <w:uiPriority w:val="4"/>
    <w:rsid w:val="00A6599C"/>
    <w:rPr>
      <w:rFonts w:asciiTheme="majorHAnsi" w:eastAsiaTheme="majorEastAsia" w:hAnsiTheme="majorHAnsi" w:cstheme="majorBidi"/>
      <w:bCs/>
    </w:rPr>
  </w:style>
  <w:style w:type="character" w:customStyle="1" w:styleId="Heading4Char">
    <w:name w:val="Heading 4 Char"/>
    <w:basedOn w:val="DefaultParagraphFont"/>
    <w:link w:val="Heading4"/>
    <w:uiPriority w:val="4"/>
    <w:rsid w:val="00A6599C"/>
    <w:rPr>
      <w:rFonts w:asciiTheme="majorHAnsi" w:eastAsiaTheme="majorEastAsia" w:hAnsiTheme="majorHAnsi" w:cstheme="majorBidi"/>
      <w:bCs/>
      <w:iCs/>
    </w:rPr>
  </w:style>
  <w:style w:type="character" w:customStyle="1" w:styleId="Heading5Char">
    <w:name w:val="Heading 5 Char"/>
    <w:basedOn w:val="DefaultParagraphFont"/>
    <w:link w:val="Heading5"/>
    <w:uiPriority w:val="4"/>
    <w:rsid w:val="00A6599C"/>
    <w:rPr>
      <w:rFonts w:asciiTheme="majorHAnsi" w:eastAsiaTheme="majorEastAsia" w:hAnsiTheme="majorHAnsi" w:cstheme="majorBidi"/>
    </w:rPr>
  </w:style>
  <w:style w:type="character" w:customStyle="1" w:styleId="Heading6Char">
    <w:name w:val="Heading 6 Char"/>
    <w:basedOn w:val="DefaultParagraphFont"/>
    <w:link w:val="Heading6"/>
    <w:uiPriority w:val="4"/>
    <w:rsid w:val="00A6599C"/>
    <w:rPr>
      <w:rFonts w:asciiTheme="majorHAnsi" w:eastAsiaTheme="majorEastAsia" w:hAnsiTheme="majorHAnsi" w:cstheme="majorBidi"/>
      <w:iCs/>
    </w:rPr>
  </w:style>
  <w:style w:type="character" w:customStyle="1" w:styleId="Heading7Char">
    <w:name w:val="Heading 7 Char"/>
    <w:basedOn w:val="DefaultParagraphFont"/>
    <w:link w:val="Heading7"/>
    <w:uiPriority w:val="4"/>
    <w:rsid w:val="00A6599C"/>
    <w:rPr>
      <w:rFonts w:asciiTheme="majorHAnsi" w:eastAsiaTheme="majorEastAsia" w:hAnsiTheme="majorHAnsi" w:cstheme="majorBidi"/>
      <w:iCs/>
    </w:rPr>
  </w:style>
  <w:style w:type="character" w:customStyle="1" w:styleId="Heading8Char">
    <w:name w:val="Heading 8 Char"/>
    <w:basedOn w:val="DefaultParagraphFont"/>
    <w:link w:val="Heading8"/>
    <w:uiPriority w:val="4"/>
    <w:rsid w:val="00A6599C"/>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4"/>
    <w:rsid w:val="00A6599C"/>
    <w:rPr>
      <w:rFonts w:asciiTheme="majorHAnsi" w:eastAsiaTheme="majorEastAsia" w:hAnsiTheme="majorHAnsi" w:cstheme="majorBidi"/>
      <w:iCs/>
      <w:szCs w:val="20"/>
    </w:rPr>
  </w:style>
  <w:style w:type="character" w:customStyle="1" w:styleId="SubtitleChar">
    <w:name w:val="Subtitle Char"/>
    <w:basedOn w:val="DefaultParagraphFont"/>
    <w:link w:val="Subtitle"/>
    <w:uiPriority w:val="11"/>
    <w:rsid w:val="00A6599C"/>
    <w:rPr>
      <w:rFonts w:asciiTheme="majorHAnsi" w:eastAsiaTheme="majorEastAsia" w:hAnsiTheme="majorHAnsi" w:cstheme="majorBidi"/>
      <w:iCs/>
      <w:u w:val="single"/>
    </w:rPr>
  </w:style>
  <w:style w:type="paragraph" w:customStyle="1" w:styleId="SubtitleCentered">
    <w:name w:val="Subtitle Centered"/>
    <w:basedOn w:val="Subtitle"/>
    <w:link w:val="SubtitleCenteredChar"/>
    <w:uiPriority w:val="11"/>
    <w:qFormat/>
    <w:rsid w:val="00A6599C"/>
    <w:pPr>
      <w:jc w:val="center"/>
    </w:pPr>
  </w:style>
  <w:style w:type="numbering" w:customStyle="1" w:styleId="ListBullets">
    <w:name w:val="ListBullets"/>
    <w:uiPriority w:val="99"/>
    <w:rsid w:val="00D71515"/>
    <w:pPr>
      <w:numPr>
        <w:numId w:val="22"/>
      </w:numPr>
    </w:pPr>
  </w:style>
  <w:style w:type="numbering" w:customStyle="1" w:styleId="ListNumbers">
    <w:name w:val="ListNumbers"/>
    <w:uiPriority w:val="99"/>
    <w:rsid w:val="00D71515"/>
    <w:pPr>
      <w:numPr>
        <w:numId w:val="23"/>
      </w:numPr>
    </w:pPr>
  </w:style>
  <w:style w:type="paragraph" w:styleId="ListBullet">
    <w:name w:val="List Bullet"/>
    <w:basedOn w:val="Normal"/>
    <w:uiPriority w:val="6"/>
    <w:qFormat/>
    <w:rsid w:val="00477584"/>
    <w:pPr>
      <w:numPr>
        <w:numId w:val="28"/>
      </w:numPr>
      <w:spacing w:after="240"/>
    </w:pPr>
  </w:style>
  <w:style w:type="paragraph" w:styleId="ListBullet2">
    <w:name w:val="List Bullet 2"/>
    <w:basedOn w:val="Normal"/>
    <w:uiPriority w:val="6"/>
    <w:qFormat/>
    <w:rsid w:val="00477584"/>
    <w:pPr>
      <w:numPr>
        <w:ilvl w:val="1"/>
        <w:numId w:val="28"/>
      </w:numPr>
      <w:spacing w:after="240"/>
    </w:pPr>
  </w:style>
  <w:style w:type="paragraph" w:styleId="ListBullet3">
    <w:name w:val="List Bullet 3"/>
    <w:basedOn w:val="Normal"/>
    <w:uiPriority w:val="6"/>
    <w:rsid w:val="00477584"/>
    <w:pPr>
      <w:numPr>
        <w:ilvl w:val="2"/>
        <w:numId w:val="28"/>
      </w:numPr>
      <w:spacing w:after="240"/>
    </w:pPr>
  </w:style>
  <w:style w:type="paragraph" w:styleId="ListBullet4">
    <w:name w:val="List Bullet 4"/>
    <w:basedOn w:val="Normal"/>
    <w:uiPriority w:val="6"/>
    <w:rsid w:val="00477584"/>
    <w:pPr>
      <w:numPr>
        <w:ilvl w:val="3"/>
        <w:numId w:val="28"/>
      </w:numPr>
      <w:spacing w:after="240"/>
    </w:pPr>
  </w:style>
  <w:style w:type="paragraph" w:styleId="ListBullet5">
    <w:name w:val="List Bullet 5"/>
    <w:basedOn w:val="Normal"/>
    <w:uiPriority w:val="6"/>
    <w:rsid w:val="00477584"/>
    <w:pPr>
      <w:numPr>
        <w:ilvl w:val="4"/>
        <w:numId w:val="28"/>
      </w:numPr>
      <w:spacing w:after="240"/>
    </w:pPr>
  </w:style>
  <w:style w:type="paragraph" w:styleId="List">
    <w:name w:val="List"/>
    <w:basedOn w:val="Normal"/>
    <w:uiPriority w:val="5"/>
    <w:semiHidden/>
    <w:qFormat/>
    <w:rsid w:val="00477584"/>
    <w:pPr>
      <w:spacing w:after="240"/>
      <w:ind w:left="360" w:hanging="360"/>
    </w:pPr>
  </w:style>
  <w:style w:type="paragraph" w:styleId="ListNumber">
    <w:name w:val="List Number"/>
    <w:basedOn w:val="Normal"/>
    <w:uiPriority w:val="7"/>
    <w:qFormat/>
    <w:rsid w:val="00477584"/>
    <w:pPr>
      <w:numPr>
        <w:numId w:val="29"/>
      </w:numPr>
      <w:spacing w:after="240"/>
    </w:pPr>
  </w:style>
  <w:style w:type="paragraph" w:styleId="ListNumber2">
    <w:name w:val="List Number 2"/>
    <w:basedOn w:val="Normal"/>
    <w:uiPriority w:val="7"/>
    <w:qFormat/>
    <w:rsid w:val="00477584"/>
    <w:pPr>
      <w:numPr>
        <w:ilvl w:val="1"/>
        <w:numId w:val="29"/>
      </w:numPr>
      <w:spacing w:after="240"/>
    </w:pPr>
  </w:style>
  <w:style w:type="paragraph" w:styleId="ListNumber3">
    <w:name w:val="List Number 3"/>
    <w:basedOn w:val="Normal"/>
    <w:uiPriority w:val="7"/>
    <w:rsid w:val="00477584"/>
    <w:pPr>
      <w:numPr>
        <w:ilvl w:val="2"/>
        <w:numId w:val="29"/>
      </w:numPr>
      <w:spacing w:after="240"/>
    </w:pPr>
  </w:style>
  <w:style w:type="paragraph" w:styleId="ListNumber4">
    <w:name w:val="List Number 4"/>
    <w:basedOn w:val="Normal"/>
    <w:uiPriority w:val="7"/>
    <w:rsid w:val="00477584"/>
    <w:pPr>
      <w:numPr>
        <w:ilvl w:val="3"/>
        <w:numId w:val="29"/>
      </w:numPr>
      <w:spacing w:after="240"/>
    </w:pPr>
  </w:style>
  <w:style w:type="paragraph" w:styleId="List2">
    <w:name w:val="List 2"/>
    <w:basedOn w:val="Normal"/>
    <w:uiPriority w:val="5"/>
    <w:semiHidden/>
    <w:qFormat/>
    <w:rsid w:val="00477584"/>
    <w:pPr>
      <w:spacing w:after="240"/>
      <w:ind w:left="720" w:hanging="360"/>
    </w:pPr>
  </w:style>
  <w:style w:type="paragraph" w:styleId="List3">
    <w:name w:val="List 3"/>
    <w:basedOn w:val="Normal"/>
    <w:uiPriority w:val="5"/>
    <w:semiHidden/>
    <w:rsid w:val="00477584"/>
    <w:pPr>
      <w:spacing w:after="240"/>
      <w:ind w:left="1080" w:hanging="360"/>
    </w:pPr>
  </w:style>
  <w:style w:type="paragraph" w:styleId="List4">
    <w:name w:val="List 4"/>
    <w:basedOn w:val="Normal"/>
    <w:uiPriority w:val="5"/>
    <w:semiHidden/>
    <w:rsid w:val="00477584"/>
    <w:pPr>
      <w:spacing w:after="240"/>
      <w:ind w:left="1440" w:hanging="360"/>
    </w:pPr>
  </w:style>
  <w:style w:type="paragraph" w:styleId="List5">
    <w:name w:val="List 5"/>
    <w:basedOn w:val="Normal"/>
    <w:uiPriority w:val="5"/>
    <w:semiHidden/>
    <w:rsid w:val="00477584"/>
    <w:pPr>
      <w:spacing w:after="240"/>
      <w:ind w:left="1800" w:hanging="360"/>
    </w:pPr>
  </w:style>
  <w:style w:type="paragraph" w:styleId="ListContinue">
    <w:name w:val="List Continue"/>
    <w:basedOn w:val="Normal"/>
    <w:uiPriority w:val="8"/>
    <w:qFormat/>
    <w:rsid w:val="00477584"/>
    <w:pPr>
      <w:spacing w:after="240"/>
      <w:ind w:left="360"/>
    </w:pPr>
  </w:style>
  <w:style w:type="paragraph" w:styleId="ListContinue2">
    <w:name w:val="List Continue 2"/>
    <w:basedOn w:val="Normal"/>
    <w:uiPriority w:val="8"/>
    <w:qFormat/>
    <w:rsid w:val="00477584"/>
    <w:pPr>
      <w:spacing w:after="240"/>
      <w:ind w:left="720"/>
    </w:pPr>
  </w:style>
  <w:style w:type="paragraph" w:styleId="ListContinue3">
    <w:name w:val="List Continue 3"/>
    <w:basedOn w:val="Normal"/>
    <w:uiPriority w:val="8"/>
    <w:rsid w:val="00477584"/>
    <w:pPr>
      <w:spacing w:after="240"/>
      <w:ind w:left="1080"/>
    </w:pPr>
  </w:style>
  <w:style w:type="paragraph" w:styleId="ListContinue4">
    <w:name w:val="List Continue 4"/>
    <w:basedOn w:val="Normal"/>
    <w:uiPriority w:val="8"/>
    <w:rsid w:val="00477584"/>
    <w:pPr>
      <w:spacing w:after="240"/>
      <w:ind w:left="1440"/>
    </w:pPr>
  </w:style>
  <w:style w:type="paragraph" w:styleId="ListContinue5">
    <w:name w:val="List Continue 5"/>
    <w:basedOn w:val="Normal"/>
    <w:uiPriority w:val="8"/>
    <w:rsid w:val="00477584"/>
    <w:pPr>
      <w:spacing w:after="240"/>
      <w:ind w:left="1800"/>
    </w:pPr>
  </w:style>
  <w:style w:type="paragraph" w:styleId="ListNumber5">
    <w:name w:val="List Number 5"/>
    <w:basedOn w:val="Normal"/>
    <w:uiPriority w:val="7"/>
    <w:rsid w:val="00477584"/>
    <w:pPr>
      <w:numPr>
        <w:ilvl w:val="4"/>
        <w:numId w:val="29"/>
      </w:numPr>
      <w:spacing w:after="240"/>
    </w:pPr>
  </w:style>
  <w:style w:type="character" w:customStyle="1" w:styleId="SubtitleCenteredChar">
    <w:name w:val="Subtitle Centered Char"/>
    <w:basedOn w:val="SubtitleChar"/>
    <w:link w:val="SubtitleCentered"/>
    <w:uiPriority w:val="11"/>
    <w:rsid w:val="00A6599C"/>
    <w:rPr>
      <w:rFonts w:asciiTheme="majorHAnsi" w:eastAsiaTheme="majorEastAsia" w:hAnsiTheme="majorHAnsi" w:cstheme="majorBidi"/>
      <w:iCs/>
      <w:u w:val="single"/>
    </w:rPr>
  </w:style>
  <w:style w:type="character" w:customStyle="1" w:styleId="BlockTextChar">
    <w:name w:val="Block Text Char"/>
    <w:basedOn w:val="DefaultParagraphFont"/>
    <w:link w:val="BlockText"/>
    <w:uiPriority w:val="2"/>
    <w:rsid w:val="007A7997"/>
    <w:rPr>
      <w:rFonts w:eastAsiaTheme="minorEastAsia"/>
      <w:iCs/>
    </w:rPr>
  </w:style>
  <w:style w:type="paragraph" w:customStyle="1" w:styleId="LetteredParagraphDouble">
    <w:name w:val="Lettered Paragraph Double"/>
    <w:basedOn w:val="Normal"/>
    <w:link w:val="LetteredParagraphDoubleChar"/>
    <w:unhideWhenUsed/>
    <w:rsid w:val="000E72A7"/>
    <w:pPr>
      <w:numPr>
        <w:numId w:val="24"/>
      </w:numPr>
      <w:tabs>
        <w:tab w:val="left" w:pos="1800"/>
      </w:tabs>
      <w:spacing w:line="480" w:lineRule="auto"/>
    </w:pPr>
  </w:style>
  <w:style w:type="paragraph" w:customStyle="1" w:styleId="LetteredParagraphSingle">
    <w:name w:val="Lettered Paragraph Single"/>
    <w:basedOn w:val="Normal"/>
    <w:link w:val="LetteredParagraphSingleChar"/>
    <w:unhideWhenUsed/>
    <w:rsid w:val="000E72A7"/>
    <w:pPr>
      <w:numPr>
        <w:numId w:val="25"/>
      </w:numPr>
      <w:tabs>
        <w:tab w:val="left" w:pos="1800"/>
      </w:tabs>
      <w:spacing w:after="240"/>
    </w:pPr>
  </w:style>
  <w:style w:type="character" w:customStyle="1" w:styleId="LetteredParagraphDoubleChar">
    <w:name w:val="Lettered Paragraph Double Char"/>
    <w:basedOn w:val="DefaultParagraphFont"/>
    <w:link w:val="LetteredParagraphDouble"/>
    <w:rsid w:val="000E72A7"/>
  </w:style>
  <w:style w:type="paragraph" w:customStyle="1" w:styleId="NumberedParagraphDouble">
    <w:name w:val="Numbered Paragraph Double"/>
    <w:basedOn w:val="Normal"/>
    <w:link w:val="NumberedParagraphDoubleChar"/>
    <w:rsid w:val="000E72A7"/>
    <w:pPr>
      <w:numPr>
        <w:numId w:val="26"/>
      </w:numPr>
      <w:tabs>
        <w:tab w:val="left" w:pos="720"/>
      </w:tabs>
      <w:spacing w:line="480" w:lineRule="auto"/>
    </w:pPr>
  </w:style>
  <w:style w:type="character" w:customStyle="1" w:styleId="LetteredParagraphSingleChar">
    <w:name w:val="Lettered Paragraph Single Char"/>
    <w:basedOn w:val="DefaultParagraphFont"/>
    <w:link w:val="LetteredParagraphSingle"/>
    <w:rsid w:val="000E72A7"/>
  </w:style>
  <w:style w:type="paragraph" w:customStyle="1" w:styleId="NumberedParagraphSingle">
    <w:name w:val="Numbered Paragraph Single"/>
    <w:basedOn w:val="Normal"/>
    <w:link w:val="NumberedParagraphSingleChar"/>
    <w:rsid w:val="000E72A7"/>
    <w:pPr>
      <w:numPr>
        <w:numId w:val="27"/>
      </w:numPr>
      <w:tabs>
        <w:tab w:val="left" w:pos="1800"/>
      </w:tabs>
      <w:spacing w:after="240"/>
    </w:pPr>
  </w:style>
  <w:style w:type="character" w:customStyle="1" w:styleId="NumberedParagraphDoubleChar">
    <w:name w:val="Numbered Paragraph Double Char"/>
    <w:basedOn w:val="DefaultParagraphFont"/>
    <w:link w:val="NumberedParagraphDouble"/>
    <w:rsid w:val="000E72A7"/>
  </w:style>
  <w:style w:type="paragraph" w:customStyle="1" w:styleId="Re">
    <w:name w:val="Re"/>
    <w:basedOn w:val="Normal"/>
    <w:next w:val="Salutation"/>
    <w:uiPriority w:val="19"/>
    <w:rsid w:val="00B160B0"/>
    <w:pPr>
      <w:tabs>
        <w:tab w:val="left" w:pos="2160"/>
      </w:tabs>
      <w:spacing w:before="240" w:after="240"/>
      <w:ind w:left="2160" w:right="1440" w:hanging="720"/>
      <w:contextualSpacing/>
    </w:pPr>
  </w:style>
  <w:style w:type="character" w:customStyle="1" w:styleId="NumberedParagraphSingleChar">
    <w:name w:val="Numbered Paragraph Single Char"/>
    <w:basedOn w:val="DefaultParagraphFont"/>
    <w:link w:val="NumberedParagraphSingle"/>
    <w:rsid w:val="000E72A7"/>
  </w:style>
  <w:style w:type="paragraph" w:customStyle="1" w:styleId="TableEnd">
    <w:name w:val="Table End"/>
    <w:basedOn w:val="Normal"/>
    <w:uiPriority w:val="19"/>
    <w:rsid w:val="003B49FC"/>
    <w:pPr>
      <w:spacing w:before="60" w:after="180"/>
    </w:pPr>
  </w:style>
  <w:style w:type="paragraph" w:customStyle="1" w:styleId="TableHeading">
    <w:name w:val="Table Heading"/>
    <w:basedOn w:val="Normal"/>
    <w:uiPriority w:val="19"/>
    <w:rsid w:val="003B49FC"/>
    <w:pPr>
      <w:keepNext/>
      <w:spacing w:before="240" w:after="60"/>
      <w:jc w:val="center"/>
    </w:pPr>
    <w:rPr>
      <w:b/>
    </w:rPr>
  </w:style>
  <w:style w:type="paragraph" w:customStyle="1" w:styleId="TableText">
    <w:name w:val="Table Text"/>
    <w:basedOn w:val="Normal"/>
    <w:uiPriority w:val="19"/>
    <w:rsid w:val="003B49FC"/>
    <w:pPr>
      <w:spacing w:before="60" w:after="60"/>
    </w:pPr>
  </w:style>
  <w:style w:type="paragraph" w:styleId="TOCHeading">
    <w:name w:val="TOC Heading"/>
    <w:basedOn w:val="Normal"/>
    <w:next w:val="Normal"/>
    <w:uiPriority w:val="39"/>
    <w:semiHidden/>
    <w:unhideWhenUsed/>
    <w:rsid w:val="001B364F"/>
    <w:pPr>
      <w:spacing w:after="240"/>
      <w:contextualSpacing/>
      <w:jc w:val="center"/>
    </w:pPr>
    <w:rPr>
      <w:b/>
    </w:rPr>
  </w:style>
  <w:style w:type="paragraph" w:styleId="TOC1">
    <w:name w:val="toc 1"/>
    <w:basedOn w:val="Normal"/>
    <w:next w:val="Normal"/>
    <w:uiPriority w:val="39"/>
    <w:semiHidden/>
    <w:rsid w:val="001E0028"/>
    <w:pPr>
      <w:tabs>
        <w:tab w:val="right" w:leader="dot" w:pos="9346"/>
      </w:tabs>
      <w:spacing w:after="240"/>
      <w:ind w:left="720" w:right="720" w:hanging="720"/>
    </w:pPr>
    <w:rPr>
      <w:noProof/>
    </w:rPr>
  </w:style>
  <w:style w:type="paragraph" w:styleId="TOC2">
    <w:name w:val="toc 2"/>
    <w:basedOn w:val="Normal"/>
    <w:next w:val="Normal"/>
    <w:uiPriority w:val="39"/>
    <w:semiHidden/>
    <w:rsid w:val="001E0028"/>
    <w:pPr>
      <w:tabs>
        <w:tab w:val="right" w:leader="dot" w:pos="9346"/>
      </w:tabs>
      <w:spacing w:after="240"/>
      <w:ind w:left="1440" w:right="720" w:hanging="720"/>
    </w:pPr>
    <w:rPr>
      <w:noProof/>
    </w:rPr>
  </w:style>
  <w:style w:type="paragraph" w:styleId="TOC3">
    <w:name w:val="toc 3"/>
    <w:basedOn w:val="Normal"/>
    <w:next w:val="Normal"/>
    <w:uiPriority w:val="39"/>
    <w:semiHidden/>
    <w:rsid w:val="001E0028"/>
    <w:pPr>
      <w:tabs>
        <w:tab w:val="right" w:leader="dot" w:pos="9346"/>
      </w:tabs>
      <w:spacing w:after="240"/>
      <w:ind w:left="2160" w:right="720" w:hanging="720"/>
    </w:pPr>
    <w:rPr>
      <w:noProof/>
    </w:rPr>
  </w:style>
  <w:style w:type="paragraph" w:styleId="TOC4">
    <w:name w:val="toc 4"/>
    <w:basedOn w:val="Normal"/>
    <w:next w:val="Normal"/>
    <w:uiPriority w:val="39"/>
    <w:semiHidden/>
    <w:rsid w:val="001E0028"/>
    <w:pPr>
      <w:tabs>
        <w:tab w:val="right" w:leader="dot" w:pos="9346"/>
      </w:tabs>
      <w:spacing w:after="240"/>
      <w:ind w:left="2880" w:right="720" w:hanging="720"/>
    </w:pPr>
    <w:rPr>
      <w:noProof/>
    </w:rPr>
  </w:style>
  <w:style w:type="paragraph" w:styleId="TOC5">
    <w:name w:val="toc 5"/>
    <w:basedOn w:val="Normal"/>
    <w:next w:val="Normal"/>
    <w:uiPriority w:val="39"/>
    <w:semiHidden/>
    <w:rsid w:val="001E0028"/>
    <w:pPr>
      <w:tabs>
        <w:tab w:val="right" w:leader="dot" w:pos="9346"/>
      </w:tabs>
      <w:spacing w:after="240"/>
      <w:ind w:left="3600" w:right="720" w:hanging="720"/>
    </w:pPr>
    <w:rPr>
      <w:noProof/>
    </w:rPr>
  </w:style>
  <w:style w:type="paragraph" w:styleId="TOC6">
    <w:name w:val="toc 6"/>
    <w:basedOn w:val="Normal"/>
    <w:next w:val="Normal"/>
    <w:uiPriority w:val="39"/>
    <w:semiHidden/>
    <w:rsid w:val="001E0028"/>
    <w:pPr>
      <w:tabs>
        <w:tab w:val="right" w:leader="dot" w:pos="9346"/>
      </w:tabs>
      <w:spacing w:after="240"/>
      <w:ind w:left="4320" w:right="720" w:hanging="720"/>
    </w:pPr>
    <w:rPr>
      <w:noProof/>
    </w:rPr>
  </w:style>
  <w:style w:type="paragraph" w:styleId="TOC7">
    <w:name w:val="toc 7"/>
    <w:basedOn w:val="Normal"/>
    <w:next w:val="Normal"/>
    <w:uiPriority w:val="39"/>
    <w:semiHidden/>
    <w:rsid w:val="001E0028"/>
    <w:pPr>
      <w:tabs>
        <w:tab w:val="right" w:leader="dot" w:pos="9346"/>
      </w:tabs>
      <w:spacing w:after="240"/>
      <w:ind w:left="5040" w:right="720" w:hanging="720"/>
    </w:pPr>
    <w:rPr>
      <w:noProof/>
    </w:rPr>
  </w:style>
  <w:style w:type="paragraph" w:styleId="TOC8">
    <w:name w:val="toc 8"/>
    <w:basedOn w:val="Normal"/>
    <w:next w:val="Normal"/>
    <w:uiPriority w:val="39"/>
    <w:semiHidden/>
    <w:rsid w:val="001E0028"/>
    <w:pPr>
      <w:tabs>
        <w:tab w:val="right" w:leader="dot" w:pos="9346"/>
      </w:tabs>
      <w:spacing w:after="240"/>
      <w:ind w:left="5760" w:right="720" w:hanging="720"/>
    </w:pPr>
    <w:rPr>
      <w:noProof/>
    </w:rPr>
  </w:style>
  <w:style w:type="paragraph" w:styleId="TOC9">
    <w:name w:val="toc 9"/>
    <w:basedOn w:val="Normal"/>
    <w:next w:val="Normal"/>
    <w:uiPriority w:val="39"/>
    <w:semiHidden/>
    <w:rsid w:val="008201FD"/>
    <w:pPr>
      <w:tabs>
        <w:tab w:val="right" w:leader="dot" w:pos="9346"/>
      </w:tabs>
      <w:spacing w:after="240"/>
      <w:ind w:left="6480" w:right="720" w:hanging="720"/>
    </w:pPr>
    <w:rPr>
      <w:noProof/>
    </w:rPr>
  </w:style>
  <w:style w:type="paragraph" w:styleId="ListParagraph">
    <w:name w:val="List Paragraph"/>
    <w:basedOn w:val="Normal"/>
    <w:uiPriority w:val="9"/>
    <w:rsid w:val="00D60661"/>
    <w:pPr>
      <w:ind w:left="720"/>
      <w:contextualSpacing/>
    </w:pPr>
  </w:style>
  <w:style w:type="character" w:styleId="Hyperlink">
    <w:name w:val="Hyperlink"/>
    <w:basedOn w:val="DefaultParagraphFont"/>
    <w:uiPriority w:val="99"/>
    <w:unhideWhenUsed/>
    <w:rsid w:val="00011C08"/>
    <w:rPr>
      <w:color w:val="0000FF" w:themeColor="hyperlink"/>
      <w:u w:val="single"/>
    </w:rPr>
  </w:style>
  <w:style w:type="paragraph" w:customStyle="1" w:styleId="ImanageFooter">
    <w:name w:val="Imanage Footer"/>
    <w:basedOn w:val="Normal"/>
    <w:rsid w:val="00783494"/>
    <w:rPr>
      <w:rFonts w:ascii="Times New Roman" w:eastAsia="Times New Roman" w:hAnsi="Times New Roman" w:cs="Times New Roman"/>
      <w:sz w:val="16"/>
      <w:lang w:val="en-US"/>
    </w:rPr>
  </w:style>
  <w:style w:type="character" w:styleId="CommentReference">
    <w:name w:val="annotation reference"/>
    <w:basedOn w:val="DefaultParagraphFont"/>
    <w:uiPriority w:val="99"/>
    <w:semiHidden/>
    <w:unhideWhenUsed/>
    <w:rsid w:val="006E7560"/>
    <w:rPr>
      <w:sz w:val="16"/>
      <w:szCs w:val="16"/>
    </w:rPr>
  </w:style>
  <w:style w:type="paragraph" w:styleId="CommentText">
    <w:name w:val="annotation text"/>
    <w:basedOn w:val="Normal"/>
    <w:link w:val="CommentTextChar"/>
    <w:uiPriority w:val="99"/>
    <w:unhideWhenUsed/>
    <w:rsid w:val="006E7560"/>
    <w:rPr>
      <w:sz w:val="20"/>
      <w:szCs w:val="20"/>
    </w:rPr>
  </w:style>
  <w:style w:type="character" w:customStyle="1" w:styleId="CommentTextChar">
    <w:name w:val="Comment Text Char"/>
    <w:basedOn w:val="DefaultParagraphFont"/>
    <w:link w:val="CommentText"/>
    <w:uiPriority w:val="99"/>
    <w:rsid w:val="006E7560"/>
    <w:rPr>
      <w:sz w:val="20"/>
      <w:szCs w:val="20"/>
      <w:lang w:val="en-GB"/>
    </w:rPr>
  </w:style>
  <w:style w:type="paragraph" w:styleId="CommentSubject">
    <w:name w:val="annotation subject"/>
    <w:basedOn w:val="CommentText"/>
    <w:next w:val="CommentText"/>
    <w:link w:val="CommentSubjectChar"/>
    <w:uiPriority w:val="99"/>
    <w:semiHidden/>
    <w:unhideWhenUsed/>
    <w:rsid w:val="006E7560"/>
    <w:rPr>
      <w:b/>
      <w:bCs/>
    </w:rPr>
  </w:style>
  <w:style w:type="character" w:customStyle="1" w:styleId="CommentSubjectChar">
    <w:name w:val="Comment Subject Char"/>
    <w:basedOn w:val="CommentTextChar"/>
    <w:link w:val="CommentSubject"/>
    <w:uiPriority w:val="99"/>
    <w:semiHidden/>
    <w:rsid w:val="006E7560"/>
    <w:rPr>
      <w:b/>
      <w:bCs/>
      <w:sz w:val="20"/>
      <w:szCs w:val="20"/>
      <w:lang w:val="en-GB"/>
    </w:rPr>
  </w:style>
  <w:style w:type="paragraph" w:styleId="BalloonText">
    <w:name w:val="Balloon Text"/>
    <w:basedOn w:val="Normal"/>
    <w:link w:val="BalloonTextChar"/>
    <w:uiPriority w:val="99"/>
    <w:semiHidden/>
    <w:unhideWhenUsed/>
    <w:rsid w:val="006E7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560"/>
    <w:rPr>
      <w:rFonts w:ascii="Segoe UI" w:hAnsi="Segoe UI" w:cs="Segoe UI"/>
      <w:sz w:val="18"/>
      <w:szCs w:val="18"/>
      <w:lang w:val="en-GB"/>
    </w:rPr>
  </w:style>
  <w:style w:type="paragraph" w:styleId="Revision">
    <w:name w:val="Revision"/>
    <w:hidden/>
    <w:uiPriority w:val="99"/>
    <w:semiHidden/>
    <w:rsid w:val="003B6BD5"/>
    <w:rPr>
      <w:lang w:val="en-GB"/>
    </w:rPr>
  </w:style>
  <w:style w:type="paragraph" w:customStyle="1" w:styleId="Merckbodycopy">
    <w:name w:val="Merck body copy"/>
    <w:basedOn w:val="Normal"/>
    <w:qFormat/>
    <w:rsid w:val="00A603FD"/>
    <w:rPr>
      <w:rFonts w:ascii="Arial Narrow" w:eastAsiaTheme="minorEastAsia" w:hAnsi="Arial Narro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76079">
      <w:bodyDiv w:val="1"/>
      <w:marLeft w:val="0"/>
      <w:marRight w:val="0"/>
      <w:marTop w:val="0"/>
      <w:marBottom w:val="0"/>
      <w:divBdr>
        <w:top w:val="none" w:sz="0" w:space="0" w:color="auto"/>
        <w:left w:val="none" w:sz="0" w:space="0" w:color="auto"/>
        <w:bottom w:val="none" w:sz="0" w:space="0" w:color="auto"/>
        <w:right w:val="none" w:sz="0" w:space="0" w:color="auto"/>
      </w:divBdr>
    </w:div>
    <w:div w:id="1085230405">
      <w:bodyDiv w:val="1"/>
      <w:marLeft w:val="0"/>
      <w:marRight w:val="0"/>
      <w:marTop w:val="0"/>
      <w:marBottom w:val="0"/>
      <w:divBdr>
        <w:top w:val="none" w:sz="0" w:space="0" w:color="auto"/>
        <w:left w:val="none" w:sz="0" w:space="0" w:color="auto"/>
        <w:bottom w:val="none" w:sz="0" w:space="0" w:color="auto"/>
        <w:right w:val="none" w:sz="0" w:space="0" w:color="auto"/>
      </w:divBdr>
      <w:divsChild>
        <w:div w:id="1536189205">
          <w:marLeft w:val="0"/>
          <w:marRight w:val="0"/>
          <w:marTop w:val="0"/>
          <w:marBottom w:val="0"/>
          <w:divBdr>
            <w:top w:val="none" w:sz="0" w:space="0" w:color="auto"/>
            <w:left w:val="none" w:sz="0" w:space="0" w:color="auto"/>
            <w:bottom w:val="none" w:sz="0" w:space="0" w:color="auto"/>
            <w:right w:val="none" w:sz="0" w:space="0" w:color="auto"/>
          </w:divBdr>
          <w:divsChild>
            <w:div w:id="13274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definition-of-disability-under-equality-act-2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ack Text">
      <a:dk1>
        <a:srgbClr val="000000"/>
      </a:dk1>
      <a:lt1>
        <a:srgbClr val="FFFFFF"/>
      </a:lt1>
      <a:dk2>
        <a:srgbClr val="003366"/>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vington]">
      <a:majorFont>
        <a:latin typeface="Times New Roman"/>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imes New Roman"/>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lumMod val="60000"/>
            <a:lumOff val="40000"/>
          </a:schemeClr>
        </a:solidFill>
        <a:ln>
          <a:solidFill>
            <a:schemeClr val="tx2">
              <a:lumMod val="60000"/>
              <a:lumOff val="4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BB5B7395AAD91348A660C3B9AB0393D4" ma:contentTypeVersion="12" ma:contentTypeDescription="Create a new document." ma:contentTypeScope="" ma:versionID="0664238f159ee58c8c229202b6f145be">
  <xsd:schema xmlns:xsd="http://www.w3.org/2001/XMLSchema" xmlns:xs="http://www.w3.org/2001/XMLSchema" xmlns:p="http://schemas.microsoft.com/office/2006/metadata/properties" xmlns:ns3="3efe2ce6-064e-44b7-b89f-d7d55f616a25" xmlns:ns4="a47d4169-c68d-4784-883b-7ec06c039fc0" targetNamespace="http://schemas.microsoft.com/office/2006/metadata/properties" ma:root="true" ma:fieldsID="6086d32478a47f4ee100a1f8894eb71b" ns3:_="" ns4:_="">
    <xsd:import namespace="3efe2ce6-064e-44b7-b89f-d7d55f616a25"/>
    <xsd:import namespace="a47d4169-c68d-4784-883b-7ec06c039f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e2ce6-064e-44b7-b89f-d7d55f616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7d4169-c68d-4784-883b-7ec06c039f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7A53D-17EA-402B-A573-720D2FCB95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A91EE77-FBEF-4DA1-9788-1AC44F4BA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e2ce6-064e-44b7-b89f-d7d55f616a25"/>
    <ds:schemaRef ds:uri="a47d4169-c68d-4784-883b-7ec06c039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E394A-AC23-4386-B9DC-B309B9FB78CF}">
  <ds:schemaRefs>
    <ds:schemaRef ds:uri="http://purl.org/dc/terms/"/>
    <ds:schemaRef ds:uri="http://schemas.microsoft.com/office/2006/documentManagement/types"/>
    <ds:schemaRef ds:uri="a47d4169-c68d-4784-883b-7ec06c039fc0"/>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efe2ce6-064e-44b7-b89f-d7d55f616a25"/>
    <ds:schemaRef ds:uri="http://www.w3.org/XML/1998/namespace"/>
    <ds:schemaRef ds:uri="http://purl.org/dc/dcmitype/"/>
  </ds:schemaRefs>
</ds:datastoreItem>
</file>

<file path=customXml/itemProps4.xml><?xml version="1.0" encoding="utf-8"?>
<ds:datastoreItem xmlns:ds="http://schemas.openxmlformats.org/officeDocument/2006/customXml" ds:itemID="{B7953F35-C406-46F0-AD5F-15DF15999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4140</Words>
  <Characters>23601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2020-06-17T09:35:00Z</dcterms:created>
  <dcterms:modified xsi:type="dcterms:W3CDTF">2020-06-23T10:19:00Z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b7322dbc-ba6d-4f4b-93b0-12f3e0b09253</vt:lpwstr>
  </property>
  <property fmtid="{D5CDD505-2E9C-101B-9397-08002B2CF9AE}" pid="3" name="bjSaver">
    <vt:lpwstr>aPhk5nVJ6KqZHovHSflw+qDvVuagFal5</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AdHocReviewCycleID">
    <vt:i4>16367759</vt:i4>
  </property>
  <property fmtid="{D5CDD505-2E9C-101B-9397-08002B2CF9AE}" pid="8" name="_NewReviewCycle">
    <vt:lpwstr/>
  </property>
  <property fmtid="{D5CDD505-2E9C-101B-9397-08002B2CF9AE}" pid="9" name="ContentTypeId">
    <vt:lpwstr>0x010100BB5B7395AAD91348A660C3B9AB0393D4</vt:lpwstr>
  </property>
  <property fmtid="{D5CDD505-2E9C-101B-9397-08002B2CF9AE}" pid="10" name="_PreviousAdHocReviewCycleID">
    <vt:i4>-276167772</vt:i4>
  </property>
  <property fmtid="{D5CDD505-2E9C-101B-9397-08002B2CF9AE}" pid="11" name="_ReviewingToolsShownOnce">
    <vt:lpwstr/>
  </property>
</Properties>
</file>