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BF6FD" w14:textId="77777777" w:rsidR="003464BE" w:rsidRPr="008C721D" w:rsidRDefault="003464BE" w:rsidP="004E785A">
      <w:pPr>
        <w:pStyle w:val="DeliveryAndDate"/>
        <w:rPr>
          <w:rStyle w:val="DeliveryMethod"/>
          <w:rFonts w:ascii="Times New Roman" w:hAnsi="Times New Roman"/>
        </w:rPr>
      </w:pPr>
    </w:p>
    <w:p w14:paraId="0A1F2FC4" w14:textId="77777777" w:rsidR="003464BE" w:rsidRPr="008C721D" w:rsidRDefault="003464BE" w:rsidP="004E785A">
      <w:pPr>
        <w:pStyle w:val="DeliveryAndDate"/>
        <w:rPr>
          <w:rStyle w:val="DeliveryMethod"/>
          <w:rFonts w:ascii="Times New Roman" w:hAnsi="Times New Roman"/>
        </w:rPr>
      </w:pPr>
    </w:p>
    <w:p w14:paraId="69781C3C" w14:textId="77777777" w:rsidR="003464BE" w:rsidRPr="008C721D" w:rsidRDefault="003464BE" w:rsidP="004E785A">
      <w:pPr>
        <w:pStyle w:val="DeliveryAndDate"/>
        <w:rPr>
          <w:rStyle w:val="DeliveryMethod"/>
          <w:rFonts w:ascii="Times New Roman" w:hAnsi="Times New Roman"/>
        </w:rPr>
      </w:pPr>
    </w:p>
    <w:p w14:paraId="3FE0262E" w14:textId="77777777" w:rsidR="003464BE" w:rsidRPr="008C721D" w:rsidRDefault="003464BE" w:rsidP="004E785A">
      <w:pPr>
        <w:pStyle w:val="DeliveryAndDate"/>
        <w:rPr>
          <w:rStyle w:val="DeliveryMethod"/>
          <w:rFonts w:ascii="Times New Roman" w:hAnsi="Times New Roman"/>
        </w:rPr>
      </w:pPr>
    </w:p>
    <w:p w14:paraId="15257A45" w14:textId="77777777" w:rsidR="003464BE" w:rsidRPr="008C721D" w:rsidRDefault="003464BE" w:rsidP="004E785A">
      <w:pPr>
        <w:pStyle w:val="DeliveryAndDate"/>
        <w:rPr>
          <w:rStyle w:val="DeliveryMethod"/>
          <w:rFonts w:ascii="Times New Roman" w:hAnsi="Times New Roman"/>
        </w:rPr>
      </w:pPr>
    </w:p>
    <w:p w14:paraId="59D06E73" w14:textId="77777777" w:rsidR="00693BBE" w:rsidRPr="008C721D" w:rsidRDefault="004E785A" w:rsidP="00C909E0">
      <w:pPr>
        <w:pStyle w:val="DeliveryAndDate"/>
        <w:rPr>
          <w:rFonts w:ascii="Times New Roman" w:hAnsi="Times New Roman"/>
        </w:rPr>
      </w:pPr>
      <w:r w:rsidRPr="008C721D">
        <w:rPr>
          <w:rStyle w:val="DeliveryMethod"/>
          <w:rFonts w:ascii="Times New Roman" w:hAnsi="Times New Roman"/>
        </w:rPr>
        <w:t>By Email</w:t>
      </w:r>
    </w:p>
    <w:p w14:paraId="2C2A1343" w14:textId="032CF616" w:rsidR="00A51A3B" w:rsidRPr="004D4388" w:rsidRDefault="004D4388" w:rsidP="00A51A3B">
      <w:pPr>
        <w:pStyle w:val="Recipient1"/>
        <w:rPr>
          <w:rFonts w:ascii="Times New Roman" w:hAnsi="Times New Roman"/>
        </w:rPr>
      </w:pPr>
      <w:proofErr w:type="spellStart"/>
      <w:r w:rsidRPr="004D4388">
        <w:rPr>
          <w:rFonts w:ascii="Times New Roman" w:hAnsi="Times New Roman"/>
          <w:highlight w:val="black"/>
        </w:rPr>
        <w:t>Xxxxx</w:t>
      </w:r>
      <w:proofErr w:type="spellEnd"/>
      <w:r>
        <w:rPr>
          <w:rFonts w:ascii="Times New Roman" w:hAnsi="Times New Roman"/>
        </w:rPr>
        <w:t xml:space="preserve"> </w:t>
      </w:r>
      <w:proofErr w:type="spellStart"/>
      <w:r w:rsidRPr="004D4388">
        <w:rPr>
          <w:rFonts w:ascii="Times New Roman" w:hAnsi="Times New Roman"/>
          <w:highlight w:val="black"/>
        </w:rPr>
        <w:t>xxxxx</w:t>
      </w:r>
      <w:proofErr w:type="spellEnd"/>
      <w:r>
        <w:rPr>
          <w:rFonts w:ascii="Times New Roman" w:hAnsi="Times New Roman"/>
        </w:rPr>
        <w:t xml:space="preserve"> </w:t>
      </w:r>
    </w:p>
    <w:p w14:paraId="6531B0E1" w14:textId="77777777" w:rsidR="00A51A3B" w:rsidRPr="008C721D" w:rsidRDefault="00A51A3B" w:rsidP="00A51A3B">
      <w:pPr>
        <w:pStyle w:val="Recipient1"/>
        <w:rPr>
          <w:rFonts w:ascii="Times New Roman" w:hAnsi="Times New Roman"/>
        </w:rPr>
      </w:pPr>
      <w:r w:rsidRPr="004D4388">
        <w:rPr>
          <w:rFonts w:ascii="Times New Roman" w:hAnsi="Times New Roman"/>
        </w:rPr>
        <w:t>Project Manager - Corporate Office</w:t>
      </w:r>
    </w:p>
    <w:p w14:paraId="3E5B82C7" w14:textId="77777777" w:rsidR="00A51A3B" w:rsidRPr="008C721D" w:rsidRDefault="00A51A3B" w:rsidP="00A51A3B">
      <w:pPr>
        <w:pStyle w:val="Recipient1"/>
        <w:rPr>
          <w:rFonts w:ascii="Times New Roman" w:hAnsi="Times New Roman"/>
        </w:rPr>
      </w:pPr>
      <w:r w:rsidRPr="008C721D">
        <w:rPr>
          <w:rFonts w:ascii="Times New Roman" w:hAnsi="Times New Roman"/>
        </w:rPr>
        <w:t>National Institute for Health and Care Excellence</w:t>
      </w:r>
    </w:p>
    <w:p w14:paraId="57B4DA5E" w14:textId="77777777" w:rsidR="00A51A3B" w:rsidRPr="008C721D" w:rsidRDefault="00A51A3B" w:rsidP="00A51A3B">
      <w:pPr>
        <w:pStyle w:val="Recipient1"/>
        <w:rPr>
          <w:rFonts w:ascii="Times New Roman" w:hAnsi="Times New Roman"/>
        </w:rPr>
      </w:pPr>
      <w:r w:rsidRPr="008C721D">
        <w:rPr>
          <w:rFonts w:ascii="Times New Roman" w:hAnsi="Times New Roman"/>
        </w:rPr>
        <w:t xml:space="preserve">10 Spring Gardens </w:t>
      </w:r>
    </w:p>
    <w:p w14:paraId="502A2C54" w14:textId="77777777" w:rsidR="004E785A" w:rsidRDefault="00A51A3B" w:rsidP="00A51A3B">
      <w:pPr>
        <w:pStyle w:val="Recipient1"/>
        <w:rPr>
          <w:rFonts w:ascii="Times New Roman" w:hAnsi="Times New Roman"/>
        </w:rPr>
      </w:pPr>
      <w:r w:rsidRPr="008C721D">
        <w:rPr>
          <w:rFonts w:ascii="Times New Roman" w:hAnsi="Times New Roman"/>
        </w:rPr>
        <w:t>London SW1A 2BU</w:t>
      </w:r>
    </w:p>
    <w:p w14:paraId="7CF366BB" w14:textId="77777777" w:rsidR="00C909E0" w:rsidRDefault="00C909E0" w:rsidP="00C909E0">
      <w:pPr>
        <w:pStyle w:val="Address1"/>
        <w:jc w:val="right"/>
        <w:rPr>
          <w:rStyle w:val="DeliveryMethod"/>
          <w:rFonts w:ascii="Times New Roman" w:hAnsi="Times New Roman"/>
          <w:b w:val="0"/>
        </w:rPr>
      </w:pPr>
    </w:p>
    <w:p w14:paraId="20B91A6F" w14:textId="77777777" w:rsidR="00C909E0" w:rsidRPr="00C909E0" w:rsidRDefault="00C909E0" w:rsidP="00C909E0">
      <w:pPr>
        <w:pStyle w:val="Address1"/>
        <w:jc w:val="right"/>
      </w:pPr>
      <w:r w:rsidRPr="00C909E0">
        <w:rPr>
          <w:rStyle w:val="DeliveryMethod"/>
          <w:rFonts w:ascii="Times New Roman" w:hAnsi="Times New Roman"/>
          <w:b w:val="0"/>
        </w:rPr>
        <w:t xml:space="preserve">June </w:t>
      </w:r>
      <w:r w:rsidR="00771723">
        <w:rPr>
          <w:rStyle w:val="DeliveryMethod"/>
          <w:rFonts w:ascii="Times New Roman" w:hAnsi="Times New Roman"/>
          <w:b w:val="0"/>
        </w:rPr>
        <w:t>2</w:t>
      </w:r>
      <w:r w:rsidRPr="00C909E0">
        <w:rPr>
          <w:rStyle w:val="DateFormat"/>
          <w:rFonts w:ascii="Times New Roman" w:hAnsi="Times New Roman"/>
        </w:rPr>
        <w:t>, 2020</w:t>
      </w:r>
    </w:p>
    <w:p w14:paraId="7837C998" w14:textId="77777777" w:rsidR="004E785A" w:rsidRPr="008C721D" w:rsidRDefault="004E785A" w:rsidP="004E785A">
      <w:pPr>
        <w:pStyle w:val="Address1"/>
        <w:rPr>
          <w:rFonts w:ascii="Times New Roman" w:hAnsi="Times New Roman"/>
        </w:rPr>
      </w:pPr>
    </w:p>
    <w:p w14:paraId="0F3DD20B" w14:textId="0BC6B8BC" w:rsidR="004E785A" w:rsidRPr="008C721D" w:rsidRDefault="00A51A3B" w:rsidP="004E785A">
      <w:pPr>
        <w:pStyle w:val="Salutation"/>
        <w:rPr>
          <w:rFonts w:ascii="Times New Roman" w:hAnsi="Times New Roman"/>
        </w:rPr>
      </w:pPr>
      <w:r w:rsidRPr="008C721D">
        <w:rPr>
          <w:rFonts w:ascii="Times New Roman" w:hAnsi="Times New Roman"/>
        </w:rPr>
        <w:t xml:space="preserve">Dear </w:t>
      </w:r>
      <w:r w:rsidR="004D4388" w:rsidRPr="004D4388">
        <w:rPr>
          <w:rFonts w:ascii="Times New Roman" w:hAnsi="Times New Roman"/>
          <w:highlight w:val="black"/>
        </w:rPr>
        <w:t>xx</w:t>
      </w:r>
      <w:r w:rsidR="004D4388">
        <w:rPr>
          <w:rFonts w:ascii="Times New Roman" w:hAnsi="Times New Roman"/>
        </w:rPr>
        <w:t xml:space="preserve"> </w:t>
      </w:r>
      <w:proofErr w:type="spellStart"/>
      <w:r w:rsidR="004D4388" w:rsidRPr="004D4388">
        <w:rPr>
          <w:rFonts w:ascii="Times New Roman" w:hAnsi="Times New Roman"/>
          <w:highlight w:val="black"/>
        </w:rPr>
        <w:t>xxxxx</w:t>
      </w:r>
      <w:proofErr w:type="spellEnd"/>
      <w:r w:rsidR="004D4388">
        <w:rPr>
          <w:rFonts w:ascii="Times New Roman" w:hAnsi="Times New Roman"/>
        </w:rPr>
        <w:t xml:space="preserve"> </w:t>
      </w:r>
    </w:p>
    <w:p w14:paraId="51AFB35B" w14:textId="77777777" w:rsidR="00A51A3B" w:rsidRPr="008C721D" w:rsidRDefault="00A51A3B" w:rsidP="00A51A3B">
      <w:pPr>
        <w:pStyle w:val="BodyTextFirstHalfIndent"/>
        <w:ind w:firstLine="0"/>
        <w:rPr>
          <w:rFonts w:ascii="Times New Roman" w:hAnsi="Times New Roman"/>
          <w:b/>
        </w:rPr>
      </w:pPr>
      <w:r w:rsidRPr="008C721D">
        <w:rPr>
          <w:rFonts w:ascii="Times New Roman" w:hAnsi="Times New Roman"/>
          <w:b/>
        </w:rPr>
        <w:t>Appeal Panel legal advice - Pembrolizumab (appeal point 1b.1)</w:t>
      </w:r>
    </w:p>
    <w:p w14:paraId="5C808F36" w14:textId="7AF799AD" w:rsidR="004E785A" w:rsidRPr="008C721D" w:rsidRDefault="003464BE" w:rsidP="00A51A3B">
      <w:pPr>
        <w:pStyle w:val="ListParagraph"/>
        <w:numPr>
          <w:ilvl w:val="0"/>
          <w:numId w:val="24"/>
        </w:numPr>
        <w:ind w:left="360"/>
        <w:jc w:val="both"/>
        <w:rPr>
          <w:rFonts w:ascii="Times New Roman" w:hAnsi="Times New Roman" w:cs="Times New Roman"/>
          <w:sz w:val="22"/>
          <w:szCs w:val="22"/>
        </w:rPr>
      </w:pPr>
      <w:r w:rsidRPr="008C721D">
        <w:rPr>
          <w:rFonts w:ascii="Times New Roman" w:hAnsi="Times New Roman" w:cs="Times New Roman"/>
          <w:sz w:val="22"/>
          <w:szCs w:val="22"/>
        </w:rPr>
        <w:t xml:space="preserve">We are writing </w:t>
      </w:r>
      <w:r w:rsidR="00A51A3B" w:rsidRPr="008C721D">
        <w:rPr>
          <w:rFonts w:ascii="Times New Roman" w:hAnsi="Times New Roman" w:cs="Times New Roman"/>
          <w:sz w:val="22"/>
          <w:szCs w:val="22"/>
        </w:rPr>
        <w:t xml:space="preserve"> </w:t>
      </w:r>
      <w:r w:rsidRPr="008C721D">
        <w:rPr>
          <w:rFonts w:ascii="Times New Roman" w:hAnsi="Times New Roman" w:cs="Times New Roman"/>
          <w:sz w:val="22"/>
          <w:szCs w:val="22"/>
        </w:rPr>
        <w:t>to respo</w:t>
      </w:r>
      <w:r w:rsidR="00A51A3B" w:rsidRPr="008C721D">
        <w:rPr>
          <w:rFonts w:ascii="Times New Roman" w:hAnsi="Times New Roman" w:cs="Times New Roman"/>
          <w:sz w:val="22"/>
          <w:szCs w:val="22"/>
        </w:rPr>
        <w:t xml:space="preserve">nd to the </w:t>
      </w:r>
      <w:r w:rsidR="004E785A" w:rsidRPr="008C721D">
        <w:rPr>
          <w:rFonts w:ascii="Times New Roman" w:hAnsi="Times New Roman" w:cs="Times New Roman"/>
          <w:sz w:val="22"/>
          <w:szCs w:val="22"/>
        </w:rPr>
        <w:t xml:space="preserve">memorandum of advice dated 22 May 2020 from the Appeal Panel’s legal adviser regarding the human rights and equality law aspects of </w:t>
      </w:r>
      <w:r w:rsidRPr="008C721D">
        <w:rPr>
          <w:rFonts w:ascii="Times New Roman" w:hAnsi="Times New Roman" w:cs="Times New Roman"/>
          <w:sz w:val="22"/>
          <w:szCs w:val="22"/>
        </w:rPr>
        <w:t>Merck Sharp &amp; Dohme Limited’s (“MSD’s”)</w:t>
      </w:r>
      <w:r w:rsidR="004E785A" w:rsidRPr="008C721D">
        <w:rPr>
          <w:rFonts w:ascii="Times New Roman" w:hAnsi="Times New Roman" w:cs="Times New Roman"/>
          <w:sz w:val="22"/>
          <w:szCs w:val="22"/>
        </w:rPr>
        <w:t xml:space="preserve"> appeal (the “</w:t>
      </w:r>
      <w:r w:rsidR="00B32A39" w:rsidRPr="008C721D">
        <w:rPr>
          <w:rFonts w:ascii="Times New Roman" w:hAnsi="Times New Roman" w:cs="Times New Roman"/>
          <w:sz w:val="22"/>
          <w:szCs w:val="22"/>
        </w:rPr>
        <w:t>Memorandum</w:t>
      </w:r>
      <w:r w:rsidR="004E785A" w:rsidRPr="008C721D">
        <w:rPr>
          <w:rFonts w:ascii="Times New Roman" w:hAnsi="Times New Roman" w:cs="Times New Roman"/>
          <w:sz w:val="22"/>
          <w:szCs w:val="22"/>
        </w:rPr>
        <w:t xml:space="preserve">”).  We are grateful to </w:t>
      </w:r>
      <w:r w:rsidR="004D4388" w:rsidRPr="004D4388">
        <w:rPr>
          <w:rFonts w:ascii="Times New Roman" w:hAnsi="Times New Roman" w:cs="Times New Roman"/>
          <w:sz w:val="22"/>
          <w:szCs w:val="22"/>
          <w:highlight w:val="black"/>
        </w:rPr>
        <w:t>xx</w:t>
      </w:r>
      <w:r w:rsidR="004D4388">
        <w:rPr>
          <w:rFonts w:ascii="Times New Roman" w:hAnsi="Times New Roman" w:cs="Times New Roman"/>
          <w:sz w:val="22"/>
          <w:szCs w:val="22"/>
        </w:rPr>
        <w:t xml:space="preserve"> </w:t>
      </w:r>
      <w:proofErr w:type="spellStart"/>
      <w:r w:rsidR="004D4388" w:rsidRPr="004D4388">
        <w:rPr>
          <w:rFonts w:ascii="Times New Roman" w:hAnsi="Times New Roman" w:cs="Times New Roman"/>
          <w:sz w:val="22"/>
          <w:szCs w:val="22"/>
          <w:highlight w:val="black"/>
        </w:rPr>
        <w:t>xxxxxxx</w:t>
      </w:r>
      <w:proofErr w:type="spellEnd"/>
      <w:r w:rsidR="004D4388">
        <w:rPr>
          <w:rFonts w:ascii="Times New Roman" w:hAnsi="Times New Roman" w:cs="Times New Roman"/>
          <w:sz w:val="22"/>
          <w:szCs w:val="22"/>
        </w:rPr>
        <w:t xml:space="preserve"> </w:t>
      </w:r>
      <w:r w:rsidR="00A4406B" w:rsidRPr="008C721D">
        <w:rPr>
          <w:rFonts w:ascii="Times New Roman" w:hAnsi="Times New Roman" w:cs="Times New Roman"/>
          <w:sz w:val="22"/>
          <w:szCs w:val="22"/>
        </w:rPr>
        <w:t>of</w:t>
      </w:r>
      <w:r w:rsidR="004E785A" w:rsidRPr="008C721D">
        <w:rPr>
          <w:rFonts w:ascii="Times New Roman" w:hAnsi="Times New Roman" w:cs="Times New Roman"/>
          <w:sz w:val="22"/>
          <w:szCs w:val="22"/>
        </w:rPr>
        <w:t xml:space="preserve"> DAC </w:t>
      </w:r>
      <w:proofErr w:type="spellStart"/>
      <w:r w:rsidR="004E785A" w:rsidRPr="008C721D">
        <w:rPr>
          <w:rFonts w:ascii="Times New Roman" w:hAnsi="Times New Roman" w:cs="Times New Roman"/>
          <w:sz w:val="22"/>
          <w:szCs w:val="22"/>
        </w:rPr>
        <w:t>Beechcroft</w:t>
      </w:r>
      <w:proofErr w:type="spellEnd"/>
      <w:r w:rsidR="004E785A" w:rsidRPr="008C721D">
        <w:rPr>
          <w:rFonts w:ascii="Times New Roman" w:hAnsi="Times New Roman" w:cs="Times New Roman"/>
          <w:sz w:val="22"/>
          <w:szCs w:val="22"/>
        </w:rPr>
        <w:t xml:space="preserve"> for a thorough and </w:t>
      </w:r>
      <w:r w:rsidR="00B32A39" w:rsidRPr="008C721D">
        <w:rPr>
          <w:rFonts w:ascii="Times New Roman" w:hAnsi="Times New Roman" w:cs="Times New Roman"/>
          <w:sz w:val="22"/>
          <w:szCs w:val="22"/>
        </w:rPr>
        <w:t xml:space="preserve">thoughtful </w:t>
      </w:r>
      <w:r w:rsidR="004E785A" w:rsidRPr="008C721D">
        <w:rPr>
          <w:rFonts w:ascii="Times New Roman" w:hAnsi="Times New Roman" w:cs="Times New Roman"/>
          <w:sz w:val="22"/>
          <w:szCs w:val="22"/>
        </w:rPr>
        <w:t xml:space="preserve">summary of the relevant legal framework and the key questions </w:t>
      </w:r>
      <w:r w:rsidR="00B32A39" w:rsidRPr="008C721D">
        <w:rPr>
          <w:rFonts w:ascii="Times New Roman" w:hAnsi="Times New Roman" w:cs="Times New Roman"/>
          <w:sz w:val="22"/>
          <w:szCs w:val="22"/>
        </w:rPr>
        <w:t xml:space="preserve">that </w:t>
      </w:r>
      <w:r w:rsidR="004E785A" w:rsidRPr="008C721D">
        <w:rPr>
          <w:rFonts w:ascii="Times New Roman" w:hAnsi="Times New Roman" w:cs="Times New Roman"/>
          <w:sz w:val="22"/>
          <w:szCs w:val="22"/>
        </w:rPr>
        <w:t xml:space="preserve">the Appeal Panel must </w:t>
      </w:r>
      <w:r w:rsidR="00B32A39" w:rsidRPr="008C721D">
        <w:rPr>
          <w:rFonts w:ascii="Times New Roman" w:hAnsi="Times New Roman" w:cs="Times New Roman"/>
          <w:sz w:val="22"/>
          <w:szCs w:val="22"/>
        </w:rPr>
        <w:t>address</w:t>
      </w:r>
      <w:r w:rsidR="004E785A" w:rsidRPr="008C721D">
        <w:rPr>
          <w:rFonts w:ascii="Times New Roman" w:hAnsi="Times New Roman" w:cs="Times New Roman"/>
          <w:sz w:val="22"/>
          <w:szCs w:val="22"/>
        </w:rPr>
        <w:t xml:space="preserve">.  It </w:t>
      </w:r>
      <w:r w:rsidRPr="008C721D">
        <w:rPr>
          <w:rFonts w:ascii="Times New Roman" w:hAnsi="Times New Roman" w:cs="Times New Roman"/>
          <w:sz w:val="22"/>
          <w:szCs w:val="22"/>
        </w:rPr>
        <w:t>was</w:t>
      </w:r>
      <w:r w:rsidR="004E785A" w:rsidRPr="008C721D">
        <w:rPr>
          <w:rFonts w:ascii="Times New Roman" w:hAnsi="Times New Roman" w:cs="Times New Roman"/>
          <w:sz w:val="22"/>
          <w:szCs w:val="22"/>
        </w:rPr>
        <w:t xml:space="preserve"> a pleasure to read his well-constructed and elegant advice.</w:t>
      </w:r>
    </w:p>
    <w:p w14:paraId="4B02ECB3" w14:textId="77777777" w:rsidR="004E785A" w:rsidRPr="008C721D" w:rsidRDefault="004E785A" w:rsidP="00A51A3B">
      <w:pPr>
        <w:jc w:val="both"/>
        <w:rPr>
          <w:rFonts w:ascii="Times New Roman" w:hAnsi="Times New Roman"/>
        </w:rPr>
      </w:pPr>
    </w:p>
    <w:p w14:paraId="4A3F5FF3" w14:textId="77777777" w:rsidR="004E785A" w:rsidRPr="008C721D" w:rsidRDefault="004E785A" w:rsidP="00A51A3B">
      <w:pPr>
        <w:pStyle w:val="ListParagraph"/>
        <w:numPr>
          <w:ilvl w:val="0"/>
          <w:numId w:val="24"/>
        </w:numPr>
        <w:ind w:left="360"/>
        <w:jc w:val="both"/>
        <w:rPr>
          <w:rFonts w:ascii="Times New Roman" w:hAnsi="Times New Roman" w:cs="Times New Roman"/>
          <w:sz w:val="22"/>
          <w:szCs w:val="22"/>
        </w:rPr>
      </w:pPr>
      <w:r w:rsidRPr="008C721D">
        <w:rPr>
          <w:rFonts w:ascii="Times New Roman" w:hAnsi="Times New Roman" w:cs="Times New Roman"/>
          <w:sz w:val="22"/>
          <w:szCs w:val="22"/>
        </w:rPr>
        <w:t xml:space="preserve">We agree with </w:t>
      </w:r>
      <w:proofErr w:type="gramStart"/>
      <w:r w:rsidRPr="008C721D">
        <w:rPr>
          <w:rFonts w:ascii="Times New Roman" w:hAnsi="Times New Roman" w:cs="Times New Roman"/>
          <w:sz w:val="22"/>
          <w:szCs w:val="22"/>
        </w:rPr>
        <w:t>the vast majority of</w:t>
      </w:r>
      <w:proofErr w:type="gramEnd"/>
      <w:r w:rsidRPr="008C721D">
        <w:rPr>
          <w:rFonts w:ascii="Times New Roman" w:hAnsi="Times New Roman" w:cs="Times New Roman"/>
          <w:sz w:val="22"/>
          <w:szCs w:val="22"/>
        </w:rPr>
        <w:t xml:space="preserve"> the </w:t>
      </w:r>
      <w:r w:rsidR="00B32A39" w:rsidRPr="008C721D">
        <w:rPr>
          <w:rFonts w:ascii="Times New Roman" w:hAnsi="Times New Roman" w:cs="Times New Roman"/>
          <w:sz w:val="22"/>
          <w:szCs w:val="22"/>
        </w:rPr>
        <w:t>Memorandum</w:t>
      </w:r>
      <w:r w:rsidRPr="008C721D">
        <w:rPr>
          <w:rFonts w:ascii="Times New Roman" w:hAnsi="Times New Roman" w:cs="Times New Roman"/>
          <w:sz w:val="22"/>
          <w:szCs w:val="22"/>
        </w:rPr>
        <w:t xml:space="preserve"> and </w:t>
      </w:r>
      <w:r w:rsidR="00864AFD" w:rsidRPr="008C721D">
        <w:rPr>
          <w:rFonts w:ascii="Times New Roman" w:hAnsi="Times New Roman" w:cs="Times New Roman"/>
          <w:sz w:val="22"/>
          <w:szCs w:val="22"/>
        </w:rPr>
        <w:t xml:space="preserve">see no need to provide </w:t>
      </w:r>
      <w:r w:rsidRPr="008C721D">
        <w:rPr>
          <w:rFonts w:ascii="Times New Roman" w:hAnsi="Times New Roman" w:cs="Times New Roman"/>
          <w:sz w:val="22"/>
          <w:szCs w:val="22"/>
        </w:rPr>
        <w:t xml:space="preserve">detailed </w:t>
      </w:r>
      <w:r w:rsidR="00864AFD" w:rsidRPr="008C721D">
        <w:rPr>
          <w:rFonts w:ascii="Times New Roman" w:hAnsi="Times New Roman" w:cs="Times New Roman"/>
          <w:sz w:val="22"/>
          <w:szCs w:val="22"/>
        </w:rPr>
        <w:t xml:space="preserve">comments </w:t>
      </w:r>
      <w:r w:rsidR="00A4406B" w:rsidRPr="008C721D">
        <w:rPr>
          <w:rFonts w:ascii="Times New Roman" w:hAnsi="Times New Roman" w:cs="Times New Roman"/>
          <w:sz w:val="22"/>
          <w:szCs w:val="22"/>
        </w:rPr>
        <w:t>on</w:t>
      </w:r>
      <w:r w:rsidRPr="008C721D">
        <w:rPr>
          <w:rFonts w:ascii="Times New Roman" w:hAnsi="Times New Roman" w:cs="Times New Roman"/>
          <w:sz w:val="22"/>
          <w:szCs w:val="22"/>
        </w:rPr>
        <w:t xml:space="preserve"> the advice.  Rather, </w:t>
      </w:r>
      <w:r w:rsidR="00864AFD" w:rsidRPr="008C721D">
        <w:rPr>
          <w:rFonts w:ascii="Times New Roman" w:hAnsi="Times New Roman" w:cs="Times New Roman"/>
          <w:sz w:val="22"/>
          <w:szCs w:val="22"/>
        </w:rPr>
        <w:t xml:space="preserve">we </w:t>
      </w:r>
      <w:r w:rsidRPr="008C721D">
        <w:rPr>
          <w:rFonts w:ascii="Times New Roman" w:hAnsi="Times New Roman" w:cs="Times New Roman"/>
          <w:sz w:val="22"/>
          <w:szCs w:val="22"/>
        </w:rPr>
        <w:t xml:space="preserve">comment upon aspects of the </w:t>
      </w:r>
      <w:r w:rsidR="00B32A39" w:rsidRPr="008C721D">
        <w:rPr>
          <w:rFonts w:ascii="Times New Roman" w:hAnsi="Times New Roman" w:cs="Times New Roman"/>
          <w:sz w:val="22"/>
          <w:szCs w:val="22"/>
        </w:rPr>
        <w:t>Memorandum</w:t>
      </w:r>
      <w:r w:rsidRPr="008C721D">
        <w:rPr>
          <w:rFonts w:ascii="Times New Roman" w:hAnsi="Times New Roman" w:cs="Times New Roman"/>
          <w:sz w:val="22"/>
          <w:szCs w:val="22"/>
        </w:rPr>
        <w:t xml:space="preserve"> that we consider require elaboration, qualification</w:t>
      </w:r>
      <w:r w:rsidR="00B32A39" w:rsidRPr="008C721D">
        <w:rPr>
          <w:rFonts w:ascii="Times New Roman" w:hAnsi="Times New Roman" w:cs="Times New Roman"/>
          <w:sz w:val="22"/>
          <w:szCs w:val="22"/>
        </w:rPr>
        <w:t>,</w:t>
      </w:r>
      <w:r w:rsidRPr="008C721D">
        <w:rPr>
          <w:rFonts w:ascii="Times New Roman" w:hAnsi="Times New Roman" w:cs="Times New Roman"/>
          <w:sz w:val="22"/>
          <w:szCs w:val="22"/>
        </w:rPr>
        <w:t xml:space="preserve"> or the Appeal Panel’s </w:t>
      </w:r>
      <w:proofErr w:type="gramStart"/>
      <w:r w:rsidRPr="008C721D">
        <w:rPr>
          <w:rFonts w:ascii="Times New Roman" w:hAnsi="Times New Roman" w:cs="Times New Roman"/>
          <w:sz w:val="22"/>
          <w:szCs w:val="22"/>
        </w:rPr>
        <w:t>particular focus</w:t>
      </w:r>
      <w:proofErr w:type="gramEnd"/>
      <w:r w:rsidRPr="008C721D">
        <w:rPr>
          <w:rFonts w:ascii="Times New Roman" w:hAnsi="Times New Roman" w:cs="Times New Roman"/>
          <w:sz w:val="22"/>
          <w:szCs w:val="22"/>
        </w:rPr>
        <w:t>.</w:t>
      </w:r>
    </w:p>
    <w:p w14:paraId="7C50CDB5" w14:textId="77777777" w:rsidR="004E785A" w:rsidRPr="008C721D" w:rsidRDefault="004E785A" w:rsidP="004E785A">
      <w:pPr>
        <w:jc w:val="both"/>
        <w:rPr>
          <w:rFonts w:ascii="Times New Roman" w:hAnsi="Times New Roman"/>
        </w:rPr>
      </w:pPr>
    </w:p>
    <w:p w14:paraId="42F09031" w14:textId="77777777" w:rsidR="004E785A" w:rsidRPr="008C721D" w:rsidRDefault="004E785A" w:rsidP="00A51A3B">
      <w:pPr>
        <w:pStyle w:val="BodyText"/>
        <w:jc w:val="both"/>
        <w:rPr>
          <w:rFonts w:ascii="Times New Roman" w:hAnsi="Times New Roman"/>
          <w:b/>
        </w:rPr>
      </w:pPr>
      <w:r w:rsidRPr="008C721D">
        <w:rPr>
          <w:rFonts w:ascii="Times New Roman" w:hAnsi="Times New Roman"/>
          <w:b/>
        </w:rPr>
        <w:t>Article 2</w:t>
      </w:r>
    </w:p>
    <w:p w14:paraId="21D86FF5" w14:textId="77777777" w:rsidR="00A4406B" w:rsidRPr="008C721D" w:rsidRDefault="004E785A" w:rsidP="008B5CF9">
      <w:pPr>
        <w:pStyle w:val="ListParagraph"/>
        <w:numPr>
          <w:ilvl w:val="0"/>
          <w:numId w:val="24"/>
        </w:numPr>
        <w:ind w:left="360"/>
        <w:jc w:val="both"/>
        <w:rPr>
          <w:rFonts w:ascii="Times New Roman" w:hAnsi="Times New Roman" w:cs="Times New Roman"/>
          <w:sz w:val="22"/>
          <w:szCs w:val="22"/>
        </w:rPr>
      </w:pPr>
      <w:r w:rsidRPr="008C721D">
        <w:rPr>
          <w:rFonts w:ascii="Times New Roman" w:hAnsi="Times New Roman" w:cs="Times New Roman"/>
          <w:sz w:val="22"/>
          <w:szCs w:val="22"/>
        </w:rPr>
        <w:t xml:space="preserve">We welcome the acknowledgement that this appeal engages Article 2 of the European Convention on Human Rights (“Convention”) and </w:t>
      </w:r>
      <w:r w:rsidR="00864AFD" w:rsidRPr="008C721D">
        <w:rPr>
          <w:rFonts w:ascii="Times New Roman" w:hAnsi="Times New Roman" w:cs="Times New Roman"/>
          <w:sz w:val="22"/>
          <w:szCs w:val="22"/>
        </w:rPr>
        <w:t xml:space="preserve">that </w:t>
      </w:r>
      <w:r w:rsidRPr="008C721D">
        <w:rPr>
          <w:rFonts w:ascii="Times New Roman" w:hAnsi="Times New Roman" w:cs="Times New Roman"/>
          <w:sz w:val="22"/>
          <w:szCs w:val="22"/>
        </w:rPr>
        <w:t xml:space="preserve">Article 2 requires NICE to carry out a fair and </w:t>
      </w:r>
      <w:r w:rsidR="008B5CF9" w:rsidRPr="008C721D">
        <w:rPr>
          <w:rFonts w:ascii="Times New Roman" w:hAnsi="Times New Roman" w:cs="Times New Roman"/>
          <w:sz w:val="22"/>
          <w:szCs w:val="22"/>
        </w:rPr>
        <w:t>rational</w:t>
      </w:r>
      <w:r w:rsidRPr="008C721D">
        <w:rPr>
          <w:rFonts w:ascii="Times New Roman" w:hAnsi="Times New Roman" w:cs="Times New Roman"/>
          <w:sz w:val="22"/>
          <w:szCs w:val="22"/>
        </w:rPr>
        <w:t xml:space="preserve"> balancing exercise between the needs of patients affected by the decision and the community at large</w:t>
      </w:r>
      <w:r w:rsidR="00116C1D" w:rsidRPr="008C721D">
        <w:rPr>
          <w:rFonts w:ascii="Times New Roman" w:hAnsi="Times New Roman" w:cs="Times New Roman"/>
          <w:sz w:val="22"/>
          <w:szCs w:val="22"/>
        </w:rPr>
        <w:t xml:space="preserve"> (see paras. 13-14 of the Memorandum)</w:t>
      </w:r>
      <w:r w:rsidR="00645E83" w:rsidRPr="008C721D">
        <w:rPr>
          <w:rFonts w:ascii="Times New Roman" w:hAnsi="Times New Roman" w:cs="Times New Roman"/>
          <w:sz w:val="22"/>
          <w:szCs w:val="22"/>
        </w:rPr>
        <w:t>.  NICE must apply a fair and proper process, which is one which considers all of the relevant material (and no irrelevant material) with an open mind, allowing proper engagement with stakeholders as the process requires, and allowing sufficient time for consideration and discussion before a decision is reached.  T</w:t>
      </w:r>
      <w:r w:rsidRPr="008C721D">
        <w:rPr>
          <w:rFonts w:ascii="Times New Roman" w:hAnsi="Times New Roman" w:cs="Times New Roman"/>
          <w:sz w:val="22"/>
          <w:szCs w:val="22"/>
        </w:rPr>
        <w:t>he “intensity” of a rational review depends on its context</w:t>
      </w:r>
      <w:r w:rsidR="00645E83" w:rsidRPr="008C721D">
        <w:rPr>
          <w:rFonts w:ascii="Times New Roman" w:hAnsi="Times New Roman" w:cs="Times New Roman"/>
          <w:sz w:val="22"/>
          <w:szCs w:val="22"/>
        </w:rPr>
        <w:t>.</w:t>
      </w:r>
      <w:r w:rsidR="008B5CF9" w:rsidRPr="008C721D">
        <w:rPr>
          <w:rFonts w:ascii="Times New Roman" w:hAnsi="Times New Roman" w:cs="Times New Roman"/>
          <w:sz w:val="22"/>
          <w:szCs w:val="22"/>
        </w:rPr>
        <w:t xml:space="preserve">  </w:t>
      </w:r>
      <w:r w:rsidR="00645E83" w:rsidRPr="008C721D">
        <w:rPr>
          <w:rFonts w:ascii="Times New Roman" w:hAnsi="Times New Roman" w:cs="Times New Roman"/>
          <w:sz w:val="22"/>
          <w:szCs w:val="22"/>
        </w:rPr>
        <w:t>The outcome of that exercise must be reasonable.  An</w:t>
      </w:r>
      <w:r w:rsidRPr="008C721D">
        <w:rPr>
          <w:rFonts w:ascii="Times New Roman" w:hAnsi="Times New Roman" w:cs="Times New Roman"/>
          <w:sz w:val="22"/>
          <w:szCs w:val="22"/>
        </w:rPr>
        <w:t xml:space="preserve"> irrational process is one that does not “add up” or “stack up.”</w:t>
      </w:r>
      <w:r w:rsidR="00645E83" w:rsidRPr="008C721D">
        <w:rPr>
          <w:rFonts w:ascii="Times New Roman" w:hAnsi="Times New Roman" w:cs="Times New Roman"/>
          <w:sz w:val="22"/>
          <w:szCs w:val="22"/>
        </w:rPr>
        <w:t xml:space="preserve">  </w:t>
      </w:r>
    </w:p>
    <w:p w14:paraId="074BE0C6" w14:textId="77777777" w:rsidR="00A4406B" w:rsidRPr="008C721D" w:rsidRDefault="00A4406B" w:rsidP="00A4406B">
      <w:pPr>
        <w:pStyle w:val="ListParagraph"/>
        <w:rPr>
          <w:rFonts w:ascii="Times New Roman" w:hAnsi="Times New Roman" w:cs="Times New Roman"/>
          <w:sz w:val="22"/>
          <w:szCs w:val="22"/>
        </w:rPr>
      </w:pPr>
    </w:p>
    <w:p w14:paraId="04FACC72" w14:textId="29F38183" w:rsidR="00C06A80" w:rsidRPr="004D4388" w:rsidRDefault="00645E83" w:rsidP="00A4406B">
      <w:pPr>
        <w:pStyle w:val="ListParagraph"/>
        <w:numPr>
          <w:ilvl w:val="0"/>
          <w:numId w:val="24"/>
        </w:numPr>
        <w:ind w:left="360"/>
        <w:jc w:val="both"/>
        <w:rPr>
          <w:rFonts w:ascii="Times New Roman" w:hAnsi="Times New Roman" w:cs="Times New Roman"/>
          <w:sz w:val="22"/>
          <w:szCs w:val="22"/>
        </w:rPr>
      </w:pPr>
      <w:r w:rsidRPr="008C721D">
        <w:rPr>
          <w:rFonts w:ascii="Times New Roman" w:hAnsi="Times New Roman" w:cs="Times New Roman"/>
          <w:sz w:val="22"/>
          <w:szCs w:val="22"/>
        </w:rPr>
        <w:t xml:space="preserve">As </w:t>
      </w:r>
      <w:r w:rsidR="004D4388" w:rsidRPr="004D4388">
        <w:rPr>
          <w:rFonts w:ascii="Times New Roman" w:hAnsi="Times New Roman" w:cs="Times New Roman"/>
          <w:sz w:val="22"/>
          <w:szCs w:val="22"/>
          <w:highlight w:val="black"/>
        </w:rPr>
        <w:t>xx</w:t>
      </w:r>
      <w:r w:rsidR="004D4388">
        <w:rPr>
          <w:rFonts w:ascii="Times New Roman" w:hAnsi="Times New Roman" w:cs="Times New Roman"/>
          <w:sz w:val="22"/>
          <w:szCs w:val="22"/>
        </w:rPr>
        <w:t xml:space="preserve"> </w:t>
      </w:r>
      <w:proofErr w:type="spellStart"/>
      <w:r w:rsidR="004D4388" w:rsidRPr="004D4388">
        <w:rPr>
          <w:rFonts w:ascii="Times New Roman" w:hAnsi="Times New Roman" w:cs="Times New Roman"/>
          <w:sz w:val="22"/>
          <w:szCs w:val="22"/>
          <w:highlight w:val="black"/>
        </w:rPr>
        <w:t>xxxxxxx</w:t>
      </w:r>
      <w:proofErr w:type="spellEnd"/>
      <w:r w:rsidR="004D4388">
        <w:rPr>
          <w:rFonts w:ascii="Times New Roman" w:hAnsi="Times New Roman" w:cs="Times New Roman"/>
          <w:sz w:val="22"/>
          <w:szCs w:val="22"/>
        </w:rPr>
        <w:t xml:space="preserve"> </w:t>
      </w:r>
      <w:r w:rsidRPr="008C721D">
        <w:rPr>
          <w:rFonts w:ascii="Times New Roman" w:hAnsi="Times New Roman" w:cs="Times New Roman"/>
          <w:sz w:val="22"/>
          <w:szCs w:val="22"/>
        </w:rPr>
        <w:t xml:space="preserve">points out, </w:t>
      </w:r>
      <w:r w:rsidR="00116C1D" w:rsidRPr="008C721D">
        <w:rPr>
          <w:rFonts w:ascii="Times New Roman" w:hAnsi="Times New Roman" w:cs="Times New Roman"/>
          <w:sz w:val="22"/>
          <w:szCs w:val="22"/>
        </w:rPr>
        <w:t>these requirements reflect</w:t>
      </w:r>
      <w:r w:rsidRPr="008C721D">
        <w:rPr>
          <w:rFonts w:ascii="Times New Roman" w:hAnsi="Times New Roman" w:cs="Times New Roman"/>
          <w:sz w:val="22"/>
          <w:szCs w:val="22"/>
        </w:rPr>
        <w:t xml:space="preserve"> </w:t>
      </w:r>
      <w:r w:rsidR="00910687" w:rsidRPr="008C721D">
        <w:rPr>
          <w:rFonts w:ascii="Times New Roman" w:hAnsi="Times New Roman" w:cs="Times New Roman"/>
          <w:sz w:val="22"/>
          <w:szCs w:val="22"/>
        </w:rPr>
        <w:t xml:space="preserve">the </w:t>
      </w:r>
      <w:r w:rsidR="00116C1D" w:rsidRPr="008C721D">
        <w:rPr>
          <w:rFonts w:ascii="Times New Roman" w:hAnsi="Times New Roman" w:cs="Times New Roman"/>
          <w:sz w:val="22"/>
          <w:szCs w:val="22"/>
        </w:rPr>
        <w:t>public law principles of</w:t>
      </w:r>
      <w:r w:rsidR="00910687" w:rsidRPr="008C721D">
        <w:rPr>
          <w:rFonts w:ascii="Times New Roman" w:hAnsi="Times New Roman" w:cs="Times New Roman"/>
          <w:sz w:val="22"/>
          <w:szCs w:val="22"/>
        </w:rPr>
        <w:t xml:space="preserve"> procedural fairness and reasonableness under appeal grounds 1a and 2.  </w:t>
      </w:r>
      <w:r w:rsidR="00910687" w:rsidRPr="008C721D">
        <w:rPr>
          <w:rFonts w:ascii="Times New Roman" w:hAnsi="Times New Roman" w:cs="Times New Roman"/>
          <w:color w:val="000000"/>
          <w:sz w:val="22"/>
          <w:szCs w:val="22"/>
        </w:rPr>
        <w:t xml:space="preserve">The key issue that remains to be resolved is what </w:t>
      </w:r>
      <w:r w:rsidR="008B5CF9" w:rsidRPr="008C721D">
        <w:rPr>
          <w:rFonts w:ascii="Times New Roman" w:hAnsi="Times New Roman" w:cs="Times New Roman"/>
          <w:color w:val="000000"/>
          <w:sz w:val="22"/>
          <w:szCs w:val="22"/>
        </w:rPr>
        <w:t>he</w:t>
      </w:r>
      <w:r w:rsidR="00910687" w:rsidRPr="008C721D">
        <w:rPr>
          <w:rFonts w:ascii="Times New Roman" w:hAnsi="Times New Roman" w:cs="Times New Roman"/>
          <w:color w:val="000000"/>
          <w:sz w:val="22"/>
          <w:szCs w:val="22"/>
        </w:rPr>
        <w:t xml:space="preserve"> refers to as </w:t>
      </w:r>
      <w:r w:rsidR="00864AFD" w:rsidRPr="008C721D">
        <w:rPr>
          <w:rFonts w:ascii="Times New Roman" w:hAnsi="Times New Roman" w:cs="Times New Roman"/>
          <w:color w:val="000000"/>
          <w:sz w:val="22"/>
          <w:szCs w:val="22"/>
        </w:rPr>
        <w:t xml:space="preserve">a public body’s </w:t>
      </w:r>
      <w:r w:rsidR="00910687" w:rsidRPr="008C721D">
        <w:rPr>
          <w:rFonts w:ascii="Times New Roman" w:hAnsi="Times New Roman" w:cs="Times New Roman"/>
          <w:color w:val="000000"/>
          <w:sz w:val="22"/>
          <w:szCs w:val="22"/>
        </w:rPr>
        <w:t>“</w:t>
      </w:r>
      <w:r w:rsidR="00864AFD" w:rsidRPr="008C721D">
        <w:rPr>
          <w:rFonts w:ascii="Times New Roman" w:hAnsi="Times New Roman" w:cs="Times New Roman"/>
          <w:color w:val="000000"/>
          <w:sz w:val="22"/>
          <w:szCs w:val="22"/>
        </w:rPr>
        <w:t>margin of appreciation</w:t>
      </w:r>
      <w:r w:rsidR="00910687" w:rsidRPr="008C721D">
        <w:rPr>
          <w:rFonts w:ascii="Times New Roman" w:hAnsi="Times New Roman" w:cs="Times New Roman"/>
          <w:color w:val="000000"/>
          <w:sz w:val="22"/>
          <w:szCs w:val="22"/>
        </w:rPr>
        <w:t>”</w:t>
      </w:r>
      <w:r w:rsidR="00864AFD" w:rsidRPr="008C721D">
        <w:rPr>
          <w:rFonts w:ascii="Times New Roman" w:hAnsi="Times New Roman" w:cs="Times New Roman"/>
          <w:color w:val="000000"/>
          <w:sz w:val="22"/>
          <w:szCs w:val="22"/>
        </w:rPr>
        <w:t xml:space="preserve"> when taking decisions that concern Article 2 rights</w:t>
      </w:r>
      <w:r w:rsidR="00910687" w:rsidRPr="008C721D">
        <w:rPr>
          <w:rFonts w:ascii="Times New Roman" w:hAnsi="Times New Roman" w:cs="Times New Roman"/>
          <w:color w:val="000000"/>
          <w:sz w:val="22"/>
          <w:szCs w:val="22"/>
        </w:rPr>
        <w:t xml:space="preserve">.  </w:t>
      </w:r>
      <w:r w:rsidR="00116C1D" w:rsidRPr="008C721D">
        <w:rPr>
          <w:rFonts w:ascii="Times New Roman" w:hAnsi="Times New Roman" w:cs="Times New Roman"/>
          <w:color w:val="000000"/>
          <w:sz w:val="22"/>
          <w:szCs w:val="22"/>
        </w:rPr>
        <w:t xml:space="preserve">As he points out at para. 12 of the Memorandum, this has not been fully clarified.  </w:t>
      </w:r>
      <w:r w:rsidR="00471933" w:rsidRPr="008C721D">
        <w:rPr>
          <w:rFonts w:ascii="Times New Roman" w:hAnsi="Times New Roman" w:cs="Times New Roman"/>
          <w:color w:val="000000"/>
          <w:sz w:val="22"/>
          <w:szCs w:val="22"/>
        </w:rPr>
        <w:t>We provide some thoughts on this issue below and</w:t>
      </w:r>
      <w:r w:rsidR="00116C1D" w:rsidRPr="008C721D">
        <w:rPr>
          <w:rFonts w:ascii="Times New Roman" w:hAnsi="Times New Roman" w:cs="Times New Roman"/>
          <w:color w:val="000000"/>
          <w:sz w:val="22"/>
          <w:szCs w:val="22"/>
        </w:rPr>
        <w:t>, in doing so,</w:t>
      </w:r>
      <w:r w:rsidR="00471933" w:rsidRPr="008C721D">
        <w:rPr>
          <w:rFonts w:ascii="Times New Roman" w:hAnsi="Times New Roman" w:cs="Times New Roman"/>
          <w:color w:val="000000"/>
          <w:sz w:val="22"/>
          <w:szCs w:val="22"/>
        </w:rPr>
        <w:t xml:space="preserve"> hope </w:t>
      </w:r>
      <w:r w:rsidR="00C06A80" w:rsidRPr="008C721D">
        <w:rPr>
          <w:rFonts w:ascii="Times New Roman" w:hAnsi="Times New Roman" w:cs="Times New Roman"/>
          <w:color w:val="000000"/>
          <w:sz w:val="22"/>
          <w:szCs w:val="22"/>
        </w:rPr>
        <w:t>we have</w:t>
      </w:r>
      <w:r w:rsidR="00471933" w:rsidRPr="008C721D">
        <w:rPr>
          <w:rFonts w:ascii="Times New Roman" w:hAnsi="Times New Roman" w:cs="Times New Roman"/>
          <w:color w:val="000000"/>
          <w:sz w:val="22"/>
          <w:szCs w:val="22"/>
        </w:rPr>
        <w:t xml:space="preserve"> </w:t>
      </w:r>
      <w:r w:rsidR="00116C1D" w:rsidRPr="008C721D">
        <w:rPr>
          <w:rFonts w:ascii="Times New Roman" w:hAnsi="Times New Roman" w:cs="Times New Roman"/>
          <w:color w:val="000000"/>
          <w:sz w:val="22"/>
          <w:szCs w:val="22"/>
        </w:rPr>
        <w:t>respond</w:t>
      </w:r>
      <w:r w:rsidR="00C06A80" w:rsidRPr="008C721D">
        <w:rPr>
          <w:rFonts w:ascii="Times New Roman" w:hAnsi="Times New Roman" w:cs="Times New Roman"/>
          <w:color w:val="000000"/>
          <w:sz w:val="22"/>
          <w:szCs w:val="22"/>
        </w:rPr>
        <w:t>ed</w:t>
      </w:r>
      <w:r w:rsidR="00116C1D" w:rsidRPr="008C721D">
        <w:rPr>
          <w:rFonts w:ascii="Times New Roman" w:hAnsi="Times New Roman" w:cs="Times New Roman"/>
          <w:color w:val="000000"/>
          <w:sz w:val="22"/>
          <w:szCs w:val="22"/>
        </w:rPr>
        <w:t xml:space="preserve"> to</w:t>
      </w:r>
      <w:r w:rsidR="00471933" w:rsidRPr="008C721D">
        <w:rPr>
          <w:rFonts w:ascii="Times New Roman" w:hAnsi="Times New Roman" w:cs="Times New Roman"/>
          <w:color w:val="000000"/>
          <w:sz w:val="22"/>
          <w:szCs w:val="22"/>
        </w:rPr>
        <w:t xml:space="preserve"> </w:t>
      </w:r>
      <w:r w:rsidR="000343CD" w:rsidRPr="004D4388">
        <w:rPr>
          <w:rFonts w:ascii="Times New Roman" w:hAnsi="Times New Roman" w:cs="Times New Roman"/>
          <w:color w:val="000000"/>
          <w:sz w:val="22"/>
          <w:szCs w:val="22"/>
          <w:highlight w:val="black"/>
        </w:rPr>
        <w:t>xx</w:t>
      </w:r>
      <w:r w:rsidR="000343CD" w:rsidRPr="004D4388">
        <w:rPr>
          <w:rFonts w:ascii="Times New Roman" w:hAnsi="Times New Roman" w:cs="Times New Roman"/>
          <w:color w:val="000000"/>
          <w:sz w:val="22"/>
          <w:szCs w:val="22"/>
        </w:rPr>
        <w:t xml:space="preserve"> </w:t>
      </w:r>
      <w:proofErr w:type="spellStart"/>
      <w:r w:rsidR="000343CD" w:rsidRPr="004D4388">
        <w:rPr>
          <w:rFonts w:ascii="Times New Roman" w:hAnsi="Times New Roman" w:cs="Times New Roman"/>
          <w:color w:val="000000"/>
          <w:sz w:val="22"/>
          <w:szCs w:val="22"/>
          <w:highlight w:val="black"/>
        </w:rPr>
        <w:t>xxxxxxxxx</w:t>
      </w:r>
      <w:proofErr w:type="spellEnd"/>
      <w:r w:rsidR="00471933" w:rsidRPr="004D4388">
        <w:rPr>
          <w:rFonts w:ascii="Times New Roman" w:hAnsi="Times New Roman" w:cs="Times New Roman"/>
          <w:color w:val="000000"/>
          <w:sz w:val="22"/>
          <w:szCs w:val="22"/>
        </w:rPr>
        <w:t xml:space="preserve"> </w:t>
      </w:r>
      <w:r w:rsidR="00116C1D" w:rsidRPr="004D4388">
        <w:rPr>
          <w:rFonts w:ascii="Times New Roman" w:hAnsi="Times New Roman" w:cs="Times New Roman"/>
          <w:color w:val="000000"/>
          <w:sz w:val="22"/>
          <w:szCs w:val="22"/>
        </w:rPr>
        <w:t xml:space="preserve">request </w:t>
      </w:r>
      <w:r w:rsidR="00C06A80" w:rsidRPr="004D4388">
        <w:rPr>
          <w:rFonts w:ascii="Times New Roman" w:hAnsi="Times New Roman" w:cs="Times New Roman"/>
          <w:color w:val="000000"/>
          <w:sz w:val="22"/>
          <w:szCs w:val="22"/>
        </w:rPr>
        <w:t xml:space="preserve">in para. 7 of the Memorandum </w:t>
      </w:r>
      <w:r w:rsidR="00116C1D" w:rsidRPr="004D4388">
        <w:rPr>
          <w:rFonts w:ascii="Times New Roman" w:hAnsi="Times New Roman" w:cs="Times New Roman"/>
          <w:color w:val="000000"/>
          <w:sz w:val="22"/>
          <w:szCs w:val="22"/>
        </w:rPr>
        <w:t xml:space="preserve">for clarification of MSD’s position.  </w:t>
      </w:r>
    </w:p>
    <w:p w14:paraId="2481F3F4" w14:textId="77777777" w:rsidR="00C06A80" w:rsidRPr="008C721D" w:rsidRDefault="00C06A80" w:rsidP="00C06A80">
      <w:pPr>
        <w:pStyle w:val="ListParagraph"/>
        <w:rPr>
          <w:rFonts w:ascii="Times New Roman" w:hAnsi="Times New Roman" w:cs="Times New Roman"/>
          <w:sz w:val="22"/>
          <w:szCs w:val="22"/>
        </w:rPr>
      </w:pPr>
    </w:p>
    <w:p w14:paraId="28789682" w14:textId="77777777" w:rsidR="00C65B9E" w:rsidRPr="008C721D" w:rsidRDefault="00C06A80" w:rsidP="00C06A80">
      <w:pPr>
        <w:pStyle w:val="BodyText"/>
        <w:numPr>
          <w:ilvl w:val="0"/>
          <w:numId w:val="24"/>
        </w:numPr>
        <w:ind w:left="360"/>
        <w:jc w:val="both"/>
        <w:rPr>
          <w:rFonts w:ascii="Times New Roman" w:hAnsi="Times New Roman"/>
          <w:iCs/>
          <w:lang w:val="en-GB"/>
        </w:rPr>
      </w:pPr>
      <w:r w:rsidRPr="008C721D">
        <w:rPr>
          <w:rFonts w:ascii="Times New Roman" w:hAnsi="Times New Roman"/>
          <w:lang w:val="en-GB"/>
        </w:rPr>
        <w:lastRenderedPageBreak/>
        <w:t xml:space="preserve">Even though </w:t>
      </w:r>
      <w:r w:rsidR="00EB37D1" w:rsidRPr="008C721D">
        <w:rPr>
          <w:rFonts w:ascii="Times New Roman" w:hAnsi="Times New Roman"/>
          <w:lang w:val="en-GB"/>
        </w:rPr>
        <w:t xml:space="preserve">the right to life under Article 2 is an absolute right, </w:t>
      </w:r>
      <w:r w:rsidRPr="008C721D">
        <w:rPr>
          <w:rFonts w:ascii="Times New Roman" w:hAnsi="Times New Roman"/>
          <w:lang w:val="en-GB"/>
        </w:rPr>
        <w:t xml:space="preserve">we accept this does not </w:t>
      </w:r>
      <w:r w:rsidR="00EB37D1" w:rsidRPr="008C721D">
        <w:rPr>
          <w:rFonts w:ascii="Times New Roman" w:hAnsi="Times New Roman"/>
          <w:lang w:val="en-GB"/>
        </w:rPr>
        <w:t xml:space="preserve">mean governments should not benefit from a margin of appreciation.  The European Court of Human Rights </w:t>
      </w:r>
      <w:r w:rsidR="00C65B9E" w:rsidRPr="008C721D">
        <w:rPr>
          <w:rFonts w:ascii="Times New Roman" w:hAnsi="Times New Roman"/>
        </w:rPr>
        <w:t xml:space="preserve">has in recent years applied the </w:t>
      </w:r>
      <w:r w:rsidR="00EB37D1" w:rsidRPr="008C721D">
        <w:rPr>
          <w:rFonts w:ascii="Times New Roman" w:hAnsi="Times New Roman"/>
        </w:rPr>
        <w:t xml:space="preserve">“margin of appreciation” </w:t>
      </w:r>
      <w:r w:rsidR="00C65B9E" w:rsidRPr="008C721D">
        <w:rPr>
          <w:rFonts w:ascii="Times New Roman" w:hAnsi="Times New Roman"/>
        </w:rPr>
        <w:t xml:space="preserve">concept </w:t>
      </w:r>
      <w:r w:rsidR="00EB37D1" w:rsidRPr="008C721D">
        <w:rPr>
          <w:rFonts w:ascii="Times New Roman" w:hAnsi="Times New Roman"/>
        </w:rPr>
        <w:t xml:space="preserve">widely </w:t>
      </w:r>
      <w:r w:rsidR="00EB37D1" w:rsidRPr="008C721D">
        <w:rPr>
          <w:rFonts w:ascii="Times New Roman" w:hAnsi="Times New Roman"/>
          <w:iCs/>
        </w:rPr>
        <w:t xml:space="preserve">it in its review of almost all Articles in the </w:t>
      </w:r>
      <w:r w:rsidR="00C65B9E" w:rsidRPr="008C721D">
        <w:rPr>
          <w:rFonts w:ascii="Times New Roman" w:hAnsi="Times New Roman"/>
          <w:iCs/>
        </w:rPr>
        <w:t xml:space="preserve">Convention, </w:t>
      </w:r>
      <w:r w:rsidR="00EB37D1" w:rsidRPr="008C721D">
        <w:rPr>
          <w:rFonts w:ascii="Times New Roman" w:hAnsi="Times New Roman"/>
        </w:rPr>
        <w:t xml:space="preserve">including Article 2. </w:t>
      </w:r>
      <w:r w:rsidRPr="008C721D">
        <w:rPr>
          <w:rFonts w:ascii="Times New Roman" w:hAnsi="Times New Roman"/>
        </w:rPr>
        <w:t xml:space="preserve"> </w:t>
      </w:r>
      <w:r w:rsidR="00EB37D1" w:rsidRPr="008C721D">
        <w:rPr>
          <w:rFonts w:ascii="Times New Roman" w:hAnsi="Times New Roman"/>
        </w:rPr>
        <w:t>The ECHR’s Guide to Article 2</w:t>
      </w:r>
      <w:r w:rsidR="00C65B9E" w:rsidRPr="008C721D">
        <w:rPr>
          <w:rStyle w:val="FootnoteReference"/>
          <w:rFonts w:ascii="Times New Roman" w:hAnsi="Times New Roman"/>
        </w:rPr>
        <w:footnoteReference w:id="2"/>
      </w:r>
      <w:r w:rsidR="00EB37D1" w:rsidRPr="008C721D">
        <w:rPr>
          <w:rFonts w:ascii="Times New Roman" w:hAnsi="Times New Roman"/>
        </w:rPr>
        <w:t xml:space="preserve"> acknowledges that states do have a margin of appreciation in their “</w:t>
      </w:r>
      <w:r w:rsidR="00EB37D1" w:rsidRPr="008C721D">
        <w:rPr>
          <w:rFonts w:ascii="Times New Roman" w:hAnsi="Times New Roman"/>
          <w:i/>
        </w:rPr>
        <w:t>choice of means</w:t>
      </w:r>
      <w:r w:rsidR="00EB37D1" w:rsidRPr="008C721D">
        <w:rPr>
          <w:rFonts w:ascii="Times New Roman" w:hAnsi="Times New Roman"/>
        </w:rPr>
        <w:t xml:space="preserve">” to </w:t>
      </w:r>
      <w:r w:rsidR="00A4406B" w:rsidRPr="008C721D">
        <w:rPr>
          <w:rFonts w:ascii="Times New Roman" w:hAnsi="Times New Roman"/>
        </w:rPr>
        <w:t xml:space="preserve">fulfil </w:t>
      </w:r>
      <w:r w:rsidR="00EB37D1" w:rsidRPr="008C721D">
        <w:rPr>
          <w:rFonts w:ascii="Times New Roman" w:hAnsi="Times New Roman"/>
        </w:rPr>
        <w:t xml:space="preserve">their positive obligations under Article 2: </w:t>
      </w:r>
    </w:p>
    <w:p w14:paraId="3532BBEA" w14:textId="77777777" w:rsidR="00EB37D1" w:rsidRPr="008C721D" w:rsidRDefault="00EB37D1" w:rsidP="00A51A3B">
      <w:pPr>
        <w:ind w:left="1080"/>
        <w:rPr>
          <w:rFonts w:ascii="Times New Roman" w:hAnsi="Times New Roman"/>
        </w:rPr>
      </w:pPr>
      <w:r w:rsidRPr="008C721D">
        <w:rPr>
          <w:rFonts w:ascii="Times New Roman" w:hAnsi="Times New Roman"/>
        </w:rPr>
        <w:t>“</w:t>
      </w:r>
      <w:r w:rsidRPr="008C721D">
        <w:rPr>
          <w:rFonts w:ascii="Times New Roman" w:hAnsi="Times New Roman"/>
          <w:i/>
          <w:iCs/>
        </w:rPr>
        <w:t xml:space="preserve">As to the choice of particular practical measures, the Court has consistently held that where the State is required to take positive measures, the choice of means is in principle a matter that falls within the Contracting State’s margin of appreciation.” </w:t>
      </w:r>
      <w:r w:rsidRPr="008C721D">
        <w:rPr>
          <w:rFonts w:ascii="Times New Roman" w:hAnsi="Times New Roman"/>
        </w:rPr>
        <w:t> </w:t>
      </w:r>
    </w:p>
    <w:p w14:paraId="765FCCCE" w14:textId="77777777" w:rsidR="00EB37D1" w:rsidRPr="008C721D" w:rsidRDefault="00EB37D1" w:rsidP="00A51A3B">
      <w:pPr>
        <w:pStyle w:val="ListParagraph"/>
        <w:ind w:left="360"/>
        <w:rPr>
          <w:rFonts w:ascii="Times New Roman" w:hAnsi="Times New Roman" w:cs="Times New Roman"/>
          <w:sz w:val="22"/>
          <w:szCs w:val="22"/>
        </w:rPr>
      </w:pPr>
    </w:p>
    <w:p w14:paraId="54410201" w14:textId="77777777" w:rsidR="00EB37D1" w:rsidRPr="008C721D" w:rsidRDefault="00EB37D1"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Therefore, the state does enjoy a “margin of appreciation” in </w:t>
      </w:r>
      <w:r w:rsidR="00C06A80" w:rsidRPr="008C721D">
        <w:rPr>
          <w:rFonts w:ascii="Times New Roman" w:hAnsi="Times New Roman" w:cs="Times New Roman"/>
          <w:sz w:val="22"/>
          <w:szCs w:val="22"/>
        </w:rPr>
        <w:t xml:space="preserve">respect of </w:t>
      </w:r>
      <w:r w:rsidRPr="008C721D">
        <w:rPr>
          <w:rFonts w:ascii="Times New Roman" w:hAnsi="Times New Roman" w:cs="Times New Roman"/>
          <w:bCs/>
          <w:sz w:val="22"/>
          <w:szCs w:val="22"/>
        </w:rPr>
        <w:t>how and by what means</w:t>
      </w:r>
      <w:r w:rsidRPr="008C721D">
        <w:rPr>
          <w:rFonts w:ascii="Times New Roman" w:hAnsi="Times New Roman" w:cs="Times New Roman"/>
          <w:sz w:val="22"/>
          <w:szCs w:val="22"/>
        </w:rPr>
        <w:t xml:space="preserve"> it implements measures </w:t>
      </w:r>
      <w:r w:rsidR="00C06A80" w:rsidRPr="008C721D">
        <w:rPr>
          <w:rFonts w:ascii="Times New Roman" w:hAnsi="Times New Roman" w:cs="Times New Roman"/>
          <w:sz w:val="22"/>
          <w:szCs w:val="22"/>
        </w:rPr>
        <w:t>to achieve</w:t>
      </w:r>
      <w:r w:rsidRPr="008C721D">
        <w:rPr>
          <w:rFonts w:ascii="Times New Roman" w:hAnsi="Times New Roman" w:cs="Times New Roman"/>
          <w:sz w:val="22"/>
          <w:szCs w:val="22"/>
        </w:rPr>
        <w:t xml:space="preserve"> its positive</w:t>
      </w:r>
      <w:r w:rsidR="00C06A80" w:rsidRPr="008C721D">
        <w:rPr>
          <w:rFonts w:ascii="Times New Roman" w:hAnsi="Times New Roman" w:cs="Times New Roman"/>
          <w:sz w:val="22"/>
          <w:szCs w:val="22"/>
        </w:rPr>
        <w:t xml:space="preserve"> obligations to preserve life.  </w:t>
      </w:r>
      <w:r w:rsidR="00152EDA" w:rsidRPr="008C721D">
        <w:rPr>
          <w:rFonts w:ascii="Times New Roman" w:hAnsi="Times New Roman" w:cs="Times New Roman"/>
          <w:sz w:val="22"/>
          <w:szCs w:val="22"/>
        </w:rPr>
        <w:t xml:space="preserve">This has the effect of narrowing the </w:t>
      </w:r>
      <w:r w:rsidR="00C06A80" w:rsidRPr="008C721D">
        <w:rPr>
          <w:rFonts w:ascii="Times New Roman" w:hAnsi="Times New Roman" w:cs="Times New Roman"/>
          <w:sz w:val="22"/>
          <w:szCs w:val="22"/>
        </w:rPr>
        <w:t xml:space="preserve">Appraisal Committee’s </w:t>
      </w:r>
      <w:r w:rsidR="00152EDA" w:rsidRPr="008C721D">
        <w:rPr>
          <w:rFonts w:ascii="Times New Roman" w:hAnsi="Times New Roman" w:cs="Times New Roman"/>
          <w:sz w:val="22"/>
          <w:szCs w:val="22"/>
        </w:rPr>
        <w:t xml:space="preserve">margin of appreciation because it requires </w:t>
      </w:r>
      <w:r w:rsidR="00471933" w:rsidRPr="008C721D">
        <w:rPr>
          <w:rFonts w:ascii="Times New Roman" w:hAnsi="Times New Roman" w:cs="Times New Roman"/>
          <w:sz w:val="22"/>
          <w:szCs w:val="22"/>
        </w:rPr>
        <w:t xml:space="preserve">positive </w:t>
      </w:r>
      <w:r w:rsidR="00396E46" w:rsidRPr="008C721D">
        <w:rPr>
          <w:rFonts w:ascii="Times New Roman" w:hAnsi="Times New Roman" w:cs="Times New Roman"/>
          <w:sz w:val="22"/>
          <w:szCs w:val="22"/>
        </w:rPr>
        <w:t xml:space="preserve">measures </w:t>
      </w:r>
      <w:r w:rsidR="00152EDA" w:rsidRPr="008C721D">
        <w:rPr>
          <w:rFonts w:ascii="Times New Roman" w:hAnsi="Times New Roman" w:cs="Times New Roman"/>
          <w:sz w:val="22"/>
          <w:szCs w:val="22"/>
        </w:rPr>
        <w:t xml:space="preserve">to protect life.  </w:t>
      </w:r>
    </w:p>
    <w:p w14:paraId="5CF6D447" w14:textId="77777777" w:rsidR="00C06178" w:rsidRPr="008C721D" w:rsidRDefault="00C06178" w:rsidP="00A51A3B">
      <w:pPr>
        <w:rPr>
          <w:rFonts w:ascii="Times New Roman" w:hAnsi="Times New Roman"/>
        </w:rPr>
      </w:pPr>
    </w:p>
    <w:p w14:paraId="043A8190" w14:textId="27BD1E8B" w:rsidR="000929F6" w:rsidRPr="008C721D" w:rsidRDefault="00F84FB7"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In response</w:t>
      </w:r>
      <w:r w:rsidR="00C06178" w:rsidRPr="008C721D">
        <w:rPr>
          <w:rFonts w:ascii="Times New Roman" w:hAnsi="Times New Roman" w:cs="Times New Roman"/>
          <w:sz w:val="22"/>
          <w:szCs w:val="22"/>
        </w:rPr>
        <w:t xml:space="preserve"> to </w:t>
      </w:r>
      <w:r w:rsidR="004D4388" w:rsidRPr="004D4388">
        <w:rPr>
          <w:rFonts w:ascii="Times New Roman" w:hAnsi="Times New Roman" w:cs="Times New Roman"/>
          <w:sz w:val="22"/>
          <w:szCs w:val="22"/>
          <w:highlight w:val="black"/>
        </w:rPr>
        <w:t>xx</w:t>
      </w:r>
      <w:r w:rsidR="004D4388">
        <w:rPr>
          <w:rFonts w:ascii="Times New Roman" w:hAnsi="Times New Roman" w:cs="Times New Roman"/>
          <w:sz w:val="22"/>
          <w:szCs w:val="22"/>
        </w:rPr>
        <w:t xml:space="preserve"> </w:t>
      </w:r>
      <w:proofErr w:type="spellStart"/>
      <w:r w:rsidR="004D4388" w:rsidRPr="004D4388">
        <w:rPr>
          <w:rFonts w:ascii="Times New Roman" w:hAnsi="Times New Roman" w:cs="Times New Roman"/>
          <w:sz w:val="22"/>
          <w:szCs w:val="22"/>
          <w:highlight w:val="black"/>
        </w:rPr>
        <w:t>xxxxxxx</w:t>
      </w:r>
      <w:r w:rsidR="00C06178" w:rsidRPr="008C721D">
        <w:rPr>
          <w:rFonts w:ascii="Times New Roman" w:hAnsi="Times New Roman" w:cs="Times New Roman"/>
          <w:sz w:val="22"/>
          <w:szCs w:val="22"/>
        </w:rPr>
        <w:t>’s</w:t>
      </w:r>
      <w:proofErr w:type="spellEnd"/>
      <w:r w:rsidR="00C06178" w:rsidRPr="008C721D">
        <w:rPr>
          <w:rFonts w:ascii="Times New Roman" w:hAnsi="Times New Roman" w:cs="Times New Roman"/>
          <w:sz w:val="22"/>
          <w:szCs w:val="22"/>
        </w:rPr>
        <w:t xml:space="preserve"> </w:t>
      </w:r>
      <w:r w:rsidRPr="008C721D">
        <w:rPr>
          <w:rFonts w:ascii="Times New Roman" w:hAnsi="Times New Roman" w:cs="Times New Roman"/>
          <w:sz w:val="22"/>
          <w:szCs w:val="22"/>
        </w:rPr>
        <w:t>request</w:t>
      </w:r>
      <w:r w:rsidR="00C06178" w:rsidRPr="008C721D">
        <w:rPr>
          <w:rFonts w:ascii="Times New Roman" w:hAnsi="Times New Roman" w:cs="Times New Roman"/>
          <w:sz w:val="22"/>
          <w:szCs w:val="22"/>
        </w:rPr>
        <w:t xml:space="preserve"> at para. 7 of the </w:t>
      </w:r>
      <w:r w:rsidR="00B32A39" w:rsidRPr="008C721D">
        <w:rPr>
          <w:rFonts w:ascii="Times New Roman" w:hAnsi="Times New Roman" w:cs="Times New Roman"/>
          <w:sz w:val="22"/>
          <w:szCs w:val="22"/>
        </w:rPr>
        <w:t>Memorandum</w:t>
      </w:r>
      <w:r w:rsidR="00C06178" w:rsidRPr="008C721D">
        <w:rPr>
          <w:rFonts w:ascii="Times New Roman" w:hAnsi="Times New Roman" w:cs="Times New Roman"/>
          <w:sz w:val="22"/>
          <w:szCs w:val="22"/>
        </w:rPr>
        <w:t xml:space="preserve">, meeting the above requirements clearly requires a particularly painstaking approach, but </w:t>
      </w:r>
      <w:r w:rsidRPr="008C721D">
        <w:rPr>
          <w:rFonts w:ascii="Times New Roman" w:hAnsi="Times New Roman" w:cs="Times New Roman"/>
          <w:sz w:val="22"/>
          <w:szCs w:val="22"/>
        </w:rPr>
        <w:t>it also requires</w:t>
      </w:r>
      <w:r w:rsidR="00C06178" w:rsidRPr="008C721D">
        <w:rPr>
          <w:rFonts w:ascii="Times New Roman" w:hAnsi="Times New Roman" w:cs="Times New Roman"/>
          <w:sz w:val="22"/>
          <w:szCs w:val="22"/>
        </w:rPr>
        <w:t xml:space="preserve"> </w:t>
      </w:r>
      <w:r w:rsidRPr="008C721D">
        <w:rPr>
          <w:rFonts w:ascii="Times New Roman" w:hAnsi="Times New Roman" w:cs="Times New Roman"/>
          <w:sz w:val="22"/>
          <w:szCs w:val="22"/>
        </w:rPr>
        <w:t>positive measures</w:t>
      </w:r>
      <w:r w:rsidR="00C06178" w:rsidRPr="008C721D">
        <w:rPr>
          <w:rFonts w:ascii="Times New Roman" w:hAnsi="Times New Roman" w:cs="Times New Roman"/>
          <w:sz w:val="22"/>
          <w:szCs w:val="22"/>
        </w:rPr>
        <w:t xml:space="preserve">.  </w:t>
      </w:r>
      <w:r w:rsidR="00C67328" w:rsidRPr="008C721D">
        <w:rPr>
          <w:rFonts w:ascii="Times New Roman" w:hAnsi="Times New Roman" w:cs="Times New Roman"/>
          <w:sz w:val="22"/>
          <w:szCs w:val="22"/>
        </w:rPr>
        <w:t>Suggesting</w:t>
      </w:r>
      <w:r w:rsidR="00C06178" w:rsidRPr="008C721D">
        <w:rPr>
          <w:rFonts w:ascii="Times New Roman" w:hAnsi="Times New Roman" w:cs="Times New Roman"/>
          <w:sz w:val="22"/>
          <w:szCs w:val="22"/>
        </w:rPr>
        <w:t xml:space="preserve"> </w:t>
      </w:r>
      <w:r w:rsidR="00C67328" w:rsidRPr="008C721D">
        <w:rPr>
          <w:rFonts w:ascii="Times New Roman" w:hAnsi="Times New Roman" w:cs="Times New Roman"/>
          <w:sz w:val="22"/>
          <w:szCs w:val="22"/>
        </w:rPr>
        <w:t xml:space="preserve">this </w:t>
      </w:r>
      <w:r w:rsidR="00C06178" w:rsidRPr="008C721D">
        <w:rPr>
          <w:rFonts w:ascii="Times New Roman" w:hAnsi="Times New Roman" w:cs="Times New Roman"/>
          <w:sz w:val="22"/>
          <w:szCs w:val="22"/>
        </w:rPr>
        <w:t xml:space="preserve">means </w:t>
      </w:r>
      <w:r w:rsidR="00C67328" w:rsidRPr="008C721D">
        <w:rPr>
          <w:rFonts w:ascii="Times New Roman" w:hAnsi="Times New Roman" w:cs="Times New Roman"/>
          <w:sz w:val="22"/>
          <w:szCs w:val="22"/>
        </w:rPr>
        <w:t xml:space="preserve">that the Appraisal Committee </w:t>
      </w:r>
      <w:r w:rsidR="00C06178" w:rsidRPr="008C721D">
        <w:rPr>
          <w:rFonts w:ascii="Times New Roman" w:hAnsi="Times New Roman" w:cs="Times New Roman"/>
          <w:sz w:val="22"/>
          <w:szCs w:val="22"/>
        </w:rPr>
        <w:t xml:space="preserve">must take a more indulgent view of the evidence, is perhaps a step too far.  The approach to reviewing the evidence ought to be reasonable, </w:t>
      </w:r>
      <w:proofErr w:type="gramStart"/>
      <w:r w:rsidR="00C06178" w:rsidRPr="008C721D">
        <w:rPr>
          <w:rFonts w:ascii="Times New Roman" w:hAnsi="Times New Roman" w:cs="Times New Roman"/>
          <w:sz w:val="22"/>
          <w:szCs w:val="22"/>
        </w:rPr>
        <w:t>fair</w:t>
      </w:r>
      <w:proofErr w:type="gramEnd"/>
      <w:r w:rsidR="00C06178" w:rsidRPr="008C721D">
        <w:rPr>
          <w:rFonts w:ascii="Times New Roman" w:hAnsi="Times New Roman" w:cs="Times New Roman"/>
          <w:sz w:val="22"/>
          <w:szCs w:val="22"/>
        </w:rPr>
        <w:t xml:space="preserve"> and proper, take appropriate account of the context and consider all relevant information.   </w:t>
      </w:r>
    </w:p>
    <w:p w14:paraId="538915A7" w14:textId="77777777" w:rsidR="000929F6" w:rsidRPr="008C721D" w:rsidRDefault="000929F6" w:rsidP="00A51A3B">
      <w:pPr>
        <w:pStyle w:val="ListParagraph"/>
        <w:ind w:left="360"/>
        <w:rPr>
          <w:rFonts w:ascii="Times New Roman" w:hAnsi="Times New Roman" w:cs="Times New Roman"/>
          <w:sz w:val="22"/>
          <w:szCs w:val="22"/>
        </w:rPr>
      </w:pPr>
    </w:p>
    <w:p w14:paraId="4D10852E" w14:textId="77777777" w:rsidR="002A27CE" w:rsidRPr="008C721D" w:rsidRDefault="008B5CF9"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The Appraisal Committee</w:t>
      </w:r>
      <w:r w:rsidR="00C06178" w:rsidRPr="008C721D">
        <w:rPr>
          <w:rFonts w:ascii="Times New Roman" w:hAnsi="Times New Roman" w:cs="Times New Roman"/>
          <w:sz w:val="22"/>
          <w:szCs w:val="22"/>
        </w:rPr>
        <w:t xml:space="preserve"> </w:t>
      </w:r>
      <w:r w:rsidR="00C67328" w:rsidRPr="008C721D">
        <w:rPr>
          <w:rFonts w:ascii="Times New Roman" w:hAnsi="Times New Roman" w:cs="Times New Roman"/>
          <w:sz w:val="22"/>
          <w:szCs w:val="22"/>
        </w:rPr>
        <w:t xml:space="preserve">should </w:t>
      </w:r>
      <w:r w:rsidR="00C06178" w:rsidRPr="008C721D">
        <w:rPr>
          <w:rFonts w:ascii="Times New Roman" w:hAnsi="Times New Roman" w:cs="Times New Roman"/>
          <w:sz w:val="22"/>
          <w:szCs w:val="22"/>
        </w:rPr>
        <w:t xml:space="preserve">also </w:t>
      </w:r>
      <w:r w:rsidR="00C67328" w:rsidRPr="008C721D">
        <w:rPr>
          <w:rFonts w:ascii="Times New Roman" w:hAnsi="Times New Roman" w:cs="Times New Roman"/>
          <w:sz w:val="22"/>
          <w:szCs w:val="22"/>
        </w:rPr>
        <w:t xml:space="preserve">aim for </w:t>
      </w:r>
      <w:r w:rsidR="00C06178" w:rsidRPr="008C721D">
        <w:rPr>
          <w:rFonts w:ascii="Times New Roman" w:hAnsi="Times New Roman" w:cs="Times New Roman"/>
          <w:sz w:val="22"/>
          <w:szCs w:val="22"/>
        </w:rPr>
        <w:t>consisten</w:t>
      </w:r>
      <w:r w:rsidR="00C67328" w:rsidRPr="008C721D">
        <w:rPr>
          <w:rFonts w:ascii="Times New Roman" w:hAnsi="Times New Roman" w:cs="Times New Roman"/>
          <w:sz w:val="22"/>
          <w:szCs w:val="22"/>
        </w:rPr>
        <w:t>cy</w:t>
      </w:r>
      <w:r w:rsidR="00C06178" w:rsidRPr="008C721D">
        <w:rPr>
          <w:rFonts w:ascii="Times New Roman" w:hAnsi="Times New Roman" w:cs="Times New Roman"/>
          <w:sz w:val="22"/>
          <w:szCs w:val="22"/>
        </w:rPr>
        <w:t xml:space="preserve"> with similar appraisals, such as TA525.  </w:t>
      </w:r>
      <w:r w:rsidR="000929F6" w:rsidRPr="008C721D">
        <w:rPr>
          <w:rFonts w:ascii="Times New Roman" w:hAnsi="Times New Roman" w:cs="Times New Roman"/>
          <w:sz w:val="22"/>
          <w:szCs w:val="22"/>
        </w:rPr>
        <w:t xml:space="preserve">English Courts considering how a decision maker’s margin of appreciation </w:t>
      </w:r>
      <w:r w:rsidRPr="008C721D">
        <w:rPr>
          <w:rFonts w:ascii="Times New Roman" w:hAnsi="Times New Roman" w:cs="Times New Roman"/>
          <w:sz w:val="22"/>
          <w:szCs w:val="22"/>
        </w:rPr>
        <w:t xml:space="preserve">in the human rights context </w:t>
      </w:r>
      <w:r w:rsidR="000929F6" w:rsidRPr="008C721D">
        <w:rPr>
          <w:rFonts w:ascii="Times New Roman" w:hAnsi="Times New Roman" w:cs="Times New Roman"/>
          <w:sz w:val="22"/>
          <w:szCs w:val="22"/>
        </w:rPr>
        <w:t xml:space="preserve">is restricted by its previous decisions and conduct appear to have </w:t>
      </w:r>
      <w:r w:rsidR="00A4406B" w:rsidRPr="008C721D">
        <w:rPr>
          <w:rFonts w:ascii="Times New Roman" w:hAnsi="Times New Roman" w:cs="Times New Roman"/>
          <w:sz w:val="22"/>
          <w:szCs w:val="22"/>
        </w:rPr>
        <w:t xml:space="preserve">applied </w:t>
      </w:r>
      <w:r w:rsidR="00F84FB7" w:rsidRPr="008C721D">
        <w:rPr>
          <w:rFonts w:ascii="Times New Roman" w:hAnsi="Times New Roman" w:cs="Times New Roman"/>
          <w:sz w:val="22"/>
          <w:szCs w:val="22"/>
        </w:rPr>
        <w:t xml:space="preserve">the concept of </w:t>
      </w:r>
      <w:r w:rsidR="002A27CE" w:rsidRPr="008C721D">
        <w:rPr>
          <w:rFonts w:ascii="Times New Roman" w:hAnsi="Times New Roman" w:cs="Times New Roman"/>
          <w:sz w:val="22"/>
          <w:szCs w:val="22"/>
        </w:rPr>
        <w:t xml:space="preserve">legitimate expectation. </w:t>
      </w:r>
      <w:r w:rsidR="00A4406B" w:rsidRPr="008C721D">
        <w:rPr>
          <w:rFonts w:ascii="Times New Roman" w:hAnsi="Times New Roman" w:cs="Times New Roman"/>
          <w:sz w:val="22"/>
          <w:szCs w:val="22"/>
        </w:rPr>
        <w:t xml:space="preserve"> </w:t>
      </w:r>
      <w:r w:rsidR="000929F6" w:rsidRPr="008C721D">
        <w:rPr>
          <w:rFonts w:ascii="Times New Roman" w:hAnsi="Times New Roman" w:cs="Times New Roman"/>
          <w:sz w:val="22"/>
          <w:szCs w:val="22"/>
        </w:rPr>
        <w:t xml:space="preserve">For example, a </w:t>
      </w:r>
      <w:r w:rsidR="002A27CE" w:rsidRPr="008C721D">
        <w:rPr>
          <w:rFonts w:ascii="Times New Roman" w:hAnsi="Times New Roman" w:cs="Times New Roman"/>
          <w:sz w:val="22"/>
          <w:szCs w:val="22"/>
        </w:rPr>
        <w:t>2011 Supreme Court false imprisonment and deportation case reinforces the decision maker’s obligation to apply its policies</w:t>
      </w:r>
      <w:r w:rsidR="00633459" w:rsidRPr="008C721D">
        <w:rPr>
          <w:rFonts w:ascii="Times New Roman" w:hAnsi="Times New Roman" w:cs="Times New Roman"/>
          <w:sz w:val="22"/>
          <w:szCs w:val="22"/>
        </w:rPr>
        <w:t xml:space="preserve"> consistently:</w:t>
      </w:r>
    </w:p>
    <w:p w14:paraId="0DD20391" w14:textId="77777777" w:rsidR="002A27CE" w:rsidRPr="008C721D" w:rsidRDefault="002A27CE" w:rsidP="00A51A3B">
      <w:pPr>
        <w:spacing w:after="160" w:line="252" w:lineRule="auto"/>
        <w:contextualSpacing/>
        <w:rPr>
          <w:rFonts w:ascii="Times New Roman" w:hAnsi="Times New Roman"/>
          <w:lang w:val="en-GB"/>
        </w:rPr>
      </w:pPr>
    </w:p>
    <w:p w14:paraId="4CDF7A96" w14:textId="77777777" w:rsidR="002A27CE" w:rsidRPr="008C721D" w:rsidRDefault="002A27CE" w:rsidP="00A51A3B">
      <w:pPr>
        <w:spacing w:after="160" w:line="252" w:lineRule="auto"/>
        <w:ind w:left="720"/>
        <w:contextualSpacing/>
        <w:rPr>
          <w:rFonts w:ascii="Times New Roman" w:hAnsi="Times New Roman"/>
          <w:lang w:val="en-GB"/>
        </w:rPr>
      </w:pPr>
      <w:r w:rsidRPr="008C721D">
        <w:rPr>
          <w:rFonts w:ascii="Times New Roman" w:hAnsi="Times New Roman"/>
          <w:i/>
          <w:iCs/>
          <w:color w:val="212121"/>
          <w:shd w:val="clear" w:color="auto" w:fill="FFFFFF"/>
          <w:lang w:val="en-GB"/>
        </w:rPr>
        <w:t xml:space="preserve">“… a decision-maker must follow his published policy (and not some different unpublished policy) unless there are good reasons for not doing so. </w:t>
      </w:r>
      <w:r w:rsidRPr="008C721D">
        <w:rPr>
          <w:rFonts w:ascii="Times New Roman" w:hAnsi="Times New Roman"/>
          <w:bCs/>
          <w:i/>
          <w:iCs/>
          <w:color w:val="212121"/>
          <w:shd w:val="clear" w:color="auto" w:fill="FFFFFF"/>
          <w:lang w:val="en-GB"/>
        </w:rPr>
        <w:t>The principle that policy must be consistently applied is not in doubt</w:t>
      </w:r>
      <w:r w:rsidRPr="008C721D">
        <w:rPr>
          <w:rFonts w:ascii="Times New Roman" w:hAnsi="Times New Roman"/>
          <w:i/>
          <w:iCs/>
          <w:color w:val="212121"/>
          <w:shd w:val="clear" w:color="auto" w:fill="FFFFFF"/>
          <w:lang w:val="en-GB"/>
        </w:rPr>
        <w:t>: see Wade and Forsyth Administrative Law , 10th ed (2009) p 316. As it is put in De Smith's Judicial Review, 6th ed (2007) at para 12-039</w:t>
      </w:r>
      <w:r w:rsidRPr="008C721D">
        <w:rPr>
          <w:rFonts w:ascii="Times New Roman" w:hAnsi="Times New Roman"/>
          <w:color w:val="212121"/>
          <w:shd w:val="clear" w:color="auto" w:fill="FFFFFF"/>
          <w:lang w:val="en-GB"/>
        </w:rPr>
        <w:t>:</w:t>
      </w:r>
    </w:p>
    <w:p w14:paraId="346EAD13" w14:textId="77777777" w:rsidR="002A27CE" w:rsidRPr="008C721D" w:rsidRDefault="002A27CE" w:rsidP="00A51A3B">
      <w:pPr>
        <w:pStyle w:val="ListParagraph"/>
        <w:shd w:val="clear" w:color="auto" w:fill="FFFFFF"/>
        <w:spacing w:after="160"/>
        <w:ind w:left="1080"/>
        <w:rPr>
          <w:rFonts w:ascii="Times New Roman" w:hAnsi="Times New Roman" w:cs="Times New Roman"/>
          <w:color w:val="212121"/>
          <w:sz w:val="22"/>
          <w:szCs w:val="22"/>
        </w:rPr>
      </w:pPr>
      <w:r w:rsidRPr="008C721D">
        <w:rPr>
          <w:rFonts w:ascii="Times New Roman" w:hAnsi="Times New Roman" w:cs="Times New Roman"/>
          <w:color w:val="212121"/>
          <w:sz w:val="22"/>
          <w:szCs w:val="22"/>
        </w:rPr>
        <w:t>“</w:t>
      </w:r>
      <w:r w:rsidRPr="008C721D">
        <w:rPr>
          <w:rFonts w:ascii="Times New Roman" w:hAnsi="Times New Roman" w:cs="Times New Roman"/>
          <w:i/>
          <w:iCs/>
          <w:color w:val="212121"/>
          <w:sz w:val="22"/>
          <w:szCs w:val="22"/>
        </w:rPr>
        <w:t>there is an independent duty of consistent application of policies, which is based on the principle of equal implementation of laws, non-discrimination and the lack of arbitrariness</w:t>
      </w:r>
      <w:r w:rsidRPr="008C721D">
        <w:rPr>
          <w:rFonts w:ascii="Times New Roman" w:hAnsi="Times New Roman" w:cs="Times New Roman"/>
          <w:color w:val="212121"/>
          <w:sz w:val="22"/>
          <w:szCs w:val="22"/>
        </w:rPr>
        <w:t>.””</w:t>
      </w:r>
      <w:r w:rsidR="000929F6" w:rsidRPr="008C721D">
        <w:rPr>
          <w:rStyle w:val="FootnoteReference"/>
          <w:rFonts w:ascii="Times New Roman" w:hAnsi="Times New Roman" w:cs="Times New Roman"/>
          <w:color w:val="212121"/>
          <w:sz w:val="22"/>
          <w:szCs w:val="22"/>
        </w:rPr>
        <w:footnoteReference w:id="3"/>
      </w:r>
      <w:r w:rsidRPr="008C721D">
        <w:rPr>
          <w:rFonts w:ascii="Times New Roman" w:hAnsi="Times New Roman" w:cs="Times New Roman"/>
          <w:color w:val="212121"/>
          <w:sz w:val="22"/>
          <w:szCs w:val="22"/>
        </w:rPr>
        <w:t xml:space="preserve"> </w:t>
      </w:r>
    </w:p>
    <w:p w14:paraId="14F290EA" w14:textId="77777777" w:rsidR="004F2737" w:rsidRPr="008C721D" w:rsidRDefault="004F2737" w:rsidP="00A51A3B">
      <w:pPr>
        <w:pStyle w:val="ListParagraph"/>
        <w:shd w:val="clear" w:color="auto" w:fill="FFFFFF"/>
        <w:spacing w:after="160"/>
        <w:ind w:left="1080"/>
        <w:rPr>
          <w:rFonts w:ascii="Times New Roman" w:hAnsi="Times New Roman" w:cs="Times New Roman"/>
          <w:color w:val="212121"/>
          <w:sz w:val="22"/>
          <w:szCs w:val="22"/>
        </w:rPr>
      </w:pPr>
    </w:p>
    <w:p w14:paraId="38AE20C6" w14:textId="77777777" w:rsidR="00A4406B" w:rsidRPr="008C721D" w:rsidRDefault="004F2737"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This has the effect of further narrowing </w:t>
      </w:r>
      <w:r w:rsidR="00633459" w:rsidRPr="008C721D">
        <w:rPr>
          <w:rFonts w:ascii="Times New Roman" w:hAnsi="Times New Roman" w:cs="Times New Roman"/>
          <w:sz w:val="22"/>
          <w:szCs w:val="22"/>
        </w:rPr>
        <w:t>any</w:t>
      </w:r>
      <w:r w:rsidRPr="008C721D">
        <w:rPr>
          <w:rFonts w:ascii="Times New Roman" w:hAnsi="Times New Roman" w:cs="Times New Roman"/>
          <w:sz w:val="22"/>
          <w:szCs w:val="22"/>
        </w:rPr>
        <w:t xml:space="preserve"> margin of appreciation</w:t>
      </w:r>
      <w:r w:rsidR="00BE58EA" w:rsidRPr="008C721D">
        <w:rPr>
          <w:rFonts w:ascii="Times New Roman" w:hAnsi="Times New Roman" w:cs="Times New Roman"/>
          <w:color w:val="000000"/>
          <w:sz w:val="22"/>
          <w:szCs w:val="22"/>
        </w:rPr>
        <w:t xml:space="preserve"> and this is </w:t>
      </w:r>
      <w:r w:rsidR="004E785A" w:rsidRPr="008C721D">
        <w:rPr>
          <w:rFonts w:ascii="Times New Roman" w:hAnsi="Times New Roman" w:cs="Times New Roman"/>
          <w:sz w:val="22"/>
          <w:szCs w:val="22"/>
        </w:rPr>
        <w:t xml:space="preserve">core of MSD’s submissions under Article 2.  </w:t>
      </w:r>
    </w:p>
    <w:p w14:paraId="0B2C1583" w14:textId="77777777" w:rsidR="00A4406B" w:rsidRPr="008C721D" w:rsidRDefault="00A4406B" w:rsidP="00A4406B">
      <w:pPr>
        <w:rPr>
          <w:rFonts w:ascii="Times New Roman" w:hAnsi="Times New Roman"/>
        </w:rPr>
      </w:pPr>
    </w:p>
    <w:p w14:paraId="3542044E" w14:textId="77777777" w:rsidR="004E785A" w:rsidRPr="008C721D" w:rsidRDefault="00633459"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In summary</w:t>
      </w:r>
      <w:r w:rsidR="004E785A" w:rsidRPr="008C721D">
        <w:rPr>
          <w:rFonts w:ascii="Times New Roman" w:hAnsi="Times New Roman" w:cs="Times New Roman"/>
          <w:sz w:val="22"/>
          <w:szCs w:val="22"/>
        </w:rPr>
        <w:t>, MSD submits that:</w:t>
      </w:r>
    </w:p>
    <w:p w14:paraId="40ABE347" w14:textId="77777777" w:rsidR="00B32A39" w:rsidRPr="008C721D" w:rsidRDefault="00B32A39" w:rsidP="00B32A39">
      <w:pPr>
        <w:rPr>
          <w:rFonts w:ascii="Times New Roman" w:hAnsi="Times New Roman"/>
        </w:rPr>
      </w:pPr>
    </w:p>
    <w:p w14:paraId="1D3AE473" w14:textId="77777777" w:rsidR="002C2BE4" w:rsidRPr="008C721D" w:rsidRDefault="002C2BE4" w:rsidP="00A51A3B">
      <w:pPr>
        <w:pStyle w:val="BodyText"/>
        <w:numPr>
          <w:ilvl w:val="1"/>
          <w:numId w:val="24"/>
        </w:numPr>
        <w:ind w:left="1080"/>
        <w:jc w:val="both"/>
        <w:rPr>
          <w:rFonts w:ascii="Times New Roman" w:hAnsi="Times New Roman"/>
        </w:rPr>
      </w:pPr>
      <w:r w:rsidRPr="008C721D">
        <w:rPr>
          <w:rFonts w:ascii="Times New Roman" w:hAnsi="Times New Roman"/>
        </w:rPr>
        <w:t xml:space="preserve">Appraisal Committee D appraised </w:t>
      </w:r>
      <w:r w:rsidR="008F5B3A" w:rsidRPr="008C721D">
        <w:rPr>
          <w:rFonts w:ascii="Times New Roman" w:hAnsi="Times New Roman"/>
        </w:rPr>
        <w:t xml:space="preserve">Roche’s product, </w:t>
      </w:r>
      <w:r w:rsidR="00A51A3B" w:rsidRPr="008C721D">
        <w:rPr>
          <w:rFonts w:ascii="Times New Roman" w:hAnsi="Times New Roman"/>
        </w:rPr>
        <w:t>atezolizumab</w:t>
      </w:r>
      <w:r w:rsidR="008F5B3A" w:rsidRPr="008C721D">
        <w:rPr>
          <w:rFonts w:ascii="Times New Roman" w:hAnsi="Times New Roman"/>
        </w:rPr>
        <w:t>,</w:t>
      </w:r>
      <w:r w:rsidRPr="008C721D">
        <w:rPr>
          <w:rFonts w:ascii="Times New Roman" w:hAnsi="Times New Roman"/>
        </w:rPr>
        <w:t xml:space="preserve"> in TA525.  Pembrolizumab and</w:t>
      </w:r>
      <w:r w:rsidR="00A65DBC" w:rsidRPr="008C721D">
        <w:rPr>
          <w:rFonts w:ascii="Times New Roman" w:hAnsi="Times New Roman"/>
        </w:rPr>
        <w:t xml:space="preserve"> atezolizumab are</w:t>
      </w:r>
      <w:r w:rsidRPr="008C721D">
        <w:rPr>
          <w:rFonts w:ascii="Times New Roman" w:hAnsi="Times New Roman"/>
        </w:rPr>
        <w:t xml:space="preserve"> very similar technologies</w:t>
      </w:r>
      <w:r w:rsidR="00A65DBC" w:rsidRPr="008C721D">
        <w:rPr>
          <w:rFonts w:ascii="Times New Roman" w:hAnsi="Times New Roman"/>
        </w:rPr>
        <w:t xml:space="preserve"> with </w:t>
      </w:r>
      <w:r w:rsidRPr="008C721D">
        <w:rPr>
          <w:rFonts w:ascii="Times New Roman" w:hAnsi="Times New Roman"/>
        </w:rPr>
        <w:t>similar</w:t>
      </w:r>
      <w:r w:rsidR="00A65DBC" w:rsidRPr="008C721D">
        <w:rPr>
          <w:rFonts w:ascii="Times New Roman" w:hAnsi="Times New Roman"/>
        </w:rPr>
        <w:t xml:space="preserve"> evidence bases, including the </w:t>
      </w:r>
      <w:r w:rsidRPr="008C721D">
        <w:rPr>
          <w:rFonts w:ascii="Times New Roman" w:hAnsi="Times New Roman"/>
        </w:rPr>
        <w:t xml:space="preserve">study designs, their size, the choice of comparators and the way that patients are allocated to the various treatment arms.  The primary endpoint in both the key trials </w:t>
      </w:r>
      <w:r w:rsidR="008F5B3A" w:rsidRPr="008C721D">
        <w:rPr>
          <w:rFonts w:ascii="Times New Roman" w:hAnsi="Times New Roman"/>
        </w:rPr>
        <w:t>was</w:t>
      </w:r>
      <w:r w:rsidRPr="008C721D">
        <w:rPr>
          <w:rFonts w:ascii="Times New Roman" w:hAnsi="Times New Roman"/>
        </w:rPr>
        <w:t xml:space="preserve"> overall survival.  However, atezolizumab did not meet its primary end point</w:t>
      </w:r>
      <w:r w:rsidR="008F5B3A" w:rsidRPr="008C721D">
        <w:rPr>
          <w:rFonts w:ascii="Times New Roman" w:hAnsi="Times New Roman"/>
        </w:rPr>
        <w:t>, while pembrolizumab did</w:t>
      </w:r>
      <w:r w:rsidRPr="008C721D">
        <w:rPr>
          <w:rFonts w:ascii="Times New Roman" w:hAnsi="Times New Roman"/>
        </w:rPr>
        <w:t xml:space="preserve">. </w:t>
      </w:r>
      <w:r w:rsidR="008F5B3A" w:rsidRPr="008C721D">
        <w:rPr>
          <w:rFonts w:ascii="Times New Roman" w:hAnsi="Times New Roman"/>
        </w:rPr>
        <w:t xml:space="preserve"> </w:t>
      </w:r>
      <w:r w:rsidRPr="008C721D">
        <w:rPr>
          <w:rFonts w:ascii="Times New Roman" w:hAnsi="Times New Roman"/>
        </w:rPr>
        <w:t xml:space="preserve">Second, MSD was able to provide the Appraisal Committee </w:t>
      </w:r>
      <w:r w:rsidRPr="008C721D">
        <w:rPr>
          <w:rFonts w:ascii="Times New Roman" w:hAnsi="Times New Roman"/>
        </w:rPr>
        <w:lastRenderedPageBreak/>
        <w:t>with evidence of the duration of this treatment effect approaching five years, while Roche had only between 1 and 2 years.</w:t>
      </w:r>
    </w:p>
    <w:p w14:paraId="775AD874" w14:textId="77777777" w:rsidR="00511F16" w:rsidRPr="008C721D" w:rsidRDefault="00D97EB1" w:rsidP="00A51A3B">
      <w:pPr>
        <w:pStyle w:val="BodyText"/>
        <w:numPr>
          <w:ilvl w:val="1"/>
          <w:numId w:val="24"/>
        </w:numPr>
        <w:ind w:left="1080"/>
        <w:jc w:val="both"/>
        <w:rPr>
          <w:rFonts w:ascii="Times New Roman" w:hAnsi="Times New Roman"/>
        </w:rPr>
      </w:pPr>
      <w:r w:rsidRPr="008C721D">
        <w:rPr>
          <w:rFonts w:ascii="Times New Roman" w:hAnsi="Times New Roman"/>
        </w:rPr>
        <w:t>The</w:t>
      </w:r>
      <w:r w:rsidR="00F62D60" w:rsidRPr="008C721D">
        <w:rPr>
          <w:rFonts w:ascii="Times New Roman" w:hAnsi="Times New Roman"/>
        </w:rPr>
        <w:t xml:space="preserve"> </w:t>
      </w:r>
      <w:r w:rsidR="000A4F79" w:rsidRPr="008C721D">
        <w:rPr>
          <w:rFonts w:ascii="Times New Roman" w:hAnsi="Times New Roman"/>
        </w:rPr>
        <w:t xml:space="preserve">more robust, </w:t>
      </w:r>
      <w:r w:rsidR="00A65DBC" w:rsidRPr="008C721D">
        <w:rPr>
          <w:rFonts w:ascii="Times New Roman" w:hAnsi="Times New Roman"/>
        </w:rPr>
        <w:t xml:space="preserve">“level one” evidence </w:t>
      </w:r>
      <w:r w:rsidR="000A4F79" w:rsidRPr="008C721D">
        <w:rPr>
          <w:rFonts w:ascii="Times New Roman" w:hAnsi="Times New Roman"/>
        </w:rPr>
        <w:t xml:space="preserve">base </w:t>
      </w:r>
      <w:r w:rsidR="00A65DBC" w:rsidRPr="008C721D">
        <w:rPr>
          <w:rFonts w:ascii="Times New Roman" w:hAnsi="Times New Roman"/>
        </w:rPr>
        <w:t>from the KEYNOTE-</w:t>
      </w:r>
      <w:r w:rsidR="008F5B3A" w:rsidRPr="008C721D">
        <w:rPr>
          <w:rFonts w:ascii="Times New Roman" w:hAnsi="Times New Roman"/>
        </w:rPr>
        <w:t>0</w:t>
      </w:r>
      <w:r w:rsidR="00A65DBC" w:rsidRPr="008C721D">
        <w:rPr>
          <w:rFonts w:ascii="Times New Roman" w:hAnsi="Times New Roman"/>
        </w:rPr>
        <w:t xml:space="preserve">45 clinical trial and the testimony of the clinical community </w:t>
      </w:r>
      <w:r w:rsidR="008F5B3A" w:rsidRPr="008C721D">
        <w:rPr>
          <w:rFonts w:ascii="Times New Roman" w:hAnsi="Times New Roman"/>
        </w:rPr>
        <w:t>shows</w:t>
      </w:r>
      <w:r w:rsidR="00F62D60" w:rsidRPr="008C721D">
        <w:rPr>
          <w:rFonts w:ascii="Times New Roman" w:hAnsi="Times New Roman"/>
        </w:rPr>
        <w:t xml:space="preserve"> </w:t>
      </w:r>
      <w:r w:rsidR="00A65DBC" w:rsidRPr="008C721D">
        <w:rPr>
          <w:rFonts w:ascii="Times New Roman" w:hAnsi="Times New Roman"/>
        </w:rPr>
        <w:t>that pembrolizumab is the only genuinely life-extending treatment option</w:t>
      </w:r>
      <w:r w:rsidR="008F5B3A" w:rsidRPr="008C721D">
        <w:rPr>
          <w:rFonts w:ascii="Times New Roman" w:hAnsi="Times New Roman"/>
        </w:rPr>
        <w:t xml:space="preserve"> for this cancer</w:t>
      </w:r>
      <w:r w:rsidR="00A65DBC" w:rsidRPr="008C721D">
        <w:rPr>
          <w:rFonts w:ascii="Times New Roman" w:hAnsi="Times New Roman"/>
        </w:rPr>
        <w:t xml:space="preserve">.  </w:t>
      </w:r>
    </w:p>
    <w:p w14:paraId="732EE1AF" w14:textId="77777777" w:rsidR="00B122D4" w:rsidRPr="008C721D" w:rsidRDefault="00633459" w:rsidP="00A51A3B">
      <w:pPr>
        <w:pStyle w:val="BodyText"/>
        <w:numPr>
          <w:ilvl w:val="1"/>
          <w:numId w:val="24"/>
        </w:numPr>
        <w:ind w:left="1080"/>
        <w:jc w:val="both"/>
        <w:rPr>
          <w:rFonts w:ascii="Times New Roman" w:hAnsi="Times New Roman"/>
        </w:rPr>
      </w:pPr>
      <w:r w:rsidRPr="008C721D">
        <w:rPr>
          <w:rFonts w:ascii="Times New Roman" w:hAnsi="Times New Roman"/>
        </w:rPr>
        <w:t>T</w:t>
      </w:r>
      <w:r w:rsidR="00491124" w:rsidRPr="008C721D">
        <w:rPr>
          <w:rFonts w:ascii="Times New Roman" w:hAnsi="Times New Roman"/>
        </w:rPr>
        <w:t>he Appraisal Committee ought to have given proper regard to the potentially transformative nature of the technology, the impact on patients of refusing to recommend the product (without proper justification), the views of the clinical community,</w:t>
      </w:r>
      <w:r w:rsidR="006F4D90" w:rsidRPr="008C721D">
        <w:rPr>
          <w:rFonts w:ascii="Times New Roman" w:hAnsi="Times New Roman"/>
        </w:rPr>
        <w:t xml:space="preserve"> and</w:t>
      </w:r>
      <w:r w:rsidR="00491124" w:rsidRPr="008C721D">
        <w:rPr>
          <w:rFonts w:ascii="Times New Roman" w:hAnsi="Times New Roman"/>
        </w:rPr>
        <w:t xml:space="preserve"> the unprecedented quality of the evidence</w:t>
      </w:r>
      <w:r w:rsidRPr="008C721D">
        <w:rPr>
          <w:rFonts w:ascii="Times New Roman" w:hAnsi="Times New Roman"/>
        </w:rPr>
        <w:t>.</w:t>
      </w:r>
      <w:r w:rsidR="00491124" w:rsidRPr="008C721D">
        <w:rPr>
          <w:rFonts w:ascii="Times New Roman" w:hAnsi="Times New Roman"/>
        </w:rPr>
        <w:t xml:space="preserve"> </w:t>
      </w:r>
      <w:r w:rsidRPr="008C721D">
        <w:rPr>
          <w:rFonts w:ascii="Times New Roman" w:hAnsi="Times New Roman"/>
        </w:rPr>
        <w:t xml:space="preserve"> </w:t>
      </w:r>
      <w:r w:rsidR="00F62D60" w:rsidRPr="008C721D">
        <w:rPr>
          <w:rFonts w:ascii="Times New Roman" w:hAnsi="Times New Roman"/>
        </w:rPr>
        <w:t>Y</w:t>
      </w:r>
      <w:r w:rsidR="002C2BE4" w:rsidRPr="008C721D">
        <w:rPr>
          <w:rFonts w:ascii="Times New Roman" w:hAnsi="Times New Roman"/>
        </w:rPr>
        <w:t xml:space="preserve">et </w:t>
      </w:r>
      <w:r w:rsidR="00F62D60" w:rsidRPr="008C721D">
        <w:rPr>
          <w:rFonts w:ascii="Times New Roman" w:hAnsi="Times New Roman"/>
        </w:rPr>
        <w:t xml:space="preserve">the same Appraisal Committee D </w:t>
      </w:r>
      <w:r w:rsidR="002C2BE4" w:rsidRPr="008C721D">
        <w:rPr>
          <w:rFonts w:ascii="Times New Roman" w:hAnsi="Times New Roman"/>
        </w:rPr>
        <w:t>applied a more conservative</w:t>
      </w:r>
      <w:r w:rsidR="006F4D90" w:rsidRPr="008C721D">
        <w:rPr>
          <w:rFonts w:ascii="Times New Roman" w:hAnsi="Times New Roman"/>
        </w:rPr>
        <w:t>, negative</w:t>
      </w:r>
      <w:r w:rsidR="002C2BE4" w:rsidRPr="008C721D">
        <w:rPr>
          <w:rFonts w:ascii="Times New Roman" w:hAnsi="Times New Roman"/>
        </w:rPr>
        <w:t xml:space="preserve"> approach</w:t>
      </w:r>
      <w:r w:rsidR="00F62D60" w:rsidRPr="008C721D">
        <w:rPr>
          <w:rFonts w:ascii="Times New Roman" w:hAnsi="Times New Roman"/>
        </w:rPr>
        <w:t xml:space="preserve"> when appraising pembrolizumab than it did </w:t>
      </w:r>
      <w:r w:rsidR="006F4D90" w:rsidRPr="008C721D">
        <w:rPr>
          <w:rFonts w:ascii="Times New Roman" w:hAnsi="Times New Roman"/>
        </w:rPr>
        <w:t>for atezolizumab in</w:t>
      </w:r>
      <w:r w:rsidR="00F62D60" w:rsidRPr="008C721D">
        <w:rPr>
          <w:rFonts w:ascii="Times New Roman" w:hAnsi="Times New Roman"/>
        </w:rPr>
        <w:t xml:space="preserve"> TA525</w:t>
      </w:r>
      <w:r w:rsidR="002C2BE4" w:rsidRPr="008C721D">
        <w:rPr>
          <w:rFonts w:ascii="Times New Roman" w:hAnsi="Times New Roman"/>
        </w:rPr>
        <w:t>.</w:t>
      </w:r>
      <w:r w:rsidR="00887F74" w:rsidRPr="008C721D">
        <w:rPr>
          <w:rFonts w:ascii="Times New Roman" w:hAnsi="Times New Roman"/>
        </w:rPr>
        <w:t xml:space="preserve"> </w:t>
      </w:r>
      <w:r w:rsidR="002C2BE4" w:rsidRPr="008C721D">
        <w:rPr>
          <w:rFonts w:ascii="Times New Roman" w:hAnsi="Times New Roman"/>
        </w:rPr>
        <w:t xml:space="preserve"> That was </w:t>
      </w:r>
      <w:r w:rsidR="00E12CBC" w:rsidRPr="008C721D">
        <w:rPr>
          <w:rFonts w:ascii="Times New Roman" w:hAnsi="Times New Roman"/>
        </w:rPr>
        <w:t xml:space="preserve">procedurally unfair and </w:t>
      </w:r>
      <w:r w:rsidR="002C2BE4" w:rsidRPr="008C721D">
        <w:rPr>
          <w:rFonts w:ascii="Times New Roman" w:hAnsi="Times New Roman"/>
        </w:rPr>
        <w:t xml:space="preserve">unreasonable </w:t>
      </w:r>
      <w:proofErr w:type="gramStart"/>
      <w:r w:rsidR="002C2BE4" w:rsidRPr="008C721D">
        <w:rPr>
          <w:rFonts w:ascii="Times New Roman" w:hAnsi="Times New Roman"/>
        </w:rPr>
        <w:t>in light of</w:t>
      </w:r>
      <w:proofErr w:type="gramEnd"/>
      <w:r w:rsidR="002C2BE4" w:rsidRPr="008C721D">
        <w:rPr>
          <w:rFonts w:ascii="Times New Roman" w:hAnsi="Times New Roman"/>
        </w:rPr>
        <w:t xml:space="preserve"> the evidence before the Committee; it simply does not add up</w:t>
      </w:r>
      <w:r w:rsidR="00511F16" w:rsidRPr="008C721D">
        <w:rPr>
          <w:rFonts w:ascii="Times New Roman" w:hAnsi="Times New Roman"/>
        </w:rPr>
        <w:t xml:space="preserve">.  </w:t>
      </w:r>
    </w:p>
    <w:p w14:paraId="6894E70A" w14:textId="77777777" w:rsidR="00511F16" w:rsidRPr="008C721D" w:rsidRDefault="00F61861" w:rsidP="00A51A3B">
      <w:pPr>
        <w:pStyle w:val="BodyText"/>
        <w:numPr>
          <w:ilvl w:val="1"/>
          <w:numId w:val="24"/>
        </w:numPr>
        <w:ind w:left="1080"/>
        <w:jc w:val="both"/>
        <w:rPr>
          <w:rFonts w:ascii="Times New Roman" w:hAnsi="Times New Roman"/>
        </w:rPr>
      </w:pPr>
      <w:r w:rsidRPr="008C721D">
        <w:rPr>
          <w:rFonts w:ascii="Times New Roman" w:hAnsi="Times New Roman"/>
          <w:lang w:val="en-GB"/>
        </w:rPr>
        <w:t xml:space="preserve">While exercising </w:t>
      </w:r>
      <w:r w:rsidR="001B4E68" w:rsidRPr="008C721D">
        <w:rPr>
          <w:rFonts w:ascii="Times New Roman" w:hAnsi="Times New Roman"/>
          <w:lang w:val="en-GB"/>
        </w:rPr>
        <w:t xml:space="preserve">its </w:t>
      </w:r>
      <w:r w:rsidRPr="008C721D">
        <w:rPr>
          <w:rFonts w:ascii="Times New Roman" w:hAnsi="Times New Roman"/>
          <w:lang w:val="en-GB"/>
        </w:rPr>
        <w:t>“margin of appreciation</w:t>
      </w:r>
      <w:r w:rsidR="001B4E68" w:rsidRPr="008C721D">
        <w:rPr>
          <w:rFonts w:ascii="Times New Roman" w:hAnsi="Times New Roman"/>
          <w:lang w:val="en-GB"/>
        </w:rPr>
        <w:t>,</w:t>
      </w:r>
      <w:r w:rsidRPr="008C721D">
        <w:rPr>
          <w:rFonts w:ascii="Times New Roman" w:hAnsi="Times New Roman"/>
          <w:lang w:val="en-GB"/>
        </w:rPr>
        <w:t xml:space="preserve">” </w:t>
      </w:r>
      <w:r w:rsidR="001B4E68" w:rsidRPr="008C721D">
        <w:rPr>
          <w:rFonts w:ascii="Times New Roman" w:hAnsi="Times New Roman"/>
          <w:lang w:val="en-GB"/>
        </w:rPr>
        <w:t xml:space="preserve">Article 2 required </w:t>
      </w:r>
      <w:r w:rsidRPr="008C721D">
        <w:rPr>
          <w:rFonts w:ascii="Times New Roman" w:hAnsi="Times New Roman"/>
          <w:lang w:val="en-GB"/>
        </w:rPr>
        <w:t xml:space="preserve">the Committee </w:t>
      </w:r>
      <w:r w:rsidR="001B4E68" w:rsidRPr="008C721D">
        <w:rPr>
          <w:rFonts w:ascii="Times New Roman" w:hAnsi="Times New Roman"/>
          <w:lang w:val="en-GB"/>
        </w:rPr>
        <w:t xml:space="preserve">to take </w:t>
      </w:r>
      <w:r w:rsidRPr="008C721D">
        <w:rPr>
          <w:rFonts w:ascii="Times New Roman" w:hAnsi="Times New Roman"/>
          <w:lang w:val="en-GB"/>
        </w:rPr>
        <w:t xml:space="preserve">positive </w:t>
      </w:r>
      <w:r w:rsidR="001B4E68" w:rsidRPr="008C721D">
        <w:rPr>
          <w:rFonts w:ascii="Times New Roman" w:hAnsi="Times New Roman"/>
          <w:lang w:val="en-GB"/>
        </w:rPr>
        <w:t xml:space="preserve">measures </w:t>
      </w:r>
      <w:r w:rsidR="006F4D90" w:rsidRPr="008C721D">
        <w:rPr>
          <w:rFonts w:ascii="Times New Roman" w:hAnsi="Times New Roman"/>
          <w:lang w:val="en-GB"/>
        </w:rPr>
        <w:t xml:space="preserve">to preserve life.  </w:t>
      </w:r>
      <w:r w:rsidR="001B4E68" w:rsidRPr="008C721D">
        <w:rPr>
          <w:rFonts w:ascii="Times New Roman" w:hAnsi="Times New Roman"/>
        </w:rPr>
        <w:t xml:space="preserve">Yet, the Appraisal Committee appears to have taken the opposite approach by consistently exercising its discretion in a manner that reduce the likelihood that these patients would benefit from a life-extending product. </w:t>
      </w:r>
    </w:p>
    <w:p w14:paraId="33705D33" w14:textId="77777777" w:rsidR="00511F16" w:rsidRPr="008C721D" w:rsidRDefault="006F4D90" w:rsidP="00A51A3B">
      <w:pPr>
        <w:pStyle w:val="BodyText"/>
        <w:numPr>
          <w:ilvl w:val="1"/>
          <w:numId w:val="24"/>
        </w:numPr>
        <w:ind w:left="1080"/>
        <w:jc w:val="both"/>
        <w:rPr>
          <w:rFonts w:ascii="Times New Roman" w:hAnsi="Times New Roman"/>
        </w:rPr>
      </w:pPr>
      <w:r w:rsidRPr="008C721D">
        <w:rPr>
          <w:rFonts w:ascii="Times New Roman" w:hAnsi="Times New Roman"/>
          <w:lang w:val="en-GB"/>
        </w:rPr>
        <w:t xml:space="preserve">Even though its evidence base would </w:t>
      </w:r>
      <w:r w:rsidR="008B5CF9" w:rsidRPr="008C721D">
        <w:rPr>
          <w:rFonts w:ascii="Times New Roman" w:hAnsi="Times New Roman"/>
          <w:lang w:val="en-GB"/>
        </w:rPr>
        <w:t xml:space="preserve">arguably </w:t>
      </w:r>
      <w:r w:rsidRPr="008C721D">
        <w:rPr>
          <w:rFonts w:ascii="Times New Roman" w:hAnsi="Times New Roman"/>
          <w:lang w:val="en-GB"/>
        </w:rPr>
        <w:t xml:space="preserve">support it, </w:t>
      </w:r>
      <w:r w:rsidR="001B4E68" w:rsidRPr="008C721D">
        <w:rPr>
          <w:rFonts w:ascii="Times New Roman" w:hAnsi="Times New Roman"/>
          <w:lang w:val="en-GB"/>
        </w:rPr>
        <w:t xml:space="preserve">MSD does </w:t>
      </w:r>
      <w:r w:rsidR="00E8226C" w:rsidRPr="008C721D">
        <w:rPr>
          <w:rFonts w:ascii="Times New Roman" w:hAnsi="Times New Roman"/>
          <w:lang w:val="en-GB"/>
        </w:rPr>
        <w:t xml:space="preserve">not require </w:t>
      </w:r>
      <w:r w:rsidR="00E8226C" w:rsidRPr="008C721D">
        <w:rPr>
          <w:rFonts w:ascii="Times New Roman" w:hAnsi="Times New Roman"/>
        </w:rPr>
        <w:t>a more indulgent view of its evidence</w:t>
      </w:r>
      <w:r w:rsidRPr="008C721D">
        <w:rPr>
          <w:rFonts w:ascii="Times New Roman" w:hAnsi="Times New Roman"/>
        </w:rPr>
        <w:t xml:space="preserve"> than the Appraisal Committee took in TA 525</w:t>
      </w:r>
      <w:r w:rsidR="00F32271" w:rsidRPr="008C721D">
        <w:rPr>
          <w:rFonts w:ascii="Times New Roman" w:hAnsi="Times New Roman"/>
        </w:rPr>
        <w:t xml:space="preserve">.  </w:t>
      </w:r>
      <w:r w:rsidRPr="008C721D">
        <w:rPr>
          <w:rFonts w:ascii="Times New Roman" w:hAnsi="Times New Roman"/>
        </w:rPr>
        <w:t>H</w:t>
      </w:r>
      <w:r w:rsidR="003F57CD" w:rsidRPr="008C721D">
        <w:rPr>
          <w:rFonts w:ascii="Times New Roman" w:hAnsi="Times New Roman"/>
        </w:rPr>
        <w:t xml:space="preserve">owever, </w:t>
      </w:r>
      <w:r w:rsidR="008B5CF9" w:rsidRPr="008C721D">
        <w:rPr>
          <w:rFonts w:ascii="Times New Roman" w:hAnsi="Times New Roman"/>
        </w:rPr>
        <w:t>the company</w:t>
      </w:r>
      <w:r w:rsidR="00151AB2" w:rsidRPr="008C721D">
        <w:rPr>
          <w:rFonts w:ascii="Times New Roman" w:hAnsi="Times New Roman"/>
        </w:rPr>
        <w:t xml:space="preserve"> </w:t>
      </w:r>
      <w:r w:rsidR="00F32271" w:rsidRPr="008C721D">
        <w:rPr>
          <w:rFonts w:ascii="Times New Roman" w:hAnsi="Times New Roman"/>
        </w:rPr>
        <w:t xml:space="preserve">does </w:t>
      </w:r>
      <w:r w:rsidR="00151AB2" w:rsidRPr="008C721D">
        <w:rPr>
          <w:rFonts w:ascii="Times New Roman" w:hAnsi="Times New Roman"/>
        </w:rPr>
        <w:t xml:space="preserve">have </w:t>
      </w:r>
      <w:r w:rsidR="00E8226C" w:rsidRPr="008C721D">
        <w:rPr>
          <w:rFonts w:ascii="Times New Roman" w:hAnsi="Times New Roman"/>
        </w:rPr>
        <w:t xml:space="preserve">a </w:t>
      </w:r>
      <w:r w:rsidR="001D15E9" w:rsidRPr="008C721D">
        <w:rPr>
          <w:rFonts w:ascii="Times New Roman" w:hAnsi="Times New Roman"/>
        </w:rPr>
        <w:t xml:space="preserve">minimum </w:t>
      </w:r>
      <w:r w:rsidR="00E8226C" w:rsidRPr="008C721D">
        <w:rPr>
          <w:rFonts w:ascii="Times New Roman" w:hAnsi="Times New Roman"/>
        </w:rPr>
        <w:t xml:space="preserve">legitimate </w:t>
      </w:r>
      <w:r w:rsidR="00151AB2" w:rsidRPr="008C721D">
        <w:rPr>
          <w:rFonts w:ascii="Times New Roman" w:hAnsi="Times New Roman"/>
        </w:rPr>
        <w:t xml:space="preserve">expectation </w:t>
      </w:r>
      <w:r w:rsidR="00F32271" w:rsidRPr="008C721D">
        <w:rPr>
          <w:rFonts w:ascii="Times New Roman" w:hAnsi="Times New Roman"/>
        </w:rPr>
        <w:t>o</w:t>
      </w:r>
      <w:r w:rsidR="003F57CD" w:rsidRPr="008C721D">
        <w:rPr>
          <w:rFonts w:ascii="Times New Roman" w:hAnsi="Times New Roman"/>
        </w:rPr>
        <w:t>f</w:t>
      </w:r>
      <w:r w:rsidR="001D15E9" w:rsidRPr="008C721D">
        <w:rPr>
          <w:rFonts w:ascii="Times New Roman" w:hAnsi="Times New Roman"/>
        </w:rPr>
        <w:t xml:space="preserve"> </w:t>
      </w:r>
      <w:r w:rsidR="003F57CD" w:rsidRPr="008C721D">
        <w:rPr>
          <w:rFonts w:ascii="Times New Roman" w:hAnsi="Times New Roman"/>
        </w:rPr>
        <w:t>a</w:t>
      </w:r>
      <w:r w:rsidRPr="008C721D">
        <w:rPr>
          <w:rFonts w:ascii="Times New Roman" w:hAnsi="Times New Roman"/>
        </w:rPr>
        <w:t>n evidence</w:t>
      </w:r>
      <w:r w:rsidR="003F57CD" w:rsidRPr="008C721D">
        <w:rPr>
          <w:rFonts w:ascii="Times New Roman" w:hAnsi="Times New Roman"/>
        </w:rPr>
        <w:t xml:space="preserve"> review that is </w:t>
      </w:r>
      <w:r w:rsidR="00F32271" w:rsidRPr="008C721D">
        <w:rPr>
          <w:rFonts w:ascii="Times New Roman" w:hAnsi="Times New Roman"/>
        </w:rPr>
        <w:t xml:space="preserve">consistent with </w:t>
      </w:r>
      <w:r w:rsidR="00D06658" w:rsidRPr="008C721D">
        <w:rPr>
          <w:rFonts w:ascii="Times New Roman" w:hAnsi="Times New Roman"/>
        </w:rPr>
        <w:t xml:space="preserve">Appraisal Committee’s </w:t>
      </w:r>
      <w:r w:rsidR="00E8226C" w:rsidRPr="008C721D">
        <w:rPr>
          <w:rFonts w:ascii="Times New Roman" w:hAnsi="Times New Roman"/>
        </w:rPr>
        <w:t xml:space="preserve">approach </w:t>
      </w:r>
      <w:r w:rsidR="003F57CD" w:rsidRPr="008C721D">
        <w:rPr>
          <w:rFonts w:ascii="Times New Roman" w:hAnsi="Times New Roman"/>
        </w:rPr>
        <w:t xml:space="preserve">in TA525.  </w:t>
      </w:r>
    </w:p>
    <w:p w14:paraId="78B43CF3" w14:textId="77777777" w:rsidR="004E785A" w:rsidRPr="008C721D" w:rsidRDefault="004E785A" w:rsidP="004E785A">
      <w:pPr>
        <w:pStyle w:val="BodyText"/>
        <w:jc w:val="both"/>
        <w:rPr>
          <w:rFonts w:ascii="Times New Roman" w:hAnsi="Times New Roman"/>
          <w:b/>
        </w:rPr>
      </w:pPr>
      <w:r w:rsidRPr="008C721D">
        <w:rPr>
          <w:rFonts w:ascii="Times New Roman" w:hAnsi="Times New Roman"/>
          <w:b/>
        </w:rPr>
        <w:t>Discrimination</w:t>
      </w:r>
    </w:p>
    <w:p w14:paraId="359324CC" w14:textId="77777777" w:rsidR="004E785A" w:rsidRPr="008C721D" w:rsidRDefault="001D15E9" w:rsidP="00A51A3B">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We note, and broadly agree with,</w:t>
      </w:r>
      <w:r w:rsidR="004E785A" w:rsidRPr="008C721D">
        <w:rPr>
          <w:rFonts w:ascii="Times New Roman" w:hAnsi="Times New Roman" w:cs="Times New Roman"/>
          <w:sz w:val="22"/>
          <w:szCs w:val="22"/>
        </w:rPr>
        <w:t xml:space="preserve"> the observation that a decision that is objectively unjustified could be overturned under Ground 2 and could also be illegal because it is discriminatory (para</w:t>
      </w:r>
      <w:r w:rsidRPr="008C721D">
        <w:rPr>
          <w:rFonts w:ascii="Times New Roman" w:hAnsi="Times New Roman" w:cs="Times New Roman"/>
          <w:sz w:val="22"/>
          <w:szCs w:val="22"/>
        </w:rPr>
        <w:t>.</w:t>
      </w:r>
      <w:r w:rsidR="004E785A" w:rsidRPr="008C721D">
        <w:rPr>
          <w:rFonts w:ascii="Times New Roman" w:hAnsi="Times New Roman" w:cs="Times New Roman"/>
          <w:sz w:val="22"/>
          <w:szCs w:val="22"/>
        </w:rPr>
        <w:t xml:space="preserve"> 15 of the </w:t>
      </w:r>
      <w:r w:rsidR="00B32A39" w:rsidRPr="008C721D">
        <w:rPr>
          <w:rFonts w:ascii="Times New Roman" w:hAnsi="Times New Roman" w:cs="Times New Roman"/>
          <w:sz w:val="22"/>
          <w:szCs w:val="22"/>
        </w:rPr>
        <w:t>Memorandum</w:t>
      </w:r>
      <w:r w:rsidR="004E785A" w:rsidRPr="008C721D">
        <w:rPr>
          <w:rFonts w:ascii="Times New Roman" w:hAnsi="Times New Roman" w:cs="Times New Roman"/>
          <w:sz w:val="22"/>
          <w:szCs w:val="22"/>
        </w:rPr>
        <w:t>).</w:t>
      </w:r>
      <w:r w:rsidR="00B122D4" w:rsidRPr="008C721D">
        <w:rPr>
          <w:rFonts w:ascii="Times New Roman" w:hAnsi="Times New Roman" w:cs="Times New Roman"/>
          <w:sz w:val="22"/>
          <w:szCs w:val="22"/>
        </w:rPr>
        <w:t xml:space="preserve"> </w:t>
      </w:r>
      <w:r w:rsidR="004E785A" w:rsidRPr="008C721D">
        <w:rPr>
          <w:rFonts w:ascii="Times New Roman" w:hAnsi="Times New Roman" w:cs="Times New Roman"/>
          <w:sz w:val="22"/>
          <w:szCs w:val="22"/>
        </w:rPr>
        <w:t xml:space="preserve"> We also agree that if a decision cannot be objectively justified, it must follow that the patients affected have had less favourable treatment than patients in other appraisals, where the assessment of the evidence was objectively justified.  However, Ground 2 and Ground 1b.1 are not mutually exclusive:  the fact that a decision is unreasonable </w:t>
      </w:r>
      <w:r w:rsidR="004E785A" w:rsidRPr="008C721D">
        <w:rPr>
          <w:rFonts w:ascii="Times New Roman" w:hAnsi="Times New Roman" w:cs="Times New Roman"/>
          <w:i/>
          <w:sz w:val="22"/>
          <w:szCs w:val="22"/>
        </w:rPr>
        <w:t>per se</w:t>
      </w:r>
      <w:r w:rsidR="004E785A" w:rsidRPr="008C721D">
        <w:rPr>
          <w:rFonts w:ascii="Times New Roman" w:hAnsi="Times New Roman" w:cs="Times New Roman"/>
          <w:sz w:val="22"/>
          <w:szCs w:val="22"/>
        </w:rPr>
        <w:t xml:space="preserve"> does not </w:t>
      </w:r>
      <w:r w:rsidR="00487BF9" w:rsidRPr="008C721D">
        <w:rPr>
          <w:rFonts w:ascii="Times New Roman" w:hAnsi="Times New Roman" w:cs="Times New Roman"/>
          <w:sz w:val="22"/>
          <w:szCs w:val="22"/>
        </w:rPr>
        <w:t>mean that the</w:t>
      </w:r>
      <w:r w:rsidR="004E785A" w:rsidRPr="008C721D">
        <w:rPr>
          <w:rFonts w:ascii="Times New Roman" w:hAnsi="Times New Roman" w:cs="Times New Roman"/>
          <w:sz w:val="22"/>
          <w:szCs w:val="22"/>
        </w:rPr>
        <w:t xml:space="preserve"> Appraisal Committee </w:t>
      </w:r>
      <w:r w:rsidR="00487BF9" w:rsidRPr="008C721D">
        <w:rPr>
          <w:rFonts w:ascii="Times New Roman" w:hAnsi="Times New Roman" w:cs="Times New Roman"/>
          <w:sz w:val="22"/>
          <w:szCs w:val="22"/>
        </w:rPr>
        <w:t xml:space="preserve">has not also </w:t>
      </w:r>
      <w:r w:rsidR="004E785A" w:rsidRPr="008C721D">
        <w:rPr>
          <w:rFonts w:ascii="Times New Roman" w:hAnsi="Times New Roman" w:cs="Times New Roman"/>
          <w:sz w:val="22"/>
          <w:szCs w:val="22"/>
        </w:rPr>
        <w:t>breach</w:t>
      </w:r>
      <w:r w:rsidR="00487BF9" w:rsidRPr="008C721D">
        <w:rPr>
          <w:rFonts w:ascii="Times New Roman" w:hAnsi="Times New Roman" w:cs="Times New Roman"/>
          <w:sz w:val="22"/>
          <w:szCs w:val="22"/>
        </w:rPr>
        <w:t>ed</w:t>
      </w:r>
      <w:r w:rsidR="004E785A" w:rsidRPr="008C721D">
        <w:rPr>
          <w:rFonts w:ascii="Times New Roman" w:hAnsi="Times New Roman" w:cs="Times New Roman"/>
          <w:sz w:val="22"/>
          <w:szCs w:val="22"/>
        </w:rPr>
        <w:t xml:space="preserve"> of Article 14 and the Equality Act.  Whether the decision is discriminatory is, quite rightly, for the Appeal Panel to determine.</w:t>
      </w:r>
    </w:p>
    <w:p w14:paraId="68F77CF3" w14:textId="77777777" w:rsidR="00B122D4" w:rsidRPr="008C721D" w:rsidRDefault="00B122D4" w:rsidP="00B32A39">
      <w:pPr>
        <w:rPr>
          <w:rFonts w:ascii="Times New Roman" w:hAnsi="Times New Roman"/>
        </w:rPr>
      </w:pPr>
    </w:p>
    <w:p w14:paraId="7981641E" w14:textId="77777777" w:rsidR="004E785A" w:rsidRPr="008C721D" w:rsidRDefault="004E785A" w:rsidP="004E785A">
      <w:pPr>
        <w:pStyle w:val="BodyText"/>
        <w:jc w:val="both"/>
        <w:rPr>
          <w:rFonts w:ascii="Times New Roman" w:hAnsi="Times New Roman"/>
          <w:b/>
        </w:rPr>
      </w:pPr>
      <w:r w:rsidRPr="008C721D">
        <w:rPr>
          <w:rFonts w:ascii="Times New Roman" w:hAnsi="Times New Roman"/>
          <w:b/>
        </w:rPr>
        <w:t>Article 14</w:t>
      </w:r>
    </w:p>
    <w:p w14:paraId="73EADE0A"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The </w:t>
      </w:r>
      <w:r w:rsidR="00B32A39" w:rsidRPr="008C721D">
        <w:rPr>
          <w:rFonts w:ascii="Times New Roman" w:hAnsi="Times New Roman" w:cs="Times New Roman"/>
          <w:sz w:val="22"/>
          <w:szCs w:val="22"/>
        </w:rPr>
        <w:t>Memorandum</w:t>
      </w:r>
      <w:r w:rsidRPr="008C721D">
        <w:rPr>
          <w:rFonts w:ascii="Times New Roman" w:hAnsi="Times New Roman" w:cs="Times New Roman"/>
          <w:sz w:val="22"/>
          <w:szCs w:val="22"/>
        </w:rPr>
        <w:t xml:space="preserve"> correctly identifies that</w:t>
      </w:r>
      <w:r w:rsidR="00665033" w:rsidRPr="008C721D">
        <w:rPr>
          <w:rFonts w:ascii="Times New Roman" w:hAnsi="Times New Roman" w:cs="Times New Roman"/>
          <w:sz w:val="22"/>
          <w:szCs w:val="22"/>
        </w:rPr>
        <w:t xml:space="preserve">, </w:t>
      </w:r>
      <w:r w:rsidRPr="008C721D">
        <w:rPr>
          <w:rFonts w:ascii="Times New Roman" w:hAnsi="Times New Roman" w:cs="Times New Roman"/>
          <w:sz w:val="22"/>
          <w:szCs w:val="22"/>
        </w:rPr>
        <w:t>in order to establish a breach of Article 14, the Appeal Panel must ask itself: (1) whether there is in fact a difference in treatment between this group of patients in this appraisal and another group in other appraisals and what that difference was, and (2) if there is a difference, whether that difference is manifestly without reasonable foundation.</w:t>
      </w:r>
    </w:p>
    <w:p w14:paraId="14550B50" w14:textId="77777777" w:rsidR="00B122D4" w:rsidRPr="008C721D" w:rsidRDefault="00B122D4" w:rsidP="00B122D4">
      <w:pPr>
        <w:rPr>
          <w:rFonts w:ascii="Times New Roman" w:hAnsi="Times New Roman"/>
        </w:rPr>
      </w:pPr>
    </w:p>
    <w:p w14:paraId="1D9FC246"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MSD’s </w:t>
      </w:r>
      <w:r w:rsidR="00B122D4" w:rsidRPr="008C721D">
        <w:rPr>
          <w:rFonts w:ascii="Times New Roman" w:hAnsi="Times New Roman" w:cs="Times New Roman"/>
          <w:sz w:val="22"/>
          <w:szCs w:val="22"/>
        </w:rPr>
        <w:t>believes that</w:t>
      </w:r>
      <w:r w:rsidRPr="008C721D">
        <w:rPr>
          <w:rFonts w:ascii="Times New Roman" w:hAnsi="Times New Roman" w:cs="Times New Roman"/>
          <w:sz w:val="22"/>
          <w:szCs w:val="22"/>
        </w:rPr>
        <w:t xml:space="preserve"> the interests of patients had been treated differently in this appraisal compared with TA525, particularly in terms of the Appraisal Committee’s approach to reviewing evidence and managing uncertainty.  The company’s submissions provide multiple examples why those differences were illogical, unreasonable, </w:t>
      </w:r>
      <w:proofErr w:type="gramStart"/>
      <w:r w:rsidRPr="008C721D">
        <w:rPr>
          <w:rFonts w:ascii="Times New Roman" w:hAnsi="Times New Roman" w:cs="Times New Roman"/>
          <w:sz w:val="22"/>
          <w:szCs w:val="22"/>
        </w:rPr>
        <w:t>unfounded</w:t>
      </w:r>
      <w:proofErr w:type="gramEnd"/>
      <w:r w:rsidRPr="008C721D">
        <w:rPr>
          <w:rFonts w:ascii="Times New Roman" w:hAnsi="Times New Roman" w:cs="Times New Roman"/>
          <w:sz w:val="22"/>
          <w:szCs w:val="22"/>
        </w:rPr>
        <w:t xml:space="preserve"> and unfair.</w:t>
      </w:r>
    </w:p>
    <w:p w14:paraId="14ECB27A" w14:textId="77777777" w:rsidR="00B32A39" w:rsidRPr="008C721D" w:rsidRDefault="00B32A39" w:rsidP="00B32A39">
      <w:pPr>
        <w:rPr>
          <w:rFonts w:ascii="Times New Roman" w:hAnsi="Times New Roman"/>
        </w:rPr>
      </w:pPr>
    </w:p>
    <w:p w14:paraId="5787AAE4" w14:textId="77777777" w:rsidR="004E785A" w:rsidRPr="008C721D" w:rsidRDefault="004E785A" w:rsidP="004E785A">
      <w:pPr>
        <w:pStyle w:val="BodyText"/>
        <w:jc w:val="both"/>
        <w:rPr>
          <w:rFonts w:ascii="Times New Roman" w:hAnsi="Times New Roman"/>
          <w:b/>
        </w:rPr>
      </w:pPr>
      <w:r w:rsidRPr="008C721D">
        <w:rPr>
          <w:rFonts w:ascii="Times New Roman" w:hAnsi="Times New Roman"/>
          <w:b/>
        </w:rPr>
        <w:t>Equalities: Public Sector Equality Duty (“PSED”)</w:t>
      </w:r>
    </w:p>
    <w:p w14:paraId="0AB3CBFE" w14:textId="7805D3BD"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We agree with all of </w:t>
      </w:r>
      <w:r w:rsidR="004D4388" w:rsidRPr="004D4388">
        <w:rPr>
          <w:rFonts w:ascii="Times New Roman" w:hAnsi="Times New Roman" w:cs="Times New Roman"/>
          <w:sz w:val="22"/>
          <w:szCs w:val="22"/>
          <w:highlight w:val="black"/>
        </w:rPr>
        <w:t>xx</w:t>
      </w:r>
      <w:r w:rsidR="004D4388">
        <w:rPr>
          <w:rFonts w:ascii="Times New Roman" w:hAnsi="Times New Roman" w:cs="Times New Roman"/>
          <w:sz w:val="22"/>
          <w:szCs w:val="22"/>
        </w:rPr>
        <w:t xml:space="preserve"> </w:t>
      </w:r>
      <w:proofErr w:type="spellStart"/>
      <w:r w:rsidR="004D4388" w:rsidRPr="004D4388">
        <w:rPr>
          <w:rFonts w:ascii="Times New Roman" w:hAnsi="Times New Roman" w:cs="Times New Roman"/>
          <w:sz w:val="22"/>
          <w:szCs w:val="22"/>
          <w:highlight w:val="black"/>
        </w:rPr>
        <w:t>xxxxxxx</w:t>
      </w:r>
      <w:r w:rsidRPr="004D4388">
        <w:rPr>
          <w:rFonts w:ascii="Times New Roman" w:hAnsi="Times New Roman" w:cs="Times New Roman"/>
          <w:sz w:val="22"/>
          <w:szCs w:val="22"/>
        </w:rPr>
        <w:t>’s</w:t>
      </w:r>
      <w:proofErr w:type="spellEnd"/>
      <w:r w:rsidRPr="008C721D">
        <w:rPr>
          <w:rFonts w:ascii="Times New Roman" w:hAnsi="Times New Roman" w:cs="Times New Roman"/>
          <w:sz w:val="22"/>
          <w:szCs w:val="22"/>
        </w:rPr>
        <w:t xml:space="preserve"> observations on the PSED.  The PSED is clearly a process rather than outcome duty.  We agree that the duty must be exercised by the decision maker during the decision making process and not after the event, it must be taken seriously, and it </w:t>
      </w:r>
      <w:r w:rsidR="00487BF9" w:rsidRPr="008C721D">
        <w:rPr>
          <w:rFonts w:ascii="Times New Roman" w:hAnsi="Times New Roman" w:cs="Times New Roman"/>
          <w:sz w:val="22"/>
          <w:szCs w:val="22"/>
        </w:rPr>
        <w:t xml:space="preserve">must be exercised in substance, </w:t>
      </w:r>
      <w:r w:rsidRPr="008C721D">
        <w:rPr>
          <w:rFonts w:ascii="Times New Roman" w:hAnsi="Times New Roman" w:cs="Times New Roman"/>
          <w:sz w:val="22"/>
          <w:szCs w:val="22"/>
        </w:rPr>
        <w:t xml:space="preserve">rather than being a box-ticking exercise) (para. 26 of the </w:t>
      </w:r>
      <w:r w:rsidR="00B32A39" w:rsidRPr="008C721D">
        <w:rPr>
          <w:rFonts w:ascii="Times New Roman" w:hAnsi="Times New Roman" w:cs="Times New Roman"/>
          <w:sz w:val="22"/>
          <w:szCs w:val="22"/>
        </w:rPr>
        <w:t>Memorandum</w:t>
      </w:r>
      <w:r w:rsidRPr="008C721D">
        <w:rPr>
          <w:rFonts w:ascii="Times New Roman" w:hAnsi="Times New Roman" w:cs="Times New Roman"/>
          <w:sz w:val="22"/>
          <w:szCs w:val="22"/>
        </w:rPr>
        <w:t>).</w:t>
      </w:r>
    </w:p>
    <w:p w14:paraId="2EA5769D" w14:textId="77777777" w:rsidR="00B32A39" w:rsidRPr="008C721D" w:rsidRDefault="00B32A39" w:rsidP="00B32A39">
      <w:pPr>
        <w:rPr>
          <w:rFonts w:ascii="Times New Roman" w:hAnsi="Times New Roman"/>
        </w:rPr>
      </w:pPr>
    </w:p>
    <w:p w14:paraId="1CC42660"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lastRenderedPageBreak/>
        <w:t>We further agree that it is for the Appeal Panel to establish what account was taken of equality issues during the appraisal, and then form its own view whether the Appraisal Committee had given due regard to:</w:t>
      </w:r>
    </w:p>
    <w:p w14:paraId="2C00F357" w14:textId="77777777" w:rsidR="00B32A39" w:rsidRPr="008C721D" w:rsidRDefault="00B32A39" w:rsidP="00B32A39">
      <w:pPr>
        <w:rPr>
          <w:rFonts w:ascii="Times New Roman" w:hAnsi="Times New Roman"/>
        </w:rPr>
      </w:pPr>
    </w:p>
    <w:p w14:paraId="3B840881" w14:textId="77777777" w:rsidR="004E785A" w:rsidRPr="008C721D" w:rsidRDefault="004E785A" w:rsidP="004E785A">
      <w:pPr>
        <w:pStyle w:val="BodyText"/>
        <w:numPr>
          <w:ilvl w:val="1"/>
          <w:numId w:val="24"/>
        </w:numPr>
        <w:jc w:val="both"/>
        <w:rPr>
          <w:rFonts w:ascii="Times New Roman" w:hAnsi="Times New Roman"/>
        </w:rPr>
      </w:pPr>
      <w:r w:rsidRPr="008C721D">
        <w:rPr>
          <w:rFonts w:ascii="Times New Roman" w:hAnsi="Times New Roman"/>
        </w:rPr>
        <w:t xml:space="preserve">the need to eliminate </w:t>
      </w:r>
      <w:proofErr w:type="gramStart"/>
      <w:r w:rsidRPr="008C721D">
        <w:rPr>
          <w:rFonts w:ascii="Times New Roman" w:hAnsi="Times New Roman"/>
        </w:rPr>
        <w:t>discrimination;</w:t>
      </w:r>
      <w:proofErr w:type="gramEnd"/>
    </w:p>
    <w:p w14:paraId="534703AB" w14:textId="77777777" w:rsidR="004E785A" w:rsidRPr="008C721D" w:rsidRDefault="004E785A" w:rsidP="004E785A">
      <w:pPr>
        <w:pStyle w:val="BodyText"/>
        <w:numPr>
          <w:ilvl w:val="1"/>
          <w:numId w:val="24"/>
        </w:numPr>
        <w:jc w:val="both"/>
        <w:rPr>
          <w:rFonts w:ascii="Times New Roman" w:hAnsi="Times New Roman"/>
        </w:rPr>
      </w:pPr>
      <w:r w:rsidRPr="008C721D">
        <w:rPr>
          <w:rFonts w:ascii="Times New Roman" w:hAnsi="Times New Roman"/>
        </w:rPr>
        <w:t>advanc</w:t>
      </w:r>
      <w:r w:rsidR="00E5503B" w:rsidRPr="008C721D">
        <w:rPr>
          <w:rFonts w:ascii="Times New Roman" w:hAnsi="Times New Roman"/>
        </w:rPr>
        <w:t>ing</w:t>
      </w:r>
      <w:r w:rsidRPr="008C721D">
        <w:rPr>
          <w:rFonts w:ascii="Times New Roman" w:hAnsi="Times New Roman"/>
        </w:rPr>
        <w:t xml:space="preserve"> equality of </w:t>
      </w:r>
      <w:proofErr w:type="gramStart"/>
      <w:r w:rsidRPr="008C721D">
        <w:rPr>
          <w:rFonts w:ascii="Times New Roman" w:hAnsi="Times New Roman"/>
        </w:rPr>
        <w:t>opportunity;</w:t>
      </w:r>
      <w:proofErr w:type="gramEnd"/>
    </w:p>
    <w:p w14:paraId="6664A9E9" w14:textId="77777777" w:rsidR="004E785A" w:rsidRPr="008C721D" w:rsidRDefault="004E785A" w:rsidP="004E785A">
      <w:pPr>
        <w:pStyle w:val="BodyText"/>
        <w:numPr>
          <w:ilvl w:val="1"/>
          <w:numId w:val="24"/>
        </w:numPr>
        <w:jc w:val="both"/>
        <w:rPr>
          <w:rFonts w:ascii="Times New Roman" w:hAnsi="Times New Roman"/>
        </w:rPr>
      </w:pPr>
      <w:r w:rsidRPr="008C721D">
        <w:rPr>
          <w:rFonts w:ascii="Times New Roman" w:hAnsi="Times New Roman"/>
        </w:rPr>
        <w:t>remov</w:t>
      </w:r>
      <w:r w:rsidR="00E5503B" w:rsidRPr="008C721D">
        <w:rPr>
          <w:rFonts w:ascii="Times New Roman" w:hAnsi="Times New Roman"/>
        </w:rPr>
        <w:t>ing</w:t>
      </w:r>
      <w:r w:rsidRPr="008C721D">
        <w:rPr>
          <w:rFonts w:ascii="Times New Roman" w:hAnsi="Times New Roman"/>
        </w:rPr>
        <w:t xml:space="preserve"> or </w:t>
      </w:r>
      <w:proofErr w:type="spellStart"/>
      <w:r w:rsidRPr="008C721D">
        <w:rPr>
          <w:rFonts w:ascii="Times New Roman" w:hAnsi="Times New Roman"/>
        </w:rPr>
        <w:t>minimis</w:t>
      </w:r>
      <w:r w:rsidR="00E5503B" w:rsidRPr="008C721D">
        <w:rPr>
          <w:rFonts w:ascii="Times New Roman" w:hAnsi="Times New Roman"/>
        </w:rPr>
        <w:t>ing</w:t>
      </w:r>
      <w:proofErr w:type="spellEnd"/>
      <w:r w:rsidRPr="008C721D">
        <w:rPr>
          <w:rFonts w:ascii="Times New Roman" w:hAnsi="Times New Roman"/>
        </w:rPr>
        <w:t xml:space="preserve"> disadvantages suffered by persons who share a relevant protected characteristic that are connected to that characteristic; and</w:t>
      </w:r>
    </w:p>
    <w:p w14:paraId="3ED733F9" w14:textId="77777777" w:rsidR="004E785A" w:rsidRPr="008C721D" w:rsidRDefault="004E785A" w:rsidP="004E785A">
      <w:pPr>
        <w:pStyle w:val="BodyText"/>
        <w:numPr>
          <w:ilvl w:val="1"/>
          <w:numId w:val="24"/>
        </w:numPr>
        <w:jc w:val="both"/>
        <w:rPr>
          <w:rFonts w:ascii="Times New Roman" w:hAnsi="Times New Roman"/>
        </w:rPr>
      </w:pPr>
      <w:r w:rsidRPr="008C721D">
        <w:rPr>
          <w:rFonts w:ascii="Times New Roman" w:hAnsi="Times New Roman"/>
        </w:rPr>
        <w:t>tak</w:t>
      </w:r>
      <w:r w:rsidR="00E5503B" w:rsidRPr="008C721D">
        <w:rPr>
          <w:rFonts w:ascii="Times New Roman" w:hAnsi="Times New Roman"/>
        </w:rPr>
        <w:t>ing</w:t>
      </w:r>
      <w:r w:rsidRPr="008C721D">
        <w:rPr>
          <w:rFonts w:ascii="Times New Roman" w:hAnsi="Times New Roman"/>
        </w:rPr>
        <w:t xml:space="preserve"> steps to meet the needs of persons who share a relevant protected characteristic that are different from the needs of persons who do not share it (paras 23 and 26 of the </w:t>
      </w:r>
      <w:r w:rsidR="00B32A39" w:rsidRPr="008C721D">
        <w:rPr>
          <w:rFonts w:ascii="Times New Roman" w:hAnsi="Times New Roman"/>
        </w:rPr>
        <w:t>Memorandum</w:t>
      </w:r>
      <w:r w:rsidRPr="008C721D">
        <w:rPr>
          <w:rFonts w:ascii="Times New Roman" w:hAnsi="Times New Roman"/>
        </w:rPr>
        <w:t>).</w:t>
      </w:r>
    </w:p>
    <w:p w14:paraId="60F1B99D"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MSD’s submission is that the Appraisal Committee, in the </w:t>
      </w:r>
      <w:proofErr w:type="gramStart"/>
      <w:r w:rsidRPr="008C721D">
        <w:rPr>
          <w:rFonts w:ascii="Times New Roman" w:hAnsi="Times New Roman" w:cs="Times New Roman"/>
          <w:sz w:val="22"/>
          <w:szCs w:val="22"/>
        </w:rPr>
        <w:t>particular circumstances</w:t>
      </w:r>
      <w:proofErr w:type="gramEnd"/>
      <w:r w:rsidRPr="008C721D">
        <w:rPr>
          <w:rFonts w:ascii="Times New Roman" w:hAnsi="Times New Roman" w:cs="Times New Roman"/>
          <w:sz w:val="22"/>
          <w:szCs w:val="22"/>
        </w:rPr>
        <w:t xml:space="preserve"> of this case, did not give due regard to these obligations.  The company provided a detailed discussion of this issue at pages 6 and 7 of its Response to Scrutiny and it is unnecessary to repeat those points here.</w:t>
      </w:r>
    </w:p>
    <w:p w14:paraId="346A93ED" w14:textId="77777777" w:rsidR="00B32A39" w:rsidRPr="008C721D" w:rsidRDefault="00B32A39" w:rsidP="00B32A39">
      <w:pPr>
        <w:rPr>
          <w:rFonts w:ascii="Times New Roman" w:hAnsi="Times New Roman"/>
        </w:rPr>
      </w:pPr>
    </w:p>
    <w:p w14:paraId="77B9C768" w14:textId="77777777" w:rsidR="004E785A" w:rsidRPr="008C721D" w:rsidRDefault="004E785A" w:rsidP="004E785A">
      <w:pPr>
        <w:pStyle w:val="BodyText"/>
        <w:jc w:val="both"/>
        <w:rPr>
          <w:rFonts w:ascii="Times New Roman" w:hAnsi="Times New Roman"/>
          <w:b/>
        </w:rPr>
      </w:pPr>
      <w:r w:rsidRPr="008C721D">
        <w:rPr>
          <w:rFonts w:ascii="Times New Roman" w:hAnsi="Times New Roman"/>
          <w:b/>
        </w:rPr>
        <w:t>Section 29(6) of the Equality Act</w:t>
      </w:r>
    </w:p>
    <w:p w14:paraId="2D23D898"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 xml:space="preserve">We note and agree with the distinction between discrimination </w:t>
      </w:r>
      <w:r w:rsidRPr="008C721D">
        <w:rPr>
          <w:rFonts w:ascii="Times New Roman" w:hAnsi="Times New Roman" w:cs="Times New Roman"/>
          <w:i/>
          <w:sz w:val="22"/>
          <w:szCs w:val="22"/>
        </w:rPr>
        <w:t>arising from a disability</w:t>
      </w:r>
      <w:r w:rsidRPr="008C721D">
        <w:rPr>
          <w:rFonts w:ascii="Times New Roman" w:hAnsi="Times New Roman" w:cs="Times New Roman"/>
          <w:sz w:val="22"/>
          <w:szCs w:val="22"/>
        </w:rPr>
        <w:t xml:space="preserve"> and indirect discrimination.  We agree that an improperly conducted appraisal cannot easily be said to be discrimination arising from a disability.</w:t>
      </w:r>
    </w:p>
    <w:p w14:paraId="533903C7" w14:textId="77777777" w:rsidR="00B32A39" w:rsidRPr="008C721D" w:rsidRDefault="00B32A39" w:rsidP="00B32A39">
      <w:pPr>
        <w:rPr>
          <w:rFonts w:ascii="Times New Roman" w:hAnsi="Times New Roman"/>
        </w:rPr>
      </w:pPr>
    </w:p>
    <w:p w14:paraId="4D52CAD9" w14:textId="77777777" w:rsidR="004E785A" w:rsidRPr="008C721D" w:rsidRDefault="004E785A" w:rsidP="00B32A39">
      <w:pPr>
        <w:pStyle w:val="ListParagraph"/>
        <w:numPr>
          <w:ilvl w:val="0"/>
          <w:numId w:val="24"/>
        </w:numPr>
        <w:ind w:left="360"/>
        <w:rPr>
          <w:rFonts w:ascii="Times New Roman" w:hAnsi="Times New Roman" w:cs="Times New Roman"/>
          <w:sz w:val="22"/>
          <w:szCs w:val="22"/>
        </w:rPr>
      </w:pPr>
      <w:r w:rsidRPr="008C721D">
        <w:rPr>
          <w:rFonts w:ascii="Times New Roman" w:hAnsi="Times New Roman" w:cs="Times New Roman"/>
          <w:sz w:val="22"/>
          <w:szCs w:val="22"/>
        </w:rPr>
        <w:t>Indirect discrimination requires some unp</w:t>
      </w:r>
      <w:r w:rsidR="00665033" w:rsidRPr="008C721D">
        <w:rPr>
          <w:rFonts w:ascii="Times New Roman" w:hAnsi="Times New Roman" w:cs="Times New Roman"/>
          <w:sz w:val="22"/>
          <w:szCs w:val="22"/>
        </w:rPr>
        <w:t>i</w:t>
      </w:r>
      <w:r w:rsidRPr="008C721D">
        <w:rPr>
          <w:rFonts w:ascii="Times New Roman" w:hAnsi="Times New Roman" w:cs="Times New Roman"/>
          <w:sz w:val="22"/>
          <w:szCs w:val="22"/>
        </w:rPr>
        <w:t xml:space="preserve">cking.  The suggestion (at para. 30 of the </w:t>
      </w:r>
      <w:r w:rsidR="00B32A39" w:rsidRPr="008C721D">
        <w:rPr>
          <w:rFonts w:ascii="Times New Roman" w:hAnsi="Times New Roman" w:cs="Times New Roman"/>
          <w:sz w:val="22"/>
          <w:szCs w:val="22"/>
        </w:rPr>
        <w:t>Memorandum</w:t>
      </w:r>
      <w:r w:rsidRPr="008C721D">
        <w:rPr>
          <w:rFonts w:ascii="Times New Roman" w:hAnsi="Times New Roman" w:cs="Times New Roman"/>
          <w:sz w:val="22"/>
          <w:szCs w:val="22"/>
        </w:rPr>
        <w:t xml:space="preserve">) that indirect discrimination essentially arises from an over-rigid consistency is not completely clear.  It can often be the case that a decision has without proper justification been applied universally, in a way that fails to </w:t>
      </w:r>
      <w:proofErr w:type="gramStart"/>
      <w:r w:rsidRPr="008C721D">
        <w:rPr>
          <w:rFonts w:ascii="Times New Roman" w:hAnsi="Times New Roman" w:cs="Times New Roman"/>
          <w:sz w:val="22"/>
          <w:szCs w:val="22"/>
        </w:rPr>
        <w:t>take into account</w:t>
      </w:r>
      <w:proofErr w:type="gramEnd"/>
      <w:r w:rsidRPr="008C721D">
        <w:rPr>
          <w:rFonts w:ascii="Times New Roman" w:hAnsi="Times New Roman" w:cs="Times New Roman"/>
          <w:sz w:val="22"/>
          <w:szCs w:val="22"/>
        </w:rPr>
        <w:t xml:space="preserve"> the disproportionate effects on persons with protected characteristics.  Numerous employment and age-related discrimination cases speak to that scenario.  However, it is not immediately clear to us why inconsistency could not produce the same unlawful result.  For example, in this case, Appraisal Committee D took a decision in TA525 that affected urothelial cancer patients in a </w:t>
      </w:r>
      <w:proofErr w:type="gramStart"/>
      <w:r w:rsidRPr="008C721D">
        <w:rPr>
          <w:rFonts w:ascii="Times New Roman" w:hAnsi="Times New Roman" w:cs="Times New Roman"/>
          <w:sz w:val="22"/>
          <w:szCs w:val="22"/>
        </w:rPr>
        <w:t>particular way</w:t>
      </w:r>
      <w:proofErr w:type="gramEnd"/>
      <w:r w:rsidRPr="008C721D">
        <w:rPr>
          <w:rFonts w:ascii="Times New Roman" w:hAnsi="Times New Roman" w:cs="Times New Roman"/>
          <w:sz w:val="22"/>
          <w:szCs w:val="22"/>
        </w:rPr>
        <w:t xml:space="preserve"> (including those who were old or had disabilities in addition to cancer).  Faced with a similar product and effectively the same patient population, the Appraisal Committee took a very different approach, which affected patients (especially those who were old or had disabilities in addition to cancer) disproportionately badly.  We do not see an obvious legal or conceptual impediment against viewing such inconsistency through the lens of indirect discrimination.</w:t>
      </w:r>
    </w:p>
    <w:p w14:paraId="7C3CD3B3" w14:textId="77777777" w:rsidR="00E5503B" w:rsidRPr="008C721D" w:rsidRDefault="00E5503B" w:rsidP="00E5503B">
      <w:pPr>
        <w:rPr>
          <w:rFonts w:ascii="Times New Roman" w:hAnsi="Times New Roman"/>
        </w:rPr>
      </w:pPr>
    </w:p>
    <w:p w14:paraId="4492774F" w14:textId="45F61866" w:rsidR="004E785A" w:rsidRPr="008C721D" w:rsidRDefault="00E5503B" w:rsidP="008C721D">
      <w:pPr>
        <w:rPr>
          <w:rFonts w:ascii="Times New Roman" w:eastAsia="Arial Unicode MS" w:hAnsi="Times New Roman"/>
        </w:rPr>
      </w:pPr>
      <w:r w:rsidRPr="008C721D">
        <w:rPr>
          <w:rFonts w:ascii="Times New Roman" w:hAnsi="Times New Roman"/>
        </w:rPr>
        <w:t xml:space="preserve">We hope that these submissions will assist the Appeal Panel.  Please let us know if NICE or </w:t>
      </w:r>
      <w:r w:rsidR="004D4388" w:rsidRPr="004D4388">
        <w:rPr>
          <w:rFonts w:ascii="Times New Roman" w:hAnsi="Times New Roman"/>
          <w:highlight w:val="black"/>
        </w:rPr>
        <w:t>xx</w:t>
      </w:r>
      <w:r w:rsidRPr="004D4388">
        <w:rPr>
          <w:rFonts w:ascii="Times New Roman" w:hAnsi="Times New Roman"/>
        </w:rPr>
        <w:t xml:space="preserve"> </w:t>
      </w:r>
      <w:proofErr w:type="spellStart"/>
      <w:r w:rsidR="004D4388" w:rsidRPr="004D4388">
        <w:rPr>
          <w:rFonts w:ascii="Times New Roman" w:hAnsi="Times New Roman"/>
          <w:highlight w:val="black"/>
        </w:rPr>
        <w:t>xxxxxxx</w:t>
      </w:r>
      <w:proofErr w:type="spellEnd"/>
      <w:r w:rsidRPr="004D4388">
        <w:rPr>
          <w:rFonts w:ascii="Times New Roman" w:hAnsi="Times New Roman"/>
        </w:rPr>
        <w:t xml:space="preserve"> have any additional comments or queries.</w:t>
      </w:r>
      <w:r w:rsidRPr="008C721D">
        <w:rPr>
          <w:rFonts w:ascii="Times New Roman" w:hAnsi="Times New Roman"/>
        </w:rPr>
        <w:t xml:space="preserve"> </w:t>
      </w:r>
    </w:p>
    <w:p w14:paraId="0FE14477" w14:textId="77777777" w:rsidR="007A2BC3" w:rsidRDefault="007A2BC3" w:rsidP="00D811C4">
      <w:pPr>
        <w:pStyle w:val="Closing"/>
        <w:ind w:left="0"/>
        <w:rPr>
          <w:rFonts w:ascii="Times New Roman" w:hAnsi="Times New Roman"/>
        </w:rPr>
      </w:pPr>
    </w:p>
    <w:p w14:paraId="41F7E026" w14:textId="1C4B4D4D" w:rsidR="003464BE" w:rsidRDefault="004E785A" w:rsidP="00D811C4">
      <w:pPr>
        <w:pStyle w:val="Closing"/>
        <w:ind w:left="0"/>
        <w:rPr>
          <w:rFonts w:ascii="Times New Roman" w:hAnsi="Times New Roman"/>
        </w:rPr>
      </w:pPr>
      <w:r w:rsidRPr="008C721D">
        <w:rPr>
          <w:rFonts w:ascii="Times New Roman" w:hAnsi="Times New Roman"/>
        </w:rPr>
        <w:t>Yours sincerely</w:t>
      </w:r>
      <w:r w:rsidR="00D811C4">
        <w:rPr>
          <w:rFonts w:ascii="Times New Roman" w:hAnsi="Times New Roman"/>
        </w:rPr>
        <w:t>,</w:t>
      </w:r>
    </w:p>
    <w:p w14:paraId="5D5EF276" w14:textId="77777777" w:rsidR="00D811C4" w:rsidRPr="00D811C4" w:rsidRDefault="00D811C4" w:rsidP="00D811C4">
      <w:pPr>
        <w:pStyle w:val="Closing"/>
        <w:ind w:left="0"/>
        <w:rPr>
          <w:rFonts w:ascii="Times New Roman" w:hAnsi="Times New Roman"/>
          <w:b/>
        </w:rPr>
      </w:pPr>
      <w:r w:rsidRPr="00D811C4">
        <w:rPr>
          <w:rFonts w:ascii="Times New Roman" w:hAnsi="Times New Roman"/>
          <w:b/>
        </w:rPr>
        <w:t>Merck Sharp &amp; Dohme Limited</w:t>
      </w:r>
    </w:p>
    <w:p w14:paraId="1E887ED9" w14:textId="77777777" w:rsidR="003464BE" w:rsidRPr="008C721D" w:rsidRDefault="003464BE" w:rsidP="003464BE">
      <w:pPr>
        <w:pStyle w:val="Closing"/>
        <w:ind w:left="0"/>
        <w:rPr>
          <w:rFonts w:ascii="Times New Roman" w:hAnsi="Times New Roman"/>
        </w:rPr>
      </w:pPr>
    </w:p>
    <w:sectPr w:rsidR="003464BE" w:rsidRPr="008C721D" w:rsidSect="004E785A">
      <w:footerReference w:type="default" r:id="rId12"/>
      <w:headerReference w:type="first" r:id="rId13"/>
      <w:footerReference w:type="first" r:id="rId14"/>
      <w:pgSz w:w="11907" w:h="16839"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66424" w14:textId="77777777" w:rsidR="004E785A" w:rsidRDefault="004E785A">
      <w:r>
        <w:separator/>
      </w:r>
    </w:p>
  </w:endnote>
  <w:endnote w:type="continuationSeparator" w:id="0">
    <w:p w14:paraId="6DA1EED4" w14:textId="77777777" w:rsidR="004E785A" w:rsidRDefault="004E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470473593"/>
      <w:docPartObj>
        <w:docPartGallery w:val="Page Numbers (Bottom of Page)"/>
        <w:docPartUnique/>
      </w:docPartObj>
    </w:sdtPr>
    <w:sdtEndPr>
      <w:rPr>
        <w:noProof/>
      </w:rPr>
    </w:sdtEndPr>
    <w:sdtContent>
      <w:p w14:paraId="51EC6B0A" w14:textId="77777777" w:rsidR="00B668D1" w:rsidRPr="00B668D1" w:rsidRDefault="00B668D1">
        <w:pPr>
          <w:pStyle w:val="Footer"/>
          <w:jc w:val="center"/>
          <w:rPr>
            <w:rFonts w:ascii="Times New Roman" w:hAnsi="Times New Roman"/>
          </w:rPr>
        </w:pPr>
        <w:r w:rsidRPr="00B668D1">
          <w:rPr>
            <w:rFonts w:ascii="Times New Roman" w:hAnsi="Times New Roman"/>
          </w:rPr>
          <w:fldChar w:fldCharType="begin"/>
        </w:r>
        <w:r w:rsidRPr="00B668D1">
          <w:rPr>
            <w:rFonts w:ascii="Times New Roman" w:hAnsi="Times New Roman"/>
          </w:rPr>
          <w:instrText xml:space="preserve"> PAGE   \* MERGEFORMAT </w:instrText>
        </w:r>
        <w:r w:rsidRPr="00B668D1">
          <w:rPr>
            <w:rFonts w:ascii="Times New Roman" w:hAnsi="Times New Roman"/>
          </w:rPr>
          <w:fldChar w:fldCharType="separate"/>
        </w:r>
        <w:r w:rsidRPr="00B668D1">
          <w:rPr>
            <w:rFonts w:ascii="Times New Roman" w:hAnsi="Times New Roman"/>
            <w:noProof/>
          </w:rPr>
          <w:t>2</w:t>
        </w:r>
        <w:r w:rsidRPr="00B668D1">
          <w:rPr>
            <w:rFonts w:ascii="Times New Roman" w:hAnsi="Times New Roman"/>
            <w:noProof/>
          </w:rPr>
          <w:fldChar w:fldCharType="end"/>
        </w:r>
      </w:p>
    </w:sdtContent>
  </w:sdt>
  <w:p w14:paraId="75D33CD1" w14:textId="77777777" w:rsidR="00B668D1" w:rsidRPr="00B668D1" w:rsidRDefault="00B668D1">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687592114"/>
      <w:docPartObj>
        <w:docPartGallery w:val="Page Numbers (Bottom of Page)"/>
        <w:docPartUnique/>
      </w:docPartObj>
    </w:sdtPr>
    <w:sdtEndPr>
      <w:rPr>
        <w:noProof/>
      </w:rPr>
    </w:sdtEndPr>
    <w:sdtContent>
      <w:p w14:paraId="11C9419A" w14:textId="77777777" w:rsidR="003464BE" w:rsidRPr="00B668D1" w:rsidRDefault="003464BE">
        <w:pPr>
          <w:pStyle w:val="Footer"/>
          <w:jc w:val="center"/>
          <w:rPr>
            <w:rFonts w:ascii="Times New Roman" w:hAnsi="Times New Roman"/>
          </w:rPr>
        </w:pPr>
        <w:r w:rsidRPr="00B668D1">
          <w:rPr>
            <w:rFonts w:ascii="Times New Roman" w:hAnsi="Times New Roman"/>
          </w:rPr>
          <w:fldChar w:fldCharType="begin"/>
        </w:r>
        <w:r w:rsidRPr="00B668D1">
          <w:rPr>
            <w:rFonts w:ascii="Times New Roman" w:hAnsi="Times New Roman"/>
          </w:rPr>
          <w:instrText xml:space="preserve"> PAGE   \* MERGEFORMAT </w:instrText>
        </w:r>
        <w:r w:rsidRPr="00B668D1">
          <w:rPr>
            <w:rFonts w:ascii="Times New Roman" w:hAnsi="Times New Roman"/>
          </w:rPr>
          <w:fldChar w:fldCharType="separate"/>
        </w:r>
        <w:r w:rsidRPr="00B668D1">
          <w:rPr>
            <w:rFonts w:ascii="Times New Roman" w:hAnsi="Times New Roman"/>
            <w:noProof/>
          </w:rPr>
          <w:t>2</w:t>
        </w:r>
        <w:r w:rsidRPr="00B668D1">
          <w:rPr>
            <w:rFonts w:ascii="Times New Roman" w:hAnsi="Times New Roman"/>
            <w:noProof/>
          </w:rPr>
          <w:fldChar w:fldCharType="end"/>
        </w:r>
      </w:p>
    </w:sdtContent>
  </w:sdt>
  <w:p w14:paraId="70E66505" w14:textId="77777777" w:rsidR="004E785A" w:rsidRPr="00B668D1" w:rsidRDefault="004E785A" w:rsidP="003464B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D44D" w14:textId="77777777" w:rsidR="004E785A" w:rsidRDefault="004E785A">
      <w:pPr>
        <w:pStyle w:val="FootnoteText"/>
      </w:pPr>
      <w:r>
        <w:separator/>
      </w:r>
    </w:p>
  </w:footnote>
  <w:footnote w:type="continuationSeparator" w:id="0">
    <w:p w14:paraId="2D3D5EDE" w14:textId="77777777" w:rsidR="004E785A" w:rsidRDefault="004E785A">
      <w:pPr>
        <w:pStyle w:val="FootnoteText"/>
      </w:pPr>
      <w:r>
        <w:separator/>
      </w:r>
    </w:p>
  </w:footnote>
  <w:footnote w:type="continuationNotice" w:id="1">
    <w:p w14:paraId="47B2CF0D" w14:textId="77777777" w:rsidR="004E785A" w:rsidRDefault="004E785A">
      <w:pPr>
        <w:pStyle w:val="FootnoteText"/>
      </w:pPr>
      <w:r>
        <w:t>(continued…)</w:t>
      </w:r>
    </w:p>
  </w:footnote>
  <w:footnote w:id="2">
    <w:p w14:paraId="0F66F53A" w14:textId="77777777" w:rsidR="00C65B9E" w:rsidRPr="00B32A39" w:rsidRDefault="00C65B9E">
      <w:pPr>
        <w:pStyle w:val="FootnoteText"/>
        <w:rPr>
          <w:sz w:val="18"/>
          <w:szCs w:val="18"/>
          <w:lang w:val="en-GB"/>
        </w:rPr>
      </w:pPr>
      <w:r w:rsidRPr="00B32A39">
        <w:rPr>
          <w:rStyle w:val="FootnoteReference"/>
          <w:sz w:val="18"/>
          <w:szCs w:val="18"/>
        </w:rPr>
        <w:footnoteRef/>
      </w:r>
      <w:r w:rsidRPr="00B32A39">
        <w:rPr>
          <w:sz w:val="18"/>
          <w:szCs w:val="18"/>
        </w:rPr>
        <w:t xml:space="preserve"> </w:t>
      </w:r>
      <w:r w:rsidRPr="00B32A39">
        <w:rPr>
          <w:sz w:val="18"/>
          <w:szCs w:val="18"/>
          <w:lang w:val="en-GB"/>
        </w:rPr>
        <w:t xml:space="preserve">ECHR’s Guide to Article 2, available at </w:t>
      </w:r>
      <w:hyperlink r:id="rId1" w:history="1">
        <w:r w:rsidRPr="00B32A39">
          <w:rPr>
            <w:rStyle w:val="Hyperlink"/>
            <w:sz w:val="18"/>
            <w:szCs w:val="18"/>
            <w:lang w:val="en-GB"/>
          </w:rPr>
          <w:t>https://www.echr.coe.int/Documents/Guide_Art_2_ENG.pdf</w:t>
        </w:r>
      </w:hyperlink>
      <w:r w:rsidRPr="00B32A39">
        <w:rPr>
          <w:sz w:val="18"/>
          <w:szCs w:val="18"/>
          <w:lang w:val="en-GB"/>
        </w:rPr>
        <w:t xml:space="preserve">.  </w:t>
      </w:r>
    </w:p>
  </w:footnote>
  <w:footnote w:id="3">
    <w:p w14:paraId="7BDA7521" w14:textId="77777777" w:rsidR="000929F6" w:rsidRPr="00B32A39" w:rsidRDefault="000929F6">
      <w:pPr>
        <w:pStyle w:val="FootnoteText"/>
        <w:rPr>
          <w:sz w:val="18"/>
          <w:szCs w:val="18"/>
          <w:lang w:val="en-GB"/>
        </w:rPr>
      </w:pPr>
      <w:r w:rsidRPr="00B32A39">
        <w:rPr>
          <w:rStyle w:val="FootnoteReference"/>
          <w:sz w:val="18"/>
          <w:szCs w:val="18"/>
        </w:rPr>
        <w:footnoteRef/>
      </w:r>
      <w:r w:rsidRPr="00B32A39">
        <w:rPr>
          <w:sz w:val="18"/>
          <w:szCs w:val="18"/>
        </w:rPr>
        <w:t xml:space="preserve"> </w:t>
      </w:r>
      <w:r w:rsidRPr="00B32A39">
        <w:rPr>
          <w:i/>
          <w:sz w:val="18"/>
          <w:szCs w:val="18"/>
          <w:lang w:val="en-GB"/>
        </w:rPr>
        <w:t>R (</w:t>
      </w:r>
      <w:proofErr w:type="spellStart"/>
      <w:r w:rsidRPr="00B32A39">
        <w:rPr>
          <w:i/>
          <w:sz w:val="18"/>
          <w:szCs w:val="18"/>
          <w:lang w:val="en-GB"/>
        </w:rPr>
        <w:t>Lumba</w:t>
      </w:r>
      <w:proofErr w:type="spellEnd"/>
      <w:r w:rsidRPr="00B32A39">
        <w:rPr>
          <w:i/>
          <w:sz w:val="18"/>
          <w:szCs w:val="18"/>
          <w:lang w:val="en-GB"/>
        </w:rPr>
        <w:t>) v Secretary of State for the Home Department</w:t>
      </w:r>
      <w:r w:rsidRPr="00B32A39">
        <w:rPr>
          <w:sz w:val="18"/>
          <w:szCs w:val="18"/>
          <w:lang w:val="en-GB"/>
        </w:rPr>
        <w:t xml:space="preserve"> [2011] </w:t>
      </w:r>
      <w:r w:rsidRPr="00B32A39">
        <w:rPr>
          <w:i/>
          <w:sz w:val="18"/>
          <w:szCs w:val="18"/>
          <w:lang w:val="en-GB"/>
        </w:rPr>
        <w:t>UKSC</w:t>
      </w:r>
      <w:r w:rsidRPr="00B32A39">
        <w:rPr>
          <w:sz w:val="18"/>
          <w:szCs w:val="18"/>
          <w:lang w:val="en-GB"/>
        </w:rPr>
        <w:t xml:space="preserve"> 12, 2011 WL 806813, </w:t>
      </w:r>
      <w:r w:rsidRPr="00B32A39">
        <w:rPr>
          <w:i/>
          <w:sz w:val="18"/>
          <w:szCs w:val="18"/>
          <w:lang w:val="en-GB"/>
        </w:rPr>
        <w:t>per</w:t>
      </w:r>
      <w:r w:rsidRPr="00B32A39">
        <w:rPr>
          <w:sz w:val="18"/>
          <w:szCs w:val="18"/>
          <w:lang w:val="en-GB"/>
        </w:rPr>
        <w:t xml:space="preserve"> Lord Dyson at para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3689" w14:textId="77777777" w:rsidR="003464BE" w:rsidRPr="0060014B" w:rsidRDefault="003464BE" w:rsidP="003464BE">
    <w:pPr>
      <w:rPr>
        <w:sz w:val="8"/>
      </w:rPr>
    </w:pPr>
    <w:r>
      <w:rPr>
        <w:noProof/>
        <w:sz w:val="8"/>
        <w:lang w:val="en-GB" w:eastAsia="en-GB"/>
      </w:rPr>
      <mc:AlternateContent>
        <mc:Choice Requires="wps">
          <w:drawing>
            <wp:anchor distT="0" distB="0" distL="114300" distR="114300" simplePos="0" relativeHeight="251668992" behindDoc="0" locked="0" layoutInCell="1" allowOverlap="1" wp14:anchorId="788DD312" wp14:editId="73E74D9A">
              <wp:simplePos x="0" y="0"/>
              <wp:positionH relativeFrom="column">
                <wp:posOffset>3921125</wp:posOffset>
              </wp:positionH>
              <wp:positionV relativeFrom="paragraph">
                <wp:posOffset>1134110</wp:posOffset>
              </wp:positionV>
              <wp:extent cx="1847850" cy="932815"/>
              <wp:effectExtent l="0" t="0" r="6350" b="6985"/>
              <wp:wrapTight wrapText="bothSides">
                <wp:wrapPolygon edited="0">
                  <wp:start x="0" y="0"/>
                  <wp:lineTo x="0" y="21174"/>
                  <wp:lineTo x="21377" y="21174"/>
                  <wp:lineTo x="21377"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9328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F0AD34" w14:textId="77777777" w:rsidR="003464BE" w:rsidRDefault="003464BE" w:rsidP="003464BE">
                          <w:pPr>
                            <w:pStyle w:val="Merckbodycopy"/>
                          </w:pPr>
                          <w:r>
                            <w:t xml:space="preserve">Hertford Road, Hoddesdon, </w:t>
                          </w:r>
                        </w:p>
                        <w:p w14:paraId="51318140" w14:textId="77777777" w:rsidR="003464BE" w:rsidRDefault="003464BE" w:rsidP="003464BE">
                          <w:pPr>
                            <w:pStyle w:val="Merckbodycopy"/>
                          </w:pPr>
                          <w:r>
                            <w:t>Herts EN11 9BU</w:t>
                          </w:r>
                        </w:p>
                        <w:p w14:paraId="73385A86" w14:textId="77777777" w:rsidR="003464BE" w:rsidRPr="00717891" w:rsidRDefault="003464BE" w:rsidP="003464BE">
                          <w:pPr>
                            <w:pStyle w:val="Merckbodycopy"/>
                          </w:pPr>
                          <w:r>
                            <w:t>T: 01992 467272</w:t>
                          </w:r>
                        </w:p>
                        <w:p w14:paraId="53F5C48F" w14:textId="77777777" w:rsidR="003464BE" w:rsidRPr="00717891" w:rsidRDefault="003464BE" w:rsidP="003464BE">
                          <w:pPr>
                            <w:rPr>
                              <w:color w:val="000000" w:themeColor="text1"/>
                              <w:szCs w:val="20"/>
                            </w:rPr>
                          </w:pPr>
                        </w:p>
                        <w:p w14:paraId="168281C9" w14:textId="77777777" w:rsidR="003464BE" w:rsidRPr="00717891" w:rsidRDefault="003464BE" w:rsidP="003464BE">
                          <w:pPr>
                            <w:rPr>
                              <w:color w:val="00877C"/>
                              <w:szCs w:val="20"/>
                            </w:rPr>
                          </w:pPr>
                          <w:r>
                            <w:rPr>
                              <w:color w:val="00877C"/>
                              <w:szCs w:val="20"/>
                            </w:rPr>
                            <w:t>msd</w:t>
                          </w:r>
                          <w:r w:rsidRPr="00717891">
                            <w:rPr>
                              <w:color w:val="00877C"/>
                              <w:szCs w:val="20"/>
                            </w:rPr>
                            <w: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8DD312" id="_x0000_t202" coordsize="21600,21600" o:spt="202" path="m,l,21600r21600,l21600,xe">
              <v:stroke joinstyle="miter"/>
              <v:path gradientshapeok="t" o:connecttype="rect"/>
            </v:shapetype>
            <v:shape id="Text Box 14" o:spid="_x0000_s1026" type="#_x0000_t202" style="position:absolute;margin-left:308.75pt;margin-top:89.3pt;width:145.5pt;height:7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" filled="f" stroked="f">
              <v:textbox inset="0,0,0,0">
                <w:txbxContent>
                  <w:p w14:paraId="69F0AD34" w14:textId="77777777" w:rsidR="003464BE" w:rsidRDefault="003464BE" w:rsidP="003464BE">
                    <w:pPr>
                      <w:pStyle w:val="Merckbodycopy"/>
                    </w:pPr>
                    <w:r>
                      <w:t xml:space="preserve">Hertford Road, Hoddesdon, </w:t>
                    </w:r>
                  </w:p>
                  <w:p w14:paraId="51318140" w14:textId="77777777" w:rsidR="003464BE" w:rsidRDefault="003464BE" w:rsidP="003464BE">
                    <w:pPr>
                      <w:pStyle w:val="Merckbodycopy"/>
                    </w:pPr>
                    <w:r>
                      <w:t>Herts EN11 9BU</w:t>
                    </w:r>
                  </w:p>
                  <w:p w14:paraId="73385A86" w14:textId="77777777" w:rsidR="003464BE" w:rsidRPr="00717891" w:rsidRDefault="003464BE" w:rsidP="003464BE">
                    <w:pPr>
                      <w:pStyle w:val="Merckbodycopy"/>
                    </w:pPr>
                    <w:r>
                      <w:t>T: 01992 467272</w:t>
                    </w:r>
                  </w:p>
                  <w:p w14:paraId="53F5C48F" w14:textId="77777777" w:rsidR="003464BE" w:rsidRPr="00717891" w:rsidRDefault="003464BE" w:rsidP="003464BE">
                    <w:pPr>
                      <w:rPr>
                        <w:color w:val="000000" w:themeColor="text1"/>
                        <w:szCs w:val="20"/>
                      </w:rPr>
                    </w:pPr>
                  </w:p>
                  <w:p w14:paraId="168281C9" w14:textId="77777777" w:rsidR="003464BE" w:rsidRPr="00717891" w:rsidRDefault="003464BE" w:rsidP="003464BE">
                    <w:pPr>
                      <w:rPr>
                        <w:color w:val="00877C"/>
                        <w:szCs w:val="20"/>
                      </w:rPr>
                    </w:pPr>
                    <w:r>
                      <w:rPr>
                        <w:color w:val="00877C"/>
                        <w:szCs w:val="20"/>
                      </w:rPr>
                      <w:t>msd</w:t>
                    </w:r>
                    <w:r w:rsidRPr="00717891">
                      <w:rPr>
                        <w:color w:val="00877C"/>
                        <w:szCs w:val="20"/>
                      </w:rPr>
                      <w:t>.com</w:t>
                    </w:r>
                  </w:p>
                </w:txbxContent>
              </v:textbox>
              <w10:wrap type="tight"/>
            </v:shape>
          </w:pict>
        </mc:Fallback>
      </mc:AlternateContent>
    </w:r>
    <w:r w:rsidRPr="00196DB9">
      <w:rPr>
        <w:noProof/>
        <w:sz w:val="8"/>
        <w:lang w:val="en-GB" w:eastAsia="en-GB"/>
      </w:rPr>
      <w:drawing>
        <wp:anchor distT="0" distB="0" distL="114300" distR="114300" simplePos="0" relativeHeight="251667968" behindDoc="0" locked="0" layoutInCell="1" allowOverlap="1" wp14:anchorId="0B98F4B9" wp14:editId="05F126B7">
          <wp:simplePos x="0" y="0"/>
          <wp:positionH relativeFrom="column">
            <wp:posOffset>3049954</wp:posOffset>
          </wp:positionH>
          <wp:positionV relativeFrom="paragraph">
            <wp:posOffset>35169</wp:posOffset>
          </wp:positionV>
          <wp:extent cx="2902438" cy="817685"/>
          <wp:effectExtent l="25400" t="0" r="0" b="0"/>
          <wp:wrapNone/>
          <wp:docPr id="4" name="Picture 4" descr=":::MSD I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D IFL.png"/>
                  <pic:cNvPicPr>
                    <a:picLocks noChangeAspect="1" noChangeArrowheads="1"/>
                  </pic:cNvPicPr>
                </pic:nvPicPr>
                <pic:blipFill>
                  <a:blip r:embed="rId1"/>
                  <a:srcRect/>
                  <a:stretch>
                    <a:fillRect/>
                  </a:stretch>
                </pic:blipFill>
                <pic:spPr bwMode="auto">
                  <a:xfrm>
                    <a:off x="0" y="0"/>
                    <a:ext cx="2903220" cy="817880"/>
                  </a:xfrm>
                  <a:prstGeom prst="rect">
                    <a:avLst/>
                  </a:prstGeom>
                  <a:noFill/>
                  <a:ln w="9525">
                    <a:noFill/>
                    <a:miter lim="800000"/>
                    <a:headEnd/>
                    <a:tailEnd/>
                  </a:ln>
                </pic:spPr>
              </pic:pic>
            </a:graphicData>
          </a:graphic>
        </wp:anchor>
      </w:drawing>
    </w:r>
  </w:p>
  <w:p w14:paraId="1E7109BA" w14:textId="77777777" w:rsidR="003464BE" w:rsidRDefault="00346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DC12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94E5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CCA2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B6735A"/>
    <w:lvl w:ilvl="0">
      <w:start w:val="1"/>
      <w:numFmt w:val="decimal"/>
      <w:pStyle w:val="NumberedParagraphDouble"/>
      <w:lvlText w:val="%1."/>
      <w:lvlJc w:val="left"/>
      <w:pPr>
        <w:tabs>
          <w:tab w:val="num" w:pos="1800"/>
        </w:tabs>
        <w:ind w:left="0" w:firstLine="1440"/>
      </w:pPr>
    </w:lvl>
  </w:abstractNum>
  <w:abstractNum w:abstractNumId="4" w15:restartNumberingAfterBreak="0">
    <w:nsid w:val="FFFFFF80"/>
    <w:multiLevelType w:val="singleLevel"/>
    <w:tmpl w:val="3A068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F8A0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AFA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665A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8A5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16A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31DB7"/>
    <w:multiLevelType w:val="multilevel"/>
    <w:tmpl w:val="36E8ECA8"/>
    <w:lvl w:ilvl="0">
      <w:start w:val="1"/>
      <w:numFmt w:val="upperRoman"/>
      <w:pStyle w:val="Heading1"/>
      <w:lvlText w:val="%1."/>
      <w:lvlJc w:val="left"/>
      <w:pPr>
        <w:tabs>
          <w:tab w:val="num" w:pos="720"/>
        </w:tabs>
        <w:ind w:left="720" w:hanging="720"/>
      </w:pPr>
      <w:rPr>
        <w:u w:val="none"/>
      </w:rPr>
    </w:lvl>
    <w:lvl w:ilvl="1">
      <w:start w:val="1"/>
      <w:numFmt w:val="upperLetter"/>
      <w:pStyle w:val="Heading2"/>
      <w:lvlText w:val="%2."/>
      <w:lvlJc w:val="left"/>
      <w:pPr>
        <w:tabs>
          <w:tab w:val="num" w:pos="1440"/>
        </w:tabs>
        <w:ind w:left="1440" w:hanging="720"/>
      </w:pPr>
      <w:rPr>
        <w:u w:val="none"/>
      </w:rPr>
    </w:lvl>
    <w:lvl w:ilvl="2">
      <w:start w:val="1"/>
      <w:numFmt w:val="decimal"/>
      <w:pStyle w:val="Heading3"/>
      <w:lvlText w:val="%3."/>
      <w:lvlJc w:val="left"/>
      <w:pPr>
        <w:tabs>
          <w:tab w:val="num" w:pos="2160"/>
        </w:tabs>
        <w:ind w:left="2160" w:hanging="720"/>
      </w:pPr>
      <w:rPr>
        <w:u w:val="none"/>
      </w:rPr>
    </w:lvl>
    <w:lvl w:ilvl="3">
      <w:start w:val="1"/>
      <w:numFmt w:val="lowerLetter"/>
      <w:pStyle w:val="Heading4"/>
      <w:lvlText w:val="%4)"/>
      <w:lvlJc w:val="left"/>
      <w:pPr>
        <w:tabs>
          <w:tab w:val="num" w:pos="2880"/>
        </w:tabs>
        <w:ind w:left="2880" w:hanging="720"/>
      </w:pPr>
      <w:rPr>
        <w:u w:val="none"/>
      </w:rPr>
    </w:lvl>
    <w:lvl w:ilvl="4">
      <w:start w:val="1"/>
      <w:numFmt w:val="decimal"/>
      <w:pStyle w:val="Heading5"/>
      <w:lvlText w:val="(%5)"/>
      <w:lvlJc w:val="left"/>
      <w:pPr>
        <w:tabs>
          <w:tab w:val="num" w:pos="3600"/>
        </w:tabs>
        <w:ind w:left="3600" w:hanging="720"/>
      </w:pPr>
      <w:rPr>
        <w:u w:val="none"/>
      </w:rPr>
    </w:lvl>
    <w:lvl w:ilvl="5">
      <w:start w:val="1"/>
      <w:numFmt w:val="lowerLetter"/>
      <w:pStyle w:val="Heading6"/>
      <w:lvlText w:val="(%6)"/>
      <w:lvlJc w:val="left"/>
      <w:pPr>
        <w:tabs>
          <w:tab w:val="num" w:pos="4320"/>
        </w:tabs>
        <w:ind w:left="4320" w:hanging="720"/>
      </w:pPr>
      <w:rPr>
        <w:u w:val="none"/>
      </w:rPr>
    </w:lvl>
    <w:lvl w:ilvl="6">
      <w:start w:val="1"/>
      <w:numFmt w:val="lowerRoman"/>
      <w:pStyle w:val="Heading7"/>
      <w:lvlText w:val="(%7)"/>
      <w:lvlJc w:val="left"/>
      <w:pPr>
        <w:tabs>
          <w:tab w:val="num" w:pos="5040"/>
        </w:tabs>
        <w:ind w:left="5040" w:hanging="720"/>
      </w:pPr>
      <w:rPr>
        <w:u w:val="none"/>
      </w:rPr>
    </w:lvl>
    <w:lvl w:ilvl="7">
      <w:start w:val="1"/>
      <w:numFmt w:val="lowerLetter"/>
      <w:pStyle w:val="Heading8"/>
      <w:lvlText w:val="(%8)"/>
      <w:lvlJc w:val="left"/>
      <w:pPr>
        <w:tabs>
          <w:tab w:val="num" w:pos="5760"/>
        </w:tabs>
        <w:ind w:left="5760" w:hanging="720"/>
      </w:pPr>
      <w:rPr>
        <w:u w:val="none"/>
      </w:rPr>
    </w:lvl>
    <w:lvl w:ilvl="8">
      <w:start w:val="1"/>
      <w:numFmt w:val="lowerRoman"/>
      <w:pStyle w:val="Heading9"/>
      <w:lvlText w:val="(%9)"/>
      <w:lvlJc w:val="left"/>
      <w:pPr>
        <w:tabs>
          <w:tab w:val="num" w:pos="6480"/>
        </w:tabs>
        <w:ind w:left="6480" w:hanging="720"/>
      </w:pPr>
      <w:rPr>
        <w:u w:val="none"/>
      </w:rPr>
    </w:lvl>
  </w:abstractNum>
  <w:abstractNum w:abstractNumId="11" w15:restartNumberingAfterBreak="0">
    <w:nsid w:val="35814B5E"/>
    <w:multiLevelType w:val="singleLevel"/>
    <w:tmpl w:val="A81498BE"/>
    <w:lvl w:ilvl="0">
      <w:start w:val="1"/>
      <w:numFmt w:val="decimal"/>
      <w:pStyle w:val="NumberedParagraphSingle"/>
      <w:lvlText w:val="%1."/>
      <w:lvlJc w:val="left"/>
      <w:pPr>
        <w:tabs>
          <w:tab w:val="num" w:pos="1800"/>
        </w:tabs>
        <w:ind w:left="0" w:firstLine="1440"/>
      </w:pPr>
    </w:lvl>
  </w:abstractNum>
  <w:abstractNum w:abstractNumId="12" w15:restartNumberingAfterBreak="0">
    <w:nsid w:val="3AAD2F51"/>
    <w:multiLevelType w:val="singleLevel"/>
    <w:tmpl w:val="1BD66528"/>
    <w:lvl w:ilvl="0">
      <w:start w:val="1"/>
      <w:numFmt w:val="upperLetter"/>
      <w:pStyle w:val="LetteredParagraphSingle"/>
      <w:lvlText w:val="%1."/>
      <w:lvlJc w:val="left"/>
      <w:pPr>
        <w:tabs>
          <w:tab w:val="num" w:pos="1800"/>
        </w:tabs>
        <w:ind w:left="0" w:firstLine="1440"/>
      </w:pPr>
      <w:rPr>
        <w:u w:val="none"/>
      </w:rPr>
    </w:lvl>
  </w:abstractNum>
  <w:abstractNum w:abstractNumId="13" w15:restartNumberingAfterBreak="0">
    <w:nsid w:val="44234186"/>
    <w:multiLevelType w:val="hybridMultilevel"/>
    <w:tmpl w:val="0734C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3C44F5"/>
    <w:multiLevelType w:val="hybridMultilevel"/>
    <w:tmpl w:val="7AC69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3341D"/>
    <w:multiLevelType w:val="singleLevel"/>
    <w:tmpl w:val="75105F86"/>
    <w:lvl w:ilvl="0">
      <w:start w:val="1"/>
      <w:numFmt w:val="upperLetter"/>
      <w:pStyle w:val="LetteredParagraphDouble"/>
      <w:lvlText w:val="%1."/>
      <w:lvlJc w:val="left"/>
      <w:pPr>
        <w:tabs>
          <w:tab w:val="num" w:pos="1800"/>
        </w:tabs>
        <w:ind w:left="0" w:firstLine="1440"/>
      </w:pPr>
      <w:rPr>
        <w:u w:val="none"/>
      </w:rPr>
    </w:lvl>
  </w:abstractNum>
  <w:abstractNum w:abstractNumId="16" w15:restartNumberingAfterBreak="0">
    <w:nsid w:val="596963FB"/>
    <w:multiLevelType w:val="singleLevel"/>
    <w:tmpl w:val="B44A1900"/>
    <w:lvl w:ilvl="0">
      <w:start w:val="1"/>
      <w:numFmt w:val="decimal"/>
      <w:pStyle w:val="ListNumber2"/>
      <w:lvlText w:val="%1."/>
      <w:lvlJc w:val="left"/>
      <w:pPr>
        <w:tabs>
          <w:tab w:val="num" w:pos="720"/>
        </w:tabs>
        <w:ind w:left="720" w:hanging="36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5"/>
  </w:num>
  <w:num w:numId="11">
    <w:abstractNumId w:val="12"/>
  </w:num>
  <w:num w:numId="12">
    <w:abstractNumId w:val="3"/>
  </w:num>
  <w:num w:numId="13">
    <w:abstractNumId w:val="11"/>
  </w:num>
  <w:num w:numId="14">
    <w:abstractNumId w:val="0"/>
  </w:num>
  <w:num w:numId="15">
    <w:abstractNumId w:val="1"/>
  </w:num>
  <w:num w:numId="16">
    <w:abstractNumId w:val="2"/>
  </w:num>
  <w:num w:numId="17">
    <w:abstractNumId w:val="4"/>
  </w:num>
  <w:num w:numId="18">
    <w:abstractNumId w:val="5"/>
  </w:num>
  <w:num w:numId="19">
    <w:abstractNumId w:val="6"/>
  </w:num>
  <w:num w:numId="20">
    <w:abstractNumId w:val="7"/>
  </w:num>
  <w:num w:numId="21">
    <w:abstractNumId w:val="9"/>
  </w:num>
  <w:num w:numId="22">
    <w:abstractNumId w:val="8"/>
  </w:num>
  <w:num w:numId="23">
    <w:abstractNumId w:val="16"/>
  </w:num>
  <w:num w:numId="24">
    <w:abstractNumId w:val="14"/>
  </w:num>
  <w:num w:numId="2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4E785A"/>
    <w:rsid w:val="0000742B"/>
    <w:rsid w:val="000151CF"/>
    <w:rsid w:val="0001619F"/>
    <w:rsid w:val="000325F8"/>
    <w:rsid w:val="000343CD"/>
    <w:rsid w:val="000520B2"/>
    <w:rsid w:val="00074BBB"/>
    <w:rsid w:val="00077280"/>
    <w:rsid w:val="000929F6"/>
    <w:rsid w:val="00093B6E"/>
    <w:rsid w:val="0009402D"/>
    <w:rsid w:val="000A4F79"/>
    <w:rsid w:val="000A5C46"/>
    <w:rsid w:val="000C33CA"/>
    <w:rsid w:val="000D0A83"/>
    <w:rsid w:val="000E1DF9"/>
    <w:rsid w:val="000E2FD5"/>
    <w:rsid w:val="000E4931"/>
    <w:rsid w:val="000E52B7"/>
    <w:rsid w:val="000E6BB4"/>
    <w:rsid w:val="000F0179"/>
    <w:rsid w:val="000F081C"/>
    <w:rsid w:val="00112711"/>
    <w:rsid w:val="001141D2"/>
    <w:rsid w:val="00116C1D"/>
    <w:rsid w:val="00124E61"/>
    <w:rsid w:val="001255CB"/>
    <w:rsid w:val="001278E8"/>
    <w:rsid w:val="00133641"/>
    <w:rsid w:val="00151AB2"/>
    <w:rsid w:val="00152EDA"/>
    <w:rsid w:val="00165485"/>
    <w:rsid w:val="001664B5"/>
    <w:rsid w:val="001671CF"/>
    <w:rsid w:val="00167B35"/>
    <w:rsid w:val="001921CE"/>
    <w:rsid w:val="00197F20"/>
    <w:rsid w:val="001A77C7"/>
    <w:rsid w:val="001B1AC9"/>
    <w:rsid w:val="001B4E68"/>
    <w:rsid w:val="001C0D8D"/>
    <w:rsid w:val="001D15E9"/>
    <w:rsid w:val="001E1B1D"/>
    <w:rsid w:val="001E4996"/>
    <w:rsid w:val="00202B18"/>
    <w:rsid w:val="00206E19"/>
    <w:rsid w:val="00207D86"/>
    <w:rsid w:val="00215637"/>
    <w:rsid w:val="00221C83"/>
    <w:rsid w:val="0024373D"/>
    <w:rsid w:val="00243938"/>
    <w:rsid w:val="00245F60"/>
    <w:rsid w:val="00252014"/>
    <w:rsid w:val="00260E81"/>
    <w:rsid w:val="00275DED"/>
    <w:rsid w:val="002A27CE"/>
    <w:rsid w:val="002A3D71"/>
    <w:rsid w:val="002B0878"/>
    <w:rsid w:val="002C2BE4"/>
    <w:rsid w:val="002F02B5"/>
    <w:rsid w:val="00301362"/>
    <w:rsid w:val="003027F6"/>
    <w:rsid w:val="003230BF"/>
    <w:rsid w:val="003249D6"/>
    <w:rsid w:val="00326FE2"/>
    <w:rsid w:val="00331BC8"/>
    <w:rsid w:val="003464BE"/>
    <w:rsid w:val="00383E01"/>
    <w:rsid w:val="00384E58"/>
    <w:rsid w:val="00395770"/>
    <w:rsid w:val="00396E46"/>
    <w:rsid w:val="003A4356"/>
    <w:rsid w:val="003B7EF6"/>
    <w:rsid w:val="003D3A6C"/>
    <w:rsid w:val="003E0661"/>
    <w:rsid w:val="003E2B2A"/>
    <w:rsid w:val="003E3C21"/>
    <w:rsid w:val="003F408B"/>
    <w:rsid w:val="003F57CD"/>
    <w:rsid w:val="0040052C"/>
    <w:rsid w:val="00422433"/>
    <w:rsid w:val="00430297"/>
    <w:rsid w:val="0044193D"/>
    <w:rsid w:val="00461FE2"/>
    <w:rsid w:val="00464D91"/>
    <w:rsid w:val="00471933"/>
    <w:rsid w:val="00472704"/>
    <w:rsid w:val="00474051"/>
    <w:rsid w:val="00487BF9"/>
    <w:rsid w:val="00491124"/>
    <w:rsid w:val="004964B7"/>
    <w:rsid w:val="004A2EC3"/>
    <w:rsid w:val="004C10C9"/>
    <w:rsid w:val="004C1BD8"/>
    <w:rsid w:val="004D4388"/>
    <w:rsid w:val="004E4866"/>
    <w:rsid w:val="004E63DA"/>
    <w:rsid w:val="004E785A"/>
    <w:rsid w:val="004F0E7E"/>
    <w:rsid w:val="004F2737"/>
    <w:rsid w:val="004F31C9"/>
    <w:rsid w:val="004F4B8D"/>
    <w:rsid w:val="004F5541"/>
    <w:rsid w:val="00510AD5"/>
    <w:rsid w:val="00511F16"/>
    <w:rsid w:val="00513DD1"/>
    <w:rsid w:val="00514ED8"/>
    <w:rsid w:val="00535173"/>
    <w:rsid w:val="005372C6"/>
    <w:rsid w:val="00556C6E"/>
    <w:rsid w:val="00560974"/>
    <w:rsid w:val="00570F33"/>
    <w:rsid w:val="005723B8"/>
    <w:rsid w:val="005A4F5B"/>
    <w:rsid w:val="005A5FFF"/>
    <w:rsid w:val="005B7DC5"/>
    <w:rsid w:val="005C11C5"/>
    <w:rsid w:val="005C2E13"/>
    <w:rsid w:val="005D445A"/>
    <w:rsid w:val="005E0852"/>
    <w:rsid w:val="005F0AEF"/>
    <w:rsid w:val="00600BD6"/>
    <w:rsid w:val="006027BE"/>
    <w:rsid w:val="00613F12"/>
    <w:rsid w:val="00633459"/>
    <w:rsid w:val="00641B46"/>
    <w:rsid w:val="00645E83"/>
    <w:rsid w:val="006518FD"/>
    <w:rsid w:val="006601F1"/>
    <w:rsid w:val="00665033"/>
    <w:rsid w:val="00670835"/>
    <w:rsid w:val="0067246A"/>
    <w:rsid w:val="00693BBE"/>
    <w:rsid w:val="006949E7"/>
    <w:rsid w:val="00697014"/>
    <w:rsid w:val="006C2453"/>
    <w:rsid w:val="006C2BEF"/>
    <w:rsid w:val="006C5D5E"/>
    <w:rsid w:val="006E7910"/>
    <w:rsid w:val="006F4748"/>
    <w:rsid w:val="006F4C05"/>
    <w:rsid w:val="006F4D90"/>
    <w:rsid w:val="007031A0"/>
    <w:rsid w:val="00703A61"/>
    <w:rsid w:val="00713831"/>
    <w:rsid w:val="00722E6E"/>
    <w:rsid w:val="007474BF"/>
    <w:rsid w:val="00770579"/>
    <w:rsid w:val="00771723"/>
    <w:rsid w:val="007A2AA0"/>
    <w:rsid w:val="007A2BC3"/>
    <w:rsid w:val="007B43BC"/>
    <w:rsid w:val="007B6543"/>
    <w:rsid w:val="007B69D0"/>
    <w:rsid w:val="00821C63"/>
    <w:rsid w:val="00832E3E"/>
    <w:rsid w:val="008333DF"/>
    <w:rsid w:val="00854193"/>
    <w:rsid w:val="00864AFD"/>
    <w:rsid w:val="00865A17"/>
    <w:rsid w:val="008716BB"/>
    <w:rsid w:val="008744DF"/>
    <w:rsid w:val="0087633A"/>
    <w:rsid w:val="0088110C"/>
    <w:rsid w:val="00886870"/>
    <w:rsid w:val="00887F74"/>
    <w:rsid w:val="0089207D"/>
    <w:rsid w:val="00893D8A"/>
    <w:rsid w:val="008947D0"/>
    <w:rsid w:val="008B5CF9"/>
    <w:rsid w:val="008C721D"/>
    <w:rsid w:val="008E2460"/>
    <w:rsid w:val="008F5B3A"/>
    <w:rsid w:val="00910687"/>
    <w:rsid w:val="009172E5"/>
    <w:rsid w:val="00920C56"/>
    <w:rsid w:val="00923492"/>
    <w:rsid w:val="0092613D"/>
    <w:rsid w:val="00934E58"/>
    <w:rsid w:val="00953F32"/>
    <w:rsid w:val="0096591A"/>
    <w:rsid w:val="00967000"/>
    <w:rsid w:val="009C3635"/>
    <w:rsid w:val="009C6B0D"/>
    <w:rsid w:val="009D2918"/>
    <w:rsid w:val="009D2E70"/>
    <w:rsid w:val="009E37E9"/>
    <w:rsid w:val="00A033C5"/>
    <w:rsid w:val="00A10125"/>
    <w:rsid w:val="00A13872"/>
    <w:rsid w:val="00A1612C"/>
    <w:rsid w:val="00A32524"/>
    <w:rsid w:val="00A421BC"/>
    <w:rsid w:val="00A42D4F"/>
    <w:rsid w:val="00A4406B"/>
    <w:rsid w:val="00A51A3B"/>
    <w:rsid w:val="00A57562"/>
    <w:rsid w:val="00A65DBC"/>
    <w:rsid w:val="00A65FB5"/>
    <w:rsid w:val="00A758C5"/>
    <w:rsid w:val="00A81E05"/>
    <w:rsid w:val="00A90D52"/>
    <w:rsid w:val="00AA6883"/>
    <w:rsid w:val="00AA709F"/>
    <w:rsid w:val="00AC46FF"/>
    <w:rsid w:val="00AC5FDA"/>
    <w:rsid w:val="00AE7757"/>
    <w:rsid w:val="00B03D4C"/>
    <w:rsid w:val="00B04BA1"/>
    <w:rsid w:val="00B06D67"/>
    <w:rsid w:val="00B122D4"/>
    <w:rsid w:val="00B20866"/>
    <w:rsid w:val="00B27937"/>
    <w:rsid w:val="00B27C22"/>
    <w:rsid w:val="00B3064E"/>
    <w:rsid w:val="00B32A39"/>
    <w:rsid w:val="00B34A19"/>
    <w:rsid w:val="00B64C1E"/>
    <w:rsid w:val="00B668D1"/>
    <w:rsid w:val="00B774AF"/>
    <w:rsid w:val="00B8623E"/>
    <w:rsid w:val="00BB18FA"/>
    <w:rsid w:val="00BE58EA"/>
    <w:rsid w:val="00BF4227"/>
    <w:rsid w:val="00BF67B5"/>
    <w:rsid w:val="00C017C9"/>
    <w:rsid w:val="00C028D3"/>
    <w:rsid w:val="00C06178"/>
    <w:rsid w:val="00C06A80"/>
    <w:rsid w:val="00C306C3"/>
    <w:rsid w:val="00C37604"/>
    <w:rsid w:val="00C41219"/>
    <w:rsid w:val="00C65B9E"/>
    <w:rsid w:val="00C67328"/>
    <w:rsid w:val="00C7322A"/>
    <w:rsid w:val="00C820D4"/>
    <w:rsid w:val="00C909E0"/>
    <w:rsid w:val="00C958D1"/>
    <w:rsid w:val="00CC585B"/>
    <w:rsid w:val="00CE3374"/>
    <w:rsid w:val="00CE6897"/>
    <w:rsid w:val="00CF277A"/>
    <w:rsid w:val="00D01EB3"/>
    <w:rsid w:val="00D06658"/>
    <w:rsid w:val="00D20F29"/>
    <w:rsid w:val="00D21CA2"/>
    <w:rsid w:val="00D24F85"/>
    <w:rsid w:val="00D56081"/>
    <w:rsid w:val="00D67CDC"/>
    <w:rsid w:val="00D74392"/>
    <w:rsid w:val="00D77FC9"/>
    <w:rsid w:val="00D811C4"/>
    <w:rsid w:val="00D905E4"/>
    <w:rsid w:val="00D91880"/>
    <w:rsid w:val="00D91ACA"/>
    <w:rsid w:val="00D97EB1"/>
    <w:rsid w:val="00DA42EC"/>
    <w:rsid w:val="00DB0756"/>
    <w:rsid w:val="00DB3510"/>
    <w:rsid w:val="00DB5BAB"/>
    <w:rsid w:val="00DD35E5"/>
    <w:rsid w:val="00DD56E2"/>
    <w:rsid w:val="00DE08D7"/>
    <w:rsid w:val="00E04451"/>
    <w:rsid w:val="00E07BCE"/>
    <w:rsid w:val="00E12CBC"/>
    <w:rsid w:val="00E20516"/>
    <w:rsid w:val="00E2238C"/>
    <w:rsid w:val="00E35E26"/>
    <w:rsid w:val="00E4724D"/>
    <w:rsid w:val="00E51C37"/>
    <w:rsid w:val="00E54B48"/>
    <w:rsid w:val="00E5503B"/>
    <w:rsid w:val="00E77BCD"/>
    <w:rsid w:val="00E8226C"/>
    <w:rsid w:val="00E83421"/>
    <w:rsid w:val="00E950B0"/>
    <w:rsid w:val="00EA3578"/>
    <w:rsid w:val="00EA75B4"/>
    <w:rsid w:val="00EB179C"/>
    <w:rsid w:val="00EB37D1"/>
    <w:rsid w:val="00EB3BCA"/>
    <w:rsid w:val="00EB4E52"/>
    <w:rsid w:val="00ED1D74"/>
    <w:rsid w:val="00ED3C38"/>
    <w:rsid w:val="00EE74F3"/>
    <w:rsid w:val="00EF4284"/>
    <w:rsid w:val="00EF6F10"/>
    <w:rsid w:val="00F03592"/>
    <w:rsid w:val="00F12FD8"/>
    <w:rsid w:val="00F16E01"/>
    <w:rsid w:val="00F32271"/>
    <w:rsid w:val="00F33C8C"/>
    <w:rsid w:val="00F52926"/>
    <w:rsid w:val="00F61861"/>
    <w:rsid w:val="00F62D60"/>
    <w:rsid w:val="00F7684A"/>
    <w:rsid w:val="00F84FB7"/>
    <w:rsid w:val="00F87D30"/>
    <w:rsid w:val="00F93201"/>
    <w:rsid w:val="00F95CE3"/>
    <w:rsid w:val="00F96309"/>
    <w:rsid w:val="00F97223"/>
    <w:rsid w:val="00FA1F85"/>
    <w:rsid w:val="00FC130D"/>
    <w:rsid w:val="00FD295B"/>
    <w:rsid w:val="00FD641D"/>
    <w:rsid w:val="00FE2FD1"/>
    <w:rsid w:val="00FE472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612CF221"/>
  <w15:docId w15:val="{6911DFD7-FFDC-41AE-9598-058B022B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92"/>
  </w:style>
  <w:style w:type="paragraph" w:styleId="Heading1">
    <w:name w:val="heading 1"/>
    <w:basedOn w:val="Normal"/>
    <w:qFormat/>
    <w:pPr>
      <w:keepNext/>
      <w:numPr>
        <w:numId w:val="1"/>
      </w:numPr>
      <w:spacing w:after="240"/>
      <w:outlineLvl w:val="0"/>
    </w:pPr>
  </w:style>
  <w:style w:type="paragraph" w:styleId="Heading2">
    <w:name w:val="heading 2"/>
    <w:basedOn w:val="Normal"/>
    <w:qFormat/>
    <w:pPr>
      <w:keepNext/>
      <w:numPr>
        <w:ilvl w:val="1"/>
        <w:numId w:val="2"/>
      </w:numPr>
      <w:spacing w:after="240"/>
      <w:outlineLvl w:val="1"/>
    </w:pPr>
  </w:style>
  <w:style w:type="paragraph" w:styleId="Heading3">
    <w:name w:val="heading 3"/>
    <w:basedOn w:val="Normal"/>
    <w:qFormat/>
    <w:pPr>
      <w:numPr>
        <w:ilvl w:val="2"/>
        <w:numId w:val="3"/>
      </w:numPr>
      <w:spacing w:after="240"/>
      <w:outlineLvl w:val="2"/>
    </w:pPr>
  </w:style>
  <w:style w:type="paragraph" w:styleId="Heading4">
    <w:name w:val="heading 4"/>
    <w:basedOn w:val="Normal"/>
    <w:qFormat/>
    <w:pPr>
      <w:numPr>
        <w:ilvl w:val="3"/>
        <w:numId w:val="4"/>
      </w:numPr>
      <w:spacing w:after="240"/>
      <w:outlineLvl w:val="3"/>
    </w:pPr>
  </w:style>
  <w:style w:type="paragraph" w:styleId="Heading5">
    <w:name w:val="heading 5"/>
    <w:basedOn w:val="Normal"/>
    <w:qFormat/>
    <w:pPr>
      <w:numPr>
        <w:ilvl w:val="4"/>
        <w:numId w:val="5"/>
      </w:numPr>
      <w:spacing w:after="240"/>
      <w:outlineLvl w:val="4"/>
    </w:pPr>
  </w:style>
  <w:style w:type="paragraph" w:styleId="Heading6">
    <w:name w:val="heading 6"/>
    <w:basedOn w:val="Normal"/>
    <w:qFormat/>
    <w:pPr>
      <w:numPr>
        <w:ilvl w:val="5"/>
        <w:numId w:val="6"/>
      </w:numPr>
      <w:spacing w:after="240"/>
      <w:outlineLvl w:val="5"/>
    </w:pPr>
  </w:style>
  <w:style w:type="paragraph" w:styleId="Heading7">
    <w:name w:val="heading 7"/>
    <w:basedOn w:val="Normal"/>
    <w:qFormat/>
    <w:pPr>
      <w:numPr>
        <w:ilvl w:val="6"/>
        <w:numId w:val="7"/>
      </w:numPr>
      <w:spacing w:after="240"/>
      <w:outlineLvl w:val="6"/>
    </w:pPr>
  </w:style>
  <w:style w:type="paragraph" w:styleId="Heading8">
    <w:name w:val="heading 8"/>
    <w:basedOn w:val="Normal"/>
    <w:qFormat/>
    <w:pPr>
      <w:numPr>
        <w:ilvl w:val="7"/>
        <w:numId w:val="8"/>
      </w:numPr>
      <w:spacing w:after="240"/>
      <w:outlineLvl w:val="7"/>
    </w:pPr>
  </w:style>
  <w:style w:type="paragraph" w:styleId="Heading9">
    <w:name w:val="heading 9"/>
    <w:basedOn w:val="Normal"/>
    <w:qFormat/>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B18FA"/>
    <w:pPr>
      <w:spacing w:after="240"/>
      <w:ind w:left="1440" w:right="1440"/>
    </w:pPr>
    <w:rPr>
      <w:rFonts w:eastAsia="Arial Unicode MS"/>
    </w:rPr>
  </w:style>
  <w:style w:type="paragraph" w:styleId="BodyText2">
    <w:name w:val="Body Text 2"/>
    <w:basedOn w:val="Normal"/>
    <w:rsid w:val="00BB18FA"/>
    <w:pPr>
      <w:spacing w:line="480" w:lineRule="auto"/>
    </w:pPr>
    <w:rPr>
      <w:rFonts w:eastAsia="Arial Unicode MS"/>
    </w:rPr>
  </w:style>
  <w:style w:type="paragraph" w:styleId="BodyTextFirstIndent2">
    <w:name w:val="Body Text First Indent 2"/>
    <w:basedOn w:val="BodyTextFirstIndent"/>
    <w:rsid w:val="00BB18FA"/>
    <w:pPr>
      <w:spacing w:line="480" w:lineRule="auto"/>
    </w:pPr>
  </w:style>
  <w:style w:type="paragraph" w:styleId="BodyText">
    <w:name w:val="Body Text"/>
    <w:basedOn w:val="Normal"/>
    <w:link w:val="BodyTextChar"/>
    <w:qFormat/>
    <w:rsid w:val="00BB18FA"/>
    <w:pPr>
      <w:spacing w:after="240"/>
    </w:pPr>
    <w:rPr>
      <w:rFonts w:eastAsia="Arial Unicode MS"/>
    </w:rPr>
  </w:style>
  <w:style w:type="paragraph" w:styleId="BodyTextFirstIndent">
    <w:name w:val="Body Text First Indent"/>
    <w:basedOn w:val="BodyText"/>
    <w:rsid w:val="00BB18FA"/>
    <w:pPr>
      <w:ind w:firstLine="1440"/>
    </w:pPr>
  </w:style>
  <w:style w:type="paragraph" w:styleId="BodyTextIndent">
    <w:name w:val="Body Text Indent"/>
    <w:basedOn w:val="Normal"/>
    <w:rsid w:val="00BB18FA"/>
    <w:pPr>
      <w:spacing w:after="240"/>
      <w:ind w:left="720"/>
    </w:pPr>
    <w:rPr>
      <w:rFonts w:eastAsia="Arial Unicode MS"/>
    </w:rPr>
  </w:style>
  <w:style w:type="paragraph" w:styleId="BodyTextIndent2">
    <w:name w:val="Body Text Indent 2"/>
    <w:basedOn w:val="Normal"/>
    <w:rsid w:val="00BB18FA"/>
    <w:pPr>
      <w:spacing w:line="480" w:lineRule="auto"/>
      <w:ind w:left="720"/>
    </w:pPr>
    <w:rPr>
      <w:rFonts w:eastAsia="Arial Unicode MS"/>
    </w:rPr>
  </w:style>
  <w:style w:type="paragraph" w:styleId="List">
    <w:name w:val="List"/>
    <w:basedOn w:val="Normal"/>
    <w:pPr>
      <w:spacing w:after="240"/>
      <w:ind w:left="360" w:hanging="360"/>
    </w:pPr>
  </w:style>
  <w:style w:type="paragraph" w:styleId="List2">
    <w:name w:val="List 2"/>
    <w:basedOn w:val="List"/>
    <w:pPr>
      <w:ind w:left="720"/>
    </w:pPr>
  </w:style>
  <w:style w:type="paragraph" w:styleId="List3">
    <w:name w:val="List 3"/>
    <w:basedOn w:val="List"/>
    <w:pPr>
      <w:ind w:left="1080"/>
    </w:pPr>
  </w:style>
  <w:style w:type="paragraph" w:styleId="List4">
    <w:name w:val="List 4"/>
    <w:basedOn w:val="List"/>
    <w:pPr>
      <w:ind w:left="1440"/>
    </w:pPr>
  </w:style>
  <w:style w:type="paragraph" w:styleId="List5">
    <w:name w:val="List 5"/>
    <w:basedOn w:val="List"/>
    <w:pPr>
      <w:ind w:left="1800"/>
    </w:pPr>
  </w:style>
  <w:style w:type="paragraph" w:styleId="ListBullet">
    <w:name w:val="List Bullet"/>
    <w:basedOn w:val="Normal"/>
    <w:pPr>
      <w:numPr>
        <w:numId w:val="21"/>
      </w:numPr>
      <w:spacing w:after="240"/>
    </w:pPr>
  </w:style>
  <w:style w:type="paragraph" w:styleId="ListBullet2">
    <w:name w:val="List Bullet 2"/>
    <w:basedOn w:val="ListBullet"/>
    <w:pPr>
      <w:numPr>
        <w:numId w:val="20"/>
      </w:numPr>
    </w:pPr>
  </w:style>
  <w:style w:type="paragraph" w:styleId="ListBullet3">
    <w:name w:val="List Bullet 3"/>
    <w:basedOn w:val="ListBullet"/>
    <w:pPr>
      <w:numPr>
        <w:numId w:val="19"/>
      </w:numPr>
    </w:pPr>
  </w:style>
  <w:style w:type="paragraph" w:styleId="ListBullet4">
    <w:name w:val="List Bullet 4"/>
    <w:basedOn w:val="ListBullet"/>
    <w:pPr>
      <w:numPr>
        <w:numId w:val="18"/>
      </w:numPr>
    </w:pPr>
  </w:style>
  <w:style w:type="paragraph" w:styleId="ListBullet5">
    <w:name w:val="List Bullet 5"/>
    <w:basedOn w:val="ListBullet"/>
    <w:pPr>
      <w:numPr>
        <w:numId w:val="17"/>
      </w:numPr>
    </w:pPr>
  </w:style>
  <w:style w:type="paragraph" w:styleId="ListContinue">
    <w:name w:val="List Continue"/>
    <w:basedOn w:val="Normal"/>
    <w:pPr>
      <w:spacing w:after="240"/>
      <w:ind w:left="360"/>
    </w:pPr>
  </w:style>
  <w:style w:type="paragraph" w:styleId="ListContinue2">
    <w:name w:val="List Continue 2"/>
    <w:basedOn w:val="ListContinue"/>
    <w:pPr>
      <w:ind w:left="720"/>
    </w:pPr>
  </w:style>
  <w:style w:type="paragraph" w:styleId="ListContinue3">
    <w:name w:val="List Continue 3"/>
    <w:basedOn w:val="ListContinue"/>
    <w:pPr>
      <w:ind w:left="1080"/>
    </w:pPr>
  </w:style>
  <w:style w:type="paragraph" w:styleId="ListContinue4">
    <w:name w:val="List Continue 4"/>
    <w:basedOn w:val="ListContinue"/>
    <w:pPr>
      <w:ind w:left="1440"/>
    </w:pPr>
  </w:style>
  <w:style w:type="paragraph" w:styleId="ListContinue5">
    <w:name w:val="List Continue 5"/>
    <w:basedOn w:val="ListContinue"/>
    <w:pPr>
      <w:ind w:left="1800"/>
    </w:pPr>
  </w:style>
  <w:style w:type="paragraph" w:styleId="ListNumber">
    <w:name w:val="List Number"/>
    <w:basedOn w:val="Normal"/>
    <w:pPr>
      <w:numPr>
        <w:numId w:val="22"/>
      </w:numPr>
      <w:spacing w:after="240"/>
    </w:pPr>
  </w:style>
  <w:style w:type="paragraph" w:styleId="ListNumber2">
    <w:name w:val="List Number 2"/>
    <w:basedOn w:val="ListNumber"/>
    <w:pPr>
      <w:numPr>
        <w:numId w:val="23"/>
      </w:numPr>
      <w:tabs>
        <w:tab w:val="clear" w:pos="720"/>
      </w:tabs>
    </w:pPr>
  </w:style>
  <w:style w:type="paragraph" w:styleId="ListNumber3">
    <w:name w:val="List Number 3"/>
    <w:basedOn w:val="ListNumber"/>
    <w:pPr>
      <w:numPr>
        <w:numId w:val="16"/>
      </w:numPr>
    </w:pPr>
  </w:style>
  <w:style w:type="paragraph" w:styleId="ListNumber4">
    <w:name w:val="List Number 4"/>
    <w:basedOn w:val="ListNumber"/>
    <w:pPr>
      <w:numPr>
        <w:numId w:val="15"/>
      </w:numPr>
    </w:pPr>
  </w:style>
  <w:style w:type="paragraph" w:styleId="ListNumber5">
    <w:name w:val="List Number 5"/>
    <w:basedOn w:val="ListNumber"/>
    <w:pPr>
      <w:numPr>
        <w:numId w:val="14"/>
      </w:numPr>
    </w:pPr>
  </w:style>
  <w:style w:type="paragraph" w:styleId="Salutation">
    <w:name w:val="Salutation"/>
    <w:basedOn w:val="Normal"/>
    <w:next w:val="BodyTextFirstHalfIndent"/>
    <w:rsid w:val="00D21CA2"/>
    <w:pPr>
      <w:spacing w:before="240" w:after="240"/>
    </w:pPr>
  </w:style>
  <w:style w:type="paragraph" w:styleId="Signature">
    <w:name w:val="Signature"/>
    <w:basedOn w:val="Normal"/>
    <w:pPr>
      <w:ind w:left="4320"/>
    </w:pPr>
  </w:style>
  <w:style w:type="paragraph" w:customStyle="1" w:styleId="BodyTextFirstIndentDouble">
    <w:name w:val="Body Text First Indent Double"/>
    <w:basedOn w:val="BodyText"/>
    <w:pPr>
      <w:spacing w:after="0" w:line="480" w:lineRule="auto"/>
      <w:ind w:firstLine="720"/>
    </w:pPr>
  </w:style>
  <w:style w:type="paragraph" w:customStyle="1" w:styleId="NumberedParagraphSingle">
    <w:name w:val="Numbered Paragraph Single"/>
    <w:basedOn w:val="Normal"/>
    <w:pPr>
      <w:numPr>
        <w:numId w:val="13"/>
      </w:numPr>
      <w:tabs>
        <w:tab w:val="clear" w:pos="1800"/>
        <w:tab w:val="left" w:pos="1440"/>
      </w:tabs>
      <w:spacing w:after="240" w:line="360" w:lineRule="auto"/>
      <w:ind w:firstLine="720"/>
    </w:pPr>
  </w:style>
  <w:style w:type="paragraph" w:customStyle="1" w:styleId="NumberedParagraphDouble">
    <w:name w:val="Numbered Paragraph Double"/>
    <w:basedOn w:val="Normal"/>
    <w:pPr>
      <w:numPr>
        <w:numId w:val="12"/>
      </w:numPr>
      <w:tabs>
        <w:tab w:val="clear" w:pos="1800"/>
        <w:tab w:val="left" w:pos="1440"/>
      </w:tabs>
      <w:spacing w:line="480" w:lineRule="auto"/>
      <w:ind w:firstLine="720"/>
    </w:pPr>
  </w:style>
  <w:style w:type="paragraph" w:styleId="FootnoteText">
    <w:name w:val="footnote text"/>
    <w:basedOn w:val="Normal"/>
    <w:link w:val="FootnoteTextChar"/>
    <w:uiPriority w:val="99"/>
    <w:semiHidden/>
    <w:pPr>
      <w:spacing w:after="120" w:line="260" w:lineRule="exact"/>
    </w:pPr>
  </w:style>
  <w:style w:type="paragraph" w:styleId="NormalIndent">
    <w:name w:val="Normal Indent"/>
    <w:basedOn w:val="Normal"/>
    <w:pPr>
      <w:ind w:lef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Title">
    <w:name w:val="Title"/>
    <w:basedOn w:val="Normal"/>
    <w:qFormat/>
    <w:pPr>
      <w:keepNext/>
      <w:spacing w:after="240"/>
      <w:jc w:val="center"/>
      <w:outlineLvl w:val="0"/>
    </w:pPr>
    <w:rPr>
      <w:b/>
      <w:kern w:val="28"/>
      <w:sz w:val="32"/>
    </w:rPr>
  </w:style>
  <w:style w:type="paragraph" w:styleId="TOAHeading">
    <w:name w:val="toa heading"/>
    <w:basedOn w:val="Normal"/>
    <w:next w:val="Normal"/>
    <w:semiHidden/>
    <w:pPr>
      <w:spacing w:before="120"/>
    </w:pPr>
    <w:rPr>
      <w:b/>
    </w:rPr>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680"/>
        <w:tab w:val="right" w:pos="9360"/>
      </w:tabs>
    </w:pPr>
  </w:style>
  <w:style w:type="paragraph" w:customStyle="1" w:styleId="LetteredParagraphSingle">
    <w:name w:val="Lettered Paragraph Single"/>
    <w:basedOn w:val="Normal"/>
    <w:pPr>
      <w:numPr>
        <w:numId w:val="11"/>
      </w:numPr>
      <w:tabs>
        <w:tab w:val="clear" w:pos="1800"/>
        <w:tab w:val="left" w:pos="1440"/>
      </w:tabs>
      <w:spacing w:after="240" w:line="360" w:lineRule="auto"/>
      <w:ind w:firstLine="720"/>
    </w:pPr>
  </w:style>
  <w:style w:type="character" w:styleId="PageNumber">
    <w:name w:val="page number"/>
    <w:basedOn w:val="DefaultParagraphFont"/>
  </w:style>
  <w:style w:type="paragraph" w:customStyle="1" w:styleId="LetteredParagraphDouble">
    <w:name w:val="Lettered Paragraph Double"/>
    <w:basedOn w:val="Normal"/>
    <w:pPr>
      <w:numPr>
        <w:numId w:val="10"/>
      </w:numPr>
      <w:tabs>
        <w:tab w:val="clear" w:pos="1800"/>
        <w:tab w:val="left" w:pos="1440"/>
      </w:tabs>
      <w:spacing w:line="480" w:lineRule="auto"/>
      <w:ind w:firstLine="720"/>
    </w:pPr>
  </w:style>
  <w:style w:type="paragraph" w:styleId="Date">
    <w:name w:val="Date"/>
    <w:basedOn w:val="Normal"/>
    <w:next w:val="Normal"/>
    <w:pPr>
      <w:spacing w:after="240"/>
      <w:ind w:left="6480"/>
    </w:pPr>
  </w:style>
  <w:style w:type="paragraph" w:customStyle="1" w:styleId="Address1">
    <w:name w:val="Address1"/>
    <w:basedOn w:val="Normal"/>
  </w:style>
  <w:style w:type="paragraph" w:customStyle="1" w:styleId="Address2">
    <w:name w:val="Address2"/>
    <w:basedOn w:val="Address1"/>
  </w:style>
  <w:style w:type="paragraph" w:styleId="Closing">
    <w:name w:val="Closing"/>
    <w:basedOn w:val="Normal"/>
    <w:rsid w:val="00A42D4F"/>
    <w:pPr>
      <w:spacing w:after="720"/>
      <w:ind w:left="6192"/>
    </w:pPr>
  </w:style>
  <w:style w:type="paragraph" w:customStyle="1" w:styleId="Author">
    <w:name w:val="Author"/>
    <w:basedOn w:val="Closing"/>
    <w:pPr>
      <w:spacing w:after="240"/>
    </w:pPr>
  </w:style>
  <w:style w:type="paragraph" w:customStyle="1" w:styleId="cc">
    <w:name w:val="cc"/>
    <w:basedOn w:val="Normal"/>
    <w:pPr>
      <w:spacing w:before="240"/>
      <w:ind w:left="720" w:hanging="720"/>
    </w:pPr>
  </w:style>
  <w:style w:type="paragraph" w:customStyle="1" w:styleId="Enclosures">
    <w:name w:val="Enclosures"/>
    <w:basedOn w:val="Normal"/>
  </w:style>
  <w:style w:type="paragraph" w:styleId="Header">
    <w:name w:val="header"/>
    <w:basedOn w:val="Normal"/>
    <w:pPr>
      <w:tabs>
        <w:tab w:val="center" w:pos="4680"/>
        <w:tab w:val="right" w:pos="9360"/>
      </w:tabs>
    </w:pPr>
  </w:style>
  <w:style w:type="paragraph" w:customStyle="1" w:styleId="Re">
    <w:name w:val="Re"/>
    <w:basedOn w:val="Normal"/>
    <w:next w:val="Salutation"/>
    <w:rsid w:val="00BB18FA"/>
    <w:pPr>
      <w:spacing w:before="520"/>
      <w:ind w:left="1440" w:right="1440" w:hanging="720"/>
    </w:pPr>
    <w:rPr>
      <w:b/>
    </w:rPr>
  </w:style>
  <w:style w:type="paragraph" w:customStyle="1" w:styleId="Recipient1">
    <w:name w:val="Recipient1"/>
    <w:basedOn w:val="Normal"/>
    <w:next w:val="Address1"/>
  </w:style>
  <w:style w:type="paragraph" w:customStyle="1" w:styleId="Recipient2">
    <w:name w:val="Recipient2"/>
    <w:basedOn w:val="Recipient1"/>
    <w:next w:val="Address2"/>
    <w:pPr>
      <w:spacing w:before="240"/>
    </w:pPr>
  </w:style>
  <w:style w:type="paragraph" w:customStyle="1" w:styleId="DeliveryAndDate">
    <w:name w:val="DeliveryAndDate"/>
    <w:basedOn w:val="Date"/>
    <w:next w:val="Recipient1"/>
    <w:rsid w:val="00BB18FA"/>
    <w:pPr>
      <w:tabs>
        <w:tab w:val="left" w:pos="6192"/>
      </w:tabs>
      <w:ind w:left="0"/>
    </w:pPr>
    <w:rPr>
      <w:rFonts w:eastAsia="Arial Unicode MS"/>
    </w:rPr>
  </w:style>
  <w:style w:type="paragraph" w:customStyle="1" w:styleId="BodyTextFirstHalfIndent">
    <w:name w:val="Body Text First Half Indent"/>
    <w:basedOn w:val="BodyText"/>
    <w:rsid w:val="00BB18FA"/>
    <w:pPr>
      <w:ind w:firstLine="720"/>
    </w:pPr>
  </w:style>
  <w:style w:type="paragraph" w:customStyle="1" w:styleId="BodyTextFirstHalfIndent2">
    <w:name w:val="Body Text First Half Indent 2"/>
    <w:basedOn w:val="BodyTextFirstHalfIndent"/>
    <w:rsid w:val="00BB18FA"/>
    <w:pPr>
      <w:spacing w:line="480" w:lineRule="auto"/>
    </w:pPr>
  </w:style>
  <w:style w:type="paragraph" w:customStyle="1" w:styleId="BodyTextHalfIndent">
    <w:name w:val="Body Text Half Indent"/>
    <w:basedOn w:val="BodyText"/>
    <w:rsid w:val="009C3635"/>
    <w:pPr>
      <w:ind w:left="720"/>
    </w:pPr>
  </w:style>
  <w:style w:type="paragraph" w:customStyle="1" w:styleId="BodyTextHalfIndent2">
    <w:name w:val="Body Text Half Indent 2"/>
    <w:basedOn w:val="BodyTextHalfIndent"/>
    <w:rsid w:val="009C3635"/>
    <w:pPr>
      <w:spacing w:line="480" w:lineRule="auto"/>
    </w:pPr>
  </w:style>
  <w:style w:type="character" w:customStyle="1" w:styleId="DateFormat">
    <w:name w:val="DateFormat"/>
    <w:basedOn w:val="DefaultParagraphFont"/>
    <w:uiPriority w:val="1"/>
    <w:qFormat/>
    <w:rsid w:val="004C10C9"/>
  </w:style>
  <w:style w:type="character" w:customStyle="1" w:styleId="DeliveryMethod">
    <w:name w:val="DeliveryMethod"/>
    <w:basedOn w:val="DateFormat"/>
    <w:uiPriority w:val="1"/>
    <w:qFormat/>
    <w:rsid w:val="006F4748"/>
    <w:rPr>
      <w:b/>
    </w:rPr>
  </w:style>
  <w:style w:type="character" w:customStyle="1" w:styleId="BodyTextChar">
    <w:name w:val="Body Text Char"/>
    <w:basedOn w:val="DefaultParagraphFont"/>
    <w:link w:val="BodyText"/>
    <w:rsid w:val="004E785A"/>
    <w:rPr>
      <w:rFonts w:eastAsia="Arial Unicode MS"/>
    </w:rPr>
  </w:style>
  <w:style w:type="character" w:customStyle="1" w:styleId="FootnoteTextChar">
    <w:name w:val="Footnote Text Char"/>
    <w:basedOn w:val="DefaultParagraphFont"/>
    <w:link w:val="FootnoteText"/>
    <w:uiPriority w:val="99"/>
    <w:semiHidden/>
    <w:rsid w:val="004E785A"/>
  </w:style>
  <w:style w:type="paragraph" w:styleId="ListParagraph">
    <w:name w:val="List Paragraph"/>
    <w:basedOn w:val="Normal"/>
    <w:uiPriority w:val="34"/>
    <w:qFormat/>
    <w:rsid w:val="004E785A"/>
    <w:pPr>
      <w:ind w:left="720"/>
      <w:contextualSpacing/>
    </w:pPr>
    <w:rPr>
      <w:rFonts w:asciiTheme="minorHAnsi" w:eastAsiaTheme="minorHAnsi" w:hAnsiTheme="minorHAnsi" w:cstheme="minorBidi"/>
      <w:sz w:val="24"/>
      <w:szCs w:val="24"/>
      <w:lang w:val="en-GB"/>
    </w:rPr>
  </w:style>
  <w:style w:type="character" w:styleId="Hyperlink">
    <w:name w:val="Hyperlink"/>
    <w:basedOn w:val="DefaultParagraphFont"/>
    <w:uiPriority w:val="99"/>
    <w:unhideWhenUsed/>
    <w:rsid w:val="00EB37D1"/>
    <w:rPr>
      <w:color w:val="0000FF"/>
      <w:u w:val="single"/>
    </w:rPr>
  </w:style>
  <w:style w:type="paragraph" w:customStyle="1" w:styleId="ImanageFooter">
    <w:name w:val="Imanage Footer"/>
    <w:basedOn w:val="Normal"/>
    <w:rsid w:val="00C06178"/>
    <w:rPr>
      <w:rFonts w:ascii="Times New Roman" w:hAnsi="Times New Roman"/>
      <w:sz w:val="16"/>
      <w:szCs w:val="24"/>
    </w:rPr>
  </w:style>
  <w:style w:type="paragraph" w:customStyle="1" w:styleId="Merckbodycopy">
    <w:name w:val="Merck body copy"/>
    <w:basedOn w:val="Normal"/>
    <w:qFormat/>
    <w:rsid w:val="003464BE"/>
    <w:rPr>
      <w:rFonts w:ascii="Arial Narrow" w:eastAsiaTheme="minorEastAsia" w:hAnsi="Arial Narrow" w:cstheme="minorBidi"/>
      <w:sz w:val="20"/>
      <w:szCs w:val="20"/>
    </w:rPr>
  </w:style>
  <w:style w:type="character" w:customStyle="1" w:styleId="FooterChar">
    <w:name w:val="Footer Char"/>
    <w:basedOn w:val="DefaultParagraphFont"/>
    <w:link w:val="Footer"/>
    <w:uiPriority w:val="99"/>
    <w:rsid w:val="0034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1743">
      <w:bodyDiv w:val="1"/>
      <w:marLeft w:val="0"/>
      <w:marRight w:val="0"/>
      <w:marTop w:val="0"/>
      <w:marBottom w:val="0"/>
      <w:divBdr>
        <w:top w:val="none" w:sz="0" w:space="0" w:color="auto"/>
        <w:left w:val="none" w:sz="0" w:space="0" w:color="auto"/>
        <w:bottom w:val="none" w:sz="0" w:space="0" w:color="auto"/>
        <w:right w:val="none" w:sz="0" w:space="0" w:color="auto"/>
      </w:divBdr>
    </w:div>
    <w:div w:id="84517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Guide_Art_2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amp;B%20Letter.dotm" TargetMode="External"/></Relationships>
</file>

<file path=word/theme/theme1.xml><?xml version="1.0" encoding="utf-8"?>
<a:theme xmlns:a="http://schemas.openxmlformats.org/drawingml/2006/main" name="Covington">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6FBDE60E477345A6D2F47C8124F535" ma:contentTypeVersion="13" ma:contentTypeDescription="Create a new document." ma:contentTypeScope="" ma:versionID="41d91cb46f3bb162b4482eba374c6f8a">
  <xsd:schema xmlns:xsd="http://www.w3.org/2001/XMLSchema" xmlns:xs="http://www.w3.org/2001/XMLSchema" xmlns:p="http://schemas.microsoft.com/office/2006/metadata/properties" xmlns:ns3="ba791807-3a71-4a45-a252-2347d062665e" xmlns:ns4="8a83baf5-f5fd-459c-8511-c89b306953e0" targetNamespace="http://schemas.microsoft.com/office/2006/metadata/properties" ma:root="true" ma:fieldsID="27fe50b3d40e9a880e3135a4f6ba9c4b" ns3:_="" ns4:_="">
    <xsd:import namespace="ba791807-3a71-4a45-a252-2347d062665e"/>
    <xsd:import namespace="8a83baf5-f5fd-459c-8511-c89b306953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91807-3a71-4a45-a252-2347d0626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3baf5-f5fd-459c-8511-c89b306953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99197-B148-4C3E-8080-14BB48A105E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15B1EB2-AF8D-4864-8D8C-F9CFEA13B0DA}">
  <ds:schemaRefs>
    <ds:schemaRef ds:uri="http://schemas.openxmlformats.org/officeDocument/2006/bibliography"/>
  </ds:schemaRefs>
</ds:datastoreItem>
</file>

<file path=customXml/itemProps3.xml><?xml version="1.0" encoding="utf-8"?>
<ds:datastoreItem xmlns:ds="http://schemas.openxmlformats.org/officeDocument/2006/customXml" ds:itemID="{253B2763-BEC5-4BEE-88EF-C62FCC2C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91807-3a71-4a45-a252-2347d062665e"/>
    <ds:schemaRef ds:uri="8a83baf5-f5fd-459c-8511-c89b3069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32309-6EAA-4DF9-9E8B-6F539A6CECCD}">
  <ds:schemaRefs>
    <ds:schemaRef ds:uri="http://schemas.microsoft.com/sharepoint/v3/contenttype/forms"/>
  </ds:schemaRefs>
</ds:datastoreItem>
</file>

<file path=customXml/itemProps5.xml><?xml version="1.0" encoding="utf-8"?>
<ds:datastoreItem xmlns:ds="http://schemas.openxmlformats.org/officeDocument/2006/customXml" ds:itemID="{F8380FF1-F22B-4189-BF27-DB691E39C7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a83baf5-f5fd-459c-8511-c89b306953e0"/>
    <ds:schemaRef ds:uri="http://purl.org/dc/terms/"/>
    <ds:schemaRef ds:uri="ba791807-3a71-4a45-a252-2347d062665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C&amp;B Letter</Template>
  <TotalTime>12</TotalTime>
  <Pages>4</Pages>
  <Words>1865</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Covington &amp; Burling Letter Template</vt:lpstr>
    </vt:vector>
  </TitlesOfParts>
  <Company>Covington &amp; Burling</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Covington &amp; Burling Letter Template</dc:title>
  <dc:creator>Grant Castle</dc:creator>
  <cp:lastModifiedBy>Maria Pitan</cp:lastModifiedBy>
  <cp:revision>6</cp:revision>
  <dcterms:created xsi:type="dcterms:W3CDTF">2020-06-17T09:44:00Z</dcterms:created>
  <dcterms:modified xsi:type="dcterms:W3CDTF">2020-06-23T10:18:00Z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Office 011</vt:lpwstr>
  </property>
  <property fmtid="{D5CDD505-2E9C-101B-9397-08002B2CF9AE}" pid="3" name="docIndexRef">
    <vt:lpwstr>c033a179-f3ed-4e3a-831f-c234dbd3c92e</vt:lpwstr>
  </property>
  <property fmtid="{D5CDD505-2E9C-101B-9397-08002B2CF9AE}" pid="4" name="bjSaver">
    <vt:lpwstr>aPhk5nVJ6KqZHovHSflw+qDvVuagFal5</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_AdHocReviewCycleID">
    <vt:i4>1654135138</vt:i4>
  </property>
  <property fmtid="{D5CDD505-2E9C-101B-9397-08002B2CF9AE}" pid="9" name="_NewReviewCycle">
    <vt:lpwstr/>
  </property>
  <property fmtid="{D5CDD505-2E9C-101B-9397-08002B2CF9AE}" pid="10" name="_EmailSubject">
    <vt:lpwstr>Appeal queries </vt:lpwstr>
  </property>
  <property fmtid="{D5CDD505-2E9C-101B-9397-08002B2CF9AE}" pid="11" name="_AuthorEmail">
    <vt:lpwstr>kalpana.doca@merck.com</vt:lpwstr>
  </property>
  <property fmtid="{D5CDD505-2E9C-101B-9397-08002B2CF9AE}" pid="12" name="_AuthorEmailDisplayName">
    <vt:lpwstr>D'Oca, Kalpana</vt:lpwstr>
  </property>
  <property fmtid="{D5CDD505-2E9C-101B-9397-08002B2CF9AE}" pid="13" name="ContentTypeId">
    <vt:lpwstr>0x010100656FBDE60E477345A6D2F47C8124F535</vt:lpwstr>
  </property>
  <property fmtid="{D5CDD505-2E9C-101B-9397-08002B2CF9AE}" pid="14" name="_PreviousAdHocReviewCycleID">
    <vt:i4>-1926575625</vt:i4>
  </property>
  <property fmtid="{D5CDD505-2E9C-101B-9397-08002B2CF9AE}" pid="15" name="_ReviewingToolsShownOnce">
    <vt:lpwstr/>
  </property>
</Properties>
</file>