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54EC3" w14:textId="0464533E" w:rsidR="000F48EC" w:rsidRPr="000F48EC" w:rsidRDefault="000F48EC" w:rsidP="0093671F">
      <w:pPr>
        <w:pStyle w:val="Title2"/>
      </w:pPr>
      <w:bookmarkStart w:id="0" w:name="_Hlk56362771"/>
      <w:r w:rsidRPr="000F48EC">
        <w:t>NATIONAL INSTITUTE FOR HEALTH AND C</w:t>
      </w:r>
      <w:r w:rsidR="00CC63EB">
        <w:t>ARE</w:t>
      </w:r>
      <w:r w:rsidRPr="000F48EC">
        <w:t xml:space="preserve"> EXCELLENCE</w:t>
      </w:r>
    </w:p>
    <w:p w14:paraId="3EFB3DF8" w14:textId="1C771E94" w:rsidR="000F48EC" w:rsidRPr="000F48EC" w:rsidRDefault="007A2801" w:rsidP="000069F9">
      <w:pPr>
        <w:pStyle w:val="Title2"/>
      </w:pPr>
      <w:r>
        <w:t>Appraisal consultation document</w:t>
      </w:r>
    </w:p>
    <w:p w14:paraId="0FEF33AC" w14:textId="645C510B" w:rsidR="007A2801" w:rsidRDefault="00663529" w:rsidP="00771D72">
      <w:pPr>
        <w:pStyle w:val="Title1"/>
      </w:pPr>
      <w:r w:rsidRPr="00663529">
        <w:t>Bempedoic acid</w:t>
      </w:r>
      <w:r w:rsidR="002F2D84">
        <w:t xml:space="preserve"> </w:t>
      </w:r>
      <w:r w:rsidRPr="00663529">
        <w:t>for treating primary hypercholesterolaemia or mixed dyslipidaemia</w:t>
      </w:r>
    </w:p>
    <w:p w14:paraId="669E0707" w14:textId="449E05F0" w:rsidR="007A2801" w:rsidRDefault="00771D72">
      <w:pPr>
        <w:rPr>
          <w:rFonts w:ascii="Arial" w:hAnsi="Arial"/>
        </w:rPr>
      </w:pPr>
      <w:r>
        <w:rPr>
          <w:noProof/>
        </w:rPr>
        <mc:AlternateContent>
          <mc:Choice Requires="wps">
            <w:drawing>
              <wp:anchor distT="0" distB="0" distL="114300" distR="114300" simplePos="0" relativeHeight="251659264" behindDoc="0" locked="0" layoutInCell="1" allowOverlap="1" wp14:anchorId="2B74AD1E" wp14:editId="2874B079">
                <wp:simplePos x="0" y="0"/>
                <wp:positionH relativeFrom="margin">
                  <wp:align>left</wp:align>
                </wp:positionH>
                <wp:positionV relativeFrom="paragraph">
                  <wp:posOffset>401955</wp:posOffset>
                </wp:positionV>
                <wp:extent cx="5505450" cy="5800725"/>
                <wp:effectExtent l="19050" t="19050" r="19050" b="28575"/>
                <wp:wrapNone/>
                <wp:docPr id="7" name="Text Box 7" descr="Primary panel"/>
                <wp:cNvGraphicFramePr/>
                <a:graphic xmlns:a="http://schemas.openxmlformats.org/drawingml/2006/main">
                  <a:graphicData uri="http://schemas.microsoft.com/office/word/2010/wordprocessingShape">
                    <wps:wsp>
                      <wps:cNvSpPr txBox="1"/>
                      <wps:spPr>
                        <a:xfrm>
                          <a:off x="0" y="0"/>
                          <a:ext cx="5505450" cy="5800725"/>
                        </a:xfrm>
                        <a:prstGeom prst="rect">
                          <a:avLst/>
                        </a:prstGeom>
                        <a:solidFill>
                          <a:schemeClr val="bg1"/>
                        </a:solidFill>
                        <a:ln w="38100">
                          <a:solidFill>
                            <a:srgbClr val="A2BDC1"/>
                          </a:solidFill>
                        </a:ln>
                      </wps:spPr>
                      <wps:txbx>
                        <w:txbxContent>
                          <w:p w14:paraId="35F491FA" w14:textId="77777777" w:rsidR="00771D72" w:rsidRPr="00771D72" w:rsidRDefault="00771D72" w:rsidP="00771D72">
                            <w:pPr>
                              <w:pStyle w:val="Bulletindent2"/>
                              <w:numPr>
                                <w:ilvl w:val="0"/>
                                <w:numId w:val="0"/>
                              </w:numPr>
                              <w:rPr>
                                <w:rFonts w:cs="Arial"/>
                              </w:rPr>
                            </w:pPr>
                            <w:r w:rsidRPr="00771D72">
                              <w:rPr>
                                <w:rFonts w:cs="Arial"/>
                              </w:rPr>
                              <w:t>The Department of Health and Social Care has asked the National Institute for Health and Care Excellence (NICE) to produce guidance on using esketamine in the NHS in England. The appraisal committee has considered the evidence submitted by the company and the views of non-company consultees and commentators, clinical experts and patient experts.</w:t>
                            </w:r>
                          </w:p>
                          <w:p w14:paraId="0290F738" w14:textId="4236E87E" w:rsidR="00771D72" w:rsidRPr="00771D72" w:rsidRDefault="00771D72" w:rsidP="00771D72">
                            <w:pPr>
                              <w:pStyle w:val="Bulletindent2"/>
                              <w:numPr>
                                <w:ilvl w:val="0"/>
                                <w:numId w:val="0"/>
                              </w:numPr>
                              <w:rPr>
                                <w:rFonts w:cs="Arial"/>
                              </w:rPr>
                            </w:pPr>
                            <w:r w:rsidRPr="00771D72">
                              <w:rPr>
                                <w:rFonts w:cs="Arial"/>
                                <w:b/>
                              </w:rPr>
                              <w:t>This document has been prepared for consultation with the consultees.</w:t>
                            </w:r>
                            <w:r w:rsidRPr="00771D72">
                              <w:rPr>
                                <w:rFonts w:cs="Arial"/>
                              </w:rPr>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sidRPr="00771D72">
                                <w:rPr>
                                  <w:rStyle w:val="Hyperlink"/>
                                  <w:rFonts w:cs="Arial"/>
                                </w:rPr>
                                <w:t>committee papers</w:t>
                              </w:r>
                            </w:hyperlink>
                            <w:r w:rsidRPr="00771D72">
                              <w:rPr>
                                <w:rFonts w:cs="Arial"/>
                              </w:rPr>
                              <w:t>).</w:t>
                            </w:r>
                          </w:p>
                          <w:p w14:paraId="0E68D931" w14:textId="77777777" w:rsidR="00771D72" w:rsidRPr="00771D72" w:rsidRDefault="00771D72" w:rsidP="00771D72">
                            <w:pPr>
                              <w:pStyle w:val="Bulletindent2"/>
                              <w:numPr>
                                <w:ilvl w:val="0"/>
                                <w:numId w:val="0"/>
                              </w:numPr>
                              <w:rPr>
                                <w:rFonts w:cs="Arial"/>
                              </w:rPr>
                            </w:pPr>
                            <w:r w:rsidRPr="00771D72">
                              <w:rPr>
                                <w:rFonts w:cs="Arial"/>
                              </w:rPr>
                              <w:t>The appraisal committee is interested in receiving comments on the following:</w:t>
                            </w:r>
                          </w:p>
                          <w:p w14:paraId="6760E8F8" w14:textId="77777777" w:rsidR="00771D72" w:rsidRPr="00771D72" w:rsidRDefault="00771D72" w:rsidP="00771D72">
                            <w:pPr>
                              <w:pStyle w:val="Bulletleft1"/>
                              <w:tabs>
                                <w:tab w:val="clear" w:pos="284"/>
                                <w:tab w:val="num" w:pos="568"/>
                              </w:tabs>
                              <w:ind w:left="568"/>
                              <w:rPr>
                                <w:rFonts w:cs="Arial"/>
                              </w:rPr>
                            </w:pPr>
                            <w:r w:rsidRPr="00771D72">
                              <w:rPr>
                                <w:rFonts w:cs="Arial"/>
                              </w:rPr>
                              <w:t>Has all of the relevant evidence been taken into account?</w:t>
                            </w:r>
                          </w:p>
                          <w:p w14:paraId="0BD65D78" w14:textId="77777777" w:rsidR="00771D72" w:rsidRPr="00771D72" w:rsidRDefault="00771D72" w:rsidP="00771D72">
                            <w:pPr>
                              <w:pStyle w:val="Bulletleft1"/>
                              <w:tabs>
                                <w:tab w:val="clear" w:pos="284"/>
                                <w:tab w:val="num" w:pos="568"/>
                              </w:tabs>
                              <w:ind w:left="568"/>
                              <w:rPr>
                                <w:rFonts w:cs="Arial"/>
                              </w:rPr>
                            </w:pPr>
                            <w:r w:rsidRPr="00771D72">
                              <w:rPr>
                                <w:rFonts w:cs="Arial"/>
                              </w:rPr>
                              <w:t>Are the summaries of clinical and cost effectiveness reasonable interpretations of the evidence?</w:t>
                            </w:r>
                          </w:p>
                          <w:p w14:paraId="39CC833C" w14:textId="77777777" w:rsidR="00771D72" w:rsidRPr="00771D72" w:rsidRDefault="00771D72" w:rsidP="00771D72">
                            <w:pPr>
                              <w:numPr>
                                <w:ilvl w:val="0"/>
                                <w:numId w:val="8"/>
                              </w:numPr>
                              <w:tabs>
                                <w:tab w:val="clear" w:pos="284"/>
                                <w:tab w:val="num" w:pos="568"/>
                              </w:tabs>
                              <w:spacing w:after="240" w:line="360" w:lineRule="auto"/>
                              <w:ind w:left="568"/>
                              <w:rPr>
                                <w:rFonts w:ascii="Arial" w:hAnsi="Arial" w:cs="Arial"/>
                              </w:rPr>
                            </w:pPr>
                            <w:r w:rsidRPr="00771D72">
                              <w:rPr>
                                <w:rFonts w:ascii="Arial" w:hAnsi="Arial" w:cs="Arial"/>
                              </w:rPr>
                              <w:t>Are the recommendations sound and a suitable basis for guidance to the NHS?</w:t>
                            </w:r>
                          </w:p>
                          <w:p w14:paraId="75D368F0" w14:textId="77777777" w:rsidR="00771D72" w:rsidRPr="00771D72" w:rsidRDefault="00771D72" w:rsidP="00771D72">
                            <w:pPr>
                              <w:pStyle w:val="NICEnormal"/>
                              <w:rPr>
                                <w:rFonts w:cs="Arial"/>
                              </w:rPr>
                            </w:pPr>
                            <w:r w:rsidRPr="00771D72">
                              <w:rPr>
                                <w:rFonts w:cs="Arial"/>
                              </w:rPr>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4AD1E" id="_x0000_t202" coordsize="21600,21600" o:spt="202" path="m,l,21600r21600,l21600,xe">
                <v:stroke joinstyle="miter"/>
                <v:path gradientshapeok="t" o:connecttype="rect"/>
              </v:shapetype>
              <v:shape id="Text Box 7" o:spid="_x0000_s1026" type="#_x0000_t202" alt="Primary panel" style="position:absolute;margin-left:0;margin-top:31.65pt;width:433.5pt;height:45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jgXQIAALoEAAAOAAAAZHJzL2Uyb0RvYy54bWysVE1v2zAMvQ/YfxB0X+1k8doGdYo0RYcB&#10;RVugHXpWZDkRIIkapcTOfv0oOUk/1tOwiyyR1BP5+OiLy94atlUYNLiaj05KzpST0Gi3qvnPp5sv&#10;Z5yFKFwjDDhV850K/HL2+dNF56dqDGswjUJGIC5MO1/zdYx+WhRBrpUV4QS8cuRsAa2IdMRV0aDo&#10;CN2aYlyW34oOsPEIUoVA1uvByWcZv22VjPdtG1RkpuaUW8wr5nWZ1mJ2IaYrFH6t5T4N8Q9ZWKEd&#10;PXqEuhZRsA3qv6CslggB2ngiwRbQtlqqXANVMyrfVfO4Fl7lWoic4I80hf8HK++2D8h0U/NTzpyw&#10;1KIn1Ud2BT0jS6OCJLYeUFuBO+aFUyZx1vkwpauPni7HnoKp9wd7IGOiom/Rpi8VychP7O+OjKcn&#10;JBmrqqwmFbkk+aqzsjwdVwmneLnuMcTvCixLm5ojtTQzLba3IQ6hh5D0WgCjmxttTD4kGamFQbYV&#10;JIDlKidJ4G+ijGNdzb+ejcoyI79xBlwtjwDz8dX14gMMQjSOsk60DOWnXeyX/Z6rJTQ7ogphEGDw&#10;8kZTObcixAeBpDiigKYo3tPSGqB0YL/jbA34+yN7iichkJezjhRc8/BrI1BxZn44ksj5aDJJks+H&#10;SXU6pgO+9ixfe9zGLoA4GtG8epm3KT6aw7ZFsM80bPP0KrmEk/R2zeNhu4jDXNGwSjWf5yASuRfx&#10;1j16maBTT1KznvpngX7f0UhiuIOD1sX0XWOH2HTTwXwTodW564nggdU97zQgWTf7YU4T+Pqco15+&#10;ObM/AAAA//8DAFBLAwQUAAYACAAAACEA/jsAbd0AAAAHAQAADwAAAGRycy9kb3ducmV2LnhtbEyP&#10;wU7DMBBE70j8g7VI3KgDFalJs6kQUk+caAvq0U2WJGpsp7bbJP16lhMcd2Y08zZfjaYTF/KhdRbh&#10;cZaAIFu6qrU1wm67flAgQtS20p2zhDBRgFVxe5PrrHKD/aDLJtaCS2zINEITY59JGcqGjA4z15Nl&#10;79t5oyOfvpaV1wOXm04+JUkqjW4tLzS6p7eGyuPmbBA+1+/em9N1K6fhGvfPX+q0nxTi/d34ugQR&#10;aYx/YfjFZ3QomOngzrYKokPgRyJCOp+DYFelCxYOCC+LVIEscvmfv/gBAAD//wMAUEsBAi0AFAAG&#10;AAgAAAAhALaDOJL+AAAA4QEAABMAAAAAAAAAAAAAAAAAAAAAAFtDb250ZW50X1R5cGVzXS54bWxQ&#10;SwECLQAUAAYACAAAACEAOP0h/9YAAACUAQAACwAAAAAAAAAAAAAAAAAvAQAAX3JlbHMvLnJlbHNQ&#10;SwECLQAUAAYACAAAACEAPX044F0CAAC6BAAADgAAAAAAAAAAAAAAAAAuAgAAZHJzL2Uyb0RvYy54&#10;bWxQSwECLQAUAAYACAAAACEA/jsAbd0AAAAHAQAADwAAAAAAAAAAAAAAAAC3BAAAZHJzL2Rvd25y&#10;ZXYueG1sUEsFBgAAAAAEAAQA8wAAAMEFAAAAAA==&#10;" fillcolor="white [3212]" strokecolor="#a2bdc1" strokeweight="3pt">
                <v:textbox>
                  <w:txbxContent>
                    <w:p w14:paraId="35F491FA" w14:textId="77777777" w:rsidR="00771D72" w:rsidRPr="00771D72" w:rsidRDefault="00771D72" w:rsidP="00771D72">
                      <w:pPr>
                        <w:pStyle w:val="Bulletindent2"/>
                        <w:numPr>
                          <w:ilvl w:val="0"/>
                          <w:numId w:val="0"/>
                        </w:numPr>
                        <w:rPr>
                          <w:rFonts w:cs="Arial"/>
                        </w:rPr>
                      </w:pPr>
                      <w:r w:rsidRPr="00771D72">
                        <w:rPr>
                          <w:rFonts w:cs="Arial"/>
                        </w:rPr>
                        <w:t xml:space="preserve">The Department of Health and Social Care has asked the National Institute for Health and Care Excellence (NICE) to produce guidance on using </w:t>
                      </w:r>
                      <w:proofErr w:type="spellStart"/>
                      <w:r w:rsidRPr="00771D72">
                        <w:rPr>
                          <w:rFonts w:cs="Arial"/>
                        </w:rPr>
                        <w:t>esketamine</w:t>
                      </w:r>
                      <w:proofErr w:type="spellEnd"/>
                      <w:r w:rsidRPr="00771D72">
                        <w:rPr>
                          <w:rFonts w:cs="Arial"/>
                        </w:rPr>
                        <w:t xml:space="preserve"> in the NHS in England. The appraisal committee has considered the evidence submitted by the company and the views of non-company consultees and commentators, clinical </w:t>
                      </w:r>
                      <w:proofErr w:type="gramStart"/>
                      <w:r w:rsidRPr="00771D72">
                        <w:rPr>
                          <w:rFonts w:cs="Arial"/>
                        </w:rPr>
                        <w:t>experts</w:t>
                      </w:r>
                      <w:proofErr w:type="gramEnd"/>
                      <w:r w:rsidRPr="00771D72">
                        <w:rPr>
                          <w:rFonts w:cs="Arial"/>
                        </w:rPr>
                        <w:t xml:space="preserve"> and patient experts.</w:t>
                      </w:r>
                    </w:p>
                    <w:p w14:paraId="0290F738" w14:textId="4236E87E" w:rsidR="00771D72" w:rsidRPr="00771D72" w:rsidRDefault="00771D72" w:rsidP="00771D72">
                      <w:pPr>
                        <w:pStyle w:val="Bulletindent2"/>
                        <w:numPr>
                          <w:ilvl w:val="0"/>
                          <w:numId w:val="0"/>
                        </w:numPr>
                        <w:rPr>
                          <w:rFonts w:cs="Arial"/>
                        </w:rPr>
                      </w:pPr>
                      <w:r w:rsidRPr="00771D72">
                        <w:rPr>
                          <w:rFonts w:cs="Arial"/>
                          <w:b/>
                        </w:rPr>
                        <w:t>This document has been prepared for consultation with the consultees.</w:t>
                      </w:r>
                      <w:r w:rsidRPr="00771D72">
                        <w:rPr>
                          <w:rFonts w:cs="Arial"/>
                        </w:rPr>
                        <w:t xml:space="preserve"> It summarises the evidence and views that have been </w:t>
                      </w:r>
                      <w:proofErr w:type="gramStart"/>
                      <w:r w:rsidRPr="00771D72">
                        <w:rPr>
                          <w:rFonts w:cs="Arial"/>
                        </w:rPr>
                        <w:t>considered, and</w:t>
                      </w:r>
                      <w:proofErr w:type="gramEnd"/>
                      <w:r w:rsidRPr="00771D72">
                        <w:rPr>
                          <w:rFonts w:cs="Arial"/>
                        </w:rPr>
                        <w:t xml:space="preserve"> sets out the recommendations made by the committee. NICE invites comments from the consultees and commentators for this appraisal and the public. This document should be read along with the evidence (see the </w:t>
                      </w:r>
                      <w:hyperlink r:id="rId9" w:history="1">
                        <w:r w:rsidRPr="00771D72">
                          <w:rPr>
                            <w:rStyle w:val="Hyperlink"/>
                            <w:rFonts w:cs="Arial"/>
                          </w:rPr>
                          <w:t>committee papers</w:t>
                        </w:r>
                      </w:hyperlink>
                      <w:r w:rsidRPr="00771D72">
                        <w:rPr>
                          <w:rFonts w:cs="Arial"/>
                        </w:rPr>
                        <w:t>).</w:t>
                      </w:r>
                    </w:p>
                    <w:p w14:paraId="0E68D931" w14:textId="77777777" w:rsidR="00771D72" w:rsidRPr="00771D72" w:rsidRDefault="00771D72" w:rsidP="00771D72">
                      <w:pPr>
                        <w:pStyle w:val="Bulletindent2"/>
                        <w:numPr>
                          <w:ilvl w:val="0"/>
                          <w:numId w:val="0"/>
                        </w:numPr>
                        <w:rPr>
                          <w:rFonts w:cs="Arial"/>
                        </w:rPr>
                      </w:pPr>
                      <w:r w:rsidRPr="00771D72">
                        <w:rPr>
                          <w:rFonts w:cs="Arial"/>
                        </w:rPr>
                        <w:t>The appraisal committee is interested in receiving comments on the following:</w:t>
                      </w:r>
                    </w:p>
                    <w:p w14:paraId="6760E8F8" w14:textId="77777777" w:rsidR="00771D72" w:rsidRPr="00771D72" w:rsidRDefault="00771D72" w:rsidP="00771D72">
                      <w:pPr>
                        <w:pStyle w:val="Bulletleft1"/>
                        <w:tabs>
                          <w:tab w:val="clear" w:pos="284"/>
                          <w:tab w:val="num" w:pos="568"/>
                        </w:tabs>
                        <w:ind w:left="568"/>
                        <w:rPr>
                          <w:rFonts w:cs="Arial"/>
                        </w:rPr>
                      </w:pPr>
                      <w:r w:rsidRPr="00771D72">
                        <w:rPr>
                          <w:rFonts w:cs="Arial"/>
                        </w:rPr>
                        <w:t xml:space="preserve">Has </w:t>
                      </w:r>
                      <w:proofErr w:type="gramStart"/>
                      <w:r w:rsidRPr="00771D72">
                        <w:rPr>
                          <w:rFonts w:cs="Arial"/>
                        </w:rPr>
                        <w:t>all of</w:t>
                      </w:r>
                      <w:proofErr w:type="gramEnd"/>
                      <w:r w:rsidRPr="00771D72">
                        <w:rPr>
                          <w:rFonts w:cs="Arial"/>
                        </w:rPr>
                        <w:t xml:space="preserve"> the relevant evidence been taken into account?</w:t>
                      </w:r>
                    </w:p>
                    <w:p w14:paraId="0BD65D78" w14:textId="77777777" w:rsidR="00771D72" w:rsidRPr="00771D72" w:rsidRDefault="00771D72" w:rsidP="00771D72">
                      <w:pPr>
                        <w:pStyle w:val="Bulletleft1"/>
                        <w:tabs>
                          <w:tab w:val="clear" w:pos="284"/>
                          <w:tab w:val="num" w:pos="568"/>
                        </w:tabs>
                        <w:ind w:left="568"/>
                        <w:rPr>
                          <w:rFonts w:cs="Arial"/>
                        </w:rPr>
                      </w:pPr>
                      <w:r w:rsidRPr="00771D72">
                        <w:rPr>
                          <w:rFonts w:cs="Arial"/>
                        </w:rPr>
                        <w:t>Are the summaries of clinical and cost effectiveness reasonable interpretations of the evidence?</w:t>
                      </w:r>
                    </w:p>
                    <w:p w14:paraId="39CC833C" w14:textId="77777777" w:rsidR="00771D72" w:rsidRPr="00771D72" w:rsidRDefault="00771D72" w:rsidP="00771D72">
                      <w:pPr>
                        <w:pStyle w:val="PageNumber"/>
                        <w:numPr>
                          <w:ilvl w:val="0"/>
                          <w:numId w:val="8"/>
                        </w:numPr>
                        <w:tabs>
                          <w:tab w:val="clear" w:pos="284"/>
                          <w:tab w:val="num" w:pos="568"/>
                        </w:tabs>
                        <w:spacing w:after="240" w:line="360" w:lineRule="auto"/>
                        <w:ind w:left="568"/>
                        <w:rPr>
                          <w:rFonts w:ascii="Arial" w:hAnsi="Arial" w:cs="Arial"/>
                        </w:rPr>
                      </w:pPr>
                      <w:r w:rsidRPr="00771D72">
                        <w:rPr>
                          <w:rFonts w:ascii="Arial" w:hAnsi="Arial" w:cs="Arial"/>
                        </w:rPr>
                        <w:t>Are the recommendations sound and a suitable basis for guidance to the NHS?</w:t>
                      </w:r>
                    </w:p>
                    <w:p w14:paraId="75D368F0" w14:textId="77777777" w:rsidR="00771D72" w:rsidRPr="00771D72" w:rsidRDefault="00771D72" w:rsidP="00771D72">
                      <w:pPr>
                        <w:pStyle w:val="NICEnormal"/>
                        <w:rPr>
                          <w:rFonts w:cs="Arial"/>
                        </w:rPr>
                      </w:pPr>
                      <w:r w:rsidRPr="00771D72">
                        <w:rPr>
                          <w:rFonts w:cs="Arial"/>
                        </w:rPr>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v:textbox>
                <w10:wrap anchorx="margin"/>
              </v:shape>
            </w:pict>
          </mc:Fallback>
        </mc:AlternateContent>
      </w:r>
      <w:r w:rsidR="007A2801">
        <w:br w:type="page"/>
      </w:r>
    </w:p>
    <w:p w14:paraId="20790686" w14:textId="6C5181AE" w:rsidR="00771D72" w:rsidRDefault="00771D72" w:rsidP="00771D72">
      <w:pPr>
        <w:pStyle w:val="Numberedheading1"/>
        <w:numPr>
          <w:ilvl w:val="0"/>
          <w:numId w:val="0"/>
        </w:numPr>
      </w:pPr>
      <w:r>
        <w:rPr>
          <w:noProof/>
        </w:rPr>
        <w:lastRenderedPageBreak/>
        <mc:AlternateContent>
          <mc:Choice Requires="wps">
            <w:drawing>
              <wp:anchor distT="0" distB="0" distL="114300" distR="114300" simplePos="0" relativeHeight="251661312" behindDoc="0" locked="0" layoutInCell="1" allowOverlap="1" wp14:anchorId="25650C28" wp14:editId="2190AA58">
                <wp:simplePos x="0" y="0"/>
                <wp:positionH relativeFrom="margin">
                  <wp:posOffset>219075</wp:posOffset>
                </wp:positionH>
                <wp:positionV relativeFrom="paragraph">
                  <wp:posOffset>27940</wp:posOffset>
                </wp:positionV>
                <wp:extent cx="5410200" cy="5610225"/>
                <wp:effectExtent l="19050" t="19050" r="19050" b="28575"/>
                <wp:wrapNone/>
                <wp:docPr id="2" name="Text Box 2" descr="Primary panel"/>
                <wp:cNvGraphicFramePr/>
                <a:graphic xmlns:a="http://schemas.openxmlformats.org/drawingml/2006/main">
                  <a:graphicData uri="http://schemas.microsoft.com/office/word/2010/wordprocessingShape">
                    <wps:wsp>
                      <wps:cNvSpPr txBox="1"/>
                      <wps:spPr>
                        <a:xfrm>
                          <a:off x="0" y="0"/>
                          <a:ext cx="5410200" cy="5610225"/>
                        </a:xfrm>
                        <a:prstGeom prst="rect">
                          <a:avLst/>
                        </a:prstGeom>
                        <a:solidFill>
                          <a:schemeClr val="bg1"/>
                        </a:solidFill>
                        <a:ln w="38100">
                          <a:solidFill>
                            <a:srgbClr val="A2BDC1"/>
                          </a:solidFill>
                        </a:ln>
                      </wps:spPr>
                      <wps:txbx>
                        <w:txbxContent>
                          <w:p w14:paraId="369B2151" w14:textId="77777777" w:rsidR="00771D72" w:rsidRPr="00771D72" w:rsidRDefault="00771D72" w:rsidP="00771D72">
                            <w:pPr>
                              <w:pStyle w:val="Bulletindent2"/>
                              <w:numPr>
                                <w:ilvl w:val="0"/>
                                <w:numId w:val="0"/>
                              </w:numPr>
                              <w:rPr>
                                <w:rFonts w:cs="Arial"/>
                                <w:b/>
                                <w:bCs/>
                              </w:rPr>
                            </w:pPr>
                            <w:r w:rsidRPr="00771D72">
                              <w:rPr>
                                <w:rFonts w:cs="Arial"/>
                                <w:b/>
                                <w:bCs/>
                              </w:rPr>
                              <w:t>Note that this document is not NICE's final guidance on this technology. The recommendations in section 1 may change after consultation.</w:t>
                            </w:r>
                          </w:p>
                          <w:p w14:paraId="7859F46B" w14:textId="77777777" w:rsidR="00771D72" w:rsidRPr="00771D72" w:rsidRDefault="00771D72" w:rsidP="00771D72">
                            <w:pPr>
                              <w:pStyle w:val="Bulletindent2"/>
                              <w:numPr>
                                <w:ilvl w:val="0"/>
                                <w:numId w:val="0"/>
                              </w:numPr>
                              <w:ind w:left="284" w:hanging="284"/>
                              <w:rPr>
                                <w:rFonts w:cs="Arial"/>
                              </w:rPr>
                            </w:pPr>
                            <w:r w:rsidRPr="00771D72">
                              <w:rPr>
                                <w:rFonts w:cs="Arial"/>
                              </w:rPr>
                              <w:t>After consultation:</w:t>
                            </w:r>
                          </w:p>
                          <w:p w14:paraId="2E029E77" w14:textId="77777777" w:rsidR="00771D72" w:rsidRPr="00771D72" w:rsidRDefault="00771D72" w:rsidP="00771D72">
                            <w:pPr>
                              <w:pStyle w:val="Bulletleft1"/>
                              <w:tabs>
                                <w:tab w:val="clear" w:pos="284"/>
                                <w:tab w:val="num" w:pos="568"/>
                              </w:tabs>
                              <w:ind w:left="568"/>
                              <w:rPr>
                                <w:rFonts w:cs="Arial"/>
                              </w:rPr>
                            </w:pPr>
                            <w:r w:rsidRPr="00771D72">
                              <w:rPr>
                                <w:rFonts w:cs="Arial"/>
                              </w:rPr>
                              <w:t>The appraisal committee will meet again to consider the evidence, this appraisal consultation document and comments from the consultees.</w:t>
                            </w:r>
                          </w:p>
                          <w:p w14:paraId="3585FCCB" w14:textId="77777777" w:rsidR="00771D72" w:rsidRPr="00771D72" w:rsidRDefault="00771D72" w:rsidP="00771D72">
                            <w:pPr>
                              <w:pStyle w:val="Bulletleft1"/>
                              <w:tabs>
                                <w:tab w:val="clear" w:pos="284"/>
                                <w:tab w:val="num" w:pos="568"/>
                              </w:tabs>
                              <w:ind w:left="568"/>
                              <w:rPr>
                                <w:rFonts w:cs="Arial"/>
                              </w:rPr>
                            </w:pPr>
                            <w:r w:rsidRPr="00771D72">
                              <w:rPr>
                                <w:rFonts w:cs="Arial"/>
                              </w:rPr>
                              <w:t>At that meeting, the committee will also consider comments made by people who are not consultees.</w:t>
                            </w:r>
                          </w:p>
                          <w:p w14:paraId="703FCF1C" w14:textId="77777777" w:rsidR="00771D72" w:rsidRPr="00771D72" w:rsidRDefault="00771D72" w:rsidP="00771D72">
                            <w:pPr>
                              <w:pStyle w:val="Bulletleft1"/>
                              <w:tabs>
                                <w:tab w:val="clear" w:pos="284"/>
                                <w:tab w:val="num" w:pos="568"/>
                              </w:tabs>
                              <w:ind w:left="568"/>
                              <w:rPr>
                                <w:rFonts w:cs="Arial"/>
                              </w:rPr>
                            </w:pPr>
                            <w:r w:rsidRPr="00771D72">
                              <w:rPr>
                                <w:rFonts w:cs="Arial"/>
                              </w:rPr>
                              <w:t>After considering these comments, the committee will prepare the final appraisal document.</w:t>
                            </w:r>
                          </w:p>
                          <w:p w14:paraId="5AF95D6E" w14:textId="77777777" w:rsidR="00771D72" w:rsidRPr="00771D72" w:rsidRDefault="00771D72" w:rsidP="00771D72">
                            <w:pPr>
                              <w:numPr>
                                <w:ilvl w:val="0"/>
                                <w:numId w:val="8"/>
                              </w:numPr>
                              <w:tabs>
                                <w:tab w:val="clear" w:pos="284"/>
                                <w:tab w:val="num" w:pos="568"/>
                              </w:tabs>
                              <w:spacing w:after="240" w:line="360" w:lineRule="auto"/>
                              <w:ind w:left="568"/>
                              <w:rPr>
                                <w:rFonts w:ascii="Arial" w:hAnsi="Arial" w:cs="Arial"/>
                              </w:rPr>
                            </w:pPr>
                            <w:r w:rsidRPr="00771D72">
                              <w:rPr>
                                <w:rFonts w:ascii="Arial" w:hAnsi="Arial" w:cs="Arial"/>
                              </w:rPr>
                              <w:t xml:space="preserve">Subject to any appeal by consultees, the final appraisal document may be used as the basis for NICE’s guidance on using esketamine in the NHS in England. </w:t>
                            </w:r>
                          </w:p>
                          <w:p w14:paraId="30F724D0" w14:textId="77777777" w:rsidR="00771D72" w:rsidRPr="00771D72" w:rsidRDefault="00771D72" w:rsidP="00771D72">
                            <w:pPr>
                              <w:pStyle w:val="Bulletleft1last"/>
                              <w:numPr>
                                <w:ilvl w:val="0"/>
                                <w:numId w:val="0"/>
                              </w:numPr>
                              <w:ind w:left="284" w:hanging="284"/>
                            </w:pPr>
                            <w:r w:rsidRPr="00771D72">
                              <w:t xml:space="preserve">For further details, see </w:t>
                            </w:r>
                            <w:hyperlink r:id="rId10" w:history="1">
                              <w:r w:rsidRPr="00771D72">
                                <w:rPr>
                                  <w:rStyle w:val="Hyperlink"/>
                                </w:rPr>
                                <w:t>NICE’s guide to the processes of technology appraisal</w:t>
                              </w:r>
                            </w:hyperlink>
                            <w:r w:rsidRPr="00771D72">
                              <w:t>.</w:t>
                            </w:r>
                          </w:p>
                          <w:p w14:paraId="3CF80CB6" w14:textId="77777777" w:rsidR="00771D72" w:rsidRPr="00771D72" w:rsidRDefault="00771D72" w:rsidP="00771D72">
                            <w:pPr>
                              <w:pStyle w:val="Bulletindent2"/>
                              <w:numPr>
                                <w:ilvl w:val="0"/>
                                <w:numId w:val="0"/>
                              </w:numPr>
                              <w:ind w:left="284" w:hanging="284"/>
                              <w:rPr>
                                <w:rFonts w:cs="Arial"/>
                                <w:b/>
                                <w:bCs/>
                              </w:rPr>
                            </w:pPr>
                            <w:r w:rsidRPr="00771D72">
                              <w:rPr>
                                <w:rFonts w:cs="Arial"/>
                                <w:b/>
                                <w:bCs/>
                              </w:rPr>
                              <w:t>The key dates for this appraisal are:</w:t>
                            </w:r>
                          </w:p>
                          <w:p w14:paraId="130C6AE0" w14:textId="06782211" w:rsidR="00771D72" w:rsidRPr="00771D72" w:rsidRDefault="00771D72" w:rsidP="00771D72">
                            <w:pPr>
                              <w:pStyle w:val="Bulletindent2"/>
                              <w:numPr>
                                <w:ilvl w:val="0"/>
                                <w:numId w:val="0"/>
                              </w:numPr>
                              <w:ind w:left="284" w:hanging="284"/>
                              <w:rPr>
                                <w:rFonts w:cs="Arial"/>
                              </w:rPr>
                            </w:pPr>
                            <w:r w:rsidRPr="00771D72">
                              <w:rPr>
                                <w:rFonts w:cs="Arial"/>
                              </w:rPr>
                              <w:t xml:space="preserve">Closing date for comments: </w:t>
                            </w:r>
                            <w:r w:rsidR="000845AA">
                              <w:rPr>
                                <w:rFonts w:cs="Arial"/>
                              </w:rPr>
                              <w:t>11</w:t>
                            </w:r>
                            <w:r w:rsidRPr="00771D72">
                              <w:rPr>
                                <w:rFonts w:cs="Arial"/>
                              </w:rPr>
                              <w:t xml:space="preserve"> January 2021</w:t>
                            </w:r>
                          </w:p>
                          <w:p w14:paraId="5E6CD529" w14:textId="77777777" w:rsidR="00771D72" w:rsidRPr="00771D72" w:rsidRDefault="00771D72" w:rsidP="00771D72">
                            <w:pPr>
                              <w:pStyle w:val="Bulletindent2"/>
                              <w:numPr>
                                <w:ilvl w:val="0"/>
                                <w:numId w:val="0"/>
                              </w:numPr>
                              <w:ind w:left="284" w:hanging="284"/>
                              <w:rPr>
                                <w:rFonts w:cs="Arial"/>
                              </w:rPr>
                            </w:pPr>
                            <w:r w:rsidRPr="00771D72">
                              <w:rPr>
                                <w:rFonts w:cs="Arial"/>
                              </w:rPr>
                              <w:t>Third appraisal committee meeting: To be confirmed</w:t>
                            </w:r>
                          </w:p>
                          <w:p w14:paraId="103A722B" w14:textId="77777777" w:rsidR="00771D72" w:rsidRPr="00771D72" w:rsidRDefault="00771D72" w:rsidP="00771D72">
                            <w:pPr>
                              <w:pStyle w:val="NICEnormal"/>
                              <w:rPr>
                                <w:rFonts w:cs="Arial"/>
                              </w:rPr>
                            </w:pPr>
                            <w:r w:rsidRPr="00771D72">
                              <w:rPr>
                                <w:rFonts w:cs="Arial"/>
                              </w:rPr>
                              <w:t>Details of membership of the appraisal committee are given in 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50C28" id="_x0000_t202" coordsize="21600,21600" o:spt="202" path="m,l,21600r21600,l21600,xe">
                <v:stroke joinstyle="miter"/>
                <v:path gradientshapeok="t" o:connecttype="rect"/>
              </v:shapetype>
              <v:shape id="Text Box 2" o:spid="_x0000_s1027" type="#_x0000_t202" alt="Primary panel" style="position:absolute;margin-left:17.25pt;margin-top:2.2pt;width:426pt;height:44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AdWgIAAMEEAAAOAAAAZHJzL2Uyb0RvYy54bWysVE1vGjEQvVfqf7B8LwsU0gRliQhRqkoo&#10;QSJVzsbrBUu2xx0bdumv79gLJE1yqnrxzpefZ97M7PVNaw3bKwwaXMkHvT5nykmotNuU/OfT/ZdL&#10;zkIUrhIGnCr5QQV+M/386brxEzWELZhKISMQFyaNL/k2Rj8piiC3yorQA68cOWtAKyKpuCkqFA2h&#10;W1MM+/2LogGsPIJUIZD1rnPyacavayXjY10HFZkpOeUW84n5XKezmF6LyQaF32p5TEP8QxZWaEeP&#10;nqHuRBRsh/odlNUSIUAdexJsAXWtpco1UDWD/ptqVlvhVa6FyAn+TFP4f7DyYb9EpquSDzlzwlKL&#10;nlQb2S20jCyVCpLYWqK2Ag/MC6dM4qzxYUJXV54ux5aCqfcneyBjoqKt0aYvFcnIT+wfzoynJyQZ&#10;x6NBn9rImSTf+IKU4TjhFC/XPYb4XYFlSSg5Uksz02K/CLELPYWk1wIYXd1rY7KSxkjNDbK9oAFY&#10;b3KSBP5XlHGsKfnXywEl8h4CN+szwGx4ezf/AIMQjaOsEy1d+UmK7brN1J6pWUN1IMYQujkMXt5r&#10;qmohQlwKpMEjJmiZ4iMdtQHKCo4SZ1vA3x/ZUzzNA3k5a2iQSx5+7QQqzswPR5NyNRiN0uRnZTT+&#10;NiQFX3vWrz1uZ+dAVA1obb3MYoqP5iTWCPaZdm6WXiWXcJLeLnk8ifPYrRftrFSzWQ6iWfciLtzK&#10;ywSdSE49e2qfBfpjYyPNxAOcRl5M3vS3i003Hcx2EWqdm5947lg90k97ksfnuNNpEV/rOerlzzP9&#10;AwAA//8DAFBLAwQUAAYACAAAACEAOHqExd0AAAAIAQAADwAAAGRycy9kb3ducmV2LnhtbEyPwU7D&#10;MBBE70j8g7VI3KgDpMWEOBVC6okTLaAe3WRJIuJ1artN0q9neyq3Hc1o9k2+HG0njuhD60jD/SwB&#10;gVS6qqVaw+dmdadAhGioMp0j1DBhgGVxfZWbrHIDfeBxHWvBJRQyo6GJsc+kDGWD1oSZ65HY+3He&#10;msjS17LyZuBy28mHJFlIa1riD43p8a3B8nd9sBq+Vu/e2/1pI6fhFLfzb7XfTkrr25vx9QVExDFe&#10;wnDGZ3QomGnnDlQF0Wl4TOec1JCmINhWasF6dz6enkEWufw/oPgDAAD//wMAUEsBAi0AFAAGAAgA&#10;AAAhALaDOJL+AAAA4QEAABMAAAAAAAAAAAAAAAAAAAAAAFtDb250ZW50X1R5cGVzXS54bWxQSwEC&#10;LQAUAAYACAAAACEAOP0h/9YAAACUAQAACwAAAAAAAAAAAAAAAAAvAQAAX3JlbHMvLnJlbHNQSwEC&#10;LQAUAAYACAAAACEAVg5QHVoCAADBBAAADgAAAAAAAAAAAAAAAAAuAgAAZHJzL2Uyb0RvYy54bWxQ&#10;SwECLQAUAAYACAAAACEAOHqExd0AAAAIAQAADwAAAAAAAAAAAAAAAAC0BAAAZHJzL2Rvd25yZXYu&#10;eG1sUEsFBgAAAAAEAAQA8wAAAL4FAAAAAA==&#10;" fillcolor="white [3212]" strokecolor="#a2bdc1" strokeweight="3pt">
                <v:textbox>
                  <w:txbxContent>
                    <w:p w14:paraId="369B2151" w14:textId="77777777" w:rsidR="00771D72" w:rsidRPr="00771D72" w:rsidRDefault="00771D72" w:rsidP="00771D72">
                      <w:pPr>
                        <w:pStyle w:val="Bulletindent2"/>
                        <w:numPr>
                          <w:ilvl w:val="0"/>
                          <w:numId w:val="0"/>
                        </w:numPr>
                        <w:rPr>
                          <w:rFonts w:cs="Arial"/>
                          <w:b/>
                          <w:bCs/>
                        </w:rPr>
                      </w:pPr>
                      <w:r w:rsidRPr="00771D72">
                        <w:rPr>
                          <w:rFonts w:cs="Arial"/>
                          <w:b/>
                          <w:bCs/>
                        </w:rPr>
                        <w:t>Note that this document is not NICE's final guidance on this technology. The recommendations in section 1 may change after consultation.</w:t>
                      </w:r>
                    </w:p>
                    <w:p w14:paraId="7859F46B" w14:textId="77777777" w:rsidR="00771D72" w:rsidRPr="00771D72" w:rsidRDefault="00771D72" w:rsidP="00771D72">
                      <w:pPr>
                        <w:pStyle w:val="Bulletindent2"/>
                        <w:numPr>
                          <w:ilvl w:val="0"/>
                          <w:numId w:val="0"/>
                        </w:numPr>
                        <w:ind w:left="284" w:hanging="284"/>
                        <w:rPr>
                          <w:rFonts w:cs="Arial"/>
                        </w:rPr>
                      </w:pPr>
                      <w:r w:rsidRPr="00771D72">
                        <w:rPr>
                          <w:rFonts w:cs="Arial"/>
                        </w:rPr>
                        <w:t>After consultation:</w:t>
                      </w:r>
                    </w:p>
                    <w:p w14:paraId="2E029E77" w14:textId="77777777" w:rsidR="00771D72" w:rsidRPr="00771D72" w:rsidRDefault="00771D72" w:rsidP="00771D72">
                      <w:pPr>
                        <w:pStyle w:val="Bulletleft1"/>
                        <w:tabs>
                          <w:tab w:val="clear" w:pos="284"/>
                          <w:tab w:val="num" w:pos="568"/>
                        </w:tabs>
                        <w:ind w:left="568"/>
                        <w:rPr>
                          <w:rFonts w:cs="Arial"/>
                        </w:rPr>
                      </w:pPr>
                      <w:r w:rsidRPr="00771D72">
                        <w:rPr>
                          <w:rFonts w:cs="Arial"/>
                        </w:rPr>
                        <w:t>The appraisal committee will meet again to consider the evidence, this appraisal consultation document and comments from the consultees.</w:t>
                      </w:r>
                    </w:p>
                    <w:p w14:paraId="3585FCCB" w14:textId="77777777" w:rsidR="00771D72" w:rsidRPr="00771D72" w:rsidRDefault="00771D72" w:rsidP="00771D72">
                      <w:pPr>
                        <w:pStyle w:val="Bulletleft1"/>
                        <w:tabs>
                          <w:tab w:val="clear" w:pos="284"/>
                          <w:tab w:val="num" w:pos="568"/>
                        </w:tabs>
                        <w:ind w:left="568"/>
                        <w:rPr>
                          <w:rFonts w:cs="Arial"/>
                        </w:rPr>
                      </w:pPr>
                      <w:r w:rsidRPr="00771D72">
                        <w:rPr>
                          <w:rFonts w:cs="Arial"/>
                        </w:rPr>
                        <w:t>At that meeting, the committee will also consider comments made by people who are not consultees.</w:t>
                      </w:r>
                    </w:p>
                    <w:p w14:paraId="703FCF1C" w14:textId="77777777" w:rsidR="00771D72" w:rsidRPr="00771D72" w:rsidRDefault="00771D72" w:rsidP="00771D72">
                      <w:pPr>
                        <w:pStyle w:val="Bulletleft1"/>
                        <w:tabs>
                          <w:tab w:val="clear" w:pos="284"/>
                          <w:tab w:val="num" w:pos="568"/>
                        </w:tabs>
                        <w:ind w:left="568"/>
                        <w:rPr>
                          <w:rFonts w:cs="Arial"/>
                        </w:rPr>
                      </w:pPr>
                      <w:r w:rsidRPr="00771D72">
                        <w:rPr>
                          <w:rFonts w:cs="Arial"/>
                        </w:rPr>
                        <w:t>After considering these comments, the committee will prepare the final appraisal document.</w:t>
                      </w:r>
                    </w:p>
                    <w:p w14:paraId="5AF95D6E" w14:textId="77777777" w:rsidR="00771D72" w:rsidRPr="00771D72" w:rsidRDefault="00771D72" w:rsidP="00771D72">
                      <w:pPr>
                        <w:numPr>
                          <w:ilvl w:val="0"/>
                          <w:numId w:val="8"/>
                        </w:numPr>
                        <w:tabs>
                          <w:tab w:val="clear" w:pos="284"/>
                          <w:tab w:val="num" w:pos="568"/>
                        </w:tabs>
                        <w:spacing w:after="240" w:line="360" w:lineRule="auto"/>
                        <w:ind w:left="568"/>
                        <w:rPr>
                          <w:rFonts w:ascii="Arial" w:hAnsi="Arial" w:cs="Arial"/>
                        </w:rPr>
                      </w:pPr>
                      <w:r w:rsidRPr="00771D72">
                        <w:rPr>
                          <w:rFonts w:ascii="Arial" w:hAnsi="Arial" w:cs="Arial"/>
                        </w:rPr>
                        <w:t xml:space="preserve">Subject to any appeal by consultees, the final appraisal document may be used as the basis for NICE’s guidance on using esketamine in the NHS in England. </w:t>
                      </w:r>
                    </w:p>
                    <w:p w14:paraId="30F724D0" w14:textId="77777777" w:rsidR="00771D72" w:rsidRPr="00771D72" w:rsidRDefault="00771D72" w:rsidP="00771D72">
                      <w:pPr>
                        <w:pStyle w:val="Bulletleft1last"/>
                        <w:numPr>
                          <w:ilvl w:val="0"/>
                          <w:numId w:val="0"/>
                        </w:numPr>
                        <w:ind w:left="284" w:hanging="284"/>
                      </w:pPr>
                      <w:r w:rsidRPr="00771D72">
                        <w:t xml:space="preserve">For further details, see </w:t>
                      </w:r>
                      <w:hyperlink r:id="rId11" w:history="1">
                        <w:r w:rsidRPr="00771D72">
                          <w:rPr>
                            <w:rStyle w:val="Hyperlink"/>
                          </w:rPr>
                          <w:t>NICE’s guide to the processes of technology appraisal</w:t>
                        </w:r>
                      </w:hyperlink>
                      <w:r w:rsidRPr="00771D72">
                        <w:t>.</w:t>
                      </w:r>
                    </w:p>
                    <w:p w14:paraId="3CF80CB6" w14:textId="77777777" w:rsidR="00771D72" w:rsidRPr="00771D72" w:rsidRDefault="00771D72" w:rsidP="00771D72">
                      <w:pPr>
                        <w:pStyle w:val="Bulletindent2"/>
                        <w:numPr>
                          <w:ilvl w:val="0"/>
                          <w:numId w:val="0"/>
                        </w:numPr>
                        <w:ind w:left="284" w:hanging="284"/>
                        <w:rPr>
                          <w:rFonts w:cs="Arial"/>
                          <w:b/>
                          <w:bCs/>
                        </w:rPr>
                      </w:pPr>
                      <w:r w:rsidRPr="00771D72">
                        <w:rPr>
                          <w:rFonts w:cs="Arial"/>
                          <w:b/>
                          <w:bCs/>
                        </w:rPr>
                        <w:t>The key dates for this appraisal are:</w:t>
                      </w:r>
                    </w:p>
                    <w:p w14:paraId="130C6AE0" w14:textId="06782211" w:rsidR="00771D72" w:rsidRPr="00771D72" w:rsidRDefault="00771D72" w:rsidP="00771D72">
                      <w:pPr>
                        <w:pStyle w:val="Bulletindent2"/>
                        <w:numPr>
                          <w:ilvl w:val="0"/>
                          <w:numId w:val="0"/>
                        </w:numPr>
                        <w:ind w:left="284" w:hanging="284"/>
                        <w:rPr>
                          <w:rFonts w:cs="Arial"/>
                        </w:rPr>
                      </w:pPr>
                      <w:r w:rsidRPr="00771D72">
                        <w:rPr>
                          <w:rFonts w:cs="Arial"/>
                        </w:rPr>
                        <w:t xml:space="preserve">Closing date for comments: </w:t>
                      </w:r>
                      <w:r w:rsidR="000845AA">
                        <w:rPr>
                          <w:rFonts w:cs="Arial"/>
                        </w:rPr>
                        <w:t>11</w:t>
                      </w:r>
                      <w:r w:rsidRPr="00771D72">
                        <w:rPr>
                          <w:rFonts w:cs="Arial"/>
                        </w:rPr>
                        <w:t xml:space="preserve"> January 2021</w:t>
                      </w:r>
                    </w:p>
                    <w:p w14:paraId="5E6CD529" w14:textId="77777777" w:rsidR="00771D72" w:rsidRPr="00771D72" w:rsidRDefault="00771D72" w:rsidP="00771D72">
                      <w:pPr>
                        <w:pStyle w:val="Bulletindent2"/>
                        <w:numPr>
                          <w:ilvl w:val="0"/>
                          <w:numId w:val="0"/>
                        </w:numPr>
                        <w:ind w:left="284" w:hanging="284"/>
                        <w:rPr>
                          <w:rFonts w:cs="Arial"/>
                        </w:rPr>
                      </w:pPr>
                      <w:r w:rsidRPr="00771D72">
                        <w:rPr>
                          <w:rFonts w:cs="Arial"/>
                        </w:rPr>
                        <w:t>Third appraisal committee meeting: To be confirmed</w:t>
                      </w:r>
                    </w:p>
                    <w:p w14:paraId="103A722B" w14:textId="77777777" w:rsidR="00771D72" w:rsidRPr="00771D72" w:rsidRDefault="00771D72" w:rsidP="00771D72">
                      <w:pPr>
                        <w:pStyle w:val="NICEnormal"/>
                        <w:rPr>
                          <w:rFonts w:cs="Arial"/>
                        </w:rPr>
                      </w:pPr>
                      <w:r w:rsidRPr="00771D72">
                        <w:rPr>
                          <w:rFonts w:cs="Arial"/>
                        </w:rPr>
                        <w:t>Details of membership of the appraisal committee are given in section 5.</w:t>
                      </w:r>
                    </w:p>
                  </w:txbxContent>
                </v:textbox>
                <w10:wrap anchorx="margin"/>
              </v:shape>
            </w:pict>
          </mc:Fallback>
        </mc:AlternateContent>
      </w:r>
    </w:p>
    <w:p w14:paraId="721B3C7A" w14:textId="3A1254F1" w:rsidR="00771D72" w:rsidRDefault="00771D72" w:rsidP="00771D72">
      <w:pPr>
        <w:pStyle w:val="Numberedheading1"/>
        <w:numPr>
          <w:ilvl w:val="0"/>
          <w:numId w:val="0"/>
        </w:numPr>
      </w:pPr>
    </w:p>
    <w:p w14:paraId="0C755D20" w14:textId="1607F65F" w:rsidR="00771D72" w:rsidRDefault="00771D72" w:rsidP="00771D72">
      <w:pPr>
        <w:pStyle w:val="Numberedheading1"/>
        <w:numPr>
          <w:ilvl w:val="0"/>
          <w:numId w:val="0"/>
        </w:numPr>
      </w:pPr>
    </w:p>
    <w:p w14:paraId="5BAFEC9F" w14:textId="2F37DFBD" w:rsidR="00771D72" w:rsidRDefault="00771D72" w:rsidP="00771D72">
      <w:pPr>
        <w:pStyle w:val="Numberedheading1"/>
        <w:numPr>
          <w:ilvl w:val="0"/>
          <w:numId w:val="0"/>
        </w:numPr>
      </w:pPr>
    </w:p>
    <w:p w14:paraId="5F1BC11A" w14:textId="77777777" w:rsidR="00771D72" w:rsidRDefault="00771D72" w:rsidP="00771D72">
      <w:pPr>
        <w:pStyle w:val="Numberedheading1"/>
        <w:numPr>
          <w:ilvl w:val="0"/>
          <w:numId w:val="0"/>
        </w:numPr>
      </w:pPr>
    </w:p>
    <w:p w14:paraId="18B72CB3" w14:textId="77777777" w:rsidR="00771D72" w:rsidRDefault="00771D72" w:rsidP="00771D72">
      <w:pPr>
        <w:pStyle w:val="Numberedheading1"/>
        <w:numPr>
          <w:ilvl w:val="0"/>
          <w:numId w:val="0"/>
        </w:numPr>
      </w:pPr>
    </w:p>
    <w:p w14:paraId="4EA1B58B" w14:textId="77777777" w:rsidR="00771D72" w:rsidRDefault="00771D72" w:rsidP="00771D72">
      <w:pPr>
        <w:pStyle w:val="Numberedheading1"/>
        <w:numPr>
          <w:ilvl w:val="0"/>
          <w:numId w:val="0"/>
        </w:numPr>
      </w:pPr>
    </w:p>
    <w:p w14:paraId="1FF0315B" w14:textId="77777777" w:rsidR="00771D72" w:rsidRDefault="00771D72" w:rsidP="00771D72">
      <w:pPr>
        <w:pStyle w:val="Numberedheading1"/>
        <w:numPr>
          <w:ilvl w:val="0"/>
          <w:numId w:val="0"/>
        </w:numPr>
      </w:pPr>
    </w:p>
    <w:p w14:paraId="57FFB97A" w14:textId="77777777" w:rsidR="00771D72" w:rsidRDefault="00771D72" w:rsidP="00771D72">
      <w:pPr>
        <w:pStyle w:val="Numberedheading1"/>
        <w:numPr>
          <w:ilvl w:val="0"/>
          <w:numId w:val="0"/>
        </w:numPr>
      </w:pPr>
    </w:p>
    <w:p w14:paraId="00B71B75" w14:textId="77777777" w:rsidR="00771D72" w:rsidRDefault="00771D72" w:rsidP="00771D72">
      <w:pPr>
        <w:pStyle w:val="Numberedheading1"/>
        <w:numPr>
          <w:ilvl w:val="0"/>
          <w:numId w:val="0"/>
        </w:numPr>
      </w:pPr>
    </w:p>
    <w:p w14:paraId="53728A13" w14:textId="77777777" w:rsidR="00771D72" w:rsidRDefault="00771D72" w:rsidP="00771D72">
      <w:pPr>
        <w:pStyle w:val="Numberedheading1"/>
        <w:numPr>
          <w:ilvl w:val="0"/>
          <w:numId w:val="0"/>
        </w:numPr>
      </w:pPr>
    </w:p>
    <w:p w14:paraId="5073AF13" w14:textId="77777777" w:rsidR="00771D72" w:rsidRDefault="00771D72" w:rsidP="00771D72">
      <w:pPr>
        <w:pStyle w:val="Numberedheading1"/>
        <w:numPr>
          <w:ilvl w:val="0"/>
          <w:numId w:val="0"/>
        </w:numPr>
        <w:ind w:left="1134"/>
      </w:pPr>
    </w:p>
    <w:p w14:paraId="09C07EDA" w14:textId="77777777" w:rsidR="00771D72" w:rsidRDefault="00771D72" w:rsidP="00771D72">
      <w:pPr>
        <w:pStyle w:val="Numberedheading1"/>
        <w:numPr>
          <w:ilvl w:val="0"/>
          <w:numId w:val="0"/>
        </w:numPr>
      </w:pPr>
    </w:p>
    <w:p w14:paraId="7D994DD6" w14:textId="77777777" w:rsidR="00771D72" w:rsidRDefault="00771D72" w:rsidP="00771D72">
      <w:pPr>
        <w:pStyle w:val="Numberedheading1"/>
        <w:numPr>
          <w:ilvl w:val="0"/>
          <w:numId w:val="0"/>
        </w:numPr>
      </w:pPr>
    </w:p>
    <w:p w14:paraId="65C34052" w14:textId="77777777" w:rsidR="00771D72" w:rsidRDefault="00771D72" w:rsidP="00771D72">
      <w:pPr>
        <w:pStyle w:val="Numberedheading1"/>
        <w:numPr>
          <w:ilvl w:val="0"/>
          <w:numId w:val="0"/>
        </w:numPr>
      </w:pPr>
    </w:p>
    <w:p w14:paraId="7FC8B253" w14:textId="77777777" w:rsidR="00771D72" w:rsidRDefault="00771D72" w:rsidP="00771D72">
      <w:pPr>
        <w:pStyle w:val="Numberedheading1"/>
        <w:numPr>
          <w:ilvl w:val="0"/>
          <w:numId w:val="0"/>
        </w:numPr>
      </w:pPr>
    </w:p>
    <w:p w14:paraId="04BFCBCC" w14:textId="77777777" w:rsidR="00771D72" w:rsidRDefault="00771D72" w:rsidP="00771D72">
      <w:pPr>
        <w:pStyle w:val="Numberedheading1"/>
        <w:numPr>
          <w:ilvl w:val="0"/>
          <w:numId w:val="0"/>
        </w:numPr>
      </w:pPr>
    </w:p>
    <w:p w14:paraId="57808490" w14:textId="516E04ED" w:rsidR="007A2801" w:rsidRPr="00654786" w:rsidRDefault="00B379C5" w:rsidP="00654786">
      <w:pPr>
        <w:pStyle w:val="Numberedheading1"/>
      </w:pPr>
      <w:r>
        <w:lastRenderedPageBreak/>
        <w:t>Recommendations</w:t>
      </w:r>
    </w:p>
    <w:p w14:paraId="01DF280D" w14:textId="2C53A271" w:rsidR="00ED534D" w:rsidRDefault="00172BB8" w:rsidP="007A2801">
      <w:pPr>
        <w:pStyle w:val="Numberedlevel2text"/>
        <w:numPr>
          <w:ilvl w:val="1"/>
          <w:numId w:val="14"/>
        </w:numPr>
        <w:rPr>
          <w:lang w:eastAsia="en-GB"/>
        </w:rPr>
      </w:pPr>
      <w:bookmarkStart w:id="1" w:name="_Toc381620808"/>
      <w:bookmarkStart w:id="2" w:name="_Toc381622280"/>
      <w:bookmarkStart w:id="3" w:name="_Toc381622515"/>
      <w:bookmarkStart w:id="4" w:name="_Toc418587316"/>
      <w:bookmarkStart w:id="5" w:name="_Toc418595430"/>
      <w:bookmarkStart w:id="6" w:name="_Toc453860116"/>
      <w:bookmarkStart w:id="7" w:name="_Toc453862081"/>
      <w:bookmarkStart w:id="8" w:name="_Toc453925699"/>
      <w:bookmarkStart w:id="9" w:name="_Toc482372136"/>
      <w:bookmarkStart w:id="10" w:name="_Toc488151979"/>
      <w:r>
        <w:rPr>
          <w:lang w:val="en-GB" w:eastAsia="en-GB"/>
        </w:rPr>
        <w:t>Bempedoic acid</w:t>
      </w:r>
      <w:r w:rsidR="00E80171">
        <w:rPr>
          <w:lang w:val="en-GB" w:eastAsia="en-GB"/>
        </w:rPr>
        <w:t xml:space="preserve"> </w:t>
      </w:r>
      <w:r>
        <w:rPr>
          <w:lang w:val="en-GB" w:eastAsia="en-GB"/>
        </w:rPr>
        <w:t>is not recommended, within its</w:t>
      </w:r>
      <w:r w:rsidR="00E80171">
        <w:rPr>
          <w:lang w:val="en-GB" w:eastAsia="en-GB"/>
        </w:rPr>
        <w:t xml:space="preserve"> </w:t>
      </w:r>
      <w:hyperlink w:anchor="_Marketing__" w:history="1">
        <w:r w:rsidR="00E80171" w:rsidRPr="00E80171">
          <w:rPr>
            <w:rStyle w:val="Hyperlink"/>
            <w:lang w:val="en-GB" w:eastAsia="en-GB"/>
          </w:rPr>
          <w:t>marketing authorisations</w:t>
        </w:r>
      </w:hyperlink>
      <w:r>
        <w:rPr>
          <w:lang w:val="en-GB" w:eastAsia="en-GB"/>
        </w:rPr>
        <w:t xml:space="preserve">, </w:t>
      </w:r>
      <w:r w:rsidR="007A2801" w:rsidRPr="008C5133">
        <w:rPr>
          <w:lang w:eastAsia="en-GB"/>
        </w:rPr>
        <w:t>for treating</w:t>
      </w:r>
      <w:r w:rsidR="007A2801" w:rsidRPr="00FB59B7">
        <w:rPr>
          <w:lang w:eastAsia="en-GB"/>
        </w:rPr>
        <w:t xml:space="preserve"> </w:t>
      </w:r>
      <w:r w:rsidR="007870B4" w:rsidRPr="00003599">
        <w:rPr>
          <w:lang w:val="en-GB"/>
        </w:rPr>
        <w:t>primary hypercholesterolaemia (heterozygous familial and non-familial) or mixed dyslipidaemia, as an adjunct to diet</w:t>
      </w:r>
      <w:r w:rsidR="007A2801">
        <w:t xml:space="preserve"> in </w:t>
      </w:r>
      <w:r w:rsidR="007870B4">
        <w:rPr>
          <w:rStyle w:val="Numberedlevel2textChar"/>
          <w:bCs/>
          <w:iCs/>
          <w:lang w:val="en-GB"/>
        </w:rPr>
        <w:t>adults</w:t>
      </w:r>
      <w:r w:rsidR="007A2801" w:rsidRPr="008C5133">
        <w:rPr>
          <w:lang w:eastAsia="en-GB"/>
        </w:rPr>
        <w:t>.</w:t>
      </w:r>
      <w:bookmarkEnd w:id="1"/>
      <w:bookmarkEnd w:id="2"/>
      <w:bookmarkEnd w:id="3"/>
      <w:bookmarkEnd w:id="4"/>
      <w:bookmarkEnd w:id="5"/>
      <w:bookmarkEnd w:id="6"/>
      <w:bookmarkEnd w:id="7"/>
      <w:bookmarkEnd w:id="8"/>
      <w:bookmarkEnd w:id="9"/>
      <w:bookmarkEnd w:id="10"/>
    </w:p>
    <w:p w14:paraId="630365CD" w14:textId="472ECA9C" w:rsidR="00172BB8" w:rsidRDefault="00172BB8" w:rsidP="007A2801">
      <w:pPr>
        <w:pStyle w:val="Numberedlevel2text"/>
        <w:numPr>
          <w:ilvl w:val="1"/>
          <w:numId w:val="1"/>
        </w:numPr>
      </w:pPr>
      <w:bookmarkStart w:id="11" w:name="_Toc381620809"/>
      <w:bookmarkStart w:id="12" w:name="_Toc381622281"/>
      <w:bookmarkStart w:id="13" w:name="_Toc381622516"/>
      <w:bookmarkStart w:id="14" w:name="_Toc418587317"/>
      <w:bookmarkStart w:id="15" w:name="_Toc418595431"/>
      <w:bookmarkStart w:id="16" w:name="_Toc453860117"/>
      <w:bookmarkStart w:id="17" w:name="_Toc453862082"/>
      <w:bookmarkStart w:id="18" w:name="_Toc453925700"/>
      <w:bookmarkStart w:id="19" w:name="_Toc482372137"/>
      <w:bookmarkStart w:id="20" w:name="_Toc488151980"/>
      <w:r w:rsidRPr="0009129B">
        <w:t>Th</w:t>
      </w:r>
      <w:r w:rsidR="00E80171">
        <w:rPr>
          <w:lang w:val="en-GB"/>
        </w:rPr>
        <w:t>is</w:t>
      </w:r>
      <w:r>
        <w:t xml:space="preserve"> recommendation</w:t>
      </w:r>
      <w:r>
        <w:rPr>
          <w:lang w:val="en-GB"/>
        </w:rPr>
        <w:t xml:space="preserve"> </w:t>
      </w:r>
      <w:r w:rsidR="00E80171">
        <w:rPr>
          <w:lang w:val="en-GB"/>
        </w:rPr>
        <w:t xml:space="preserve">is </w:t>
      </w:r>
      <w:r w:rsidRPr="0009129B">
        <w:t xml:space="preserve">not intended to affect </w:t>
      </w:r>
      <w:r w:rsidRPr="006A2D99">
        <w:t xml:space="preserve">treatment with </w:t>
      </w:r>
      <w:r>
        <w:rPr>
          <w:lang w:val="en-GB"/>
        </w:rPr>
        <w:t>bempedoic acid</w:t>
      </w:r>
      <w:r w:rsidR="00E80171">
        <w:rPr>
          <w:lang w:val="en-GB"/>
        </w:rPr>
        <w:t xml:space="preserve"> with ezetimibe</w:t>
      </w:r>
      <w:r w:rsidR="00862E0C">
        <w:rPr>
          <w:lang w:val="en-GB"/>
        </w:rPr>
        <w:t xml:space="preserve"> </w:t>
      </w:r>
      <w:r>
        <w:t xml:space="preserve">that </w:t>
      </w:r>
      <w:r w:rsidRPr="006A2D99">
        <w:t>was started in the NHS befo</w:t>
      </w:r>
      <w:r>
        <w:t xml:space="preserve">re this guidance was published. People having treatment outside </w:t>
      </w:r>
      <w:r w:rsidR="00E80171">
        <w:rPr>
          <w:lang w:val="en-GB"/>
        </w:rPr>
        <w:t>this</w:t>
      </w:r>
      <w:r w:rsidR="00E80171">
        <w:t xml:space="preserve"> </w:t>
      </w:r>
      <w:r>
        <w:t>recommendation</w:t>
      </w:r>
      <w:r>
        <w:rPr>
          <w:lang w:val="en-GB"/>
        </w:rPr>
        <w:t xml:space="preserve"> </w:t>
      </w:r>
      <w:r>
        <w:t xml:space="preserve">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bookmarkEnd w:id="11"/>
    <w:bookmarkEnd w:id="12"/>
    <w:bookmarkEnd w:id="13"/>
    <w:bookmarkEnd w:id="14"/>
    <w:bookmarkEnd w:id="15"/>
    <w:bookmarkEnd w:id="16"/>
    <w:bookmarkEnd w:id="17"/>
    <w:bookmarkEnd w:id="18"/>
    <w:bookmarkEnd w:id="19"/>
    <w:bookmarkEnd w:id="20"/>
    <w:p w14:paraId="79AE36AB" w14:textId="100DC73A" w:rsidR="00C11F58" w:rsidRDefault="00C11F58" w:rsidP="008522C6">
      <w:pPr>
        <w:pStyle w:val="NICEnormal"/>
        <w:rPr>
          <w:b/>
        </w:rPr>
      </w:pPr>
      <w:r w:rsidRPr="008522C6">
        <w:rPr>
          <w:b/>
        </w:rPr>
        <w:t>Why the committee made these recommendations</w:t>
      </w:r>
    </w:p>
    <w:p w14:paraId="6D287260" w14:textId="22856124" w:rsidR="00E51EA9" w:rsidRDefault="00144E72" w:rsidP="00710E39">
      <w:pPr>
        <w:pStyle w:val="NICEnormal"/>
      </w:pPr>
      <w:r>
        <w:t>C</w:t>
      </w:r>
      <w:r w:rsidR="00115E15">
        <w:t xml:space="preserve">urrent treatment for </w:t>
      </w:r>
      <w:r w:rsidR="00115E15" w:rsidRPr="00003599">
        <w:t>primary hypercholesterolaemia (heterozygous familial and non-familial) or mixed dyslipidaemia</w:t>
      </w:r>
      <w:r>
        <w:t xml:space="preserve"> includes statins for lowering </w:t>
      </w:r>
      <w:r w:rsidR="00F75679">
        <w:t>l</w:t>
      </w:r>
      <w:r w:rsidR="00F75679" w:rsidRPr="00F75679">
        <w:t>ow</w:t>
      </w:r>
      <w:r w:rsidR="00F75679" w:rsidRPr="00F75679">
        <w:rPr>
          <w:rFonts w:ascii="Cambria Math" w:hAnsi="Cambria Math" w:cs="Cambria Math"/>
        </w:rPr>
        <w:t>‑</w:t>
      </w:r>
      <w:r w:rsidR="00F75679" w:rsidRPr="00F75679">
        <w:t xml:space="preserve">density lipoprotein </w:t>
      </w:r>
      <w:r w:rsidR="005E0678">
        <w:t>cholesterol</w:t>
      </w:r>
      <w:r w:rsidR="00F75679">
        <w:t xml:space="preserve"> (LDL-C) </w:t>
      </w:r>
      <w:r>
        <w:t xml:space="preserve">levels. </w:t>
      </w:r>
      <w:r w:rsidR="002F1769">
        <w:t>E</w:t>
      </w:r>
      <w:r>
        <w:t>zetimibe and either alirocumab or evolocumab</w:t>
      </w:r>
      <w:r w:rsidR="002F1769">
        <w:t xml:space="preserve"> may be added</w:t>
      </w:r>
      <w:r>
        <w:t xml:space="preserve"> when patients</w:t>
      </w:r>
      <w:r w:rsidR="002F1769">
        <w:t>’</w:t>
      </w:r>
      <w:r>
        <w:t xml:space="preserve"> LDL-C </w:t>
      </w:r>
      <w:r w:rsidR="002F1769">
        <w:t xml:space="preserve">levels are not lowered enough </w:t>
      </w:r>
      <w:r>
        <w:t>with the maximally tolerated dose</w:t>
      </w:r>
      <w:r w:rsidR="00F760D9">
        <w:t xml:space="preserve"> of statins</w:t>
      </w:r>
      <w:r>
        <w:t>.</w:t>
      </w:r>
      <w:r w:rsidR="00E51EA9">
        <w:t xml:space="preserve"> </w:t>
      </w:r>
      <w:r w:rsidR="003A213D">
        <w:t>If it had been recommended, b</w:t>
      </w:r>
      <w:r w:rsidR="00E51EA9">
        <w:t>empedoic acid</w:t>
      </w:r>
      <w:r w:rsidR="003A213D">
        <w:t xml:space="preserve"> with ezetimibe</w:t>
      </w:r>
      <w:r w:rsidR="00E51EA9">
        <w:t xml:space="preserve"> </w:t>
      </w:r>
      <w:r w:rsidR="003A213D">
        <w:t>would be used</w:t>
      </w:r>
      <w:r w:rsidR="00E51EA9">
        <w:t xml:space="preserve"> when satins are contraindicated or not tolerated, and </w:t>
      </w:r>
      <w:r w:rsidR="00A20BC8">
        <w:t xml:space="preserve">when </w:t>
      </w:r>
      <w:r w:rsidR="00E51EA9">
        <w:t>ezetimibe alone does not control LDL-C well enough</w:t>
      </w:r>
      <w:r w:rsidR="00BB71D0">
        <w:t>.</w:t>
      </w:r>
    </w:p>
    <w:p w14:paraId="790A07B8" w14:textId="6CAEEFD7" w:rsidR="00144E72" w:rsidRDefault="00E51EA9" w:rsidP="00710E39">
      <w:pPr>
        <w:pStyle w:val="NICEnormal"/>
      </w:pPr>
      <w:r>
        <w:t xml:space="preserve">Clinical trial evidence suggests that bempedoic acid </w:t>
      </w:r>
      <w:r w:rsidR="003A213D">
        <w:t>with ezetimibe</w:t>
      </w:r>
      <w:r>
        <w:t xml:space="preserve"> may help people lower their LDL-C levels when other lipid-lowering therapies have not reduced them enough. </w:t>
      </w:r>
      <w:r w:rsidR="003A213D">
        <w:t>But, t</w:t>
      </w:r>
      <w:r w:rsidR="006907ED">
        <w:t>here is no data directly comparing bempedoic acid</w:t>
      </w:r>
      <w:r w:rsidR="00F2640D">
        <w:t xml:space="preserve"> </w:t>
      </w:r>
      <w:r w:rsidR="003A213D">
        <w:t>with ezetimibe</w:t>
      </w:r>
      <w:r w:rsidR="006907ED">
        <w:t xml:space="preserve"> with </w:t>
      </w:r>
      <w:r w:rsidR="00522419">
        <w:t>either alirocumab or evolocumab</w:t>
      </w:r>
      <w:r w:rsidR="00767A46">
        <w:t>.</w:t>
      </w:r>
      <w:r w:rsidR="00DC2AEA">
        <w:t xml:space="preserve"> </w:t>
      </w:r>
      <w:r w:rsidR="003A213D">
        <w:t>A</w:t>
      </w:r>
      <w:r w:rsidR="00517C9C">
        <w:t xml:space="preserve">n indirect comparison of </w:t>
      </w:r>
      <w:r w:rsidR="00696F63">
        <w:t xml:space="preserve">trials </w:t>
      </w:r>
      <w:r w:rsidR="00517C9C">
        <w:t>suggests that bempedoic acid</w:t>
      </w:r>
      <w:r w:rsidR="003A213D">
        <w:rPr>
          <w:rFonts w:cs="Arial"/>
        </w:rPr>
        <w:t xml:space="preserve"> with ezetemibe</w:t>
      </w:r>
      <w:r w:rsidR="00517C9C">
        <w:t xml:space="preserve"> may not be as effective at reducing LDL-C levels as alirocumab or evolocumab.</w:t>
      </w:r>
    </w:p>
    <w:p w14:paraId="17BC1057" w14:textId="7D655B93" w:rsidR="009838F2" w:rsidRPr="009E6729" w:rsidRDefault="005E6D3B" w:rsidP="00710E39">
      <w:pPr>
        <w:pStyle w:val="NICEnormal"/>
        <w:rPr>
          <w:lang w:eastAsia="en-GB"/>
        </w:rPr>
      </w:pPr>
      <w:r>
        <w:t>T</w:t>
      </w:r>
      <w:r w:rsidR="006907ED">
        <w:t>he cost-effectiveness estimates for bempedoic acid</w:t>
      </w:r>
      <w:r w:rsidR="0049761B">
        <w:t xml:space="preserve"> </w:t>
      </w:r>
      <w:r w:rsidR="00D85D9C">
        <w:t>with ezetimibe</w:t>
      </w:r>
      <w:r w:rsidR="00B82EA0">
        <w:t xml:space="preserve"> </w:t>
      </w:r>
      <w:r w:rsidR="00DC2AEA">
        <w:rPr>
          <w:lang w:eastAsia="en-GB"/>
        </w:rPr>
        <w:t xml:space="preserve">are </w:t>
      </w:r>
      <w:r w:rsidR="001F738E">
        <w:rPr>
          <w:lang w:eastAsia="en-GB"/>
        </w:rPr>
        <w:t>not</w:t>
      </w:r>
      <w:r w:rsidR="009838F2">
        <w:rPr>
          <w:lang w:eastAsia="en-GB"/>
        </w:rPr>
        <w:t xml:space="preserve"> what NICE normally considers an acceptable use of NHS resources. So, </w:t>
      </w:r>
      <w:r w:rsidR="00D85D9C">
        <w:rPr>
          <w:lang w:eastAsia="en-GB"/>
        </w:rPr>
        <w:t>it</w:t>
      </w:r>
      <w:r w:rsidR="009838F2">
        <w:rPr>
          <w:lang w:eastAsia="en-GB"/>
        </w:rPr>
        <w:t xml:space="preserve"> cannot be recommended.</w:t>
      </w:r>
    </w:p>
    <w:p w14:paraId="23C75C13" w14:textId="0C258DC2" w:rsidR="00EA1CB1" w:rsidRDefault="00EA1CB1" w:rsidP="00EA1CB1">
      <w:pPr>
        <w:pStyle w:val="Numberedheading1"/>
        <w:keepLines/>
      </w:pPr>
      <w:r>
        <w:lastRenderedPageBreak/>
        <w:t xml:space="preserve">Information about </w:t>
      </w:r>
      <w:r w:rsidR="00003599">
        <w:t>bempedoic acid</w:t>
      </w:r>
    </w:p>
    <w:p w14:paraId="32241BF8" w14:textId="2E2F8C94" w:rsidR="00B82A82" w:rsidRDefault="00B82A82" w:rsidP="00B82A82">
      <w:pPr>
        <w:pStyle w:val="Heading2"/>
      </w:pPr>
      <w:bookmarkStart w:id="21" w:name="_Marketing__"/>
      <w:bookmarkEnd w:id="21"/>
      <w:r w:rsidRPr="00A76391">
        <w:t>Marketing authorisation indication</w:t>
      </w:r>
    </w:p>
    <w:p w14:paraId="7130DDD5" w14:textId="543554E0" w:rsidR="0049761B" w:rsidRPr="0049761B" w:rsidRDefault="0049761B" w:rsidP="00710E39">
      <w:pPr>
        <w:pStyle w:val="Heading3"/>
      </w:pPr>
      <w:bookmarkStart w:id="22" w:name="_Bempedoic_acid"/>
      <w:bookmarkEnd w:id="22"/>
      <w:r>
        <w:t>Bempedoic acid</w:t>
      </w:r>
    </w:p>
    <w:p w14:paraId="4B4C3C62" w14:textId="00BA098F" w:rsidR="0049761B" w:rsidRPr="0049761B" w:rsidRDefault="00003599" w:rsidP="0049761B">
      <w:pPr>
        <w:pStyle w:val="Numberedlevel2text"/>
        <w:rPr>
          <w:rStyle w:val="NICEnormalChar"/>
          <w:szCs w:val="28"/>
        </w:rPr>
      </w:pPr>
      <w:r>
        <w:rPr>
          <w:rStyle w:val="NICEnormalChar"/>
          <w:szCs w:val="28"/>
        </w:rPr>
        <w:t>Bempedoic acid</w:t>
      </w:r>
      <w:r w:rsidR="0049761B">
        <w:rPr>
          <w:rStyle w:val="NICEnormalChar"/>
          <w:szCs w:val="28"/>
        </w:rPr>
        <w:t xml:space="preserve"> (Nilemdo, Daiichi Sankyo)</w:t>
      </w:r>
      <w:r>
        <w:rPr>
          <w:rStyle w:val="NICEnormalChar"/>
          <w:szCs w:val="28"/>
        </w:rPr>
        <w:t xml:space="preserve"> </w:t>
      </w:r>
      <w:r w:rsidR="0049761B" w:rsidRPr="0049761B">
        <w:rPr>
          <w:rStyle w:val="NICEnormalChar"/>
          <w:szCs w:val="28"/>
        </w:rPr>
        <w:t xml:space="preserve">is </w:t>
      </w:r>
      <w:r w:rsidR="0049761B">
        <w:rPr>
          <w:rStyle w:val="NICEnormalChar"/>
          <w:szCs w:val="28"/>
        </w:rPr>
        <w:t>‘</w:t>
      </w:r>
      <w:r w:rsidR="0049761B" w:rsidRPr="0049761B">
        <w:rPr>
          <w:rStyle w:val="NICEnormalChar"/>
          <w:szCs w:val="28"/>
        </w:rPr>
        <w:t>indicated in adults with primary hypercholesterolaemia (heterozygous familial and non-familial) or mixed dyslipidaemia, as an adjunct to diet:</w:t>
      </w:r>
    </w:p>
    <w:p w14:paraId="46B55EBB" w14:textId="7547940B" w:rsidR="0049761B" w:rsidRPr="0049761B" w:rsidRDefault="0049761B" w:rsidP="00710E39">
      <w:pPr>
        <w:pStyle w:val="Bulletindent1"/>
        <w:rPr>
          <w:rStyle w:val="NICEnormalChar"/>
          <w:szCs w:val="28"/>
        </w:rPr>
      </w:pPr>
      <w:r w:rsidRPr="0049761B">
        <w:rPr>
          <w:rStyle w:val="NICEnormalChar"/>
          <w:szCs w:val="28"/>
        </w:rPr>
        <w:t>in combination with a statin or statin with other lipid-lowering therapies in patients unable to reach LDL-C goals with the maximum tolerated dose of a statin or</w:t>
      </w:r>
    </w:p>
    <w:p w14:paraId="07386859" w14:textId="56074FF9" w:rsidR="0049761B" w:rsidRPr="0049761B" w:rsidRDefault="0049761B" w:rsidP="00067D71">
      <w:pPr>
        <w:pStyle w:val="Bulletindent1"/>
        <w:rPr>
          <w:rStyle w:val="NICEnormalChar"/>
        </w:rPr>
      </w:pPr>
      <w:r w:rsidRPr="0049761B">
        <w:rPr>
          <w:rStyle w:val="NICEnormalChar"/>
          <w:szCs w:val="28"/>
        </w:rPr>
        <w:t>alone or in combination with other lipid-lowering therapies in patients who are statin</w:t>
      </w:r>
      <w:r w:rsidR="00730A5E">
        <w:rPr>
          <w:rStyle w:val="NICEnormalChar"/>
          <w:szCs w:val="28"/>
        </w:rPr>
        <w:t xml:space="preserve"> </w:t>
      </w:r>
      <w:r w:rsidRPr="0049761B">
        <w:rPr>
          <w:rStyle w:val="NICEnormalChar"/>
          <w:szCs w:val="28"/>
        </w:rPr>
        <w:t>intolerant, or for whom a statin is contraindicated’.</w:t>
      </w:r>
    </w:p>
    <w:p w14:paraId="5C4A2F88" w14:textId="2BA5DE03" w:rsidR="0049761B" w:rsidRPr="0049761B" w:rsidRDefault="0049761B" w:rsidP="00710E39">
      <w:pPr>
        <w:pStyle w:val="Heading3"/>
        <w:rPr>
          <w:rStyle w:val="NICEnormalChar"/>
        </w:rPr>
      </w:pPr>
      <w:bookmarkStart w:id="23" w:name="_Bempedoic_acid–ezetimibe"/>
      <w:bookmarkEnd w:id="23"/>
      <w:r>
        <w:rPr>
          <w:rStyle w:val="NICEnormalChar"/>
        </w:rPr>
        <w:t>Bempedoic acid–ezetimibe</w:t>
      </w:r>
    </w:p>
    <w:p w14:paraId="323248C0" w14:textId="77777777" w:rsidR="0049761B" w:rsidRPr="0049761B" w:rsidRDefault="0049761B" w:rsidP="0049761B">
      <w:pPr>
        <w:pStyle w:val="Numberedlevel2text"/>
        <w:rPr>
          <w:rStyle w:val="NICEnormalChar"/>
        </w:rPr>
      </w:pPr>
      <w:r>
        <w:rPr>
          <w:rStyle w:val="NICEnormalChar"/>
        </w:rPr>
        <w:t>Bempedoic acid</w:t>
      </w:r>
      <w:r>
        <w:rPr>
          <w:rStyle w:val="NICEnormalChar"/>
          <w:rFonts w:cs="Arial"/>
        </w:rPr>
        <w:t>–</w:t>
      </w:r>
      <w:r>
        <w:rPr>
          <w:rStyle w:val="NICEnormalChar"/>
        </w:rPr>
        <w:t>ezetimibe (Nustendi, Daiichi Sankyo) is ‘</w:t>
      </w:r>
      <w:r w:rsidRPr="0049761B">
        <w:rPr>
          <w:rStyle w:val="NICEnormalChar"/>
        </w:rPr>
        <w:t>indicated in adults with primary hypercholesterolaemia (heterozygous familial and non-familial) or mixed dyslipidaemia, as an adjunct to diet:</w:t>
      </w:r>
    </w:p>
    <w:p w14:paraId="4E1DB3CF" w14:textId="7193E589" w:rsidR="0049761B" w:rsidRPr="0049761B" w:rsidRDefault="0049761B" w:rsidP="00710E39">
      <w:pPr>
        <w:pStyle w:val="Bulletindent1"/>
        <w:rPr>
          <w:rStyle w:val="NICEnormalChar"/>
        </w:rPr>
      </w:pPr>
      <w:r w:rsidRPr="0049761B">
        <w:rPr>
          <w:rStyle w:val="NICEnormalChar"/>
        </w:rPr>
        <w:t>in combination with a statin in patients unable to reach LDL-C goals with the maximum tolerated dose of a statin in addition to ezetimibe</w:t>
      </w:r>
      <w:r w:rsidR="00730A5E">
        <w:rPr>
          <w:rStyle w:val="NICEnormalChar"/>
        </w:rPr>
        <w:t xml:space="preserve"> or</w:t>
      </w:r>
    </w:p>
    <w:p w14:paraId="6487DFAB" w14:textId="51D9B00E" w:rsidR="0049761B" w:rsidRPr="0049761B" w:rsidRDefault="0049761B" w:rsidP="00710E39">
      <w:pPr>
        <w:pStyle w:val="Bulletindent1"/>
        <w:rPr>
          <w:rStyle w:val="NICEnormalChar"/>
        </w:rPr>
      </w:pPr>
      <w:r w:rsidRPr="0049761B">
        <w:rPr>
          <w:rStyle w:val="NICEnormalChar"/>
        </w:rPr>
        <w:t>alone in patients who are either statin</w:t>
      </w:r>
      <w:r w:rsidR="00730A5E">
        <w:rPr>
          <w:rStyle w:val="NICEnormalChar"/>
        </w:rPr>
        <w:t xml:space="preserve"> </w:t>
      </w:r>
      <w:r w:rsidRPr="0049761B">
        <w:rPr>
          <w:rStyle w:val="NICEnormalChar"/>
        </w:rPr>
        <w:t>intolerant or for whom a statin is contraindicated, and are unable to reach LDL-C goals with ezetimibe alone,</w:t>
      </w:r>
    </w:p>
    <w:p w14:paraId="3F4D152D" w14:textId="1EE2C974" w:rsidR="0049761B" w:rsidRPr="0049761B" w:rsidRDefault="0049761B" w:rsidP="00710E39">
      <w:pPr>
        <w:pStyle w:val="Bulletindent1last"/>
        <w:rPr>
          <w:rStyle w:val="NICEnormalChar"/>
          <w:bCs/>
          <w:iCs/>
        </w:rPr>
      </w:pPr>
      <w:r w:rsidRPr="0049761B">
        <w:rPr>
          <w:rStyle w:val="NICEnormalChar"/>
        </w:rPr>
        <w:t>in patients already being treated with the combination of bempedoic acid and ezetimibe as separate tablets with or without statin</w:t>
      </w:r>
      <w:r>
        <w:rPr>
          <w:rStyle w:val="NICEnormalChar"/>
        </w:rPr>
        <w:t>’</w:t>
      </w:r>
      <w:r w:rsidRPr="0049761B">
        <w:rPr>
          <w:rStyle w:val="NICEnormalChar"/>
        </w:rPr>
        <w:t>.</w:t>
      </w:r>
    </w:p>
    <w:p w14:paraId="1BE7A55D" w14:textId="77777777" w:rsidR="00B82A82" w:rsidRDefault="00B82A82" w:rsidP="00B82A82">
      <w:pPr>
        <w:pStyle w:val="Heading2"/>
      </w:pPr>
      <w:r>
        <w:t>Dosage in the marketing authorisation</w:t>
      </w:r>
    </w:p>
    <w:p w14:paraId="20BF9FB1" w14:textId="77777777" w:rsidR="00B82A82" w:rsidRPr="002A6CFE" w:rsidRDefault="00FE2CE3" w:rsidP="001A5561">
      <w:pPr>
        <w:pStyle w:val="Numberedlevel2text"/>
        <w:numPr>
          <w:ilvl w:val="1"/>
          <w:numId w:val="1"/>
        </w:numPr>
        <w:rPr>
          <w:bCs w:val="0"/>
          <w:iCs w:val="0"/>
        </w:rPr>
      </w:pPr>
      <w:r w:rsidRPr="00570524">
        <w:t>The dosage schedule</w:t>
      </w:r>
      <w:r w:rsidR="002A6CFE">
        <w:rPr>
          <w:lang w:val="en-GB"/>
        </w:rPr>
        <w:t xml:space="preserve"> for bempedoic acid</w:t>
      </w:r>
      <w:r w:rsidRPr="00570524">
        <w:t xml:space="preserve"> is </w:t>
      </w:r>
      <w:r w:rsidR="00570524" w:rsidRPr="00570524">
        <w:t xml:space="preserve">available in </w:t>
      </w:r>
      <w:r w:rsidR="00570524">
        <w:t xml:space="preserve">the </w:t>
      </w:r>
      <w:hyperlink r:id="rId12" w:history="1">
        <w:r w:rsidR="00570524" w:rsidRPr="008E218F">
          <w:rPr>
            <w:rStyle w:val="Hyperlink"/>
          </w:rPr>
          <w:t>summary of product characteristics</w:t>
        </w:r>
      </w:hyperlink>
      <w:r w:rsidR="00570524">
        <w:t>.</w:t>
      </w:r>
    </w:p>
    <w:p w14:paraId="725DFC49" w14:textId="5B2BFB9D" w:rsidR="002A6CFE" w:rsidRPr="00570524" w:rsidRDefault="002A6CFE" w:rsidP="001A5561">
      <w:pPr>
        <w:pStyle w:val="Numberedlevel2text"/>
        <w:numPr>
          <w:ilvl w:val="1"/>
          <w:numId w:val="1"/>
        </w:numPr>
        <w:rPr>
          <w:rStyle w:val="Numberedlevel2textChar"/>
        </w:rPr>
      </w:pPr>
      <w:r>
        <w:rPr>
          <w:lang w:val="en-GB"/>
        </w:rPr>
        <w:t>The dosage schedule for bemp</w:t>
      </w:r>
      <w:r w:rsidR="008E218F">
        <w:rPr>
          <w:lang w:val="en-GB"/>
        </w:rPr>
        <w:t>ed</w:t>
      </w:r>
      <w:r>
        <w:rPr>
          <w:lang w:val="en-GB"/>
        </w:rPr>
        <w:t>oic acid</w:t>
      </w:r>
      <w:r w:rsidR="00696F63">
        <w:rPr>
          <w:rFonts w:cs="Arial"/>
          <w:lang w:val="en-GB"/>
        </w:rPr>
        <w:t>–</w:t>
      </w:r>
      <w:r>
        <w:rPr>
          <w:lang w:val="en-GB"/>
        </w:rPr>
        <w:t xml:space="preserve">ezetimibe is available in the </w:t>
      </w:r>
      <w:hyperlink r:id="rId13" w:history="1">
        <w:r w:rsidRPr="008E218F">
          <w:rPr>
            <w:rStyle w:val="Hyperlink"/>
            <w:lang w:val="en-GB"/>
          </w:rPr>
          <w:t>summary of product characteristics</w:t>
        </w:r>
      </w:hyperlink>
    </w:p>
    <w:p w14:paraId="1AA480CF" w14:textId="77777777" w:rsidR="00B82A82" w:rsidRDefault="00B82A82" w:rsidP="00B82A82">
      <w:pPr>
        <w:pStyle w:val="Heading2"/>
      </w:pPr>
      <w:r>
        <w:lastRenderedPageBreak/>
        <w:t>Price</w:t>
      </w:r>
    </w:p>
    <w:p w14:paraId="33EE3FDE" w14:textId="496A5D98" w:rsidR="00654786" w:rsidRDefault="00A33D39" w:rsidP="00B82A82">
      <w:pPr>
        <w:pStyle w:val="Numberedlevel2text"/>
        <w:numPr>
          <w:ilvl w:val="1"/>
          <w:numId w:val="1"/>
        </w:numPr>
      </w:pPr>
      <w:r>
        <w:rPr>
          <w:lang w:val="en-GB"/>
        </w:rPr>
        <w:t>Bempedoic acid and bempedoic acid</w:t>
      </w:r>
      <w:r w:rsidR="00B4268D">
        <w:rPr>
          <w:rFonts w:cs="Arial"/>
          <w:lang w:val="en-GB"/>
        </w:rPr>
        <w:t>–</w:t>
      </w:r>
      <w:r>
        <w:rPr>
          <w:lang w:val="en-GB"/>
        </w:rPr>
        <w:t>ezetimibe costs £55.44 per 28-pack, excluding VAT.</w:t>
      </w:r>
    </w:p>
    <w:p w14:paraId="56150A1A" w14:textId="77777777" w:rsidR="00F130AD" w:rsidRDefault="00222BEA" w:rsidP="00F130AD">
      <w:pPr>
        <w:pStyle w:val="Numberedheading1"/>
      </w:pPr>
      <w:r w:rsidRPr="000F48EC">
        <w:t>Co</w:t>
      </w:r>
      <w:r>
        <w:t>mmittee discussion</w:t>
      </w:r>
    </w:p>
    <w:p w14:paraId="00317B37" w14:textId="63F8F308" w:rsidR="002B5772" w:rsidRPr="00C63D4E" w:rsidRDefault="00BC7D9E" w:rsidP="002B5772">
      <w:pPr>
        <w:pStyle w:val="NICEnormal"/>
      </w:pPr>
      <w:r w:rsidRPr="007D7F83">
        <w:t xml:space="preserve">The </w:t>
      </w:r>
      <w:hyperlink w:anchor="_Appraisal_committee_members" w:history="1">
        <w:r w:rsidR="00343B53" w:rsidRPr="00767A46">
          <w:rPr>
            <w:rStyle w:val="Hyperlink"/>
          </w:rPr>
          <w:t>a</w:t>
        </w:r>
        <w:r w:rsidRPr="00767A46">
          <w:rPr>
            <w:rStyle w:val="Hyperlink"/>
          </w:rPr>
          <w:t xml:space="preserve">ppraisal </w:t>
        </w:r>
        <w:r w:rsidR="00343B53" w:rsidRPr="00767A46">
          <w:rPr>
            <w:rStyle w:val="Hyperlink"/>
          </w:rPr>
          <w:t>c</w:t>
        </w:r>
        <w:r w:rsidRPr="00767A46">
          <w:rPr>
            <w:rStyle w:val="Hyperlink"/>
          </w:rPr>
          <w:t>ommittee</w:t>
        </w:r>
      </w:hyperlink>
      <w:r w:rsidR="00CD7BFC">
        <w:t xml:space="preserve"> </w:t>
      </w:r>
      <w:r w:rsidRPr="007D7F83">
        <w:t xml:space="preserve">considered evidence submitted by </w:t>
      </w:r>
      <w:r w:rsidR="00A33D39">
        <w:t xml:space="preserve">Daiichi Sankyo,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the technical </w:t>
      </w:r>
      <w:r w:rsidR="00E9265B">
        <w:t>report</w:t>
      </w:r>
      <w:r w:rsidR="000B1027">
        <w:t>, and responses from</w:t>
      </w:r>
      <w:r w:rsidR="00E9265B">
        <w:t xml:space="preserve"> stakeholders</w:t>
      </w:r>
      <w:r w:rsidRPr="007D7F83">
        <w:t>.</w:t>
      </w:r>
      <w:r w:rsidR="00C63D4E">
        <w:t xml:space="preserve"> </w:t>
      </w:r>
      <w:r w:rsidR="002B5772">
        <w:t xml:space="preserve">See the </w:t>
      </w:r>
      <w:hyperlink r:id="rId14" w:history="1">
        <w:r w:rsidR="00AC53E9">
          <w:rPr>
            <w:rStyle w:val="Hyperlink"/>
          </w:rPr>
          <w:t>committee papers</w:t>
        </w:r>
      </w:hyperlink>
      <w:r w:rsidR="002B5772">
        <w:t xml:space="preserve"> for full details of the evidence</w:t>
      </w:r>
      <w:r w:rsidR="002B5772" w:rsidRPr="000F2D8A">
        <w:t>.</w:t>
      </w:r>
    </w:p>
    <w:p w14:paraId="05509273" w14:textId="0BE77AF1" w:rsidR="006B0F36" w:rsidRDefault="002C0F04" w:rsidP="00D01B9F">
      <w:pPr>
        <w:pStyle w:val="NICEnormal"/>
      </w:pPr>
      <w:r>
        <w:t>T</w:t>
      </w:r>
      <w:r w:rsidR="002B5772">
        <w:t xml:space="preserve">he </w:t>
      </w:r>
      <w:r w:rsidR="002D6DB8">
        <w:t>committee</w:t>
      </w:r>
      <w:r w:rsidR="002B5772">
        <w:t xml:space="preserve"> w</w:t>
      </w:r>
      <w:r w:rsidR="002D6DB8">
        <w:t>ere</w:t>
      </w:r>
      <w:r w:rsidR="002B5772">
        <w:t xml:space="preserve"> aware </w:t>
      </w:r>
      <w:r w:rsidR="002555BE">
        <w:t xml:space="preserve">that </w:t>
      </w:r>
      <w:r w:rsidR="00033A69">
        <w:t>several</w:t>
      </w:r>
      <w:r w:rsidR="002B5772">
        <w:t xml:space="preserve"> issues were resolved during </w:t>
      </w:r>
      <w:r w:rsidR="006D4D1A">
        <w:t xml:space="preserve">the </w:t>
      </w:r>
      <w:r w:rsidR="00E95253">
        <w:t>technical engagement</w:t>
      </w:r>
      <w:r w:rsidR="006D4D1A">
        <w:t xml:space="preserve"> stage</w:t>
      </w:r>
      <w:r w:rsidR="007D1008">
        <w:t>, and agreed that:</w:t>
      </w:r>
    </w:p>
    <w:p w14:paraId="7F0EF25C" w14:textId="37D21810" w:rsidR="006B0F36" w:rsidRPr="00033A69" w:rsidRDefault="00A71B8D" w:rsidP="006B0F36">
      <w:pPr>
        <w:pStyle w:val="Bulletleft1"/>
      </w:pPr>
      <w:r>
        <w:t>i</w:t>
      </w:r>
      <w:r w:rsidR="00C26464">
        <w:t>t is acceptable that</w:t>
      </w:r>
      <w:r>
        <w:t xml:space="preserve"> in the model</w:t>
      </w:r>
      <w:r w:rsidR="00C26464">
        <w:t xml:space="preserve">, mixed cohorts are </w:t>
      </w:r>
      <w:r>
        <w:t>separated into either a</w:t>
      </w:r>
      <w:r w:rsidR="00033A69">
        <w:t xml:space="preserve"> primary prevention without heterozygous familial hypercholesterolaemia</w:t>
      </w:r>
      <w:r>
        <w:t>, or</w:t>
      </w:r>
      <w:r w:rsidR="00033A69">
        <w:t xml:space="preserve"> secondary prevention without heterozygous familial hypercholesterolaem</w:t>
      </w:r>
      <w:r w:rsidR="00033A69" w:rsidRPr="00CA146E">
        <w:t>ia</w:t>
      </w:r>
      <w:r w:rsidRPr="00CA146E">
        <w:t xml:space="preserve"> (</w:t>
      </w:r>
      <w:r w:rsidR="009F53B3">
        <w:t>p</w:t>
      </w:r>
      <w:r w:rsidR="00CA146E" w:rsidRPr="00CA146E">
        <w:t xml:space="preserve">art of </w:t>
      </w:r>
      <w:r w:rsidR="009F53B3">
        <w:t>i</w:t>
      </w:r>
      <w:r w:rsidRPr="00CA146E">
        <w:t>ssue</w:t>
      </w:r>
      <w:r w:rsidR="00050A25">
        <w:t> </w:t>
      </w:r>
      <w:r w:rsidRPr="00CA146E">
        <w:t>5, see technical report page</w:t>
      </w:r>
      <w:r w:rsidR="00050A25">
        <w:t> </w:t>
      </w:r>
      <w:r w:rsidRPr="00CA146E">
        <w:t>27)</w:t>
      </w:r>
    </w:p>
    <w:p w14:paraId="7B749E8D" w14:textId="0C1263B2" w:rsidR="00C26464" w:rsidRDefault="00A71B8D" w:rsidP="00C26464">
      <w:pPr>
        <w:pStyle w:val="Bulletleft1last"/>
        <w:spacing w:after="0"/>
      </w:pPr>
      <w:r>
        <w:t>i</w:t>
      </w:r>
      <w:r w:rsidR="00C26464" w:rsidRPr="00C26464">
        <w:t xml:space="preserve">t is acceptable that in the model, </w:t>
      </w:r>
      <w:r w:rsidR="00C26464">
        <w:t xml:space="preserve">the secondary prevention cohort enter </w:t>
      </w:r>
      <w:r w:rsidR="00860155">
        <w:t>at year</w:t>
      </w:r>
      <w:r w:rsidR="009F53B3">
        <w:t> </w:t>
      </w:r>
      <w:r w:rsidR="00C26464">
        <w:t>3</w:t>
      </w:r>
      <w:r w:rsidR="00860155">
        <w:t xml:space="preserve"> plus</w:t>
      </w:r>
      <w:r w:rsidR="00C26464">
        <w:t xml:space="preserve"> post-</w:t>
      </w:r>
      <w:r w:rsidR="00720E02">
        <w:t xml:space="preserve">cardiovascular </w:t>
      </w:r>
      <w:r w:rsidR="00C26464">
        <w:t>event state (</w:t>
      </w:r>
      <w:r w:rsidR="009F53B3">
        <w:t>p</w:t>
      </w:r>
      <w:r w:rsidR="00CA146E" w:rsidRPr="00CA146E">
        <w:t xml:space="preserve">art of </w:t>
      </w:r>
      <w:r w:rsidR="009F53B3">
        <w:t>i</w:t>
      </w:r>
      <w:r w:rsidR="00C26464" w:rsidRPr="00CA146E">
        <w:t>ssue</w:t>
      </w:r>
      <w:r w:rsidR="00050A25">
        <w:t> </w:t>
      </w:r>
      <w:r w:rsidR="00C26464" w:rsidRPr="00CA146E">
        <w:t>5</w:t>
      </w:r>
      <w:r w:rsidR="00C26464">
        <w:t>, see technical report page</w:t>
      </w:r>
      <w:r w:rsidR="00050A25">
        <w:t> </w:t>
      </w:r>
      <w:r w:rsidR="00C26464">
        <w:t>28)</w:t>
      </w:r>
    </w:p>
    <w:p w14:paraId="43F38D45" w14:textId="3B187266" w:rsidR="00C26464" w:rsidRDefault="00A71B8D" w:rsidP="00C26464">
      <w:pPr>
        <w:pStyle w:val="Bulletleft1last"/>
        <w:spacing w:after="0"/>
      </w:pPr>
      <w:r>
        <w:t>the ERG’s corrections</w:t>
      </w:r>
      <w:r w:rsidR="00C546A4">
        <w:t xml:space="preserve"> for estimating utilit</w:t>
      </w:r>
      <w:r w:rsidR="002C0F04">
        <w:t>y values</w:t>
      </w:r>
      <w:r w:rsidR="00C546A4">
        <w:t xml:space="preserve"> for all modelled populations were acceptable (</w:t>
      </w:r>
      <w:r w:rsidR="009F53B3">
        <w:t>i</w:t>
      </w:r>
      <w:r w:rsidR="00C546A4">
        <w:t>ssue</w:t>
      </w:r>
      <w:r w:rsidR="00050A25">
        <w:t> </w:t>
      </w:r>
      <w:r w:rsidR="00C546A4">
        <w:t>8, see technical report page</w:t>
      </w:r>
      <w:r w:rsidR="00050A25">
        <w:t> </w:t>
      </w:r>
      <w:r w:rsidR="00C546A4">
        <w:t>35)</w:t>
      </w:r>
    </w:p>
    <w:p w14:paraId="717F6841" w14:textId="1F147E4B" w:rsidR="00C26464" w:rsidRPr="00C26464" w:rsidRDefault="00C546A4" w:rsidP="00C546A4">
      <w:pPr>
        <w:pStyle w:val="Bulletleft1last"/>
      </w:pPr>
      <w:r>
        <w:t>the ERG’s corrections for the c</w:t>
      </w:r>
      <w:r w:rsidR="00C26464">
        <w:t xml:space="preserve">osting of </w:t>
      </w:r>
      <w:r w:rsidR="00F4141D">
        <w:t>alirocumab and evolocumab</w:t>
      </w:r>
      <w:r w:rsidR="00C26464">
        <w:t xml:space="preserve"> </w:t>
      </w:r>
      <w:r>
        <w:t xml:space="preserve">administration and the costing of </w:t>
      </w:r>
      <w:r w:rsidR="00C26464">
        <w:t>health-states in model</w:t>
      </w:r>
      <w:r>
        <w:t xml:space="preserve"> were acceptable (</w:t>
      </w:r>
      <w:r w:rsidR="00B147D8">
        <w:t>i</w:t>
      </w:r>
      <w:r>
        <w:t>ssue</w:t>
      </w:r>
      <w:r w:rsidR="00050A25">
        <w:t> </w:t>
      </w:r>
      <w:r>
        <w:t>9, see technical report page</w:t>
      </w:r>
      <w:r w:rsidR="00050A25">
        <w:t> </w:t>
      </w:r>
      <w:r>
        <w:t>39).</w:t>
      </w:r>
    </w:p>
    <w:p w14:paraId="470F3B76" w14:textId="0B1EC2CE" w:rsidR="00BA18B7" w:rsidRDefault="002C0F04" w:rsidP="002E2CDE">
      <w:pPr>
        <w:pStyle w:val="NICEnormal"/>
        <w:ind w:left="60"/>
      </w:pPr>
      <w:r>
        <w:t xml:space="preserve">The committee </w:t>
      </w:r>
      <w:r w:rsidR="002B5772">
        <w:t xml:space="preserve">recognised that there were </w:t>
      </w:r>
      <w:r w:rsidR="00B147D8">
        <w:t xml:space="preserve">still </w:t>
      </w:r>
      <w:r w:rsidR="002B5772">
        <w:t>areas of uncertainty associated with the analyses presented (see technical report</w:t>
      </w:r>
      <w:r w:rsidR="00A33919">
        <w:t>,</w:t>
      </w:r>
      <w:r w:rsidR="002B5772">
        <w:t xml:space="preserve"> </w:t>
      </w:r>
      <w:r w:rsidR="00A33919">
        <w:t>table</w:t>
      </w:r>
      <w:r w:rsidR="00050A25">
        <w:t> </w:t>
      </w:r>
      <w:r w:rsidR="00BA18B7">
        <w:t>5</w:t>
      </w:r>
      <w:r w:rsidR="00A33919">
        <w:t xml:space="preserve">, </w:t>
      </w:r>
      <w:r w:rsidR="002B5772">
        <w:t>page</w:t>
      </w:r>
      <w:r w:rsidR="00050A25">
        <w:t> </w:t>
      </w:r>
      <w:r w:rsidR="00BA18B7">
        <w:t>55</w:t>
      </w:r>
      <w:r w:rsidR="002B5772">
        <w:t xml:space="preserve">), and took these into account in its decision making. </w:t>
      </w:r>
      <w:r>
        <w:t xml:space="preserve">The committee </w:t>
      </w:r>
      <w:r w:rsidR="002B5772">
        <w:t>discussed the issues</w:t>
      </w:r>
      <w:r w:rsidR="00A33919">
        <w:t xml:space="preserve"> (issues </w:t>
      </w:r>
      <w:r w:rsidR="00BA18B7">
        <w:t xml:space="preserve">1, 2, 3, 4, </w:t>
      </w:r>
      <w:r w:rsidR="00CA146E">
        <w:t xml:space="preserve">5, 5a, </w:t>
      </w:r>
      <w:r w:rsidR="00BA18B7">
        <w:t>6, and 7</w:t>
      </w:r>
      <w:r w:rsidR="00A33919">
        <w:t>)</w:t>
      </w:r>
      <w:r w:rsidR="002B5772">
        <w:t xml:space="preserve"> which were outstanding </w:t>
      </w:r>
      <w:r w:rsidR="00E95253">
        <w:t>after</w:t>
      </w:r>
      <w:r w:rsidR="002B5772">
        <w:t xml:space="preserve"> </w:t>
      </w:r>
      <w:r w:rsidR="000205C6">
        <w:t xml:space="preserve">the </w:t>
      </w:r>
      <w:r w:rsidR="002B5772">
        <w:t>technical engagement</w:t>
      </w:r>
      <w:r w:rsidR="000205C6">
        <w:t xml:space="preserve"> stage</w:t>
      </w:r>
      <w:r w:rsidR="002B5772">
        <w:t>.</w:t>
      </w:r>
    </w:p>
    <w:p w14:paraId="446A22B6" w14:textId="6CCB2E87" w:rsidR="00643582" w:rsidRDefault="00BA18B7" w:rsidP="00BA18B7">
      <w:pPr>
        <w:pStyle w:val="Heading2"/>
      </w:pPr>
      <w:r>
        <w:lastRenderedPageBreak/>
        <w:t>Clinical pathway</w:t>
      </w:r>
    </w:p>
    <w:p w14:paraId="49C12F33" w14:textId="6048F59C" w:rsidR="00957269" w:rsidRDefault="001A36A7" w:rsidP="00957269">
      <w:pPr>
        <w:pStyle w:val="Heading3"/>
      </w:pPr>
      <w:r>
        <w:t xml:space="preserve">People with </w:t>
      </w:r>
      <w:r w:rsidRPr="001A36A7">
        <w:t xml:space="preserve">primary hypercholesterolaemia (heterozygous familial and non-familial) or mixed dyslipidaemia </w:t>
      </w:r>
      <w:r>
        <w:t>will</w:t>
      </w:r>
      <w:r w:rsidRPr="001E2CB3">
        <w:t xml:space="preserve"> welcome </w:t>
      </w:r>
      <w:r>
        <w:t xml:space="preserve">a </w:t>
      </w:r>
      <w:r w:rsidRPr="001E2CB3">
        <w:t>new treatment option</w:t>
      </w:r>
    </w:p>
    <w:p w14:paraId="630A39CC" w14:textId="12FF4FC7" w:rsidR="00551F1F" w:rsidRPr="001A36A7" w:rsidRDefault="00784F57" w:rsidP="003A57F4">
      <w:pPr>
        <w:pStyle w:val="Numberedlevel2text"/>
        <w:rPr>
          <w:lang w:val="en-GB"/>
        </w:rPr>
      </w:pPr>
      <w:r w:rsidRPr="001A36A7">
        <w:rPr>
          <w:lang w:val="en-GB"/>
        </w:rPr>
        <w:t xml:space="preserve">People with primary hypercholesterolaemia (heterozygous familial and non-familial) or mixed dyslipidaemia </w:t>
      </w:r>
      <w:r w:rsidRPr="001E2CB3">
        <w:t xml:space="preserve">would welcome </w:t>
      </w:r>
      <w:r>
        <w:t xml:space="preserve">a </w:t>
      </w:r>
      <w:r w:rsidRPr="001E2CB3">
        <w:t>new treatment option</w:t>
      </w:r>
      <w:r w:rsidRPr="001A36A7">
        <w:rPr>
          <w:lang w:val="en-GB"/>
        </w:rPr>
        <w:t xml:space="preserve">. </w:t>
      </w:r>
      <w:r w:rsidR="008D4417" w:rsidRPr="001A36A7">
        <w:rPr>
          <w:lang w:val="en-GB"/>
        </w:rPr>
        <w:t xml:space="preserve">The clinical expert explained that </w:t>
      </w:r>
      <w:r w:rsidR="00A31371" w:rsidRPr="001A36A7">
        <w:rPr>
          <w:lang w:val="en-GB"/>
        </w:rPr>
        <w:t xml:space="preserve">the main aim of </w:t>
      </w:r>
      <w:r w:rsidR="008D4417" w:rsidRPr="001A36A7">
        <w:rPr>
          <w:lang w:val="en-GB"/>
        </w:rPr>
        <w:t xml:space="preserve">treatment is </w:t>
      </w:r>
      <w:r w:rsidR="00A31371" w:rsidRPr="001A36A7">
        <w:rPr>
          <w:lang w:val="en-GB"/>
        </w:rPr>
        <w:t xml:space="preserve">to lower low-density lipoprotein cholesterol (LDL-C) </w:t>
      </w:r>
      <w:r w:rsidR="008D4417" w:rsidRPr="001A36A7">
        <w:rPr>
          <w:lang w:val="en-GB"/>
        </w:rPr>
        <w:t xml:space="preserve">with a statin. </w:t>
      </w:r>
      <w:r w:rsidR="00241B5C">
        <w:rPr>
          <w:lang w:val="en-GB"/>
        </w:rPr>
        <w:t>People may also have ezetimibe if the maximum dose of statin is not lowering LDL-C enough.</w:t>
      </w:r>
      <w:r w:rsidR="00A31371" w:rsidRPr="001A36A7">
        <w:rPr>
          <w:lang w:val="en-GB"/>
        </w:rPr>
        <w:t xml:space="preserve"> If LDL-C levels </w:t>
      </w:r>
      <w:r w:rsidR="00241B5C">
        <w:rPr>
          <w:lang w:val="en-GB"/>
        </w:rPr>
        <w:t>stay higher than normal</w:t>
      </w:r>
      <w:r w:rsidR="00A31371" w:rsidRPr="001A36A7">
        <w:rPr>
          <w:lang w:val="en-GB"/>
        </w:rPr>
        <w:t xml:space="preserve"> and the person has cardiovascu</w:t>
      </w:r>
      <w:r w:rsidR="00A31371" w:rsidRPr="00F8426C">
        <w:rPr>
          <w:lang w:val="en-GB"/>
        </w:rPr>
        <w:t>lar disease or primary</w:t>
      </w:r>
      <w:r w:rsidR="00A31371" w:rsidRPr="00264971">
        <w:rPr>
          <w:lang w:val="en-GB"/>
        </w:rPr>
        <w:t xml:space="preserve"> heterozygous familial </w:t>
      </w:r>
      <w:r w:rsidR="00A31371" w:rsidRPr="0066473B">
        <w:rPr>
          <w:lang w:val="en-GB"/>
        </w:rPr>
        <w:t>hypercholesterolaemia</w:t>
      </w:r>
      <w:r w:rsidR="00A31371" w:rsidRPr="00910394">
        <w:rPr>
          <w:lang w:val="en-GB"/>
        </w:rPr>
        <w:t>,</w:t>
      </w:r>
      <w:r w:rsidR="00A31371" w:rsidRPr="00E32D39">
        <w:rPr>
          <w:lang w:val="en-GB"/>
        </w:rPr>
        <w:t xml:space="preserve"> </w:t>
      </w:r>
      <w:r w:rsidR="00A31371" w:rsidRPr="00F51804">
        <w:rPr>
          <w:lang w:val="en-GB"/>
        </w:rPr>
        <w:t>evolocumab</w:t>
      </w:r>
      <w:r w:rsidR="00A31371" w:rsidRPr="001A36A7">
        <w:rPr>
          <w:lang w:val="en-GB"/>
        </w:rPr>
        <w:t xml:space="preserve"> or alirocumab </w:t>
      </w:r>
      <w:r w:rsidR="00241B5C">
        <w:rPr>
          <w:lang w:val="en-GB"/>
        </w:rPr>
        <w:t>are</w:t>
      </w:r>
      <w:r w:rsidR="00241B5C" w:rsidRPr="001A36A7">
        <w:rPr>
          <w:lang w:val="en-GB"/>
        </w:rPr>
        <w:t xml:space="preserve"> </w:t>
      </w:r>
      <w:r w:rsidR="00A31371" w:rsidRPr="001A36A7">
        <w:rPr>
          <w:lang w:val="en-GB"/>
        </w:rPr>
        <w:t xml:space="preserve">offered. </w:t>
      </w:r>
      <w:r w:rsidR="001A36A7" w:rsidRPr="00521A37">
        <w:rPr>
          <w:lang w:val="en-GB"/>
        </w:rPr>
        <w:t xml:space="preserve">The clinical expert explained that </w:t>
      </w:r>
      <w:r w:rsidR="001A36A7">
        <w:rPr>
          <w:lang w:val="en-GB"/>
        </w:rPr>
        <w:t xml:space="preserve">some people </w:t>
      </w:r>
      <w:r w:rsidR="001A36A7" w:rsidRPr="00521A37">
        <w:rPr>
          <w:lang w:val="en-GB"/>
        </w:rPr>
        <w:t xml:space="preserve">experience intolerance to statins. Statin intolerance can be difficult to define in clinical practice however some </w:t>
      </w:r>
      <w:r w:rsidR="005A1734">
        <w:rPr>
          <w:lang w:val="en-GB"/>
        </w:rPr>
        <w:t>people</w:t>
      </w:r>
      <w:r w:rsidR="005A1734" w:rsidRPr="00521A37">
        <w:rPr>
          <w:lang w:val="en-GB"/>
        </w:rPr>
        <w:t xml:space="preserve"> </w:t>
      </w:r>
      <w:r w:rsidR="001A36A7" w:rsidRPr="00521A37">
        <w:rPr>
          <w:lang w:val="en-GB"/>
        </w:rPr>
        <w:t>experience muscle pains and in rare cases muscle breakdown.</w:t>
      </w:r>
      <w:r w:rsidR="001A36A7">
        <w:rPr>
          <w:lang w:val="en-GB"/>
        </w:rPr>
        <w:t xml:space="preserve"> </w:t>
      </w:r>
      <w:r w:rsidRPr="001A36A7">
        <w:rPr>
          <w:lang w:val="en-GB"/>
        </w:rPr>
        <w:t>The p</w:t>
      </w:r>
      <w:r w:rsidR="00551F1F" w:rsidRPr="001A36A7">
        <w:rPr>
          <w:lang w:val="en-GB"/>
        </w:rPr>
        <w:t xml:space="preserve">atient expert </w:t>
      </w:r>
      <w:r w:rsidR="00452E2F" w:rsidRPr="001A36A7">
        <w:rPr>
          <w:lang w:val="en-GB"/>
        </w:rPr>
        <w:t xml:space="preserve">explained the difficulty in appropriately identifying and </w:t>
      </w:r>
      <w:r w:rsidR="00241B5C">
        <w:rPr>
          <w:lang w:val="en-GB"/>
        </w:rPr>
        <w:t>offering treatment to</w:t>
      </w:r>
      <w:r w:rsidR="00241B5C" w:rsidRPr="001A36A7">
        <w:rPr>
          <w:lang w:val="en-GB"/>
        </w:rPr>
        <w:t xml:space="preserve"> </w:t>
      </w:r>
      <w:r w:rsidR="00452E2F" w:rsidRPr="001A36A7">
        <w:rPr>
          <w:lang w:val="en-GB"/>
        </w:rPr>
        <w:t xml:space="preserve">people with </w:t>
      </w:r>
      <w:r w:rsidR="00241B5C">
        <w:rPr>
          <w:lang w:val="en-GB"/>
        </w:rPr>
        <w:t>increased</w:t>
      </w:r>
      <w:r w:rsidR="00241B5C" w:rsidRPr="001A36A7">
        <w:rPr>
          <w:lang w:val="en-GB"/>
        </w:rPr>
        <w:t xml:space="preserve"> </w:t>
      </w:r>
      <w:r w:rsidR="008D4417" w:rsidRPr="001A36A7">
        <w:rPr>
          <w:lang w:val="en-GB"/>
        </w:rPr>
        <w:t xml:space="preserve">levels of </w:t>
      </w:r>
      <w:r w:rsidR="00452E2F" w:rsidRPr="001A36A7">
        <w:rPr>
          <w:lang w:val="en-GB"/>
        </w:rPr>
        <w:t xml:space="preserve">LDL-C </w:t>
      </w:r>
      <w:r w:rsidR="00241B5C">
        <w:rPr>
          <w:lang w:val="en-GB"/>
        </w:rPr>
        <w:t>because</w:t>
      </w:r>
      <w:r w:rsidR="00241B5C" w:rsidRPr="001A36A7">
        <w:rPr>
          <w:lang w:val="en-GB"/>
        </w:rPr>
        <w:t xml:space="preserve"> </w:t>
      </w:r>
      <w:r w:rsidR="00452E2F" w:rsidRPr="001A36A7">
        <w:rPr>
          <w:lang w:val="en-GB"/>
        </w:rPr>
        <w:t xml:space="preserve">often </w:t>
      </w:r>
      <w:r w:rsidR="005A1734">
        <w:rPr>
          <w:lang w:val="en-GB"/>
        </w:rPr>
        <w:t xml:space="preserve">they </w:t>
      </w:r>
      <w:r w:rsidR="00452E2F" w:rsidRPr="001A36A7">
        <w:rPr>
          <w:lang w:val="en-GB"/>
        </w:rPr>
        <w:t xml:space="preserve">have no symptoms. In some people </w:t>
      </w:r>
      <w:r w:rsidR="005A1734">
        <w:rPr>
          <w:lang w:val="en-GB"/>
        </w:rPr>
        <w:t>with</w:t>
      </w:r>
      <w:r w:rsidR="00452E2F" w:rsidRPr="001A36A7">
        <w:rPr>
          <w:lang w:val="en-GB"/>
        </w:rPr>
        <w:t xml:space="preserve"> </w:t>
      </w:r>
      <w:r w:rsidR="00241B5C">
        <w:rPr>
          <w:lang w:val="en-GB"/>
        </w:rPr>
        <w:t>increased</w:t>
      </w:r>
      <w:r w:rsidR="00241B5C" w:rsidRPr="001A36A7">
        <w:rPr>
          <w:lang w:val="en-GB"/>
        </w:rPr>
        <w:t xml:space="preserve"> </w:t>
      </w:r>
      <w:r w:rsidR="00452E2F" w:rsidRPr="001A36A7">
        <w:rPr>
          <w:lang w:val="en-GB"/>
        </w:rPr>
        <w:t xml:space="preserve">LDL-C but </w:t>
      </w:r>
      <w:r w:rsidR="005A1734">
        <w:rPr>
          <w:lang w:val="en-GB"/>
        </w:rPr>
        <w:t xml:space="preserve">who </w:t>
      </w:r>
      <w:r w:rsidR="00452E2F" w:rsidRPr="001A36A7">
        <w:rPr>
          <w:lang w:val="en-GB"/>
        </w:rPr>
        <w:t xml:space="preserve">have not had a cardiovascular event (primary prevention), there can be </w:t>
      </w:r>
      <w:r w:rsidR="00241B5C">
        <w:rPr>
          <w:lang w:val="en-GB"/>
        </w:rPr>
        <w:t>reluctance</w:t>
      </w:r>
      <w:r w:rsidR="00452E2F" w:rsidRPr="001A36A7">
        <w:rPr>
          <w:lang w:val="en-GB"/>
        </w:rPr>
        <w:t xml:space="preserve"> to continue treatment</w:t>
      </w:r>
      <w:r w:rsidR="008D4417" w:rsidRPr="001A36A7">
        <w:rPr>
          <w:lang w:val="en-GB"/>
        </w:rPr>
        <w:t xml:space="preserve"> with a statin</w:t>
      </w:r>
      <w:r w:rsidR="00452E2F" w:rsidRPr="001A36A7">
        <w:rPr>
          <w:lang w:val="en-GB"/>
        </w:rPr>
        <w:t xml:space="preserve">. </w:t>
      </w:r>
      <w:r w:rsidR="008D4417" w:rsidRPr="001A36A7">
        <w:rPr>
          <w:lang w:val="en-GB"/>
        </w:rPr>
        <w:t xml:space="preserve">In </w:t>
      </w:r>
      <w:r w:rsidR="00241B5C">
        <w:rPr>
          <w:lang w:val="en-GB"/>
        </w:rPr>
        <w:t>people who have had a cardiovascular event (secondary prevention)</w:t>
      </w:r>
      <w:r w:rsidR="008D4417" w:rsidRPr="001A36A7">
        <w:rPr>
          <w:lang w:val="en-GB"/>
        </w:rPr>
        <w:t xml:space="preserve"> treatment adherence is usually </w:t>
      </w:r>
      <w:r w:rsidR="001A36A7">
        <w:rPr>
          <w:lang w:val="en-GB"/>
        </w:rPr>
        <w:t>improved</w:t>
      </w:r>
      <w:r w:rsidR="008D4417" w:rsidRPr="001A36A7">
        <w:rPr>
          <w:lang w:val="en-GB"/>
        </w:rPr>
        <w:t xml:space="preserve">. </w:t>
      </w:r>
      <w:r w:rsidR="00D024FB">
        <w:rPr>
          <w:lang w:val="en-GB"/>
        </w:rPr>
        <w:t xml:space="preserve">The patient and clinical expert noted that uptake of </w:t>
      </w:r>
      <w:r w:rsidR="00522419">
        <w:rPr>
          <w:lang w:val="en-GB"/>
        </w:rPr>
        <w:t xml:space="preserve">alirocumab and evolocumab </w:t>
      </w:r>
      <w:r w:rsidR="00D024FB">
        <w:rPr>
          <w:lang w:val="en-GB"/>
        </w:rPr>
        <w:t xml:space="preserve">in clinical practice is </w:t>
      </w:r>
      <w:r w:rsidR="0000793F">
        <w:rPr>
          <w:lang w:val="en-GB"/>
        </w:rPr>
        <w:t>between</w:t>
      </w:r>
      <w:r w:rsidR="005A1734">
        <w:rPr>
          <w:lang w:val="en-GB"/>
        </w:rPr>
        <w:t xml:space="preserve"> </w:t>
      </w:r>
      <w:r w:rsidR="00D024FB">
        <w:rPr>
          <w:lang w:val="en-GB"/>
        </w:rPr>
        <w:t xml:space="preserve">65% </w:t>
      </w:r>
      <w:r w:rsidR="0000793F">
        <w:rPr>
          <w:lang w:val="en-GB"/>
        </w:rPr>
        <w:t xml:space="preserve">and </w:t>
      </w:r>
      <w:r w:rsidR="00D024FB">
        <w:rPr>
          <w:lang w:val="en-GB"/>
        </w:rPr>
        <w:t>7</w:t>
      </w:r>
      <w:r w:rsidR="0000793F">
        <w:rPr>
          <w:lang w:val="en-GB"/>
        </w:rPr>
        <w:t>2</w:t>
      </w:r>
      <w:r w:rsidR="00D024FB">
        <w:rPr>
          <w:lang w:val="en-GB"/>
        </w:rPr>
        <w:t xml:space="preserve">% lower than expected. The clinical expert suggested this was because </w:t>
      </w:r>
      <w:r w:rsidR="008502CA">
        <w:rPr>
          <w:lang w:val="en-GB"/>
        </w:rPr>
        <w:t xml:space="preserve">people who are eligible </w:t>
      </w:r>
      <w:r w:rsidR="00D024FB">
        <w:rPr>
          <w:lang w:val="en-GB"/>
        </w:rPr>
        <w:t xml:space="preserve">are not navigated through the lipid management pathway appropriately. </w:t>
      </w:r>
      <w:r w:rsidR="008F7100">
        <w:rPr>
          <w:lang w:val="en-GB"/>
        </w:rPr>
        <w:t>The</w:t>
      </w:r>
      <w:r w:rsidR="00CD1A63">
        <w:rPr>
          <w:lang w:val="en-GB"/>
        </w:rPr>
        <w:t xml:space="preserve"> </w:t>
      </w:r>
      <w:r w:rsidR="008F7100">
        <w:rPr>
          <w:lang w:val="en-GB"/>
        </w:rPr>
        <w:t xml:space="preserve">patient and clinical expert noted that </w:t>
      </w:r>
      <w:r w:rsidR="00CD1A63">
        <w:rPr>
          <w:lang w:val="en-GB"/>
        </w:rPr>
        <w:t xml:space="preserve">bempedoic acid is </w:t>
      </w:r>
      <w:r w:rsidR="00C01F19">
        <w:rPr>
          <w:lang w:val="en-GB"/>
        </w:rPr>
        <w:t>an inexpensive</w:t>
      </w:r>
      <w:r w:rsidR="00CD1A63">
        <w:rPr>
          <w:lang w:val="en-GB"/>
        </w:rPr>
        <w:t xml:space="preserve">, oral preparation that is easy to use and suitable for </w:t>
      </w:r>
      <w:r w:rsidR="00C64C45">
        <w:rPr>
          <w:lang w:val="en-GB"/>
        </w:rPr>
        <w:t xml:space="preserve">people </w:t>
      </w:r>
      <w:r w:rsidR="00CD1A63">
        <w:rPr>
          <w:lang w:val="en-GB"/>
        </w:rPr>
        <w:t xml:space="preserve">who cannot tolerate statins. </w:t>
      </w:r>
      <w:r w:rsidR="00256399" w:rsidRPr="001A36A7">
        <w:rPr>
          <w:lang w:val="en-GB"/>
        </w:rPr>
        <w:t>The committee concluded that a</w:t>
      </w:r>
      <w:r w:rsidR="00551F1F" w:rsidRPr="001A36A7">
        <w:rPr>
          <w:lang w:val="en-GB"/>
        </w:rPr>
        <w:t xml:space="preserve"> new treatment option for managing cholesterol would be welcomed.</w:t>
      </w:r>
    </w:p>
    <w:p w14:paraId="70F827CC" w14:textId="51F7C503" w:rsidR="00551F1F" w:rsidRDefault="00551F1F" w:rsidP="00551F1F">
      <w:pPr>
        <w:pStyle w:val="Heading3"/>
      </w:pPr>
      <w:bookmarkStart w:id="24" w:name="_The_company’s_proposed"/>
      <w:bookmarkEnd w:id="24"/>
      <w:r>
        <w:lastRenderedPageBreak/>
        <w:t xml:space="preserve">The </w:t>
      </w:r>
      <w:r w:rsidR="00C45D1E">
        <w:t>company’s proposed position of bempe</w:t>
      </w:r>
      <w:r w:rsidR="00714F06">
        <w:t>do</w:t>
      </w:r>
      <w:r w:rsidR="00C45D1E">
        <w:t>ic acid</w:t>
      </w:r>
      <w:r w:rsidR="00A9560F">
        <w:t xml:space="preserve"> </w:t>
      </w:r>
      <w:r w:rsidR="00E7048B">
        <w:t xml:space="preserve">with </w:t>
      </w:r>
      <w:r w:rsidR="0074426D">
        <w:t>ezetimibe</w:t>
      </w:r>
      <w:r w:rsidR="00C45D1E">
        <w:t xml:space="preserve"> in the treatment pathway reflects NHS </w:t>
      </w:r>
      <w:r w:rsidR="00D024FB">
        <w:t>clinical</w:t>
      </w:r>
      <w:r w:rsidR="00C45D1E">
        <w:t xml:space="preserve"> practice</w:t>
      </w:r>
    </w:p>
    <w:p w14:paraId="046C2EAC" w14:textId="117E9315" w:rsidR="00F8426C" w:rsidRPr="00714F06" w:rsidRDefault="00144A23" w:rsidP="00A236F8">
      <w:pPr>
        <w:pStyle w:val="Numberedlevel2text"/>
        <w:numPr>
          <w:ilvl w:val="1"/>
          <w:numId w:val="1"/>
        </w:numPr>
      </w:pPr>
      <w:r>
        <w:rPr>
          <w:lang w:val="en-GB"/>
        </w:rPr>
        <w:t>At the first committee meeting, t</w:t>
      </w:r>
      <w:r w:rsidR="00957269">
        <w:rPr>
          <w:lang w:val="en-GB"/>
        </w:rPr>
        <w:t xml:space="preserve">he </w:t>
      </w:r>
      <w:r w:rsidR="00C45D1E">
        <w:rPr>
          <w:lang w:val="en-GB"/>
        </w:rPr>
        <w:t>company ha</w:t>
      </w:r>
      <w:r>
        <w:rPr>
          <w:lang w:val="en-GB"/>
        </w:rPr>
        <w:t>d</w:t>
      </w:r>
      <w:r w:rsidR="00C45D1E">
        <w:rPr>
          <w:lang w:val="en-GB"/>
        </w:rPr>
        <w:t xml:space="preserve"> positioned </w:t>
      </w:r>
      <w:r w:rsidR="00957269">
        <w:rPr>
          <w:lang w:val="en-GB"/>
        </w:rPr>
        <w:t xml:space="preserve">bempedoic </w:t>
      </w:r>
      <w:r w:rsidR="00714F06">
        <w:rPr>
          <w:lang w:val="en-GB"/>
        </w:rPr>
        <w:t xml:space="preserve">acid </w:t>
      </w:r>
      <w:r w:rsidR="00E7048B">
        <w:rPr>
          <w:lang w:val="en-GB"/>
        </w:rPr>
        <w:t xml:space="preserve">with </w:t>
      </w:r>
      <w:r w:rsidR="00A9560F">
        <w:rPr>
          <w:lang w:val="en-GB"/>
        </w:rPr>
        <w:t xml:space="preserve">ezetimibe </w:t>
      </w:r>
      <w:r w:rsidR="00714F06">
        <w:rPr>
          <w:lang w:val="en-GB"/>
        </w:rPr>
        <w:t>for</w:t>
      </w:r>
      <w:r w:rsidR="00F8426C">
        <w:rPr>
          <w:lang w:val="en-GB"/>
        </w:rPr>
        <w:t xml:space="preserve"> </w:t>
      </w:r>
      <w:r w:rsidR="00BD7944">
        <w:rPr>
          <w:lang w:val="en-GB"/>
        </w:rPr>
        <w:t>people</w:t>
      </w:r>
      <w:r w:rsidR="00957269">
        <w:rPr>
          <w:lang w:val="en-GB"/>
        </w:rPr>
        <w:t xml:space="preserve"> </w:t>
      </w:r>
      <w:r w:rsidR="00DE3BE9">
        <w:rPr>
          <w:lang w:val="en-GB"/>
        </w:rPr>
        <w:t>when</w:t>
      </w:r>
      <w:r w:rsidR="00F8426C">
        <w:rPr>
          <w:lang w:val="en-GB"/>
        </w:rPr>
        <w:t>:</w:t>
      </w:r>
    </w:p>
    <w:p w14:paraId="722325A9" w14:textId="7E6DD3BD" w:rsidR="00F8426C" w:rsidRDefault="00F8426C" w:rsidP="00F8426C">
      <w:pPr>
        <w:pStyle w:val="Bulletindent1"/>
      </w:pPr>
      <w:r w:rsidRPr="00F8426C">
        <w:t>statins are contraindicated or not tolerated, and ezetimibe</w:t>
      </w:r>
      <w:r w:rsidR="00D70DD7">
        <w:t xml:space="preserve"> alone</w:t>
      </w:r>
      <w:r w:rsidRPr="00F8426C">
        <w:t xml:space="preserve"> does not control LDL</w:t>
      </w:r>
      <w:r>
        <w:t xml:space="preserve">-C </w:t>
      </w:r>
      <w:r w:rsidR="00BD7944">
        <w:t>well enough</w:t>
      </w:r>
      <w:r w:rsidR="00A46480">
        <w:t xml:space="preserve"> and</w:t>
      </w:r>
    </w:p>
    <w:p w14:paraId="0B8E7F61" w14:textId="5660F2F8" w:rsidR="00A46480" w:rsidRDefault="00E87853" w:rsidP="00A46480">
      <w:pPr>
        <w:pStyle w:val="Bulletindent1"/>
        <w:numPr>
          <w:ilvl w:val="1"/>
          <w:numId w:val="6"/>
        </w:numPr>
      </w:pPr>
      <w:r>
        <w:t>a</w:t>
      </w:r>
      <w:r w:rsidR="00522419">
        <w:t>lirocumab</w:t>
      </w:r>
      <w:r>
        <w:t xml:space="preserve"> or e</w:t>
      </w:r>
      <w:r w:rsidR="00522419">
        <w:t xml:space="preserve">volocumab </w:t>
      </w:r>
      <w:r w:rsidR="00A46480">
        <w:t xml:space="preserve">are not </w:t>
      </w:r>
      <w:r w:rsidR="00A32D8A">
        <w:t xml:space="preserve">appropriate </w:t>
      </w:r>
      <w:r w:rsidR="00A46480">
        <w:t>(population</w:t>
      </w:r>
      <w:r w:rsidR="00BD7944">
        <w:t> </w:t>
      </w:r>
      <w:r w:rsidR="00A46480">
        <w:t>2a)</w:t>
      </w:r>
    </w:p>
    <w:p w14:paraId="43AD56FA" w14:textId="6055F0EE" w:rsidR="00A46480" w:rsidRDefault="00E87853" w:rsidP="00714F06">
      <w:pPr>
        <w:pStyle w:val="Bulletindent1"/>
        <w:numPr>
          <w:ilvl w:val="1"/>
          <w:numId w:val="6"/>
        </w:numPr>
      </w:pPr>
      <w:r>
        <w:t>a</w:t>
      </w:r>
      <w:r w:rsidR="00522419">
        <w:t>lirocumab</w:t>
      </w:r>
      <w:r>
        <w:t xml:space="preserve"> or e</w:t>
      </w:r>
      <w:r w:rsidR="00522419">
        <w:t>volocumab</w:t>
      </w:r>
      <w:r w:rsidR="00A46480">
        <w:t xml:space="preserve"> are </w:t>
      </w:r>
      <w:r w:rsidR="00A32D8A">
        <w:t xml:space="preserve">appropriate </w:t>
      </w:r>
      <w:r w:rsidR="00A46480">
        <w:t>(population</w:t>
      </w:r>
      <w:r w:rsidR="00BD7944">
        <w:t> </w:t>
      </w:r>
      <w:r w:rsidR="00A46480">
        <w:t>2</w:t>
      </w:r>
      <w:r w:rsidR="00E41AA3">
        <w:t>b)</w:t>
      </w:r>
      <w:r w:rsidR="00E872B3">
        <w:t>.</w:t>
      </w:r>
    </w:p>
    <w:p w14:paraId="2CF6495E" w14:textId="7FB85E93" w:rsidR="00F8426C" w:rsidRDefault="00BD7944" w:rsidP="00714F06">
      <w:pPr>
        <w:pStyle w:val="Bulletindent1"/>
      </w:pPr>
      <w:r>
        <w:t xml:space="preserve">the </w:t>
      </w:r>
      <w:r w:rsidR="00F8426C" w:rsidRPr="00F8426C">
        <w:t>maximally tolerated statin dose with ezetimibe</w:t>
      </w:r>
      <w:r w:rsidR="00D70DD7">
        <w:t xml:space="preserve"> alone</w:t>
      </w:r>
      <w:r w:rsidR="00F8426C" w:rsidRPr="00F8426C">
        <w:t xml:space="preserve"> does not control LDL</w:t>
      </w:r>
      <w:r w:rsidR="00F8426C">
        <w:t>-</w:t>
      </w:r>
      <w:r w:rsidR="00F8426C" w:rsidRPr="00F8426C">
        <w:t>C</w:t>
      </w:r>
      <w:r w:rsidR="00F8426C">
        <w:t xml:space="preserve"> </w:t>
      </w:r>
      <w:r>
        <w:t xml:space="preserve">well enough </w:t>
      </w:r>
      <w:r w:rsidR="00E872B3">
        <w:t>and</w:t>
      </w:r>
    </w:p>
    <w:p w14:paraId="1A7984FD" w14:textId="5F113386" w:rsidR="00E41AA3" w:rsidRDefault="00E87853" w:rsidP="00714F06">
      <w:pPr>
        <w:pStyle w:val="Bulletindent2"/>
      </w:pPr>
      <w:r>
        <w:t xml:space="preserve">alirocumab or evolocumab </w:t>
      </w:r>
      <w:r w:rsidR="00E41AA3">
        <w:t xml:space="preserve">are not </w:t>
      </w:r>
      <w:r w:rsidR="00A32D8A">
        <w:t xml:space="preserve">appropriate </w:t>
      </w:r>
      <w:r w:rsidR="00E41AA3">
        <w:t>(population</w:t>
      </w:r>
      <w:r w:rsidR="00BD7944">
        <w:t> </w:t>
      </w:r>
      <w:r w:rsidR="00E41AA3">
        <w:t>4a)</w:t>
      </w:r>
    </w:p>
    <w:p w14:paraId="43687C68" w14:textId="31F27AEA" w:rsidR="00E41AA3" w:rsidRDefault="00E87853" w:rsidP="00E41AA3">
      <w:pPr>
        <w:pStyle w:val="Bulletindent2"/>
      </w:pPr>
      <w:r>
        <w:t xml:space="preserve">alirocumab or evolocumab </w:t>
      </w:r>
      <w:r w:rsidR="00E41AA3">
        <w:t xml:space="preserve">are </w:t>
      </w:r>
      <w:r w:rsidR="00A32D8A">
        <w:t xml:space="preserve">appropriate </w:t>
      </w:r>
      <w:r w:rsidR="00E41AA3">
        <w:t>(population</w:t>
      </w:r>
      <w:r w:rsidR="00BD7944">
        <w:t> </w:t>
      </w:r>
      <w:r w:rsidR="00E41AA3">
        <w:t>4b)</w:t>
      </w:r>
      <w:r w:rsidR="00BD7944">
        <w:t>.</w:t>
      </w:r>
    </w:p>
    <w:p w14:paraId="5502F4AD" w14:textId="77777777" w:rsidR="00E41AA3" w:rsidRPr="00E41AA3" w:rsidRDefault="00E41AA3" w:rsidP="00714F06">
      <w:pPr>
        <w:pStyle w:val="Bulletindent2"/>
        <w:numPr>
          <w:ilvl w:val="0"/>
          <w:numId w:val="0"/>
        </w:numPr>
        <w:ind w:left="1702"/>
      </w:pPr>
    </w:p>
    <w:p w14:paraId="1E62CF8A" w14:textId="2743E985" w:rsidR="00144A23" w:rsidRDefault="00DE3BE9" w:rsidP="00714F06">
      <w:pPr>
        <w:pStyle w:val="NICEnormalindented"/>
      </w:pPr>
      <w:r>
        <w:t xml:space="preserve">The </w:t>
      </w:r>
      <w:r w:rsidR="00F8426C">
        <w:t xml:space="preserve">company’s </w:t>
      </w:r>
      <w:r>
        <w:t xml:space="preserve">proposed position is narrower than the marketing authorisation </w:t>
      </w:r>
      <w:r w:rsidR="00E909D6">
        <w:t>(</w:t>
      </w:r>
      <w:r w:rsidR="00C45D1E">
        <w:t xml:space="preserve">which </w:t>
      </w:r>
      <w:r w:rsidR="00E909D6">
        <w:t xml:space="preserve">allows </w:t>
      </w:r>
      <w:r w:rsidR="00E87853">
        <w:t>bempedoic acid alone</w:t>
      </w:r>
      <w:r w:rsidR="00C546D2">
        <w:t xml:space="preserve"> or in combination with a statin</w:t>
      </w:r>
      <w:r w:rsidR="00E87853">
        <w:t xml:space="preserve"> </w:t>
      </w:r>
      <w:r w:rsidR="009B2E69">
        <w:t xml:space="preserve">without </w:t>
      </w:r>
      <w:r w:rsidR="00E87853">
        <w:t>ezetimibe</w:t>
      </w:r>
      <w:r w:rsidR="00E909D6">
        <w:t>)</w:t>
      </w:r>
      <w:r w:rsidR="00AB603A">
        <w:t xml:space="preserve">, </w:t>
      </w:r>
      <w:r w:rsidR="001D392D">
        <w:t xml:space="preserve">because </w:t>
      </w:r>
      <w:r w:rsidR="00AB603A">
        <w:t>they did not anticipate bempedoic acid would be used before ezetimibe in the treatment pathway in the NHS</w:t>
      </w:r>
      <w:r w:rsidR="00C45D1E">
        <w:t>.</w:t>
      </w:r>
      <w:r w:rsidR="00E87853">
        <w:t xml:space="preserve"> </w:t>
      </w:r>
      <w:r w:rsidR="00144A23">
        <w:t>At the second committee meeting</w:t>
      </w:r>
      <w:r w:rsidR="00E909D6">
        <w:t>,</w:t>
      </w:r>
      <w:r w:rsidR="00144A23">
        <w:t xml:space="preserve"> the company </w:t>
      </w:r>
      <w:r w:rsidR="00E909D6">
        <w:t>stated</w:t>
      </w:r>
      <w:r w:rsidR="00E87853">
        <w:t xml:space="preserve"> that it was </w:t>
      </w:r>
      <w:r w:rsidR="00144A23">
        <w:t xml:space="preserve">no longer seeking </w:t>
      </w:r>
      <w:r w:rsidR="00E87853">
        <w:t xml:space="preserve">a </w:t>
      </w:r>
      <w:r w:rsidR="00144A23">
        <w:t>recommendation in population</w:t>
      </w:r>
      <w:r w:rsidR="00E909D6">
        <w:t> </w:t>
      </w:r>
      <w:r w:rsidR="00144A23">
        <w:t xml:space="preserve">4a, </w:t>
      </w:r>
      <w:r w:rsidR="00E909D6">
        <w:t xml:space="preserve">because </w:t>
      </w:r>
      <w:r w:rsidR="00144A23">
        <w:t>the incremental cost-effectiveness ratio (ICER) estimate was too high to be recommended for routine use in the NHS.</w:t>
      </w:r>
    </w:p>
    <w:p w14:paraId="585A0A2B" w14:textId="3B0C8683" w:rsidR="00144A23" w:rsidRDefault="00E87853" w:rsidP="00714F06">
      <w:pPr>
        <w:pStyle w:val="NICEnormalindented"/>
      </w:pPr>
      <w:r>
        <w:t xml:space="preserve">The clinical and patient experts agreed with the position of bempedoic acid proposed by the company and noted it would likely not be used </w:t>
      </w:r>
      <w:r w:rsidR="0013342B">
        <w:t>before</w:t>
      </w:r>
      <w:r>
        <w:t xml:space="preserve"> ezetimibe in NHS clinical practice. The committee concluded </w:t>
      </w:r>
      <w:r w:rsidR="00137D33">
        <w:t xml:space="preserve">that </w:t>
      </w:r>
      <w:r>
        <w:t>t</w:t>
      </w:r>
      <w:r w:rsidRPr="00C45D1E">
        <w:t xml:space="preserve">he company’s proposed position of bempedoic acid in the treatment pathway </w:t>
      </w:r>
      <w:r>
        <w:t>reflect</w:t>
      </w:r>
      <w:r w:rsidR="00A704AD">
        <w:t>s</w:t>
      </w:r>
      <w:r>
        <w:t xml:space="preserve"> NHS clinical practice</w:t>
      </w:r>
      <w:r w:rsidR="00A704AD">
        <w:t>.</w:t>
      </w:r>
    </w:p>
    <w:p w14:paraId="5BB115FD" w14:textId="24815427" w:rsidR="00643582" w:rsidRDefault="00BA18B7" w:rsidP="00643582">
      <w:pPr>
        <w:pStyle w:val="Heading2"/>
      </w:pPr>
      <w:r>
        <w:lastRenderedPageBreak/>
        <w:t xml:space="preserve">Previous </w:t>
      </w:r>
      <w:r w:rsidR="00C54207">
        <w:t>treatment with ezetimibe</w:t>
      </w:r>
    </w:p>
    <w:p w14:paraId="25B138BD" w14:textId="5A4FA43D" w:rsidR="00957269" w:rsidRDefault="00B565C3" w:rsidP="00957269">
      <w:pPr>
        <w:pStyle w:val="Heading3"/>
      </w:pPr>
      <w:bookmarkStart w:id="25" w:name="_The_network_meta-analyses"/>
      <w:bookmarkEnd w:id="25"/>
      <w:r>
        <w:t xml:space="preserve">The network meta-analyses should </w:t>
      </w:r>
      <w:r w:rsidR="005073C8">
        <w:t>include only</w:t>
      </w:r>
      <w:r>
        <w:t xml:space="preserve"> trials in which all patients were </w:t>
      </w:r>
      <w:r w:rsidR="00251151">
        <w:t xml:space="preserve">having </w:t>
      </w:r>
      <w:r>
        <w:t>ezetimibe at baseline</w:t>
      </w:r>
    </w:p>
    <w:p w14:paraId="3F4B7AB9" w14:textId="282A43E0" w:rsidR="000F4C43" w:rsidRPr="00F16A6E" w:rsidRDefault="00401B7C" w:rsidP="004B00E7">
      <w:pPr>
        <w:pStyle w:val="Numberedlevel2text"/>
        <w:rPr>
          <w:lang w:val="en-GB"/>
        </w:rPr>
      </w:pPr>
      <w:r w:rsidRPr="00F16A6E">
        <w:rPr>
          <w:lang w:val="en-GB"/>
        </w:rPr>
        <w:t>The company</w:t>
      </w:r>
      <w:r w:rsidR="00D024FB" w:rsidRPr="00F16A6E">
        <w:rPr>
          <w:lang w:val="en-GB"/>
        </w:rPr>
        <w:t xml:space="preserve">’s </w:t>
      </w:r>
      <w:r w:rsidR="00C54207" w:rsidRPr="00F16A6E">
        <w:rPr>
          <w:lang w:val="en-GB"/>
        </w:rPr>
        <w:t xml:space="preserve">pivotal </w:t>
      </w:r>
      <w:r w:rsidR="00D024FB" w:rsidRPr="001C4C0E">
        <w:rPr>
          <w:lang w:val="en-GB"/>
        </w:rPr>
        <w:t>trial evidence</w:t>
      </w:r>
      <w:r w:rsidR="00C54207" w:rsidRPr="002A1735">
        <w:rPr>
          <w:lang w:val="en-GB"/>
        </w:rPr>
        <w:t xml:space="preserve"> </w:t>
      </w:r>
      <w:r w:rsidR="00AC5818" w:rsidRPr="00464694">
        <w:rPr>
          <w:lang w:val="en-GB"/>
        </w:rPr>
        <w:t xml:space="preserve">for the effectiveness of </w:t>
      </w:r>
      <w:r w:rsidR="00714F06" w:rsidRPr="0059643A">
        <w:rPr>
          <w:lang w:val="en-GB"/>
        </w:rPr>
        <w:t>bempedoic</w:t>
      </w:r>
      <w:r w:rsidR="00AC5818" w:rsidRPr="00CE3C0D">
        <w:rPr>
          <w:lang w:val="en-GB"/>
        </w:rPr>
        <w:t xml:space="preserve"> acid </w:t>
      </w:r>
      <w:r w:rsidR="00C54207" w:rsidRPr="00FD41D9">
        <w:t>include</w:t>
      </w:r>
      <w:r w:rsidR="00C54207" w:rsidRPr="00FD41D9">
        <w:rPr>
          <w:lang w:val="en-GB"/>
        </w:rPr>
        <w:t>d 7</w:t>
      </w:r>
      <w:r w:rsidR="00251151">
        <w:rPr>
          <w:lang w:val="en-GB"/>
        </w:rPr>
        <w:t> </w:t>
      </w:r>
      <w:r w:rsidR="00C54207" w:rsidRPr="00FD41D9">
        <w:rPr>
          <w:lang w:val="en-GB"/>
        </w:rPr>
        <w:t xml:space="preserve">randomised controlled trials comprising </w:t>
      </w:r>
      <w:r w:rsidR="00C01F19">
        <w:rPr>
          <w:lang w:val="en-GB"/>
        </w:rPr>
        <w:t>4</w:t>
      </w:r>
      <w:r w:rsidR="00251151">
        <w:rPr>
          <w:lang w:val="en-GB"/>
        </w:rPr>
        <w:t> </w:t>
      </w:r>
      <w:r w:rsidR="00C54207" w:rsidRPr="00FD41D9">
        <w:rPr>
          <w:lang w:val="en-GB"/>
        </w:rPr>
        <w:t xml:space="preserve">trials of bempedoic acid </w:t>
      </w:r>
      <w:r w:rsidR="00C01F19">
        <w:rPr>
          <w:lang w:val="en-GB"/>
        </w:rPr>
        <w:t xml:space="preserve">alone, 1 of bempedoic acid </w:t>
      </w:r>
      <w:r w:rsidR="00C54207" w:rsidRPr="00FD41D9">
        <w:rPr>
          <w:lang w:val="en-GB"/>
        </w:rPr>
        <w:t>with ezetimibe</w:t>
      </w:r>
      <w:r w:rsidR="00C01F19">
        <w:rPr>
          <w:lang w:val="en-GB"/>
        </w:rPr>
        <w:t xml:space="preserve">, 1 of bempedoic acid alone or bempedoic acid with ezetimibe, </w:t>
      </w:r>
      <w:r w:rsidR="00C54207" w:rsidRPr="00FD41D9">
        <w:rPr>
          <w:lang w:val="en-GB"/>
        </w:rPr>
        <w:t>and 1</w:t>
      </w:r>
      <w:r w:rsidR="00251151">
        <w:rPr>
          <w:lang w:val="en-GB"/>
        </w:rPr>
        <w:t> </w:t>
      </w:r>
      <w:r w:rsidR="00AC5818" w:rsidRPr="00FD41D9">
        <w:rPr>
          <w:lang w:val="en-GB"/>
        </w:rPr>
        <w:t xml:space="preserve">trial </w:t>
      </w:r>
      <w:r w:rsidR="00714F06" w:rsidRPr="00FD41D9">
        <w:rPr>
          <w:lang w:val="en-GB"/>
        </w:rPr>
        <w:t>of bempedoic</w:t>
      </w:r>
      <w:r w:rsidR="00C54207" w:rsidRPr="00FD41D9">
        <w:rPr>
          <w:lang w:val="en-GB"/>
        </w:rPr>
        <w:t xml:space="preserve"> acid</w:t>
      </w:r>
      <w:r w:rsidR="00696F63">
        <w:rPr>
          <w:rFonts w:cs="Arial"/>
          <w:lang w:val="en-GB"/>
        </w:rPr>
        <w:t>–</w:t>
      </w:r>
      <w:r w:rsidR="00C54207" w:rsidRPr="00FD41D9">
        <w:rPr>
          <w:lang w:val="en-GB"/>
        </w:rPr>
        <w:t>ezetimibe</w:t>
      </w:r>
      <w:r w:rsidR="00C01F19">
        <w:rPr>
          <w:lang w:val="en-GB"/>
        </w:rPr>
        <w:t xml:space="preserve"> or bempedoic acid alone</w:t>
      </w:r>
      <w:r w:rsidR="00C54207" w:rsidRPr="00FD41D9">
        <w:rPr>
          <w:lang w:val="en-GB"/>
        </w:rPr>
        <w:t xml:space="preserve">. </w:t>
      </w:r>
      <w:r w:rsidR="00A245B1" w:rsidRPr="00FD41D9">
        <w:rPr>
          <w:lang w:val="en-GB"/>
        </w:rPr>
        <w:t>Except for</w:t>
      </w:r>
      <w:r w:rsidRPr="00FD41D9">
        <w:rPr>
          <w:lang w:val="en-GB"/>
        </w:rPr>
        <w:t xml:space="preserve"> CLEAR Tranquility, </w:t>
      </w:r>
      <w:r w:rsidR="00A245B1" w:rsidRPr="00FD41D9">
        <w:rPr>
          <w:lang w:val="en-GB"/>
        </w:rPr>
        <w:t xml:space="preserve">the </w:t>
      </w:r>
      <w:r w:rsidRPr="00FD41D9">
        <w:rPr>
          <w:lang w:val="en-GB"/>
        </w:rPr>
        <w:t xml:space="preserve">bempedoic acid </w:t>
      </w:r>
      <w:r w:rsidR="00251151">
        <w:rPr>
          <w:lang w:val="en-GB"/>
        </w:rPr>
        <w:t>trials</w:t>
      </w:r>
      <w:r w:rsidR="00251151" w:rsidRPr="00FD41D9">
        <w:rPr>
          <w:lang w:val="en-GB"/>
        </w:rPr>
        <w:t xml:space="preserve"> </w:t>
      </w:r>
      <w:r w:rsidRPr="00FD41D9">
        <w:rPr>
          <w:lang w:val="en-GB"/>
        </w:rPr>
        <w:t>include</w:t>
      </w:r>
      <w:r w:rsidR="00A245B1" w:rsidRPr="00FD41D9">
        <w:rPr>
          <w:lang w:val="en-GB"/>
        </w:rPr>
        <w:t>d</w:t>
      </w:r>
      <w:r w:rsidRPr="00FD41D9">
        <w:rPr>
          <w:lang w:val="en-GB"/>
        </w:rPr>
        <w:t xml:space="preserve"> patients who </w:t>
      </w:r>
      <w:r w:rsidR="00251151">
        <w:rPr>
          <w:lang w:val="en-GB"/>
        </w:rPr>
        <w:t>had</w:t>
      </w:r>
      <w:r w:rsidR="00251151" w:rsidRPr="00FD41D9">
        <w:rPr>
          <w:lang w:val="en-GB"/>
        </w:rPr>
        <w:t xml:space="preserve"> </w:t>
      </w:r>
      <w:r w:rsidRPr="00FD41D9">
        <w:rPr>
          <w:lang w:val="en-GB"/>
        </w:rPr>
        <w:t xml:space="preserve">not previously </w:t>
      </w:r>
      <w:r w:rsidR="00251151">
        <w:rPr>
          <w:lang w:val="en-GB"/>
        </w:rPr>
        <w:t>had treatment</w:t>
      </w:r>
      <w:r w:rsidR="00251151" w:rsidRPr="00FD41D9">
        <w:rPr>
          <w:lang w:val="en-GB"/>
        </w:rPr>
        <w:t xml:space="preserve"> </w:t>
      </w:r>
      <w:r w:rsidRPr="00FD41D9">
        <w:rPr>
          <w:lang w:val="en-GB"/>
        </w:rPr>
        <w:t xml:space="preserve">with ezetimibe at baseline or who have </w:t>
      </w:r>
      <w:r w:rsidR="00251151">
        <w:rPr>
          <w:lang w:val="en-GB"/>
        </w:rPr>
        <w:t>had</w:t>
      </w:r>
      <w:r w:rsidR="00251151" w:rsidRPr="00FD41D9">
        <w:rPr>
          <w:lang w:val="en-GB"/>
        </w:rPr>
        <w:t xml:space="preserve"> </w:t>
      </w:r>
      <w:r w:rsidRPr="00FD41D9">
        <w:rPr>
          <w:lang w:val="en-GB"/>
        </w:rPr>
        <w:t>a washout period of lipid</w:t>
      </w:r>
      <w:r w:rsidR="00852273">
        <w:rPr>
          <w:lang w:val="en-GB"/>
        </w:rPr>
        <w:t>-</w:t>
      </w:r>
      <w:r w:rsidRPr="00FD41D9">
        <w:rPr>
          <w:lang w:val="en-GB"/>
        </w:rPr>
        <w:t xml:space="preserve">lowering therapies. </w:t>
      </w:r>
      <w:r w:rsidR="00A245B1" w:rsidRPr="00FD41D9">
        <w:rPr>
          <w:lang w:val="en-GB"/>
        </w:rPr>
        <w:t xml:space="preserve">The ERG noted that this is not reflective of clinical practice </w:t>
      </w:r>
      <w:r w:rsidR="00634AC3">
        <w:rPr>
          <w:lang w:val="en-GB"/>
        </w:rPr>
        <w:t>because</w:t>
      </w:r>
      <w:r w:rsidR="00634AC3" w:rsidRPr="00FD41D9">
        <w:rPr>
          <w:lang w:val="en-GB"/>
        </w:rPr>
        <w:t xml:space="preserve"> </w:t>
      </w:r>
      <w:r w:rsidR="00A245B1" w:rsidRPr="00FD41D9">
        <w:rPr>
          <w:lang w:val="en-GB"/>
        </w:rPr>
        <w:t xml:space="preserve">patients would be expected to have previously </w:t>
      </w:r>
      <w:r w:rsidR="00634AC3">
        <w:rPr>
          <w:lang w:val="en-GB"/>
        </w:rPr>
        <w:t>had</w:t>
      </w:r>
      <w:r w:rsidR="00A245B1" w:rsidRPr="00FD41D9">
        <w:rPr>
          <w:lang w:val="en-GB"/>
        </w:rPr>
        <w:t xml:space="preserve"> ezetimibe according to the treatment pathway</w:t>
      </w:r>
      <w:r w:rsidR="00E87853" w:rsidRPr="00FD41D9">
        <w:rPr>
          <w:lang w:val="en-GB"/>
        </w:rPr>
        <w:t xml:space="preserve"> (</w:t>
      </w:r>
      <w:hyperlink w:anchor="_The_company’s_proposed" w:history="1">
        <w:r w:rsidR="00E87853" w:rsidRPr="00F161F8">
          <w:rPr>
            <w:rStyle w:val="Hyperlink"/>
            <w:lang w:val="en-GB"/>
          </w:rPr>
          <w:t>see section</w:t>
        </w:r>
        <w:r w:rsidR="00634AC3" w:rsidRPr="00F161F8">
          <w:rPr>
            <w:rStyle w:val="Hyperlink"/>
            <w:lang w:val="en-GB"/>
          </w:rPr>
          <w:t> </w:t>
        </w:r>
        <w:r w:rsidR="00E87853" w:rsidRPr="00F161F8">
          <w:rPr>
            <w:rStyle w:val="Hyperlink"/>
            <w:lang w:val="en-GB"/>
          </w:rPr>
          <w:t>3.2</w:t>
        </w:r>
      </w:hyperlink>
      <w:r w:rsidR="00E87853" w:rsidRPr="00FD41D9">
        <w:rPr>
          <w:lang w:val="en-GB"/>
        </w:rPr>
        <w:t>)</w:t>
      </w:r>
      <w:r w:rsidR="00A245B1" w:rsidRPr="00FD41D9">
        <w:rPr>
          <w:lang w:val="en-GB"/>
        </w:rPr>
        <w:t xml:space="preserve">. </w:t>
      </w:r>
      <w:r w:rsidR="00F16A6E" w:rsidRPr="00F16A6E">
        <w:rPr>
          <w:lang w:val="en-GB"/>
        </w:rPr>
        <w:t>The clinical expert explained that generalising the clinical effectiveness of previous ezetimibe</w:t>
      </w:r>
      <w:r w:rsidR="00E30D81">
        <w:rPr>
          <w:lang w:val="en-GB"/>
        </w:rPr>
        <w:t xml:space="preserve"> on improving cardiovascular outcomes and lipid levels</w:t>
      </w:r>
      <w:r w:rsidR="00F16A6E" w:rsidRPr="00F16A6E">
        <w:rPr>
          <w:lang w:val="en-GB"/>
        </w:rPr>
        <w:t xml:space="preserve"> depends on the length of time </w:t>
      </w:r>
      <w:r w:rsidR="009E359E">
        <w:rPr>
          <w:lang w:val="en-GB"/>
        </w:rPr>
        <w:t>that a patient was having</w:t>
      </w:r>
      <w:r w:rsidR="00F16A6E" w:rsidRPr="00F16A6E">
        <w:rPr>
          <w:lang w:val="en-GB"/>
        </w:rPr>
        <w:t xml:space="preserve"> ezetimibe and the time since </w:t>
      </w:r>
      <w:r w:rsidR="009E359E">
        <w:rPr>
          <w:lang w:val="en-GB"/>
        </w:rPr>
        <w:t>stopping</w:t>
      </w:r>
      <w:r w:rsidR="00F16A6E" w:rsidRPr="00F16A6E">
        <w:rPr>
          <w:lang w:val="en-GB"/>
        </w:rPr>
        <w:t xml:space="preserve">. The clinical expert noted that the length of time </w:t>
      </w:r>
      <w:r w:rsidR="009E359E">
        <w:rPr>
          <w:lang w:val="en-GB"/>
        </w:rPr>
        <w:t xml:space="preserve">that a patient was having </w:t>
      </w:r>
      <w:r w:rsidR="00F16A6E" w:rsidRPr="00F16A6E">
        <w:rPr>
          <w:lang w:val="en-GB"/>
        </w:rPr>
        <w:t xml:space="preserve">ezetimibe will </w:t>
      </w:r>
      <w:r w:rsidR="009E359E">
        <w:rPr>
          <w:lang w:val="en-GB"/>
        </w:rPr>
        <w:t>have an effect</w:t>
      </w:r>
      <w:r w:rsidR="009E359E" w:rsidRPr="00F16A6E">
        <w:rPr>
          <w:lang w:val="en-GB"/>
        </w:rPr>
        <w:t xml:space="preserve"> </w:t>
      </w:r>
      <w:r w:rsidR="00F16A6E" w:rsidRPr="00F16A6E">
        <w:rPr>
          <w:lang w:val="en-GB"/>
        </w:rPr>
        <w:t xml:space="preserve">on cardiovascular outcomes </w:t>
      </w:r>
      <w:r w:rsidR="009E359E">
        <w:rPr>
          <w:lang w:val="en-GB"/>
        </w:rPr>
        <w:t>for</w:t>
      </w:r>
      <w:r w:rsidR="009E359E" w:rsidRPr="00F16A6E">
        <w:rPr>
          <w:lang w:val="en-GB"/>
        </w:rPr>
        <w:t xml:space="preserve"> </w:t>
      </w:r>
      <w:r w:rsidR="00F16A6E" w:rsidRPr="00F16A6E">
        <w:rPr>
          <w:lang w:val="en-GB"/>
        </w:rPr>
        <w:t xml:space="preserve">patients, and the time </w:t>
      </w:r>
      <w:r w:rsidR="006A31EF">
        <w:rPr>
          <w:lang w:val="en-GB"/>
        </w:rPr>
        <w:t>from</w:t>
      </w:r>
      <w:r w:rsidR="006A31EF" w:rsidRPr="00F16A6E">
        <w:rPr>
          <w:lang w:val="en-GB"/>
        </w:rPr>
        <w:t xml:space="preserve"> </w:t>
      </w:r>
      <w:r w:rsidR="009E359E">
        <w:rPr>
          <w:lang w:val="en-GB"/>
        </w:rPr>
        <w:t>stopping</w:t>
      </w:r>
      <w:r w:rsidR="009E359E" w:rsidRPr="00F16A6E">
        <w:rPr>
          <w:lang w:val="en-GB"/>
        </w:rPr>
        <w:t xml:space="preserve"> </w:t>
      </w:r>
      <w:r w:rsidR="00F16A6E" w:rsidRPr="00F16A6E">
        <w:rPr>
          <w:lang w:val="en-GB"/>
        </w:rPr>
        <w:t xml:space="preserve">will </w:t>
      </w:r>
      <w:r w:rsidR="009E359E">
        <w:rPr>
          <w:lang w:val="en-GB"/>
        </w:rPr>
        <w:t>affect</w:t>
      </w:r>
      <w:r w:rsidR="00F16A6E" w:rsidRPr="00F16A6E">
        <w:rPr>
          <w:lang w:val="en-GB"/>
        </w:rPr>
        <w:t xml:space="preserve"> </w:t>
      </w:r>
      <w:r w:rsidR="00685149">
        <w:rPr>
          <w:lang w:val="en-GB"/>
        </w:rPr>
        <w:t xml:space="preserve">the </w:t>
      </w:r>
      <w:r w:rsidR="00E30D81">
        <w:rPr>
          <w:lang w:val="en-GB"/>
        </w:rPr>
        <w:t>patients</w:t>
      </w:r>
      <w:r w:rsidR="009E359E">
        <w:rPr>
          <w:lang w:val="en-GB"/>
        </w:rPr>
        <w:t xml:space="preserve"> </w:t>
      </w:r>
      <w:r w:rsidR="00F16A6E" w:rsidRPr="00F16A6E">
        <w:rPr>
          <w:lang w:val="en-GB"/>
        </w:rPr>
        <w:t xml:space="preserve">lipid profile. Furthermore, </w:t>
      </w:r>
      <w:r w:rsidR="006A31EF">
        <w:rPr>
          <w:lang w:val="en-GB"/>
        </w:rPr>
        <w:t xml:space="preserve">a </w:t>
      </w:r>
      <w:r w:rsidR="00F16A6E" w:rsidRPr="00F16A6E">
        <w:rPr>
          <w:lang w:val="en-GB"/>
        </w:rPr>
        <w:t>washout</w:t>
      </w:r>
      <w:r w:rsidR="006A31EF">
        <w:rPr>
          <w:lang w:val="en-GB"/>
        </w:rPr>
        <w:t xml:space="preserve"> period</w:t>
      </w:r>
      <w:r w:rsidR="00F16A6E" w:rsidRPr="00F16A6E">
        <w:rPr>
          <w:lang w:val="en-GB"/>
        </w:rPr>
        <w:t xml:space="preserve"> before bempedoic acid therapy may mitigate the effect of previous ezetimibe treatment</w:t>
      </w:r>
      <w:r w:rsidR="00F16A6E">
        <w:rPr>
          <w:lang w:val="en-GB"/>
        </w:rPr>
        <w:t xml:space="preserve">. </w:t>
      </w:r>
      <w:r w:rsidR="00762D70" w:rsidRPr="00FD41D9">
        <w:rPr>
          <w:lang w:val="en-GB"/>
        </w:rPr>
        <w:t>At the second committee meeting</w:t>
      </w:r>
      <w:r w:rsidR="009E359E">
        <w:rPr>
          <w:lang w:val="en-GB"/>
        </w:rPr>
        <w:t>,</w:t>
      </w:r>
      <w:r w:rsidR="00762D70" w:rsidRPr="00FD41D9">
        <w:rPr>
          <w:lang w:val="en-GB"/>
        </w:rPr>
        <w:t xml:space="preserve"> the company updated its </w:t>
      </w:r>
      <w:r w:rsidR="001B0EE8">
        <w:rPr>
          <w:lang w:val="en-GB"/>
        </w:rPr>
        <w:t>analysis to include a restricted network of trials for population</w:t>
      </w:r>
      <w:r w:rsidR="00FE5116">
        <w:rPr>
          <w:lang w:val="en-GB"/>
        </w:rPr>
        <w:t>s</w:t>
      </w:r>
      <w:r w:rsidR="006A31EF">
        <w:rPr>
          <w:lang w:val="en-GB"/>
        </w:rPr>
        <w:t> </w:t>
      </w:r>
      <w:r w:rsidR="001B0EE8">
        <w:rPr>
          <w:lang w:val="en-GB"/>
        </w:rPr>
        <w:t>2</w:t>
      </w:r>
      <w:r w:rsidR="00FE5116">
        <w:rPr>
          <w:lang w:val="en-GB"/>
        </w:rPr>
        <w:t>a and 2b</w:t>
      </w:r>
      <w:r w:rsidR="001B0EE8">
        <w:rPr>
          <w:lang w:val="en-GB"/>
        </w:rPr>
        <w:t xml:space="preserve"> and</w:t>
      </w:r>
      <w:r w:rsidR="006A31EF">
        <w:rPr>
          <w:lang w:val="en-GB"/>
        </w:rPr>
        <w:t> </w:t>
      </w:r>
      <w:r w:rsidR="00FE5116">
        <w:rPr>
          <w:lang w:val="en-GB"/>
        </w:rPr>
        <w:t>4b</w:t>
      </w:r>
      <w:r w:rsidR="004B00E7">
        <w:rPr>
          <w:lang w:val="en-GB"/>
        </w:rPr>
        <w:t xml:space="preserve">, in which all patients were </w:t>
      </w:r>
      <w:r w:rsidR="009E359E">
        <w:rPr>
          <w:lang w:val="en-GB"/>
        </w:rPr>
        <w:t xml:space="preserve">having </w:t>
      </w:r>
      <w:r w:rsidR="004B00E7">
        <w:rPr>
          <w:lang w:val="en-GB"/>
        </w:rPr>
        <w:t>ezetimibe at baseline (</w:t>
      </w:r>
      <w:hyperlink w:anchor="_The_ERG’s_updated" w:history="1">
        <w:r w:rsidR="004B00E7" w:rsidRPr="007977DD">
          <w:rPr>
            <w:rStyle w:val="Hyperlink"/>
            <w:lang w:val="en-GB"/>
          </w:rPr>
          <w:t xml:space="preserve">see </w:t>
        </w:r>
        <w:r w:rsidR="009E359E" w:rsidRPr="007977DD">
          <w:rPr>
            <w:rStyle w:val="Hyperlink"/>
            <w:lang w:val="en-GB"/>
          </w:rPr>
          <w:t>s</w:t>
        </w:r>
        <w:r w:rsidR="004B00E7" w:rsidRPr="007977DD">
          <w:rPr>
            <w:rStyle w:val="Hyperlink"/>
            <w:lang w:val="en-GB"/>
          </w:rPr>
          <w:t>ection</w:t>
        </w:r>
        <w:r w:rsidR="009E359E" w:rsidRPr="007977DD">
          <w:rPr>
            <w:rStyle w:val="Hyperlink"/>
            <w:lang w:val="en-GB"/>
          </w:rPr>
          <w:t> </w:t>
        </w:r>
        <w:r w:rsidR="009E6729" w:rsidRPr="007977DD">
          <w:rPr>
            <w:rStyle w:val="Hyperlink"/>
            <w:lang w:val="en-GB"/>
          </w:rPr>
          <w:t>3.8</w:t>
        </w:r>
      </w:hyperlink>
      <w:r w:rsidR="009E6729">
        <w:rPr>
          <w:lang w:val="en-GB"/>
        </w:rPr>
        <w:t>).</w:t>
      </w:r>
      <w:r w:rsidR="004B00E7">
        <w:rPr>
          <w:lang w:val="en-GB"/>
        </w:rPr>
        <w:t xml:space="preserve"> The updated analysis included all the appropriate data from the CLEAR </w:t>
      </w:r>
      <w:r w:rsidR="009E359E">
        <w:rPr>
          <w:lang w:val="en-GB"/>
        </w:rPr>
        <w:t>trials</w:t>
      </w:r>
      <w:r w:rsidR="004B00E7">
        <w:rPr>
          <w:lang w:val="en-GB"/>
        </w:rPr>
        <w:t xml:space="preserve">. </w:t>
      </w:r>
      <w:r w:rsidR="00762D70" w:rsidRPr="00F16A6E">
        <w:rPr>
          <w:lang w:val="en-GB"/>
        </w:rPr>
        <w:t>The company noted that</w:t>
      </w:r>
      <w:r w:rsidR="004B00E7">
        <w:rPr>
          <w:lang w:val="en-GB"/>
        </w:rPr>
        <w:t xml:space="preserve"> it </w:t>
      </w:r>
      <w:r w:rsidR="00762D70" w:rsidRPr="00F16A6E">
        <w:rPr>
          <w:lang w:val="en-GB"/>
        </w:rPr>
        <w:t xml:space="preserve">was not feasible </w:t>
      </w:r>
      <w:r w:rsidR="004B00E7">
        <w:rPr>
          <w:lang w:val="en-GB"/>
        </w:rPr>
        <w:t xml:space="preserve">to include a network in which all trials had high background ezetimibe use (80% or more) </w:t>
      </w:r>
      <w:r w:rsidR="00762D70" w:rsidRPr="00F16A6E">
        <w:rPr>
          <w:lang w:val="en-GB"/>
        </w:rPr>
        <w:t>in population</w:t>
      </w:r>
      <w:r w:rsidR="00C83909">
        <w:rPr>
          <w:lang w:val="en-GB"/>
        </w:rPr>
        <w:t> </w:t>
      </w:r>
      <w:r w:rsidR="00FE5116">
        <w:rPr>
          <w:lang w:val="en-GB"/>
        </w:rPr>
        <w:t>4b</w:t>
      </w:r>
      <w:r w:rsidR="006A31EF">
        <w:rPr>
          <w:lang w:val="en-GB"/>
        </w:rPr>
        <w:t xml:space="preserve"> (people having the maximally tolerated statin dose with ezetimibe alone)</w:t>
      </w:r>
      <w:r w:rsidR="00762D70" w:rsidRPr="00F16A6E">
        <w:rPr>
          <w:lang w:val="en-GB"/>
        </w:rPr>
        <w:t xml:space="preserve"> </w:t>
      </w:r>
      <w:r w:rsidR="009E359E">
        <w:rPr>
          <w:lang w:val="en-GB"/>
        </w:rPr>
        <w:t>because</w:t>
      </w:r>
      <w:r w:rsidR="009E359E" w:rsidRPr="00F16A6E">
        <w:rPr>
          <w:lang w:val="en-GB"/>
        </w:rPr>
        <w:t xml:space="preserve"> </w:t>
      </w:r>
      <w:r w:rsidR="00762D70" w:rsidRPr="00F16A6E">
        <w:rPr>
          <w:lang w:val="en-GB"/>
        </w:rPr>
        <w:t>all trials reported less than 20% of patients on ezetimibe at baseline (or data were not reported).</w:t>
      </w:r>
      <w:r w:rsidR="004B00E7">
        <w:rPr>
          <w:lang w:val="en-GB"/>
        </w:rPr>
        <w:t xml:space="preserve"> However, if the threshold were relaxed to 60%, </w:t>
      </w:r>
      <w:r w:rsidR="00A304BF">
        <w:rPr>
          <w:lang w:val="en-GB"/>
        </w:rPr>
        <w:t>1 trial</w:t>
      </w:r>
      <w:r w:rsidR="004B00E7">
        <w:rPr>
          <w:lang w:val="en-GB"/>
        </w:rPr>
        <w:t xml:space="preserve"> could be added to population</w:t>
      </w:r>
      <w:r w:rsidR="00FE5116">
        <w:rPr>
          <w:lang w:val="en-GB"/>
        </w:rPr>
        <w:t>s</w:t>
      </w:r>
      <w:r w:rsidR="00A304BF">
        <w:rPr>
          <w:lang w:val="en-GB"/>
        </w:rPr>
        <w:t> </w:t>
      </w:r>
      <w:r w:rsidR="004B00E7">
        <w:rPr>
          <w:lang w:val="en-GB"/>
        </w:rPr>
        <w:t>2</w:t>
      </w:r>
      <w:r w:rsidR="00FE5116">
        <w:rPr>
          <w:lang w:val="en-GB"/>
        </w:rPr>
        <w:t>a and</w:t>
      </w:r>
      <w:r w:rsidR="00C83909">
        <w:rPr>
          <w:lang w:val="en-GB"/>
        </w:rPr>
        <w:t> </w:t>
      </w:r>
      <w:r w:rsidR="00FE5116">
        <w:rPr>
          <w:lang w:val="en-GB"/>
        </w:rPr>
        <w:t>2b</w:t>
      </w:r>
      <w:r w:rsidR="006A31EF">
        <w:rPr>
          <w:lang w:val="en-GB"/>
        </w:rPr>
        <w:t xml:space="preserve"> (people who were intolerant to statins)</w:t>
      </w:r>
      <w:r w:rsidR="004B00E7">
        <w:rPr>
          <w:lang w:val="en-GB"/>
        </w:rPr>
        <w:t xml:space="preserve"> network.</w:t>
      </w:r>
      <w:r w:rsidRPr="00F16A6E">
        <w:rPr>
          <w:lang w:val="en-GB"/>
        </w:rPr>
        <w:t xml:space="preserve"> </w:t>
      </w:r>
      <w:r w:rsidR="000F4C43" w:rsidRPr="00FD41D9">
        <w:rPr>
          <w:lang w:val="en-GB"/>
        </w:rPr>
        <w:t>The committee</w:t>
      </w:r>
      <w:r w:rsidR="004B00E7">
        <w:rPr>
          <w:lang w:val="en-GB"/>
        </w:rPr>
        <w:t xml:space="preserve"> </w:t>
      </w:r>
      <w:r w:rsidR="004B00E7">
        <w:rPr>
          <w:lang w:val="en-GB"/>
        </w:rPr>
        <w:lastRenderedPageBreak/>
        <w:t>concluded</w:t>
      </w:r>
      <w:r w:rsidR="000F4C43" w:rsidRPr="00FD41D9">
        <w:rPr>
          <w:lang w:val="en-GB"/>
        </w:rPr>
        <w:t xml:space="preserve"> </w:t>
      </w:r>
      <w:r w:rsidR="004B00E7">
        <w:rPr>
          <w:lang w:val="en-GB"/>
        </w:rPr>
        <w:t>that, given the proposed positioning of bempedoic acid</w:t>
      </w:r>
      <w:r w:rsidR="00B565C3">
        <w:rPr>
          <w:lang w:val="en-GB"/>
        </w:rPr>
        <w:t xml:space="preserve"> in the treatment pathway</w:t>
      </w:r>
      <w:r w:rsidR="004B00E7">
        <w:rPr>
          <w:lang w:val="en-GB"/>
        </w:rPr>
        <w:t xml:space="preserve">, the </w:t>
      </w:r>
      <w:r w:rsidR="00DB4830">
        <w:rPr>
          <w:lang w:val="en-GB"/>
        </w:rPr>
        <w:t xml:space="preserve">network meta-analyses </w:t>
      </w:r>
      <w:r w:rsidR="004B00E7">
        <w:rPr>
          <w:lang w:val="en-GB"/>
        </w:rPr>
        <w:t xml:space="preserve">should be restricted to include </w:t>
      </w:r>
      <w:r w:rsidR="00B565C3">
        <w:rPr>
          <w:lang w:val="en-GB"/>
        </w:rPr>
        <w:t xml:space="preserve">only patients </w:t>
      </w:r>
      <w:r w:rsidR="00DB4830">
        <w:rPr>
          <w:lang w:val="en-GB"/>
        </w:rPr>
        <w:t xml:space="preserve">having </w:t>
      </w:r>
      <w:r w:rsidR="00B565C3">
        <w:rPr>
          <w:lang w:val="en-GB"/>
        </w:rPr>
        <w:t>ezetimibe at baseline.</w:t>
      </w:r>
    </w:p>
    <w:p w14:paraId="770B7FEB" w14:textId="030E5744" w:rsidR="00E42743" w:rsidRDefault="00BA18B7" w:rsidP="00643582">
      <w:pPr>
        <w:pStyle w:val="Heading2"/>
      </w:pPr>
      <w:r>
        <w:t xml:space="preserve">Baseline LDL-C </w:t>
      </w:r>
      <w:r w:rsidR="004A4769">
        <w:t xml:space="preserve">levels </w:t>
      </w:r>
      <w:r>
        <w:t xml:space="preserve">in subpopulations not eligible for </w:t>
      </w:r>
      <w:r w:rsidR="008926F8">
        <w:t>a</w:t>
      </w:r>
      <w:r w:rsidR="00522419">
        <w:t>lirocumab</w:t>
      </w:r>
      <w:r w:rsidR="000737F3">
        <w:t xml:space="preserve"> or </w:t>
      </w:r>
      <w:r w:rsidR="008926F8">
        <w:t>e</w:t>
      </w:r>
      <w:r w:rsidR="00522419">
        <w:t>volocumab</w:t>
      </w:r>
    </w:p>
    <w:p w14:paraId="7FB88324" w14:textId="1A414896" w:rsidR="00A236F8" w:rsidRDefault="00500003" w:rsidP="00A236F8">
      <w:pPr>
        <w:pStyle w:val="Heading3"/>
      </w:pPr>
      <w:bookmarkStart w:id="26" w:name="_Because_of_the"/>
      <w:bookmarkEnd w:id="26"/>
      <w:r>
        <w:t xml:space="preserve">Because of </w:t>
      </w:r>
      <w:r w:rsidR="00564EC1">
        <w:t xml:space="preserve">the </w:t>
      </w:r>
      <w:r w:rsidR="00C610B4">
        <w:t xml:space="preserve">trial </w:t>
      </w:r>
      <w:r w:rsidR="00564EC1">
        <w:t xml:space="preserve">limitations, </w:t>
      </w:r>
      <w:r w:rsidR="00AC7460">
        <w:t>cost-effectiveness results do not reflect the intended positioning of bempedoic acid</w:t>
      </w:r>
    </w:p>
    <w:p w14:paraId="24327015" w14:textId="31E504E8" w:rsidR="00E32D39" w:rsidRPr="00714F06" w:rsidRDefault="00E32D39" w:rsidP="003A57F4">
      <w:pPr>
        <w:pStyle w:val="Numberedlevel2text"/>
      </w:pPr>
      <w:r>
        <w:rPr>
          <w:lang w:val="en-GB"/>
        </w:rPr>
        <w:t>The company</w:t>
      </w:r>
      <w:r w:rsidR="00121A4E">
        <w:rPr>
          <w:lang w:val="en-GB"/>
        </w:rPr>
        <w:t xml:space="preserve"> used different mean baseline LDL-C levels </w:t>
      </w:r>
      <w:r w:rsidR="009001D1">
        <w:rPr>
          <w:lang w:val="en-GB"/>
        </w:rPr>
        <w:t xml:space="preserve">in its economic model </w:t>
      </w:r>
      <w:r w:rsidR="000F2A4D">
        <w:rPr>
          <w:lang w:val="en-GB"/>
        </w:rPr>
        <w:t>depending on the position</w:t>
      </w:r>
      <w:r w:rsidR="00273E4A">
        <w:rPr>
          <w:lang w:val="en-GB"/>
        </w:rPr>
        <w:t xml:space="preserve"> of bempedoic acid</w:t>
      </w:r>
      <w:r w:rsidR="000F2A4D">
        <w:rPr>
          <w:lang w:val="en-GB"/>
        </w:rPr>
        <w:t xml:space="preserve"> in the treatment pathway. I</w:t>
      </w:r>
      <w:r w:rsidR="00A46480">
        <w:rPr>
          <w:lang w:val="en-GB"/>
        </w:rPr>
        <w:t xml:space="preserve">n </w:t>
      </w:r>
      <w:r w:rsidR="000F2A4D">
        <w:rPr>
          <w:lang w:val="en-GB"/>
        </w:rPr>
        <w:t xml:space="preserve">patients </w:t>
      </w:r>
      <w:r w:rsidR="00500003">
        <w:rPr>
          <w:lang w:val="en-GB"/>
        </w:rPr>
        <w:t>who could have</w:t>
      </w:r>
      <w:r w:rsidR="000F2A4D">
        <w:rPr>
          <w:lang w:val="en-GB"/>
        </w:rPr>
        <w:t xml:space="preserve"> alirocumab and evolocumab, the company</w:t>
      </w:r>
      <w:r>
        <w:rPr>
          <w:lang w:val="en-GB"/>
        </w:rPr>
        <w:t xml:space="preserve"> used</w:t>
      </w:r>
      <w:r w:rsidR="00A46480">
        <w:rPr>
          <w:lang w:val="en-GB"/>
        </w:rPr>
        <w:t xml:space="preserve"> mean</w:t>
      </w:r>
      <w:r>
        <w:rPr>
          <w:lang w:val="en-GB"/>
        </w:rPr>
        <w:t xml:space="preserve"> baseline LDL-C levels </w:t>
      </w:r>
      <w:r w:rsidR="000F2A4D">
        <w:rPr>
          <w:lang w:val="en-GB"/>
        </w:rPr>
        <w:t>from patients</w:t>
      </w:r>
      <w:r>
        <w:rPr>
          <w:lang w:val="en-GB"/>
        </w:rPr>
        <w:t xml:space="preserve"> </w:t>
      </w:r>
      <w:r w:rsidR="006A330C">
        <w:rPr>
          <w:lang w:val="en-GB"/>
        </w:rPr>
        <w:t>having</w:t>
      </w:r>
      <w:r w:rsidR="000F2A4D">
        <w:rPr>
          <w:lang w:val="en-GB"/>
        </w:rPr>
        <w:t xml:space="preserve"> alirocumab and evolocumab treatment </w:t>
      </w:r>
      <w:r>
        <w:rPr>
          <w:lang w:val="en-GB"/>
        </w:rPr>
        <w:t>in the CLEAR trials</w:t>
      </w:r>
      <w:r w:rsidR="000F2A4D">
        <w:rPr>
          <w:lang w:val="en-GB"/>
        </w:rPr>
        <w:t xml:space="preserve">. However, in patients </w:t>
      </w:r>
      <w:r w:rsidR="006A330C">
        <w:rPr>
          <w:lang w:val="en-GB"/>
        </w:rPr>
        <w:t>who could not have</w:t>
      </w:r>
      <w:r w:rsidR="000F2A4D">
        <w:rPr>
          <w:lang w:val="en-GB"/>
        </w:rPr>
        <w:t xml:space="preserve"> alirocumab and evolocumab, baseline LDL-C levels were taken from all patients in the CLEAR trials </w:t>
      </w:r>
      <w:r w:rsidR="00A46480">
        <w:rPr>
          <w:lang w:val="en-GB"/>
        </w:rPr>
        <w:t xml:space="preserve">and did not distinguish between those </w:t>
      </w:r>
      <w:r w:rsidR="008452C7">
        <w:rPr>
          <w:lang w:val="en-GB"/>
        </w:rPr>
        <w:t>who could have</w:t>
      </w:r>
      <w:r w:rsidR="00A46480">
        <w:rPr>
          <w:lang w:val="en-GB"/>
        </w:rPr>
        <w:t xml:space="preserve"> </w:t>
      </w:r>
      <w:r w:rsidR="00522419">
        <w:t>alirocumab</w:t>
      </w:r>
      <w:r w:rsidR="002A1735">
        <w:rPr>
          <w:lang w:val="en-GB"/>
        </w:rPr>
        <w:t xml:space="preserve"> or </w:t>
      </w:r>
      <w:r w:rsidR="00522419">
        <w:t>evolocumab</w:t>
      </w:r>
      <w:r w:rsidR="00A46480">
        <w:rPr>
          <w:lang w:val="en-GB"/>
        </w:rPr>
        <w:t xml:space="preserve"> and </w:t>
      </w:r>
      <w:r w:rsidR="008452C7">
        <w:rPr>
          <w:lang w:val="en-GB"/>
        </w:rPr>
        <w:t>those who could not</w:t>
      </w:r>
      <w:r w:rsidR="00A46480">
        <w:rPr>
          <w:lang w:val="en-GB"/>
        </w:rPr>
        <w:t xml:space="preserve">. </w:t>
      </w:r>
      <w:hyperlink r:id="rId15" w:history="1">
        <w:r w:rsidR="002A1735" w:rsidRPr="008452C7">
          <w:rPr>
            <w:rStyle w:val="Hyperlink"/>
            <w:lang w:val="en-GB"/>
          </w:rPr>
          <w:t>NICE's technology appraisal guidance on</w:t>
        </w:r>
        <w:r w:rsidRPr="008452C7">
          <w:rPr>
            <w:rStyle w:val="Hyperlink"/>
            <w:lang w:val="en-GB"/>
          </w:rPr>
          <w:t xml:space="preserve"> </w:t>
        </w:r>
        <w:r w:rsidR="002A1735" w:rsidRPr="008452C7">
          <w:rPr>
            <w:rStyle w:val="Hyperlink"/>
            <w:lang w:val="en-GB"/>
          </w:rPr>
          <w:t>a</w:t>
        </w:r>
        <w:r w:rsidR="00FC0E36" w:rsidRPr="008452C7">
          <w:rPr>
            <w:rStyle w:val="Hyperlink"/>
          </w:rPr>
          <w:t>lirocumab</w:t>
        </w:r>
      </w:hyperlink>
      <w:r w:rsidR="004A4769" w:rsidRPr="00714F06">
        <w:t xml:space="preserve"> </w:t>
      </w:r>
      <w:r w:rsidR="00FC0E36" w:rsidRPr="00714F06">
        <w:t xml:space="preserve">and </w:t>
      </w:r>
      <w:hyperlink r:id="rId16" w:history="1">
        <w:r w:rsidR="00FC0E36" w:rsidRPr="008452C7">
          <w:rPr>
            <w:rStyle w:val="Hyperlink"/>
          </w:rPr>
          <w:t>evolocumab</w:t>
        </w:r>
      </w:hyperlink>
      <w:r w:rsidR="004A4769" w:rsidRPr="00714F06">
        <w:t xml:space="preserve"> </w:t>
      </w:r>
      <w:r w:rsidR="002A1735">
        <w:rPr>
          <w:lang w:val="en-GB"/>
        </w:rPr>
        <w:t>recommend treatment</w:t>
      </w:r>
      <w:r>
        <w:rPr>
          <w:lang w:val="en-GB"/>
        </w:rPr>
        <w:t xml:space="preserve"> </w:t>
      </w:r>
      <w:r w:rsidR="002A1735">
        <w:rPr>
          <w:lang w:val="en-GB"/>
        </w:rPr>
        <w:t>for</w:t>
      </w:r>
      <w:r>
        <w:rPr>
          <w:lang w:val="en-GB"/>
        </w:rPr>
        <w:t>:</w:t>
      </w:r>
    </w:p>
    <w:p w14:paraId="0C8264CD" w14:textId="12F00100" w:rsidR="00E32D39" w:rsidRDefault="00E56E4D" w:rsidP="008F3D77">
      <w:pPr>
        <w:pStyle w:val="Bulletindent1"/>
      </w:pPr>
      <w:r>
        <w:t>p</w:t>
      </w:r>
      <w:r w:rsidR="00E32D39">
        <w:t>rimary prevention patients with h</w:t>
      </w:r>
      <w:r w:rsidR="00E32D39" w:rsidRPr="00E32D39">
        <w:t>eterozygous</w:t>
      </w:r>
      <w:r w:rsidR="00852273">
        <w:t xml:space="preserve"> </w:t>
      </w:r>
      <w:r w:rsidR="00E32D39" w:rsidRPr="00E32D39">
        <w:t>familial hypercholesterolaemia</w:t>
      </w:r>
      <w:r w:rsidR="00E32D39">
        <w:t xml:space="preserve"> only if LDL-C levels persistently above 5</w:t>
      </w:r>
      <w:r>
        <w:t> </w:t>
      </w:r>
      <w:r w:rsidR="00E32D39">
        <w:t>mmol/L</w:t>
      </w:r>
    </w:p>
    <w:p w14:paraId="0161B59D" w14:textId="739A56CA" w:rsidR="00E32D39" w:rsidRDefault="00852273" w:rsidP="008F3D77">
      <w:pPr>
        <w:pStyle w:val="Bulletindent1"/>
      </w:pPr>
      <w:r>
        <w:t>s</w:t>
      </w:r>
      <w:r w:rsidR="00E32D39">
        <w:t>econdary prevention patients only if high risk for cardiovascular disease and LDL-C persistently above 4</w:t>
      </w:r>
      <w:r w:rsidR="009B7A76">
        <w:t> </w:t>
      </w:r>
      <w:r w:rsidR="00E32D39">
        <w:t>mmol/L</w:t>
      </w:r>
    </w:p>
    <w:p w14:paraId="1C80F0CC" w14:textId="42526ADE" w:rsidR="00E32D39" w:rsidRDefault="00852273" w:rsidP="008F3D77">
      <w:pPr>
        <w:pStyle w:val="Bulletindent1last"/>
      </w:pPr>
      <w:r>
        <w:t>s</w:t>
      </w:r>
      <w:r w:rsidR="00E32D39">
        <w:t>econdary prevention patients only if very high risk for cardiovascular disease and LDL-C persistently above &gt;3.5</w:t>
      </w:r>
      <w:r w:rsidR="009B7A76">
        <w:t> </w:t>
      </w:r>
      <w:r w:rsidR="00E32D39">
        <w:t>mmol/L.</w:t>
      </w:r>
    </w:p>
    <w:p w14:paraId="17C3DC39" w14:textId="6B5C6425" w:rsidR="00023146" w:rsidRDefault="00BF22BD" w:rsidP="00023146">
      <w:pPr>
        <w:pStyle w:val="NICEnormalindented"/>
      </w:pPr>
      <w:r w:rsidRPr="00714F06">
        <w:t xml:space="preserve">The ERG </w:t>
      </w:r>
      <w:r w:rsidR="003A57F4" w:rsidRPr="00714F06">
        <w:t xml:space="preserve">preferred to use LDL-C levels separated by </w:t>
      </w:r>
      <w:r w:rsidR="00522419">
        <w:t>alirocumab</w:t>
      </w:r>
      <w:r w:rsidR="002A1735">
        <w:t xml:space="preserve"> or </w:t>
      </w:r>
      <w:r w:rsidR="00522419">
        <w:t>evolocumab</w:t>
      </w:r>
      <w:r w:rsidR="003A57F4" w:rsidRPr="00E32D39">
        <w:t xml:space="preserve"> eligibility because</w:t>
      </w:r>
      <w:r w:rsidR="003A57F4">
        <w:t xml:space="preserve"> the</w:t>
      </w:r>
      <w:r w:rsidR="003A57F4" w:rsidRPr="003A57F4">
        <w:t xml:space="preserve"> baseline LDL-C levels in </w:t>
      </w:r>
      <w:r w:rsidR="00FE5116">
        <w:t>people</w:t>
      </w:r>
      <w:r w:rsidR="003A57F4">
        <w:t xml:space="preserve"> not eligible </w:t>
      </w:r>
      <w:r w:rsidR="003A57F4" w:rsidRPr="003A57F4">
        <w:t xml:space="preserve">were </w:t>
      </w:r>
      <w:r w:rsidR="00A46480">
        <w:t>lower</w:t>
      </w:r>
      <w:r w:rsidR="003A57F4" w:rsidRPr="003A57F4">
        <w:t xml:space="preserve"> than the levels </w:t>
      </w:r>
      <w:r w:rsidR="00910394">
        <w:t xml:space="preserve">for those </w:t>
      </w:r>
      <w:r w:rsidR="003A57F4">
        <w:t xml:space="preserve">who were eligible. </w:t>
      </w:r>
      <w:r w:rsidR="00432E08">
        <w:t>The clinical expert agreed that the baseline LDL-C levels will differ across the subpopulations.</w:t>
      </w:r>
      <w:r w:rsidR="00023146">
        <w:t xml:space="preserve"> The committee agreed with the ERG, and wanted to see results </w:t>
      </w:r>
      <w:r w:rsidR="00023146" w:rsidRPr="00023146">
        <w:t xml:space="preserve">based on the appropriate mean baseline LDL-C levels for the </w:t>
      </w:r>
      <w:r w:rsidR="00023146" w:rsidRPr="00023146">
        <w:lastRenderedPageBreak/>
        <w:t>appropriate subpopulations</w:t>
      </w:r>
      <w:r w:rsidR="00023146">
        <w:t>.</w:t>
      </w:r>
      <w:r w:rsidR="008F3D77">
        <w:t xml:space="preserve"> </w:t>
      </w:r>
      <w:r w:rsidR="009807E1">
        <w:t>After the first committee</w:t>
      </w:r>
      <w:r w:rsidR="008926F8">
        <w:t xml:space="preserve"> meeting, </w:t>
      </w:r>
      <w:r w:rsidR="00890580">
        <w:t>NICE requested that the company provide results where baseline LDL-C levels reflect the intended positioning for bempedoic acid (</w:t>
      </w:r>
      <w:r w:rsidR="00C610B4">
        <w:t xml:space="preserve">that is, </w:t>
      </w:r>
      <w:r w:rsidR="00890580">
        <w:t xml:space="preserve">from patients who </w:t>
      </w:r>
      <w:r w:rsidR="00E422F2">
        <w:t>had already had</w:t>
      </w:r>
      <w:r w:rsidR="00890580">
        <w:t xml:space="preserve"> ezetimibe and according to alirocumab</w:t>
      </w:r>
      <w:r w:rsidR="002A1735">
        <w:t xml:space="preserve"> or </w:t>
      </w:r>
      <w:r w:rsidR="00890580">
        <w:t>evolocumab eligibility).</w:t>
      </w:r>
      <w:r w:rsidR="009807E1">
        <w:t xml:space="preserve"> In response, t</w:t>
      </w:r>
      <w:r w:rsidR="008926F8">
        <w:t xml:space="preserve">he company provided an updated analysis which removed </w:t>
      </w:r>
      <w:r w:rsidR="00E422F2">
        <w:t>4</w:t>
      </w:r>
      <w:r w:rsidR="001D392D">
        <w:t> </w:t>
      </w:r>
      <w:r w:rsidR="00C610B4">
        <w:t xml:space="preserve">trials </w:t>
      </w:r>
      <w:r w:rsidR="008926F8">
        <w:t>from the network for population</w:t>
      </w:r>
      <w:r w:rsidR="00C610B4">
        <w:t> </w:t>
      </w:r>
      <w:r w:rsidR="00FE5116">
        <w:t>4b</w:t>
      </w:r>
      <w:r w:rsidR="008926F8">
        <w:t xml:space="preserve">, and </w:t>
      </w:r>
      <w:r w:rsidR="00E422F2">
        <w:t xml:space="preserve">2 </w:t>
      </w:r>
      <w:r w:rsidR="00C610B4">
        <w:t xml:space="preserve">trials </w:t>
      </w:r>
      <w:r w:rsidR="008926F8">
        <w:t>from the network for population</w:t>
      </w:r>
      <w:r w:rsidR="00FE5116">
        <w:t>s</w:t>
      </w:r>
      <w:r w:rsidR="00832B73">
        <w:t> </w:t>
      </w:r>
      <w:r w:rsidR="008926F8">
        <w:t>2</w:t>
      </w:r>
      <w:r w:rsidR="00FE5116">
        <w:t>a and</w:t>
      </w:r>
      <w:r w:rsidR="00A974F3">
        <w:t> </w:t>
      </w:r>
      <w:r w:rsidR="00FE5116">
        <w:t>2b</w:t>
      </w:r>
      <w:r w:rsidR="003A2917">
        <w:t xml:space="preserve"> to improve similarity and comparability of baseline LDL-C, but made no adjustment for</w:t>
      </w:r>
      <w:r w:rsidR="00A31184">
        <w:t xml:space="preserve"> baseline LDL-C in patients </w:t>
      </w:r>
      <w:r w:rsidR="00832B73">
        <w:t>who could not have</w:t>
      </w:r>
      <w:r w:rsidR="003A2917">
        <w:t xml:space="preserve"> alirocumab</w:t>
      </w:r>
      <w:r w:rsidR="000737F3">
        <w:t xml:space="preserve"> or </w:t>
      </w:r>
      <w:r w:rsidR="003A2917">
        <w:t>evolocumab</w:t>
      </w:r>
      <w:r w:rsidR="00890580">
        <w:t xml:space="preserve">. </w:t>
      </w:r>
      <w:r w:rsidR="00822376">
        <w:t xml:space="preserve">The company did provide mean baseline LDL-C levels for patients in the CLEAR trials with and without </w:t>
      </w:r>
      <w:r w:rsidR="00C76067">
        <w:t>ezetimibe</w:t>
      </w:r>
      <w:r w:rsidR="00822376">
        <w:t xml:space="preserve"> at </w:t>
      </w:r>
      <w:r w:rsidR="00822376" w:rsidRPr="00AC7460">
        <w:t xml:space="preserve">baseline, however no statistical tests for differences between </w:t>
      </w:r>
      <w:r w:rsidR="00832B73">
        <w:t>patients who had previously had ezetemibe</w:t>
      </w:r>
      <w:r w:rsidR="00822376" w:rsidRPr="00AC7460">
        <w:t xml:space="preserve"> and all patients</w:t>
      </w:r>
      <w:r w:rsidR="00DA189B">
        <w:t xml:space="preserve"> (that is, patients who had and did not have </w:t>
      </w:r>
      <w:r w:rsidR="009B36FF">
        <w:t xml:space="preserve">previous </w:t>
      </w:r>
      <w:r w:rsidR="00DA189B">
        <w:t>ezetimibe)</w:t>
      </w:r>
      <w:r w:rsidR="00822376" w:rsidRPr="00AC7460">
        <w:t xml:space="preserve"> were </w:t>
      </w:r>
      <w:r w:rsidR="00832B73">
        <w:t>done</w:t>
      </w:r>
      <w:r w:rsidR="00AC7460" w:rsidRPr="00AC7460">
        <w:t xml:space="preserve">. The company </w:t>
      </w:r>
      <w:r w:rsidR="009807E1">
        <w:t xml:space="preserve">also </w:t>
      </w:r>
      <w:r w:rsidR="00AC7460" w:rsidRPr="00AC7460">
        <w:t>noted that</w:t>
      </w:r>
      <w:r w:rsidR="00822376" w:rsidRPr="00AC7460">
        <w:t xml:space="preserve"> </w:t>
      </w:r>
      <w:r w:rsidR="00AC7460" w:rsidRPr="00AC7460">
        <w:t xml:space="preserve">across the bempedoic acid trials, the percentage reduction </w:t>
      </w:r>
      <w:r w:rsidR="00832B73">
        <w:t>in</w:t>
      </w:r>
      <w:r w:rsidR="00832B73" w:rsidRPr="00AC7460">
        <w:t xml:space="preserve"> </w:t>
      </w:r>
      <w:r w:rsidR="00AC7460" w:rsidRPr="00AC7460">
        <w:t>LDL-C at 12</w:t>
      </w:r>
      <w:r w:rsidR="00C610B4">
        <w:t> </w:t>
      </w:r>
      <w:r w:rsidR="00AC7460" w:rsidRPr="00AC7460">
        <w:t xml:space="preserve">weeks was similar for all patients regardless of </w:t>
      </w:r>
      <w:r w:rsidR="00832B73">
        <w:t xml:space="preserve">whether they </w:t>
      </w:r>
      <w:r w:rsidR="00C610B4">
        <w:t>could have</w:t>
      </w:r>
      <w:r w:rsidR="00832B73">
        <w:t xml:space="preserve"> </w:t>
      </w:r>
      <w:r w:rsidR="00AC7460" w:rsidRPr="00AC7460">
        <w:t>alirocumab or evolocumab</w:t>
      </w:r>
      <w:r w:rsidR="00C610B4">
        <w:t xml:space="preserve"> or not</w:t>
      </w:r>
      <w:r w:rsidR="00AC7460" w:rsidRPr="00AC7460">
        <w:t xml:space="preserve">. </w:t>
      </w:r>
      <w:r w:rsidR="00023146" w:rsidRPr="00AC7460">
        <w:t>The ERG modelled the baseline LDL-C levels to reflect the intended positioning for bempedoic acid (</w:t>
      </w:r>
      <w:r w:rsidR="00C610B4">
        <w:t xml:space="preserve">that is, </w:t>
      </w:r>
      <w:r w:rsidR="00023146" w:rsidRPr="00AC7460">
        <w:t xml:space="preserve">patients who </w:t>
      </w:r>
      <w:r w:rsidR="00832B73">
        <w:t>had already had</w:t>
      </w:r>
      <w:r w:rsidR="00832B73" w:rsidRPr="00AC7460">
        <w:t xml:space="preserve"> </w:t>
      </w:r>
      <w:r w:rsidR="00023146" w:rsidRPr="00AC7460">
        <w:t>ezetimibe and according to alirocumab</w:t>
      </w:r>
      <w:r w:rsidR="00023146">
        <w:t xml:space="preserve"> and evolocumab eligibility)</w:t>
      </w:r>
      <w:r w:rsidR="00C610B4">
        <w:t>.</w:t>
      </w:r>
      <w:r w:rsidR="00023146">
        <w:t xml:space="preserve"> </w:t>
      </w:r>
      <w:r w:rsidR="008F3D77">
        <w:t>However,</w:t>
      </w:r>
      <w:r w:rsidR="00C610B4">
        <w:t xml:space="preserve"> it</w:t>
      </w:r>
      <w:r w:rsidR="00023146">
        <w:t xml:space="preserve"> </w:t>
      </w:r>
      <w:r w:rsidR="000737F3">
        <w:t>noted</w:t>
      </w:r>
      <w:r w:rsidR="003002B1">
        <w:t xml:space="preserve"> that </w:t>
      </w:r>
      <w:r w:rsidR="00832B73">
        <w:t>because of</w:t>
      </w:r>
      <w:r w:rsidR="000737F3">
        <w:t xml:space="preserve"> small patient numbers </w:t>
      </w:r>
      <w:r w:rsidR="00832B73">
        <w:t xml:space="preserve">having already had </w:t>
      </w:r>
      <w:r w:rsidR="000737F3">
        <w:t>ezetimibe and limited data to determine eligibility</w:t>
      </w:r>
      <w:r w:rsidR="009B36FF">
        <w:t xml:space="preserve"> </w:t>
      </w:r>
      <w:r w:rsidR="001D392D">
        <w:t xml:space="preserve">for </w:t>
      </w:r>
      <w:r w:rsidR="009B36FF">
        <w:t>alirocumab or evolocumab</w:t>
      </w:r>
      <w:r w:rsidR="000F2A4D">
        <w:t>,</w:t>
      </w:r>
      <w:r w:rsidR="00822376">
        <w:t xml:space="preserve"> </w:t>
      </w:r>
      <w:r w:rsidR="00DA189B">
        <w:t xml:space="preserve">these </w:t>
      </w:r>
      <w:r w:rsidR="00822376">
        <w:t xml:space="preserve">results </w:t>
      </w:r>
      <w:r w:rsidR="00023146">
        <w:t>are</w:t>
      </w:r>
      <w:r w:rsidR="00822376">
        <w:t xml:space="preserve"> not reliable for decision making.</w:t>
      </w:r>
      <w:r w:rsidR="00C76067">
        <w:t xml:space="preserve"> The committee </w:t>
      </w:r>
      <w:r w:rsidR="00DA189B">
        <w:t xml:space="preserve">was concerned </w:t>
      </w:r>
      <w:r w:rsidR="00AC7460">
        <w:t xml:space="preserve">that the results </w:t>
      </w:r>
      <w:r w:rsidR="00DA189B">
        <w:t>did not a</w:t>
      </w:r>
      <w:r w:rsidR="00AC7460">
        <w:t xml:space="preserve">ppropriately reflect the intended positioning of bempedoic acid </w:t>
      </w:r>
      <w:r w:rsidR="00CD73D0">
        <w:t xml:space="preserve">given the limitations </w:t>
      </w:r>
      <w:r w:rsidR="00AC7460">
        <w:t>of the CLEAR trial informing baseline LDL-C levels</w:t>
      </w:r>
      <w:r w:rsidR="008F118A">
        <w:t>.</w:t>
      </w:r>
      <w:r w:rsidR="00DA189B">
        <w:t xml:space="preserve"> </w:t>
      </w:r>
      <w:r w:rsidR="008F118A">
        <w:t xml:space="preserve">It </w:t>
      </w:r>
      <w:r w:rsidR="00DA189B">
        <w:t>concluded that b</w:t>
      </w:r>
      <w:r w:rsidR="00DA189B" w:rsidRPr="00DA189B">
        <w:t>ecause of the trial limitations, cost-effectiveness results do not reflect the intended positioning of bempedoic acid</w:t>
      </w:r>
      <w:r w:rsidR="004C22D8">
        <w:t xml:space="preserve"> in the treatment pathway.</w:t>
      </w:r>
    </w:p>
    <w:p w14:paraId="4F63A67C" w14:textId="377B08F2" w:rsidR="00643582" w:rsidRPr="00464694" w:rsidRDefault="001D7DF4" w:rsidP="00464694">
      <w:pPr>
        <w:pStyle w:val="Heading2"/>
      </w:pPr>
      <w:r w:rsidRPr="00464694">
        <w:lastRenderedPageBreak/>
        <w:t>Subgroup analyses</w:t>
      </w:r>
    </w:p>
    <w:p w14:paraId="3CF6C401" w14:textId="1AB541FE" w:rsidR="00643582" w:rsidRDefault="00832B73" w:rsidP="0073007E">
      <w:pPr>
        <w:pStyle w:val="Heading3"/>
      </w:pPr>
      <w:bookmarkStart w:id="27" w:name="_Because_of_trial_1"/>
      <w:bookmarkEnd w:id="27"/>
      <w:r>
        <w:t>Because of</w:t>
      </w:r>
      <w:r w:rsidR="005E518D">
        <w:t xml:space="preserve"> </w:t>
      </w:r>
      <w:r w:rsidR="00C610B4">
        <w:t xml:space="preserve">trial </w:t>
      </w:r>
      <w:r w:rsidR="005E518D">
        <w:t>limitations, s</w:t>
      </w:r>
      <w:r w:rsidR="00B71A7E">
        <w:t xml:space="preserve">ubgroup analyses </w:t>
      </w:r>
      <w:r w:rsidR="005E518D">
        <w:t xml:space="preserve">could not </w:t>
      </w:r>
      <w:r w:rsidR="007406F6">
        <w:t xml:space="preserve">be provided </w:t>
      </w:r>
      <w:r w:rsidR="00B71A7E">
        <w:t xml:space="preserve">by </w:t>
      </w:r>
      <w:r w:rsidR="00111461">
        <w:t>heterozygous familial hypercholesterolaemia</w:t>
      </w:r>
      <w:r w:rsidR="00087C8B">
        <w:t xml:space="preserve"> and </w:t>
      </w:r>
      <w:r w:rsidR="00111461">
        <w:t>cardiovascular</w:t>
      </w:r>
      <w:r w:rsidR="00087C8B">
        <w:t xml:space="preserve"> risk</w:t>
      </w:r>
      <w:r w:rsidR="00C610B4">
        <w:t xml:space="preserve"> status</w:t>
      </w:r>
    </w:p>
    <w:p w14:paraId="2BF6252D" w14:textId="33444053" w:rsidR="00C76067" w:rsidRPr="00C76067" w:rsidRDefault="005779FF" w:rsidP="00C27FF7">
      <w:pPr>
        <w:pStyle w:val="Numberedlevel2text"/>
      </w:pPr>
      <w:r w:rsidRPr="0099682C">
        <w:rPr>
          <w:bCs w:val="0"/>
          <w:iCs w:val="0"/>
        </w:rPr>
        <w:t>The final</w:t>
      </w:r>
      <w:r w:rsidR="00B76DA6" w:rsidRPr="0099682C">
        <w:rPr>
          <w:bCs w:val="0"/>
          <w:iCs w:val="0"/>
        </w:rPr>
        <w:t xml:space="preserve"> NICE</w:t>
      </w:r>
      <w:r w:rsidRPr="0099682C">
        <w:rPr>
          <w:bCs w:val="0"/>
          <w:iCs w:val="0"/>
        </w:rPr>
        <w:t xml:space="preserve"> scop</w:t>
      </w:r>
      <w:r w:rsidR="007406F6" w:rsidRPr="0099682C">
        <w:rPr>
          <w:bCs w:val="0"/>
          <w:iCs w:val="0"/>
        </w:rPr>
        <w:t>e specified that</w:t>
      </w:r>
      <w:r w:rsidR="009A7760" w:rsidRPr="00796CFF">
        <w:rPr>
          <w:bCs w:val="0"/>
          <w:iCs w:val="0"/>
        </w:rPr>
        <w:t xml:space="preserve"> subgroup</w:t>
      </w:r>
      <w:r w:rsidR="00B76DA6" w:rsidRPr="00796CFF">
        <w:rPr>
          <w:bCs w:val="0"/>
          <w:iCs w:val="0"/>
        </w:rPr>
        <w:t xml:space="preserve"> analysis by</w:t>
      </w:r>
      <w:r w:rsidR="007406F6" w:rsidRPr="00796CFF">
        <w:rPr>
          <w:bCs w:val="0"/>
          <w:iCs w:val="0"/>
        </w:rPr>
        <w:t xml:space="preserve"> </w:t>
      </w:r>
      <w:r w:rsidR="00B20AF2" w:rsidRPr="00796CFF">
        <w:rPr>
          <w:bCs w:val="0"/>
          <w:iCs w:val="0"/>
        </w:rPr>
        <w:t xml:space="preserve">cardiovascular </w:t>
      </w:r>
      <w:r w:rsidR="007406F6" w:rsidRPr="005E518D">
        <w:rPr>
          <w:bCs w:val="0"/>
          <w:iCs w:val="0"/>
        </w:rPr>
        <w:t xml:space="preserve">risk and presence of </w:t>
      </w:r>
      <w:r w:rsidR="00B20AF2" w:rsidRPr="005E518D">
        <w:rPr>
          <w:bCs w:val="0"/>
          <w:iCs w:val="0"/>
        </w:rPr>
        <w:t xml:space="preserve">heterozygous familial hypercholesterolaemia </w:t>
      </w:r>
      <w:r w:rsidR="009A7760" w:rsidRPr="005E518D">
        <w:rPr>
          <w:bCs w:val="0"/>
          <w:iCs w:val="0"/>
        </w:rPr>
        <w:t>should be considered</w:t>
      </w:r>
      <w:r w:rsidR="00CE3C0D" w:rsidRPr="00852115">
        <w:rPr>
          <w:bCs w:val="0"/>
          <w:iCs w:val="0"/>
        </w:rPr>
        <w:t xml:space="preserve"> for the subgroups </w:t>
      </w:r>
      <w:r w:rsidR="00832B73">
        <w:rPr>
          <w:bCs w:val="0"/>
          <w:iCs w:val="0"/>
          <w:lang w:val="en-GB"/>
        </w:rPr>
        <w:t xml:space="preserve">who </w:t>
      </w:r>
      <w:r w:rsidR="00987078">
        <w:rPr>
          <w:bCs w:val="0"/>
          <w:iCs w:val="0"/>
          <w:lang w:val="en-GB"/>
        </w:rPr>
        <w:t>were</w:t>
      </w:r>
      <w:r w:rsidR="00832B73">
        <w:rPr>
          <w:bCs w:val="0"/>
          <w:iCs w:val="0"/>
          <w:lang w:val="en-GB"/>
        </w:rPr>
        <w:t xml:space="preserve"> eligible for</w:t>
      </w:r>
      <w:r w:rsidR="00832B73" w:rsidRPr="00852115">
        <w:rPr>
          <w:bCs w:val="0"/>
          <w:iCs w:val="0"/>
        </w:rPr>
        <w:t xml:space="preserve"> </w:t>
      </w:r>
      <w:r w:rsidR="00CE3C0D" w:rsidRPr="00CE3C0D">
        <w:t>alirocumab or evolocumab.</w:t>
      </w:r>
      <w:r w:rsidR="009A7760" w:rsidRPr="00CE3C0D">
        <w:t xml:space="preserve"> </w:t>
      </w:r>
      <w:hyperlink r:id="rId17" w:history="1">
        <w:r w:rsidR="00832B73" w:rsidRPr="00832B73">
          <w:rPr>
            <w:rStyle w:val="Hyperlink"/>
            <w:lang w:val="en-GB"/>
          </w:rPr>
          <w:t>NICE’s technology appraisals guidance for</w:t>
        </w:r>
        <w:r w:rsidR="009A7760" w:rsidRPr="00832B73">
          <w:rPr>
            <w:rStyle w:val="Hyperlink"/>
          </w:rPr>
          <w:t xml:space="preserve"> </w:t>
        </w:r>
        <w:r w:rsidR="009A7760" w:rsidRPr="00067D71">
          <w:rPr>
            <w:rStyle w:val="Hyperlink"/>
          </w:rPr>
          <w:t>evolocumab</w:t>
        </w:r>
      </w:hyperlink>
      <w:r w:rsidR="009A7760" w:rsidRPr="0099682C">
        <w:rPr>
          <w:bCs w:val="0"/>
          <w:iCs w:val="0"/>
        </w:rPr>
        <w:t xml:space="preserve"> and </w:t>
      </w:r>
      <w:hyperlink r:id="rId18" w:history="1">
        <w:r w:rsidR="009A7760" w:rsidRPr="00067D71">
          <w:rPr>
            <w:rStyle w:val="Hyperlink"/>
          </w:rPr>
          <w:t>alirocumab</w:t>
        </w:r>
      </w:hyperlink>
      <w:r w:rsidR="009A7760" w:rsidRPr="0099682C">
        <w:rPr>
          <w:bCs w:val="0"/>
          <w:iCs w:val="0"/>
        </w:rPr>
        <w:t xml:space="preserve"> </w:t>
      </w:r>
      <w:r w:rsidR="00832B73">
        <w:rPr>
          <w:bCs w:val="0"/>
          <w:iCs w:val="0"/>
          <w:lang w:val="en-GB"/>
        </w:rPr>
        <w:t>made</w:t>
      </w:r>
      <w:r w:rsidR="0075508D" w:rsidRPr="0099682C">
        <w:rPr>
          <w:bCs w:val="0"/>
          <w:iCs w:val="0"/>
        </w:rPr>
        <w:t xml:space="preserve"> recommendations for these different subgroups</w:t>
      </w:r>
      <w:r w:rsidR="00B20AF2" w:rsidRPr="00796CFF">
        <w:rPr>
          <w:bCs w:val="0"/>
          <w:iCs w:val="0"/>
        </w:rPr>
        <w:t xml:space="preserve"> (</w:t>
      </w:r>
      <w:hyperlink w:anchor="_Because_of_the" w:history="1">
        <w:r w:rsidR="00B20AF2" w:rsidRPr="00F161F8">
          <w:rPr>
            <w:rStyle w:val="Hyperlink"/>
            <w:bCs w:val="0"/>
            <w:iCs w:val="0"/>
          </w:rPr>
          <w:t>see section</w:t>
        </w:r>
        <w:r w:rsidR="00832B73" w:rsidRPr="00F161F8">
          <w:rPr>
            <w:rStyle w:val="Hyperlink"/>
            <w:bCs w:val="0"/>
            <w:iCs w:val="0"/>
            <w:lang w:val="en-GB"/>
          </w:rPr>
          <w:t> </w:t>
        </w:r>
        <w:r w:rsidR="00B20AF2" w:rsidRPr="00F161F8">
          <w:rPr>
            <w:rStyle w:val="Hyperlink"/>
            <w:bCs w:val="0"/>
            <w:iCs w:val="0"/>
          </w:rPr>
          <w:t>3.</w:t>
        </w:r>
        <w:r w:rsidR="00E30D81" w:rsidRPr="00F161F8">
          <w:rPr>
            <w:rStyle w:val="Hyperlink"/>
            <w:bCs w:val="0"/>
            <w:iCs w:val="0"/>
            <w:lang w:val="en-GB"/>
          </w:rPr>
          <w:t>4</w:t>
        </w:r>
      </w:hyperlink>
      <w:r w:rsidR="00B20AF2" w:rsidRPr="00796CFF">
        <w:rPr>
          <w:bCs w:val="0"/>
          <w:iCs w:val="0"/>
        </w:rPr>
        <w:t xml:space="preserve">). </w:t>
      </w:r>
      <w:r w:rsidR="00B76DA6" w:rsidRPr="00796CFF">
        <w:rPr>
          <w:bCs w:val="0"/>
          <w:iCs w:val="0"/>
        </w:rPr>
        <w:t xml:space="preserve">The company </w:t>
      </w:r>
      <w:r w:rsidR="004C79DE" w:rsidRPr="00796CFF">
        <w:rPr>
          <w:bCs w:val="0"/>
          <w:iCs w:val="0"/>
        </w:rPr>
        <w:t>noted that the</w:t>
      </w:r>
      <w:r w:rsidR="007406F6" w:rsidRPr="00796CFF">
        <w:rPr>
          <w:bCs w:val="0"/>
          <w:iCs w:val="0"/>
        </w:rPr>
        <w:t xml:space="preserve"> proportion of patients with </w:t>
      </w:r>
      <w:r w:rsidR="00B20AF2" w:rsidRPr="005E518D">
        <w:rPr>
          <w:bCs w:val="0"/>
          <w:iCs w:val="0"/>
        </w:rPr>
        <w:t xml:space="preserve">heterozygous familial hypercholesterolaemia </w:t>
      </w:r>
      <w:r w:rsidR="004C79DE" w:rsidRPr="005E518D">
        <w:rPr>
          <w:bCs w:val="0"/>
          <w:iCs w:val="0"/>
        </w:rPr>
        <w:t xml:space="preserve">in its trials were small. </w:t>
      </w:r>
      <w:r w:rsidR="004C79DE" w:rsidRPr="00852115">
        <w:rPr>
          <w:bCs w:val="0"/>
          <w:iCs w:val="0"/>
        </w:rPr>
        <w:t xml:space="preserve">It noted that CLEAR </w:t>
      </w:r>
      <w:r w:rsidR="000E315C" w:rsidRPr="00852115">
        <w:rPr>
          <w:bCs w:val="0"/>
          <w:iCs w:val="0"/>
        </w:rPr>
        <w:t>Wisdom</w:t>
      </w:r>
      <w:r w:rsidR="004C79DE" w:rsidRPr="00852115">
        <w:rPr>
          <w:bCs w:val="0"/>
          <w:iCs w:val="0"/>
        </w:rPr>
        <w:t xml:space="preserve"> included the largest group of patients </w:t>
      </w:r>
      <w:r w:rsidR="00111461" w:rsidRPr="00CE3C0D">
        <w:t>with heterozygous familial hypercholesterolaemia</w:t>
      </w:r>
      <w:r w:rsidR="004C79DE" w:rsidRPr="00CE3C0D">
        <w:t>, and subgroup analysis suggested that the treatment effect is consistent with the non-</w:t>
      </w:r>
      <w:r w:rsidR="00111461" w:rsidRPr="00CE3C0D">
        <w:t xml:space="preserve">heterozygous familial hypercholesterolaemia </w:t>
      </w:r>
      <w:r w:rsidR="004C79DE" w:rsidRPr="00CE3C0D">
        <w:t xml:space="preserve">population. </w:t>
      </w:r>
      <w:r w:rsidR="0059643A" w:rsidRPr="0099682C">
        <w:rPr>
          <w:bCs w:val="0"/>
          <w:iCs w:val="0"/>
        </w:rPr>
        <w:t xml:space="preserve">At </w:t>
      </w:r>
      <w:r w:rsidR="00087C8B" w:rsidRPr="0099682C">
        <w:rPr>
          <w:bCs w:val="0"/>
          <w:iCs w:val="0"/>
        </w:rPr>
        <w:t>technical engagement, t</w:t>
      </w:r>
      <w:r w:rsidR="00957269" w:rsidRPr="00796CFF">
        <w:rPr>
          <w:bCs w:val="0"/>
          <w:iCs w:val="0"/>
        </w:rPr>
        <w:t xml:space="preserve">he company </w:t>
      </w:r>
      <w:r w:rsidR="00551F1F" w:rsidRPr="00796CFF">
        <w:rPr>
          <w:bCs w:val="0"/>
          <w:iCs w:val="0"/>
        </w:rPr>
        <w:t>pr</w:t>
      </w:r>
      <w:r w:rsidR="009A7760" w:rsidRPr="00796CFF">
        <w:rPr>
          <w:bCs w:val="0"/>
          <w:iCs w:val="0"/>
        </w:rPr>
        <w:t xml:space="preserve">esented cost-effectiveness results in </w:t>
      </w:r>
      <w:r w:rsidR="00832B73">
        <w:rPr>
          <w:bCs w:val="0"/>
          <w:iCs w:val="0"/>
          <w:lang w:val="en-GB"/>
        </w:rPr>
        <w:t>7</w:t>
      </w:r>
      <w:r w:rsidR="00832B73" w:rsidRPr="00796CFF">
        <w:rPr>
          <w:bCs w:val="0"/>
          <w:iCs w:val="0"/>
        </w:rPr>
        <w:t xml:space="preserve"> </w:t>
      </w:r>
      <w:r w:rsidR="009A7760" w:rsidRPr="00796CFF">
        <w:rPr>
          <w:bCs w:val="0"/>
          <w:iCs w:val="0"/>
        </w:rPr>
        <w:t xml:space="preserve">subgroups according to </w:t>
      </w:r>
      <w:r w:rsidR="00111461" w:rsidRPr="005E518D">
        <w:rPr>
          <w:bCs w:val="0"/>
          <w:iCs w:val="0"/>
        </w:rPr>
        <w:t>cardiovascular</w:t>
      </w:r>
      <w:r w:rsidR="009A7760" w:rsidRPr="005E518D">
        <w:rPr>
          <w:bCs w:val="0"/>
          <w:iCs w:val="0"/>
        </w:rPr>
        <w:t xml:space="preserve"> risk and</w:t>
      </w:r>
      <w:r w:rsidR="00111461" w:rsidRPr="005E518D">
        <w:rPr>
          <w:bCs w:val="0"/>
          <w:iCs w:val="0"/>
        </w:rPr>
        <w:t xml:space="preserve"> heterozygous familial hypercholesterolaemia</w:t>
      </w:r>
      <w:r w:rsidR="00CE3C0D" w:rsidRPr="005E518D">
        <w:rPr>
          <w:bCs w:val="0"/>
          <w:iCs w:val="0"/>
        </w:rPr>
        <w:t xml:space="preserve">. </w:t>
      </w:r>
      <w:r w:rsidR="00087C8B" w:rsidRPr="0099682C">
        <w:rPr>
          <w:bCs w:val="0"/>
          <w:iCs w:val="0"/>
        </w:rPr>
        <w:t xml:space="preserve">The same treatment effect </w:t>
      </w:r>
      <w:r w:rsidR="006E46B6" w:rsidRPr="0099682C">
        <w:rPr>
          <w:bCs w:val="0"/>
          <w:iCs w:val="0"/>
        </w:rPr>
        <w:t xml:space="preserve">for bempedoic acid </w:t>
      </w:r>
      <w:r w:rsidR="00087C8B" w:rsidRPr="0099682C">
        <w:rPr>
          <w:bCs w:val="0"/>
          <w:iCs w:val="0"/>
        </w:rPr>
        <w:t xml:space="preserve">was </w:t>
      </w:r>
      <w:r w:rsidR="00120F40" w:rsidRPr="0099682C">
        <w:rPr>
          <w:bCs w:val="0"/>
          <w:iCs w:val="0"/>
        </w:rPr>
        <w:t xml:space="preserve">used </w:t>
      </w:r>
      <w:r w:rsidR="00087C8B" w:rsidRPr="00796CFF">
        <w:rPr>
          <w:bCs w:val="0"/>
          <w:iCs w:val="0"/>
        </w:rPr>
        <w:t xml:space="preserve">in each subgroup based on the assumption that the treatment effect would be similar in patients with and </w:t>
      </w:r>
      <w:r w:rsidR="00B85CBC" w:rsidRPr="005E518D">
        <w:rPr>
          <w:bCs w:val="0"/>
          <w:iCs w:val="0"/>
        </w:rPr>
        <w:t>without heterozygous</w:t>
      </w:r>
      <w:r w:rsidR="00111461" w:rsidRPr="005E518D">
        <w:rPr>
          <w:bCs w:val="0"/>
          <w:iCs w:val="0"/>
        </w:rPr>
        <w:t xml:space="preserve"> familial hypercholesterolaemia</w:t>
      </w:r>
      <w:r w:rsidR="00087C8B" w:rsidRPr="005E518D">
        <w:rPr>
          <w:bCs w:val="0"/>
          <w:iCs w:val="0"/>
        </w:rPr>
        <w:t xml:space="preserve"> and with and without </w:t>
      </w:r>
      <w:r w:rsidR="00832B73">
        <w:rPr>
          <w:bCs w:val="0"/>
          <w:iCs w:val="0"/>
          <w:lang w:val="en-GB"/>
        </w:rPr>
        <w:t>previous</w:t>
      </w:r>
      <w:r w:rsidR="00832B73" w:rsidRPr="005E518D">
        <w:rPr>
          <w:bCs w:val="0"/>
          <w:iCs w:val="0"/>
        </w:rPr>
        <w:t xml:space="preserve"> </w:t>
      </w:r>
      <w:r w:rsidR="00111461" w:rsidRPr="00852115">
        <w:rPr>
          <w:bCs w:val="0"/>
          <w:iCs w:val="0"/>
        </w:rPr>
        <w:t>cardiovascular disease</w:t>
      </w:r>
      <w:r w:rsidR="00087C8B" w:rsidRPr="00852115">
        <w:rPr>
          <w:bCs w:val="0"/>
          <w:iCs w:val="0"/>
        </w:rPr>
        <w:t>.</w:t>
      </w:r>
      <w:r w:rsidR="00120F40" w:rsidRPr="00852115">
        <w:rPr>
          <w:bCs w:val="0"/>
          <w:iCs w:val="0"/>
        </w:rPr>
        <w:t xml:space="preserve"> </w:t>
      </w:r>
      <w:r w:rsidR="000B1730" w:rsidRPr="00CE3C0D">
        <w:t xml:space="preserve">The clinical expert explained that a common treatment effect should not be assumed across subgroups </w:t>
      </w:r>
      <w:r w:rsidR="00B85CBC" w:rsidRPr="00CE3C0D">
        <w:t>of heterozygous</w:t>
      </w:r>
      <w:r w:rsidR="00111461" w:rsidRPr="00CE3C0D">
        <w:t xml:space="preserve"> familial hypercholesterolaemia</w:t>
      </w:r>
      <w:r w:rsidR="000B1730" w:rsidRPr="00CE3C0D">
        <w:t xml:space="preserve">, non-familial hypercholesterolaemia and mixed dyslipidaemia </w:t>
      </w:r>
      <w:r w:rsidR="00672A28">
        <w:rPr>
          <w:lang w:val="en-GB"/>
        </w:rPr>
        <w:t>because</w:t>
      </w:r>
      <w:r w:rsidR="00672A28" w:rsidRPr="00CE3C0D">
        <w:t xml:space="preserve"> </w:t>
      </w:r>
      <w:r w:rsidR="000B1730" w:rsidRPr="00CE3C0D">
        <w:t xml:space="preserve">they each have distinct lipid profiles. </w:t>
      </w:r>
      <w:r w:rsidR="004418F0">
        <w:rPr>
          <w:bCs w:val="0"/>
          <w:iCs w:val="0"/>
          <w:lang w:val="en-GB"/>
        </w:rPr>
        <w:t>T</w:t>
      </w:r>
      <w:r w:rsidR="004418F0" w:rsidRPr="0099682C">
        <w:rPr>
          <w:bCs w:val="0"/>
          <w:iCs w:val="0"/>
        </w:rPr>
        <w:t>he ERG considers</w:t>
      </w:r>
      <w:r w:rsidR="004418F0">
        <w:rPr>
          <w:bCs w:val="0"/>
          <w:iCs w:val="0"/>
          <w:lang w:val="en-GB"/>
        </w:rPr>
        <w:t xml:space="preserve"> that</w:t>
      </w:r>
      <w:r w:rsidR="004418F0" w:rsidRPr="0099682C">
        <w:rPr>
          <w:bCs w:val="0"/>
          <w:iCs w:val="0"/>
        </w:rPr>
        <w:t xml:space="preserve"> the company’s </w:t>
      </w:r>
      <w:r w:rsidR="004418F0">
        <w:rPr>
          <w:bCs w:val="0"/>
          <w:iCs w:val="0"/>
          <w:lang w:val="en-GB"/>
        </w:rPr>
        <w:t>subgroup analyses show</w:t>
      </w:r>
      <w:r w:rsidR="004418F0" w:rsidRPr="00796CFF">
        <w:rPr>
          <w:bCs w:val="0"/>
          <w:iCs w:val="0"/>
        </w:rPr>
        <w:t xml:space="preserve"> the cost</w:t>
      </w:r>
      <w:r w:rsidR="004418F0">
        <w:rPr>
          <w:bCs w:val="0"/>
          <w:iCs w:val="0"/>
          <w:lang w:val="en-GB"/>
        </w:rPr>
        <w:t xml:space="preserve"> </w:t>
      </w:r>
      <w:r w:rsidR="004418F0" w:rsidRPr="00796CFF">
        <w:rPr>
          <w:bCs w:val="0"/>
          <w:iCs w:val="0"/>
        </w:rPr>
        <w:t>effectiveness of bempedoic acid is correlated with the baseline LDL-C level</w:t>
      </w:r>
      <w:r w:rsidR="004418F0">
        <w:rPr>
          <w:lang w:val="en-GB"/>
        </w:rPr>
        <w:t xml:space="preserve"> </w:t>
      </w:r>
      <w:r w:rsidR="004418F0" w:rsidRPr="00AC74C4">
        <w:t>rather than with alirocumab</w:t>
      </w:r>
      <w:r w:rsidR="004418F0">
        <w:rPr>
          <w:lang w:val="en-GB"/>
        </w:rPr>
        <w:t xml:space="preserve"> or </w:t>
      </w:r>
      <w:r w:rsidR="004418F0" w:rsidRPr="00AC74C4">
        <w:t>evolocumab eligibility</w:t>
      </w:r>
      <w:r w:rsidR="004418F0">
        <w:rPr>
          <w:lang w:val="en-GB"/>
        </w:rPr>
        <w:t>. Further, t</w:t>
      </w:r>
      <w:r w:rsidR="00F93DD0" w:rsidRPr="00CE3C0D">
        <w:t xml:space="preserve">he ERG </w:t>
      </w:r>
      <w:r w:rsidR="00CE3C0D">
        <w:rPr>
          <w:lang w:val="en-GB"/>
        </w:rPr>
        <w:t>noted that</w:t>
      </w:r>
      <w:r w:rsidR="00CE3C0D" w:rsidRPr="0099682C">
        <w:rPr>
          <w:bCs w:val="0"/>
          <w:iCs w:val="0"/>
        </w:rPr>
        <w:t xml:space="preserve"> </w:t>
      </w:r>
      <w:r w:rsidR="00F93DD0" w:rsidRPr="0099682C">
        <w:rPr>
          <w:bCs w:val="0"/>
          <w:iCs w:val="0"/>
        </w:rPr>
        <w:t xml:space="preserve">the </w:t>
      </w:r>
      <w:r w:rsidR="00CE3C0D">
        <w:rPr>
          <w:lang w:val="en-GB"/>
        </w:rPr>
        <w:t>company’s</w:t>
      </w:r>
      <w:r w:rsidR="004418F0">
        <w:rPr>
          <w:lang w:val="en-GB"/>
        </w:rPr>
        <w:t xml:space="preserve"> trials had not been designed to detect statistical differences across cardiovascular risk and heterozygous familial hypercholesterolaemia</w:t>
      </w:r>
      <w:r w:rsidR="00D62373">
        <w:rPr>
          <w:lang w:val="en-GB"/>
        </w:rPr>
        <w:t>. Also</w:t>
      </w:r>
      <w:r w:rsidR="004418F0">
        <w:rPr>
          <w:lang w:val="en-GB"/>
        </w:rPr>
        <w:t xml:space="preserve"> </w:t>
      </w:r>
      <w:r w:rsidR="00AA4ADC">
        <w:rPr>
          <w:lang w:val="en-GB"/>
        </w:rPr>
        <w:t xml:space="preserve">the </w:t>
      </w:r>
      <w:r w:rsidR="00CE3C0D">
        <w:rPr>
          <w:lang w:val="en-GB"/>
        </w:rPr>
        <w:t xml:space="preserve">subgroup </w:t>
      </w:r>
      <w:r w:rsidR="00F93DD0" w:rsidRPr="0099682C">
        <w:rPr>
          <w:bCs w:val="0"/>
          <w:iCs w:val="0"/>
        </w:rPr>
        <w:t xml:space="preserve">analysis </w:t>
      </w:r>
      <w:r w:rsidR="00CE3C0D">
        <w:rPr>
          <w:lang w:val="en-GB"/>
        </w:rPr>
        <w:t>had</w:t>
      </w:r>
      <w:r w:rsidR="00F93DD0" w:rsidRPr="0099682C">
        <w:rPr>
          <w:bCs w:val="0"/>
          <w:iCs w:val="0"/>
        </w:rPr>
        <w:t xml:space="preserve"> low patient numbers and </w:t>
      </w:r>
      <w:r w:rsidR="00CE3C0D">
        <w:rPr>
          <w:lang w:val="en-GB"/>
        </w:rPr>
        <w:t xml:space="preserve">was </w:t>
      </w:r>
      <w:r w:rsidR="00F93DD0" w:rsidRPr="0099682C">
        <w:rPr>
          <w:bCs w:val="0"/>
          <w:iCs w:val="0"/>
        </w:rPr>
        <w:t xml:space="preserve">underpowered. </w:t>
      </w:r>
      <w:r w:rsidR="00CE3C0D" w:rsidRPr="00C27FF7">
        <w:t>The company did not update their subgroup analys</w:t>
      </w:r>
      <w:r w:rsidR="00FE5438">
        <w:rPr>
          <w:lang w:val="en-GB"/>
        </w:rPr>
        <w:t xml:space="preserve">es for </w:t>
      </w:r>
      <w:r w:rsidR="00FE5438" w:rsidRPr="00FE5438">
        <w:rPr>
          <w:lang w:val="en-GB"/>
        </w:rPr>
        <w:t xml:space="preserve">heterozygous familial hypercholesterolaemia and </w:t>
      </w:r>
      <w:r w:rsidR="00FE5438" w:rsidRPr="00FE5438">
        <w:rPr>
          <w:lang w:val="en-GB"/>
        </w:rPr>
        <w:lastRenderedPageBreak/>
        <w:t>cardiovascular risk status</w:t>
      </w:r>
      <w:r w:rsidR="00FE5438" w:rsidRPr="00FE5438" w:rsidDel="00FE5438">
        <w:rPr>
          <w:lang w:val="en-GB"/>
        </w:rPr>
        <w:t xml:space="preserve"> </w:t>
      </w:r>
      <w:r w:rsidR="00CE3C0D" w:rsidRPr="00C27FF7">
        <w:t>using their latest network meta-analysis (</w:t>
      </w:r>
      <w:hyperlink w:anchor="_The_ERG’s_updated" w:history="1">
        <w:r w:rsidR="00CE3C0D" w:rsidRPr="00FD73A7">
          <w:rPr>
            <w:rStyle w:val="Hyperlink"/>
          </w:rPr>
          <w:t xml:space="preserve">see </w:t>
        </w:r>
        <w:r w:rsidR="00672A28" w:rsidRPr="00FD73A7">
          <w:rPr>
            <w:rStyle w:val="Hyperlink"/>
            <w:lang w:val="en-GB"/>
          </w:rPr>
          <w:t>s</w:t>
        </w:r>
        <w:r w:rsidR="009E6729" w:rsidRPr="00FD73A7">
          <w:rPr>
            <w:rStyle w:val="Hyperlink"/>
            <w:lang w:val="en-GB"/>
          </w:rPr>
          <w:t>ection</w:t>
        </w:r>
        <w:r w:rsidR="00672A28" w:rsidRPr="00FD73A7">
          <w:rPr>
            <w:rStyle w:val="Hyperlink"/>
            <w:lang w:val="en-GB"/>
          </w:rPr>
          <w:t> </w:t>
        </w:r>
        <w:r w:rsidR="009E6729" w:rsidRPr="00FD73A7">
          <w:rPr>
            <w:rStyle w:val="Hyperlink"/>
            <w:lang w:val="en-GB"/>
          </w:rPr>
          <w:t>3.8</w:t>
        </w:r>
      </w:hyperlink>
      <w:r w:rsidR="00CE3C0D" w:rsidRPr="00C27FF7">
        <w:t>)</w:t>
      </w:r>
      <w:r w:rsidR="00B27729" w:rsidRPr="00C27FF7">
        <w:t xml:space="preserve">. </w:t>
      </w:r>
      <w:r w:rsidR="009B36FF">
        <w:rPr>
          <w:lang w:val="en-GB"/>
        </w:rPr>
        <w:t xml:space="preserve">The committee acknowledges that </w:t>
      </w:r>
      <w:r w:rsidR="00D62373">
        <w:rPr>
          <w:lang w:val="en-GB"/>
        </w:rPr>
        <w:t xml:space="preserve">because </w:t>
      </w:r>
      <w:r w:rsidR="004418F0">
        <w:rPr>
          <w:lang w:val="en-GB"/>
        </w:rPr>
        <w:t xml:space="preserve">the </w:t>
      </w:r>
      <w:r w:rsidR="00D62373">
        <w:rPr>
          <w:lang w:val="en-GB"/>
        </w:rPr>
        <w:t xml:space="preserve">data needed </w:t>
      </w:r>
      <w:r w:rsidR="004418F0">
        <w:rPr>
          <w:lang w:val="en-GB"/>
        </w:rPr>
        <w:t xml:space="preserve">were not sufficiently collected in the CLEAR trials, it is not possible to </w:t>
      </w:r>
      <w:r w:rsidR="00D62373">
        <w:rPr>
          <w:lang w:val="en-GB"/>
        </w:rPr>
        <w:t xml:space="preserve">do </w:t>
      </w:r>
      <w:r w:rsidR="004418F0">
        <w:rPr>
          <w:lang w:val="en-GB"/>
        </w:rPr>
        <w:t xml:space="preserve">the appropriate subgroup analyses for </w:t>
      </w:r>
      <w:r w:rsidR="004418F0" w:rsidRPr="00FE5438">
        <w:rPr>
          <w:lang w:val="en-GB"/>
        </w:rPr>
        <w:t>heterozygous familial hypercholesterolaemia and cardiovascular risk status</w:t>
      </w:r>
      <w:r w:rsidR="004418F0">
        <w:rPr>
          <w:lang w:val="en-GB"/>
        </w:rPr>
        <w:t xml:space="preserve">. </w:t>
      </w:r>
      <w:r w:rsidR="00C76067">
        <w:t xml:space="preserve">The committee </w:t>
      </w:r>
      <w:r w:rsidR="00C27FF7" w:rsidRPr="00C27FF7">
        <w:rPr>
          <w:lang w:val="en-GB"/>
        </w:rPr>
        <w:t xml:space="preserve">concluded </w:t>
      </w:r>
      <w:r w:rsidR="00C76067">
        <w:t xml:space="preserve">that the company’s subgroup analysis </w:t>
      </w:r>
      <w:r w:rsidR="00FE5438">
        <w:rPr>
          <w:lang w:val="en-GB"/>
        </w:rPr>
        <w:t xml:space="preserve">for these subgroups were </w:t>
      </w:r>
      <w:r w:rsidR="00C76067">
        <w:t xml:space="preserve">not sufficient, </w:t>
      </w:r>
      <w:r w:rsidR="00672A28">
        <w:rPr>
          <w:lang w:val="en-GB"/>
        </w:rPr>
        <w:t>because</w:t>
      </w:r>
      <w:r w:rsidR="00672A28">
        <w:t xml:space="preserve"> </w:t>
      </w:r>
      <w:r w:rsidR="00C76067">
        <w:t xml:space="preserve">a treatment effect was assumed </w:t>
      </w:r>
      <w:r w:rsidR="00FE5438">
        <w:rPr>
          <w:lang w:val="en-GB"/>
        </w:rPr>
        <w:t xml:space="preserve">to be the same </w:t>
      </w:r>
      <w:r w:rsidR="00C76067">
        <w:t xml:space="preserve">across patients with and without heterozygous familial hypercholesterolaemia, and with and without </w:t>
      </w:r>
      <w:r w:rsidR="00672A28">
        <w:rPr>
          <w:lang w:val="en-GB"/>
        </w:rPr>
        <w:t>previous</w:t>
      </w:r>
      <w:r w:rsidR="00672A28">
        <w:t xml:space="preserve"> </w:t>
      </w:r>
      <w:r w:rsidR="00C76067">
        <w:t>cardiovascular disease.</w:t>
      </w:r>
    </w:p>
    <w:p w14:paraId="7BF3CB77" w14:textId="79C48DD0" w:rsidR="00F9333A" w:rsidRDefault="00F9333A" w:rsidP="00F9333A">
      <w:pPr>
        <w:pStyle w:val="Heading2"/>
      </w:pPr>
      <w:r>
        <w:t>Analyses by primary and secondary prevention population</w:t>
      </w:r>
    </w:p>
    <w:p w14:paraId="522AA1C0" w14:textId="76169F5C" w:rsidR="00F9333A" w:rsidRDefault="00D45339" w:rsidP="00F9333A">
      <w:pPr>
        <w:pStyle w:val="Heading3"/>
      </w:pPr>
      <w:bookmarkStart w:id="28" w:name="_Because_of_trial"/>
      <w:bookmarkEnd w:id="28"/>
      <w:r>
        <w:t>Because of</w:t>
      </w:r>
      <w:r w:rsidR="009854F0">
        <w:t xml:space="preserve"> </w:t>
      </w:r>
      <w:r w:rsidR="003445F1">
        <w:t xml:space="preserve">trial </w:t>
      </w:r>
      <w:r w:rsidR="009854F0">
        <w:t>limitations, a</w:t>
      </w:r>
      <w:r w:rsidR="00813F79">
        <w:t xml:space="preserve">nalyses </w:t>
      </w:r>
      <w:r w:rsidR="009854F0">
        <w:t xml:space="preserve">based on efficacy data </w:t>
      </w:r>
      <w:r w:rsidR="00F20529">
        <w:t>directly related to the</w:t>
      </w:r>
      <w:r w:rsidR="009854F0">
        <w:t xml:space="preserve"> </w:t>
      </w:r>
      <w:r w:rsidR="00813F79">
        <w:t>primary and secondary prevention populations</w:t>
      </w:r>
      <w:r w:rsidR="009854F0">
        <w:t xml:space="preserve"> could not be </w:t>
      </w:r>
      <w:r>
        <w:t>done</w:t>
      </w:r>
    </w:p>
    <w:p w14:paraId="74370A2C" w14:textId="5C64747C" w:rsidR="00B72382" w:rsidRDefault="00B72382" w:rsidP="00813F79">
      <w:pPr>
        <w:pStyle w:val="Numberedlevel2text"/>
        <w:rPr>
          <w:lang w:val="en-GB"/>
        </w:rPr>
      </w:pPr>
      <w:r>
        <w:rPr>
          <w:lang w:val="en-GB"/>
        </w:rPr>
        <w:t xml:space="preserve">At technical </w:t>
      </w:r>
      <w:r w:rsidR="00FD41D9">
        <w:rPr>
          <w:lang w:val="en-GB"/>
        </w:rPr>
        <w:t>engagement,</w:t>
      </w:r>
      <w:r>
        <w:rPr>
          <w:lang w:val="en-GB"/>
        </w:rPr>
        <w:t xml:space="preserve"> </w:t>
      </w:r>
      <w:r w:rsidR="00C27FF7">
        <w:rPr>
          <w:lang w:val="en-GB"/>
        </w:rPr>
        <w:t xml:space="preserve">the ERG noted that efficacy data for bempedoic acid are limited in primary prevention </w:t>
      </w:r>
      <w:r w:rsidR="001A1B8F">
        <w:rPr>
          <w:lang w:val="en-GB"/>
        </w:rPr>
        <w:t xml:space="preserve">and patients with heterozygous familial hypercholesterolaemia. </w:t>
      </w:r>
      <w:r w:rsidR="001A1B8F">
        <w:t xml:space="preserve">The clinical expert noted that </w:t>
      </w:r>
      <w:r w:rsidR="003245B2">
        <w:t xml:space="preserve">it is possible to </w:t>
      </w:r>
      <w:r w:rsidR="003245B2">
        <w:rPr>
          <w:lang w:val="en-GB"/>
        </w:rPr>
        <w:t>assume a similar treatment</w:t>
      </w:r>
      <w:r w:rsidR="003245B2">
        <w:t xml:space="preserve"> effect</w:t>
      </w:r>
      <w:r w:rsidR="003245B2">
        <w:rPr>
          <w:lang w:val="en-GB"/>
        </w:rPr>
        <w:t xml:space="preserve"> of bempedoic acid on</w:t>
      </w:r>
      <w:r w:rsidR="003245B2">
        <w:t xml:space="preserve"> lipid reduction</w:t>
      </w:r>
      <w:r w:rsidR="003245B2">
        <w:rPr>
          <w:lang w:val="en-GB"/>
        </w:rPr>
        <w:t xml:space="preserve"> across primary and secondary prevention status. However, it is not reasonable to assume a similar treatment effect on </w:t>
      </w:r>
      <w:r w:rsidR="001A1B8F">
        <w:t>cardiovascular prevention</w:t>
      </w:r>
      <w:r w:rsidR="003245B2">
        <w:rPr>
          <w:lang w:val="en-GB"/>
        </w:rPr>
        <w:t xml:space="preserve">, </w:t>
      </w:r>
      <w:r w:rsidR="001A0681">
        <w:rPr>
          <w:lang w:val="en-GB"/>
        </w:rPr>
        <w:t xml:space="preserve">because </w:t>
      </w:r>
      <w:r w:rsidR="003245B2">
        <w:rPr>
          <w:lang w:val="en-GB"/>
        </w:rPr>
        <w:t>cardiovascular risk is higher in secondary prevention patients</w:t>
      </w:r>
      <w:r w:rsidR="001A1B8F">
        <w:t>.</w:t>
      </w:r>
      <w:r w:rsidR="001A1B8F">
        <w:rPr>
          <w:lang w:val="en-GB"/>
        </w:rPr>
        <w:t xml:space="preserve"> To avoid modelling a mixed prevention cohort, </w:t>
      </w:r>
      <w:r>
        <w:rPr>
          <w:lang w:val="en-GB"/>
        </w:rPr>
        <w:t xml:space="preserve">the company </w:t>
      </w:r>
      <w:r w:rsidRPr="00813F79">
        <w:rPr>
          <w:lang w:val="en-GB"/>
        </w:rPr>
        <w:t xml:space="preserve">accepted the ERG’s suggestion to </w:t>
      </w:r>
      <w:r w:rsidR="00C27FF7">
        <w:rPr>
          <w:lang w:val="en-GB"/>
        </w:rPr>
        <w:t xml:space="preserve">model </w:t>
      </w:r>
      <w:r w:rsidRPr="00813F79">
        <w:rPr>
          <w:lang w:val="en-GB"/>
        </w:rPr>
        <w:t xml:space="preserve">the subpopulations according to </w:t>
      </w:r>
      <w:r w:rsidR="00D45339">
        <w:rPr>
          <w:lang w:val="en-GB"/>
        </w:rPr>
        <w:t>most</w:t>
      </w:r>
      <w:r w:rsidR="001A1B8F">
        <w:rPr>
          <w:lang w:val="en-GB"/>
        </w:rPr>
        <w:t xml:space="preserve"> of the</w:t>
      </w:r>
      <w:r w:rsidRPr="00813F79">
        <w:rPr>
          <w:lang w:val="en-GB"/>
        </w:rPr>
        <w:t xml:space="preserve"> population in the CLEAR trials</w:t>
      </w:r>
      <w:r w:rsidR="00C27FF7">
        <w:rPr>
          <w:lang w:val="en-GB"/>
        </w:rPr>
        <w:t>. The populations were modelled as follows</w:t>
      </w:r>
      <w:r>
        <w:rPr>
          <w:lang w:val="en-GB"/>
        </w:rPr>
        <w:t>:</w:t>
      </w:r>
    </w:p>
    <w:p w14:paraId="35E4975C" w14:textId="3BE45F3C" w:rsidR="00B72382" w:rsidRPr="00B72382" w:rsidRDefault="00D04130" w:rsidP="00C27FF7">
      <w:pPr>
        <w:pStyle w:val="Bulletindent1"/>
      </w:pPr>
      <w:r>
        <w:t>s</w:t>
      </w:r>
      <w:r w:rsidR="00B72382" w:rsidRPr="00B72382">
        <w:t>ubpopulation</w:t>
      </w:r>
      <w:r w:rsidR="00D45339">
        <w:t> </w:t>
      </w:r>
      <w:r w:rsidR="00B72382" w:rsidRPr="00B72382">
        <w:t>2a, primary prevention without heterozygous familial hypercholesterolaemia;</w:t>
      </w:r>
    </w:p>
    <w:p w14:paraId="1D8F72E0" w14:textId="2E621411" w:rsidR="00B72382" w:rsidRPr="00B72382" w:rsidRDefault="00D04130" w:rsidP="00C27FF7">
      <w:pPr>
        <w:pStyle w:val="Bulletindent1"/>
      </w:pPr>
      <w:r>
        <w:t>s</w:t>
      </w:r>
      <w:r w:rsidR="00B72382" w:rsidRPr="00B72382">
        <w:t>ubpopulation</w:t>
      </w:r>
      <w:r w:rsidR="00D45339">
        <w:t> </w:t>
      </w:r>
      <w:r w:rsidR="00B72382" w:rsidRPr="00B72382">
        <w:t>2b, secondary prevention without heterozygous familial hypercholesterolaemia;</w:t>
      </w:r>
    </w:p>
    <w:p w14:paraId="2336B5AC" w14:textId="740021A1" w:rsidR="00B72382" w:rsidRPr="00B72382" w:rsidRDefault="00D04130" w:rsidP="00C27FF7">
      <w:pPr>
        <w:pStyle w:val="Bulletindent1"/>
      </w:pPr>
      <w:r>
        <w:t>s</w:t>
      </w:r>
      <w:r w:rsidR="00B72382" w:rsidRPr="00B72382">
        <w:t>ubpopulation</w:t>
      </w:r>
      <w:r w:rsidR="00D45339">
        <w:t> </w:t>
      </w:r>
      <w:r w:rsidR="00B72382" w:rsidRPr="00B72382">
        <w:t>4a, secondary prevention without heterozygous familial hypercholesterolaemia;</w:t>
      </w:r>
    </w:p>
    <w:p w14:paraId="2DEB7CC2" w14:textId="43907B6E" w:rsidR="00B72382" w:rsidRDefault="00D04130" w:rsidP="00C27FF7">
      <w:pPr>
        <w:pStyle w:val="Bulletindent1last"/>
      </w:pPr>
      <w:r>
        <w:lastRenderedPageBreak/>
        <w:t>s</w:t>
      </w:r>
      <w:r w:rsidR="00B72382" w:rsidRPr="00B72382">
        <w:t>ubpopulation</w:t>
      </w:r>
      <w:r w:rsidR="00D45339">
        <w:t> </w:t>
      </w:r>
      <w:r w:rsidR="00B72382" w:rsidRPr="00B72382">
        <w:t>4b, secondary prevention without heterozygous familial hypercholesterolaemia</w:t>
      </w:r>
      <w:r w:rsidR="00D45339">
        <w:t>.</w:t>
      </w:r>
    </w:p>
    <w:p w14:paraId="64968A38" w14:textId="0EEF0E88" w:rsidR="00322B29" w:rsidRDefault="009F6D91" w:rsidP="003245B2">
      <w:pPr>
        <w:pStyle w:val="NICEnormalindented"/>
      </w:pPr>
      <w:r>
        <w:t>However, the ERG noted that n</w:t>
      </w:r>
      <w:r w:rsidRPr="009F6D91">
        <w:t xml:space="preserve">ot all patients in the trials included in the </w:t>
      </w:r>
      <w:r w:rsidR="00B72382">
        <w:t>company’s original network meta-analysis</w:t>
      </w:r>
      <w:r w:rsidRPr="009F6D91">
        <w:t xml:space="preserve"> supporting the data for subpopulations</w:t>
      </w:r>
      <w:r w:rsidR="00D45339">
        <w:t> </w:t>
      </w:r>
      <w:r w:rsidRPr="009F6D91">
        <w:t>2b</w:t>
      </w:r>
      <w:r w:rsidR="00421650">
        <w:t xml:space="preserve"> and</w:t>
      </w:r>
      <w:r w:rsidR="00FD73A7">
        <w:t> </w:t>
      </w:r>
      <w:r w:rsidRPr="009F6D91">
        <w:t xml:space="preserve">4b </w:t>
      </w:r>
      <w:r w:rsidR="00D45339">
        <w:t>come</w:t>
      </w:r>
      <w:r w:rsidRPr="009F6D91">
        <w:t xml:space="preserve"> from trial populations without </w:t>
      </w:r>
      <w:r w:rsidR="00BB7082">
        <w:t>heterozygous familial hypercholesterolaemia</w:t>
      </w:r>
      <w:r w:rsidRPr="009F6D91">
        <w:t xml:space="preserve"> in secondary prevention. Additionally, not all patients in the </w:t>
      </w:r>
      <w:r w:rsidR="001A1B8F">
        <w:t>network meta-analysis</w:t>
      </w:r>
      <w:r w:rsidRPr="009F6D91">
        <w:t xml:space="preserve"> supporting </w:t>
      </w:r>
      <w:r w:rsidR="001A1B8F">
        <w:t xml:space="preserve">the </w:t>
      </w:r>
      <w:r w:rsidRPr="009F6D91">
        <w:t>data for subpopulation</w:t>
      </w:r>
      <w:r w:rsidR="00D45339">
        <w:t> </w:t>
      </w:r>
      <w:r w:rsidRPr="009F6D91">
        <w:t xml:space="preserve">2a </w:t>
      </w:r>
      <w:r w:rsidR="00D45339">
        <w:t>come</w:t>
      </w:r>
      <w:r w:rsidRPr="009F6D91">
        <w:t xml:space="preserve"> from trial populations without </w:t>
      </w:r>
      <w:r w:rsidR="00BB7082">
        <w:t>heterozygous familial hypercholesterolaemia</w:t>
      </w:r>
      <w:r w:rsidRPr="009F6D91">
        <w:t xml:space="preserve"> in primary prevention. </w:t>
      </w:r>
      <w:r w:rsidR="00322B29">
        <w:t>At the second appraisal meeting, NICE requested a</w:t>
      </w:r>
      <w:r w:rsidRPr="009F6D91">
        <w:t xml:space="preserve">nalyses based on efficacy data directly relevant to the intended subpopulation should be </w:t>
      </w:r>
      <w:r w:rsidR="00D45339">
        <w:t>done</w:t>
      </w:r>
      <w:r w:rsidR="00D45339" w:rsidRPr="009F6D91">
        <w:t xml:space="preserve"> </w:t>
      </w:r>
      <w:r w:rsidRPr="009F6D91">
        <w:t>to provide reliable cost</w:t>
      </w:r>
      <w:r w:rsidR="00D45339">
        <w:t>-</w:t>
      </w:r>
      <w:r w:rsidRPr="009F6D91">
        <w:t>effectiveness estimates</w:t>
      </w:r>
      <w:r w:rsidR="00322B29">
        <w:t xml:space="preserve">. The company noted that limiting to primary prevention and secondary prevention trials to inform relevant positions is challenging, </w:t>
      </w:r>
      <w:r w:rsidR="00D45339">
        <w:t xml:space="preserve">because </w:t>
      </w:r>
      <w:r w:rsidR="00322B29">
        <w:t xml:space="preserve">trials had mixed populations, and reporting of cardiovascular risk and </w:t>
      </w:r>
      <w:r w:rsidR="00D45339">
        <w:t xml:space="preserve">previous </w:t>
      </w:r>
      <w:r w:rsidR="00322B29">
        <w:t>cardiovascular events was unclear. As such, the company did not present updated results in response to this request. The committee concluded that the</w:t>
      </w:r>
      <w:r w:rsidR="001A1B8F">
        <w:t xml:space="preserve"> </w:t>
      </w:r>
      <w:r w:rsidR="00322B29">
        <w:t>clinical heterogeneity</w:t>
      </w:r>
      <w:r w:rsidR="001A1B8F">
        <w:t xml:space="preserve"> resulting from generalised subgroup efficacy data</w:t>
      </w:r>
      <w:r w:rsidR="00322B29">
        <w:t xml:space="preserve"> is unlikely to be resolved because of the limitations in </w:t>
      </w:r>
      <w:r w:rsidR="00DB558A">
        <w:t xml:space="preserve">the data from </w:t>
      </w:r>
      <w:r w:rsidR="00322B29">
        <w:t xml:space="preserve">the </w:t>
      </w:r>
      <w:r w:rsidR="00BB7082">
        <w:t>CLEAR</w:t>
      </w:r>
      <w:r w:rsidR="00322B29">
        <w:t xml:space="preserve"> trials.</w:t>
      </w:r>
    </w:p>
    <w:p w14:paraId="072BF834" w14:textId="43BF80C9" w:rsidR="00B71A7E" w:rsidRDefault="0096279B" w:rsidP="00B71A7E">
      <w:pPr>
        <w:pStyle w:val="Heading3"/>
      </w:pPr>
      <w:bookmarkStart w:id="29" w:name="_Primary_cardiovascular_risk"/>
      <w:bookmarkEnd w:id="29"/>
      <w:r>
        <w:t>Primary cardiovascular risk</w:t>
      </w:r>
      <w:r w:rsidR="009854F0">
        <w:t xml:space="preserve"> and cardiovascular event risk could not </w:t>
      </w:r>
      <w:r w:rsidR="00087C8B">
        <w:t xml:space="preserve">be </w:t>
      </w:r>
      <w:r w:rsidR="009854F0">
        <w:t xml:space="preserve">collected </w:t>
      </w:r>
      <w:r>
        <w:t xml:space="preserve">from the company’s CLEAR </w:t>
      </w:r>
      <w:r w:rsidR="00714F06">
        <w:t xml:space="preserve">trials </w:t>
      </w:r>
      <w:r w:rsidR="00087C8B">
        <w:t>data</w:t>
      </w:r>
    </w:p>
    <w:p w14:paraId="12990FFC" w14:textId="481FCEAF" w:rsidR="00BB7082" w:rsidRDefault="00155BD7" w:rsidP="009854F0">
      <w:pPr>
        <w:pStyle w:val="Numberedlevel2text"/>
      </w:pPr>
      <w:r w:rsidRPr="00155BD7">
        <w:rPr>
          <w:lang w:val="en-GB"/>
        </w:rPr>
        <w:t>The company</w:t>
      </w:r>
      <w:r w:rsidR="00763D94">
        <w:rPr>
          <w:lang w:val="en-GB"/>
        </w:rPr>
        <w:t xml:space="preserve">’s </w:t>
      </w:r>
      <w:r w:rsidR="00714F06">
        <w:rPr>
          <w:lang w:val="en-GB"/>
        </w:rPr>
        <w:t xml:space="preserve">model </w:t>
      </w:r>
      <w:r w:rsidR="00714F06" w:rsidRPr="00155BD7">
        <w:rPr>
          <w:lang w:val="en-GB"/>
        </w:rPr>
        <w:t>calculated</w:t>
      </w:r>
      <w:r w:rsidRPr="00155BD7">
        <w:rPr>
          <w:lang w:val="en-GB"/>
        </w:rPr>
        <w:t xml:space="preserve"> background </w:t>
      </w:r>
      <w:r w:rsidR="00111461">
        <w:rPr>
          <w:lang w:val="en-GB"/>
        </w:rPr>
        <w:t>cardiovascular</w:t>
      </w:r>
      <w:r w:rsidRPr="00155BD7">
        <w:rPr>
          <w:lang w:val="en-GB"/>
        </w:rPr>
        <w:t xml:space="preserve"> risks by converting the SCORE risk algorithm in European Society of Cardiology guidelines for a high-risk population into a QRISK3 risk</w:t>
      </w:r>
      <w:r>
        <w:rPr>
          <w:lang w:val="en-GB"/>
        </w:rPr>
        <w:t>.</w:t>
      </w:r>
      <w:r w:rsidR="00DC0543">
        <w:rPr>
          <w:lang w:val="en-GB"/>
        </w:rPr>
        <w:t xml:space="preserve"> </w:t>
      </w:r>
      <w:r>
        <w:rPr>
          <w:lang w:val="en-GB"/>
        </w:rPr>
        <w:t xml:space="preserve">The subsequent annual risk </w:t>
      </w:r>
      <w:r w:rsidR="00B74837">
        <w:rPr>
          <w:lang w:val="en-GB"/>
        </w:rPr>
        <w:t xml:space="preserve">was </w:t>
      </w:r>
      <w:r>
        <w:rPr>
          <w:lang w:val="en-GB"/>
        </w:rPr>
        <w:t xml:space="preserve">then used to estimate annual risk for the different </w:t>
      </w:r>
      <w:r w:rsidR="00111461">
        <w:rPr>
          <w:lang w:val="en-GB"/>
        </w:rPr>
        <w:t>cardiovascular</w:t>
      </w:r>
      <w:r>
        <w:rPr>
          <w:lang w:val="en-GB"/>
        </w:rPr>
        <w:t xml:space="preserve"> events based on the relative rates of first events in Ward et al., 2007. The company noted that this approach is consistent with the approach in </w:t>
      </w:r>
      <w:hyperlink r:id="rId19" w:history="1">
        <w:r w:rsidR="00FD41D9" w:rsidRPr="00DF67DA">
          <w:rPr>
            <w:rStyle w:val="Hyperlink"/>
            <w:lang w:val="en-GB"/>
          </w:rPr>
          <w:t xml:space="preserve">NICE’s clinical guideline on </w:t>
        </w:r>
        <w:r w:rsidR="00DF67DA" w:rsidRPr="00DF67DA">
          <w:rPr>
            <w:rStyle w:val="Hyperlink"/>
            <w:lang w:val="en-GB"/>
          </w:rPr>
          <w:t>cardiovascular disease: risk assessment and reduction, including lipid modification</w:t>
        </w:r>
      </w:hyperlink>
      <w:r w:rsidR="00DC0543">
        <w:rPr>
          <w:lang w:val="en-GB"/>
        </w:rPr>
        <w:t xml:space="preserve">. </w:t>
      </w:r>
      <w:r w:rsidR="00B74837">
        <w:rPr>
          <w:lang w:val="en-GB"/>
        </w:rPr>
        <w:t xml:space="preserve">The </w:t>
      </w:r>
      <w:r w:rsidR="00B74837" w:rsidRPr="00B74837">
        <w:rPr>
          <w:lang w:val="en-GB"/>
        </w:rPr>
        <w:t>ERG consider</w:t>
      </w:r>
      <w:r w:rsidR="00DF67DA">
        <w:rPr>
          <w:lang w:val="en-GB"/>
        </w:rPr>
        <w:t>ed</w:t>
      </w:r>
      <w:r w:rsidR="00B74837" w:rsidRPr="00B74837">
        <w:rPr>
          <w:lang w:val="en-GB"/>
        </w:rPr>
        <w:t xml:space="preserve"> that primary </w:t>
      </w:r>
      <w:r w:rsidR="00111461">
        <w:rPr>
          <w:lang w:val="en-GB"/>
        </w:rPr>
        <w:t>cardiovascular</w:t>
      </w:r>
      <w:r w:rsidR="00B74837" w:rsidRPr="00B74837">
        <w:rPr>
          <w:lang w:val="en-GB"/>
        </w:rPr>
        <w:t xml:space="preserve"> risks and </w:t>
      </w:r>
      <w:r w:rsidR="00111461">
        <w:rPr>
          <w:lang w:val="en-GB"/>
        </w:rPr>
        <w:t>cardiovascular</w:t>
      </w:r>
      <w:r w:rsidR="00B74837" w:rsidRPr="00B74837">
        <w:rPr>
          <w:lang w:val="en-GB"/>
        </w:rPr>
        <w:t xml:space="preserve"> event </w:t>
      </w:r>
      <w:r w:rsidR="00B74837" w:rsidRPr="00B74837">
        <w:rPr>
          <w:lang w:val="en-GB"/>
        </w:rPr>
        <w:lastRenderedPageBreak/>
        <w:t xml:space="preserve">history in </w:t>
      </w:r>
      <w:r w:rsidR="00B74837">
        <w:rPr>
          <w:lang w:val="en-GB"/>
        </w:rPr>
        <w:t>the CLEAR trials</w:t>
      </w:r>
      <w:r w:rsidR="00B74837" w:rsidRPr="00B74837">
        <w:rPr>
          <w:lang w:val="en-GB"/>
        </w:rPr>
        <w:t xml:space="preserve"> may be more appropriate to use than other sources. </w:t>
      </w:r>
      <w:r w:rsidR="00B74837">
        <w:rPr>
          <w:lang w:val="en-GB"/>
        </w:rPr>
        <w:t xml:space="preserve">The </w:t>
      </w:r>
      <w:r w:rsidR="006941AF">
        <w:rPr>
          <w:lang w:val="en-GB"/>
        </w:rPr>
        <w:t xml:space="preserve">ERG </w:t>
      </w:r>
      <w:r w:rsidR="00B74837" w:rsidRPr="00B74837">
        <w:rPr>
          <w:lang w:val="en-GB"/>
        </w:rPr>
        <w:t>consider</w:t>
      </w:r>
      <w:r w:rsidR="00DF67DA">
        <w:rPr>
          <w:lang w:val="en-GB"/>
        </w:rPr>
        <w:t>ed</w:t>
      </w:r>
      <w:r w:rsidR="00B74837" w:rsidRPr="00B74837">
        <w:rPr>
          <w:lang w:val="en-GB"/>
        </w:rPr>
        <w:t xml:space="preserve"> that the true risk for primary </w:t>
      </w:r>
      <w:r w:rsidR="00111461">
        <w:rPr>
          <w:lang w:val="en-GB"/>
        </w:rPr>
        <w:t>cardiovascular</w:t>
      </w:r>
      <w:r w:rsidR="00B74837" w:rsidRPr="00B74837">
        <w:rPr>
          <w:lang w:val="en-GB"/>
        </w:rPr>
        <w:t xml:space="preserve"> events would lie somewhere between the company’s base</w:t>
      </w:r>
      <w:r w:rsidR="00DF67DA">
        <w:rPr>
          <w:lang w:val="en-GB"/>
        </w:rPr>
        <w:t>-</w:t>
      </w:r>
      <w:r w:rsidR="00B74837" w:rsidRPr="00B74837">
        <w:rPr>
          <w:lang w:val="en-GB"/>
        </w:rPr>
        <w:t xml:space="preserve">case analysis (a 10-year risk of around 30% for myocardial infarction, ischemic stroke or </w:t>
      </w:r>
      <w:r w:rsidR="00111461">
        <w:rPr>
          <w:lang w:val="en-GB"/>
        </w:rPr>
        <w:t>cardiovascular</w:t>
      </w:r>
      <w:r w:rsidR="00B74837" w:rsidRPr="00B74837">
        <w:rPr>
          <w:lang w:val="en-GB"/>
        </w:rPr>
        <w:t xml:space="preserve"> death estimated using the SCORE risk</w:t>
      </w:r>
      <w:r w:rsidR="00852273">
        <w:rPr>
          <w:lang w:val="en-GB"/>
        </w:rPr>
        <w:t>)</w:t>
      </w:r>
      <w:r w:rsidR="00B74837" w:rsidRPr="00B74837">
        <w:rPr>
          <w:lang w:val="en-GB"/>
        </w:rPr>
        <w:t xml:space="preserve"> and the company’s scenario analysis provided during the clarification stage (a 10-year risk of 20% for </w:t>
      </w:r>
      <w:r w:rsidR="00DF67DA">
        <w:rPr>
          <w:lang w:val="en-GB"/>
        </w:rPr>
        <w:t>myocardial infarction</w:t>
      </w:r>
      <w:r w:rsidR="00B74837" w:rsidRPr="00B74837">
        <w:rPr>
          <w:lang w:val="en-GB"/>
        </w:rPr>
        <w:t xml:space="preserve">, </w:t>
      </w:r>
      <w:r w:rsidR="00DF67DA">
        <w:rPr>
          <w:lang w:val="en-GB"/>
        </w:rPr>
        <w:t>ischemic stroke</w:t>
      </w:r>
      <w:r w:rsidR="00DF67DA" w:rsidRPr="00B74837">
        <w:rPr>
          <w:lang w:val="en-GB"/>
        </w:rPr>
        <w:t xml:space="preserve"> </w:t>
      </w:r>
      <w:r w:rsidR="00B74837" w:rsidRPr="00B74837">
        <w:rPr>
          <w:lang w:val="en-GB"/>
        </w:rPr>
        <w:t xml:space="preserve">or </w:t>
      </w:r>
      <w:r w:rsidR="00111461">
        <w:rPr>
          <w:lang w:val="en-GB"/>
        </w:rPr>
        <w:t>cardiovascular</w:t>
      </w:r>
      <w:r w:rsidR="00B74837" w:rsidRPr="00B74837">
        <w:rPr>
          <w:lang w:val="en-GB"/>
        </w:rPr>
        <w:t xml:space="preserve"> death).</w:t>
      </w:r>
      <w:r w:rsidR="00B27729">
        <w:rPr>
          <w:lang w:val="en-GB"/>
        </w:rPr>
        <w:t xml:space="preserve"> </w:t>
      </w:r>
      <w:r w:rsidR="00DB558A">
        <w:rPr>
          <w:lang w:val="en-GB"/>
        </w:rPr>
        <w:t xml:space="preserve">After the first committee meeting, </w:t>
      </w:r>
      <w:r w:rsidR="00313FFE">
        <w:rPr>
          <w:lang w:val="en-GB"/>
        </w:rPr>
        <w:t>NICE requested</w:t>
      </w:r>
      <w:r w:rsidR="00686483">
        <w:rPr>
          <w:lang w:val="en-GB"/>
        </w:rPr>
        <w:t xml:space="preserve"> </w:t>
      </w:r>
      <w:r w:rsidR="00313FFE">
        <w:rPr>
          <w:lang w:val="en-GB"/>
        </w:rPr>
        <w:t>that the analyses use data from the CLEAR trials to inform baseline cardiovascular risk and event history in the model. T</w:t>
      </w:r>
      <w:r w:rsidR="00890986">
        <w:rPr>
          <w:lang w:val="en-GB"/>
        </w:rPr>
        <w:t xml:space="preserve">he company </w:t>
      </w:r>
      <w:r w:rsidR="00313FFE">
        <w:rPr>
          <w:lang w:val="en-GB"/>
        </w:rPr>
        <w:t xml:space="preserve">reiterated that the parameters </w:t>
      </w:r>
      <w:r w:rsidR="00686483">
        <w:rPr>
          <w:lang w:val="en-GB"/>
        </w:rPr>
        <w:t xml:space="preserve">needed </w:t>
      </w:r>
      <w:r w:rsidR="00313FFE">
        <w:rPr>
          <w:lang w:val="en-GB"/>
        </w:rPr>
        <w:t xml:space="preserve">to reliably calculate cardiovascular risks using the QRISK3 algorithm have not been captured in the CLEAR trial datasets and cannot be obtained from published data. </w:t>
      </w:r>
      <w:r w:rsidR="00766E9F">
        <w:rPr>
          <w:lang w:val="en-GB"/>
        </w:rPr>
        <w:t>Additionally</w:t>
      </w:r>
      <w:r w:rsidR="00313FFE">
        <w:rPr>
          <w:lang w:val="en-GB"/>
        </w:rPr>
        <w:t xml:space="preserve">, the company noted that they were unable to use </w:t>
      </w:r>
      <w:r w:rsidR="00686483">
        <w:rPr>
          <w:lang w:val="en-GB"/>
        </w:rPr>
        <w:t xml:space="preserve">previous </w:t>
      </w:r>
      <w:r w:rsidR="00313FFE">
        <w:rPr>
          <w:lang w:val="en-GB"/>
        </w:rPr>
        <w:t xml:space="preserve">cardiovascular events from the CLEAR trials to estimate what </w:t>
      </w:r>
      <w:r w:rsidR="00686483">
        <w:rPr>
          <w:lang w:val="en-GB"/>
        </w:rPr>
        <w:t xml:space="preserve">previous </w:t>
      </w:r>
      <w:r w:rsidR="00313FFE">
        <w:rPr>
          <w:lang w:val="en-GB"/>
        </w:rPr>
        <w:t xml:space="preserve">events would have </w:t>
      </w:r>
      <w:r w:rsidR="00686483">
        <w:rPr>
          <w:lang w:val="en-GB"/>
        </w:rPr>
        <w:t xml:space="preserve">happened </w:t>
      </w:r>
      <w:r w:rsidR="00313FFE">
        <w:rPr>
          <w:lang w:val="en-GB"/>
        </w:rPr>
        <w:t xml:space="preserve">in the model, </w:t>
      </w:r>
      <w:r w:rsidR="00686483">
        <w:rPr>
          <w:lang w:val="en-GB"/>
        </w:rPr>
        <w:t xml:space="preserve">because </w:t>
      </w:r>
      <w:r w:rsidR="00313FFE">
        <w:rPr>
          <w:lang w:val="en-GB"/>
        </w:rPr>
        <w:t xml:space="preserve">these data were also not available from the CLEAR </w:t>
      </w:r>
      <w:r w:rsidR="00696F63">
        <w:rPr>
          <w:lang w:val="en-GB"/>
        </w:rPr>
        <w:t>trials</w:t>
      </w:r>
      <w:r w:rsidR="00313FFE">
        <w:rPr>
          <w:lang w:val="en-GB"/>
        </w:rPr>
        <w:t xml:space="preserve">. The ERG reported, that in absence of the CLEAR trial data, using Ward et al., 2007 </w:t>
      </w:r>
      <w:r w:rsidR="00766E9F">
        <w:rPr>
          <w:lang w:val="en-GB"/>
        </w:rPr>
        <w:t xml:space="preserve">to inform the distribution of </w:t>
      </w:r>
      <w:r w:rsidR="00686483">
        <w:rPr>
          <w:lang w:val="en-GB"/>
        </w:rPr>
        <w:t xml:space="preserve">previous </w:t>
      </w:r>
      <w:r w:rsidR="00766E9F">
        <w:rPr>
          <w:lang w:val="en-GB"/>
        </w:rPr>
        <w:t>cardiovascular events to be</w:t>
      </w:r>
      <w:r w:rsidR="00313FFE">
        <w:rPr>
          <w:lang w:val="en-GB"/>
        </w:rPr>
        <w:t xml:space="preserve"> a reasonable alternative. The </w:t>
      </w:r>
      <w:r w:rsidR="00766E9F">
        <w:rPr>
          <w:lang w:val="en-GB"/>
        </w:rPr>
        <w:t xml:space="preserve">ERG presented the updated scenario analysis from the first appraisal meeting using the ERG </w:t>
      </w:r>
      <w:r w:rsidR="00FD41D9">
        <w:rPr>
          <w:lang w:val="en-GB"/>
        </w:rPr>
        <w:t>preferred network meta-analysis (</w:t>
      </w:r>
      <w:hyperlink w:anchor="_The_ERG’s_updated" w:history="1">
        <w:r w:rsidR="00FD41D9" w:rsidRPr="00FD73A7">
          <w:rPr>
            <w:rStyle w:val="Hyperlink"/>
            <w:lang w:val="en-GB"/>
          </w:rPr>
          <w:t>see section</w:t>
        </w:r>
        <w:r w:rsidR="00686483" w:rsidRPr="00FD73A7">
          <w:rPr>
            <w:rStyle w:val="Hyperlink"/>
            <w:lang w:val="en-GB"/>
          </w:rPr>
          <w:t> </w:t>
        </w:r>
        <w:r w:rsidR="00FD41D9" w:rsidRPr="00FD73A7">
          <w:rPr>
            <w:rStyle w:val="Hyperlink"/>
            <w:lang w:val="en-GB"/>
          </w:rPr>
          <w:t>3.</w:t>
        </w:r>
      </w:hyperlink>
      <w:r w:rsidR="00F7123F">
        <w:rPr>
          <w:rStyle w:val="Hyperlink"/>
          <w:lang w:val="en-GB"/>
        </w:rPr>
        <w:t>8</w:t>
      </w:r>
      <w:r w:rsidR="00FD41D9">
        <w:rPr>
          <w:lang w:val="en-GB"/>
        </w:rPr>
        <w:t xml:space="preserve">) </w:t>
      </w:r>
      <w:r w:rsidR="00766E9F">
        <w:rPr>
          <w:lang w:val="en-GB"/>
        </w:rPr>
        <w:t>for population</w:t>
      </w:r>
      <w:r w:rsidR="00686483">
        <w:rPr>
          <w:lang w:val="en-GB"/>
        </w:rPr>
        <w:t> </w:t>
      </w:r>
      <w:r w:rsidR="00766E9F">
        <w:rPr>
          <w:lang w:val="en-GB"/>
        </w:rPr>
        <w:t>2a</w:t>
      </w:r>
      <w:r w:rsidR="00303896">
        <w:rPr>
          <w:lang w:val="en-GB"/>
        </w:rPr>
        <w:t xml:space="preserve"> (</w:t>
      </w:r>
      <w:r w:rsidR="00686483">
        <w:rPr>
          <w:lang w:val="en-GB"/>
        </w:rPr>
        <w:t xml:space="preserve">that is, patients who were </w:t>
      </w:r>
      <w:r w:rsidR="00303896">
        <w:rPr>
          <w:lang w:val="en-GB"/>
        </w:rPr>
        <w:t xml:space="preserve">statin intolerant </w:t>
      </w:r>
      <w:r w:rsidR="00686483">
        <w:rPr>
          <w:lang w:val="en-GB"/>
        </w:rPr>
        <w:t xml:space="preserve">and </w:t>
      </w:r>
      <w:r w:rsidR="00303896">
        <w:rPr>
          <w:lang w:val="en-GB"/>
        </w:rPr>
        <w:t>not eligible for alirocumab or evolocumab)</w:t>
      </w:r>
      <w:r w:rsidR="00766E9F">
        <w:rPr>
          <w:lang w:val="en-GB"/>
        </w:rPr>
        <w:t>. T</w:t>
      </w:r>
      <w:r w:rsidR="00766E9F" w:rsidRPr="00B27729">
        <w:rPr>
          <w:lang w:val="en-GB"/>
        </w:rPr>
        <w:t xml:space="preserve">he ERG </w:t>
      </w:r>
      <w:r w:rsidR="00766E9F">
        <w:rPr>
          <w:lang w:val="en-GB"/>
        </w:rPr>
        <w:t xml:space="preserve">reported </w:t>
      </w:r>
      <w:r w:rsidR="00766E9F" w:rsidRPr="00B27729">
        <w:rPr>
          <w:lang w:val="en-GB"/>
        </w:rPr>
        <w:t>that the</w:t>
      </w:r>
      <w:r w:rsidR="00766E9F">
        <w:rPr>
          <w:lang w:val="en-GB"/>
        </w:rPr>
        <w:t xml:space="preserve"> same</w:t>
      </w:r>
      <w:r w:rsidR="00766E9F" w:rsidRPr="00B27729">
        <w:rPr>
          <w:lang w:val="en-GB"/>
        </w:rPr>
        <w:t xml:space="preserve"> change</w:t>
      </w:r>
      <w:r w:rsidR="00766E9F" w:rsidRPr="00B74837">
        <w:rPr>
          <w:lang w:val="en-GB"/>
        </w:rPr>
        <w:t xml:space="preserve"> </w:t>
      </w:r>
      <w:r w:rsidR="00766E9F" w:rsidRPr="00B27729">
        <w:rPr>
          <w:lang w:val="en-GB"/>
        </w:rPr>
        <w:t>in risk</w:t>
      </w:r>
      <w:r w:rsidR="00766E9F">
        <w:rPr>
          <w:lang w:val="en-GB"/>
        </w:rPr>
        <w:t xml:space="preserve"> (</w:t>
      </w:r>
      <w:r w:rsidR="00E30D81">
        <w:rPr>
          <w:lang w:val="en-GB"/>
        </w:rPr>
        <w:t xml:space="preserve">from </w:t>
      </w:r>
      <w:r w:rsidR="00766E9F" w:rsidRPr="00B74837">
        <w:rPr>
          <w:lang w:val="en-GB"/>
        </w:rPr>
        <w:t>the company’s base</w:t>
      </w:r>
      <w:r w:rsidR="00686483">
        <w:rPr>
          <w:lang w:val="en-GB"/>
        </w:rPr>
        <w:t>-</w:t>
      </w:r>
      <w:r w:rsidR="00766E9F" w:rsidRPr="00B74837">
        <w:rPr>
          <w:lang w:val="en-GB"/>
        </w:rPr>
        <w:t xml:space="preserve">case analysis </w:t>
      </w:r>
      <w:r w:rsidR="00766E9F">
        <w:rPr>
          <w:lang w:val="en-GB"/>
        </w:rPr>
        <w:t xml:space="preserve">of </w:t>
      </w:r>
      <w:r w:rsidR="00766E9F" w:rsidRPr="00B74837">
        <w:rPr>
          <w:lang w:val="en-GB"/>
        </w:rPr>
        <w:t>a 10-year risk of around 30%</w:t>
      </w:r>
      <w:r w:rsidR="00766E9F">
        <w:rPr>
          <w:lang w:val="en-GB"/>
        </w:rPr>
        <w:t xml:space="preserve">, </w:t>
      </w:r>
      <w:r w:rsidR="00E30D81">
        <w:rPr>
          <w:lang w:val="en-GB"/>
        </w:rPr>
        <w:t>to the</w:t>
      </w:r>
      <w:r w:rsidR="00766E9F">
        <w:rPr>
          <w:lang w:val="en-GB"/>
        </w:rPr>
        <w:t xml:space="preserve"> scenario analysis of a 10-year risk of 20%)</w:t>
      </w:r>
      <w:r w:rsidR="00766E9F" w:rsidRPr="00B27729">
        <w:rPr>
          <w:lang w:val="en-GB"/>
        </w:rPr>
        <w:t xml:space="preserve"> resulted in an increase in the </w:t>
      </w:r>
      <w:r w:rsidR="00852273">
        <w:rPr>
          <w:lang w:val="en-GB"/>
        </w:rPr>
        <w:t>ICER</w:t>
      </w:r>
      <w:r w:rsidR="00766E9F" w:rsidRPr="00B27729">
        <w:rPr>
          <w:lang w:val="en-GB"/>
        </w:rPr>
        <w:t xml:space="preserve"> of </w:t>
      </w:r>
      <w:r w:rsidR="00686483">
        <w:rPr>
          <w:lang w:val="en-GB"/>
        </w:rPr>
        <w:t xml:space="preserve">about </w:t>
      </w:r>
      <w:r w:rsidR="00766E9F">
        <w:rPr>
          <w:lang w:val="en-GB"/>
        </w:rPr>
        <w:t xml:space="preserve">£7,500 </w:t>
      </w:r>
      <w:r w:rsidR="00766E9F" w:rsidRPr="00B27729">
        <w:rPr>
          <w:lang w:val="en-GB"/>
        </w:rPr>
        <w:t xml:space="preserve">per </w:t>
      </w:r>
      <w:r w:rsidR="00766E9F">
        <w:rPr>
          <w:lang w:val="en-GB"/>
        </w:rPr>
        <w:t>q</w:t>
      </w:r>
      <w:r w:rsidR="00766E9F" w:rsidRPr="00B27729">
        <w:rPr>
          <w:lang w:val="en-GB"/>
        </w:rPr>
        <w:t>uality adjusted life year gaine</w:t>
      </w:r>
      <w:r w:rsidR="00766E9F">
        <w:rPr>
          <w:lang w:val="en-GB"/>
        </w:rPr>
        <w:t>d</w:t>
      </w:r>
      <w:r w:rsidR="00686483">
        <w:rPr>
          <w:lang w:val="en-GB"/>
        </w:rPr>
        <w:t xml:space="preserve"> (QALY)</w:t>
      </w:r>
      <w:r w:rsidR="00766E9F">
        <w:rPr>
          <w:lang w:val="en-GB"/>
        </w:rPr>
        <w:t xml:space="preserve">. </w:t>
      </w:r>
      <w:r w:rsidR="003245B2">
        <w:rPr>
          <w:lang w:val="en-GB"/>
        </w:rPr>
        <w:t xml:space="preserve">The committee understood that data </w:t>
      </w:r>
      <w:r w:rsidR="00896608">
        <w:rPr>
          <w:lang w:val="en-GB"/>
        </w:rPr>
        <w:t xml:space="preserve">on </w:t>
      </w:r>
      <w:r w:rsidR="00896608" w:rsidRPr="00B74837">
        <w:rPr>
          <w:lang w:val="en-GB"/>
        </w:rPr>
        <w:t xml:space="preserve">primary </w:t>
      </w:r>
      <w:r w:rsidR="00896608">
        <w:rPr>
          <w:lang w:val="en-GB"/>
        </w:rPr>
        <w:t>cardiovascular</w:t>
      </w:r>
      <w:r w:rsidR="00896608" w:rsidRPr="00B74837">
        <w:rPr>
          <w:lang w:val="en-GB"/>
        </w:rPr>
        <w:t xml:space="preserve"> risks and </w:t>
      </w:r>
      <w:r w:rsidR="00896608">
        <w:rPr>
          <w:lang w:val="en-GB"/>
        </w:rPr>
        <w:t>cardiovascular</w:t>
      </w:r>
      <w:r w:rsidR="00896608" w:rsidRPr="00B74837">
        <w:rPr>
          <w:lang w:val="en-GB"/>
        </w:rPr>
        <w:t xml:space="preserve"> event history</w:t>
      </w:r>
      <w:r w:rsidR="00896608">
        <w:rPr>
          <w:lang w:val="en-GB"/>
        </w:rPr>
        <w:t xml:space="preserve"> could not be obtained from the CLEAR trials. </w:t>
      </w:r>
      <w:r w:rsidR="009854F0">
        <w:rPr>
          <w:lang w:val="en-GB"/>
        </w:rPr>
        <w:t xml:space="preserve">They </w:t>
      </w:r>
      <w:r w:rsidR="00313FFE">
        <w:rPr>
          <w:lang w:val="en-GB"/>
        </w:rPr>
        <w:t>concluded that</w:t>
      </w:r>
      <w:r w:rsidR="00896608">
        <w:rPr>
          <w:lang w:val="en-GB"/>
        </w:rPr>
        <w:t xml:space="preserve"> using data from Ward et al., 2007 was a reasonable alternative, and</w:t>
      </w:r>
      <w:r w:rsidR="00313FFE">
        <w:rPr>
          <w:lang w:val="en-GB"/>
        </w:rPr>
        <w:t xml:space="preserve"> the resulting </w:t>
      </w:r>
      <w:r w:rsidR="00766E9F">
        <w:rPr>
          <w:lang w:val="en-GB"/>
        </w:rPr>
        <w:t>uncertainty</w:t>
      </w:r>
      <w:r w:rsidR="00313FFE">
        <w:rPr>
          <w:lang w:val="en-GB"/>
        </w:rPr>
        <w:t xml:space="preserve"> </w:t>
      </w:r>
      <w:r w:rsidR="00896608">
        <w:rPr>
          <w:lang w:val="en-GB"/>
        </w:rPr>
        <w:t>in the cost-effectiveness results could not be</w:t>
      </w:r>
      <w:r w:rsidR="00313FFE">
        <w:rPr>
          <w:lang w:val="en-GB"/>
        </w:rPr>
        <w:t xml:space="preserve"> resolved</w:t>
      </w:r>
      <w:r w:rsidR="00896608">
        <w:rPr>
          <w:lang w:val="en-GB"/>
        </w:rPr>
        <w:t>.</w:t>
      </w:r>
    </w:p>
    <w:p w14:paraId="61CA35D9" w14:textId="14D5AC11" w:rsidR="00643582" w:rsidRPr="00153242" w:rsidRDefault="001D7DF4" w:rsidP="00643582">
      <w:pPr>
        <w:pStyle w:val="Heading2"/>
      </w:pPr>
      <w:r>
        <w:lastRenderedPageBreak/>
        <w:t>Methodological uncertainty</w:t>
      </w:r>
    </w:p>
    <w:p w14:paraId="2A6880B1" w14:textId="3D994932" w:rsidR="001D7DF4" w:rsidRDefault="007102E2" w:rsidP="001D7DF4">
      <w:pPr>
        <w:pStyle w:val="Heading3"/>
      </w:pPr>
      <w:bookmarkStart w:id="30" w:name="_The_ERG’s_updated"/>
      <w:bookmarkEnd w:id="30"/>
      <w:r>
        <w:t xml:space="preserve">The </w:t>
      </w:r>
      <w:r w:rsidR="00383AB5">
        <w:t xml:space="preserve">ERG’s </w:t>
      </w:r>
      <w:r w:rsidR="009C4304">
        <w:t xml:space="preserve">updated </w:t>
      </w:r>
      <w:r w:rsidR="00CB0153">
        <w:t xml:space="preserve">network meta-analysis </w:t>
      </w:r>
      <w:r w:rsidR="009C4304">
        <w:t xml:space="preserve">is the most </w:t>
      </w:r>
      <w:r>
        <w:t>suitable for decision making</w:t>
      </w:r>
    </w:p>
    <w:p w14:paraId="25C278C3" w14:textId="21BE735F" w:rsidR="00065881" w:rsidRPr="00071C50" w:rsidRDefault="0044176F" w:rsidP="00F919F5">
      <w:pPr>
        <w:pStyle w:val="Numberedlevel2text"/>
        <w:rPr>
          <w:lang w:val="en-GB"/>
        </w:rPr>
      </w:pPr>
      <w:r w:rsidRPr="00EB5FE8">
        <w:t>The ERG note</w:t>
      </w:r>
      <w:r w:rsidR="00C03297" w:rsidRPr="001C6DD1">
        <w:rPr>
          <w:lang w:val="en-GB"/>
        </w:rPr>
        <w:t>d</w:t>
      </w:r>
      <w:r w:rsidRPr="00EB5FE8">
        <w:t xml:space="preserve"> that the company’s </w:t>
      </w:r>
      <w:r w:rsidR="00CB0153">
        <w:rPr>
          <w:lang w:val="en-GB"/>
        </w:rPr>
        <w:t>network meta-analysis</w:t>
      </w:r>
      <w:r w:rsidR="00CB0153" w:rsidRPr="00BB15E6">
        <w:rPr>
          <w:lang w:val="en-GB"/>
        </w:rPr>
        <w:t xml:space="preserve"> </w:t>
      </w:r>
      <w:r w:rsidR="00C03297" w:rsidRPr="00BB15E6">
        <w:rPr>
          <w:lang w:val="en-GB"/>
        </w:rPr>
        <w:t xml:space="preserve">submitted at technical </w:t>
      </w:r>
      <w:r w:rsidR="00C03297" w:rsidRPr="00586A9F">
        <w:rPr>
          <w:lang w:val="en-GB"/>
        </w:rPr>
        <w:t>engagement</w:t>
      </w:r>
      <w:r w:rsidR="00C03297" w:rsidRPr="00383AB5">
        <w:rPr>
          <w:lang w:val="en-GB"/>
        </w:rPr>
        <w:t xml:space="preserve"> </w:t>
      </w:r>
      <w:r w:rsidR="00C03297" w:rsidRPr="00AD6D7F">
        <w:rPr>
          <w:lang w:val="en-GB"/>
        </w:rPr>
        <w:t xml:space="preserve">had </w:t>
      </w:r>
      <w:r w:rsidRPr="00EB5FE8">
        <w:t xml:space="preserve">high levels of statistical </w:t>
      </w:r>
      <w:r w:rsidRPr="00703E39">
        <w:t>and clinical heterogeneity present</w:t>
      </w:r>
      <w:r w:rsidR="00EB5FE8">
        <w:t>. This include</w:t>
      </w:r>
      <w:r w:rsidR="00B859D4" w:rsidRPr="001C6DD1">
        <w:rPr>
          <w:lang w:val="en-GB"/>
        </w:rPr>
        <w:t>d</w:t>
      </w:r>
      <w:r w:rsidRPr="00EB5FE8">
        <w:t xml:space="preserve"> differences between </w:t>
      </w:r>
      <w:r w:rsidR="00CB0153">
        <w:rPr>
          <w:lang w:val="en-GB"/>
        </w:rPr>
        <w:t>trials</w:t>
      </w:r>
      <w:r w:rsidR="00CB0153" w:rsidRPr="00EB5FE8">
        <w:t xml:space="preserve"> </w:t>
      </w:r>
      <w:r w:rsidRPr="00EB5FE8">
        <w:t xml:space="preserve">in terms of baseline cardiovascular risk, statin intensity, proportion of patients </w:t>
      </w:r>
      <w:r w:rsidR="00CB0153">
        <w:rPr>
          <w:lang w:val="en-GB"/>
        </w:rPr>
        <w:t>having</w:t>
      </w:r>
      <w:r w:rsidR="00CB0153" w:rsidRPr="00EB5FE8">
        <w:t xml:space="preserve"> </w:t>
      </w:r>
      <w:r w:rsidR="00EB5FE8">
        <w:t>lipid</w:t>
      </w:r>
      <w:r w:rsidR="00852273">
        <w:t>-</w:t>
      </w:r>
      <w:r w:rsidR="00EB5FE8">
        <w:t>lowering therapy</w:t>
      </w:r>
      <w:r w:rsidR="00EB5FE8" w:rsidRPr="00EB5FE8">
        <w:t xml:space="preserve"> </w:t>
      </w:r>
      <w:r w:rsidRPr="00EB5FE8">
        <w:t xml:space="preserve">for primary prevention, and proportions of patients with </w:t>
      </w:r>
      <w:r w:rsidR="00111461">
        <w:t>heterozygous familial hypercholesterolaemia</w:t>
      </w:r>
      <w:r w:rsidRPr="00EB5FE8">
        <w:t xml:space="preserve">. </w:t>
      </w:r>
      <w:r w:rsidR="00791598">
        <w:rPr>
          <w:lang w:val="en-GB"/>
        </w:rPr>
        <w:t>It also noted that</w:t>
      </w:r>
      <w:r w:rsidR="009943C9" w:rsidRPr="00EB5FE8">
        <w:t xml:space="preserve"> the</w:t>
      </w:r>
      <w:r w:rsidRPr="00EB5FE8">
        <w:t xml:space="preserve"> </w:t>
      </w:r>
      <w:r w:rsidR="00E30D81">
        <w:rPr>
          <w:lang w:val="en-GB"/>
        </w:rPr>
        <w:t>high</w:t>
      </w:r>
      <w:r w:rsidRPr="00EB5FE8">
        <w:t xml:space="preserve"> residual deviance</w:t>
      </w:r>
      <w:r w:rsidR="009943C9" w:rsidRPr="00EB5FE8">
        <w:t xml:space="preserve"> implied that the company’s </w:t>
      </w:r>
      <w:r w:rsidR="00CB0153">
        <w:rPr>
          <w:lang w:val="en-GB"/>
        </w:rPr>
        <w:t>network meta-analysis</w:t>
      </w:r>
      <w:r w:rsidR="00CB0153" w:rsidRPr="00EB5FE8">
        <w:t xml:space="preserve"> </w:t>
      </w:r>
      <w:r w:rsidR="009943C9" w:rsidRPr="00EB5FE8">
        <w:t>would poorly predict the data from the trials used in the analysis.</w:t>
      </w:r>
      <w:r w:rsidR="00EB5FE8">
        <w:t xml:space="preserve"> </w:t>
      </w:r>
      <w:r w:rsidR="00076028" w:rsidRPr="00071C50">
        <w:rPr>
          <w:lang w:val="en-GB"/>
        </w:rPr>
        <w:t>At the first appraisal meeting, t</w:t>
      </w:r>
      <w:r w:rsidR="009943C9" w:rsidRPr="00071C50">
        <w:rPr>
          <w:lang w:val="en-GB"/>
        </w:rPr>
        <w:t>he committee considered the high levels of statistical and clinical heterogeneity present in the</w:t>
      </w:r>
      <w:r w:rsidR="007102E2" w:rsidRPr="00071C50">
        <w:rPr>
          <w:lang w:val="en-GB"/>
        </w:rPr>
        <w:t xml:space="preserve"> </w:t>
      </w:r>
      <w:r w:rsidR="009943C9" w:rsidRPr="00071C50">
        <w:rPr>
          <w:lang w:val="en-GB"/>
        </w:rPr>
        <w:t xml:space="preserve">company </w:t>
      </w:r>
      <w:r w:rsidR="00CB0153">
        <w:rPr>
          <w:lang w:val="en-GB"/>
        </w:rPr>
        <w:t>network meta-analysis</w:t>
      </w:r>
      <w:r w:rsidR="00CB0153" w:rsidRPr="00071C50">
        <w:rPr>
          <w:lang w:val="en-GB"/>
        </w:rPr>
        <w:t xml:space="preserve"> </w:t>
      </w:r>
      <w:r w:rsidR="009943C9" w:rsidRPr="00071C50">
        <w:rPr>
          <w:lang w:val="en-GB"/>
        </w:rPr>
        <w:t xml:space="preserve">to be unreliable for decision making. The committee </w:t>
      </w:r>
      <w:r w:rsidR="001C6DD1" w:rsidRPr="00071C50">
        <w:rPr>
          <w:lang w:val="en-GB"/>
        </w:rPr>
        <w:t xml:space="preserve">noted </w:t>
      </w:r>
      <w:r w:rsidR="009943C9" w:rsidRPr="00071C50">
        <w:rPr>
          <w:lang w:val="en-GB"/>
        </w:rPr>
        <w:t>that neither the ERG</w:t>
      </w:r>
      <w:r w:rsidR="00CB0153">
        <w:rPr>
          <w:lang w:val="en-GB"/>
        </w:rPr>
        <w:t>’s</w:t>
      </w:r>
      <w:r w:rsidR="009943C9" w:rsidRPr="00071C50">
        <w:rPr>
          <w:lang w:val="en-GB"/>
        </w:rPr>
        <w:t xml:space="preserve"> or company</w:t>
      </w:r>
      <w:r w:rsidR="00CB0153">
        <w:rPr>
          <w:lang w:val="en-GB"/>
        </w:rPr>
        <w:t>’s</w:t>
      </w:r>
      <w:r w:rsidR="009943C9" w:rsidRPr="00071C50">
        <w:rPr>
          <w:lang w:val="en-GB"/>
        </w:rPr>
        <w:t xml:space="preserve"> </w:t>
      </w:r>
      <w:r w:rsidR="00CB0153">
        <w:rPr>
          <w:lang w:val="en-GB"/>
        </w:rPr>
        <w:t>network meta-analysis</w:t>
      </w:r>
      <w:r w:rsidR="00CB0153" w:rsidRPr="00071C50">
        <w:rPr>
          <w:lang w:val="en-GB"/>
        </w:rPr>
        <w:t xml:space="preserve"> </w:t>
      </w:r>
      <w:r w:rsidR="001C6DD1" w:rsidRPr="00071C50">
        <w:rPr>
          <w:lang w:val="en-GB"/>
        </w:rPr>
        <w:t xml:space="preserve">were </w:t>
      </w:r>
      <w:r w:rsidR="009943C9" w:rsidRPr="00071C50">
        <w:rPr>
          <w:lang w:val="en-GB"/>
        </w:rPr>
        <w:t xml:space="preserve">suitable, and </w:t>
      </w:r>
      <w:r w:rsidR="00791598">
        <w:rPr>
          <w:lang w:val="en-GB"/>
        </w:rPr>
        <w:t>preferred</w:t>
      </w:r>
      <w:r w:rsidR="009943C9" w:rsidRPr="00071C50">
        <w:rPr>
          <w:lang w:val="en-GB"/>
        </w:rPr>
        <w:t xml:space="preserve"> to see </w:t>
      </w:r>
      <w:r w:rsidR="00CB0153">
        <w:rPr>
          <w:lang w:val="en-GB"/>
        </w:rPr>
        <w:t>network meta-analyses</w:t>
      </w:r>
      <w:r w:rsidR="00CB0153" w:rsidRPr="00071C50">
        <w:rPr>
          <w:lang w:val="en-GB"/>
        </w:rPr>
        <w:t xml:space="preserve"> </w:t>
      </w:r>
      <w:r w:rsidR="009943C9" w:rsidRPr="00071C50">
        <w:rPr>
          <w:lang w:val="en-GB"/>
        </w:rPr>
        <w:t>for both the statin intolerant</w:t>
      </w:r>
      <w:r w:rsidR="004475F9">
        <w:rPr>
          <w:lang w:val="en-GB"/>
        </w:rPr>
        <w:t xml:space="preserve"> (population</w:t>
      </w:r>
      <w:r w:rsidR="001A0681">
        <w:rPr>
          <w:lang w:val="en-GB"/>
        </w:rPr>
        <w:t> </w:t>
      </w:r>
      <w:r w:rsidR="004475F9">
        <w:rPr>
          <w:lang w:val="en-GB"/>
        </w:rPr>
        <w:t>2)</w:t>
      </w:r>
      <w:r w:rsidR="009943C9" w:rsidRPr="00071C50">
        <w:rPr>
          <w:lang w:val="en-GB"/>
        </w:rPr>
        <w:t xml:space="preserve"> and maximally tolerated statin populations</w:t>
      </w:r>
      <w:r w:rsidR="004475F9">
        <w:rPr>
          <w:lang w:val="en-GB"/>
        </w:rPr>
        <w:t xml:space="preserve"> (population</w:t>
      </w:r>
      <w:r w:rsidR="001A0681">
        <w:rPr>
          <w:lang w:val="en-GB"/>
        </w:rPr>
        <w:t> </w:t>
      </w:r>
      <w:r w:rsidR="004475F9">
        <w:rPr>
          <w:lang w:val="en-GB"/>
        </w:rPr>
        <w:t>4)</w:t>
      </w:r>
      <w:r w:rsidR="009943C9" w:rsidRPr="00071C50">
        <w:rPr>
          <w:lang w:val="en-GB"/>
        </w:rPr>
        <w:t>, with improved</w:t>
      </w:r>
      <w:r w:rsidR="007102E2" w:rsidRPr="00071C50">
        <w:rPr>
          <w:lang w:val="en-GB"/>
        </w:rPr>
        <w:t xml:space="preserve"> </w:t>
      </w:r>
      <w:r w:rsidR="009943C9" w:rsidRPr="00071C50">
        <w:rPr>
          <w:lang w:val="en-GB"/>
        </w:rPr>
        <w:t>statistical fit, reduced clinical heterogeneity</w:t>
      </w:r>
      <w:r w:rsidR="00791598">
        <w:rPr>
          <w:lang w:val="en-GB"/>
        </w:rPr>
        <w:t xml:space="preserve">. </w:t>
      </w:r>
      <w:r w:rsidR="00CA1314">
        <w:rPr>
          <w:lang w:val="en-GB"/>
        </w:rPr>
        <w:t>After the first appraisal committee meeting</w:t>
      </w:r>
      <w:r w:rsidR="00F161F8">
        <w:rPr>
          <w:lang w:val="en-GB"/>
        </w:rPr>
        <w:t>,</w:t>
      </w:r>
      <w:r w:rsidR="00CA1314">
        <w:rPr>
          <w:lang w:val="en-GB"/>
        </w:rPr>
        <w:t xml:space="preserve"> </w:t>
      </w:r>
      <w:r w:rsidR="00065881" w:rsidRPr="001C6DD1">
        <w:rPr>
          <w:lang w:val="en-GB"/>
        </w:rPr>
        <w:t>NICE requested that the company</w:t>
      </w:r>
      <w:r w:rsidR="00065881" w:rsidRPr="005733B5">
        <w:rPr>
          <w:lang w:val="en-GB"/>
        </w:rPr>
        <w:t xml:space="preserve"> </w:t>
      </w:r>
      <w:r w:rsidR="007F6930">
        <w:rPr>
          <w:lang w:val="en-GB"/>
        </w:rPr>
        <w:t>do</w:t>
      </w:r>
      <w:r w:rsidR="007F6930" w:rsidRPr="005733B5">
        <w:rPr>
          <w:lang w:val="en-GB"/>
        </w:rPr>
        <w:t xml:space="preserve"> </w:t>
      </w:r>
      <w:r w:rsidR="00065881" w:rsidRPr="005733B5">
        <w:rPr>
          <w:lang w:val="en-GB"/>
        </w:rPr>
        <w:t>a</w:t>
      </w:r>
      <w:r w:rsidR="00791598">
        <w:rPr>
          <w:lang w:val="en-GB"/>
        </w:rPr>
        <w:t xml:space="preserve">n </w:t>
      </w:r>
      <w:r w:rsidR="00065881" w:rsidRPr="005733B5">
        <w:rPr>
          <w:lang w:val="en-GB"/>
        </w:rPr>
        <w:t xml:space="preserve">analysis which builds upon the </w:t>
      </w:r>
      <w:r w:rsidR="007F6930">
        <w:rPr>
          <w:lang w:val="en-GB"/>
        </w:rPr>
        <w:t>network meta-analyses</w:t>
      </w:r>
      <w:r w:rsidR="007F6930" w:rsidRPr="005733B5">
        <w:rPr>
          <w:lang w:val="en-GB"/>
        </w:rPr>
        <w:t xml:space="preserve"> </w:t>
      </w:r>
      <w:r w:rsidR="007F6930">
        <w:rPr>
          <w:lang w:val="en-GB"/>
        </w:rPr>
        <w:t>done</w:t>
      </w:r>
      <w:r w:rsidR="007F6930" w:rsidRPr="005733B5">
        <w:rPr>
          <w:lang w:val="en-GB"/>
        </w:rPr>
        <w:t xml:space="preserve"> </w:t>
      </w:r>
      <w:r w:rsidR="00065881" w:rsidRPr="005733B5">
        <w:rPr>
          <w:lang w:val="en-GB"/>
        </w:rPr>
        <w:t>by the ERG and presented in the first appraisal meeti</w:t>
      </w:r>
      <w:r w:rsidR="00065881" w:rsidRPr="00E461B0">
        <w:rPr>
          <w:lang w:val="en-GB"/>
        </w:rPr>
        <w:t>ng</w:t>
      </w:r>
      <w:r w:rsidR="00791598">
        <w:rPr>
          <w:lang w:val="en-GB"/>
        </w:rPr>
        <w:t xml:space="preserve"> to reduce statistical and clinical heterogeneity</w:t>
      </w:r>
      <w:r w:rsidR="00065881" w:rsidRPr="00E461B0">
        <w:rPr>
          <w:lang w:val="en-GB"/>
        </w:rPr>
        <w:t>. As part of the ana</w:t>
      </w:r>
      <w:r w:rsidR="00065881" w:rsidRPr="005E0678">
        <w:rPr>
          <w:lang w:val="en-GB"/>
        </w:rPr>
        <w:t xml:space="preserve">lysis, NICE </w:t>
      </w:r>
      <w:r w:rsidR="00791598">
        <w:rPr>
          <w:lang w:val="en-GB"/>
        </w:rPr>
        <w:t xml:space="preserve">also </w:t>
      </w:r>
      <w:r w:rsidR="00065881" w:rsidRPr="005E0678">
        <w:rPr>
          <w:lang w:val="en-GB"/>
        </w:rPr>
        <w:t xml:space="preserve">asked the company to identify any additional </w:t>
      </w:r>
      <w:r w:rsidR="007F6930">
        <w:rPr>
          <w:lang w:val="en-GB"/>
        </w:rPr>
        <w:t>trials</w:t>
      </w:r>
      <w:r w:rsidR="007F6930" w:rsidRPr="005E0678">
        <w:rPr>
          <w:lang w:val="en-GB"/>
        </w:rPr>
        <w:t xml:space="preserve"> </w:t>
      </w:r>
      <w:r w:rsidR="00065881" w:rsidRPr="00071C50">
        <w:rPr>
          <w:lang w:val="en-GB"/>
        </w:rPr>
        <w:t>that meet the following:</w:t>
      </w:r>
    </w:p>
    <w:p w14:paraId="5E94EF0C" w14:textId="225CB62A" w:rsidR="00065881" w:rsidRDefault="00C144CA" w:rsidP="00F919F5">
      <w:pPr>
        <w:pStyle w:val="Bulletindent1"/>
      </w:pPr>
      <w:r>
        <w:t>People in the trial</w:t>
      </w:r>
      <w:r w:rsidR="001764F9">
        <w:t xml:space="preserve"> h</w:t>
      </w:r>
      <w:r w:rsidR="00065881">
        <w:t xml:space="preserve">ave </w:t>
      </w:r>
      <w:r>
        <w:t xml:space="preserve">had </w:t>
      </w:r>
      <w:r w:rsidR="00752D9F">
        <w:t>treatment with</w:t>
      </w:r>
      <w:r w:rsidR="00065881">
        <w:t xml:space="preserve"> ezetimibe </w:t>
      </w:r>
      <w:r w:rsidR="007F6930">
        <w:t>before</w:t>
      </w:r>
      <w:r w:rsidR="00065881">
        <w:t xml:space="preserve"> randomisation (</w:t>
      </w:r>
      <w:hyperlink w:anchor="_The_network_meta-analyses" w:history="1">
        <w:r w:rsidR="00065881" w:rsidRPr="00FD73A7">
          <w:rPr>
            <w:rStyle w:val="Hyperlink"/>
          </w:rPr>
          <w:t xml:space="preserve">see </w:t>
        </w:r>
        <w:r w:rsidR="007F6930" w:rsidRPr="00FD73A7">
          <w:rPr>
            <w:rStyle w:val="Hyperlink"/>
          </w:rPr>
          <w:t>s</w:t>
        </w:r>
        <w:r w:rsidR="00065881" w:rsidRPr="00FD73A7">
          <w:rPr>
            <w:rStyle w:val="Hyperlink"/>
          </w:rPr>
          <w:t>ection</w:t>
        </w:r>
        <w:r w:rsidR="007F6930" w:rsidRPr="00FD73A7">
          <w:rPr>
            <w:rStyle w:val="Hyperlink"/>
          </w:rPr>
          <w:t> </w:t>
        </w:r>
        <w:r w:rsidR="00065881" w:rsidRPr="00FD73A7">
          <w:rPr>
            <w:rStyle w:val="Hyperlink"/>
          </w:rPr>
          <w:t>3.3</w:t>
        </w:r>
      </w:hyperlink>
      <w:r w:rsidR="00065881">
        <w:t>)</w:t>
      </w:r>
      <w:r w:rsidR="007F6930">
        <w:t>.</w:t>
      </w:r>
    </w:p>
    <w:p w14:paraId="680A9603" w14:textId="59C53B01" w:rsidR="00065881" w:rsidRPr="00995DD6" w:rsidRDefault="00C144CA" w:rsidP="00F919F5">
      <w:pPr>
        <w:pStyle w:val="Bulletindent1"/>
      </w:pPr>
      <w:r>
        <w:t>People in the trials have</w:t>
      </w:r>
      <w:r w:rsidR="001764F9">
        <w:t xml:space="preserve"> </w:t>
      </w:r>
      <w:r w:rsidR="00065881">
        <w:t xml:space="preserve">similar unadjusted </w:t>
      </w:r>
      <w:r w:rsidR="00065881" w:rsidRPr="00995DD6">
        <w:t>baseline LDL-C levels (</w:t>
      </w:r>
      <w:hyperlink w:anchor="_Because_of_the" w:history="1">
        <w:r w:rsidR="00065881" w:rsidRPr="00FD73A7">
          <w:rPr>
            <w:rStyle w:val="Hyperlink"/>
          </w:rPr>
          <w:t xml:space="preserve">see </w:t>
        </w:r>
        <w:r w:rsidR="007F6930" w:rsidRPr="00FD73A7">
          <w:rPr>
            <w:rStyle w:val="Hyperlink"/>
          </w:rPr>
          <w:t>s</w:t>
        </w:r>
        <w:r w:rsidR="00065881" w:rsidRPr="00FD73A7">
          <w:rPr>
            <w:rStyle w:val="Hyperlink"/>
          </w:rPr>
          <w:t>ection</w:t>
        </w:r>
        <w:r w:rsidR="007F6930" w:rsidRPr="00FD73A7">
          <w:rPr>
            <w:rStyle w:val="Hyperlink"/>
          </w:rPr>
          <w:t> </w:t>
        </w:r>
        <w:r w:rsidR="00065881" w:rsidRPr="00FD73A7">
          <w:rPr>
            <w:rStyle w:val="Hyperlink"/>
          </w:rPr>
          <w:t>3.4</w:t>
        </w:r>
      </w:hyperlink>
      <w:r w:rsidR="00065881" w:rsidRPr="00995DD6">
        <w:t>)</w:t>
      </w:r>
      <w:r w:rsidR="007F6930">
        <w:t>.</w:t>
      </w:r>
    </w:p>
    <w:p w14:paraId="0A056787" w14:textId="0D24AD40" w:rsidR="00065881" w:rsidRPr="00995DD6" w:rsidRDefault="00065881" w:rsidP="00F919F5">
      <w:pPr>
        <w:pStyle w:val="Bulletindent1"/>
      </w:pPr>
      <w:r w:rsidRPr="00995DD6">
        <w:t>Use appropriate trials to inform treatment efficacy for primary prevention (population</w:t>
      </w:r>
      <w:r w:rsidR="007F6930">
        <w:t> </w:t>
      </w:r>
      <w:r w:rsidRPr="00995DD6">
        <w:t>2a) and secondary prevention (population</w:t>
      </w:r>
      <w:r w:rsidR="007F6930">
        <w:t> </w:t>
      </w:r>
      <w:r w:rsidRPr="00995DD6">
        <w:t>2b and</w:t>
      </w:r>
      <w:r w:rsidR="00FD73A7">
        <w:t> </w:t>
      </w:r>
      <w:r w:rsidRPr="00995DD6">
        <w:t>4b) (</w:t>
      </w:r>
      <w:hyperlink w:anchor="_Because_of_trial" w:history="1">
        <w:r w:rsidRPr="00FD73A7">
          <w:rPr>
            <w:rStyle w:val="Hyperlink"/>
          </w:rPr>
          <w:t xml:space="preserve">see </w:t>
        </w:r>
        <w:r w:rsidR="007F6930" w:rsidRPr="00FD73A7">
          <w:rPr>
            <w:rStyle w:val="Hyperlink"/>
          </w:rPr>
          <w:t>s</w:t>
        </w:r>
        <w:r w:rsidRPr="00FD73A7">
          <w:rPr>
            <w:rStyle w:val="Hyperlink"/>
          </w:rPr>
          <w:t>ection</w:t>
        </w:r>
        <w:r w:rsidR="00FD73A7" w:rsidRPr="00FD73A7">
          <w:rPr>
            <w:rStyle w:val="Hyperlink"/>
          </w:rPr>
          <w:t>s</w:t>
        </w:r>
        <w:r w:rsidR="007F6930" w:rsidRPr="00FD73A7">
          <w:rPr>
            <w:rStyle w:val="Hyperlink"/>
          </w:rPr>
          <w:t> </w:t>
        </w:r>
        <w:r w:rsidRPr="00FD73A7">
          <w:rPr>
            <w:rStyle w:val="Hyperlink"/>
          </w:rPr>
          <w:t>3.6</w:t>
        </w:r>
      </w:hyperlink>
      <w:r w:rsidRPr="00995DD6">
        <w:t xml:space="preserve"> </w:t>
      </w:r>
      <w:r w:rsidR="007F6930">
        <w:t>and </w:t>
      </w:r>
      <w:hyperlink w:anchor="_Primary_cardiovascular_risk" w:history="1">
        <w:r w:rsidRPr="00FD73A7">
          <w:rPr>
            <w:rStyle w:val="Hyperlink"/>
          </w:rPr>
          <w:t>3.7</w:t>
        </w:r>
      </w:hyperlink>
      <w:r w:rsidRPr="00995DD6">
        <w:t>)</w:t>
      </w:r>
      <w:r w:rsidR="007F6930">
        <w:t>.</w:t>
      </w:r>
    </w:p>
    <w:p w14:paraId="5FD8C486" w14:textId="2504795E" w:rsidR="00065881" w:rsidRPr="00995DD6" w:rsidRDefault="001764F9" w:rsidP="00F919F5">
      <w:pPr>
        <w:pStyle w:val="Bulletindent1last"/>
      </w:pPr>
      <w:r>
        <w:lastRenderedPageBreak/>
        <w:t>Trials that</w:t>
      </w:r>
      <w:r w:rsidRPr="00995DD6">
        <w:t xml:space="preserve"> </w:t>
      </w:r>
      <w:r w:rsidR="00065881" w:rsidRPr="00995DD6">
        <w:t>have other similar baseline characteristics such as cardiovascular disease risk, heterozygous familial hypercholesterolaemia, type of statin, sex, and ethnicity (</w:t>
      </w:r>
      <w:hyperlink w:anchor="_Because_of_trial_1" w:history="1">
        <w:r w:rsidR="00065881" w:rsidRPr="00FD73A7">
          <w:rPr>
            <w:rStyle w:val="Hyperlink"/>
          </w:rPr>
          <w:t xml:space="preserve">see </w:t>
        </w:r>
        <w:r w:rsidR="007F6930" w:rsidRPr="00FD73A7">
          <w:rPr>
            <w:rStyle w:val="Hyperlink"/>
          </w:rPr>
          <w:t>s</w:t>
        </w:r>
        <w:r w:rsidR="00065881" w:rsidRPr="00FD73A7">
          <w:rPr>
            <w:rStyle w:val="Hyperlink"/>
          </w:rPr>
          <w:t>ection</w:t>
        </w:r>
        <w:r w:rsidR="007F6930" w:rsidRPr="00FD73A7">
          <w:rPr>
            <w:rStyle w:val="Hyperlink"/>
          </w:rPr>
          <w:t> </w:t>
        </w:r>
        <w:r w:rsidR="00065881" w:rsidRPr="00FD73A7">
          <w:rPr>
            <w:rStyle w:val="Hyperlink"/>
          </w:rPr>
          <w:t>3.5</w:t>
        </w:r>
      </w:hyperlink>
      <w:r w:rsidR="00065881" w:rsidRPr="00995DD6">
        <w:t>)</w:t>
      </w:r>
      <w:r w:rsidR="007F6930">
        <w:t>.</w:t>
      </w:r>
    </w:p>
    <w:p w14:paraId="78EF6971" w14:textId="37424BFB" w:rsidR="00752D9F" w:rsidRDefault="00065881" w:rsidP="00D32F66">
      <w:pPr>
        <w:pStyle w:val="Numberedlevel2text"/>
        <w:numPr>
          <w:ilvl w:val="0"/>
          <w:numId w:val="0"/>
        </w:numPr>
        <w:ind w:left="1134"/>
        <w:rPr>
          <w:lang w:val="en-GB"/>
        </w:rPr>
      </w:pPr>
      <w:r w:rsidRPr="00995DD6">
        <w:rPr>
          <w:lang w:val="en-GB"/>
        </w:rPr>
        <w:t>In response</w:t>
      </w:r>
      <w:r w:rsidR="001764F9">
        <w:rPr>
          <w:lang w:val="en-GB"/>
        </w:rPr>
        <w:t xml:space="preserve">, </w:t>
      </w:r>
      <w:r w:rsidRPr="00995DD6">
        <w:rPr>
          <w:lang w:val="en-GB"/>
        </w:rPr>
        <w:t xml:space="preserve">the company presented </w:t>
      </w:r>
      <w:r w:rsidR="00541865">
        <w:rPr>
          <w:lang w:val="en-GB"/>
        </w:rPr>
        <w:t>2</w:t>
      </w:r>
      <w:r w:rsidR="00541865" w:rsidRPr="00995DD6">
        <w:rPr>
          <w:lang w:val="en-GB"/>
        </w:rPr>
        <w:t xml:space="preserve"> </w:t>
      </w:r>
      <w:r w:rsidRPr="00995DD6">
        <w:rPr>
          <w:lang w:val="en-GB"/>
        </w:rPr>
        <w:t xml:space="preserve">further </w:t>
      </w:r>
      <w:r w:rsidR="007F6930">
        <w:rPr>
          <w:lang w:val="en-GB"/>
        </w:rPr>
        <w:t>network meta-analyses</w:t>
      </w:r>
      <w:r w:rsidR="00752D9F">
        <w:rPr>
          <w:lang w:val="en-GB"/>
        </w:rPr>
        <w:t>:</w:t>
      </w:r>
    </w:p>
    <w:p w14:paraId="4D775C19" w14:textId="6DF9B606" w:rsidR="007133E1" w:rsidRDefault="007133E1" w:rsidP="007133E1">
      <w:pPr>
        <w:pStyle w:val="Numberedlevel2text"/>
        <w:numPr>
          <w:ilvl w:val="0"/>
          <w:numId w:val="32"/>
        </w:numPr>
        <w:rPr>
          <w:lang w:val="en-GB"/>
        </w:rPr>
      </w:pPr>
      <w:r>
        <w:rPr>
          <w:lang w:val="en-GB"/>
        </w:rPr>
        <w:t xml:space="preserve">The company presented an </w:t>
      </w:r>
      <w:r w:rsidRPr="00995DD6">
        <w:rPr>
          <w:lang w:val="en-GB"/>
        </w:rPr>
        <w:t>additional</w:t>
      </w:r>
      <w:r>
        <w:rPr>
          <w:lang w:val="en-GB"/>
        </w:rPr>
        <w:t xml:space="preserve"> network meta-</w:t>
      </w:r>
      <w:r w:rsidRPr="00995DD6">
        <w:rPr>
          <w:lang w:val="en-GB"/>
        </w:rPr>
        <w:t>analysis, which included several changes in line with the requests by NICE (</w:t>
      </w:r>
      <w:hyperlink w:anchor="_The_network_meta-analyses" w:history="1">
        <w:r w:rsidRPr="00FD73A7">
          <w:rPr>
            <w:rStyle w:val="Hyperlink"/>
            <w:lang w:val="en-GB"/>
          </w:rPr>
          <w:t>see</w:t>
        </w:r>
        <w:r>
          <w:rPr>
            <w:rStyle w:val="Hyperlink"/>
            <w:lang w:val="en-GB"/>
          </w:rPr>
          <w:t xml:space="preserve"> </w:t>
        </w:r>
        <w:r w:rsidRPr="00FD73A7">
          <w:rPr>
            <w:rStyle w:val="Hyperlink"/>
            <w:lang w:val="en-GB"/>
          </w:rPr>
          <w:t>sections 3.3</w:t>
        </w:r>
      </w:hyperlink>
      <w:r>
        <w:rPr>
          <w:lang w:val="en-GB"/>
        </w:rPr>
        <w:t>, </w:t>
      </w:r>
      <w:hyperlink w:anchor="_Because_of_the" w:history="1">
        <w:r w:rsidRPr="00FD73A7">
          <w:rPr>
            <w:rStyle w:val="Hyperlink"/>
            <w:lang w:val="en-GB"/>
          </w:rPr>
          <w:t>3.4</w:t>
        </w:r>
      </w:hyperlink>
      <w:r>
        <w:rPr>
          <w:lang w:val="en-GB"/>
        </w:rPr>
        <w:t>, </w:t>
      </w:r>
      <w:hyperlink w:anchor="_Because_of_trial_1" w:history="1">
        <w:r w:rsidRPr="00FD73A7">
          <w:rPr>
            <w:rStyle w:val="Hyperlink"/>
            <w:lang w:val="en-GB"/>
          </w:rPr>
          <w:t>3.5</w:t>
        </w:r>
      </w:hyperlink>
      <w:r>
        <w:rPr>
          <w:lang w:val="en-GB"/>
        </w:rPr>
        <w:t>, </w:t>
      </w:r>
      <w:hyperlink w:anchor="_Because_of_trial" w:history="1">
        <w:r w:rsidRPr="00FD73A7">
          <w:rPr>
            <w:rStyle w:val="Hyperlink"/>
            <w:lang w:val="en-GB"/>
          </w:rPr>
          <w:t>3.6</w:t>
        </w:r>
      </w:hyperlink>
      <w:r>
        <w:rPr>
          <w:lang w:val="en-GB"/>
        </w:rPr>
        <w:t xml:space="preserve"> and </w:t>
      </w:r>
      <w:hyperlink w:anchor="_Primary_cardiovascular_risk" w:history="1">
        <w:r w:rsidRPr="00FD73A7">
          <w:rPr>
            <w:rStyle w:val="Hyperlink"/>
            <w:lang w:val="en-GB"/>
          </w:rPr>
          <w:t>3.7</w:t>
        </w:r>
      </w:hyperlink>
      <w:r w:rsidRPr="00995DD6">
        <w:rPr>
          <w:lang w:val="en-GB"/>
        </w:rPr>
        <w:t>).</w:t>
      </w:r>
      <w:r w:rsidRPr="007133E1" w:rsidDel="00541865">
        <w:rPr>
          <w:lang w:val="en-GB"/>
        </w:rPr>
        <w:t xml:space="preserve"> </w:t>
      </w:r>
      <w:r>
        <w:rPr>
          <w:lang w:val="en-GB"/>
        </w:rPr>
        <w:t>T</w:t>
      </w:r>
      <w:r w:rsidRPr="00995DD6">
        <w:rPr>
          <w:lang w:val="en-GB"/>
        </w:rPr>
        <w:t xml:space="preserve">he </w:t>
      </w:r>
      <w:r>
        <w:rPr>
          <w:lang w:val="en-GB"/>
        </w:rPr>
        <w:t xml:space="preserve">committee agreed with </w:t>
      </w:r>
      <w:r w:rsidR="00C01897">
        <w:rPr>
          <w:lang w:val="en-GB"/>
        </w:rPr>
        <w:t xml:space="preserve">the </w:t>
      </w:r>
      <w:r>
        <w:rPr>
          <w:lang w:val="en-GB"/>
        </w:rPr>
        <w:t>ERG and remained</w:t>
      </w:r>
      <w:r w:rsidRPr="00995DD6">
        <w:rPr>
          <w:lang w:val="en-GB"/>
        </w:rPr>
        <w:t xml:space="preserve"> concerned that there </w:t>
      </w:r>
      <w:r>
        <w:rPr>
          <w:lang w:val="en-GB"/>
        </w:rPr>
        <w:t>was</w:t>
      </w:r>
      <w:r w:rsidRPr="00995DD6">
        <w:rPr>
          <w:lang w:val="en-GB"/>
        </w:rPr>
        <w:t xml:space="preserve"> substantial unresolved clinical heterogeneity between the trials included in the company’s additional </w:t>
      </w:r>
      <w:r>
        <w:rPr>
          <w:lang w:val="en-GB"/>
        </w:rPr>
        <w:t>network meta-analysis, and the results were not suitable for decision making.</w:t>
      </w:r>
    </w:p>
    <w:p w14:paraId="4492892D" w14:textId="7B32044F" w:rsidR="007133E1" w:rsidRDefault="007133E1" w:rsidP="007133E1">
      <w:pPr>
        <w:pStyle w:val="Numberedlevel2text"/>
        <w:numPr>
          <w:ilvl w:val="0"/>
          <w:numId w:val="32"/>
        </w:numPr>
        <w:rPr>
          <w:lang w:val="en-GB"/>
        </w:rPr>
      </w:pPr>
      <w:r>
        <w:rPr>
          <w:lang w:val="en-GB"/>
        </w:rPr>
        <w:t xml:space="preserve">The </w:t>
      </w:r>
      <w:r w:rsidR="00065881" w:rsidRPr="007133E1">
        <w:rPr>
          <w:lang w:val="en-GB"/>
        </w:rPr>
        <w:t>compan</w:t>
      </w:r>
      <w:r>
        <w:rPr>
          <w:lang w:val="en-GB"/>
        </w:rPr>
        <w:t xml:space="preserve">y </w:t>
      </w:r>
      <w:r w:rsidR="000B594D" w:rsidRPr="007133E1">
        <w:rPr>
          <w:lang w:val="en-GB"/>
        </w:rPr>
        <w:t xml:space="preserve">updated the ERG preferred </w:t>
      </w:r>
      <w:r>
        <w:rPr>
          <w:lang w:val="en-GB"/>
        </w:rPr>
        <w:t>network meta-analysis to</w:t>
      </w:r>
      <w:r w:rsidR="00FF6BB5" w:rsidRPr="007133E1">
        <w:rPr>
          <w:lang w:val="en-GB"/>
        </w:rPr>
        <w:t xml:space="preserve"> include all available data for bempedoic acid in patients </w:t>
      </w:r>
      <w:r w:rsidR="00514D1D" w:rsidRPr="007133E1">
        <w:rPr>
          <w:lang w:val="en-GB"/>
        </w:rPr>
        <w:t xml:space="preserve">having </w:t>
      </w:r>
      <w:r w:rsidR="00FF6BB5" w:rsidRPr="007133E1">
        <w:rPr>
          <w:lang w:val="en-GB"/>
        </w:rPr>
        <w:t xml:space="preserve">ezetimibe at baseline from the CLEAR </w:t>
      </w:r>
      <w:r w:rsidR="00514D1D" w:rsidRPr="007133E1">
        <w:rPr>
          <w:lang w:val="en-GB"/>
        </w:rPr>
        <w:t xml:space="preserve">trials </w:t>
      </w:r>
      <w:r w:rsidR="00FF6BB5" w:rsidRPr="007133E1">
        <w:rPr>
          <w:lang w:val="en-GB"/>
        </w:rPr>
        <w:t xml:space="preserve">that the ERG did not previously have access to. </w:t>
      </w:r>
      <w:r w:rsidR="00541865" w:rsidRPr="007133E1">
        <w:rPr>
          <w:lang w:val="en-GB"/>
        </w:rPr>
        <w:t>The ERG considered that the updated ERG analysis met the requests from NICE.</w:t>
      </w:r>
    </w:p>
    <w:p w14:paraId="36D7F19A" w14:textId="44A56EDF" w:rsidR="00D32F66" w:rsidRPr="007133E1" w:rsidRDefault="005E142C" w:rsidP="007133E1">
      <w:pPr>
        <w:pStyle w:val="Numberedlevel2text"/>
        <w:numPr>
          <w:ilvl w:val="0"/>
          <w:numId w:val="0"/>
        </w:numPr>
        <w:ind w:left="1134"/>
        <w:rPr>
          <w:lang w:val="en-GB"/>
        </w:rPr>
      </w:pPr>
      <w:r w:rsidRPr="007133E1">
        <w:rPr>
          <w:lang w:val="en-GB"/>
        </w:rPr>
        <w:t>The committee</w:t>
      </w:r>
      <w:r w:rsidR="009C4304" w:rsidRPr="007133E1">
        <w:rPr>
          <w:lang w:val="en-GB"/>
        </w:rPr>
        <w:t xml:space="preserve"> concluded </w:t>
      </w:r>
      <w:r w:rsidR="00514D1D" w:rsidRPr="007133E1">
        <w:rPr>
          <w:lang w:val="en-GB"/>
        </w:rPr>
        <w:t>that</w:t>
      </w:r>
      <w:r w:rsidR="007133E1" w:rsidRPr="007133E1">
        <w:rPr>
          <w:lang w:val="en-GB"/>
        </w:rPr>
        <w:t xml:space="preserve"> </w:t>
      </w:r>
      <w:r w:rsidR="009C4304" w:rsidRPr="007133E1">
        <w:rPr>
          <w:lang w:val="en-GB"/>
        </w:rPr>
        <w:t xml:space="preserve">the </w:t>
      </w:r>
      <w:r w:rsidR="007133E1" w:rsidRPr="007133E1">
        <w:rPr>
          <w:lang w:val="en-GB"/>
        </w:rPr>
        <w:t xml:space="preserve">company’s </w:t>
      </w:r>
      <w:r w:rsidR="009C4304" w:rsidRPr="007133E1">
        <w:rPr>
          <w:lang w:val="en-GB"/>
        </w:rPr>
        <w:t xml:space="preserve">updated </w:t>
      </w:r>
      <w:r w:rsidR="007133E1" w:rsidRPr="007133E1">
        <w:rPr>
          <w:lang w:val="en-GB"/>
        </w:rPr>
        <w:t xml:space="preserve">ERG </w:t>
      </w:r>
      <w:r w:rsidR="00514D1D" w:rsidRPr="007133E1">
        <w:rPr>
          <w:lang w:val="en-GB"/>
        </w:rPr>
        <w:t xml:space="preserve">network meta-analysis </w:t>
      </w:r>
      <w:r w:rsidR="009C4304" w:rsidRPr="007133E1">
        <w:rPr>
          <w:lang w:val="en-GB"/>
        </w:rPr>
        <w:t xml:space="preserve">was </w:t>
      </w:r>
      <w:r w:rsidR="007133E1" w:rsidRPr="007133E1">
        <w:rPr>
          <w:lang w:val="en-GB"/>
        </w:rPr>
        <w:t xml:space="preserve">preferred and the most </w:t>
      </w:r>
      <w:r w:rsidR="009C4304" w:rsidRPr="007133E1">
        <w:rPr>
          <w:lang w:val="en-GB"/>
        </w:rPr>
        <w:t>suitable for decision making</w:t>
      </w:r>
      <w:r w:rsidR="00D32F66" w:rsidRPr="007133E1">
        <w:rPr>
          <w:lang w:val="en-GB"/>
        </w:rPr>
        <w:t>.</w:t>
      </w:r>
    </w:p>
    <w:p w14:paraId="56FB074C" w14:textId="52C1E78A" w:rsidR="00643582" w:rsidRDefault="007133E1" w:rsidP="00643582">
      <w:pPr>
        <w:pStyle w:val="Heading2"/>
      </w:pPr>
      <w:r>
        <w:t xml:space="preserve">Long-term </w:t>
      </w:r>
      <w:r w:rsidR="00B542A5">
        <w:t xml:space="preserve">treatment </w:t>
      </w:r>
      <w:r>
        <w:t>effect of bempedoic acid</w:t>
      </w:r>
    </w:p>
    <w:p w14:paraId="7753C513" w14:textId="229C63DE" w:rsidR="00643582" w:rsidRDefault="00026058" w:rsidP="0073007E">
      <w:pPr>
        <w:pStyle w:val="Heading3"/>
      </w:pPr>
      <w:bookmarkStart w:id="31" w:name="_The_latest_available"/>
      <w:bookmarkEnd w:id="31"/>
      <w:r>
        <w:t>The latest available data should be used to inform long-term treatment effect</w:t>
      </w:r>
    </w:p>
    <w:p w14:paraId="7FE8E1BF" w14:textId="2D647F04" w:rsidR="00957269" w:rsidRDefault="00957269" w:rsidP="00B542A5">
      <w:pPr>
        <w:pStyle w:val="Numberedlevel2text"/>
        <w:rPr>
          <w:lang w:val="en-GB"/>
        </w:rPr>
      </w:pPr>
      <w:r>
        <w:rPr>
          <w:lang w:val="en-GB"/>
        </w:rPr>
        <w:t xml:space="preserve">The </w:t>
      </w:r>
      <w:r w:rsidR="00E07BCE">
        <w:rPr>
          <w:lang w:val="en-GB"/>
        </w:rPr>
        <w:t>primary efficacy outcome of all relevant bempedoic acid trials was percentage change from baseline LDL-C at 12</w:t>
      </w:r>
      <w:r w:rsidR="00716897">
        <w:rPr>
          <w:lang w:val="en-GB"/>
        </w:rPr>
        <w:t> </w:t>
      </w:r>
      <w:r w:rsidR="00E07BCE">
        <w:rPr>
          <w:lang w:val="en-GB"/>
        </w:rPr>
        <w:t>weeks.</w:t>
      </w:r>
      <w:r w:rsidR="000D48E3">
        <w:rPr>
          <w:lang w:val="en-GB"/>
        </w:rPr>
        <w:t xml:space="preserve"> The company model assumed that results achieved at 12</w:t>
      </w:r>
      <w:r w:rsidR="00C144CA">
        <w:rPr>
          <w:lang w:val="en-GB"/>
        </w:rPr>
        <w:t> </w:t>
      </w:r>
      <w:r w:rsidR="000D48E3">
        <w:rPr>
          <w:lang w:val="en-GB"/>
        </w:rPr>
        <w:t xml:space="preserve">weeks were maintained for the duration of the model’s time horizon, or until treatment is </w:t>
      </w:r>
      <w:r w:rsidR="00C144CA">
        <w:rPr>
          <w:lang w:val="en-GB"/>
        </w:rPr>
        <w:t>stopped</w:t>
      </w:r>
      <w:r w:rsidR="000D48E3">
        <w:rPr>
          <w:lang w:val="en-GB"/>
        </w:rPr>
        <w:t>.</w:t>
      </w:r>
      <w:r w:rsidR="00E07BCE">
        <w:rPr>
          <w:lang w:val="en-GB"/>
        </w:rPr>
        <w:t xml:space="preserve"> </w:t>
      </w:r>
      <w:r w:rsidR="00B542A5">
        <w:rPr>
          <w:lang w:val="en-GB"/>
        </w:rPr>
        <w:t>In the first appraisal meeting, t</w:t>
      </w:r>
      <w:r w:rsidR="00E07BCE">
        <w:rPr>
          <w:lang w:val="en-GB"/>
        </w:rPr>
        <w:t xml:space="preserve">he company </w:t>
      </w:r>
      <w:r w:rsidR="00716897">
        <w:rPr>
          <w:lang w:val="en-GB"/>
        </w:rPr>
        <w:t>state</w:t>
      </w:r>
      <w:r w:rsidR="00B542A5">
        <w:rPr>
          <w:lang w:val="en-GB"/>
        </w:rPr>
        <w:t xml:space="preserve">d </w:t>
      </w:r>
      <w:r w:rsidR="00E07BCE">
        <w:rPr>
          <w:lang w:val="en-GB"/>
        </w:rPr>
        <w:t xml:space="preserve">that improvements in LDL-C </w:t>
      </w:r>
      <w:r w:rsidR="00C144CA">
        <w:rPr>
          <w:lang w:val="en-GB"/>
        </w:rPr>
        <w:t>continued</w:t>
      </w:r>
      <w:r w:rsidR="00E07BCE">
        <w:rPr>
          <w:lang w:val="en-GB"/>
        </w:rPr>
        <w:t xml:space="preserve"> through 52</w:t>
      </w:r>
      <w:r w:rsidR="00716897">
        <w:rPr>
          <w:lang w:val="en-GB"/>
        </w:rPr>
        <w:t> </w:t>
      </w:r>
      <w:r w:rsidR="00E07BCE">
        <w:rPr>
          <w:lang w:val="en-GB"/>
        </w:rPr>
        <w:t>and 78</w:t>
      </w:r>
      <w:r w:rsidR="00716897">
        <w:rPr>
          <w:lang w:val="en-GB"/>
        </w:rPr>
        <w:t> </w:t>
      </w:r>
      <w:r w:rsidR="00B542A5">
        <w:rPr>
          <w:lang w:val="en-GB"/>
        </w:rPr>
        <w:t xml:space="preserve">weeks but did not </w:t>
      </w:r>
      <w:r w:rsidR="009C4497">
        <w:rPr>
          <w:lang w:val="en-GB"/>
        </w:rPr>
        <w:t>include this data in their updated analyses for the second appraisal meeting.</w:t>
      </w:r>
      <w:r w:rsidR="00B542A5">
        <w:rPr>
          <w:lang w:val="en-GB"/>
        </w:rPr>
        <w:t xml:space="preserve"> </w:t>
      </w:r>
      <w:r w:rsidR="00B542A5" w:rsidRPr="00B542A5">
        <w:rPr>
          <w:lang w:val="en-GB"/>
        </w:rPr>
        <w:t xml:space="preserve">The ERG </w:t>
      </w:r>
      <w:r w:rsidR="00B542A5">
        <w:rPr>
          <w:lang w:val="en-GB"/>
        </w:rPr>
        <w:t>noted</w:t>
      </w:r>
      <w:r w:rsidR="00B542A5" w:rsidRPr="00B542A5">
        <w:rPr>
          <w:lang w:val="en-GB"/>
        </w:rPr>
        <w:t xml:space="preserve"> that </w:t>
      </w:r>
      <w:r w:rsidR="00B542A5" w:rsidRPr="00B542A5">
        <w:rPr>
          <w:lang w:val="en-GB"/>
        </w:rPr>
        <w:lastRenderedPageBreak/>
        <w:t>there may be a slight waning of treatment effect with bempedoic acid beyond 12 weeks in the data for CLEAR Tranquility and CLEAR Serenity.</w:t>
      </w:r>
      <w:r w:rsidR="00B542A5">
        <w:rPr>
          <w:lang w:val="en-GB"/>
        </w:rPr>
        <w:t xml:space="preserve"> </w:t>
      </w:r>
      <w:r w:rsidR="00B542A5" w:rsidRPr="00B542A5">
        <w:rPr>
          <w:lang w:val="en-GB"/>
        </w:rPr>
        <w:t xml:space="preserve">The company </w:t>
      </w:r>
      <w:r w:rsidR="005D6BE6" w:rsidRPr="00B542A5">
        <w:rPr>
          <w:lang w:val="en-GB"/>
        </w:rPr>
        <w:t>acknowledg</w:t>
      </w:r>
      <w:r w:rsidR="00B542A5" w:rsidRPr="00B542A5">
        <w:rPr>
          <w:lang w:val="en-GB"/>
        </w:rPr>
        <w:t>ed</w:t>
      </w:r>
      <w:r w:rsidR="00E07BCE" w:rsidRPr="00B542A5">
        <w:rPr>
          <w:lang w:val="en-GB"/>
        </w:rPr>
        <w:t xml:space="preserve"> that </w:t>
      </w:r>
      <w:r w:rsidR="005D6BE6" w:rsidRPr="00B542A5">
        <w:rPr>
          <w:lang w:val="en-GB"/>
        </w:rPr>
        <w:t xml:space="preserve">there are </w:t>
      </w:r>
      <w:r w:rsidR="00E07BCE" w:rsidRPr="00B542A5">
        <w:rPr>
          <w:lang w:val="en-GB"/>
        </w:rPr>
        <w:t>differences</w:t>
      </w:r>
      <w:r w:rsidR="00716897" w:rsidRPr="00B542A5">
        <w:rPr>
          <w:lang w:val="en-GB"/>
        </w:rPr>
        <w:t xml:space="preserve"> seen</w:t>
      </w:r>
      <w:r w:rsidR="00E07BCE" w:rsidRPr="00B542A5">
        <w:rPr>
          <w:lang w:val="en-GB"/>
        </w:rPr>
        <w:t xml:space="preserve"> in </w:t>
      </w:r>
      <w:r w:rsidR="005D6BE6" w:rsidRPr="00B542A5">
        <w:rPr>
          <w:lang w:val="en-GB"/>
        </w:rPr>
        <w:t xml:space="preserve">the </w:t>
      </w:r>
      <w:r w:rsidR="00E07BCE" w:rsidRPr="00B542A5">
        <w:rPr>
          <w:lang w:val="en-GB"/>
        </w:rPr>
        <w:t xml:space="preserve">CLEAR trials </w:t>
      </w:r>
      <w:r w:rsidR="005D6BE6" w:rsidRPr="00B542A5">
        <w:rPr>
          <w:lang w:val="en-GB"/>
        </w:rPr>
        <w:t>but consider</w:t>
      </w:r>
      <w:r w:rsidR="00716897" w:rsidRPr="00B542A5">
        <w:rPr>
          <w:lang w:val="en-GB"/>
        </w:rPr>
        <w:t>ed</w:t>
      </w:r>
      <w:r w:rsidR="005D6BE6" w:rsidRPr="00B542A5">
        <w:rPr>
          <w:lang w:val="en-GB"/>
        </w:rPr>
        <w:t xml:space="preserve"> these </w:t>
      </w:r>
      <w:r w:rsidR="00E07BCE" w:rsidRPr="00B542A5">
        <w:rPr>
          <w:lang w:val="en-GB"/>
        </w:rPr>
        <w:t>to be</w:t>
      </w:r>
      <w:r w:rsidR="005D6BE6" w:rsidRPr="00B542A5">
        <w:rPr>
          <w:lang w:val="en-GB"/>
        </w:rPr>
        <w:t xml:space="preserve"> related to treatment</w:t>
      </w:r>
      <w:r w:rsidR="00E07BCE" w:rsidRPr="00B542A5">
        <w:rPr>
          <w:lang w:val="en-GB"/>
        </w:rPr>
        <w:t xml:space="preserve"> </w:t>
      </w:r>
      <w:r w:rsidR="00716897" w:rsidRPr="00B542A5">
        <w:rPr>
          <w:lang w:val="en-GB"/>
        </w:rPr>
        <w:t xml:space="preserve">stopping </w:t>
      </w:r>
      <w:r w:rsidR="00E07BCE" w:rsidRPr="00B542A5">
        <w:rPr>
          <w:lang w:val="en-GB"/>
        </w:rPr>
        <w:t xml:space="preserve">rather than a waning treatment effect. </w:t>
      </w:r>
      <w:r w:rsidRPr="00B542A5">
        <w:rPr>
          <w:lang w:val="en-GB"/>
        </w:rPr>
        <w:t xml:space="preserve">Clinical experts </w:t>
      </w:r>
      <w:r w:rsidR="00E07BCE" w:rsidRPr="00B542A5">
        <w:rPr>
          <w:lang w:val="en-GB"/>
        </w:rPr>
        <w:t>could not comment on the potential waning effect of bempedoic acid.</w:t>
      </w:r>
      <w:r w:rsidR="00D32F66" w:rsidRPr="00B542A5">
        <w:rPr>
          <w:lang w:val="en-GB"/>
        </w:rPr>
        <w:t xml:space="preserve"> The committee </w:t>
      </w:r>
      <w:r w:rsidR="009561EC" w:rsidRPr="00B542A5">
        <w:rPr>
          <w:lang w:val="en-GB"/>
        </w:rPr>
        <w:t>concluded that</w:t>
      </w:r>
      <w:r w:rsidR="00B542A5">
        <w:rPr>
          <w:lang w:val="en-GB"/>
        </w:rPr>
        <w:t xml:space="preserve"> it would like to see</w:t>
      </w:r>
      <w:r w:rsidR="009561EC" w:rsidRPr="00B542A5">
        <w:rPr>
          <w:lang w:val="en-GB"/>
        </w:rPr>
        <w:t xml:space="preserve"> the latest available </w:t>
      </w:r>
      <w:r w:rsidR="00B542A5">
        <w:rPr>
          <w:lang w:val="en-GB"/>
        </w:rPr>
        <w:t>data</w:t>
      </w:r>
      <w:r w:rsidR="009561EC" w:rsidRPr="00B542A5">
        <w:rPr>
          <w:lang w:val="en-GB"/>
        </w:rPr>
        <w:t xml:space="preserve"> inform</w:t>
      </w:r>
      <w:r w:rsidR="00B542A5">
        <w:rPr>
          <w:lang w:val="en-GB"/>
        </w:rPr>
        <w:t>ing the</w:t>
      </w:r>
      <w:r w:rsidR="009561EC" w:rsidRPr="00B542A5">
        <w:rPr>
          <w:lang w:val="en-GB"/>
        </w:rPr>
        <w:t xml:space="preserve"> long-term treatment effect</w:t>
      </w:r>
      <w:r w:rsidR="00201D68">
        <w:rPr>
          <w:lang w:val="en-GB"/>
        </w:rPr>
        <w:t xml:space="preserve"> of bempedoic acid</w:t>
      </w:r>
      <w:r w:rsidR="00964258" w:rsidRPr="00B542A5">
        <w:rPr>
          <w:lang w:val="en-GB"/>
        </w:rPr>
        <w:t>.</w:t>
      </w:r>
    </w:p>
    <w:p w14:paraId="2B4EFBBA" w14:textId="03698F1A" w:rsidR="00201D68" w:rsidRDefault="00201D68" w:rsidP="00201D68">
      <w:pPr>
        <w:pStyle w:val="Heading3"/>
      </w:pPr>
      <w:r>
        <w:t xml:space="preserve">Evidence of the </w:t>
      </w:r>
      <w:r w:rsidR="008F7C40">
        <w:t xml:space="preserve">effect of bempedoic acid </w:t>
      </w:r>
      <w:r>
        <w:t>on cardiovascular outcomes should be provided</w:t>
      </w:r>
    </w:p>
    <w:p w14:paraId="12051819" w14:textId="3999CDF1" w:rsidR="00201D68" w:rsidRPr="00B542A5" w:rsidRDefault="00FE250F" w:rsidP="00201D68">
      <w:pPr>
        <w:pStyle w:val="Numberedlevel2text"/>
      </w:pPr>
      <w:r>
        <w:rPr>
          <w:lang w:val="en-GB"/>
        </w:rPr>
        <w:t xml:space="preserve">The company </w:t>
      </w:r>
      <w:r w:rsidR="00793C34">
        <w:rPr>
          <w:lang w:val="en-GB"/>
        </w:rPr>
        <w:t xml:space="preserve">noted that it </w:t>
      </w:r>
      <w:r>
        <w:rPr>
          <w:lang w:val="en-GB"/>
        </w:rPr>
        <w:t>model</w:t>
      </w:r>
      <w:r w:rsidR="008F7C40">
        <w:rPr>
          <w:lang w:val="en-GB"/>
        </w:rPr>
        <w:t>led</w:t>
      </w:r>
      <w:r>
        <w:rPr>
          <w:lang w:val="en-GB"/>
        </w:rPr>
        <w:t xml:space="preserve"> the relationship between LDL-C reduction and cardiovascular risk based on the Cholesterol Treatment Trialist Collaboration meta-analyses of statin studies. </w:t>
      </w:r>
      <w:r w:rsidR="00132DF5">
        <w:rPr>
          <w:lang w:val="en-GB"/>
        </w:rPr>
        <w:t xml:space="preserve">The company </w:t>
      </w:r>
      <w:r w:rsidR="008F7C40">
        <w:rPr>
          <w:lang w:val="en-GB"/>
        </w:rPr>
        <w:t xml:space="preserve">highlighted </w:t>
      </w:r>
      <w:r w:rsidR="00132DF5">
        <w:rPr>
          <w:lang w:val="en-GB"/>
        </w:rPr>
        <w:t>that a</w:t>
      </w:r>
      <w:r w:rsidRPr="00FE250F">
        <w:rPr>
          <w:lang w:val="en-GB"/>
        </w:rPr>
        <w:t>lthough bempedoic acid and statins both inhibit cholesterol synthesis in the liver, bempedoic acid is inactive in skeletal muscle</w:t>
      </w:r>
      <w:r w:rsidR="002F7E26">
        <w:rPr>
          <w:lang w:val="en-GB"/>
        </w:rPr>
        <w:t>, unlike statins</w:t>
      </w:r>
      <w:r w:rsidRPr="00FE250F">
        <w:rPr>
          <w:lang w:val="en-GB"/>
        </w:rPr>
        <w:t>.</w:t>
      </w:r>
      <w:r>
        <w:rPr>
          <w:lang w:val="en-GB"/>
        </w:rPr>
        <w:t xml:space="preserve"> At the s</w:t>
      </w:r>
      <w:r w:rsidR="00201D68">
        <w:rPr>
          <w:lang w:val="en-GB"/>
        </w:rPr>
        <w:t xml:space="preserve">econd appraisal meeting, the committee expressed a concern that the </w:t>
      </w:r>
      <w:r w:rsidR="00201D68" w:rsidRPr="00201D68">
        <w:rPr>
          <w:lang w:val="en-GB"/>
        </w:rPr>
        <w:t>link between changes in LDL-C levels and cardiovascular outcomes</w:t>
      </w:r>
      <w:r>
        <w:rPr>
          <w:lang w:val="en-GB"/>
        </w:rPr>
        <w:t xml:space="preserve"> used in the company model,</w:t>
      </w:r>
      <w:r w:rsidR="00201D68">
        <w:rPr>
          <w:lang w:val="en-GB"/>
        </w:rPr>
        <w:t xml:space="preserve"> </w:t>
      </w:r>
      <w:r>
        <w:rPr>
          <w:lang w:val="en-GB"/>
        </w:rPr>
        <w:t>may</w:t>
      </w:r>
      <w:r w:rsidR="00201D68">
        <w:rPr>
          <w:lang w:val="en-GB"/>
        </w:rPr>
        <w:t xml:space="preserve"> not</w:t>
      </w:r>
      <w:r>
        <w:rPr>
          <w:lang w:val="en-GB"/>
        </w:rPr>
        <w:t xml:space="preserve"> be</w:t>
      </w:r>
      <w:r w:rsidR="00201D68">
        <w:rPr>
          <w:lang w:val="en-GB"/>
        </w:rPr>
        <w:t xml:space="preserve"> appropriate for bempedoic acid</w:t>
      </w:r>
      <w:r>
        <w:rPr>
          <w:lang w:val="en-GB"/>
        </w:rPr>
        <w:t xml:space="preserve"> </w:t>
      </w:r>
      <w:r w:rsidR="008F7C40">
        <w:rPr>
          <w:lang w:val="en-GB"/>
        </w:rPr>
        <w:t xml:space="preserve">because </w:t>
      </w:r>
      <w:r>
        <w:rPr>
          <w:lang w:val="en-GB"/>
        </w:rPr>
        <w:t>the mechanism of action of bempedoic acid is different to that of statins</w:t>
      </w:r>
      <w:r w:rsidR="00201D68">
        <w:rPr>
          <w:lang w:val="en-GB"/>
        </w:rPr>
        <w:t>. The committee concluded that it would like to see evidence of the</w:t>
      </w:r>
      <w:r w:rsidR="00882884">
        <w:rPr>
          <w:lang w:val="en-GB"/>
        </w:rPr>
        <w:t xml:space="preserve"> direct</w:t>
      </w:r>
      <w:r w:rsidR="00201D68">
        <w:rPr>
          <w:lang w:val="en-GB"/>
        </w:rPr>
        <w:t xml:space="preserve"> impact of bempedoic acid on cardiovascular outcomes.</w:t>
      </w:r>
    </w:p>
    <w:p w14:paraId="11991BE6" w14:textId="71271FE1" w:rsidR="004B7D57" w:rsidRDefault="009F69CA" w:rsidP="00D22451">
      <w:pPr>
        <w:pStyle w:val="Heading2"/>
      </w:pPr>
      <w:r>
        <w:t>Cost-effectiveness results</w:t>
      </w:r>
    </w:p>
    <w:p w14:paraId="04FEF4E0" w14:textId="1575923D" w:rsidR="00971BCF" w:rsidRPr="00C442B6" w:rsidRDefault="00295D7F" w:rsidP="00DD2BA8">
      <w:pPr>
        <w:pStyle w:val="Heading3"/>
      </w:pPr>
      <w:bookmarkStart w:id="32" w:name="_The_ERG’s_updated_1"/>
      <w:bookmarkEnd w:id="32"/>
      <w:r w:rsidRPr="00C442B6">
        <w:t>The ERG’s updated base case includes the committee’s preferences</w:t>
      </w:r>
    </w:p>
    <w:p w14:paraId="4282502D" w14:textId="5C7E6500" w:rsidR="00295D7F" w:rsidRPr="00C442B6" w:rsidRDefault="00295D7F" w:rsidP="00295D7F">
      <w:pPr>
        <w:pStyle w:val="Numberedlevel2text"/>
      </w:pPr>
      <w:r>
        <w:rPr>
          <w:lang w:val="en-GB"/>
        </w:rPr>
        <w:t>The ERG’s revised base case</w:t>
      </w:r>
      <w:r w:rsidR="00FA26D7">
        <w:rPr>
          <w:lang w:val="en-GB"/>
        </w:rPr>
        <w:t xml:space="preserve"> (</w:t>
      </w:r>
      <w:r w:rsidR="00FE250F">
        <w:rPr>
          <w:lang w:val="en-GB"/>
        </w:rPr>
        <w:t xml:space="preserve">which is the </w:t>
      </w:r>
      <w:r w:rsidR="00FA26D7">
        <w:rPr>
          <w:lang w:val="en-GB"/>
        </w:rPr>
        <w:t>same as the company’s updated ERG</w:t>
      </w:r>
      <w:r w:rsidR="00FE250F">
        <w:rPr>
          <w:lang w:val="en-GB"/>
        </w:rPr>
        <w:t xml:space="preserve"> preferred</w:t>
      </w:r>
      <w:r w:rsidR="00FA26D7">
        <w:rPr>
          <w:lang w:val="en-GB"/>
        </w:rPr>
        <w:t xml:space="preserve"> </w:t>
      </w:r>
      <w:r w:rsidR="00FE250F">
        <w:rPr>
          <w:lang w:val="en-GB"/>
        </w:rPr>
        <w:t>network meta-analysis</w:t>
      </w:r>
      <w:r w:rsidR="00FA26D7">
        <w:rPr>
          <w:lang w:val="en-GB"/>
        </w:rPr>
        <w:t>)</w:t>
      </w:r>
      <w:r>
        <w:rPr>
          <w:lang w:val="en-GB"/>
        </w:rPr>
        <w:t xml:space="preserve"> include</w:t>
      </w:r>
      <w:r w:rsidR="00C442B6">
        <w:rPr>
          <w:lang w:val="en-GB"/>
        </w:rPr>
        <w:t>d</w:t>
      </w:r>
      <w:r>
        <w:rPr>
          <w:lang w:val="en-GB"/>
        </w:rPr>
        <w:t xml:space="preserve"> </w:t>
      </w:r>
      <w:r w:rsidRPr="003A0B9B">
        <w:rPr>
          <w:lang w:val="en-GB"/>
        </w:rPr>
        <w:t>the committee</w:t>
      </w:r>
      <w:r w:rsidR="009A09C3">
        <w:rPr>
          <w:lang w:val="en-GB"/>
        </w:rPr>
        <w:t>’s</w:t>
      </w:r>
      <w:r w:rsidRPr="003A0B9B">
        <w:rPr>
          <w:lang w:val="en-GB"/>
        </w:rPr>
        <w:t xml:space="preserve"> preferred </w:t>
      </w:r>
      <w:r w:rsidR="00C442B6">
        <w:rPr>
          <w:lang w:val="en-GB"/>
        </w:rPr>
        <w:t>network meta-analysis. The ERG network meta-analysis comprised of restricted networks of trials for population</w:t>
      </w:r>
      <w:r w:rsidR="00FE5116">
        <w:rPr>
          <w:lang w:val="en-GB"/>
        </w:rPr>
        <w:t>s</w:t>
      </w:r>
      <w:r w:rsidR="009A09C3">
        <w:rPr>
          <w:lang w:val="en-GB"/>
        </w:rPr>
        <w:t> </w:t>
      </w:r>
      <w:r w:rsidR="00C442B6">
        <w:rPr>
          <w:lang w:val="en-GB"/>
        </w:rPr>
        <w:t>2</w:t>
      </w:r>
      <w:r w:rsidR="00FE5116">
        <w:rPr>
          <w:lang w:val="en-GB"/>
        </w:rPr>
        <w:t>a and 2b</w:t>
      </w:r>
      <w:r w:rsidR="00C442B6">
        <w:rPr>
          <w:lang w:val="en-GB"/>
        </w:rPr>
        <w:t xml:space="preserve"> (</w:t>
      </w:r>
      <w:r w:rsidR="00FE5116">
        <w:rPr>
          <w:lang w:val="en-GB"/>
        </w:rPr>
        <w:t>people who were intolerant to statins</w:t>
      </w:r>
      <w:r w:rsidR="00C442B6">
        <w:rPr>
          <w:lang w:val="en-GB"/>
        </w:rPr>
        <w:t>) and population</w:t>
      </w:r>
      <w:r w:rsidR="00F161F8">
        <w:rPr>
          <w:lang w:val="en-GB"/>
        </w:rPr>
        <w:t> </w:t>
      </w:r>
      <w:r w:rsidR="00FE5116">
        <w:rPr>
          <w:lang w:val="en-GB"/>
        </w:rPr>
        <w:t>4b</w:t>
      </w:r>
      <w:r w:rsidR="00C442B6">
        <w:rPr>
          <w:lang w:val="en-GB"/>
        </w:rPr>
        <w:t xml:space="preserve"> (</w:t>
      </w:r>
      <w:r w:rsidR="00FE5116">
        <w:rPr>
          <w:lang w:val="en-GB"/>
        </w:rPr>
        <w:t xml:space="preserve">people having the </w:t>
      </w:r>
      <w:r w:rsidR="00C442B6">
        <w:rPr>
          <w:lang w:val="en-GB"/>
        </w:rPr>
        <w:t>maxim</w:t>
      </w:r>
      <w:r w:rsidR="00FE5116">
        <w:rPr>
          <w:lang w:val="en-GB"/>
        </w:rPr>
        <w:t>ally</w:t>
      </w:r>
      <w:r w:rsidR="00C442B6">
        <w:rPr>
          <w:lang w:val="en-GB"/>
        </w:rPr>
        <w:t xml:space="preserve"> tolerated </w:t>
      </w:r>
      <w:r w:rsidR="00FE5116">
        <w:rPr>
          <w:lang w:val="en-GB"/>
        </w:rPr>
        <w:t xml:space="preserve">statin </w:t>
      </w:r>
      <w:r w:rsidR="00C442B6">
        <w:rPr>
          <w:lang w:val="en-GB"/>
        </w:rPr>
        <w:t xml:space="preserve">dose) in which all patients were </w:t>
      </w:r>
      <w:r w:rsidR="009A09C3">
        <w:rPr>
          <w:lang w:val="en-GB"/>
        </w:rPr>
        <w:t xml:space="preserve">having </w:t>
      </w:r>
      <w:r w:rsidR="00C442B6">
        <w:rPr>
          <w:lang w:val="en-GB"/>
        </w:rPr>
        <w:lastRenderedPageBreak/>
        <w:t>ezetimibe at baseline (</w:t>
      </w:r>
      <w:hyperlink w:anchor="_The_network_meta-analyses" w:history="1">
        <w:r w:rsidR="009A09C3" w:rsidRPr="00FD73A7">
          <w:rPr>
            <w:rStyle w:val="Hyperlink"/>
            <w:lang w:val="en-GB"/>
          </w:rPr>
          <w:t>see s</w:t>
        </w:r>
        <w:r w:rsidR="00C442B6" w:rsidRPr="00FD73A7">
          <w:rPr>
            <w:rStyle w:val="Hyperlink"/>
            <w:lang w:val="en-GB"/>
          </w:rPr>
          <w:t>ection</w:t>
        </w:r>
        <w:r w:rsidR="00FD73A7" w:rsidRPr="00FD73A7">
          <w:rPr>
            <w:rStyle w:val="Hyperlink"/>
            <w:lang w:val="en-GB"/>
          </w:rPr>
          <w:t> </w:t>
        </w:r>
        <w:r w:rsidR="00C442B6" w:rsidRPr="00FD73A7">
          <w:rPr>
            <w:rStyle w:val="Hyperlink"/>
            <w:lang w:val="en-GB"/>
          </w:rPr>
          <w:t>3.3</w:t>
        </w:r>
      </w:hyperlink>
      <w:r w:rsidR="00C442B6">
        <w:rPr>
          <w:lang w:val="en-GB"/>
        </w:rPr>
        <w:t>), and thus were aligned with the company’s proposed positioning of bempedoic acid in the treatment pathway.</w:t>
      </w:r>
      <w:r w:rsidR="007117A3">
        <w:rPr>
          <w:lang w:val="en-GB"/>
        </w:rPr>
        <w:t xml:space="preserve"> </w:t>
      </w:r>
      <w:r w:rsidR="00035F3F">
        <w:rPr>
          <w:lang w:val="en-GB"/>
        </w:rPr>
        <w:t xml:space="preserve">The </w:t>
      </w:r>
      <w:r w:rsidR="004128E7">
        <w:rPr>
          <w:lang w:val="en-GB"/>
        </w:rPr>
        <w:t xml:space="preserve">results of the </w:t>
      </w:r>
      <w:r w:rsidR="00035F3F">
        <w:rPr>
          <w:lang w:val="en-GB"/>
        </w:rPr>
        <w:t>ERG’s revised base case included the cost of the bempedoic acid</w:t>
      </w:r>
      <w:r w:rsidR="00E56DB9">
        <w:rPr>
          <w:rFonts w:cs="Arial"/>
          <w:lang w:val="en-GB"/>
        </w:rPr>
        <w:t>–</w:t>
      </w:r>
      <w:r w:rsidR="00035F3F">
        <w:rPr>
          <w:lang w:val="en-GB"/>
        </w:rPr>
        <w:t xml:space="preserve">ezetimibe </w:t>
      </w:r>
      <w:r w:rsidR="004128E7">
        <w:rPr>
          <w:lang w:val="en-GB"/>
        </w:rPr>
        <w:t>fixed dose combination tablet only. The committee was aware that this was cheaper than separate tablet</w:t>
      </w:r>
      <w:r w:rsidR="00354BDE">
        <w:rPr>
          <w:lang w:val="en-GB"/>
        </w:rPr>
        <w:t>s for bempedoic acid and ezetimibe. The committee concluded that the revised ERG base case was the most suitable for decision making.</w:t>
      </w:r>
    </w:p>
    <w:p w14:paraId="39CFF935" w14:textId="77F591A8" w:rsidR="004B7D57" w:rsidRDefault="004B7D57" w:rsidP="004B7D57">
      <w:pPr>
        <w:pStyle w:val="Heading3"/>
      </w:pPr>
      <w:bookmarkStart w:id="33" w:name="_Because_of_the_1"/>
      <w:bookmarkEnd w:id="33"/>
      <w:r>
        <w:t>Because of the uncertainty</w:t>
      </w:r>
      <w:r w:rsidR="009A09C3">
        <w:t>,</w:t>
      </w:r>
      <w:r>
        <w:t xml:space="preserve"> an acceptable ICER </w:t>
      </w:r>
      <w:r w:rsidRPr="00D22451">
        <w:t>is</w:t>
      </w:r>
      <w:r w:rsidR="00852115">
        <w:t xml:space="preserve"> below</w:t>
      </w:r>
      <w:r w:rsidRPr="00D22451">
        <w:t xml:space="preserve"> £20,00</w:t>
      </w:r>
      <w:r w:rsidR="00D22451" w:rsidRPr="00D22451">
        <w:t>0</w:t>
      </w:r>
      <w:r>
        <w:t xml:space="preserve"> per QALY gained</w:t>
      </w:r>
      <w:r w:rsidR="00D95093">
        <w:t xml:space="preserve"> and above £30,000 per QALY </w:t>
      </w:r>
      <w:r w:rsidR="00A30B5C">
        <w:t>lost</w:t>
      </w:r>
    </w:p>
    <w:p w14:paraId="7A9837FF" w14:textId="1694F6C6" w:rsidR="004B7D57" w:rsidRDefault="00D95093" w:rsidP="00882884">
      <w:pPr>
        <w:pStyle w:val="Numberedlevel2text"/>
      </w:pPr>
      <w:r>
        <w:rPr>
          <w:lang w:val="en-GB"/>
        </w:rPr>
        <w:t xml:space="preserve">For population 2a, the ICER resulted in additional costs and a gain of QALYs. </w:t>
      </w:r>
      <w:r w:rsidR="001A030E">
        <w:rPr>
          <w:lang w:val="en-GB"/>
        </w:rPr>
        <w:t xml:space="preserve">For population 2b and 4b, the ICER </w:t>
      </w:r>
      <w:r w:rsidR="001A030E" w:rsidRPr="008349CB">
        <w:rPr>
          <w:lang w:val="en-GB"/>
        </w:rPr>
        <w:t xml:space="preserve">resulted in cost savings </w:t>
      </w:r>
      <w:r w:rsidR="001A030E">
        <w:rPr>
          <w:lang w:val="en-GB"/>
        </w:rPr>
        <w:t>and a</w:t>
      </w:r>
      <w:r w:rsidR="001A030E" w:rsidRPr="008349CB">
        <w:rPr>
          <w:lang w:val="en-GB"/>
        </w:rPr>
        <w:t xml:space="preserve"> loss of QALYs</w:t>
      </w:r>
      <w:r w:rsidR="001A030E">
        <w:rPr>
          <w:lang w:val="en-GB"/>
        </w:rPr>
        <w:t xml:space="preserve">. </w:t>
      </w:r>
      <w:hyperlink r:id="rId20" w:history="1">
        <w:r w:rsidR="004B7D57" w:rsidRPr="00D019BA">
          <w:rPr>
            <w:rStyle w:val="Hyperlink"/>
          </w:rPr>
          <w:t>NICE’s guide to the methods of technology appraisal</w:t>
        </w:r>
      </w:hyperlink>
      <w:r w:rsidR="004B7D57" w:rsidRPr="000711D6">
        <w:t xml:space="preserve"> notes that judgements about the acceptability of a technology as an effective use of NHS resources w</w:t>
      </w:r>
      <w:r w:rsidR="004B7D57">
        <w:rPr>
          <w:lang w:val="en-US"/>
        </w:rPr>
        <w:t>ill</w:t>
      </w:r>
      <w:r w:rsidR="004B7D57" w:rsidRPr="000711D6">
        <w:t xml:space="preserve"> take into account the degree of certainty around the ICER. The committee w</w:t>
      </w:r>
      <w:r w:rsidR="004B7D57">
        <w:rPr>
          <w:lang w:val="en-US"/>
        </w:rPr>
        <w:t>ill</w:t>
      </w:r>
      <w:r w:rsidR="004B7D57" w:rsidRPr="000711D6">
        <w:t xml:space="preserve"> be more cautious about recommending a technology if it </w:t>
      </w:r>
      <w:r w:rsidR="004B7D57">
        <w:rPr>
          <w:lang w:val="en-US"/>
        </w:rPr>
        <w:t>i</w:t>
      </w:r>
      <w:r w:rsidR="004B7D57" w:rsidRPr="000711D6">
        <w:t>s less certain about the ICERs presented.</w:t>
      </w:r>
    </w:p>
    <w:p w14:paraId="43B05E7B" w14:textId="3E29236A" w:rsidR="00DB14F6" w:rsidRDefault="004B7D57" w:rsidP="00DB14F6">
      <w:pPr>
        <w:pStyle w:val="NICEnormalindented"/>
      </w:pPr>
      <w:r>
        <w:t>The committee noted the high level of uncertainty</w:t>
      </w:r>
      <w:r w:rsidR="009A09C3">
        <w:t>. In particular:</w:t>
      </w:r>
    </w:p>
    <w:p w14:paraId="5167ADF9" w14:textId="267ECA63" w:rsidR="00C442B6" w:rsidRPr="00DB14F6" w:rsidRDefault="00C442B6" w:rsidP="00C442B6">
      <w:pPr>
        <w:pStyle w:val="Bulletindent1last"/>
        <w:spacing w:after="0"/>
      </w:pPr>
      <w:r>
        <w:t>the committee remained uncertain that the results appropriately reflect the intended positioning of bempedoic acid given the limitations of the CLEAR trial informing baseline LDL-C levels (</w:t>
      </w:r>
      <w:hyperlink w:anchor="_Because_of_the" w:history="1">
        <w:r w:rsidR="009A09C3" w:rsidRPr="00FD73A7">
          <w:rPr>
            <w:rStyle w:val="Hyperlink"/>
          </w:rPr>
          <w:t>s</w:t>
        </w:r>
        <w:r w:rsidRPr="00FD73A7">
          <w:rPr>
            <w:rStyle w:val="Hyperlink"/>
          </w:rPr>
          <w:t xml:space="preserve">ee </w:t>
        </w:r>
        <w:r w:rsidR="009A09C3" w:rsidRPr="00FD73A7">
          <w:rPr>
            <w:rStyle w:val="Hyperlink"/>
          </w:rPr>
          <w:t>s</w:t>
        </w:r>
        <w:r w:rsidRPr="00FD73A7">
          <w:rPr>
            <w:rStyle w:val="Hyperlink"/>
          </w:rPr>
          <w:t>ection</w:t>
        </w:r>
        <w:r w:rsidR="009A09C3" w:rsidRPr="00FD73A7">
          <w:rPr>
            <w:rStyle w:val="Hyperlink"/>
          </w:rPr>
          <w:t> </w:t>
        </w:r>
        <w:r w:rsidRPr="00FD73A7">
          <w:rPr>
            <w:rStyle w:val="Hyperlink"/>
          </w:rPr>
          <w:t>3.4</w:t>
        </w:r>
      </w:hyperlink>
      <w:r>
        <w:t>)</w:t>
      </w:r>
    </w:p>
    <w:p w14:paraId="4F2551BC" w14:textId="70F98C79" w:rsidR="004B7D57" w:rsidRDefault="009F69CA" w:rsidP="009F69CA">
      <w:pPr>
        <w:pStyle w:val="Bulletindent1last"/>
        <w:spacing w:after="0"/>
      </w:pPr>
      <w:r>
        <w:t>subgroup analyses</w:t>
      </w:r>
      <w:r w:rsidR="00DB14F6">
        <w:t xml:space="preserve"> by cardiovascular risk and heterozygous familial hypercholesterolaemia</w:t>
      </w:r>
      <w:r>
        <w:t xml:space="preserve"> </w:t>
      </w:r>
      <w:r w:rsidR="00CC1687">
        <w:t xml:space="preserve">could </w:t>
      </w:r>
      <w:r>
        <w:t xml:space="preserve">not be </w:t>
      </w:r>
      <w:r w:rsidR="009E3BDE">
        <w:t xml:space="preserve">appropriately </w:t>
      </w:r>
      <w:r w:rsidR="009A09C3">
        <w:t xml:space="preserve">done </w:t>
      </w:r>
      <w:r w:rsidR="00DB14F6">
        <w:t>(</w:t>
      </w:r>
      <w:hyperlink w:anchor="_Because_of_trial_1" w:history="1">
        <w:r w:rsidR="009A09C3" w:rsidRPr="00FD73A7">
          <w:rPr>
            <w:rStyle w:val="Hyperlink"/>
          </w:rPr>
          <w:t>s</w:t>
        </w:r>
        <w:r w:rsidR="00DB14F6" w:rsidRPr="00FD73A7">
          <w:rPr>
            <w:rStyle w:val="Hyperlink"/>
          </w:rPr>
          <w:t xml:space="preserve">ee </w:t>
        </w:r>
        <w:r w:rsidR="009A09C3" w:rsidRPr="00FD73A7">
          <w:rPr>
            <w:rStyle w:val="Hyperlink"/>
          </w:rPr>
          <w:t>s</w:t>
        </w:r>
        <w:r w:rsidR="00DB14F6" w:rsidRPr="00FD73A7">
          <w:rPr>
            <w:rStyle w:val="Hyperlink"/>
          </w:rPr>
          <w:t>ection</w:t>
        </w:r>
        <w:r w:rsidR="00FD73A7" w:rsidRPr="00FD73A7">
          <w:rPr>
            <w:rStyle w:val="Hyperlink"/>
          </w:rPr>
          <w:t> </w:t>
        </w:r>
        <w:r w:rsidR="00DB14F6" w:rsidRPr="00FD73A7">
          <w:rPr>
            <w:rStyle w:val="Hyperlink"/>
          </w:rPr>
          <w:t>3.5</w:t>
        </w:r>
      </w:hyperlink>
      <w:r w:rsidR="00DB14F6">
        <w:t>)</w:t>
      </w:r>
    </w:p>
    <w:p w14:paraId="15999A6C" w14:textId="0C939596" w:rsidR="00C76426" w:rsidRDefault="00C76426" w:rsidP="00C76426">
      <w:pPr>
        <w:pStyle w:val="Bulletindent1last"/>
        <w:spacing w:after="0"/>
      </w:pPr>
      <w:r>
        <w:t xml:space="preserve">the appropriate </w:t>
      </w:r>
      <w:r w:rsidRPr="00C76426">
        <w:t xml:space="preserve">analyses based on efficacy data </w:t>
      </w:r>
      <w:r w:rsidR="00F20529">
        <w:t>directly related to the</w:t>
      </w:r>
      <w:r w:rsidRPr="00C76426">
        <w:t xml:space="preserve"> primary and secondary prevention populations could not be </w:t>
      </w:r>
      <w:r w:rsidR="009A09C3">
        <w:t xml:space="preserve">done </w:t>
      </w:r>
      <w:r>
        <w:t>(</w:t>
      </w:r>
      <w:hyperlink w:anchor="_Because_of_trial" w:history="1">
        <w:r w:rsidR="009A09C3" w:rsidRPr="009E348F">
          <w:rPr>
            <w:rStyle w:val="Hyperlink"/>
          </w:rPr>
          <w:t>s</w:t>
        </w:r>
        <w:r w:rsidRPr="009E348F">
          <w:rPr>
            <w:rStyle w:val="Hyperlink"/>
          </w:rPr>
          <w:t xml:space="preserve">ee </w:t>
        </w:r>
        <w:r w:rsidR="009A09C3" w:rsidRPr="009E348F">
          <w:rPr>
            <w:rStyle w:val="Hyperlink"/>
          </w:rPr>
          <w:t>s</w:t>
        </w:r>
        <w:r w:rsidRPr="009E348F">
          <w:rPr>
            <w:rStyle w:val="Hyperlink"/>
          </w:rPr>
          <w:t>ection</w:t>
        </w:r>
        <w:r w:rsidR="009A09C3" w:rsidRPr="009E348F">
          <w:rPr>
            <w:rStyle w:val="Hyperlink"/>
          </w:rPr>
          <w:t> </w:t>
        </w:r>
        <w:r w:rsidRPr="009E348F">
          <w:rPr>
            <w:rStyle w:val="Hyperlink"/>
          </w:rPr>
          <w:t>3.6</w:t>
        </w:r>
      </w:hyperlink>
      <w:r>
        <w:t>)</w:t>
      </w:r>
    </w:p>
    <w:p w14:paraId="786AFF8C" w14:textId="4881B0F2" w:rsidR="00C76426" w:rsidRPr="00C76426" w:rsidRDefault="00C76426" w:rsidP="00C76426">
      <w:pPr>
        <w:pStyle w:val="Bulletindent1last"/>
        <w:spacing w:after="0"/>
      </w:pPr>
      <w:r>
        <w:t xml:space="preserve">that </w:t>
      </w:r>
      <w:r w:rsidRPr="00B74837">
        <w:t xml:space="preserve">primary </w:t>
      </w:r>
      <w:r>
        <w:t>cardiovascular</w:t>
      </w:r>
      <w:r w:rsidRPr="00B74837">
        <w:t xml:space="preserve"> risks and </w:t>
      </w:r>
      <w:r>
        <w:t>cardiovascular</w:t>
      </w:r>
      <w:r w:rsidRPr="00B74837">
        <w:t xml:space="preserve"> event history</w:t>
      </w:r>
      <w:r>
        <w:t xml:space="preserve"> could not be informed by the </w:t>
      </w:r>
      <w:r w:rsidR="001A030E">
        <w:t>CLEAR trial</w:t>
      </w:r>
      <w:r>
        <w:t xml:space="preserve"> (</w:t>
      </w:r>
      <w:hyperlink w:anchor="_Primary_cardiovascular_risk" w:history="1">
        <w:r w:rsidR="009A09C3" w:rsidRPr="009E348F">
          <w:rPr>
            <w:rStyle w:val="Hyperlink"/>
          </w:rPr>
          <w:t>s</w:t>
        </w:r>
        <w:r w:rsidRPr="009E348F">
          <w:rPr>
            <w:rStyle w:val="Hyperlink"/>
          </w:rPr>
          <w:t xml:space="preserve">ee </w:t>
        </w:r>
        <w:r w:rsidR="009A09C3" w:rsidRPr="009E348F">
          <w:rPr>
            <w:rStyle w:val="Hyperlink"/>
          </w:rPr>
          <w:t>s</w:t>
        </w:r>
        <w:r w:rsidRPr="009E348F">
          <w:rPr>
            <w:rStyle w:val="Hyperlink"/>
          </w:rPr>
          <w:t>ection</w:t>
        </w:r>
        <w:r w:rsidR="009A09C3" w:rsidRPr="009E348F">
          <w:rPr>
            <w:rStyle w:val="Hyperlink"/>
          </w:rPr>
          <w:t> </w:t>
        </w:r>
        <w:r w:rsidRPr="009E348F">
          <w:rPr>
            <w:rStyle w:val="Hyperlink"/>
          </w:rPr>
          <w:t>3.7</w:t>
        </w:r>
      </w:hyperlink>
      <w:r>
        <w:t>)</w:t>
      </w:r>
    </w:p>
    <w:p w14:paraId="4B8EEED1" w14:textId="0A914821" w:rsidR="009E3BDE" w:rsidRPr="009E3BDE" w:rsidRDefault="009E3BDE" w:rsidP="00C76426">
      <w:pPr>
        <w:pStyle w:val="Bulletindent1last"/>
        <w:spacing w:after="0"/>
      </w:pPr>
      <w:r>
        <w:lastRenderedPageBreak/>
        <w:t xml:space="preserve">no evidence were provided on the long-term impact of bempedoic acid on cardiovascular </w:t>
      </w:r>
      <w:r w:rsidR="00C76426">
        <w:t>outcomes</w:t>
      </w:r>
      <w:r>
        <w:t xml:space="preserve"> (</w:t>
      </w:r>
      <w:hyperlink w:anchor="_The_latest_available" w:history="1">
        <w:r w:rsidR="009A09C3" w:rsidRPr="009E348F">
          <w:rPr>
            <w:rStyle w:val="Hyperlink"/>
          </w:rPr>
          <w:t>s</w:t>
        </w:r>
        <w:r w:rsidRPr="009E348F">
          <w:rPr>
            <w:rStyle w:val="Hyperlink"/>
          </w:rPr>
          <w:t xml:space="preserve">ee </w:t>
        </w:r>
        <w:r w:rsidR="009A09C3" w:rsidRPr="009E348F">
          <w:rPr>
            <w:rStyle w:val="Hyperlink"/>
          </w:rPr>
          <w:t>s</w:t>
        </w:r>
        <w:r w:rsidRPr="009E348F">
          <w:rPr>
            <w:rStyle w:val="Hyperlink"/>
          </w:rPr>
          <w:t>ection</w:t>
        </w:r>
        <w:r w:rsidR="009A09C3" w:rsidRPr="009E348F">
          <w:rPr>
            <w:rStyle w:val="Hyperlink"/>
          </w:rPr>
          <w:t> </w:t>
        </w:r>
        <w:r w:rsidRPr="009E348F">
          <w:rPr>
            <w:rStyle w:val="Hyperlink"/>
          </w:rPr>
          <w:t>3.</w:t>
        </w:r>
        <w:r w:rsidR="001A030E">
          <w:rPr>
            <w:rStyle w:val="Hyperlink"/>
          </w:rPr>
          <w:t>10</w:t>
        </w:r>
      </w:hyperlink>
      <w:r>
        <w:t>)</w:t>
      </w:r>
    </w:p>
    <w:p w14:paraId="74D56FF4" w14:textId="22E1C003" w:rsidR="00DB14F6" w:rsidRDefault="00DB14F6" w:rsidP="00C76426">
      <w:pPr>
        <w:pStyle w:val="Numberedlevel2text"/>
        <w:numPr>
          <w:ilvl w:val="0"/>
          <w:numId w:val="0"/>
        </w:numPr>
        <w:spacing w:before="240"/>
        <w:ind w:left="1134"/>
      </w:pPr>
      <w:r>
        <w:t>Therefore,</w:t>
      </w:r>
      <w:r w:rsidR="001A030E">
        <w:rPr>
          <w:lang w:val="en-GB"/>
        </w:rPr>
        <w:t xml:space="preserve"> the committee agreed that conservative thresholds for populations 2a, 2b and 4b should be adopted. </w:t>
      </w:r>
      <w:r w:rsidR="00F323DF">
        <w:rPr>
          <w:lang w:val="en-GB"/>
        </w:rPr>
        <w:t>The committee concluded that</w:t>
      </w:r>
      <w:r w:rsidR="001A030E">
        <w:rPr>
          <w:lang w:val="en-GB"/>
        </w:rPr>
        <w:t xml:space="preserve"> a</w:t>
      </w:r>
      <w:r>
        <w:t xml:space="preserve">n acceptable ICER </w:t>
      </w:r>
      <w:r w:rsidR="001A030E">
        <w:rPr>
          <w:lang w:val="en-GB"/>
        </w:rPr>
        <w:t xml:space="preserve">for population 2a </w:t>
      </w:r>
      <w:r>
        <w:t xml:space="preserve">would be </w:t>
      </w:r>
      <w:r w:rsidR="00637148">
        <w:rPr>
          <w:lang w:val="en-GB"/>
        </w:rPr>
        <w:t>below £20,000 per QALY gained</w:t>
      </w:r>
      <w:r w:rsidR="001A030E">
        <w:rPr>
          <w:lang w:val="en-GB"/>
        </w:rPr>
        <w:t xml:space="preserve">, and an acceptable ICER for populations 2b and 4b would be above £30,000 per QALY </w:t>
      </w:r>
      <w:r w:rsidR="00A30B5C">
        <w:rPr>
          <w:lang w:val="en-GB"/>
        </w:rPr>
        <w:t>lost</w:t>
      </w:r>
      <w:r w:rsidR="001A030E">
        <w:rPr>
          <w:lang w:val="en-GB"/>
        </w:rPr>
        <w:t>.</w:t>
      </w:r>
    </w:p>
    <w:p w14:paraId="3E88F048" w14:textId="225E4357" w:rsidR="00FD583D" w:rsidRDefault="00D96D21" w:rsidP="00A43F2C">
      <w:pPr>
        <w:pStyle w:val="Heading3"/>
      </w:pPr>
      <w:r>
        <w:t xml:space="preserve">For </w:t>
      </w:r>
      <w:r w:rsidR="0057791A">
        <w:t>population</w:t>
      </w:r>
      <w:r w:rsidR="009A09C3">
        <w:t> </w:t>
      </w:r>
      <w:r w:rsidR="0057791A">
        <w:t>2</w:t>
      </w:r>
      <w:r w:rsidR="001A030E">
        <w:t>a</w:t>
      </w:r>
      <w:r w:rsidR="00971BCF">
        <w:t>,</w:t>
      </w:r>
      <w:r>
        <w:t xml:space="preserve"> the most plausible ICERs are above what is considered a</w:t>
      </w:r>
      <w:r w:rsidR="0074546C">
        <w:t xml:space="preserve"> </w:t>
      </w:r>
      <w:r w:rsidR="002D59D3">
        <w:t>cost-effective</w:t>
      </w:r>
      <w:r w:rsidR="0074546C">
        <w:t xml:space="preserve"> use of NHS resources</w:t>
      </w:r>
    </w:p>
    <w:p w14:paraId="68BDFB1B" w14:textId="7E13C700" w:rsidR="001A030E" w:rsidRPr="001A030E" w:rsidRDefault="00971BCF" w:rsidP="00C442B6">
      <w:pPr>
        <w:pStyle w:val="Numberedlevel2text"/>
      </w:pPr>
      <w:r>
        <w:rPr>
          <w:lang w:val="en-GB"/>
        </w:rPr>
        <w:t xml:space="preserve">Using the committee’s preferred assumptions </w:t>
      </w:r>
      <w:r w:rsidR="00EB22D9">
        <w:rPr>
          <w:lang w:val="en-GB"/>
        </w:rPr>
        <w:t>(</w:t>
      </w:r>
      <w:hyperlink w:anchor="_The_ERG’s_updated_1" w:history="1">
        <w:r w:rsidR="00EB22D9" w:rsidRPr="009E348F">
          <w:rPr>
            <w:rStyle w:val="Hyperlink"/>
            <w:lang w:val="en-GB"/>
          </w:rPr>
          <w:t xml:space="preserve">see </w:t>
        </w:r>
        <w:r w:rsidR="009A09C3" w:rsidRPr="009E348F">
          <w:rPr>
            <w:rStyle w:val="Hyperlink"/>
            <w:lang w:val="en-GB"/>
          </w:rPr>
          <w:t>s</w:t>
        </w:r>
        <w:r w:rsidR="00C76426" w:rsidRPr="009E348F">
          <w:rPr>
            <w:rStyle w:val="Hyperlink"/>
            <w:lang w:val="en-GB"/>
          </w:rPr>
          <w:t>ection</w:t>
        </w:r>
        <w:r w:rsidR="009A09C3" w:rsidRPr="009E348F">
          <w:rPr>
            <w:rStyle w:val="Hyperlink"/>
            <w:lang w:val="en-GB"/>
          </w:rPr>
          <w:t> </w:t>
        </w:r>
        <w:r w:rsidR="00C76426" w:rsidRPr="009E348F">
          <w:rPr>
            <w:rStyle w:val="Hyperlink"/>
            <w:lang w:val="en-GB"/>
          </w:rPr>
          <w:t>3.1</w:t>
        </w:r>
        <w:r w:rsidR="001A030E">
          <w:rPr>
            <w:rStyle w:val="Hyperlink"/>
            <w:lang w:val="en-GB"/>
          </w:rPr>
          <w:t>1</w:t>
        </w:r>
      </w:hyperlink>
      <w:r w:rsidR="00EB22D9">
        <w:rPr>
          <w:lang w:val="en-GB"/>
        </w:rPr>
        <w:t xml:space="preserve">) the most plausible ICER for </w:t>
      </w:r>
      <w:r w:rsidR="0057791A">
        <w:rPr>
          <w:lang w:val="en-GB"/>
        </w:rPr>
        <w:t>population</w:t>
      </w:r>
      <w:r w:rsidR="009A09C3">
        <w:rPr>
          <w:lang w:val="en-GB"/>
        </w:rPr>
        <w:t> </w:t>
      </w:r>
      <w:r w:rsidR="0057791A">
        <w:rPr>
          <w:lang w:val="en-GB"/>
        </w:rPr>
        <w:t>2a (</w:t>
      </w:r>
      <w:r w:rsidR="000C7BF5" w:rsidRPr="00F8426C">
        <w:t>statins are contraindicated or not tolerate</w:t>
      </w:r>
      <w:r w:rsidR="001F738E">
        <w:rPr>
          <w:lang w:val="en-GB"/>
        </w:rPr>
        <w:t>d and</w:t>
      </w:r>
      <w:r w:rsidR="0057791A">
        <w:rPr>
          <w:lang w:val="en-GB"/>
        </w:rPr>
        <w:t xml:space="preserve"> </w:t>
      </w:r>
      <w:r w:rsidR="000C7BF5">
        <w:t>alirocumab or evolocumab are not eligible</w:t>
      </w:r>
      <w:r w:rsidR="0057791A">
        <w:rPr>
          <w:lang w:val="en-GB"/>
        </w:rPr>
        <w:t>)</w:t>
      </w:r>
      <w:r w:rsidR="002D59D3">
        <w:rPr>
          <w:lang w:val="en-GB"/>
        </w:rPr>
        <w:t xml:space="preserve"> is £23,</w:t>
      </w:r>
      <w:r w:rsidR="00DD6BD4">
        <w:rPr>
          <w:lang w:val="en-GB"/>
        </w:rPr>
        <w:t xml:space="preserve">824 per QALY gained. </w:t>
      </w:r>
      <w:r w:rsidR="001F738E">
        <w:rPr>
          <w:lang w:val="en-GB"/>
        </w:rPr>
        <w:t>Therefore, the committee concluded that bempedoic acid with ezetimibe could not be considered a cost-effective use of NHS resources.</w:t>
      </w:r>
    </w:p>
    <w:p w14:paraId="402486C0" w14:textId="70554881" w:rsidR="001A030E" w:rsidRPr="001A030E" w:rsidRDefault="001A030E" w:rsidP="001A030E">
      <w:pPr>
        <w:pStyle w:val="Heading3"/>
      </w:pPr>
      <w:r>
        <w:t xml:space="preserve">For population 2b, the most plausible ICERs are </w:t>
      </w:r>
      <w:r w:rsidR="001F738E">
        <w:t>below</w:t>
      </w:r>
      <w:r>
        <w:t xml:space="preserve"> what is considered a cost-effective use of NHS resources</w:t>
      </w:r>
    </w:p>
    <w:p w14:paraId="0CF993E5" w14:textId="31C94C1F" w:rsidR="000C7BF5" w:rsidRDefault="001F738E" w:rsidP="00C442B6">
      <w:pPr>
        <w:pStyle w:val="Numberedlevel2text"/>
      </w:pPr>
      <w:r>
        <w:rPr>
          <w:lang w:val="en-GB"/>
        </w:rPr>
        <w:t>Using the committee’s preferred assumptions (</w:t>
      </w:r>
      <w:hyperlink w:anchor="_The_ERG’s_updated_1" w:history="1">
        <w:r w:rsidRPr="009E348F">
          <w:rPr>
            <w:rStyle w:val="Hyperlink"/>
            <w:lang w:val="en-GB"/>
          </w:rPr>
          <w:t>see section 3.1</w:t>
        </w:r>
        <w:r>
          <w:rPr>
            <w:rStyle w:val="Hyperlink"/>
            <w:lang w:val="en-GB"/>
          </w:rPr>
          <w:t>1</w:t>
        </w:r>
      </w:hyperlink>
      <w:r>
        <w:rPr>
          <w:lang w:val="en-GB"/>
        </w:rPr>
        <w:t>) the most plausible ICER for</w:t>
      </w:r>
      <w:r w:rsidR="00373998">
        <w:rPr>
          <w:lang w:val="en-GB"/>
        </w:rPr>
        <w:t xml:space="preserve"> population</w:t>
      </w:r>
      <w:r w:rsidR="009A09C3">
        <w:rPr>
          <w:lang w:val="en-GB"/>
        </w:rPr>
        <w:t> </w:t>
      </w:r>
      <w:r w:rsidR="00373998">
        <w:rPr>
          <w:lang w:val="en-GB"/>
        </w:rPr>
        <w:t>2b (</w:t>
      </w:r>
      <w:r>
        <w:rPr>
          <w:lang w:val="en-GB"/>
        </w:rPr>
        <w:t xml:space="preserve">statins are contraindicated or not tolerated and </w:t>
      </w:r>
      <w:r w:rsidR="00373998">
        <w:rPr>
          <w:lang w:val="en-GB"/>
        </w:rPr>
        <w:t xml:space="preserve">eligible for alirocumab or evolocumab) </w:t>
      </w:r>
      <w:r w:rsidR="00BC567E" w:rsidRPr="008349CB">
        <w:rPr>
          <w:lang w:val="en-GB"/>
        </w:rPr>
        <w:t xml:space="preserve">resulted in cost savings </w:t>
      </w:r>
      <w:r w:rsidR="00BC567E">
        <w:rPr>
          <w:lang w:val="en-GB"/>
        </w:rPr>
        <w:t>and a</w:t>
      </w:r>
      <w:r w:rsidR="00BC567E" w:rsidRPr="008349CB">
        <w:rPr>
          <w:lang w:val="en-GB"/>
        </w:rPr>
        <w:t xml:space="preserve"> loss of QALYs</w:t>
      </w:r>
      <w:r w:rsidR="00BC567E">
        <w:rPr>
          <w:lang w:val="en-GB"/>
        </w:rPr>
        <w:t xml:space="preserve"> (</w:t>
      </w:r>
      <w:r w:rsidR="007F462B">
        <w:rPr>
          <w:lang w:val="en-GB"/>
        </w:rPr>
        <w:t>less than</w:t>
      </w:r>
      <w:r w:rsidR="00D621A6">
        <w:rPr>
          <w:lang w:val="en-GB"/>
        </w:rPr>
        <w:t xml:space="preserve"> £30,000</w:t>
      </w:r>
      <w:r w:rsidR="00787659">
        <w:rPr>
          <w:lang w:val="en-GB"/>
        </w:rPr>
        <w:t xml:space="preserve"> </w:t>
      </w:r>
      <w:r w:rsidR="00BC567E">
        <w:rPr>
          <w:lang w:val="en-GB"/>
        </w:rPr>
        <w:t xml:space="preserve">saved </w:t>
      </w:r>
      <w:r w:rsidR="00787659">
        <w:rPr>
          <w:lang w:val="en-GB"/>
        </w:rPr>
        <w:t>per QALY</w:t>
      </w:r>
      <w:r>
        <w:rPr>
          <w:lang w:val="en-GB"/>
        </w:rPr>
        <w:t xml:space="preserve"> </w:t>
      </w:r>
      <w:r w:rsidR="00BA3C60">
        <w:rPr>
          <w:lang w:val="en-GB"/>
        </w:rPr>
        <w:t>lost</w:t>
      </w:r>
      <w:r w:rsidR="00067173">
        <w:rPr>
          <w:lang w:val="en-GB"/>
        </w:rPr>
        <w:t>)</w:t>
      </w:r>
      <w:r w:rsidR="00787659">
        <w:rPr>
          <w:lang w:val="en-GB"/>
        </w:rPr>
        <w:t>.</w:t>
      </w:r>
      <w:r w:rsidR="00373998">
        <w:rPr>
          <w:lang w:val="en-GB"/>
        </w:rPr>
        <w:t xml:space="preserve"> </w:t>
      </w:r>
      <w:r w:rsidR="00DD6BD4" w:rsidRPr="0063171D">
        <w:rPr>
          <w:lang w:val="en-GB"/>
        </w:rPr>
        <w:t>Because of confidential discounts for</w:t>
      </w:r>
      <w:r w:rsidR="00DD6BD4">
        <w:rPr>
          <w:lang w:val="en-GB"/>
        </w:rPr>
        <w:t xml:space="preserve"> alirocumab and evolocumab</w:t>
      </w:r>
      <w:r w:rsidR="00BA3C60">
        <w:rPr>
          <w:lang w:val="en-GB"/>
        </w:rPr>
        <w:t>,</w:t>
      </w:r>
      <w:r w:rsidR="00DD6BD4">
        <w:rPr>
          <w:lang w:val="en-GB"/>
        </w:rPr>
        <w:t xml:space="preserve"> </w:t>
      </w:r>
      <w:r w:rsidR="00D621A6">
        <w:rPr>
          <w:lang w:val="en-GB"/>
        </w:rPr>
        <w:t>the exact ICER</w:t>
      </w:r>
      <w:r w:rsidR="000C0D3D" w:rsidRPr="0063171D">
        <w:rPr>
          <w:lang w:val="en-GB"/>
        </w:rPr>
        <w:t xml:space="preserve"> </w:t>
      </w:r>
      <w:r w:rsidR="00E944A2">
        <w:rPr>
          <w:lang w:val="en-GB"/>
        </w:rPr>
        <w:t>for population</w:t>
      </w:r>
      <w:r w:rsidR="009A09C3">
        <w:rPr>
          <w:lang w:val="en-GB"/>
        </w:rPr>
        <w:t> </w:t>
      </w:r>
      <w:r w:rsidR="00E944A2">
        <w:rPr>
          <w:lang w:val="en-GB"/>
        </w:rPr>
        <w:t xml:space="preserve">2b </w:t>
      </w:r>
      <w:r w:rsidR="000C0D3D" w:rsidRPr="0063171D">
        <w:rPr>
          <w:lang w:val="en-GB"/>
        </w:rPr>
        <w:t>can</w:t>
      </w:r>
      <w:r w:rsidR="00D621A6">
        <w:rPr>
          <w:lang w:val="en-GB"/>
        </w:rPr>
        <w:t>not</w:t>
      </w:r>
      <w:r w:rsidR="000C0D3D" w:rsidRPr="0063171D">
        <w:rPr>
          <w:lang w:val="en-GB"/>
        </w:rPr>
        <w:t xml:space="preserve"> be reported here</w:t>
      </w:r>
      <w:r w:rsidR="00787659">
        <w:rPr>
          <w:lang w:val="en-GB"/>
        </w:rPr>
        <w:t>.</w:t>
      </w:r>
      <w:r w:rsidR="007F264C">
        <w:rPr>
          <w:lang w:val="en-GB"/>
        </w:rPr>
        <w:t xml:space="preserve"> Therefore, the committee concluded that bempedoic acid with ezetimibe could not be considered a cost-effective use of NHS resources.</w:t>
      </w:r>
    </w:p>
    <w:p w14:paraId="277D5695" w14:textId="2B4B9123" w:rsidR="00342995" w:rsidRDefault="00342995" w:rsidP="00A43F2C">
      <w:pPr>
        <w:pStyle w:val="Heading3"/>
      </w:pPr>
      <w:r>
        <w:t>For population</w:t>
      </w:r>
      <w:r w:rsidR="009A09C3">
        <w:t> </w:t>
      </w:r>
      <w:r>
        <w:t xml:space="preserve">4b, the most plausible ICERs are </w:t>
      </w:r>
      <w:r w:rsidR="001F738E">
        <w:t>below</w:t>
      </w:r>
      <w:r>
        <w:t xml:space="preserve"> what is considered a cost-effective use of NHS resources</w:t>
      </w:r>
    </w:p>
    <w:p w14:paraId="3D60CC41" w14:textId="127A21B3" w:rsidR="005C0045" w:rsidRDefault="00342995" w:rsidP="005C0045">
      <w:pPr>
        <w:pStyle w:val="Numberedlevel2text"/>
      </w:pPr>
      <w:r>
        <w:rPr>
          <w:lang w:val="en-GB"/>
        </w:rPr>
        <w:t>Using the committee’s preferred assumptions (</w:t>
      </w:r>
      <w:hyperlink w:anchor="_The_ERG’s_updated_1" w:history="1">
        <w:r w:rsidRPr="009E348F">
          <w:rPr>
            <w:rStyle w:val="Hyperlink"/>
            <w:lang w:val="en-GB"/>
          </w:rPr>
          <w:t xml:space="preserve">see </w:t>
        </w:r>
        <w:r w:rsidR="00A05992" w:rsidRPr="009E348F">
          <w:rPr>
            <w:rStyle w:val="Hyperlink"/>
            <w:lang w:val="en-GB"/>
          </w:rPr>
          <w:t>s</w:t>
        </w:r>
        <w:r w:rsidR="00C76426" w:rsidRPr="009E348F">
          <w:rPr>
            <w:rStyle w:val="Hyperlink"/>
            <w:lang w:val="en-GB"/>
          </w:rPr>
          <w:t>ection</w:t>
        </w:r>
        <w:r w:rsidR="00A05992" w:rsidRPr="009E348F">
          <w:rPr>
            <w:rStyle w:val="Hyperlink"/>
            <w:lang w:val="en-GB"/>
          </w:rPr>
          <w:t> </w:t>
        </w:r>
        <w:r w:rsidR="00C76426" w:rsidRPr="009E348F">
          <w:rPr>
            <w:rStyle w:val="Hyperlink"/>
            <w:lang w:val="en-GB"/>
          </w:rPr>
          <w:t>3.1</w:t>
        </w:r>
        <w:r w:rsidR="001F738E">
          <w:rPr>
            <w:rStyle w:val="Hyperlink"/>
            <w:lang w:val="en-GB"/>
          </w:rPr>
          <w:t>1</w:t>
        </w:r>
      </w:hyperlink>
      <w:r>
        <w:rPr>
          <w:lang w:val="en-GB"/>
        </w:rPr>
        <w:t>) the most plausible ICER for population</w:t>
      </w:r>
      <w:r w:rsidR="00A05992">
        <w:rPr>
          <w:lang w:val="en-GB"/>
        </w:rPr>
        <w:t> </w:t>
      </w:r>
      <w:r>
        <w:rPr>
          <w:lang w:val="en-GB"/>
        </w:rPr>
        <w:t xml:space="preserve">4b (maximally tolerated statin dose and eligible for </w:t>
      </w:r>
      <w:r>
        <w:t>alirocumab or evolocumab</w:t>
      </w:r>
      <w:r>
        <w:rPr>
          <w:lang w:val="en-GB"/>
        </w:rPr>
        <w:t xml:space="preserve">) </w:t>
      </w:r>
      <w:r w:rsidR="00BC567E" w:rsidRPr="008349CB">
        <w:rPr>
          <w:lang w:val="en-GB"/>
        </w:rPr>
        <w:t xml:space="preserve">resulted in cost savings </w:t>
      </w:r>
      <w:r w:rsidR="00BC567E">
        <w:rPr>
          <w:lang w:val="en-GB"/>
        </w:rPr>
        <w:t>and a</w:t>
      </w:r>
      <w:r w:rsidR="00BC567E" w:rsidRPr="008349CB">
        <w:rPr>
          <w:lang w:val="en-GB"/>
        </w:rPr>
        <w:t xml:space="preserve"> loss </w:t>
      </w:r>
      <w:r w:rsidR="00BC567E" w:rsidRPr="008349CB">
        <w:rPr>
          <w:lang w:val="en-GB"/>
        </w:rPr>
        <w:lastRenderedPageBreak/>
        <w:t>of QALYs</w:t>
      </w:r>
      <w:r w:rsidR="00BC567E">
        <w:rPr>
          <w:lang w:val="en-GB"/>
        </w:rPr>
        <w:t xml:space="preserve"> (less than £</w:t>
      </w:r>
      <w:r w:rsidR="001F738E">
        <w:rPr>
          <w:lang w:val="en-GB"/>
        </w:rPr>
        <w:t>3</w:t>
      </w:r>
      <w:r w:rsidR="00BC567E">
        <w:rPr>
          <w:lang w:val="en-GB"/>
        </w:rPr>
        <w:t xml:space="preserve">0,000 saved per QALY </w:t>
      </w:r>
      <w:r w:rsidR="004C30C1">
        <w:rPr>
          <w:lang w:val="en-GB"/>
        </w:rPr>
        <w:t>lost</w:t>
      </w:r>
      <w:r w:rsidR="005C0045">
        <w:rPr>
          <w:lang w:val="en-GB"/>
        </w:rPr>
        <w:t xml:space="preserve">). </w:t>
      </w:r>
      <w:r w:rsidR="005C0045" w:rsidRPr="0063171D">
        <w:rPr>
          <w:lang w:val="en-GB"/>
        </w:rPr>
        <w:t>Because of confidential discounts for</w:t>
      </w:r>
      <w:r w:rsidR="005C0045">
        <w:rPr>
          <w:lang w:val="en-GB"/>
        </w:rPr>
        <w:t xml:space="preserve"> alirocumab and evolocumab the exact ICER</w:t>
      </w:r>
      <w:r w:rsidR="005C0045" w:rsidRPr="0063171D">
        <w:rPr>
          <w:lang w:val="en-GB"/>
        </w:rPr>
        <w:t xml:space="preserve"> </w:t>
      </w:r>
      <w:r w:rsidR="005C0045">
        <w:rPr>
          <w:lang w:val="en-GB"/>
        </w:rPr>
        <w:t>for population</w:t>
      </w:r>
      <w:r w:rsidR="008F44A9">
        <w:rPr>
          <w:lang w:val="en-GB"/>
        </w:rPr>
        <w:t> 4</w:t>
      </w:r>
      <w:r w:rsidR="005C0045">
        <w:rPr>
          <w:lang w:val="en-GB"/>
        </w:rPr>
        <w:t xml:space="preserve">b </w:t>
      </w:r>
      <w:r w:rsidR="005C0045" w:rsidRPr="0063171D">
        <w:rPr>
          <w:lang w:val="en-GB"/>
        </w:rPr>
        <w:t>can</w:t>
      </w:r>
      <w:r w:rsidR="005C0045">
        <w:rPr>
          <w:lang w:val="en-GB"/>
        </w:rPr>
        <w:t>not</w:t>
      </w:r>
      <w:r w:rsidR="005C0045" w:rsidRPr="0063171D">
        <w:rPr>
          <w:lang w:val="en-GB"/>
        </w:rPr>
        <w:t xml:space="preserve"> be reported here</w:t>
      </w:r>
      <w:r w:rsidR="005C0045">
        <w:rPr>
          <w:lang w:val="en-GB"/>
        </w:rPr>
        <w:t>.</w:t>
      </w:r>
      <w:r w:rsidR="007F264C">
        <w:rPr>
          <w:lang w:val="en-GB"/>
        </w:rPr>
        <w:t xml:space="preserve"> Therefore, the committee concluded that bempedoic acid with ezetimibe could not be considered a cost-effective use of NHS resources.</w:t>
      </w:r>
    </w:p>
    <w:p w14:paraId="44B1B19A" w14:textId="23CDBD44" w:rsidR="00643582" w:rsidRDefault="001D7DF4" w:rsidP="001D7DF4">
      <w:pPr>
        <w:pStyle w:val="Heading2"/>
      </w:pPr>
      <w:r>
        <w:t>Other factors</w:t>
      </w:r>
    </w:p>
    <w:p w14:paraId="5C7FCD2F" w14:textId="77777777" w:rsidR="001D7DF4" w:rsidRPr="00FA7706" w:rsidRDefault="001D7DF4" w:rsidP="001D7DF4">
      <w:pPr>
        <w:pStyle w:val="Heading3"/>
      </w:pPr>
      <w:r w:rsidRPr="00FA7706">
        <w:t>There are no equalities issues</w:t>
      </w:r>
    </w:p>
    <w:p w14:paraId="38890E47" w14:textId="7F17B524" w:rsidR="001D7DF4" w:rsidRPr="001D7DF4" w:rsidRDefault="001D7DF4" w:rsidP="00643582">
      <w:pPr>
        <w:pStyle w:val="Numberedlevel2text"/>
        <w:numPr>
          <w:ilvl w:val="1"/>
          <w:numId w:val="1"/>
        </w:numPr>
      </w:pPr>
      <w:r>
        <w:rPr>
          <w:lang w:val="en-GB"/>
        </w:rPr>
        <w:t>No equality</w:t>
      </w:r>
      <w:r w:rsidR="007117A3">
        <w:rPr>
          <w:lang w:val="en-GB"/>
        </w:rPr>
        <w:t xml:space="preserve"> </w:t>
      </w:r>
      <w:r w:rsidR="008F44A9">
        <w:rPr>
          <w:lang w:val="en-GB"/>
        </w:rPr>
        <w:t xml:space="preserve">or </w:t>
      </w:r>
      <w:r>
        <w:rPr>
          <w:lang w:val="en-GB"/>
        </w:rPr>
        <w:t>social value judgement issues were identified.</w:t>
      </w:r>
    </w:p>
    <w:p w14:paraId="4F94E702" w14:textId="77777777" w:rsidR="001D7DF4" w:rsidRPr="00FA7706" w:rsidRDefault="001D7DF4" w:rsidP="001D7DF4">
      <w:pPr>
        <w:pStyle w:val="Heading3"/>
      </w:pPr>
      <w:r w:rsidRPr="00FA7706">
        <w:t>There are no additional benefits not already captured in the economic analysis</w:t>
      </w:r>
    </w:p>
    <w:p w14:paraId="1B5D09D9" w14:textId="3EE1150D" w:rsidR="001D7DF4" w:rsidRPr="001D7DF4" w:rsidRDefault="00D04255" w:rsidP="006A1540">
      <w:pPr>
        <w:pStyle w:val="Numberedlevel2text"/>
        <w:numPr>
          <w:ilvl w:val="1"/>
          <w:numId w:val="1"/>
        </w:numPr>
      </w:pPr>
      <w:r>
        <w:rPr>
          <w:lang w:val="en-GB"/>
        </w:rPr>
        <w:t xml:space="preserve">The committee understood that there is </w:t>
      </w:r>
      <w:r w:rsidR="008F44A9">
        <w:rPr>
          <w:lang w:val="en-GB"/>
        </w:rPr>
        <w:t xml:space="preserve">an </w:t>
      </w:r>
      <w:r>
        <w:rPr>
          <w:lang w:val="en-GB"/>
        </w:rPr>
        <w:t xml:space="preserve">unmet need </w:t>
      </w:r>
      <w:r w:rsidR="008F44A9">
        <w:rPr>
          <w:lang w:val="en-GB"/>
        </w:rPr>
        <w:t>for patients who cannot tolerate</w:t>
      </w:r>
      <w:r>
        <w:rPr>
          <w:lang w:val="en-GB"/>
        </w:rPr>
        <w:t xml:space="preserve"> statins. The committee was aware that bempedoic acid is an oral preparation</w:t>
      </w:r>
      <w:r w:rsidR="00B41CB8">
        <w:rPr>
          <w:lang w:val="en-GB"/>
        </w:rPr>
        <w:t xml:space="preserve"> compared with </w:t>
      </w:r>
      <w:r w:rsidR="00111461">
        <w:t>alirocumab</w:t>
      </w:r>
      <w:r w:rsidR="00027E2A">
        <w:rPr>
          <w:lang w:val="en-GB"/>
        </w:rPr>
        <w:t xml:space="preserve"> and </w:t>
      </w:r>
      <w:r w:rsidR="00111461">
        <w:t>evolocumab</w:t>
      </w:r>
      <w:r w:rsidR="00B41CB8">
        <w:rPr>
          <w:lang w:val="en-GB"/>
        </w:rPr>
        <w:t xml:space="preserve"> which are administered subcutaneously</w:t>
      </w:r>
      <w:r>
        <w:rPr>
          <w:lang w:val="en-GB"/>
        </w:rPr>
        <w:t xml:space="preserve"> and took this into account in its decision making. The committee concluded that there were no additional benefits associated with this treatment that had not been captured in the economic analysis.</w:t>
      </w:r>
    </w:p>
    <w:p w14:paraId="0C67BA0C" w14:textId="0CAF17F9" w:rsidR="00643582" w:rsidRDefault="001B6CEF" w:rsidP="00643582">
      <w:pPr>
        <w:pStyle w:val="Heading2"/>
      </w:pPr>
      <w:r>
        <w:t>Conclusion</w:t>
      </w:r>
    </w:p>
    <w:p w14:paraId="398F5422" w14:textId="7057021C" w:rsidR="00B41CB8" w:rsidRDefault="00AE1D1F" w:rsidP="005F3FF5">
      <w:pPr>
        <w:pStyle w:val="Heading3"/>
        <w:rPr>
          <w:rStyle w:val="Numberedlevel2textChar"/>
          <w:bCs/>
          <w:iCs w:val="0"/>
          <w:lang w:val="en-GB"/>
        </w:rPr>
      </w:pPr>
      <w:r>
        <w:rPr>
          <w:lang w:eastAsia="en-GB"/>
        </w:rPr>
        <w:t>B</w:t>
      </w:r>
      <w:r w:rsidR="005F3FF5" w:rsidRPr="007870B4">
        <w:rPr>
          <w:lang w:eastAsia="en-GB"/>
        </w:rPr>
        <w:t>empedoic acid</w:t>
      </w:r>
      <w:r w:rsidR="00FD73A7">
        <w:rPr>
          <w:lang w:eastAsia="en-GB"/>
        </w:rPr>
        <w:t xml:space="preserve"> </w:t>
      </w:r>
      <w:r>
        <w:rPr>
          <w:lang w:eastAsia="en-GB"/>
        </w:rPr>
        <w:t>is not recommended</w:t>
      </w:r>
    </w:p>
    <w:p w14:paraId="77C24863" w14:textId="6662126F" w:rsidR="00F20529" w:rsidRPr="008F44A9" w:rsidRDefault="001B6CEF" w:rsidP="00A43F2C">
      <w:pPr>
        <w:pStyle w:val="Numberedlevel2text"/>
        <w:rPr>
          <w:lang w:val="en-GB"/>
        </w:rPr>
      </w:pPr>
      <w:r w:rsidRPr="00FA7706">
        <w:rPr>
          <w:lang w:val="en-GB"/>
        </w:rPr>
        <w:t xml:space="preserve">The committee concluded that </w:t>
      </w:r>
      <w:r w:rsidR="00E461B0">
        <w:rPr>
          <w:lang w:val="en-GB"/>
        </w:rPr>
        <w:t>bempedoic acid</w:t>
      </w:r>
      <w:r w:rsidR="00FD73A7">
        <w:rPr>
          <w:lang w:val="en-GB"/>
        </w:rPr>
        <w:t xml:space="preserve"> </w:t>
      </w:r>
      <w:r w:rsidR="00E461B0">
        <w:rPr>
          <w:lang w:val="en-GB"/>
        </w:rPr>
        <w:t>was not</w:t>
      </w:r>
      <w:r w:rsidRPr="00FA7706">
        <w:rPr>
          <w:lang w:val="en-GB"/>
        </w:rPr>
        <w:t xml:space="preserve"> recommend </w:t>
      </w:r>
      <w:r w:rsidRPr="008C5133">
        <w:rPr>
          <w:lang w:eastAsia="en-GB"/>
        </w:rPr>
        <w:t>as an option for treating</w:t>
      </w:r>
      <w:r w:rsidRPr="00FB59B7">
        <w:rPr>
          <w:lang w:eastAsia="en-GB"/>
        </w:rPr>
        <w:t xml:space="preserve"> </w:t>
      </w:r>
      <w:r w:rsidRPr="00003599">
        <w:rPr>
          <w:lang w:val="en-GB"/>
        </w:rPr>
        <w:t>primary hypercholesterolaemia (heterozygous familial and non-familial) or mixed dyslipidaemia, as an adjunct to diet</w:t>
      </w:r>
      <w:r>
        <w:t xml:space="preserve"> in </w:t>
      </w:r>
      <w:r w:rsidRPr="001B6CEF">
        <w:rPr>
          <w:lang w:val="en-GB"/>
        </w:rPr>
        <w:t>adults.</w:t>
      </w:r>
      <w:r w:rsidRPr="00FA7706">
        <w:rPr>
          <w:lang w:val="en-GB"/>
        </w:rPr>
        <w:t xml:space="preserve"> </w:t>
      </w:r>
      <w:r w:rsidR="00643048" w:rsidRPr="008F44A9">
        <w:rPr>
          <w:lang w:val="en-GB"/>
        </w:rPr>
        <w:t xml:space="preserve">The committee </w:t>
      </w:r>
      <w:r w:rsidR="00FD73A7">
        <w:rPr>
          <w:lang w:val="en-GB"/>
        </w:rPr>
        <w:t>was</w:t>
      </w:r>
      <w:r w:rsidR="00FD73A7" w:rsidRPr="008F44A9">
        <w:rPr>
          <w:lang w:val="en-GB"/>
        </w:rPr>
        <w:t xml:space="preserve"> </w:t>
      </w:r>
      <w:r w:rsidR="009E3BDE" w:rsidRPr="008F44A9">
        <w:rPr>
          <w:lang w:val="en-GB"/>
        </w:rPr>
        <w:t xml:space="preserve">concerned about the </w:t>
      </w:r>
      <w:r w:rsidR="00C771EE" w:rsidRPr="008F44A9">
        <w:rPr>
          <w:lang w:val="en-GB"/>
        </w:rPr>
        <w:t xml:space="preserve">clinical effectiveness </w:t>
      </w:r>
      <w:r w:rsidR="009E3BDE" w:rsidRPr="008F44A9">
        <w:rPr>
          <w:lang w:val="en-GB"/>
        </w:rPr>
        <w:t>of bempedoic acid</w:t>
      </w:r>
      <w:r w:rsidR="00FD73A7">
        <w:rPr>
          <w:lang w:val="en-GB"/>
        </w:rPr>
        <w:t xml:space="preserve"> </w:t>
      </w:r>
      <w:r w:rsidR="008F44A9">
        <w:rPr>
          <w:lang w:val="en-GB"/>
        </w:rPr>
        <w:t>because of</w:t>
      </w:r>
      <w:r w:rsidR="00000CF9" w:rsidRPr="008F44A9">
        <w:rPr>
          <w:lang w:val="en-GB"/>
        </w:rPr>
        <w:t xml:space="preserve"> the lack of </w:t>
      </w:r>
      <w:r w:rsidR="00F20529" w:rsidRPr="008F44A9">
        <w:rPr>
          <w:lang w:val="en-GB"/>
        </w:rPr>
        <w:t>long-term</w:t>
      </w:r>
      <w:r w:rsidR="00000CF9" w:rsidRPr="008F44A9">
        <w:rPr>
          <w:lang w:val="en-GB"/>
        </w:rPr>
        <w:t xml:space="preserve"> data</w:t>
      </w:r>
      <w:r w:rsidR="00F20529" w:rsidRPr="008F44A9">
        <w:rPr>
          <w:lang w:val="en-GB"/>
        </w:rPr>
        <w:t xml:space="preserve"> on cardiovascular outcomes</w:t>
      </w:r>
      <w:r w:rsidR="00000CF9" w:rsidRPr="008F44A9">
        <w:rPr>
          <w:lang w:val="en-GB"/>
        </w:rPr>
        <w:t xml:space="preserve"> in the </w:t>
      </w:r>
      <w:r w:rsidR="000E4CAD" w:rsidRPr="00967B1B">
        <w:rPr>
          <w:lang w:val="en-GB"/>
        </w:rPr>
        <w:t xml:space="preserve">pivotal </w:t>
      </w:r>
      <w:r w:rsidR="00000CF9" w:rsidRPr="0014317B">
        <w:rPr>
          <w:lang w:val="en-GB"/>
        </w:rPr>
        <w:t xml:space="preserve">trials. </w:t>
      </w:r>
      <w:r w:rsidR="000E4CAD" w:rsidRPr="00FD7782">
        <w:rPr>
          <w:lang w:val="en-GB"/>
        </w:rPr>
        <w:t>Further,</w:t>
      </w:r>
      <w:r w:rsidR="00000CF9" w:rsidRPr="00FD7782">
        <w:rPr>
          <w:lang w:val="en-GB"/>
        </w:rPr>
        <w:t xml:space="preserve"> the committee were concerned that </w:t>
      </w:r>
      <w:r w:rsidR="000E4CAD" w:rsidRPr="00FD7782">
        <w:rPr>
          <w:lang w:val="en-GB"/>
        </w:rPr>
        <w:t xml:space="preserve">requested subgroup analyses relating to </w:t>
      </w:r>
      <w:r w:rsidR="00FE7B04" w:rsidRPr="00FD7782">
        <w:rPr>
          <w:lang w:val="en-GB"/>
        </w:rPr>
        <w:t>cardiovascular</w:t>
      </w:r>
      <w:r w:rsidR="000E4CAD" w:rsidRPr="00FD7782">
        <w:rPr>
          <w:lang w:val="en-GB"/>
        </w:rPr>
        <w:t xml:space="preserve"> risk and </w:t>
      </w:r>
      <w:r w:rsidR="00FE7B04" w:rsidRPr="00FD7782">
        <w:rPr>
          <w:lang w:val="en-GB"/>
        </w:rPr>
        <w:t>heterozygous familial hypercholesterolaemia</w:t>
      </w:r>
      <w:r w:rsidR="000E4CAD" w:rsidRPr="00FD7782">
        <w:rPr>
          <w:lang w:val="en-GB"/>
        </w:rPr>
        <w:t xml:space="preserve"> status had not been </w:t>
      </w:r>
      <w:r w:rsidR="00F20529" w:rsidRPr="00FD7782">
        <w:rPr>
          <w:lang w:val="en-GB"/>
        </w:rPr>
        <w:t xml:space="preserve">appropriately </w:t>
      </w:r>
      <w:r w:rsidR="008F44A9">
        <w:rPr>
          <w:lang w:val="en-GB"/>
        </w:rPr>
        <w:t>done</w:t>
      </w:r>
      <w:r w:rsidR="000E4CAD" w:rsidRPr="008F44A9">
        <w:rPr>
          <w:lang w:val="en-GB"/>
        </w:rPr>
        <w:t>.</w:t>
      </w:r>
      <w:r w:rsidR="00F20529" w:rsidRPr="008F44A9">
        <w:rPr>
          <w:lang w:val="en-GB"/>
        </w:rPr>
        <w:t xml:space="preserve"> Given the limitations of the CLEAR </w:t>
      </w:r>
      <w:r w:rsidR="008F44A9">
        <w:rPr>
          <w:lang w:val="en-GB"/>
        </w:rPr>
        <w:t>trials</w:t>
      </w:r>
      <w:r w:rsidR="00F20529" w:rsidRPr="008F44A9">
        <w:rPr>
          <w:lang w:val="en-GB"/>
        </w:rPr>
        <w:t>, it was not possible to use efficacy data directly related to the primary and secondary prevention population</w:t>
      </w:r>
      <w:r w:rsidR="00F20529" w:rsidRPr="00967B1B">
        <w:rPr>
          <w:lang w:val="en-GB"/>
        </w:rPr>
        <w:t xml:space="preserve">s. The committee also remained concerned that the </w:t>
      </w:r>
      <w:r w:rsidR="00F20529" w:rsidRPr="00967B1B">
        <w:rPr>
          <w:lang w:val="en-GB"/>
        </w:rPr>
        <w:lastRenderedPageBreak/>
        <w:t xml:space="preserve">cost-effectiveness estimates did not appropriately reflect the </w:t>
      </w:r>
      <w:r w:rsidR="00F20529">
        <w:t>intended positioning of bempedoic acid</w:t>
      </w:r>
      <w:r w:rsidR="00F20529" w:rsidRPr="008F44A9">
        <w:rPr>
          <w:lang w:val="en-GB"/>
        </w:rPr>
        <w:t xml:space="preserve"> </w:t>
      </w:r>
      <w:r w:rsidR="00F20529">
        <w:t>(</w:t>
      </w:r>
      <w:r w:rsidR="008F44A9">
        <w:rPr>
          <w:lang w:val="en-GB"/>
        </w:rPr>
        <w:t>for</w:t>
      </w:r>
      <w:r w:rsidR="00F20529">
        <w:t xml:space="preserve"> patients who </w:t>
      </w:r>
      <w:r w:rsidR="008F44A9">
        <w:rPr>
          <w:lang w:val="en-GB"/>
        </w:rPr>
        <w:t>had already had</w:t>
      </w:r>
      <w:r w:rsidR="00F20529">
        <w:t xml:space="preserve"> ezetimibe and according to alirocumab or evolocumab eligibility) given the limitations of the </w:t>
      </w:r>
      <w:r w:rsidR="00696F63">
        <w:rPr>
          <w:lang w:val="en-GB"/>
        </w:rPr>
        <w:t>trials</w:t>
      </w:r>
      <w:r w:rsidR="00696F63">
        <w:t xml:space="preserve"> </w:t>
      </w:r>
      <w:r w:rsidR="00F20529">
        <w:t>informing baseline LDL-C levels</w:t>
      </w:r>
      <w:r w:rsidR="00F20529" w:rsidRPr="008F44A9">
        <w:rPr>
          <w:lang w:val="en-GB"/>
        </w:rPr>
        <w:t>.</w:t>
      </w:r>
    </w:p>
    <w:p w14:paraId="34934297" w14:textId="0E492120" w:rsidR="009E3BDE" w:rsidRDefault="005275A1" w:rsidP="009E3BDE">
      <w:pPr>
        <w:pStyle w:val="Numberedlevel2text"/>
        <w:numPr>
          <w:ilvl w:val="0"/>
          <w:numId w:val="0"/>
        </w:numPr>
        <w:ind w:left="1134"/>
        <w:rPr>
          <w:lang w:val="en-GB"/>
        </w:rPr>
      </w:pPr>
      <w:r>
        <w:rPr>
          <w:lang w:val="en-GB"/>
        </w:rPr>
        <w:t xml:space="preserve">The cost-effectiveness estimates using the </w:t>
      </w:r>
      <w:r w:rsidR="00000CF9">
        <w:rPr>
          <w:lang w:val="en-GB"/>
        </w:rPr>
        <w:t>committee</w:t>
      </w:r>
      <w:r>
        <w:rPr>
          <w:lang w:val="en-GB"/>
        </w:rPr>
        <w:t>’s</w:t>
      </w:r>
      <w:r w:rsidR="00000CF9">
        <w:rPr>
          <w:lang w:val="en-GB"/>
        </w:rPr>
        <w:t xml:space="preserve"> preferred </w:t>
      </w:r>
      <w:r>
        <w:rPr>
          <w:lang w:val="en-GB"/>
        </w:rPr>
        <w:t>assumptions</w:t>
      </w:r>
      <w:r w:rsidR="00000CF9">
        <w:rPr>
          <w:lang w:val="en-GB"/>
        </w:rPr>
        <w:t xml:space="preserve"> </w:t>
      </w:r>
      <w:r w:rsidR="00E30D81">
        <w:rPr>
          <w:lang w:val="en-GB"/>
        </w:rPr>
        <w:t>did not represent</w:t>
      </w:r>
      <w:r w:rsidR="00000CF9" w:rsidRPr="00643048">
        <w:rPr>
          <w:lang w:val="en-GB"/>
        </w:rPr>
        <w:t xml:space="preserve"> what is considered a cost-effective use of NHS resources</w:t>
      </w:r>
      <w:r w:rsidR="00000CF9">
        <w:rPr>
          <w:lang w:val="en-GB"/>
        </w:rPr>
        <w:t xml:space="preserve">. </w:t>
      </w:r>
      <w:r>
        <w:rPr>
          <w:lang w:val="en-GB"/>
        </w:rPr>
        <w:t xml:space="preserve">The committee therefore </w:t>
      </w:r>
      <w:r w:rsidR="009E3BDE">
        <w:rPr>
          <w:lang w:val="en-GB"/>
        </w:rPr>
        <w:t xml:space="preserve">concluded that bempedoic acid </w:t>
      </w:r>
      <w:r w:rsidR="00FD73A7">
        <w:rPr>
          <w:lang w:val="en-GB"/>
        </w:rPr>
        <w:t xml:space="preserve">with ezetimibe </w:t>
      </w:r>
      <w:r w:rsidR="009E3BDE">
        <w:rPr>
          <w:lang w:val="en-GB"/>
        </w:rPr>
        <w:t>could not be recommended for routine use in the NHS.</w:t>
      </w:r>
    </w:p>
    <w:p w14:paraId="0B3AA0E6" w14:textId="77777777" w:rsidR="000F48EC" w:rsidRPr="000F48EC" w:rsidRDefault="007A2801" w:rsidP="002E73E7">
      <w:pPr>
        <w:pStyle w:val="Numberedheading1"/>
      </w:pPr>
      <w:r>
        <w:t xml:space="preserve">Proposed date for </w:t>
      </w:r>
      <w:r w:rsidR="00000441">
        <w:t>r</w:t>
      </w:r>
      <w:r w:rsidR="000F48EC" w:rsidRPr="000F48EC">
        <w:t>eview of guidance</w:t>
      </w:r>
    </w:p>
    <w:p w14:paraId="633B5B83" w14:textId="1A805694" w:rsidR="001823EB" w:rsidRDefault="001823EB" w:rsidP="001823EB">
      <w:pPr>
        <w:pStyle w:val="Numberedlevel2text"/>
      </w:pPr>
      <w:r w:rsidRPr="00044CC7">
        <w:t>NICE proposes that the guidance on this technology</w:t>
      </w:r>
      <w:r w:rsidR="00E30D81">
        <w:rPr>
          <w:lang w:val="en-GB"/>
        </w:rPr>
        <w:t xml:space="preserve"> be</w:t>
      </w:r>
      <w:r w:rsidRPr="00044CC7">
        <w:t xml:space="preserve">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1C23B81A" w14:textId="5D823DCD" w:rsidR="004845D0" w:rsidRDefault="006A1540" w:rsidP="001B6CEF">
      <w:pPr>
        <w:pStyle w:val="NICEnormalindented"/>
        <w:ind w:left="0"/>
      </w:pPr>
      <w:r>
        <w:t>Professor Stephen O’Brien</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1054E5">
        <w:t xml:space="preserve">November </w:t>
      </w:r>
      <w:r>
        <w:t>2020</w:t>
      </w:r>
    </w:p>
    <w:p w14:paraId="215A8FCB"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2A4B2A20" w14:textId="77777777" w:rsidR="00B16431" w:rsidRPr="007D7F83" w:rsidRDefault="00B16431" w:rsidP="00B16431">
      <w:pPr>
        <w:pStyle w:val="Heading2"/>
      </w:pPr>
      <w:bookmarkStart w:id="34" w:name="_Appraisal_committee_members"/>
      <w:bookmarkEnd w:id="34"/>
      <w:r w:rsidRPr="007D7F83">
        <w:t xml:space="preserve">Appraisal </w:t>
      </w:r>
      <w:r w:rsidR="00343B53">
        <w:t>c</w:t>
      </w:r>
      <w:r w:rsidRPr="007D7F83">
        <w:t>ommittee members</w:t>
      </w:r>
    </w:p>
    <w:p w14:paraId="12ACFBF6" w14:textId="6889CC9E" w:rsidR="006A1540" w:rsidRDefault="002F2583" w:rsidP="002F2583">
      <w:pPr>
        <w:pStyle w:val="NICEnormal"/>
      </w:pPr>
      <w:r>
        <w:t xml:space="preserve">The 4 technology appraisal committees are standing advisory committees of NICE. </w:t>
      </w:r>
      <w:r w:rsidR="006A1540" w:rsidRPr="001E36A6">
        <w:t xml:space="preserve">This topic was considered by </w:t>
      </w:r>
      <w:hyperlink r:id="rId21" w:history="1">
        <w:r w:rsidR="006A1540" w:rsidRPr="001E36A6">
          <w:rPr>
            <w:rStyle w:val="Hyperlink"/>
            <w:rFonts w:eastAsia="Calibri"/>
          </w:rPr>
          <w:t>committee C</w:t>
        </w:r>
      </w:hyperlink>
      <w:r w:rsidR="006A1540" w:rsidRPr="001E36A6">
        <w:t>.</w:t>
      </w:r>
    </w:p>
    <w:p w14:paraId="167EE3C1" w14:textId="097BBFDD" w:rsidR="002F2583" w:rsidRDefault="002F2583" w:rsidP="002F2583">
      <w:pPr>
        <w:pStyle w:val="NICEnormal"/>
      </w:pPr>
      <w:r>
        <w:t>Committee members are asked to declare any interests in the technology to be appraised. If it is considered there is a conflict of interest, the member is excluded from participating further in that appraisal.</w:t>
      </w:r>
    </w:p>
    <w:p w14:paraId="1CF40F66" w14:textId="77777777" w:rsidR="002F2583" w:rsidRDefault="002F2583" w:rsidP="002F2583">
      <w:pPr>
        <w:pStyle w:val="NICEnormal"/>
      </w:pPr>
      <w:r>
        <w:lastRenderedPageBreak/>
        <w:t xml:space="preserve">The </w:t>
      </w:r>
      <w:hyperlink r:id="rId22"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42C0BD8D" w14:textId="77777777" w:rsidR="00B16431" w:rsidRPr="007D7F83" w:rsidRDefault="00B16431" w:rsidP="00B16431">
      <w:pPr>
        <w:pStyle w:val="Heading2"/>
      </w:pPr>
      <w:r w:rsidRPr="007D7F83">
        <w:t>NICE project team</w:t>
      </w:r>
    </w:p>
    <w:p w14:paraId="7734ABC7" w14:textId="6B7C3B6D"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3AAEDE2A" w14:textId="43E7B324" w:rsidR="00B16431" w:rsidRPr="000F2D8A" w:rsidRDefault="005F3FF5" w:rsidP="00B16431">
      <w:pPr>
        <w:pStyle w:val="NICEnormal"/>
      </w:pPr>
      <w:bookmarkStart w:id="35" w:name="Text45"/>
      <w:r>
        <w:rPr>
          <w:b/>
        </w:rPr>
        <w:t>Cameron Collins</w:t>
      </w:r>
      <w:r w:rsidR="00B16431">
        <w:br/>
      </w:r>
      <w:r w:rsidR="00B16431" w:rsidRPr="000F2D8A">
        <w:t xml:space="preserve">Technical </w:t>
      </w:r>
      <w:r w:rsidR="00E65C76">
        <w:t>l</w:t>
      </w:r>
      <w:r w:rsidR="00B16431" w:rsidRPr="000F2D8A">
        <w:t>ead</w:t>
      </w:r>
    </w:p>
    <w:p w14:paraId="618DC83F" w14:textId="1659C0DB" w:rsidR="00B16431" w:rsidRPr="000F2D8A" w:rsidRDefault="005F3FF5" w:rsidP="00B16431">
      <w:pPr>
        <w:pStyle w:val="NICEnormal"/>
      </w:pPr>
      <w:r>
        <w:rPr>
          <w:b/>
        </w:rPr>
        <w:t>Victoria Kelly</w:t>
      </w:r>
      <w:r w:rsidR="00B16431">
        <w:br/>
      </w:r>
      <w:r w:rsidR="00B16431" w:rsidRPr="00AF59A2">
        <w:t xml:space="preserve">Technical </w:t>
      </w:r>
      <w:r w:rsidR="00E65C76">
        <w:t>a</w:t>
      </w:r>
      <w:r w:rsidR="00B16431" w:rsidRPr="00AF59A2">
        <w:t>dviser</w:t>
      </w:r>
    </w:p>
    <w:p w14:paraId="174814AC" w14:textId="51ABB911" w:rsidR="00B16431" w:rsidRPr="000F2D8A" w:rsidRDefault="005F3FF5" w:rsidP="005D3FD9">
      <w:pPr>
        <w:pStyle w:val="NICEnormal"/>
      </w:pPr>
      <w:r>
        <w:rPr>
          <w:b/>
        </w:rPr>
        <w:t>Gavin Kenny</w:t>
      </w:r>
      <w:r w:rsidR="00B16431">
        <w:br/>
      </w:r>
      <w:r w:rsidR="00B16431" w:rsidRPr="000F2D8A">
        <w:t xml:space="preserve">Project </w:t>
      </w:r>
      <w:r w:rsidR="00E65C76">
        <w:t>m</w:t>
      </w:r>
      <w:r w:rsidR="00B16431" w:rsidRPr="000F2D8A">
        <w:t>anager</w:t>
      </w:r>
      <w:bookmarkEnd w:id="35"/>
    </w:p>
    <w:p w14:paraId="434DC0A8" w14:textId="77777777" w:rsidR="006E7647" w:rsidRPr="000F48EC" w:rsidRDefault="006E7647" w:rsidP="00F05E37">
      <w:pPr>
        <w:pStyle w:val="NICEnormal"/>
      </w:pPr>
      <w:r>
        <w:t xml:space="preserve">ISBN: </w:t>
      </w:r>
      <w:r w:rsidRPr="004D7C92">
        <w:rPr>
          <w:highlight w:val="green"/>
        </w:rPr>
        <w:t>[to be added at publication]</w:t>
      </w:r>
      <w:bookmarkEnd w:id="0"/>
    </w:p>
    <w:sectPr w:rsidR="006E7647" w:rsidRPr="000F48EC" w:rsidSect="00C76DDA">
      <w:headerReference w:type="default" r:id="rId23"/>
      <w:footerReference w:type="defaul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E2C7B" w14:textId="77777777" w:rsidR="00067D71" w:rsidRDefault="00067D71">
      <w:r>
        <w:separator/>
      </w:r>
    </w:p>
  </w:endnote>
  <w:endnote w:type="continuationSeparator" w:id="0">
    <w:p w14:paraId="1C864B7F" w14:textId="77777777" w:rsidR="00067D71" w:rsidRDefault="0006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4A569" w14:textId="6BC26768" w:rsidR="00067D71" w:rsidRPr="003D33FB" w:rsidRDefault="00067D71"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Pr>
        <w:sz w:val="18"/>
        <w:szCs w:val="18"/>
      </w:rPr>
      <w:t>Bempedoic acid</w:t>
    </w:r>
    <w:r w:rsidR="00FD73A7">
      <w:rPr>
        <w:sz w:val="18"/>
        <w:szCs w:val="18"/>
      </w:rPr>
      <w:t xml:space="preserve"> </w:t>
    </w:r>
    <w:r>
      <w:rPr>
        <w:sz w:val="18"/>
        <w:szCs w:val="18"/>
      </w:rPr>
      <w:t>for treating primary hypercholesterolaemia or mixed dyslipidaemia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8DA9034" w14:textId="7DC287E0" w:rsidR="00067D71" w:rsidRDefault="00067D71" w:rsidP="007A7EC8">
    <w:pPr>
      <w:pStyle w:val="NICEnormalsinglespacing"/>
      <w:spacing w:after="120"/>
      <w:rPr>
        <w:sz w:val="18"/>
        <w:szCs w:val="18"/>
      </w:rPr>
    </w:pPr>
    <w:r w:rsidRPr="003D33FB">
      <w:rPr>
        <w:sz w:val="18"/>
        <w:szCs w:val="18"/>
      </w:rPr>
      <w:t xml:space="preserve">Issue date: </w:t>
    </w:r>
    <w:r>
      <w:rPr>
        <w:sz w:val="18"/>
        <w:szCs w:val="18"/>
      </w:rPr>
      <w:t>November 2020</w:t>
    </w:r>
  </w:p>
  <w:p w14:paraId="43DAD350" w14:textId="267D8714" w:rsidR="00067D71" w:rsidRPr="007A7EC8" w:rsidRDefault="00067D71"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2C7DB" w14:textId="77777777" w:rsidR="00067D71" w:rsidRDefault="00067D71">
      <w:r>
        <w:separator/>
      </w:r>
    </w:p>
  </w:footnote>
  <w:footnote w:type="continuationSeparator" w:id="0">
    <w:p w14:paraId="7D1080F2" w14:textId="77777777" w:rsidR="00067D71" w:rsidRDefault="0006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F8327" w14:textId="77777777" w:rsidR="00067D71" w:rsidRPr="004E6427" w:rsidRDefault="00067D7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2A32544"/>
    <w:multiLevelType w:val="hybridMultilevel"/>
    <w:tmpl w:val="C6AC54E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68C3553"/>
    <w:multiLevelType w:val="hybridMultilevel"/>
    <w:tmpl w:val="F5AA2BA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77B4937A"/>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944BF1"/>
    <w:multiLevelType w:val="hybridMultilevel"/>
    <w:tmpl w:val="AAFAB6CE"/>
    <w:lvl w:ilvl="0" w:tplc="6A4E91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D9271F"/>
    <w:multiLevelType w:val="hybridMultilevel"/>
    <w:tmpl w:val="BBBA7D1E"/>
    <w:lvl w:ilvl="0" w:tplc="08090001">
      <w:start w:val="1"/>
      <w:numFmt w:val="bullet"/>
      <w:lvlText w:val=""/>
      <w:lvlJc w:val="left"/>
      <w:pPr>
        <w:ind w:left="-108" w:hanging="360"/>
      </w:pPr>
      <w:rPr>
        <w:rFonts w:ascii="Symbol" w:hAnsi="Symbol" w:hint="default"/>
      </w:rPr>
    </w:lvl>
    <w:lvl w:ilvl="1" w:tplc="08090003">
      <w:start w:val="1"/>
      <w:numFmt w:val="bullet"/>
      <w:lvlText w:val="o"/>
      <w:lvlJc w:val="left"/>
      <w:pPr>
        <w:ind w:left="612" w:hanging="360"/>
      </w:pPr>
      <w:rPr>
        <w:rFonts w:ascii="Courier New" w:hAnsi="Courier New" w:cs="Courier New" w:hint="default"/>
      </w:rPr>
    </w:lvl>
    <w:lvl w:ilvl="2" w:tplc="08090005">
      <w:start w:val="1"/>
      <w:numFmt w:val="bullet"/>
      <w:lvlText w:val=""/>
      <w:lvlJc w:val="left"/>
      <w:pPr>
        <w:ind w:left="1332" w:hanging="360"/>
      </w:pPr>
      <w:rPr>
        <w:rFonts w:ascii="Wingdings" w:hAnsi="Wingdings" w:hint="default"/>
      </w:rPr>
    </w:lvl>
    <w:lvl w:ilvl="3" w:tplc="08090001">
      <w:start w:val="1"/>
      <w:numFmt w:val="bullet"/>
      <w:lvlText w:val=""/>
      <w:lvlJc w:val="left"/>
      <w:pPr>
        <w:ind w:left="2052" w:hanging="360"/>
      </w:pPr>
      <w:rPr>
        <w:rFonts w:ascii="Symbol" w:hAnsi="Symbol" w:hint="default"/>
      </w:rPr>
    </w:lvl>
    <w:lvl w:ilvl="4" w:tplc="08090003" w:tentative="1">
      <w:start w:val="1"/>
      <w:numFmt w:val="bullet"/>
      <w:lvlText w:val="o"/>
      <w:lvlJc w:val="left"/>
      <w:pPr>
        <w:ind w:left="2772" w:hanging="360"/>
      </w:pPr>
      <w:rPr>
        <w:rFonts w:ascii="Courier New" w:hAnsi="Courier New" w:cs="Courier New" w:hint="default"/>
      </w:rPr>
    </w:lvl>
    <w:lvl w:ilvl="5" w:tplc="08090005" w:tentative="1">
      <w:start w:val="1"/>
      <w:numFmt w:val="bullet"/>
      <w:lvlText w:val=""/>
      <w:lvlJc w:val="left"/>
      <w:pPr>
        <w:ind w:left="3492" w:hanging="360"/>
      </w:pPr>
      <w:rPr>
        <w:rFonts w:ascii="Wingdings" w:hAnsi="Wingdings" w:hint="default"/>
      </w:rPr>
    </w:lvl>
    <w:lvl w:ilvl="6" w:tplc="08090001" w:tentative="1">
      <w:start w:val="1"/>
      <w:numFmt w:val="bullet"/>
      <w:lvlText w:val=""/>
      <w:lvlJc w:val="left"/>
      <w:pPr>
        <w:ind w:left="4212" w:hanging="360"/>
      </w:pPr>
      <w:rPr>
        <w:rFonts w:ascii="Symbol" w:hAnsi="Symbol" w:hint="default"/>
      </w:rPr>
    </w:lvl>
    <w:lvl w:ilvl="7" w:tplc="08090003" w:tentative="1">
      <w:start w:val="1"/>
      <w:numFmt w:val="bullet"/>
      <w:lvlText w:val="o"/>
      <w:lvlJc w:val="left"/>
      <w:pPr>
        <w:ind w:left="4932" w:hanging="360"/>
      </w:pPr>
      <w:rPr>
        <w:rFonts w:ascii="Courier New" w:hAnsi="Courier New" w:cs="Courier New" w:hint="default"/>
      </w:rPr>
    </w:lvl>
    <w:lvl w:ilvl="8" w:tplc="08090005" w:tentative="1">
      <w:start w:val="1"/>
      <w:numFmt w:val="bullet"/>
      <w:lvlText w:val=""/>
      <w:lvlJc w:val="left"/>
      <w:pPr>
        <w:ind w:left="5652" w:hanging="360"/>
      </w:pPr>
      <w:rPr>
        <w:rFonts w:ascii="Wingdings" w:hAnsi="Wingdings" w:hint="default"/>
      </w:rPr>
    </w:lvl>
  </w:abstractNum>
  <w:abstractNum w:abstractNumId="13" w15:restartNumberingAfterBreak="0">
    <w:nsid w:val="420F7019"/>
    <w:multiLevelType w:val="hybridMultilevel"/>
    <w:tmpl w:val="893E84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1A858E8"/>
    <w:multiLevelType w:val="hybridMultilevel"/>
    <w:tmpl w:val="302A324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74E2B"/>
    <w:multiLevelType w:val="hybridMultilevel"/>
    <w:tmpl w:val="3604B12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EB3B0D"/>
    <w:multiLevelType w:val="hybridMultilevel"/>
    <w:tmpl w:val="443A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21"/>
  </w:num>
  <w:num w:numId="4">
    <w:abstractNumId w:val="14"/>
  </w:num>
  <w:num w:numId="5">
    <w:abstractNumId w:val="15"/>
  </w:num>
  <w:num w:numId="6">
    <w:abstractNumId w:val="0"/>
  </w:num>
  <w:num w:numId="7">
    <w:abstractNumId w:val="3"/>
  </w:num>
  <w:num w:numId="8">
    <w:abstractNumId w:val="6"/>
  </w:num>
  <w:num w:numId="9">
    <w:abstractNumId w:val="7"/>
  </w:num>
  <w:num w:numId="10">
    <w:abstractNumId w:val="8"/>
  </w:num>
  <w:num w:numId="11">
    <w:abstractNumId w:val="11"/>
  </w:num>
  <w:num w:numId="12">
    <w:abstractNumId w:val="9"/>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2"/>
  </w:num>
  <w:num w:numId="18">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8"/>
  </w:num>
  <w:num w:numId="22">
    <w:abstractNumId w:val="18"/>
  </w:num>
  <w:num w:numId="23">
    <w:abstractNumId w:val="20"/>
  </w:num>
  <w:num w:numId="24">
    <w:abstractNumId w:val="8"/>
  </w:num>
  <w:num w:numId="25">
    <w:abstractNumId w:val="19"/>
  </w:num>
  <w:num w:numId="26">
    <w:abstractNumId w:val="7"/>
  </w:num>
  <w:num w:numId="27">
    <w:abstractNumId w:val="12"/>
  </w:num>
  <w:num w:numId="28">
    <w:abstractNumId w:val="23"/>
  </w:num>
  <w:num w:numId="29">
    <w:abstractNumId w:val="13"/>
  </w:num>
  <w:num w:numId="30">
    <w:abstractNumId w:val="2"/>
  </w:num>
  <w:num w:numId="31">
    <w:abstractNumId w:val="4"/>
  </w:num>
  <w:num w:numId="32">
    <w:abstractNumId w:val="16"/>
  </w:num>
  <w:num w:numId="3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83"/>
    <w:rsid w:val="00000441"/>
    <w:rsid w:val="00000CF9"/>
    <w:rsid w:val="000020BD"/>
    <w:rsid w:val="00003599"/>
    <w:rsid w:val="00006590"/>
    <w:rsid w:val="000069A4"/>
    <w:rsid w:val="000069F9"/>
    <w:rsid w:val="0000727D"/>
    <w:rsid w:val="0000793F"/>
    <w:rsid w:val="000119FB"/>
    <w:rsid w:val="00014990"/>
    <w:rsid w:val="00016A22"/>
    <w:rsid w:val="00016E5E"/>
    <w:rsid w:val="00017610"/>
    <w:rsid w:val="000205C6"/>
    <w:rsid w:val="00021F11"/>
    <w:rsid w:val="00021FB0"/>
    <w:rsid w:val="000221AA"/>
    <w:rsid w:val="00023146"/>
    <w:rsid w:val="0002331F"/>
    <w:rsid w:val="00023F26"/>
    <w:rsid w:val="000249F8"/>
    <w:rsid w:val="00026058"/>
    <w:rsid w:val="00026E82"/>
    <w:rsid w:val="00027E2A"/>
    <w:rsid w:val="00030676"/>
    <w:rsid w:val="00030714"/>
    <w:rsid w:val="00032FB9"/>
    <w:rsid w:val="0003322C"/>
    <w:rsid w:val="00033A69"/>
    <w:rsid w:val="00034110"/>
    <w:rsid w:val="00035AC1"/>
    <w:rsid w:val="00035F3F"/>
    <w:rsid w:val="000368FC"/>
    <w:rsid w:val="0003717D"/>
    <w:rsid w:val="000376EE"/>
    <w:rsid w:val="0004169D"/>
    <w:rsid w:val="000421F8"/>
    <w:rsid w:val="00043262"/>
    <w:rsid w:val="0004547B"/>
    <w:rsid w:val="00045528"/>
    <w:rsid w:val="00050A25"/>
    <w:rsid w:val="00052063"/>
    <w:rsid w:val="00055DDF"/>
    <w:rsid w:val="00057724"/>
    <w:rsid w:val="00061C83"/>
    <w:rsid w:val="00065881"/>
    <w:rsid w:val="0006624B"/>
    <w:rsid w:val="00067173"/>
    <w:rsid w:val="00067D71"/>
    <w:rsid w:val="000711F1"/>
    <w:rsid w:val="00071C50"/>
    <w:rsid w:val="00072ED1"/>
    <w:rsid w:val="000737F3"/>
    <w:rsid w:val="00073DA8"/>
    <w:rsid w:val="00074AB4"/>
    <w:rsid w:val="000755E6"/>
    <w:rsid w:val="00076028"/>
    <w:rsid w:val="000764D3"/>
    <w:rsid w:val="00080A47"/>
    <w:rsid w:val="00082F77"/>
    <w:rsid w:val="000845AA"/>
    <w:rsid w:val="000854EE"/>
    <w:rsid w:val="00085C5A"/>
    <w:rsid w:val="000862FC"/>
    <w:rsid w:val="00087323"/>
    <w:rsid w:val="000879ED"/>
    <w:rsid w:val="00087C8B"/>
    <w:rsid w:val="00093649"/>
    <w:rsid w:val="00096246"/>
    <w:rsid w:val="000969EA"/>
    <w:rsid w:val="000A0A6E"/>
    <w:rsid w:val="000A4016"/>
    <w:rsid w:val="000A527C"/>
    <w:rsid w:val="000A6C40"/>
    <w:rsid w:val="000B1027"/>
    <w:rsid w:val="000B11C5"/>
    <w:rsid w:val="000B1730"/>
    <w:rsid w:val="000B594D"/>
    <w:rsid w:val="000B70D6"/>
    <w:rsid w:val="000B7F7A"/>
    <w:rsid w:val="000C04A1"/>
    <w:rsid w:val="000C0D3D"/>
    <w:rsid w:val="000C194F"/>
    <w:rsid w:val="000C2141"/>
    <w:rsid w:val="000C2222"/>
    <w:rsid w:val="000C24BD"/>
    <w:rsid w:val="000C52FE"/>
    <w:rsid w:val="000C7A12"/>
    <w:rsid w:val="000C7BF5"/>
    <w:rsid w:val="000D09ED"/>
    <w:rsid w:val="000D0A87"/>
    <w:rsid w:val="000D0FB1"/>
    <w:rsid w:val="000D11B8"/>
    <w:rsid w:val="000D145B"/>
    <w:rsid w:val="000D48E3"/>
    <w:rsid w:val="000D6016"/>
    <w:rsid w:val="000D6FFD"/>
    <w:rsid w:val="000D7185"/>
    <w:rsid w:val="000E1CED"/>
    <w:rsid w:val="000E24BD"/>
    <w:rsid w:val="000E29D1"/>
    <w:rsid w:val="000E315C"/>
    <w:rsid w:val="000E4CAD"/>
    <w:rsid w:val="000E56EF"/>
    <w:rsid w:val="000E6F19"/>
    <w:rsid w:val="000F1B3B"/>
    <w:rsid w:val="000F1E3F"/>
    <w:rsid w:val="000F2A4D"/>
    <w:rsid w:val="000F3DBC"/>
    <w:rsid w:val="000F42E4"/>
    <w:rsid w:val="000F48EC"/>
    <w:rsid w:val="000F4C43"/>
    <w:rsid w:val="000F5D8D"/>
    <w:rsid w:val="00100485"/>
    <w:rsid w:val="001017A9"/>
    <w:rsid w:val="00101F34"/>
    <w:rsid w:val="001025C8"/>
    <w:rsid w:val="001030E1"/>
    <w:rsid w:val="001033D5"/>
    <w:rsid w:val="001039F7"/>
    <w:rsid w:val="00105409"/>
    <w:rsid w:val="001054E5"/>
    <w:rsid w:val="00107DBD"/>
    <w:rsid w:val="00110CC7"/>
    <w:rsid w:val="00111461"/>
    <w:rsid w:val="00113666"/>
    <w:rsid w:val="00113EFF"/>
    <w:rsid w:val="00115E15"/>
    <w:rsid w:val="001169FE"/>
    <w:rsid w:val="00116D19"/>
    <w:rsid w:val="00117513"/>
    <w:rsid w:val="00120F40"/>
    <w:rsid w:val="00121A4E"/>
    <w:rsid w:val="00121E78"/>
    <w:rsid w:val="001230AC"/>
    <w:rsid w:val="00123EBB"/>
    <w:rsid w:val="00123F4B"/>
    <w:rsid w:val="00124604"/>
    <w:rsid w:val="00126302"/>
    <w:rsid w:val="001265C0"/>
    <w:rsid w:val="00130422"/>
    <w:rsid w:val="00130B6F"/>
    <w:rsid w:val="00132DF5"/>
    <w:rsid w:val="0013342B"/>
    <w:rsid w:val="001337B7"/>
    <w:rsid w:val="00133921"/>
    <w:rsid w:val="001344B3"/>
    <w:rsid w:val="00137D33"/>
    <w:rsid w:val="00140C93"/>
    <w:rsid w:val="0014317B"/>
    <w:rsid w:val="00143536"/>
    <w:rsid w:val="00144A23"/>
    <w:rsid w:val="00144E72"/>
    <w:rsid w:val="00145B2F"/>
    <w:rsid w:val="00150440"/>
    <w:rsid w:val="00151D8E"/>
    <w:rsid w:val="0015308E"/>
    <w:rsid w:val="00154394"/>
    <w:rsid w:val="00155806"/>
    <w:rsid w:val="0015583A"/>
    <w:rsid w:val="00155BD7"/>
    <w:rsid w:val="001570BC"/>
    <w:rsid w:val="00157982"/>
    <w:rsid w:val="001579BF"/>
    <w:rsid w:val="00161383"/>
    <w:rsid w:val="00161AA0"/>
    <w:rsid w:val="00164FD7"/>
    <w:rsid w:val="001662BC"/>
    <w:rsid w:val="0017072D"/>
    <w:rsid w:val="00170B60"/>
    <w:rsid w:val="001712C8"/>
    <w:rsid w:val="001719BF"/>
    <w:rsid w:val="00171A2B"/>
    <w:rsid w:val="00172BB8"/>
    <w:rsid w:val="001764F9"/>
    <w:rsid w:val="00176FB2"/>
    <w:rsid w:val="001823EB"/>
    <w:rsid w:val="00184A64"/>
    <w:rsid w:val="0018716E"/>
    <w:rsid w:val="001873CB"/>
    <w:rsid w:val="001873EC"/>
    <w:rsid w:val="00191B56"/>
    <w:rsid w:val="00193945"/>
    <w:rsid w:val="001956FC"/>
    <w:rsid w:val="0019579C"/>
    <w:rsid w:val="00196F8F"/>
    <w:rsid w:val="00196FE1"/>
    <w:rsid w:val="0019718A"/>
    <w:rsid w:val="001A030E"/>
    <w:rsid w:val="001A0681"/>
    <w:rsid w:val="001A1AE2"/>
    <w:rsid w:val="001A1B8F"/>
    <w:rsid w:val="001A36A7"/>
    <w:rsid w:val="001A5561"/>
    <w:rsid w:val="001A6151"/>
    <w:rsid w:val="001A79DF"/>
    <w:rsid w:val="001B0EE8"/>
    <w:rsid w:val="001B2DD8"/>
    <w:rsid w:val="001B6CEF"/>
    <w:rsid w:val="001B7E00"/>
    <w:rsid w:val="001C0EF4"/>
    <w:rsid w:val="001C4C0E"/>
    <w:rsid w:val="001C59E4"/>
    <w:rsid w:val="001C6DD1"/>
    <w:rsid w:val="001D1D43"/>
    <w:rsid w:val="001D3865"/>
    <w:rsid w:val="001D392D"/>
    <w:rsid w:val="001D7DF4"/>
    <w:rsid w:val="001E27E5"/>
    <w:rsid w:val="001E2CAF"/>
    <w:rsid w:val="001E4D37"/>
    <w:rsid w:val="001F1400"/>
    <w:rsid w:val="001F30C7"/>
    <w:rsid w:val="001F6078"/>
    <w:rsid w:val="001F7251"/>
    <w:rsid w:val="001F738E"/>
    <w:rsid w:val="00201D68"/>
    <w:rsid w:val="00204F82"/>
    <w:rsid w:val="0021081C"/>
    <w:rsid w:val="002119CD"/>
    <w:rsid w:val="002159C9"/>
    <w:rsid w:val="00217FB0"/>
    <w:rsid w:val="002218BC"/>
    <w:rsid w:val="00221DEA"/>
    <w:rsid w:val="00222BEA"/>
    <w:rsid w:val="00225439"/>
    <w:rsid w:val="00225F9B"/>
    <w:rsid w:val="002262E3"/>
    <w:rsid w:val="00232061"/>
    <w:rsid w:val="00232187"/>
    <w:rsid w:val="00235945"/>
    <w:rsid w:val="00235CAB"/>
    <w:rsid w:val="00241B5C"/>
    <w:rsid w:val="00251151"/>
    <w:rsid w:val="00253EB9"/>
    <w:rsid w:val="002550B9"/>
    <w:rsid w:val="002555BE"/>
    <w:rsid w:val="00255679"/>
    <w:rsid w:val="00256399"/>
    <w:rsid w:val="00257B1C"/>
    <w:rsid w:val="002614EA"/>
    <w:rsid w:val="00263BA7"/>
    <w:rsid w:val="00264971"/>
    <w:rsid w:val="00265B0E"/>
    <w:rsid w:val="00273E4A"/>
    <w:rsid w:val="00282C30"/>
    <w:rsid w:val="00282D7E"/>
    <w:rsid w:val="00290445"/>
    <w:rsid w:val="00292044"/>
    <w:rsid w:val="00293811"/>
    <w:rsid w:val="00295D7F"/>
    <w:rsid w:val="002A151A"/>
    <w:rsid w:val="002A1735"/>
    <w:rsid w:val="002A2687"/>
    <w:rsid w:val="002A4A77"/>
    <w:rsid w:val="002A5C23"/>
    <w:rsid w:val="002A686F"/>
    <w:rsid w:val="002A6CFE"/>
    <w:rsid w:val="002A73F0"/>
    <w:rsid w:val="002B0DD2"/>
    <w:rsid w:val="002B25F5"/>
    <w:rsid w:val="002B3340"/>
    <w:rsid w:val="002B5772"/>
    <w:rsid w:val="002B6D1D"/>
    <w:rsid w:val="002C0551"/>
    <w:rsid w:val="002C05A9"/>
    <w:rsid w:val="002C0F04"/>
    <w:rsid w:val="002C257D"/>
    <w:rsid w:val="002C2774"/>
    <w:rsid w:val="002C381D"/>
    <w:rsid w:val="002D45D5"/>
    <w:rsid w:val="002D49E0"/>
    <w:rsid w:val="002D59D3"/>
    <w:rsid w:val="002D6DB8"/>
    <w:rsid w:val="002D79A7"/>
    <w:rsid w:val="002E2CDE"/>
    <w:rsid w:val="002E3F68"/>
    <w:rsid w:val="002E5C16"/>
    <w:rsid w:val="002E73E7"/>
    <w:rsid w:val="002F0AA7"/>
    <w:rsid w:val="002F1769"/>
    <w:rsid w:val="002F1B28"/>
    <w:rsid w:val="002F2583"/>
    <w:rsid w:val="002F279A"/>
    <w:rsid w:val="002F2C1A"/>
    <w:rsid w:val="002F2D84"/>
    <w:rsid w:val="002F4F5B"/>
    <w:rsid w:val="002F68FE"/>
    <w:rsid w:val="002F7E26"/>
    <w:rsid w:val="003002B1"/>
    <w:rsid w:val="00300DF8"/>
    <w:rsid w:val="00303156"/>
    <w:rsid w:val="00303896"/>
    <w:rsid w:val="003040AB"/>
    <w:rsid w:val="00304616"/>
    <w:rsid w:val="003107AB"/>
    <w:rsid w:val="0031127A"/>
    <w:rsid w:val="00311A01"/>
    <w:rsid w:val="00313FFE"/>
    <w:rsid w:val="003154E8"/>
    <w:rsid w:val="00315C29"/>
    <w:rsid w:val="0031664C"/>
    <w:rsid w:val="00322B29"/>
    <w:rsid w:val="003245B2"/>
    <w:rsid w:val="00324997"/>
    <w:rsid w:val="003256B1"/>
    <w:rsid w:val="00331545"/>
    <w:rsid w:val="003330E6"/>
    <w:rsid w:val="0033333E"/>
    <w:rsid w:val="003368C0"/>
    <w:rsid w:val="00342995"/>
    <w:rsid w:val="00343439"/>
    <w:rsid w:val="00343B53"/>
    <w:rsid w:val="003445F1"/>
    <w:rsid w:val="003459E9"/>
    <w:rsid w:val="00346BA7"/>
    <w:rsid w:val="00351803"/>
    <w:rsid w:val="00354915"/>
    <w:rsid w:val="00354BDE"/>
    <w:rsid w:val="003566C3"/>
    <w:rsid w:val="00364E30"/>
    <w:rsid w:val="00366038"/>
    <w:rsid w:val="00372031"/>
    <w:rsid w:val="003738C2"/>
    <w:rsid w:val="00373998"/>
    <w:rsid w:val="00383594"/>
    <w:rsid w:val="00383AB5"/>
    <w:rsid w:val="0038421C"/>
    <w:rsid w:val="003847B9"/>
    <w:rsid w:val="00385E85"/>
    <w:rsid w:val="0039118D"/>
    <w:rsid w:val="00391AC8"/>
    <w:rsid w:val="00392F37"/>
    <w:rsid w:val="00392F78"/>
    <w:rsid w:val="00392FB4"/>
    <w:rsid w:val="00394DFF"/>
    <w:rsid w:val="00395C05"/>
    <w:rsid w:val="003A0250"/>
    <w:rsid w:val="003A04CD"/>
    <w:rsid w:val="003A11AB"/>
    <w:rsid w:val="003A1F14"/>
    <w:rsid w:val="003A213D"/>
    <w:rsid w:val="003A2917"/>
    <w:rsid w:val="003A3974"/>
    <w:rsid w:val="003A57F4"/>
    <w:rsid w:val="003A5838"/>
    <w:rsid w:val="003B0BC2"/>
    <w:rsid w:val="003B171F"/>
    <w:rsid w:val="003B37BB"/>
    <w:rsid w:val="003C36AC"/>
    <w:rsid w:val="003C4337"/>
    <w:rsid w:val="003C7EF9"/>
    <w:rsid w:val="003D4695"/>
    <w:rsid w:val="003D68D5"/>
    <w:rsid w:val="003D7050"/>
    <w:rsid w:val="003E14CF"/>
    <w:rsid w:val="003E15F4"/>
    <w:rsid w:val="003E684C"/>
    <w:rsid w:val="003F0A4E"/>
    <w:rsid w:val="003F168A"/>
    <w:rsid w:val="003F64FE"/>
    <w:rsid w:val="00401B7C"/>
    <w:rsid w:val="00407CFB"/>
    <w:rsid w:val="00407D59"/>
    <w:rsid w:val="00410305"/>
    <w:rsid w:val="004128E7"/>
    <w:rsid w:val="0041525E"/>
    <w:rsid w:val="00415939"/>
    <w:rsid w:val="00420742"/>
    <w:rsid w:val="00421005"/>
    <w:rsid w:val="00421650"/>
    <w:rsid w:val="00425660"/>
    <w:rsid w:val="00425E03"/>
    <w:rsid w:val="00426AED"/>
    <w:rsid w:val="00427F33"/>
    <w:rsid w:val="00431372"/>
    <w:rsid w:val="004317AC"/>
    <w:rsid w:val="00432E08"/>
    <w:rsid w:val="00433564"/>
    <w:rsid w:val="00437CA3"/>
    <w:rsid w:val="0044027B"/>
    <w:rsid w:val="004408F8"/>
    <w:rsid w:val="0044176F"/>
    <w:rsid w:val="004418F0"/>
    <w:rsid w:val="0044648F"/>
    <w:rsid w:val="00446DA2"/>
    <w:rsid w:val="004475F9"/>
    <w:rsid w:val="00452E2F"/>
    <w:rsid w:val="00457843"/>
    <w:rsid w:val="00462002"/>
    <w:rsid w:val="0046212F"/>
    <w:rsid w:val="00462733"/>
    <w:rsid w:val="00463227"/>
    <w:rsid w:val="00463973"/>
    <w:rsid w:val="00464607"/>
    <w:rsid w:val="00464694"/>
    <w:rsid w:val="00465B9D"/>
    <w:rsid w:val="00466674"/>
    <w:rsid w:val="00471113"/>
    <w:rsid w:val="00471200"/>
    <w:rsid w:val="00472FF8"/>
    <w:rsid w:val="00475F03"/>
    <w:rsid w:val="004804B3"/>
    <w:rsid w:val="00481E06"/>
    <w:rsid w:val="004820E9"/>
    <w:rsid w:val="00483119"/>
    <w:rsid w:val="0048361F"/>
    <w:rsid w:val="004845D0"/>
    <w:rsid w:val="004852FF"/>
    <w:rsid w:val="00492FDA"/>
    <w:rsid w:val="00494E73"/>
    <w:rsid w:val="0049761B"/>
    <w:rsid w:val="004A2830"/>
    <w:rsid w:val="004A4769"/>
    <w:rsid w:val="004B00E7"/>
    <w:rsid w:val="004B514C"/>
    <w:rsid w:val="004B53AF"/>
    <w:rsid w:val="004B6A83"/>
    <w:rsid w:val="004B7D57"/>
    <w:rsid w:val="004C00D8"/>
    <w:rsid w:val="004C22D8"/>
    <w:rsid w:val="004C30C1"/>
    <w:rsid w:val="004C3DAD"/>
    <w:rsid w:val="004C5923"/>
    <w:rsid w:val="004C6116"/>
    <w:rsid w:val="004C79DE"/>
    <w:rsid w:val="004C7C61"/>
    <w:rsid w:val="004C7ECA"/>
    <w:rsid w:val="004D0DFD"/>
    <w:rsid w:val="004D1273"/>
    <w:rsid w:val="004D1FBE"/>
    <w:rsid w:val="004D4A86"/>
    <w:rsid w:val="004D6220"/>
    <w:rsid w:val="004D7664"/>
    <w:rsid w:val="004E074F"/>
    <w:rsid w:val="004E6427"/>
    <w:rsid w:val="004E7625"/>
    <w:rsid w:val="004E7E43"/>
    <w:rsid w:val="004F1956"/>
    <w:rsid w:val="004F5FC6"/>
    <w:rsid w:val="004F69FA"/>
    <w:rsid w:val="00500003"/>
    <w:rsid w:val="00500CCA"/>
    <w:rsid w:val="005037B2"/>
    <w:rsid w:val="0050455E"/>
    <w:rsid w:val="005047AD"/>
    <w:rsid w:val="005056D9"/>
    <w:rsid w:val="005073C8"/>
    <w:rsid w:val="00510B1D"/>
    <w:rsid w:val="0051107D"/>
    <w:rsid w:val="00511167"/>
    <w:rsid w:val="00514D1D"/>
    <w:rsid w:val="00517C9C"/>
    <w:rsid w:val="00522419"/>
    <w:rsid w:val="005236A1"/>
    <w:rsid w:val="00523768"/>
    <w:rsid w:val="00526C07"/>
    <w:rsid w:val="005273A6"/>
    <w:rsid w:val="00527533"/>
    <w:rsid w:val="005275A1"/>
    <w:rsid w:val="00527E88"/>
    <w:rsid w:val="0053387C"/>
    <w:rsid w:val="00534F74"/>
    <w:rsid w:val="00536789"/>
    <w:rsid w:val="00536D2F"/>
    <w:rsid w:val="00540052"/>
    <w:rsid w:val="0054146B"/>
    <w:rsid w:val="00541865"/>
    <w:rsid w:val="00543999"/>
    <w:rsid w:val="00543A69"/>
    <w:rsid w:val="00543DB4"/>
    <w:rsid w:val="00543E08"/>
    <w:rsid w:val="005449AD"/>
    <w:rsid w:val="005505ED"/>
    <w:rsid w:val="00551F1F"/>
    <w:rsid w:val="0055652C"/>
    <w:rsid w:val="00561092"/>
    <w:rsid w:val="00564A45"/>
    <w:rsid w:val="00564B04"/>
    <w:rsid w:val="00564EC1"/>
    <w:rsid w:val="00570524"/>
    <w:rsid w:val="00573059"/>
    <w:rsid w:val="005733B5"/>
    <w:rsid w:val="0057621E"/>
    <w:rsid w:val="0057791A"/>
    <w:rsid w:val="005779FF"/>
    <w:rsid w:val="00577B05"/>
    <w:rsid w:val="00580D6F"/>
    <w:rsid w:val="005812C6"/>
    <w:rsid w:val="0058382A"/>
    <w:rsid w:val="00586A9F"/>
    <w:rsid w:val="005948FA"/>
    <w:rsid w:val="005959BE"/>
    <w:rsid w:val="00596210"/>
    <w:rsid w:val="00596286"/>
    <w:rsid w:val="0059643A"/>
    <w:rsid w:val="00596999"/>
    <w:rsid w:val="005A0F31"/>
    <w:rsid w:val="005A1734"/>
    <w:rsid w:val="005A28A1"/>
    <w:rsid w:val="005A46D0"/>
    <w:rsid w:val="005A6FB5"/>
    <w:rsid w:val="005B25E4"/>
    <w:rsid w:val="005B30C8"/>
    <w:rsid w:val="005B7778"/>
    <w:rsid w:val="005C0045"/>
    <w:rsid w:val="005C051F"/>
    <w:rsid w:val="005C140D"/>
    <w:rsid w:val="005C3772"/>
    <w:rsid w:val="005C6E7B"/>
    <w:rsid w:val="005C762E"/>
    <w:rsid w:val="005D098C"/>
    <w:rsid w:val="005D3FD9"/>
    <w:rsid w:val="005D6BE6"/>
    <w:rsid w:val="005E0678"/>
    <w:rsid w:val="005E142C"/>
    <w:rsid w:val="005E2139"/>
    <w:rsid w:val="005E46BB"/>
    <w:rsid w:val="005E518D"/>
    <w:rsid w:val="005E6D3B"/>
    <w:rsid w:val="005E7605"/>
    <w:rsid w:val="005F3FF5"/>
    <w:rsid w:val="006001CC"/>
    <w:rsid w:val="00602B4D"/>
    <w:rsid w:val="00603C94"/>
    <w:rsid w:val="006048E0"/>
    <w:rsid w:val="00604F41"/>
    <w:rsid w:val="00604FAD"/>
    <w:rsid w:val="0060662A"/>
    <w:rsid w:val="00607961"/>
    <w:rsid w:val="00612789"/>
    <w:rsid w:val="00613D24"/>
    <w:rsid w:val="00614664"/>
    <w:rsid w:val="00614BDA"/>
    <w:rsid w:val="00615FB7"/>
    <w:rsid w:val="006217FE"/>
    <w:rsid w:val="00621AFB"/>
    <w:rsid w:val="00624C72"/>
    <w:rsid w:val="0062589A"/>
    <w:rsid w:val="006307C7"/>
    <w:rsid w:val="00632B82"/>
    <w:rsid w:val="006331B4"/>
    <w:rsid w:val="006343F3"/>
    <w:rsid w:val="00634AC3"/>
    <w:rsid w:val="006361DB"/>
    <w:rsid w:val="006361F8"/>
    <w:rsid w:val="00637148"/>
    <w:rsid w:val="00640CF2"/>
    <w:rsid w:val="006417D6"/>
    <w:rsid w:val="00642906"/>
    <w:rsid w:val="00643048"/>
    <w:rsid w:val="00643582"/>
    <w:rsid w:val="00643B75"/>
    <w:rsid w:val="006457EF"/>
    <w:rsid w:val="00650F96"/>
    <w:rsid w:val="006512B7"/>
    <w:rsid w:val="00651C22"/>
    <w:rsid w:val="00653D98"/>
    <w:rsid w:val="00654786"/>
    <w:rsid w:val="00655679"/>
    <w:rsid w:val="00655B4D"/>
    <w:rsid w:val="00655ED5"/>
    <w:rsid w:val="00662751"/>
    <w:rsid w:val="00663529"/>
    <w:rsid w:val="00663F55"/>
    <w:rsid w:val="0066473B"/>
    <w:rsid w:val="00664D5D"/>
    <w:rsid w:val="00664EB4"/>
    <w:rsid w:val="00665734"/>
    <w:rsid w:val="00671977"/>
    <w:rsid w:val="00671D80"/>
    <w:rsid w:val="00672A28"/>
    <w:rsid w:val="00672EFB"/>
    <w:rsid w:val="006739CF"/>
    <w:rsid w:val="0067752C"/>
    <w:rsid w:val="006776A2"/>
    <w:rsid w:val="006801A6"/>
    <w:rsid w:val="0068073D"/>
    <w:rsid w:val="0068124B"/>
    <w:rsid w:val="00681610"/>
    <w:rsid w:val="00684AD6"/>
    <w:rsid w:val="00685149"/>
    <w:rsid w:val="00685D36"/>
    <w:rsid w:val="00686483"/>
    <w:rsid w:val="00687304"/>
    <w:rsid w:val="006907ED"/>
    <w:rsid w:val="00692C71"/>
    <w:rsid w:val="006931A0"/>
    <w:rsid w:val="006935BC"/>
    <w:rsid w:val="006941AF"/>
    <w:rsid w:val="00696E55"/>
    <w:rsid w:val="00696F63"/>
    <w:rsid w:val="006A0B0E"/>
    <w:rsid w:val="006A1540"/>
    <w:rsid w:val="006A2050"/>
    <w:rsid w:val="006A31EF"/>
    <w:rsid w:val="006A330C"/>
    <w:rsid w:val="006A3A9C"/>
    <w:rsid w:val="006A3CC5"/>
    <w:rsid w:val="006A721F"/>
    <w:rsid w:val="006A7CCF"/>
    <w:rsid w:val="006B0581"/>
    <w:rsid w:val="006B0F36"/>
    <w:rsid w:val="006B30FD"/>
    <w:rsid w:val="006B4254"/>
    <w:rsid w:val="006B4510"/>
    <w:rsid w:val="006B4D4A"/>
    <w:rsid w:val="006B5CB4"/>
    <w:rsid w:val="006B6DCF"/>
    <w:rsid w:val="006B791B"/>
    <w:rsid w:val="006C199E"/>
    <w:rsid w:val="006C3721"/>
    <w:rsid w:val="006C4793"/>
    <w:rsid w:val="006C6D5B"/>
    <w:rsid w:val="006C77CE"/>
    <w:rsid w:val="006D36FB"/>
    <w:rsid w:val="006D42ED"/>
    <w:rsid w:val="006D4D1A"/>
    <w:rsid w:val="006D73F1"/>
    <w:rsid w:val="006E2A29"/>
    <w:rsid w:val="006E3514"/>
    <w:rsid w:val="006E3D6A"/>
    <w:rsid w:val="006E46B6"/>
    <w:rsid w:val="006E7421"/>
    <w:rsid w:val="006E7647"/>
    <w:rsid w:val="006F162C"/>
    <w:rsid w:val="006F1DA8"/>
    <w:rsid w:val="006F22E9"/>
    <w:rsid w:val="006F4CFA"/>
    <w:rsid w:val="006F5310"/>
    <w:rsid w:val="006F696E"/>
    <w:rsid w:val="006F6B91"/>
    <w:rsid w:val="00700F30"/>
    <w:rsid w:val="00703E39"/>
    <w:rsid w:val="007040CB"/>
    <w:rsid w:val="0070523B"/>
    <w:rsid w:val="00707785"/>
    <w:rsid w:val="00707D16"/>
    <w:rsid w:val="007102E2"/>
    <w:rsid w:val="00710E39"/>
    <w:rsid w:val="007117A3"/>
    <w:rsid w:val="007133E1"/>
    <w:rsid w:val="00714A3A"/>
    <w:rsid w:val="00714F06"/>
    <w:rsid w:val="00715E8A"/>
    <w:rsid w:val="00716897"/>
    <w:rsid w:val="00717226"/>
    <w:rsid w:val="00720E02"/>
    <w:rsid w:val="00720FDD"/>
    <w:rsid w:val="0072118E"/>
    <w:rsid w:val="00721FBF"/>
    <w:rsid w:val="00722883"/>
    <w:rsid w:val="00723AF0"/>
    <w:rsid w:val="00724F1C"/>
    <w:rsid w:val="00727911"/>
    <w:rsid w:val="0073007E"/>
    <w:rsid w:val="00730A5E"/>
    <w:rsid w:val="007311E2"/>
    <w:rsid w:val="00732519"/>
    <w:rsid w:val="0073365B"/>
    <w:rsid w:val="00734F5A"/>
    <w:rsid w:val="0073579D"/>
    <w:rsid w:val="00736D97"/>
    <w:rsid w:val="00737CEF"/>
    <w:rsid w:val="00737DDA"/>
    <w:rsid w:val="007406F6"/>
    <w:rsid w:val="00741327"/>
    <w:rsid w:val="007413DF"/>
    <w:rsid w:val="00741821"/>
    <w:rsid w:val="0074426D"/>
    <w:rsid w:val="0074546C"/>
    <w:rsid w:val="007462ED"/>
    <w:rsid w:val="00746B57"/>
    <w:rsid w:val="00747D90"/>
    <w:rsid w:val="007501B9"/>
    <w:rsid w:val="00751CB9"/>
    <w:rsid w:val="00752D9F"/>
    <w:rsid w:val="0075508D"/>
    <w:rsid w:val="0075624F"/>
    <w:rsid w:val="00756D96"/>
    <w:rsid w:val="007611E5"/>
    <w:rsid w:val="007620C2"/>
    <w:rsid w:val="00762D70"/>
    <w:rsid w:val="00763641"/>
    <w:rsid w:val="00763D94"/>
    <w:rsid w:val="007668BA"/>
    <w:rsid w:val="00766E9F"/>
    <w:rsid w:val="00767A46"/>
    <w:rsid w:val="00770596"/>
    <w:rsid w:val="00771D72"/>
    <w:rsid w:val="0077277D"/>
    <w:rsid w:val="007747D4"/>
    <w:rsid w:val="00774963"/>
    <w:rsid w:val="00774DD3"/>
    <w:rsid w:val="00781B7F"/>
    <w:rsid w:val="00782DCB"/>
    <w:rsid w:val="00784156"/>
    <w:rsid w:val="00784F57"/>
    <w:rsid w:val="00786CB9"/>
    <w:rsid w:val="007870B4"/>
    <w:rsid w:val="00787659"/>
    <w:rsid w:val="00791598"/>
    <w:rsid w:val="007933B3"/>
    <w:rsid w:val="00793C34"/>
    <w:rsid w:val="00794D72"/>
    <w:rsid w:val="00796CFF"/>
    <w:rsid w:val="007977DD"/>
    <w:rsid w:val="00797B21"/>
    <w:rsid w:val="007A048E"/>
    <w:rsid w:val="007A19AF"/>
    <w:rsid w:val="007A1E9D"/>
    <w:rsid w:val="007A2801"/>
    <w:rsid w:val="007A2968"/>
    <w:rsid w:val="007A4EEE"/>
    <w:rsid w:val="007A6DAA"/>
    <w:rsid w:val="007A7A62"/>
    <w:rsid w:val="007A7E26"/>
    <w:rsid w:val="007A7EC8"/>
    <w:rsid w:val="007B032C"/>
    <w:rsid w:val="007B1AF8"/>
    <w:rsid w:val="007B2A16"/>
    <w:rsid w:val="007B4B3F"/>
    <w:rsid w:val="007B675F"/>
    <w:rsid w:val="007B787D"/>
    <w:rsid w:val="007B7B7B"/>
    <w:rsid w:val="007C3165"/>
    <w:rsid w:val="007C58D6"/>
    <w:rsid w:val="007C719D"/>
    <w:rsid w:val="007C732D"/>
    <w:rsid w:val="007D1008"/>
    <w:rsid w:val="007D5B27"/>
    <w:rsid w:val="007D5C80"/>
    <w:rsid w:val="007D62AE"/>
    <w:rsid w:val="007E013D"/>
    <w:rsid w:val="007E2754"/>
    <w:rsid w:val="007E4A68"/>
    <w:rsid w:val="007E5818"/>
    <w:rsid w:val="007E61A7"/>
    <w:rsid w:val="007E65D7"/>
    <w:rsid w:val="007F227E"/>
    <w:rsid w:val="007F264C"/>
    <w:rsid w:val="007F462B"/>
    <w:rsid w:val="007F6930"/>
    <w:rsid w:val="0080089C"/>
    <w:rsid w:val="008031ED"/>
    <w:rsid w:val="00803318"/>
    <w:rsid w:val="00803456"/>
    <w:rsid w:val="0080390A"/>
    <w:rsid w:val="00811BBD"/>
    <w:rsid w:val="00812976"/>
    <w:rsid w:val="00813F79"/>
    <w:rsid w:val="00814DEF"/>
    <w:rsid w:val="00815268"/>
    <w:rsid w:val="00817CE4"/>
    <w:rsid w:val="00822376"/>
    <w:rsid w:val="0082239E"/>
    <w:rsid w:val="00825A87"/>
    <w:rsid w:val="00831B9B"/>
    <w:rsid w:val="00832B73"/>
    <w:rsid w:val="00835008"/>
    <w:rsid w:val="00842A7E"/>
    <w:rsid w:val="00844D3D"/>
    <w:rsid w:val="008452C7"/>
    <w:rsid w:val="0084532E"/>
    <w:rsid w:val="00845810"/>
    <w:rsid w:val="00845F3C"/>
    <w:rsid w:val="00846159"/>
    <w:rsid w:val="008502CA"/>
    <w:rsid w:val="008505C3"/>
    <w:rsid w:val="00851677"/>
    <w:rsid w:val="00852115"/>
    <w:rsid w:val="00852273"/>
    <w:rsid w:val="008522C6"/>
    <w:rsid w:val="00852E40"/>
    <w:rsid w:val="00856ECE"/>
    <w:rsid w:val="008576C9"/>
    <w:rsid w:val="00857A90"/>
    <w:rsid w:val="00857CDD"/>
    <w:rsid w:val="00860155"/>
    <w:rsid w:val="00860EA8"/>
    <w:rsid w:val="00862E0C"/>
    <w:rsid w:val="0086472B"/>
    <w:rsid w:val="0087368E"/>
    <w:rsid w:val="00875500"/>
    <w:rsid w:val="008802D9"/>
    <w:rsid w:val="00880B98"/>
    <w:rsid w:val="00881F26"/>
    <w:rsid w:val="00882884"/>
    <w:rsid w:val="008838A1"/>
    <w:rsid w:val="0088685E"/>
    <w:rsid w:val="0088689E"/>
    <w:rsid w:val="00890580"/>
    <w:rsid w:val="00890986"/>
    <w:rsid w:val="00891794"/>
    <w:rsid w:val="00891929"/>
    <w:rsid w:val="008926F8"/>
    <w:rsid w:val="00893176"/>
    <w:rsid w:val="00895446"/>
    <w:rsid w:val="00896608"/>
    <w:rsid w:val="008A05E4"/>
    <w:rsid w:val="008A2098"/>
    <w:rsid w:val="008A32D1"/>
    <w:rsid w:val="008A41A8"/>
    <w:rsid w:val="008A4863"/>
    <w:rsid w:val="008B03D8"/>
    <w:rsid w:val="008B4290"/>
    <w:rsid w:val="008B61CD"/>
    <w:rsid w:val="008C4A61"/>
    <w:rsid w:val="008C4CB3"/>
    <w:rsid w:val="008C4D02"/>
    <w:rsid w:val="008C4F0F"/>
    <w:rsid w:val="008C6CFD"/>
    <w:rsid w:val="008C7D07"/>
    <w:rsid w:val="008C7F38"/>
    <w:rsid w:val="008D168E"/>
    <w:rsid w:val="008D3B9E"/>
    <w:rsid w:val="008D4417"/>
    <w:rsid w:val="008D55C9"/>
    <w:rsid w:val="008E218F"/>
    <w:rsid w:val="008E7460"/>
    <w:rsid w:val="008E7585"/>
    <w:rsid w:val="008F118A"/>
    <w:rsid w:val="008F2E5C"/>
    <w:rsid w:val="008F3D77"/>
    <w:rsid w:val="008F44A9"/>
    <w:rsid w:val="008F646F"/>
    <w:rsid w:val="008F7100"/>
    <w:rsid w:val="008F7C40"/>
    <w:rsid w:val="009001D1"/>
    <w:rsid w:val="009046A4"/>
    <w:rsid w:val="00906982"/>
    <w:rsid w:val="009076D0"/>
    <w:rsid w:val="00910394"/>
    <w:rsid w:val="00914F38"/>
    <w:rsid w:val="0091776B"/>
    <w:rsid w:val="00920396"/>
    <w:rsid w:val="0092657D"/>
    <w:rsid w:val="00932B67"/>
    <w:rsid w:val="00935018"/>
    <w:rsid w:val="00936695"/>
    <w:rsid w:val="0093671F"/>
    <w:rsid w:val="00937D0C"/>
    <w:rsid w:val="00937F0D"/>
    <w:rsid w:val="00941D1F"/>
    <w:rsid w:val="0094366C"/>
    <w:rsid w:val="0094666B"/>
    <w:rsid w:val="009479C0"/>
    <w:rsid w:val="00950914"/>
    <w:rsid w:val="00950C51"/>
    <w:rsid w:val="00951973"/>
    <w:rsid w:val="0095252E"/>
    <w:rsid w:val="00952591"/>
    <w:rsid w:val="009528D5"/>
    <w:rsid w:val="00952C90"/>
    <w:rsid w:val="00953610"/>
    <w:rsid w:val="00953ADF"/>
    <w:rsid w:val="00953B55"/>
    <w:rsid w:val="0095579B"/>
    <w:rsid w:val="009561EC"/>
    <w:rsid w:val="00957269"/>
    <w:rsid w:val="009572D4"/>
    <w:rsid w:val="00957E73"/>
    <w:rsid w:val="0096135C"/>
    <w:rsid w:val="0096279B"/>
    <w:rsid w:val="00964258"/>
    <w:rsid w:val="00967B1B"/>
    <w:rsid w:val="00971BCF"/>
    <w:rsid w:val="009746D7"/>
    <w:rsid w:val="00975B09"/>
    <w:rsid w:val="009807E1"/>
    <w:rsid w:val="009808B4"/>
    <w:rsid w:val="00983391"/>
    <w:rsid w:val="009838F2"/>
    <w:rsid w:val="00984821"/>
    <w:rsid w:val="009854F0"/>
    <w:rsid w:val="00986169"/>
    <w:rsid w:val="00987078"/>
    <w:rsid w:val="009943C9"/>
    <w:rsid w:val="00995DD6"/>
    <w:rsid w:val="009961A7"/>
    <w:rsid w:val="0099682C"/>
    <w:rsid w:val="0099716A"/>
    <w:rsid w:val="009A0593"/>
    <w:rsid w:val="009A09C3"/>
    <w:rsid w:val="009A2797"/>
    <w:rsid w:val="009A2C14"/>
    <w:rsid w:val="009A3D97"/>
    <w:rsid w:val="009A3ED6"/>
    <w:rsid w:val="009A598B"/>
    <w:rsid w:val="009A5CBC"/>
    <w:rsid w:val="009A698B"/>
    <w:rsid w:val="009A7760"/>
    <w:rsid w:val="009B0A73"/>
    <w:rsid w:val="009B2D86"/>
    <w:rsid w:val="009B2E69"/>
    <w:rsid w:val="009B36FF"/>
    <w:rsid w:val="009B3F94"/>
    <w:rsid w:val="009B5E70"/>
    <w:rsid w:val="009B621A"/>
    <w:rsid w:val="009B624D"/>
    <w:rsid w:val="009B672F"/>
    <w:rsid w:val="009B6EAB"/>
    <w:rsid w:val="009B718D"/>
    <w:rsid w:val="009B7A76"/>
    <w:rsid w:val="009C0BCC"/>
    <w:rsid w:val="009C3FA3"/>
    <w:rsid w:val="009C4304"/>
    <w:rsid w:val="009C4497"/>
    <w:rsid w:val="009C45D9"/>
    <w:rsid w:val="009C6530"/>
    <w:rsid w:val="009C6F32"/>
    <w:rsid w:val="009D2BEF"/>
    <w:rsid w:val="009D358E"/>
    <w:rsid w:val="009D7187"/>
    <w:rsid w:val="009D783B"/>
    <w:rsid w:val="009E01DD"/>
    <w:rsid w:val="009E348F"/>
    <w:rsid w:val="009E359E"/>
    <w:rsid w:val="009E3BDE"/>
    <w:rsid w:val="009E547A"/>
    <w:rsid w:val="009E6729"/>
    <w:rsid w:val="009F30C8"/>
    <w:rsid w:val="009F4054"/>
    <w:rsid w:val="009F4161"/>
    <w:rsid w:val="009F53B3"/>
    <w:rsid w:val="009F58D8"/>
    <w:rsid w:val="009F69CA"/>
    <w:rsid w:val="009F6D91"/>
    <w:rsid w:val="00A02F7D"/>
    <w:rsid w:val="00A03791"/>
    <w:rsid w:val="00A05992"/>
    <w:rsid w:val="00A06657"/>
    <w:rsid w:val="00A12DA0"/>
    <w:rsid w:val="00A1514E"/>
    <w:rsid w:val="00A16DFA"/>
    <w:rsid w:val="00A17C0A"/>
    <w:rsid w:val="00A20BC8"/>
    <w:rsid w:val="00A22FA7"/>
    <w:rsid w:val="00A236F8"/>
    <w:rsid w:val="00A238D0"/>
    <w:rsid w:val="00A245B1"/>
    <w:rsid w:val="00A304BF"/>
    <w:rsid w:val="00A30B5C"/>
    <w:rsid w:val="00A31184"/>
    <w:rsid w:val="00A31371"/>
    <w:rsid w:val="00A32163"/>
    <w:rsid w:val="00A32D8A"/>
    <w:rsid w:val="00A33919"/>
    <w:rsid w:val="00A33D39"/>
    <w:rsid w:val="00A346B2"/>
    <w:rsid w:val="00A3601F"/>
    <w:rsid w:val="00A36968"/>
    <w:rsid w:val="00A379D1"/>
    <w:rsid w:val="00A41149"/>
    <w:rsid w:val="00A41E94"/>
    <w:rsid w:val="00A426BF"/>
    <w:rsid w:val="00A43F2C"/>
    <w:rsid w:val="00A44745"/>
    <w:rsid w:val="00A44F15"/>
    <w:rsid w:val="00A46480"/>
    <w:rsid w:val="00A47B7B"/>
    <w:rsid w:val="00A50621"/>
    <w:rsid w:val="00A54175"/>
    <w:rsid w:val="00A56809"/>
    <w:rsid w:val="00A60D9A"/>
    <w:rsid w:val="00A63A07"/>
    <w:rsid w:val="00A64C3F"/>
    <w:rsid w:val="00A654A2"/>
    <w:rsid w:val="00A67183"/>
    <w:rsid w:val="00A70079"/>
    <w:rsid w:val="00A704AD"/>
    <w:rsid w:val="00A71B8D"/>
    <w:rsid w:val="00A76391"/>
    <w:rsid w:val="00A76452"/>
    <w:rsid w:val="00A7735C"/>
    <w:rsid w:val="00A83F5F"/>
    <w:rsid w:val="00A84DF8"/>
    <w:rsid w:val="00A86D3D"/>
    <w:rsid w:val="00A9013E"/>
    <w:rsid w:val="00A915F3"/>
    <w:rsid w:val="00A94B17"/>
    <w:rsid w:val="00A94F1F"/>
    <w:rsid w:val="00A95347"/>
    <w:rsid w:val="00A9560F"/>
    <w:rsid w:val="00A974F3"/>
    <w:rsid w:val="00AA349C"/>
    <w:rsid w:val="00AA471D"/>
    <w:rsid w:val="00AA4ADC"/>
    <w:rsid w:val="00AA4B1C"/>
    <w:rsid w:val="00AA6188"/>
    <w:rsid w:val="00AA707F"/>
    <w:rsid w:val="00AA7E33"/>
    <w:rsid w:val="00AB265E"/>
    <w:rsid w:val="00AB2948"/>
    <w:rsid w:val="00AB39FA"/>
    <w:rsid w:val="00AB3B30"/>
    <w:rsid w:val="00AB3C20"/>
    <w:rsid w:val="00AB426C"/>
    <w:rsid w:val="00AB451C"/>
    <w:rsid w:val="00AB59F2"/>
    <w:rsid w:val="00AB603A"/>
    <w:rsid w:val="00AC3E62"/>
    <w:rsid w:val="00AC53E9"/>
    <w:rsid w:val="00AC5818"/>
    <w:rsid w:val="00AC5AF9"/>
    <w:rsid w:val="00AC6192"/>
    <w:rsid w:val="00AC7460"/>
    <w:rsid w:val="00AD2F03"/>
    <w:rsid w:val="00AD43C8"/>
    <w:rsid w:val="00AD57FE"/>
    <w:rsid w:val="00AD6933"/>
    <w:rsid w:val="00AD6B7B"/>
    <w:rsid w:val="00AD6D7F"/>
    <w:rsid w:val="00AD7CAB"/>
    <w:rsid w:val="00AE0D6A"/>
    <w:rsid w:val="00AE10BE"/>
    <w:rsid w:val="00AE16C9"/>
    <w:rsid w:val="00AE1D1F"/>
    <w:rsid w:val="00AE3EF5"/>
    <w:rsid w:val="00AE4F2A"/>
    <w:rsid w:val="00AE5DF8"/>
    <w:rsid w:val="00AE5F33"/>
    <w:rsid w:val="00AF0AD5"/>
    <w:rsid w:val="00AF15E6"/>
    <w:rsid w:val="00AF51E7"/>
    <w:rsid w:val="00AF598B"/>
    <w:rsid w:val="00AF6744"/>
    <w:rsid w:val="00B05620"/>
    <w:rsid w:val="00B12E05"/>
    <w:rsid w:val="00B12EBE"/>
    <w:rsid w:val="00B147D8"/>
    <w:rsid w:val="00B16431"/>
    <w:rsid w:val="00B166A4"/>
    <w:rsid w:val="00B20AF2"/>
    <w:rsid w:val="00B219B7"/>
    <w:rsid w:val="00B25038"/>
    <w:rsid w:val="00B27729"/>
    <w:rsid w:val="00B27FF1"/>
    <w:rsid w:val="00B310A0"/>
    <w:rsid w:val="00B3159A"/>
    <w:rsid w:val="00B31697"/>
    <w:rsid w:val="00B33465"/>
    <w:rsid w:val="00B34D4C"/>
    <w:rsid w:val="00B35C09"/>
    <w:rsid w:val="00B379C5"/>
    <w:rsid w:val="00B4183F"/>
    <w:rsid w:val="00B41CB8"/>
    <w:rsid w:val="00B42198"/>
    <w:rsid w:val="00B4268D"/>
    <w:rsid w:val="00B46AD2"/>
    <w:rsid w:val="00B5280B"/>
    <w:rsid w:val="00B542A5"/>
    <w:rsid w:val="00B54C54"/>
    <w:rsid w:val="00B565C3"/>
    <w:rsid w:val="00B626A1"/>
    <w:rsid w:val="00B64BBE"/>
    <w:rsid w:val="00B67DE1"/>
    <w:rsid w:val="00B70CC6"/>
    <w:rsid w:val="00B71A7E"/>
    <w:rsid w:val="00B72382"/>
    <w:rsid w:val="00B73894"/>
    <w:rsid w:val="00B74837"/>
    <w:rsid w:val="00B75792"/>
    <w:rsid w:val="00B76DA6"/>
    <w:rsid w:val="00B8193F"/>
    <w:rsid w:val="00B82A82"/>
    <w:rsid w:val="00B82EA0"/>
    <w:rsid w:val="00B8464A"/>
    <w:rsid w:val="00B8473D"/>
    <w:rsid w:val="00B859D4"/>
    <w:rsid w:val="00B85CBC"/>
    <w:rsid w:val="00B90410"/>
    <w:rsid w:val="00B90E10"/>
    <w:rsid w:val="00B961EF"/>
    <w:rsid w:val="00B964CA"/>
    <w:rsid w:val="00B965D8"/>
    <w:rsid w:val="00BA11A1"/>
    <w:rsid w:val="00BA18B7"/>
    <w:rsid w:val="00BA1DD6"/>
    <w:rsid w:val="00BA31C4"/>
    <w:rsid w:val="00BA3C60"/>
    <w:rsid w:val="00BA4655"/>
    <w:rsid w:val="00BA78B6"/>
    <w:rsid w:val="00BA7935"/>
    <w:rsid w:val="00BB047B"/>
    <w:rsid w:val="00BB11ED"/>
    <w:rsid w:val="00BB15E6"/>
    <w:rsid w:val="00BB4818"/>
    <w:rsid w:val="00BB4AF3"/>
    <w:rsid w:val="00BB6398"/>
    <w:rsid w:val="00BB7082"/>
    <w:rsid w:val="00BB71D0"/>
    <w:rsid w:val="00BC25EF"/>
    <w:rsid w:val="00BC2DAF"/>
    <w:rsid w:val="00BC4FD3"/>
    <w:rsid w:val="00BC567E"/>
    <w:rsid w:val="00BC6827"/>
    <w:rsid w:val="00BC6C7A"/>
    <w:rsid w:val="00BC7D9E"/>
    <w:rsid w:val="00BD0372"/>
    <w:rsid w:val="00BD44F5"/>
    <w:rsid w:val="00BD6F16"/>
    <w:rsid w:val="00BD7944"/>
    <w:rsid w:val="00BE4340"/>
    <w:rsid w:val="00BE5C41"/>
    <w:rsid w:val="00BF0646"/>
    <w:rsid w:val="00BF1C32"/>
    <w:rsid w:val="00BF22BD"/>
    <w:rsid w:val="00BF76A6"/>
    <w:rsid w:val="00C0068D"/>
    <w:rsid w:val="00C01897"/>
    <w:rsid w:val="00C01F19"/>
    <w:rsid w:val="00C01F23"/>
    <w:rsid w:val="00C03297"/>
    <w:rsid w:val="00C044BE"/>
    <w:rsid w:val="00C04BAB"/>
    <w:rsid w:val="00C0607B"/>
    <w:rsid w:val="00C068A8"/>
    <w:rsid w:val="00C06DEF"/>
    <w:rsid w:val="00C075A2"/>
    <w:rsid w:val="00C107CB"/>
    <w:rsid w:val="00C10D3E"/>
    <w:rsid w:val="00C118C4"/>
    <w:rsid w:val="00C11F58"/>
    <w:rsid w:val="00C120D7"/>
    <w:rsid w:val="00C132D1"/>
    <w:rsid w:val="00C139CA"/>
    <w:rsid w:val="00C13A7D"/>
    <w:rsid w:val="00C142AA"/>
    <w:rsid w:val="00C144CA"/>
    <w:rsid w:val="00C241A8"/>
    <w:rsid w:val="00C24402"/>
    <w:rsid w:val="00C24ABA"/>
    <w:rsid w:val="00C26464"/>
    <w:rsid w:val="00C264CB"/>
    <w:rsid w:val="00C27FF7"/>
    <w:rsid w:val="00C31253"/>
    <w:rsid w:val="00C35129"/>
    <w:rsid w:val="00C41197"/>
    <w:rsid w:val="00C419DB"/>
    <w:rsid w:val="00C442B6"/>
    <w:rsid w:val="00C45D1E"/>
    <w:rsid w:val="00C476F1"/>
    <w:rsid w:val="00C51429"/>
    <w:rsid w:val="00C51E8F"/>
    <w:rsid w:val="00C52CE9"/>
    <w:rsid w:val="00C52FC0"/>
    <w:rsid w:val="00C53F9E"/>
    <w:rsid w:val="00C54207"/>
    <w:rsid w:val="00C546A4"/>
    <w:rsid w:val="00C546D2"/>
    <w:rsid w:val="00C559E9"/>
    <w:rsid w:val="00C608C1"/>
    <w:rsid w:val="00C610B4"/>
    <w:rsid w:val="00C623DD"/>
    <w:rsid w:val="00C63D4E"/>
    <w:rsid w:val="00C63EA9"/>
    <w:rsid w:val="00C64C45"/>
    <w:rsid w:val="00C665A0"/>
    <w:rsid w:val="00C67725"/>
    <w:rsid w:val="00C700F3"/>
    <w:rsid w:val="00C7092F"/>
    <w:rsid w:val="00C76067"/>
    <w:rsid w:val="00C76426"/>
    <w:rsid w:val="00C76DBF"/>
    <w:rsid w:val="00C76DDA"/>
    <w:rsid w:val="00C771EE"/>
    <w:rsid w:val="00C807B3"/>
    <w:rsid w:val="00C81A81"/>
    <w:rsid w:val="00C825C9"/>
    <w:rsid w:val="00C83909"/>
    <w:rsid w:val="00C85EC1"/>
    <w:rsid w:val="00C8609E"/>
    <w:rsid w:val="00C86CC3"/>
    <w:rsid w:val="00C86E37"/>
    <w:rsid w:val="00C901B1"/>
    <w:rsid w:val="00C90EBC"/>
    <w:rsid w:val="00C91B69"/>
    <w:rsid w:val="00C93BD6"/>
    <w:rsid w:val="00CA1314"/>
    <w:rsid w:val="00CA146E"/>
    <w:rsid w:val="00CA3856"/>
    <w:rsid w:val="00CA5A3F"/>
    <w:rsid w:val="00CA67E0"/>
    <w:rsid w:val="00CA7AE0"/>
    <w:rsid w:val="00CB0122"/>
    <w:rsid w:val="00CB0153"/>
    <w:rsid w:val="00CB0269"/>
    <w:rsid w:val="00CB0833"/>
    <w:rsid w:val="00CB18F5"/>
    <w:rsid w:val="00CB3A0B"/>
    <w:rsid w:val="00CB3EA7"/>
    <w:rsid w:val="00CC008E"/>
    <w:rsid w:val="00CC02ED"/>
    <w:rsid w:val="00CC1687"/>
    <w:rsid w:val="00CC1BC2"/>
    <w:rsid w:val="00CC63EB"/>
    <w:rsid w:val="00CD022A"/>
    <w:rsid w:val="00CD02E7"/>
    <w:rsid w:val="00CD03BE"/>
    <w:rsid w:val="00CD0707"/>
    <w:rsid w:val="00CD1A25"/>
    <w:rsid w:val="00CD1A63"/>
    <w:rsid w:val="00CD2E16"/>
    <w:rsid w:val="00CD634E"/>
    <w:rsid w:val="00CD65E7"/>
    <w:rsid w:val="00CD73D0"/>
    <w:rsid w:val="00CD7BFC"/>
    <w:rsid w:val="00CE23B4"/>
    <w:rsid w:val="00CE2B95"/>
    <w:rsid w:val="00CE2F1A"/>
    <w:rsid w:val="00CE3C0D"/>
    <w:rsid w:val="00CF1A11"/>
    <w:rsid w:val="00CF30FC"/>
    <w:rsid w:val="00CF4286"/>
    <w:rsid w:val="00CF5458"/>
    <w:rsid w:val="00CF5CB2"/>
    <w:rsid w:val="00D019BA"/>
    <w:rsid w:val="00D01B9F"/>
    <w:rsid w:val="00D024FB"/>
    <w:rsid w:val="00D03B38"/>
    <w:rsid w:val="00D03F87"/>
    <w:rsid w:val="00D04130"/>
    <w:rsid w:val="00D04255"/>
    <w:rsid w:val="00D04CD4"/>
    <w:rsid w:val="00D07174"/>
    <w:rsid w:val="00D12095"/>
    <w:rsid w:val="00D21AEC"/>
    <w:rsid w:val="00D22451"/>
    <w:rsid w:val="00D22D06"/>
    <w:rsid w:val="00D24772"/>
    <w:rsid w:val="00D26C02"/>
    <w:rsid w:val="00D26E91"/>
    <w:rsid w:val="00D272A6"/>
    <w:rsid w:val="00D32F66"/>
    <w:rsid w:val="00D3441D"/>
    <w:rsid w:val="00D355C4"/>
    <w:rsid w:val="00D3612A"/>
    <w:rsid w:val="00D37703"/>
    <w:rsid w:val="00D37CA0"/>
    <w:rsid w:val="00D37DBF"/>
    <w:rsid w:val="00D37F25"/>
    <w:rsid w:val="00D42F4F"/>
    <w:rsid w:val="00D44141"/>
    <w:rsid w:val="00D45339"/>
    <w:rsid w:val="00D47975"/>
    <w:rsid w:val="00D56A53"/>
    <w:rsid w:val="00D621A6"/>
    <w:rsid w:val="00D62373"/>
    <w:rsid w:val="00D6324F"/>
    <w:rsid w:val="00D63458"/>
    <w:rsid w:val="00D66D37"/>
    <w:rsid w:val="00D670CF"/>
    <w:rsid w:val="00D70DD7"/>
    <w:rsid w:val="00D750CC"/>
    <w:rsid w:val="00D758DC"/>
    <w:rsid w:val="00D84369"/>
    <w:rsid w:val="00D84C8F"/>
    <w:rsid w:val="00D85D9C"/>
    <w:rsid w:val="00D873AD"/>
    <w:rsid w:val="00D90BEE"/>
    <w:rsid w:val="00D91AAC"/>
    <w:rsid w:val="00D91C06"/>
    <w:rsid w:val="00D91C9F"/>
    <w:rsid w:val="00D93FD1"/>
    <w:rsid w:val="00D95093"/>
    <w:rsid w:val="00D96AF4"/>
    <w:rsid w:val="00D96D21"/>
    <w:rsid w:val="00DA08F5"/>
    <w:rsid w:val="00DA189B"/>
    <w:rsid w:val="00DA2ADC"/>
    <w:rsid w:val="00DA4579"/>
    <w:rsid w:val="00DB01E2"/>
    <w:rsid w:val="00DB0764"/>
    <w:rsid w:val="00DB14F6"/>
    <w:rsid w:val="00DB3506"/>
    <w:rsid w:val="00DB4830"/>
    <w:rsid w:val="00DB558A"/>
    <w:rsid w:val="00DB7A9A"/>
    <w:rsid w:val="00DC0543"/>
    <w:rsid w:val="00DC2AEA"/>
    <w:rsid w:val="00DC3177"/>
    <w:rsid w:val="00DC3276"/>
    <w:rsid w:val="00DD13AB"/>
    <w:rsid w:val="00DD1BD1"/>
    <w:rsid w:val="00DD2841"/>
    <w:rsid w:val="00DD2BA8"/>
    <w:rsid w:val="00DD323F"/>
    <w:rsid w:val="00DD37D8"/>
    <w:rsid w:val="00DD4EB5"/>
    <w:rsid w:val="00DD5902"/>
    <w:rsid w:val="00DD6BD4"/>
    <w:rsid w:val="00DE01A4"/>
    <w:rsid w:val="00DE3BE9"/>
    <w:rsid w:val="00DE3E40"/>
    <w:rsid w:val="00DE4597"/>
    <w:rsid w:val="00DE643F"/>
    <w:rsid w:val="00DF57B7"/>
    <w:rsid w:val="00DF67DA"/>
    <w:rsid w:val="00DF6840"/>
    <w:rsid w:val="00E010AB"/>
    <w:rsid w:val="00E015AD"/>
    <w:rsid w:val="00E0233F"/>
    <w:rsid w:val="00E02678"/>
    <w:rsid w:val="00E050EC"/>
    <w:rsid w:val="00E06262"/>
    <w:rsid w:val="00E0748A"/>
    <w:rsid w:val="00E07BCE"/>
    <w:rsid w:val="00E128A9"/>
    <w:rsid w:val="00E143DA"/>
    <w:rsid w:val="00E14BA3"/>
    <w:rsid w:val="00E16744"/>
    <w:rsid w:val="00E25953"/>
    <w:rsid w:val="00E27F5A"/>
    <w:rsid w:val="00E30D81"/>
    <w:rsid w:val="00E32BEA"/>
    <w:rsid w:val="00E32D39"/>
    <w:rsid w:val="00E32F5B"/>
    <w:rsid w:val="00E3799F"/>
    <w:rsid w:val="00E37DA2"/>
    <w:rsid w:val="00E4121B"/>
    <w:rsid w:val="00E41AA3"/>
    <w:rsid w:val="00E422F2"/>
    <w:rsid w:val="00E42743"/>
    <w:rsid w:val="00E42FA4"/>
    <w:rsid w:val="00E43ACF"/>
    <w:rsid w:val="00E43B5E"/>
    <w:rsid w:val="00E45864"/>
    <w:rsid w:val="00E461B0"/>
    <w:rsid w:val="00E4622C"/>
    <w:rsid w:val="00E47F40"/>
    <w:rsid w:val="00E51E1B"/>
    <w:rsid w:val="00E51EA9"/>
    <w:rsid w:val="00E51FFB"/>
    <w:rsid w:val="00E52DD3"/>
    <w:rsid w:val="00E5471E"/>
    <w:rsid w:val="00E558A4"/>
    <w:rsid w:val="00E56DB9"/>
    <w:rsid w:val="00E56E4D"/>
    <w:rsid w:val="00E571DB"/>
    <w:rsid w:val="00E576D9"/>
    <w:rsid w:val="00E63F6F"/>
    <w:rsid w:val="00E654DD"/>
    <w:rsid w:val="00E65C76"/>
    <w:rsid w:val="00E65EA1"/>
    <w:rsid w:val="00E6605D"/>
    <w:rsid w:val="00E6611F"/>
    <w:rsid w:val="00E669D8"/>
    <w:rsid w:val="00E7048B"/>
    <w:rsid w:val="00E75A55"/>
    <w:rsid w:val="00E76AC0"/>
    <w:rsid w:val="00E7772E"/>
    <w:rsid w:val="00E80171"/>
    <w:rsid w:val="00E810B2"/>
    <w:rsid w:val="00E872B3"/>
    <w:rsid w:val="00E87853"/>
    <w:rsid w:val="00E909D6"/>
    <w:rsid w:val="00E9168B"/>
    <w:rsid w:val="00E91A28"/>
    <w:rsid w:val="00E923A0"/>
    <w:rsid w:val="00E9265B"/>
    <w:rsid w:val="00E944A2"/>
    <w:rsid w:val="00E95253"/>
    <w:rsid w:val="00E95569"/>
    <w:rsid w:val="00E978F3"/>
    <w:rsid w:val="00EA0A6C"/>
    <w:rsid w:val="00EA1CB1"/>
    <w:rsid w:val="00EA6125"/>
    <w:rsid w:val="00EB22D9"/>
    <w:rsid w:val="00EB5FE8"/>
    <w:rsid w:val="00EC0435"/>
    <w:rsid w:val="00EC1668"/>
    <w:rsid w:val="00EC7180"/>
    <w:rsid w:val="00ED209D"/>
    <w:rsid w:val="00ED418D"/>
    <w:rsid w:val="00ED46C4"/>
    <w:rsid w:val="00ED534D"/>
    <w:rsid w:val="00ED5F88"/>
    <w:rsid w:val="00ED664B"/>
    <w:rsid w:val="00ED7359"/>
    <w:rsid w:val="00ED7C2E"/>
    <w:rsid w:val="00EE3D71"/>
    <w:rsid w:val="00EE45C8"/>
    <w:rsid w:val="00EE5111"/>
    <w:rsid w:val="00EE7642"/>
    <w:rsid w:val="00EF157F"/>
    <w:rsid w:val="00EF2730"/>
    <w:rsid w:val="00EF28D7"/>
    <w:rsid w:val="00F01D63"/>
    <w:rsid w:val="00F03786"/>
    <w:rsid w:val="00F03AB8"/>
    <w:rsid w:val="00F05E37"/>
    <w:rsid w:val="00F07897"/>
    <w:rsid w:val="00F07EF7"/>
    <w:rsid w:val="00F112AC"/>
    <w:rsid w:val="00F130AD"/>
    <w:rsid w:val="00F161F8"/>
    <w:rsid w:val="00F16A6E"/>
    <w:rsid w:val="00F2002D"/>
    <w:rsid w:val="00F20529"/>
    <w:rsid w:val="00F20FE8"/>
    <w:rsid w:val="00F22093"/>
    <w:rsid w:val="00F227E8"/>
    <w:rsid w:val="00F24647"/>
    <w:rsid w:val="00F26374"/>
    <w:rsid w:val="00F2640D"/>
    <w:rsid w:val="00F26A9F"/>
    <w:rsid w:val="00F30DE4"/>
    <w:rsid w:val="00F323DF"/>
    <w:rsid w:val="00F331B5"/>
    <w:rsid w:val="00F34AF9"/>
    <w:rsid w:val="00F4141D"/>
    <w:rsid w:val="00F41E62"/>
    <w:rsid w:val="00F45725"/>
    <w:rsid w:val="00F47B58"/>
    <w:rsid w:val="00F47BED"/>
    <w:rsid w:val="00F51804"/>
    <w:rsid w:val="00F53521"/>
    <w:rsid w:val="00F53991"/>
    <w:rsid w:val="00F548B5"/>
    <w:rsid w:val="00F61722"/>
    <w:rsid w:val="00F617C6"/>
    <w:rsid w:val="00F6208E"/>
    <w:rsid w:val="00F66A33"/>
    <w:rsid w:val="00F66F7C"/>
    <w:rsid w:val="00F70BA5"/>
    <w:rsid w:val="00F7123F"/>
    <w:rsid w:val="00F71818"/>
    <w:rsid w:val="00F73842"/>
    <w:rsid w:val="00F73B39"/>
    <w:rsid w:val="00F74981"/>
    <w:rsid w:val="00F75679"/>
    <w:rsid w:val="00F75C04"/>
    <w:rsid w:val="00F760D9"/>
    <w:rsid w:val="00F81F50"/>
    <w:rsid w:val="00F8426C"/>
    <w:rsid w:val="00F90692"/>
    <w:rsid w:val="00F919F5"/>
    <w:rsid w:val="00F9333A"/>
    <w:rsid w:val="00F93DD0"/>
    <w:rsid w:val="00F95772"/>
    <w:rsid w:val="00FA0846"/>
    <w:rsid w:val="00FA26D7"/>
    <w:rsid w:val="00FA27ED"/>
    <w:rsid w:val="00FB2CA2"/>
    <w:rsid w:val="00FB4289"/>
    <w:rsid w:val="00FC0149"/>
    <w:rsid w:val="00FC0E36"/>
    <w:rsid w:val="00FC1824"/>
    <w:rsid w:val="00FC2985"/>
    <w:rsid w:val="00FC37ED"/>
    <w:rsid w:val="00FC7254"/>
    <w:rsid w:val="00FD008B"/>
    <w:rsid w:val="00FD0E0E"/>
    <w:rsid w:val="00FD12A2"/>
    <w:rsid w:val="00FD41D9"/>
    <w:rsid w:val="00FD424D"/>
    <w:rsid w:val="00FD5803"/>
    <w:rsid w:val="00FD583D"/>
    <w:rsid w:val="00FD6E68"/>
    <w:rsid w:val="00FD73A7"/>
    <w:rsid w:val="00FD7782"/>
    <w:rsid w:val="00FE250F"/>
    <w:rsid w:val="00FE2553"/>
    <w:rsid w:val="00FE2CE3"/>
    <w:rsid w:val="00FE2CF0"/>
    <w:rsid w:val="00FE5116"/>
    <w:rsid w:val="00FE5438"/>
    <w:rsid w:val="00FE7B04"/>
    <w:rsid w:val="00FE7F11"/>
    <w:rsid w:val="00FF20D4"/>
    <w:rsid w:val="00FF2AF6"/>
    <w:rsid w:val="00FF3F44"/>
    <w:rsid w:val="00FF491C"/>
    <w:rsid w:val="00FF6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DA8B220"/>
  <w15:chartTrackingRefBased/>
  <w15:docId w15:val="{AA072508-4A95-497A-B0B5-001491DA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FA0846"/>
    <w:pPr>
      <w:keepNext/>
      <w:spacing w:before="240" w:after="60" w:line="360" w:lineRule="auto"/>
      <w:outlineLvl w:val="2"/>
    </w:pPr>
    <w:rPr>
      <w:rFonts w:ascii="Arial" w:hAnsi="Arial" w:cs="Arial"/>
      <w:b/>
      <w:bCs/>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link w:val="ListParagraphChar"/>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F81F50"/>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81F50"/>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F81F5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F81F50"/>
    <w:pPr>
      <w:numPr>
        <w:numId w:val="2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F81F50"/>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character" w:customStyle="1" w:styleId="ListParagraphChar">
    <w:name w:val="List Paragraph Char"/>
    <w:basedOn w:val="DefaultParagraphFont"/>
    <w:link w:val="ListParagraph"/>
    <w:uiPriority w:val="34"/>
    <w:rsid w:val="00E32D39"/>
    <w:rPr>
      <w:sz w:val="24"/>
      <w:szCs w:val="24"/>
    </w:rPr>
  </w:style>
  <w:style w:type="paragraph" w:styleId="NormalWeb">
    <w:name w:val="Normal (Web)"/>
    <w:basedOn w:val="Normal"/>
    <w:uiPriority w:val="99"/>
    <w:unhideWhenUsed/>
    <w:rsid w:val="00E76AC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31836990">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88203322">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34/documents" TargetMode="External"/><Relationship Id="rId13" Type="http://schemas.openxmlformats.org/officeDocument/2006/relationships/hyperlink" Target="https://www.ema.europa.eu/en/documents/product-information/nustendi-epar-product-information_en.pdf" TargetMode="External"/><Relationship Id="rId18" Type="http://schemas.openxmlformats.org/officeDocument/2006/relationships/hyperlink" Target="https://www.nice.org.uk/guidance/ta3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Get-Involved/Meetings-in-public/Technology-appraisal-Committee/Committee-C-Members" TargetMode="External"/><Relationship Id="rId7" Type="http://schemas.openxmlformats.org/officeDocument/2006/relationships/endnotes" Target="endnotes.xml"/><Relationship Id="rId12" Type="http://schemas.openxmlformats.org/officeDocument/2006/relationships/hyperlink" Target="https://www.ema.europa.eu/en/documents/product-information/nilemdo-epar-product-information_en.pdf" TargetMode="External"/><Relationship Id="rId17" Type="http://schemas.openxmlformats.org/officeDocument/2006/relationships/hyperlink" Target="https://www.nice.org.uk/guidance/ta39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ta394" TargetMode="External"/><Relationship Id="rId20" Type="http://schemas.openxmlformats.org/officeDocument/2006/relationships/hyperlink" Target="https://www.nice.org.uk/process/pmg9/chapter/the-appraisal-of-the-evidence-and-structured-decision-ma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article/pmg19/chapter/Forewor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ta393" TargetMode="External"/><Relationship Id="rId23" Type="http://schemas.openxmlformats.org/officeDocument/2006/relationships/header" Target="header1.xml"/><Relationship Id="rId10" Type="http://schemas.openxmlformats.org/officeDocument/2006/relationships/hyperlink" Target="http://www.nice.org.uk/article/pmg19/chapter/Foreword" TargetMode="External"/><Relationship Id="rId19" Type="http://schemas.openxmlformats.org/officeDocument/2006/relationships/hyperlink" Target="https://www.nice.org.uk/guidance/cg181" TargetMode="External"/><Relationship Id="rId4" Type="http://schemas.openxmlformats.org/officeDocument/2006/relationships/settings" Target="settings.xml"/><Relationship Id="rId9" Type="http://schemas.openxmlformats.org/officeDocument/2006/relationships/hyperlink" Target="https://www.nice.org.uk/guidance/indevelopment/gid-ta10534/documents" TargetMode="External"/><Relationship Id="rId14" Type="http://schemas.openxmlformats.org/officeDocument/2006/relationships/hyperlink" Target="https://www.nice.org.uk/guidance/indevelopment/gid-ta10534/documents" TargetMode="External"/><Relationship Id="rId22"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9287-1981-47D0-B22F-AC64D740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5209</Words>
  <Characters>32195</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37330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Cameron</dc:creator>
  <cp:keywords/>
  <dc:description/>
  <cp:lastModifiedBy>Gavin Kenny</cp:lastModifiedBy>
  <cp:revision>9</cp:revision>
  <cp:lastPrinted>2012-11-14T14:34:00Z</cp:lastPrinted>
  <dcterms:created xsi:type="dcterms:W3CDTF">2020-11-26T16:29:00Z</dcterms:created>
  <dcterms:modified xsi:type="dcterms:W3CDTF">2020-12-11T11:03:00Z</dcterms:modified>
</cp:coreProperties>
</file>