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5D62E" w14:textId="6E12D1AD" w:rsidR="000F48EC" w:rsidRPr="00076466" w:rsidRDefault="000F48EC" w:rsidP="0093671F">
      <w:pPr>
        <w:pStyle w:val="Title2"/>
      </w:pPr>
      <w:r w:rsidRPr="00076466">
        <w:t>NATIONAL INSTITUTE FOR HEALTH AND C</w:t>
      </w:r>
      <w:r w:rsidR="00CD1E98" w:rsidRPr="00076466">
        <w:t>A</w:t>
      </w:r>
      <w:r w:rsidR="00CC63EB" w:rsidRPr="00076466">
        <w:t>RE</w:t>
      </w:r>
      <w:r w:rsidRPr="00076466">
        <w:t xml:space="preserve"> EXCELLENCE</w:t>
      </w:r>
    </w:p>
    <w:p w14:paraId="44565B6F" w14:textId="408AAEC3" w:rsidR="000F48EC" w:rsidRPr="00076466" w:rsidRDefault="007A2801" w:rsidP="000069F9">
      <w:pPr>
        <w:pStyle w:val="Title2"/>
      </w:pPr>
      <w:r w:rsidRPr="00076466">
        <w:t>Appraisal consultation document</w:t>
      </w:r>
    </w:p>
    <w:p w14:paraId="3FFE8F0F" w14:textId="62BEF2D3" w:rsidR="000F48EC" w:rsidRPr="00076466" w:rsidRDefault="00F90105" w:rsidP="00034110">
      <w:pPr>
        <w:pStyle w:val="Title1"/>
      </w:pPr>
      <w:r w:rsidRPr="00076466">
        <w:t xml:space="preserve">Carfilzomib with dexamethasone and lenalidomide for </w:t>
      </w:r>
      <w:r w:rsidR="00F92173" w:rsidRPr="00076466">
        <w:t xml:space="preserve">previously treated </w:t>
      </w:r>
      <w:r w:rsidRPr="00076466">
        <w:t>multiple myeloma</w:t>
      </w:r>
    </w:p>
    <w:p w14:paraId="5D2322C2" w14:textId="298FC0BC" w:rsidR="007A2801" w:rsidRPr="00076466" w:rsidRDefault="007A2801">
      <w:pPr>
        <w:rPr>
          <w:rFonts w:ascii="Arial" w:hAnsi="Arial"/>
        </w:rPr>
      </w:pPr>
    </w:p>
    <w:p w14:paraId="757B6C02" w14:textId="7A669160" w:rsidR="007A2801" w:rsidRPr="00076466" w:rsidRDefault="00B379C5" w:rsidP="000E51FD">
      <w:pPr>
        <w:pStyle w:val="Numberedheading1"/>
      </w:pPr>
      <w:r w:rsidRPr="00076466">
        <w:lastRenderedPageBreak/>
        <w:t>Recommendations</w:t>
      </w:r>
    </w:p>
    <w:p w14:paraId="7D16AC94" w14:textId="4BE4098F" w:rsidR="007A2801" w:rsidRPr="00076466" w:rsidRDefault="000E51FD" w:rsidP="00034E59">
      <w:pPr>
        <w:pStyle w:val="Numberedlevel2text"/>
      </w:pPr>
      <w:r w:rsidRPr="00076466">
        <w:t>Carfilzomib with lenalidomide and dexamethasone</w:t>
      </w:r>
      <w:r w:rsidR="007A2801" w:rsidRPr="00076466">
        <w:t xml:space="preserve"> is not recommended, within its marketing authorisation, for </w:t>
      </w:r>
      <w:r w:rsidR="00F92173" w:rsidRPr="00076466">
        <w:t xml:space="preserve">previously treated </w:t>
      </w:r>
      <w:r w:rsidR="00A53101" w:rsidRPr="00076466">
        <w:t>multiple myeloma in adults</w:t>
      </w:r>
      <w:r w:rsidR="000F1014" w:rsidRPr="00076466">
        <w:t>.</w:t>
      </w:r>
    </w:p>
    <w:p w14:paraId="1CA0CB25" w14:textId="064F8C31" w:rsidR="002F2C1A" w:rsidRPr="00076466" w:rsidRDefault="002F2C1A" w:rsidP="000E51FD">
      <w:pPr>
        <w:pStyle w:val="Numberedlevel2text"/>
        <w:numPr>
          <w:ilvl w:val="1"/>
          <w:numId w:val="1"/>
        </w:numPr>
      </w:pPr>
      <w:r w:rsidRPr="00076466">
        <w:t>This</w:t>
      </w:r>
      <w:r w:rsidR="00A53101" w:rsidRPr="00076466">
        <w:t xml:space="preserve"> </w:t>
      </w:r>
      <w:r w:rsidRPr="00076466">
        <w:t>recommendatio</w:t>
      </w:r>
      <w:r w:rsidR="00A53101" w:rsidRPr="00076466">
        <w:t>n</w:t>
      </w:r>
      <w:r w:rsidRPr="00076466">
        <w:t xml:space="preserve"> is not intended to affect treatment with </w:t>
      </w:r>
      <w:r w:rsidR="00A53101" w:rsidRPr="00076466">
        <w:t xml:space="preserve">carfilzomib with lenalidomide and dexamethasone </w:t>
      </w:r>
      <w:r w:rsidRPr="00076466">
        <w:t>that was started in the NHS before this guidance was published. People having treatment outside this</w:t>
      </w:r>
      <w:r w:rsidR="00A53101" w:rsidRPr="00076466">
        <w:t xml:space="preserve"> recommendation </w:t>
      </w:r>
      <w:r w:rsidRPr="00076466">
        <w:t>may continue without change to the funding arrangements in place for them before this guidance was published, until they and their NHS clinician consider it appropriate to stop.</w:t>
      </w:r>
    </w:p>
    <w:p w14:paraId="77B97AF6" w14:textId="77777777" w:rsidR="00C11F58" w:rsidRPr="00076466" w:rsidRDefault="00C11F58" w:rsidP="008522C6">
      <w:pPr>
        <w:pStyle w:val="NICEnormal"/>
        <w:rPr>
          <w:b/>
        </w:rPr>
      </w:pPr>
      <w:r w:rsidRPr="00076466">
        <w:rPr>
          <w:b/>
        </w:rPr>
        <w:t>Why the committee made these recommendations</w:t>
      </w:r>
    </w:p>
    <w:p w14:paraId="6469AE68" w14:textId="34C1F417" w:rsidR="006F5B83" w:rsidRPr="00076466" w:rsidRDefault="004B15E2" w:rsidP="009F06DB">
      <w:pPr>
        <w:pStyle w:val="NICEnormal"/>
      </w:pPr>
      <w:r w:rsidRPr="00076466">
        <w:t xml:space="preserve">Clinical trial </w:t>
      </w:r>
      <w:r w:rsidR="009F06DB" w:rsidRPr="00076466">
        <w:t xml:space="preserve">evidence shows that carfilzomib with lenalidomide and dexamethasone </w:t>
      </w:r>
      <w:r w:rsidR="006A6019" w:rsidRPr="00076466">
        <w:t xml:space="preserve">gives </w:t>
      </w:r>
      <w:r w:rsidR="000C2886" w:rsidRPr="00076466">
        <w:t xml:space="preserve">longer </w:t>
      </w:r>
      <w:r w:rsidR="009F06DB" w:rsidRPr="00076466">
        <w:t xml:space="preserve">periods of remission and </w:t>
      </w:r>
      <w:r w:rsidR="006A6019" w:rsidRPr="00076466">
        <w:t xml:space="preserve">people </w:t>
      </w:r>
      <w:r w:rsidR="009F06DB" w:rsidRPr="00076466">
        <w:t xml:space="preserve">live longer </w:t>
      </w:r>
      <w:r w:rsidR="008B71F6" w:rsidRPr="00076466">
        <w:t xml:space="preserve">than </w:t>
      </w:r>
      <w:r w:rsidR="009F06DB" w:rsidRPr="00076466">
        <w:t xml:space="preserve">with lenalidomide and dexamethasone. </w:t>
      </w:r>
      <w:r w:rsidRPr="00076466">
        <w:t xml:space="preserve">It also </w:t>
      </w:r>
      <w:r w:rsidR="006F5B83" w:rsidRPr="00076466">
        <w:t>suggests that people live</w:t>
      </w:r>
      <w:r w:rsidR="00F20106" w:rsidRPr="00076466">
        <w:t xml:space="preserve"> longer than 24 months.</w:t>
      </w:r>
    </w:p>
    <w:p w14:paraId="21AF34F7" w14:textId="2B0A9135" w:rsidR="00B8464A" w:rsidRPr="00076466" w:rsidRDefault="00785A14" w:rsidP="00C52CE9">
      <w:pPr>
        <w:pStyle w:val="NICEnormal"/>
      </w:pPr>
      <w:r w:rsidRPr="00076466">
        <w:t>However, t</w:t>
      </w:r>
      <w:r w:rsidR="009F06DB" w:rsidRPr="00076466">
        <w:t xml:space="preserve">here is uncertainty about how long the benefit </w:t>
      </w:r>
      <w:r w:rsidR="004B15E2" w:rsidRPr="00076466">
        <w:t>lasts</w:t>
      </w:r>
      <w:r w:rsidR="009F06DB" w:rsidRPr="00076466">
        <w:t xml:space="preserve"> after </w:t>
      </w:r>
      <w:r w:rsidR="00A75468" w:rsidRPr="00076466">
        <w:t xml:space="preserve">stopping </w:t>
      </w:r>
      <w:r w:rsidR="00A6626A" w:rsidRPr="00076466">
        <w:t>treatment</w:t>
      </w:r>
      <w:r w:rsidR="009F06DB" w:rsidRPr="00076466">
        <w:t xml:space="preserve">. This makes the cost-effectiveness </w:t>
      </w:r>
      <w:r w:rsidR="004B15E2" w:rsidRPr="00076466">
        <w:t xml:space="preserve">estimates </w:t>
      </w:r>
      <w:r w:rsidR="009F06DB" w:rsidRPr="00076466">
        <w:t>uncertain</w:t>
      </w:r>
      <w:r w:rsidR="00207276" w:rsidRPr="00076466">
        <w:t>.</w:t>
      </w:r>
      <w:r w:rsidR="006F5B83" w:rsidRPr="00076466">
        <w:t xml:space="preserve"> </w:t>
      </w:r>
      <w:r w:rsidR="009F06DB" w:rsidRPr="00076466">
        <w:t xml:space="preserve">The most likely cost-effectiveness </w:t>
      </w:r>
      <w:r w:rsidR="004B15E2" w:rsidRPr="00076466">
        <w:t xml:space="preserve">estimate is </w:t>
      </w:r>
      <w:r w:rsidR="006F5B83" w:rsidRPr="00076466">
        <w:t>h</w:t>
      </w:r>
      <w:r w:rsidR="00F20106" w:rsidRPr="00076466">
        <w:t>i</w:t>
      </w:r>
      <w:r w:rsidR="006F5B83" w:rsidRPr="00076466">
        <w:t xml:space="preserve">gher than what </w:t>
      </w:r>
      <w:r w:rsidR="004B15E2" w:rsidRPr="00076466">
        <w:t>NICE normally considers</w:t>
      </w:r>
      <w:r w:rsidR="009F06DB" w:rsidRPr="00076466">
        <w:t xml:space="preserve"> a cost-effective use of NHS resources. </w:t>
      </w:r>
      <w:r w:rsidR="00A15723" w:rsidRPr="00076466">
        <w:t>So</w:t>
      </w:r>
      <w:r w:rsidR="009F06DB" w:rsidRPr="00076466">
        <w:t>, carfilzomib with lenalidomide and dexamethasone is not recommended for routine use in the NHS.</w:t>
      </w:r>
    </w:p>
    <w:p w14:paraId="2E47E3D0" w14:textId="2ABCAFFF" w:rsidR="006F5B83" w:rsidRPr="00076466" w:rsidRDefault="00A75468" w:rsidP="00C52CE9">
      <w:pPr>
        <w:pStyle w:val="NICEnormal"/>
      </w:pPr>
      <w:r w:rsidRPr="00076466">
        <w:t>C</w:t>
      </w:r>
      <w:r w:rsidR="006A6019" w:rsidRPr="00076466">
        <w:t>ollecting more data is not likely to resolve the uncertainty</w:t>
      </w:r>
      <w:r w:rsidR="006F5B83" w:rsidRPr="00076466">
        <w:t xml:space="preserve">. </w:t>
      </w:r>
      <w:proofErr w:type="gramStart"/>
      <w:r w:rsidRPr="00076466">
        <w:t>So</w:t>
      </w:r>
      <w:proofErr w:type="gramEnd"/>
      <w:r w:rsidR="006A6019" w:rsidRPr="00076466">
        <w:t xml:space="preserve"> </w:t>
      </w:r>
      <w:r w:rsidR="006F5B83" w:rsidRPr="00076466">
        <w:t>carfilzomib with lenalidomide and dexamethasone cannot be recommended for use within the Cancer Drugs Fund.</w:t>
      </w:r>
    </w:p>
    <w:p w14:paraId="598FBC79" w14:textId="0FBDEA5A" w:rsidR="00EA1CB1" w:rsidRPr="00076466" w:rsidRDefault="00EA1CB1" w:rsidP="00EA1CB1">
      <w:pPr>
        <w:pStyle w:val="Numberedheading1"/>
        <w:keepLines/>
      </w:pPr>
      <w:r w:rsidRPr="00076466">
        <w:t xml:space="preserve">Information about </w:t>
      </w:r>
      <w:r w:rsidR="00B7679A" w:rsidRPr="00076466">
        <w:t>carfilzomib</w:t>
      </w:r>
    </w:p>
    <w:p w14:paraId="7A3E5880" w14:textId="71644A63" w:rsidR="00B82A82" w:rsidRPr="00076466" w:rsidRDefault="00B82A82" w:rsidP="00B82A82">
      <w:pPr>
        <w:pStyle w:val="Heading2"/>
      </w:pPr>
      <w:r w:rsidRPr="00076466">
        <w:t>Marketing authorisation indication</w:t>
      </w:r>
    </w:p>
    <w:p w14:paraId="7E1CBFAB" w14:textId="03D449ED" w:rsidR="00B82A82" w:rsidRPr="00076466" w:rsidRDefault="00D70D3B" w:rsidP="00B7679A">
      <w:pPr>
        <w:pStyle w:val="Numberedlevel2text"/>
      </w:pPr>
      <w:r w:rsidRPr="00076466">
        <w:rPr>
          <w:rStyle w:val="NICEnormalChar"/>
          <w:szCs w:val="28"/>
        </w:rPr>
        <w:t>Carfilzomib (</w:t>
      </w:r>
      <w:proofErr w:type="spellStart"/>
      <w:r w:rsidRPr="00076466">
        <w:rPr>
          <w:rStyle w:val="NICEnormalChar"/>
          <w:szCs w:val="28"/>
        </w:rPr>
        <w:t>K</w:t>
      </w:r>
      <w:r w:rsidR="00BE0321" w:rsidRPr="00076466">
        <w:rPr>
          <w:rStyle w:val="NICEnormalChar"/>
          <w:szCs w:val="28"/>
        </w:rPr>
        <w:t>yprolis</w:t>
      </w:r>
      <w:proofErr w:type="spellEnd"/>
      <w:r w:rsidR="00BE0321" w:rsidRPr="00076466">
        <w:rPr>
          <w:rStyle w:val="NICEnormalChar"/>
          <w:szCs w:val="28"/>
        </w:rPr>
        <w:t>, Amgen)</w:t>
      </w:r>
      <w:r w:rsidRPr="00076466">
        <w:rPr>
          <w:rStyle w:val="NICEnormalChar"/>
          <w:szCs w:val="28"/>
        </w:rPr>
        <w:t xml:space="preserve"> is indicated </w:t>
      </w:r>
      <w:r w:rsidR="00C36A67" w:rsidRPr="00076466">
        <w:rPr>
          <w:rStyle w:val="NICEnormalChar"/>
          <w:szCs w:val="28"/>
        </w:rPr>
        <w:t>‘</w:t>
      </w:r>
      <w:r w:rsidR="00B7679A" w:rsidRPr="00076466">
        <w:rPr>
          <w:rStyle w:val="NICEnormalChar"/>
          <w:szCs w:val="28"/>
        </w:rPr>
        <w:t xml:space="preserve">in combination with either lenalidomide and dexamethasone or dexamethasone alone for the </w:t>
      </w:r>
      <w:r w:rsidR="00B7679A" w:rsidRPr="00076466">
        <w:rPr>
          <w:rStyle w:val="NICEnormalChar"/>
          <w:szCs w:val="28"/>
        </w:rPr>
        <w:lastRenderedPageBreak/>
        <w:t>treatment of adult patients with multiple myeloma who have received at least one prior therapy</w:t>
      </w:r>
      <w:r w:rsidR="00C36A67" w:rsidRPr="00076466">
        <w:rPr>
          <w:rStyle w:val="NICEnormalChar"/>
          <w:szCs w:val="28"/>
        </w:rPr>
        <w:t>’</w:t>
      </w:r>
      <w:r w:rsidR="00B7679A" w:rsidRPr="00076466">
        <w:rPr>
          <w:rStyle w:val="NICEnormalChar"/>
          <w:szCs w:val="28"/>
        </w:rPr>
        <w:t>.</w:t>
      </w:r>
    </w:p>
    <w:p w14:paraId="2FF2056C" w14:textId="77777777" w:rsidR="00B82A82" w:rsidRPr="00076466" w:rsidRDefault="00B82A82" w:rsidP="00B82A82">
      <w:pPr>
        <w:pStyle w:val="Heading2"/>
      </w:pPr>
      <w:r w:rsidRPr="00076466">
        <w:t>Dosage in the marketing authorisation</w:t>
      </w:r>
    </w:p>
    <w:p w14:paraId="72C6D546" w14:textId="0224CAAA" w:rsidR="00B82A82" w:rsidRPr="00076466" w:rsidRDefault="00FE2CE3" w:rsidP="00530C6B">
      <w:pPr>
        <w:pStyle w:val="Numberedlevel2text"/>
        <w:keepNext w:val="0"/>
        <w:numPr>
          <w:ilvl w:val="1"/>
          <w:numId w:val="1"/>
        </w:numPr>
        <w:outlineLvl w:val="9"/>
        <w:rPr>
          <w:rStyle w:val="Numberedlevel2textChar"/>
        </w:rPr>
      </w:pPr>
      <w:r w:rsidRPr="00076466">
        <w:t xml:space="preserve">The dosage schedule is </w:t>
      </w:r>
      <w:r w:rsidR="00570524" w:rsidRPr="00076466">
        <w:t xml:space="preserve">available in the </w:t>
      </w:r>
      <w:hyperlink r:id="rId8" w:history="1">
        <w:r w:rsidR="00570524" w:rsidRPr="00076466">
          <w:rPr>
            <w:rStyle w:val="Hyperlink"/>
          </w:rPr>
          <w:t>summary of product characteristics</w:t>
        </w:r>
      </w:hyperlink>
      <w:r w:rsidR="00570524" w:rsidRPr="00076466">
        <w:t>.</w:t>
      </w:r>
    </w:p>
    <w:p w14:paraId="50F0E4DA" w14:textId="77777777" w:rsidR="00B82A82" w:rsidRPr="00076466" w:rsidRDefault="00B82A82" w:rsidP="00B82A82">
      <w:pPr>
        <w:pStyle w:val="Heading2"/>
      </w:pPr>
      <w:r w:rsidRPr="00076466">
        <w:t>Price</w:t>
      </w:r>
    </w:p>
    <w:p w14:paraId="208BB2FD" w14:textId="623AB1D6" w:rsidR="00B82A82" w:rsidRPr="00076466" w:rsidRDefault="00CE19CB" w:rsidP="005D180C">
      <w:pPr>
        <w:pStyle w:val="Numberedlevel2text"/>
        <w:keepNext w:val="0"/>
        <w:numPr>
          <w:ilvl w:val="1"/>
          <w:numId w:val="1"/>
        </w:numPr>
        <w:outlineLvl w:val="9"/>
      </w:pPr>
      <w:r w:rsidRPr="00076466">
        <w:t xml:space="preserve">The list price of carfilzomib is £1,056 for a 60-mg vial (excluding VAT; BNF online, accessed July 2020). </w:t>
      </w:r>
      <w:r w:rsidRPr="00076466">
        <w:rPr>
          <w:szCs w:val="22"/>
        </w:rPr>
        <w:t xml:space="preserve">Multiple courses of treatment will be used in combination with lenalidomide and dexamethasone. </w:t>
      </w:r>
      <w:bookmarkStart w:id="0" w:name="_Hlk24530292"/>
      <w:r w:rsidR="00B82A82" w:rsidRPr="00076466">
        <w:t>The company has a commercial arrangement, which would have applied if the technology had been recommended.</w:t>
      </w:r>
    </w:p>
    <w:bookmarkEnd w:id="0"/>
    <w:p w14:paraId="11EF5361" w14:textId="77777777" w:rsidR="00F130AD" w:rsidRPr="00076466" w:rsidRDefault="00222BEA" w:rsidP="00F130AD">
      <w:pPr>
        <w:pStyle w:val="Numberedheading1"/>
      </w:pPr>
      <w:r w:rsidRPr="00076466">
        <w:t>Committee discussion</w:t>
      </w:r>
    </w:p>
    <w:p w14:paraId="255E67D6" w14:textId="3475DBC3" w:rsidR="002B5772" w:rsidRPr="00076466" w:rsidRDefault="00BC7D9E" w:rsidP="002B5772">
      <w:pPr>
        <w:pStyle w:val="NICEnormal"/>
      </w:pPr>
      <w:r w:rsidRPr="00076466">
        <w:t xml:space="preserve">The </w:t>
      </w:r>
      <w:r w:rsidR="00343B53" w:rsidRPr="00076466">
        <w:t>a</w:t>
      </w:r>
      <w:r w:rsidRPr="00076466">
        <w:t xml:space="preserve">ppraisal </w:t>
      </w:r>
      <w:r w:rsidR="00343B53" w:rsidRPr="00076466">
        <w:t>c</w:t>
      </w:r>
      <w:r w:rsidRPr="00076466">
        <w:t xml:space="preserve">ommittee </w:t>
      </w:r>
      <w:r w:rsidR="00CD7BFC" w:rsidRPr="00076466">
        <w:t xml:space="preserve">(section </w:t>
      </w:r>
      <w:r w:rsidR="00A41645" w:rsidRPr="00076466">
        <w:t>5</w:t>
      </w:r>
      <w:r w:rsidR="00CD7BFC" w:rsidRPr="00076466">
        <w:t xml:space="preserve">) </w:t>
      </w:r>
      <w:r w:rsidRPr="00076466">
        <w:t>considered evidence submitted by</w:t>
      </w:r>
      <w:r w:rsidR="0048101A" w:rsidRPr="00076466">
        <w:t xml:space="preserve"> Amgen, </w:t>
      </w:r>
      <w:r w:rsidRPr="00076466">
        <w:t xml:space="preserve">a review of this submission by the </w:t>
      </w:r>
      <w:r w:rsidR="00343B53" w:rsidRPr="00076466">
        <w:t>e</w:t>
      </w:r>
      <w:r w:rsidRPr="00076466">
        <w:t xml:space="preserve">vidence </w:t>
      </w:r>
      <w:r w:rsidR="00343B53" w:rsidRPr="00076466">
        <w:t>r</w:t>
      </w:r>
      <w:r w:rsidRPr="00076466">
        <w:t xml:space="preserve">eview </w:t>
      </w:r>
      <w:r w:rsidR="00343B53" w:rsidRPr="00076466">
        <w:t>g</w:t>
      </w:r>
      <w:r w:rsidRPr="00076466">
        <w:t>roup (ERG)</w:t>
      </w:r>
      <w:r w:rsidR="002B5772" w:rsidRPr="00076466">
        <w:t xml:space="preserve">, the technical </w:t>
      </w:r>
      <w:r w:rsidR="00E9265B" w:rsidRPr="00076466">
        <w:t>report</w:t>
      </w:r>
      <w:r w:rsidR="000B1027" w:rsidRPr="00076466">
        <w:t>, and responses from</w:t>
      </w:r>
      <w:r w:rsidR="00E9265B" w:rsidRPr="00076466">
        <w:t xml:space="preserve"> stakeholders</w:t>
      </w:r>
      <w:r w:rsidRPr="00076466">
        <w:t>.</w:t>
      </w:r>
      <w:r w:rsidR="00C63D4E" w:rsidRPr="00076466">
        <w:t xml:space="preserve"> </w:t>
      </w:r>
      <w:r w:rsidR="002B5772" w:rsidRPr="00076466">
        <w:t xml:space="preserve">See the </w:t>
      </w:r>
      <w:hyperlink r:id="rId9" w:history="1">
        <w:r w:rsidR="002B5772" w:rsidRPr="00076466">
          <w:rPr>
            <w:rStyle w:val="Hyperlink"/>
          </w:rPr>
          <w:t>committee papers</w:t>
        </w:r>
      </w:hyperlink>
      <w:r w:rsidR="002B5772" w:rsidRPr="00076466">
        <w:t xml:space="preserve"> for full details of the evidence.</w:t>
      </w:r>
    </w:p>
    <w:p w14:paraId="31C24E0A" w14:textId="77777777" w:rsidR="006B0F36" w:rsidRPr="00076466" w:rsidRDefault="002B5772" w:rsidP="00D01B9F">
      <w:pPr>
        <w:pStyle w:val="NICEnormal"/>
      </w:pPr>
      <w:r w:rsidRPr="00076466">
        <w:t xml:space="preserve">The appraisal committee was aware </w:t>
      </w:r>
      <w:r w:rsidR="002555BE" w:rsidRPr="00076466">
        <w:t>that several</w:t>
      </w:r>
      <w:r w:rsidRPr="00076466">
        <w:t xml:space="preserve"> issues were resolved during </w:t>
      </w:r>
      <w:r w:rsidR="006D4D1A" w:rsidRPr="00076466">
        <w:t xml:space="preserve">the </w:t>
      </w:r>
      <w:r w:rsidR="00E95253" w:rsidRPr="00076466">
        <w:t>technical engagement</w:t>
      </w:r>
      <w:r w:rsidR="006D4D1A" w:rsidRPr="00076466">
        <w:t xml:space="preserve"> stage</w:t>
      </w:r>
      <w:r w:rsidR="007D1008" w:rsidRPr="00076466">
        <w:t>, and agreed that:</w:t>
      </w:r>
    </w:p>
    <w:p w14:paraId="0638B28C" w14:textId="4F716A88" w:rsidR="006B0F36" w:rsidRPr="00076466" w:rsidRDefault="009B2A54" w:rsidP="006B0F36">
      <w:pPr>
        <w:pStyle w:val="Bulletleft1"/>
      </w:pPr>
      <w:r w:rsidRPr="00076466">
        <w:t xml:space="preserve">The </w:t>
      </w:r>
      <w:r w:rsidR="00F83DC2" w:rsidRPr="00076466">
        <w:t xml:space="preserve">company’s </w:t>
      </w:r>
      <w:r w:rsidRPr="00076466">
        <w:t>positioning of carfilzomib with lenalidomide and dexamethasone is appropriate</w:t>
      </w:r>
      <w:r w:rsidR="00EC0898" w:rsidRPr="00076466">
        <w:t>,</w:t>
      </w:r>
      <w:r w:rsidRPr="00076466">
        <w:t xml:space="preserve"> </w:t>
      </w:r>
      <w:r w:rsidR="00EC0898" w:rsidRPr="00076466">
        <w:t>whether or not</w:t>
      </w:r>
      <w:r w:rsidRPr="00076466">
        <w:t xml:space="preserve"> </w:t>
      </w:r>
      <w:r w:rsidR="00EC0898" w:rsidRPr="00076466">
        <w:t xml:space="preserve">a </w:t>
      </w:r>
      <w:r w:rsidRPr="00076466">
        <w:t xml:space="preserve">stem cell transplant </w:t>
      </w:r>
      <w:r w:rsidR="00EC0898" w:rsidRPr="00076466">
        <w:t xml:space="preserve">is a suitable treatment option </w:t>
      </w:r>
      <w:r w:rsidRPr="00076466">
        <w:t>(issue 1, see technical report page 19).</w:t>
      </w:r>
    </w:p>
    <w:p w14:paraId="50D83085" w14:textId="587F8CC2" w:rsidR="009B2A54" w:rsidRPr="00076466" w:rsidRDefault="009B2A54" w:rsidP="00034E59">
      <w:pPr>
        <w:pStyle w:val="Bulletleft1last"/>
      </w:pPr>
      <w:r w:rsidRPr="00076466">
        <w:t xml:space="preserve">Based on the positioning of carfilzomib in the treatment pathway, the relevant comparator is lenalidomide </w:t>
      </w:r>
      <w:r w:rsidR="005A61CF" w:rsidRPr="00076466">
        <w:t>with</w:t>
      </w:r>
      <w:r w:rsidRPr="00076466">
        <w:t xml:space="preserve"> dexamethasone (issue 1, see technical report page 19)</w:t>
      </w:r>
      <w:r w:rsidR="00F83DC2" w:rsidRPr="00076466">
        <w:t>.</w:t>
      </w:r>
    </w:p>
    <w:p w14:paraId="03709D66" w14:textId="3047E6BD" w:rsidR="002B5772" w:rsidRPr="00076466" w:rsidRDefault="002B5772" w:rsidP="00034E59">
      <w:pPr>
        <w:pStyle w:val="NICEnormal"/>
      </w:pPr>
      <w:r w:rsidRPr="00076466">
        <w:t>It recognised that there were remaining areas of uncertainty associated with the analyses presented (see technical report</w:t>
      </w:r>
      <w:r w:rsidR="00A33919" w:rsidRPr="00076466">
        <w:t>,</w:t>
      </w:r>
      <w:r w:rsidRPr="00076466">
        <w:t xml:space="preserve"> </w:t>
      </w:r>
      <w:r w:rsidR="00A33919" w:rsidRPr="00076466">
        <w:t xml:space="preserve">table </w:t>
      </w:r>
      <w:r w:rsidR="00ED3839" w:rsidRPr="00076466">
        <w:t>11</w:t>
      </w:r>
      <w:r w:rsidR="00A33919" w:rsidRPr="00076466">
        <w:t xml:space="preserve">, </w:t>
      </w:r>
      <w:r w:rsidRPr="00076466">
        <w:t xml:space="preserve">page </w:t>
      </w:r>
      <w:r w:rsidR="00ED3839" w:rsidRPr="00076466">
        <w:t>30</w:t>
      </w:r>
      <w:r w:rsidRPr="00076466">
        <w:t>), and took these into account in its decision making. It discussed the following issues</w:t>
      </w:r>
      <w:r w:rsidR="00A33919" w:rsidRPr="00076466">
        <w:t xml:space="preserve"> (issues </w:t>
      </w:r>
      <w:r w:rsidR="00ED3839" w:rsidRPr="00076466">
        <w:t>2</w:t>
      </w:r>
      <w:r w:rsidR="009D783B" w:rsidRPr="00076466">
        <w:t xml:space="preserve">, </w:t>
      </w:r>
      <w:r w:rsidR="00ED3839" w:rsidRPr="00076466">
        <w:t>3</w:t>
      </w:r>
      <w:r w:rsidR="009D783B" w:rsidRPr="00076466">
        <w:t xml:space="preserve"> and </w:t>
      </w:r>
      <w:r w:rsidR="00ED3839" w:rsidRPr="00076466">
        <w:t>4</w:t>
      </w:r>
      <w:r w:rsidR="00A33919" w:rsidRPr="00076466">
        <w:t>)</w:t>
      </w:r>
      <w:r w:rsidRPr="00076466">
        <w:t xml:space="preserve">, which were outstanding </w:t>
      </w:r>
      <w:r w:rsidR="00E95253" w:rsidRPr="00076466">
        <w:t>after</w:t>
      </w:r>
      <w:r w:rsidRPr="00076466">
        <w:t xml:space="preserve"> </w:t>
      </w:r>
      <w:r w:rsidR="000205C6" w:rsidRPr="00076466">
        <w:t xml:space="preserve">the </w:t>
      </w:r>
      <w:r w:rsidRPr="00076466">
        <w:t>technical engagement</w:t>
      </w:r>
      <w:r w:rsidR="000205C6" w:rsidRPr="00076466">
        <w:t xml:space="preserve"> stage</w:t>
      </w:r>
      <w:r w:rsidRPr="00076466">
        <w:t>.</w:t>
      </w:r>
    </w:p>
    <w:p w14:paraId="29F07476" w14:textId="2061F3E8" w:rsidR="00A31572" w:rsidRPr="00076466" w:rsidRDefault="00A31572" w:rsidP="00A31572">
      <w:pPr>
        <w:pStyle w:val="Heading2"/>
      </w:pPr>
      <w:r w:rsidRPr="00076466">
        <w:lastRenderedPageBreak/>
        <w:t>New treatment option</w:t>
      </w:r>
    </w:p>
    <w:p w14:paraId="08B08A9E" w14:textId="31E44301" w:rsidR="00A31572" w:rsidRPr="00076466" w:rsidRDefault="00A31572" w:rsidP="00A31572">
      <w:pPr>
        <w:pStyle w:val="Heading3"/>
      </w:pPr>
      <w:r w:rsidRPr="00076466">
        <w:t>People with</w:t>
      </w:r>
      <w:r w:rsidR="00D42F9B" w:rsidRPr="00076466">
        <w:t xml:space="preserve"> previously treated</w:t>
      </w:r>
      <w:r w:rsidRPr="00076466">
        <w:t xml:space="preserve"> </w:t>
      </w:r>
      <w:r w:rsidR="002A6DEC" w:rsidRPr="00076466">
        <w:t>multiple myeloma</w:t>
      </w:r>
      <w:r w:rsidRPr="00076466">
        <w:t xml:space="preserve"> would welcome a new </w:t>
      </w:r>
      <w:r w:rsidR="00E224EB" w:rsidRPr="00076466">
        <w:t xml:space="preserve">second-line </w:t>
      </w:r>
      <w:r w:rsidRPr="00076466">
        <w:t>treatment option</w:t>
      </w:r>
    </w:p>
    <w:p w14:paraId="39750274" w14:textId="516BBF98" w:rsidR="000D2927" w:rsidRPr="00076466" w:rsidRDefault="008B35D4" w:rsidP="00164D86">
      <w:pPr>
        <w:pStyle w:val="Numberedlevel2text"/>
      </w:pPr>
      <w:r w:rsidRPr="00076466">
        <w:t xml:space="preserve">The patient expert explained that </w:t>
      </w:r>
      <w:r w:rsidR="00627DF1" w:rsidRPr="00076466">
        <w:t>m</w:t>
      </w:r>
      <w:r w:rsidR="00B12962" w:rsidRPr="00076466">
        <w:t xml:space="preserve">ultiple myeloma is </w:t>
      </w:r>
      <w:r w:rsidR="00F20106" w:rsidRPr="00076466">
        <w:t xml:space="preserve">a </w:t>
      </w:r>
      <w:r w:rsidR="00B12962" w:rsidRPr="00076466">
        <w:t xml:space="preserve">relapsing and remitting </w:t>
      </w:r>
      <w:r w:rsidR="00F20106" w:rsidRPr="00076466">
        <w:t xml:space="preserve">disease </w:t>
      </w:r>
      <w:r w:rsidR="00BB3968" w:rsidRPr="00076466">
        <w:t xml:space="preserve">with </w:t>
      </w:r>
      <w:r w:rsidR="00B12962" w:rsidRPr="00076466">
        <w:t xml:space="preserve">periods </w:t>
      </w:r>
      <w:r w:rsidR="00BB3968" w:rsidRPr="00076466">
        <w:t xml:space="preserve">of severe </w:t>
      </w:r>
      <w:r w:rsidR="00B12962" w:rsidRPr="00076466">
        <w:t xml:space="preserve">symptoms </w:t>
      </w:r>
      <w:r w:rsidR="00BB3968" w:rsidRPr="00076466">
        <w:t xml:space="preserve">that </w:t>
      </w:r>
      <w:r w:rsidR="00B12962" w:rsidRPr="00076466">
        <w:t xml:space="preserve">need treating. </w:t>
      </w:r>
      <w:r w:rsidR="007A1F3C" w:rsidRPr="00076466">
        <w:t>He</w:t>
      </w:r>
      <w:r w:rsidRPr="00076466">
        <w:t xml:space="preserve"> described how </w:t>
      </w:r>
      <w:r w:rsidR="00BE709D" w:rsidRPr="00076466">
        <w:t>difficult</w:t>
      </w:r>
      <w:r w:rsidRPr="00076466">
        <w:t xml:space="preserve"> it is</w:t>
      </w:r>
      <w:r w:rsidR="00BE709D" w:rsidRPr="00076466">
        <w:t xml:space="preserve"> not knowing when </w:t>
      </w:r>
      <w:r w:rsidR="007A1F3C" w:rsidRPr="00076466">
        <w:t>his</w:t>
      </w:r>
      <w:r w:rsidR="00BE709D" w:rsidRPr="00076466">
        <w:t xml:space="preserve"> disease will relapse</w:t>
      </w:r>
      <w:r w:rsidRPr="00076466">
        <w:t xml:space="preserve"> and </w:t>
      </w:r>
      <w:r w:rsidR="00AE1460" w:rsidRPr="00076466">
        <w:t xml:space="preserve">that </w:t>
      </w:r>
      <w:r w:rsidR="007A1F3C" w:rsidRPr="00076466">
        <w:t>he</w:t>
      </w:r>
      <w:r w:rsidRPr="00076466">
        <w:t xml:space="preserve"> </w:t>
      </w:r>
      <w:r w:rsidR="007A1F3C" w:rsidRPr="00076466">
        <w:t xml:space="preserve">has </w:t>
      </w:r>
      <w:r w:rsidR="00AE1460" w:rsidRPr="00076466">
        <w:t xml:space="preserve">to </w:t>
      </w:r>
      <w:r w:rsidRPr="00076466">
        <w:t xml:space="preserve">put </w:t>
      </w:r>
      <w:r w:rsidR="007A1F3C" w:rsidRPr="00076466">
        <w:t>his</w:t>
      </w:r>
      <w:r w:rsidRPr="00076466">
        <w:t xml:space="preserve"> life on hold</w:t>
      </w:r>
      <w:r w:rsidR="00BE709D" w:rsidRPr="00076466">
        <w:t xml:space="preserve">. </w:t>
      </w:r>
      <w:r w:rsidR="00772AC4" w:rsidRPr="00076466">
        <w:t>Treatment</w:t>
      </w:r>
      <w:r w:rsidR="00315477" w:rsidRPr="00076466">
        <w:t xml:space="preserve"> options </w:t>
      </w:r>
      <w:r w:rsidR="00B12962" w:rsidRPr="00076466">
        <w:t>for</w:t>
      </w:r>
      <w:r w:rsidR="00120333" w:rsidRPr="00076466">
        <w:t xml:space="preserve"> </w:t>
      </w:r>
      <w:r w:rsidR="00B12962" w:rsidRPr="00076466">
        <w:t xml:space="preserve">multiple myeloma after </w:t>
      </w:r>
      <w:r w:rsidR="0089374E" w:rsidRPr="00076466">
        <w:t>1</w:t>
      </w:r>
      <w:r w:rsidR="002E0E6C" w:rsidRPr="00076466">
        <w:t> </w:t>
      </w:r>
      <w:r w:rsidR="00B12962" w:rsidRPr="00076466">
        <w:t xml:space="preserve">previous </w:t>
      </w:r>
      <w:r w:rsidR="00315477" w:rsidRPr="00076466">
        <w:t xml:space="preserve">treatment depend on </w:t>
      </w:r>
      <w:r w:rsidR="004B5168" w:rsidRPr="00076466">
        <w:t>what that</w:t>
      </w:r>
      <w:r w:rsidR="00315477" w:rsidRPr="00076466">
        <w:t xml:space="preserve"> treatment </w:t>
      </w:r>
      <w:r w:rsidR="004B5168" w:rsidRPr="00076466">
        <w:t xml:space="preserve">was </w:t>
      </w:r>
      <w:r w:rsidR="00315477" w:rsidRPr="00076466">
        <w:t xml:space="preserve">and whether a </w:t>
      </w:r>
      <w:r w:rsidR="00B12962" w:rsidRPr="00076466">
        <w:t xml:space="preserve">stem cell transplant </w:t>
      </w:r>
      <w:r w:rsidR="00315477" w:rsidRPr="00076466">
        <w:t>is suitable</w:t>
      </w:r>
      <w:r w:rsidR="00842125" w:rsidRPr="00076466">
        <w:t xml:space="preserve">. </w:t>
      </w:r>
      <w:r w:rsidR="00D36AB7" w:rsidRPr="00076466">
        <w:t xml:space="preserve">If </w:t>
      </w:r>
      <w:r w:rsidR="00842125" w:rsidRPr="00076466">
        <w:t>a stem cell</w:t>
      </w:r>
      <w:r w:rsidR="00B12962" w:rsidRPr="00076466">
        <w:t xml:space="preserve"> transplant</w:t>
      </w:r>
      <w:r w:rsidR="00842125" w:rsidRPr="00076466">
        <w:t xml:space="preserve"> </w:t>
      </w:r>
      <w:r w:rsidR="00D36AB7" w:rsidRPr="00076466">
        <w:t>is suitable</w:t>
      </w:r>
      <w:r w:rsidR="00B12962" w:rsidRPr="00076466">
        <w:t>,</w:t>
      </w:r>
      <w:r w:rsidR="00842125" w:rsidRPr="00076466">
        <w:t xml:space="preserve"> </w:t>
      </w:r>
      <w:r w:rsidR="00B12962" w:rsidRPr="00076466">
        <w:t xml:space="preserve">treatment options include </w:t>
      </w:r>
      <w:hyperlink r:id="rId10" w:history="1">
        <w:r w:rsidR="00842125" w:rsidRPr="00076466">
          <w:rPr>
            <w:rStyle w:val="Hyperlink"/>
          </w:rPr>
          <w:t>daratumumab with bortezomib and dexamethasone</w:t>
        </w:r>
      </w:hyperlink>
      <w:r w:rsidR="00842125" w:rsidRPr="00076466">
        <w:t xml:space="preserve">. </w:t>
      </w:r>
      <w:r w:rsidR="00D36AB7" w:rsidRPr="00076466">
        <w:t>If a stem cell transplant is not suitable</w:t>
      </w:r>
      <w:r w:rsidR="00842125" w:rsidRPr="00076466">
        <w:t xml:space="preserve">, </w:t>
      </w:r>
      <w:r w:rsidR="0089374E" w:rsidRPr="00076466">
        <w:t xml:space="preserve">NICE </w:t>
      </w:r>
      <w:r w:rsidR="00D36AB7" w:rsidRPr="00076466">
        <w:t xml:space="preserve">guidance recommends the following </w:t>
      </w:r>
      <w:r w:rsidR="00842125" w:rsidRPr="00076466">
        <w:t>treatment options</w:t>
      </w:r>
      <w:r w:rsidR="000D2927" w:rsidRPr="00076466">
        <w:t>:</w:t>
      </w:r>
    </w:p>
    <w:p w14:paraId="5DB4D79C" w14:textId="4DFE07A3" w:rsidR="000D2927" w:rsidRPr="00076466" w:rsidRDefault="00FB380A" w:rsidP="000D2927">
      <w:pPr>
        <w:pStyle w:val="Bulletindent1"/>
      </w:pPr>
      <w:hyperlink r:id="rId11" w:history="1">
        <w:r w:rsidR="000D2927" w:rsidRPr="00076466">
          <w:rPr>
            <w:rStyle w:val="Hyperlink"/>
          </w:rPr>
          <w:t>bortezomib monotherapy</w:t>
        </w:r>
      </w:hyperlink>
    </w:p>
    <w:p w14:paraId="2577E1CA" w14:textId="767DE8AD" w:rsidR="000D2927" w:rsidRPr="00076466" w:rsidRDefault="00FB380A" w:rsidP="000F1014">
      <w:pPr>
        <w:pStyle w:val="Bulletindent1"/>
      </w:pPr>
      <w:hyperlink r:id="rId12" w:history="1">
        <w:r w:rsidR="005A61CF" w:rsidRPr="00076466">
          <w:rPr>
            <w:rStyle w:val="Hyperlink"/>
          </w:rPr>
          <w:t>carfilzomib with dexamethasone</w:t>
        </w:r>
      </w:hyperlink>
    </w:p>
    <w:p w14:paraId="2BC4023E" w14:textId="4D5D4B51" w:rsidR="000D2927" w:rsidRPr="00076466" w:rsidRDefault="00FB380A" w:rsidP="000D2927">
      <w:pPr>
        <w:pStyle w:val="Bulletindent1"/>
      </w:pPr>
      <w:hyperlink r:id="rId13" w:history="1">
        <w:r w:rsidR="005A61CF" w:rsidRPr="00076466">
          <w:rPr>
            <w:rStyle w:val="Hyperlink"/>
          </w:rPr>
          <w:t>lenalidomide with dexamethasone</w:t>
        </w:r>
      </w:hyperlink>
      <w:r w:rsidR="000D2927" w:rsidRPr="00076466">
        <w:t xml:space="preserve"> after </w:t>
      </w:r>
      <w:r w:rsidR="004202EB">
        <w:t>1</w:t>
      </w:r>
      <w:r w:rsidR="00D11359">
        <w:t> </w:t>
      </w:r>
      <w:r w:rsidR="004202EB">
        <w:t xml:space="preserve">previous treatment that included </w:t>
      </w:r>
      <w:r w:rsidR="000D2927" w:rsidRPr="00076466">
        <w:t>bortezomib</w:t>
      </w:r>
    </w:p>
    <w:p w14:paraId="72AE024C" w14:textId="0B629E48" w:rsidR="00B53F3B" w:rsidRPr="00076466" w:rsidRDefault="00FB380A" w:rsidP="000D2927">
      <w:pPr>
        <w:pStyle w:val="Bulletindent1"/>
      </w:pPr>
      <w:hyperlink r:id="rId14" w:history="1">
        <w:r w:rsidR="00B53F3B" w:rsidRPr="00076466">
          <w:rPr>
            <w:rStyle w:val="Hyperlink"/>
          </w:rPr>
          <w:t>daratumumab with bortezomib and dexamethasone</w:t>
        </w:r>
      </w:hyperlink>
      <w:r w:rsidR="00B53F3B" w:rsidRPr="00076466">
        <w:t xml:space="preserve"> (recommended for use within the Cancer Drugs Fund after 1 </w:t>
      </w:r>
      <w:r w:rsidR="00DF12F6" w:rsidRPr="00076466">
        <w:t>previous treatment</w:t>
      </w:r>
      <w:r w:rsidR="00B53F3B" w:rsidRPr="00076466">
        <w:t>)</w:t>
      </w:r>
      <w:r w:rsidR="00DF12F6" w:rsidRPr="00076466">
        <w:t>.</w:t>
      </w:r>
    </w:p>
    <w:p w14:paraId="74DBA4E8" w14:textId="77777777" w:rsidR="000D2927" w:rsidRPr="00076466" w:rsidRDefault="000D2927" w:rsidP="00B53F3B">
      <w:pPr>
        <w:pStyle w:val="Bulletindent1"/>
        <w:numPr>
          <w:ilvl w:val="0"/>
          <w:numId w:val="0"/>
        </w:numPr>
      </w:pPr>
    </w:p>
    <w:p w14:paraId="77C28844" w14:textId="4290BC81" w:rsidR="00A31572" w:rsidRPr="00076466" w:rsidRDefault="00D36AB7" w:rsidP="000D2927">
      <w:pPr>
        <w:pStyle w:val="Numberedlevel2text"/>
        <w:numPr>
          <w:ilvl w:val="0"/>
          <w:numId w:val="0"/>
        </w:numPr>
        <w:ind w:left="1134"/>
      </w:pPr>
      <w:r w:rsidRPr="00076466">
        <w:t xml:space="preserve">The patient </w:t>
      </w:r>
      <w:r w:rsidR="00A31572" w:rsidRPr="00076466">
        <w:t>experts explained</w:t>
      </w:r>
      <w:r w:rsidR="00F40998" w:rsidRPr="00076466">
        <w:t xml:space="preserve"> that the</w:t>
      </w:r>
      <w:r w:rsidR="005B4D98" w:rsidRPr="00076466">
        <w:t xml:space="preserve">re is a need for effective </w:t>
      </w:r>
      <w:r w:rsidR="00992AAE" w:rsidRPr="00076466">
        <w:t xml:space="preserve">second-line </w:t>
      </w:r>
      <w:r w:rsidR="005B4D98" w:rsidRPr="00076466">
        <w:t>therapies</w:t>
      </w:r>
      <w:r w:rsidR="00992AAE" w:rsidRPr="00076466">
        <w:t>,</w:t>
      </w:r>
      <w:r w:rsidR="005B4D98" w:rsidRPr="00076466">
        <w:t xml:space="preserve"> and the</w:t>
      </w:r>
      <w:r w:rsidR="00F40998" w:rsidRPr="00076466">
        <w:t xml:space="preserve"> availability of </w:t>
      </w:r>
      <w:r w:rsidR="005B4D98" w:rsidRPr="00076466">
        <w:t xml:space="preserve">effective </w:t>
      </w:r>
      <w:r w:rsidR="00F40998" w:rsidRPr="00076466">
        <w:t xml:space="preserve">combination </w:t>
      </w:r>
      <w:r w:rsidR="005B4D98" w:rsidRPr="00076466">
        <w:t>treatments</w:t>
      </w:r>
      <w:r w:rsidR="00F40998" w:rsidRPr="00076466">
        <w:t xml:space="preserve"> with differe</w:t>
      </w:r>
      <w:r w:rsidR="005B4D98" w:rsidRPr="00076466">
        <w:t xml:space="preserve">nt mechanisms of action </w:t>
      </w:r>
      <w:r w:rsidR="00FD6220" w:rsidRPr="00076466">
        <w:t xml:space="preserve">is </w:t>
      </w:r>
      <w:r w:rsidR="005B4D98" w:rsidRPr="00076466">
        <w:t xml:space="preserve">highly important when relapse occurs. </w:t>
      </w:r>
      <w:r w:rsidR="00A31572" w:rsidRPr="00076466">
        <w:t xml:space="preserve">They explained that the potential for improved quality of life </w:t>
      </w:r>
      <w:r w:rsidR="00FD6220" w:rsidRPr="00076466">
        <w:t>during</w:t>
      </w:r>
      <w:r w:rsidR="00864076" w:rsidRPr="00076466">
        <w:t xml:space="preserve"> prolonged remission </w:t>
      </w:r>
      <w:r w:rsidR="00A31572" w:rsidRPr="00076466">
        <w:t xml:space="preserve">is important, as well as the potential for improved survival. The committee concluded that people with </w:t>
      </w:r>
      <w:r w:rsidR="00F40998" w:rsidRPr="00076466">
        <w:t>multiple myeloma</w:t>
      </w:r>
      <w:r w:rsidR="00A31572" w:rsidRPr="00076466">
        <w:t xml:space="preserve"> </w:t>
      </w:r>
      <w:r w:rsidR="00A31572" w:rsidRPr="00076466">
        <w:lastRenderedPageBreak/>
        <w:t xml:space="preserve">would welcome a new </w:t>
      </w:r>
      <w:r w:rsidR="00E224EB" w:rsidRPr="00076466">
        <w:t xml:space="preserve">second-line </w:t>
      </w:r>
      <w:r w:rsidR="00A31572" w:rsidRPr="00076466">
        <w:t>treatment</w:t>
      </w:r>
      <w:r w:rsidR="00756E17" w:rsidRPr="00076466">
        <w:t xml:space="preserve"> </w:t>
      </w:r>
      <w:r w:rsidR="00A31572" w:rsidRPr="00076466">
        <w:t xml:space="preserve">that </w:t>
      </w:r>
      <w:r w:rsidR="004B5168" w:rsidRPr="00076466">
        <w:t xml:space="preserve">gives longer periods of </w:t>
      </w:r>
      <w:r w:rsidR="00F40998" w:rsidRPr="00076466">
        <w:t>remission</w:t>
      </w:r>
      <w:r w:rsidR="00235A1D" w:rsidRPr="00076466">
        <w:t xml:space="preserve"> </w:t>
      </w:r>
      <w:r w:rsidR="00A31572" w:rsidRPr="00076466">
        <w:t xml:space="preserve">and </w:t>
      </w:r>
      <w:r w:rsidR="004B5168" w:rsidRPr="00076466">
        <w:t xml:space="preserve">improves </w:t>
      </w:r>
      <w:r w:rsidR="00F40998" w:rsidRPr="00076466">
        <w:t>survival.</w:t>
      </w:r>
    </w:p>
    <w:p w14:paraId="39394B05" w14:textId="77777777" w:rsidR="00B8504F" w:rsidRPr="00076466" w:rsidRDefault="00B8504F" w:rsidP="00B8504F">
      <w:pPr>
        <w:pStyle w:val="Heading2"/>
      </w:pPr>
      <w:r w:rsidRPr="00076466">
        <w:t>Comparators</w:t>
      </w:r>
    </w:p>
    <w:p w14:paraId="65FFBF67" w14:textId="783D90FE" w:rsidR="00B8504F" w:rsidRPr="00076466" w:rsidRDefault="00B8504F" w:rsidP="00B8504F">
      <w:pPr>
        <w:pStyle w:val="Heading3"/>
      </w:pPr>
      <w:r w:rsidRPr="00076466">
        <w:t>Lenalidomide and dexamethasone is the only relevant comparator</w:t>
      </w:r>
    </w:p>
    <w:p w14:paraId="59E0E38D" w14:textId="3E3F6895" w:rsidR="00A31572" w:rsidRPr="00076466" w:rsidRDefault="00B8504F" w:rsidP="004202EB">
      <w:pPr>
        <w:pStyle w:val="Numberedlevel2text"/>
      </w:pPr>
      <w:r w:rsidRPr="00076466">
        <w:t xml:space="preserve">The clinical evidence came from ASPIRE, an </w:t>
      </w:r>
      <w:proofErr w:type="gramStart"/>
      <w:r w:rsidRPr="00076466">
        <w:t>open-label</w:t>
      </w:r>
      <w:proofErr w:type="gramEnd"/>
      <w:r w:rsidRPr="00076466">
        <w:t xml:space="preserve">, randomised multicentre trial </w:t>
      </w:r>
      <w:bookmarkStart w:id="1" w:name="_Hlk45716009"/>
      <w:bookmarkStart w:id="2" w:name="_Hlk45716669"/>
      <w:r w:rsidR="004202EB">
        <w:t xml:space="preserve">of </w:t>
      </w:r>
      <w:r w:rsidRPr="00076466">
        <w:t xml:space="preserve">carfilzomib </w:t>
      </w:r>
      <w:bookmarkEnd w:id="1"/>
      <w:r w:rsidRPr="00076466">
        <w:t xml:space="preserve">with </w:t>
      </w:r>
      <w:bookmarkStart w:id="3" w:name="_Hlk45716021"/>
      <w:r w:rsidRPr="00076466">
        <w:t>lenalidomide and dexamethasone</w:t>
      </w:r>
      <w:bookmarkEnd w:id="3"/>
      <w:bookmarkEnd w:id="2"/>
      <w:r w:rsidRPr="00076466">
        <w:t xml:space="preserve"> </w:t>
      </w:r>
      <w:r w:rsidR="004202EB" w:rsidRPr="004202EB">
        <w:t xml:space="preserve">compared </w:t>
      </w:r>
      <w:r w:rsidRPr="00076466">
        <w:t xml:space="preserve">with lenalidomide and dexamethasone. The company </w:t>
      </w:r>
      <w:r w:rsidR="0043309B" w:rsidRPr="00076466">
        <w:t xml:space="preserve">submission </w:t>
      </w:r>
      <w:r w:rsidRPr="00076466">
        <w:t>included</w:t>
      </w:r>
      <w:r w:rsidR="0022703E" w:rsidRPr="00076466">
        <w:t xml:space="preserve"> </w:t>
      </w:r>
      <w:r w:rsidRPr="00076466">
        <w:t xml:space="preserve">a </w:t>
      </w:r>
      <w:r w:rsidR="004E4536" w:rsidRPr="00076466">
        <w:t>matched-adjusted indirect comparison</w:t>
      </w:r>
      <w:r w:rsidRPr="00076466">
        <w:t xml:space="preserve"> of </w:t>
      </w:r>
      <w:bookmarkStart w:id="4" w:name="_Hlk45716193"/>
      <w:r w:rsidR="00D8465B" w:rsidRPr="00076466">
        <w:t xml:space="preserve">carfilzomib </w:t>
      </w:r>
      <w:r w:rsidR="00091B8E" w:rsidRPr="00076466">
        <w:t>with</w:t>
      </w:r>
      <w:r w:rsidR="00D8465B" w:rsidRPr="00076466">
        <w:t xml:space="preserve"> lenalidomide and dexamethasone</w:t>
      </w:r>
      <w:r w:rsidR="003D47CA" w:rsidRPr="00076466">
        <w:t xml:space="preserve"> </w:t>
      </w:r>
      <w:bookmarkEnd w:id="4"/>
      <w:r w:rsidR="00C77228">
        <w:t xml:space="preserve">against </w:t>
      </w:r>
      <w:hyperlink r:id="rId15" w:history="1">
        <w:r w:rsidR="0022703E" w:rsidRPr="00076466">
          <w:rPr>
            <w:rStyle w:val="Hyperlink"/>
          </w:rPr>
          <w:t xml:space="preserve">daratumumab </w:t>
        </w:r>
        <w:r w:rsidR="00091B8E" w:rsidRPr="00076466">
          <w:rPr>
            <w:rStyle w:val="Hyperlink"/>
          </w:rPr>
          <w:t xml:space="preserve">with </w:t>
        </w:r>
        <w:r w:rsidR="0022703E" w:rsidRPr="00076466">
          <w:rPr>
            <w:rStyle w:val="Hyperlink"/>
          </w:rPr>
          <w:t>bortezomib and dexamethasone</w:t>
        </w:r>
      </w:hyperlink>
      <w:r w:rsidR="00D11CEB" w:rsidRPr="00076466">
        <w:t xml:space="preserve">, </w:t>
      </w:r>
      <w:r w:rsidR="0022703E" w:rsidRPr="00076466">
        <w:t>which is recommended for use within the Cancer Drugs Fund</w:t>
      </w:r>
      <w:r w:rsidR="00F729C4" w:rsidRPr="00076466">
        <w:t xml:space="preserve"> for treating relapsed multiple myeloma </w:t>
      </w:r>
      <w:r w:rsidR="002A26CB" w:rsidRPr="00076466">
        <w:t xml:space="preserve">after </w:t>
      </w:r>
      <w:r w:rsidR="00F729C4" w:rsidRPr="00076466">
        <w:t>1</w:t>
      </w:r>
      <w:r w:rsidR="002A26CB" w:rsidRPr="00076466">
        <w:t> </w:t>
      </w:r>
      <w:r w:rsidR="00F729C4" w:rsidRPr="00076466">
        <w:t>previous treatment</w:t>
      </w:r>
      <w:r w:rsidR="0022703E" w:rsidRPr="00076466">
        <w:t xml:space="preserve">. </w:t>
      </w:r>
      <w:r w:rsidR="00141D07" w:rsidRPr="00076466">
        <w:t xml:space="preserve">The evidence for this comparison was not presented to the committee </w:t>
      </w:r>
      <w:r w:rsidR="00FD6220" w:rsidRPr="00076466">
        <w:t>because of</w:t>
      </w:r>
      <w:r w:rsidR="0022703E" w:rsidRPr="00076466">
        <w:t xml:space="preserve"> </w:t>
      </w:r>
      <w:r w:rsidR="00772AC4" w:rsidRPr="00076466">
        <w:t>NICE's position statement on the Cancer Drugs Fund</w:t>
      </w:r>
      <w:r w:rsidR="008A18F3" w:rsidRPr="00076466">
        <w:t xml:space="preserve">. This </w:t>
      </w:r>
      <w:r w:rsidR="00141D07" w:rsidRPr="00076466">
        <w:t xml:space="preserve">states that technologies recommended by NICE for use within the Cancer Drugs Fund cannot be considered established practice and therefore </w:t>
      </w:r>
      <w:r w:rsidR="0043309B" w:rsidRPr="00076466">
        <w:t>can</w:t>
      </w:r>
      <w:r w:rsidR="00141D07" w:rsidRPr="00076466">
        <w:t xml:space="preserve">not </w:t>
      </w:r>
      <w:r w:rsidR="0043309B" w:rsidRPr="00076466">
        <w:t xml:space="preserve">be </w:t>
      </w:r>
      <w:r w:rsidR="00141D07" w:rsidRPr="00076466">
        <w:t xml:space="preserve">considered as comparators in new appraisals. </w:t>
      </w:r>
      <w:r w:rsidR="0022703E" w:rsidRPr="00076466">
        <w:t xml:space="preserve">The clinical expert </w:t>
      </w:r>
      <w:r w:rsidR="002A26CB" w:rsidRPr="00076466">
        <w:t xml:space="preserve">explained </w:t>
      </w:r>
      <w:r w:rsidR="00D13511" w:rsidRPr="00076466">
        <w:t xml:space="preserve">that </w:t>
      </w:r>
      <w:r w:rsidR="002A26CB" w:rsidRPr="00076466">
        <w:t>many</w:t>
      </w:r>
      <w:r w:rsidR="00D13511" w:rsidRPr="00076466">
        <w:t xml:space="preserve"> patients </w:t>
      </w:r>
      <w:r w:rsidR="00E712E4" w:rsidRPr="00076466">
        <w:t>have</w:t>
      </w:r>
      <w:r w:rsidR="00D13511" w:rsidRPr="00076466">
        <w:t xml:space="preserve"> </w:t>
      </w:r>
      <w:r w:rsidR="002A26CB" w:rsidRPr="00076466">
        <w:t xml:space="preserve">daratumumab </w:t>
      </w:r>
      <w:r w:rsidR="00091B8E" w:rsidRPr="00076466">
        <w:t>with</w:t>
      </w:r>
      <w:r w:rsidR="002A26CB" w:rsidRPr="00076466">
        <w:t xml:space="preserve"> bortezomib and dexamethasone</w:t>
      </w:r>
      <w:r w:rsidR="00D35CCD" w:rsidRPr="00076466">
        <w:t xml:space="preserve"> as second-line treatment</w:t>
      </w:r>
      <w:r w:rsidR="00D13511" w:rsidRPr="00076466">
        <w:t xml:space="preserve">, so the </w:t>
      </w:r>
      <w:r w:rsidR="007D1447" w:rsidRPr="00076466">
        <w:t xml:space="preserve">comparison with </w:t>
      </w:r>
      <w:r w:rsidR="00E712E4" w:rsidRPr="00076466">
        <w:t xml:space="preserve">lenalidomide and dexamethasone </w:t>
      </w:r>
      <w:r w:rsidR="00D35CCD" w:rsidRPr="00076466">
        <w:t>does not fully reflect clinical practice</w:t>
      </w:r>
      <w:r w:rsidR="00D23610" w:rsidRPr="00076466">
        <w:t>.</w:t>
      </w:r>
      <w:r w:rsidR="00D13511" w:rsidRPr="00076466">
        <w:t xml:space="preserve"> </w:t>
      </w:r>
      <w:r w:rsidR="0022703E" w:rsidRPr="00076466">
        <w:t xml:space="preserve">The committee </w:t>
      </w:r>
      <w:r w:rsidR="007A1F3C" w:rsidRPr="00076466">
        <w:t>noted</w:t>
      </w:r>
      <w:r w:rsidR="0043309B" w:rsidRPr="00076466">
        <w:t xml:space="preserve"> </w:t>
      </w:r>
      <w:r w:rsidR="00D13511" w:rsidRPr="00076466">
        <w:t xml:space="preserve">that </w:t>
      </w:r>
      <w:r w:rsidR="002A26CB" w:rsidRPr="00076466">
        <w:t xml:space="preserve">daratumumab </w:t>
      </w:r>
      <w:r w:rsidR="00091B8E" w:rsidRPr="00076466">
        <w:t>with</w:t>
      </w:r>
      <w:r w:rsidR="002A26CB" w:rsidRPr="00076466">
        <w:t xml:space="preserve"> bortezomib and dexamethasone</w:t>
      </w:r>
      <w:r w:rsidR="00D13511" w:rsidRPr="00076466">
        <w:t xml:space="preserve"> </w:t>
      </w:r>
      <w:r w:rsidR="002A26CB" w:rsidRPr="00076466">
        <w:t xml:space="preserve">was </w:t>
      </w:r>
      <w:r w:rsidR="00D13511" w:rsidRPr="00076466">
        <w:t>recommended for</w:t>
      </w:r>
      <w:r w:rsidR="00F729C4" w:rsidRPr="00076466">
        <w:t xml:space="preserve"> use</w:t>
      </w:r>
      <w:r w:rsidR="00D13511" w:rsidRPr="00076466">
        <w:t xml:space="preserve"> within the Cancer Drugs Fund</w:t>
      </w:r>
      <w:r w:rsidR="00141D07" w:rsidRPr="00076466">
        <w:t xml:space="preserve"> </w:t>
      </w:r>
      <w:r w:rsidR="002A26CB" w:rsidRPr="00076466">
        <w:t xml:space="preserve">because </w:t>
      </w:r>
      <w:r w:rsidR="00D13511" w:rsidRPr="00076466">
        <w:t>the</w:t>
      </w:r>
      <w:r w:rsidR="00141D07" w:rsidRPr="00076466">
        <w:t xml:space="preserve"> </w:t>
      </w:r>
      <w:r w:rsidR="00EA1F24" w:rsidRPr="00076466">
        <w:t xml:space="preserve">clinical and cost-effectiveness estimates </w:t>
      </w:r>
      <w:r w:rsidR="002A26CB" w:rsidRPr="00076466">
        <w:t xml:space="preserve">were </w:t>
      </w:r>
      <w:r w:rsidR="00EA1F24" w:rsidRPr="00076466">
        <w:t>too great to make a</w:t>
      </w:r>
      <w:r w:rsidR="00141D07" w:rsidRPr="00076466">
        <w:t xml:space="preserve"> </w:t>
      </w:r>
      <w:r w:rsidR="00EA1F24" w:rsidRPr="00076466">
        <w:t>recommendation</w:t>
      </w:r>
      <w:r w:rsidR="00141D07" w:rsidRPr="00076466">
        <w:t xml:space="preserve"> for routine commissioning</w:t>
      </w:r>
      <w:r w:rsidR="00EA1F24" w:rsidRPr="00076466">
        <w:t>.</w:t>
      </w:r>
      <w:r w:rsidR="00464425" w:rsidRPr="00076466">
        <w:t xml:space="preserve"> </w:t>
      </w:r>
      <w:r w:rsidR="0043309B" w:rsidRPr="00076466">
        <w:t xml:space="preserve">The committee also noted that technologies recommended for use within the Cancer Drugs Fund might not subsequently be recommended for routine commissioning. </w:t>
      </w:r>
      <w:r w:rsidR="002A26CB" w:rsidRPr="00076466">
        <w:t xml:space="preserve">It </w:t>
      </w:r>
      <w:r w:rsidR="00141D07" w:rsidRPr="00076466">
        <w:t xml:space="preserve">therefore </w:t>
      </w:r>
      <w:r w:rsidR="00464425" w:rsidRPr="00076466">
        <w:t>concluded that based on</w:t>
      </w:r>
      <w:r w:rsidR="0022703E" w:rsidRPr="00076466">
        <w:t xml:space="preserve"> NICE’s position </w:t>
      </w:r>
      <w:r w:rsidR="0022703E" w:rsidRPr="00076466">
        <w:lastRenderedPageBreak/>
        <w:t xml:space="preserve">statement on </w:t>
      </w:r>
      <w:r w:rsidR="00464425" w:rsidRPr="00076466">
        <w:t xml:space="preserve">the use </w:t>
      </w:r>
      <w:r w:rsidR="002A26CB" w:rsidRPr="00076466">
        <w:t xml:space="preserve">of </w:t>
      </w:r>
      <w:r w:rsidR="0022703E" w:rsidRPr="00076466">
        <w:t>C</w:t>
      </w:r>
      <w:r w:rsidR="00F729C4" w:rsidRPr="00076466">
        <w:t xml:space="preserve">ancer </w:t>
      </w:r>
      <w:r w:rsidR="0022703E" w:rsidRPr="00076466">
        <w:t>D</w:t>
      </w:r>
      <w:r w:rsidR="00F729C4" w:rsidRPr="00076466">
        <w:t xml:space="preserve">rugs </w:t>
      </w:r>
      <w:r w:rsidR="0022703E" w:rsidRPr="00076466">
        <w:t>F</w:t>
      </w:r>
      <w:r w:rsidR="00F729C4" w:rsidRPr="00076466">
        <w:t>und</w:t>
      </w:r>
      <w:r w:rsidR="0022703E" w:rsidRPr="00076466">
        <w:t xml:space="preserve"> comparators</w:t>
      </w:r>
      <w:r w:rsidR="00464425" w:rsidRPr="00076466">
        <w:t xml:space="preserve"> in appraisals, lenalidomide and dexamethasone is the only relevant comparator.</w:t>
      </w:r>
    </w:p>
    <w:p w14:paraId="3BBCF9D1" w14:textId="2C4712E8" w:rsidR="00643582" w:rsidRPr="00076466" w:rsidRDefault="006E60E6" w:rsidP="00643582">
      <w:pPr>
        <w:pStyle w:val="Heading2"/>
      </w:pPr>
      <w:r w:rsidRPr="00076466">
        <w:t>Treatment pathway and p</w:t>
      </w:r>
      <w:r w:rsidR="00743947" w:rsidRPr="00076466">
        <w:t>o</w:t>
      </w:r>
      <w:r w:rsidR="00811FE4" w:rsidRPr="00076466">
        <w:t>sitioning</w:t>
      </w:r>
    </w:p>
    <w:p w14:paraId="152C7D0A" w14:textId="4D49A579" w:rsidR="00464425" w:rsidRPr="00076466" w:rsidRDefault="00743947" w:rsidP="00464425">
      <w:pPr>
        <w:pStyle w:val="Heading3"/>
      </w:pPr>
      <w:r w:rsidRPr="00076466">
        <w:t xml:space="preserve">The relevant population is people </w:t>
      </w:r>
      <w:r w:rsidR="00B64B27" w:rsidRPr="00076466">
        <w:t xml:space="preserve">who </w:t>
      </w:r>
      <w:r w:rsidRPr="00076466">
        <w:t xml:space="preserve">have had </w:t>
      </w:r>
      <w:r w:rsidR="00421216" w:rsidRPr="00076466">
        <w:t xml:space="preserve">1 previous </w:t>
      </w:r>
      <w:r w:rsidRPr="00076466">
        <w:t>bortezomib</w:t>
      </w:r>
      <w:r w:rsidR="00BD2A91" w:rsidRPr="00076466">
        <w:t xml:space="preserve"> treatment</w:t>
      </w:r>
      <w:r w:rsidR="00811FE4" w:rsidRPr="00076466">
        <w:t>,</w:t>
      </w:r>
      <w:r w:rsidRPr="00076466">
        <w:t xml:space="preserve"> </w:t>
      </w:r>
      <w:r w:rsidR="00A25B86" w:rsidRPr="00076466">
        <w:t>whether or not a</w:t>
      </w:r>
      <w:r w:rsidRPr="00076466">
        <w:t xml:space="preserve"> stem cell transplant </w:t>
      </w:r>
      <w:r w:rsidR="00A25B86" w:rsidRPr="00076466">
        <w:t>is suitable</w:t>
      </w:r>
    </w:p>
    <w:p w14:paraId="76C1A9AD" w14:textId="43B0C323" w:rsidR="00464425" w:rsidRPr="00076466" w:rsidRDefault="004810F8" w:rsidP="00306565">
      <w:pPr>
        <w:pStyle w:val="Numberedlevel2text"/>
      </w:pPr>
      <w:r w:rsidRPr="00076466">
        <w:t xml:space="preserve">The committee </w:t>
      </w:r>
      <w:r w:rsidR="00CD12AD" w:rsidRPr="00076466">
        <w:t xml:space="preserve">noted </w:t>
      </w:r>
      <w:r w:rsidRPr="00076466">
        <w:t xml:space="preserve">that the treatment pathway differs depending on whether </w:t>
      </w:r>
      <w:r w:rsidR="00B64B27" w:rsidRPr="00076466">
        <w:t>a</w:t>
      </w:r>
      <w:r w:rsidRPr="00076466">
        <w:t xml:space="preserve"> person can have a stem cell transplant. </w:t>
      </w:r>
      <w:r w:rsidR="00CD12AD" w:rsidRPr="00076466">
        <w:t>It</w:t>
      </w:r>
      <w:r w:rsidR="00F34ADB" w:rsidRPr="00076466">
        <w:t xml:space="preserve"> discussed whether </w:t>
      </w:r>
      <w:r w:rsidR="00D36AB7" w:rsidRPr="00076466">
        <w:t>a person who has had</w:t>
      </w:r>
      <w:r w:rsidR="00F34ADB" w:rsidRPr="00076466">
        <w:t xml:space="preserve"> a stem cell transplant would have poorer outcomes with </w:t>
      </w:r>
      <w:r w:rsidR="009D18E7" w:rsidRPr="00076466">
        <w:t xml:space="preserve">carfilzomib </w:t>
      </w:r>
      <w:r w:rsidR="00091B8E" w:rsidRPr="00076466">
        <w:t>with</w:t>
      </w:r>
      <w:r w:rsidR="009D18E7" w:rsidRPr="00076466">
        <w:t xml:space="preserve"> lenalidomide and dexamethasone </w:t>
      </w:r>
      <w:r w:rsidR="00CD12AD" w:rsidRPr="00076466">
        <w:t>than</w:t>
      </w:r>
      <w:r w:rsidR="00F34ADB" w:rsidRPr="00076466">
        <w:t xml:space="preserve"> with </w:t>
      </w:r>
      <w:r w:rsidR="00306565" w:rsidRPr="00076466">
        <w:t>lenalidomide and dexamethasone</w:t>
      </w:r>
      <w:r w:rsidR="00F34ADB" w:rsidRPr="00076466">
        <w:t xml:space="preserve">. The clinical expert suggested that there </w:t>
      </w:r>
      <w:r w:rsidR="00D36AB7" w:rsidRPr="00076466">
        <w:t xml:space="preserve">is </w:t>
      </w:r>
      <w:r w:rsidR="00F34ADB" w:rsidRPr="00076466">
        <w:t xml:space="preserve">no clinical reason for treatment to work differently in a </w:t>
      </w:r>
      <w:r w:rsidR="00B64B27" w:rsidRPr="00076466">
        <w:t>person</w:t>
      </w:r>
      <w:r w:rsidR="00F34ADB" w:rsidRPr="00076466">
        <w:t xml:space="preserve"> who </w:t>
      </w:r>
      <w:r w:rsidR="009519D6" w:rsidRPr="00076466">
        <w:t xml:space="preserve">has </w:t>
      </w:r>
      <w:r w:rsidR="00D36AB7" w:rsidRPr="00076466">
        <w:t xml:space="preserve">had a </w:t>
      </w:r>
      <w:r w:rsidR="00CA79DF" w:rsidRPr="00076466">
        <w:t xml:space="preserve">stem cell </w:t>
      </w:r>
      <w:r w:rsidR="00D36AB7" w:rsidRPr="00076466">
        <w:t xml:space="preserve">transplant </w:t>
      </w:r>
      <w:r w:rsidR="009519D6" w:rsidRPr="00076466">
        <w:t xml:space="preserve">compared with </w:t>
      </w:r>
      <w:r w:rsidR="00D36AB7" w:rsidRPr="00076466">
        <w:t xml:space="preserve">someone </w:t>
      </w:r>
      <w:r w:rsidR="009519D6" w:rsidRPr="00076466">
        <w:t xml:space="preserve">who </w:t>
      </w:r>
      <w:r w:rsidR="00D36AB7" w:rsidRPr="00076466">
        <w:t xml:space="preserve">has </w:t>
      </w:r>
      <w:r w:rsidR="00F34ADB" w:rsidRPr="00076466">
        <w:t xml:space="preserve">not. The committee </w:t>
      </w:r>
      <w:r w:rsidR="009519D6" w:rsidRPr="00076466">
        <w:t>understood</w:t>
      </w:r>
      <w:r w:rsidR="00F34ADB" w:rsidRPr="00076466">
        <w:t xml:space="preserve"> that the </w:t>
      </w:r>
      <w:r w:rsidR="009519D6" w:rsidRPr="00076466">
        <w:t>myeloma treatment pathway is continually evolving</w:t>
      </w:r>
      <w:r w:rsidR="00B8375D" w:rsidRPr="00076466">
        <w:t>. It noted that</w:t>
      </w:r>
      <w:r w:rsidR="009519D6" w:rsidRPr="00076466">
        <w:t xml:space="preserve"> </w:t>
      </w:r>
      <w:r w:rsidR="00B8375D" w:rsidRPr="00076466">
        <w:t xml:space="preserve">the </w:t>
      </w:r>
      <w:r w:rsidR="00F34ADB" w:rsidRPr="00076466">
        <w:t>introduction of</w:t>
      </w:r>
      <w:r w:rsidR="009D18E7" w:rsidRPr="00076466">
        <w:t xml:space="preserve"> carfilzomib </w:t>
      </w:r>
      <w:r w:rsidR="00091B8E" w:rsidRPr="00076466">
        <w:t>with</w:t>
      </w:r>
      <w:r w:rsidR="009D18E7" w:rsidRPr="00076466">
        <w:t xml:space="preserve"> lenalidomide and dexamethasone</w:t>
      </w:r>
      <w:r w:rsidR="00F34ADB" w:rsidRPr="00076466">
        <w:t xml:space="preserve"> </w:t>
      </w:r>
      <w:r w:rsidR="009519D6" w:rsidRPr="00076466">
        <w:t>as a second</w:t>
      </w:r>
      <w:r w:rsidR="0070542B" w:rsidRPr="00076466">
        <w:t>-</w:t>
      </w:r>
      <w:r w:rsidR="009519D6" w:rsidRPr="00076466">
        <w:t>line treatment option would help to address the</w:t>
      </w:r>
      <w:r w:rsidR="00E95FBB">
        <w:t xml:space="preserve"> </w:t>
      </w:r>
      <w:r w:rsidR="009519D6" w:rsidRPr="00076466">
        <w:t xml:space="preserve">need </w:t>
      </w:r>
      <w:r w:rsidR="00CD12AD" w:rsidRPr="00076466">
        <w:t>for</w:t>
      </w:r>
      <w:r w:rsidR="009519D6" w:rsidRPr="00076466">
        <w:t xml:space="preserve"> effective therapies with alternative mechanisms of action.</w:t>
      </w:r>
      <w:r w:rsidR="00EF3129" w:rsidRPr="00076466">
        <w:t xml:space="preserve"> </w:t>
      </w:r>
      <w:r w:rsidR="00B626EA" w:rsidRPr="00076466">
        <w:t xml:space="preserve">It </w:t>
      </w:r>
      <w:r w:rsidR="003476F5" w:rsidRPr="00076466">
        <w:t xml:space="preserve">agreed </w:t>
      </w:r>
      <w:r w:rsidR="00CA79DF" w:rsidRPr="00076466">
        <w:t xml:space="preserve">that the company’s approach </w:t>
      </w:r>
      <w:r w:rsidR="00333D4A" w:rsidRPr="00076466">
        <w:t xml:space="preserve">of restricting </w:t>
      </w:r>
      <w:r w:rsidR="00CA79DF" w:rsidRPr="00076466">
        <w:t xml:space="preserve">the population </w:t>
      </w:r>
      <w:r w:rsidR="00B626EA" w:rsidRPr="00076466">
        <w:t xml:space="preserve">to </w:t>
      </w:r>
      <w:r w:rsidR="00333D4A" w:rsidRPr="00076466">
        <w:t xml:space="preserve">people </w:t>
      </w:r>
      <w:r w:rsidR="00CA79DF" w:rsidRPr="00076466">
        <w:t>who have had</w:t>
      </w:r>
      <w:r w:rsidR="00B626EA" w:rsidRPr="00076466">
        <w:t xml:space="preserve"> 1 </w:t>
      </w:r>
      <w:r w:rsidR="00333D4A" w:rsidRPr="00076466">
        <w:t>previous</w:t>
      </w:r>
      <w:r w:rsidR="00B626EA" w:rsidRPr="00076466">
        <w:t xml:space="preserve"> bortezomib</w:t>
      </w:r>
      <w:r w:rsidR="00CA79DF" w:rsidRPr="00076466">
        <w:t xml:space="preserve"> </w:t>
      </w:r>
      <w:r w:rsidR="00333D4A" w:rsidRPr="00076466">
        <w:t xml:space="preserve">treatment </w:t>
      </w:r>
      <w:r w:rsidR="00CA79DF" w:rsidRPr="00076466">
        <w:t>is reasonable</w:t>
      </w:r>
      <w:r w:rsidR="00B626EA" w:rsidRPr="00076466">
        <w:t xml:space="preserve">, provided </w:t>
      </w:r>
      <w:r w:rsidR="00333D4A" w:rsidRPr="00076466">
        <w:t xml:space="preserve">they </w:t>
      </w:r>
      <w:r w:rsidR="00B626EA" w:rsidRPr="00076466">
        <w:t xml:space="preserve">were not </w:t>
      </w:r>
      <w:r w:rsidR="00CA79DF" w:rsidRPr="00076466">
        <w:t>refractory</w:t>
      </w:r>
      <w:r w:rsidR="00B626EA" w:rsidRPr="00076466">
        <w:t xml:space="preserve"> to </w:t>
      </w:r>
      <w:r w:rsidR="00CD12AD" w:rsidRPr="00076466">
        <w:t>it</w:t>
      </w:r>
      <w:r w:rsidR="00CA79DF" w:rsidRPr="00076466">
        <w:t xml:space="preserve">. </w:t>
      </w:r>
      <w:r w:rsidR="00F34ADB" w:rsidRPr="00076466">
        <w:t xml:space="preserve">The committee </w:t>
      </w:r>
      <w:r w:rsidR="009519D6" w:rsidRPr="00076466">
        <w:t>concluded</w:t>
      </w:r>
      <w:r w:rsidR="00F34ADB" w:rsidRPr="00076466">
        <w:t xml:space="preserve"> that the population relevant to this appraisal </w:t>
      </w:r>
      <w:r w:rsidR="00333D4A" w:rsidRPr="00076466">
        <w:t xml:space="preserve">is </w:t>
      </w:r>
      <w:r w:rsidR="00F34ADB" w:rsidRPr="00076466">
        <w:t xml:space="preserve">people who have </w:t>
      </w:r>
      <w:r w:rsidR="00333D4A" w:rsidRPr="00076466">
        <w:t xml:space="preserve">had </w:t>
      </w:r>
      <w:r w:rsidR="006130D0" w:rsidRPr="00076466">
        <w:t>1</w:t>
      </w:r>
      <w:r w:rsidR="009C4C6A" w:rsidRPr="00076466">
        <w:t> </w:t>
      </w:r>
      <w:r w:rsidR="00333D4A" w:rsidRPr="00076466">
        <w:t xml:space="preserve">previous treatment </w:t>
      </w:r>
      <w:r w:rsidR="00F34ADB" w:rsidRPr="00076466">
        <w:t xml:space="preserve">with bortezomib, </w:t>
      </w:r>
      <w:r w:rsidR="00333D4A" w:rsidRPr="00076466">
        <w:t>whether or not a</w:t>
      </w:r>
      <w:r w:rsidR="00F34ADB" w:rsidRPr="00076466">
        <w:t xml:space="preserve"> stem cell transplant</w:t>
      </w:r>
      <w:r w:rsidR="00333D4A" w:rsidRPr="00076466">
        <w:t xml:space="preserve"> is suitable</w:t>
      </w:r>
      <w:r w:rsidR="00F34ADB" w:rsidRPr="00076466">
        <w:t>.</w:t>
      </w:r>
    </w:p>
    <w:p w14:paraId="745ADD8A" w14:textId="2B5F3A76" w:rsidR="00811FE4" w:rsidRPr="00076466" w:rsidRDefault="00811FE4" w:rsidP="00811FE4">
      <w:pPr>
        <w:pStyle w:val="Heading2"/>
      </w:pPr>
      <w:r w:rsidRPr="00076466">
        <w:t>Post hoc subgroups</w:t>
      </w:r>
    </w:p>
    <w:p w14:paraId="5CF1E713" w14:textId="219BFCCA" w:rsidR="00811FE4" w:rsidRPr="00076466" w:rsidRDefault="00811FE4" w:rsidP="00811FE4">
      <w:pPr>
        <w:pStyle w:val="Heading3"/>
      </w:pPr>
      <w:r w:rsidRPr="00076466">
        <w:t xml:space="preserve">The </w:t>
      </w:r>
      <w:r w:rsidR="00726B2F" w:rsidRPr="00076466">
        <w:t xml:space="preserve">subgroup </w:t>
      </w:r>
      <w:r w:rsidR="006130D0" w:rsidRPr="00076466">
        <w:t>of</w:t>
      </w:r>
      <w:r w:rsidR="00726B2F" w:rsidRPr="00076466">
        <w:t xml:space="preserve"> patients from ASPIRE who </w:t>
      </w:r>
      <w:r w:rsidR="0094647A" w:rsidRPr="00076466">
        <w:t xml:space="preserve">had </w:t>
      </w:r>
      <w:r w:rsidR="00726B2F" w:rsidRPr="00076466">
        <w:t xml:space="preserve">1 </w:t>
      </w:r>
      <w:r w:rsidR="006130D0" w:rsidRPr="00076466">
        <w:t xml:space="preserve">bortezomib </w:t>
      </w:r>
      <w:r w:rsidR="0094647A" w:rsidRPr="00076466">
        <w:t xml:space="preserve">treatment </w:t>
      </w:r>
      <w:r w:rsidR="00726B2F" w:rsidRPr="00076466">
        <w:t xml:space="preserve">and no </w:t>
      </w:r>
      <w:r w:rsidR="0094647A" w:rsidRPr="00076466">
        <w:t xml:space="preserve">previous </w:t>
      </w:r>
      <w:r w:rsidR="00726B2F" w:rsidRPr="00076466">
        <w:t>lenalidomide reflects the</w:t>
      </w:r>
      <w:r w:rsidR="00DD034C" w:rsidRPr="00076466">
        <w:t xml:space="preserve"> </w:t>
      </w:r>
      <w:r w:rsidR="00726B2F" w:rsidRPr="00076466">
        <w:t xml:space="preserve">treatment pathway for multiple </w:t>
      </w:r>
      <w:r w:rsidR="006130D0" w:rsidRPr="00076466">
        <w:t>myeloma</w:t>
      </w:r>
    </w:p>
    <w:p w14:paraId="612E713A" w14:textId="52AE393F" w:rsidR="00811FE4" w:rsidRPr="00076466" w:rsidRDefault="00811FE4" w:rsidP="000433DF">
      <w:pPr>
        <w:pStyle w:val="Numberedlevel2text"/>
      </w:pPr>
      <w:r w:rsidRPr="00076466">
        <w:t>The</w:t>
      </w:r>
      <w:r w:rsidR="00E73C32" w:rsidRPr="00076466">
        <w:t xml:space="preserve"> company </w:t>
      </w:r>
      <w:r w:rsidR="00162AB0" w:rsidRPr="00076466">
        <w:t xml:space="preserve">presented analyses </w:t>
      </w:r>
      <w:r w:rsidR="00CD12AD" w:rsidRPr="00076466">
        <w:t xml:space="preserve">for </w:t>
      </w:r>
      <w:r w:rsidR="00E73C32" w:rsidRPr="00076466">
        <w:t xml:space="preserve">a subgroup of patients from ASPIRE who had </w:t>
      </w:r>
      <w:r w:rsidR="00421216" w:rsidRPr="00076466">
        <w:t xml:space="preserve">had </w:t>
      </w:r>
      <w:r w:rsidR="00E73C32" w:rsidRPr="00076466">
        <w:t>1</w:t>
      </w:r>
      <w:r w:rsidR="00D11359">
        <w:t> </w:t>
      </w:r>
      <w:r w:rsidR="00421216" w:rsidRPr="00076466">
        <w:t xml:space="preserve">previous </w:t>
      </w:r>
      <w:r w:rsidR="00E73C32" w:rsidRPr="00076466">
        <w:t>bortezomib</w:t>
      </w:r>
      <w:r w:rsidR="00CD12AD" w:rsidRPr="00076466">
        <w:t xml:space="preserve"> treatment</w:t>
      </w:r>
      <w:r w:rsidR="006130D0" w:rsidRPr="00076466">
        <w:t xml:space="preserve">. </w:t>
      </w:r>
      <w:r w:rsidR="00E73C32" w:rsidRPr="00076466">
        <w:t>The company consider</w:t>
      </w:r>
      <w:r w:rsidR="00162AB0" w:rsidRPr="00076466">
        <w:t>ed</w:t>
      </w:r>
      <w:r w:rsidR="00E73C32" w:rsidRPr="00076466">
        <w:t xml:space="preserve"> that </w:t>
      </w:r>
      <w:r w:rsidR="00B51A4D" w:rsidRPr="00076466">
        <w:t xml:space="preserve">in clinical practice </w:t>
      </w:r>
      <w:r w:rsidR="00E73C32" w:rsidRPr="00076466">
        <w:t xml:space="preserve">a small number of patients may </w:t>
      </w:r>
      <w:r w:rsidR="00B51A4D" w:rsidRPr="00076466">
        <w:t xml:space="preserve">have </w:t>
      </w:r>
      <w:r w:rsidR="00E73C32" w:rsidRPr="00076466">
        <w:t>lenalidomide and bortezomib as first</w:t>
      </w:r>
      <w:r w:rsidR="00B51A4D" w:rsidRPr="00076466">
        <w:t>-</w:t>
      </w:r>
      <w:r w:rsidR="00E73C32" w:rsidRPr="00076466">
        <w:t xml:space="preserve">line treatment and </w:t>
      </w:r>
      <w:r w:rsidR="009D18E7" w:rsidRPr="00076466">
        <w:t xml:space="preserve">would </w:t>
      </w:r>
      <w:r w:rsidR="00E73C32" w:rsidRPr="00076466">
        <w:t xml:space="preserve">still be considered </w:t>
      </w:r>
      <w:r w:rsidR="00E73C32" w:rsidRPr="00076466">
        <w:lastRenderedPageBreak/>
        <w:t xml:space="preserve">eligible for </w:t>
      </w:r>
      <w:r w:rsidR="009D18E7" w:rsidRPr="00076466">
        <w:t xml:space="preserve">carfilzomib </w:t>
      </w:r>
      <w:r w:rsidR="00091B8E" w:rsidRPr="00076466">
        <w:t>with</w:t>
      </w:r>
      <w:r w:rsidR="009D18E7" w:rsidRPr="00076466">
        <w:t xml:space="preserve"> lenalidomide and dexamethasone</w:t>
      </w:r>
      <w:r w:rsidR="00E73C32" w:rsidRPr="00076466">
        <w:t xml:space="preserve">. The ERG highlighted that </w:t>
      </w:r>
      <w:r w:rsidR="00E224EB" w:rsidRPr="00076466">
        <w:t xml:space="preserve">in </w:t>
      </w:r>
      <w:r w:rsidR="00E73C32" w:rsidRPr="00076466">
        <w:t>the company’s subgroup</w:t>
      </w:r>
      <w:r w:rsidR="000A5197" w:rsidRPr="00076466">
        <w:t xml:space="preserve"> all patients</w:t>
      </w:r>
      <w:r w:rsidR="00792903" w:rsidRPr="00076466">
        <w:t xml:space="preserve"> had </w:t>
      </w:r>
      <w:r w:rsidR="00E95FBB">
        <w:t xml:space="preserve">had </w:t>
      </w:r>
      <w:r w:rsidR="00E13B55" w:rsidRPr="00076466">
        <w:t xml:space="preserve">1 </w:t>
      </w:r>
      <w:r w:rsidR="00E95FBB">
        <w:t>previous</w:t>
      </w:r>
      <w:r w:rsidR="00E13B55" w:rsidRPr="00076466">
        <w:t xml:space="preserve"> </w:t>
      </w:r>
      <w:r w:rsidR="00792903" w:rsidRPr="00076466">
        <w:t>bortezomib</w:t>
      </w:r>
      <w:r w:rsidR="00E95FBB">
        <w:t xml:space="preserve"> treatment</w:t>
      </w:r>
      <w:r w:rsidR="00792903" w:rsidRPr="00076466">
        <w:t xml:space="preserve">, </w:t>
      </w:r>
      <w:r w:rsidR="00E95FBB">
        <w:t xml:space="preserve">but </w:t>
      </w:r>
      <w:r w:rsidR="00792903" w:rsidRPr="00076466">
        <w:t xml:space="preserve">some patients </w:t>
      </w:r>
      <w:r w:rsidR="00E95FBB">
        <w:t xml:space="preserve">also </w:t>
      </w:r>
      <w:r w:rsidR="00792903" w:rsidRPr="00076466">
        <w:t xml:space="preserve">had </w:t>
      </w:r>
      <w:r w:rsidR="00BC0221" w:rsidRPr="00076466">
        <w:t>lenalidomide</w:t>
      </w:r>
      <w:r w:rsidR="00792903" w:rsidRPr="00076466">
        <w:t xml:space="preserve"> treatment </w:t>
      </w:r>
      <w:r w:rsidR="00E13B55" w:rsidRPr="00076466">
        <w:t xml:space="preserve">either </w:t>
      </w:r>
      <w:r w:rsidR="00792903" w:rsidRPr="00076466">
        <w:t>at the same</w:t>
      </w:r>
      <w:r w:rsidR="00E13B55" w:rsidRPr="00076466">
        <w:t xml:space="preserve"> time</w:t>
      </w:r>
      <w:r w:rsidR="00792903" w:rsidRPr="00076466">
        <w:t xml:space="preserve"> or </w:t>
      </w:r>
      <w:r w:rsidR="00E13B55" w:rsidRPr="00076466">
        <w:t>after</w:t>
      </w:r>
      <w:r w:rsidR="00BC0221" w:rsidRPr="00076466">
        <w:t>wards</w:t>
      </w:r>
      <w:r w:rsidR="00E13B55" w:rsidRPr="00076466">
        <w:t xml:space="preserve"> in the same treatment </w:t>
      </w:r>
      <w:r w:rsidR="00BC0221" w:rsidRPr="00076466">
        <w:t>phase</w:t>
      </w:r>
      <w:r w:rsidR="00792903" w:rsidRPr="00076466">
        <w:t>.</w:t>
      </w:r>
      <w:r w:rsidR="00E73C32" w:rsidRPr="00076466">
        <w:t xml:space="preserve"> The ERG </w:t>
      </w:r>
      <w:r w:rsidR="00162AB0" w:rsidRPr="00076466">
        <w:t xml:space="preserve">presented analyses from a </w:t>
      </w:r>
      <w:r w:rsidR="006130D0" w:rsidRPr="00076466">
        <w:t>p</w:t>
      </w:r>
      <w:r w:rsidR="00E73C32" w:rsidRPr="00076466">
        <w:t xml:space="preserve">ost hoc subgroup </w:t>
      </w:r>
      <w:r w:rsidR="00CD12AD" w:rsidRPr="00076466">
        <w:t xml:space="preserve">that </w:t>
      </w:r>
      <w:r w:rsidR="00162AB0" w:rsidRPr="00076466">
        <w:t xml:space="preserve">had </w:t>
      </w:r>
      <w:r w:rsidR="00E73C32" w:rsidRPr="00076466">
        <w:t>a stricter definition of firs</w:t>
      </w:r>
      <w:r w:rsidR="006130D0" w:rsidRPr="00076466">
        <w:t>t</w:t>
      </w:r>
      <w:r w:rsidR="00E73C32" w:rsidRPr="00076466">
        <w:t>-line therapy</w:t>
      </w:r>
      <w:r w:rsidR="00162AB0" w:rsidRPr="00076466">
        <w:t>. It was</w:t>
      </w:r>
      <w:r w:rsidR="00E73C32" w:rsidRPr="00076466">
        <w:t xml:space="preserve"> based on the treatment pathway for multiple myeloma</w:t>
      </w:r>
      <w:r w:rsidR="00DD034C" w:rsidRPr="00076466">
        <w:t xml:space="preserve"> </w:t>
      </w:r>
      <w:r w:rsidR="00E73C32" w:rsidRPr="00076466">
        <w:t>and include</w:t>
      </w:r>
      <w:r w:rsidR="00162AB0" w:rsidRPr="00076466">
        <w:t>d</w:t>
      </w:r>
      <w:r w:rsidR="00E73C32" w:rsidRPr="00076466">
        <w:t xml:space="preserve"> patients from ASPIRE who only </w:t>
      </w:r>
      <w:r w:rsidR="00E95FBB">
        <w:t xml:space="preserve">had </w:t>
      </w:r>
      <w:r w:rsidR="00E73C32" w:rsidRPr="00076466">
        <w:t>1</w:t>
      </w:r>
      <w:r w:rsidR="00D11359">
        <w:t> </w:t>
      </w:r>
      <w:r w:rsidR="00992AAE" w:rsidRPr="00076466">
        <w:t xml:space="preserve">previous </w:t>
      </w:r>
      <w:r w:rsidR="00E73C32" w:rsidRPr="00076466">
        <w:t xml:space="preserve">bortezomib </w:t>
      </w:r>
      <w:r w:rsidR="00CD12AD" w:rsidRPr="00076466">
        <w:t xml:space="preserve">treatment </w:t>
      </w:r>
      <w:r w:rsidR="00E73C32" w:rsidRPr="00076466">
        <w:t xml:space="preserve">and no </w:t>
      </w:r>
      <w:r w:rsidR="00992AAE" w:rsidRPr="00076466">
        <w:t xml:space="preserve">previous </w:t>
      </w:r>
      <w:r w:rsidR="00E73C32" w:rsidRPr="00076466">
        <w:t>lenalidomide</w:t>
      </w:r>
      <w:r w:rsidR="006130D0" w:rsidRPr="00076466">
        <w:t xml:space="preserve">. </w:t>
      </w:r>
      <w:r w:rsidR="00E73C32" w:rsidRPr="00076466">
        <w:t xml:space="preserve">The clinical expert </w:t>
      </w:r>
      <w:r w:rsidR="00085B39" w:rsidRPr="00076466">
        <w:t xml:space="preserve">noted </w:t>
      </w:r>
      <w:r w:rsidR="00E73C32" w:rsidRPr="00076466">
        <w:t xml:space="preserve">that </w:t>
      </w:r>
      <w:r w:rsidR="00B444DE" w:rsidRPr="00076466">
        <w:t>the defi</w:t>
      </w:r>
      <w:r w:rsidR="00EF3129" w:rsidRPr="00076466">
        <w:t>ni</w:t>
      </w:r>
      <w:r w:rsidR="00B444DE" w:rsidRPr="00076466">
        <w:t>tion</w:t>
      </w:r>
      <w:r w:rsidR="00B46D22" w:rsidRPr="00076466">
        <w:t xml:space="preserve"> used in the</w:t>
      </w:r>
      <w:r w:rsidR="00B444DE" w:rsidRPr="00076466">
        <w:t xml:space="preserve"> </w:t>
      </w:r>
      <w:r w:rsidR="00E73C32" w:rsidRPr="00076466">
        <w:t xml:space="preserve">ERG </w:t>
      </w:r>
      <w:r w:rsidR="00B444DE" w:rsidRPr="00076466">
        <w:t xml:space="preserve">subgroup is useful for </w:t>
      </w:r>
      <w:r w:rsidR="000433DF" w:rsidRPr="00076466">
        <w:t xml:space="preserve">clarifying how carfilzomib would be used in clinical </w:t>
      </w:r>
      <w:proofErr w:type="gramStart"/>
      <w:r w:rsidR="000433DF" w:rsidRPr="00076466">
        <w:t>practice, if</w:t>
      </w:r>
      <w:proofErr w:type="gramEnd"/>
      <w:r w:rsidR="000433DF" w:rsidRPr="00076466">
        <w:t xml:space="preserve"> it were recommended</w:t>
      </w:r>
      <w:r w:rsidR="00085B39" w:rsidRPr="00076466">
        <w:t>. However</w:t>
      </w:r>
      <w:r w:rsidR="00EF3129" w:rsidRPr="00076466">
        <w:t xml:space="preserve"> </w:t>
      </w:r>
      <w:r w:rsidR="00B444DE" w:rsidRPr="00076466">
        <w:t xml:space="preserve">future </w:t>
      </w:r>
      <w:r w:rsidR="00E73C32" w:rsidRPr="00076466">
        <w:t xml:space="preserve">myeloma trials are </w:t>
      </w:r>
      <w:r w:rsidR="00EF3129" w:rsidRPr="00076466">
        <w:t>likely to include</w:t>
      </w:r>
      <w:r w:rsidR="00E73C32" w:rsidRPr="00076466">
        <w:t xml:space="preserve"> a combination of bortezomib and lenalidomide </w:t>
      </w:r>
      <w:r w:rsidR="009D18E7" w:rsidRPr="00076466">
        <w:t>as</w:t>
      </w:r>
      <w:r w:rsidR="00E73C32" w:rsidRPr="00076466">
        <w:t xml:space="preserve"> first</w:t>
      </w:r>
      <w:r w:rsidR="00085B39" w:rsidRPr="00076466">
        <w:t>-</w:t>
      </w:r>
      <w:r w:rsidR="00E73C32" w:rsidRPr="00076466">
        <w:t xml:space="preserve">line </w:t>
      </w:r>
      <w:r w:rsidR="009D18E7" w:rsidRPr="00076466">
        <w:t>treatment, which</w:t>
      </w:r>
      <w:r w:rsidR="000433DF" w:rsidRPr="00076466">
        <w:t xml:space="preserve"> would make it difficult to apply the results to clinical practice</w:t>
      </w:r>
      <w:r w:rsidR="00B46D22" w:rsidRPr="00076466">
        <w:t>.</w:t>
      </w:r>
      <w:r w:rsidR="005A6FC5" w:rsidRPr="00076466">
        <w:t xml:space="preserve"> </w:t>
      </w:r>
      <w:r w:rsidR="00E95FBB">
        <w:t>The</w:t>
      </w:r>
      <w:r w:rsidR="005A6FC5" w:rsidRPr="00076466">
        <w:t xml:space="preserve"> patient expert </w:t>
      </w:r>
      <w:r w:rsidR="00E95FBB">
        <w:t xml:space="preserve">advised </w:t>
      </w:r>
      <w:r w:rsidR="005A6FC5" w:rsidRPr="00076466">
        <w:t>that people whose disease is not refractory to lenalidomide would welcome carfilzomib with lenalidomide and dexamethasone as a second-line treatment option</w:t>
      </w:r>
      <w:r w:rsidR="0000326D" w:rsidRPr="00076466">
        <w:t>.</w:t>
      </w:r>
      <w:r w:rsidR="00CB664C">
        <w:t xml:space="preserve"> </w:t>
      </w:r>
      <w:r w:rsidR="00CB664C" w:rsidRPr="00076466">
        <w:t>The c</w:t>
      </w:r>
      <w:r w:rsidR="00CE4AE5">
        <w:t xml:space="preserve">ommittee heard </w:t>
      </w:r>
      <w:r w:rsidR="000A5197" w:rsidRPr="00076466">
        <w:t xml:space="preserve">that it is not </w:t>
      </w:r>
      <w:r w:rsidR="00D138AD" w:rsidRPr="00076466">
        <w:t xml:space="preserve">current </w:t>
      </w:r>
      <w:r w:rsidR="000A5197" w:rsidRPr="00076466">
        <w:t>standard practice to have</w:t>
      </w:r>
      <w:r w:rsidR="00D138AD" w:rsidRPr="00076466">
        <w:t xml:space="preserve"> bortezomib </w:t>
      </w:r>
      <w:r w:rsidR="000865C4" w:rsidRPr="00076466">
        <w:t>and</w:t>
      </w:r>
      <w:r w:rsidR="00D138AD" w:rsidRPr="00076466">
        <w:t xml:space="preserve"> lenalidomide as a first-line</w:t>
      </w:r>
      <w:r w:rsidR="0000326D" w:rsidRPr="00076466">
        <w:t xml:space="preserve"> </w:t>
      </w:r>
      <w:r w:rsidR="00D138AD" w:rsidRPr="00076466">
        <w:t>t</w:t>
      </w:r>
      <w:r w:rsidR="005A6FC5" w:rsidRPr="00076466">
        <w:t>reatment</w:t>
      </w:r>
      <w:r w:rsidR="0000326D" w:rsidRPr="00076466">
        <w:t xml:space="preserve">. </w:t>
      </w:r>
      <w:bookmarkStart w:id="5" w:name="_Hlk46227562"/>
      <w:r w:rsidR="00CE4AE5">
        <w:t>The c</w:t>
      </w:r>
      <w:r w:rsidR="00CE4AE5" w:rsidRPr="00076466">
        <w:t xml:space="preserve">linical lead for the Cancer Drugs Fund </w:t>
      </w:r>
      <w:r w:rsidR="00CE4AE5">
        <w:t>explained that m</w:t>
      </w:r>
      <w:r w:rsidR="00E95FBB">
        <w:t>ost</w:t>
      </w:r>
      <w:r w:rsidR="008F41FC" w:rsidRPr="00076466">
        <w:t xml:space="preserve"> patients would have bortezomib as induction therapy </w:t>
      </w:r>
      <w:r w:rsidR="00E95FBB">
        <w:t>before a</w:t>
      </w:r>
      <w:r w:rsidR="008F41FC" w:rsidRPr="00076466">
        <w:t xml:space="preserve"> stem cell transplant, and </w:t>
      </w:r>
      <w:r w:rsidR="00BF0306" w:rsidRPr="00076466">
        <w:t>lenalidomide</w:t>
      </w:r>
      <w:r w:rsidR="008F41FC" w:rsidRPr="00076466">
        <w:t xml:space="preserve"> </w:t>
      </w:r>
      <w:r w:rsidR="00E95FBB">
        <w:t>would</w:t>
      </w:r>
      <w:r w:rsidR="00E95FBB" w:rsidRPr="00076466">
        <w:t xml:space="preserve"> </w:t>
      </w:r>
      <w:r w:rsidR="008F41FC" w:rsidRPr="00076466">
        <w:t xml:space="preserve">only be considered if bortezomib </w:t>
      </w:r>
      <w:r w:rsidR="00E95FBB">
        <w:t>did</w:t>
      </w:r>
      <w:r w:rsidR="00E95FBB" w:rsidRPr="00076466">
        <w:t xml:space="preserve"> </w:t>
      </w:r>
      <w:r w:rsidR="008F41FC" w:rsidRPr="00076466">
        <w:t xml:space="preserve">not </w:t>
      </w:r>
      <w:r w:rsidR="00E95FBB">
        <w:t>provide</w:t>
      </w:r>
      <w:r w:rsidR="00E95FBB" w:rsidRPr="00076466">
        <w:t xml:space="preserve"> </w:t>
      </w:r>
      <w:r w:rsidR="008F41FC" w:rsidRPr="00076466">
        <w:t xml:space="preserve">an adequate response. In this situation, it would be unlikely that a triple regimen of carfilzomib with </w:t>
      </w:r>
      <w:r w:rsidR="00BF0306" w:rsidRPr="00076466">
        <w:t>lenalidomide</w:t>
      </w:r>
      <w:r w:rsidR="008F41FC" w:rsidRPr="00076466">
        <w:t xml:space="preserve"> and dexamethasone would be </w:t>
      </w:r>
      <w:r w:rsidR="00C46C56" w:rsidRPr="00076466">
        <w:t>tolerated</w:t>
      </w:r>
      <w:r w:rsidR="00261761" w:rsidRPr="00076466">
        <w:t xml:space="preserve"> </w:t>
      </w:r>
      <w:r w:rsidR="000C11FB" w:rsidRPr="00076466">
        <w:t>as a second</w:t>
      </w:r>
      <w:r w:rsidR="0000326D" w:rsidRPr="00076466">
        <w:t>-</w:t>
      </w:r>
      <w:r w:rsidR="000C11FB" w:rsidRPr="00076466">
        <w:t>line treatment</w:t>
      </w:r>
      <w:bookmarkEnd w:id="5"/>
      <w:r w:rsidR="00D138AD" w:rsidRPr="00076466">
        <w:t>. The</w:t>
      </w:r>
      <w:r w:rsidR="00B626EA" w:rsidRPr="00076466">
        <w:t xml:space="preserve"> committee concluded that the ERG</w:t>
      </w:r>
      <w:r w:rsidR="00085B39" w:rsidRPr="00076466">
        <w:t>’s</w:t>
      </w:r>
      <w:r w:rsidR="00B626EA" w:rsidRPr="00076466">
        <w:t xml:space="preserve"> subgroup </w:t>
      </w:r>
      <w:r w:rsidR="000C11FB" w:rsidRPr="00076466">
        <w:t>should be used for the basis of its decision</w:t>
      </w:r>
      <w:r w:rsidR="00153B5C">
        <w:t>,</w:t>
      </w:r>
      <w:r w:rsidR="000C11FB" w:rsidRPr="00076466">
        <w:t xml:space="preserve"> because</w:t>
      </w:r>
      <w:r w:rsidR="000A4C55" w:rsidRPr="00076466">
        <w:t xml:space="preserve"> it reflects current practice in the NHS and is the most likely </w:t>
      </w:r>
      <w:r w:rsidR="00153B5C">
        <w:t>previous</w:t>
      </w:r>
      <w:r w:rsidR="00153B5C" w:rsidRPr="00076466">
        <w:t xml:space="preserve"> </w:t>
      </w:r>
      <w:r w:rsidR="000A4C55" w:rsidRPr="00076466">
        <w:t xml:space="preserve">treatment for patients </w:t>
      </w:r>
      <w:r w:rsidR="000C11FB" w:rsidRPr="00076466">
        <w:t xml:space="preserve">who would </w:t>
      </w:r>
      <w:r w:rsidR="00153B5C">
        <w:t>have</w:t>
      </w:r>
      <w:r w:rsidR="00153B5C" w:rsidRPr="00076466">
        <w:t xml:space="preserve"> </w:t>
      </w:r>
      <w:r w:rsidR="000C11FB" w:rsidRPr="00076466">
        <w:t xml:space="preserve">a triple </w:t>
      </w:r>
      <w:r w:rsidR="000C11FB" w:rsidRPr="00076466">
        <w:lastRenderedPageBreak/>
        <w:t xml:space="preserve">regimen of carfilzomib with </w:t>
      </w:r>
      <w:r w:rsidR="00BF0306" w:rsidRPr="00076466">
        <w:t>lenalidomide</w:t>
      </w:r>
      <w:r w:rsidR="000C11FB" w:rsidRPr="00076466">
        <w:t xml:space="preserve"> and dexamethasone </w:t>
      </w:r>
      <w:r w:rsidR="00914D3C" w:rsidRPr="00076466">
        <w:t xml:space="preserve">at </w:t>
      </w:r>
      <w:r w:rsidR="000A4C55" w:rsidRPr="00076466">
        <w:t>second</w:t>
      </w:r>
      <w:r w:rsidR="00914D3C" w:rsidRPr="00076466">
        <w:t>-line.</w:t>
      </w:r>
    </w:p>
    <w:p w14:paraId="4DBAA219" w14:textId="4C5FF1BB" w:rsidR="00811FE4" w:rsidRPr="00076466" w:rsidRDefault="00811FE4" w:rsidP="00811FE4">
      <w:pPr>
        <w:pStyle w:val="Heading2"/>
      </w:pPr>
      <w:r w:rsidRPr="00076466">
        <w:t>Overall survival and progression-free survival</w:t>
      </w:r>
    </w:p>
    <w:p w14:paraId="0BE985BB" w14:textId="4ED9229E" w:rsidR="00811FE4" w:rsidRPr="00076466" w:rsidRDefault="00915C7C" w:rsidP="00811FE4">
      <w:pPr>
        <w:pStyle w:val="Heading3"/>
      </w:pPr>
      <w:r w:rsidRPr="00076466">
        <w:t xml:space="preserve">Mature data from ASPIRE shows </w:t>
      </w:r>
      <w:r w:rsidR="00CC10DC" w:rsidRPr="00076466">
        <w:t>improved</w:t>
      </w:r>
      <w:r w:rsidRPr="00076466">
        <w:t xml:space="preserve"> progression-free survival and overall survival</w:t>
      </w:r>
    </w:p>
    <w:p w14:paraId="23E34AAD" w14:textId="71460A5B" w:rsidR="00811FE4" w:rsidRPr="00076466" w:rsidRDefault="005620EB" w:rsidP="002A26CB">
      <w:pPr>
        <w:pStyle w:val="Numberedlevel2text"/>
      </w:pPr>
      <w:r w:rsidRPr="00076466">
        <w:t>C</w:t>
      </w:r>
      <w:r w:rsidR="009D18E7" w:rsidRPr="00076466">
        <w:t xml:space="preserve">arfilzomib </w:t>
      </w:r>
      <w:r w:rsidR="00091B8E" w:rsidRPr="00076466">
        <w:t>with</w:t>
      </w:r>
      <w:r w:rsidR="009D18E7" w:rsidRPr="00076466">
        <w:t xml:space="preserve"> lenalidomide and dexamethasone </w:t>
      </w:r>
      <w:r w:rsidR="00726B2F" w:rsidRPr="00076466">
        <w:t xml:space="preserve">increased median </w:t>
      </w:r>
      <w:r w:rsidR="007F2F03" w:rsidRPr="00076466">
        <w:t>progression-free</w:t>
      </w:r>
      <w:r w:rsidR="00726B2F" w:rsidRPr="00076466">
        <w:t xml:space="preserve"> survival compared with </w:t>
      </w:r>
      <w:r w:rsidR="00306565" w:rsidRPr="00076466">
        <w:t xml:space="preserve">lenalidomide and dexamethasone </w:t>
      </w:r>
      <w:r w:rsidR="00726B2F" w:rsidRPr="00076466">
        <w:t xml:space="preserve">from </w:t>
      </w:r>
      <w:r w:rsidR="007F2F03" w:rsidRPr="00076466">
        <w:t>16</w:t>
      </w:r>
      <w:r w:rsidR="00726B2F" w:rsidRPr="00076466">
        <w:t xml:space="preserve">.6 months to </w:t>
      </w:r>
      <w:r w:rsidR="007F2F03" w:rsidRPr="00076466">
        <w:t>26.1</w:t>
      </w:r>
      <w:r w:rsidR="00726B2F" w:rsidRPr="00076466">
        <w:t xml:space="preserve"> months (hazard ratio </w:t>
      </w:r>
      <w:r w:rsidR="007F2F03" w:rsidRPr="00076466">
        <w:t>0.659; 95%</w:t>
      </w:r>
      <w:r w:rsidR="00D11359">
        <w:t> </w:t>
      </w:r>
      <w:r w:rsidR="007F2F03" w:rsidRPr="00076466">
        <w:t>confidence interval 0.553 to 0.784, p&lt;0.0001) in the intention</w:t>
      </w:r>
      <w:r w:rsidR="009D18E7" w:rsidRPr="00076466">
        <w:t>-</w:t>
      </w:r>
      <w:r w:rsidR="007F2F03" w:rsidRPr="00076466">
        <w:t>to</w:t>
      </w:r>
      <w:r w:rsidR="009D18E7" w:rsidRPr="00076466">
        <w:t>-</w:t>
      </w:r>
      <w:r w:rsidR="007F2F03" w:rsidRPr="00076466">
        <w:t xml:space="preserve">treat population. </w:t>
      </w:r>
      <w:r w:rsidRPr="00076466">
        <w:t>C</w:t>
      </w:r>
      <w:r w:rsidR="009D18E7" w:rsidRPr="00076466">
        <w:t xml:space="preserve">arfilzomib </w:t>
      </w:r>
      <w:r w:rsidR="00091B8E" w:rsidRPr="00076466">
        <w:t>with</w:t>
      </w:r>
      <w:r w:rsidR="009D18E7" w:rsidRPr="00076466">
        <w:t xml:space="preserve"> lenalidomide and dexamethasone </w:t>
      </w:r>
      <w:r w:rsidR="007F2F03" w:rsidRPr="00076466">
        <w:t xml:space="preserve">increased median overall survival compared with </w:t>
      </w:r>
      <w:r w:rsidR="00306565" w:rsidRPr="00076466">
        <w:t xml:space="preserve">lenalidomide and dexamethasone </w:t>
      </w:r>
      <w:r w:rsidR="007F2F03" w:rsidRPr="00076466">
        <w:t>from 40.4 months to 48.3 months (hazard ratio 0.794; 95%</w:t>
      </w:r>
      <w:r w:rsidR="00D11359">
        <w:t> </w:t>
      </w:r>
      <w:r w:rsidR="007F2F03" w:rsidRPr="00076466">
        <w:t>CI 0.667 to 0.945, p=0.0045) in the intention</w:t>
      </w:r>
      <w:r w:rsidR="00306565" w:rsidRPr="00076466">
        <w:t>-</w:t>
      </w:r>
      <w:r w:rsidR="007F2F03" w:rsidRPr="00076466">
        <w:t>to</w:t>
      </w:r>
      <w:r w:rsidR="00306565" w:rsidRPr="00076466">
        <w:t>-</w:t>
      </w:r>
      <w:r w:rsidR="007F2F03" w:rsidRPr="00076466">
        <w:t xml:space="preserve">treat population. </w:t>
      </w:r>
      <w:r w:rsidR="00B14973" w:rsidRPr="00076466">
        <w:t>The c</w:t>
      </w:r>
      <w:r w:rsidR="00EA4995" w:rsidRPr="00076466">
        <w:t xml:space="preserve">ompany </w:t>
      </w:r>
      <w:r w:rsidR="00603856" w:rsidRPr="00076466">
        <w:t xml:space="preserve">did </w:t>
      </w:r>
      <w:r w:rsidR="00EA4995" w:rsidRPr="00076466">
        <w:t xml:space="preserve">an </w:t>
      </w:r>
      <w:bookmarkStart w:id="6" w:name="_Hlk45719355"/>
      <w:r w:rsidR="00EA4995" w:rsidRPr="00076466">
        <w:t xml:space="preserve">inverse probability weighted </w:t>
      </w:r>
      <w:bookmarkEnd w:id="6"/>
      <w:r w:rsidR="00EA4995" w:rsidRPr="00076466">
        <w:t>analysis of post hoc subgroup data</w:t>
      </w:r>
      <w:r w:rsidR="000044F2" w:rsidRPr="00076466">
        <w:t xml:space="preserve"> to account for imbalances in baseline characteristics </w:t>
      </w:r>
      <w:r w:rsidR="00603856" w:rsidRPr="00076466">
        <w:t>in the</w:t>
      </w:r>
      <w:r w:rsidR="000044F2" w:rsidRPr="00076466">
        <w:t xml:space="preserve"> non-randomised groups. Using this </w:t>
      </w:r>
      <w:r w:rsidR="002A26CB" w:rsidRPr="00076466">
        <w:t xml:space="preserve">inverse probability weighted </w:t>
      </w:r>
      <w:r w:rsidR="000044F2" w:rsidRPr="00076466">
        <w:t xml:space="preserve">analysis, the company </w:t>
      </w:r>
      <w:r w:rsidR="002A26CB" w:rsidRPr="00076466">
        <w:t xml:space="preserve">produced </w:t>
      </w:r>
      <w:r w:rsidR="00EA4995" w:rsidRPr="00076466">
        <w:t>effect</w:t>
      </w:r>
      <w:r w:rsidR="00AB7C4F" w:rsidRPr="00076466">
        <w:t>-</w:t>
      </w:r>
      <w:r w:rsidR="00EA4995" w:rsidRPr="00076466">
        <w:t>estimates for progression-free survival and overall survival</w:t>
      </w:r>
      <w:r w:rsidR="000044F2" w:rsidRPr="00076466">
        <w:t xml:space="preserve"> for </w:t>
      </w:r>
      <w:r w:rsidR="002A26CB" w:rsidRPr="00076466">
        <w:t xml:space="preserve">its own and the </w:t>
      </w:r>
      <w:r w:rsidR="000044F2" w:rsidRPr="00076466">
        <w:t>ERG</w:t>
      </w:r>
      <w:r w:rsidR="002A26CB" w:rsidRPr="00076466">
        <w:t>’s</w:t>
      </w:r>
      <w:r w:rsidR="009F4DCB" w:rsidRPr="00076466">
        <w:t xml:space="preserve"> preferred</w:t>
      </w:r>
      <w:r w:rsidR="000044F2" w:rsidRPr="00076466">
        <w:t xml:space="preserve"> subgroups</w:t>
      </w:r>
      <w:r w:rsidR="00D23610" w:rsidRPr="00076466">
        <w:t>.</w:t>
      </w:r>
      <w:r w:rsidR="000044F2" w:rsidRPr="00076466">
        <w:t xml:space="preserve"> </w:t>
      </w:r>
      <w:r w:rsidR="006F3479" w:rsidRPr="00076466">
        <w:t xml:space="preserve">The </w:t>
      </w:r>
      <w:r w:rsidR="00CD5D0A" w:rsidRPr="00076466">
        <w:t xml:space="preserve">clinical </w:t>
      </w:r>
      <w:r w:rsidR="006F3479" w:rsidRPr="00076466">
        <w:t xml:space="preserve">expert explained that clinical practice </w:t>
      </w:r>
      <w:r w:rsidR="00772AC4" w:rsidRPr="00076466">
        <w:t>focuses on</w:t>
      </w:r>
      <w:r w:rsidR="006F3479" w:rsidRPr="00076466">
        <w:t xml:space="preserve"> </w:t>
      </w:r>
      <w:r w:rsidR="009519D6" w:rsidRPr="00076466">
        <w:t>whether progression</w:t>
      </w:r>
      <w:r w:rsidR="00D11CEB" w:rsidRPr="00076466">
        <w:t>-</w:t>
      </w:r>
      <w:r w:rsidR="009519D6" w:rsidRPr="00076466">
        <w:t xml:space="preserve">free survival will translate </w:t>
      </w:r>
      <w:r w:rsidR="007A1F3C" w:rsidRPr="00076466">
        <w:t>in</w:t>
      </w:r>
      <w:r w:rsidR="009519D6" w:rsidRPr="00076466">
        <w:t>to overall survival, and th</w:t>
      </w:r>
      <w:r w:rsidR="006F3479" w:rsidRPr="00076466">
        <w:t>at the</w:t>
      </w:r>
      <w:r w:rsidR="009519D6" w:rsidRPr="00076466">
        <w:t xml:space="preserve"> combinations </w:t>
      </w:r>
      <w:r w:rsidR="003E2584" w:rsidRPr="00076466">
        <w:t>available in England tend to</w:t>
      </w:r>
      <w:r w:rsidR="009519D6" w:rsidRPr="00076466">
        <w:t xml:space="preserve"> show</w:t>
      </w:r>
      <w:r w:rsidR="003E2584" w:rsidRPr="00076466">
        <w:t xml:space="preserve"> only progression-free survival </w:t>
      </w:r>
      <w:r w:rsidR="009519D6" w:rsidRPr="00076466">
        <w:t>and not</w:t>
      </w:r>
      <w:r w:rsidR="003E2584" w:rsidRPr="00076466">
        <w:t xml:space="preserve"> overall survival</w:t>
      </w:r>
      <w:r w:rsidR="009519D6" w:rsidRPr="00076466">
        <w:t xml:space="preserve">. </w:t>
      </w:r>
      <w:r w:rsidR="00EA4995" w:rsidRPr="00076466">
        <w:t xml:space="preserve">The clinical expert </w:t>
      </w:r>
      <w:r w:rsidR="003E317F" w:rsidRPr="00076466">
        <w:t xml:space="preserve">stated </w:t>
      </w:r>
      <w:r w:rsidR="00EA4995" w:rsidRPr="00076466">
        <w:t xml:space="preserve">that this is the first </w:t>
      </w:r>
      <w:r w:rsidR="003E2584" w:rsidRPr="00076466">
        <w:t xml:space="preserve">multiple myeloma trial with </w:t>
      </w:r>
      <w:r w:rsidR="00EA4995" w:rsidRPr="00076466">
        <w:t>a long</w:t>
      </w:r>
      <w:r w:rsidR="003E2584" w:rsidRPr="00076466">
        <w:t xml:space="preserve"> </w:t>
      </w:r>
      <w:r w:rsidR="00EA4995" w:rsidRPr="00076466">
        <w:t>follow</w:t>
      </w:r>
      <w:r w:rsidR="003E2584" w:rsidRPr="00076466">
        <w:t>-</w:t>
      </w:r>
      <w:r w:rsidR="00EA4995" w:rsidRPr="00076466">
        <w:t xml:space="preserve">up </w:t>
      </w:r>
      <w:r w:rsidR="003E2584" w:rsidRPr="00076466">
        <w:t xml:space="preserve">period </w:t>
      </w:r>
      <w:r w:rsidR="00AB7C4F" w:rsidRPr="00076466">
        <w:t xml:space="preserve">to provide </w:t>
      </w:r>
      <w:r w:rsidR="003E2584" w:rsidRPr="00076466">
        <w:t>clear evidence of</w:t>
      </w:r>
      <w:r w:rsidR="00EA4995" w:rsidRPr="00076466">
        <w:t xml:space="preserve"> </w:t>
      </w:r>
      <w:r w:rsidR="00AB7C4F" w:rsidRPr="00076466">
        <w:t xml:space="preserve">improved </w:t>
      </w:r>
      <w:r w:rsidR="00AC55CF" w:rsidRPr="00076466">
        <w:t xml:space="preserve">progression-free survival and </w:t>
      </w:r>
      <w:r w:rsidR="003E2584" w:rsidRPr="00076466">
        <w:t>overall survival</w:t>
      </w:r>
      <w:r w:rsidR="00EA4995" w:rsidRPr="00076466">
        <w:t xml:space="preserve">. </w:t>
      </w:r>
      <w:bookmarkStart w:id="7" w:name="_Hlk46225447"/>
      <w:r w:rsidR="006F3479" w:rsidRPr="00076466">
        <w:t xml:space="preserve">The committee </w:t>
      </w:r>
      <w:r w:rsidR="00FC42D5" w:rsidRPr="00076466">
        <w:t xml:space="preserve">welcomed the mature trial data from </w:t>
      </w:r>
      <w:r w:rsidR="006F3479" w:rsidRPr="00076466">
        <w:t xml:space="preserve">ASPIRE </w:t>
      </w:r>
      <w:r w:rsidR="00FC42D5" w:rsidRPr="00076466">
        <w:t xml:space="preserve">and concluded </w:t>
      </w:r>
      <w:r w:rsidR="00CD5D0A" w:rsidRPr="00076466">
        <w:t xml:space="preserve">that </w:t>
      </w:r>
      <w:r w:rsidR="009D18E7" w:rsidRPr="00076466">
        <w:t xml:space="preserve">carfilzomib </w:t>
      </w:r>
      <w:r w:rsidR="00091B8E" w:rsidRPr="00076466">
        <w:t>with</w:t>
      </w:r>
      <w:r w:rsidR="009D18E7" w:rsidRPr="00076466">
        <w:t xml:space="preserve"> lenalidomide and dexamethasone </w:t>
      </w:r>
      <w:r w:rsidR="00CD5D0A" w:rsidRPr="00076466">
        <w:t>improves progression-</w:t>
      </w:r>
      <w:r w:rsidR="00CD5D0A" w:rsidRPr="00076466">
        <w:lastRenderedPageBreak/>
        <w:t xml:space="preserve">free survival and overall survival compared with </w:t>
      </w:r>
      <w:bookmarkStart w:id="8" w:name="_Hlk45717525"/>
      <w:r w:rsidR="00306565" w:rsidRPr="00076466">
        <w:t xml:space="preserve">lenalidomide </w:t>
      </w:r>
      <w:r w:rsidR="00153B5C">
        <w:t>and</w:t>
      </w:r>
      <w:r w:rsidR="00153B5C" w:rsidRPr="00076466">
        <w:t xml:space="preserve"> </w:t>
      </w:r>
      <w:r w:rsidR="00306565" w:rsidRPr="00076466">
        <w:t>dexamethasone</w:t>
      </w:r>
      <w:bookmarkEnd w:id="8"/>
      <w:r w:rsidR="00EA4995" w:rsidRPr="00076466">
        <w:t>.</w:t>
      </w:r>
      <w:bookmarkEnd w:id="7"/>
    </w:p>
    <w:p w14:paraId="1645C9AD" w14:textId="38D55EB0" w:rsidR="00811FE4" w:rsidRPr="00076466" w:rsidRDefault="00811FE4" w:rsidP="00811FE4">
      <w:pPr>
        <w:pStyle w:val="Heading2"/>
      </w:pPr>
      <w:r w:rsidRPr="00076466">
        <w:t>Utility values used in the economic model</w:t>
      </w:r>
    </w:p>
    <w:p w14:paraId="0E56ADB8" w14:textId="023C39C4" w:rsidR="00811FE4" w:rsidRPr="00076466" w:rsidRDefault="00811FE4" w:rsidP="00811FE4">
      <w:pPr>
        <w:pStyle w:val="Heading3"/>
      </w:pPr>
      <w:r w:rsidRPr="00076466">
        <w:t>The</w:t>
      </w:r>
      <w:r w:rsidR="000355F6" w:rsidRPr="00076466">
        <w:t xml:space="preserve"> </w:t>
      </w:r>
      <w:r w:rsidR="00F95594" w:rsidRPr="00076466">
        <w:t xml:space="preserve">choice of utility values has little </w:t>
      </w:r>
      <w:r w:rsidR="00CC10DC" w:rsidRPr="00076466">
        <w:t xml:space="preserve">effect </w:t>
      </w:r>
      <w:r w:rsidR="00F95594" w:rsidRPr="00076466">
        <w:t xml:space="preserve">on the </w:t>
      </w:r>
      <w:r w:rsidR="002E0E6C" w:rsidRPr="00076466">
        <w:t>cost-effectiveness estimates</w:t>
      </w:r>
    </w:p>
    <w:p w14:paraId="42CEBD70" w14:textId="456D08C6" w:rsidR="00811FE4" w:rsidRPr="00076466" w:rsidRDefault="00473AC4" w:rsidP="00306565">
      <w:pPr>
        <w:pStyle w:val="Numberedlevel2text"/>
      </w:pPr>
      <w:r w:rsidRPr="00076466">
        <w:t>T</w:t>
      </w:r>
      <w:r w:rsidR="00B626EA" w:rsidRPr="00076466">
        <w:t xml:space="preserve">he utility values </w:t>
      </w:r>
      <w:r w:rsidR="00DB0FE2" w:rsidRPr="00076466">
        <w:t xml:space="preserve">for the progression-free health state </w:t>
      </w:r>
      <w:r w:rsidRPr="00076466">
        <w:t xml:space="preserve">in </w:t>
      </w:r>
      <w:r w:rsidR="00992AAE" w:rsidRPr="00076466">
        <w:t xml:space="preserve">the </w:t>
      </w:r>
      <w:r w:rsidRPr="00076466">
        <w:t xml:space="preserve">company’s model </w:t>
      </w:r>
      <w:r w:rsidR="00DB0FE2" w:rsidRPr="00076466">
        <w:t>include</w:t>
      </w:r>
      <w:r w:rsidR="00B626EA" w:rsidRPr="00076466">
        <w:t xml:space="preserve"> a mean increase in utility from baseline for </w:t>
      </w:r>
      <w:r w:rsidR="009D18E7" w:rsidRPr="00076466">
        <w:t xml:space="preserve">carfilzomib </w:t>
      </w:r>
      <w:r w:rsidR="00091B8E" w:rsidRPr="00076466">
        <w:t>with</w:t>
      </w:r>
      <w:r w:rsidR="009D18E7" w:rsidRPr="00076466">
        <w:t xml:space="preserve"> lenalidomide and dexamethasone </w:t>
      </w:r>
      <w:r w:rsidRPr="00076466">
        <w:t xml:space="preserve">and </w:t>
      </w:r>
      <w:r w:rsidR="00306565" w:rsidRPr="00076466">
        <w:t xml:space="preserve">also for lenalidomide </w:t>
      </w:r>
      <w:r w:rsidR="005A61CF" w:rsidRPr="00076466">
        <w:t>with</w:t>
      </w:r>
      <w:r w:rsidR="00306565" w:rsidRPr="00076466">
        <w:t xml:space="preserve"> dexamethasone</w:t>
      </w:r>
      <w:r w:rsidR="009D18E7" w:rsidRPr="00076466">
        <w:t xml:space="preserve">. </w:t>
      </w:r>
      <w:r w:rsidR="00700731">
        <w:t xml:space="preserve">From cycle 3 onwards, the </w:t>
      </w:r>
      <w:r w:rsidR="00593A16" w:rsidRPr="00076466">
        <w:t>model</w:t>
      </w:r>
      <w:r w:rsidR="00914D3C" w:rsidRPr="00076466">
        <w:t xml:space="preserve"> </w:t>
      </w:r>
      <w:r w:rsidR="009D18E7" w:rsidRPr="00076466">
        <w:t>also include</w:t>
      </w:r>
      <w:r w:rsidR="00593A16" w:rsidRPr="00076466">
        <w:t>s</w:t>
      </w:r>
      <w:r w:rsidR="00B626EA" w:rsidRPr="00076466">
        <w:t xml:space="preserve"> a treatment-specific increase in utility </w:t>
      </w:r>
      <w:r w:rsidR="00700731">
        <w:t>for</w:t>
      </w:r>
      <w:r w:rsidR="00B626EA" w:rsidRPr="00076466">
        <w:t xml:space="preserve"> carfilzomib with </w:t>
      </w:r>
      <w:r w:rsidR="00AB7C4F" w:rsidRPr="00076466">
        <w:t xml:space="preserve">lenalidomide </w:t>
      </w:r>
      <w:r w:rsidR="00700731">
        <w:t>and</w:t>
      </w:r>
      <w:r w:rsidR="00700731" w:rsidRPr="00076466">
        <w:t xml:space="preserve"> </w:t>
      </w:r>
      <w:r w:rsidR="00AB7C4F" w:rsidRPr="00076466">
        <w:t>dexamethasone</w:t>
      </w:r>
      <w:r w:rsidR="00024CE3" w:rsidRPr="00076466">
        <w:t xml:space="preserve">. </w:t>
      </w:r>
      <w:r w:rsidR="00F34ADB" w:rsidRPr="00076466">
        <w:t>The committee discussed the</w:t>
      </w:r>
      <w:r w:rsidR="000A4B69" w:rsidRPr="00076466">
        <w:t xml:space="preserve"> clinical plausibility of using differential treatment</w:t>
      </w:r>
      <w:r w:rsidR="00E81C89" w:rsidRPr="00076466">
        <w:t>-</w:t>
      </w:r>
      <w:r w:rsidR="000A4B69" w:rsidRPr="00076466">
        <w:t>specific</w:t>
      </w:r>
      <w:r w:rsidR="00F34ADB" w:rsidRPr="00076466">
        <w:t xml:space="preserve"> utility values </w:t>
      </w:r>
      <w:r w:rsidRPr="00076466">
        <w:t>for patients in the same health state</w:t>
      </w:r>
      <w:r w:rsidR="00F34ADB" w:rsidRPr="00076466">
        <w:t>.</w:t>
      </w:r>
      <w:r w:rsidR="009047D3" w:rsidRPr="00076466">
        <w:t xml:space="preserve"> </w:t>
      </w:r>
      <w:r w:rsidR="00700731">
        <w:t>It</w:t>
      </w:r>
      <w:r w:rsidR="00024CE3" w:rsidRPr="00076466">
        <w:t xml:space="preserve"> </w:t>
      </w:r>
      <w:r w:rsidR="00AB7C4F" w:rsidRPr="00076466">
        <w:t xml:space="preserve">noted </w:t>
      </w:r>
      <w:r w:rsidR="00024CE3" w:rsidRPr="00076466">
        <w:t>that treatment</w:t>
      </w:r>
      <w:r w:rsidR="00E81C89" w:rsidRPr="00076466">
        <w:t>-</w:t>
      </w:r>
      <w:r w:rsidR="00024CE3" w:rsidRPr="00076466">
        <w:t xml:space="preserve">specific utility values </w:t>
      </w:r>
      <w:r w:rsidR="00AB7C4F" w:rsidRPr="00076466">
        <w:t xml:space="preserve">were </w:t>
      </w:r>
      <w:r w:rsidR="00024CE3" w:rsidRPr="00076466">
        <w:t xml:space="preserve">accepted in </w:t>
      </w:r>
      <w:hyperlink r:id="rId16" w:history="1">
        <w:r w:rsidR="009D18E7" w:rsidRPr="00076466">
          <w:rPr>
            <w:rStyle w:val="Hyperlink"/>
          </w:rPr>
          <w:t>NICE's technology appraisal of carfilzomib with dexamethasone</w:t>
        </w:r>
      </w:hyperlink>
      <w:r w:rsidR="00024CE3" w:rsidRPr="00076466">
        <w:t xml:space="preserve"> and that the disease</w:t>
      </w:r>
      <w:r w:rsidR="00AB7C4F" w:rsidRPr="00076466">
        <w:t>-</w:t>
      </w:r>
      <w:r w:rsidR="00024CE3" w:rsidRPr="00076466">
        <w:t xml:space="preserve">specific questionnaire </w:t>
      </w:r>
      <w:r w:rsidR="00E81C89" w:rsidRPr="00076466">
        <w:t xml:space="preserve">(EORTC QLQ-C30 GHS) </w:t>
      </w:r>
      <w:r w:rsidR="00024CE3" w:rsidRPr="00076466">
        <w:t xml:space="preserve">used in ASPIRE </w:t>
      </w:r>
      <w:r w:rsidR="00AB7C4F" w:rsidRPr="00076466">
        <w:t xml:space="preserve">showed </w:t>
      </w:r>
      <w:r w:rsidR="00E81C89" w:rsidRPr="00076466">
        <w:t xml:space="preserve">a </w:t>
      </w:r>
      <w:r w:rsidR="00024CE3" w:rsidRPr="00076466">
        <w:t>stat</w:t>
      </w:r>
      <w:r w:rsidR="00E81C89" w:rsidRPr="00076466">
        <w:t>istically</w:t>
      </w:r>
      <w:r w:rsidR="00024CE3" w:rsidRPr="00076466">
        <w:t xml:space="preserve"> significant difference between</w:t>
      </w:r>
      <w:r w:rsidR="00D23610" w:rsidRPr="00076466">
        <w:t xml:space="preserve"> the</w:t>
      </w:r>
      <w:r w:rsidR="00E81C89" w:rsidRPr="00076466">
        <w:t xml:space="preserve"> </w:t>
      </w:r>
      <w:r w:rsidR="00700731">
        <w:t>treatment</w:t>
      </w:r>
      <w:r w:rsidR="00700731" w:rsidRPr="00076466">
        <w:t xml:space="preserve"> </w:t>
      </w:r>
      <w:r w:rsidR="00024CE3" w:rsidRPr="00076466">
        <w:t>a</w:t>
      </w:r>
      <w:r w:rsidR="00E81C89" w:rsidRPr="00076466">
        <w:t>r</w:t>
      </w:r>
      <w:r w:rsidR="00024CE3" w:rsidRPr="00076466">
        <w:t>m</w:t>
      </w:r>
      <w:r w:rsidR="00E81C89" w:rsidRPr="00076466">
        <w:t>s</w:t>
      </w:r>
      <w:r w:rsidR="00024CE3" w:rsidRPr="00076466">
        <w:t xml:space="preserve">. </w:t>
      </w:r>
      <w:r w:rsidR="00F34ADB" w:rsidRPr="00076466">
        <w:t xml:space="preserve">The clinical expert </w:t>
      </w:r>
      <w:r w:rsidR="009047D3" w:rsidRPr="00076466">
        <w:t>explained</w:t>
      </w:r>
      <w:r w:rsidR="00F34ADB" w:rsidRPr="00076466">
        <w:t xml:space="preserve"> that </w:t>
      </w:r>
      <w:r w:rsidR="0099075C" w:rsidRPr="00076466">
        <w:t>adding</w:t>
      </w:r>
      <w:r w:rsidR="00F34ADB" w:rsidRPr="00076466">
        <w:t xml:space="preserve"> </w:t>
      </w:r>
      <w:r w:rsidR="00024CE3" w:rsidRPr="00076466">
        <w:t xml:space="preserve">carfilzomib to lenalidomide </w:t>
      </w:r>
      <w:r w:rsidR="009E5FED" w:rsidRPr="00076466">
        <w:t xml:space="preserve">and </w:t>
      </w:r>
      <w:r w:rsidR="00024CE3" w:rsidRPr="00076466">
        <w:t>dexamethasone</w:t>
      </w:r>
      <w:r w:rsidR="00F34ADB" w:rsidRPr="00076466">
        <w:t xml:space="preserve"> would not necessarily improve </w:t>
      </w:r>
      <w:r w:rsidR="00DB0FE2" w:rsidRPr="00076466">
        <w:t xml:space="preserve">a person’s </w:t>
      </w:r>
      <w:r w:rsidR="00F34ADB" w:rsidRPr="00076466">
        <w:t>quality of life</w:t>
      </w:r>
      <w:r w:rsidR="00772AC4" w:rsidRPr="00076466">
        <w:t>.</w:t>
      </w:r>
      <w:r w:rsidR="00F34ADB" w:rsidRPr="00076466">
        <w:t xml:space="preserve"> </w:t>
      </w:r>
      <w:r w:rsidR="00772AC4" w:rsidRPr="00076466">
        <w:t xml:space="preserve">But it </w:t>
      </w:r>
      <w:r w:rsidR="000355F6" w:rsidRPr="00076466">
        <w:t xml:space="preserve">would </w:t>
      </w:r>
      <w:r w:rsidR="00772AC4" w:rsidRPr="00076466">
        <w:t>increase the</w:t>
      </w:r>
      <w:r w:rsidR="000355F6" w:rsidRPr="00076466">
        <w:t xml:space="preserve"> </w:t>
      </w:r>
      <w:r w:rsidR="00F34ADB" w:rsidRPr="00076466">
        <w:t xml:space="preserve">effectiveness of </w:t>
      </w:r>
      <w:r w:rsidR="00F06148" w:rsidRPr="00076466">
        <w:t>controlling the disease</w:t>
      </w:r>
      <w:r w:rsidR="00772AC4" w:rsidRPr="00076466">
        <w:t>,</w:t>
      </w:r>
      <w:r w:rsidR="00F06148" w:rsidRPr="00076466">
        <w:t xml:space="preserve"> </w:t>
      </w:r>
      <w:r w:rsidR="00772AC4" w:rsidRPr="00076466">
        <w:t xml:space="preserve">which </w:t>
      </w:r>
      <w:r w:rsidR="00F34ADB" w:rsidRPr="00076466">
        <w:t xml:space="preserve">would </w:t>
      </w:r>
      <w:r w:rsidR="00772AC4" w:rsidRPr="00076466">
        <w:t>improve</w:t>
      </w:r>
      <w:r w:rsidR="00F34ADB" w:rsidRPr="00076466">
        <w:t xml:space="preserve"> quality of life. </w:t>
      </w:r>
      <w:r w:rsidR="005D616E" w:rsidRPr="00076466">
        <w:t xml:space="preserve">The committee agreed that the company’s use of treatment-specific utility values may be reasonable, but it preferred the pre-progression utility values </w:t>
      </w:r>
      <w:r w:rsidR="00700731">
        <w:t xml:space="preserve">to be the same </w:t>
      </w:r>
      <w:r w:rsidR="005D616E" w:rsidRPr="00076466">
        <w:t xml:space="preserve">for both treatment arms. </w:t>
      </w:r>
      <w:r w:rsidR="00636569" w:rsidRPr="00076466">
        <w:t>It</w:t>
      </w:r>
      <w:r w:rsidR="00024CE3" w:rsidRPr="00076466">
        <w:t xml:space="preserve"> </w:t>
      </w:r>
      <w:r w:rsidR="00F06148" w:rsidRPr="00076466">
        <w:t xml:space="preserve">noted </w:t>
      </w:r>
      <w:r w:rsidR="00024CE3" w:rsidRPr="00076466">
        <w:t xml:space="preserve">that </w:t>
      </w:r>
      <w:r w:rsidR="00D14E64" w:rsidRPr="00076466">
        <w:t xml:space="preserve">the ERG’s approach of </w:t>
      </w:r>
      <w:r w:rsidR="000355F6" w:rsidRPr="00076466">
        <w:t>remov</w:t>
      </w:r>
      <w:r w:rsidR="00D14E64" w:rsidRPr="00076466">
        <w:t>ing</w:t>
      </w:r>
      <w:r w:rsidR="000355F6" w:rsidRPr="00076466">
        <w:t xml:space="preserve"> </w:t>
      </w:r>
      <w:r w:rsidR="00D14E64" w:rsidRPr="00076466">
        <w:t xml:space="preserve">the </w:t>
      </w:r>
      <w:r w:rsidR="000355F6" w:rsidRPr="00076466">
        <w:t xml:space="preserve">treatment effect and </w:t>
      </w:r>
      <w:r w:rsidR="00772AC4" w:rsidRPr="00076466">
        <w:t>increasing</w:t>
      </w:r>
      <w:r w:rsidR="000355F6" w:rsidRPr="00076466">
        <w:t xml:space="preserve"> utility from baseline for cycle 3 onwards for </w:t>
      </w:r>
      <w:r w:rsidR="00472803" w:rsidRPr="00076466">
        <w:t xml:space="preserve">the </w:t>
      </w:r>
      <w:r w:rsidR="000355F6" w:rsidRPr="00076466">
        <w:t xml:space="preserve">pre-progression health state utility value </w:t>
      </w:r>
      <w:r w:rsidR="00024CE3" w:rsidRPr="00076466">
        <w:t xml:space="preserve">had </w:t>
      </w:r>
      <w:r w:rsidR="000355F6" w:rsidRPr="00076466">
        <w:t xml:space="preserve">little </w:t>
      </w:r>
      <w:r w:rsidR="002E0E6C" w:rsidRPr="00076466">
        <w:t xml:space="preserve">effect </w:t>
      </w:r>
      <w:r w:rsidR="00024CE3" w:rsidRPr="00076466">
        <w:t xml:space="preserve">on the </w:t>
      </w:r>
      <w:r w:rsidR="000355F6" w:rsidRPr="00076466">
        <w:t>company’s base</w:t>
      </w:r>
      <w:r w:rsidR="00DD4D75" w:rsidRPr="00076466">
        <w:t>-</w:t>
      </w:r>
      <w:r w:rsidR="000355F6" w:rsidRPr="00076466">
        <w:t xml:space="preserve">case </w:t>
      </w:r>
      <w:r w:rsidR="002E0E6C" w:rsidRPr="00076466">
        <w:t>incremental cost-effectiveness ratio (</w:t>
      </w:r>
      <w:r w:rsidR="00024CE3" w:rsidRPr="00076466">
        <w:t>ICER</w:t>
      </w:r>
      <w:r w:rsidR="002E0E6C" w:rsidRPr="00076466">
        <w:t>)</w:t>
      </w:r>
      <w:r w:rsidR="00024CE3" w:rsidRPr="00076466">
        <w:t>.</w:t>
      </w:r>
      <w:r w:rsidR="00F06148" w:rsidRPr="00076466">
        <w:t xml:space="preserve"> </w:t>
      </w:r>
      <w:r w:rsidR="00F06148" w:rsidRPr="00076466">
        <w:lastRenderedPageBreak/>
        <w:t>The committee concluded that</w:t>
      </w:r>
      <w:r w:rsidR="00415B4A" w:rsidRPr="00076466">
        <w:t xml:space="preserve"> </w:t>
      </w:r>
      <w:r w:rsidR="00F06148" w:rsidRPr="00076466">
        <w:t xml:space="preserve">the choice of utility value had little </w:t>
      </w:r>
      <w:r w:rsidR="002E0E6C" w:rsidRPr="00076466">
        <w:t xml:space="preserve">effect </w:t>
      </w:r>
      <w:r w:rsidR="00F06148" w:rsidRPr="00076466">
        <w:t>on the ICER.</w:t>
      </w:r>
    </w:p>
    <w:p w14:paraId="10465BA4" w14:textId="020DF85D" w:rsidR="00811FE4" w:rsidRPr="00076466" w:rsidRDefault="00811FE4" w:rsidP="00811FE4">
      <w:pPr>
        <w:pStyle w:val="Heading2"/>
      </w:pPr>
      <w:r w:rsidRPr="00076466">
        <w:t>Extrapolation of overall survival</w:t>
      </w:r>
    </w:p>
    <w:p w14:paraId="398E6F47" w14:textId="597F6BFF" w:rsidR="0013064B" w:rsidRPr="00076466" w:rsidRDefault="00E44A6C" w:rsidP="0013064B">
      <w:pPr>
        <w:pStyle w:val="Heading3"/>
      </w:pPr>
      <w:r w:rsidRPr="00076466">
        <w:t>Overall survival can be e</w:t>
      </w:r>
      <w:r w:rsidR="00722713" w:rsidRPr="00076466">
        <w:t xml:space="preserve">xtrapolated from </w:t>
      </w:r>
      <w:r w:rsidR="00A25B86" w:rsidRPr="00076466">
        <w:t xml:space="preserve">the </w:t>
      </w:r>
      <w:r w:rsidR="00722713" w:rsidRPr="00076466">
        <w:t>mature ASPIRE data</w:t>
      </w:r>
    </w:p>
    <w:p w14:paraId="423B2BA6" w14:textId="02F65AD1" w:rsidR="00B51F64" w:rsidRPr="00076466" w:rsidRDefault="00CF1551" w:rsidP="00177D63">
      <w:pPr>
        <w:pStyle w:val="Numberedlevel2text"/>
      </w:pPr>
      <w:r w:rsidRPr="00076466">
        <w:t>The company considered that extrapolation from ASPIRE data may underestimate long-term survival</w:t>
      </w:r>
      <w:r w:rsidR="00B31EFC" w:rsidRPr="00076466">
        <w:t>, producing conservative results</w:t>
      </w:r>
      <w:r w:rsidRPr="00076466">
        <w:t xml:space="preserve"> for</w:t>
      </w:r>
      <w:r w:rsidR="00B31EFC" w:rsidRPr="00076466">
        <w:t xml:space="preserve"> the</w:t>
      </w:r>
      <w:r w:rsidRPr="00076466">
        <w:t xml:space="preserve"> </w:t>
      </w:r>
      <w:r w:rsidR="00306565" w:rsidRPr="00076466">
        <w:t xml:space="preserve">lenalidomide </w:t>
      </w:r>
      <w:r w:rsidR="00091B8E" w:rsidRPr="00076466">
        <w:t xml:space="preserve">with </w:t>
      </w:r>
      <w:r w:rsidR="00306565" w:rsidRPr="00076466">
        <w:t>dexamethasone</w:t>
      </w:r>
      <w:r w:rsidRPr="00076466">
        <w:t xml:space="preserve"> </w:t>
      </w:r>
      <w:r w:rsidR="00B31EFC" w:rsidRPr="00076466">
        <w:t xml:space="preserve">arm </w:t>
      </w:r>
      <w:r w:rsidRPr="00076466">
        <w:t xml:space="preserve">compared with estimates presented in related technology appraisals. </w:t>
      </w:r>
      <w:r w:rsidR="000865C4" w:rsidRPr="00076466">
        <w:t>Because of this</w:t>
      </w:r>
      <w:r w:rsidR="00B31EFC" w:rsidRPr="00076466">
        <w:t>, t</w:t>
      </w:r>
      <w:r w:rsidR="00586635" w:rsidRPr="00076466">
        <w:t>o</w:t>
      </w:r>
      <w:r w:rsidRPr="00076466">
        <w:t xml:space="preserve"> estimate overall survival for both treatment arms, the company used a </w:t>
      </w:r>
      <w:r w:rsidR="002A26CB" w:rsidRPr="00076466">
        <w:t xml:space="preserve">combination </w:t>
      </w:r>
      <w:r w:rsidRPr="00076466">
        <w:t xml:space="preserve">of extrapolated ASPIRE </w:t>
      </w:r>
      <w:r w:rsidR="002A26CB" w:rsidRPr="00076466">
        <w:t xml:space="preserve">inverse probability weighted </w:t>
      </w:r>
      <w:r w:rsidRPr="00076466">
        <w:t>overall</w:t>
      </w:r>
      <w:r w:rsidR="002A26CB" w:rsidRPr="00076466">
        <w:t>-</w:t>
      </w:r>
      <w:r w:rsidRPr="00076466">
        <w:t>survival data and real-world evidence from a French registry (</w:t>
      </w:r>
      <w:proofErr w:type="spellStart"/>
      <w:r w:rsidRPr="00076466">
        <w:t>MyelomaToul</w:t>
      </w:r>
      <w:proofErr w:type="spellEnd"/>
      <w:r w:rsidRPr="00076466">
        <w:t xml:space="preserve">) of multiple myeloma patients who </w:t>
      </w:r>
      <w:r w:rsidR="002A26CB" w:rsidRPr="00076466">
        <w:t xml:space="preserve">had </w:t>
      </w:r>
      <w:r w:rsidRPr="00076466">
        <w:t>lenalidomide as a second-line treatment. The ERG considered that a clinically</w:t>
      </w:r>
      <w:r w:rsidR="000865C4" w:rsidRPr="00076466">
        <w:t xml:space="preserve"> </w:t>
      </w:r>
      <w:r w:rsidRPr="00076466">
        <w:t xml:space="preserve">plausible extrapolation of overall survival for </w:t>
      </w:r>
      <w:r w:rsidR="005620EB" w:rsidRPr="00076466">
        <w:t xml:space="preserve">carfilzomib </w:t>
      </w:r>
      <w:r w:rsidR="00091B8E" w:rsidRPr="00076466">
        <w:t>with</w:t>
      </w:r>
      <w:r w:rsidR="005620EB" w:rsidRPr="00076466">
        <w:t xml:space="preserve"> lenalidomide and dexamethasone </w:t>
      </w:r>
      <w:r w:rsidRPr="00076466">
        <w:t>could be estimated entirely from mature ASPIRE data</w:t>
      </w:r>
      <w:r w:rsidR="00992AAE" w:rsidRPr="00076466">
        <w:t xml:space="preserve">. It noted </w:t>
      </w:r>
      <w:r w:rsidRPr="00076466">
        <w:t xml:space="preserve">that </w:t>
      </w:r>
      <w:r w:rsidR="009D18E7" w:rsidRPr="00076466">
        <w:t xml:space="preserve">the exponential distribution was the best statistical fit </w:t>
      </w:r>
      <w:r w:rsidRPr="00076466">
        <w:t xml:space="preserve">for </w:t>
      </w:r>
      <w:r w:rsidR="00992AAE" w:rsidRPr="00076466">
        <w:t xml:space="preserve">its </w:t>
      </w:r>
      <w:r w:rsidRPr="00076466">
        <w:t xml:space="preserve">preferred subgroup. </w:t>
      </w:r>
      <w:r w:rsidR="00B51F64" w:rsidRPr="00076466">
        <w:t>The committee preferred the exponential model for estimating overall survival for both treatment arms because it used data entirely from the ASPIRE trial.</w:t>
      </w:r>
    </w:p>
    <w:p w14:paraId="0E5702F6" w14:textId="4006B0F5" w:rsidR="00B51F64" w:rsidRPr="00076466" w:rsidRDefault="00B51F64" w:rsidP="00076466">
      <w:pPr>
        <w:pStyle w:val="Heading3"/>
      </w:pPr>
      <w:r w:rsidRPr="00076466">
        <w:t xml:space="preserve">There is uncertainty about how long </w:t>
      </w:r>
      <w:r w:rsidR="00700731">
        <w:t>any</w:t>
      </w:r>
      <w:r w:rsidRPr="00076466">
        <w:t xml:space="preserve"> treatment benefit lasts after stopping treatment</w:t>
      </w:r>
    </w:p>
    <w:p w14:paraId="1A04A517" w14:textId="3E87D02A" w:rsidR="00960FE5" w:rsidRDefault="00CF1551" w:rsidP="00700731">
      <w:pPr>
        <w:pStyle w:val="Numberedlevel2text"/>
      </w:pPr>
      <w:r w:rsidRPr="00076466">
        <w:t xml:space="preserve">The committee noted that a relative treatment effect had been applied to every cycle in the company’s model for </w:t>
      </w:r>
      <w:r w:rsidR="005620EB" w:rsidRPr="00076466">
        <w:t xml:space="preserve">carfilzomib </w:t>
      </w:r>
      <w:r w:rsidR="00091B8E" w:rsidRPr="00076466">
        <w:t>with</w:t>
      </w:r>
      <w:r w:rsidR="005620EB" w:rsidRPr="00076466">
        <w:t xml:space="preserve"> lenalidomide and dexamethasone</w:t>
      </w:r>
      <w:r w:rsidRPr="00076466">
        <w:t>, beyond the observed ASPIRE data.</w:t>
      </w:r>
      <w:r w:rsidR="00B51F64" w:rsidRPr="00076466">
        <w:t xml:space="preserve"> It </w:t>
      </w:r>
      <w:r w:rsidR="00BF0306" w:rsidRPr="00076466">
        <w:t>considered</w:t>
      </w:r>
      <w:r w:rsidR="00B51F64" w:rsidRPr="00076466">
        <w:t xml:space="preserve"> that the ERG’s exponential model </w:t>
      </w:r>
      <w:r w:rsidR="002E7E8C">
        <w:t>included</w:t>
      </w:r>
      <w:r w:rsidR="002E7E8C" w:rsidRPr="00076466">
        <w:t xml:space="preserve"> </w:t>
      </w:r>
      <w:r w:rsidR="001F4C16" w:rsidRPr="00076466">
        <w:t>a</w:t>
      </w:r>
      <w:r w:rsidR="00B51F64" w:rsidRPr="00076466">
        <w:t xml:space="preserve"> treatment benefit for carfilzomib with </w:t>
      </w:r>
      <w:r w:rsidR="00BF0306" w:rsidRPr="00076466">
        <w:t>lenalidomide</w:t>
      </w:r>
      <w:r w:rsidR="00B51F64" w:rsidRPr="00076466">
        <w:t xml:space="preserve"> and dexamethasone</w:t>
      </w:r>
      <w:r w:rsidR="001F4C16" w:rsidRPr="00076466">
        <w:t xml:space="preserve"> after stopping treatment</w:t>
      </w:r>
      <w:r w:rsidR="00700731">
        <w:t>,</w:t>
      </w:r>
      <w:r w:rsidR="001F4C16" w:rsidRPr="00076466">
        <w:t xml:space="preserve"> although it </w:t>
      </w:r>
      <w:r w:rsidR="00BF0306" w:rsidRPr="00076466">
        <w:t xml:space="preserve">accepted that </w:t>
      </w:r>
      <w:r w:rsidR="002E7E8C">
        <w:t>the use of</w:t>
      </w:r>
      <w:r w:rsidR="001F4C16" w:rsidRPr="00076466">
        <w:t xml:space="preserve"> mature data from ASPIRE may have captured some</w:t>
      </w:r>
      <w:r w:rsidR="00BF0306" w:rsidRPr="00076466">
        <w:t xml:space="preserve"> waning of treatment effect</w:t>
      </w:r>
      <w:r w:rsidR="00B51F64" w:rsidRPr="00076466">
        <w:t>.</w:t>
      </w:r>
      <w:r w:rsidRPr="00076466">
        <w:t xml:space="preserve"> The committee discussed whether there would be better prognosis in people who reached 20</w:t>
      </w:r>
      <w:r w:rsidR="00333D4A" w:rsidRPr="00076466">
        <w:noBreakHyphen/>
      </w:r>
      <w:r w:rsidRPr="00076466">
        <w:t xml:space="preserve">years survival with </w:t>
      </w:r>
      <w:r w:rsidR="00BF0306" w:rsidRPr="00076466">
        <w:t xml:space="preserve">carfilzomib with lenalidomide and dexamethasone </w:t>
      </w:r>
      <w:r w:rsidRPr="00076466">
        <w:t xml:space="preserve">compared with </w:t>
      </w:r>
      <w:r w:rsidR="00306565" w:rsidRPr="00076466">
        <w:lastRenderedPageBreak/>
        <w:t xml:space="preserve">lenalidomide </w:t>
      </w:r>
      <w:r w:rsidR="00CF5218">
        <w:t>and</w:t>
      </w:r>
      <w:r w:rsidR="00CF5218" w:rsidRPr="00076466">
        <w:t xml:space="preserve"> </w:t>
      </w:r>
      <w:r w:rsidR="00306565" w:rsidRPr="00076466">
        <w:t>dexamethasone</w:t>
      </w:r>
      <w:r w:rsidRPr="00076466">
        <w:t>. The clinical expert confirmed that people who are alive after 20</w:t>
      </w:r>
      <w:r w:rsidR="002E0E6C" w:rsidRPr="00076466">
        <w:t> </w:t>
      </w:r>
      <w:r w:rsidRPr="00076466">
        <w:t xml:space="preserve">years only have a better prognosis because they are able to </w:t>
      </w:r>
      <w:r w:rsidR="00333D4A" w:rsidRPr="00076466">
        <w:t xml:space="preserve">have </w:t>
      </w:r>
      <w:r w:rsidRPr="00076466">
        <w:t xml:space="preserve">further treatment, and not necessarily because they previously </w:t>
      </w:r>
      <w:r w:rsidR="00333D4A" w:rsidRPr="00076466">
        <w:t xml:space="preserve">had </w:t>
      </w:r>
      <w:r w:rsidRPr="00076466">
        <w:t xml:space="preserve">one treatment </w:t>
      </w:r>
      <w:r w:rsidR="00333D4A" w:rsidRPr="00076466">
        <w:t xml:space="preserve">rather than </w:t>
      </w:r>
      <w:r w:rsidRPr="00076466">
        <w:t xml:space="preserve">another. The committee agreed it was unclear how long the treatment benefit </w:t>
      </w:r>
      <w:r w:rsidR="002E0E6C" w:rsidRPr="00076466">
        <w:t xml:space="preserve">would last for </w:t>
      </w:r>
      <w:r w:rsidR="005620EB" w:rsidRPr="00076466">
        <w:t xml:space="preserve">carfilzomib </w:t>
      </w:r>
      <w:r w:rsidR="00091B8E" w:rsidRPr="00076466">
        <w:t>with</w:t>
      </w:r>
      <w:r w:rsidR="005620EB" w:rsidRPr="00076466">
        <w:t xml:space="preserve"> lenalidomide and dexamethasone</w:t>
      </w:r>
      <w:r w:rsidRPr="00076466">
        <w:t>.</w:t>
      </w:r>
      <w:r w:rsidR="004723A7" w:rsidRPr="00076466">
        <w:t xml:space="preserve"> </w:t>
      </w:r>
      <w:r w:rsidRPr="00076466">
        <w:t xml:space="preserve">It considered that </w:t>
      </w:r>
      <w:r w:rsidR="00F42BE1" w:rsidRPr="00076466">
        <w:t xml:space="preserve">the </w:t>
      </w:r>
      <w:r w:rsidR="00472803" w:rsidRPr="00076466">
        <w:t>appl</w:t>
      </w:r>
      <w:r w:rsidR="00F42BE1" w:rsidRPr="00076466">
        <w:t>ication of a</w:t>
      </w:r>
      <w:r w:rsidR="0093180A" w:rsidRPr="00076466">
        <w:t xml:space="preserve"> prolonged</w:t>
      </w:r>
      <w:r w:rsidR="00F42BE1" w:rsidRPr="00076466">
        <w:t xml:space="preserve"> </w:t>
      </w:r>
      <w:r w:rsidRPr="00076466">
        <w:t>treatment</w:t>
      </w:r>
      <w:r w:rsidR="006F4387" w:rsidRPr="00076466">
        <w:t xml:space="preserve"> </w:t>
      </w:r>
      <w:r w:rsidR="0093180A" w:rsidRPr="00076466">
        <w:t>benefit m</w:t>
      </w:r>
      <w:r w:rsidRPr="00076466">
        <w:t xml:space="preserve">ay </w:t>
      </w:r>
      <w:r w:rsidR="009F7E53" w:rsidRPr="00076466">
        <w:t xml:space="preserve">potentially overestimate survival and </w:t>
      </w:r>
      <w:r w:rsidRPr="00076466">
        <w:t xml:space="preserve">be favourable to </w:t>
      </w:r>
      <w:r w:rsidR="005620EB" w:rsidRPr="00076466">
        <w:t xml:space="preserve">carfilzomib </w:t>
      </w:r>
      <w:r w:rsidR="00091B8E" w:rsidRPr="00076466">
        <w:t>with</w:t>
      </w:r>
      <w:r w:rsidR="005620EB" w:rsidRPr="00076466">
        <w:t xml:space="preserve"> lenalidomide and dexamethasone</w:t>
      </w:r>
      <w:r w:rsidRPr="00076466">
        <w:t xml:space="preserve">. </w:t>
      </w:r>
      <w:r w:rsidR="004723A7" w:rsidRPr="00076466">
        <w:t>It concluded th</w:t>
      </w:r>
      <w:r w:rsidR="00593A16" w:rsidRPr="00076466">
        <w:t>at th</w:t>
      </w:r>
      <w:r w:rsidR="009842CF" w:rsidRPr="00076466">
        <w:t xml:space="preserve">e effect </w:t>
      </w:r>
      <w:r w:rsidR="00593A16" w:rsidRPr="00076466">
        <w:t>of</w:t>
      </w:r>
      <w:r w:rsidR="003E317F" w:rsidRPr="00076466">
        <w:t xml:space="preserve"> any</w:t>
      </w:r>
      <w:r w:rsidR="004723A7" w:rsidRPr="00076466">
        <w:t xml:space="preserve"> </w:t>
      </w:r>
      <w:r w:rsidR="00F42BE1" w:rsidRPr="00076466">
        <w:t xml:space="preserve">prolonged </w:t>
      </w:r>
      <w:r w:rsidR="004723A7" w:rsidRPr="00076466">
        <w:t xml:space="preserve">treatment benefit would need to be </w:t>
      </w:r>
      <w:r w:rsidR="009A7B8F" w:rsidRPr="00076466">
        <w:t xml:space="preserve">explored </w:t>
      </w:r>
      <w:r w:rsidR="00593A16" w:rsidRPr="00076466">
        <w:t xml:space="preserve">through additional analyses </w:t>
      </w:r>
      <w:r w:rsidR="009A7B8F" w:rsidRPr="00076466">
        <w:t xml:space="preserve">before </w:t>
      </w:r>
      <w:r w:rsidR="00BF0306" w:rsidRPr="00076466">
        <w:t xml:space="preserve">it can </w:t>
      </w:r>
      <w:r w:rsidR="001F4C16" w:rsidRPr="00076466">
        <w:t>accept</w:t>
      </w:r>
      <w:r w:rsidR="00BF0306" w:rsidRPr="00076466">
        <w:t xml:space="preserve"> </w:t>
      </w:r>
      <w:r w:rsidR="001F4C16" w:rsidRPr="00076466">
        <w:t xml:space="preserve">that </w:t>
      </w:r>
      <w:r w:rsidR="00BF0306" w:rsidRPr="00076466">
        <w:t>a treatment benefit</w:t>
      </w:r>
      <w:r w:rsidR="001F4C16" w:rsidRPr="00076466">
        <w:t xml:space="preserve"> </w:t>
      </w:r>
      <w:r w:rsidR="00BF0306" w:rsidRPr="00076466">
        <w:t>for carfilzomib with lenalidomide and dexamethasone</w:t>
      </w:r>
      <w:r w:rsidR="001F4C16" w:rsidRPr="00076466">
        <w:t xml:space="preserve"> would persist af</w:t>
      </w:r>
      <w:r w:rsidR="0093180A" w:rsidRPr="00076466">
        <w:t>te</w:t>
      </w:r>
      <w:r w:rsidR="001F4C16" w:rsidRPr="00076466">
        <w:t>r treatment has stopped</w:t>
      </w:r>
      <w:r w:rsidR="009A7B8F" w:rsidRPr="00076466">
        <w:t>.</w:t>
      </w:r>
    </w:p>
    <w:p w14:paraId="083744F8" w14:textId="45D51147" w:rsidR="00811B0D" w:rsidRPr="00076466" w:rsidRDefault="00811B0D">
      <w:pPr>
        <w:pStyle w:val="Heading2"/>
      </w:pPr>
      <w:r w:rsidRPr="00076466">
        <w:t>Stopping rule</w:t>
      </w:r>
    </w:p>
    <w:p w14:paraId="4B5D8189" w14:textId="2FF1E150" w:rsidR="00811B0D" w:rsidRPr="00076466" w:rsidRDefault="00811B0D" w:rsidP="00811B0D">
      <w:pPr>
        <w:pStyle w:val="Heading3"/>
      </w:pPr>
      <w:r w:rsidRPr="00076466">
        <w:t xml:space="preserve">It is clinically plausible that treatment with carfilzomib would be </w:t>
      </w:r>
      <w:r w:rsidR="00421216" w:rsidRPr="00076466">
        <w:t>limited to</w:t>
      </w:r>
      <w:r w:rsidRPr="00076466">
        <w:t xml:space="preserve"> 18 cycles</w:t>
      </w:r>
    </w:p>
    <w:p w14:paraId="5D3F3B63" w14:textId="1ABD55A7" w:rsidR="00811B0D" w:rsidRPr="00076466" w:rsidRDefault="00811B0D" w:rsidP="00811B0D">
      <w:pPr>
        <w:pStyle w:val="Numberedlevel2text"/>
      </w:pPr>
      <w:r w:rsidRPr="00076466">
        <w:t xml:space="preserve">In ASPIRE carfilzomib </w:t>
      </w:r>
      <w:r w:rsidR="001D509B" w:rsidRPr="00076466">
        <w:t xml:space="preserve">treatment </w:t>
      </w:r>
      <w:r w:rsidRPr="00076466">
        <w:t>stopped after 18 cycles</w:t>
      </w:r>
      <w:r w:rsidR="002D0C03" w:rsidRPr="00076466">
        <w:t>,</w:t>
      </w:r>
      <w:r w:rsidRPr="00076466">
        <w:t xml:space="preserve"> </w:t>
      </w:r>
      <w:r w:rsidR="002D0C03" w:rsidRPr="00076466">
        <w:t xml:space="preserve">but </w:t>
      </w:r>
      <w:r w:rsidRPr="00076466">
        <w:t xml:space="preserve">the marketing authorisation allows for treatment until </w:t>
      </w:r>
      <w:r w:rsidR="0071781E" w:rsidRPr="00076466">
        <w:t xml:space="preserve">disease </w:t>
      </w:r>
      <w:r w:rsidRPr="00076466">
        <w:t xml:space="preserve">progression or unacceptable toxicity. </w:t>
      </w:r>
      <w:r w:rsidR="001D509B" w:rsidRPr="00076466">
        <w:t xml:space="preserve">Carfilzomib’s </w:t>
      </w:r>
      <w:hyperlink r:id="rId17" w:history="1">
        <w:r w:rsidRPr="00076466">
          <w:rPr>
            <w:rStyle w:val="Hyperlink"/>
          </w:rPr>
          <w:t>summary of product characteristics</w:t>
        </w:r>
      </w:hyperlink>
      <w:r w:rsidRPr="00076466">
        <w:t xml:space="preserve"> states that treatment </w:t>
      </w:r>
      <w:r w:rsidR="002D0C03" w:rsidRPr="00076466">
        <w:t>‘</w:t>
      </w:r>
      <w:r w:rsidRPr="00076466">
        <w:t>combined with lenalidomide and dexamethasone for longer than 18 cycles should be based on an individual benefit/risk assessment, as the data on the tolerability and toxicity of carfilzomib beyond 18 cycles are limited</w:t>
      </w:r>
      <w:r w:rsidR="002D0C03" w:rsidRPr="00076466">
        <w:t>’</w:t>
      </w:r>
      <w:r w:rsidRPr="00076466">
        <w:t xml:space="preserve">. The committee </w:t>
      </w:r>
      <w:r w:rsidR="00FA4F90" w:rsidRPr="00076466">
        <w:t>noted</w:t>
      </w:r>
      <w:r w:rsidRPr="00076466">
        <w:t xml:space="preserve"> that treatment costs for carfilzomib </w:t>
      </w:r>
      <w:r w:rsidR="00C43818" w:rsidRPr="00076466">
        <w:t xml:space="preserve">after 18 cycles </w:t>
      </w:r>
      <w:r w:rsidRPr="00076466">
        <w:t>were not included in the company’s economic model</w:t>
      </w:r>
      <w:r w:rsidR="00CE5E84" w:rsidRPr="00076466">
        <w:t xml:space="preserve">. </w:t>
      </w:r>
      <w:r w:rsidRPr="00076466">
        <w:t xml:space="preserve">The </w:t>
      </w:r>
      <w:r w:rsidR="003F26F9" w:rsidRPr="00076466">
        <w:t xml:space="preserve">clinical </w:t>
      </w:r>
      <w:r w:rsidRPr="00076466">
        <w:t xml:space="preserve">expert stated that because of lack of evidence of efficacy </w:t>
      </w:r>
      <w:r w:rsidR="003F26F9" w:rsidRPr="00076466">
        <w:t>for</w:t>
      </w:r>
      <w:r w:rsidRPr="00076466">
        <w:t xml:space="preserve"> carfilzomib </w:t>
      </w:r>
      <w:r w:rsidR="00776DDC" w:rsidRPr="00076466">
        <w:t xml:space="preserve">treatment </w:t>
      </w:r>
      <w:r w:rsidRPr="00076466">
        <w:t>beyond 18 months</w:t>
      </w:r>
      <w:r w:rsidR="003F26F9" w:rsidRPr="00076466">
        <w:t>,</w:t>
      </w:r>
      <w:r w:rsidRPr="00076466">
        <w:t xml:space="preserve"> and the associated toxicity, it would be unlikely for treatment </w:t>
      </w:r>
      <w:r w:rsidR="003F26F9" w:rsidRPr="00076466">
        <w:t xml:space="preserve">to continue </w:t>
      </w:r>
      <w:r w:rsidRPr="00076466">
        <w:t xml:space="preserve">beyond this time period. The </w:t>
      </w:r>
      <w:bookmarkStart w:id="9" w:name="_Hlk43202390"/>
      <w:r w:rsidR="00ED3103" w:rsidRPr="00076466">
        <w:t xml:space="preserve">clinical lead for the Cancer Drugs Fund </w:t>
      </w:r>
      <w:bookmarkEnd w:id="9"/>
      <w:r w:rsidR="00ED3103" w:rsidRPr="00076466">
        <w:t xml:space="preserve">advised </w:t>
      </w:r>
      <w:r w:rsidRPr="00076466">
        <w:t xml:space="preserve">that the NHS would commission a maximum of 18 cycles of carfilzomib based on the evidence </w:t>
      </w:r>
      <w:r w:rsidR="00472803" w:rsidRPr="00076466">
        <w:t xml:space="preserve">from </w:t>
      </w:r>
      <w:r w:rsidRPr="00076466">
        <w:t>A</w:t>
      </w:r>
      <w:r w:rsidR="00EA2A01" w:rsidRPr="00076466">
        <w:t>S</w:t>
      </w:r>
      <w:r w:rsidRPr="00076466">
        <w:t xml:space="preserve">PIRE. The committee </w:t>
      </w:r>
      <w:r w:rsidR="00ED3103" w:rsidRPr="00076466">
        <w:t>noted</w:t>
      </w:r>
      <w:r w:rsidRPr="00076466">
        <w:t xml:space="preserve"> that many cancer treatments are </w:t>
      </w:r>
      <w:r w:rsidR="00ED3103" w:rsidRPr="00076466">
        <w:t>c</w:t>
      </w:r>
      <w:r w:rsidRPr="00076466">
        <w:t xml:space="preserve">ommissioned for a fixed duration of time and clinicians are familiar with this approach. The patient expert highlighted that there </w:t>
      </w:r>
      <w:r w:rsidRPr="00076466">
        <w:lastRenderedPageBreak/>
        <w:t xml:space="preserve">may be some patients who wish to </w:t>
      </w:r>
      <w:r w:rsidR="00776DDC" w:rsidRPr="00076466">
        <w:t>continue</w:t>
      </w:r>
      <w:r w:rsidRPr="00076466">
        <w:t xml:space="preserve"> treatment with carfilzomib beyond 18 cycles, </w:t>
      </w:r>
      <w:r w:rsidR="00472803" w:rsidRPr="00076466">
        <w:t xml:space="preserve">but </w:t>
      </w:r>
      <w:r w:rsidRPr="00076466">
        <w:t>most patients would be reassured by the availability of other effective subsequent treatment therapies. The committee concluded that treatment with carfilzomib would be unlikely to continue beyond 18 cycles and that the stopping rule would be enforceable in clinical practice.</w:t>
      </w:r>
    </w:p>
    <w:p w14:paraId="5DD61DE7" w14:textId="77777777" w:rsidR="00811B0D" w:rsidRPr="00076466" w:rsidRDefault="00811B0D" w:rsidP="00811B0D">
      <w:pPr>
        <w:pStyle w:val="Heading2"/>
      </w:pPr>
      <w:r w:rsidRPr="00076466">
        <w:t>Drug wastage</w:t>
      </w:r>
    </w:p>
    <w:p w14:paraId="7A46180E" w14:textId="7B2F8432" w:rsidR="00811B0D" w:rsidRPr="00076466" w:rsidRDefault="00811B0D" w:rsidP="00811B0D">
      <w:pPr>
        <w:pStyle w:val="Heading3"/>
      </w:pPr>
      <w:r w:rsidRPr="00076466">
        <w:t>Drug wastage is expected to be minimal</w:t>
      </w:r>
    </w:p>
    <w:p w14:paraId="6E15DBED" w14:textId="293DD7B6" w:rsidR="00811B0D" w:rsidRPr="00076466" w:rsidRDefault="00811B0D" w:rsidP="00811B0D">
      <w:pPr>
        <w:pStyle w:val="Numberedlevel2text"/>
      </w:pPr>
      <w:r w:rsidRPr="00076466">
        <w:t xml:space="preserve">The committee </w:t>
      </w:r>
      <w:r w:rsidR="00ED3103" w:rsidRPr="00076466">
        <w:t>considere</w:t>
      </w:r>
      <w:r w:rsidRPr="00076466">
        <w:t xml:space="preserve">d that drug wastage with carfilzomib </w:t>
      </w:r>
      <w:r w:rsidR="00CE5E84" w:rsidRPr="00076466">
        <w:t>i</w:t>
      </w:r>
      <w:r w:rsidRPr="00076466">
        <w:t>s expected to be minimal, given that 10 mg dose</w:t>
      </w:r>
      <w:r w:rsidR="00776019" w:rsidRPr="00076466">
        <w:t xml:space="preserve"> increments</w:t>
      </w:r>
      <w:r w:rsidRPr="00076466">
        <w:t xml:space="preserve"> </w:t>
      </w:r>
      <w:r w:rsidR="00776019" w:rsidRPr="00076466">
        <w:t>a</w:t>
      </w:r>
      <w:r w:rsidRPr="00076466">
        <w:t xml:space="preserve">re possible. The company </w:t>
      </w:r>
      <w:r w:rsidR="00603856" w:rsidRPr="00076466">
        <w:t xml:space="preserve">did </w:t>
      </w:r>
      <w:r w:rsidRPr="00076466">
        <w:t xml:space="preserve">a scenario analysis to include drug wastage and found that </w:t>
      </w:r>
      <w:r w:rsidR="00472803" w:rsidRPr="00076466">
        <w:t>this</w:t>
      </w:r>
      <w:r w:rsidRPr="00076466">
        <w:t xml:space="preserve"> had </w:t>
      </w:r>
      <w:r w:rsidR="002E0E6C" w:rsidRPr="00076466">
        <w:t>little effect</w:t>
      </w:r>
      <w:r w:rsidRPr="00076466">
        <w:t xml:space="preserve"> on </w:t>
      </w:r>
      <w:r w:rsidR="00960FE5">
        <w:t>its</w:t>
      </w:r>
      <w:r w:rsidRPr="00076466">
        <w:t xml:space="preserve"> base</w:t>
      </w:r>
      <w:r w:rsidR="00DD4D75" w:rsidRPr="00076466">
        <w:t>-</w:t>
      </w:r>
      <w:r w:rsidRPr="00076466">
        <w:t>case ICER. The ERG consider</w:t>
      </w:r>
      <w:r w:rsidR="00903ADC" w:rsidRPr="00076466">
        <w:t>ed</w:t>
      </w:r>
      <w:r w:rsidRPr="00076466">
        <w:t xml:space="preserve"> that drug wastage is not a primary driver of cost</w:t>
      </w:r>
      <w:r w:rsidR="00DD4D75" w:rsidRPr="00076466">
        <w:t xml:space="preserve"> </w:t>
      </w:r>
      <w:r w:rsidRPr="00076466">
        <w:t>effectiveness in the model and agree</w:t>
      </w:r>
      <w:r w:rsidR="00903ADC" w:rsidRPr="00076466">
        <w:t>d</w:t>
      </w:r>
      <w:r w:rsidRPr="00076466">
        <w:t xml:space="preserve"> with the company that this assumption does not have a </w:t>
      </w:r>
      <w:r w:rsidR="002E0E6C" w:rsidRPr="00076466">
        <w:t>large effect</w:t>
      </w:r>
      <w:r w:rsidRPr="00076466">
        <w:t xml:space="preserve"> on the ICER. The committee concluded that drug wastage is likely in clinical </w:t>
      </w:r>
      <w:proofErr w:type="gramStart"/>
      <w:r w:rsidRPr="00076466">
        <w:t>practice</w:t>
      </w:r>
      <w:proofErr w:type="gramEnd"/>
      <w:r w:rsidR="002E0E6C" w:rsidRPr="00076466">
        <w:t xml:space="preserve"> but</w:t>
      </w:r>
      <w:r w:rsidRPr="00076466">
        <w:t xml:space="preserve"> </w:t>
      </w:r>
      <w:r w:rsidR="002E0E6C" w:rsidRPr="00076466">
        <w:t>this is</w:t>
      </w:r>
      <w:r w:rsidRPr="00076466">
        <w:t xml:space="preserve"> unlikely to have a </w:t>
      </w:r>
      <w:r w:rsidR="002E0E6C" w:rsidRPr="00076466">
        <w:t xml:space="preserve">large effect </w:t>
      </w:r>
      <w:r w:rsidRPr="00076466">
        <w:t>on the cost-effectiveness results.</w:t>
      </w:r>
    </w:p>
    <w:p w14:paraId="6FF4EA87" w14:textId="44892A06" w:rsidR="00FE4BDD" w:rsidRPr="00076466" w:rsidRDefault="00FE4BDD" w:rsidP="00FE4BDD">
      <w:pPr>
        <w:pStyle w:val="Heading2"/>
      </w:pPr>
      <w:r w:rsidRPr="00076466">
        <w:t>Combination therapies</w:t>
      </w:r>
    </w:p>
    <w:p w14:paraId="21D63934" w14:textId="065627DF" w:rsidR="00FE4BDD" w:rsidRPr="00076466" w:rsidRDefault="00FE4BDD" w:rsidP="00FE4BDD">
      <w:pPr>
        <w:pStyle w:val="Heading3"/>
      </w:pPr>
      <w:r w:rsidRPr="00076466">
        <w:t xml:space="preserve">The costs of lenalidomide </w:t>
      </w:r>
      <w:r w:rsidR="005A61CF" w:rsidRPr="00076466">
        <w:t>with</w:t>
      </w:r>
      <w:r w:rsidRPr="00076466">
        <w:t xml:space="preserve"> dexamethasone should be included in the model</w:t>
      </w:r>
    </w:p>
    <w:p w14:paraId="32FF539C" w14:textId="6A9B11ED" w:rsidR="00811B0D" w:rsidRPr="00076466" w:rsidRDefault="00FE4BDD" w:rsidP="00306565">
      <w:pPr>
        <w:pStyle w:val="Numberedlevel2text"/>
      </w:pPr>
      <w:r w:rsidRPr="00076466">
        <w:t xml:space="preserve">The company considered </w:t>
      </w:r>
      <w:r w:rsidR="00776DDC" w:rsidRPr="00076466">
        <w:t xml:space="preserve">that </w:t>
      </w:r>
      <w:r w:rsidRPr="00076466">
        <w:t xml:space="preserve">the increased efficacy of adding carfilzomib to lenalidomide and dexamethasone </w:t>
      </w:r>
      <w:r w:rsidR="0071781E" w:rsidRPr="00076466">
        <w:t>is</w:t>
      </w:r>
      <w:r w:rsidRPr="00076466">
        <w:t xml:space="preserve"> penalised by the increased costs of </w:t>
      </w:r>
      <w:r w:rsidR="00421216" w:rsidRPr="00076466">
        <w:t xml:space="preserve">lenalidomide </w:t>
      </w:r>
      <w:r w:rsidR="005A61CF" w:rsidRPr="00076466">
        <w:t>with</w:t>
      </w:r>
      <w:r w:rsidR="00421216" w:rsidRPr="00076466">
        <w:t xml:space="preserve"> dexamethasone,</w:t>
      </w:r>
      <w:r w:rsidRPr="00076466">
        <w:t xml:space="preserve"> which are given until disease progression. </w:t>
      </w:r>
      <w:r w:rsidR="00776DDC" w:rsidRPr="00076466">
        <w:t>It</w:t>
      </w:r>
      <w:r w:rsidRPr="00076466">
        <w:t xml:space="preserve"> </w:t>
      </w:r>
      <w:r w:rsidR="00603856" w:rsidRPr="00076466">
        <w:t xml:space="preserve">did </w:t>
      </w:r>
      <w:r w:rsidRPr="00076466">
        <w:t xml:space="preserve">a scenario analysis </w:t>
      </w:r>
      <w:r w:rsidR="00776DDC" w:rsidRPr="00076466">
        <w:t>that excluded</w:t>
      </w:r>
      <w:r w:rsidRPr="00076466">
        <w:t xml:space="preserve"> the additional cost of </w:t>
      </w:r>
      <w:r w:rsidR="00306565" w:rsidRPr="00076466">
        <w:t xml:space="preserve">lenalidomide </w:t>
      </w:r>
      <w:r w:rsidR="005A61CF" w:rsidRPr="00076466">
        <w:t>with</w:t>
      </w:r>
      <w:r w:rsidR="00306565" w:rsidRPr="00076466">
        <w:t xml:space="preserve"> dexamethasone</w:t>
      </w:r>
      <w:r w:rsidRPr="00076466">
        <w:t xml:space="preserve"> in the </w:t>
      </w:r>
      <w:r w:rsidR="005620EB" w:rsidRPr="00076466">
        <w:t xml:space="preserve">carfilzomib </w:t>
      </w:r>
      <w:r w:rsidR="00091B8E" w:rsidRPr="00076466">
        <w:t>with</w:t>
      </w:r>
      <w:r w:rsidR="005620EB" w:rsidRPr="00076466">
        <w:t xml:space="preserve"> lenalidomide and dexamethasone</w:t>
      </w:r>
      <w:r w:rsidRPr="00076466">
        <w:t xml:space="preserve"> treatment arm</w:t>
      </w:r>
      <w:r w:rsidR="00421216" w:rsidRPr="00076466">
        <w:t>.</w:t>
      </w:r>
      <w:r w:rsidRPr="00076466">
        <w:t xml:space="preserve"> </w:t>
      </w:r>
      <w:r w:rsidR="00421216" w:rsidRPr="00076466">
        <w:t xml:space="preserve">This </w:t>
      </w:r>
      <w:r w:rsidRPr="00076466">
        <w:t xml:space="preserve">reduced </w:t>
      </w:r>
      <w:r w:rsidR="00421216" w:rsidRPr="00076466">
        <w:t xml:space="preserve">its </w:t>
      </w:r>
      <w:r w:rsidRPr="00076466">
        <w:t>base</w:t>
      </w:r>
      <w:r w:rsidR="00DD4D75" w:rsidRPr="00076466">
        <w:t>-</w:t>
      </w:r>
      <w:r w:rsidRPr="00076466">
        <w:t>case ICER to £16,751 per QALY gained (</w:t>
      </w:r>
      <w:r w:rsidR="00421216" w:rsidRPr="00076466">
        <w:t xml:space="preserve">using the list price for </w:t>
      </w:r>
      <w:r w:rsidRPr="00076466">
        <w:t>lenalidomide). The committee acknowledged that treatments that extend the use of other high</w:t>
      </w:r>
      <w:r w:rsidR="00306565" w:rsidRPr="00076466">
        <w:t>-cost</w:t>
      </w:r>
      <w:r w:rsidRPr="00076466">
        <w:t xml:space="preserve"> drugs (such as lenalidomide) can lead to additional cost </w:t>
      </w:r>
      <w:r w:rsidRPr="00076466">
        <w:lastRenderedPageBreak/>
        <w:t xml:space="preserve">associated with those other drugs, and that this has been considered in </w:t>
      </w:r>
      <w:r w:rsidR="00E62021" w:rsidRPr="00076466">
        <w:t xml:space="preserve">NICE </w:t>
      </w:r>
      <w:r w:rsidRPr="00076466">
        <w:t>appraisals of other cancer topics. The committee concluded that the costs of lenalidomide and dexamethasone are relevant because the NHS would incur those costs in practice, so they should be included in the model.</w:t>
      </w:r>
    </w:p>
    <w:p w14:paraId="19F83944" w14:textId="685CF7F4" w:rsidR="00B82A82" w:rsidRPr="00076466" w:rsidRDefault="00162C78" w:rsidP="00B82A82">
      <w:pPr>
        <w:pStyle w:val="Heading2"/>
      </w:pPr>
      <w:r w:rsidRPr="00076466">
        <w:t>Cost-effectiveness estimates</w:t>
      </w:r>
    </w:p>
    <w:p w14:paraId="060B01D1" w14:textId="5D1DF7E7" w:rsidR="004B7D57" w:rsidRPr="00076466" w:rsidRDefault="00BF2034" w:rsidP="004B7D57">
      <w:pPr>
        <w:pStyle w:val="Heading3"/>
      </w:pPr>
      <w:r w:rsidRPr="00076466">
        <w:t>The company’s base-case ICER is above £30,000 per QALY gained</w:t>
      </w:r>
    </w:p>
    <w:p w14:paraId="21EBA098" w14:textId="57D04B92" w:rsidR="00D66DCC" w:rsidRPr="00076466" w:rsidRDefault="00FB380A" w:rsidP="00391FF0">
      <w:pPr>
        <w:pStyle w:val="Numberedlevel2text"/>
      </w:pPr>
      <w:hyperlink r:id="rId18" w:history="1">
        <w:r w:rsidR="004B7D57" w:rsidRPr="00076466">
          <w:rPr>
            <w:rStyle w:val="Hyperlink"/>
          </w:rPr>
          <w:t>NICE’s guide to the methods of technology appraisal</w:t>
        </w:r>
      </w:hyperlink>
      <w:r w:rsidR="004B7D57" w:rsidRPr="00076466">
        <w:t xml:space="preserve"> notes that above a most plausible ICER of £20,000 per QALY gained, judgements about the acceptability of a technology as an effective use of NHS resources will take into account the degree of certainty around the ICER. The committee will be more cautious about recommending a technology if it is less certain about the ICERs presented. </w:t>
      </w:r>
      <w:r w:rsidR="001179C9" w:rsidRPr="00076466">
        <w:t>Because</w:t>
      </w:r>
      <w:r w:rsidR="00054DF1" w:rsidRPr="00076466">
        <w:t xml:space="preserve"> of uncertainty in the relative treatment benefit of </w:t>
      </w:r>
      <w:r w:rsidR="005620EB" w:rsidRPr="00076466">
        <w:t xml:space="preserve">carfilzomib </w:t>
      </w:r>
      <w:r w:rsidR="00091B8E" w:rsidRPr="00076466">
        <w:t>with</w:t>
      </w:r>
      <w:r w:rsidR="005620EB" w:rsidRPr="00076466">
        <w:t xml:space="preserve"> lenalidomide and dexamethasone </w:t>
      </w:r>
      <w:r w:rsidR="00054DF1" w:rsidRPr="00076466">
        <w:t xml:space="preserve">beyond </w:t>
      </w:r>
      <w:r w:rsidR="00CA4204">
        <w:t>the observed ASPIRE data</w:t>
      </w:r>
      <w:r w:rsidR="00054DF1" w:rsidRPr="00076466">
        <w:t>,</w:t>
      </w:r>
      <w:r w:rsidR="001179C9" w:rsidRPr="00076466">
        <w:t xml:space="preserve"> the committee agreed that an acceptable ICER would be </w:t>
      </w:r>
      <w:r w:rsidR="00E67A03" w:rsidRPr="00076466">
        <w:t xml:space="preserve">no higher than </w:t>
      </w:r>
      <w:r w:rsidR="004B7D57" w:rsidRPr="00076466">
        <w:t>the</w:t>
      </w:r>
      <w:r w:rsidR="00054DF1" w:rsidRPr="00076466">
        <w:t xml:space="preserve"> middle</w:t>
      </w:r>
      <w:r w:rsidR="005620EB" w:rsidRPr="00076466">
        <w:t xml:space="preserve"> of</w:t>
      </w:r>
      <w:r w:rsidR="004B7D57" w:rsidRPr="00076466">
        <w:t xml:space="preserve"> the range normally considered a cost-effective use of NHS resources (£20,000 to £30,000 per QALY gained).</w:t>
      </w:r>
      <w:bookmarkStart w:id="10" w:name="_Hlk24556768"/>
      <w:r w:rsidR="001875BD" w:rsidRPr="00076466">
        <w:t xml:space="preserve"> </w:t>
      </w:r>
      <w:r w:rsidR="00D66DCC" w:rsidRPr="00076466">
        <w:t>The company's deterministic base</w:t>
      </w:r>
      <w:r w:rsidR="00EE00FF" w:rsidRPr="00076466">
        <w:t>-</w:t>
      </w:r>
      <w:r w:rsidR="00D66DCC" w:rsidRPr="00076466">
        <w:t xml:space="preserve">case ICER for </w:t>
      </w:r>
      <w:r w:rsidR="005620EB" w:rsidRPr="00076466">
        <w:t xml:space="preserve">carfilzomib </w:t>
      </w:r>
      <w:r w:rsidR="00091B8E" w:rsidRPr="00076466">
        <w:t>with</w:t>
      </w:r>
      <w:r w:rsidR="005620EB" w:rsidRPr="00076466">
        <w:t xml:space="preserve"> lenalidomide and dexamethasone</w:t>
      </w:r>
      <w:r w:rsidR="00D66DCC" w:rsidRPr="00076466">
        <w:t xml:space="preserve"> compared with </w:t>
      </w:r>
      <w:r w:rsidR="00391FF0" w:rsidRPr="00076466">
        <w:t xml:space="preserve">lenalidomide </w:t>
      </w:r>
      <w:r w:rsidR="00960FE5">
        <w:t>and</w:t>
      </w:r>
      <w:r w:rsidR="00960FE5" w:rsidRPr="00076466">
        <w:t xml:space="preserve"> </w:t>
      </w:r>
      <w:r w:rsidR="00391FF0" w:rsidRPr="00076466">
        <w:t>dexamethasone</w:t>
      </w:r>
      <w:r w:rsidR="00C65DDD" w:rsidRPr="00076466">
        <w:t xml:space="preserve"> was</w:t>
      </w:r>
      <w:r w:rsidR="00D66DCC" w:rsidRPr="00076466">
        <w:t xml:space="preserve"> £</w:t>
      </w:r>
      <w:r w:rsidR="00C65DDD" w:rsidRPr="00076466">
        <w:t>43</w:t>
      </w:r>
      <w:r w:rsidR="00D66DCC" w:rsidRPr="00076466">
        <w:t>,</w:t>
      </w:r>
      <w:r w:rsidR="00C65DDD" w:rsidRPr="00076466">
        <w:t>952</w:t>
      </w:r>
      <w:r w:rsidR="00D66DCC" w:rsidRPr="00076466">
        <w:t xml:space="preserve"> per QALY gained (</w:t>
      </w:r>
      <w:r w:rsidR="00F321C5" w:rsidRPr="00076466">
        <w:t xml:space="preserve">using </w:t>
      </w:r>
      <w:r w:rsidR="00D66DCC" w:rsidRPr="00076466">
        <w:t xml:space="preserve">the patient access scheme for </w:t>
      </w:r>
      <w:r w:rsidR="00C65DDD" w:rsidRPr="00076466">
        <w:t>carfilzomib</w:t>
      </w:r>
      <w:r w:rsidR="00D66DCC" w:rsidRPr="00076466">
        <w:t xml:space="preserve">). The ERG presented </w:t>
      </w:r>
      <w:r w:rsidR="00C65DDD" w:rsidRPr="00076466">
        <w:t>3</w:t>
      </w:r>
      <w:r w:rsidR="00D11359">
        <w:t> </w:t>
      </w:r>
      <w:r w:rsidR="00D66DCC" w:rsidRPr="00076466">
        <w:t xml:space="preserve">analyses using </w:t>
      </w:r>
      <w:r w:rsidR="00992AAE" w:rsidRPr="00076466">
        <w:t>its preferred</w:t>
      </w:r>
      <w:r w:rsidR="00C65DDD" w:rsidRPr="00076466">
        <w:t xml:space="preserve"> </w:t>
      </w:r>
      <w:r w:rsidR="00C07A1C" w:rsidRPr="00076466">
        <w:t xml:space="preserve">post hoc </w:t>
      </w:r>
      <w:r w:rsidR="00C65DDD" w:rsidRPr="00076466">
        <w:t xml:space="preserve">subgroup, </w:t>
      </w:r>
      <w:r w:rsidR="00C07A1C" w:rsidRPr="00076466">
        <w:t xml:space="preserve">the same pre-progression </w:t>
      </w:r>
      <w:r w:rsidR="00C65DDD" w:rsidRPr="00076466">
        <w:t xml:space="preserve">utility values </w:t>
      </w:r>
      <w:r w:rsidR="00C07A1C" w:rsidRPr="00076466">
        <w:t xml:space="preserve">for both treatment arms </w:t>
      </w:r>
      <w:r w:rsidR="00C65DDD" w:rsidRPr="00076466">
        <w:t>and</w:t>
      </w:r>
      <w:r w:rsidR="00D66DCC" w:rsidRPr="00076466">
        <w:t xml:space="preserve"> </w:t>
      </w:r>
      <w:r w:rsidR="00C07A1C" w:rsidRPr="00076466">
        <w:t>the exponential</w:t>
      </w:r>
      <w:r w:rsidR="00D66DCC" w:rsidRPr="00076466">
        <w:t xml:space="preserve"> distribution</w:t>
      </w:r>
      <w:r w:rsidR="00C07A1C" w:rsidRPr="00076466">
        <w:t xml:space="preserve"> from ASPIRE </w:t>
      </w:r>
      <w:r w:rsidR="00F321C5" w:rsidRPr="00076466">
        <w:t xml:space="preserve">data </w:t>
      </w:r>
      <w:r w:rsidR="00D66DCC" w:rsidRPr="00076466">
        <w:t>to extrapolate overall survival</w:t>
      </w:r>
      <w:r w:rsidR="00CE5E84" w:rsidRPr="00076466">
        <w:t xml:space="preserve"> </w:t>
      </w:r>
      <w:r w:rsidR="00C261FA" w:rsidRPr="00076466">
        <w:t xml:space="preserve">for </w:t>
      </w:r>
      <w:r w:rsidR="005620EB" w:rsidRPr="00076466">
        <w:t xml:space="preserve">carfilzomib </w:t>
      </w:r>
      <w:r w:rsidR="00091B8E" w:rsidRPr="00076466">
        <w:t>with</w:t>
      </w:r>
      <w:r w:rsidR="005620EB" w:rsidRPr="00076466">
        <w:t xml:space="preserve"> lenalidomide and dexamethasone</w:t>
      </w:r>
      <w:r w:rsidR="00C261FA" w:rsidRPr="00076466">
        <w:t xml:space="preserve"> </w:t>
      </w:r>
      <w:r w:rsidR="00CE5E84" w:rsidRPr="00076466">
        <w:t>beyond</w:t>
      </w:r>
      <w:r w:rsidR="00B8621D" w:rsidRPr="00076466">
        <w:t xml:space="preserve"> the trial data</w:t>
      </w:r>
      <w:r w:rsidR="00C07A1C" w:rsidRPr="00076466">
        <w:t xml:space="preserve">. </w:t>
      </w:r>
      <w:r w:rsidR="00903ADC" w:rsidRPr="00076466">
        <w:t xml:space="preserve">The ERG's analyses included the confidential commercial arrangement for lenalidomide and </w:t>
      </w:r>
      <w:r w:rsidR="00992AAE" w:rsidRPr="00076466">
        <w:t xml:space="preserve">for </w:t>
      </w:r>
      <w:r w:rsidR="00903ADC" w:rsidRPr="00076466">
        <w:t>panobinostat and pomalidomide</w:t>
      </w:r>
      <w:r w:rsidR="00992AAE" w:rsidRPr="00076466">
        <w:t>, which are options later in the treatment pathway</w:t>
      </w:r>
      <w:r w:rsidR="00903ADC" w:rsidRPr="00076466">
        <w:t xml:space="preserve">. </w:t>
      </w:r>
      <w:r w:rsidR="00C65DDD" w:rsidRPr="00076466">
        <w:t>The</w:t>
      </w:r>
      <w:r w:rsidR="00C07A1C" w:rsidRPr="00076466">
        <w:t xml:space="preserve"> committee preferred the</w:t>
      </w:r>
      <w:r w:rsidR="00C65DDD" w:rsidRPr="00076466">
        <w:t xml:space="preserve"> </w:t>
      </w:r>
      <w:r w:rsidR="00C07A1C" w:rsidRPr="00076466">
        <w:t>ERG</w:t>
      </w:r>
      <w:r w:rsidR="00DD4D75" w:rsidRPr="00076466">
        <w:t>’s</w:t>
      </w:r>
      <w:r w:rsidR="00C07A1C" w:rsidRPr="00076466">
        <w:t xml:space="preserve"> base case</w:t>
      </w:r>
      <w:r w:rsidR="00DD4D75" w:rsidRPr="00076466">
        <w:t>,</w:t>
      </w:r>
      <w:r w:rsidR="00C07A1C" w:rsidRPr="00076466">
        <w:t xml:space="preserve"> which combined all </w:t>
      </w:r>
      <w:r w:rsidR="00BF2034" w:rsidRPr="00076466">
        <w:t>3</w:t>
      </w:r>
      <w:r w:rsidR="00D11359">
        <w:t> </w:t>
      </w:r>
      <w:r w:rsidR="00BF2034" w:rsidRPr="00076466">
        <w:t xml:space="preserve">of </w:t>
      </w:r>
      <w:r w:rsidR="00C07A1C" w:rsidRPr="00076466">
        <w:t>these assumptions</w:t>
      </w:r>
      <w:r w:rsidR="00BF2034" w:rsidRPr="00076466">
        <w:t xml:space="preserve"> </w:t>
      </w:r>
      <w:r w:rsidR="00903ADC" w:rsidRPr="00076466">
        <w:t>(the exact ICERs are confidential and cannot be reported here)</w:t>
      </w:r>
      <w:r w:rsidR="00C07A1C" w:rsidRPr="00076466">
        <w:t xml:space="preserve">. </w:t>
      </w:r>
      <w:r w:rsidR="00D66DCC" w:rsidRPr="00076466">
        <w:t xml:space="preserve">The ICERs </w:t>
      </w:r>
      <w:r w:rsidR="00BF2034" w:rsidRPr="00076466">
        <w:t xml:space="preserve">for all scenarios were </w:t>
      </w:r>
      <w:r w:rsidR="00C07A1C" w:rsidRPr="00076466">
        <w:t xml:space="preserve">above </w:t>
      </w:r>
      <w:r w:rsidR="00D66DCC" w:rsidRPr="00076466">
        <w:t xml:space="preserve">the range NICE considers </w:t>
      </w:r>
      <w:r w:rsidR="00472803" w:rsidRPr="00076466">
        <w:t xml:space="preserve">to be </w:t>
      </w:r>
      <w:r w:rsidR="00D66DCC" w:rsidRPr="00076466">
        <w:t xml:space="preserve">an acceptable use of NHS </w:t>
      </w:r>
      <w:r w:rsidR="00D66DCC" w:rsidRPr="00076466">
        <w:lastRenderedPageBreak/>
        <w:t>resources. The committee therefore</w:t>
      </w:r>
      <w:r w:rsidR="00AD014D" w:rsidRPr="00076466">
        <w:t xml:space="preserve"> </w:t>
      </w:r>
      <w:r w:rsidR="00FE4BDD" w:rsidRPr="00076466">
        <w:t>could</w:t>
      </w:r>
      <w:r w:rsidR="00AD014D" w:rsidRPr="00076466">
        <w:t xml:space="preserve"> not</w:t>
      </w:r>
      <w:r w:rsidR="00D66DCC" w:rsidRPr="00076466">
        <w:t xml:space="preserve"> recommend</w:t>
      </w:r>
      <w:r w:rsidR="00AD014D" w:rsidRPr="00076466">
        <w:t xml:space="preserve"> carfilzomib with</w:t>
      </w:r>
      <w:r w:rsidR="00D66DCC" w:rsidRPr="00076466">
        <w:t xml:space="preserve"> lenalidomide </w:t>
      </w:r>
      <w:r w:rsidR="00AD014D" w:rsidRPr="00076466">
        <w:t xml:space="preserve">and dexamethasone </w:t>
      </w:r>
      <w:r w:rsidR="00D66DCC" w:rsidRPr="00076466">
        <w:t xml:space="preserve">as an option for previously treated </w:t>
      </w:r>
      <w:r w:rsidR="00AD014D" w:rsidRPr="00076466">
        <w:t>multiple myeloma.</w:t>
      </w:r>
    </w:p>
    <w:bookmarkEnd w:id="10"/>
    <w:p w14:paraId="55C11DFC" w14:textId="0701F563" w:rsidR="00643582" w:rsidRPr="00076466" w:rsidRDefault="00936AF9" w:rsidP="00643582">
      <w:pPr>
        <w:pStyle w:val="Heading2"/>
      </w:pPr>
      <w:r w:rsidRPr="00076466">
        <w:t>End</w:t>
      </w:r>
      <w:r w:rsidR="00F83DC2" w:rsidRPr="00076466">
        <w:t xml:space="preserve"> </w:t>
      </w:r>
      <w:r w:rsidRPr="00076466">
        <w:t>of</w:t>
      </w:r>
      <w:r w:rsidR="00F83DC2" w:rsidRPr="00076466">
        <w:t xml:space="preserve"> </w:t>
      </w:r>
      <w:r w:rsidRPr="00076466">
        <w:t>life</w:t>
      </w:r>
    </w:p>
    <w:p w14:paraId="6CA82AE1" w14:textId="12183744" w:rsidR="00643582" w:rsidRPr="00076466" w:rsidRDefault="00936AF9" w:rsidP="0073007E">
      <w:pPr>
        <w:pStyle w:val="Heading3"/>
      </w:pPr>
      <w:r w:rsidRPr="00076466">
        <w:t>Carfilzomib with lenalidomide and dexamethasone does not meet</w:t>
      </w:r>
      <w:r w:rsidR="00A22844" w:rsidRPr="00076466">
        <w:t xml:space="preserve"> </w:t>
      </w:r>
      <w:r w:rsidR="00A25B86" w:rsidRPr="00076466">
        <w:t xml:space="preserve">NICE’s </w:t>
      </w:r>
      <w:r w:rsidRPr="00076466">
        <w:t>end</w:t>
      </w:r>
      <w:r w:rsidR="00960FE5">
        <w:t xml:space="preserve"> </w:t>
      </w:r>
      <w:r w:rsidRPr="00076466">
        <w:t>of</w:t>
      </w:r>
      <w:r w:rsidR="00F04480" w:rsidRPr="00076466">
        <w:t xml:space="preserve"> </w:t>
      </w:r>
      <w:r w:rsidRPr="00076466">
        <w:t>life</w:t>
      </w:r>
      <w:r w:rsidR="00A25B86" w:rsidRPr="00076466">
        <w:t xml:space="preserve"> </w:t>
      </w:r>
      <w:r w:rsidRPr="00076466">
        <w:t>criteria</w:t>
      </w:r>
    </w:p>
    <w:p w14:paraId="0A262E2F" w14:textId="2A64A54D" w:rsidR="003333BA" w:rsidRPr="00076466" w:rsidRDefault="00643582" w:rsidP="00D03939">
      <w:pPr>
        <w:pStyle w:val="Numberedlevel2text"/>
      </w:pPr>
      <w:r w:rsidRPr="00076466">
        <w:t xml:space="preserve">The committee considered the advice about life-extending treatments for people with a short life expectancy in </w:t>
      </w:r>
      <w:hyperlink r:id="rId19" w:history="1">
        <w:r w:rsidRPr="00076466">
          <w:rPr>
            <w:rStyle w:val="Hyperlink"/>
          </w:rPr>
          <w:t xml:space="preserve">NICE’s </w:t>
        </w:r>
        <w:r w:rsidR="00746B57" w:rsidRPr="00076466">
          <w:rPr>
            <w:rStyle w:val="Hyperlink"/>
          </w:rPr>
          <w:t>guide to the methods of technology appraisal</w:t>
        </w:r>
      </w:hyperlink>
      <w:r w:rsidRPr="00076466">
        <w:t>.</w:t>
      </w:r>
      <w:r w:rsidR="00D03939" w:rsidRPr="00076466">
        <w:t xml:space="preserve"> The committee considered whether carfilzo</w:t>
      </w:r>
      <w:r w:rsidR="00A22844" w:rsidRPr="00076466">
        <w:t>mib with lenalidomide and dexamethasone</w:t>
      </w:r>
      <w:r w:rsidR="00D03939" w:rsidRPr="00076466">
        <w:t xml:space="preserve"> meets the end</w:t>
      </w:r>
      <w:r w:rsidR="00D8792B">
        <w:t xml:space="preserve"> </w:t>
      </w:r>
      <w:r w:rsidR="00D03939" w:rsidRPr="00076466">
        <w:t>of</w:t>
      </w:r>
      <w:r w:rsidR="00D8792B">
        <w:t xml:space="preserve"> </w:t>
      </w:r>
      <w:r w:rsidR="00D03939" w:rsidRPr="00076466">
        <w:t>life criteria for people with multiple myeloma who have had 1</w:t>
      </w:r>
      <w:r w:rsidR="000A721F" w:rsidRPr="00076466">
        <w:t> </w:t>
      </w:r>
      <w:r w:rsidR="00D03939" w:rsidRPr="00076466">
        <w:t>previous treatment including bortezomi</w:t>
      </w:r>
      <w:r w:rsidR="00A22844" w:rsidRPr="00076466">
        <w:t>b.</w:t>
      </w:r>
      <w:r w:rsidR="00936AF9" w:rsidRPr="00076466">
        <w:t xml:space="preserve"> </w:t>
      </w:r>
      <w:r w:rsidR="00D03939" w:rsidRPr="00076466">
        <w:t>The committee noted that the model predicted that patients in the comparator arm lived longer than 24</w:t>
      </w:r>
      <w:r w:rsidR="000A721F" w:rsidRPr="00076466">
        <w:t> </w:t>
      </w:r>
      <w:r w:rsidR="00D03939" w:rsidRPr="00076466">
        <w:t>months, and therefore concluded that carfilzomib in this indication did not meet the criterion for</w:t>
      </w:r>
      <w:r w:rsidR="00860BBC" w:rsidRPr="00076466">
        <w:t xml:space="preserve"> </w:t>
      </w:r>
      <w:r w:rsidR="00D03939" w:rsidRPr="00076466">
        <w:t>life expectancy. Because it did not meet this criterion, the committee concluded that it did not need to discuss the end</w:t>
      </w:r>
      <w:r w:rsidR="00D8792B">
        <w:t xml:space="preserve"> </w:t>
      </w:r>
      <w:r w:rsidR="00D03939" w:rsidRPr="00076466">
        <w:t>of</w:t>
      </w:r>
      <w:r w:rsidR="00D8792B">
        <w:t xml:space="preserve"> </w:t>
      </w:r>
      <w:r w:rsidR="00D03939" w:rsidRPr="00076466">
        <w:t>life criteria further.</w:t>
      </w:r>
    </w:p>
    <w:p w14:paraId="60F4DF70" w14:textId="6CC6977D" w:rsidR="00643582" w:rsidRPr="00076466" w:rsidRDefault="00837410" w:rsidP="00643582">
      <w:pPr>
        <w:pStyle w:val="Heading2"/>
      </w:pPr>
      <w:r w:rsidRPr="00076466">
        <w:t>Cancer Drugs Fund</w:t>
      </w:r>
    </w:p>
    <w:p w14:paraId="4189A7F7" w14:textId="5181C3D3" w:rsidR="00837410" w:rsidRPr="00076466" w:rsidRDefault="00837410" w:rsidP="00837410">
      <w:pPr>
        <w:pStyle w:val="Heading3"/>
      </w:pPr>
      <w:r w:rsidRPr="00076466">
        <w:t>Carfilzomib with lenalidomide and dexamethasone does not meet the Cancer Drugs Fund</w:t>
      </w:r>
      <w:r w:rsidR="00A25B86" w:rsidRPr="00076466">
        <w:t xml:space="preserve"> criteria</w:t>
      </w:r>
    </w:p>
    <w:p w14:paraId="79E3437A" w14:textId="3CB8D6FE" w:rsidR="00926060" w:rsidRPr="00076466" w:rsidRDefault="00643582" w:rsidP="005620EB">
      <w:pPr>
        <w:pStyle w:val="Numberedlevel2text"/>
      </w:pPr>
      <w:r w:rsidRPr="00076466">
        <w:t xml:space="preserve">Having concluded that </w:t>
      </w:r>
      <w:r w:rsidR="005620EB" w:rsidRPr="00076466">
        <w:t xml:space="preserve">carfilzomib </w:t>
      </w:r>
      <w:r w:rsidR="005A61CF" w:rsidRPr="00076466">
        <w:t>with</w:t>
      </w:r>
      <w:r w:rsidR="005620EB" w:rsidRPr="00076466">
        <w:t xml:space="preserve"> lenalidomide and dexamethasone</w:t>
      </w:r>
      <w:r w:rsidR="00926060" w:rsidRPr="00076466">
        <w:t xml:space="preserve"> </w:t>
      </w:r>
      <w:r w:rsidRPr="00076466">
        <w:t xml:space="preserve">could not be recommended for routine use, the committee then considered if it could be recommended for treating </w:t>
      </w:r>
      <w:r w:rsidR="00926060" w:rsidRPr="00076466">
        <w:t>multiple myeloma</w:t>
      </w:r>
      <w:r w:rsidRPr="00076466">
        <w:t xml:space="preserve"> within the Cancer Drugs Fund. The committee discussed the arrangements for the Cancer Drugs Fund agreed by NICE and NHS England in 2016, noting </w:t>
      </w:r>
      <w:hyperlink r:id="rId20" w:history="1">
        <w:r w:rsidR="000E6F19" w:rsidRPr="00076466">
          <w:rPr>
            <w:rStyle w:val="Hyperlink"/>
          </w:rPr>
          <w:t>NICE’s Cancer Drugs Fund methods guide (addendum)</w:t>
        </w:r>
      </w:hyperlink>
      <w:r w:rsidRPr="00076466">
        <w:t>.</w:t>
      </w:r>
      <w:r w:rsidR="00926060" w:rsidRPr="00076466">
        <w:t xml:space="preserve"> It discussed the following issue:</w:t>
      </w:r>
    </w:p>
    <w:p w14:paraId="4946E00A" w14:textId="3F40B2E5" w:rsidR="009842CF" w:rsidRPr="00076466" w:rsidRDefault="00837410" w:rsidP="00E549AB">
      <w:pPr>
        <w:pStyle w:val="Bulletindent1last"/>
      </w:pPr>
      <w:r w:rsidRPr="00076466">
        <w:t xml:space="preserve">The company </w:t>
      </w:r>
      <w:r w:rsidR="00F321C5" w:rsidRPr="00076466">
        <w:t xml:space="preserve">considers </w:t>
      </w:r>
      <w:r w:rsidRPr="00076466">
        <w:t xml:space="preserve">that mature head-to-head survival data </w:t>
      </w:r>
      <w:r w:rsidR="00421216" w:rsidRPr="00076466">
        <w:t xml:space="preserve">are available </w:t>
      </w:r>
      <w:r w:rsidRPr="00076466">
        <w:t>from ASPIRE (median 5.5</w:t>
      </w:r>
      <w:r w:rsidR="00D11359">
        <w:t> </w:t>
      </w:r>
      <w:r w:rsidRPr="00076466">
        <w:t>years of survival follow-up)</w:t>
      </w:r>
      <w:r w:rsidR="00421216" w:rsidRPr="00076466">
        <w:t>, therefore</w:t>
      </w:r>
      <w:r w:rsidRPr="00076466">
        <w:t xml:space="preserve"> any uncertainty would </w:t>
      </w:r>
      <w:r w:rsidR="00421216" w:rsidRPr="00076466">
        <w:t xml:space="preserve">not </w:t>
      </w:r>
      <w:r w:rsidRPr="00076466">
        <w:t xml:space="preserve">be resolved with additional data </w:t>
      </w:r>
      <w:r w:rsidRPr="00076466">
        <w:lastRenderedPageBreak/>
        <w:t>collection as part of a managed access agreement</w:t>
      </w:r>
      <w:r w:rsidR="00D8792B">
        <w:t>.</w:t>
      </w:r>
      <w:r w:rsidRPr="00076466">
        <w:t xml:space="preserve"> </w:t>
      </w:r>
      <w:r w:rsidR="00D8792B">
        <w:t>Because of</w:t>
      </w:r>
      <w:r w:rsidR="00593A16" w:rsidRPr="00076466">
        <w:t xml:space="preserve"> this, t</w:t>
      </w:r>
      <w:r w:rsidR="009842CF" w:rsidRPr="00076466">
        <w:t>he company did not express an interest in carfilzomib with lenalidomide and dexamethasone being considered for funding through the Cancer Drugs Fund.</w:t>
      </w:r>
      <w:r w:rsidR="00E45861" w:rsidRPr="00076466">
        <w:t xml:space="preserve"> The committee concluded that carfilzomib with lenalidomide and dexamethasone did not meet the criteria to be considered for inclusion in the Cancer Drugs Fund.</w:t>
      </w:r>
    </w:p>
    <w:p w14:paraId="5A87F228" w14:textId="49E622F4" w:rsidR="00643582" w:rsidRPr="00076466" w:rsidRDefault="00AF4044" w:rsidP="00643582">
      <w:pPr>
        <w:pStyle w:val="Heading2"/>
      </w:pPr>
      <w:r w:rsidRPr="00076466">
        <w:t>Other factors</w:t>
      </w:r>
    </w:p>
    <w:p w14:paraId="3C6CEE16" w14:textId="77777777" w:rsidR="00AF4044" w:rsidRPr="00076466" w:rsidRDefault="00AF4044" w:rsidP="00AF4044">
      <w:pPr>
        <w:pStyle w:val="Heading3"/>
      </w:pPr>
      <w:r w:rsidRPr="00076466">
        <w:t>There are no equality issues relevant to the recommendations</w:t>
      </w:r>
    </w:p>
    <w:p w14:paraId="45BCCA4D" w14:textId="63CB1029" w:rsidR="00AF4044" w:rsidRPr="00076466" w:rsidRDefault="00E45861" w:rsidP="00E45861">
      <w:pPr>
        <w:pStyle w:val="Numberedlevel2text"/>
        <w:keepNext w:val="0"/>
        <w:numPr>
          <w:ilvl w:val="1"/>
          <w:numId w:val="1"/>
        </w:numPr>
        <w:outlineLvl w:val="9"/>
      </w:pPr>
      <w:r w:rsidRPr="00076466">
        <w:t xml:space="preserve">The patient expert </w:t>
      </w:r>
      <w:r w:rsidR="00D8792B">
        <w:t xml:space="preserve">advised </w:t>
      </w:r>
      <w:r w:rsidRPr="00076466">
        <w:t xml:space="preserve">that they </w:t>
      </w:r>
      <w:r w:rsidR="00D8792B">
        <w:t>were</w:t>
      </w:r>
      <w:r w:rsidR="00D8792B" w:rsidRPr="00076466">
        <w:t xml:space="preserve"> </w:t>
      </w:r>
      <w:r w:rsidRPr="00076466">
        <w:t xml:space="preserve">not aware of any equality issues. </w:t>
      </w:r>
      <w:r w:rsidR="00D8792B">
        <w:t>The committee</w:t>
      </w:r>
      <w:r w:rsidRPr="00076466">
        <w:t xml:space="preserve"> concluded that no equality or social value judgements are relevant to its decision.</w:t>
      </w:r>
    </w:p>
    <w:p w14:paraId="2A4D3A1D" w14:textId="60507848" w:rsidR="00AF4044" w:rsidRPr="00076466" w:rsidRDefault="00AF4044" w:rsidP="00AF4044">
      <w:pPr>
        <w:pStyle w:val="Heading3"/>
      </w:pPr>
      <w:r w:rsidRPr="00076466">
        <w:t>The benefits of carfilzomib are captured in the cost-effectiveness analysis</w:t>
      </w:r>
    </w:p>
    <w:p w14:paraId="160A0942" w14:textId="1F3F07BD" w:rsidR="007C2601" w:rsidRPr="00076466" w:rsidRDefault="00AF4044" w:rsidP="00391FF0">
      <w:pPr>
        <w:pStyle w:val="Numberedlevel2text"/>
      </w:pPr>
      <w:r w:rsidRPr="00076466">
        <w:t>The company</w:t>
      </w:r>
      <w:r w:rsidR="00162C78" w:rsidRPr="00076466">
        <w:t xml:space="preserve"> and </w:t>
      </w:r>
      <w:r w:rsidR="00F70936" w:rsidRPr="00076466">
        <w:t xml:space="preserve">the </w:t>
      </w:r>
      <w:r w:rsidR="00162C78" w:rsidRPr="00076466">
        <w:t>clinical e</w:t>
      </w:r>
      <w:r w:rsidR="00926060" w:rsidRPr="00076466">
        <w:t>xpert</w:t>
      </w:r>
      <w:r w:rsidRPr="00076466">
        <w:t xml:space="preserve"> </w:t>
      </w:r>
      <w:r w:rsidR="00F70936" w:rsidRPr="00076466">
        <w:t xml:space="preserve">consider </w:t>
      </w:r>
      <w:r w:rsidR="005620EB" w:rsidRPr="00076466">
        <w:t xml:space="preserve">carfilzomib </w:t>
      </w:r>
      <w:r w:rsidR="005A61CF" w:rsidRPr="00076466">
        <w:t>with</w:t>
      </w:r>
      <w:r w:rsidR="005620EB" w:rsidRPr="00076466">
        <w:t xml:space="preserve"> lenalidomide and dexamethasone</w:t>
      </w:r>
      <w:r w:rsidR="007C2601" w:rsidRPr="00076466">
        <w:t xml:space="preserve"> </w:t>
      </w:r>
      <w:r w:rsidRPr="00076466">
        <w:t xml:space="preserve">to </w:t>
      </w:r>
      <w:r w:rsidR="007C2601" w:rsidRPr="00076466">
        <w:t xml:space="preserve">be innovative </w:t>
      </w:r>
      <w:r w:rsidR="005620EB" w:rsidRPr="00076466">
        <w:t xml:space="preserve">because it </w:t>
      </w:r>
      <w:r w:rsidR="00E40118" w:rsidRPr="00076466">
        <w:t xml:space="preserve">significantly </w:t>
      </w:r>
      <w:r w:rsidR="005620EB" w:rsidRPr="00076466">
        <w:t xml:space="preserve">improves </w:t>
      </w:r>
      <w:r w:rsidR="00E40118" w:rsidRPr="00076466">
        <w:t xml:space="preserve">progression-free survival and overall survival compared with </w:t>
      </w:r>
      <w:r w:rsidR="00391FF0" w:rsidRPr="00076466">
        <w:t xml:space="preserve">lenalidomide </w:t>
      </w:r>
      <w:r w:rsidR="00D8792B">
        <w:t>and</w:t>
      </w:r>
      <w:r w:rsidR="00D8792B" w:rsidRPr="00076466">
        <w:t xml:space="preserve"> </w:t>
      </w:r>
      <w:r w:rsidR="00391FF0" w:rsidRPr="00076466">
        <w:t>dexamethasone</w:t>
      </w:r>
      <w:r w:rsidR="00E40118" w:rsidRPr="00076466">
        <w:t xml:space="preserve">. </w:t>
      </w:r>
      <w:r w:rsidRPr="00076466">
        <w:t>The committee agreed that th</w:t>
      </w:r>
      <w:r w:rsidR="00F77107" w:rsidRPr="00076466">
        <w:t>ese</w:t>
      </w:r>
      <w:r w:rsidRPr="00076466">
        <w:t xml:space="preserve"> </w:t>
      </w:r>
      <w:r w:rsidR="005620EB" w:rsidRPr="00076466">
        <w:t xml:space="preserve">are </w:t>
      </w:r>
      <w:r w:rsidRPr="00076466">
        <w:t xml:space="preserve">important benefits of </w:t>
      </w:r>
      <w:r w:rsidR="005620EB" w:rsidRPr="00076466">
        <w:t xml:space="preserve">carfilzomib </w:t>
      </w:r>
      <w:r w:rsidR="005A61CF" w:rsidRPr="00076466">
        <w:t>with</w:t>
      </w:r>
      <w:r w:rsidR="005620EB" w:rsidRPr="00076466">
        <w:t xml:space="preserve"> lenalidomide and dexamethasone</w:t>
      </w:r>
      <w:r w:rsidRPr="00076466">
        <w:t xml:space="preserve">. But it concluded that it had not been presented with evidence of any additional benefits that </w:t>
      </w:r>
      <w:r w:rsidR="00F83DC2" w:rsidRPr="00076466">
        <w:t>had not been</w:t>
      </w:r>
      <w:r w:rsidRPr="00076466">
        <w:t xml:space="preserve"> captured in the QALY</w:t>
      </w:r>
      <w:r w:rsidR="00D71AD8">
        <w:t>s.</w:t>
      </w:r>
    </w:p>
    <w:p w14:paraId="7576CCD1" w14:textId="5AD072C6" w:rsidR="0094647A" w:rsidRPr="00076466" w:rsidRDefault="0094647A" w:rsidP="0094647A">
      <w:pPr>
        <w:pStyle w:val="Numberedheading1"/>
      </w:pPr>
      <w:r w:rsidRPr="00076466">
        <w:t>Proposed date for review of guidance</w:t>
      </w:r>
    </w:p>
    <w:p w14:paraId="09CFEDE6" w14:textId="334701D2" w:rsidR="0094647A" w:rsidRPr="00076466" w:rsidRDefault="0094647A" w:rsidP="0094647A">
      <w:pPr>
        <w:pStyle w:val="Numberedlevel2text"/>
      </w:pPr>
      <w:r w:rsidRPr="00076466">
        <w:t xml:space="preserve">NICE proposes that the guidance on this technology is considered for review by the guidance executive 3 years after publication of the guidance. NICE welcomes comment on this proposed date. The guidance executive will decide whether the technology should be reviewed based </w:t>
      </w:r>
      <w:r w:rsidRPr="00076466">
        <w:lastRenderedPageBreak/>
        <w:t>on information gathered by NICE, and in consultation with consultees and commentators.</w:t>
      </w:r>
    </w:p>
    <w:p w14:paraId="45ADCF6D" w14:textId="52F36B32" w:rsidR="004845D0" w:rsidRPr="00076466" w:rsidRDefault="000F2159" w:rsidP="00ED5F88">
      <w:pPr>
        <w:pStyle w:val="NICEnormal"/>
      </w:pPr>
      <w:r w:rsidRPr="00076466">
        <w:t>Stephen O’Brien</w:t>
      </w:r>
      <w:r w:rsidR="004845D0" w:rsidRPr="00076466">
        <w:br/>
        <w:t xml:space="preserve">Chair, </w:t>
      </w:r>
      <w:r w:rsidR="003847B9" w:rsidRPr="00076466">
        <w:t>a</w:t>
      </w:r>
      <w:r w:rsidR="004845D0" w:rsidRPr="00076466">
        <w:t xml:space="preserve">ppraisal </w:t>
      </w:r>
      <w:r w:rsidR="003847B9" w:rsidRPr="00076466">
        <w:t>c</w:t>
      </w:r>
      <w:r w:rsidR="004845D0" w:rsidRPr="00076466">
        <w:t>ommittee</w:t>
      </w:r>
      <w:r w:rsidR="004845D0" w:rsidRPr="00076466">
        <w:br/>
      </w:r>
      <w:r w:rsidRPr="00076466">
        <w:t>July 2020</w:t>
      </w:r>
    </w:p>
    <w:p w14:paraId="37FB5AF2" w14:textId="77777777" w:rsidR="00B16431" w:rsidRPr="00076466" w:rsidRDefault="00B16431" w:rsidP="00B16431">
      <w:pPr>
        <w:pStyle w:val="Numberedheading1"/>
        <w:numPr>
          <w:ilvl w:val="0"/>
          <w:numId w:val="1"/>
        </w:numPr>
      </w:pPr>
      <w:r w:rsidRPr="00076466">
        <w:t xml:space="preserve">Appraisal </w:t>
      </w:r>
      <w:r w:rsidR="00343B53" w:rsidRPr="00076466">
        <w:t>c</w:t>
      </w:r>
      <w:r w:rsidRPr="00076466">
        <w:t>ommittee members and NICE project team</w:t>
      </w:r>
    </w:p>
    <w:p w14:paraId="40DCC14B" w14:textId="77777777" w:rsidR="00B16431" w:rsidRPr="00076466" w:rsidRDefault="00B16431" w:rsidP="00B16431">
      <w:pPr>
        <w:pStyle w:val="Heading2"/>
      </w:pPr>
      <w:r w:rsidRPr="00076466">
        <w:t xml:space="preserve">Appraisal </w:t>
      </w:r>
      <w:r w:rsidR="00343B53" w:rsidRPr="00076466">
        <w:t>c</w:t>
      </w:r>
      <w:r w:rsidRPr="00076466">
        <w:t>ommittee members</w:t>
      </w:r>
    </w:p>
    <w:p w14:paraId="6FF029BE" w14:textId="5018A42B" w:rsidR="002F2583" w:rsidRPr="00076466" w:rsidRDefault="002F2583" w:rsidP="002F2583">
      <w:pPr>
        <w:pStyle w:val="NICEnormal"/>
        <w:rPr>
          <w:rFonts w:eastAsia="Calibri"/>
        </w:rPr>
      </w:pPr>
      <w:r w:rsidRPr="00076466">
        <w:t>The 4 technology appraisal committees are standing advisory committees of NICE. This topic was considered by</w:t>
      </w:r>
      <w:r w:rsidR="000F2159" w:rsidRPr="00076466">
        <w:t xml:space="preserve"> </w:t>
      </w:r>
      <w:hyperlink r:id="rId21" w:history="1">
        <w:r w:rsidR="000F2159" w:rsidRPr="00076466">
          <w:rPr>
            <w:rStyle w:val="Hyperlink"/>
            <w:rFonts w:eastAsia="Calibri"/>
          </w:rPr>
          <w:t>committee C</w:t>
        </w:r>
      </w:hyperlink>
      <w:r w:rsidRPr="00076466">
        <w:t>.</w:t>
      </w:r>
    </w:p>
    <w:p w14:paraId="6B7E5382" w14:textId="5C5EDC89" w:rsidR="002F2583" w:rsidRPr="00076466" w:rsidRDefault="002F2583" w:rsidP="002F2583">
      <w:pPr>
        <w:pStyle w:val="NICEnormal"/>
      </w:pPr>
      <w:r w:rsidRPr="00076466">
        <w:t>Committee members are asked to declare any interests in the technology to be appraised. If it is considered there is a conflict of interest, the member is excluded from participating further in that appraisal.</w:t>
      </w:r>
    </w:p>
    <w:p w14:paraId="68569B3C" w14:textId="77777777" w:rsidR="002F2583" w:rsidRPr="00076466" w:rsidRDefault="002F2583" w:rsidP="002F2583">
      <w:pPr>
        <w:pStyle w:val="NICEnormal"/>
      </w:pPr>
      <w:r w:rsidRPr="00076466">
        <w:t xml:space="preserve">The </w:t>
      </w:r>
      <w:hyperlink r:id="rId22" w:history="1">
        <w:r w:rsidRPr="00076466">
          <w:rPr>
            <w:rStyle w:val="Hyperlink"/>
            <w:rFonts w:eastAsia="Calibri"/>
          </w:rPr>
          <w:t>minutes</w:t>
        </w:r>
        <w:r w:rsidRPr="00076466">
          <w:rPr>
            <w:rStyle w:val="Hyperlink"/>
          </w:rPr>
          <w:t xml:space="preserve"> of each appraisal committee meeting</w:t>
        </w:r>
      </w:hyperlink>
      <w:r w:rsidRPr="00076466">
        <w:t>, which include the names of the members who attended and their declarations of interests, are posted on the NICE website.</w:t>
      </w:r>
    </w:p>
    <w:p w14:paraId="0624B949" w14:textId="77777777" w:rsidR="00B16431" w:rsidRPr="00076466" w:rsidRDefault="00B16431" w:rsidP="00B16431">
      <w:pPr>
        <w:pStyle w:val="Heading2"/>
      </w:pPr>
      <w:r w:rsidRPr="00076466">
        <w:t>NICE project team</w:t>
      </w:r>
    </w:p>
    <w:p w14:paraId="49E4DD31" w14:textId="5D739766" w:rsidR="00B16431" w:rsidRPr="00076466" w:rsidRDefault="00B16431" w:rsidP="00B16431">
      <w:pPr>
        <w:pStyle w:val="NICEnormal"/>
      </w:pPr>
      <w:r w:rsidRPr="00076466">
        <w:t>Each technology appraisal is assigned to a team consisting of 1 or more health technology analysts (who act as technical leads for the appraisal), a technical adviser and a project manager.</w:t>
      </w:r>
    </w:p>
    <w:p w14:paraId="0395AA80" w14:textId="77777777" w:rsidR="000F2159" w:rsidRPr="00076466" w:rsidRDefault="000F2159" w:rsidP="000F2159">
      <w:pPr>
        <w:pStyle w:val="NICEnormal"/>
      </w:pPr>
      <w:r w:rsidRPr="00076466">
        <w:rPr>
          <w:b/>
        </w:rPr>
        <w:t>Anita Sangha</w:t>
      </w:r>
      <w:r w:rsidRPr="00076466">
        <w:br/>
        <w:t>Technical lead</w:t>
      </w:r>
    </w:p>
    <w:p w14:paraId="1FBAAE78" w14:textId="05C89069" w:rsidR="000F2159" w:rsidRPr="00076466" w:rsidRDefault="000F2159" w:rsidP="000F2159">
      <w:pPr>
        <w:pStyle w:val="NICEnormal"/>
      </w:pPr>
      <w:r w:rsidRPr="00076466">
        <w:rPr>
          <w:b/>
        </w:rPr>
        <w:t>Sally Doss</w:t>
      </w:r>
      <w:r w:rsidRPr="00076466">
        <w:br/>
        <w:t>Technical adviser</w:t>
      </w:r>
    </w:p>
    <w:p w14:paraId="180B3C03" w14:textId="3B09796F" w:rsidR="00B16431" w:rsidRPr="00076466" w:rsidRDefault="000F2159" w:rsidP="005D3FD9">
      <w:pPr>
        <w:pStyle w:val="NICEnormal"/>
      </w:pPr>
      <w:r w:rsidRPr="00076466">
        <w:rPr>
          <w:b/>
        </w:rPr>
        <w:t>Louise Jafferally</w:t>
      </w:r>
      <w:r w:rsidRPr="00076466">
        <w:br/>
        <w:t>Project manager</w:t>
      </w:r>
    </w:p>
    <w:p w14:paraId="020A0C6C" w14:textId="77777777" w:rsidR="006E7647" w:rsidRPr="00076466" w:rsidRDefault="006E7647" w:rsidP="00F05E37">
      <w:pPr>
        <w:pStyle w:val="NICEnormal"/>
      </w:pPr>
      <w:r w:rsidRPr="00076466">
        <w:lastRenderedPageBreak/>
        <w:t xml:space="preserve">ISBN: </w:t>
      </w:r>
      <w:r w:rsidRPr="00076466">
        <w:rPr>
          <w:highlight w:val="green"/>
        </w:rPr>
        <w:t>[to be added at publication]</w:t>
      </w:r>
    </w:p>
    <w:sectPr w:rsidR="006E7647" w:rsidRPr="00076466" w:rsidSect="00C76DDA">
      <w:headerReference w:type="default" r:id="rId23"/>
      <w:footerReference w:type="default" r:id="rId2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019DC" w14:textId="77777777" w:rsidR="002A26CB" w:rsidRDefault="002A26CB">
      <w:r>
        <w:separator/>
      </w:r>
    </w:p>
  </w:endnote>
  <w:endnote w:type="continuationSeparator" w:id="0">
    <w:p w14:paraId="009067D5" w14:textId="77777777" w:rsidR="002A26CB" w:rsidRDefault="002A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1797A" w14:textId="5255D0A6" w:rsidR="002A26CB" w:rsidRPr="003D33FB" w:rsidRDefault="002A26CB" w:rsidP="007A7EC8">
    <w:pPr>
      <w:pStyle w:val="NICEnormalsinglespacing"/>
      <w:spacing w:after="120"/>
      <w:rPr>
        <w:sz w:val="18"/>
        <w:szCs w:val="18"/>
      </w:rPr>
    </w:pPr>
    <w:r>
      <w:rPr>
        <w:sz w:val="18"/>
        <w:szCs w:val="18"/>
      </w:rPr>
      <w:t>Appraisal consultation document</w:t>
    </w:r>
    <w:r w:rsidRPr="003D33FB">
      <w:rPr>
        <w:sz w:val="18"/>
        <w:szCs w:val="18"/>
      </w:rPr>
      <w:t xml:space="preserve">– </w:t>
    </w:r>
    <w:r w:rsidRPr="00F90105">
      <w:rPr>
        <w:sz w:val="18"/>
        <w:szCs w:val="18"/>
      </w:rPr>
      <w:t xml:space="preserve">Carfilzomib with dexamethasone and lenalidomide for </w:t>
    </w:r>
    <w:r w:rsidR="00583E39">
      <w:rPr>
        <w:sz w:val="18"/>
        <w:szCs w:val="18"/>
      </w:rPr>
      <w:t>previously treated</w:t>
    </w:r>
    <w:r w:rsidR="00583E39" w:rsidRPr="00F90105">
      <w:rPr>
        <w:sz w:val="18"/>
        <w:szCs w:val="18"/>
      </w:rPr>
      <w:t xml:space="preserve"> </w:t>
    </w:r>
    <w:r w:rsidRPr="00F90105">
      <w:rPr>
        <w:sz w:val="18"/>
        <w:szCs w:val="18"/>
      </w:rPr>
      <w:t>multiple myeloma</w:t>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4B7E0EFE" w14:textId="1FA42C1A" w:rsidR="002A26CB" w:rsidRDefault="002A26CB" w:rsidP="007A7EC8">
    <w:pPr>
      <w:pStyle w:val="NICEnormalsinglespacing"/>
      <w:spacing w:after="120"/>
      <w:rPr>
        <w:sz w:val="18"/>
        <w:szCs w:val="18"/>
      </w:rPr>
    </w:pPr>
    <w:r w:rsidRPr="003D33FB">
      <w:rPr>
        <w:sz w:val="18"/>
        <w:szCs w:val="18"/>
      </w:rPr>
      <w:t xml:space="preserve">Issue date: </w:t>
    </w:r>
    <w:r w:rsidR="00252F3A">
      <w:rPr>
        <w:sz w:val="18"/>
        <w:szCs w:val="18"/>
      </w:rPr>
      <w:t>September</w:t>
    </w:r>
    <w:r>
      <w:rPr>
        <w:sz w:val="18"/>
        <w:szCs w:val="18"/>
      </w:rPr>
      <w:t xml:space="preserve"> 2020</w:t>
    </w:r>
  </w:p>
  <w:p w14:paraId="3E11FFAA" w14:textId="6050C1AA" w:rsidR="002A26CB" w:rsidRPr="007A7EC8" w:rsidRDefault="002A26CB"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3E4A3" w14:textId="77777777" w:rsidR="002A26CB" w:rsidRDefault="002A26CB">
      <w:r>
        <w:separator/>
      </w:r>
    </w:p>
  </w:footnote>
  <w:footnote w:type="continuationSeparator" w:id="0">
    <w:p w14:paraId="2A56E247" w14:textId="77777777" w:rsidR="002A26CB" w:rsidRDefault="002A2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3808" w14:textId="77777777" w:rsidR="002A26CB" w:rsidRPr="004E6427" w:rsidRDefault="002A26CB"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AEB6E70"/>
    <w:multiLevelType w:val="hybridMultilevel"/>
    <w:tmpl w:val="0C9C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6348E"/>
    <w:multiLevelType w:val="hybridMultilevel"/>
    <w:tmpl w:val="CA940B50"/>
    <w:lvl w:ilvl="0" w:tplc="81F8AC10">
      <w:start w:val="1"/>
      <w:numFmt w:val="bullet"/>
      <w:lvlText w:val="•"/>
      <w:lvlJc w:val="left"/>
      <w:pPr>
        <w:tabs>
          <w:tab w:val="num" w:pos="720"/>
        </w:tabs>
        <w:ind w:left="720" w:hanging="360"/>
      </w:pPr>
      <w:rPr>
        <w:rFonts w:ascii="Arial" w:hAnsi="Arial" w:hint="default"/>
      </w:rPr>
    </w:lvl>
    <w:lvl w:ilvl="1" w:tplc="4DBED280" w:tentative="1">
      <w:start w:val="1"/>
      <w:numFmt w:val="bullet"/>
      <w:lvlText w:val="•"/>
      <w:lvlJc w:val="left"/>
      <w:pPr>
        <w:tabs>
          <w:tab w:val="num" w:pos="1440"/>
        </w:tabs>
        <w:ind w:left="1440" w:hanging="360"/>
      </w:pPr>
      <w:rPr>
        <w:rFonts w:ascii="Arial" w:hAnsi="Arial" w:hint="default"/>
      </w:rPr>
    </w:lvl>
    <w:lvl w:ilvl="2" w:tplc="F5B26752" w:tentative="1">
      <w:start w:val="1"/>
      <w:numFmt w:val="bullet"/>
      <w:lvlText w:val="•"/>
      <w:lvlJc w:val="left"/>
      <w:pPr>
        <w:tabs>
          <w:tab w:val="num" w:pos="2160"/>
        </w:tabs>
        <w:ind w:left="2160" w:hanging="360"/>
      </w:pPr>
      <w:rPr>
        <w:rFonts w:ascii="Arial" w:hAnsi="Arial" w:hint="default"/>
      </w:rPr>
    </w:lvl>
    <w:lvl w:ilvl="3" w:tplc="489029B6" w:tentative="1">
      <w:start w:val="1"/>
      <w:numFmt w:val="bullet"/>
      <w:lvlText w:val="•"/>
      <w:lvlJc w:val="left"/>
      <w:pPr>
        <w:tabs>
          <w:tab w:val="num" w:pos="2880"/>
        </w:tabs>
        <w:ind w:left="2880" w:hanging="360"/>
      </w:pPr>
      <w:rPr>
        <w:rFonts w:ascii="Arial" w:hAnsi="Arial" w:hint="default"/>
      </w:rPr>
    </w:lvl>
    <w:lvl w:ilvl="4" w:tplc="82986896" w:tentative="1">
      <w:start w:val="1"/>
      <w:numFmt w:val="bullet"/>
      <w:lvlText w:val="•"/>
      <w:lvlJc w:val="left"/>
      <w:pPr>
        <w:tabs>
          <w:tab w:val="num" w:pos="3600"/>
        </w:tabs>
        <w:ind w:left="3600" w:hanging="360"/>
      </w:pPr>
      <w:rPr>
        <w:rFonts w:ascii="Arial" w:hAnsi="Arial" w:hint="default"/>
      </w:rPr>
    </w:lvl>
    <w:lvl w:ilvl="5" w:tplc="A2FC061C" w:tentative="1">
      <w:start w:val="1"/>
      <w:numFmt w:val="bullet"/>
      <w:lvlText w:val="•"/>
      <w:lvlJc w:val="left"/>
      <w:pPr>
        <w:tabs>
          <w:tab w:val="num" w:pos="4320"/>
        </w:tabs>
        <w:ind w:left="4320" w:hanging="360"/>
      </w:pPr>
      <w:rPr>
        <w:rFonts w:ascii="Arial" w:hAnsi="Arial" w:hint="default"/>
      </w:rPr>
    </w:lvl>
    <w:lvl w:ilvl="6" w:tplc="BADE7CD2" w:tentative="1">
      <w:start w:val="1"/>
      <w:numFmt w:val="bullet"/>
      <w:lvlText w:val="•"/>
      <w:lvlJc w:val="left"/>
      <w:pPr>
        <w:tabs>
          <w:tab w:val="num" w:pos="5040"/>
        </w:tabs>
        <w:ind w:left="5040" w:hanging="360"/>
      </w:pPr>
      <w:rPr>
        <w:rFonts w:ascii="Arial" w:hAnsi="Arial" w:hint="default"/>
      </w:rPr>
    </w:lvl>
    <w:lvl w:ilvl="7" w:tplc="E306E0D2" w:tentative="1">
      <w:start w:val="1"/>
      <w:numFmt w:val="bullet"/>
      <w:lvlText w:val="•"/>
      <w:lvlJc w:val="left"/>
      <w:pPr>
        <w:tabs>
          <w:tab w:val="num" w:pos="5760"/>
        </w:tabs>
        <w:ind w:left="5760" w:hanging="360"/>
      </w:pPr>
      <w:rPr>
        <w:rFonts w:ascii="Arial" w:hAnsi="Arial" w:hint="default"/>
      </w:rPr>
    </w:lvl>
    <w:lvl w:ilvl="8" w:tplc="7554B0E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6CF5E79"/>
    <w:multiLevelType w:val="hybridMultilevel"/>
    <w:tmpl w:val="CBD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6"/>
  </w:num>
  <w:num w:numId="4">
    <w:abstractNumId w:val="9"/>
  </w:num>
  <w:num w:numId="5">
    <w:abstractNumId w:val="10"/>
  </w:num>
  <w:num w:numId="6">
    <w:abstractNumId w:val="0"/>
  </w:num>
  <w:num w:numId="7">
    <w:abstractNumId w:val="2"/>
  </w:num>
  <w:num w:numId="8">
    <w:abstractNumId w:val="4"/>
  </w:num>
  <w:num w:numId="9">
    <w:abstractNumId w:val="5"/>
  </w:num>
  <w:num w:numId="10">
    <w:abstractNumId w:val="6"/>
  </w:num>
  <w:num w:numId="11">
    <w:abstractNumId w:val="8"/>
  </w:num>
  <w:num w:numId="12">
    <w:abstractNumId w:val="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num>
  <w:num w:numId="1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num>
  <w:num w:numId="21">
    <w:abstractNumId w:val="6"/>
  </w:num>
  <w:num w:numId="22">
    <w:abstractNumId w:val="13"/>
  </w:num>
  <w:num w:numId="23">
    <w:abstractNumId w:val="15"/>
  </w:num>
  <w:num w:numId="24">
    <w:abstractNumId w:val="11"/>
  </w:num>
  <w:num w:numId="25">
    <w:abstractNumId w:val="17"/>
  </w:num>
  <w:num w:numId="2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05"/>
    <w:rsid w:val="00000441"/>
    <w:rsid w:val="0000113A"/>
    <w:rsid w:val="0000326D"/>
    <w:rsid w:val="000044F2"/>
    <w:rsid w:val="00006590"/>
    <w:rsid w:val="000069A4"/>
    <w:rsid w:val="000069F9"/>
    <w:rsid w:val="0000727D"/>
    <w:rsid w:val="000119FB"/>
    <w:rsid w:val="000130DC"/>
    <w:rsid w:val="00014990"/>
    <w:rsid w:val="00016A22"/>
    <w:rsid w:val="00016E5E"/>
    <w:rsid w:val="00017610"/>
    <w:rsid w:val="000205C6"/>
    <w:rsid w:val="00021FB0"/>
    <w:rsid w:val="000221AA"/>
    <w:rsid w:val="0002226B"/>
    <w:rsid w:val="0002331F"/>
    <w:rsid w:val="00023F26"/>
    <w:rsid w:val="000249F8"/>
    <w:rsid w:val="00024CE3"/>
    <w:rsid w:val="00026E82"/>
    <w:rsid w:val="00030676"/>
    <w:rsid w:val="00030714"/>
    <w:rsid w:val="00032F71"/>
    <w:rsid w:val="0003322C"/>
    <w:rsid w:val="00034110"/>
    <w:rsid w:val="00034636"/>
    <w:rsid w:val="00034E59"/>
    <w:rsid w:val="000355F6"/>
    <w:rsid w:val="00035AC1"/>
    <w:rsid w:val="000368FC"/>
    <w:rsid w:val="000376EE"/>
    <w:rsid w:val="00040050"/>
    <w:rsid w:val="00041393"/>
    <w:rsid w:val="000421F8"/>
    <w:rsid w:val="00043262"/>
    <w:rsid w:val="000433DF"/>
    <w:rsid w:val="00045528"/>
    <w:rsid w:val="00052063"/>
    <w:rsid w:val="00054DF1"/>
    <w:rsid w:val="00055DDF"/>
    <w:rsid w:val="00057724"/>
    <w:rsid w:val="00061C83"/>
    <w:rsid w:val="00065FA9"/>
    <w:rsid w:val="0006624B"/>
    <w:rsid w:val="000711F1"/>
    <w:rsid w:val="00071291"/>
    <w:rsid w:val="00073DA8"/>
    <w:rsid w:val="00074FC1"/>
    <w:rsid w:val="000755E6"/>
    <w:rsid w:val="00076466"/>
    <w:rsid w:val="000764D3"/>
    <w:rsid w:val="00080A47"/>
    <w:rsid w:val="00082F77"/>
    <w:rsid w:val="00085B39"/>
    <w:rsid w:val="00085C5A"/>
    <w:rsid w:val="000862FC"/>
    <w:rsid w:val="000865C4"/>
    <w:rsid w:val="00087323"/>
    <w:rsid w:val="000879ED"/>
    <w:rsid w:val="00090C5D"/>
    <w:rsid w:val="00091B8E"/>
    <w:rsid w:val="00093649"/>
    <w:rsid w:val="00096246"/>
    <w:rsid w:val="000A0A6E"/>
    <w:rsid w:val="000A4016"/>
    <w:rsid w:val="000A4B69"/>
    <w:rsid w:val="000A4C55"/>
    <w:rsid w:val="000A5197"/>
    <w:rsid w:val="000A6C40"/>
    <w:rsid w:val="000A721F"/>
    <w:rsid w:val="000B1027"/>
    <w:rsid w:val="000B1DBB"/>
    <w:rsid w:val="000B70D6"/>
    <w:rsid w:val="000B7F7A"/>
    <w:rsid w:val="000C04A1"/>
    <w:rsid w:val="000C11FB"/>
    <w:rsid w:val="000C194F"/>
    <w:rsid w:val="000C2222"/>
    <w:rsid w:val="000C2886"/>
    <w:rsid w:val="000C326D"/>
    <w:rsid w:val="000D09ED"/>
    <w:rsid w:val="000D0A87"/>
    <w:rsid w:val="000D0FB1"/>
    <w:rsid w:val="000D11B8"/>
    <w:rsid w:val="000D145B"/>
    <w:rsid w:val="000D2927"/>
    <w:rsid w:val="000D6016"/>
    <w:rsid w:val="000D7185"/>
    <w:rsid w:val="000E1CED"/>
    <w:rsid w:val="000E24BD"/>
    <w:rsid w:val="000E29D1"/>
    <w:rsid w:val="000E51FD"/>
    <w:rsid w:val="000E6F19"/>
    <w:rsid w:val="000F1014"/>
    <w:rsid w:val="000F1B3B"/>
    <w:rsid w:val="000F1E3F"/>
    <w:rsid w:val="000F2159"/>
    <w:rsid w:val="000F3DBC"/>
    <w:rsid w:val="000F48EC"/>
    <w:rsid w:val="000F5D8D"/>
    <w:rsid w:val="000F6CF3"/>
    <w:rsid w:val="001017A9"/>
    <w:rsid w:val="00101E5E"/>
    <w:rsid w:val="00101F34"/>
    <w:rsid w:val="001030E1"/>
    <w:rsid w:val="001033D5"/>
    <w:rsid w:val="001039F7"/>
    <w:rsid w:val="00105409"/>
    <w:rsid w:val="00107DBD"/>
    <w:rsid w:val="00107E50"/>
    <w:rsid w:val="00113666"/>
    <w:rsid w:val="001169FE"/>
    <w:rsid w:val="00116D19"/>
    <w:rsid w:val="00117513"/>
    <w:rsid w:val="001179C9"/>
    <w:rsid w:val="00120333"/>
    <w:rsid w:val="00121E78"/>
    <w:rsid w:val="001230AC"/>
    <w:rsid w:val="00123F4B"/>
    <w:rsid w:val="00124604"/>
    <w:rsid w:val="001265C0"/>
    <w:rsid w:val="0013064B"/>
    <w:rsid w:val="001337B7"/>
    <w:rsid w:val="00133921"/>
    <w:rsid w:val="001344B3"/>
    <w:rsid w:val="00140C93"/>
    <w:rsid w:val="00141D07"/>
    <w:rsid w:val="00143536"/>
    <w:rsid w:val="00145B2F"/>
    <w:rsid w:val="00150440"/>
    <w:rsid w:val="00151D8E"/>
    <w:rsid w:val="00153B5C"/>
    <w:rsid w:val="001570BC"/>
    <w:rsid w:val="001579BF"/>
    <w:rsid w:val="00161AA0"/>
    <w:rsid w:val="00162AB0"/>
    <w:rsid w:val="00162C78"/>
    <w:rsid w:val="00164D86"/>
    <w:rsid w:val="001662BC"/>
    <w:rsid w:val="001669CC"/>
    <w:rsid w:val="0017072D"/>
    <w:rsid w:val="00170B60"/>
    <w:rsid w:val="00171A2B"/>
    <w:rsid w:val="00176FB2"/>
    <w:rsid w:val="001823EB"/>
    <w:rsid w:val="00184A64"/>
    <w:rsid w:val="0018716E"/>
    <w:rsid w:val="001873CB"/>
    <w:rsid w:val="001875BD"/>
    <w:rsid w:val="00191B56"/>
    <w:rsid w:val="00193945"/>
    <w:rsid w:val="001956FC"/>
    <w:rsid w:val="00196FE1"/>
    <w:rsid w:val="0019718A"/>
    <w:rsid w:val="001A1AE2"/>
    <w:rsid w:val="001A5561"/>
    <w:rsid w:val="001B2DD8"/>
    <w:rsid w:val="001B3A77"/>
    <w:rsid w:val="001B7E00"/>
    <w:rsid w:val="001C0EF4"/>
    <w:rsid w:val="001C59E4"/>
    <w:rsid w:val="001D1D43"/>
    <w:rsid w:val="001D509B"/>
    <w:rsid w:val="001E27E5"/>
    <w:rsid w:val="001E2CAF"/>
    <w:rsid w:val="001E3B45"/>
    <w:rsid w:val="001E4D37"/>
    <w:rsid w:val="001F1400"/>
    <w:rsid w:val="001F4C16"/>
    <w:rsid w:val="001F6078"/>
    <w:rsid w:val="001F7251"/>
    <w:rsid w:val="00204F82"/>
    <w:rsid w:val="00207276"/>
    <w:rsid w:val="0021081C"/>
    <w:rsid w:val="002119CD"/>
    <w:rsid w:val="002159C9"/>
    <w:rsid w:val="00217FB0"/>
    <w:rsid w:val="002218BC"/>
    <w:rsid w:val="00222BEA"/>
    <w:rsid w:val="00225439"/>
    <w:rsid w:val="00225F9B"/>
    <w:rsid w:val="0022703E"/>
    <w:rsid w:val="002304BF"/>
    <w:rsid w:val="00232061"/>
    <w:rsid w:val="00232361"/>
    <w:rsid w:val="00235945"/>
    <w:rsid w:val="00235A1D"/>
    <w:rsid w:val="00235CAB"/>
    <w:rsid w:val="00236BBE"/>
    <w:rsid w:val="0024509F"/>
    <w:rsid w:val="00252CDF"/>
    <w:rsid w:val="00252F3A"/>
    <w:rsid w:val="00253EB9"/>
    <w:rsid w:val="002555BE"/>
    <w:rsid w:val="00255679"/>
    <w:rsid w:val="00257B1C"/>
    <w:rsid w:val="002614EA"/>
    <w:rsid w:val="00261761"/>
    <w:rsid w:val="00265B0E"/>
    <w:rsid w:val="00280834"/>
    <w:rsid w:val="00282C30"/>
    <w:rsid w:val="00282D7E"/>
    <w:rsid w:val="00290445"/>
    <w:rsid w:val="00292044"/>
    <w:rsid w:val="00293811"/>
    <w:rsid w:val="00294715"/>
    <w:rsid w:val="00295E50"/>
    <w:rsid w:val="002A151A"/>
    <w:rsid w:val="002A2687"/>
    <w:rsid w:val="002A26CB"/>
    <w:rsid w:val="002A5C23"/>
    <w:rsid w:val="002A686F"/>
    <w:rsid w:val="002A6DEC"/>
    <w:rsid w:val="002B2CFA"/>
    <w:rsid w:val="002B3340"/>
    <w:rsid w:val="002B4F65"/>
    <w:rsid w:val="002B5772"/>
    <w:rsid w:val="002B6D1D"/>
    <w:rsid w:val="002B7C91"/>
    <w:rsid w:val="002C0551"/>
    <w:rsid w:val="002C257D"/>
    <w:rsid w:val="002C2774"/>
    <w:rsid w:val="002C381D"/>
    <w:rsid w:val="002C6156"/>
    <w:rsid w:val="002C7E2E"/>
    <w:rsid w:val="002D0C03"/>
    <w:rsid w:val="002D3D13"/>
    <w:rsid w:val="002D79A7"/>
    <w:rsid w:val="002E0E6C"/>
    <w:rsid w:val="002E3F68"/>
    <w:rsid w:val="002E5C16"/>
    <w:rsid w:val="002E73E7"/>
    <w:rsid w:val="002E7E8C"/>
    <w:rsid w:val="002F0AA7"/>
    <w:rsid w:val="002F1B28"/>
    <w:rsid w:val="002F2583"/>
    <w:rsid w:val="002F279A"/>
    <w:rsid w:val="002F2C1A"/>
    <w:rsid w:val="002F4F5B"/>
    <w:rsid w:val="002F68FE"/>
    <w:rsid w:val="00300401"/>
    <w:rsid w:val="00300DF8"/>
    <w:rsid w:val="0030272F"/>
    <w:rsid w:val="00303156"/>
    <w:rsid w:val="00306565"/>
    <w:rsid w:val="003107AB"/>
    <w:rsid w:val="0031127A"/>
    <w:rsid w:val="00311A01"/>
    <w:rsid w:val="00315477"/>
    <w:rsid w:val="003154E8"/>
    <w:rsid w:val="00315C29"/>
    <w:rsid w:val="0031664C"/>
    <w:rsid w:val="00324997"/>
    <w:rsid w:val="003256B1"/>
    <w:rsid w:val="00331545"/>
    <w:rsid w:val="00331898"/>
    <w:rsid w:val="003330E6"/>
    <w:rsid w:val="0033333E"/>
    <w:rsid w:val="003333BA"/>
    <w:rsid w:val="00333D4A"/>
    <w:rsid w:val="003368C0"/>
    <w:rsid w:val="00343439"/>
    <w:rsid w:val="00343B53"/>
    <w:rsid w:val="003455C0"/>
    <w:rsid w:val="003459E9"/>
    <w:rsid w:val="00346BA7"/>
    <w:rsid w:val="003476F5"/>
    <w:rsid w:val="00350908"/>
    <w:rsid w:val="00354915"/>
    <w:rsid w:val="00355C56"/>
    <w:rsid w:val="00364E30"/>
    <w:rsid w:val="00372031"/>
    <w:rsid w:val="003738C2"/>
    <w:rsid w:val="00383594"/>
    <w:rsid w:val="00383CE2"/>
    <w:rsid w:val="003847B9"/>
    <w:rsid w:val="00385E85"/>
    <w:rsid w:val="0039118D"/>
    <w:rsid w:val="00391AC8"/>
    <w:rsid w:val="00391FF0"/>
    <w:rsid w:val="00392FB4"/>
    <w:rsid w:val="00394DFF"/>
    <w:rsid w:val="00395C05"/>
    <w:rsid w:val="003A0250"/>
    <w:rsid w:val="003A04CD"/>
    <w:rsid w:val="003A11AB"/>
    <w:rsid w:val="003A1F14"/>
    <w:rsid w:val="003A3974"/>
    <w:rsid w:val="003A5838"/>
    <w:rsid w:val="003B0BC2"/>
    <w:rsid w:val="003B37BB"/>
    <w:rsid w:val="003B7D8A"/>
    <w:rsid w:val="003C36AC"/>
    <w:rsid w:val="003C7EF9"/>
    <w:rsid w:val="003D47CA"/>
    <w:rsid w:val="003D68D5"/>
    <w:rsid w:val="003D7050"/>
    <w:rsid w:val="003E14CF"/>
    <w:rsid w:val="003E2584"/>
    <w:rsid w:val="003E317F"/>
    <w:rsid w:val="003E684C"/>
    <w:rsid w:val="003F168A"/>
    <w:rsid w:val="003F26F9"/>
    <w:rsid w:val="003F3C14"/>
    <w:rsid w:val="00401DC3"/>
    <w:rsid w:val="00407D59"/>
    <w:rsid w:val="004120A8"/>
    <w:rsid w:val="0041525E"/>
    <w:rsid w:val="00415939"/>
    <w:rsid w:val="00415B4A"/>
    <w:rsid w:val="004176C8"/>
    <w:rsid w:val="004202EB"/>
    <w:rsid w:val="00420742"/>
    <w:rsid w:val="00421005"/>
    <w:rsid w:val="00421216"/>
    <w:rsid w:val="00431372"/>
    <w:rsid w:val="0043309B"/>
    <w:rsid w:val="00433564"/>
    <w:rsid w:val="00437CA3"/>
    <w:rsid w:val="0044027B"/>
    <w:rsid w:val="004408F8"/>
    <w:rsid w:val="0044428C"/>
    <w:rsid w:val="0044648F"/>
    <w:rsid w:val="00446DA2"/>
    <w:rsid w:val="00457843"/>
    <w:rsid w:val="00461318"/>
    <w:rsid w:val="00462002"/>
    <w:rsid w:val="0046212F"/>
    <w:rsid w:val="0046228B"/>
    <w:rsid w:val="00462733"/>
    <w:rsid w:val="00463227"/>
    <w:rsid w:val="00463973"/>
    <w:rsid w:val="00464425"/>
    <w:rsid w:val="004648BA"/>
    <w:rsid w:val="00466674"/>
    <w:rsid w:val="00471113"/>
    <w:rsid w:val="00471200"/>
    <w:rsid w:val="004723A7"/>
    <w:rsid w:val="00472803"/>
    <w:rsid w:val="00472FF8"/>
    <w:rsid w:val="00473AC4"/>
    <w:rsid w:val="00475F03"/>
    <w:rsid w:val="004761A9"/>
    <w:rsid w:val="004804B3"/>
    <w:rsid w:val="0048101A"/>
    <w:rsid w:val="004810F8"/>
    <w:rsid w:val="00481E06"/>
    <w:rsid w:val="004820E9"/>
    <w:rsid w:val="00483119"/>
    <w:rsid w:val="0048361F"/>
    <w:rsid w:val="004845D0"/>
    <w:rsid w:val="004852FF"/>
    <w:rsid w:val="00492FDA"/>
    <w:rsid w:val="00494E73"/>
    <w:rsid w:val="00495469"/>
    <w:rsid w:val="004A2830"/>
    <w:rsid w:val="004A5B61"/>
    <w:rsid w:val="004B15E2"/>
    <w:rsid w:val="004B514C"/>
    <w:rsid w:val="004B5168"/>
    <w:rsid w:val="004B7D57"/>
    <w:rsid w:val="004C00D8"/>
    <w:rsid w:val="004C2120"/>
    <w:rsid w:val="004C3DAD"/>
    <w:rsid w:val="004C5923"/>
    <w:rsid w:val="004C6116"/>
    <w:rsid w:val="004C6E28"/>
    <w:rsid w:val="004C7C61"/>
    <w:rsid w:val="004D0DFD"/>
    <w:rsid w:val="004D1FBE"/>
    <w:rsid w:val="004D4A86"/>
    <w:rsid w:val="004D4AB8"/>
    <w:rsid w:val="004D7664"/>
    <w:rsid w:val="004E074F"/>
    <w:rsid w:val="004E4536"/>
    <w:rsid w:val="004E6427"/>
    <w:rsid w:val="004E7625"/>
    <w:rsid w:val="004E7E43"/>
    <w:rsid w:val="004F1956"/>
    <w:rsid w:val="004F5FC6"/>
    <w:rsid w:val="004F69FA"/>
    <w:rsid w:val="005037B2"/>
    <w:rsid w:val="0050455E"/>
    <w:rsid w:val="005047AD"/>
    <w:rsid w:val="00510B1D"/>
    <w:rsid w:val="0051107D"/>
    <w:rsid w:val="00511167"/>
    <w:rsid w:val="00526C07"/>
    <w:rsid w:val="005273A6"/>
    <w:rsid w:val="00527533"/>
    <w:rsid w:val="00527E88"/>
    <w:rsid w:val="00530C6B"/>
    <w:rsid w:val="0053387C"/>
    <w:rsid w:val="00534F74"/>
    <w:rsid w:val="005365C6"/>
    <w:rsid w:val="00536789"/>
    <w:rsid w:val="00536D2F"/>
    <w:rsid w:val="00540052"/>
    <w:rsid w:val="0054146B"/>
    <w:rsid w:val="00543DB4"/>
    <w:rsid w:val="00543E08"/>
    <w:rsid w:val="005449AD"/>
    <w:rsid w:val="005505ED"/>
    <w:rsid w:val="00555062"/>
    <w:rsid w:val="005620EB"/>
    <w:rsid w:val="00564B04"/>
    <w:rsid w:val="00570524"/>
    <w:rsid w:val="00573059"/>
    <w:rsid w:val="0057621E"/>
    <w:rsid w:val="00577B05"/>
    <w:rsid w:val="00580D61"/>
    <w:rsid w:val="00580D6F"/>
    <w:rsid w:val="005812C6"/>
    <w:rsid w:val="0058382A"/>
    <w:rsid w:val="00583E39"/>
    <w:rsid w:val="00586635"/>
    <w:rsid w:val="005922EB"/>
    <w:rsid w:val="00593A16"/>
    <w:rsid w:val="005948FA"/>
    <w:rsid w:val="005959BE"/>
    <w:rsid w:val="00596210"/>
    <w:rsid w:val="00596286"/>
    <w:rsid w:val="00596999"/>
    <w:rsid w:val="005A0F31"/>
    <w:rsid w:val="005A28A1"/>
    <w:rsid w:val="005A46D0"/>
    <w:rsid w:val="005A61CF"/>
    <w:rsid w:val="005A6F80"/>
    <w:rsid w:val="005A6FB5"/>
    <w:rsid w:val="005A6FC5"/>
    <w:rsid w:val="005B25E4"/>
    <w:rsid w:val="005B30C8"/>
    <w:rsid w:val="005B3186"/>
    <w:rsid w:val="005B3EA2"/>
    <w:rsid w:val="005B4D98"/>
    <w:rsid w:val="005B7778"/>
    <w:rsid w:val="005C051F"/>
    <w:rsid w:val="005C6E7B"/>
    <w:rsid w:val="005C762E"/>
    <w:rsid w:val="005D098C"/>
    <w:rsid w:val="005D180C"/>
    <w:rsid w:val="005D3FD9"/>
    <w:rsid w:val="005D53F4"/>
    <w:rsid w:val="005D616E"/>
    <w:rsid w:val="005E1606"/>
    <w:rsid w:val="005E2139"/>
    <w:rsid w:val="005E46BB"/>
    <w:rsid w:val="005E7605"/>
    <w:rsid w:val="006001CC"/>
    <w:rsid w:val="00602B4D"/>
    <w:rsid w:val="00603856"/>
    <w:rsid w:val="00603C94"/>
    <w:rsid w:val="006048E0"/>
    <w:rsid w:val="00604FAD"/>
    <w:rsid w:val="0060662A"/>
    <w:rsid w:val="00607ACE"/>
    <w:rsid w:val="0061202D"/>
    <w:rsid w:val="00612789"/>
    <w:rsid w:val="006130D0"/>
    <w:rsid w:val="00613D24"/>
    <w:rsid w:val="00614BDA"/>
    <w:rsid w:val="00620B65"/>
    <w:rsid w:val="00621AFB"/>
    <w:rsid w:val="0062589A"/>
    <w:rsid w:val="00627DF1"/>
    <w:rsid w:val="006307C7"/>
    <w:rsid w:val="00632B82"/>
    <w:rsid w:val="006331B4"/>
    <w:rsid w:val="006343F3"/>
    <w:rsid w:val="00636569"/>
    <w:rsid w:val="00640CF2"/>
    <w:rsid w:val="006417D6"/>
    <w:rsid w:val="00642906"/>
    <w:rsid w:val="00643582"/>
    <w:rsid w:val="00643B75"/>
    <w:rsid w:val="006457EF"/>
    <w:rsid w:val="00650F96"/>
    <w:rsid w:val="006512B7"/>
    <w:rsid w:val="00651C22"/>
    <w:rsid w:val="00655679"/>
    <w:rsid w:val="00655B4D"/>
    <w:rsid w:val="00655ED5"/>
    <w:rsid w:val="00664EFD"/>
    <w:rsid w:val="00665734"/>
    <w:rsid w:val="006674D6"/>
    <w:rsid w:val="006678E2"/>
    <w:rsid w:val="00671977"/>
    <w:rsid w:val="00671D80"/>
    <w:rsid w:val="00672EFB"/>
    <w:rsid w:val="006739CF"/>
    <w:rsid w:val="0067752C"/>
    <w:rsid w:val="006776A2"/>
    <w:rsid w:val="006801A6"/>
    <w:rsid w:val="0068124B"/>
    <w:rsid w:val="00681610"/>
    <w:rsid w:val="00683640"/>
    <w:rsid w:val="00684AD6"/>
    <w:rsid w:val="00685D36"/>
    <w:rsid w:val="00687304"/>
    <w:rsid w:val="0069105B"/>
    <w:rsid w:val="00692C71"/>
    <w:rsid w:val="006931A0"/>
    <w:rsid w:val="006935BC"/>
    <w:rsid w:val="006944EE"/>
    <w:rsid w:val="00696E55"/>
    <w:rsid w:val="006A0B0E"/>
    <w:rsid w:val="006A3A9C"/>
    <w:rsid w:val="006A3CC5"/>
    <w:rsid w:val="006A6019"/>
    <w:rsid w:val="006A721F"/>
    <w:rsid w:val="006A7CCF"/>
    <w:rsid w:val="006B0581"/>
    <w:rsid w:val="006B0F36"/>
    <w:rsid w:val="006B30FD"/>
    <w:rsid w:val="006B4254"/>
    <w:rsid w:val="006B5CB4"/>
    <w:rsid w:val="006B6DCF"/>
    <w:rsid w:val="006B791B"/>
    <w:rsid w:val="006C4793"/>
    <w:rsid w:val="006C74BF"/>
    <w:rsid w:val="006C7B75"/>
    <w:rsid w:val="006D36FB"/>
    <w:rsid w:val="006D42ED"/>
    <w:rsid w:val="006D4D1A"/>
    <w:rsid w:val="006D5275"/>
    <w:rsid w:val="006D73F1"/>
    <w:rsid w:val="006E2A29"/>
    <w:rsid w:val="006E3514"/>
    <w:rsid w:val="006E60E6"/>
    <w:rsid w:val="006E7421"/>
    <w:rsid w:val="006E7647"/>
    <w:rsid w:val="006F162C"/>
    <w:rsid w:val="006F1DA8"/>
    <w:rsid w:val="006F22E9"/>
    <w:rsid w:val="006F3479"/>
    <w:rsid w:val="006F4387"/>
    <w:rsid w:val="006F4CFA"/>
    <w:rsid w:val="006F5310"/>
    <w:rsid w:val="006F5B83"/>
    <w:rsid w:val="006F696E"/>
    <w:rsid w:val="006F6B91"/>
    <w:rsid w:val="00700731"/>
    <w:rsid w:val="007040CB"/>
    <w:rsid w:val="0070523B"/>
    <w:rsid w:val="0070542B"/>
    <w:rsid w:val="00707D16"/>
    <w:rsid w:val="00712036"/>
    <w:rsid w:val="00715B82"/>
    <w:rsid w:val="00715E8A"/>
    <w:rsid w:val="00717226"/>
    <w:rsid w:val="0071781E"/>
    <w:rsid w:val="00720FDD"/>
    <w:rsid w:val="00722713"/>
    <w:rsid w:val="00722883"/>
    <w:rsid w:val="00723AF0"/>
    <w:rsid w:val="00726B2F"/>
    <w:rsid w:val="00727911"/>
    <w:rsid w:val="0073007E"/>
    <w:rsid w:val="007311E2"/>
    <w:rsid w:val="00732519"/>
    <w:rsid w:val="0073365B"/>
    <w:rsid w:val="00734F5A"/>
    <w:rsid w:val="0073579D"/>
    <w:rsid w:val="00736D97"/>
    <w:rsid w:val="00737CEF"/>
    <w:rsid w:val="00737DDA"/>
    <w:rsid w:val="00740F81"/>
    <w:rsid w:val="00743947"/>
    <w:rsid w:val="00746B57"/>
    <w:rsid w:val="00747D90"/>
    <w:rsid w:val="007501B9"/>
    <w:rsid w:val="00751CB9"/>
    <w:rsid w:val="0075624F"/>
    <w:rsid w:val="00756D96"/>
    <w:rsid w:val="00756E17"/>
    <w:rsid w:val="007620C2"/>
    <w:rsid w:val="00763641"/>
    <w:rsid w:val="007668BA"/>
    <w:rsid w:val="00770596"/>
    <w:rsid w:val="00772626"/>
    <w:rsid w:val="0077277D"/>
    <w:rsid w:val="00772AC4"/>
    <w:rsid w:val="00773E25"/>
    <w:rsid w:val="007747D4"/>
    <w:rsid w:val="00774963"/>
    <w:rsid w:val="00776019"/>
    <w:rsid w:val="00776DDC"/>
    <w:rsid w:val="00781AC5"/>
    <w:rsid w:val="00781B7F"/>
    <w:rsid w:val="00782DCB"/>
    <w:rsid w:val="00784156"/>
    <w:rsid w:val="00784A2B"/>
    <w:rsid w:val="00785A14"/>
    <w:rsid w:val="007907FF"/>
    <w:rsid w:val="00792903"/>
    <w:rsid w:val="007933B3"/>
    <w:rsid w:val="00794D72"/>
    <w:rsid w:val="007A048E"/>
    <w:rsid w:val="007A19AF"/>
    <w:rsid w:val="007A1E9D"/>
    <w:rsid w:val="007A1F3C"/>
    <w:rsid w:val="007A2801"/>
    <w:rsid w:val="007A2DA8"/>
    <w:rsid w:val="007A386C"/>
    <w:rsid w:val="007A4EEE"/>
    <w:rsid w:val="007A6DAA"/>
    <w:rsid w:val="007A7EC8"/>
    <w:rsid w:val="007B032C"/>
    <w:rsid w:val="007B1AF8"/>
    <w:rsid w:val="007B2A16"/>
    <w:rsid w:val="007B3F82"/>
    <w:rsid w:val="007B4B3F"/>
    <w:rsid w:val="007B787D"/>
    <w:rsid w:val="007B7B7B"/>
    <w:rsid w:val="007C2601"/>
    <w:rsid w:val="007C3165"/>
    <w:rsid w:val="007C58D6"/>
    <w:rsid w:val="007C732D"/>
    <w:rsid w:val="007D1008"/>
    <w:rsid w:val="007D1447"/>
    <w:rsid w:val="007D5B27"/>
    <w:rsid w:val="007D5C80"/>
    <w:rsid w:val="007D62AE"/>
    <w:rsid w:val="007E013D"/>
    <w:rsid w:val="007E1D77"/>
    <w:rsid w:val="007E2754"/>
    <w:rsid w:val="007E5818"/>
    <w:rsid w:val="007E61A7"/>
    <w:rsid w:val="007E65D7"/>
    <w:rsid w:val="007F227E"/>
    <w:rsid w:val="007F2F03"/>
    <w:rsid w:val="0080089C"/>
    <w:rsid w:val="00803318"/>
    <w:rsid w:val="00803456"/>
    <w:rsid w:val="0080390A"/>
    <w:rsid w:val="00803D5C"/>
    <w:rsid w:val="00811B0D"/>
    <w:rsid w:val="00811BBD"/>
    <w:rsid w:val="00811FE4"/>
    <w:rsid w:val="00812976"/>
    <w:rsid w:val="00814DEF"/>
    <w:rsid w:val="0082239E"/>
    <w:rsid w:val="00825A87"/>
    <w:rsid w:val="008261D7"/>
    <w:rsid w:val="00827049"/>
    <w:rsid w:val="00831B9B"/>
    <w:rsid w:val="00835008"/>
    <w:rsid w:val="00837410"/>
    <w:rsid w:val="00837CA9"/>
    <w:rsid w:val="00842125"/>
    <w:rsid w:val="00842A7E"/>
    <w:rsid w:val="00844D3D"/>
    <w:rsid w:val="0084532E"/>
    <w:rsid w:val="00845810"/>
    <w:rsid w:val="00845D90"/>
    <w:rsid w:val="00845F3C"/>
    <w:rsid w:val="00846159"/>
    <w:rsid w:val="008505C3"/>
    <w:rsid w:val="00851677"/>
    <w:rsid w:val="008522C6"/>
    <w:rsid w:val="00852E40"/>
    <w:rsid w:val="00857A90"/>
    <w:rsid w:val="00857CDD"/>
    <w:rsid w:val="00860BBC"/>
    <w:rsid w:val="00860EA8"/>
    <w:rsid w:val="00864076"/>
    <w:rsid w:val="0086472B"/>
    <w:rsid w:val="0087368E"/>
    <w:rsid w:val="008802D9"/>
    <w:rsid w:val="00880B98"/>
    <w:rsid w:val="00881F26"/>
    <w:rsid w:val="008838A1"/>
    <w:rsid w:val="00884F82"/>
    <w:rsid w:val="0088685E"/>
    <w:rsid w:val="0088689E"/>
    <w:rsid w:val="0089020C"/>
    <w:rsid w:val="008906CD"/>
    <w:rsid w:val="008911A2"/>
    <w:rsid w:val="00891794"/>
    <w:rsid w:val="00891929"/>
    <w:rsid w:val="00893176"/>
    <w:rsid w:val="0089374E"/>
    <w:rsid w:val="00895446"/>
    <w:rsid w:val="008A05E4"/>
    <w:rsid w:val="008A18F3"/>
    <w:rsid w:val="008A2098"/>
    <w:rsid w:val="008A32D1"/>
    <w:rsid w:val="008B03D8"/>
    <w:rsid w:val="008B1FCB"/>
    <w:rsid w:val="008B35D4"/>
    <w:rsid w:val="008B4290"/>
    <w:rsid w:val="008B61CD"/>
    <w:rsid w:val="008B71F6"/>
    <w:rsid w:val="008C4A61"/>
    <w:rsid w:val="008C4CB3"/>
    <w:rsid w:val="008C4F0F"/>
    <w:rsid w:val="008C6CFD"/>
    <w:rsid w:val="008C7D07"/>
    <w:rsid w:val="008C7F38"/>
    <w:rsid w:val="008D3B9E"/>
    <w:rsid w:val="008D55C9"/>
    <w:rsid w:val="008D5A87"/>
    <w:rsid w:val="008E7460"/>
    <w:rsid w:val="008E7585"/>
    <w:rsid w:val="008F2E5C"/>
    <w:rsid w:val="008F41FC"/>
    <w:rsid w:val="008F646F"/>
    <w:rsid w:val="0090280D"/>
    <w:rsid w:val="00903ADC"/>
    <w:rsid w:val="009047D3"/>
    <w:rsid w:val="00906982"/>
    <w:rsid w:val="00906A96"/>
    <w:rsid w:val="009076D0"/>
    <w:rsid w:val="00914D3C"/>
    <w:rsid w:val="00914F38"/>
    <w:rsid w:val="00915C7C"/>
    <w:rsid w:val="0091776B"/>
    <w:rsid w:val="00920396"/>
    <w:rsid w:val="00925040"/>
    <w:rsid w:val="00926060"/>
    <w:rsid w:val="0092657D"/>
    <w:rsid w:val="0093180A"/>
    <w:rsid w:val="00932B67"/>
    <w:rsid w:val="00933EAB"/>
    <w:rsid w:val="00935018"/>
    <w:rsid w:val="0093671F"/>
    <w:rsid w:val="00936AF9"/>
    <w:rsid w:val="00937D0C"/>
    <w:rsid w:val="00937F0D"/>
    <w:rsid w:val="00941D1F"/>
    <w:rsid w:val="0094366C"/>
    <w:rsid w:val="0094647A"/>
    <w:rsid w:val="0094666B"/>
    <w:rsid w:val="0094696A"/>
    <w:rsid w:val="009479C0"/>
    <w:rsid w:val="00950914"/>
    <w:rsid w:val="00950C51"/>
    <w:rsid w:val="00951973"/>
    <w:rsid w:val="009519D6"/>
    <w:rsid w:val="0095252E"/>
    <w:rsid w:val="00952591"/>
    <w:rsid w:val="00952C90"/>
    <w:rsid w:val="00953ADF"/>
    <w:rsid w:val="00953B55"/>
    <w:rsid w:val="0095579B"/>
    <w:rsid w:val="00957E73"/>
    <w:rsid w:val="00960FE5"/>
    <w:rsid w:val="0096135C"/>
    <w:rsid w:val="009647C9"/>
    <w:rsid w:val="00964EE9"/>
    <w:rsid w:val="00971463"/>
    <w:rsid w:val="009746D7"/>
    <w:rsid w:val="009808B4"/>
    <w:rsid w:val="00983391"/>
    <w:rsid w:val="009842CF"/>
    <w:rsid w:val="00984821"/>
    <w:rsid w:val="0099075C"/>
    <w:rsid w:val="00992AAE"/>
    <w:rsid w:val="009961A7"/>
    <w:rsid w:val="0099716A"/>
    <w:rsid w:val="009A0593"/>
    <w:rsid w:val="009A2797"/>
    <w:rsid w:val="009A2C14"/>
    <w:rsid w:val="009A2DB6"/>
    <w:rsid w:val="009A30C5"/>
    <w:rsid w:val="009A3D97"/>
    <w:rsid w:val="009A3ED6"/>
    <w:rsid w:val="009A598B"/>
    <w:rsid w:val="009A698B"/>
    <w:rsid w:val="009A7B8F"/>
    <w:rsid w:val="009B2A54"/>
    <w:rsid w:val="009B2D86"/>
    <w:rsid w:val="009B3F94"/>
    <w:rsid w:val="009B5E70"/>
    <w:rsid w:val="009B621A"/>
    <w:rsid w:val="009B672F"/>
    <w:rsid w:val="009B6EAB"/>
    <w:rsid w:val="009B718D"/>
    <w:rsid w:val="009C0BCC"/>
    <w:rsid w:val="009C3FA3"/>
    <w:rsid w:val="009C45D9"/>
    <w:rsid w:val="009C4C6A"/>
    <w:rsid w:val="009C6530"/>
    <w:rsid w:val="009C6F32"/>
    <w:rsid w:val="009D18E7"/>
    <w:rsid w:val="009D1B1C"/>
    <w:rsid w:val="009D2BEF"/>
    <w:rsid w:val="009D358E"/>
    <w:rsid w:val="009D3EC3"/>
    <w:rsid w:val="009D7187"/>
    <w:rsid w:val="009D783B"/>
    <w:rsid w:val="009E01DD"/>
    <w:rsid w:val="009E42DC"/>
    <w:rsid w:val="009E547A"/>
    <w:rsid w:val="009E5FED"/>
    <w:rsid w:val="009F06DB"/>
    <w:rsid w:val="009F30C8"/>
    <w:rsid w:val="009F4054"/>
    <w:rsid w:val="009F4DCB"/>
    <w:rsid w:val="009F58D8"/>
    <w:rsid w:val="009F7E53"/>
    <w:rsid w:val="00A02F7D"/>
    <w:rsid w:val="00A03791"/>
    <w:rsid w:val="00A06657"/>
    <w:rsid w:val="00A1297B"/>
    <w:rsid w:val="00A12DA0"/>
    <w:rsid w:val="00A13B72"/>
    <w:rsid w:val="00A15723"/>
    <w:rsid w:val="00A16DFA"/>
    <w:rsid w:val="00A17C0A"/>
    <w:rsid w:val="00A22844"/>
    <w:rsid w:val="00A22FA7"/>
    <w:rsid w:val="00A238D0"/>
    <w:rsid w:val="00A25B86"/>
    <w:rsid w:val="00A31572"/>
    <w:rsid w:val="00A33919"/>
    <w:rsid w:val="00A346B2"/>
    <w:rsid w:val="00A3601F"/>
    <w:rsid w:val="00A36968"/>
    <w:rsid w:val="00A41149"/>
    <w:rsid w:val="00A41645"/>
    <w:rsid w:val="00A44745"/>
    <w:rsid w:val="00A44F15"/>
    <w:rsid w:val="00A45686"/>
    <w:rsid w:val="00A47B7B"/>
    <w:rsid w:val="00A50621"/>
    <w:rsid w:val="00A53101"/>
    <w:rsid w:val="00A5373A"/>
    <w:rsid w:val="00A54175"/>
    <w:rsid w:val="00A5621D"/>
    <w:rsid w:val="00A56809"/>
    <w:rsid w:val="00A60D9A"/>
    <w:rsid w:val="00A63A07"/>
    <w:rsid w:val="00A654A2"/>
    <w:rsid w:val="00A6626A"/>
    <w:rsid w:val="00A67183"/>
    <w:rsid w:val="00A70079"/>
    <w:rsid w:val="00A75468"/>
    <w:rsid w:val="00A76391"/>
    <w:rsid w:val="00A76452"/>
    <w:rsid w:val="00A77B19"/>
    <w:rsid w:val="00A819C3"/>
    <w:rsid w:val="00A83F5F"/>
    <w:rsid w:val="00A84DF8"/>
    <w:rsid w:val="00A86D3D"/>
    <w:rsid w:val="00A9013E"/>
    <w:rsid w:val="00A915F3"/>
    <w:rsid w:val="00A94B17"/>
    <w:rsid w:val="00A94F1F"/>
    <w:rsid w:val="00A95347"/>
    <w:rsid w:val="00AA349C"/>
    <w:rsid w:val="00AA471D"/>
    <w:rsid w:val="00AA4B1C"/>
    <w:rsid w:val="00AA6188"/>
    <w:rsid w:val="00AA7E33"/>
    <w:rsid w:val="00AB265E"/>
    <w:rsid w:val="00AB2948"/>
    <w:rsid w:val="00AB39FA"/>
    <w:rsid w:val="00AB3B30"/>
    <w:rsid w:val="00AB426C"/>
    <w:rsid w:val="00AB451C"/>
    <w:rsid w:val="00AB59F2"/>
    <w:rsid w:val="00AB7C4F"/>
    <w:rsid w:val="00AC3E62"/>
    <w:rsid w:val="00AC55CF"/>
    <w:rsid w:val="00AC5AF9"/>
    <w:rsid w:val="00AC6192"/>
    <w:rsid w:val="00AD014D"/>
    <w:rsid w:val="00AD2F03"/>
    <w:rsid w:val="00AD57FE"/>
    <w:rsid w:val="00AD5C8B"/>
    <w:rsid w:val="00AD6933"/>
    <w:rsid w:val="00AD6B7B"/>
    <w:rsid w:val="00AD7CAB"/>
    <w:rsid w:val="00AE0D6A"/>
    <w:rsid w:val="00AE10BE"/>
    <w:rsid w:val="00AE1460"/>
    <w:rsid w:val="00AE16C9"/>
    <w:rsid w:val="00AE3EF5"/>
    <w:rsid w:val="00AE4F2A"/>
    <w:rsid w:val="00AE5F33"/>
    <w:rsid w:val="00AE769B"/>
    <w:rsid w:val="00AF0AD5"/>
    <w:rsid w:val="00AF15E6"/>
    <w:rsid w:val="00AF4044"/>
    <w:rsid w:val="00AF51E7"/>
    <w:rsid w:val="00AF6744"/>
    <w:rsid w:val="00B05620"/>
    <w:rsid w:val="00B0674C"/>
    <w:rsid w:val="00B12618"/>
    <w:rsid w:val="00B12962"/>
    <w:rsid w:val="00B12E05"/>
    <w:rsid w:val="00B12EBE"/>
    <w:rsid w:val="00B14973"/>
    <w:rsid w:val="00B16431"/>
    <w:rsid w:val="00B166A4"/>
    <w:rsid w:val="00B170BA"/>
    <w:rsid w:val="00B20B80"/>
    <w:rsid w:val="00B219B7"/>
    <w:rsid w:val="00B24562"/>
    <w:rsid w:val="00B25038"/>
    <w:rsid w:val="00B27FF1"/>
    <w:rsid w:val="00B3159A"/>
    <w:rsid w:val="00B31EFC"/>
    <w:rsid w:val="00B33465"/>
    <w:rsid w:val="00B35531"/>
    <w:rsid w:val="00B35C09"/>
    <w:rsid w:val="00B36B9D"/>
    <w:rsid w:val="00B379C5"/>
    <w:rsid w:val="00B4054E"/>
    <w:rsid w:val="00B4183F"/>
    <w:rsid w:val="00B42198"/>
    <w:rsid w:val="00B427FC"/>
    <w:rsid w:val="00B444DE"/>
    <w:rsid w:val="00B46AD2"/>
    <w:rsid w:val="00B46D22"/>
    <w:rsid w:val="00B51A4D"/>
    <w:rsid w:val="00B51F64"/>
    <w:rsid w:val="00B53F3B"/>
    <w:rsid w:val="00B545A3"/>
    <w:rsid w:val="00B56196"/>
    <w:rsid w:val="00B613FC"/>
    <w:rsid w:val="00B6192B"/>
    <w:rsid w:val="00B626EA"/>
    <w:rsid w:val="00B64B27"/>
    <w:rsid w:val="00B64BBE"/>
    <w:rsid w:val="00B67DE1"/>
    <w:rsid w:val="00B70CC6"/>
    <w:rsid w:val="00B73681"/>
    <w:rsid w:val="00B73894"/>
    <w:rsid w:val="00B7679A"/>
    <w:rsid w:val="00B8193F"/>
    <w:rsid w:val="00B82A82"/>
    <w:rsid w:val="00B8375D"/>
    <w:rsid w:val="00B8464A"/>
    <w:rsid w:val="00B8473D"/>
    <w:rsid w:val="00B8504F"/>
    <w:rsid w:val="00B8621D"/>
    <w:rsid w:val="00B90410"/>
    <w:rsid w:val="00B90E10"/>
    <w:rsid w:val="00B952C0"/>
    <w:rsid w:val="00B964CA"/>
    <w:rsid w:val="00BA31C4"/>
    <w:rsid w:val="00BA4655"/>
    <w:rsid w:val="00BA78B6"/>
    <w:rsid w:val="00BA7935"/>
    <w:rsid w:val="00BB047B"/>
    <w:rsid w:val="00BB3968"/>
    <w:rsid w:val="00BB4818"/>
    <w:rsid w:val="00BB4AF3"/>
    <w:rsid w:val="00BB6398"/>
    <w:rsid w:val="00BC0221"/>
    <w:rsid w:val="00BC09A9"/>
    <w:rsid w:val="00BC25EF"/>
    <w:rsid w:val="00BC2DAF"/>
    <w:rsid w:val="00BC4FD3"/>
    <w:rsid w:val="00BC6827"/>
    <w:rsid w:val="00BC6C7A"/>
    <w:rsid w:val="00BC7D9E"/>
    <w:rsid w:val="00BD0372"/>
    <w:rsid w:val="00BD2A91"/>
    <w:rsid w:val="00BD3F1D"/>
    <w:rsid w:val="00BD44F5"/>
    <w:rsid w:val="00BE0321"/>
    <w:rsid w:val="00BE1E02"/>
    <w:rsid w:val="00BE4340"/>
    <w:rsid w:val="00BE5C41"/>
    <w:rsid w:val="00BE709D"/>
    <w:rsid w:val="00BF0306"/>
    <w:rsid w:val="00BF0646"/>
    <w:rsid w:val="00BF1C32"/>
    <w:rsid w:val="00BF2034"/>
    <w:rsid w:val="00BF76A6"/>
    <w:rsid w:val="00C0068D"/>
    <w:rsid w:val="00C01F23"/>
    <w:rsid w:val="00C044BE"/>
    <w:rsid w:val="00C04BAB"/>
    <w:rsid w:val="00C0607B"/>
    <w:rsid w:val="00C06DEF"/>
    <w:rsid w:val="00C075A2"/>
    <w:rsid w:val="00C07A1C"/>
    <w:rsid w:val="00C107CB"/>
    <w:rsid w:val="00C10C8C"/>
    <w:rsid w:val="00C118C4"/>
    <w:rsid w:val="00C11F58"/>
    <w:rsid w:val="00C120D7"/>
    <w:rsid w:val="00C132D1"/>
    <w:rsid w:val="00C139CA"/>
    <w:rsid w:val="00C13A7D"/>
    <w:rsid w:val="00C241A8"/>
    <w:rsid w:val="00C24ABA"/>
    <w:rsid w:val="00C261FA"/>
    <w:rsid w:val="00C264CB"/>
    <w:rsid w:val="00C31253"/>
    <w:rsid w:val="00C35129"/>
    <w:rsid w:val="00C36A67"/>
    <w:rsid w:val="00C41197"/>
    <w:rsid w:val="00C419DB"/>
    <w:rsid w:val="00C41FB5"/>
    <w:rsid w:val="00C43818"/>
    <w:rsid w:val="00C44664"/>
    <w:rsid w:val="00C46C56"/>
    <w:rsid w:val="00C476F1"/>
    <w:rsid w:val="00C51429"/>
    <w:rsid w:val="00C51E8F"/>
    <w:rsid w:val="00C52CE9"/>
    <w:rsid w:val="00C52FC0"/>
    <w:rsid w:val="00C53F9E"/>
    <w:rsid w:val="00C559E9"/>
    <w:rsid w:val="00C608C1"/>
    <w:rsid w:val="00C63D4E"/>
    <w:rsid w:val="00C63EA9"/>
    <w:rsid w:val="00C65DDD"/>
    <w:rsid w:val="00C665A0"/>
    <w:rsid w:val="00C67725"/>
    <w:rsid w:val="00C700F3"/>
    <w:rsid w:val="00C7092F"/>
    <w:rsid w:val="00C76DDA"/>
    <w:rsid w:val="00C77228"/>
    <w:rsid w:val="00C807B3"/>
    <w:rsid w:val="00C825C9"/>
    <w:rsid w:val="00C86CC3"/>
    <w:rsid w:val="00C86E37"/>
    <w:rsid w:val="00C8738E"/>
    <w:rsid w:val="00C901B1"/>
    <w:rsid w:val="00C90EBC"/>
    <w:rsid w:val="00C91B69"/>
    <w:rsid w:val="00CA3856"/>
    <w:rsid w:val="00CA4204"/>
    <w:rsid w:val="00CA5A3F"/>
    <w:rsid w:val="00CA67E0"/>
    <w:rsid w:val="00CA79DF"/>
    <w:rsid w:val="00CB0122"/>
    <w:rsid w:val="00CB0269"/>
    <w:rsid w:val="00CB0833"/>
    <w:rsid w:val="00CB1223"/>
    <w:rsid w:val="00CB18F5"/>
    <w:rsid w:val="00CB664C"/>
    <w:rsid w:val="00CC008E"/>
    <w:rsid w:val="00CC02ED"/>
    <w:rsid w:val="00CC10DC"/>
    <w:rsid w:val="00CC63EB"/>
    <w:rsid w:val="00CD022A"/>
    <w:rsid w:val="00CD03BE"/>
    <w:rsid w:val="00CD0707"/>
    <w:rsid w:val="00CD12AD"/>
    <w:rsid w:val="00CD1A25"/>
    <w:rsid w:val="00CD1E98"/>
    <w:rsid w:val="00CD2E16"/>
    <w:rsid w:val="00CD42A6"/>
    <w:rsid w:val="00CD5D0A"/>
    <w:rsid w:val="00CD65E7"/>
    <w:rsid w:val="00CD7BFC"/>
    <w:rsid w:val="00CE19CB"/>
    <w:rsid w:val="00CE2B95"/>
    <w:rsid w:val="00CE2F1A"/>
    <w:rsid w:val="00CE4AE5"/>
    <w:rsid w:val="00CE5E84"/>
    <w:rsid w:val="00CF1551"/>
    <w:rsid w:val="00CF1A11"/>
    <w:rsid w:val="00CF30FC"/>
    <w:rsid w:val="00CF4286"/>
    <w:rsid w:val="00CF4AC5"/>
    <w:rsid w:val="00CF5218"/>
    <w:rsid w:val="00CF5CB2"/>
    <w:rsid w:val="00D0032F"/>
    <w:rsid w:val="00D00E2B"/>
    <w:rsid w:val="00D019BA"/>
    <w:rsid w:val="00D01B9F"/>
    <w:rsid w:val="00D03939"/>
    <w:rsid w:val="00D03B38"/>
    <w:rsid w:val="00D03F87"/>
    <w:rsid w:val="00D04A9D"/>
    <w:rsid w:val="00D04CD4"/>
    <w:rsid w:val="00D07174"/>
    <w:rsid w:val="00D11359"/>
    <w:rsid w:val="00D11CEB"/>
    <w:rsid w:val="00D12095"/>
    <w:rsid w:val="00D13511"/>
    <w:rsid w:val="00D138AD"/>
    <w:rsid w:val="00D14E64"/>
    <w:rsid w:val="00D21AEC"/>
    <w:rsid w:val="00D22D06"/>
    <w:rsid w:val="00D23610"/>
    <w:rsid w:val="00D24772"/>
    <w:rsid w:val="00D2552C"/>
    <w:rsid w:val="00D26E91"/>
    <w:rsid w:val="00D272A6"/>
    <w:rsid w:val="00D30DA5"/>
    <w:rsid w:val="00D3441D"/>
    <w:rsid w:val="00D355C4"/>
    <w:rsid w:val="00D35CCD"/>
    <w:rsid w:val="00D3612A"/>
    <w:rsid w:val="00D3614C"/>
    <w:rsid w:val="00D36AB7"/>
    <w:rsid w:val="00D37703"/>
    <w:rsid w:val="00D37DBF"/>
    <w:rsid w:val="00D37F25"/>
    <w:rsid w:val="00D42F4F"/>
    <w:rsid w:val="00D42F9B"/>
    <w:rsid w:val="00D44141"/>
    <w:rsid w:val="00D469E3"/>
    <w:rsid w:val="00D54FEB"/>
    <w:rsid w:val="00D56A53"/>
    <w:rsid w:val="00D6324F"/>
    <w:rsid w:val="00D63458"/>
    <w:rsid w:val="00D66D37"/>
    <w:rsid w:val="00D66DCC"/>
    <w:rsid w:val="00D70D3B"/>
    <w:rsid w:val="00D71AD8"/>
    <w:rsid w:val="00D750CC"/>
    <w:rsid w:val="00D758DC"/>
    <w:rsid w:val="00D84369"/>
    <w:rsid w:val="00D8465B"/>
    <w:rsid w:val="00D84C8F"/>
    <w:rsid w:val="00D873AD"/>
    <w:rsid w:val="00D8792B"/>
    <w:rsid w:val="00D90BEE"/>
    <w:rsid w:val="00D91AAC"/>
    <w:rsid w:val="00D91C06"/>
    <w:rsid w:val="00D91C9F"/>
    <w:rsid w:val="00D93FD1"/>
    <w:rsid w:val="00DA08F5"/>
    <w:rsid w:val="00DA2ADC"/>
    <w:rsid w:val="00DA76BB"/>
    <w:rsid w:val="00DB01E2"/>
    <w:rsid w:val="00DB0764"/>
    <w:rsid w:val="00DB0AA5"/>
    <w:rsid w:val="00DB0FE2"/>
    <w:rsid w:val="00DB3506"/>
    <w:rsid w:val="00DB7108"/>
    <w:rsid w:val="00DB7A9A"/>
    <w:rsid w:val="00DC3177"/>
    <w:rsid w:val="00DC3276"/>
    <w:rsid w:val="00DD034C"/>
    <w:rsid w:val="00DD11CC"/>
    <w:rsid w:val="00DD13AB"/>
    <w:rsid w:val="00DD2841"/>
    <w:rsid w:val="00DD37D8"/>
    <w:rsid w:val="00DD4D75"/>
    <w:rsid w:val="00DD4EB5"/>
    <w:rsid w:val="00DD5902"/>
    <w:rsid w:val="00DE01A4"/>
    <w:rsid w:val="00DE3E40"/>
    <w:rsid w:val="00DE4597"/>
    <w:rsid w:val="00DE643F"/>
    <w:rsid w:val="00DF12F6"/>
    <w:rsid w:val="00DF52EF"/>
    <w:rsid w:val="00DF6840"/>
    <w:rsid w:val="00E010AB"/>
    <w:rsid w:val="00E015AD"/>
    <w:rsid w:val="00E01EEB"/>
    <w:rsid w:val="00E0233F"/>
    <w:rsid w:val="00E02678"/>
    <w:rsid w:val="00E050EC"/>
    <w:rsid w:val="00E06262"/>
    <w:rsid w:val="00E0748A"/>
    <w:rsid w:val="00E128A9"/>
    <w:rsid w:val="00E13AC0"/>
    <w:rsid w:val="00E13B55"/>
    <w:rsid w:val="00E143DA"/>
    <w:rsid w:val="00E14BA3"/>
    <w:rsid w:val="00E162D6"/>
    <w:rsid w:val="00E16744"/>
    <w:rsid w:val="00E22460"/>
    <w:rsid w:val="00E224EB"/>
    <w:rsid w:val="00E25953"/>
    <w:rsid w:val="00E27F5A"/>
    <w:rsid w:val="00E31E3E"/>
    <w:rsid w:val="00E32BEA"/>
    <w:rsid w:val="00E32F5B"/>
    <w:rsid w:val="00E3799F"/>
    <w:rsid w:val="00E37DA2"/>
    <w:rsid w:val="00E40118"/>
    <w:rsid w:val="00E4121B"/>
    <w:rsid w:val="00E42FA4"/>
    <w:rsid w:val="00E43ACF"/>
    <w:rsid w:val="00E43B5E"/>
    <w:rsid w:val="00E44A6C"/>
    <w:rsid w:val="00E45861"/>
    <w:rsid w:val="00E45864"/>
    <w:rsid w:val="00E4622C"/>
    <w:rsid w:val="00E47F40"/>
    <w:rsid w:val="00E51FFB"/>
    <w:rsid w:val="00E52DD3"/>
    <w:rsid w:val="00E5471E"/>
    <w:rsid w:val="00E549AB"/>
    <w:rsid w:val="00E558A4"/>
    <w:rsid w:val="00E576D9"/>
    <w:rsid w:val="00E62021"/>
    <w:rsid w:val="00E626E3"/>
    <w:rsid w:val="00E65C76"/>
    <w:rsid w:val="00E65EA1"/>
    <w:rsid w:val="00E6605D"/>
    <w:rsid w:val="00E6611F"/>
    <w:rsid w:val="00E67A03"/>
    <w:rsid w:val="00E712E4"/>
    <w:rsid w:val="00E7178C"/>
    <w:rsid w:val="00E71F53"/>
    <w:rsid w:val="00E73C32"/>
    <w:rsid w:val="00E81C89"/>
    <w:rsid w:val="00E86FB2"/>
    <w:rsid w:val="00E9168B"/>
    <w:rsid w:val="00E91A28"/>
    <w:rsid w:val="00E923A0"/>
    <w:rsid w:val="00E9265B"/>
    <w:rsid w:val="00E95253"/>
    <w:rsid w:val="00E95569"/>
    <w:rsid w:val="00E95FBB"/>
    <w:rsid w:val="00E978F3"/>
    <w:rsid w:val="00EA1CB1"/>
    <w:rsid w:val="00EA1F24"/>
    <w:rsid w:val="00EA2A01"/>
    <w:rsid w:val="00EA4995"/>
    <w:rsid w:val="00EA6125"/>
    <w:rsid w:val="00EA7252"/>
    <w:rsid w:val="00EB5573"/>
    <w:rsid w:val="00EC0435"/>
    <w:rsid w:val="00EC04E1"/>
    <w:rsid w:val="00EC0898"/>
    <w:rsid w:val="00EC7062"/>
    <w:rsid w:val="00EC7180"/>
    <w:rsid w:val="00ED209D"/>
    <w:rsid w:val="00ED3103"/>
    <w:rsid w:val="00ED3839"/>
    <w:rsid w:val="00ED418D"/>
    <w:rsid w:val="00ED46C4"/>
    <w:rsid w:val="00ED5F88"/>
    <w:rsid w:val="00ED664B"/>
    <w:rsid w:val="00ED7359"/>
    <w:rsid w:val="00ED7C2E"/>
    <w:rsid w:val="00EE00FF"/>
    <w:rsid w:val="00EE3CD4"/>
    <w:rsid w:val="00EE5111"/>
    <w:rsid w:val="00EF0F98"/>
    <w:rsid w:val="00EF157F"/>
    <w:rsid w:val="00EF2730"/>
    <w:rsid w:val="00EF28D7"/>
    <w:rsid w:val="00EF3129"/>
    <w:rsid w:val="00EF38B1"/>
    <w:rsid w:val="00F01D63"/>
    <w:rsid w:val="00F03786"/>
    <w:rsid w:val="00F03AB8"/>
    <w:rsid w:val="00F04480"/>
    <w:rsid w:val="00F049DA"/>
    <w:rsid w:val="00F05E37"/>
    <w:rsid w:val="00F06148"/>
    <w:rsid w:val="00F07897"/>
    <w:rsid w:val="00F07EF7"/>
    <w:rsid w:val="00F112AC"/>
    <w:rsid w:val="00F130AD"/>
    <w:rsid w:val="00F1537A"/>
    <w:rsid w:val="00F2002D"/>
    <w:rsid w:val="00F20106"/>
    <w:rsid w:val="00F21028"/>
    <w:rsid w:val="00F22093"/>
    <w:rsid w:val="00F227E8"/>
    <w:rsid w:val="00F24647"/>
    <w:rsid w:val="00F26374"/>
    <w:rsid w:val="00F26A9F"/>
    <w:rsid w:val="00F30DE4"/>
    <w:rsid w:val="00F321C5"/>
    <w:rsid w:val="00F331B5"/>
    <w:rsid w:val="00F34ADB"/>
    <w:rsid w:val="00F34AF9"/>
    <w:rsid w:val="00F40998"/>
    <w:rsid w:val="00F41E62"/>
    <w:rsid w:val="00F42BE1"/>
    <w:rsid w:val="00F45725"/>
    <w:rsid w:val="00F47B58"/>
    <w:rsid w:val="00F47BED"/>
    <w:rsid w:val="00F514AD"/>
    <w:rsid w:val="00F53521"/>
    <w:rsid w:val="00F53991"/>
    <w:rsid w:val="00F61722"/>
    <w:rsid w:val="00F617C6"/>
    <w:rsid w:val="00F6208E"/>
    <w:rsid w:val="00F66A33"/>
    <w:rsid w:val="00F66F7C"/>
    <w:rsid w:val="00F70936"/>
    <w:rsid w:val="00F70BA5"/>
    <w:rsid w:val="00F71818"/>
    <w:rsid w:val="00F729C4"/>
    <w:rsid w:val="00F73842"/>
    <w:rsid w:val="00F73B39"/>
    <w:rsid w:val="00F74981"/>
    <w:rsid w:val="00F75C04"/>
    <w:rsid w:val="00F77107"/>
    <w:rsid w:val="00F81F50"/>
    <w:rsid w:val="00F83DC2"/>
    <w:rsid w:val="00F90105"/>
    <w:rsid w:val="00F90692"/>
    <w:rsid w:val="00F9073D"/>
    <w:rsid w:val="00F92173"/>
    <w:rsid w:val="00F95594"/>
    <w:rsid w:val="00F95772"/>
    <w:rsid w:val="00FA27ED"/>
    <w:rsid w:val="00FA4F90"/>
    <w:rsid w:val="00FA69DC"/>
    <w:rsid w:val="00FB2CA2"/>
    <w:rsid w:val="00FB380A"/>
    <w:rsid w:val="00FB4289"/>
    <w:rsid w:val="00FB53BF"/>
    <w:rsid w:val="00FC0149"/>
    <w:rsid w:val="00FC1824"/>
    <w:rsid w:val="00FC2985"/>
    <w:rsid w:val="00FC42D5"/>
    <w:rsid w:val="00FC7254"/>
    <w:rsid w:val="00FD008B"/>
    <w:rsid w:val="00FD0E0E"/>
    <w:rsid w:val="00FD12A2"/>
    <w:rsid w:val="00FD424D"/>
    <w:rsid w:val="00FD5803"/>
    <w:rsid w:val="00FD6220"/>
    <w:rsid w:val="00FD7007"/>
    <w:rsid w:val="00FD70A0"/>
    <w:rsid w:val="00FE2CE3"/>
    <w:rsid w:val="00FE2CF0"/>
    <w:rsid w:val="00FE4BDD"/>
    <w:rsid w:val="00FE7F11"/>
    <w:rsid w:val="00FF20D4"/>
    <w:rsid w:val="00FF2AF6"/>
    <w:rsid w:val="00FF3F44"/>
    <w:rsid w:val="00FF491C"/>
    <w:rsid w:val="00FF5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D6D0550"/>
  <w15:chartTrackingRefBased/>
  <w15:docId w15:val="{7EC40C44-1A47-4B24-8CEB-F95A73DF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F81F50"/>
    <w:pPr>
      <w:keepNext/>
      <w:spacing w:before="240" w:after="60" w:line="360" w:lineRule="auto"/>
      <w:outlineLvl w:val="2"/>
    </w:pPr>
    <w:rPr>
      <w:rFonts w:ascii="Arial" w:hAnsi="Arial" w:cs="Arial"/>
      <w:b/>
      <w:bCs/>
    </w:rPr>
  </w:style>
  <w:style w:type="paragraph" w:styleId="Heading4">
    <w:name w:val="heading 4"/>
    <w:basedOn w:val="Normal"/>
    <w:next w:val="NICEnormal"/>
    <w:qFormat/>
    <w:rsid w:val="00F81F5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21"/>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link w:val="Numberedlevel2textChar"/>
    <w:qFormat/>
    <w:rsid w:val="00F81F50"/>
    <w:pPr>
      <w:spacing w:before="0" w:after="240"/>
    </w:pPr>
    <w:rPr>
      <w:b w:val="0"/>
      <w:sz w:val="24"/>
    </w:rPr>
  </w:style>
  <w:style w:type="character" w:customStyle="1" w:styleId="Numberedlevel2textChar">
    <w:name w:val="Numbered level 2 text Char"/>
    <w:link w:val="Numberedlevel2text"/>
    <w:qFormat/>
    <w:rsid w:val="00034110"/>
    <w:rPr>
      <w:rFonts w:ascii="Arial" w:hAnsi="Arial" w:cs="Arial"/>
      <w:bCs/>
      <w:sz w:val="24"/>
      <w:szCs w:val="28"/>
      <w:lang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pPr>
      <w:numPr>
        <w:ilvl w:val="1"/>
        <w:numId w:val="21"/>
      </w:numPr>
    </w:pPr>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F81F50"/>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F81F50"/>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F81F5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F81F50"/>
    <w:pPr>
      <w:numPr>
        <w:numId w:val="22"/>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F81F50"/>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Paragraphnonumbers">
    <w:name w:val="Paragraph no numbers"/>
    <w:basedOn w:val="Normal"/>
    <w:uiPriority w:val="99"/>
    <w:qFormat/>
    <w:rsid w:val="00A31572"/>
    <w:pPr>
      <w:spacing w:after="240" w:line="276" w:lineRule="auto"/>
    </w:pPr>
    <w:rPr>
      <w:rFonts w:ascii="Arial" w:hAnsi="Arial"/>
      <w:lang w:eastAsia="en-GB"/>
    </w:rPr>
  </w:style>
  <w:style w:type="paragraph" w:styleId="NormalWeb">
    <w:name w:val="Normal (Web)"/>
    <w:basedOn w:val="Normal"/>
    <w:uiPriority w:val="99"/>
    <w:unhideWhenUsed/>
    <w:rsid w:val="007F2F0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68183456">
      <w:bodyDiv w:val="1"/>
      <w:marLeft w:val="0"/>
      <w:marRight w:val="0"/>
      <w:marTop w:val="0"/>
      <w:marBottom w:val="0"/>
      <w:divBdr>
        <w:top w:val="none" w:sz="0" w:space="0" w:color="auto"/>
        <w:left w:val="none" w:sz="0" w:space="0" w:color="auto"/>
        <w:bottom w:val="none" w:sz="0" w:space="0" w:color="auto"/>
        <w:right w:val="none" w:sz="0" w:space="0" w:color="auto"/>
      </w:divBdr>
    </w:div>
    <w:div w:id="380906913">
      <w:bodyDiv w:val="1"/>
      <w:marLeft w:val="0"/>
      <w:marRight w:val="0"/>
      <w:marTop w:val="0"/>
      <w:marBottom w:val="0"/>
      <w:divBdr>
        <w:top w:val="none" w:sz="0" w:space="0" w:color="auto"/>
        <w:left w:val="none" w:sz="0" w:space="0" w:color="auto"/>
        <w:bottom w:val="none" w:sz="0" w:space="0" w:color="auto"/>
        <w:right w:val="none" w:sz="0" w:space="0" w:color="auto"/>
      </w:divBdr>
    </w:div>
    <w:div w:id="566303338">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341740472">
      <w:bodyDiv w:val="1"/>
      <w:marLeft w:val="0"/>
      <w:marRight w:val="0"/>
      <w:marTop w:val="0"/>
      <w:marBottom w:val="0"/>
      <w:divBdr>
        <w:top w:val="none" w:sz="0" w:space="0" w:color="auto"/>
        <w:left w:val="none" w:sz="0" w:space="0" w:color="auto"/>
        <w:bottom w:val="none" w:sz="0" w:space="0" w:color="auto"/>
        <w:right w:val="none" w:sz="0" w:space="0" w:color="auto"/>
      </w:divBdr>
    </w:div>
    <w:div w:id="1640182494">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27944797">
      <w:bodyDiv w:val="1"/>
      <w:marLeft w:val="0"/>
      <w:marRight w:val="0"/>
      <w:marTop w:val="0"/>
      <w:marBottom w:val="0"/>
      <w:divBdr>
        <w:top w:val="none" w:sz="0" w:space="0" w:color="auto"/>
        <w:left w:val="none" w:sz="0" w:space="0" w:color="auto"/>
        <w:bottom w:val="none" w:sz="0" w:space="0" w:color="auto"/>
        <w:right w:val="none" w:sz="0" w:space="0" w:color="auto"/>
      </w:divBdr>
      <w:divsChild>
        <w:div w:id="1194618003">
          <w:marLeft w:val="547"/>
          <w:marRight w:val="0"/>
          <w:marTop w:val="0"/>
          <w:marBottom w:val="12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ines.org.uk/emc/product/5061" TargetMode="External"/><Relationship Id="rId13" Type="http://schemas.openxmlformats.org/officeDocument/2006/relationships/hyperlink" Target="https://www.nice.org.uk/guidance/ta586" TargetMode="External"/><Relationship Id="rId18" Type="http://schemas.openxmlformats.org/officeDocument/2006/relationships/hyperlink" Target="https://www.nice.org.uk/process/pmg9/chapter/the-appraisal-of-the-evidence-and-structured-decision-mak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ice.org.uk/Get-Involved/Meetings-in-public/Technology-appraisal-Committee/Committee-C-Members" TargetMode="External"/><Relationship Id="rId7" Type="http://schemas.openxmlformats.org/officeDocument/2006/relationships/endnotes" Target="endnotes.xml"/><Relationship Id="rId12" Type="http://schemas.openxmlformats.org/officeDocument/2006/relationships/hyperlink" Target="https://www.nice.org.uk/guidance/ta457" TargetMode="External"/><Relationship Id="rId17" Type="http://schemas.openxmlformats.org/officeDocument/2006/relationships/hyperlink" Target="https://www.medicines.org.uk/emc/medicine/312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uidance/ta457" TargetMode="External"/><Relationship Id="rId20" Type="http://schemas.openxmlformats.org/officeDocument/2006/relationships/hyperlink" Target="https://www.nice.org.uk/about/what-we-do/our-programmes/nice-guidance/nice-technology-appraisal-guidance/cancer-drugs-f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12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ta573" TargetMode="External"/><Relationship Id="rId23" Type="http://schemas.openxmlformats.org/officeDocument/2006/relationships/header" Target="header1.xml"/><Relationship Id="rId10" Type="http://schemas.openxmlformats.org/officeDocument/2006/relationships/hyperlink" Target="https://www.nice.org.uk/guidance/TA573" TargetMode="External"/><Relationship Id="rId19" Type="http://schemas.openxmlformats.org/officeDocument/2006/relationships/hyperlink" Target="https://www.nice.org.uk/process/pmg9/chapter/the-appraisal-of-the-evidence-and-structured-decision-making" TargetMode="External"/><Relationship Id="rId4" Type="http://schemas.openxmlformats.org/officeDocument/2006/relationships/settings" Target="settings.xml"/><Relationship Id="rId9" Type="http://schemas.openxmlformats.org/officeDocument/2006/relationships/hyperlink" Target="https://www.nice.org.uk/guidance/indevelopment/gid-ta10510/documents" TargetMode="External"/><Relationship Id="rId14" Type="http://schemas.openxmlformats.org/officeDocument/2006/relationships/hyperlink" Target="https://www.nice.org.uk/guidance/TA573" TargetMode="External"/><Relationship Id="rId22"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A8378-3CE3-F046-A3D6-60232D4C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3753</Words>
  <Characters>23038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26738</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Anita Sangha</dc:creator>
  <cp:keywords/>
  <cp:lastModifiedBy>Louise Jafferally</cp:lastModifiedBy>
  <cp:revision>2</cp:revision>
  <cp:lastPrinted>2020-09-14T12:27:00Z</cp:lastPrinted>
  <dcterms:created xsi:type="dcterms:W3CDTF">2020-09-14T12:28:00Z</dcterms:created>
  <dcterms:modified xsi:type="dcterms:W3CDTF">2020-09-14T12:28:00Z</dcterms:modified>
</cp:coreProperties>
</file>