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99918" w14:textId="77777777" w:rsidR="000F48EC" w:rsidRPr="0005586D" w:rsidRDefault="000F48EC" w:rsidP="0093671F">
      <w:pPr>
        <w:pStyle w:val="Title2"/>
      </w:pPr>
      <w:r w:rsidRPr="0005586D">
        <w:t>NATIONAL INSTITUTE FOR HEALTH AND C</w:t>
      </w:r>
      <w:r w:rsidR="00CC63EB" w:rsidRPr="0005586D">
        <w:t>ARE</w:t>
      </w:r>
      <w:r w:rsidRPr="0005586D">
        <w:t xml:space="preserve"> EXCELLENCE</w:t>
      </w:r>
    </w:p>
    <w:p w14:paraId="76F317AA" w14:textId="591FC6D5" w:rsidR="000F48EC" w:rsidRPr="0005586D" w:rsidRDefault="009611E6" w:rsidP="000069F9">
      <w:pPr>
        <w:pStyle w:val="Title2"/>
      </w:pPr>
      <w:r>
        <w:t>Appraisal consultation document</w:t>
      </w:r>
    </w:p>
    <w:p w14:paraId="357721CC" w14:textId="495FFE55" w:rsidR="007A2801" w:rsidRPr="0005586D" w:rsidRDefault="002D23AC" w:rsidP="00C16123">
      <w:pPr>
        <w:pStyle w:val="Title1"/>
      </w:pPr>
      <w:r w:rsidRPr="0005586D">
        <w:t>Andexanet alfa for reversing anticoagulation</w:t>
      </w:r>
      <w:r w:rsidR="00D16F71">
        <w:t xml:space="preserve"> </w:t>
      </w:r>
      <w:r w:rsidR="008C74AF">
        <w:t xml:space="preserve">from </w:t>
      </w:r>
      <w:r w:rsidR="00D16F71" w:rsidRPr="00D16F71">
        <w:t>apixaban or rivaroxaban</w:t>
      </w:r>
    </w:p>
    <w:p w14:paraId="7EC29E41" w14:textId="77777777" w:rsidR="00AA2CDC" w:rsidRDefault="00AA2CDC" w:rsidP="00AA2CDC">
      <w:pPr>
        <w:pStyle w:val="NICEnormalsinglespacing"/>
      </w:pPr>
    </w:p>
    <w:p w14:paraId="7208C9BF" w14:textId="157269BA" w:rsidR="009611E6" w:rsidRPr="0005586D" w:rsidRDefault="009611E6">
      <w:pPr>
        <w:rPr>
          <w:rFonts w:ascii="Arial" w:hAnsi="Arial"/>
        </w:rPr>
      </w:pPr>
      <w:r>
        <w:rPr>
          <w:rFonts w:ascii="Arial" w:hAnsi="Arial"/>
        </w:rPr>
        <w:br w:type="page"/>
      </w:r>
    </w:p>
    <w:p w14:paraId="6D15EA34" w14:textId="77777777" w:rsidR="000F48EC" w:rsidRPr="0005586D" w:rsidRDefault="00B379C5" w:rsidP="00F130AD">
      <w:pPr>
        <w:pStyle w:val="Numberedheading1"/>
      </w:pPr>
      <w:r w:rsidRPr="0005586D">
        <w:lastRenderedPageBreak/>
        <w:t>Recommendations</w:t>
      </w:r>
    </w:p>
    <w:p w14:paraId="2DE8523D" w14:textId="02ACF1DA" w:rsidR="00535EF6" w:rsidRDefault="005529D6" w:rsidP="005529D6">
      <w:pPr>
        <w:pStyle w:val="Numberedlevel2text"/>
        <w:rPr>
          <w:lang w:val="en-GB"/>
        </w:rPr>
      </w:pPr>
      <w:r>
        <w:rPr>
          <w:lang w:val="en-GB"/>
        </w:rPr>
        <w:t>Andexanet alfa is recommended as an option for reversing anticoagulation</w:t>
      </w:r>
      <w:r w:rsidR="00C85B6C">
        <w:rPr>
          <w:lang w:val="en-GB"/>
        </w:rPr>
        <w:t xml:space="preserve"> </w:t>
      </w:r>
      <w:r w:rsidR="008C74AF">
        <w:rPr>
          <w:lang w:val="en-GB"/>
        </w:rPr>
        <w:t>from</w:t>
      </w:r>
      <w:r w:rsidR="008C74AF" w:rsidRPr="00D16F71">
        <w:rPr>
          <w:lang w:val="en-GB"/>
        </w:rPr>
        <w:t xml:space="preserve"> </w:t>
      </w:r>
      <w:r w:rsidR="00D16F71" w:rsidRPr="00D16F71">
        <w:rPr>
          <w:lang w:val="en-GB"/>
        </w:rPr>
        <w:t>apixaban or rivaroxaban</w:t>
      </w:r>
      <w:r w:rsidR="00D16F71">
        <w:rPr>
          <w:lang w:val="en-GB"/>
        </w:rPr>
        <w:t xml:space="preserve"> </w:t>
      </w:r>
      <w:r w:rsidR="001F0B6F">
        <w:rPr>
          <w:lang w:val="en-GB"/>
        </w:rPr>
        <w:t xml:space="preserve">in </w:t>
      </w:r>
      <w:r w:rsidR="006D2463">
        <w:rPr>
          <w:lang w:val="en-GB"/>
        </w:rPr>
        <w:t xml:space="preserve">adults with </w:t>
      </w:r>
      <w:r w:rsidRPr="005529D6">
        <w:rPr>
          <w:lang w:val="en-GB"/>
        </w:rPr>
        <w:t>life-threatening or uncontrolled bleeding</w:t>
      </w:r>
      <w:r w:rsidR="00F2453C">
        <w:rPr>
          <w:lang w:val="en-GB"/>
        </w:rPr>
        <w:t>,</w:t>
      </w:r>
      <w:r w:rsidR="00535EF6">
        <w:rPr>
          <w:lang w:val="en-GB"/>
        </w:rPr>
        <w:t xml:space="preserve"> only if</w:t>
      </w:r>
      <w:r w:rsidR="006A5C66">
        <w:rPr>
          <w:lang w:val="en-GB"/>
        </w:rPr>
        <w:t>:</w:t>
      </w:r>
    </w:p>
    <w:p w14:paraId="5BEADE17" w14:textId="6A64F111" w:rsidR="005347DB" w:rsidRDefault="006D2463" w:rsidP="00C33627">
      <w:pPr>
        <w:pStyle w:val="Bulletindent1"/>
      </w:pPr>
      <w:r>
        <w:t xml:space="preserve">the </w:t>
      </w:r>
      <w:r w:rsidR="00535EF6">
        <w:t>bleed is in the gastrointestinal tract</w:t>
      </w:r>
      <w:r w:rsidR="00050252">
        <w:t xml:space="preserve"> and</w:t>
      </w:r>
    </w:p>
    <w:p w14:paraId="5C661A40" w14:textId="5ACD5E20" w:rsidR="00535EF6" w:rsidRPr="00535EF6" w:rsidRDefault="006D2463" w:rsidP="00C33627">
      <w:pPr>
        <w:pStyle w:val="Bulletindent1last"/>
      </w:pPr>
      <w:r>
        <w:t xml:space="preserve">the </w:t>
      </w:r>
      <w:r w:rsidR="00535EF6">
        <w:t>company prov</w:t>
      </w:r>
      <w:r w:rsidR="00AC7F1F">
        <w:t>id</w:t>
      </w:r>
      <w:r w:rsidR="00535EF6">
        <w:t>es andexanet alfa according to the commercial arrangement (see section 2)</w:t>
      </w:r>
      <w:r>
        <w:t>.</w:t>
      </w:r>
    </w:p>
    <w:p w14:paraId="2ED4C125" w14:textId="23EC3369" w:rsidR="005529D6" w:rsidRDefault="005529D6" w:rsidP="005529D6">
      <w:pPr>
        <w:pStyle w:val="Numberedlevel2text"/>
        <w:rPr>
          <w:lang w:val="en-GB"/>
        </w:rPr>
      </w:pPr>
      <w:r>
        <w:rPr>
          <w:lang w:val="en-GB"/>
        </w:rPr>
        <w:t>Andexanet alfa is recommended</w:t>
      </w:r>
      <w:r w:rsidR="00D16F71">
        <w:rPr>
          <w:lang w:val="en-GB"/>
        </w:rPr>
        <w:t xml:space="preserve"> </w:t>
      </w:r>
      <w:r w:rsidR="00D16F71" w:rsidRPr="00D16F71">
        <w:rPr>
          <w:lang w:val="en-GB"/>
        </w:rPr>
        <w:t>only in research</w:t>
      </w:r>
      <w:r w:rsidR="007B5CBF">
        <w:rPr>
          <w:lang w:val="en-GB"/>
        </w:rPr>
        <w:t xml:space="preserve"> </w:t>
      </w:r>
      <w:r>
        <w:rPr>
          <w:lang w:val="en-GB"/>
        </w:rPr>
        <w:t>for</w:t>
      </w:r>
      <w:r w:rsidR="007B5CBF">
        <w:rPr>
          <w:lang w:val="en-GB"/>
        </w:rPr>
        <w:t xml:space="preserve"> </w:t>
      </w:r>
      <w:r>
        <w:rPr>
          <w:lang w:val="en-GB"/>
        </w:rPr>
        <w:t>reversing anticoagulation</w:t>
      </w:r>
      <w:r w:rsidR="00C11321">
        <w:rPr>
          <w:lang w:val="en-GB"/>
        </w:rPr>
        <w:t xml:space="preserve"> </w:t>
      </w:r>
      <w:r w:rsidR="008C74AF">
        <w:rPr>
          <w:lang w:val="en-GB"/>
        </w:rPr>
        <w:t>from</w:t>
      </w:r>
      <w:r w:rsidR="008C74AF" w:rsidRPr="00C11321">
        <w:rPr>
          <w:lang w:val="en-GB"/>
        </w:rPr>
        <w:t xml:space="preserve"> </w:t>
      </w:r>
      <w:r w:rsidR="00C11321" w:rsidRPr="00C11321">
        <w:rPr>
          <w:lang w:val="en-GB"/>
        </w:rPr>
        <w:t>apixaban or rivaroxaban</w:t>
      </w:r>
      <w:r>
        <w:rPr>
          <w:lang w:val="en-GB"/>
        </w:rPr>
        <w:t xml:space="preserve"> in</w:t>
      </w:r>
      <w:r w:rsidR="00ED695B">
        <w:rPr>
          <w:lang w:val="en-GB"/>
        </w:rPr>
        <w:t xml:space="preserve"> adults with</w:t>
      </w:r>
      <w:r>
        <w:rPr>
          <w:lang w:val="en-GB"/>
        </w:rPr>
        <w:t xml:space="preserve"> life-threatening or uncontrolled bleeding in </w:t>
      </w:r>
      <w:r w:rsidR="008A5D98">
        <w:rPr>
          <w:lang w:val="en-GB"/>
        </w:rPr>
        <w:t xml:space="preserve">the </w:t>
      </w:r>
      <w:r w:rsidR="001970ED">
        <w:rPr>
          <w:lang w:val="en-GB"/>
        </w:rPr>
        <w:t>skull</w:t>
      </w:r>
      <w:r w:rsidR="008A5D98">
        <w:rPr>
          <w:lang w:val="en-GB"/>
        </w:rPr>
        <w:t xml:space="preserve"> (</w:t>
      </w:r>
      <w:bookmarkStart w:id="0" w:name="_Hlk50097806"/>
      <w:r>
        <w:rPr>
          <w:lang w:val="en-GB"/>
        </w:rPr>
        <w:t>intracranial haemorrhage</w:t>
      </w:r>
      <w:bookmarkEnd w:id="0"/>
      <w:r>
        <w:rPr>
          <w:lang w:val="en-GB"/>
        </w:rPr>
        <w:t>).</w:t>
      </w:r>
    </w:p>
    <w:p w14:paraId="079063D3" w14:textId="74DFBF93" w:rsidR="00C11F58" w:rsidRPr="0005586D" w:rsidRDefault="00C11F58" w:rsidP="0085067D">
      <w:pPr>
        <w:pStyle w:val="NICEnormal"/>
        <w:rPr>
          <w:b/>
        </w:rPr>
      </w:pPr>
      <w:r w:rsidRPr="0005586D">
        <w:rPr>
          <w:b/>
        </w:rPr>
        <w:t>Why the committee made these recommendations</w:t>
      </w:r>
    </w:p>
    <w:p w14:paraId="287782AC" w14:textId="3EDF8148" w:rsidR="003270CA" w:rsidRDefault="00D4715E" w:rsidP="00C52CE9">
      <w:pPr>
        <w:pStyle w:val="NICEnormal"/>
      </w:pPr>
      <w:r>
        <w:t>Apixaban and rivaroxaban</w:t>
      </w:r>
      <w:r w:rsidR="00B45713">
        <w:t xml:space="preserve"> are anticoagulants used </w:t>
      </w:r>
      <w:r w:rsidR="00B45713" w:rsidRPr="00B45713">
        <w:t>for preventing and treating thromboembolism</w:t>
      </w:r>
      <w:r w:rsidR="008A5D98">
        <w:t xml:space="preserve"> (blood clots)</w:t>
      </w:r>
      <w:r w:rsidR="00C85B6C">
        <w:t>.</w:t>
      </w:r>
      <w:r w:rsidR="001F0B6F">
        <w:t xml:space="preserve"> </w:t>
      </w:r>
      <w:r w:rsidR="00C85B6C">
        <w:t xml:space="preserve">They </w:t>
      </w:r>
      <w:r w:rsidR="00D8537B">
        <w:t>can</w:t>
      </w:r>
      <w:r>
        <w:t xml:space="preserve"> </w:t>
      </w:r>
      <w:r w:rsidR="00D25F48">
        <w:t xml:space="preserve">increase </w:t>
      </w:r>
      <w:r w:rsidR="00A1044D">
        <w:t xml:space="preserve">the </w:t>
      </w:r>
      <w:r w:rsidR="00871A40" w:rsidRPr="0005586D">
        <w:t>risk of major bleeding</w:t>
      </w:r>
      <w:r w:rsidR="001F0B6F">
        <w:t>,</w:t>
      </w:r>
      <w:r w:rsidR="00871A40" w:rsidRPr="0005586D">
        <w:t xml:space="preserve"> </w:t>
      </w:r>
      <w:r w:rsidR="00AB03BD">
        <w:t xml:space="preserve">which </w:t>
      </w:r>
      <w:r w:rsidR="00D25F48">
        <w:t xml:space="preserve">may be </w:t>
      </w:r>
      <w:r w:rsidR="00871A40" w:rsidRPr="0005586D">
        <w:t>life</w:t>
      </w:r>
      <w:r w:rsidR="00F746A4">
        <w:t>-</w:t>
      </w:r>
      <w:r w:rsidR="00871A40" w:rsidRPr="0005586D">
        <w:t xml:space="preserve">threatening. </w:t>
      </w:r>
      <w:r w:rsidR="008C74AF">
        <w:t xml:space="preserve">If someone has a major bleed the anticoagulation effects need to be reversed. </w:t>
      </w:r>
      <w:r w:rsidR="00871A40" w:rsidRPr="0005586D">
        <w:t>Andexanet alfa</w:t>
      </w:r>
      <w:r w:rsidR="001970ED">
        <w:t xml:space="preserve"> aims to reverse </w:t>
      </w:r>
      <w:r w:rsidR="00A1424A">
        <w:t>the effects of apixaban and rivaroxaban</w:t>
      </w:r>
      <w:r w:rsidR="001970ED">
        <w:t>, in case of uncontrolled or life-threatening bleed</w:t>
      </w:r>
      <w:r w:rsidR="00A1424A">
        <w:t>ing</w:t>
      </w:r>
      <w:r w:rsidR="001970ED">
        <w:t>.</w:t>
      </w:r>
    </w:p>
    <w:p w14:paraId="3E05CC4D" w14:textId="58AB3655" w:rsidR="00EB13A9" w:rsidRDefault="003270CA" w:rsidP="00976DA1">
      <w:pPr>
        <w:pStyle w:val="NICEnormal"/>
      </w:pPr>
      <w:r>
        <w:t xml:space="preserve">There </w:t>
      </w:r>
      <w:r w:rsidR="00482E18" w:rsidRPr="0005586D">
        <w:t xml:space="preserve">is no </w:t>
      </w:r>
      <w:r w:rsidR="005B13F6">
        <w:t xml:space="preserve">clinical </w:t>
      </w:r>
      <w:r w:rsidR="00EB13A9">
        <w:t xml:space="preserve">trial </w:t>
      </w:r>
      <w:r w:rsidR="00482E18" w:rsidRPr="0005586D">
        <w:t>evidence</w:t>
      </w:r>
      <w:r w:rsidR="005547C5">
        <w:t xml:space="preserve"> directly</w:t>
      </w:r>
      <w:r w:rsidR="00482E18" w:rsidRPr="0005586D">
        <w:t xml:space="preserve"> </w:t>
      </w:r>
      <w:r w:rsidR="00F746A4">
        <w:t>comparing</w:t>
      </w:r>
      <w:r w:rsidR="00EB13A9">
        <w:t xml:space="preserve"> </w:t>
      </w:r>
      <w:proofErr w:type="spellStart"/>
      <w:r w:rsidR="00482E18" w:rsidRPr="0005586D">
        <w:t>andexanet</w:t>
      </w:r>
      <w:proofErr w:type="spellEnd"/>
      <w:r w:rsidR="00482E18" w:rsidRPr="0005586D">
        <w:t xml:space="preserve"> alfa </w:t>
      </w:r>
      <w:r w:rsidR="00EB13A9">
        <w:t>with</w:t>
      </w:r>
      <w:r w:rsidR="00D476EE" w:rsidRPr="0005586D">
        <w:t xml:space="preserve"> </w:t>
      </w:r>
      <w:r w:rsidR="006B2108">
        <w:t>an existing treatment</w:t>
      </w:r>
      <w:r w:rsidR="00DC19BC" w:rsidRPr="0005586D">
        <w:t>,</w:t>
      </w:r>
      <w:r w:rsidR="00D476EE" w:rsidRPr="0005586D">
        <w:t xml:space="preserve"> </w:t>
      </w:r>
      <w:bookmarkStart w:id="1" w:name="_Hlk50098495"/>
      <w:r w:rsidR="0085067D" w:rsidRPr="0005586D">
        <w:t>prothrombin complex concentrate</w:t>
      </w:r>
      <w:bookmarkEnd w:id="1"/>
      <w:r w:rsidR="00EF2209">
        <w:t>,</w:t>
      </w:r>
      <w:r w:rsidR="008A5D98">
        <w:t xml:space="preserve"> so an indirect comparison</w:t>
      </w:r>
      <w:r w:rsidR="00AC129C">
        <w:t xml:space="preserve"> of 2 trials</w:t>
      </w:r>
      <w:r w:rsidR="008A5D98">
        <w:t xml:space="preserve"> was done.</w:t>
      </w:r>
      <w:r w:rsidR="00EB13A9">
        <w:t xml:space="preserve"> </w:t>
      </w:r>
      <w:r w:rsidR="008A5D98">
        <w:t>This</w:t>
      </w:r>
      <w:r w:rsidR="004D140A">
        <w:t xml:space="preserve"> </w:t>
      </w:r>
      <w:r w:rsidR="00E67285">
        <w:t>suggests</w:t>
      </w:r>
      <w:r w:rsidR="004D140A">
        <w:t xml:space="preserve"> that</w:t>
      </w:r>
      <w:r w:rsidR="003362B7">
        <w:t xml:space="preserve"> </w:t>
      </w:r>
      <w:r w:rsidR="00E67285">
        <w:t>andexanet alfa improves survival in</w:t>
      </w:r>
      <w:r w:rsidR="004D140A">
        <w:t xml:space="preserve"> p</w:t>
      </w:r>
      <w:r w:rsidR="00E67285">
        <w:t>eople</w:t>
      </w:r>
      <w:r w:rsidR="004D140A">
        <w:t xml:space="preserve"> with gastrointestinal bleed</w:t>
      </w:r>
      <w:r w:rsidR="00C85B6C">
        <w:t>ing</w:t>
      </w:r>
      <w:r w:rsidR="00F27E59">
        <w:t xml:space="preserve"> </w:t>
      </w:r>
      <w:r w:rsidR="008A5D98">
        <w:t xml:space="preserve">or </w:t>
      </w:r>
      <w:r w:rsidR="008A5D98" w:rsidRPr="008A5D98">
        <w:t xml:space="preserve">intracranial haemorrhage </w:t>
      </w:r>
      <w:r w:rsidR="008A5D98">
        <w:t>(</w:t>
      </w:r>
      <w:r w:rsidR="00F27E59">
        <w:t>ICH</w:t>
      </w:r>
      <w:r w:rsidR="008A5D98">
        <w:t>)</w:t>
      </w:r>
      <w:r w:rsidR="008C74AF">
        <w:t>,</w:t>
      </w:r>
      <w:r w:rsidR="00F27E59">
        <w:t xml:space="preserve"> but </w:t>
      </w:r>
      <w:r w:rsidR="008C74AF">
        <w:t xml:space="preserve">lowers </w:t>
      </w:r>
      <w:r w:rsidR="00976DA1">
        <w:t xml:space="preserve">survival </w:t>
      </w:r>
      <w:r w:rsidR="00FC6904">
        <w:t xml:space="preserve">for </w:t>
      </w:r>
      <w:r w:rsidR="00311840">
        <w:t>people with</w:t>
      </w:r>
      <w:r w:rsidR="00F27E59">
        <w:t xml:space="preserve"> bleeds</w:t>
      </w:r>
      <w:r w:rsidR="00976DA1">
        <w:t xml:space="preserve"> in other parts of the body</w:t>
      </w:r>
      <w:r w:rsidR="00F746A4">
        <w:t>.</w:t>
      </w:r>
      <w:r w:rsidR="00A1424A">
        <w:t xml:space="preserve"> However, there</w:t>
      </w:r>
      <w:r w:rsidR="00AC129C">
        <w:t xml:space="preserve"> are differences between the 2 trials in the indirect comparison, so the results are uncertain. Also, </w:t>
      </w:r>
      <w:r w:rsidR="00A1424A">
        <w:t>t</w:t>
      </w:r>
      <w:r w:rsidR="00F27E59">
        <w:t xml:space="preserve">here is not enough evidence </w:t>
      </w:r>
      <w:r w:rsidR="005F05F7">
        <w:t>about</w:t>
      </w:r>
      <w:r w:rsidR="00834BBA">
        <w:t xml:space="preserve"> </w:t>
      </w:r>
      <w:r w:rsidR="00F27E59">
        <w:t>whether it</w:t>
      </w:r>
      <w:r w:rsidR="000F3556">
        <w:t xml:space="preserve"> reduce</w:t>
      </w:r>
      <w:r w:rsidR="00F27E59">
        <w:t>s</w:t>
      </w:r>
      <w:r w:rsidR="000F3556">
        <w:t xml:space="preserve"> long-term disability in </w:t>
      </w:r>
      <w:r w:rsidR="00717B44">
        <w:t>ICH</w:t>
      </w:r>
      <w:r w:rsidR="00F27E59">
        <w:t>.</w:t>
      </w:r>
      <w:r w:rsidR="00F746A4">
        <w:t xml:space="preserve"> </w:t>
      </w:r>
    </w:p>
    <w:p w14:paraId="3F0F84CC" w14:textId="2BEE9711" w:rsidR="008F6D91" w:rsidRDefault="00CA5F02" w:rsidP="00C52CE9">
      <w:pPr>
        <w:pStyle w:val="NICEnormal"/>
      </w:pPr>
      <w:r w:rsidRPr="00CA5F02">
        <w:t xml:space="preserve">Because of the </w:t>
      </w:r>
      <w:r w:rsidR="000A0F5A">
        <w:t>limitations</w:t>
      </w:r>
      <w:r w:rsidRPr="00CA5F02">
        <w:t xml:space="preserve"> </w:t>
      </w:r>
      <w:r w:rsidR="000A0F5A">
        <w:t>of</w:t>
      </w:r>
      <w:r w:rsidRPr="00CA5F02">
        <w:t xml:space="preserve"> the clinical evidence, the cost</w:t>
      </w:r>
      <w:r w:rsidR="00F746A4">
        <w:t>-</w:t>
      </w:r>
      <w:r w:rsidRPr="00CA5F02">
        <w:t xml:space="preserve">effectiveness estimates </w:t>
      </w:r>
      <w:r w:rsidR="00435A15">
        <w:t xml:space="preserve">for </w:t>
      </w:r>
      <w:proofErr w:type="spellStart"/>
      <w:r w:rsidR="00435A15">
        <w:t>andexanet</w:t>
      </w:r>
      <w:proofErr w:type="spellEnd"/>
      <w:r w:rsidR="00435A15">
        <w:t xml:space="preserve"> alfa </w:t>
      </w:r>
      <w:r w:rsidRPr="00CA5F02">
        <w:t>are uncertain</w:t>
      </w:r>
      <w:r w:rsidR="00C900A4">
        <w:t xml:space="preserve">. </w:t>
      </w:r>
      <w:r w:rsidR="002C19F0">
        <w:t xml:space="preserve">They are likely to be within </w:t>
      </w:r>
      <w:r w:rsidR="00783A06">
        <w:t>what</w:t>
      </w:r>
      <w:r w:rsidR="002C19F0">
        <w:t xml:space="preserve"> </w:t>
      </w:r>
      <w:r w:rsidR="000F3556">
        <w:t>NICE considers</w:t>
      </w:r>
      <w:r w:rsidR="00435A15">
        <w:t xml:space="preserve"> </w:t>
      </w:r>
      <w:r w:rsidR="00C900A4">
        <w:t xml:space="preserve">a </w:t>
      </w:r>
      <w:r w:rsidR="00717B44">
        <w:t>cost-effective</w:t>
      </w:r>
      <w:r w:rsidR="00513014">
        <w:t xml:space="preserve"> </w:t>
      </w:r>
      <w:r w:rsidR="00C900A4">
        <w:t xml:space="preserve">use of NHS resources </w:t>
      </w:r>
      <w:r w:rsidR="00513014">
        <w:t>for gastrointestinal bleed</w:t>
      </w:r>
      <w:r w:rsidR="002F3C1E">
        <w:t>ing</w:t>
      </w:r>
      <w:r w:rsidR="002C19F0">
        <w:t>, but not for ICH or bleeds in other parts of the body</w:t>
      </w:r>
      <w:r w:rsidR="006C40E6">
        <w:t xml:space="preserve">. </w:t>
      </w:r>
      <w:r w:rsidR="00EB13A9">
        <w:t xml:space="preserve">Therefore, </w:t>
      </w:r>
      <w:r w:rsidRPr="00CA5F02">
        <w:t xml:space="preserve">andexanet alfa </w:t>
      </w:r>
      <w:r w:rsidR="008C74AF" w:rsidRPr="00CA5F02">
        <w:t xml:space="preserve">for </w:t>
      </w:r>
      <w:r w:rsidR="008C74AF">
        <w:t xml:space="preserve">reversing </w:t>
      </w:r>
      <w:r w:rsidR="008C74AF">
        <w:lastRenderedPageBreak/>
        <w:t xml:space="preserve">anticoagulation </w:t>
      </w:r>
      <w:r w:rsidRPr="00CA5F02">
        <w:t xml:space="preserve">is recommended only </w:t>
      </w:r>
      <w:r w:rsidR="005B765C">
        <w:t xml:space="preserve">in </w:t>
      </w:r>
      <w:r w:rsidRPr="00CA5F02">
        <w:t>gastrointestinal bleed</w:t>
      </w:r>
      <w:r w:rsidR="00FC3CB9">
        <w:t>ing</w:t>
      </w:r>
      <w:r w:rsidR="008C74AF">
        <w:t>. It is recommended</w:t>
      </w:r>
      <w:r w:rsidR="006C40E6">
        <w:t xml:space="preserve"> only in research </w:t>
      </w:r>
      <w:r w:rsidR="00717B44" w:rsidRPr="00717B44">
        <w:t>in</w:t>
      </w:r>
      <w:r w:rsidR="006C40E6">
        <w:t xml:space="preserve"> </w:t>
      </w:r>
      <w:r w:rsidR="00717B44">
        <w:t>ICH</w:t>
      </w:r>
      <w:r w:rsidRPr="00CA5F02">
        <w:t>.</w:t>
      </w:r>
      <w:r w:rsidR="00435A15">
        <w:t xml:space="preserve"> </w:t>
      </w:r>
    </w:p>
    <w:p w14:paraId="759E1F37" w14:textId="3253D66D" w:rsidR="00EA1CB1" w:rsidRPr="0005586D" w:rsidRDefault="00EA1CB1" w:rsidP="00EA1CB1">
      <w:pPr>
        <w:pStyle w:val="Numberedheading1"/>
        <w:keepLines/>
      </w:pPr>
      <w:r w:rsidRPr="0005586D">
        <w:t xml:space="preserve">Information about </w:t>
      </w:r>
      <w:r w:rsidR="00421F00" w:rsidRPr="0005586D">
        <w:t>andexanet alfa</w:t>
      </w:r>
    </w:p>
    <w:p w14:paraId="4E2086CD" w14:textId="49F0FE48" w:rsidR="00B82A82" w:rsidRPr="0005586D" w:rsidRDefault="00B82A82" w:rsidP="00B82A82">
      <w:pPr>
        <w:pStyle w:val="Heading2"/>
      </w:pPr>
      <w:r w:rsidRPr="0005586D">
        <w:t>Marketing authorisation indication</w:t>
      </w:r>
    </w:p>
    <w:p w14:paraId="255051B6" w14:textId="0383ED9F" w:rsidR="00421F00" w:rsidRPr="00D4715E" w:rsidRDefault="00E007A0" w:rsidP="009828EB">
      <w:pPr>
        <w:pStyle w:val="Numberedlevel2text"/>
        <w:rPr>
          <w:lang w:val="en-GB"/>
        </w:rPr>
      </w:pPr>
      <w:r w:rsidRPr="00D4715E">
        <w:rPr>
          <w:lang w:val="en-US"/>
        </w:rPr>
        <w:t>Andexanet</w:t>
      </w:r>
      <w:r w:rsidRPr="0005586D">
        <w:t xml:space="preserve"> </w:t>
      </w:r>
      <w:r w:rsidR="00421F00" w:rsidRPr="0005586D">
        <w:t>alfa (Ondexxya, Portola Pharmaceuticals)</w:t>
      </w:r>
      <w:r w:rsidR="00B82A82" w:rsidRPr="0005586D">
        <w:t xml:space="preserve"> </w:t>
      </w:r>
      <w:r w:rsidRPr="00D4715E">
        <w:rPr>
          <w:lang w:val="en-US"/>
        </w:rPr>
        <w:t>has a</w:t>
      </w:r>
      <w:r w:rsidR="00AD4248">
        <w:rPr>
          <w:lang w:val="en-US"/>
        </w:rPr>
        <w:t xml:space="preserve"> conditional</w:t>
      </w:r>
      <w:r w:rsidRPr="00D4715E">
        <w:rPr>
          <w:lang w:val="en-US"/>
        </w:rPr>
        <w:t xml:space="preserve"> marketing </w:t>
      </w:r>
      <w:proofErr w:type="spellStart"/>
      <w:r w:rsidRPr="00D4715E">
        <w:rPr>
          <w:lang w:val="en-US"/>
        </w:rPr>
        <w:t>authorisation</w:t>
      </w:r>
      <w:proofErr w:type="spellEnd"/>
      <w:r w:rsidRPr="0005586D">
        <w:t xml:space="preserve"> </w:t>
      </w:r>
      <w:r w:rsidR="00B82A82" w:rsidRPr="0005586D">
        <w:t>for</w:t>
      </w:r>
      <w:r w:rsidR="00D5750B" w:rsidRPr="0005586D">
        <w:t xml:space="preserve"> </w:t>
      </w:r>
      <w:r w:rsidRPr="00D4715E">
        <w:rPr>
          <w:lang w:val="en-GB"/>
        </w:rPr>
        <w:t xml:space="preserve">‘adult patients treated with a direct factor </w:t>
      </w:r>
      <w:proofErr w:type="spellStart"/>
      <w:r w:rsidRPr="00D4715E">
        <w:rPr>
          <w:lang w:val="en-GB"/>
        </w:rPr>
        <w:t>Xa</w:t>
      </w:r>
      <w:proofErr w:type="spellEnd"/>
      <w:r w:rsidRPr="00D4715E">
        <w:rPr>
          <w:lang w:val="en-GB"/>
        </w:rPr>
        <w:t xml:space="preserve"> (</w:t>
      </w:r>
      <w:proofErr w:type="spellStart"/>
      <w:r w:rsidRPr="00D4715E">
        <w:rPr>
          <w:lang w:val="en-GB"/>
        </w:rPr>
        <w:t>FXa</w:t>
      </w:r>
      <w:proofErr w:type="spellEnd"/>
      <w:r w:rsidRPr="00D4715E">
        <w:rPr>
          <w:lang w:val="en-GB"/>
        </w:rPr>
        <w:t>) inhibitor (apixaban or rivaroxaban) when reversal of anticoagulation is needed due to life-threatening or uncontrolled bleeding’.</w:t>
      </w:r>
    </w:p>
    <w:p w14:paraId="19EF6827" w14:textId="77777777" w:rsidR="00B82A82" w:rsidRPr="0005586D" w:rsidRDefault="00B82A82" w:rsidP="00B82A82">
      <w:pPr>
        <w:pStyle w:val="Heading2"/>
      </w:pPr>
      <w:r w:rsidRPr="0005586D">
        <w:t>Dosage in the marketing authorisation</w:t>
      </w:r>
    </w:p>
    <w:p w14:paraId="023487E4" w14:textId="150C42B4" w:rsidR="00E84307" w:rsidRPr="00570524" w:rsidRDefault="00E84307" w:rsidP="00E84307">
      <w:pPr>
        <w:pStyle w:val="Numberedlevel2text"/>
        <w:rPr>
          <w:rStyle w:val="Numberedlevel2textChar"/>
        </w:rPr>
      </w:pPr>
      <w:r w:rsidRPr="00570524">
        <w:t xml:space="preserve">The dosage schedule </w:t>
      </w:r>
      <w:r w:rsidR="00333F70">
        <w:rPr>
          <w:lang w:val="en-GB"/>
        </w:rPr>
        <w:t>is</w:t>
      </w:r>
      <w:r w:rsidRPr="00570524">
        <w:t xml:space="preserve"> available in </w:t>
      </w:r>
      <w:r>
        <w:t xml:space="preserve">the </w:t>
      </w:r>
      <w:hyperlink r:id="rId8" w:history="1">
        <w:r w:rsidRPr="00333F70">
          <w:rPr>
            <w:rStyle w:val="Hyperlink"/>
          </w:rPr>
          <w:t>summary of product characteristics</w:t>
        </w:r>
      </w:hyperlink>
      <w:r>
        <w:rPr>
          <w:lang w:val="en-GB"/>
        </w:rPr>
        <w:t>.</w:t>
      </w:r>
    </w:p>
    <w:p w14:paraId="5CB970CD" w14:textId="77777777" w:rsidR="00B82A82" w:rsidRPr="0005586D" w:rsidRDefault="00B82A82" w:rsidP="00B82A82">
      <w:pPr>
        <w:pStyle w:val="Heading2"/>
      </w:pPr>
      <w:r w:rsidRPr="0005586D">
        <w:t>Price</w:t>
      </w:r>
    </w:p>
    <w:p w14:paraId="79A54E18" w14:textId="6C2BC2FC" w:rsidR="00231409" w:rsidRDefault="00AB03BD" w:rsidP="00231409">
      <w:pPr>
        <w:pStyle w:val="Numberedlevel2text"/>
        <w:rPr>
          <w:rStyle w:val="NICEnormalChar"/>
          <w:szCs w:val="28"/>
          <w:lang w:val="x-none"/>
        </w:rPr>
      </w:pPr>
      <w:r>
        <w:rPr>
          <w:rStyle w:val="NICEnormalChar"/>
          <w:szCs w:val="28"/>
        </w:rPr>
        <w:t>The list price</w:t>
      </w:r>
      <w:r w:rsidR="00976DCD">
        <w:rPr>
          <w:rStyle w:val="NICEnormalChar"/>
          <w:szCs w:val="28"/>
        </w:rPr>
        <w:t xml:space="preserve"> for andexanet alfa</w:t>
      </w:r>
      <w:r>
        <w:rPr>
          <w:rStyle w:val="NICEnormalChar"/>
          <w:szCs w:val="28"/>
        </w:rPr>
        <w:t xml:space="preserve"> is </w:t>
      </w:r>
      <w:r w:rsidR="00030804" w:rsidRPr="00AD4248">
        <w:rPr>
          <w:rStyle w:val="NICEnormalChar"/>
          <w:szCs w:val="28"/>
          <w:lang w:val="x-none"/>
        </w:rPr>
        <w:t>£11,100 per 4-vial pack of 200</w:t>
      </w:r>
      <w:r w:rsidR="006F2A2A">
        <w:rPr>
          <w:rStyle w:val="NICEnormalChar"/>
          <w:szCs w:val="28"/>
          <w:lang w:val="en-US"/>
        </w:rPr>
        <w:t> </w:t>
      </w:r>
      <w:r w:rsidR="00030804" w:rsidRPr="00AD4248">
        <w:rPr>
          <w:rStyle w:val="NICEnormalChar"/>
          <w:szCs w:val="28"/>
          <w:lang w:val="x-none"/>
        </w:rPr>
        <w:t>mg of powder for solution for infusion (</w:t>
      </w:r>
      <w:r w:rsidR="00CD1CA3" w:rsidRPr="00AD4248">
        <w:rPr>
          <w:rStyle w:val="NICEnormalChar"/>
          <w:szCs w:val="28"/>
          <w:lang w:val="x-none"/>
        </w:rPr>
        <w:t xml:space="preserve">excluding VAT, </w:t>
      </w:r>
      <w:r w:rsidR="00030804" w:rsidRPr="00AD4248">
        <w:rPr>
          <w:rStyle w:val="NICEnormalChar"/>
          <w:szCs w:val="28"/>
          <w:lang w:val="x-none"/>
        </w:rPr>
        <w:t>BNF online accessed March 2020)</w:t>
      </w:r>
      <w:r w:rsidR="00DA448B" w:rsidRPr="00AD4248">
        <w:rPr>
          <w:rStyle w:val="NICEnormalChar"/>
          <w:szCs w:val="28"/>
          <w:lang w:val="x-none"/>
        </w:rPr>
        <w:t>.</w:t>
      </w:r>
      <w:r w:rsidR="00030804" w:rsidRPr="00AD4248">
        <w:rPr>
          <w:rStyle w:val="NICEnormalChar"/>
          <w:szCs w:val="28"/>
          <w:lang w:val="x-none"/>
        </w:rPr>
        <w:t xml:space="preserve"> </w:t>
      </w:r>
      <w:r w:rsidR="006F2A2A">
        <w:rPr>
          <w:rStyle w:val="NICEnormalChar"/>
          <w:szCs w:val="28"/>
          <w:lang w:val="en-US"/>
        </w:rPr>
        <w:t>The average</w:t>
      </w:r>
      <w:r w:rsidR="006F2A2A" w:rsidRPr="00AD4248">
        <w:rPr>
          <w:rStyle w:val="NICEnormalChar"/>
          <w:szCs w:val="28"/>
          <w:lang w:val="x-none"/>
        </w:rPr>
        <w:t xml:space="preserve"> </w:t>
      </w:r>
      <w:r w:rsidR="00DC19BC" w:rsidRPr="00AD4248">
        <w:rPr>
          <w:rStyle w:val="NICEnormalChar"/>
          <w:szCs w:val="28"/>
          <w:lang w:val="x-none"/>
        </w:rPr>
        <w:t xml:space="preserve">cost of a course of treatment at list price is </w:t>
      </w:r>
      <w:r w:rsidR="008F6E50" w:rsidRPr="00AD4248">
        <w:rPr>
          <w:rStyle w:val="NICEnormalChar"/>
          <w:szCs w:val="28"/>
          <w:lang w:val="x-none"/>
        </w:rPr>
        <w:t>£15,000 per</w:t>
      </w:r>
      <w:r w:rsidR="00DC19BC" w:rsidRPr="00AD4248">
        <w:rPr>
          <w:rStyle w:val="NICEnormalChar"/>
          <w:szCs w:val="28"/>
          <w:lang w:val="x-none"/>
        </w:rPr>
        <w:t xml:space="preserve"> patient.</w:t>
      </w:r>
    </w:p>
    <w:p w14:paraId="4ED334F5" w14:textId="0708329B" w:rsidR="00C16123" w:rsidRPr="00AD4248" w:rsidRDefault="00231409" w:rsidP="0084454C">
      <w:pPr>
        <w:pStyle w:val="Numberedlevel2text"/>
      </w:pPr>
      <w:r>
        <w:t>The company has a commercial arrangement (simple discount patient access scheme)</w:t>
      </w:r>
      <w:r w:rsidR="00C16123">
        <w:t>.</w:t>
      </w:r>
      <w:r w:rsidR="00C16123" w:rsidRPr="00844D3D">
        <w:t xml:space="preserve"> </w:t>
      </w:r>
      <w:r w:rsidR="00C16123">
        <w:t>This</w:t>
      </w:r>
      <w:r w:rsidR="00C16123" w:rsidRPr="00B520D8">
        <w:t xml:space="preserve"> makes</w:t>
      </w:r>
      <w:r w:rsidRPr="00231409">
        <w:rPr>
          <w:lang w:val="en-GB"/>
        </w:rPr>
        <w:t xml:space="preserve"> andexanet alfa</w:t>
      </w:r>
      <w:r w:rsidR="00C16123" w:rsidRPr="00B520D8">
        <w:t xml:space="preserve"> available to the NHS with a discount. The size of the discount is commercial in confidence. It is the company</w:t>
      </w:r>
      <w:r w:rsidR="00C16123">
        <w:t>’s responsibility</w:t>
      </w:r>
      <w:r w:rsidR="00C16123" w:rsidRPr="00B520D8">
        <w:t xml:space="preserve"> to </w:t>
      </w:r>
      <w:r w:rsidR="00C16123">
        <w:t>let</w:t>
      </w:r>
      <w:r w:rsidR="00C16123" w:rsidRPr="00B520D8">
        <w:t xml:space="preserve"> relevant NHS organisations</w:t>
      </w:r>
      <w:r w:rsidR="00C16123">
        <w:t xml:space="preserve"> know details of the discount. </w:t>
      </w:r>
    </w:p>
    <w:p w14:paraId="463CD10D" w14:textId="77777777" w:rsidR="00F130AD" w:rsidRPr="0005586D" w:rsidRDefault="00222BEA" w:rsidP="00F130AD">
      <w:pPr>
        <w:pStyle w:val="Numberedheading1"/>
      </w:pPr>
      <w:r w:rsidRPr="0005586D">
        <w:t>Committee discussion</w:t>
      </w:r>
    </w:p>
    <w:p w14:paraId="4CF68FFB" w14:textId="77777777" w:rsidR="00E11956" w:rsidRPr="00A7626F" w:rsidRDefault="00BC7D9E" w:rsidP="00E11956">
      <w:pPr>
        <w:pStyle w:val="NICEnormal"/>
      </w:pPr>
      <w:r w:rsidRPr="0005586D">
        <w:t xml:space="preserve">The </w:t>
      </w:r>
      <w:r w:rsidR="00343B53" w:rsidRPr="0005586D">
        <w:t>a</w:t>
      </w:r>
      <w:r w:rsidRPr="0005586D">
        <w:t xml:space="preserve">ppraisal </w:t>
      </w:r>
      <w:r w:rsidR="00343B53" w:rsidRPr="0005586D">
        <w:t>c</w:t>
      </w:r>
      <w:r w:rsidRPr="0005586D">
        <w:t xml:space="preserve">ommittee </w:t>
      </w:r>
      <w:r w:rsidR="00CD7BFC" w:rsidRPr="0005586D">
        <w:t xml:space="preserve">(section </w:t>
      </w:r>
      <w:r w:rsidR="001D5090">
        <w:t>7</w:t>
      </w:r>
      <w:r w:rsidR="00CD7BFC" w:rsidRPr="0005586D">
        <w:t xml:space="preserve">) </w:t>
      </w:r>
      <w:r w:rsidRPr="0005586D">
        <w:t>considered evidence submitted by</w:t>
      </w:r>
      <w:r w:rsidR="00CA72BE" w:rsidRPr="0005586D">
        <w:t xml:space="preserve"> Portola Pharmaceuticals</w:t>
      </w:r>
      <w:r w:rsidR="00976DCD">
        <w:t>,</w:t>
      </w:r>
      <w:r w:rsidR="00C16123">
        <w:t xml:space="preserve"> </w:t>
      </w:r>
      <w:r w:rsidRPr="0005586D">
        <w:t xml:space="preserve">a review of this submission by the </w:t>
      </w:r>
      <w:r w:rsidR="00343B53" w:rsidRPr="0005586D">
        <w:t>e</w:t>
      </w:r>
      <w:r w:rsidRPr="0005586D">
        <w:t xml:space="preserve">vidence </w:t>
      </w:r>
      <w:r w:rsidR="00343B53" w:rsidRPr="0005586D">
        <w:t>r</w:t>
      </w:r>
      <w:r w:rsidRPr="0005586D">
        <w:t xml:space="preserve">eview </w:t>
      </w:r>
      <w:r w:rsidR="00343B53" w:rsidRPr="0005586D">
        <w:t>g</w:t>
      </w:r>
      <w:r w:rsidRPr="0005586D">
        <w:t>roup (ERG)</w:t>
      </w:r>
      <w:r w:rsidR="00976DCD">
        <w:t xml:space="preserve">, </w:t>
      </w:r>
      <w:r w:rsidR="00976DCD" w:rsidRPr="00976DCD">
        <w:t>NICE’s technical report, and responses from stakeholders</w:t>
      </w:r>
      <w:r w:rsidRPr="0005586D">
        <w:t>.</w:t>
      </w:r>
      <w:r w:rsidR="00C63D4E" w:rsidRPr="0005586D">
        <w:t xml:space="preserve"> </w:t>
      </w:r>
      <w:r w:rsidR="00E11956" w:rsidRPr="0005586D">
        <w:t xml:space="preserve">See the </w:t>
      </w:r>
      <w:hyperlink r:id="rId9" w:history="1">
        <w:r w:rsidR="00E11956" w:rsidRPr="0005586D">
          <w:rPr>
            <w:rStyle w:val="Hyperlink"/>
          </w:rPr>
          <w:t>committee papers</w:t>
        </w:r>
      </w:hyperlink>
      <w:r w:rsidR="00E11956" w:rsidRPr="0005586D">
        <w:t xml:space="preserve"> for full details of the evidence.</w:t>
      </w:r>
    </w:p>
    <w:p w14:paraId="1D7676B5" w14:textId="763B10E5" w:rsidR="00CA72BE" w:rsidRPr="00A7626F" w:rsidRDefault="00E11956" w:rsidP="002306E6">
      <w:pPr>
        <w:pStyle w:val="NICEnormal"/>
      </w:pPr>
      <w:r>
        <w:lastRenderedPageBreak/>
        <w:t xml:space="preserve">In </w:t>
      </w:r>
      <w:proofErr w:type="gramStart"/>
      <w:r w:rsidR="002306E6">
        <w:t>March 2020</w:t>
      </w:r>
      <w:proofErr w:type="gramEnd"/>
      <w:r w:rsidR="002306E6">
        <w:t xml:space="preserve"> </w:t>
      </w:r>
      <w:r>
        <w:t xml:space="preserve">the appraisal committee decided </w:t>
      </w:r>
      <w:r w:rsidR="002306E6">
        <w:t xml:space="preserve">not to recommend andexanet alfa within its marketing authorisation. In </w:t>
      </w:r>
      <w:proofErr w:type="gramStart"/>
      <w:r w:rsidR="002306E6">
        <w:t>June 2020</w:t>
      </w:r>
      <w:proofErr w:type="gramEnd"/>
      <w:r w:rsidR="002306E6">
        <w:t xml:space="preserve"> the committee discussed the following issues, </w:t>
      </w:r>
      <w:r w:rsidR="00120A3C">
        <w:t xml:space="preserve">some of </w:t>
      </w:r>
      <w:r w:rsidR="002306E6">
        <w:t xml:space="preserve">which were new issues </w:t>
      </w:r>
      <w:r w:rsidR="00120A3C">
        <w:t xml:space="preserve">that were not </w:t>
      </w:r>
      <w:r w:rsidR="002306E6">
        <w:t xml:space="preserve">included in the first appraisal consultation document. </w:t>
      </w:r>
    </w:p>
    <w:p w14:paraId="0A01FD50" w14:textId="1223DBF2" w:rsidR="00643582" w:rsidRPr="0005586D" w:rsidRDefault="00CA72BE" w:rsidP="00643582">
      <w:pPr>
        <w:pStyle w:val="Heading2"/>
      </w:pPr>
      <w:r w:rsidRPr="0005586D">
        <w:t>Treatment pathway and clinical need</w:t>
      </w:r>
    </w:p>
    <w:p w14:paraId="4C77BF9B" w14:textId="745D3590" w:rsidR="00363AD5" w:rsidRPr="0005586D" w:rsidRDefault="00CA72BE" w:rsidP="00723AF0">
      <w:pPr>
        <w:pStyle w:val="Heading3"/>
      </w:pPr>
      <w:r w:rsidRPr="0005586D">
        <w:t>Direct anticoagulant</w:t>
      </w:r>
      <w:r w:rsidR="00363AD5" w:rsidRPr="0005586D">
        <w:t>s</w:t>
      </w:r>
      <w:r w:rsidRPr="0005586D">
        <w:t xml:space="preserve"> </w:t>
      </w:r>
      <w:r w:rsidR="00363AD5" w:rsidRPr="0005586D">
        <w:t>are associated with a serious risk of major bleeding</w:t>
      </w:r>
    </w:p>
    <w:p w14:paraId="379034BC" w14:textId="4AD5DA74" w:rsidR="005B0E07" w:rsidRPr="0005586D" w:rsidRDefault="005B0E07" w:rsidP="005B0E07">
      <w:pPr>
        <w:pStyle w:val="Numberedlevel2text"/>
        <w:rPr>
          <w:lang w:val="en-GB"/>
        </w:rPr>
      </w:pPr>
      <w:r w:rsidRPr="0005586D">
        <w:rPr>
          <w:lang w:val="en-GB"/>
        </w:rPr>
        <w:t xml:space="preserve">Direct anticoagulants such as apixaban and rivaroxaban are used for preventing and treating thromboembolism </w:t>
      </w:r>
      <w:r w:rsidR="00A436B7">
        <w:rPr>
          <w:lang w:val="en-GB"/>
        </w:rPr>
        <w:t>in</w:t>
      </w:r>
      <w:r w:rsidR="00A436B7" w:rsidRPr="0005586D">
        <w:rPr>
          <w:lang w:val="en-GB"/>
        </w:rPr>
        <w:t xml:space="preserve"> </w:t>
      </w:r>
      <w:r w:rsidR="00220BF3">
        <w:rPr>
          <w:lang w:val="en-GB"/>
        </w:rPr>
        <w:t>conditions</w:t>
      </w:r>
      <w:r w:rsidRPr="0005586D">
        <w:rPr>
          <w:lang w:val="en-GB"/>
        </w:rPr>
        <w:t xml:space="preserve"> </w:t>
      </w:r>
      <w:r w:rsidR="00A436B7">
        <w:rPr>
          <w:lang w:val="en-GB"/>
        </w:rPr>
        <w:t xml:space="preserve">such </w:t>
      </w:r>
      <w:r w:rsidR="00F27E59">
        <w:rPr>
          <w:lang w:val="en-GB"/>
        </w:rPr>
        <w:t xml:space="preserve">as </w:t>
      </w:r>
      <w:r w:rsidRPr="0005586D">
        <w:rPr>
          <w:lang w:val="en-GB"/>
        </w:rPr>
        <w:t>deep vein thrombosis</w:t>
      </w:r>
      <w:r w:rsidR="00DC19BC" w:rsidRPr="0005586D">
        <w:rPr>
          <w:lang w:val="en-GB"/>
        </w:rPr>
        <w:t xml:space="preserve"> and </w:t>
      </w:r>
      <w:r w:rsidRPr="0005586D">
        <w:rPr>
          <w:lang w:val="en-GB"/>
        </w:rPr>
        <w:t>pulmonary embolism</w:t>
      </w:r>
      <w:r w:rsidR="00DC19BC" w:rsidRPr="0005586D">
        <w:rPr>
          <w:lang w:val="en-GB"/>
        </w:rPr>
        <w:t>,</w:t>
      </w:r>
      <w:r w:rsidRPr="0005586D">
        <w:rPr>
          <w:lang w:val="en-GB"/>
        </w:rPr>
        <w:t xml:space="preserve"> </w:t>
      </w:r>
      <w:r w:rsidR="00205EF5">
        <w:rPr>
          <w:lang w:val="en-GB"/>
        </w:rPr>
        <w:t>and for</w:t>
      </w:r>
      <w:r w:rsidRPr="0005586D">
        <w:rPr>
          <w:lang w:val="en-GB"/>
        </w:rPr>
        <w:t xml:space="preserve"> </w:t>
      </w:r>
      <w:r w:rsidR="00F746A4">
        <w:rPr>
          <w:lang w:val="en-GB"/>
        </w:rPr>
        <w:t>preventing</w:t>
      </w:r>
      <w:r w:rsidRPr="0005586D">
        <w:rPr>
          <w:lang w:val="en-GB"/>
        </w:rPr>
        <w:t xml:space="preserve"> stroke and systemic embolism in people with non-valvular atrial fibrillation.</w:t>
      </w:r>
      <w:r w:rsidR="00C06431">
        <w:rPr>
          <w:lang w:val="en-GB"/>
        </w:rPr>
        <w:t xml:space="preserve"> </w:t>
      </w:r>
      <w:bookmarkStart w:id="2" w:name="_Hlk36797145"/>
      <w:r w:rsidR="00C06431">
        <w:rPr>
          <w:lang w:val="en-GB"/>
        </w:rPr>
        <w:t xml:space="preserve">Although anticoagulants have a greater overall benefit than risk, major bleeding </w:t>
      </w:r>
      <w:r w:rsidR="00424378">
        <w:rPr>
          <w:lang w:val="en-GB"/>
        </w:rPr>
        <w:t xml:space="preserve">is </w:t>
      </w:r>
      <w:r w:rsidR="00C06431">
        <w:rPr>
          <w:lang w:val="en-GB"/>
        </w:rPr>
        <w:t xml:space="preserve">a serious risk. People with a major bleed are at an increased risk of </w:t>
      </w:r>
      <w:r w:rsidR="00424378">
        <w:rPr>
          <w:lang w:val="en-GB"/>
        </w:rPr>
        <w:t>death</w:t>
      </w:r>
      <w:r w:rsidR="00976DCD">
        <w:rPr>
          <w:lang w:val="en-GB"/>
        </w:rPr>
        <w:t xml:space="preserve"> and</w:t>
      </w:r>
      <w:r w:rsidR="00C06431">
        <w:rPr>
          <w:lang w:val="en-GB"/>
        </w:rPr>
        <w:t xml:space="preserve"> an increased risk of subsequent thrombotic events when coagulation is interrupted.</w:t>
      </w:r>
      <w:r w:rsidRPr="0005586D">
        <w:rPr>
          <w:lang w:val="en-GB"/>
        </w:rPr>
        <w:t xml:space="preserve"> </w:t>
      </w:r>
      <w:bookmarkEnd w:id="2"/>
      <w:r w:rsidRPr="0005586D">
        <w:rPr>
          <w:lang w:val="en-GB"/>
        </w:rPr>
        <w:t xml:space="preserve">The patient experts explained that thrombotic events can have a substantial physical and psychological </w:t>
      </w:r>
      <w:r w:rsidR="00A436B7">
        <w:rPr>
          <w:lang w:val="en-GB"/>
        </w:rPr>
        <w:t>effect</w:t>
      </w:r>
      <w:r w:rsidR="00A436B7" w:rsidRPr="0005586D">
        <w:rPr>
          <w:lang w:val="en-GB"/>
        </w:rPr>
        <w:t xml:space="preserve"> </w:t>
      </w:r>
      <w:r w:rsidRPr="0005586D">
        <w:rPr>
          <w:lang w:val="en-GB"/>
        </w:rPr>
        <w:t xml:space="preserve">on </w:t>
      </w:r>
      <w:r w:rsidR="00DF0CC8">
        <w:rPr>
          <w:lang w:val="en-GB"/>
        </w:rPr>
        <w:t>people</w:t>
      </w:r>
      <w:r w:rsidR="00DF0CC8" w:rsidRPr="0005586D">
        <w:rPr>
          <w:lang w:val="en-GB"/>
        </w:rPr>
        <w:t xml:space="preserve">’s </w:t>
      </w:r>
      <w:r w:rsidRPr="0005586D">
        <w:rPr>
          <w:lang w:val="en-GB"/>
        </w:rPr>
        <w:t>lives</w:t>
      </w:r>
      <w:r w:rsidR="00D120BB" w:rsidRPr="0005586D">
        <w:rPr>
          <w:lang w:val="en-GB"/>
        </w:rPr>
        <w:t>.</w:t>
      </w:r>
      <w:r w:rsidR="0054532E" w:rsidRPr="0005586D">
        <w:rPr>
          <w:lang w:val="en-GB"/>
        </w:rPr>
        <w:t xml:space="preserve"> </w:t>
      </w:r>
      <w:r w:rsidR="00D120BB" w:rsidRPr="0005586D">
        <w:rPr>
          <w:lang w:val="en-GB"/>
        </w:rPr>
        <w:t>T</w:t>
      </w:r>
      <w:r w:rsidR="0054532E" w:rsidRPr="0005586D">
        <w:rPr>
          <w:lang w:val="en-GB"/>
        </w:rPr>
        <w:t xml:space="preserve">reatment </w:t>
      </w:r>
      <w:r w:rsidR="00205EF5">
        <w:rPr>
          <w:lang w:val="en-GB"/>
        </w:rPr>
        <w:t xml:space="preserve">for </w:t>
      </w:r>
      <w:r w:rsidR="00123DA4">
        <w:rPr>
          <w:lang w:val="en-GB"/>
        </w:rPr>
        <w:t xml:space="preserve">a </w:t>
      </w:r>
      <w:r w:rsidR="00205EF5">
        <w:rPr>
          <w:lang w:val="en-GB"/>
        </w:rPr>
        <w:t xml:space="preserve">thrombosis </w:t>
      </w:r>
      <w:r w:rsidR="0054532E" w:rsidRPr="0005586D">
        <w:rPr>
          <w:lang w:val="en-GB"/>
        </w:rPr>
        <w:t xml:space="preserve">can </w:t>
      </w:r>
      <w:r w:rsidR="00123DA4">
        <w:rPr>
          <w:lang w:val="en-GB"/>
        </w:rPr>
        <w:t>affect</w:t>
      </w:r>
      <w:r w:rsidR="0000021C" w:rsidRPr="0005586D">
        <w:rPr>
          <w:lang w:val="en-GB"/>
        </w:rPr>
        <w:t xml:space="preserve"> </w:t>
      </w:r>
      <w:r w:rsidR="0054532E" w:rsidRPr="0005586D">
        <w:rPr>
          <w:lang w:val="en-GB"/>
        </w:rPr>
        <w:t xml:space="preserve">employment, family planning, </w:t>
      </w:r>
      <w:proofErr w:type="gramStart"/>
      <w:r w:rsidR="0054532E" w:rsidRPr="0005586D">
        <w:rPr>
          <w:lang w:val="en-GB"/>
        </w:rPr>
        <w:t>travel</w:t>
      </w:r>
      <w:proofErr w:type="gramEnd"/>
      <w:r w:rsidR="00D120BB" w:rsidRPr="0005586D">
        <w:rPr>
          <w:lang w:val="en-GB"/>
        </w:rPr>
        <w:t xml:space="preserve"> and social life. </w:t>
      </w:r>
      <w:r w:rsidR="00205EF5">
        <w:rPr>
          <w:lang w:val="en-GB"/>
        </w:rPr>
        <w:t>Also</w:t>
      </w:r>
      <w:r w:rsidR="00D120BB" w:rsidRPr="0005586D">
        <w:rPr>
          <w:lang w:val="en-GB"/>
        </w:rPr>
        <w:t xml:space="preserve">, </w:t>
      </w:r>
      <w:r w:rsidR="00123DA4">
        <w:rPr>
          <w:lang w:val="en-GB"/>
        </w:rPr>
        <w:t xml:space="preserve">many </w:t>
      </w:r>
      <w:r w:rsidR="00DF0CC8">
        <w:rPr>
          <w:lang w:val="en-GB"/>
        </w:rPr>
        <w:t xml:space="preserve">people </w:t>
      </w:r>
      <w:r w:rsidR="00D120BB" w:rsidRPr="0005586D">
        <w:rPr>
          <w:lang w:val="en-GB"/>
        </w:rPr>
        <w:t xml:space="preserve">fear </w:t>
      </w:r>
      <w:r w:rsidR="00123DA4">
        <w:rPr>
          <w:lang w:val="en-GB"/>
        </w:rPr>
        <w:t>having</w:t>
      </w:r>
      <w:r w:rsidR="00123DA4" w:rsidRPr="0005586D">
        <w:rPr>
          <w:lang w:val="en-GB"/>
        </w:rPr>
        <w:t xml:space="preserve"> </w:t>
      </w:r>
      <w:r w:rsidR="00D120BB" w:rsidRPr="0005586D">
        <w:rPr>
          <w:lang w:val="en-GB"/>
        </w:rPr>
        <w:t xml:space="preserve">further blood clots. </w:t>
      </w:r>
      <w:r w:rsidR="00205EF5">
        <w:rPr>
          <w:lang w:val="en-GB"/>
        </w:rPr>
        <w:t>Anticoagulants</w:t>
      </w:r>
      <w:r w:rsidR="00205EF5" w:rsidRPr="00205EF5">
        <w:rPr>
          <w:lang w:val="en-GB"/>
        </w:rPr>
        <w:t xml:space="preserve"> </w:t>
      </w:r>
      <w:r w:rsidR="00123DA4">
        <w:rPr>
          <w:lang w:val="en-GB"/>
        </w:rPr>
        <w:t xml:space="preserve">therefore </w:t>
      </w:r>
      <w:r w:rsidR="00A436B7">
        <w:rPr>
          <w:lang w:val="en-GB"/>
        </w:rPr>
        <w:t>are of</w:t>
      </w:r>
      <w:r w:rsidR="00205EF5" w:rsidRPr="00205EF5">
        <w:rPr>
          <w:lang w:val="en-GB"/>
        </w:rPr>
        <w:t xml:space="preserve"> benefit</w:t>
      </w:r>
      <w:r w:rsidR="00A436B7">
        <w:rPr>
          <w:lang w:val="en-GB"/>
        </w:rPr>
        <w:t xml:space="preserve"> to </w:t>
      </w:r>
      <w:r w:rsidR="00DF0CC8">
        <w:rPr>
          <w:lang w:val="en-GB"/>
        </w:rPr>
        <w:t>people</w:t>
      </w:r>
      <w:r w:rsidR="00205EF5" w:rsidRPr="00205EF5">
        <w:rPr>
          <w:lang w:val="en-GB"/>
        </w:rPr>
        <w:t xml:space="preserve">, </w:t>
      </w:r>
      <w:r w:rsidR="00205EF5">
        <w:rPr>
          <w:lang w:val="en-GB"/>
        </w:rPr>
        <w:t xml:space="preserve">but they increase the risk of a </w:t>
      </w:r>
      <w:r w:rsidR="00205EF5" w:rsidRPr="00205EF5">
        <w:rPr>
          <w:lang w:val="en-GB"/>
        </w:rPr>
        <w:t xml:space="preserve">major bleeding event. </w:t>
      </w:r>
      <w:r w:rsidR="00D120BB" w:rsidRPr="0005586D">
        <w:rPr>
          <w:lang w:val="en-GB"/>
        </w:rPr>
        <w:t>The committee concluded that direct anticoagulants are associated with a risk of major bleeding event</w:t>
      </w:r>
      <w:r w:rsidR="00D47516" w:rsidRPr="0005586D">
        <w:rPr>
          <w:lang w:val="en-GB"/>
        </w:rPr>
        <w:t>s</w:t>
      </w:r>
      <w:r w:rsidR="00D120BB" w:rsidRPr="0005586D">
        <w:rPr>
          <w:lang w:val="en-GB"/>
        </w:rPr>
        <w:t>.</w:t>
      </w:r>
    </w:p>
    <w:p w14:paraId="095F9831" w14:textId="07F862B5" w:rsidR="00723AF0" w:rsidRPr="0005586D" w:rsidRDefault="00363AD5" w:rsidP="00723AF0">
      <w:pPr>
        <w:pStyle w:val="Heading3"/>
      </w:pPr>
      <w:r w:rsidRPr="0005586D">
        <w:t xml:space="preserve">There is a clinical need for effective </w:t>
      </w:r>
      <w:r w:rsidR="00A436B7">
        <w:t xml:space="preserve">anticoagulation </w:t>
      </w:r>
      <w:r w:rsidRPr="0005586D">
        <w:t>reversal agent</w:t>
      </w:r>
      <w:r w:rsidR="00D47516" w:rsidRPr="0005586D">
        <w:t>s</w:t>
      </w:r>
    </w:p>
    <w:p w14:paraId="2653687C" w14:textId="230B03E1" w:rsidR="0054532E" w:rsidRDefault="00D120BB" w:rsidP="004D606C">
      <w:pPr>
        <w:pStyle w:val="Numberedlevel2text"/>
        <w:rPr>
          <w:lang w:val="en-GB"/>
        </w:rPr>
      </w:pPr>
      <w:r w:rsidRPr="0005586D">
        <w:rPr>
          <w:lang w:val="en-GB"/>
        </w:rPr>
        <w:t>The patient expert</w:t>
      </w:r>
      <w:r w:rsidR="00646AC3">
        <w:rPr>
          <w:lang w:val="en-GB"/>
        </w:rPr>
        <w:t>s</w:t>
      </w:r>
      <w:r w:rsidRPr="0005586D">
        <w:rPr>
          <w:lang w:val="en-GB"/>
        </w:rPr>
        <w:t xml:space="preserve"> explained that </w:t>
      </w:r>
      <w:r w:rsidR="0054532E" w:rsidRPr="0005586D">
        <w:rPr>
          <w:lang w:val="en-GB"/>
        </w:rPr>
        <w:t xml:space="preserve">anticoagulation treatments are accepted by </w:t>
      </w:r>
      <w:r w:rsidR="00DF0CC8">
        <w:rPr>
          <w:lang w:val="en-GB"/>
        </w:rPr>
        <w:t>people</w:t>
      </w:r>
      <w:r w:rsidR="00DF0CC8" w:rsidRPr="0005586D">
        <w:rPr>
          <w:lang w:val="en-GB"/>
        </w:rPr>
        <w:t xml:space="preserve"> </w:t>
      </w:r>
      <w:r w:rsidR="0054532E" w:rsidRPr="0005586D">
        <w:rPr>
          <w:lang w:val="en-GB"/>
        </w:rPr>
        <w:t xml:space="preserve">because they are </w:t>
      </w:r>
      <w:r w:rsidR="001B64EC" w:rsidRPr="0005586D">
        <w:rPr>
          <w:lang w:val="en-GB"/>
        </w:rPr>
        <w:t>lifesaving</w:t>
      </w:r>
      <w:r w:rsidR="00DC19BC" w:rsidRPr="0005586D">
        <w:rPr>
          <w:lang w:val="en-GB"/>
        </w:rPr>
        <w:t>,</w:t>
      </w:r>
      <w:r w:rsidR="0054532E" w:rsidRPr="0005586D">
        <w:rPr>
          <w:lang w:val="en-GB"/>
        </w:rPr>
        <w:t xml:space="preserve"> but there are concerns about safely managing anticoagulation should </w:t>
      </w:r>
      <w:r w:rsidR="00220BF3">
        <w:rPr>
          <w:lang w:val="en-GB"/>
        </w:rPr>
        <w:t>a major bleed</w:t>
      </w:r>
      <w:r w:rsidR="0054532E" w:rsidRPr="0005586D">
        <w:rPr>
          <w:lang w:val="en-GB"/>
        </w:rPr>
        <w:t xml:space="preserve"> occur</w:t>
      </w:r>
      <w:r w:rsidR="00C51F9F" w:rsidRPr="0005586D">
        <w:rPr>
          <w:lang w:val="en-GB"/>
        </w:rPr>
        <w:t xml:space="preserve">. </w:t>
      </w:r>
      <w:r w:rsidR="00123DA4" w:rsidRPr="00123DA4">
        <w:rPr>
          <w:lang w:val="en-GB"/>
        </w:rPr>
        <w:t xml:space="preserve">If bleeding is life-threatening then anticoagulation needs to be reversed. </w:t>
      </w:r>
      <w:r w:rsidR="00220BF3">
        <w:rPr>
          <w:lang w:val="en-GB"/>
        </w:rPr>
        <w:t>Treatment</w:t>
      </w:r>
      <w:r w:rsidR="00C51F9F" w:rsidRPr="0005586D">
        <w:rPr>
          <w:lang w:val="en-GB"/>
        </w:rPr>
        <w:t xml:space="preserve"> is</w:t>
      </w:r>
      <w:r w:rsidR="00B94110" w:rsidRPr="0005586D">
        <w:rPr>
          <w:lang w:val="en-GB"/>
        </w:rPr>
        <w:t xml:space="preserve"> challenging </w:t>
      </w:r>
      <w:r w:rsidR="00157366">
        <w:rPr>
          <w:lang w:val="en-GB"/>
        </w:rPr>
        <w:t>if</w:t>
      </w:r>
      <w:r w:rsidR="00157366" w:rsidRPr="0005586D">
        <w:rPr>
          <w:lang w:val="en-GB"/>
        </w:rPr>
        <w:t xml:space="preserve"> </w:t>
      </w:r>
      <w:r w:rsidR="00B94110" w:rsidRPr="0005586D">
        <w:rPr>
          <w:lang w:val="en-GB"/>
        </w:rPr>
        <w:t xml:space="preserve">there is no </w:t>
      </w:r>
      <w:r w:rsidR="00220BF3">
        <w:rPr>
          <w:lang w:val="en-GB"/>
        </w:rPr>
        <w:t>reversal agent</w:t>
      </w:r>
      <w:r w:rsidR="00DC19BC" w:rsidRPr="0005586D">
        <w:rPr>
          <w:lang w:val="en-GB"/>
        </w:rPr>
        <w:t xml:space="preserve"> and relies on treating </w:t>
      </w:r>
      <w:r w:rsidR="00DF0CC8" w:rsidRPr="0005586D">
        <w:rPr>
          <w:lang w:val="en-GB"/>
        </w:rPr>
        <w:t>symptom</w:t>
      </w:r>
      <w:r w:rsidR="00DF0CC8">
        <w:rPr>
          <w:lang w:val="en-GB"/>
        </w:rPr>
        <w:t>s</w:t>
      </w:r>
      <w:r w:rsidR="00DF0CC8" w:rsidRPr="0005586D">
        <w:rPr>
          <w:lang w:val="en-GB"/>
        </w:rPr>
        <w:t xml:space="preserve"> </w:t>
      </w:r>
      <w:r w:rsidR="00DC19BC" w:rsidRPr="0005586D">
        <w:rPr>
          <w:lang w:val="en-GB"/>
        </w:rPr>
        <w:t xml:space="preserve">until the </w:t>
      </w:r>
      <w:r w:rsidR="00220BF3">
        <w:rPr>
          <w:lang w:val="en-GB"/>
        </w:rPr>
        <w:t xml:space="preserve">effects of the </w:t>
      </w:r>
      <w:r w:rsidR="00DC19BC" w:rsidRPr="0005586D">
        <w:rPr>
          <w:lang w:val="en-GB"/>
        </w:rPr>
        <w:t xml:space="preserve">anticoagulant </w:t>
      </w:r>
      <w:r w:rsidR="00220BF3">
        <w:rPr>
          <w:lang w:val="en-GB"/>
        </w:rPr>
        <w:t>stop,</w:t>
      </w:r>
      <w:r w:rsidR="00DC19BC" w:rsidRPr="0005586D">
        <w:rPr>
          <w:lang w:val="en-GB"/>
        </w:rPr>
        <w:t xml:space="preserve"> in line with the normal half-life of the drug</w:t>
      </w:r>
      <w:r w:rsidR="00B94110" w:rsidRPr="0005586D">
        <w:rPr>
          <w:lang w:val="en-GB"/>
        </w:rPr>
        <w:t>.</w:t>
      </w:r>
      <w:r w:rsidR="0054532E" w:rsidRPr="0005586D">
        <w:rPr>
          <w:lang w:val="en-GB"/>
        </w:rPr>
        <w:t xml:space="preserve"> </w:t>
      </w:r>
      <w:r w:rsidR="00220BF3">
        <w:rPr>
          <w:lang w:val="en-GB"/>
        </w:rPr>
        <w:t>The patient</w:t>
      </w:r>
      <w:r w:rsidR="00220BF3" w:rsidRPr="0005586D">
        <w:rPr>
          <w:lang w:val="en-GB"/>
        </w:rPr>
        <w:t xml:space="preserve"> </w:t>
      </w:r>
      <w:r w:rsidR="00C51F9F" w:rsidRPr="0005586D">
        <w:rPr>
          <w:lang w:val="en-GB"/>
        </w:rPr>
        <w:t xml:space="preserve">experts </w:t>
      </w:r>
      <w:r w:rsidR="00446D69" w:rsidRPr="0005586D">
        <w:rPr>
          <w:lang w:val="en-GB"/>
        </w:rPr>
        <w:t>explained</w:t>
      </w:r>
      <w:r w:rsidR="0054532E" w:rsidRPr="0005586D">
        <w:rPr>
          <w:lang w:val="en-GB"/>
        </w:rPr>
        <w:t xml:space="preserve"> that there is an unmet need </w:t>
      </w:r>
      <w:r w:rsidR="00DC19BC" w:rsidRPr="0005586D">
        <w:rPr>
          <w:lang w:val="en-GB"/>
        </w:rPr>
        <w:t>for a</w:t>
      </w:r>
      <w:r w:rsidR="0054532E" w:rsidRPr="0005586D">
        <w:rPr>
          <w:lang w:val="en-GB"/>
        </w:rPr>
        <w:t xml:space="preserve"> safe reversal agent</w:t>
      </w:r>
      <w:r w:rsidR="004D606C" w:rsidRPr="0005586D">
        <w:rPr>
          <w:lang w:val="en-GB"/>
        </w:rPr>
        <w:t xml:space="preserve"> for direct </w:t>
      </w:r>
      <w:r w:rsidR="00220BF3">
        <w:rPr>
          <w:lang w:val="en-GB"/>
        </w:rPr>
        <w:t xml:space="preserve">factor Xa </w:t>
      </w:r>
      <w:r w:rsidR="004D606C" w:rsidRPr="0005586D">
        <w:rPr>
          <w:lang w:val="en-GB"/>
        </w:rPr>
        <w:t>anticoagulants such as apixaban and rivaroxaban</w:t>
      </w:r>
      <w:r w:rsidR="006260FF" w:rsidRPr="0005586D">
        <w:rPr>
          <w:lang w:val="en-GB"/>
        </w:rPr>
        <w:t>.</w:t>
      </w:r>
      <w:r w:rsidR="00B94110" w:rsidRPr="0005586D">
        <w:rPr>
          <w:lang w:val="en-GB"/>
        </w:rPr>
        <w:t xml:space="preserve"> The committee concluded</w:t>
      </w:r>
      <w:r w:rsidR="006236FE" w:rsidRPr="0005586D">
        <w:rPr>
          <w:lang w:val="en-GB"/>
        </w:rPr>
        <w:t xml:space="preserve"> that</w:t>
      </w:r>
      <w:r w:rsidR="00B94110" w:rsidRPr="0005586D">
        <w:rPr>
          <w:lang w:val="en-GB"/>
        </w:rPr>
        <w:t xml:space="preserve"> the </w:t>
      </w:r>
      <w:r w:rsidR="00B94110" w:rsidRPr="0005586D">
        <w:rPr>
          <w:lang w:val="en-GB"/>
        </w:rPr>
        <w:lastRenderedPageBreak/>
        <w:t>availability of a</w:t>
      </w:r>
      <w:r w:rsidR="00783416" w:rsidRPr="0005586D">
        <w:rPr>
          <w:lang w:val="en-GB"/>
        </w:rPr>
        <w:t>n effective</w:t>
      </w:r>
      <w:r w:rsidR="00B94110" w:rsidRPr="0005586D">
        <w:rPr>
          <w:lang w:val="en-GB"/>
        </w:rPr>
        <w:t xml:space="preserve"> reversal agent would be greatly valued by </w:t>
      </w:r>
      <w:r w:rsidR="00DF0CC8">
        <w:rPr>
          <w:lang w:val="en-GB"/>
        </w:rPr>
        <w:t xml:space="preserve">people </w:t>
      </w:r>
      <w:r w:rsidR="00220BF3">
        <w:rPr>
          <w:lang w:val="en-GB"/>
        </w:rPr>
        <w:t xml:space="preserve">and </w:t>
      </w:r>
      <w:r w:rsidR="00B94110" w:rsidRPr="0005586D">
        <w:rPr>
          <w:lang w:val="en-GB"/>
        </w:rPr>
        <w:t>healthcare professionals.</w:t>
      </w:r>
    </w:p>
    <w:p w14:paraId="13A0CEF5" w14:textId="11B39173" w:rsidR="00B952B3" w:rsidRDefault="00D02947" w:rsidP="00B952B3">
      <w:pPr>
        <w:pStyle w:val="Heading3"/>
      </w:pPr>
      <w:r>
        <w:t>C</w:t>
      </w:r>
      <w:r w:rsidR="00B952B3">
        <w:t xml:space="preserve">linical need is increasing </w:t>
      </w:r>
      <w:r w:rsidR="000A0F5A">
        <w:t>because of</w:t>
      </w:r>
      <w:r w:rsidR="00B952B3">
        <w:t xml:space="preserve"> change</w:t>
      </w:r>
      <w:r w:rsidR="000A0F5A">
        <w:t>s</w:t>
      </w:r>
      <w:r w:rsidR="00B952B3">
        <w:t xml:space="preserve"> in clinical</w:t>
      </w:r>
      <w:r w:rsidR="00AD2D49">
        <w:t xml:space="preserve"> practice</w:t>
      </w:r>
    </w:p>
    <w:p w14:paraId="33385870" w14:textId="7EED3BB4" w:rsidR="00B952B3" w:rsidRPr="00B952B3" w:rsidRDefault="00B952B3" w:rsidP="00B952B3">
      <w:pPr>
        <w:pStyle w:val="Numberedlevel2text"/>
      </w:pPr>
      <w:r>
        <w:rPr>
          <w:lang w:val="en-GB"/>
        </w:rPr>
        <w:t>The patient experts</w:t>
      </w:r>
      <w:r w:rsidR="00646AC3">
        <w:rPr>
          <w:lang w:val="en-GB"/>
        </w:rPr>
        <w:t xml:space="preserve"> explained</w:t>
      </w:r>
      <w:r>
        <w:rPr>
          <w:lang w:val="en-GB"/>
        </w:rPr>
        <w:t xml:space="preserve"> that</w:t>
      </w:r>
      <w:r w:rsidR="00D74C6F">
        <w:rPr>
          <w:lang w:val="en-GB"/>
        </w:rPr>
        <w:t xml:space="preserve"> </w:t>
      </w:r>
      <w:r w:rsidR="00DF0CC8">
        <w:rPr>
          <w:lang w:val="en-GB"/>
        </w:rPr>
        <w:t xml:space="preserve">the </w:t>
      </w:r>
      <w:r w:rsidR="00D74C6F">
        <w:rPr>
          <w:lang w:val="en-GB"/>
        </w:rPr>
        <w:t>recently published</w:t>
      </w:r>
      <w:r w:rsidR="002306E6">
        <w:rPr>
          <w:lang w:val="en-GB"/>
        </w:rPr>
        <w:t xml:space="preserve"> </w:t>
      </w:r>
      <w:hyperlink r:id="rId10" w:history="1">
        <w:r w:rsidR="00432F7C">
          <w:rPr>
            <w:rStyle w:val="Hyperlink"/>
            <w:lang w:val="en-GB"/>
          </w:rPr>
          <w:t>NICE guideline on venous thromboembolic diseases</w:t>
        </w:r>
      </w:hyperlink>
      <w:r w:rsidR="00AD2D49">
        <w:rPr>
          <w:lang w:val="en-GB"/>
        </w:rPr>
        <w:t xml:space="preserve"> </w:t>
      </w:r>
      <w:r>
        <w:rPr>
          <w:lang w:val="en-GB"/>
        </w:rPr>
        <w:t>recommend</w:t>
      </w:r>
      <w:r w:rsidR="00DF0CC8">
        <w:rPr>
          <w:lang w:val="en-GB"/>
        </w:rPr>
        <w:t>s</w:t>
      </w:r>
      <w:r>
        <w:rPr>
          <w:lang w:val="en-GB"/>
        </w:rPr>
        <w:t xml:space="preserve"> </w:t>
      </w:r>
      <w:r w:rsidR="00DF0CC8">
        <w:rPr>
          <w:lang w:val="en-GB"/>
        </w:rPr>
        <w:t xml:space="preserve">offering </w:t>
      </w:r>
      <w:r>
        <w:rPr>
          <w:lang w:val="en-GB"/>
        </w:rPr>
        <w:t xml:space="preserve">apixaban or </w:t>
      </w:r>
      <w:r w:rsidR="005654FD">
        <w:rPr>
          <w:lang w:val="en-GB"/>
        </w:rPr>
        <w:t>rivaroxaban</w:t>
      </w:r>
      <w:r>
        <w:rPr>
          <w:lang w:val="en-GB"/>
        </w:rPr>
        <w:t xml:space="preserve"> as first choice for anticoagulation</w:t>
      </w:r>
      <w:r w:rsidR="00646AC3">
        <w:rPr>
          <w:lang w:val="en-GB"/>
        </w:rPr>
        <w:t xml:space="preserve">, including for </w:t>
      </w:r>
      <w:r w:rsidR="00DD514C">
        <w:rPr>
          <w:lang w:val="en-GB"/>
        </w:rPr>
        <w:t xml:space="preserve">people </w:t>
      </w:r>
      <w:r w:rsidR="00646AC3">
        <w:rPr>
          <w:lang w:val="en-GB"/>
        </w:rPr>
        <w:t>with cancer</w:t>
      </w:r>
      <w:r w:rsidR="00112E3F">
        <w:rPr>
          <w:lang w:val="en-GB"/>
        </w:rPr>
        <w:t>-</w:t>
      </w:r>
      <w:r w:rsidR="00646AC3">
        <w:rPr>
          <w:lang w:val="en-GB"/>
        </w:rPr>
        <w:t>associated thrombosis</w:t>
      </w:r>
      <w:r>
        <w:rPr>
          <w:lang w:val="en-GB"/>
        </w:rPr>
        <w:t xml:space="preserve">. </w:t>
      </w:r>
      <w:r w:rsidR="000A0F5A">
        <w:rPr>
          <w:lang w:val="en-GB"/>
        </w:rPr>
        <w:t>Also</w:t>
      </w:r>
      <w:r>
        <w:rPr>
          <w:lang w:val="en-GB"/>
        </w:rPr>
        <w:t xml:space="preserve">, </w:t>
      </w:r>
      <w:hyperlink r:id="rId11" w:history="1">
        <w:r w:rsidR="002306E6" w:rsidRPr="00EB1CE6">
          <w:rPr>
            <w:rStyle w:val="Hyperlink"/>
            <w:lang w:val="en-GB"/>
          </w:rPr>
          <w:t>NHS England</w:t>
        </w:r>
        <w:r w:rsidR="00EB1CE6" w:rsidRPr="00EB1CE6">
          <w:rPr>
            <w:rStyle w:val="Hyperlink"/>
            <w:lang w:val="en-GB"/>
          </w:rPr>
          <w:t>’s</w:t>
        </w:r>
        <w:r w:rsidR="002306E6" w:rsidRPr="00EB1CE6">
          <w:rPr>
            <w:rStyle w:val="Hyperlink"/>
            <w:lang w:val="en-GB"/>
          </w:rPr>
          <w:t xml:space="preserve"> </w:t>
        </w:r>
        <w:r w:rsidR="00EB1CE6" w:rsidRPr="00EB1CE6">
          <w:rPr>
            <w:rStyle w:val="Hyperlink"/>
            <w:lang w:val="en-GB"/>
          </w:rPr>
          <w:t>clinical guide for managing</w:t>
        </w:r>
        <w:r w:rsidR="002306E6" w:rsidRPr="00EB1CE6">
          <w:rPr>
            <w:rStyle w:val="Hyperlink"/>
            <w:lang w:val="en-GB"/>
          </w:rPr>
          <w:t xml:space="preserve"> anticoagulation</w:t>
        </w:r>
        <w:r w:rsidR="00BE7F34" w:rsidRPr="00EB1CE6">
          <w:rPr>
            <w:rStyle w:val="Hyperlink"/>
            <w:lang w:val="en-GB"/>
          </w:rPr>
          <w:t xml:space="preserve"> services</w:t>
        </w:r>
      </w:hyperlink>
      <w:r w:rsidR="002306E6">
        <w:rPr>
          <w:lang w:val="en-GB"/>
        </w:rPr>
        <w:t xml:space="preserve"> </w:t>
      </w:r>
      <w:r w:rsidR="00EB1CE6">
        <w:rPr>
          <w:lang w:val="en-GB"/>
        </w:rPr>
        <w:t xml:space="preserve">has </w:t>
      </w:r>
      <w:r w:rsidR="005654FD">
        <w:rPr>
          <w:lang w:val="en-GB"/>
        </w:rPr>
        <w:t xml:space="preserve">been updated considering the </w:t>
      </w:r>
      <w:r w:rsidR="000A0F5A">
        <w:rPr>
          <w:lang w:val="en-GB"/>
        </w:rPr>
        <w:t>COVID</w:t>
      </w:r>
      <w:r w:rsidR="005654FD">
        <w:rPr>
          <w:lang w:val="en-GB"/>
        </w:rPr>
        <w:t>-19 pandemic</w:t>
      </w:r>
      <w:r w:rsidR="00D74C6F">
        <w:rPr>
          <w:lang w:val="en-GB"/>
        </w:rPr>
        <w:t>. Th</w:t>
      </w:r>
      <w:r w:rsidR="00646AC3">
        <w:rPr>
          <w:lang w:val="en-GB"/>
        </w:rPr>
        <w:t>is</w:t>
      </w:r>
      <w:r w:rsidR="005654FD">
        <w:rPr>
          <w:lang w:val="en-GB"/>
        </w:rPr>
        <w:t xml:space="preserve"> </w:t>
      </w:r>
      <w:r w:rsidR="00112E3F">
        <w:rPr>
          <w:lang w:val="en-GB"/>
        </w:rPr>
        <w:t xml:space="preserve">has </w:t>
      </w:r>
      <w:r w:rsidR="005654FD">
        <w:rPr>
          <w:lang w:val="en-GB"/>
        </w:rPr>
        <w:t>resul</w:t>
      </w:r>
      <w:r w:rsidR="00D74C6F">
        <w:rPr>
          <w:lang w:val="en-GB"/>
        </w:rPr>
        <w:t>t</w:t>
      </w:r>
      <w:r w:rsidR="00112E3F">
        <w:rPr>
          <w:lang w:val="en-GB"/>
        </w:rPr>
        <w:t>ed</w:t>
      </w:r>
      <w:r w:rsidR="005654FD">
        <w:rPr>
          <w:lang w:val="en-GB"/>
        </w:rPr>
        <w:t xml:space="preserve"> in more </w:t>
      </w:r>
      <w:r w:rsidR="00066DA3">
        <w:rPr>
          <w:lang w:val="en-GB"/>
        </w:rPr>
        <w:t xml:space="preserve">people </w:t>
      </w:r>
      <w:r w:rsidR="00112E3F">
        <w:rPr>
          <w:lang w:val="en-GB"/>
        </w:rPr>
        <w:t xml:space="preserve">starting or </w:t>
      </w:r>
      <w:r w:rsidR="00066DA3">
        <w:rPr>
          <w:lang w:val="en-GB"/>
        </w:rPr>
        <w:t xml:space="preserve">switching treatment </w:t>
      </w:r>
      <w:r w:rsidR="005654FD">
        <w:rPr>
          <w:lang w:val="en-GB"/>
        </w:rPr>
        <w:t xml:space="preserve">to a </w:t>
      </w:r>
      <w:r w:rsidR="00D355A9">
        <w:rPr>
          <w:lang w:val="en-GB"/>
        </w:rPr>
        <w:t>direct oral anticoagulant</w:t>
      </w:r>
      <w:r w:rsidR="000A0F5A">
        <w:rPr>
          <w:lang w:val="en-GB"/>
        </w:rPr>
        <w:t xml:space="preserve">. </w:t>
      </w:r>
      <w:r w:rsidR="00D74C6F">
        <w:rPr>
          <w:lang w:val="en-GB"/>
        </w:rPr>
        <w:t>The patient experts explained that anxiety w</w:t>
      </w:r>
      <w:r w:rsidR="00646AC3">
        <w:rPr>
          <w:lang w:val="en-GB"/>
        </w:rPr>
        <w:t>ill</w:t>
      </w:r>
      <w:r w:rsidR="00D74C6F">
        <w:rPr>
          <w:lang w:val="en-GB"/>
        </w:rPr>
        <w:t xml:space="preserve"> be high </w:t>
      </w:r>
      <w:r w:rsidR="000A0F5A">
        <w:rPr>
          <w:lang w:val="en-GB"/>
        </w:rPr>
        <w:t xml:space="preserve">because of COVID-19 </w:t>
      </w:r>
      <w:r w:rsidR="00D74C6F">
        <w:rPr>
          <w:lang w:val="en-GB"/>
        </w:rPr>
        <w:t>and a reversal agent</w:t>
      </w:r>
      <w:r w:rsidR="000A0F5A">
        <w:rPr>
          <w:lang w:val="en-GB"/>
        </w:rPr>
        <w:t xml:space="preserve"> not being available</w:t>
      </w:r>
      <w:r w:rsidR="00D74C6F">
        <w:rPr>
          <w:lang w:val="en-GB"/>
        </w:rPr>
        <w:t xml:space="preserve"> would increase </w:t>
      </w:r>
      <w:r w:rsidR="00DD514C">
        <w:rPr>
          <w:lang w:val="en-GB"/>
        </w:rPr>
        <w:t xml:space="preserve">people’s </w:t>
      </w:r>
      <w:r w:rsidR="00D74C6F">
        <w:rPr>
          <w:lang w:val="en-GB"/>
        </w:rPr>
        <w:t>concerns.</w:t>
      </w:r>
      <w:r w:rsidR="00646AC3">
        <w:rPr>
          <w:lang w:val="en-GB"/>
        </w:rPr>
        <w:t xml:space="preserve"> </w:t>
      </w:r>
      <w:r w:rsidR="008F450E">
        <w:rPr>
          <w:lang w:val="en-GB"/>
        </w:rPr>
        <w:t>The committee concluded that because</w:t>
      </w:r>
      <w:r w:rsidR="008F450E" w:rsidRPr="008F450E">
        <w:rPr>
          <w:lang w:val="en-GB"/>
        </w:rPr>
        <w:t xml:space="preserve"> more people are having direct oral anticoagulants there is an increased need for a reversal agent. </w:t>
      </w:r>
    </w:p>
    <w:p w14:paraId="335E5722" w14:textId="68AF2514" w:rsidR="00643582" w:rsidRPr="0005586D" w:rsidRDefault="00CA72BE" w:rsidP="00643582">
      <w:pPr>
        <w:pStyle w:val="Heading2"/>
      </w:pPr>
      <w:r w:rsidRPr="0005586D">
        <w:t>Most relevant population</w:t>
      </w:r>
    </w:p>
    <w:p w14:paraId="45418A32" w14:textId="41444D50" w:rsidR="00643582" w:rsidRPr="0005586D" w:rsidRDefault="003B0007" w:rsidP="0073007E">
      <w:pPr>
        <w:pStyle w:val="Heading3"/>
      </w:pPr>
      <w:r w:rsidRPr="0005586D">
        <w:t xml:space="preserve">It is not appropriate to </w:t>
      </w:r>
      <w:r w:rsidR="00027397">
        <w:t>combine</w:t>
      </w:r>
      <w:r w:rsidR="00027397" w:rsidRPr="0005586D">
        <w:t xml:space="preserve"> </w:t>
      </w:r>
      <w:r w:rsidRPr="0005586D">
        <w:t>all bleed types for decision making</w:t>
      </w:r>
    </w:p>
    <w:p w14:paraId="2A12B237" w14:textId="23BC2AE6" w:rsidR="001B64EC" w:rsidRPr="0005586D" w:rsidRDefault="00321010" w:rsidP="00E34C59">
      <w:pPr>
        <w:pStyle w:val="Numberedlevel2text"/>
      </w:pPr>
      <w:r>
        <w:t xml:space="preserve">The clinical evidence </w:t>
      </w:r>
      <w:r w:rsidR="00220BF3">
        <w:t>came</w:t>
      </w:r>
      <w:r>
        <w:t xml:space="preserve"> from </w:t>
      </w:r>
      <w:r w:rsidR="001B64EC" w:rsidRPr="0005586D">
        <w:t>ANNEXA-4</w:t>
      </w:r>
      <w:r>
        <w:t>,</w:t>
      </w:r>
      <w:r w:rsidR="001B64EC" w:rsidRPr="0005586D">
        <w:t xml:space="preserve"> a single</w:t>
      </w:r>
      <w:r w:rsidR="0005586D">
        <w:t>-</w:t>
      </w:r>
      <w:r w:rsidR="001B64EC" w:rsidRPr="0005586D">
        <w:t>arm trial</w:t>
      </w:r>
      <w:r w:rsidR="00CF3057" w:rsidRPr="0005586D">
        <w:t xml:space="preserve"> of andexanet alfa</w:t>
      </w:r>
      <w:r w:rsidR="001B64EC" w:rsidRPr="0005586D">
        <w:t xml:space="preserve"> in people </w:t>
      </w:r>
      <w:r w:rsidR="00FA7DD9">
        <w:t>t</w:t>
      </w:r>
      <w:r w:rsidR="00AA25B7">
        <w:t>a</w:t>
      </w:r>
      <w:r w:rsidR="00FA7DD9">
        <w:t>king</w:t>
      </w:r>
      <w:r w:rsidR="002F6E5C" w:rsidRPr="0005586D">
        <w:t xml:space="preserve"> </w:t>
      </w:r>
      <w:r w:rsidR="001B64EC" w:rsidRPr="0005586D">
        <w:t xml:space="preserve">a </w:t>
      </w:r>
      <w:r w:rsidR="005A20E0">
        <w:t>direct factor</w:t>
      </w:r>
      <w:r w:rsidR="00674B83">
        <w:t xml:space="preserve"> </w:t>
      </w:r>
      <w:r w:rsidR="001B64EC" w:rsidRPr="0005586D">
        <w:t xml:space="preserve">Xa inhibitor </w:t>
      </w:r>
      <w:r w:rsidR="002F6E5C">
        <w:t>who</w:t>
      </w:r>
      <w:r w:rsidR="002F6E5C" w:rsidRPr="0005586D">
        <w:t xml:space="preserve"> </w:t>
      </w:r>
      <w:r w:rsidR="00674B83">
        <w:t>had an</w:t>
      </w:r>
      <w:r w:rsidR="00674B83" w:rsidRPr="0005586D">
        <w:t xml:space="preserve"> </w:t>
      </w:r>
      <w:r w:rsidR="001B64EC" w:rsidRPr="0005586D">
        <w:t xml:space="preserve">acute major </w:t>
      </w:r>
      <w:r w:rsidR="00674B83">
        <w:t>bleed</w:t>
      </w:r>
      <w:r w:rsidR="001B64EC" w:rsidRPr="0005586D">
        <w:t xml:space="preserve">. </w:t>
      </w:r>
      <w:r w:rsidR="006236FE" w:rsidRPr="0005586D">
        <w:t>Initially, t</w:t>
      </w:r>
      <w:r w:rsidR="001B64EC" w:rsidRPr="0005586D">
        <w:t xml:space="preserve">he company submitted results for 3 </w:t>
      </w:r>
      <w:r w:rsidR="00027397">
        <w:t>groups</w:t>
      </w:r>
      <w:r w:rsidR="001B64EC" w:rsidRPr="0005586D">
        <w:t xml:space="preserve">: the whole </w:t>
      </w:r>
      <w:r w:rsidR="00027397">
        <w:t>trial population</w:t>
      </w:r>
      <w:r w:rsidR="001B64EC" w:rsidRPr="0005586D">
        <w:t xml:space="preserve">, </w:t>
      </w:r>
      <w:r w:rsidR="00220BF3">
        <w:t>a cohort of people with</w:t>
      </w:r>
      <w:r w:rsidR="001B64EC" w:rsidRPr="0005586D">
        <w:t xml:space="preserve"> intracranial haemorrhage (ICH) and severe gastrointestinal (GI) bleeds</w:t>
      </w:r>
      <w:r w:rsidR="00157366">
        <w:t>,</w:t>
      </w:r>
      <w:r w:rsidR="001B64EC" w:rsidRPr="0005586D">
        <w:t xml:space="preserve"> and </w:t>
      </w:r>
      <w:r w:rsidR="00220BF3">
        <w:t>a cohort of people with</w:t>
      </w:r>
      <w:r w:rsidR="00220BF3" w:rsidRPr="0005586D">
        <w:t xml:space="preserve"> </w:t>
      </w:r>
      <w:r w:rsidR="001B64EC" w:rsidRPr="0005586D">
        <w:t>ICH</w:t>
      </w:r>
      <w:r w:rsidR="00220BF3">
        <w:t xml:space="preserve"> alone</w:t>
      </w:r>
      <w:r w:rsidR="001B64EC" w:rsidRPr="0005586D">
        <w:t xml:space="preserve">. After technical engagement, the company </w:t>
      </w:r>
      <w:r w:rsidR="009F0A79">
        <w:t xml:space="preserve">also </w:t>
      </w:r>
      <w:r w:rsidR="001B64EC" w:rsidRPr="0005586D">
        <w:t xml:space="preserve">provided results for </w:t>
      </w:r>
      <w:r w:rsidR="00674B83">
        <w:t xml:space="preserve">a cohort of people with </w:t>
      </w:r>
      <w:r w:rsidR="001B64EC" w:rsidRPr="0005586D">
        <w:t>severe GI bleeds</w:t>
      </w:r>
      <w:r w:rsidR="00157366">
        <w:t xml:space="preserve"> alone</w:t>
      </w:r>
      <w:r w:rsidR="001B64EC" w:rsidRPr="0005586D">
        <w:t xml:space="preserve">. The clinical experts explained that </w:t>
      </w:r>
      <w:r w:rsidR="00674B83">
        <w:t xml:space="preserve">different types of </w:t>
      </w:r>
      <w:r w:rsidR="001B64EC" w:rsidRPr="0005586D">
        <w:t xml:space="preserve">bleeds should be </w:t>
      </w:r>
      <w:r w:rsidR="00674B83">
        <w:t>considered</w:t>
      </w:r>
      <w:r w:rsidR="001B64EC" w:rsidRPr="0005586D">
        <w:t xml:space="preserve"> </w:t>
      </w:r>
      <w:r w:rsidR="00674B83">
        <w:t>separately</w:t>
      </w:r>
      <w:r w:rsidR="00674B83" w:rsidRPr="0005586D">
        <w:t xml:space="preserve"> </w:t>
      </w:r>
      <w:r w:rsidR="001B64EC" w:rsidRPr="0005586D">
        <w:t xml:space="preserve">because </w:t>
      </w:r>
      <w:r w:rsidR="00674B83">
        <w:t>their treatment and</w:t>
      </w:r>
      <w:r w:rsidR="001B64EC" w:rsidRPr="0005586D">
        <w:t xml:space="preserve"> outcomes vary.</w:t>
      </w:r>
      <w:r w:rsidR="00446D69" w:rsidRPr="0005586D">
        <w:t xml:space="preserve"> </w:t>
      </w:r>
      <w:r w:rsidR="009F0A79" w:rsidRPr="009F0A79">
        <w:rPr>
          <w:lang w:val="en-GB"/>
        </w:rPr>
        <w:t>The clinical experts explained that</w:t>
      </w:r>
      <w:r w:rsidR="00D02947">
        <w:rPr>
          <w:lang w:val="en-GB"/>
        </w:rPr>
        <w:t xml:space="preserve"> most</w:t>
      </w:r>
      <w:r w:rsidR="009F0A79" w:rsidRPr="009F0A79">
        <w:rPr>
          <w:lang w:val="en-GB"/>
        </w:rPr>
        <w:t xml:space="preserve"> GI bleeds can be managed using measures such as endoscopy, embolisation or surgery</w:t>
      </w:r>
      <w:r w:rsidR="009F0A79">
        <w:rPr>
          <w:lang w:val="en-GB"/>
        </w:rPr>
        <w:t>.</w:t>
      </w:r>
      <w:r w:rsidR="009F0A79" w:rsidRPr="009F0A79">
        <w:rPr>
          <w:lang w:val="en-GB"/>
        </w:rPr>
        <w:t xml:space="preserve"> </w:t>
      </w:r>
      <w:r w:rsidR="00446D69" w:rsidRPr="0005586D">
        <w:t xml:space="preserve">The committee noted that ICH </w:t>
      </w:r>
      <w:r w:rsidR="00674B83">
        <w:t>may</w:t>
      </w:r>
      <w:r w:rsidR="00674B83" w:rsidRPr="0005586D">
        <w:t xml:space="preserve"> </w:t>
      </w:r>
      <w:r w:rsidR="009F0A79">
        <w:rPr>
          <w:lang w:val="en-GB"/>
        </w:rPr>
        <w:t xml:space="preserve">occur within the brain </w:t>
      </w:r>
      <w:r w:rsidR="00C2375F">
        <w:rPr>
          <w:lang w:val="en-GB"/>
        </w:rPr>
        <w:t xml:space="preserve">tissue </w:t>
      </w:r>
      <w:r w:rsidR="009F0A79">
        <w:rPr>
          <w:lang w:val="en-GB"/>
        </w:rPr>
        <w:t>(intracerebral</w:t>
      </w:r>
      <w:r w:rsidR="00E34C59">
        <w:rPr>
          <w:lang w:val="en-GB"/>
        </w:rPr>
        <w:t>)</w:t>
      </w:r>
      <w:r w:rsidR="009F0A79">
        <w:rPr>
          <w:lang w:val="en-GB"/>
        </w:rPr>
        <w:t xml:space="preserve"> or outside the brain (subdural or subarachnoid) and </w:t>
      </w:r>
      <w:r w:rsidR="00C2375F">
        <w:rPr>
          <w:lang w:val="en-GB"/>
        </w:rPr>
        <w:t xml:space="preserve">can </w:t>
      </w:r>
      <w:r w:rsidR="00446D69" w:rsidRPr="0005586D">
        <w:t>lead to mortality and long-term disability</w:t>
      </w:r>
      <w:r w:rsidR="009F0A79">
        <w:rPr>
          <w:lang w:val="en-GB"/>
        </w:rPr>
        <w:t xml:space="preserve">. Treatment </w:t>
      </w:r>
      <w:r w:rsidR="00EF2209">
        <w:rPr>
          <w:lang w:val="en-GB"/>
        </w:rPr>
        <w:t>options</w:t>
      </w:r>
      <w:r w:rsidR="00220BF3">
        <w:t xml:space="preserve"> are very limited </w:t>
      </w:r>
      <w:r w:rsidR="001B64EC" w:rsidRPr="0005586D">
        <w:t>for ICH</w:t>
      </w:r>
      <w:r w:rsidR="00B82A15" w:rsidRPr="0005586D">
        <w:t xml:space="preserve">, particularly if </w:t>
      </w:r>
      <w:r w:rsidR="00B82A15" w:rsidRPr="0005586D">
        <w:lastRenderedPageBreak/>
        <w:t xml:space="preserve">the bleed </w:t>
      </w:r>
      <w:r w:rsidR="009C5F80" w:rsidRPr="0005586D">
        <w:t>is</w:t>
      </w:r>
      <w:r w:rsidR="00B82A15" w:rsidRPr="0005586D">
        <w:t xml:space="preserve"> </w:t>
      </w:r>
      <w:r w:rsidR="00494D8F">
        <w:t>in</w:t>
      </w:r>
      <w:r w:rsidR="00B82A15" w:rsidRPr="0005586D">
        <w:t xml:space="preserve"> the brain</w:t>
      </w:r>
      <w:r w:rsidR="009C5F80" w:rsidRPr="0005586D">
        <w:t xml:space="preserve"> </w:t>
      </w:r>
      <w:r w:rsidR="0042778A">
        <w:t>tissue</w:t>
      </w:r>
      <w:r w:rsidR="00E34C59">
        <w:rPr>
          <w:lang w:val="en-GB"/>
        </w:rPr>
        <w:t>.</w:t>
      </w:r>
      <w:r w:rsidR="00E34C59" w:rsidRPr="00E34C59">
        <w:t xml:space="preserve"> </w:t>
      </w:r>
      <w:r w:rsidR="00E34C59" w:rsidRPr="00E34C59">
        <w:rPr>
          <w:lang w:val="en-GB"/>
        </w:rPr>
        <w:t xml:space="preserve">The effect of bleeding </w:t>
      </w:r>
      <w:r w:rsidR="00C2375F">
        <w:rPr>
          <w:lang w:val="en-GB"/>
        </w:rPr>
        <w:t>in</w:t>
      </w:r>
      <w:r w:rsidR="00C2375F" w:rsidRPr="00E34C59">
        <w:rPr>
          <w:lang w:val="en-GB"/>
        </w:rPr>
        <w:t xml:space="preserve"> </w:t>
      </w:r>
      <w:r w:rsidR="00E34C59" w:rsidRPr="00E34C59">
        <w:rPr>
          <w:lang w:val="en-GB"/>
        </w:rPr>
        <w:t xml:space="preserve">other </w:t>
      </w:r>
      <w:r w:rsidR="00C2375F">
        <w:rPr>
          <w:lang w:val="en-GB"/>
        </w:rPr>
        <w:t>place</w:t>
      </w:r>
      <w:r w:rsidR="00D02947">
        <w:rPr>
          <w:lang w:val="en-GB"/>
        </w:rPr>
        <w:t>s</w:t>
      </w:r>
      <w:r w:rsidR="00C2375F">
        <w:rPr>
          <w:lang w:val="en-GB"/>
        </w:rPr>
        <w:t xml:space="preserve"> in the body</w:t>
      </w:r>
      <w:r w:rsidR="00C2375F" w:rsidRPr="00E34C59">
        <w:rPr>
          <w:lang w:val="en-GB"/>
        </w:rPr>
        <w:t xml:space="preserve"> </w:t>
      </w:r>
      <w:r w:rsidR="00E34C59" w:rsidRPr="00E34C59">
        <w:rPr>
          <w:lang w:val="en-GB"/>
        </w:rPr>
        <w:t xml:space="preserve">would vary </w:t>
      </w:r>
      <w:r w:rsidR="00420FAE">
        <w:rPr>
          <w:lang w:val="en-GB"/>
        </w:rPr>
        <w:t xml:space="preserve">considerably, </w:t>
      </w:r>
      <w:r w:rsidR="00E34C59" w:rsidRPr="00E34C59">
        <w:rPr>
          <w:lang w:val="en-GB"/>
        </w:rPr>
        <w:t>depending on where the bleed occurred</w:t>
      </w:r>
      <w:r w:rsidR="00C2375F">
        <w:rPr>
          <w:lang w:val="en-GB"/>
        </w:rPr>
        <w:t>. F</w:t>
      </w:r>
      <w:r w:rsidR="00E34C59" w:rsidRPr="00E34C59">
        <w:rPr>
          <w:lang w:val="en-GB"/>
        </w:rPr>
        <w:t xml:space="preserve">or </w:t>
      </w:r>
      <w:r w:rsidR="007E6C28" w:rsidRPr="00E34C59">
        <w:rPr>
          <w:lang w:val="en-GB"/>
        </w:rPr>
        <w:t>example,</w:t>
      </w:r>
      <w:r w:rsidR="00E34C59" w:rsidRPr="00E34C59">
        <w:rPr>
          <w:lang w:val="en-GB"/>
        </w:rPr>
        <w:t xml:space="preserve"> a bleed into the eye could lead to blindness in that eye</w:t>
      </w:r>
      <w:r w:rsidR="00E34C59">
        <w:rPr>
          <w:lang w:val="en-GB"/>
        </w:rPr>
        <w:t>.</w:t>
      </w:r>
      <w:r w:rsidR="0042778A">
        <w:t xml:space="preserve"> </w:t>
      </w:r>
      <w:r w:rsidR="007E3F62" w:rsidRPr="0005586D">
        <w:t xml:space="preserve">The committee concluded that </w:t>
      </w:r>
      <w:r w:rsidR="00674B83">
        <w:t>different types of</w:t>
      </w:r>
      <w:r w:rsidR="00674B83" w:rsidRPr="0005586D">
        <w:t xml:space="preserve"> </w:t>
      </w:r>
      <w:r w:rsidR="007E3F62" w:rsidRPr="0005586D">
        <w:t>bleeds should be considered separately</w:t>
      </w:r>
      <w:r w:rsidR="00EA1A94" w:rsidRPr="0005586D">
        <w:t xml:space="preserve"> </w:t>
      </w:r>
      <w:r w:rsidR="00674B83">
        <w:t>for decision making</w:t>
      </w:r>
      <w:r w:rsidR="007E3F62" w:rsidRPr="0005586D">
        <w:t>.</w:t>
      </w:r>
      <w:r w:rsidR="009F0A79">
        <w:rPr>
          <w:lang w:val="en-GB"/>
        </w:rPr>
        <w:t xml:space="preserve"> </w:t>
      </w:r>
    </w:p>
    <w:p w14:paraId="7E5F67A4" w14:textId="5BDBE2F7" w:rsidR="00643582" w:rsidRPr="0005586D" w:rsidRDefault="00CA72BE" w:rsidP="00643582">
      <w:pPr>
        <w:pStyle w:val="Heading2"/>
      </w:pPr>
      <w:r w:rsidRPr="0005586D">
        <w:t>Clinical evidence</w:t>
      </w:r>
    </w:p>
    <w:p w14:paraId="6EE89E89" w14:textId="3B72D0F5" w:rsidR="001F0E0C" w:rsidRPr="0005586D" w:rsidRDefault="00F27E59" w:rsidP="0073007E">
      <w:pPr>
        <w:pStyle w:val="Heading3"/>
      </w:pPr>
      <w:r>
        <w:t xml:space="preserve"> </w:t>
      </w:r>
      <w:r w:rsidR="00976DA1">
        <w:t>The e</w:t>
      </w:r>
      <w:r>
        <w:t>vidence on clinical events was limited to 30-day mortality</w:t>
      </w:r>
    </w:p>
    <w:p w14:paraId="44BBD1F5" w14:textId="32746182" w:rsidR="001F0E0C" w:rsidRPr="0005586D" w:rsidRDefault="00F27E59" w:rsidP="001F0E0C">
      <w:pPr>
        <w:pStyle w:val="Numberedlevel2text"/>
        <w:rPr>
          <w:lang w:val="en-GB"/>
        </w:rPr>
      </w:pPr>
      <w:r w:rsidRPr="0005586D">
        <w:rPr>
          <w:lang w:val="en-GB"/>
        </w:rPr>
        <w:t xml:space="preserve">The committee noted that the </w:t>
      </w:r>
      <w:r>
        <w:rPr>
          <w:lang w:val="en-GB"/>
        </w:rPr>
        <w:t>2 </w:t>
      </w:r>
      <w:r w:rsidRPr="0005586D">
        <w:rPr>
          <w:lang w:val="en-GB"/>
        </w:rPr>
        <w:t xml:space="preserve">primary outcomes in the trial were </w:t>
      </w:r>
      <w:r>
        <w:rPr>
          <w:lang w:val="en-GB"/>
        </w:rPr>
        <w:t xml:space="preserve">both </w:t>
      </w:r>
      <w:r w:rsidRPr="0005586D">
        <w:rPr>
          <w:lang w:val="en-GB"/>
        </w:rPr>
        <w:t xml:space="preserve">haematological: change in </w:t>
      </w:r>
      <w:r>
        <w:rPr>
          <w:lang w:val="en-GB"/>
        </w:rPr>
        <w:t>‘</w:t>
      </w:r>
      <w:r w:rsidRPr="0005586D">
        <w:rPr>
          <w:lang w:val="en-GB"/>
        </w:rPr>
        <w:t>anti-</w:t>
      </w:r>
      <w:r>
        <w:rPr>
          <w:lang w:val="en-GB"/>
        </w:rPr>
        <w:t>factor </w:t>
      </w:r>
      <w:r w:rsidRPr="0005586D">
        <w:rPr>
          <w:lang w:val="en-GB"/>
        </w:rPr>
        <w:t>Xa</w:t>
      </w:r>
      <w:r>
        <w:rPr>
          <w:lang w:val="en-GB"/>
        </w:rPr>
        <w:t xml:space="preserve"> </w:t>
      </w:r>
      <w:r w:rsidRPr="0005586D">
        <w:rPr>
          <w:lang w:val="en-GB"/>
        </w:rPr>
        <w:t>activity</w:t>
      </w:r>
      <w:r>
        <w:rPr>
          <w:lang w:val="en-GB"/>
        </w:rPr>
        <w:t>’</w:t>
      </w:r>
      <w:r w:rsidRPr="0005586D">
        <w:rPr>
          <w:lang w:val="en-GB"/>
        </w:rPr>
        <w:t xml:space="preserve"> and haemostatic efficacy</w:t>
      </w:r>
      <w:r w:rsidR="000A51B4" w:rsidRPr="0005586D">
        <w:rPr>
          <w:lang w:val="en-GB"/>
        </w:rPr>
        <w:t>. The</w:t>
      </w:r>
      <w:r w:rsidR="00DD592F" w:rsidRPr="0005586D">
        <w:rPr>
          <w:lang w:val="en-GB"/>
        </w:rPr>
        <w:t xml:space="preserve"> only </w:t>
      </w:r>
      <w:r>
        <w:rPr>
          <w:lang w:val="en-GB"/>
        </w:rPr>
        <w:t>outcome related to clinical event</w:t>
      </w:r>
      <w:r w:rsidR="00C13897">
        <w:rPr>
          <w:lang w:val="en-GB"/>
        </w:rPr>
        <w:t>s</w:t>
      </w:r>
      <w:r>
        <w:rPr>
          <w:lang w:val="en-GB"/>
        </w:rPr>
        <w:t xml:space="preserve"> </w:t>
      </w:r>
      <w:r w:rsidR="00DD592F" w:rsidRPr="0005586D">
        <w:rPr>
          <w:lang w:val="en-GB"/>
        </w:rPr>
        <w:t xml:space="preserve">was the </w:t>
      </w:r>
      <w:r w:rsidR="00D4430A" w:rsidRPr="0005586D">
        <w:rPr>
          <w:lang w:val="en-GB"/>
        </w:rPr>
        <w:t>safety endpoint of 30-day mortality</w:t>
      </w:r>
      <w:r w:rsidR="00DD592F" w:rsidRPr="0005586D">
        <w:rPr>
          <w:lang w:val="en-GB"/>
        </w:rPr>
        <w:t>. However</w:t>
      </w:r>
      <w:r w:rsidR="000A51B4" w:rsidRPr="0005586D">
        <w:rPr>
          <w:lang w:val="en-GB"/>
        </w:rPr>
        <w:t>,</w:t>
      </w:r>
      <w:r w:rsidR="00DD592F" w:rsidRPr="0005586D">
        <w:rPr>
          <w:lang w:val="en-GB"/>
        </w:rPr>
        <w:t xml:space="preserve"> the trial excluded </w:t>
      </w:r>
      <w:r w:rsidR="000A51B4" w:rsidRPr="0005586D">
        <w:rPr>
          <w:lang w:val="en-GB"/>
        </w:rPr>
        <w:t xml:space="preserve">all </w:t>
      </w:r>
      <w:r w:rsidR="00DD592F" w:rsidRPr="0005586D">
        <w:rPr>
          <w:lang w:val="en-GB"/>
        </w:rPr>
        <w:t xml:space="preserve">patients with an expected </w:t>
      </w:r>
      <w:r w:rsidR="000A51B4" w:rsidRPr="0005586D">
        <w:rPr>
          <w:lang w:val="en-GB"/>
        </w:rPr>
        <w:t>life</w:t>
      </w:r>
      <w:r w:rsidR="00681BD0">
        <w:rPr>
          <w:lang w:val="en-GB"/>
        </w:rPr>
        <w:t>s</w:t>
      </w:r>
      <w:r w:rsidR="000A51B4" w:rsidRPr="0005586D">
        <w:rPr>
          <w:lang w:val="en-GB"/>
        </w:rPr>
        <w:t xml:space="preserve">pan of less than </w:t>
      </w:r>
      <w:r w:rsidR="00677648">
        <w:rPr>
          <w:lang w:val="en-GB"/>
        </w:rPr>
        <w:t>1 </w:t>
      </w:r>
      <w:r w:rsidR="000A51B4" w:rsidRPr="0005586D">
        <w:rPr>
          <w:lang w:val="en-GB"/>
        </w:rPr>
        <w:t xml:space="preserve">month. The clinical experts </w:t>
      </w:r>
      <w:r w:rsidR="00494D8F">
        <w:rPr>
          <w:lang w:val="en-GB"/>
        </w:rPr>
        <w:t xml:space="preserve">explained </w:t>
      </w:r>
      <w:r w:rsidR="000A51B4" w:rsidRPr="0005586D">
        <w:rPr>
          <w:lang w:val="en-GB"/>
        </w:rPr>
        <w:t xml:space="preserve">that in clinical practice all patients would be </w:t>
      </w:r>
      <w:r w:rsidR="00677648">
        <w:rPr>
          <w:lang w:val="en-GB"/>
        </w:rPr>
        <w:t>offered treatment</w:t>
      </w:r>
      <w:r w:rsidR="000A51B4" w:rsidRPr="0005586D">
        <w:rPr>
          <w:lang w:val="en-GB"/>
        </w:rPr>
        <w:t xml:space="preserve">, </w:t>
      </w:r>
      <w:r w:rsidR="00677648">
        <w:rPr>
          <w:lang w:val="en-GB"/>
        </w:rPr>
        <w:t xml:space="preserve">rather than only </w:t>
      </w:r>
      <w:r w:rsidR="000A51B4" w:rsidRPr="0005586D">
        <w:rPr>
          <w:lang w:val="en-GB"/>
        </w:rPr>
        <w:t>a selected group based on anticipated survival</w:t>
      </w:r>
      <w:r w:rsidR="00494D8F">
        <w:rPr>
          <w:lang w:val="en-GB"/>
        </w:rPr>
        <w:t>.</w:t>
      </w:r>
      <w:r w:rsidR="000A51B4" w:rsidRPr="0005586D">
        <w:rPr>
          <w:lang w:val="en-GB"/>
        </w:rPr>
        <w:t xml:space="preserve"> </w:t>
      </w:r>
      <w:r w:rsidR="00494D8F">
        <w:rPr>
          <w:lang w:val="en-GB"/>
        </w:rPr>
        <w:t>Therefore,</w:t>
      </w:r>
      <w:r w:rsidR="00494D8F" w:rsidRPr="0005586D">
        <w:rPr>
          <w:lang w:val="en-GB"/>
        </w:rPr>
        <w:t xml:space="preserve"> </w:t>
      </w:r>
      <w:r w:rsidR="000A51B4" w:rsidRPr="0005586D">
        <w:rPr>
          <w:lang w:val="en-GB"/>
        </w:rPr>
        <w:t>the generalisability of the 30-day</w:t>
      </w:r>
      <w:r w:rsidR="00172737" w:rsidRPr="0005586D">
        <w:rPr>
          <w:lang w:val="en-GB"/>
        </w:rPr>
        <w:t xml:space="preserve"> mortality </w:t>
      </w:r>
      <w:r w:rsidR="000A51B4" w:rsidRPr="0005586D">
        <w:rPr>
          <w:lang w:val="en-GB"/>
        </w:rPr>
        <w:t xml:space="preserve">data from ANNEXA-4 </w:t>
      </w:r>
      <w:r w:rsidR="00D41211">
        <w:rPr>
          <w:lang w:val="en-GB"/>
        </w:rPr>
        <w:t xml:space="preserve">to routine NHS practice </w:t>
      </w:r>
      <w:r w:rsidR="00494D8F">
        <w:rPr>
          <w:lang w:val="en-GB"/>
        </w:rPr>
        <w:t>is</w:t>
      </w:r>
      <w:r w:rsidR="000A51B4" w:rsidRPr="0005586D">
        <w:rPr>
          <w:lang w:val="en-GB"/>
        </w:rPr>
        <w:t xml:space="preserve"> questionable.</w:t>
      </w:r>
      <w:r w:rsidR="00F43E08">
        <w:rPr>
          <w:lang w:val="en-GB"/>
        </w:rPr>
        <w:t xml:space="preserve"> </w:t>
      </w:r>
      <w:r w:rsidR="007B1646" w:rsidRPr="0005586D">
        <w:rPr>
          <w:lang w:val="en-GB"/>
        </w:rPr>
        <w:t>In</w:t>
      </w:r>
      <w:r w:rsidR="00AB06BE" w:rsidRPr="0005586D">
        <w:rPr>
          <w:lang w:val="en-GB"/>
        </w:rPr>
        <w:t xml:space="preserve"> their response to technical engagement, the clinical experts </w:t>
      </w:r>
      <w:r w:rsidR="00172737" w:rsidRPr="0005586D">
        <w:rPr>
          <w:lang w:val="en-GB"/>
        </w:rPr>
        <w:t xml:space="preserve">questioned the </w:t>
      </w:r>
      <w:r w:rsidR="007B1646" w:rsidRPr="0005586D">
        <w:rPr>
          <w:lang w:val="en-GB"/>
        </w:rPr>
        <w:t xml:space="preserve">definitions of </w:t>
      </w:r>
      <w:r w:rsidR="00AB06BE" w:rsidRPr="0005586D">
        <w:rPr>
          <w:lang w:val="en-GB"/>
        </w:rPr>
        <w:t xml:space="preserve">haemostatic </w:t>
      </w:r>
      <w:r w:rsidR="00172737" w:rsidRPr="0005586D">
        <w:rPr>
          <w:lang w:val="en-GB"/>
        </w:rPr>
        <w:t xml:space="preserve">efficacy in relation to intracerebral </w:t>
      </w:r>
      <w:r w:rsidR="00777769" w:rsidRPr="0005586D">
        <w:rPr>
          <w:lang w:val="en-GB"/>
        </w:rPr>
        <w:t>haemorrhage</w:t>
      </w:r>
      <w:r w:rsidR="005A20E0">
        <w:rPr>
          <w:lang w:val="en-GB"/>
        </w:rPr>
        <w:t>.</w:t>
      </w:r>
      <w:r w:rsidR="00777769" w:rsidRPr="0005586D">
        <w:rPr>
          <w:lang w:val="en-GB"/>
        </w:rPr>
        <w:t xml:space="preserve"> </w:t>
      </w:r>
      <w:r w:rsidR="005A20E0">
        <w:rPr>
          <w:lang w:val="en-GB"/>
        </w:rPr>
        <w:t>They</w:t>
      </w:r>
      <w:r w:rsidR="005A20E0" w:rsidRPr="0005586D">
        <w:rPr>
          <w:lang w:val="en-GB"/>
        </w:rPr>
        <w:t xml:space="preserve"> </w:t>
      </w:r>
      <w:r w:rsidR="005A20E0">
        <w:rPr>
          <w:lang w:val="en-GB"/>
        </w:rPr>
        <w:t xml:space="preserve">considered that haemostatic efficacy </w:t>
      </w:r>
      <w:r w:rsidR="00AC20C1">
        <w:rPr>
          <w:lang w:val="en-GB"/>
        </w:rPr>
        <w:t xml:space="preserve">as defined in the trial </w:t>
      </w:r>
      <w:r w:rsidR="00172737" w:rsidRPr="0005586D">
        <w:rPr>
          <w:lang w:val="en-GB"/>
        </w:rPr>
        <w:t xml:space="preserve">could </w:t>
      </w:r>
      <w:r w:rsidR="005A20E0">
        <w:rPr>
          <w:lang w:val="en-GB"/>
        </w:rPr>
        <w:t xml:space="preserve">not </w:t>
      </w:r>
      <w:r w:rsidR="00172737" w:rsidRPr="0005586D">
        <w:rPr>
          <w:lang w:val="en-GB"/>
        </w:rPr>
        <w:t>be considered predictive of clinical outcomes</w:t>
      </w:r>
      <w:r w:rsidR="00AB06BE" w:rsidRPr="0005586D">
        <w:rPr>
          <w:lang w:val="en-GB"/>
        </w:rPr>
        <w:t>.</w:t>
      </w:r>
      <w:r w:rsidR="007204E5">
        <w:rPr>
          <w:lang w:val="en-GB"/>
        </w:rPr>
        <w:t xml:space="preserve"> </w:t>
      </w:r>
      <w:r w:rsidR="009A4C23">
        <w:rPr>
          <w:lang w:val="en-GB"/>
        </w:rPr>
        <w:t>T</w:t>
      </w:r>
      <w:r w:rsidR="007204E5">
        <w:rPr>
          <w:lang w:val="en-GB"/>
        </w:rPr>
        <w:t xml:space="preserve">he clinical expert </w:t>
      </w:r>
      <w:r w:rsidR="00CF335C">
        <w:rPr>
          <w:lang w:val="en-GB"/>
        </w:rPr>
        <w:t>explained</w:t>
      </w:r>
      <w:r w:rsidR="009A4C23">
        <w:rPr>
          <w:lang w:val="en-GB"/>
        </w:rPr>
        <w:t xml:space="preserve"> </w:t>
      </w:r>
      <w:r w:rsidR="007204E5">
        <w:rPr>
          <w:lang w:val="en-GB"/>
        </w:rPr>
        <w:t>that ICH types are heterogenous and have different management strategies</w:t>
      </w:r>
      <w:r w:rsidR="00D41211">
        <w:rPr>
          <w:lang w:val="en-GB"/>
        </w:rPr>
        <w:t xml:space="preserve"> and outcomes.</w:t>
      </w:r>
      <w:r w:rsidR="00394D35">
        <w:rPr>
          <w:lang w:val="en-GB"/>
        </w:rPr>
        <w:t xml:space="preserve"> </w:t>
      </w:r>
      <w:r w:rsidR="009A4C23">
        <w:rPr>
          <w:lang w:val="en-GB"/>
        </w:rPr>
        <w:t>They noted</w:t>
      </w:r>
      <w:r w:rsidR="00394D35">
        <w:rPr>
          <w:lang w:val="en-GB"/>
        </w:rPr>
        <w:t xml:space="preserve"> </w:t>
      </w:r>
      <w:r w:rsidR="00F5167E">
        <w:rPr>
          <w:lang w:val="en-GB"/>
        </w:rPr>
        <w:t xml:space="preserve">that </w:t>
      </w:r>
      <w:r w:rsidR="00201166">
        <w:rPr>
          <w:lang w:val="en-GB"/>
        </w:rPr>
        <w:t xml:space="preserve">outcomes following </w:t>
      </w:r>
      <w:r w:rsidR="0051654A">
        <w:rPr>
          <w:lang w:val="en-GB"/>
        </w:rPr>
        <w:t>intr</w:t>
      </w:r>
      <w:r w:rsidR="00F5167E">
        <w:rPr>
          <w:lang w:val="en-GB"/>
        </w:rPr>
        <w:t>a</w:t>
      </w:r>
      <w:r w:rsidR="00E21A5C">
        <w:rPr>
          <w:lang w:val="en-GB"/>
        </w:rPr>
        <w:t>cerebral</w:t>
      </w:r>
      <w:r w:rsidR="00F5167E">
        <w:rPr>
          <w:lang w:val="en-GB"/>
        </w:rPr>
        <w:t xml:space="preserve"> </w:t>
      </w:r>
      <w:r w:rsidR="0051654A">
        <w:rPr>
          <w:lang w:val="en-GB"/>
        </w:rPr>
        <w:t xml:space="preserve">haemorrhage </w:t>
      </w:r>
      <w:r w:rsidR="00201166">
        <w:rPr>
          <w:lang w:val="en-GB"/>
        </w:rPr>
        <w:t>are</w:t>
      </w:r>
      <w:r w:rsidR="0051654A">
        <w:rPr>
          <w:lang w:val="en-GB"/>
        </w:rPr>
        <w:t xml:space="preserve"> related to </w:t>
      </w:r>
      <w:r w:rsidR="00201166">
        <w:rPr>
          <w:lang w:val="en-GB"/>
        </w:rPr>
        <w:t>bleed volume</w:t>
      </w:r>
      <w:r w:rsidR="00D41211">
        <w:rPr>
          <w:lang w:val="en-GB"/>
        </w:rPr>
        <w:t>.</w:t>
      </w:r>
      <w:r w:rsidR="0051654A">
        <w:rPr>
          <w:lang w:val="en-GB"/>
        </w:rPr>
        <w:t xml:space="preserve"> A large bleed volume at </w:t>
      </w:r>
      <w:r w:rsidR="00A15641">
        <w:rPr>
          <w:lang w:val="en-GB"/>
        </w:rPr>
        <w:t xml:space="preserve">first </w:t>
      </w:r>
      <w:r w:rsidR="0051654A">
        <w:rPr>
          <w:lang w:val="en-GB"/>
        </w:rPr>
        <w:t>presentation is a poor prognostic sign, and patients with large bleeds were excluded f</w:t>
      </w:r>
      <w:r w:rsidR="00F5167E">
        <w:rPr>
          <w:lang w:val="en-GB"/>
        </w:rPr>
        <w:t>rom</w:t>
      </w:r>
      <w:r w:rsidR="0051654A">
        <w:rPr>
          <w:lang w:val="en-GB"/>
        </w:rPr>
        <w:t xml:space="preserve"> ANNEXA-4. Not all bleeds enlarge, and it</w:t>
      </w:r>
      <w:r w:rsidR="00D41211">
        <w:rPr>
          <w:lang w:val="en-GB"/>
        </w:rPr>
        <w:t xml:space="preserve"> </w:t>
      </w:r>
      <w:r w:rsidR="00394D35">
        <w:rPr>
          <w:lang w:val="en-GB"/>
        </w:rPr>
        <w:t xml:space="preserve">is difficult to say </w:t>
      </w:r>
      <w:r w:rsidR="00D41211">
        <w:rPr>
          <w:lang w:val="en-GB"/>
        </w:rPr>
        <w:t>that</w:t>
      </w:r>
      <w:r w:rsidR="00394D35">
        <w:rPr>
          <w:lang w:val="en-GB"/>
        </w:rPr>
        <w:t xml:space="preserve"> </w:t>
      </w:r>
      <w:r w:rsidR="000F4CF7">
        <w:rPr>
          <w:lang w:val="en-GB"/>
        </w:rPr>
        <w:t xml:space="preserve">a </w:t>
      </w:r>
      <w:r w:rsidR="00394D35">
        <w:rPr>
          <w:lang w:val="en-GB"/>
        </w:rPr>
        <w:t xml:space="preserve">haematoma growth of less than 35% </w:t>
      </w:r>
      <w:r w:rsidR="00D41211">
        <w:rPr>
          <w:lang w:val="en-GB"/>
        </w:rPr>
        <w:t xml:space="preserve">for intracerebral haemorrhage </w:t>
      </w:r>
      <w:r w:rsidR="00394D35">
        <w:rPr>
          <w:lang w:val="en-GB"/>
        </w:rPr>
        <w:t>can be considered a positive outcome</w:t>
      </w:r>
      <w:r w:rsidR="000F4CF7">
        <w:rPr>
          <w:lang w:val="en-GB"/>
        </w:rPr>
        <w:t xml:space="preserve"> or a good haemostatic efficacy as defined in the trial</w:t>
      </w:r>
      <w:r w:rsidR="002366A1">
        <w:rPr>
          <w:lang w:val="en-GB"/>
        </w:rPr>
        <w:t xml:space="preserve">. </w:t>
      </w:r>
      <w:r w:rsidR="00AB06BE" w:rsidRPr="0005586D">
        <w:rPr>
          <w:lang w:val="en-GB"/>
        </w:rPr>
        <w:t xml:space="preserve">The committee concluded that the </w:t>
      </w:r>
      <w:r w:rsidR="009F307E">
        <w:rPr>
          <w:lang w:val="en-GB"/>
        </w:rPr>
        <w:t xml:space="preserve">clinical </w:t>
      </w:r>
      <w:r w:rsidR="00AB06BE" w:rsidRPr="0005586D">
        <w:rPr>
          <w:lang w:val="en-GB"/>
        </w:rPr>
        <w:t>evidence available for andexanet alfa was limited</w:t>
      </w:r>
      <w:r w:rsidR="0051654A">
        <w:rPr>
          <w:lang w:val="en-GB"/>
        </w:rPr>
        <w:t xml:space="preserve"> to </w:t>
      </w:r>
      <w:r w:rsidR="0082254A">
        <w:rPr>
          <w:lang w:val="en-GB"/>
        </w:rPr>
        <w:t xml:space="preserve">only </w:t>
      </w:r>
      <w:r w:rsidR="0051654A">
        <w:rPr>
          <w:lang w:val="en-GB"/>
        </w:rPr>
        <w:t>30</w:t>
      </w:r>
      <w:r w:rsidR="00F5167E">
        <w:rPr>
          <w:lang w:val="en-GB"/>
        </w:rPr>
        <w:t>-</w:t>
      </w:r>
      <w:r w:rsidR="0051654A">
        <w:rPr>
          <w:lang w:val="en-GB"/>
        </w:rPr>
        <w:t xml:space="preserve">day mortality in a trial </w:t>
      </w:r>
      <w:r w:rsidR="00FC52D9">
        <w:rPr>
          <w:lang w:val="en-GB"/>
        </w:rPr>
        <w:t xml:space="preserve">that </w:t>
      </w:r>
      <w:r w:rsidR="0051654A">
        <w:rPr>
          <w:lang w:val="en-GB"/>
        </w:rPr>
        <w:t>had several potentially relevant exclusion criteria</w:t>
      </w:r>
      <w:r w:rsidR="00AB06BE" w:rsidRPr="0005586D">
        <w:rPr>
          <w:lang w:val="en-GB"/>
        </w:rPr>
        <w:t>.</w:t>
      </w:r>
    </w:p>
    <w:p w14:paraId="2D1809B9" w14:textId="6E185868" w:rsidR="00643582" w:rsidRPr="0005586D" w:rsidRDefault="00394D35" w:rsidP="0073007E">
      <w:pPr>
        <w:pStyle w:val="Heading3"/>
      </w:pPr>
      <w:r>
        <w:lastRenderedPageBreak/>
        <w:t>There is no evidence</w:t>
      </w:r>
      <w:r w:rsidR="00E33BA3">
        <w:t xml:space="preserve"> directly</w:t>
      </w:r>
      <w:r>
        <w:t xml:space="preserve"> </w:t>
      </w:r>
      <w:r w:rsidR="00CF335C">
        <w:t xml:space="preserve">comparing </w:t>
      </w:r>
      <w:r>
        <w:t>andexanet alfa</w:t>
      </w:r>
      <w:r w:rsidR="00CF335C">
        <w:t xml:space="preserve"> with </w:t>
      </w:r>
      <w:r w:rsidR="001D051F" w:rsidRPr="001D051F">
        <w:t xml:space="preserve">prothrombin complex concentrate </w:t>
      </w:r>
      <w:r w:rsidR="00CF335C">
        <w:t>and the indirect comparison has limitations</w:t>
      </w:r>
    </w:p>
    <w:p w14:paraId="1FDF4306" w14:textId="4D33DD2E" w:rsidR="00CF3057" w:rsidRPr="0005586D" w:rsidRDefault="0084454C" w:rsidP="00C67CB2">
      <w:pPr>
        <w:pStyle w:val="Numberedlevel2text"/>
        <w:rPr>
          <w:lang w:val="en-GB"/>
        </w:rPr>
      </w:pPr>
      <w:r>
        <w:rPr>
          <w:lang w:val="en-GB"/>
        </w:rPr>
        <w:t>Because</w:t>
      </w:r>
      <w:r w:rsidRPr="0005586D">
        <w:rPr>
          <w:lang w:val="en-GB"/>
        </w:rPr>
        <w:t xml:space="preserve"> </w:t>
      </w:r>
      <w:r w:rsidR="00CF3057" w:rsidRPr="0005586D">
        <w:rPr>
          <w:lang w:val="en-GB"/>
        </w:rPr>
        <w:t>ANNEXA-4 is a single-arm trial there is no direct evidence</w:t>
      </w:r>
      <w:r w:rsidR="00971667" w:rsidRPr="0005586D">
        <w:rPr>
          <w:lang w:val="en-GB"/>
        </w:rPr>
        <w:t xml:space="preserve"> </w:t>
      </w:r>
      <w:r w:rsidR="0005586D">
        <w:rPr>
          <w:lang w:val="en-GB"/>
        </w:rPr>
        <w:t>for</w:t>
      </w:r>
      <w:r w:rsidR="0005586D" w:rsidRPr="0005586D">
        <w:rPr>
          <w:lang w:val="en-GB"/>
        </w:rPr>
        <w:t xml:space="preserve"> </w:t>
      </w:r>
      <w:r w:rsidR="001F0E0C" w:rsidRPr="0005586D">
        <w:rPr>
          <w:lang w:val="en-GB"/>
        </w:rPr>
        <w:t>the efficacy</w:t>
      </w:r>
      <w:r w:rsidR="00971667" w:rsidRPr="0005586D">
        <w:rPr>
          <w:lang w:val="en-GB"/>
        </w:rPr>
        <w:t xml:space="preserve"> </w:t>
      </w:r>
      <w:r w:rsidR="001F0E0C" w:rsidRPr="0005586D">
        <w:rPr>
          <w:lang w:val="en-GB"/>
        </w:rPr>
        <w:t xml:space="preserve">of </w:t>
      </w:r>
      <w:r w:rsidR="00971667" w:rsidRPr="0005586D">
        <w:rPr>
          <w:lang w:val="en-GB"/>
        </w:rPr>
        <w:t>andexanet alfa</w:t>
      </w:r>
      <w:r w:rsidR="006A6C9F" w:rsidRPr="0005586D">
        <w:rPr>
          <w:lang w:val="en-GB"/>
        </w:rPr>
        <w:t xml:space="preserve"> compared</w:t>
      </w:r>
      <w:r w:rsidR="00971667" w:rsidRPr="0005586D">
        <w:rPr>
          <w:lang w:val="en-GB"/>
        </w:rPr>
        <w:t xml:space="preserve"> </w:t>
      </w:r>
      <w:r w:rsidR="001F0E0C" w:rsidRPr="0005586D">
        <w:rPr>
          <w:lang w:val="en-GB"/>
        </w:rPr>
        <w:t>with</w:t>
      </w:r>
      <w:r w:rsidR="00971667" w:rsidRPr="0005586D">
        <w:rPr>
          <w:lang w:val="en-GB"/>
        </w:rPr>
        <w:t xml:space="preserve"> other treatments</w:t>
      </w:r>
      <w:r w:rsidR="00501E1C">
        <w:rPr>
          <w:lang w:val="en-GB"/>
        </w:rPr>
        <w:t xml:space="preserve">, </w:t>
      </w:r>
      <w:r w:rsidR="00FC52D9">
        <w:rPr>
          <w:lang w:val="en-GB"/>
        </w:rPr>
        <w:t>which</w:t>
      </w:r>
      <w:r w:rsidR="00FC52D9" w:rsidRPr="0005586D">
        <w:rPr>
          <w:lang w:val="en-GB"/>
        </w:rPr>
        <w:t xml:space="preserve"> add</w:t>
      </w:r>
      <w:r w:rsidR="00FC52D9">
        <w:rPr>
          <w:lang w:val="en-GB"/>
        </w:rPr>
        <w:t xml:space="preserve">ed </w:t>
      </w:r>
      <w:r w:rsidR="00501E1C" w:rsidRPr="0005586D">
        <w:rPr>
          <w:lang w:val="en-GB"/>
        </w:rPr>
        <w:t xml:space="preserve">to the uncertainty about </w:t>
      </w:r>
      <w:r w:rsidR="001D051F">
        <w:rPr>
          <w:lang w:val="en-GB"/>
        </w:rPr>
        <w:t>its</w:t>
      </w:r>
      <w:r w:rsidR="001D051F" w:rsidRPr="0005586D">
        <w:rPr>
          <w:lang w:val="en-GB"/>
        </w:rPr>
        <w:t xml:space="preserve"> </w:t>
      </w:r>
      <w:r w:rsidR="00501E1C" w:rsidRPr="0005586D">
        <w:rPr>
          <w:lang w:val="en-GB"/>
        </w:rPr>
        <w:t>benefit in clinical practice</w:t>
      </w:r>
      <w:r w:rsidR="00971667" w:rsidRPr="0005586D">
        <w:rPr>
          <w:lang w:val="en-GB"/>
        </w:rPr>
        <w:t>.</w:t>
      </w:r>
      <w:r w:rsidR="002A6D83" w:rsidRPr="0005586D">
        <w:rPr>
          <w:lang w:val="en-GB"/>
        </w:rPr>
        <w:t xml:space="preserve"> </w:t>
      </w:r>
      <w:r w:rsidR="00971667" w:rsidRPr="0005586D">
        <w:rPr>
          <w:lang w:val="en-GB"/>
        </w:rPr>
        <w:t xml:space="preserve">The company used </w:t>
      </w:r>
      <w:r w:rsidR="00677648">
        <w:rPr>
          <w:lang w:val="en-GB"/>
        </w:rPr>
        <w:t>data</w:t>
      </w:r>
      <w:r w:rsidR="00CF79DB">
        <w:rPr>
          <w:lang w:val="en-GB"/>
        </w:rPr>
        <w:t xml:space="preserve"> for </w:t>
      </w:r>
      <w:r w:rsidR="001D051F" w:rsidRPr="001D051F">
        <w:rPr>
          <w:lang w:val="en-GB"/>
        </w:rPr>
        <w:t xml:space="preserve">prothrombin complex concentrate </w:t>
      </w:r>
      <w:r w:rsidR="001D051F">
        <w:rPr>
          <w:lang w:val="en-GB"/>
        </w:rPr>
        <w:t>(</w:t>
      </w:r>
      <w:r w:rsidR="00CF79DB">
        <w:rPr>
          <w:lang w:val="en-GB"/>
        </w:rPr>
        <w:t>PCC</w:t>
      </w:r>
      <w:r w:rsidR="001D051F">
        <w:rPr>
          <w:lang w:val="en-GB"/>
        </w:rPr>
        <w:t>)</w:t>
      </w:r>
      <w:r w:rsidR="00677648">
        <w:rPr>
          <w:lang w:val="en-GB"/>
        </w:rPr>
        <w:t xml:space="preserve"> from </w:t>
      </w:r>
      <w:r w:rsidR="00971667" w:rsidRPr="0005586D">
        <w:rPr>
          <w:lang w:val="en-GB"/>
        </w:rPr>
        <w:t>the ORANGE study</w:t>
      </w:r>
      <w:r w:rsidR="00677648">
        <w:rPr>
          <w:lang w:val="en-GB"/>
        </w:rPr>
        <w:t xml:space="preserve"> to do an indirect</w:t>
      </w:r>
      <w:r w:rsidR="004D05E1">
        <w:rPr>
          <w:lang w:val="en-GB"/>
        </w:rPr>
        <w:t xml:space="preserve"> treatment </w:t>
      </w:r>
      <w:r w:rsidR="00677648">
        <w:rPr>
          <w:lang w:val="en-GB"/>
        </w:rPr>
        <w:t>comparison.</w:t>
      </w:r>
      <w:r w:rsidR="00971667" w:rsidRPr="0005586D">
        <w:rPr>
          <w:lang w:val="en-GB"/>
        </w:rPr>
        <w:t xml:space="preserve"> </w:t>
      </w:r>
      <w:r w:rsidR="00677648">
        <w:rPr>
          <w:lang w:val="en-GB"/>
        </w:rPr>
        <w:t>O</w:t>
      </w:r>
      <w:r w:rsidR="00CF79DB">
        <w:rPr>
          <w:lang w:val="en-GB"/>
        </w:rPr>
        <w:t>RANGE</w:t>
      </w:r>
      <w:r w:rsidR="00157366">
        <w:rPr>
          <w:lang w:val="en-GB"/>
        </w:rPr>
        <w:t xml:space="preserve"> </w:t>
      </w:r>
      <w:r w:rsidR="00494D8F">
        <w:rPr>
          <w:lang w:val="en-GB"/>
        </w:rPr>
        <w:t>was</w:t>
      </w:r>
      <w:r w:rsidR="00157366">
        <w:rPr>
          <w:lang w:val="en-GB"/>
        </w:rPr>
        <w:t xml:space="preserve"> </w:t>
      </w:r>
      <w:r w:rsidR="00494D8F">
        <w:rPr>
          <w:lang w:val="en-GB"/>
        </w:rPr>
        <w:t>a UK</w:t>
      </w:r>
      <w:r w:rsidR="00494D8F" w:rsidRPr="0005586D">
        <w:rPr>
          <w:lang w:val="en-GB"/>
        </w:rPr>
        <w:t xml:space="preserve"> </w:t>
      </w:r>
      <w:r w:rsidR="00971667" w:rsidRPr="0005586D">
        <w:rPr>
          <w:lang w:val="en-GB"/>
        </w:rPr>
        <w:t xml:space="preserve">observational study </w:t>
      </w:r>
      <w:r w:rsidR="00494D8F">
        <w:rPr>
          <w:lang w:val="en-GB"/>
        </w:rPr>
        <w:t>in</w:t>
      </w:r>
      <w:r w:rsidR="00494D8F" w:rsidRPr="0005586D">
        <w:rPr>
          <w:lang w:val="en-GB"/>
        </w:rPr>
        <w:t xml:space="preserve"> </w:t>
      </w:r>
      <w:r w:rsidR="00971667" w:rsidRPr="0005586D">
        <w:rPr>
          <w:lang w:val="en-GB"/>
        </w:rPr>
        <w:t xml:space="preserve">people </w:t>
      </w:r>
      <w:r w:rsidR="00494D8F">
        <w:rPr>
          <w:lang w:val="en-GB"/>
        </w:rPr>
        <w:t>taking</w:t>
      </w:r>
      <w:r w:rsidR="006A6C9F" w:rsidRPr="0005586D">
        <w:rPr>
          <w:lang w:val="en-GB"/>
        </w:rPr>
        <w:t xml:space="preserve"> anticoagulants</w:t>
      </w:r>
      <w:r w:rsidR="00790D22" w:rsidRPr="0005586D">
        <w:rPr>
          <w:lang w:val="en-GB"/>
        </w:rPr>
        <w:t xml:space="preserve"> </w:t>
      </w:r>
      <w:r w:rsidR="00494D8F">
        <w:rPr>
          <w:lang w:val="en-GB"/>
        </w:rPr>
        <w:t xml:space="preserve">who were </w:t>
      </w:r>
      <w:r w:rsidR="00790D22" w:rsidRPr="0005586D">
        <w:rPr>
          <w:lang w:val="en-GB"/>
        </w:rPr>
        <w:t>admitted to hospital with a</w:t>
      </w:r>
      <w:r w:rsidR="001E04A9">
        <w:rPr>
          <w:lang w:val="en-GB"/>
        </w:rPr>
        <w:t xml:space="preserve"> major</w:t>
      </w:r>
      <w:r w:rsidR="00790D22" w:rsidRPr="0005586D">
        <w:rPr>
          <w:lang w:val="en-GB"/>
        </w:rPr>
        <w:t xml:space="preserve"> bleed</w:t>
      </w:r>
      <w:r w:rsidR="006A6C9F" w:rsidRPr="0005586D">
        <w:rPr>
          <w:lang w:val="en-GB"/>
        </w:rPr>
        <w:t>.</w:t>
      </w:r>
      <w:r w:rsidR="00777769" w:rsidRPr="0005586D">
        <w:rPr>
          <w:lang w:val="en-GB"/>
        </w:rPr>
        <w:t xml:space="preserve"> </w:t>
      </w:r>
      <w:r w:rsidR="00971667" w:rsidRPr="0005586D">
        <w:rPr>
          <w:lang w:val="en-GB"/>
        </w:rPr>
        <w:t>In ANNEXA-4 people were excluded if survival was expected to be less than 1</w:t>
      </w:r>
      <w:r w:rsidR="006A67AB">
        <w:rPr>
          <w:lang w:val="en-GB"/>
        </w:rPr>
        <w:t> </w:t>
      </w:r>
      <w:r w:rsidR="00971667" w:rsidRPr="0005586D">
        <w:rPr>
          <w:lang w:val="en-GB"/>
        </w:rPr>
        <w:t>month</w:t>
      </w:r>
      <w:r w:rsidR="00790D22" w:rsidRPr="0005586D">
        <w:rPr>
          <w:lang w:val="en-GB"/>
        </w:rPr>
        <w:t xml:space="preserve">, </w:t>
      </w:r>
      <w:r w:rsidR="00971667" w:rsidRPr="0005586D">
        <w:rPr>
          <w:lang w:val="en-GB"/>
        </w:rPr>
        <w:t xml:space="preserve">they had </w:t>
      </w:r>
      <w:r w:rsidR="0037475B" w:rsidRPr="0005586D">
        <w:rPr>
          <w:lang w:val="en-GB"/>
        </w:rPr>
        <w:t xml:space="preserve">a </w:t>
      </w:r>
      <w:r w:rsidR="00971667" w:rsidRPr="0005586D">
        <w:rPr>
          <w:lang w:val="en-GB"/>
        </w:rPr>
        <w:t>Glasgow Coma Score</w:t>
      </w:r>
      <w:r w:rsidR="00777769" w:rsidRPr="0005586D">
        <w:rPr>
          <w:lang w:val="en-GB"/>
        </w:rPr>
        <w:t xml:space="preserve"> lower than 7</w:t>
      </w:r>
      <w:r w:rsidR="00971667" w:rsidRPr="0005586D">
        <w:rPr>
          <w:lang w:val="en-GB"/>
        </w:rPr>
        <w:t xml:space="preserve"> </w:t>
      </w:r>
      <w:r w:rsidR="00790D22" w:rsidRPr="0005586D">
        <w:rPr>
          <w:lang w:val="en-GB"/>
        </w:rPr>
        <w:t xml:space="preserve">or </w:t>
      </w:r>
      <w:r w:rsidR="006A67AB">
        <w:rPr>
          <w:lang w:val="en-GB"/>
        </w:rPr>
        <w:t xml:space="preserve">an </w:t>
      </w:r>
      <w:r w:rsidR="00790D22" w:rsidRPr="0005586D">
        <w:rPr>
          <w:lang w:val="en-GB"/>
        </w:rPr>
        <w:t>intrac</w:t>
      </w:r>
      <w:r w:rsidR="00777769" w:rsidRPr="0005586D">
        <w:rPr>
          <w:lang w:val="en-GB"/>
        </w:rPr>
        <w:t>erebral</w:t>
      </w:r>
      <w:r w:rsidR="00790D22" w:rsidRPr="0005586D">
        <w:rPr>
          <w:lang w:val="en-GB"/>
        </w:rPr>
        <w:t xml:space="preserve"> bleed volume of</w:t>
      </w:r>
      <w:r w:rsidR="00777769" w:rsidRPr="0005586D">
        <w:rPr>
          <w:lang w:val="en-GB"/>
        </w:rPr>
        <w:t xml:space="preserve"> more than</w:t>
      </w:r>
      <w:r w:rsidR="00790D22" w:rsidRPr="0005586D">
        <w:rPr>
          <w:lang w:val="en-GB"/>
        </w:rPr>
        <w:t xml:space="preserve"> </w:t>
      </w:r>
      <w:r w:rsidR="00B670A8" w:rsidRPr="0005586D">
        <w:rPr>
          <w:lang w:val="en-GB"/>
        </w:rPr>
        <w:t>60</w:t>
      </w:r>
      <w:r w:rsidR="00CD7FE2">
        <w:rPr>
          <w:lang w:val="en-GB"/>
        </w:rPr>
        <w:t> ml</w:t>
      </w:r>
      <w:r w:rsidR="006A67AB">
        <w:rPr>
          <w:lang w:val="en-GB"/>
        </w:rPr>
        <w:t>.</w:t>
      </w:r>
      <w:r w:rsidR="00971667" w:rsidRPr="0005586D">
        <w:rPr>
          <w:lang w:val="en-GB"/>
        </w:rPr>
        <w:t xml:space="preserve"> </w:t>
      </w:r>
      <w:r w:rsidR="006A67AB">
        <w:rPr>
          <w:lang w:val="en-GB"/>
        </w:rPr>
        <w:t>However,</w:t>
      </w:r>
      <w:r w:rsidR="006A67AB" w:rsidRPr="0005586D">
        <w:rPr>
          <w:lang w:val="en-GB"/>
        </w:rPr>
        <w:t xml:space="preserve"> </w:t>
      </w:r>
      <w:r w:rsidR="00971667" w:rsidRPr="0005586D">
        <w:rPr>
          <w:lang w:val="en-GB"/>
        </w:rPr>
        <w:t>these criteria were not used in ORANGE.</w:t>
      </w:r>
      <w:r w:rsidR="001F0E0C" w:rsidRPr="0005586D">
        <w:rPr>
          <w:lang w:val="en-GB"/>
        </w:rPr>
        <w:t xml:space="preserve"> </w:t>
      </w:r>
      <w:r w:rsidR="00971667" w:rsidRPr="0005586D">
        <w:rPr>
          <w:lang w:val="en-GB"/>
        </w:rPr>
        <w:t>The</w:t>
      </w:r>
      <w:r w:rsidR="003A62A7" w:rsidRPr="0005586D">
        <w:rPr>
          <w:lang w:val="en-GB"/>
        </w:rPr>
        <w:t xml:space="preserve"> committee noted that </w:t>
      </w:r>
      <w:r w:rsidR="001F0E0C" w:rsidRPr="0005586D">
        <w:rPr>
          <w:lang w:val="en-GB"/>
        </w:rPr>
        <w:t>this</w:t>
      </w:r>
      <w:r w:rsidR="003A62A7" w:rsidRPr="0005586D">
        <w:rPr>
          <w:lang w:val="en-GB"/>
        </w:rPr>
        <w:t xml:space="preserve"> could </w:t>
      </w:r>
      <w:r w:rsidR="00494D8F">
        <w:rPr>
          <w:lang w:val="en-GB"/>
        </w:rPr>
        <w:t>affect</w:t>
      </w:r>
      <w:r w:rsidR="00790D22" w:rsidRPr="0005586D">
        <w:rPr>
          <w:lang w:val="en-GB"/>
        </w:rPr>
        <w:t xml:space="preserve"> </w:t>
      </w:r>
      <w:r w:rsidR="003A62A7" w:rsidRPr="0005586D">
        <w:rPr>
          <w:lang w:val="en-GB"/>
        </w:rPr>
        <w:t>the</w:t>
      </w:r>
      <w:r w:rsidR="00971667" w:rsidRPr="0005586D">
        <w:rPr>
          <w:lang w:val="en-GB"/>
        </w:rPr>
        <w:t xml:space="preserve"> comparability of results for </w:t>
      </w:r>
      <w:r w:rsidR="00242953" w:rsidRPr="0005586D">
        <w:rPr>
          <w:lang w:val="en-GB"/>
        </w:rPr>
        <w:t xml:space="preserve">30-day </w:t>
      </w:r>
      <w:r w:rsidR="00971667" w:rsidRPr="0005586D">
        <w:rPr>
          <w:lang w:val="en-GB"/>
        </w:rPr>
        <w:t>mortality</w:t>
      </w:r>
      <w:r w:rsidR="009F2C1F" w:rsidRPr="0005586D">
        <w:rPr>
          <w:lang w:val="en-GB"/>
        </w:rPr>
        <w:t>.</w:t>
      </w:r>
      <w:r w:rsidR="00971667" w:rsidRPr="0005586D">
        <w:rPr>
          <w:lang w:val="en-GB"/>
        </w:rPr>
        <w:t xml:space="preserve"> The company</w:t>
      </w:r>
      <w:r w:rsidR="003A62A7" w:rsidRPr="0005586D">
        <w:rPr>
          <w:lang w:val="en-GB"/>
        </w:rPr>
        <w:t xml:space="preserve"> explained that the proportion of patients</w:t>
      </w:r>
      <w:r w:rsidR="00A11A38" w:rsidRPr="0005586D">
        <w:rPr>
          <w:lang w:val="en-GB"/>
        </w:rPr>
        <w:t xml:space="preserve"> excluded based on the survival criterion</w:t>
      </w:r>
      <w:r w:rsidR="003A62A7" w:rsidRPr="0005586D">
        <w:rPr>
          <w:lang w:val="en-GB"/>
        </w:rPr>
        <w:t xml:space="preserve"> was extremely low</w:t>
      </w:r>
      <w:r w:rsidR="00494D8F">
        <w:rPr>
          <w:lang w:val="en-GB"/>
        </w:rPr>
        <w:t>.</w:t>
      </w:r>
      <w:r w:rsidR="00255F1B">
        <w:rPr>
          <w:lang w:val="en-GB"/>
        </w:rPr>
        <w:t xml:space="preserve"> </w:t>
      </w:r>
      <w:r w:rsidR="00494D8F">
        <w:rPr>
          <w:lang w:val="en-GB"/>
        </w:rPr>
        <w:t>However,</w:t>
      </w:r>
      <w:r w:rsidR="00494D8F" w:rsidRPr="0005586D">
        <w:rPr>
          <w:lang w:val="en-GB"/>
        </w:rPr>
        <w:t xml:space="preserve"> </w:t>
      </w:r>
      <w:r w:rsidR="00C67CB2" w:rsidRPr="0005586D">
        <w:rPr>
          <w:lang w:val="en-GB"/>
        </w:rPr>
        <w:t>the</w:t>
      </w:r>
      <w:r w:rsidR="00242953" w:rsidRPr="0005586D">
        <w:rPr>
          <w:lang w:val="en-GB"/>
        </w:rPr>
        <w:t xml:space="preserve"> committee noted that some patients may not </w:t>
      </w:r>
      <w:r w:rsidR="00494D8F">
        <w:rPr>
          <w:lang w:val="en-GB"/>
        </w:rPr>
        <w:t>have been</w:t>
      </w:r>
      <w:r w:rsidR="00494D8F" w:rsidRPr="0005586D">
        <w:rPr>
          <w:lang w:val="en-GB"/>
        </w:rPr>
        <w:t xml:space="preserve"> </w:t>
      </w:r>
      <w:r w:rsidR="00242953" w:rsidRPr="0005586D">
        <w:rPr>
          <w:lang w:val="en-GB"/>
        </w:rPr>
        <w:t xml:space="preserve">screened </w:t>
      </w:r>
      <w:r w:rsidR="00C67CB2" w:rsidRPr="0005586D">
        <w:rPr>
          <w:lang w:val="en-GB"/>
        </w:rPr>
        <w:t xml:space="preserve">for inclusion </w:t>
      </w:r>
      <w:r w:rsidR="00242953" w:rsidRPr="0005586D">
        <w:rPr>
          <w:lang w:val="en-GB"/>
        </w:rPr>
        <w:t xml:space="preserve">if the clinicians </w:t>
      </w:r>
      <w:r w:rsidR="00C67CB2" w:rsidRPr="0005586D">
        <w:rPr>
          <w:lang w:val="en-GB"/>
        </w:rPr>
        <w:t>considered that they were too ill to meet the criteria</w:t>
      </w:r>
      <w:r w:rsidR="00494D8F">
        <w:rPr>
          <w:lang w:val="en-GB"/>
        </w:rPr>
        <w:t>.</w:t>
      </w:r>
      <w:r w:rsidR="00C67CB2" w:rsidRPr="0005586D">
        <w:rPr>
          <w:lang w:val="en-GB"/>
        </w:rPr>
        <w:t xml:space="preserve"> </w:t>
      </w:r>
      <w:r w:rsidR="00494D8F">
        <w:rPr>
          <w:lang w:val="en-GB"/>
        </w:rPr>
        <w:t>The</w:t>
      </w:r>
      <w:r w:rsidR="00C67CB2" w:rsidRPr="0005586D">
        <w:rPr>
          <w:lang w:val="en-GB"/>
        </w:rPr>
        <w:t xml:space="preserve"> clinical experts </w:t>
      </w:r>
      <w:r w:rsidR="00242953" w:rsidRPr="0005586D">
        <w:rPr>
          <w:lang w:val="en-GB"/>
        </w:rPr>
        <w:t xml:space="preserve">pointed out that every patient </w:t>
      </w:r>
      <w:r w:rsidR="00C67CB2" w:rsidRPr="0005586D">
        <w:rPr>
          <w:lang w:val="en-GB"/>
        </w:rPr>
        <w:t xml:space="preserve">with a life-threatening bleed should have been </w:t>
      </w:r>
      <w:r w:rsidR="00242953" w:rsidRPr="0005586D">
        <w:rPr>
          <w:lang w:val="en-GB"/>
        </w:rPr>
        <w:t xml:space="preserve">screened </w:t>
      </w:r>
      <w:r w:rsidR="00C67CB2" w:rsidRPr="0005586D">
        <w:rPr>
          <w:lang w:val="en-GB"/>
        </w:rPr>
        <w:t xml:space="preserve">for inclusion unless </w:t>
      </w:r>
      <w:r w:rsidR="00494D8F">
        <w:rPr>
          <w:lang w:val="en-GB"/>
        </w:rPr>
        <w:t xml:space="preserve">they were </w:t>
      </w:r>
      <w:r w:rsidR="00C67CB2" w:rsidRPr="0005586D">
        <w:rPr>
          <w:lang w:val="en-GB"/>
        </w:rPr>
        <w:t>on a known end</w:t>
      </w:r>
      <w:r w:rsidR="0005586D">
        <w:rPr>
          <w:lang w:val="en-GB"/>
        </w:rPr>
        <w:t>-</w:t>
      </w:r>
      <w:r w:rsidR="00C67CB2" w:rsidRPr="0005586D">
        <w:rPr>
          <w:lang w:val="en-GB"/>
        </w:rPr>
        <w:t>of</w:t>
      </w:r>
      <w:r w:rsidR="0005586D">
        <w:rPr>
          <w:lang w:val="en-GB"/>
        </w:rPr>
        <w:t>-</w:t>
      </w:r>
      <w:r w:rsidR="00C67CB2" w:rsidRPr="0005586D">
        <w:rPr>
          <w:lang w:val="en-GB"/>
        </w:rPr>
        <w:t>life pathway</w:t>
      </w:r>
      <w:r w:rsidR="00242953" w:rsidRPr="0005586D">
        <w:rPr>
          <w:lang w:val="en-GB"/>
        </w:rPr>
        <w:t>.</w:t>
      </w:r>
      <w:r w:rsidR="00656405" w:rsidRPr="0005586D">
        <w:rPr>
          <w:lang w:val="en-GB"/>
        </w:rPr>
        <w:t xml:space="preserve"> </w:t>
      </w:r>
      <w:r w:rsidR="00242953" w:rsidRPr="0005586D">
        <w:rPr>
          <w:lang w:val="en-GB"/>
        </w:rPr>
        <w:t>The committee concluded that</w:t>
      </w:r>
      <w:r w:rsidR="00501E1C">
        <w:rPr>
          <w:lang w:val="en-GB"/>
        </w:rPr>
        <w:t xml:space="preserve"> the evidence for andexanet alfa compared with PCC had limitations.</w:t>
      </w:r>
    </w:p>
    <w:p w14:paraId="1D2631B9" w14:textId="2669B48D" w:rsidR="003B0007" w:rsidRPr="0005586D" w:rsidRDefault="00883547" w:rsidP="003B0007">
      <w:pPr>
        <w:pStyle w:val="Heading3"/>
      </w:pPr>
      <w:r>
        <w:t xml:space="preserve">The indirect treatment comparison predicts </w:t>
      </w:r>
      <w:r w:rsidR="00291171">
        <w:t>a</w:t>
      </w:r>
      <w:r w:rsidR="00E76EB2">
        <w:t xml:space="preserve"> reduced</w:t>
      </w:r>
      <w:r>
        <w:t xml:space="preserve"> 30-day </w:t>
      </w:r>
      <w:r w:rsidR="00E86DF8">
        <w:t>mortality</w:t>
      </w:r>
      <w:r w:rsidR="006E328D">
        <w:t xml:space="preserve"> with andexanet alfa</w:t>
      </w:r>
      <w:r w:rsidR="00545284">
        <w:t xml:space="preserve"> </w:t>
      </w:r>
      <w:r w:rsidR="00291171">
        <w:t>compared with</w:t>
      </w:r>
      <w:r w:rsidR="00545284">
        <w:t xml:space="preserve"> PCC</w:t>
      </w:r>
      <w:r w:rsidR="00E86DF8">
        <w:t>,</w:t>
      </w:r>
      <w:r>
        <w:t xml:space="preserve"> but </w:t>
      </w:r>
      <w:r w:rsidR="0084454C">
        <w:t xml:space="preserve">the </w:t>
      </w:r>
      <w:r w:rsidR="009C2D4E">
        <w:t>results are uncertain</w:t>
      </w:r>
    </w:p>
    <w:p w14:paraId="5082AEB5" w14:textId="7C78C58B" w:rsidR="003B0007" w:rsidRPr="0005586D" w:rsidRDefault="00242953" w:rsidP="00720F44">
      <w:pPr>
        <w:pStyle w:val="Numberedlevel2text"/>
        <w:rPr>
          <w:lang w:val="en-GB"/>
        </w:rPr>
      </w:pPr>
      <w:r w:rsidRPr="0005586D">
        <w:rPr>
          <w:lang w:val="en-GB"/>
        </w:rPr>
        <w:t xml:space="preserve">The company </w:t>
      </w:r>
      <w:r w:rsidR="005B13F6">
        <w:rPr>
          <w:lang w:val="en-GB"/>
        </w:rPr>
        <w:t>did</w:t>
      </w:r>
      <w:r w:rsidR="005B13F6" w:rsidRPr="0005586D">
        <w:rPr>
          <w:lang w:val="en-GB"/>
        </w:rPr>
        <w:t xml:space="preserve"> </w:t>
      </w:r>
      <w:r w:rsidRPr="0005586D">
        <w:rPr>
          <w:lang w:val="en-GB"/>
        </w:rPr>
        <w:t>a propensity score matching analysis to compare</w:t>
      </w:r>
      <w:r w:rsidR="00275B86" w:rsidRPr="0005586D">
        <w:rPr>
          <w:lang w:val="en-GB"/>
        </w:rPr>
        <w:t xml:space="preserve"> 30-day mortality rates from</w:t>
      </w:r>
      <w:r w:rsidRPr="0005586D">
        <w:rPr>
          <w:lang w:val="en-GB"/>
        </w:rPr>
        <w:t xml:space="preserve"> ANNEXA-4 and ORANGE.</w:t>
      </w:r>
      <w:r w:rsidR="00C2474D">
        <w:rPr>
          <w:lang w:val="en-GB"/>
        </w:rPr>
        <w:t xml:space="preserve"> The results showed </w:t>
      </w:r>
      <w:r w:rsidR="00E76EB2">
        <w:rPr>
          <w:lang w:val="en-GB"/>
        </w:rPr>
        <w:t>a reduced</w:t>
      </w:r>
      <w:r w:rsidR="00C2474D">
        <w:rPr>
          <w:lang w:val="en-GB"/>
        </w:rPr>
        <w:t xml:space="preserve"> 30-day mortality with andexanet alfa </w:t>
      </w:r>
      <w:r w:rsidR="006E328D">
        <w:rPr>
          <w:lang w:val="en-GB"/>
        </w:rPr>
        <w:t xml:space="preserve">compared with PCC </w:t>
      </w:r>
      <w:r w:rsidR="00C2474D">
        <w:rPr>
          <w:lang w:val="en-GB"/>
        </w:rPr>
        <w:t xml:space="preserve">for the GI </w:t>
      </w:r>
      <w:r w:rsidR="001B0D98">
        <w:rPr>
          <w:lang w:val="en-GB"/>
        </w:rPr>
        <w:t xml:space="preserve">cohort </w:t>
      </w:r>
      <w:r w:rsidR="00C2474D">
        <w:rPr>
          <w:lang w:val="en-GB"/>
        </w:rPr>
        <w:t>and the ICH cohort</w:t>
      </w:r>
      <w:r w:rsidR="00E86DF8">
        <w:rPr>
          <w:lang w:val="en-GB"/>
        </w:rPr>
        <w:t xml:space="preserve"> but not for the ‘other major bleeds’ cohort</w:t>
      </w:r>
      <w:r w:rsidR="00184DA9">
        <w:rPr>
          <w:lang w:val="en-GB"/>
        </w:rPr>
        <w:t xml:space="preserve"> </w:t>
      </w:r>
      <w:r w:rsidR="00184DA9" w:rsidRPr="00184DA9">
        <w:rPr>
          <w:lang w:val="en-GB"/>
        </w:rPr>
        <w:t>(pericardial, retroperitoneal, intraspinal and intraocular bleeds)</w:t>
      </w:r>
      <w:r w:rsidR="00C2474D">
        <w:rPr>
          <w:lang w:val="en-GB"/>
        </w:rPr>
        <w:t>.</w:t>
      </w:r>
      <w:r w:rsidRPr="0005586D">
        <w:rPr>
          <w:lang w:val="en-GB"/>
        </w:rPr>
        <w:t xml:space="preserve"> The committee </w:t>
      </w:r>
      <w:r w:rsidR="00FF6BF8" w:rsidRPr="0005586D">
        <w:rPr>
          <w:lang w:val="en-GB"/>
        </w:rPr>
        <w:t xml:space="preserve">understood </w:t>
      </w:r>
      <w:r w:rsidRPr="0005586D">
        <w:rPr>
          <w:lang w:val="en-GB"/>
        </w:rPr>
        <w:t xml:space="preserve">that important prognostic factors such as severity and volume of </w:t>
      </w:r>
      <w:r w:rsidR="007B250D">
        <w:rPr>
          <w:lang w:val="en-GB"/>
        </w:rPr>
        <w:t xml:space="preserve">the </w:t>
      </w:r>
      <w:r w:rsidRPr="0005586D">
        <w:rPr>
          <w:lang w:val="en-GB"/>
        </w:rPr>
        <w:t>bleed could not be included as covariates</w:t>
      </w:r>
      <w:r w:rsidR="00494D8F">
        <w:rPr>
          <w:lang w:val="en-GB"/>
        </w:rPr>
        <w:t>,</w:t>
      </w:r>
      <w:r w:rsidRPr="0005586D">
        <w:rPr>
          <w:lang w:val="en-GB"/>
        </w:rPr>
        <w:t xml:space="preserve"> because </w:t>
      </w:r>
      <w:r w:rsidR="00404115">
        <w:rPr>
          <w:lang w:val="en-GB"/>
        </w:rPr>
        <w:t>these</w:t>
      </w:r>
      <w:r w:rsidR="00404115" w:rsidRPr="0005586D">
        <w:rPr>
          <w:lang w:val="en-GB"/>
        </w:rPr>
        <w:t xml:space="preserve"> </w:t>
      </w:r>
      <w:r w:rsidRPr="0005586D">
        <w:rPr>
          <w:lang w:val="en-GB"/>
        </w:rPr>
        <w:t>were not collected in ORANGE</w:t>
      </w:r>
      <w:r w:rsidR="0037475B" w:rsidRPr="0005586D">
        <w:rPr>
          <w:lang w:val="en-GB"/>
        </w:rPr>
        <w:t xml:space="preserve">. </w:t>
      </w:r>
      <w:r w:rsidR="001D051F">
        <w:rPr>
          <w:lang w:val="en-GB"/>
        </w:rPr>
        <w:t>It</w:t>
      </w:r>
      <w:r w:rsidR="0037475B" w:rsidRPr="0005586D">
        <w:rPr>
          <w:lang w:val="en-GB"/>
        </w:rPr>
        <w:t xml:space="preserve"> also noted</w:t>
      </w:r>
      <w:r w:rsidR="00446206" w:rsidRPr="0005586D">
        <w:rPr>
          <w:lang w:val="en-GB"/>
        </w:rPr>
        <w:t xml:space="preserve"> that 30-day mortality </w:t>
      </w:r>
      <w:r w:rsidR="00404115">
        <w:rPr>
          <w:lang w:val="en-GB"/>
        </w:rPr>
        <w:t>was</w:t>
      </w:r>
      <w:r w:rsidR="00446206" w:rsidRPr="0005586D">
        <w:rPr>
          <w:lang w:val="en-GB"/>
        </w:rPr>
        <w:t xml:space="preserve"> </w:t>
      </w:r>
      <w:r w:rsidR="00F94752" w:rsidRPr="0005586D">
        <w:rPr>
          <w:lang w:val="en-GB"/>
        </w:rPr>
        <w:t>a</w:t>
      </w:r>
      <w:r w:rsidR="00446206" w:rsidRPr="0005586D">
        <w:rPr>
          <w:lang w:val="en-GB"/>
        </w:rPr>
        <w:t xml:space="preserve"> key driver</w:t>
      </w:r>
      <w:r w:rsidR="00F94752" w:rsidRPr="0005586D">
        <w:rPr>
          <w:lang w:val="en-GB"/>
        </w:rPr>
        <w:t xml:space="preserve"> of the economic model</w:t>
      </w:r>
      <w:r w:rsidRPr="0005586D">
        <w:rPr>
          <w:lang w:val="en-GB"/>
        </w:rPr>
        <w:t>.</w:t>
      </w:r>
      <w:r w:rsidR="00BF0399" w:rsidRPr="0005586D">
        <w:rPr>
          <w:lang w:val="en-GB"/>
        </w:rPr>
        <w:t xml:space="preserve"> The company explained that only </w:t>
      </w:r>
      <w:r w:rsidR="00BF0399" w:rsidRPr="0005586D">
        <w:rPr>
          <w:lang w:val="en-GB"/>
        </w:rPr>
        <w:lastRenderedPageBreak/>
        <w:t xml:space="preserve">patients from ORANGE </w:t>
      </w:r>
      <w:r w:rsidR="0037475B" w:rsidRPr="0005586D">
        <w:rPr>
          <w:lang w:val="en-GB"/>
        </w:rPr>
        <w:t xml:space="preserve">who </w:t>
      </w:r>
      <w:r w:rsidR="002F6E5C">
        <w:rPr>
          <w:lang w:val="en-GB"/>
        </w:rPr>
        <w:t>had</w:t>
      </w:r>
      <w:r w:rsidR="002F6E5C" w:rsidRPr="0005586D">
        <w:rPr>
          <w:lang w:val="en-GB"/>
        </w:rPr>
        <w:t xml:space="preserve"> </w:t>
      </w:r>
      <w:r w:rsidR="00BF0399" w:rsidRPr="0005586D">
        <w:rPr>
          <w:lang w:val="en-GB"/>
        </w:rPr>
        <w:t>PCC were matched to</w:t>
      </w:r>
      <w:r w:rsidR="0037475B" w:rsidRPr="0005586D">
        <w:rPr>
          <w:lang w:val="en-GB"/>
        </w:rPr>
        <w:t xml:space="preserve"> patients in</w:t>
      </w:r>
      <w:r w:rsidR="00BF0399" w:rsidRPr="0005586D">
        <w:rPr>
          <w:lang w:val="en-GB"/>
        </w:rPr>
        <w:t xml:space="preserve"> ANNEXA-4</w:t>
      </w:r>
      <w:r w:rsidR="0037475B" w:rsidRPr="0005586D">
        <w:rPr>
          <w:lang w:val="en-GB"/>
        </w:rPr>
        <w:t>.</w:t>
      </w:r>
      <w:r w:rsidR="00BF0399" w:rsidRPr="0005586D">
        <w:rPr>
          <w:lang w:val="en-GB"/>
        </w:rPr>
        <w:t xml:space="preserve"> </w:t>
      </w:r>
      <w:r w:rsidR="0037475B" w:rsidRPr="0005586D">
        <w:rPr>
          <w:lang w:val="en-GB"/>
        </w:rPr>
        <w:t>The</w:t>
      </w:r>
      <w:r w:rsidR="00BF0399" w:rsidRPr="0005586D">
        <w:rPr>
          <w:lang w:val="en-GB"/>
        </w:rPr>
        <w:t xml:space="preserve"> company assumed </w:t>
      </w:r>
      <w:r w:rsidR="0037475B" w:rsidRPr="0005586D">
        <w:rPr>
          <w:lang w:val="en-GB"/>
        </w:rPr>
        <w:t xml:space="preserve">that patients </w:t>
      </w:r>
      <w:r w:rsidR="002F6E5C">
        <w:rPr>
          <w:lang w:val="en-GB"/>
        </w:rPr>
        <w:t>who had</w:t>
      </w:r>
      <w:r w:rsidR="002F6E5C" w:rsidRPr="0005586D">
        <w:rPr>
          <w:lang w:val="en-GB"/>
        </w:rPr>
        <w:t xml:space="preserve"> </w:t>
      </w:r>
      <w:r w:rsidR="0037475B" w:rsidRPr="0005586D">
        <w:rPr>
          <w:lang w:val="en-GB"/>
        </w:rPr>
        <w:t>PCC in ORANGE were a</w:t>
      </w:r>
      <w:r w:rsidR="00BF0399" w:rsidRPr="0005586D">
        <w:rPr>
          <w:lang w:val="en-GB"/>
        </w:rPr>
        <w:t xml:space="preserve"> good proxy for</w:t>
      </w:r>
      <w:r w:rsidR="00A7457C">
        <w:rPr>
          <w:lang w:val="en-GB"/>
        </w:rPr>
        <w:t xml:space="preserve"> those with</w:t>
      </w:r>
      <w:r w:rsidR="00BF0399" w:rsidRPr="0005586D">
        <w:rPr>
          <w:lang w:val="en-GB"/>
        </w:rPr>
        <w:t xml:space="preserve"> more severe </w:t>
      </w:r>
      <w:r w:rsidR="00BD7ED0">
        <w:rPr>
          <w:lang w:val="en-GB"/>
        </w:rPr>
        <w:t>bleeds</w:t>
      </w:r>
      <w:r w:rsidR="00BF0399" w:rsidRPr="0005586D">
        <w:rPr>
          <w:lang w:val="en-GB"/>
        </w:rPr>
        <w:t xml:space="preserve">, </w:t>
      </w:r>
      <w:r w:rsidR="0005586D">
        <w:rPr>
          <w:lang w:val="en-GB"/>
        </w:rPr>
        <w:t>because</w:t>
      </w:r>
      <w:r w:rsidR="0005586D" w:rsidRPr="0005586D">
        <w:rPr>
          <w:lang w:val="en-GB"/>
        </w:rPr>
        <w:t xml:space="preserve"> </w:t>
      </w:r>
      <w:r w:rsidR="00BF0399" w:rsidRPr="0005586D">
        <w:rPr>
          <w:lang w:val="en-GB"/>
        </w:rPr>
        <w:t xml:space="preserve">PCC is used off-label </w:t>
      </w:r>
      <w:r w:rsidR="00494D8F">
        <w:rPr>
          <w:lang w:val="en-GB"/>
        </w:rPr>
        <w:t>and</w:t>
      </w:r>
      <w:r w:rsidR="00494D8F" w:rsidRPr="0005586D">
        <w:rPr>
          <w:lang w:val="en-GB"/>
        </w:rPr>
        <w:t xml:space="preserve"> </w:t>
      </w:r>
      <w:r w:rsidR="00BF0399" w:rsidRPr="0005586D">
        <w:rPr>
          <w:lang w:val="en-GB"/>
        </w:rPr>
        <w:t xml:space="preserve">would be reserved </w:t>
      </w:r>
      <w:r w:rsidR="00B936AE" w:rsidRPr="0005586D">
        <w:rPr>
          <w:lang w:val="en-GB"/>
        </w:rPr>
        <w:t xml:space="preserve">for </w:t>
      </w:r>
      <w:r w:rsidR="00BF0399" w:rsidRPr="0005586D">
        <w:rPr>
          <w:lang w:val="en-GB"/>
        </w:rPr>
        <w:t>more severe</w:t>
      </w:r>
      <w:r w:rsidR="0015241A" w:rsidRPr="0005586D">
        <w:rPr>
          <w:lang w:val="en-GB"/>
        </w:rPr>
        <w:t>ly affected</w:t>
      </w:r>
      <w:r w:rsidR="00BF0399" w:rsidRPr="0005586D">
        <w:rPr>
          <w:lang w:val="en-GB"/>
        </w:rPr>
        <w:t xml:space="preserve"> patients. </w:t>
      </w:r>
      <w:r w:rsidRPr="0005586D">
        <w:rPr>
          <w:lang w:val="en-GB"/>
        </w:rPr>
        <w:t xml:space="preserve">The clinical experts explained that severity and volume of bleeds </w:t>
      </w:r>
      <w:r w:rsidR="001D051F">
        <w:rPr>
          <w:lang w:val="en-GB"/>
        </w:rPr>
        <w:t>are</w:t>
      </w:r>
      <w:r w:rsidR="001D051F" w:rsidRPr="0005586D">
        <w:rPr>
          <w:lang w:val="en-GB"/>
        </w:rPr>
        <w:t xml:space="preserve"> </w:t>
      </w:r>
      <w:r w:rsidRPr="0005586D">
        <w:rPr>
          <w:lang w:val="en-GB"/>
        </w:rPr>
        <w:t xml:space="preserve">the primary prognostic factors for </w:t>
      </w:r>
      <w:r w:rsidR="0015241A" w:rsidRPr="0005586D">
        <w:rPr>
          <w:lang w:val="en-GB"/>
        </w:rPr>
        <w:t>bleed-</w:t>
      </w:r>
      <w:r w:rsidR="00C147EA" w:rsidRPr="0005586D">
        <w:rPr>
          <w:lang w:val="en-GB"/>
        </w:rPr>
        <w:t>related mortality</w:t>
      </w:r>
      <w:r w:rsidR="0015241A" w:rsidRPr="0005586D">
        <w:rPr>
          <w:lang w:val="en-GB"/>
        </w:rPr>
        <w:t>. The committee considered that</w:t>
      </w:r>
      <w:r w:rsidR="008A585E" w:rsidRPr="0005586D">
        <w:rPr>
          <w:lang w:val="en-GB"/>
        </w:rPr>
        <w:t xml:space="preserve"> without </w:t>
      </w:r>
      <w:r w:rsidR="0015241A" w:rsidRPr="0005586D">
        <w:rPr>
          <w:lang w:val="en-GB"/>
        </w:rPr>
        <w:t xml:space="preserve">key prognostic factors </w:t>
      </w:r>
      <w:r w:rsidR="00D040F9" w:rsidRPr="0005586D">
        <w:rPr>
          <w:lang w:val="en-GB"/>
        </w:rPr>
        <w:t>accounted for</w:t>
      </w:r>
      <w:r w:rsidR="008A585E" w:rsidRPr="0005586D">
        <w:rPr>
          <w:lang w:val="en-GB"/>
        </w:rPr>
        <w:t>, the results of the propensity score matching analysis were uncertain</w:t>
      </w:r>
      <w:r w:rsidRPr="0005586D">
        <w:rPr>
          <w:lang w:val="en-GB"/>
        </w:rPr>
        <w:t>.</w:t>
      </w:r>
      <w:r w:rsidR="006E13E6">
        <w:rPr>
          <w:lang w:val="en-GB"/>
        </w:rPr>
        <w:t xml:space="preserve"> </w:t>
      </w:r>
      <w:r w:rsidR="001D051F">
        <w:rPr>
          <w:lang w:val="en-GB"/>
        </w:rPr>
        <w:t xml:space="preserve">The </w:t>
      </w:r>
      <w:r w:rsidR="008F298E" w:rsidRPr="008F298E">
        <w:rPr>
          <w:lang w:val="en-GB"/>
        </w:rPr>
        <w:t xml:space="preserve">committee </w:t>
      </w:r>
      <w:r w:rsidR="001D051F">
        <w:rPr>
          <w:lang w:val="en-GB"/>
        </w:rPr>
        <w:t xml:space="preserve">also </w:t>
      </w:r>
      <w:r w:rsidR="008F298E" w:rsidRPr="008F298E">
        <w:rPr>
          <w:lang w:val="en-GB"/>
        </w:rPr>
        <w:t xml:space="preserve">noted that for GI bleed, no comparative data </w:t>
      </w:r>
      <w:r w:rsidR="00C342CF">
        <w:rPr>
          <w:lang w:val="en-GB"/>
        </w:rPr>
        <w:t>were</w:t>
      </w:r>
      <w:r w:rsidR="00C342CF" w:rsidRPr="008F298E">
        <w:rPr>
          <w:lang w:val="en-GB"/>
        </w:rPr>
        <w:t xml:space="preserve"> </w:t>
      </w:r>
      <w:r w:rsidR="008F298E" w:rsidRPr="008F298E">
        <w:rPr>
          <w:lang w:val="en-GB"/>
        </w:rPr>
        <w:t>available on what other treatment</w:t>
      </w:r>
      <w:r w:rsidR="00681BD0">
        <w:rPr>
          <w:lang w:val="en-GB"/>
        </w:rPr>
        <w:t>s</w:t>
      </w:r>
      <w:r w:rsidR="008F298E" w:rsidRPr="008F298E">
        <w:rPr>
          <w:lang w:val="en-GB"/>
        </w:rPr>
        <w:t xml:space="preserve"> people had in the </w:t>
      </w:r>
      <w:r w:rsidR="00C342CF">
        <w:rPr>
          <w:lang w:val="en-GB"/>
        </w:rPr>
        <w:t>2</w:t>
      </w:r>
      <w:r w:rsidR="00C342CF" w:rsidRPr="008F298E">
        <w:rPr>
          <w:lang w:val="en-GB"/>
        </w:rPr>
        <w:t xml:space="preserve"> </w:t>
      </w:r>
      <w:r w:rsidR="008F298E" w:rsidRPr="008F298E">
        <w:rPr>
          <w:lang w:val="en-GB"/>
        </w:rPr>
        <w:t xml:space="preserve">studies, particularly </w:t>
      </w:r>
      <w:r w:rsidR="007E035A">
        <w:rPr>
          <w:lang w:val="en-GB"/>
        </w:rPr>
        <w:t>endoscopic therapy</w:t>
      </w:r>
      <w:r w:rsidR="008F298E" w:rsidRPr="008F298E">
        <w:rPr>
          <w:lang w:val="en-GB"/>
        </w:rPr>
        <w:t xml:space="preserve">. </w:t>
      </w:r>
      <w:r w:rsidR="008A585E" w:rsidRPr="0005586D">
        <w:rPr>
          <w:lang w:val="en-GB"/>
        </w:rPr>
        <w:t>The clinical experts explained that in</w:t>
      </w:r>
      <w:r w:rsidR="006D032B" w:rsidRPr="0005586D">
        <w:rPr>
          <w:lang w:val="en-GB"/>
        </w:rPr>
        <w:t xml:space="preserve"> the </w:t>
      </w:r>
      <w:r w:rsidR="008A585E" w:rsidRPr="0005586D">
        <w:rPr>
          <w:lang w:val="en-GB"/>
        </w:rPr>
        <w:t xml:space="preserve">absence of a randomised controlled trial it was very difficult to </w:t>
      </w:r>
      <w:r w:rsidR="0015241A" w:rsidRPr="0005586D">
        <w:rPr>
          <w:lang w:val="en-GB"/>
        </w:rPr>
        <w:t xml:space="preserve">reach any conclusion </w:t>
      </w:r>
      <w:r w:rsidR="006B3C4E">
        <w:rPr>
          <w:lang w:val="en-GB"/>
        </w:rPr>
        <w:t>about</w:t>
      </w:r>
      <w:r w:rsidR="006B3C4E" w:rsidRPr="0005586D">
        <w:rPr>
          <w:lang w:val="en-GB"/>
        </w:rPr>
        <w:t xml:space="preserve"> </w:t>
      </w:r>
      <w:r w:rsidR="0015241A" w:rsidRPr="0005586D">
        <w:rPr>
          <w:lang w:val="en-GB"/>
        </w:rPr>
        <w:t>the clinical benefit</w:t>
      </w:r>
      <w:r w:rsidR="00BF0399" w:rsidRPr="0005586D">
        <w:rPr>
          <w:lang w:val="en-GB"/>
        </w:rPr>
        <w:t xml:space="preserve"> of andexanet alfa </w:t>
      </w:r>
      <w:r w:rsidR="006D032B" w:rsidRPr="0005586D">
        <w:rPr>
          <w:lang w:val="en-GB"/>
        </w:rPr>
        <w:t xml:space="preserve">compared </w:t>
      </w:r>
      <w:r w:rsidR="00404115">
        <w:rPr>
          <w:lang w:val="en-GB"/>
        </w:rPr>
        <w:t>with</w:t>
      </w:r>
      <w:r w:rsidR="00404115" w:rsidRPr="0005586D">
        <w:rPr>
          <w:lang w:val="en-GB"/>
        </w:rPr>
        <w:t xml:space="preserve"> </w:t>
      </w:r>
      <w:r w:rsidR="00BF0399" w:rsidRPr="0005586D">
        <w:rPr>
          <w:lang w:val="en-GB"/>
        </w:rPr>
        <w:t>PCC.</w:t>
      </w:r>
      <w:r w:rsidRPr="0005586D">
        <w:rPr>
          <w:lang w:val="en-GB"/>
        </w:rPr>
        <w:t xml:space="preserve"> </w:t>
      </w:r>
      <w:r w:rsidR="001F5E84" w:rsidRPr="0005586D">
        <w:rPr>
          <w:lang w:val="en-GB"/>
        </w:rPr>
        <w:t xml:space="preserve">The committee </w:t>
      </w:r>
      <w:r w:rsidR="00BB5A18" w:rsidRPr="0005586D">
        <w:rPr>
          <w:lang w:val="en-GB"/>
        </w:rPr>
        <w:t xml:space="preserve">considered </w:t>
      </w:r>
      <w:r w:rsidR="001F5E84" w:rsidRPr="0005586D">
        <w:rPr>
          <w:lang w:val="en-GB"/>
        </w:rPr>
        <w:t xml:space="preserve">that the propensity score matching analysis </w:t>
      </w:r>
      <w:r w:rsidR="00C2474D">
        <w:rPr>
          <w:lang w:val="en-GB"/>
        </w:rPr>
        <w:t xml:space="preserve">predicted </w:t>
      </w:r>
      <w:r w:rsidR="00E76EB2">
        <w:rPr>
          <w:lang w:val="en-GB"/>
        </w:rPr>
        <w:t>a reduced</w:t>
      </w:r>
      <w:r w:rsidR="00C2474D">
        <w:rPr>
          <w:lang w:val="en-GB"/>
        </w:rPr>
        <w:t xml:space="preserve"> 30-day mortality for the GI cohort and the ICH </w:t>
      </w:r>
      <w:r w:rsidR="00237B40">
        <w:rPr>
          <w:lang w:val="en-GB"/>
        </w:rPr>
        <w:t>cohort,</w:t>
      </w:r>
      <w:r w:rsidR="00C2474D">
        <w:rPr>
          <w:lang w:val="en-GB"/>
        </w:rPr>
        <w:t xml:space="preserve"> but </w:t>
      </w:r>
      <w:r w:rsidR="006B3C4E">
        <w:rPr>
          <w:lang w:val="en-GB"/>
        </w:rPr>
        <w:t xml:space="preserve">the </w:t>
      </w:r>
      <w:r w:rsidR="00C2474D">
        <w:rPr>
          <w:lang w:val="en-GB"/>
        </w:rPr>
        <w:t xml:space="preserve">results </w:t>
      </w:r>
      <w:r w:rsidR="001F5E84" w:rsidRPr="0005586D">
        <w:rPr>
          <w:lang w:val="en-GB"/>
        </w:rPr>
        <w:t>were</w:t>
      </w:r>
      <w:r w:rsidR="008A585E" w:rsidRPr="0005586D">
        <w:rPr>
          <w:lang w:val="en-GB"/>
        </w:rPr>
        <w:t xml:space="preserve"> uncertain</w:t>
      </w:r>
      <w:r w:rsidR="00C2474D">
        <w:rPr>
          <w:lang w:val="en-GB"/>
        </w:rPr>
        <w:t>.</w:t>
      </w:r>
      <w:r w:rsidR="008A585E" w:rsidRPr="0005586D">
        <w:rPr>
          <w:lang w:val="en-GB"/>
        </w:rPr>
        <w:t xml:space="preserve"> </w:t>
      </w:r>
    </w:p>
    <w:p w14:paraId="770FF713" w14:textId="1ADA6B08" w:rsidR="00DB7FFE" w:rsidRDefault="00DB7FFE" w:rsidP="0037715B">
      <w:pPr>
        <w:pStyle w:val="Heading3"/>
      </w:pPr>
      <w:r>
        <w:t>Andexanet alfa is likely to</w:t>
      </w:r>
      <w:r w:rsidR="00BF061A">
        <w:t xml:space="preserve"> </w:t>
      </w:r>
      <w:r w:rsidR="00E76EB2">
        <w:t>reduce</w:t>
      </w:r>
      <w:r>
        <w:t xml:space="preserve"> 30-day mortality for people with GI bleeds</w:t>
      </w:r>
    </w:p>
    <w:p w14:paraId="721BD82C" w14:textId="472CF93A" w:rsidR="00DB7FFE" w:rsidRPr="00DB7FFE" w:rsidRDefault="009A2315" w:rsidP="00C2474D">
      <w:pPr>
        <w:pStyle w:val="Numberedlevel2text"/>
      </w:pPr>
      <w:r>
        <w:rPr>
          <w:lang w:val="en-GB"/>
        </w:rPr>
        <w:t>The</w:t>
      </w:r>
      <w:r w:rsidR="00DB7FFE">
        <w:rPr>
          <w:lang w:val="en-GB"/>
        </w:rPr>
        <w:t xml:space="preserve"> committee </w:t>
      </w:r>
      <w:r>
        <w:rPr>
          <w:lang w:val="en-GB"/>
        </w:rPr>
        <w:t xml:space="preserve">had </w:t>
      </w:r>
      <w:r w:rsidR="00DB7FFE">
        <w:rPr>
          <w:lang w:val="en-GB"/>
        </w:rPr>
        <w:t>concern</w:t>
      </w:r>
      <w:r>
        <w:rPr>
          <w:lang w:val="en-GB"/>
        </w:rPr>
        <w:t>s</w:t>
      </w:r>
      <w:r w:rsidR="00DB7FFE">
        <w:rPr>
          <w:lang w:val="en-GB"/>
        </w:rPr>
        <w:t xml:space="preserve"> about the </w:t>
      </w:r>
      <w:r w:rsidR="00BF061A">
        <w:rPr>
          <w:lang w:val="en-GB"/>
        </w:rPr>
        <w:t xml:space="preserve">effect </w:t>
      </w:r>
      <w:r w:rsidR="00DB7FFE">
        <w:rPr>
          <w:lang w:val="en-GB"/>
        </w:rPr>
        <w:t>of andexanet alfa on 30-day mortality for GI bleeds</w:t>
      </w:r>
      <w:r w:rsidR="00A84C2D">
        <w:rPr>
          <w:lang w:val="en-GB"/>
        </w:rPr>
        <w:t>, because the ANNEXA-4 trial excluded patients with an ex</w:t>
      </w:r>
      <w:r w:rsidR="00F11D91">
        <w:rPr>
          <w:lang w:val="en-GB"/>
        </w:rPr>
        <w:t xml:space="preserve">pected </w:t>
      </w:r>
      <w:r w:rsidR="00DA44C2">
        <w:rPr>
          <w:lang w:val="en-GB"/>
        </w:rPr>
        <w:t xml:space="preserve">survival </w:t>
      </w:r>
      <w:r w:rsidR="00F11D91">
        <w:rPr>
          <w:lang w:val="en-GB"/>
        </w:rPr>
        <w:t>of</w:t>
      </w:r>
      <w:r w:rsidR="00A84C2D" w:rsidRPr="0005586D">
        <w:rPr>
          <w:lang w:val="en-GB"/>
        </w:rPr>
        <w:t xml:space="preserve"> less than 1</w:t>
      </w:r>
      <w:r w:rsidR="00A84C2D">
        <w:rPr>
          <w:lang w:val="en-GB"/>
        </w:rPr>
        <w:t> </w:t>
      </w:r>
      <w:r w:rsidR="00A84C2D" w:rsidRPr="0005586D">
        <w:rPr>
          <w:lang w:val="en-GB"/>
        </w:rPr>
        <w:t>month</w:t>
      </w:r>
      <w:r w:rsidR="00A84C2D">
        <w:rPr>
          <w:lang w:val="en-GB"/>
        </w:rPr>
        <w:t>.</w:t>
      </w:r>
      <w:r>
        <w:rPr>
          <w:lang w:val="en-GB"/>
        </w:rPr>
        <w:t xml:space="preserve"> </w:t>
      </w:r>
      <w:r w:rsidR="00C2474D">
        <w:rPr>
          <w:lang w:val="en-GB"/>
        </w:rPr>
        <w:t xml:space="preserve">In its response to </w:t>
      </w:r>
      <w:r w:rsidR="00DA44C2">
        <w:rPr>
          <w:lang w:val="en-GB"/>
        </w:rPr>
        <w:t xml:space="preserve">the </w:t>
      </w:r>
      <w:r w:rsidR="00C342CF">
        <w:rPr>
          <w:lang w:val="en-GB"/>
        </w:rPr>
        <w:t>first appraisal consultation document</w:t>
      </w:r>
      <w:r w:rsidR="00C2474D">
        <w:rPr>
          <w:lang w:val="en-GB"/>
        </w:rPr>
        <w:t>, t</w:t>
      </w:r>
      <w:r>
        <w:rPr>
          <w:lang w:val="en-GB"/>
        </w:rPr>
        <w:t xml:space="preserve">he company submitted </w:t>
      </w:r>
      <w:r w:rsidR="00DA44C2">
        <w:rPr>
          <w:lang w:val="en-GB"/>
        </w:rPr>
        <w:t>an</w:t>
      </w:r>
      <w:r>
        <w:rPr>
          <w:lang w:val="en-GB"/>
        </w:rPr>
        <w:t xml:space="preserve"> analysis of in-hospital mortality results from a US multicentre real-world study of patients </w:t>
      </w:r>
      <w:r w:rsidR="00366092">
        <w:rPr>
          <w:lang w:val="en-GB"/>
        </w:rPr>
        <w:t xml:space="preserve">who had </w:t>
      </w:r>
      <w:proofErr w:type="spellStart"/>
      <w:r>
        <w:rPr>
          <w:lang w:val="en-GB"/>
        </w:rPr>
        <w:t>andexanet</w:t>
      </w:r>
      <w:proofErr w:type="spellEnd"/>
      <w:r>
        <w:rPr>
          <w:lang w:val="en-GB"/>
        </w:rPr>
        <w:t xml:space="preserve"> alfa</w:t>
      </w:r>
      <w:r w:rsidR="00DB7FFE">
        <w:rPr>
          <w:lang w:val="en-GB"/>
        </w:rPr>
        <w:t xml:space="preserve"> </w:t>
      </w:r>
      <w:r>
        <w:rPr>
          <w:lang w:val="en-GB"/>
        </w:rPr>
        <w:t>within its licensed indication. The study did not exclude patients</w:t>
      </w:r>
      <w:r w:rsidR="00366092">
        <w:rPr>
          <w:lang w:val="en-GB"/>
        </w:rPr>
        <w:t xml:space="preserve"> </w:t>
      </w:r>
      <w:r w:rsidR="00366092" w:rsidRPr="00366092">
        <w:rPr>
          <w:lang w:val="en-GB"/>
        </w:rPr>
        <w:t>with an expected survival of less than 1</w:t>
      </w:r>
      <w:r w:rsidR="00A67532">
        <w:rPr>
          <w:lang w:val="en-GB"/>
        </w:rPr>
        <w:t> </w:t>
      </w:r>
      <w:r w:rsidR="00366092" w:rsidRPr="00366092">
        <w:rPr>
          <w:lang w:val="en-GB"/>
        </w:rPr>
        <w:t>month</w:t>
      </w:r>
      <w:r w:rsidR="00366092">
        <w:rPr>
          <w:lang w:val="en-GB"/>
        </w:rPr>
        <w:t>, unlike</w:t>
      </w:r>
      <w:r>
        <w:rPr>
          <w:lang w:val="en-GB"/>
        </w:rPr>
        <w:t xml:space="preserve"> </w:t>
      </w:r>
      <w:bookmarkStart w:id="3" w:name="_Hlk50103287"/>
      <w:r>
        <w:rPr>
          <w:lang w:val="en-GB"/>
        </w:rPr>
        <w:t>ANNEXA-4</w:t>
      </w:r>
      <w:bookmarkEnd w:id="3"/>
      <w:r>
        <w:rPr>
          <w:lang w:val="en-GB"/>
        </w:rPr>
        <w:t xml:space="preserve">. </w:t>
      </w:r>
      <w:r w:rsidR="00366092">
        <w:rPr>
          <w:lang w:val="en-GB"/>
        </w:rPr>
        <w:t>But the</w:t>
      </w:r>
      <w:r w:rsidR="00366092" w:rsidRPr="00366092">
        <w:rPr>
          <w:lang w:val="en-GB"/>
        </w:rPr>
        <w:t xml:space="preserve"> criteria for who had treatment in </w:t>
      </w:r>
      <w:r w:rsidR="00366092">
        <w:rPr>
          <w:lang w:val="en-GB"/>
        </w:rPr>
        <w:t>the</w:t>
      </w:r>
      <w:r w:rsidR="00366092" w:rsidRPr="00366092">
        <w:rPr>
          <w:lang w:val="en-GB"/>
        </w:rPr>
        <w:t xml:space="preserve"> study and what other treatments the patients had were not clear. </w:t>
      </w:r>
      <w:r>
        <w:rPr>
          <w:lang w:val="en-GB"/>
        </w:rPr>
        <w:t xml:space="preserve">The committee noted that in-hospital mortality </w:t>
      </w:r>
      <w:r w:rsidR="00366092">
        <w:rPr>
          <w:lang w:val="en-GB"/>
        </w:rPr>
        <w:t xml:space="preserve">in </w:t>
      </w:r>
      <w:r>
        <w:rPr>
          <w:lang w:val="en-GB"/>
        </w:rPr>
        <w:t xml:space="preserve">the real-world study was lower than in ANNEXA-4, </w:t>
      </w:r>
      <w:r w:rsidR="00366092">
        <w:rPr>
          <w:lang w:val="en-GB"/>
        </w:rPr>
        <w:t>even though an</w:t>
      </w:r>
      <w:r>
        <w:rPr>
          <w:lang w:val="en-GB"/>
        </w:rPr>
        <w:t xml:space="preserve"> exclusion criterion based on expected survival was not applied. The committee considered that </w:t>
      </w:r>
      <w:r w:rsidR="009308B7">
        <w:rPr>
          <w:lang w:val="en-GB"/>
        </w:rPr>
        <w:t xml:space="preserve">this </w:t>
      </w:r>
      <w:r w:rsidR="00DA44C2">
        <w:rPr>
          <w:lang w:val="en-GB"/>
        </w:rPr>
        <w:t xml:space="preserve">potentially </w:t>
      </w:r>
      <w:r w:rsidR="001F6CAD">
        <w:rPr>
          <w:lang w:val="en-GB"/>
        </w:rPr>
        <w:t xml:space="preserve">supported </w:t>
      </w:r>
      <w:r w:rsidR="00DA44C2">
        <w:rPr>
          <w:lang w:val="en-GB"/>
        </w:rPr>
        <w:t>the</w:t>
      </w:r>
      <w:r>
        <w:rPr>
          <w:lang w:val="en-GB"/>
        </w:rPr>
        <w:t xml:space="preserve"> generalisability of the trial</w:t>
      </w:r>
      <w:r w:rsidR="00DA44C2">
        <w:rPr>
          <w:lang w:val="en-GB"/>
        </w:rPr>
        <w:t xml:space="preserve"> outcomes</w:t>
      </w:r>
      <w:r>
        <w:rPr>
          <w:lang w:val="en-GB"/>
        </w:rPr>
        <w:t xml:space="preserve"> to a </w:t>
      </w:r>
      <w:r w:rsidR="001F6CAD">
        <w:rPr>
          <w:lang w:val="en-GB"/>
        </w:rPr>
        <w:t>broader</w:t>
      </w:r>
      <w:r>
        <w:rPr>
          <w:lang w:val="en-GB"/>
        </w:rPr>
        <w:t xml:space="preserve"> population. The committee also considered the Rockall score </w:t>
      </w:r>
      <w:r w:rsidR="006E1FAE" w:rsidRPr="006E1FAE">
        <w:rPr>
          <w:lang w:val="en-GB"/>
        </w:rPr>
        <w:t xml:space="preserve">submitted by the company </w:t>
      </w:r>
      <w:r w:rsidR="006E1FAE">
        <w:rPr>
          <w:lang w:val="en-GB"/>
        </w:rPr>
        <w:t>f</w:t>
      </w:r>
      <w:r>
        <w:rPr>
          <w:lang w:val="en-GB"/>
        </w:rPr>
        <w:t>o</w:t>
      </w:r>
      <w:r w:rsidR="006E1FAE">
        <w:rPr>
          <w:lang w:val="en-GB"/>
        </w:rPr>
        <w:t>r</w:t>
      </w:r>
      <w:r>
        <w:rPr>
          <w:lang w:val="en-GB"/>
        </w:rPr>
        <w:t xml:space="preserve"> </w:t>
      </w:r>
      <w:r w:rsidR="006E1FAE">
        <w:rPr>
          <w:lang w:val="en-GB"/>
        </w:rPr>
        <w:t xml:space="preserve">patients with </w:t>
      </w:r>
      <w:r>
        <w:rPr>
          <w:lang w:val="en-GB"/>
        </w:rPr>
        <w:t xml:space="preserve">GI </w:t>
      </w:r>
      <w:r w:rsidR="006E1FAE">
        <w:rPr>
          <w:lang w:val="en-GB"/>
        </w:rPr>
        <w:t xml:space="preserve">bleeds </w:t>
      </w:r>
      <w:r>
        <w:rPr>
          <w:lang w:val="en-GB"/>
        </w:rPr>
        <w:t>in ANNEXA-4. The</w:t>
      </w:r>
      <w:r w:rsidR="00DA44C2">
        <w:rPr>
          <w:lang w:val="en-GB"/>
        </w:rPr>
        <w:t xml:space="preserve"> </w:t>
      </w:r>
      <w:r>
        <w:rPr>
          <w:lang w:val="en-GB"/>
        </w:rPr>
        <w:t xml:space="preserve">clinical </w:t>
      </w:r>
      <w:r>
        <w:rPr>
          <w:lang w:val="en-GB"/>
        </w:rPr>
        <w:lastRenderedPageBreak/>
        <w:t xml:space="preserve">expert </w:t>
      </w:r>
      <w:r w:rsidR="00182946">
        <w:rPr>
          <w:lang w:val="en-GB"/>
        </w:rPr>
        <w:t xml:space="preserve">explained </w:t>
      </w:r>
      <w:r>
        <w:rPr>
          <w:lang w:val="en-GB"/>
        </w:rPr>
        <w:t>that</w:t>
      </w:r>
      <w:r w:rsidR="00A337A5">
        <w:rPr>
          <w:lang w:val="en-GB"/>
        </w:rPr>
        <w:t xml:space="preserve"> the</w:t>
      </w:r>
      <w:r>
        <w:rPr>
          <w:lang w:val="en-GB"/>
        </w:rPr>
        <w:t xml:space="preserve"> Rockall score </w:t>
      </w:r>
      <w:r w:rsidR="00182946">
        <w:rPr>
          <w:lang w:val="en-GB"/>
        </w:rPr>
        <w:t xml:space="preserve">is </w:t>
      </w:r>
      <w:r>
        <w:rPr>
          <w:lang w:val="en-GB"/>
        </w:rPr>
        <w:t>a validated predictor of mortality</w:t>
      </w:r>
      <w:r w:rsidR="00374541">
        <w:rPr>
          <w:lang w:val="en-GB"/>
        </w:rPr>
        <w:t xml:space="preserve">. In ANNEXA-4, patients had a </w:t>
      </w:r>
      <w:r w:rsidR="000D14FD">
        <w:rPr>
          <w:lang w:val="en-GB"/>
        </w:rPr>
        <w:t xml:space="preserve">lower mortality rate than </w:t>
      </w:r>
      <w:r w:rsidR="00374541">
        <w:rPr>
          <w:lang w:val="en-GB"/>
        </w:rPr>
        <w:t xml:space="preserve">predicted </w:t>
      </w:r>
      <w:r w:rsidR="000D14FD">
        <w:rPr>
          <w:lang w:val="en-GB"/>
        </w:rPr>
        <w:t xml:space="preserve">by the </w:t>
      </w:r>
      <w:r w:rsidR="00374541">
        <w:rPr>
          <w:lang w:val="en-GB"/>
        </w:rPr>
        <w:t>Rockall score, suggesting</w:t>
      </w:r>
      <w:r w:rsidR="00E54C70">
        <w:rPr>
          <w:lang w:val="en-GB"/>
        </w:rPr>
        <w:t xml:space="preserve"> that</w:t>
      </w:r>
      <w:r w:rsidR="00374541">
        <w:rPr>
          <w:lang w:val="en-GB"/>
        </w:rPr>
        <w:t xml:space="preserve"> andexanet alfa</w:t>
      </w:r>
      <w:r w:rsidR="006E1FAE">
        <w:rPr>
          <w:lang w:val="en-GB"/>
        </w:rPr>
        <w:t xml:space="preserve"> reduces mortality</w:t>
      </w:r>
      <w:r w:rsidR="00374541">
        <w:rPr>
          <w:lang w:val="en-GB"/>
        </w:rPr>
        <w:t xml:space="preserve">. </w:t>
      </w:r>
      <w:r w:rsidR="006E1FAE">
        <w:rPr>
          <w:lang w:val="en-GB"/>
        </w:rPr>
        <w:t>T</w:t>
      </w:r>
      <w:r w:rsidR="00487D18">
        <w:rPr>
          <w:lang w:val="en-GB"/>
        </w:rPr>
        <w:t xml:space="preserve">he clinical expert </w:t>
      </w:r>
      <w:r w:rsidR="006E1FAE">
        <w:rPr>
          <w:lang w:val="en-GB"/>
        </w:rPr>
        <w:t xml:space="preserve">noted </w:t>
      </w:r>
      <w:r w:rsidR="00487D18">
        <w:rPr>
          <w:lang w:val="en-GB"/>
        </w:rPr>
        <w:t xml:space="preserve">that this data </w:t>
      </w:r>
      <w:r w:rsidR="006E1FAE">
        <w:rPr>
          <w:lang w:val="en-GB"/>
        </w:rPr>
        <w:t>increased</w:t>
      </w:r>
      <w:r w:rsidR="00487D18">
        <w:rPr>
          <w:lang w:val="en-GB"/>
        </w:rPr>
        <w:t xml:space="preserve"> confidence about the benefit of andexanet alfa. </w:t>
      </w:r>
      <w:r w:rsidR="00066244">
        <w:rPr>
          <w:lang w:val="en-GB"/>
        </w:rPr>
        <w:t>T</w:t>
      </w:r>
      <w:r w:rsidR="00374541">
        <w:rPr>
          <w:lang w:val="en-GB"/>
        </w:rPr>
        <w:t>he committee noted that</w:t>
      </w:r>
      <w:r w:rsidR="006E1FAE">
        <w:rPr>
          <w:lang w:val="en-GB"/>
        </w:rPr>
        <w:t xml:space="preserve"> the</w:t>
      </w:r>
      <w:r w:rsidR="00374541">
        <w:rPr>
          <w:lang w:val="en-GB"/>
        </w:rPr>
        <w:t xml:space="preserve"> Rockall score was not developed in an anticoagulated population</w:t>
      </w:r>
      <w:r w:rsidR="00066244">
        <w:rPr>
          <w:lang w:val="en-GB"/>
        </w:rPr>
        <w:t>. However,</w:t>
      </w:r>
      <w:r w:rsidR="00374541">
        <w:rPr>
          <w:lang w:val="en-GB"/>
        </w:rPr>
        <w:t xml:space="preserve"> it considered that </w:t>
      </w:r>
      <w:r w:rsidR="009308B7">
        <w:rPr>
          <w:lang w:val="en-GB"/>
        </w:rPr>
        <w:t xml:space="preserve">the </w:t>
      </w:r>
      <w:r w:rsidR="00182946">
        <w:rPr>
          <w:lang w:val="en-GB"/>
        </w:rPr>
        <w:t xml:space="preserve">Rockall </w:t>
      </w:r>
      <w:r w:rsidR="009308B7">
        <w:rPr>
          <w:lang w:val="en-GB"/>
        </w:rPr>
        <w:t xml:space="preserve">score </w:t>
      </w:r>
      <w:r w:rsidR="00117FF3">
        <w:rPr>
          <w:lang w:val="en-GB"/>
        </w:rPr>
        <w:t>submitted by the company</w:t>
      </w:r>
      <w:r w:rsidR="009308B7">
        <w:rPr>
          <w:lang w:val="en-GB"/>
        </w:rPr>
        <w:t xml:space="preserve"> </w:t>
      </w:r>
      <w:r w:rsidR="000D14FD">
        <w:rPr>
          <w:lang w:val="en-GB"/>
        </w:rPr>
        <w:t xml:space="preserve">was broadly supportive of </w:t>
      </w:r>
      <w:r w:rsidR="00374541">
        <w:rPr>
          <w:lang w:val="en-GB"/>
        </w:rPr>
        <w:t xml:space="preserve">andexanet alfa </w:t>
      </w:r>
      <w:r w:rsidR="00E76EB2">
        <w:rPr>
          <w:lang w:val="en-GB"/>
        </w:rPr>
        <w:t xml:space="preserve">reducing </w:t>
      </w:r>
      <w:r w:rsidR="00374541">
        <w:rPr>
          <w:lang w:val="en-GB"/>
        </w:rPr>
        <w:t xml:space="preserve">30-day mortality in patients </w:t>
      </w:r>
      <w:r w:rsidR="00A337A5">
        <w:rPr>
          <w:lang w:val="en-GB"/>
        </w:rPr>
        <w:t>with GI bleeds</w:t>
      </w:r>
      <w:r w:rsidR="00374541">
        <w:rPr>
          <w:lang w:val="en-GB"/>
        </w:rPr>
        <w:t xml:space="preserve">. Nevertheless, in </w:t>
      </w:r>
      <w:r w:rsidR="00F43E08">
        <w:rPr>
          <w:lang w:val="en-GB"/>
        </w:rPr>
        <w:t>the</w:t>
      </w:r>
      <w:r w:rsidR="006D0C8E">
        <w:rPr>
          <w:lang w:val="en-GB"/>
        </w:rPr>
        <w:t xml:space="preserve"> </w:t>
      </w:r>
      <w:r w:rsidR="00374541">
        <w:rPr>
          <w:lang w:val="en-GB"/>
        </w:rPr>
        <w:t>absence of any direct evidence</w:t>
      </w:r>
      <w:r w:rsidR="00230C69">
        <w:rPr>
          <w:lang w:val="en-GB"/>
        </w:rPr>
        <w:t>, some uncertainties remain around the efficacy of andexanet alfa in GI</w:t>
      </w:r>
      <w:r w:rsidR="000D14FD">
        <w:rPr>
          <w:lang w:val="en-GB"/>
        </w:rPr>
        <w:t xml:space="preserve"> bleeds</w:t>
      </w:r>
      <w:r w:rsidR="006E1FAE">
        <w:rPr>
          <w:lang w:val="en-GB"/>
        </w:rPr>
        <w:t xml:space="preserve">. This is </w:t>
      </w:r>
      <w:r w:rsidR="00230C69">
        <w:rPr>
          <w:lang w:val="en-GB"/>
        </w:rPr>
        <w:t xml:space="preserve">particularly </w:t>
      </w:r>
      <w:r w:rsidR="006E1FAE">
        <w:rPr>
          <w:lang w:val="en-GB"/>
        </w:rPr>
        <w:t xml:space="preserve">because </w:t>
      </w:r>
      <w:r w:rsidR="000D14FD">
        <w:rPr>
          <w:lang w:val="en-GB"/>
        </w:rPr>
        <w:t xml:space="preserve">other treatments are available and </w:t>
      </w:r>
      <w:r w:rsidR="00117FF3">
        <w:rPr>
          <w:lang w:val="en-GB"/>
        </w:rPr>
        <w:t>andexanet alfa</w:t>
      </w:r>
      <w:r w:rsidR="000D14FD">
        <w:rPr>
          <w:lang w:val="en-GB"/>
        </w:rPr>
        <w:t xml:space="preserve"> itself carries a risk of </w:t>
      </w:r>
      <w:r w:rsidR="00604ACC">
        <w:rPr>
          <w:lang w:val="en-GB"/>
        </w:rPr>
        <w:t>thrombosis</w:t>
      </w:r>
      <w:r w:rsidR="000D14FD">
        <w:rPr>
          <w:lang w:val="en-GB"/>
        </w:rPr>
        <w:t xml:space="preserve">. </w:t>
      </w:r>
      <w:r w:rsidR="007C4C54">
        <w:rPr>
          <w:lang w:val="en-GB"/>
        </w:rPr>
        <w:t>T</w:t>
      </w:r>
      <w:r w:rsidR="00374541">
        <w:rPr>
          <w:lang w:val="en-GB"/>
        </w:rPr>
        <w:t xml:space="preserve">he </w:t>
      </w:r>
      <w:r w:rsidR="008A2A96">
        <w:rPr>
          <w:lang w:val="en-GB"/>
        </w:rPr>
        <w:t>clinical expert</w:t>
      </w:r>
      <w:r w:rsidR="007C4C54">
        <w:rPr>
          <w:lang w:val="en-GB"/>
        </w:rPr>
        <w:t xml:space="preserve"> noted</w:t>
      </w:r>
      <w:r w:rsidR="00374541">
        <w:rPr>
          <w:lang w:val="en-GB"/>
        </w:rPr>
        <w:t xml:space="preserve"> that andexanet alfa would be best used as part of</w:t>
      </w:r>
      <w:r w:rsidR="006D0C8E">
        <w:rPr>
          <w:lang w:val="en-GB"/>
        </w:rPr>
        <w:t xml:space="preserve"> </w:t>
      </w:r>
      <w:r w:rsidR="00F43E08">
        <w:rPr>
          <w:lang w:val="en-GB"/>
        </w:rPr>
        <w:t>a</w:t>
      </w:r>
      <w:r w:rsidR="00374541">
        <w:rPr>
          <w:lang w:val="en-GB"/>
        </w:rPr>
        <w:t xml:space="preserve"> major GI bleed protocol,</w:t>
      </w:r>
      <w:r w:rsidR="000D14FD">
        <w:rPr>
          <w:lang w:val="en-GB"/>
        </w:rPr>
        <w:t xml:space="preserve"> in line with its use in </w:t>
      </w:r>
      <w:r w:rsidR="00374541">
        <w:rPr>
          <w:lang w:val="en-GB"/>
        </w:rPr>
        <w:t>ANNEXA-4.</w:t>
      </w:r>
      <w:r w:rsidR="00BD5FD7">
        <w:rPr>
          <w:lang w:val="en-GB"/>
        </w:rPr>
        <w:t xml:space="preserve"> The committee concluded that andexanet alfa is likely to </w:t>
      </w:r>
      <w:r w:rsidR="00BF061A">
        <w:rPr>
          <w:lang w:val="en-GB"/>
        </w:rPr>
        <w:t xml:space="preserve">reduce </w:t>
      </w:r>
      <w:r w:rsidR="00BD5FD7">
        <w:rPr>
          <w:lang w:val="en-GB"/>
        </w:rPr>
        <w:t xml:space="preserve">30-day mortality for </w:t>
      </w:r>
      <w:r w:rsidR="000D14FD">
        <w:rPr>
          <w:lang w:val="en-GB"/>
        </w:rPr>
        <w:t>people wi</w:t>
      </w:r>
      <w:r w:rsidR="00BD5FD7">
        <w:rPr>
          <w:lang w:val="en-GB"/>
        </w:rPr>
        <w:t>th</w:t>
      </w:r>
      <w:r w:rsidR="00BF061A">
        <w:rPr>
          <w:lang w:val="en-GB"/>
        </w:rPr>
        <w:t xml:space="preserve"> life-threatening or uncontrolled</w:t>
      </w:r>
      <w:r w:rsidR="00BD5FD7">
        <w:rPr>
          <w:lang w:val="en-GB"/>
        </w:rPr>
        <w:t xml:space="preserve"> GI bleeds.</w:t>
      </w:r>
    </w:p>
    <w:p w14:paraId="54E48479" w14:textId="2E5A303F" w:rsidR="00DB7FFE" w:rsidRDefault="00374541" w:rsidP="0037715B">
      <w:pPr>
        <w:pStyle w:val="Heading3"/>
      </w:pPr>
      <w:bookmarkStart w:id="4" w:name="_The_extent_of"/>
      <w:bookmarkEnd w:id="4"/>
      <w:r>
        <w:t xml:space="preserve">The </w:t>
      </w:r>
      <w:r w:rsidR="007C4C54">
        <w:t xml:space="preserve">extent </w:t>
      </w:r>
      <w:r w:rsidR="00E76EB2">
        <w:t>that</w:t>
      </w:r>
      <w:r>
        <w:t xml:space="preserve"> andexanet alfa</w:t>
      </w:r>
      <w:r w:rsidR="00E76EB2">
        <w:t xml:space="preserve"> reduces mortality</w:t>
      </w:r>
      <w:r>
        <w:t xml:space="preserve"> </w:t>
      </w:r>
      <w:r w:rsidR="00883547">
        <w:t>in</w:t>
      </w:r>
      <w:r>
        <w:t xml:space="preserve"> ICH is unclear</w:t>
      </w:r>
    </w:p>
    <w:p w14:paraId="5BD37C18" w14:textId="0475C1AA" w:rsidR="00374541" w:rsidRPr="00374541" w:rsidRDefault="00F76EB8" w:rsidP="00E36A7A">
      <w:pPr>
        <w:pStyle w:val="Numberedlevel2text"/>
      </w:pPr>
      <w:r>
        <w:rPr>
          <w:lang w:val="en-GB"/>
        </w:rPr>
        <w:t>The</w:t>
      </w:r>
      <w:r w:rsidR="005F05F7" w:rsidRPr="005F05F7">
        <w:rPr>
          <w:lang w:val="en-GB"/>
        </w:rPr>
        <w:t xml:space="preserve"> indirect treatment comparison</w:t>
      </w:r>
      <w:r w:rsidR="005F05F7" w:rsidRPr="005F05F7" w:rsidDel="00733540">
        <w:rPr>
          <w:lang w:val="en-GB"/>
        </w:rPr>
        <w:t xml:space="preserve"> </w:t>
      </w:r>
      <w:r>
        <w:rPr>
          <w:lang w:val="en-GB"/>
        </w:rPr>
        <w:t xml:space="preserve">predicted </w:t>
      </w:r>
      <w:r w:rsidR="00733540">
        <w:rPr>
          <w:lang w:val="en-GB"/>
        </w:rPr>
        <w:t xml:space="preserve">that </w:t>
      </w:r>
      <w:proofErr w:type="spellStart"/>
      <w:r w:rsidR="00883547">
        <w:rPr>
          <w:lang w:val="en-GB"/>
        </w:rPr>
        <w:t>andexanet</w:t>
      </w:r>
      <w:proofErr w:type="spellEnd"/>
      <w:r w:rsidR="00883547">
        <w:rPr>
          <w:lang w:val="en-GB"/>
        </w:rPr>
        <w:t xml:space="preserve"> alfa</w:t>
      </w:r>
      <w:r w:rsidR="003061B0">
        <w:rPr>
          <w:lang w:val="en-GB"/>
        </w:rPr>
        <w:t xml:space="preserve"> reduc</w:t>
      </w:r>
      <w:r w:rsidR="00733540">
        <w:rPr>
          <w:lang w:val="en-GB"/>
        </w:rPr>
        <w:t>es</w:t>
      </w:r>
      <w:r w:rsidR="003061B0">
        <w:rPr>
          <w:lang w:val="en-GB"/>
        </w:rPr>
        <w:t xml:space="preserve"> mortality in ICH</w:t>
      </w:r>
      <w:r w:rsidR="005F05F7">
        <w:rPr>
          <w:lang w:val="en-GB"/>
        </w:rPr>
        <w:t>.</w:t>
      </w:r>
      <w:r w:rsidR="00B41EBF">
        <w:rPr>
          <w:lang w:val="en-GB"/>
        </w:rPr>
        <w:t xml:space="preserve"> </w:t>
      </w:r>
      <w:r w:rsidRPr="00F76EB8">
        <w:rPr>
          <w:lang w:val="en-GB"/>
        </w:rPr>
        <w:t xml:space="preserve">The committee considered </w:t>
      </w:r>
      <w:r>
        <w:rPr>
          <w:lang w:val="en-GB"/>
        </w:rPr>
        <w:t xml:space="preserve">this to be plausible. </w:t>
      </w:r>
      <w:r w:rsidR="005F05F7">
        <w:rPr>
          <w:lang w:val="en-GB"/>
        </w:rPr>
        <w:t xml:space="preserve">However, </w:t>
      </w:r>
      <w:r w:rsidR="00883547">
        <w:rPr>
          <w:lang w:val="en-GB"/>
        </w:rPr>
        <w:t>the size of</w:t>
      </w:r>
      <w:r w:rsidR="00F43E08">
        <w:rPr>
          <w:lang w:val="en-GB"/>
        </w:rPr>
        <w:t xml:space="preserve"> the</w:t>
      </w:r>
      <w:r w:rsidR="00883547">
        <w:rPr>
          <w:lang w:val="en-GB"/>
        </w:rPr>
        <w:t xml:space="preserve"> benefit </w:t>
      </w:r>
      <w:r w:rsidR="00525C62">
        <w:rPr>
          <w:lang w:val="en-GB"/>
        </w:rPr>
        <w:t>was</w:t>
      </w:r>
      <w:r w:rsidR="00883547">
        <w:rPr>
          <w:lang w:val="en-GB"/>
        </w:rPr>
        <w:t xml:space="preserve"> unclear. The committee was concerned by </w:t>
      </w:r>
      <w:r>
        <w:rPr>
          <w:lang w:val="en-GB"/>
        </w:rPr>
        <w:t xml:space="preserve">comments received at consultation from </w:t>
      </w:r>
      <w:r w:rsidR="00883547">
        <w:rPr>
          <w:lang w:val="en-GB"/>
        </w:rPr>
        <w:t xml:space="preserve">the </w:t>
      </w:r>
      <w:r w:rsidR="00B41EBF">
        <w:rPr>
          <w:lang w:val="en-GB"/>
        </w:rPr>
        <w:t>British Association of Stroke Physicians</w:t>
      </w:r>
      <w:r>
        <w:rPr>
          <w:lang w:val="en-GB"/>
        </w:rPr>
        <w:t>,</w:t>
      </w:r>
      <w:r w:rsidR="00883547">
        <w:rPr>
          <w:lang w:val="en-GB"/>
        </w:rPr>
        <w:t xml:space="preserve"> </w:t>
      </w:r>
      <w:r>
        <w:rPr>
          <w:lang w:val="en-GB"/>
        </w:rPr>
        <w:t>stating</w:t>
      </w:r>
      <w:r w:rsidR="007C4C54">
        <w:rPr>
          <w:lang w:val="en-GB"/>
        </w:rPr>
        <w:t xml:space="preserve"> </w:t>
      </w:r>
      <w:r w:rsidR="00883547">
        <w:rPr>
          <w:lang w:val="en-GB"/>
        </w:rPr>
        <w:t xml:space="preserve">that it </w:t>
      </w:r>
      <w:r w:rsidR="003B21D0">
        <w:rPr>
          <w:lang w:val="en-GB"/>
        </w:rPr>
        <w:t xml:space="preserve">was </w:t>
      </w:r>
      <w:r w:rsidR="00883547">
        <w:rPr>
          <w:lang w:val="en-GB"/>
        </w:rPr>
        <w:t xml:space="preserve">unclear whether andexanet alfa improves </w:t>
      </w:r>
      <w:r w:rsidR="003B21D0">
        <w:rPr>
          <w:lang w:val="en-GB"/>
        </w:rPr>
        <w:t>‘</w:t>
      </w:r>
      <w:r w:rsidR="00883547">
        <w:rPr>
          <w:lang w:val="en-GB"/>
        </w:rPr>
        <w:t>very disabled survival in people who would otherwise die, or</w:t>
      </w:r>
      <w:r w:rsidR="003B21D0">
        <w:rPr>
          <w:lang w:val="en-GB"/>
        </w:rPr>
        <w:t xml:space="preserve"> is improving</w:t>
      </w:r>
      <w:r w:rsidR="00883547">
        <w:rPr>
          <w:lang w:val="en-GB"/>
        </w:rPr>
        <w:t xml:space="preserve"> the number of people with excellent recovery</w:t>
      </w:r>
      <w:r w:rsidR="007C4C54">
        <w:rPr>
          <w:lang w:val="en-GB"/>
        </w:rPr>
        <w:t xml:space="preserve">’. </w:t>
      </w:r>
      <w:r>
        <w:rPr>
          <w:lang w:val="en-GB"/>
        </w:rPr>
        <w:t xml:space="preserve">This uncertainty would make </w:t>
      </w:r>
      <w:r w:rsidR="00B41EBF">
        <w:rPr>
          <w:lang w:val="en-GB"/>
        </w:rPr>
        <w:t>treatment decision</w:t>
      </w:r>
      <w:r w:rsidR="00F43E08">
        <w:rPr>
          <w:lang w:val="en-GB"/>
        </w:rPr>
        <w:t>s</w:t>
      </w:r>
      <w:r w:rsidR="00B41EBF">
        <w:rPr>
          <w:lang w:val="en-GB"/>
        </w:rPr>
        <w:t xml:space="preserve"> difficult and </w:t>
      </w:r>
      <w:r>
        <w:rPr>
          <w:lang w:val="en-GB"/>
        </w:rPr>
        <w:t xml:space="preserve">might </w:t>
      </w:r>
      <w:r w:rsidR="00B41EBF">
        <w:rPr>
          <w:lang w:val="en-GB"/>
        </w:rPr>
        <w:t xml:space="preserve">involve discussions with relatives about </w:t>
      </w:r>
      <w:r w:rsidR="005F483F">
        <w:rPr>
          <w:lang w:val="en-GB"/>
        </w:rPr>
        <w:t>whether</w:t>
      </w:r>
      <w:r w:rsidR="003B21D0">
        <w:rPr>
          <w:lang w:val="en-GB"/>
        </w:rPr>
        <w:t xml:space="preserve"> </w:t>
      </w:r>
      <w:r w:rsidR="00F43E08">
        <w:rPr>
          <w:lang w:val="en-GB"/>
        </w:rPr>
        <w:t xml:space="preserve">to </w:t>
      </w:r>
      <w:r>
        <w:rPr>
          <w:lang w:val="en-GB"/>
        </w:rPr>
        <w:t xml:space="preserve">use </w:t>
      </w:r>
      <w:proofErr w:type="spellStart"/>
      <w:r w:rsidRPr="00F76EB8">
        <w:rPr>
          <w:lang w:val="en-GB"/>
        </w:rPr>
        <w:t>andexanet</w:t>
      </w:r>
      <w:proofErr w:type="spellEnd"/>
      <w:r w:rsidRPr="00F76EB8">
        <w:rPr>
          <w:lang w:val="en-GB"/>
        </w:rPr>
        <w:t xml:space="preserve"> alfa</w:t>
      </w:r>
      <w:r w:rsidRPr="00F76EB8" w:rsidDel="00F76EB8">
        <w:rPr>
          <w:lang w:val="en-GB"/>
        </w:rPr>
        <w:t xml:space="preserve"> </w:t>
      </w:r>
      <w:r>
        <w:rPr>
          <w:lang w:val="en-GB"/>
        </w:rPr>
        <w:t xml:space="preserve">for </w:t>
      </w:r>
      <w:r w:rsidR="003B21D0">
        <w:rPr>
          <w:lang w:val="en-GB"/>
        </w:rPr>
        <w:t>ICH</w:t>
      </w:r>
      <w:r w:rsidR="005715AF">
        <w:rPr>
          <w:lang w:val="en-GB"/>
        </w:rPr>
        <w:t>.</w:t>
      </w:r>
      <w:r w:rsidR="00883547">
        <w:rPr>
          <w:lang w:val="en-GB"/>
        </w:rPr>
        <w:t xml:space="preserve"> </w:t>
      </w:r>
      <w:r>
        <w:rPr>
          <w:lang w:val="en-GB"/>
        </w:rPr>
        <w:t>The</w:t>
      </w:r>
      <w:r w:rsidR="00883547">
        <w:rPr>
          <w:lang w:val="en-GB"/>
        </w:rPr>
        <w:t xml:space="preserve"> committee </w:t>
      </w:r>
      <w:r>
        <w:rPr>
          <w:lang w:val="en-GB"/>
        </w:rPr>
        <w:t xml:space="preserve">also </w:t>
      </w:r>
      <w:r w:rsidR="00883547">
        <w:rPr>
          <w:lang w:val="en-GB"/>
        </w:rPr>
        <w:t>noted that the European Stroke Organisation</w:t>
      </w:r>
      <w:r w:rsidR="00D3018D">
        <w:rPr>
          <w:lang w:val="en-GB"/>
        </w:rPr>
        <w:t xml:space="preserve"> 2019</w:t>
      </w:r>
      <w:r w:rsidR="00883547">
        <w:rPr>
          <w:lang w:val="en-GB"/>
        </w:rPr>
        <w:t xml:space="preserve"> guideline</w:t>
      </w:r>
      <w:r w:rsidR="007A0EA4">
        <w:rPr>
          <w:lang w:val="en-GB"/>
        </w:rPr>
        <w:t xml:space="preserve"> on reversal of oral anticoagulants</w:t>
      </w:r>
      <w:r w:rsidR="00883547">
        <w:rPr>
          <w:lang w:val="en-GB"/>
        </w:rPr>
        <w:t xml:space="preserve"> for ICH </w:t>
      </w:r>
      <w:r w:rsidR="00117FF3">
        <w:rPr>
          <w:lang w:val="en-GB"/>
        </w:rPr>
        <w:t xml:space="preserve">recommended </w:t>
      </w:r>
      <w:r w:rsidR="00883547">
        <w:rPr>
          <w:lang w:val="en-GB"/>
        </w:rPr>
        <w:t xml:space="preserve">early reversal </w:t>
      </w:r>
      <w:r w:rsidR="007A0EA4">
        <w:rPr>
          <w:lang w:val="en-GB"/>
        </w:rPr>
        <w:t>‘</w:t>
      </w:r>
      <w:r w:rsidR="00883547">
        <w:rPr>
          <w:lang w:val="en-GB"/>
        </w:rPr>
        <w:t>using andexanet alfa if available</w:t>
      </w:r>
      <w:r w:rsidR="007A0EA4">
        <w:rPr>
          <w:lang w:val="en-GB"/>
        </w:rPr>
        <w:t>’</w:t>
      </w:r>
      <w:r w:rsidR="00277C6D">
        <w:rPr>
          <w:lang w:val="en-GB"/>
        </w:rPr>
        <w:t xml:space="preserve">. However, it </w:t>
      </w:r>
      <w:r w:rsidR="00883547">
        <w:rPr>
          <w:lang w:val="en-GB"/>
        </w:rPr>
        <w:t>also recommend</w:t>
      </w:r>
      <w:r w:rsidR="00117FF3">
        <w:rPr>
          <w:lang w:val="en-GB"/>
        </w:rPr>
        <w:t>ed</w:t>
      </w:r>
      <w:r w:rsidR="00883547">
        <w:rPr>
          <w:lang w:val="en-GB"/>
        </w:rPr>
        <w:t xml:space="preserve"> </w:t>
      </w:r>
      <w:r w:rsidR="00277C6D">
        <w:rPr>
          <w:lang w:val="en-GB"/>
        </w:rPr>
        <w:t>‘</w:t>
      </w:r>
      <w:r w:rsidR="00883547">
        <w:rPr>
          <w:lang w:val="en-GB"/>
        </w:rPr>
        <w:t xml:space="preserve">randomising into trials </w:t>
      </w:r>
      <w:r w:rsidR="007A0EA4">
        <w:rPr>
          <w:lang w:val="en-GB"/>
        </w:rPr>
        <w:t>as based on the</w:t>
      </w:r>
      <w:r w:rsidR="00D718A4">
        <w:rPr>
          <w:lang w:val="en-GB"/>
        </w:rPr>
        <w:t xml:space="preserve"> low quality of evidence</w:t>
      </w:r>
      <w:r w:rsidR="00277C6D">
        <w:rPr>
          <w:lang w:val="en-GB"/>
        </w:rPr>
        <w:t>’</w:t>
      </w:r>
      <w:r w:rsidR="00D718A4">
        <w:rPr>
          <w:lang w:val="en-GB"/>
        </w:rPr>
        <w:t xml:space="preserve"> </w:t>
      </w:r>
      <w:r w:rsidR="00277C6D">
        <w:rPr>
          <w:lang w:val="en-GB"/>
        </w:rPr>
        <w:t xml:space="preserve">because ‘there </w:t>
      </w:r>
      <w:r w:rsidR="00D718A4">
        <w:rPr>
          <w:lang w:val="en-GB"/>
        </w:rPr>
        <w:t>is significant uncertainty</w:t>
      </w:r>
      <w:r w:rsidR="00F43E08">
        <w:rPr>
          <w:lang w:val="en-GB"/>
        </w:rPr>
        <w:t xml:space="preserve"> </w:t>
      </w:r>
      <w:r w:rsidR="00D718A4">
        <w:rPr>
          <w:lang w:val="en-GB"/>
        </w:rPr>
        <w:t>whether</w:t>
      </w:r>
      <w:r w:rsidR="006D0C8E">
        <w:rPr>
          <w:lang w:val="en-GB"/>
        </w:rPr>
        <w:t xml:space="preserve"> </w:t>
      </w:r>
      <w:r w:rsidR="00D718A4">
        <w:rPr>
          <w:lang w:val="en-GB"/>
        </w:rPr>
        <w:t>desirable outweigh undesirable effects</w:t>
      </w:r>
      <w:r w:rsidR="007A0EA4">
        <w:rPr>
          <w:lang w:val="en-GB"/>
        </w:rPr>
        <w:t xml:space="preserve">’. </w:t>
      </w:r>
      <w:r w:rsidR="00D718A4">
        <w:rPr>
          <w:lang w:val="en-GB"/>
        </w:rPr>
        <w:t xml:space="preserve">The </w:t>
      </w:r>
      <w:r w:rsidR="00B41EBF">
        <w:rPr>
          <w:lang w:val="en-GB"/>
        </w:rPr>
        <w:t>British Association of Stroke Physicians</w:t>
      </w:r>
      <w:r w:rsidR="00D718A4">
        <w:rPr>
          <w:lang w:val="en-GB"/>
        </w:rPr>
        <w:t xml:space="preserve"> commented</w:t>
      </w:r>
      <w:r w:rsidR="003508DB">
        <w:rPr>
          <w:lang w:val="en-GB"/>
        </w:rPr>
        <w:t xml:space="preserve"> at consultation</w:t>
      </w:r>
      <w:r w:rsidR="00D718A4">
        <w:rPr>
          <w:lang w:val="en-GB"/>
        </w:rPr>
        <w:t xml:space="preserve"> </w:t>
      </w:r>
      <w:r w:rsidR="00D718A4">
        <w:rPr>
          <w:lang w:val="en-GB"/>
        </w:rPr>
        <w:lastRenderedPageBreak/>
        <w:t>that</w:t>
      </w:r>
      <w:r w:rsidR="00B41EBF">
        <w:rPr>
          <w:lang w:val="en-GB"/>
        </w:rPr>
        <w:t xml:space="preserve"> it was </w:t>
      </w:r>
      <w:r w:rsidR="00D3018D">
        <w:rPr>
          <w:lang w:val="en-GB"/>
        </w:rPr>
        <w:t>‘</w:t>
      </w:r>
      <w:r w:rsidR="00B41EBF">
        <w:rPr>
          <w:lang w:val="en-GB"/>
        </w:rPr>
        <w:t xml:space="preserve">difficult to estimate any effect of </w:t>
      </w:r>
      <w:r w:rsidR="00D3018D">
        <w:rPr>
          <w:lang w:val="en-GB"/>
        </w:rPr>
        <w:t>this treatment</w:t>
      </w:r>
      <w:r w:rsidR="00B41EBF">
        <w:rPr>
          <w:lang w:val="en-GB"/>
        </w:rPr>
        <w:t xml:space="preserve"> on quality of life or recovery as the size of any beneficial treatment effect is unclear</w:t>
      </w:r>
      <w:r w:rsidR="00D3018D">
        <w:rPr>
          <w:lang w:val="en-GB"/>
        </w:rPr>
        <w:t xml:space="preserve">’. </w:t>
      </w:r>
      <w:r w:rsidR="00525C62">
        <w:rPr>
          <w:lang w:val="en-GB"/>
        </w:rPr>
        <w:t xml:space="preserve">The committee </w:t>
      </w:r>
      <w:r w:rsidR="00117FF3">
        <w:rPr>
          <w:lang w:val="en-GB"/>
        </w:rPr>
        <w:t xml:space="preserve">considered </w:t>
      </w:r>
      <w:r w:rsidR="00525C62">
        <w:rPr>
          <w:lang w:val="en-GB"/>
        </w:rPr>
        <w:t xml:space="preserve">that </w:t>
      </w:r>
      <w:r w:rsidR="00D30AEE">
        <w:rPr>
          <w:lang w:val="en-GB"/>
        </w:rPr>
        <w:t xml:space="preserve">the aim of treatment is </w:t>
      </w:r>
      <w:r w:rsidR="000A3C98">
        <w:rPr>
          <w:lang w:val="en-GB"/>
        </w:rPr>
        <w:t xml:space="preserve">to improve </w:t>
      </w:r>
      <w:r w:rsidR="00525C62">
        <w:rPr>
          <w:lang w:val="en-GB"/>
        </w:rPr>
        <w:t xml:space="preserve">survival </w:t>
      </w:r>
      <w:r w:rsidR="00D30AEE">
        <w:rPr>
          <w:lang w:val="en-GB"/>
        </w:rPr>
        <w:t xml:space="preserve">with </w:t>
      </w:r>
      <w:r w:rsidR="00D30AEE" w:rsidRPr="00D30AEE">
        <w:rPr>
          <w:lang w:val="en-GB"/>
        </w:rPr>
        <w:t xml:space="preserve">less </w:t>
      </w:r>
      <w:r w:rsidR="001D051F">
        <w:rPr>
          <w:lang w:val="en-GB"/>
        </w:rPr>
        <w:t xml:space="preserve">risk of </w:t>
      </w:r>
      <w:r w:rsidR="00D30AEE" w:rsidRPr="00D30AEE">
        <w:rPr>
          <w:lang w:val="en-GB"/>
        </w:rPr>
        <w:t>long-term disability</w:t>
      </w:r>
      <w:r w:rsidR="00D30AEE">
        <w:rPr>
          <w:lang w:val="en-GB"/>
        </w:rPr>
        <w:t>. But the survival improvement</w:t>
      </w:r>
      <w:r w:rsidR="00D30AEE" w:rsidRPr="00D30AEE">
        <w:rPr>
          <w:lang w:val="en-GB"/>
        </w:rPr>
        <w:t xml:space="preserve"> </w:t>
      </w:r>
      <w:r w:rsidR="00525C62">
        <w:rPr>
          <w:lang w:val="en-GB"/>
        </w:rPr>
        <w:t>may lead to people being alive</w:t>
      </w:r>
      <w:r w:rsidR="008A2A96">
        <w:rPr>
          <w:lang w:val="en-GB"/>
        </w:rPr>
        <w:t xml:space="preserve"> but</w:t>
      </w:r>
      <w:r w:rsidR="00525C62">
        <w:rPr>
          <w:lang w:val="en-GB"/>
        </w:rPr>
        <w:t xml:space="preserve"> </w:t>
      </w:r>
      <w:r w:rsidR="003508DB">
        <w:rPr>
          <w:lang w:val="en-GB"/>
        </w:rPr>
        <w:t>with severe disability</w:t>
      </w:r>
      <w:r w:rsidR="00525C62">
        <w:rPr>
          <w:lang w:val="en-GB"/>
        </w:rPr>
        <w:t xml:space="preserve">. </w:t>
      </w:r>
      <w:r w:rsidR="00D30AEE">
        <w:rPr>
          <w:lang w:val="en-GB"/>
        </w:rPr>
        <w:t>It</w:t>
      </w:r>
      <w:r w:rsidR="00B41EBF">
        <w:rPr>
          <w:lang w:val="en-GB"/>
        </w:rPr>
        <w:t xml:space="preserve"> noted that the marketing authorisation for andexanet alfa was conditional upon a randomised controlled trial </w:t>
      </w:r>
      <w:r w:rsidR="00277C6D">
        <w:rPr>
          <w:lang w:val="en-GB"/>
        </w:rPr>
        <w:t xml:space="preserve">being completed </w:t>
      </w:r>
      <w:r w:rsidR="00B41EBF">
        <w:rPr>
          <w:lang w:val="en-GB"/>
        </w:rPr>
        <w:t>in people with ICH</w:t>
      </w:r>
      <w:r w:rsidR="00D3018D">
        <w:rPr>
          <w:lang w:val="en-GB"/>
        </w:rPr>
        <w:t xml:space="preserve">. </w:t>
      </w:r>
      <w:r w:rsidR="00C525DB">
        <w:rPr>
          <w:lang w:val="en-GB"/>
        </w:rPr>
        <w:t xml:space="preserve">This trial </w:t>
      </w:r>
      <w:r w:rsidR="00DF489A">
        <w:rPr>
          <w:lang w:val="en-GB"/>
        </w:rPr>
        <w:t>will</w:t>
      </w:r>
      <w:r w:rsidR="00C525DB">
        <w:rPr>
          <w:lang w:val="en-GB"/>
        </w:rPr>
        <w:t xml:space="preserve"> collect</w:t>
      </w:r>
      <w:r w:rsidR="00D3018D">
        <w:rPr>
          <w:lang w:val="en-GB"/>
        </w:rPr>
        <w:t xml:space="preserve"> </w:t>
      </w:r>
      <w:r w:rsidR="00B56DAF">
        <w:rPr>
          <w:lang w:val="en-GB"/>
        </w:rPr>
        <w:t>relevant clinical outcome data rather than only 30-day mortality data as in ANNEXA-4</w:t>
      </w:r>
      <w:r w:rsidR="00D374D0">
        <w:rPr>
          <w:lang w:val="en-GB"/>
        </w:rPr>
        <w:t>,</w:t>
      </w:r>
      <w:r w:rsidR="004766E9">
        <w:rPr>
          <w:lang w:val="en-GB"/>
        </w:rPr>
        <w:t xml:space="preserve"> and </w:t>
      </w:r>
      <w:r w:rsidR="00D30AEE">
        <w:rPr>
          <w:lang w:val="en-GB"/>
        </w:rPr>
        <w:t xml:space="preserve">it </w:t>
      </w:r>
      <w:r w:rsidR="00D374D0">
        <w:rPr>
          <w:lang w:val="en-GB"/>
        </w:rPr>
        <w:t xml:space="preserve">will record </w:t>
      </w:r>
      <w:r w:rsidR="004766E9">
        <w:rPr>
          <w:lang w:val="en-GB"/>
        </w:rPr>
        <w:t>the thrombotic risk associated with the treatment</w:t>
      </w:r>
      <w:r w:rsidR="00B41EBF">
        <w:rPr>
          <w:lang w:val="en-GB"/>
        </w:rPr>
        <w:t xml:space="preserve">. The committee concluded that </w:t>
      </w:r>
      <w:r w:rsidR="009D0AD4">
        <w:rPr>
          <w:lang w:val="en-GB"/>
        </w:rPr>
        <w:t xml:space="preserve">it </w:t>
      </w:r>
      <w:r w:rsidR="00CD7E89">
        <w:rPr>
          <w:lang w:val="en-GB"/>
        </w:rPr>
        <w:t>is</w:t>
      </w:r>
      <w:r w:rsidR="009D0AD4">
        <w:rPr>
          <w:lang w:val="en-GB"/>
        </w:rPr>
        <w:t xml:space="preserve"> uncertain </w:t>
      </w:r>
      <w:r w:rsidR="00CD7E89">
        <w:rPr>
          <w:lang w:val="en-GB"/>
        </w:rPr>
        <w:t>whether</w:t>
      </w:r>
      <w:r w:rsidR="009D0AD4">
        <w:rPr>
          <w:lang w:val="en-GB"/>
        </w:rPr>
        <w:t xml:space="preserve"> </w:t>
      </w:r>
      <w:proofErr w:type="spellStart"/>
      <w:r w:rsidR="009D0AD4">
        <w:rPr>
          <w:lang w:val="en-GB"/>
        </w:rPr>
        <w:t>andexanet</w:t>
      </w:r>
      <w:proofErr w:type="spellEnd"/>
      <w:r w:rsidR="009D0AD4">
        <w:rPr>
          <w:lang w:val="en-GB"/>
        </w:rPr>
        <w:t xml:space="preserve"> alfa reduces mortality</w:t>
      </w:r>
      <w:r w:rsidR="00B41EBF">
        <w:rPr>
          <w:lang w:val="en-GB"/>
        </w:rPr>
        <w:t xml:space="preserve"> in ICH and additional</w:t>
      </w:r>
      <w:r w:rsidR="005715AF">
        <w:rPr>
          <w:lang w:val="en-GB"/>
        </w:rPr>
        <w:t xml:space="preserve"> data collection </w:t>
      </w:r>
      <w:r w:rsidR="00CD7E89">
        <w:rPr>
          <w:lang w:val="en-GB"/>
        </w:rPr>
        <w:t xml:space="preserve">is needed </w:t>
      </w:r>
      <w:r w:rsidR="00B56DAF">
        <w:rPr>
          <w:lang w:val="en-GB"/>
        </w:rPr>
        <w:t xml:space="preserve">on relevant clinical outcomes </w:t>
      </w:r>
      <w:r w:rsidR="00B41EBF">
        <w:rPr>
          <w:lang w:val="en-GB"/>
        </w:rPr>
        <w:t xml:space="preserve">from </w:t>
      </w:r>
      <w:r w:rsidR="000D2845">
        <w:rPr>
          <w:lang w:val="en-GB"/>
        </w:rPr>
        <w:t xml:space="preserve">a </w:t>
      </w:r>
      <w:r w:rsidR="00D3018D" w:rsidRPr="00D3018D">
        <w:rPr>
          <w:lang w:val="en-GB"/>
        </w:rPr>
        <w:t>randomised controlled trial</w:t>
      </w:r>
      <w:r w:rsidR="00B41EBF">
        <w:rPr>
          <w:lang w:val="en-GB"/>
        </w:rPr>
        <w:t>.</w:t>
      </w:r>
    </w:p>
    <w:p w14:paraId="7AD82419" w14:textId="62A5F3E3" w:rsidR="0037715B" w:rsidRPr="0005586D" w:rsidRDefault="00EB13A9" w:rsidP="0037715B">
      <w:pPr>
        <w:pStyle w:val="Heading3"/>
      </w:pPr>
      <w:bookmarkStart w:id="5" w:name="_The_benefit_of"/>
      <w:bookmarkEnd w:id="5"/>
      <w:r>
        <w:t>The b</w:t>
      </w:r>
      <w:r w:rsidR="0037715B" w:rsidRPr="0005586D">
        <w:t xml:space="preserve">enefit </w:t>
      </w:r>
      <w:r>
        <w:t>of</w:t>
      </w:r>
      <w:r w:rsidRPr="0005586D">
        <w:t xml:space="preserve"> </w:t>
      </w:r>
      <w:r w:rsidR="0037715B" w:rsidRPr="0005586D">
        <w:t xml:space="preserve">andexanet alfa </w:t>
      </w:r>
      <w:r w:rsidR="00445BED">
        <w:t>on</w:t>
      </w:r>
      <w:r w:rsidR="00674B83" w:rsidRPr="0005586D">
        <w:t xml:space="preserve"> </w:t>
      </w:r>
      <w:r w:rsidR="0037715B" w:rsidRPr="0005586D">
        <w:t xml:space="preserve">long-term disability </w:t>
      </w:r>
      <w:r w:rsidR="002065D6">
        <w:t>after</w:t>
      </w:r>
      <w:r w:rsidR="00B01398">
        <w:t xml:space="preserve"> an </w:t>
      </w:r>
      <w:r w:rsidR="0037715B" w:rsidRPr="0005586D">
        <w:t>ICH is not supported by evidence</w:t>
      </w:r>
    </w:p>
    <w:p w14:paraId="50EDC74C" w14:textId="00D721E1" w:rsidR="0037715B" w:rsidRDefault="0037715B" w:rsidP="0037715B">
      <w:pPr>
        <w:pStyle w:val="Numberedlevel2text"/>
        <w:rPr>
          <w:lang w:val="en-GB"/>
        </w:rPr>
      </w:pPr>
      <w:r w:rsidRPr="0005586D">
        <w:rPr>
          <w:lang w:val="en-GB"/>
        </w:rPr>
        <w:t xml:space="preserve">The company assumed that andexanet alfa would </w:t>
      </w:r>
      <w:r w:rsidR="003868D8" w:rsidRPr="0005586D">
        <w:rPr>
          <w:lang w:val="en-GB"/>
        </w:rPr>
        <w:t>reduce</w:t>
      </w:r>
      <w:r w:rsidRPr="0005586D">
        <w:rPr>
          <w:lang w:val="en-GB"/>
        </w:rPr>
        <w:t xml:space="preserve"> the severity of long-term disability in </w:t>
      </w:r>
      <w:r w:rsidR="00B01398">
        <w:rPr>
          <w:lang w:val="en-GB"/>
        </w:rPr>
        <w:t xml:space="preserve">people who had </w:t>
      </w:r>
      <w:r w:rsidR="00404115">
        <w:rPr>
          <w:lang w:val="en-GB"/>
        </w:rPr>
        <w:t xml:space="preserve">had </w:t>
      </w:r>
      <w:r w:rsidR="00B01398">
        <w:rPr>
          <w:lang w:val="en-GB"/>
        </w:rPr>
        <w:t xml:space="preserve">an </w:t>
      </w:r>
      <w:r w:rsidRPr="0005586D">
        <w:rPr>
          <w:lang w:val="en-GB"/>
        </w:rPr>
        <w:t>ICH</w:t>
      </w:r>
      <w:r w:rsidR="00B80C04">
        <w:rPr>
          <w:lang w:val="en-GB"/>
        </w:rPr>
        <w:t>,</w:t>
      </w:r>
      <w:r w:rsidRPr="0005586D">
        <w:rPr>
          <w:lang w:val="en-GB"/>
        </w:rPr>
        <w:t xml:space="preserve"> </w:t>
      </w:r>
      <w:r w:rsidR="003868D8" w:rsidRPr="0005586D">
        <w:rPr>
          <w:lang w:val="en-GB"/>
        </w:rPr>
        <w:t>compared with PCC</w:t>
      </w:r>
      <w:r w:rsidR="00B01398">
        <w:rPr>
          <w:lang w:val="en-GB"/>
        </w:rPr>
        <w:t>.</w:t>
      </w:r>
      <w:r w:rsidRPr="0005586D">
        <w:rPr>
          <w:lang w:val="en-GB"/>
        </w:rPr>
        <w:t xml:space="preserve"> </w:t>
      </w:r>
      <w:r w:rsidR="00B01398">
        <w:rPr>
          <w:lang w:val="en-GB"/>
        </w:rPr>
        <w:t>This</w:t>
      </w:r>
      <w:r w:rsidRPr="0005586D">
        <w:rPr>
          <w:lang w:val="en-GB"/>
        </w:rPr>
        <w:t xml:space="preserve"> assumption </w:t>
      </w:r>
      <w:r w:rsidR="00404115">
        <w:rPr>
          <w:lang w:val="en-GB"/>
        </w:rPr>
        <w:t>had</w:t>
      </w:r>
      <w:r w:rsidR="00404115" w:rsidRPr="0005586D">
        <w:rPr>
          <w:lang w:val="en-GB"/>
        </w:rPr>
        <w:t xml:space="preserve"> </w:t>
      </w:r>
      <w:r w:rsidRPr="0005586D">
        <w:rPr>
          <w:lang w:val="en-GB"/>
        </w:rPr>
        <w:t xml:space="preserve">a </w:t>
      </w:r>
      <w:r w:rsidR="00404115">
        <w:rPr>
          <w:lang w:val="en-GB"/>
        </w:rPr>
        <w:t>large</w:t>
      </w:r>
      <w:r w:rsidR="00404115" w:rsidRPr="0005586D">
        <w:rPr>
          <w:lang w:val="en-GB"/>
        </w:rPr>
        <w:t xml:space="preserve"> </w:t>
      </w:r>
      <w:r w:rsidR="00B01398">
        <w:rPr>
          <w:lang w:val="en-GB"/>
        </w:rPr>
        <w:t>effect</w:t>
      </w:r>
      <w:r w:rsidR="00B01398" w:rsidRPr="0005586D">
        <w:rPr>
          <w:lang w:val="en-GB"/>
        </w:rPr>
        <w:t xml:space="preserve"> </w:t>
      </w:r>
      <w:r w:rsidRPr="0005586D">
        <w:rPr>
          <w:lang w:val="en-GB"/>
        </w:rPr>
        <w:t xml:space="preserve">on the </w:t>
      </w:r>
      <w:r w:rsidR="0005586D">
        <w:rPr>
          <w:lang w:val="en-GB"/>
        </w:rPr>
        <w:t>incremental cost-effectiveness ratio (</w:t>
      </w:r>
      <w:r w:rsidRPr="0005586D">
        <w:rPr>
          <w:lang w:val="en-GB"/>
        </w:rPr>
        <w:t>ICER</w:t>
      </w:r>
      <w:r w:rsidR="0005586D">
        <w:rPr>
          <w:lang w:val="en-GB"/>
        </w:rPr>
        <w:t>)</w:t>
      </w:r>
      <w:r w:rsidRPr="0005586D">
        <w:rPr>
          <w:lang w:val="en-GB"/>
        </w:rPr>
        <w:t xml:space="preserve">. </w:t>
      </w:r>
      <w:r w:rsidR="00B01398">
        <w:rPr>
          <w:lang w:val="en-GB"/>
        </w:rPr>
        <w:t>Long</w:t>
      </w:r>
      <w:r w:rsidRPr="0005586D">
        <w:rPr>
          <w:lang w:val="en-GB"/>
        </w:rPr>
        <w:t xml:space="preserve">-term disability </w:t>
      </w:r>
      <w:r w:rsidR="00404115">
        <w:rPr>
          <w:lang w:val="en-GB"/>
        </w:rPr>
        <w:t>after</w:t>
      </w:r>
      <w:r w:rsidR="00B01398">
        <w:rPr>
          <w:lang w:val="en-GB"/>
        </w:rPr>
        <w:t xml:space="preserve"> an </w:t>
      </w:r>
      <w:r w:rsidRPr="0005586D">
        <w:rPr>
          <w:lang w:val="en-GB"/>
        </w:rPr>
        <w:t xml:space="preserve">ICH is </w:t>
      </w:r>
      <w:r w:rsidR="000506A9">
        <w:rPr>
          <w:lang w:val="en-GB"/>
        </w:rPr>
        <w:t xml:space="preserve">assessed using </w:t>
      </w:r>
      <w:r w:rsidRPr="0005586D">
        <w:rPr>
          <w:lang w:val="en-GB"/>
        </w:rPr>
        <w:t>modified Rankin scale (mRS) scores</w:t>
      </w:r>
      <w:r w:rsidR="003868D8" w:rsidRPr="0005586D">
        <w:rPr>
          <w:lang w:val="en-GB"/>
        </w:rPr>
        <w:t xml:space="preserve">, and in the economic model these </w:t>
      </w:r>
      <w:r w:rsidR="00404115">
        <w:rPr>
          <w:lang w:val="en-GB"/>
        </w:rPr>
        <w:t>affected</w:t>
      </w:r>
      <w:r w:rsidR="003868D8" w:rsidRPr="0005586D">
        <w:rPr>
          <w:lang w:val="en-GB"/>
        </w:rPr>
        <w:t xml:space="preserve"> </w:t>
      </w:r>
      <w:r w:rsidRPr="0005586D">
        <w:rPr>
          <w:lang w:val="en-GB"/>
        </w:rPr>
        <w:t xml:space="preserve">mortality risk, </w:t>
      </w:r>
      <w:proofErr w:type="gramStart"/>
      <w:r w:rsidRPr="0005586D">
        <w:rPr>
          <w:lang w:val="en-GB"/>
        </w:rPr>
        <w:t>costs</w:t>
      </w:r>
      <w:proofErr w:type="gramEnd"/>
      <w:r w:rsidRPr="0005586D">
        <w:rPr>
          <w:lang w:val="en-GB"/>
        </w:rPr>
        <w:t xml:space="preserve"> and utilities. The company used </w:t>
      </w:r>
      <w:r w:rsidR="0005586D">
        <w:rPr>
          <w:lang w:val="en-GB"/>
        </w:rPr>
        <w:t>2 </w:t>
      </w:r>
      <w:r w:rsidRPr="0005586D">
        <w:rPr>
          <w:lang w:val="en-GB"/>
        </w:rPr>
        <w:t>different sources for mRS scores</w:t>
      </w:r>
      <w:r w:rsidR="00445BED">
        <w:rPr>
          <w:lang w:val="en-GB"/>
        </w:rPr>
        <w:t xml:space="preserve">. For </w:t>
      </w:r>
      <w:r w:rsidRPr="0005586D">
        <w:rPr>
          <w:lang w:val="en-GB"/>
        </w:rPr>
        <w:t xml:space="preserve">andexanet alfa, </w:t>
      </w:r>
      <w:r w:rsidR="00445BED">
        <w:rPr>
          <w:lang w:val="en-GB"/>
        </w:rPr>
        <w:t xml:space="preserve">it used </w:t>
      </w:r>
      <w:r w:rsidRPr="0005586D">
        <w:rPr>
          <w:lang w:val="en-GB"/>
        </w:rPr>
        <w:t>data from ANNEXA</w:t>
      </w:r>
      <w:r w:rsidR="00445BED">
        <w:rPr>
          <w:lang w:val="en-GB"/>
        </w:rPr>
        <w:noBreakHyphen/>
      </w:r>
      <w:r w:rsidRPr="0005586D">
        <w:rPr>
          <w:lang w:val="en-GB"/>
        </w:rPr>
        <w:t>4</w:t>
      </w:r>
      <w:r w:rsidR="00445BED">
        <w:rPr>
          <w:lang w:val="en-GB"/>
        </w:rPr>
        <w:t>.</w:t>
      </w:r>
      <w:r w:rsidRPr="0005586D">
        <w:rPr>
          <w:lang w:val="en-GB"/>
        </w:rPr>
        <w:t xml:space="preserve"> </w:t>
      </w:r>
      <w:r w:rsidR="00445BED">
        <w:rPr>
          <w:lang w:val="en-GB"/>
        </w:rPr>
        <w:t xml:space="preserve">For </w:t>
      </w:r>
      <w:r w:rsidRPr="0005586D">
        <w:rPr>
          <w:lang w:val="en-GB"/>
        </w:rPr>
        <w:t xml:space="preserve">PCC </w:t>
      </w:r>
      <w:r w:rsidR="00445BED">
        <w:rPr>
          <w:lang w:val="en-GB"/>
        </w:rPr>
        <w:t>it</w:t>
      </w:r>
      <w:r w:rsidRPr="0005586D">
        <w:rPr>
          <w:lang w:val="en-GB"/>
        </w:rPr>
        <w:t xml:space="preserve"> used data from Øie </w:t>
      </w:r>
      <w:r w:rsidR="000A58AF">
        <w:rPr>
          <w:lang w:val="en-GB"/>
        </w:rPr>
        <w:t xml:space="preserve">et al. </w:t>
      </w:r>
      <w:r w:rsidR="00445BED">
        <w:rPr>
          <w:lang w:val="en-GB"/>
        </w:rPr>
        <w:t>(</w:t>
      </w:r>
      <w:r w:rsidRPr="0005586D">
        <w:rPr>
          <w:lang w:val="en-GB"/>
        </w:rPr>
        <w:t>2018</w:t>
      </w:r>
      <w:r w:rsidR="00445BED">
        <w:rPr>
          <w:lang w:val="en-GB"/>
        </w:rPr>
        <w:t>)</w:t>
      </w:r>
      <w:r w:rsidR="0013157A">
        <w:rPr>
          <w:lang w:val="en-GB"/>
        </w:rPr>
        <w:t>, a</w:t>
      </w:r>
      <w:r w:rsidRPr="0005586D">
        <w:rPr>
          <w:lang w:val="en-GB"/>
        </w:rPr>
        <w:t xml:space="preserve"> study </w:t>
      </w:r>
      <w:r w:rsidR="000A58AF">
        <w:rPr>
          <w:lang w:val="en-GB"/>
        </w:rPr>
        <w:t>that</w:t>
      </w:r>
      <w:r w:rsidR="000A58AF" w:rsidRPr="0005586D">
        <w:rPr>
          <w:lang w:val="en-GB"/>
        </w:rPr>
        <w:t xml:space="preserve"> </w:t>
      </w:r>
      <w:r w:rsidR="003868D8" w:rsidRPr="0005586D">
        <w:rPr>
          <w:lang w:val="en-GB"/>
        </w:rPr>
        <w:t>included</w:t>
      </w:r>
      <w:r w:rsidRPr="0005586D">
        <w:rPr>
          <w:lang w:val="en-GB"/>
        </w:rPr>
        <w:t xml:space="preserve"> patients with intracerebral haemorrhage only</w:t>
      </w:r>
      <w:r w:rsidR="003868D8" w:rsidRPr="0005586D">
        <w:rPr>
          <w:lang w:val="en-GB"/>
        </w:rPr>
        <w:t xml:space="preserve"> </w:t>
      </w:r>
      <w:r w:rsidR="00445BED">
        <w:rPr>
          <w:lang w:val="en-GB"/>
        </w:rPr>
        <w:t>and excluded</w:t>
      </w:r>
      <w:r w:rsidR="00445BED" w:rsidRPr="0005586D">
        <w:rPr>
          <w:lang w:val="en-GB"/>
        </w:rPr>
        <w:t xml:space="preserve"> </w:t>
      </w:r>
      <w:r w:rsidR="003868D8" w:rsidRPr="0005586D">
        <w:rPr>
          <w:lang w:val="en-GB"/>
        </w:rPr>
        <w:t>those with other intracranial bleeds</w:t>
      </w:r>
      <w:r w:rsidRPr="0005586D">
        <w:rPr>
          <w:lang w:val="en-GB"/>
        </w:rPr>
        <w:t xml:space="preserve">. The ERG and </w:t>
      </w:r>
      <w:r w:rsidR="00445BED">
        <w:rPr>
          <w:lang w:val="en-GB"/>
        </w:rPr>
        <w:t xml:space="preserve">the </w:t>
      </w:r>
      <w:r w:rsidRPr="0005586D">
        <w:rPr>
          <w:lang w:val="en-GB"/>
        </w:rPr>
        <w:t xml:space="preserve">clinical experts explained that intracerebral haemorrhage is the most severe type of ICH and therefore the company’s </w:t>
      </w:r>
      <w:r w:rsidR="00E51663" w:rsidRPr="0005586D">
        <w:rPr>
          <w:lang w:val="en-GB"/>
        </w:rPr>
        <w:t xml:space="preserve">comparison </w:t>
      </w:r>
      <w:r w:rsidR="00404115">
        <w:rPr>
          <w:lang w:val="en-GB"/>
        </w:rPr>
        <w:t>overestimated</w:t>
      </w:r>
      <w:r w:rsidR="00404115" w:rsidRPr="0005586D">
        <w:rPr>
          <w:lang w:val="en-GB"/>
        </w:rPr>
        <w:t xml:space="preserve"> </w:t>
      </w:r>
      <w:r w:rsidRPr="0005586D">
        <w:rPr>
          <w:lang w:val="en-GB"/>
        </w:rPr>
        <w:t xml:space="preserve">the severity of </w:t>
      </w:r>
      <w:r w:rsidR="003868D8" w:rsidRPr="0005586D">
        <w:rPr>
          <w:lang w:val="en-GB"/>
        </w:rPr>
        <w:t>disability and mRS</w:t>
      </w:r>
      <w:r w:rsidR="00E416B2">
        <w:rPr>
          <w:lang w:val="en-GB"/>
        </w:rPr>
        <w:t xml:space="preserve"> scores</w:t>
      </w:r>
      <w:r w:rsidRPr="0005586D">
        <w:rPr>
          <w:lang w:val="en-GB"/>
        </w:rPr>
        <w:t xml:space="preserve"> </w:t>
      </w:r>
      <w:r w:rsidR="00E51663" w:rsidRPr="0005586D">
        <w:rPr>
          <w:lang w:val="en-GB"/>
        </w:rPr>
        <w:t>for</w:t>
      </w:r>
      <w:r w:rsidRPr="0005586D">
        <w:rPr>
          <w:lang w:val="en-GB"/>
        </w:rPr>
        <w:t xml:space="preserve"> PCC</w:t>
      </w:r>
      <w:r w:rsidR="00E51663" w:rsidRPr="0005586D">
        <w:rPr>
          <w:lang w:val="en-GB"/>
        </w:rPr>
        <w:t>.</w:t>
      </w:r>
      <w:r w:rsidRPr="0005586D">
        <w:rPr>
          <w:lang w:val="en-GB"/>
        </w:rPr>
        <w:t xml:space="preserve"> </w:t>
      </w:r>
      <w:r w:rsidR="00E51663" w:rsidRPr="0005586D">
        <w:rPr>
          <w:lang w:val="en-GB"/>
        </w:rPr>
        <w:t>The</w:t>
      </w:r>
      <w:r w:rsidRPr="0005586D">
        <w:rPr>
          <w:lang w:val="en-GB"/>
        </w:rPr>
        <w:t xml:space="preserve"> committee </w:t>
      </w:r>
      <w:r w:rsidR="00E51663" w:rsidRPr="0005586D">
        <w:rPr>
          <w:lang w:val="en-GB"/>
        </w:rPr>
        <w:t>noted</w:t>
      </w:r>
      <w:r w:rsidRPr="0005586D">
        <w:rPr>
          <w:lang w:val="en-GB"/>
        </w:rPr>
        <w:t xml:space="preserve"> that there was no </w:t>
      </w:r>
      <w:r w:rsidR="00E51663" w:rsidRPr="0005586D">
        <w:rPr>
          <w:lang w:val="en-GB"/>
        </w:rPr>
        <w:t xml:space="preserve">direct </w:t>
      </w:r>
      <w:r w:rsidRPr="0005586D">
        <w:rPr>
          <w:lang w:val="en-GB"/>
        </w:rPr>
        <w:t>evidence that people would have better mRS scores</w:t>
      </w:r>
      <w:r w:rsidR="00E51663" w:rsidRPr="0005586D">
        <w:rPr>
          <w:lang w:val="en-GB"/>
        </w:rPr>
        <w:t xml:space="preserve"> and less disability</w:t>
      </w:r>
      <w:r w:rsidRPr="0005586D">
        <w:rPr>
          <w:lang w:val="en-GB"/>
        </w:rPr>
        <w:t xml:space="preserve"> </w:t>
      </w:r>
      <w:r w:rsidR="00E51663" w:rsidRPr="0005586D">
        <w:rPr>
          <w:lang w:val="en-GB"/>
        </w:rPr>
        <w:t xml:space="preserve">after </w:t>
      </w:r>
      <w:r w:rsidRPr="0005586D">
        <w:rPr>
          <w:lang w:val="en-GB"/>
        </w:rPr>
        <w:t>andexanet alfa than PCC</w:t>
      </w:r>
      <w:r w:rsidR="00404115">
        <w:rPr>
          <w:lang w:val="en-GB"/>
        </w:rPr>
        <w:t>,</w:t>
      </w:r>
      <w:r w:rsidR="00E51663" w:rsidRPr="0005586D">
        <w:rPr>
          <w:lang w:val="en-GB"/>
        </w:rPr>
        <w:t xml:space="preserve"> and </w:t>
      </w:r>
      <w:r w:rsidR="00404115">
        <w:rPr>
          <w:lang w:val="en-GB"/>
        </w:rPr>
        <w:t xml:space="preserve">that </w:t>
      </w:r>
      <w:r w:rsidR="00E51663" w:rsidRPr="0005586D">
        <w:rPr>
          <w:lang w:val="en-GB"/>
        </w:rPr>
        <w:t xml:space="preserve">the </w:t>
      </w:r>
      <w:r w:rsidR="0013157A">
        <w:rPr>
          <w:lang w:val="en-GB"/>
        </w:rPr>
        <w:t xml:space="preserve">company’s </w:t>
      </w:r>
      <w:r w:rsidR="00B51E85">
        <w:rPr>
          <w:lang w:val="en-GB"/>
        </w:rPr>
        <w:t>assumption</w:t>
      </w:r>
      <w:r w:rsidR="0013157A" w:rsidRPr="0005586D">
        <w:rPr>
          <w:lang w:val="en-GB"/>
        </w:rPr>
        <w:t xml:space="preserve"> </w:t>
      </w:r>
      <w:r w:rsidRPr="0005586D">
        <w:rPr>
          <w:lang w:val="en-GB"/>
        </w:rPr>
        <w:t xml:space="preserve">was based on a </w:t>
      </w:r>
      <w:r w:rsidR="000A58AF">
        <w:rPr>
          <w:lang w:val="en-GB"/>
        </w:rPr>
        <w:t>naive</w:t>
      </w:r>
      <w:r w:rsidR="000A58AF" w:rsidRPr="0005586D">
        <w:rPr>
          <w:lang w:val="en-GB"/>
        </w:rPr>
        <w:t xml:space="preserve"> </w:t>
      </w:r>
      <w:r w:rsidRPr="0005586D">
        <w:rPr>
          <w:lang w:val="en-GB"/>
        </w:rPr>
        <w:t xml:space="preserve">comparison of </w:t>
      </w:r>
      <w:r w:rsidR="00445BED">
        <w:rPr>
          <w:lang w:val="en-GB"/>
        </w:rPr>
        <w:t xml:space="preserve">data from </w:t>
      </w:r>
      <w:r w:rsidRPr="0005586D">
        <w:rPr>
          <w:lang w:val="en-GB"/>
        </w:rPr>
        <w:t xml:space="preserve">ANNEXA-4 and Øie </w:t>
      </w:r>
      <w:r w:rsidR="000A58AF">
        <w:rPr>
          <w:lang w:val="en-GB"/>
        </w:rPr>
        <w:t>et al</w:t>
      </w:r>
      <w:r w:rsidRPr="0005586D">
        <w:rPr>
          <w:lang w:val="en-GB"/>
        </w:rPr>
        <w:t>.</w:t>
      </w:r>
      <w:r w:rsidR="002326FF">
        <w:rPr>
          <w:lang w:val="en-GB"/>
        </w:rPr>
        <w:t xml:space="preserve"> The clinical expert</w:t>
      </w:r>
      <w:r w:rsidR="00237B40">
        <w:rPr>
          <w:lang w:val="en-GB"/>
        </w:rPr>
        <w:t>s</w:t>
      </w:r>
      <w:r w:rsidR="002326FF">
        <w:rPr>
          <w:lang w:val="en-GB"/>
        </w:rPr>
        <w:t xml:space="preserve"> </w:t>
      </w:r>
      <w:r w:rsidR="008B259B">
        <w:rPr>
          <w:lang w:val="en-GB"/>
        </w:rPr>
        <w:t xml:space="preserve">noted </w:t>
      </w:r>
      <w:r w:rsidR="002326FF">
        <w:rPr>
          <w:lang w:val="en-GB"/>
        </w:rPr>
        <w:t xml:space="preserve">that </w:t>
      </w:r>
      <w:r w:rsidR="007D36E9">
        <w:rPr>
          <w:lang w:val="en-GB"/>
        </w:rPr>
        <w:t>without evidence</w:t>
      </w:r>
      <w:r w:rsidR="008A2A96">
        <w:rPr>
          <w:lang w:val="en-GB"/>
        </w:rPr>
        <w:t xml:space="preserve"> from a stu</w:t>
      </w:r>
      <w:r w:rsidR="00237B40">
        <w:rPr>
          <w:lang w:val="en-GB"/>
        </w:rPr>
        <w:t>d</w:t>
      </w:r>
      <w:r w:rsidR="008A2A96">
        <w:rPr>
          <w:lang w:val="en-GB"/>
        </w:rPr>
        <w:t>y</w:t>
      </w:r>
      <w:r w:rsidR="007D36E9">
        <w:rPr>
          <w:lang w:val="en-GB"/>
        </w:rPr>
        <w:t xml:space="preserve">, it was impossible to predict a benefit in long-term disability. The clinical expert explained that around </w:t>
      </w:r>
      <w:r w:rsidR="007D36E9">
        <w:rPr>
          <w:lang w:val="en-GB"/>
        </w:rPr>
        <w:lastRenderedPageBreak/>
        <w:t xml:space="preserve">80% of people who survive </w:t>
      </w:r>
      <w:r w:rsidR="008A2A96">
        <w:rPr>
          <w:lang w:val="en-GB"/>
        </w:rPr>
        <w:t xml:space="preserve">an ICH </w:t>
      </w:r>
      <w:r w:rsidR="007D36E9">
        <w:rPr>
          <w:lang w:val="en-GB"/>
        </w:rPr>
        <w:t xml:space="preserve">are on the dependent scale of mRS (scores of 3 or higher) and that evidence would need to demonstrate a </w:t>
      </w:r>
      <w:r w:rsidR="008A2A96">
        <w:rPr>
          <w:lang w:val="en-GB"/>
        </w:rPr>
        <w:t xml:space="preserve">clear </w:t>
      </w:r>
      <w:r w:rsidR="007D36E9">
        <w:rPr>
          <w:lang w:val="en-GB"/>
        </w:rPr>
        <w:t>shift in mRS scores to prove an improvement in disability.</w:t>
      </w:r>
      <w:r w:rsidR="0013622A">
        <w:rPr>
          <w:lang w:val="en-GB"/>
        </w:rPr>
        <w:t xml:space="preserve"> No additional evidence on long-term disability was submitted </w:t>
      </w:r>
      <w:r w:rsidR="007D36E9">
        <w:rPr>
          <w:lang w:val="en-GB"/>
        </w:rPr>
        <w:t xml:space="preserve">by the company. </w:t>
      </w:r>
      <w:r w:rsidR="0013622A">
        <w:rPr>
          <w:lang w:val="en-GB"/>
        </w:rPr>
        <w:t xml:space="preserve">The committee was concerned that </w:t>
      </w:r>
      <w:proofErr w:type="spellStart"/>
      <w:r w:rsidR="0013622A">
        <w:rPr>
          <w:lang w:val="en-GB"/>
        </w:rPr>
        <w:t>andexanet</w:t>
      </w:r>
      <w:proofErr w:type="spellEnd"/>
      <w:r w:rsidR="0013622A">
        <w:rPr>
          <w:lang w:val="en-GB"/>
        </w:rPr>
        <w:t xml:space="preserve"> alfa may </w:t>
      </w:r>
      <w:r w:rsidR="00485D75">
        <w:rPr>
          <w:lang w:val="en-GB"/>
        </w:rPr>
        <w:t xml:space="preserve">keep </w:t>
      </w:r>
      <w:r w:rsidR="00DD514C">
        <w:rPr>
          <w:lang w:val="en-GB"/>
        </w:rPr>
        <w:t xml:space="preserve">people </w:t>
      </w:r>
      <w:r w:rsidR="00485D75">
        <w:rPr>
          <w:lang w:val="en-GB"/>
        </w:rPr>
        <w:t xml:space="preserve">alive but </w:t>
      </w:r>
      <w:r w:rsidR="00B80C04">
        <w:rPr>
          <w:lang w:val="en-GB"/>
        </w:rPr>
        <w:t xml:space="preserve">not improve </w:t>
      </w:r>
      <w:r w:rsidR="0062218C">
        <w:rPr>
          <w:lang w:val="en-GB"/>
        </w:rPr>
        <w:t xml:space="preserve">their </w:t>
      </w:r>
      <w:r w:rsidR="00B80C04">
        <w:rPr>
          <w:lang w:val="en-GB"/>
        </w:rPr>
        <w:t xml:space="preserve">recovery, leaving them </w:t>
      </w:r>
      <w:r w:rsidR="00D4262F">
        <w:rPr>
          <w:lang w:val="en-GB"/>
        </w:rPr>
        <w:t>with severe disability</w:t>
      </w:r>
      <w:r w:rsidR="00E36A7A">
        <w:rPr>
          <w:lang w:val="en-GB"/>
        </w:rPr>
        <w:t xml:space="preserve"> (see </w:t>
      </w:r>
      <w:hyperlink w:anchor="_The_extent_of" w:history="1">
        <w:r w:rsidR="00E36A7A" w:rsidRPr="00C525DB">
          <w:rPr>
            <w:rStyle w:val="Hyperlink"/>
            <w:lang w:val="en-GB"/>
          </w:rPr>
          <w:t>section 3.9</w:t>
        </w:r>
      </w:hyperlink>
      <w:r w:rsidR="00E36A7A">
        <w:rPr>
          <w:lang w:val="en-GB"/>
        </w:rPr>
        <w:t>)</w:t>
      </w:r>
      <w:r w:rsidR="00485D75">
        <w:rPr>
          <w:lang w:val="en-GB"/>
        </w:rPr>
        <w:t>.</w:t>
      </w:r>
      <w:r w:rsidRPr="0005586D">
        <w:rPr>
          <w:lang w:val="en-GB"/>
        </w:rPr>
        <w:t xml:space="preserve"> The committee concluded that </w:t>
      </w:r>
      <w:r w:rsidR="00445BED">
        <w:rPr>
          <w:lang w:val="en-GB"/>
        </w:rPr>
        <w:t>a</w:t>
      </w:r>
      <w:r w:rsidR="00445BED" w:rsidRPr="0005586D">
        <w:rPr>
          <w:lang w:val="en-GB"/>
        </w:rPr>
        <w:t xml:space="preserve"> </w:t>
      </w:r>
      <w:r w:rsidRPr="0005586D">
        <w:rPr>
          <w:lang w:val="en-GB"/>
        </w:rPr>
        <w:t xml:space="preserve">benefit </w:t>
      </w:r>
      <w:r w:rsidR="00445BED">
        <w:rPr>
          <w:lang w:val="en-GB"/>
        </w:rPr>
        <w:t>from</w:t>
      </w:r>
      <w:r w:rsidR="00445BED" w:rsidRPr="0005586D">
        <w:rPr>
          <w:lang w:val="en-GB"/>
        </w:rPr>
        <w:t xml:space="preserve"> </w:t>
      </w:r>
      <w:r w:rsidRPr="0005586D">
        <w:rPr>
          <w:lang w:val="en-GB"/>
        </w:rPr>
        <w:t xml:space="preserve">andexanet alfa on long-term disability was not </w:t>
      </w:r>
      <w:r w:rsidR="004766EF">
        <w:rPr>
          <w:lang w:val="en-GB"/>
        </w:rPr>
        <w:t>shown</w:t>
      </w:r>
      <w:r w:rsidR="004766EF" w:rsidRPr="0005586D">
        <w:rPr>
          <w:lang w:val="en-GB"/>
        </w:rPr>
        <w:t xml:space="preserve"> </w:t>
      </w:r>
      <w:r w:rsidR="004766EF">
        <w:rPr>
          <w:lang w:val="en-GB"/>
        </w:rPr>
        <w:t>in</w:t>
      </w:r>
      <w:r w:rsidR="00445BED">
        <w:rPr>
          <w:lang w:val="en-GB"/>
        </w:rPr>
        <w:t xml:space="preserve"> the</w:t>
      </w:r>
      <w:r w:rsidRPr="0005586D">
        <w:rPr>
          <w:lang w:val="en-GB"/>
        </w:rPr>
        <w:t xml:space="preserve"> evidence.</w:t>
      </w:r>
    </w:p>
    <w:p w14:paraId="6D637DED" w14:textId="19EBB792" w:rsidR="005715AF" w:rsidRDefault="005715AF" w:rsidP="005715AF">
      <w:pPr>
        <w:pStyle w:val="Heading3"/>
      </w:pPr>
      <w:r>
        <w:t>The evidence in ‘other major bleeds’ is too unreliable for decision</w:t>
      </w:r>
      <w:r w:rsidR="005F483F">
        <w:t xml:space="preserve"> </w:t>
      </w:r>
      <w:r>
        <w:t>making</w:t>
      </w:r>
    </w:p>
    <w:p w14:paraId="56C8E907" w14:textId="245C896C" w:rsidR="005715AF" w:rsidRPr="005715AF" w:rsidRDefault="005715AF" w:rsidP="005715AF">
      <w:pPr>
        <w:pStyle w:val="Numberedlevel2text"/>
      </w:pPr>
      <w:r>
        <w:rPr>
          <w:lang w:val="en-GB"/>
        </w:rPr>
        <w:t xml:space="preserve">The committee noted that the </w:t>
      </w:r>
      <w:r w:rsidR="0006274A">
        <w:rPr>
          <w:lang w:val="en-GB"/>
        </w:rPr>
        <w:t xml:space="preserve">indirect treatment comparison </w:t>
      </w:r>
      <w:r>
        <w:rPr>
          <w:lang w:val="en-GB"/>
        </w:rPr>
        <w:t xml:space="preserve">results for ‘other major bleeds’ </w:t>
      </w:r>
      <w:r w:rsidR="00BB24B8">
        <w:rPr>
          <w:lang w:val="en-GB"/>
        </w:rPr>
        <w:t xml:space="preserve">showed </w:t>
      </w:r>
      <w:r>
        <w:rPr>
          <w:lang w:val="en-GB"/>
        </w:rPr>
        <w:t xml:space="preserve">that 30-day mortality was worse with andexanet alfa than PCC. The committee appreciated that the analysis was </w:t>
      </w:r>
      <w:r w:rsidR="00BB24B8">
        <w:rPr>
          <w:lang w:val="en-GB"/>
        </w:rPr>
        <w:t xml:space="preserve">done </w:t>
      </w:r>
      <w:r w:rsidR="0056333B">
        <w:rPr>
          <w:lang w:val="en-GB"/>
        </w:rPr>
        <w:t>with a</w:t>
      </w:r>
      <w:r>
        <w:rPr>
          <w:lang w:val="en-GB"/>
        </w:rPr>
        <w:t xml:space="preserve"> very small sample size</w:t>
      </w:r>
      <w:r w:rsidR="0056333B">
        <w:rPr>
          <w:lang w:val="en-GB"/>
        </w:rPr>
        <w:t>,</w:t>
      </w:r>
      <w:r>
        <w:rPr>
          <w:lang w:val="en-GB"/>
        </w:rPr>
        <w:t xml:space="preserve"> however it</w:t>
      </w:r>
      <w:r w:rsidR="00F47E08">
        <w:rPr>
          <w:lang w:val="en-GB"/>
        </w:rPr>
        <w:t xml:space="preserve"> considered it</w:t>
      </w:r>
      <w:r>
        <w:rPr>
          <w:lang w:val="en-GB"/>
        </w:rPr>
        <w:t xml:space="preserve"> would be unreasonable to ignore these results. The committee concluded that </w:t>
      </w:r>
      <w:proofErr w:type="spellStart"/>
      <w:r w:rsidRPr="005715AF">
        <w:rPr>
          <w:lang w:val="en-GB"/>
        </w:rPr>
        <w:t>andexanet</w:t>
      </w:r>
      <w:proofErr w:type="spellEnd"/>
      <w:r w:rsidRPr="005715AF">
        <w:rPr>
          <w:lang w:val="en-GB"/>
        </w:rPr>
        <w:t xml:space="preserve"> alfa </w:t>
      </w:r>
      <w:r w:rsidR="003061B0">
        <w:rPr>
          <w:lang w:val="en-GB"/>
        </w:rPr>
        <w:t>reduc</w:t>
      </w:r>
      <w:r w:rsidR="00733540">
        <w:rPr>
          <w:lang w:val="en-GB"/>
        </w:rPr>
        <w:t>ing</w:t>
      </w:r>
      <w:r w:rsidR="003061B0" w:rsidRPr="005715AF">
        <w:rPr>
          <w:lang w:val="en-GB"/>
        </w:rPr>
        <w:t xml:space="preserve"> </w:t>
      </w:r>
      <w:r w:rsidRPr="005715AF">
        <w:rPr>
          <w:lang w:val="en-GB"/>
        </w:rPr>
        <w:t xml:space="preserve">mortality </w:t>
      </w:r>
      <w:r>
        <w:rPr>
          <w:lang w:val="en-GB"/>
        </w:rPr>
        <w:t xml:space="preserve">in ‘other major bleeds’ </w:t>
      </w:r>
      <w:r w:rsidR="00BB24B8" w:rsidRPr="005715AF">
        <w:rPr>
          <w:lang w:val="en-GB"/>
        </w:rPr>
        <w:t>ha</w:t>
      </w:r>
      <w:r w:rsidR="00BB24B8">
        <w:rPr>
          <w:lang w:val="en-GB"/>
        </w:rPr>
        <w:t>d</w:t>
      </w:r>
      <w:r w:rsidR="00BB24B8" w:rsidRPr="005715AF">
        <w:rPr>
          <w:lang w:val="en-GB"/>
        </w:rPr>
        <w:t xml:space="preserve"> </w:t>
      </w:r>
      <w:r w:rsidRPr="005715AF">
        <w:rPr>
          <w:lang w:val="en-GB"/>
        </w:rPr>
        <w:t xml:space="preserve">not been </w:t>
      </w:r>
      <w:r w:rsidR="00BB24B8">
        <w:rPr>
          <w:lang w:val="en-GB"/>
        </w:rPr>
        <w:t>shown</w:t>
      </w:r>
      <w:r w:rsidR="00BB24B8" w:rsidRPr="005715AF">
        <w:rPr>
          <w:lang w:val="en-GB"/>
        </w:rPr>
        <w:t xml:space="preserve"> </w:t>
      </w:r>
      <w:r w:rsidRPr="005715AF">
        <w:rPr>
          <w:lang w:val="en-GB"/>
        </w:rPr>
        <w:t>or quantified</w:t>
      </w:r>
      <w:r>
        <w:rPr>
          <w:lang w:val="en-GB"/>
        </w:rPr>
        <w:t>.</w:t>
      </w:r>
    </w:p>
    <w:p w14:paraId="0E39BD86" w14:textId="40752E78" w:rsidR="00643582" w:rsidRPr="0005586D" w:rsidRDefault="00CA72BE" w:rsidP="00643582">
      <w:pPr>
        <w:pStyle w:val="Heading2"/>
      </w:pPr>
      <w:r w:rsidRPr="0005586D">
        <w:t>Cost effectiveness</w:t>
      </w:r>
    </w:p>
    <w:p w14:paraId="582883D0" w14:textId="51A63823" w:rsidR="00643582" w:rsidRPr="0005586D" w:rsidRDefault="003B0007" w:rsidP="0073007E">
      <w:pPr>
        <w:pStyle w:val="Heading3"/>
      </w:pPr>
      <w:r w:rsidRPr="0005586D">
        <w:t>The company’s economic model is suitable for decision making</w:t>
      </w:r>
    </w:p>
    <w:p w14:paraId="70C46935" w14:textId="02EE2D1E" w:rsidR="00C76167" w:rsidRPr="0005586D" w:rsidRDefault="00C76167" w:rsidP="00E51663">
      <w:pPr>
        <w:pStyle w:val="Numberedlevel2text"/>
        <w:rPr>
          <w:lang w:val="en-GB"/>
        </w:rPr>
      </w:pPr>
      <w:r w:rsidRPr="0005586D">
        <w:rPr>
          <w:lang w:val="en-GB"/>
        </w:rPr>
        <w:t xml:space="preserve">The company submitted a decision tree followed by a Markov model to estimate the cost effectiveness of andexanet alfa compared with PCC. The committee considered that the model </w:t>
      </w:r>
      <w:r w:rsidR="00C525DB">
        <w:rPr>
          <w:lang w:val="en-GB"/>
        </w:rPr>
        <w:t>was</w:t>
      </w:r>
      <w:r w:rsidR="00C525DB" w:rsidRPr="0005586D">
        <w:rPr>
          <w:lang w:val="en-GB"/>
        </w:rPr>
        <w:t xml:space="preserve"> </w:t>
      </w:r>
      <w:r w:rsidRPr="0005586D">
        <w:rPr>
          <w:lang w:val="en-GB"/>
        </w:rPr>
        <w:t>suitable for decision making.</w:t>
      </w:r>
    </w:p>
    <w:p w14:paraId="6DFE71D7" w14:textId="20D32CB2" w:rsidR="003B0007" w:rsidRPr="0005586D" w:rsidRDefault="003B0007" w:rsidP="003B0007">
      <w:pPr>
        <w:pStyle w:val="Heading3"/>
      </w:pPr>
      <w:r w:rsidRPr="0005586D">
        <w:t xml:space="preserve">The company’s assumptions </w:t>
      </w:r>
      <w:r w:rsidR="000179EB">
        <w:t>about</w:t>
      </w:r>
      <w:r w:rsidRPr="0005586D">
        <w:t xml:space="preserve"> </w:t>
      </w:r>
      <w:r w:rsidR="00901E9E" w:rsidRPr="0005586D">
        <w:t>‘other major bleeds’</w:t>
      </w:r>
      <w:r w:rsidRPr="0005586D">
        <w:t xml:space="preserve"> are not </w:t>
      </w:r>
      <w:r w:rsidR="001832AD" w:rsidRPr="0005586D">
        <w:t>sufficiently</w:t>
      </w:r>
      <w:r w:rsidR="00901E9E" w:rsidRPr="0005586D">
        <w:t xml:space="preserve"> justified</w:t>
      </w:r>
    </w:p>
    <w:p w14:paraId="0A5C2229" w14:textId="0D10B906" w:rsidR="004E3301" w:rsidRPr="0005586D" w:rsidRDefault="00C2620D" w:rsidP="004E3301">
      <w:pPr>
        <w:pStyle w:val="Numberedlevel2text"/>
        <w:rPr>
          <w:lang w:val="en-GB"/>
        </w:rPr>
      </w:pPr>
      <w:r w:rsidRPr="0005586D">
        <w:rPr>
          <w:lang w:val="en-GB"/>
        </w:rPr>
        <w:t xml:space="preserve">The </w:t>
      </w:r>
      <w:r w:rsidR="004E3301" w:rsidRPr="0005586D">
        <w:rPr>
          <w:lang w:val="en-GB"/>
        </w:rPr>
        <w:t>propensity score</w:t>
      </w:r>
      <w:r w:rsidR="00D339CE">
        <w:rPr>
          <w:lang w:val="en-GB"/>
        </w:rPr>
        <w:t xml:space="preserve"> </w:t>
      </w:r>
      <w:r w:rsidR="004E3301" w:rsidRPr="0005586D">
        <w:rPr>
          <w:lang w:val="en-GB"/>
        </w:rPr>
        <w:t xml:space="preserve">matching analysis </w:t>
      </w:r>
      <w:r w:rsidRPr="0005586D">
        <w:rPr>
          <w:lang w:val="en-GB"/>
        </w:rPr>
        <w:t>was</w:t>
      </w:r>
      <w:r w:rsidR="004E3301" w:rsidRPr="0005586D">
        <w:rPr>
          <w:lang w:val="en-GB"/>
        </w:rPr>
        <w:t xml:space="preserve"> based on </w:t>
      </w:r>
      <w:r w:rsidR="00641464">
        <w:rPr>
          <w:lang w:val="en-GB"/>
        </w:rPr>
        <w:t xml:space="preserve">a </w:t>
      </w:r>
      <w:r w:rsidR="004E3301" w:rsidRPr="0005586D">
        <w:rPr>
          <w:lang w:val="en-GB"/>
        </w:rPr>
        <w:t>small number of patients</w:t>
      </w:r>
      <w:r w:rsidR="00422ABC" w:rsidRPr="0005586D">
        <w:rPr>
          <w:lang w:val="en-GB"/>
        </w:rPr>
        <w:t xml:space="preserve"> </w:t>
      </w:r>
      <w:r w:rsidR="00A3125D">
        <w:rPr>
          <w:lang w:val="en-GB"/>
        </w:rPr>
        <w:t>for</w:t>
      </w:r>
      <w:r w:rsidR="00A3125D" w:rsidRPr="0005586D">
        <w:rPr>
          <w:lang w:val="en-GB"/>
        </w:rPr>
        <w:t xml:space="preserve"> </w:t>
      </w:r>
      <w:r w:rsidR="00BA76A4" w:rsidRPr="0005586D">
        <w:rPr>
          <w:lang w:val="en-GB"/>
        </w:rPr>
        <w:t>bleeds classified as ‘other major bleeds’ (pericardial, retroperitoneal, intraspinal and intraocular bleeds)</w:t>
      </w:r>
      <w:r w:rsidRPr="0005586D">
        <w:rPr>
          <w:lang w:val="en-GB"/>
        </w:rPr>
        <w:t>.</w:t>
      </w:r>
      <w:r w:rsidR="00554909">
        <w:rPr>
          <w:lang w:val="en-GB"/>
        </w:rPr>
        <w:t xml:space="preserve"> </w:t>
      </w:r>
      <w:r w:rsidR="00D4262F">
        <w:rPr>
          <w:lang w:val="en-GB"/>
        </w:rPr>
        <w:t>T</w:t>
      </w:r>
      <w:r w:rsidR="00554909">
        <w:rPr>
          <w:lang w:val="en-GB"/>
        </w:rPr>
        <w:t>he analysis</w:t>
      </w:r>
      <w:r w:rsidR="00A55CCA">
        <w:rPr>
          <w:lang w:val="en-GB"/>
        </w:rPr>
        <w:t xml:space="preserve"> results</w:t>
      </w:r>
      <w:r w:rsidR="00554909">
        <w:rPr>
          <w:lang w:val="en-GB"/>
        </w:rPr>
        <w:t xml:space="preserve"> </w:t>
      </w:r>
      <w:r w:rsidR="00E416B2">
        <w:rPr>
          <w:lang w:val="en-GB"/>
        </w:rPr>
        <w:t xml:space="preserve">for these bleeds </w:t>
      </w:r>
      <w:r w:rsidR="00554909" w:rsidRPr="0005586D">
        <w:rPr>
          <w:lang w:val="en-GB"/>
        </w:rPr>
        <w:t xml:space="preserve">did not favour andexanet alfa </w:t>
      </w:r>
      <w:r w:rsidR="00554909">
        <w:rPr>
          <w:lang w:val="en-GB"/>
        </w:rPr>
        <w:t>compared with</w:t>
      </w:r>
      <w:r w:rsidR="00554909" w:rsidRPr="0005586D">
        <w:rPr>
          <w:lang w:val="en-GB"/>
        </w:rPr>
        <w:t xml:space="preserve"> PCC</w:t>
      </w:r>
      <w:r w:rsidR="00D4262F">
        <w:rPr>
          <w:lang w:val="en-GB"/>
        </w:rPr>
        <w:t>,</w:t>
      </w:r>
      <w:r w:rsidR="00554909" w:rsidRPr="0005586D">
        <w:rPr>
          <w:lang w:val="en-GB"/>
        </w:rPr>
        <w:t xml:space="preserve"> </w:t>
      </w:r>
      <w:r w:rsidR="00554909">
        <w:rPr>
          <w:lang w:val="en-GB"/>
        </w:rPr>
        <w:t>so</w:t>
      </w:r>
      <w:r w:rsidR="00445BED">
        <w:rPr>
          <w:lang w:val="en-GB"/>
        </w:rPr>
        <w:t xml:space="preserve"> </w:t>
      </w:r>
      <w:r w:rsidR="00554909">
        <w:rPr>
          <w:lang w:val="en-GB"/>
        </w:rPr>
        <w:t>t</w:t>
      </w:r>
      <w:r w:rsidRPr="0005586D">
        <w:rPr>
          <w:lang w:val="en-GB"/>
        </w:rPr>
        <w:t xml:space="preserve">he company considered it was counterintuitive and </w:t>
      </w:r>
      <w:r w:rsidR="00BA76A4" w:rsidRPr="0005586D">
        <w:rPr>
          <w:lang w:val="en-GB"/>
        </w:rPr>
        <w:t>several assumptions</w:t>
      </w:r>
      <w:r w:rsidR="00C71E67" w:rsidRPr="0005586D">
        <w:rPr>
          <w:lang w:val="en-GB"/>
        </w:rPr>
        <w:t xml:space="preserve"> were </w:t>
      </w:r>
      <w:r w:rsidR="00C71E67" w:rsidRPr="0005586D">
        <w:rPr>
          <w:lang w:val="en-GB"/>
        </w:rPr>
        <w:lastRenderedPageBreak/>
        <w:t>made</w:t>
      </w:r>
      <w:r w:rsidR="00BA76A4" w:rsidRPr="0005586D">
        <w:rPr>
          <w:lang w:val="en-GB"/>
        </w:rPr>
        <w:t xml:space="preserve"> to model these</w:t>
      </w:r>
      <w:r w:rsidR="00C71E67" w:rsidRPr="0005586D">
        <w:rPr>
          <w:lang w:val="en-GB"/>
        </w:rPr>
        <w:t xml:space="preserve"> bleeds</w:t>
      </w:r>
      <w:r w:rsidR="00BA76A4" w:rsidRPr="0005586D">
        <w:rPr>
          <w:lang w:val="en-GB"/>
        </w:rPr>
        <w:t>. Th</w:t>
      </w:r>
      <w:r w:rsidR="004E3301" w:rsidRPr="0005586D">
        <w:rPr>
          <w:lang w:val="en-GB"/>
        </w:rPr>
        <w:t xml:space="preserve">e company assumed that andexanet alfa would lead to </w:t>
      </w:r>
      <w:r w:rsidR="00641464">
        <w:rPr>
          <w:lang w:val="en-GB"/>
        </w:rPr>
        <w:t xml:space="preserve">a </w:t>
      </w:r>
      <w:r w:rsidR="004E3301" w:rsidRPr="0005586D">
        <w:rPr>
          <w:lang w:val="en-GB"/>
        </w:rPr>
        <w:t>25% relative reduction in mortality for pericardial and retroperitoneal bleeds</w:t>
      </w:r>
      <w:r w:rsidR="00404115">
        <w:rPr>
          <w:lang w:val="en-GB"/>
        </w:rPr>
        <w:t>,</w:t>
      </w:r>
      <w:r w:rsidR="004E3301" w:rsidRPr="0005586D">
        <w:rPr>
          <w:lang w:val="en-GB"/>
        </w:rPr>
        <w:t xml:space="preserve"> and </w:t>
      </w:r>
      <w:r w:rsidR="0024466A">
        <w:rPr>
          <w:lang w:val="en-GB"/>
        </w:rPr>
        <w:t xml:space="preserve">it </w:t>
      </w:r>
      <w:r w:rsidR="004E3301" w:rsidRPr="0005586D">
        <w:rPr>
          <w:lang w:val="en-GB"/>
        </w:rPr>
        <w:t xml:space="preserve">set the mortality to </w:t>
      </w:r>
      <w:r w:rsidR="004766EF">
        <w:rPr>
          <w:lang w:val="en-GB"/>
        </w:rPr>
        <w:t>0</w:t>
      </w:r>
      <w:r w:rsidR="004766EF" w:rsidRPr="0005586D">
        <w:rPr>
          <w:lang w:val="en-GB"/>
        </w:rPr>
        <w:t xml:space="preserve"> </w:t>
      </w:r>
      <w:r w:rsidR="004E3301" w:rsidRPr="0005586D">
        <w:rPr>
          <w:lang w:val="en-GB"/>
        </w:rPr>
        <w:t xml:space="preserve">for intraspinal and intraocular bleeds. The company also assumed that andexanet alfa would reduce paralysis and blindness by 25% </w:t>
      </w:r>
      <w:r w:rsidR="0024466A">
        <w:rPr>
          <w:lang w:val="en-GB"/>
        </w:rPr>
        <w:t>after</w:t>
      </w:r>
      <w:r w:rsidR="0024466A" w:rsidRPr="0005586D">
        <w:rPr>
          <w:lang w:val="en-GB"/>
        </w:rPr>
        <w:t xml:space="preserve"> </w:t>
      </w:r>
      <w:r w:rsidR="004E3301" w:rsidRPr="0005586D">
        <w:rPr>
          <w:lang w:val="en-GB"/>
        </w:rPr>
        <w:t>intraspinal and intraocular bleeds</w:t>
      </w:r>
      <w:r w:rsidR="0024466A">
        <w:rPr>
          <w:lang w:val="en-GB"/>
        </w:rPr>
        <w:t>,</w:t>
      </w:r>
      <w:r w:rsidR="00CF3AFB" w:rsidRPr="0005586D">
        <w:rPr>
          <w:lang w:val="en-GB"/>
        </w:rPr>
        <w:t xml:space="preserve"> which </w:t>
      </w:r>
      <w:r w:rsidR="00D4262F" w:rsidRPr="0005586D">
        <w:rPr>
          <w:lang w:val="en-GB"/>
        </w:rPr>
        <w:t>reduce</w:t>
      </w:r>
      <w:r w:rsidR="00D4262F">
        <w:rPr>
          <w:lang w:val="en-GB"/>
        </w:rPr>
        <w:t>d</w:t>
      </w:r>
      <w:r w:rsidR="00D4262F" w:rsidRPr="0005586D">
        <w:rPr>
          <w:lang w:val="en-GB"/>
        </w:rPr>
        <w:t xml:space="preserve"> </w:t>
      </w:r>
      <w:r w:rsidR="00CF3AFB" w:rsidRPr="0005586D">
        <w:rPr>
          <w:lang w:val="en-GB"/>
        </w:rPr>
        <w:t xml:space="preserve">the long-term management costs and </w:t>
      </w:r>
      <w:r w:rsidR="00D4262F">
        <w:rPr>
          <w:lang w:val="en-GB"/>
        </w:rPr>
        <w:t>improved the</w:t>
      </w:r>
      <w:r w:rsidR="00D4262F" w:rsidRPr="0005586D">
        <w:rPr>
          <w:lang w:val="en-GB"/>
        </w:rPr>
        <w:t xml:space="preserve"> </w:t>
      </w:r>
      <w:r w:rsidR="00CF3AFB" w:rsidRPr="0005586D">
        <w:rPr>
          <w:lang w:val="en-GB"/>
        </w:rPr>
        <w:t>long-term utilities</w:t>
      </w:r>
      <w:r w:rsidR="00415CD8" w:rsidRPr="0005586D">
        <w:rPr>
          <w:lang w:val="en-GB"/>
        </w:rPr>
        <w:t>.</w:t>
      </w:r>
      <w:r w:rsidR="00CF3AFB" w:rsidRPr="0005586D">
        <w:rPr>
          <w:lang w:val="en-GB"/>
        </w:rPr>
        <w:t xml:space="preserve"> </w:t>
      </w:r>
      <w:r w:rsidR="00037E92">
        <w:rPr>
          <w:lang w:val="en-GB"/>
        </w:rPr>
        <w:t>These</w:t>
      </w:r>
      <w:r w:rsidR="00BB2201">
        <w:rPr>
          <w:lang w:val="en-GB"/>
        </w:rPr>
        <w:t xml:space="preserve"> </w:t>
      </w:r>
      <w:r w:rsidR="00CF3AFB" w:rsidRPr="0005586D">
        <w:rPr>
          <w:lang w:val="en-GB"/>
        </w:rPr>
        <w:t xml:space="preserve">assumptions were based on clinical </w:t>
      </w:r>
      <w:r w:rsidR="00037E92">
        <w:rPr>
          <w:lang w:val="en-GB"/>
        </w:rPr>
        <w:t>opinion</w:t>
      </w:r>
      <w:r w:rsidR="0077205A">
        <w:rPr>
          <w:lang w:val="en-GB"/>
        </w:rPr>
        <w:t xml:space="preserve"> only</w:t>
      </w:r>
      <w:r w:rsidR="00CF3AFB" w:rsidRPr="0005586D">
        <w:rPr>
          <w:lang w:val="en-GB"/>
        </w:rPr>
        <w:t>.</w:t>
      </w:r>
      <w:r w:rsidR="004E3301" w:rsidRPr="0005586D">
        <w:rPr>
          <w:lang w:val="en-GB"/>
        </w:rPr>
        <w:t xml:space="preserve"> The clinical experts explained that the evidence was too scarce to make assumption</w:t>
      </w:r>
      <w:r w:rsidR="00C71E67" w:rsidRPr="0005586D">
        <w:rPr>
          <w:lang w:val="en-GB"/>
        </w:rPr>
        <w:t>s</w:t>
      </w:r>
      <w:r w:rsidR="004E3301" w:rsidRPr="0005586D">
        <w:rPr>
          <w:lang w:val="en-GB"/>
        </w:rPr>
        <w:t xml:space="preserve"> of 25% relative reduction in mortality, paralysis and blindness and that the ERG’s assumption of 0% relative reduction was more reasonable in</w:t>
      </w:r>
      <w:r w:rsidR="00415CD8" w:rsidRPr="0005586D">
        <w:rPr>
          <w:lang w:val="en-GB"/>
        </w:rPr>
        <w:t xml:space="preserve"> the </w:t>
      </w:r>
      <w:r w:rsidR="004E3301" w:rsidRPr="0005586D">
        <w:rPr>
          <w:lang w:val="en-GB"/>
        </w:rPr>
        <w:t xml:space="preserve">absence of robust evidence. </w:t>
      </w:r>
      <w:r w:rsidR="00C60A44" w:rsidRPr="0005586D">
        <w:rPr>
          <w:lang w:val="en-GB"/>
        </w:rPr>
        <w:t>The committee concluded that the company’s assumptions were not supported by evidence.</w:t>
      </w:r>
    </w:p>
    <w:p w14:paraId="4A9D413F" w14:textId="7DE4E579" w:rsidR="00901E9E" w:rsidRPr="0005586D" w:rsidRDefault="00901E9E" w:rsidP="004E3301">
      <w:pPr>
        <w:pStyle w:val="Heading3"/>
      </w:pPr>
      <w:r w:rsidRPr="0005586D">
        <w:t xml:space="preserve">The long-term </w:t>
      </w:r>
      <w:r w:rsidR="0000021C" w:rsidRPr="0005586D">
        <w:t xml:space="preserve">outcomes and utilities </w:t>
      </w:r>
      <w:r w:rsidR="00B80C04">
        <w:t xml:space="preserve">after </w:t>
      </w:r>
      <w:r w:rsidRPr="0005586D">
        <w:t xml:space="preserve">ICH </w:t>
      </w:r>
      <w:r w:rsidR="0000021C" w:rsidRPr="0005586D">
        <w:t xml:space="preserve">are highly </w:t>
      </w:r>
      <w:r w:rsidR="00090326" w:rsidRPr="0005586D">
        <w:t>uncertain</w:t>
      </w:r>
    </w:p>
    <w:p w14:paraId="343FD10C" w14:textId="5FAC139D" w:rsidR="00422ABC" w:rsidRPr="0005586D" w:rsidRDefault="00463366" w:rsidP="00463366">
      <w:pPr>
        <w:pStyle w:val="Numberedlevel2text"/>
        <w:rPr>
          <w:lang w:val="en-GB"/>
        </w:rPr>
      </w:pPr>
      <w:r w:rsidRPr="0005586D">
        <w:rPr>
          <w:lang w:val="en-GB"/>
        </w:rPr>
        <w:t xml:space="preserve">The committee noted that there was no direct evidence that </w:t>
      </w:r>
      <w:r w:rsidR="002F6E5C">
        <w:rPr>
          <w:lang w:val="en-GB"/>
        </w:rPr>
        <w:t xml:space="preserve">people who </w:t>
      </w:r>
      <w:r w:rsidR="00037E92">
        <w:rPr>
          <w:lang w:val="en-GB"/>
        </w:rPr>
        <w:t>had an</w:t>
      </w:r>
      <w:r w:rsidR="002F6E5C" w:rsidRPr="0005586D">
        <w:rPr>
          <w:lang w:val="en-GB"/>
        </w:rPr>
        <w:t xml:space="preserve"> </w:t>
      </w:r>
      <w:r w:rsidRPr="0005586D">
        <w:rPr>
          <w:lang w:val="en-GB"/>
        </w:rPr>
        <w:t xml:space="preserve">ICH had better long-term outcomes </w:t>
      </w:r>
      <w:r w:rsidR="00C80F20">
        <w:rPr>
          <w:lang w:val="en-GB"/>
        </w:rPr>
        <w:t>with</w:t>
      </w:r>
      <w:r w:rsidR="009C75E9">
        <w:rPr>
          <w:lang w:val="en-GB"/>
        </w:rPr>
        <w:t xml:space="preserve"> andexanet alfa </w:t>
      </w:r>
      <w:r w:rsidR="00C80F20">
        <w:rPr>
          <w:lang w:val="en-GB"/>
        </w:rPr>
        <w:t xml:space="preserve">than if they had </w:t>
      </w:r>
      <w:r w:rsidRPr="0005586D">
        <w:rPr>
          <w:lang w:val="en-GB"/>
        </w:rPr>
        <w:t>PCC (</w:t>
      </w:r>
      <w:r w:rsidR="00C525DB">
        <w:rPr>
          <w:lang w:val="en-GB"/>
        </w:rPr>
        <w:t xml:space="preserve">see </w:t>
      </w:r>
      <w:hyperlink w:anchor="_The_benefit_of" w:history="1">
        <w:r w:rsidRPr="004766EF">
          <w:rPr>
            <w:rStyle w:val="Hyperlink"/>
            <w:lang w:val="en-GB"/>
          </w:rPr>
          <w:t>section 3.</w:t>
        </w:r>
        <w:r w:rsidR="0013622A" w:rsidRPr="004766EF">
          <w:rPr>
            <w:rStyle w:val="Hyperlink"/>
            <w:lang w:val="en-GB"/>
          </w:rPr>
          <w:t>10</w:t>
        </w:r>
      </w:hyperlink>
      <w:r w:rsidRPr="0005586D">
        <w:rPr>
          <w:lang w:val="en-GB"/>
        </w:rPr>
        <w:t xml:space="preserve">). Differences in mRS scores </w:t>
      </w:r>
      <w:r w:rsidR="0095038F">
        <w:rPr>
          <w:lang w:val="en-GB"/>
        </w:rPr>
        <w:t>affect</w:t>
      </w:r>
      <w:r w:rsidR="00D4262F">
        <w:rPr>
          <w:lang w:val="en-GB"/>
        </w:rPr>
        <w:t>ed</w:t>
      </w:r>
      <w:r w:rsidR="0095038F">
        <w:rPr>
          <w:lang w:val="en-GB"/>
        </w:rPr>
        <w:t xml:space="preserve"> the</w:t>
      </w:r>
      <w:r w:rsidRPr="0005586D">
        <w:rPr>
          <w:lang w:val="en-GB"/>
        </w:rPr>
        <w:t xml:space="preserve"> long</w:t>
      </w:r>
      <w:r w:rsidR="0005586D">
        <w:rPr>
          <w:lang w:val="en-GB"/>
        </w:rPr>
        <w:t>-</w:t>
      </w:r>
      <w:r w:rsidRPr="0005586D">
        <w:rPr>
          <w:lang w:val="en-GB"/>
        </w:rPr>
        <w:t xml:space="preserve">term mortality risk, </w:t>
      </w:r>
      <w:proofErr w:type="gramStart"/>
      <w:r w:rsidRPr="0005586D">
        <w:rPr>
          <w:lang w:val="en-GB"/>
        </w:rPr>
        <w:t>costs</w:t>
      </w:r>
      <w:proofErr w:type="gramEnd"/>
      <w:r w:rsidRPr="0005586D">
        <w:rPr>
          <w:lang w:val="en-GB"/>
        </w:rPr>
        <w:t xml:space="preserve"> and </w:t>
      </w:r>
      <w:r w:rsidR="00E416B2" w:rsidRPr="0005586D">
        <w:rPr>
          <w:lang w:val="en-GB"/>
        </w:rPr>
        <w:t>utilit</w:t>
      </w:r>
      <w:r w:rsidR="00E416B2">
        <w:rPr>
          <w:lang w:val="en-GB"/>
        </w:rPr>
        <w:t>ies</w:t>
      </w:r>
      <w:r w:rsidR="00E416B2" w:rsidRPr="0005586D">
        <w:rPr>
          <w:lang w:val="en-GB"/>
        </w:rPr>
        <w:t xml:space="preserve"> </w:t>
      </w:r>
      <w:r w:rsidRPr="0005586D">
        <w:rPr>
          <w:lang w:val="en-GB"/>
        </w:rPr>
        <w:t>in the model.</w:t>
      </w:r>
      <w:r w:rsidR="00027397">
        <w:rPr>
          <w:lang w:val="en-GB"/>
        </w:rPr>
        <w:t xml:space="preserve"> </w:t>
      </w:r>
      <w:r w:rsidR="00A37721" w:rsidRPr="0005586D">
        <w:rPr>
          <w:lang w:val="en-GB"/>
        </w:rPr>
        <w:t xml:space="preserve">The long-term utility </w:t>
      </w:r>
      <w:r w:rsidR="0000021C" w:rsidRPr="0005586D">
        <w:rPr>
          <w:lang w:val="en-GB"/>
        </w:rPr>
        <w:t xml:space="preserve">value </w:t>
      </w:r>
      <w:r w:rsidR="007939F7" w:rsidRPr="0005586D">
        <w:rPr>
          <w:lang w:val="en-GB"/>
        </w:rPr>
        <w:t>for</w:t>
      </w:r>
      <w:r w:rsidR="00A37721" w:rsidRPr="0005586D">
        <w:rPr>
          <w:lang w:val="en-GB"/>
        </w:rPr>
        <w:t xml:space="preserve"> </w:t>
      </w:r>
      <w:r w:rsidR="0095038F">
        <w:rPr>
          <w:lang w:val="en-GB"/>
        </w:rPr>
        <w:t xml:space="preserve">people who had an </w:t>
      </w:r>
      <w:r w:rsidR="00A37721" w:rsidRPr="0005586D">
        <w:rPr>
          <w:lang w:val="en-GB"/>
        </w:rPr>
        <w:t xml:space="preserve">ICH </w:t>
      </w:r>
      <w:r w:rsidR="007939F7" w:rsidRPr="0005586D">
        <w:rPr>
          <w:lang w:val="en-GB"/>
        </w:rPr>
        <w:t>in</w:t>
      </w:r>
      <w:r w:rsidR="00A37721" w:rsidRPr="0005586D">
        <w:rPr>
          <w:lang w:val="en-GB"/>
        </w:rPr>
        <w:t xml:space="preserve"> the PCC arm</w:t>
      </w:r>
      <w:r w:rsidR="0091710F" w:rsidRPr="0005586D">
        <w:rPr>
          <w:lang w:val="en-GB"/>
        </w:rPr>
        <w:t xml:space="preserve"> </w:t>
      </w:r>
      <w:r w:rsidRPr="0005586D">
        <w:rPr>
          <w:lang w:val="en-GB"/>
        </w:rPr>
        <w:t xml:space="preserve">in the company’s model </w:t>
      </w:r>
      <w:r w:rsidR="0091710F" w:rsidRPr="0005586D">
        <w:rPr>
          <w:lang w:val="en-GB"/>
        </w:rPr>
        <w:t>was 0.61</w:t>
      </w:r>
      <w:r w:rsidR="0095038F">
        <w:rPr>
          <w:lang w:val="en-GB"/>
        </w:rPr>
        <w:t>.</w:t>
      </w:r>
      <w:r w:rsidR="0091710F" w:rsidRPr="0005586D">
        <w:rPr>
          <w:lang w:val="en-GB"/>
        </w:rPr>
        <w:t xml:space="preserve"> </w:t>
      </w:r>
      <w:r w:rsidR="0095038F">
        <w:rPr>
          <w:lang w:val="en-GB"/>
        </w:rPr>
        <w:t>This</w:t>
      </w:r>
      <w:r w:rsidR="0095038F" w:rsidRPr="0005586D">
        <w:rPr>
          <w:lang w:val="en-GB"/>
        </w:rPr>
        <w:t xml:space="preserve"> </w:t>
      </w:r>
      <w:r w:rsidR="00A37721" w:rsidRPr="0005586D">
        <w:rPr>
          <w:lang w:val="en-GB"/>
        </w:rPr>
        <w:t>was obtained from</w:t>
      </w:r>
      <w:r w:rsidR="0091710F" w:rsidRPr="0005586D">
        <w:rPr>
          <w:lang w:val="en-GB"/>
        </w:rPr>
        <w:t xml:space="preserve"> a 3-month post-acute care utility </w:t>
      </w:r>
      <w:r w:rsidR="0000021C" w:rsidRPr="0005586D">
        <w:rPr>
          <w:lang w:val="en-GB"/>
        </w:rPr>
        <w:t xml:space="preserve">value </w:t>
      </w:r>
      <w:r w:rsidR="00B80C04">
        <w:rPr>
          <w:lang w:val="en-GB"/>
        </w:rPr>
        <w:t>for</w:t>
      </w:r>
      <w:r w:rsidR="00B80C04" w:rsidRPr="0005586D">
        <w:rPr>
          <w:lang w:val="en-GB"/>
        </w:rPr>
        <w:t xml:space="preserve"> </w:t>
      </w:r>
      <w:r w:rsidR="0091710F" w:rsidRPr="0005586D">
        <w:rPr>
          <w:lang w:val="en-GB"/>
        </w:rPr>
        <w:t xml:space="preserve">people </w:t>
      </w:r>
      <w:r w:rsidR="00B80C04">
        <w:rPr>
          <w:lang w:val="en-GB"/>
        </w:rPr>
        <w:t>who had an</w:t>
      </w:r>
      <w:r w:rsidR="00B80C04" w:rsidRPr="0005586D">
        <w:rPr>
          <w:lang w:val="en-GB"/>
        </w:rPr>
        <w:t xml:space="preserve"> </w:t>
      </w:r>
      <w:r w:rsidR="0091710F" w:rsidRPr="0005586D">
        <w:rPr>
          <w:lang w:val="en-GB"/>
        </w:rPr>
        <w:t>ICH</w:t>
      </w:r>
      <w:r w:rsidR="00037E92">
        <w:rPr>
          <w:lang w:val="en-GB"/>
        </w:rPr>
        <w:t>,</w:t>
      </w:r>
      <w:r w:rsidR="0091710F" w:rsidRPr="0005586D">
        <w:rPr>
          <w:lang w:val="en-GB"/>
        </w:rPr>
        <w:t xml:space="preserve"> </w:t>
      </w:r>
      <w:r w:rsidR="00037E92">
        <w:rPr>
          <w:lang w:val="en-GB"/>
        </w:rPr>
        <w:t>which</w:t>
      </w:r>
      <w:r w:rsidR="0095038F">
        <w:rPr>
          <w:lang w:val="en-GB"/>
        </w:rPr>
        <w:t xml:space="preserve"> was used </w:t>
      </w:r>
      <w:r w:rsidR="00E51663" w:rsidRPr="0005586D">
        <w:rPr>
          <w:lang w:val="en-GB"/>
        </w:rPr>
        <w:t xml:space="preserve">in </w:t>
      </w:r>
      <w:hyperlink r:id="rId12" w:history="1">
        <w:r w:rsidR="00A7626F" w:rsidRPr="00B45713">
          <w:rPr>
            <w:rStyle w:val="Hyperlink"/>
            <w:lang w:val="en-GB"/>
          </w:rPr>
          <w:t>NICE's guidance on apixaban</w:t>
        </w:r>
        <w:r w:rsidR="00B45713" w:rsidRPr="00B45713">
          <w:rPr>
            <w:rStyle w:val="Hyperlink"/>
            <w:lang w:val="en-GB"/>
          </w:rPr>
          <w:t xml:space="preserve"> for the treatment and secondary prevention of deep vein thrombosis and/or pulmonary embolism</w:t>
        </w:r>
      </w:hyperlink>
      <w:r w:rsidR="0091710F" w:rsidRPr="0005586D">
        <w:rPr>
          <w:lang w:val="en-GB"/>
        </w:rPr>
        <w:t xml:space="preserve">. The company calculated that andexanet alfa </w:t>
      </w:r>
      <w:r w:rsidR="002C6992">
        <w:rPr>
          <w:lang w:val="en-GB"/>
        </w:rPr>
        <w:t>increased</w:t>
      </w:r>
      <w:r w:rsidR="0091710F" w:rsidRPr="0005586D">
        <w:rPr>
          <w:lang w:val="en-GB"/>
        </w:rPr>
        <w:t xml:space="preserve"> </w:t>
      </w:r>
      <w:r w:rsidR="0000021C" w:rsidRPr="0005586D">
        <w:rPr>
          <w:lang w:val="en-GB"/>
        </w:rPr>
        <w:t>the long</w:t>
      </w:r>
      <w:r w:rsidRPr="0005586D">
        <w:rPr>
          <w:lang w:val="en-GB"/>
        </w:rPr>
        <w:t>-</w:t>
      </w:r>
      <w:r w:rsidR="0000021C" w:rsidRPr="0005586D">
        <w:rPr>
          <w:lang w:val="en-GB"/>
        </w:rPr>
        <w:t xml:space="preserve">term utility of </w:t>
      </w:r>
      <w:r w:rsidR="0095038F">
        <w:rPr>
          <w:lang w:val="en-GB"/>
        </w:rPr>
        <w:t xml:space="preserve">people who had an </w:t>
      </w:r>
      <w:r w:rsidR="0000021C" w:rsidRPr="0005586D">
        <w:rPr>
          <w:lang w:val="en-GB"/>
        </w:rPr>
        <w:t xml:space="preserve">ICH </w:t>
      </w:r>
      <w:r w:rsidR="0091710F" w:rsidRPr="0005586D">
        <w:rPr>
          <w:lang w:val="en-GB"/>
        </w:rPr>
        <w:t xml:space="preserve">by 0.11 </w:t>
      </w:r>
      <w:r w:rsidR="0000021C" w:rsidRPr="0005586D">
        <w:rPr>
          <w:lang w:val="en-GB"/>
        </w:rPr>
        <w:t>compared with PCC</w:t>
      </w:r>
      <w:r w:rsidR="0095038F">
        <w:rPr>
          <w:lang w:val="en-GB"/>
        </w:rPr>
        <w:t>,</w:t>
      </w:r>
      <w:r w:rsidR="0000021C" w:rsidRPr="0005586D">
        <w:rPr>
          <w:lang w:val="en-GB"/>
        </w:rPr>
        <w:t xml:space="preserve"> </w:t>
      </w:r>
      <w:r w:rsidR="0091710F" w:rsidRPr="0005586D">
        <w:rPr>
          <w:lang w:val="en-GB"/>
        </w:rPr>
        <w:t xml:space="preserve">based on the difference in mRS scores between ANNEXA-4 and Øie </w:t>
      </w:r>
      <w:r w:rsidR="000A58AF">
        <w:rPr>
          <w:lang w:val="en-GB"/>
        </w:rPr>
        <w:t>et al</w:t>
      </w:r>
      <w:r w:rsidR="00D4262F">
        <w:rPr>
          <w:lang w:val="en-GB"/>
        </w:rPr>
        <w:t xml:space="preserve"> (2018)</w:t>
      </w:r>
      <w:r w:rsidR="0000021C" w:rsidRPr="0005586D">
        <w:rPr>
          <w:lang w:val="en-GB"/>
        </w:rPr>
        <w:t xml:space="preserve">. This resulted </w:t>
      </w:r>
      <w:r w:rsidR="0091710F" w:rsidRPr="0005586D">
        <w:rPr>
          <w:lang w:val="en-GB"/>
        </w:rPr>
        <w:t xml:space="preserve">in a long-term utility of 0.72 </w:t>
      </w:r>
      <w:r w:rsidR="0095038F">
        <w:rPr>
          <w:lang w:val="en-GB"/>
        </w:rPr>
        <w:t>after</w:t>
      </w:r>
      <w:r w:rsidR="0095038F" w:rsidRPr="0005586D">
        <w:rPr>
          <w:lang w:val="en-GB"/>
        </w:rPr>
        <w:t xml:space="preserve"> </w:t>
      </w:r>
      <w:r w:rsidR="002C6992">
        <w:rPr>
          <w:lang w:val="en-GB"/>
        </w:rPr>
        <w:t xml:space="preserve">an ICH for people who had </w:t>
      </w:r>
      <w:r w:rsidR="0095038F" w:rsidRPr="0095038F">
        <w:rPr>
          <w:lang w:val="en-GB"/>
        </w:rPr>
        <w:t>andexanet alfa</w:t>
      </w:r>
      <w:r w:rsidR="0091710F" w:rsidRPr="0005586D">
        <w:rPr>
          <w:lang w:val="en-GB"/>
        </w:rPr>
        <w:t xml:space="preserve">. The ERG was concerned that a utility of 0.72 is not plausible </w:t>
      </w:r>
      <w:r w:rsidR="00641464">
        <w:rPr>
          <w:lang w:val="en-GB"/>
        </w:rPr>
        <w:t>because</w:t>
      </w:r>
      <w:r w:rsidR="00641464" w:rsidRPr="0005586D">
        <w:rPr>
          <w:lang w:val="en-GB"/>
        </w:rPr>
        <w:t xml:space="preserve"> </w:t>
      </w:r>
      <w:r w:rsidR="0091710F" w:rsidRPr="0005586D">
        <w:rPr>
          <w:lang w:val="en-GB"/>
        </w:rPr>
        <w:t xml:space="preserve">it is </w:t>
      </w:r>
      <w:r w:rsidR="0000021C" w:rsidRPr="0005586D">
        <w:rPr>
          <w:lang w:val="en-GB"/>
        </w:rPr>
        <w:t xml:space="preserve">only </w:t>
      </w:r>
      <w:r w:rsidR="0091710F" w:rsidRPr="0005586D">
        <w:rPr>
          <w:lang w:val="en-GB"/>
        </w:rPr>
        <w:t xml:space="preserve">0.01 lower than the UK general population aged 75 and </w:t>
      </w:r>
      <w:r w:rsidR="00AB26E2">
        <w:rPr>
          <w:lang w:val="en-GB"/>
        </w:rPr>
        <w:t>over</w:t>
      </w:r>
      <w:r w:rsidR="0091710F" w:rsidRPr="0005586D">
        <w:rPr>
          <w:lang w:val="en-GB"/>
        </w:rPr>
        <w:t xml:space="preserve">. </w:t>
      </w:r>
      <w:r w:rsidR="0005586D">
        <w:rPr>
          <w:lang w:val="en-GB"/>
        </w:rPr>
        <w:t>Also</w:t>
      </w:r>
      <w:r w:rsidR="00C81586" w:rsidRPr="0005586D">
        <w:rPr>
          <w:lang w:val="en-GB"/>
        </w:rPr>
        <w:t>,</w:t>
      </w:r>
      <w:r w:rsidRPr="0005586D">
        <w:rPr>
          <w:lang w:val="en-GB"/>
        </w:rPr>
        <w:t xml:space="preserve"> </w:t>
      </w:r>
      <w:r w:rsidR="0005586D">
        <w:rPr>
          <w:lang w:val="en-GB"/>
        </w:rPr>
        <w:t xml:space="preserve">the </w:t>
      </w:r>
      <w:r w:rsidRPr="0005586D">
        <w:rPr>
          <w:lang w:val="en-GB"/>
        </w:rPr>
        <w:t>differences in long</w:t>
      </w:r>
      <w:r w:rsidR="0005586D">
        <w:rPr>
          <w:lang w:val="en-GB"/>
        </w:rPr>
        <w:t>-</w:t>
      </w:r>
      <w:r w:rsidRPr="0005586D">
        <w:rPr>
          <w:lang w:val="en-GB"/>
        </w:rPr>
        <w:t>term outcome</w:t>
      </w:r>
      <w:r w:rsidR="00E416B2">
        <w:rPr>
          <w:lang w:val="en-GB"/>
        </w:rPr>
        <w:t>s</w:t>
      </w:r>
      <w:r w:rsidRPr="0005586D">
        <w:rPr>
          <w:lang w:val="en-GB"/>
        </w:rPr>
        <w:t xml:space="preserve"> were driven by the </w:t>
      </w:r>
      <w:r w:rsidR="000A58AF">
        <w:rPr>
          <w:lang w:val="en-GB"/>
        </w:rPr>
        <w:t>naive</w:t>
      </w:r>
      <w:r w:rsidR="000A58AF" w:rsidRPr="0005586D">
        <w:rPr>
          <w:lang w:val="en-GB"/>
        </w:rPr>
        <w:t xml:space="preserve"> </w:t>
      </w:r>
      <w:r w:rsidRPr="0005586D">
        <w:rPr>
          <w:lang w:val="en-GB"/>
        </w:rPr>
        <w:t xml:space="preserve">comparison of mRS </w:t>
      </w:r>
      <w:r w:rsidR="0095038F">
        <w:rPr>
          <w:lang w:val="en-GB"/>
        </w:rPr>
        <w:t>scores</w:t>
      </w:r>
      <w:r w:rsidR="0095038F" w:rsidRPr="0005586D">
        <w:rPr>
          <w:lang w:val="en-GB"/>
        </w:rPr>
        <w:t xml:space="preserve"> </w:t>
      </w:r>
      <w:r w:rsidRPr="0005586D">
        <w:rPr>
          <w:lang w:val="en-GB"/>
        </w:rPr>
        <w:t xml:space="preserve">from ANNEXA-4 and </w:t>
      </w:r>
      <w:r w:rsidR="00C81586" w:rsidRPr="0005586D">
        <w:rPr>
          <w:lang w:val="en-GB"/>
        </w:rPr>
        <w:t xml:space="preserve">Øie </w:t>
      </w:r>
      <w:r w:rsidR="000A58AF">
        <w:rPr>
          <w:lang w:val="en-GB"/>
        </w:rPr>
        <w:t>et al</w:t>
      </w:r>
      <w:r w:rsidRPr="0005586D">
        <w:rPr>
          <w:lang w:val="en-GB"/>
        </w:rPr>
        <w:t xml:space="preserve">. </w:t>
      </w:r>
      <w:r w:rsidR="0000021C" w:rsidRPr="0005586D">
        <w:rPr>
          <w:lang w:val="en-GB"/>
        </w:rPr>
        <w:t xml:space="preserve">The ERG’s preferred scenario </w:t>
      </w:r>
      <w:r w:rsidR="0095038F">
        <w:rPr>
          <w:lang w:val="en-GB"/>
        </w:rPr>
        <w:t>was</w:t>
      </w:r>
      <w:r w:rsidR="0095038F" w:rsidRPr="0005586D">
        <w:rPr>
          <w:lang w:val="en-GB"/>
        </w:rPr>
        <w:t xml:space="preserve"> </w:t>
      </w:r>
      <w:r w:rsidR="0000021C" w:rsidRPr="0005586D">
        <w:rPr>
          <w:lang w:val="en-GB"/>
        </w:rPr>
        <w:t xml:space="preserve">to use the mRS scores from Øie </w:t>
      </w:r>
      <w:r w:rsidR="000A58AF">
        <w:rPr>
          <w:lang w:val="en-GB"/>
        </w:rPr>
        <w:t>et al.</w:t>
      </w:r>
      <w:r w:rsidR="0000021C" w:rsidRPr="0005586D">
        <w:rPr>
          <w:lang w:val="en-GB"/>
        </w:rPr>
        <w:t xml:space="preserve"> only in people who had</w:t>
      </w:r>
      <w:r w:rsidR="00E416B2">
        <w:rPr>
          <w:lang w:val="en-GB"/>
        </w:rPr>
        <w:t xml:space="preserve"> an</w:t>
      </w:r>
      <w:r w:rsidR="0000021C" w:rsidRPr="0005586D">
        <w:rPr>
          <w:lang w:val="en-GB"/>
        </w:rPr>
        <w:t xml:space="preserve"> </w:t>
      </w:r>
      <w:r w:rsidR="0000021C" w:rsidRPr="0005586D">
        <w:rPr>
          <w:lang w:val="en-GB"/>
        </w:rPr>
        <w:lastRenderedPageBreak/>
        <w:t xml:space="preserve">intracerebral haemorrhage in </w:t>
      </w:r>
      <w:r w:rsidRPr="0005586D">
        <w:rPr>
          <w:lang w:val="en-GB"/>
        </w:rPr>
        <w:t>ANNEXA-4,</w:t>
      </w:r>
      <w:r w:rsidR="0000021C" w:rsidRPr="0005586D">
        <w:rPr>
          <w:lang w:val="en-GB"/>
        </w:rPr>
        <w:t xml:space="preserve"> or alternatively</w:t>
      </w:r>
      <w:r w:rsidR="00AC64F9" w:rsidRPr="0005586D">
        <w:rPr>
          <w:lang w:val="en-GB"/>
        </w:rPr>
        <w:t xml:space="preserve"> </w:t>
      </w:r>
      <w:r w:rsidR="0000021C" w:rsidRPr="0005586D">
        <w:rPr>
          <w:lang w:val="en-GB"/>
        </w:rPr>
        <w:t xml:space="preserve">to use the ANNEXA-4 </w:t>
      </w:r>
      <w:proofErr w:type="spellStart"/>
      <w:r w:rsidR="0000021C" w:rsidRPr="0005586D">
        <w:rPr>
          <w:lang w:val="en-GB"/>
        </w:rPr>
        <w:t>mRS</w:t>
      </w:r>
      <w:proofErr w:type="spellEnd"/>
      <w:r w:rsidR="0000021C" w:rsidRPr="0005586D">
        <w:rPr>
          <w:lang w:val="en-GB"/>
        </w:rPr>
        <w:t xml:space="preserve"> scores for both </w:t>
      </w:r>
      <w:r w:rsidR="0095038F">
        <w:rPr>
          <w:lang w:val="en-GB"/>
        </w:rPr>
        <w:t>treatments</w:t>
      </w:r>
      <w:r w:rsidR="0095038F" w:rsidRPr="0005586D">
        <w:rPr>
          <w:lang w:val="en-GB"/>
        </w:rPr>
        <w:t xml:space="preserve"> </w:t>
      </w:r>
      <w:r w:rsidR="0000021C" w:rsidRPr="0005586D">
        <w:rPr>
          <w:lang w:val="en-GB"/>
        </w:rPr>
        <w:t>(assuming no benefit in mRS scores).</w:t>
      </w:r>
      <w:r w:rsidR="00BB24B8">
        <w:rPr>
          <w:lang w:val="en-GB"/>
        </w:rPr>
        <w:t xml:space="preserve"> </w:t>
      </w:r>
      <w:r w:rsidR="00980197">
        <w:rPr>
          <w:lang w:val="en-GB"/>
        </w:rPr>
        <w:t>In its updated base</w:t>
      </w:r>
      <w:r w:rsidR="00C241BF">
        <w:rPr>
          <w:lang w:val="en-GB"/>
        </w:rPr>
        <w:t xml:space="preserve"> </w:t>
      </w:r>
      <w:r w:rsidR="00EF2209">
        <w:rPr>
          <w:lang w:val="en-GB"/>
        </w:rPr>
        <w:t>case,</w:t>
      </w:r>
      <w:r w:rsidR="00980197">
        <w:rPr>
          <w:lang w:val="en-GB"/>
        </w:rPr>
        <w:t xml:space="preserve"> the ERG’s preferred scenario was to assume no benefit in morbidity and use the same mRS scores from the trial. </w:t>
      </w:r>
      <w:r w:rsidRPr="0005586D">
        <w:rPr>
          <w:lang w:val="en-GB"/>
        </w:rPr>
        <w:t xml:space="preserve">The committee concluded that differences in the long-term outcomes and utilities for </w:t>
      </w:r>
      <w:r w:rsidR="0095038F">
        <w:rPr>
          <w:lang w:val="en-GB"/>
        </w:rPr>
        <w:t xml:space="preserve">people </w:t>
      </w:r>
      <w:r w:rsidR="002C6992">
        <w:rPr>
          <w:lang w:val="en-GB"/>
        </w:rPr>
        <w:t>after</w:t>
      </w:r>
      <w:r w:rsidR="0095038F">
        <w:rPr>
          <w:lang w:val="en-GB"/>
        </w:rPr>
        <w:t xml:space="preserve"> an </w:t>
      </w:r>
      <w:r w:rsidRPr="0005586D">
        <w:rPr>
          <w:lang w:val="en-GB"/>
        </w:rPr>
        <w:t>ICH</w:t>
      </w:r>
      <w:r w:rsidR="0095038F">
        <w:rPr>
          <w:lang w:val="en-GB"/>
        </w:rPr>
        <w:t>,</w:t>
      </w:r>
      <w:r w:rsidRPr="0005586D">
        <w:rPr>
          <w:lang w:val="en-GB"/>
        </w:rPr>
        <w:t xml:space="preserve"> depending on the treatment </w:t>
      </w:r>
      <w:r w:rsidR="00027397">
        <w:rPr>
          <w:lang w:val="en-GB"/>
        </w:rPr>
        <w:t>they had</w:t>
      </w:r>
      <w:r w:rsidR="0095038F">
        <w:rPr>
          <w:lang w:val="en-GB"/>
        </w:rPr>
        <w:t>,</w:t>
      </w:r>
      <w:r w:rsidR="00027397" w:rsidRPr="0005586D">
        <w:rPr>
          <w:lang w:val="en-GB"/>
        </w:rPr>
        <w:t xml:space="preserve"> </w:t>
      </w:r>
      <w:r w:rsidRPr="0005586D">
        <w:rPr>
          <w:lang w:val="en-GB"/>
        </w:rPr>
        <w:t>are highly uncertain.</w:t>
      </w:r>
    </w:p>
    <w:p w14:paraId="392B269C" w14:textId="0FEA0F81" w:rsidR="00B82A82" w:rsidRPr="0005586D" w:rsidRDefault="008F2090" w:rsidP="00B82A82">
      <w:pPr>
        <w:pStyle w:val="Heading2"/>
      </w:pPr>
      <w:r w:rsidRPr="0005586D">
        <w:t>Cost-effectiveness estimates</w:t>
      </w:r>
    </w:p>
    <w:p w14:paraId="514F9135" w14:textId="32AF9D37" w:rsidR="0055449F" w:rsidRDefault="0055449F" w:rsidP="00AB2C5C">
      <w:pPr>
        <w:pStyle w:val="Heading3"/>
      </w:pPr>
      <w:r>
        <w:t xml:space="preserve">Andexanet alfa </w:t>
      </w:r>
      <w:r w:rsidR="00BB24B8">
        <w:t>is</w:t>
      </w:r>
      <w:r w:rsidR="005B4C95">
        <w:t xml:space="preserve"> likely to be</w:t>
      </w:r>
      <w:r w:rsidR="00CC65BF">
        <w:t xml:space="preserve"> cost effective </w:t>
      </w:r>
      <w:r w:rsidR="00B51E85">
        <w:t>compared with</w:t>
      </w:r>
      <w:r w:rsidR="00CC65BF">
        <w:t xml:space="preserve"> PCC in GI bleeds</w:t>
      </w:r>
      <w:r w:rsidR="001A020B">
        <w:t xml:space="preserve"> </w:t>
      </w:r>
    </w:p>
    <w:p w14:paraId="56D2FC3D" w14:textId="7943CBC8" w:rsidR="00CC65BF" w:rsidRPr="00CC65BF" w:rsidRDefault="00CC65BF" w:rsidP="00CC65BF">
      <w:pPr>
        <w:pStyle w:val="Numberedlevel2text"/>
      </w:pPr>
      <w:r>
        <w:rPr>
          <w:lang w:val="en-GB"/>
        </w:rPr>
        <w:t xml:space="preserve">The committee considered the </w:t>
      </w:r>
      <w:r w:rsidR="006E13E6">
        <w:rPr>
          <w:lang w:val="en-GB"/>
        </w:rPr>
        <w:t xml:space="preserve">company’s and ERG’s </w:t>
      </w:r>
      <w:r>
        <w:rPr>
          <w:lang w:val="en-GB"/>
        </w:rPr>
        <w:t xml:space="preserve">ICERs for </w:t>
      </w:r>
      <w:r w:rsidR="001A020B">
        <w:rPr>
          <w:lang w:val="en-GB"/>
        </w:rPr>
        <w:t xml:space="preserve">the </w:t>
      </w:r>
      <w:r>
        <w:rPr>
          <w:lang w:val="en-GB"/>
        </w:rPr>
        <w:t xml:space="preserve">GI </w:t>
      </w:r>
      <w:r w:rsidR="001A020B">
        <w:rPr>
          <w:lang w:val="en-GB"/>
        </w:rPr>
        <w:t>cohort</w:t>
      </w:r>
      <w:r w:rsidR="006E13E6">
        <w:rPr>
          <w:lang w:val="en-GB"/>
        </w:rPr>
        <w:t>.</w:t>
      </w:r>
      <w:r>
        <w:rPr>
          <w:lang w:val="en-GB"/>
        </w:rPr>
        <w:t xml:space="preserve"> </w:t>
      </w:r>
      <w:r w:rsidR="006E13E6">
        <w:rPr>
          <w:lang w:val="en-GB"/>
        </w:rPr>
        <w:t>D</w:t>
      </w:r>
      <w:r>
        <w:rPr>
          <w:lang w:val="en-GB"/>
        </w:rPr>
        <w:t xml:space="preserve">espite the uncertainty, the committee concluded that ICERs for the GI cohort are </w:t>
      </w:r>
      <w:r w:rsidR="00BB24B8">
        <w:rPr>
          <w:lang w:val="en-GB"/>
        </w:rPr>
        <w:t>likely to be within</w:t>
      </w:r>
      <w:r>
        <w:rPr>
          <w:lang w:val="en-GB"/>
        </w:rPr>
        <w:t xml:space="preserve"> what </w:t>
      </w:r>
      <w:r w:rsidR="00886B17">
        <w:rPr>
          <w:lang w:val="en-GB"/>
        </w:rPr>
        <w:t xml:space="preserve">NICE considers </w:t>
      </w:r>
      <w:r>
        <w:rPr>
          <w:lang w:val="en-GB"/>
        </w:rPr>
        <w:t>a cost-effective use of NHS resources</w:t>
      </w:r>
      <w:r w:rsidR="009760F7">
        <w:rPr>
          <w:lang w:val="en-GB"/>
        </w:rPr>
        <w:t xml:space="preserve">, in a population </w:t>
      </w:r>
      <w:proofErr w:type="gramStart"/>
      <w:r w:rsidR="009760F7">
        <w:rPr>
          <w:lang w:val="en-GB"/>
        </w:rPr>
        <w:t>similar to</w:t>
      </w:r>
      <w:proofErr w:type="gramEnd"/>
      <w:r w:rsidR="009760F7">
        <w:rPr>
          <w:lang w:val="en-GB"/>
        </w:rPr>
        <w:t xml:space="preserve"> the trial population</w:t>
      </w:r>
      <w:r>
        <w:rPr>
          <w:lang w:val="en-GB"/>
        </w:rPr>
        <w:t>.</w:t>
      </w:r>
      <w:r w:rsidR="009760F7">
        <w:rPr>
          <w:lang w:val="en-GB"/>
        </w:rPr>
        <w:t xml:space="preserve"> </w:t>
      </w:r>
    </w:p>
    <w:p w14:paraId="02E61C25" w14:textId="10158AA8" w:rsidR="00AB2C5C" w:rsidRPr="0005586D" w:rsidRDefault="0068714B" w:rsidP="00AB2C5C">
      <w:pPr>
        <w:pStyle w:val="Heading3"/>
      </w:pPr>
      <w:r w:rsidRPr="0005586D">
        <w:t>Andexanet alfa has not been shown to be cost effective</w:t>
      </w:r>
      <w:r w:rsidR="001A5D8D" w:rsidRPr="0005586D">
        <w:t xml:space="preserve"> compared with PCC</w:t>
      </w:r>
      <w:r w:rsidR="00110C95">
        <w:t xml:space="preserve"> in</w:t>
      </w:r>
      <w:r w:rsidR="005A2F58">
        <w:t xml:space="preserve"> </w:t>
      </w:r>
      <w:r w:rsidR="00110C95">
        <w:t xml:space="preserve">ICH </w:t>
      </w:r>
    </w:p>
    <w:p w14:paraId="068A66FB" w14:textId="017FD534" w:rsidR="000F2A2C" w:rsidRPr="009C4FEC" w:rsidRDefault="000F2A2C" w:rsidP="009C2EC8">
      <w:pPr>
        <w:pStyle w:val="Numberedlevel2text"/>
        <w:rPr>
          <w:lang w:val="en-GB"/>
        </w:rPr>
      </w:pPr>
      <w:bookmarkStart w:id="6" w:name="_Hlk36738431"/>
      <w:r w:rsidRPr="0005586D">
        <w:rPr>
          <w:lang w:val="en-GB"/>
        </w:rPr>
        <w:t xml:space="preserve">The committee </w:t>
      </w:r>
      <w:r w:rsidR="00D8537B">
        <w:rPr>
          <w:lang w:val="en-GB"/>
        </w:rPr>
        <w:t>noted</w:t>
      </w:r>
      <w:r w:rsidR="00694F68">
        <w:rPr>
          <w:lang w:val="en-GB"/>
        </w:rPr>
        <w:t xml:space="preserve"> that there was heterogeneity in the ICH cohort and</w:t>
      </w:r>
      <w:r w:rsidR="00D8537B">
        <w:rPr>
          <w:lang w:val="en-GB"/>
        </w:rPr>
        <w:t xml:space="preserve"> that the </w:t>
      </w:r>
      <w:r w:rsidR="00BB24B8">
        <w:rPr>
          <w:lang w:val="en-GB"/>
        </w:rPr>
        <w:t xml:space="preserve">extent </w:t>
      </w:r>
      <w:r w:rsidR="00D8537B">
        <w:rPr>
          <w:lang w:val="en-GB"/>
        </w:rPr>
        <w:t>of</w:t>
      </w:r>
      <w:r w:rsidR="00C80F20">
        <w:rPr>
          <w:lang w:val="en-GB"/>
        </w:rPr>
        <w:t xml:space="preserve"> clinical</w:t>
      </w:r>
      <w:r w:rsidR="00D8537B">
        <w:rPr>
          <w:lang w:val="en-GB"/>
        </w:rPr>
        <w:t xml:space="preserve"> benefit</w:t>
      </w:r>
      <w:r w:rsidR="00110C95">
        <w:rPr>
          <w:lang w:val="en-GB"/>
        </w:rPr>
        <w:t xml:space="preserve"> for ICH</w:t>
      </w:r>
      <w:r w:rsidR="00D8537B">
        <w:rPr>
          <w:lang w:val="en-GB"/>
        </w:rPr>
        <w:t xml:space="preserve"> </w:t>
      </w:r>
      <w:r w:rsidR="00CB2DDA">
        <w:rPr>
          <w:lang w:val="en-GB"/>
        </w:rPr>
        <w:t xml:space="preserve">was </w:t>
      </w:r>
      <w:r w:rsidR="00D8537B">
        <w:rPr>
          <w:lang w:val="en-GB"/>
        </w:rPr>
        <w:t>uncertain</w:t>
      </w:r>
      <w:r w:rsidR="00BB24B8">
        <w:rPr>
          <w:lang w:val="en-GB"/>
        </w:rPr>
        <w:t>. T</w:t>
      </w:r>
      <w:r w:rsidR="00D8537B">
        <w:rPr>
          <w:lang w:val="en-GB"/>
        </w:rPr>
        <w:t>herefore, the most plausible ICER</w:t>
      </w:r>
      <w:r w:rsidR="00BB24B8">
        <w:rPr>
          <w:lang w:val="en-GB"/>
        </w:rPr>
        <w:t>s</w:t>
      </w:r>
      <w:r w:rsidR="00110C95">
        <w:rPr>
          <w:lang w:val="en-GB"/>
        </w:rPr>
        <w:t xml:space="preserve"> for ICH</w:t>
      </w:r>
      <w:r w:rsidR="00D8537B">
        <w:rPr>
          <w:lang w:val="en-GB"/>
        </w:rPr>
        <w:t xml:space="preserve"> were uncertain</w:t>
      </w:r>
      <w:bookmarkEnd w:id="6"/>
      <w:r w:rsidR="00D8537B">
        <w:rPr>
          <w:lang w:val="en-GB"/>
        </w:rPr>
        <w:t xml:space="preserve">. </w:t>
      </w:r>
      <w:r w:rsidR="00CD7FE2">
        <w:rPr>
          <w:lang w:val="en-GB"/>
        </w:rPr>
        <w:t>The company’s</w:t>
      </w:r>
      <w:r w:rsidRPr="0005586D">
        <w:rPr>
          <w:lang w:val="en-GB"/>
        </w:rPr>
        <w:t xml:space="preserve"> ICER </w:t>
      </w:r>
      <w:r w:rsidR="00110C95">
        <w:rPr>
          <w:lang w:val="en-GB"/>
        </w:rPr>
        <w:t>was</w:t>
      </w:r>
      <w:r w:rsidRPr="0005586D">
        <w:rPr>
          <w:lang w:val="en-GB"/>
        </w:rPr>
        <w:t xml:space="preserve"> within the range</w:t>
      </w:r>
      <w:r w:rsidR="00886B17">
        <w:rPr>
          <w:lang w:val="en-GB"/>
        </w:rPr>
        <w:t xml:space="preserve"> NICE</w:t>
      </w:r>
      <w:r w:rsidRPr="0005586D">
        <w:rPr>
          <w:lang w:val="en-GB"/>
        </w:rPr>
        <w:t xml:space="preserve"> normally </w:t>
      </w:r>
      <w:r w:rsidR="00886B17" w:rsidRPr="0005586D">
        <w:rPr>
          <w:lang w:val="en-GB"/>
        </w:rPr>
        <w:t>consider</w:t>
      </w:r>
      <w:r w:rsidR="00886B17">
        <w:rPr>
          <w:lang w:val="en-GB"/>
        </w:rPr>
        <w:t>s</w:t>
      </w:r>
      <w:r w:rsidR="00886B17" w:rsidRPr="0005586D">
        <w:rPr>
          <w:lang w:val="en-GB"/>
        </w:rPr>
        <w:t xml:space="preserve"> </w:t>
      </w:r>
      <w:r w:rsidRPr="0005586D">
        <w:rPr>
          <w:lang w:val="en-GB"/>
        </w:rPr>
        <w:t>a cost-effective use of NHS resources. However, the committee</w:t>
      </w:r>
      <w:r w:rsidR="00CD7FE2">
        <w:rPr>
          <w:lang w:val="en-GB"/>
        </w:rPr>
        <w:t xml:space="preserve"> </w:t>
      </w:r>
      <w:r w:rsidRPr="0005586D">
        <w:rPr>
          <w:lang w:val="en-GB"/>
        </w:rPr>
        <w:t xml:space="preserve">had concerns </w:t>
      </w:r>
      <w:r w:rsidR="00CD7FE2">
        <w:rPr>
          <w:lang w:val="en-GB"/>
        </w:rPr>
        <w:t>about</w:t>
      </w:r>
      <w:r w:rsidR="00CD7FE2" w:rsidRPr="0005586D">
        <w:rPr>
          <w:lang w:val="en-GB"/>
        </w:rPr>
        <w:t xml:space="preserve"> </w:t>
      </w:r>
      <w:r w:rsidRPr="0005586D">
        <w:rPr>
          <w:lang w:val="en-GB"/>
        </w:rPr>
        <w:t>the methods and assumptions used in the model</w:t>
      </w:r>
      <w:r w:rsidR="005A2F58">
        <w:rPr>
          <w:lang w:val="en-GB"/>
        </w:rPr>
        <w:t>,</w:t>
      </w:r>
      <w:r w:rsidR="002C6992">
        <w:rPr>
          <w:lang w:val="en-GB"/>
        </w:rPr>
        <w:t xml:space="preserve"> </w:t>
      </w:r>
      <w:r w:rsidR="00110C95">
        <w:rPr>
          <w:lang w:val="en-GB"/>
        </w:rPr>
        <w:t xml:space="preserve">particularly </w:t>
      </w:r>
      <w:r w:rsidRPr="0005586D">
        <w:rPr>
          <w:lang w:val="en-GB"/>
        </w:rPr>
        <w:t xml:space="preserve">the assumption </w:t>
      </w:r>
      <w:r w:rsidR="00CD7FE2">
        <w:rPr>
          <w:lang w:val="en-GB"/>
        </w:rPr>
        <w:t>of</w:t>
      </w:r>
      <w:r w:rsidR="00CD7FE2" w:rsidRPr="0005586D">
        <w:rPr>
          <w:lang w:val="en-GB"/>
        </w:rPr>
        <w:t xml:space="preserve"> </w:t>
      </w:r>
      <w:r w:rsidR="00A646BC" w:rsidRPr="0005586D">
        <w:rPr>
          <w:lang w:val="en-GB"/>
        </w:rPr>
        <w:t xml:space="preserve">a </w:t>
      </w:r>
      <w:r w:rsidRPr="0005586D">
        <w:rPr>
          <w:lang w:val="en-GB"/>
        </w:rPr>
        <w:t xml:space="preserve">benefit </w:t>
      </w:r>
      <w:r w:rsidR="003B472D">
        <w:rPr>
          <w:lang w:val="en-GB"/>
        </w:rPr>
        <w:t>from andexanet alfa on</w:t>
      </w:r>
      <w:r w:rsidR="00CD7FE2" w:rsidRPr="0005586D">
        <w:rPr>
          <w:lang w:val="en-GB"/>
        </w:rPr>
        <w:t xml:space="preserve"> </w:t>
      </w:r>
      <w:r w:rsidRPr="0005586D">
        <w:rPr>
          <w:lang w:val="en-GB"/>
        </w:rPr>
        <w:t xml:space="preserve">long-term disability </w:t>
      </w:r>
      <w:r w:rsidR="002C6992">
        <w:rPr>
          <w:lang w:val="en-GB"/>
        </w:rPr>
        <w:t>after</w:t>
      </w:r>
      <w:r w:rsidR="003B472D">
        <w:rPr>
          <w:lang w:val="en-GB"/>
        </w:rPr>
        <w:t xml:space="preserve"> an </w:t>
      </w:r>
      <w:r w:rsidRPr="0005586D">
        <w:rPr>
          <w:lang w:val="en-GB"/>
        </w:rPr>
        <w:t>ICH</w:t>
      </w:r>
      <w:r w:rsidR="00CB2DDA">
        <w:rPr>
          <w:lang w:val="en-GB"/>
        </w:rPr>
        <w:t xml:space="preserve"> </w:t>
      </w:r>
      <w:bookmarkStart w:id="7" w:name="_Hlk36738477"/>
      <w:r w:rsidR="00CB2DDA">
        <w:rPr>
          <w:lang w:val="en-GB"/>
        </w:rPr>
        <w:t xml:space="preserve">that </w:t>
      </w:r>
      <w:r w:rsidR="00FB5A61" w:rsidRPr="0005586D">
        <w:rPr>
          <w:lang w:val="en-GB"/>
        </w:rPr>
        <w:t>had not been adequately justified or evidenced</w:t>
      </w:r>
      <w:bookmarkEnd w:id="7"/>
      <w:r w:rsidRPr="0005586D">
        <w:rPr>
          <w:lang w:val="en-GB"/>
        </w:rPr>
        <w:t>.</w:t>
      </w:r>
      <w:r w:rsidR="00096F5B">
        <w:rPr>
          <w:lang w:val="en-GB"/>
        </w:rPr>
        <w:t xml:space="preserve"> The committee was concerned that it was unclear</w:t>
      </w:r>
      <w:r w:rsidR="007E47A1">
        <w:rPr>
          <w:lang w:val="en-GB"/>
        </w:rPr>
        <w:t xml:space="preserve"> if people </w:t>
      </w:r>
      <w:r w:rsidR="00B80C04">
        <w:rPr>
          <w:lang w:val="en-GB"/>
        </w:rPr>
        <w:t xml:space="preserve">who had </w:t>
      </w:r>
      <w:proofErr w:type="spellStart"/>
      <w:r w:rsidR="007E47A1">
        <w:rPr>
          <w:lang w:val="en-GB"/>
        </w:rPr>
        <w:t>andexanet</w:t>
      </w:r>
      <w:proofErr w:type="spellEnd"/>
      <w:r w:rsidR="007E47A1">
        <w:rPr>
          <w:lang w:val="en-GB"/>
        </w:rPr>
        <w:t xml:space="preserve"> alfa would</w:t>
      </w:r>
      <w:r w:rsidR="003119FE">
        <w:rPr>
          <w:lang w:val="en-GB"/>
        </w:rPr>
        <w:t xml:space="preserve"> make a good recovery</w:t>
      </w:r>
      <w:r w:rsidR="007E47A1">
        <w:rPr>
          <w:lang w:val="en-GB"/>
        </w:rPr>
        <w:t>, or whether they would be severely disabled.</w:t>
      </w:r>
      <w:r w:rsidR="00096F5B">
        <w:rPr>
          <w:lang w:val="en-GB"/>
        </w:rPr>
        <w:t xml:space="preserve"> </w:t>
      </w:r>
      <w:r w:rsidR="00110C95">
        <w:rPr>
          <w:lang w:val="en-GB"/>
        </w:rPr>
        <w:t>The</w:t>
      </w:r>
      <w:r w:rsidR="005A2F58">
        <w:rPr>
          <w:lang w:val="en-GB"/>
        </w:rPr>
        <w:t xml:space="preserve"> committee considered the</w:t>
      </w:r>
      <w:r w:rsidR="00110C95">
        <w:rPr>
          <w:lang w:val="en-GB"/>
        </w:rPr>
        <w:t xml:space="preserve"> ERG’s updated base</w:t>
      </w:r>
      <w:r w:rsidR="000C4772">
        <w:rPr>
          <w:lang w:val="en-GB"/>
        </w:rPr>
        <w:t xml:space="preserve"> </w:t>
      </w:r>
      <w:r w:rsidR="00110C95">
        <w:rPr>
          <w:lang w:val="en-GB"/>
        </w:rPr>
        <w:t xml:space="preserve">case </w:t>
      </w:r>
      <w:r w:rsidR="005A2F58">
        <w:rPr>
          <w:lang w:val="en-GB"/>
        </w:rPr>
        <w:t>for the ICH cohort</w:t>
      </w:r>
      <w:r w:rsidR="000C4772">
        <w:rPr>
          <w:lang w:val="en-GB"/>
        </w:rPr>
        <w:t>,</w:t>
      </w:r>
      <w:r w:rsidR="005A2F58">
        <w:rPr>
          <w:lang w:val="en-GB"/>
        </w:rPr>
        <w:t xml:space="preserve"> </w:t>
      </w:r>
      <w:r w:rsidR="0077205A">
        <w:rPr>
          <w:lang w:val="en-GB"/>
        </w:rPr>
        <w:t>which resulted in a higher ICER</w:t>
      </w:r>
      <w:r w:rsidR="00110C95">
        <w:rPr>
          <w:lang w:val="en-GB"/>
        </w:rPr>
        <w:t>.</w:t>
      </w:r>
      <w:r w:rsidR="001A5D8D" w:rsidRPr="0005586D">
        <w:rPr>
          <w:lang w:val="en-GB"/>
        </w:rPr>
        <w:t xml:space="preserve"> </w:t>
      </w:r>
      <w:r w:rsidRPr="0005586D">
        <w:rPr>
          <w:lang w:val="en-GB"/>
        </w:rPr>
        <w:t xml:space="preserve">Therefore, </w:t>
      </w:r>
      <w:r w:rsidR="007939F7" w:rsidRPr="0005586D">
        <w:rPr>
          <w:lang w:val="en-GB"/>
        </w:rPr>
        <w:t>the committee</w:t>
      </w:r>
      <w:r w:rsidRPr="0005586D">
        <w:rPr>
          <w:lang w:val="en-GB"/>
        </w:rPr>
        <w:t xml:space="preserve"> was not confident that the results</w:t>
      </w:r>
      <w:r w:rsidR="00110C95">
        <w:rPr>
          <w:lang w:val="en-GB"/>
        </w:rPr>
        <w:t xml:space="preserve"> for ICH</w:t>
      </w:r>
      <w:r w:rsidRPr="0005586D">
        <w:rPr>
          <w:lang w:val="en-GB"/>
        </w:rPr>
        <w:t xml:space="preserve"> were robust. </w:t>
      </w:r>
      <w:r w:rsidR="000C4772">
        <w:rPr>
          <w:lang w:val="en-GB"/>
        </w:rPr>
        <w:t>It</w:t>
      </w:r>
      <w:r w:rsidRPr="0005586D">
        <w:rPr>
          <w:lang w:val="en-GB"/>
        </w:rPr>
        <w:t xml:space="preserve"> recognised the need for </w:t>
      </w:r>
      <w:r w:rsidR="00E47B7D">
        <w:rPr>
          <w:lang w:val="en-GB"/>
        </w:rPr>
        <w:t xml:space="preserve">an </w:t>
      </w:r>
      <w:r w:rsidRPr="0005586D">
        <w:rPr>
          <w:lang w:val="en-GB"/>
        </w:rPr>
        <w:t xml:space="preserve">effective reversal agent </w:t>
      </w:r>
      <w:r w:rsidR="00E47B7D">
        <w:rPr>
          <w:lang w:val="en-GB"/>
        </w:rPr>
        <w:t>for</w:t>
      </w:r>
      <w:r w:rsidR="00E47B7D" w:rsidRPr="0005586D">
        <w:rPr>
          <w:lang w:val="en-GB"/>
        </w:rPr>
        <w:t xml:space="preserve"> </w:t>
      </w:r>
      <w:r w:rsidR="003B472D">
        <w:rPr>
          <w:lang w:val="en-GB"/>
        </w:rPr>
        <w:t>direct factor</w:t>
      </w:r>
      <w:r w:rsidR="00E47B7D">
        <w:rPr>
          <w:lang w:val="en-GB"/>
        </w:rPr>
        <w:t> </w:t>
      </w:r>
      <w:r w:rsidR="007939F7" w:rsidRPr="0005586D">
        <w:rPr>
          <w:lang w:val="en-GB"/>
        </w:rPr>
        <w:t>Xa inhibitors</w:t>
      </w:r>
      <w:r w:rsidR="005A20E0">
        <w:rPr>
          <w:lang w:val="en-GB"/>
        </w:rPr>
        <w:t>, such as apixaban and rivaroxaban,</w:t>
      </w:r>
      <w:r w:rsidR="00ED2D58" w:rsidRPr="0005586D">
        <w:rPr>
          <w:lang w:val="en-GB"/>
        </w:rPr>
        <w:t xml:space="preserve"> </w:t>
      </w:r>
      <w:r w:rsidRPr="0005586D">
        <w:rPr>
          <w:lang w:val="en-GB"/>
        </w:rPr>
        <w:t>in</w:t>
      </w:r>
      <w:r w:rsidR="00FB5A61" w:rsidRPr="0005586D">
        <w:rPr>
          <w:lang w:val="en-GB"/>
        </w:rPr>
        <w:t xml:space="preserve"> </w:t>
      </w:r>
      <w:r w:rsidR="00E47B7D">
        <w:rPr>
          <w:lang w:val="en-GB"/>
        </w:rPr>
        <w:t xml:space="preserve">people with </w:t>
      </w:r>
      <w:r w:rsidR="005A20E0">
        <w:rPr>
          <w:lang w:val="en-GB"/>
        </w:rPr>
        <w:t xml:space="preserve">uncontrolled or </w:t>
      </w:r>
      <w:r w:rsidRPr="0005586D">
        <w:rPr>
          <w:lang w:val="en-GB"/>
        </w:rPr>
        <w:t xml:space="preserve">life-threatening </w:t>
      </w:r>
      <w:r w:rsidR="005A2F58">
        <w:rPr>
          <w:lang w:val="en-GB"/>
        </w:rPr>
        <w:t>ICH</w:t>
      </w:r>
      <w:r w:rsidRPr="0005586D">
        <w:rPr>
          <w:lang w:val="en-GB"/>
        </w:rPr>
        <w:t xml:space="preserve">. However, </w:t>
      </w:r>
      <w:r w:rsidRPr="0005586D">
        <w:rPr>
          <w:lang w:val="en-GB"/>
        </w:rPr>
        <w:lastRenderedPageBreak/>
        <w:t>it was not convinced that andexanet alfa had been shown to be a cost-effective use of NHS resources</w:t>
      </w:r>
      <w:r w:rsidR="005A2F58">
        <w:rPr>
          <w:lang w:val="en-GB"/>
        </w:rPr>
        <w:t xml:space="preserve"> </w:t>
      </w:r>
      <w:r w:rsidR="005B4C95">
        <w:rPr>
          <w:lang w:val="en-GB"/>
        </w:rPr>
        <w:t>for</w:t>
      </w:r>
      <w:r w:rsidR="005A2F58">
        <w:rPr>
          <w:lang w:val="en-GB"/>
        </w:rPr>
        <w:t xml:space="preserve"> ICH</w:t>
      </w:r>
      <w:r w:rsidRPr="0005586D">
        <w:rPr>
          <w:lang w:val="en-GB"/>
        </w:rPr>
        <w:t xml:space="preserve">. </w:t>
      </w:r>
    </w:p>
    <w:p w14:paraId="5DC38668" w14:textId="0AD2C0FF" w:rsidR="005A2F58" w:rsidRDefault="005A2F58" w:rsidP="005A2F58">
      <w:pPr>
        <w:pStyle w:val="Heading3"/>
      </w:pPr>
      <w:r>
        <w:t xml:space="preserve">Andexanet alfa has not been shown to be cost effective </w:t>
      </w:r>
      <w:r w:rsidR="000B3775">
        <w:t xml:space="preserve">compared with PCC for </w:t>
      </w:r>
      <w:r>
        <w:t>‘other major bleeds’</w:t>
      </w:r>
    </w:p>
    <w:p w14:paraId="2861C9F0" w14:textId="0DC937A0" w:rsidR="005A2F58" w:rsidRDefault="005A2F58" w:rsidP="00FB7E5F">
      <w:pPr>
        <w:pStyle w:val="Numberedlevel2text"/>
        <w:rPr>
          <w:lang w:val="en-GB"/>
        </w:rPr>
      </w:pPr>
      <w:r>
        <w:rPr>
          <w:lang w:val="en-GB"/>
        </w:rPr>
        <w:t xml:space="preserve">The committee noted that the </w:t>
      </w:r>
      <w:r w:rsidR="00A10A76">
        <w:rPr>
          <w:lang w:val="en-GB"/>
        </w:rPr>
        <w:t>indirect treatment comparison</w:t>
      </w:r>
      <w:r>
        <w:rPr>
          <w:lang w:val="en-GB"/>
        </w:rPr>
        <w:t xml:space="preserve"> for </w:t>
      </w:r>
      <w:r w:rsidR="00B31612">
        <w:rPr>
          <w:lang w:val="en-GB"/>
        </w:rPr>
        <w:t>‘</w:t>
      </w:r>
      <w:r>
        <w:rPr>
          <w:lang w:val="en-GB"/>
        </w:rPr>
        <w:t>other major bleed</w:t>
      </w:r>
      <w:r w:rsidR="00A10A76">
        <w:rPr>
          <w:lang w:val="en-GB"/>
        </w:rPr>
        <w:t>s</w:t>
      </w:r>
      <w:r w:rsidR="00B31612">
        <w:rPr>
          <w:lang w:val="en-GB"/>
        </w:rPr>
        <w:t>’</w:t>
      </w:r>
      <w:r>
        <w:rPr>
          <w:lang w:val="en-GB"/>
        </w:rPr>
        <w:t xml:space="preserve"> </w:t>
      </w:r>
      <w:r w:rsidR="008F6D91">
        <w:rPr>
          <w:lang w:val="en-GB"/>
        </w:rPr>
        <w:t xml:space="preserve">showed </w:t>
      </w:r>
      <w:r>
        <w:rPr>
          <w:lang w:val="en-GB"/>
        </w:rPr>
        <w:t xml:space="preserve">that mortality was worse with andexanet alfa than PCC. </w:t>
      </w:r>
      <w:r w:rsidR="008F6D91">
        <w:rPr>
          <w:lang w:val="en-GB"/>
        </w:rPr>
        <w:t>Also</w:t>
      </w:r>
      <w:r>
        <w:rPr>
          <w:lang w:val="en-GB"/>
        </w:rPr>
        <w:t xml:space="preserve">, </w:t>
      </w:r>
      <w:bookmarkStart w:id="8" w:name="_Hlk49855923"/>
      <w:r>
        <w:rPr>
          <w:lang w:val="en-GB"/>
        </w:rPr>
        <w:t xml:space="preserve">the company’s assumptions on a potential morbidity benefit were not </w:t>
      </w:r>
      <w:r w:rsidR="00A10A76">
        <w:rPr>
          <w:lang w:val="en-GB"/>
        </w:rPr>
        <w:t>supported by evidence</w:t>
      </w:r>
      <w:r>
        <w:rPr>
          <w:lang w:val="en-GB"/>
        </w:rPr>
        <w:t xml:space="preserve">. </w:t>
      </w:r>
      <w:bookmarkEnd w:id="8"/>
      <w:r w:rsidR="00A10A76">
        <w:rPr>
          <w:lang w:val="en-GB"/>
        </w:rPr>
        <w:t xml:space="preserve">Therefore, the committee considered that the ICERs for ‘other major bleeds’ were very uncertain and that andexanet alfa had not been shown to be a cost-effective use of NHS resources </w:t>
      </w:r>
      <w:r w:rsidR="00C96746">
        <w:rPr>
          <w:lang w:val="en-GB"/>
        </w:rPr>
        <w:t>for</w:t>
      </w:r>
      <w:r w:rsidR="00A10A76">
        <w:rPr>
          <w:lang w:val="en-GB"/>
        </w:rPr>
        <w:t xml:space="preserve"> ‘other major bleeds’. </w:t>
      </w:r>
    </w:p>
    <w:p w14:paraId="49D15277" w14:textId="306E6062" w:rsidR="00C16123" w:rsidRPr="002E6FD1" w:rsidRDefault="00C16123" w:rsidP="00C16123">
      <w:pPr>
        <w:pStyle w:val="Heading2"/>
      </w:pPr>
      <w:r w:rsidRPr="00845991">
        <w:t xml:space="preserve">Other </w:t>
      </w:r>
      <w:r w:rsidR="00980197" w:rsidRPr="00845991">
        <w:t>considerations</w:t>
      </w:r>
    </w:p>
    <w:p w14:paraId="4E1FE6DF" w14:textId="0AE57CB2" w:rsidR="00813E6C" w:rsidRDefault="00813E6C" w:rsidP="00813E6C">
      <w:pPr>
        <w:pStyle w:val="Heading3"/>
      </w:pPr>
      <w:r>
        <w:t>Equalit</w:t>
      </w:r>
      <w:r w:rsidR="002E2457">
        <w:t>ie</w:t>
      </w:r>
      <w:r>
        <w:t>s</w:t>
      </w:r>
    </w:p>
    <w:p w14:paraId="39030327" w14:textId="67C491E5" w:rsidR="00C16123" w:rsidRPr="00C16123" w:rsidRDefault="008F6D91" w:rsidP="00813E6C">
      <w:pPr>
        <w:pStyle w:val="Numberedlevel2text"/>
      </w:pPr>
      <w:r>
        <w:rPr>
          <w:lang w:val="en-GB"/>
        </w:rPr>
        <w:t>T</w:t>
      </w:r>
      <w:r w:rsidR="00694F68">
        <w:rPr>
          <w:lang w:val="en-GB"/>
        </w:rPr>
        <w:t>he committee</w:t>
      </w:r>
      <w:r>
        <w:rPr>
          <w:lang w:val="en-GB"/>
        </w:rPr>
        <w:t xml:space="preserve"> noted an equality concern</w:t>
      </w:r>
      <w:r w:rsidR="000B3775">
        <w:rPr>
          <w:lang w:val="en-GB"/>
        </w:rPr>
        <w:t>. S</w:t>
      </w:r>
      <w:proofErr w:type="spellStart"/>
      <w:r w:rsidR="00C16123">
        <w:t>ome</w:t>
      </w:r>
      <w:proofErr w:type="spellEnd"/>
      <w:r w:rsidR="00C16123">
        <w:t xml:space="preserve"> people </w:t>
      </w:r>
      <w:r w:rsidR="00AD5810">
        <w:rPr>
          <w:lang w:val="en-GB"/>
        </w:rPr>
        <w:t xml:space="preserve">do not accept </w:t>
      </w:r>
      <w:r w:rsidR="00F85E72">
        <w:rPr>
          <w:lang w:val="en-GB"/>
        </w:rPr>
        <w:t>blood products</w:t>
      </w:r>
      <w:r w:rsidR="000B3775">
        <w:rPr>
          <w:lang w:val="en-GB"/>
        </w:rPr>
        <w:t>,</w:t>
      </w:r>
      <w:r w:rsidR="00AD5810">
        <w:rPr>
          <w:lang w:val="en-GB"/>
        </w:rPr>
        <w:t xml:space="preserve"> </w:t>
      </w:r>
      <w:r w:rsidR="000B3775">
        <w:rPr>
          <w:lang w:val="en-GB"/>
        </w:rPr>
        <w:t>so</w:t>
      </w:r>
      <w:r w:rsidR="00F85E72">
        <w:rPr>
          <w:lang w:val="en-GB"/>
        </w:rPr>
        <w:t xml:space="preserve"> would be unable to </w:t>
      </w:r>
      <w:r w:rsidR="00C7629E">
        <w:rPr>
          <w:lang w:val="en-GB"/>
        </w:rPr>
        <w:t xml:space="preserve">have </w:t>
      </w:r>
      <w:r w:rsidR="00F85E72">
        <w:rPr>
          <w:lang w:val="en-GB"/>
        </w:rPr>
        <w:t>PCC</w:t>
      </w:r>
      <w:r w:rsidR="00C16123">
        <w:t>.</w:t>
      </w:r>
      <w:r w:rsidR="00637921">
        <w:rPr>
          <w:lang w:val="en-US"/>
        </w:rPr>
        <w:t xml:space="preserve"> The committee </w:t>
      </w:r>
      <w:r w:rsidR="00886B17">
        <w:rPr>
          <w:lang w:val="en-US"/>
        </w:rPr>
        <w:t>noted</w:t>
      </w:r>
      <w:r w:rsidR="00637921">
        <w:rPr>
          <w:lang w:val="en-US"/>
        </w:rPr>
        <w:t xml:space="preserve"> that PCC is</w:t>
      </w:r>
      <w:r w:rsidR="00410248">
        <w:t xml:space="preserve"> not an established treatment </w:t>
      </w:r>
      <w:r w:rsidR="00410248">
        <w:rPr>
          <w:lang w:val="en-US"/>
        </w:rPr>
        <w:t>for</w:t>
      </w:r>
      <w:r w:rsidR="00410248">
        <w:t xml:space="preserve"> revers</w:t>
      </w:r>
      <w:r w:rsidR="00410248">
        <w:rPr>
          <w:lang w:val="en-US"/>
        </w:rPr>
        <w:t xml:space="preserve">ing </w:t>
      </w:r>
      <w:r w:rsidR="00410248">
        <w:t>anticoagulation</w:t>
      </w:r>
      <w:r w:rsidR="00410248">
        <w:rPr>
          <w:lang w:val="en-US"/>
        </w:rPr>
        <w:t xml:space="preserve"> with </w:t>
      </w:r>
      <w:r w:rsidR="00410248">
        <w:t>apixaban or rivaroxaban</w:t>
      </w:r>
      <w:r w:rsidR="00685D5A">
        <w:rPr>
          <w:lang w:val="en-US"/>
        </w:rPr>
        <w:t xml:space="preserve">. The committee also </w:t>
      </w:r>
      <w:r w:rsidR="00733540">
        <w:rPr>
          <w:lang w:val="en-US"/>
        </w:rPr>
        <w:t xml:space="preserve">noted </w:t>
      </w:r>
      <w:r w:rsidR="00685D5A">
        <w:rPr>
          <w:lang w:val="en-US"/>
        </w:rPr>
        <w:t xml:space="preserve">that the company </w:t>
      </w:r>
      <w:r w:rsidR="005B0378">
        <w:rPr>
          <w:lang w:val="en-GB"/>
        </w:rPr>
        <w:t xml:space="preserve">used data from people who had PCC in the </w:t>
      </w:r>
      <w:r w:rsidR="005B0378" w:rsidRPr="0005586D">
        <w:rPr>
          <w:lang w:val="en-GB"/>
        </w:rPr>
        <w:t>ORANGE study</w:t>
      </w:r>
      <w:r w:rsidR="005B0378">
        <w:rPr>
          <w:lang w:val="en-GB"/>
        </w:rPr>
        <w:t xml:space="preserve"> for its indirect treatment comparison</w:t>
      </w:r>
      <w:r w:rsidR="00886B17">
        <w:rPr>
          <w:lang w:val="en-GB"/>
        </w:rPr>
        <w:t>. This was</w:t>
      </w:r>
      <w:r w:rsidR="005B0378">
        <w:rPr>
          <w:lang w:val="en-GB"/>
        </w:rPr>
        <w:t xml:space="preserve"> because this group was thought to</w:t>
      </w:r>
      <w:r w:rsidR="00C16577">
        <w:rPr>
          <w:lang w:val="en-GB"/>
        </w:rPr>
        <w:t xml:space="preserve"> better</w:t>
      </w:r>
      <w:r w:rsidR="005B0378">
        <w:rPr>
          <w:lang w:val="en-GB"/>
        </w:rPr>
        <w:t xml:space="preserve"> represent</w:t>
      </w:r>
      <w:r w:rsidR="00C16577">
        <w:rPr>
          <w:lang w:val="en-GB"/>
        </w:rPr>
        <w:t xml:space="preserve"> the population who would </w:t>
      </w:r>
      <w:r w:rsidR="00E76FF9">
        <w:rPr>
          <w:lang w:val="en-GB"/>
        </w:rPr>
        <w:t xml:space="preserve">have </w:t>
      </w:r>
      <w:proofErr w:type="spellStart"/>
      <w:r w:rsidR="00C16577">
        <w:rPr>
          <w:lang w:val="en-GB"/>
        </w:rPr>
        <w:t>andexanet</w:t>
      </w:r>
      <w:proofErr w:type="spellEnd"/>
      <w:r w:rsidR="00C16577">
        <w:rPr>
          <w:lang w:val="en-GB"/>
        </w:rPr>
        <w:t xml:space="preserve"> alfa</w:t>
      </w:r>
      <w:r w:rsidR="00E76FF9">
        <w:rPr>
          <w:lang w:val="en-GB"/>
        </w:rPr>
        <w:t xml:space="preserve">, </w:t>
      </w:r>
      <w:r w:rsidR="00E76FF9">
        <w:rPr>
          <w:lang w:val="en-US"/>
        </w:rPr>
        <w:t>not</w:t>
      </w:r>
      <w:r w:rsidR="00C16577">
        <w:rPr>
          <w:lang w:val="en-US"/>
        </w:rPr>
        <w:t xml:space="preserve"> because of an expectation that all people with </w:t>
      </w:r>
      <w:r w:rsidR="00C16577">
        <w:t>life-threatening or uncontrolled bleeds</w:t>
      </w:r>
      <w:r w:rsidR="00C16577">
        <w:rPr>
          <w:lang w:val="en-US"/>
        </w:rPr>
        <w:t xml:space="preserve"> would </w:t>
      </w:r>
      <w:r w:rsidR="00E76FF9">
        <w:rPr>
          <w:lang w:val="en-US"/>
        </w:rPr>
        <w:t xml:space="preserve">have </w:t>
      </w:r>
      <w:r w:rsidR="00C16577">
        <w:rPr>
          <w:lang w:val="en-US"/>
        </w:rPr>
        <w:t>PCC</w:t>
      </w:r>
      <w:r w:rsidR="005B0378">
        <w:rPr>
          <w:lang w:val="en-GB"/>
        </w:rPr>
        <w:t>.</w:t>
      </w:r>
      <w:r w:rsidR="00C16577">
        <w:rPr>
          <w:lang w:val="en-GB"/>
        </w:rPr>
        <w:t xml:space="preserve"> </w:t>
      </w:r>
      <w:r w:rsidR="00685D5A">
        <w:rPr>
          <w:lang w:val="en-US"/>
        </w:rPr>
        <w:t xml:space="preserve">The </w:t>
      </w:r>
      <w:r w:rsidR="00C16577">
        <w:rPr>
          <w:lang w:val="en-US"/>
        </w:rPr>
        <w:t xml:space="preserve">committee concluded that </w:t>
      </w:r>
      <w:r w:rsidR="00685D5A">
        <w:rPr>
          <w:lang w:val="en-US"/>
        </w:rPr>
        <w:t xml:space="preserve">uncertainty about the effectiveness of </w:t>
      </w:r>
      <w:r w:rsidR="00C16577">
        <w:rPr>
          <w:lang w:val="en-US"/>
        </w:rPr>
        <w:t xml:space="preserve">andexanet </w:t>
      </w:r>
      <w:r w:rsidR="00E76FF9">
        <w:rPr>
          <w:lang w:val="en-US"/>
        </w:rPr>
        <w:t xml:space="preserve">alfa </w:t>
      </w:r>
      <w:r w:rsidR="00C16577">
        <w:rPr>
          <w:lang w:val="en-US"/>
        </w:rPr>
        <w:t>applied equally to people who would not have PCC</w:t>
      </w:r>
      <w:r w:rsidR="00E76FF9">
        <w:rPr>
          <w:lang w:val="en-US"/>
        </w:rPr>
        <w:t xml:space="preserve">, therefore </w:t>
      </w:r>
      <w:r w:rsidR="00C16577" w:rsidRPr="00C16577">
        <w:rPr>
          <w:lang w:val="en-US"/>
        </w:rPr>
        <w:t xml:space="preserve">there was no need to alter </w:t>
      </w:r>
      <w:r w:rsidR="00C16577">
        <w:rPr>
          <w:lang w:val="en-US"/>
        </w:rPr>
        <w:t>its</w:t>
      </w:r>
      <w:r w:rsidR="00C16577" w:rsidRPr="00C16577">
        <w:rPr>
          <w:lang w:val="en-US"/>
        </w:rPr>
        <w:t xml:space="preserve"> recommendatio</w:t>
      </w:r>
      <w:r w:rsidR="00365246">
        <w:rPr>
          <w:lang w:val="en-US"/>
        </w:rPr>
        <w:t>n</w:t>
      </w:r>
      <w:r w:rsidR="00C16577">
        <w:rPr>
          <w:lang w:val="en-US"/>
        </w:rPr>
        <w:t>.</w:t>
      </w:r>
    </w:p>
    <w:p w14:paraId="29F3040A" w14:textId="72807FFC" w:rsidR="00643582" w:rsidRPr="0005586D" w:rsidRDefault="00090326" w:rsidP="00643582">
      <w:pPr>
        <w:pStyle w:val="Heading2"/>
      </w:pPr>
      <w:r w:rsidRPr="0005586D">
        <w:t>Conclusion</w:t>
      </w:r>
    </w:p>
    <w:p w14:paraId="7A7F99E8" w14:textId="5BE31BEC" w:rsidR="002E6FD1" w:rsidRDefault="002E6FD1" w:rsidP="002E6FD1">
      <w:pPr>
        <w:pStyle w:val="Heading3"/>
      </w:pPr>
      <w:r w:rsidRPr="002E6FD1">
        <w:t>Andexanet alfa is recommended for reversing anticoagulation in life-threatening or uncontrolled bleeding in GI bleeds</w:t>
      </w:r>
    </w:p>
    <w:p w14:paraId="5F29D6BC" w14:textId="64D75481" w:rsidR="002E6FD1" w:rsidRPr="002E6FD1" w:rsidRDefault="00DD39AB" w:rsidP="002E6FD1">
      <w:pPr>
        <w:pStyle w:val="Numberedlevel2text"/>
      </w:pPr>
      <w:r>
        <w:rPr>
          <w:lang w:val="en-GB"/>
        </w:rPr>
        <w:t>A</w:t>
      </w:r>
      <w:r w:rsidRPr="00DD39AB">
        <w:t xml:space="preserve">ndexanet alfa is likely to </w:t>
      </w:r>
      <w:r w:rsidR="009D0AD4">
        <w:rPr>
          <w:lang w:val="en-GB"/>
        </w:rPr>
        <w:t>reduce</w:t>
      </w:r>
      <w:r w:rsidRPr="00DD39AB">
        <w:t xml:space="preserve"> 30-day mortality for people with GI bleeds</w:t>
      </w:r>
      <w:r>
        <w:rPr>
          <w:lang w:val="en-GB"/>
        </w:rPr>
        <w:t>.</w:t>
      </w:r>
      <w:r w:rsidRPr="00DD39AB">
        <w:t xml:space="preserve"> </w:t>
      </w:r>
      <w:r w:rsidRPr="00DD39AB">
        <w:rPr>
          <w:lang w:val="en-GB"/>
        </w:rPr>
        <w:t xml:space="preserve">Despite the uncertainty, the committee concluded that </w:t>
      </w:r>
      <w:r w:rsidR="00C7629E">
        <w:rPr>
          <w:lang w:val="en-GB"/>
        </w:rPr>
        <w:t xml:space="preserve">the </w:t>
      </w:r>
      <w:r w:rsidRPr="00DD39AB">
        <w:rPr>
          <w:lang w:val="en-GB"/>
        </w:rPr>
        <w:t xml:space="preserve">ICER </w:t>
      </w:r>
      <w:r w:rsidRPr="00DD39AB">
        <w:rPr>
          <w:lang w:val="en-GB"/>
        </w:rPr>
        <w:lastRenderedPageBreak/>
        <w:t xml:space="preserve">for the GI cohort </w:t>
      </w:r>
      <w:r w:rsidR="00C7629E">
        <w:rPr>
          <w:lang w:val="en-GB"/>
        </w:rPr>
        <w:t>is</w:t>
      </w:r>
      <w:r w:rsidR="00C7629E" w:rsidRPr="00DD39AB">
        <w:rPr>
          <w:lang w:val="en-GB"/>
        </w:rPr>
        <w:t xml:space="preserve"> </w:t>
      </w:r>
      <w:r w:rsidR="00BB24B8">
        <w:rPr>
          <w:lang w:val="en-GB"/>
        </w:rPr>
        <w:t>likely to be within</w:t>
      </w:r>
      <w:r w:rsidRPr="00DD39AB">
        <w:rPr>
          <w:lang w:val="en-GB"/>
        </w:rPr>
        <w:t xml:space="preserve"> what </w:t>
      </w:r>
      <w:r w:rsidR="00E76FF9">
        <w:rPr>
          <w:lang w:val="en-GB"/>
        </w:rPr>
        <w:t>NICE</w:t>
      </w:r>
      <w:r w:rsidRPr="00DD39AB">
        <w:rPr>
          <w:lang w:val="en-GB"/>
        </w:rPr>
        <w:t xml:space="preserve"> </w:t>
      </w:r>
      <w:r w:rsidR="00E76FF9" w:rsidRPr="00DD39AB">
        <w:rPr>
          <w:lang w:val="en-GB"/>
        </w:rPr>
        <w:t>consider</w:t>
      </w:r>
      <w:r w:rsidR="00E76FF9">
        <w:rPr>
          <w:lang w:val="en-GB"/>
        </w:rPr>
        <w:t>s</w:t>
      </w:r>
      <w:r w:rsidR="00E76FF9" w:rsidRPr="00DD39AB">
        <w:rPr>
          <w:lang w:val="en-GB"/>
        </w:rPr>
        <w:t xml:space="preserve"> </w:t>
      </w:r>
      <w:r w:rsidRPr="00DD39AB">
        <w:rPr>
          <w:lang w:val="en-GB"/>
        </w:rPr>
        <w:t>a cost-effective use of NHS resources. Therefore,</w:t>
      </w:r>
      <w:r>
        <w:rPr>
          <w:lang w:val="en-GB"/>
        </w:rPr>
        <w:t xml:space="preserve"> </w:t>
      </w:r>
      <w:r w:rsidR="002E6FD1" w:rsidRPr="002E6FD1">
        <w:t xml:space="preserve">it concluded that </w:t>
      </w:r>
      <w:proofErr w:type="spellStart"/>
      <w:r w:rsidR="002E6FD1" w:rsidRPr="002E6FD1">
        <w:t>andexanet</w:t>
      </w:r>
      <w:proofErr w:type="spellEnd"/>
      <w:r w:rsidR="002E6FD1" w:rsidRPr="002E6FD1">
        <w:t xml:space="preserve"> alfa </w:t>
      </w:r>
      <w:r w:rsidR="00C7629E">
        <w:rPr>
          <w:lang w:val="en-GB"/>
        </w:rPr>
        <w:t>is</w:t>
      </w:r>
      <w:r w:rsidR="00C7629E" w:rsidRPr="002E6FD1">
        <w:t xml:space="preserve"> </w:t>
      </w:r>
      <w:r w:rsidR="002E6FD1" w:rsidRPr="002E6FD1">
        <w:t xml:space="preserve">recommended </w:t>
      </w:r>
      <w:r w:rsidR="00A71225">
        <w:rPr>
          <w:lang w:val="en-GB"/>
        </w:rPr>
        <w:t>in</w:t>
      </w:r>
      <w:r w:rsidR="002E6FD1" w:rsidRPr="002E6FD1">
        <w:t xml:space="preserve"> GI bleeds as defined in the ANNEXA-4 trial and used as part of a major GI bleed protocol.</w:t>
      </w:r>
    </w:p>
    <w:p w14:paraId="635B82B1" w14:textId="0B2276E1" w:rsidR="00DD39AB" w:rsidRPr="001F3EE2" w:rsidRDefault="00DD39AB" w:rsidP="00DD39AB">
      <w:pPr>
        <w:pStyle w:val="Heading3"/>
      </w:pPr>
      <w:r>
        <w:t>Andexanet alfa is recommended only in research for reversing anticoagulation in life-threatening or uncontrolled bleeding in ICH bleeds</w:t>
      </w:r>
    </w:p>
    <w:p w14:paraId="22C9155C" w14:textId="0F820C67" w:rsidR="002E6FD1" w:rsidRPr="002E6FD1" w:rsidRDefault="0087505C" w:rsidP="002E6FD1">
      <w:pPr>
        <w:pStyle w:val="Numberedlevel2text"/>
      </w:pPr>
      <w:r>
        <w:rPr>
          <w:lang w:val="en-GB"/>
        </w:rPr>
        <w:t xml:space="preserve">The </w:t>
      </w:r>
      <w:r w:rsidR="008F6D91">
        <w:rPr>
          <w:lang w:val="en-GB"/>
        </w:rPr>
        <w:t xml:space="preserve">extent </w:t>
      </w:r>
      <w:r>
        <w:rPr>
          <w:lang w:val="en-GB"/>
        </w:rPr>
        <w:t>of benefits in terms of mortality and long-term disability from andexanet alfa in ICH are unclear and the</w:t>
      </w:r>
      <w:r w:rsidRPr="0087505C">
        <w:rPr>
          <w:lang w:val="en-GB"/>
        </w:rPr>
        <w:t xml:space="preserve"> committee was not confident that the </w:t>
      </w:r>
      <w:r w:rsidR="005529D6">
        <w:rPr>
          <w:lang w:val="en-GB"/>
        </w:rPr>
        <w:t>cost</w:t>
      </w:r>
      <w:r w:rsidR="008F6D91">
        <w:rPr>
          <w:lang w:val="en-GB"/>
        </w:rPr>
        <w:t>-</w:t>
      </w:r>
      <w:r w:rsidR="005529D6">
        <w:rPr>
          <w:lang w:val="en-GB"/>
        </w:rPr>
        <w:t xml:space="preserve">effectiveness </w:t>
      </w:r>
      <w:r w:rsidRPr="0087505C">
        <w:rPr>
          <w:lang w:val="en-GB"/>
        </w:rPr>
        <w:t xml:space="preserve">results for ICH were robust. </w:t>
      </w:r>
      <w:r w:rsidR="004E568B">
        <w:rPr>
          <w:lang w:val="en-GB"/>
        </w:rPr>
        <w:t>There is a</w:t>
      </w:r>
      <w:r w:rsidRPr="0087505C">
        <w:rPr>
          <w:lang w:val="en-GB"/>
        </w:rPr>
        <w:t xml:space="preserve"> need for an effective reversal agent for direct factor Xa inhibitors, such as apixaban and rivaroxaban, in people with uncontrolled or life-threatening bleeding</w:t>
      </w:r>
      <w:r w:rsidR="008F6D91">
        <w:rPr>
          <w:lang w:val="en-GB"/>
        </w:rPr>
        <w:t xml:space="preserve"> in</w:t>
      </w:r>
      <w:r>
        <w:rPr>
          <w:lang w:val="en-GB"/>
        </w:rPr>
        <w:t xml:space="preserve"> </w:t>
      </w:r>
      <w:r w:rsidRPr="0087505C">
        <w:rPr>
          <w:lang w:val="en-GB"/>
        </w:rPr>
        <w:t xml:space="preserve">ICH. However, </w:t>
      </w:r>
      <w:r w:rsidR="004E568B">
        <w:rPr>
          <w:lang w:val="en-GB"/>
        </w:rPr>
        <w:t>the committee</w:t>
      </w:r>
      <w:r w:rsidRPr="0087505C">
        <w:rPr>
          <w:lang w:val="en-GB"/>
        </w:rPr>
        <w:t xml:space="preserve"> was not convinced that andexanet alfa had been shown to be a cost-effective use of NHS resources in ICH. Therefore, andexanet alfa should be used only </w:t>
      </w:r>
      <w:r w:rsidR="00AE19EE">
        <w:rPr>
          <w:lang w:val="en-GB"/>
        </w:rPr>
        <w:t>in</w:t>
      </w:r>
      <w:r w:rsidRPr="0087505C">
        <w:rPr>
          <w:lang w:val="en-GB"/>
        </w:rPr>
        <w:t xml:space="preserve"> research in ICH.</w:t>
      </w:r>
    </w:p>
    <w:p w14:paraId="39192B0A" w14:textId="493C73D2" w:rsidR="00132938" w:rsidRPr="00132938" w:rsidRDefault="00132938" w:rsidP="00132938">
      <w:pPr>
        <w:pStyle w:val="Heading3"/>
      </w:pPr>
      <w:r>
        <w:t xml:space="preserve">Andexanet alfa is not recommended </w:t>
      </w:r>
      <w:r w:rsidRPr="002E6FD1">
        <w:t xml:space="preserve">for reversing anticoagulation in life-threatening or uncontrolled bleeding in </w:t>
      </w:r>
      <w:r>
        <w:t>‘other major bleeds’</w:t>
      </w:r>
    </w:p>
    <w:p w14:paraId="201CB857" w14:textId="7C393E38" w:rsidR="002E6FD1" w:rsidRPr="00132938" w:rsidRDefault="00132938" w:rsidP="00132938">
      <w:pPr>
        <w:pStyle w:val="Numberedlevel2text"/>
      </w:pPr>
      <w:r>
        <w:rPr>
          <w:lang w:val="en-GB"/>
        </w:rPr>
        <w:t>The potential benefits of andexanet alfa in the ‘other major bleeds’ cohort were not supported by evidence</w:t>
      </w:r>
      <w:r w:rsidR="005B765C">
        <w:rPr>
          <w:lang w:val="en-GB"/>
        </w:rPr>
        <w:t xml:space="preserve"> and the cost-effectiveness estimates were very uncertain</w:t>
      </w:r>
      <w:r>
        <w:rPr>
          <w:lang w:val="en-GB"/>
        </w:rPr>
        <w:t>. Therefore, a</w:t>
      </w:r>
      <w:r w:rsidR="007D24F7">
        <w:rPr>
          <w:lang w:val="en-GB"/>
        </w:rPr>
        <w:t xml:space="preserve">ndexanet alfa is not recommended for reversing anticoagulation in life-threatening or uncontrolled bleeding </w:t>
      </w:r>
      <w:r w:rsidR="00A71225">
        <w:rPr>
          <w:lang w:val="en-GB"/>
        </w:rPr>
        <w:t>in</w:t>
      </w:r>
      <w:r w:rsidR="007D24F7">
        <w:rPr>
          <w:lang w:val="en-GB"/>
        </w:rPr>
        <w:t xml:space="preserve"> ‘other major bleeds’</w:t>
      </w:r>
      <w:r>
        <w:rPr>
          <w:lang w:val="en-GB"/>
        </w:rPr>
        <w:t>.</w:t>
      </w:r>
    </w:p>
    <w:p w14:paraId="229D8EE4" w14:textId="3A205ACC" w:rsidR="0041637E" w:rsidRDefault="0041637E" w:rsidP="002E73E7">
      <w:pPr>
        <w:pStyle w:val="Numberedheading1"/>
      </w:pPr>
      <w:r>
        <w:t>Implementation</w:t>
      </w:r>
    </w:p>
    <w:p w14:paraId="0648169C" w14:textId="480EB4CE" w:rsidR="0041637E" w:rsidRDefault="005E51C0" w:rsidP="00111360">
      <w:pPr>
        <w:pStyle w:val="Numberedlevel2text"/>
      </w:pPr>
      <w:hyperlink r:id="rId13" w:history="1">
        <w:r w:rsidR="00111360" w:rsidRPr="00D019BA">
          <w:rPr>
            <w:rStyle w:val="Hyperlink"/>
          </w:rPr>
          <w:t>Section 7(6) of the National Institute for Health and Care Excellence (Constitution and Functions) and the Health and Social Care Information Centre (Functions) Regulations 2013</w:t>
        </w:r>
      </w:hyperlink>
      <w:r w:rsidR="00111360" w:rsidRPr="00EE2914">
        <w:t xml:space="preserve"> requires clinical commissioning groups, NHS England and, with respect to their public health functions, local authorities to comply with the recommendations in this appraisal within 3 months of its date of publication</w:t>
      </w:r>
      <w:r w:rsidR="00E76FF9">
        <w:rPr>
          <w:lang w:val="en-GB"/>
        </w:rPr>
        <w:t>.</w:t>
      </w:r>
    </w:p>
    <w:p w14:paraId="592F4353" w14:textId="53D2626D" w:rsidR="00111360" w:rsidRDefault="00111360" w:rsidP="00111360">
      <w:pPr>
        <w:pStyle w:val="Numberedlevel2text"/>
      </w:pPr>
      <w:r>
        <w:lastRenderedPageBreak/>
        <w:t xml:space="preserve">The Welsh </w:t>
      </w:r>
      <w:r>
        <w:rPr>
          <w:lang w:val="en-GB"/>
        </w:rPr>
        <w:t>m</w:t>
      </w:r>
      <w:r>
        <w:t>inister</w:t>
      </w:r>
      <w:r>
        <w:rPr>
          <w:lang w:val="en-GB"/>
        </w:rPr>
        <w:t>s</w:t>
      </w:r>
      <w:r>
        <w:t xml:space="preserve"> ha</w:t>
      </w:r>
      <w:r>
        <w:rPr>
          <w:lang w:val="en-GB"/>
        </w:rPr>
        <w:t>ve</w:t>
      </w:r>
      <w:r>
        <w:t xml:space="preserve"> issued directions to the NHS in Wales on implementing NICE technology appraisal guidance. When a NICE technology appraisal recommends the use of a drug or treatment, or other technology, the NHS in Wales must usually provide funding and resources for it within </w:t>
      </w:r>
      <w:r>
        <w:rPr>
          <w:lang w:val="en-GB"/>
        </w:rPr>
        <w:t>2 </w:t>
      </w:r>
      <w:r>
        <w:t xml:space="preserve">months of the </w:t>
      </w:r>
      <w:r>
        <w:rPr>
          <w:lang w:val="en-GB"/>
        </w:rPr>
        <w:t>first publication of the final appraisal document</w:t>
      </w:r>
      <w:r>
        <w:t>.</w:t>
      </w:r>
    </w:p>
    <w:p w14:paraId="4916DBA5" w14:textId="3C72CB2A" w:rsidR="00111360" w:rsidRPr="0041637E" w:rsidRDefault="00111360" w:rsidP="00111360">
      <w:pPr>
        <w:pStyle w:val="Numberedlevel2text"/>
      </w:pPr>
      <w:r w:rsidRPr="00EE2914">
        <w:t>When NICE recommends a treatment ‘as an option’, the NHS must make sure it is available within the period set out in the paragraph</w:t>
      </w:r>
      <w:r>
        <w:rPr>
          <w:lang w:val="en-GB"/>
        </w:rPr>
        <w:t>s</w:t>
      </w:r>
      <w:r w:rsidRPr="00EE2914">
        <w:t xml:space="preserve"> above. This means that, if a patient has </w:t>
      </w:r>
      <w:r>
        <w:rPr>
          <w:lang w:val="en-GB"/>
        </w:rPr>
        <w:t xml:space="preserve">a life-threatening or uncontrolled </w:t>
      </w:r>
      <w:r w:rsidR="00E76FF9">
        <w:rPr>
          <w:lang w:val="en-GB"/>
        </w:rPr>
        <w:t xml:space="preserve">gastrointestinal </w:t>
      </w:r>
      <w:r>
        <w:rPr>
          <w:lang w:val="en-GB"/>
        </w:rPr>
        <w:t>bleed</w:t>
      </w:r>
      <w:r w:rsidRPr="00EE2914">
        <w:t xml:space="preserve"> and the doctor responsible for their care thinks that</w:t>
      </w:r>
      <w:r>
        <w:rPr>
          <w:lang w:val="en-GB"/>
        </w:rPr>
        <w:t xml:space="preserve"> andexanet alfa</w:t>
      </w:r>
      <w:r w:rsidRPr="00EE2914">
        <w:t xml:space="preserve"> is the right treatment, it should be available for use, in l</w:t>
      </w:r>
      <w:r>
        <w:t>ine with NICE’s recommendations</w:t>
      </w:r>
      <w:r w:rsidRPr="00EE2914">
        <w:t>.</w:t>
      </w:r>
    </w:p>
    <w:p w14:paraId="32D6BCE9" w14:textId="592EB21F" w:rsidR="00F20064" w:rsidRDefault="00F20064" w:rsidP="002E73E7">
      <w:pPr>
        <w:pStyle w:val="Numberedheading1"/>
      </w:pPr>
      <w:r>
        <w:t>Recommendations for research</w:t>
      </w:r>
    </w:p>
    <w:p w14:paraId="29E62552" w14:textId="3396BE14" w:rsidR="00F20064" w:rsidRPr="00F20064" w:rsidRDefault="00F20064" w:rsidP="00F20064">
      <w:pPr>
        <w:pStyle w:val="Numberedlevel2text"/>
      </w:pPr>
      <w:r>
        <w:rPr>
          <w:lang w:val="en-GB"/>
        </w:rPr>
        <w:t xml:space="preserve">The committee </w:t>
      </w:r>
      <w:r w:rsidR="00CD7E89">
        <w:rPr>
          <w:lang w:val="en-GB"/>
        </w:rPr>
        <w:t>noted an ongoing</w:t>
      </w:r>
      <w:r>
        <w:rPr>
          <w:lang w:val="en-GB"/>
        </w:rPr>
        <w:t xml:space="preserve"> </w:t>
      </w:r>
      <w:r w:rsidR="00EF4B55">
        <w:rPr>
          <w:lang w:val="en-GB"/>
        </w:rPr>
        <w:t xml:space="preserve">randomised controlled trial </w:t>
      </w:r>
      <w:r w:rsidR="00CD7E89">
        <w:rPr>
          <w:lang w:val="en-GB"/>
        </w:rPr>
        <w:t>of</w:t>
      </w:r>
      <w:r w:rsidR="00CD7E89" w:rsidRPr="00F20064">
        <w:rPr>
          <w:lang w:val="en-GB"/>
        </w:rPr>
        <w:t xml:space="preserve"> </w:t>
      </w:r>
      <w:r w:rsidRPr="00F20064">
        <w:rPr>
          <w:lang w:val="en-GB"/>
        </w:rPr>
        <w:t>the effectiveness of and</w:t>
      </w:r>
      <w:r w:rsidRPr="00845991">
        <w:rPr>
          <w:lang w:val="en-GB"/>
        </w:rPr>
        <w:t xml:space="preserve">exanet alfa </w:t>
      </w:r>
      <w:r w:rsidR="008F6D91">
        <w:rPr>
          <w:lang w:val="en-GB"/>
        </w:rPr>
        <w:t>compared with</w:t>
      </w:r>
      <w:r w:rsidR="008F6D91" w:rsidRPr="00845991">
        <w:rPr>
          <w:lang w:val="en-GB"/>
        </w:rPr>
        <w:t xml:space="preserve"> </w:t>
      </w:r>
      <w:r w:rsidR="008F6D91" w:rsidRPr="008F6D91">
        <w:rPr>
          <w:lang w:val="en-GB"/>
        </w:rPr>
        <w:t>prothrombin complex concentrate</w:t>
      </w:r>
      <w:r w:rsidR="008F6D91" w:rsidRPr="008F6D91" w:rsidDel="008F6D91">
        <w:rPr>
          <w:lang w:val="en-GB"/>
        </w:rPr>
        <w:t xml:space="preserve"> </w:t>
      </w:r>
      <w:r w:rsidRPr="00845991">
        <w:rPr>
          <w:lang w:val="en-GB"/>
        </w:rPr>
        <w:t>in people with ICH</w:t>
      </w:r>
      <w:r>
        <w:rPr>
          <w:lang w:val="en-GB"/>
        </w:rPr>
        <w:t>. The main outcomes of interest are mortality</w:t>
      </w:r>
      <w:r w:rsidR="00E76EB2">
        <w:rPr>
          <w:lang w:val="en-GB"/>
        </w:rPr>
        <w:t>,</w:t>
      </w:r>
      <w:r>
        <w:rPr>
          <w:lang w:val="en-GB"/>
        </w:rPr>
        <w:t xml:space="preserve"> long-term </w:t>
      </w:r>
      <w:proofErr w:type="gramStart"/>
      <w:r>
        <w:rPr>
          <w:lang w:val="en-GB"/>
        </w:rPr>
        <w:t>disability</w:t>
      </w:r>
      <w:proofErr w:type="gramEnd"/>
      <w:r w:rsidR="00E76EB2">
        <w:rPr>
          <w:lang w:val="en-GB"/>
        </w:rPr>
        <w:t xml:space="preserve"> and the risk of thromboses and thromboembolic events</w:t>
      </w:r>
      <w:r>
        <w:rPr>
          <w:lang w:val="en-GB"/>
        </w:rPr>
        <w:t>.</w:t>
      </w:r>
    </w:p>
    <w:p w14:paraId="77B5D6F3" w14:textId="09C3AD29" w:rsidR="000F48EC" w:rsidRPr="0005586D" w:rsidRDefault="007A2801" w:rsidP="002E73E7">
      <w:pPr>
        <w:pStyle w:val="Numberedheading1"/>
      </w:pPr>
      <w:r w:rsidRPr="0005586D">
        <w:t xml:space="preserve">Proposed date for </w:t>
      </w:r>
      <w:r w:rsidR="00000441" w:rsidRPr="0005586D">
        <w:t>r</w:t>
      </w:r>
      <w:r w:rsidR="000F48EC" w:rsidRPr="0005586D">
        <w:t>eview of guidance</w:t>
      </w:r>
    </w:p>
    <w:p w14:paraId="16041E98" w14:textId="54BE821B" w:rsidR="001823EB" w:rsidRPr="0005586D" w:rsidRDefault="001823EB" w:rsidP="001823EB">
      <w:pPr>
        <w:pStyle w:val="Numberedlevel2text"/>
        <w:rPr>
          <w:lang w:val="en-GB"/>
        </w:rPr>
      </w:pPr>
      <w:r w:rsidRPr="0005586D">
        <w:rPr>
          <w:lang w:val="en-GB"/>
        </w:rPr>
        <w:t>NICE proposes that the guidance on this technology is considered for review by the guidance executive</w:t>
      </w:r>
      <w:r w:rsidR="00725E0D">
        <w:rPr>
          <w:lang w:val="en-GB"/>
        </w:rPr>
        <w:t xml:space="preserve"> when the results </w:t>
      </w:r>
      <w:r w:rsidR="00E847D2" w:rsidRPr="00E847D2">
        <w:rPr>
          <w:lang w:val="en-GB"/>
        </w:rPr>
        <w:t xml:space="preserve">are available </w:t>
      </w:r>
      <w:r w:rsidR="00E847D2">
        <w:rPr>
          <w:lang w:val="en-GB"/>
        </w:rPr>
        <w:t xml:space="preserve">from </w:t>
      </w:r>
      <w:r w:rsidR="00725E0D">
        <w:rPr>
          <w:lang w:val="en-GB"/>
        </w:rPr>
        <w:t>the</w:t>
      </w:r>
      <w:r w:rsidR="00CB2D32">
        <w:rPr>
          <w:lang w:val="en-GB"/>
        </w:rPr>
        <w:t xml:space="preserve"> randomised controlled</w:t>
      </w:r>
      <w:r w:rsidR="00725E0D">
        <w:rPr>
          <w:lang w:val="en-GB"/>
        </w:rPr>
        <w:t xml:space="preserve"> trial</w:t>
      </w:r>
      <w:r w:rsidR="00CB2D32">
        <w:rPr>
          <w:lang w:val="en-GB"/>
        </w:rPr>
        <w:t xml:space="preserve"> </w:t>
      </w:r>
      <w:r w:rsidR="00CB2D32" w:rsidRPr="0005586D">
        <w:rPr>
          <w:lang w:val="en-GB"/>
        </w:rPr>
        <w:t xml:space="preserve">of andexanet alfa </w:t>
      </w:r>
      <w:r w:rsidR="00CB2D32">
        <w:rPr>
          <w:lang w:val="en-GB"/>
        </w:rPr>
        <w:t>compared with</w:t>
      </w:r>
      <w:r w:rsidR="00CB2D32" w:rsidRPr="0005586D">
        <w:rPr>
          <w:lang w:val="en-GB"/>
        </w:rPr>
        <w:t xml:space="preserve"> </w:t>
      </w:r>
      <w:r w:rsidR="00CB2D32" w:rsidRPr="00D056CB">
        <w:rPr>
          <w:lang w:val="en-GB"/>
        </w:rPr>
        <w:t xml:space="preserve">prothrombin complex concentrate </w:t>
      </w:r>
      <w:r w:rsidR="00CB2D32" w:rsidRPr="0005586D">
        <w:rPr>
          <w:lang w:val="en-GB"/>
        </w:rPr>
        <w:t xml:space="preserve">in </w:t>
      </w:r>
      <w:r w:rsidR="00CB2D32">
        <w:rPr>
          <w:lang w:val="en-GB"/>
        </w:rPr>
        <w:t>intracranial haemorrhage</w:t>
      </w:r>
      <w:r w:rsidRPr="0005586D">
        <w:rPr>
          <w:lang w:val="en-GB"/>
        </w:rPr>
        <w:t>.</w:t>
      </w:r>
      <w:r w:rsidR="00C4397E" w:rsidRPr="0005586D">
        <w:rPr>
          <w:lang w:val="en-GB"/>
        </w:rPr>
        <w:t xml:space="preserve"> </w:t>
      </w:r>
      <w:r w:rsidR="00733EEA">
        <w:rPr>
          <w:lang w:val="en-GB"/>
        </w:rPr>
        <w:t>The</w:t>
      </w:r>
      <w:r w:rsidR="00C4397E" w:rsidRPr="0005586D">
        <w:rPr>
          <w:lang w:val="en-GB"/>
        </w:rPr>
        <w:t xml:space="preserve"> results are </w:t>
      </w:r>
      <w:r w:rsidR="00725E0D">
        <w:rPr>
          <w:lang w:val="en-GB"/>
        </w:rPr>
        <w:t xml:space="preserve">anticipated </w:t>
      </w:r>
      <w:r w:rsidR="00D056CB">
        <w:rPr>
          <w:lang w:val="en-GB"/>
        </w:rPr>
        <w:t>in</w:t>
      </w:r>
      <w:r w:rsidR="00D056CB" w:rsidRPr="0005586D">
        <w:rPr>
          <w:lang w:val="en-GB"/>
        </w:rPr>
        <w:t xml:space="preserve"> </w:t>
      </w:r>
      <w:r w:rsidR="00C4397E" w:rsidRPr="0005586D">
        <w:rPr>
          <w:lang w:val="en-GB"/>
        </w:rPr>
        <w:t>2023</w:t>
      </w:r>
      <w:r w:rsidRPr="0005586D">
        <w:rPr>
          <w:lang w:val="en-GB"/>
        </w:rPr>
        <w:t>. NICE welcomes comment on this proposed date. The guidance executive will decide whether the technology should be reviewed based on information gathered by NICE, and in consultation with consultees and commentators.</w:t>
      </w:r>
    </w:p>
    <w:p w14:paraId="7EFF84AA" w14:textId="64F9D4D0" w:rsidR="004845D0" w:rsidRPr="0005586D" w:rsidRDefault="00C4397E" w:rsidP="00ED5F88">
      <w:pPr>
        <w:pStyle w:val="NICEnormal"/>
      </w:pPr>
      <w:r w:rsidRPr="0005586D">
        <w:lastRenderedPageBreak/>
        <w:t>Jane Adam</w:t>
      </w:r>
      <w:r w:rsidR="004845D0" w:rsidRPr="0005586D">
        <w:br/>
        <w:t xml:space="preserve">Chair, </w:t>
      </w:r>
      <w:r w:rsidR="003847B9" w:rsidRPr="0005586D">
        <w:t>a</w:t>
      </w:r>
      <w:r w:rsidR="004845D0" w:rsidRPr="0005586D">
        <w:t xml:space="preserve">ppraisal </w:t>
      </w:r>
      <w:r w:rsidR="003847B9" w:rsidRPr="0005586D">
        <w:t>c</w:t>
      </w:r>
      <w:r w:rsidR="004845D0" w:rsidRPr="0005586D">
        <w:t>ommittee</w:t>
      </w:r>
      <w:r w:rsidR="004845D0" w:rsidRPr="0005586D">
        <w:br/>
      </w:r>
      <w:r w:rsidR="00B04AF4">
        <w:t>June</w:t>
      </w:r>
      <w:r w:rsidR="00B04AF4" w:rsidRPr="0005586D">
        <w:t xml:space="preserve"> </w:t>
      </w:r>
      <w:r w:rsidRPr="0005586D">
        <w:t>2020</w:t>
      </w:r>
    </w:p>
    <w:p w14:paraId="2B915B01" w14:textId="77777777" w:rsidR="00B16431" w:rsidRPr="0005586D" w:rsidRDefault="00B16431" w:rsidP="0037715B">
      <w:pPr>
        <w:pStyle w:val="Numberedheading1"/>
      </w:pPr>
      <w:r w:rsidRPr="0005586D">
        <w:t xml:space="preserve">Appraisal </w:t>
      </w:r>
      <w:r w:rsidR="00343B53" w:rsidRPr="0005586D">
        <w:t>c</w:t>
      </w:r>
      <w:r w:rsidRPr="0005586D">
        <w:t>ommittee members and NICE project team</w:t>
      </w:r>
    </w:p>
    <w:p w14:paraId="025D08EA" w14:textId="77777777" w:rsidR="00B16431" w:rsidRPr="0005586D" w:rsidRDefault="00B16431" w:rsidP="00B16431">
      <w:pPr>
        <w:pStyle w:val="Heading2"/>
      </w:pPr>
      <w:r w:rsidRPr="0005586D">
        <w:t xml:space="preserve">Appraisal </w:t>
      </w:r>
      <w:r w:rsidR="00343B53" w:rsidRPr="0005586D">
        <w:t>c</w:t>
      </w:r>
      <w:r w:rsidRPr="0005586D">
        <w:t>ommittee members</w:t>
      </w:r>
    </w:p>
    <w:p w14:paraId="462B9A6D" w14:textId="2046E2EC" w:rsidR="002F2583" w:rsidRPr="0005586D" w:rsidRDefault="002F2583" w:rsidP="002F2583">
      <w:pPr>
        <w:pStyle w:val="NICEnormal"/>
        <w:rPr>
          <w:rFonts w:eastAsia="Calibri"/>
        </w:rPr>
      </w:pPr>
      <w:r w:rsidRPr="0005586D">
        <w:t xml:space="preserve">The 4 technology appraisal committees are standing advisory committees of NICE. This topic was considered by </w:t>
      </w:r>
      <w:hyperlink r:id="rId14" w:history="1">
        <w:r w:rsidRPr="0005586D">
          <w:rPr>
            <w:rStyle w:val="Hyperlink"/>
            <w:rFonts w:eastAsia="Calibri"/>
          </w:rPr>
          <w:t xml:space="preserve">committee </w:t>
        </w:r>
        <w:r w:rsidR="00C4397E" w:rsidRPr="0005586D">
          <w:rPr>
            <w:rStyle w:val="Hyperlink"/>
            <w:rFonts w:eastAsia="Calibri"/>
          </w:rPr>
          <w:t>A</w:t>
        </w:r>
      </w:hyperlink>
      <w:r w:rsidRPr="0005586D">
        <w:t>.</w:t>
      </w:r>
    </w:p>
    <w:p w14:paraId="11D021E4" w14:textId="5A7C37DF" w:rsidR="002F2583" w:rsidRPr="0005586D" w:rsidRDefault="002F2583" w:rsidP="002F2583">
      <w:pPr>
        <w:pStyle w:val="NICEnormal"/>
      </w:pPr>
      <w:r w:rsidRPr="0005586D">
        <w:t>Committee members are asked to declare any interests in the technology to be appraised. If it is considered there is a conflict of interest, the member is excluded from participating further in that appraisal.</w:t>
      </w:r>
    </w:p>
    <w:p w14:paraId="78B0ED95" w14:textId="77777777" w:rsidR="002F2583" w:rsidRPr="0005586D" w:rsidRDefault="002F2583" w:rsidP="002F2583">
      <w:pPr>
        <w:pStyle w:val="NICEnormal"/>
      </w:pPr>
      <w:r w:rsidRPr="0005586D">
        <w:t xml:space="preserve">The </w:t>
      </w:r>
      <w:hyperlink r:id="rId15" w:history="1">
        <w:r w:rsidRPr="0005586D">
          <w:rPr>
            <w:rStyle w:val="Hyperlink"/>
            <w:rFonts w:eastAsia="Calibri"/>
          </w:rPr>
          <w:t>minutes</w:t>
        </w:r>
        <w:r w:rsidRPr="0005586D">
          <w:rPr>
            <w:rStyle w:val="Hyperlink"/>
          </w:rPr>
          <w:t xml:space="preserve"> of each appraisal committee meeting</w:t>
        </w:r>
      </w:hyperlink>
      <w:r w:rsidRPr="0005586D">
        <w:t>, which include the names of the members who attended and their declarations of interests, are posted on the NICE website.</w:t>
      </w:r>
    </w:p>
    <w:p w14:paraId="5F8DD558" w14:textId="77777777" w:rsidR="00B16431" w:rsidRPr="0005586D" w:rsidRDefault="00B16431" w:rsidP="00B16431">
      <w:pPr>
        <w:pStyle w:val="Heading2"/>
      </w:pPr>
      <w:r w:rsidRPr="0005586D">
        <w:t>NICE project team</w:t>
      </w:r>
    </w:p>
    <w:p w14:paraId="5F3E699B" w14:textId="6A78526E" w:rsidR="00B16431" w:rsidRPr="0005586D" w:rsidRDefault="00B16431" w:rsidP="00B16431">
      <w:pPr>
        <w:pStyle w:val="NICEnormal"/>
      </w:pPr>
      <w:r w:rsidRPr="0005586D">
        <w:t>Each technology appraisal is assigned to a team consisting of 1 or more health technology analysts (who act as technical leads for the appraisal), a technical adviser and a project manager.</w:t>
      </w:r>
    </w:p>
    <w:p w14:paraId="78665AF0" w14:textId="0ED0CF3E" w:rsidR="00B16431" w:rsidRPr="0005586D" w:rsidRDefault="00C4397E" w:rsidP="00B16431">
      <w:pPr>
        <w:pStyle w:val="NICEnormal"/>
      </w:pPr>
      <w:bookmarkStart w:id="9" w:name="Text45"/>
      <w:r w:rsidRPr="0005586D">
        <w:rPr>
          <w:b/>
        </w:rPr>
        <w:t>Caroline Bregman</w:t>
      </w:r>
      <w:r w:rsidR="00B16431" w:rsidRPr="0005586D">
        <w:br/>
        <w:t xml:space="preserve">Technical </w:t>
      </w:r>
      <w:r w:rsidR="00E65C76" w:rsidRPr="0005586D">
        <w:t>l</w:t>
      </w:r>
      <w:r w:rsidR="00B16431" w:rsidRPr="0005586D">
        <w:t>ead</w:t>
      </w:r>
    </w:p>
    <w:p w14:paraId="09BB9E27" w14:textId="49185607" w:rsidR="00B16431" w:rsidRPr="0005586D" w:rsidRDefault="00C4397E" w:rsidP="00B16431">
      <w:pPr>
        <w:pStyle w:val="NICEnormal"/>
      </w:pPr>
      <w:r w:rsidRPr="0005586D">
        <w:rPr>
          <w:b/>
        </w:rPr>
        <w:t>Rufaro Kausi</w:t>
      </w:r>
      <w:r w:rsidR="00B16431" w:rsidRPr="0005586D">
        <w:br/>
        <w:t xml:space="preserve">Technical </w:t>
      </w:r>
      <w:r w:rsidR="00E65C76" w:rsidRPr="0005586D">
        <w:t>a</w:t>
      </w:r>
      <w:r w:rsidR="00B16431" w:rsidRPr="0005586D">
        <w:t>dviser</w:t>
      </w:r>
    </w:p>
    <w:p w14:paraId="7DAF0678" w14:textId="48DEA513" w:rsidR="00B16431" w:rsidRPr="0005586D" w:rsidRDefault="00C4397E" w:rsidP="005D3FD9">
      <w:pPr>
        <w:pStyle w:val="NICEnormal"/>
      </w:pPr>
      <w:r w:rsidRPr="0005586D">
        <w:rPr>
          <w:b/>
        </w:rPr>
        <w:t>Thomas Feist</w:t>
      </w:r>
      <w:r w:rsidR="00B16431" w:rsidRPr="0005586D">
        <w:br/>
        <w:t xml:space="preserve">Project </w:t>
      </w:r>
      <w:r w:rsidR="00E65C76" w:rsidRPr="0005586D">
        <w:t>m</w:t>
      </w:r>
      <w:r w:rsidR="00B16431" w:rsidRPr="0005586D">
        <w:t>anager</w:t>
      </w:r>
      <w:bookmarkEnd w:id="9"/>
    </w:p>
    <w:p w14:paraId="3E9834A9" w14:textId="77777777" w:rsidR="006E7647" w:rsidRPr="0005586D" w:rsidRDefault="006E7647" w:rsidP="00F05E37">
      <w:pPr>
        <w:pStyle w:val="NICEnormal"/>
      </w:pPr>
      <w:r w:rsidRPr="0005586D">
        <w:t xml:space="preserve">ISBN: </w:t>
      </w:r>
      <w:r w:rsidRPr="0005586D">
        <w:rPr>
          <w:highlight w:val="green"/>
        </w:rPr>
        <w:t>[to be added at publication]</w:t>
      </w:r>
    </w:p>
    <w:sectPr w:rsidR="006E7647" w:rsidRPr="0005586D" w:rsidSect="00C76DDA">
      <w:headerReference w:type="default" r:id="rId16"/>
      <w:footerReference w:type="default" r:id="rId17"/>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58AC3" w14:textId="77777777" w:rsidR="004766EF" w:rsidRDefault="004766EF">
      <w:r>
        <w:separator/>
      </w:r>
    </w:p>
  </w:endnote>
  <w:endnote w:type="continuationSeparator" w:id="0">
    <w:p w14:paraId="1BFD2A5D" w14:textId="77777777" w:rsidR="004766EF" w:rsidRDefault="0047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785EA" w14:textId="1B2AEBF7" w:rsidR="004766EF" w:rsidRPr="00593A42" w:rsidRDefault="004766EF" w:rsidP="007A7EC8">
    <w:pPr>
      <w:pStyle w:val="NICEnormalsinglespacing"/>
      <w:spacing w:after="120"/>
      <w:rPr>
        <w:sz w:val="18"/>
        <w:szCs w:val="18"/>
      </w:rPr>
    </w:pPr>
    <w:r>
      <w:rPr>
        <w:sz w:val="18"/>
        <w:szCs w:val="18"/>
      </w:rPr>
      <w:t>Appraisal consultation document</w:t>
    </w:r>
    <w:r w:rsidRPr="00593A42">
      <w:rPr>
        <w:sz w:val="18"/>
        <w:szCs w:val="18"/>
      </w:rPr>
      <w:t xml:space="preserve"> – Andexanet alfa for reversing</w:t>
    </w:r>
    <w:r>
      <w:rPr>
        <w:sz w:val="18"/>
        <w:szCs w:val="18"/>
      </w:rPr>
      <w:t xml:space="preserve"> anticoagulation</w:t>
    </w:r>
    <w:r w:rsidR="00311840">
      <w:rPr>
        <w:sz w:val="18"/>
        <w:szCs w:val="18"/>
      </w:rPr>
      <w:t xml:space="preserve"> </w:t>
    </w:r>
    <w:r w:rsidR="00EF2209">
      <w:rPr>
        <w:sz w:val="18"/>
        <w:szCs w:val="18"/>
      </w:rPr>
      <w:t xml:space="preserve">from </w:t>
    </w:r>
    <w:r w:rsidR="00311840">
      <w:rPr>
        <w:sz w:val="18"/>
        <w:szCs w:val="18"/>
      </w:rPr>
      <w:t xml:space="preserve">apixaban or rivaroxaban </w:t>
    </w:r>
    <w:r w:rsidRPr="00593A42">
      <w:rPr>
        <w:rStyle w:val="PageNumber"/>
        <w:sz w:val="20"/>
        <w:szCs w:val="20"/>
      </w:rPr>
      <w:t xml:space="preserve">Page </w:t>
    </w:r>
    <w:r w:rsidRPr="0039118D">
      <w:rPr>
        <w:rStyle w:val="PageNumber"/>
        <w:sz w:val="20"/>
        <w:szCs w:val="20"/>
      </w:rPr>
      <w:fldChar w:fldCharType="begin"/>
    </w:r>
    <w:r w:rsidRPr="00593A42">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8</w:t>
    </w:r>
    <w:r w:rsidRPr="0039118D">
      <w:rPr>
        <w:rStyle w:val="PageNumber"/>
        <w:sz w:val="20"/>
        <w:szCs w:val="20"/>
      </w:rPr>
      <w:fldChar w:fldCharType="end"/>
    </w:r>
    <w:r w:rsidRPr="00593A42">
      <w:rPr>
        <w:rStyle w:val="PageNumber"/>
        <w:sz w:val="20"/>
        <w:szCs w:val="20"/>
      </w:rPr>
      <w:t xml:space="preserve"> of </w:t>
    </w:r>
    <w:r w:rsidRPr="0039118D">
      <w:rPr>
        <w:rStyle w:val="PageNumber"/>
        <w:sz w:val="20"/>
        <w:szCs w:val="20"/>
      </w:rPr>
      <w:fldChar w:fldCharType="begin"/>
    </w:r>
    <w:r w:rsidRPr="00593A42">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17</w:t>
    </w:r>
    <w:r w:rsidRPr="0039118D">
      <w:rPr>
        <w:rStyle w:val="PageNumber"/>
        <w:sz w:val="20"/>
        <w:szCs w:val="20"/>
      </w:rPr>
      <w:fldChar w:fldCharType="end"/>
    </w:r>
  </w:p>
  <w:p w14:paraId="31D913B0" w14:textId="55F296A0" w:rsidR="004766EF" w:rsidRDefault="004766EF" w:rsidP="007A7EC8">
    <w:pPr>
      <w:pStyle w:val="NICEnormalsinglespacing"/>
      <w:spacing w:after="120"/>
      <w:rPr>
        <w:sz w:val="18"/>
        <w:szCs w:val="18"/>
      </w:rPr>
    </w:pPr>
    <w:r w:rsidRPr="003D33FB">
      <w:rPr>
        <w:sz w:val="18"/>
        <w:szCs w:val="18"/>
      </w:rPr>
      <w:t xml:space="preserve">Issue date: </w:t>
    </w:r>
    <w:r>
      <w:rPr>
        <w:sz w:val="18"/>
        <w:szCs w:val="18"/>
      </w:rPr>
      <w:t>September 2020</w:t>
    </w:r>
  </w:p>
  <w:p w14:paraId="6FD50AD2" w14:textId="067A1716" w:rsidR="004766EF" w:rsidRPr="007A7EC8" w:rsidRDefault="004766EF" w:rsidP="007A7EC8">
    <w:pPr>
      <w:pStyle w:val="NICEnormalsinglespacing"/>
      <w:spacing w:after="120"/>
    </w:pPr>
    <w:r>
      <w:rPr>
        <w:sz w:val="18"/>
        <w:szCs w:val="18"/>
      </w:rPr>
      <w:t xml:space="preserve">© NICE [2020].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2C952" w14:textId="77777777" w:rsidR="004766EF" w:rsidRDefault="004766EF">
      <w:r>
        <w:separator/>
      </w:r>
    </w:p>
  </w:footnote>
  <w:footnote w:type="continuationSeparator" w:id="0">
    <w:p w14:paraId="695053E1" w14:textId="77777777" w:rsidR="004766EF" w:rsidRDefault="0047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764C2" w14:textId="77777777" w:rsidR="004766EF" w:rsidRPr="004E6427" w:rsidRDefault="004766EF"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3843A0"/>
    <w:multiLevelType w:val="hybridMultilevel"/>
    <w:tmpl w:val="0A68790A"/>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C72D8"/>
    <w:multiLevelType w:val="hybridMultilevel"/>
    <w:tmpl w:val="D2300A7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B326767"/>
    <w:multiLevelType w:val="multilevel"/>
    <w:tmpl w:val="58948BA8"/>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i w:val="0"/>
      </w:rPr>
    </w:lvl>
    <w:lvl w:ilvl="2">
      <w:start w:val="1"/>
      <w:numFmt w:val="bullet"/>
      <w:lvlText w:val=""/>
      <w:lvlJc w:val="left"/>
      <w:pPr>
        <w:tabs>
          <w:tab w:val="num" w:pos="1134"/>
        </w:tabs>
        <w:ind w:left="1134" w:hanging="1134"/>
      </w:pPr>
      <w:rPr>
        <w:rFonts w:ascii="Symbol" w:hAnsi="Symbol" w:hint="default"/>
      </w:rPr>
    </w:lvl>
    <w:lvl w:ilvl="3">
      <w:start w:val="1"/>
      <w:numFmt w:val="bullet"/>
      <w:lvlText w:val=""/>
      <w:lvlJc w:val="left"/>
      <w:pPr>
        <w:tabs>
          <w:tab w:val="num" w:pos="1134"/>
        </w:tabs>
        <w:ind w:left="1134" w:hanging="1134"/>
      </w:pPr>
      <w:rPr>
        <w:rFonts w:ascii="Symbol" w:hAnsi="Symbol"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8E3786"/>
    <w:multiLevelType w:val="multilevel"/>
    <w:tmpl w:val="262A7454"/>
    <w:lvl w:ilvl="0">
      <w:start w:val="1"/>
      <w:numFmt w:val="decimal"/>
      <w:lvlText w:val="%1"/>
      <w:lvlJc w:val="left"/>
      <w:pPr>
        <w:tabs>
          <w:tab w:val="num" w:pos="1134"/>
        </w:tabs>
        <w:ind w:left="1134" w:hanging="1134"/>
      </w:pPr>
      <w:rPr>
        <w:rFonts w:hint="default"/>
      </w:rPr>
    </w:lvl>
    <w:lvl w:ilvl="1">
      <w:start w:val="1"/>
      <w:numFmt w:val="bullet"/>
      <w:lvlText w:val=""/>
      <w:lvlJc w:val="left"/>
      <w:pPr>
        <w:tabs>
          <w:tab w:val="num" w:pos="1134"/>
        </w:tabs>
        <w:ind w:left="1134" w:hanging="1134"/>
      </w:pPr>
      <w:rPr>
        <w:rFonts w:ascii="Symbol" w:hAnsi="Symbol" w:hint="default"/>
        <w:i w:val="0"/>
      </w:rPr>
    </w:lvl>
    <w:lvl w:ilvl="2">
      <w:start w:val="1"/>
      <w:numFmt w:val="bullet"/>
      <w:lvlText w:val=""/>
      <w:lvlJc w:val="left"/>
      <w:pPr>
        <w:tabs>
          <w:tab w:val="num" w:pos="1134"/>
        </w:tabs>
        <w:ind w:left="1134" w:hanging="1134"/>
      </w:pPr>
      <w:rPr>
        <w:rFonts w:ascii="Symbol" w:hAnsi="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4A77284"/>
    <w:multiLevelType w:val="multilevel"/>
    <w:tmpl w:val="0F3A8566"/>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i w:val="0"/>
      </w:rPr>
    </w:lvl>
    <w:lvl w:ilvl="2">
      <w:start w:val="1"/>
      <w:numFmt w:val="bullet"/>
      <w:lvlText w:val=""/>
      <w:lvlJc w:val="left"/>
      <w:pPr>
        <w:tabs>
          <w:tab w:val="num" w:pos="1134"/>
        </w:tabs>
        <w:ind w:left="1134" w:hanging="1134"/>
      </w:pPr>
      <w:rPr>
        <w:rFonts w:ascii="Symbol" w:hAnsi="Symbol"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FC3962"/>
    <w:multiLevelType w:val="hybridMultilevel"/>
    <w:tmpl w:val="3C981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8"/>
  </w:num>
  <w:num w:numId="2">
    <w:abstractNumId w:val="1"/>
  </w:num>
  <w:num w:numId="3">
    <w:abstractNumId w:val="17"/>
  </w:num>
  <w:num w:numId="4">
    <w:abstractNumId w:val="13"/>
  </w:num>
  <w:num w:numId="5">
    <w:abstractNumId w:val="15"/>
  </w:num>
  <w:num w:numId="6">
    <w:abstractNumId w:val="0"/>
  </w:num>
  <w:num w:numId="7">
    <w:abstractNumId w:val="2"/>
  </w:num>
  <w:num w:numId="8">
    <w:abstractNumId w:val="5"/>
  </w:num>
  <w:num w:numId="9">
    <w:abstractNumId w:val="6"/>
  </w:num>
  <w:num w:numId="10">
    <w:abstractNumId w:val="8"/>
  </w:num>
  <w:num w:numId="11">
    <w:abstractNumId w:val="11"/>
  </w:num>
  <w:num w:numId="12">
    <w:abstractNumId w:val="10"/>
  </w:num>
  <w:num w:numId="13">
    <w:abstractNumId w:val="4"/>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8"/>
  </w:num>
  <w:num w:numId="18">
    <w:abstractNumId w:val="7"/>
  </w:num>
  <w:num w:numId="19">
    <w:abstractNumId w:val="19"/>
  </w:num>
  <w:num w:numId="20">
    <w:abstractNumId w:val="14"/>
  </w:num>
  <w:num w:numId="21">
    <w:abstractNumId w:val="12"/>
  </w:num>
  <w:num w:numId="22">
    <w:abstractNumId w:val="9"/>
  </w:num>
  <w:num w:numId="23">
    <w:abstractNumId w:val="8"/>
  </w:num>
  <w:num w:numId="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63"/>
    <w:rsid w:val="0000021C"/>
    <w:rsid w:val="00000441"/>
    <w:rsid w:val="0000441D"/>
    <w:rsid w:val="00006590"/>
    <w:rsid w:val="000069A4"/>
    <w:rsid w:val="000069F9"/>
    <w:rsid w:val="0000727D"/>
    <w:rsid w:val="000119FB"/>
    <w:rsid w:val="00014990"/>
    <w:rsid w:val="00016A22"/>
    <w:rsid w:val="00016E5E"/>
    <w:rsid w:val="00017610"/>
    <w:rsid w:val="000176F7"/>
    <w:rsid w:val="000179EB"/>
    <w:rsid w:val="000205C6"/>
    <w:rsid w:val="00021FB0"/>
    <w:rsid w:val="000221AA"/>
    <w:rsid w:val="0002331F"/>
    <w:rsid w:val="000236A5"/>
    <w:rsid w:val="00023F26"/>
    <w:rsid w:val="000249F8"/>
    <w:rsid w:val="0002533B"/>
    <w:rsid w:val="000254C4"/>
    <w:rsid w:val="00026E82"/>
    <w:rsid w:val="00027205"/>
    <w:rsid w:val="00027397"/>
    <w:rsid w:val="00030676"/>
    <w:rsid w:val="00030714"/>
    <w:rsid w:val="00030804"/>
    <w:rsid w:val="0003322C"/>
    <w:rsid w:val="00033241"/>
    <w:rsid w:val="00034110"/>
    <w:rsid w:val="00035AC1"/>
    <w:rsid w:val="000368FC"/>
    <w:rsid w:val="00037063"/>
    <w:rsid w:val="000376EE"/>
    <w:rsid w:val="00037E92"/>
    <w:rsid w:val="0004187C"/>
    <w:rsid w:val="000421F8"/>
    <w:rsid w:val="00043262"/>
    <w:rsid w:val="000442C0"/>
    <w:rsid w:val="000443D3"/>
    <w:rsid w:val="0004462C"/>
    <w:rsid w:val="00044C5A"/>
    <w:rsid w:val="00044C78"/>
    <w:rsid w:val="00044E21"/>
    <w:rsid w:val="00045528"/>
    <w:rsid w:val="00050252"/>
    <w:rsid w:val="000502E4"/>
    <w:rsid w:val="000506A9"/>
    <w:rsid w:val="00052063"/>
    <w:rsid w:val="0005586D"/>
    <w:rsid w:val="00055B48"/>
    <w:rsid w:val="00055DDF"/>
    <w:rsid w:val="00057724"/>
    <w:rsid w:val="00057F81"/>
    <w:rsid w:val="00061C83"/>
    <w:rsid w:val="0006274A"/>
    <w:rsid w:val="00066244"/>
    <w:rsid w:val="0006624B"/>
    <w:rsid w:val="00066BF9"/>
    <w:rsid w:val="00066DA3"/>
    <w:rsid w:val="000711F1"/>
    <w:rsid w:val="00071272"/>
    <w:rsid w:val="00073DA8"/>
    <w:rsid w:val="000740A6"/>
    <w:rsid w:val="000755E6"/>
    <w:rsid w:val="000764D3"/>
    <w:rsid w:val="00080A47"/>
    <w:rsid w:val="00082F77"/>
    <w:rsid w:val="000846D1"/>
    <w:rsid w:val="00085C5A"/>
    <w:rsid w:val="000862FC"/>
    <w:rsid w:val="00087323"/>
    <w:rsid w:val="000879ED"/>
    <w:rsid w:val="00090326"/>
    <w:rsid w:val="00093649"/>
    <w:rsid w:val="00096246"/>
    <w:rsid w:val="000966CF"/>
    <w:rsid w:val="00096F5B"/>
    <w:rsid w:val="000A0A6E"/>
    <w:rsid w:val="000A0F5A"/>
    <w:rsid w:val="000A3C98"/>
    <w:rsid w:val="000A3F02"/>
    <w:rsid w:val="000A4016"/>
    <w:rsid w:val="000A51B4"/>
    <w:rsid w:val="000A5228"/>
    <w:rsid w:val="000A58AF"/>
    <w:rsid w:val="000A5A30"/>
    <w:rsid w:val="000A6C40"/>
    <w:rsid w:val="000B3775"/>
    <w:rsid w:val="000B408E"/>
    <w:rsid w:val="000B70D6"/>
    <w:rsid w:val="000B7F7A"/>
    <w:rsid w:val="000C04A1"/>
    <w:rsid w:val="000C0957"/>
    <w:rsid w:val="000C194F"/>
    <w:rsid w:val="000C2222"/>
    <w:rsid w:val="000C2E61"/>
    <w:rsid w:val="000C4772"/>
    <w:rsid w:val="000C51D9"/>
    <w:rsid w:val="000D09ED"/>
    <w:rsid w:val="000D0A87"/>
    <w:rsid w:val="000D0FB1"/>
    <w:rsid w:val="000D11B8"/>
    <w:rsid w:val="000D145B"/>
    <w:rsid w:val="000D14FD"/>
    <w:rsid w:val="000D2796"/>
    <w:rsid w:val="000D2845"/>
    <w:rsid w:val="000D4697"/>
    <w:rsid w:val="000D6016"/>
    <w:rsid w:val="000D6D19"/>
    <w:rsid w:val="000D7185"/>
    <w:rsid w:val="000E1347"/>
    <w:rsid w:val="000E1CED"/>
    <w:rsid w:val="000E24BD"/>
    <w:rsid w:val="000E29D1"/>
    <w:rsid w:val="000E61FC"/>
    <w:rsid w:val="000E6F19"/>
    <w:rsid w:val="000F0310"/>
    <w:rsid w:val="000F1B3B"/>
    <w:rsid w:val="000F1E3F"/>
    <w:rsid w:val="000F2A2C"/>
    <w:rsid w:val="000F3556"/>
    <w:rsid w:val="000F3DBC"/>
    <w:rsid w:val="000F48EC"/>
    <w:rsid w:val="000F4CF7"/>
    <w:rsid w:val="000F5D8D"/>
    <w:rsid w:val="001017A9"/>
    <w:rsid w:val="00101F34"/>
    <w:rsid w:val="001033D5"/>
    <w:rsid w:val="001039F7"/>
    <w:rsid w:val="00105409"/>
    <w:rsid w:val="00107DBD"/>
    <w:rsid w:val="00110C95"/>
    <w:rsid w:val="00111360"/>
    <w:rsid w:val="00112E3F"/>
    <w:rsid w:val="00113666"/>
    <w:rsid w:val="001145BA"/>
    <w:rsid w:val="001150F4"/>
    <w:rsid w:val="0011518D"/>
    <w:rsid w:val="001169FE"/>
    <w:rsid w:val="00116D19"/>
    <w:rsid w:val="00117159"/>
    <w:rsid w:val="001173AF"/>
    <w:rsid w:val="00117FF3"/>
    <w:rsid w:val="00120A3C"/>
    <w:rsid w:val="0012109B"/>
    <w:rsid w:val="00121E78"/>
    <w:rsid w:val="001230AC"/>
    <w:rsid w:val="00123197"/>
    <w:rsid w:val="0012326A"/>
    <w:rsid w:val="00123DA4"/>
    <w:rsid w:val="00123F4B"/>
    <w:rsid w:val="00124604"/>
    <w:rsid w:val="00126162"/>
    <w:rsid w:val="001265C0"/>
    <w:rsid w:val="0013157A"/>
    <w:rsid w:val="00132938"/>
    <w:rsid w:val="001337B7"/>
    <w:rsid w:val="00133921"/>
    <w:rsid w:val="00133D44"/>
    <w:rsid w:val="001344B3"/>
    <w:rsid w:val="0013622A"/>
    <w:rsid w:val="00137F02"/>
    <w:rsid w:val="00140C93"/>
    <w:rsid w:val="001432C3"/>
    <w:rsid w:val="00143536"/>
    <w:rsid w:val="00145B2F"/>
    <w:rsid w:val="00150440"/>
    <w:rsid w:val="00151D8E"/>
    <w:rsid w:val="00152065"/>
    <w:rsid w:val="0015241A"/>
    <w:rsid w:val="0015254C"/>
    <w:rsid w:val="00154992"/>
    <w:rsid w:val="001550AD"/>
    <w:rsid w:val="001570BC"/>
    <w:rsid w:val="00157366"/>
    <w:rsid w:val="001579BF"/>
    <w:rsid w:val="00161AA0"/>
    <w:rsid w:val="001662BC"/>
    <w:rsid w:val="0017072D"/>
    <w:rsid w:val="00170B60"/>
    <w:rsid w:val="001712C3"/>
    <w:rsid w:val="00171A2B"/>
    <w:rsid w:val="00172737"/>
    <w:rsid w:val="00174F6E"/>
    <w:rsid w:val="00176FB2"/>
    <w:rsid w:val="00177F68"/>
    <w:rsid w:val="001823EB"/>
    <w:rsid w:val="00182946"/>
    <w:rsid w:val="0018312A"/>
    <w:rsid w:val="001832AD"/>
    <w:rsid w:val="001839E8"/>
    <w:rsid w:val="00184A64"/>
    <w:rsid w:val="00184DA9"/>
    <w:rsid w:val="0018716E"/>
    <w:rsid w:val="001873CB"/>
    <w:rsid w:val="00191B56"/>
    <w:rsid w:val="00192051"/>
    <w:rsid w:val="00193945"/>
    <w:rsid w:val="001956FC"/>
    <w:rsid w:val="001970ED"/>
    <w:rsid w:val="0019718A"/>
    <w:rsid w:val="001A020B"/>
    <w:rsid w:val="001A1AE2"/>
    <w:rsid w:val="001A5D8D"/>
    <w:rsid w:val="001A6B27"/>
    <w:rsid w:val="001B0D98"/>
    <w:rsid w:val="001B2DD8"/>
    <w:rsid w:val="001B50F0"/>
    <w:rsid w:val="001B64EC"/>
    <w:rsid w:val="001B7E00"/>
    <w:rsid w:val="001C0EF4"/>
    <w:rsid w:val="001C4C5A"/>
    <w:rsid w:val="001C59E4"/>
    <w:rsid w:val="001D00F8"/>
    <w:rsid w:val="001D051F"/>
    <w:rsid w:val="001D1D43"/>
    <w:rsid w:val="001D2EC1"/>
    <w:rsid w:val="001D4AF6"/>
    <w:rsid w:val="001D5090"/>
    <w:rsid w:val="001D76FE"/>
    <w:rsid w:val="001E0348"/>
    <w:rsid w:val="001E04A9"/>
    <w:rsid w:val="001E1E21"/>
    <w:rsid w:val="001E27E5"/>
    <w:rsid w:val="001E2CAF"/>
    <w:rsid w:val="001E4D37"/>
    <w:rsid w:val="001F0B6F"/>
    <w:rsid w:val="001F0E0C"/>
    <w:rsid w:val="001F1400"/>
    <w:rsid w:val="001F3EE2"/>
    <w:rsid w:val="001F5E84"/>
    <w:rsid w:val="001F6078"/>
    <w:rsid w:val="001F6CAD"/>
    <w:rsid w:val="001F7251"/>
    <w:rsid w:val="00201166"/>
    <w:rsid w:val="00203938"/>
    <w:rsid w:val="00204F82"/>
    <w:rsid w:val="00205EF5"/>
    <w:rsid w:val="002065D6"/>
    <w:rsid w:val="0021081C"/>
    <w:rsid w:val="002119CD"/>
    <w:rsid w:val="002155A9"/>
    <w:rsid w:val="002159C9"/>
    <w:rsid w:val="00220BF3"/>
    <w:rsid w:val="002218BC"/>
    <w:rsid w:val="00222BEA"/>
    <w:rsid w:val="00225439"/>
    <w:rsid w:val="00225F9B"/>
    <w:rsid w:val="002306E6"/>
    <w:rsid w:val="00230C69"/>
    <w:rsid w:val="00231409"/>
    <w:rsid w:val="00232061"/>
    <w:rsid w:val="002326FF"/>
    <w:rsid w:val="00233AB1"/>
    <w:rsid w:val="00235945"/>
    <w:rsid w:val="00235CAB"/>
    <w:rsid w:val="002366A1"/>
    <w:rsid w:val="00237B40"/>
    <w:rsid w:val="00242953"/>
    <w:rsid w:val="0024466A"/>
    <w:rsid w:val="00251F1B"/>
    <w:rsid w:val="00253EB9"/>
    <w:rsid w:val="002555BE"/>
    <w:rsid w:val="00255679"/>
    <w:rsid w:val="00255F1B"/>
    <w:rsid w:val="00257B1C"/>
    <w:rsid w:val="002614EA"/>
    <w:rsid w:val="00265B0E"/>
    <w:rsid w:val="00267F21"/>
    <w:rsid w:val="00272D73"/>
    <w:rsid w:val="002743F5"/>
    <w:rsid w:val="00275B86"/>
    <w:rsid w:val="00277C6D"/>
    <w:rsid w:val="00282C30"/>
    <w:rsid w:val="00282D7E"/>
    <w:rsid w:val="00290445"/>
    <w:rsid w:val="00291171"/>
    <w:rsid w:val="0029148A"/>
    <w:rsid w:val="00292044"/>
    <w:rsid w:val="00293811"/>
    <w:rsid w:val="002A151A"/>
    <w:rsid w:val="002A2687"/>
    <w:rsid w:val="002A48E7"/>
    <w:rsid w:val="002A5534"/>
    <w:rsid w:val="002A5C23"/>
    <w:rsid w:val="002A686F"/>
    <w:rsid w:val="002A6D83"/>
    <w:rsid w:val="002B3340"/>
    <w:rsid w:val="002B5772"/>
    <w:rsid w:val="002B6D1D"/>
    <w:rsid w:val="002B7912"/>
    <w:rsid w:val="002C0551"/>
    <w:rsid w:val="002C19F0"/>
    <w:rsid w:val="002C257D"/>
    <w:rsid w:val="002C2774"/>
    <w:rsid w:val="002C381D"/>
    <w:rsid w:val="002C5BD8"/>
    <w:rsid w:val="002C6992"/>
    <w:rsid w:val="002D23AC"/>
    <w:rsid w:val="002D2710"/>
    <w:rsid w:val="002D79A7"/>
    <w:rsid w:val="002E007C"/>
    <w:rsid w:val="002E2457"/>
    <w:rsid w:val="002E324F"/>
    <w:rsid w:val="002E3F68"/>
    <w:rsid w:val="002E43DE"/>
    <w:rsid w:val="002E5C16"/>
    <w:rsid w:val="002E6FD1"/>
    <w:rsid w:val="002E73E7"/>
    <w:rsid w:val="002F0AA7"/>
    <w:rsid w:val="002F1B28"/>
    <w:rsid w:val="002F2583"/>
    <w:rsid w:val="002F279A"/>
    <w:rsid w:val="002F2C1A"/>
    <w:rsid w:val="002F3C1E"/>
    <w:rsid w:val="002F4F5B"/>
    <w:rsid w:val="002F68FE"/>
    <w:rsid w:val="002F6E5C"/>
    <w:rsid w:val="002F7B3A"/>
    <w:rsid w:val="00300DF8"/>
    <w:rsid w:val="00303156"/>
    <w:rsid w:val="00304159"/>
    <w:rsid w:val="003061B0"/>
    <w:rsid w:val="00306CC7"/>
    <w:rsid w:val="003107AB"/>
    <w:rsid w:val="0031127A"/>
    <w:rsid w:val="00311840"/>
    <w:rsid w:val="003119FE"/>
    <w:rsid w:val="003154E8"/>
    <w:rsid w:val="00315C29"/>
    <w:rsid w:val="0031664C"/>
    <w:rsid w:val="00321010"/>
    <w:rsid w:val="00324997"/>
    <w:rsid w:val="003256B1"/>
    <w:rsid w:val="003270CA"/>
    <w:rsid w:val="003300B6"/>
    <w:rsid w:val="00331545"/>
    <w:rsid w:val="003330E6"/>
    <w:rsid w:val="0033333E"/>
    <w:rsid w:val="00333F70"/>
    <w:rsid w:val="003362B7"/>
    <w:rsid w:val="003368C0"/>
    <w:rsid w:val="00337CCA"/>
    <w:rsid w:val="00343439"/>
    <w:rsid w:val="00343B53"/>
    <w:rsid w:val="00344276"/>
    <w:rsid w:val="003459E9"/>
    <w:rsid w:val="003462FE"/>
    <w:rsid w:val="00346BA7"/>
    <w:rsid w:val="003508DB"/>
    <w:rsid w:val="00354915"/>
    <w:rsid w:val="003605BC"/>
    <w:rsid w:val="00363AD5"/>
    <w:rsid w:val="00364E30"/>
    <w:rsid w:val="00365246"/>
    <w:rsid w:val="00365BDA"/>
    <w:rsid w:val="00366092"/>
    <w:rsid w:val="00372031"/>
    <w:rsid w:val="003738C2"/>
    <w:rsid w:val="00374541"/>
    <w:rsid w:val="0037475B"/>
    <w:rsid w:val="00375B4C"/>
    <w:rsid w:val="0037638B"/>
    <w:rsid w:val="003765B7"/>
    <w:rsid w:val="0037715B"/>
    <w:rsid w:val="003775B7"/>
    <w:rsid w:val="00380925"/>
    <w:rsid w:val="003847B9"/>
    <w:rsid w:val="00385E85"/>
    <w:rsid w:val="003868D8"/>
    <w:rsid w:val="0039118D"/>
    <w:rsid w:val="00391AC8"/>
    <w:rsid w:val="00392FB4"/>
    <w:rsid w:val="00394D35"/>
    <w:rsid w:val="00394DFF"/>
    <w:rsid w:val="00395C05"/>
    <w:rsid w:val="00396415"/>
    <w:rsid w:val="00396E53"/>
    <w:rsid w:val="003A0250"/>
    <w:rsid w:val="003A04CD"/>
    <w:rsid w:val="003A11AB"/>
    <w:rsid w:val="003A1F14"/>
    <w:rsid w:val="003A1FE7"/>
    <w:rsid w:val="003A3974"/>
    <w:rsid w:val="003A5838"/>
    <w:rsid w:val="003A62A7"/>
    <w:rsid w:val="003A6BA7"/>
    <w:rsid w:val="003B0007"/>
    <w:rsid w:val="003B0BC2"/>
    <w:rsid w:val="003B21D0"/>
    <w:rsid w:val="003B37BB"/>
    <w:rsid w:val="003B472D"/>
    <w:rsid w:val="003C03BB"/>
    <w:rsid w:val="003C360D"/>
    <w:rsid w:val="003C36AC"/>
    <w:rsid w:val="003C736D"/>
    <w:rsid w:val="003C7EF9"/>
    <w:rsid w:val="003D25B7"/>
    <w:rsid w:val="003D5E99"/>
    <w:rsid w:val="003D68D5"/>
    <w:rsid w:val="003D7050"/>
    <w:rsid w:val="003E070D"/>
    <w:rsid w:val="003E14CF"/>
    <w:rsid w:val="003E1563"/>
    <w:rsid w:val="003E684C"/>
    <w:rsid w:val="003E79A8"/>
    <w:rsid w:val="003E7CA9"/>
    <w:rsid w:val="003F14F7"/>
    <w:rsid w:val="003F168A"/>
    <w:rsid w:val="00404115"/>
    <w:rsid w:val="00407AEF"/>
    <w:rsid w:val="00407D59"/>
    <w:rsid w:val="00410248"/>
    <w:rsid w:val="00413E04"/>
    <w:rsid w:val="0041525E"/>
    <w:rsid w:val="00415939"/>
    <w:rsid w:val="00415CD8"/>
    <w:rsid w:val="0041637E"/>
    <w:rsid w:val="00416CB8"/>
    <w:rsid w:val="00420742"/>
    <w:rsid w:val="00420FAE"/>
    <w:rsid w:val="00421005"/>
    <w:rsid w:val="00421F00"/>
    <w:rsid w:val="00422ABC"/>
    <w:rsid w:val="00424378"/>
    <w:rsid w:val="0042778A"/>
    <w:rsid w:val="00427ED2"/>
    <w:rsid w:val="00431372"/>
    <w:rsid w:val="00432F7C"/>
    <w:rsid w:val="00433564"/>
    <w:rsid w:val="00435A15"/>
    <w:rsid w:val="0043621E"/>
    <w:rsid w:val="00437CA3"/>
    <w:rsid w:val="0044027B"/>
    <w:rsid w:val="004408F8"/>
    <w:rsid w:val="00445BED"/>
    <w:rsid w:val="00446206"/>
    <w:rsid w:val="0044648F"/>
    <w:rsid w:val="00446D69"/>
    <w:rsid w:val="00446DA2"/>
    <w:rsid w:val="004560E0"/>
    <w:rsid w:val="00457843"/>
    <w:rsid w:val="00462002"/>
    <w:rsid w:val="0046212F"/>
    <w:rsid w:val="00462733"/>
    <w:rsid w:val="00463227"/>
    <w:rsid w:val="00463366"/>
    <w:rsid w:val="004634D5"/>
    <w:rsid w:val="00463673"/>
    <w:rsid w:val="00463973"/>
    <w:rsid w:val="00463FEC"/>
    <w:rsid w:val="00466674"/>
    <w:rsid w:val="0046672B"/>
    <w:rsid w:val="00471113"/>
    <w:rsid w:val="00471200"/>
    <w:rsid w:val="00472FF8"/>
    <w:rsid w:val="00473FBF"/>
    <w:rsid w:val="004751BB"/>
    <w:rsid w:val="00475F03"/>
    <w:rsid w:val="004766E9"/>
    <w:rsid w:val="004766EF"/>
    <w:rsid w:val="004804B3"/>
    <w:rsid w:val="00481E06"/>
    <w:rsid w:val="004820E9"/>
    <w:rsid w:val="00482E18"/>
    <w:rsid w:val="00483119"/>
    <w:rsid w:val="0048361F"/>
    <w:rsid w:val="004845D0"/>
    <w:rsid w:val="004852FF"/>
    <w:rsid w:val="00485D75"/>
    <w:rsid w:val="00487D18"/>
    <w:rsid w:val="00491B79"/>
    <w:rsid w:val="00492FDA"/>
    <w:rsid w:val="00493124"/>
    <w:rsid w:val="00494D8F"/>
    <w:rsid w:val="00494E73"/>
    <w:rsid w:val="004A2830"/>
    <w:rsid w:val="004A35D2"/>
    <w:rsid w:val="004B514C"/>
    <w:rsid w:val="004B7D57"/>
    <w:rsid w:val="004C00D8"/>
    <w:rsid w:val="004C3DAD"/>
    <w:rsid w:val="004C5923"/>
    <w:rsid w:val="004C5F25"/>
    <w:rsid w:val="004C6116"/>
    <w:rsid w:val="004C7C61"/>
    <w:rsid w:val="004D05E1"/>
    <w:rsid w:val="004D0DFD"/>
    <w:rsid w:val="004D140A"/>
    <w:rsid w:val="004D1B4F"/>
    <w:rsid w:val="004D1FBE"/>
    <w:rsid w:val="004D4A86"/>
    <w:rsid w:val="004D4AC9"/>
    <w:rsid w:val="004D606C"/>
    <w:rsid w:val="004D7664"/>
    <w:rsid w:val="004E074F"/>
    <w:rsid w:val="004E2BC4"/>
    <w:rsid w:val="004E3301"/>
    <w:rsid w:val="004E568B"/>
    <w:rsid w:val="004E6427"/>
    <w:rsid w:val="004E7625"/>
    <w:rsid w:val="004E7A6C"/>
    <w:rsid w:val="004E7E43"/>
    <w:rsid w:val="004F1956"/>
    <w:rsid w:val="004F5FC6"/>
    <w:rsid w:val="004F69FA"/>
    <w:rsid w:val="0050101C"/>
    <w:rsid w:val="00501E1C"/>
    <w:rsid w:val="005037B2"/>
    <w:rsid w:val="00504314"/>
    <w:rsid w:val="0050455E"/>
    <w:rsid w:val="005047AD"/>
    <w:rsid w:val="00510B1D"/>
    <w:rsid w:val="0051107D"/>
    <w:rsid w:val="00511167"/>
    <w:rsid w:val="00511BC3"/>
    <w:rsid w:val="00512E7D"/>
    <w:rsid w:val="00513014"/>
    <w:rsid w:val="0051654A"/>
    <w:rsid w:val="00525C62"/>
    <w:rsid w:val="00526C07"/>
    <w:rsid w:val="00526CA9"/>
    <w:rsid w:val="005273A6"/>
    <w:rsid w:val="00527533"/>
    <w:rsid w:val="00527E88"/>
    <w:rsid w:val="00530F8F"/>
    <w:rsid w:val="00531232"/>
    <w:rsid w:val="0053157B"/>
    <w:rsid w:val="005325B1"/>
    <w:rsid w:val="0053387C"/>
    <w:rsid w:val="005347DB"/>
    <w:rsid w:val="00534F74"/>
    <w:rsid w:val="00535EF6"/>
    <w:rsid w:val="00536789"/>
    <w:rsid w:val="00536D2F"/>
    <w:rsid w:val="00540052"/>
    <w:rsid w:val="0054146B"/>
    <w:rsid w:val="00542E84"/>
    <w:rsid w:val="005433A4"/>
    <w:rsid w:val="00543DB4"/>
    <w:rsid w:val="00543E08"/>
    <w:rsid w:val="005449AD"/>
    <w:rsid w:val="00545284"/>
    <w:rsid w:val="0054532E"/>
    <w:rsid w:val="00545B26"/>
    <w:rsid w:val="005505ED"/>
    <w:rsid w:val="005529D6"/>
    <w:rsid w:val="00553D7F"/>
    <w:rsid w:val="00554112"/>
    <w:rsid w:val="0055449F"/>
    <w:rsid w:val="005547C5"/>
    <w:rsid w:val="00554909"/>
    <w:rsid w:val="00556F4F"/>
    <w:rsid w:val="0056333B"/>
    <w:rsid w:val="00564B04"/>
    <w:rsid w:val="005654FD"/>
    <w:rsid w:val="005715AF"/>
    <w:rsid w:val="00573059"/>
    <w:rsid w:val="005740A2"/>
    <w:rsid w:val="0057621E"/>
    <w:rsid w:val="00577B05"/>
    <w:rsid w:val="00580D6F"/>
    <w:rsid w:val="005812C6"/>
    <w:rsid w:val="00593A42"/>
    <w:rsid w:val="0059457B"/>
    <w:rsid w:val="005948FA"/>
    <w:rsid w:val="005959BE"/>
    <w:rsid w:val="00596210"/>
    <w:rsid w:val="00596286"/>
    <w:rsid w:val="00596999"/>
    <w:rsid w:val="00596D21"/>
    <w:rsid w:val="005A0F31"/>
    <w:rsid w:val="005A20E0"/>
    <w:rsid w:val="005A28A1"/>
    <w:rsid w:val="005A2F58"/>
    <w:rsid w:val="005A46D0"/>
    <w:rsid w:val="005A6FB5"/>
    <w:rsid w:val="005B0378"/>
    <w:rsid w:val="005B0E07"/>
    <w:rsid w:val="005B13F6"/>
    <w:rsid w:val="005B25E4"/>
    <w:rsid w:val="005B30C8"/>
    <w:rsid w:val="005B4C95"/>
    <w:rsid w:val="005B765C"/>
    <w:rsid w:val="005B7778"/>
    <w:rsid w:val="005C051F"/>
    <w:rsid w:val="005C0DDE"/>
    <w:rsid w:val="005C2185"/>
    <w:rsid w:val="005C4DE0"/>
    <w:rsid w:val="005C6E7B"/>
    <w:rsid w:val="005C762E"/>
    <w:rsid w:val="005D098C"/>
    <w:rsid w:val="005D3FD9"/>
    <w:rsid w:val="005D4981"/>
    <w:rsid w:val="005E11D9"/>
    <w:rsid w:val="005E2139"/>
    <w:rsid w:val="005E46BB"/>
    <w:rsid w:val="005E51C0"/>
    <w:rsid w:val="005E629F"/>
    <w:rsid w:val="005E730B"/>
    <w:rsid w:val="005F05F7"/>
    <w:rsid w:val="005F468F"/>
    <w:rsid w:val="005F483F"/>
    <w:rsid w:val="006001CC"/>
    <w:rsid w:val="00602B4D"/>
    <w:rsid w:val="00602E90"/>
    <w:rsid w:val="00603C94"/>
    <w:rsid w:val="006048E0"/>
    <w:rsid w:val="00604ACC"/>
    <w:rsid w:val="00604FAD"/>
    <w:rsid w:val="0060662A"/>
    <w:rsid w:val="00612789"/>
    <w:rsid w:val="0061348C"/>
    <w:rsid w:val="00613D24"/>
    <w:rsid w:val="00614BDA"/>
    <w:rsid w:val="006152B3"/>
    <w:rsid w:val="00615AD3"/>
    <w:rsid w:val="00621AFB"/>
    <w:rsid w:val="0062218C"/>
    <w:rsid w:val="0062355D"/>
    <w:rsid w:val="006236FE"/>
    <w:rsid w:val="00624165"/>
    <w:rsid w:val="0062589A"/>
    <w:rsid w:val="006260FF"/>
    <w:rsid w:val="006307C7"/>
    <w:rsid w:val="00632B82"/>
    <w:rsid w:val="006331B4"/>
    <w:rsid w:val="00633D4B"/>
    <w:rsid w:val="006343F3"/>
    <w:rsid w:val="00636AE9"/>
    <w:rsid w:val="00636D69"/>
    <w:rsid w:val="00637921"/>
    <w:rsid w:val="00640CF2"/>
    <w:rsid w:val="00641464"/>
    <w:rsid w:val="006417D6"/>
    <w:rsid w:val="00642906"/>
    <w:rsid w:val="00643582"/>
    <w:rsid w:val="00643B75"/>
    <w:rsid w:val="006457EF"/>
    <w:rsid w:val="00646399"/>
    <w:rsid w:val="00646AC3"/>
    <w:rsid w:val="00650F96"/>
    <w:rsid w:val="006512B7"/>
    <w:rsid w:val="00651C22"/>
    <w:rsid w:val="0065497B"/>
    <w:rsid w:val="00655679"/>
    <w:rsid w:val="00655B4D"/>
    <w:rsid w:val="00655ED5"/>
    <w:rsid w:val="00656405"/>
    <w:rsid w:val="00665734"/>
    <w:rsid w:val="00671977"/>
    <w:rsid w:val="00671D80"/>
    <w:rsid w:val="00672EFB"/>
    <w:rsid w:val="006739CF"/>
    <w:rsid w:val="00674B83"/>
    <w:rsid w:val="006754CB"/>
    <w:rsid w:val="0067752C"/>
    <w:rsid w:val="00677648"/>
    <w:rsid w:val="006776A2"/>
    <w:rsid w:val="006801A6"/>
    <w:rsid w:val="00680FC0"/>
    <w:rsid w:val="0068124B"/>
    <w:rsid w:val="00681610"/>
    <w:rsid w:val="00681BD0"/>
    <w:rsid w:val="00684BB1"/>
    <w:rsid w:val="00685D36"/>
    <w:rsid w:val="00685D5A"/>
    <w:rsid w:val="0068714B"/>
    <w:rsid w:val="00687304"/>
    <w:rsid w:val="00692C71"/>
    <w:rsid w:val="006931A0"/>
    <w:rsid w:val="006935BC"/>
    <w:rsid w:val="00694F68"/>
    <w:rsid w:val="00696E55"/>
    <w:rsid w:val="006A0B0E"/>
    <w:rsid w:val="006A3A9C"/>
    <w:rsid w:val="006A3CC5"/>
    <w:rsid w:val="006A5C66"/>
    <w:rsid w:val="006A67AB"/>
    <w:rsid w:val="006A6C9F"/>
    <w:rsid w:val="006A721F"/>
    <w:rsid w:val="006A7CCF"/>
    <w:rsid w:val="006B0581"/>
    <w:rsid w:val="006B0F36"/>
    <w:rsid w:val="006B2108"/>
    <w:rsid w:val="006B30FD"/>
    <w:rsid w:val="006B3C4E"/>
    <w:rsid w:val="006B4254"/>
    <w:rsid w:val="006B5CB4"/>
    <w:rsid w:val="006B68FF"/>
    <w:rsid w:val="006B6DCF"/>
    <w:rsid w:val="006B791B"/>
    <w:rsid w:val="006C40E6"/>
    <w:rsid w:val="006C4793"/>
    <w:rsid w:val="006C572B"/>
    <w:rsid w:val="006D032B"/>
    <w:rsid w:val="006D0C8E"/>
    <w:rsid w:val="006D2463"/>
    <w:rsid w:val="006D28AA"/>
    <w:rsid w:val="006D36FB"/>
    <w:rsid w:val="006D42ED"/>
    <w:rsid w:val="006D4624"/>
    <w:rsid w:val="006D4D1A"/>
    <w:rsid w:val="006D511C"/>
    <w:rsid w:val="006D73F1"/>
    <w:rsid w:val="006E13E6"/>
    <w:rsid w:val="006E1FAE"/>
    <w:rsid w:val="006E2A29"/>
    <w:rsid w:val="006E328D"/>
    <w:rsid w:val="006E3514"/>
    <w:rsid w:val="006E3FCE"/>
    <w:rsid w:val="006E7421"/>
    <w:rsid w:val="006E7647"/>
    <w:rsid w:val="006F162C"/>
    <w:rsid w:val="006F1DA8"/>
    <w:rsid w:val="006F22E9"/>
    <w:rsid w:val="006F2A2A"/>
    <w:rsid w:val="006F3B3A"/>
    <w:rsid w:val="006F4CFA"/>
    <w:rsid w:val="006F5310"/>
    <w:rsid w:val="006F696E"/>
    <w:rsid w:val="006F6B91"/>
    <w:rsid w:val="00700C4F"/>
    <w:rsid w:val="007040CB"/>
    <w:rsid w:val="0070523B"/>
    <w:rsid w:val="00707D16"/>
    <w:rsid w:val="00715E8A"/>
    <w:rsid w:val="00717226"/>
    <w:rsid w:val="00717B44"/>
    <w:rsid w:val="007204E5"/>
    <w:rsid w:val="00720B45"/>
    <w:rsid w:val="00720F44"/>
    <w:rsid w:val="00720FDD"/>
    <w:rsid w:val="00722883"/>
    <w:rsid w:val="00723AF0"/>
    <w:rsid w:val="00725E0D"/>
    <w:rsid w:val="00727911"/>
    <w:rsid w:val="0073007E"/>
    <w:rsid w:val="007311E2"/>
    <w:rsid w:val="00732519"/>
    <w:rsid w:val="00733540"/>
    <w:rsid w:val="0073365B"/>
    <w:rsid w:val="00733EEA"/>
    <w:rsid w:val="00734F5A"/>
    <w:rsid w:val="00736D97"/>
    <w:rsid w:val="00737CEF"/>
    <w:rsid w:val="00737DDA"/>
    <w:rsid w:val="00746B57"/>
    <w:rsid w:val="00747D90"/>
    <w:rsid w:val="007501B9"/>
    <w:rsid w:val="00751CB9"/>
    <w:rsid w:val="00754498"/>
    <w:rsid w:val="0075624F"/>
    <w:rsid w:val="00756D96"/>
    <w:rsid w:val="00761AE1"/>
    <w:rsid w:val="007620C2"/>
    <w:rsid w:val="00763641"/>
    <w:rsid w:val="007638F9"/>
    <w:rsid w:val="007647C7"/>
    <w:rsid w:val="007668BA"/>
    <w:rsid w:val="00770596"/>
    <w:rsid w:val="0077205A"/>
    <w:rsid w:val="0077277D"/>
    <w:rsid w:val="007747D4"/>
    <w:rsid w:val="00774963"/>
    <w:rsid w:val="00776EBE"/>
    <w:rsid w:val="00777769"/>
    <w:rsid w:val="00781B7F"/>
    <w:rsid w:val="00782DCB"/>
    <w:rsid w:val="00783416"/>
    <w:rsid w:val="00783A06"/>
    <w:rsid w:val="00784156"/>
    <w:rsid w:val="0078537E"/>
    <w:rsid w:val="00790D22"/>
    <w:rsid w:val="007933B3"/>
    <w:rsid w:val="007939F7"/>
    <w:rsid w:val="00794D72"/>
    <w:rsid w:val="007A048E"/>
    <w:rsid w:val="007A0EA4"/>
    <w:rsid w:val="007A19AF"/>
    <w:rsid w:val="007A1E9D"/>
    <w:rsid w:val="007A2801"/>
    <w:rsid w:val="007A47C8"/>
    <w:rsid w:val="007A4EEE"/>
    <w:rsid w:val="007A6DAA"/>
    <w:rsid w:val="007A7EC8"/>
    <w:rsid w:val="007B032C"/>
    <w:rsid w:val="007B073A"/>
    <w:rsid w:val="007B1646"/>
    <w:rsid w:val="007B1AF8"/>
    <w:rsid w:val="007B2318"/>
    <w:rsid w:val="007B250D"/>
    <w:rsid w:val="007B2A16"/>
    <w:rsid w:val="007B4B3F"/>
    <w:rsid w:val="007B5CBF"/>
    <w:rsid w:val="007B787D"/>
    <w:rsid w:val="007B7B7B"/>
    <w:rsid w:val="007C3165"/>
    <w:rsid w:val="007C3586"/>
    <w:rsid w:val="007C4C54"/>
    <w:rsid w:val="007C58D6"/>
    <w:rsid w:val="007C732D"/>
    <w:rsid w:val="007D0A1B"/>
    <w:rsid w:val="007D1008"/>
    <w:rsid w:val="007D20E6"/>
    <w:rsid w:val="007D24F7"/>
    <w:rsid w:val="007D36E9"/>
    <w:rsid w:val="007D5B27"/>
    <w:rsid w:val="007D5C80"/>
    <w:rsid w:val="007D62AE"/>
    <w:rsid w:val="007E013D"/>
    <w:rsid w:val="007E035A"/>
    <w:rsid w:val="007E1A26"/>
    <w:rsid w:val="007E2754"/>
    <w:rsid w:val="007E3F62"/>
    <w:rsid w:val="007E47A1"/>
    <w:rsid w:val="007E47F0"/>
    <w:rsid w:val="007E5818"/>
    <w:rsid w:val="007E61A7"/>
    <w:rsid w:val="007E636B"/>
    <w:rsid w:val="007E65D7"/>
    <w:rsid w:val="007E6C28"/>
    <w:rsid w:val="007F08D6"/>
    <w:rsid w:val="007F4340"/>
    <w:rsid w:val="0080089C"/>
    <w:rsid w:val="00802A57"/>
    <w:rsid w:val="008031D6"/>
    <w:rsid w:val="00803318"/>
    <w:rsid w:val="00803456"/>
    <w:rsid w:val="0080390A"/>
    <w:rsid w:val="00811BBD"/>
    <w:rsid w:val="008121F1"/>
    <w:rsid w:val="00812976"/>
    <w:rsid w:val="00813E6C"/>
    <w:rsid w:val="00814DEF"/>
    <w:rsid w:val="0081511C"/>
    <w:rsid w:val="00815E97"/>
    <w:rsid w:val="0082239E"/>
    <w:rsid w:val="0082254A"/>
    <w:rsid w:val="00824CA5"/>
    <w:rsid w:val="00825A87"/>
    <w:rsid w:val="008275F6"/>
    <w:rsid w:val="00831B9B"/>
    <w:rsid w:val="0083226C"/>
    <w:rsid w:val="008331DD"/>
    <w:rsid w:val="00834BAE"/>
    <w:rsid w:val="00834BBA"/>
    <w:rsid w:val="00835008"/>
    <w:rsid w:val="00842A7E"/>
    <w:rsid w:val="0084454C"/>
    <w:rsid w:val="008447C7"/>
    <w:rsid w:val="00844D3D"/>
    <w:rsid w:val="0084532E"/>
    <w:rsid w:val="00845810"/>
    <w:rsid w:val="00845991"/>
    <w:rsid w:val="00845F3C"/>
    <w:rsid w:val="00846159"/>
    <w:rsid w:val="00846DA0"/>
    <w:rsid w:val="008477F6"/>
    <w:rsid w:val="008505C3"/>
    <w:rsid w:val="0085067D"/>
    <w:rsid w:val="00851677"/>
    <w:rsid w:val="008522C6"/>
    <w:rsid w:val="00852E40"/>
    <w:rsid w:val="00857A90"/>
    <w:rsid w:val="00857CDD"/>
    <w:rsid w:val="00860EA8"/>
    <w:rsid w:val="0086472B"/>
    <w:rsid w:val="00871A40"/>
    <w:rsid w:val="0087368E"/>
    <w:rsid w:val="0087505C"/>
    <w:rsid w:val="008802D9"/>
    <w:rsid w:val="00880B98"/>
    <w:rsid w:val="00881F26"/>
    <w:rsid w:val="00882544"/>
    <w:rsid w:val="00883547"/>
    <w:rsid w:val="008838A1"/>
    <w:rsid w:val="0088685E"/>
    <w:rsid w:val="0088689E"/>
    <w:rsid w:val="00886B17"/>
    <w:rsid w:val="0089010E"/>
    <w:rsid w:val="00891794"/>
    <w:rsid w:val="00891929"/>
    <w:rsid w:val="00893176"/>
    <w:rsid w:val="00895446"/>
    <w:rsid w:val="008A05E4"/>
    <w:rsid w:val="008A2098"/>
    <w:rsid w:val="008A2A96"/>
    <w:rsid w:val="008A32D1"/>
    <w:rsid w:val="008A585E"/>
    <w:rsid w:val="008A5D98"/>
    <w:rsid w:val="008A759A"/>
    <w:rsid w:val="008B03D8"/>
    <w:rsid w:val="008B259B"/>
    <w:rsid w:val="008B61CD"/>
    <w:rsid w:val="008B7998"/>
    <w:rsid w:val="008C0E7C"/>
    <w:rsid w:val="008C4A61"/>
    <w:rsid w:val="008C4CB3"/>
    <w:rsid w:val="008C4F0F"/>
    <w:rsid w:val="008C6CFD"/>
    <w:rsid w:val="008C74AF"/>
    <w:rsid w:val="008C7839"/>
    <w:rsid w:val="008C7D07"/>
    <w:rsid w:val="008C7F38"/>
    <w:rsid w:val="008D1AE7"/>
    <w:rsid w:val="008D2465"/>
    <w:rsid w:val="008D3B9E"/>
    <w:rsid w:val="008D4C83"/>
    <w:rsid w:val="008D55C9"/>
    <w:rsid w:val="008E7460"/>
    <w:rsid w:val="008E7585"/>
    <w:rsid w:val="008E7709"/>
    <w:rsid w:val="008F14F5"/>
    <w:rsid w:val="008F2090"/>
    <w:rsid w:val="008F298E"/>
    <w:rsid w:val="008F2E5C"/>
    <w:rsid w:val="008F450E"/>
    <w:rsid w:val="008F646F"/>
    <w:rsid w:val="008F6D91"/>
    <w:rsid w:val="008F6E50"/>
    <w:rsid w:val="009002DF"/>
    <w:rsid w:val="00900C28"/>
    <w:rsid w:val="00901E9E"/>
    <w:rsid w:val="00906982"/>
    <w:rsid w:val="00906BF3"/>
    <w:rsid w:val="00907652"/>
    <w:rsid w:val="009076D0"/>
    <w:rsid w:val="009109A7"/>
    <w:rsid w:val="00914F38"/>
    <w:rsid w:val="0091710F"/>
    <w:rsid w:val="0091776B"/>
    <w:rsid w:val="00917C11"/>
    <w:rsid w:val="00920396"/>
    <w:rsid w:val="00920C4B"/>
    <w:rsid w:val="009246BB"/>
    <w:rsid w:val="0092657D"/>
    <w:rsid w:val="009308B7"/>
    <w:rsid w:val="00932B67"/>
    <w:rsid w:val="00935018"/>
    <w:rsid w:val="0093671F"/>
    <w:rsid w:val="00937D0C"/>
    <w:rsid w:val="00937F0D"/>
    <w:rsid w:val="00941D1F"/>
    <w:rsid w:val="0094366C"/>
    <w:rsid w:val="0094436F"/>
    <w:rsid w:val="00944E8E"/>
    <w:rsid w:val="0094650B"/>
    <w:rsid w:val="0094666B"/>
    <w:rsid w:val="009479C0"/>
    <w:rsid w:val="009500BE"/>
    <w:rsid w:val="0095038F"/>
    <w:rsid w:val="00950914"/>
    <w:rsid w:val="00950C51"/>
    <w:rsid w:val="00951973"/>
    <w:rsid w:val="009523B9"/>
    <w:rsid w:val="0095252E"/>
    <w:rsid w:val="00952591"/>
    <w:rsid w:val="00952C90"/>
    <w:rsid w:val="00953ADF"/>
    <w:rsid w:val="00953B55"/>
    <w:rsid w:val="009547DC"/>
    <w:rsid w:val="00957E73"/>
    <w:rsid w:val="00960984"/>
    <w:rsid w:val="009611E6"/>
    <w:rsid w:val="0096135C"/>
    <w:rsid w:val="00964A71"/>
    <w:rsid w:val="00965304"/>
    <w:rsid w:val="009712EC"/>
    <w:rsid w:val="00971667"/>
    <w:rsid w:val="009746D7"/>
    <w:rsid w:val="009760F7"/>
    <w:rsid w:val="00976DA1"/>
    <w:rsid w:val="00976DCD"/>
    <w:rsid w:val="00976FFB"/>
    <w:rsid w:val="00980197"/>
    <w:rsid w:val="009808B4"/>
    <w:rsid w:val="009828EB"/>
    <w:rsid w:val="00983391"/>
    <w:rsid w:val="00984821"/>
    <w:rsid w:val="00987A2F"/>
    <w:rsid w:val="0099441E"/>
    <w:rsid w:val="009948A0"/>
    <w:rsid w:val="00994DE9"/>
    <w:rsid w:val="009961A7"/>
    <w:rsid w:val="0099716A"/>
    <w:rsid w:val="009A0593"/>
    <w:rsid w:val="009A2315"/>
    <w:rsid w:val="009A2797"/>
    <w:rsid w:val="009A2C14"/>
    <w:rsid w:val="009A2F07"/>
    <w:rsid w:val="009A3D97"/>
    <w:rsid w:val="009A3ED6"/>
    <w:rsid w:val="009A4C23"/>
    <w:rsid w:val="009A598B"/>
    <w:rsid w:val="009A698B"/>
    <w:rsid w:val="009B2D86"/>
    <w:rsid w:val="009B340A"/>
    <w:rsid w:val="009B3F94"/>
    <w:rsid w:val="009B5E70"/>
    <w:rsid w:val="009B621A"/>
    <w:rsid w:val="009B672F"/>
    <w:rsid w:val="009B6EAB"/>
    <w:rsid w:val="009B718D"/>
    <w:rsid w:val="009C0992"/>
    <w:rsid w:val="009C0BCC"/>
    <w:rsid w:val="009C2D4E"/>
    <w:rsid w:val="009C2EC8"/>
    <w:rsid w:val="009C3FA3"/>
    <w:rsid w:val="009C45D9"/>
    <w:rsid w:val="009C4FEC"/>
    <w:rsid w:val="009C5F80"/>
    <w:rsid w:val="009C61F3"/>
    <w:rsid w:val="009C6530"/>
    <w:rsid w:val="009C6F32"/>
    <w:rsid w:val="009C75E9"/>
    <w:rsid w:val="009D0AD4"/>
    <w:rsid w:val="009D2BEF"/>
    <w:rsid w:val="009D3486"/>
    <w:rsid w:val="009D6567"/>
    <w:rsid w:val="009D7187"/>
    <w:rsid w:val="009D783B"/>
    <w:rsid w:val="009E01DD"/>
    <w:rsid w:val="009E547A"/>
    <w:rsid w:val="009F0A79"/>
    <w:rsid w:val="009F2C1F"/>
    <w:rsid w:val="009F307E"/>
    <w:rsid w:val="009F30C8"/>
    <w:rsid w:val="009F4054"/>
    <w:rsid w:val="00A02F7D"/>
    <w:rsid w:val="00A03791"/>
    <w:rsid w:val="00A06657"/>
    <w:rsid w:val="00A06BE4"/>
    <w:rsid w:val="00A1044D"/>
    <w:rsid w:val="00A10A76"/>
    <w:rsid w:val="00A11A38"/>
    <w:rsid w:val="00A12DA0"/>
    <w:rsid w:val="00A14033"/>
    <w:rsid w:val="00A1424A"/>
    <w:rsid w:val="00A15641"/>
    <w:rsid w:val="00A16DFA"/>
    <w:rsid w:val="00A17C0A"/>
    <w:rsid w:val="00A22FA7"/>
    <w:rsid w:val="00A238D0"/>
    <w:rsid w:val="00A24EB7"/>
    <w:rsid w:val="00A3125D"/>
    <w:rsid w:val="00A337A5"/>
    <w:rsid w:val="00A33919"/>
    <w:rsid w:val="00A346B2"/>
    <w:rsid w:val="00A3601F"/>
    <w:rsid w:val="00A36968"/>
    <w:rsid w:val="00A37721"/>
    <w:rsid w:val="00A41149"/>
    <w:rsid w:val="00A436B7"/>
    <w:rsid w:val="00A44745"/>
    <w:rsid w:val="00A44F15"/>
    <w:rsid w:val="00A47B7B"/>
    <w:rsid w:val="00A50621"/>
    <w:rsid w:val="00A54175"/>
    <w:rsid w:val="00A55CCA"/>
    <w:rsid w:val="00A56809"/>
    <w:rsid w:val="00A60D9A"/>
    <w:rsid w:val="00A63A07"/>
    <w:rsid w:val="00A646BC"/>
    <w:rsid w:val="00A654A2"/>
    <w:rsid w:val="00A67183"/>
    <w:rsid w:val="00A67532"/>
    <w:rsid w:val="00A70079"/>
    <w:rsid w:val="00A71225"/>
    <w:rsid w:val="00A7457C"/>
    <w:rsid w:val="00A7626F"/>
    <w:rsid w:val="00A76391"/>
    <w:rsid w:val="00A76452"/>
    <w:rsid w:val="00A81A63"/>
    <w:rsid w:val="00A83F5F"/>
    <w:rsid w:val="00A84C2D"/>
    <w:rsid w:val="00A84DF8"/>
    <w:rsid w:val="00A86D3D"/>
    <w:rsid w:val="00A9013E"/>
    <w:rsid w:val="00A915F3"/>
    <w:rsid w:val="00A94B17"/>
    <w:rsid w:val="00A94F1F"/>
    <w:rsid w:val="00A95347"/>
    <w:rsid w:val="00A95558"/>
    <w:rsid w:val="00A97994"/>
    <w:rsid w:val="00AA25B7"/>
    <w:rsid w:val="00AA2C15"/>
    <w:rsid w:val="00AA2CDC"/>
    <w:rsid w:val="00AA471D"/>
    <w:rsid w:val="00AA4B1C"/>
    <w:rsid w:val="00AA5A42"/>
    <w:rsid w:val="00AA5AAD"/>
    <w:rsid w:val="00AA6188"/>
    <w:rsid w:val="00AA68CF"/>
    <w:rsid w:val="00AA7E33"/>
    <w:rsid w:val="00AB03BD"/>
    <w:rsid w:val="00AB06BE"/>
    <w:rsid w:val="00AB265E"/>
    <w:rsid w:val="00AB26E2"/>
    <w:rsid w:val="00AB28E0"/>
    <w:rsid w:val="00AB2948"/>
    <w:rsid w:val="00AB2C5C"/>
    <w:rsid w:val="00AB39FA"/>
    <w:rsid w:val="00AB3B30"/>
    <w:rsid w:val="00AB426C"/>
    <w:rsid w:val="00AB451C"/>
    <w:rsid w:val="00AB59F2"/>
    <w:rsid w:val="00AC129C"/>
    <w:rsid w:val="00AC13FD"/>
    <w:rsid w:val="00AC20C1"/>
    <w:rsid w:val="00AC3E62"/>
    <w:rsid w:val="00AC5AF9"/>
    <w:rsid w:val="00AC6192"/>
    <w:rsid w:val="00AC64F9"/>
    <w:rsid w:val="00AC7F1F"/>
    <w:rsid w:val="00AD0F29"/>
    <w:rsid w:val="00AD2D49"/>
    <w:rsid w:val="00AD2F03"/>
    <w:rsid w:val="00AD4248"/>
    <w:rsid w:val="00AD4B2E"/>
    <w:rsid w:val="00AD57FE"/>
    <w:rsid w:val="00AD5810"/>
    <w:rsid w:val="00AD6933"/>
    <w:rsid w:val="00AD6B7B"/>
    <w:rsid w:val="00AD7CAB"/>
    <w:rsid w:val="00AE0D6A"/>
    <w:rsid w:val="00AE0FC3"/>
    <w:rsid w:val="00AE10BE"/>
    <w:rsid w:val="00AE16C9"/>
    <w:rsid w:val="00AE19EE"/>
    <w:rsid w:val="00AE3EF5"/>
    <w:rsid w:val="00AE417E"/>
    <w:rsid w:val="00AE4F2A"/>
    <w:rsid w:val="00AE5F33"/>
    <w:rsid w:val="00AF0AD5"/>
    <w:rsid w:val="00AF15E6"/>
    <w:rsid w:val="00AF21E2"/>
    <w:rsid w:val="00AF31DE"/>
    <w:rsid w:val="00AF51E7"/>
    <w:rsid w:val="00AF6744"/>
    <w:rsid w:val="00B01398"/>
    <w:rsid w:val="00B04AF4"/>
    <w:rsid w:val="00B05620"/>
    <w:rsid w:val="00B1023B"/>
    <w:rsid w:val="00B10F92"/>
    <w:rsid w:val="00B12E05"/>
    <w:rsid w:val="00B12EBE"/>
    <w:rsid w:val="00B16431"/>
    <w:rsid w:val="00B166A4"/>
    <w:rsid w:val="00B219B7"/>
    <w:rsid w:val="00B25038"/>
    <w:rsid w:val="00B27FF1"/>
    <w:rsid w:val="00B3159A"/>
    <w:rsid w:val="00B31612"/>
    <w:rsid w:val="00B33465"/>
    <w:rsid w:val="00B35685"/>
    <w:rsid w:val="00B35C09"/>
    <w:rsid w:val="00B379C5"/>
    <w:rsid w:val="00B4183F"/>
    <w:rsid w:val="00B41EBF"/>
    <w:rsid w:val="00B42198"/>
    <w:rsid w:val="00B44524"/>
    <w:rsid w:val="00B45713"/>
    <w:rsid w:val="00B46AD2"/>
    <w:rsid w:val="00B51E85"/>
    <w:rsid w:val="00B54AF0"/>
    <w:rsid w:val="00B56DAF"/>
    <w:rsid w:val="00B61CCA"/>
    <w:rsid w:val="00B61D24"/>
    <w:rsid w:val="00B63CBA"/>
    <w:rsid w:val="00B64A39"/>
    <w:rsid w:val="00B64BBE"/>
    <w:rsid w:val="00B66067"/>
    <w:rsid w:val="00B660AA"/>
    <w:rsid w:val="00B670A8"/>
    <w:rsid w:val="00B67DE1"/>
    <w:rsid w:val="00B70CC6"/>
    <w:rsid w:val="00B73894"/>
    <w:rsid w:val="00B80C04"/>
    <w:rsid w:val="00B8193F"/>
    <w:rsid w:val="00B81C73"/>
    <w:rsid w:val="00B82162"/>
    <w:rsid w:val="00B82A15"/>
    <w:rsid w:val="00B82A82"/>
    <w:rsid w:val="00B8473D"/>
    <w:rsid w:val="00B84F66"/>
    <w:rsid w:val="00B87828"/>
    <w:rsid w:val="00B90410"/>
    <w:rsid w:val="00B90E10"/>
    <w:rsid w:val="00B9106A"/>
    <w:rsid w:val="00B936AE"/>
    <w:rsid w:val="00B94110"/>
    <w:rsid w:val="00B9427B"/>
    <w:rsid w:val="00B949B5"/>
    <w:rsid w:val="00B952B3"/>
    <w:rsid w:val="00B964CA"/>
    <w:rsid w:val="00B97061"/>
    <w:rsid w:val="00BA31C4"/>
    <w:rsid w:val="00BA32B9"/>
    <w:rsid w:val="00BA4655"/>
    <w:rsid w:val="00BA76A4"/>
    <w:rsid w:val="00BA78B6"/>
    <w:rsid w:val="00BA7935"/>
    <w:rsid w:val="00BB047B"/>
    <w:rsid w:val="00BB1BF6"/>
    <w:rsid w:val="00BB2201"/>
    <w:rsid w:val="00BB24B8"/>
    <w:rsid w:val="00BB3F91"/>
    <w:rsid w:val="00BB4818"/>
    <w:rsid w:val="00BB4AF3"/>
    <w:rsid w:val="00BB5A18"/>
    <w:rsid w:val="00BB6398"/>
    <w:rsid w:val="00BB63AC"/>
    <w:rsid w:val="00BC25EF"/>
    <w:rsid w:val="00BC2DAF"/>
    <w:rsid w:val="00BC4FD3"/>
    <w:rsid w:val="00BC6827"/>
    <w:rsid w:val="00BC6C7A"/>
    <w:rsid w:val="00BC7D9E"/>
    <w:rsid w:val="00BD0372"/>
    <w:rsid w:val="00BD44F5"/>
    <w:rsid w:val="00BD5FD7"/>
    <w:rsid w:val="00BD7ED0"/>
    <w:rsid w:val="00BE0CFB"/>
    <w:rsid w:val="00BE4340"/>
    <w:rsid w:val="00BE571A"/>
    <w:rsid w:val="00BE5C41"/>
    <w:rsid w:val="00BE7F34"/>
    <w:rsid w:val="00BF0399"/>
    <w:rsid w:val="00BF061A"/>
    <w:rsid w:val="00BF0646"/>
    <w:rsid w:val="00BF1C32"/>
    <w:rsid w:val="00BF76A6"/>
    <w:rsid w:val="00C0068D"/>
    <w:rsid w:val="00C01F23"/>
    <w:rsid w:val="00C044BE"/>
    <w:rsid w:val="00C04BAB"/>
    <w:rsid w:val="00C0607B"/>
    <w:rsid w:val="00C06431"/>
    <w:rsid w:val="00C06DEF"/>
    <w:rsid w:val="00C075A2"/>
    <w:rsid w:val="00C107CB"/>
    <w:rsid w:val="00C11321"/>
    <w:rsid w:val="00C118C4"/>
    <w:rsid w:val="00C11F58"/>
    <w:rsid w:val="00C120D7"/>
    <w:rsid w:val="00C132D1"/>
    <w:rsid w:val="00C13897"/>
    <w:rsid w:val="00C139CA"/>
    <w:rsid w:val="00C13A7D"/>
    <w:rsid w:val="00C142BB"/>
    <w:rsid w:val="00C147EA"/>
    <w:rsid w:val="00C16123"/>
    <w:rsid w:val="00C16577"/>
    <w:rsid w:val="00C2375F"/>
    <w:rsid w:val="00C241A8"/>
    <w:rsid w:val="00C241BF"/>
    <w:rsid w:val="00C2474D"/>
    <w:rsid w:val="00C24ABA"/>
    <w:rsid w:val="00C2620D"/>
    <w:rsid w:val="00C264CB"/>
    <w:rsid w:val="00C31253"/>
    <w:rsid w:val="00C32C86"/>
    <w:rsid w:val="00C33627"/>
    <w:rsid w:val="00C342CF"/>
    <w:rsid w:val="00C35129"/>
    <w:rsid w:val="00C419DB"/>
    <w:rsid w:val="00C4397E"/>
    <w:rsid w:val="00C476F1"/>
    <w:rsid w:val="00C51429"/>
    <w:rsid w:val="00C51C39"/>
    <w:rsid w:val="00C51E8F"/>
    <w:rsid w:val="00C51F9F"/>
    <w:rsid w:val="00C525DB"/>
    <w:rsid w:val="00C52CE9"/>
    <w:rsid w:val="00C52FC0"/>
    <w:rsid w:val="00C53F9E"/>
    <w:rsid w:val="00C559E9"/>
    <w:rsid w:val="00C55C14"/>
    <w:rsid w:val="00C608C1"/>
    <w:rsid w:val="00C60A44"/>
    <w:rsid w:val="00C63D4E"/>
    <w:rsid w:val="00C63EA9"/>
    <w:rsid w:val="00C641C6"/>
    <w:rsid w:val="00C665A0"/>
    <w:rsid w:val="00C67725"/>
    <w:rsid w:val="00C67CB2"/>
    <w:rsid w:val="00C700F3"/>
    <w:rsid w:val="00C7092F"/>
    <w:rsid w:val="00C718CA"/>
    <w:rsid w:val="00C71E67"/>
    <w:rsid w:val="00C76167"/>
    <w:rsid w:val="00C7629E"/>
    <w:rsid w:val="00C76DDA"/>
    <w:rsid w:val="00C807B3"/>
    <w:rsid w:val="00C80F20"/>
    <w:rsid w:val="00C81586"/>
    <w:rsid w:val="00C825C9"/>
    <w:rsid w:val="00C85B6C"/>
    <w:rsid w:val="00C86CC3"/>
    <w:rsid w:val="00C86E37"/>
    <w:rsid w:val="00C900A4"/>
    <w:rsid w:val="00C901B1"/>
    <w:rsid w:val="00C90EBC"/>
    <w:rsid w:val="00C91B69"/>
    <w:rsid w:val="00C94392"/>
    <w:rsid w:val="00C96746"/>
    <w:rsid w:val="00CA3856"/>
    <w:rsid w:val="00CA5A3F"/>
    <w:rsid w:val="00CA5F02"/>
    <w:rsid w:val="00CA67E0"/>
    <w:rsid w:val="00CA6954"/>
    <w:rsid w:val="00CA72BE"/>
    <w:rsid w:val="00CB0122"/>
    <w:rsid w:val="00CB0269"/>
    <w:rsid w:val="00CB07F9"/>
    <w:rsid w:val="00CB0833"/>
    <w:rsid w:val="00CB18F5"/>
    <w:rsid w:val="00CB2D32"/>
    <w:rsid w:val="00CB2DDA"/>
    <w:rsid w:val="00CB7027"/>
    <w:rsid w:val="00CC008E"/>
    <w:rsid w:val="00CC02ED"/>
    <w:rsid w:val="00CC63EB"/>
    <w:rsid w:val="00CC65BF"/>
    <w:rsid w:val="00CC67A6"/>
    <w:rsid w:val="00CD022A"/>
    <w:rsid w:val="00CD03BE"/>
    <w:rsid w:val="00CD0707"/>
    <w:rsid w:val="00CD1A25"/>
    <w:rsid w:val="00CD1CA3"/>
    <w:rsid w:val="00CD2E16"/>
    <w:rsid w:val="00CD469D"/>
    <w:rsid w:val="00CD65E7"/>
    <w:rsid w:val="00CD7BFC"/>
    <w:rsid w:val="00CD7E89"/>
    <w:rsid w:val="00CD7FE2"/>
    <w:rsid w:val="00CE2B95"/>
    <w:rsid w:val="00CE2F1A"/>
    <w:rsid w:val="00CF1A11"/>
    <w:rsid w:val="00CF3057"/>
    <w:rsid w:val="00CF30FC"/>
    <w:rsid w:val="00CF335C"/>
    <w:rsid w:val="00CF3AFB"/>
    <w:rsid w:val="00CF4286"/>
    <w:rsid w:val="00CF5CB2"/>
    <w:rsid w:val="00CF79DB"/>
    <w:rsid w:val="00D019BA"/>
    <w:rsid w:val="00D01B9F"/>
    <w:rsid w:val="00D02947"/>
    <w:rsid w:val="00D03A74"/>
    <w:rsid w:val="00D03B38"/>
    <w:rsid w:val="00D03F87"/>
    <w:rsid w:val="00D040F9"/>
    <w:rsid w:val="00D04CD4"/>
    <w:rsid w:val="00D056CB"/>
    <w:rsid w:val="00D07174"/>
    <w:rsid w:val="00D11558"/>
    <w:rsid w:val="00D11978"/>
    <w:rsid w:val="00D11C27"/>
    <w:rsid w:val="00D12095"/>
    <w:rsid w:val="00D120BB"/>
    <w:rsid w:val="00D12BE8"/>
    <w:rsid w:val="00D13990"/>
    <w:rsid w:val="00D16F71"/>
    <w:rsid w:val="00D21AEC"/>
    <w:rsid w:val="00D21B61"/>
    <w:rsid w:val="00D22D06"/>
    <w:rsid w:val="00D24772"/>
    <w:rsid w:val="00D25696"/>
    <w:rsid w:val="00D25697"/>
    <w:rsid w:val="00D25F48"/>
    <w:rsid w:val="00D26E91"/>
    <w:rsid w:val="00D272A6"/>
    <w:rsid w:val="00D27786"/>
    <w:rsid w:val="00D27D39"/>
    <w:rsid w:val="00D3018D"/>
    <w:rsid w:val="00D30AEE"/>
    <w:rsid w:val="00D339CE"/>
    <w:rsid w:val="00D3441D"/>
    <w:rsid w:val="00D355A9"/>
    <w:rsid w:val="00D355C4"/>
    <w:rsid w:val="00D3612A"/>
    <w:rsid w:val="00D374D0"/>
    <w:rsid w:val="00D37703"/>
    <w:rsid w:val="00D37DBF"/>
    <w:rsid w:val="00D37F25"/>
    <w:rsid w:val="00D41211"/>
    <w:rsid w:val="00D4262F"/>
    <w:rsid w:val="00D42F4F"/>
    <w:rsid w:val="00D44141"/>
    <w:rsid w:val="00D4430A"/>
    <w:rsid w:val="00D44CC4"/>
    <w:rsid w:val="00D4715E"/>
    <w:rsid w:val="00D47516"/>
    <w:rsid w:val="00D476EE"/>
    <w:rsid w:val="00D56A53"/>
    <w:rsid w:val="00D5750B"/>
    <w:rsid w:val="00D6324F"/>
    <w:rsid w:val="00D63458"/>
    <w:rsid w:val="00D66D37"/>
    <w:rsid w:val="00D718A4"/>
    <w:rsid w:val="00D741B4"/>
    <w:rsid w:val="00D74C6F"/>
    <w:rsid w:val="00D750CC"/>
    <w:rsid w:val="00D758DC"/>
    <w:rsid w:val="00D82963"/>
    <w:rsid w:val="00D84369"/>
    <w:rsid w:val="00D84C8F"/>
    <w:rsid w:val="00D8537B"/>
    <w:rsid w:val="00D873AD"/>
    <w:rsid w:val="00D90BEE"/>
    <w:rsid w:val="00D91AAC"/>
    <w:rsid w:val="00D91C06"/>
    <w:rsid w:val="00D91C9F"/>
    <w:rsid w:val="00D93FD1"/>
    <w:rsid w:val="00D94232"/>
    <w:rsid w:val="00D95B36"/>
    <w:rsid w:val="00DA08F5"/>
    <w:rsid w:val="00DA1CB3"/>
    <w:rsid w:val="00DA2497"/>
    <w:rsid w:val="00DA2ADC"/>
    <w:rsid w:val="00DA448B"/>
    <w:rsid w:val="00DA44C2"/>
    <w:rsid w:val="00DA4F7C"/>
    <w:rsid w:val="00DB01E2"/>
    <w:rsid w:val="00DB0764"/>
    <w:rsid w:val="00DB3506"/>
    <w:rsid w:val="00DB3BF7"/>
    <w:rsid w:val="00DB7A9A"/>
    <w:rsid w:val="00DB7FFE"/>
    <w:rsid w:val="00DC19BC"/>
    <w:rsid w:val="00DC3177"/>
    <w:rsid w:val="00DC3276"/>
    <w:rsid w:val="00DC36B1"/>
    <w:rsid w:val="00DC38EC"/>
    <w:rsid w:val="00DC66CC"/>
    <w:rsid w:val="00DC6FCF"/>
    <w:rsid w:val="00DC76DD"/>
    <w:rsid w:val="00DD13AB"/>
    <w:rsid w:val="00DD2841"/>
    <w:rsid w:val="00DD37D8"/>
    <w:rsid w:val="00DD39AB"/>
    <w:rsid w:val="00DD4EB5"/>
    <w:rsid w:val="00DD514C"/>
    <w:rsid w:val="00DD5902"/>
    <w:rsid w:val="00DD592F"/>
    <w:rsid w:val="00DD5ABA"/>
    <w:rsid w:val="00DE01A4"/>
    <w:rsid w:val="00DE3E40"/>
    <w:rsid w:val="00DE4597"/>
    <w:rsid w:val="00DE643F"/>
    <w:rsid w:val="00DE6936"/>
    <w:rsid w:val="00DF04CA"/>
    <w:rsid w:val="00DF0CC8"/>
    <w:rsid w:val="00DF489A"/>
    <w:rsid w:val="00DF6840"/>
    <w:rsid w:val="00DF755F"/>
    <w:rsid w:val="00E007A0"/>
    <w:rsid w:val="00E00B68"/>
    <w:rsid w:val="00E010AB"/>
    <w:rsid w:val="00E015AD"/>
    <w:rsid w:val="00E0191D"/>
    <w:rsid w:val="00E0233F"/>
    <w:rsid w:val="00E02678"/>
    <w:rsid w:val="00E050EC"/>
    <w:rsid w:val="00E06262"/>
    <w:rsid w:val="00E0748A"/>
    <w:rsid w:val="00E11956"/>
    <w:rsid w:val="00E119F5"/>
    <w:rsid w:val="00E128A9"/>
    <w:rsid w:val="00E143DA"/>
    <w:rsid w:val="00E14BA3"/>
    <w:rsid w:val="00E16744"/>
    <w:rsid w:val="00E21A5C"/>
    <w:rsid w:val="00E22082"/>
    <w:rsid w:val="00E23245"/>
    <w:rsid w:val="00E25953"/>
    <w:rsid w:val="00E27F5A"/>
    <w:rsid w:val="00E32BEA"/>
    <w:rsid w:val="00E32F5B"/>
    <w:rsid w:val="00E33BA3"/>
    <w:rsid w:val="00E34C59"/>
    <w:rsid w:val="00E36A7A"/>
    <w:rsid w:val="00E3799F"/>
    <w:rsid w:val="00E37DA2"/>
    <w:rsid w:val="00E4121B"/>
    <w:rsid w:val="00E416B2"/>
    <w:rsid w:val="00E42FA4"/>
    <w:rsid w:val="00E43ACF"/>
    <w:rsid w:val="00E45864"/>
    <w:rsid w:val="00E4622C"/>
    <w:rsid w:val="00E47B7D"/>
    <w:rsid w:val="00E47F40"/>
    <w:rsid w:val="00E51663"/>
    <w:rsid w:val="00E51FFB"/>
    <w:rsid w:val="00E52DD3"/>
    <w:rsid w:val="00E53851"/>
    <w:rsid w:val="00E545F4"/>
    <w:rsid w:val="00E5471E"/>
    <w:rsid w:val="00E54C70"/>
    <w:rsid w:val="00E558A4"/>
    <w:rsid w:val="00E576D9"/>
    <w:rsid w:val="00E651A2"/>
    <w:rsid w:val="00E65C76"/>
    <w:rsid w:val="00E65EA1"/>
    <w:rsid w:val="00E6605D"/>
    <w:rsid w:val="00E6611F"/>
    <w:rsid w:val="00E67168"/>
    <w:rsid w:val="00E67285"/>
    <w:rsid w:val="00E76EB2"/>
    <w:rsid w:val="00E76FF9"/>
    <w:rsid w:val="00E84307"/>
    <w:rsid w:val="00E847D2"/>
    <w:rsid w:val="00E8510E"/>
    <w:rsid w:val="00E86DF8"/>
    <w:rsid w:val="00E9168B"/>
    <w:rsid w:val="00E92069"/>
    <w:rsid w:val="00E923A0"/>
    <w:rsid w:val="00E9265B"/>
    <w:rsid w:val="00E95253"/>
    <w:rsid w:val="00E978F3"/>
    <w:rsid w:val="00EA1A94"/>
    <w:rsid w:val="00EA1CB1"/>
    <w:rsid w:val="00EA5798"/>
    <w:rsid w:val="00EA6125"/>
    <w:rsid w:val="00EA70BD"/>
    <w:rsid w:val="00EB13A9"/>
    <w:rsid w:val="00EB1CE6"/>
    <w:rsid w:val="00EC0435"/>
    <w:rsid w:val="00EC1F29"/>
    <w:rsid w:val="00EC507D"/>
    <w:rsid w:val="00EC7180"/>
    <w:rsid w:val="00ED074A"/>
    <w:rsid w:val="00ED209D"/>
    <w:rsid w:val="00ED2D58"/>
    <w:rsid w:val="00ED418D"/>
    <w:rsid w:val="00ED46C4"/>
    <w:rsid w:val="00ED5A8B"/>
    <w:rsid w:val="00ED5F88"/>
    <w:rsid w:val="00ED664B"/>
    <w:rsid w:val="00ED695B"/>
    <w:rsid w:val="00ED7359"/>
    <w:rsid w:val="00ED7C2E"/>
    <w:rsid w:val="00EE5111"/>
    <w:rsid w:val="00EE7BD8"/>
    <w:rsid w:val="00EF022B"/>
    <w:rsid w:val="00EF157F"/>
    <w:rsid w:val="00EF2209"/>
    <w:rsid w:val="00EF2730"/>
    <w:rsid w:val="00EF28D7"/>
    <w:rsid w:val="00EF3379"/>
    <w:rsid w:val="00EF439F"/>
    <w:rsid w:val="00EF4B55"/>
    <w:rsid w:val="00F013B6"/>
    <w:rsid w:val="00F01D63"/>
    <w:rsid w:val="00F03786"/>
    <w:rsid w:val="00F03AB8"/>
    <w:rsid w:val="00F05E37"/>
    <w:rsid w:val="00F07897"/>
    <w:rsid w:val="00F07EF7"/>
    <w:rsid w:val="00F101C7"/>
    <w:rsid w:val="00F10DE7"/>
    <w:rsid w:val="00F112AC"/>
    <w:rsid w:val="00F11D91"/>
    <w:rsid w:val="00F130AD"/>
    <w:rsid w:val="00F14757"/>
    <w:rsid w:val="00F2002D"/>
    <w:rsid w:val="00F20064"/>
    <w:rsid w:val="00F2037D"/>
    <w:rsid w:val="00F21F3A"/>
    <w:rsid w:val="00F22093"/>
    <w:rsid w:val="00F227E8"/>
    <w:rsid w:val="00F22A61"/>
    <w:rsid w:val="00F2367D"/>
    <w:rsid w:val="00F2453C"/>
    <w:rsid w:val="00F24647"/>
    <w:rsid w:val="00F26374"/>
    <w:rsid w:val="00F26A9F"/>
    <w:rsid w:val="00F27E59"/>
    <w:rsid w:val="00F30DE4"/>
    <w:rsid w:val="00F331B5"/>
    <w:rsid w:val="00F34AF9"/>
    <w:rsid w:val="00F37E33"/>
    <w:rsid w:val="00F413D7"/>
    <w:rsid w:val="00F41E62"/>
    <w:rsid w:val="00F43E08"/>
    <w:rsid w:val="00F45725"/>
    <w:rsid w:val="00F45E9C"/>
    <w:rsid w:val="00F46D69"/>
    <w:rsid w:val="00F47B58"/>
    <w:rsid w:val="00F47BED"/>
    <w:rsid w:val="00F47E08"/>
    <w:rsid w:val="00F5167E"/>
    <w:rsid w:val="00F53521"/>
    <w:rsid w:val="00F53991"/>
    <w:rsid w:val="00F61722"/>
    <w:rsid w:val="00F617C6"/>
    <w:rsid w:val="00F6208E"/>
    <w:rsid w:val="00F650DD"/>
    <w:rsid w:val="00F66A33"/>
    <w:rsid w:val="00F66F7C"/>
    <w:rsid w:val="00F70BA5"/>
    <w:rsid w:val="00F70F6F"/>
    <w:rsid w:val="00F71818"/>
    <w:rsid w:val="00F73842"/>
    <w:rsid w:val="00F73B39"/>
    <w:rsid w:val="00F746A4"/>
    <w:rsid w:val="00F74981"/>
    <w:rsid w:val="00F75C04"/>
    <w:rsid w:val="00F75D5D"/>
    <w:rsid w:val="00F76EB8"/>
    <w:rsid w:val="00F82FDE"/>
    <w:rsid w:val="00F8477C"/>
    <w:rsid w:val="00F857F5"/>
    <w:rsid w:val="00F85E72"/>
    <w:rsid w:val="00F90692"/>
    <w:rsid w:val="00F94752"/>
    <w:rsid w:val="00F95772"/>
    <w:rsid w:val="00FA27ED"/>
    <w:rsid w:val="00FA5DD7"/>
    <w:rsid w:val="00FA79E0"/>
    <w:rsid w:val="00FA7DD9"/>
    <w:rsid w:val="00FB2CA2"/>
    <w:rsid w:val="00FB4289"/>
    <w:rsid w:val="00FB4307"/>
    <w:rsid w:val="00FB5049"/>
    <w:rsid w:val="00FB5A61"/>
    <w:rsid w:val="00FB7E5F"/>
    <w:rsid w:val="00FC0149"/>
    <w:rsid w:val="00FC17CE"/>
    <w:rsid w:val="00FC1824"/>
    <w:rsid w:val="00FC2985"/>
    <w:rsid w:val="00FC3CB9"/>
    <w:rsid w:val="00FC52D9"/>
    <w:rsid w:val="00FC6904"/>
    <w:rsid w:val="00FC7254"/>
    <w:rsid w:val="00FD008B"/>
    <w:rsid w:val="00FD0E0E"/>
    <w:rsid w:val="00FD12A2"/>
    <w:rsid w:val="00FD424D"/>
    <w:rsid w:val="00FD5803"/>
    <w:rsid w:val="00FE2CF0"/>
    <w:rsid w:val="00FE6D92"/>
    <w:rsid w:val="00FF20D4"/>
    <w:rsid w:val="00FF2AF6"/>
    <w:rsid w:val="00FF3F44"/>
    <w:rsid w:val="00FF491C"/>
    <w:rsid w:val="00FF5187"/>
    <w:rsid w:val="00FF65AC"/>
    <w:rsid w:val="00FF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A140CF0"/>
  <w15:chartTrackingRefBased/>
  <w15:docId w15:val="{610C83C2-F187-4AAF-B894-C3F0742E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1F0B6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1F0B6F"/>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133921"/>
    <w:pPr>
      <w:numPr>
        <w:ilvl w:val="1"/>
        <w:numId w:val="10"/>
      </w:numPr>
      <w:spacing w:after="240" w:line="360" w:lineRule="auto"/>
    </w:pPr>
    <w:rPr>
      <w:rFonts w:ascii="Arial" w:hAnsi="Arial"/>
      <w:bCs/>
      <w:iCs/>
      <w:szCs w:val="28"/>
      <w:lang w:val="x-none"/>
    </w:rPr>
  </w:style>
  <w:style w:type="character" w:customStyle="1" w:styleId="Numberedlevel2textChar">
    <w:name w:val="Numbered level 2 text Char"/>
    <w:link w:val="Numberedlevel2text"/>
    <w:qForma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4"/>
      <w:szCs w:val="24"/>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customStyle="1" w:styleId="UnresolvedMention1">
    <w:name w:val="Unresolved Mention1"/>
    <w:basedOn w:val="DefaultParagraphFont"/>
    <w:uiPriority w:val="99"/>
    <w:semiHidden/>
    <w:unhideWhenUsed/>
    <w:rsid w:val="00D019BA"/>
    <w:rPr>
      <w:color w:val="605E5C"/>
      <w:shd w:val="clear" w:color="auto" w:fill="E1DFDD"/>
    </w:rPr>
  </w:style>
  <w:style w:type="paragraph" w:styleId="NormalWeb">
    <w:name w:val="Normal (Web)"/>
    <w:basedOn w:val="Normal"/>
    <w:uiPriority w:val="99"/>
    <w:unhideWhenUsed/>
    <w:rsid w:val="00415CD8"/>
    <w:pPr>
      <w:spacing w:before="100" w:beforeAutospacing="1" w:after="100" w:afterAutospacing="1"/>
    </w:pPr>
    <w:rPr>
      <w:lang w:eastAsia="en-GB"/>
    </w:rPr>
  </w:style>
  <w:style w:type="character" w:customStyle="1" w:styleId="UnresolvedMention2">
    <w:name w:val="Unresolved Mention2"/>
    <w:basedOn w:val="DefaultParagraphFont"/>
    <w:uiPriority w:val="99"/>
    <w:semiHidden/>
    <w:unhideWhenUsed/>
    <w:rsid w:val="00D03A74"/>
    <w:rPr>
      <w:color w:val="605E5C"/>
      <w:shd w:val="clear" w:color="auto" w:fill="E1DFDD"/>
    </w:rPr>
  </w:style>
  <w:style w:type="paragraph" w:customStyle="1" w:styleId="Default">
    <w:name w:val="Default"/>
    <w:rsid w:val="003B21D0"/>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333F70"/>
    <w:rPr>
      <w:color w:val="605E5C"/>
      <w:shd w:val="clear" w:color="auto" w:fill="E1DFDD"/>
    </w:rPr>
  </w:style>
  <w:style w:type="table" w:customStyle="1" w:styleId="PanelPrimary">
    <w:name w:val="Panel (Primary)"/>
    <w:basedOn w:val="TableNormal"/>
    <w:uiPriority w:val="99"/>
    <w:rsid w:val="002B7912"/>
    <w:pPr>
      <w:spacing w:after="240"/>
    </w:pPr>
    <w:tblPr>
      <w:tblBorders>
        <w:top w:val="single" w:sz="24" w:space="0" w:color="A2BDC1"/>
        <w:left w:val="single" w:sz="24" w:space="0" w:color="A2BDC1"/>
        <w:bottom w:val="single" w:sz="24" w:space="0" w:color="A2BDC1"/>
        <w:right w:val="single" w:sz="24" w:space="0" w:color="A2BDC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1342970597">
      <w:bodyDiv w:val="1"/>
      <w:marLeft w:val="0"/>
      <w:marRight w:val="0"/>
      <w:marTop w:val="0"/>
      <w:marBottom w:val="0"/>
      <w:divBdr>
        <w:top w:val="none" w:sz="0" w:space="0" w:color="auto"/>
        <w:left w:val="none" w:sz="0" w:space="0" w:color="auto"/>
        <w:bottom w:val="none" w:sz="0" w:space="0" w:color="auto"/>
        <w:right w:val="none" w:sz="0" w:space="0" w:color="auto"/>
      </w:divBdr>
    </w:div>
    <w:div w:id="1579897351">
      <w:bodyDiv w:val="1"/>
      <w:marLeft w:val="0"/>
      <w:marRight w:val="0"/>
      <w:marTop w:val="0"/>
      <w:marBottom w:val="0"/>
      <w:divBdr>
        <w:top w:val="none" w:sz="0" w:space="0" w:color="auto"/>
        <w:left w:val="none" w:sz="0" w:space="0" w:color="auto"/>
        <w:bottom w:val="none" w:sz="0" w:space="0" w:color="auto"/>
        <w:right w:val="none" w:sz="0" w:space="0" w:color="auto"/>
      </w:divBdr>
    </w:div>
    <w:div w:id="1699433453">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7732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dicines.org.uk/emc/product/10933/smpc" TargetMode="External"/><Relationship Id="rId13" Type="http://schemas.openxmlformats.org/officeDocument/2006/relationships/hyperlink" Target="http://www.legislation.gov.uk/uksi/2013/259/contents/m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ta34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coronavirus/wp-content/uploads/sites/52/2020/03/C0077-Specialty-guide_Anticoagulant-services-and-coronavirus-v1-31-March.pdf"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 TargetMode="External"/><Relationship Id="rId10" Type="http://schemas.openxmlformats.org/officeDocument/2006/relationships/hyperlink" Target="https://www.nice.org.uk/guidance/ng1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guidance/indevelopment/gid-ta10440/documents" TargetMode="External"/><Relationship Id="rId14" Type="http://schemas.openxmlformats.org/officeDocument/2006/relationships/hyperlink" Target="https://www.nice.org.uk/Get-Involved/Meetings-in-public/Technology-appraisal-Committee/Committee-a-Member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6C58-B602-44FA-B82F-08F2E4A6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4719</Words>
  <Characters>26702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31359</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NICE</dc:creator>
  <cp:keywords/>
  <cp:lastModifiedBy>Thomas Feist</cp:lastModifiedBy>
  <cp:revision>2</cp:revision>
  <cp:lastPrinted>2020-09-04T14:31:00Z</cp:lastPrinted>
  <dcterms:created xsi:type="dcterms:W3CDTF">2020-09-11T11:48:00Z</dcterms:created>
  <dcterms:modified xsi:type="dcterms:W3CDTF">2020-09-11T11:48:00Z</dcterms:modified>
</cp:coreProperties>
</file>