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AB74" w14:textId="77777777" w:rsidR="000F48EC" w:rsidRPr="006966B8" w:rsidRDefault="000F48EC" w:rsidP="0093671F">
      <w:pPr>
        <w:pStyle w:val="Title2"/>
      </w:pPr>
      <w:bookmarkStart w:id="0" w:name="_Hlk65659583"/>
      <w:r w:rsidRPr="006966B8">
        <w:t>NATIONAL INSTITUTE FOR HEALTH AND C</w:t>
      </w:r>
      <w:r w:rsidR="00CC63EB" w:rsidRPr="006966B8">
        <w:t>ARE</w:t>
      </w:r>
      <w:r w:rsidRPr="006966B8">
        <w:t xml:space="preserve"> EXCELLENCE</w:t>
      </w:r>
    </w:p>
    <w:p w14:paraId="034C6BB1" w14:textId="0D492314" w:rsidR="000F48EC" w:rsidRPr="006966B8" w:rsidRDefault="000F48EC" w:rsidP="000069F9">
      <w:pPr>
        <w:pStyle w:val="Title2"/>
      </w:pPr>
      <w:r w:rsidRPr="006966B8">
        <w:t>Final appraisal d</w:t>
      </w:r>
      <w:r w:rsidR="00A915F3" w:rsidRPr="006966B8">
        <w:t>ocument</w:t>
      </w:r>
    </w:p>
    <w:p w14:paraId="5EFBC7F2" w14:textId="1DC249A9" w:rsidR="007A2801" w:rsidRPr="006966B8" w:rsidRDefault="00C87F48" w:rsidP="0031784C">
      <w:pPr>
        <w:pStyle w:val="Title1"/>
      </w:pPr>
      <w:r w:rsidRPr="006966B8">
        <w:t xml:space="preserve">Ofatumumab </w:t>
      </w:r>
      <w:r w:rsidR="00D73110" w:rsidRPr="006966B8">
        <w:t>for</w:t>
      </w:r>
      <w:r w:rsidR="00EF1925" w:rsidRPr="006966B8">
        <w:t xml:space="preserve"> treat</w:t>
      </w:r>
      <w:r w:rsidR="00D73110" w:rsidRPr="006966B8">
        <w:t>ing</w:t>
      </w:r>
      <w:r w:rsidR="00EF1925" w:rsidRPr="006966B8">
        <w:t xml:space="preserve"> </w:t>
      </w:r>
      <w:r w:rsidRPr="006966B8">
        <w:t>relapsing multiple sclerosis</w:t>
      </w:r>
    </w:p>
    <w:p w14:paraId="7C326B72" w14:textId="77777777" w:rsidR="000F48EC" w:rsidRPr="006966B8" w:rsidRDefault="00B379C5" w:rsidP="00F130AD">
      <w:pPr>
        <w:pStyle w:val="Numberedheading1"/>
      </w:pPr>
      <w:r w:rsidRPr="006966B8">
        <w:t>Recommendations</w:t>
      </w:r>
    </w:p>
    <w:p w14:paraId="7A4192D0" w14:textId="35D168C7" w:rsidR="00FC0149" w:rsidRPr="006966B8" w:rsidRDefault="00177A0E" w:rsidP="009C225C">
      <w:pPr>
        <w:pStyle w:val="Numberedlevel2text"/>
        <w:rPr>
          <w:lang w:val="en-GB"/>
        </w:rPr>
      </w:pPr>
      <w:r w:rsidRPr="006966B8">
        <w:rPr>
          <w:lang w:val="en-GB"/>
        </w:rPr>
        <w:t xml:space="preserve">Ofatumumab </w:t>
      </w:r>
      <w:r w:rsidR="00C31253" w:rsidRPr="006966B8">
        <w:rPr>
          <w:lang w:val="en-GB"/>
        </w:rPr>
        <w:t xml:space="preserve">is recommended as an option for treating </w:t>
      </w:r>
      <w:r w:rsidR="00663D57" w:rsidRPr="006966B8">
        <w:rPr>
          <w:lang w:val="en-GB"/>
        </w:rPr>
        <w:t>relapsing–remitting</w:t>
      </w:r>
      <w:r w:rsidR="004F4941" w:rsidRPr="006966B8">
        <w:rPr>
          <w:lang w:val="en-GB"/>
        </w:rPr>
        <w:t xml:space="preserve"> </w:t>
      </w:r>
      <w:r w:rsidRPr="006966B8">
        <w:rPr>
          <w:lang w:val="en-GB"/>
        </w:rPr>
        <w:t xml:space="preserve">multiple sclerosis </w:t>
      </w:r>
      <w:r w:rsidR="00413E08" w:rsidRPr="006966B8">
        <w:rPr>
          <w:lang w:val="en-GB"/>
        </w:rPr>
        <w:t xml:space="preserve">in adults </w:t>
      </w:r>
      <w:r w:rsidRPr="006966B8">
        <w:rPr>
          <w:lang w:val="en-GB"/>
        </w:rPr>
        <w:t>with active disease defined by clinical or imaging features</w:t>
      </w:r>
      <w:r w:rsidR="008A49A4" w:rsidRPr="006966B8">
        <w:rPr>
          <w:lang w:val="en-GB"/>
        </w:rPr>
        <w:t>. This is</w:t>
      </w:r>
      <w:r w:rsidRPr="006966B8">
        <w:rPr>
          <w:lang w:val="en-GB"/>
        </w:rPr>
        <w:t xml:space="preserve"> </w:t>
      </w:r>
      <w:r w:rsidR="00FC0149" w:rsidRPr="006966B8">
        <w:rPr>
          <w:lang w:val="en-GB"/>
        </w:rPr>
        <w:t xml:space="preserve">only if the company provides </w:t>
      </w:r>
      <w:r w:rsidR="00371CD8" w:rsidRPr="006966B8">
        <w:rPr>
          <w:lang w:val="en-GB"/>
        </w:rPr>
        <w:t>ofatumumab</w:t>
      </w:r>
      <w:r w:rsidR="00FC0149" w:rsidRPr="006966B8">
        <w:rPr>
          <w:lang w:val="en-GB"/>
        </w:rPr>
        <w:t xml:space="preserve"> according to the commercial arrangement (see </w:t>
      </w:r>
      <w:hyperlink w:anchor="_Price" w:history="1">
        <w:r w:rsidR="00FC0149" w:rsidRPr="0031784C">
          <w:rPr>
            <w:rStyle w:val="Hyperlink"/>
            <w:lang w:val="en-GB"/>
          </w:rPr>
          <w:t>section 2</w:t>
        </w:r>
      </w:hyperlink>
      <w:r w:rsidR="00FC0149" w:rsidRPr="006966B8">
        <w:rPr>
          <w:lang w:val="en-GB"/>
        </w:rPr>
        <w:t>).</w:t>
      </w:r>
    </w:p>
    <w:p w14:paraId="6ADA8CDA" w14:textId="25D3805E" w:rsidR="002F2C1A" w:rsidRPr="006966B8" w:rsidRDefault="002F2C1A" w:rsidP="009C225C">
      <w:pPr>
        <w:pStyle w:val="Numberedlevel2text"/>
        <w:rPr>
          <w:lang w:val="en-GB"/>
        </w:rPr>
      </w:pPr>
      <w:r w:rsidRPr="006966B8">
        <w:rPr>
          <w:lang w:val="en-GB"/>
        </w:rPr>
        <w:t>This recommendation is</w:t>
      </w:r>
      <w:r w:rsidR="00177A0E" w:rsidRPr="006966B8">
        <w:rPr>
          <w:lang w:val="en-GB"/>
        </w:rPr>
        <w:t xml:space="preserve"> </w:t>
      </w:r>
      <w:r w:rsidRPr="006966B8">
        <w:rPr>
          <w:lang w:val="en-GB"/>
        </w:rPr>
        <w:t xml:space="preserve">not intended to affect treatment with </w:t>
      </w:r>
      <w:r w:rsidR="00177A0E" w:rsidRPr="006966B8">
        <w:rPr>
          <w:lang w:val="en-GB"/>
        </w:rPr>
        <w:t xml:space="preserve">ofatumumab </w:t>
      </w:r>
      <w:r w:rsidRPr="006966B8">
        <w:rPr>
          <w:lang w:val="en-GB"/>
        </w:rPr>
        <w:t>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r w:rsidR="00177A0E" w:rsidRPr="006966B8">
        <w:rPr>
          <w:lang w:val="en-GB"/>
        </w:rPr>
        <w:t>.</w:t>
      </w:r>
    </w:p>
    <w:p w14:paraId="7C26B589" w14:textId="77777777" w:rsidR="00C11F58" w:rsidRPr="006966B8" w:rsidRDefault="00C11F58" w:rsidP="008522C6">
      <w:pPr>
        <w:pStyle w:val="NICEnormal"/>
        <w:rPr>
          <w:b/>
        </w:rPr>
      </w:pPr>
      <w:r w:rsidRPr="006966B8">
        <w:rPr>
          <w:b/>
        </w:rPr>
        <w:t>Why the committee made these recommendations</w:t>
      </w:r>
    </w:p>
    <w:p w14:paraId="740F557B" w14:textId="6F6B65E0" w:rsidR="00B8464A" w:rsidRPr="006966B8" w:rsidRDefault="00C91F8D" w:rsidP="00C52CE9">
      <w:pPr>
        <w:pStyle w:val="NICEnormal"/>
      </w:pPr>
      <w:r w:rsidRPr="006966B8">
        <w:t xml:space="preserve">NHS treatments for </w:t>
      </w:r>
      <w:r w:rsidR="00663D57" w:rsidRPr="006966B8">
        <w:t>relapsing–remitting</w:t>
      </w:r>
      <w:r w:rsidRPr="006966B8">
        <w:t xml:space="preserve"> multiple sclerosis include alemtuzumab, beta interferons, cladribine, dimethyl fumarate, fingolimod, glatiramer acetate, natalizumab, ocrelizumab and teriflunomide.</w:t>
      </w:r>
    </w:p>
    <w:p w14:paraId="6ED86684" w14:textId="4BD2DA14" w:rsidR="00C91F8D" w:rsidRPr="006966B8" w:rsidRDefault="00C91F8D" w:rsidP="00C52CE9">
      <w:pPr>
        <w:pStyle w:val="NICEnormal"/>
      </w:pPr>
      <w:r w:rsidRPr="006966B8">
        <w:t>Clinical trial evidence shows that</w:t>
      </w:r>
      <w:r w:rsidR="00315C49" w:rsidRPr="006966B8">
        <w:t>,</w:t>
      </w:r>
      <w:r w:rsidRPr="006966B8">
        <w:t xml:space="preserve"> </w:t>
      </w:r>
      <w:r w:rsidR="009853A6" w:rsidRPr="006966B8">
        <w:t>in people with relapsing</w:t>
      </w:r>
      <w:r w:rsidR="00315C49" w:rsidRPr="006966B8">
        <w:t>–</w:t>
      </w:r>
      <w:r w:rsidR="009853A6" w:rsidRPr="006966B8">
        <w:t>remitting multiple sclerosis</w:t>
      </w:r>
      <w:r w:rsidR="00315C49" w:rsidRPr="006966B8">
        <w:t>,</w:t>
      </w:r>
      <w:r w:rsidR="009853A6" w:rsidRPr="006966B8">
        <w:t xml:space="preserve"> </w:t>
      </w:r>
      <w:r w:rsidRPr="006966B8">
        <w:t xml:space="preserve">ofatumumab reduces the number of relapses and slows </w:t>
      </w:r>
      <w:r w:rsidR="00CE5EE1" w:rsidRPr="006966B8">
        <w:t>disease</w:t>
      </w:r>
      <w:r w:rsidRPr="006966B8">
        <w:t xml:space="preserve"> progression when compared with teriflunomide</w:t>
      </w:r>
      <w:r w:rsidR="00326120" w:rsidRPr="006966B8">
        <w:t>.</w:t>
      </w:r>
      <w:r w:rsidR="003B5566" w:rsidRPr="006966B8">
        <w:t xml:space="preserve"> There is no evidence directly comparing ofatumumab with </w:t>
      </w:r>
      <w:r w:rsidR="008579A9" w:rsidRPr="006966B8">
        <w:t xml:space="preserve">the </w:t>
      </w:r>
      <w:r w:rsidR="003B5566" w:rsidRPr="006966B8">
        <w:t>other treatments</w:t>
      </w:r>
      <w:r w:rsidR="008F2234" w:rsidRPr="006966B8">
        <w:t xml:space="preserve"> listed</w:t>
      </w:r>
      <w:r w:rsidR="003B5566" w:rsidRPr="006966B8">
        <w:t>.</w:t>
      </w:r>
      <w:r w:rsidR="00326120" w:rsidRPr="006966B8">
        <w:t xml:space="preserve"> </w:t>
      </w:r>
      <w:r w:rsidR="008579A9" w:rsidRPr="006966B8">
        <w:t>But i</w:t>
      </w:r>
      <w:r w:rsidR="00326120" w:rsidRPr="006966B8">
        <w:t xml:space="preserve">ndirect </w:t>
      </w:r>
      <w:r w:rsidR="00413E08" w:rsidRPr="006966B8">
        <w:t>comparisons</w:t>
      </w:r>
      <w:r w:rsidR="00326120" w:rsidRPr="006966B8">
        <w:t xml:space="preserve"> suggest that ofatumumab reduces the number of relapses</w:t>
      </w:r>
      <w:r w:rsidR="00C364AC" w:rsidRPr="006966B8">
        <w:t xml:space="preserve"> </w:t>
      </w:r>
      <w:r w:rsidR="00CE5EE1" w:rsidRPr="006966B8">
        <w:t>and slows disability progression</w:t>
      </w:r>
      <w:r w:rsidR="00116BEA" w:rsidRPr="006966B8">
        <w:t xml:space="preserve"> </w:t>
      </w:r>
      <w:r w:rsidR="00326120" w:rsidRPr="006966B8">
        <w:t xml:space="preserve">compared with </w:t>
      </w:r>
      <w:r w:rsidR="008579A9" w:rsidRPr="006966B8">
        <w:t>beta interferons</w:t>
      </w:r>
      <w:r w:rsidR="00326120" w:rsidRPr="006966B8">
        <w:t xml:space="preserve">, </w:t>
      </w:r>
      <w:r w:rsidR="008579A9" w:rsidRPr="006966B8">
        <w:t xml:space="preserve">cladribine, dimethyl fumarate, </w:t>
      </w:r>
      <w:r w:rsidR="008579A9" w:rsidRPr="006966B8">
        <w:lastRenderedPageBreak/>
        <w:t>fingolimod</w:t>
      </w:r>
      <w:r w:rsidR="00326120" w:rsidRPr="006966B8">
        <w:t xml:space="preserve">, glatiramer acetate, </w:t>
      </w:r>
      <w:r w:rsidR="00CE5EE1" w:rsidRPr="006966B8">
        <w:t>and teriflunomide</w:t>
      </w:r>
      <w:r w:rsidR="008579A9" w:rsidRPr="006966B8">
        <w:t xml:space="preserve">. They </w:t>
      </w:r>
      <w:r w:rsidR="00A228CB" w:rsidRPr="006966B8">
        <w:t xml:space="preserve">also </w:t>
      </w:r>
      <w:r w:rsidR="008579A9" w:rsidRPr="006966B8">
        <w:t xml:space="preserve">suggest </w:t>
      </w:r>
      <w:r w:rsidR="009853A6" w:rsidRPr="006966B8">
        <w:t xml:space="preserve">it </w:t>
      </w:r>
      <w:r w:rsidR="006A0098" w:rsidRPr="006966B8">
        <w:t xml:space="preserve">is as effective as </w:t>
      </w:r>
      <w:r w:rsidR="008579A9" w:rsidRPr="006966B8">
        <w:t xml:space="preserve">alemtuzumab, </w:t>
      </w:r>
      <w:r w:rsidR="006A0098" w:rsidRPr="006966B8">
        <w:t xml:space="preserve">natalizumab </w:t>
      </w:r>
      <w:r w:rsidR="008579A9" w:rsidRPr="006966B8">
        <w:t xml:space="preserve">and </w:t>
      </w:r>
      <w:r w:rsidR="006A0098" w:rsidRPr="006966B8">
        <w:t>ocrelizumab</w:t>
      </w:r>
      <w:r w:rsidR="00326120" w:rsidRPr="006966B8">
        <w:t>.</w:t>
      </w:r>
    </w:p>
    <w:p w14:paraId="5A247870" w14:textId="7304FD04" w:rsidR="007E5FA0" w:rsidRPr="006966B8" w:rsidRDefault="007E5FA0" w:rsidP="00C52CE9">
      <w:pPr>
        <w:pStyle w:val="NICEnormal"/>
      </w:pPr>
      <w:r w:rsidRPr="006966B8">
        <w:t xml:space="preserve">The most </w:t>
      </w:r>
      <w:r w:rsidR="003C4305" w:rsidRPr="006966B8">
        <w:t xml:space="preserve">likely </w:t>
      </w:r>
      <w:r w:rsidRPr="006966B8">
        <w:t xml:space="preserve">cost-effectiveness estimates suggest ofatumumab </w:t>
      </w:r>
      <w:r w:rsidR="00351181" w:rsidRPr="006966B8">
        <w:t xml:space="preserve">is </w:t>
      </w:r>
      <w:r w:rsidR="00BB3294" w:rsidRPr="006966B8">
        <w:t>cost</w:t>
      </w:r>
      <w:r w:rsidR="001C32C5" w:rsidRPr="006966B8">
        <w:t xml:space="preserve"> </w:t>
      </w:r>
      <w:r w:rsidR="00BB3294" w:rsidRPr="006966B8">
        <w:t xml:space="preserve">effective and </w:t>
      </w:r>
      <w:r w:rsidRPr="006966B8">
        <w:t>an acceptable use of NHS resources</w:t>
      </w:r>
      <w:r w:rsidR="00351181" w:rsidRPr="006966B8">
        <w:t>, so it is recommended</w:t>
      </w:r>
      <w:r w:rsidRPr="006966B8">
        <w:t>.</w:t>
      </w:r>
    </w:p>
    <w:p w14:paraId="0B4F54AF" w14:textId="0B2EAADF" w:rsidR="00EA1CB1" w:rsidRPr="006966B8" w:rsidRDefault="00EA1CB1" w:rsidP="00EA1CB1">
      <w:pPr>
        <w:pStyle w:val="Numberedheading1"/>
        <w:keepLines/>
      </w:pPr>
      <w:r w:rsidRPr="006966B8">
        <w:t xml:space="preserve">Information about </w:t>
      </w:r>
      <w:r w:rsidR="00C87F48" w:rsidRPr="006966B8">
        <w:t>ofatumumab</w:t>
      </w:r>
    </w:p>
    <w:p w14:paraId="7D7080EE" w14:textId="5EEBB105" w:rsidR="00B82A82" w:rsidRPr="006966B8" w:rsidRDefault="00B82A82" w:rsidP="00B82A82">
      <w:pPr>
        <w:pStyle w:val="Heading2"/>
      </w:pPr>
      <w:r w:rsidRPr="006966B8">
        <w:t>Marketing authorisation indication/anticipated marketing authorisation indication</w:t>
      </w:r>
    </w:p>
    <w:p w14:paraId="26A0C395" w14:textId="1AF2A0C9" w:rsidR="00B82A82" w:rsidRPr="006966B8" w:rsidRDefault="006651B5" w:rsidP="004C7D4F">
      <w:pPr>
        <w:pStyle w:val="Numberedlevel2text"/>
        <w:numPr>
          <w:ilvl w:val="1"/>
          <w:numId w:val="1"/>
        </w:numPr>
        <w:rPr>
          <w:lang w:val="en-GB"/>
        </w:rPr>
      </w:pPr>
      <w:r>
        <w:rPr>
          <w:lang w:val="en-GB"/>
        </w:rPr>
        <w:t>O</w:t>
      </w:r>
      <w:r w:rsidR="00AE0D23" w:rsidRPr="006966B8">
        <w:rPr>
          <w:lang w:val="en-GB"/>
        </w:rPr>
        <w:t>fatumumab</w:t>
      </w:r>
      <w:r w:rsidR="00AC5FAC" w:rsidRPr="006966B8">
        <w:rPr>
          <w:lang w:val="en-GB"/>
        </w:rPr>
        <w:t xml:space="preserve"> (</w:t>
      </w:r>
      <w:proofErr w:type="spellStart"/>
      <w:r w:rsidR="00AC5FAC" w:rsidRPr="006966B8">
        <w:rPr>
          <w:lang w:val="en-GB"/>
        </w:rPr>
        <w:t>Kesimpta</w:t>
      </w:r>
      <w:proofErr w:type="spellEnd"/>
      <w:r w:rsidR="00B82A82" w:rsidRPr="006966B8">
        <w:rPr>
          <w:lang w:val="en-GB"/>
        </w:rPr>
        <w:t>,</w:t>
      </w:r>
      <w:r w:rsidR="00AC5FAC" w:rsidRPr="006966B8">
        <w:rPr>
          <w:lang w:val="en-GB"/>
        </w:rPr>
        <w:t xml:space="preserve"> Novartis)</w:t>
      </w:r>
      <w:r w:rsidR="00B82A82" w:rsidRPr="006966B8">
        <w:rPr>
          <w:lang w:val="en-GB"/>
        </w:rPr>
        <w:t xml:space="preserve"> </w:t>
      </w:r>
      <w:r>
        <w:rPr>
          <w:lang w:val="en-GB"/>
        </w:rPr>
        <w:t xml:space="preserve">is </w:t>
      </w:r>
      <w:r w:rsidR="00B82A82" w:rsidRPr="006966B8">
        <w:rPr>
          <w:lang w:val="en-GB"/>
        </w:rPr>
        <w:t>in</w:t>
      </w:r>
      <w:r>
        <w:rPr>
          <w:lang w:val="en-GB"/>
        </w:rPr>
        <w:t xml:space="preserve">dicated </w:t>
      </w:r>
      <w:bookmarkStart w:id="1" w:name="_Hlk65050462"/>
      <w:r w:rsidR="00B82A82" w:rsidRPr="006966B8">
        <w:rPr>
          <w:lang w:val="en-GB"/>
        </w:rPr>
        <w:t>for the treatment of</w:t>
      </w:r>
      <w:r w:rsidR="00E018C7" w:rsidRPr="006966B8">
        <w:rPr>
          <w:lang w:val="en-GB"/>
        </w:rPr>
        <w:t xml:space="preserve"> </w:t>
      </w:r>
      <w:r w:rsidR="00647A50" w:rsidRPr="006966B8">
        <w:rPr>
          <w:lang w:val="en-GB"/>
        </w:rPr>
        <w:t>relapsing forms of multiple sclerosis</w:t>
      </w:r>
      <w:r w:rsidR="00AC5FAC" w:rsidRPr="006966B8">
        <w:rPr>
          <w:lang w:val="en-GB"/>
        </w:rPr>
        <w:t xml:space="preserve"> </w:t>
      </w:r>
      <w:r w:rsidR="00647A50" w:rsidRPr="006966B8">
        <w:rPr>
          <w:lang w:val="en-GB"/>
        </w:rPr>
        <w:t>in adults with active disease defined by clinical or imaging features</w:t>
      </w:r>
      <w:r w:rsidR="00B82A82" w:rsidRPr="006966B8">
        <w:rPr>
          <w:lang w:val="en-GB"/>
        </w:rPr>
        <w:t>.</w:t>
      </w:r>
      <w:bookmarkEnd w:id="1"/>
    </w:p>
    <w:p w14:paraId="007C0353" w14:textId="77777777" w:rsidR="00B82A82" w:rsidRPr="006966B8" w:rsidRDefault="00B82A82" w:rsidP="00B82A82">
      <w:pPr>
        <w:pStyle w:val="Heading2"/>
      </w:pPr>
      <w:r w:rsidRPr="006966B8">
        <w:t>Dosage in the marketing authorisation</w:t>
      </w:r>
    </w:p>
    <w:p w14:paraId="3098329D" w14:textId="1FEBEEBF" w:rsidR="00B82A82" w:rsidRPr="006966B8" w:rsidRDefault="00FE2CE3" w:rsidP="001A5561">
      <w:pPr>
        <w:pStyle w:val="Numberedlevel2text"/>
        <w:numPr>
          <w:ilvl w:val="1"/>
          <w:numId w:val="1"/>
        </w:numPr>
        <w:rPr>
          <w:rStyle w:val="Numberedlevel2textChar"/>
          <w:lang w:val="en-GB"/>
        </w:rPr>
      </w:pPr>
      <w:r w:rsidRPr="006966B8">
        <w:rPr>
          <w:lang w:val="en-GB"/>
        </w:rPr>
        <w:t>The dosage schedule is</w:t>
      </w:r>
      <w:r w:rsidR="00570524" w:rsidRPr="006966B8">
        <w:rPr>
          <w:lang w:val="en-GB"/>
        </w:rPr>
        <w:t xml:space="preserve"> available in the summary of product characteristics</w:t>
      </w:r>
      <w:r w:rsidR="00D35AD9">
        <w:rPr>
          <w:lang w:val="en-GB"/>
        </w:rPr>
        <w:t>.</w:t>
      </w:r>
    </w:p>
    <w:p w14:paraId="59DA71FF" w14:textId="77777777" w:rsidR="00B82A82" w:rsidRPr="006966B8" w:rsidRDefault="00B82A82" w:rsidP="00B82A82">
      <w:pPr>
        <w:pStyle w:val="Heading2"/>
      </w:pPr>
      <w:bookmarkStart w:id="2" w:name="_Price"/>
      <w:bookmarkEnd w:id="2"/>
      <w:r w:rsidRPr="006966B8">
        <w:t>Price</w:t>
      </w:r>
    </w:p>
    <w:p w14:paraId="22CFFCF1" w14:textId="7E3733F5" w:rsidR="00B82A82" w:rsidRPr="006966B8" w:rsidRDefault="001E1BD8" w:rsidP="00866B47">
      <w:pPr>
        <w:pStyle w:val="Numberedlevel2text"/>
      </w:pPr>
      <w:r w:rsidRPr="006966B8">
        <w:rPr>
          <w:lang w:val="en-GB"/>
        </w:rPr>
        <w:t xml:space="preserve">The list price for ofatumumab is </w:t>
      </w:r>
      <w:r w:rsidRPr="00BA148F">
        <w:rPr>
          <w:lang w:val="en-GB"/>
        </w:rPr>
        <w:t xml:space="preserve">£1,492.50 </w:t>
      </w:r>
      <w:r w:rsidRPr="006966B8">
        <w:rPr>
          <w:lang w:val="en-GB"/>
        </w:rPr>
        <w:t>(exc</w:t>
      </w:r>
      <w:r w:rsidR="00F75E72" w:rsidRPr="006966B8">
        <w:rPr>
          <w:lang w:val="en-GB"/>
        </w:rPr>
        <w:t>luding</w:t>
      </w:r>
      <w:r w:rsidRPr="006966B8">
        <w:rPr>
          <w:lang w:val="en-GB"/>
        </w:rPr>
        <w:t xml:space="preserve"> VAT) per unit pack (prefilled autoinjector pen)</w:t>
      </w:r>
      <w:r w:rsidR="00866B47">
        <w:rPr>
          <w:lang w:val="en-GB"/>
        </w:rPr>
        <w:t xml:space="preserve">. </w:t>
      </w:r>
      <w:r w:rsidR="00B82A82" w:rsidRPr="006966B8">
        <w:t>The company has a commercial arrangement (</w:t>
      </w:r>
      <w:r w:rsidR="00AE0D23" w:rsidRPr="006966B8">
        <w:t>simple discount patient access scheme)</w:t>
      </w:r>
      <w:r w:rsidR="00B82A82" w:rsidRPr="006966B8">
        <w:t xml:space="preserve">. This makes </w:t>
      </w:r>
      <w:r w:rsidR="00AE0D23" w:rsidRPr="006966B8">
        <w:t>ofatumumab</w:t>
      </w:r>
      <w:r w:rsidR="00B82A82" w:rsidRPr="006966B8">
        <w:t xml:space="preserve"> available to the NHS with a discount. The size of the discount is commercial in confidence. It is the company’s responsibility to let relevant NHS organisations know details of the discount.</w:t>
      </w:r>
    </w:p>
    <w:p w14:paraId="296AE61E" w14:textId="77777777" w:rsidR="00F130AD" w:rsidRPr="006966B8" w:rsidRDefault="00222BEA" w:rsidP="00F130AD">
      <w:pPr>
        <w:pStyle w:val="Numberedheading1"/>
      </w:pPr>
      <w:r w:rsidRPr="006966B8">
        <w:t>Committee discussion</w:t>
      </w:r>
    </w:p>
    <w:p w14:paraId="050AC998" w14:textId="01FE466D" w:rsidR="002B5772" w:rsidRPr="006966B8" w:rsidRDefault="00BC7D9E" w:rsidP="002B5772">
      <w:pPr>
        <w:pStyle w:val="NICEnormal"/>
      </w:pPr>
      <w:r w:rsidRPr="006966B8">
        <w:t xml:space="preserve">The </w:t>
      </w:r>
      <w:hyperlink w:anchor="_Appraisal_committee_members" w:history="1">
        <w:r w:rsidR="00343B53" w:rsidRPr="006966B8">
          <w:rPr>
            <w:rStyle w:val="Hyperlink"/>
          </w:rPr>
          <w:t>a</w:t>
        </w:r>
        <w:r w:rsidRPr="006966B8">
          <w:rPr>
            <w:rStyle w:val="Hyperlink"/>
          </w:rPr>
          <w:t xml:space="preserve">ppraisal </w:t>
        </w:r>
        <w:r w:rsidR="00343B53" w:rsidRPr="006966B8">
          <w:rPr>
            <w:rStyle w:val="Hyperlink"/>
          </w:rPr>
          <w:t>c</w:t>
        </w:r>
        <w:r w:rsidRPr="006966B8">
          <w:rPr>
            <w:rStyle w:val="Hyperlink"/>
          </w:rPr>
          <w:t>ommittee</w:t>
        </w:r>
      </w:hyperlink>
      <w:r w:rsidRPr="006966B8">
        <w:t xml:space="preserve"> considered evidence submitted by </w:t>
      </w:r>
      <w:r w:rsidR="00AE0D23" w:rsidRPr="006966B8">
        <w:t>Novarti</w:t>
      </w:r>
      <w:r w:rsidR="00AC5FAC" w:rsidRPr="006966B8">
        <w:t>s,</w:t>
      </w:r>
      <w:r w:rsidR="008F2234" w:rsidRPr="006966B8">
        <w:t xml:space="preserve"> and</w:t>
      </w:r>
      <w:r w:rsidR="00AE0D23" w:rsidRPr="006966B8">
        <w:t xml:space="preserve"> </w:t>
      </w:r>
      <w:r w:rsidRPr="006966B8">
        <w:t xml:space="preserve">a review of this submission by the </w:t>
      </w:r>
      <w:r w:rsidR="00343B53" w:rsidRPr="006966B8">
        <w:t>e</w:t>
      </w:r>
      <w:r w:rsidRPr="006966B8">
        <w:t xml:space="preserve">vidence </w:t>
      </w:r>
      <w:r w:rsidR="00343B53" w:rsidRPr="006966B8">
        <w:t>r</w:t>
      </w:r>
      <w:r w:rsidRPr="006966B8">
        <w:t xml:space="preserve">eview </w:t>
      </w:r>
      <w:r w:rsidR="00343B53" w:rsidRPr="006966B8">
        <w:t>g</w:t>
      </w:r>
      <w:r w:rsidRPr="006966B8">
        <w:t>roup (ERG).</w:t>
      </w:r>
      <w:r w:rsidR="00C63D4E" w:rsidRPr="006966B8">
        <w:t xml:space="preserve"> </w:t>
      </w:r>
      <w:r w:rsidR="002B5772" w:rsidRPr="006966B8">
        <w:t xml:space="preserve">See the </w:t>
      </w:r>
      <w:hyperlink r:id="rId8" w:history="1">
        <w:r w:rsidR="002B5772" w:rsidRPr="006966B8">
          <w:rPr>
            <w:rStyle w:val="Hyperlink"/>
          </w:rPr>
          <w:t>committee papers</w:t>
        </w:r>
      </w:hyperlink>
      <w:r w:rsidR="002B5772" w:rsidRPr="006966B8">
        <w:t xml:space="preserve"> for full details of the evidence.</w:t>
      </w:r>
    </w:p>
    <w:p w14:paraId="09E484A5" w14:textId="41F4B5C9" w:rsidR="006B0F36" w:rsidRPr="006966B8" w:rsidRDefault="002B5772" w:rsidP="00D01B9F">
      <w:pPr>
        <w:pStyle w:val="NICEnormal"/>
      </w:pPr>
      <w:r w:rsidRPr="006966B8">
        <w:t xml:space="preserve">The appraisal committee was aware </w:t>
      </w:r>
      <w:r w:rsidR="002555BE" w:rsidRPr="006966B8">
        <w:t>that several</w:t>
      </w:r>
      <w:r w:rsidRPr="006966B8">
        <w:t xml:space="preserve"> issues were resolved during </w:t>
      </w:r>
      <w:r w:rsidR="006D4D1A" w:rsidRPr="006966B8">
        <w:t xml:space="preserve">the </w:t>
      </w:r>
      <w:r w:rsidR="00E95253" w:rsidRPr="006966B8">
        <w:t>technical engagement</w:t>
      </w:r>
      <w:r w:rsidR="006D4D1A" w:rsidRPr="006966B8">
        <w:t xml:space="preserve"> stage</w:t>
      </w:r>
      <w:r w:rsidR="007D1008" w:rsidRPr="006966B8">
        <w:t>, and agreed that:</w:t>
      </w:r>
    </w:p>
    <w:p w14:paraId="54DFB997" w14:textId="3991FF0C" w:rsidR="002F49A0" w:rsidRPr="006966B8" w:rsidRDefault="008705BC" w:rsidP="002F49A0">
      <w:pPr>
        <w:pStyle w:val="Bulletleft1"/>
        <w:rPr>
          <w:lang w:eastAsia="en-GB"/>
        </w:rPr>
      </w:pPr>
      <w:r w:rsidRPr="006966B8">
        <w:lastRenderedPageBreak/>
        <w:t>T</w:t>
      </w:r>
      <w:r w:rsidR="005B68A2" w:rsidRPr="006966B8">
        <w:t xml:space="preserve">he </w:t>
      </w:r>
      <w:r w:rsidR="00FB4D49" w:rsidRPr="006966B8">
        <w:t xml:space="preserve">ASCLEPIOS data from 2 multicentre international phase 3 randomised controlled trials in people with </w:t>
      </w:r>
      <w:r w:rsidR="009853A6" w:rsidRPr="006966B8">
        <w:t>relapsing multiple sclerosis</w:t>
      </w:r>
      <w:r w:rsidR="005859D5" w:rsidRPr="006966B8">
        <w:t xml:space="preserve"> </w:t>
      </w:r>
      <w:r w:rsidR="00FB4D49" w:rsidRPr="006966B8">
        <w:t xml:space="preserve">was generalisable to UK clinical </w:t>
      </w:r>
      <w:r w:rsidR="005C45B7" w:rsidRPr="006966B8">
        <w:t>practice.</w:t>
      </w:r>
    </w:p>
    <w:p w14:paraId="12CA9088" w14:textId="0341AC88" w:rsidR="0095579B" w:rsidRPr="006966B8" w:rsidRDefault="00587658" w:rsidP="004C7D4F">
      <w:pPr>
        <w:pStyle w:val="Bulletleft1"/>
      </w:pPr>
      <w:r w:rsidRPr="006966B8">
        <w:t>Including</w:t>
      </w:r>
      <w:r w:rsidR="009F5BB0" w:rsidRPr="006966B8">
        <w:t xml:space="preserve"> data from trials </w:t>
      </w:r>
      <w:r w:rsidR="00F13B04" w:rsidRPr="006966B8">
        <w:t xml:space="preserve">that were </w:t>
      </w:r>
      <w:r w:rsidR="009F5BB0" w:rsidRPr="006966B8">
        <w:t xml:space="preserve">originally omitted </w:t>
      </w:r>
      <w:r w:rsidR="00F13B04" w:rsidRPr="006966B8">
        <w:t xml:space="preserve">from </w:t>
      </w:r>
      <w:r w:rsidR="009F5BB0" w:rsidRPr="006966B8">
        <w:t>the company’s base</w:t>
      </w:r>
      <w:r w:rsidR="00223E49">
        <w:t>-</w:t>
      </w:r>
      <w:r w:rsidR="009F5BB0" w:rsidRPr="006966B8">
        <w:t>case network meta</w:t>
      </w:r>
      <w:r w:rsidR="009F6816" w:rsidRPr="006966B8">
        <w:t>-</w:t>
      </w:r>
      <w:r w:rsidR="009F5BB0" w:rsidRPr="006966B8">
        <w:t>analysis</w:t>
      </w:r>
      <w:r w:rsidR="009F6816" w:rsidRPr="006966B8">
        <w:t xml:space="preserve"> had </w:t>
      </w:r>
      <w:r w:rsidR="009C3C43" w:rsidRPr="006966B8">
        <w:t xml:space="preserve">only </w:t>
      </w:r>
      <w:r w:rsidR="009F6816" w:rsidRPr="006966B8">
        <w:t xml:space="preserve">a minor impact on </w:t>
      </w:r>
      <w:r w:rsidR="009C3C43" w:rsidRPr="006966B8">
        <w:t>its</w:t>
      </w:r>
      <w:r w:rsidR="009F6816" w:rsidRPr="006966B8">
        <w:t xml:space="preserve"> </w:t>
      </w:r>
      <w:r w:rsidR="005E335E" w:rsidRPr="006966B8">
        <w:t>findings</w:t>
      </w:r>
      <w:r w:rsidR="00F13B04" w:rsidRPr="006966B8">
        <w:t>. It</w:t>
      </w:r>
      <w:r w:rsidR="005B68A2" w:rsidRPr="006966B8">
        <w:t xml:space="preserve"> </w:t>
      </w:r>
      <w:r w:rsidR="005E335E" w:rsidRPr="006966B8">
        <w:t>did not materially change the clinical effectiveness findings</w:t>
      </w:r>
      <w:r w:rsidR="00FF5F4B" w:rsidRPr="006966B8">
        <w:t xml:space="preserve"> for the reduction in relapse </w:t>
      </w:r>
      <w:r w:rsidR="002F49A0" w:rsidRPr="006966B8">
        <w:t>rates</w:t>
      </w:r>
      <w:r w:rsidR="005B68A2" w:rsidRPr="006966B8">
        <w:t xml:space="preserve"> for ofatumumab</w:t>
      </w:r>
      <w:r w:rsidR="002F49A0" w:rsidRPr="006966B8">
        <w:t>.</w:t>
      </w:r>
      <w:bookmarkStart w:id="3" w:name="_Hlk41908139"/>
      <w:bookmarkStart w:id="4" w:name="_Hlk41909285"/>
    </w:p>
    <w:p w14:paraId="6FCE9F1B" w14:textId="4A473187" w:rsidR="002F49A0" w:rsidRPr="006966B8" w:rsidRDefault="00CF3E6F" w:rsidP="009C225C">
      <w:pPr>
        <w:pStyle w:val="Heading2"/>
      </w:pPr>
      <w:r w:rsidRPr="006966B8">
        <w:t>T</w:t>
      </w:r>
      <w:r w:rsidR="005B68A2" w:rsidRPr="006966B8">
        <w:t>he condition and current t</w:t>
      </w:r>
      <w:r w:rsidRPr="006966B8">
        <w:t>reatment pathway</w:t>
      </w:r>
    </w:p>
    <w:p w14:paraId="18E5EC6D" w14:textId="5020828E" w:rsidR="00804301" w:rsidRPr="006966B8" w:rsidRDefault="000A0596" w:rsidP="00804301">
      <w:pPr>
        <w:pStyle w:val="Heading3"/>
      </w:pPr>
      <w:r w:rsidRPr="006966B8">
        <w:t>People with multiple sclerosis</w:t>
      </w:r>
      <w:r w:rsidR="00147E90" w:rsidRPr="006966B8">
        <w:t xml:space="preserve"> would value a treatment that </w:t>
      </w:r>
      <w:r w:rsidR="009504E3" w:rsidRPr="006966B8">
        <w:t>can be self-administered at home</w:t>
      </w:r>
      <w:r w:rsidR="004C7D4F" w:rsidRPr="006966B8">
        <w:t xml:space="preserve"> as a subcutaneous monthly injection</w:t>
      </w:r>
    </w:p>
    <w:p w14:paraId="2B60FC1E" w14:textId="633858DC" w:rsidR="005B68A2" w:rsidRPr="006966B8" w:rsidRDefault="005B68A2" w:rsidP="00892087">
      <w:pPr>
        <w:pStyle w:val="Numberedlevel2text"/>
        <w:rPr>
          <w:lang w:val="en-GB"/>
        </w:rPr>
      </w:pPr>
      <w:r w:rsidRPr="006966B8">
        <w:rPr>
          <w:lang w:val="en-GB"/>
        </w:rPr>
        <w:t xml:space="preserve">The clinical and patient experts </w:t>
      </w:r>
      <w:r w:rsidR="00F13B04" w:rsidRPr="006966B8">
        <w:rPr>
          <w:lang w:val="en-GB"/>
        </w:rPr>
        <w:t>said</w:t>
      </w:r>
      <w:r w:rsidRPr="006966B8">
        <w:rPr>
          <w:lang w:val="en-GB"/>
        </w:rPr>
        <w:t xml:space="preserve"> that multiple sclerosis is a chronic, disabling neurological condition. The patient experts explained that symptoms of relapsing multiple sclerosis and the adverse effects from treatment can limit people’s ability to work, and to engage in social and family life. The dosing frequency and monitoring needs of some treatments can disrupt people’s lives and careers. The committee noted that ofatumumab is self-administered at home. It heard that a treatment that could be self-administered monthly </w:t>
      </w:r>
      <w:r w:rsidR="009515A0" w:rsidRPr="006966B8">
        <w:rPr>
          <w:lang w:val="en-GB"/>
        </w:rPr>
        <w:t>is</w:t>
      </w:r>
      <w:r w:rsidRPr="006966B8">
        <w:rPr>
          <w:lang w:val="en-GB"/>
        </w:rPr>
        <w:t xml:space="preserve"> less disruptive to </w:t>
      </w:r>
      <w:r w:rsidR="000A0596" w:rsidRPr="006966B8">
        <w:rPr>
          <w:lang w:val="en-GB"/>
        </w:rPr>
        <w:t>people’s</w:t>
      </w:r>
      <w:r w:rsidRPr="006966B8">
        <w:rPr>
          <w:lang w:val="en-GB"/>
        </w:rPr>
        <w:t xml:space="preserve"> lives </w:t>
      </w:r>
      <w:r w:rsidR="00F13B04" w:rsidRPr="006966B8">
        <w:rPr>
          <w:lang w:val="en-GB"/>
        </w:rPr>
        <w:t>than</w:t>
      </w:r>
      <w:r w:rsidR="008F2234" w:rsidRPr="006966B8">
        <w:rPr>
          <w:lang w:val="en-GB"/>
        </w:rPr>
        <w:t xml:space="preserve"> </w:t>
      </w:r>
      <w:r w:rsidR="00F13B04" w:rsidRPr="006966B8">
        <w:rPr>
          <w:lang w:val="en-GB"/>
        </w:rPr>
        <w:t>treatments administered by</w:t>
      </w:r>
      <w:r w:rsidR="00362129" w:rsidRPr="006966B8">
        <w:rPr>
          <w:lang w:val="en-GB"/>
        </w:rPr>
        <w:t xml:space="preserve"> </w:t>
      </w:r>
      <w:r w:rsidR="008F2234" w:rsidRPr="006966B8">
        <w:rPr>
          <w:lang w:val="en-GB"/>
        </w:rPr>
        <w:t>intravenous infusions in hospital</w:t>
      </w:r>
      <w:r w:rsidR="00F13B04" w:rsidRPr="006966B8">
        <w:rPr>
          <w:lang w:val="en-GB"/>
        </w:rPr>
        <w:t>,</w:t>
      </w:r>
      <w:r w:rsidR="008F2234" w:rsidRPr="006966B8">
        <w:rPr>
          <w:lang w:val="en-GB"/>
        </w:rPr>
        <w:t xml:space="preserve"> </w:t>
      </w:r>
      <w:r w:rsidRPr="006966B8">
        <w:rPr>
          <w:lang w:val="en-GB"/>
        </w:rPr>
        <w:t xml:space="preserve">so would be valued by </w:t>
      </w:r>
      <w:r w:rsidR="00C24EC4" w:rsidRPr="006966B8">
        <w:rPr>
          <w:lang w:val="en-GB"/>
        </w:rPr>
        <w:t>people with multiple sclerosis</w:t>
      </w:r>
      <w:r w:rsidR="00713065" w:rsidRPr="006966B8">
        <w:rPr>
          <w:lang w:val="en-GB"/>
        </w:rPr>
        <w:t>.</w:t>
      </w:r>
    </w:p>
    <w:p w14:paraId="2999000B" w14:textId="4A7F7861" w:rsidR="00713065" w:rsidRPr="006966B8" w:rsidRDefault="00713065" w:rsidP="008062D5">
      <w:pPr>
        <w:pStyle w:val="Heading3"/>
      </w:pPr>
      <w:r w:rsidRPr="006966B8">
        <w:t xml:space="preserve">Ofatumumab could be used first line or after </w:t>
      </w:r>
      <w:r w:rsidR="00F13B04" w:rsidRPr="006966B8">
        <w:t>other treatments</w:t>
      </w:r>
    </w:p>
    <w:p w14:paraId="52B7C97E" w14:textId="326C70C8" w:rsidR="009504E3" w:rsidRPr="006966B8" w:rsidRDefault="00F13B04" w:rsidP="00892087">
      <w:pPr>
        <w:pStyle w:val="Numberedlevel2text"/>
        <w:rPr>
          <w:lang w:val="en-GB"/>
        </w:rPr>
      </w:pPr>
      <w:bookmarkStart w:id="5" w:name="_Ref508612077"/>
      <w:r w:rsidRPr="006966B8">
        <w:rPr>
          <w:lang w:val="en-GB"/>
        </w:rPr>
        <w:t xml:space="preserve">The clinical experts said </w:t>
      </w:r>
      <w:r w:rsidR="0085675B" w:rsidRPr="006966B8">
        <w:rPr>
          <w:lang w:val="en-GB"/>
        </w:rPr>
        <w:t xml:space="preserve">that ofatumumab would be offered as a first-line therapy or </w:t>
      </w:r>
      <w:r w:rsidR="002D2443" w:rsidRPr="006966B8">
        <w:rPr>
          <w:lang w:val="en-GB"/>
        </w:rPr>
        <w:t>after other treatments</w:t>
      </w:r>
      <w:r w:rsidR="0085675B" w:rsidRPr="006966B8">
        <w:rPr>
          <w:lang w:val="en-GB"/>
        </w:rPr>
        <w:t xml:space="preserve">. </w:t>
      </w:r>
      <w:r w:rsidR="0085342A" w:rsidRPr="006966B8">
        <w:rPr>
          <w:lang w:val="en-GB"/>
        </w:rPr>
        <w:t>The committee</w:t>
      </w:r>
      <w:r w:rsidR="00F07555" w:rsidRPr="006966B8">
        <w:rPr>
          <w:lang w:val="en-GB"/>
        </w:rPr>
        <w:t xml:space="preserve"> agreed that, because ofatumumab is an </w:t>
      </w:r>
      <w:r w:rsidR="005826D2" w:rsidRPr="006966B8">
        <w:rPr>
          <w:lang w:val="en-GB"/>
        </w:rPr>
        <w:t>anti</w:t>
      </w:r>
      <w:r w:rsidR="005826D2" w:rsidRPr="006966B8">
        <w:rPr>
          <w:lang w:val="en-GB"/>
        </w:rPr>
        <w:noBreakHyphen/>
        <w:t>CD20</w:t>
      </w:r>
      <w:r w:rsidR="00F07555" w:rsidRPr="006966B8">
        <w:rPr>
          <w:lang w:val="en-GB"/>
        </w:rPr>
        <w:t xml:space="preserve"> monoclonal antibody, it should be in a similar position in the treatment pathway to ocrelizumab.</w:t>
      </w:r>
      <w:r w:rsidR="00F07555" w:rsidRPr="006966B8" w:rsidDel="00F13B04">
        <w:rPr>
          <w:lang w:val="en-GB"/>
        </w:rPr>
        <w:t xml:space="preserve"> </w:t>
      </w:r>
      <w:r w:rsidR="00F07555" w:rsidRPr="006966B8">
        <w:rPr>
          <w:lang w:val="en-GB"/>
        </w:rPr>
        <w:t xml:space="preserve">Ocrelizumab is also an </w:t>
      </w:r>
      <w:r w:rsidR="005826D2" w:rsidRPr="006966B8">
        <w:rPr>
          <w:lang w:val="en-GB"/>
        </w:rPr>
        <w:t>anti</w:t>
      </w:r>
      <w:r w:rsidR="005826D2" w:rsidRPr="006966B8">
        <w:rPr>
          <w:lang w:val="en-GB"/>
        </w:rPr>
        <w:noBreakHyphen/>
        <w:t>CD20</w:t>
      </w:r>
      <w:r w:rsidR="00F07555" w:rsidRPr="006966B8">
        <w:rPr>
          <w:lang w:val="en-GB"/>
        </w:rPr>
        <w:t xml:space="preserve"> monoclonal antibody recommended first line or after other treatments</w:t>
      </w:r>
      <w:r w:rsidR="00340E65" w:rsidRPr="006966B8">
        <w:rPr>
          <w:lang w:val="en-GB"/>
        </w:rPr>
        <w:t>.</w:t>
      </w:r>
      <w:r w:rsidR="0085675B" w:rsidRPr="006966B8">
        <w:rPr>
          <w:lang w:val="en-GB"/>
        </w:rPr>
        <w:t xml:space="preserve"> </w:t>
      </w:r>
      <w:r w:rsidR="00F07555" w:rsidRPr="006966B8">
        <w:rPr>
          <w:lang w:val="en-GB"/>
        </w:rPr>
        <w:t>The clinical experts</w:t>
      </w:r>
      <w:r w:rsidR="0085675B" w:rsidRPr="006966B8">
        <w:rPr>
          <w:lang w:val="en-GB"/>
        </w:rPr>
        <w:t xml:space="preserve"> noted that there are no clear rules for sequencing of treatments. However, in practice, clinicians </w:t>
      </w:r>
      <w:r w:rsidR="00BF4D47" w:rsidRPr="006966B8">
        <w:rPr>
          <w:lang w:val="en-GB"/>
        </w:rPr>
        <w:t xml:space="preserve">generally </w:t>
      </w:r>
      <w:r w:rsidR="002D2443" w:rsidRPr="006966B8">
        <w:rPr>
          <w:lang w:val="en-GB"/>
        </w:rPr>
        <w:t xml:space="preserve">offer a different treatment </w:t>
      </w:r>
      <w:r w:rsidR="00BF4D47" w:rsidRPr="006966B8">
        <w:rPr>
          <w:lang w:val="en-GB"/>
        </w:rPr>
        <w:t xml:space="preserve">when </w:t>
      </w:r>
      <w:r w:rsidR="00391D82" w:rsidRPr="006966B8">
        <w:rPr>
          <w:lang w:val="en-GB"/>
        </w:rPr>
        <w:t xml:space="preserve">the patient’s </w:t>
      </w:r>
      <w:r w:rsidR="00BF4D47" w:rsidRPr="006966B8">
        <w:rPr>
          <w:lang w:val="en-GB"/>
        </w:rPr>
        <w:t>current treatment no longer prevents disease relapses</w:t>
      </w:r>
      <w:r w:rsidR="0071299F" w:rsidRPr="006966B8">
        <w:rPr>
          <w:lang w:val="en-GB"/>
        </w:rPr>
        <w:t>. The clinical experts said</w:t>
      </w:r>
      <w:r w:rsidR="008D7B33" w:rsidRPr="006966B8">
        <w:rPr>
          <w:lang w:val="en-GB"/>
        </w:rPr>
        <w:t xml:space="preserve"> that pregnancy </w:t>
      </w:r>
      <w:r w:rsidR="008D7B33" w:rsidRPr="006966B8">
        <w:rPr>
          <w:lang w:val="en-GB"/>
        </w:rPr>
        <w:lastRenderedPageBreak/>
        <w:t xml:space="preserve">planning can </w:t>
      </w:r>
      <w:r w:rsidR="0071299F" w:rsidRPr="006966B8">
        <w:rPr>
          <w:lang w:val="en-GB"/>
        </w:rPr>
        <w:t xml:space="preserve">also </w:t>
      </w:r>
      <w:r w:rsidR="008D7B33" w:rsidRPr="006966B8">
        <w:rPr>
          <w:lang w:val="en-GB"/>
        </w:rPr>
        <w:t>be an important factor in choosing to change treatments for relapsing</w:t>
      </w:r>
      <w:r w:rsidR="0071299F" w:rsidRPr="006966B8">
        <w:rPr>
          <w:lang w:val="en-GB"/>
        </w:rPr>
        <w:t>–</w:t>
      </w:r>
      <w:r w:rsidR="008D7B33" w:rsidRPr="006966B8">
        <w:rPr>
          <w:lang w:val="en-GB"/>
        </w:rPr>
        <w:t>remitting multiple sclerosis</w:t>
      </w:r>
      <w:r w:rsidR="00BF4D47" w:rsidRPr="006966B8">
        <w:rPr>
          <w:lang w:val="en-GB"/>
        </w:rPr>
        <w:t xml:space="preserve">. </w:t>
      </w:r>
      <w:r w:rsidR="002D2443" w:rsidRPr="006966B8">
        <w:rPr>
          <w:lang w:val="en-GB"/>
        </w:rPr>
        <w:t>They</w:t>
      </w:r>
      <w:r w:rsidR="00BF4D47" w:rsidRPr="006966B8">
        <w:rPr>
          <w:lang w:val="en-GB"/>
        </w:rPr>
        <w:t xml:space="preserve"> also </w:t>
      </w:r>
      <w:r w:rsidR="00391D82" w:rsidRPr="006966B8">
        <w:rPr>
          <w:lang w:val="en-GB"/>
        </w:rPr>
        <w:t xml:space="preserve">recommend </w:t>
      </w:r>
      <w:r w:rsidR="0085675B" w:rsidRPr="006966B8">
        <w:rPr>
          <w:lang w:val="en-GB"/>
        </w:rPr>
        <w:t>stop</w:t>
      </w:r>
      <w:r w:rsidR="00391D82" w:rsidRPr="006966B8">
        <w:rPr>
          <w:lang w:val="en-GB"/>
        </w:rPr>
        <w:t>ping</w:t>
      </w:r>
      <w:r w:rsidR="0085675B" w:rsidRPr="006966B8">
        <w:rPr>
          <w:lang w:val="en-GB"/>
        </w:rPr>
        <w:t xml:space="preserve"> all treatments when </w:t>
      </w:r>
      <w:r w:rsidR="006E4479" w:rsidRPr="006966B8">
        <w:rPr>
          <w:lang w:val="en-GB"/>
        </w:rPr>
        <w:t>people</w:t>
      </w:r>
      <w:r w:rsidR="0085675B" w:rsidRPr="006966B8">
        <w:rPr>
          <w:lang w:val="en-GB"/>
        </w:rPr>
        <w:t xml:space="preserve"> can no longer walk or when </w:t>
      </w:r>
      <w:r w:rsidR="00391D82" w:rsidRPr="006966B8">
        <w:rPr>
          <w:lang w:val="en-GB"/>
        </w:rPr>
        <w:t>they develop</w:t>
      </w:r>
      <w:r w:rsidR="0085675B" w:rsidRPr="006966B8">
        <w:rPr>
          <w:lang w:val="en-GB"/>
        </w:rPr>
        <w:t xml:space="preserve"> secondary progressive multiple sclerosis.</w:t>
      </w:r>
      <w:bookmarkEnd w:id="5"/>
      <w:r w:rsidR="00F07555" w:rsidRPr="006966B8">
        <w:rPr>
          <w:lang w:val="en-GB"/>
        </w:rPr>
        <w:t xml:space="preserve"> The committee concluded that ofatumumab was likely to be used first line or after other treatments in people who have active relapsing–remitting multiple sclerosis.</w:t>
      </w:r>
    </w:p>
    <w:p w14:paraId="01854BC5" w14:textId="77777777" w:rsidR="00F237DC" w:rsidRPr="006966B8" w:rsidRDefault="00F237DC" w:rsidP="00F237DC">
      <w:pPr>
        <w:pStyle w:val="Heading3"/>
      </w:pPr>
      <w:r w:rsidRPr="006966B8">
        <w:t>The company limited its submission to relapsing–remitting multiple sclerosis</w:t>
      </w:r>
    </w:p>
    <w:p w14:paraId="6E247920" w14:textId="3D5F7415" w:rsidR="00F237DC" w:rsidRPr="006966B8" w:rsidRDefault="00F237DC" w:rsidP="009C44BD">
      <w:pPr>
        <w:pStyle w:val="Numberedlevel2text"/>
        <w:numPr>
          <w:ilvl w:val="1"/>
          <w:numId w:val="1"/>
        </w:numPr>
        <w:rPr>
          <w:lang w:val="en-GB"/>
        </w:rPr>
      </w:pPr>
      <w:r w:rsidRPr="006966B8">
        <w:rPr>
          <w:lang w:val="en-GB"/>
        </w:rPr>
        <w:t>The company limited its submission to relapsing–remitting multiple sclerosis rather than all relapsing forms of multiple sclerosis, as specified in its proposed marketing authorisation. The clinical experts agreed this was reasonable.</w:t>
      </w:r>
    </w:p>
    <w:p w14:paraId="038901A2" w14:textId="5E03A9AC" w:rsidR="00286A10" w:rsidRPr="006966B8" w:rsidRDefault="00286A10" w:rsidP="00286A10">
      <w:pPr>
        <w:pStyle w:val="Heading3"/>
      </w:pPr>
      <w:r w:rsidRPr="006966B8">
        <w:t>Patient preference is an important consideration when making shared decisions about treatment</w:t>
      </w:r>
    </w:p>
    <w:p w14:paraId="0093494C" w14:textId="0675C064" w:rsidR="00892087" w:rsidRPr="006966B8" w:rsidRDefault="000E619B" w:rsidP="008062D5">
      <w:pPr>
        <w:pStyle w:val="Numberedlevel2text"/>
        <w:rPr>
          <w:lang w:val="en-GB"/>
        </w:rPr>
      </w:pPr>
      <w:r w:rsidRPr="006966B8">
        <w:rPr>
          <w:lang w:val="en-GB"/>
        </w:rPr>
        <w:t>V</w:t>
      </w:r>
      <w:r w:rsidR="00286A10" w:rsidRPr="006966B8">
        <w:rPr>
          <w:lang w:val="en-GB"/>
        </w:rPr>
        <w:t xml:space="preserve">arious treatment options </w:t>
      </w:r>
      <w:r w:rsidRPr="006966B8">
        <w:rPr>
          <w:lang w:val="en-GB"/>
        </w:rPr>
        <w:t>are</w:t>
      </w:r>
      <w:r w:rsidR="00286A10" w:rsidRPr="006966B8">
        <w:rPr>
          <w:lang w:val="en-GB"/>
        </w:rPr>
        <w:t xml:space="preserve"> available</w:t>
      </w:r>
      <w:r w:rsidR="002F4E4A" w:rsidRPr="006966B8">
        <w:rPr>
          <w:lang w:val="en-GB"/>
        </w:rPr>
        <w:t>,</w:t>
      </w:r>
      <w:r w:rsidR="00286A10" w:rsidRPr="006966B8">
        <w:rPr>
          <w:lang w:val="en-GB"/>
        </w:rPr>
        <w:t xml:space="preserve"> </w:t>
      </w:r>
      <w:r w:rsidRPr="006966B8">
        <w:rPr>
          <w:lang w:val="en-GB"/>
        </w:rPr>
        <w:t xml:space="preserve">with </w:t>
      </w:r>
      <w:r w:rsidR="00286A10" w:rsidRPr="006966B8">
        <w:rPr>
          <w:lang w:val="en-GB"/>
        </w:rPr>
        <w:t xml:space="preserve">different methods and schedules of administration, and </w:t>
      </w:r>
      <w:r w:rsidRPr="006966B8">
        <w:rPr>
          <w:lang w:val="en-GB"/>
        </w:rPr>
        <w:t xml:space="preserve">the committee </w:t>
      </w:r>
      <w:r w:rsidR="00286A10" w:rsidRPr="006966B8">
        <w:rPr>
          <w:lang w:val="en-GB"/>
        </w:rPr>
        <w:t xml:space="preserve">noted that people have different preferences. </w:t>
      </w:r>
      <w:r w:rsidR="009504E3" w:rsidRPr="006966B8">
        <w:rPr>
          <w:lang w:val="en-GB"/>
        </w:rPr>
        <w:t xml:space="preserve">The patient </w:t>
      </w:r>
      <w:r w:rsidRPr="006966B8">
        <w:rPr>
          <w:lang w:val="en-GB"/>
        </w:rPr>
        <w:t>expert</w:t>
      </w:r>
      <w:r w:rsidR="00BF4D47" w:rsidRPr="006966B8">
        <w:rPr>
          <w:lang w:val="en-GB"/>
        </w:rPr>
        <w:t xml:space="preserve"> </w:t>
      </w:r>
      <w:r w:rsidR="009504E3" w:rsidRPr="006966B8">
        <w:rPr>
          <w:lang w:val="en-GB"/>
        </w:rPr>
        <w:t>confirmed that ofatumumab could be self-administered relatively easily</w:t>
      </w:r>
      <w:r w:rsidR="00BF4D47" w:rsidRPr="006966B8">
        <w:rPr>
          <w:lang w:val="en-GB"/>
        </w:rPr>
        <w:t xml:space="preserve"> once every 4 weeks</w:t>
      </w:r>
      <w:r w:rsidR="009504E3" w:rsidRPr="006966B8">
        <w:rPr>
          <w:lang w:val="en-GB"/>
        </w:rPr>
        <w:t xml:space="preserve"> at home, after initial training from a health professional.</w:t>
      </w:r>
      <w:r w:rsidR="00BF4D47" w:rsidRPr="006966B8">
        <w:rPr>
          <w:lang w:val="en-GB"/>
        </w:rPr>
        <w:t xml:space="preserve"> The committee concluded that differences in dosing schedule, adverse </w:t>
      </w:r>
      <w:proofErr w:type="gramStart"/>
      <w:r w:rsidR="00BF4D47" w:rsidRPr="006966B8">
        <w:rPr>
          <w:lang w:val="en-GB"/>
        </w:rPr>
        <w:t>effects</w:t>
      </w:r>
      <w:proofErr w:type="gramEnd"/>
      <w:r w:rsidR="00BF4D47" w:rsidRPr="006966B8">
        <w:rPr>
          <w:lang w:val="en-GB"/>
        </w:rPr>
        <w:t xml:space="preserve"> and monitoring </w:t>
      </w:r>
      <w:r w:rsidR="008F2234" w:rsidRPr="006966B8">
        <w:rPr>
          <w:lang w:val="en-GB"/>
        </w:rPr>
        <w:t xml:space="preserve">requirements </w:t>
      </w:r>
      <w:r w:rsidR="00BF4D47" w:rsidRPr="006966B8">
        <w:rPr>
          <w:lang w:val="en-GB"/>
        </w:rPr>
        <w:t>between ofatumumab and other treatments may influence patient choice</w:t>
      </w:r>
      <w:r w:rsidR="002F4E4A" w:rsidRPr="006966B8">
        <w:rPr>
          <w:lang w:val="en-GB"/>
        </w:rPr>
        <w:t>. It agreed</w:t>
      </w:r>
      <w:r w:rsidR="00BF4D47" w:rsidRPr="006966B8">
        <w:rPr>
          <w:lang w:val="en-GB"/>
        </w:rPr>
        <w:t xml:space="preserve"> that it is important to take </w:t>
      </w:r>
      <w:r w:rsidR="008F2234" w:rsidRPr="006966B8">
        <w:rPr>
          <w:lang w:val="en-GB"/>
        </w:rPr>
        <w:t xml:space="preserve">these </w:t>
      </w:r>
      <w:r w:rsidR="00BF4D47" w:rsidRPr="006966B8">
        <w:rPr>
          <w:lang w:val="en-GB"/>
        </w:rPr>
        <w:t>into account when making decisions about treatment.</w:t>
      </w:r>
    </w:p>
    <w:bookmarkEnd w:id="3"/>
    <w:bookmarkEnd w:id="4"/>
    <w:p w14:paraId="352C55AD" w14:textId="76E3F41B" w:rsidR="00B17251" w:rsidRPr="006966B8" w:rsidRDefault="00B17251" w:rsidP="004E48D6">
      <w:pPr>
        <w:pStyle w:val="Heading2"/>
      </w:pPr>
      <w:r w:rsidRPr="006966B8">
        <w:t xml:space="preserve">Clinical </w:t>
      </w:r>
      <w:r w:rsidR="004E48D6" w:rsidRPr="006966B8">
        <w:t>evidence</w:t>
      </w:r>
    </w:p>
    <w:p w14:paraId="5FBF4404" w14:textId="0E190744" w:rsidR="004E48D6" w:rsidRPr="006966B8" w:rsidRDefault="00395CFF" w:rsidP="004E48D6">
      <w:pPr>
        <w:pStyle w:val="Heading3"/>
      </w:pPr>
      <w:r w:rsidRPr="006966B8">
        <w:t>T</w:t>
      </w:r>
      <w:r w:rsidR="004E48D6" w:rsidRPr="006966B8">
        <w:t>he trial</w:t>
      </w:r>
      <w:r w:rsidRPr="006966B8">
        <w:t xml:space="preserve"> evidence is</w:t>
      </w:r>
      <w:r w:rsidR="004E48D6" w:rsidRPr="006966B8">
        <w:t xml:space="preserve"> generalisable to people in the NHS with active </w:t>
      </w:r>
      <w:r w:rsidR="00663D57" w:rsidRPr="006966B8">
        <w:t>relapsing–remitting</w:t>
      </w:r>
      <w:r w:rsidR="004E48D6" w:rsidRPr="006966B8">
        <w:t xml:space="preserve"> multiple sclerosis</w:t>
      </w:r>
    </w:p>
    <w:p w14:paraId="2784597A" w14:textId="28C3F23E" w:rsidR="004E48D6" w:rsidRPr="006966B8" w:rsidRDefault="004E48D6" w:rsidP="005405F4">
      <w:pPr>
        <w:pStyle w:val="Numberedlevel2text"/>
        <w:rPr>
          <w:lang w:val="en-GB"/>
        </w:rPr>
      </w:pPr>
      <w:r w:rsidRPr="006966B8">
        <w:rPr>
          <w:lang w:val="en-GB"/>
        </w:rPr>
        <w:t xml:space="preserve">The </w:t>
      </w:r>
      <w:r w:rsidR="00395CFF" w:rsidRPr="006966B8">
        <w:rPr>
          <w:lang w:val="en-GB"/>
        </w:rPr>
        <w:t>main</w:t>
      </w:r>
      <w:r w:rsidRPr="006966B8">
        <w:rPr>
          <w:lang w:val="en-GB"/>
        </w:rPr>
        <w:t xml:space="preserve"> evidence for the clinical effectiveness of </w:t>
      </w:r>
      <w:r w:rsidR="00915D2E" w:rsidRPr="006966B8">
        <w:rPr>
          <w:lang w:val="en-GB"/>
        </w:rPr>
        <w:t>ofatumumab</w:t>
      </w:r>
      <w:r w:rsidRPr="006966B8">
        <w:rPr>
          <w:lang w:val="en-GB"/>
        </w:rPr>
        <w:t xml:space="preserve"> compared with teriflunomide came from 2</w:t>
      </w:r>
      <w:r w:rsidR="005826D2" w:rsidRPr="006966B8">
        <w:rPr>
          <w:lang w:val="en-GB"/>
        </w:rPr>
        <w:t xml:space="preserve"> </w:t>
      </w:r>
      <w:r w:rsidRPr="006966B8">
        <w:rPr>
          <w:lang w:val="en-GB"/>
        </w:rPr>
        <w:t xml:space="preserve">trials, </w:t>
      </w:r>
      <w:r w:rsidR="005826D2" w:rsidRPr="006966B8">
        <w:rPr>
          <w:lang w:val="en-GB"/>
        </w:rPr>
        <w:t>ASCLEPIOS I</w:t>
      </w:r>
      <w:r w:rsidRPr="006966B8">
        <w:rPr>
          <w:lang w:val="en-GB"/>
        </w:rPr>
        <w:t xml:space="preserve"> (n=</w:t>
      </w:r>
      <w:r w:rsidR="00915D2E" w:rsidRPr="006966B8">
        <w:rPr>
          <w:lang w:val="en-GB"/>
        </w:rPr>
        <w:t>927</w:t>
      </w:r>
      <w:r w:rsidRPr="006966B8">
        <w:rPr>
          <w:lang w:val="en-GB"/>
        </w:rPr>
        <w:t xml:space="preserve">) and </w:t>
      </w:r>
      <w:r w:rsidR="005826D2" w:rsidRPr="006966B8">
        <w:rPr>
          <w:lang w:val="en-GB"/>
        </w:rPr>
        <w:t>ASCLEPIOS I</w:t>
      </w:r>
      <w:r w:rsidRPr="006966B8">
        <w:rPr>
          <w:lang w:val="en-GB"/>
        </w:rPr>
        <w:t>I (n=</w:t>
      </w:r>
      <w:r w:rsidR="00915D2E" w:rsidRPr="006966B8">
        <w:rPr>
          <w:lang w:val="en-GB"/>
        </w:rPr>
        <w:t>955</w:t>
      </w:r>
      <w:r w:rsidRPr="006966B8">
        <w:rPr>
          <w:lang w:val="en-GB"/>
        </w:rPr>
        <w:t>). These were phase </w:t>
      </w:r>
      <w:r w:rsidR="00395CFF" w:rsidRPr="006966B8">
        <w:rPr>
          <w:lang w:val="en-GB"/>
        </w:rPr>
        <w:t xml:space="preserve">3 </w:t>
      </w:r>
      <w:r w:rsidRPr="006966B8">
        <w:rPr>
          <w:lang w:val="en-GB"/>
        </w:rPr>
        <w:t xml:space="preserve">randomised controlled trials </w:t>
      </w:r>
      <w:r w:rsidRPr="006966B8">
        <w:rPr>
          <w:lang w:val="en-GB"/>
        </w:rPr>
        <w:lastRenderedPageBreak/>
        <w:t>in adults with relapsing multiple sclerosis</w:t>
      </w:r>
      <w:r w:rsidR="00395CFF" w:rsidRPr="006966B8">
        <w:rPr>
          <w:lang w:val="en-GB"/>
        </w:rPr>
        <w:t>.</w:t>
      </w:r>
      <w:r w:rsidR="00C67E22" w:rsidRPr="006966B8">
        <w:rPr>
          <w:lang w:val="en-GB"/>
        </w:rPr>
        <w:t xml:space="preserve"> The main purpose of these trials was to consider if patients </w:t>
      </w:r>
      <w:r w:rsidR="00315B84">
        <w:rPr>
          <w:lang w:val="en-GB"/>
        </w:rPr>
        <w:t>who had</w:t>
      </w:r>
      <w:r w:rsidR="00C67E22" w:rsidRPr="006966B8">
        <w:rPr>
          <w:lang w:val="en-GB"/>
        </w:rPr>
        <w:t xml:space="preserve"> ofatumumab h</w:t>
      </w:r>
      <w:r w:rsidR="007A5C17" w:rsidRPr="006966B8">
        <w:rPr>
          <w:lang w:val="en-GB"/>
        </w:rPr>
        <w:t>ad</w:t>
      </w:r>
      <w:r w:rsidR="00C67E22" w:rsidRPr="006966B8">
        <w:rPr>
          <w:lang w:val="en-GB"/>
        </w:rPr>
        <w:t xml:space="preserve"> </w:t>
      </w:r>
      <w:r w:rsidR="007A5C17" w:rsidRPr="006966B8">
        <w:rPr>
          <w:lang w:val="en-GB"/>
        </w:rPr>
        <w:t>fewer</w:t>
      </w:r>
      <w:r w:rsidR="00C67E22" w:rsidRPr="006966B8">
        <w:rPr>
          <w:lang w:val="en-GB"/>
        </w:rPr>
        <w:t xml:space="preserve"> relapses</w:t>
      </w:r>
      <w:r w:rsidR="006940D9" w:rsidRPr="006966B8">
        <w:rPr>
          <w:lang w:val="en-GB"/>
        </w:rPr>
        <w:t xml:space="preserve"> and slower </w:t>
      </w:r>
      <w:r w:rsidR="00423D0E" w:rsidRPr="006966B8">
        <w:rPr>
          <w:lang w:val="en-GB"/>
        </w:rPr>
        <w:t xml:space="preserve">disease progression </w:t>
      </w:r>
      <w:r w:rsidR="007A5C17" w:rsidRPr="006966B8">
        <w:rPr>
          <w:lang w:val="en-GB"/>
        </w:rPr>
        <w:t xml:space="preserve">compared with patients </w:t>
      </w:r>
      <w:r w:rsidR="00315B84">
        <w:rPr>
          <w:lang w:val="en-GB"/>
        </w:rPr>
        <w:t>who had</w:t>
      </w:r>
      <w:r w:rsidR="00315B84" w:rsidRPr="006966B8">
        <w:rPr>
          <w:lang w:val="en-GB"/>
        </w:rPr>
        <w:t xml:space="preserve"> </w:t>
      </w:r>
      <w:r w:rsidR="00C67E22" w:rsidRPr="006966B8">
        <w:rPr>
          <w:lang w:val="en-GB"/>
        </w:rPr>
        <w:t>teriflunomide</w:t>
      </w:r>
      <w:r w:rsidR="007A5C17" w:rsidRPr="006966B8">
        <w:rPr>
          <w:lang w:val="en-GB"/>
        </w:rPr>
        <w:t>.</w:t>
      </w:r>
      <w:r w:rsidR="00395CFF" w:rsidRPr="006966B8">
        <w:rPr>
          <w:lang w:val="en-GB"/>
        </w:rPr>
        <w:t xml:space="preserve"> Participants had</w:t>
      </w:r>
      <w:r w:rsidRPr="006966B8">
        <w:rPr>
          <w:lang w:val="en-GB"/>
        </w:rPr>
        <w:t xml:space="preserve"> </w:t>
      </w:r>
      <w:r w:rsidR="00395CFF" w:rsidRPr="006966B8">
        <w:rPr>
          <w:lang w:val="en-GB"/>
        </w:rPr>
        <w:t>had</w:t>
      </w:r>
      <w:r w:rsidRPr="006966B8">
        <w:rPr>
          <w:lang w:val="en-GB"/>
        </w:rPr>
        <w:t xml:space="preserve"> </w:t>
      </w:r>
      <w:r w:rsidR="00915D2E" w:rsidRPr="006966B8">
        <w:rPr>
          <w:lang w:val="en-GB"/>
        </w:rPr>
        <w:t>at least 1</w:t>
      </w:r>
      <w:r w:rsidR="005826D2" w:rsidRPr="006966B8">
        <w:rPr>
          <w:lang w:val="en-GB"/>
        </w:rPr>
        <w:t xml:space="preserve"> </w:t>
      </w:r>
      <w:r w:rsidR="00915D2E" w:rsidRPr="006966B8">
        <w:rPr>
          <w:lang w:val="en-GB"/>
        </w:rPr>
        <w:t>relapse in the past year</w:t>
      </w:r>
      <w:r w:rsidR="00395CFF" w:rsidRPr="006966B8">
        <w:rPr>
          <w:lang w:val="en-GB"/>
        </w:rPr>
        <w:t>,</w:t>
      </w:r>
      <w:r w:rsidR="00915D2E" w:rsidRPr="006966B8">
        <w:rPr>
          <w:lang w:val="en-GB"/>
        </w:rPr>
        <w:t xml:space="preserve"> 2</w:t>
      </w:r>
      <w:r w:rsidR="005826D2" w:rsidRPr="006966B8">
        <w:rPr>
          <w:lang w:val="en-GB"/>
        </w:rPr>
        <w:t xml:space="preserve"> </w:t>
      </w:r>
      <w:r w:rsidR="00915D2E" w:rsidRPr="006966B8">
        <w:rPr>
          <w:lang w:val="en-GB"/>
        </w:rPr>
        <w:t xml:space="preserve">relapses in </w:t>
      </w:r>
      <w:r w:rsidR="00395CFF" w:rsidRPr="006966B8">
        <w:rPr>
          <w:lang w:val="en-GB"/>
        </w:rPr>
        <w:t xml:space="preserve">the </w:t>
      </w:r>
      <w:r w:rsidR="00915D2E" w:rsidRPr="006966B8">
        <w:rPr>
          <w:lang w:val="en-GB"/>
        </w:rPr>
        <w:t>last 2</w:t>
      </w:r>
      <w:r w:rsidR="005826D2" w:rsidRPr="006966B8">
        <w:rPr>
          <w:lang w:val="en-GB"/>
        </w:rPr>
        <w:t> years</w:t>
      </w:r>
      <w:r w:rsidR="00395CFF" w:rsidRPr="006966B8">
        <w:rPr>
          <w:lang w:val="en-GB"/>
        </w:rPr>
        <w:t>,</w:t>
      </w:r>
      <w:r w:rsidR="00915D2E" w:rsidRPr="006966B8">
        <w:rPr>
          <w:lang w:val="en-GB"/>
        </w:rPr>
        <w:t xml:space="preserve"> or </w:t>
      </w:r>
      <w:r w:rsidR="00395CFF" w:rsidRPr="006966B8">
        <w:rPr>
          <w:lang w:val="en-GB"/>
        </w:rPr>
        <w:t>a</w:t>
      </w:r>
      <w:r w:rsidR="00915D2E" w:rsidRPr="006966B8">
        <w:rPr>
          <w:lang w:val="en-GB"/>
        </w:rPr>
        <w:t xml:space="preserve"> positive gadolinium-enhancing MRI scan in </w:t>
      </w:r>
      <w:r w:rsidR="00533888" w:rsidRPr="006966B8">
        <w:rPr>
          <w:lang w:val="en-GB"/>
        </w:rPr>
        <w:t xml:space="preserve">the </w:t>
      </w:r>
      <w:r w:rsidR="00915D2E" w:rsidRPr="006966B8">
        <w:rPr>
          <w:lang w:val="en-GB"/>
        </w:rPr>
        <w:t xml:space="preserve">last year. </w:t>
      </w:r>
      <w:r w:rsidR="00395CFF" w:rsidRPr="006966B8">
        <w:rPr>
          <w:lang w:val="en-GB"/>
        </w:rPr>
        <w:t>Few</w:t>
      </w:r>
      <w:r w:rsidR="00915D2E" w:rsidRPr="006966B8">
        <w:rPr>
          <w:lang w:val="en-GB"/>
        </w:rPr>
        <w:t xml:space="preserve"> patients in each trial </w:t>
      </w:r>
      <w:r w:rsidR="00395CFF" w:rsidRPr="006966B8">
        <w:rPr>
          <w:lang w:val="en-GB"/>
        </w:rPr>
        <w:t xml:space="preserve">were </w:t>
      </w:r>
      <w:r w:rsidR="00915D2E" w:rsidRPr="006966B8">
        <w:rPr>
          <w:lang w:val="en-GB"/>
        </w:rPr>
        <w:t>from the UK</w:t>
      </w:r>
      <w:r w:rsidR="002A5EB3" w:rsidRPr="006966B8">
        <w:rPr>
          <w:lang w:val="en-GB"/>
        </w:rPr>
        <w:t>,</w:t>
      </w:r>
      <w:r w:rsidR="00915D2E" w:rsidRPr="006966B8">
        <w:rPr>
          <w:lang w:val="en-GB"/>
        </w:rPr>
        <w:t xml:space="preserve"> but </w:t>
      </w:r>
      <w:r w:rsidR="00395CFF" w:rsidRPr="006966B8">
        <w:rPr>
          <w:lang w:val="en-GB"/>
        </w:rPr>
        <w:t>the</w:t>
      </w:r>
      <w:r w:rsidR="00915D2E" w:rsidRPr="006966B8">
        <w:rPr>
          <w:lang w:val="en-GB"/>
        </w:rPr>
        <w:t xml:space="preserve"> clinical experts </w:t>
      </w:r>
      <w:r w:rsidR="00467DA2" w:rsidRPr="006966B8">
        <w:rPr>
          <w:lang w:val="en-GB"/>
        </w:rPr>
        <w:t xml:space="preserve">and ERG </w:t>
      </w:r>
      <w:r w:rsidR="005654D0">
        <w:rPr>
          <w:lang w:val="en-GB"/>
        </w:rPr>
        <w:t>noted</w:t>
      </w:r>
      <w:r w:rsidR="005654D0" w:rsidRPr="006966B8">
        <w:rPr>
          <w:lang w:val="en-GB"/>
        </w:rPr>
        <w:t xml:space="preserve"> </w:t>
      </w:r>
      <w:r w:rsidR="00915D2E" w:rsidRPr="006966B8">
        <w:rPr>
          <w:lang w:val="en-GB"/>
        </w:rPr>
        <w:t>that the</w:t>
      </w:r>
      <w:r w:rsidR="00467DA2" w:rsidRPr="006966B8">
        <w:rPr>
          <w:lang w:val="en-GB"/>
        </w:rPr>
        <w:t xml:space="preserve">re were no major concerns </w:t>
      </w:r>
      <w:r w:rsidR="00395CFF" w:rsidRPr="006966B8">
        <w:rPr>
          <w:lang w:val="en-GB"/>
        </w:rPr>
        <w:t>about</w:t>
      </w:r>
      <w:r w:rsidR="00467DA2" w:rsidRPr="006966B8">
        <w:rPr>
          <w:lang w:val="en-GB"/>
        </w:rPr>
        <w:t xml:space="preserve"> the generali</w:t>
      </w:r>
      <w:r w:rsidR="009D0F1F" w:rsidRPr="006966B8">
        <w:rPr>
          <w:lang w:val="en-GB"/>
        </w:rPr>
        <w:t>s</w:t>
      </w:r>
      <w:r w:rsidR="00467DA2" w:rsidRPr="006966B8">
        <w:rPr>
          <w:lang w:val="en-GB"/>
        </w:rPr>
        <w:t>ability of the evidence.</w:t>
      </w:r>
      <w:r w:rsidRPr="006966B8">
        <w:rPr>
          <w:lang w:val="en-GB"/>
        </w:rPr>
        <w:t xml:space="preserve"> The committee accepted that the baseline characteristics of the patients </w:t>
      </w:r>
      <w:r w:rsidR="00467DA2" w:rsidRPr="006966B8">
        <w:rPr>
          <w:lang w:val="en-GB"/>
        </w:rPr>
        <w:t xml:space="preserve">in </w:t>
      </w:r>
      <w:r w:rsidR="005826D2" w:rsidRPr="006966B8">
        <w:rPr>
          <w:lang w:val="en-GB"/>
        </w:rPr>
        <w:t>ASCLEPIOS I</w:t>
      </w:r>
      <w:r w:rsidR="00467DA2" w:rsidRPr="006966B8">
        <w:rPr>
          <w:lang w:val="en-GB"/>
        </w:rPr>
        <w:t xml:space="preserve"> </w:t>
      </w:r>
      <w:r w:rsidRPr="006966B8">
        <w:rPr>
          <w:lang w:val="en-GB"/>
        </w:rPr>
        <w:t xml:space="preserve">and II reflected people with </w:t>
      </w:r>
      <w:r w:rsidR="00467DA2" w:rsidRPr="006966B8">
        <w:rPr>
          <w:lang w:val="en-GB"/>
        </w:rPr>
        <w:t>relapsing</w:t>
      </w:r>
      <w:r w:rsidR="005826D2" w:rsidRPr="006966B8">
        <w:rPr>
          <w:lang w:val="en-GB"/>
        </w:rPr>
        <w:t>–</w:t>
      </w:r>
      <w:r w:rsidR="00FA7C40" w:rsidRPr="006966B8">
        <w:rPr>
          <w:lang w:val="en-GB"/>
        </w:rPr>
        <w:t>remitting</w:t>
      </w:r>
      <w:r w:rsidR="00467DA2" w:rsidRPr="006966B8">
        <w:rPr>
          <w:lang w:val="en-GB"/>
        </w:rPr>
        <w:t xml:space="preserve"> </w:t>
      </w:r>
      <w:r w:rsidRPr="006966B8">
        <w:rPr>
          <w:lang w:val="en-GB"/>
        </w:rPr>
        <w:t xml:space="preserve">multiple sclerosis </w:t>
      </w:r>
      <w:r w:rsidR="00315B84">
        <w:rPr>
          <w:lang w:val="en-GB"/>
        </w:rPr>
        <w:t xml:space="preserve">having treatment </w:t>
      </w:r>
      <w:r w:rsidRPr="006966B8">
        <w:rPr>
          <w:lang w:val="en-GB"/>
        </w:rPr>
        <w:t>in the NHS. It concluded that the results of the clinical trials were generalisable to NHS clinical practice.</w:t>
      </w:r>
    </w:p>
    <w:p w14:paraId="0A016C0F" w14:textId="2990F3E4" w:rsidR="009D0F1F" w:rsidRPr="006966B8" w:rsidRDefault="009D0F1F" w:rsidP="009D0F1F">
      <w:pPr>
        <w:pStyle w:val="Heading3"/>
      </w:pPr>
      <w:r w:rsidRPr="006966B8">
        <w:t>Highly</w:t>
      </w:r>
      <w:r w:rsidR="00D965A3" w:rsidRPr="006966B8">
        <w:t xml:space="preserve"> </w:t>
      </w:r>
      <w:r w:rsidRPr="006966B8">
        <w:t>active and rapidly evolving severe multiple sclerosis</w:t>
      </w:r>
      <w:r w:rsidR="005E79CA" w:rsidRPr="006966B8">
        <w:t xml:space="preserve"> subgroup </w:t>
      </w:r>
      <w:r w:rsidR="0018604E" w:rsidRPr="006966B8">
        <w:t>analysis</w:t>
      </w:r>
      <w:r w:rsidR="00282434" w:rsidRPr="006966B8">
        <w:t xml:space="preserve"> </w:t>
      </w:r>
      <w:r w:rsidR="000C0C70" w:rsidRPr="006966B8">
        <w:t xml:space="preserve">is </w:t>
      </w:r>
      <w:r w:rsidR="005E79CA" w:rsidRPr="006966B8">
        <w:t>not suitable for decision</w:t>
      </w:r>
      <w:r w:rsidR="00FA7C40" w:rsidRPr="006966B8">
        <w:t xml:space="preserve"> </w:t>
      </w:r>
      <w:r w:rsidR="005E79CA" w:rsidRPr="006966B8">
        <w:t>making</w:t>
      </w:r>
    </w:p>
    <w:p w14:paraId="6F936B31" w14:textId="6E172B47" w:rsidR="00F36461" w:rsidRPr="006966B8" w:rsidRDefault="00F36461" w:rsidP="005E79CA">
      <w:pPr>
        <w:pStyle w:val="Numberedlevel2text"/>
        <w:rPr>
          <w:lang w:val="en-GB"/>
        </w:rPr>
      </w:pPr>
      <w:r w:rsidRPr="006966B8">
        <w:rPr>
          <w:lang w:val="en-GB"/>
        </w:rPr>
        <w:t>The company carried out 2 post-hoc analyses of the ASCLEPIOS trial</w:t>
      </w:r>
      <w:r w:rsidR="0018604E" w:rsidRPr="006966B8">
        <w:rPr>
          <w:lang w:val="en-GB"/>
        </w:rPr>
        <w:t>s</w:t>
      </w:r>
      <w:r w:rsidRPr="006966B8">
        <w:rPr>
          <w:lang w:val="en-GB"/>
        </w:rPr>
        <w:t xml:space="preserve"> data for the </w:t>
      </w:r>
      <w:r w:rsidR="002A5EB3" w:rsidRPr="006966B8">
        <w:rPr>
          <w:lang w:val="en-GB"/>
        </w:rPr>
        <w:t xml:space="preserve">2 subgroups: patients with </w:t>
      </w:r>
      <w:r w:rsidRPr="006966B8">
        <w:rPr>
          <w:lang w:val="en-GB"/>
        </w:rPr>
        <w:t>highly</w:t>
      </w:r>
      <w:r w:rsidR="00D965A3" w:rsidRPr="006966B8">
        <w:rPr>
          <w:lang w:val="en-GB"/>
        </w:rPr>
        <w:t xml:space="preserve"> </w:t>
      </w:r>
      <w:r w:rsidRPr="006966B8">
        <w:rPr>
          <w:lang w:val="en-GB"/>
        </w:rPr>
        <w:t xml:space="preserve">active </w:t>
      </w:r>
      <w:r w:rsidR="002A5EB3" w:rsidRPr="006966B8">
        <w:rPr>
          <w:lang w:val="en-GB"/>
        </w:rPr>
        <w:t xml:space="preserve">disease or with </w:t>
      </w:r>
      <w:r w:rsidRPr="006966B8">
        <w:rPr>
          <w:lang w:val="en-GB"/>
        </w:rPr>
        <w:t xml:space="preserve">rapidly evolving severe </w:t>
      </w:r>
      <w:r w:rsidR="002A5EB3" w:rsidRPr="006966B8">
        <w:rPr>
          <w:lang w:val="en-GB"/>
        </w:rPr>
        <w:t>disease</w:t>
      </w:r>
      <w:r w:rsidR="00E35F5B" w:rsidRPr="006966B8">
        <w:rPr>
          <w:lang w:val="en-GB"/>
        </w:rPr>
        <w:t>. Th</w:t>
      </w:r>
      <w:r w:rsidR="00096EE3" w:rsidRPr="006966B8">
        <w:rPr>
          <w:lang w:val="en-GB"/>
        </w:rPr>
        <w:t>ese subgroups had been defined in the NICE scope for this appraisal</w:t>
      </w:r>
      <w:r w:rsidR="008D51D0" w:rsidRPr="006966B8">
        <w:rPr>
          <w:lang w:val="en-GB"/>
        </w:rPr>
        <w:t>. The highly</w:t>
      </w:r>
      <w:r w:rsidR="00D965A3" w:rsidRPr="006966B8">
        <w:rPr>
          <w:lang w:val="en-GB"/>
        </w:rPr>
        <w:t xml:space="preserve"> </w:t>
      </w:r>
      <w:r w:rsidR="008D51D0" w:rsidRPr="006966B8">
        <w:rPr>
          <w:lang w:val="en-GB"/>
        </w:rPr>
        <w:t xml:space="preserve">active subgroup was defined as people in </w:t>
      </w:r>
      <w:r w:rsidR="00FC6882" w:rsidRPr="006966B8">
        <w:rPr>
          <w:lang w:val="en-GB"/>
        </w:rPr>
        <w:t xml:space="preserve">the </w:t>
      </w:r>
      <w:r w:rsidR="008D51D0" w:rsidRPr="006966B8">
        <w:rPr>
          <w:lang w:val="en-GB"/>
        </w:rPr>
        <w:t xml:space="preserve">ASCLEPIOS </w:t>
      </w:r>
      <w:r w:rsidR="00C9737C" w:rsidRPr="006966B8">
        <w:rPr>
          <w:lang w:val="en-GB"/>
        </w:rPr>
        <w:t xml:space="preserve">relapsing–remitting </w:t>
      </w:r>
      <w:r w:rsidR="006F0C19" w:rsidRPr="006966B8">
        <w:rPr>
          <w:lang w:val="en-GB"/>
        </w:rPr>
        <w:t>multiple sclerosis</w:t>
      </w:r>
      <w:r w:rsidR="00FC6882" w:rsidRPr="006966B8">
        <w:rPr>
          <w:lang w:val="en-GB"/>
        </w:rPr>
        <w:t xml:space="preserve"> </w:t>
      </w:r>
      <w:r w:rsidR="008D51D0" w:rsidRPr="006966B8">
        <w:rPr>
          <w:lang w:val="en-GB"/>
        </w:rPr>
        <w:t xml:space="preserve">population </w:t>
      </w:r>
      <w:r w:rsidR="00FC6882" w:rsidRPr="006966B8">
        <w:rPr>
          <w:lang w:val="en-GB"/>
        </w:rPr>
        <w:t xml:space="preserve">who had </w:t>
      </w:r>
      <w:r w:rsidR="008D51D0" w:rsidRPr="006966B8">
        <w:rPr>
          <w:lang w:val="en-GB"/>
        </w:rPr>
        <w:t xml:space="preserve">previously </w:t>
      </w:r>
      <w:r w:rsidR="00FA7C40" w:rsidRPr="006966B8">
        <w:rPr>
          <w:lang w:val="en-GB"/>
        </w:rPr>
        <w:t>had</w:t>
      </w:r>
      <w:r w:rsidR="00FC6882" w:rsidRPr="006966B8">
        <w:rPr>
          <w:lang w:val="en-GB"/>
        </w:rPr>
        <w:t xml:space="preserve"> </w:t>
      </w:r>
      <w:r w:rsidR="008D51D0" w:rsidRPr="006966B8">
        <w:rPr>
          <w:lang w:val="en-GB"/>
        </w:rPr>
        <w:t xml:space="preserve">any </w:t>
      </w:r>
      <w:r w:rsidR="00FC6882" w:rsidRPr="006966B8">
        <w:rPr>
          <w:lang w:val="en-GB"/>
        </w:rPr>
        <w:t>disease</w:t>
      </w:r>
      <w:r w:rsidR="00FA7C40" w:rsidRPr="006966B8">
        <w:rPr>
          <w:lang w:val="en-GB"/>
        </w:rPr>
        <w:t>-</w:t>
      </w:r>
      <w:r w:rsidR="00FC6882" w:rsidRPr="006966B8">
        <w:rPr>
          <w:lang w:val="en-GB"/>
        </w:rPr>
        <w:t xml:space="preserve">modifying treatment and stopped </w:t>
      </w:r>
      <w:r w:rsidR="008D51D0" w:rsidRPr="006966B8">
        <w:rPr>
          <w:lang w:val="en-GB"/>
        </w:rPr>
        <w:t xml:space="preserve">their last </w:t>
      </w:r>
      <w:r w:rsidR="00FC6882" w:rsidRPr="006966B8">
        <w:rPr>
          <w:lang w:val="en-GB"/>
        </w:rPr>
        <w:t>treatment</w:t>
      </w:r>
      <w:r w:rsidR="008D51D0" w:rsidRPr="006966B8">
        <w:rPr>
          <w:lang w:val="en-GB"/>
        </w:rPr>
        <w:t xml:space="preserve"> </w:t>
      </w:r>
      <w:r w:rsidR="002A5EB3" w:rsidRPr="006966B8">
        <w:rPr>
          <w:lang w:val="en-GB"/>
        </w:rPr>
        <w:t xml:space="preserve">because of </w:t>
      </w:r>
      <w:r w:rsidR="008D51D0" w:rsidRPr="006966B8">
        <w:rPr>
          <w:lang w:val="en-GB"/>
        </w:rPr>
        <w:t>lack of efficacy</w:t>
      </w:r>
      <w:r w:rsidR="00FC6882" w:rsidRPr="006966B8">
        <w:rPr>
          <w:lang w:val="en-GB"/>
        </w:rPr>
        <w:t xml:space="preserve">. The rapidly evolving severe subgroup were </w:t>
      </w:r>
      <w:r w:rsidR="006E4479" w:rsidRPr="006966B8">
        <w:rPr>
          <w:lang w:val="en-GB"/>
        </w:rPr>
        <w:t xml:space="preserve">people with </w:t>
      </w:r>
      <w:r w:rsidR="00C9737C" w:rsidRPr="006966B8">
        <w:rPr>
          <w:lang w:val="en-GB"/>
        </w:rPr>
        <w:t xml:space="preserve">relapsing–remitting </w:t>
      </w:r>
      <w:r w:rsidR="006F0C19" w:rsidRPr="006966B8">
        <w:rPr>
          <w:lang w:val="en-GB"/>
        </w:rPr>
        <w:t>multiple sclerosis</w:t>
      </w:r>
      <w:r w:rsidR="006E4479" w:rsidRPr="006966B8">
        <w:rPr>
          <w:lang w:val="en-GB"/>
        </w:rPr>
        <w:t>,</w:t>
      </w:r>
      <w:r w:rsidR="00FC6882" w:rsidRPr="006966B8">
        <w:rPr>
          <w:lang w:val="en-GB"/>
        </w:rPr>
        <w:t xml:space="preserve"> who had </w:t>
      </w:r>
      <w:r w:rsidR="00D94214" w:rsidRPr="006966B8">
        <w:rPr>
          <w:lang w:val="en-GB"/>
        </w:rPr>
        <w:t xml:space="preserve">had </w:t>
      </w:r>
      <w:r w:rsidR="00FC6882" w:rsidRPr="006966B8">
        <w:rPr>
          <w:lang w:val="en-GB"/>
        </w:rPr>
        <w:t xml:space="preserve">at least 2 relapses in </w:t>
      </w:r>
      <w:r w:rsidR="00D94214" w:rsidRPr="006966B8">
        <w:rPr>
          <w:lang w:val="en-GB"/>
        </w:rPr>
        <w:t>the last</w:t>
      </w:r>
      <w:r w:rsidR="00FC6882" w:rsidRPr="006966B8">
        <w:rPr>
          <w:lang w:val="en-GB"/>
        </w:rPr>
        <w:t xml:space="preserve"> year and at least one</w:t>
      </w:r>
      <w:r w:rsidR="00AA5F81" w:rsidRPr="006966B8">
        <w:rPr>
          <w:lang w:val="en-GB"/>
        </w:rPr>
        <w:t xml:space="preserve"> </w:t>
      </w:r>
      <w:r w:rsidR="00FC6882" w:rsidRPr="006966B8">
        <w:rPr>
          <w:lang w:val="en-GB"/>
        </w:rPr>
        <w:t xml:space="preserve">T1 </w:t>
      </w:r>
      <w:r w:rsidR="005E79CA" w:rsidRPr="006966B8">
        <w:rPr>
          <w:lang w:val="en-GB"/>
        </w:rPr>
        <w:t>gadolinium</w:t>
      </w:r>
      <w:r w:rsidR="00FC6882" w:rsidRPr="006966B8">
        <w:rPr>
          <w:lang w:val="en-GB"/>
        </w:rPr>
        <w:t>-enhancing lesion on baseline brain MRI. The company w</w:t>
      </w:r>
      <w:r w:rsidR="005A6D70" w:rsidRPr="006966B8">
        <w:rPr>
          <w:lang w:val="en-GB"/>
        </w:rPr>
        <w:t xml:space="preserve">as not able to carry out </w:t>
      </w:r>
      <w:r w:rsidR="005E79CA" w:rsidRPr="006966B8">
        <w:rPr>
          <w:lang w:val="en-GB"/>
        </w:rPr>
        <w:t>a network meta-analysis</w:t>
      </w:r>
      <w:r w:rsidR="005A6D70" w:rsidRPr="006966B8">
        <w:rPr>
          <w:lang w:val="en-GB"/>
        </w:rPr>
        <w:t xml:space="preserve"> for these subgroups </w:t>
      </w:r>
      <w:r w:rsidR="00BF363A" w:rsidRPr="006966B8">
        <w:rPr>
          <w:lang w:val="en-GB"/>
        </w:rPr>
        <w:t>because of</w:t>
      </w:r>
      <w:r w:rsidR="005A6D70" w:rsidRPr="006966B8">
        <w:rPr>
          <w:lang w:val="en-GB"/>
        </w:rPr>
        <w:t xml:space="preserve"> a lack of trial data. The committee noted there was limited evidence for these </w:t>
      </w:r>
      <w:r w:rsidR="00096EE3" w:rsidRPr="006966B8">
        <w:rPr>
          <w:lang w:val="en-GB"/>
        </w:rPr>
        <w:t xml:space="preserve">subgroups </w:t>
      </w:r>
      <w:r w:rsidR="005A6D70" w:rsidRPr="006966B8">
        <w:rPr>
          <w:lang w:val="en-GB"/>
        </w:rPr>
        <w:t>and</w:t>
      </w:r>
      <w:r w:rsidR="002F63C9" w:rsidRPr="006966B8">
        <w:rPr>
          <w:lang w:val="en-GB"/>
        </w:rPr>
        <w:t xml:space="preserve"> </w:t>
      </w:r>
      <w:r w:rsidR="00BF363A" w:rsidRPr="006966B8">
        <w:rPr>
          <w:lang w:val="en-GB"/>
        </w:rPr>
        <w:t xml:space="preserve">that </w:t>
      </w:r>
      <w:r w:rsidR="002A5EB3" w:rsidRPr="006966B8">
        <w:rPr>
          <w:lang w:val="en-GB"/>
        </w:rPr>
        <w:t xml:space="preserve">the company </w:t>
      </w:r>
      <w:r w:rsidR="006940D9" w:rsidRPr="006966B8">
        <w:rPr>
          <w:lang w:val="en-GB"/>
        </w:rPr>
        <w:t xml:space="preserve">had </w:t>
      </w:r>
      <w:r w:rsidR="002F63C9" w:rsidRPr="006966B8">
        <w:rPr>
          <w:lang w:val="en-GB"/>
        </w:rPr>
        <w:t xml:space="preserve">included </w:t>
      </w:r>
      <w:r w:rsidR="002A5EB3" w:rsidRPr="006966B8">
        <w:rPr>
          <w:lang w:val="en-GB"/>
        </w:rPr>
        <w:t xml:space="preserve">them </w:t>
      </w:r>
      <w:r w:rsidR="002F63C9" w:rsidRPr="006966B8">
        <w:rPr>
          <w:lang w:val="en-GB"/>
        </w:rPr>
        <w:t xml:space="preserve">because previous </w:t>
      </w:r>
      <w:r w:rsidR="005E79CA" w:rsidRPr="006966B8">
        <w:rPr>
          <w:lang w:val="en-GB"/>
        </w:rPr>
        <w:t>appraisals</w:t>
      </w:r>
      <w:r w:rsidR="002A5EB3" w:rsidRPr="006966B8">
        <w:rPr>
          <w:lang w:val="en-GB"/>
        </w:rPr>
        <w:t xml:space="preserve"> had considered them</w:t>
      </w:r>
      <w:r w:rsidR="002F63C9" w:rsidRPr="006966B8">
        <w:rPr>
          <w:lang w:val="en-GB"/>
        </w:rPr>
        <w:t xml:space="preserve">. </w:t>
      </w:r>
      <w:r w:rsidR="003E5E37" w:rsidRPr="006966B8">
        <w:rPr>
          <w:lang w:val="en-GB"/>
        </w:rPr>
        <w:t xml:space="preserve">The clinical experts said that clinicians are more likely to use categories </w:t>
      </w:r>
      <w:r w:rsidR="00E339BE" w:rsidRPr="006966B8">
        <w:rPr>
          <w:lang w:val="en-GB"/>
        </w:rPr>
        <w:t xml:space="preserve">that </w:t>
      </w:r>
      <w:r w:rsidR="003E5E37" w:rsidRPr="006966B8">
        <w:rPr>
          <w:lang w:val="en-GB"/>
        </w:rPr>
        <w:t xml:space="preserve">describe treatment and relapse </w:t>
      </w:r>
      <w:proofErr w:type="gramStart"/>
      <w:r w:rsidR="003E5E37" w:rsidRPr="006966B8">
        <w:rPr>
          <w:lang w:val="en-GB"/>
        </w:rPr>
        <w:t>history</w:t>
      </w:r>
      <w:proofErr w:type="gramEnd"/>
      <w:r w:rsidR="003E5E37" w:rsidRPr="006966B8">
        <w:rPr>
          <w:lang w:val="en-GB"/>
        </w:rPr>
        <w:t xml:space="preserve"> and</w:t>
      </w:r>
      <w:r w:rsidR="00E11042" w:rsidRPr="006966B8">
        <w:rPr>
          <w:lang w:val="en-GB"/>
        </w:rPr>
        <w:t>,</w:t>
      </w:r>
      <w:r w:rsidR="003E5E37" w:rsidRPr="006966B8">
        <w:rPr>
          <w:lang w:val="en-GB"/>
        </w:rPr>
        <w:t xml:space="preserve"> in practice</w:t>
      </w:r>
      <w:r w:rsidR="00E11042" w:rsidRPr="006966B8">
        <w:rPr>
          <w:lang w:val="en-GB"/>
        </w:rPr>
        <w:t>,</w:t>
      </w:r>
      <w:r w:rsidR="003E5E37" w:rsidRPr="006966B8">
        <w:rPr>
          <w:lang w:val="en-GB"/>
        </w:rPr>
        <w:t xml:space="preserve"> these subgroups would not be used. </w:t>
      </w:r>
      <w:r w:rsidR="00282434" w:rsidRPr="006966B8">
        <w:rPr>
          <w:lang w:val="en-GB"/>
        </w:rPr>
        <w:t xml:space="preserve">The committee </w:t>
      </w:r>
      <w:r w:rsidR="005A6D70" w:rsidRPr="006966B8">
        <w:rPr>
          <w:lang w:val="en-GB"/>
        </w:rPr>
        <w:t>concluded the evidence was not robust enough</w:t>
      </w:r>
      <w:r w:rsidR="005E79CA" w:rsidRPr="006966B8">
        <w:rPr>
          <w:lang w:val="en-GB"/>
        </w:rPr>
        <w:t xml:space="preserve"> </w:t>
      </w:r>
      <w:r w:rsidR="005E79CA" w:rsidRPr="006966B8">
        <w:rPr>
          <w:lang w:val="en-GB"/>
        </w:rPr>
        <w:lastRenderedPageBreak/>
        <w:t xml:space="preserve">for </w:t>
      </w:r>
      <w:r w:rsidR="00096EE3" w:rsidRPr="006966B8">
        <w:rPr>
          <w:lang w:val="en-GB"/>
        </w:rPr>
        <w:t>them to</w:t>
      </w:r>
      <w:r w:rsidR="005A6D70" w:rsidRPr="006966B8">
        <w:rPr>
          <w:lang w:val="en-GB"/>
        </w:rPr>
        <w:t xml:space="preserve"> </w:t>
      </w:r>
      <w:r w:rsidR="00B8388A" w:rsidRPr="006966B8">
        <w:rPr>
          <w:lang w:val="en-GB"/>
        </w:rPr>
        <w:t xml:space="preserve">be </w:t>
      </w:r>
      <w:r w:rsidR="005A6D70" w:rsidRPr="006966B8">
        <w:rPr>
          <w:lang w:val="en-GB"/>
        </w:rPr>
        <w:t>considered separately</w:t>
      </w:r>
      <w:r w:rsidR="00096EE3" w:rsidRPr="006966B8">
        <w:rPr>
          <w:lang w:val="en-GB"/>
        </w:rPr>
        <w:t>,</w:t>
      </w:r>
      <w:r w:rsidR="005E79CA" w:rsidRPr="006966B8">
        <w:rPr>
          <w:lang w:val="en-GB"/>
        </w:rPr>
        <w:t xml:space="preserve"> and the </w:t>
      </w:r>
      <w:r w:rsidR="00663D57" w:rsidRPr="006966B8">
        <w:rPr>
          <w:lang w:val="en-GB"/>
        </w:rPr>
        <w:t>relapsing–remitting</w:t>
      </w:r>
      <w:r w:rsidR="005E79CA" w:rsidRPr="006966B8">
        <w:rPr>
          <w:lang w:val="en-GB"/>
        </w:rPr>
        <w:t xml:space="preserve"> </w:t>
      </w:r>
      <w:r w:rsidR="006F0C19" w:rsidRPr="006966B8">
        <w:rPr>
          <w:lang w:val="en-GB"/>
        </w:rPr>
        <w:t>multiple sclerosis</w:t>
      </w:r>
      <w:r w:rsidR="005E79CA" w:rsidRPr="006966B8">
        <w:rPr>
          <w:lang w:val="en-GB"/>
        </w:rPr>
        <w:t xml:space="preserve"> population would be considered as a whole in this appraisal</w:t>
      </w:r>
      <w:r w:rsidR="005A6D70" w:rsidRPr="006966B8">
        <w:rPr>
          <w:lang w:val="en-GB"/>
        </w:rPr>
        <w:t>.</w:t>
      </w:r>
    </w:p>
    <w:p w14:paraId="225E461D" w14:textId="2C49CF6D" w:rsidR="00467DA2" w:rsidRPr="006966B8" w:rsidRDefault="00467DA2" w:rsidP="008062D5">
      <w:pPr>
        <w:pStyle w:val="Heading3"/>
      </w:pPr>
      <w:r w:rsidRPr="006966B8">
        <w:t>Ofatumumab reduces relapse and slows disability progression compared with teriflunomide</w:t>
      </w:r>
    </w:p>
    <w:p w14:paraId="3CF6F873" w14:textId="1FCD076A" w:rsidR="00467DA2" w:rsidRPr="006966B8" w:rsidRDefault="00467DA2" w:rsidP="005405F4">
      <w:pPr>
        <w:pStyle w:val="Numberedlevel2text"/>
        <w:rPr>
          <w:lang w:val="en-GB"/>
        </w:rPr>
      </w:pPr>
      <w:r w:rsidRPr="006966B8">
        <w:rPr>
          <w:lang w:val="en-GB"/>
        </w:rPr>
        <w:t>T</w:t>
      </w:r>
      <w:r w:rsidR="00B17251" w:rsidRPr="006966B8">
        <w:rPr>
          <w:lang w:val="en-GB"/>
        </w:rPr>
        <w:t>he</w:t>
      </w:r>
      <w:r w:rsidR="00871649" w:rsidRPr="006966B8">
        <w:rPr>
          <w:lang w:val="en-GB"/>
        </w:rPr>
        <w:t xml:space="preserve"> </w:t>
      </w:r>
      <w:r w:rsidR="00B17251" w:rsidRPr="006966B8">
        <w:rPr>
          <w:lang w:val="en-GB"/>
        </w:rPr>
        <w:t xml:space="preserve">ASCLEPIOS trials showed that ofatumumab is more effective </w:t>
      </w:r>
      <w:r w:rsidR="00602DD6" w:rsidRPr="006966B8">
        <w:rPr>
          <w:lang w:val="en-GB"/>
        </w:rPr>
        <w:t>than</w:t>
      </w:r>
      <w:r w:rsidR="00B17251" w:rsidRPr="006966B8">
        <w:rPr>
          <w:lang w:val="en-GB"/>
        </w:rPr>
        <w:t xml:space="preserve"> teriflunomide for all main clinical outcomes and had no unexpected safety concerns.</w:t>
      </w:r>
      <w:bookmarkStart w:id="6" w:name="_Ref508614807"/>
      <w:r w:rsidR="00096EE3" w:rsidRPr="006966B8">
        <w:rPr>
          <w:lang w:val="en-GB"/>
        </w:rPr>
        <w:t xml:space="preserve"> Ofatumumab reduced annualised relapse rate compared </w:t>
      </w:r>
      <w:r w:rsidR="00657B84" w:rsidRPr="006966B8">
        <w:rPr>
          <w:lang w:val="en-GB"/>
        </w:rPr>
        <w:t xml:space="preserve">with </w:t>
      </w:r>
      <w:r w:rsidR="00096EE3" w:rsidRPr="006966B8">
        <w:rPr>
          <w:lang w:val="en-GB"/>
        </w:rPr>
        <w:t xml:space="preserve">teriflunomide with </w:t>
      </w:r>
      <w:r w:rsidR="006940D9" w:rsidRPr="006966B8">
        <w:rPr>
          <w:lang w:val="en-GB"/>
        </w:rPr>
        <w:t>an annual relapse rate ratio</w:t>
      </w:r>
      <w:r w:rsidR="00096EE3" w:rsidRPr="006966B8">
        <w:rPr>
          <w:lang w:val="en-GB"/>
        </w:rPr>
        <w:t xml:space="preserve"> of 0.50 (</w:t>
      </w:r>
      <w:r w:rsidR="00527E6E" w:rsidRPr="006966B8">
        <w:rPr>
          <w:lang w:val="en-GB"/>
        </w:rPr>
        <w:t xml:space="preserve">95% confidence interval </w:t>
      </w:r>
      <w:r w:rsidR="00096EE3" w:rsidRPr="006966B8">
        <w:rPr>
          <w:lang w:val="en-GB"/>
        </w:rPr>
        <w:t xml:space="preserve">0.37 to 0.65) in </w:t>
      </w:r>
      <w:r w:rsidR="005826D2" w:rsidRPr="006966B8">
        <w:rPr>
          <w:lang w:val="en-GB"/>
        </w:rPr>
        <w:t>ASCLEPIOS I</w:t>
      </w:r>
      <w:r w:rsidR="00096EE3" w:rsidRPr="006966B8">
        <w:rPr>
          <w:lang w:val="en-GB"/>
        </w:rPr>
        <w:t xml:space="preserve"> and 0.42 (</w:t>
      </w:r>
      <w:r w:rsidR="00527E6E" w:rsidRPr="006966B8">
        <w:rPr>
          <w:lang w:val="en-GB"/>
        </w:rPr>
        <w:t xml:space="preserve">95% confidence interval </w:t>
      </w:r>
      <w:r w:rsidR="00096EE3" w:rsidRPr="006966B8">
        <w:rPr>
          <w:lang w:val="en-GB"/>
        </w:rPr>
        <w:t xml:space="preserve">0.31 to 0.56) in </w:t>
      </w:r>
      <w:r w:rsidR="005826D2" w:rsidRPr="006966B8">
        <w:rPr>
          <w:lang w:val="en-GB"/>
        </w:rPr>
        <w:t>ASCLEPIOS I</w:t>
      </w:r>
      <w:r w:rsidR="00096EE3" w:rsidRPr="006966B8">
        <w:rPr>
          <w:lang w:val="en-GB"/>
        </w:rPr>
        <w:t xml:space="preserve">I. </w:t>
      </w:r>
      <w:r w:rsidR="001879E6" w:rsidRPr="006966B8">
        <w:rPr>
          <w:lang w:val="en-GB"/>
        </w:rPr>
        <w:t>F</w:t>
      </w:r>
      <w:r w:rsidRPr="006966B8">
        <w:rPr>
          <w:lang w:val="en-GB"/>
        </w:rPr>
        <w:t>ewer patients had confirmed disability worsening at 3</w:t>
      </w:r>
      <w:r w:rsidR="005826D2" w:rsidRPr="006966B8">
        <w:rPr>
          <w:lang w:val="en-GB"/>
        </w:rPr>
        <w:t> months</w:t>
      </w:r>
      <w:r w:rsidRPr="006966B8">
        <w:rPr>
          <w:lang w:val="en-GB"/>
        </w:rPr>
        <w:t xml:space="preserve"> and 6</w:t>
      </w:r>
      <w:r w:rsidR="005826D2" w:rsidRPr="006966B8">
        <w:rPr>
          <w:lang w:val="en-GB"/>
        </w:rPr>
        <w:t> months</w:t>
      </w:r>
      <w:r w:rsidRPr="006966B8">
        <w:rPr>
          <w:lang w:val="en-GB"/>
        </w:rPr>
        <w:t xml:space="preserve"> for ofatumumab compared with teriflunomide</w:t>
      </w:r>
      <w:r w:rsidR="00096EE3" w:rsidRPr="006966B8">
        <w:rPr>
          <w:lang w:val="en-GB"/>
        </w:rPr>
        <w:t xml:space="preserve">. The hazard ratio </w:t>
      </w:r>
      <w:r w:rsidR="00527E6E" w:rsidRPr="006966B8">
        <w:rPr>
          <w:lang w:val="en-GB"/>
        </w:rPr>
        <w:t xml:space="preserve">for ofatumumab compared </w:t>
      </w:r>
      <w:r w:rsidR="001879E6" w:rsidRPr="006966B8">
        <w:rPr>
          <w:lang w:val="en-GB"/>
        </w:rPr>
        <w:t xml:space="preserve">with </w:t>
      </w:r>
      <w:r w:rsidR="00527E6E" w:rsidRPr="006966B8">
        <w:rPr>
          <w:lang w:val="en-GB"/>
        </w:rPr>
        <w:t xml:space="preserve">teriflunomide </w:t>
      </w:r>
      <w:r w:rsidR="00096EE3" w:rsidRPr="006966B8">
        <w:rPr>
          <w:lang w:val="en-GB"/>
        </w:rPr>
        <w:t>was 0.68 (</w:t>
      </w:r>
      <w:r w:rsidR="00527E6E" w:rsidRPr="006966B8">
        <w:rPr>
          <w:lang w:val="en-GB"/>
        </w:rPr>
        <w:t xml:space="preserve">95% confidence interval </w:t>
      </w:r>
      <w:r w:rsidR="00096EE3" w:rsidRPr="006966B8">
        <w:rPr>
          <w:lang w:val="en-GB"/>
        </w:rPr>
        <w:t>0.50 to 0.92) for confirmed disability worsening at 6</w:t>
      </w:r>
      <w:r w:rsidR="005826D2" w:rsidRPr="006966B8">
        <w:rPr>
          <w:lang w:val="en-GB"/>
        </w:rPr>
        <w:t> months</w:t>
      </w:r>
      <w:r w:rsidR="00096EE3" w:rsidRPr="006966B8">
        <w:rPr>
          <w:lang w:val="en-GB"/>
        </w:rPr>
        <w:t xml:space="preserve"> for the </w:t>
      </w:r>
      <w:r w:rsidR="0095295B" w:rsidRPr="006966B8">
        <w:rPr>
          <w:lang w:val="en-GB"/>
        </w:rPr>
        <w:t xml:space="preserve">prespecified </w:t>
      </w:r>
      <w:r w:rsidR="00096EE3" w:rsidRPr="006966B8">
        <w:rPr>
          <w:lang w:val="en-GB"/>
        </w:rPr>
        <w:t>pooled ASC</w:t>
      </w:r>
      <w:r w:rsidR="00657B84" w:rsidRPr="006966B8">
        <w:rPr>
          <w:lang w:val="en-GB"/>
        </w:rPr>
        <w:t>L</w:t>
      </w:r>
      <w:r w:rsidR="00096EE3" w:rsidRPr="006966B8">
        <w:rPr>
          <w:lang w:val="en-GB"/>
        </w:rPr>
        <w:t>EPIOS population</w:t>
      </w:r>
      <w:r w:rsidR="0095295B" w:rsidRPr="006966B8">
        <w:rPr>
          <w:lang w:val="en-GB"/>
        </w:rPr>
        <w:t xml:space="preserve"> (because both</w:t>
      </w:r>
      <w:r w:rsidR="00423D0E" w:rsidRPr="006966B8">
        <w:rPr>
          <w:lang w:val="en-GB"/>
        </w:rPr>
        <w:t xml:space="preserve"> </w:t>
      </w:r>
      <w:r w:rsidR="0095295B" w:rsidRPr="006966B8">
        <w:rPr>
          <w:lang w:val="en-GB"/>
        </w:rPr>
        <w:t>trials had the same design and were carried out at the same time)</w:t>
      </w:r>
      <w:r w:rsidR="00362129" w:rsidRPr="006966B8">
        <w:rPr>
          <w:lang w:val="en-GB"/>
        </w:rPr>
        <w:t>.</w:t>
      </w:r>
      <w:r w:rsidR="00BB5ED6" w:rsidRPr="006966B8">
        <w:rPr>
          <w:lang w:val="en-GB"/>
        </w:rPr>
        <w:t xml:space="preserve"> The committee concluded that ofatumumab was clinically effective</w:t>
      </w:r>
      <w:r w:rsidR="00F237DC" w:rsidRPr="006966B8">
        <w:rPr>
          <w:lang w:val="en-GB"/>
        </w:rPr>
        <w:t xml:space="preserve"> compared with teriflunomide.</w:t>
      </w:r>
      <w:bookmarkEnd w:id="6"/>
    </w:p>
    <w:p w14:paraId="096784FD" w14:textId="7E54B100" w:rsidR="00467DA2" w:rsidRPr="006966B8" w:rsidRDefault="00467DA2" w:rsidP="00467DA2">
      <w:pPr>
        <w:pStyle w:val="Heading2"/>
      </w:pPr>
      <w:r w:rsidRPr="006966B8">
        <w:t>Mixed treatment comparison</w:t>
      </w:r>
    </w:p>
    <w:p w14:paraId="63658DDD" w14:textId="1B78F540" w:rsidR="00467DA2" w:rsidRPr="006966B8" w:rsidRDefault="00467DA2" w:rsidP="00467DA2">
      <w:pPr>
        <w:pStyle w:val="Heading3"/>
      </w:pPr>
      <w:r w:rsidRPr="006966B8">
        <w:t xml:space="preserve">Ofatumumab reduces </w:t>
      </w:r>
      <w:r w:rsidR="00527E6E" w:rsidRPr="006966B8">
        <w:t xml:space="preserve">annualised </w:t>
      </w:r>
      <w:r w:rsidRPr="006966B8">
        <w:t>relapse</w:t>
      </w:r>
      <w:r w:rsidR="00527E6E" w:rsidRPr="006966B8">
        <w:t xml:space="preserve"> rate</w:t>
      </w:r>
      <w:r w:rsidR="000A1975" w:rsidRPr="006966B8">
        <w:t>s</w:t>
      </w:r>
      <w:r w:rsidRPr="006966B8">
        <w:t xml:space="preserve"> compared with most comparators in </w:t>
      </w:r>
      <w:r w:rsidR="00C43B88" w:rsidRPr="006966B8">
        <w:t xml:space="preserve">the </w:t>
      </w:r>
      <w:r w:rsidRPr="006966B8">
        <w:t>relapsing–remitting multiple sclerosis population</w:t>
      </w:r>
    </w:p>
    <w:p w14:paraId="2526D11C" w14:textId="3DA5C08D" w:rsidR="00371E36" w:rsidRPr="00BA148F" w:rsidRDefault="00371E36">
      <w:pPr>
        <w:pStyle w:val="Numberedlevel2text"/>
        <w:rPr>
          <w:lang w:val="en-GB"/>
        </w:rPr>
      </w:pPr>
      <w:r w:rsidRPr="006966B8">
        <w:rPr>
          <w:lang w:val="en-GB"/>
        </w:rPr>
        <w:t xml:space="preserve">Because the company </w:t>
      </w:r>
      <w:r w:rsidR="00527E6E" w:rsidRPr="006966B8">
        <w:rPr>
          <w:lang w:val="en-GB"/>
        </w:rPr>
        <w:t xml:space="preserve">had </w:t>
      </w:r>
      <w:r w:rsidRPr="006966B8">
        <w:rPr>
          <w:lang w:val="en-GB"/>
        </w:rPr>
        <w:t xml:space="preserve">direct comparative evidence only for ofatumumab </w:t>
      </w:r>
      <w:r w:rsidR="000A1975" w:rsidRPr="006966B8">
        <w:rPr>
          <w:lang w:val="en-GB"/>
        </w:rPr>
        <w:t>and</w:t>
      </w:r>
      <w:r w:rsidRPr="006966B8">
        <w:rPr>
          <w:lang w:val="en-GB"/>
        </w:rPr>
        <w:t xml:space="preserve"> teriflunomide, it provided a network meta-analysis to estimate ofatumumab’s effectiveness compared with </w:t>
      </w:r>
      <w:r w:rsidR="00AE4CB8">
        <w:rPr>
          <w:lang w:val="en-GB"/>
        </w:rPr>
        <w:t xml:space="preserve">the </w:t>
      </w:r>
      <w:r w:rsidR="00527E6E" w:rsidRPr="006966B8">
        <w:rPr>
          <w:lang w:val="en-GB"/>
        </w:rPr>
        <w:t xml:space="preserve">other </w:t>
      </w:r>
      <w:r w:rsidR="00AE4CB8">
        <w:rPr>
          <w:lang w:val="en-GB"/>
        </w:rPr>
        <w:t>comparators in the scope</w:t>
      </w:r>
      <w:r w:rsidRPr="006966B8">
        <w:rPr>
          <w:lang w:val="en-GB"/>
        </w:rPr>
        <w:t>. The company chose 31 studies to inform its mixed treatment comparison for annuali</w:t>
      </w:r>
      <w:r w:rsidR="00796C28" w:rsidRPr="006966B8">
        <w:rPr>
          <w:lang w:val="en-GB"/>
        </w:rPr>
        <w:t>s</w:t>
      </w:r>
      <w:r w:rsidRPr="006966B8">
        <w:rPr>
          <w:lang w:val="en-GB"/>
        </w:rPr>
        <w:t xml:space="preserve">ed relapse rates in the </w:t>
      </w:r>
      <w:r w:rsidR="00663D57" w:rsidRPr="006966B8">
        <w:rPr>
          <w:lang w:val="en-GB"/>
        </w:rPr>
        <w:t>relapsing–remitting</w:t>
      </w:r>
      <w:r w:rsidRPr="006966B8">
        <w:rPr>
          <w:lang w:val="en-GB"/>
        </w:rPr>
        <w:t xml:space="preserve"> </w:t>
      </w:r>
      <w:r w:rsidR="006F0C19" w:rsidRPr="006966B8">
        <w:rPr>
          <w:lang w:val="en-GB"/>
        </w:rPr>
        <w:t>multiple sclerosis</w:t>
      </w:r>
      <w:r w:rsidRPr="006966B8">
        <w:rPr>
          <w:lang w:val="en-GB"/>
        </w:rPr>
        <w:t xml:space="preserve"> population. There was uncertainty in the results because most comparisons were informed by a single trial, and many of the comparators were indirectly compared with ofatumumab by </w:t>
      </w:r>
      <w:r w:rsidR="00315B84" w:rsidRPr="006966B8">
        <w:rPr>
          <w:lang w:val="en-GB"/>
        </w:rPr>
        <w:t>1</w:t>
      </w:r>
      <w:r w:rsidR="00315B84">
        <w:rPr>
          <w:lang w:val="en-GB"/>
        </w:rPr>
        <w:t> </w:t>
      </w:r>
      <w:r w:rsidRPr="006966B8">
        <w:rPr>
          <w:lang w:val="en-GB"/>
        </w:rPr>
        <w:t xml:space="preserve">or more intermediate comparator. However, the committee concluded that there was a lower annualised relapse rate for ofatumumab in the </w:t>
      </w:r>
      <w:r w:rsidRPr="006966B8">
        <w:rPr>
          <w:lang w:val="en-GB"/>
        </w:rPr>
        <w:lastRenderedPageBreak/>
        <w:t>whole population compared with mos</w:t>
      </w:r>
      <w:r w:rsidRPr="00BA148F">
        <w:rPr>
          <w:lang w:val="en-GB"/>
        </w:rPr>
        <w:t>t comparators</w:t>
      </w:r>
      <w:r w:rsidR="00527E6E" w:rsidRPr="00BA148F">
        <w:rPr>
          <w:lang w:val="en-GB"/>
        </w:rPr>
        <w:t xml:space="preserve">, </w:t>
      </w:r>
      <w:r w:rsidR="00541DF4" w:rsidRPr="00BA148F">
        <w:rPr>
          <w:lang w:val="en-GB"/>
        </w:rPr>
        <w:t>except</w:t>
      </w:r>
      <w:r w:rsidR="00527E6E" w:rsidRPr="00BA148F">
        <w:rPr>
          <w:lang w:val="en-GB"/>
        </w:rPr>
        <w:t xml:space="preserve"> the monoclonal antibodies (alemtuzumab, natalizumab and ocrelizumab) and </w:t>
      </w:r>
      <w:r w:rsidR="00867A6A" w:rsidRPr="00BA148F">
        <w:rPr>
          <w:lang w:val="en-GB"/>
        </w:rPr>
        <w:t>cladribine.</w:t>
      </w:r>
    </w:p>
    <w:p w14:paraId="71213A67" w14:textId="00310108" w:rsidR="00B37BB4" w:rsidRPr="006966B8" w:rsidRDefault="00B37BB4" w:rsidP="00B37BB4">
      <w:pPr>
        <w:pStyle w:val="Heading3"/>
      </w:pPr>
      <w:r w:rsidRPr="00BA148F">
        <w:t xml:space="preserve">Ofatumumab </w:t>
      </w:r>
      <w:r w:rsidR="00527E6E" w:rsidRPr="00BA148F">
        <w:t>may slow</w:t>
      </w:r>
      <w:r w:rsidRPr="00BA148F">
        <w:t xml:space="preserve"> disability progression compared with most comparators</w:t>
      </w:r>
      <w:r w:rsidR="00B17D3C" w:rsidRPr="00BA148F">
        <w:t xml:space="preserve"> </w:t>
      </w:r>
      <w:r w:rsidR="00541DF4" w:rsidRPr="00BA148F">
        <w:t>except</w:t>
      </w:r>
      <w:r w:rsidR="00B17D3C" w:rsidRPr="00BA148F">
        <w:t xml:space="preserve"> the other monoclonal antibodies</w:t>
      </w:r>
      <w:r w:rsidRPr="00BA148F">
        <w:t xml:space="preserve"> </w:t>
      </w:r>
      <w:r w:rsidRPr="006966B8">
        <w:t xml:space="preserve">in </w:t>
      </w:r>
      <w:r w:rsidR="00C43B88" w:rsidRPr="006966B8">
        <w:t xml:space="preserve">the </w:t>
      </w:r>
      <w:r w:rsidRPr="006966B8">
        <w:t>relapsing–remitting multiple sclerosis population</w:t>
      </w:r>
    </w:p>
    <w:p w14:paraId="187E62FD" w14:textId="3A146FCF" w:rsidR="00B17251" w:rsidRPr="00BA148F" w:rsidRDefault="00B37BB4">
      <w:pPr>
        <w:pStyle w:val="Numberedlevel2text"/>
        <w:rPr>
          <w:lang w:val="en-GB"/>
        </w:rPr>
      </w:pPr>
      <w:r w:rsidRPr="006966B8">
        <w:rPr>
          <w:lang w:val="en-GB"/>
        </w:rPr>
        <w:t>The company chose</w:t>
      </w:r>
      <w:r w:rsidR="00371E36" w:rsidRPr="006966B8">
        <w:rPr>
          <w:lang w:val="en-GB"/>
        </w:rPr>
        <w:t xml:space="preserve"> 21 studies for confirmed disability worsening at 3</w:t>
      </w:r>
      <w:r w:rsidR="005826D2" w:rsidRPr="006966B8">
        <w:rPr>
          <w:lang w:val="en-GB"/>
        </w:rPr>
        <w:t> months</w:t>
      </w:r>
      <w:r w:rsidR="00371E36" w:rsidRPr="006966B8">
        <w:rPr>
          <w:lang w:val="en-GB"/>
        </w:rPr>
        <w:t xml:space="preserve"> and 20 </w:t>
      </w:r>
      <w:r w:rsidRPr="006966B8">
        <w:rPr>
          <w:lang w:val="en-GB"/>
        </w:rPr>
        <w:t xml:space="preserve">studies for </w:t>
      </w:r>
      <w:r w:rsidR="00371E36" w:rsidRPr="006966B8">
        <w:rPr>
          <w:lang w:val="en-GB"/>
        </w:rPr>
        <w:t>confirmed disability worsening at 6</w:t>
      </w:r>
      <w:r w:rsidR="005826D2" w:rsidRPr="006966B8">
        <w:rPr>
          <w:lang w:val="en-GB"/>
        </w:rPr>
        <w:t> months</w:t>
      </w:r>
      <w:r w:rsidRPr="006966B8">
        <w:rPr>
          <w:lang w:val="en-GB"/>
        </w:rPr>
        <w:t xml:space="preserve"> </w:t>
      </w:r>
      <w:r w:rsidR="00371E36" w:rsidRPr="006966B8">
        <w:rPr>
          <w:lang w:val="en-GB"/>
        </w:rPr>
        <w:t xml:space="preserve">in its </w:t>
      </w:r>
      <w:r w:rsidR="00315B84" w:rsidRPr="006966B8">
        <w:rPr>
          <w:lang w:val="en-GB"/>
        </w:rPr>
        <w:t>base</w:t>
      </w:r>
      <w:r w:rsidR="00315B84">
        <w:rPr>
          <w:lang w:val="en-GB"/>
        </w:rPr>
        <w:t>-</w:t>
      </w:r>
      <w:r w:rsidR="00371E36" w:rsidRPr="006966B8">
        <w:rPr>
          <w:lang w:val="en-GB"/>
        </w:rPr>
        <w:t xml:space="preserve">case analyses. </w:t>
      </w:r>
      <w:r w:rsidR="00871649" w:rsidRPr="006966B8">
        <w:rPr>
          <w:lang w:val="en-GB"/>
        </w:rPr>
        <w:t>T</w:t>
      </w:r>
      <w:r w:rsidR="00E256A5" w:rsidRPr="006966B8">
        <w:rPr>
          <w:lang w:val="en-GB"/>
        </w:rPr>
        <w:t xml:space="preserve">he ASCLEPIOS trials used a </w:t>
      </w:r>
      <w:r w:rsidRPr="006966B8">
        <w:rPr>
          <w:lang w:val="en-GB"/>
        </w:rPr>
        <w:t xml:space="preserve">different </w:t>
      </w:r>
      <w:r w:rsidR="00E256A5" w:rsidRPr="006966B8">
        <w:rPr>
          <w:lang w:val="en-GB"/>
        </w:rPr>
        <w:t xml:space="preserve">definition of disability worsening </w:t>
      </w:r>
      <w:r w:rsidR="00EF54C3" w:rsidRPr="006966B8">
        <w:rPr>
          <w:lang w:val="en-GB"/>
        </w:rPr>
        <w:t>from the one commonly used in other trials,</w:t>
      </w:r>
      <w:r w:rsidR="00871649" w:rsidRPr="006966B8">
        <w:rPr>
          <w:lang w:val="en-GB"/>
        </w:rPr>
        <w:t xml:space="preserve"> based on </w:t>
      </w:r>
      <w:r w:rsidR="007D2889" w:rsidRPr="006966B8">
        <w:rPr>
          <w:lang w:val="en-GB"/>
        </w:rPr>
        <w:t>Expanded Disability Status Scale (</w:t>
      </w:r>
      <w:r w:rsidR="00871649" w:rsidRPr="006966B8">
        <w:rPr>
          <w:lang w:val="en-GB"/>
        </w:rPr>
        <w:t>EDSS</w:t>
      </w:r>
      <w:r w:rsidR="00B17D3C" w:rsidRPr="006966B8">
        <w:rPr>
          <w:lang w:val="en-GB"/>
        </w:rPr>
        <w:t>)</w:t>
      </w:r>
      <w:r w:rsidR="00871649" w:rsidRPr="006966B8">
        <w:rPr>
          <w:lang w:val="en-GB"/>
        </w:rPr>
        <w:t xml:space="preserve"> changes </w:t>
      </w:r>
      <w:r w:rsidR="00EF54C3" w:rsidRPr="006966B8">
        <w:rPr>
          <w:lang w:val="en-GB"/>
        </w:rPr>
        <w:t xml:space="preserve">from </w:t>
      </w:r>
      <w:r w:rsidR="00871649" w:rsidRPr="006966B8">
        <w:rPr>
          <w:lang w:val="en-GB"/>
        </w:rPr>
        <w:t>baseline.</w:t>
      </w:r>
      <w:r w:rsidR="00B17D3C" w:rsidRPr="006966B8">
        <w:rPr>
          <w:lang w:val="en-GB"/>
        </w:rPr>
        <w:t xml:space="preserve"> The EDSS is used to measure how much someone is affected by their multiple sclerosis.</w:t>
      </w:r>
      <w:r w:rsidR="00871649" w:rsidRPr="006966B8">
        <w:rPr>
          <w:lang w:val="en-GB"/>
        </w:rPr>
        <w:t xml:space="preserve"> </w:t>
      </w:r>
      <w:r w:rsidRPr="006966B8">
        <w:rPr>
          <w:lang w:val="en-GB"/>
        </w:rPr>
        <w:t xml:space="preserve">This was to account for </w:t>
      </w:r>
      <w:r w:rsidR="00EF54C3" w:rsidRPr="006966B8">
        <w:rPr>
          <w:lang w:val="en-GB"/>
        </w:rPr>
        <w:t xml:space="preserve">including </w:t>
      </w:r>
      <w:r w:rsidRPr="006966B8">
        <w:rPr>
          <w:lang w:val="en-GB"/>
        </w:rPr>
        <w:t xml:space="preserve">a separate outcome for confirmed disability improvement. </w:t>
      </w:r>
      <w:r w:rsidR="00B17251" w:rsidRPr="006966B8">
        <w:rPr>
          <w:lang w:val="en-GB"/>
        </w:rPr>
        <w:t>T</w:t>
      </w:r>
      <w:r w:rsidRPr="006966B8">
        <w:rPr>
          <w:lang w:val="en-GB"/>
        </w:rPr>
        <w:t>o account for the change in definition, t</w:t>
      </w:r>
      <w:r w:rsidR="00B17251" w:rsidRPr="006966B8">
        <w:rPr>
          <w:lang w:val="en-GB"/>
        </w:rPr>
        <w:t xml:space="preserve">he company </w:t>
      </w:r>
      <w:r w:rsidR="00871649" w:rsidRPr="006966B8">
        <w:rPr>
          <w:lang w:val="en-GB"/>
        </w:rPr>
        <w:t xml:space="preserve">carried out additional analyses on the </w:t>
      </w:r>
      <w:r w:rsidR="0082573F" w:rsidRPr="006966B8">
        <w:rPr>
          <w:lang w:val="en-GB"/>
        </w:rPr>
        <w:t>3</w:t>
      </w:r>
      <w:r w:rsidR="005826D2" w:rsidRPr="006966B8">
        <w:rPr>
          <w:lang w:val="en-GB"/>
        </w:rPr>
        <w:noBreakHyphen/>
        <w:t>month</w:t>
      </w:r>
      <w:r w:rsidR="0082573F" w:rsidRPr="006966B8">
        <w:rPr>
          <w:lang w:val="en-GB"/>
        </w:rPr>
        <w:t xml:space="preserve"> and 6</w:t>
      </w:r>
      <w:r w:rsidR="005826D2" w:rsidRPr="006966B8">
        <w:rPr>
          <w:lang w:val="en-GB"/>
        </w:rPr>
        <w:noBreakHyphen/>
        <w:t xml:space="preserve">month </w:t>
      </w:r>
      <w:r w:rsidR="00650343" w:rsidRPr="006966B8">
        <w:rPr>
          <w:lang w:val="en-GB"/>
        </w:rPr>
        <w:t xml:space="preserve">data from the ASCLEPIOS trials </w:t>
      </w:r>
      <w:r w:rsidRPr="006966B8">
        <w:rPr>
          <w:lang w:val="en-GB"/>
        </w:rPr>
        <w:t xml:space="preserve">using </w:t>
      </w:r>
      <w:r w:rsidR="00EF54C3" w:rsidRPr="006966B8">
        <w:rPr>
          <w:lang w:val="en-GB"/>
        </w:rPr>
        <w:t>‘</w:t>
      </w:r>
      <w:r w:rsidR="00650343" w:rsidRPr="006966B8">
        <w:rPr>
          <w:lang w:val="en-GB"/>
        </w:rPr>
        <w:t>aligned criteria</w:t>
      </w:r>
      <w:r w:rsidR="00EF54C3" w:rsidRPr="006966B8">
        <w:rPr>
          <w:lang w:val="en-GB"/>
        </w:rPr>
        <w:t>’</w:t>
      </w:r>
      <w:r w:rsidR="00650343" w:rsidRPr="006966B8">
        <w:rPr>
          <w:i/>
          <w:iCs w:val="0"/>
          <w:lang w:val="en-GB"/>
        </w:rPr>
        <w:t>.</w:t>
      </w:r>
      <w:r w:rsidR="00EF54C3" w:rsidRPr="006966B8">
        <w:rPr>
          <w:lang w:val="en-GB"/>
        </w:rPr>
        <w:t xml:space="preserve"> T</w:t>
      </w:r>
      <w:r w:rsidR="00650343" w:rsidRPr="006966B8">
        <w:rPr>
          <w:lang w:val="en-GB"/>
        </w:rPr>
        <w:t>he company also carried out a</w:t>
      </w:r>
      <w:r w:rsidR="00EF54C3" w:rsidRPr="006966B8">
        <w:rPr>
          <w:lang w:val="en-GB"/>
        </w:rPr>
        <w:t>nother</w:t>
      </w:r>
      <w:r w:rsidR="00650343" w:rsidRPr="006966B8">
        <w:rPr>
          <w:lang w:val="en-GB"/>
        </w:rPr>
        <w:t xml:space="preserve"> analysis of the ASCLEPIOS trial data according to the methods </w:t>
      </w:r>
      <w:r w:rsidR="005C45B7" w:rsidRPr="006966B8">
        <w:rPr>
          <w:lang w:val="en-GB"/>
        </w:rPr>
        <w:t>set</w:t>
      </w:r>
      <w:r w:rsidR="00650343" w:rsidRPr="006966B8">
        <w:rPr>
          <w:lang w:val="en-GB"/>
        </w:rPr>
        <w:t xml:space="preserve"> out in the protocol of OPERA </w:t>
      </w:r>
      <w:r w:rsidR="005C45B7" w:rsidRPr="006966B8">
        <w:rPr>
          <w:lang w:val="en-GB"/>
        </w:rPr>
        <w:t>trials,</w:t>
      </w:r>
      <w:r w:rsidR="00527E6E" w:rsidRPr="006966B8">
        <w:rPr>
          <w:lang w:val="en-GB"/>
        </w:rPr>
        <w:t xml:space="preserve"> </w:t>
      </w:r>
      <w:r w:rsidR="00EF54C3" w:rsidRPr="006966B8">
        <w:rPr>
          <w:lang w:val="en-GB"/>
        </w:rPr>
        <w:t>which</w:t>
      </w:r>
      <w:r w:rsidR="00527E6E" w:rsidRPr="006966B8">
        <w:rPr>
          <w:lang w:val="en-GB"/>
        </w:rPr>
        <w:t xml:space="preserve"> </w:t>
      </w:r>
      <w:r w:rsidR="00650343" w:rsidRPr="006966B8">
        <w:rPr>
          <w:lang w:val="en-GB"/>
        </w:rPr>
        <w:t xml:space="preserve">were the pivotal trials for ocrelizumab in </w:t>
      </w:r>
      <w:r w:rsidR="00CB4A72" w:rsidRPr="006966B8">
        <w:rPr>
          <w:lang w:val="en-GB"/>
        </w:rPr>
        <w:t>people with relapsing multiple sclerosis</w:t>
      </w:r>
      <w:r w:rsidR="00650343" w:rsidRPr="006966B8">
        <w:rPr>
          <w:lang w:val="en-GB"/>
        </w:rPr>
        <w:t xml:space="preserve">. </w:t>
      </w:r>
      <w:r w:rsidR="00527E6E" w:rsidRPr="006966B8">
        <w:rPr>
          <w:lang w:val="en-GB"/>
        </w:rPr>
        <w:t>The committee considered th</w:t>
      </w:r>
      <w:r w:rsidR="00245B0D" w:rsidRPr="006966B8">
        <w:rPr>
          <w:lang w:val="en-GB"/>
        </w:rPr>
        <w:t>e</w:t>
      </w:r>
      <w:r w:rsidR="00527E6E" w:rsidRPr="006966B8">
        <w:rPr>
          <w:lang w:val="en-GB"/>
        </w:rPr>
        <w:t xml:space="preserve"> evidence</w:t>
      </w:r>
      <w:r w:rsidR="00245B0D" w:rsidRPr="006966B8">
        <w:rPr>
          <w:lang w:val="en-GB"/>
        </w:rPr>
        <w:t xml:space="preserve"> for confirmed disability progression at 3 and 6</w:t>
      </w:r>
      <w:r w:rsidR="005826D2" w:rsidRPr="006966B8">
        <w:rPr>
          <w:lang w:val="en-GB"/>
        </w:rPr>
        <w:t> months</w:t>
      </w:r>
      <w:r w:rsidR="00245B0D" w:rsidRPr="006966B8">
        <w:rPr>
          <w:lang w:val="en-GB"/>
        </w:rPr>
        <w:t xml:space="preserve">. </w:t>
      </w:r>
      <w:r w:rsidR="00245B0D" w:rsidRPr="00BA148F">
        <w:rPr>
          <w:lang w:val="en-GB"/>
        </w:rPr>
        <w:t xml:space="preserve">It noted </w:t>
      </w:r>
      <w:r w:rsidR="00527E6E" w:rsidRPr="00BA148F">
        <w:rPr>
          <w:lang w:val="en-GB"/>
        </w:rPr>
        <w:t xml:space="preserve">that </w:t>
      </w:r>
      <w:r w:rsidR="00245B0D" w:rsidRPr="00BA148F">
        <w:rPr>
          <w:lang w:val="en-GB"/>
        </w:rPr>
        <w:t xml:space="preserve">the point estimates for </w:t>
      </w:r>
      <w:r w:rsidR="00527E6E" w:rsidRPr="00BA148F">
        <w:rPr>
          <w:lang w:val="en-GB"/>
        </w:rPr>
        <w:t xml:space="preserve">hazard ratios for confirmed disability progression </w:t>
      </w:r>
      <w:r w:rsidR="00245B0D" w:rsidRPr="00BA148F">
        <w:rPr>
          <w:lang w:val="en-GB"/>
        </w:rPr>
        <w:t>at 6</w:t>
      </w:r>
      <w:r w:rsidR="005826D2" w:rsidRPr="00BA148F">
        <w:rPr>
          <w:lang w:val="en-GB"/>
        </w:rPr>
        <w:t> months</w:t>
      </w:r>
      <w:r w:rsidR="00245B0D" w:rsidRPr="00BA148F">
        <w:rPr>
          <w:lang w:val="en-GB"/>
        </w:rPr>
        <w:t xml:space="preserve"> were below </w:t>
      </w:r>
      <w:r w:rsidR="00773F0E" w:rsidRPr="00BA148F">
        <w:rPr>
          <w:lang w:val="en-GB"/>
        </w:rPr>
        <w:t xml:space="preserve">1 </w:t>
      </w:r>
      <w:r w:rsidR="00245B0D" w:rsidRPr="00BA148F">
        <w:rPr>
          <w:lang w:val="en-GB"/>
        </w:rPr>
        <w:t xml:space="preserve">for </w:t>
      </w:r>
      <w:r w:rsidR="00541DF4" w:rsidRPr="00BA148F">
        <w:rPr>
          <w:lang w:val="en-GB"/>
        </w:rPr>
        <w:t xml:space="preserve">the </w:t>
      </w:r>
      <w:r w:rsidR="00245B0D" w:rsidRPr="00BA148F">
        <w:rPr>
          <w:lang w:val="en-GB"/>
        </w:rPr>
        <w:t xml:space="preserve">comparators </w:t>
      </w:r>
      <w:r w:rsidR="00541DF4" w:rsidRPr="00BA148F">
        <w:rPr>
          <w:lang w:val="en-GB"/>
        </w:rPr>
        <w:t>except</w:t>
      </w:r>
      <w:r w:rsidR="00245B0D" w:rsidRPr="00BA148F">
        <w:rPr>
          <w:lang w:val="en-GB"/>
        </w:rPr>
        <w:t xml:space="preserve"> alemtuzumab, natalizumab and ocrelizumab</w:t>
      </w:r>
      <w:r w:rsidR="00541DF4" w:rsidRPr="00BA148F">
        <w:rPr>
          <w:lang w:val="en-GB"/>
        </w:rPr>
        <w:t>,</w:t>
      </w:r>
      <w:r w:rsidR="00245B0D" w:rsidRPr="00BA148F">
        <w:rPr>
          <w:lang w:val="en-GB"/>
        </w:rPr>
        <w:t xml:space="preserve"> and that the 95% confidence intervals crossed 1 for all the comparators</w:t>
      </w:r>
      <w:r w:rsidR="00233774" w:rsidRPr="00BA148F">
        <w:rPr>
          <w:lang w:val="en-GB"/>
        </w:rPr>
        <w:t>. This suggested</w:t>
      </w:r>
      <w:r w:rsidR="007760C5" w:rsidRPr="00BA148F">
        <w:rPr>
          <w:lang w:val="en-GB"/>
        </w:rPr>
        <w:t xml:space="preserve"> that </w:t>
      </w:r>
      <w:r w:rsidR="00033035" w:rsidRPr="00BA148F">
        <w:rPr>
          <w:lang w:val="en-GB"/>
        </w:rPr>
        <w:t xml:space="preserve">there was a statistically significant difference between treatment with ofatumumab compared with teriflunomide for most comparators </w:t>
      </w:r>
      <w:r w:rsidR="00541DF4" w:rsidRPr="00BA148F">
        <w:rPr>
          <w:lang w:val="en-GB"/>
        </w:rPr>
        <w:t>except</w:t>
      </w:r>
      <w:r w:rsidR="00033035" w:rsidRPr="00BA148F">
        <w:rPr>
          <w:lang w:val="en-GB"/>
        </w:rPr>
        <w:t xml:space="preserve"> the other monoclonal antibodies. </w:t>
      </w:r>
      <w:r w:rsidR="00245B0D" w:rsidRPr="00BA148F">
        <w:rPr>
          <w:lang w:val="en-GB"/>
        </w:rPr>
        <w:t xml:space="preserve">The committee concluded that ofatumumab may slow confirmed disability progression more than most comparators </w:t>
      </w:r>
      <w:r w:rsidR="00541DF4" w:rsidRPr="00BA148F">
        <w:rPr>
          <w:lang w:val="en-GB"/>
        </w:rPr>
        <w:t>except</w:t>
      </w:r>
      <w:r w:rsidR="00245B0D" w:rsidRPr="00BA148F">
        <w:rPr>
          <w:lang w:val="en-GB"/>
        </w:rPr>
        <w:t xml:space="preserve"> the monoclonal antibodies alemtuzumab, natalizumab and ocrelizumab</w:t>
      </w:r>
      <w:r w:rsidR="00CA37A2" w:rsidRPr="00BA148F">
        <w:rPr>
          <w:lang w:val="en-GB"/>
        </w:rPr>
        <w:t>.</w:t>
      </w:r>
    </w:p>
    <w:p w14:paraId="09070E44" w14:textId="5F8EDDC2" w:rsidR="00742A64" w:rsidRPr="006966B8" w:rsidRDefault="005C09B3" w:rsidP="002146AD">
      <w:pPr>
        <w:pStyle w:val="Heading2"/>
      </w:pPr>
      <w:r w:rsidRPr="006966B8">
        <w:lastRenderedPageBreak/>
        <w:t>The company’s cost</w:t>
      </w:r>
      <w:r w:rsidR="007F7DBD" w:rsidRPr="006966B8">
        <w:t>–</w:t>
      </w:r>
      <w:r w:rsidRPr="006966B8">
        <w:t>utility model</w:t>
      </w:r>
    </w:p>
    <w:p w14:paraId="347098D1" w14:textId="77777777" w:rsidR="005C09B3" w:rsidRPr="006966B8" w:rsidRDefault="005C09B3" w:rsidP="005C09B3">
      <w:pPr>
        <w:pStyle w:val="Heading3"/>
      </w:pPr>
      <w:bookmarkStart w:id="7" w:name="_Hlk58833331"/>
      <w:r w:rsidRPr="006966B8">
        <w:t>The company’s model is generally appropriate and aligns with previous models in the disease area</w:t>
      </w:r>
    </w:p>
    <w:bookmarkEnd w:id="7"/>
    <w:p w14:paraId="5EA362B7" w14:textId="4A3464BB" w:rsidR="005C09B3" w:rsidRPr="006966B8" w:rsidRDefault="005C09B3" w:rsidP="005C09B3">
      <w:pPr>
        <w:pStyle w:val="Numberedlevel2text"/>
        <w:numPr>
          <w:ilvl w:val="1"/>
          <w:numId w:val="1"/>
        </w:numPr>
        <w:rPr>
          <w:lang w:val="en-GB"/>
        </w:rPr>
      </w:pPr>
      <w:r w:rsidRPr="006966B8">
        <w:rPr>
          <w:lang w:val="en-GB"/>
        </w:rPr>
        <w:t xml:space="preserve">The company’s model structure was similar to that of models used in previous </w:t>
      </w:r>
      <w:r w:rsidR="00D5604B" w:rsidRPr="006966B8">
        <w:rPr>
          <w:lang w:val="en-GB"/>
        </w:rPr>
        <w:t xml:space="preserve">appraisals of </w:t>
      </w:r>
      <w:r w:rsidRPr="006966B8">
        <w:rPr>
          <w:lang w:val="en-GB"/>
        </w:rPr>
        <w:t>multiple sclerosis technology. The model was a Markov transition model consisting of 21</w:t>
      </w:r>
      <w:r w:rsidR="005826D2" w:rsidRPr="006966B8">
        <w:rPr>
          <w:lang w:val="en-GB"/>
        </w:rPr>
        <w:t xml:space="preserve"> </w:t>
      </w:r>
      <w:r w:rsidRPr="006966B8">
        <w:rPr>
          <w:lang w:val="en-GB"/>
        </w:rPr>
        <w:t xml:space="preserve">health states </w:t>
      </w:r>
      <w:r w:rsidR="003328D4" w:rsidRPr="006966B8">
        <w:rPr>
          <w:lang w:val="en-GB"/>
        </w:rPr>
        <w:t xml:space="preserve">based on the </w:t>
      </w:r>
      <w:r w:rsidR="001C1874" w:rsidRPr="006966B8">
        <w:rPr>
          <w:lang w:val="en-GB"/>
        </w:rPr>
        <w:t>EDSS</w:t>
      </w:r>
      <w:r w:rsidR="003328D4" w:rsidRPr="006966B8">
        <w:rPr>
          <w:lang w:val="en-GB"/>
        </w:rPr>
        <w:t xml:space="preserve">. The EDSS has 10 functional states, with higher numbers reflecting a greater functional impact. The </w:t>
      </w:r>
      <w:r w:rsidR="007D5100" w:rsidRPr="006966B8">
        <w:rPr>
          <w:lang w:val="en-GB"/>
        </w:rPr>
        <w:t xml:space="preserve">company’s </w:t>
      </w:r>
      <w:r w:rsidR="003328D4" w:rsidRPr="006966B8">
        <w:rPr>
          <w:lang w:val="en-GB"/>
        </w:rPr>
        <w:t xml:space="preserve">model consisted of </w:t>
      </w:r>
      <w:r w:rsidRPr="006966B8">
        <w:rPr>
          <w:lang w:val="en-GB"/>
        </w:rPr>
        <w:t>10</w:t>
      </w:r>
      <w:r w:rsidR="005826D2" w:rsidRPr="006966B8">
        <w:rPr>
          <w:lang w:val="en-GB"/>
        </w:rPr>
        <w:t xml:space="preserve"> </w:t>
      </w:r>
      <w:r w:rsidRPr="006966B8">
        <w:rPr>
          <w:lang w:val="en-GB"/>
        </w:rPr>
        <w:t>EDSS</w:t>
      </w:r>
      <w:r w:rsidR="003328D4" w:rsidRPr="006966B8">
        <w:rPr>
          <w:lang w:val="en-GB"/>
        </w:rPr>
        <w:t xml:space="preserve"> </w:t>
      </w:r>
      <w:r w:rsidRPr="006966B8">
        <w:rPr>
          <w:lang w:val="en-GB"/>
        </w:rPr>
        <w:t>states for relapsing–remitting multiple sclerosis, 10</w:t>
      </w:r>
      <w:r w:rsidR="005826D2" w:rsidRPr="006966B8">
        <w:rPr>
          <w:lang w:val="en-GB"/>
        </w:rPr>
        <w:t xml:space="preserve"> </w:t>
      </w:r>
      <w:r w:rsidR="00B909C7" w:rsidRPr="006966B8">
        <w:rPr>
          <w:lang w:val="en-GB"/>
        </w:rPr>
        <w:t xml:space="preserve">states </w:t>
      </w:r>
      <w:r w:rsidRPr="006966B8">
        <w:rPr>
          <w:lang w:val="en-GB"/>
        </w:rPr>
        <w:t>for secondary progressive multiple sclerosis</w:t>
      </w:r>
      <w:r w:rsidR="00E13733">
        <w:rPr>
          <w:lang w:val="en-GB"/>
        </w:rPr>
        <w:t xml:space="preserve"> </w:t>
      </w:r>
      <w:r w:rsidRPr="006966B8">
        <w:rPr>
          <w:lang w:val="en-GB"/>
        </w:rPr>
        <w:t>and death). The model used the British Columbia Multiple Sclerosis registry as a source of natural history data.</w:t>
      </w:r>
      <w:r w:rsidR="005E7D5D" w:rsidRPr="006966B8">
        <w:rPr>
          <w:lang w:val="en-GB"/>
        </w:rPr>
        <w:t xml:space="preserve"> </w:t>
      </w:r>
      <w:r w:rsidR="00D5604B" w:rsidRPr="006966B8">
        <w:rPr>
          <w:lang w:val="en-GB"/>
        </w:rPr>
        <w:t>The company sourced t</w:t>
      </w:r>
      <w:r w:rsidRPr="006966B8">
        <w:rPr>
          <w:lang w:val="en-GB"/>
        </w:rPr>
        <w:t xml:space="preserve">reatment effects for </w:t>
      </w:r>
      <w:r w:rsidR="00FE3826" w:rsidRPr="006966B8">
        <w:rPr>
          <w:lang w:val="en-GB"/>
        </w:rPr>
        <w:t>ofatumumab</w:t>
      </w:r>
      <w:r w:rsidRPr="006966B8">
        <w:rPr>
          <w:lang w:val="en-GB"/>
        </w:rPr>
        <w:t xml:space="preserve"> and all comparators from the company’s </w:t>
      </w:r>
      <w:r w:rsidR="00577E3D" w:rsidRPr="006966B8">
        <w:rPr>
          <w:lang w:val="en-GB"/>
        </w:rPr>
        <w:t xml:space="preserve">network meta-analysis </w:t>
      </w:r>
      <w:r w:rsidRPr="006966B8">
        <w:rPr>
          <w:lang w:val="en-GB"/>
        </w:rPr>
        <w:t>and applied as:</w:t>
      </w:r>
    </w:p>
    <w:p w14:paraId="3D0EE9B0" w14:textId="77777777" w:rsidR="005C09B3" w:rsidRPr="006966B8" w:rsidRDefault="005C09B3" w:rsidP="005C09B3">
      <w:pPr>
        <w:pStyle w:val="Bulletindent1"/>
      </w:pPr>
      <w:r w:rsidRPr="006966B8">
        <w:t>annualised relapse rates</w:t>
      </w:r>
    </w:p>
    <w:p w14:paraId="0027CB4D" w14:textId="23ADB910" w:rsidR="005C09B3" w:rsidRPr="006966B8" w:rsidRDefault="00FA413C" w:rsidP="005C09B3">
      <w:pPr>
        <w:pStyle w:val="Bulletindent1"/>
      </w:pPr>
      <w:r w:rsidRPr="006966B8">
        <w:t>confirmed disability worsening at 6</w:t>
      </w:r>
      <w:r w:rsidR="005826D2" w:rsidRPr="006966B8">
        <w:t> months</w:t>
      </w:r>
    </w:p>
    <w:p w14:paraId="11AEEB98" w14:textId="77777777" w:rsidR="005C09B3" w:rsidRPr="006966B8" w:rsidRDefault="005C09B3" w:rsidP="005C09B3">
      <w:pPr>
        <w:pStyle w:val="Bulletindent1"/>
      </w:pPr>
      <w:r w:rsidRPr="006966B8">
        <w:t>adverse events and</w:t>
      </w:r>
    </w:p>
    <w:p w14:paraId="7E90D68C" w14:textId="4402340E" w:rsidR="005C09B3" w:rsidRPr="006966B8" w:rsidRDefault="005C09B3" w:rsidP="005C09B3">
      <w:pPr>
        <w:pStyle w:val="Bulletindent1last"/>
      </w:pPr>
      <w:r w:rsidRPr="006966B8">
        <w:t>treatment discontinuation.</w:t>
      </w:r>
    </w:p>
    <w:p w14:paraId="5C9DFFF1" w14:textId="7C2251CE" w:rsidR="005C09B3" w:rsidRPr="006966B8" w:rsidRDefault="00FE3826" w:rsidP="00721792">
      <w:pPr>
        <w:pStyle w:val="NICEnormalindented"/>
      </w:pPr>
      <w:r w:rsidRPr="006966B8">
        <w:rPr>
          <w:rFonts w:cs="Arial"/>
        </w:rPr>
        <w:t>The company assumed that the treatment effect with ofatumumab and all comparators was constant and was not expected to wane over time</w:t>
      </w:r>
      <w:r w:rsidR="00DD695F" w:rsidRPr="006966B8">
        <w:rPr>
          <w:rFonts w:cs="Arial"/>
        </w:rPr>
        <w:t xml:space="preserve"> (see </w:t>
      </w:r>
      <w:hyperlink w:anchor="_All-cause_discontinuation_can" w:history="1">
        <w:r w:rsidR="00DD695F" w:rsidRPr="006966B8">
          <w:rPr>
            <w:rStyle w:val="Hyperlink"/>
            <w:rFonts w:cs="Arial"/>
          </w:rPr>
          <w:t>section 3.15</w:t>
        </w:r>
      </w:hyperlink>
      <w:r w:rsidR="00DD695F" w:rsidRPr="006966B8">
        <w:rPr>
          <w:rFonts w:cs="Arial"/>
        </w:rPr>
        <w:t>)</w:t>
      </w:r>
      <w:r w:rsidRPr="006966B8">
        <w:rPr>
          <w:rFonts w:cs="Arial"/>
        </w:rPr>
        <w:t>.</w:t>
      </w:r>
      <w:r w:rsidR="00666E4A" w:rsidRPr="006966B8">
        <w:rPr>
          <w:rFonts w:cs="Arial"/>
        </w:rPr>
        <w:t xml:space="preserve"> The committee </w:t>
      </w:r>
      <w:r w:rsidR="008146E2" w:rsidRPr="006966B8">
        <w:rPr>
          <w:rFonts w:cs="Arial"/>
        </w:rPr>
        <w:t xml:space="preserve">considered that </w:t>
      </w:r>
      <w:r w:rsidR="00056BAC" w:rsidRPr="006966B8">
        <w:rPr>
          <w:rFonts w:cs="Arial"/>
        </w:rPr>
        <w:t>the model did not completely reflect the treatment pathway for relapsing</w:t>
      </w:r>
      <w:r w:rsidR="008F5BF4" w:rsidRPr="006966B8">
        <w:rPr>
          <w:rFonts w:cs="Arial"/>
        </w:rPr>
        <w:t>–</w:t>
      </w:r>
      <w:r w:rsidR="00056BAC" w:rsidRPr="006966B8">
        <w:rPr>
          <w:rFonts w:cs="Arial"/>
        </w:rPr>
        <w:t xml:space="preserve">remitting multiple sclerosis. For example, the model did not capture </w:t>
      </w:r>
      <w:r w:rsidR="008F5BF4" w:rsidRPr="006966B8">
        <w:rPr>
          <w:rFonts w:cs="Arial"/>
        </w:rPr>
        <w:t xml:space="preserve">treatment </w:t>
      </w:r>
      <w:r w:rsidR="006966B2" w:rsidRPr="006966B8">
        <w:rPr>
          <w:rFonts w:cs="Arial"/>
        </w:rPr>
        <w:t>sequencing</w:t>
      </w:r>
      <w:r w:rsidR="008F5BF4" w:rsidRPr="006966B8">
        <w:rPr>
          <w:rFonts w:cs="Arial"/>
        </w:rPr>
        <w:t>,</w:t>
      </w:r>
      <w:r w:rsidR="006966B2" w:rsidRPr="006966B8">
        <w:rPr>
          <w:rFonts w:cs="Arial"/>
        </w:rPr>
        <w:t xml:space="preserve"> </w:t>
      </w:r>
      <w:r w:rsidR="00056BAC" w:rsidRPr="006966B8">
        <w:rPr>
          <w:rFonts w:cs="Arial"/>
        </w:rPr>
        <w:t>which will happen because there are a lot of treatments available. It also did not reflect that treatment may stop when people develop progressive symptoms of multiple sclerosis (at an EDSS health state of at least 7). Although these</w:t>
      </w:r>
      <w:r w:rsidR="00666E4A" w:rsidRPr="006966B8">
        <w:rPr>
          <w:rFonts w:cs="Arial"/>
        </w:rPr>
        <w:t xml:space="preserve"> </w:t>
      </w:r>
      <w:r w:rsidR="00056BAC" w:rsidRPr="006966B8">
        <w:rPr>
          <w:rFonts w:cs="Arial"/>
        </w:rPr>
        <w:t>variations in practice were not identified in the model, t</w:t>
      </w:r>
      <w:r w:rsidR="00BA212C" w:rsidRPr="006966B8">
        <w:t xml:space="preserve">he committee </w:t>
      </w:r>
      <w:r w:rsidR="005C09B3" w:rsidRPr="006966B8">
        <w:t>concluded that the company’s model was generally appropriate and in line with previous models in the disease area</w:t>
      </w:r>
      <w:r w:rsidR="00BA212C" w:rsidRPr="006966B8">
        <w:t xml:space="preserve"> and could be used for decision</w:t>
      </w:r>
      <w:r w:rsidR="00D04670" w:rsidRPr="006966B8">
        <w:t xml:space="preserve"> </w:t>
      </w:r>
      <w:r w:rsidR="00BA212C" w:rsidRPr="006966B8">
        <w:t>making</w:t>
      </w:r>
      <w:r w:rsidR="005C09B3" w:rsidRPr="006966B8">
        <w:t>.</w:t>
      </w:r>
      <w:r w:rsidR="000E5282" w:rsidRPr="006966B8">
        <w:t xml:space="preserve"> </w:t>
      </w:r>
      <w:r w:rsidR="00491572" w:rsidRPr="00491572">
        <w:t xml:space="preserve">However, in future, </w:t>
      </w:r>
      <w:r w:rsidR="00491572">
        <w:t xml:space="preserve">the </w:t>
      </w:r>
      <w:r w:rsidR="00491572" w:rsidRPr="00491572">
        <w:t>committee would expect a model that more accurately reflected the patient pathway in the NHS</w:t>
      </w:r>
      <w:r w:rsidR="00B56135">
        <w:t>,</w:t>
      </w:r>
      <w:r w:rsidR="00491572" w:rsidRPr="00491572">
        <w:t xml:space="preserve"> which</w:t>
      </w:r>
      <w:r w:rsidR="00B56135">
        <w:t xml:space="preserve"> </w:t>
      </w:r>
      <w:r w:rsidR="00B56135">
        <w:lastRenderedPageBreak/>
        <w:t>would</w:t>
      </w:r>
      <w:r w:rsidR="00491572" w:rsidRPr="00491572">
        <w:t xml:space="preserve"> include methodological advances in modelling treatment sequences.</w:t>
      </w:r>
    </w:p>
    <w:p w14:paraId="5012847F" w14:textId="4BA93FC0" w:rsidR="00643582" w:rsidRPr="006966B8" w:rsidRDefault="00742A64">
      <w:pPr>
        <w:pStyle w:val="Heading3"/>
      </w:pPr>
      <w:r w:rsidRPr="006966B8">
        <w:t>I</w:t>
      </w:r>
      <w:r w:rsidR="004247F5" w:rsidRPr="006966B8">
        <w:t>t is appropriate to include disease management costs associated with treating secondary progressive multiple sclerosis</w:t>
      </w:r>
    </w:p>
    <w:p w14:paraId="41B73294" w14:textId="13E71D8D" w:rsidR="00041DE3" w:rsidRPr="006966B8" w:rsidRDefault="00FB5DC6" w:rsidP="00BA212C">
      <w:pPr>
        <w:pStyle w:val="Numberedlevel2text"/>
        <w:rPr>
          <w:lang w:val="en-GB"/>
        </w:rPr>
      </w:pPr>
      <w:r w:rsidRPr="006966B8">
        <w:rPr>
          <w:lang w:val="en-GB"/>
        </w:rPr>
        <w:t xml:space="preserve">The company’s original base case included direct medical disease management costs for each EDSS status score (the system used to classify the severity and progression of multiple sclerosis) </w:t>
      </w:r>
      <w:r w:rsidR="00041DE3" w:rsidRPr="006966B8">
        <w:rPr>
          <w:lang w:val="en-GB"/>
        </w:rPr>
        <w:t>but</w:t>
      </w:r>
      <w:r w:rsidRPr="006966B8">
        <w:rPr>
          <w:lang w:val="en-GB"/>
        </w:rPr>
        <w:t xml:space="preserve"> used the same disease management costs for </w:t>
      </w:r>
      <w:r w:rsidR="00C602F9" w:rsidRPr="006966B8">
        <w:rPr>
          <w:lang w:val="en-GB"/>
        </w:rPr>
        <w:t>each</w:t>
      </w:r>
      <w:r w:rsidRPr="006966B8">
        <w:rPr>
          <w:lang w:val="en-GB"/>
        </w:rPr>
        <w:t xml:space="preserve"> EDSS health </w:t>
      </w:r>
      <w:r w:rsidR="00C602F9" w:rsidRPr="006966B8">
        <w:rPr>
          <w:lang w:val="en-GB"/>
        </w:rPr>
        <w:t>state</w:t>
      </w:r>
      <w:r w:rsidR="00041DE3" w:rsidRPr="006966B8">
        <w:rPr>
          <w:lang w:val="en-GB"/>
        </w:rPr>
        <w:t>.</w:t>
      </w:r>
      <w:r w:rsidR="00C602F9" w:rsidRPr="006966B8">
        <w:rPr>
          <w:lang w:val="en-GB"/>
        </w:rPr>
        <w:t xml:space="preserve"> </w:t>
      </w:r>
      <w:r w:rsidR="00E20628" w:rsidRPr="006966B8">
        <w:rPr>
          <w:lang w:val="en-GB"/>
        </w:rPr>
        <w:t xml:space="preserve">The ERG </w:t>
      </w:r>
      <w:r w:rsidR="00AE4CB8">
        <w:rPr>
          <w:lang w:val="en-GB"/>
        </w:rPr>
        <w:t>commented</w:t>
      </w:r>
      <w:r w:rsidR="00E20628" w:rsidRPr="006966B8">
        <w:rPr>
          <w:lang w:val="en-GB"/>
        </w:rPr>
        <w:t xml:space="preserve"> that the economic analysis should include </w:t>
      </w:r>
      <w:r w:rsidR="00D04670" w:rsidRPr="006966B8">
        <w:rPr>
          <w:lang w:val="en-GB"/>
        </w:rPr>
        <w:t>different</w:t>
      </w:r>
      <w:r w:rsidR="00E20628" w:rsidRPr="006966B8">
        <w:rPr>
          <w:lang w:val="en-GB"/>
        </w:rPr>
        <w:t xml:space="preserve"> disease management costs for people with </w:t>
      </w:r>
      <w:r w:rsidR="006F0C19" w:rsidRPr="006966B8">
        <w:rPr>
          <w:lang w:val="en-GB"/>
        </w:rPr>
        <w:t>secondary progressive multiple sclerosis</w:t>
      </w:r>
      <w:r w:rsidR="00E20628" w:rsidRPr="006966B8">
        <w:rPr>
          <w:lang w:val="en-GB"/>
        </w:rPr>
        <w:t xml:space="preserve"> and </w:t>
      </w:r>
      <w:r w:rsidR="006F0C19" w:rsidRPr="006966B8">
        <w:rPr>
          <w:lang w:val="en-GB"/>
        </w:rPr>
        <w:t>relapsing–remitting multiple sclerosis</w:t>
      </w:r>
      <w:r w:rsidR="00FE7449" w:rsidRPr="006966B8">
        <w:rPr>
          <w:lang w:val="en-GB"/>
        </w:rPr>
        <w:t xml:space="preserve"> to </w:t>
      </w:r>
      <w:r w:rsidR="00C602F9" w:rsidRPr="006966B8">
        <w:rPr>
          <w:lang w:val="en-GB"/>
        </w:rPr>
        <w:t xml:space="preserve">better </w:t>
      </w:r>
      <w:r w:rsidR="00FE7449" w:rsidRPr="006966B8">
        <w:rPr>
          <w:lang w:val="en-GB"/>
        </w:rPr>
        <w:t xml:space="preserve">reflect </w:t>
      </w:r>
      <w:r w:rsidR="00D04670" w:rsidRPr="006966B8">
        <w:rPr>
          <w:lang w:val="en-GB"/>
        </w:rPr>
        <w:t xml:space="preserve">that </w:t>
      </w:r>
      <w:r w:rsidR="00FE7449" w:rsidRPr="006966B8">
        <w:rPr>
          <w:lang w:val="en-GB"/>
        </w:rPr>
        <w:t>t</w:t>
      </w:r>
      <w:r w:rsidR="00B867C6" w:rsidRPr="006966B8">
        <w:rPr>
          <w:lang w:val="en-GB"/>
        </w:rPr>
        <w:t>h</w:t>
      </w:r>
      <w:r w:rsidR="00856D05" w:rsidRPr="006966B8">
        <w:rPr>
          <w:lang w:val="en-GB"/>
        </w:rPr>
        <w:t xml:space="preserve">e </w:t>
      </w:r>
      <w:r w:rsidR="00FE7449" w:rsidRPr="006966B8">
        <w:rPr>
          <w:lang w:val="en-GB"/>
        </w:rPr>
        <w:t>costs of management and care change</w:t>
      </w:r>
      <w:r w:rsidR="00A70D5D" w:rsidRPr="006966B8">
        <w:rPr>
          <w:lang w:val="en-GB"/>
        </w:rPr>
        <w:t>s</w:t>
      </w:r>
      <w:r w:rsidR="00FE7449" w:rsidRPr="006966B8">
        <w:rPr>
          <w:lang w:val="en-GB"/>
        </w:rPr>
        <w:t xml:space="preserve"> over time. </w:t>
      </w:r>
      <w:r w:rsidR="00D04670" w:rsidRPr="006966B8">
        <w:rPr>
          <w:lang w:val="en-GB"/>
        </w:rPr>
        <w:t>After</w:t>
      </w:r>
      <w:r w:rsidR="00FE7449" w:rsidRPr="006966B8">
        <w:rPr>
          <w:lang w:val="en-GB"/>
        </w:rPr>
        <w:t xml:space="preserve"> technical engagement</w:t>
      </w:r>
      <w:r w:rsidR="00B867C6" w:rsidRPr="006966B8">
        <w:rPr>
          <w:lang w:val="en-GB"/>
        </w:rPr>
        <w:t xml:space="preserve">, </w:t>
      </w:r>
      <w:r w:rsidR="00FE7449" w:rsidRPr="006966B8">
        <w:rPr>
          <w:lang w:val="en-GB"/>
        </w:rPr>
        <w:t xml:space="preserve">the company agreed and updated </w:t>
      </w:r>
      <w:r w:rsidR="00C0355E" w:rsidRPr="006966B8">
        <w:rPr>
          <w:lang w:val="en-GB"/>
        </w:rPr>
        <w:t xml:space="preserve">its </w:t>
      </w:r>
      <w:r w:rsidR="00FE7449" w:rsidRPr="006966B8">
        <w:rPr>
          <w:lang w:val="en-GB"/>
        </w:rPr>
        <w:t>base case in line with the ERG</w:t>
      </w:r>
      <w:r w:rsidR="000C0C70" w:rsidRPr="006966B8">
        <w:rPr>
          <w:lang w:val="en-GB"/>
        </w:rPr>
        <w:t>’s</w:t>
      </w:r>
      <w:r w:rsidR="00FE7449" w:rsidRPr="006966B8">
        <w:rPr>
          <w:lang w:val="en-GB"/>
        </w:rPr>
        <w:t xml:space="preserve"> preferred </w:t>
      </w:r>
      <w:r w:rsidR="00041DE3" w:rsidRPr="006966B8">
        <w:rPr>
          <w:lang w:val="en-GB"/>
        </w:rPr>
        <w:t xml:space="preserve">assumptions. The committee </w:t>
      </w:r>
      <w:r w:rsidR="00D04670" w:rsidRPr="006966B8">
        <w:rPr>
          <w:lang w:val="en-GB"/>
        </w:rPr>
        <w:t xml:space="preserve">noted that </w:t>
      </w:r>
      <w:r w:rsidR="00B867C6" w:rsidRPr="006966B8">
        <w:rPr>
          <w:lang w:val="en-GB"/>
        </w:rPr>
        <w:t xml:space="preserve">including </w:t>
      </w:r>
      <w:r w:rsidR="00041DE3" w:rsidRPr="006966B8">
        <w:rPr>
          <w:lang w:val="en-GB"/>
        </w:rPr>
        <w:t xml:space="preserve">disease management costs specifically for people with </w:t>
      </w:r>
      <w:r w:rsidR="006F0C19" w:rsidRPr="006966B8">
        <w:rPr>
          <w:lang w:val="en-GB"/>
        </w:rPr>
        <w:t>secondary progressive multiple sclerosis</w:t>
      </w:r>
      <w:r w:rsidR="00041DE3" w:rsidRPr="006966B8">
        <w:rPr>
          <w:lang w:val="en-GB"/>
        </w:rPr>
        <w:t xml:space="preserve"> had a minor impact on the </w:t>
      </w:r>
      <w:r w:rsidR="004C72AB" w:rsidRPr="006966B8">
        <w:rPr>
          <w:lang w:val="en-GB"/>
        </w:rPr>
        <w:t>incremental cost-effectiveness ratio (</w:t>
      </w:r>
      <w:r w:rsidR="00041DE3" w:rsidRPr="006966B8">
        <w:rPr>
          <w:lang w:val="en-GB"/>
        </w:rPr>
        <w:t>ICER</w:t>
      </w:r>
      <w:r w:rsidR="004C72AB" w:rsidRPr="006966B8">
        <w:rPr>
          <w:lang w:val="en-GB"/>
        </w:rPr>
        <w:t>)</w:t>
      </w:r>
      <w:r w:rsidR="00D04670" w:rsidRPr="006966B8">
        <w:rPr>
          <w:lang w:val="en-GB"/>
        </w:rPr>
        <w:t>.</w:t>
      </w:r>
      <w:r w:rsidR="00041DE3" w:rsidRPr="006966B8">
        <w:rPr>
          <w:lang w:val="en-GB"/>
        </w:rPr>
        <w:t xml:space="preserve"> </w:t>
      </w:r>
      <w:r w:rsidR="00D04670" w:rsidRPr="006966B8">
        <w:rPr>
          <w:lang w:val="en-GB"/>
        </w:rPr>
        <w:t>But it</w:t>
      </w:r>
      <w:r w:rsidR="00041DE3" w:rsidRPr="006966B8">
        <w:rPr>
          <w:lang w:val="en-GB"/>
        </w:rPr>
        <w:t xml:space="preserve"> was satisfied </w:t>
      </w:r>
      <w:r w:rsidR="002F4D92">
        <w:rPr>
          <w:lang w:val="en-GB"/>
        </w:rPr>
        <w:t xml:space="preserve">that </w:t>
      </w:r>
      <w:r w:rsidR="00041DE3" w:rsidRPr="006966B8">
        <w:rPr>
          <w:lang w:val="en-GB"/>
        </w:rPr>
        <w:t xml:space="preserve">the company’s updated base case better reflected the natural history of </w:t>
      </w:r>
      <w:r w:rsidR="006F0C19" w:rsidRPr="006966B8">
        <w:rPr>
          <w:lang w:val="en-GB"/>
        </w:rPr>
        <w:t>multiple sclerosis</w:t>
      </w:r>
      <w:r w:rsidR="00041DE3" w:rsidRPr="006966B8">
        <w:rPr>
          <w:lang w:val="en-GB"/>
        </w:rPr>
        <w:t>.</w:t>
      </w:r>
    </w:p>
    <w:p w14:paraId="1C54A9A7" w14:textId="13EA4680" w:rsidR="003164CC" w:rsidRPr="006966B8" w:rsidRDefault="003164CC">
      <w:pPr>
        <w:pStyle w:val="Heading3"/>
      </w:pPr>
      <w:r w:rsidRPr="006966B8">
        <w:t>Annual relapse rates decrease as EDSS levels increase</w:t>
      </w:r>
    </w:p>
    <w:p w14:paraId="0B777F0F" w14:textId="62444316" w:rsidR="005E4AF6" w:rsidRPr="006966B8" w:rsidRDefault="00C2275B" w:rsidP="008D7B33">
      <w:pPr>
        <w:pStyle w:val="Numberedlevel2text"/>
        <w:rPr>
          <w:lang w:val="en-GB"/>
        </w:rPr>
      </w:pPr>
      <w:r w:rsidRPr="006966B8">
        <w:rPr>
          <w:lang w:val="en-GB"/>
        </w:rPr>
        <w:t xml:space="preserve">The values the company </w:t>
      </w:r>
      <w:r w:rsidR="00BA212C" w:rsidRPr="006966B8">
        <w:rPr>
          <w:lang w:val="en-GB"/>
        </w:rPr>
        <w:t xml:space="preserve">chose </w:t>
      </w:r>
      <w:r w:rsidRPr="006966B8">
        <w:rPr>
          <w:lang w:val="en-GB"/>
        </w:rPr>
        <w:t xml:space="preserve">in </w:t>
      </w:r>
      <w:r w:rsidR="00C0355E" w:rsidRPr="006966B8">
        <w:rPr>
          <w:lang w:val="en-GB"/>
        </w:rPr>
        <w:t xml:space="preserve">its </w:t>
      </w:r>
      <w:r w:rsidRPr="006966B8">
        <w:rPr>
          <w:lang w:val="en-GB"/>
        </w:rPr>
        <w:t xml:space="preserve">original base case </w:t>
      </w:r>
      <w:r w:rsidR="005E4AF6" w:rsidRPr="006966B8">
        <w:rPr>
          <w:lang w:val="en-GB"/>
        </w:rPr>
        <w:t>show that</w:t>
      </w:r>
      <w:r w:rsidRPr="006966B8">
        <w:rPr>
          <w:lang w:val="en-GB"/>
        </w:rPr>
        <w:t xml:space="preserve"> for </w:t>
      </w:r>
      <w:r w:rsidR="006F0C19" w:rsidRPr="006966B8">
        <w:rPr>
          <w:lang w:val="en-GB"/>
        </w:rPr>
        <w:t>relapsing–remitting multiple sclerosis</w:t>
      </w:r>
      <w:r w:rsidR="005E4AF6" w:rsidRPr="006966B8">
        <w:rPr>
          <w:lang w:val="en-GB"/>
        </w:rPr>
        <w:t xml:space="preserve"> there is a steady decrease in annual relapse rates</w:t>
      </w:r>
      <w:r w:rsidR="00920A5F" w:rsidRPr="006966B8">
        <w:rPr>
          <w:lang w:val="en-GB"/>
        </w:rPr>
        <w:t>.</w:t>
      </w:r>
      <w:r w:rsidRPr="006966B8">
        <w:rPr>
          <w:lang w:val="en-GB"/>
        </w:rPr>
        <w:t xml:space="preserve"> </w:t>
      </w:r>
      <w:r w:rsidR="00920A5F" w:rsidRPr="006966B8">
        <w:rPr>
          <w:lang w:val="en-GB"/>
        </w:rPr>
        <w:t>F</w:t>
      </w:r>
      <w:r w:rsidRPr="006966B8">
        <w:rPr>
          <w:lang w:val="en-GB"/>
        </w:rPr>
        <w:t xml:space="preserve">or </w:t>
      </w:r>
      <w:r w:rsidR="006343D4" w:rsidRPr="006966B8">
        <w:rPr>
          <w:lang w:val="en-GB"/>
        </w:rPr>
        <w:t>secondary progressive multiple sclerosis,</w:t>
      </w:r>
      <w:r w:rsidR="005E4AF6" w:rsidRPr="006966B8">
        <w:rPr>
          <w:lang w:val="en-GB"/>
        </w:rPr>
        <w:t xml:space="preserve"> relapse</w:t>
      </w:r>
      <w:r w:rsidRPr="006966B8">
        <w:rPr>
          <w:lang w:val="en-GB"/>
        </w:rPr>
        <w:t xml:space="preserve"> </w:t>
      </w:r>
      <w:r w:rsidR="00920A5F" w:rsidRPr="006966B8">
        <w:rPr>
          <w:lang w:val="en-GB"/>
        </w:rPr>
        <w:t>happened</w:t>
      </w:r>
      <w:r w:rsidRPr="006966B8">
        <w:rPr>
          <w:lang w:val="en-GB"/>
        </w:rPr>
        <w:t xml:space="preserve"> more </w:t>
      </w:r>
      <w:r w:rsidR="00920A5F" w:rsidRPr="006966B8">
        <w:rPr>
          <w:lang w:val="en-GB"/>
        </w:rPr>
        <w:t>often</w:t>
      </w:r>
      <w:r w:rsidRPr="006966B8">
        <w:rPr>
          <w:lang w:val="en-GB"/>
        </w:rPr>
        <w:t xml:space="preserve"> at </w:t>
      </w:r>
      <w:r w:rsidR="00920A5F" w:rsidRPr="006966B8">
        <w:rPr>
          <w:lang w:val="en-GB"/>
        </w:rPr>
        <w:t>higher</w:t>
      </w:r>
      <w:r w:rsidRPr="006966B8">
        <w:rPr>
          <w:lang w:val="en-GB"/>
        </w:rPr>
        <w:t xml:space="preserve"> EDSS </w:t>
      </w:r>
      <w:r w:rsidR="00920A5F" w:rsidRPr="006966B8">
        <w:rPr>
          <w:lang w:val="en-GB"/>
        </w:rPr>
        <w:t>scores</w:t>
      </w:r>
      <w:r w:rsidR="005E4AF6" w:rsidRPr="006966B8">
        <w:rPr>
          <w:lang w:val="en-GB"/>
        </w:rPr>
        <w:t xml:space="preserve"> </w:t>
      </w:r>
      <w:r w:rsidR="00920A5F" w:rsidRPr="006966B8">
        <w:rPr>
          <w:lang w:val="en-GB"/>
        </w:rPr>
        <w:t>than lower</w:t>
      </w:r>
      <w:r w:rsidR="005E4AF6" w:rsidRPr="006966B8">
        <w:rPr>
          <w:lang w:val="en-GB"/>
        </w:rPr>
        <w:t xml:space="preserve"> EDSS </w:t>
      </w:r>
      <w:r w:rsidR="00920A5F" w:rsidRPr="006966B8">
        <w:rPr>
          <w:lang w:val="en-GB"/>
        </w:rPr>
        <w:t>scores</w:t>
      </w:r>
      <w:r w:rsidR="005E4AF6" w:rsidRPr="006966B8">
        <w:rPr>
          <w:lang w:val="en-GB"/>
        </w:rPr>
        <w:t xml:space="preserve">. The ERG preferred an </w:t>
      </w:r>
      <w:r w:rsidR="00245B0D" w:rsidRPr="006966B8">
        <w:rPr>
          <w:lang w:val="en-GB"/>
        </w:rPr>
        <w:t xml:space="preserve">alternative </w:t>
      </w:r>
      <w:r w:rsidR="005E4AF6" w:rsidRPr="006966B8">
        <w:rPr>
          <w:lang w:val="en-GB"/>
        </w:rPr>
        <w:t>approach</w:t>
      </w:r>
      <w:r w:rsidR="00920A5F" w:rsidRPr="006966B8">
        <w:rPr>
          <w:lang w:val="en-GB"/>
        </w:rPr>
        <w:t xml:space="preserve">, decreasing </w:t>
      </w:r>
      <w:r w:rsidR="005E4AF6" w:rsidRPr="006966B8">
        <w:rPr>
          <w:lang w:val="en-GB"/>
        </w:rPr>
        <w:t>annual relapse rates as EDSS levels increase</w:t>
      </w:r>
      <w:r w:rsidRPr="006966B8">
        <w:rPr>
          <w:lang w:val="en-GB"/>
        </w:rPr>
        <w:t xml:space="preserve">. </w:t>
      </w:r>
      <w:r w:rsidR="001A5A5D" w:rsidRPr="006966B8">
        <w:rPr>
          <w:lang w:val="en-GB"/>
        </w:rPr>
        <w:t xml:space="preserve">After </w:t>
      </w:r>
      <w:r w:rsidR="003164CC" w:rsidRPr="006966B8">
        <w:rPr>
          <w:lang w:val="en-GB"/>
        </w:rPr>
        <w:t xml:space="preserve">technical </w:t>
      </w:r>
      <w:r w:rsidR="005C45B7" w:rsidRPr="006966B8">
        <w:rPr>
          <w:lang w:val="en-GB"/>
        </w:rPr>
        <w:t>engagement,</w:t>
      </w:r>
      <w:r w:rsidR="003164CC" w:rsidRPr="006966B8">
        <w:rPr>
          <w:lang w:val="en-GB"/>
        </w:rPr>
        <w:t xml:space="preserve"> the company agreed with the approach taken by the ERG and updated </w:t>
      </w:r>
      <w:r w:rsidR="00C0355E" w:rsidRPr="006966B8">
        <w:rPr>
          <w:lang w:val="en-GB"/>
        </w:rPr>
        <w:t xml:space="preserve">its </w:t>
      </w:r>
      <w:r w:rsidR="003164CC" w:rsidRPr="006966B8">
        <w:rPr>
          <w:lang w:val="en-GB"/>
        </w:rPr>
        <w:t>base case accordingly. The committee heard from the clinical experts that</w:t>
      </w:r>
      <w:r w:rsidR="001A5A5D" w:rsidRPr="006966B8">
        <w:rPr>
          <w:lang w:val="en-GB"/>
        </w:rPr>
        <w:t>,</w:t>
      </w:r>
      <w:r w:rsidR="003164CC" w:rsidRPr="006966B8">
        <w:rPr>
          <w:lang w:val="en-GB"/>
        </w:rPr>
        <w:t xml:space="preserve"> </w:t>
      </w:r>
      <w:r w:rsidR="001A5A5D" w:rsidRPr="006966B8">
        <w:rPr>
          <w:lang w:val="en-GB"/>
        </w:rPr>
        <w:t>because of</w:t>
      </w:r>
      <w:r w:rsidR="003164CC" w:rsidRPr="006966B8">
        <w:rPr>
          <w:lang w:val="en-GB"/>
        </w:rPr>
        <w:t xml:space="preserve"> </w:t>
      </w:r>
      <w:r w:rsidR="00856D05" w:rsidRPr="006966B8">
        <w:rPr>
          <w:lang w:val="en-GB"/>
        </w:rPr>
        <w:t xml:space="preserve">the </w:t>
      </w:r>
      <w:r w:rsidR="003164CC" w:rsidRPr="006966B8">
        <w:rPr>
          <w:lang w:val="en-GB"/>
        </w:rPr>
        <w:t xml:space="preserve">natural course of </w:t>
      </w:r>
      <w:r w:rsidR="006F0C19" w:rsidRPr="006966B8">
        <w:rPr>
          <w:lang w:val="en-GB"/>
        </w:rPr>
        <w:t>multiple sclerosis</w:t>
      </w:r>
      <w:r w:rsidR="003164CC" w:rsidRPr="006966B8">
        <w:rPr>
          <w:lang w:val="en-GB"/>
        </w:rPr>
        <w:t xml:space="preserve">, </w:t>
      </w:r>
      <w:r w:rsidR="001A5A5D" w:rsidRPr="006966B8">
        <w:rPr>
          <w:lang w:val="en-GB"/>
        </w:rPr>
        <w:t>relapse rates were unlikely to increase</w:t>
      </w:r>
      <w:r w:rsidR="003164CC" w:rsidRPr="006966B8">
        <w:rPr>
          <w:lang w:val="en-GB"/>
        </w:rPr>
        <w:t xml:space="preserve"> as EDSS score increased</w:t>
      </w:r>
      <w:r w:rsidR="00BA212C" w:rsidRPr="006966B8">
        <w:rPr>
          <w:lang w:val="en-GB"/>
        </w:rPr>
        <w:t xml:space="preserve">. The committee concluded that </w:t>
      </w:r>
      <w:r w:rsidR="003164CC" w:rsidRPr="006966B8">
        <w:rPr>
          <w:lang w:val="en-GB"/>
        </w:rPr>
        <w:t>the approach taken in the company’s updated analyses</w:t>
      </w:r>
      <w:r w:rsidR="00BA212C" w:rsidRPr="006966B8">
        <w:rPr>
          <w:lang w:val="en-GB"/>
        </w:rPr>
        <w:t xml:space="preserve"> was appropriate</w:t>
      </w:r>
      <w:r w:rsidR="003164CC" w:rsidRPr="006966B8">
        <w:rPr>
          <w:lang w:val="en-GB"/>
        </w:rPr>
        <w:t>.</w:t>
      </w:r>
    </w:p>
    <w:p w14:paraId="36F9CBB1" w14:textId="14022A19" w:rsidR="00643582" w:rsidRPr="006966B8" w:rsidRDefault="00B47450" w:rsidP="0073007E">
      <w:pPr>
        <w:pStyle w:val="Heading3"/>
      </w:pPr>
      <w:r w:rsidRPr="006966B8">
        <w:lastRenderedPageBreak/>
        <w:t xml:space="preserve">The probability of progressing to </w:t>
      </w:r>
      <w:r w:rsidR="006F0C19" w:rsidRPr="006966B8">
        <w:t>secondary progressive multiple sclerosis</w:t>
      </w:r>
      <w:r w:rsidRPr="006966B8">
        <w:t xml:space="preserve"> should </w:t>
      </w:r>
      <w:r w:rsidR="00BA212C" w:rsidRPr="006966B8">
        <w:t>only</w:t>
      </w:r>
      <w:r w:rsidR="00086025" w:rsidRPr="006966B8">
        <w:t xml:space="preserve"> </w:t>
      </w:r>
      <w:r w:rsidR="00EA3CB6" w:rsidRPr="006966B8">
        <w:t xml:space="preserve">take account of active forms of relapsing </w:t>
      </w:r>
      <w:r w:rsidR="006F0C19" w:rsidRPr="006966B8">
        <w:t>multiple sclerosis</w:t>
      </w:r>
    </w:p>
    <w:p w14:paraId="1C58E872" w14:textId="1A36C7E3" w:rsidR="00EC1D99" w:rsidRPr="006966B8" w:rsidRDefault="008561C5" w:rsidP="008D7B33">
      <w:pPr>
        <w:pStyle w:val="Numberedlevel2text"/>
        <w:rPr>
          <w:lang w:val="en-GB"/>
        </w:rPr>
      </w:pPr>
      <w:r w:rsidRPr="006966B8">
        <w:rPr>
          <w:lang w:val="en-GB"/>
        </w:rPr>
        <w:t xml:space="preserve">The company’s economic model </w:t>
      </w:r>
      <w:r w:rsidR="006C4A55" w:rsidRPr="006966B8">
        <w:rPr>
          <w:lang w:val="en-GB"/>
        </w:rPr>
        <w:t xml:space="preserve">used the EDSS scale to </w:t>
      </w:r>
      <w:r w:rsidRPr="006966B8">
        <w:rPr>
          <w:lang w:val="en-GB"/>
        </w:rPr>
        <w:t>show how people move</w:t>
      </w:r>
      <w:r w:rsidR="00C35C8E" w:rsidRPr="006966B8">
        <w:rPr>
          <w:lang w:val="en-GB"/>
        </w:rPr>
        <w:t xml:space="preserve"> </w:t>
      </w:r>
      <w:r w:rsidRPr="006966B8">
        <w:rPr>
          <w:lang w:val="en-GB"/>
        </w:rPr>
        <w:t>between the different health states</w:t>
      </w:r>
      <w:r w:rsidR="006C4A55" w:rsidRPr="006966B8">
        <w:rPr>
          <w:lang w:val="en-GB"/>
        </w:rPr>
        <w:t>:</w:t>
      </w:r>
      <w:r w:rsidR="008D7B33" w:rsidRPr="006966B8">
        <w:rPr>
          <w:lang w:val="en-GB"/>
        </w:rPr>
        <w:t xml:space="preserve"> from no disability </w:t>
      </w:r>
      <w:r w:rsidR="005538DB" w:rsidRPr="006966B8">
        <w:rPr>
          <w:lang w:val="en-GB"/>
        </w:rPr>
        <w:t>from</w:t>
      </w:r>
      <w:r w:rsidR="006C4A55" w:rsidRPr="006966B8">
        <w:rPr>
          <w:lang w:val="en-GB"/>
        </w:rPr>
        <w:t xml:space="preserve"> their </w:t>
      </w:r>
      <w:r w:rsidR="005538DB" w:rsidRPr="006966B8">
        <w:rPr>
          <w:lang w:val="en-GB"/>
        </w:rPr>
        <w:t xml:space="preserve">multiple sclerosis </w:t>
      </w:r>
      <w:r w:rsidR="008D7B33" w:rsidRPr="006966B8">
        <w:rPr>
          <w:lang w:val="en-GB"/>
        </w:rPr>
        <w:t xml:space="preserve">to mild, </w:t>
      </w:r>
      <w:r w:rsidR="0096776C" w:rsidRPr="006966B8">
        <w:rPr>
          <w:lang w:val="en-GB"/>
        </w:rPr>
        <w:t>moderate,</w:t>
      </w:r>
      <w:r w:rsidR="008D7B33" w:rsidRPr="006966B8">
        <w:rPr>
          <w:lang w:val="en-GB"/>
        </w:rPr>
        <w:t xml:space="preserve"> and severe </w:t>
      </w:r>
      <w:r w:rsidR="005538DB" w:rsidRPr="006966B8">
        <w:rPr>
          <w:lang w:val="en-GB"/>
        </w:rPr>
        <w:t>disability</w:t>
      </w:r>
      <w:r w:rsidR="00C35C8E" w:rsidRPr="006966B8">
        <w:rPr>
          <w:lang w:val="en-GB"/>
        </w:rPr>
        <w:t xml:space="preserve">. </w:t>
      </w:r>
      <w:r w:rsidR="00562624" w:rsidRPr="006966B8">
        <w:rPr>
          <w:lang w:val="en-GB"/>
        </w:rPr>
        <w:t xml:space="preserve">Because there were </w:t>
      </w:r>
      <w:r w:rsidR="007C69B9" w:rsidRPr="006966B8">
        <w:rPr>
          <w:lang w:val="en-GB"/>
        </w:rPr>
        <w:t xml:space="preserve">no </w:t>
      </w:r>
      <w:r w:rsidR="00CA5E94" w:rsidRPr="006966B8">
        <w:rPr>
          <w:lang w:val="en-GB"/>
        </w:rPr>
        <w:t>trial data</w:t>
      </w:r>
      <w:r w:rsidR="00D500EE" w:rsidRPr="006966B8">
        <w:rPr>
          <w:lang w:val="en-GB"/>
        </w:rPr>
        <w:t xml:space="preserve"> to inform the probability of progressing from one health state to another</w:t>
      </w:r>
      <w:r w:rsidR="00CA5E94" w:rsidRPr="006966B8">
        <w:rPr>
          <w:lang w:val="en-GB"/>
        </w:rPr>
        <w:t>, t</w:t>
      </w:r>
      <w:r w:rsidR="00692607" w:rsidRPr="006966B8">
        <w:rPr>
          <w:lang w:val="en-GB"/>
        </w:rPr>
        <w:t xml:space="preserve">he company </w:t>
      </w:r>
      <w:r w:rsidR="00562624" w:rsidRPr="006966B8">
        <w:rPr>
          <w:lang w:val="en-GB"/>
        </w:rPr>
        <w:t>used</w:t>
      </w:r>
      <w:r w:rsidR="00692607" w:rsidRPr="006966B8">
        <w:rPr>
          <w:lang w:val="en-GB"/>
        </w:rPr>
        <w:t xml:space="preserve"> transition matrices from the </w:t>
      </w:r>
      <w:r w:rsidR="00EC1D99" w:rsidRPr="006966B8">
        <w:rPr>
          <w:lang w:val="en-GB"/>
        </w:rPr>
        <w:t xml:space="preserve">British </w:t>
      </w:r>
      <w:r w:rsidR="00444746" w:rsidRPr="006966B8">
        <w:rPr>
          <w:lang w:val="en-GB"/>
        </w:rPr>
        <w:t>Columbia</w:t>
      </w:r>
      <w:r w:rsidR="00692607" w:rsidRPr="006966B8">
        <w:rPr>
          <w:lang w:val="en-GB"/>
        </w:rPr>
        <w:t xml:space="preserve"> longitudinal </w:t>
      </w:r>
      <w:r w:rsidR="006F0C19" w:rsidRPr="006966B8">
        <w:rPr>
          <w:lang w:val="en-GB"/>
        </w:rPr>
        <w:t>multiple sclerosis</w:t>
      </w:r>
      <w:r w:rsidR="00692607" w:rsidRPr="006966B8">
        <w:rPr>
          <w:lang w:val="en-GB"/>
        </w:rPr>
        <w:t xml:space="preserve"> dataset</w:t>
      </w:r>
      <w:r w:rsidR="00CA5E94" w:rsidRPr="006966B8">
        <w:rPr>
          <w:lang w:val="en-GB"/>
        </w:rPr>
        <w:t xml:space="preserve">. </w:t>
      </w:r>
      <w:r w:rsidR="00692607" w:rsidRPr="006966B8">
        <w:rPr>
          <w:lang w:val="en-GB"/>
        </w:rPr>
        <w:t xml:space="preserve">The ERG </w:t>
      </w:r>
      <w:r w:rsidR="00EC1D99" w:rsidRPr="006966B8">
        <w:rPr>
          <w:lang w:val="en-GB"/>
        </w:rPr>
        <w:t xml:space="preserve">preferred </w:t>
      </w:r>
      <w:r w:rsidR="00562624" w:rsidRPr="006966B8">
        <w:rPr>
          <w:lang w:val="en-GB"/>
        </w:rPr>
        <w:t xml:space="preserve">to use </w:t>
      </w:r>
      <w:r w:rsidR="00EC1D99" w:rsidRPr="006966B8">
        <w:rPr>
          <w:lang w:val="en-GB"/>
        </w:rPr>
        <w:t xml:space="preserve">transition matrices </w:t>
      </w:r>
      <w:r w:rsidR="00444746" w:rsidRPr="006966B8">
        <w:rPr>
          <w:lang w:val="en-GB"/>
        </w:rPr>
        <w:t xml:space="preserve">from the London Ontario </w:t>
      </w:r>
      <w:r w:rsidR="006F0C19" w:rsidRPr="006966B8">
        <w:rPr>
          <w:lang w:val="en-GB"/>
        </w:rPr>
        <w:t>multiple sclerosis</w:t>
      </w:r>
      <w:r w:rsidR="00444746" w:rsidRPr="006966B8">
        <w:rPr>
          <w:lang w:val="en-GB"/>
        </w:rPr>
        <w:t xml:space="preserve"> dataset</w:t>
      </w:r>
      <w:r w:rsidR="00284FB7" w:rsidRPr="006966B8">
        <w:rPr>
          <w:lang w:val="en-GB"/>
        </w:rPr>
        <w:t xml:space="preserve">. </w:t>
      </w:r>
      <w:r w:rsidR="00562624" w:rsidRPr="006966B8">
        <w:rPr>
          <w:lang w:val="en-GB"/>
        </w:rPr>
        <w:t>B</w:t>
      </w:r>
      <w:r w:rsidR="00EC1D99" w:rsidRPr="006966B8">
        <w:rPr>
          <w:lang w:val="en-GB"/>
        </w:rPr>
        <w:t xml:space="preserve">oth </w:t>
      </w:r>
      <w:r w:rsidR="00284FB7" w:rsidRPr="006966B8">
        <w:rPr>
          <w:lang w:val="en-GB"/>
        </w:rPr>
        <w:t xml:space="preserve">data sources </w:t>
      </w:r>
      <w:r w:rsidR="00EC1D99" w:rsidRPr="006966B8">
        <w:rPr>
          <w:lang w:val="en-GB"/>
        </w:rPr>
        <w:t xml:space="preserve">had been accepted previously by NICE technology appraisal </w:t>
      </w:r>
      <w:r w:rsidR="005C45B7" w:rsidRPr="006966B8">
        <w:rPr>
          <w:lang w:val="en-GB"/>
        </w:rPr>
        <w:t>committees</w:t>
      </w:r>
      <w:r w:rsidR="00EC1D99" w:rsidRPr="006966B8">
        <w:rPr>
          <w:lang w:val="en-GB"/>
        </w:rPr>
        <w:t xml:space="preserve">. </w:t>
      </w:r>
      <w:r w:rsidR="00856D05" w:rsidRPr="006966B8">
        <w:rPr>
          <w:lang w:val="en-GB"/>
        </w:rPr>
        <w:t xml:space="preserve">The company </w:t>
      </w:r>
      <w:r w:rsidR="00562624" w:rsidRPr="006966B8">
        <w:rPr>
          <w:lang w:val="en-GB"/>
        </w:rPr>
        <w:t>explained that it used the British Columbia dataset because</w:t>
      </w:r>
      <w:r w:rsidR="005538DB" w:rsidRPr="006966B8">
        <w:rPr>
          <w:lang w:val="en-GB"/>
        </w:rPr>
        <w:t xml:space="preserve"> </w:t>
      </w:r>
      <w:r w:rsidR="00856D05" w:rsidRPr="006966B8">
        <w:rPr>
          <w:lang w:val="en-GB"/>
        </w:rPr>
        <w:t xml:space="preserve">the transition probabilities used by the </w:t>
      </w:r>
      <w:r w:rsidR="00284FB7" w:rsidRPr="006966B8">
        <w:rPr>
          <w:lang w:val="en-GB"/>
        </w:rPr>
        <w:t xml:space="preserve">London Ontario dataset had not adjusted for active or benign forms of relapsing </w:t>
      </w:r>
      <w:r w:rsidR="006F0C19" w:rsidRPr="006966B8">
        <w:rPr>
          <w:lang w:val="en-GB"/>
        </w:rPr>
        <w:t>multiple sclerosis</w:t>
      </w:r>
      <w:r w:rsidR="00562624" w:rsidRPr="006966B8">
        <w:rPr>
          <w:lang w:val="en-GB"/>
        </w:rPr>
        <w:t>.</w:t>
      </w:r>
      <w:r w:rsidR="00284FB7" w:rsidRPr="006966B8">
        <w:rPr>
          <w:lang w:val="en-GB"/>
        </w:rPr>
        <w:t xml:space="preserve"> </w:t>
      </w:r>
      <w:r w:rsidR="00562624" w:rsidRPr="006966B8">
        <w:rPr>
          <w:lang w:val="en-GB"/>
        </w:rPr>
        <w:t>T</w:t>
      </w:r>
      <w:r w:rsidR="00284FB7" w:rsidRPr="006966B8">
        <w:rPr>
          <w:lang w:val="en-GB"/>
        </w:rPr>
        <w:t xml:space="preserve">he British Columbia </w:t>
      </w:r>
      <w:r w:rsidR="001F3DC5" w:rsidRPr="006966B8">
        <w:rPr>
          <w:lang w:val="en-GB"/>
        </w:rPr>
        <w:t xml:space="preserve">dataset </w:t>
      </w:r>
      <w:r w:rsidR="00284FB7" w:rsidRPr="006966B8">
        <w:rPr>
          <w:lang w:val="en-GB"/>
        </w:rPr>
        <w:t xml:space="preserve">excluded people with less progressive relapsing </w:t>
      </w:r>
      <w:r w:rsidR="006F0C19" w:rsidRPr="006966B8">
        <w:rPr>
          <w:lang w:val="en-GB"/>
        </w:rPr>
        <w:t>multiple sclerosis</w:t>
      </w:r>
      <w:r w:rsidR="00284FB7" w:rsidRPr="006966B8">
        <w:rPr>
          <w:lang w:val="en-GB"/>
        </w:rPr>
        <w:t xml:space="preserve"> and therefore fully represented eligible </w:t>
      </w:r>
      <w:r w:rsidR="009845F7" w:rsidRPr="006966B8">
        <w:rPr>
          <w:lang w:val="en-GB"/>
        </w:rPr>
        <w:t>people</w:t>
      </w:r>
      <w:r w:rsidR="00284FB7" w:rsidRPr="006966B8">
        <w:rPr>
          <w:lang w:val="en-GB"/>
        </w:rPr>
        <w:t xml:space="preserve">. </w:t>
      </w:r>
      <w:r w:rsidR="00EC1D99" w:rsidRPr="006966B8">
        <w:rPr>
          <w:lang w:val="en-GB"/>
        </w:rPr>
        <w:t>Th</w:t>
      </w:r>
      <w:r w:rsidR="00284FB7" w:rsidRPr="006966B8">
        <w:rPr>
          <w:lang w:val="en-GB"/>
        </w:rPr>
        <w:t xml:space="preserve">e committee </w:t>
      </w:r>
      <w:r w:rsidR="00856D05" w:rsidRPr="006966B8">
        <w:rPr>
          <w:lang w:val="en-GB"/>
        </w:rPr>
        <w:t xml:space="preserve">heard from the clinical experts that it was uncommon for people with </w:t>
      </w:r>
      <w:r w:rsidR="006F0C19" w:rsidRPr="006966B8">
        <w:rPr>
          <w:lang w:val="en-GB"/>
        </w:rPr>
        <w:t>secondary progressive multiple sclerosis</w:t>
      </w:r>
      <w:r w:rsidR="00856D05" w:rsidRPr="006966B8">
        <w:rPr>
          <w:lang w:val="en-GB"/>
        </w:rPr>
        <w:t xml:space="preserve"> disease symptoms to improv</w:t>
      </w:r>
      <w:r w:rsidR="00DA785C" w:rsidRPr="006966B8">
        <w:rPr>
          <w:lang w:val="en-GB"/>
        </w:rPr>
        <w:t>e,</w:t>
      </w:r>
      <w:r w:rsidR="00A34641" w:rsidRPr="006966B8">
        <w:rPr>
          <w:lang w:val="en-GB"/>
        </w:rPr>
        <w:t xml:space="preserve"> </w:t>
      </w:r>
      <w:r w:rsidR="00BA212C" w:rsidRPr="006966B8">
        <w:rPr>
          <w:lang w:val="en-GB"/>
        </w:rPr>
        <w:t xml:space="preserve">but </w:t>
      </w:r>
      <w:r w:rsidR="00DA785C" w:rsidRPr="006966B8">
        <w:rPr>
          <w:lang w:val="en-GB"/>
        </w:rPr>
        <w:t>noted the alternative sources had a minimal impact on cost</w:t>
      </w:r>
      <w:r w:rsidR="00F93CA2" w:rsidRPr="006966B8">
        <w:rPr>
          <w:lang w:val="en-GB"/>
        </w:rPr>
        <w:t xml:space="preserve"> </w:t>
      </w:r>
      <w:r w:rsidR="00DA785C" w:rsidRPr="006966B8">
        <w:rPr>
          <w:lang w:val="en-GB"/>
        </w:rPr>
        <w:t>effectiveness</w:t>
      </w:r>
      <w:r w:rsidR="00BA212C" w:rsidRPr="006966B8">
        <w:rPr>
          <w:lang w:val="en-GB"/>
        </w:rPr>
        <w:t xml:space="preserve">. The committee </w:t>
      </w:r>
      <w:r w:rsidR="00444746" w:rsidRPr="006966B8">
        <w:rPr>
          <w:lang w:val="en-GB"/>
        </w:rPr>
        <w:t xml:space="preserve">concluded </w:t>
      </w:r>
      <w:r w:rsidR="00BA212C" w:rsidRPr="006966B8">
        <w:rPr>
          <w:lang w:val="en-GB"/>
        </w:rPr>
        <w:t xml:space="preserve">that in this case the probability of progressing to </w:t>
      </w:r>
      <w:r w:rsidR="006F0C19" w:rsidRPr="006966B8">
        <w:rPr>
          <w:lang w:val="en-GB"/>
        </w:rPr>
        <w:t>secondary progressive multiple sclerosis</w:t>
      </w:r>
      <w:r w:rsidR="00BA212C" w:rsidRPr="006966B8">
        <w:rPr>
          <w:lang w:val="en-GB"/>
        </w:rPr>
        <w:t xml:space="preserve"> should take account of</w:t>
      </w:r>
      <w:r w:rsidR="00A34641" w:rsidRPr="006966B8">
        <w:rPr>
          <w:lang w:val="en-GB"/>
        </w:rPr>
        <w:t xml:space="preserve"> </w:t>
      </w:r>
      <w:r w:rsidR="0007701D" w:rsidRPr="006966B8">
        <w:rPr>
          <w:lang w:val="en-GB"/>
        </w:rPr>
        <w:t xml:space="preserve">only </w:t>
      </w:r>
      <w:r w:rsidR="00BA212C" w:rsidRPr="006966B8">
        <w:rPr>
          <w:lang w:val="en-GB"/>
        </w:rPr>
        <w:t xml:space="preserve">active forms of relapsing </w:t>
      </w:r>
      <w:r w:rsidR="006F0C19" w:rsidRPr="006966B8">
        <w:rPr>
          <w:lang w:val="en-GB"/>
        </w:rPr>
        <w:t>multiple sclerosis</w:t>
      </w:r>
      <w:r w:rsidR="00116BEA" w:rsidRPr="006966B8">
        <w:rPr>
          <w:lang w:val="en-GB"/>
        </w:rPr>
        <w:t>.</w:t>
      </w:r>
    </w:p>
    <w:p w14:paraId="0EDAC546" w14:textId="73669268" w:rsidR="00E35CC7" w:rsidRPr="006966B8" w:rsidRDefault="003C743E" w:rsidP="00746C7D">
      <w:pPr>
        <w:pStyle w:val="Heading2"/>
      </w:pPr>
      <w:r w:rsidRPr="006966B8">
        <w:t>H</w:t>
      </w:r>
      <w:r w:rsidR="00E35CC7" w:rsidRPr="006966B8">
        <w:t>ealth state utility values</w:t>
      </w:r>
    </w:p>
    <w:p w14:paraId="6394A40D" w14:textId="08A79505" w:rsidR="00E35CC7" w:rsidRPr="006966B8" w:rsidRDefault="00A00150" w:rsidP="00E35CC7">
      <w:pPr>
        <w:pStyle w:val="Heading3"/>
      </w:pPr>
      <w:r w:rsidRPr="006966B8">
        <w:t>Quality of life reduce</w:t>
      </w:r>
      <w:r w:rsidR="00562624" w:rsidRPr="006966B8">
        <w:t>s</w:t>
      </w:r>
      <w:r w:rsidRPr="006966B8">
        <w:t xml:space="preserve"> as disability progresses</w:t>
      </w:r>
    </w:p>
    <w:p w14:paraId="0E4BBF12" w14:textId="3DEBB619" w:rsidR="00DA785C" w:rsidRPr="006966B8" w:rsidRDefault="00562624" w:rsidP="00DA785C">
      <w:pPr>
        <w:pStyle w:val="Numberedlevel2text"/>
        <w:rPr>
          <w:lang w:val="en-GB"/>
        </w:rPr>
      </w:pPr>
      <w:r w:rsidRPr="006966B8">
        <w:rPr>
          <w:lang w:val="en-GB"/>
        </w:rPr>
        <w:t>When</w:t>
      </w:r>
      <w:r w:rsidR="00DA785C" w:rsidRPr="006966B8">
        <w:rPr>
          <w:lang w:val="en-GB"/>
        </w:rPr>
        <w:t xml:space="preserve"> </w:t>
      </w:r>
      <w:r w:rsidR="006840F9" w:rsidRPr="006966B8">
        <w:rPr>
          <w:lang w:val="en-GB"/>
        </w:rPr>
        <w:t xml:space="preserve">direct </w:t>
      </w:r>
      <w:r w:rsidR="00DA785C" w:rsidRPr="006966B8">
        <w:rPr>
          <w:lang w:val="en-GB"/>
        </w:rPr>
        <w:t xml:space="preserve">trial data </w:t>
      </w:r>
      <w:r w:rsidRPr="006966B8">
        <w:rPr>
          <w:lang w:val="en-GB"/>
        </w:rPr>
        <w:t>were</w:t>
      </w:r>
      <w:r w:rsidR="006840F9" w:rsidRPr="006966B8">
        <w:rPr>
          <w:lang w:val="en-GB"/>
        </w:rPr>
        <w:t xml:space="preserve"> not available </w:t>
      </w:r>
      <w:r w:rsidR="00DA785C" w:rsidRPr="006966B8">
        <w:rPr>
          <w:lang w:val="en-GB"/>
        </w:rPr>
        <w:t>for</w:t>
      </w:r>
      <w:r w:rsidR="006840F9" w:rsidRPr="006966B8">
        <w:rPr>
          <w:lang w:val="en-GB"/>
        </w:rPr>
        <w:t xml:space="preserve"> </w:t>
      </w:r>
      <w:r w:rsidR="00DA785C" w:rsidRPr="006966B8">
        <w:rPr>
          <w:lang w:val="en-GB"/>
        </w:rPr>
        <w:t xml:space="preserve">health state utility values, the company </w:t>
      </w:r>
      <w:r w:rsidR="00DB716B" w:rsidRPr="006966B8">
        <w:rPr>
          <w:lang w:val="en-GB"/>
        </w:rPr>
        <w:t>used</w:t>
      </w:r>
      <w:r w:rsidR="006840F9" w:rsidRPr="006966B8">
        <w:rPr>
          <w:rFonts w:cs="Arial"/>
          <w:szCs w:val="22"/>
          <w:lang w:val="en-GB"/>
        </w:rPr>
        <w:t xml:space="preserve"> data from alternative source</w:t>
      </w:r>
      <w:r w:rsidRPr="006966B8">
        <w:rPr>
          <w:rFonts w:cs="Arial"/>
          <w:szCs w:val="22"/>
          <w:lang w:val="en-GB"/>
        </w:rPr>
        <w:t>s</w:t>
      </w:r>
      <w:r w:rsidR="006840F9" w:rsidRPr="006966B8">
        <w:rPr>
          <w:rFonts w:cs="Arial"/>
          <w:szCs w:val="22"/>
          <w:lang w:val="en-GB"/>
        </w:rPr>
        <w:t xml:space="preserve">. Data from the EXPAND trial (a trial including people with </w:t>
      </w:r>
      <w:r w:rsidR="006F0C19" w:rsidRPr="006966B8">
        <w:rPr>
          <w:rFonts w:cs="Arial"/>
          <w:szCs w:val="22"/>
          <w:lang w:val="en-GB"/>
        </w:rPr>
        <w:t>secondary progressive multiple sclerosis</w:t>
      </w:r>
      <w:r w:rsidR="006840F9" w:rsidRPr="006966B8">
        <w:rPr>
          <w:rFonts w:cs="Arial"/>
          <w:szCs w:val="22"/>
          <w:lang w:val="en-GB"/>
        </w:rPr>
        <w:t xml:space="preserve">) </w:t>
      </w:r>
      <w:r w:rsidRPr="006966B8">
        <w:rPr>
          <w:rFonts w:cs="Arial"/>
          <w:szCs w:val="22"/>
          <w:lang w:val="en-GB"/>
        </w:rPr>
        <w:t>was</w:t>
      </w:r>
      <w:r w:rsidR="006840F9" w:rsidRPr="006966B8">
        <w:rPr>
          <w:rFonts w:cs="Arial"/>
          <w:szCs w:val="22"/>
          <w:lang w:val="en-GB"/>
        </w:rPr>
        <w:t xml:space="preserve"> supplemented by data from</w:t>
      </w:r>
      <w:r w:rsidR="00300E71" w:rsidRPr="006966B8">
        <w:rPr>
          <w:rFonts w:cs="Arial"/>
          <w:szCs w:val="22"/>
          <w:lang w:val="en-GB"/>
        </w:rPr>
        <w:t xml:space="preserve"> Orme et al</w:t>
      </w:r>
      <w:r w:rsidRPr="006966B8">
        <w:rPr>
          <w:rFonts w:cs="Arial"/>
          <w:szCs w:val="22"/>
          <w:lang w:val="en-GB"/>
        </w:rPr>
        <w:t>.</w:t>
      </w:r>
      <w:r w:rsidR="00300E71" w:rsidRPr="006966B8">
        <w:rPr>
          <w:rFonts w:cs="Arial"/>
          <w:szCs w:val="22"/>
          <w:lang w:val="en-GB"/>
        </w:rPr>
        <w:t xml:space="preserve"> (2007)</w:t>
      </w:r>
      <w:r w:rsidR="006840F9" w:rsidRPr="006966B8">
        <w:rPr>
          <w:rFonts w:cs="Arial"/>
          <w:szCs w:val="22"/>
          <w:lang w:val="en-GB"/>
        </w:rPr>
        <w:t xml:space="preserve"> to inform health state utility values for </w:t>
      </w:r>
      <w:r w:rsidRPr="006966B8">
        <w:rPr>
          <w:rFonts w:cs="Arial"/>
          <w:szCs w:val="22"/>
          <w:lang w:val="en-GB"/>
        </w:rPr>
        <w:t>an</w:t>
      </w:r>
      <w:r w:rsidR="006840F9" w:rsidRPr="006966B8">
        <w:rPr>
          <w:rFonts w:cs="Arial"/>
          <w:szCs w:val="22"/>
          <w:lang w:val="en-GB"/>
        </w:rPr>
        <w:t xml:space="preserve"> EDSS status of 7 or more. </w:t>
      </w:r>
      <w:r w:rsidR="00650343" w:rsidRPr="006966B8">
        <w:rPr>
          <w:rFonts w:cs="Arial"/>
          <w:szCs w:val="22"/>
          <w:lang w:val="en-GB"/>
        </w:rPr>
        <w:t>The company</w:t>
      </w:r>
      <w:r w:rsidRPr="006966B8">
        <w:rPr>
          <w:rFonts w:cs="Arial"/>
          <w:szCs w:val="22"/>
          <w:lang w:val="en-GB"/>
        </w:rPr>
        <w:t>’s</w:t>
      </w:r>
      <w:r w:rsidR="00650343" w:rsidRPr="006966B8">
        <w:rPr>
          <w:rFonts w:cs="Arial"/>
          <w:szCs w:val="22"/>
          <w:lang w:val="en-GB"/>
        </w:rPr>
        <w:t xml:space="preserve"> rationale for </w:t>
      </w:r>
      <w:r w:rsidR="00650343" w:rsidRPr="006966B8">
        <w:rPr>
          <w:rFonts w:cs="Arial"/>
          <w:szCs w:val="22"/>
          <w:lang w:val="en-GB"/>
        </w:rPr>
        <w:lastRenderedPageBreak/>
        <w:t>this was that</w:t>
      </w:r>
      <w:r w:rsidR="00A00150" w:rsidRPr="006966B8">
        <w:rPr>
          <w:rFonts w:cs="Arial"/>
          <w:szCs w:val="22"/>
          <w:lang w:val="en-GB"/>
        </w:rPr>
        <w:t xml:space="preserve"> </w:t>
      </w:r>
      <w:r w:rsidR="00650343" w:rsidRPr="006966B8">
        <w:rPr>
          <w:lang w:val="en-GB" w:eastAsia="en-GB"/>
        </w:rPr>
        <w:t xml:space="preserve">values </w:t>
      </w:r>
      <w:r w:rsidR="00A00150" w:rsidRPr="006966B8">
        <w:rPr>
          <w:lang w:val="en-GB" w:eastAsia="en-GB"/>
        </w:rPr>
        <w:t>taken</w:t>
      </w:r>
      <w:r w:rsidR="00650343" w:rsidRPr="006966B8">
        <w:rPr>
          <w:lang w:val="en-GB" w:eastAsia="en-GB"/>
        </w:rPr>
        <w:t xml:space="preserve"> from the EXPAND trial consistently decrease with each progressive EDSS state</w:t>
      </w:r>
      <w:r w:rsidR="00DB716B" w:rsidRPr="006966B8">
        <w:rPr>
          <w:lang w:val="en-GB" w:eastAsia="en-GB"/>
        </w:rPr>
        <w:t>,</w:t>
      </w:r>
      <w:r w:rsidR="00650343" w:rsidRPr="006966B8">
        <w:rPr>
          <w:lang w:val="en-GB" w:eastAsia="en-GB"/>
        </w:rPr>
        <w:t xml:space="preserve"> </w:t>
      </w:r>
      <w:r w:rsidR="00A00150" w:rsidRPr="006966B8">
        <w:rPr>
          <w:lang w:val="en-GB" w:eastAsia="en-GB"/>
        </w:rPr>
        <w:t xml:space="preserve">and this </w:t>
      </w:r>
      <w:r w:rsidR="00650343" w:rsidRPr="006966B8">
        <w:rPr>
          <w:lang w:val="en-GB" w:eastAsia="en-GB"/>
        </w:rPr>
        <w:t xml:space="preserve">aligns with </w:t>
      </w:r>
      <w:r w:rsidR="00DB716B" w:rsidRPr="006966B8">
        <w:rPr>
          <w:lang w:val="en-GB" w:eastAsia="en-GB"/>
        </w:rPr>
        <w:t>a</w:t>
      </w:r>
      <w:r w:rsidR="00650343" w:rsidRPr="006966B8">
        <w:rPr>
          <w:lang w:val="en-GB" w:eastAsia="en-GB"/>
        </w:rPr>
        <w:t xml:space="preserve"> clinical expectation </w:t>
      </w:r>
      <w:r w:rsidR="00A00150" w:rsidRPr="006966B8">
        <w:rPr>
          <w:lang w:val="en-GB" w:eastAsia="en-GB"/>
        </w:rPr>
        <w:t xml:space="preserve">of </w:t>
      </w:r>
      <w:r w:rsidR="00650343" w:rsidRPr="006966B8">
        <w:rPr>
          <w:lang w:val="en-GB" w:eastAsia="en-GB"/>
        </w:rPr>
        <w:t>reduced quality of life with disability</w:t>
      </w:r>
      <w:r w:rsidR="00A00150" w:rsidRPr="006966B8">
        <w:rPr>
          <w:lang w:val="en-GB" w:eastAsia="en-GB"/>
        </w:rPr>
        <w:t xml:space="preserve"> progression. </w:t>
      </w:r>
      <w:r w:rsidR="006840F9" w:rsidRPr="006966B8">
        <w:rPr>
          <w:rFonts w:cs="Arial"/>
          <w:szCs w:val="22"/>
          <w:lang w:val="en-GB"/>
        </w:rPr>
        <w:t>The ERG preferred to use the data directly from O</w:t>
      </w:r>
      <w:r w:rsidR="00300E71" w:rsidRPr="006966B8">
        <w:rPr>
          <w:rFonts w:cs="Arial"/>
          <w:szCs w:val="22"/>
          <w:lang w:val="en-GB"/>
        </w:rPr>
        <w:t>rme et al. (2007)</w:t>
      </w:r>
      <w:r w:rsidR="0094429C" w:rsidRPr="006966B8">
        <w:rPr>
          <w:rFonts w:cs="Arial"/>
          <w:szCs w:val="22"/>
          <w:lang w:val="en-GB"/>
        </w:rPr>
        <w:t>. But</w:t>
      </w:r>
      <w:r w:rsidR="00A00150" w:rsidRPr="006966B8">
        <w:rPr>
          <w:rFonts w:cs="Arial"/>
          <w:szCs w:val="22"/>
          <w:lang w:val="en-GB"/>
        </w:rPr>
        <w:t xml:space="preserve"> the company noted </w:t>
      </w:r>
      <w:r w:rsidR="0007701D" w:rsidRPr="006966B8">
        <w:rPr>
          <w:rFonts w:cs="Arial"/>
          <w:szCs w:val="22"/>
          <w:lang w:val="en-GB"/>
        </w:rPr>
        <w:t xml:space="preserve">that </w:t>
      </w:r>
      <w:r w:rsidR="0094429C" w:rsidRPr="006966B8">
        <w:rPr>
          <w:rFonts w:cs="Arial"/>
          <w:szCs w:val="22"/>
          <w:lang w:val="en-GB"/>
        </w:rPr>
        <w:t xml:space="preserve">utility </w:t>
      </w:r>
      <w:r w:rsidR="00A00150" w:rsidRPr="006966B8">
        <w:rPr>
          <w:rFonts w:cs="Arial"/>
          <w:szCs w:val="22"/>
          <w:lang w:val="en-GB"/>
        </w:rPr>
        <w:t xml:space="preserve">values at </w:t>
      </w:r>
      <w:r w:rsidR="005C45B7" w:rsidRPr="006966B8">
        <w:rPr>
          <w:rFonts w:cs="Arial"/>
          <w:szCs w:val="22"/>
          <w:lang w:val="en-GB"/>
        </w:rPr>
        <w:t>EDSS health</w:t>
      </w:r>
      <w:r w:rsidR="00A00150" w:rsidRPr="006966B8">
        <w:rPr>
          <w:rFonts w:cs="Arial"/>
          <w:szCs w:val="22"/>
          <w:lang w:val="en-GB"/>
        </w:rPr>
        <w:t xml:space="preserve"> state</w:t>
      </w:r>
      <w:r w:rsidR="005826D2" w:rsidRPr="006966B8">
        <w:rPr>
          <w:rFonts w:cs="Arial"/>
          <w:szCs w:val="22"/>
          <w:lang w:val="en-GB"/>
        </w:rPr>
        <w:t> </w:t>
      </w:r>
      <w:r w:rsidR="00A00150" w:rsidRPr="006966B8">
        <w:rPr>
          <w:rFonts w:cs="Arial"/>
          <w:szCs w:val="22"/>
          <w:lang w:val="en-GB"/>
        </w:rPr>
        <w:t>3 were lower than EDSS health state</w:t>
      </w:r>
      <w:r w:rsidR="005826D2" w:rsidRPr="006966B8">
        <w:rPr>
          <w:rFonts w:cs="Arial"/>
          <w:szCs w:val="22"/>
          <w:lang w:val="en-GB"/>
        </w:rPr>
        <w:t> </w:t>
      </w:r>
      <w:r w:rsidR="00A00150" w:rsidRPr="006966B8">
        <w:rPr>
          <w:rFonts w:cs="Arial"/>
          <w:szCs w:val="22"/>
          <w:lang w:val="en-GB"/>
        </w:rPr>
        <w:t xml:space="preserve">4, </w:t>
      </w:r>
      <w:r w:rsidR="00A00150" w:rsidRPr="006966B8">
        <w:rPr>
          <w:lang w:val="en-GB"/>
        </w:rPr>
        <w:t xml:space="preserve">suggesting a better quality of life in people with greater disability. </w:t>
      </w:r>
      <w:r w:rsidR="00300E71" w:rsidRPr="006966B8">
        <w:rPr>
          <w:rFonts w:cs="Arial"/>
          <w:szCs w:val="22"/>
          <w:lang w:val="en-GB"/>
        </w:rPr>
        <w:t xml:space="preserve">The committee </w:t>
      </w:r>
      <w:r w:rsidR="00484D4F" w:rsidRPr="006966B8">
        <w:rPr>
          <w:rFonts w:cs="Arial"/>
          <w:szCs w:val="22"/>
          <w:lang w:val="en-GB"/>
        </w:rPr>
        <w:t>n</w:t>
      </w:r>
      <w:r w:rsidR="00300E71" w:rsidRPr="006966B8">
        <w:rPr>
          <w:rFonts w:cs="Arial"/>
          <w:szCs w:val="22"/>
          <w:lang w:val="en-GB"/>
        </w:rPr>
        <w:t>oted there were negative utility values at higher EDSS states</w:t>
      </w:r>
      <w:r w:rsidR="00A00150" w:rsidRPr="006966B8">
        <w:rPr>
          <w:rFonts w:cs="Arial"/>
          <w:szCs w:val="22"/>
          <w:lang w:val="en-GB"/>
        </w:rPr>
        <w:t xml:space="preserve">. </w:t>
      </w:r>
      <w:r w:rsidR="00DB716B" w:rsidRPr="006966B8">
        <w:rPr>
          <w:rFonts w:cs="Arial"/>
          <w:szCs w:val="22"/>
          <w:lang w:val="en-GB"/>
        </w:rPr>
        <w:t>The</w:t>
      </w:r>
      <w:r w:rsidR="00300E71" w:rsidRPr="006966B8">
        <w:rPr>
          <w:rFonts w:cs="Arial"/>
          <w:szCs w:val="22"/>
          <w:lang w:val="en-GB"/>
        </w:rPr>
        <w:t xml:space="preserve"> clinical experts </w:t>
      </w:r>
      <w:r w:rsidR="00DB716B" w:rsidRPr="006966B8">
        <w:rPr>
          <w:rFonts w:cs="Arial"/>
          <w:szCs w:val="22"/>
          <w:lang w:val="en-GB"/>
        </w:rPr>
        <w:t>said</w:t>
      </w:r>
      <w:r w:rsidR="00300E71" w:rsidRPr="006966B8">
        <w:rPr>
          <w:rFonts w:cs="Arial"/>
          <w:szCs w:val="22"/>
          <w:lang w:val="en-GB"/>
        </w:rPr>
        <w:t xml:space="preserve"> that this can be </w:t>
      </w:r>
      <w:r w:rsidR="003954B7" w:rsidRPr="006966B8">
        <w:rPr>
          <w:rFonts w:cs="Arial"/>
          <w:szCs w:val="22"/>
          <w:lang w:val="en-GB"/>
        </w:rPr>
        <w:t>because of</w:t>
      </w:r>
      <w:r w:rsidR="00300E71" w:rsidRPr="006966B8">
        <w:rPr>
          <w:rFonts w:cs="Arial"/>
          <w:szCs w:val="22"/>
          <w:lang w:val="en-GB"/>
        </w:rPr>
        <w:t xml:space="preserve"> the limitations people experience as the</w:t>
      </w:r>
      <w:r w:rsidR="008609BF" w:rsidRPr="006966B8">
        <w:rPr>
          <w:rFonts w:cs="Arial"/>
          <w:szCs w:val="22"/>
          <w:lang w:val="en-GB"/>
        </w:rPr>
        <w:t>i</w:t>
      </w:r>
      <w:r w:rsidR="00300E71" w:rsidRPr="006966B8">
        <w:rPr>
          <w:rFonts w:cs="Arial"/>
          <w:szCs w:val="22"/>
          <w:lang w:val="en-GB"/>
        </w:rPr>
        <w:t>r</w:t>
      </w:r>
      <w:r w:rsidR="00DB716B" w:rsidRPr="006966B8">
        <w:rPr>
          <w:rFonts w:cs="Arial"/>
          <w:szCs w:val="22"/>
          <w:lang w:val="en-GB"/>
        </w:rPr>
        <w:t xml:space="preserve"> </w:t>
      </w:r>
      <w:r w:rsidR="006F0C19" w:rsidRPr="006966B8">
        <w:rPr>
          <w:rFonts w:cs="Arial"/>
          <w:szCs w:val="22"/>
          <w:lang w:val="en-GB"/>
        </w:rPr>
        <w:t>multiple sclerosis</w:t>
      </w:r>
      <w:r w:rsidR="00300E71" w:rsidRPr="006966B8">
        <w:rPr>
          <w:rFonts w:cs="Arial"/>
          <w:szCs w:val="22"/>
          <w:lang w:val="en-GB"/>
        </w:rPr>
        <w:t xml:space="preserve"> disability progresses</w:t>
      </w:r>
      <w:r w:rsidR="00DB716B" w:rsidRPr="006966B8">
        <w:rPr>
          <w:rFonts w:cs="Arial"/>
          <w:szCs w:val="22"/>
          <w:lang w:val="en-GB"/>
        </w:rPr>
        <w:t>.</w:t>
      </w:r>
      <w:r w:rsidR="00A00150" w:rsidRPr="006966B8">
        <w:rPr>
          <w:rFonts w:cs="Arial"/>
          <w:szCs w:val="22"/>
          <w:lang w:val="en-GB"/>
        </w:rPr>
        <w:t xml:space="preserve"> </w:t>
      </w:r>
      <w:r w:rsidR="00DB716B" w:rsidRPr="006966B8">
        <w:rPr>
          <w:rFonts w:cs="Arial"/>
          <w:szCs w:val="22"/>
          <w:lang w:val="en-GB"/>
        </w:rPr>
        <w:t>B</w:t>
      </w:r>
      <w:r w:rsidR="00A00150" w:rsidRPr="006966B8">
        <w:rPr>
          <w:rFonts w:cs="Arial"/>
          <w:szCs w:val="22"/>
          <w:lang w:val="en-GB"/>
        </w:rPr>
        <w:t xml:space="preserve">ut </w:t>
      </w:r>
      <w:r w:rsidR="005C45B7" w:rsidRPr="006966B8">
        <w:rPr>
          <w:rFonts w:cs="Arial"/>
          <w:szCs w:val="22"/>
          <w:lang w:val="en-GB"/>
        </w:rPr>
        <w:t>overall</w:t>
      </w:r>
      <w:r w:rsidR="00300E71" w:rsidRPr="006966B8">
        <w:rPr>
          <w:rFonts w:cs="Arial"/>
          <w:szCs w:val="22"/>
          <w:lang w:val="en-GB"/>
        </w:rPr>
        <w:t xml:space="preserve"> </w:t>
      </w:r>
      <w:r w:rsidR="00DB716B" w:rsidRPr="006966B8">
        <w:rPr>
          <w:rFonts w:cs="Arial"/>
          <w:szCs w:val="22"/>
          <w:lang w:val="en-GB"/>
        </w:rPr>
        <w:t>the committee</w:t>
      </w:r>
      <w:r w:rsidR="00300E71" w:rsidRPr="006966B8">
        <w:rPr>
          <w:rFonts w:cs="Arial"/>
          <w:szCs w:val="22"/>
          <w:lang w:val="en-GB"/>
        </w:rPr>
        <w:t xml:space="preserve"> </w:t>
      </w:r>
      <w:r w:rsidR="00BA212C" w:rsidRPr="006966B8">
        <w:rPr>
          <w:rFonts w:cs="Arial"/>
          <w:szCs w:val="22"/>
          <w:lang w:val="en-GB"/>
        </w:rPr>
        <w:t xml:space="preserve">concluded that </w:t>
      </w:r>
      <w:r w:rsidR="00A00150" w:rsidRPr="006966B8">
        <w:rPr>
          <w:rFonts w:cs="Arial"/>
          <w:szCs w:val="22"/>
          <w:lang w:val="en-GB"/>
        </w:rPr>
        <w:t>as disability progresses quality of life will reduce</w:t>
      </w:r>
      <w:r w:rsidR="00300E71" w:rsidRPr="006966B8">
        <w:rPr>
          <w:rFonts w:cs="Arial"/>
          <w:szCs w:val="22"/>
          <w:lang w:val="en-GB"/>
        </w:rPr>
        <w:t>.</w:t>
      </w:r>
    </w:p>
    <w:p w14:paraId="59F1314F" w14:textId="2B819A18" w:rsidR="009B2F43" w:rsidRPr="006966B8" w:rsidRDefault="005538DB" w:rsidP="009B2F43">
      <w:pPr>
        <w:pStyle w:val="Heading3"/>
      </w:pPr>
      <w:bookmarkStart w:id="8" w:name="_All-cause_discontinuation_can"/>
      <w:bookmarkEnd w:id="8"/>
      <w:r w:rsidRPr="006966B8">
        <w:t>All-cause discontinuation can be considered a proxy for w</w:t>
      </w:r>
      <w:r w:rsidR="00B47450" w:rsidRPr="006966B8">
        <w:t>aning of treatment efficacy</w:t>
      </w:r>
    </w:p>
    <w:p w14:paraId="6593AD36" w14:textId="36FF8297" w:rsidR="00DC056E" w:rsidRPr="006966B8" w:rsidRDefault="009B2F43" w:rsidP="00721792">
      <w:pPr>
        <w:pStyle w:val="Numberedlevel2text"/>
        <w:rPr>
          <w:lang w:val="en-GB"/>
        </w:rPr>
      </w:pPr>
      <w:r w:rsidRPr="006966B8">
        <w:rPr>
          <w:lang w:val="en-GB"/>
        </w:rPr>
        <w:t>The company</w:t>
      </w:r>
      <w:r w:rsidR="0007701D" w:rsidRPr="006966B8">
        <w:rPr>
          <w:lang w:val="en-GB"/>
        </w:rPr>
        <w:t xml:space="preserve"> assumed in its</w:t>
      </w:r>
      <w:r w:rsidRPr="006966B8">
        <w:rPr>
          <w:lang w:val="en-GB"/>
        </w:rPr>
        <w:t xml:space="preserve"> base case </w:t>
      </w:r>
      <w:r w:rsidR="0007701D" w:rsidRPr="006966B8">
        <w:rPr>
          <w:lang w:val="en-GB"/>
        </w:rPr>
        <w:t xml:space="preserve">that </w:t>
      </w:r>
      <w:r w:rsidRPr="006966B8">
        <w:rPr>
          <w:lang w:val="en-GB"/>
        </w:rPr>
        <w:t xml:space="preserve">the treatment effect </w:t>
      </w:r>
      <w:r w:rsidR="009E5852" w:rsidRPr="006966B8">
        <w:rPr>
          <w:lang w:val="en-GB"/>
        </w:rPr>
        <w:t xml:space="preserve">of </w:t>
      </w:r>
      <w:r w:rsidR="005C45B7" w:rsidRPr="006966B8">
        <w:rPr>
          <w:lang w:val="en-GB"/>
        </w:rPr>
        <w:t>ofatumumab</w:t>
      </w:r>
      <w:r w:rsidR="0007701D" w:rsidRPr="006966B8">
        <w:rPr>
          <w:lang w:val="en-GB"/>
        </w:rPr>
        <w:t xml:space="preserve"> </w:t>
      </w:r>
      <w:r w:rsidR="009E5852" w:rsidRPr="006966B8">
        <w:rPr>
          <w:lang w:val="en-GB"/>
        </w:rPr>
        <w:t>and its</w:t>
      </w:r>
      <w:r w:rsidRPr="006966B8">
        <w:rPr>
          <w:lang w:val="en-GB"/>
        </w:rPr>
        <w:t xml:space="preserve"> comparators </w:t>
      </w:r>
      <w:r w:rsidR="009E5852" w:rsidRPr="006966B8">
        <w:rPr>
          <w:lang w:val="en-GB"/>
        </w:rPr>
        <w:t>did</w:t>
      </w:r>
      <w:r w:rsidRPr="006966B8">
        <w:rPr>
          <w:lang w:val="en-GB"/>
        </w:rPr>
        <w:t xml:space="preserve"> not wane over time</w:t>
      </w:r>
      <w:r w:rsidR="009E0538">
        <w:rPr>
          <w:lang w:val="en-GB"/>
        </w:rPr>
        <w:t>,</w:t>
      </w:r>
      <w:r w:rsidR="009B4AB0">
        <w:rPr>
          <w:lang w:val="en-GB"/>
        </w:rPr>
        <w:t xml:space="preserve"> but that any w</w:t>
      </w:r>
      <w:r w:rsidRPr="006966B8">
        <w:rPr>
          <w:lang w:val="en-GB"/>
        </w:rPr>
        <w:t xml:space="preserve">aning in the model </w:t>
      </w:r>
      <w:r w:rsidR="009B4AB0" w:rsidRPr="006966B8">
        <w:rPr>
          <w:lang w:val="en-GB"/>
        </w:rPr>
        <w:t>w</w:t>
      </w:r>
      <w:r w:rsidR="009B4AB0">
        <w:rPr>
          <w:lang w:val="en-GB"/>
        </w:rPr>
        <w:t>ould be</w:t>
      </w:r>
      <w:r w:rsidR="009B4AB0" w:rsidRPr="006966B8">
        <w:rPr>
          <w:lang w:val="en-GB"/>
        </w:rPr>
        <w:t xml:space="preserve"> </w:t>
      </w:r>
      <w:r w:rsidRPr="006966B8">
        <w:rPr>
          <w:lang w:val="en-GB"/>
        </w:rPr>
        <w:t>captured by all-cause discontinuation (</w:t>
      </w:r>
      <w:r w:rsidR="009E0538">
        <w:rPr>
          <w:lang w:val="en-GB"/>
        </w:rPr>
        <w:t>stopping</w:t>
      </w:r>
      <w:r w:rsidR="009E0538" w:rsidRPr="006966B8">
        <w:rPr>
          <w:lang w:val="en-GB"/>
        </w:rPr>
        <w:t xml:space="preserve"> </w:t>
      </w:r>
      <w:r w:rsidRPr="006966B8">
        <w:rPr>
          <w:lang w:val="en-GB"/>
        </w:rPr>
        <w:t>for any reason, including perceived lack of efficacy)</w:t>
      </w:r>
      <w:r w:rsidR="007D5100" w:rsidRPr="006966B8">
        <w:rPr>
          <w:lang w:val="en-GB"/>
        </w:rPr>
        <w:t>.</w:t>
      </w:r>
      <w:r w:rsidR="00BA212C" w:rsidRPr="006966B8">
        <w:rPr>
          <w:lang w:val="en-GB"/>
        </w:rPr>
        <w:t xml:space="preserve"> </w:t>
      </w:r>
      <w:r w:rsidRPr="006966B8">
        <w:rPr>
          <w:lang w:val="en-GB"/>
        </w:rPr>
        <w:t xml:space="preserve">In </w:t>
      </w:r>
      <w:r w:rsidR="00BA212C" w:rsidRPr="006966B8">
        <w:rPr>
          <w:lang w:val="en-GB"/>
        </w:rPr>
        <w:t xml:space="preserve">the company’s </w:t>
      </w:r>
      <w:r w:rsidRPr="006966B8">
        <w:rPr>
          <w:lang w:val="en-GB"/>
        </w:rPr>
        <w:t xml:space="preserve">response to technical engagement </w:t>
      </w:r>
      <w:r w:rsidR="00345E28" w:rsidRPr="006966B8">
        <w:rPr>
          <w:lang w:val="en-GB"/>
        </w:rPr>
        <w:t>it</w:t>
      </w:r>
      <w:r w:rsidRPr="006966B8">
        <w:rPr>
          <w:lang w:val="en-GB"/>
        </w:rPr>
        <w:t xml:space="preserve"> analyse</w:t>
      </w:r>
      <w:r w:rsidR="00DE1B73" w:rsidRPr="006966B8">
        <w:rPr>
          <w:lang w:val="en-GB"/>
        </w:rPr>
        <w:t>d</w:t>
      </w:r>
      <w:r w:rsidRPr="006966B8">
        <w:rPr>
          <w:lang w:val="en-GB"/>
        </w:rPr>
        <w:t xml:space="preserve"> the outcomes of disease worsening and rates of relapse considered in the ASCLEPIOS trials</w:t>
      </w:r>
      <w:r w:rsidR="00345E28" w:rsidRPr="006966B8">
        <w:rPr>
          <w:lang w:val="en-GB"/>
        </w:rPr>
        <w:t>. Th</w:t>
      </w:r>
      <w:r w:rsidR="00DE1B73" w:rsidRPr="006966B8">
        <w:rPr>
          <w:lang w:val="en-GB"/>
        </w:rPr>
        <w:t>is</w:t>
      </w:r>
      <w:r w:rsidRPr="006966B8">
        <w:rPr>
          <w:lang w:val="en-GB"/>
        </w:rPr>
        <w:t xml:space="preserve"> show</w:t>
      </w:r>
      <w:r w:rsidR="00345E28" w:rsidRPr="006966B8">
        <w:rPr>
          <w:lang w:val="en-GB"/>
        </w:rPr>
        <w:t>ed</w:t>
      </w:r>
      <w:r w:rsidRPr="006966B8">
        <w:rPr>
          <w:lang w:val="en-GB"/>
        </w:rPr>
        <w:t xml:space="preserve"> that over the 27</w:t>
      </w:r>
      <w:r w:rsidR="005826D2" w:rsidRPr="006966B8">
        <w:rPr>
          <w:lang w:val="en-GB"/>
        </w:rPr>
        <w:noBreakHyphen/>
        <w:t>month</w:t>
      </w:r>
      <w:r w:rsidRPr="006966B8">
        <w:rPr>
          <w:lang w:val="en-GB"/>
        </w:rPr>
        <w:t xml:space="preserve"> data period there was no evidence of waning of treatment effect. The ERG </w:t>
      </w:r>
      <w:r w:rsidR="00345E28" w:rsidRPr="006966B8">
        <w:rPr>
          <w:lang w:val="en-GB"/>
        </w:rPr>
        <w:t>was</w:t>
      </w:r>
      <w:r w:rsidRPr="006966B8">
        <w:rPr>
          <w:lang w:val="en-GB"/>
        </w:rPr>
        <w:t xml:space="preserve"> satisfied that the analyses carried out by the company showed </w:t>
      </w:r>
      <w:r w:rsidRPr="006966B8">
        <w:rPr>
          <w:rFonts w:cs="Arial"/>
          <w:lang w:val="en-GB"/>
        </w:rPr>
        <w:t xml:space="preserve">there was no evidence of treatment </w:t>
      </w:r>
      <w:r w:rsidR="008609BF" w:rsidRPr="006966B8">
        <w:rPr>
          <w:rFonts w:cs="Arial"/>
          <w:lang w:val="en-GB"/>
        </w:rPr>
        <w:t>effect</w:t>
      </w:r>
      <w:r w:rsidRPr="006966B8">
        <w:rPr>
          <w:rFonts w:cs="Arial"/>
          <w:lang w:val="en-GB"/>
        </w:rPr>
        <w:t xml:space="preserve"> waning in the ASCLEPIOS trials</w:t>
      </w:r>
      <w:r w:rsidR="00345E28" w:rsidRPr="006966B8">
        <w:rPr>
          <w:rFonts w:cs="Arial"/>
          <w:lang w:val="en-GB"/>
        </w:rPr>
        <w:t>. But because the data were short term</w:t>
      </w:r>
      <w:r w:rsidRPr="006966B8">
        <w:rPr>
          <w:rFonts w:cs="Arial"/>
          <w:lang w:val="en-GB"/>
        </w:rPr>
        <w:t xml:space="preserve">, </w:t>
      </w:r>
      <w:r w:rsidR="00345E28" w:rsidRPr="006966B8">
        <w:rPr>
          <w:rFonts w:cs="Arial"/>
          <w:lang w:val="en-GB"/>
        </w:rPr>
        <w:t>the ERG</w:t>
      </w:r>
      <w:r w:rsidRPr="006966B8">
        <w:rPr>
          <w:rFonts w:cs="Arial"/>
          <w:lang w:val="en-GB"/>
        </w:rPr>
        <w:t xml:space="preserve"> suggested it would be appropriate to assume a waning of treatment effect </w:t>
      </w:r>
      <w:r w:rsidR="00345E28" w:rsidRPr="006966B8">
        <w:rPr>
          <w:rFonts w:cs="Arial"/>
          <w:lang w:val="en-GB"/>
        </w:rPr>
        <w:t>for</w:t>
      </w:r>
      <w:r w:rsidRPr="006966B8">
        <w:rPr>
          <w:rFonts w:cs="Arial"/>
          <w:lang w:val="en-GB"/>
        </w:rPr>
        <w:t xml:space="preserve"> all disease-modifying </w:t>
      </w:r>
      <w:r w:rsidR="006F0C19" w:rsidRPr="006966B8">
        <w:rPr>
          <w:rFonts w:cs="Arial"/>
          <w:lang w:val="en-GB"/>
        </w:rPr>
        <w:t>multiple sclerosis</w:t>
      </w:r>
      <w:r w:rsidRPr="006966B8">
        <w:rPr>
          <w:rFonts w:cs="Arial"/>
          <w:lang w:val="en-GB"/>
        </w:rPr>
        <w:t xml:space="preserve"> treatments, </w:t>
      </w:r>
      <w:r w:rsidR="00701BE3" w:rsidRPr="006966B8">
        <w:rPr>
          <w:rFonts w:cs="Arial"/>
          <w:lang w:val="en-GB"/>
        </w:rPr>
        <w:t>as seen in</w:t>
      </w:r>
      <w:r w:rsidRPr="006966B8">
        <w:rPr>
          <w:rFonts w:cs="Arial"/>
          <w:lang w:val="en-GB"/>
        </w:rPr>
        <w:t xml:space="preserve"> previous </w:t>
      </w:r>
      <w:r w:rsidR="006F0C19" w:rsidRPr="006966B8">
        <w:rPr>
          <w:rFonts w:cs="Arial"/>
          <w:lang w:val="en-GB"/>
        </w:rPr>
        <w:t>multiple sclerosis</w:t>
      </w:r>
      <w:r w:rsidRPr="006966B8">
        <w:rPr>
          <w:rFonts w:cs="Arial"/>
          <w:lang w:val="en-GB"/>
        </w:rPr>
        <w:t xml:space="preserve"> appraisals. </w:t>
      </w:r>
      <w:r w:rsidR="00701BE3" w:rsidRPr="006966B8">
        <w:rPr>
          <w:rFonts w:cs="Arial"/>
          <w:lang w:val="en-GB"/>
        </w:rPr>
        <w:t>The</w:t>
      </w:r>
      <w:r w:rsidRPr="006966B8">
        <w:rPr>
          <w:rFonts w:cs="Arial"/>
          <w:lang w:val="en-GB"/>
        </w:rPr>
        <w:t xml:space="preserve"> company provide</w:t>
      </w:r>
      <w:r w:rsidR="00701BE3" w:rsidRPr="006966B8">
        <w:rPr>
          <w:rFonts w:cs="Arial"/>
          <w:lang w:val="en-GB"/>
        </w:rPr>
        <w:t>d</w:t>
      </w:r>
      <w:r w:rsidRPr="006966B8">
        <w:rPr>
          <w:rFonts w:cs="Arial"/>
          <w:lang w:val="en-GB"/>
        </w:rPr>
        <w:t xml:space="preserve"> </w:t>
      </w:r>
      <w:r w:rsidR="0007701D" w:rsidRPr="006966B8">
        <w:rPr>
          <w:rFonts w:cs="Arial"/>
          <w:lang w:val="en-GB"/>
        </w:rPr>
        <w:t xml:space="preserve">2 </w:t>
      </w:r>
      <w:r w:rsidRPr="006966B8">
        <w:rPr>
          <w:rFonts w:cs="Arial"/>
          <w:lang w:val="en-GB"/>
        </w:rPr>
        <w:t>scenario analyses considering the waning of treatment effect:</w:t>
      </w:r>
    </w:p>
    <w:p w14:paraId="0B9C07B2" w14:textId="133CE9D5" w:rsidR="001232DD" w:rsidRPr="006966B8" w:rsidRDefault="000A0559" w:rsidP="00721792">
      <w:pPr>
        <w:pStyle w:val="Bulletindent1"/>
      </w:pPr>
      <w:r w:rsidRPr="006966B8">
        <w:t>a</w:t>
      </w:r>
      <w:r w:rsidR="00DC056E" w:rsidRPr="006966B8">
        <w:t xml:space="preserve">n </w:t>
      </w:r>
      <w:r w:rsidRPr="006966B8">
        <w:t>‘</w:t>
      </w:r>
      <w:r w:rsidR="004B4433" w:rsidRPr="006966B8">
        <w:t>extremely con</w:t>
      </w:r>
      <w:r w:rsidR="00DC056E" w:rsidRPr="006966B8">
        <w:t>servative</w:t>
      </w:r>
      <w:r w:rsidRPr="006966B8">
        <w:t>’</w:t>
      </w:r>
      <w:r w:rsidR="00DC056E" w:rsidRPr="006966B8">
        <w:t xml:space="preserve"> scenario applying a 50% reduction in effectiveness after 5</w:t>
      </w:r>
      <w:r w:rsidR="005826D2" w:rsidRPr="006966B8">
        <w:t> years</w:t>
      </w:r>
    </w:p>
    <w:p w14:paraId="0CF8D3E0" w14:textId="77777777" w:rsidR="001232DD" w:rsidRDefault="000A0559" w:rsidP="009E0538">
      <w:pPr>
        <w:pStyle w:val="Bulletindent1last"/>
      </w:pPr>
      <w:r w:rsidRPr="006966B8">
        <w:lastRenderedPageBreak/>
        <w:t>a</w:t>
      </w:r>
      <w:r w:rsidR="00DC056E" w:rsidRPr="006966B8">
        <w:t xml:space="preserve"> </w:t>
      </w:r>
      <w:r w:rsidRPr="006966B8">
        <w:t>‘</w:t>
      </w:r>
      <w:r w:rsidR="00DC056E" w:rsidRPr="006966B8">
        <w:t>conservative</w:t>
      </w:r>
      <w:r w:rsidRPr="006966B8">
        <w:t>’</w:t>
      </w:r>
      <w:r w:rsidR="00DC056E" w:rsidRPr="006966B8">
        <w:t xml:space="preserve"> scenario applying a 25% reduction after 5</w:t>
      </w:r>
      <w:r w:rsidR="005826D2" w:rsidRPr="006966B8">
        <w:t> years</w:t>
      </w:r>
      <w:r w:rsidR="00DC056E" w:rsidRPr="006966B8">
        <w:t>, then a 50% reduction after 8</w:t>
      </w:r>
      <w:r w:rsidR="005826D2" w:rsidRPr="006966B8">
        <w:t> years</w:t>
      </w:r>
      <w:r w:rsidRPr="006966B8">
        <w:t>.</w:t>
      </w:r>
    </w:p>
    <w:p w14:paraId="06FFD63A" w14:textId="033BFF68" w:rsidR="004B4433" w:rsidRPr="006966B8" w:rsidRDefault="004B4433" w:rsidP="001232DD">
      <w:pPr>
        <w:pStyle w:val="Numberedlevel2text"/>
      </w:pPr>
      <w:r w:rsidRPr="006966B8">
        <w:t xml:space="preserve">In </w:t>
      </w:r>
      <w:r w:rsidR="0007701D" w:rsidRPr="006966B8">
        <w:t xml:space="preserve">its </w:t>
      </w:r>
      <w:r w:rsidRPr="006966B8">
        <w:t>response to technical engagement</w:t>
      </w:r>
      <w:r w:rsidR="0007701D" w:rsidRPr="006966B8">
        <w:t>,</w:t>
      </w:r>
      <w:r w:rsidRPr="006966B8">
        <w:t xml:space="preserve"> the company maintained </w:t>
      </w:r>
      <w:r w:rsidR="004F659F" w:rsidRPr="006966B8">
        <w:t xml:space="preserve">that </w:t>
      </w:r>
      <w:r w:rsidR="0007701D" w:rsidRPr="006966B8">
        <w:t xml:space="preserve">it </w:t>
      </w:r>
      <w:r w:rsidRPr="006966B8">
        <w:t xml:space="preserve">did not </w:t>
      </w:r>
      <w:r w:rsidR="004F659F" w:rsidRPr="006966B8">
        <w:t>think it was valid to include</w:t>
      </w:r>
      <w:bookmarkStart w:id="9" w:name="_Hlk58274012"/>
      <w:r w:rsidRPr="006966B8">
        <w:t xml:space="preserve"> treatment effect waning in the base case</w:t>
      </w:r>
      <w:bookmarkEnd w:id="9"/>
      <w:r w:rsidRPr="006966B8">
        <w:t xml:space="preserve">. The ERG viewed </w:t>
      </w:r>
      <w:r w:rsidR="004F659F" w:rsidRPr="006966B8">
        <w:t>including</w:t>
      </w:r>
      <w:r w:rsidRPr="006966B8">
        <w:t xml:space="preserve"> </w:t>
      </w:r>
      <w:r w:rsidR="00B40F03" w:rsidRPr="006966B8">
        <w:t>treatment effect</w:t>
      </w:r>
      <w:r w:rsidRPr="006966B8">
        <w:t xml:space="preserve"> </w:t>
      </w:r>
      <w:r w:rsidR="004F659F" w:rsidRPr="006966B8">
        <w:t xml:space="preserve">waning </w:t>
      </w:r>
      <w:r w:rsidRPr="006966B8">
        <w:t>as a precaution</w:t>
      </w:r>
      <w:r w:rsidR="004F659F" w:rsidRPr="006966B8">
        <w:t>,</w:t>
      </w:r>
      <w:r w:rsidRPr="006966B8">
        <w:t xml:space="preserve"> </w:t>
      </w:r>
      <w:r w:rsidR="004F659F" w:rsidRPr="006966B8">
        <w:t>with</w:t>
      </w:r>
      <w:r w:rsidRPr="006966B8">
        <w:t xml:space="preserve"> </w:t>
      </w:r>
      <w:r w:rsidR="00701BE3" w:rsidRPr="006966B8">
        <w:t xml:space="preserve">the expectation that the effect of all </w:t>
      </w:r>
      <w:r w:rsidR="006F0C19" w:rsidRPr="006966B8">
        <w:t>multiple sclerosis</w:t>
      </w:r>
      <w:r w:rsidR="00701BE3" w:rsidRPr="006966B8">
        <w:t xml:space="preserve"> treatments was likely to wane over time eventually</w:t>
      </w:r>
      <w:r w:rsidR="004F659F" w:rsidRPr="006966B8">
        <w:t>.</w:t>
      </w:r>
      <w:r w:rsidR="00701BE3" w:rsidRPr="006966B8">
        <w:t xml:space="preserve"> </w:t>
      </w:r>
      <w:r w:rsidR="004F659F" w:rsidRPr="006966B8">
        <w:t>T</w:t>
      </w:r>
      <w:r w:rsidR="00B40F03" w:rsidRPr="006966B8">
        <w:t xml:space="preserve">his </w:t>
      </w:r>
      <w:r w:rsidRPr="006966B8">
        <w:t xml:space="preserve">was consistent with </w:t>
      </w:r>
      <w:r w:rsidR="00701BE3" w:rsidRPr="006966B8">
        <w:t xml:space="preserve">some </w:t>
      </w:r>
      <w:r w:rsidR="004F659F" w:rsidRPr="006966B8">
        <w:t>other</w:t>
      </w:r>
      <w:r w:rsidR="00701BE3" w:rsidRPr="006966B8">
        <w:t xml:space="preserve"> </w:t>
      </w:r>
      <w:r w:rsidR="006F0C19" w:rsidRPr="006966B8">
        <w:t>multiple sclerosis</w:t>
      </w:r>
      <w:r w:rsidRPr="006966B8">
        <w:t xml:space="preserve"> appraisals. For this </w:t>
      </w:r>
      <w:r w:rsidR="0096776C" w:rsidRPr="006966B8">
        <w:t>reason,</w:t>
      </w:r>
      <w:r w:rsidRPr="006966B8">
        <w:t xml:space="preserve"> </w:t>
      </w:r>
      <w:r w:rsidR="00210497" w:rsidRPr="006966B8">
        <w:t xml:space="preserve">the ERG </w:t>
      </w:r>
      <w:r w:rsidRPr="006966B8">
        <w:t xml:space="preserve">preferred to use a conservative assumption </w:t>
      </w:r>
      <w:r w:rsidR="00210497" w:rsidRPr="006966B8">
        <w:t xml:space="preserve">of waning, </w:t>
      </w:r>
      <w:r w:rsidRPr="006966B8">
        <w:t xml:space="preserve">with a 25% reduction </w:t>
      </w:r>
      <w:r w:rsidR="00210497" w:rsidRPr="006966B8">
        <w:t>in effectiveness</w:t>
      </w:r>
      <w:r w:rsidRPr="006966B8">
        <w:t xml:space="preserve"> after 5</w:t>
      </w:r>
      <w:r w:rsidR="005826D2" w:rsidRPr="006966B8">
        <w:t> years</w:t>
      </w:r>
      <w:r w:rsidRPr="006966B8">
        <w:t xml:space="preserve">, </w:t>
      </w:r>
      <w:r w:rsidR="00210497" w:rsidRPr="006966B8">
        <w:t>and</w:t>
      </w:r>
      <w:r w:rsidRPr="006966B8">
        <w:t xml:space="preserve"> a 50% reduction after 8</w:t>
      </w:r>
      <w:r w:rsidR="005826D2" w:rsidRPr="006966B8">
        <w:t> years</w:t>
      </w:r>
      <w:r w:rsidRPr="006966B8">
        <w:t>.</w:t>
      </w:r>
      <w:r w:rsidR="00701BE3" w:rsidRPr="006966B8">
        <w:t xml:space="preserve"> </w:t>
      </w:r>
      <w:r w:rsidRPr="006966B8">
        <w:t xml:space="preserve">The committee considered both approaches as well as considering the approaches taken in other technology appraisals for disease-modifying </w:t>
      </w:r>
      <w:r w:rsidR="006F0C19" w:rsidRPr="006966B8">
        <w:t>multiple sclerosis</w:t>
      </w:r>
      <w:r w:rsidRPr="006966B8">
        <w:t xml:space="preserve"> treatments.</w:t>
      </w:r>
      <w:r w:rsidR="00B47450" w:rsidRPr="006966B8">
        <w:t xml:space="preserve"> It noted that there had been no clear consistent approach to waning in the technology appraisals of other disease-modifying </w:t>
      </w:r>
      <w:r w:rsidR="006F0C19" w:rsidRPr="006966B8">
        <w:t>multiple sclerosis</w:t>
      </w:r>
      <w:r w:rsidR="00B47450" w:rsidRPr="006966B8">
        <w:t xml:space="preserve"> treatments.</w:t>
      </w:r>
    </w:p>
    <w:p w14:paraId="016F706C" w14:textId="1AD8C3F9" w:rsidR="00FE53DD" w:rsidRPr="006966B8" w:rsidRDefault="000A3FD1" w:rsidP="00701BE3">
      <w:pPr>
        <w:pStyle w:val="Numberedlevel2text"/>
        <w:rPr>
          <w:lang w:val="en-GB"/>
        </w:rPr>
      </w:pPr>
      <w:r w:rsidRPr="006966B8">
        <w:rPr>
          <w:lang w:val="en-GB"/>
        </w:rPr>
        <w:t>T</w:t>
      </w:r>
      <w:r w:rsidR="00B40F03" w:rsidRPr="006966B8">
        <w:rPr>
          <w:lang w:val="en-GB"/>
        </w:rPr>
        <w:t>he network</w:t>
      </w:r>
      <w:r w:rsidRPr="006966B8">
        <w:rPr>
          <w:lang w:val="en-GB"/>
        </w:rPr>
        <w:t xml:space="preserve"> </w:t>
      </w:r>
      <w:r w:rsidR="00B40F03" w:rsidRPr="006966B8">
        <w:rPr>
          <w:lang w:val="en-GB"/>
        </w:rPr>
        <w:t>meta</w:t>
      </w:r>
      <w:r w:rsidR="00484D4F" w:rsidRPr="006966B8">
        <w:rPr>
          <w:lang w:val="en-GB"/>
        </w:rPr>
        <w:t>-</w:t>
      </w:r>
      <w:r w:rsidR="00B40F03" w:rsidRPr="006966B8">
        <w:rPr>
          <w:lang w:val="en-GB"/>
        </w:rPr>
        <w:t xml:space="preserve">analyses </w:t>
      </w:r>
      <w:r w:rsidRPr="006966B8">
        <w:rPr>
          <w:lang w:val="en-GB"/>
        </w:rPr>
        <w:t>showed</w:t>
      </w:r>
      <w:r w:rsidR="00B40F03" w:rsidRPr="006966B8">
        <w:rPr>
          <w:lang w:val="en-GB"/>
        </w:rPr>
        <w:t xml:space="preserve"> that ofatumumab </w:t>
      </w:r>
      <w:r w:rsidRPr="006966B8">
        <w:rPr>
          <w:lang w:val="en-GB"/>
        </w:rPr>
        <w:t xml:space="preserve">had </w:t>
      </w:r>
      <w:r w:rsidR="00701BE3" w:rsidRPr="006966B8">
        <w:rPr>
          <w:lang w:val="en-GB"/>
        </w:rPr>
        <w:t xml:space="preserve">similar </w:t>
      </w:r>
      <w:r w:rsidRPr="006966B8">
        <w:rPr>
          <w:lang w:val="en-GB"/>
        </w:rPr>
        <w:t>efficacy</w:t>
      </w:r>
      <w:r w:rsidR="00701BE3" w:rsidRPr="006966B8">
        <w:rPr>
          <w:lang w:val="en-GB"/>
        </w:rPr>
        <w:t xml:space="preserve"> to other </w:t>
      </w:r>
      <w:r w:rsidR="00B40F03" w:rsidRPr="006966B8">
        <w:rPr>
          <w:lang w:val="en-GB"/>
        </w:rPr>
        <w:t>monoclonal antibod</w:t>
      </w:r>
      <w:r w:rsidR="00701BE3" w:rsidRPr="006966B8">
        <w:rPr>
          <w:lang w:val="en-GB"/>
        </w:rPr>
        <w:t>ies</w:t>
      </w:r>
      <w:r w:rsidR="00245B0D" w:rsidRPr="006966B8">
        <w:rPr>
          <w:lang w:val="en-GB"/>
        </w:rPr>
        <w:t xml:space="preserve">. </w:t>
      </w:r>
      <w:r w:rsidRPr="006966B8">
        <w:rPr>
          <w:lang w:val="en-GB"/>
        </w:rPr>
        <w:t>T</w:t>
      </w:r>
      <w:r w:rsidR="00B40F03" w:rsidRPr="006966B8">
        <w:rPr>
          <w:lang w:val="en-GB"/>
        </w:rPr>
        <w:t xml:space="preserve">he clinical experts </w:t>
      </w:r>
      <w:r w:rsidRPr="006966B8">
        <w:rPr>
          <w:lang w:val="en-GB"/>
        </w:rPr>
        <w:t>said</w:t>
      </w:r>
      <w:r w:rsidR="00B40F03" w:rsidRPr="006966B8">
        <w:rPr>
          <w:lang w:val="en-GB"/>
        </w:rPr>
        <w:t xml:space="preserve"> that </w:t>
      </w:r>
      <w:r w:rsidR="00D500EE" w:rsidRPr="006966B8">
        <w:rPr>
          <w:lang w:val="en-GB"/>
        </w:rPr>
        <w:t xml:space="preserve">because monoclonal antibodies generally have </w:t>
      </w:r>
      <w:r w:rsidR="00B40F03" w:rsidRPr="006966B8">
        <w:rPr>
          <w:lang w:val="en-GB"/>
        </w:rPr>
        <w:t xml:space="preserve">a higher efficacy </w:t>
      </w:r>
      <w:r w:rsidR="00D500EE" w:rsidRPr="006966B8">
        <w:rPr>
          <w:lang w:val="en-GB"/>
        </w:rPr>
        <w:t xml:space="preserve">than other drugs for relapsing multiple sclerosis, they </w:t>
      </w:r>
      <w:r w:rsidR="00B40F03" w:rsidRPr="006966B8">
        <w:rPr>
          <w:lang w:val="en-GB"/>
        </w:rPr>
        <w:t xml:space="preserve">would </w:t>
      </w:r>
      <w:r w:rsidR="00D44C77" w:rsidRPr="006966B8">
        <w:rPr>
          <w:lang w:val="en-GB"/>
        </w:rPr>
        <w:t>be expected to</w:t>
      </w:r>
      <w:r w:rsidR="00B40F03" w:rsidRPr="006966B8">
        <w:rPr>
          <w:lang w:val="en-GB"/>
        </w:rPr>
        <w:t xml:space="preserve"> have </w:t>
      </w:r>
      <w:r w:rsidR="00D44C77" w:rsidRPr="006966B8">
        <w:rPr>
          <w:lang w:val="en-GB"/>
        </w:rPr>
        <w:t>less</w:t>
      </w:r>
      <w:r w:rsidR="00B40F03" w:rsidRPr="006966B8">
        <w:rPr>
          <w:lang w:val="en-GB"/>
        </w:rPr>
        <w:t xml:space="preserve"> waning of treatment effect</w:t>
      </w:r>
      <w:r w:rsidR="00701BE3" w:rsidRPr="006966B8">
        <w:rPr>
          <w:lang w:val="en-GB"/>
        </w:rPr>
        <w:t xml:space="preserve"> over time</w:t>
      </w:r>
      <w:r w:rsidR="00B40F03" w:rsidRPr="006966B8">
        <w:rPr>
          <w:lang w:val="en-GB"/>
        </w:rPr>
        <w:t xml:space="preserve">. </w:t>
      </w:r>
      <w:r w:rsidR="00FE53DD" w:rsidRPr="006966B8">
        <w:rPr>
          <w:lang w:val="en-GB"/>
        </w:rPr>
        <w:t xml:space="preserve">The committee noted that discontinuation and waning were connected, but also noted </w:t>
      </w:r>
      <w:r w:rsidR="00D44C77" w:rsidRPr="006966B8">
        <w:rPr>
          <w:lang w:val="en-GB"/>
        </w:rPr>
        <w:t>that</w:t>
      </w:r>
      <w:r w:rsidR="00FE53DD" w:rsidRPr="006966B8">
        <w:rPr>
          <w:lang w:val="en-GB"/>
        </w:rPr>
        <w:t xml:space="preserve"> the ASCLEPIOS trials </w:t>
      </w:r>
      <w:r w:rsidR="00D44C77" w:rsidRPr="006966B8">
        <w:rPr>
          <w:lang w:val="en-GB"/>
        </w:rPr>
        <w:t xml:space="preserve">were </w:t>
      </w:r>
      <w:r w:rsidR="00FE53DD" w:rsidRPr="006966B8">
        <w:rPr>
          <w:lang w:val="en-GB"/>
        </w:rPr>
        <w:t>too short to predict long</w:t>
      </w:r>
      <w:r w:rsidR="00D44C77" w:rsidRPr="006966B8">
        <w:rPr>
          <w:lang w:val="en-GB"/>
        </w:rPr>
        <w:t>-</w:t>
      </w:r>
      <w:r w:rsidR="00FE53DD" w:rsidRPr="006966B8">
        <w:rPr>
          <w:lang w:val="en-GB"/>
        </w:rPr>
        <w:t xml:space="preserve">term discontinuation rates. The clinical experts </w:t>
      </w:r>
      <w:r w:rsidR="00245B0D" w:rsidRPr="006966B8">
        <w:rPr>
          <w:lang w:val="en-GB"/>
        </w:rPr>
        <w:t xml:space="preserve">explained that other monoclonal antibodies such as </w:t>
      </w:r>
      <w:r w:rsidR="00FE53DD" w:rsidRPr="006966B8">
        <w:rPr>
          <w:lang w:val="en-GB"/>
        </w:rPr>
        <w:t xml:space="preserve">natalizumab </w:t>
      </w:r>
      <w:r w:rsidR="00096473" w:rsidRPr="006966B8">
        <w:rPr>
          <w:lang w:val="en-GB"/>
        </w:rPr>
        <w:t>had maintained efficacy over a long period of time</w:t>
      </w:r>
      <w:r w:rsidR="00D44C77" w:rsidRPr="006966B8">
        <w:rPr>
          <w:lang w:val="en-GB"/>
        </w:rPr>
        <w:t>. They said</w:t>
      </w:r>
      <w:r w:rsidR="00096473" w:rsidRPr="006966B8">
        <w:rPr>
          <w:lang w:val="en-GB"/>
        </w:rPr>
        <w:t xml:space="preserve"> that </w:t>
      </w:r>
      <w:r w:rsidR="00B47450" w:rsidRPr="006966B8">
        <w:rPr>
          <w:lang w:val="en-GB"/>
        </w:rPr>
        <w:t xml:space="preserve">all-cause discontinuation showed that </w:t>
      </w:r>
      <w:r w:rsidR="00096473" w:rsidRPr="006966B8">
        <w:rPr>
          <w:lang w:val="en-GB"/>
        </w:rPr>
        <w:t>people may choose to discontinue for</w:t>
      </w:r>
      <w:r w:rsidR="00B47450" w:rsidRPr="006966B8">
        <w:rPr>
          <w:lang w:val="en-GB"/>
        </w:rPr>
        <w:t xml:space="preserve"> </w:t>
      </w:r>
      <w:r w:rsidR="00D44C77" w:rsidRPr="006966B8">
        <w:rPr>
          <w:lang w:val="en-GB"/>
        </w:rPr>
        <w:t xml:space="preserve">reasons </w:t>
      </w:r>
      <w:r w:rsidR="00B47450" w:rsidRPr="006966B8">
        <w:rPr>
          <w:lang w:val="en-GB"/>
        </w:rPr>
        <w:t xml:space="preserve">other </w:t>
      </w:r>
      <w:r w:rsidR="00096473" w:rsidRPr="006966B8">
        <w:rPr>
          <w:lang w:val="en-GB"/>
        </w:rPr>
        <w:t>than efficacy waning (for example, treatment fatigue</w:t>
      </w:r>
      <w:r w:rsidR="00D44C77" w:rsidRPr="006966B8">
        <w:rPr>
          <w:lang w:val="en-GB"/>
        </w:rPr>
        <w:t xml:space="preserve"> or</w:t>
      </w:r>
      <w:r w:rsidR="00096473" w:rsidRPr="006966B8">
        <w:rPr>
          <w:lang w:val="en-GB"/>
        </w:rPr>
        <w:t xml:space="preserve"> pregnancy</w:t>
      </w:r>
      <w:r w:rsidR="00D44C77" w:rsidRPr="006966B8">
        <w:rPr>
          <w:lang w:val="en-GB"/>
        </w:rPr>
        <w:t>,</w:t>
      </w:r>
      <w:r w:rsidR="00096473" w:rsidRPr="006966B8">
        <w:rPr>
          <w:lang w:val="en-GB"/>
        </w:rPr>
        <w:t xml:space="preserve"> </w:t>
      </w:r>
      <w:r w:rsidR="00D44C77" w:rsidRPr="006966B8">
        <w:rPr>
          <w:lang w:val="en-GB"/>
        </w:rPr>
        <w:t>because</w:t>
      </w:r>
      <w:r w:rsidR="00096473" w:rsidRPr="006966B8">
        <w:rPr>
          <w:lang w:val="en-GB"/>
        </w:rPr>
        <w:t xml:space="preserve"> as </w:t>
      </w:r>
      <w:r w:rsidR="006F0C19" w:rsidRPr="006966B8">
        <w:rPr>
          <w:lang w:val="en-GB"/>
        </w:rPr>
        <w:t>multiple sclerosis</w:t>
      </w:r>
      <w:r w:rsidR="00096473" w:rsidRPr="006966B8">
        <w:rPr>
          <w:lang w:val="en-GB"/>
        </w:rPr>
        <w:t xml:space="preserve"> symptoms progress treatment becomes less </w:t>
      </w:r>
      <w:r w:rsidR="009E0538">
        <w:rPr>
          <w:lang w:val="en-GB"/>
        </w:rPr>
        <w:t>effective</w:t>
      </w:r>
      <w:r w:rsidR="00096473" w:rsidRPr="006966B8">
        <w:rPr>
          <w:lang w:val="en-GB"/>
        </w:rPr>
        <w:t>).</w:t>
      </w:r>
      <w:r w:rsidR="00701BE3" w:rsidRPr="006966B8">
        <w:rPr>
          <w:lang w:val="en-GB"/>
        </w:rPr>
        <w:t xml:space="preserve"> </w:t>
      </w:r>
      <w:r w:rsidR="00096473" w:rsidRPr="006966B8">
        <w:rPr>
          <w:lang w:val="en-GB"/>
        </w:rPr>
        <w:t xml:space="preserve">The committee </w:t>
      </w:r>
      <w:r w:rsidR="002F4CDE" w:rsidRPr="006966B8">
        <w:rPr>
          <w:lang w:val="en-GB"/>
        </w:rPr>
        <w:t>recognised that</w:t>
      </w:r>
      <w:r w:rsidR="00A940AE" w:rsidRPr="006966B8">
        <w:rPr>
          <w:lang w:val="en-GB"/>
        </w:rPr>
        <w:t>, because</w:t>
      </w:r>
      <w:r w:rsidR="002F4CDE" w:rsidRPr="006966B8">
        <w:rPr>
          <w:lang w:val="en-GB"/>
        </w:rPr>
        <w:t xml:space="preserve"> ofatumumab and </w:t>
      </w:r>
      <w:r w:rsidR="00096473" w:rsidRPr="006966B8">
        <w:rPr>
          <w:lang w:val="en-GB"/>
        </w:rPr>
        <w:t xml:space="preserve">ocrelizumab </w:t>
      </w:r>
      <w:r w:rsidR="002F4CDE" w:rsidRPr="006966B8">
        <w:rPr>
          <w:lang w:val="en-GB"/>
        </w:rPr>
        <w:t xml:space="preserve">were </w:t>
      </w:r>
      <w:r w:rsidR="00A940AE" w:rsidRPr="006966B8">
        <w:rPr>
          <w:lang w:val="en-GB"/>
        </w:rPr>
        <w:t xml:space="preserve">both </w:t>
      </w:r>
      <w:r w:rsidR="005826D2" w:rsidRPr="006966B8">
        <w:rPr>
          <w:lang w:val="en-GB"/>
        </w:rPr>
        <w:t>anti</w:t>
      </w:r>
      <w:r w:rsidR="005826D2" w:rsidRPr="006966B8">
        <w:rPr>
          <w:lang w:val="en-GB"/>
        </w:rPr>
        <w:noBreakHyphen/>
        <w:t>CD20</w:t>
      </w:r>
      <w:r w:rsidR="002F4CDE" w:rsidRPr="006966B8">
        <w:rPr>
          <w:lang w:val="en-GB"/>
        </w:rPr>
        <w:t xml:space="preserve"> monoclonal antibodies, it was reasonable to consider ocrelizumab </w:t>
      </w:r>
      <w:r w:rsidR="00096473" w:rsidRPr="006966B8">
        <w:rPr>
          <w:lang w:val="en-GB"/>
        </w:rPr>
        <w:t xml:space="preserve">the closest comparator to ofatumumab. </w:t>
      </w:r>
      <w:r w:rsidR="002F4CDE" w:rsidRPr="006966B8">
        <w:rPr>
          <w:lang w:val="en-GB"/>
        </w:rPr>
        <w:t xml:space="preserve">The committee noted that in </w:t>
      </w:r>
      <w:hyperlink r:id="rId9" w:history="1">
        <w:r w:rsidR="00A940AE" w:rsidRPr="006966B8">
          <w:rPr>
            <w:rStyle w:val="Hyperlink"/>
            <w:lang w:val="en-GB"/>
          </w:rPr>
          <w:t xml:space="preserve">NICE's </w:t>
        </w:r>
        <w:r w:rsidR="00A940AE" w:rsidRPr="006966B8">
          <w:rPr>
            <w:rStyle w:val="Hyperlink"/>
            <w:lang w:val="en-GB"/>
          </w:rPr>
          <w:lastRenderedPageBreak/>
          <w:t>guidance on ocrelizumab for relapsing–remitting multiple sclerosis</w:t>
        </w:r>
      </w:hyperlink>
      <w:r w:rsidR="00867A6A" w:rsidRPr="006966B8">
        <w:rPr>
          <w:lang w:val="en-GB"/>
        </w:rPr>
        <w:t xml:space="preserve"> all</w:t>
      </w:r>
      <w:r w:rsidR="00A940AE" w:rsidRPr="006966B8">
        <w:rPr>
          <w:lang w:val="en-GB"/>
        </w:rPr>
        <w:t>-</w:t>
      </w:r>
      <w:r w:rsidR="002F4CDE" w:rsidRPr="006966B8">
        <w:rPr>
          <w:lang w:val="en-GB"/>
        </w:rPr>
        <w:t>cause t</w:t>
      </w:r>
      <w:r w:rsidR="00F964F3" w:rsidRPr="006966B8">
        <w:rPr>
          <w:lang w:val="en-GB"/>
        </w:rPr>
        <w:t>reatment</w:t>
      </w:r>
      <w:r w:rsidR="002F4CDE" w:rsidRPr="006966B8">
        <w:rPr>
          <w:lang w:val="en-GB"/>
        </w:rPr>
        <w:t xml:space="preserve"> discontinuation was accepted as </w:t>
      </w:r>
      <w:r w:rsidR="00F964F3" w:rsidRPr="006966B8">
        <w:rPr>
          <w:lang w:val="en-GB"/>
        </w:rPr>
        <w:t xml:space="preserve">a proxy </w:t>
      </w:r>
      <w:r w:rsidR="002F4CDE" w:rsidRPr="006966B8">
        <w:rPr>
          <w:lang w:val="en-GB"/>
        </w:rPr>
        <w:t>f</w:t>
      </w:r>
      <w:r w:rsidR="00F964F3" w:rsidRPr="006966B8">
        <w:rPr>
          <w:lang w:val="en-GB"/>
        </w:rPr>
        <w:t>or treatment waning in the absence of evidence for a waning effect</w:t>
      </w:r>
      <w:r w:rsidR="000D2BFA" w:rsidRPr="006966B8">
        <w:rPr>
          <w:lang w:val="en-GB"/>
        </w:rPr>
        <w:t>. But it also noted that</w:t>
      </w:r>
      <w:r w:rsidR="009C225C" w:rsidRPr="006966B8">
        <w:rPr>
          <w:lang w:val="en-GB"/>
        </w:rPr>
        <w:t xml:space="preserve"> scenarios </w:t>
      </w:r>
      <w:r w:rsidR="000D2BFA" w:rsidRPr="006966B8">
        <w:rPr>
          <w:lang w:val="en-GB"/>
        </w:rPr>
        <w:t>that</w:t>
      </w:r>
      <w:r w:rsidR="009C225C" w:rsidRPr="006966B8">
        <w:rPr>
          <w:lang w:val="en-GB"/>
        </w:rPr>
        <w:t xml:space="preserve"> included waning were also relevant for consideration. </w:t>
      </w:r>
      <w:r w:rsidR="00F964F3" w:rsidRPr="006966B8">
        <w:rPr>
          <w:lang w:val="en-GB"/>
        </w:rPr>
        <w:t xml:space="preserve">The committee </w:t>
      </w:r>
      <w:r w:rsidR="002F4CDE" w:rsidRPr="006966B8">
        <w:rPr>
          <w:lang w:val="en-GB"/>
        </w:rPr>
        <w:t>recognised that this was a difficult area with limited dat</w:t>
      </w:r>
      <w:r w:rsidR="00A940AE" w:rsidRPr="006966B8">
        <w:rPr>
          <w:lang w:val="en-GB"/>
        </w:rPr>
        <w:t>a</w:t>
      </w:r>
      <w:r w:rsidR="002F4CDE" w:rsidRPr="006966B8">
        <w:rPr>
          <w:lang w:val="en-GB"/>
        </w:rPr>
        <w:t xml:space="preserve"> and concluded that in this case</w:t>
      </w:r>
      <w:r w:rsidR="00E6530A" w:rsidRPr="006966B8">
        <w:rPr>
          <w:lang w:val="en-GB"/>
        </w:rPr>
        <w:t xml:space="preserve"> treatment discontinuation could be considered a proxy for waning</w:t>
      </w:r>
      <w:r w:rsidR="00746C7D" w:rsidRPr="006966B8">
        <w:rPr>
          <w:lang w:val="en-GB"/>
        </w:rPr>
        <w:t>.</w:t>
      </w:r>
    </w:p>
    <w:p w14:paraId="1E4BD7D3" w14:textId="217AE2C6" w:rsidR="00B82A82" w:rsidRPr="006966B8" w:rsidRDefault="00A00150" w:rsidP="00746C7D">
      <w:pPr>
        <w:pStyle w:val="Heading2"/>
      </w:pPr>
      <w:bookmarkStart w:id="10" w:name="_Hlk24556768"/>
      <w:r w:rsidRPr="006966B8">
        <w:t>Cost</w:t>
      </w:r>
      <w:r w:rsidR="00F93CA2" w:rsidRPr="006966B8">
        <w:t>-effectiveness</w:t>
      </w:r>
      <w:r w:rsidRPr="006966B8">
        <w:t xml:space="preserve"> estimate</w:t>
      </w:r>
      <w:r w:rsidR="00C40BE2" w:rsidRPr="006966B8">
        <w:t>s</w:t>
      </w:r>
    </w:p>
    <w:p w14:paraId="7A1C47A2" w14:textId="2F518A1D" w:rsidR="00587658" w:rsidRPr="006966B8" w:rsidRDefault="00A940AE" w:rsidP="00587658">
      <w:pPr>
        <w:pStyle w:val="Heading3"/>
      </w:pPr>
      <w:r w:rsidRPr="006966B8">
        <w:t>Ofatumumab can be considered cost</w:t>
      </w:r>
      <w:r w:rsidR="001F3DC5" w:rsidRPr="006966B8">
        <w:t xml:space="preserve"> </w:t>
      </w:r>
      <w:r w:rsidRPr="006966B8">
        <w:t xml:space="preserve">effective for treating </w:t>
      </w:r>
      <w:r w:rsidR="00663D57" w:rsidRPr="006966B8">
        <w:t>relapsing–remitting</w:t>
      </w:r>
      <w:r w:rsidRPr="006966B8">
        <w:t xml:space="preserve"> multiple sclerosis</w:t>
      </w:r>
    </w:p>
    <w:p w14:paraId="5EA379CA" w14:textId="01FB943E" w:rsidR="00B82A82" w:rsidRPr="00405517" w:rsidRDefault="00D35AD9" w:rsidP="00405517">
      <w:pPr>
        <w:pStyle w:val="Numberedlevel2text"/>
        <w:numPr>
          <w:ilvl w:val="1"/>
          <w:numId w:val="1"/>
        </w:numPr>
        <w:rPr>
          <w:lang w:val="en-GB"/>
        </w:rPr>
      </w:pPr>
      <w:hyperlink r:id="rId10" w:history="1">
        <w:r w:rsidR="00EC3319" w:rsidRPr="006966B8">
          <w:rPr>
            <w:rStyle w:val="Hyperlink"/>
            <w:lang w:val="en-GB"/>
          </w:rPr>
          <w:t>NICE’s guide to the methods of technology appraisal</w:t>
        </w:r>
      </w:hyperlink>
      <w:r w:rsidR="00EC3319" w:rsidRPr="006966B8">
        <w:rPr>
          <w:lang w:val="en-GB"/>
        </w:rPr>
        <w:t xml:space="preserve"> notes that</w:t>
      </w:r>
      <w:r w:rsidR="001F3DC5" w:rsidRPr="006966B8">
        <w:rPr>
          <w:lang w:val="en-GB"/>
        </w:rPr>
        <w:t>,</w:t>
      </w:r>
      <w:r w:rsidR="00EC3319" w:rsidRPr="006966B8">
        <w:rPr>
          <w:lang w:val="en-GB"/>
        </w:rPr>
        <w:t xml:space="preserve"> above a most plausible ICER of £20,000 per </w:t>
      </w:r>
      <w:r w:rsidR="00EB7496" w:rsidRPr="006966B8">
        <w:rPr>
          <w:lang w:val="en-GB"/>
        </w:rPr>
        <w:t>quality-adjusted life year (</w:t>
      </w:r>
      <w:r w:rsidR="00EC3319" w:rsidRPr="006966B8">
        <w:rPr>
          <w:lang w:val="en-GB"/>
        </w:rPr>
        <w:t>QALY</w:t>
      </w:r>
      <w:r w:rsidR="00EB7496" w:rsidRPr="006966B8">
        <w:rPr>
          <w:lang w:val="en-GB"/>
        </w:rPr>
        <w:t>)</w:t>
      </w:r>
      <w:r w:rsidR="00EC3319" w:rsidRPr="006966B8">
        <w:rPr>
          <w:lang w:val="en-GB"/>
        </w:rPr>
        <w:t xml:space="preserve"> gained, judgements about the acceptability of a technology as an effective use of NHS resources will take into account the degree of certainty around the ICER. The committee will be more cautious about recommending a technology if it is less certain about the ICERs presented.</w:t>
      </w:r>
      <w:r w:rsidR="00405517">
        <w:rPr>
          <w:lang w:val="en-GB"/>
        </w:rPr>
        <w:t xml:space="preserve"> </w:t>
      </w:r>
      <w:r w:rsidR="00A00150" w:rsidRPr="00405517">
        <w:rPr>
          <w:lang w:val="en-GB"/>
        </w:rPr>
        <w:t xml:space="preserve">The committee </w:t>
      </w:r>
      <w:r w:rsidR="0065035A" w:rsidRPr="00405517">
        <w:rPr>
          <w:lang w:val="en-GB"/>
        </w:rPr>
        <w:t>considered the probabilistic and determinist</w:t>
      </w:r>
      <w:r w:rsidR="00E6530A" w:rsidRPr="00405517">
        <w:rPr>
          <w:lang w:val="en-GB"/>
        </w:rPr>
        <w:t>ic cost</w:t>
      </w:r>
      <w:r w:rsidR="00315C49" w:rsidRPr="00405517">
        <w:rPr>
          <w:lang w:val="en-GB"/>
        </w:rPr>
        <w:t>-</w:t>
      </w:r>
      <w:r w:rsidR="00E6530A" w:rsidRPr="00405517">
        <w:rPr>
          <w:lang w:val="en-GB"/>
        </w:rPr>
        <w:t xml:space="preserve">effectiveness estimates presented by the company and ERG. Its preferred assumptions </w:t>
      </w:r>
      <w:r w:rsidR="00176034" w:rsidRPr="00405517">
        <w:rPr>
          <w:lang w:val="en-GB"/>
        </w:rPr>
        <w:t>included</w:t>
      </w:r>
      <w:r w:rsidR="00C40BE2" w:rsidRPr="00405517">
        <w:rPr>
          <w:lang w:val="en-GB"/>
        </w:rPr>
        <w:t>:</w:t>
      </w:r>
    </w:p>
    <w:p w14:paraId="1FCABFC8" w14:textId="6B3BDAAC" w:rsidR="00C40BE2" w:rsidRPr="006966B8" w:rsidRDefault="006F0C19" w:rsidP="00E6530A">
      <w:pPr>
        <w:pStyle w:val="Bulletindent1"/>
      </w:pPr>
      <w:r w:rsidRPr="006966B8">
        <w:t>secondary progressive multiple sclerosis</w:t>
      </w:r>
      <w:r w:rsidR="00C40BE2" w:rsidRPr="006966B8">
        <w:t>-specific disease management costs</w:t>
      </w:r>
    </w:p>
    <w:p w14:paraId="5CB80528" w14:textId="0395DD35" w:rsidR="00C40BE2" w:rsidRPr="006966B8" w:rsidRDefault="00FA67ED" w:rsidP="00E6530A">
      <w:pPr>
        <w:pStyle w:val="Bulletindent1"/>
      </w:pPr>
      <w:r w:rsidRPr="006966B8">
        <w:t>t</w:t>
      </w:r>
      <w:r w:rsidR="00C40BE2" w:rsidRPr="006966B8">
        <w:t xml:space="preserve">ransition matrices from the British Columbia longitudinal </w:t>
      </w:r>
      <w:r w:rsidR="006F0C19" w:rsidRPr="006966B8">
        <w:t>multiple sclerosis</w:t>
      </w:r>
      <w:r w:rsidR="00C40BE2" w:rsidRPr="006966B8">
        <w:t xml:space="preserve"> </w:t>
      </w:r>
      <w:r w:rsidR="001F3DC5" w:rsidRPr="006966B8">
        <w:t>dataset</w:t>
      </w:r>
    </w:p>
    <w:p w14:paraId="2C3C834F" w14:textId="647E6987" w:rsidR="00C40BE2" w:rsidRPr="006966B8" w:rsidRDefault="00FA67ED" w:rsidP="00E6530A">
      <w:pPr>
        <w:pStyle w:val="Bulletindent1"/>
      </w:pPr>
      <w:r w:rsidRPr="006966B8">
        <w:t>a</w:t>
      </w:r>
      <w:r w:rsidR="00F964F3" w:rsidRPr="006966B8">
        <w:t xml:space="preserve">nnualised relapse rates </w:t>
      </w:r>
      <w:r w:rsidRPr="006966B8">
        <w:t>that decrease</w:t>
      </w:r>
      <w:r w:rsidR="00F964F3" w:rsidRPr="006966B8">
        <w:t xml:space="preserve"> as EDSS </w:t>
      </w:r>
      <w:r w:rsidRPr="006966B8">
        <w:t xml:space="preserve">scores </w:t>
      </w:r>
      <w:r w:rsidR="00F964F3" w:rsidRPr="006966B8">
        <w:t>increase</w:t>
      </w:r>
    </w:p>
    <w:p w14:paraId="0DDE8443" w14:textId="41D92660" w:rsidR="00F964F3" w:rsidRPr="006966B8" w:rsidRDefault="00FA67ED" w:rsidP="00E6530A">
      <w:pPr>
        <w:pStyle w:val="Bulletindent1"/>
      </w:pPr>
      <w:r w:rsidRPr="006966B8">
        <w:t>h</w:t>
      </w:r>
      <w:r w:rsidR="00F964F3" w:rsidRPr="006966B8">
        <w:t xml:space="preserve">ealth state utility values </w:t>
      </w:r>
      <w:r w:rsidR="00176034">
        <w:t>showing</w:t>
      </w:r>
      <w:r w:rsidR="00F964F3" w:rsidRPr="006966B8">
        <w:t xml:space="preserve"> </w:t>
      </w:r>
      <w:r w:rsidRPr="006966B8">
        <w:t>that</w:t>
      </w:r>
      <w:r w:rsidR="00F964F3" w:rsidRPr="006966B8">
        <w:t xml:space="preserve"> as disability progresses, quality of life reduces</w:t>
      </w:r>
    </w:p>
    <w:p w14:paraId="19FB2208" w14:textId="5B658F99" w:rsidR="000F1B77" w:rsidRPr="006966B8" w:rsidRDefault="00FA67ED" w:rsidP="000F1B77">
      <w:pPr>
        <w:pStyle w:val="Bulletindent1"/>
      </w:pPr>
      <w:r w:rsidRPr="006966B8">
        <w:t>n</w:t>
      </w:r>
      <w:r w:rsidR="00F964F3" w:rsidRPr="006966B8">
        <w:t>o waning of treatment effect</w:t>
      </w:r>
      <w:r w:rsidRPr="006966B8">
        <w:t xml:space="preserve">; </w:t>
      </w:r>
      <w:r w:rsidR="00E0765F">
        <w:t xml:space="preserve">all-cause discontinuation </w:t>
      </w:r>
      <w:r w:rsidR="00F964F3" w:rsidRPr="006966B8">
        <w:t>considered a proxy for treatment waning</w:t>
      </w:r>
      <w:r w:rsidR="00587658" w:rsidRPr="006966B8">
        <w:t>.</w:t>
      </w:r>
      <w:r w:rsidR="000F1B77" w:rsidRPr="006966B8">
        <w:t xml:space="preserve"> </w:t>
      </w:r>
    </w:p>
    <w:p w14:paraId="7B72968C" w14:textId="42A21667" w:rsidR="00587658" w:rsidRDefault="0065035A" w:rsidP="0052128B">
      <w:pPr>
        <w:pStyle w:val="NICEnormalindented"/>
        <w:spacing w:before="240"/>
      </w:pPr>
      <w:r w:rsidRPr="006966B8">
        <w:lastRenderedPageBreak/>
        <w:t xml:space="preserve">The committee considered the </w:t>
      </w:r>
      <w:r w:rsidR="00E6530A" w:rsidRPr="006966B8">
        <w:t xml:space="preserve">impact </w:t>
      </w:r>
      <w:r w:rsidR="00373708" w:rsidRPr="006966B8">
        <w:t xml:space="preserve">of the various assumptions on the ICER. The </w:t>
      </w:r>
      <w:r w:rsidR="00E6530A" w:rsidRPr="006966B8">
        <w:t xml:space="preserve">committee noted that the </w:t>
      </w:r>
      <w:r w:rsidR="00373708" w:rsidRPr="006966B8">
        <w:t xml:space="preserve">ICERs </w:t>
      </w:r>
      <w:r w:rsidR="00E6530A" w:rsidRPr="006966B8">
        <w:t>it was using for decision</w:t>
      </w:r>
      <w:r w:rsidR="000B357A" w:rsidRPr="006966B8">
        <w:t xml:space="preserve"> </w:t>
      </w:r>
      <w:r w:rsidR="00E6530A" w:rsidRPr="006966B8">
        <w:t xml:space="preserve">making included </w:t>
      </w:r>
      <w:r w:rsidR="00373708" w:rsidRPr="006966B8">
        <w:t xml:space="preserve">commercial arrangements for </w:t>
      </w:r>
      <w:r w:rsidR="00E6530A" w:rsidRPr="006966B8">
        <w:t xml:space="preserve">ofatumumab and </w:t>
      </w:r>
      <w:r w:rsidR="00373708" w:rsidRPr="006966B8">
        <w:t xml:space="preserve">each comparator drug. These ICERs are </w:t>
      </w:r>
      <w:proofErr w:type="gramStart"/>
      <w:r w:rsidR="00373708" w:rsidRPr="006966B8">
        <w:t>confidential</w:t>
      </w:r>
      <w:proofErr w:type="gramEnd"/>
      <w:r w:rsidR="00373708" w:rsidRPr="006966B8">
        <w:t xml:space="preserve"> and the exact values cannot be reported here</w:t>
      </w:r>
      <w:r w:rsidR="000B357A" w:rsidRPr="006966B8">
        <w:t xml:space="preserve"> but were within </w:t>
      </w:r>
      <w:r w:rsidR="007978D6" w:rsidRPr="006966B8">
        <w:t>what</w:t>
      </w:r>
      <w:r w:rsidR="000B357A" w:rsidRPr="006966B8">
        <w:t xml:space="preserve"> NICE considers a cost</w:t>
      </w:r>
      <w:r w:rsidR="00315C49" w:rsidRPr="006966B8">
        <w:t>-effective</w:t>
      </w:r>
      <w:r w:rsidR="000B357A" w:rsidRPr="006966B8">
        <w:t xml:space="preserve"> use of NHS resources</w:t>
      </w:r>
      <w:r w:rsidR="00373708" w:rsidRPr="006966B8">
        <w:t>. The committee noted that</w:t>
      </w:r>
      <w:r w:rsidR="000B357A" w:rsidRPr="006966B8">
        <w:t>,</w:t>
      </w:r>
      <w:r w:rsidR="00373708" w:rsidRPr="006966B8">
        <w:t xml:space="preserve"> </w:t>
      </w:r>
      <w:r w:rsidR="00B7721A" w:rsidRPr="006966B8">
        <w:t xml:space="preserve">with the exception of waning of treatment effect, changes to each assumption </w:t>
      </w:r>
      <w:r w:rsidR="005C45B7" w:rsidRPr="006966B8">
        <w:t>had</w:t>
      </w:r>
      <w:r w:rsidR="000B357A" w:rsidRPr="006966B8">
        <w:t xml:space="preserve"> </w:t>
      </w:r>
      <w:r w:rsidR="00713E1C" w:rsidRPr="006966B8">
        <w:t xml:space="preserve">a minor </w:t>
      </w:r>
      <w:r w:rsidR="005C45B7" w:rsidRPr="006966B8">
        <w:t xml:space="preserve">impact </w:t>
      </w:r>
      <w:r w:rsidR="000B357A" w:rsidRPr="006966B8">
        <w:t>on</w:t>
      </w:r>
      <w:r w:rsidR="00373708" w:rsidRPr="006966B8">
        <w:t xml:space="preserve"> </w:t>
      </w:r>
      <w:r w:rsidR="00B7721A" w:rsidRPr="006966B8">
        <w:t>the base</w:t>
      </w:r>
      <w:r w:rsidR="00223E49">
        <w:t>-</w:t>
      </w:r>
      <w:r w:rsidR="00B7721A" w:rsidRPr="006966B8">
        <w:t xml:space="preserve">case ICER. The committee concluded </w:t>
      </w:r>
      <w:r w:rsidR="000B357A" w:rsidRPr="006966B8">
        <w:t xml:space="preserve">that it could recommend ofatumumab as an additional treatment option for </w:t>
      </w:r>
      <w:r w:rsidR="00663D57" w:rsidRPr="006966B8">
        <w:t>relapsing–remitting</w:t>
      </w:r>
      <w:r w:rsidR="000B357A" w:rsidRPr="006966B8">
        <w:t xml:space="preserve"> </w:t>
      </w:r>
      <w:r w:rsidR="00B7721A" w:rsidRPr="006966B8">
        <w:t xml:space="preserve">multiple </w:t>
      </w:r>
      <w:r w:rsidR="005C45B7" w:rsidRPr="006966B8">
        <w:t>sclerosis</w:t>
      </w:r>
      <w:r w:rsidR="00B7721A" w:rsidRPr="006966B8">
        <w:t>.</w:t>
      </w:r>
      <w:bookmarkEnd w:id="10"/>
    </w:p>
    <w:p w14:paraId="0429E6F0" w14:textId="3C12DC36" w:rsidR="00405517" w:rsidRPr="00405517" w:rsidRDefault="00405517" w:rsidP="00405517">
      <w:pPr>
        <w:pStyle w:val="Heading2"/>
      </w:pPr>
      <w:r>
        <w:t>Other factors</w:t>
      </w:r>
    </w:p>
    <w:p w14:paraId="76157A91" w14:textId="58C233DB" w:rsidR="00405517" w:rsidRDefault="00667D8D" w:rsidP="00405517">
      <w:pPr>
        <w:pStyle w:val="Numberedlevel2text"/>
        <w:rPr>
          <w:lang w:val="en-GB"/>
        </w:rPr>
      </w:pPr>
      <w:r w:rsidRPr="006966B8">
        <w:rPr>
          <w:lang w:val="en-GB"/>
        </w:rPr>
        <w:t>No equality</w:t>
      </w:r>
      <w:r w:rsidR="00E861AD" w:rsidRPr="006966B8">
        <w:rPr>
          <w:lang w:val="en-GB"/>
        </w:rPr>
        <w:t xml:space="preserve"> or </w:t>
      </w:r>
      <w:r w:rsidRPr="006966B8">
        <w:rPr>
          <w:lang w:val="en-GB"/>
        </w:rPr>
        <w:t>social value judgements were identified.</w:t>
      </w:r>
    </w:p>
    <w:p w14:paraId="7E68A770" w14:textId="5F78D2D2" w:rsidR="00643582" w:rsidRPr="006966B8" w:rsidRDefault="00667D8D" w:rsidP="005C09B3">
      <w:pPr>
        <w:pStyle w:val="Numberedlevel2text"/>
        <w:rPr>
          <w:lang w:val="en-GB"/>
        </w:rPr>
      </w:pPr>
      <w:r w:rsidRPr="006966B8">
        <w:rPr>
          <w:lang w:val="en-GB"/>
        </w:rPr>
        <w:t>NICE’s advice about life-extending treatments for people with a short-life expectancy did not apply.</w:t>
      </w:r>
    </w:p>
    <w:p w14:paraId="137995D7" w14:textId="77777777" w:rsidR="000F48EC" w:rsidRPr="006966B8" w:rsidRDefault="000F48EC" w:rsidP="0052128B">
      <w:pPr>
        <w:pStyle w:val="Numberedheading1"/>
      </w:pPr>
      <w:r w:rsidRPr="006966B8">
        <w:t>Implementation</w:t>
      </w:r>
    </w:p>
    <w:p w14:paraId="0C8642A6" w14:textId="7EBFFF71" w:rsidR="002A686F" w:rsidRPr="006966B8" w:rsidRDefault="00D35AD9">
      <w:pPr>
        <w:pStyle w:val="Numberedlevel2text"/>
        <w:rPr>
          <w:lang w:val="en-GB"/>
        </w:rPr>
      </w:pPr>
      <w:hyperlink r:id="rId11" w:history="1">
        <w:r w:rsidR="002A686F" w:rsidRPr="006966B8">
          <w:rPr>
            <w:rStyle w:val="Hyperlink"/>
            <w:lang w:val="en-GB"/>
          </w:rPr>
          <w:t>Section 7(6) of the National Institute for Health and Care Excellence (Constitution and Functions) and the Health and Social Care Information Centre (Functions) Regulations 2013</w:t>
        </w:r>
      </w:hyperlink>
      <w:r w:rsidR="002A686F" w:rsidRPr="006966B8">
        <w:rPr>
          <w:lang w:val="en-GB"/>
        </w:rPr>
        <w:t xml:space="preserve"> requires clinical commissioning groups, NHS England and, with respect to their public health functions, local authorities to comply with the recommendations in this appraisal within 3</w:t>
      </w:r>
      <w:r w:rsidR="005826D2" w:rsidRPr="006966B8">
        <w:rPr>
          <w:lang w:val="en-GB"/>
        </w:rPr>
        <w:t> months</w:t>
      </w:r>
      <w:r w:rsidR="002A686F" w:rsidRPr="006966B8">
        <w:rPr>
          <w:lang w:val="en-GB"/>
        </w:rPr>
        <w:t xml:space="preserve"> of its date of publication.</w:t>
      </w:r>
    </w:p>
    <w:p w14:paraId="15B782EB" w14:textId="68F47611" w:rsidR="002A686F" w:rsidRPr="006966B8" w:rsidRDefault="002A686F" w:rsidP="002A686F">
      <w:pPr>
        <w:pStyle w:val="Numberedlevel2text"/>
        <w:rPr>
          <w:lang w:val="en-GB"/>
        </w:rPr>
      </w:pPr>
      <w:r w:rsidRPr="006966B8">
        <w:rPr>
          <w:lang w:val="en-GB"/>
        </w:rPr>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w:t>
      </w:r>
      <w:r w:rsidR="005826D2" w:rsidRPr="006966B8">
        <w:rPr>
          <w:lang w:val="en-GB"/>
        </w:rPr>
        <w:t> months</w:t>
      </w:r>
      <w:r w:rsidRPr="006966B8">
        <w:rPr>
          <w:lang w:val="en-GB"/>
        </w:rPr>
        <w:t xml:space="preserve"> of the first publication of the final appraisal document.</w:t>
      </w:r>
    </w:p>
    <w:p w14:paraId="51208A79" w14:textId="0F321926" w:rsidR="002A686F" w:rsidRPr="006966B8" w:rsidRDefault="002A686F" w:rsidP="008D69C6">
      <w:pPr>
        <w:pStyle w:val="Numberedlevel2text"/>
        <w:rPr>
          <w:lang w:val="en-GB"/>
        </w:rPr>
      </w:pPr>
      <w:r w:rsidRPr="006966B8">
        <w:rPr>
          <w:lang w:val="en-GB"/>
        </w:rPr>
        <w:t xml:space="preserve">When NICE recommends a treatment ‘as an option’, the NHS must make sure it is available within the period set out in the paragraphs above. This </w:t>
      </w:r>
      <w:r w:rsidRPr="006966B8">
        <w:rPr>
          <w:lang w:val="en-GB"/>
        </w:rPr>
        <w:lastRenderedPageBreak/>
        <w:t xml:space="preserve">means that, if a patient has </w:t>
      </w:r>
      <w:r w:rsidR="00663D57" w:rsidRPr="006966B8">
        <w:rPr>
          <w:lang w:val="en-GB"/>
        </w:rPr>
        <w:t>relapsing–remitting</w:t>
      </w:r>
      <w:r w:rsidR="00444746" w:rsidRPr="006966B8">
        <w:rPr>
          <w:lang w:val="en-GB"/>
        </w:rPr>
        <w:t xml:space="preserve"> multiple sclerosis</w:t>
      </w:r>
      <w:r w:rsidRPr="006966B8">
        <w:rPr>
          <w:lang w:val="en-GB"/>
        </w:rPr>
        <w:t xml:space="preserve"> and the doctor responsible for their care thinks that </w:t>
      </w:r>
      <w:r w:rsidR="00444746" w:rsidRPr="006966B8">
        <w:rPr>
          <w:lang w:val="en-GB"/>
        </w:rPr>
        <w:t>ofatumumab</w:t>
      </w:r>
      <w:r w:rsidRPr="006966B8">
        <w:rPr>
          <w:lang w:val="en-GB"/>
        </w:rPr>
        <w:t xml:space="preserve"> is the right treatment, it should be available for use, in line with NICE’s recommendations.</w:t>
      </w:r>
    </w:p>
    <w:p w14:paraId="6B067E65" w14:textId="1B4A6573" w:rsidR="000F48EC" w:rsidRPr="006966B8" w:rsidRDefault="005C09B3" w:rsidP="002E73E7">
      <w:pPr>
        <w:pStyle w:val="Numberedheading1"/>
      </w:pPr>
      <w:r w:rsidRPr="006966B8">
        <w:t>R</w:t>
      </w:r>
      <w:r w:rsidR="000F48EC" w:rsidRPr="006966B8">
        <w:t>eview of guidance</w:t>
      </w:r>
    </w:p>
    <w:p w14:paraId="753C5A40" w14:textId="18539B3E" w:rsidR="001823EB" w:rsidRPr="006966B8" w:rsidRDefault="001823EB" w:rsidP="001823EB">
      <w:pPr>
        <w:pStyle w:val="Numberedlevel2text"/>
        <w:rPr>
          <w:lang w:val="en-GB"/>
        </w:rPr>
      </w:pPr>
      <w:r w:rsidRPr="006966B8">
        <w:rPr>
          <w:lang w:val="en-GB"/>
        </w:rPr>
        <w:t>The guidance on this technology will be considered for review 3</w:t>
      </w:r>
      <w:r w:rsidR="005826D2" w:rsidRPr="006966B8">
        <w:rPr>
          <w:lang w:val="en-GB"/>
        </w:rPr>
        <w:t> years</w:t>
      </w:r>
      <w:r w:rsidRPr="006966B8">
        <w:rPr>
          <w:lang w:val="en-GB"/>
        </w:rPr>
        <w:t xml:space="preserve"> after publication. The guidance executive will decide whether the technology should be reviewed based on information gathered by NICE, and in consultation with consultees and commentators.</w:t>
      </w:r>
    </w:p>
    <w:p w14:paraId="6697ABCC" w14:textId="2880897A" w:rsidR="004845D0" w:rsidRPr="006966B8" w:rsidRDefault="00B26064" w:rsidP="00721792">
      <w:pPr>
        <w:pStyle w:val="NICEnormalindented"/>
      </w:pPr>
      <w:r w:rsidRPr="006966B8">
        <w:t>Sanjeev Patel</w:t>
      </w:r>
      <w:r w:rsidR="004845D0" w:rsidRPr="006966B8">
        <w:br/>
        <w:t xml:space="preserve">Chair, </w:t>
      </w:r>
      <w:r w:rsidR="003847B9" w:rsidRPr="006966B8">
        <w:t>a</w:t>
      </w:r>
      <w:r w:rsidR="004845D0" w:rsidRPr="006966B8">
        <w:t xml:space="preserve">ppraisal </w:t>
      </w:r>
      <w:r w:rsidR="003847B9" w:rsidRPr="006966B8">
        <w:t>c</w:t>
      </w:r>
      <w:r w:rsidR="004845D0" w:rsidRPr="006966B8">
        <w:t>ommittee</w:t>
      </w:r>
      <w:r w:rsidR="004845D0" w:rsidRPr="006966B8">
        <w:br/>
      </w:r>
      <w:r w:rsidRPr="006966B8">
        <w:t>February 2021</w:t>
      </w:r>
    </w:p>
    <w:p w14:paraId="63A6AB9E" w14:textId="77777777" w:rsidR="00B16431" w:rsidRPr="006966B8" w:rsidRDefault="00B16431" w:rsidP="005C09B3">
      <w:pPr>
        <w:pStyle w:val="Numberedheading1"/>
      </w:pPr>
      <w:r w:rsidRPr="006966B8">
        <w:t xml:space="preserve">Appraisal </w:t>
      </w:r>
      <w:r w:rsidR="00343B53" w:rsidRPr="006966B8">
        <w:t>c</w:t>
      </w:r>
      <w:r w:rsidRPr="006966B8">
        <w:t>ommittee members and NICE project team</w:t>
      </w:r>
    </w:p>
    <w:p w14:paraId="0C12A591" w14:textId="77777777" w:rsidR="00B16431" w:rsidRPr="006966B8" w:rsidRDefault="00B16431" w:rsidP="00B16431">
      <w:pPr>
        <w:pStyle w:val="Heading2"/>
      </w:pPr>
      <w:bookmarkStart w:id="11" w:name="_Appraisal_committee_members"/>
      <w:bookmarkEnd w:id="11"/>
      <w:r w:rsidRPr="006966B8">
        <w:t xml:space="preserve">Appraisal </w:t>
      </w:r>
      <w:r w:rsidR="00343B53" w:rsidRPr="006966B8">
        <w:t>c</w:t>
      </w:r>
      <w:r w:rsidRPr="006966B8">
        <w:t>ommittee members</w:t>
      </w:r>
    </w:p>
    <w:p w14:paraId="426664FF" w14:textId="254FE93E" w:rsidR="002F2583" w:rsidRPr="006966B8" w:rsidRDefault="002F2583" w:rsidP="002F2583">
      <w:pPr>
        <w:pStyle w:val="NICEnormal"/>
        <w:rPr>
          <w:rFonts w:eastAsia="Calibri"/>
        </w:rPr>
      </w:pPr>
      <w:r w:rsidRPr="006966B8">
        <w:t xml:space="preserve">The 4 technology appraisal committees are standing advisory committees of NICE. This topic was considered by </w:t>
      </w:r>
      <w:hyperlink r:id="rId12" w:history="1">
        <w:r w:rsidR="00B22681" w:rsidRPr="006966B8">
          <w:rPr>
            <w:rStyle w:val="Hyperlink"/>
            <w:rFonts w:eastAsia="Calibri"/>
          </w:rPr>
          <w:t>committee B</w:t>
        </w:r>
      </w:hyperlink>
      <w:r w:rsidRPr="006966B8">
        <w:t>.</w:t>
      </w:r>
    </w:p>
    <w:p w14:paraId="6D3D62C0" w14:textId="05B3BE47" w:rsidR="002F2583" w:rsidRPr="006966B8" w:rsidRDefault="002F2583" w:rsidP="002F2583">
      <w:pPr>
        <w:pStyle w:val="NICEnormal"/>
      </w:pPr>
      <w:r w:rsidRPr="006966B8">
        <w:t>Committee members are asked to declare any interests in the technology to be appraised. If it is considered there is a conflict of interest, the member is excluded from participating further in that appraisal.</w:t>
      </w:r>
    </w:p>
    <w:p w14:paraId="670250F7" w14:textId="77777777" w:rsidR="002F2583" w:rsidRPr="006966B8" w:rsidRDefault="002F2583" w:rsidP="002F2583">
      <w:pPr>
        <w:pStyle w:val="NICEnormal"/>
      </w:pPr>
      <w:r w:rsidRPr="006966B8">
        <w:t xml:space="preserve">The </w:t>
      </w:r>
      <w:hyperlink r:id="rId13" w:history="1">
        <w:r w:rsidRPr="006966B8">
          <w:rPr>
            <w:rStyle w:val="Hyperlink"/>
            <w:rFonts w:eastAsia="Calibri"/>
          </w:rPr>
          <w:t>minutes</w:t>
        </w:r>
        <w:r w:rsidRPr="006966B8">
          <w:rPr>
            <w:rStyle w:val="Hyperlink"/>
          </w:rPr>
          <w:t xml:space="preserve"> of each appraisal committee meeting</w:t>
        </w:r>
      </w:hyperlink>
      <w:r w:rsidRPr="006966B8">
        <w:t>, which include the names of the members who attended and their declarations of interests, are posted on the NICE website.</w:t>
      </w:r>
    </w:p>
    <w:p w14:paraId="5C03DF4E" w14:textId="77777777" w:rsidR="00B16431" w:rsidRPr="006966B8" w:rsidRDefault="00B16431" w:rsidP="00B16431">
      <w:pPr>
        <w:pStyle w:val="Heading2"/>
      </w:pPr>
      <w:r w:rsidRPr="006966B8">
        <w:lastRenderedPageBreak/>
        <w:t>NICE project team</w:t>
      </w:r>
    </w:p>
    <w:p w14:paraId="1B9A8BFB" w14:textId="5B975999" w:rsidR="00B16431" w:rsidRPr="006966B8" w:rsidRDefault="00B16431" w:rsidP="00B16431">
      <w:pPr>
        <w:pStyle w:val="NICEnormal"/>
      </w:pPr>
      <w:r w:rsidRPr="006966B8">
        <w:t>Each technology appraisal is assigned to a team consisting of 1 or more health technology analysts (who act as technical leads for the appraisal), a technical adviser and a project manager.</w:t>
      </w:r>
    </w:p>
    <w:p w14:paraId="12F8CB17" w14:textId="64FD45BD" w:rsidR="00B16431" w:rsidRPr="006966B8" w:rsidRDefault="005C45B7" w:rsidP="00B16431">
      <w:pPr>
        <w:pStyle w:val="NICEnormal"/>
      </w:pPr>
      <w:bookmarkStart w:id="12" w:name="Text45"/>
      <w:r w:rsidRPr="006966B8">
        <w:rPr>
          <w:b/>
        </w:rPr>
        <w:t>Victoria Gillis-Elliott</w:t>
      </w:r>
      <w:r w:rsidR="00B16431" w:rsidRPr="006966B8">
        <w:br/>
        <w:t xml:space="preserve">Technical </w:t>
      </w:r>
      <w:r w:rsidR="00E65C76" w:rsidRPr="006966B8">
        <w:t>l</w:t>
      </w:r>
      <w:r w:rsidR="00B16431" w:rsidRPr="006966B8">
        <w:t>ead</w:t>
      </w:r>
    </w:p>
    <w:p w14:paraId="6D93FFF4" w14:textId="58551813" w:rsidR="00B16431" w:rsidRPr="006966B8" w:rsidRDefault="005C45B7" w:rsidP="00B16431">
      <w:pPr>
        <w:pStyle w:val="NICEnormal"/>
      </w:pPr>
      <w:r w:rsidRPr="006966B8">
        <w:rPr>
          <w:b/>
        </w:rPr>
        <w:t>Richard Diaz</w:t>
      </w:r>
      <w:r w:rsidR="00B16431" w:rsidRPr="006966B8">
        <w:br/>
        <w:t xml:space="preserve">Technical </w:t>
      </w:r>
      <w:r w:rsidR="00E65C76" w:rsidRPr="006966B8">
        <w:t>a</w:t>
      </w:r>
      <w:r w:rsidR="00B16431" w:rsidRPr="006966B8">
        <w:t>dviser</w:t>
      </w:r>
    </w:p>
    <w:p w14:paraId="61CF223C" w14:textId="64A305D5" w:rsidR="00B16431" w:rsidRPr="006966B8" w:rsidRDefault="005C45B7" w:rsidP="005D3FD9">
      <w:pPr>
        <w:pStyle w:val="NICEnormal"/>
      </w:pPr>
      <w:r w:rsidRPr="006966B8">
        <w:rPr>
          <w:b/>
        </w:rPr>
        <w:t>Jeremy Powell</w:t>
      </w:r>
      <w:r w:rsidR="00B16431" w:rsidRPr="006966B8">
        <w:br/>
        <w:t xml:space="preserve">Project </w:t>
      </w:r>
      <w:r w:rsidR="00E65C76" w:rsidRPr="006966B8">
        <w:t>m</w:t>
      </w:r>
      <w:r w:rsidR="00B16431" w:rsidRPr="006966B8">
        <w:t>anager</w:t>
      </w:r>
      <w:bookmarkEnd w:id="12"/>
    </w:p>
    <w:p w14:paraId="62613588" w14:textId="77777777" w:rsidR="006E7647" w:rsidRPr="006966B8" w:rsidRDefault="006E7647" w:rsidP="00F05E37">
      <w:pPr>
        <w:pStyle w:val="NICEnormal"/>
      </w:pPr>
      <w:r w:rsidRPr="006966B8">
        <w:t xml:space="preserve">ISBN: </w:t>
      </w:r>
      <w:r w:rsidRPr="006966B8">
        <w:rPr>
          <w:highlight w:val="green"/>
        </w:rPr>
        <w:t>[to be added at publication]</w:t>
      </w:r>
      <w:bookmarkEnd w:id="0"/>
    </w:p>
    <w:sectPr w:rsidR="006E7647" w:rsidRPr="006966B8"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031A" w14:textId="77777777" w:rsidR="00F237DC" w:rsidRDefault="00F237DC">
      <w:r>
        <w:separator/>
      </w:r>
    </w:p>
  </w:endnote>
  <w:endnote w:type="continuationSeparator" w:id="0">
    <w:p w14:paraId="0BD0696F" w14:textId="77777777" w:rsidR="00F237DC" w:rsidRDefault="00F237DC">
      <w:r>
        <w:continuationSeparator/>
      </w:r>
    </w:p>
  </w:endnote>
  <w:endnote w:type="continuationNotice" w:id="1">
    <w:p w14:paraId="4B1196B6" w14:textId="77777777" w:rsidR="00F237DC" w:rsidRDefault="00F23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45005" w14:textId="30B1ADD2" w:rsidR="00F237DC" w:rsidRPr="003D33FB" w:rsidRDefault="00F237DC" w:rsidP="007A7EC8">
    <w:pPr>
      <w:pStyle w:val="NICEnormalsinglespacing"/>
      <w:spacing w:after="120"/>
      <w:rPr>
        <w:sz w:val="18"/>
        <w:szCs w:val="18"/>
      </w:rPr>
    </w:pPr>
    <w:r>
      <w:rPr>
        <w:sz w:val="18"/>
        <w:szCs w:val="18"/>
      </w:rPr>
      <w:t>Appraisal consultation document/Final appraisal document</w:t>
    </w:r>
    <w:r w:rsidRPr="003D33FB">
      <w:rPr>
        <w:sz w:val="18"/>
        <w:szCs w:val="18"/>
      </w:rPr>
      <w:t xml:space="preserve"> – </w:t>
    </w:r>
    <w:r w:rsidRPr="00AE0D23">
      <w:rPr>
        <w:sz w:val="18"/>
        <w:szCs w:val="18"/>
      </w:rPr>
      <w:t xml:space="preserve">Ofatumumab for treating relapsing multiple sclerosis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p>
  <w:p w14:paraId="527E9580" w14:textId="0AEB1F18" w:rsidR="00F237DC" w:rsidRDefault="00F237DC" w:rsidP="007A7EC8">
    <w:pPr>
      <w:pStyle w:val="NICEnormalsinglespacing"/>
      <w:spacing w:after="120"/>
      <w:rPr>
        <w:sz w:val="18"/>
        <w:szCs w:val="18"/>
      </w:rPr>
    </w:pPr>
    <w:r w:rsidRPr="003D33FB">
      <w:rPr>
        <w:sz w:val="18"/>
        <w:szCs w:val="18"/>
      </w:rPr>
      <w:t xml:space="preserve">Issue date: </w:t>
    </w:r>
    <w:r w:rsidR="00BA148F">
      <w:rPr>
        <w:sz w:val="18"/>
        <w:szCs w:val="18"/>
      </w:rPr>
      <w:t xml:space="preserve">April </w:t>
    </w:r>
    <w:r>
      <w:rPr>
        <w:sz w:val="18"/>
        <w:szCs w:val="18"/>
      </w:rPr>
      <w:t>2021</w:t>
    </w:r>
  </w:p>
  <w:p w14:paraId="5D3A267E" w14:textId="72AF6DDA" w:rsidR="00F237DC" w:rsidRPr="007A7EC8" w:rsidRDefault="00F237DC"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AF2B1" w14:textId="77777777" w:rsidR="00F237DC" w:rsidRDefault="00F237DC">
      <w:r>
        <w:separator/>
      </w:r>
    </w:p>
  </w:footnote>
  <w:footnote w:type="continuationSeparator" w:id="0">
    <w:p w14:paraId="42E3F576" w14:textId="77777777" w:rsidR="00F237DC" w:rsidRDefault="00F237DC">
      <w:r>
        <w:continuationSeparator/>
      </w:r>
    </w:p>
  </w:footnote>
  <w:footnote w:type="continuationNotice" w:id="1">
    <w:p w14:paraId="185A414B" w14:textId="77777777" w:rsidR="00F237DC" w:rsidRDefault="00F23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3E8B" w14:textId="77777777" w:rsidR="00F237DC" w:rsidRPr="004E6427" w:rsidRDefault="00F237DC"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B9B6A6D"/>
    <w:multiLevelType w:val="hybridMultilevel"/>
    <w:tmpl w:val="6C045342"/>
    <w:lvl w:ilvl="0" w:tplc="928448F0">
      <w:start w:val="1"/>
      <w:numFmt w:val="bullet"/>
      <w:lvlText w:val="•"/>
      <w:lvlJc w:val="left"/>
      <w:pPr>
        <w:tabs>
          <w:tab w:val="num" w:pos="720"/>
        </w:tabs>
        <w:ind w:left="720" w:hanging="360"/>
      </w:pPr>
      <w:rPr>
        <w:rFonts w:ascii="Arial" w:hAnsi="Arial" w:hint="default"/>
      </w:rPr>
    </w:lvl>
    <w:lvl w:ilvl="1" w:tplc="B56A2AE0" w:tentative="1">
      <w:start w:val="1"/>
      <w:numFmt w:val="bullet"/>
      <w:lvlText w:val="•"/>
      <w:lvlJc w:val="left"/>
      <w:pPr>
        <w:tabs>
          <w:tab w:val="num" w:pos="1440"/>
        </w:tabs>
        <w:ind w:left="1440" w:hanging="360"/>
      </w:pPr>
      <w:rPr>
        <w:rFonts w:ascii="Arial" w:hAnsi="Arial" w:hint="default"/>
      </w:rPr>
    </w:lvl>
    <w:lvl w:ilvl="2" w:tplc="44087C50" w:tentative="1">
      <w:start w:val="1"/>
      <w:numFmt w:val="bullet"/>
      <w:lvlText w:val="•"/>
      <w:lvlJc w:val="left"/>
      <w:pPr>
        <w:tabs>
          <w:tab w:val="num" w:pos="2160"/>
        </w:tabs>
        <w:ind w:left="2160" w:hanging="360"/>
      </w:pPr>
      <w:rPr>
        <w:rFonts w:ascii="Arial" w:hAnsi="Arial" w:hint="default"/>
      </w:rPr>
    </w:lvl>
    <w:lvl w:ilvl="3" w:tplc="66369A70" w:tentative="1">
      <w:start w:val="1"/>
      <w:numFmt w:val="bullet"/>
      <w:lvlText w:val="•"/>
      <w:lvlJc w:val="left"/>
      <w:pPr>
        <w:tabs>
          <w:tab w:val="num" w:pos="2880"/>
        </w:tabs>
        <w:ind w:left="2880" w:hanging="360"/>
      </w:pPr>
      <w:rPr>
        <w:rFonts w:ascii="Arial" w:hAnsi="Arial" w:hint="default"/>
      </w:rPr>
    </w:lvl>
    <w:lvl w:ilvl="4" w:tplc="2E582A78" w:tentative="1">
      <w:start w:val="1"/>
      <w:numFmt w:val="bullet"/>
      <w:lvlText w:val="•"/>
      <w:lvlJc w:val="left"/>
      <w:pPr>
        <w:tabs>
          <w:tab w:val="num" w:pos="3600"/>
        </w:tabs>
        <w:ind w:left="3600" w:hanging="360"/>
      </w:pPr>
      <w:rPr>
        <w:rFonts w:ascii="Arial" w:hAnsi="Arial" w:hint="default"/>
      </w:rPr>
    </w:lvl>
    <w:lvl w:ilvl="5" w:tplc="C400A73C" w:tentative="1">
      <w:start w:val="1"/>
      <w:numFmt w:val="bullet"/>
      <w:lvlText w:val="•"/>
      <w:lvlJc w:val="left"/>
      <w:pPr>
        <w:tabs>
          <w:tab w:val="num" w:pos="4320"/>
        </w:tabs>
        <w:ind w:left="4320" w:hanging="360"/>
      </w:pPr>
      <w:rPr>
        <w:rFonts w:ascii="Arial" w:hAnsi="Arial" w:hint="default"/>
      </w:rPr>
    </w:lvl>
    <w:lvl w:ilvl="6" w:tplc="46FA6FEE" w:tentative="1">
      <w:start w:val="1"/>
      <w:numFmt w:val="bullet"/>
      <w:lvlText w:val="•"/>
      <w:lvlJc w:val="left"/>
      <w:pPr>
        <w:tabs>
          <w:tab w:val="num" w:pos="5040"/>
        </w:tabs>
        <w:ind w:left="5040" w:hanging="360"/>
      </w:pPr>
      <w:rPr>
        <w:rFonts w:ascii="Arial" w:hAnsi="Arial" w:hint="default"/>
      </w:rPr>
    </w:lvl>
    <w:lvl w:ilvl="7" w:tplc="9C586E2E" w:tentative="1">
      <w:start w:val="1"/>
      <w:numFmt w:val="bullet"/>
      <w:lvlText w:val="•"/>
      <w:lvlJc w:val="left"/>
      <w:pPr>
        <w:tabs>
          <w:tab w:val="num" w:pos="5760"/>
        </w:tabs>
        <w:ind w:left="5760" w:hanging="360"/>
      </w:pPr>
      <w:rPr>
        <w:rFonts w:ascii="Arial" w:hAnsi="Arial" w:hint="default"/>
      </w:rPr>
    </w:lvl>
    <w:lvl w:ilvl="8" w:tplc="401E0D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1A3B7E"/>
    <w:multiLevelType w:val="hybridMultilevel"/>
    <w:tmpl w:val="2454F8E6"/>
    <w:lvl w:ilvl="0" w:tplc="37982114">
      <w:start w:val="1"/>
      <w:numFmt w:val="bullet"/>
      <w:lvlText w:val="•"/>
      <w:lvlJc w:val="left"/>
      <w:pPr>
        <w:tabs>
          <w:tab w:val="num" w:pos="720"/>
        </w:tabs>
        <w:ind w:left="720" w:hanging="360"/>
      </w:pPr>
      <w:rPr>
        <w:rFonts w:ascii="Arial" w:hAnsi="Arial" w:hint="default"/>
      </w:rPr>
    </w:lvl>
    <w:lvl w:ilvl="1" w:tplc="6E3ED662" w:tentative="1">
      <w:start w:val="1"/>
      <w:numFmt w:val="bullet"/>
      <w:lvlText w:val="•"/>
      <w:lvlJc w:val="left"/>
      <w:pPr>
        <w:tabs>
          <w:tab w:val="num" w:pos="1440"/>
        </w:tabs>
        <w:ind w:left="1440" w:hanging="360"/>
      </w:pPr>
      <w:rPr>
        <w:rFonts w:ascii="Arial" w:hAnsi="Arial" w:hint="default"/>
      </w:rPr>
    </w:lvl>
    <w:lvl w:ilvl="2" w:tplc="1B0AB6E2" w:tentative="1">
      <w:start w:val="1"/>
      <w:numFmt w:val="bullet"/>
      <w:lvlText w:val="•"/>
      <w:lvlJc w:val="left"/>
      <w:pPr>
        <w:tabs>
          <w:tab w:val="num" w:pos="2160"/>
        </w:tabs>
        <w:ind w:left="2160" w:hanging="360"/>
      </w:pPr>
      <w:rPr>
        <w:rFonts w:ascii="Arial" w:hAnsi="Arial" w:hint="default"/>
      </w:rPr>
    </w:lvl>
    <w:lvl w:ilvl="3" w:tplc="6E2298E4" w:tentative="1">
      <w:start w:val="1"/>
      <w:numFmt w:val="bullet"/>
      <w:lvlText w:val="•"/>
      <w:lvlJc w:val="left"/>
      <w:pPr>
        <w:tabs>
          <w:tab w:val="num" w:pos="2880"/>
        </w:tabs>
        <w:ind w:left="2880" w:hanging="360"/>
      </w:pPr>
      <w:rPr>
        <w:rFonts w:ascii="Arial" w:hAnsi="Arial" w:hint="default"/>
      </w:rPr>
    </w:lvl>
    <w:lvl w:ilvl="4" w:tplc="F726243E" w:tentative="1">
      <w:start w:val="1"/>
      <w:numFmt w:val="bullet"/>
      <w:lvlText w:val="•"/>
      <w:lvlJc w:val="left"/>
      <w:pPr>
        <w:tabs>
          <w:tab w:val="num" w:pos="3600"/>
        </w:tabs>
        <w:ind w:left="3600" w:hanging="360"/>
      </w:pPr>
      <w:rPr>
        <w:rFonts w:ascii="Arial" w:hAnsi="Arial" w:hint="default"/>
      </w:rPr>
    </w:lvl>
    <w:lvl w:ilvl="5" w:tplc="C0B8EA44" w:tentative="1">
      <w:start w:val="1"/>
      <w:numFmt w:val="bullet"/>
      <w:lvlText w:val="•"/>
      <w:lvlJc w:val="left"/>
      <w:pPr>
        <w:tabs>
          <w:tab w:val="num" w:pos="4320"/>
        </w:tabs>
        <w:ind w:left="4320" w:hanging="360"/>
      </w:pPr>
      <w:rPr>
        <w:rFonts w:ascii="Arial" w:hAnsi="Arial" w:hint="default"/>
      </w:rPr>
    </w:lvl>
    <w:lvl w:ilvl="6" w:tplc="FB045C88" w:tentative="1">
      <w:start w:val="1"/>
      <w:numFmt w:val="bullet"/>
      <w:lvlText w:val="•"/>
      <w:lvlJc w:val="left"/>
      <w:pPr>
        <w:tabs>
          <w:tab w:val="num" w:pos="5040"/>
        </w:tabs>
        <w:ind w:left="5040" w:hanging="360"/>
      </w:pPr>
      <w:rPr>
        <w:rFonts w:ascii="Arial" w:hAnsi="Arial" w:hint="default"/>
      </w:rPr>
    </w:lvl>
    <w:lvl w:ilvl="7" w:tplc="632615AE" w:tentative="1">
      <w:start w:val="1"/>
      <w:numFmt w:val="bullet"/>
      <w:lvlText w:val="•"/>
      <w:lvlJc w:val="left"/>
      <w:pPr>
        <w:tabs>
          <w:tab w:val="num" w:pos="5760"/>
        </w:tabs>
        <w:ind w:left="5760" w:hanging="360"/>
      </w:pPr>
      <w:rPr>
        <w:rFonts w:ascii="Arial" w:hAnsi="Arial" w:hint="default"/>
      </w:rPr>
    </w:lvl>
    <w:lvl w:ilvl="8" w:tplc="105E2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52953"/>
    <w:multiLevelType w:val="hybridMultilevel"/>
    <w:tmpl w:val="1896B2F4"/>
    <w:lvl w:ilvl="0" w:tplc="C1E28896">
      <w:start w:val="1"/>
      <w:numFmt w:val="bullet"/>
      <w:lvlText w:val="•"/>
      <w:lvlJc w:val="left"/>
      <w:pPr>
        <w:tabs>
          <w:tab w:val="num" w:pos="720"/>
        </w:tabs>
        <w:ind w:left="720" w:hanging="360"/>
      </w:pPr>
      <w:rPr>
        <w:rFonts w:ascii="Arial" w:hAnsi="Arial" w:hint="default"/>
      </w:rPr>
    </w:lvl>
    <w:lvl w:ilvl="1" w:tplc="623873A8" w:tentative="1">
      <w:start w:val="1"/>
      <w:numFmt w:val="bullet"/>
      <w:lvlText w:val="•"/>
      <w:lvlJc w:val="left"/>
      <w:pPr>
        <w:tabs>
          <w:tab w:val="num" w:pos="1440"/>
        </w:tabs>
        <w:ind w:left="1440" w:hanging="360"/>
      </w:pPr>
      <w:rPr>
        <w:rFonts w:ascii="Arial" w:hAnsi="Arial" w:hint="default"/>
      </w:rPr>
    </w:lvl>
    <w:lvl w:ilvl="2" w:tplc="5CD6190A" w:tentative="1">
      <w:start w:val="1"/>
      <w:numFmt w:val="bullet"/>
      <w:lvlText w:val="•"/>
      <w:lvlJc w:val="left"/>
      <w:pPr>
        <w:tabs>
          <w:tab w:val="num" w:pos="2160"/>
        </w:tabs>
        <w:ind w:left="2160" w:hanging="360"/>
      </w:pPr>
      <w:rPr>
        <w:rFonts w:ascii="Arial" w:hAnsi="Arial" w:hint="default"/>
      </w:rPr>
    </w:lvl>
    <w:lvl w:ilvl="3" w:tplc="FAD09A60" w:tentative="1">
      <w:start w:val="1"/>
      <w:numFmt w:val="bullet"/>
      <w:lvlText w:val="•"/>
      <w:lvlJc w:val="left"/>
      <w:pPr>
        <w:tabs>
          <w:tab w:val="num" w:pos="2880"/>
        </w:tabs>
        <w:ind w:left="2880" w:hanging="360"/>
      </w:pPr>
      <w:rPr>
        <w:rFonts w:ascii="Arial" w:hAnsi="Arial" w:hint="default"/>
      </w:rPr>
    </w:lvl>
    <w:lvl w:ilvl="4" w:tplc="ECF28C34" w:tentative="1">
      <w:start w:val="1"/>
      <w:numFmt w:val="bullet"/>
      <w:lvlText w:val="•"/>
      <w:lvlJc w:val="left"/>
      <w:pPr>
        <w:tabs>
          <w:tab w:val="num" w:pos="3600"/>
        </w:tabs>
        <w:ind w:left="3600" w:hanging="360"/>
      </w:pPr>
      <w:rPr>
        <w:rFonts w:ascii="Arial" w:hAnsi="Arial" w:hint="default"/>
      </w:rPr>
    </w:lvl>
    <w:lvl w:ilvl="5" w:tplc="387E9636" w:tentative="1">
      <w:start w:val="1"/>
      <w:numFmt w:val="bullet"/>
      <w:lvlText w:val="•"/>
      <w:lvlJc w:val="left"/>
      <w:pPr>
        <w:tabs>
          <w:tab w:val="num" w:pos="4320"/>
        </w:tabs>
        <w:ind w:left="4320" w:hanging="360"/>
      </w:pPr>
      <w:rPr>
        <w:rFonts w:ascii="Arial" w:hAnsi="Arial" w:hint="default"/>
      </w:rPr>
    </w:lvl>
    <w:lvl w:ilvl="6" w:tplc="1040AF8A" w:tentative="1">
      <w:start w:val="1"/>
      <w:numFmt w:val="bullet"/>
      <w:lvlText w:val="•"/>
      <w:lvlJc w:val="left"/>
      <w:pPr>
        <w:tabs>
          <w:tab w:val="num" w:pos="5040"/>
        </w:tabs>
        <w:ind w:left="5040" w:hanging="360"/>
      </w:pPr>
      <w:rPr>
        <w:rFonts w:ascii="Arial" w:hAnsi="Arial" w:hint="default"/>
      </w:rPr>
    </w:lvl>
    <w:lvl w:ilvl="7" w:tplc="EC0C1DD0" w:tentative="1">
      <w:start w:val="1"/>
      <w:numFmt w:val="bullet"/>
      <w:lvlText w:val="•"/>
      <w:lvlJc w:val="left"/>
      <w:pPr>
        <w:tabs>
          <w:tab w:val="num" w:pos="5760"/>
        </w:tabs>
        <w:ind w:left="5760" w:hanging="360"/>
      </w:pPr>
      <w:rPr>
        <w:rFonts w:ascii="Arial" w:hAnsi="Arial" w:hint="default"/>
      </w:rPr>
    </w:lvl>
    <w:lvl w:ilvl="8" w:tplc="2EA007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72B29BD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8A4B21"/>
    <w:multiLevelType w:val="hybridMultilevel"/>
    <w:tmpl w:val="E0FA8A94"/>
    <w:lvl w:ilvl="0" w:tplc="DDFE004E">
      <w:start w:val="1"/>
      <w:numFmt w:val="bullet"/>
      <w:lvlText w:val="•"/>
      <w:lvlJc w:val="left"/>
      <w:pPr>
        <w:tabs>
          <w:tab w:val="num" w:pos="720"/>
        </w:tabs>
        <w:ind w:left="720" w:hanging="360"/>
      </w:pPr>
      <w:rPr>
        <w:rFonts w:ascii="Arial" w:hAnsi="Arial" w:hint="default"/>
      </w:rPr>
    </w:lvl>
    <w:lvl w:ilvl="1" w:tplc="EDBE1988" w:tentative="1">
      <w:start w:val="1"/>
      <w:numFmt w:val="bullet"/>
      <w:lvlText w:val="•"/>
      <w:lvlJc w:val="left"/>
      <w:pPr>
        <w:tabs>
          <w:tab w:val="num" w:pos="1440"/>
        </w:tabs>
        <w:ind w:left="1440" w:hanging="360"/>
      </w:pPr>
      <w:rPr>
        <w:rFonts w:ascii="Arial" w:hAnsi="Arial" w:hint="default"/>
      </w:rPr>
    </w:lvl>
    <w:lvl w:ilvl="2" w:tplc="F75E8CA4" w:tentative="1">
      <w:start w:val="1"/>
      <w:numFmt w:val="bullet"/>
      <w:lvlText w:val="•"/>
      <w:lvlJc w:val="left"/>
      <w:pPr>
        <w:tabs>
          <w:tab w:val="num" w:pos="2160"/>
        </w:tabs>
        <w:ind w:left="2160" w:hanging="360"/>
      </w:pPr>
      <w:rPr>
        <w:rFonts w:ascii="Arial" w:hAnsi="Arial" w:hint="default"/>
      </w:rPr>
    </w:lvl>
    <w:lvl w:ilvl="3" w:tplc="E8CC9CE6" w:tentative="1">
      <w:start w:val="1"/>
      <w:numFmt w:val="bullet"/>
      <w:lvlText w:val="•"/>
      <w:lvlJc w:val="left"/>
      <w:pPr>
        <w:tabs>
          <w:tab w:val="num" w:pos="2880"/>
        </w:tabs>
        <w:ind w:left="2880" w:hanging="360"/>
      </w:pPr>
      <w:rPr>
        <w:rFonts w:ascii="Arial" w:hAnsi="Arial" w:hint="default"/>
      </w:rPr>
    </w:lvl>
    <w:lvl w:ilvl="4" w:tplc="A0660C5A" w:tentative="1">
      <w:start w:val="1"/>
      <w:numFmt w:val="bullet"/>
      <w:lvlText w:val="•"/>
      <w:lvlJc w:val="left"/>
      <w:pPr>
        <w:tabs>
          <w:tab w:val="num" w:pos="3600"/>
        </w:tabs>
        <w:ind w:left="3600" w:hanging="360"/>
      </w:pPr>
      <w:rPr>
        <w:rFonts w:ascii="Arial" w:hAnsi="Arial" w:hint="default"/>
      </w:rPr>
    </w:lvl>
    <w:lvl w:ilvl="5" w:tplc="236C458E" w:tentative="1">
      <w:start w:val="1"/>
      <w:numFmt w:val="bullet"/>
      <w:lvlText w:val="•"/>
      <w:lvlJc w:val="left"/>
      <w:pPr>
        <w:tabs>
          <w:tab w:val="num" w:pos="4320"/>
        </w:tabs>
        <w:ind w:left="4320" w:hanging="360"/>
      </w:pPr>
      <w:rPr>
        <w:rFonts w:ascii="Arial" w:hAnsi="Arial" w:hint="default"/>
      </w:rPr>
    </w:lvl>
    <w:lvl w:ilvl="6" w:tplc="CCAA2B2A" w:tentative="1">
      <w:start w:val="1"/>
      <w:numFmt w:val="bullet"/>
      <w:lvlText w:val="•"/>
      <w:lvlJc w:val="left"/>
      <w:pPr>
        <w:tabs>
          <w:tab w:val="num" w:pos="5040"/>
        </w:tabs>
        <w:ind w:left="5040" w:hanging="360"/>
      </w:pPr>
      <w:rPr>
        <w:rFonts w:ascii="Arial" w:hAnsi="Arial" w:hint="default"/>
      </w:rPr>
    </w:lvl>
    <w:lvl w:ilvl="7" w:tplc="52120EE8" w:tentative="1">
      <w:start w:val="1"/>
      <w:numFmt w:val="bullet"/>
      <w:lvlText w:val="•"/>
      <w:lvlJc w:val="left"/>
      <w:pPr>
        <w:tabs>
          <w:tab w:val="num" w:pos="5760"/>
        </w:tabs>
        <w:ind w:left="5760" w:hanging="360"/>
      </w:pPr>
      <w:rPr>
        <w:rFonts w:ascii="Arial" w:hAnsi="Arial" w:hint="default"/>
      </w:rPr>
    </w:lvl>
    <w:lvl w:ilvl="8" w:tplc="25CA39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61258EC"/>
    <w:multiLevelType w:val="hybridMultilevel"/>
    <w:tmpl w:val="2A1E1BFA"/>
    <w:lvl w:ilvl="0" w:tplc="BA549DC2">
      <w:start w:val="1"/>
      <w:numFmt w:val="bullet"/>
      <w:lvlText w:val="•"/>
      <w:lvlJc w:val="left"/>
      <w:pPr>
        <w:tabs>
          <w:tab w:val="num" w:pos="720"/>
        </w:tabs>
        <w:ind w:left="720" w:hanging="360"/>
      </w:pPr>
      <w:rPr>
        <w:rFonts w:ascii="Arial" w:hAnsi="Arial" w:hint="default"/>
      </w:rPr>
    </w:lvl>
    <w:lvl w:ilvl="1" w:tplc="B6988298" w:tentative="1">
      <w:start w:val="1"/>
      <w:numFmt w:val="bullet"/>
      <w:lvlText w:val="•"/>
      <w:lvlJc w:val="left"/>
      <w:pPr>
        <w:tabs>
          <w:tab w:val="num" w:pos="1440"/>
        </w:tabs>
        <w:ind w:left="1440" w:hanging="360"/>
      </w:pPr>
      <w:rPr>
        <w:rFonts w:ascii="Arial" w:hAnsi="Arial" w:hint="default"/>
      </w:rPr>
    </w:lvl>
    <w:lvl w:ilvl="2" w:tplc="9AAE70AC" w:tentative="1">
      <w:start w:val="1"/>
      <w:numFmt w:val="bullet"/>
      <w:lvlText w:val="•"/>
      <w:lvlJc w:val="left"/>
      <w:pPr>
        <w:tabs>
          <w:tab w:val="num" w:pos="2160"/>
        </w:tabs>
        <w:ind w:left="2160" w:hanging="360"/>
      </w:pPr>
      <w:rPr>
        <w:rFonts w:ascii="Arial" w:hAnsi="Arial" w:hint="default"/>
      </w:rPr>
    </w:lvl>
    <w:lvl w:ilvl="3" w:tplc="FF5CFECA" w:tentative="1">
      <w:start w:val="1"/>
      <w:numFmt w:val="bullet"/>
      <w:lvlText w:val="•"/>
      <w:lvlJc w:val="left"/>
      <w:pPr>
        <w:tabs>
          <w:tab w:val="num" w:pos="2880"/>
        </w:tabs>
        <w:ind w:left="2880" w:hanging="360"/>
      </w:pPr>
      <w:rPr>
        <w:rFonts w:ascii="Arial" w:hAnsi="Arial" w:hint="default"/>
      </w:rPr>
    </w:lvl>
    <w:lvl w:ilvl="4" w:tplc="20C2F916" w:tentative="1">
      <w:start w:val="1"/>
      <w:numFmt w:val="bullet"/>
      <w:lvlText w:val="•"/>
      <w:lvlJc w:val="left"/>
      <w:pPr>
        <w:tabs>
          <w:tab w:val="num" w:pos="3600"/>
        </w:tabs>
        <w:ind w:left="3600" w:hanging="360"/>
      </w:pPr>
      <w:rPr>
        <w:rFonts w:ascii="Arial" w:hAnsi="Arial" w:hint="default"/>
      </w:rPr>
    </w:lvl>
    <w:lvl w:ilvl="5" w:tplc="4230930E" w:tentative="1">
      <w:start w:val="1"/>
      <w:numFmt w:val="bullet"/>
      <w:lvlText w:val="•"/>
      <w:lvlJc w:val="left"/>
      <w:pPr>
        <w:tabs>
          <w:tab w:val="num" w:pos="4320"/>
        </w:tabs>
        <w:ind w:left="4320" w:hanging="360"/>
      </w:pPr>
      <w:rPr>
        <w:rFonts w:ascii="Arial" w:hAnsi="Arial" w:hint="default"/>
      </w:rPr>
    </w:lvl>
    <w:lvl w:ilvl="6" w:tplc="E4BE0618" w:tentative="1">
      <w:start w:val="1"/>
      <w:numFmt w:val="bullet"/>
      <w:lvlText w:val="•"/>
      <w:lvlJc w:val="left"/>
      <w:pPr>
        <w:tabs>
          <w:tab w:val="num" w:pos="5040"/>
        </w:tabs>
        <w:ind w:left="5040" w:hanging="360"/>
      </w:pPr>
      <w:rPr>
        <w:rFonts w:ascii="Arial" w:hAnsi="Arial" w:hint="default"/>
      </w:rPr>
    </w:lvl>
    <w:lvl w:ilvl="7" w:tplc="29BEA89C" w:tentative="1">
      <w:start w:val="1"/>
      <w:numFmt w:val="bullet"/>
      <w:lvlText w:val="•"/>
      <w:lvlJc w:val="left"/>
      <w:pPr>
        <w:tabs>
          <w:tab w:val="num" w:pos="5760"/>
        </w:tabs>
        <w:ind w:left="5760" w:hanging="360"/>
      </w:pPr>
      <w:rPr>
        <w:rFonts w:ascii="Arial" w:hAnsi="Arial" w:hint="default"/>
      </w:rPr>
    </w:lvl>
    <w:lvl w:ilvl="8" w:tplc="0C66DF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89D7C17"/>
    <w:multiLevelType w:val="multilevel"/>
    <w:tmpl w:val="22708DDA"/>
    <w:lvl w:ilvl="0">
      <w:start w:val="1"/>
      <w:numFmt w:val="decimal"/>
      <w:lvlText w:val="%1"/>
      <w:lvlJc w:val="left"/>
      <w:pPr>
        <w:ind w:left="567" w:hanging="283"/>
      </w:pPr>
      <w:rPr>
        <w:rFonts w:hint="default"/>
      </w:rPr>
    </w:lvl>
    <w:lvl w:ilvl="1">
      <w:start w:val="1"/>
      <w:numFmt w:val="decimal"/>
      <w:lvlText w:val="%1.%2"/>
      <w:lvlJc w:val="left"/>
      <w:pPr>
        <w:ind w:left="851" w:hanging="283"/>
      </w:pPr>
      <w:rPr>
        <w:rFonts w:hint="default"/>
        <w:i w:val="0"/>
        <w:iCs/>
      </w:rPr>
    </w:lvl>
    <w:lvl w:ilvl="2">
      <w:start w:val="1"/>
      <w:numFmt w:val="decimal"/>
      <w:lvlText w:val="%1.%2.%3"/>
      <w:lvlJc w:val="right"/>
      <w:pPr>
        <w:ind w:left="1135"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7" w15:restartNumberingAfterBreak="0">
    <w:nsid w:val="4E590200"/>
    <w:multiLevelType w:val="hybridMultilevel"/>
    <w:tmpl w:val="ED5800AE"/>
    <w:lvl w:ilvl="0" w:tplc="4D925A8C">
      <w:start w:val="1"/>
      <w:numFmt w:val="bullet"/>
      <w:lvlText w:val="•"/>
      <w:lvlJc w:val="left"/>
      <w:pPr>
        <w:tabs>
          <w:tab w:val="num" w:pos="720"/>
        </w:tabs>
        <w:ind w:left="720" w:hanging="360"/>
      </w:pPr>
      <w:rPr>
        <w:rFonts w:ascii="Arial" w:hAnsi="Arial" w:hint="default"/>
      </w:rPr>
    </w:lvl>
    <w:lvl w:ilvl="1" w:tplc="0AFA6336" w:tentative="1">
      <w:start w:val="1"/>
      <w:numFmt w:val="bullet"/>
      <w:lvlText w:val="•"/>
      <w:lvlJc w:val="left"/>
      <w:pPr>
        <w:tabs>
          <w:tab w:val="num" w:pos="1440"/>
        </w:tabs>
        <w:ind w:left="1440" w:hanging="360"/>
      </w:pPr>
      <w:rPr>
        <w:rFonts w:ascii="Arial" w:hAnsi="Arial" w:hint="default"/>
      </w:rPr>
    </w:lvl>
    <w:lvl w:ilvl="2" w:tplc="7364351E" w:tentative="1">
      <w:start w:val="1"/>
      <w:numFmt w:val="bullet"/>
      <w:lvlText w:val="•"/>
      <w:lvlJc w:val="left"/>
      <w:pPr>
        <w:tabs>
          <w:tab w:val="num" w:pos="2160"/>
        </w:tabs>
        <w:ind w:left="2160" w:hanging="360"/>
      </w:pPr>
      <w:rPr>
        <w:rFonts w:ascii="Arial" w:hAnsi="Arial" w:hint="default"/>
      </w:rPr>
    </w:lvl>
    <w:lvl w:ilvl="3" w:tplc="3CE46972" w:tentative="1">
      <w:start w:val="1"/>
      <w:numFmt w:val="bullet"/>
      <w:lvlText w:val="•"/>
      <w:lvlJc w:val="left"/>
      <w:pPr>
        <w:tabs>
          <w:tab w:val="num" w:pos="2880"/>
        </w:tabs>
        <w:ind w:left="2880" w:hanging="360"/>
      </w:pPr>
      <w:rPr>
        <w:rFonts w:ascii="Arial" w:hAnsi="Arial" w:hint="default"/>
      </w:rPr>
    </w:lvl>
    <w:lvl w:ilvl="4" w:tplc="C298DD7A" w:tentative="1">
      <w:start w:val="1"/>
      <w:numFmt w:val="bullet"/>
      <w:lvlText w:val="•"/>
      <w:lvlJc w:val="left"/>
      <w:pPr>
        <w:tabs>
          <w:tab w:val="num" w:pos="3600"/>
        </w:tabs>
        <w:ind w:left="3600" w:hanging="360"/>
      </w:pPr>
      <w:rPr>
        <w:rFonts w:ascii="Arial" w:hAnsi="Arial" w:hint="default"/>
      </w:rPr>
    </w:lvl>
    <w:lvl w:ilvl="5" w:tplc="27EE1B10" w:tentative="1">
      <w:start w:val="1"/>
      <w:numFmt w:val="bullet"/>
      <w:lvlText w:val="•"/>
      <w:lvlJc w:val="left"/>
      <w:pPr>
        <w:tabs>
          <w:tab w:val="num" w:pos="4320"/>
        </w:tabs>
        <w:ind w:left="4320" w:hanging="360"/>
      </w:pPr>
      <w:rPr>
        <w:rFonts w:ascii="Arial" w:hAnsi="Arial" w:hint="default"/>
      </w:rPr>
    </w:lvl>
    <w:lvl w:ilvl="6" w:tplc="BB065316" w:tentative="1">
      <w:start w:val="1"/>
      <w:numFmt w:val="bullet"/>
      <w:lvlText w:val="•"/>
      <w:lvlJc w:val="left"/>
      <w:pPr>
        <w:tabs>
          <w:tab w:val="num" w:pos="5040"/>
        </w:tabs>
        <w:ind w:left="5040" w:hanging="360"/>
      </w:pPr>
      <w:rPr>
        <w:rFonts w:ascii="Arial" w:hAnsi="Arial" w:hint="default"/>
      </w:rPr>
    </w:lvl>
    <w:lvl w:ilvl="7" w:tplc="E3E66B00" w:tentative="1">
      <w:start w:val="1"/>
      <w:numFmt w:val="bullet"/>
      <w:lvlText w:val="•"/>
      <w:lvlJc w:val="left"/>
      <w:pPr>
        <w:tabs>
          <w:tab w:val="num" w:pos="5760"/>
        </w:tabs>
        <w:ind w:left="5760" w:hanging="360"/>
      </w:pPr>
      <w:rPr>
        <w:rFonts w:ascii="Arial" w:hAnsi="Arial" w:hint="default"/>
      </w:rPr>
    </w:lvl>
    <w:lvl w:ilvl="8" w:tplc="7BCA99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8E2528"/>
    <w:multiLevelType w:val="hybridMultilevel"/>
    <w:tmpl w:val="577C888E"/>
    <w:lvl w:ilvl="0" w:tplc="14D6BD3A">
      <w:start w:val="1"/>
      <w:numFmt w:val="bullet"/>
      <w:lvlText w:val="–"/>
      <w:lvlJc w:val="left"/>
      <w:pPr>
        <w:tabs>
          <w:tab w:val="num" w:pos="720"/>
        </w:tabs>
        <w:ind w:left="720" w:hanging="360"/>
      </w:pPr>
      <w:rPr>
        <w:rFonts w:ascii="Arial" w:hAnsi="Arial" w:hint="default"/>
      </w:rPr>
    </w:lvl>
    <w:lvl w:ilvl="1" w:tplc="0C7687F6">
      <w:start w:val="1"/>
      <w:numFmt w:val="bullet"/>
      <w:lvlText w:val="–"/>
      <w:lvlJc w:val="left"/>
      <w:pPr>
        <w:tabs>
          <w:tab w:val="num" w:pos="1440"/>
        </w:tabs>
        <w:ind w:left="1440" w:hanging="360"/>
      </w:pPr>
      <w:rPr>
        <w:rFonts w:ascii="Arial" w:hAnsi="Arial" w:hint="default"/>
      </w:rPr>
    </w:lvl>
    <w:lvl w:ilvl="2" w:tplc="8A5A1D06" w:tentative="1">
      <w:start w:val="1"/>
      <w:numFmt w:val="bullet"/>
      <w:lvlText w:val="–"/>
      <w:lvlJc w:val="left"/>
      <w:pPr>
        <w:tabs>
          <w:tab w:val="num" w:pos="2160"/>
        </w:tabs>
        <w:ind w:left="2160" w:hanging="360"/>
      </w:pPr>
      <w:rPr>
        <w:rFonts w:ascii="Arial" w:hAnsi="Arial" w:hint="default"/>
      </w:rPr>
    </w:lvl>
    <w:lvl w:ilvl="3" w:tplc="DC6A5E6E" w:tentative="1">
      <w:start w:val="1"/>
      <w:numFmt w:val="bullet"/>
      <w:lvlText w:val="–"/>
      <w:lvlJc w:val="left"/>
      <w:pPr>
        <w:tabs>
          <w:tab w:val="num" w:pos="2880"/>
        </w:tabs>
        <w:ind w:left="2880" w:hanging="360"/>
      </w:pPr>
      <w:rPr>
        <w:rFonts w:ascii="Arial" w:hAnsi="Arial" w:hint="default"/>
      </w:rPr>
    </w:lvl>
    <w:lvl w:ilvl="4" w:tplc="2444A194" w:tentative="1">
      <w:start w:val="1"/>
      <w:numFmt w:val="bullet"/>
      <w:lvlText w:val="–"/>
      <w:lvlJc w:val="left"/>
      <w:pPr>
        <w:tabs>
          <w:tab w:val="num" w:pos="3600"/>
        </w:tabs>
        <w:ind w:left="3600" w:hanging="360"/>
      </w:pPr>
      <w:rPr>
        <w:rFonts w:ascii="Arial" w:hAnsi="Arial" w:hint="default"/>
      </w:rPr>
    </w:lvl>
    <w:lvl w:ilvl="5" w:tplc="248C9964" w:tentative="1">
      <w:start w:val="1"/>
      <w:numFmt w:val="bullet"/>
      <w:lvlText w:val="–"/>
      <w:lvlJc w:val="left"/>
      <w:pPr>
        <w:tabs>
          <w:tab w:val="num" w:pos="4320"/>
        </w:tabs>
        <w:ind w:left="4320" w:hanging="360"/>
      </w:pPr>
      <w:rPr>
        <w:rFonts w:ascii="Arial" w:hAnsi="Arial" w:hint="default"/>
      </w:rPr>
    </w:lvl>
    <w:lvl w:ilvl="6" w:tplc="FA869064" w:tentative="1">
      <w:start w:val="1"/>
      <w:numFmt w:val="bullet"/>
      <w:lvlText w:val="–"/>
      <w:lvlJc w:val="left"/>
      <w:pPr>
        <w:tabs>
          <w:tab w:val="num" w:pos="5040"/>
        </w:tabs>
        <w:ind w:left="5040" w:hanging="360"/>
      </w:pPr>
      <w:rPr>
        <w:rFonts w:ascii="Arial" w:hAnsi="Arial" w:hint="default"/>
      </w:rPr>
    </w:lvl>
    <w:lvl w:ilvl="7" w:tplc="CF5A441A" w:tentative="1">
      <w:start w:val="1"/>
      <w:numFmt w:val="bullet"/>
      <w:lvlText w:val="–"/>
      <w:lvlJc w:val="left"/>
      <w:pPr>
        <w:tabs>
          <w:tab w:val="num" w:pos="5760"/>
        </w:tabs>
        <w:ind w:left="5760" w:hanging="360"/>
      </w:pPr>
      <w:rPr>
        <w:rFonts w:ascii="Arial" w:hAnsi="Arial" w:hint="default"/>
      </w:rPr>
    </w:lvl>
    <w:lvl w:ilvl="8" w:tplc="101A28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7A444E1"/>
    <w:multiLevelType w:val="hybridMultilevel"/>
    <w:tmpl w:val="5B10ED3A"/>
    <w:lvl w:ilvl="0" w:tplc="78F6DD20">
      <w:start w:val="1"/>
      <w:numFmt w:val="bullet"/>
      <w:lvlText w:val="•"/>
      <w:lvlJc w:val="left"/>
      <w:pPr>
        <w:tabs>
          <w:tab w:val="num" w:pos="720"/>
        </w:tabs>
        <w:ind w:left="720" w:hanging="360"/>
      </w:pPr>
      <w:rPr>
        <w:rFonts w:ascii="Arial" w:hAnsi="Arial" w:hint="default"/>
      </w:rPr>
    </w:lvl>
    <w:lvl w:ilvl="1" w:tplc="BE648BA2" w:tentative="1">
      <w:start w:val="1"/>
      <w:numFmt w:val="bullet"/>
      <w:lvlText w:val="•"/>
      <w:lvlJc w:val="left"/>
      <w:pPr>
        <w:tabs>
          <w:tab w:val="num" w:pos="1440"/>
        </w:tabs>
        <w:ind w:left="1440" w:hanging="360"/>
      </w:pPr>
      <w:rPr>
        <w:rFonts w:ascii="Arial" w:hAnsi="Arial" w:hint="default"/>
      </w:rPr>
    </w:lvl>
    <w:lvl w:ilvl="2" w:tplc="6F7C776C" w:tentative="1">
      <w:start w:val="1"/>
      <w:numFmt w:val="bullet"/>
      <w:lvlText w:val="•"/>
      <w:lvlJc w:val="left"/>
      <w:pPr>
        <w:tabs>
          <w:tab w:val="num" w:pos="2160"/>
        </w:tabs>
        <w:ind w:left="2160" w:hanging="360"/>
      </w:pPr>
      <w:rPr>
        <w:rFonts w:ascii="Arial" w:hAnsi="Arial" w:hint="default"/>
      </w:rPr>
    </w:lvl>
    <w:lvl w:ilvl="3" w:tplc="FD38E914" w:tentative="1">
      <w:start w:val="1"/>
      <w:numFmt w:val="bullet"/>
      <w:lvlText w:val="•"/>
      <w:lvlJc w:val="left"/>
      <w:pPr>
        <w:tabs>
          <w:tab w:val="num" w:pos="2880"/>
        </w:tabs>
        <w:ind w:left="2880" w:hanging="360"/>
      </w:pPr>
      <w:rPr>
        <w:rFonts w:ascii="Arial" w:hAnsi="Arial" w:hint="default"/>
      </w:rPr>
    </w:lvl>
    <w:lvl w:ilvl="4" w:tplc="416ACE4E" w:tentative="1">
      <w:start w:val="1"/>
      <w:numFmt w:val="bullet"/>
      <w:lvlText w:val="•"/>
      <w:lvlJc w:val="left"/>
      <w:pPr>
        <w:tabs>
          <w:tab w:val="num" w:pos="3600"/>
        </w:tabs>
        <w:ind w:left="3600" w:hanging="360"/>
      </w:pPr>
      <w:rPr>
        <w:rFonts w:ascii="Arial" w:hAnsi="Arial" w:hint="default"/>
      </w:rPr>
    </w:lvl>
    <w:lvl w:ilvl="5" w:tplc="16EA54F0" w:tentative="1">
      <w:start w:val="1"/>
      <w:numFmt w:val="bullet"/>
      <w:lvlText w:val="•"/>
      <w:lvlJc w:val="left"/>
      <w:pPr>
        <w:tabs>
          <w:tab w:val="num" w:pos="4320"/>
        </w:tabs>
        <w:ind w:left="4320" w:hanging="360"/>
      </w:pPr>
      <w:rPr>
        <w:rFonts w:ascii="Arial" w:hAnsi="Arial" w:hint="default"/>
      </w:rPr>
    </w:lvl>
    <w:lvl w:ilvl="6" w:tplc="E19EE63E" w:tentative="1">
      <w:start w:val="1"/>
      <w:numFmt w:val="bullet"/>
      <w:lvlText w:val="•"/>
      <w:lvlJc w:val="left"/>
      <w:pPr>
        <w:tabs>
          <w:tab w:val="num" w:pos="5040"/>
        </w:tabs>
        <w:ind w:left="5040" w:hanging="360"/>
      </w:pPr>
      <w:rPr>
        <w:rFonts w:ascii="Arial" w:hAnsi="Arial" w:hint="default"/>
      </w:rPr>
    </w:lvl>
    <w:lvl w:ilvl="7" w:tplc="54943AAA" w:tentative="1">
      <w:start w:val="1"/>
      <w:numFmt w:val="bullet"/>
      <w:lvlText w:val="•"/>
      <w:lvlJc w:val="left"/>
      <w:pPr>
        <w:tabs>
          <w:tab w:val="num" w:pos="5760"/>
        </w:tabs>
        <w:ind w:left="5760" w:hanging="360"/>
      </w:pPr>
      <w:rPr>
        <w:rFonts w:ascii="Arial" w:hAnsi="Arial" w:hint="default"/>
      </w:rPr>
    </w:lvl>
    <w:lvl w:ilvl="8" w:tplc="F6ACC05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7" w15:restartNumberingAfterBreak="0">
    <w:nsid w:val="73FA0A10"/>
    <w:multiLevelType w:val="hybridMultilevel"/>
    <w:tmpl w:val="63540F6E"/>
    <w:lvl w:ilvl="0" w:tplc="2D96555A">
      <w:start w:val="1"/>
      <w:numFmt w:val="bullet"/>
      <w:lvlText w:val="•"/>
      <w:lvlJc w:val="left"/>
      <w:pPr>
        <w:tabs>
          <w:tab w:val="num" w:pos="720"/>
        </w:tabs>
        <w:ind w:left="720" w:hanging="360"/>
      </w:pPr>
      <w:rPr>
        <w:rFonts w:ascii="Arial" w:hAnsi="Arial" w:hint="default"/>
      </w:rPr>
    </w:lvl>
    <w:lvl w:ilvl="1" w:tplc="C1A67E92" w:tentative="1">
      <w:start w:val="1"/>
      <w:numFmt w:val="bullet"/>
      <w:lvlText w:val="•"/>
      <w:lvlJc w:val="left"/>
      <w:pPr>
        <w:tabs>
          <w:tab w:val="num" w:pos="1440"/>
        </w:tabs>
        <w:ind w:left="1440" w:hanging="360"/>
      </w:pPr>
      <w:rPr>
        <w:rFonts w:ascii="Arial" w:hAnsi="Arial" w:hint="default"/>
      </w:rPr>
    </w:lvl>
    <w:lvl w:ilvl="2" w:tplc="07C0D1E6" w:tentative="1">
      <w:start w:val="1"/>
      <w:numFmt w:val="bullet"/>
      <w:lvlText w:val="•"/>
      <w:lvlJc w:val="left"/>
      <w:pPr>
        <w:tabs>
          <w:tab w:val="num" w:pos="2160"/>
        </w:tabs>
        <w:ind w:left="2160" w:hanging="360"/>
      </w:pPr>
      <w:rPr>
        <w:rFonts w:ascii="Arial" w:hAnsi="Arial" w:hint="default"/>
      </w:rPr>
    </w:lvl>
    <w:lvl w:ilvl="3" w:tplc="151AFBA0" w:tentative="1">
      <w:start w:val="1"/>
      <w:numFmt w:val="bullet"/>
      <w:lvlText w:val="•"/>
      <w:lvlJc w:val="left"/>
      <w:pPr>
        <w:tabs>
          <w:tab w:val="num" w:pos="2880"/>
        </w:tabs>
        <w:ind w:left="2880" w:hanging="360"/>
      </w:pPr>
      <w:rPr>
        <w:rFonts w:ascii="Arial" w:hAnsi="Arial" w:hint="default"/>
      </w:rPr>
    </w:lvl>
    <w:lvl w:ilvl="4" w:tplc="DF4636BC" w:tentative="1">
      <w:start w:val="1"/>
      <w:numFmt w:val="bullet"/>
      <w:lvlText w:val="•"/>
      <w:lvlJc w:val="left"/>
      <w:pPr>
        <w:tabs>
          <w:tab w:val="num" w:pos="3600"/>
        </w:tabs>
        <w:ind w:left="3600" w:hanging="360"/>
      </w:pPr>
      <w:rPr>
        <w:rFonts w:ascii="Arial" w:hAnsi="Arial" w:hint="default"/>
      </w:rPr>
    </w:lvl>
    <w:lvl w:ilvl="5" w:tplc="204EB190" w:tentative="1">
      <w:start w:val="1"/>
      <w:numFmt w:val="bullet"/>
      <w:lvlText w:val="•"/>
      <w:lvlJc w:val="left"/>
      <w:pPr>
        <w:tabs>
          <w:tab w:val="num" w:pos="4320"/>
        </w:tabs>
        <w:ind w:left="4320" w:hanging="360"/>
      </w:pPr>
      <w:rPr>
        <w:rFonts w:ascii="Arial" w:hAnsi="Arial" w:hint="default"/>
      </w:rPr>
    </w:lvl>
    <w:lvl w:ilvl="6" w:tplc="84F2BD02" w:tentative="1">
      <w:start w:val="1"/>
      <w:numFmt w:val="bullet"/>
      <w:lvlText w:val="•"/>
      <w:lvlJc w:val="left"/>
      <w:pPr>
        <w:tabs>
          <w:tab w:val="num" w:pos="5040"/>
        </w:tabs>
        <w:ind w:left="5040" w:hanging="360"/>
      </w:pPr>
      <w:rPr>
        <w:rFonts w:ascii="Arial" w:hAnsi="Arial" w:hint="default"/>
      </w:rPr>
    </w:lvl>
    <w:lvl w:ilvl="7" w:tplc="6F741F40" w:tentative="1">
      <w:start w:val="1"/>
      <w:numFmt w:val="bullet"/>
      <w:lvlText w:val="•"/>
      <w:lvlJc w:val="left"/>
      <w:pPr>
        <w:tabs>
          <w:tab w:val="num" w:pos="5760"/>
        </w:tabs>
        <w:ind w:left="5760" w:hanging="360"/>
      </w:pPr>
      <w:rPr>
        <w:rFonts w:ascii="Arial" w:hAnsi="Arial" w:hint="default"/>
      </w:rPr>
    </w:lvl>
    <w:lvl w:ilvl="8" w:tplc="34FAC7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
  </w:num>
  <w:num w:numId="3">
    <w:abstractNumId w:val="23"/>
  </w:num>
  <w:num w:numId="4">
    <w:abstractNumId w:val="13"/>
  </w:num>
  <w:num w:numId="5">
    <w:abstractNumId w:val="15"/>
  </w:num>
  <w:num w:numId="6">
    <w:abstractNumId w:val="0"/>
  </w:num>
  <w:num w:numId="7">
    <w:abstractNumId w:val="4"/>
  </w:num>
  <w:num w:numId="8">
    <w:abstractNumId w:val="6"/>
  </w:num>
  <w:num w:numId="9">
    <w:abstractNumId w:val="8"/>
  </w:num>
  <w:num w:numId="10">
    <w:abstractNumId w:val="9"/>
  </w:num>
  <w:num w:numId="11">
    <w:abstractNumId w:val="11"/>
  </w:num>
  <w:num w:numId="12">
    <w:abstractNumId w:val="10"/>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21"/>
  </w:num>
  <w:num w:numId="23">
    <w:abstractNumId w:val="22"/>
  </w:num>
  <w:num w:numId="24">
    <w:abstractNumId w:val="9"/>
  </w:num>
  <w:num w:numId="25">
    <w:abstractNumId w:val="21"/>
  </w:num>
  <w:num w:numId="26">
    <w:abstractNumId w:val="19"/>
  </w:num>
  <w:num w:numId="27">
    <w:abstractNumId w:val="12"/>
  </w:num>
  <w:num w:numId="28">
    <w:abstractNumId w:val="14"/>
  </w:num>
  <w:num w:numId="29">
    <w:abstractNumId w:val="7"/>
  </w:num>
  <w:num w:numId="30">
    <w:abstractNumId w:val="27"/>
  </w:num>
  <w:num w:numId="31">
    <w:abstractNumId w:val="24"/>
  </w:num>
  <w:num w:numId="32">
    <w:abstractNumId w:val="3"/>
  </w:num>
  <w:num w:numId="33">
    <w:abstractNumId w:val="17"/>
  </w:num>
  <w:num w:numId="34">
    <w:abstractNumId w:val="2"/>
  </w:num>
  <w:num w:numId="35">
    <w:abstractNumId w:val="16"/>
  </w:num>
  <w:num w:numId="36">
    <w:abstractNumId w:val="9"/>
  </w:num>
  <w:num w:numId="37">
    <w:abstractNumId w:val="9"/>
  </w:num>
  <w:num w:numId="38">
    <w:abstractNumId w:val="18"/>
  </w:num>
  <w:num w:numId="39">
    <w:abstractNumId w:val="9"/>
  </w:num>
  <w:num w:numId="40">
    <w:abstractNumId w:val="9"/>
  </w:num>
  <w:num w:numId="41">
    <w:abstractNumId w:val="9"/>
  </w:num>
  <w:num w:numId="42">
    <w:abstractNumId w:val="0"/>
  </w:num>
  <w:num w:numId="43">
    <w:abstractNumId w:val="0"/>
  </w:num>
  <w:num w:numId="4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5C1"/>
    <w:rsid w:val="00000441"/>
    <w:rsid w:val="00002E01"/>
    <w:rsid w:val="00005E22"/>
    <w:rsid w:val="00006590"/>
    <w:rsid w:val="000069A4"/>
    <w:rsid w:val="000069F9"/>
    <w:rsid w:val="00006A6C"/>
    <w:rsid w:val="0000727D"/>
    <w:rsid w:val="00010BED"/>
    <w:rsid w:val="000119FB"/>
    <w:rsid w:val="00014990"/>
    <w:rsid w:val="00016A22"/>
    <w:rsid w:val="00016E5E"/>
    <w:rsid w:val="00017610"/>
    <w:rsid w:val="000205C6"/>
    <w:rsid w:val="00021FB0"/>
    <w:rsid w:val="000221AA"/>
    <w:rsid w:val="0002331F"/>
    <w:rsid w:val="00023F26"/>
    <w:rsid w:val="000249F8"/>
    <w:rsid w:val="00026E82"/>
    <w:rsid w:val="00030676"/>
    <w:rsid w:val="00030714"/>
    <w:rsid w:val="00033035"/>
    <w:rsid w:val="0003322C"/>
    <w:rsid w:val="00034110"/>
    <w:rsid w:val="00035AC1"/>
    <w:rsid w:val="000368FC"/>
    <w:rsid w:val="000376EE"/>
    <w:rsid w:val="00040F67"/>
    <w:rsid w:val="00041DE3"/>
    <w:rsid w:val="000421F8"/>
    <w:rsid w:val="000425BD"/>
    <w:rsid w:val="00043262"/>
    <w:rsid w:val="00045528"/>
    <w:rsid w:val="00052063"/>
    <w:rsid w:val="00055DDF"/>
    <w:rsid w:val="00056BAC"/>
    <w:rsid w:val="00057724"/>
    <w:rsid w:val="000614F5"/>
    <w:rsid w:val="000619BC"/>
    <w:rsid w:val="00061C83"/>
    <w:rsid w:val="0006624B"/>
    <w:rsid w:val="000711F1"/>
    <w:rsid w:val="00073DA8"/>
    <w:rsid w:val="000755E6"/>
    <w:rsid w:val="000764D3"/>
    <w:rsid w:val="0007701D"/>
    <w:rsid w:val="00080A47"/>
    <w:rsid w:val="00081FF7"/>
    <w:rsid w:val="00082F77"/>
    <w:rsid w:val="00085C5A"/>
    <w:rsid w:val="00086025"/>
    <w:rsid w:val="000862FC"/>
    <w:rsid w:val="00087323"/>
    <w:rsid w:val="000879ED"/>
    <w:rsid w:val="00093649"/>
    <w:rsid w:val="00094754"/>
    <w:rsid w:val="00096246"/>
    <w:rsid w:val="00096473"/>
    <w:rsid w:val="00096EE3"/>
    <w:rsid w:val="000A0559"/>
    <w:rsid w:val="000A0596"/>
    <w:rsid w:val="000A0A6E"/>
    <w:rsid w:val="000A1975"/>
    <w:rsid w:val="000A330D"/>
    <w:rsid w:val="000A3FD1"/>
    <w:rsid w:val="000A4016"/>
    <w:rsid w:val="000A493F"/>
    <w:rsid w:val="000A6C40"/>
    <w:rsid w:val="000B026B"/>
    <w:rsid w:val="000B1027"/>
    <w:rsid w:val="000B357A"/>
    <w:rsid w:val="000B70D6"/>
    <w:rsid w:val="000B7F7A"/>
    <w:rsid w:val="000C04A1"/>
    <w:rsid w:val="000C0C70"/>
    <w:rsid w:val="000C0FC2"/>
    <w:rsid w:val="000C194F"/>
    <w:rsid w:val="000C2222"/>
    <w:rsid w:val="000D09ED"/>
    <w:rsid w:val="000D0A87"/>
    <w:rsid w:val="000D0FB1"/>
    <w:rsid w:val="000D11B8"/>
    <w:rsid w:val="000D145B"/>
    <w:rsid w:val="000D2BFA"/>
    <w:rsid w:val="000D6016"/>
    <w:rsid w:val="000D7185"/>
    <w:rsid w:val="000E1CED"/>
    <w:rsid w:val="000E24BD"/>
    <w:rsid w:val="000E29D1"/>
    <w:rsid w:val="000E4F58"/>
    <w:rsid w:val="000E5282"/>
    <w:rsid w:val="000E619B"/>
    <w:rsid w:val="000E6F19"/>
    <w:rsid w:val="000F1B3B"/>
    <w:rsid w:val="000F1B77"/>
    <w:rsid w:val="000F1E3F"/>
    <w:rsid w:val="000F3DBC"/>
    <w:rsid w:val="000F48EC"/>
    <w:rsid w:val="000F5D8D"/>
    <w:rsid w:val="001017A9"/>
    <w:rsid w:val="00101F34"/>
    <w:rsid w:val="001030E1"/>
    <w:rsid w:val="001033D5"/>
    <w:rsid w:val="001039F7"/>
    <w:rsid w:val="00105409"/>
    <w:rsid w:val="00107DBD"/>
    <w:rsid w:val="00113666"/>
    <w:rsid w:val="001169FE"/>
    <w:rsid w:val="00116BEA"/>
    <w:rsid w:val="00116D19"/>
    <w:rsid w:val="00117513"/>
    <w:rsid w:val="001209CD"/>
    <w:rsid w:val="00121E78"/>
    <w:rsid w:val="001230AC"/>
    <w:rsid w:val="001232DD"/>
    <w:rsid w:val="00123F4B"/>
    <w:rsid w:val="00124604"/>
    <w:rsid w:val="001265C0"/>
    <w:rsid w:val="001337B7"/>
    <w:rsid w:val="00133921"/>
    <w:rsid w:val="001344B3"/>
    <w:rsid w:val="00135820"/>
    <w:rsid w:val="00140C93"/>
    <w:rsid w:val="00143536"/>
    <w:rsid w:val="00145B2F"/>
    <w:rsid w:val="001464B2"/>
    <w:rsid w:val="00147E90"/>
    <w:rsid w:val="00150440"/>
    <w:rsid w:val="00151D8E"/>
    <w:rsid w:val="00153A4B"/>
    <w:rsid w:val="00156DAA"/>
    <w:rsid w:val="001570BC"/>
    <w:rsid w:val="001579BF"/>
    <w:rsid w:val="00157A36"/>
    <w:rsid w:val="00161AA0"/>
    <w:rsid w:val="001662BC"/>
    <w:rsid w:val="0017072D"/>
    <w:rsid w:val="00170B60"/>
    <w:rsid w:val="00171A2B"/>
    <w:rsid w:val="00173CC7"/>
    <w:rsid w:val="00176034"/>
    <w:rsid w:val="00176FB2"/>
    <w:rsid w:val="00177A0E"/>
    <w:rsid w:val="001823EB"/>
    <w:rsid w:val="00184A64"/>
    <w:rsid w:val="0018604E"/>
    <w:rsid w:val="0018716E"/>
    <w:rsid w:val="001873CB"/>
    <w:rsid w:val="001879E6"/>
    <w:rsid w:val="00191B56"/>
    <w:rsid w:val="00193945"/>
    <w:rsid w:val="001956FC"/>
    <w:rsid w:val="0019642B"/>
    <w:rsid w:val="00196FE1"/>
    <w:rsid w:val="0019718A"/>
    <w:rsid w:val="001A1AE2"/>
    <w:rsid w:val="001A5561"/>
    <w:rsid w:val="001A5A5D"/>
    <w:rsid w:val="001A6AF2"/>
    <w:rsid w:val="001B2DD8"/>
    <w:rsid w:val="001B5044"/>
    <w:rsid w:val="001B7E00"/>
    <w:rsid w:val="001C0EF4"/>
    <w:rsid w:val="001C1874"/>
    <w:rsid w:val="001C32C5"/>
    <w:rsid w:val="001C59E4"/>
    <w:rsid w:val="001D1D43"/>
    <w:rsid w:val="001D67EE"/>
    <w:rsid w:val="001E1BD8"/>
    <w:rsid w:val="001E27E5"/>
    <w:rsid w:val="001E2CAF"/>
    <w:rsid w:val="001E3C5B"/>
    <w:rsid w:val="001E4D37"/>
    <w:rsid w:val="001F1400"/>
    <w:rsid w:val="001F3DC5"/>
    <w:rsid w:val="001F460E"/>
    <w:rsid w:val="001F6078"/>
    <w:rsid w:val="001F7251"/>
    <w:rsid w:val="00204F82"/>
    <w:rsid w:val="00210497"/>
    <w:rsid w:val="0021081C"/>
    <w:rsid w:val="002119CD"/>
    <w:rsid w:val="002146AD"/>
    <w:rsid w:val="002159C9"/>
    <w:rsid w:val="00217FB0"/>
    <w:rsid w:val="002218BC"/>
    <w:rsid w:val="00222BEA"/>
    <w:rsid w:val="00223C0F"/>
    <w:rsid w:val="00223E49"/>
    <w:rsid w:val="00224F26"/>
    <w:rsid w:val="00225439"/>
    <w:rsid w:val="00225F9B"/>
    <w:rsid w:val="00232061"/>
    <w:rsid w:val="00233774"/>
    <w:rsid w:val="00235945"/>
    <w:rsid w:val="00235CAB"/>
    <w:rsid w:val="00245B0D"/>
    <w:rsid w:val="00253EB9"/>
    <w:rsid w:val="002555BE"/>
    <w:rsid w:val="00255679"/>
    <w:rsid w:val="00255C32"/>
    <w:rsid w:val="00257B1C"/>
    <w:rsid w:val="002614EA"/>
    <w:rsid w:val="00265B0E"/>
    <w:rsid w:val="00267D7F"/>
    <w:rsid w:val="0027120B"/>
    <w:rsid w:val="00282434"/>
    <w:rsid w:val="00282C30"/>
    <w:rsid w:val="00282D7E"/>
    <w:rsid w:val="00284FB7"/>
    <w:rsid w:val="00286A10"/>
    <w:rsid w:val="00290445"/>
    <w:rsid w:val="00292044"/>
    <w:rsid w:val="00293811"/>
    <w:rsid w:val="002977D4"/>
    <w:rsid w:val="002A151A"/>
    <w:rsid w:val="002A2687"/>
    <w:rsid w:val="002A5C23"/>
    <w:rsid w:val="002A5EB3"/>
    <w:rsid w:val="002A686F"/>
    <w:rsid w:val="002A7FA6"/>
    <w:rsid w:val="002B2B5D"/>
    <w:rsid w:val="002B3340"/>
    <w:rsid w:val="002B5772"/>
    <w:rsid w:val="002B6D1D"/>
    <w:rsid w:val="002B7EF8"/>
    <w:rsid w:val="002C0551"/>
    <w:rsid w:val="002C257D"/>
    <w:rsid w:val="002C2774"/>
    <w:rsid w:val="002C381D"/>
    <w:rsid w:val="002C3B13"/>
    <w:rsid w:val="002D2443"/>
    <w:rsid w:val="002D79A7"/>
    <w:rsid w:val="002E3F68"/>
    <w:rsid w:val="002E4374"/>
    <w:rsid w:val="002E5C16"/>
    <w:rsid w:val="002E73E7"/>
    <w:rsid w:val="002F0AA7"/>
    <w:rsid w:val="002F1B28"/>
    <w:rsid w:val="002F2583"/>
    <w:rsid w:val="002F279A"/>
    <w:rsid w:val="002F2C1A"/>
    <w:rsid w:val="002F49A0"/>
    <w:rsid w:val="002F4CDE"/>
    <w:rsid w:val="002F4D92"/>
    <w:rsid w:val="002F4E4A"/>
    <w:rsid w:val="002F4F5B"/>
    <w:rsid w:val="002F63C9"/>
    <w:rsid w:val="002F68FE"/>
    <w:rsid w:val="00300DF8"/>
    <w:rsid w:val="00300E71"/>
    <w:rsid w:val="003013BF"/>
    <w:rsid w:val="00303156"/>
    <w:rsid w:val="003107AB"/>
    <w:rsid w:val="0031127A"/>
    <w:rsid w:val="00311A01"/>
    <w:rsid w:val="003154E8"/>
    <w:rsid w:val="00315B84"/>
    <w:rsid w:val="00315C29"/>
    <w:rsid w:val="00315C49"/>
    <w:rsid w:val="003164CC"/>
    <w:rsid w:val="0031664C"/>
    <w:rsid w:val="0031784C"/>
    <w:rsid w:val="00324997"/>
    <w:rsid w:val="003256B1"/>
    <w:rsid w:val="00326120"/>
    <w:rsid w:val="00331545"/>
    <w:rsid w:val="003328D4"/>
    <w:rsid w:val="003330E6"/>
    <w:rsid w:val="0033333E"/>
    <w:rsid w:val="003368C0"/>
    <w:rsid w:val="00337A00"/>
    <w:rsid w:val="00340E65"/>
    <w:rsid w:val="00343439"/>
    <w:rsid w:val="00343A1A"/>
    <w:rsid w:val="00343B53"/>
    <w:rsid w:val="003459E9"/>
    <w:rsid w:val="00345E28"/>
    <w:rsid w:val="00346BA7"/>
    <w:rsid w:val="00351181"/>
    <w:rsid w:val="00354915"/>
    <w:rsid w:val="00362129"/>
    <w:rsid w:val="00364E30"/>
    <w:rsid w:val="00364EBC"/>
    <w:rsid w:val="00371CD8"/>
    <w:rsid w:val="00371E36"/>
    <w:rsid w:val="00372031"/>
    <w:rsid w:val="00373708"/>
    <w:rsid w:val="003738C2"/>
    <w:rsid w:val="003751BC"/>
    <w:rsid w:val="00383594"/>
    <w:rsid w:val="00384035"/>
    <w:rsid w:val="003847B9"/>
    <w:rsid w:val="00385E85"/>
    <w:rsid w:val="0039118D"/>
    <w:rsid w:val="00391AC8"/>
    <w:rsid w:val="00391B76"/>
    <w:rsid w:val="00391D82"/>
    <w:rsid w:val="00392525"/>
    <w:rsid w:val="00392FB4"/>
    <w:rsid w:val="00394DFF"/>
    <w:rsid w:val="003954B7"/>
    <w:rsid w:val="00395C05"/>
    <w:rsid w:val="00395CFF"/>
    <w:rsid w:val="003A0250"/>
    <w:rsid w:val="003A04CD"/>
    <w:rsid w:val="003A11AB"/>
    <w:rsid w:val="003A1F14"/>
    <w:rsid w:val="003A3974"/>
    <w:rsid w:val="003A5838"/>
    <w:rsid w:val="003B0BC2"/>
    <w:rsid w:val="003B37BB"/>
    <w:rsid w:val="003B5566"/>
    <w:rsid w:val="003C0E4C"/>
    <w:rsid w:val="003C36AC"/>
    <w:rsid w:val="003C4305"/>
    <w:rsid w:val="003C743E"/>
    <w:rsid w:val="003C7EF9"/>
    <w:rsid w:val="003D5D02"/>
    <w:rsid w:val="003D68D5"/>
    <w:rsid w:val="003D7050"/>
    <w:rsid w:val="003E14CF"/>
    <w:rsid w:val="003E2E61"/>
    <w:rsid w:val="003E5E37"/>
    <w:rsid w:val="003E684C"/>
    <w:rsid w:val="003F168A"/>
    <w:rsid w:val="004011CC"/>
    <w:rsid w:val="00402CA8"/>
    <w:rsid w:val="00405517"/>
    <w:rsid w:val="00406ABC"/>
    <w:rsid w:val="00407D59"/>
    <w:rsid w:val="00413E08"/>
    <w:rsid w:val="0041525E"/>
    <w:rsid w:val="00415939"/>
    <w:rsid w:val="00420742"/>
    <w:rsid w:val="00421005"/>
    <w:rsid w:val="00423D0E"/>
    <w:rsid w:val="004247F5"/>
    <w:rsid w:val="004262D7"/>
    <w:rsid w:val="00431372"/>
    <w:rsid w:val="00433564"/>
    <w:rsid w:val="0043462F"/>
    <w:rsid w:val="00437CA3"/>
    <w:rsid w:val="0044027B"/>
    <w:rsid w:val="004408F8"/>
    <w:rsid w:val="00444746"/>
    <w:rsid w:val="0044648F"/>
    <w:rsid w:val="00446DA2"/>
    <w:rsid w:val="00457843"/>
    <w:rsid w:val="00462002"/>
    <w:rsid w:val="0046212F"/>
    <w:rsid w:val="00462733"/>
    <w:rsid w:val="00463227"/>
    <w:rsid w:val="00463973"/>
    <w:rsid w:val="00466674"/>
    <w:rsid w:val="00466C5A"/>
    <w:rsid w:val="00467DA2"/>
    <w:rsid w:val="00471113"/>
    <w:rsid w:val="00471200"/>
    <w:rsid w:val="00472FF8"/>
    <w:rsid w:val="00474268"/>
    <w:rsid w:val="00475F03"/>
    <w:rsid w:val="004804B3"/>
    <w:rsid w:val="00481E06"/>
    <w:rsid w:val="004820E9"/>
    <w:rsid w:val="004823B9"/>
    <w:rsid w:val="00483119"/>
    <w:rsid w:val="0048361F"/>
    <w:rsid w:val="004845D0"/>
    <w:rsid w:val="00484D4F"/>
    <w:rsid w:val="004852FF"/>
    <w:rsid w:val="00491572"/>
    <w:rsid w:val="004921C3"/>
    <w:rsid w:val="00492FDA"/>
    <w:rsid w:val="00494E73"/>
    <w:rsid w:val="004A2830"/>
    <w:rsid w:val="004A4FFD"/>
    <w:rsid w:val="004A649D"/>
    <w:rsid w:val="004A70F9"/>
    <w:rsid w:val="004B4433"/>
    <w:rsid w:val="004B514C"/>
    <w:rsid w:val="004B7D57"/>
    <w:rsid w:val="004C00D8"/>
    <w:rsid w:val="004C1F21"/>
    <w:rsid w:val="004C3DAD"/>
    <w:rsid w:val="004C5923"/>
    <w:rsid w:val="004C6116"/>
    <w:rsid w:val="004C72AB"/>
    <w:rsid w:val="004C7C61"/>
    <w:rsid w:val="004C7D4F"/>
    <w:rsid w:val="004D0DFD"/>
    <w:rsid w:val="004D1FBE"/>
    <w:rsid w:val="004D4A86"/>
    <w:rsid w:val="004D4BD8"/>
    <w:rsid w:val="004D7664"/>
    <w:rsid w:val="004E074F"/>
    <w:rsid w:val="004E48D6"/>
    <w:rsid w:val="004E6427"/>
    <w:rsid w:val="004E7625"/>
    <w:rsid w:val="004E7E43"/>
    <w:rsid w:val="004F0214"/>
    <w:rsid w:val="004F1956"/>
    <w:rsid w:val="004F4941"/>
    <w:rsid w:val="004F5BFD"/>
    <w:rsid w:val="004F5FC6"/>
    <w:rsid w:val="004F659F"/>
    <w:rsid w:val="004F69FA"/>
    <w:rsid w:val="00501F82"/>
    <w:rsid w:val="005037B2"/>
    <w:rsid w:val="0050455E"/>
    <w:rsid w:val="005047AD"/>
    <w:rsid w:val="00507CDA"/>
    <w:rsid w:val="00510B1D"/>
    <w:rsid w:val="0051107D"/>
    <w:rsid w:val="00511167"/>
    <w:rsid w:val="00514A12"/>
    <w:rsid w:val="0052128B"/>
    <w:rsid w:val="00526C07"/>
    <w:rsid w:val="005273A6"/>
    <w:rsid w:val="00527533"/>
    <w:rsid w:val="00527B10"/>
    <w:rsid w:val="00527E6E"/>
    <w:rsid w:val="00527E88"/>
    <w:rsid w:val="0053387C"/>
    <w:rsid w:val="00533888"/>
    <w:rsid w:val="00534F74"/>
    <w:rsid w:val="00536789"/>
    <w:rsid w:val="00536AE8"/>
    <w:rsid w:val="00536D2F"/>
    <w:rsid w:val="00540052"/>
    <w:rsid w:val="005405F4"/>
    <w:rsid w:val="00541151"/>
    <w:rsid w:val="0054146B"/>
    <w:rsid w:val="00541DF4"/>
    <w:rsid w:val="00543DB4"/>
    <w:rsid w:val="00543E08"/>
    <w:rsid w:val="005449AD"/>
    <w:rsid w:val="005505ED"/>
    <w:rsid w:val="005538DB"/>
    <w:rsid w:val="00562624"/>
    <w:rsid w:val="00564B04"/>
    <w:rsid w:val="005654D0"/>
    <w:rsid w:val="00570524"/>
    <w:rsid w:val="00573059"/>
    <w:rsid w:val="0057621E"/>
    <w:rsid w:val="00577B05"/>
    <w:rsid w:val="00577E3D"/>
    <w:rsid w:val="00580D6F"/>
    <w:rsid w:val="005812C6"/>
    <w:rsid w:val="005826D2"/>
    <w:rsid w:val="0058382A"/>
    <w:rsid w:val="00583DB1"/>
    <w:rsid w:val="005859D5"/>
    <w:rsid w:val="00587658"/>
    <w:rsid w:val="005948FA"/>
    <w:rsid w:val="005959BE"/>
    <w:rsid w:val="00596210"/>
    <w:rsid w:val="00596286"/>
    <w:rsid w:val="00596999"/>
    <w:rsid w:val="005A0F31"/>
    <w:rsid w:val="005A28A1"/>
    <w:rsid w:val="005A2E91"/>
    <w:rsid w:val="005A324E"/>
    <w:rsid w:val="005A3950"/>
    <w:rsid w:val="005A46D0"/>
    <w:rsid w:val="005A6D70"/>
    <w:rsid w:val="005A6FB5"/>
    <w:rsid w:val="005B25E4"/>
    <w:rsid w:val="005B30C8"/>
    <w:rsid w:val="005B68A2"/>
    <w:rsid w:val="005B7778"/>
    <w:rsid w:val="005C051F"/>
    <w:rsid w:val="005C09B3"/>
    <w:rsid w:val="005C45B7"/>
    <w:rsid w:val="005C6E7B"/>
    <w:rsid w:val="005C762E"/>
    <w:rsid w:val="005D098C"/>
    <w:rsid w:val="005D311B"/>
    <w:rsid w:val="005D3FD9"/>
    <w:rsid w:val="005E2139"/>
    <w:rsid w:val="005E335E"/>
    <w:rsid w:val="005E46BB"/>
    <w:rsid w:val="005E4AF6"/>
    <w:rsid w:val="005E7605"/>
    <w:rsid w:val="005E79CA"/>
    <w:rsid w:val="005E7D5D"/>
    <w:rsid w:val="005F5672"/>
    <w:rsid w:val="006001CC"/>
    <w:rsid w:val="00602B4D"/>
    <w:rsid w:val="00602DD6"/>
    <w:rsid w:val="00602EEA"/>
    <w:rsid w:val="00603C94"/>
    <w:rsid w:val="006048E0"/>
    <w:rsid w:val="00604FAD"/>
    <w:rsid w:val="0060662A"/>
    <w:rsid w:val="00612789"/>
    <w:rsid w:val="00613D24"/>
    <w:rsid w:val="006148C1"/>
    <w:rsid w:val="00614BDA"/>
    <w:rsid w:val="00616F50"/>
    <w:rsid w:val="00621AFB"/>
    <w:rsid w:val="006224F3"/>
    <w:rsid w:val="00624592"/>
    <w:rsid w:val="0062589A"/>
    <w:rsid w:val="006307C7"/>
    <w:rsid w:val="00631A7A"/>
    <w:rsid w:val="00632B82"/>
    <w:rsid w:val="006331B4"/>
    <w:rsid w:val="006343D4"/>
    <w:rsid w:val="006343F3"/>
    <w:rsid w:val="00640CF2"/>
    <w:rsid w:val="006417D6"/>
    <w:rsid w:val="00642906"/>
    <w:rsid w:val="00643582"/>
    <w:rsid w:val="00643B75"/>
    <w:rsid w:val="006457EF"/>
    <w:rsid w:val="00647A50"/>
    <w:rsid w:val="00650343"/>
    <w:rsid w:val="0065035A"/>
    <w:rsid w:val="00650F96"/>
    <w:rsid w:val="006512B7"/>
    <w:rsid w:val="00651C22"/>
    <w:rsid w:val="00655679"/>
    <w:rsid w:val="00655B4D"/>
    <w:rsid w:val="00655ED5"/>
    <w:rsid w:val="0065693C"/>
    <w:rsid w:val="00657B84"/>
    <w:rsid w:val="00662CA7"/>
    <w:rsid w:val="00663D57"/>
    <w:rsid w:val="006651B5"/>
    <w:rsid w:val="00665734"/>
    <w:rsid w:val="00666E4A"/>
    <w:rsid w:val="00667D8D"/>
    <w:rsid w:val="00671977"/>
    <w:rsid w:val="00671D80"/>
    <w:rsid w:val="00672EFB"/>
    <w:rsid w:val="006739CF"/>
    <w:rsid w:val="006754AE"/>
    <w:rsid w:val="0067752C"/>
    <w:rsid w:val="006776A2"/>
    <w:rsid w:val="006801A6"/>
    <w:rsid w:val="0068124B"/>
    <w:rsid w:val="00681610"/>
    <w:rsid w:val="006840F9"/>
    <w:rsid w:val="00684AD6"/>
    <w:rsid w:val="00685D36"/>
    <w:rsid w:val="00687304"/>
    <w:rsid w:val="00692607"/>
    <w:rsid w:val="00692C71"/>
    <w:rsid w:val="006931A0"/>
    <w:rsid w:val="006935BC"/>
    <w:rsid w:val="006940D9"/>
    <w:rsid w:val="006966B2"/>
    <w:rsid w:val="006966B8"/>
    <w:rsid w:val="00696E55"/>
    <w:rsid w:val="006A0098"/>
    <w:rsid w:val="006A0B0E"/>
    <w:rsid w:val="006A3A9C"/>
    <w:rsid w:val="006A3CC5"/>
    <w:rsid w:val="006A721F"/>
    <w:rsid w:val="006A7595"/>
    <w:rsid w:val="006A7CCF"/>
    <w:rsid w:val="006B0581"/>
    <w:rsid w:val="006B0F36"/>
    <w:rsid w:val="006B30FD"/>
    <w:rsid w:val="006B4254"/>
    <w:rsid w:val="006B5CB4"/>
    <w:rsid w:val="006B6914"/>
    <w:rsid w:val="006B6DCF"/>
    <w:rsid w:val="006B791B"/>
    <w:rsid w:val="006C4793"/>
    <w:rsid w:val="006C4A55"/>
    <w:rsid w:val="006D2EA4"/>
    <w:rsid w:val="006D36FB"/>
    <w:rsid w:val="006D42ED"/>
    <w:rsid w:val="006D4D1A"/>
    <w:rsid w:val="006D4D97"/>
    <w:rsid w:val="006D73F1"/>
    <w:rsid w:val="006E1B2C"/>
    <w:rsid w:val="006E2A29"/>
    <w:rsid w:val="006E3514"/>
    <w:rsid w:val="006E4479"/>
    <w:rsid w:val="006E7421"/>
    <w:rsid w:val="006E7647"/>
    <w:rsid w:val="006E7787"/>
    <w:rsid w:val="006F0C19"/>
    <w:rsid w:val="006F162C"/>
    <w:rsid w:val="006F1DA8"/>
    <w:rsid w:val="006F22E9"/>
    <w:rsid w:val="006F4CFA"/>
    <w:rsid w:val="006F5310"/>
    <w:rsid w:val="006F696E"/>
    <w:rsid w:val="006F6B91"/>
    <w:rsid w:val="00701BE3"/>
    <w:rsid w:val="007040CB"/>
    <w:rsid w:val="0070523B"/>
    <w:rsid w:val="00707D16"/>
    <w:rsid w:val="0071299F"/>
    <w:rsid w:val="00713065"/>
    <w:rsid w:val="0071308F"/>
    <w:rsid w:val="00713E1C"/>
    <w:rsid w:val="00715E8A"/>
    <w:rsid w:val="00717226"/>
    <w:rsid w:val="00720FDD"/>
    <w:rsid w:val="00721792"/>
    <w:rsid w:val="00722883"/>
    <w:rsid w:val="00723AF0"/>
    <w:rsid w:val="00727911"/>
    <w:rsid w:val="0073007E"/>
    <w:rsid w:val="007311E2"/>
    <w:rsid w:val="00732519"/>
    <w:rsid w:val="0073365B"/>
    <w:rsid w:val="00733AC0"/>
    <w:rsid w:val="00734F5A"/>
    <w:rsid w:val="0073579D"/>
    <w:rsid w:val="00736D97"/>
    <w:rsid w:val="00737CEF"/>
    <w:rsid w:val="00737DDA"/>
    <w:rsid w:val="00740A65"/>
    <w:rsid w:val="00742A64"/>
    <w:rsid w:val="00746B57"/>
    <w:rsid w:val="00746C7D"/>
    <w:rsid w:val="00747D90"/>
    <w:rsid w:val="007501B9"/>
    <w:rsid w:val="00751CB9"/>
    <w:rsid w:val="0075624F"/>
    <w:rsid w:val="00756580"/>
    <w:rsid w:val="00756A21"/>
    <w:rsid w:val="00756D96"/>
    <w:rsid w:val="007575DD"/>
    <w:rsid w:val="00760391"/>
    <w:rsid w:val="007620C2"/>
    <w:rsid w:val="00763641"/>
    <w:rsid w:val="007668BA"/>
    <w:rsid w:val="00770596"/>
    <w:rsid w:val="0077277D"/>
    <w:rsid w:val="007731BD"/>
    <w:rsid w:val="00773F0E"/>
    <w:rsid w:val="007747D4"/>
    <w:rsid w:val="00774963"/>
    <w:rsid w:val="007760C5"/>
    <w:rsid w:val="00781B7F"/>
    <w:rsid w:val="00782DCB"/>
    <w:rsid w:val="00784156"/>
    <w:rsid w:val="00791280"/>
    <w:rsid w:val="007933B3"/>
    <w:rsid w:val="00793A36"/>
    <w:rsid w:val="00794D72"/>
    <w:rsid w:val="00796C28"/>
    <w:rsid w:val="007978D6"/>
    <w:rsid w:val="007A048E"/>
    <w:rsid w:val="007A19AF"/>
    <w:rsid w:val="007A1E9D"/>
    <w:rsid w:val="007A2801"/>
    <w:rsid w:val="007A4EEE"/>
    <w:rsid w:val="007A5C17"/>
    <w:rsid w:val="007A6DAA"/>
    <w:rsid w:val="007A7EC8"/>
    <w:rsid w:val="007B032C"/>
    <w:rsid w:val="007B1AF8"/>
    <w:rsid w:val="007B2A16"/>
    <w:rsid w:val="007B4B3F"/>
    <w:rsid w:val="007B787D"/>
    <w:rsid w:val="007B7B7B"/>
    <w:rsid w:val="007C3165"/>
    <w:rsid w:val="007C4613"/>
    <w:rsid w:val="007C58D6"/>
    <w:rsid w:val="007C69B9"/>
    <w:rsid w:val="007C732D"/>
    <w:rsid w:val="007D1008"/>
    <w:rsid w:val="007D2889"/>
    <w:rsid w:val="007D3378"/>
    <w:rsid w:val="007D5100"/>
    <w:rsid w:val="007D5B27"/>
    <w:rsid w:val="007D5C80"/>
    <w:rsid w:val="007D62AE"/>
    <w:rsid w:val="007E013D"/>
    <w:rsid w:val="007E2754"/>
    <w:rsid w:val="007E5818"/>
    <w:rsid w:val="007E5FA0"/>
    <w:rsid w:val="007E61A7"/>
    <w:rsid w:val="007E65D7"/>
    <w:rsid w:val="007F0FD9"/>
    <w:rsid w:val="007F227E"/>
    <w:rsid w:val="007F7DBD"/>
    <w:rsid w:val="0080089C"/>
    <w:rsid w:val="00803318"/>
    <w:rsid w:val="00803456"/>
    <w:rsid w:val="0080390A"/>
    <w:rsid w:val="00804301"/>
    <w:rsid w:val="008062D5"/>
    <w:rsid w:val="00811BBD"/>
    <w:rsid w:val="00812976"/>
    <w:rsid w:val="008146E2"/>
    <w:rsid w:val="00814DEF"/>
    <w:rsid w:val="0082239E"/>
    <w:rsid w:val="00823077"/>
    <w:rsid w:val="0082573F"/>
    <w:rsid w:val="00825A87"/>
    <w:rsid w:val="00831B9B"/>
    <w:rsid w:val="00832468"/>
    <w:rsid w:val="00835008"/>
    <w:rsid w:val="00842A7E"/>
    <w:rsid w:val="008440C8"/>
    <w:rsid w:val="00844D3D"/>
    <w:rsid w:val="0084532E"/>
    <w:rsid w:val="00845810"/>
    <w:rsid w:val="00845F3C"/>
    <w:rsid w:val="00846159"/>
    <w:rsid w:val="008505C3"/>
    <w:rsid w:val="00851677"/>
    <w:rsid w:val="008522C6"/>
    <w:rsid w:val="00852E40"/>
    <w:rsid w:val="00852E73"/>
    <w:rsid w:val="0085342A"/>
    <w:rsid w:val="008561C5"/>
    <w:rsid w:val="0085675B"/>
    <w:rsid w:val="00856D05"/>
    <w:rsid w:val="008579A9"/>
    <w:rsid w:val="00857A90"/>
    <w:rsid w:val="00857CDD"/>
    <w:rsid w:val="008609BF"/>
    <w:rsid w:val="00860EA8"/>
    <w:rsid w:val="0086472B"/>
    <w:rsid w:val="00866B47"/>
    <w:rsid w:val="00866CC6"/>
    <w:rsid w:val="00867A6A"/>
    <w:rsid w:val="008705BC"/>
    <w:rsid w:val="00871649"/>
    <w:rsid w:val="0087368E"/>
    <w:rsid w:val="00876381"/>
    <w:rsid w:val="008802D9"/>
    <w:rsid w:val="00880B98"/>
    <w:rsid w:val="00881F26"/>
    <w:rsid w:val="008838A1"/>
    <w:rsid w:val="0088685E"/>
    <w:rsid w:val="0088689E"/>
    <w:rsid w:val="00891794"/>
    <w:rsid w:val="00891929"/>
    <w:rsid w:val="00892087"/>
    <w:rsid w:val="00893176"/>
    <w:rsid w:val="00895446"/>
    <w:rsid w:val="008A05E4"/>
    <w:rsid w:val="008A2098"/>
    <w:rsid w:val="008A32D1"/>
    <w:rsid w:val="008A49A4"/>
    <w:rsid w:val="008B03D8"/>
    <w:rsid w:val="008B4290"/>
    <w:rsid w:val="008B61CD"/>
    <w:rsid w:val="008C4A61"/>
    <w:rsid w:val="008C4CB3"/>
    <w:rsid w:val="008C4F0F"/>
    <w:rsid w:val="008C503C"/>
    <w:rsid w:val="008C6CFD"/>
    <w:rsid w:val="008C7D07"/>
    <w:rsid w:val="008C7F38"/>
    <w:rsid w:val="008D3B9E"/>
    <w:rsid w:val="008D45C1"/>
    <w:rsid w:val="008D4905"/>
    <w:rsid w:val="008D51D0"/>
    <w:rsid w:val="008D55C9"/>
    <w:rsid w:val="008D69C6"/>
    <w:rsid w:val="008D7428"/>
    <w:rsid w:val="008D7B33"/>
    <w:rsid w:val="008E2CDD"/>
    <w:rsid w:val="008E46FB"/>
    <w:rsid w:val="008E70D0"/>
    <w:rsid w:val="008E7460"/>
    <w:rsid w:val="008E7585"/>
    <w:rsid w:val="008F2234"/>
    <w:rsid w:val="008F2E5C"/>
    <w:rsid w:val="008F5BF4"/>
    <w:rsid w:val="008F646F"/>
    <w:rsid w:val="008F71D5"/>
    <w:rsid w:val="00903019"/>
    <w:rsid w:val="00906982"/>
    <w:rsid w:val="009076D0"/>
    <w:rsid w:val="00914F38"/>
    <w:rsid w:val="0091553D"/>
    <w:rsid w:val="00915765"/>
    <w:rsid w:val="00915D2E"/>
    <w:rsid w:val="00916668"/>
    <w:rsid w:val="0091776B"/>
    <w:rsid w:val="0092035C"/>
    <w:rsid w:val="00920396"/>
    <w:rsid w:val="00920A5F"/>
    <w:rsid w:val="009238FB"/>
    <w:rsid w:val="0092657D"/>
    <w:rsid w:val="00926950"/>
    <w:rsid w:val="00930C86"/>
    <w:rsid w:val="00931E1D"/>
    <w:rsid w:val="00932B67"/>
    <w:rsid w:val="00935018"/>
    <w:rsid w:val="0093671F"/>
    <w:rsid w:val="0093742D"/>
    <w:rsid w:val="00937D0C"/>
    <w:rsid w:val="00937F0D"/>
    <w:rsid w:val="00941D1F"/>
    <w:rsid w:val="0094366C"/>
    <w:rsid w:val="0094429C"/>
    <w:rsid w:val="0094666B"/>
    <w:rsid w:val="00947776"/>
    <w:rsid w:val="009479C0"/>
    <w:rsid w:val="009504E3"/>
    <w:rsid w:val="00950914"/>
    <w:rsid w:val="00950C51"/>
    <w:rsid w:val="009515A0"/>
    <w:rsid w:val="00951973"/>
    <w:rsid w:val="00952350"/>
    <w:rsid w:val="0095252E"/>
    <w:rsid w:val="00952591"/>
    <w:rsid w:val="0095295B"/>
    <w:rsid w:val="00952C90"/>
    <w:rsid w:val="00953ADF"/>
    <w:rsid w:val="00953B55"/>
    <w:rsid w:val="0095579B"/>
    <w:rsid w:val="00957E73"/>
    <w:rsid w:val="0096135C"/>
    <w:rsid w:val="0096310D"/>
    <w:rsid w:val="0096776C"/>
    <w:rsid w:val="0097145B"/>
    <w:rsid w:val="009746D7"/>
    <w:rsid w:val="009808B4"/>
    <w:rsid w:val="00983391"/>
    <w:rsid w:val="009845F7"/>
    <w:rsid w:val="00984821"/>
    <w:rsid w:val="009853A6"/>
    <w:rsid w:val="00987835"/>
    <w:rsid w:val="009961A7"/>
    <w:rsid w:val="0099716A"/>
    <w:rsid w:val="009A0593"/>
    <w:rsid w:val="009A2797"/>
    <w:rsid w:val="009A2C14"/>
    <w:rsid w:val="009A3D97"/>
    <w:rsid w:val="009A3ED6"/>
    <w:rsid w:val="009A598B"/>
    <w:rsid w:val="009A698B"/>
    <w:rsid w:val="009B2AD1"/>
    <w:rsid w:val="009B2D86"/>
    <w:rsid w:val="009B2F43"/>
    <w:rsid w:val="009B3F94"/>
    <w:rsid w:val="009B4AB0"/>
    <w:rsid w:val="009B5E70"/>
    <w:rsid w:val="009B621A"/>
    <w:rsid w:val="009B672F"/>
    <w:rsid w:val="009B6EAB"/>
    <w:rsid w:val="009B718D"/>
    <w:rsid w:val="009C0BCC"/>
    <w:rsid w:val="009C225C"/>
    <w:rsid w:val="009C3C43"/>
    <w:rsid w:val="009C3FA3"/>
    <w:rsid w:val="009C44BD"/>
    <w:rsid w:val="009C45D9"/>
    <w:rsid w:val="009C6530"/>
    <w:rsid w:val="009C6F32"/>
    <w:rsid w:val="009D0F1F"/>
    <w:rsid w:val="009D2BEF"/>
    <w:rsid w:val="009D358E"/>
    <w:rsid w:val="009D600A"/>
    <w:rsid w:val="009D7187"/>
    <w:rsid w:val="009D783B"/>
    <w:rsid w:val="009E01DD"/>
    <w:rsid w:val="009E0538"/>
    <w:rsid w:val="009E547A"/>
    <w:rsid w:val="009E5852"/>
    <w:rsid w:val="009E6DAA"/>
    <w:rsid w:val="009F30C8"/>
    <w:rsid w:val="009F4054"/>
    <w:rsid w:val="009F58D8"/>
    <w:rsid w:val="009F5BB0"/>
    <w:rsid w:val="009F5C4A"/>
    <w:rsid w:val="009F6816"/>
    <w:rsid w:val="00A00150"/>
    <w:rsid w:val="00A02F7D"/>
    <w:rsid w:val="00A03791"/>
    <w:rsid w:val="00A06657"/>
    <w:rsid w:val="00A1103C"/>
    <w:rsid w:val="00A12DA0"/>
    <w:rsid w:val="00A164DA"/>
    <w:rsid w:val="00A16DFA"/>
    <w:rsid w:val="00A17C0A"/>
    <w:rsid w:val="00A228CB"/>
    <w:rsid w:val="00A22FA7"/>
    <w:rsid w:val="00A238D0"/>
    <w:rsid w:val="00A25136"/>
    <w:rsid w:val="00A325AA"/>
    <w:rsid w:val="00A33919"/>
    <w:rsid w:val="00A34641"/>
    <w:rsid w:val="00A346B2"/>
    <w:rsid w:val="00A3601F"/>
    <w:rsid w:val="00A36968"/>
    <w:rsid w:val="00A36EC5"/>
    <w:rsid w:val="00A41149"/>
    <w:rsid w:val="00A41B21"/>
    <w:rsid w:val="00A41E6D"/>
    <w:rsid w:val="00A44745"/>
    <w:rsid w:val="00A44F15"/>
    <w:rsid w:val="00A47B7B"/>
    <w:rsid w:val="00A50621"/>
    <w:rsid w:val="00A53365"/>
    <w:rsid w:val="00A54175"/>
    <w:rsid w:val="00A56809"/>
    <w:rsid w:val="00A60D9A"/>
    <w:rsid w:val="00A619B8"/>
    <w:rsid w:val="00A63A07"/>
    <w:rsid w:val="00A654A2"/>
    <w:rsid w:val="00A67183"/>
    <w:rsid w:val="00A70079"/>
    <w:rsid w:val="00A70D5D"/>
    <w:rsid w:val="00A76391"/>
    <w:rsid w:val="00A76452"/>
    <w:rsid w:val="00A83F5F"/>
    <w:rsid w:val="00A84DF8"/>
    <w:rsid w:val="00A86D3D"/>
    <w:rsid w:val="00A9013E"/>
    <w:rsid w:val="00A915F3"/>
    <w:rsid w:val="00A940AE"/>
    <w:rsid w:val="00A94AA1"/>
    <w:rsid w:val="00A94B17"/>
    <w:rsid w:val="00A94E43"/>
    <w:rsid w:val="00A94F1F"/>
    <w:rsid w:val="00A95347"/>
    <w:rsid w:val="00AA254B"/>
    <w:rsid w:val="00AA2BD2"/>
    <w:rsid w:val="00AA349C"/>
    <w:rsid w:val="00AA471D"/>
    <w:rsid w:val="00AA4B1C"/>
    <w:rsid w:val="00AA5F81"/>
    <w:rsid w:val="00AA6188"/>
    <w:rsid w:val="00AA6E47"/>
    <w:rsid w:val="00AA7E33"/>
    <w:rsid w:val="00AB1C35"/>
    <w:rsid w:val="00AB265E"/>
    <w:rsid w:val="00AB2948"/>
    <w:rsid w:val="00AB39FA"/>
    <w:rsid w:val="00AB3B30"/>
    <w:rsid w:val="00AB426C"/>
    <w:rsid w:val="00AB451C"/>
    <w:rsid w:val="00AB59F2"/>
    <w:rsid w:val="00AC3E62"/>
    <w:rsid w:val="00AC5620"/>
    <w:rsid w:val="00AC5AF9"/>
    <w:rsid w:val="00AC5FAC"/>
    <w:rsid w:val="00AC6192"/>
    <w:rsid w:val="00AD1390"/>
    <w:rsid w:val="00AD2F03"/>
    <w:rsid w:val="00AD340D"/>
    <w:rsid w:val="00AD57FE"/>
    <w:rsid w:val="00AD6933"/>
    <w:rsid w:val="00AD6B7B"/>
    <w:rsid w:val="00AD759A"/>
    <w:rsid w:val="00AD7CAB"/>
    <w:rsid w:val="00AE088F"/>
    <w:rsid w:val="00AE0D23"/>
    <w:rsid w:val="00AE0D6A"/>
    <w:rsid w:val="00AE10BE"/>
    <w:rsid w:val="00AE16C9"/>
    <w:rsid w:val="00AE282A"/>
    <w:rsid w:val="00AE3EF5"/>
    <w:rsid w:val="00AE4CB8"/>
    <w:rsid w:val="00AE4F2A"/>
    <w:rsid w:val="00AE5F33"/>
    <w:rsid w:val="00AF0AD5"/>
    <w:rsid w:val="00AF15E6"/>
    <w:rsid w:val="00AF3080"/>
    <w:rsid w:val="00AF51E7"/>
    <w:rsid w:val="00AF564F"/>
    <w:rsid w:val="00AF6744"/>
    <w:rsid w:val="00B000E4"/>
    <w:rsid w:val="00B01D79"/>
    <w:rsid w:val="00B05620"/>
    <w:rsid w:val="00B12E05"/>
    <w:rsid w:val="00B12EBE"/>
    <w:rsid w:val="00B16431"/>
    <w:rsid w:val="00B166A4"/>
    <w:rsid w:val="00B17251"/>
    <w:rsid w:val="00B17D3C"/>
    <w:rsid w:val="00B219B7"/>
    <w:rsid w:val="00B22681"/>
    <w:rsid w:val="00B25038"/>
    <w:rsid w:val="00B26064"/>
    <w:rsid w:val="00B27FF1"/>
    <w:rsid w:val="00B3159A"/>
    <w:rsid w:val="00B33465"/>
    <w:rsid w:val="00B33604"/>
    <w:rsid w:val="00B35C09"/>
    <w:rsid w:val="00B35FAD"/>
    <w:rsid w:val="00B379C5"/>
    <w:rsid w:val="00B37BB4"/>
    <w:rsid w:val="00B40F03"/>
    <w:rsid w:val="00B41510"/>
    <w:rsid w:val="00B4183F"/>
    <w:rsid w:val="00B42198"/>
    <w:rsid w:val="00B46AD2"/>
    <w:rsid w:val="00B47450"/>
    <w:rsid w:val="00B53F6C"/>
    <w:rsid w:val="00B56135"/>
    <w:rsid w:val="00B64BBE"/>
    <w:rsid w:val="00B67DE1"/>
    <w:rsid w:val="00B70CC6"/>
    <w:rsid w:val="00B73894"/>
    <w:rsid w:val="00B7721A"/>
    <w:rsid w:val="00B776B5"/>
    <w:rsid w:val="00B800EC"/>
    <w:rsid w:val="00B8193F"/>
    <w:rsid w:val="00B82A82"/>
    <w:rsid w:val="00B8388A"/>
    <w:rsid w:val="00B84124"/>
    <w:rsid w:val="00B8464A"/>
    <w:rsid w:val="00B8473D"/>
    <w:rsid w:val="00B867C6"/>
    <w:rsid w:val="00B90410"/>
    <w:rsid w:val="00B909C7"/>
    <w:rsid w:val="00B90E10"/>
    <w:rsid w:val="00B9419D"/>
    <w:rsid w:val="00B964CA"/>
    <w:rsid w:val="00B969D7"/>
    <w:rsid w:val="00BA148F"/>
    <w:rsid w:val="00BA212C"/>
    <w:rsid w:val="00BA31C4"/>
    <w:rsid w:val="00BA4655"/>
    <w:rsid w:val="00BA78B6"/>
    <w:rsid w:val="00BA7935"/>
    <w:rsid w:val="00BB047B"/>
    <w:rsid w:val="00BB3294"/>
    <w:rsid w:val="00BB4818"/>
    <w:rsid w:val="00BB4AF3"/>
    <w:rsid w:val="00BB5ED6"/>
    <w:rsid w:val="00BB6398"/>
    <w:rsid w:val="00BC086E"/>
    <w:rsid w:val="00BC25EF"/>
    <w:rsid w:val="00BC2DAF"/>
    <w:rsid w:val="00BC3334"/>
    <w:rsid w:val="00BC4FD3"/>
    <w:rsid w:val="00BC6827"/>
    <w:rsid w:val="00BC6C7A"/>
    <w:rsid w:val="00BC7D9E"/>
    <w:rsid w:val="00BD0372"/>
    <w:rsid w:val="00BD44F5"/>
    <w:rsid w:val="00BD51DC"/>
    <w:rsid w:val="00BE4340"/>
    <w:rsid w:val="00BE5C41"/>
    <w:rsid w:val="00BE7C9E"/>
    <w:rsid w:val="00BF0646"/>
    <w:rsid w:val="00BF1C32"/>
    <w:rsid w:val="00BF363A"/>
    <w:rsid w:val="00BF4D47"/>
    <w:rsid w:val="00BF5965"/>
    <w:rsid w:val="00BF76A6"/>
    <w:rsid w:val="00C0068D"/>
    <w:rsid w:val="00C01F23"/>
    <w:rsid w:val="00C0355E"/>
    <w:rsid w:val="00C044BE"/>
    <w:rsid w:val="00C04BAB"/>
    <w:rsid w:val="00C0607B"/>
    <w:rsid w:val="00C06DEF"/>
    <w:rsid w:val="00C075A2"/>
    <w:rsid w:val="00C107CB"/>
    <w:rsid w:val="00C118C4"/>
    <w:rsid w:val="00C11F58"/>
    <w:rsid w:val="00C120D7"/>
    <w:rsid w:val="00C132D1"/>
    <w:rsid w:val="00C139CA"/>
    <w:rsid w:val="00C13A7D"/>
    <w:rsid w:val="00C17BF3"/>
    <w:rsid w:val="00C21B6F"/>
    <w:rsid w:val="00C2275B"/>
    <w:rsid w:val="00C241A8"/>
    <w:rsid w:val="00C24ABA"/>
    <w:rsid w:val="00C24EC4"/>
    <w:rsid w:val="00C264CB"/>
    <w:rsid w:val="00C31253"/>
    <w:rsid w:val="00C313D3"/>
    <w:rsid w:val="00C35129"/>
    <w:rsid w:val="00C35C8E"/>
    <w:rsid w:val="00C364AC"/>
    <w:rsid w:val="00C40BE2"/>
    <w:rsid w:val="00C41197"/>
    <w:rsid w:val="00C419DB"/>
    <w:rsid w:val="00C42C61"/>
    <w:rsid w:val="00C43B88"/>
    <w:rsid w:val="00C476F1"/>
    <w:rsid w:val="00C51429"/>
    <w:rsid w:val="00C51E8F"/>
    <w:rsid w:val="00C52CE9"/>
    <w:rsid w:val="00C52FC0"/>
    <w:rsid w:val="00C53F9E"/>
    <w:rsid w:val="00C559E9"/>
    <w:rsid w:val="00C602F9"/>
    <w:rsid w:val="00C608C1"/>
    <w:rsid w:val="00C61360"/>
    <w:rsid w:val="00C63D4E"/>
    <w:rsid w:val="00C63EA9"/>
    <w:rsid w:val="00C665A0"/>
    <w:rsid w:val="00C67725"/>
    <w:rsid w:val="00C67E22"/>
    <w:rsid w:val="00C700F3"/>
    <w:rsid w:val="00C7092F"/>
    <w:rsid w:val="00C733F1"/>
    <w:rsid w:val="00C76DDA"/>
    <w:rsid w:val="00C807B3"/>
    <w:rsid w:val="00C81432"/>
    <w:rsid w:val="00C825C9"/>
    <w:rsid w:val="00C86CC3"/>
    <w:rsid w:val="00C86E37"/>
    <w:rsid w:val="00C87F48"/>
    <w:rsid w:val="00C901B1"/>
    <w:rsid w:val="00C90EBC"/>
    <w:rsid w:val="00C91B69"/>
    <w:rsid w:val="00C91F8D"/>
    <w:rsid w:val="00C931C5"/>
    <w:rsid w:val="00C9737C"/>
    <w:rsid w:val="00CA37A2"/>
    <w:rsid w:val="00CA3856"/>
    <w:rsid w:val="00CA5A3F"/>
    <w:rsid w:val="00CA5E94"/>
    <w:rsid w:val="00CA67E0"/>
    <w:rsid w:val="00CB0122"/>
    <w:rsid w:val="00CB0269"/>
    <w:rsid w:val="00CB0833"/>
    <w:rsid w:val="00CB18F5"/>
    <w:rsid w:val="00CB4A72"/>
    <w:rsid w:val="00CC008E"/>
    <w:rsid w:val="00CC02ED"/>
    <w:rsid w:val="00CC1708"/>
    <w:rsid w:val="00CC63EB"/>
    <w:rsid w:val="00CD022A"/>
    <w:rsid w:val="00CD03BE"/>
    <w:rsid w:val="00CD0707"/>
    <w:rsid w:val="00CD1A25"/>
    <w:rsid w:val="00CD1A6A"/>
    <w:rsid w:val="00CD2E16"/>
    <w:rsid w:val="00CD65E7"/>
    <w:rsid w:val="00CD7BFC"/>
    <w:rsid w:val="00CD7F70"/>
    <w:rsid w:val="00CE2B95"/>
    <w:rsid w:val="00CE2F1A"/>
    <w:rsid w:val="00CE5EE1"/>
    <w:rsid w:val="00CF1A11"/>
    <w:rsid w:val="00CF30FC"/>
    <w:rsid w:val="00CF3E6F"/>
    <w:rsid w:val="00CF4286"/>
    <w:rsid w:val="00CF5CB2"/>
    <w:rsid w:val="00D019BA"/>
    <w:rsid w:val="00D01B9F"/>
    <w:rsid w:val="00D03B38"/>
    <w:rsid w:val="00D03F87"/>
    <w:rsid w:val="00D04670"/>
    <w:rsid w:val="00D04CD4"/>
    <w:rsid w:val="00D07174"/>
    <w:rsid w:val="00D10836"/>
    <w:rsid w:val="00D12095"/>
    <w:rsid w:val="00D167D8"/>
    <w:rsid w:val="00D21AEC"/>
    <w:rsid w:val="00D22D06"/>
    <w:rsid w:val="00D24772"/>
    <w:rsid w:val="00D26E91"/>
    <w:rsid w:val="00D272A6"/>
    <w:rsid w:val="00D31F81"/>
    <w:rsid w:val="00D3441D"/>
    <w:rsid w:val="00D355C4"/>
    <w:rsid w:val="00D35AD9"/>
    <w:rsid w:val="00D3612A"/>
    <w:rsid w:val="00D37703"/>
    <w:rsid w:val="00D37DBF"/>
    <w:rsid w:val="00D37F25"/>
    <w:rsid w:val="00D42F4F"/>
    <w:rsid w:val="00D44141"/>
    <w:rsid w:val="00D44C77"/>
    <w:rsid w:val="00D470F0"/>
    <w:rsid w:val="00D500EE"/>
    <w:rsid w:val="00D5604B"/>
    <w:rsid w:val="00D567BB"/>
    <w:rsid w:val="00D56A53"/>
    <w:rsid w:val="00D6324F"/>
    <w:rsid w:val="00D63458"/>
    <w:rsid w:val="00D635D4"/>
    <w:rsid w:val="00D66D37"/>
    <w:rsid w:val="00D71150"/>
    <w:rsid w:val="00D7179D"/>
    <w:rsid w:val="00D73110"/>
    <w:rsid w:val="00D750CC"/>
    <w:rsid w:val="00D758DC"/>
    <w:rsid w:val="00D84369"/>
    <w:rsid w:val="00D84C8F"/>
    <w:rsid w:val="00D873AD"/>
    <w:rsid w:val="00D90BEE"/>
    <w:rsid w:val="00D91AAC"/>
    <w:rsid w:val="00D91C06"/>
    <w:rsid w:val="00D91C9F"/>
    <w:rsid w:val="00D93FD1"/>
    <w:rsid w:val="00D94214"/>
    <w:rsid w:val="00D965A3"/>
    <w:rsid w:val="00DA08F5"/>
    <w:rsid w:val="00DA2ADC"/>
    <w:rsid w:val="00DA785C"/>
    <w:rsid w:val="00DB01E2"/>
    <w:rsid w:val="00DB0764"/>
    <w:rsid w:val="00DB3506"/>
    <w:rsid w:val="00DB5D41"/>
    <w:rsid w:val="00DB716B"/>
    <w:rsid w:val="00DB7A9A"/>
    <w:rsid w:val="00DC056E"/>
    <w:rsid w:val="00DC3177"/>
    <w:rsid w:val="00DC3276"/>
    <w:rsid w:val="00DD13AB"/>
    <w:rsid w:val="00DD2841"/>
    <w:rsid w:val="00DD323F"/>
    <w:rsid w:val="00DD37D8"/>
    <w:rsid w:val="00DD4EB5"/>
    <w:rsid w:val="00DD5902"/>
    <w:rsid w:val="00DD695F"/>
    <w:rsid w:val="00DD6AA0"/>
    <w:rsid w:val="00DE01A4"/>
    <w:rsid w:val="00DE1B73"/>
    <w:rsid w:val="00DE3E40"/>
    <w:rsid w:val="00DE4597"/>
    <w:rsid w:val="00DE643F"/>
    <w:rsid w:val="00DF6840"/>
    <w:rsid w:val="00E010AB"/>
    <w:rsid w:val="00E015AD"/>
    <w:rsid w:val="00E018C7"/>
    <w:rsid w:val="00E0233F"/>
    <w:rsid w:val="00E02678"/>
    <w:rsid w:val="00E050EC"/>
    <w:rsid w:val="00E06262"/>
    <w:rsid w:val="00E0748A"/>
    <w:rsid w:val="00E0765F"/>
    <w:rsid w:val="00E11042"/>
    <w:rsid w:val="00E128A9"/>
    <w:rsid w:val="00E135C6"/>
    <w:rsid w:val="00E13733"/>
    <w:rsid w:val="00E143DA"/>
    <w:rsid w:val="00E14853"/>
    <w:rsid w:val="00E14BA3"/>
    <w:rsid w:val="00E14EA3"/>
    <w:rsid w:val="00E16744"/>
    <w:rsid w:val="00E20628"/>
    <w:rsid w:val="00E24CDE"/>
    <w:rsid w:val="00E256A5"/>
    <w:rsid w:val="00E25953"/>
    <w:rsid w:val="00E27F5A"/>
    <w:rsid w:val="00E306A8"/>
    <w:rsid w:val="00E32BEA"/>
    <w:rsid w:val="00E32F5B"/>
    <w:rsid w:val="00E339BE"/>
    <w:rsid w:val="00E35CC7"/>
    <w:rsid w:val="00E35D59"/>
    <w:rsid w:val="00E35F5B"/>
    <w:rsid w:val="00E3799F"/>
    <w:rsid w:val="00E37DA2"/>
    <w:rsid w:val="00E4121B"/>
    <w:rsid w:val="00E42FA4"/>
    <w:rsid w:val="00E43ACF"/>
    <w:rsid w:val="00E43B5E"/>
    <w:rsid w:val="00E45864"/>
    <w:rsid w:val="00E4622C"/>
    <w:rsid w:val="00E47F40"/>
    <w:rsid w:val="00E51FFB"/>
    <w:rsid w:val="00E52DD3"/>
    <w:rsid w:val="00E5471E"/>
    <w:rsid w:val="00E558A4"/>
    <w:rsid w:val="00E576D9"/>
    <w:rsid w:val="00E64694"/>
    <w:rsid w:val="00E6530A"/>
    <w:rsid w:val="00E65C76"/>
    <w:rsid w:val="00E65EA1"/>
    <w:rsid w:val="00E6605D"/>
    <w:rsid w:val="00E6611F"/>
    <w:rsid w:val="00E81D7F"/>
    <w:rsid w:val="00E861AD"/>
    <w:rsid w:val="00E9168B"/>
    <w:rsid w:val="00E91A28"/>
    <w:rsid w:val="00E923A0"/>
    <w:rsid w:val="00E9265B"/>
    <w:rsid w:val="00E95253"/>
    <w:rsid w:val="00E95569"/>
    <w:rsid w:val="00E978F3"/>
    <w:rsid w:val="00EA1CB1"/>
    <w:rsid w:val="00EA3CB6"/>
    <w:rsid w:val="00EA6125"/>
    <w:rsid w:val="00EB5664"/>
    <w:rsid w:val="00EB7496"/>
    <w:rsid w:val="00EC0435"/>
    <w:rsid w:val="00EC1D99"/>
    <w:rsid w:val="00EC3319"/>
    <w:rsid w:val="00EC4595"/>
    <w:rsid w:val="00EC7180"/>
    <w:rsid w:val="00ED209D"/>
    <w:rsid w:val="00ED418D"/>
    <w:rsid w:val="00ED46C4"/>
    <w:rsid w:val="00ED5F88"/>
    <w:rsid w:val="00ED664B"/>
    <w:rsid w:val="00ED7359"/>
    <w:rsid w:val="00ED7C2E"/>
    <w:rsid w:val="00ED7E13"/>
    <w:rsid w:val="00EE5111"/>
    <w:rsid w:val="00EF14F9"/>
    <w:rsid w:val="00EF157F"/>
    <w:rsid w:val="00EF1925"/>
    <w:rsid w:val="00EF2730"/>
    <w:rsid w:val="00EF28D7"/>
    <w:rsid w:val="00EF54C3"/>
    <w:rsid w:val="00EF5550"/>
    <w:rsid w:val="00EF56AC"/>
    <w:rsid w:val="00F01D63"/>
    <w:rsid w:val="00F03786"/>
    <w:rsid w:val="00F03AB8"/>
    <w:rsid w:val="00F05E37"/>
    <w:rsid w:val="00F07555"/>
    <w:rsid w:val="00F07897"/>
    <w:rsid w:val="00F07EF7"/>
    <w:rsid w:val="00F112AC"/>
    <w:rsid w:val="00F130AD"/>
    <w:rsid w:val="00F13B04"/>
    <w:rsid w:val="00F2002D"/>
    <w:rsid w:val="00F22093"/>
    <w:rsid w:val="00F227E8"/>
    <w:rsid w:val="00F237DC"/>
    <w:rsid w:val="00F24647"/>
    <w:rsid w:val="00F26374"/>
    <w:rsid w:val="00F26A9F"/>
    <w:rsid w:val="00F30DE4"/>
    <w:rsid w:val="00F31CE2"/>
    <w:rsid w:val="00F331B5"/>
    <w:rsid w:val="00F34AF9"/>
    <w:rsid w:val="00F35361"/>
    <w:rsid w:val="00F36461"/>
    <w:rsid w:val="00F41E62"/>
    <w:rsid w:val="00F45725"/>
    <w:rsid w:val="00F47B58"/>
    <w:rsid w:val="00F47BED"/>
    <w:rsid w:val="00F51F3E"/>
    <w:rsid w:val="00F53521"/>
    <w:rsid w:val="00F5363B"/>
    <w:rsid w:val="00F53991"/>
    <w:rsid w:val="00F61722"/>
    <w:rsid w:val="00F617C6"/>
    <w:rsid w:val="00F6208E"/>
    <w:rsid w:val="00F66A33"/>
    <w:rsid w:val="00F66F7C"/>
    <w:rsid w:val="00F70BA5"/>
    <w:rsid w:val="00F71818"/>
    <w:rsid w:val="00F73842"/>
    <w:rsid w:val="00F73B39"/>
    <w:rsid w:val="00F74981"/>
    <w:rsid w:val="00F75C04"/>
    <w:rsid w:val="00F75E72"/>
    <w:rsid w:val="00F81F50"/>
    <w:rsid w:val="00F85B5C"/>
    <w:rsid w:val="00F90692"/>
    <w:rsid w:val="00F93C1D"/>
    <w:rsid w:val="00F93CA2"/>
    <w:rsid w:val="00F95772"/>
    <w:rsid w:val="00F964F3"/>
    <w:rsid w:val="00F97997"/>
    <w:rsid w:val="00FA0846"/>
    <w:rsid w:val="00FA15C8"/>
    <w:rsid w:val="00FA27ED"/>
    <w:rsid w:val="00FA413C"/>
    <w:rsid w:val="00FA67ED"/>
    <w:rsid w:val="00FA7C40"/>
    <w:rsid w:val="00FB09A3"/>
    <w:rsid w:val="00FB2CA2"/>
    <w:rsid w:val="00FB4289"/>
    <w:rsid w:val="00FB4D49"/>
    <w:rsid w:val="00FB5140"/>
    <w:rsid w:val="00FB5DC6"/>
    <w:rsid w:val="00FC0149"/>
    <w:rsid w:val="00FC1824"/>
    <w:rsid w:val="00FC2985"/>
    <w:rsid w:val="00FC6882"/>
    <w:rsid w:val="00FC7254"/>
    <w:rsid w:val="00FD008B"/>
    <w:rsid w:val="00FD0E0E"/>
    <w:rsid w:val="00FD12A2"/>
    <w:rsid w:val="00FD424D"/>
    <w:rsid w:val="00FD5803"/>
    <w:rsid w:val="00FD6159"/>
    <w:rsid w:val="00FD6611"/>
    <w:rsid w:val="00FE0E7B"/>
    <w:rsid w:val="00FE2CE3"/>
    <w:rsid w:val="00FE2CF0"/>
    <w:rsid w:val="00FE3826"/>
    <w:rsid w:val="00FE53DD"/>
    <w:rsid w:val="00FE7449"/>
    <w:rsid w:val="00FE7F11"/>
    <w:rsid w:val="00FF20D4"/>
    <w:rsid w:val="00FF2AF6"/>
    <w:rsid w:val="00FF3F44"/>
    <w:rsid w:val="00FF491C"/>
    <w:rsid w:val="00FF5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21C67F5"/>
  <w15:chartTrackingRefBased/>
  <w15:docId w15:val="{69FE42E1-ED99-49ED-8E35-4A8A4718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character" w:customStyle="1" w:styleId="ERGNormalChar">
    <w:name w:val="ERG Normal Char"/>
    <w:link w:val="ERGNormal"/>
    <w:locked/>
    <w:rsid w:val="004C1F21"/>
    <w:rPr>
      <w:rFonts w:ascii="Arial" w:hAnsi="Arial" w:cs="Arial"/>
      <w:sz w:val="24"/>
      <w:szCs w:val="24"/>
    </w:rPr>
  </w:style>
  <w:style w:type="paragraph" w:customStyle="1" w:styleId="ERGNormal">
    <w:name w:val="ERG Normal"/>
    <w:basedOn w:val="Normal"/>
    <w:link w:val="ERGNormalChar"/>
    <w:qFormat/>
    <w:rsid w:val="004C1F21"/>
    <w:pPr>
      <w:spacing w:after="120" w:line="360" w:lineRule="auto"/>
    </w:pPr>
    <w:rPr>
      <w:rFonts w:ascii="Arial" w:hAnsi="Arial" w:cs="Arial"/>
      <w:lang w:eastAsia="en-GB"/>
    </w:rPr>
  </w:style>
  <w:style w:type="paragraph" w:styleId="Subtitle">
    <w:name w:val="Subtitle"/>
    <w:basedOn w:val="Normal"/>
    <w:next w:val="Normal"/>
    <w:link w:val="SubtitleChar"/>
    <w:qFormat/>
    <w:rsid w:val="009B2A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2AD1"/>
    <w:rPr>
      <w:rFonts w:asciiTheme="minorHAnsi" w:eastAsiaTheme="minorEastAsia" w:hAnsiTheme="minorHAnsi" w:cstheme="minorBidi"/>
      <w:color w:val="5A5A5A" w:themeColor="text1" w:themeTint="A5"/>
      <w:spacing w:val="15"/>
      <w:sz w:val="22"/>
      <w:szCs w:val="22"/>
      <w:lang w:eastAsia="en-US"/>
    </w:rPr>
  </w:style>
  <w:style w:type="paragraph" w:styleId="NormalWeb">
    <w:name w:val="Normal (Web)"/>
    <w:basedOn w:val="Normal"/>
    <w:uiPriority w:val="99"/>
    <w:unhideWhenUsed/>
    <w:rsid w:val="00FC688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4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465">
      <w:bodyDiv w:val="1"/>
      <w:marLeft w:val="0"/>
      <w:marRight w:val="0"/>
      <w:marTop w:val="0"/>
      <w:marBottom w:val="0"/>
      <w:divBdr>
        <w:top w:val="none" w:sz="0" w:space="0" w:color="auto"/>
        <w:left w:val="none" w:sz="0" w:space="0" w:color="auto"/>
        <w:bottom w:val="none" w:sz="0" w:space="0" w:color="auto"/>
        <w:right w:val="none" w:sz="0" w:space="0" w:color="auto"/>
      </w:divBdr>
      <w:divsChild>
        <w:div w:id="1425296680">
          <w:marLeft w:val="173"/>
          <w:marRight w:val="0"/>
          <w:marTop w:val="0"/>
          <w:marBottom w:val="0"/>
          <w:divBdr>
            <w:top w:val="none" w:sz="0" w:space="0" w:color="auto"/>
            <w:left w:val="none" w:sz="0" w:space="0" w:color="auto"/>
            <w:bottom w:val="none" w:sz="0" w:space="0" w:color="auto"/>
            <w:right w:val="none" w:sz="0" w:space="0" w:color="auto"/>
          </w:divBdr>
        </w:div>
        <w:div w:id="93979170">
          <w:marLeft w:val="230"/>
          <w:marRight w:val="0"/>
          <w:marTop w:val="0"/>
          <w:marBottom w:val="0"/>
          <w:divBdr>
            <w:top w:val="none" w:sz="0" w:space="0" w:color="auto"/>
            <w:left w:val="none" w:sz="0" w:space="0" w:color="auto"/>
            <w:bottom w:val="none" w:sz="0" w:space="0" w:color="auto"/>
            <w:right w:val="none" w:sz="0" w:space="0" w:color="auto"/>
          </w:divBdr>
        </w:div>
        <w:div w:id="1613593638">
          <w:marLeft w:val="230"/>
          <w:marRight w:val="0"/>
          <w:marTop w:val="0"/>
          <w:marBottom w:val="0"/>
          <w:divBdr>
            <w:top w:val="none" w:sz="0" w:space="0" w:color="auto"/>
            <w:left w:val="none" w:sz="0" w:space="0" w:color="auto"/>
            <w:bottom w:val="none" w:sz="0" w:space="0" w:color="auto"/>
            <w:right w:val="none" w:sz="0" w:space="0" w:color="auto"/>
          </w:divBdr>
        </w:div>
        <w:div w:id="1549336690">
          <w:marLeft w:val="230"/>
          <w:marRight w:val="0"/>
          <w:marTop w:val="0"/>
          <w:marBottom w:val="0"/>
          <w:divBdr>
            <w:top w:val="none" w:sz="0" w:space="0" w:color="auto"/>
            <w:left w:val="none" w:sz="0" w:space="0" w:color="auto"/>
            <w:bottom w:val="none" w:sz="0" w:space="0" w:color="auto"/>
            <w:right w:val="none" w:sz="0" w:space="0" w:color="auto"/>
          </w:divBdr>
        </w:div>
        <w:div w:id="1887256986">
          <w:marLeft w:val="230"/>
          <w:marRight w:val="0"/>
          <w:marTop w:val="0"/>
          <w:marBottom w:val="0"/>
          <w:divBdr>
            <w:top w:val="none" w:sz="0" w:space="0" w:color="auto"/>
            <w:left w:val="none" w:sz="0" w:space="0" w:color="auto"/>
            <w:bottom w:val="none" w:sz="0" w:space="0" w:color="auto"/>
            <w:right w:val="none" w:sz="0" w:space="0" w:color="auto"/>
          </w:divBdr>
        </w:div>
        <w:div w:id="1524634694">
          <w:marLeft w:val="230"/>
          <w:marRight w:val="0"/>
          <w:marTop w:val="0"/>
          <w:marBottom w:val="0"/>
          <w:divBdr>
            <w:top w:val="none" w:sz="0" w:space="0" w:color="auto"/>
            <w:left w:val="none" w:sz="0" w:space="0" w:color="auto"/>
            <w:bottom w:val="none" w:sz="0" w:space="0" w:color="auto"/>
            <w:right w:val="none" w:sz="0" w:space="0" w:color="auto"/>
          </w:divBdr>
        </w:div>
        <w:div w:id="2140176073">
          <w:marLeft w:val="230"/>
          <w:marRight w:val="0"/>
          <w:marTop w:val="0"/>
          <w:marBottom w:val="0"/>
          <w:divBdr>
            <w:top w:val="none" w:sz="0" w:space="0" w:color="auto"/>
            <w:left w:val="none" w:sz="0" w:space="0" w:color="auto"/>
            <w:bottom w:val="none" w:sz="0" w:space="0" w:color="auto"/>
            <w:right w:val="none" w:sz="0" w:space="0" w:color="auto"/>
          </w:divBdr>
        </w:div>
        <w:div w:id="174929847">
          <w:marLeft w:val="446"/>
          <w:marRight w:val="0"/>
          <w:marTop w:val="0"/>
          <w:marBottom w:val="0"/>
          <w:divBdr>
            <w:top w:val="none" w:sz="0" w:space="0" w:color="auto"/>
            <w:left w:val="none" w:sz="0" w:space="0" w:color="auto"/>
            <w:bottom w:val="none" w:sz="0" w:space="0" w:color="auto"/>
            <w:right w:val="none" w:sz="0" w:space="0" w:color="auto"/>
          </w:divBdr>
        </w:div>
        <w:div w:id="2067681213">
          <w:marLeft w:val="446"/>
          <w:marRight w:val="0"/>
          <w:marTop w:val="0"/>
          <w:marBottom w:val="0"/>
          <w:divBdr>
            <w:top w:val="none" w:sz="0" w:space="0" w:color="auto"/>
            <w:left w:val="none" w:sz="0" w:space="0" w:color="auto"/>
            <w:bottom w:val="none" w:sz="0" w:space="0" w:color="auto"/>
            <w:right w:val="none" w:sz="0" w:space="0" w:color="auto"/>
          </w:divBdr>
        </w:div>
        <w:div w:id="1745637916">
          <w:marLeft w:val="446"/>
          <w:marRight w:val="0"/>
          <w:marTop w:val="0"/>
          <w:marBottom w:val="0"/>
          <w:divBdr>
            <w:top w:val="none" w:sz="0" w:space="0" w:color="auto"/>
            <w:left w:val="none" w:sz="0" w:space="0" w:color="auto"/>
            <w:bottom w:val="none" w:sz="0" w:space="0" w:color="auto"/>
            <w:right w:val="none" w:sz="0" w:space="0" w:color="auto"/>
          </w:divBdr>
        </w:div>
      </w:divsChild>
    </w:div>
    <w:div w:id="58210831">
      <w:bodyDiv w:val="1"/>
      <w:marLeft w:val="0"/>
      <w:marRight w:val="0"/>
      <w:marTop w:val="0"/>
      <w:marBottom w:val="0"/>
      <w:divBdr>
        <w:top w:val="none" w:sz="0" w:space="0" w:color="auto"/>
        <w:left w:val="none" w:sz="0" w:space="0" w:color="auto"/>
        <w:bottom w:val="none" w:sz="0" w:space="0" w:color="auto"/>
        <w:right w:val="none" w:sz="0" w:space="0" w:color="auto"/>
      </w:divBdr>
      <w:divsChild>
        <w:div w:id="1716540278">
          <w:marLeft w:val="893"/>
          <w:marRight w:val="0"/>
          <w:marTop w:val="154"/>
          <w:marBottom w:val="0"/>
          <w:divBdr>
            <w:top w:val="none" w:sz="0" w:space="0" w:color="auto"/>
            <w:left w:val="none" w:sz="0" w:space="0" w:color="auto"/>
            <w:bottom w:val="none" w:sz="0" w:space="0" w:color="auto"/>
            <w:right w:val="none" w:sz="0" w:space="0" w:color="auto"/>
          </w:divBdr>
        </w:div>
      </w:divsChild>
    </w:div>
    <w:div w:id="145516330">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0644159">
      <w:bodyDiv w:val="1"/>
      <w:marLeft w:val="0"/>
      <w:marRight w:val="0"/>
      <w:marTop w:val="0"/>
      <w:marBottom w:val="0"/>
      <w:divBdr>
        <w:top w:val="none" w:sz="0" w:space="0" w:color="auto"/>
        <w:left w:val="none" w:sz="0" w:space="0" w:color="auto"/>
        <w:bottom w:val="none" w:sz="0" w:space="0" w:color="auto"/>
        <w:right w:val="none" w:sz="0" w:space="0" w:color="auto"/>
      </w:divBdr>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89726682">
      <w:bodyDiv w:val="1"/>
      <w:marLeft w:val="0"/>
      <w:marRight w:val="0"/>
      <w:marTop w:val="0"/>
      <w:marBottom w:val="0"/>
      <w:divBdr>
        <w:top w:val="none" w:sz="0" w:space="0" w:color="auto"/>
        <w:left w:val="none" w:sz="0" w:space="0" w:color="auto"/>
        <w:bottom w:val="none" w:sz="0" w:space="0" w:color="auto"/>
        <w:right w:val="none" w:sz="0" w:space="0" w:color="auto"/>
      </w:divBdr>
    </w:div>
    <w:div w:id="923496845">
      <w:bodyDiv w:val="1"/>
      <w:marLeft w:val="0"/>
      <w:marRight w:val="0"/>
      <w:marTop w:val="0"/>
      <w:marBottom w:val="0"/>
      <w:divBdr>
        <w:top w:val="none" w:sz="0" w:space="0" w:color="auto"/>
        <w:left w:val="none" w:sz="0" w:space="0" w:color="auto"/>
        <w:bottom w:val="none" w:sz="0" w:space="0" w:color="auto"/>
        <w:right w:val="none" w:sz="0" w:space="0" w:color="auto"/>
      </w:divBdr>
    </w:div>
    <w:div w:id="939796148">
      <w:bodyDiv w:val="1"/>
      <w:marLeft w:val="0"/>
      <w:marRight w:val="0"/>
      <w:marTop w:val="0"/>
      <w:marBottom w:val="0"/>
      <w:divBdr>
        <w:top w:val="none" w:sz="0" w:space="0" w:color="auto"/>
        <w:left w:val="none" w:sz="0" w:space="0" w:color="auto"/>
        <w:bottom w:val="none" w:sz="0" w:space="0" w:color="auto"/>
        <w:right w:val="none" w:sz="0" w:space="0" w:color="auto"/>
      </w:divBdr>
    </w:div>
    <w:div w:id="960039544">
      <w:bodyDiv w:val="1"/>
      <w:marLeft w:val="0"/>
      <w:marRight w:val="0"/>
      <w:marTop w:val="0"/>
      <w:marBottom w:val="0"/>
      <w:divBdr>
        <w:top w:val="none" w:sz="0" w:space="0" w:color="auto"/>
        <w:left w:val="none" w:sz="0" w:space="0" w:color="auto"/>
        <w:bottom w:val="none" w:sz="0" w:space="0" w:color="auto"/>
        <w:right w:val="none" w:sz="0" w:space="0" w:color="auto"/>
      </w:divBdr>
      <w:divsChild>
        <w:div w:id="1347248040">
          <w:marLeft w:val="173"/>
          <w:marRight w:val="0"/>
          <w:marTop w:val="0"/>
          <w:marBottom w:val="0"/>
          <w:divBdr>
            <w:top w:val="none" w:sz="0" w:space="0" w:color="auto"/>
            <w:left w:val="none" w:sz="0" w:space="0" w:color="auto"/>
            <w:bottom w:val="none" w:sz="0" w:space="0" w:color="auto"/>
            <w:right w:val="none" w:sz="0" w:space="0" w:color="auto"/>
          </w:divBdr>
        </w:div>
        <w:div w:id="731390393">
          <w:marLeft w:val="230"/>
          <w:marRight w:val="0"/>
          <w:marTop w:val="0"/>
          <w:marBottom w:val="0"/>
          <w:divBdr>
            <w:top w:val="none" w:sz="0" w:space="0" w:color="auto"/>
            <w:left w:val="none" w:sz="0" w:space="0" w:color="auto"/>
            <w:bottom w:val="none" w:sz="0" w:space="0" w:color="auto"/>
            <w:right w:val="none" w:sz="0" w:space="0" w:color="auto"/>
          </w:divBdr>
        </w:div>
        <w:div w:id="1128620544">
          <w:marLeft w:val="230"/>
          <w:marRight w:val="0"/>
          <w:marTop w:val="0"/>
          <w:marBottom w:val="0"/>
          <w:divBdr>
            <w:top w:val="none" w:sz="0" w:space="0" w:color="auto"/>
            <w:left w:val="none" w:sz="0" w:space="0" w:color="auto"/>
            <w:bottom w:val="none" w:sz="0" w:space="0" w:color="auto"/>
            <w:right w:val="none" w:sz="0" w:space="0" w:color="auto"/>
          </w:divBdr>
        </w:div>
        <w:div w:id="483283454">
          <w:marLeft w:val="230"/>
          <w:marRight w:val="0"/>
          <w:marTop w:val="0"/>
          <w:marBottom w:val="0"/>
          <w:divBdr>
            <w:top w:val="none" w:sz="0" w:space="0" w:color="auto"/>
            <w:left w:val="none" w:sz="0" w:space="0" w:color="auto"/>
            <w:bottom w:val="none" w:sz="0" w:space="0" w:color="auto"/>
            <w:right w:val="none" w:sz="0" w:space="0" w:color="auto"/>
          </w:divBdr>
        </w:div>
        <w:div w:id="2083797491">
          <w:marLeft w:val="230"/>
          <w:marRight w:val="0"/>
          <w:marTop w:val="0"/>
          <w:marBottom w:val="0"/>
          <w:divBdr>
            <w:top w:val="none" w:sz="0" w:space="0" w:color="auto"/>
            <w:left w:val="none" w:sz="0" w:space="0" w:color="auto"/>
            <w:bottom w:val="none" w:sz="0" w:space="0" w:color="auto"/>
            <w:right w:val="none" w:sz="0" w:space="0" w:color="auto"/>
          </w:divBdr>
        </w:div>
        <w:div w:id="1174105853">
          <w:marLeft w:val="230"/>
          <w:marRight w:val="0"/>
          <w:marTop w:val="0"/>
          <w:marBottom w:val="0"/>
          <w:divBdr>
            <w:top w:val="none" w:sz="0" w:space="0" w:color="auto"/>
            <w:left w:val="none" w:sz="0" w:space="0" w:color="auto"/>
            <w:bottom w:val="none" w:sz="0" w:space="0" w:color="auto"/>
            <w:right w:val="none" w:sz="0" w:space="0" w:color="auto"/>
          </w:divBdr>
        </w:div>
        <w:div w:id="171577342">
          <w:marLeft w:val="230"/>
          <w:marRight w:val="0"/>
          <w:marTop w:val="0"/>
          <w:marBottom w:val="0"/>
          <w:divBdr>
            <w:top w:val="none" w:sz="0" w:space="0" w:color="auto"/>
            <w:left w:val="none" w:sz="0" w:space="0" w:color="auto"/>
            <w:bottom w:val="none" w:sz="0" w:space="0" w:color="auto"/>
            <w:right w:val="none" w:sz="0" w:space="0" w:color="auto"/>
          </w:divBdr>
        </w:div>
        <w:div w:id="1331831832">
          <w:marLeft w:val="446"/>
          <w:marRight w:val="0"/>
          <w:marTop w:val="0"/>
          <w:marBottom w:val="0"/>
          <w:divBdr>
            <w:top w:val="none" w:sz="0" w:space="0" w:color="auto"/>
            <w:left w:val="none" w:sz="0" w:space="0" w:color="auto"/>
            <w:bottom w:val="none" w:sz="0" w:space="0" w:color="auto"/>
            <w:right w:val="none" w:sz="0" w:space="0" w:color="auto"/>
          </w:divBdr>
        </w:div>
        <w:div w:id="977494110">
          <w:marLeft w:val="446"/>
          <w:marRight w:val="0"/>
          <w:marTop w:val="0"/>
          <w:marBottom w:val="0"/>
          <w:divBdr>
            <w:top w:val="none" w:sz="0" w:space="0" w:color="auto"/>
            <w:left w:val="none" w:sz="0" w:space="0" w:color="auto"/>
            <w:bottom w:val="none" w:sz="0" w:space="0" w:color="auto"/>
            <w:right w:val="none" w:sz="0" w:space="0" w:color="auto"/>
          </w:divBdr>
        </w:div>
        <w:div w:id="139735013">
          <w:marLeft w:val="446"/>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53196082">
      <w:bodyDiv w:val="1"/>
      <w:marLeft w:val="0"/>
      <w:marRight w:val="0"/>
      <w:marTop w:val="0"/>
      <w:marBottom w:val="0"/>
      <w:divBdr>
        <w:top w:val="none" w:sz="0" w:space="0" w:color="auto"/>
        <w:left w:val="none" w:sz="0" w:space="0" w:color="auto"/>
        <w:bottom w:val="none" w:sz="0" w:space="0" w:color="auto"/>
        <w:right w:val="none" w:sz="0" w:space="0" w:color="auto"/>
      </w:divBdr>
      <w:divsChild>
        <w:div w:id="448940786">
          <w:marLeft w:val="0"/>
          <w:marRight w:val="0"/>
          <w:marTop w:val="0"/>
          <w:marBottom w:val="0"/>
          <w:divBdr>
            <w:top w:val="none" w:sz="0" w:space="0" w:color="auto"/>
            <w:left w:val="none" w:sz="0" w:space="0" w:color="auto"/>
            <w:bottom w:val="none" w:sz="0" w:space="0" w:color="auto"/>
            <w:right w:val="none" w:sz="0" w:space="0" w:color="auto"/>
          </w:divBdr>
        </w:div>
      </w:divsChild>
    </w:div>
    <w:div w:id="1263609966">
      <w:bodyDiv w:val="1"/>
      <w:marLeft w:val="0"/>
      <w:marRight w:val="0"/>
      <w:marTop w:val="0"/>
      <w:marBottom w:val="0"/>
      <w:divBdr>
        <w:top w:val="none" w:sz="0" w:space="0" w:color="auto"/>
        <w:left w:val="none" w:sz="0" w:space="0" w:color="auto"/>
        <w:bottom w:val="none" w:sz="0" w:space="0" w:color="auto"/>
        <w:right w:val="none" w:sz="0" w:space="0" w:color="auto"/>
      </w:divBdr>
    </w:div>
    <w:div w:id="1278291314">
      <w:bodyDiv w:val="1"/>
      <w:marLeft w:val="0"/>
      <w:marRight w:val="0"/>
      <w:marTop w:val="0"/>
      <w:marBottom w:val="0"/>
      <w:divBdr>
        <w:top w:val="none" w:sz="0" w:space="0" w:color="auto"/>
        <w:left w:val="none" w:sz="0" w:space="0" w:color="auto"/>
        <w:bottom w:val="none" w:sz="0" w:space="0" w:color="auto"/>
        <w:right w:val="none" w:sz="0" w:space="0" w:color="auto"/>
      </w:divBdr>
    </w:div>
    <w:div w:id="1399472588">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82815081">
      <w:bodyDiv w:val="1"/>
      <w:marLeft w:val="0"/>
      <w:marRight w:val="0"/>
      <w:marTop w:val="0"/>
      <w:marBottom w:val="0"/>
      <w:divBdr>
        <w:top w:val="none" w:sz="0" w:space="0" w:color="auto"/>
        <w:left w:val="none" w:sz="0" w:space="0" w:color="auto"/>
        <w:bottom w:val="none" w:sz="0" w:space="0" w:color="auto"/>
        <w:right w:val="none" w:sz="0" w:space="0" w:color="auto"/>
      </w:divBdr>
      <w:divsChild>
        <w:div w:id="1608662843">
          <w:marLeft w:val="446"/>
          <w:marRight w:val="0"/>
          <w:marTop w:val="0"/>
          <w:marBottom w:val="0"/>
          <w:divBdr>
            <w:top w:val="none" w:sz="0" w:space="0" w:color="auto"/>
            <w:left w:val="none" w:sz="0" w:space="0" w:color="auto"/>
            <w:bottom w:val="none" w:sz="0" w:space="0" w:color="auto"/>
            <w:right w:val="none" w:sz="0" w:space="0" w:color="auto"/>
          </w:divBdr>
        </w:div>
        <w:div w:id="790250061">
          <w:marLeft w:val="446"/>
          <w:marRight w:val="0"/>
          <w:marTop w:val="0"/>
          <w:marBottom w:val="0"/>
          <w:divBdr>
            <w:top w:val="none" w:sz="0" w:space="0" w:color="auto"/>
            <w:left w:val="none" w:sz="0" w:space="0" w:color="auto"/>
            <w:bottom w:val="none" w:sz="0" w:space="0" w:color="auto"/>
            <w:right w:val="none" w:sz="0" w:space="0" w:color="auto"/>
          </w:divBdr>
        </w:div>
        <w:div w:id="1870141979">
          <w:marLeft w:val="446"/>
          <w:marRight w:val="0"/>
          <w:marTop w:val="0"/>
          <w:marBottom w:val="0"/>
          <w:divBdr>
            <w:top w:val="none" w:sz="0" w:space="0" w:color="auto"/>
            <w:left w:val="none" w:sz="0" w:space="0" w:color="auto"/>
            <w:bottom w:val="none" w:sz="0" w:space="0" w:color="auto"/>
            <w:right w:val="none" w:sz="0" w:space="0" w:color="auto"/>
          </w:divBdr>
        </w:div>
        <w:div w:id="1167212030">
          <w:marLeft w:val="446"/>
          <w:marRight w:val="0"/>
          <w:marTop w:val="0"/>
          <w:marBottom w:val="0"/>
          <w:divBdr>
            <w:top w:val="none" w:sz="0" w:space="0" w:color="auto"/>
            <w:left w:val="none" w:sz="0" w:space="0" w:color="auto"/>
            <w:bottom w:val="none" w:sz="0" w:space="0" w:color="auto"/>
            <w:right w:val="none" w:sz="0" w:space="0" w:color="auto"/>
          </w:divBdr>
        </w:div>
        <w:div w:id="1817916965">
          <w:marLeft w:val="446"/>
          <w:marRight w:val="0"/>
          <w:marTop w:val="0"/>
          <w:marBottom w:val="0"/>
          <w:divBdr>
            <w:top w:val="none" w:sz="0" w:space="0" w:color="auto"/>
            <w:left w:val="none" w:sz="0" w:space="0" w:color="auto"/>
            <w:bottom w:val="none" w:sz="0" w:space="0" w:color="auto"/>
            <w:right w:val="none" w:sz="0" w:space="0" w:color="auto"/>
          </w:divBdr>
        </w:div>
      </w:divsChild>
    </w:div>
    <w:div w:id="1967079072">
      <w:bodyDiv w:val="1"/>
      <w:marLeft w:val="0"/>
      <w:marRight w:val="0"/>
      <w:marTop w:val="0"/>
      <w:marBottom w:val="0"/>
      <w:divBdr>
        <w:top w:val="none" w:sz="0" w:space="0" w:color="auto"/>
        <w:left w:val="none" w:sz="0" w:space="0" w:color="auto"/>
        <w:bottom w:val="none" w:sz="0" w:space="0" w:color="auto"/>
        <w:right w:val="none" w:sz="0" w:space="0" w:color="auto"/>
      </w:divBdr>
    </w:div>
    <w:div w:id="1991710883">
      <w:bodyDiv w:val="1"/>
      <w:marLeft w:val="0"/>
      <w:marRight w:val="0"/>
      <w:marTop w:val="0"/>
      <w:marBottom w:val="0"/>
      <w:divBdr>
        <w:top w:val="none" w:sz="0" w:space="0" w:color="auto"/>
        <w:left w:val="none" w:sz="0" w:space="0" w:color="auto"/>
        <w:bottom w:val="none" w:sz="0" w:space="0" w:color="auto"/>
        <w:right w:val="none" w:sz="0" w:space="0" w:color="auto"/>
      </w:divBdr>
      <w:divsChild>
        <w:div w:id="1557353229">
          <w:marLeft w:val="446"/>
          <w:marRight w:val="0"/>
          <w:marTop w:val="0"/>
          <w:marBottom w:val="0"/>
          <w:divBdr>
            <w:top w:val="none" w:sz="0" w:space="0" w:color="auto"/>
            <w:left w:val="none" w:sz="0" w:space="0" w:color="auto"/>
            <w:bottom w:val="none" w:sz="0" w:space="0" w:color="auto"/>
            <w:right w:val="none" w:sz="0" w:space="0" w:color="auto"/>
          </w:divBdr>
        </w:div>
        <w:div w:id="447430067">
          <w:marLeft w:val="446"/>
          <w:marRight w:val="0"/>
          <w:marTop w:val="0"/>
          <w:marBottom w:val="0"/>
          <w:divBdr>
            <w:top w:val="none" w:sz="0" w:space="0" w:color="auto"/>
            <w:left w:val="none" w:sz="0" w:space="0" w:color="auto"/>
            <w:bottom w:val="none" w:sz="0" w:space="0" w:color="auto"/>
            <w:right w:val="none" w:sz="0" w:space="0" w:color="auto"/>
          </w:divBdr>
        </w:div>
        <w:div w:id="70153520">
          <w:marLeft w:val="446"/>
          <w:marRight w:val="0"/>
          <w:marTop w:val="0"/>
          <w:marBottom w:val="0"/>
          <w:divBdr>
            <w:top w:val="none" w:sz="0" w:space="0" w:color="auto"/>
            <w:left w:val="none" w:sz="0" w:space="0" w:color="auto"/>
            <w:bottom w:val="none" w:sz="0" w:space="0" w:color="auto"/>
            <w:right w:val="none" w:sz="0" w:space="0" w:color="auto"/>
          </w:divBdr>
        </w:div>
        <w:div w:id="43910230">
          <w:marLeft w:val="446"/>
          <w:marRight w:val="0"/>
          <w:marTop w:val="0"/>
          <w:marBottom w:val="0"/>
          <w:divBdr>
            <w:top w:val="none" w:sz="0" w:space="0" w:color="auto"/>
            <w:left w:val="none" w:sz="0" w:space="0" w:color="auto"/>
            <w:bottom w:val="none" w:sz="0" w:space="0" w:color="auto"/>
            <w:right w:val="none" w:sz="0" w:space="0" w:color="auto"/>
          </w:divBdr>
        </w:div>
        <w:div w:id="1494446110">
          <w:marLeft w:val="446"/>
          <w:marRight w:val="0"/>
          <w:marTop w:val="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67490434">
      <w:bodyDiv w:val="1"/>
      <w:marLeft w:val="0"/>
      <w:marRight w:val="0"/>
      <w:marTop w:val="0"/>
      <w:marBottom w:val="0"/>
      <w:divBdr>
        <w:top w:val="none" w:sz="0" w:space="0" w:color="auto"/>
        <w:left w:val="none" w:sz="0" w:space="0" w:color="auto"/>
        <w:bottom w:val="none" w:sz="0" w:space="0" w:color="auto"/>
        <w:right w:val="none" w:sz="0" w:space="0" w:color="auto"/>
      </w:divBdr>
    </w:div>
    <w:div w:id="20925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57/documents"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B-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3/259/contents/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process/pmg9/chapter/the-appraisal-of-the-evidence-and-structured-decision-making" TargetMode="External"/><Relationship Id="rId4" Type="http://schemas.openxmlformats.org/officeDocument/2006/relationships/settings" Target="settings.xml"/><Relationship Id="rId9" Type="http://schemas.openxmlformats.org/officeDocument/2006/relationships/hyperlink" Target="https://www.nice.org.uk/guidance/ta53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0%20-%20CNS\ID1677%20MS%20(relap)%20-%20ofatumumab\13%20-%20ACD\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EECC-A92A-C045-AD4B-8E588784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11</TotalTime>
  <Pages>16</Pages>
  <Words>4042</Words>
  <Characters>23993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27980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Victoria Gillis-Elliott</dc:creator>
  <cp:keywords/>
  <cp:lastModifiedBy>Victoria Gillis-Elliott</cp:lastModifiedBy>
  <cp:revision>3</cp:revision>
  <cp:lastPrinted>2012-11-14T14:34:00Z</cp:lastPrinted>
  <dcterms:created xsi:type="dcterms:W3CDTF">2021-04-08T11:09:00Z</dcterms:created>
  <dcterms:modified xsi:type="dcterms:W3CDTF">2021-04-08T11:13:00Z</dcterms:modified>
</cp:coreProperties>
</file>