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0890D8B5" w:rsidR="00D47BA7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47BA7">
        <w:rPr>
          <w:rFonts w:ascii="Arial" w:hAnsi="Arial" w:cs="Arial"/>
          <w:b/>
          <w:bCs/>
          <w:color w:val="00506A"/>
          <w:sz w:val="28"/>
          <w:szCs w:val="28"/>
        </w:rPr>
        <w:t>Advisory Committee</w:t>
      </w:r>
      <w:r w:rsidR="004A2D1D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7574E6" w:rsidRPr="000161B3">
        <w:rPr>
          <w:rFonts w:ascii="Arial" w:hAnsi="Arial" w:cs="Arial"/>
          <w:b/>
          <w:bCs/>
          <w:color w:val="00506A"/>
          <w:sz w:val="28"/>
          <w:szCs w:val="28"/>
        </w:rPr>
        <w:t>B</w:t>
      </w: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07BBDD77" w14:textId="4D3D775C" w:rsidR="00A43DA6" w:rsidRDefault="000161B3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0161B3">
        <w:rPr>
          <w:rFonts w:ascii="Arial" w:hAnsi="Arial" w:cs="Arial"/>
          <w:b/>
          <w:bCs/>
          <w:color w:val="00506A"/>
          <w:sz w:val="28"/>
          <w:szCs w:val="28"/>
        </w:rPr>
        <w:t xml:space="preserve">Pembrolizumab for untreated metastatic colorectal cancer with high microsatellite instability or mismatch repair deficiency </w:t>
      </w:r>
      <w:r w:rsidR="00A43DA6" w:rsidRPr="000161B3">
        <w:rPr>
          <w:rFonts w:ascii="Arial" w:hAnsi="Arial" w:cs="Arial"/>
          <w:b/>
          <w:bCs/>
          <w:color w:val="00506A"/>
          <w:sz w:val="28"/>
          <w:szCs w:val="28"/>
        </w:rPr>
        <w:t>[ID</w:t>
      </w:r>
      <w:r w:rsidRPr="000161B3">
        <w:rPr>
          <w:rFonts w:ascii="Arial" w:hAnsi="Arial" w:cs="Arial"/>
          <w:b/>
          <w:bCs/>
          <w:color w:val="00506A"/>
          <w:sz w:val="28"/>
          <w:szCs w:val="28"/>
        </w:rPr>
        <w:t>1498</w:t>
      </w:r>
      <w:r w:rsidR="00A43DA6" w:rsidRPr="000161B3">
        <w:rPr>
          <w:rFonts w:ascii="Arial" w:hAnsi="Arial" w:cs="Arial"/>
          <w:b/>
          <w:bCs/>
          <w:color w:val="00506A"/>
          <w:sz w:val="28"/>
          <w:szCs w:val="28"/>
        </w:rPr>
        <w:t>]</w:t>
      </w:r>
    </w:p>
    <w:p w14:paraId="74C01AEC" w14:textId="662B1DB9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47BA7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0161B3">
        <w:rPr>
          <w:rFonts w:ascii="Arial" w:hAnsi="Arial" w:cs="Arial"/>
          <w:b/>
          <w:bCs/>
          <w:color w:val="00506A"/>
          <w:sz w:val="28"/>
          <w:szCs w:val="28"/>
        </w:rPr>
        <w:t>23</w:t>
      </w:r>
      <w:r w:rsidR="007574E6">
        <w:rPr>
          <w:rFonts w:ascii="Arial" w:hAnsi="Arial" w:cs="Arial"/>
          <w:b/>
          <w:bCs/>
          <w:color w:val="00506A"/>
          <w:sz w:val="28"/>
          <w:szCs w:val="28"/>
        </w:rPr>
        <w:t>/</w:t>
      </w:r>
      <w:r w:rsidR="000161B3">
        <w:rPr>
          <w:rFonts w:ascii="Arial" w:hAnsi="Arial" w:cs="Arial"/>
          <w:b/>
          <w:bCs/>
          <w:color w:val="00506A"/>
          <w:sz w:val="28"/>
          <w:szCs w:val="28"/>
        </w:rPr>
        <w:t>06</w:t>
      </w:r>
      <w:r w:rsidR="007574E6">
        <w:rPr>
          <w:rFonts w:ascii="Arial" w:hAnsi="Arial" w:cs="Arial"/>
          <w:b/>
          <w:bCs/>
          <w:color w:val="00506A"/>
          <w:sz w:val="28"/>
          <w:szCs w:val="28"/>
        </w:rPr>
        <w:t>/</w:t>
      </w:r>
      <w:r w:rsidR="000161B3">
        <w:rPr>
          <w:rFonts w:ascii="Arial" w:hAnsi="Arial" w:cs="Arial"/>
          <w:b/>
          <w:bCs/>
          <w:color w:val="00506A"/>
          <w:sz w:val="28"/>
          <w:szCs w:val="28"/>
        </w:rPr>
        <w:t>2021</w:t>
      </w:r>
    </w:p>
    <w:p w14:paraId="1C7CC411" w14:textId="77777777" w:rsidR="00D47BA7" w:rsidRDefault="00D47BA7"/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3"/>
        <w:gridCol w:w="1663"/>
        <w:gridCol w:w="1843"/>
        <w:gridCol w:w="3118"/>
        <w:gridCol w:w="1134"/>
        <w:gridCol w:w="1425"/>
        <w:gridCol w:w="1268"/>
        <w:gridCol w:w="2694"/>
      </w:tblGrid>
      <w:tr w:rsidR="004602D6" w:rsidRPr="009F66BF" w14:paraId="111674D1" w14:textId="77777777" w:rsidTr="00360316">
        <w:trPr>
          <w:trHeight w:val="775"/>
        </w:trPr>
        <w:tc>
          <w:tcPr>
            <w:tcW w:w="2023" w:type="dxa"/>
          </w:tcPr>
          <w:p w14:paraId="626159D9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663" w:type="dxa"/>
          </w:tcPr>
          <w:p w14:paraId="4BC0C4D4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43" w:type="dxa"/>
          </w:tcPr>
          <w:p w14:paraId="3D4BE18B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118" w:type="dxa"/>
          </w:tcPr>
          <w:p w14:paraId="231853E2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134" w:type="dxa"/>
          </w:tcPr>
          <w:p w14:paraId="1CD048D0" w14:textId="77777777" w:rsidR="004602D6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39C94262" w14:textId="7D8627EE" w:rsidR="004602D6" w:rsidRPr="009F66BF" w:rsidRDefault="004602D6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425" w:type="dxa"/>
          </w:tcPr>
          <w:p w14:paraId="07D4B157" w14:textId="77777777" w:rsidR="004602D6" w:rsidRPr="004602D6" w:rsidRDefault="004602D6" w:rsidP="004602D6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4602D6" w:rsidRPr="009F66BF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268" w:type="dxa"/>
          </w:tcPr>
          <w:p w14:paraId="7F96F18C" w14:textId="77777777" w:rsidR="004602D6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7756DC64" w14:textId="5CBD8E0E" w:rsidR="004602D6" w:rsidRPr="009F66BF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94" w:type="dxa"/>
          </w:tcPr>
          <w:p w14:paraId="5A51D99E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0161B3" w:rsidRPr="001978C7" w14:paraId="5BD34DE1" w14:textId="77777777" w:rsidTr="00360316">
        <w:tc>
          <w:tcPr>
            <w:tcW w:w="2023" w:type="dxa"/>
          </w:tcPr>
          <w:p w14:paraId="17C39BFA" w14:textId="4239CF7F" w:rsidR="000161B3" w:rsidRPr="000161B3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0161B3">
              <w:rPr>
                <w:rFonts w:cs="Arial"/>
                <w:b w:val="0"/>
                <w:iCs/>
                <w:sz w:val="22"/>
                <w:szCs w:val="22"/>
              </w:rPr>
              <w:t>Dr Nicholas Latimer</w:t>
            </w:r>
          </w:p>
        </w:tc>
        <w:tc>
          <w:tcPr>
            <w:tcW w:w="1663" w:type="dxa"/>
          </w:tcPr>
          <w:p w14:paraId="46439073" w14:textId="1F6C799D" w:rsidR="000161B3" w:rsidRPr="000161B3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0161B3">
              <w:rPr>
                <w:rFonts w:cs="Arial"/>
                <w:b w:val="0"/>
                <w:iCs/>
                <w:sz w:val="22"/>
                <w:szCs w:val="22"/>
              </w:rPr>
              <w:t>TA Committee</w:t>
            </w:r>
            <w:r>
              <w:rPr>
                <w:rFonts w:cs="Arial"/>
                <w:b w:val="0"/>
                <w:iCs/>
                <w:sz w:val="22"/>
                <w:szCs w:val="22"/>
              </w:rPr>
              <w:t xml:space="preserve"> A</w:t>
            </w:r>
            <w:r w:rsidRPr="000161B3">
              <w:rPr>
                <w:rFonts w:cs="Arial"/>
                <w:b w:val="0"/>
                <w:iCs/>
                <w:sz w:val="22"/>
                <w:szCs w:val="22"/>
              </w:rPr>
              <w:t xml:space="preserve"> Member </w:t>
            </w:r>
          </w:p>
        </w:tc>
        <w:tc>
          <w:tcPr>
            <w:tcW w:w="1843" w:type="dxa"/>
          </w:tcPr>
          <w:p w14:paraId="29096252" w14:textId="27F0B764" w:rsidR="000161B3" w:rsidRPr="000161B3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0161B3">
              <w:rPr>
                <w:rFonts w:cs="Arial"/>
                <w:b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3118" w:type="dxa"/>
          </w:tcPr>
          <w:p w14:paraId="680DB5C2" w14:textId="734D60A6" w:rsidR="000161B3" w:rsidRPr="000161B3" w:rsidRDefault="000161B3" w:rsidP="000161B3">
            <w:pPr>
              <w:pStyle w:val="Title"/>
              <w:rPr>
                <w:b w:val="0"/>
                <w:iCs/>
                <w:color w:val="FF0000"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R</w:t>
            </w:r>
            <w:r w:rsidRPr="000161B3">
              <w:rPr>
                <w:rFonts w:cs="Arial"/>
                <w:b w:val="0"/>
                <w:iCs/>
                <w:sz w:val="22"/>
                <w:szCs w:val="22"/>
              </w:rPr>
              <w:t>eceived payment by Merck Serono to present methods for modelling treatment sequences at ISPOR Webinar. The presentation was unrelated to any specific drug or disease area.</w:t>
            </w:r>
          </w:p>
        </w:tc>
        <w:tc>
          <w:tcPr>
            <w:tcW w:w="1134" w:type="dxa"/>
          </w:tcPr>
          <w:p w14:paraId="7102C8BD" w14:textId="63A48BDF" w:rsidR="000161B3" w:rsidRPr="000161B3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0161B3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12DBDEC4" w14:textId="6529AEEE" w:rsidR="000161B3" w:rsidRPr="000161B3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10/03/2021</w:t>
            </w:r>
          </w:p>
        </w:tc>
        <w:tc>
          <w:tcPr>
            <w:tcW w:w="1268" w:type="dxa"/>
          </w:tcPr>
          <w:p w14:paraId="17FDD275" w14:textId="01C66D8D" w:rsidR="000161B3" w:rsidRPr="000161B3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0161B3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7F7F9064" w14:textId="061370F9" w:rsidR="000161B3" w:rsidRPr="000161B3" w:rsidRDefault="000161B3" w:rsidP="000161B3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0161B3">
              <w:rPr>
                <w:rFonts w:cs="Arial"/>
                <w:b w:val="0"/>
                <w:iCs/>
                <w:sz w:val="22"/>
                <w:szCs w:val="22"/>
              </w:rPr>
              <w:t>It was agreed that th</w:t>
            </w:r>
            <w:r>
              <w:rPr>
                <w:rFonts w:cs="Arial"/>
                <w:b w:val="0"/>
                <w:iCs/>
                <w:sz w:val="22"/>
                <w:szCs w:val="22"/>
              </w:rPr>
              <w:t>is</w:t>
            </w:r>
            <w:r w:rsidRPr="000161B3">
              <w:rPr>
                <w:rFonts w:cs="Arial"/>
                <w:b w:val="0"/>
                <w:iCs/>
                <w:sz w:val="22"/>
                <w:szCs w:val="22"/>
              </w:rPr>
              <w:t xml:space="preserve"> declaration did not prevent Dr Latimer from participating in this section of the meeting. </w:t>
            </w:r>
          </w:p>
        </w:tc>
      </w:tr>
      <w:tr w:rsidR="000161B3" w14:paraId="57CAFC58" w14:textId="77777777" w:rsidTr="00360316">
        <w:tc>
          <w:tcPr>
            <w:tcW w:w="2023" w:type="dxa"/>
          </w:tcPr>
          <w:p w14:paraId="545F8CD3" w14:textId="6340ED34" w:rsidR="000161B3" w:rsidRPr="00961C9E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0161B3">
              <w:rPr>
                <w:rFonts w:cs="Arial"/>
                <w:b w:val="0"/>
                <w:iCs/>
                <w:sz w:val="22"/>
                <w:szCs w:val="22"/>
              </w:rPr>
              <w:t>Dr Nicholas Latimer</w:t>
            </w:r>
          </w:p>
        </w:tc>
        <w:tc>
          <w:tcPr>
            <w:tcW w:w="1663" w:type="dxa"/>
          </w:tcPr>
          <w:p w14:paraId="70AA5D8E" w14:textId="4CD8BE54" w:rsidR="000161B3" w:rsidRPr="00961C9E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0161B3">
              <w:rPr>
                <w:rFonts w:cs="Arial"/>
                <w:b w:val="0"/>
                <w:iCs/>
                <w:sz w:val="22"/>
                <w:szCs w:val="22"/>
              </w:rPr>
              <w:t>TA Committee</w:t>
            </w:r>
            <w:r>
              <w:rPr>
                <w:rFonts w:cs="Arial"/>
                <w:b w:val="0"/>
                <w:iCs/>
                <w:sz w:val="22"/>
                <w:szCs w:val="22"/>
              </w:rPr>
              <w:t xml:space="preserve"> A</w:t>
            </w:r>
            <w:r w:rsidRPr="000161B3">
              <w:rPr>
                <w:rFonts w:cs="Arial"/>
                <w:b w:val="0"/>
                <w:iCs/>
                <w:sz w:val="22"/>
                <w:szCs w:val="22"/>
              </w:rPr>
              <w:t xml:space="preserve"> Member </w:t>
            </w:r>
          </w:p>
        </w:tc>
        <w:tc>
          <w:tcPr>
            <w:tcW w:w="1843" w:type="dxa"/>
          </w:tcPr>
          <w:p w14:paraId="52D407CC" w14:textId="1529E440" w:rsidR="000161B3" w:rsidRPr="00961C9E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</w:t>
            </w:r>
            <w:r w:rsidRPr="000161B3">
              <w:rPr>
                <w:rFonts w:cs="Arial"/>
                <w:b w:val="0"/>
                <w:iCs/>
                <w:sz w:val="22"/>
                <w:szCs w:val="22"/>
              </w:rPr>
              <w:t>irect non-financial interest</w:t>
            </w:r>
          </w:p>
        </w:tc>
        <w:tc>
          <w:tcPr>
            <w:tcW w:w="3118" w:type="dxa"/>
          </w:tcPr>
          <w:p w14:paraId="2B3BF6A6" w14:textId="3DDA919C" w:rsidR="000161B3" w:rsidRPr="00961C9E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Current</w:t>
            </w:r>
            <w:r w:rsidRPr="000161B3">
              <w:rPr>
                <w:b w:val="0"/>
                <w:iCs/>
                <w:sz w:val="22"/>
                <w:szCs w:val="22"/>
              </w:rPr>
              <w:t xml:space="preserve"> data sharing agreement with Amgen, manufacturer of a comparator drug. This agreement involves conducting methodological research analysing data from old studies of panitumumab in colorectal cancer. No payment is received by Dr Latimer or his institution.</w:t>
            </w:r>
          </w:p>
        </w:tc>
        <w:tc>
          <w:tcPr>
            <w:tcW w:w="1134" w:type="dxa"/>
          </w:tcPr>
          <w:p w14:paraId="36721A78" w14:textId="2B446597" w:rsidR="000161B3" w:rsidRPr="00961C9E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0161B3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526E311A" w14:textId="1D9DCEE6" w:rsidR="000161B3" w:rsidRPr="00961C9E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10/03/2021</w:t>
            </w:r>
          </w:p>
        </w:tc>
        <w:tc>
          <w:tcPr>
            <w:tcW w:w="1268" w:type="dxa"/>
          </w:tcPr>
          <w:p w14:paraId="685EA588" w14:textId="79FA0948" w:rsidR="000161B3" w:rsidRPr="00961C9E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0161B3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1201529D" w14:textId="546BE95D" w:rsidR="000161B3" w:rsidRPr="000161B3" w:rsidRDefault="000161B3" w:rsidP="000161B3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0161B3">
              <w:rPr>
                <w:rFonts w:cs="Arial"/>
                <w:b w:val="0"/>
                <w:iCs/>
                <w:sz w:val="22"/>
                <w:szCs w:val="22"/>
              </w:rPr>
              <w:t>It was agreed that th</w:t>
            </w:r>
            <w:r>
              <w:rPr>
                <w:rFonts w:cs="Arial"/>
                <w:b w:val="0"/>
                <w:iCs/>
                <w:sz w:val="22"/>
                <w:szCs w:val="22"/>
              </w:rPr>
              <w:t>is</w:t>
            </w:r>
            <w:r w:rsidRPr="000161B3">
              <w:rPr>
                <w:rFonts w:cs="Arial"/>
                <w:b w:val="0"/>
                <w:iCs/>
                <w:sz w:val="22"/>
                <w:szCs w:val="22"/>
              </w:rPr>
              <w:t xml:space="preserve"> declaration did not prevent Dr Latimer from participating in this section of the meeting. </w:t>
            </w:r>
          </w:p>
        </w:tc>
      </w:tr>
      <w:tr w:rsidR="000161B3" w14:paraId="71AE9A5D" w14:textId="77777777" w:rsidTr="00360316">
        <w:tc>
          <w:tcPr>
            <w:tcW w:w="2023" w:type="dxa"/>
          </w:tcPr>
          <w:p w14:paraId="56B3362A" w14:textId="166B70A9" w:rsidR="000161B3" w:rsidRPr="00961C9E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Professor Mark Saunders</w:t>
            </w:r>
          </w:p>
        </w:tc>
        <w:tc>
          <w:tcPr>
            <w:tcW w:w="1663" w:type="dxa"/>
          </w:tcPr>
          <w:p w14:paraId="3431CD4A" w14:textId="70965F75" w:rsidR="000161B3" w:rsidRPr="00961C9E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Clinical Expert </w:t>
            </w:r>
          </w:p>
        </w:tc>
        <w:tc>
          <w:tcPr>
            <w:tcW w:w="1843" w:type="dxa"/>
          </w:tcPr>
          <w:p w14:paraId="759D562A" w14:textId="462A8CF4" w:rsidR="000161B3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0161B3">
              <w:rPr>
                <w:rFonts w:cs="Arial"/>
                <w:b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3118" w:type="dxa"/>
          </w:tcPr>
          <w:p w14:paraId="2FFF71A2" w14:textId="56E3FEC2" w:rsidR="000161B3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I</w:t>
            </w:r>
            <w:r w:rsidRPr="000161B3">
              <w:rPr>
                <w:b w:val="0"/>
                <w:iCs/>
                <w:sz w:val="22"/>
                <w:szCs w:val="22"/>
              </w:rPr>
              <w:t xml:space="preserve">n the last 3 years, </w:t>
            </w:r>
            <w:r>
              <w:rPr>
                <w:b w:val="0"/>
                <w:iCs/>
                <w:sz w:val="22"/>
                <w:szCs w:val="22"/>
              </w:rPr>
              <w:t>Professor Saunders was</w:t>
            </w:r>
            <w:r w:rsidRPr="000161B3">
              <w:rPr>
                <w:b w:val="0"/>
                <w:iCs/>
                <w:sz w:val="22"/>
                <w:szCs w:val="22"/>
              </w:rPr>
              <w:t xml:space="preserve"> paid to chair meetings and/or lecture by </w:t>
            </w:r>
            <w:proofErr w:type="spellStart"/>
            <w:r w:rsidRPr="000161B3">
              <w:rPr>
                <w:b w:val="0"/>
                <w:iCs/>
                <w:sz w:val="22"/>
                <w:szCs w:val="22"/>
              </w:rPr>
              <w:t>Servier</w:t>
            </w:r>
            <w:proofErr w:type="spellEnd"/>
            <w:r w:rsidRPr="000161B3">
              <w:rPr>
                <w:b w:val="0"/>
                <w:iCs/>
                <w:sz w:val="22"/>
                <w:szCs w:val="22"/>
              </w:rPr>
              <w:t>, Merck Serono and Amgen.</w:t>
            </w:r>
          </w:p>
        </w:tc>
        <w:tc>
          <w:tcPr>
            <w:tcW w:w="1134" w:type="dxa"/>
          </w:tcPr>
          <w:p w14:paraId="75B72EBD" w14:textId="3BC5338E" w:rsidR="000161B3" w:rsidRPr="000161B3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0161B3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0F88EF2A" w14:textId="3AC6B0E2" w:rsidR="000161B3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19/08/2020</w:t>
            </w:r>
          </w:p>
        </w:tc>
        <w:tc>
          <w:tcPr>
            <w:tcW w:w="1268" w:type="dxa"/>
          </w:tcPr>
          <w:p w14:paraId="134BE452" w14:textId="17579D57" w:rsidR="000161B3" w:rsidRPr="00961C9E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0161B3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6182CAE5" w14:textId="794FE78A" w:rsidR="000161B3" w:rsidRPr="00961C9E" w:rsidRDefault="000161B3" w:rsidP="000161B3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0161B3">
              <w:rPr>
                <w:b w:val="0"/>
                <w:iCs/>
                <w:sz w:val="22"/>
                <w:szCs w:val="22"/>
              </w:rPr>
              <w:t>It was agreed that th</w:t>
            </w:r>
            <w:r>
              <w:rPr>
                <w:b w:val="0"/>
                <w:iCs/>
                <w:sz w:val="22"/>
                <w:szCs w:val="22"/>
              </w:rPr>
              <w:t>is</w:t>
            </w:r>
            <w:r w:rsidRPr="000161B3">
              <w:rPr>
                <w:b w:val="0"/>
                <w:iCs/>
                <w:sz w:val="22"/>
                <w:szCs w:val="22"/>
              </w:rPr>
              <w:t xml:space="preserve"> declaration would not prevent Professor Saunders from providing </w:t>
            </w:r>
            <w:r w:rsidRPr="000161B3">
              <w:rPr>
                <w:b w:val="0"/>
                <w:iCs/>
                <w:sz w:val="22"/>
                <w:szCs w:val="22"/>
              </w:rPr>
              <w:lastRenderedPageBreak/>
              <w:t>expert advice to the committee.</w:t>
            </w:r>
          </w:p>
        </w:tc>
      </w:tr>
      <w:tr w:rsidR="009078A9" w14:paraId="113840F9" w14:textId="77777777" w:rsidTr="00360316">
        <w:tc>
          <w:tcPr>
            <w:tcW w:w="2023" w:type="dxa"/>
          </w:tcPr>
          <w:p w14:paraId="213F955C" w14:textId="2FF5A185" w:rsidR="009078A9" w:rsidRPr="00961C9E" w:rsidRDefault="009078A9" w:rsidP="009078A9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lastRenderedPageBreak/>
              <w:t>Professor Mark Saunders</w:t>
            </w:r>
          </w:p>
        </w:tc>
        <w:tc>
          <w:tcPr>
            <w:tcW w:w="1663" w:type="dxa"/>
          </w:tcPr>
          <w:p w14:paraId="1F51B8A6" w14:textId="7D4246CD" w:rsidR="009078A9" w:rsidRPr="00961C9E" w:rsidRDefault="009078A9" w:rsidP="009078A9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Clinical Expert </w:t>
            </w:r>
          </w:p>
        </w:tc>
        <w:tc>
          <w:tcPr>
            <w:tcW w:w="1843" w:type="dxa"/>
          </w:tcPr>
          <w:p w14:paraId="1D25840F" w14:textId="64B29B99" w:rsidR="009078A9" w:rsidRPr="00961C9E" w:rsidRDefault="009078A9" w:rsidP="009078A9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</w:t>
            </w:r>
            <w:r w:rsidRPr="000161B3">
              <w:rPr>
                <w:b w:val="0"/>
                <w:iCs/>
                <w:sz w:val="22"/>
                <w:szCs w:val="22"/>
              </w:rPr>
              <w:t>on-financial professional and personal interests</w:t>
            </w:r>
          </w:p>
        </w:tc>
        <w:tc>
          <w:tcPr>
            <w:tcW w:w="3118" w:type="dxa"/>
          </w:tcPr>
          <w:p w14:paraId="4347FF6D" w14:textId="313E9528" w:rsidR="009078A9" w:rsidRPr="00955EC5" w:rsidRDefault="009078A9" w:rsidP="009078A9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Professor Saunders is </w:t>
            </w:r>
            <w:r w:rsidRPr="000161B3">
              <w:rPr>
                <w:b w:val="0"/>
                <w:iCs/>
                <w:sz w:val="22"/>
                <w:szCs w:val="22"/>
              </w:rPr>
              <w:t>the Chair of Bowel Cancer UK’s Medical Advisory Board.</w:t>
            </w:r>
          </w:p>
        </w:tc>
        <w:tc>
          <w:tcPr>
            <w:tcW w:w="1134" w:type="dxa"/>
          </w:tcPr>
          <w:p w14:paraId="3C1ED97B" w14:textId="77C62D20" w:rsidR="009078A9" w:rsidRPr="00961C9E" w:rsidRDefault="009078A9" w:rsidP="009078A9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068A1835" w14:textId="6A5A2889" w:rsidR="009078A9" w:rsidRPr="00961C9E" w:rsidRDefault="009078A9" w:rsidP="009078A9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19/08/2020</w:t>
            </w:r>
          </w:p>
        </w:tc>
        <w:tc>
          <w:tcPr>
            <w:tcW w:w="1268" w:type="dxa"/>
          </w:tcPr>
          <w:p w14:paraId="7ACF5888" w14:textId="4830F6B7" w:rsidR="009078A9" w:rsidRPr="00961C9E" w:rsidRDefault="009078A9" w:rsidP="009078A9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7F844AD8" w14:textId="26269466" w:rsidR="009078A9" w:rsidRPr="00961C9E" w:rsidRDefault="009078A9" w:rsidP="009078A9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0161B3">
              <w:rPr>
                <w:b w:val="0"/>
                <w:iCs/>
                <w:sz w:val="22"/>
                <w:szCs w:val="22"/>
              </w:rPr>
              <w:t>It was agreed that th</w:t>
            </w:r>
            <w:r>
              <w:rPr>
                <w:b w:val="0"/>
                <w:iCs/>
                <w:sz w:val="22"/>
                <w:szCs w:val="22"/>
              </w:rPr>
              <w:t>is</w:t>
            </w:r>
            <w:r w:rsidRPr="000161B3">
              <w:rPr>
                <w:b w:val="0"/>
                <w:iCs/>
                <w:sz w:val="22"/>
                <w:szCs w:val="22"/>
              </w:rPr>
              <w:t xml:space="preserve"> declaration would not prevent Professor Saunders from providing expert advice to the committee.</w:t>
            </w:r>
          </w:p>
        </w:tc>
      </w:tr>
      <w:tr w:rsidR="008918F8" w14:paraId="223527F6" w14:textId="77777777" w:rsidTr="008918F8">
        <w:trPr>
          <w:trHeight w:val="5695"/>
        </w:trPr>
        <w:tc>
          <w:tcPr>
            <w:tcW w:w="2023" w:type="dxa"/>
          </w:tcPr>
          <w:p w14:paraId="11531A0D" w14:textId="22296B2D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9078A9">
              <w:rPr>
                <w:b w:val="0"/>
                <w:iCs/>
                <w:sz w:val="22"/>
                <w:szCs w:val="22"/>
              </w:rPr>
              <w:t>Dr Kai-Keen Shui</w:t>
            </w:r>
          </w:p>
        </w:tc>
        <w:tc>
          <w:tcPr>
            <w:tcW w:w="1663" w:type="dxa"/>
          </w:tcPr>
          <w:p w14:paraId="3C1B29E2" w14:textId="2A015578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Clinical Expert </w:t>
            </w:r>
          </w:p>
        </w:tc>
        <w:tc>
          <w:tcPr>
            <w:tcW w:w="1843" w:type="dxa"/>
          </w:tcPr>
          <w:p w14:paraId="79228FAD" w14:textId="1038B84F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Indirect interests</w:t>
            </w:r>
          </w:p>
        </w:tc>
        <w:tc>
          <w:tcPr>
            <w:tcW w:w="3118" w:type="dxa"/>
          </w:tcPr>
          <w:p w14:paraId="6B036EC3" w14:textId="77777777" w:rsidR="008918F8" w:rsidRPr="00CF3EF1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CF3EF1">
              <w:rPr>
                <w:b w:val="0"/>
                <w:iCs/>
                <w:sz w:val="22"/>
                <w:szCs w:val="22"/>
              </w:rPr>
              <w:t>Chief Investigator for:</w:t>
            </w:r>
          </w:p>
          <w:p w14:paraId="7DBD144A" w14:textId="77777777" w:rsidR="008918F8" w:rsidRPr="00CF3EF1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CF3EF1">
              <w:rPr>
                <w:b w:val="0"/>
                <w:iCs/>
                <w:sz w:val="22"/>
                <w:szCs w:val="22"/>
              </w:rPr>
              <w:t xml:space="preserve">1) KEYNOTE 177 trial, April 2016 - </w:t>
            </w:r>
          </w:p>
          <w:p w14:paraId="59C058FC" w14:textId="77777777" w:rsidR="008918F8" w:rsidRPr="00CF3EF1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CF3EF1">
              <w:rPr>
                <w:b w:val="0"/>
                <w:iCs/>
                <w:sz w:val="22"/>
                <w:szCs w:val="22"/>
              </w:rPr>
              <w:t>2) KEYNOTE 859 and KEYNOTE 811 (pembrolizumab metastatic gastric trials)</w:t>
            </w:r>
          </w:p>
          <w:p w14:paraId="4322B05C" w14:textId="77777777" w:rsidR="008918F8" w:rsidRPr="00CF3EF1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CF3EF1">
              <w:rPr>
                <w:b w:val="0"/>
                <w:iCs/>
                <w:sz w:val="22"/>
                <w:szCs w:val="22"/>
              </w:rPr>
              <w:t xml:space="preserve">3) upcoming MSD investigator led/UCL sponsored trial - NEOPRISM-CRC - of neo-adjuvant pembrolizumab for operable MMR-d/MSI-H colorectal cancer. </w:t>
            </w:r>
          </w:p>
          <w:p w14:paraId="24D49A15" w14:textId="77777777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CF3EF1">
              <w:rPr>
                <w:b w:val="0"/>
                <w:iCs/>
                <w:sz w:val="22"/>
                <w:szCs w:val="22"/>
              </w:rPr>
              <w:t xml:space="preserve">In all instances, the trials are </w:t>
            </w:r>
            <w:proofErr w:type="gramStart"/>
            <w:r w:rsidRPr="00CF3EF1">
              <w:rPr>
                <w:b w:val="0"/>
                <w:iCs/>
                <w:sz w:val="22"/>
                <w:szCs w:val="22"/>
              </w:rPr>
              <w:t>ongoing</w:t>
            </w:r>
            <w:proofErr w:type="gramEnd"/>
            <w:r w:rsidRPr="00CF3EF1">
              <w:rPr>
                <w:b w:val="0"/>
                <w:iCs/>
                <w:sz w:val="22"/>
                <w:szCs w:val="22"/>
              </w:rPr>
              <w:t xml:space="preserve"> and all monies go to UCLH or UCL.</w:t>
            </w:r>
          </w:p>
          <w:p w14:paraId="069988AF" w14:textId="77777777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C</w:t>
            </w:r>
            <w:r w:rsidRPr="00CF3EF1">
              <w:rPr>
                <w:b w:val="0"/>
                <w:iCs/>
                <w:sz w:val="22"/>
                <w:szCs w:val="22"/>
              </w:rPr>
              <w:t xml:space="preserve">o-author </w:t>
            </w:r>
            <w:r>
              <w:rPr>
                <w:b w:val="0"/>
                <w:iCs/>
                <w:sz w:val="22"/>
                <w:szCs w:val="22"/>
              </w:rPr>
              <w:t>of</w:t>
            </w:r>
            <w:r w:rsidRPr="00CF3EF1">
              <w:rPr>
                <w:b w:val="0"/>
                <w:iCs/>
                <w:sz w:val="22"/>
                <w:szCs w:val="22"/>
              </w:rPr>
              <w:t xml:space="preserve"> ASCO 2020 Abstract and two papers relating to KEYNOTE 177</w:t>
            </w:r>
            <w:r>
              <w:rPr>
                <w:b w:val="0"/>
                <w:iCs/>
                <w:sz w:val="22"/>
                <w:szCs w:val="22"/>
              </w:rPr>
              <w:t>.</w:t>
            </w:r>
          </w:p>
          <w:p w14:paraId="3DEED21D" w14:textId="59AAC021" w:rsidR="008918F8" w:rsidRPr="008918F8" w:rsidRDefault="008918F8" w:rsidP="008918F8">
            <w:pPr>
              <w:pStyle w:val="Heading1"/>
            </w:pPr>
          </w:p>
        </w:tc>
        <w:tc>
          <w:tcPr>
            <w:tcW w:w="1134" w:type="dxa"/>
          </w:tcPr>
          <w:p w14:paraId="0DFF7C87" w14:textId="12794788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1D59004A" w14:textId="51B9F65C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15/02/2020</w:t>
            </w:r>
          </w:p>
        </w:tc>
        <w:tc>
          <w:tcPr>
            <w:tcW w:w="1268" w:type="dxa"/>
          </w:tcPr>
          <w:p w14:paraId="7A6CE807" w14:textId="226B27D9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3F0E49E2" w14:textId="03E466E9" w:rsidR="008918F8" w:rsidRPr="000161B3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9078A9">
              <w:rPr>
                <w:b w:val="0"/>
                <w:iCs/>
                <w:sz w:val="22"/>
                <w:szCs w:val="22"/>
              </w:rPr>
              <w:t>It was agreed that these declarations would not prevent Dr Shui from providing expert advice to the committee.</w:t>
            </w:r>
          </w:p>
        </w:tc>
      </w:tr>
      <w:tr w:rsidR="008918F8" w14:paraId="4C6A645D" w14:textId="77777777" w:rsidTr="00360316">
        <w:tc>
          <w:tcPr>
            <w:tcW w:w="2023" w:type="dxa"/>
          </w:tcPr>
          <w:p w14:paraId="19B755F8" w14:textId="7104379F" w:rsidR="008918F8" w:rsidRPr="009078A9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9078A9">
              <w:rPr>
                <w:b w:val="0"/>
                <w:iCs/>
                <w:sz w:val="22"/>
                <w:szCs w:val="22"/>
              </w:rPr>
              <w:lastRenderedPageBreak/>
              <w:t>Dr Kai-Keen Shui</w:t>
            </w:r>
          </w:p>
        </w:tc>
        <w:tc>
          <w:tcPr>
            <w:tcW w:w="1663" w:type="dxa"/>
          </w:tcPr>
          <w:p w14:paraId="2969D43A" w14:textId="49D6CCFA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Clinical Expert </w:t>
            </w:r>
          </w:p>
        </w:tc>
        <w:tc>
          <w:tcPr>
            <w:tcW w:w="1843" w:type="dxa"/>
          </w:tcPr>
          <w:p w14:paraId="5BFF7356" w14:textId="50827EF1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Indirect interests</w:t>
            </w:r>
          </w:p>
        </w:tc>
        <w:tc>
          <w:tcPr>
            <w:tcW w:w="3118" w:type="dxa"/>
          </w:tcPr>
          <w:p w14:paraId="71F881E8" w14:textId="0A2C5995" w:rsidR="008918F8" w:rsidRPr="00CF3EF1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Dr Shui’s institution received research funding from BMS, Gilead Sciences, Merck </w:t>
            </w:r>
            <w:proofErr w:type="spellStart"/>
            <w:r>
              <w:rPr>
                <w:b w:val="0"/>
                <w:iCs/>
                <w:sz w:val="22"/>
                <w:szCs w:val="22"/>
              </w:rPr>
              <w:t>KGaA</w:t>
            </w:r>
            <w:proofErr w:type="spellEnd"/>
            <w:r>
              <w:rPr>
                <w:b w:val="0"/>
                <w:iCs/>
                <w:sz w:val="22"/>
                <w:szCs w:val="22"/>
              </w:rPr>
              <w:t xml:space="preserve">, </w:t>
            </w:r>
            <w:proofErr w:type="gramStart"/>
            <w:r>
              <w:rPr>
                <w:b w:val="0"/>
                <w:iCs/>
                <w:sz w:val="22"/>
                <w:szCs w:val="22"/>
              </w:rPr>
              <w:t>MSD</w:t>
            </w:r>
            <w:proofErr w:type="gramEnd"/>
            <w:r>
              <w:rPr>
                <w:b w:val="0"/>
                <w:iCs/>
                <w:sz w:val="22"/>
                <w:szCs w:val="22"/>
              </w:rPr>
              <w:t xml:space="preserve"> and Roche </w:t>
            </w:r>
          </w:p>
        </w:tc>
        <w:tc>
          <w:tcPr>
            <w:tcW w:w="1134" w:type="dxa"/>
          </w:tcPr>
          <w:p w14:paraId="659C8F0D" w14:textId="490A3387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4228C39C" w14:textId="096EF8E9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12/01/2021</w:t>
            </w:r>
          </w:p>
        </w:tc>
        <w:tc>
          <w:tcPr>
            <w:tcW w:w="1268" w:type="dxa"/>
          </w:tcPr>
          <w:p w14:paraId="30E50201" w14:textId="4C136770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5C8A9B08" w14:textId="6C0D1DC8" w:rsidR="008918F8" w:rsidRPr="009078A9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9078A9">
              <w:rPr>
                <w:b w:val="0"/>
                <w:iCs/>
                <w:sz w:val="22"/>
                <w:szCs w:val="22"/>
              </w:rPr>
              <w:t>It was agreed that these declarations would not prevent Dr Shui from providing expert advice to the committee.</w:t>
            </w:r>
          </w:p>
        </w:tc>
      </w:tr>
      <w:tr w:rsidR="008918F8" w14:paraId="6636DD55" w14:textId="77777777" w:rsidTr="00360316">
        <w:tc>
          <w:tcPr>
            <w:tcW w:w="2023" w:type="dxa"/>
          </w:tcPr>
          <w:p w14:paraId="23BCA7DA" w14:textId="57E15BCB" w:rsidR="008918F8" w:rsidRPr="009078A9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9078A9">
              <w:rPr>
                <w:b w:val="0"/>
                <w:iCs/>
                <w:sz w:val="22"/>
                <w:szCs w:val="22"/>
              </w:rPr>
              <w:t>Dr Kai-Keen Shui</w:t>
            </w:r>
          </w:p>
        </w:tc>
        <w:tc>
          <w:tcPr>
            <w:tcW w:w="1663" w:type="dxa"/>
          </w:tcPr>
          <w:p w14:paraId="17800DF2" w14:textId="7B8B5255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Clinical Expert </w:t>
            </w:r>
          </w:p>
        </w:tc>
        <w:tc>
          <w:tcPr>
            <w:tcW w:w="1843" w:type="dxa"/>
          </w:tcPr>
          <w:p w14:paraId="26A3B5C9" w14:textId="0A0759E8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Direct financial </w:t>
            </w:r>
          </w:p>
        </w:tc>
        <w:tc>
          <w:tcPr>
            <w:tcW w:w="3118" w:type="dxa"/>
          </w:tcPr>
          <w:p w14:paraId="7181B4B0" w14:textId="40E32EC8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610377">
              <w:rPr>
                <w:b w:val="0"/>
                <w:iCs/>
                <w:sz w:val="22"/>
                <w:szCs w:val="22"/>
              </w:rPr>
              <w:t xml:space="preserve">Travel, accommodations and expenses from </w:t>
            </w:r>
            <w:proofErr w:type="spellStart"/>
            <w:r w:rsidRPr="00610377">
              <w:rPr>
                <w:b w:val="0"/>
                <w:iCs/>
                <w:sz w:val="22"/>
                <w:szCs w:val="22"/>
              </w:rPr>
              <w:t>Innovent</w:t>
            </w:r>
            <w:proofErr w:type="spellEnd"/>
            <w:r w:rsidRPr="00610377">
              <w:rPr>
                <w:b w:val="0"/>
                <w:iCs/>
                <w:sz w:val="22"/>
                <w:szCs w:val="22"/>
              </w:rPr>
              <w:t xml:space="preserve"> Biologics, </w:t>
            </w:r>
            <w:r>
              <w:rPr>
                <w:b w:val="0"/>
                <w:iCs/>
                <w:sz w:val="22"/>
                <w:szCs w:val="22"/>
              </w:rPr>
              <w:t xml:space="preserve">Merck </w:t>
            </w:r>
            <w:proofErr w:type="spellStart"/>
            <w:proofErr w:type="gramStart"/>
            <w:r>
              <w:rPr>
                <w:b w:val="0"/>
                <w:iCs/>
                <w:sz w:val="22"/>
                <w:szCs w:val="22"/>
              </w:rPr>
              <w:t>KGaA</w:t>
            </w:r>
            <w:proofErr w:type="spellEnd"/>
            <w:proofErr w:type="gramEnd"/>
            <w:r>
              <w:rPr>
                <w:b w:val="0"/>
                <w:iCs/>
                <w:sz w:val="22"/>
                <w:szCs w:val="22"/>
              </w:rPr>
              <w:t xml:space="preserve"> and Roche</w:t>
            </w:r>
          </w:p>
        </w:tc>
        <w:tc>
          <w:tcPr>
            <w:tcW w:w="1134" w:type="dxa"/>
          </w:tcPr>
          <w:p w14:paraId="17FDA785" w14:textId="46395450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79105C39" w14:textId="1C3D7175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12/01/2021</w:t>
            </w:r>
          </w:p>
        </w:tc>
        <w:tc>
          <w:tcPr>
            <w:tcW w:w="1268" w:type="dxa"/>
          </w:tcPr>
          <w:p w14:paraId="03AEFEC8" w14:textId="42B5BBF9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6B70ECBC" w14:textId="50F9158D" w:rsidR="008918F8" w:rsidRPr="009078A9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9078A9">
              <w:rPr>
                <w:b w:val="0"/>
                <w:iCs/>
                <w:sz w:val="22"/>
                <w:szCs w:val="22"/>
              </w:rPr>
              <w:t>It was agreed that these declarations would not prevent Dr Shui from providing expert advice to the committee.</w:t>
            </w:r>
          </w:p>
        </w:tc>
      </w:tr>
      <w:tr w:rsidR="008918F8" w14:paraId="58D5FB4F" w14:textId="77777777" w:rsidTr="00360316">
        <w:tc>
          <w:tcPr>
            <w:tcW w:w="2023" w:type="dxa"/>
          </w:tcPr>
          <w:p w14:paraId="452FAEF7" w14:textId="53A499A6" w:rsidR="008918F8" w:rsidRPr="009078A9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9078A9">
              <w:rPr>
                <w:b w:val="0"/>
                <w:iCs/>
                <w:sz w:val="22"/>
                <w:szCs w:val="22"/>
              </w:rPr>
              <w:t>Dr Kai-Keen Shui</w:t>
            </w:r>
          </w:p>
        </w:tc>
        <w:tc>
          <w:tcPr>
            <w:tcW w:w="1663" w:type="dxa"/>
          </w:tcPr>
          <w:p w14:paraId="51581A76" w14:textId="6CA7646C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Clinical Expert </w:t>
            </w:r>
          </w:p>
        </w:tc>
        <w:tc>
          <w:tcPr>
            <w:tcW w:w="1843" w:type="dxa"/>
          </w:tcPr>
          <w:p w14:paraId="3BFC0DD0" w14:textId="6CC46B62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9078A9">
              <w:rPr>
                <w:b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3118" w:type="dxa"/>
          </w:tcPr>
          <w:p w14:paraId="4FAAC272" w14:textId="46587B06" w:rsidR="008918F8" w:rsidRPr="00610377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R</w:t>
            </w:r>
            <w:r w:rsidRPr="00CF3EF1">
              <w:rPr>
                <w:b w:val="0"/>
                <w:iCs/>
                <w:sz w:val="22"/>
                <w:szCs w:val="22"/>
              </w:rPr>
              <w:t xml:space="preserve">eceived consultancy fees and partook in paid advisory boards for MSD and Roche. Dr Shui is on the Council and paid advisory board for </w:t>
            </w:r>
            <w:proofErr w:type="spellStart"/>
            <w:r w:rsidRPr="00CF3EF1">
              <w:rPr>
                <w:b w:val="0"/>
                <w:iCs/>
                <w:sz w:val="22"/>
                <w:szCs w:val="22"/>
              </w:rPr>
              <w:t>Mirati</w:t>
            </w:r>
            <w:proofErr w:type="spellEnd"/>
            <w:r w:rsidRPr="00CF3EF1">
              <w:rPr>
                <w:b w:val="0"/>
                <w:iCs/>
                <w:sz w:val="22"/>
                <w:szCs w:val="22"/>
              </w:rPr>
              <w:t xml:space="preserve"> Therapeutics. Dr Shui has also received honoraria for educational talks to oncologists about managing CRC and UGI cancers from: MSD, </w:t>
            </w:r>
            <w:proofErr w:type="spellStart"/>
            <w:r>
              <w:rPr>
                <w:b w:val="0"/>
                <w:iCs/>
                <w:sz w:val="22"/>
                <w:szCs w:val="22"/>
              </w:rPr>
              <w:t>Innovent</w:t>
            </w:r>
            <w:proofErr w:type="spellEnd"/>
            <w:r>
              <w:rPr>
                <w:b w:val="0"/>
                <w:iCs/>
                <w:sz w:val="22"/>
                <w:szCs w:val="22"/>
              </w:rPr>
              <w:t xml:space="preserve"> Biologics, </w:t>
            </w:r>
            <w:r w:rsidRPr="00CF3EF1">
              <w:rPr>
                <w:b w:val="0"/>
                <w:iCs/>
                <w:sz w:val="22"/>
                <w:szCs w:val="22"/>
              </w:rPr>
              <w:t xml:space="preserve">Merck </w:t>
            </w:r>
            <w:proofErr w:type="spellStart"/>
            <w:proofErr w:type="gramStart"/>
            <w:r w:rsidRPr="00CF3EF1">
              <w:rPr>
                <w:b w:val="0"/>
                <w:iCs/>
                <w:sz w:val="22"/>
                <w:szCs w:val="22"/>
              </w:rPr>
              <w:t>KGaA</w:t>
            </w:r>
            <w:proofErr w:type="spellEnd"/>
            <w:proofErr w:type="gramEnd"/>
            <w:r w:rsidRPr="00CF3EF1">
              <w:rPr>
                <w:b w:val="0"/>
                <w:iCs/>
                <w:sz w:val="22"/>
                <w:szCs w:val="22"/>
              </w:rPr>
              <w:t xml:space="preserve"> and </w:t>
            </w:r>
            <w:proofErr w:type="spellStart"/>
            <w:r w:rsidRPr="00CF3EF1">
              <w:rPr>
                <w:b w:val="0"/>
                <w:iCs/>
                <w:sz w:val="22"/>
                <w:szCs w:val="22"/>
              </w:rPr>
              <w:t>Daiiichi</w:t>
            </w:r>
            <w:proofErr w:type="spellEnd"/>
            <w:r w:rsidRPr="00CF3EF1">
              <w:rPr>
                <w:b w:val="0"/>
                <w:iCs/>
                <w:sz w:val="22"/>
                <w:szCs w:val="22"/>
              </w:rPr>
              <w:t>-Sankyo, BMS, Guardant Health and Roche.</w:t>
            </w:r>
          </w:p>
        </w:tc>
        <w:tc>
          <w:tcPr>
            <w:tcW w:w="1134" w:type="dxa"/>
          </w:tcPr>
          <w:p w14:paraId="64F2801B" w14:textId="4B7468B9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46296CD7" w14:textId="48D6A9FC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24/03/2021</w:t>
            </w:r>
          </w:p>
        </w:tc>
        <w:tc>
          <w:tcPr>
            <w:tcW w:w="1268" w:type="dxa"/>
          </w:tcPr>
          <w:p w14:paraId="3E415690" w14:textId="416749C9" w:rsidR="008918F8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6BA29FB6" w14:textId="32867492" w:rsidR="008918F8" w:rsidRPr="009078A9" w:rsidRDefault="008918F8" w:rsidP="008918F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9078A9">
              <w:rPr>
                <w:b w:val="0"/>
                <w:iCs/>
                <w:sz w:val="22"/>
                <w:szCs w:val="22"/>
              </w:rPr>
              <w:t>It was agreed that these declarations would not prevent Dr Shui from providing expert advice to the committee.</w:t>
            </w:r>
          </w:p>
        </w:tc>
      </w:tr>
    </w:tbl>
    <w:p w14:paraId="18C08BA0" w14:textId="34474D3D" w:rsidR="001978C7" w:rsidRPr="001978C7" w:rsidRDefault="001978C7" w:rsidP="003404D8">
      <w:pPr>
        <w:pStyle w:val="Paragraphnonumbers"/>
        <w:spacing w:before="240"/>
        <w:ind w:hanging="425"/>
        <w:rPr>
          <w:b/>
          <w:sz w:val="22"/>
          <w:szCs w:val="22"/>
        </w:rPr>
      </w:pPr>
    </w:p>
    <w:sectPr w:rsidR="001978C7" w:rsidRPr="001978C7" w:rsidSect="000161B3">
      <w:headerReference w:type="default" r:id="rId7"/>
      <w:footerReference w:type="default" r:id="rId8"/>
      <w:pgSz w:w="16838" w:h="11906" w:orient="landscape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53CB729D" w:rsidR="00446BEE" w:rsidRDefault="0005185C" w:rsidP="009F66BF">
    <w:pPr>
      <w:pStyle w:val="Footer"/>
      <w:ind w:hanging="567"/>
    </w:pPr>
    <w:r>
      <w:t>Technology</w:t>
    </w:r>
    <w:r w:rsidR="009F66BF">
      <w:t xml:space="preserve"> advisory committee</w:t>
    </w:r>
    <w:r>
      <w:t xml:space="preserve"> </w:t>
    </w:r>
    <w:r w:rsidR="007574E6" w:rsidRPr="000161B3">
      <w:t>B</w:t>
    </w:r>
    <w:r w:rsidR="000161B3">
      <w:t xml:space="preserve"> </w:t>
    </w:r>
    <w:r w:rsidR="00D47BA7">
      <w:t>– interests register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1946BB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1946B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5CEB2B3B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3" name="Picture 3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61B3"/>
    <w:rsid w:val="00024D0A"/>
    <w:rsid w:val="000472DC"/>
    <w:rsid w:val="0005185C"/>
    <w:rsid w:val="00070065"/>
    <w:rsid w:val="000A4FEE"/>
    <w:rsid w:val="000B5102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2538A"/>
    <w:rsid w:val="002408EA"/>
    <w:rsid w:val="002819D7"/>
    <w:rsid w:val="002C1A7E"/>
    <w:rsid w:val="002D3376"/>
    <w:rsid w:val="00311ED0"/>
    <w:rsid w:val="003404D8"/>
    <w:rsid w:val="00360316"/>
    <w:rsid w:val="003648C5"/>
    <w:rsid w:val="003722FA"/>
    <w:rsid w:val="003C7AAF"/>
    <w:rsid w:val="004075B6"/>
    <w:rsid w:val="00420952"/>
    <w:rsid w:val="004327C3"/>
    <w:rsid w:val="00433EFF"/>
    <w:rsid w:val="00443081"/>
    <w:rsid w:val="00446BEE"/>
    <w:rsid w:val="004602D6"/>
    <w:rsid w:val="004A2D1D"/>
    <w:rsid w:val="004E3A84"/>
    <w:rsid w:val="005025A1"/>
    <w:rsid w:val="00557456"/>
    <w:rsid w:val="00610377"/>
    <w:rsid w:val="006921E1"/>
    <w:rsid w:val="006A3196"/>
    <w:rsid w:val="006F4B25"/>
    <w:rsid w:val="006F6496"/>
    <w:rsid w:val="00736348"/>
    <w:rsid w:val="007574E6"/>
    <w:rsid w:val="00760908"/>
    <w:rsid w:val="007F238D"/>
    <w:rsid w:val="00861B92"/>
    <w:rsid w:val="008814FB"/>
    <w:rsid w:val="008918F8"/>
    <w:rsid w:val="008F5E30"/>
    <w:rsid w:val="009078A9"/>
    <w:rsid w:val="00914D7F"/>
    <w:rsid w:val="00955EC5"/>
    <w:rsid w:val="00961C9E"/>
    <w:rsid w:val="009813A0"/>
    <w:rsid w:val="009C1F2B"/>
    <w:rsid w:val="009E680B"/>
    <w:rsid w:val="009F66BF"/>
    <w:rsid w:val="009F74FD"/>
    <w:rsid w:val="00A15A1F"/>
    <w:rsid w:val="00A17C0C"/>
    <w:rsid w:val="00A3325A"/>
    <w:rsid w:val="00A43013"/>
    <w:rsid w:val="00A43DA6"/>
    <w:rsid w:val="00AF108A"/>
    <w:rsid w:val="00B02E55"/>
    <w:rsid w:val="00B036C1"/>
    <w:rsid w:val="00B5431F"/>
    <w:rsid w:val="00BF7FE0"/>
    <w:rsid w:val="00C81104"/>
    <w:rsid w:val="00C96411"/>
    <w:rsid w:val="00CB5671"/>
    <w:rsid w:val="00CF3EF1"/>
    <w:rsid w:val="00CF58B7"/>
    <w:rsid w:val="00D351C1"/>
    <w:rsid w:val="00D35EFB"/>
    <w:rsid w:val="00D47BA7"/>
    <w:rsid w:val="00D504B3"/>
    <w:rsid w:val="00D607D5"/>
    <w:rsid w:val="00D86BF0"/>
    <w:rsid w:val="00E51920"/>
    <w:rsid w:val="00E64120"/>
    <w:rsid w:val="00E660A1"/>
    <w:rsid w:val="00EA3CCF"/>
    <w:rsid w:val="00F055F1"/>
    <w:rsid w:val="00F268E0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Joanne Ekeledo</cp:lastModifiedBy>
  <cp:revision>5</cp:revision>
  <dcterms:created xsi:type="dcterms:W3CDTF">2021-05-12T12:33:00Z</dcterms:created>
  <dcterms:modified xsi:type="dcterms:W3CDTF">2021-08-26T16:36:00Z</dcterms:modified>
</cp:coreProperties>
</file>