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EAD1F" w14:textId="77777777" w:rsidR="000F2D8A" w:rsidRPr="00C416F0" w:rsidRDefault="000F2D8A" w:rsidP="003253AC">
      <w:pPr>
        <w:pStyle w:val="Title2"/>
      </w:pPr>
      <w:r w:rsidRPr="00C416F0">
        <w:t>NATIONAL INSTITUTE FOR HEALTH AND C</w:t>
      </w:r>
      <w:r w:rsidR="00E877D5" w:rsidRPr="00C416F0">
        <w:t>ARE</w:t>
      </w:r>
      <w:r w:rsidRPr="00C416F0">
        <w:t xml:space="preserve"> EXCELLENCE</w:t>
      </w:r>
    </w:p>
    <w:p w14:paraId="775454BA" w14:textId="77777777" w:rsidR="000F2D8A" w:rsidRPr="00C416F0" w:rsidRDefault="000F2D8A" w:rsidP="003253AC">
      <w:pPr>
        <w:pStyle w:val="Title2"/>
      </w:pPr>
      <w:r w:rsidRPr="00C416F0">
        <w:t>Appraisal consultation document</w:t>
      </w:r>
    </w:p>
    <w:p w14:paraId="7A73D066" w14:textId="11BA2B82" w:rsidR="00B600D6" w:rsidRPr="00C416F0" w:rsidRDefault="00B600D6" w:rsidP="00B600D6">
      <w:pPr>
        <w:pStyle w:val="Title2"/>
        <w:rPr>
          <w:sz w:val="40"/>
        </w:rPr>
      </w:pPr>
      <w:r w:rsidRPr="00C416F0">
        <w:rPr>
          <w:sz w:val="40"/>
        </w:rPr>
        <w:t>Adalimumab, etanerc</w:t>
      </w:r>
      <w:r w:rsidR="00CD1D64" w:rsidRPr="00C416F0">
        <w:rPr>
          <w:sz w:val="40"/>
        </w:rPr>
        <w:t>e</w:t>
      </w:r>
      <w:r w:rsidRPr="00C416F0">
        <w:rPr>
          <w:sz w:val="40"/>
        </w:rPr>
        <w:t xml:space="preserve">pt, infliximab and abatacept for </w:t>
      </w:r>
      <w:r w:rsidR="008B30A1">
        <w:rPr>
          <w:sz w:val="40"/>
        </w:rPr>
        <w:t xml:space="preserve">treating </w:t>
      </w:r>
      <w:r w:rsidRPr="00C416F0">
        <w:rPr>
          <w:sz w:val="40"/>
        </w:rPr>
        <w:t xml:space="preserve">moderate rheumatoid arthritis after conventional DMARDs have failed (partial review of TA375) </w:t>
      </w:r>
    </w:p>
    <w:p w14:paraId="3FE62015" w14:textId="4EEFC1B8" w:rsidR="00BB0F00" w:rsidRPr="00C416F0" w:rsidRDefault="00BB0F00" w:rsidP="00F029A7">
      <w:pPr>
        <w:pStyle w:val="Numberedlevel2text"/>
        <w:numPr>
          <w:ilvl w:val="0"/>
          <w:numId w:val="0"/>
        </w:numPr>
        <w:rPr>
          <w:lang w:val="en-GB"/>
        </w:rPr>
      </w:pPr>
    </w:p>
    <w:p w14:paraId="7A699460" w14:textId="4DF8700F" w:rsidR="00BB0F00" w:rsidRPr="00C416F0" w:rsidRDefault="00BB0F00" w:rsidP="00BB0F00">
      <w:pPr>
        <w:pStyle w:val="NICEnormal"/>
      </w:pPr>
    </w:p>
    <w:p w14:paraId="3F6E2368" w14:textId="77777777" w:rsidR="000F2D8A" w:rsidRPr="00C416F0" w:rsidRDefault="00B01F01" w:rsidP="003C5C5C">
      <w:pPr>
        <w:pStyle w:val="Numberedheading1"/>
        <w:ind w:left="1134"/>
      </w:pPr>
      <w:r w:rsidRPr="00C416F0">
        <w:br w:type="page"/>
      </w:r>
      <w:r w:rsidR="00B8229E" w:rsidRPr="00C416F0">
        <w:lastRenderedPageBreak/>
        <w:t>R</w:t>
      </w:r>
      <w:r w:rsidR="000F2D8A" w:rsidRPr="00C416F0">
        <w:t>ecommendations</w:t>
      </w:r>
    </w:p>
    <w:p w14:paraId="74C24A51" w14:textId="7F0B751F" w:rsidR="00B600D6" w:rsidRPr="00C416F0" w:rsidRDefault="00B600D6" w:rsidP="00AC7428">
      <w:pPr>
        <w:pStyle w:val="Numberedlevel2text"/>
        <w:numPr>
          <w:ilvl w:val="1"/>
          <w:numId w:val="9"/>
        </w:numPr>
        <w:rPr>
          <w:lang w:val="en-GB"/>
        </w:rPr>
      </w:pPr>
      <w:bookmarkStart w:id="0" w:name="_Hlk66796514"/>
      <w:r w:rsidRPr="00C416F0">
        <w:rPr>
          <w:lang w:val="en-GB"/>
        </w:rPr>
        <w:t xml:space="preserve">Adalimumab and infliximab, </w:t>
      </w:r>
      <w:r w:rsidR="00C94930" w:rsidRPr="00C416F0">
        <w:rPr>
          <w:lang w:val="en-GB"/>
        </w:rPr>
        <w:t xml:space="preserve">both </w:t>
      </w:r>
      <w:r w:rsidRPr="00C416F0">
        <w:rPr>
          <w:lang w:val="en-GB"/>
        </w:rPr>
        <w:t>with methotrexate, are recommended as options for treating active rheumatoid arthritis in adults, only if:</w:t>
      </w:r>
    </w:p>
    <w:p w14:paraId="2BE3D769" w14:textId="7FEB8A60" w:rsidR="001156F3" w:rsidRDefault="001156F3" w:rsidP="001E7ED6">
      <w:pPr>
        <w:pStyle w:val="Bulletindent1"/>
      </w:pPr>
      <w:bookmarkStart w:id="1" w:name="_Hlk67300331"/>
      <w:r>
        <w:t>disease has responded inadequately to intensive therapy with 2 or more conventional disease</w:t>
      </w:r>
      <w:r w:rsidR="00464312">
        <w:t>-modifying</w:t>
      </w:r>
      <w:r>
        <w:t xml:space="preserve"> antirheumatic drugs </w:t>
      </w:r>
      <w:bookmarkEnd w:id="1"/>
      <w:r>
        <w:t>(DMARDs)</w:t>
      </w:r>
      <w:r w:rsidR="00C602EE">
        <w:t xml:space="preserve"> and</w:t>
      </w:r>
    </w:p>
    <w:p w14:paraId="5CA9F6A4" w14:textId="191E9737" w:rsidR="00B600D6" w:rsidRPr="00C416F0" w:rsidRDefault="00B600D6" w:rsidP="001E7ED6">
      <w:pPr>
        <w:pStyle w:val="Bulletindent1"/>
      </w:pPr>
      <w:r w:rsidRPr="00C416F0">
        <w:t>disease is moderate (a disease activity score [DAS28] of 3.2 to 5.1)</w:t>
      </w:r>
      <w:r w:rsidR="00C602EE">
        <w:t xml:space="preserve"> and</w:t>
      </w:r>
    </w:p>
    <w:p w14:paraId="7F67DD19" w14:textId="611CC380" w:rsidR="00B600D6" w:rsidRPr="00C416F0" w:rsidRDefault="00B600D6" w:rsidP="001E7ED6">
      <w:pPr>
        <w:pStyle w:val="Bulletindent1last"/>
      </w:pPr>
      <w:r w:rsidRPr="00C416F0">
        <w:t xml:space="preserve">the companies provide adalimumab and infliximab at the same or lower </w:t>
      </w:r>
      <w:r w:rsidR="00677E9F">
        <w:t xml:space="preserve">prices </w:t>
      </w:r>
      <w:r w:rsidRPr="00C416F0">
        <w:t>than th</w:t>
      </w:r>
      <w:r w:rsidR="00677E9F">
        <w:t>ose</w:t>
      </w:r>
      <w:r w:rsidRPr="00C416F0">
        <w:t xml:space="preserve"> agreed with the Commercial Medicines</w:t>
      </w:r>
      <w:r w:rsidR="004424D2">
        <w:t xml:space="preserve"> Unit.</w:t>
      </w:r>
      <w:r w:rsidRPr="00C416F0">
        <w:t xml:space="preserve"> </w:t>
      </w:r>
    </w:p>
    <w:p w14:paraId="60296EF0" w14:textId="0DDC199E" w:rsidR="00B600D6" w:rsidRPr="00C416F0" w:rsidRDefault="00B600D6" w:rsidP="00B600D6">
      <w:pPr>
        <w:pStyle w:val="Numberedlevel2text"/>
        <w:rPr>
          <w:lang w:val="en-GB"/>
        </w:rPr>
      </w:pPr>
      <w:bookmarkStart w:id="2" w:name="_Hlk66796583"/>
      <w:bookmarkEnd w:id="0"/>
      <w:r w:rsidRPr="00C416F0">
        <w:rPr>
          <w:lang w:val="en-GB"/>
        </w:rPr>
        <w:t>Adalimumab can be used as monotherapy when methotrexate is contraindicated or</w:t>
      </w:r>
      <w:r w:rsidR="00DD0E47">
        <w:rPr>
          <w:lang w:val="en-GB"/>
        </w:rPr>
        <w:t xml:space="preserve"> </w:t>
      </w:r>
      <w:r w:rsidR="00222C53">
        <w:rPr>
          <w:lang w:val="en-GB"/>
        </w:rPr>
        <w:t>not</w:t>
      </w:r>
      <w:r w:rsidRPr="00C416F0">
        <w:rPr>
          <w:lang w:val="en-GB"/>
        </w:rPr>
        <w:t xml:space="preserve"> tolerate</w:t>
      </w:r>
      <w:r w:rsidR="00222C53">
        <w:rPr>
          <w:lang w:val="en-GB"/>
        </w:rPr>
        <w:t>d</w:t>
      </w:r>
      <w:r w:rsidRPr="00C416F0">
        <w:rPr>
          <w:lang w:val="en-GB"/>
        </w:rPr>
        <w:t xml:space="preserve">, when the criteria in 1.1 are met. </w:t>
      </w:r>
    </w:p>
    <w:bookmarkEnd w:id="2"/>
    <w:p w14:paraId="18313975" w14:textId="47874923" w:rsidR="006D1064" w:rsidRPr="00C416F0" w:rsidRDefault="006D1064" w:rsidP="00CE0399">
      <w:pPr>
        <w:pStyle w:val="Numberedlevel2text"/>
        <w:rPr>
          <w:lang w:val="en-GB"/>
        </w:rPr>
      </w:pPr>
      <w:r w:rsidRPr="00C416F0">
        <w:rPr>
          <w:lang w:val="en-GB"/>
        </w:rPr>
        <w:t xml:space="preserve">Continue treatment only if there is a moderate response measured using European League Against Rheumatism (EULAR) criteria at </w:t>
      </w:r>
      <w:r w:rsidR="00C416F0" w:rsidRPr="00C416F0">
        <w:rPr>
          <w:lang w:val="en-GB"/>
        </w:rPr>
        <w:t>6</w:t>
      </w:r>
      <w:r w:rsidR="00C416F0">
        <w:rPr>
          <w:lang w:val="en-GB"/>
        </w:rPr>
        <w:t> </w:t>
      </w:r>
      <w:r w:rsidRPr="00C416F0">
        <w:rPr>
          <w:lang w:val="en-GB"/>
        </w:rPr>
        <w:t xml:space="preserve">months after starting therapy. If this initial response is not maintained at </w:t>
      </w:r>
      <w:r w:rsidR="00C416F0" w:rsidRPr="00C416F0">
        <w:rPr>
          <w:lang w:val="en-GB"/>
        </w:rPr>
        <w:t>6</w:t>
      </w:r>
      <w:r w:rsidR="00C416F0">
        <w:rPr>
          <w:lang w:val="en-GB"/>
        </w:rPr>
        <w:t> </w:t>
      </w:r>
      <w:r w:rsidRPr="00C416F0">
        <w:rPr>
          <w:lang w:val="en-GB"/>
        </w:rPr>
        <w:t>months, stop treatment</w:t>
      </w:r>
      <w:r w:rsidR="00C47D78" w:rsidRPr="00C416F0">
        <w:rPr>
          <w:lang w:val="en-GB"/>
        </w:rPr>
        <w:t>.</w:t>
      </w:r>
    </w:p>
    <w:p w14:paraId="41DF10D7" w14:textId="368FEC5A" w:rsidR="00B600D6" w:rsidRPr="00C416F0" w:rsidRDefault="00B600D6" w:rsidP="006D1064">
      <w:pPr>
        <w:pStyle w:val="Numberedlevel2text"/>
        <w:rPr>
          <w:lang w:val="en-GB"/>
        </w:rPr>
      </w:pPr>
      <w:r w:rsidRPr="00C416F0">
        <w:rPr>
          <w:lang w:val="en-GB"/>
        </w:rPr>
        <w:t xml:space="preserve">Start treatment with the least expensive drug (taking into account administration costs, dose needed and product price per dose). This may </w:t>
      </w:r>
      <w:r w:rsidR="00297152">
        <w:rPr>
          <w:lang w:val="en-GB"/>
        </w:rPr>
        <w:t xml:space="preserve">vary </w:t>
      </w:r>
      <w:r w:rsidRPr="00C416F0">
        <w:rPr>
          <w:lang w:val="en-GB"/>
        </w:rPr>
        <w:t xml:space="preserve">because of differences in </w:t>
      </w:r>
      <w:r w:rsidR="00297152">
        <w:rPr>
          <w:lang w:val="en-GB"/>
        </w:rPr>
        <w:t xml:space="preserve">how the drugs are </w:t>
      </w:r>
      <w:r w:rsidR="00222C53">
        <w:rPr>
          <w:lang w:val="en-GB"/>
        </w:rPr>
        <w:t>used</w:t>
      </w:r>
      <w:r w:rsidRPr="00C416F0">
        <w:rPr>
          <w:lang w:val="en-GB"/>
        </w:rPr>
        <w:t xml:space="preserve"> and treatment schedules.</w:t>
      </w:r>
    </w:p>
    <w:p w14:paraId="7412715C" w14:textId="3E0E4D93" w:rsidR="00B600D6" w:rsidRPr="00C416F0" w:rsidRDefault="00C416F0" w:rsidP="00B600D6">
      <w:pPr>
        <w:pStyle w:val="Numberedlevel2text"/>
        <w:rPr>
          <w:lang w:val="en-GB"/>
        </w:rPr>
      </w:pPr>
      <w:bookmarkStart w:id="3" w:name="_Hlk66796618"/>
      <w:r>
        <w:rPr>
          <w:lang w:val="en-GB"/>
        </w:rPr>
        <w:t>T</w:t>
      </w:r>
      <w:r w:rsidR="00B600D6" w:rsidRPr="00C416F0">
        <w:rPr>
          <w:lang w:val="en-GB"/>
        </w:rPr>
        <w:t>ake into account any physical, psychological, sensory or learning disabilities, or communication difficulties that could affect the responses to the DAS28 and make any appropriate</w:t>
      </w:r>
      <w:r>
        <w:rPr>
          <w:lang w:val="en-GB"/>
        </w:rPr>
        <w:t xml:space="preserve"> adjustments</w:t>
      </w:r>
      <w:r w:rsidR="00B600D6" w:rsidRPr="00C416F0">
        <w:rPr>
          <w:lang w:val="en-GB"/>
        </w:rPr>
        <w:t>.</w:t>
      </w:r>
    </w:p>
    <w:bookmarkEnd w:id="3"/>
    <w:p w14:paraId="2D481AAA" w14:textId="4DD8F9A9" w:rsidR="001B6FEB" w:rsidRPr="00771095" w:rsidRDefault="00B600D6" w:rsidP="00771095">
      <w:pPr>
        <w:pStyle w:val="Numberedlevel2text"/>
        <w:numPr>
          <w:ilvl w:val="1"/>
          <w:numId w:val="9"/>
        </w:numPr>
        <w:rPr>
          <w:lang w:val="en-GB"/>
        </w:rPr>
      </w:pPr>
      <w:r w:rsidRPr="001156F3">
        <w:rPr>
          <w:lang w:val="en-GB"/>
        </w:rPr>
        <w:t xml:space="preserve">Abatacept </w:t>
      </w:r>
      <w:r w:rsidR="001156F3">
        <w:rPr>
          <w:lang w:val="en-GB"/>
        </w:rPr>
        <w:t>with methotrexate</w:t>
      </w:r>
      <w:r w:rsidRPr="001156F3">
        <w:rPr>
          <w:lang w:val="en-GB"/>
        </w:rPr>
        <w:t xml:space="preserve"> </w:t>
      </w:r>
      <w:r w:rsidR="001156F3">
        <w:rPr>
          <w:lang w:val="en-GB"/>
        </w:rPr>
        <w:t>is</w:t>
      </w:r>
      <w:r w:rsidR="001156F3" w:rsidRPr="001156F3">
        <w:rPr>
          <w:lang w:val="en-GB"/>
        </w:rPr>
        <w:t xml:space="preserve"> </w:t>
      </w:r>
      <w:r w:rsidRPr="001156F3">
        <w:rPr>
          <w:lang w:val="en-GB"/>
        </w:rPr>
        <w:t xml:space="preserve">not recommended, within </w:t>
      </w:r>
      <w:r w:rsidR="001156F3">
        <w:rPr>
          <w:lang w:val="en-GB"/>
        </w:rPr>
        <w:t>its</w:t>
      </w:r>
      <w:r w:rsidR="001156F3" w:rsidRPr="001156F3">
        <w:rPr>
          <w:lang w:val="en-GB"/>
        </w:rPr>
        <w:t xml:space="preserve"> </w:t>
      </w:r>
      <w:r w:rsidRPr="001156F3">
        <w:rPr>
          <w:lang w:val="en-GB"/>
        </w:rPr>
        <w:t xml:space="preserve">marketing authorisation, for </w:t>
      </w:r>
      <w:r w:rsidR="00C416F0" w:rsidRPr="001156F3">
        <w:rPr>
          <w:lang w:val="en-GB"/>
        </w:rPr>
        <w:t>treating</w:t>
      </w:r>
      <w:r w:rsidRPr="001156F3">
        <w:rPr>
          <w:lang w:val="en-GB"/>
        </w:rPr>
        <w:t xml:space="preserve"> moderate active rheumatoid arthritis in adults</w:t>
      </w:r>
      <w:r w:rsidR="001156F3">
        <w:rPr>
          <w:lang w:val="en-GB"/>
        </w:rPr>
        <w:t xml:space="preserve"> when disease has responded inadequately</w:t>
      </w:r>
      <w:r w:rsidR="001B6FEB">
        <w:rPr>
          <w:lang w:val="en-GB"/>
        </w:rPr>
        <w:t xml:space="preserve"> to</w:t>
      </w:r>
      <w:r w:rsidR="001156F3">
        <w:rPr>
          <w:lang w:val="en-GB"/>
        </w:rPr>
        <w:t xml:space="preserve"> 1 or more</w:t>
      </w:r>
      <w:r w:rsidR="001B6FEB">
        <w:rPr>
          <w:lang w:val="en-GB"/>
        </w:rPr>
        <w:t xml:space="preserve"> </w:t>
      </w:r>
      <w:r w:rsidR="001156F3">
        <w:rPr>
          <w:lang w:val="en-GB"/>
        </w:rPr>
        <w:t>DMARDs</w:t>
      </w:r>
      <w:r w:rsidRPr="001156F3">
        <w:rPr>
          <w:lang w:val="en-GB"/>
        </w:rPr>
        <w:t>.</w:t>
      </w:r>
    </w:p>
    <w:p w14:paraId="262E85A8" w14:textId="03004FAD" w:rsidR="001156F3" w:rsidRDefault="001156F3" w:rsidP="00DD0E47">
      <w:pPr>
        <w:pStyle w:val="Numberedlevel2text"/>
        <w:numPr>
          <w:ilvl w:val="1"/>
          <w:numId w:val="9"/>
        </w:numPr>
        <w:rPr>
          <w:lang w:val="en-GB"/>
        </w:rPr>
      </w:pPr>
      <w:r>
        <w:rPr>
          <w:lang w:val="en-GB"/>
        </w:rPr>
        <w:lastRenderedPageBreak/>
        <w:t>E</w:t>
      </w:r>
      <w:r w:rsidRPr="001156F3">
        <w:rPr>
          <w:lang w:val="en-GB"/>
        </w:rPr>
        <w:t>tanercept</w:t>
      </w:r>
      <w:r>
        <w:rPr>
          <w:lang w:val="en-GB"/>
        </w:rPr>
        <w:t xml:space="preserve"> with or without methotrexate</w:t>
      </w:r>
      <w:r w:rsidRPr="001156F3">
        <w:rPr>
          <w:lang w:val="en-GB"/>
        </w:rPr>
        <w:t xml:space="preserve"> </w:t>
      </w:r>
      <w:r>
        <w:rPr>
          <w:lang w:val="en-GB"/>
        </w:rPr>
        <w:t>is</w:t>
      </w:r>
      <w:r w:rsidRPr="001156F3">
        <w:rPr>
          <w:lang w:val="en-GB"/>
        </w:rPr>
        <w:t xml:space="preserve"> not recommended, within </w:t>
      </w:r>
      <w:r>
        <w:rPr>
          <w:lang w:val="en-GB"/>
        </w:rPr>
        <w:t>its</w:t>
      </w:r>
      <w:r w:rsidRPr="001156F3">
        <w:rPr>
          <w:lang w:val="en-GB"/>
        </w:rPr>
        <w:t xml:space="preserve"> marketing authorisation, for treating moderate active rheumatoid arthritis in adults</w:t>
      </w:r>
      <w:r>
        <w:rPr>
          <w:lang w:val="en-GB"/>
        </w:rPr>
        <w:t xml:space="preserve"> when disease has responded inadequately </w:t>
      </w:r>
      <w:r w:rsidR="00E81D73">
        <w:rPr>
          <w:lang w:val="en-GB"/>
        </w:rPr>
        <w:t>to</w:t>
      </w:r>
      <w:r>
        <w:rPr>
          <w:lang w:val="en-GB"/>
        </w:rPr>
        <w:t xml:space="preserve"> DMARDs.</w:t>
      </w:r>
    </w:p>
    <w:p w14:paraId="1D911EC9" w14:textId="47BC845C" w:rsidR="00B600D6" w:rsidRPr="001156F3" w:rsidRDefault="00B600D6" w:rsidP="005E7AE4">
      <w:pPr>
        <w:pStyle w:val="Numberedlevel2text"/>
        <w:numPr>
          <w:ilvl w:val="1"/>
          <w:numId w:val="9"/>
        </w:numPr>
        <w:rPr>
          <w:lang w:val="en-GB"/>
        </w:rPr>
      </w:pPr>
      <w:r w:rsidRPr="001156F3">
        <w:rPr>
          <w:lang w:val="en-GB"/>
        </w:rPr>
        <w:t>These recommendations are not intended to affect treatment with adalimumab, etanercept, infliximab or abatacept that was started in the NHS before this guidance was published. People having treatment outside these recommendations may continue without change to the funding arrangements in place for them before this guidance was published, until they and their NHS clinician consider it appropriate to stop</w:t>
      </w:r>
      <w:r w:rsidR="001E7ED6" w:rsidRPr="001156F3">
        <w:rPr>
          <w:lang w:val="en-GB"/>
        </w:rPr>
        <w:t>.</w:t>
      </w:r>
    </w:p>
    <w:p w14:paraId="1231D775" w14:textId="519F6A81" w:rsidR="001156F3" w:rsidRDefault="00D7603E" w:rsidP="00AF7A00">
      <w:pPr>
        <w:pStyle w:val="NICEnormal"/>
        <w:rPr>
          <w:b/>
        </w:rPr>
      </w:pPr>
      <w:r w:rsidRPr="00C416F0">
        <w:rPr>
          <w:b/>
        </w:rPr>
        <w:t>Why the committee made these recommendations</w:t>
      </w:r>
    </w:p>
    <w:p w14:paraId="0CCF4D2A" w14:textId="1A6BCA04" w:rsidR="003F5839" w:rsidRDefault="003F5839" w:rsidP="00AF7A00">
      <w:pPr>
        <w:pStyle w:val="NICEnormal"/>
      </w:pPr>
      <w:r w:rsidRPr="003F5839">
        <w:t>This appraisal reviews some of the drugs</w:t>
      </w:r>
      <w:r w:rsidR="003C2117">
        <w:t xml:space="preserve"> (</w:t>
      </w:r>
      <w:r w:rsidR="003C2117" w:rsidRPr="00C416F0">
        <w:t>adalimumab, etanercept, infliximab and abatacept</w:t>
      </w:r>
      <w:r w:rsidR="003C2117">
        <w:t>)</w:t>
      </w:r>
      <w:r w:rsidRPr="003F5839">
        <w:t xml:space="preserve"> recommended for severe rheumatoid arthritis</w:t>
      </w:r>
      <w:r w:rsidR="001B6FEB">
        <w:t xml:space="preserve"> </w:t>
      </w:r>
      <w:r w:rsidRPr="003F5839">
        <w:t xml:space="preserve">in </w:t>
      </w:r>
      <w:hyperlink r:id="rId8" w:history="1">
        <w:r w:rsidRPr="003F5839">
          <w:rPr>
            <w:rStyle w:val="Hyperlink"/>
          </w:rPr>
          <w:t>NICE technology appraisal 375</w:t>
        </w:r>
      </w:hyperlink>
      <w:r w:rsidR="001156F3">
        <w:t xml:space="preserve"> </w:t>
      </w:r>
      <w:r w:rsidRPr="003F5839">
        <w:t xml:space="preserve">and considers them for moderate rheumatoid arthritis. </w:t>
      </w:r>
    </w:p>
    <w:p w14:paraId="36D1273E" w14:textId="7E1CF1CD" w:rsidR="00AF7A00" w:rsidRPr="00C416F0" w:rsidRDefault="00B16717" w:rsidP="00AF7A00">
      <w:pPr>
        <w:pStyle w:val="NICEnormal"/>
      </w:pPr>
      <w:r w:rsidRPr="00C416F0">
        <w:t xml:space="preserve">Filgotinib is the only advanced treatment option </w:t>
      </w:r>
      <w:r w:rsidR="00252041" w:rsidRPr="00EA12FB">
        <w:t>(biological and targeted synthetic DMARDs)</w:t>
      </w:r>
      <w:r w:rsidR="00252041" w:rsidRPr="00C416F0">
        <w:t xml:space="preserve"> </w:t>
      </w:r>
      <w:r w:rsidRPr="00C416F0">
        <w:t>currently available for moderate rheumatoid arthritis</w:t>
      </w:r>
      <w:r>
        <w:t xml:space="preserve"> after 2 or more conventional DMARDs</w:t>
      </w:r>
      <w:r w:rsidR="009D0D02">
        <w:t xml:space="preserve"> have not worked</w:t>
      </w:r>
      <w:r w:rsidRPr="00C416F0">
        <w:t>.</w:t>
      </w:r>
      <w:r>
        <w:t xml:space="preserve"> </w:t>
      </w:r>
      <w:r w:rsidR="00BA7A02" w:rsidRPr="00C416F0">
        <w:t xml:space="preserve">The </w:t>
      </w:r>
      <w:r w:rsidR="00FD4821" w:rsidRPr="00C416F0">
        <w:t xml:space="preserve">clinical evidence suggests that advanced treatments are likely to be </w:t>
      </w:r>
      <w:r w:rsidR="00297152">
        <w:t>similarly</w:t>
      </w:r>
      <w:r w:rsidR="007A4A24" w:rsidRPr="00C416F0">
        <w:t xml:space="preserve"> effective</w:t>
      </w:r>
      <w:r w:rsidR="00FD4821" w:rsidRPr="00C416F0">
        <w:t xml:space="preserve"> in </w:t>
      </w:r>
      <w:r w:rsidR="00297152">
        <w:t>both</w:t>
      </w:r>
      <w:r w:rsidR="00297152" w:rsidRPr="00C416F0">
        <w:t xml:space="preserve"> </w:t>
      </w:r>
      <w:r w:rsidR="00FD4821" w:rsidRPr="00C416F0">
        <w:t xml:space="preserve">moderate and severe </w:t>
      </w:r>
      <w:r w:rsidR="00BA7A02" w:rsidRPr="00C416F0">
        <w:t>disease</w:t>
      </w:r>
      <w:r w:rsidR="00FD4821" w:rsidRPr="00C416F0">
        <w:t xml:space="preserve">. </w:t>
      </w:r>
    </w:p>
    <w:p w14:paraId="3C159228" w14:textId="4B1FFABA" w:rsidR="00DB43B4" w:rsidRPr="00C416F0" w:rsidRDefault="002F0612" w:rsidP="00B600D6">
      <w:pPr>
        <w:pStyle w:val="NICEnormal"/>
      </w:pPr>
      <w:r w:rsidRPr="00C416F0">
        <w:t>The</w:t>
      </w:r>
      <w:r w:rsidR="00AF7A00" w:rsidRPr="00C416F0">
        <w:t xml:space="preserve"> most likely estimates</w:t>
      </w:r>
      <w:r w:rsidR="00321F8A" w:rsidRPr="00C416F0">
        <w:t xml:space="preserve"> s</w:t>
      </w:r>
      <w:r w:rsidR="00A676CA">
        <w:t xml:space="preserve">uggest </w:t>
      </w:r>
      <w:r w:rsidR="00321F8A" w:rsidRPr="00C416F0">
        <w:t>that</w:t>
      </w:r>
      <w:r w:rsidR="00AF7A00" w:rsidRPr="00C416F0">
        <w:t xml:space="preserve"> </w:t>
      </w:r>
      <w:r w:rsidRPr="00C416F0">
        <w:t>adalimumab</w:t>
      </w:r>
      <w:r w:rsidR="00AF7A00" w:rsidRPr="00C416F0">
        <w:t xml:space="preserve"> </w:t>
      </w:r>
      <w:r w:rsidR="00DB43B4" w:rsidRPr="00C416F0">
        <w:t xml:space="preserve">and </w:t>
      </w:r>
      <w:r w:rsidRPr="00C416F0">
        <w:t xml:space="preserve">infliximab </w:t>
      </w:r>
      <w:r w:rsidR="001B6FEB">
        <w:t>after</w:t>
      </w:r>
      <w:r w:rsidR="003F5839">
        <w:t xml:space="preserve"> 2 or more</w:t>
      </w:r>
      <w:r w:rsidR="00FD4821" w:rsidRPr="00C416F0">
        <w:t xml:space="preserve"> conventional DMARDs </w:t>
      </w:r>
      <w:r w:rsidR="00DB43B4" w:rsidRPr="00C416F0">
        <w:t xml:space="preserve">are </w:t>
      </w:r>
      <w:r w:rsidR="00321F8A" w:rsidRPr="00C416F0">
        <w:t>a</w:t>
      </w:r>
      <w:r w:rsidR="004F3380">
        <w:t xml:space="preserve"> cost-effective</w:t>
      </w:r>
      <w:r w:rsidR="00321F8A" w:rsidRPr="00C416F0">
        <w:t xml:space="preserve"> </w:t>
      </w:r>
      <w:r w:rsidR="00DB43B4" w:rsidRPr="00C416F0">
        <w:t xml:space="preserve">use of NHS resources. So, adalimumab </w:t>
      </w:r>
      <w:r w:rsidR="003F5839">
        <w:t>with or without methotrexate</w:t>
      </w:r>
      <w:r w:rsidR="001B6FEB">
        <w:t>,</w:t>
      </w:r>
      <w:r w:rsidR="003F5839">
        <w:t xml:space="preserve"> </w:t>
      </w:r>
      <w:r w:rsidR="00DB43B4" w:rsidRPr="00C416F0">
        <w:t>and infliximab with methotrexate</w:t>
      </w:r>
      <w:r w:rsidR="00983433">
        <w:t>,</w:t>
      </w:r>
      <w:r w:rsidR="00DB43B4" w:rsidRPr="00C416F0">
        <w:t xml:space="preserve"> are recommended</w:t>
      </w:r>
      <w:r w:rsidR="00FD4821" w:rsidRPr="00C416F0">
        <w:t xml:space="preserve"> for people with moderate disease</w:t>
      </w:r>
      <w:r w:rsidR="00DB43B4" w:rsidRPr="00C416F0">
        <w:t xml:space="preserve">. </w:t>
      </w:r>
      <w:r w:rsidRPr="00C416F0">
        <w:t>The most likely cost-effectiveness estimate</w:t>
      </w:r>
      <w:r w:rsidR="00DB43B4" w:rsidRPr="00C416F0">
        <w:t>s</w:t>
      </w:r>
      <w:r w:rsidRPr="00C416F0">
        <w:t xml:space="preserve"> for etanercept </w:t>
      </w:r>
      <w:r w:rsidR="00D8048C" w:rsidRPr="00C416F0">
        <w:t xml:space="preserve">and abatacept </w:t>
      </w:r>
      <w:r w:rsidR="00321F8A" w:rsidRPr="00C416F0">
        <w:t xml:space="preserve">are </w:t>
      </w:r>
      <w:r w:rsidR="00D8048C" w:rsidRPr="00C416F0">
        <w:t xml:space="preserve">higher </w:t>
      </w:r>
      <w:r w:rsidRPr="00C416F0">
        <w:t xml:space="preserve">than what NICE normally considers a cost-effective use of NHS resources. So, </w:t>
      </w:r>
      <w:r w:rsidR="00797D2B" w:rsidRPr="00C416F0">
        <w:t>etanercept</w:t>
      </w:r>
      <w:r w:rsidRPr="00C416F0">
        <w:t xml:space="preserve"> and abatacept </w:t>
      </w:r>
      <w:r w:rsidR="00DB43B4" w:rsidRPr="00C416F0">
        <w:t>are</w:t>
      </w:r>
      <w:r w:rsidRPr="00C416F0">
        <w:t xml:space="preserve"> not recommended </w:t>
      </w:r>
      <w:r w:rsidR="00DB43B4" w:rsidRPr="00C416F0">
        <w:t xml:space="preserve">for </w:t>
      </w:r>
      <w:r w:rsidR="008B30A1">
        <w:t>treating</w:t>
      </w:r>
      <w:r w:rsidR="00DB43B4" w:rsidRPr="00C416F0">
        <w:t xml:space="preserve"> moderate rheumatoid arthritis. </w:t>
      </w:r>
    </w:p>
    <w:p w14:paraId="56D1CFEC" w14:textId="7F0E3D5B" w:rsidR="00B600D6" w:rsidRPr="00C416F0" w:rsidRDefault="00D30FDF" w:rsidP="003C5C5C">
      <w:pPr>
        <w:pStyle w:val="Numberedheading1"/>
        <w:ind w:left="1134"/>
      </w:pPr>
      <w:bookmarkStart w:id="4" w:name="_Hlk66389705"/>
      <w:r>
        <w:lastRenderedPageBreak/>
        <w:t>P</w:t>
      </w:r>
      <w:r w:rsidR="00B600D6" w:rsidRPr="00C416F0">
        <w:t>artial review of NICE technology appraisal 375</w:t>
      </w:r>
      <w:bookmarkEnd w:id="4"/>
    </w:p>
    <w:p w14:paraId="7412208A" w14:textId="08929F72" w:rsidR="00B600D6" w:rsidRPr="00C416F0" w:rsidRDefault="00B600D6" w:rsidP="00B600D6">
      <w:pPr>
        <w:pStyle w:val="Numberedlevel2text"/>
        <w:rPr>
          <w:lang w:val="en-GB"/>
        </w:rPr>
      </w:pPr>
      <w:bookmarkStart w:id="5" w:name="_Hlk66389786"/>
      <w:r w:rsidRPr="00C416F0">
        <w:rPr>
          <w:lang w:val="en-GB"/>
        </w:rPr>
        <w:t xml:space="preserve">This multiple technology appraisal is a partial review of </w:t>
      </w:r>
      <w:hyperlink r:id="rId9" w:history="1">
        <w:r w:rsidRPr="00C416F0">
          <w:rPr>
            <w:rStyle w:val="Hyperlink"/>
            <w:lang w:val="en-GB"/>
          </w:rPr>
          <w:t>NICE technology appraisal 375</w:t>
        </w:r>
      </w:hyperlink>
      <w:r w:rsidR="000F6E21">
        <w:rPr>
          <w:lang w:val="en-GB"/>
        </w:rPr>
        <w:t xml:space="preserve"> w</w:t>
      </w:r>
      <w:r w:rsidRPr="00C416F0">
        <w:rPr>
          <w:lang w:val="en-GB"/>
        </w:rPr>
        <w:t xml:space="preserve">hich </w:t>
      </w:r>
      <w:r w:rsidR="00E7017E" w:rsidRPr="00C416F0">
        <w:rPr>
          <w:lang w:val="en-GB"/>
        </w:rPr>
        <w:t>recommend</w:t>
      </w:r>
      <w:r w:rsidR="00E7017E">
        <w:rPr>
          <w:lang w:val="en-GB"/>
        </w:rPr>
        <w:t>ed</w:t>
      </w:r>
      <w:r w:rsidR="00E7017E" w:rsidRPr="00C416F0">
        <w:rPr>
          <w:lang w:val="en-GB"/>
        </w:rPr>
        <w:t xml:space="preserve"> </w:t>
      </w:r>
      <w:r w:rsidRPr="00C416F0">
        <w:rPr>
          <w:lang w:val="en-GB"/>
        </w:rPr>
        <w:t>adalimumab, etanercept, infliximab, certolizumab pegol, golimumab, tocilizumab and abatacept (all in combination with methotrexate) as treatment options for people with severe rheumatoid arthritis</w:t>
      </w:r>
      <w:r w:rsidR="0062163F">
        <w:rPr>
          <w:lang w:val="en-GB"/>
        </w:rPr>
        <w:t xml:space="preserve"> only</w:t>
      </w:r>
      <w:r w:rsidRPr="00C416F0">
        <w:rPr>
          <w:lang w:val="en-GB"/>
        </w:rPr>
        <w:t xml:space="preserve">, assessed by having a disease activity score (DAS28) </w:t>
      </w:r>
      <w:r w:rsidR="00E7017E">
        <w:rPr>
          <w:lang w:val="en-GB"/>
        </w:rPr>
        <w:t>more</w:t>
      </w:r>
      <w:r w:rsidR="00E7017E" w:rsidRPr="00C416F0">
        <w:rPr>
          <w:lang w:val="en-GB"/>
        </w:rPr>
        <w:t xml:space="preserve"> </w:t>
      </w:r>
      <w:r w:rsidRPr="00C416F0">
        <w:rPr>
          <w:lang w:val="en-GB"/>
        </w:rPr>
        <w:t xml:space="preserve">than 5.1. This partial review </w:t>
      </w:r>
      <w:r w:rsidR="00333731">
        <w:rPr>
          <w:lang w:val="en-GB"/>
        </w:rPr>
        <w:t>consider</w:t>
      </w:r>
      <w:r w:rsidR="00333731" w:rsidRPr="00C416F0">
        <w:rPr>
          <w:lang w:val="en-GB"/>
        </w:rPr>
        <w:t xml:space="preserve">s </w:t>
      </w:r>
      <w:r w:rsidRPr="00C416F0">
        <w:rPr>
          <w:lang w:val="en-GB"/>
        </w:rPr>
        <w:t xml:space="preserve">people with moderate active disease, that is, with a DAS28 score between 3.2 and 5.1. </w:t>
      </w:r>
      <w:r w:rsidR="00333731" w:rsidRPr="00C416F0">
        <w:rPr>
          <w:lang w:val="en-GB"/>
        </w:rPr>
        <w:t>Although</w:t>
      </w:r>
      <w:r w:rsidRPr="00C416F0">
        <w:rPr>
          <w:lang w:val="en-GB"/>
        </w:rPr>
        <w:t xml:space="preserve"> certolizumab pegol, golimumab and tocilizumab </w:t>
      </w:r>
      <w:r w:rsidR="0062163F">
        <w:rPr>
          <w:lang w:val="en-GB"/>
        </w:rPr>
        <w:t>were</w:t>
      </w:r>
      <w:r w:rsidR="0062163F" w:rsidRPr="00C416F0">
        <w:rPr>
          <w:lang w:val="en-GB"/>
        </w:rPr>
        <w:t xml:space="preserve"> </w:t>
      </w:r>
      <w:r w:rsidRPr="00C416F0">
        <w:rPr>
          <w:lang w:val="en-GB"/>
        </w:rPr>
        <w:t xml:space="preserve">included in the original guidance, the manufacturers of these technologies decided not to participate in this </w:t>
      </w:r>
      <w:r w:rsidR="005155CF">
        <w:rPr>
          <w:lang w:val="en-GB"/>
        </w:rPr>
        <w:t>partial review</w:t>
      </w:r>
      <w:r w:rsidRPr="00C416F0">
        <w:rPr>
          <w:lang w:val="en-GB"/>
        </w:rPr>
        <w:t xml:space="preserve">. </w:t>
      </w:r>
      <w:r w:rsidR="000420F4">
        <w:rPr>
          <w:lang w:val="en-GB"/>
        </w:rPr>
        <w:t>So,</w:t>
      </w:r>
      <w:r w:rsidRPr="00C416F0">
        <w:rPr>
          <w:lang w:val="en-GB"/>
        </w:rPr>
        <w:t xml:space="preserve"> the committee could only consider adalimumab, etanercept, infliximab and abatacept when making recommendations for people with moderate active disease. </w:t>
      </w:r>
      <w:bookmarkEnd w:id="5"/>
      <w:r w:rsidR="00FF042C" w:rsidRPr="00C416F0">
        <w:t>A partial review has been done because biosimilar versions of adalimumab and etanercept are now available</w:t>
      </w:r>
      <w:r w:rsidR="00FF042C">
        <w:t>,</w:t>
      </w:r>
      <w:r w:rsidR="00FF042C" w:rsidRPr="00C416F0">
        <w:t xml:space="preserve"> and there have been changes in the prices for some of the other technologies.</w:t>
      </w:r>
    </w:p>
    <w:p w14:paraId="3E98462C" w14:textId="1DDDC722" w:rsidR="000F2D8A" w:rsidRPr="00C416F0" w:rsidRDefault="00E06FDE" w:rsidP="003C5C5C">
      <w:pPr>
        <w:pStyle w:val="Numberedheading1"/>
        <w:ind w:left="1134"/>
      </w:pPr>
      <w:r w:rsidRPr="00C416F0">
        <w:t xml:space="preserve">Information about </w:t>
      </w:r>
      <w:r w:rsidR="00B600D6" w:rsidRPr="00C416F0">
        <w:t>adalimumab, etanercept, infliximab and abatacept</w:t>
      </w:r>
    </w:p>
    <w:p w14:paraId="602D2B48" w14:textId="6C222FEE" w:rsidR="00B600D6" w:rsidRPr="00C416F0" w:rsidRDefault="00B600D6" w:rsidP="00B600D6">
      <w:pPr>
        <w:pStyle w:val="NICEnormal"/>
      </w:pPr>
      <w:r w:rsidRPr="00C416F0">
        <w:t xml:space="preserve">This technology appraisal includes 4 different biological medicines as either the originator medicine </w:t>
      </w:r>
      <w:r w:rsidR="008B30A1">
        <w:t xml:space="preserve">(the medicine first </w:t>
      </w:r>
      <w:r w:rsidR="006D1506">
        <w:t>authorised for use)</w:t>
      </w:r>
      <w:r w:rsidR="008B30A1">
        <w:t xml:space="preserve"> </w:t>
      </w:r>
      <w:r w:rsidRPr="00C416F0">
        <w:t xml:space="preserve">or a biosimilar product (see </w:t>
      </w:r>
      <w:r w:rsidR="008B30A1">
        <w:t>t</w:t>
      </w:r>
      <w:r w:rsidR="008B30A1" w:rsidRPr="00C416F0">
        <w:t xml:space="preserve">able </w:t>
      </w:r>
      <w:r w:rsidRPr="00C416F0">
        <w:t>1). A biosimilar medicine is a medicine that is developed to be similar to an existing biological medicine.</w:t>
      </w:r>
    </w:p>
    <w:p w14:paraId="00C8A72D" w14:textId="77777777" w:rsidR="00B600D6" w:rsidRPr="00C416F0" w:rsidRDefault="00B600D6" w:rsidP="00B600D6">
      <w:pPr>
        <w:pStyle w:val="Caption"/>
      </w:pPr>
      <w:r w:rsidRPr="00C416F0">
        <w:lastRenderedPageBreak/>
        <w:t>Table 1 Information about the technologies</w:t>
      </w:r>
    </w:p>
    <w:tbl>
      <w:tblPr>
        <w:tblStyle w:val="TableGrid"/>
        <w:tblW w:w="10060" w:type="dxa"/>
        <w:tblLook w:val="0420" w:firstRow="1" w:lastRow="0" w:firstColumn="0" w:lastColumn="0" w:noHBand="0" w:noVBand="1"/>
        <w:tblDescription w:val="Information about the technologies assessed, their biosimilars, mechanism of action, and method of administration "/>
      </w:tblPr>
      <w:tblGrid>
        <w:gridCol w:w="1833"/>
        <w:gridCol w:w="1848"/>
        <w:gridCol w:w="2410"/>
        <w:gridCol w:w="2237"/>
        <w:gridCol w:w="1732"/>
      </w:tblGrid>
      <w:tr w:rsidR="006D1506" w:rsidRPr="00C416F0" w14:paraId="048133F6" w14:textId="77777777" w:rsidTr="00F240EC">
        <w:trPr>
          <w:trHeight w:val="663"/>
        </w:trPr>
        <w:tc>
          <w:tcPr>
            <w:tcW w:w="1833" w:type="dxa"/>
            <w:hideMark/>
          </w:tcPr>
          <w:p w14:paraId="2CC21B54" w14:textId="77777777" w:rsidR="006D1506" w:rsidRPr="00C416F0" w:rsidRDefault="006D1506" w:rsidP="006D1506">
            <w:pPr>
              <w:pStyle w:val="Tableheading"/>
            </w:pPr>
            <w:r w:rsidRPr="00C416F0">
              <w:t xml:space="preserve">Technology </w:t>
            </w:r>
          </w:p>
        </w:tc>
        <w:tc>
          <w:tcPr>
            <w:tcW w:w="1848" w:type="dxa"/>
            <w:hideMark/>
          </w:tcPr>
          <w:p w14:paraId="2D9F1EEA" w14:textId="4DC552AC" w:rsidR="006D1506" w:rsidRPr="00C416F0" w:rsidRDefault="006D1506" w:rsidP="006D1506">
            <w:pPr>
              <w:pStyle w:val="Tableheading"/>
            </w:pPr>
            <w:r w:rsidRPr="00C416F0">
              <w:t>Originator</w:t>
            </w:r>
            <w:r w:rsidRPr="00C416F0" w:rsidDel="006D1506">
              <w:t xml:space="preserve"> </w:t>
            </w:r>
          </w:p>
          <w:p w14:paraId="4C71BB3B" w14:textId="77777777" w:rsidR="006D1506" w:rsidRPr="00C416F0" w:rsidRDefault="006D1506" w:rsidP="006D1506">
            <w:pPr>
              <w:pStyle w:val="Tableheading"/>
            </w:pPr>
            <w:r w:rsidRPr="00C416F0">
              <w:t>(company)</w:t>
            </w:r>
          </w:p>
          <w:p w14:paraId="42289BD1" w14:textId="77777777" w:rsidR="006D1506" w:rsidRPr="00C416F0" w:rsidRDefault="006D1506" w:rsidP="006D1506">
            <w:pPr>
              <w:pStyle w:val="Tableheading"/>
            </w:pPr>
          </w:p>
        </w:tc>
        <w:tc>
          <w:tcPr>
            <w:tcW w:w="2410" w:type="dxa"/>
          </w:tcPr>
          <w:p w14:paraId="1F8481FA" w14:textId="35E43295" w:rsidR="006D1506" w:rsidRPr="00C416F0" w:rsidRDefault="006D1506" w:rsidP="006D1506">
            <w:pPr>
              <w:pStyle w:val="Tableheading"/>
            </w:pPr>
            <w:r w:rsidRPr="00C416F0">
              <w:t>Biosimilar</w:t>
            </w:r>
            <w:r>
              <w:t xml:space="preserve"> (company)</w:t>
            </w:r>
          </w:p>
        </w:tc>
        <w:tc>
          <w:tcPr>
            <w:tcW w:w="2237" w:type="dxa"/>
          </w:tcPr>
          <w:p w14:paraId="2AEE66C3" w14:textId="2481B835" w:rsidR="006D1506" w:rsidRPr="00C416F0" w:rsidRDefault="006D1506" w:rsidP="006D1506">
            <w:pPr>
              <w:pStyle w:val="Tableheading"/>
            </w:pPr>
            <w:r w:rsidRPr="00C416F0">
              <w:t>Mechanism of action</w:t>
            </w:r>
          </w:p>
        </w:tc>
        <w:tc>
          <w:tcPr>
            <w:tcW w:w="1732" w:type="dxa"/>
            <w:hideMark/>
          </w:tcPr>
          <w:p w14:paraId="16E90568" w14:textId="77777777" w:rsidR="006D1506" w:rsidRPr="00C416F0" w:rsidRDefault="006D1506" w:rsidP="006D1506">
            <w:pPr>
              <w:pStyle w:val="Tableheading"/>
            </w:pPr>
            <w:r w:rsidRPr="00C416F0">
              <w:t>Method of administration</w:t>
            </w:r>
          </w:p>
        </w:tc>
      </w:tr>
      <w:tr w:rsidR="006D1506" w:rsidRPr="00C416F0" w14:paraId="0262D07E" w14:textId="77777777" w:rsidTr="00F240EC">
        <w:trPr>
          <w:trHeight w:val="1585"/>
        </w:trPr>
        <w:tc>
          <w:tcPr>
            <w:tcW w:w="1833" w:type="dxa"/>
            <w:hideMark/>
          </w:tcPr>
          <w:p w14:paraId="6BB31B4A" w14:textId="77777777" w:rsidR="006D1506" w:rsidRPr="00C416F0" w:rsidRDefault="006D1506" w:rsidP="006D1506">
            <w:pPr>
              <w:pStyle w:val="Tabletext"/>
            </w:pPr>
            <w:r w:rsidRPr="00C416F0">
              <w:t>Adalimumab</w:t>
            </w:r>
          </w:p>
        </w:tc>
        <w:tc>
          <w:tcPr>
            <w:tcW w:w="1848" w:type="dxa"/>
            <w:hideMark/>
          </w:tcPr>
          <w:p w14:paraId="26E16D6A" w14:textId="0C10D30E" w:rsidR="006D1506" w:rsidRPr="00C416F0" w:rsidRDefault="006D1506" w:rsidP="00F240EC">
            <w:pPr>
              <w:pStyle w:val="Tabletext"/>
            </w:pPr>
            <w:r w:rsidRPr="00C416F0">
              <w:t>Humira (AbbVie)</w:t>
            </w:r>
          </w:p>
        </w:tc>
        <w:tc>
          <w:tcPr>
            <w:tcW w:w="2410" w:type="dxa"/>
          </w:tcPr>
          <w:p w14:paraId="72366A71" w14:textId="2ED83FB9" w:rsidR="006D1506" w:rsidRPr="00C416F0" w:rsidRDefault="006D1506" w:rsidP="006D1506">
            <w:pPr>
              <w:pStyle w:val="Tablebullet"/>
            </w:pPr>
            <w:r w:rsidRPr="00C416F0">
              <w:t>Amgevita (Amgen)</w:t>
            </w:r>
          </w:p>
          <w:p w14:paraId="2C9E621E" w14:textId="641904C1" w:rsidR="006D1506" w:rsidRPr="00C416F0" w:rsidRDefault="006D1506" w:rsidP="006D1506">
            <w:pPr>
              <w:pStyle w:val="Tablebullet"/>
            </w:pPr>
            <w:r w:rsidRPr="00C416F0">
              <w:t xml:space="preserve">Imraldi (Biogen) </w:t>
            </w:r>
          </w:p>
          <w:p w14:paraId="5326F67C" w14:textId="0BD42195" w:rsidR="006D1506" w:rsidRPr="00C416F0" w:rsidRDefault="006D1506" w:rsidP="006D1506">
            <w:pPr>
              <w:pStyle w:val="Tablebullet"/>
            </w:pPr>
            <w:r w:rsidRPr="00C416F0">
              <w:t>Idacio (Fresenius Kabi)</w:t>
            </w:r>
          </w:p>
          <w:p w14:paraId="42B67F0B" w14:textId="0AF24881" w:rsidR="006D1506" w:rsidRPr="00C416F0" w:rsidRDefault="006D1506" w:rsidP="00F240EC">
            <w:pPr>
              <w:pStyle w:val="Tablebullet"/>
              <w:rPr>
                <w:rStyle w:val="NICEnormalChar"/>
                <w:szCs w:val="28"/>
              </w:rPr>
            </w:pPr>
            <w:r w:rsidRPr="00C416F0">
              <w:t>Hyrimoz (Sandoz)</w:t>
            </w:r>
          </w:p>
        </w:tc>
        <w:tc>
          <w:tcPr>
            <w:tcW w:w="2237" w:type="dxa"/>
          </w:tcPr>
          <w:p w14:paraId="312F3760" w14:textId="397B1A8E" w:rsidR="006D1506" w:rsidRPr="004333A9" w:rsidRDefault="006D1506" w:rsidP="004333A9">
            <w:pPr>
              <w:pStyle w:val="Tabletext"/>
            </w:pPr>
            <w:r w:rsidRPr="004333A9">
              <w:rPr>
                <w:rStyle w:val="NICEnormalChar"/>
                <w:sz w:val="22"/>
              </w:rPr>
              <w:t>Tumour necrosis factor (TNF)</w:t>
            </w:r>
            <w:r w:rsidRPr="004333A9">
              <w:rPr>
                <w:rStyle w:val="NICEnormalChar"/>
                <w:rFonts w:ascii="Cambria Math" w:hAnsi="Cambria Math" w:cs="Cambria Math"/>
                <w:sz w:val="22"/>
              </w:rPr>
              <w:t>‑</w:t>
            </w:r>
            <w:r w:rsidRPr="004333A9">
              <w:rPr>
                <w:rStyle w:val="NICEnormalChar"/>
                <w:sz w:val="22"/>
              </w:rPr>
              <w:t>alpha inhibitor</w:t>
            </w:r>
          </w:p>
        </w:tc>
        <w:tc>
          <w:tcPr>
            <w:tcW w:w="1732" w:type="dxa"/>
            <w:hideMark/>
          </w:tcPr>
          <w:p w14:paraId="7B6C3CBB" w14:textId="77777777" w:rsidR="006D1506" w:rsidRPr="00C416F0" w:rsidRDefault="006D1506" w:rsidP="006D1506">
            <w:pPr>
              <w:pStyle w:val="Tabletext"/>
            </w:pPr>
            <w:r w:rsidRPr="00C416F0">
              <w:t>Subcutaneous injection</w:t>
            </w:r>
          </w:p>
        </w:tc>
      </w:tr>
      <w:tr w:rsidR="006D1506" w:rsidRPr="00C416F0" w14:paraId="32026168" w14:textId="77777777" w:rsidTr="00F240EC">
        <w:trPr>
          <w:trHeight w:val="947"/>
        </w:trPr>
        <w:tc>
          <w:tcPr>
            <w:tcW w:w="1833" w:type="dxa"/>
            <w:hideMark/>
          </w:tcPr>
          <w:p w14:paraId="23E51D4F" w14:textId="77777777" w:rsidR="006D1506" w:rsidRPr="00C416F0" w:rsidRDefault="006D1506" w:rsidP="006D1506">
            <w:pPr>
              <w:pStyle w:val="Tabletext"/>
            </w:pPr>
            <w:r w:rsidRPr="00C416F0">
              <w:t>Etanercept</w:t>
            </w:r>
          </w:p>
        </w:tc>
        <w:tc>
          <w:tcPr>
            <w:tcW w:w="1848" w:type="dxa"/>
            <w:hideMark/>
          </w:tcPr>
          <w:p w14:paraId="685A38A7" w14:textId="5080CDF7" w:rsidR="006D1506" w:rsidRPr="00C416F0" w:rsidRDefault="006D1506" w:rsidP="00F240EC">
            <w:pPr>
              <w:pStyle w:val="Tabletext"/>
            </w:pPr>
            <w:r w:rsidRPr="00C416F0">
              <w:t>Enbrel (Pfizer)</w:t>
            </w:r>
          </w:p>
        </w:tc>
        <w:tc>
          <w:tcPr>
            <w:tcW w:w="2410" w:type="dxa"/>
          </w:tcPr>
          <w:p w14:paraId="775BDBFE" w14:textId="7AE2FF35" w:rsidR="006D1506" w:rsidRDefault="006D1506" w:rsidP="006D1506">
            <w:pPr>
              <w:pStyle w:val="Tablebullet"/>
            </w:pPr>
            <w:r w:rsidRPr="00C416F0">
              <w:t>Benepali (Biogen)</w:t>
            </w:r>
          </w:p>
          <w:p w14:paraId="76884431" w14:textId="1A138BB3" w:rsidR="006D1506" w:rsidRPr="006D1506" w:rsidRDefault="006D1506" w:rsidP="00F240EC">
            <w:pPr>
              <w:pStyle w:val="Tablebullet"/>
              <w:rPr>
                <w:rStyle w:val="NICEnormalChar"/>
                <w:sz w:val="22"/>
              </w:rPr>
            </w:pPr>
            <w:r w:rsidRPr="00C416F0">
              <w:t>Erelzi (Sandoz)</w:t>
            </w:r>
          </w:p>
        </w:tc>
        <w:tc>
          <w:tcPr>
            <w:tcW w:w="2237" w:type="dxa"/>
          </w:tcPr>
          <w:p w14:paraId="683C4744" w14:textId="6E34B172" w:rsidR="006D1506" w:rsidRPr="004333A9" w:rsidRDefault="006D1506" w:rsidP="004333A9">
            <w:pPr>
              <w:pStyle w:val="Tabletext"/>
            </w:pPr>
            <w:r w:rsidRPr="004333A9">
              <w:rPr>
                <w:rStyle w:val="NICEnormalChar"/>
                <w:sz w:val="22"/>
              </w:rPr>
              <w:t>TNF</w:t>
            </w:r>
            <w:r w:rsidRPr="004333A9">
              <w:rPr>
                <w:rStyle w:val="NICEnormalChar"/>
                <w:rFonts w:ascii="Cambria Math" w:hAnsi="Cambria Math" w:cs="Cambria Math"/>
                <w:sz w:val="22"/>
              </w:rPr>
              <w:t>‑</w:t>
            </w:r>
            <w:r w:rsidRPr="004333A9">
              <w:rPr>
                <w:rStyle w:val="NICEnormalChar"/>
                <w:sz w:val="22"/>
              </w:rPr>
              <w:t>alpha inhibitor</w:t>
            </w:r>
          </w:p>
        </w:tc>
        <w:tc>
          <w:tcPr>
            <w:tcW w:w="1732" w:type="dxa"/>
            <w:hideMark/>
          </w:tcPr>
          <w:p w14:paraId="6B86EB6B" w14:textId="77777777" w:rsidR="006D1506" w:rsidRPr="00C416F0" w:rsidRDefault="006D1506" w:rsidP="006D1506">
            <w:pPr>
              <w:pStyle w:val="Tabletext"/>
            </w:pPr>
            <w:r w:rsidRPr="00C416F0">
              <w:t xml:space="preserve">Subcutaneous injection </w:t>
            </w:r>
          </w:p>
        </w:tc>
      </w:tr>
      <w:tr w:rsidR="006D1506" w:rsidRPr="00C416F0" w14:paraId="71132040" w14:textId="77777777" w:rsidTr="00F240EC">
        <w:trPr>
          <w:trHeight w:val="1231"/>
        </w:trPr>
        <w:tc>
          <w:tcPr>
            <w:tcW w:w="1833" w:type="dxa"/>
            <w:hideMark/>
          </w:tcPr>
          <w:p w14:paraId="205F9E3C" w14:textId="77777777" w:rsidR="006D1506" w:rsidRPr="00C416F0" w:rsidRDefault="006D1506" w:rsidP="006D1506">
            <w:pPr>
              <w:pStyle w:val="Tabletext"/>
            </w:pPr>
            <w:r w:rsidRPr="00C416F0">
              <w:t>Infliximab</w:t>
            </w:r>
          </w:p>
        </w:tc>
        <w:tc>
          <w:tcPr>
            <w:tcW w:w="1848" w:type="dxa"/>
            <w:hideMark/>
          </w:tcPr>
          <w:p w14:paraId="5FA2AEA8" w14:textId="2BFF87DF" w:rsidR="006D1506" w:rsidRPr="00C416F0" w:rsidRDefault="006D1506" w:rsidP="00F240EC">
            <w:pPr>
              <w:pStyle w:val="Tabletext"/>
            </w:pPr>
            <w:r w:rsidRPr="006D1506">
              <w:t>–</w:t>
            </w:r>
          </w:p>
        </w:tc>
        <w:tc>
          <w:tcPr>
            <w:tcW w:w="2410" w:type="dxa"/>
          </w:tcPr>
          <w:p w14:paraId="0BDA278D" w14:textId="318628CF" w:rsidR="006D1506" w:rsidRPr="00C416F0" w:rsidRDefault="006D1506" w:rsidP="006D1506">
            <w:pPr>
              <w:pStyle w:val="Tablebullet"/>
            </w:pPr>
            <w:r w:rsidRPr="00C416F0">
              <w:t>Flixabi (Biogen)</w:t>
            </w:r>
          </w:p>
          <w:p w14:paraId="4B2BF06A" w14:textId="69E54EB9" w:rsidR="006D1506" w:rsidRPr="00C416F0" w:rsidRDefault="006D1506" w:rsidP="006D1506">
            <w:pPr>
              <w:pStyle w:val="Tablebullet"/>
            </w:pPr>
            <w:r w:rsidRPr="00C416F0">
              <w:t>Remsima</w:t>
            </w:r>
            <w:r w:rsidRPr="00C416F0">
              <w:rPr>
                <w:rStyle w:val="Strong"/>
                <w:rFonts w:cs="Arial"/>
                <w:b w:val="0"/>
                <w:bCs w:val="0"/>
                <w:color w:val="111111"/>
                <w:shd w:val="clear" w:color="auto" w:fill="FFFFFF"/>
                <w:vertAlign w:val="superscript"/>
              </w:rPr>
              <w:t xml:space="preserve"> </w:t>
            </w:r>
            <w:r w:rsidRPr="00C416F0">
              <w:t>(Celltrion</w:t>
            </w:r>
            <w:r w:rsidR="00196D2E">
              <w:t xml:space="preserve"> Healthcare</w:t>
            </w:r>
            <w:r w:rsidRPr="00C416F0">
              <w:t>)</w:t>
            </w:r>
          </w:p>
          <w:p w14:paraId="2D025042" w14:textId="77777777" w:rsidR="006D1506" w:rsidRDefault="006D1506" w:rsidP="006D1506">
            <w:pPr>
              <w:pStyle w:val="Tablebullet"/>
            </w:pPr>
            <w:r w:rsidRPr="00C416F0">
              <w:t>Inflectra (Pfizer)</w:t>
            </w:r>
          </w:p>
          <w:p w14:paraId="5DF19143" w14:textId="07358C7A" w:rsidR="006D1506" w:rsidRPr="006D1506" w:rsidRDefault="006D1506" w:rsidP="00F240EC">
            <w:pPr>
              <w:pStyle w:val="Tablebullet"/>
              <w:rPr>
                <w:rStyle w:val="NICEnormalChar"/>
                <w:sz w:val="22"/>
              </w:rPr>
            </w:pPr>
            <w:r w:rsidRPr="00C416F0">
              <w:t>Zessly (Sandoz)</w:t>
            </w:r>
          </w:p>
        </w:tc>
        <w:tc>
          <w:tcPr>
            <w:tcW w:w="2237" w:type="dxa"/>
          </w:tcPr>
          <w:p w14:paraId="7F135A3D" w14:textId="64AD0DA6" w:rsidR="006D1506" w:rsidRPr="004333A9" w:rsidRDefault="006D1506" w:rsidP="004333A9">
            <w:pPr>
              <w:pStyle w:val="Tabletext"/>
            </w:pPr>
            <w:r w:rsidRPr="004333A9">
              <w:rPr>
                <w:rStyle w:val="NICEnormalChar"/>
                <w:sz w:val="22"/>
              </w:rPr>
              <w:t>TNF</w:t>
            </w:r>
            <w:r w:rsidRPr="004333A9">
              <w:rPr>
                <w:rStyle w:val="NICEnormalChar"/>
                <w:rFonts w:ascii="Cambria Math" w:hAnsi="Cambria Math" w:cs="Cambria Math"/>
                <w:sz w:val="22"/>
              </w:rPr>
              <w:t>‑</w:t>
            </w:r>
            <w:r w:rsidRPr="004333A9">
              <w:rPr>
                <w:rStyle w:val="NICEnormalChar"/>
                <w:sz w:val="22"/>
              </w:rPr>
              <w:t>alpha inhibitor</w:t>
            </w:r>
          </w:p>
        </w:tc>
        <w:tc>
          <w:tcPr>
            <w:tcW w:w="1732" w:type="dxa"/>
            <w:hideMark/>
          </w:tcPr>
          <w:p w14:paraId="2479D5FD" w14:textId="050C3BB3" w:rsidR="006D1506" w:rsidRPr="00C416F0" w:rsidRDefault="006D1506" w:rsidP="006D1506">
            <w:pPr>
              <w:pStyle w:val="Tabletext"/>
            </w:pPr>
            <w:r w:rsidRPr="00C416F0">
              <w:t>Intravenous injection</w:t>
            </w:r>
          </w:p>
        </w:tc>
      </w:tr>
      <w:tr w:rsidR="006D1506" w:rsidRPr="00C416F0" w14:paraId="6432ECC6" w14:textId="77777777" w:rsidTr="00F240EC">
        <w:trPr>
          <w:trHeight w:val="691"/>
        </w:trPr>
        <w:tc>
          <w:tcPr>
            <w:tcW w:w="1833" w:type="dxa"/>
          </w:tcPr>
          <w:p w14:paraId="05C9332F" w14:textId="77777777" w:rsidR="006D1506" w:rsidRPr="00C416F0" w:rsidRDefault="006D1506" w:rsidP="006D1506">
            <w:pPr>
              <w:pStyle w:val="Tabletext"/>
            </w:pPr>
            <w:r w:rsidRPr="00C416F0">
              <w:t>Abatacept</w:t>
            </w:r>
          </w:p>
        </w:tc>
        <w:tc>
          <w:tcPr>
            <w:tcW w:w="1848" w:type="dxa"/>
          </w:tcPr>
          <w:p w14:paraId="12BD5656" w14:textId="77777777" w:rsidR="006D1506" w:rsidRPr="00C416F0" w:rsidRDefault="006D1506" w:rsidP="00F240EC">
            <w:pPr>
              <w:pStyle w:val="Tabletext"/>
            </w:pPr>
            <w:r w:rsidRPr="00C416F0">
              <w:t>Orencia (Bristol-Myers Squibb)</w:t>
            </w:r>
          </w:p>
        </w:tc>
        <w:tc>
          <w:tcPr>
            <w:tcW w:w="2410" w:type="dxa"/>
          </w:tcPr>
          <w:p w14:paraId="26978DF9" w14:textId="120DAC5E" w:rsidR="006D1506" w:rsidRPr="00C416F0" w:rsidRDefault="006D1506" w:rsidP="006D1506">
            <w:pPr>
              <w:pStyle w:val="Tabletext"/>
            </w:pPr>
            <w:r w:rsidRPr="006D1506">
              <w:t>–</w:t>
            </w:r>
          </w:p>
        </w:tc>
        <w:tc>
          <w:tcPr>
            <w:tcW w:w="2237" w:type="dxa"/>
          </w:tcPr>
          <w:p w14:paraId="04A5E6EE" w14:textId="175EB021" w:rsidR="006D1506" w:rsidRPr="00C416F0" w:rsidRDefault="006D1506" w:rsidP="006D1506">
            <w:pPr>
              <w:pStyle w:val="Tabletext"/>
            </w:pPr>
            <w:r w:rsidRPr="00C416F0">
              <w:t>Selective modulator of the T</w:t>
            </w:r>
            <w:r w:rsidRPr="00C416F0">
              <w:rPr>
                <w:rFonts w:ascii="Cambria Math" w:hAnsi="Cambria Math" w:cs="Cambria Math"/>
              </w:rPr>
              <w:t>‑</w:t>
            </w:r>
            <w:r w:rsidRPr="00C416F0">
              <w:t>lymphocyte activation pathway. Inhibits activation of T lymphocytes</w:t>
            </w:r>
          </w:p>
        </w:tc>
        <w:tc>
          <w:tcPr>
            <w:tcW w:w="1732" w:type="dxa"/>
          </w:tcPr>
          <w:p w14:paraId="6B98E916" w14:textId="77777777" w:rsidR="006D1506" w:rsidRPr="00C416F0" w:rsidRDefault="006D1506" w:rsidP="006D1506">
            <w:pPr>
              <w:pStyle w:val="Tabletext"/>
            </w:pPr>
            <w:r w:rsidRPr="00C416F0">
              <w:t>Subcutaneous or intravenous injection</w:t>
            </w:r>
          </w:p>
        </w:tc>
      </w:tr>
    </w:tbl>
    <w:p w14:paraId="10548093" w14:textId="56EB84D9" w:rsidR="00D119CD" w:rsidRPr="00C416F0" w:rsidRDefault="00E4011B" w:rsidP="00F240EC">
      <w:pPr>
        <w:pStyle w:val="NICEnormalsinglespacing"/>
      </w:pPr>
      <w:r w:rsidRPr="00C416F0">
        <w:t xml:space="preserve">The subcutaneous formulation of Remsima was not considered in this partial review because it was not included in the final scope for </w:t>
      </w:r>
      <w:hyperlink r:id="rId10" w:history="1">
        <w:r w:rsidRPr="00C416F0">
          <w:rPr>
            <w:rStyle w:val="Hyperlink"/>
          </w:rPr>
          <w:t>NICE technology appraisal 375</w:t>
        </w:r>
      </w:hyperlink>
      <w:r w:rsidRPr="00C416F0">
        <w:t xml:space="preserve">. The originator product for infliximab (Remicade) was also not considered because the manufacturer of this technology </w:t>
      </w:r>
      <w:r>
        <w:t>did not participate</w:t>
      </w:r>
      <w:r w:rsidRPr="00C416F0">
        <w:t xml:space="preserve"> in this appraisal.</w:t>
      </w:r>
    </w:p>
    <w:p w14:paraId="2119F9FE" w14:textId="1DE5B4C4" w:rsidR="00B600D6" w:rsidRPr="00C416F0" w:rsidRDefault="00B600D6" w:rsidP="00AD00FE">
      <w:pPr>
        <w:pStyle w:val="Heading2"/>
      </w:pPr>
      <w:r w:rsidRPr="00D41604">
        <w:t>Adalimumab</w:t>
      </w:r>
      <w:r w:rsidRPr="00C416F0">
        <w:t xml:space="preserve"> </w:t>
      </w:r>
    </w:p>
    <w:p w14:paraId="7C985BAA" w14:textId="6BF98B33" w:rsidR="00B600D6" w:rsidRPr="00C416F0" w:rsidRDefault="00B600D6" w:rsidP="00AD00FE">
      <w:pPr>
        <w:pStyle w:val="Numberedlevel2text"/>
        <w:rPr>
          <w:rStyle w:val="NICEnormalChar"/>
          <w:rFonts w:cs="Arial"/>
          <w:b/>
          <w:iCs w:val="0"/>
          <w:szCs w:val="28"/>
        </w:rPr>
      </w:pPr>
      <w:r w:rsidRPr="00C416F0">
        <w:rPr>
          <w:rStyle w:val="NICEnormalChar"/>
          <w:szCs w:val="28"/>
        </w:rPr>
        <w:t>Adalimumab</w:t>
      </w:r>
      <w:r w:rsidR="005C52DC">
        <w:rPr>
          <w:rStyle w:val="NICEnormalChar"/>
          <w:szCs w:val="28"/>
        </w:rPr>
        <w:t xml:space="preserve"> </w:t>
      </w:r>
      <w:r w:rsidR="005C52DC" w:rsidRPr="00C416F0">
        <w:rPr>
          <w:rStyle w:val="NICEnormalChar"/>
          <w:szCs w:val="28"/>
        </w:rPr>
        <w:t>(Humira, AbbVie</w:t>
      </w:r>
      <w:r w:rsidR="005C52DC">
        <w:rPr>
          <w:rStyle w:val="NICEnormalChar"/>
          <w:szCs w:val="28"/>
        </w:rPr>
        <w:t>;</w:t>
      </w:r>
      <w:r w:rsidR="005C52DC" w:rsidRPr="00C416F0">
        <w:rPr>
          <w:rStyle w:val="NICEnormalChar"/>
          <w:szCs w:val="28"/>
        </w:rPr>
        <w:t xml:space="preserve"> Amgevita, Amgen; Imraldi, Biogen</w:t>
      </w:r>
      <w:r w:rsidR="005C52DC">
        <w:rPr>
          <w:rStyle w:val="NICEnormalChar"/>
          <w:szCs w:val="28"/>
        </w:rPr>
        <w:t xml:space="preserve">; </w:t>
      </w:r>
      <w:r w:rsidR="005C52DC" w:rsidRPr="00C416F0">
        <w:rPr>
          <w:rStyle w:val="NICEnormalChar"/>
          <w:szCs w:val="28"/>
        </w:rPr>
        <w:t>Idacio, Fresenius Kabi</w:t>
      </w:r>
      <w:r w:rsidR="005C52DC">
        <w:rPr>
          <w:rStyle w:val="NICEnormalChar"/>
          <w:szCs w:val="28"/>
        </w:rPr>
        <w:t xml:space="preserve">; </w:t>
      </w:r>
      <w:r w:rsidR="005C52DC" w:rsidRPr="00C416F0">
        <w:rPr>
          <w:rStyle w:val="NICEnormalChar"/>
          <w:szCs w:val="28"/>
        </w:rPr>
        <w:t>Hyrimoz, Sandoz)</w:t>
      </w:r>
      <w:r w:rsidRPr="00C416F0">
        <w:rPr>
          <w:rStyle w:val="NICEnormalChar"/>
          <w:szCs w:val="28"/>
        </w:rPr>
        <w:t xml:space="preserve">, in combination with methotrexate, is indicated </w:t>
      </w:r>
      <w:r w:rsidR="002B5C80" w:rsidRPr="00C416F0">
        <w:rPr>
          <w:rStyle w:val="NICEnormalChar"/>
          <w:szCs w:val="28"/>
        </w:rPr>
        <w:t>‘</w:t>
      </w:r>
      <w:r w:rsidR="0039081C" w:rsidRPr="00C416F0">
        <w:rPr>
          <w:rStyle w:val="NICEnormalChar"/>
          <w:szCs w:val="28"/>
        </w:rPr>
        <w:t xml:space="preserve">for the treatment of moderate to severe, active rheumatoid arthritis in adult patients when the response to disease-modifying anti-rheumatic drugs including methotrexate has been inadequate’. </w:t>
      </w:r>
      <w:r w:rsidRPr="00C416F0">
        <w:rPr>
          <w:rStyle w:val="NICEnormalChar"/>
          <w:szCs w:val="28"/>
        </w:rPr>
        <w:t xml:space="preserve">Adalimumab can be given as monotherapy in case of </w:t>
      </w:r>
      <w:r w:rsidRPr="0039585D">
        <w:rPr>
          <w:rStyle w:val="NICEnormalChar"/>
          <w:szCs w:val="28"/>
          <w:lang w:val="x-none"/>
        </w:rPr>
        <w:t>intolerance</w:t>
      </w:r>
      <w:r w:rsidRPr="00C416F0">
        <w:rPr>
          <w:rStyle w:val="NICEnormalChar"/>
          <w:szCs w:val="28"/>
        </w:rPr>
        <w:t xml:space="preserve"> to methotrexate or when continued treatment with methotrexate is inappropriate.</w:t>
      </w:r>
    </w:p>
    <w:p w14:paraId="7C017327" w14:textId="6B222D94" w:rsidR="00B600D6" w:rsidRPr="00C416F0" w:rsidRDefault="00B600D6" w:rsidP="00765C6E">
      <w:pPr>
        <w:pStyle w:val="Numberedlevel2text"/>
        <w:rPr>
          <w:rStyle w:val="NICEnormalChar"/>
          <w:szCs w:val="28"/>
        </w:rPr>
      </w:pPr>
      <w:bookmarkStart w:id="6" w:name="_Hlk66949386"/>
      <w:r w:rsidRPr="00C416F0">
        <w:rPr>
          <w:rStyle w:val="NICEnormalChar"/>
          <w:szCs w:val="28"/>
        </w:rPr>
        <w:t xml:space="preserve">The dosage </w:t>
      </w:r>
      <w:r w:rsidRPr="00765C6E">
        <w:rPr>
          <w:rStyle w:val="NICEnormalChar"/>
          <w:szCs w:val="28"/>
          <w:lang w:val="x-none"/>
        </w:rPr>
        <w:t>schedule</w:t>
      </w:r>
      <w:r w:rsidRPr="00C416F0">
        <w:rPr>
          <w:rStyle w:val="NICEnormalChar"/>
          <w:szCs w:val="28"/>
        </w:rPr>
        <w:t xml:space="preserve"> is available in the </w:t>
      </w:r>
      <w:hyperlink r:id="rId11" w:anchor="gref" w:history="1">
        <w:r w:rsidRPr="006D582C">
          <w:rPr>
            <w:rStyle w:val="Hyperlink"/>
            <w:lang w:val="en-GB"/>
          </w:rPr>
          <w:t>summary of product characteristics</w:t>
        </w:r>
      </w:hyperlink>
      <w:r w:rsidRPr="00C416F0">
        <w:rPr>
          <w:rStyle w:val="NICEnormalChar"/>
          <w:szCs w:val="28"/>
        </w:rPr>
        <w:t xml:space="preserve">. </w:t>
      </w:r>
    </w:p>
    <w:bookmarkEnd w:id="6"/>
    <w:p w14:paraId="5EAB9CAC" w14:textId="467A1C06" w:rsidR="00B600D6" w:rsidRPr="00C416F0" w:rsidRDefault="00B600D6" w:rsidP="00AC7428">
      <w:pPr>
        <w:pStyle w:val="Numberedlevel2text"/>
        <w:numPr>
          <w:ilvl w:val="1"/>
          <w:numId w:val="9"/>
        </w:numPr>
        <w:rPr>
          <w:rStyle w:val="NICEnormalChar"/>
          <w:szCs w:val="28"/>
        </w:rPr>
      </w:pPr>
      <w:r w:rsidRPr="00C416F0">
        <w:rPr>
          <w:rStyle w:val="NICEnormalChar"/>
          <w:szCs w:val="28"/>
        </w:rPr>
        <w:lastRenderedPageBreak/>
        <w:t>The list price of originator adalimumab (Humira, AbbVie) is £352.14 per 40</w:t>
      </w:r>
      <w:r w:rsidR="001E7ED6">
        <w:rPr>
          <w:rStyle w:val="NICEnormalChar"/>
          <w:szCs w:val="28"/>
        </w:rPr>
        <w:t> </w:t>
      </w:r>
      <w:r w:rsidRPr="00C416F0">
        <w:rPr>
          <w:rStyle w:val="NICEnormalChar"/>
          <w:szCs w:val="28"/>
        </w:rPr>
        <w:t xml:space="preserve">mg pre-filled pen or pre-filled syringe (excluding VAT; BNF online, accessed March 2021). The list price of adalimumab biosimilars per </w:t>
      </w:r>
      <w:r w:rsidRPr="00765C6E">
        <w:t>40</w:t>
      </w:r>
      <w:r w:rsidR="00E61A0B">
        <w:rPr>
          <w:lang w:val="en-GB"/>
        </w:rPr>
        <w:t> </w:t>
      </w:r>
      <w:r w:rsidRPr="00765C6E">
        <w:t>mg</w:t>
      </w:r>
      <w:r w:rsidRPr="00C416F0">
        <w:rPr>
          <w:rStyle w:val="NICEnormalChar"/>
          <w:szCs w:val="28"/>
        </w:rPr>
        <w:t xml:space="preserve"> pre-filled pen or </w:t>
      </w:r>
      <w:r w:rsidR="000420F4">
        <w:rPr>
          <w:rStyle w:val="NICEnormalChar"/>
          <w:szCs w:val="28"/>
        </w:rPr>
        <w:t xml:space="preserve">pre-filled </w:t>
      </w:r>
      <w:r w:rsidRPr="00C416F0">
        <w:rPr>
          <w:rStyle w:val="NICEnormalChar"/>
          <w:szCs w:val="28"/>
        </w:rPr>
        <w:t>syringe are £316.80 (Amge</w:t>
      </w:r>
      <w:r w:rsidR="00763AEA" w:rsidRPr="00C416F0">
        <w:rPr>
          <w:rStyle w:val="NICEnormalChar"/>
          <w:szCs w:val="28"/>
        </w:rPr>
        <w:t>vit</w:t>
      </w:r>
      <w:r w:rsidRPr="00C416F0">
        <w:rPr>
          <w:rStyle w:val="NICEnormalChar"/>
          <w:szCs w:val="28"/>
        </w:rPr>
        <w:t>a, Amgen); £316.93 (Imraldi, Biogen); £316.93 (Idacio, Fresenius Kabi); £323.09 (Hyrimoz, Sandoz</w:t>
      </w:r>
      <w:r w:rsidR="00A44753">
        <w:rPr>
          <w:rStyle w:val="NICEnormalChar"/>
          <w:szCs w:val="28"/>
        </w:rPr>
        <w:t xml:space="preserve">; all </w:t>
      </w:r>
      <w:r w:rsidR="00CB0611" w:rsidRPr="00C416F0">
        <w:rPr>
          <w:rStyle w:val="NICEnormalChar"/>
          <w:szCs w:val="28"/>
        </w:rPr>
        <w:t xml:space="preserve">prices </w:t>
      </w:r>
      <w:r w:rsidRPr="00C416F0">
        <w:rPr>
          <w:rStyle w:val="NICEnormalChar"/>
          <w:szCs w:val="28"/>
        </w:rPr>
        <w:t>exclud</w:t>
      </w:r>
      <w:r w:rsidR="00CB0611" w:rsidRPr="00C416F0">
        <w:rPr>
          <w:rStyle w:val="NICEnormalChar"/>
          <w:szCs w:val="28"/>
        </w:rPr>
        <w:t>e</w:t>
      </w:r>
      <w:r w:rsidRPr="00C416F0">
        <w:rPr>
          <w:rStyle w:val="NICEnormalChar"/>
          <w:szCs w:val="28"/>
        </w:rPr>
        <w:t xml:space="preserve"> VAT; BNF online, accessed March 2021). </w:t>
      </w:r>
    </w:p>
    <w:p w14:paraId="78A655E9" w14:textId="7AA9A05D" w:rsidR="00B600D6" w:rsidRPr="00C416F0" w:rsidRDefault="00B600D6" w:rsidP="00AC7428">
      <w:pPr>
        <w:pStyle w:val="Numberedlevel2text"/>
        <w:numPr>
          <w:ilvl w:val="1"/>
          <w:numId w:val="9"/>
        </w:numPr>
        <w:rPr>
          <w:rStyle w:val="NICEnormalChar"/>
          <w:szCs w:val="28"/>
        </w:rPr>
      </w:pPr>
      <w:bookmarkStart w:id="7" w:name="_Hlk66270319"/>
      <w:r w:rsidRPr="00C416F0">
        <w:rPr>
          <w:lang w:val="en-GB"/>
        </w:rPr>
        <w:t xml:space="preserve">The companies have each agreed a regional or nationally available price reduction for adalimumab with the Commercial Medicines Unit. The prices agreed through the framework are commercial in confidence. </w:t>
      </w:r>
    </w:p>
    <w:bookmarkEnd w:id="7"/>
    <w:p w14:paraId="203ACD46" w14:textId="77777777" w:rsidR="00B600D6" w:rsidRPr="00C416F0" w:rsidRDefault="00B600D6" w:rsidP="00765C6E">
      <w:pPr>
        <w:pStyle w:val="Heading2"/>
        <w:rPr>
          <w:rStyle w:val="NICEnormalChar"/>
          <w:rFonts w:cs="Times New Roman"/>
          <w:b w:val="0"/>
          <w:iCs/>
          <w:sz w:val="28"/>
          <w:szCs w:val="28"/>
        </w:rPr>
      </w:pPr>
      <w:r w:rsidRPr="00C416F0">
        <w:t>Etanercept</w:t>
      </w:r>
    </w:p>
    <w:p w14:paraId="0AE1B333" w14:textId="6A32CCFA" w:rsidR="00B600D6" w:rsidRPr="00C416F0" w:rsidRDefault="00B600D6" w:rsidP="00765C6E">
      <w:pPr>
        <w:pStyle w:val="Numberedlevel2text"/>
        <w:rPr>
          <w:rStyle w:val="NICEnormalChar"/>
          <w:rFonts w:cs="Arial"/>
          <w:b/>
          <w:iCs w:val="0"/>
          <w:szCs w:val="28"/>
        </w:rPr>
      </w:pPr>
      <w:r w:rsidRPr="00C416F0">
        <w:rPr>
          <w:rStyle w:val="NICEnormalChar"/>
          <w:szCs w:val="28"/>
        </w:rPr>
        <w:t xml:space="preserve">Etanercept (Enbrel, Pfizer; Benepali, Biogen; Erelzi, Sandoz) in combination with methotrexate, is indicated </w:t>
      </w:r>
      <w:r w:rsidR="002B5C80" w:rsidRPr="00C416F0">
        <w:rPr>
          <w:rStyle w:val="NICEnormalChar"/>
          <w:szCs w:val="28"/>
        </w:rPr>
        <w:t>‘</w:t>
      </w:r>
      <w:r w:rsidR="004B5796" w:rsidRPr="00C416F0">
        <w:rPr>
          <w:rStyle w:val="NICEnormalChar"/>
          <w:szCs w:val="28"/>
        </w:rPr>
        <w:t xml:space="preserve">for the treatment of moderate to severe active rheumatoid arthritis in adults when the response to disease-modifying </w:t>
      </w:r>
      <w:r w:rsidR="004B5796" w:rsidRPr="00765C6E">
        <w:rPr>
          <w:rStyle w:val="NICEnormalChar"/>
          <w:szCs w:val="28"/>
          <w:lang w:val="x-none"/>
        </w:rPr>
        <w:t>antirheumatic</w:t>
      </w:r>
      <w:r w:rsidR="004B5796" w:rsidRPr="00C416F0">
        <w:rPr>
          <w:rStyle w:val="NICEnormalChar"/>
          <w:szCs w:val="28"/>
        </w:rPr>
        <w:t xml:space="preserve"> drugs, including methotrexate (unless contraindicated), has been inadequate’.</w:t>
      </w:r>
      <w:r w:rsidRPr="00C416F0">
        <w:rPr>
          <w:rStyle w:val="NICEnormalChar"/>
          <w:szCs w:val="28"/>
        </w:rPr>
        <w:t xml:space="preserve"> Etanercept can be given as monotherapy in case of intolerance to methotrexate or when continued treatment with methotrexate is inappropriate.</w:t>
      </w:r>
    </w:p>
    <w:p w14:paraId="0FA46AEC" w14:textId="789389C3" w:rsidR="00B600D6" w:rsidRPr="00C416F0" w:rsidRDefault="00B600D6" w:rsidP="00765C6E">
      <w:pPr>
        <w:pStyle w:val="Numberedlevel2text"/>
        <w:rPr>
          <w:rStyle w:val="NICEnormalChar"/>
          <w:szCs w:val="28"/>
        </w:rPr>
      </w:pPr>
      <w:r w:rsidRPr="00C416F0">
        <w:rPr>
          <w:rStyle w:val="NICEnormalChar"/>
          <w:szCs w:val="28"/>
        </w:rPr>
        <w:t xml:space="preserve">The dosage schedule is </w:t>
      </w:r>
      <w:r w:rsidRPr="00765C6E">
        <w:rPr>
          <w:rStyle w:val="NICEnormalChar"/>
          <w:szCs w:val="28"/>
          <w:lang w:val="x-none"/>
        </w:rPr>
        <w:t>available</w:t>
      </w:r>
      <w:r w:rsidRPr="00C416F0">
        <w:rPr>
          <w:rStyle w:val="NICEnormalChar"/>
          <w:szCs w:val="28"/>
        </w:rPr>
        <w:t xml:space="preserve"> in the </w:t>
      </w:r>
      <w:hyperlink r:id="rId12" w:anchor="gref" w:history="1">
        <w:r w:rsidRPr="00C80634">
          <w:rPr>
            <w:rStyle w:val="Hyperlink"/>
            <w:lang w:val="en-GB"/>
          </w:rPr>
          <w:t>summary of product characteristics</w:t>
        </w:r>
      </w:hyperlink>
      <w:r w:rsidRPr="00C416F0">
        <w:rPr>
          <w:rStyle w:val="NICEnormalChar"/>
          <w:szCs w:val="28"/>
        </w:rPr>
        <w:t xml:space="preserve">. </w:t>
      </w:r>
    </w:p>
    <w:p w14:paraId="31A68679" w14:textId="6A94BBD6" w:rsidR="00B600D6" w:rsidRPr="00C416F0" w:rsidRDefault="00B600D6" w:rsidP="00AC7428">
      <w:pPr>
        <w:pStyle w:val="Numberedlevel2text"/>
        <w:numPr>
          <w:ilvl w:val="1"/>
          <w:numId w:val="9"/>
        </w:numPr>
        <w:rPr>
          <w:rStyle w:val="NICEnormalChar"/>
          <w:szCs w:val="28"/>
        </w:rPr>
      </w:pPr>
      <w:r w:rsidRPr="00C416F0">
        <w:rPr>
          <w:rStyle w:val="NICEnormalChar"/>
          <w:szCs w:val="28"/>
        </w:rPr>
        <w:t>The list price of originator etanercept (Enbrel, Pfizer) is £89.38 per 25</w:t>
      </w:r>
      <w:r w:rsidR="00E61A0B">
        <w:rPr>
          <w:rStyle w:val="NICEnormalChar"/>
          <w:szCs w:val="28"/>
        </w:rPr>
        <w:t> </w:t>
      </w:r>
      <w:r w:rsidRPr="00C416F0">
        <w:rPr>
          <w:rStyle w:val="NICEnormalChar"/>
          <w:szCs w:val="28"/>
        </w:rPr>
        <w:t>mg pre-filled pen or pre-filled syringe (excluding VAT; BNF online, accessed March 2021). The list price of etanercept biosimilars per 25</w:t>
      </w:r>
      <w:r w:rsidR="00E61A0B">
        <w:rPr>
          <w:rStyle w:val="NICEnormalChar"/>
          <w:szCs w:val="28"/>
        </w:rPr>
        <w:t> </w:t>
      </w:r>
      <w:r w:rsidRPr="00C416F0">
        <w:rPr>
          <w:rStyle w:val="NICEnormalChar"/>
          <w:szCs w:val="28"/>
        </w:rPr>
        <w:t xml:space="preserve">mg pre-filled pen or </w:t>
      </w:r>
      <w:r w:rsidR="000420F4">
        <w:rPr>
          <w:rStyle w:val="NICEnormalChar"/>
          <w:szCs w:val="28"/>
        </w:rPr>
        <w:t xml:space="preserve">pre-filled </w:t>
      </w:r>
      <w:r w:rsidRPr="00C416F0">
        <w:rPr>
          <w:rStyle w:val="NICEnormalChar"/>
          <w:szCs w:val="28"/>
        </w:rPr>
        <w:t>syringe are £82.00 (Benepali, Biogen); £80.44 (Erelzi, Sandoz</w:t>
      </w:r>
      <w:r w:rsidR="00B52486">
        <w:rPr>
          <w:rStyle w:val="NICEnormalChar"/>
          <w:szCs w:val="28"/>
        </w:rPr>
        <w:t xml:space="preserve">; all </w:t>
      </w:r>
      <w:r w:rsidR="00710DDA" w:rsidRPr="00C416F0">
        <w:rPr>
          <w:rStyle w:val="NICEnormalChar"/>
          <w:szCs w:val="28"/>
        </w:rPr>
        <w:t xml:space="preserve">prices </w:t>
      </w:r>
      <w:r w:rsidRPr="00C416F0">
        <w:rPr>
          <w:rStyle w:val="NICEnormalChar"/>
          <w:szCs w:val="28"/>
        </w:rPr>
        <w:t>exclud</w:t>
      </w:r>
      <w:r w:rsidR="00710DDA" w:rsidRPr="00C416F0">
        <w:rPr>
          <w:rStyle w:val="NICEnormalChar"/>
          <w:szCs w:val="28"/>
        </w:rPr>
        <w:t>e</w:t>
      </w:r>
      <w:r w:rsidRPr="00C416F0">
        <w:rPr>
          <w:rStyle w:val="NICEnormalChar"/>
          <w:szCs w:val="28"/>
        </w:rPr>
        <w:t xml:space="preserve"> VAT; BNF online, accessed March 2021). </w:t>
      </w:r>
    </w:p>
    <w:p w14:paraId="7A40F605" w14:textId="0C96077C" w:rsidR="00763AEA" w:rsidRPr="00C416F0" w:rsidRDefault="00763AEA" w:rsidP="00763AEA">
      <w:pPr>
        <w:pStyle w:val="Numberedlevel2text"/>
        <w:numPr>
          <w:ilvl w:val="1"/>
          <w:numId w:val="9"/>
        </w:numPr>
        <w:rPr>
          <w:rStyle w:val="NICEnormalChar"/>
          <w:szCs w:val="28"/>
        </w:rPr>
      </w:pPr>
      <w:r w:rsidRPr="00C416F0">
        <w:rPr>
          <w:lang w:val="en-GB"/>
        </w:rPr>
        <w:t xml:space="preserve">The companies have each agreed a nationally available price reduction for etanercept with the Commercial Medicines Unit. The prices agreed through the framework are commercial in confidence. </w:t>
      </w:r>
    </w:p>
    <w:p w14:paraId="74D4AEDB" w14:textId="77777777" w:rsidR="00B600D6" w:rsidRPr="00C416F0" w:rsidRDefault="00B600D6" w:rsidP="00765C6E">
      <w:pPr>
        <w:pStyle w:val="Heading2"/>
        <w:rPr>
          <w:rStyle w:val="NICEnormalChar"/>
          <w:rFonts w:cs="Times New Roman"/>
          <w:b w:val="0"/>
          <w:iCs/>
          <w:sz w:val="28"/>
          <w:szCs w:val="28"/>
        </w:rPr>
      </w:pPr>
      <w:r w:rsidRPr="00D41604">
        <w:lastRenderedPageBreak/>
        <w:t>Infliximab</w:t>
      </w:r>
    </w:p>
    <w:p w14:paraId="6A40F69E" w14:textId="2FD24D7B" w:rsidR="0017344F" w:rsidRPr="00B52486" w:rsidRDefault="00B600D6" w:rsidP="00765C6E">
      <w:pPr>
        <w:pStyle w:val="Numberedlevel2text"/>
        <w:rPr>
          <w:rStyle w:val="NICEnormalChar"/>
          <w:bCs w:val="0"/>
          <w:iCs w:val="0"/>
          <w:szCs w:val="28"/>
        </w:rPr>
      </w:pPr>
      <w:r w:rsidRPr="00C416F0">
        <w:rPr>
          <w:rStyle w:val="NICEnormalChar"/>
          <w:szCs w:val="28"/>
        </w:rPr>
        <w:t>Infliximab (Flixabi, Biogen; Remsima, Celltrion</w:t>
      </w:r>
      <w:r w:rsidR="00196D2E">
        <w:rPr>
          <w:rStyle w:val="NICEnormalChar"/>
          <w:szCs w:val="28"/>
        </w:rPr>
        <w:t xml:space="preserve"> Healthcare</w:t>
      </w:r>
      <w:r w:rsidRPr="00C416F0">
        <w:rPr>
          <w:rStyle w:val="NICEnormalChar"/>
          <w:szCs w:val="28"/>
        </w:rPr>
        <w:t>; Inflectra, Pfizer; Zessly, Sandoz), in combination with methotrexate, is indicated</w:t>
      </w:r>
      <w:r w:rsidR="0017344F" w:rsidRPr="00C416F0">
        <w:rPr>
          <w:rStyle w:val="NICEnormalChar"/>
          <w:szCs w:val="28"/>
        </w:rPr>
        <w:t xml:space="preserve"> ‘for the reduction of signs and symptoms as well as the improvement in physical function in:</w:t>
      </w:r>
      <w:r w:rsidR="00B52486">
        <w:rPr>
          <w:rStyle w:val="NICEnormalChar"/>
          <w:bCs w:val="0"/>
          <w:iCs w:val="0"/>
          <w:szCs w:val="28"/>
        </w:rPr>
        <w:t xml:space="preserve"> </w:t>
      </w:r>
      <w:r w:rsidR="0017344F" w:rsidRPr="00B52486">
        <w:rPr>
          <w:rStyle w:val="NICEnormalChar"/>
          <w:szCs w:val="28"/>
        </w:rPr>
        <w:t>adult patients with active disease when the response to disease-modifying antirheumatic drugs (DMARDs), including methotrexate, has been inadequate</w:t>
      </w:r>
      <w:r w:rsidR="00C80634" w:rsidRPr="00B52486">
        <w:rPr>
          <w:rStyle w:val="NICEnormalChar"/>
          <w:szCs w:val="28"/>
        </w:rPr>
        <w:t>’</w:t>
      </w:r>
      <w:r w:rsidR="0017344F" w:rsidRPr="00B52486">
        <w:rPr>
          <w:rStyle w:val="NICEnormalChar"/>
          <w:szCs w:val="28"/>
        </w:rPr>
        <w:t>.</w:t>
      </w:r>
    </w:p>
    <w:p w14:paraId="597E3334" w14:textId="0DAAEB3A" w:rsidR="00B600D6" w:rsidRPr="00C416F0" w:rsidRDefault="00B600D6" w:rsidP="00AC7428">
      <w:pPr>
        <w:pStyle w:val="Numberedlevel2text"/>
        <w:numPr>
          <w:ilvl w:val="1"/>
          <w:numId w:val="9"/>
        </w:numPr>
        <w:rPr>
          <w:rStyle w:val="NICEnormalChar"/>
          <w:szCs w:val="28"/>
        </w:rPr>
      </w:pPr>
      <w:r w:rsidRPr="00C416F0">
        <w:rPr>
          <w:rStyle w:val="NICEnormalChar"/>
          <w:szCs w:val="28"/>
        </w:rPr>
        <w:t xml:space="preserve">The dosage schedule is available in </w:t>
      </w:r>
      <w:hyperlink r:id="rId13" w:history="1">
        <w:r w:rsidRPr="00C80634">
          <w:rPr>
            <w:rStyle w:val="Hyperlink"/>
            <w:lang w:val="en-GB"/>
          </w:rPr>
          <w:t>the summary of product characteristics</w:t>
        </w:r>
      </w:hyperlink>
      <w:r w:rsidRPr="00C416F0">
        <w:rPr>
          <w:rStyle w:val="NICEnormalChar"/>
          <w:szCs w:val="28"/>
        </w:rPr>
        <w:t xml:space="preserve">. </w:t>
      </w:r>
    </w:p>
    <w:p w14:paraId="597F37A4" w14:textId="2C519AD2" w:rsidR="00B600D6" w:rsidRPr="00C416F0" w:rsidRDefault="00B600D6" w:rsidP="00AC7428">
      <w:pPr>
        <w:pStyle w:val="Numberedlevel2text"/>
        <w:numPr>
          <w:ilvl w:val="1"/>
          <w:numId w:val="9"/>
        </w:numPr>
        <w:rPr>
          <w:rStyle w:val="NICEnormalChar"/>
          <w:szCs w:val="28"/>
        </w:rPr>
      </w:pPr>
      <w:r w:rsidRPr="00C416F0">
        <w:rPr>
          <w:rStyle w:val="NICEnormalChar"/>
          <w:szCs w:val="28"/>
        </w:rPr>
        <w:t>The list price of infliximab biosimilars per 100</w:t>
      </w:r>
      <w:r w:rsidR="00E61A0B">
        <w:rPr>
          <w:rStyle w:val="NICEnormalChar"/>
          <w:szCs w:val="28"/>
        </w:rPr>
        <w:t> </w:t>
      </w:r>
      <w:r w:rsidRPr="00C416F0">
        <w:rPr>
          <w:rStyle w:val="NICEnormalChar"/>
          <w:szCs w:val="28"/>
        </w:rPr>
        <w:t>mg vial are £377.00 (Flixabi, Biogen); £</w:t>
      </w:r>
      <w:r w:rsidR="00710DDA" w:rsidRPr="00C416F0">
        <w:rPr>
          <w:rStyle w:val="NICEnormalChar"/>
          <w:szCs w:val="28"/>
        </w:rPr>
        <w:t>377</w:t>
      </w:r>
      <w:r w:rsidRPr="00C416F0">
        <w:rPr>
          <w:rStyle w:val="NICEnormalChar"/>
          <w:szCs w:val="28"/>
        </w:rPr>
        <w:t>.6</w:t>
      </w:r>
      <w:r w:rsidR="00710DDA" w:rsidRPr="00C416F0">
        <w:rPr>
          <w:rStyle w:val="NICEnormalChar"/>
          <w:szCs w:val="28"/>
        </w:rPr>
        <w:t>6</w:t>
      </w:r>
      <w:r w:rsidRPr="00C416F0">
        <w:rPr>
          <w:rStyle w:val="NICEnormalChar"/>
          <w:szCs w:val="28"/>
        </w:rPr>
        <w:t xml:space="preserve"> (Remsima, Celltr</w:t>
      </w:r>
      <w:r w:rsidR="00763AEA" w:rsidRPr="00C416F0">
        <w:rPr>
          <w:rStyle w:val="NICEnormalChar"/>
          <w:szCs w:val="28"/>
        </w:rPr>
        <w:t>i</w:t>
      </w:r>
      <w:r w:rsidRPr="00C416F0">
        <w:rPr>
          <w:rStyle w:val="NICEnormalChar"/>
          <w:szCs w:val="28"/>
        </w:rPr>
        <w:t>on</w:t>
      </w:r>
      <w:r w:rsidR="00196D2E">
        <w:rPr>
          <w:rStyle w:val="NICEnormalChar"/>
          <w:szCs w:val="28"/>
        </w:rPr>
        <w:t xml:space="preserve"> Healthcare</w:t>
      </w:r>
      <w:r w:rsidRPr="00C416F0">
        <w:rPr>
          <w:rStyle w:val="NICEnormalChar"/>
          <w:szCs w:val="28"/>
        </w:rPr>
        <w:t>); £377.66 (Inflectra, Pfizer); £377.66 (Zessly, Sandoz</w:t>
      </w:r>
      <w:r w:rsidR="00B52486">
        <w:rPr>
          <w:rStyle w:val="NICEnormalChar"/>
          <w:szCs w:val="28"/>
        </w:rPr>
        <w:t xml:space="preserve">; all prices </w:t>
      </w:r>
      <w:r w:rsidR="00B52486" w:rsidRPr="00C416F0">
        <w:rPr>
          <w:rStyle w:val="NICEnormalChar"/>
          <w:szCs w:val="28"/>
        </w:rPr>
        <w:t>exclud</w:t>
      </w:r>
      <w:r w:rsidR="00B52486">
        <w:rPr>
          <w:rStyle w:val="NICEnormalChar"/>
          <w:szCs w:val="28"/>
        </w:rPr>
        <w:t>e</w:t>
      </w:r>
      <w:r w:rsidR="00B52486" w:rsidRPr="00C416F0">
        <w:rPr>
          <w:rStyle w:val="NICEnormalChar"/>
          <w:szCs w:val="28"/>
        </w:rPr>
        <w:t xml:space="preserve"> </w:t>
      </w:r>
      <w:r w:rsidRPr="00C416F0">
        <w:rPr>
          <w:rStyle w:val="NICEnormalChar"/>
          <w:szCs w:val="28"/>
        </w:rPr>
        <w:t xml:space="preserve">VAT; BNF online, accessed March 2021). </w:t>
      </w:r>
    </w:p>
    <w:p w14:paraId="0086820C" w14:textId="5849AE7A" w:rsidR="00B600D6" w:rsidRPr="00C416F0" w:rsidRDefault="00B600D6" w:rsidP="00AC7428">
      <w:pPr>
        <w:pStyle w:val="Numberedlevel2text"/>
        <w:numPr>
          <w:ilvl w:val="1"/>
          <w:numId w:val="9"/>
        </w:numPr>
        <w:rPr>
          <w:rStyle w:val="NICEnormalChar"/>
          <w:szCs w:val="28"/>
        </w:rPr>
      </w:pPr>
      <w:r w:rsidRPr="00C416F0">
        <w:rPr>
          <w:lang w:val="en-GB"/>
        </w:rPr>
        <w:t xml:space="preserve">The companies have each agreed a nationally available price reduction for </w:t>
      </w:r>
      <w:r w:rsidR="00763AEA" w:rsidRPr="00C416F0">
        <w:rPr>
          <w:lang w:val="en-GB"/>
        </w:rPr>
        <w:t xml:space="preserve">infliximab </w:t>
      </w:r>
      <w:r w:rsidRPr="00C416F0">
        <w:rPr>
          <w:lang w:val="en-GB"/>
        </w:rPr>
        <w:t xml:space="preserve">with the Commercial Medicines Unit. The prices agreed through the framework are commercial in confidence. </w:t>
      </w:r>
    </w:p>
    <w:p w14:paraId="4337B650" w14:textId="77777777" w:rsidR="00B600D6" w:rsidRPr="00C416F0" w:rsidRDefault="00B600D6" w:rsidP="00765C6E">
      <w:pPr>
        <w:pStyle w:val="Heading2"/>
        <w:rPr>
          <w:rStyle w:val="NICEnormalChar"/>
          <w:rFonts w:cs="Times New Roman"/>
          <w:b w:val="0"/>
          <w:iCs/>
          <w:sz w:val="28"/>
          <w:szCs w:val="28"/>
        </w:rPr>
      </w:pPr>
      <w:r w:rsidRPr="00D41604">
        <w:t>Abatacept</w:t>
      </w:r>
    </w:p>
    <w:p w14:paraId="0F3CE635" w14:textId="05273C65" w:rsidR="0017344F" w:rsidRPr="00C416F0" w:rsidRDefault="00B600D6" w:rsidP="0017344F">
      <w:pPr>
        <w:pStyle w:val="Numberedlevel2text"/>
        <w:numPr>
          <w:ilvl w:val="1"/>
          <w:numId w:val="9"/>
        </w:numPr>
        <w:rPr>
          <w:rStyle w:val="NICEnormalChar"/>
          <w:szCs w:val="28"/>
        </w:rPr>
      </w:pPr>
      <w:r w:rsidRPr="00C416F0">
        <w:rPr>
          <w:rStyle w:val="NICEnormalChar"/>
          <w:szCs w:val="28"/>
        </w:rPr>
        <w:t>Abatacept (Orencia, Bristol-Myers Squibb), in combination with methotrexate, is indicated</w:t>
      </w:r>
      <w:r w:rsidR="0017344F" w:rsidRPr="00C416F0">
        <w:rPr>
          <w:rStyle w:val="NICEnormalChar"/>
          <w:szCs w:val="28"/>
        </w:rPr>
        <w:t xml:space="preserve"> for ‘the treatment of moderate to severe active rheumatoid arthritis (RA) in adult patients who responded inadequately to previous therapy with one or more disease-modifying anti-rheumatic drugs (DMARDs) including methotrexate (MTX) or a tumour necrosis factor (TNF)-alpha inhibitor’</w:t>
      </w:r>
      <w:r w:rsidRPr="00C416F0">
        <w:rPr>
          <w:rStyle w:val="NICEnormalChar"/>
          <w:szCs w:val="28"/>
        </w:rPr>
        <w:t>.</w:t>
      </w:r>
    </w:p>
    <w:p w14:paraId="56850E80" w14:textId="357B0819" w:rsidR="00B600D6" w:rsidRPr="00C416F0" w:rsidRDefault="00B600D6" w:rsidP="00AC7428">
      <w:pPr>
        <w:pStyle w:val="Numberedlevel2text"/>
        <w:numPr>
          <w:ilvl w:val="1"/>
          <w:numId w:val="9"/>
        </w:numPr>
        <w:rPr>
          <w:rStyle w:val="NICEnormalChar"/>
          <w:szCs w:val="28"/>
        </w:rPr>
      </w:pPr>
      <w:r w:rsidRPr="00C416F0">
        <w:rPr>
          <w:rStyle w:val="NICEnormalChar"/>
          <w:szCs w:val="28"/>
        </w:rPr>
        <w:t xml:space="preserve">The dosage schedule is available in the </w:t>
      </w:r>
      <w:hyperlink r:id="rId14" w:history="1">
        <w:r w:rsidRPr="00C416F0">
          <w:rPr>
            <w:rStyle w:val="Hyperlink"/>
            <w:lang w:val="en-GB"/>
          </w:rPr>
          <w:t>summary of product characteristics.</w:t>
        </w:r>
      </w:hyperlink>
      <w:r w:rsidRPr="00C416F0">
        <w:rPr>
          <w:rStyle w:val="NICEnormalChar"/>
          <w:szCs w:val="28"/>
        </w:rPr>
        <w:t xml:space="preserve"> </w:t>
      </w:r>
    </w:p>
    <w:p w14:paraId="498A1F76" w14:textId="5A06F67F" w:rsidR="00B600D6" w:rsidRPr="00C416F0" w:rsidRDefault="00B600D6" w:rsidP="00AC7428">
      <w:pPr>
        <w:pStyle w:val="Numberedlevel2text"/>
        <w:numPr>
          <w:ilvl w:val="1"/>
          <w:numId w:val="9"/>
        </w:numPr>
        <w:rPr>
          <w:rStyle w:val="NICEnormalChar"/>
          <w:szCs w:val="28"/>
        </w:rPr>
      </w:pPr>
      <w:r w:rsidRPr="00C416F0">
        <w:rPr>
          <w:rStyle w:val="NICEnormalChar"/>
          <w:szCs w:val="28"/>
        </w:rPr>
        <w:t>The list price of abatacept (Orencia, Bristol-Myers Squibb) is £</w:t>
      </w:r>
      <w:r w:rsidR="00FF042C">
        <w:rPr>
          <w:rStyle w:val="NICEnormalChar"/>
          <w:szCs w:val="28"/>
        </w:rPr>
        <w:t>302.40</w:t>
      </w:r>
      <w:r w:rsidRPr="00C416F0">
        <w:rPr>
          <w:rStyle w:val="NICEnormalChar"/>
          <w:szCs w:val="28"/>
        </w:rPr>
        <w:t xml:space="preserve"> per 125</w:t>
      </w:r>
      <w:r w:rsidR="0015497E">
        <w:rPr>
          <w:rStyle w:val="NICEnormalChar"/>
          <w:szCs w:val="28"/>
        </w:rPr>
        <w:t> </w:t>
      </w:r>
      <w:r w:rsidRPr="00C416F0">
        <w:rPr>
          <w:rStyle w:val="NICEnormalChar"/>
          <w:szCs w:val="28"/>
        </w:rPr>
        <w:t>mg pre-filled pen or pre-filled syringe</w:t>
      </w:r>
      <w:r w:rsidR="00710DDA" w:rsidRPr="00C416F0">
        <w:rPr>
          <w:rStyle w:val="NICEnormalChar"/>
          <w:szCs w:val="28"/>
        </w:rPr>
        <w:t xml:space="preserve"> and £302.40 per 250</w:t>
      </w:r>
      <w:r w:rsidR="0015497E">
        <w:rPr>
          <w:rStyle w:val="NICEnormalChar"/>
          <w:szCs w:val="28"/>
        </w:rPr>
        <w:t> </w:t>
      </w:r>
      <w:r w:rsidR="00710DDA" w:rsidRPr="00C416F0">
        <w:rPr>
          <w:rStyle w:val="NICEnormalChar"/>
          <w:szCs w:val="28"/>
        </w:rPr>
        <w:t>mg vial</w:t>
      </w:r>
      <w:r w:rsidRPr="00C416F0">
        <w:rPr>
          <w:rStyle w:val="NICEnormalChar"/>
          <w:szCs w:val="28"/>
        </w:rPr>
        <w:t xml:space="preserve"> (excluding VAT; BNF online, accessed March 2021)</w:t>
      </w:r>
      <w:r w:rsidR="00433F8A">
        <w:rPr>
          <w:rStyle w:val="NICEnormalChar"/>
          <w:szCs w:val="28"/>
        </w:rPr>
        <w:t>.</w:t>
      </w:r>
    </w:p>
    <w:p w14:paraId="0D35CE54" w14:textId="04915483" w:rsidR="00874F36" w:rsidRPr="00C416F0" w:rsidRDefault="00DA361A" w:rsidP="00AC7428">
      <w:pPr>
        <w:pStyle w:val="Numberedlevel2text"/>
        <w:numPr>
          <w:ilvl w:val="1"/>
          <w:numId w:val="9"/>
        </w:numPr>
        <w:rPr>
          <w:lang w:val="en-GB"/>
        </w:rPr>
      </w:pPr>
      <w:bookmarkStart w:id="8" w:name="_Hlk24530292"/>
      <w:r w:rsidRPr="00C416F0">
        <w:rPr>
          <w:lang w:val="en-GB"/>
        </w:rPr>
        <w:lastRenderedPageBreak/>
        <w:t>The company has a commercial arrangement. This makes abatacept available to the NHS with a discount and it would have also applied to this indication if the technology had been recommended. The size of the discount is commercial in confidence. It is the company’s responsibility to let relevant NHS organisations know details of the discount.</w:t>
      </w:r>
    </w:p>
    <w:bookmarkEnd w:id="8"/>
    <w:p w14:paraId="36CAD303" w14:textId="4D20BA8D" w:rsidR="00C67912" w:rsidRPr="00C416F0" w:rsidRDefault="00C67912" w:rsidP="003C5C5C">
      <w:pPr>
        <w:pStyle w:val="Numberedheading1"/>
        <w:ind w:left="1134"/>
      </w:pPr>
      <w:r w:rsidRPr="00C416F0">
        <w:t>Committee discussion</w:t>
      </w:r>
    </w:p>
    <w:p w14:paraId="5DDD0A79" w14:textId="7C6726A2" w:rsidR="00412FE2" w:rsidRDefault="000F2D8A" w:rsidP="006759F6">
      <w:pPr>
        <w:pStyle w:val="NICEnormal"/>
      </w:pPr>
      <w:r w:rsidRPr="00C416F0">
        <w:t xml:space="preserve">The </w:t>
      </w:r>
      <w:hyperlink w:anchor="_Appraisal_committee_members" w:history="1">
        <w:r w:rsidR="0094534D" w:rsidRPr="00C416F0">
          <w:rPr>
            <w:rStyle w:val="Hyperlink"/>
          </w:rPr>
          <w:t>a</w:t>
        </w:r>
        <w:r w:rsidRPr="00C416F0">
          <w:rPr>
            <w:rStyle w:val="Hyperlink"/>
          </w:rPr>
          <w:t xml:space="preserve">ppraisal </w:t>
        </w:r>
        <w:r w:rsidR="0094534D" w:rsidRPr="00C416F0">
          <w:rPr>
            <w:rStyle w:val="Hyperlink"/>
          </w:rPr>
          <w:t>c</w:t>
        </w:r>
        <w:r w:rsidRPr="00C416F0">
          <w:rPr>
            <w:rStyle w:val="Hyperlink"/>
          </w:rPr>
          <w:t>ommittee</w:t>
        </w:r>
      </w:hyperlink>
      <w:r w:rsidRPr="00C416F0">
        <w:t xml:space="preserve"> considered evidence from a number of sources.</w:t>
      </w:r>
      <w:r w:rsidR="004B6779" w:rsidRPr="00C416F0">
        <w:t xml:space="preserve"> </w:t>
      </w:r>
      <w:r w:rsidR="00EC4206" w:rsidRPr="00C416F0">
        <w:t xml:space="preserve">See the </w:t>
      </w:r>
      <w:hyperlink r:id="rId15" w:history="1">
        <w:r w:rsidR="00EC4206" w:rsidRPr="00C416F0">
          <w:rPr>
            <w:rStyle w:val="Hyperlink"/>
          </w:rPr>
          <w:t>committee papers</w:t>
        </w:r>
      </w:hyperlink>
      <w:r w:rsidR="00EC4206" w:rsidRPr="00C416F0">
        <w:t xml:space="preserve"> for full details of the evidence.</w:t>
      </w:r>
      <w:r w:rsidR="00EC4206">
        <w:t xml:space="preserve"> </w:t>
      </w:r>
    </w:p>
    <w:p w14:paraId="59652ADA" w14:textId="41CD78F6" w:rsidR="008F2A00" w:rsidRPr="00C416F0" w:rsidRDefault="008F2A00" w:rsidP="006759F6">
      <w:pPr>
        <w:pStyle w:val="NICEnormal"/>
      </w:pPr>
      <w:r>
        <w:t xml:space="preserve">This appraisal is a partial review of </w:t>
      </w:r>
      <w:hyperlink r:id="rId16" w:history="1">
        <w:r w:rsidR="00682565" w:rsidRPr="00682565">
          <w:rPr>
            <w:rStyle w:val="Hyperlink"/>
          </w:rPr>
          <w:t xml:space="preserve">NICE </w:t>
        </w:r>
        <w:r w:rsidRPr="00682565">
          <w:rPr>
            <w:rStyle w:val="Hyperlink"/>
          </w:rPr>
          <w:t>technology appraisal 375</w:t>
        </w:r>
      </w:hyperlink>
      <w:r>
        <w:t xml:space="preserve">. </w:t>
      </w:r>
      <w:r w:rsidR="00682565">
        <w:t>T</w:t>
      </w:r>
      <w:r w:rsidRPr="00C416F0">
        <w:t>he committee assessed the cost</w:t>
      </w:r>
      <w:r w:rsidR="006405C0">
        <w:t xml:space="preserve"> </w:t>
      </w:r>
      <w:r w:rsidRPr="00C416F0">
        <w:t xml:space="preserve">effectiveness of the technologies using the original clinical evidence and economic model developed by the </w:t>
      </w:r>
      <w:r>
        <w:t>a</w:t>
      </w:r>
      <w:r w:rsidRPr="00C416F0">
        <w:t xml:space="preserve">ssessment </w:t>
      </w:r>
      <w:r>
        <w:t>g</w:t>
      </w:r>
      <w:r w:rsidRPr="00C416F0">
        <w:t>roup for NICE technology appraisal 375. The partial review has taken a pragmatic approach</w:t>
      </w:r>
      <w:r w:rsidR="00713AB0">
        <w:t>,</w:t>
      </w:r>
      <w:r w:rsidRPr="00C416F0">
        <w:t xml:space="preserve"> which was consulted on in </w:t>
      </w:r>
      <w:hyperlink r:id="rId17" w:history="1">
        <w:r w:rsidR="00321858" w:rsidRPr="00321858">
          <w:rPr>
            <w:rStyle w:val="Hyperlink"/>
          </w:rPr>
          <w:t>a review proposal</w:t>
        </w:r>
      </w:hyperlink>
      <w:r w:rsidRPr="00D22A63">
        <w:t>,</w:t>
      </w:r>
      <w:r w:rsidRPr="00C416F0">
        <w:t xml:space="preserve"> </w:t>
      </w:r>
      <w:r>
        <w:t>so</w:t>
      </w:r>
      <w:r w:rsidRPr="00C416F0">
        <w:t xml:space="preserve"> the assessment group made only minor updates to the original model (see </w:t>
      </w:r>
      <w:hyperlink w:anchor="_The_cost-effectiveness_model" w:history="1">
        <w:r w:rsidRPr="0062163F">
          <w:rPr>
            <w:rStyle w:val="Hyperlink"/>
          </w:rPr>
          <w:t>section</w:t>
        </w:r>
        <w:r w:rsidR="000F6E21" w:rsidRPr="0062163F">
          <w:rPr>
            <w:rStyle w:val="Hyperlink"/>
          </w:rPr>
          <w:t xml:space="preserve"> </w:t>
        </w:r>
        <w:r w:rsidR="00FF042C" w:rsidRPr="0062163F">
          <w:rPr>
            <w:rStyle w:val="Hyperlink"/>
          </w:rPr>
          <w:t>4.4</w:t>
        </w:r>
      </w:hyperlink>
      <w:r w:rsidR="00FF042C">
        <w:t xml:space="preserve"> and </w:t>
      </w:r>
      <w:hyperlink w:anchor="_The_changes_to" w:history="1">
        <w:r w:rsidR="0062163F" w:rsidRPr="0062163F">
          <w:rPr>
            <w:rStyle w:val="Hyperlink"/>
          </w:rPr>
          <w:t xml:space="preserve">section </w:t>
        </w:r>
        <w:r w:rsidR="00FF042C" w:rsidRPr="0062163F">
          <w:rPr>
            <w:rStyle w:val="Hyperlink"/>
          </w:rPr>
          <w:t>4.5</w:t>
        </w:r>
      </w:hyperlink>
      <w:r w:rsidRPr="00C416F0">
        <w:t xml:space="preserve">). </w:t>
      </w:r>
    </w:p>
    <w:p w14:paraId="54B28A31" w14:textId="5A83BEF2" w:rsidR="00710DDA" w:rsidRPr="00C416F0" w:rsidRDefault="00710DDA" w:rsidP="00710DDA">
      <w:pPr>
        <w:pStyle w:val="Heading2"/>
      </w:pPr>
      <w:r w:rsidRPr="00C416F0">
        <w:t>New treatment option</w:t>
      </w:r>
      <w:r w:rsidR="00B919D9">
        <w:t>s</w:t>
      </w:r>
    </w:p>
    <w:p w14:paraId="606C5762" w14:textId="7FA721A4" w:rsidR="00710DDA" w:rsidRPr="00C416F0" w:rsidRDefault="00710DDA" w:rsidP="00710DDA">
      <w:pPr>
        <w:pStyle w:val="Heading3"/>
      </w:pPr>
      <w:r w:rsidRPr="00C416F0">
        <w:t>People with rheumatoid arthritis would welcome new treatment option</w:t>
      </w:r>
      <w:r w:rsidR="00125C98">
        <w:t>s</w:t>
      </w:r>
      <w:r w:rsidRPr="00C416F0">
        <w:t xml:space="preserve"> for moderate disease</w:t>
      </w:r>
    </w:p>
    <w:p w14:paraId="489DFAFC" w14:textId="4BF73CD8" w:rsidR="00710DDA" w:rsidRPr="00C416F0" w:rsidRDefault="00710DDA" w:rsidP="00AC7428">
      <w:pPr>
        <w:pStyle w:val="Numberedlevel2text"/>
        <w:numPr>
          <w:ilvl w:val="1"/>
          <w:numId w:val="9"/>
        </w:numPr>
        <w:rPr>
          <w:lang w:val="en-GB"/>
        </w:rPr>
      </w:pPr>
      <w:r w:rsidRPr="00C416F0">
        <w:rPr>
          <w:lang w:val="en-GB"/>
        </w:rPr>
        <w:t xml:space="preserve">The patient experts explained that people with moderate active rheumatoid arthritis </w:t>
      </w:r>
      <w:r w:rsidR="00125C98">
        <w:rPr>
          <w:lang w:val="en-GB"/>
        </w:rPr>
        <w:t>have</w:t>
      </w:r>
      <w:r w:rsidR="00125C98" w:rsidRPr="00C416F0">
        <w:rPr>
          <w:lang w:val="en-GB"/>
        </w:rPr>
        <w:t xml:space="preserve"> </w:t>
      </w:r>
      <w:r w:rsidRPr="00C416F0">
        <w:rPr>
          <w:lang w:val="en-GB"/>
        </w:rPr>
        <w:t xml:space="preserve">significant disability and reduced quality of life if their disease is not adequately controlled. This can affect a person’s ability to work, complete everyday activities and increases the need for continual NHS care. The patient experts described how this </w:t>
      </w:r>
      <w:r w:rsidR="00125C98">
        <w:rPr>
          <w:lang w:val="en-GB"/>
        </w:rPr>
        <w:t>affects</w:t>
      </w:r>
      <w:r w:rsidRPr="00C416F0">
        <w:rPr>
          <w:lang w:val="en-GB"/>
        </w:rPr>
        <w:t xml:space="preserve"> emotional wellbeing </w:t>
      </w:r>
      <w:r w:rsidR="00125C98">
        <w:rPr>
          <w:lang w:val="en-GB"/>
        </w:rPr>
        <w:t xml:space="preserve">substantially, </w:t>
      </w:r>
      <w:r w:rsidRPr="00C416F0">
        <w:rPr>
          <w:lang w:val="en-GB"/>
        </w:rPr>
        <w:t>causing stress and anxiety, which can trigger further flare-ups of the disease. Although there are a range of advanced treatment options for severe rheumatoid arthritis,</w:t>
      </w:r>
      <w:r w:rsidR="004F6F0F" w:rsidRPr="00C416F0">
        <w:rPr>
          <w:lang w:val="en-GB"/>
        </w:rPr>
        <w:t xml:space="preserve"> only</w:t>
      </w:r>
      <w:r w:rsidRPr="00C416F0">
        <w:rPr>
          <w:lang w:val="en-GB"/>
        </w:rPr>
        <w:t xml:space="preserve"> </w:t>
      </w:r>
      <w:r w:rsidR="00125C98" w:rsidRPr="00A216A0">
        <w:t>filgotinib</w:t>
      </w:r>
      <w:r w:rsidR="003D17D3" w:rsidRPr="00C416F0">
        <w:rPr>
          <w:lang w:val="en-GB"/>
        </w:rPr>
        <w:t xml:space="preserve"> </w:t>
      </w:r>
      <w:r w:rsidR="00125C98">
        <w:rPr>
          <w:lang w:val="en-GB"/>
        </w:rPr>
        <w:t>is</w:t>
      </w:r>
      <w:r w:rsidRPr="00C416F0">
        <w:rPr>
          <w:lang w:val="en-GB"/>
        </w:rPr>
        <w:t xml:space="preserve"> recommended for treating moderate disease after failure of 2 or more conventional </w:t>
      </w:r>
      <w:r w:rsidR="00593A13">
        <w:t xml:space="preserve">disease-modifying antirheumatic drugs </w:t>
      </w:r>
      <w:r w:rsidR="00593A13">
        <w:rPr>
          <w:lang w:val="en-GB"/>
        </w:rPr>
        <w:t>(</w:t>
      </w:r>
      <w:r w:rsidRPr="00C416F0">
        <w:rPr>
          <w:lang w:val="en-GB"/>
        </w:rPr>
        <w:t>DMARDs</w:t>
      </w:r>
      <w:r w:rsidR="00593A13">
        <w:rPr>
          <w:lang w:val="en-GB"/>
        </w:rPr>
        <w:t xml:space="preserve">; </w:t>
      </w:r>
      <w:r w:rsidR="00AC7428" w:rsidRPr="00C416F0">
        <w:rPr>
          <w:lang w:val="en-GB"/>
        </w:rPr>
        <w:t>such as methotrexate, leflunomide, sulfasalazine and hydroxychloroquine</w:t>
      </w:r>
      <w:r w:rsidR="00125C98">
        <w:rPr>
          <w:lang w:val="en-GB"/>
        </w:rPr>
        <w:t xml:space="preserve">; see </w:t>
      </w:r>
      <w:hyperlink r:id="rId18" w:history="1">
        <w:r w:rsidR="00125C98" w:rsidRPr="00125C98">
          <w:rPr>
            <w:rStyle w:val="Hyperlink"/>
            <w:lang w:val="en-GB"/>
          </w:rPr>
          <w:t>NICE’s technology appraisal guidance on filgotinib</w:t>
        </w:r>
      </w:hyperlink>
      <w:r w:rsidR="00AC7428" w:rsidRPr="00C416F0">
        <w:rPr>
          <w:lang w:val="en-GB"/>
        </w:rPr>
        <w:t xml:space="preserve">). </w:t>
      </w:r>
      <w:r w:rsidR="00231901">
        <w:rPr>
          <w:lang w:val="en-GB"/>
        </w:rPr>
        <w:t xml:space="preserve">The committee noted that when this partial update started, the appraisal of filgotinib had not concluded. Therefore, filgotinib is not included in the scope as a comparator. </w:t>
      </w:r>
      <w:r w:rsidRPr="00C416F0">
        <w:rPr>
          <w:lang w:val="en-GB"/>
        </w:rPr>
        <w:t xml:space="preserve">The patient experts explained that </w:t>
      </w:r>
      <w:r w:rsidR="00B919D9">
        <w:rPr>
          <w:lang w:val="en-GB"/>
        </w:rPr>
        <w:t xml:space="preserve">it is important that there </w:t>
      </w:r>
      <w:r w:rsidR="00713AB0">
        <w:rPr>
          <w:lang w:val="en-GB"/>
        </w:rPr>
        <w:t>is</w:t>
      </w:r>
      <w:r w:rsidR="00B919D9">
        <w:rPr>
          <w:lang w:val="en-GB"/>
        </w:rPr>
        <w:t xml:space="preserve"> </w:t>
      </w:r>
      <w:r w:rsidRPr="00C416F0">
        <w:rPr>
          <w:lang w:val="en-GB"/>
        </w:rPr>
        <w:t xml:space="preserve">a wide range of treatment options </w:t>
      </w:r>
      <w:r w:rsidR="00B919D9">
        <w:rPr>
          <w:lang w:val="en-GB"/>
        </w:rPr>
        <w:t>available</w:t>
      </w:r>
      <w:r w:rsidR="0046155B" w:rsidRPr="00C416F0">
        <w:rPr>
          <w:lang w:val="en-GB"/>
        </w:rPr>
        <w:t>. This is</w:t>
      </w:r>
      <w:r w:rsidRPr="00C416F0">
        <w:rPr>
          <w:lang w:val="en-GB"/>
        </w:rPr>
        <w:t xml:space="preserve"> because the </w:t>
      </w:r>
      <w:r w:rsidR="00125C98">
        <w:rPr>
          <w:lang w:val="en-GB"/>
        </w:rPr>
        <w:t>differing</w:t>
      </w:r>
      <w:r w:rsidR="00125C98" w:rsidRPr="00C416F0">
        <w:rPr>
          <w:lang w:val="en-GB"/>
        </w:rPr>
        <w:t xml:space="preserve"> </w:t>
      </w:r>
      <w:r w:rsidRPr="00C416F0">
        <w:rPr>
          <w:lang w:val="en-GB"/>
        </w:rPr>
        <w:t xml:space="preserve">nature of rheumatoid arthritis </w:t>
      </w:r>
      <w:r w:rsidR="0046155B" w:rsidRPr="00C416F0">
        <w:rPr>
          <w:lang w:val="en-GB"/>
        </w:rPr>
        <w:t>means that a</w:t>
      </w:r>
      <w:r w:rsidRPr="00C416F0">
        <w:rPr>
          <w:lang w:val="en-GB"/>
        </w:rPr>
        <w:t xml:space="preserve"> treatment may work well for one </w:t>
      </w:r>
      <w:r w:rsidR="00125C98">
        <w:rPr>
          <w:lang w:val="en-GB"/>
        </w:rPr>
        <w:t>person</w:t>
      </w:r>
      <w:r w:rsidR="00125C98" w:rsidRPr="00C416F0">
        <w:rPr>
          <w:lang w:val="en-GB"/>
        </w:rPr>
        <w:t xml:space="preserve"> </w:t>
      </w:r>
      <w:r w:rsidRPr="00C416F0">
        <w:rPr>
          <w:lang w:val="en-GB"/>
        </w:rPr>
        <w:t xml:space="preserve">but not another. The clinical experts explained that </w:t>
      </w:r>
      <w:r w:rsidR="0046155B" w:rsidRPr="00C416F0">
        <w:rPr>
          <w:lang w:val="en-GB"/>
        </w:rPr>
        <w:t xml:space="preserve">although </w:t>
      </w:r>
      <w:r w:rsidRPr="00C416F0">
        <w:rPr>
          <w:lang w:val="en-GB"/>
        </w:rPr>
        <w:t xml:space="preserve">the </w:t>
      </w:r>
      <w:r w:rsidR="00B919D9">
        <w:rPr>
          <w:lang w:val="en-GB"/>
        </w:rPr>
        <w:t>medicines appraised</w:t>
      </w:r>
      <w:r w:rsidR="00B919D9" w:rsidRPr="00C416F0">
        <w:rPr>
          <w:lang w:val="en-GB"/>
        </w:rPr>
        <w:t xml:space="preserve"> </w:t>
      </w:r>
      <w:r w:rsidRPr="00C416F0">
        <w:rPr>
          <w:lang w:val="en-GB"/>
        </w:rPr>
        <w:t xml:space="preserve">are similarly beneficial for treating the articular features of rheumatoid arthritis, they </w:t>
      </w:r>
      <w:r w:rsidR="00B919D9">
        <w:rPr>
          <w:lang w:val="en-GB"/>
        </w:rPr>
        <w:t>differ</w:t>
      </w:r>
      <w:r w:rsidRPr="00C416F0">
        <w:rPr>
          <w:lang w:val="en-GB"/>
        </w:rPr>
        <w:t xml:space="preserve"> in </w:t>
      </w:r>
      <w:r w:rsidR="00BA7D82" w:rsidRPr="00C416F0">
        <w:rPr>
          <w:lang w:val="en-GB"/>
        </w:rPr>
        <w:t xml:space="preserve">their effectiveness in </w:t>
      </w:r>
      <w:r w:rsidRPr="00C416F0">
        <w:rPr>
          <w:lang w:val="en-GB"/>
        </w:rPr>
        <w:t xml:space="preserve">preventing </w:t>
      </w:r>
      <w:r w:rsidR="00BA7D82" w:rsidRPr="00C416F0">
        <w:rPr>
          <w:lang w:val="en-GB"/>
        </w:rPr>
        <w:t xml:space="preserve">particular </w:t>
      </w:r>
      <w:r w:rsidRPr="00C416F0">
        <w:rPr>
          <w:lang w:val="en-GB"/>
        </w:rPr>
        <w:t>comorbidities. This means that it is important</w:t>
      </w:r>
      <w:r w:rsidR="00BA7D82" w:rsidRPr="00C416F0">
        <w:rPr>
          <w:lang w:val="en-GB"/>
        </w:rPr>
        <w:t xml:space="preserve"> for p</w:t>
      </w:r>
      <w:r w:rsidR="003421BB" w:rsidRPr="00C416F0">
        <w:rPr>
          <w:lang w:val="en-GB"/>
        </w:rPr>
        <w:t xml:space="preserve">eople with rheumatoid arthritis </w:t>
      </w:r>
      <w:r w:rsidRPr="00C416F0">
        <w:rPr>
          <w:lang w:val="en-GB"/>
        </w:rPr>
        <w:t xml:space="preserve">to have a </w:t>
      </w:r>
      <w:r w:rsidR="0046155B" w:rsidRPr="00C416F0">
        <w:rPr>
          <w:lang w:val="en-GB"/>
        </w:rPr>
        <w:t xml:space="preserve">range </w:t>
      </w:r>
      <w:r w:rsidRPr="00C416F0">
        <w:rPr>
          <w:lang w:val="en-GB"/>
        </w:rPr>
        <w:t xml:space="preserve">of different </w:t>
      </w:r>
      <w:r w:rsidR="00B919D9">
        <w:rPr>
          <w:lang w:val="en-GB"/>
        </w:rPr>
        <w:t>medicines available,</w:t>
      </w:r>
      <w:r w:rsidR="00B919D9" w:rsidRPr="00C416F0">
        <w:rPr>
          <w:lang w:val="en-GB"/>
        </w:rPr>
        <w:t xml:space="preserve"> </w:t>
      </w:r>
      <w:r w:rsidR="003D17D3" w:rsidRPr="00C416F0">
        <w:rPr>
          <w:lang w:val="en-GB"/>
        </w:rPr>
        <w:t>even</w:t>
      </w:r>
      <w:r w:rsidRPr="00C416F0">
        <w:rPr>
          <w:lang w:val="en-GB"/>
        </w:rPr>
        <w:t xml:space="preserve"> within the same </w:t>
      </w:r>
      <w:r w:rsidR="00BA7D82" w:rsidRPr="00C416F0">
        <w:rPr>
          <w:lang w:val="en-GB"/>
        </w:rPr>
        <w:t xml:space="preserve">drug </w:t>
      </w:r>
      <w:r w:rsidRPr="00C416F0">
        <w:rPr>
          <w:lang w:val="en-GB"/>
        </w:rPr>
        <w:t xml:space="preserve">class. The clinical experts explained that earlier access to advanced treatments in moderate disease would reduce disease progression </w:t>
      </w:r>
      <w:r w:rsidR="004F6F0F" w:rsidRPr="00C416F0">
        <w:rPr>
          <w:lang w:val="en-GB"/>
        </w:rPr>
        <w:t xml:space="preserve">and </w:t>
      </w:r>
      <w:r w:rsidR="00FE56F7" w:rsidRPr="00C416F0">
        <w:rPr>
          <w:lang w:val="en-GB"/>
        </w:rPr>
        <w:t>increase the likelihood of</w:t>
      </w:r>
      <w:r w:rsidR="004F6F0F" w:rsidRPr="00C416F0">
        <w:rPr>
          <w:lang w:val="en-GB"/>
        </w:rPr>
        <w:t xml:space="preserve"> remission</w:t>
      </w:r>
      <w:r w:rsidRPr="00C416F0">
        <w:rPr>
          <w:lang w:val="en-GB"/>
        </w:rPr>
        <w:t xml:space="preserve">. The committee concluded that people with </w:t>
      </w:r>
      <w:r w:rsidR="0046155B" w:rsidRPr="00C416F0">
        <w:rPr>
          <w:lang w:val="en-GB"/>
        </w:rPr>
        <w:t xml:space="preserve">moderate </w:t>
      </w:r>
      <w:r w:rsidRPr="00C416F0">
        <w:rPr>
          <w:lang w:val="en-GB"/>
        </w:rPr>
        <w:t xml:space="preserve">rheumatoid arthritis would welcome a range of advanced treatment options.  </w:t>
      </w:r>
    </w:p>
    <w:p w14:paraId="677AA386" w14:textId="77777777" w:rsidR="00CA51DE" w:rsidRPr="00C416F0" w:rsidRDefault="00CA51DE" w:rsidP="00CA51DE">
      <w:pPr>
        <w:pStyle w:val="Heading2"/>
      </w:pPr>
      <w:r w:rsidRPr="00C416F0">
        <w:t xml:space="preserve">Cycling of TNF-alpha inhibitors </w:t>
      </w:r>
    </w:p>
    <w:p w14:paraId="66E03E05" w14:textId="2D2ED1DA" w:rsidR="00CA51DE" w:rsidRPr="00C416F0" w:rsidRDefault="00CA51DE" w:rsidP="00CA51DE">
      <w:pPr>
        <w:pStyle w:val="Heading3"/>
      </w:pPr>
      <w:r w:rsidRPr="00C416F0">
        <w:t>Th</w:t>
      </w:r>
      <w:r w:rsidR="00B919D9">
        <w:t xml:space="preserve">is </w:t>
      </w:r>
      <w:r w:rsidRPr="00C416F0">
        <w:t xml:space="preserve">appraisal </w:t>
      </w:r>
      <w:r w:rsidR="00B919D9">
        <w:t xml:space="preserve">only </w:t>
      </w:r>
      <w:r w:rsidRPr="00C416F0">
        <w:t xml:space="preserve">considers first-line </w:t>
      </w:r>
      <w:r w:rsidR="007F7AE2">
        <w:t xml:space="preserve">biological </w:t>
      </w:r>
      <w:r w:rsidRPr="00C416F0">
        <w:t xml:space="preserve">treatments in moderate disease </w:t>
      </w:r>
    </w:p>
    <w:p w14:paraId="4F6B6E7D" w14:textId="5208B0AE" w:rsidR="00CA51DE" w:rsidRPr="00C416F0" w:rsidRDefault="00B919D9" w:rsidP="00CA51DE">
      <w:pPr>
        <w:pStyle w:val="Numberedlevel2text"/>
        <w:numPr>
          <w:ilvl w:val="1"/>
          <w:numId w:val="9"/>
        </w:numPr>
        <w:rPr>
          <w:rStyle w:val="NICEnormalChar"/>
          <w:szCs w:val="28"/>
        </w:rPr>
      </w:pPr>
      <w:bookmarkStart w:id="9" w:name="_Hlk66392050"/>
      <w:r>
        <w:rPr>
          <w:lang w:val="en-GB"/>
        </w:rPr>
        <w:t>A</w:t>
      </w:r>
      <w:r w:rsidR="00CA51DE" w:rsidRPr="00C416F0">
        <w:rPr>
          <w:lang w:val="en-GB"/>
        </w:rPr>
        <w:t xml:space="preserve"> company representative </w:t>
      </w:r>
      <w:r>
        <w:rPr>
          <w:lang w:val="en-GB"/>
        </w:rPr>
        <w:t xml:space="preserve">explained </w:t>
      </w:r>
      <w:r w:rsidR="00CA51DE" w:rsidRPr="00C416F0">
        <w:rPr>
          <w:lang w:val="en-GB"/>
        </w:rPr>
        <w:t xml:space="preserve">that the moderate treatment sequences modelled by the </w:t>
      </w:r>
      <w:r w:rsidR="00194FF4">
        <w:rPr>
          <w:lang w:val="en-GB"/>
        </w:rPr>
        <w:t>a</w:t>
      </w:r>
      <w:r w:rsidR="00CA51DE" w:rsidRPr="00C416F0">
        <w:rPr>
          <w:lang w:val="en-GB"/>
        </w:rPr>
        <w:t xml:space="preserve">ssessment </w:t>
      </w:r>
      <w:r>
        <w:rPr>
          <w:lang w:val="en-GB"/>
        </w:rPr>
        <w:t>g</w:t>
      </w:r>
      <w:r w:rsidRPr="00C416F0">
        <w:rPr>
          <w:lang w:val="en-GB"/>
        </w:rPr>
        <w:t xml:space="preserve">roup </w:t>
      </w:r>
      <w:r w:rsidR="00CA51DE" w:rsidRPr="00C416F0">
        <w:rPr>
          <w:lang w:val="en-GB"/>
        </w:rPr>
        <w:t xml:space="preserve">did not consider cycling of </w:t>
      </w:r>
      <w:r w:rsidR="00593A13">
        <w:rPr>
          <w:lang w:val="en-GB"/>
        </w:rPr>
        <w:t>tumour necrosis factor (</w:t>
      </w:r>
      <w:r w:rsidR="00CA51DE" w:rsidRPr="00C416F0">
        <w:rPr>
          <w:lang w:val="en-GB"/>
        </w:rPr>
        <w:t>TNF</w:t>
      </w:r>
      <w:r w:rsidR="00593A13">
        <w:rPr>
          <w:lang w:val="en-GB"/>
        </w:rPr>
        <w:t>)</w:t>
      </w:r>
      <w:r w:rsidR="00CA51DE" w:rsidRPr="00C416F0">
        <w:rPr>
          <w:lang w:val="en-GB"/>
        </w:rPr>
        <w:t>-alpha inhibitors</w:t>
      </w:r>
      <w:r>
        <w:rPr>
          <w:lang w:val="en-GB"/>
        </w:rPr>
        <w:t xml:space="preserve"> (taking another TNF-alpha inhibitor after a first one). This would happen</w:t>
      </w:r>
      <w:r w:rsidR="00CA51DE" w:rsidRPr="00C416F0">
        <w:rPr>
          <w:lang w:val="en-GB"/>
        </w:rPr>
        <w:t xml:space="preserve"> if a person does not tolerate the first treatment</w:t>
      </w:r>
      <w:r w:rsidR="008218D8">
        <w:rPr>
          <w:lang w:val="en-GB"/>
        </w:rPr>
        <w:t>,</w:t>
      </w:r>
      <w:r w:rsidR="00CA51DE" w:rsidRPr="00C416F0">
        <w:rPr>
          <w:lang w:val="en-GB"/>
        </w:rPr>
        <w:t xml:space="preserve"> or if their disease </w:t>
      </w:r>
      <w:r w:rsidR="00A83156">
        <w:rPr>
          <w:lang w:val="en-GB"/>
        </w:rPr>
        <w:t xml:space="preserve">either does not respond or </w:t>
      </w:r>
      <w:r>
        <w:rPr>
          <w:lang w:val="en-GB"/>
        </w:rPr>
        <w:t>respond</w:t>
      </w:r>
      <w:r w:rsidR="00962DE5">
        <w:rPr>
          <w:lang w:val="en-GB"/>
        </w:rPr>
        <w:t>s</w:t>
      </w:r>
      <w:r>
        <w:rPr>
          <w:lang w:val="en-GB"/>
        </w:rPr>
        <w:t xml:space="preserve"> </w:t>
      </w:r>
      <w:r w:rsidR="00962DE5">
        <w:rPr>
          <w:lang w:val="en-GB"/>
        </w:rPr>
        <w:t>in</w:t>
      </w:r>
      <w:r>
        <w:rPr>
          <w:lang w:val="en-GB"/>
        </w:rPr>
        <w:t>adequately</w:t>
      </w:r>
      <w:r w:rsidR="00A83156">
        <w:rPr>
          <w:lang w:val="en-GB"/>
        </w:rPr>
        <w:t xml:space="preserve"> after an initial response</w:t>
      </w:r>
      <w:r w:rsidR="00CA51DE" w:rsidRPr="00C416F0">
        <w:rPr>
          <w:lang w:val="en-GB"/>
        </w:rPr>
        <w:t>. The clinical experts explained that because the technologies are protein-based drugs, there is a risk of developing antidrug antibodies</w:t>
      </w:r>
      <w:r>
        <w:rPr>
          <w:lang w:val="en-GB"/>
        </w:rPr>
        <w:t>,</w:t>
      </w:r>
      <w:r w:rsidR="00CA51DE" w:rsidRPr="00C416F0">
        <w:rPr>
          <w:lang w:val="en-GB"/>
        </w:rPr>
        <w:t xml:space="preserve"> which reduces the treatment benefit over time. They </w:t>
      </w:r>
      <w:r>
        <w:rPr>
          <w:lang w:val="en-GB"/>
        </w:rPr>
        <w:t>noted</w:t>
      </w:r>
      <w:r w:rsidRPr="00C416F0">
        <w:rPr>
          <w:lang w:val="en-GB"/>
        </w:rPr>
        <w:t xml:space="preserve"> </w:t>
      </w:r>
      <w:r w:rsidR="00CA51DE" w:rsidRPr="00C416F0">
        <w:rPr>
          <w:lang w:val="en-GB"/>
        </w:rPr>
        <w:t xml:space="preserve">that around 50% of people will stop treatment within </w:t>
      </w:r>
      <w:r w:rsidRPr="00C416F0">
        <w:rPr>
          <w:lang w:val="en-GB"/>
        </w:rPr>
        <w:t>3</w:t>
      </w:r>
      <w:r>
        <w:rPr>
          <w:lang w:val="en-GB"/>
        </w:rPr>
        <w:t> </w:t>
      </w:r>
      <w:r w:rsidR="00CA51DE" w:rsidRPr="00C416F0">
        <w:rPr>
          <w:lang w:val="en-GB"/>
        </w:rPr>
        <w:t xml:space="preserve">years because of loss of efficacy. The clinical experts explained that </w:t>
      </w:r>
      <w:r w:rsidR="00A83156">
        <w:rPr>
          <w:lang w:val="en-GB"/>
        </w:rPr>
        <w:t xml:space="preserve">the </w:t>
      </w:r>
      <w:r w:rsidR="00CA51DE" w:rsidRPr="00C416F0">
        <w:rPr>
          <w:lang w:val="en-GB"/>
        </w:rPr>
        <w:t>cycling</w:t>
      </w:r>
      <w:r w:rsidR="00796E1E">
        <w:rPr>
          <w:lang w:val="en-GB"/>
        </w:rPr>
        <w:t xml:space="preserve"> </w:t>
      </w:r>
      <w:r w:rsidR="00A83156">
        <w:rPr>
          <w:lang w:val="en-GB"/>
        </w:rPr>
        <w:t xml:space="preserve">of </w:t>
      </w:r>
      <w:r w:rsidR="00796E1E">
        <w:rPr>
          <w:lang w:val="en-GB"/>
        </w:rPr>
        <w:t>TNF-alpha inhibitors</w:t>
      </w:r>
      <w:r w:rsidR="00CA51DE" w:rsidRPr="00C416F0">
        <w:rPr>
          <w:lang w:val="en-GB"/>
        </w:rPr>
        <w:t xml:space="preserve"> does have a place in </w:t>
      </w:r>
      <w:r w:rsidR="00796E1E">
        <w:rPr>
          <w:lang w:val="en-GB"/>
        </w:rPr>
        <w:t>treating</w:t>
      </w:r>
      <w:r w:rsidR="00CA51DE" w:rsidRPr="00C416F0">
        <w:rPr>
          <w:lang w:val="en-GB"/>
        </w:rPr>
        <w:t xml:space="preserve"> rheumatoid </w:t>
      </w:r>
      <w:r w:rsidR="00CA51DE" w:rsidRPr="00C416F0">
        <w:rPr>
          <w:lang w:val="en-GB"/>
        </w:rPr>
        <w:lastRenderedPageBreak/>
        <w:t>arthritis</w:t>
      </w:r>
      <w:r w:rsidR="00796E1E">
        <w:rPr>
          <w:lang w:val="en-GB"/>
        </w:rPr>
        <w:t xml:space="preserve">. But they </w:t>
      </w:r>
      <w:r w:rsidR="0015497E">
        <w:rPr>
          <w:lang w:val="en-GB"/>
        </w:rPr>
        <w:t>noted</w:t>
      </w:r>
      <w:r w:rsidR="00796E1E">
        <w:rPr>
          <w:lang w:val="en-GB"/>
        </w:rPr>
        <w:t xml:space="preserve"> that</w:t>
      </w:r>
      <w:r w:rsidR="00CA51DE" w:rsidRPr="00C416F0">
        <w:rPr>
          <w:lang w:val="en-GB"/>
        </w:rPr>
        <w:t xml:space="preserve"> changing the treatment to a drug with a different mechanism of action may be more appropriate if the loss of response is because of the development of antidrug antibodies. They explained that for this reason having a variety of therapeutic choices for moderate disease would benefit </w:t>
      </w:r>
      <w:r w:rsidR="00796E1E">
        <w:rPr>
          <w:lang w:val="en-GB"/>
        </w:rPr>
        <w:t>people</w:t>
      </w:r>
      <w:r w:rsidR="00CA51DE" w:rsidRPr="00C416F0">
        <w:rPr>
          <w:lang w:val="en-GB"/>
        </w:rPr>
        <w:t xml:space="preserve">. The committee </w:t>
      </w:r>
      <w:r w:rsidR="00796E1E">
        <w:rPr>
          <w:lang w:val="en-GB"/>
        </w:rPr>
        <w:t>noted</w:t>
      </w:r>
      <w:r w:rsidR="00CA51DE" w:rsidRPr="00C416F0">
        <w:rPr>
          <w:lang w:val="en-GB"/>
        </w:rPr>
        <w:t xml:space="preserve"> that the scope for the appraisal includes only first-line use of biological DMARDs </w:t>
      </w:r>
      <w:r w:rsidR="00A676CA">
        <w:rPr>
          <w:lang w:val="en-GB"/>
        </w:rPr>
        <w:t>(</w:t>
      </w:r>
      <w:r w:rsidR="00A676CA" w:rsidRPr="00A676CA">
        <w:rPr>
          <w:lang w:val="en-GB"/>
        </w:rPr>
        <w:t>after a person’s disease has responded inadequately to</w:t>
      </w:r>
      <w:r w:rsidR="00A36EF0">
        <w:rPr>
          <w:lang w:val="en-GB"/>
        </w:rPr>
        <w:t xml:space="preserve"> 2 or more</w:t>
      </w:r>
      <w:r w:rsidR="00A676CA" w:rsidRPr="00A676CA">
        <w:rPr>
          <w:lang w:val="en-GB"/>
        </w:rPr>
        <w:t xml:space="preserve"> conventional DMARDs</w:t>
      </w:r>
      <w:r w:rsidR="00A676CA">
        <w:rPr>
          <w:lang w:val="en-GB"/>
        </w:rPr>
        <w:t>)</w:t>
      </w:r>
      <w:r w:rsidR="00A676CA" w:rsidRPr="00A676CA">
        <w:rPr>
          <w:lang w:val="en-GB"/>
        </w:rPr>
        <w:t xml:space="preserve"> </w:t>
      </w:r>
      <w:r w:rsidR="00CA51DE" w:rsidRPr="00C416F0">
        <w:rPr>
          <w:lang w:val="en-GB"/>
        </w:rPr>
        <w:t xml:space="preserve">as in </w:t>
      </w:r>
      <w:hyperlink r:id="rId19" w:history="1">
        <w:r w:rsidR="00CA51DE" w:rsidRPr="00C416F0">
          <w:rPr>
            <w:rStyle w:val="Hyperlink"/>
            <w:lang w:val="en-GB"/>
          </w:rPr>
          <w:t>NICE technology appraisal 375</w:t>
        </w:r>
      </w:hyperlink>
      <w:r w:rsidR="00CA51DE" w:rsidRPr="00C416F0">
        <w:rPr>
          <w:lang w:val="en-GB"/>
        </w:rPr>
        <w:t>. It agreed that it was appropriate to assume that after the first biological treatment has failed, NICE</w:t>
      </w:r>
      <w:r w:rsidR="001529A7">
        <w:rPr>
          <w:lang w:val="en-GB"/>
        </w:rPr>
        <w:t xml:space="preserve"> technology appraisal</w:t>
      </w:r>
      <w:r w:rsidR="00CA51DE" w:rsidRPr="00C416F0">
        <w:rPr>
          <w:lang w:val="en-GB"/>
        </w:rPr>
        <w:t xml:space="preserve"> guidance</w:t>
      </w:r>
      <w:r w:rsidR="006424DB">
        <w:rPr>
          <w:lang w:val="en-GB"/>
        </w:rPr>
        <w:t xml:space="preserve"> for </w:t>
      </w:r>
      <w:r w:rsidR="00321858">
        <w:rPr>
          <w:lang w:val="en-GB"/>
        </w:rPr>
        <w:t xml:space="preserve">severe </w:t>
      </w:r>
      <w:r w:rsidR="00A83156">
        <w:rPr>
          <w:lang w:val="en-GB"/>
        </w:rPr>
        <w:t xml:space="preserve">rheumatoid arthritis </w:t>
      </w:r>
      <w:r w:rsidR="00CA51DE" w:rsidRPr="00C416F0">
        <w:rPr>
          <w:lang w:val="en-GB"/>
        </w:rPr>
        <w:t>was followed</w:t>
      </w:r>
      <w:bookmarkEnd w:id="9"/>
      <w:r w:rsidR="00CA51DE" w:rsidRPr="00C416F0">
        <w:rPr>
          <w:rStyle w:val="NICEnormalChar"/>
          <w:szCs w:val="28"/>
        </w:rPr>
        <w:t>.</w:t>
      </w:r>
    </w:p>
    <w:p w14:paraId="73BE7895" w14:textId="77777777" w:rsidR="00710DDA" w:rsidRPr="00C416F0" w:rsidRDefault="00710DDA" w:rsidP="00710DDA">
      <w:pPr>
        <w:pStyle w:val="Heading2"/>
      </w:pPr>
      <w:r w:rsidRPr="00C416F0">
        <w:t xml:space="preserve">Clinical evidence </w:t>
      </w:r>
    </w:p>
    <w:p w14:paraId="6D24D733" w14:textId="2AD8DB9B" w:rsidR="00710DDA" w:rsidRPr="00C416F0" w:rsidRDefault="00710DDA" w:rsidP="00710DDA">
      <w:pPr>
        <w:pStyle w:val="Heading3"/>
      </w:pPr>
      <w:r w:rsidRPr="00C416F0">
        <w:t xml:space="preserve">The clinical evidence used </w:t>
      </w:r>
      <w:r w:rsidR="000C68BE" w:rsidRPr="00C416F0">
        <w:t>in</w:t>
      </w:r>
      <w:r w:rsidRPr="00C416F0">
        <w:t xml:space="preserve"> NICE technology appraisal 375 </w:t>
      </w:r>
      <w:r w:rsidR="000C68BE" w:rsidRPr="00C416F0">
        <w:t>is</w:t>
      </w:r>
      <w:r w:rsidRPr="00C416F0">
        <w:t xml:space="preserve"> </w:t>
      </w:r>
      <w:r w:rsidR="000C68BE" w:rsidRPr="00C416F0">
        <w:t xml:space="preserve">appropriate </w:t>
      </w:r>
      <w:r w:rsidRPr="00C416F0">
        <w:t>for this partial review</w:t>
      </w:r>
    </w:p>
    <w:p w14:paraId="59B68AEE" w14:textId="7A2F1C89" w:rsidR="00E13F92" w:rsidRPr="00C416F0" w:rsidRDefault="00710DDA" w:rsidP="00AC7428">
      <w:pPr>
        <w:pStyle w:val="Numberedlevel2text"/>
        <w:numPr>
          <w:ilvl w:val="1"/>
          <w:numId w:val="9"/>
        </w:numPr>
        <w:rPr>
          <w:lang w:val="en-GB"/>
        </w:rPr>
      </w:pPr>
      <w:r w:rsidRPr="00C416F0">
        <w:rPr>
          <w:lang w:val="en-GB"/>
        </w:rPr>
        <w:t xml:space="preserve">The clinical evidence </w:t>
      </w:r>
      <w:r w:rsidR="00714885">
        <w:rPr>
          <w:lang w:val="en-GB"/>
        </w:rPr>
        <w:t>used in this review is</w:t>
      </w:r>
      <w:r w:rsidR="001C1F65">
        <w:rPr>
          <w:lang w:val="en-GB"/>
        </w:rPr>
        <w:t xml:space="preserve"> the same as that assessed in </w:t>
      </w:r>
      <w:hyperlink r:id="rId20" w:history="1">
        <w:r w:rsidR="001C1F65" w:rsidRPr="00C416F0">
          <w:rPr>
            <w:rStyle w:val="Hyperlink"/>
            <w:lang w:val="en-GB"/>
          </w:rPr>
          <w:t>NICE technology appraisal 375</w:t>
        </w:r>
      </w:hyperlink>
      <w:r w:rsidRPr="00C416F0">
        <w:rPr>
          <w:lang w:val="en-GB"/>
        </w:rPr>
        <w:t xml:space="preserve">. </w:t>
      </w:r>
      <w:r w:rsidR="001C1F65">
        <w:rPr>
          <w:lang w:val="en-GB"/>
        </w:rPr>
        <w:t>So</w:t>
      </w:r>
      <w:r w:rsidRPr="00C416F0">
        <w:rPr>
          <w:lang w:val="en-GB"/>
        </w:rPr>
        <w:t>, the treatment efficacy of the interventions and comparator</w:t>
      </w:r>
      <w:r w:rsidR="00A8126B" w:rsidRPr="00C416F0">
        <w:rPr>
          <w:lang w:val="en-GB"/>
        </w:rPr>
        <w:t>s</w:t>
      </w:r>
      <w:r w:rsidR="00386B5F" w:rsidRPr="00C416F0">
        <w:rPr>
          <w:lang w:val="en-GB"/>
        </w:rPr>
        <w:t xml:space="preserve"> </w:t>
      </w:r>
      <w:r w:rsidRPr="00C416F0">
        <w:rPr>
          <w:lang w:val="en-GB"/>
        </w:rPr>
        <w:t xml:space="preserve">(adalimumab, etanercept, infliximab, abatacept </w:t>
      </w:r>
      <w:r w:rsidR="00386B5F" w:rsidRPr="00C416F0">
        <w:rPr>
          <w:lang w:val="en-GB"/>
        </w:rPr>
        <w:t xml:space="preserve">all with </w:t>
      </w:r>
      <w:r w:rsidRPr="00C416F0">
        <w:rPr>
          <w:lang w:val="en-GB"/>
        </w:rPr>
        <w:t>methotrexate</w:t>
      </w:r>
      <w:r w:rsidR="0079658B">
        <w:rPr>
          <w:lang w:val="en-GB"/>
        </w:rPr>
        <w:t>, and methotrexate alone</w:t>
      </w:r>
      <w:r w:rsidRPr="00C416F0">
        <w:rPr>
          <w:lang w:val="en-GB"/>
        </w:rPr>
        <w:t>) and subsequent treatments (rituximab and tocilizumab</w:t>
      </w:r>
      <w:r w:rsidR="00386B5F" w:rsidRPr="00C416F0">
        <w:rPr>
          <w:lang w:val="en-GB"/>
        </w:rPr>
        <w:t xml:space="preserve"> both with methotrexate</w:t>
      </w:r>
      <w:r w:rsidRPr="00C416F0">
        <w:rPr>
          <w:lang w:val="en-GB"/>
        </w:rPr>
        <w:t xml:space="preserve">) </w:t>
      </w:r>
      <w:r w:rsidR="008218D8">
        <w:rPr>
          <w:lang w:val="en-GB"/>
        </w:rPr>
        <w:t>were</w:t>
      </w:r>
      <w:r w:rsidR="008218D8" w:rsidRPr="00C416F0">
        <w:rPr>
          <w:lang w:val="en-GB"/>
        </w:rPr>
        <w:t xml:space="preserve"> </w:t>
      </w:r>
      <w:r w:rsidR="00FE56F7" w:rsidRPr="00C416F0">
        <w:rPr>
          <w:lang w:val="en-GB"/>
        </w:rPr>
        <w:t>informed by</w:t>
      </w:r>
      <w:r w:rsidRPr="00C416F0">
        <w:rPr>
          <w:lang w:val="en-GB"/>
        </w:rPr>
        <w:t xml:space="preserve"> the results of the network meta-analysis </w:t>
      </w:r>
      <w:r w:rsidR="001C1F65">
        <w:rPr>
          <w:lang w:val="en-GB"/>
        </w:rPr>
        <w:t>done</w:t>
      </w:r>
      <w:r w:rsidR="001C1F65" w:rsidRPr="00C416F0">
        <w:rPr>
          <w:lang w:val="en-GB"/>
        </w:rPr>
        <w:t xml:space="preserve"> </w:t>
      </w:r>
      <w:r w:rsidRPr="00C416F0">
        <w:rPr>
          <w:lang w:val="en-GB"/>
        </w:rPr>
        <w:t xml:space="preserve">by </w:t>
      </w:r>
      <w:r w:rsidR="00796E1E" w:rsidRPr="00C416F0">
        <w:rPr>
          <w:lang w:val="en-GB"/>
        </w:rPr>
        <w:t>the</w:t>
      </w:r>
      <w:r w:rsidR="00796E1E">
        <w:rPr>
          <w:lang w:val="en-GB"/>
        </w:rPr>
        <w:t xml:space="preserve"> </w:t>
      </w:r>
      <w:r w:rsidR="00714885">
        <w:rPr>
          <w:lang w:val="en-GB"/>
        </w:rPr>
        <w:t>assessment group</w:t>
      </w:r>
      <w:r w:rsidRPr="00C416F0">
        <w:rPr>
          <w:lang w:val="en-GB"/>
        </w:rPr>
        <w:t xml:space="preserve"> in </w:t>
      </w:r>
      <w:hyperlink r:id="rId21" w:history="1">
        <w:r w:rsidRPr="00C416F0">
          <w:rPr>
            <w:rStyle w:val="Hyperlink"/>
            <w:lang w:val="en-GB"/>
          </w:rPr>
          <w:t>NICE technology appraisal 375</w:t>
        </w:r>
      </w:hyperlink>
      <w:r w:rsidR="00E13F92" w:rsidRPr="00C416F0">
        <w:rPr>
          <w:lang w:val="en-GB"/>
        </w:rPr>
        <w:t xml:space="preserve">. </w:t>
      </w:r>
      <w:r w:rsidR="002D196A" w:rsidRPr="00C416F0">
        <w:rPr>
          <w:lang w:val="en-GB"/>
        </w:rPr>
        <w:t>T</w:t>
      </w:r>
      <w:r w:rsidRPr="00C416F0">
        <w:rPr>
          <w:lang w:val="en-GB"/>
        </w:rPr>
        <w:t xml:space="preserve">he trials in the network meta-analysis included </w:t>
      </w:r>
      <w:r w:rsidR="00CF0B03">
        <w:rPr>
          <w:lang w:val="en-GB"/>
        </w:rPr>
        <w:t>people</w:t>
      </w:r>
      <w:r w:rsidR="00CF0B03" w:rsidRPr="00C416F0">
        <w:rPr>
          <w:lang w:val="en-GB"/>
        </w:rPr>
        <w:t xml:space="preserve"> </w:t>
      </w:r>
      <w:r w:rsidRPr="00C416F0">
        <w:rPr>
          <w:lang w:val="en-GB"/>
        </w:rPr>
        <w:t xml:space="preserve">with moderate and severe disease, </w:t>
      </w:r>
      <w:r w:rsidR="002D196A" w:rsidRPr="00C416F0">
        <w:rPr>
          <w:lang w:val="en-GB"/>
        </w:rPr>
        <w:t xml:space="preserve">so </w:t>
      </w:r>
      <w:r w:rsidRPr="00C416F0">
        <w:rPr>
          <w:lang w:val="en-GB"/>
        </w:rPr>
        <w:t xml:space="preserve">the efficacy of treatments </w:t>
      </w:r>
      <w:r w:rsidR="008218D8">
        <w:rPr>
          <w:lang w:val="en-GB"/>
        </w:rPr>
        <w:t>was</w:t>
      </w:r>
      <w:r w:rsidR="008218D8" w:rsidRPr="00C416F0">
        <w:rPr>
          <w:lang w:val="en-GB"/>
        </w:rPr>
        <w:t xml:space="preserve"> </w:t>
      </w:r>
      <w:r w:rsidRPr="00C416F0">
        <w:rPr>
          <w:lang w:val="en-GB"/>
        </w:rPr>
        <w:t xml:space="preserve">assumed to be the same in both populations. The committee considered the uncertainty around the </w:t>
      </w:r>
      <w:r w:rsidR="00FE56F7" w:rsidRPr="00C416F0">
        <w:rPr>
          <w:lang w:val="en-GB"/>
        </w:rPr>
        <w:t xml:space="preserve">midpoint </w:t>
      </w:r>
      <w:r w:rsidRPr="00C416F0">
        <w:rPr>
          <w:lang w:val="en-GB"/>
        </w:rPr>
        <w:t xml:space="preserve">estimates </w:t>
      </w:r>
      <w:r w:rsidR="001529A7">
        <w:rPr>
          <w:lang w:val="en-GB"/>
        </w:rPr>
        <w:t xml:space="preserve">used </w:t>
      </w:r>
      <w:r w:rsidRPr="00C416F0">
        <w:rPr>
          <w:lang w:val="en-GB"/>
        </w:rPr>
        <w:t xml:space="preserve">when making </w:t>
      </w:r>
      <w:r w:rsidR="001C1F65">
        <w:rPr>
          <w:lang w:val="en-GB"/>
        </w:rPr>
        <w:t>its</w:t>
      </w:r>
      <w:r w:rsidR="001C1F65" w:rsidRPr="00C416F0">
        <w:rPr>
          <w:lang w:val="en-GB"/>
        </w:rPr>
        <w:t xml:space="preserve"> </w:t>
      </w:r>
      <w:r w:rsidRPr="00C416F0">
        <w:rPr>
          <w:lang w:val="en-GB"/>
        </w:rPr>
        <w:t>recommendations for</w:t>
      </w:r>
      <w:r w:rsidR="000D55ED" w:rsidRPr="00C416F0">
        <w:rPr>
          <w:lang w:val="en-GB"/>
        </w:rPr>
        <w:t xml:space="preserve"> treatments used in</w:t>
      </w:r>
      <w:r w:rsidRPr="00C416F0">
        <w:rPr>
          <w:lang w:val="en-GB"/>
        </w:rPr>
        <w:t xml:space="preserve"> severe disease in </w:t>
      </w:r>
      <w:hyperlink r:id="rId22" w:history="1">
        <w:r w:rsidR="00FE56F7" w:rsidRPr="00C416F0">
          <w:rPr>
            <w:rStyle w:val="Hyperlink"/>
            <w:lang w:val="en-GB"/>
          </w:rPr>
          <w:t>NICE technology appraisal 375</w:t>
        </w:r>
      </w:hyperlink>
      <w:r w:rsidRPr="00C416F0">
        <w:rPr>
          <w:lang w:val="en-GB"/>
        </w:rPr>
        <w:t xml:space="preserve">. The clinical experts explained that there is </w:t>
      </w:r>
      <w:r w:rsidR="001C1F65" w:rsidRPr="00C416F0">
        <w:rPr>
          <w:lang w:val="en-GB"/>
        </w:rPr>
        <w:t>long</w:t>
      </w:r>
      <w:r w:rsidR="001C1F65">
        <w:rPr>
          <w:lang w:val="en-GB"/>
        </w:rPr>
        <w:t>-</w:t>
      </w:r>
      <w:r w:rsidRPr="00C416F0">
        <w:rPr>
          <w:lang w:val="en-GB"/>
        </w:rPr>
        <w:t xml:space="preserve">term clinical trial evidence and real-world evidence </w:t>
      </w:r>
      <w:r w:rsidR="001C1F65">
        <w:rPr>
          <w:lang w:val="en-GB"/>
        </w:rPr>
        <w:t>that</w:t>
      </w:r>
      <w:r w:rsidR="001C1F65" w:rsidRPr="00C416F0">
        <w:rPr>
          <w:lang w:val="en-GB"/>
        </w:rPr>
        <w:t xml:space="preserve"> </w:t>
      </w:r>
      <w:r w:rsidRPr="00C416F0">
        <w:rPr>
          <w:lang w:val="en-GB"/>
        </w:rPr>
        <w:t xml:space="preserve">strongly supports </w:t>
      </w:r>
      <w:r w:rsidR="001C1F65">
        <w:rPr>
          <w:lang w:val="en-GB"/>
        </w:rPr>
        <w:t>using</w:t>
      </w:r>
      <w:r w:rsidRPr="00C416F0">
        <w:rPr>
          <w:lang w:val="en-GB"/>
        </w:rPr>
        <w:t xml:space="preserve"> biological DMARDs </w:t>
      </w:r>
      <w:r w:rsidR="001C1F65">
        <w:rPr>
          <w:lang w:val="en-GB"/>
        </w:rPr>
        <w:t xml:space="preserve">for treating </w:t>
      </w:r>
      <w:r w:rsidRPr="00C416F0">
        <w:rPr>
          <w:lang w:val="en-GB"/>
        </w:rPr>
        <w:t xml:space="preserve">moderate active disease. The committee </w:t>
      </w:r>
      <w:r w:rsidR="005F6F7B" w:rsidRPr="00C416F0">
        <w:rPr>
          <w:lang w:val="en-GB"/>
        </w:rPr>
        <w:t xml:space="preserve">concluded </w:t>
      </w:r>
      <w:r w:rsidRPr="00C416F0">
        <w:rPr>
          <w:lang w:val="en-GB"/>
        </w:rPr>
        <w:t xml:space="preserve">that </w:t>
      </w:r>
      <w:r w:rsidR="00896228" w:rsidRPr="00C416F0">
        <w:rPr>
          <w:lang w:val="en-GB"/>
        </w:rPr>
        <w:t>t</w:t>
      </w:r>
      <w:r w:rsidR="005F6F7B" w:rsidRPr="00C416F0">
        <w:rPr>
          <w:lang w:val="en-GB"/>
        </w:rPr>
        <w:t xml:space="preserve">he </w:t>
      </w:r>
      <w:r w:rsidRPr="00C416F0">
        <w:rPr>
          <w:lang w:val="en-GB"/>
        </w:rPr>
        <w:t xml:space="preserve">efficacy data accepted in </w:t>
      </w:r>
      <w:r w:rsidR="00A8126B" w:rsidRPr="00C416F0">
        <w:rPr>
          <w:lang w:val="en-GB"/>
        </w:rPr>
        <w:t xml:space="preserve">the original guidance </w:t>
      </w:r>
      <w:r w:rsidRPr="00C416F0">
        <w:rPr>
          <w:lang w:val="en-GB"/>
        </w:rPr>
        <w:t xml:space="preserve">was appropriate to assess </w:t>
      </w:r>
      <w:r w:rsidRPr="00C416F0">
        <w:rPr>
          <w:lang w:val="en-GB"/>
        </w:rPr>
        <w:lastRenderedPageBreak/>
        <w:t>the cost</w:t>
      </w:r>
      <w:r w:rsidR="006405C0">
        <w:rPr>
          <w:lang w:val="en-GB"/>
        </w:rPr>
        <w:t xml:space="preserve"> </w:t>
      </w:r>
      <w:r w:rsidRPr="00C416F0">
        <w:rPr>
          <w:lang w:val="en-GB"/>
        </w:rPr>
        <w:t xml:space="preserve">effectiveness of adalimumab, etanercept, infliximab and abatacept </w:t>
      </w:r>
      <w:r w:rsidR="001C1F65">
        <w:rPr>
          <w:lang w:val="en-GB"/>
        </w:rPr>
        <w:t>for</w:t>
      </w:r>
      <w:r w:rsidR="001C1F65" w:rsidRPr="00C416F0">
        <w:rPr>
          <w:lang w:val="en-GB"/>
        </w:rPr>
        <w:t xml:space="preserve"> </w:t>
      </w:r>
      <w:r w:rsidRPr="00C416F0">
        <w:rPr>
          <w:lang w:val="en-GB"/>
        </w:rPr>
        <w:t>people with moderate active disease</w:t>
      </w:r>
      <w:r w:rsidR="005F6F7B" w:rsidRPr="00C416F0">
        <w:rPr>
          <w:lang w:val="en-GB"/>
        </w:rPr>
        <w:t xml:space="preserve"> as part of</w:t>
      </w:r>
      <w:r w:rsidRPr="00C416F0">
        <w:rPr>
          <w:lang w:val="en-GB"/>
        </w:rPr>
        <w:t xml:space="preserve"> this partial review.</w:t>
      </w:r>
      <w:r w:rsidR="00B129F3">
        <w:rPr>
          <w:lang w:val="en-GB"/>
        </w:rPr>
        <w:t xml:space="preserve"> </w:t>
      </w:r>
    </w:p>
    <w:p w14:paraId="6814EF20" w14:textId="4EA42ED4" w:rsidR="00710DDA" w:rsidRPr="00C416F0" w:rsidRDefault="00710DDA" w:rsidP="00710DDA">
      <w:pPr>
        <w:pStyle w:val="Heading2"/>
      </w:pPr>
      <w:r w:rsidRPr="00C416F0">
        <w:t xml:space="preserve">The </w:t>
      </w:r>
      <w:r w:rsidR="001C1F65">
        <w:t>a</w:t>
      </w:r>
      <w:r w:rsidR="001C1F65" w:rsidRPr="00C416F0">
        <w:t xml:space="preserve">ssessment </w:t>
      </w:r>
      <w:r w:rsidR="001C1F65">
        <w:t>g</w:t>
      </w:r>
      <w:r w:rsidR="001C1F65" w:rsidRPr="00C416F0">
        <w:t xml:space="preserve">roup’s </w:t>
      </w:r>
      <w:r w:rsidRPr="00C416F0">
        <w:t>model</w:t>
      </w:r>
    </w:p>
    <w:p w14:paraId="51DE26A7" w14:textId="2C2B37BE" w:rsidR="000C68BE" w:rsidRPr="00C416F0" w:rsidRDefault="000C68BE" w:rsidP="006D1064">
      <w:pPr>
        <w:pStyle w:val="Heading3"/>
      </w:pPr>
      <w:bookmarkStart w:id="10" w:name="_The_cost-effectiveness_model"/>
      <w:bookmarkEnd w:id="10"/>
      <w:r w:rsidRPr="00C416F0">
        <w:t>The cost-effectiveness model used in NICE technology appraisal 375 is appropriate for this partial review</w:t>
      </w:r>
    </w:p>
    <w:p w14:paraId="5A2B2493" w14:textId="08196B8E" w:rsidR="00710DDA" w:rsidRPr="00C416F0" w:rsidRDefault="00710DDA" w:rsidP="00AC7428">
      <w:pPr>
        <w:pStyle w:val="Numberedlevel2text"/>
        <w:numPr>
          <w:ilvl w:val="1"/>
          <w:numId w:val="9"/>
        </w:numPr>
        <w:rPr>
          <w:rStyle w:val="NICEnormalChar"/>
          <w:szCs w:val="28"/>
        </w:rPr>
      </w:pPr>
      <w:r w:rsidRPr="00C416F0">
        <w:rPr>
          <w:lang w:val="en-GB"/>
        </w:rPr>
        <w:t>The</w:t>
      </w:r>
      <w:r w:rsidR="00291107">
        <w:rPr>
          <w:lang w:val="en-GB"/>
        </w:rPr>
        <w:t xml:space="preserve"> a</w:t>
      </w:r>
      <w:r w:rsidR="00291107" w:rsidRPr="00C416F0">
        <w:rPr>
          <w:lang w:val="en-GB"/>
        </w:rPr>
        <w:t xml:space="preserve">ssessment </w:t>
      </w:r>
      <w:r w:rsidR="00291107">
        <w:rPr>
          <w:lang w:val="en-GB"/>
        </w:rPr>
        <w:t>g</w:t>
      </w:r>
      <w:r w:rsidR="00291107" w:rsidRPr="00C416F0">
        <w:rPr>
          <w:lang w:val="en-GB"/>
        </w:rPr>
        <w:t xml:space="preserve">roup </w:t>
      </w:r>
      <w:r w:rsidRPr="00C416F0">
        <w:rPr>
          <w:lang w:val="en-GB"/>
        </w:rPr>
        <w:t xml:space="preserve">developed an individual patient-based discrete event simulation model for </w:t>
      </w:r>
      <w:r w:rsidR="00291107">
        <w:rPr>
          <w:lang w:val="en-GB"/>
        </w:rPr>
        <w:t>its</w:t>
      </w:r>
      <w:r w:rsidR="00291107" w:rsidRPr="00C416F0">
        <w:rPr>
          <w:lang w:val="en-GB"/>
        </w:rPr>
        <w:t xml:space="preserve"> </w:t>
      </w:r>
      <w:r w:rsidRPr="00C416F0">
        <w:rPr>
          <w:lang w:val="en-GB"/>
        </w:rPr>
        <w:t xml:space="preserve">economic evaluation in </w:t>
      </w:r>
      <w:hyperlink r:id="rId23" w:history="1">
        <w:r w:rsidR="000D55ED" w:rsidRPr="00C416F0">
          <w:rPr>
            <w:rStyle w:val="Hyperlink"/>
            <w:lang w:val="en-GB"/>
          </w:rPr>
          <w:t>NICE technology appraisal 375</w:t>
        </w:r>
      </w:hyperlink>
      <w:r w:rsidRPr="00C416F0">
        <w:rPr>
          <w:lang w:val="en-GB"/>
        </w:rPr>
        <w:t xml:space="preserve">. </w:t>
      </w:r>
      <w:r w:rsidR="00074853" w:rsidRPr="00C416F0">
        <w:rPr>
          <w:lang w:val="en-GB"/>
        </w:rPr>
        <w:t xml:space="preserve">The scope for </w:t>
      </w:r>
      <w:r w:rsidR="001F11E6" w:rsidRPr="00C416F0">
        <w:rPr>
          <w:lang w:val="en-GB"/>
        </w:rPr>
        <w:t>th</w:t>
      </w:r>
      <w:r w:rsidR="001F11E6">
        <w:rPr>
          <w:lang w:val="en-GB"/>
        </w:rPr>
        <w:t>is</w:t>
      </w:r>
      <w:r w:rsidR="001F11E6" w:rsidRPr="00C416F0">
        <w:rPr>
          <w:lang w:val="en-GB"/>
        </w:rPr>
        <w:t xml:space="preserve"> </w:t>
      </w:r>
      <w:r w:rsidR="00074853" w:rsidRPr="00C416F0">
        <w:rPr>
          <w:lang w:val="en-GB"/>
        </w:rPr>
        <w:t xml:space="preserve">appraisal </w:t>
      </w:r>
      <w:r w:rsidR="001F11E6" w:rsidRPr="00C416F0">
        <w:rPr>
          <w:lang w:val="en-GB"/>
        </w:rPr>
        <w:t>include</w:t>
      </w:r>
      <w:r w:rsidR="001F11E6">
        <w:rPr>
          <w:lang w:val="en-GB"/>
        </w:rPr>
        <w:t>d</w:t>
      </w:r>
      <w:r w:rsidR="001F11E6" w:rsidRPr="00C416F0">
        <w:rPr>
          <w:lang w:val="en-GB"/>
        </w:rPr>
        <w:t xml:space="preserve"> </w:t>
      </w:r>
      <w:r w:rsidR="00074853" w:rsidRPr="00C416F0">
        <w:rPr>
          <w:lang w:val="en-GB"/>
        </w:rPr>
        <w:t>only the first-line use of biological DMARDs after an inadequate</w:t>
      </w:r>
      <w:r w:rsidR="00291107">
        <w:rPr>
          <w:lang w:val="en-GB"/>
        </w:rPr>
        <w:t xml:space="preserve"> disease</w:t>
      </w:r>
      <w:r w:rsidR="00074853" w:rsidRPr="00C416F0">
        <w:rPr>
          <w:lang w:val="en-GB"/>
        </w:rPr>
        <w:t xml:space="preserve"> response to 2 or more conventional DMARDs. </w:t>
      </w:r>
      <w:r w:rsidR="00291107">
        <w:rPr>
          <w:lang w:val="en-GB"/>
        </w:rPr>
        <w:t>So,</w:t>
      </w:r>
      <w:r w:rsidR="00074853" w:rsidRPr="00C416F0">
        <w:rPr>
          <w:lang w:val="en-GB"/>
        </w:rPr>
        <w:t xml:space="preserve"> </w:t>
      </w:r>
      <w:r w:rsidR="000C68BE" w:rsidRPr="00C416F0">
        <w:rPr>
          <w:lang w:val="en-GB"/>
        </w:rPr>
        <w:t>in the economic model,</w:t>
      </w:r>
      <w:r w:rsidR="00074853" w:rsidRPr="00C416F0">
        <w:rPr>
          <w:lang w:val="en-GB"/>
        </w:rPr>
        <w:t xml:space="preserve"> after the first biological treatment ha</w:t>
      </w:r>
      <w:r w:rsidR="007470CD" w:rsidRPr="00C416F0">
        <w:rPr>
          <w:lang w:val="en-GB"/>
        </w:rPr>
        <w:t>d</w:t>
      </w:r>
      <w:r w:rsidR="00074853" w:rsidRPr="00C416F0">
        <w:rPr>
          <w:lang w:val="en-GB"/>
        </w:rPr>
        <w:t xml:space="preserve"> failed, NICE</w:t>
      </w:r>
      <w:r w:rsidR="001529A7">
        <w:rPr>
          <w:lang w:val="en-GB"/>
        </w:rPr>
        <w:t xml:space="preserve"> technology appraisal</w:t>
      </w:r>
      <w:r w:rsidR="00074853" w:rsidRPr="00C416F0">
        <w:rPr>
          <w:lang w:val="en-GB"/>
        </w:rPr>
        <w:t xml:space="preserve"> guidance </w:t>
      </w:r>
      <w:r w:rsidR="00321858">
        <w:rPr>
          <w:lang w:val="en-GB"/>
        </w:rPr>
        <w:t xml:space="preserve">for severe rheumatoid arthritis </w:t>
      </w:r>
      <w:r w:rsidR="00074853" w:rsidRPr="00C416F0">
        <w:rPr>
          <w:lang w:val="en-GB"/>
        </w:rPr>
        <w:t xml:space="preserve">was followed. </w:t>
      </w:r>
      <w:r w:rsidR="00CD1ACB" w:rsidRPr="00C416F0">
        <w:rPr>
          <w:lang w:val="en-GB"/>
        </w:rPr>
        <w:t xml:space="preserve">For all analyses it was assumed that </w:t>
      </w:r>
      <w:r w:rsidR="00074853" w:rsidRPr="00C416F0">
        <w:rPr>
          <w:lang w:val="en-GB"/>
        </w:rPr>
        <w:t>methotrexate</w:t>
      </w:r>
      <w:r w:rsidR="00CD1ACB" w:rsidRPr="00C416F0">
        <w:rPr>
          <w:lang w:val="en-GB"/>
        </w:rPr>
        <w:t xml:space="preserve"> was used in combination with the </w:t>
      </w:r>
      <w:r w:rsidR="00074853" w:rsidRPr="00C416F0">
        <w:rPr>
          <w:lang w:val="en-GB"/>
        </w:rPr>
        <w:t xml:space="preserve">biological </w:t>
      </w:r>
      <w:r w:rsidR="00CD1ACB" w:rsidRPr="00C416F0">
        <w:rPr>
          <w:lang w:val="en-GB"/>
        </w:rPr>
        <w:t xml:space="preserve">DMARD, and that the results for combination therapy </w:t>
      </w:r>
      <w:r w:rsidR="00335E55" w:rsidRPr="00C416F0">
        <w:rPr>
          <w:lang w:val="en-GB"/>
        </w:rPr>
        <w:t>could be</w:t>
      </w:r>
      <w:r w:rsidR="00CD1ACB" w:rsidRPr="00C416F0">
        <w:rPr>
          <w:lang w:val="en-GB"/>
        </w:rPr>
        <w:t xml:space="preserve"> generalise</w:t>
      </w:r>
      <w:r w:rsidR="00335E55" w:rsidRPr="00C416F0">
        <w:rPr>
          <w:lang w:val="en-GB"/>
        </w:rPr>
        <w:t>d to biological DMARD monotherapy (if monotherapy use was included in the marketing authorisation</w:t>
      </w:r>
      <w:r w:rsidR="007470CD" w:rsidRPr="00C416F0">
        <w:rPr>
          <w:lang w:val="en-GB"/>
        </w:rPr>
        <w:t>)</w:t>
      </w:r>
      <w:r w:rsidR="00CD1ACB" w:rsidRPr="00C416F0">
        <w:rPr>
          <w:lang w:val="en-GB"/>
        </w:rPr>
        <w:t>.</w:t>
      </w:r>
      <w:r w:rsidR="00CF3199">
        <w:rPr>
          <w:lang w:val="en-GB"/>
        </w:rPr>
        <w:t xml:space="preserve"> This assumption was also made in </w:t>
      </w:r>
      <w:hyperlink r:id="rId24" w:history="1">
        <w:r w:rsidR="001D6FAC" w:rsidRPr="001D6FAC">
          <w:rPr>
            <w:rStyle w:val="Hyperlink"/>
            <w:lang w:val="en-GB"/>
          </w:rPr>
          <w:t>NICE technology appraisal 375</w:t>
        </w:r>
      </w:hyperlink>
      <w:r w:rsidR="00CF3199">
        <w:rPr>
          <w:lang w:val="en-GB"/>
        </w:rPr>
        <w:t>.</w:t>
      </w:r>
      <w:r w:rsidR="00CD1ACB" w:rsidRPr="00C416F0">
        <w:rPr>
          <w:lang w:val="en-GB"/>
        </w:rPr>
        <w:t xml:space="preserve"> </w:t>
      </w:r>
      <w:r w:rsidRPr="00C416F0">
        <w:rPr>
          <w:lang w:val="en-GB"/>
        </w:rPr>
        <w:t>The model incorporated a response criterion based on</w:t>
      </w:r>
      <w:r w:rsidR="000D55ED" w:rsidRPr="00C416F0">
        <w:rPr>
          <w:lang w:val="en-GB"/>
        </w:rPr>
        <w:t xml:space="preserve"> European League Against Rheumatism</w:t>
      </w:r>
      <w:r w:rsidRPr="00C416F0">
        <w:rPr>
          <w:lang w:val="en-GB"/>
        </w:rPr>
        <w:t xml:space="preserve"> </w:t>
      </w:r>
      <w:r w:rsidR="000D55ED" w:rsidRPr="00C416F0">
        <w:rPr>
          <w:lang w:val="en-GB"/>
        </w:rPr>
        <w:t>(</w:t>
      </w:r>
      <w:r w:rsidRPr="00C416F0">
        <w:rPr>
          <w:lang w:val="en-GB"/>
        </w:rPr>
        <w:t>EULAR</w:t>
      </w:r>
      <w:r w:rsidR="000D55ED" w:rsidRPr="00C416F0">
        <w:rPr>
          <w:lang w:val="en-GB"/>
        </w:rPr>
        <w:t>)</w:t>
      </w:r>
      <w:r w:rsidRPr="00C416F0">
        <w:rPr>
          <w:lang w:val="en-GB"/>
        </w:rPr>
        <w:t xml:space="preserve"> response at </w:t>
      </w:r>
      <w:r w:rsidR="00B326EA" w:rsidRPr="00C416F0">
        <w:rPr>
          <w:lang w:val="en-GB"/>
        </w:rPr>
        <w:t>6</w:t>
      </w:r>
      <w:r w:rsidR="00B326EA">
        <w:rPr>
          <w:lang w:val="en-GB"/>
        </w:rPr>
        <w:t> </w:t>
      </w:r>
      <w:r w:rsidRPr="00C416F0">
        <w:rPr>
          <w:lang w:val="en-GB"/>
        </w:rPr>
        <w:t xml:space="preserve">months to reflect UK clinical practice. If there </w:t>
      </w:r>
      <w:r w:rsidR="00335E55" w:rsidRPr="00C416F0">
        <w:rPr>
          <w:lang w:val="en-GB"/>
        </w:rPr>
        <w:t>was</w:t>
      </w:r>
      <w:r w:rsidRPr="00C416F0">
        <w:rPr>
          <w:lang w:val="en-GB"/>
        </w:rPr>
        <w:t xml:space="preserve"> no EULAR response to a biological DMARD after </w:t>
      </w:r>
      <w:r w:rsidR="00B326EA" w:rsidRPr="00C416F0">
        <w:rPr>
          <w:lang w:val="en-GB"/>
        </w:rPr>
        <w:t>6</w:t>
      </w:r>
      <w:r w:rsidR="00B326EA">
        <w:rPr>
          <w:lang w:val="en-GB"/>
        </w:rPr>
        <w:t> </w:t>
      </w:r>
      <w:r w:rsidRPr="00C416F0">
        <w:rPr>
          <w:lang w:val="en-GB"/>
        </w:rPr>
        <w:t>months the</w:t>
      </w:r>
      <w:r w:rsidR="00335E55" w:rsidRPr="00C416F0">
        <w:rPr>
          <w:lang w:val="en-GB"/>
        </w:rPr>
        <w:t>n the</w:t>
      </w:r>
      <w:r w:rsidRPr="00C416F0">
        <w:rPr>
          <w:lang w:val="en-GB"/>
        </w:rPr>
        <w:t xml:space="preserve"> next treatment in the strategy </w:t>
      </w:r>
      <w:r w:rsidR="00335E55" w:rsidRPr="00C416F0">
        <w:rPr>
          <w:lang w:val="en-GB"/>
        </w:rPr>
        <w:t xml:space="preserve">was </w:t>
      </w:r>
      <w:r w:rsidRPr="00C416F0">
        <w:rPr>
          <w:lang w:val="en-GB"/>
        </w:rPr>
        <w:t xml:space="preserve">used. Further details </w:t>
      </w:r>
      <w:r w:rsidR="008F2A00">
        <w:rPr>
          <w:lang w:val="en-GB"/>
        </w:rPr>
        <w:t>about</w:t>
      </w:r>
      <w:r w:rsidR="008F2A00" w:rsidRPr="00C416F0">
        <w:rPr>
          <w:lang w:val="en-GB"/>
        </w:rPr>
        <w:t xml:space="preserve"> </w:t>
      </w:r>
      <w:r w:rsidRPr="00C416F0">
        <w:rPr>
          <w:lang w:val="en-GB"/>
        </w:rPr>
        <w:t xml:space="preserve">the </w:t>
      </w:r>
      <w:r w:rsidR="00B326EA">
        <w:rPr>
          <w:lang w:val="en-GB"/>
        </w:rPr>
        <w:t>a</w:t>
      </w:r>
      <w:r w:rsidR="00B326EA" w:rsidRPr="00C416F0">
        <w:rPr>
          <w:lang w:val="en-GB"/>
        </w:rPr>
        <w:t xml:space="preserve">ssessment </w:t>
      </w:r>
      <w:r w:rsidR="00B326EA">
        <w:rPr>
          <w:lang w:val="en-GB"/>
        </w:rPr>
        <w:t>g</w:t>
      </w:r>
      <w:r w:rsidR="00B326EA" w:rsidRPr="00C416F0">
        <w:rPr>
          <w:lang w:val="en-GB"/>
        </w:rPr>
        <w:t xml:space="preserve">roup’s </w:t>
      </w:r>
      <w:r w:rsidRPr="00C416F0">
        <w:rPr>
          <w:lang w:val="en-GB"/>
        </w:rPr>
        <w:t xml:space="preserve">original economic model can be found in the final </w:t>
      </w:r>
      <w:r w:rsidR="00074853" w:rsidRPr="00C416F0">
        <w:rPr>
          <w:lang w:val="en-GB"/>
        </w:rPr>
        <w:t>guidance</w:t>
      </w:r>
      <w:r w:rsidRPr="00C416F0">
        <w:rPr>
          <w:lang w:val="en-GB"/>
        </w:rPr>
        <w:t xml:space="preserve"> for </w:t>
      </w:r>
      <w:hyperlink r:id="rId25" w:history="1">
        <w:r w:rsidR="000D55ED" w:rsidRPr="00C416F0">
          <w:rPr>
            <w:rStyle w:val="Hyperlink"/>
            <w:lang w:val="en-GB"/>
          </w:rPr>
          <w:t>NICE technology appraisal 375</w:t>
        </w:r>
      </w:hyperlink>
      <w:r w:rsidR="000D55ED" w:rsidRPr="00C416F0">
        <w:rPr>
          <w:lang w:val="en-GB"/>
        </w:rPr>
        <w:t xml:space="preserve">. </w:t>
      </w:r>
      <w:r w:rsidR="000C68BE" w:rsidRPr="00C416F0">
        <w:rPr>
          <w:lang w:val="en-GB"/>
        </w:rPr>
        <w:t xml:space="preserve">The committee concluded that the cost-effectiveness model accepted in the original guidance was appropriate to use </w:t>
      </w:r>
      <w:r w:rsidR="00CF0B03">
        <w:rPr>
          <w:lang w:val="en-GB"/>
        </w:rPr>
        <w:t xml:space="preserve">in </w:t>
      </w:r>
      <w:r w:rsidR="000C68BE" w:rsidRPr="00C416F0">
        <w:rPr>
          <w:lang w:val="en-GB"/>
        </w:rPr>
        <w:t xml:space="preserve">this partial review, with some updates to the model (see </w:t>
      </w:r>
      <w:hyperlink w:anchor="_The_changes_to" w:history="1">
        <w:r w:rsidR="000C68BE" w:rsidRPr="001D6FAC">
          <w:rPr>
            <w:rStyle w:val="Hyperlink"/>
            <w:lang w:val="en-GB"/>
          </w:rPr>
          <w:t xml:space="preserve">section </w:t>
        </w:r>
        <w:r w:rsidR="00560648" w:rsidRPr="001D6FAC">
          <w:rPr>
            <w:rStyle w:val="Hyperlink"/>
            <w:lang w:val="en-GB"/>
          </w:rPr>
          <w:t>4</w:t>
        </w:r>
        <w:r w:rsidR="000C68BE" w:rsidRPr="001D6FAC">
          <w:rPr>
            <w:rStyle w:val="Hyperlink"/>
            <w:lang w:val="en-GB"/>
          </w:rPr>
          <w:t>.</w:t>
        </w:r>
        <w:r w:rsidR="00B326EA" w:rsidRPr="001D6FAC">
          <w:rPr>
            <w:rStyle w:val="Hyperlink"/>
            <w:lang w:val="en-GB"/>
          </w:rPr>
          <w:t>5</w:t>
        </w:r>
      </w:hyperlink>
      <w:r w:rsidR="000C68BE" w:rsidRPr="00C416F0">
        <w:rPr>
          <w:lang w:val="en-GB"/>
        </w:rPr>
        <w:t>).</w:t>
      </w:r>
    </w:p>
    <w:p w14:paraId="5A3F1F4C" w14:textId="60AB2537" w:rsidR="00710DDA" w:rsidRPr="00C416F0" w:rsidRDefault="00710DDA" w:rsidP="00710DDA">
      <w:pPr>
        <w:pStyle w:val="Heading3"/>
      </w:pPr>
      <w:bookmarkStart w:id="11" w:name="_The_changes_to"/>
      <w:bookmarkEnd w:id="11"/>
      <w:r w:rsidRPr="00C416F0">
        <w:lastRenderedPageBreak/>
        <w:t xml:space="preserve">The changes to the </w:t>
      </w:r>
      <w:r w:rsidR="00B326EA">
        <w:t>a</w:t>
      </w:r>
      <w:r w:rsidR="00B326EA" w:rsidRPr="00C416F0">
        <w:t xml:space="preserve">ssessment </w:t>
      </w:r>
      <w:r w:rsidR="00B326EA">
        <w:t>g</w:t>
      </w:r>
      <w:r w:rsidR="00B326EA" w:rsidRPr="00C416F0">
        <w:t xml:space="preserve">roup’s </w:t>
      </w:r>
      <w:r w:rsidRPr="00C416F0">
        <w:t>model are appropriate for decision</w:t>
      </w:r>
      <w:r w:rsidR="00750169">
        <w:t xml:space="preserve"> </w:t>
      </w:r>
      <w:r w:rsidRPr="00C416F0">
        <w:t xml:space="preserve">making and reflect current NICE guidance </w:t>
      </w:r>
    </w:p>
    <w:p w14:paraId="0978382C" w14:textId="32D78E16" w:rsidR="00710DDA" w:rsidRPr="00C416F0" w:rsidRDefault="00710DDA" w:rsidP="00AC7428">
      <w:pPr>
        <w:pStyle w:val="Numberedlevel2text"/>
        <w:numPr>
          <w:ilvl w:val="1"/>
          <w:numId w:val="9"/>
        </w:numPr>
        <w:rPr>
          <w:lang w:val="en-GB"/>
        </w:rPr>
      </w:pPr>
      <w:r w:rsidRPr="00C416F0">
        <w:rPr>
          <w:lang w:val="en-GB"/>
        </w:rPr>
        <w:t xml:space="preserve">The </w:t>
      </w:r>
      <w:r w:rsidR="008D1256">
        <w:rPr>
          <w:lang w:val="en-GB"/>
        </w:rPr>
        <w:t>a</w:t>
      </w:r>
      <w:r w:rsidR="008D1256" w:rsidRPr="00C416F0">
        <w:rPr>
          <w:lang w:val="en-GB"/>
        </w:rPr>
        <w:t xml:space="preserve">ssessment </w:t>
      </w:r>
      <w:r w:rsidR="008D1256">
        <w:rPr>
          <w:lang w:val="en-GB"/>
        </w:rPr>
        <w:t>g</w:t>
      </w:r>
      <w:r w:rsidRPr="00C416F0">
        <w:rPr>
          <w:lang w:val="en-GB"/>
        </w:rPr>
        <w:t>roup</w:t>
      </w:r>
      <w:r w:rsidR="008D1256">
        <w:rPr>
          <w:lang w:val="en-GB"/>
        </w:rPr>
        <w:t>’s</w:t>
      </w:r>
      <w:r w:rsidRPr="00C416F0">
        <w:rPr>
          <w:lang w:val="en-GB"/>
        </w:rPr>
        <w:t xml:space="preserve"> analyses included the same assumptions preferred by the committee in </w:t>
      </w:r>
      <w:hyperlink r:id="rId26" w:history="1">
        <w:r w:rsidR="00335E55" w:rsidRPr="00C416F0">
          <w:rPr>
            <w:rStyle w:val="Hyperlink"/>
            <w:lang w:val="en-GB"/>
          </w:rPr>
          <w:t>NICE technology appraisal 375</w:t>
        </w:r>
      </w:hyperlink>
      <w:r w:rsidR="008D1256">
        <w:rPr>
          <w:lang w:val="en-GB"/>
        </w:rPr>
        <w:t xml:space="preserve">. There were </w:t>
      </w:r>
      <w:r w:rsidRPr="00C416F0">
        <w:rPr>
          <w:lang w:val="en-GB"/>
        </w:rPr>
        <w:t xml:space="preserve">several </w:t>
      </w:r>
      <w:r w:rsidR="00335E55" w:rsidRPr="00C416F0">
        <w:rPr>
          <w:lang w:val="en-GB"/>
        </w:rPr>
        <w:t>updates</w:t>
      </w:r>
      <w:r w:rsidRPr="00C416F0">
        <w:rPr>
          <w:lang w:val="en-GB"/>
        </w:rPr>
        <w:t xml:space="preserve"> to </w:t>
      </w:r>
      <w:r w:rsidR="008D1256">
        <w:rPr>
          <w:lang w:val="en-GB"/>
        </w:rPr>
        <w:t>its</w:t>
      </w:r>
      <w:r w:rsidR="008D1256" w:rsidRPr="00C416F0">
        <w:rPr>
          <w:lang w:val="en-GB"/>
        </w:rPr>
        <w:t xml:space="preserve"> </w:t>
      </w:r>
      <w:r w:rsidRPr="00C416F0">
        <w:rPr>
          <w:lang w:val="en-GB"/>
        </w:rPr>
        <w:t>original model:</w:t>
      </w:r>
    </w:p>
    <w:p w14:paraId="640FADA6" w14:textId="40272243" w:rsidR="00710DDA" w:rsidRPr="00C416F0" w:rsidRDefault="00710DDA" w:rsidP="00560648">
      <w:pPr>
        <w:pStyle w:val="Bulletindent1"/>
      </w:pPr>
      <w:r w:rsidRPr="00C416F0">
        <w:t xml:space="preserve">Updating the prices of interventions and subsequent treatments to reflect </w:t>
      </w:r>
      <w:r w:rsidR="00A516EE" w:rsidRPr="00C416F0">
        <w:t>any</w:t>
      </w:r>
      <w:r w:rsidRPr="00C416F0">
        <w:t xml:space="preserve"> changes to</w:t>
      </w:r>
      <w:r w:rsidR="00A516EE" w:rsidRPr="00C416F0">
        <w:t xml:space="preserve"> the</w:t>
      </w:r>
      <w:r w:rsidRPr="00C416F0">
        <w:t xml:space="preserve"> </w:t>
      </w:r>
      <w:r w:rsidR="00A516EE" w:rsidRPr="00C416F0">
        <w:t>prices of technologies</w:t>
      </w:r>
      <w:r w:rsidRPr="00C416F0">
        <w:t>.</w:t>
      </w:r>
    </w:p>
    <w:p w14:paraId="4885A5F3" w14:textId="523FD32B" w:rsidR="00710DDA" w:rsidRPr="00C416F0" w:rsidRDefault="00710DDA" w:rsidP="00560648">
      <w:pPr>
        <w:pStyle w:val="Bulletindent1"/>
      </w:pPr>
      <w:r w:rsidRPr="00C416F0">
        <w:t xml:space="preserve">Amending the model </w:t>
      </w:r>
      <w:r w:rsidR="008D1256">
        <w:t>so</w:t>
      </w:r>
      <w:r w:rsidRPr="00C416F0">
        <w:t xml:space="preserve"> </w:t>
      </w:r>
      <w:r w:rsidR="008D1256">
        <w:t>people</w:t>
      </w:r>
      <w:r w:rsidR="008D1256" w:rsidRPr="00C416F0">
        <w:t xml:space="preserve"> </w:t>
      </w:r>
      <w:r w:rsidRPr="00C416F0">
        <w:t xml:space="preserve">with moderate disease who only have treatment with conventional DMARDs </w:t>
      </w:r>
      <w:r w:rsidR="00560648">
        <w:t xml:space="preserve">can </w:t>
      </w:r>
      <w:r w:rsidRPr="00C416F0">
        <w:t xml:space="preserve">have biological DMARDs </w:t>
      </w:r>
      <w:r w:rsidR="008D1256">
        <w:t>after</w:t>
      </w:r>
      <w:r w:rsidRPr="00C416F0">
        <w:t xml:space="preserve"> progress</w:t>
      </w:r>
      <w:r w:rsidR="008D1256">
        <w:t>ion</w:t>
      </w:r>
      <w:r w:rsidRPr="00C416F0">
        <w:t xml:space="preserve"> to severe disease (</w:t>
      </w:r>
      <w:r w:rsidR="00593A13">
        <w:t>disease activity score [</w:t>
      </w:r>
      <w:r w:rsidRPr="00C416F0">
        <w:t>DAS28</w:t>
      </w:r>
      <w:r w:rsidR="00593A13">
        <w:t>]</w:t>
      </w:r>
      <w:r w:rsidRPr="00C416F0">
        <w:t xml:space="preserve"> </w:t>
      </w:r>
      <w:r w:rsidR="008D1256">
        <w:t xml:space="preserve">more than </w:t>
      </w:r>
      <w:r w:rsidRPr="00C416F0">
        <w:t>5.1)</w:t>
      </w:r>
      <w:r w:rsidR="001F11E6">
        <w:t>.</w:t>
      </w:r>
      <w:r w:rsidRPr="00C416F0">
        <w:t xml:space="preserve"> The committee understood that this treatment pathway was not an option in the original model but </w:t>
      </w:r>
      <w:r w:rsidR="00A516EE" w:rsidRPr="00C416F0">
        <w:t xml:space="preserve">that it </w:t>
      </w:r>
      <w:r w:rsidRPr="00C416F0">
        <w:t>reflect</w:t>
      </w:r>
      <w:r w:rsidR="00417953" w:rsidRPr="00C416F0">
        <w:t>ed</w:t>
      </w:r>
      <w:r w:rsidR="00A516EE" w:rsidRPr="00C416F0">
        <w:t xml:space="preserve"> current</w:t>
      </w:r>
      <w:r w:rsidRPr="00C416F0">
        <w:t xml:space="preserve"> clinical practice. To </w:t>
      </w:r>
      <w:r w:rsidR="000C68BE" w:rsidRPr="00C416F0">
        <w:t xml:space="preserve">include </w:t>
      </w:r>
      <w:r w:rsidRPr="00C416F0">
        <w:t xml:space="preserve">this change in the model, the </w:t>
      </w:r>
      <w:r w:rsidR="00646C98">
        <w:t>a</w:t>
      </w:r>
      <w:r w:rsidR="00646C98" w:rsidRPr="00C416F0">
        <w:t xml:space="preserve">ssessment </w:t>
      </w:r>
      <w:r w:rsidR="00646C98">
        <w:t>g</w:t>
      </w:r>
      <w:r w:rsidR="00646C98" w:rsidRPr="00C416F0">
        <w:t xml:space="preserve">roup </w:t>
      </w:r>
      <w:r w:rsidRPr="00C416F0">
        <w:t xml:space="preserve">estimated the relationship between changes in Health Assessment Questionnaire (HAQ) score, which was the </w:t>
      </w:r>
      <w:r w:rsidR="00394A2F" w:rsidRPr="00C416F0">
        <w:t>measure</w:t>
      </w:r>
      <w:r w:rsidR="0010640F" w:rsidRPr="00C416F0">
        <w:t xml:space="preserve"> </w:t>
      </w:r>
      <w:r w:rsidRPr="00C416F0">
        <w:t xml:space="preserve">used in the modelling, and changes in DAS28 score, which is the </w:t>
      </w:r>
      <w:r w:rsidR="00394A2F" w:rsidRPr="00C416F0">
        <w:t xml:space="preserve">measure </w:t>
      </w:r>
      <w:r w:rsidRPr="00C416F0">
        <w:t xml:space="preserve">used to determine severity of disease. </w:t>
      </w:r>
      <w:r w:rsidR="00394A2F" w:rsidRPr="00C416F0">
        <w:t xml:space="preserve">The </w:t>
      </w:r>
      <w:r w:rsidR="00646C98">
        <w:t>a</w:t>
      </w:r>
      <w:r w:rsidR="00646C98" w:rsidRPr="00C416F0">
        <w:t xml:space="preserve">ssessment </w:t>
      </w:r>
      <w:r w:rsidR="00646C98">
        <w:t>g</w:t>
      </w:r>
      <w:r w:rsidR="00646C98" w:rsidRPr="00C416F0">
        <w:t xml:space="preserve">roup </w:t>
      </w:r>
      <w:r w:rsidR="00394A2F" w:rsidRPr="00C416F0">
        <w:t>did a</w:t>
      </w:r>
      <w:r w:rsidRPr="00C416F0">
        <w:t xml:space="preserve"> systematic review</w:t>
      </w:r>
      <w:r w:rsidR="00394A2F" w:rsidRPr="00C416F0">
        <w:t xml:space="preserve"> to identify</w:t>
      </w:r>
      <w:r w:rsidRPr="00C416F0">
        <w:t xml:space="preserve"> the best estimate of change in DAS28 score associated with a 0.125 change in HAQ</w:t>
      </w:r>
      <w:r w:rsidR="00394A2F" w:rsidRPr="00C416F0">
        <w:t xml:space="preserve"> </w:t>
      </w:r>
      <w:r w:rsidRPr="00C416F0">
        <w:t>score</w:t>
      </w:r>
      <w:r w:rsidR="00646C98">
        <w:t>,</w:t>
      </w:r>
      <w:r w:rsidR="00394A2F" w:rsidRPr="00C416F0">
        <w:t xml:space="preserve"> which was considered</w:t>
      </w:r>
      <w:r w:rsidRPr="00C416F0">
        <w:t xml:space="preserve"> to be 0.48. The </w:t>
      </w:r>
      <w:r w:rsidR="00646C98">
        <w:t>a</w:t>
      </w:r>
      <w:r w:rsidR="00646C98" w:rsidRPr="00C416F0">
        <w:t xml:space="preserve">ssessment </w:t>
      </w:r>
      <w:r w:rsidR="00646C98">
        <w:t>g</w:t>
      </w:r>
      <w:r w:rsidR="00646C98" w:rsidRPr="00C416F0">
        <w:t xml:space="preserve">roup </w:t>
      </w:r>
      <w:r w:rsidRPr="00C416F0">
        <w:t xml:space="preserve">also </w:t>
      </w:r>
      <w:r w:rsidR="00E13E71" w:rsidRPr="00C416F0">
        <w:t xml:space="preserve">did </w:t>
      </w:r>
      <w:r w:rsidRPr="00C416F0">
        <w:t xml:space="preserve">sensitivity analyses using a lower estimate </w:t>
      </w:r>
      <w:r w:rsidR="00231901">
        <w:t xml:space="preserve">(the exact figure is confidential and cannot be reported here) </w:t>
      </w:r>
      <w:r w:rsidRPr="00C416F0">
        <w:t>and</w:t>
      </w:r>
      <w:r w:rsidR="00D92100">
        <w:t xml:space="preserve"> a</w:t>
      </w:r>
      <w:r w:rsidRPr="00C416F0">
        <w:t xml:space="preserve"> </w:t>
      </w:r>
      <w:r w:rsidR="00E13E71" w:rsidRPr="00C416F0">
        <w:t xml:space="preserve">higher </w:t>
      </w:r>
      <w:r w:rsidRPr="00C416F0">
        <w:t xml:space="preserve">estimate of 0.70. </w:t>
      </w:r>
    </w:p>
    <w:p w14:paraId="5AA75EFD" w14:textId="6E96857E" w:rsidR="00836EC5" w:rsidRDefault="00D92100" w:rsidP="00D22A63">
      <w:pPr>
        <w:pStyle w:val="Bulletindent1last"/>
      </w:pPr>
      <w:r>
        <w:t>After</w:t>
      </w:r>
      <w:r w:rsidRPr="00C416F0">
        <w:t xml:space="preserve"> </w:t>
      </w:r>
      <w:r w:rsidR="00710DDA" w:rsidRPr="00C416F0">
        <w:t xml:space="preserve">stakeholder consultation, </w:t>
      </w:r>
      <w:r w:rsidR="00C702C0">
        <w:t>1</w:t>
      </w:r>
      <w:r w:rsidR="00C702C0" w:rsidRPr="00C416F0">
        <w:t xml:space="preserve"> </w:t>
      </w:r>
      <w:r w:rsidR="00710DDA" w:rsidRPr="00C416F0">
        <w:t xml:space="preserve">company commented that the moderate treatment sequence used in the </w:t>
      </w:r>
      <w:r w:rsidR="00C702C0">
        <w:t>a</w:t>
      </w:r>
      <w:r w:rsidR="00C702C0" w:rsidRPr="00C416F0">
        <w:t xml:space="preserve">ssessment </w:t>
      </w:r>
      <w:r w:rsidR="00C702C0">
        <w:t>g</w:t>
      </w:r>
      <w:r w:rsidR="00C702C0" w:rsidRPr="00C416F0">
        <w:t>roup</w:t>
      </w:r>
      <w:r w:rsidR="00C702C0">
        <w:t>’s</w:t>
      </w:r>
      <w:r w:rsidR="00C702C0" w:rsidRPr="00C416F0">
        <w:t xml:space="preserve"> </w:t>
      </w:r>
      <w:r w:rsidR="00417953" w:rsidRPr="00C416F0">
        <w:t xml:space="preserve">updated </w:t>
      </w:r>
      <w:r w:rsidR="00710DDA" w:rsidRPr="00C416F0">
        <w:t xml:space="preserve">model </w:t>
      </w:r>
      <w:r w:rsidR="00E13E71" w:rsidRPr="00C416F0">
        <w:t xml:space="preserve">did not align with current NICE guidance recommendations for treating rheumatoid arthritis or with </w:t>
      </w:r>
      <w:r w:rsidR="00710DDA" w:rsidRPr="00C416F0">
        <w:t>th</w:t>
      </w:r>
      <w:r w:rsidR="00E13E71" w:rsidRPr="00C416F0">
        <w:t>e sequences</w:t>
      </w:r>
      <w:r w:rsidR="00710DDA" w:rsidRPr="00C416F0">
        <w:t xml:space="preserve"> modelled in </w:t>
      </w:r>
      <w:hyperlink r:id="rId27" w:history="1">
        <w:r w:rsidR="00710DDA" w:rsidRPr="00C702C0">
          <w:rPr>
            <w:rStyle w:val="Hyperlink"/>
          </w:rPr>
          <w:t>NICE</w:t>
        </w:r>
        <w:r w:rsidR="00C702C0" w:rsidRPr="00C702C0">
          <w:rPr>
            <w:rStyle w:val="Hyperlink"/>
          </w:rPr>
          <w:t>’s guidance on</w:t>
        </w:r>
        <w:r w:rsidR="00710DDA" w:rsidRPr="00C702C0">
          <w:rPr>
            <w:rStyle w:val="Hyperlink"/>
          </w:rPr>
          <w:t xml:space="preserve"> </w:t>
        </w:r>
        <w:r w:rsidR="00710DDA" w:rsidRPr="00975651">
          <w:rPr>
            <w:rStyle w:val="Hyperlink"/>
          </w:rPr>
          <w:t>filgotinib for treating moderate to severe rheumatoid arthritis</w:t>
        </w:r>
      </w:hyperlink>
      <w:r w:rsidR="00710DDA" w:rsidRPr="00C416F0">
        <w:t xml:space="preserve">. In response, the </w:t>
      </w:r>
      <w:r w:rsidR="00C702C0">
        <w:t>a</w:t>
      </w:r>
      <w:r w:rsidR="00C702C0" w:rsidRPr="00C416F0">
        <w:t xml:space="preserve">ssessment </w:t>
      </w:r>
      <w:r w:rsidR="00C702C0">
        <w:t>g</w:t>
      </w:r>
      <w:r w:rsidR="00C702C0" w:rsidRPr="00C416F0">
        <w:t xml:space="preserve">roup </w:t>
      </w:r>
      <w:r w:rsidR="00710DDA" w:rsidRPr="00C416F0">
        <w:t xml:space="preserve">further updated the treatment sequences used in the model to reflect current NICE guidance (see </w:t>
      </w:r>
      <w:hyperlink w:anchor="Table2" w:history="1">
        <w:r w:rsidR="00C702C0" w:rsidRPr="00C702C0">
          <w:rPr>
            <w:rStyle w:val="Hyperlink"/>
          </w:rPr>
          <w:t xml:space="preserve">table </w:t>
        </w:r>
        <w:r w:rsidR="00E13F92" w:rsidRPr="00C702C0">
          <w:rPr>
            <w:rStyle w:val="Hyperlink"/>
          </w:rPr>
          <w:t>2</w:t>
        </w:r>
      </w:hyperlink>
      <w:r w:rsidR="00710DDA" w:rsidRPr="00C416F0">
        <w:t xml:space="preserve">). </w:t>
      </w:r>
      <w:r w:rsidR="007470CD" w:rsidRPr="00C416F0">
        <w:t>The model assumed that for the treatment arm, a p</w:t>
      </w:r>
      <w:r w:rsidR="00C1712C" w:rsidRPr="00C416F0">
        <w:t>erson</w:t>
      </w:r>
      <w:r w:rsidR="007470CD" w:rsidRPr="00C416F0">
        <w:t xml:space="preserve"> with moderate disease would initially have a biological </w:t>
      </w:r>
      <w:r w:rsidR="007470CD" w:rsidRPr="00C416F0">
        <w:lastRenderedPageBreak/>
        <w:t>DMARD (either adalimumab, etanercept, infliximab or abatacept) followed by conventional DMARDs. For the comparator arm, the model assumed that a p</w:t>
      </w:r>
      <w:r w:rsidR="00C1712C" w:rsidRPr="00C416F0">
        <w:t>erson</w:t>
      </w:r>
      <w:r w:rsidR="007470CD" w:rsidRPr="00C416F0">
        <w:t xml:space="preserve"> would have initial treatment with </w:t>
      </w:r>
      <w:r w:rsidR="00755E7C" w:rsidRPr="00C416F0">
        <w:t>methotrexate</w:t>
      </w:r>
      <w:r w:rsidR="00E13E71" w:rsidRPr="00C416F0">
        <w:t xml:space="preserve"> followed by conventional DMARDs</w:t>
      </w:r>
      <w:r w:rsidR="007470CD" w:rsidRPr="00C416F0">
        <w:t xml:space="preserve">. Once </w:t>
      </w:r>
      <w:r w:rsidR="00714885">
        <w:t>disease</w:t>
      </w:r>
      <w:r w:rsidR="007470CD" w:rsidRPr="00C416F0">
        <w:t xml:space="preserve"> progressed to severe (DAS</w:t>
      </w:r>
      <w:r w:rsidR="00C702C0">
        <w:t xml:space="preserve">28 more than </w:t>
      </w:r>
      <w:r w:rsidR="007470CD" w:rsidRPr="00C416F0">
        <w:t xml:space="preserve">5.1) they would then move through a </w:t>
      </w:r>
      <w:r w:rsidR="00417953" w:rsidRPr="00C416F0">
        <w:t xml:space="preserve">series </w:t>
      </w:r>
      <w:r w:rsidR="007470CD" w:rsidRPr="00C416F0">
        <w:t>of subsequent treatments.</w:t>
      </w:r>
    </w:p>
    <w:p w14:paraId="2D60DA11" w14:textId="77777777" w:rsidR="00836EC5" w:rsidRPr="00C416F0" w:rsidRDefault="00836EC5" w:rsidP="00836EC5">
      <w:pPr>
        <w:pStyle w:val="Caption"/>
      </w:pPr>
      <w:bookmarkStart w:id="12" w:name="Table2"/>
      <w:r w:rsidRPr="00C416F0">
        <w:t xml:space="preserve">Table 2 Treatment sequences used in the updated </w:t>
      </w:r>
      <w:r>
        <w:t>a</w:t>
      </w:r>
      <w:r w:rsidRPr="00C416F0">
        <w:t xml:space="preserve">ssessment </w:t>
      </w:r>
      <w:r>
        <w:t>g</w:t>
      </w:r>
      <w:r w:rsidRPr="00C416F0">
        <w:t xml:space="preserve">roup model </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eatment sequences up to third-line treeatment in the assessment group's updated model"/>
      </w:tblPr>
      <w:tblGrid>
        <w:gridCol w:w="1484"/>
        <w:gridCol w:w="1617"/>
        <w:gridCol w:w="1632"/>
        <w:gridCol w:w="1622"/>
        <w:gridCol w:w="1383"/>
        <w:gridCol w:w="1470"/>
      </w:tblGrid>
      <w:tr w:rsidR="00836EC5" w:rsidRPr="00C416F0" w14:paraId="6FAA8B2F" w14:textId="77777777" w:rsidTr="007A79F8">
        <w:trPr>
          <w:trHeight w:val="1266"/>
        </w:trPr>
        <w:tc>
          <w:tcPr>
            <w:tcW w:w="806" w:type="pct"/>
            <w:tcMar>
              <w:top w:w="0" w:type="dxa"/>
              <w:left w:w="108" w:type="dxa"/>
              <w:bottom w:w="0" w:type="dxa"/>
              <w:right w:w="108" w:type="dxa"/>
            </w:tcMar>
            <w:hideMark/>
          </w:tcPr>
          <w:bookmarkEnd w:id="12"/>
          <w:p w14:paraId="779A9C35" w14:textId="77777777" w:rsidR="00836EC5" w:rsidRPr="007469FC" w:rsidRDefault="00836EC5" w:rsidP="007A79F8">
            <w:pPr>
              <w:pStyle w:val="Tableheading"/>
            </w:pPr>
            <w:r w:rsidRPr="007469FC">
              <w:t>Treatment arm</w:t>
            </w:r>
          </w:p>
        </w:tc>
        <w:tc>
          <w:tcPr>
            <w:tcW w:w="878" w:type="pct"/>
            <w:tcMar>
              <w:top w:w="0" w:type="dxa"/>
              <w:left w:w="108" w:type="dxa"/>
              <w:bottom w:w="0" w:type="dxa"/>
              <w:right w:w="108" w:type="dxa"/>
            </w:tcMar>
            <w:hideMark/>
          </w:tcPr>
          <w:p w14:paraId="01679BE3" w14:textId="1F8C2B56" w:rsidR="00836EC5" w:rsidRPr="007469FC" w:rsidRDefault="00836EC5" w:rsidP="007A79F8">
            <w:pPr>
              <w:pStyle w:val="Tableheading"/>
            </w:pPr>
            <w:r w:rsidRPr="007469FC">
              <w:t>First treatment for moderate disease</w:t>
            </w:r>
          </w:p>
        </w:tc>
        <w:tc>
          <w:tcPr>
            <w:tcW w:w="886" w:type="pct"/>
            <w:tcMar>
              <w:top w:w="0" w:type="dxa"/>
              <w:left w:w="108" w:type="dxa"/>
              <w:bottom w:w="0" w:type="dxa"/>
              <w:right w:w="108" w:type="dxa"/>
            </w:tcMar>
            <w:hideMark/>
          </w:tcPr>
          <w:p w14:paraId="7ED4060A" w14:textId="5F673FC2" w:rsidR="00836EC5" w:rsidRPr="007469FC" w:rsidRDefault="00836EC5" w:rsidP="007A79F8">
            <w:pPr>
              <w:pStyle w:val="Tableheading"/>
            </w:pPr>
            <w:r w:rsidRPr="007469FC">
              <w:t>Second treatment for moderate disease</w:t>
            </w:r>
          </w:p>
        </w:tc>
        <w:tc>
          <w:tcPr>
            <w:tcW w:w="881" w:type="pct"/>
            <w:tcMar>
              <w:top w:w="0" w:type="dxa"/>
              <w:left w:w="108" w:type="dxa"/>
              <w:bottom w:w="0" w:type="dxa"/>
              <w:right w:w="108" w:type="dxa"/>
            </w:tcMar>
            <w:hideMark/>
          </w:tcPr>
          <w:p w14:paraId="26F89EC7" w14:textId="1705D430" w:rsidR="00836EC5" w:rsidRPr="007469FC" w:rsidRDefault="00836EC5" w:rsidP="007A79F8">
            <w:pPr>
              <w:pStyle w:val="Tableheading"/>
            </w:pPr>
            <w:r w:rsidRPr="007469FC">
              <w:t xml:space="preserve">First treatment for severe disease </w:t>
            </w:r>
          </w:p>
        </w:tc>
        <w:tc>
          <w:tcPr>
            <w:tcW w:w="751" w:type="pct"/>
          </w:tcPr>
          <w:p w14:paraId="2AF001F3" w14:textId="55A9FFB1" w:rsidR="00836EC5" w:rsidRPr="007469FC" w:rsidRDefault="00836EC5" w:rsidP="007A79F8">
            <w:pPr>
              <w:pStyle w:val="Tableheading"/>
            </w:pPr>
            <w:r w:rsidRPr="007469FC">
              <w:t>Secon</w:t>
            </w:r>
            <w:r w:rsidR="00C602EE">
              <w:t>d</w:t>
            </w:r>
            <w:r w:rsidRPr="007469FC">
              <w:t xml:space="preserve"> treatment for severe disease </w:t>
            </w:r>
          </w:p>
        </w:tc>
        <w:tc>
          <w:tcPr>
            <w:tcW w:w="799" w:type="pct"/>
          </w:tcPr>
          <w:p w14:paraId="54878FF5" w14:textId="75C3035D" w:rsidR="00836EC5" w:rsidRPr="007469FC" w:rsidRDefault="00836EC5" w:rsidP="007A79F8">
            <w:pPr>
              <w:pStyle w:val="Tableheading"/>
            </w:pPr>
            <w:r w:rsidRPr="007469FC">
              <w:t xml:space="preserve">Third treatment for severe disease </w:t>
            </w:r>
          </w:p>
        </w:tc>
      </w:tr>
      <w:tr w:rsidR="00836EC5" w:rsidRPr="00C416F0" w14:paraId="21942A5D" w14:textId="77777777" w:rsidTr="007A79F8">
        <w:trPr>
          <w:trHeight w:val="1033"/>
        </w:trPr>
        <w:tc>
          <w:tcPr>
            <w:tcW w:w="806" w:type="pct"/>
            <w:tcMar>
              <w:top w:w="0" w:type="dxa"/>
              <w:left w:w="108" w:type="dxa"/>
              <w:bottom w:w="0" w:type="dxa"/>
              <w:right w:w="108" w:type="dxa"/>
            </w:tcMar>
            <w:hideMark/>
          </w:tcPr>
          <w:p w14:paraId="7CAA7A77" w14:textId="77777777" w:rsidR="00836EC5" w:rsidRPr="007469FC" w:rsidRDefault="00836EC5" w:rsidP="007A79F8">
            <w:pPr>
              <w:pStyle w:val="Tabletext"/>
            </w:pPr>
            <w:r w:rsidRPr="007469FC">
              <w:t>Treatment</w:t>
            </w:r>
          </w:p>
        </w:tc>
        <w:tc>
          <w:tcPr>
            <w:tcW w:w="878" w:type="pct"/>
            <w:tcMar>
              <w:top w:w="0" w:type="dxa"/>
              <w:left w:w="108" w:type="dxa"/>
              <w:bottom w:w="0" w:type="dxa"/>
              <w:right w:w="108" w:type="dxa"/>
            </w:tcMar>
            <w:hideMark/>
          </w:tcPr>
          <w:p w14:paraId="332912C1" w14:textId="77777777" w:rsidR="00836EC5" w:rsidRPr="007469FC" w:rsidRDefault="00836EC5" w:rsidP="007A79F8">
            <w:pPr>
              <w:pStyle w:val="Tabletext"/>
            </w:pPr>
            <w:r w:rsidRPr="007469FC">
              <w:t xml:space="preserve">Biological DMARD </w:t>
            </w:r>
          </w:p>
        </w:tc>
        <w:tc>
          <w:tcPr>
            <w:tcW w:w="886" w:type="pct"/>
            <w:tcMar>
              <w:top w:w="0" w:type="dxa"/>
              <w:left w:w="108" w:type="dxa"/>
              <w:bottom w:w="0" w:type="dxa"/>
              <w:right w:w="108" w:type="dxa"/>
            </w:tcMar>
            <w:hideMark/>
          </w:tcPr>
          <w:p w14:paraId="49C142C4" w14:textId="77777777" w:rsidR="00836EC5" w:rsidRPr="007469FC" w:rsidRDefault="00836EC5" w:rsidP="007A79F8">
            <w:pPr>
              <w:pStyle w:val="Tabletext"/>
            </w:pPr>
            <w:r w:rsidRPr="007469FC">
              <w:t>Conventional DMARDs</w:t>
            </w:r>
          </w:p>
        </w:tc>
        <w:tc>
          <w:tcPr>
            <w:tcW w:w="881" w:type="pct"/>
            <w:tcMar>
              <w:top w:w="0" w:type="dxa"/>
              <w:left w:w="108" w:type="dxa"/>
              <w:bottom w:w="0" w:type="dxa"/>
              <w:right w:w="108" w:type="dxa"/>
            </w:tcMar>
            <w:vAlign w:val="center"/>
            <w:hideMark/>
          </w:tcPr>
          <w:p w14:paraId="162B2C14" w14:textId="77777777" w:rsidR="00836EC5" w:rsidRPr="007469FC" w:rsidRDefault="00836EC5" w:rsidP="007A79F8">
            <w:pPr>
              <w:pStyle w:val="Tabletext"/>
            </w:pPr>
            <w:r w:rsidRPr="007469FC">
              <w:t>Adalimumab (infliximab if adalimumab is used in moderate disease)</w:t>
            </w:r>
          </w:p>
          <w:p w14:paraId="1146AAB3" w14:textId="77777777" w:rsidR="00836EC5" w:rsidRPr="007469FC" w:rsidRDefault="00836EC5" w:rsidP="007A79F8">
            <w:pPr>
              <w:pStyle w:val="Tabletext"/>
            </w:pPr>
          </w:p>
        </w:tc>
        <w:tc>
          <w:tcPr>
            <w:tcW w:w="751" w:type="pct"/>
          </w:tcPr>
          <w:p w14:paraId="5F0F47AD" w14:textId="77777777" w:rsidR="00836EC5" w:rsidRPr="007469FC" w:rsidRDefault="00836EC5" w:rsidP="007A79F8">
            <w:pPr>
              <w:pStyle w:val="Tabletext"/>
            </w:pPr>
            <w:r w:rsidRPr="007469FC">
              <w:t>Rituximab</w:t>
            </w:r>
          </w:p>
        </w:tc>
        <w:tc>
          <w:tcPr>
            <w:tcW w:w="799" w:type="pct"/>
          </w:tcPr>
          <w:p w14:paraId="683DAFF5" w14:textId="77777777" w:rsidR="00836EC5" w:rsidRPr="007469FC" w:rsidRDefault="00836EC5" w:rsidP="007A79F8">
            <w:pPr>
              <w:pStyle w:val="Tabletext"/>
            </w:pPr>
            <w:r w:rsidRPr="007469FC">
              <w:t>Tocilizumab</w:t>
            </w:r>
          </w:p>
        </w:tc>
      </w:tr>
      <w:tr w:rsidR="00836EC5" w:rsidRPr="00C416F0" w14:paraId="1438A7E4" w14:textId="77777777" w:rsidTr="007A79F8">
        <w:trPr>
          <w:trHeight w:val="1018"/>
        </w:trPr>
        <w:tc>
          <w:tcPr>
            <w:tcW w:w="806" w:type="pct"/>
            <w:tcMar>
              <w:top w:w="0" w:type="dxa"/>
              <w:left w:w="108" w:type="dxa"/>
              <w:bottom w:w="0" w:type="dxa"/>
              <w:right w:w="108" w:type="dxa"/>
            </w:tcMar>
            <w:hideMark/>
          </w:tcPr>
          <w:p w14:paraId="4C29FBE4" w14:textId="77777777" w:rsidR="00836EC5" w:rsidRPr="007469FC" w:rsidRDefault="00836EC5" w:rsidP="007A79F8">
            <w:pPr>
              <w:pStyle w:val="Tabletext"/>
            </w:pPr>
            <w:r w:rsidRPr="007469FC">
              <w:t>Comparator</w:t>
            </w:r>
          </w:p>
        </w:tc>
        <w:tc>
          <w:tcPr>
            <w:tcW w:w="878" w:type="pct"/>
            <w:tcMar>
              <w:top w:w="0" w:type="dxa"/>
              <w:left w:w="108" w:type="dxa"/>
              <w:bottom w:w="0" w:type="dxa"/>
              <w:right w:w="108" w:type="dxa"/>
            </w:tcMar>
            <w:hideMark/>
          </w:tcPr>
          <w:p w14:paraId="01B125F6" w14:textId="77777777" w:rsidR="00836EC5" w:rsidRPr="007469FC" w:rsidRDefault="00836EC5" w:rsidP="007A79F8">
            <w:pPr>
              <w:pStyle w:val="Tabletext"/>
            </w:pPr>
            <w:r w:rsidRPr="007469FC">
              <w:t>Methotrexate</w:t>
            </w:r>
          </w:p>
        </w:tc>
        <w:tc>
          <w:tcPr>
            <w:tcW w:w="886" w:type="pct"/>
            <w:tcMar>
              <w:top w:w="0" w:type="dxa"/>
              <w:left w:w="108" w:type="dxa"/>
              <w:bottom w:w="0" w:type="dxa"/>
              <w:right w:w="108" w:type="dxa"/>
            </w:tcMar>
            <w:hideMark/>
          </w:tcPr>
          <w:p w14:paraId="0409F077" w14:textId="77777777" w:rsidR="00836EC5" w:rsidRPr="007469FC" w:rsidRDefault="00836EC5" w:rsidP="007A79F8">
            <w:pPr>
              <w:pStyle w:val="Tabletext"/>
            </w:pPr>
            <w:r w:rsidRPr="007469FC">
              <w:t>Conventional DMARDs</w:t>
            </w:r>
          </w:p>
        </w:tc>
        <w:tc>
          <w:tcPr>
            <w:tcW w:w="881" w:type="pct"/>
            <w:tcMar>
              <w:top w:w="0" w:type="dxa"/>
              <w:left w:w="108" w:type="dxa"/>
              <w:bottom w:w="0" w:type="dxa"/>
              <w:right w:w="108" w:type="dxa"/>
            </w:tcMar>
            <w:hideMark/>
          </w:tcPr>
          <w:p w14:paraId="0C5AAB26" w14:textId="77777777" w:rsidR="00836EC5" w:rsidRPr="007469FC" w:rsidRDefault="00836EC5" w:rsidP="007A79F8">
            <w:pPr>
              <w:pStyle w:val="Tabletext"/>
            </w:pPr>
            <w:r w:rsidRPr="007469FC">
              <w:t xml:space="preserve">Adalimumab </w:t>
            </w:r>
          </w:p>
          <w:p w14:paraId="0D6497D5" w14:textId="77777777" w:rsidR="00836EC5" w:rsidRPr="007469FC" w:rsidRDefault="00836EC5" w:rsidP="007A79F8">
            <w:pPr>
              <w:pStyle w:val="Tabletext"/>
            </w:pPr>
          </w:p>
        </w:tc>
        <w:tc>
          <w:tcPr>
            <w:tcW w:w="751" w:type="pct"/>
          </w:tcPr>
          <w:p w14:paraId="67217217" w14:textId="77777777" w:rsidR="00836EC5" w:rsidRPr="007469FC" w:rsidRDefault="00836EC5" w:rsidP="007A79F8">
            <w:pPr>
              <w:pStyle w:val="Tabletext"/>
            </w:pPr>
            <w:r w:rsidRPr="007469FC">
              <w:t>Rituximab</w:t>
            </w:r>
          </w:p>
        </w:tc>
        <w:tc>
          <w:tcPr>
            <w:tcW w:w="799" w:type="pct"/>
          </w:tcPr>
          <w:p w14:paraId="0922B9A5" w14:textId="77777777" w:rsidR="00836EC5" w:rsidRPr="007469FC" w:rsidRDefault="00836EC5" w:rsidP="007A79F8">
            <w:pPr>
              <w:pStyle w:val="Tabletext"/>
            </w:pPr>
            <w:r w:rsidRPr="007469FC">
              <w:t>Tocilizumab</w:t>
            </w:r>
          </w:p>
        </w:tc>
      </w:tr>
    </w:tbl>
    <w:p w14:paraId="2DB42838" w14:textId="5564ED5C" w:rsidR="00836EC5" w:rsidRPr="00C416F0" w:rsidRDefault="00836EC5" w:rsidP="00D22A63">
      <w:pPr>
        <w:pStyle w:val="NICEnormalsinglespacing"/>
      </w:pPr>
      <w:r>
        <w:t>Abbreviations: DMARDs, disease-modifying antirheumatic drugs.</w:t>
      </w:r>
    </w:p>
    <w:p w14:paraId="23652D9E" w14:textId="0703F95A" w:rsidR="0043341D" w:rsidRPr="00D22A63" w:rsidRDefault="0043341D" w:rsidP="00523934">
      <w:pPr>
        <w:pStyle w:val="Heading3"/>
      </w:pPr>
      <w:r w:rsidRPr="00D22A63">
        <w:t>The treatment sequences in the updated economic model are appropriate</w:t>
      </w:r>
    </w:p>
    <w:p w14:paraId="5C1DB63C" w14:textId="30634F9B" w:rsidR="00843BBF" w:rsidRPr="00C416F0" w:rsidRDefault="00843BBF" w:rsidP="00D22A63">
      <w:pPr>
        <w:pStyle w:val="Numberedlevel2text"/>
        <w:rPr>
          <w:rStyle w:val="NICEnormalChar"/>
          <w:rFonts w:cs="Arial"/>
          <w:b/>
          <w:iCs w:val="0"/>
          <w:szCs w:val="28"/>
        </w:rPr>
      </w:pPr>
      <w:r w:rsidRPr="00C416F0">
        <w:rPr>
          <w:rStyle w:val="NICEnormalChar"/>
          <w:szCs w:val="28"/>
        </w:rPr>
        <w:t xml:space="preserve">The </w:t>
      </w:r>
      <w:r w:rsidR="0043341D" w:rsidRPr="00C416F0">
        <w:rPr>
          <w:rStyle w:val="NICEnormalChar"/>
          <w:szCs w:val="28"/>
        </w:rPr>
        <w:t xml:space="preserve">trials included in the network meta-analysis showed </w:t>
      </w:r>
      <w:r w:rsidR="00750169">
        <w:rPr>
          <w:rStyle w:val="NICEnormalChar"/>
          <w:szCs w:val="28"/>
        </w:rPr>
        <w:t xml:space="preserve">people’s disease </w:t>
      </w:r>
      <w:r w:rsidR="00750169" w:rsidRPr="00D22A63">
        <w:rPr>
          <w:rStyle w:val="NICEnormalChar"/>
          <w:szCs w:val="28"/>
          <w:lang w:val="x-none"/>
        </w:rPr>
        <w:t>responded</w:t>
      </w:r>
      <w:r w:rsidRPr="00D22A63">
        <w:rPr>
          <w:rStyle w:val="NICEnormalChar"/>
          <w:szCs w:val="28"/>
          <w:lang w:val="x-none"/>
        </w:rPr>
        <w:t xml:space="preserve"> </w:t>
      </w:r>
      <w:r w:rsidR="00750169">
        <w:rPr>
          <w:rStyle w:val="NICEnormalChar"/>
          <w:szCs w:val="28"/>
        </w:rPr>
        <w:t xml:space="preserve">to </w:t>
      </w:r>
      <w:r w:rsidRPr="00C416F0">
        <w:rPr>
          <w:rStyle w:val="NICEnormalChar"/>
          <w:szCs w:val="28"/>
        </w:rPr>
        <w:t>methotrexate</w:t>
      </w:r>
      <w:r w:rsidR="00FE49F5">
        <w:rPr>
          <w:rStyle w:val="NICEnormalChar"/>
          <w:szCs w:val="28"/>
        </w:rPr>
        <w:t xml:space="preserve"> </w:t>
      </w:r>
      <w:r w:rsidR="00836EC5">
        <w:rPr>
          <w:rStyle w:val="NICEnormalChar"/>
          <w:szCs w:val="28"/>
        </w:rPr>
        <w:t xml:space="preserve">(a conventional DMARD) </w:t>
      </w:r>
      <w:r w:rsidR="00FE49F5">
        <w:rPr>
          <w:rStyle w:val="NICEnormalChar"/>
          <w:szCs w:val="28"/>
        </w:rPr>
        <w:t>when it is used as the first treatment</w:t>
      </w:r>
      <w:r w:rsidRPr="00C416F0">
        <w:rPr>
          <w:rStyle w:val="NICEnormalChar"/>
          <w:szCs w:val="28"/>
        </w:rPr>
        <w:t xml:space="preserve">. Therefore, the </w:t>
      </w:r>
      <w:r w:rsidR="00F36ABE">
        <w:rPr>
          <w:rStyle w:val="NICEnormalChar"/>
          <w:szCs w:val="28"/>
        </w:rPr>
        <w:t>a</w:t>
      </w:r>
      <w:r w:rsidR="00F36ABE" w:rsidRPr="00C416F0">
        <w:rPr>
          <w:rStyle w:val="NICEnormalChar"/>
          <w:szCs w:val="28"/>
        </w:rPr>
        <w:t xml:space="preserve">ssessment </w:t>
      </w:r>
      <w:r w:rsidR="00F36ABE">
        <w:rPr>
          <w:rStyle w:val="NICEnormalChar"/>
          <w:szCs w:val="28"/>
        </w:rPr>
        <w:t>g</w:t>
      </w:r>
      <w:r w:rsidR="00F36ABE" w:rsidRPr="00C416F0">
        <w:rPr>
          <w:rStyle w:val="NICEnormalChar"/>
          <w:szCs w:val="28"/>
        </w:rPr>
        <w:t xml:space="preserve">roup </w:t>
      </w:r>
      <w:r w:rsidRPr="00C416F0">
        <w:rPr>
          <w:rStyle w:val="NICEnormalChar"/>
          <w:szCs w:val="28"/>
        </w:rPr>
        <w:t xml:space="preserve">included </w:t>
      </w:r>
      <w:r w:rsidR="005D01D2">
        <w:rPr>
          <w:rStyle w:val="NICEnormalChar"/>
          <w:szCs w:val="28"/>
        </w:rPr>
        <w:t>a response</w:t>
      </w:r>
      <w:r w:rsidR="007A4914">
        <w:rPr>
          <w:rStyle w:val="NICEnormalChar"/>
          <w:szCs w:val="28"/>
        </w:rPr>
        <w:t xml:space="preserve"> to </w:t>
      </w:r>
      <w:r w:rsidR="009A2363">
        <w:rPr>
          <w:rStyle w:val="NICEnormalChar"/>
          <w:szCs w:val="28"/>
        </w:rPr>
        <w:t xml:space="preserve">methotrexate </w:t>
      </w:r>
      <w:r w:rsidR="007A4914">
        <w:rPr>
          <w:rStyle w:val="NICEnormalChar"/>
          <w:szCs w:val="28"/>
        </w:rPr>
        <w:t>when used as a first treatment in</w:t>
      </w:r>
      <w:r w:rsidR="005D01D2">
        <w:rPr>
          <w:rStyle w:val="NICEnormalChar"/>
          <w:szCs w:val="28"/>
        </w:rPr>
        <w:t xml:space="preserve"> the </w:t>
      </w:r>
      <w:r w:rsidR="00FE49F5">
        <w:rPr>
          <w:rStyle w:val="NICEnormalChar"/>
          <w:szCs w:val="28"/>
        </w:rPr>
        <w:t xml:space="preserve">comparator arm of the </w:t>
      </w:r>
      <w:r w:rsidR="005D01D2">
        <w:rPr>
          <w:rStyle w:val="NICEnormalChar"/>
          <w:szCs w:val="28"/>
        </w:rPr>
        <w:t>model</w:t>
      </w:r>
      <w:r w:rsidRPr="00C416F0">
        <w:rPr>
          <w:rStyle w:val="NICEnormalChar"/>
          <w:szCs w:val="28"/>
        </w:rPr>
        <w:t xml:space="preserve">. </w:t>
      </w:r>
      <w:r w:rsidR="0043341D" w:rsidRPr="00C416F0">
        <w:rPr>
          <w:rStyle w:val="NICEnormalChar"/>
          <w:szCs w:val="28"/>
        </w:rPr>
        <w:t xml:space="preserve">The committee noted that this assumption was accepted in </w:t>
      </w:r>
      <w:hyperlink r:id="rId28" w:history="1">
        <w:r w:rsidR="0010640F" w:rsidRPr="00C416F0">
          <w:rPr>
            <w:rStyle w:val="Hyperlink"/>
            <w:lang w:val="en-GB"/>
          </w:rPr>
          <w:t>NICE technology appraisal 375</w:t>
        </w:r>
      </w:hyperlink>
      <w:r w:rsidR="0043341D" w:rsidRPr="00C416F0">
        <w:rPr>
          <w:rStyle w:val="NICEnormalChar"/>
          <w:szCs w:val="28"/>
        </w:rPr>
        <w:t xml:space="preserve">. </w:t>
      </w:r>
      <w:r w:rsidRPr="00C416F0">
        <w:rPr>
          <w:rStyle w:val="NICEnormalChar"/>
          <w:szCs w:val="28"/>
        </w:rPr>
        <w:t>The trials also showed a response with methotrexate following treatment with tocilizumab (in both treatment arms) and this efficacy was also included in the model</w:t>
      </w:r>
      <w:r w:rsidR="0043341D" w:rsidRPr="00C416F0">
        <w:rPr>
          <w:rStyle w:val="NICEnormalChar"/>
          <w:szCs w:val="28"/>
        </w:rPr>
        <w:t xml:space="preserve"> in the treatment sequence for severe disease</w:t>
      </w:r>
      <w:r w:rsidRPr="00C416F0">
        <w:rPr>
          <w:rStyle w:val="NICEnormalChar"/>
          <w:szCs w:val="28"/>
        </w:rPr>
        <w:t xml:space="preserve">. The efficacy of conventional DMARDs </w:t>
      </w:r>
      <w:r w:rsidR="00BE76C8">
        <w:rPr>
          <w:rStyle w:val="NICEnormalChar"/>
          <w:szCs w:val="28"/>
        </w:rPr>
        <w:t xml:space="preserve">when </w:t>
      </w:r>
      <w:r w:rsidRPr="00C416F0">
        <w:rPr>
          <w:rStyle w:val="NICEnormalChar"/>
          <w:szCs w:val="28"/>
        </w:rPr>
        <w:t xml:space="preserve">used </w:t>
      </w:r>
      <w:r w:rsidR="00BE76C8">
        <w:rPr>
          <w:rStyle w:val="NICEnormalChar"/>
          <w:szCs w:val="28"/>
        </w:rPr>
        <w:t>later</w:t>
      </w:r>
      <w:r w:rsidR="00836EC5">
        <w:rPr>
          <w:rStyle w:val="NICEnormalChar"/>
          <w:szCs w:val="28"/>
        </w:rPr>
        <w:t xml:space="preserve"> in the treatment pathway</w:t>
      </w:r>
      <w:r w:rsidRPr="00C416F0">
        <w:rPr>
          <w:rStyle w:val="NICEnormalChar"/>
          <w:szCs w:val="28"/>
        </w:rPr>
        <w:t xml:space="preserve"> for moderate disease and at the end of the pathway in severe disease was assumed to be zero for both arms</w:t>
      </w:r>
      <w:r w:rsidRPr="00C416F0">
        <w:rPr>
          <w:lang w:val="en-GB"/>
        </w:rPr>
        <w:t xml:space="preserve">. </w:t>
      </w:r>
      <w:r w:rsidR="0043341D" w:rsidRPr="00C416F0">
        <w:rPr>
          <w:lang w:val="en-GB"/>
        </w:rPr>
        <w:lastRenderedPageBreak/>
        <w:t xml:space="preserve">The </w:t>
      </w:r>
      <w:r w:rsidR="00F36ABE">
        <w:rPr>
          <w:lang w:val="en-GB"/>
        </w:rPr>
        <w:t>a</w:t>
      </w:r>
      <w:r w:rsidR="00F36ABE" w:rsidRPr="00C416F0">
        <w:rPr>
          <w:lang w:val="en-GB"/>
        </w:rPr>
        <w:t xml:space="preserve">ssessment </w:t>
      </w:r>
      <w:r w:rsidR="00F36ABE">
        <w:rPr>
          <w:lang w:val="en-GB"/>
        </w:rPr>
        <w:t>g</w:t>
      </w:r>
      <w:r w:rsidR="00F36ABE" w:rsidRPr="00C416F0">
        <w:rPr>
          <w:lang w:val="en-GB"/>
        </w:rPr>
        <w:t xml:space="preserve">roup </w:t>
      </w:r>
      <w:r w:rsidR="0043341D" w:rsidRPr="00C416F0">
        <w:rPr>
          <w:lang w:val="en-GB"/>
        </w:rPr>
        <w:t xml:space="preserve">confirmed that the length of treatment sequence was the same in both arms. </w:t>
      </w:r>
      <w:r w:rsidRPr="00C416F0">
        <w:rPr>
          <w:rStyle w:val="NICEnormalChar"/>
          <w:szCs w:val="28"/>
        </w:rPr>
        <w:t xml:space="preserve">The committee concluded that the </w:t>
      </w:r>
      <w:r w:rsidR="00F36ABE">
        <w:rPr>
          <w:rStyle w:val="NICEnormalChar"/>
          <w:szCs w:val="28"/>
        </w:rPr>
        <w:t>a</w:t>
      </w:r>
      <w:r w:rsidR="00F36ABE" w:rsidRPr="00C416F0">
        <w:rPr>
          <w:rStyle w:val="NICEnormalChar"/>
          <w:szCs w:val="28"/>
        </w:rPr>
        <w:t xml:space="preserve">ssessment </w:t>
      </w:r>
      <w:r w:rsidR="00F36ABE">
        <w:rPr>
          <w:rStyle w:val="NICEnormalChar"/>
          <w:szCs w:val="28"/>
        </w:rPr>
        <w:t>g</w:t>
      </w:r>
      <w:r w:rsidR="00F36ABE" w:rsidRPr="00C416F0">
        <w:rPr>
          <w:rStyle w:val="NICEnormalChar"/>
          <w:szCs w:val="28"/>
        </w:rPr>
        <w:t xml:space="preserve">roup’s </w:t>
      </w:r>
      <w:r w:rsidRPr="00C416F0">
        <w:rPr>
          <w:rStyle w:val="NICEnormalChar"/>
          <w:szCs w:val="28"/>
        </w:rPr>
        <w:t xml:space="preserve">model </w:t>
      </w:r>
      <w:r w:rsidR="00F36ABE">
        <w:rPr>
          <w:rStyle w:val="NICEnormalChar"/>
          <w:szCs w:val="28"/>
        </w:rPr>
        <w:t>was</w:t>
      </w:r>
      <w:r w:rsidR="00F36ABE" w:rsidRPr="00C416F0">
        <w:rPr>
          <w:rStyle w:val="NICEnormalChar"/>
          <w:szCs w:val="28"/>
        </w:rPr>
        <w:t xml:space="preserve"> </w:t>
      </w:r>
      <w:r w:rsidRPr="00C416F0">
        <w:rPr>
          <w:rStyle w:val="NICEnormalChar"/>
          <w:szCs w:val="28"/>
        </w:rPr>
        <w:t xml:space="preserve">previously considered acceptable in </w:t>
      </w:r>
      <w:hyperlink r:id="rId29" w:history="1">
        <w:r w:rsidRPr="00C416F0">
          <w:rPr>
            <w:rStyle w:val="Hyperlink"/>
            <w:lang w:val="en-GB"/>
          </w:rPr>
          <w:t>NICE technology appraisal 375</w:t>
        </w:r>
      </w:hyperlink>
      <w:r w:rsidRPr="00C416F0">
        <w:rPr>
          <w:lang w:val="en-GB"/>
        </w:rPr>
        <w:t xml:space="preserve"> </w:t>
      </w:r>
      <w:r w:rsidRPr="00C416F0">
        <w:rPr>
          <w:rStyle w:val="NICEnormalChar"/>
          <w:szCs w:val="28"/>
        </w:rPr>
        <w:t>and that the updates made to reflect current NICE guidance are appropriate for decision</w:t>
      </w:r>
      <w:r w:rsidR="00750169">
        <w:rPr>
          <w:rStyle w:val="NICEnormalChar"/>
          <w:szCs w:val="28"/>
        </w:rPr>
        <w:t xml:space="preserve"> </w:t>
      </w:r>
      <w:r w:rsidRPr="00C416F0">
        <w:rPr>
          <w:rStyle w:val="NICEnormalChar"/>
          <w:szCs w:val="28"/>
        </w:rPr>
        <w:t>making.</w:t>
      </w:r>
    </w:p>
    <w:p w14:paraId="295AE051" w14:textId="77777777" w:rsidR="009F5DFD" w:rsidRPr="00C416F0" w:rsidRDefault="009F5DFD" w:rsidP="009F5DFD">
      <w:pPr>
        <w:pStyle w:val="Heading2"/>
      </w:pPr>
      <w:r w:rsidRPr="00C416F0">
        <w:t>Cost-effectiveness estimates</w:t>
      </w:r>
    </w:p>
    <w:p w14:paraId="1E5C5EB1" w14:textId="76836593" w:rsidR="009F5DFD" w:rsidRPr="00C416F0" w:rsidRDefault="004E6C74" w:rsidP="009F5DFD">
      <w:pPr>
        <w:pStyle w:val="Heading3"/>
      </w:pPr>
      <w:r>
        <w:t xml:space="preserve">The most plausible ICERs for adalimumab and infliximab are below £20,000 per QALY gained </w:t>
      </w:r>
    </w:p>
    <w:p w14:paraId="09B70C08" w14:textId="3A3DEB2D" w:rsidR="004F422C" w:rsidRPr="00D41604" w:rsidRDefault="009927F3" w:rsidP="00560648">
      <w:pPr>
        <w:pStyle w:val="Numberedlevel2text"/>
      </w:pPr>
      <w:hyperlink r:id="rId30" w:history="1">
        <w:r w:rsidR="009F5DFD" w:rsidRPr="00C416F0">
          <w:rPr>
            <w:rStyle w:val="Hyperlink"/>
            <w:lang w:val="en-GB"/>
          </w:rPr>
          <w:t>NICE’s guide to the methods of technology appraisal</w:t>
        </w:r>
      </w:hyperlink>
      <w:r w:rsidR="009F5DFD" w:rsidRPr="00C416F0">
        <w:t xml:space="preserve"> notes that above a most plausible </w:t>
      </w:r>
      <w:r w:rsidR="00F36ABE">
        <w:t>incremental cost-effectiveness ratio (</w:t>
      </w:r>
      <w:r w:rsidR="009F5DFD" w:rsidRPr="00C416F0">
        <w:t>ICER</w:t>
      </w:r>
      <w:r w:rsidR="00F36ABE">
        <w:t>)</w:t>
      </w:r>
      <w:r w:rsidR="009F5DFD" w:rsidRPr="00C416F0">
        <w:t xml:space="preserve"> of £20,000 per </w:t>
      </w:r>
      <w:r w:rsidR="00464312">
        <w:rPr>
          <w:lang w:val="en-GB"/>
        </w:rPr>
        <w:t>quality-adjusted life year (</w:t>
      </w:r>
      <w:r w:rsidR="009F5DFD" w:rsidRPr="00C416F0">
        <w:t>QALY</w:t>
      </w:r>
      <w:r w:rsidR="00464312">
        <w:rPr>
          <w:lang w:val="en-GB"/>
        </w:rPr>
        <w:t>)</w:t>
      </w:r>
      <w:r w:rsidR="009F5DFD" w:rsidRPr="00C416F0">
        <w:t xml:space="preserve"> gained, judgements about the acceptability of a technology as an effective use of NHS resources will take into account the degree of certainty around the ICER. The committee will be more cautious about recommending a technology if it is less certain about the ICERs presented. </w:t>
      </w:r>
      <w:r w:rsidR="00922B32" w:rsidRPr="00C416F0">
        <w:t>The committee agreed that an acceptable ICER would be within the range</w:t>
      </w:r>
      <w:r w:rsidR="00BC42A7">
        <w:rPr>
          <w:lang w:val="en-GB"/>
        </w:rPr>
        <w:t xml:space="preserve"> NICE</w:t>
      </w:r>
      <w:r w:rsidR="00922B32" w:rsidRPr="00C416F0">
        <w:t xml:space="preserve"> normally </w:t>
      </w:r>
      <w:r w:rsidR="00BC42A7" w:rsidRPr="00C416F0">
        <w:t>consider</w:t>
      </w:r>
      <w:r w:rsidR="00BC42A7">
        <w:rPr>
          <w:lang w:val="en-GB"/>
        </w:rPr>
        <w:t>s</w:t>
      </w:r>
      <w:r w:rsidR="00BC42A7" w:rsidRPr="00C416F0">
        <w:t xml:space="preserve"> </w:t>
      </w:r>
      <w:r w:rsidR="00922B32" w:rsidRPr="00C416F0">
        <w:t>a cost-effective use of NHS resources (£20,000 to £30,000 per QALY gained).</w:t>
      </w:r>
      <w:r w:rsidR="00F36ABE">
        <w:t xml:space="preserve"> </w:t>
      </w:r>
      <w:r w:rsidR="009F5DFD" w:rsidRPr="00975651">
        <w:t>Be</w:t>
      </w:r>
      <w:r w:rsidR="009F5DFD" w:rsidRPr="00A806DA">
        <w:t xml:space="preserve">cause of the confidential discounts for the </w:t>
      </w:r>
      <w:r w:rsidR="00F36ABE">
        <w:t>treatments</w:t>
      </w:r>
      <w:r w:rsidR="00F36ABE" w:rsidRPr="00975651">
        <w:t xml:space="preserve"> </w:t>
      </w:r>
      <w:r w:rsidR="009F5DFD" w:rsidRPr="00A806DA">
        <w:t>and some of the subsequent therapies, the exact ICERs are confidential and</w:t>
      </w:r>
      <w:r w:rsidR="009F5DFD" w:rsidRPr="00D41604">
        <w:t xml:space="preserve"> cannot be reported here. </w:t>
      </w:r>
      <w:r w:rsidR="00922B32" w:rsidRPr="00D41604">
        <w:t xml:space="preserve">The </w:t>
      </w:r>
      <w:r w:rsidR="00F36ABE">
        <w:t>assessment group’s</w:t>
      </w:r>
      <w:r w:rsidR="00922B32" w:rsidRPr="00975651">
        <w:t xml:space="preserve"> </w:t>
      </w:r>
      <w:r w:rsidR="00F36ABE" w:rsidRPr="00D41604">
        <w:t>base</w:t>
      </w:r>
      <w:r w:rsidR="00F36ABE">
        <w:t>-</w:t>
      </w:r>
      <w:r w:rsidR="00922B32" w:rsidRPr="00975651">
        <w:t xml:space="preserve">case analyses used the cheapest formulation of each intervention </w:t>
      </w:r>
      <w:r w:rsidR="00922B32" w:rsidRPr="00A806DA">
        <w:t>and p</w:t>
      </w:r>
      <w:r w:rsidR="00922B32" w:rsidRPr="00FC4982">
        <w:t xml:space="preserve">rices </w:t>
      </w:r>
      <w:r w:rsidR="00F36ABE">
        <w:t>included</w:t>
      </w:r>
      <w:r w:rsidR="00922B32" w:rsidRPr="00975651">
        <w:t xml:space="preserve"> homecare support (</w:t>
      </w:r>
      <w:r w:rsidR="00464312" w:rsidRPr="00975651">
        <w:t>whe</w:t>
      </w:r>
      <w:r w:rsidR="00464312">
        <w:rPr>
          <w:lang w:val="en-GB"/>
        </w:rPr>
        <w:t>n</w:t>
      </w:r>
      <w:r w:rsidR="00464312" w:rsidRPr="00975651">
        <w:t xml:space="preserve"> </w:t>
      </w:r>
      <w:r w:rsidR="00922B32" w:rsidRPr="00975651">
        <w:t>a</w:t>
      </w:r>
      <w:r w:rsidR="00922B32" w:rsidRPr="00D41604">
        <w:t xml:space="preserve">vailable). </w:t>
      </w:r>
      <w:r w:rsidR="009F5DFD" w:rsidRPr="00D41604">
        <w:t xml:space="preserve">The </w:t>
      </w:r>
      <w:r w:rsidR="00F36ABE">
        <w:t>assessment group’s</w:t>
      </w:r>
      <w:r w:rsidR="00F36ABE" w:rsidRPr="00FB58AB">
        <w:t xml:space="preserve"> </w:t>
      </w:r>
      <w:r w:rsidR="009F5DFD" w:rsidRPr="00D41604">
        <w:t>base-case ICER for adalimumab and infliximab compared with c</w:t>
      </w:r>
      <w:r w:rsidR="002D448B" w:rsidRPr="00D41604">
        <w:t xml:space="preserve">onventional </w:t>
      </w:r>
      <w:r w:rsidR="009F5DFD" w:rsidRPr="00D41604">
        <w:t>DMARD</w:t>
      </w:r>
      <w:r w:rsidR="008E68B1" w:rsidRPr="00D41604">
        <w:t>s</w:t>
      </w:r>
      <w:r w:rsidR="009F5DFD" w:rsidRPr="00D41604">
        <w:t xml:space="preserve"> were both substantially lower than £20,000 per QALY gained. The </w:t>
      </w:r>
      <w:r w:rsidR="00975651">
        <w:t>assessment group’s</w:t>
      </w:r>
      <w:r w:rsidR="00975651" w:rsidRPr="00FB58AB">
        <w:t xml:space="preserve"> </w:t>
      </w:r>
      <w:r w:rsidR="009F5DFD" w:rsidRPr="00D41604">
        <w:t xml:space="preserve">base-case ICER for etanercept </w:t>
      </w:r>
      <w:r w:rsidR="002761D6" w:rsidRPr="00D41604">
        <w:t>compared with</w:t>
      </w:r>
      <w:r w:rsidR="00A83156">
        <w:rPr>
          <w:lang w:val="en-GB"/>
        </w:rPr>
        <w:t xml:space="preserve"> </w:t>
      </w:r>
      <w:r w:rsidR="00A83156" w:rsidRPr="00C416F0">
        <w:rPr>
          <w:lang w:val="en-GB"/>
        </w:rPr>
        <w:t>conventional DMARDs</w:t>
      </w:r>
      <w:r w:rsidR="004663F7">
        <w:rPr>
          <w:lang w:val="en-GB"/>
        </w:rPr>
        <w:t xml:space="preserve"> </w:t>
      </w:r>
      <w:r w:rsidR="009F5DFD" w:rsidRPr="00D41604">
        <w:t>was higher than £30,000 per QALY gained</w:t>
      </w:r>
      <w:r w:rsidR="000B4EE4">
        <w:rPr>
          <w:lang w:val="en-GB"/>
        </w:rPr>
        <w:t>,</w:t>
      </w:r>
      <w:r w:rsidR="009F5DFD" w:rsidRPr="00D41604">
        <w:t xml:space="preserve"> and for abatacept (intravenous and subcutaneous formulations) was substantially higher than £30,000 per QALY gained. </w:t>
      </w:r>
    </w:p>
    <w:p w14:paraId="29033C5C" w14:textId="683740BD" w:rsidR="00CA51DE" w:rsidRPr="00C416F0" w:rsidRDefault="00CA51DE" w:rsidP="001C392F">
      <w:pPr>
        <w:pStyle w:val="Heading3"/>
      </w:pPr>
      <w:r w:rsidRPr="00C416F0">
        <w:lastRenderedPageBreak/>
        <w:t xml:space="preserve">The </w:t>
      </w:r>
      <w:r w:rsidR="00A806DA">
        <w:t>assessment group’s</w:t>
      </w:r>
      <w:r w:rsidR="00A806DA" w:rsidRPr="00FB58AB">
        <w:t xml:space="preserve"> </w:t>
      </w:r>
      <w:r w:rsidRPr="00C416F0">
        <w:t xml:space="preserve">sensitivity analyses </w:t>
      </w:r>
      <w:r w:rsidR="00C51DF0" w:rsidRPr="00C416F0">
        <w:t>d</w:t>
      </w:r>
      <w:r w:rsidR="00C51DF0">
        <w:t>o</w:t>
      </w:r>
      <w:r w:rsidR="00C51DF0" w:rsidRPr="00C416F0">
        <w:t xml:space="preserve"> </w:t>
      </w:r>
      <w:r w:rsidRPr="00C416F0">
        <w:t>not change the cost-effectiveness conclusions</w:t>
      </w:r>
    </w:p>
    <w:p w14:paraId="2F11BFFA" w14:textId="6CF1B16A" w:rsidR="009F5DFD" w:rsidRPr="00C416F0" w:rsidRDefault="009F5DFD" w:rsidP="00AC7428">
      <w:pPr>
        <w:pStyle w:val="Numberedlevel2text"/>
        <w:numPr>
          <w:ilvl w:val="1"/>
          <w:numId w:val="9"/>
        </w:numPr>
        <w:rPr>
          <w:lang w:val="en-GB"/>
        </w:rPr>
      </w:pPr>
      <w:r w:rsidRPr="00C416F0">
        <w:rPr>
          <w:lang w:val="en-GB"/>
        </w:rPr>
        <w:t xml:space="preserve">The </w:t>
      </w:r>
      <w:r w:rsidR="00A806DA">
        <w:rPr>
          <w:lang w:val="en-GB"/>
        </w:rPr>
        <w:t>assessment group</w:t>
      </w:r>
      <w:r w:rsidR="00A806DA" w:rsidRPr="00FB58AB">
        <w:rPr>
          <w:lang w:val="en-GB"/>
        </w:rPr>
        <w:t xml:space="preserve"> </w:t>
      </w:r>
      <w:r w:rsidR="00A806DA">
        <w:rPr>
          <w:lang w:val="en-GB"/>
        </w:rPr>
        <w:t>did</w:t>
      </w:r>
      <w:r w:rsidR="00A806DA" w:rsidRPr="00C416F0">
        <w:rPr>
          <w:lang w:val="en-GB"/>
        </w:rPr>
        <w:t xml:space="preserve"> </w:t>
      </w:r>
      <w:r w:rsidR="002C5097" w:rsidRPr="00C416F0">
        <w:rPr>
          <w:lang w:val="en-GB"/>
        </w:rPr>
        <w:t xml:space="preserve">several </w:t>
      </w:r>
      <w:r w:rsidRPr="00C416F0">
        <w:rPr>
          <w:lang w:val="en-GB"/>
        </w:rPr>
        <w:t xml:space="preserve">sensitivity analyses </w:t>
      </w:r>
      <w:r w:rsidR="002C5097" w:rsidRPr="00C416F0">
        <w:rPr>
          <w:lang w:val="en-GB"/>
        </w:rPr>
        <w:t xml:space="preserve">including </w:t>
      </w:r>
      <w:r w:rsidRPr="00C416F0">
        <w:rPr>
          <w:lang w:val="en-GB"/>
        </w:rPr>
        <w:t>using lower</w:t>
      </w:r>
      <w:r w:rsidR="00231901">
        <w:rPr>
          <w:lang w:val="en-GB"/>
        </w:rPr>
        <w:t xml:space="preserve"> </w:t>
      </w:r>
      <w:r w:rsidR="00231901">
        <w:t xml:space="preserve">(the exact figure is confidential and cannot be reported here) </w:t>
      </w:r>
      <w:r w:rsidRPr="00C416F0">
        <w:rPr>
          <w:lang w:val="en-GB"/>
        </w:rPr>
        <w:t xml:space="preserve">and higher values </w:t>
      </w:r>
      <w:r w:rsidR="002761D6" w:rsidRPr="00C416F0">
        <w:rPr>
          <w:lang w:val="en-GB"/>
        </w:rPr>
        <w:t xml:space="preserve">(0.70) </w:t>
      </w:r>
      <w:r w:rsidRPr="00C416F0">
        <w:rPr>
          <w:lang w:val="en-GB"/>
        </w:rPr>
        <w:t>for change in DAS</w:t>
      </w:r>
      <w:r w:rsidR="00A806DA">
        <w:rPr>
          <w:lang w:val="en-GB"/>
        </w:rPr>
        <w:t>28</w:t>
      </w:r>
      <w:r w:rsidRPr="00C416F0">
        <w:rPr>
          <w:lang w:val="en-GB"/>
        </w:rPr>
        <w:t xml:space="preserve"> score when HAQ score increase</w:t>
      </w:r>
      <w:r w:rsidR="00843BBF" w:rsidRPr="00C416F0">
        <w:rPr>
          <w:lang w:val="en-GB"/>
        </w:rPr>
        <w:t>s</w:t>
      </w:r>
      <w:r w:rsidR="004663F7">
        <w:rPr>
          <w:lang w:val="en-GB"/>
        </w:rPr>
        <w:t xml:space="preserve"> (see </w:t>
      </w:r>
      <w:hyperlink w:anchor="_The_changes_to" w:history="1">
        <w:r w:rsidR="004663F7" w:rsidRPr="00836EC5">
          <w:rPr>
            <w:rStyle w:val="Hyperlink"/>
            <w:lang w:val="en-GB"/>
          </w:rPr>
          <w:t xml:space="preserve">section </w:t>
        </w:r>
        <w:r w:rsidR="004E6C74" w:rsidRPr="00836EC5">
          <w:rPr>
            <w:rStyle w:val="Hyperlink"/>
            <w:lang w:val="en-GB"/>
          </w:rPr>
          <w:t>4.5</w:t>
        </w:r>
      </w:hyperlink>
      <w:r w:rsidR="004663F7">
        <w:rPr>
          <w:lang w:val="en-GB"/>
        </w:rPr>
        <w:t>)</w:t>
      </w:r>
      <w:r w:rsidR="00A806DA">
        <w:rPr>
          <w:lang w:val="en-GB"/>
        </w:rPr>
        <w:t>.</w:t>
      </w:r>
      <w:r w:rsidR="00C51DF0">
        <w:rPr>
          <w:lang w:val="en-GB"/>
        </w:rPr>
        <w:t xml:space="preserve"> </w:t>
      </w:r>
      <w:r w:rsidR="00A806DA">
        <w:rPr>
          <w:lang w:val="en-GB"/>
        </w:rPr>
        <w:t>These</w:t>
      </w:r>
      <w:r w:rsidRPr="00C416F0">
        <w:rPr>
          <w:lang w:val="en-GB"/>
        </w:rPr>
        <w:t xml:space="preserve"> did not </w:t>
      </w:r>
      <w:r w:rsidR="00A806DA">
        <w:rPr>
          <w:lang w:val="en-GB"/>
        </w:rPr>
        <w:t>affect</w:t>
      </w:r>
      <w:r w:rsidR="00A806DA" w:rsidRPr="00C416F0">
        <w:rPr>
          <w:lang w:val="en-GB"/>
        </w:rPr>
        <w:t xml:space="preserve"> </w:t>
      </w:r>
      <w:r w:rsidRPr="00C416F0">
        <w:rPr>
          <w:lang w:val="en-GB"/>
        </w:rPr>
        <w:t xml:space="preserve">the cost-effectiveness conclusions. Another sensitivity analysis was </w:t>
      </w:r>
      <w:r w:rsidR="00A806DA">
        <w:rPr>
          <w:lang w:val="en-GB"/>
        </w:rPr>
        <w:t>done</w:t>
      </w:r>
      <w:r w:rsidR="00A806DA" w:rsidRPr="00C416F0">
        <w:rPr>
          <w:lang w:val="en-GB"/>
        </w:rPr>
        <w:t xml:space="preserve"> </w:t>
      </w:r>
      <w:r w:rsidRPr="00C416F0">
        <w:rPr>
          <w:lang w:val="en-GB"/>
        </w:rPr>
        <w:t xml:space="preserve">to remove methotrexate after tocilizumab in the treatment sequences following progression to severe disease (in line with </w:t>
      </w:r>
      <w:hyperlink r:id="rId31" w:history="1">
        <w:r w:rsidRPr="00A806DA">
          <w:rPr>
            <w:rStyle w:val="Hyperlink"/>
            <w:lang w:val="en-GB"/>
          </w:rPr>
          <w:t>NICE</w:t>
        </w:r>
        <w:r w:rsidR="00A806DA">
          <w:rPr>
            <w:rStyle w:val="Hyperlink"/>
            <w:lang w:val="en-GB"/>
          </w:rPr>
          <w:t>’s guidance on</w:t>
        </w:r>
        <w:r w:rsidRPr="00A806DA">
          <w:rPr>
            <w:rStyle w:val="Hyperlink"/>
            <w:lang w:val="en-GB"/>
          </w:rPr>
          <w:t xml:space="preserve"> filgotinib for treating moderate to severe rheumatoid arthritis</w:t>
        </w:r>
      </w:hyperlink>
      <w:r w:rsidRPr="00C416F0">
        <w:rPr>
          <w:lang w:val="en-GB"/>
        </w:rPr>
        <w:t>)</w:t>
      </w:r>
      <w:r w:rsidR="000B4EE4">
        <w:rPr>
          <w:lang w:val="en-GB"/>
        </w:rPr>
        <w:t>,</w:t>
      </w:r>
      <w:r w:rsidRPr="00C416F0">
        <w:rPr>
          <w:lang w:val="en-GB"/>
        </w:rPr>
        <w:t xml:space="preserve"> which</w:t>
      </w:r>
      <w:r w:rsidR="00D3056E">
        <w:rPr>
          <w:lang w:val="en-GB"/>
        </w:rPr>
        <w:t xml:space="preserve"> also</w:t>
      </w:r>
      <w:r w:rsidRPr="00C416F0">
        <w:rPr>
          <w:lang w:val="en-GB"/>
        </w:rPr>
        <w:t xml:space="preserve"> had little impact on the ICER</w:t>
      </w:r>
      <w:r w:rsidR="00D3056E">
        <w:rPr>
          <w:lang w:val="en-GB"/>
        </w:rPr>
        <w:t>s</w:t>
      </w:r>
      <w:r w:rsidRPr="00C416F0">
        <w:rPr>
          <w:lang w:val="en-GB"/>
        </w:rPr>
        <w:t xml:space="preserve">. The committee understood that there </w:t>
      </w:r>
      <w:r w:rsidR="00AA0509">
        <w:rPr>
          <w:lang w:val="en-GB"/>
        </w:rPr>
        <w:t>was</w:t>
      </w:r>
      <w:r w:rsidRPr="00C416F0">
        <w:rPr>
          <w:lang w:val="en-GB"/>
        </w:rPr>
        <w:t xml:space="preserve"> some uncertainty </w:t>
      </w:r>
      <w:r w:rsidR="00A806DA">
        <w:rPr>
          <w:lang w:val="en-GB"/>
        </w:rPr>
        <w:t>about the</w:t>
      </w:r>
      <w:r w:rsidR="00A806DA" w:rsidRPr="00C416F0">
        <w:rPr>
          <w:lang w:val="en-GB"/>
        </w:rPr>
        <w:t xml:space="preserve"> </w:t>
      </w:r>
      <w:r w:rsidRPr="00C416F0">
        <w:rPr>
          <w:lang w:val="en-GB"/>
        </w:rPr>
        <w:t xml:space="preserve">efficacy estimates </w:t>
      </w:r>
      <w:r w:rsidR="00843BBF" w:rsidRPr="00C416F0">
        <w:rPr>
          <w:lang w:val="en-GB"/>
        </w:rPr>
        <w:t>used in the model</w:t>
      </w:r>
      <w:r w:rsidR="00A806DA">
        <w:rPr>
          <w:lang w:val="en-GB"/>
        </w:rPr>
        <w:t>,</w:t>
      </w:r>
      <w:r w:rsidR="00843BBF" w:rsidRPr="00C416F0">
        <w:rPr>
          <w:lang w:val="en-GB"/>
        </w:rPr>
        <w:t xml:space="preserve"> </w:t>
      </w:r>
      <w:r w:rsidRPr="00C416F0">
        <w:rPr>
          <w:lang w:val="en-GB"/>
        </w:rPr>
        <w:t xml:space="preserve">which may </w:t>
      </w:r>
      <w:r w:rsidR="00E22B13">
        <w:rPr>
          <w:lang w:val="en-GB"/>
        </w:rPr>
        <w:t xml:space="preserve">have </w:t>
      </w:r>
      <w:r w:rsidRPr="00C416F0">
        <w:rPr>
          <w:lang w:val="en-GB"/>
        </w:rPr>
        <w:t>influence</w:t>
      </w:r>
      <w:r w:rsidR="00E22B13">
        <w:rPr>
          <w:lang w:val="en-GB"/>
        </w:rPr>
        <w:t>d</w:t>
      </w:r>
      <w:r w:rsidRPr="00C416F0">
        <w:rPr>
          <w:lang w:val="en-GB"/>
        </w:rPr>
        <w:t xml:space="preserve"> the cost-effectiveness results</w:t>
      </w:r>
      <w:r w:rsidR="00843BBF" w:rsidRPr="00C416F0">
        <w:rPr>
          <w:lang w:val="en-GB"/>
        </w:rPr>
        <w:t>. H</w:t>
      </w:r>
      <w:r w:rsidRPr="00C416F0">
        <w:rPr>
          <w:lang w:val="en-GB"/>
        </w:rPr>
        <w:t>owever</w:t>
      </w:r>
      <w:r w:rsidR="00843BBF" w:rsidRPr="00C416F0">
        <w:rPr>
          <w:lang w:val="en-GB"/>
        </w:rPr>
        <w:t xml:space="preserve">, </w:t>
      </w:r>
      <w:r w:rsidRPr="00C416F0">
        <w:rPr>
          <w:lang w:val="en-GB"/>
        </w:rPr>
        <w:t>it agreed that these</w:t>
      </w:r>
      <w:r w:rsidR="00C1712C" w:rsidRPr="00C416F0">
        <w:rPr>
          <w:lang w:val="en-GB"/>
        </w:rPr>
        <w:t xml:space="preserve"> </w:t>
      </w:r>
      <w:r w:rsidRPr="00C416F0">
        <w:rPr>
          <w:lang w:val="en-GB"/>
        </w:rPr>
        <w:t xml:space="preserve">estimates were considered acceptable </w:t>
      </w:r>
      <w:r w:rsidR="002D448B" w:rsidRPr="00C416F0">
        <w:rPr>
          <w:lang w:val="en-GB"/>
        </w:rPr>
        <w:t xml:space="preserve">by the committee </w:t>
      </w:r>
      <w:r w:rsidRPr="00C416F0">
        <w:rPr>
          <w:lang w:val="en-GB"/>
        </w:rPr>
        <w:t xml:space="preserve">in </w:t>
      </w:r>
      <w:hyperlink r:id="rId32" w:history="1">
        <w:r w:rsidRPr="00C416F0">
          <w:rPr>
            <w:rStyle w:val="Hyperlink"/>
            <w:lang w:val="en-GB"/>
          </w:rPr>
          <w:t>NICE technology appraisal 375</w:t>
        </w:r>
      </w:hyperlink>
      <w:r w:rsidRPr="00C416F0">
        <w:rPr>
          <w:lang w:val="en-GB"/>
        </w:rPr>
        <w:t xml:space="preserve">. </w:t>
      </w:r>
      <w:r w:rsidR="004F422C" w:rsidRPr="00C416F0">
        <w:rPr>
          <w:lang w:val="en-GB"/>
        </w:rPr>
        <w:t>The committee discussed that there are multiple biosimilars for adalimumab</w:t>
      </w:r>
      <w:r w:rsidR="00A806DA">
        <w:rPr>
          <w:lang w:val="en-GB"/>
        </w:rPr>
        <w:t>, and the availability of these differs regionally</w:t>
      </w:r>
      <w:r w:rsidR="00AA0509">
        <w:rPr>
          <w:lang w:val="en-GB"/>
        </w:rPr>
        <w:t xml:space="preserve"> in England</w:t>
      </w:r>
      <w:r w:rsidR="004F422C" w:rsidRPr="00C416F0">
        <w:rPr>
          <w:lang w:val="en-GB"/>
        </w:rPr>
        <w:t>, unlike etanercept and infliximab biosimilars</w:t>
      </w:r>
      <w:r w:rsidR="00A806DA">
        <w:rPr>
          <w:lang w:val="en-GB"/>
        </w:rPr>
        <w:t>,</w:t>
      </w:r>
      <w:r w:rsidR="004F422C" w:rsidRPr="00C416F0">
        <w:rPr>
          <w:lang w:val="en-GB"/>
        </w:rPr>
        <w:t xml:space="preserve"> which are nationally available. The committee </w:t>
      </w:r>
      <w:r w:rsidR="00D3056E">
        <w:rPr>
          <w:lang w:val="en-GB"/>
        </w:rPr>
        <w:t>considered</w:t>
      </w:r>
      <w:r w:rsidR="004F422C" w:rsidRPr="00C416F0">
        <w:rPr>
          <w:lang w:val="en-GB"/>
        </w:rPr>
        <w:t xml:space="preserve"> a further sensitivity analysis </w:t>
      </w:r>
      <w:r w:rsidR="00C51DF0">
        <w:rPr>
          <w:lang w:val="en-GB"/>
        </w:rPr>
        <w:t>using</w:t>
      </w:r>
      <w:r w:rsidR="004F422C" w:rsidRPr="00C416F0">
        <w:rPr>
          <w:lang w:val="en-GB"/>
        </w:rPr>
        <w:t xml:space="preserve"> the highest price </w:t>
      </w:r>
      <w:r w:rsidR="00D3056E">
        <w:rPr>
          <w:lang w:val="en-GB"/>
        </w:rPr>
        <w:t>that any region would need to pay for adalimumab.</w:t>
      </w:r>
      <w:r w:rsidR="002E60DB">
        <w:rPr>
          <w:lang w:val="en-GB"/>
        </w:rPr>
        <w:t xml:space="preserve"> It was reassured that this</w:t>
      </w:r>
      <w:r w:rsidR="00C51DF0">
        <w:rPr>
          <w:lang w:val="en-GB"/>
        </w:rPr>
        <w:t xml:space="preserve"> </w:t>
      </w:r>
      <w:r w:rsidR="004F422C" w:rsidRPr="00C416F0">
        <w:rPr>
          <w:lang w:val="en-GB"/>
        </w:rPr>
        <w:t>did not change the cost-effectiveness conclusions for adalimumab.</w:t>
      </w:r>
    </w:p>
    <w:p w14:paraId="565FB4D4" w14:textId="6B111029" w:rsidR="00CA51DE" w:rsidRPr="00C416F0" w:rsidRDefault="00AB4C01" w:rsidP="001C392F">
      <w:pPr>
        <w:pStyle w:val="Heading3"/>
      </w:pPr>
      <w:r w:rsidRPr="00C416F0">
        <w:t>Adalimumab and infliximab are cost-effective</w:t>
      </w:r>
      <w:r w:rsidR="00C33BE2" w:rsidRPr="00C416F0">
        <w:t xml:space="preserve"> treatment options for moderate disease but </w:t>
      </w:r>
      <w:r w:rsidRPr="00C416F0">
        <w:t>etanercept and abatacept are not recommended</w:t>
      </w:r>
      <w:r w:rsidR="00C33BE2" w:rsidRPr="00C416F0">
        <w:t xml:space="preserve"> </w:t>
      </w:r>
    </w:p>
    <w:p w14:paraId="21B6B3FA" w14:textId="264D0804" w:rsidR="005F6E2C" w:rsidRPr="00C416F0" w:rsidRDefault="005F6E2C" w:rsidP="00CA51DE">
      <w:pPr>
        <w:pStyle w:val="Numberedlevel2text"/>
        <w:numPr>
          <w:ilvl w:val="1"/>
          <w:numId w:val="9"/>
        </w:numPr>
        <w:rPr>
          <w:lang w:val="en-GB"/>
        </w:rPr>
      </w:pPr>
      <w:r w:rsidRPr="00C416F0">
        <w:rPr>
          <w:lang w:val="en-GB"/>
        </w:rPr>
        <w:t xml:space="preserve">The committee accepted the </w:t>
      </w:r>
      <w:r w:rsidR="00A806DA">
        <w:rPr>
          <w:lang w:val="en-GB"/>
        </w:rPr>
        <w:t>assessment group’s</w:t>
      </w:r>
      <w:r w:rsidR="00A806DA" w:rsidRPr="00FB58AB">
        <w:rPr>
          <w:lang w:val="en-GB"/>
        </w:rPr>
        <w:t xml:space="preserve"> </w:t>
      </w:r>
      <w:r w:rsidRPr="00C416F0">
        <w:rPr>
          <w:lang w:val="en-GB"/>
        </w:rPr>
        <w:t>base</w:t>
      </w:r>
      <w:r w:rsidR="00A806DA">
        <w:rPr>
          <w:lang w:val="en-GB"/>
        </w:rPr>
        <w:t>-</w:t>
      </w:r>
      <w:r w:rsidRPr="00C416F0">
        <w:rPr>
          <w:lang w:val="en-GB"/>
        </w:rPr>
        <w:t xml:space="preserve">case analyses. The </w:t>
      </w:r>
      <w:r w:rsidR="00FC4982">
        <w:rPr>
          <w:lang w:val="en-GB"/>
        </w:rPr>
        <w:t>assessment group’s</w:t>
      </w:r>
      <w:r w:rsidR="00FC4982" w:rsidRPr="00FB58AB">
        <w:rPr>
          <w:lang w:val="en-GB"/>
        </w:rPr>
        <w:t xml:space="preserve"> </w:t>
      </w:r>
      <w:r w:rsidR="00FC4982" w:rsidRPr="00C416F0">
        <w:rPr>
          <w:lang w:val="en-GB"/>
        </w:rPr>
        <w:t>base</w:t>
      </w:r>
      <w:r w:rsidR="00FC4982">
        <w:rPr>
          <w:lang w:val="en-GB"/>
        </w:rPr>
        <w:t>-</w:t>
      </w:r>
      <w:r w:rsidRPr="00C416F0">
        <w:rPr>
          <w:lang w:val="en-GB"/>
        </w:rPr>
        <w:t xml:space="preserve">case ICERs for adalimumab and infliximab were both below the range NICE considers to be an acceptable use of NHS resources. Therefore, the committee recommended adalimumab and infliximab as first-line </w:t>
      </w:r>
      <w:r w:rsidR="00957515">
        <w:rPr>
          <w:lang w:val="en-GB"/>
        </w:rPr>
        <w:t xml:space="preserve">biological </w:t>
      </w:r>
      <w:r w:rsidRPr="00C416F0">
        <w:rPr>
          <w:lang w:val="en-GB"/>
        </w:rPr>
        <w:t xml:space="preserve">treatments for moderate active rheumatoid arthritis </w:t>
      </w:r>
      <w:r w:rsidR="00A806DA">
        <w:rPr>
          <w:lang w:val="en-GB"/>
        </w:rPr>
        <w:t>that has</w:t>
      </w:r>
      <w:r w:rsidRPr="00C416F0">
        <w:rPr>
          <w:lang w:val="en-GB"/>
        </w:rPr>
        <w:t xml:space="preserve"> had an inadequate response to intensive therapy with 2 or more conventional DMARDs. The </w:t>
      </w:r>
      <w:r w:rsidR="00FC4982">
        <w:rPr>
          <w:lang w:val="en-GB"/>
        </w:rPr>
        <w:t>assessment group’s</w:t>
      </w:r>
      <w:r w:rsidR="00FC4982" w:rsidRPr="00FB58AB">
        <w:rPr>
          <w:lang w:val="en-GB"/>
        </w:rPr>
        <w:t xml:space="preserve"> </w:t>
      </w:r>
      <w:r w:rsidRPr="00C416F0">
        <w:rPr>
          <w:lang w:val="en-GB"/>
        </w:rPr>
        <w:t>base</w:t>
      </w:r>
      <w:r w:rsidR="00464312">
        <w:rPr>
          <w:lang w:val="en-GB"/>
        </w:rPr>
        <w:t>-case</w:t>
      </w:r>
      <w:r w:rsidRPr="00C416F0">
        <w:rPr>
          <w:lang w:val="en-GB"/>
        </w:rPr>
        <w:t xml:space="preserve"> </w:t>
      </w:r>
      <w:r w:rsidRPr="00C416F0">
        <w:rPr>
          <w:lang w:val="en-GB"/>
        </w:rPr>
        <w:lastRenderedPageBreak/>
        <w:t xml:space="preserve">ICERs for etanercept and abatacept were both above the range NICE considers to be an acceptable use of NHS resources. The committee therefore did not recommend etanercept or abatacept as treatment options for moderate active rheumatoid arthritis. </w:t>
      </w:r>
    </w:p>
    <w:p w14:paraId="265B2D37" w14:textId="66C79EA5" w:rsidR="00CA51DE" w:rsidRPr="00C416F0" w:rsidRDefault="00321858" w:rsidP="001C392F">
      <w:pPr>
        <w:pStyle w:val="Heading3"/>
      </w:pPr>
      <w:r>
        <w:t>Adalimumab monotherapy is also recommended for people who cannot t</w:t>
      </w:r>
      <w:r w:rsidR="004E6C74">
        <w:t>ake methotrexate</w:t>
      </w:r>
      <w:r>
        <w:t xml:space="preserve"> </w:t>
      </w:r>
    </w:p>
    <w:p w14:paraId="2385BBD0" w14:textId="0F3033FC" w:rsidR="00922B32" w:rsidRPr="00C416F0" w:rsidRDefault="007B430E" w:rsidP="00AC7428">
      <w:pPr>
        <w:pStyle w:val="Numberedlevel2text"/>
        <w:numPr>
          <w:ilvl w:val="1"/>
          <w:numId w:val="9"/>
        </w:numPr>
        <w:rPr>
          <w:lang w:val="en-GB"/>
        </w:rPr>
      </w:pPr>
      <w:r w:rsidRPr="00C416F0">
        <w:rPr>
          <w:lang w:val="en-GB"/>
        </w:rPr>
        <w:t xml:space="preserve">The committee agreed that people with moderate active rheumatoid arthritis who cannot tolerate methotrexate should not be treated differently from other people with moderate disease, as far as possible. The </w:t>
      </w:r>
      <w:r w:rsidR="00FC4982">
        <w:rPr>
          <w:lang w:val="en-GB"/>
        </w:rPr>
        <w:t>c</w:t>
      </w:r>
      <w:r w:rsidR="00FC4982" w:rsidRPr="00C416F0">
        <w:rPr>
          <w:lang w:val="en-GB"/>
        </w:rPr>
        <w:t xml:space="preserve">ommittee </w:t>
      </w:r>
      <w:r w:rsidRPr="00C416F0">
        <w:rPr>
          <w:lang w:val="en-GB"/>
        </w:rPr>
        <w:t xml:space="preserve">concluded that based on the marketing authorisation </w:t>
      </w:r>
      <w:r w:rsidR="006424DB">
        <w:rPr>
          <w:lang w:val="en-GB"/>
        </w:rPr>
        <w:t xml:space="preserve">and the cost-effectiveness estimates </w:t>
      </w:r>
      <w:r w:rsidRPr="00C416F0">
        <w:rPr>
          <w:lang w:val="en-GB"/>
        </w:rPr>
        <w:t xml:space="preserve">only adalimumab could be recommended as monotherapy for moderate active disease previously treated with conventional DMARDs. </w:t>
      </w:r>
    </w:p>
    <w:p w14:paraId="6BBFA81D" w14:textId="77777777" w:rsidR="009F5DFD" w:rsidRPr="00C416F0" w:rsidRDefault="009F5DFD" w:rsidP="009F5DFD">
      <w:pPr>
        <w:pStyle w:val="Heading2"/>
      </w:pPr>
      <w:r w:rsidRPr="00C416F0">
        <w:t>Equality considerations</w:t>
      </w:r>
    </w:p>
    <w:p w14:paraId="32A15A98" w14:textId="77777777" w:rsidR="009F5DFD" w:rsidRPr="00C416F0" w:rsidRDefault="009F5DFD" w:rsidP="009F5DFD">
      <w:pPr>
        <w:pStyle w:val="Heading3"/>
      </w:pPr>
      <w:r w:rsidRPr="00C416F0">
        <w:t>Healthcare professionals should consider any disabilities or communication difficulties when using the DAS28 measure</w:t>
      </w:r>
    </w:p>
    <w:p w14:paraId="731D4F02" w14:textId="0DD71F0D" w:rsidR="009F5DFD" w:rsidRPr="00C416F0" w:rsidRDefault="009F5DFD" w:rsidP="00AC7428">
      <w:pPr>
        <w:pStyle w:val="Numberedlevel2text"/>
        <w:numPr>
          <w:ilvl w:val="1"/>
          <w:numId w:val="9"/>
        </w:numPr>
        <w:rPr>
          <w:lang w:val="en-GB"/>
        </w:rPr>
      </w:pPr>
      <w:r w:rsidRPr="00C416F0">
        <w:rPr>
          <w:lang w:val="en-GB"/>
        </w:rPr>
        <w:t xml:space="preserve">A potential equality issue was raised in </w:t>
      </w:r>
      <w:hyperlink r:id="rId33" w:history="1">
        <w:r w:rsidRPr="00FC4982">
          <w:rPr>
            <w:rStyle w:val="Hyperlink"/>
            <w:lang w:val="en-GB"/>
          </w:rPr>
          <w:t>NICE's technology appraisal guidance on upadacitinib for treating severe rheumatoid arthritis</w:t>
        </w:r>
      </w:hyperlink>
      <w:r w:rsidRPr="00C416F0">
        <w:rPr>
          <w:lang w:val="en-GB"/>
        </w:rPr>
        <w:t>, about people with rheumatoid arthritis who have difficulty communicating. For these people, it may be more difficult to assess outcomes when using the DAS28 measure. The committee agreed that this equality issue was also important to consider for this appraisal. The committee concluded that healthcare professionals should consider any physical, psychological, sensory or learning disabilities, or communication difficulties that could affect the responses to the DAS28 and make any</w:t>
      </w:r>
      <w:r w:rsidR="00275B26">
        <w:rPr>
          <w:lang w:val="en-GB"/>
        </w:rPr>
        <w:t xml:space="preserve"> appropriate</w:t>
      </w:r>
      <w:r w:rsidRPr="00C416F0">
        <w:rPr>
          <w:lang w:val="en-GB"/>
        </w:rPr>
        <w:t xml:space="preserve"> adjustments.</w:t>
      </w:r>
    </w:p>
    <w:p w14:paraId="466CFF1B" w14:textId="77777777" w:rsidR="009F5DFD" w:rsidRPr="00C416F0" w:rsidRDefault="009F5DFD" w:rsidP="009F5DFD">
      <w:pPr>
        <w:pStyle w:val="Heading3"/>
      </w:pPr>
      <w:r w:rsidRPr="00C416F0">
        <w:lastRenderedPageBreak/>
        <w:t>No other equality issues have been identified that can be addressed in this technology appraisal</w:t>
      </w:r>
    </w:p>
    <w:p w14:paraId="5E83808E" w14:textId="5E6435B6" w:rsidR="009F5DFD" w:rsidRPr="00C416F0" w:rsidRDefault="002232E8" w:rsidP="00AC7428">
      <w:pPr>
        <w:pStyle w:val="Numberedlevel2text"/>
        <w:numPr>
          <w:ilvl w:val="1"/>
          <w:numId w:val="9"/>
        </w:numPr>
        <w:rPr>
          <w:lang w:val="en-GB"/>
        </w:rPr>
      </w:pPr>
      <w:r w:rsidRPr="00C416F0">
        <w:rPr>
          <w:lang w:val="en-GB"/>
        </w:rPr>
        <w:t>The</w:t>
      </w:r>
      <w:r w:rsidR="009F5DFD" w:rsidRPr="00C416F0">
        <w:rPr>
          <w:lang w:val="en-GB"/>
        </w:rPr>
        <w:t xml:space="preserve"> patient expert</w:t>
      </w:r>
      <w:r w:rsidR="0037391F">
        <w:rPr>
          <w:lang w:val="en-GB"/>
        </w:rPr>
        <w:t>s</w:t>
      </w:r>
      <w:r w:rsidR="009F5DFD" w:rsidRPr="00C416F0">
        <w:rPr>
          <w:lang w:val="en-GB"/>
        </w:rPr>
        <w:t xml:space="preserve"> </w:t>
      </w:r>
      <w:r w:rsidRPr="00C416F0">
        <w:rPr>
          <w:lang w:val="en-GB"/>
        </w:rPr>
        <w:t xml:space="preserve">explained </w:t>
      </w:r>
      <w:r w:rsidR="009F5DFD" w:rsidRPr="00C416F0">
        <w:rPr>
          <w:lang w:val="en-GB"/>
        </w:rPr>
        <w:t>that certolizumab pegol, another TNF-alpha inhibitor, is often used to treat rheumatoid arthritis in women who are planning to start a family or who are pregnant</w:t>
      </w:r>
      <w:r w:rsidR="009F5DFD" w:rsidRPr="00C416F0">
        <w:rPr>
          <w:rFonts w:cs="Arial"/>
          <w:szCs w:val="24"/>
          <w:lang w:val="en-GB"/>
        </w:rPr>
        <w:t xml:space="preserve">. </w:t>
      </w:r>
      <w:r w:rsidR="009F5DFD" w:rsidRPr="00C416F0" w:rsidDel="00FC4982">
        <w:rPr>
          <w:rFonts w:cs="Arial"/>
          <w:szCs w:val="24"/>
          <w:lang w:val="en-GB"/>
        </w:rPr>
        <w:t xml:space="preserve">They </w:t>
      </w:r>
      <w:r w:rsidRPr="00C416F0" w:rsidDel="00FC4982">
        <w:rPr>
          <w:rFonts w:cs="Arial"/>
          <w:szCs w:val="24"/>
          <w:lang w:val="en-GB"/>
        </w:rPr>
        <w:t xml:space="preserve">described </w:t>
      </w:r>
      <w:r w:rsidR="007B430E" w:rsidRPr="00C416F0" w:rsidDel="00FC4982">
        <w:rPr>
          <w:rFonts w:cs="Arial"/>
          <w:szCs w:val="24"/>
          <w:lang w:val="en-GB"/>
        </w:rPr>
        <w:t>how</w:t>
      </w:r>
      <w:r w:rsidRPr="00C416F0" w:rsidDel="00FC4982">
        <w:rPr>
          <w:rFonts w:cs="Arial"/>
          <w:szCs w:val="24"/>
          <w:lang w:val="en-GB"/>
        </w:rPr>
        <w:t xml:space="preserve"> not having this </w:t>
      </w:r>
      <w:r w:rsidR="007B430E" w:rsidRPr="00C416F0" w:rsidDel="00FC4982">
        <w:rPr>
          <w:rFonts w:cs="Arial"/>
          <w:szCs w:val="24"/>
          <w:lang w:val="en-GB"/>
        </w:rPr>
        <w:t>as a treatment option</w:t>
      </w:r>
      <w:r w:rsidR="009F5DFD" w:rsidRPr="00C416F0" w:rsidDel="00FC4982">
        <w:rPr>
          <w:rFonts w:cs="Arial"/>
          <w:szCs w:val="24"/>
          <w:lang w:val="en-GB"/>
        </w:rPr>
        <w:t xml:space="preserve"> </w:t>
      </w:r>
      <w:r w:rsidRPr="00C416F0" w:rsidDel="00FC4982">
        <w:rPr>
          <w:rFonts w:cs="Arial"/>
          <w:szCs w:val="24"/>
          <w:lang w:val="en-GB"/>
        </w:rPr>
        <w:t xml:space="preserve">for people with moderate disease </w:t>
      </w:r>
      <w:r w:rsidR="009F5DFD" w:rsidRPr="00C416F0" w:rsidDel="00FC4982">
        <w:rPr>
          <w:rFonts w:cs="Arial"/>
          <w:szCs w:val="24"/>
          <w:lang w:val="en-GB"/>
        </w:rPr>
        <w:t xml:space="preserve">could potentially discriminate against women of childbearing age. </w:t>
      </w:r>
      <w:r w:rsidR="009F5DFD" w:rsidRPr="00C416F0">
        <w:rPr>
          <w:rFonts w:cs="Arial"/>
          <w:szCs w:val="24"/>
          <w:lang w:val="en-GB"/>
        </w:rPr>
        <w:t xml:space="preserve">The clinical experts explained that certolizumab pegol does not easily cross the placenta </w:t>
      </w:r>
      <w:r w:rsidR="00FC4982">
        <w:rPr>
          <w:rFonts w:cs="Arial"/>
          <w:szCs w:val="24"/>
          <w:lang w:val="en-GB"/>
        </w:rPr>
        <w:t>so</w:t>
      </w:r>
      <w:r w:rsidR="009F5DFD" w:rsidRPr="00C416F0">
        <w:rPr>
          <w:rFonts w:cs="Arial"/>
          <w:szCs w:val="24"/>
          <w:lang w:val="en-GB"/>
        </w:rPr>
        <w:t xml:space="preserve"> is </w:t>
      </w:r>
      <w:r w:rsidRPr="00C416F0">
        <w:rPr>
          <w:rFonts w:cs="Arial"/>
          <w:szCs w:val="24"/>
          <w:lang w:val="en-GB"/>
        </w:rPr>
        <w:t xml:space="preserve">usually </w:t>
      </w:r>
      <w:r w:rsidR="009F5DFD" w:rsidRPr="00C416F0">
        <w:rPr>
          <w:rFonts w:cs="Arial"/>
          <w:szCs w:val="24"/>
          <w:lang w:val="en-GB"/>
        </w:rPr>
        <w:t xml:space="preserve">the preferred treatment choice during pregnancy. However, they explained that other TNF-alpha inhibitors can be used in different stages of pregnancy but </w:t>
      </w:r>
      <w:r w:rsidR="002D448B" w:rsidRPr="00C416F0">
        <w:rPr>
          <w:rFonts w:cs="Arial"/>
          <w:szCs w:val="24"/>
          <w:lang w:val="en-GB"/>
        </w:rPr>
        <w:t xml:space="preserve">that </w:t>
      </w:r>
      <w:r w:rsidR="009F5DFD" w:rsidRPr="00C416F0">
        <w:rPr>
          <w:rFonts w:cs="Arial"/>
          <w:szCs w:val="24"/>
          <w:lang w:val="en-GB"/>
        </w:rPr>
        <w:t>there is a risk of active transport across the placenta</w:t>
      </w:r>
      <w:r w:rsidR="00FC4982">
        <w:rPr>
          <w:rFonts w:cs="Arial"/>
          <w:szCs w:val="24"/>
          <w:lang w:val="en-GB"/>
        </w:rPr>
        <w:t>,</w:t>
      </w:r>
      <w:r w:rsidR="009F5DFD" w:rsidRPr="00C416F0">
        <w:rPr>
          <w:rFonts w:cs="Arial"/>
          <w:szCs w:val="24"/>
          <w:lang w:val="en-GB"/>
        </w:rPr>
        <w:t xml:space="preserve"> which often means that treatment is stopped. </w:t>
      </w:r>
      <w:r w:rsidR="009F5DFD" w:rsidRPr="00C416F0">
        <w:rPr>
          <w:lang w:val="en-GB"/>
        </w:rPr>
        <w:t>The committee concluded that this issue could not be addressed in this technology appraisal</w:t>
      </w:r>
      <w:r w:rsidR="005F0BAB">
        <w:rPr>
          <w:lang w:val="en-GB"/>
        </w:rPr>
        <w:t>,</w:t>
      </w:r>
      <w:r w:rsidR="009F5DFD" w:rsidRPr="00C416F0">
        <w:rPr>
          <w:lang w:val="en-GB"/>
        </w:rPr>
        <w:t xml:space="preserve"> because</w:t>
      </w:r>
      <w:r w:rsidR="00EC28F2">
        <w:rPr>
          <w:lang w:val="en-GB"/>
        </w:rPr>
        <w:t xml:space="preserve"> </w:t>
      </w:r>
      <w:r w:rsidR="00EC28F2" w:rsidRPr="00EC28F2">
        <w:rPr>
          <w:lang w:val="en-GB"/>
        </w:rPr>
        <w:t xml:space="preserve">the company manufacturing certolizumab pegol decided not </w:t>
      </w:r>
      <w:r w:rsidR="006424DB">
        <w:rPr>
          <w:lang w:val="en-GB"/>
        </w:rPr>
        <w:t xml:space="preserve">to participate in this </w:t>
      </w:r>
      <w:r w:rsidR="0094161C">
        <w:rPr>
          <w:lang w:val="en-GB"/>
        </w:rPr>
        <w:t>partial review</w:t>
      </w:r>
      <w:r w:rsidR="003B17F5">
        <w:rPr>
          <w:lang w:val="en-GB"/>
        </w:rPr>
        <w:t>.</w:t>
      </w:r>
      <w:r w:rsidR="00EC28F2" w:rsidRPr="00EC28F2">
        <w:rPr>
          <w:lang w:val="en-GB"/>
        </w:rPr>
        <w:t xml:space="preserve"> </w:t>
      </w:r>
      <w:r w:rsidR="003B17F5">
        <w:rPr>
          <w:lang w:val="en-GB"/>
        </w:rPr>
        <w:t>So,</w:t>
      </w:r>
      <w:r w:rsidR="00EC28F2" w:rsidRPr="00EC28F2">
        <w:rPr>
          <w:lang w:val="en-GB"/>
        </w:rPr>
        <w:t xml:space="preserve"> the committee could not make recommendations on it</w:t>
      </w:r>
      <w:r w:rsidR="00EC28F2">
        <w:rPr>
          <w:lang w:val="en-GB"/>
        </w:rPr>
        <w:t xml:space="preserve">s use </w:t>
      </w:r>
      <w:r w:rsidR="005F0BAB">
        <w:rPr>
          <w:lang w:val="en-GB"/>
        </w:rPr>
        <w:t>for</w:t>
      </w:r>
      <w:r w:rsidR="00EC28F2">
        <w:rPr>
          <w:lang w:val="en-GB"/>
        </w:rPr>
        <w:t xml:space="preserve"> moderate disease</w:t>
      </w:r>
      <w:r w:rsidR="00EC28F2" w:rsidRPr="00EC28F2">
        <w:rPr>
          <w:lang w:val="en-GB"/>
        </w:rPr>
        <w:t>.</w:t>
      </w:r>
      <w:r w:rsidR="009F5DFD" w:rsidRPr="00C416F0">
        <w:rPr>
          <w:lang w:val="en-GB"/>
        </w:rPr>
        <w:t xml:space="preserve"> </w:t>
      </w:r>
    </w:p>
    <w:p w14:paraId="686AD525" w14:textId="77777777" w:rsidR="009F5DFD" w:rsidRPr="00C416F0" w:rsidRDefault="009F5DFD" w:rsidP="009F5DFD">
      <w:pPr>
        <w:pStyle w:val="Heading2"/>
      </w:pPr>
      <w:r w:rsidRPr="00C416F0">
        <w:t>Other factors</w:t>
      </w:r>
    </w:p>
    <w:p w14:paraId="657FCD8C" w14:textId="77777777" w:rsidR="009F5DFD" w:rsidRPr="00C416F0" w:rsidRDefault="009F5DFD" w:rsidP="009F5DFD">
      <w:pPr>
        <w:pStyle w:val="Heading3"/>
      </w:pPr>
      <w:r w:rsidRPr="00C416F0">
        <w:t>Healthcare professionals should choose the most appropriate treatment after discussing the options with the person having treatment</w:t>
      </w:r>
    </w:p>
    <w:p w14:paraId="72FD5D48" w14:textId="456D7051" w:rsidR="009F5DFD" w:rsidRPr="00C416F0" w:rsidRDefault="009F5DFD" w:rsidP="00AC7428">
      <w:pPr>
        <w:pStyle w:val="Numberedlevel2text"/>
        <w:numPr>
          <w:ilvl w:val="1"/>
          <w:numId w:val="9"/>
        </w:numPr>
        <w:rPr>
          <w:lang w:val="en-GB"/>
        </w:rPr>
      </w:pPr>
      <w:r w:rsidRPr="00C416F0">
        <w:rPr>
          <w:lang w:val="en-GB"/>
        </w:rPr>
        <w:t xml:space="preserve">The committee understood that having a range of treatment options </w:t>
      </w:r>
      <w:r w:rsidR="005402BF">
        <w:rPr>
          <w:lang w:val="en-GB"/>
        </w:rPr>
        <w:t>is</w:t>
      </w:r>
      <w:r w:rsidR="005402BF" w:rsidRPr="00C416F0">
        <w:rPr>
          <w:lang w:val="en-GB"/>
        </w:rPr>
        <w:t xml:space="preserve"> </w:t>
      </w:r>
      <w:r w:rsidRPr="00C416F0">
        <w:rPr>
          <w:lang w:val="en-GB"/>
        </w:rPr>
        <w:t xml:space="preserve">important in </w:t>
      </w:r>
      <w:r w:rsidR="005C14DA">
        <w:rPr>
          <w:lang w:val="en-GB"/>
        </w:rPr>
        <w:t xml:space="preserve">treating moderate </w:t>
      </w:r>
      <w:r w:rsidRPr="00C416F0">
        <w:rPr>
          <w:lang w:val="en-GB"/>
        </w:rPr>
        <w:t xml:space="preserve">rheumatoid arthritis. It understood that </w:t>
      </w:r>
      <w:hyperlink r:id="rId34" w:history="1">
        <w:r w:rsidRPr="00275B26">
          <w:rPr>
            <w:rStyle w:val="Hyperlink"/>
            <w:lang w:val="en-GB"/>
          </w:rPr>
          <w:t>NICE recommended filgotinib for treating moderate to severe rheumatoid arthritis</w:t>
        </w:r>
      </w:hyperlink>
      <w:r w:rsidRPr="00C416F0">
        <w:rPr>
          <w:lang w:val="en-GB"/>
        </w:rPr>
        <w:t xml:space="preserve"> and noted </w:t>
      </w:r>
      <w:hyperlink r:id="rId35" w:history="1">
        <w:r w:rsidRPr="00275B26">
          <w:rPr>
            <w:rStyle w:val="Hyperlink"/>
            <w:lang w:val="en-GB"/>
          </w:rPr>
          <w:t>NICE's ongoing technology appraisal on upadacitinib for previously treated moderate active rheumatoid arthritis</w:t>
        </w:r>
      </w:hyperlink>
      <w:r w:rsidRPr="00C416F0">
        <w:rPr>
          <w:lang w:val="en-GB"/>
        </w:rPr>
        <w:t xml:space="preserve">. The committee concluded that healthcare professionals should choose the most appropriate treatment after discussing the advantages and disadvantages of the treatments available with the person having treatment. If more than </w:t>
      </w:r>
      <w:r w:rsidR="00275B26" w:rsidRPr="00C416F0">
        <w:rPr>
          <w:lang w:val="en-GB"/>
        </w:rPr>
        <w:t>1</w:t>
      </w:r>
      <w:r w:rsidR="00275B26">
        <w:rPr>
          <w:lang w:val="en-GB"/>
        </w:rPr>
        <w:t> </w:t>
      </w:r>
      <w:r w:rsidRPr="00C416F0">
        <w:rPr>
          <w:lang w:val="en-GB"/>
        </w:rPr>
        <w:t xml:space="preserve">treatment is suitable, they should start treatment with the least expensive drug (taking into account administration costs, dose needed </w:t>
      </w:r>
      <w:r w:rsidRPr="00C416F0">
        <w:rPr>
          <w:lang w:val="en-GB"/>
        </w:rPr>
        <w:lastRenderedPageBreak/>
        <w:t xml:space="preserve">and product price per dose). This may vary because of differences in how the drugs are </w:t>
      </w:r>
      <w:r w:rsidR="0019194D">
        <w:rPr>
          <w:lang w:val="en-GB"/>
        </w:rPr>
        <w:t>used</w:t>
      </w:r>
      <w:r w:rsidR="0019194D" w:rsidRPr="00C416F0">
        <w:rPr>
          <w:lang w:val="en-GB"/>
        </w:rPr>
        <w:t xml:space="preserve"> </w:t>
      </w:r>
      <w:r w:rsidRPr="00C416F0">
        <w:rPr>
          <w:lang w:val="en-GB"/>
        </w:rPr>
        <w:t>and treatment schedules.</w:t>
      </w:r>
    </w:p>
    <w:p w14:paraId="7CF082CC" w14:textId="014BF097" w:rsidR="009F5DFD" w:rsidRPr="00C416F0" w:rsidRDefault="009F5DFD" w:rsidP="009F5DFD">
      <w:pPr>
        <w:pStyle w:val="Heading3"/>
      </w:pPr>
      <w:r w:rsidRPr="00C416F0">
        <w:t xml:space="preserve">The benefits of </w:t>
      </w:r>
      <w:r w:rsidR="00321858">
        <w:t>the technologies</w:t>
      </w:r>
      <w:r w:rsidRPr="00C416F0">
        <w:t xml:space="preserve"> were adequately captured in the cost-effectiveness analysis</w:t>
      </w:r>
    </w:p>
    <w:p w14:paraId="31D6BED3" w14:textId="1BECA683" w:rsidR="009F5DFD" w:rsidRPr="00C416F0" w:rsidRDefault="009F5DFD" w:rsidP="00AC7428">
      <w:pPr>
        <w:pStyle w:val="Numberedlevel2text"/>
        <w:numPr>
          <w:ilvl w:val="1"/>
          <w:numId w:val="9"/>
        </w:numPr>
        <w:rPr>
          <w:lang w:val="en-GB"/>
        </w:rPr>
      </w:pPr>
      <w:r w:rsidRPr="00C416F0">
        <w:rPr>
          <w:lang w:val="en-GB"/>
        </w:rPr>
        <w:t xml:space="preserve">The patient and clinical experts explained that biological DMARDs are highly effective in reducing disease progression and improving quality of life in people with rheumatoid arthritis. The committee noted that biological DMARDs were considered to be innovative in </w:t>
      </w:r>
      <w:hyperlink r:id="rId36" w:history="1">
        <w:r w:rsidRPr="00C416F0">
          <w:rPr>
            <w:rStyle w:val="Hyperlink"/>
            <w:lang w:val="en-GB"/>
          </w:rPr>
          <w:t>NICE technology appraisal 375</w:t>
        </w:r>
      </w:hyperlink>
      <w:r w:rsidRPr="00C416F0">
        <w:rPr>
          <w:lang w:val="en-GB"/>
        </w:rPr>
        <w:t xml:space="preserve"> for people with severe disease. It discussed that </w:t>
      </w:r>
      <w:r w:rsidR="00275B26" w:rsidRPr="00C416F0">
        <w:rPr>
          <w:lang w:val="en-GB"/>
        </w:rPr>
        <w:t>whil</w:t>
      </w:r>
      <w:r w:rsidR="00275B26">
        <w:rPr>
          <w:lang w:val="en-GB"/>
        </w:rPr>
        <w:t>e</w:t>
      </w:r>
      <w:r w:rsidR="00275B26" w:rsidRPr="00C416F0">
        <w:rPr>
          <w:lang w:val="en-GB"/>
        </w:rPr>
        <w:t xml:space="preserve"> </w:t>
      </w:r>
      <w:r w:rsidRPr="00C416F0">
        <w:rPr>
          <w:lang w:val="en-GB"/>
        </w:rPr>
        <w:t>filgotinib is the only advanced treatment option currently available for people with moderate disease, its mechanism of action is different to the biological DMARDs</w:t>
      </w:r>
      <w:r w:rsidR="00275B26">
        <w:rPr>
          <w:lang w:val="en-GB"/>
        </w:rPr>
        <w:t>,</w:t>
      </w:r>
      <w:r w:rsidRPr="00C416F0">
        <w:rPr>
          <w:lang w:val="en-GB"/>
        </w:rPr>
        <w:t xml:space="preserve"> of which none are currently available for people with moderate disease. The committee agreed that </w:t>
      </w:r>
      <w:r w:rsidR="009E28DA">
        <w:rPr>
          <w:lang w:val="en-GB"/>
        </w:rPr>
        <w:t xml:space="preserve">the technologies </w:t>
      </w:r>
      <w:r w:rsidRPr="00C416F0">
        <w:rPr>
          <w:lang w:val="en-GB"/>
        </w:rPr>
        <w:t>are important treatment options for these people. It concluded that all the benefits of</w:t>
      </w:r>
      <w:r w:rsidR="00321858">
        <w:rPr>
          <w:lang w:val="en-GB"/>
        </w:rPr>
        <w:t xml:space="preserve"> the technologies</w:t>
      </w:r>
      <w:r w:rsidRPr="00C416F0">
        <w:rPr>
          <w:lang w:val="en-GB"/>
        </w:rPr>
        <w:t xml:space="preserve"> were adequately captured in the model.</w:t>
      </w:r>
    </w:p>
    <w:p w14:paraId="16638217" w14:textId="77777777" w:rsidR="009F5DFD" w:rsidRPr="00C416F0" w:rsidRDefault="009F5DFD" w:rsidP="003C5C5C">
      <w:pPr>
        <w:pStyle w:val="Numberedheading1"/>
        <w:numPr>
          <w:ilvl w:val="0"/>
          <w:numId w:val="9"/>
        </w:numPr>
        <w:ind w:left="1134"/>
      </w:pPr>
      <w:r w:rsidRPr="00C416F0">
        <w:t xml:space="preserve">Implementation </w:t>
      </w:r>
    </w:p>
    <w:p w14:paraId="0282733E" w14:textId="127AAE2B" w:rsidR="009F5DFD" w:rsidRPr="00C416F0" w:rsidRDefault="009927F3" w:rsidP="00EC28F2">
      <w:pPr>
        <w:pStyle w:val="Numberedlevel2text"/>
      </w:pPr>
      <w:hyperlink r:id="rId37" w:history="1">
        <w:r w:rsidR="009F5DFD" w:rsidRPr="00C416F0">
          <w:rPr>
            <w:rStyle w:val="Hyperlink"/>
          </w:rPr>
          <w:t>Section 7 of the National Institute for Health and Care Excellence (Constitution and Functions) and the Health and Social Care Information Centre (Functions) Regulations 2013</w:t>
        </w:r>
      </w:hyperlink>
      <w:r w:rsidR="009F5DFD" w:rsidRPr="00C416F0">
        <w:t xml:space="preserve"> requires clinical commissioning groups, NHS England and, with respect to their public health functions, local authorities to comply with the recommendations in this appraisal within 3 months of its date of publication.</w:t>
      </w:r>
    </w:p>
    <w:p w14:paraId="618BBE8E" w14:textId="77777777" w:rsidR="009F5DFD" w:rsidRPr="00C416F0" w:rsidRDefault="009F5DFD" w:rsidP="00AC7428">
      <w:pPr>
        <w:pStyle w:val="Numberedlevel2text"/>
        <w:numPr>
          <w:ilvl w:val="1"/>
          <w:numId w:val="9"/>
        </w:numPr>
        <w:rPr>
          <w:lang w:val="en-GB"/>
        </w:rPr>
      </w:pPr>
      <w:r w:rsidRPr="00C416F0">
        <w:rPr>
          <w:lang w:val="en-GB"/>
        </w:rPr>
        <w:t>The Welsh ministers have issued directions to the NHS in Wales on implementing NICE technology appraisal guidance. When a NICE technology appraisal recommends the use of a drug or treatment, or other technology, the NHS in Wales must usually provide funding and resources for it within 2 months of the first publication of the final appraisal document.</w:t>
      </w:r>
    </w:p>
    <w:p w14:paraId="491A2DCC" w14:textId="29CAE404" w:rsidR="009F5DFD" w:rsidRPr="00C416F0" w:rsidRDefault="009F5DFD" w:rsidP="00AC7428">
      <w:pPr>
        <w:pStyle w:val="Numberedlevel2text"/>
        <w:numPr>
          <w:ilvl w:val="1"/>
          <w:numId w:val="9"/>
        </w:numPr>
        <w:rPr>
          <w:lang w:val="en-GB"/>
        </w:rPr>
      </w:pPr>
      <w:r w:rsidRPr="00C416F0">
        <w:rPr>
          <w:lang w:val="en-GB"/>
        </w:rPr>
        <w:lastRenderedPageBreak/>
        <w:t>When NICE recommends a treatment ‘as an option’, the NHS must make sure it is available within the period set out in the paragraphs above. This means that, if a patient has moderate active rheumatoid arthritis and the doctor responsible for their care thinks that adalimumab or infliximab are the right treatment, it should be available for use, in line with NICE’s recommendations.</w:t>
      </w:r>
    </w:p>
    <w:p w14:paraId="0C5BBE49" w14:textId="77777777" w:rsidR="009F5DFD" w:rsidRPr="00C416F0" w:rsidRDefault="009F5DFD" w:rsidP="003C5C5C">
      <w:pPr>
        <w:pStyle w:val="Numberedheading1"/>
        <w:numPr>
          <w:ilvl w:val="0"/>
          <w:numId w:val="9"/>
        </w:numPr>
        <w:ind w:left="1134"/>
      </w:pPr>
      <w:r w:rsidRPr="00C416F0">
        <w:rPr>
          <w:noProof/>
        </w:rPr>
        <w:t>Proposed date</w:t>
      </w:r>
      <w:r w:rsidRPr="00C416F0">
        <w:t xml:space="preserve"> for review of guidance</w:t>
      </w:r>
    </w:p>
    <w:p w14:paraId="369F9B76" w14:textId="77777777" w:rsidR="009F5DFD" w:rsidRPr="00C416F0" w:rsidRDefault="009F5DFD" w:rsidP="00AC7428">
      <w:pPr>
        <w:pStyle w:val="Numberedlevel2text"/>
        <w:numPr>
          <w:ilvl w:val="1"/>
          <w:numId w:val="9"/>
        </w:numPr>
        <w:rPr>
          <w:lang w:val="en-GB"/>
        </w:rPr>
      </w:pPr>
      <w:r w:rsidRPr="00C416F0">
        <w:rPr>
          <w:lang w:val="en-GB"/>
        </w:rPr>
        <w:t xml:space="preserve">NICE proposes that the guidance on this technology is considered for review by the guidance executive 3 years after publication of the guidance. NICE welcomes comment on this proposed date. The guidance executive will decide whether the technology should be reviewed based on information gathered by NICE, and in consultation with consultees and commentators. </w:t>
      </w:r>
    </w:p>
    <w:p w14:paraId="241BC666" w14:textId="77777777" w:rsidR="009F5DFD" w:rsidRPr="00C416F0" w:rsidRDefault="009F5DFD" w:rsidP="009F5DFD">
      <w:pPr>
        <w:pStyle w:val="NICEnormal"/>
      </w:pPr>
      <w:r w:rsidRPr="00C416F0">
        <w:t xml:space="preserve">Stephen O’Brien </w:t>
      </w:r>
      <w:r w:rsidRPr="00C416F0">
        <w:br/>
        <w:t>Chair, appraisal committee</w:t>
      </w:r>
      <w:r w:rsidRPr="00C416F0">
        <w:br/>
        <w:t>March 2021</w:t>
      </w:r>
    </w:p>
    <w:p w14:paraId="58970A4D" w14:textId="77777777" w:rsidR="009F5DFD" w:rsidRPr="00C416F0" w:rsidRDefault="009F5DFD" w:rsidP="003C5C5C">
      <w:pPr>
        <w:pStyle w:val="Numberedheading1"/>
        <w:numPr>
          <w:ilvl w:val="0"/>
          <w:numId w:val="9"/>
        </w:numPr>
        <w:ind w:left="1134"/>
      </w:pPr>
      <w:r w:rsidRPr="00C416F0">
        <w:t>Appraisal committee members and NICE project team</w:t>
      </w:r>
    </w:p>
    <w:p w14:paraId="3572FE3F" w14:textId="77777777" w:rsidR="009F5DFD" w:rsidRPr="00C416F0" w:rsidRDefault="009F5DFD" w:rsidP="009F5DFD">
      <w:pPr>
        <w:pStyle w:val="Heading2"/>
      </w:pPr>
      <w:bookmarkStart w:id="13" w:name="_Appraisal_committee_members"/>
      <w:bookmarkEnd w:id="13"/>
      <w:r w:rsidRPr="00C416F0">
        <w:t>Appraisal committee members</w:t>
      </w:r>
    </w:p>
    <w:p w14:paraId="17907B4D" w14:textId="77777777" w:rsidR="009F5DFD" w:rsidRPr="00C416F0" w:rsidRDefault="009F5DFD" w:rsidP="009F5DFD">
      <w:pPr>
        <w:pStyle w:val="NICEnormal"/>
        <w:rPr>
          <w:rFonts w:eastAsia="Calibri"/>
        </w:rPr>
      </w:pPr>
      <w:r w:rsidRPr="00C416F0">
        <w:t xml:space="preserve">The 4 technology appraisal committees are standing advisory committees of NICE. This topic was considered by </w:t>
      </w:r>
      <w:hyperlink r:id="rId38" w:history="1">
        <w:r w:rsidRPr="00C416F0">
          <w:rPr>
            <w:rStyle w:val="Hyperlink"/>
            <w:rFonts w:eastAsia="Calibri"/>
          </w:rPr>
          <w:t>committee C</w:t>
        </w:r>
      </w:hyperlink>
      <w:r w:rsidRPr="00C416F0">
        <w:t xml:space="preserve">.  </w:t>
      </w:r>
    </w:p>
    <w:p w14:paraId="1CD6E63B" w14:textId="77777777" w:rsidR="009F5DFD" w:rsidRPr="00C416F0" w:rsidRDefault="009F5DFD" w:rsidP="009F5DFD">
      <w:pPr>
        <w:pStyle w:val="NICEnormal"/>
      </w:pPr>
      <w:r w:rsidRPr="00C416F0">
        <w:t xml:space="preserve">Committee members are asked to declare any interests in the technology to be appraised. If it is considered there is a conflict of interest, the member is excluded from participating further in that appraisal. </w:t>
      </w:r>
    </w:p>
    <w:p w14:paraId="7B4B342E" w14:textId="77777777" w:rsidR="009F5DFD" w:rsidRPr="00C416F0" w:rsidRDefault="009F5DFD" w:rsidP="009F5DFD">
      <w:pPr>
        <w:pStyle w:val="NICEnormal"/>
      </w:pPr>
      <w:r w:rsidRPr="00C416F0">
        <w:t xml:space="preserve">The </w:t>
      </w:r>
      <w:hyperlink r:id="rId39" w:history="1">
        <w:r w:rsidRPr="00C416F0">
          <w:rPr>
            <w:rStyle w:val="Hyperlink"/>
            <w:rFonts w:eastAsia="Calibri"/>
          </w:rPr>
          <w:t>minutes</w:t>
        </w:r>
        <w:r w:rsidRPr="00C416F0">
          <w:rPr>
            <w:rStyle w:val="Hyperlink"/>
          </w:rPr>
          <w:t xml:space="preserve"> of each appraisal committee meeting</w:t>
        </w:r>
      </w:hyperlink>
      <w:r w:rsidRPr="00C416F0">
        <w:t>, which include the names of the members who attended and their declarations of interests, are posted on the NICE website.</w:t>
      </w:r>
    </w:p>
    <w:p w14:paraId="0F1DC53F" w14:textId="77777777" w:rsidR="009F5DFD" w:rsidRPr="00C416F0" w:rsidRDefault="009F5DFD" w:rsidP="009F5DFD">
      <w:pPr>
        <w:pStyle w:val="Heading2"/>
      </w:pPr>
      <w:r w:rsidRPr="00C416F0">
        <w:lastRenderedPageBreak/>
        <w:t>NICE project team</w:t>
      </w:r>
    </w:p>
    <w:p w14:paraId="0424B12C" w14:textId="77777777" w:rsidR="009F5DFD" w:rsidRPr="00C416F0" w:rsidRDefault="009F5DFD" w:rsidP="009F5DFD">
      <w:pPr>
        <w:pStyle w:val="NICEnormal"/>
      </w:pPr>
      <w:r w:rsidRPr="00C416F0">
        <w:t xml:space="preserve">Each technology appraisal is assigned to a team consisting of 1 or more health technology analysts (who act as technical leads for the appraisal), a technical adviser and a project manager. </w:t>
      </w:r>
    </w:p>
    <w:p w14:paraId="0EAD89B4" w14:textId="77777777" w:rsidR="009F5DFD" w:rsidRPr="00C416F0" w:rsidRDefault="009F5DFD" w:rsidP="009F5DFD">
      <w:pPr>
        <w:pStyle w:val="NICEnormal"/>
      </w:pPr>
      <w:r w:rsidRPr="00C416F0">
        <w:rPr>
          <w:b/>
        </w:rPr>
        <w:t>Anita Sangha</w:t>
      </w:r>
      <w:r w:rsidRPr="00C416F0">
        <w:br/>
        <w:t>Technical lead</w:t>
      </w:r>
    </w:p>
    <w:p w14:paraId="32887204" w14:textId="77777777" w:rsidR="009F5DFD" w:rsidRPr="00C416F0" w:rsidRDefault="009F5DFD" w:rsidP="009F5DFD">
      <w:pPr>
        <w:pStyle w:val="NICEnormal"/>
      </w:pPr>
      <w:r w:rsidRPr="00C416F0">
        <w:rPr>
          <w:b/>
        </w:rPr>
        <w:t>Alexandra Filby</w:t>
      </w:r>
      <w:r w:rsidRPr="00C416F0">
        <w:br/>
        <w:t>Technical adviser</w:t>
      </w:r>
    </w:p>
    <w:p w14:paraId="378AE310" w14:textId="77777777" w:rsidR="009F5DFD" w:rsidRPr="00C416F0" w:rsidRDefault="009F5DFD" w:rsidP="009F5DFD">
      <w:pPr>
        <w:pStyle w:val="NICEnormal"/>
      </w:pPr>
      <w:r w:rsidRPr="00C416F0">
        <w:rPr>
          <w:b/>
        </w:rPr>
        <w:t>Louise Jafferally</w:t>
      </w:r>
      <w:r w:rsidRPr="00C416F0">
        <w:br/>
        <w:t>Project manager</w:t>
      </w:r>
    </w:p>
    <w:p w14:paraId="1BB9EDD3" w14:textId="56F31424" w:rsidR="009F5DFD" w:rsidRPr="00C416F0" w:rsidRDefault="009F5DFD" w:rsidP="002232E8">
      <w:pPr>
        <w:pStyle w:val="NICEnormal"/>
        <w:rPr>
          <w:rStyle w:val="NICEnormalChar"/>
        </w:rPr>
      </w:pPr>
      <w:r w:rsidRPr="00C416F0">
        <w:t xml:space="preserve">ISBN: </w:t>
      </w:r>
      <w:r w:rsidRPr="00C416F0">
        <w:rPr>
          <w:highlight w:val="green"/>
        </w:rPr>
        <w:t>[to be added at publication]</w:t>
      </w:r>
    </w:p>
    <w:sectPr w:rsidR="009F5DFD" w:rsidRPr="00C416F0" w:rsidSect="00682578">
      <w:headerReference w:type="default" r:id="rId40"/>
      <w:footerReference w:type="default" r:id="rId41"/>
      <w:pgSz w:w="11907" w:h="16840" w:code="9"/>
      <w:pgMar w:top="1440" w:right="1440" w:bottom="1440" w:left="1440" w:header="709" w:footer="709" w:gutter="0"/>
      <w:pgNumType w:start="1" w:chapStyle="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83EA0" w14:textId="77777777" w:rsidR="00F12472" w:rsidRDefault="00F12472">
      <w:r>
        <w:separator/>
      </w:r>
    </w:p>
  </w:endnote>
  <w:endnote w:type="continuationSeparator" w:id="0">
    <w:p w14:paraId="4EFB2406" w14:textId="77777777" w:rsidR="00F12472" w:rsidRDefault="00F1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8A74C" w14:textId="30654E7A" w:rsidR="00F12472" w:rsidRDefault="00F12472" w:rsidP="00B600D6">
    <w:pPr>
      <w:pStyle w:val="NICEnormalsinglespacing"/>
      <w:spacing w:after="120"/>
      <w:jc w:val="both"/>
      <w:rPr>
        <w:sz w:val="18"/>
        <w:szCs w:val="18"/>
      </w:rPr>
    </w:pPr>
    <w:r w:rsidRPr="003D33FB">
      <w:rPr>
        <w:sz w:val="18"/>
        <w:szCs w:val="18"/>
      </w:rPr>
      <w:t xml:space="preserve">Appraisal consultation document – </w:t>
    </w:r>
    <w:r w:rsidRPr="000C512B">
      <w:rPr>
        <w:sz w:val="18"/>
        <w:szCs w:val="18"/>
      </w:rPr>
      <w:t>Adalimumab, etanercept, infliximab and abatacept for</w:t>
    </w:r>
    <w:r w:rsidR="00E7017E">
      <w:rPr>
        <w:sz w:val="18"/>
        <w:szCs w:val="18"/>
      </w:rPr>
      <w:t xml:space="preserve"> treating</w:t>
    </w:r>
    <w:r w:rsidRPr="000C512B">
      <w:rPr>
        <w:sz w:val="18"/>
        <w:szCs w:val="18"/>
      </w:rPr>
      <w:t xml:space="preserve"> </w:t>
    </w:r>
    <w:r w:rsidRPr="006F2F73">
      <w:rPr>
        <w:sz w:val="18"/>
        <w:szCs w:val="18"/>
        <w:u w:val="single"/>
      </w:rPr>
      <w:t>moderate</w:t>
    </w:r>
    <w:r w:rsidRPr="000C512B">
      <w:rPr>
        <w:sz w:val="18"/>
        <w:szCs w:val="18"/>
      </w:rPr>
      <w:t xml:space="preserve"> rheumatoid arthritis after conventional DMARDs have failed (partial review of TA375) </w:t>
    </w:r>
    <w:r>
      <w:rPr>
        <w:sz w:val="18"/>
        <w:szCs w:val="18"/>
      </w:rPr>
      <w:tab/>
    </w:r>
    <w:r>
      <w:rPr>
        <w:sz w:val="18"/>
        <w:szCs w:val="18"/>
      </w:rPr>
      <w:tab/>
    </w:r>
    <w:r>
      <w:rPr>
        <w:sz w:val="18"/>
        <w:szCs w:val="18"/>
      </w:rPr>
      <w:tab/>
    </w:r>
  </w:p>
  <w:p w14:paraId="3986F556" w14:textId="77777777" w:rsidR="00F12472" w:rsidRPr="003D33FB" w:rsidRDefault="00F12472" w:rsidP="00B600D6">
    <w:pPr>
      <w:pStyle w:val="NICEnormalsinglespacing"/>
      <w:spacing w:after="120"/>
      <w:jc w:val="both"/>
      <w:rPr>
        <w:sz w:val="18"/>
        <w:szCs w:val="18"/>
      </w:rPr>
    </w:pPr>
    <w:r w:rsidRPr="000C512B">
      <w:rPr>
        <w:rStyle w:val="PageNumber"/>
        <w:sz w:val="18"/>
        <w:szCs w:val="18"/>
      </w:rPr>
      <w:t xml:space="preserve">Page </w:t>
    </w:r>
    <w:r w:rsidRPr="000C512B">
      <w:rPr>
        <w:rStyle w:val="PageNumber"/>
        <w:sz w:val="18"/>
        <w:szCs w:val="18"/>
      </w:rPr>
      <w:fldChar w:fldCharType="begin"/>
    </w:r>
    <w:r w:rsidRPr="000C512B">
      <w:rPr>
        <w:rStyle w:val="PageNumber"/>
        <w:sz w:val="18"/>
        <w:szCs w:val="18"/>
      </w:rPr>
      <w:instrText xml:space="preserve"> PAGE </w:instrText>
    </w:r>
    <w:r w:rsidRPr="000C512B">
      <w:rPr>
        <w:rStyle w:val="PageNumber"/>
        <w:sz w:val="18"/>
        <w:szCs w:val="18"/>
      </w:rPr>
      <w:fldChar w:fldCharType="separate"/>
    </w:r>
    <w:r>
      <w:rPr>
        <w:rStyle w:val="PageNumber"/>
        <w:sz w:val="18"/>
        <w:szCs w:val="18"/>
      </w:rPr>
      <w:t>2</w:t>
    </w:r>
    <w:r w:rsidRPr="000C512B">
      <w:rPr>
        <w:rStyle w:val="PageNumber"/>
        <w:sz w:val="18"/>
        <w:szCs w:val="18"/>
      </w:rPr>
      <w:fldChar w:fldCharType="end"/>
    </w:r>
    <w:r w:rsidRPr="000C512B">
      <w:rPr>
        <w:rStyle w:val="PageNumber"/>
        <w:sz w:val="18"/>
        <w:szCs w:val="18"/>
      </w:rPr>
      <w:t xml:space="preserve"> of </w:t>
    </w:r>
    <w:r w:rsidRPr="000C512B">
      <w:rPr>
        <w:rStyle w:val="PageNumber"/>
        <w:sz w:val="18"/>
        <w:szCs w:val="18"/>
      </w:rPr>
      <w:fldChar w:fldCharType="begin"/>
    </w:r>
    <w:r w:rsidRPr="000C512B">
      <w:rPr>
        <w:rStyle w:val="PageNumber"/>
        <w:sz w:val="18"/>
        <w:szCs w:val="18"/>
      </w:rPr>
      <w:instrText xml:space="preserve"> NUMPAGES </w:instrText>
    </w:r>
    <w:r w:rsidRPr="000C512B">
      <w:rPr>
        <w:rStyle w:val="PageNumber"/>
        <w:sz w:val="18"/>
        <w:szCs w:val="18"/>
      </w:rPr>
      <w:fldChar w:fldCharType="separate"/>
    </w:r>
    <w:r>
      <w:rPr>
        <w:rStyle w:val="PageNumber"/>
        <w:sz w:val="18"/>
        <w:szCs w:val="18"/>
      </w:rPr>
      <w:t>19</w:t>
    </w:r>
    <w:r w:rsidRPr="000C512B">
      <w:rPr>
        <w:rStyle w:val="PageNumber"/>
        <w:sz w:val="18"/>
        <w:szCs w:val="18"/>
      </w:rPr>
      <w:fldChar w:fldCharType="end"/>
    </w:r>
  </w:p>
  <w:p w14:paraId="097EBF49" w14:textId="77777777" w:rsidR="00F12472" w:rsidRDefault="00F12472" w:rsidP="00B600D6">
    <w:pPr>
      <w:pStyle w:val="NICEnormalsinglespacing"/>
      <w:spacing w:after="120"/>
      <w:rPr>
        <w:sz w:val="18"/>
        <w:szCs w:val="18"/>
      </w:rPr>
    </w:pPr>
    <w:r w:rsidRPr="003D33FB">
      <w:rPr>
        <w:sz w:val="18"/>
        <w:szCs w:val="18"/>
      </w:rPr>
      <w:t xml:space="preserve">Issue date: </w:t>
    </w:r>
    <w:r>
      <w:rPr>
        <w:sz w:val="18"/>
        <w:szCs w:val="18"/>
      </w:rPr>
      <w:t>March 2021</w:t>
    </w:r>
  </w:p>
  <w:p w14:paraId="467F74FE" w14:textId="0E7566C0" w:rsidR="00F12472" w:rsidRPr="00B600D6" w:rsidRDefault="00F12472" w:rsidP="00B600D6">
    <w:pPr>
      <w:pStyle w:val="NICEnormalsinglespacing"/>
      <w:spacing w:after="120"/>
      <w:rPr>
        <w:sz w:val="18"/>
        <w:szCs w:val="18"/>
      </w:rPr>
    </w:pPr>
    <w:r>
      <w:rPr>
        <w:sz w:val="18"/>
        <w:szCs w:val="18"/>
      </w:rPr>
      <w:t xml:space="preserve">© NICE 2021. All rights reserved. Subject to </w:t>
    </w:r>
    <w:hyperlink r:id="rId1" w:history="1">
      <w:r>
        <w:rPr>
          <w:rStyle w:val="Hyperlink"/>
          <w:sz w:val="18"/>
          <w:szCs w:val="18"/>
        </w:rPr>
        <w:t>Notice of rights</w:t>
      </w:r>
    </w:hyperlink>
    <w:r w:rsidRPr="00AB1BB0">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C09ECE" w14:textId="77777777" w:rsidR="00F12472" w:rsidRDefault="00F12472">
      <w:r>
        <w:separator/>
      </w:r>
    </w:p>
  </w:footnote>
  <w:footnote w:type="continuationSeparator" w:id="0">
    <w:p w14:paraId="1E34B945" w14:textId="77777777" w:rsidR="00F12472" w:rsidRDefault="00F12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F6778" w14:textId="77777777" w:rsidR="00F12472" w:rsidRPr="0066179F" w:rsidRDefault="00F12472" w:rsidP="0066179F">
    <w:pPr>
      <w:pStyle w:val="Header"/>
      <w:jc w:val="right"/>
      <w:rPr>
        <w:b/>
      </w:rPr>
    </w:pPr>
    <w:r w:rsidRPr="0066179F">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72188DC4"/>
    <w:lvl w:ilvl="0">
      <w:start w:val="1"/>
      <w:numFmt w:val="bullet"/>
      <w:pStyle w:val="Bulletindent1"/>
      <w:lvlText w:val=""/>
      <w:lvlJc w:val="left"/>
      <w:pPr>
        <w:tabs>
          <w:tab w:val="num" w:pos="7655"/>
        </w:tabs>
        <w:ind w:left="7655"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401D14"/>
    <w:multiLevelType w:val="hybridMultilevel"/>
    <w:tmpl w:val="D5E2E560"/>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C3584"/>
    <w:multiLevelType w:val="multilevel"/>
    <w:tmpl w:val="02E455DE"/>
    <w:lvl w:ilvl="0">
      <w:start w:val="1"/>
      <w:numFmt w:val="decimal"/>
      <w:pStyle w:val="Numberedheading1"/>
      <w:lvlText w:val="%1"/>
      <w:lvlJc w:val="left"/>
      <w:pPr>
        <w:tabs>
          <w:tab w:val="num" w:pos="3544"/>
        </w:tabs>
        <w:ind w:left="3544" w:hanging="1134"/>
      </w:pPr>
      <w:rPr>
        <w:rFonts w:hint="default"/>
      </w:rPr>
    </w:lvl>
    <w:lvl w:ilvl="1">
      <w:start w:val="1"/>
      <w:numFmt w:val="decimal"/>
      <w:pStyle w:val="Numberedlevel2text"/>
      <w:lvlText w:val="%1.%2"/>
      <w:lvlJc w:val="left"/>
      <w:pPr>
        <w:tabs>
          <w:tab w:val="num" w:pos="1134"/>
        </w:tabs>
        <w:ind w:left="1134"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36FF08A6"/>
    <w:multiLevelType w:val="hybridMultilevel"/>
    <w:tmpl w:val="EA960E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0" w15:restartNumberingAfterBreak="0">
    <w:nsid w:val="4C1514DF"/>
    <w:multiLevelType w:val="hybridMultilevel"/>
    <w:tmpl w:val="8AE4EABA"/>
    <w:lvl w:ilvl="0" w:tplc="6BAC2BE8">
      <w:start w:val="1"/>
      <w:numFmt w:val="bullet"/>
      <w:lvlText w:val="•"/>
      <w:lvlJc w:val="left"/>
      <w:pPr>
        <w:tabs>
          <w:tab w:val="num" w:pos="360"/>
        </w:tabs>
        <w:ind w:left="360" w:hanging="360"/>
      </w:pPr>
      <w:rPr>
        <w:rFonts w:ascii="Arial" w:hAnsi="Arial" w:hint="default"/>
      </w:rPr>
    </w:lvl>
    <w:lvl w:ilvl="1" w:tplc="A85E8966" w:tentative="1">
      <w:start w:val="1"/>
      <w:numFmt w:val="bullet"/>
      <w:lvlText w:val="•"/>
      <w:lvlJc w:val="left"/>
      <w:pPr>
        <w:tabs>
          <w:tab w:val="num" w:pos="1080"/>
        </w:tabs>
        <w:ind w:left="1080" w:hanging="360"/>
      </w:pPr>
      <w:rPr>
        <w:rFonts w:ascii="Arial" w:hAnsi="Arial" w:hint="default"/>
      </w:rPr>
    </w:lvl>
    <w:lvl w:ilvl="2" w:tplc="B4049564" w:tentative="1">
      <w:start w:val="1"/>
      <w:numFmt w:val="bullet"/>
      <w:lvlText w:val="•"/>
      <w:lvlJc w:val="left"/>
      <w:pPr>
        <w:tabs>
          <w:tab w:val="num" w:pos="1800"/>
        </w:tabs>
        <w:ind w:left="1800" w:hanging="360"/>
      </w:pPr>
      <w:rPr>
        <w:rFonts w:ascii="Arial" w:hAnsi="Arial" w:hint="default"/>
      </w:rPr>
    </w:lvl>
    <w:lvl w:ilvl="3" w:tplc="957A07F6" w:tentative="1">
      <w:start w:val="1"/>
      <w:numFmt w:val="bullet"/>
      <w:lvlText w:val="•"/>
      <w:lvlJc w:val="left"/>
      <w:pPr>
        <w:tabs>
          <w:tab w:val="num" w:pos="2520"/>
        </w:tabs>
        <w:ind w:left="2520" w:hanging="360"/>
      </w:pPr>
      <w:rPr>
        <w:rFonts w:ascii="Arial" w:hAnsi="Arial" w:hint="default"/>
      </w:rPr>
    </w:lvl>
    <w:lvl w:ilvl="4" w:tplc="D3EA6094" w:tentative="1">
      <w:start w:val="1"/>
      <w:numFmt w:val="bullet"/>
      <w:lvlText w:val="•"/>
      <w:lvlJc w:val="left"/>
      <w:pPr>
        <w:tabs>
          <w:tab w:val="num" w:pos="3240"/>
        </w:tabs>
        <w:ind w:left="3240" w:hanging="360"/>
      </w:pPr>
      <w:rPr>
        <w:rFonts w:ascii="Arial" w:hAnsi="Arial" w:hint="default"/>
      </w:rPr>
    </w:lvl>
    <w:lvl w:ilvl="5" w:tplc="A40C0CAA" w:tentative="1">
      <w:start w:val="1"/>
      <w:numFmt w:val="bullet"/>
      <w:lvlText w:val="•"/>
      <w:lvlJc w:val="left"/>
      <w:pPr>
        <w:tabs>
          <w:tab w:val="num" w:pos="3960"/>
        </w:tabs>
        <w:ind w:left="3960" w:hanging="360"/>
      </w:pPr>
      <w:rPr>
        <w:rFonts w:ascii="Arial" w:hAnsi="Arial" w:hint="default"/>
      </w:rPr>
    </w:lvl>
    <w:lvl w:ilvl="6" w:tplc="4382629C" w:tentative="1">
      <w:start w:val="1"/>
      <w:numFmt w:val="bullet"/>
      <w:lvlText w:val="•"/>
      <w:lvlJc w:val="left"/>
      <w:pPr>
        <w:tabs>
          <w:tab w:val="num" w:pos="4680"/>
        </w:tabs>
        <w:ind w:left="4680" w:hanging="360"/>
      </w:pPr>
      <w:rPr>
        <w:rFonts w:ascii="Arial" w:hAnsi="Arial" w:hint="default"/>
      </w:rPr>
    </w:lvl>
    <w:lvl w:ilvl="7" w:tplc="5C4AFE90" w:tentative="1">
      <w:start w:val="1"/>
      <w:numFmt w:val="bullet"/>
      <w:lvlText w:val="•"/>
      <w:lvlJc w:val="left"/>
      <w:pPr>
        <w:tabs>
          <w:tab w:val="num" w:pos="5400"/>
        </w:tabs>
        <w:ind w:left="5400" w:hanging="360"/>
      </w:pPr>
      <w:rPr>
        <w:rFonts w:ascii="Arial" w:hAnsi="Arial" w:hint="default"/>
      </w:rPr>
    </w:lvl>
    <w:lvl w:ilvl="8" w:tplc="7096C8EE"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4C74431C"/>
    <w:multiLevelType w:val="hybridMultilevel"/>
    <w:tmpl w:val="E8B8611A"/>
    <w:lvl w:ilvl="0" w:tplc="A5B8FE5E">
      <w:start w:val="1"/>
      <w:numFmt w:val="bullet"/>
      <w:lvlText w:val="•"/>
      <w:lvlJc w:val="left"/>
      <w:pPr>
        <w:tabs>
          <w:tab w:val="num" w:pos="360"/>
        </w:tabs>
        <w:ind w:left="360" w:hanging="360"/>
      </w:pPr>
      <w:rPr>
        <w:rFonts w:ascii="Arial" w:hAnsi="Arial" w:hint="default"/>
      </w:rPr>
    </w:lvl>
    <w:lvl w:ilvl="1" w:tplc="2356FCFE" w:tentative="1">
      <w:start w:val="1"/>
      <w:numFmt w:val="bullet"/>
      <w:lvlText w:val="•"/>
      <w:lvlJc w:val="left"/>
      <w:pPr>
        <w:tabs>
          <w:tab w:val="num" w:pos="1080"/>
        </w:tabs>
        <w:ind w:left="1080" w:hanging="360"/>
      </w:pPr>
      <w:rPr>
        <w:rFonts w:ascii="Arial" w:hAnsi="Arial" w:hint="default"/>
      </w:rPr>
    </w:lvl>
    <w:lvl w:ilvl="2" w:tplc="34306654" w:tentative="1">
      <w:start w:val="1"/>
      <w:numFmt w:val="bullet"/>
      <w:lvlText w:val="•"/>
      <w:lvlJc w:val="left"/>
      <w:pPr>
        <w:tabs>
          <w:tab w:val="num" w:pos="1800"/>
        </w:tabs>
        <w:ind w:left="1800" w:hanging="360"/>
      </w:pPr>
      <w:rPr>
        <w:rFonts w:ascii="Arial" w:hAnsi="Arial" w:hint="default"/>
      </w:rPr>
    </w:lvl>
    <w:lvl w:ilvl="3" w:tplc="34B691F0" w:tentative="1">
      <w:start w:val="1"/>
      <w:numFmt w:val="bullet"/>
      <w:lvlText w:val="•"/>
      <w:lvlJc w:val="left"/>
      <w:pPr>
        <w:tabs>
          <w:tab w:val="num" w:pos="2520"/>
        </w:tabs>
        <w:ind w:left="2520" w:hanging="360"/>
      </w:pPr>
      <w:rPr>
        <w:rFonts w:ascii="Arial" w:hAnsi="Arial" w:hint="default"/>
      </w:rPr>
    </w:lvl>
    <w:lvl w:ilvl="4" w:tplc="48DCAD92" w:tentative="1">
      <w:start w:val="1"/>
      <w:numFmt w:val="bullet"/>
      <w:lvlText w:val="•"/>
      <w:lvlJc w:val="left"/>
      <w:pPr>
        <w:tabs>
          <w:tab w:val="num" w:pos="3240"/>
        </w:tabs>
        <w:ind w:left="3240" w:hanging="360"/>
      </w:pPr>
      <w:rPr>
        <w:rFonts w:ascii="Arial" w:hAnsi="Arial" w:hint="default"/>
      </w:rPr>
    </w:lvl>
    <w:lvl w:ilvl="5" w:tplc="63BA33BC" w:tentative="1">
      <w:start w:val="1"/>
      <w:numFmt w:val="bullet"/>
      <w:lvlText w:val="•"/>
      <w:lvlJc w:val="left"/>
      <w:pPr>
        <w:tabs>
          <w:tab w:val="num" w:pos="3960"/>
        </w:tabs>
        <w:ind w:left="3960" w:hanging="360"/>
      </w:pPr>
      <w:rPr>
        <w:rFonts w:ascii="Arial" w:hAnsi="Arial" w:hint="default"/>
      </w:rPr>
    </w:lvl>
    <w:lvl w:ilvl="6" w:tplc="FD36CB94" w:tentative="1">
      <w:start w:val="1"/>
      <w:numFmt w:val="bullet"/>
      <w:lvlText w:val="•"/>
      <w:lvlJc w:val="left"/>
      <w:pPr>
        <w:tabs>
          <w:tab w:val="num" w:pos="4680"/>
        </w:tabs>
        <w:ind w:left="4680" w:hanging="360"/>
      </w:pPr>
      <w:rPr>
        <w:rFonts w:ascii="Arial" w:hAnsi="Arial" w:hint="default"/>
      </w:rPr>
    </w:lvl>
    <w:lvl w:ilvl="7" w:tplc="9716C742" w:tentative="1">
      <w:start w:val="1"/>
      <w:numFmt w:val="bullet"/>
      <w:lvlText w:val="•"/>
      <w:lvlJc w:val="left"/>
      <w:pPr>
        <w:tabs>
          <w:tab w:val="num" w:pos="5400"/>
        </w:tabs>
        <w:ind w:left="5400" w:hanging="360"/>
      </w:pPr>
      <w:rPr>
        <w:rFonts w:ascii="Arial" w:hAnsi="Arial" w:hint="default"/>
      </w:rPr>
    </w:lvl>
    <w:lvl w:ilvl="8" w:tplc="CA34CF5A"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52B66722"/>
    <w:multiLevelType w:val="hybridMultilevel"/>
    <w:tmpl w:val="B9E29480"/>
    <w:lvl w:ilvl="0" w:tplc="54F00262">
      <w:start w:val="1"/>
      <w:numFmt w:val="bullet"/>
      <w:lvlText w:val="•"/>
      <w:lvlJc w:val="left"/>
      <w:pPr>
        <w:tabs>
          <w:tab w:val="num" w:pos="360"/>
        </w:tabs>
        <w:ind w:left="360" w:hanging="360"/>
      </w:pPr>
      <w:rPr>
        <w:rFonts w:ascii="Arial" w:hAnsi="Arial" w:hint="default"/>
      </w:rPr>
    </w:lvl>
    <w:lvl w:ilvl="1" w:tplc="BEEE5FB0" w:tentative="1">
      <w:start w:val="1"/>
      <w:numFmt w:val="bullet"/>
      <w:lvlText w:val="•"/>
      <w:lvlJc w:val="left"/>
      <w:pPr>
        <w:tabs>
          <w:tab w:val="num" w:pos="1080"/>
        </w:tabs>
        <w:ind w:left="1080" w:hanging="360"/>
      </w:pPr>
      <w:rPr>
        <w:rFonts w:ascii="Arial" w:hAnsi="Arial" w:hint="default"/>
      </w:rPr>
    </w:lvl>
    <w:lvl w:ilvl="2" w:tplc="75D86168" w:tentative="1">
      <w:start w:val="1"/>
      <w:numFmt w:val="bullet"/>
      <w:lvlText w:val="•"/>
      <w:lvlJc w:val="left"/>
      <w:pPr>
        <w:tabs>
          <w:tab w:val="num" w:pos="1800"/>
        </w:tabs>
        <w:ind w:left="1800" w:hanging="360"/>
      </w:pPr>
      <w:rPr>
        <w:rFonts w:ascii="Arial" w:hAnsi="Arial" w:hint="default"/>
      </w:rPr>
    </w:lvl>
    <w:lvl w:ilvl="3" w:tplc="33BAD914" w:tentative="1">
      <w:start w:val="1"/>
      <w:numFmt w:val="bullet"/>
      <w:lvlText w:val="•"/>
      <w:lvlJc w:val="left"/>
      <w:pPr>
        <w:tabs>
          <w:tab w:val="num" w:pos="2520"/>
        </w:tabs>
        <w:ind w:left="2520" w:hanging="360"/>
      </w:pPr>
      <w:rPr>
        <w:rFonts w:ascii="Arial" w:hAnsi="Arial" w:hint="default"/>
      </w:rPr>
    </w:lvl>
    <w:lvl w:ilvl="4" w:tplc="756E7AAE" w:tentative="1">
      <w:start w:val="1"/>
      <w:numFmt w:val="bullet"/>
      <w:lvlText w:val="•"/>
      <w:lvlJc w:val="left"/>
      <w:pPr>
        <w:tabs>
          <w:tab w:val="num" w:pos="3240"/>
        </w:tabs>
        <w:ind w:left="3240" w:hanging="360"/>
      </w:pPr>
      <w:rPr>
        <w:rFonts w:ascii="Arial" w:hAnsi="Arial" w:hint="default"/>
      </w:rPr>
    </w:lvl>
    <w:lvl w:ilvl="5" w:tplc="F84E50AA" w:tentative="1">
      <w:start w:val="1"/>
      <w:numFmt w:val="bullet"/>
      <w:lvlText w:val="•"/>
      <w:lvlJc w:val="left"/>
      <w:pPr>
        <w:tabs>
          <w:tab w:val="num" w:pos="3960"/>
        </w:tabs>
        <w:ind w:left="3960" w:hanging="360"/>
      </w:pPr>
      <w:rPr>
        <w:rFonts w:ascii="Arial" w:hAnsi="Arial" w:hint="default"/>
      </w:rPr>
    </w:lvl>
    <w:lvl w:ilvl="6" w:tplc="EF1A3766" w:tentative="1">
      <w:start w:val="1"/>
      <w:numFmt w:val="bullet"/>
      <w:lvlText w:val="•"/>
      <w:lvlJc w:val="left"/>
      <w:pPr>
        <w:tabs>
          <w:tab w:val="num" w:pos="4680"/>
        </w:tabs>
        <w:ind w:left="4680" w:hanging="360"/>
      </w:pPr>
      <w:rPr>
        <w:rFonts w:ascii="Arial" w:hAnsi="Arial" w:hint="default"/>
      </w:rPr>
    </w:lvl>
    <w:lvl w:ilvl="7" w:tplc="BDB07D66" w:tentative="1">
      <w:start w:val="1"/>
      <w:numFmt w:val="bullet"/>
      <w:lvlText w:val="•"/>
      <w:lvlJc w:val="left"/>
      <w:pPr>
        <w:tabs>
          <w:tab w:val="num" w:pos="5400"/>
        </w:tabs>
        <w:ind w:left="5400" w:hanging="360"/>
      </w:pPr>
      <w:rPr>
        <w:rFonts w:ascii="Arial" w:hAnsi="Arial" w:hint="default"/>
      </w:rPr>
    </w:lvl>
    <w:lvl w:ilvl="8" w:tplc="44B66A9C"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552778A"/>
    <w:multiLevelType w:val="hybridMultilevel"/>
    <w:tmpl w:val="BDD4F838"/>
    <w:lvl w:ilvl="0" w:tplc="3E3CD10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130D6C"/>
    <w:multiLevelType w:val="hybridMultilevel"/>
    <w:tmpl w:val="588E977E"/>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18"/>
  </w:num>
  <w:num w:numId="3">
    <w:abstractNumId w:val="8"/>
  </w:num>
  <w:num w:numId="4">
    <w:abstractNumId w:val="9"/>
  </w:num>
  <w:num w:numId="5">
    <w:abstractNumId w:val="0"/>
  </w:num>
  <w:num w:numId="6">
    <w:abstractNumId w:val="2"/>
  </w:num>
  <w:num w:numId="7">
    <w:abstractNumId w:val="3"/>
  </w:num>
  <w:num w:numId="8">
    <w:abstractNumId w:val="5"/>
  </w:num>
  <w:num w:numId="9">
    <w:abstractNumId w:val="6"/>
  </w:num>
  <w:num w:numId="10">
    <w:abstractNumId w:val="16"/>
  </w:num>
  <w:num w:numId="11">
    <w:abstractNumId w:val="17"/>
  </w:num>
  <w:num w:numId="12">
    <w:abstractNumId w:val="6"/>
  </w:num>
  <w:num w:numId="13">
    <w:abstractNumId w:val="15"/>
  </w:num>
  <w:num w:numId="14">
    <w:abstractNumId w:val="11"/>
  </w:num>
  <w:num w:numId="15">
    <w:abstractNumId w:val="10"/>
  </w:num>
  <w:num w:numId="16">
    <w:abstractNumId w:val="12"/>
  </w:num>
  <w:num w:numId="17">
    <w:abstractNumId w:val="4"/>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0D6"/>
    <w:rsid w:val="000005B9"/>
    <w:rsid w:val="00000973"/>
    <w:rsid w:val="0000229E"/>
    <w:rsid w:val="0000303A"/>
    <w:rsid w:val="000037A7"/>
    <w:rsid w:val="00003E95"/>
    <w:rsid w:val="000050EF"/>
    <w:rsid w:val="00005B83"/>
    <w:rsid w:val="00010822"/>
    <w:rsid w:val="000119FB"/>
    <w:rsid w:val="00013D3F"/>
    <w:rsid w:val="000140B6"/>
    <w:rsid w:val="00014FFB"/>
    <w:rsid w:val="00020D2F"/>
    <w:rsid w:val="00021681"/>
    <w:rsid w:val="00022E74"/>
    <w:rsid w:val="0002380D"/>
    <w:rsid w:val="000240D0"/>
    <w:rsid w:val="000246BB"/>
    <w:rsid w:val="00025E90"/>
    <w:rsid w:val="00026416"/>
    <w:rsid w:val="00027909"/>
    <w:rsid w:val="000323CF"/>
    <w:rsid w:val="00036C56"/>
    <w:rsid w:val="00040868"/>
    <w:rsid w:val="00040A51"/>
    <w:rsid w:val="000420F4"/>
    <w:rsid w:val="00042B82"/>
    <w:rsid w:val="00043302"/>
    <w:rsid w:val="00043F89"/>
    <w:rsid w:val="00045BA3"/>
    <w:rsid w:val="00046989"/>
    <w:rsid w:val="00047032"/>
    <w:rsid w:val="0004792B"/>
    <w:rsid w:val="00051774"/>
    <w:rsid w:val="00051EA1"/>
    <w:rsid w:val="00052BB0"/>
    <w:rsid w:val="00052F99"/>
    <w:rsid w:val="00053F9B"/>
    <w:rsid w:val="00057510"/>
    <w:rsid w:val="000614BD"/>
    <w:rsid w:val="00062B0E"/>
    <w:rsid w:val="00062D82"/>
    <w:rsid w:val="000641D1"/>
    <w:rsid w:val="000642CF"/>
    <w:rsid w:val="00065FA9"/>
    <w:rsid w:val="00067680"/>
    <w:rsid w:val="000709FE"/>
    <w:rsid w:val="00073512"/>
    <w:rsid w:val="000746AA"/>
    <w:rsid w:val="00074853"/>
    <w:rsid w:val="00075CFF"/>
    <w:rsid w:val="00077811"/>
    <w:rsid w:val="00077AB0"/>
    <w:rsid w:val="00081D27"/>
    <w:rsid w:val="00084663"/>
    <w:rsid w:val="00085620"/>
    <w:rsid w:val="00091782"/>
    <w:rsid w:val="000918B0"/>
    <w:rsid w:val="00092046"/>
    <w:rsid w:val="000967BC"/>
    <w:rsid w:val="00096CDA"/>
    <w:rsid w:val="000A2EAA"/>
    <w:rsid w:val="000B058E"/>
    <w:rsid w:val="000B3DCF"/>
    <w:rsid w:val="000B4EE4"/>
    <w:rsid w:val="000B5A5C"/>
    <w:rsid w:val="000C1459"/>
    <w:rsid w:val="000C4E7C"/>
    <w:rsid w:val="000C68BE"/>
    <w:rsid w:val="000D24AA"/>
    <w:rsid w:val="000D34D0"/>
    <w:rsid w:val="000D35E2"/>
    <w:rsid w:val="000D55ED"/>
    <w:rsid w:val="000D605D"/>
    <w:rsid w:val="000E13BE"/>
    <w:rsid w:val="000E15AB"/>
    <w:rsid w:val="000E3C47"/>
    <w:rsid w:val="000E4733"/>
    <w:rsid w:val="000E7525"/>
    <w:rsid w:val="000F0429"/>
    <w:rsid w:val="000F2A37"/>
    <w:rsid w:val="000F2D8A"/>
    <w:rsid w:val="000F3504"/>
    <w:rsid w:val="000F4CC3"/>
    <w:rsid w:val="000F5744"/>
    <w:rsid w:val="000F58BC"/>
    <w:rsid w:val="000F6E21"/>
    <w:rsid w:val="00100915"/>
    <w:rsid w:val="00101F34"/>
    <w:rsid w:val="00102B3E"/>
    <w:rsid w:val="00102F67"/>
    <w:rsid w:val="001032BC"/>
    <w:rsid w:val="00103D34"/>
    <w:rsid w:val="0010640F"/>
    <w:rsid w:val="0010762C"/>
    <w:rsid w:val="00107EDA"/>
    <w:rsid w:val="00114C2C"/>
    <w:rsid w:val="001156F3"/>
    <w:rsid w:val="00115A26"/>
    <w:rsid w:val="00116A77"/>
    <w:rsid w:val="00116EFF"/>
    <w:rsid w:val="00117852"/>
    <w:rsid w:val="00121C68"/>
    <w:rsid w:val="001240DF"/>
    <w:rsid w:val="00125C98"/>
    <w:rsid w:val="00127FDF"/>
    <w:rsid w:val="00131D12"/>
    <w:rsid w:val="00132522"/>
    <w:rsid w:val="00133011"/>
    <w:rsid w:val="001335D1"/>
    <w:rsid w:val="00133741"/>
    <w:rsid w:val="00133F5A"/>
    <w:rsid w:val="00136D00"/>
    <w:rsid w:val="00141829"/>
    <w:rsid w:val="001448A4"/>
    <w:rsid w:val="001529A7"/>
    <w:rsid w:val="0015353C"/>
    <w:rsid w:val="0015497E"/>
    <w:rsid w:val="00154F35"/>
    <w:rsid w:val="0015534A"/>
    <w:rsid w:val="001569C3"/>
    <w:rsid w:val="00160462"/>
    <w:rsid w:val="001608B7"/>
    <w:rsid w:val="00161AA0"/>
    <w:rsid w:val="00162C59"/>
    <w:rsid w:val="00165503"/>
    <w:rsid w:val="0016710D"/>
    <w:rsid w:val="0017090E"/>
    <w:rsid w:val="0017344F"/>
    <w:rsid w:val="00174C82"/>
    <w:rsid w:val="001753D7"/>
    <w:rsid w:val="001772BF"/>
    <w:rsid w:val="00181D1B"/>
    <w:rsid w:val="00182049"/>
    <w:rsid w:val="00182C2B"/>
    <w:rsid w:val="00187A15"/>
    <w:rsid w:val="001906C2"/>
    <w:rsid w:val="0019194D"/>
    <w:rsid w:val="00192321"/>
    <w:rsid w:val="0019384E"/>
    <w:rsid w:val="00194FF4"/>
    <w:rsid w:val="001956FC"/>
    <w:rsid w:val="00196D2E"/>
    <w:rsid w:val="00197E7B"/>
    <w:rsid w:val="001A0F29"/>
    <w:rsid w:val="001A175E"/>
    <w:rsid w:val="001A2727"/>
    <w:rsid w:val="001A2A4A"/>
    <w:rsid w:val="001A3F6D"/>
    <w:rsid w:val="001A4A92"/>
    <w:rsid w:val="001A5E81"/>
    <w:rsid w:val="001B0CD3"/>
    <w:rsid w:val="001B2E51"/>
    <w:rsid w:val="001B33D5"/>
    <w:rsid w:val="001B461D"/>
    <w:rsid w:val="001B5564"/>
    <w:rsid w:val="001B6FEB"/>
    <w:rsid w:val="001C127D"/>
    <w:rsid w:val="001C1F65"/>
    <w:rsid w:val="001C2013"/>
    <w:rsid w:val="001C296B"/>
    <w:rsid w:val="001C392F"/>
    <w:rsid w:val="001C5B4D"/>
    <w:rsid w:val="001C725B"/>
    <w:rsid w:val="001C73A6"/>
    <w:rsid w:val="001D149C"/>
    <w:rsid w:val="001D21A0"/>
    <w:rsid w:val="001D21D4"/>
    <w:rsid w:val="001D6B7D"/>
    <w:rsid w:val="001D6FAC"/>
    <w:rsid w:val="001D71DD"/>
    <w:rsid w:val="001E1693"/>
    <w:rsid w:val="001E2038"/>
    <w:rsid w:val="001E24FB"/>
    <w:rsid w:val="001E287A"/>
    <w:rsid w:val="001E388C"/>
    <w:rsid w:val="001E392F"/>
    <w:rsid w:val="001E3FE4"/>
    <w:rsid w:val="001E434F"/>
    <w:rsid w:val="001E4CC9"/>
    <w:rsid w:val="001E580C"/>
    <w:rsid w:val="001E7ED6"/>
    <w:rsid w:val="001F01E5"/>
    <w:rsid w:val="001F11E6"/>
    <w:rsid w:val="001F41E7"/>
    <w:rsid w:val="001F60E0"/>
    <w:rsid w:val="0020150B"/>
    <w:rsid w:val="00203A2D"/>
    <w:rsid w:val="002043CB"/>
    <w:rsid w:val="00205B95"/>
    <w:rsid w:val="00206BC2"/>
    <w:rsid w:val="00207CF1"/>
    <w:rsid w:val="00210F1F"/>
    <w:rsid w:val="00211D91"/>
    <w:rsid w:val="00216084"/>
    <w:rsid w:val="00222C53"/>
    <w:rsid w:val="002232E8"/>
    <w:rsid w:val="0022351F"/>
    <w:rsid w:val="002316F1"/>
    <w:rsid w:val="00231901"/>
    <w:rsid w:val="002322F9"/>
    <w:rsid w:val="0023416B"/>
    <w:rsid w:val="002357AF"/>
    <w:rsid w:val="00235CAB"/>
    <w:rsid w:val="00236409"/>
    <w:rsid w:val="0023641F"/>
    <w:rsid w:val="002364AC"/>
    <w:rsid w:val="00244E0C"/>
    <w:rsid w:val="00252041"/>
    <w:rsid w:val="00252F5E"/>
    <w:rsid w:val="00254FB6"/>
    <w:rsid w:val="00255BB2"/>
    <w:rsid w:val="00261315"/>
    <w:rsid w:val="00263745"/>
    <w:rsid w:val="002646AF"/>
    <w:rsid w:val="002656A7"/>
    <w:rsid w:val="00265D15"/>
    <w:rsid w:val="00265D88"/>
    <w:rsid w:val="00270265"/>
    <w:rsid w:val="00270ABE"/>
    <w:rsid w:val="002718EA"/>
    <w:rsid w:val="0027560D"/>
    <w:rsid w:val="00275B26"/>
    <w:rsid w:val="002760B9"/>
    <w:rsid w:val="002761D6"/>
    <w:rsid w:val="00276C00"/>
    <w:rsid w:val="00282D7E"/>
    <w:rsid w:val="00283CB6"/>
    <w:rsid w:val="00283FE5"/>
    <w:rsid w:val="00291107"/>
    <w:rsid w:val="002911FD"/>
    <w:rsid w:val="00291318"/>
    <w:rsid w:val="00291512"/>
    <w:rsid w:val="002964A4"/>
    <w:rsid w:val="00297152"/>
    <w:rsid w:val="002978A9"/>
    <w:rsid w:val="002A431F"/>
    <w:rsid w:val="002A49A7"/>
    <w:rsid w:val="002A4C83"/>
    <w:rsid w:val="002A6125"/>
    <w:rsid w:val="002A6F25"/>
    <w:rsid w:val="002B1E8E"/>
    <w:rsid w:val="002B5C80"/>
    <w:rsid w:val="002B7667"/>
    <w:rsid w:val="002C1619"/>
    <w:rsid w:val="002C32B4"/>
    <w:rsid w:val="002C5097"/>
    <w:rsid w:val="002C6F15"/>
    <w:rsid w:val="002D196A"/>
    <w:rsid w:val="002D40D9"/>
    <w:rsid w:val="002D448B"/>
    <w:rsid w:val="002D6CB0"/>
    <w:rsid w:val="002D7665"/>
    <w:rsid w:val="002D7718"/>
    <w:rsid w:val="002D7AB1"/>
    <w:rsid w:val="002E2333"/>
    <w:rsid w:val="002E5ECB"/>
    <w:rsid w:val="002E60DB"/>
    <w:rsid w:val="002E66FD"/>
    <w:rsid w:val="002E7D59"/>
    <w:rsid w:val="002F0612"/>
    <w:rsid w:val="002F0CF7"/>
    <w:rsid w:val="002F0DAB"/>
    <w:rsid w:val="002F217A"/>
    <w:rsid w:val="002F4C51"/>
    <w:rsid w:val="002F66E5"/>
    <w:rsid w:val="002F6861"/>
    <w:rsid w:val="002F7665"/>
    <w:rsid w:val="00301919"/>
    <w:rsid w:val="003028A8"/>
    <w:rsid w:val="00302FD9"/>
    <w:rsid w:val="00304085"/>
    <w:rsid w:val="00305AC6"/>
    <w:rsid w:val="00306D78"/>
    <w:rsid w:val="00311B95"/>
    <w:rsid w:val="003134AD"/>
    <w:rsid w:val="003152B1"/>
    <w:rsid w:val="0031664C"/>
    <w:rsid w:val="00316A98"/>
    <w:rsid w:val="00320FA0"/>
    <w:rsid w:val="00321858"/>
    <w:rsid w:val="00321F8A"/>
    <w:rsid w:val="003253AC"/>
    <w:rsid w:val="0032656E"/>
    <w:rsid w:val="003330E6"/>
    <w:rsid w:val="00333731"/>
    <w:rsid w:val="00335807"/>
    <w:rsid w:val="00335E55"/>
    <w:rsid w:val="00335FF9"/>
    <w:rsid w:val="00336E51"/>
    <w:rsid w:val="00341216"/>
    <w:rsid w:val="0034207F"/>
    <w:rsid w:val="003421BB"/>
    <w:rsid w:val="00342447"/>
    <w:rsid w:val="00342D92"/>
    <w:rsid w:val="00343093"/>
    <w:rsid w:val="00343C29"/>
    <w:rsid w:val="00344774"/>
    <w:rsid w:val="00346492"/>
    <w:rsid w:val="00354D2B"/>
    <w:rsid w:val="00360B5F"/>
    <w:rsid w:val="00363FC6"/>
    <w:rsid w:val="0036482D"/>
    <w:rsid w:val="00365BD5"/>
    <w:rsid w:val="00367BF2"/>
    <w:rsid w:val="0037391F"/>
    <w:rsid w:val="00376F7D"/>
    <w:rsid w:val="00377C11"/>
    <w:rsid w:val="00382E4B"/>
    <w:rsid w:val="00383079"/>
    <w:rsid w:val="00386A4E"/>
    <w:rsid w:val="00386B5F"/>
    <w:rsid w:val="0039081C"/>
    <w:rsid w:val="00392959"/>
    <w:rsid w:val="0039306F"/>
    <w:rsid w:val="00394A2F"/>
    <w:rsid w:val="0039585D"/>
    <w:rsid w:val="003A0F85"/>
    <w:rsid w:val="003A3974"/>
    <w:rsid w:val="003A3BD8"/>
    <w:rsid w:val="003A4D65"/>
    <w:rsid w:val="003A6681"/>
    <w:rsid w:val="003A7701"/>
    <w:rsid w:val="003B011A"/>
    <w:rsid w:val="003B17F5"/>
    <w:rsid w:val="003B257B"/>
    <w:rsid w:val="003B2745"/>
    <w:rsid w:val="003B3B95"/>
    <w:rsid w:val="003B4445"/>
    <w:rsid w:val="003B4625"/>
    <w:rsid w:val="003B46F6"/>
    <w:rsid w:val="003B60EC"/>
    <w:rsid w:val="003B6EE8"/>
    <w:rsid w:val="003B7F9C"/>
    <w:rsid w:val="003C0F49"/>
    <w:rsid w:val="003C1E8F"/>
    <w:rsid w:val="003C2117"/>
    <w:rsid w:val="003C36AC"/>
    <w:rsid w:val="003C4515"/>
    <w:rsid w:val="003C5C5C"/>
    <w:rsid w:val="003D135F"/>
    <w:rsid w:val="003D16A7"/>
    <w:rsid w:val="003D17D3"/>
    <w:rsid w:val="003D1C36"/>
    <w:rsid w:val="003D33FB"/>
    <w:rsid w:val="003D4F5C"/>
    <w:rsid w:val="003D51A9"/>
    <w:rsid w:val="003D7F7E"/>
    <w:rsid w:val="003E1AD6"/>
    <w:rsid w:val="003E3313"/>
    <w:rsid w:val="003F3FDC"/>
    <w:rsid w:val="003F5839"/>
    <w:rsid w:val="003F74D1"/>
    <w:rsid w:val="003F7C16"/>
    <w:rsid w:val="00402891"/>
    <w:rsid w:val="004045D8"/>
    <w:rsid w:val="0040523D"/>
    <w:rsid w:val="00407076"/>
    <w:rsid w:val="00407810"/>
    <w:rsid w:val="004115B5"/>
    <w:rsid w:val="00412C6E"/>
    <w:rsid w:val="00412FE2"/>
    <w:rsid w:val="00413630"/>
    <w:rsid w:val="0041505D"/>
    <w:rsid w:val="00416188"/>
    <w:rsid w:val="00417953"/>
    <w:rsid w:val="00417C70"/>
    <w:rsid w:val="0042012D"/>
    <w:rsid w:val="004234B2"/>
    <w:rsid w:val="00424CB8"/>
    <w:rsid w:val="00432C98"/>
    <w:rsid w:val="004333A9"/>
    <w:rsid w:val="0043341D"/>
    <w:rsid w:val="00433F8A"/>
    <w:rsid w:val="00434677"/>
    <w:rsid w:val="00440C30"/>
    <w:rsid w:val="004424D2"/>
    <w:rsid w:val="00442951"/>
    <w:rsid w:val="00443146"/>
    <w:rsid w:val="00447C6C"/>
    <w:rsid w:val="004502D2"/>
    <w:rsid w:val="004515E4"/>
    <w:rsid w:val="00452B8C"/>
    <w:rsid w:val="00453522"/>
    <w:rsid w:val="00455CE4"/>
    <w:rsid w:val="004573BE"/>
    <w:rsid w:val="004607A7"/>
    <w:rsid w:val="0046155B"/>
    <w:rsid w:val="004617E5"/>
    <w:rsid w:val="00462652"/>
    <w:rsid w:val="00462DD2"/>
    <w:rsid w:val="00464312"/>
    <w:rsid w:val="004663F7"/>
    <w:rsid w:val="004669B5"/>
    <w:rsid w:val="00467D12"/>
    <w:rsid w:val="004734CF"/>
    <w:rsid w:val="00473734"/>
    <w:rsid w:val="004741F9"/>
    <w:rsid w:val="004746F4"/>
    <w:rsid w:val="004820E9"/>
    <w:rsid w:val="0048361F"/>
    <w:rsid w:val="004937F3"/>
    <w:rsid w:val="004941B0"/>
    <w:rsid w:val="0049573F"/>
    <w:rsid w:val="004A0844"/>
    <w:rsid w:val="004A3B51"/>
    <w:rsid w:val="004A6B96"/>
    <w:rsid w:val="004B00E7"/>
    <w:rsid w:val="004B015A"/>
    <w:rsid w:val="004B095A"/>
    <w:rsid w:val="004B12DD"/>
    <w:rsid w:val="004B2786"/>
    <w:rsid w:val="004B2C8F"/>
    <w:rsid w:val="004B514C"/>
    <w:rsid w:val="004B5796"/>
    <w:rsid w:val="004B6779"/>
    <w:rsid w:val="004C064F"/>
    <w:rsid w:val="004C37C2"/>
    <w:rsid w:val="004C450A"/>
    <w:rsid w:val="004C778F"/>
    <w:rsid w:val="004D1A9F"/>
    <w:rsid w:val="004D7C92"/>
    <w:rsid w:val="004E0B59"/>
    <w:rsid w:val="004E479D"/>
    <w:rsid w:val="004E5C60"/>
    <w:rsid w:val="004E65EF"/>
    <w:rsid w:val="004E6C74"/>
    <w:rsid w:val="004E7FFB"/>
    <w:rsid w:val="004F0DAC"/>
    <w:rsid w:val="004F0E41"/>
    <w:rsid w:val="004F1DD2"/>
    <w:rsid w:val="004F3380"/>
    <w:rsid w:val="004F422C"/>
    <w:rsid w:val="004F6408"/>
    <w:rsid w:val="004F6F0F"/>
    <w:rsid w:val="004F752B"/>
    <w:rsid w:val="00500C65"/>
    <w:rsid w:val="0050169D"/>
    <w:rsid w:val="00501960"/>
    <w:rsid w:val="0050276F"/>
    <w:rsid w:val="00507549"/>
    <w:rsid w:val="00507B65"/>
    <w:rsid w:val="00507EDD"/>
    <w:rsid w:val="00514569"/>
    <w:rsid w:val="005155CF"/>
    <w:rsid w:val="0052027F"/>
    <w:rsid w:val="00523934"/>
    <w:rsid w:val="00523C12"/>
    <w:rsid w:val="0052446E"/>
    <w:rsid w:val="0052507B"/>
    <w:rsid w:val="00525984"/>
    <w:rsid w:val="00526BDE"/>
    <w:rsid w:val="00526C07"/>
    <w:rsid w:val="00531624"/>
    <w:rsid w:val="00531B77"/>
    <w:rsid w:val="00531BA7"/>
    <w:rsid w:val="00533411"/>
    <w:rsid w:val="0053387C"/>
    <w:rsid w:val="00535ABA"/>
    <w:rsid w:val="00535D8B"/>
    <w:rsid w:val="00536BF2"/>
    <w:rsid w:val="005373A5"/>
    <w:rsid w:val="00537774"/>
    <w:rsid w:val="005402BF"/>
    <w:rsid w:val="00541499"/>
    <w:rsid w:val="0054154C"/>
    <w:rsid w:val="005415D6"/>
    <w:rsid w:val="005426A7"/>
    <w:rsid w:val="005432CF"/>
    <w:rsid w:val="00544ABD"/>
    <w:rsid w:val="005456B1"/>
    <w:rsid w:val="0054719F"/>
    <w:rsid w:val="005548F6"/>
    <w:rsid w:val="005556BD"/>
    <w:rsid w:val="005565FE"/>
    <w:rsid w:val="005567AF"/>
    <w:rsid w:val="00556D13"/>
    <w:rsid w:val="00560393"/>
    <w:rsid w:val="00560648"/>
    <w:rsid w:val="00561164"/>
    <w:rsid w:val="005620B3"/>
    <w:rsid w:val="00562D61"/>
    <w:rsid w:val="0056452D"/>
    <w:rsid w:val="005648EE"/>
    <w:rsid w:val="00566183"/>
    <w:rsid w:val="00567679"/>
    <w:rsid w:val="005718EA"/>
    <w:rsid w:val="00574ACA"/>
    <w:rsid w:val="00575FB6"/>
    <w:rsid w:val="00580146"/>
    <w:rsid w:val="005803CE"/>
    <w:rsid w:val="005826BE"/>
    <w:rsid w:val="00584049"/>
    <w:rsid w:val="0058413D"/>
    <w:rsid w:val="005879DE"/>
    <w:rsid w:val="00587E26"/>
    <w:rsid w:val="00591708"/>
    <w:rsid w:val="00593A13"/>
    <w:rsid w:val="00594B95"/>
    <w:rsid w:val="00595120"/>
    <w:rsid w:val="005969FF"/>
    <w:rsid w:val="005A09AA"/>
    <w:rsid w:val="005A5D58"/>
    <w:rsid w:val="005A69E0"/>
    <w:rsid w:val="005A6BC7"/>
    <w:rsid w:val="005B12F2"/>
    <w:rsid w:val="005B14B1"/>
    <w:rsid w:val="005B2546"/>
    <w:rsid w:val="005B26C1"/>
    <w:rsid w:val="005B3E0A"/>
    <w:rsid w:val="005B4747"/>
    <w:rsid w:val="005B4CE5"/>
    <w:rsid w:val="005B64F3"/>
    <w:rsid w:val="005B6B96"/>
    <w:rsid w:val="005B77BE"/>
    <w:rsid w:val="005C051F"/>
    <w:rsid w:val="005C14DA"/>
    <w:rsid w:val="005C2153"/>
    <w:rsid w:val="005C22B1"/>
    <w:rsid w:val="005C272C"/>
    <w:rsid w:val="005C52DC"/>
    <w:rsid w:val="005C6084"/>
    <w:rsid w:val="005C642C"/>
    <w:rsid w:val="005C6F59"/>
    <w:rsid w:val="005C734C"/>
    <w:rsid w:val="005C762E"/>
    <w:rsid w:val="005D01D2"/>
    <w:rsid w:val="005D098C"/>
    <w:rsid w:val="005D31D4"/>
    <w:rsid w:val="005D3C87"/>
    <w:rsid w:val="005D7A80"/>
    <w:rsid w:val="005E0A89"/>
    <w:rsid w:val="005E169E"/>
    <w:rsid w:val="005E4070"/>
    <w:rsid w:val="005E4BEB"/>
    <w:rsid w:val="005E5215"/>
    <w:rsid w:val="005E546D"/>
    <w:rsid w:val="005E7135"/>
    <w:rsid w:val="005E777E"/>
    <w:rsid w:val="005E77C1"/>
    <w:rsid w:val="005E7AE4"/>
    <w:rsid w:val="005F0BAB"/>
    <w:rsid w:val="005F15B2"/>
    <w:rsid w:val="005F6E2C"/>
    <w:rsid w:val="005F6F7B"/>
    <w:rsid w:val="005F7B77"/>
    <w:rsid w:val="006007BA"/>
    <w:rsid w:val="00603C94"/>
    <w:rsid w:val="00603E31"/>
    <w:rsid w:val="006050A3"/>
    <w:rsid w:val="00605F1D"/>
    <w:rsid w:val="0060662A"/>
    <w:rsid w:val="00610BB2"/>
    <w:rsid w:val="00611591"/>
    <w:rsid w:val="00612789"/>
    <w:rsid w:val="006128B7"/>
    <w:rsid w:val="0061399F"/>
    <w:rsid w:val="00614BDA"/>
    <w:rsid w:val="00615E48"/>
    <w:rsid w:val="00617C09"/>
    <w:rsid w:val="00620FDD"/>
    <w:rsid w:val="0062163F"/>
    <w:rsid w:val="00621B58"/>
    <w:rsid w:val="006220B9"/>
    <w:rsid w:val="00623F6F"/>
    <w:rsid w:val="00625F50"/>
    <w:rsid w:val="006331B4"/>
    <w:rsid w:val="00633618"/>
    <w:rsid w:val="006343F3"/>
    <w:rsid w:val="006344A4"/>
    <w:rsid w:val="00634F54"/>
    <w:rsid w:val="006405C0"/>
    <w:rsid w:val="006424DB"/>
    <w:rsid w:val="006426A7"/>
    <w:rsid w:val="00642902"/>
    <w:rsid w:val="00642906"/>
    <w:rsid w:val="00642BBF"/>
    <w:rsid w:val="006432A5"/>
    <w:rsid w:val="006434F0"/>
    <w:rsid w:val="00643B03"/>
    <w:rsid w:val="00643DB2"/>
    <w:rsid w:val="006457EF"/>
    <w:rsid w:val="00646852"/>
    <w:rsid w:val="00646C98"/>
    <w:rsid w:val="00646F42"/>
    <w:rsid w:val="0064772D"/>
    <w:rsid w:val="006504F8"/>
    <w:rsid w:val="006505D7"/>
    <w:rsid w:val="00651535"/>
    <w:rsid w:val="00651614"/>
    <w:rsid w:val="006525B5"/>
    <w:rsid w:val="00652D74"/>
    <w:rsid w:val="00652DB1"/>
    <w:rsid w:val="00656EA7"/>
    <w:rsid w:val="006570A7"/>
    <w:rsid w:val="00657509"/>
    <w:rsid w:val="0066179F"/>
    <w:rsid w:val="0066238A"/>
    <w:rsid w:val="00663D17"/>
    <w:rsid w:val="006642D3"/>
    <w:rsid w:val="00664D65"/>
    <w:rsid w:val="006656E7"/>
    <w:rsid w:val="00667122"/>
    <w:rsid w:val="00667626"/>
    <w:rsid w:val="0067039F"/>
    <w:rsid w:val="00672EFB"/>
    <w:rsid w:val="006759F6"/>
    <w:rsid w:val="00677E9F"/>
    <w:rsid w:val="006809E5"/>
    <w:rsid w:val="00681321"/>
    <w:rsid w:val="00682565"/>
    <w:rsid w:val="00682578"/>
    <w:rsid w:val="00685750"/>
    <w:rsid w:val="00686E17"/>
    <w:rsid w:val="0069257D"/>
    <w:rsid w:val="00692ED8"/>
    <w:rsid w:val="00693903"/>
    <w:rsid w:val="00694535"/>
    <w:rsid w:val="00697201"/>
    <w:rsid w:val="006A2D99"/>
    <w:rsid w:val="006A368C"/>
    <w:rsid w:val="006A6751"/>
    <w:rsid w:val="006A721F"/>
    <w:rsid w:val="006B0F3B"/>
    <w:rsid w:val="006B29B6"/>
    <w:rsid w:val="006B4833"/>
    <w:rsid w:val="006B547A"/>
    <w:rsid w:val="006B6132"/>
    <w:rsid w:val="006B678A"/>
    <w:rsid w:val="006B6B5F"/>
    <w:rsid w:val="006B71F3"/>
    <w:rsid w:val="006C0934"/>
    <w:rsid w:val="006C0AC6"/>
    <w:rsid w:val="006C0DD3"/>
    <w:rsid w:val="006C2DBF"/>
    <w:rsid w:val="006C3205"/>
    <w:rsid w:val="006C4915"/>
    <w:rsid w:val="006C5FE7"/>
    <w:rsid w:val="006C626E"/>
    <w:rsid w:val="006C6296"/>
    <w:rsid w:val="006C6561"/>
    <w:rsid w:val="006C791B"/>
    <w:rsid w:val="006C7C86"/>
    <w:rsid w:val="006D1064"/>
    <w:rsid w:val="006D1506"/>
    <w:rsid w:val="006D582C"/>
    <w:rsid w:val="006D629C"/>
    <w:rsid w:val="006D73F1"/>
    <w:rsid w:val="006E09FE"/>
    <w:rsid w:val="006E146E"/>
    <w:rsid w:val="006E1B4A"/>
    <w:rsid w:val="006E2A4A"/>
    <w:rsid w:val="006E2C34"/>
    <w:rsid w:val="006E40EC"/>
    <w:rsid w:val="006E68CD"/>
    <w:rsid w:val="006E6B37"/>
    <w:rsid w:val="006F1A64"/>
    <w:rsid w:val="006F2F73"/>
    <w:rsid w:val="006F4071"/>
    <w:rsid w:val="006F6348"/>
    <w:rsid w:val="00703D5F"/>
    <w:rsid w:val="00706D45"/>
    <w:rsid w:val="00710A5D"/>
    <w:rsid w:val="00710DDA"/>
    <w:rsid w:val="00711205"/>
    <w:rsid w:val="007112D2"/>
    <w:rsid w:val="0071173A"/>
    <w:rsid w:val="00713AB0"/>
    <w:rsid w:val="00714136"/>
    <w:rsid w:val="00714611"/>
    <w:rsid w:val="00714683"/>
    <w:rsid w:val="00714885"/>
    <w:rsid w:val="00715BC7"/>
    <w:rsid w:val="007168F0"/>
    <w:rsid w:val="007213A1"/>
    <w:rsid w:val="00723DE1"/>
    <w:rsid w:val="00723F7F"/>
    <w:rsid w:val="00724F6F"/>
    <w:rsid w:val="00727779"/>
    <w:rsid w:val="00730BC9"/>
    <w:rsid w:val="00731B05"/>
    <w:rsid w:val="00732519"/>
    <w:rsid w:val="00737FD4"/>
    <w:rsid w:val="00740CEE"/>
    <w:rsid w:val="00742089"/>
    <w:rsid w:val="00744A77"/>
    <w:rsid w:val="00745ED4"/>
    <w:rsid w:val="007469FC"/>
    <w:rsid w:val="007470CD"/>
    <w:rsid w:val="00750169"/>
    <w:rsid w:val="00750FDB"/>
    <w:rsid w:val="00753EA6"/>
    <w:rsid w:val="0075402C"/>
    <w:rsid w:val="00755E7C"/>
    <w:rsid w:val="0075706D"/>
    <w:rsid w:val="00757B24"/>
    <w:rsid w:val="007610CE"/>
    <w:rsid w:val="00761449"/>
    <w:rsid w:val="007636AC"/>
    <w:rsid w:val="00763AEA"/>
    <w:rsid w:val="00764256"/>
    <w:rsid w:val="00765C6E"/>
    <w:rsid w:val="00767ED7"/>
    <w:rsid w:val="00771095"/>
    <w:rsid w:val="00772E6E"/>
    <w:rsid w:val="0077555F"/>
    <w:rsid w:val="00781423"/>
    <w:rsid w:val="00784858"/>
    <w:rsid w:val="007939FC"/>
    <w:rsid w:val="0079658B"/>
    <w:rsid w:val="00796E1E"/>
    <w:rsid w:val="00797158"/>
    <w:rsid w:val="00797D2B"/>
    <w:rsid w:val="007A1B41"/>
    <w:rsid w:val="007A4914"/>
    <w:rsid w:val="007A4A24"/>
    <w:rsid w:val="007A4EEE"/>
    <w:rsid w:val="007A63DC"/>
    <w:rsid w:val="007B2567"/>
    <w:rsid w:val="007B430E"/>
    <w:rsid w:val="007B4A58"/>
    <w:rsid w:val="007C0BAA"/>
    <w:rsid w:val="007C0DEC"/>
    <w:rsid w:val="007C43DD"/>
    <w:rsid w:val="007C68B0"/>
    <w:rsid w:val="007D034D"/>
    <w:rsid w:val="007D097C"/>
    <w:rsid w:val="007E0E8D"/>
    <w:rsid w:val="007E3C5F"/>
    <w:rsid w:val="007E4917"/>
    <w:rsid w:val="007E4953"/>
    <w:rsid w:val="007E5D36"/>
    <w:rsid w:val="007E7689"/>
    <w:rsid w:val="007F44F6"/>
    <w:rsid w:val="007F46B3"/>
    <w:rsid w:val="007F6B30"/>
    <w:rsid w:val="007F7AE2"/>
    <w:rsid w:val="00800667"/>
    <w:rsid w:val="00800F8F"/>
    <w:rsid w:val="00801121"/>
    <w:rsid w:val="008028ED"/>
    <w:rsid w:val="00802FAA"/>
    <w:rsid w:val="00803582"/>
    <w:rsid w:val="008048B0"/>
    <w:rsid w:val="008056BA"/>
    <w:rsid w:val="008056E7"/>
    <w:rsid w:val="00805B96"/>
    <w:rsid w:val="008065BE"/>
    <w:rsid w:val="008067DD"/>
    <w:rsid w:val="00807BC3"/>
    <w:rsid w:val="008118BC"/>
    <w:rsid w:val="00811B6B"/>
    <w:rsid w:val="00814937"/>
    <w:rsid w:val="00814DEF"/>
    <w:rsid w:val="008205F9"/>
    <w:rsid w:val="00821512"/>
    <w:rsid w:val="008218D8"/>
    <w:rsid w:val="0082287D"/>
    <w:rsid w:val="00824C92"/>
    <w:rsid w:val="00832511"/>
    <w:rsid w:val="00832C5F"/>
    <w:rsid w:val="0083423D"/>
    <w:rsid w:val="008349D2"/>
    <w:rsid w:val="0083566D"/>
    <w:rsid w:val="008357DE"/>
    <w:rsid w:val="00836EAC"/>
    <w:rsid w:val="00836EC5"/>
    <w:rsid w:val="00841A9A"/>
    <w:rsid w:val="00843BBF"/>
    <w:rsid w:val="00844641"/>
    <w:rsid w:val="00846A13"/>
    <w:rsid w:val="00846BCB"/>
    <w:rsid w:val="00847B70"/>
    <w:rsid w:val="008505C3"/>
    <w:rsid w:val="008505E5"/>
    <w:rsid w:val="00850C11"/>
    <w:rsid w:val="00851090"/>
    <w:rsid w:val="00852913"/>
    <w:rsid w:val="00856887"/>
    <w:rsid w:val="00857B99"/>
    <w:rsid w:val="00863669"/>
    <w:rsid w:val="0086472B"/>
    <w:rsid w:val="008649F8"/>
    <w:rsid w:val="00865AA5"/>
    <w:rsid w:val="00867FDE"/>
    <w:rsid w:val="008701E3"/>
    <w:rsid w:val="00870FE9"/>
    <w:rsid w:val="00871F91"/>
    <w:rsid w:val="008726E7"/>
    <w:rsid w:val="00872E17"/>
    <w:rsid w:val="0087328A"/>
    <w:rsid w:val="00874F36"/>
    <w:rsid w:val="00876665"/>
    <w:rsid w:val="00876779"/>
    <w:rsid w:val="00876780"/>
    <w:rsid w:val="0087734B"/>
    <w:rsid w:val="0088008C"/>
    <w:rsid w:val="008804C5"/>
    <w:rsid w:val="0088099B"/>
    <w:rsid w:val="00882F9A"/>
    <w:rsid w:val="00884258"/>
    <w:rsid w:val="00885566"/>
    <w:rsid w:val="008868CE"/>
    <w:rsid w:val="0088700E"/>
    <w:rsid w:val="00887068"/>
    <w:rsid w:val="0089166E"/>
    <w:rsid w:val="00896228"/>
    <w:rsid w:val="008A3427"/>
    <w:rsid w:val="008A34B5"/>
    <w:rsid w:val="008A7A3A"/>
    <w:rsid w:val="008A7DA7"/>
    <w:rsid w:val="008A7F55"/>
    <w:rsid w:val="008B2FFB"/>
    <w:rsid w:val="008B30A1"/>
    <w:rsid w:val="008B526D"/>
    <w:rsid w:val="008B5A22"/>
    <w:rsid w:val="008B6491"/>
    <w:rsid w:val="008C0F51"/>
    <w:rsid w:val="008C14E2"/>
    <w:rsid w:val="008C1B72"/>
    <w:rsid w:val="008C2950"/>
    <w:rsid w:val="008C6478"/>
    <w:rsid w:val="008C7E44"/>
    <w:rsid w:val="008D0542"/>
    <w:rsid w:val="008D0C08"/>
    <w:rsid w:val="008D1256"/>
    <w:rsid w:val="008D1C5E"/>
    <w:rsid w:val="008D1F10"/>
    <w:rsid w:val="008D22AE"/>
    <w:rsid w:val="008D4722"/>
    <w:rsid w:val="008D482E"/>
    <w:rsid w:val="008D5EE6"/>
    <w:rsid w:val="008D62D8"/>
    <w:rsid w:val="008E34FE"/>
    <w:rsid w:val="008E4C37"/>
    <w:rsid w:val="008E6413"/>
    <w:rsid w:val="008E65C3"/>
    <w:rsid w:val="008E68B1"/>
    <w:rsid w:val="008E7585"/>
    <w:rsid w:val="008F2A00"/>
    <w:rsid w:val="008F60A8"/>
    <w:rsid w:val="00900782"/>
    <w:rsid w:val="00900FEE"/>
    <w:rsid w:val="00901786"/>
    <w:rsid w:val="009029B4"/>
    <w:rsid w:val="00902E6C"/>
    <w:rsid w:val="00903F5D"/>
    <w:rsid w:val="0090446B"/>
    <w:rsid w:val="00904823"/>
    <w:rsid w:val="00910D22"/>
    <w:rsid w:val="00910DFD"/>
    <w:rsid w:val="00911F5B"/>
    <w:rsid w:val="00916C4E"/>
    <w:rsid w:val="00917344"/>
    <w:rsid w:val="00917A30"/>
    <w:rsid w:val="009212D5"/>
    <w:rsid w:val="00921B24"/>
    <w:rsid w:val="00921D99"/>
    <w:rsid w:val="00922B32"/>
    <w:rsid w:val="00923174"/>
    <w:rsid w:val="00924568"/>
    <w:rsid w:val="00924CAB"/>
    <w:rsid w:val="009263BF"/>
    <w:rsid w:val="009264EA"/>
    <w:rsid w:val="0092657D"/>
    <w:rsid w:val="009279F6"/>
    <w:rsid w:val="0093655E"/>
    <w:rsid w:val="00936DBF"/>
    <w:rsid w:val="00940EFE"/>
    <w:rsid w:val="0094161C"/>
    <w:rsid w:val="00942AA6"/>
    <w:rsid w:val="0094366C"/>
    <w:rsid w:val="009444AC"/>
    <w:rsid w:val="0094534D"/>
    <w:rsid w:val="009468C7"/>
    <w:rsid w:val="00950751"/>
    <w:rsid w:val="00953ADF"/>
    <w:rsid w:val="0095434A"/>
    <w:rsid w:val="00954BEF"/>
    <w:rsid w:val="00957515"/>
    <w:rsid w:val="00962DE5"/>
    <w:rsid w:val="00963978"/>
    <w:rsid w:val="0096542D"/>
    <w:rsid w:val="00965476"/>
    <w:rsid w:val="00965CB5"/>
    <w:rsid w:val="00975651"/>
    <w:rsid w:val="00975DD7"/>
    <w:rsid w:val="00982AE4"/>
    <w:rsid w:val="00983433"/>
    <w:rsid w:val="00986AD4"/>
    <w:rsid w:val="00986DC8"/>
    <w:rsid w:val="009875B7"/>
    <w:rsid w:val="00991C40"/>
    <w:rsid w:val="009927F3"/>
    <w:rsid w:val="00993042"/>
    <w:rsid w:val="00993555"/>
    <w:rsid w:val="009946F8"/>
    <w:rsid w:val="00995149"/>
    <w:rsid w:val="0099532C"/>
    <w:rsid w:val="00996BBC"/>
    <w:rsid w:val="00996ECF"/>
    <w:rsid w:val="009A0DE7"/>
    <w:rsid w:val="009A1881"/>
    <w:rsid w:val="009A2363"/>
    <w:rsid w:val="009A70FF"/>
    <w:rsid w:val="009A7EF6"/>
    <w:rsid w:val="009B0D61"/>
    <w:rsid w:val="009B4FFB"/>
    <w:rsid w:val="009B5F75"/>
    <w:rsid w:val="009B621A"/>
    <w:rsid w:val="009B664B"/>
    <w:rsid w:val="009B710F"/>
    <w:rsid w:val="009B7275"/>
    <w:rsid w:val="009C0F31"/>
    <w:rsid w:val="009C20EF"/>
    <w:rsid w:val="009C26EA"/>
    <w:rsid w:val="009C45D9"/>
    <w:rsid w:val="009C6F32"/>
    <w:rsid w:val="009D0D02"/>
    <w:rsid w:val="009D1DCB"/>
    <w:rsid w:val="009D240C"/>
    <w:rsid w:val="009D2B9B"/>
    <w:rsid w:val="009D76C9"/>
    <w:rsid w:val="009E28DA"/>
    <w:rsid w:val="009E3187"/>
    <w:rsid w:val="009E74E8"/>
    <w:rsid w:val="009F2748"/>
    <w:rsid w:val="009F5DFD"/>
    <w:rsid w:val="00A005EB"/>
    <w:rsid w:val="00A020B2"/>
    <w:rsid w:val="00A02477"/>
    <w:rsid w:val="00A04252"/>
    <w:rsid w:val="00A057F2"/>
    <w:rsid w:val="00A06657"/>
    <w:rsid w:val="00A11F71"/>
    <w:rsid w:val="00A12B67"/>
    <w:rsid w:val="00A13439"/>
    <w:rsid w:val="00A13F87"/>
    <w:rsid w:val="00A16194"/>
    <w:rsid w:val="00A16EE6"/>
    <w:rsid w:val="00A173D6"/>
    <w:rsid w:val="00A202DE"/>
    <w:rsid w:val="00A2157E"/>
    <w:rsid w:val="00A216A0"/>
    <w:rsid w:val="00A21F19"/>
    <w:rsid w:val="00A226F0"/>
    <w:rsid w:val="00A22F1F"/>
    <w:rsid w:val="00A239BD"/>
    <w:rsid w:val="00A24025"/>
    <w:rsid w:val="00A2579D"/>
    <w:rsid w:val="00A30D5F"/>
    <w:rsid w:val="00A30EDD"/>
    <w:rsid w:val="00A31713"/>
    <w:rsid w:val="00A31CD7"/>
    <w:rsid w:val="00A332C0"/>
    <w:rsid w:val="00A342AC"/>
    <w:rsid w:val="00A36EF0"/>
    <w:rsid w:val="00A4017F"/>
    <w:rsid w:val="00A41CB8"/>
    <w:rsid w:val="00A42059"/>
    <w:rsid w:val="00A44681"/>
    <w:rsid w:val="00A44753"/>
    <w:rsid w:val="00A45455"/>
    <w:rsid w:val="00A456C7"/>
    <w:rsid w:val="00A4765F"/>
    <w:rsid w:val="00A516EE"/>
    <w:rsid w:val="00A537E4"/>
    <w:rsid w:val="00A53999"/>
    <w:rsid w:val="00A53A17"/>
    <w:rsid w:val="00A53D91"/>
    <w:rsid w:val="00A54C61"/>
    <w:rsid w:val="00A57C04"/>
    <w:rsid w:val="00A6159B"/>
    <w:rsid w:val="00A62C30"/>
    <w:rsid w:val="00A64AE3"/>
    <w:rsid w:val="00A65EF3"/>
    <w:rsid w:val="00A66142"/>
    <w:rsid w:val="00A66402"/>
    <w:rsid w:val="00A676CA"/>
    <w:rsid w:val="00A67D76"/>
    <w:rsid w:val="00A722CC"/>
    <w:rsid w:val="00A72585"/>
    <w:rsid w:val="00A7343D"/>
    <w:rsid w:val="00A75434"/>
    <w:rsid w:val="00A76017"/>
    <w:rsid w:val="00A76457"/>
    <w:rsid w:val="00A77792"/>
    <w:rsid w:val="00A8011E"/>
    <w:rsid w:val="00A80337"/>
    <w:rsid w:val="00A806DA"/>
    <w:rsid w:val="00A8126B"/>
    <w:rsid w:val="00A814CC"/>
    <w:rsid w:val="00A83156"/>
    <w:rsid w:val="00A8648E"/>
    <w:rsid w:val="00A86D3D"/>
    <w:rsid w:val="00A87DE1"/>
    <w:rsid w:val="00A90EA0"/>
    <w:rsid w:val="00A93367"/>
    <w:rsid w:val="00A955D8"/>
    <w:rsid w:val="00A95B5D"/>
    <w:rsid w:val="00A968F6"/>
    <w:rsid w:val="00A9796E"/>
    <w:rsid w:val="00AA0509"/>
    <w:rsid w:val="00AA0D56"/>
    <w:rsid w:val="00AA4F0F"/>
    <w:rsid w:val="00AA574F"/>
    <w:rsid w:val="00AA5E9B"/>
    <w:rsid w:val="00AA7004"/>
    <w:rsid w:val="00AA76DA"/>
    <w:rsid w:val="00AB0236"/>
    <w:rsid w:val="00AB173B"/>
    <w:rsid w:val="00AB1BB0"/>
    <w:rsid w:val="00AB2169"/>
    <w:rsid w:val="00AB2948"/>
    <w:rsid w:val="00AB39FA"/>
    <w:rsid w:val="00AB46EA"/>
    <w:rsid w:val="00AB4C01"/>
    <w:rsid w:val="00AB68E7"/>
    <w:rsid w:val="00AC1B5E"/>
    <w:rsid w:val="00AC42A4"/>
    <w:rsid w:val="00AC4931"/>
    <w:rsid w:val="00AC574D"/>
    <w:rsid w:val="00AC6C62"/>
    <w:rsid w:val="00AC7428"/>
    <w:rsid w:val="00AC7A93"/>
    <w:rsid w:val="00AD00FE"/>
    <w:rsid w:val="00AD2043"/>
    <w:rsid w:val="00AD2DA5"/>
    <w:rsid w:val="00AD3919"/>
    <w:rsid w:val="00AD443D"/>
    <w:rsid w:val="00AD5718"/>
    <w:rsid w:val="00AD6933"/>
    <w:rsid w:val="00AD6B7B"/>
    <w:rsid w:val="00AD6F63"/>
    <w:rsid w:val="00AD7BE5"/>
    <w:rsid w:val="00AE2E09"/>
    <w:rsid w:val="00AE3A36"/>
    <w:rsid w:val="00AE6276"/>
    <w:rsid w:val="00AE7003"/>
    <w:rsid w:val="00AF35EA"/>
    <w:rsid w:val="00AF3FBB"/>
    <w:rsid w:val="00AF59A2"/>
    <w:rsid w:val="00AF7A00"/>
    <w:rsid w:val="00B01758"/>
    <w:rsid w:val="00B01F01"/>
    <w:rsid w:val="00B021C6"/>
    <w:rsid w:val="00B02702"/>
    <w:rsid w:val="00B03328"/>
    <w:rsid w:val="00B06CBB"/>
    <w:rsid w:val="00B0703D"/>
    <w:rsid w:val="00B10A67"/>
    <w:rsid w:val="00B11BDD"/>
    <w:rsid w:val="00B129F3"/>
    <w:rsid w:val="00B13378"/>
    <w:rsid w:val="00B16550"/>
    <w:rsid w:val="00B16717"/>
    <w:rsid w:val="00B16EA8"/>
    <w:rsid w:val="00B177C1"/>
    <w:rsid w:val="00B24ACC"/>
    <w:rsid w:val="00B25F71"/>
    <w:rsid w:val="00B326EA"/>
    <w:rsid w:val="00B407D1"/>
    <w:rsid w:val="00B40D0B"/>
    <w:rsid w:val="00B41978"/>
    <w:rsid w:val="00B43D2A"/>
    <w:rsid w:val="00B44BC9"/>
    <w:rsid w:val="00B44FBD"/>
    <w:rsid w:val="00B464CC"/>
    <w:rsid w:val="00B47EFB"/>
    <w:rsid w:val="00B503F7"/>
    <w:rsid w:val="00B521E3"/>
    <w:rsid w:val="00B52486"/>
    <w:rsid w:val="00B528B3"/>
    <w:rsid w:val="00B5304F"/>
    <w:rsid w:val="00B56EFF"/>
    <w:rsid w:val="00B600D6"/>
    <w:rsid w:val="00B6033C"/>
    <w:rsid w:val="00B61A4D"/>
    <w:rsid w:val="00B65CB3"/>
    <w:rsid w:val="00B6782B"/>
    <w:rsid w:val="00B74365"/>
    <w:rsid w:val="00B743C2"/>
    <w:rsid w:val="00B76533"/>
    <w:rsid w:val="00B76ABD"/>
    <w:rsid w:val="00B771C2"/>
    <w:rsid w:val="00B774DB"/>
    <w:rsid w:val="00B77E77"/>
    <w:rsid w:val="00B81C78"/>
    <w:rsid w:val="00B8229E"/>
    <w:rsid w:val="00B86859"/>
    <w:rsid w:val="00B91357"/>
    <w:rsid w:val="00B919D9"/>
    <w:rsid w:val="00B97028"/>
    <w:rsid w:val="00BA005C"/>
    <w:rsid w:val="00BA0E6C"/>
    <w:rsid w:val="00BA1D1B"/>
    <w:rsid w:val="00BA3921"/>
    <w:rsid w:val="00BA4F6D"/>
    <w:rsid w:val="00BA564B"/>
    <w:rsid w:val="00BA62B8"/>
    <w:rsid w:val="00BA646E"/>
    <w:rsid w:val="00BA7A02"/>
    <w:rsid w:val="00BA7D82"/>
    <w:rsid w:val="00BB004C"/>
    <w:rsid w:val="00BB047B"/>
    <w:rsid w:val="00BB0F00"/>
    <w:rsid w:val="00BB36E9"/>
    <w:rsid w:val="00BB41EB"/>
    <w:rsid w:val="00BB6398"/>
    <w:rsid w:val="00BB6AE1"/>
    <w:rsid w:val="00BB781C"/>
    <w:rsid w:val="00BB7C09"/>
    <w:rsid w:val="00BC006D"/>
    <w:rsid w:val="00BC0267"/>
    <w:rsid w:val="00BC18D2"/>
    <w:rsid w:val="00BC1947"/>
    <w:rsid w:val="00BC2816"/>
    <w:rsid w:val="00BC2C23"/>
    <w:rsid w:val="00BC42A7"/>
    <w:rsid w:val="00BC517F"/>
    <w:rsid w:val="00BC6D48"/>
    <w:rsid w:val="00BD0359"/>
    <w:rsid w:val="00BD0372"/>
    <w:rsid w:val="00BD3811"/>
    <w:rsid w:val="00BD44D2"/>
    <w:rsid w:val="00BD4C1E"/>
    <w:rsid w:val="00BD4C6D"/>
    <w:rsid w:val="00BE0FF7"/>
    <w:rsid w:val="00BE1970"/>
    <w:rsid w:val="00BE37BA"/>
    <w:rsid w:val="00BE4A56"/>
    <w:rsid w:val="00BE4DC3"/>
    <w:rsid w:val="00BE71B2"/>
    <w:rsid w:val="00BE76C8"/>
    <w:rsid w:val="00BF2028"/>
    <w:rsid w:val="00BF4766"/>
    <w:rsid w:val="00BF5A31"/>
    <w:rsid w:val="00BF77A3"/>
    <w:rsid w:val="00C016A5"/>
    <w:rsid w:val="00C062C6"/>
    <w:rsid w:val="00C06827"/>
    <w:rsid w:val="00C06A5C"/>
    <w:rsid w:val="00C0734B"/>
    <w:rsid w:val="00C10E49"/>
    <w:rsid w:val="00C10EE2"/>
    <w:rsid w:val="00C11E5A"/>
    <w:rsid w:val="00C12263"/>
    <w:rsid w:val="00C139CA"/>
    <w:rsid w:val="00C13ACD"/>
    <w:rsid w:val="00C1712C"/>
    <w:rsid w:val="00C1762A"/>
    <w:rsid w:val="00C1793E"/>
    <w:rsid w:val="00C17FD0"/>
    <w:rsid w:val="00C206E2"/>
    <w:rsid w:val="00C23323"/>
    <w:rsid w:val="00C233CD"/>
    <w:rsid w:val="00C23D81"/>
    <w:rsid w:val="00C3168D"/>
    <w:rsid w:val="00C32DED"/>
    <w:rsid w:val="00C33108"/>
    <w:rsid w:val="00C33791"/>
    <w:rsid w:val="00C33BE2"/>
    <w:rsid w:val="00C34331"/>
    <w:rsid w:val="00C35F48"/>
    <w:rsid w:val="00C36339"/>
    <w:rsid w:val="00C37225"/>
    <w:rsid w:val="00C3797A"/>
    <w:rsid w:val="00C40D08"/>
    <w:rsid w:val="00C416F0"/>
    <w:rsid w:val="00C42BBE"/>
    <w:rsid w:val="00C44AC8"/>
    <w:rsid w:val="00C45003"/>
    <w:rsid w:val="00C460E7"/>
    <w:rsid w:val="00C468FA"/>
    <w:rsid w:val="00C47D78"/>
    <w:rsid w:val="00C51429"/>
    <w:rsid w:val="00C51DF0"/>
    <w:rsid w:val="00C52F4F"/>
    <w:rsid w:val="00C54F90"/>
    <w:rsid w:val="00C602EE"/>
    <w:rsid w:val="00C63CE5"/>
    <w:rsid w:val="00C63F31"/>
    <w:rsid w:val="00C65204"/>
    <w:rsid w:val="00C66A03"/>
    <w:rsid w:val="00C67912"/>
    <w:rsid w:val="00C702C0"/>
    <w:rsid w:val="00C715E3"/>
    <w:rsid w:val="00C744AF"/>
    <w:rsid w:val="00C74BD5"/>
    <w:rsid w:val="00C75CD7"/>
    <w:rsid w:val="00C800A4"/>
    <w:rsid w:val="00C80634"/>
    <w:rsid w:val="00C83188"/>
    <w:rsid w:val="00C83FD7"/>
    <w:rsid w:val="00C85C5B"/>
    <w:rsid w:val="00C909CB"/>
    <w:rsid w:val="00C90E41"/>
    <w:rsid w:val="00C93DA9"/>
    <w:rsid w:val="00C94061"/>
    <w:rsid w:val="00C94930"/>
    <w:rsid w:val="00C94CF5"/>
    <w:rsid w:val="00C94F0A"/>
    <w:rsid w:val="00CA0299"/>
    <w:rsid w:val="00CA1186"/>
    <w:rsid w:val="00CA2C26"/>
    <w:rsid w:val="00CA51DE"/>
    <w:rsid w:val="00CA5438"/>
    <w:rsid w:val="00CA6802"/>
    <w:rsid w:val="00CA78F6"/>
    <w:rsid w:val="00CB0611"/>
    <w:rsid w:val="00CB09AA"/>
    <w:rsid w:val="00CB0A28"/>
    <w:rsid w:val="00CB39C9"/>
    <w:rsid w:val="00CC23CA"/>
    <w:rsid w:val="00CC4AF5"/>
    <w:rsid w:val="00CC5867"/>
    <w:rsid w:val="00CD1ACB"/>
    <w:rsid w:val="00CD1D64"/>
    <w:rsid w:val="00CD1DD7"/>
    <w:rsid w:val="00CD2D91"/>
    <w:rsid w:val="00CD51E5"/>
    <w:rsid w:val="00CD7225"/>
    <w:rsid w:val="00CD77E8"/>
    <w:rsid w:val="00CE0399"/>
    <w:rsid w:val="00CE7AA8"/>
    <w:rsid w:val="00CE7AE7"/>
    <w:rsid w:val="00CF0B03"/>
    <w:rsid w:val="00CF3199"/>
    <w:rsid w:val="00CF4011"/>
    <w:rsid w:val="00CF7A03"/>
    <w:rsid w:val="00D0162D"/>
    <w:rsid w:val="00D01D6E"/>
    <w:rsid w:val="00D04800"/>
    <w:rsid w:val="00D05460"/>
    <w:rsid w:val="00D06C38"/>
    <w:rsid w:val="00D07B96"/>
    <w:rsid w:val="00D104EA"/>
    <w:rsid w:val="00D116A2"/>
    <w:rsid w:val="00D119CD"/>
    <w:rsid w:val="00D1406E"/>
    <w:rsid w:val="00D1422A"/>
    <w:rsid w:val="00D1494B"/>
    <w:rsid w:val="00D161EB"/>
    <w:rsid w:val="00D202DE"/>
    <w:rsid w:val="00D22A63"/>
    <w:rsid w:val="00D2452A"/>
    <w:rsid w:val="00D2550C"/>
    <w:rsid w:val="00D26035"/>
    <w:rsid w:val="00D26910"/>
    <w:rsid w:val="00D30385"/>
    <w:rsid w:val="00D3056E"/>
    <w:rsid w:val="00D30FDF"/>
    <w:rsid w:val="00D31347"/>
    <w:rsid w:val="00D3135E"/>
    <w:rsid w:val="00D32009"/>
    <w:rsid w:val="00D3612A"/>
    <w:rsid w:val="00D37703"/>
    <w:rsid w:val="00D37F25"/>
    <w:rsid w:val="00D40AE3"/>
    <w:rsid w:val="00D41604"/>
    <w:rsid w:val="00D44A49"/>
    <w:rsid w:val="00D46110"/>
    <w:rsid w:val="00D50571"/>
    <w:rsid w:val="00D50666"/>
    <w:rsid w:val="00D5180A"/>
    <w:rsid w:val="00D52099"/>
    <w:rsid w:val="00D53391"/>
    <w:rsid w:val="00D539F7"/>
    <w:rsid w:val="00D546E7"/>
    <w:rsid w:val="00D56C3A"/>
    <w:rsid w:val="00D6338D"/>
    <w:rsid w:val="00D6502E"/>
    <w:rsid w:val="00D65B52"/>
    <w:rsid w:val="00D70AFE"/>
    <w:rsid w:val="00D70D08"/>
    <w:rsid w:val="00D73161"/>
    <w:rsid w:val="00D737BC"/>
    <w:rsid w:val="00D7603E"/>
    <w:rsid w:val="00D803D1"/>
    <w:rsid w:val="00D8048C"/>
    <w:rsid w:val="00D80527"/>
    <w:rsid w:val="00D81AD5"/>
    <w:rsid w:val="00D83810"/>
    <w:rsid w:val="00D83E54"/>
    <w:rsid w:val="00D856CE"/>
    <w:rsid w:val="00D903C9"/>
    <w:rsid w:val="00D91771"/>
    <w:rsid w:val="00D91ECC"/>
    <w:rsid w:val="00D9207E"/>
    <w:rsid w:val="00D92100"/>
    <w:rsid w:val="00D949FC"/>
    <w:rsid w:val="00D955E2"/>
    <w:rsid w:val="00D979FC"/>
    <w:rsid w:val="00D97C30"/>
    <w:rsid w:val="00DA0BE4"/>
    <w:rsid w:val="00DA361A"/>
    <w:rsid w:val="00DA4CCB"/>
    <w:rsid w:val="00DA622B"/>
    <w:rsid w:val="00DA635F"/>
    <w:rsid w:val="00DA7A6A"/>
    <w:rsid w:val="00DB158B"/>
    <w:rsid w:val="00DB40F0"/>
    <w:rsid w:val="00DB43B4"/>
    <w:rsid w:val="00DB5574"/>
    <w:rsid w:val="00DB73C9"/>
    <w:rsid w:val="00DC122A"/>
    <w:rsid w:val="00DC280A"/>
    <w:rsid w:val="00DC4A55"/>
    <w:rsid w:val="00DC5B4B"/>
    <w:rsid w:val="00DC6282"/>
    <w:rsid w:val="00DC7AEB"/>
    <w:rsid w:val="00DD0045"/>
    <w:rsid w:val="00DD0E47"/>
    <w:rsid w:val="00DD0F85"/>
    <w:rsid w:val="00DD2A02"/>
    <w:rsid w:val="00DD5C70"/>
    <w:rsid w:val="00DD5FE7"/>
    <w:rsid w:val="00DD6D6B"/>
    <w:rsid w:val="00DE3F8D"/>
    <w:rsid w:val="00DE4667"/>
    <w:rsid w:val="00DE643F"/>
    <w:rsid w:val="00DE644A"/>
    <w:rsid w:val="00DE65DB"/>
    <w:rsid w:val="00DE687B"/>
    <w:rsid w:val="00DE7BCC"/>
    <w:rsid w:val="00DE7FAB"/>
    <w:rsid w:val="00DF05EF"/>
    <w:rsid w:val="00DF2EBE"/>
    <w:rsid w:val="00DF4636"/>
    <w:rsid w:val="00DF4F85"/>
    <w:rsid w:val="00DF66DC"/>
    <w:rsid w:val="00DF6EE3"/>
    <w:rsid w:val="00E004E2"/>
    <w:rsid w:val="00E00566"/>
    <w:rsid w:val="00E005DC"/>
    <w:rsid w:val="00E03C31"/>
    <w:rsid w:val="00E056F8"/>
    <w:rsid w:val="00E06FDE"/>
    <w:rsid w:val="00E0748A"/>
    <w:rsid w:val="00E07F60"/>
    <w:rsid w:val="00E11A9F"/>
    <w:rsid w:val="00E125F1"/>
    <w:rsid w:val="00E13E71"/>
    <w:rsid w:val="00E13F92"/>
    <w:rsid w:val="00E1521C"/>
    <w:rsid w:val="00E157A4"/>
    <w:rsid w:val="00E17498"/>
    <w:rsid w:val="00E17591"/>
    <w:rsid w:val="00E21FE1"/>
    <w:rsid w:val="00E22B13"/>
    <w:rsid w:val="00E26FF6"/>
    <w:rsid w:val="00E3013A"/>
    <w:rsid w:val="00E306E7"/>
    <w:rsid w:val="00E32973"/>
    <w:rsid w:val="00E336D5"/>
    <w:rsid w:val="00E37127"/>
    <w:rsid w:val="00E3726C"/>
    <w:rsid w:val="00E4011B"/>
    <w:rsid w:val="00E4159A"/>
    <w:rsid w:val="00E42B11"/>
    <w:rsid w:val="00E456E4"/>
    <w:rsid w:val="00E4622C"/>
    <w:rsid w:val="00E4658C"/>
    <w:rsid w:val="00E507B7"/>
    <w:rsid w:val="00E51FFB"/>
    <w:rsid w:val="00E536E0"/>
    <w:rsid w:val="00E54A95"/>
    <w:rsid w:val="00E54CD0"/>
    <w:rsid w:val="00E56D5B"/>
    <w:rsid w:val="00E6107F"/>
    <w:rsid w:val="00E61A0B"/>
    <w:rsid w:val="00E625EB"/>
    <w:rsid w:val="00E6396F"/>
    <w:rsid w:val="00E64DB7"/>
    <w:rsid w:val="00E66596"/>
    <w:rsid w:val="00E7017E"/>
    <w:rsid w:val="00E70C82"/>
    <w:rsid w:val="00E81D73"/>
    <w:rsid w:val="00E824F8"/>
    <w:rsid w:val="00E83D70"/>
    <w:rsid w:val="00E84FAE"/>
    <w:rsid w:val="00E85BD6"/>
    <w:rsid w:val="00E8732E"/>
    <w:rsid w:val="00E877D5"/>
    <w:rsid w:val="00E9029F"/>
    <w:rsid w:val="00E907B4"/>
    <w:rsid w:val="00E93677"/>
    <w:rsid w:val="00EA12FB"/>
    <w:rsid w:val="00EA616F"/>
    <w:rsid w:val="00EA6EF3"/>
    <w:rsid w:val="00EB02C5"/>
    <w:rsid w:val="00EB1EFE"/>
    <w:rsid w:val="00EB2762"/>
    <w:rsid w:val="00EB3C59"/>
    <w:rsid w:val="00EB7941"/>
    <w:rsid w:val="00EC28F2"/>
    <w:rsid w:val="00EC4206"/>
    <w:rsid w:val="00EC6434"/>
    <w:rsid w:val="00ED0FF3"/>
    <w:rsid w:val="00ED5C02"/>
    <w:rsid w:val="00ED797F"/>
    <w:rsid w:val="00EE0576"/>
    <w:rsid w:val="00EE058F"/>
    <w:rsid w:val="00EE0607"/>
    <w:rsid w:val="00EE1453"/>
    <w:rsid w:val="00EE2914"/>
    <w:rsid w:val="00EE2E9F"/>
    <w:rsid w:val="00EE45B3"/>
    <w:rsid w:val="00EE4684"/>
    <w:rsid w:val="00EE53C3"/>
    <w:rsid w:val="00EE58D9"/>
    <w:rsid w:val="00EF53BE"/>
    <w:rsid w:val="00EF5718"/>
    <w:rsid w:val="00F00B4D"/>
    <w:rsid w:val="00F0264B"/>
    <w:rsid w:val="00F029A7"/>
    <w:rsid w:val="00F05A87"/>
    <w:rsid w:val="00F05B39"/>
    <w:rsid w:val="00F12472"/>
    <w:rsid w:val="00F12A8F"/>
    <w:rsid w:val="00F15F3B"/>
    <w:rsid w:val="00F179E3"/>
    <w:rsid w:val="00F215BF"/>
    <w:rsid w:val="00F21BBA"/>
    <w:rsid w:val="00F22D89"/>
    <w:rsid w:val="00F240EC"/>
    <w:rsid w:val="00F2474D"/>
    <w:rsid w:val="00F26A9F"/>
    <w:rsid w:val="00F31CA6"/>
    <w:rsid w:val="00F31D67"/>
    <w:rsid w:val="00F329FB"/>
    <w:rsid w:val="00F33FA9"/>
    <w:rsid w:val="00F36ABE"/>
    <w:rsid w:val="00F36F10"/>
    <w:rsid w:val="00F409A9"/>
    <w:rsid w:val="00F40C38"/>
    <w:rsid w:val="00F4165D"/>
    <w:rsid w:val="00F4414F"/>
    <w:rsid w:val="00F4489C"/>
    <w:rsid w:val="00F44B83"/>
    <w:rsid w:val="00F45C7D"/>
    <w:rsid w:val="00F467F9"/>
    <w:rsid w:val="00F476A5"/>
    <w:rsid w:val="00F47848"/>
    <w:rsid w:val="00F5355B"/>
    <w:rsid w:val="00F5789E"/>
    <w:rsid w:val="00F6225E"/>
    <w:rsid w:val="00F62396"/>
    <w:rsid w:val="00F648C7"/>
    <w:rsid w:val="00F6672F"/>
    <w:rsid w:val="00F667E5"/>
    <w:rsid w:val="00F66E3A"/>
    <w:rsid w:val="00F67213"/>
    <w:rsid w:val="00F676DD"/>
    <w:rsid w:val="00F67D94"/>
    <w:rsid w:val="00F7026F"/>
    <w:rsid w:val="00F7175D"/>
    <w:rsid w:val="00F7205A"/>
    <w:rsid w:val="00F75F90"/>
    <w:rsid w:val="00F765C7"/>
    <w:rsid w:val="00F76E78"/>
    <w:rsid w:val="00F8101D"/>
    <w:rsid w:val="00F835C5"/>
    <w:rsid w:val="00F845F1"/>
    <w:rsid w:val="00F852E6"/>
    <w:rsid w:val="00F86FAC"/>
    <w:rsid w:val="00F871F6"/>
    <w:rsid w:val="00F92A9F"/>
    <w:rsid w:val="00F940DE"/>
    <w:rsid w:val="00F952D1"/>
    <w:rsid w:val="00F95BD1"/>
    <w:rsid w:val="00FA0842"/>
    <w:rsid w:val="00FA0875"/>
    <w:rsid w:val="00FA21A0"/>
    <w:rsid w:val="00FA5F08"/>
    <w:rsid w:val="00FA714E"/>
    <w:rsid w:val="00FB17F6"/>
    <w:rsid w:val="00FB3C1B"/>
    <w:rsid w:val="00FB4EFE"/>
    <w:rsid w:val="00FC09CF"/>
    <w:rsid w:val="00FC26FF"/>
    <w:rsid w:val="00FC3C71"/>
    <w:rsid w:val="00FC3F99"/>
    <w:rsid w:val="00FC406D"/>
    <w:rsid w:val="00FC4982"/>
    <w:rsid w:val="00FC7762"/>
    <w:rsid w:val="00FD4821"/>
    <w:rsid w:val="00FD6C25"/>
    <w:rsid w:val="00FD7489"/>
    <w:rsid w:val="00FE0BD1"/>
    <w:rsid w:val="00FE20E4"/>
    <w:rsid w:val="00FE49F5"/>
    <w:rsid w:val="00FE4FB0"/>
    <w:rsid w:val="00FE56F7"/>
    <w:rsid w:val="00FF042C"/>
    <w:rsid w:val="00FF38E3"/>
    <w:rsid w:val="00FF5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0361D0C3"/>
  <w15:chartTrackingRefBased/>
  <w15:docId w15:val="{BA0FD851-A5CE-4E11-A1C9-BE8EE3960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E004E2"/>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E004E2"/>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ED0FF3"/>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rsid w:val="00667626"/>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174C82"/>
    <w:pPr>
      <w:spacing w:after="240" w:line="360" w:lineRule="auto"/>
    </w:pPr>
    <w:rPr>
      <w:rFonts w:ascii="Arial" w:hAnsi="Arial"/>
      <w:sz w:val="24"/>
      <w:szCs w:val="24"/>
      <w:lang w:eastAsia="en-US"/>
    </w:rPr>
  </w:style>
  <w:style w:type="character" w:customStyle="1" w:styleId="NICEnormalChar">
    <w:name w:val="NICE normal Char"/>
    <w:link w:val="NICEnormal"/>
    <w:rsid w:val="00174C82"/>
    <w:rPr>
      <w:rFonts w:ascii="Arial" w:hAnsi="Arial"/>
      <w:sz w:val="24"/>
      <w:szCs w:val="24"/>
      <w:lang w:val="en-GB" w:eastAsia="en-US" w:bidi="ar-SA"/>
    </w:rPr>
  </w:style>
  <w:style w:type="character" w:customStyle="1" w:styleId="Heading1Char">
    <w:name w:val="Heading 1 Char"/>
    <w:link w:val="Heading1"/>
    <w:rsid w:val="00E004E2"/>
    <w:rPr>
      <w:rFonts w:ascii="Arial" w:hAnsi="Arial" w:cs="Arial"/>
      <w:b/>
      <w:bCs/>
      <w:kern w:val="32"/>
      <w:sz w:val="32"/>
      <w:szCs w:val="32"/>
      <w:lang w:eastAsia="en-US"/>
    </w:rPr>
  </w:style>
  <w:style w:type="character" w:customStyle="1" w:styleId="Heading2Char">
    <w:name w:val="Heading 2 Char"/>
    <w:link w:val="Heading2"/>
    <w:rsid w:val="00E004E2"/>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F765C7"/>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E004E2"/>
    <w:pPr>
      <w:numPr>
        <w:numId w:val="12"/>
      </w:numPr>
    </w:pPr>
    <w:rPr>
      <w:szCs w:val="24"/>
    </w:rPr>
  </w:style>
  <w:style w:type="character" w:customStyle="1" w:styleId="Numberedheading1CharChar">
    <w:name w:val="Numbered heading 1 Char Char"/>
    <w:link w:val="Numberedheading1"/>
    <w:rsid w:val="00E004E2"/>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link w:val="Bulletindent1Char"/>
    <w:rsid w:val="00D3612A"/>
    <w:pPr>
      <w:numPr>
        <w:numId w:val="5"/>
      </w:numPr>
      <w:tabs>
        <w:tab w:val="clear" w:pos="7655"/>
        <w:tab w:val="num" w:pos="1418"/>
      </w:tabs>
      <w:spacing w:after="0"/>
      <w:ind w:left="1418"/>
    </w:pPr>
    <w:rPr>
      <w:lang w:val="en-US"/>
    </w:rPr>
  </w:style>
  <w:style w:type="character" w:customStyle="1" w:styleId="Bulletindent1Char">
    <w:name w:val="Bullet indent 1 Char"/>
    <w:link w:val="Bulletindent1"/>
    <w:rsid w:val="00F86FAC"/>
    <w:rPr>
      <w:rFonts w:ascii="Arial" w:hAnsi="Arial"/>
      <w:sz w:val="24"/>
      <w:szCs w:val="24"/>
      <w:lang w:val="en-US" w:eastAsia="en-US"/>
    </w:r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ormal"/>
    <w:link w:val="Numberedlevel2textChar"/>
    <w:qFormat/>
    <w:rsid w:val="00F029A7"/>
    <w:pPr>
      <w:numPr>
        <w:ilvl w:val="1"/>
        <w:numId w:val="12"/>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F029A7"/>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7"/>
      </w:numPr>
    </w:pPr>
    <w:rPr>
      <w:rFonts w:cs="Arial"/>
    </w:r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E004E2"/>
    <w:pPr>
      <w:keepNext/>
      <w:spacing w:after="60"/>
    </w:pPr>
    <w:rPr>
      <w:sz w:val="22"/>
    </w:rPr>
  </w:style>
  <w:style w:type="table" w:styleId="TableGrid">
    <w:name w:val="Table Grid"/>
    <w:basedOn w:val="TableNormal"/>
    <w:uiPriority w:val="39"/>
    <w:rsid w:val="00BB0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1DD7"/>
    <w:rPr>
      <w:color w:val="0000FF"/>
      <w:u w:val="single"/>
    </w:rPr>
  </w:style>
  <w:style w:type="paragraph" w:styleId="BalloonText">
    <w:name w:val="Balloon Text"/>
    <w:basedOn w:val="Normal"/>
    <w:semiHidden/>
    <w:rsid w:val="003253AC"/>
    <w:rPr>
      <w:rFonts w:ascii="Tahoma" w:hAnsi="Tahoma" w:cs="Tahoma"/>
      <w:sz w:val="16"/>
      <w:szCs w:val="16"/>
    </w:rPr>
  </w:style>
  <w:style w:type="character" w:styleId="CommentReference">
    <w:name w:val="annotation reference"/>
    <w:rsid w:val="00283FE5"/>
    <w:rPr>
      <w:sz w:val="16"/>
      <w:szCs w:val="16"/>
    </w:rPr>
  </w:style>
  <w:style w:type="paragraph" w:styleId="CommentText">
    <w:name w:val="annotation text"/>
    <w:basedOn w:val="Normal"/>
    <w:link w:val="CommentTextChar"/>
    <w:rsid w:val="00283FE5"/>
    <w:rPr>
      <w:sz w:val="20"/>
      <w:szCs w:val="20"/>
    </w:rPr>
  </w:style>
  <w:style w:type="paragraph" w:styleId="CommentSubject">
    <w:name w:val="annotation subject"/>
    <w:basedOn w:val="CommentText"/>
    <w:next w:val="CommentText"/>
    <w:semiHidden/>
    <w:rsid w:val="00283FE5"/>
    <w:rPr>
      <w:b/>
      <w:bCs/>
    </w:rPr>
  </w:style>
  <w:style w:type="paragraph" w:customStyle="1" w:styleId="Title1">
    <w:name w:val="Title 1"/>
    <w:basedOn w:val="Normal"/>
    <w:qFormat/>
    <w:rsid w:val="00F765C7"/>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132522"/>
    <w:rPr>
      <w:lang w:val="en-US"/>
    </w:rPr>
  </w:style>
  <w:style w:type="paragraph" w:customStyle="1" w:styleId="Documentissuedate">
    <w:name w:val="Document issue date"/>
    <w:basedOn w:val="NICEnormal"/>
    <w:qFormat/>
    <w:rsid w:val="00132522"/>
    <w:rPr>
      <w:lang w:val="en-US"/>
    </w:rPr>
  </w:style>
  <w:style w:type="character" w:styleId="FollowedHyperlink">
    <w:name w:val="FollowedHyperlink"/>
    <w:rsid w:val="00CD51E5"/>
    <w:rPr>
      <w:color w:val="800080"/>
      <w:u w:val="single"/>
    </w:rPr>
  </w:style>
  <w:style w:type="character" w:customStyle="1" w:styleId="CommentTextChar">
    <w:name w:val="Comment Text Char"/>
    <w:link w:val="CommentText"/>
    <w:rsid w:val="00DE65DB"/>
    <w:rPr>
      <w:lang w:eastAsia="en-US"/>
    </w:rPr>
  </w:style>
  <w:style w:type="character" w:styleId="Strong">
    <w:name w:val="Strong"/>
    <w:uiPriority w:val="22"/>
    <w:qFormat/>
    <w:rsid w:val="00B464CC"/>
    <w:rPr>
      <w:b/>
      <w:bCs/>
    </w:rPr>
  </w:style>
  <w:style w:type="paragraph" w:styleId="NormalWeb">
    <w:name w:val="Normal (Web)"/>
    <w:basedOn w:val="Normal"/>
    <w:uiPriority w:val="99"/>
    <w:unhideWhenUsed/>
    <w:rsid w:val="00B464CC"/>
    <w:pPr>
      <w:spacing w:after="180"/>
    </w:pPr>
    <w:rPr>
      <w:lang w:eastAsia="en-GB"/>
    </w:rPr>
  </w:style>
  <w:style w:type="character" w:customStyle="1" w:styleId="Bulletleft1lastChar">
    <w:name w:val="Bullet left 1 last Char"/>
    <w:link w:val="Bulletleft1last"/>
    <w:rsid w:val="001F01E5"/>
    <w:rPr>
      <w:rFonts w:ascii="Arial" w:hAnsi="Arial" w:cs="Arial"/>
      <w:sz w:val="24"/>
      <w:szCs w:val="24"/>
      <w:lang w:eastAsia="en-US"/>
    </w:rPr>
  </w:style>
  <w:style w:type="paragraph" w:styleId="FootnoteText">
    <w:name w:val="footnote text"/>
    <w:basedOn w:val="Normal"/>
    <w:link w:val="FootnoteTextChar"/>
    <w:rsid w:val="001E1693"/>
    <w:rPr>
      <w:sz w:val="20"/>
      <w:szCs w:val="20"/>
    </w:rPr>
  </w:style>
  <w:style w:type="character" w:customStyle="1" w:styleId="FootnoteTextChar">
    <w:name w:val="Footnote Text Char"/>
    <w:link w:val="FootnoteText"/>
    <w:rsid w:val="001E1693"/>
    <w:rPr>
      <w:lang w:eastAsia="en-US"/>
    </w:rPr>
  </w:style>
  <w:style w:type="character" w:styleId="FootnoteReference">
    <w:name w:val="footnote reference"/>
    <w:rsid w:val="001E1693"/>
    <w:rPr>
      <w:vertAlign w:val="superscript"/>
    </w:rPr>
  </w:style>
  <w:style w:type="paragraph" w:styleId="Revision">
    <w:name w:val="Revision"/>
    <w:hidden/>
    <w:uiPriority w:val="99"/>
    <w:semiHidden/>
    <w:rsid w:val="00B6033C"/>
    <w:rPr>
      <w:sz w:val="24"/>
      <w:szCs w:val="24"/>
      <w:lang w:eastAsia="en-US"/>
    </w:rPr>
  </w:style>
  <w:style w:type="character" w:customStyle="1" w:styleId="Heading3Char">
    <w:name w:val="Heading 3 Char"/>
    <w:link w:val="Heading3"/>
    <w:rsid w:val="00A8011E"/>
    <w:rPr>
      <w:rFonts w:ascii="Arial" w:hAnsi="Arial" w:cs="Arial"/>
      <w:b/>
      <w:bCs/>
      <w:sz w:val="26"/>
      <w:szCs w:val="26"/>
      <w:lang w:eastAsia="en-US"/>
    </w:rPr>
  </w:style>
  <w:style w:type="character" w:styleId="UnresolvedMention">
    <w:name w:val="Unresolved Mention"/>
    <w:uiPriority w:val="99"/>
    <w:semiHidden/>
    <w:unhideWhenUsed/>
    <w:rsid w:val="008701E3"/>
    <w:rPr>
      <w:color w:val="605E5C"/>
      <w:shd w:val="clear" w:color="auto" w:fill="E1DFDD"/>
    </w:rPr>
  </w:style>
  <w:style w:type="paragraph" w:styleId="Caption">
    <w:name w:val="caption"/>
    <w:basedOn w:val="NICEnormal"/>
    <w:next w:val="NICEnormal"/>
    <w:unhideWhenUsed/>
    <w:qFormat/>
    <w:rsid w:val="00E004E2"/>
    <w:pPr>
      <w:keepNext/>
      <w:spacing w:after="200"/>
    </w:pPr>
    <w:rPr>
      <w:b/>
      <w:bCs/>
      <w:iCs/>
      <w:szCs w:val="18"/>
    </w:rPr>
  </w:style>
  <w:style w:type="paragraph" w:customStyle="1" w:styleId="Numberedheading2">
    <w:name w:val="Numbered heading 2"/>
    <w:basedOn w:val="Heading2"/>
    <w:next w:val="NICEnormal"/>
    <w:link w:val="Numberedheading2Char"/>
    <w:rsid w:val="00E004E2"/>
  </w:style>
  <w:style w:type="character" w:customStyle="1" w:styleId="Numberedheading2Char">
    <w:name w:val="Numbered heading 2 Char"/>
    <w:link w:val="Numberedheading2"/>
    <w:rsid w:val="00E004E2"/>
    <w:rPr>
      <w:rFonts w:ascii="Arial" w:hAnsi="Arial" w:cs="Arial"/>
      <w:b/>
      <w:bCs/>
      <w:sz w:val="28"/>
      <w:szCs w:val="28"/>
      <w:lang w:eastAsia="en-US"/>
    </w:rPr>
  </w:style>
  <w:style w:type="table" w:customStyle="1" w:styleId="PanelDefault">
    <w:name w:val="Panel (Default)"/>
    <w:basedOn w:val="TableNormal"/>
    <w:uiPriority w:val="99"/>
    <w:rsid w:val="00E004E2"/>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cPr>
  </w:style>
  <w:style w:type="table" w:customStyle="1" w:styleId="PanelImpact">
    <w:name w:val="Panel (Impact)"/>
    <w:basedOn w:val="TableNormal"/>
    <w:uiPriority w:val="99"/>
    <w:rsid w:val="00E004E2"/>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ED0FF3"/>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E004E2"/>
    <w:pPr>
      <w:numPr>
        <w:numId w:val="10"/>
      </w:numPr>
      <w:tabs>
        <w:tab w:val="num" w:pos="360"/>
        <w:tab w:val="num" w:pos="1134"/>
      </w:tabs>
      <w:contextualSpacing/>
    </w:pPr>
    <w:rPr>
      <w:rFonts w:ascii="Arial" w:hAnsi="Arial"/>
    </w:rPr>
  </w:style>
  <w:style w:type="paragraph" w:styleId="ListParagraph">
    <w:name w:val="List Paragraph"/>
    <w:basedOn w:val="Normal"/>
    <w:uiPriority w:val="34"/>
    <w:qFormat/>
    <w:rsid w:val="00E004E2"/>
    <w:pPr>
      <w:ind w:left="720"/>
    </w:pPr>
  </w:style>
  <w:style w:type="paragraph" w:customStyle="1" w:styleId="Panelhyperlink">
    <w:name w:val="Panel hyperlink"/>
    <w:basedOn w:val="NICEnormal"/>
    <w:next w:val="NICEnormal"/>
    <w:qFormat/>
    <w:rsid w:val="00E004E2"/>
    <w:rPr>
      <w:color w:val="FFFFFF"/>
      <w:u w:val="single"/>
    </w:rPr>
  </w:style>
  <w:style w:type="paragraph" w:styleId="Quote">
    <w:name w:val="Quote"/>
    <w:basedOn w:val="NICEnormal"/>
    <w:next w:val="NICEnormal"/>
    <w:link w:val="QuoteChar"/>
    <w:uiPriority w:val="29"/>
    <w:qFormat/>
    <w:rsid w:val="00E004E2"/>
    <w:pPr>
      <w:spacing w:before="200" w:after="160"/>
      <w:ind w:left="864" w:right="864"/>
      <w:jc w:val="center"/>
    </w:pPr>
    <w:rPr>
      <w:iCs/>
    </w:rPr>
  </w:style>
  <w:style w:type="character" w:customStyle="1" w:styleId="QuoteChar">
    <w:name w:val="Quote Char"/>
    <w:link w:val="Quote"/>
    <w:uiPriority w:val="29"/>
    <w:rsid w:val="00E004E2"/>
    <w:rPr>
      <w:rFonts w:ascii="Arial" w:hAnsi="Arial"/>
      <w:iCs/>
      <w:sz w:val="24"/>
      <w:szCs w:val="24"/>
      <w:lang w:eastAsia="en-US"/>
    </w:rPr>
  </w:style>
  <w:style w:type="paragraph" w:customStyle="1" w:styleId="Tablebullet">
    <w:name w:val="Table bullet"/>
    <w:basedOn w:val="Tabletext"/>
    <w:qFormat/>
    <w:rsid w:val="00E004E2"/>
    <w:pPr>
      <w:numPr>
        <w:numId w:val="11"/>
      </w:numPr>
    </w:pPr>
  </w:style>
  <w:style w:type="paragraph" w:customStyle="1" w:styleId="Tableheading">
    <w:name w:val="Table heading"/>
    <w:basedOn w:val="Tabletext"/>
    <w:qFormat/>
    <w:rsid w:val="00E004E2"/>
    <w:rPr>
      <w:b/>
    </w:rPr>
  </w:style>
  <w:style w:type="character" w:customStyle="1" w:styleId="HeaderChar">
    <w:name w:val="Header Char"/>
    <w:link w:val="Header"/>
    <w:rsid w:val="00E13F92"/>
    <w:rPr>
      <w:rFonts w:ascii="Arial" w:hAnsi="Arial"/>
      <w:sz w:val="24"/>
      <w:szCs w:val="24"/>
      <w:lang w:eastAsia="en-US"/>
    </w:rPr>
  </w:style>
  <w:style w:type="paragraph" w:customStyle="1" w:styleId="numbered-paragraph">
    <w:name w:val="numbered-paragraph"/>
    <w:basedOn w:val="Normal"/>
    <w:rsid w:val="00863669"/>
    <w:pPr>
      <w:spacing w:before="100" w:beforeAutospacing="1" w:after="100" w:afterAutospacing="1"/>
    </w:pPr>
    <w:rPr>
      <w:lang w:eastAsia="en-GB"/>
    </w:rPr>
  </w:style>
  <w:style w:type="character" w:customStyle="1" w:styleId="paragraph-number">
    <w:name w:val="paragraph-number"/>
    <w:basedOn w:val="DefaultParagraphFont"/>
    <w:rsid w:val="00863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80288">
      <w:bodyDiv w:val="1"/>
      <w:marLeft w:val="0"/>
      <w:marRight w:val="0"/>
      <w:marTop w:val="0"/>
      <w:marBottom w:val="0"/>
      <w:divBdr>
        <w:top w:val="none" w:sz="0" w:space="0" w:color="auto"/>
        <w:left w:val="none" w:sz="0" w:space="0" w:color="auto"/>
        <w:bottom w:val="none" w:sz="0" w:space="0" w:color="auto"/>
        <w:right w:val="none" w:sz="0" w:space="0" w:color="auto"/>
      </w:divBdr>
    </w:div>
    <w:div w:id="175269990">
      <w:bodyDiv w:val="1"/>
      <w:marLeft w:val="0"/>
      <w:marRight w:val="0"/>
      <w:marTop w:val="0"/>
      <w:marBottom w:val="0"/>
      <w:divBdr>
        <w:top w:val="none" w:sz="0" w:space="0" w:color="auto"/>
        <w:left w:val="none" w:sz="0" w:space="0" w:color="auto"/>
        <w:bottom w:val="none" w:sz="0" w:space="0" w:color="auto"/>
        <w:right w:val="none" w:sz="0" w:space="0" w:color="auto"/>
      </w:divBdr>
      <w:divsChild>
        <w:div w:id="1426417655">
          <w:marLeft w:val="0"/>
          <w:marRight w:val="0"/>
          <w:marTop w:val="0"/>
          <w:marBottom w:val="0"/>
          <w:divBdr>
            <w:top w:val="none" w:sz="0" w:space="0" w:color="auto"/>
            <w:left w:val="none" w:sz="0" w:space="0" w:color="auto"/>
            <w:bottom w:val="none" w:sz="0" w:space="0" w:color="auto"/>
            <w:right w:val="none" w:sz="0" w:space="0" w:color="auto"/>
          </w:divBdr>
          <w:divsChild>
            <w:div w:id="1076440122">
              <w:marLeft w:val="0"/>
              <w:marRight w:val="0"/>
              <w:marTop w:val="0"/>
              <w:marBottom w:val="0"/>
              <w:divBdr>
                <w:top w:val="none" w:sz="0" w:space="0" w:color="auto"/>
                <w:left w:val="none" w:sz="0" w:space="0" w:color="auto"/>
                <w:bottom w:val="none" w:sz="0" w:space="0" w:color="auto"/>
                <w:right w:val="none" w:sz="0" w:space="0" w:color="auto"/>
              </w:divBdr>
              <w:divsChild>
                <w:div w:id="2120904533">
                  <w:marLeft w:val="0"/>
                  <w:marRight w:val="0"/>
                  <w:marTop w:val="0"/>
                  <w:marBottom w:val="0"/>
                  <w:divBdr>
                    <w:top w:val="none" w:sz="0" w:space="0" w:color="auto"/>
                    <w:left w:val="none" w:sz="0" w:space="0" w:color="auto"/>
                    <w:bottom w:val="none" w:sz="0" w:space="0" w:color="auto"/>
                    <w:right w:val="none" w:sz="0" w:space="0" w:color="auto"/>
                  </w:divBdr>
                  <w:divsChild>
                    <w:div w:id="1078408629">
                      <w:marLeft w:val="0"/>
                      <w:marRight w:val="0"/>
                      <w:marTop w:val="0"/>
                      <w:marBottom w:val="0"/>
                      <w:divBdr>
                        <w:top w:val="none" w:sz="0" w:space="0" w:color="auto"/>
                        <w:left w:val="none" w:sz="0" w:space="0" w:color="auto"/>
                        <w:bottom w:val="none" w:sz="0" w:space="0" w:color="auto"/>
                        <w:right w:val="none" w:sz="0" w:space="0" w:color="auto"/>
                      </w:divBdr>
                      <w:divsChild>
                        <w:div w:id="216204613">
                          <w:marLeft w:val="0"/>
                          <w:marRight w:val="0"/>
                          <w:marTop w:val="0"/>
                          <w:marBottom w:val="0"/>
                          <w:divBdr>
                            <w:top w:val="none" w:sz="0" w:space="0" w:color="auto"/>
                            <w:left w:val="none" w:sz="0" w:space="0" w:color="auto"/>
                            <w:bottom w:val="none" w:sz="0" w:space="0" w:color="auto"/>
                            <w:right w:val="none" w:sz="0" w:space="0" w:color="auto"/>
                          </w:divBdr>
                          <w:divsChild>
                            <w:div w:id="1529488884">
                              <w:marLeft w:val="360"/>
                              <w:marRight w:val="360"/>
                              <w:marTop w:val="0"/>
                              <w:marBottom w:val="0"/>
                              <w:divBdr>
                                <w:top w:val="none" w:sz="0" w:space="0" w:color="auto"/>
                                <w:left w:val="none" w:sz="0" w:space="0" w:color="auto"/>
                                <w:bottom w:val="none" w:sz="0" w:space="0" w:color="auto"/>
                                <w:right w:val="none" w:sz="0" w:space="0" w:color="auto"/>
                              </w:divBdr>
                              <w:divsChild>
                                <w:div w:id="808520690">
                                  <w:marLeft w:val="0"/>
                                  <w:marRight w:val="0"/>
                                  <w:marTop w:val="0"/>
                                  <w:marBottom w:val="0"/>
                                  <w:divBdr>
                                    <w:top w:val="none" w:sz="0" w:space="0" w:color="auto"/>
                                    <w:left w:val="none" w:sz="0" w:space="0" w:color="auto"/>
                                    <w:bottom w:val="none" w:sz="0" w:space="0" w:color="auto"/>
                                    <w:right w:val="none" w:sz="0" w:space="0" w:color="auto"/>
                                  </w:divBdr>
                                  <w:divsChild>
                                    <w:div w:id="1698265258">
                                      <w:marLeft w:val="0"/>
                                      <w:marRight w:val="0"/>
                                      <w:marTop w:val="0"/>
                                      <w:marBottom w:val="300"/>
                                      <w:divBdr>
                                        <w:top w:val="none" w:sz="0" w:space="0" w:color="auto"/>
                                        <w:left w:val="none" w:sz="0" w:space="0" w:color="auto"/>
                                        <w:bottom w:val="none" w:sz="0" w:space="0" w:color="auto"/>
                                        <w:right w:val="none" w:sz="0" w:space="0" w:color="auto"/>
                                      </w:divBdr>
                                      <w:divsChild>
                                        <w:div w:id="632752271">
                                          <w:marLeft w:val="0"/>
                                          <w:marRight w:val="0"/>
                                          <w:marTop w:val="0"/>
                                          <w:marBottom w:val="0"/>
                                          <w:divBdr>
                                            <w:top w:val="none" w:sz="0" w:space="0" w:color="auto"/>
                                            <w:left w:val="none" w:sz="0" w:space="0" w:color="auto"/>
                                            <w:bottom w:val="none" w:sz="0" w:space="0" w:color="auto"/>
                                            <w:right w:val="none" w:sz="0" w:space="0" w:color="auto"/>
                                          </w:divBdr>
                                          <w:divsChild>
                                            <w:div w:id="852763074">
                                              <w:marLeft w:val="0"/>
                                              <w:marRight w:val="0"/>
                                              <w:marTop w:val="0"/>
                                              <w:marBottom w:val="0"/>
                                              <w:divBdr>
                                                <w:top w:val="none" w:sz="0" w:space="0" w:color="auto"/>
                                                <w:left w:val="none" w:sz="0" w:space="0" w:color="auto"/>
                                                <w:bottom w:val="none" w:sz="0" w:space="0" w:color="auto"/>
                                                <w:right w:val="none" w:sz="0" w:space="0" w:color="auto"/>
                                              </w:divBdr>
                                              <w:divsChild>
                                                <w:div w:id="1727608230">
                                                  <w:marLeft w:val="0"/>
                                                  <w:marRight w:val="0"/>
                                                  <w:marTop w:val="0"/>
                                                  <w:marBottom w:val="0"/>
                                                  <w:divBdr>
                                                    <w:top w:val="none" w:sz="0" w:space="0" w:color="auto"/>
                                                    <w:left w:val="none" w:sz="0" w:space="0" w:color="auto"/>
                                                    <w:bottom w:val="none" w:sz="0" w:space="0" w:color="auto"/>
                                                    <w:right w:val="none" w:sz="0" w:space="0" w:color="auto"/>
                                                  </w:divBdr>
                                                  <w:divsChild>
                                                    <w:div w:id="1760252793">
                                                      <w:marLeft w:val="0"/>
                                                      <w:marRight w:val="0"/>
                                                      <w:marTop w:val="0"/>
                                                      <w:marBottom w:val="0"/>
                                                      <w:divBdr>
                                                        <w:top w:val="none" w:sz="0" w:space="0" w:color="auto"/>
                                                        <w:left w:val="none" w:sz="0" w:space="0" w:color="auto"/>
                                                        <w:bottom w:val="none" w:sz="0" w:space="0" w:color="auto"/>
                                                        <w:right w:val="none" w:sz="0" w:space="0" w:color="auto"/>
                                                      </w:divBdr>
                                                      <w:divsChild>
                                                        <w:div w:id="16810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3897258">
      <w:bodyDiv w:val="1"/>
      <w:marLeft w:val="0"/>
      <w:marRight w:val="0"/>
      <w:marTop w:val="0"/>
      <w:marBottom w:val="0"/>
      <w:divBdr>
        <w:top w:val="none" w:sz="0" w:space="0" w:color="auto"/>
        <w:left w:val="none" w:sz="0" w:space="0" w:color="auto"/>
        <w:bottom w:val="none" w:sz="0" w:space="0" w:color="auto"/>
        <w:right w:val="none" w:sz="0" w:space="0" w:color="auto"/>
      </w:divBdr>
    </w:div>
    <w:div w:id="443698219">
      <w:bodyDiv w:val="1"/>
      <w:marLeft w:val="0"/>
      <w:marRight w:val="0"/>
      <w:marTop w:val="0"/>
      <w:marBottom w:val="0"/>
      <w:divBdr>
        <w:top w:val="none" w:sz="0" w:space="0" w:color="auto"/>
        <w:left w:val="none" w:sz="0" w:space="0" w:color="auto"/>
        <w:bottom w:val="none" w:sz="0" w:space="0" w:color="auto"/>
        <w:right w:val="none" w:sz="0" w:space="0" w:color="auto"/>
      </w:divBdr>
    </w:div>
    <w:div w:id="463667949">
      <w:bodyDiv w:val="1"/>
      <w:marLeft w:val="0"/>
      <w:marRight w:val="0"/>
      <w:marTop w:val="0"/>
      <w:marBottom w:val="0"/>
      <w:divBdr>
        <w:top w:val="none" w:sz="0" w:space="0" w:color="auto"/>
        <w:left w:val="none" w:sz="0" w:space="0" w:color="auto"/>
        <w:bottom w:val="none" w:sz="0" w:space="0" w:color="auto"/>
        <w:right w:val="none" w:sz="0" w:space="0" w:color="auto"/>
      </w:divBdr>
    </w:div>
    <w:div w:id="792678886">
      <w:bodyDiv w:val="1"/>
      <w:marLeft w:val="0"/>
      <w:marRight w:val="0"/>
      <w:marTop w:val="0"/>
      <w:marBottom w:val="0"/>
      <w:divBdr>
        <w:top w:val="none" w:sz="0" w:space="0" w:color="auto"/>
        <w:left w:val="none" w:sz="0" w:space="0" w:color="auto"/>
        <w:bottom w:val="none" w:sz="0" w:space="0" w:color="auto"/>
        <w:right w:val="none" w:sz="0" w:space="0" w:color="auto"/>
      </w:divBdr>
    </w:div>
    <w:div w:id="900602340">
      <w:bodyDiv w:val="1"/>
      <w:marLeft w:val="0"/>
      <w:marRight w:val="0"/>
      <w:marTop w:val="0"/>
      <w:marBottom w:val="0"/>
      <w:divBdr>
        <w:top w:val="none" w:sz="0" w:space="0" w:color="auto"/>
        <w:left w:val="none" w:sz="0" w:space="0" w:color="auto"/>
        <w:bottom w:val="none" w:sz="0" w:space="0" w:color="auto"/>
        <w:right w:val="none" w:sz="0" w:space="0" w:color="auto"/>
      </w:divBdr>
    </w:div>
    <w:div w:id="1217665038">
      <w:bodyDiv w:val="1"/>
      <w:marLeft w:val="0"/>
      <w:marRight w:val="0"/>
      <w:marTop w:val="0"/>
      <w:marBottom w:val="0"/>
      <w:divBdr>
        <w:top w:val="none" w:sz="0" w:space="0" w:color="auto"/>
        <w:left w:val="none" w:sz="0" w:space="0" w:color="auto"/>
        <w:bottom w:val="none" w:sz="0" w:space="0" w:color="auto"/>
        <w:right w:val="none" w:sz="0" w:space="0" w:color="auto"/>
      </w:divBdr>
    </w:div>
    <w:div w:id="1266424895">
      <w:bodyDiv w:val="1"/>
      <w:marLeft w:val="0"/>
      <w:marRight w:val="0"/>
      <w:marTop w:val="0"/>
      <w:marBottom w:val="0"/>
      <w:divBdr>
        <w:top w:val="none" w:sz="0" w:space="0" w:color="auto"/>
        <w:left w:val="none" w:sz="0" w:space="0" w:color="auto"/>
        <w:bottom w:val="none" w:sz="0" w:space="0" w:color="auto"/>
        <w:right w:val="none" w:sz="0" w:space="0" w:color="auto"/>
      </w:divBdr>
    </w:div>
    <w:div w:id="1358893988">
      <w:bodyDiv w:val="1"/>
      <w:marLeft w:val="0"/>
      <w:marRight w:val="0"/>
      <w:marTop w:val="0"/>
      <w:marBottom w:val="0"/>
      <w:divBdr>
        <w:top w:val="none" w:sz="0" w:space="0" w:color="auto"/>
        <w:left w:val="none" w:sz="0" w:space="0" w:color="auto"/>
        <w:bottom w:val="none" w:sz="0" w:space="0" w:color="auto"/>
        <w:right w:val="none" w:sz="0" w:space="0" w:color="auto"/>
      </w:divBdr>
      <w:divsChild>
        <w:div w:id="1392197802">
          <w:marLeft w:val="0"/>
          <w:marRight w:val="0"/>
          <w:marTop w:val="0"/>
          <w:marBottom w:val="0"/>
          <w:divBdr>
            <w:top w:val="none" w:sz="0" w:space="0" w:color="auto"/>
            <w:left w:val="none" w:sz="0" w:space="0" w:color="auto"/>
            <w:bottom w:val="none" w:sz="0" w:space="0" w:color="auto"/>
            <w:right w:val="none" w:sz="0" w:space="0" w:color="auto"/>
          </w:divBdr>
          <w:divsChild>
            <w:div w:id="568923039">
              <w:marLeft w:val="0"/>
              <w:marRight w:val="0"/>
              <w:marTop w:val="0"/>
              <w:marBottom w:val="0"/>
              <w:divBdr>
                <w:top w:val="none" w:sz="0" w:space="0" w:color="auto"/>
                <w:left w:val="none" w:sz="0" w:space="0" w:color="auto"/>
                <w:bottom w:val="none" w:sz="0" w:space="0" w:color="auto"/>
                <w:right w:val="none" w:sz="0" w:space="0" w:color="auto"/>
              </w:divBdr>
              <w:divsChild>
                <w:div w:id="1811944907">
                  <w:marLeft w:val="0"/>
                  <w:marRight w:val="0"/>
                  <w:marTop w:val="0"/>
                  <w:marBottom w:val="0"/>
                  <w:divBdr>
                    <w:top w:val="none" w:sz="0" w:space="0" w:color="auto"/>
                    <w:left w:val="none" w:sz="0" w:space="0" w:color="auto"/>
                    <w:bottom w:val="none" w:sz="0" w:space="0" w:color="auto"/>
                    <w:right w:val="none" w:sz="0" w:space="0" w:color="auto"/>
                  </w:divBdr>
                  <w:divsChild>
                    <w:div w:id="610363682">
                      <w:marLeft w:val="0"/>
                      <w:marRight w:val="0"/>
                      <w:marTop w:val="0"/>
                      <w:marBottom w:val="0"/>
                      <w:divBdr>
                        <w:top w:val="none" w:sz="0" w:space="0" w:color="auto"/>
                        <w:left w:val="none" w:sz="0" w:space="0" w:color="auto"/>
                        <w:bottom w:val="none" w:sz="0" w:space="0" w:color="auto"/>
                        <w:right w:val="none" w:sz="0" w:space="0" w:color="auto"/>
                      </w:divBdr>
                      <w:divsChild>
                        <w:div w:id="973408381">
                          <w:marLeft w:val="0"/>
                          <w:marRight w:val="0"/>
                          <w:marTop w:val="0"/>
                          <w:marBottom w:val="0"/>
                          <w:divBdr>
                            <w:top w:val="none" w:sz="0" w:space="0" w:color="auto"/>
                            <w:left w:val="none" w:sz="0" w:space="0" w:color="auto"/>
                            <w:bottom w:val="none" w:sz="0" w:space="0" w:color="auto"/>
                            <w:right w:val="none" w:sz="0" w:space="0" w:color="auto"/>
                          </w:divBdr>
                          <w:divsChild>
                            <w:div w:id="1253664073">
                              <w:marLeft w:val="360"/>
                              <w:marRight w:val="360"/>
                              <w:marTop w:val="0"/>
                              <w:marBottom w:val="0"/>
                              <w:divBdr>
                                <w:top w:val="none" w:sz="0" w:space="0" w:color="auto"/>
                                <w:left w:val="none" w:sz="0" w:space="0" w:color="auto"/>
                                <w:bottom w:val="none" w:sz="0" w:space="0" w:color="auto"/>
                                <w:right w:val="none" w:sz="0" w:space="0" w:color="auto"/>
                              </w:divBdr>
                              <w:divsChild>
                                <w:div w:id="1101023102">
                                  <w:marLeft w:val="0"/>
                                  <w:marRight w:val="0"/>
                                  <w:marTop w:val="0"/>
                                  <w:marBottom w:val="0"/>
                                  <w:divBdr>
                                    <w:top w:val="none" w:sz="0" w:space="0" w:color="auto"/>
                                    <w:left w:val="none" w:sz="0" w:space="0" w:color="auto"/>
                                    <w:bottom w:val="none" w:sz="0" w:space="0" w:color="auto"/>
                                    <w:right w:val="none" w:sz="0" w:space="0" w:color="auto"/>
                                  </w:divBdr>
                                  <w:divsChild>
                                    <w:div w:id="746457374">
                                      <w:marLeft w:val="0"/>
                                      <w:marRight w:val="0"/>
                                      <w:marTop w:val="0"/>
                                      <w:marBottom w:val="300"/>
                                      <w:divBdr>
                                        <w:top w:val="none" w:sz="0" w:space="0" w:color="auto"/>
                                        <w:left w:val="none" w:sz="0" w:space="0" w:color="auto"/>
                                        <w:bottom w:val="none" w:sz="0" w:space="0" w:color="auto"/>
                                        <w:right w:val="none" w:sz="0" w:space="0" w:color="auto"/>
                                      </w:divBdr>
                                      <w:divsChild>
                                        <w:div w:id="2063433481">
                                          <w:marLeft w:val="0"/>
                                          <w:marRight w:val="0"/>
                                          <w:marTop w:val="0"/>
                                          <w:marBottom w:val="0"/>
                                          <w:divBdr>
                                            <w:top w:val="none" w:sz="0" w:space="0" w:color="auto"/>
                                            <w:left w:val="none" w:sz="0" w:space="0" w:color="auto"/>
                                            <w:bottom w:val="none" w:sz="0" w:space="0" w:color="auto"/>
                                            <w:right w:val="none" w:sz="0" w:space="0" w:color="auto"/>
                                          </w:divBdr>
                                          <w:divsChild>
                                            <w:div w:id="657465022">
                                              <w:marLeft w:val="0"/>
                                              <w:marRight w:val="0"/>
                                              <w:marTop w:val="0"/>
                                              <w:marBottom w:val="0"/>
                                              <w:divBdr>
                                                <w:top w:val="none" w:sz="0" w:space="0" w:color="auto"/>
                                                <w:left w:val="none" w:sz="0" w:space="0" w:color="auto"/>
                                                <w:bottom w:val="none" w:sz="0" w:space="0" w:color="auto"/>
                                                <w:right w:val="none" w:sz="0" w:space="0" w:color="auto"/>
                                              </w:divBdr>
                                              <w:divsChild>
                                                <w:div w:id="1257859858">
                                                  <w:marLeft w:val="0"/>
                                                  <w:marRight w:val="0"/>
                                                  <w:marTop w:val="0"/>
                                                  <w:marBottom w:val="0"/>
                                                  <w:divBdr>
                                                    <w:top w:val="none" w:sz="0" w:space="0" w:color="auto"/>
                                                    <w:left w:val="none" w:sz="0" w:space="0" w:color="auto"/>
                                                    <w:bottom w:val="none" w:sz="0" w:space="0" w:color="auto"/>
                                                    <w:right w:val="none" w:sz="0" w:space="0" w:color="auto"/>
                                                  </w:divBdr>
                                                  <w:divsChild>
                                                    <w:div w:id="648706612">
                                                      <w:marLeft w:val="0"/>
                                                      <w:marRight w:val="0"/>
                                                      <w:marTop w:val="0"/>
                                                      <w:marBottom w:val="0"/>
                                                      <w:divBdr>
                                                        <w:top w:val="none" w:sz="0" w:space="0" w:color="auto"/>
                                                        <w:left w:val="none" w:sz="0" w:space="0" w:color="auto"/>
                                                        <w:bottom w:val="none" w:sz="0" w:space="0" w:color="auto"/>
                                                        <w:right w:val="none" w:sz="0" w:space="0" w:color="auto"/>
                                                      </w:divBdr>
                                                      <w:divsChild>
                                                        <w:div w:id="1470853632">
                                                          <w:marLeft w:val="0"/>
                                                          <w:marRight w:val="0"/>
                                                          <w:marTop w:val="0"/>
                                                          <w:marBottom w:val="0"/>
                                                          <w:divBdr>
                                                            <w:top w:val="none" w:sz="0" w:space="0" w:color="auto"/>
                                                            <w:left w:val="none" w:sz="0" w:space="0" w:color="auto"/>
                                                            <w:bottom w:val="none" w:sz="0" w:space="0" w:color="auto"/>
                                                            <w:right w:val="none" w:sz="0" w:space="0" w:color="auto"/>
                                                          </w:divBdr>
                                                        </w:div>
                                                        <w:div w:id="16232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7648327">
      <w:bodyDiv w:val="1"/>
      <w:marLeft w:val="0"/>
      <w:marRight w:val="0"/>
      <w:marTop w:val="0"/>
      <w:marBottom w:val="0"/>
      <w:divBdr>
        <w:top w:val="none" w:sz="0" w:space="0" w:color="auto"/>
        <w:left w:val="none" w:sz="0" w:space="0" w:color="auto"/>
        <w:bottom w:val="none" w:sz="0" w:space="0" w:color="auto"/>
        <w:right w:val="none" w:sz="0" w:space="0" w:color="auto"/>
      </w:divBdr>
      <w:divsChild>
        <w:div w:id="47270142">
          <w:marLeft w:val="547"/>
          <w:marRight w:val="0"/>
          <w:marTop w:val="0"/>
          <w:marBottom w:val="120"/>
          <w:divBdr>
            <w:top w:val="none" w:sz="0" w:space="0" w:color="auto"/>
            <w:left w:val="none" w:sz="0" w:space="0" w:color="auto"/>
            <w:bottom w:val="none" w:sz="0" w:space="0" w:color="auto"/>
            <w:right w:val="none" w:sz="0" w:space="0" w:color="auto"/>
          </w:divBdr>
        </w:div>
      </w:divsChild>
    </w:div>
    <w:div w:id="1527909748">
      <w:bodyDiv w:val="1"/>
      <w:marLeft w:val="0"/>
      <w:marRight w:val="0"/>
      <w:marTop w:val="0"/>
      <w:marBottom w:val="0"/>
      <w:divBdr>
        <w:top w:val="none" w:sz="0" w:space="0" w:color="auto"/>
        <w:left w:val="none" w:sz="0" w:space="0" w:color="auto"/>
        <w:bottom w:val="none" w:sz="0" w:space="0" w:color="auto"/>
        <w:right w:val="none" w:sz="0" w:space="0" w:color="auto"/>
      </w:divBdr>
    </w:div>
    <w:div w:id="1591084074">
      <w:bodyDiv w:val="1"/>
      <w:marLeft w:val="0"/>
      <w:marRight w:val="0"/>
      <w:marTop w:val="0"/>
      <w:marBottom w:val="0"/>
      <w:divBdr>
        <w:top w:val="none" w:sz="0" w:space="0" w:color="auto"/>
        <w:left w:val="none" w:sz="0" w:space="0" w:color="auto"/>
        <w:bottom w:val="none" w:sz="0" w:space="0" w:color="auto"/>
        <w:right w:val="none" w:sz="0" w:space="0" w:color="auto"/>
      </w:divBdr>
    </w:div>
    <w:div w:id="1726100668">
      <w:bodyDiv w:val="1"/>
      <w:marLeft w:val="0"/>
      <w:marRight w:val="0"/>
      <w:marTop w:val="0"/>
      <w:marBottom w:val="0"/>
      <w:divBdr>
        <w:top w:val="none" w:sz="0" w:space="0" w:color="auto"/>
        <w:left w:val="none" w:sz="0" w:space="0" w:color="auto"/>
        <w:bottom w:val="none" w:sz="0" w:space="0" w:color="auto"/>
        <w:right w:val="none" w:sz="0" w:space="0" w:color="auto"/>
      </w:divBdr>
    </w:div>
    <w:div w:id="1819305582">
      <w:bodyDiv w:val="1"/>
      <w:marLeft w:val="0"/>
      <w:marRight w:val="0"/>
      <w:marTop w:val="0"/>
      <w:marBottom w:val="0"/>
      <w:divBdr>
        <w:top w:val="none" w:sz="0" w:space="0" w:color="auto"/>
        <w:left w:val="none" w:sz="0" w:space="0" w:color="auto"/>
        <w:bottom w:val="none" w:sz="0" w:space="0" w:color="auto"/>
        <w:right w:val="none" w:sz="0" w:space="0" w:color="auto"/>
      </w:divBdr>
    </w:div>
    <w:div w:id="1822429979">
      <w:bodyDiv w:val="1"/>
      <w:marLeft w:val="0"/>
      <w:marRight w:val="0"/>
      <w:marTop w:val="0"/>
      <w:marBottom w:val="0"/>
      <w:divBdr>
        <w:top w:val="none" w:sz="0" w:space="0" w:color="auto"/>
        <w:left w:val="none" w:sz="0" w:space="0" w:color="auto"/>
        <w:bottom w:val="none" w:sz="0" w:space="0" w:color="auto"/>
        <w:right w:val="none" w:sz="0" w:space="0" w:color="auto"/>
      </w:divBdr>
    </w:div>
    <w:div w:id="1878008704">
      <w:bodyDiv w:val="1"/>
      <w:marLeft w:val="0"/>
      <w:marRight w:val="0"/>
      <w:marTop w:val="0"/>
      <w:marBottom w:val="0"/>
      <w:divBdr>
        <w:top w:val="none" w:sz="0" w:space="0" w:color="auto"/>
        <w:left w:val="none" w:sz="0" w:space="0" w:color="auto"/>
        <w:bottom w:val="none" w:sz="0" w:space="0" w:color="auto"/>
        <w:right w:val="none" w:sz="0" w:space="0" w:color="auto"/>
      </w:divBdr>
    </w:div>
    <w:div w:id="1917668346">
      <w:bodyDiv w:val="1"/>
      <w:marLeft w:val="0"/>
      <w:marRight w:val="0"/>
      <w:marTop w:val="0"/>
      <w:marBottom w:val="0"/>
      <w:divBdr>
        <w:top w:val="none" w:sz="0" w:space="0" w:color="auto"/>
        <w:left w:val="none" w:sz="0" w:space="0" w:color="auto"/>
        <w:bottom w:val="none" w:sz="0" w:space="0" w:color="auto"/>
        <w:right w:val="none" w:sz="0" w:space="0" w:color="auto"/>
      </w:divBdr>
    </w:div>
    <w:div w:id="213374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edicines.org.uk/emc/product/7265/smpc" TargetMode="External"/><Relationship Id="rId18" Type="http://schemas.openxmlformats.org/officeDocument/2006/relationships/hyperlink" Target="https://www.nice.org.uk/guidance/TA676" TargetMode="External"/><Relationship Id="rId26" Type="http://schemas.openxmlformats.org/officeDocument/2006/relationships/hyperlink" Target="https://www.nice.org.uk/guidance/ta375" TargetMode="External"/><Relationship Id="rId39" Type="http://schemas.openxmlformats.org/officeDocument/2006/relationships/hyperlink" Target="https://www.nice.org.uk/get-involved/meetings-in-public/technology-appraisal-committee" TargetMode="External"/><Relationship Id="rId21" Type="http://schemas.openxmlformats.org/officeDocument/2006/relationships/hyperlink" Target="https://www.nice.org.uk/guidance/ta375" TargetMode="External"/><Relationship Id="rId34" Type="http://schemas.openxmlformats.org/officeDocument/2006/relationships/hyperlink" Target="https://www.nice.org.uk/guidance/ta676"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ce.org.uk/guidance/ta375" TargetMode="External"/><Relationship Id="rId20" Type="http://schemas.openxmlformats.org/officeDocument/2006/relationships/hyperlink" Target="https://www.nice.org.uk/guidance/ta375" TargetMode="External"/><Relationship Id="rId29" Type="http://schemas.openxmlformats.org/officeDocument/2006/relationships/hyperlink" Target="https://www.nice.org.uk/guidance/ta375"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icines.org.uk/emc/medicine/31860" TargetMode="External"/><Relationship Id="rId24" Type="http://schemas.openxmlformats.org/officeDocument/2006/relationships/hyperlink" Target="https://www.nice.org.uk/guidance/ta375/chapter/1-Recommendations" TargetMode="External"/><Relationship Id="rId32" Type="http://schemas.openxmlformats.org/officeDocument/2006/relationships/hyperlink" Target="https://www.nice.org.uk/guidance/ta375" TargetMode="External"/><Relationship Id="rId37" Type="http://schemas.openxmlformats.org/officeDocument/2006/relationships/hyperlink" Target="http://www.legislation.gov.uk/uksi/2013/259/contents/made"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ice.org.uk/guidance/indevelopment/gid-ta10586/documents" TargetMode="External"/><Relationship Id="rId23" Type="http://schemas.openxmlformats.org/officeDocument/2006/relationships/hyperlink" Target="https://www.nice.org.uk/guidance/ta375" TargetMode="External"/><Relationship Id="rId28" Type="http://schemas.openxmlformats.org/officeDocument/2006/relationships/hyperlink" Target="https://www.nice.org.uk/guidance/ta375" TargetMode="External"/><Relationship Id="rId36" Type="http://schemas.openxmlformats.org/officeDocument/2006/relationships/hyperlink" Target="https://www.nice.org.uk/guidance/ta375" TargetMode="External"/><Relationship Id="rId10" Type="http://schemas.openxmlformats.org/officeDocument/2006/relationships/hyperlink" Target="https://www.nice.org.uk/guidance/ta375" TargetMode="External"/><Relationship Id="rId19" Type="http://schemas.openxmlformats.org/officeDocument/2006/relationships/hyperlink" Target="https://www.nice.org.uk/guidance/ta375" TargetMode="External"/><Relationship Id="rId31" Type="http://schemas.openxmlformats.org/officeDocument/2006/relationships/hyperlink" Target="https://www.nice.org.uk/guidance/ta676" TargetMode="External"/><Relationship Id="rId4" Type="http://schemas.openxmlformats.org/officeDocument/2006/relationships/settings" Target="settings.xml"/><Relationship Id="rId9" Type="http://schemas.openxmlformats.org/officeDocument/2006/relationships/hyperlink" Target="https://www.nice.org.uk/guidance/ta375" TargetMode="External"/><Relationship Id="rId14" Type="http://schemas.openxmlformats.org/officeDocument/2006/relationships/hyperlink" Target="https://www.medicines.org.uk/emc/product/2877/smpc" TargetMode="External"/><Relationship Id="rId22" Type="http://schemas.openxmlformats.org/officeDocument/2006/relationships/hyperlink" Target="https://www.nice.org.uk/guidance/ta375" TargetMode="External"/><Relationship Id="rId27" Type="http://schemas.openxmlformats.org/officeDocument/2006/relationships/hyperlink" Target="https://www.nice.org.uk/guidance/ta676" TargetMode="External"/><Relationship Id="rId30" Type="http://schemas.openxmlformats.org/officeDocument/2006/relationships/hyperlink" Target="https://www.nice.org.uk/process/pmg9/chapter/the-appraisal-of-the-evidence-and-structured-decision-making" TargetMode="External"/><Relationship Id="rId35" Type="http://schemas.openxmlformats.org/officeDocument/2006/relationships/hyperlink" Target="https://www.nice.org.uk/guidance/indevelopment/gid-ta10759" TargetMode="External"/><Relationship Id="rId43" Type="http://schemas.openxmlformats.org/officeDocument/2006/relationships/theme" Target="theme/theme1.xml"/><Relationship Id="rId8" Type="http://schemas.openxmlformats.org/officeDocument/2006/relationships/hyperlink" Target="https://www.nice.org.uk/guidance/ta375" TargetMode="External"/><Relationship Id="rId3" Type="http://schemas.openxmlformats.org/officeDocument/2006/relationships/styles" Target="styles.xml"/><Relationship Id="rId12" Type="http://schemas.openxmlformats.org/officeDocument/2006/relationships/hyperlink" Target="https://www.medicines.org.uk/emc/medicine/3343/SPC/Enbrel+25+mg+powder+and+solvent+for+solution+for+injection/" TargetMode="External"/><Relationship Id="rId17" Type="http://schemas.openxmlformats.org/officeDocument/2006/relationships/hyperlink" Target="https://www.nice.org.uk/guidance/ta375/evidence" TargetMode="External"/><Relationship Id="rId25" Type="http://schemas.openxmlformats.org/officeDocument/2006/relationships/hyperlink" Target="https://www.nice.org.uk/guidance/ta375" TargetMode="External"/><Relationship Id="rId33" Type="http://schemas.openxmlformats.org/officeDocument/2006/relationships/hyperlink" Target="https://www.nice.org.uk/guidance/ta665" TargetMode="External"/><Relationship Id="rId38" Type="http://schemas.openxmlformats.org/officeDocument/2006/relationships/hyperlink" Target="https://www.nice.org.uk/Get-Involved/Meetings-in-public/Technology-appraisal-Committee/Committee-C-Member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0B2D6-BA10-4DAB-95FE-0D595B944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4615</Words>
  <Characters>29655</Characters>
  <Application>Microsoft Office Word</Application>
  <DocSecurity>0</DocSecurity>
  <Lines>247</Lines>
  <Paragraphs>68</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34202</CharactersWithSpaces>
  <SharedDoc>false</SharedDoc>
  <HLinks>
    <vt:vector size="132" baseType="variant">
      <vt:variant>
        <vt:i4>3211303</vt:i4>
      </vt:variant>
      <vt:variant>
        <vt:i4>486</vt:i4>
      </vt:variant>
      <vt:variant>
        <vt:i4>0</vt:i4>
      </vt:variant>
      <vt:variant>
        <vt:i4>5</vt:i4>
      </vt:variant>
      <vt:variant>
        <vt:lpwstr>https://www.nice.org.uk/get-involved/meetings-in-public/technology-appraisal-committee</vt:lpwstr>
      </vt:variant>
      <vt:variant>
        <vt:lpwstr/>
      </vt:variant>
      <vt:variant>
        <vt:i4>3211303</vt:i4>
      </vt:variant>
      <vt:variant>
        <vt:i4>483</vt:i4>
      </vt:variant>
      <vt:variant>
        <vt:i4>0</vt:i4>
      </vt:variant>
      <vt:variant>
        <vt:i4>5</vt:i4>
      </vt:variant>
      <vt:variant>
        <vt:lpwstr>https://www.nice.org.uk/get-involved/meetings-in-public/technology-appraisal-committee</vt:lpwstr>
      </vt:variant>
      <vt:variant>
        <vt:lpwstr/>
      </vt:variant>
      <vt:variant>
        <vt:i4>2687086</vt:i4>
      </vt:variant>
      <vt:variant>
        <vt:i4>480</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471</vt:i4>
      </vt:variant>
      <vt:variant>
        <vt:i4>0</vt:i4>
      </vt:variant>
      <vt:variant>
        <vt:i4>5</vt:i4>
      </vt:variant>
      <vt:variant>
        <vt:lpwstr>https://www.nice.org.uk/about/what-we-do/our-programmes/nice-guidance/nice-technology-appraisal-guidance/cancer-drugs-fund</vt:lpwstr>
      </vt:variant>
      <vt:variant>
        <vt:lpwstr/>
      </vt:variant>
      <vt:variant>
        <vt:i4>65542</vt:i4>
      </vt:variant>
      <vt:variant>
        <vt:i4>447</vt:i4>
      </vt:variant>
      <vt:variant>
        <vt:i4>0</vt:i4>
      </vt:variant>
      <vt:variant>
        <vt:i4>5</vt:i4>
      </vt:variant>
      <vt:variant>
        <vt:lpwstr>https://www.england.nhs.uk/cancer/cdf/cancer-drugs-fund-list/</vt:lpwstr>
      </vt:variant>
      <vt:variant>
        <vt:lpwstr/>
      </vt:variant>
      <vt:variant>
        <vt:i4>2818165</vt:i4>
      </vt:variant>
      <vt:variant>
        <vt:i4>444</vt:i4>
      </vt:variant>
      <vt:variant>
        <vt:i4>0</vt:i4>
      </vt:variant>
      <vt:variant>
        <vt:i4>5</vt:i4>
      </vt:variant>
      <vt:variant>
        <vt:lpwstr>https://www.england.nhs.uk/cancer/cdf/</vt:lpwstr>
      </vt:variant>
      <vt:variant>
        <vt:lpwstr/>
      </vt:variant>
      <vt:variant>
        <vt:i4>2818165</vt:i4>
      </vt:variant>
      <vt:variant>
        <vt:i4>441</vt:i4>
      </vt:variant>
      <vt:variant>
        <vt:i4>0</vt:i4>
      </vt:variant>
      <vt:variant>
        <vt:i4>5</vt:i4>
      </vt:variant>
      <vt:variant>
        <vt:lpwstr>https://www.england.nhs.uk/cancer/cdf/</vt:lpwstr>
      </vt:variant>
      <vt:variant>
        <vt:lpwstr/>
      </vt:variant>
      <vt:variant>
        <vt:i4>65542</vt:i4>
      </vt:variant>
      <vt:variant>
        <vt:i4>426</vt:i4>
      </vt:variant>
      <vt:variant>
        <vt:i4>0</vt:i4>
      </vt:variant>
      <vt:variant>
        <vt:i4>5</vt:i4>
      </vt:variant>
      <vt:variant>
        <vt:lpwstr>https://www.england.nhs.uk/cancer/cdf/cancer-drugs-fund-list/</vt:lpwstr>
      </vt:variant>
      <vt:variant>
        <vt:lpwstr/>
      </vt:variant>
      <vt:variant>
        <vt:i4>2818165</vt:i4>
      </vt:variant>
      <vt:variant>
        <vt:i4>423</vt:i4>
      </vt:variant>
      <vt:variant>
        <vt:i4>0</vt:i4>
      </vt:variant>
      <vt:variant>
        <vt:i4>5</vt:i4>
      </vt:variant>
      <vt:variant>
        <vt:lpwstr>https://www.england.nhs.uk/cancer/cdf/</vt:lpwstr>
      </vt:variant>
      <vt:variant>
        <vt:lpwstr/>
      </vt:variant>
      <vt:variant>
        <vt:i4>4522076</vt:i4>
      </vt:variant>
      <vt:variant>
        <vt:i4>414</vt:i4>
      </vt:variant>
      <vt:variant>
        <vt:i4>0</vt:i4>
      </vt:variant>
      <vt:variant>
        <vt:i4>5</vt:i4>
      </vt:variant>
      <vt:variant>
        <vt:lpwstr>http://www.legislation.gov.uk/uksi/2013/259/contents/made</vt:lpwstr>
      </vt:variant>
      <vt:variant>
        <vt:lpwstr/>
      </vt:variant>
      <vt:variant>
        <vt:i4>852042</vt:i4>
      </vt:variant>
      <vt:variant>
        <vt:i4>411</vt:i4>
      </vt:variant>
      <vt:variant>
        <vt:i4>0</vt:i4>
      </vt:variant>
      <vt:variant>
        <vt:i4>5</vt:i4>
      </vt:variant>
      <vt:variant>
        <vt:lpwstr>https://www.gov.uk/government/publications/early-access-to-medicines-scheme-eams-how-the-scheme-works</vt:lpwstr>
      </vt:variant>
      <vt:variant>
        <vt:lpwstr/>
      </vt:variant>
      <vt:variant>
        <vt:i4>1572937</vt:i4>
      </vt:variant>
      <vt:variant>
        <vt:i4>405</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399</vt:i4>
      </vt:variant>
      <vt:variant>
        <vt:i4>0</vt:i4>
      </vt:variant>
      <vt:variant>
        <vt:i4>5</vt:i4>
      </vt:variant>
      <vt:variant>
        <vt:lpwstr>http://www.legislation.gov.uk/uksi/2013/259/contents/made</vt:lpwstr>
      </vt:variant>
      <vt:variant>
        <vt:lpwstr/>
      </vt:variant>
      <vt:variant>
        <vt:i4>8192049</vt:i4>
      </vt:variant>
      <vt:variant>
        <vt:i4>360</vt:i4>
      </vt:variant>
      <vt:variant>
        <vt:i4>0</vt:i4>
      </vt:variant>
      <vt:variant>
        <vt:i4>5</vt:i4>
      </vt:variant>
      <vt:variant>
        <vt:lpwstr>https://www.nice.org.uk/about/what-we-do/our-programmes/nice-guidance/nice-technology-appraisal-guidance/cancer-drugs-fund</vt:lpwstr>
      </vt:variant>
      <vt:variant>
        <vt:lpwstr/>
      </vt:variant>
      <vt:variant>
        <vt:i4>8192049</vt:i4>
      </vt:variant>
      <vt:variant>
        <vt:i4>357</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342</vt:i4>
      </vt:variant>
      <vt:variant>
        <vt:i4>0</vt:i4>
      </vt:variant>
      <vt:variant>
        <vt:i4>5</vt:i4>
      </vt:variant>
      <vt:variant>
        <vt:lpwstr>https://www.nice.org.uk/process/pmg9/chapter/the-appraisal-of-the-evidence-and-structured-decision-making</vt:lpwstr>
      </vt:variant>
      <vt:variant>
        <vt:lpwstr/>
      </vt:variant>
      <vt:variant>
        <vt:i4>5373979</vt:i4>
      </vt:variant>
      <vt:variant>
        <vt:i4>315</vt:i4>
      </vt:variant>
      <vt:variant>
        <vt:i4>0</vt:i4>
      </vt:variant>
      <vt:variant>
        <vt:i4>5</vt:i4>
      </vt:variant>
      <vt:variant>
        <vt:lpwstr>https://www.nice.org.uk/process/pmg9/chapter/the-appraisal-of-the-evidence-and-structured-decision-making</vt:lpwstr>
      </vt:variant>
      <vt:variant>
        <vt:lpwstr/>
      </vt:variant>
      <vt:variant>
        <vt:i4>5701707</vt:i4>
      </vt:variant>
      <vt:variant>
        <vt:i4>171</vt:i4>
      </vt:variant>
      <vt:variant>
        <vt:i4>0</vt:i4>
      </vt:variant>
      <vt:variant>
        <vt:i4>5</vt:i4>
      </vt:variant>
      <vt:variant>
        <vt:lpwstr>http://www.nice.org.uk/Guidance/GID-xxxxxx/Documents</vt:lpwstr>
      </vt:variant>
      <vt:variant>
        <vt:lpwstr/>
      </vt:variant>
      <vt:variant>
        <vt:i4>2162708</vt:i4>
      </vt:variant>
      <vt:variant>
        <vt:i4>120</vt:i4>
      </vt:variant>
      <vt:variant>
        <vt:i4>0</vt:i4>
      </vt:variant>
      <vt:variant>
        <vt:i4>5</vt:i4>
      </vt:variant>
      <vt:variant>
        <vt:lpwstr>\\nice.nhs.uk\Data\Global\NICE\NICE Templates\Tech App</vt:lpwstr>
      </vt:variant>
      <vt:variant>
        <vt:lpwstr/>
      </vt:variant>
      <vt:variant>
        <vt:i4>1507346</vt:i4>
      </vt:variant>
      <vt:variant>
        <vt:i4>18</vt:i4>
      </vt:variant>
      <vt:variant>
        <vt:i4>0</vt:i4>
      </vt:variant>
      <vt:variant>
        <vt:i4>5</vt:i4>
      </vt:variant>
      <vt:variant>
        <vt:lpwstr>http://www.nice.org.uk/article/pmg19/chapter/Foreword</vt:lpwstr>
      </vt:variant>
      <vt:variant>
        <vt:lpwstr/>
      </vt:variant>
      <vt:variant>
        <vt:i4>6488110</vt:i4>
      </vt:variant>
      <vt:variant>
        <vt:i4>9</vt:i4>
      </vt:variant>
      <vt:variant>
        <vt:i4>0</vt:i4>
      </vt:variant>
      <vt:variant>
        <vt:i4>5</vt:i4>
      </vt:variant>
      <vt:variant>
        <vt:lpwstr>http://www.nice.org.uk/guidance/indevelopment/gid-tagXXX/documents</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Anita Sangha</dc:creator>
  <cp:keywords/>
  <dc:description/>
  <cp:lastModifiedBy>Louise Jafferally</cp:lastModifiedBy>
  <cp:revision>3</cp:revision>
  <cp:lastPrinted>2021-03-24T14:52:00Z</cp:lastPrinted>
  <dcterms:created xsi:type="dcterms:W3CDTF">2021-03-24T14:53:00Z</dcterms:created>
  <dcterms:modified xsi:type="dcterms:W3CDTF">2021-03-24T14:53:00Z</dcterms:modified>
</cp:coreProperties>
</file>