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E7428" w14:textId="77777777" w:rsidR="000F48EC" w:rsidRPr="009E3813" w:rsidRDefault="000F48EC" w:rsidP="0093671F">
      <w:pPr>
        <w:pStyle w:val="Title2"/>
      </w:pPr>
      <w:r w:rsidRPr="009E3813">
        <w:t>NATIONAL INSTITUTE FOR HEALTH AND C</w:t>
      </w:r>
      <w:r w:rsidR="00CC63EB" w:rsidRPr="009E3813">
        <w:t>ARE</w:t>
      </w:r>
      <w:r w:rsidRPr="009E3813">
        <w:t xml:space="preserve"> EXCELLENCE</w:t>
      </w:r>
    </w:p>
    <w:p w14:paraId="548AF82C" w14:textId="016A8228" w:rsidR="000F48EC" w:rsidRPr="009E3813" w:rsidRDefault="007A2801" w:rsidP="000069F9">
      <w:pPr>
        <w:pStyle w:val="Title2"/>
      </w:pPr>
      <w:r w:rsidRPr="009E3813">
        <w:t>Appraisal consultation document</w:t>
      </w:r>
    </w:p>
    <w:p w14:paraId="0EDBF82C" w14:textId="3E79865D" w:rsidR="005C54DC" w:rsidRPr="009E3813" w:rsidRDefault="005C54DC" w:rsidP="002A7318">
      <w:pPr>
        <w:pStyle w:val="Title1"/>
      </w:pPr>
      <w:bookmarkStart w:id="0" w:name="_Hlk65692928"/>
      <w:r w:rsidRPr="009E3813">
        <w:t>Ixekizumab for treating axial spondyloarthritis</w:t>
      </w:r>
    </w:p>
    <w:bookmarkEnd w:id="0"/>
    <w:p w14:paraId="59C0AC96" w14:textId="7A19C8AB" w:rsidR="004921C3" w:rsidRPr="009E3813" w:rsidRDefault="004921C3" w:rsidP="004921C3">
      <w:pPr>
        <w:pStyle w:val="NICEnormal"/>
      </w:pPr>
    </w:p>
    <w:p w14:paraId="4FA9D62D" w14:textId="77777777" w:rsidR="004921C3" w:rsidRPr="009E3813" w:rsidRDefault="004921C3" w:rsidP="004921C3">
      <w:pPr>
        <w:pStyle w:val="NICEnormal"/>
      </w:pPr>
      <w:r w:rsidRPr="009E3813">
        <w:br w:type="page"/>
      </w:r>
    </w:p>
    <w:p w14:paraId="42902514" w14:textId="77777777" w:rsidR="000F48EC" w:rsidRPr="009E3813" w:rsidRDefault="00B379C5" w:rsidP="00F130AD">
      <w:pPr>
        <w:pStyle w:val="Numberedheading1"/>
      </w:pPr>
      <w:r w:rsidRPr="009E3813">
        <w:lastRenderedPageBreak/>
        <w:t>Recommendations</w:t>
      </w:r>
    </w:p>
    <w:p w14:paraId="4D1FF709" w14:textId="2BD0753F" w:rsidR="001F5E0F" w:rsidRPr="009E3813" w:rsidRDefault="00060876" w:rsidP="001F5E0F">
      <w:pPr>
        <w:pStyle w:val="Numberedlevel2text"/>
        <w:rPr>
          <w:lang w:val="en-GB"/>
        </w:rPr>
      </w:pPr>
      <w:r w:rsidRPr="009E3813">
        <w:rPr>
          <w:rStyle w:val="Numberedlevel2textChar"/>
          <w:bCs/>
          <w:iCs/>
          <w:lang w:val="en-GB"/>
        </w:rPr>
        <w:t>Ixekizumab</w:t>
      </w:r>
      <w:r w:rsidR="007A2801" w:rsidRPr="009E3813">
        <w:rPr>
          <w:lang w:val="en-GB"/>
        </w:rPr>
        <w:t xml:space="preserve"> is not recommended, within its marketing authorisation, for treating</w:t>
      </w:r>
      <w:r w:rsidRPr="009E3813">
        <w:rPr>
          <w:lang w:val="en-GB"/>
        </w:rPr>
        <w:t>:</w:t>
      </w:r>
    </w:p>
    <w:p w14:paraId="4D3D63D1" w14:textId="0C0F98C1" w:rsidR="006877E9" w:rsidRPr="009E3813" w:rsidRDefault="00060876" w:rsidP="002A7318">
      <w:pPr>
        <w:pStyle w:val="Bulletindent1"/>
      </w:pPr>
      <w:r w:rsidRPr="009E3813">
        <w:t xml:space="preserve">active ankylosing spondylitis </w:t>
      </w:r>
      <w:r w:rsidR="001F5E0F" w:rsidRPr="009E3813">
        <w:t>that has</w:t>
      </w:r>
      <w:r w:rsidRPr="009E3813">
        <w:t xml:space="preserve"> responded inadequately to conventional therapy</w:t>
      </w:r>
      <w:r w:rsidR="00152EA9" w:rsidRPr="009E3813">
        <w:t xml:space="preserve"> in adults</w:t>
      </w:r>
      <w:r w:rsidR="006877E9" w:rsidRPr="009E3813">
        <w:t>, or</w:t>
      </w:r>
    </w:p>
    <w:p w14:paraId="0979101E" w14:textId="56AE44D9" w:rsidR="007A2801" w:rsidRPr="009E3813" w:rsidRDefault="00060876" w:rsidP="002A7318">
      <w:pPr>
        <w:pStyle w:val="Bulletindent1last"/>
      </w:pPr>
      <w:r w:rsidRPr="009E3813">
        <w:t xml:space="preserve">active non-radiographic axial spondyloarthritis with objective signs of inflammation </w:t>
      </w:r>
      <w:r w:rsidR="00152EA9" w:rsidRPr="009E3813">
        <w:t>(shown</w:t>
      </w:r>
      <w:r w:rsidRPr="009E3813">
        <w:t xml:space="preserve"> by elevated C-reactive protein or </w:t>
      </w:r>
      <w:r w:rsidR="00152EA9" w:rsidRPr="009E3813">
        <w:t>MRI, or both)</w:t>
      </w:r>
      <w:r w:rsidRPr="009E3813">
        <w:t xml:space="preserve"> </w:t>
      </w:r>
      <w:r w:rsidR="006877E9" w:rsidRPr="009E3813">
        <w:t>that has</w:t>
      </w:r>
      <w:r w:rsidRPr="009E3813">
        <w:t xml:space="preserve"> responded inadequately to nonsteroidal anti-inflammatory drugs</w:t>
      </w:r>
      <w:r w:rsidR="00B87C08" w:rsidRPr="009E3813">
        <w:t xml:space="preserve"> (NSAIDs)</w:t>
      </w:r>
      <w:r w:rsidR="00152EA9" w:rsidRPr="009E3813">
        <w:t xml:space="preserve"> in adults</w:t>
      </w:r>
      <w:r w:rsidRPr="009E3813">
        <w:t>.</w:t>
      </w:r>
      <w:r w:rsidR="007A2801" w:rsidRPr="009E3813">
        <w:t xml:space="preserve"> </w:t>
      </w:r>
    </w:p>
    <w:p w14:paraId="37BD1BDF" w14:textId="180DD574" w:rsidR="002F2C1A" w:rsidRPr="009E3813" w:rsidRDefault="001F5E0F" w:rsidP="00FB0F9E">
      <w:pPr>
        <w:pStyle w:val="Numberedlevel2text"/>
        <w:rPr>
          <w:lang w:val="en-GB"/>
        </w:rPr>
      </w:pPr>
      <w:r w:rsidRPr="009E3813">
        <w:rPr>
          <w:lang w:val="en-GB"/>
        </w:rPr>
        <w:t xml:space="preserve">This recommendation is not intended to affect treatment with </w:t>
      </w:r>
      <w:r w:rsidRPr="009E3813">
        <w:rPr>
          <w:bCs w:val="0"/>
          <w:iCs w:val="0"/>
          <w:lang w:val="en-GB"/>
        </w:rPr>
        <w:t>ixekizumab</w:t>
      </w:r>
      <w:r w:rsidRPr="009E3813">
        <w:rPr>
          <w:lang w:val="en-GB"/>
        </w:rPr>
        <w:t xml:space="preserve"> that was started in the NHS before this guidance was published. People having </w:t>
      </w:r>
      <w:r w:rsidRPr="009E3813">
        <w:rPr>
          <w:rStyle w:val="Numberedlevel2textChar"/>
          <w:lang w:val="en-GB"/>
        </w:rPr>
        <w:t>treatment</w:t>
      </w:r>
      <w:r w:rsidRPr="009E3813">
        <w:rPr>
          <w:lang w:val="en-GB"/>
        </w:rPr>
        <w:t xml:space="preserve"> outside this recommendation may continue without change to the funding arrangements in place for them before this guidance was published, until they and their NHS clinician consider it appropriate to stop</w:t>
      </w:r>
      <w:r w:rsidR="002F2C1A" w:rsidRPr="009E3813">
        <w:rPr>
          <w:lang w:val="en-GB"/>
        </w:rPr>
        <w:t>.</w:t>
      </w:r>
    </w:p>
    <w:p w14:paraId="0B2D4D4B" w14:textId="2A4B1A65" w:rsidR="00C11F58" w:rsidRPr="009E3813" w:rsidRDefault="00C11F58" w:rsidP="001F5E0F">
      <w:pPr>
        <w:pStyle w:val="NICEnormal"/>
        <w:rPr>
          <w:b/>
        </w:rPr>
      </w:pPr>
      <w:r w:rsidRPr="009E3813">
        <w:rPr>
          <w:b/>
        </w:rPr>
        <w:t>Why the committee made these recommendations</w:t>
      </w:r>
    </w:p>
    <w:p w14:paraId="1E1D20D9" w14:textId="7794FD9F" w:rsidR="001F5E0F" w:rsidRPr="009E3813" w:rsidRDefault="001F5E0F" w:rsidP="001F5E0F">
      <w:pPr>
        <w:pStyle w:val="NICEnormal"/>
      </w:pPr>
      <w:r w:rsidRPr="009E3813">
        <w:t xml:space="preserve">Ixekizumab would </w:t>
      </w:r>
      <w:r w:rsidR="00177152" w:rsidRPr="009E3813">
        <w:t>be offered when</w:t>
      </w:r>
      <w:r w:rsidRPr="009E3813">
        <w:t xml:space="preserve"> people </w:t>
      </w:r>
      <w:r w:rsidR="00177152" w:rsidRPr="009E3813">
        <w:t xml:space="preserve">cannot have </w:t>
      </w:r>
      <w:bookmarkStart w:id="1" w:name="_Hlk66280720"/>
      <w:r w:rsidR="00E8670C" w:rsidRPr="009E3813">
        <w:t xml:space="preserve">tumour necrosis factor </w:t>
      </w:r>
      <w:bookmarkEnd w:id="1"/>
      <w:r w:rsidR="00E8670C" w:rsidRPr="009E3813">
        <w:t>(</w:t>
      </w:r>
      <w:r w:rsidRPr="009E3813">
        <w:t>TNF</w:t>
      </w:r>
      <w:r w:rsidR="00E8670C" w:rsidRPr="009E3813">
        <w:t>)</w:t>
      </w:r>
      <w:r w:rsidRPr="009E3813">
        <w:t xml:space="preserve">-alpha inhibitors or </w:t>
      </w:r>
      <w:r w:rsidR="00FF2F31" w:rsidRPr="009E3813">
        <w:t xml:space="preserve">they </w:t>
      </w:r>
      <w:r w:rsidR="00177152" w:rsidRPr="009E3813">
        <w:t>have not worked well enough.</w:t>
      </w:r>
      <w:r w:rsidR="004B1542" w:rsidRPr="009E3813">
        <w:t xml:space="preserve"> </w:t>
      </w:r>
      <w:r w:rsidRPr="009E3813">
        <w:t xml:space="preserve">The </w:t>
      </w:r>
      <w:r w:rsidR="004B1542" w:rsidRPr="009E3813">
        <w:t xml:space="preserve">current treatment option </w:t>
      </w:r>
      <w:r w:rsidR="00FF2F31" w:rsidRPr="009E3813">
        <w:t xml:space="preserve">in these situations </w:t>
      </w:r>
      <w:r w:rsidR="004B1542" w:rsidRPr="009E3813">
        <w:t>is</w:t>
      </w:r>
      <w:r w:rsidRPr="009E3813">
        <w:t xml:space="preserve"> </w:t>
      </w:r>
      <w:r w:rsidR="00D46064" w:rsidRPr="009E3813">
        <w:t>conventional therapy</w:t>
      </w:r>
      <w:r w:rsidR="003A77DA" w:rsidRPr="009E3813">
        <w:t xml:space="preserve">, </w:t>
      </w:r>
      <w:r w:rsidR="0090013C" w:rsidRPr="009E3813">
        <w:t>which includes nonsteroidal anti-inflammatory drugs (NSAIDs) and physiotherapy</w:t>
      </w:r>
      <w:r w:rsidRPr="009E3813">
        <w:t>.</w:t>
      </w:r>
      <w:r w:rsidR="003A77DA" w:rsidRPr="009E3813">
        <w:t xml:space="preserve"> Secukinumab is also an option for </w:t>
      </w:r>
      <w:r w:rsidR="009E3813">
        <w:t>treating</w:t>
      </w:r>
      <w:r w:rsidR="003A77DA" w:rsidRPr="009E3813">
        <w:t xml:space="preserve"> </w:t>
      </w:r>
      <w:r w:rsidR="003A77DA" w:rsidRPr="009E3813">
        <w:rPr>
          <w:rFonts w:eastAsiaTheme="minorEastAsia" w:cs="Arial"/>
        </w:rPr>
        <w:t xml:space="preserve">radiographic disease </w:t>
      </w:r>
      <w:r w:rsidR="003A77DA" w:rsidRPr="009E3813">
        <w:t xml:space="preserve">but there is not enough data to </w:t>
      </w:r>
      <w:r w:rsidR="009E3813">
        <w:t xml:space="preserve">reliably compare it with </w:t>
      </w:r>
      <w:r w:rsidR="0090013C" w:rsidRPr="009E3813">
        <w:t>ixekizumab</w:t>
      </w:r>
      <w:r w:rsidR="003A77DA" w:rsidRPr="009E3813">
        <w:t>.</w:t>
      </w:r>
    </w:p>
    <w:p w14:paraId="63FAED8B" w14:textId="29D2B1CD" w:rsidR="00B8464A" w:rsidRPr="009E3813" w:rsidRDefault="00152EA9" w:rsidP="001F5E0F">
      <w:pPr>
        <w:pStyle w:val="NICEnormal"/>
      </w:pPr>
      <w:r w:rsidRPr="009E3813">
        <w:t xml:space="preserve">Clinical evidence </w:t>
      </w:r>
      <w:r w:rsidR="001F5E0F" w:rsidRPr="009E3813">
        <w:t xml:space="preserve">from the COAST trials shows that ixekizumab is effective compared with placebo. </w:t>
      </w:r>
      <w:r w:rsidR="00D46064" w:rsidRPr="009E3813">
        <w:t>However, the company’s estimates of cost effectiveness for ixekizumab compared with conventional therapy were above the level usually considered cost effective</w:t>
      </w:r>
      <w:r w:rsidR="009E3813">
        <w:t>.</w:t>
      </w:r>
      <w:r w:rsidR="00D46064" w:rsidRPr="009E3813">
        <w:t xml:space="preserve"> </w:t>
      </w:r>
      <w:r w:rsidR="009E3813">
        <w:t xml:space="preserve">They </w:t>
      </w:r>
      <w:r w:rsidR="00D46064" w:rsidRPr="009E3813">
        <w:t xml:space="preserve">were </w:t>
      </w:r>
      <w:r w:rsidR="009E3813">
        <w:t xml:space="preserve">also </w:t>
      </w:r>
      <w:r w:rsidR="00D46064" w:rsidRPr="009E3813">
        <w:t>uncertain because they were not based on the best available evidence</w:t>
      </w:r>
      <w:r w:rsidRPr="009E3813">
        <w:t>.</w:t>
      </w:r>
      <w:r w:rsidR="00FF2F31" w:rsidRPr="009E3813">
        <w:t xml:space="preserve"> </w:t>
      </w:r>
      <w:r w:rsidR="00D46064" w:rsidRPr="009E3813">
        <w:t xml:space="preserve">Therefore, </w:t>
      </w:r>
      <w:r w:rsidR="00951A1B" w:rsidRPr="009E3813">
        <w:t>ixekizumab i</w:t>
      </w:r>
      <w:r w:rsidR="00FF2F31" w:rsidRPr="009E3813">
        <w:t>s not recommended.</w:t>
      </w:r>
    </w:p>
    <w:p w14:paraId="2C77C949" w14:textId="410F0930" w:rsidR="00EA1CB1" w:rsidRPr="009E3813" w:rsidRDefault="00EA1CB1" w:rsidP="00EA1CB1">
      <w:pPr>
        <w:pStyle w:val="Numberedheading1"/>
        <w:keepLines/>
      </w:pPr>
      <w:r w:rsidRPr="009E3813">
        <w:lastRenderedPageBreak/>
        <w:t xml:space="preserve">Information about </w:t>
      </w:r>
      <w:r w:rsidR="00370378" w:rsidRPr="009E3813">
        <w:t>ixekizumab</w:t>
      </w:r>
    </w:p>
    <w:p w14:paraId="0A71BC8E" w14:textId="0684B3DA" w:rsidR="00B82A82" w:rsidRPr="009E3813" w:rsidRDefault="00B82A82" w:rsidP="00B82A82">
      <w:pPr>
        <w:pStyle w:val="Heading2"/>
      </w:pPr>
      <w:r w:rsidRPr="009E3813">
        <w:t>Marketing authorisation indication</w:t>
      </w:r>
    </w:p>
    <w:p w14:paraId="310D8B18" w14:textId="622063D7" w:rsidR="00D0008E" w:rsidRPr="009E3813" w:rsidRDefault="00E23882" w:rsidP="00D0008E">
      <w:pPr>
        <w:pStyle w:val="Numberedlevel2text"/>
        <w:rPr>
          <w:rStyle w:val="NICEnormalChar"/>
          <w:szCs w:val="28"/>
        </w:rPr>
      </w:pPr>
      <w:r w:rsidRPr="009E3813">
        <w:rPr>
          <w:rStyle w:val="NICEnormalChar"/>
          <w:szCs w:val="28"/>
        </w:rPr>
        <w:t xml:space="preserve">Ixekizumab (Taltz, Eli </w:t>
      </w:r>
      <w:r w:rsidR="00BA5DB2" w:rsidRPr="009E3813">
        <w:rPr>
          <w:rStyle w:val="NICEnormalChar"/>
          <w:szCs w:val="28"/>
        </w:rPr>
        <w:t xml:space="preserve">Lily) </w:t>
      </w:r>
      <w:r w:rsidR="00D0008E" w:rsidRPr="009E3813">
        <w:rPr>
          <w:rStyle w:val="NICEnormalChar"/>
          <w:szCs w:val="28"/>
        </w:rPr>
        <w:t xml:space="preserve">is indicated </w:t>
      </w:r>
      <w:r w:rsidR="0081211C" w:rsidRPr="009E3813">
        <w:rPr>
          <w:rStyle w:val="NICEnormalChar"/>
          <w:szCs w:val="28"/>
        </w:rPr>
        <w:t xml:space="preserve">for </w:t>
      </w:r>
      <w:r w:rsidR="009E3813">
        <w:rPr>
          <w:rStyle w:val="NICEnormalChar"/>
          <w:szCs w:val="28"/>
        </w:rPr>
        <w:t>‘</w:t>
      </w:r>
      <w:r w:rsidR="004207B3" w:rsidRPr="009E3813">
        <w:rPr>
          <w:rStyle w:val="NICEnormalChar"/>
          <w:szCs w:val="28"/>
        </w:rPr>
        <w:t xml:space="preserve">the </w:t>
      </w:r>
      <w:r w:rsidR="00D0008E" w:rsidRPr="009E3813">
        <w:rPr>
          <w:rStyle w:val="NICEnormalChar"/>
          <w:szCs w:val="28"/>
        </w:rPr>
        <w:t xml:space="preserve">treatment of </w:t>
      </w:r>
      <w:r w:rsidR="004207B3" w:rsidRPr="009E3813">
        <w:rPr>
          <w:rStyle w:val="NICEnormalChar"/>
          <w:szCs w:val="28"/>
        </w:rPr>
        <w:t xml:space="preserve">adult patients </w:t>
      </w:r>
      <w:r w:rsidR="00D0008E" w:rsidRPr="009E3813">
        <w:rPr>
          <w:rStyle w:val="NICEnormalChar"/>
          <w:szCs w:val="28"/>
        </w:rPr>
        <w:t xml:space="preserve">with active ankylosing spondylitis </w:t>
      </w:r>
      <w:r w:rsidR="004207B3" w:rsidRPr="009E3813">
        <w:rPr>
          <w:rStyle w:val="NICEnormalChar"/>
          <w:szCs w:val="28"/>
        </w:rPr>
        <w:t>[</w:t>
      </w:r>
      <w:r w:rsidR="00D0008E" w:rsidRPr="009E3813">
        <w:rPr>
          <w:rStyle w:val="NICEnormalChar"/>
          <w:szCs w:val="28"/>
        </w:rPr>
        <w:t>rad</w:t>
      </w:r>
      <w:r w:rsidR="00E3681F" w:rsidRPr="009E3813">
        <w:rPr>
          <w:rStyle w:val="NICEnormalChar"/>
          <w:szCs w:val="28"/>
        </w:rPr>
        <w:t>iographic</w:t>
      </w:r>
      <w:r w:rsidR="00633FC3" w:rsidRPr="009E3813">
        <w:rPr>
          <w:rStyle w:val="NICEnormalChar"/>
          <w:szCs w:val="28"/>
        </w:rPr>
        <w:t xml:space="preserve"> </w:t>
      </w:r>
      <w:r w:rsidR="00D0008E" w:rsidRPr="009E3813">
        <w:rPr>
          <w:rStyle w:val="NICEnormalChar"/>
          <w:szCs w:val="28"/>
        </w:rPr>
        <w:t>a</w:t>
      </w:r>
      <w:r w:rsidR="00E3681F" w:rsidRPr="009E3813">
        <w:rPr>
          <w:rStyle w:val="NICEnormalChar"/>
          <w:szCs w:val="28"/>
        </w:rPr>
        <w:t>xial spondyloarthritis</w:t>
      </w:r>
      <w:r w:rsidR="004207B3" w:rsidRPr="009E3813">
        <w:rPr>
          <w:rStyle w:val="NICEnormalChar"/>
          <w:szCs w:val="28"/>
        </w:rPr>
        <w:t>]</w:t>
      </w:r>
      <w:r w:rsidR="00D0008E" w:rsidRPr="009E3813">
        <w:rPr>
          <w:rStyle w:val="NICEnormalChar"/>
          <w:szCs w:val="28"/>
        </w:rPr>
        <w:t xml:space="preserve"> who have responded inadequately to conventional therapy</w:t>
      </w:r>
      <w:r w:rsidR="004207B3" w:rsidRPr="009E3813">
        <w:rPr>
          <w:rStyle w:val="NICEnormalChar"/>
          <w:szCs w:val="28"/>
        </w:rPr>
        <w:t>,</w:t>
      </w:r>
      <w:r w:rsidR="00D0008E" w:rsidRPr="009E3813">
        <w:rPr>
          <w:rStyle w:val="NICEnormalChar"/>
          <w:szCs w:val="28"/>
        </w:rPr>
        <w:t xml:space="preserve"> and active non-radiographic axial spondyloarthritis with objective signs of inflammation as indicated by elevated C-reactive protein (CRP) and/or magnetic resonance imaging (MRI) who have responded inadequately to nonsteroidal anti-inflammatory drugs (NSAIDs)</w:t>
      </w:r>
      <w:r w:rsidR="009E3813">
        <w:rPr>
          <w:rStyle w:val="NICEnormalChar"/>
          <w:szCs w:val="28"/>
        </w:rPr>
        <w:t>’</w:t>
      </w:r>
      <w:r w:rsidR="00D0008E" w:rsidRPr="009E3813">
        <w:rPr>
          <w:rStyle w:val="NICEnormalChar"/>
          <w:szCs w:val="28"/>
        </w:rPr>
        <w:t>.</w:t>
      </w:r>
    </w:p>
    <w:p w14:paraId="2B797344" w14:textId="77777777" w:rsidR="00B82A82" w:rsidRPr="009E3813" w:rsidRDefault="00B82A82" w:rsidP="00B82A82">
      <w:pPr>
        <w:pStyle w:val="Heading2"/>
      </w:pPr>
      <w:r w:rsidRPr="009E3813">
        <w:t>Dosage in the marketing authorisation</w:t>
      </w:r>
    </w:p>
    <w:p w14:paraId="2CC3392D" w14:textId="4E3112D3" w:rsidR="00E63D59" w:rsidRPr="009E3813" w:rsidRDefault="0081211C" w:rsidP="00E63D59">
      <w:pPr>
        <w:pStyle w:val="Numberedlevel2text"/>
        <w:numPr>
          <w:ilvl w:val="1"/>
          <w:numId w:val="1"/>
        </w:numPr>
        <w:rPr>
          <w:rStyle w:val="Numberedlevel2textChar"/>
          <w:lang w:val="en-GB"/>
        </w:rPr>
      </w:pPr>
      <w:r w:rsidRPr="009E3813">
        <w:rPr>
          <w:lang w:val="en-GB"/>
        </w:rPr>
        <w:t xml:space="preserve">The dosage schedule is available in the </w:t>
      </w:r>
      <w:hyperlink r:id="rId8" w:history="1">
        <w:r w:rsidR="00E63D59" w:rsidRPr="009E3813">
          <w:rPr>
            <w:rStyle w:val="Hyperlink"/>
            <w:lang w:val="en-GB"/>
          </w:rPr>
          <w:t>summary of product characteristics</w:t>
        </w:r>
      </w:hyperlink>
      <w:r w:rsidR="00E63D59" w:rsidRPr="009E3813">
        <w:rPr>
          <w:lang w:val="en-GB"/>
        </w:rPr>
        <w:t xml:space="preserve">. </w:t>
      </w:r>
    </w:p>
    <w:p w14:paraId="7527EB38" w14:textId="77777777" w:rsidR="00B82A82" w:rsidRPr="009E3813" w:rsidRDefault="00B82A82" w:rsidP="00B82A82">
      <w:pPr>
        <w:pStyle w:val="Heading2"/>
      </w:pPr>
      <w:r w:rsidRPr="009E3813">
        <w:t>Price</w:t>
      </w:r>
    </w:p>
    <w:p w14:paraId="0BECC01B" w14:textId="35B8F9F6" w:rsidR="00157B82" w:rsidRPr="009E3813" w:rsidRDefault="00E63D59">
      <w:pPr>
        <w:pStyle w:val="Numberedlevel2text"/>
        <w:rPr>
          <w:lang w:val="en-GB"/>
        </w:rPr>
      </w:pPr>
      <w:r w:rsidRPr="009E3813">
        <w:rPr>
          <w:lang w:val="en-GB"/>
        </w:rPr>
        <w:t xml:space="preserve">The list price of ixekizumab is £1,125 </w:t>
      </w:r>
      <w:r w:rsidR="00E13DEE" w:rsidRPr="009E3813">
        <w:rPr>
          <w:lang w:val="en-GB"/>
        </w:rPr>
        <w:t xml:space="preserve">for </w:t>
      </w:r>
      <w:r w:rsidR="00366614" w:rsidRPr="009E3813">
        <w:rPr>
          <w:lang w:val="en-GB"/>
        </w:rPr>
        <w:t xml:space="preserve">1 pre-filled syringe containing </w:t>
      </w:r>
      <w:r w:rsidRPr="009E3813">
        <w:rPr>
          <w:lang w:val="en-GB"/>
        </w:rPr>
        <w:t>80</w:t>
      </w:r>
      <w:r w:rsidR="00633FC3" w:rsidRPr="009E3813">
        <w:rPr>
          <w:lang w:val="en-GB"/>
        </w:rPr>
        <w:t> mg</w:t>
      </w:r>
      <w:r w:rsidR="00366614" w:rsidRPr="009E3813">
        <w:rPr>
          <w:lang w:val="en-GB"/>
        </w:rPr>
        <w:t xml:space="preserve"> per 1 ml solution</w:t>
      </w:r>
      <w:r w:rsidRPr="009E3813">
        <w:rPr>
          <w:lang w:val="en-GB"/>
        </w:rPr>
        <w:t xml:space="preserve"> </w:t>
      </w:r>
      <w:r w:rsidR="00E13DEE" w:rsidRPr="009E3813">
        <w:rPr>
          <w:lang w:val="en-GB"/>
        </w:rPr>
        <w:t>(</w:t>
      </w:r>
      <w:r w:rsidRPr="009E3813">
        <w:rPr>
          <w:lang w:val="en-GB"/>
        </w:rPr>
        <w:t xml:space="preserve">excluding VAT; British National Formulary </w:t>
      </w:r>
      <w:r w:rsidR="00E13DEE" w:rsidRPr="009E3813">
        <w:rPr>
          <w:lang w:val="en-GB"/>
        </w:rPr>
        <w:t>[</w:t>
      </w:r>
      <w:r w:rsidRPr="009E3813">
        <w:rPr>
          <w:lang w:val="en-GB"/>
        </w:rPr>
        <w:t>BNF</w:t>
      </w:r>
      <w:r w:rsidR="00E13DEE" w:rsidRPr="009E3813">
        <w:rPr>
          <w:lang w:val="en-GB"/>
        </w:rPr>
        <w:t>]</w:t>
      </w:r>
      <w:r w:rsidRPr="009E3813">
        <w:rPr>
          <w:lang w:val="en-GB"/>
        </w:rPr>
        <w:t>, accessed March 2021</w:t>
      </w:r>
      <w:r w:rsidR="00E13DEE" w:rsidRPr="009E3813">
        <w:rPr>
          <w:lang w:val="en-GB"/>
        </w:rPr>
        <w:t>)</w:t>
      </w:r>
      <w:r w:rsidRPr="009E3813">
        <w:rPr>
          <w:lang w:val="en-GB"/>
        </w:rPr>
        <w:t>. The annual cost is £16,875 for 15</w:t>
      </w:r>
      <w:r w:rsidR="00E13DEE" w:rsidRPr="009E3813">
        <w:rPr>
          <w:lang w:val="en-GB"/>
        </w:rPr>
        <w:t> </w:t>
      </w:r>
      <w:r w:rsidRPr="009E3813">
        <w:rPr>
          <w:lang w:val="en-GB"/>
        </w:rPr>
        <w:t>injections in the year</w:t>
      </w:r>
      <w:r w:rsidR="00E13DEE" w:rsidRPr="009E3813">
        <w:rPr>
          <w:lang w:val="en-GB"/>
        </w:rPr>
        <w:t> 1</w:t>
      </w:r>
      <w:r w:rsidRPr="009E3813">
        <w:rPr>
          <w:lang w:val="en-GB"/>
        </w:rPr>
        <w:t xml:space="preserve"> and £14,625 for 13</w:t>
      </w:r>
      <w:r w:rsidR="00E13DEE" w:rsidRPr="009E3813">
        <w:rPr>
          <w:lang w:val="en-GB"/>
        </w:rPr>
        <w:t> </w:t>
      </w:r>
      <w:r w:rsidRPr="009E3813">
        <w:rPr>
          <w:lang w:val="en-GB"/>
        </w:rPr>
        <w:t>injections in year</w:t>
      </w:r>
      <w:r w:rsidR="00E13DEE" w:rsidRPr="009E3813">
        <w:rPr>
          <w:lang w:val="en-GB"/>
        </w:rPr>
        <w:t> </w:t>
      </w:r>
      <w:r w:rsidRPr="009E3813">
        <w:rPr>
          <w:lang w:val="en-GB"/>
        </w:rPr>
        <w:t xml:space="preserve">2 </w:t>
      </w:r>
      <w:r w:rsidR="00E13DEE" w:rsidRPr="009E3813">
        <w:rPr>
          <w:lang w:val="en-GB"/>
        </w:rPr>
        <w:t>(</w:t>
      </w:r>
      <w:r w:rsidRPr="009E3813">
        <w:rPr>
          <w:lang w:val="en-GB"/>
        </w:rPr>
        <w:t xml:space="preserve">excluding VAT; British National Formulary </w:t>
      </w:r>
      <w:r w:rsidR="00E13DEE" w:rsidRPr="009E3813">
        <w:rPr>
          <w:lang w:val="en-GB"/>
        </w:rPr>
        <w:t>[</w:t>
      </w:r>
      <w:r w:rsidRPr="009E3813">
        <w:rPr>
          <w:lang w:val="en-GB"/>
        </w:rPr>
        <w:t>BNF</w:t>
      </w:r>
      <w:r w:rsidR="00E13DEE" w:rsidRPr="009E3813">
        <w:rPr>
          <w:lang w:val="en-GB"/>
        </w:rPr>
        <w:t>]</w:t>
      </w:r>
      <w:r w:rsidRPr="009E3813">
        <w:rPr>
          <w:lang w:val="en-GB"/>
        </w:rPr>
        <w:t>, accessed March</w:t>
      </w:r>
      <w:r w:rsidR="00E13DEE" w:rsidRPr="009E3813">
        <w:rPr>
          <w:lang w:val="en-GB"/>
        </w:rPr>
        <w:t> </w:t>
      </w:r>
      <w:r w:rsidRPr="009E3813">
        <w:rPr>
          <w:lang w:val="en-GB"/>
        </w:rPr>
        <w:t>2021</w:t>
      </w:r>
      <w:r w:rsidR="00E13DEE" w:rsidRPr="009E3813">
        <w:rPr>
          <w:lang w:val="en-GB"/>
        </w:rPr>
        <w:t>)</w:t>
      </w:r>
      <w:r w:rsidRPr="009E3813">
        <w:rPr>
          <w:lang w:val="en-GB"/>
        </w:rPr>
        <w:t>.</w:t>
      </w:r>
    </w:p>
    <w:p w14:paraId="4A32CFCE" w14:textId="1DDAF4D7" w:rsidR="003D2B72" w:rsidRPr="009E3813" w:rsidRDefault="003D2B72" w:rsidP="0081211C">
      <w:pPr>
        <w:pStyle w:val="Numberedlevel2text"/>
        <w:rPr>
          <w:bCs w:val="0"/>
          <w:lang w:val="en-GB"/>
        </w:rPr>
      </w:pPr>
      <w:bookmarkStart w:id="2" w:name="_Hlk24530292"/>
      <w:r w:rsidRPr="009E3813">
        <w:rPr>
          <w:bCs w:val="0"/>
          <w:lang w:val="en-GB"/>
        </w:rPr>
        <w:t>T</w:t>
      </w:r>
      <w:r w:rsidR="00745206" w:rsidRPr="009E3813">
        <w:rPr>
          <w:bCs w:val="0"/>
          <w:lang w:val="en-GB"/>
        </w:rPr>
        <w:t>he company has a commercial arrangement. This makes</w:t>
      </w:r>
      <w:r w:rsidRPr="009E3813">
        <w:rPr>
          <w:bCs w:val="0"/>
          <w:lang w:val="en-GB"/>
        </w:rPr>
        <w:t xml:space="preserve"> ixekizumab </w:t>
      </w:r>
      <w:r w:rsidR="00745206" w:rsidRPr="009E3813">
        <w:rPr>
          <w:bCs w:val="0"/>
          <w:lang w:val="en-GB"/>
        </w:rPr>
        <w:t>available to the NHS with a discount and it would have also applied to this indication if the technology had been recommended. The size of the discount is commercial in confidence. It is the company’s responsibility to let relevant NHS organisations know details of the discount.</w:t>
      </w:r>
      <w:bookmarkEnd w:id="2"/>
    </w:p>
    <w:p w14:paraId="3B81AD7B" w14:textId="77777777" w:rsidR="00F130AD" w:rsidRPr="009E3813" w:rsidRDefault="00222BEA" w:rsidP="00F130AD">
      <w:pPr>
        <w:pStyle w:val="Numberedheading1"/>
      </w:pPr>
      <w:r w:rsidRPr="009E3813">
        <w:t>Committee discussion</w:t>
      </w:r>
    </w:p>
    <w:p w14:paraId="78E91562" w14:textId="6F815044" w:rsidR="002B5772" w:rsidRPr="009E3813" w:rsidRDefault="00BC7D9E" w:rsidP="002B5772">
      <w:pPr>
        <w:pStyle w:val="NICEnormal"/>
      </w:pPr>
      <w:r w:rsidRPr="009E3813">
        <w:t xml:space="preserve">The </w:t>
      </w:r>
      <w:hyperlink w:anchor="_Appraisal_committee_members" w:history="1">
        <w:r w:rsidR="00343B53" w:rsidRPr="009E3813">
          <w:rPr>
            <w:rStyle w:val="Hyperlink"/>
          </w:rPr>
          <w:t>a</w:t>
        </w:r>
        <w:r w:rsidRPr="009E3813">
          <w:rPr>
            <w:rStyle w:val="Hyperlink"/>
          </w:rPr>
          <w:t xml:space="preserve">ppraisal </w:t>
        </w:r>
        <w:r w:rsidR="00343B53" w:rsidRPr="009E3813">
          <w:rPr>
            <w:rStyle w:val="Hyperlink"/>
          </w:rPr>
          <w:t>c</w:t>
        </w:r>
        <w:r w:rsidRPr="009E3813">
          <w:rPr>
            <w:rStyle w:val="Hyperlink"/>
          </w:rPr>
          <w:t>ommittee</w:t>
        </w:r>
      </w:hyperlink>
      <w:r w:rsidRPr="009E3813">
        <w:t xml:space="preserve"> considered evidence submitted by </w:t>
      </w:r>
      <w:r w:rsidR="00A61938" w:rsidRPr="009E3813">
        <w:rPr>
          <w:rStyle w:val="NICEnormalChar"/>
          <w:szCs w:val="28"/>
        </w:rPr>
        <w:t>Eli Lily</w:t>
      </w:r>
      <w:r w:rsidR="002B5772" w:rsidRPr="009E3813">
        <w:t>,</w:t>
      </w:r>
      <w:r w:rsidRPr="009E3813">
        <w:t xml:space="preserve"> a review of this submission by the </w:t>
      </w:r>
      <w:r w:rsidR="00343B53" w:rsidRPr="009E3813">
        <w:t>e</w:t>
      </w:r>
      <w:r w:rsidRPr="009E3813">
        <w:t xml:space="preserve">vidence </w:t>
      </w:r>
      <w:r w:rsidR="00343B53" w:rsidRPr="009E3813">
        <w:t>r</w:t>
      </w:r>
      <w:r w:rsidRPr="009E3813">
        <w:t xml:space="preserve">eview </w:t>
      </w:r>
      <w:r w:rsidR="00343B53" w:rsidRPr="009E3813">
        <w:t>g</w:t>
      </w:r>
      <w:r w:rsidRPr="009E3813">
        <w:t>roup (ERG)</w:t>
      </w:r>
      <w:r w:rsidR="002B5772" w:rsidRPr="009E3813">
        <w:t xml:space="preserve">, </w:t>
      </w:r>
      <w:r w:rsidR="00E24CDE" w:rsidRPr="009E3813">
        <w:t>NICE’s</w:t>
      </w:r>
      <w:r w:rsidR="002B5772" w:rsidRPr="009E3813">
        <w:t xml:space="preserve"> technical </w:t>
      </w:r>
      <w:r w:rsidR="00E9265B" w:rsidRPr="009E3813">
        <w:t>report</w:t>
      </w:r>
      <w:r w:rsidR="000B1027" w:rsidRPr="009E3813">
        <w:t xml:space="preserve">, and </w:t>
      </w:r>
      <w:r w:rsidR="000B1027" w:rsidRPr="009E3813">
        <w:lastRenderedPageBreak/>
        <w:t>responses from</w:t>
      </w:r>
      <w:r w:rsidR="00E9265B" w:rsidRPr="009E3813">
        <w:t xml:space="preserve"> stakeholders</w:t>
      </w:r>
      <w:r w:rsidRPr="009E3813">
        <w:t>.</w:t>
      </w:r>
      <w:r w:rsidR="00C63D4E" w:rsidRPr="009E3813">
        <w:t xml:space="preserve"> </w:t>
      </w:r>
      <w:r w:rsidR="002B5772" w:rsidRPr="009E3813">
        <w:t xml:space="preserve">See the </w:t>
      </w:r>
      <w:hyperlink r:id="rId9" w:history="1">
        <w:r w:rsidR="002B5772" w:rsidRPr="009E3813">
          <w:rPr>
            <w:rStyle w:val="Hyperlink"/>
          </w:rPr>
          <w:t>committee papers</w:t>
        </w:r>
      </w:hyperlink>
      <w:r w:rsidR="00CE76E9" w:rsidRPr="009E3813">
        <w:t xml:space="preserve"> </w:t>
      </w:r>
      <w:r w:rsidR="002B5772" w:rsidRPr="009E3813">
        <w:t>for full details of the evidence.</w:t>
      </w:r>
    </w:p>
    <w:p w14:paraId="20E6384E" w14:textId="52119877" w:rsidR="006B0F36" w:rsidRPr="009E3813" w:rsidRDefault="002B5772" w:rsidP="00D01B9F">
      <w:pPr>
        <w:pStyle w:val="NICEnormal"/>
      </w:pPr>
      <w:r w:rsidRPr="009E3813">
        <w:t xml:space="preserve">The appraisal committee was aware </w:t>
      </w:r>
      <w:r w:rsidR="002555BE" w:rsidRPr="009E3813">
        <w:t>that several</w:t>
      </w:r>
      <w:r w:rsidRPr="009E3813">
        <w:t xml:space="preserve"> issues were resolved during </w:t>
      </w:r>
      <w:r w:rsidR="006D4D1A" w:rsidRPr="009E3813">
        <w:t xml:space="preserve">the </w:t>
      </w:r>
      <w:r w:rsidR="00E95253" w:rsidRPr="009E3813">
        <w:t>technical engagement</w:t>
      </w:r>
      <w:r w:rsidR="006D4D1A" w:rsidRPr="009E3813">
        <w:t xml:space="preserve"> stage</w:t>
      </w:r>
      <w:r w:rsidR="007D1008" w:rsidRPr="009E3813">
        <w:t>, and agreed that:</w:t>
      </w:r>
    </w:p>
    <w:p w14:paraId="0812F708" w14:textId="079F0F3D" w:rsidR="001163D1" w:rsidRPr="009E3813" w:rsidRDefault="005C434C" w:rsidP="00FB0F9E">
      <w:pPr>
        <w:pStyle w:val="Bulletleft1"/>
        <w:numPr>
          <w:ilvl w:val="0"/>
          <w:numId w:val="16"/>
        </w:numPr>
        <w:tabs>
          <w:tab w:val="num" w:pos="284"/>
        </w:tabs>
        <w:ind w:left="284" w:hanging="284"/>
      </w:pPr>
      <w:r w:rsidRPr="009E3813">
        <w:t xml:space="preserve">The company’s approach to modelling functional </w:t>
      </w:r>
      <w:r w:rsidR="000A275D" w:rsidRPr="009E3813">
        <w:t xml:space="preserve">impairment </w:t>
      </w:r>
      <w:r w:rsidR="00586458" w:rsidRPr="009E3813">
        <w:t xml:space="preserve">after </w:t>
      </w:r>
      <w:r w:rsidRPr="009E3813">
        <w:t>treatment discontinuation is appropriate</w:t>
      </w:r>
      <w:r w:rsidR="007E4ACF" w:rsidRPr="009E3813">
        <w:t xml:space="preserve"> </w:t>
      </w:r>
      <w:r w:rsidRPr="009E3813">
        <w:t>(issue</w:t>
      </w:r>
      <w:r w:rsidR="00E13DEE" w:rsidRPr="009E3813">
        <w:t> </w:t>
      </w:r>
      <w:r w:rsidR="007E4ACF" w:rsidRPr="009E3813">
        <w:t>5</w:t>
      </w:r>
      <w:r w:rsidRPr="009E3813">
        <w:t>, see technical report</w:t>
      </w:r>
      <w:r w:rsidR="00FB0F9E" w:rsidRPr="009E3813">
        <w:t>,</w:t>
      </w:r>
      <w:r w:rsidRPr="009E3813">
        <w:t xml:space="preserve"> page</w:t>
      </w:r>
      <w:r w:rsidR="00E13DEE" w:rsidRPr="009E3813">
        <w:t> </w:t>
      </w:r>
      <w:r w:rsidRPr="009E3813">
        <w:t>21).</w:t>
      </w:r>
    </w:p>
    <w:p w14:paraId="35484A62" w14:textId="0CE88AF6" w:rsidR="005C434C" w:rsidRPr="009E3813" w:rsidRDefault="005C434C" w:rsidP="00FB0F9E">
      <w:pPr>
        <w:pStyle w:val="Bulletleft1"/>
        <w:numPr>
          <w:ilvl w:val="0"/>
          <w:numId w:val="16"/>
        </w:numPr>
        <w:tabs>
          <w:tab w:val="num" w:pos="284"/>
        </w:tabs>
        <w:ind w:left="284" w:hanging="284"/>
      </w:pPr>
      <w:r w:rsidRPr="009E3813">
        <w:t xml:space="preserve">The choice of utility regression equation in the economic model is not relevant </w:t>
      </w:r>
      <w:r w:rsidR="00FB0F9E" w:rsidRPr="009E3813">
        <w:t>to</w:t>
      </w:r>
      <w:r w:rsidRPr="009E3813">
        <w:t xml:space="preserve"> the company’s updated</w:t>
      </w:r>
      <w:r w:rsidR="009E74DB" w:rsidRPr="009E3813">
        <w:t xml:space="preserve"> version of the model</w:t>
      </w:r>
      <w:r w:rsidRPr="009E3813">
        <w:t xml:space="preserve"> </w:t>
      </w:r>
      <w:r w:rsidR="00B86383" w:rsidRPr="009E3813">
        <w:t xml:space="preserve">because </w:t>
      </w:r>
      <w:r w:rsidRPr="009E3813">
        <w:t>all treatments result in equivalent quality</w:t>
      </w:r>
      <w:r w:rsidR="00E13DEE" w:rsidRPr="009E3813">
        <w:t>-</w:t>
      </w:r>
      <w:r w:rsidRPr="009E3813">
        <w:t>adjusted life years (QALYs) (issue</w:t>
      </w:r>
      <w:r w:rsidR="00E13DEE" w:rsidRPr="009E3813">
        <w:t> </w:t>
      </w:r>
      <w:r w:rsidR="007E4ACF" w:rsidRPr="009E3813">
        <w:t>6</w:t>
      </w:r>
      <w:r w:rsidRPr="009E3813">
        <w:t>, see technical report</w:t>
      </w:r>
      <w:r w:rsidR="00FB0F9E" w:rsidRPr="009E3813">
        <w:t>,</w:t>
      </w:r>
      <w:r w:rsidRPr="009E3813">
        <w:t xml:space="preserve"> page</w:t>
      </w:r>
      <w:r w:rsidR="00E13DEE" w:rsidRPr="009E3813">
        <w:t> </w:t>
      </w:r>
      <w:r w:rsidRPr="009E3813">
        <w:t>21).</w:t>
      </w:r>
    </w:p>
    <w:p w14:paraId="4EAF833E" w14:textId="0FA309FF" w:rsidR="00222089" w:rsidRPr="009E3813" w:rsidRDefault="005C434C" w:rsidP="002A7318">
      <w:pPr>
        <w:pStyle w:val="Bulletleft1last"/>
      </w:pPr>
      <w:r w:rsidRPr="009E3813">
        <w:t xml:space="preserve">The use of a modification factor to convert clinical effectiveness estimates across </w:t>
      </w:r>
      <w:r w:rsidR="00896E94">
        <w:t xml:space="preserve">active </w:t>
      </w:r>
      <w:r w:rsidR="00317226">
        <w:t>ankylosing spondylitis (radiographic</w:t>
      </w:r>
      <w:r w:rsidR="00044D1B">
        <w:t xml:space="preserve"> disease</w:t>
      </w:r>
      <w:r w:rsidR="00317226">
        <w:t xml:space="preserve">) </w:t>
      </w:r>
      <w:r w:rsidRPr="009E3813">
        <w:t xml:space="preserve">populations </w:t>
      </w:r>
      <w:r w:rsidR="00B86383" w:rsidRPr="009E3813">
        <w:t xml:space="preserve">who have, and have not, had a biologic </w:t>
      </w:r>
      <w:r w:rsidRPr="009E3813">
        <w:t xml:space="preserve">is not relevant </w:t>
      </w:r>
      <w:r w:rsidR="00FB0F9E" w:rsidRPr="009E3813">
        <w:t>to</w:t>
      </w:r>
      <w:r w:rsidRPr="009E3813">
        <w:t xml:space="preserve"> the company’s updated </w:t>
      </w:r>
      <w:r w:rsidR="009E74DB" w:rsidRPr="009E3813">
        <w:t>version of the model</w:t>
      </w:r>
      <w:r w:rsidRPr="009E3813">
        <w:t xml:space="preserve"> (issue</w:t>
      </w:r>
      <w:r w:rsidR="00E13DEE" w:rsidRPr="009E3813">
        <w:t> </w:t>
      </w:r>
      <w:r w:rsidR="007E4ACF" w:rsidRPr="009E3813">
        <w:t>7</w:t>
      </w:r>
      <w:r w:rsidRPr="009E3813">
        <w:t>, see technical report page</w:t>
      </w:r>
      <w:r w:rsidR="00E13DEE" w:rsidRPr="009E3813">
        <w:t> </w:t>
      </w:r>
      <w:r w:rsidRPr="009E3813">
        <w:t>21).</w:t>
      </w:r>
    </w:p>
    <w:p w14:paraId="751D4D51" w14:textId="07367191" w:rsidR="002B5772" w:rsidRPr="009E3813" w:rsidRDefault="002B5772" w:rsidP="00E75B7D">
      <w:pPr>
        <w:pStyle w:val="NICEnormal"/>
      </w:pPr>
      <w:r w:rsidRPr="009E3813">
        <w:t>It recognised that there were remaining areas of uncertainty associated with the analyses presented (see technical report</w:t>
      </w:r>
      <w:r w:rsidR="00A33919" w:rsidRPr="009E3813">
        <w:t>,</w:t>
      </w:r>
      <w:r w:rsidRPr="009E3813">
        <w:t xml:space="preserve"> </w:t>
      </w:r>
      <w:r w:rsidR="007E4ACF" w:rsidRPr="009E3813">
        <w:t>pages 23</w:t>
      </w:r>
      <w:r w:rsidR="00E13DEE" w:rsidRPr="009E3813">
        <w:t> to </w:t>
      </w:r>
      <w:r w:rsidR="007E4ACF" w:rsidRPr="009E3813">
        <w:t>31</w:t>
      </w:r>
      <w:r w:rsidRPr="009E3813">
        <w:t>), and took these into account in its decision making. It discussed the following issues</w:t>
      </w:r>
      <w:r w:rsidR="00A33919" w:rsidRPr="009E3813">
        <w:t xml:space="preserve"> (issues</w:t>
      </w:r>
      <w:r w:rsidR="00E13DEE" w:rsidRPr="009E3813">
        <w:t> </w:t>
      </w:r>
      <w:r w:rsidR="007E4ACF" w:rsidRPr="009E3813">
        <w:t>1,</w:t>
      </w:r>
      <w:r w:rsidR="009D783B" w:rsidRPr="009E3813">
        <w:t xml:space="preserve"> </w:t>
      </w:r>
      <w:r w:rsidR="007E4ACF" w:rsidRPr="009E3813">
        <w:t>2</w:t>
      </w:r>
      <w:r w:rsidR="009D783B" w:rsidRPr="009E3813">
        <w:t xml:space="preserve"> and </w:t>
      </w:r>
      <w:r w:rsidR="007E4ACF" w:rsidRPr="009E3813">
        <w:t>3</w:t>
      </w:r>
      <w:r w:rsidR="00A33919" w:rsidRPr="009E3813">
        <w:t>)</w:t>
      </w:r>
      <w:r w:rsidRPr="009E3813">
        <w:t xml:space="preserve">, which were outstanding </w:t>
      </w:r>
      <w:r w:rsidR="00E95253" w:rsidRPr="009E3813">
        <w:t>after</w:t>
      </w:r>
      <w:r w:rsidRPr="009E3813">
        <w:t xml:space="preserve"> </w:t>
      </w:r>
      <w:r w:rsidR="000205C6" w:rsidRPr="009E3813">
        <w:t xml:space="preserve">the </w:t>
      </w:r>
      <w:r w:rsidRPr="009E3813">
        <w:t>technical engagement</w:t>
      </w:r>
      <w:r w:rsidR="000205C6" w:rsidRPr="009E3813">
        <w:t xml:space="preserve"> stage</w:t>
      </w:r>
      <w:r w:rsidRPr="009E3813">
        <w:t>.</w:t>
      </w:r>
    </w:p>
    <w:p w14:paraId="520D7B89" w14:textId="6AD7D0F2" w:rsidR="004B7D57" w:rsidRPr="009E3813" w:rsidRDefault="00F712F8" w:rsidP="002A7318">
      <w:pPr>
        <w:pStyle w:val="Heading2"/>
      </w:pPr>
      <w:r w:rsidRPr="009E3813">
        <w:t>Clinical need</w:t>
      </w:r>
      <w:r w:rsidR="002C32F9" w:rsidRPr="009E3813">
        <w:t xml:space="preserve"> and current management</w:t>
      </w:r>
    </w:p>
    <w:p w14:paraId="49A3528F" w14:textId="1790F301" w:rsidR="00E325E4" w:rsidRPr="009E3813" w:rsidRDefault="00E325E4" w:rsidP="002A7318">
      <w:pPr>
        <w:pStyle w:val="Heading3"/>
        <w:rPr>
          <w:rFonts w:eastAsiaTheme="minorEastAsia"/>
          <w:color w:val="000000" w:themeColor="text1"/>
          <w:kern w:val="24"/>
          <w:szCs w:val="24"/>
        </w:rPr>
      </w:pPr>
      <w:r w:rsidRPr="009E3813">
        <w:t>Axial spondyloarthritis is a debilitating condition</w:t>
      </w:r>
    </w:p>
    <w:p w14:paraId="5779EC7C" w14:textId="0E1B183F" w:rsidR="005B4AD8" w:rsidRPr="009E3813" w:rsidRDefault="00AE0A9A" w:rsidP="00647601">
      <w:pPr>
        <w:pStyle w:val="Numberedlevel2text"/>
        <w:rPr>
          <w:szCs w:val="24"/>
          <w:lang w:val="en-GB"/>
        </w:rPr>
      </w:pPr>
      <w:r w:rsidRPr="009E3813">
        <w:rPr>
          <w:rFonts w:eastAsiaTheme="minorEastAsia"/>
          <w:lang w:val="en-GB"/>
        </w:rPr>
        <w:t xml:space="preserve">Axial </w:t>
      </w:r>
      <w:r w:rsidR="00575F1E" w:rsidRPr="009E3813">
        <w:rPr>
          <w:rFonts w:eastAsiaTheme="minorEastAsia"/>
          <w:lang w:val="en-GB"/>
        </w:rPr>
        <w:t>s</w:t>
      </w:r>
      <w:r w:rsidR="00A165AC" w:rsidRPr="009E3813">
        <w:rPr>
          <w:rFonts w:eastAsiaTheme="minorEastAsia"/>
          <w:lang w:val="en-GB"/>
        </w:rPr>
        <w:t>pondyloarthritis</w:t>
      </w:r>
      <w:r w:rsidRPr="009E3813">
        <w:rPr>
          <w:rFonts w:eastAsiaTheme="minorEastAsia"/>
          <w:lang w:val="en-GB"/>
        </w:rPr>
        <w:t xml:space="preserve"> is a </w:t>
      </w:r>
      <w:r w:rsidR="00A165AC" w:rsidRPr="009E3813">
        <w:rPr>
          <w:rFonts w:eastAsiaTheme="minorEastAsia"/>
          <w:lang w:val="en-GB"/>
        </w:rPr>
        <w:t>chronic</w:t>
      </w:r>
      <w:r w:rsidRPr="009E3813">
        <w:rPr>
          <w:rFonts w:eastAsiaTheme="minorEastAsia"/>
          <w:lang w:val="en-GB"/>
        </w:rPr>
        <w:t xml:space="preserve"> rheumatic condition </w:t>
      </w:r>
      <w:r w:rsidR="000A275D" w:rsidRPr="009E3813">
        <w:rPr>
          <w:rFonts w:eastAsiaTheme="minorEastAsia"/>
          <w:lang w:val="en-GB"/>
        </w:rPr>
        <w:t xml:space="preserve">characterised </w:t>
      </w:r>
      <w:r w:rsidR="00A165AC" w:rsidRPr="009E3813">
        <w:rPr>
          <w:rFonts w:eastAsiaTheme="minorEastAsia"/>
          <w:lang w:val="en-GB"/>
        </w:rPr>
        <w:t>by inflammation</w:t>
      </w:r>
      <w:r w:rsidRPr="009E3813">
        <w:rPr>
          <w:rFonts w:eastAsiaTheme="minorEastAsia"/>
          <w:lang w:val="en-GB"/>
        </w:rPr>
        <w:t xml:space="preserve"> of </w:t>
      </w:r>
      <w:r w:rsidR="00AE0EE1" w:rsidRPr="009E3813">
        <w:rPr>
          <w:rFonts w:eastAsiaTheme="minorEastAsia"/>
          <w:lang w:val="en-GB"/>
        </w:rPr>
        <w:t xml:space="preserve">the </w:t>
      </w:r>
      <w:r w:rsidRPr="009E3813">
        <w:rPr>
          <w:rFonts w:eastAsiaTheme="minorEastAsia"/>
          <w:lang w:val="en-GB"/>
        </w:rPr>
        <w:t>sacroiliac joint</w:t>
      </w:r>
      <w:r w:rsidR="00AA0A92" w:rsidRPr="009E3813">
        <w:rPr>
          <w:rFonts w:eastAsiaTheme="minorEastAsia"/>
          <w:lang w:val="en-GB"/>
        </w:rPr>
        <w:t>s</w:t>
      </w:r>
      <w:r w:rsidRPr="009E3813">
        <w:rPr>
          <w:rFonts w:eastAsiaTheme="minorEastAsia"/>
          <w:lang w:val="en-GB"/>
        </w:rPr>
        <w:t xml:space="preserve"> and spine</w:t>
      </w:r>
      <w:r w:rsidR="000A275D" w:rsidRPr="009E3813">
        <w:rPr>
          <w:rFonts w:eastAsiaTheme="minorEastAsia"/>
          <w:lang w:val="en-GB"/>
        </w:rPr>
        <w:t>, although other joints can be affected.</w:t>
      </w:r>
      <w:r w:rsidRPr="009E3813">
        <w:rPr>
          <w:rFonts w:eastAsiaTheme="minorEastAsia"/>
          <w:lang w:val="en-GB"/>
        </w:rPr>
        <w:t xml:space="preserve"> </w:t>
      </w:r>
      <w:r w:rsidR="000A275D" w:rsidRPr="009E3813">
        <w:rPr>
          <w:rFonts w:eastAsiaTheme="minorEastAsia"/>
          <w:lang w:val="en-GB"/>
        </w:rPr>
        <w:t xml:space="preserve">It </w:t>
      </w:r>
      <w:r w:rsidRPr="009E3813">
        <w:rPr>
          <w:rFonts w:eastAsiaTheme="minorEastAsia"/>
          <w:lang w:val="en-GB"/>
        </w:rPr>
        <w:t xml:space="preserve">can lead to </w:t>
      </w:r>
      <w:r w:rsidR="00B86383" w:rsidRPr="009E3813">
        <w:rPr>
          <w:rFonts w:eastAsiaTheme="minorEastAsia"/>
          <w:lang w:val="en-GB"/>
        </w:rPr>
        <w:t>functional impairment (difficulties doing day-to-day activities)</w:t>
      </w:r>
      <w:r w:rsidRPr="009E3813">
        <w:rPr>
          <w:rFonts w:eastAsiaTheme="minorEastAsia" w:cs="Arial"/>
          <w:szCs w:val="24"/>
          <w:lang w:val="en-GB"/>
        </w:rPr>
        <w:t>.</w:t>
      </w:r>
      <w:r w:rsidR="00F21B54" w:rsidRPr="009E3813">
        <w:rPr>
          <w:rFonts w:eastAsiaTheme="minorEastAsia" w:cs="Arial"/>
          <w:szCs w:val="24"/>
          <w:lang w:val="en-GB"/>
        </w:rPr>
        <w:t xml:space="preserve"> </w:t>
      </w:r>
      <w:r w:rsidR="00B86383" w:rsidRPr="009E3813">
        <w:rPr>
          <w:rFonts w:eastAsiaTheme="minorEastAsia" w:cs="Arial"/>
          <w:szCs w:val="24"/>
          <w:lang w:val="en-GB"/>
        </w:rPr>
        <w:t xml:space="preserve">It </w:t>
      </w:r>
      <w:r w:rsidR="00992A22" w:rsidRPr="009E3813">
        <w:rPr>
          <w:rFonts w:eastAsiaTheme="minorEastAsia" w:cs="Arial"/>
          <w:szCs w:val="24"/>
          <w:lang w:val="en-GB"/>
        </w:rPr>
        <w:t xml:space="preserve">can </w:t>
      </w:r>
      <w:r w:rsidR="00B86383" w:rsidRPr="009E3813">
        <w:rPr>
          <w:rFonts w:eastAsiaTheme="minorEastAsia" w:cs="Arial"/>
          <w:szCs w:val="24"/>
          <w:lang w:val="en-GB"/>
        </w:rPr>
        <w:t xml:space="preserve">also </w:t>
      </w:r>
      <w:r w:rsidR="00992A22" w:rsidRPr="009E3813">
        <w:rPr>
          <w:rFonts w:eastAsiaTheme="minorEastAsia" w:cs="Arial"/>
          <w:szCs w:val="24"/>
          <w:lang w:val="en-GB"/>
        </w:rPr>
        <w:t xml:space="preserve">be associated </w:t>
      </w:r>
      <w:r w:rsidR="00422F17" w:rsidRPr="009E3813">
        <w:rPr>
          <w:rFonts w:eastAsiaTheme="minorEastAsia" w:cs="Arial"/>
          <w:szCs w:val="24"/>
          <w:lang w:val="en-GB"/>
        </w:rPr>
        <w:t>with</w:t>
      </w:r>
      <w:r w:rsidR="00992A22" w:rsidRPr="009E3813">
        <w:rPr>
          <w:rFonts w:eastAsiaTheme="minorEastAsia" w:cs="Arial"/>
          <w:szCs w:val="24"/>
          <w:lang w:val="en-GB"/>
        </w:rPr>
        <w:t xml:space="preserve"> </w:t>
      </w:r>
      <w:r w:rsidR="00170C34" w:rsidRPr="009E3813">
        <w:rPr>
          <w:rFonts w:eastAsiaTheme="minorEastAsia" w:cs="Arial"/>
          <w:szCs w:val="24"/>
          <w:lang w:val="en-GB"/>
        </w:rPr>
        <w:t xml:space="preserve">conditions affecting </w:t>
      </w:r>
      <w:r w:rsidR="00992A22" w:rsidRPr="009E3813">
        <w:rPr>
          <w:rFonts w:eastAsiaTheme="minorEastAsia" w:cs="Arial"/>
          <w:szCs w:val="24"/>
          <w:lang w:val="en-GB"/>
        </w:rPr>
        <w:t>the eyes,</w:t>
      </w:r>
      <w:r w:rsidR="00170C34" w:rsidRPr="009E3813">
        <w:rPr>
          <w:rFonts w:eastAsiaTheme="minorEastAsia" w:cs="Arial"/>
          <w:szCs w:val="24"/>
          <w:lang w:val="en-GB"/>
        </w:rPr>
        <w:t xml:space="preserve"> </w:t>
      </w:r>
      <w:r w:rsidR="009D3EBB" w:rsidRPr="009E3813">
        <w:rPr>
          <w:rFonts w:eastAsiaTheme="minorEastAsia" w:cs="Arial"/>
          <w:szCs w:val="24"/>
          <w:lang w:val="en-GB"/>
        </w:rPr>
        <w:t>bowel</w:t>
      </w:r>
      <w:r w:rsidR="00992A22" w:rsidRPr="009E3813">
        <w:rPr>
          <w:rFonts w:eastAsiaTheme="minorEastAsia" w:cs="Arial"/>
          <w:szCs w:val="24"/>
          <w:lang w:val="en-GB"/>
        </w:rPr>
        <w:t xml:space="preserve"> and skin</w:t>
      </w:r>
      <w:r w:rsidR="00170C34" w:rsidRPr="009E3813">
        <w:rPr>
          <w:rFonts w:eastAsiaTheme="minorEastAsia" w:cs="Arial"/>
          <w:szCs w:val="24"/>
          <w:lang w:val="en-GB"/>
        </w:rPr>
        <w:t>.</w:t>
      </w:r>
      <w:r w:rsidR="00AA0A92" w:rsidRPr="009E3813">
        <w:rPr>
          <w:rFonts w:eastAsiaTheme="minorEastAsia" w:cs="Arial"/>
          <w:szCs w:val="24"/>
          <w:lang w:val="en-GB"/>
        </w:rPr>
        <w:t xml:space="preserve"> </w:t>
      </w:r>
      <w:r w:rsidR="000A275D" w:rsidRPr="009E3813">
        <w:rPr>
          <w:rFonts w:eastAsiaTheme="minorEastAsia" w:cs="Arial"/>
          <w:szCs w:val="24"/>
          <w:lang w:val="en-GB"/>
        </w:rPr>
        <w:t xml:space="preserve">Axial </w:t>
      </w:r>
      <w:r w:rsidR="009E3813">
        <w:rPr>
          <w:rFonts w:eastAsiaTheme="minorEastAsia" w:cs="Arial"/>
          <w:szCs w:val="24"/>
          <w:lang w:val="en-GB"/>
        </w:rPr>
        <w:t>spondyloarthritis</w:t>
      </w:r>
      <w:r w:rsidR="009E3813" w:rsidRPr="009E3813">
        <w:rPr>
          <w:rFonts w:eastAsiaTheme="minorEastAsia" w:cs="Arial"/>
          <w:szCs w:val="24"/>
          <w:lang w:val="en-GB"/>
        </w:rPr>
        <w:t xml:space="preserve"> </w:t>
      </w:r>
      <w:r w:rsidR="000A275D" w:rsidRPr="009E3813">
        <w:rPr>
          <w:rFonts w:eastAsiaTheme="minorEastAsia" w:cs="Arial"/>
          <w:szCs w:val="24"/>
          <w:lang w:val="en-GB"/>
        </w:rPr>
        <w:t>is an umbrella term</w:t>
      </w:r>
      <w:r w:rsidR="004C1CDC">
        <w:rPr>
          <w:rFonts w:eastAsiaTheme="minorEastAsia" w:cs="Arial"/>
          <w:szCs w:val="24"/>
          <w:lang w:val="en-GB"/>
        </w:rPr>
        <w:t>. It includes</w:t>
      </w:r>
      <w:r w:rsidR="000A275D" w:rsidRPr="009E3813">
        <w:rPr>
          <w:rFonts w:eastAsiaTheme="minorEastAsia" w:cs="Arial"/>
          <w:szCs w:val="24"/>
          <w:lang w:val="en-GB"/>
        </w:rPr>
        <w:t xml:space="preserve"> </w:t>
      </w:r>
      <w:r w:rsidR="00F21B54" w:rsidRPr="009E3813">
        <w:rPr>
          <w:rFonts w:eastAsiaTheme="minorEastAsia" w:cs="Arial"/>
          <w:lang w:val="en-GB"/>
        </w:rPr>
        <w:t>radiographic disease</w:t>
      </w:r>
      <w:r w:rsidR="00DE0E94" w:rsidRPr="009E3813">
        <w:rPr>
          <w:rFonts w:eastAsiaTheme="minorEastAsia" w:cs="Arial"/>
          <w:lang w:val="en-GB"/>
        </w:rPr>
        <w:t xml:space="preserve">, </w:t>
      </w:r>
      <w:r w:rsidR="00F21B54" w:rsidRPr="009E3813">
        <w:rPr>
          <w:rFonts w:eastAsiaTheme="minorEastAsia" w:cs="Arial"/>
          <w:lang w:val="en-GB"/>
        </w:rPr>
        <w:t xml:space="preserve">known </w:t>
      </w:r>
      <w:r w:rsidR="00917E6F">
        <w:rPr>
          <w:rFonts w:eastAsiaTheme="minorEastAsia" w:cs="Arial"/>
          <w:lang w:val="en-GB"/>
        </w:rPr>
        <w:t xml:space="preserve">as </w:t>
      </w:r>
      <w:r w:rsidR="00F21B54" w:rsidRPr="009E3813">
        <w:rPr>
          <w:rFonts w:eastAsiaTheme="minorEastAsia" w:cs="Arial"/>
          <w:lang w:val="en-GB"/>
        </w:rPr>
        <w:t>ankylosing spondylitis</w:t>
      </w:r>
      <w:r w:rsidR="004C1CDC">
        <w:rPr>
          <w:rFonts w:eastAsiaTheme="minorEastAsia" w:cs="Arial"/>
          <w:lang w:val="en-GB"/>
        </w:rPr>
        <w:t xml:space="preserve"> (AS</w:t>
      </w:r>
      <w:r w:rsidR="00F21B54" w:rsidRPr="009E3813">
        <w:rPr>
          <w:rFonts w:eastAsiaTheme="minorEastAsia" w:cs="Arial"/>
          <w:lang w:val="en-GB"/>
        </w:rPr>
        <w:t>)</w:t>
      </w:r>
      <w:r w:rsidR="00317226">
        <w:rPr>
          <w:rFonts w:eastAsiaTheme="minorEastAsia" w:cs="Arial"/>
          <w:lang w:val="en-GB"/>
        </w:rPr>
        <w:t>,</w:t>
      </w:r>
      <w:r w:rsidR="00F21B54" w:rsidRPr="009E3813">
        <w:rPr>
          <w:rFonts w:eastAsiaTheme="minorEastAsia" w:cs="Arial"/>
          <w:lang w:val="en-GB"/>
        </w:rPr>
        <w:t xml:space="preserve"> </w:t>
      </w:r>
      <w:r w:rsidR="000A275D" w:rsidRPr="009E3813">
        <w:rPr>
          <w:rFonts w:eastAsiaTheme="minorEastAsia" w:cs="Arial"/>
          <w:lang w:val="en-GB"/>
        </w:rPr>
        <w:t xml:space="preserve">in which </w:t>
      </w:r>
      <w:r w:rsidR="00F21B54" w:rsidRPr="009E3813">
        <w:rPr>
          <w:rFonts w:eastAsiaTheme="minorEastAsia" w:cs="Arial"/>
          <w:lang w:val="en-GB"/>
        </w:rPr>
        <w:t xml:space="preserve">inflammatory changes in the sacroiliac joints or spine can be </w:t>
      </w:r>
      <w:r w:rsidR="00E325E4" w:rsidRPr="009E3813">
        <w:rPr>
          <w:rFonts w:eastAsiaTheme="minorEastAsia" w:cs="Arial"/>
          <w:lang w:val="en-GB"/>
        </w:rPr>
        <w:t>seen</w:t>
      </w:r>
      <w:r w:rsidR="00F21B54" w:rsidRPr="009E3813">
        <w:rPr>
          <w:rFonts w:eastAsiaTheme="minorEastAsia" w:cs="Arial"/>
          <w:lang w:val="en-GB"/>
        </w:rPr>
        <w:t xml:space="preserve"> on X</w:t>
      </w:r>
      <w:r w:rsidR="00317226">
        <w:rPr>
          <w:rFonts w:eastAsiaTheme="minorEastAsia" w:cs="Arial"/>
          <w:lang w:val="en-GB"/>
        </w:rPr>
        <w:noBreakHyphen/>
      </w:r>
      <w:r w:rsidR="00F21B54" w:rsidRPr="009E3813">
        <w:rPr>
          <w:rFonts w:eastAsiaTheme="minorEastAsia" w:cs="Arial"/>
          <w:lang w:val="en-GB"/>
        </w:rPr>
        <w:t xml:space="preserve">ray, and non-radiographic </w:t>
      </w:r>
      <w:r w:rsidR="00044D1B">
        <w:rPr>
          <w:rFonts w:eastAsiaTheme="minorEastAsia" w:cs="Arial"/>
          <w:lang w:val="en-GB"/>
        </w:rPr>
        <w:t>axial spondyloarthritis</w:t>
      </w:r>
      <w:r w:rsidR="00F21B54" w:rsidRPr="009E3813">
        <w:rPr>
          <w:rFonts w:eastAsiaTheme="minorEastAsia" w:cs="Arial"/>
          <w:lang w:val="en-GB"/>
        </w:rPr>
        <w:t xml:space="preserve"> </w:t>
      </w:r>
      <w:r w:rsidR="00DE0E94" w:rsidRPr="009E3813">
        <w:rPr>
          <w:rFonts w:eastAsiaTheme="minorEastAsia" w:cs="Arial"/>
          <w:lang w:val="en-GB"/>
        </w:rPr>
        <w:t>(nr-axSpA)</w:t>
      </w:r>
      <w:r w:rsidR="000A275D" w:rsidRPr="009E3813">
        <w:rPr>
          <w:rFonts w:eastAsiaTheme="minorEastAsia" w:cs="Arial"/>
          <w:lang w:val="en-GB"/>
        </w:rPr>
        <w:t>. Non-</w:t>
      </w:r>
      <w:r w:rsidR="000A275D" w:rsidRPr="009E3813">
        <w:rPr>
          <w:rFonts w:eastAsiaTheme="minorEastAsia" w:cs="Arial"/>
          <w:lang w:val="en-GB"/>
        </w:rPr>
        <w:lastRenderedPageBreak/>
        <w:t xml:space="preserve">radiographic means </w:t>
      </w:r>
      <w:r w:rsidR="00F21B54" w:rsidRPr="009E3813">
        <w:rPr>
          <w:rFonts w:eastAsiaTheme="minorEastAsia" w:cs="Arial"/>
          <w:lang w:val="en-GB"/>
        </w:rPr>
        <w:t xml:space="preserve">there is </w:t>
      </w:r>
      <w:r w:rsidR="000A275D" w:rsidRPr="009E3813">
        <w:rPr>
          <w:rFonts w:eastAsiaTheme="minorEastAsia" w:cs="Arial"/>
          <w:lang w:val="en-GB"/>
        </w:rPr>
        <w:t>no</w:t>
      </w:r>
      <w:r w:rsidR="00F21B54" w:rsidRPr="009E3813">
        <w:rPr>
          <w:rFonts w:eastAsiaTheme="minorEastAsia" w:cs="Arial"/>
          <w:lang w:val="en-GB"/>
        </w:rPr>
        <w:t xml:space="preserve"> visible structural damage on X-ray</w:t>
      </w:r>
      <w:r w:rsidR="00044D1B">
        <w:rPr>
          <w:rFonts w:eastAsiaTheme="minorEastAsia" w:cs="Arial"/>
          <w:lang w:val="en-GB"/>
        </w:rPr>
        <w:t xml:space="preserve"> but inflammation is visible on MRI or the person has symptoms</w:t>
      </w:r>
      <w:r w:rsidR="00F21B54" w:rsidRPr="009E3813">
        <w:rPr>
          <w:rFonts w:eastAsiaTheme="minorEastAsia" w:cs="Arial"/>
          <w:lang w:val="en-GB"/>
        </w:rPr>
        <w:t>.</w:t>
      </w:r>
      <w:r w:rsidR="005D6FE2" w:rsidRPr="009E3813">
        <w:rPr>
          <w:rFonts w:eastAsiaTheme="minorEastAsia" w:cs="Arial"/>
          <w:color w:val="000000" w:themeColor="text1"/>
          <w:kern w:val="24"/>
          <w:szCs w:val="24"/>
          <w:lang w:val="en-GB"/>
        </w:rPr>
        <w:t xml:space="preserve"> </w:t>
      </w:r>
      <w:r w:rsidR="0073391A" w:rsidRPr="009E3813">
        <w:rPr>
          <w:lang w:val="en-GB"/>
        </w:rPr>
        <w:t xml:space="preserve">The committee heard from the patient expert that </w:t>
      </w:r>
      <w:r w:rsidR="00E0677C" w:rsidRPr="009E3813">
        <w:rPr>
          <w:lang w:val="en-GB"/>
        </w:rPr>
        <w:t>symptoms are often present for a long time (</w:t>
      </w:r>
      <w:r w:rsidR="00E74156" w:rsidRPr="009E3813">
        <w:rPr>
          <w:lang w:val="en-GB"/>
        </w:rPr>
        <w:t>7</w:t>
      </w:r>
      <w:r w:rsidR="00E0677C" w:rsidRPr="009E3813">
        <w:rPr>
          <w:lang w:val="en-GB"/>
        </w:rPr>
        <w:t xml:space="preserve"> to </w:t>
      </w:r>
      <w:r w:rsidR="00E74156" w:rsidRPr="009E3813">
        <w:rPr>
          <w:lang w:val="en-GB"/>
        </w:rPr>
        <w:t>10 years</w:t>
      </w:r>
      <w:r w:rsidR="00E0677C" w:rsidRPr="009E3813">
        <w:rPr>
          <w:lang w:val="en-GB"/>
        </w:rPr>
        <w:t>)</w:t>
      </w:r>
      <w:r w:rsidR="00E74156" w:rsidRPr="009E3813">
        <w:rPr>
          <w:lang w:val="en-GB"/>
        </w:rPr>
        <w:t xml:space="preserve"> before </w:t>
      </w:r>
      <w:r w:rsidR="00E0677C" w:rsidRPr="009E3813">
        <w:rPr>
          <w:lang w:val="en-GB"/>
        </w:rPr>
        <w:t xml:space="preserve">the </w:t>
      </w:r>
      <w:r w:rsidR="00E74156" w:rsidRPr="009E3813">
        <w:rPr>
          <w:lang w:val="en-GB"/>
        </w:rPr>
        <w:t>diagnosis is made</w:t>
      </w:r>
      <w:r w:rsidR="00B86383" w:rsidRPr="009E3813">
        <w:rPr>
          <w:lang w:val="en-GB"/>
        </w:rPr>
        <w:t>,</w:t>
      </w:r>
      <w:r w:rsidR="004207D8" w:rsidRPr="009E3813">
        <w:rPr>
          <w:lang w:val="en-GB"/>
        </w:rPr>
        <w:t xml:space="preserve"> because symptoms can be non-specific and difficult to differentiate from other conditions</w:t>
      </w:r>
      <w:r w:rsidR="0073391A" w:rsidRPr="009E3813">
        <w:rPr>
          <w:lang w:val="en-GB"/>
        </w:rPr>
        <w:t xml:space="preserve">. </w:t>
      </w:r>
      <w:r w:rsidR="00AE0EE1" w:rsidRPr="009E3813">
        <w:rPr>
          <w:rFonts w:eastAsiaTheme="minorEastAsia" w:cs="Arial"/>
          <w:szCs w:val="24"/>
          <w:lang w:val="en-GB"/>
        </w:rPr>
        <w:t xml:space="preserve">Symptoms </w:t>
      </w:r>
      <w:r w:rsidR="00A165AC" w:rsidRPr="009E3813">
        <w:rPr>
          <w:rFonts w:cs="Arial"/>
          <w:color w:val="000000" w:themeColor="text1"/>
          <w:kern w:val="24"/>
          <w:szCs w:val="24"/>
          <w:lang w:val="en-GB"/>
        </w:rPr>
        <w:t>usually</w:t>
      </w:r>
      <w:r w:rsidRPr="009E3813">
        <w:rPr>
          <w:rFonts w:cs="Arial"/>
          <w:color w:val="000000" w:themeColor="text1"/>
          <w:kern w:val="24"/>
          <w:szCs w:val="24"/>
          <w:lang w:val="en-GB"/>
        </w:rPr>
        <w:t xml:space="preserve"> begin in adolescence or early adulthood</w:t>
      </w:r>
      <w:r w:rsidR="00A165AC" w:rsidRPr="009E3813">
        <w:rPr>
          <w:rFonts w:cs="Arial"/>
          <w:color w:val="000000" w:themeColor="text1"/>
          <w:kern w:val="24"/>
          <w:szCs w:val="24"/>
          <w:lang w:val="en-GB"/>
        </w:rPr>
        <w:t xml:space="preserve"> and </w:t>
      </w:r>
      <w:r w:rsidRPr="009E3813">
        <w:rPr>
          <w:lang w:val="en-GB"/>
        </w:rPr>
        <w:t xml:space="preserve">include chronic back pain, stiffness, </w:t>
      </w:r>
      <w:r w:rsidR="00A165AC" w:rsidRPr="009E3813">
        <w:rPr>
          <w:lang w:val="en-GB"/>
        </w:rPr>
        <w:t>j</w:t>
      </w:r>
      <w:r w:rsidRPr="009E3813">
        <w:rPr>
          <w:lang w:val="en-GB"/>
        </w:rPr>
        <w:t>oint and tendon pain, arthritis and swelling of the fingers.</w:t>
      </w:r>
      <w:r w:rsidR="0073391A" w:rsidRPr="009E3813">
        <w:rPr>
          <w:lang w:val="en-GB"/>
        </w:rPr>
        <w:t xml:space="preserve"> </w:t>
      </w:r>
      <w:r w:rsidR="0073391A" w:rsidRPr="009E3813">
        <w:rPr>
          <w:rFonts w:eastAsiaTheme="minorEastAsia" w:cs="Arial"/>
          <w:lang w:val="en-GB"/>
        </w:rPr>
        <w:t xml:space="preserve">A </w:t>
      </w:r>
      <w:r w:rsidR="0073391A" w:rsidRPr="009E3813">
        <w:rPr>
          <w:lang w:val="en-GB"/>
        </w:rPr>
        <w:t>patient group explained in its written submission that</w:t>
      </w:r>
      <w:r w:rsidR="00E74156" w:rsidRPr="009E3813">
        <w:rPr>
          <w:lang w:val="en-GB"/>
        </w:rPr>
        <w:t xml:space="preserve"> </w:t>
      </w:r>
      <w:r w:rsidR="00A165AC" w:rsidRPr="009E3813">
        <w:rPr>
          <w:lang w:val="en-GB"/>
        </w:rPr>
        <w:t>m</w:t>
      </w:r>
      <w:r w:rsidRPr="009E3813">
        <w:rPr>
          <w:lang w:val="en-GB"/>
        </w:rPr>
        <w:t xml:space="preserve">any </w:t>
      </w:r>
      <w:r w:rsidR="00A165AC" w:rsidRPr="009E3813">
        <w:rPr>
          <w:lang w:val="en-GB"/>
        </w:rPr>
        <w:t xml:space="preserve">people </w:t>
      </w:r>
      <w:r w:rsidRPr="009E3813">
        <w:rPr>
          <w:lang w:val="en-GB"/>
        </w:rPr>
        <w:t>experience depression, fatigue and poor sleep</w:t>
      </w:r>
      <w:r w:rsidR="00E26114" w:rsidRPr="009E3813">
        <w:rPr>
          <w:lang w:val="en-GB"/>
        </w:rPr>
        <w:t>.</w:t>
      </w:r>
      <w:r w:rsidRPr="009E3813">
        <w:rPr>
          <w:lang w:val="en-GB"/>
        </w:rPr>
        <w:t xml:space="preserve"> </w:t>
      </w:r>
      <w:r w:rsidR="00E26114" w:rsidRPr="009E3813">
        <w:rPr>
          <w:lang w:val="en-GB"/>
        </w:rPr>
        <w:t xml:space="preserve">This </w:t>
      </w:r>
      <w:r w:rsidR="00677C44" w:rsidRPr="009E3813">
        <w:rPr>
          <w:lang w:val="en-GB"/>
        </w:rPr>
        <w:t xml:space="preserve">can </w:t>
      </w:r>
      <w:r w:rsidR="00E26114" w:rsidRPr="009E3813">
        <w:rPr>
          <w:lang w:val="en-GB"/>
        </w:rPr>
        <w:t xml:space="preserve">have </w:t>
      </w:r>
      <w:r w:rsidRPr="009E3813">
        <w:rPr>
          <w:lang w:val="en-GB"/>
        </w:rPr>
        <w:t xml:space="preserve">a profound </w:t>
      </w:r>
      <w:r w:rsidR="00E26114" w:rsidRPr="009E3813">
        <w:rPr>
          <w:lang w:val="en-GB"/>
        </w:rPr>
        <w:t xml:space="preserve">effect </w:t>
      </w:r>
      <w:r w:rsidRPr="009E3813">
        <w:rPr>
          <w:lang w:val="en-GB"/>
        </w:rPr>
        <w:t>on quality of life</w:t>
      </w:r>
      <w:r w:rsidR="00E26114" w:rsidRPr="009E3813">
        <w:rPr>
          <w:lang w:val="en-GB"/>
        </w:rPr>
        <w:t xml:space="preserve"> and</w:t>
      </w:r>
      <w:r w:rsidR="00E0677C" w:rsidRPr="009E3813">
        <w:rPr>
          <w:lang w:val="en-GB"/>
        </w:rPr>
        <w:t xml:space="preserve"> affect education, work and the establishment of social frameworks and relationships</w:t>
      </w:r>
      <w:r w:rsidRPr="009E3813">
        <w:rPr>
          <w:lang w:val="en-GB"/>
        </w:rPr>
        <w:t xml:space="preserve">. </w:t>
      </w:r>
      <w:r w:rsidR="00E325E4" w:rsidRPr="009E3813">
        <w:rPr>
          <w:szCs w:val="24"/>
          <w:lang w:val="en-GB"/>
        </w:rPr>
        <w:t xml:space="preserve">The committee concluded that axial spondyloarthritis is a painful and debilitating condition that can </w:t>
      </w:r>
      <w:r w:rsidR="009802C8" w:rsidRPr="009E3813">
        <w:rPr>
          <w:szCs w:val="24"/>
          <w:lang w:val="en-GB"/>
        </w:rPr>
        <w:t>severely</w:t>
      </w:r>
      <w:r w:rsidR="00E325E4" w:rsidRPr="009E3813">
        <w:rPr>
          <w:szCs w:val="24"/>
          <w:lang w:val="en-GB"/>
        </w:rPr>
        <w:t xml:space="preserve"> affect quality of life</w:t>
      </w:r>
      <w:r w:rsidR="005B4AD8" w:rsidRPr="009E3813">
        <w:rPr>
          <w:szCs w:val="24"/>
          <w:lang w:val="en-GB"/>
        </w:rPr>
        <w:t>.</w:t>
      </w:r>
    </w:p>
    <w:p w14:paraId="33F4FBBC" w14:textId="2F9BBF46" w:rsidR="00E325E4" w:rsidRPr="009E3813" w:rsidRDefault="002C32F9" w:rsidP="00E325E4">
      <w:pPr>
        <w:pStyle w:val="Heading3"/>
      </w:pPr>
      <w:r w:rsidRPr="009E3813">
        <w:t>A</w:t>
      </w:r>
      <w:r w:rsidR="00E325E4" w:rsidRPr="009E3813">
        <w:t xml:space="preserve"> new treatment option would be valuable</w:t>
      </w:r>
      <w:r w:rsidR="00E26114" w:rsidRPr="009E3813">
        <w:t xml:space="preserve"> for patients</w:t>
      </w:r>
    </w:p>
    <w:p w14:paraId="03D7B420" w14:textId="407DDD43" w:rsidR="005D6FE2" w:rsidRPr="009E3813" w:rsidRDefault="000C2C9E" w:rsidP="00627A21">
      <w:pPr>
        <w:pStyle w:val="Numberedlevel2text"/>
        <w:rPr>
          <w:rFonts w:eastAsiaTheme="minorEastAsia" w:cs="Arial"/>
          <w:color w:val="000000" w:themeColor="text1"/>
          <w:kern w:val="24"/>
          <w:lang w:val="en-GB"/>
        </w:rPr>
      </w:pPr>
      <w:r w:rsidRPr="009E3813">
        <w:rPr>
          <w:lang w:val="en-GB"/>
        </w:rPr>
        <w:t>The</w:t>
      </w:r>
      <w:r w:rsidR="004C0549" w:rsidRPr="009E3813">
        <w:rPr>
          <w:lang w:val="en-GB"/>
        </w:rPr>
        <w:t xml:space="preserve"> patient organisation submission included a survey </w:t>
      </w:r>
      <w:r w:rsidR="00AE0EE1" w:rsidRPr="009E3813">
        <w:rPr>
          <w:rFonts w:cs="Arial"/>
          <w:color w:val="000000" w:themeColor="text1"/>
          <w:kern w:val="24"/>
          <w:szCs w:val="24"/>
          <w:lang w:val="en-GB"/>
        </w:rPr>
        <w:t>of</w:t>
      </w:r>
      <w:r w:rsidR="0024028F" w:rsidRPr="009E3813">
        <w:rPr>
          <w:rFonts w:cs="Arial"/>
          <w:color w:val="000000" w:themeColor="text1"/>
          <w:kern w:val="24"/>
          <w:szCs w:val="24"/>
          <w:lang w:val="en-GB"/>
        </w:rPr>
        <w:t xml:space="preserve"> 3</w:t>
      </w:r>
      <w:r w:rsidR="00066660">
        <w:rPr>
          <w:rFonts w:cs="Arial"/>
          <w:color w:val="000000" w:themeColor="text1"/>
          <w:kern w:val="24"/>
          <w:szCs w:val="24"/>
          <w:lang w:val="en-GB"/>
        </w:rPr>
        <w:t>03</w:t>
      </w:r>
      <w:r w:rsidR="00437CE6" w:rsidRPr="009E3813">
        <w:rPr>
          <w:rFonts w:cs="Arial"/>
          <w:color w:val="000000" w:themeColor="text1"/>
          <w:kern w:val="24"/>
          <w:szCs w:val="24"/>
          <w:lang w:val="en-GB"/>
        </w:rPr>
        <w:t> </w:t>
      </w:r>
      <w:r w:rsidR="00AE0EE1" w:rsidRPr="009E3813">
        <w:rPr>
          <w:rFonts w:cs="Arial"/>
          <w:color w:val="000000" w:themeColor="text1"/>
          <w:kern w:val="24"/>
          <w:szCs w:val="24"/>
          <w:lang w:val="en-GB"/>
        </w:rPr>
        <w:t>people with</w:t>
      </w:r>
      <w:r w:rsidR="00690F13" w:rsidRPr="009E3813">
        <w:rPr>
          <w:rFonts w:cs="Arial"/>
          <w:color w:val="000000" w:themeColor="text1"/>
          <w:kern w:val="24"/>
          <w:szCs w:val="24"/>
          <w:lang w:val="en-GB"/>
        </w:rPr>
        <w:t xml:space="preserve"> </w:t>
      </w:r>
      <w:r w:rsidR="00690F13" w:rsidRPr="009E3813">
        <w:rPr>
          <w:rFonts w:eastAsiaTheme="minorEastAsia"/>
          <w:lang w:val="en-GB"/>
        </w:rPr>
        <w:t>axial spondyloarthritis</w:t>
      </w:r>
      <w:r w:rsidR="00AE0EE1" w:rsidRPr="009E3813">
        <w:rPr>
          <w:rFonts w:cs="Arial"/>
          <w:color w:val="000000" w:themeColor="text1"/>
          <w:kern w:val="24"/>
          <w:szCs w:val="24"/>
          <w:lang w:val="en-GB"/>
        </w:rPr>
        <w:t xml:space="preserve"> </w:t>
      </w:r>
      <w:r w:rsidR="00677C44" w:rsidRPr="009E3813">
        <w:rPr>
          <w:rFonts w:cs="Arial"/>
          <w:color w:val="000000" w:themeColor="text1"/>
          <w:kern w:val="24"/>
          <w:szCs w:val="24"/>
          <w:lang w:val="en-GB"/>
        </w:rPr>
        <w:t>and their carers</w:t>
      </w:r>
      <w:r w:rsidR="00E26114" w:rsidRPr="009E3813">
        <w:rPr>
          <w:rFonts w:cs="Arial"/>
          <w:color w:val="000000" w:themeColor="text1"/>
          <w:kern w:val="24"/>
          <w:szCs w:val="24"/>
          <w:lang w:val="en-GB"/>
        </w:rPr>
        <w:t>,</w:t>
      </w:r>
      <w:r w:rsidR="00677C44" w:rsidRPr="009E3813">
        <w:rPr>
          <w:rFonts w:cs="Arial"/>
          <w:color w:val="000000" w:themeColor="text1"/>
          <w:kern w:val="24"/>
          <w:szCs w:val="24"/>
          <w:lang w:val="en-GB"/>
        </w:rPr>
        <w:t xml:space="preserve"> </w:t>
      </w:r>
      <w:r w:rsidR="00AE0EE1" w:rsidRPr="009E3813">
        <w:rPr>
          <w:rFonts w:cs="Arial"/>
          <w:color w:val="000000" w:themeColor="text1"/>
          <w:kern w:val="24"/>
          <w:szCs w:val="24"/>
          <w:lang w:val="en-GB"/>
        </w:rPr>
        <w:t>which showed</w:t>
      </w:r>
      <w:r w:rsidR="0024028F" w:rsidRPr="009E3813">
        <w:rPr>
          <w:rFonts w:cs="Arial"/>
          <w:color w:val="000000" w:themeColor="text1"/>
          <w:kern w:val="24"/>
          <w:szCs w:val="24"/>
          <w:lang w:val="en-GB"/>
        </w:rPr>
        <w:t xml:space="preserve"> a high unmet clinical need</w:t>
      </w:r>
      <w:r w:rsidR="00162EAC" w:rsidRPr="009E3813">
        <w:rPr>
          <w:rFonts w:cs="Arial"/>
          <w:color w:val="000000" w:themeColor="text1"/>
          <w:kern w:val="24"/>
          <w:szCs w:val="24"/>
          <w:lang w:val="en-GB"/>
        </w:rPr>
        <w:t xml:space="preserve"> for new treatments</w:t>
      </w:r>
      <w:r w:rsidR="0024028F" w:rsidRPr="009E3813">
        <w:rPr>
          <w:rFonts w:eastAsiaTheme="minorEastAsia" w:cs="Arial"/>
          <w:color w:val="000000" w:themeColor="text1"/>
          <w:kern w:val="24"/>
          <w:szCs w:val="24"/>
          <w:lang w:val="en-GB"/>
        </w:rPr>
        <w:t>.</w:t>
      </w:r>
      <w:r w:rsidR="00AE0EE1" w:rsidRPr="009E3813">
        <w:rPr>
          <w:rFonts w:eastAsiaTheme="minorEastAsia" w:cs="Arial"/>
          <w:color w:val="000000" w:themeColor="text1"/>
          <w:kern w:val="24"/>
          <w:szCs w:val="24"/>
          <w:lang w:val="en-GB"/>
        </w:rPr>
        <w:t xml:space="preserve"> </w:t>
      </w:r>
      <w:r w:rsidR="004C0549" w:rsidRPr="009E3813">
        <w:rPr>
          <w:rFonts w:eastAsiaTheme="minorEastAsia" w:cs="Arial"/>
          <w:color w:val="000000" w:themeColor="text1"/>
          <w:kern w:val="24"/>
          <w:szCs w:val="24"/>
          <w:lang w:val="en-GB"/>
        </w:rPr>
        <w:t xml:space="preserve">More than half the people surveyed </w:t>
      </w:r>
      <w:r w:rsidR="004C0549" w:rsidRPr="009E3813">
        <w:rPr>
          <w:rFonts w:eastAsiaTheme="minorEastAsia" w:cs="Arial"/>
          <w:color w:val="000000" w:themeColor="text1"/>
          <w:kern w:val="24"/>
          <w:lang w:val="en-GB"/>
        </w:rPr>
        <w:t xml:space="preserve">believed that current treatments </w:t>
      </w:r>
      <w:r w:rsidR="00575F1E" w:rsidRPr="009E3813">
        <w:rPr>
          <w:rFonts w:eastAsiaTheme="minorEastAsia"/>
          <w:lang w:val="en-GB"/>
        </w:rPr>
        <w:t xml:space="preserve">for axial spondyloarthritis </w:t>
      </w:r>
      <w:r w:rsidR="00627A21" w:rsidRPr="009E3813">
        <w:rPr>
          <w:rFonts w:eastAsiaTheme="minorEastAsia" w:cs="Arial"/>
          <w:color w:val="000000" w:themeColor="text1"/>
          <w:kern w:val="24"/>
          <w:lang w:val="en-GB"/>
        </w:rPr>
        <w:t>are</w:t>
      </w:r>
      <w:r w:rsidR="004C0549" w:rsidRPr="009E3813">
        <w:rPr>
          <w:rFonts w:eastAsiaTheme="minorEastAsia" w:cs="Arial"/>
          <w:color w:val="000000" w:themeColor="text1"/>
          <w:kern w:val="24"/>
          <w:lang w:val="en-GB"/>
        </w:rPr>
        <w:t xml:space="preserve"> not sufficient.</w:t>
      </w:r>
      <w:r w:rsidR="004C0549" w:rsidRPr="009E3813">
        <w:rPr>
          <w:rFonts w:eastAsiaTheme="minorEastAsia" w:cs="Arial"/>
          <w:color w:val="000000" w:themeColor="text1"/>
          <w:kern w:val="24"/>
          <w:szCs w:val="24"/>
          <w:lang w:val="en-GB"/>
        </w:rPr>
        <w:t xml:space="preserve"> For some people, no medication ha</w:t>
      </w:r>
      <w:r w:rsidRPr="009E3813">
        <w:rPr>
          <w:rFonts w:eastAsiaTheme="minorEastAsia" w:cs="Arial"/>
          <w:color w:val="000000" w:themeColor="text1"/>
          <w:kern w:val="24"/>
          <w:szCs w:val="24"/>
          <w:lang w:val="en-GB"/>
        </w:rPr>
        <w:t>s</w:t>
      </w:r>
      <w:r w:rsidR="004C0549" w:rsidRPr="009E3813">
        <w:rPr>
          <w:rFonts w:eastAsiaTheme="minorEastAsia" w:cs="Arial"/>
          <w:color w:val="000000" w:themeColor="text1"/>
          <w:kern w:val="24"/>
          <w:szCs w:val="24"/>
          <w:lang w:val="en-GB"/>
        </w:rPr>
        <w:t xml:space="preserve"> been effective</w:t>
      </w:r>
      <w:r w:rsidR="00B0769A" w:rsidRPr="009E3813">
        <w:rPr>
          <w:rFonts w:eastAsiaTheme="minorEastAsia" w:cs="Arial"/>
          <w:color w:val="000000" w:themeColor="text1"/>
          <w:kern w:val="24"/>
          <w:szCs w:val="24"/>
          <w:lang w:val="en-GB"/>
        </w:rPr>
        <w:t>.</w:t>
      </w:r>
      <w:r w:rsidR="004C0549" w:rsidRPr="009E3813">
        <w:rPr>
          <w:rFonts w:eastAsiaTheme="minorEastAsia" w:cs="Arial"/>
          <w:color w:val="000000" w:themeColor="text1"/>
          <w:kern w:val="24"/>
          <w:szCs w:val="24"/>
          <w:lang w:val="en-GB"/>
        </w:rPr>
        <w:t xml:space="preserve"> </w:t>
      </w:r>
      <w:r w:rsidR="00B0769A" w:rsidRPr="009E3813">
        <w:rPr>
          <w:rFonts w:eastAsiaTheme="minorEastAsia" w:cs="Arial"/>
          <w:color w:val="000000" w:themeColor="text1"/>
          <w:kern w:val="24"/>
          <w:szCs w:val="24"/>
          <w:lang w:val="en-GB"/>
        </w:rPr>
        <w:t xml:space="preserve">Others </w:t>
      </w:r>
      <w:r w:rsidRPr="009E3813">
        <w:rPr>
          <w:rFonts w:eastAsiaTheme="minorEastAsia" w:cs="Arial"/>
          <w:color w:val="000000" w:themeColor="text1"/>
          <w:kern w:val="24"/>
          <w:szCs w:val="24"/>
          <w:lang w:val="en-GB"/>
        </w:rPr>
        <w:t>can</w:t>
      </w:r>
      <w:r w:rsidR="004C0549" w:rsidRPr="009E3813">
        <w:rPr>
          <w:rFonts w:eastAsiaTheme="minorEastAsia" w:cs="Arial"/>
          <w:color w:val="000000" w:themeColor="text1"/>
          <w:kern w:val="24"/>
          <w:szCs w:val="24"/>
          <w:lang w:val="en-GB"/>
        </w:rPr>
        <w:t xml:space="preserve">not tolerate current treatments, </w:t>
      </w:r>
      <w:r w:rsidR="00F21B54" w:rsidRPr="009E3813">
        <w:rPr>
          <w:rFonts w:eastAsiaTheme="minorEastAsia" w:cs="Arial"/>
          <w:color w:val="000000" w:themeColor="text1"/>
          <w:kern w:val="24"/>
          <w:szCs w:val="24"/>
          <w:lang w:val="en-GB"/>
        </w:rPr>
        <w:t xml:space="preserve">and for some the </w:t>
      </w:r>
      <w:r w:rsidR="004C0549" w:rsidRPr="009E3813">
        <w:rPr>
          <w:rFonts w:eastAsiaTheme="minorEastAsia" w:cs="Arial"/>
          <w:color w:val="000000" w:themeColor="text1"/>
          <w:kern w:val="24"/>
          <w:szCs w:val="24"/>
          <w:lang w:val="en-GB"/>
        </w:rPr>
        <w:t xml:space="preserve">efficacy of treatment </w:t>
      </w:r>
      <w:r w:rsidR="00F21B54" w:rsidRPr="009E3813">
        <w:rPr>
          <w:rFonts w:eastAsiaTheme="minorEastAsia" w:cs="Arial"/>
          <w:color w:val="000000" w:themeColor="text1"/>
          <w:kern w:val="24"/>
          <w:szCs w:val="24"/>
          <w:lang w:val="en-GB"/>
        </w:rPr>
        <w:t>ha</w:t>
      </w:r>
      <w:r w:rsidRPr="009E3813">
        <w:rPr>
          <w:rFonts w:eastAsiaTheme="minorEastAsia" w:cs="Arial"/>
          <w:color w:val="000000" w:themeColor="text1"/>
          <w:kern w:val="24"/>
          <w:szCs w:val="24"/>
          <w:lang w:val="en-GB"/>
        </w:rPr>
        <w:t>s</w:t>
      </w:r>
      <w:r w:rsidR="00F21B54" w:rsidRPr="009E3813">
        <w:rPr>
          <w:rFonts w:eastAsiaTheme="minorEastAsia" w:cs="Arial"/>
          <w:color w:val="000000" w:themeColor="text1"/>
          <w:kern w:val="24"/>
          <w:szCs w:val="24"/>
          <w:lang w:val="en-GB"/>
        </w:rPr>
        <w:t xml:space="preserve"> worn</w:t>
      </w:r>
      <w:r w:rsidR="004C0549" w:rsidRPr="009E3813">
        <w:rPr>
          <w:rFonts w:eastAsiaTheme="minorEastAsia" w:cs="Arial"/>
          <w:color w:val="000000" w:themeColor="text1"/>
          <w:kern w:val="24"/>
          <w:szCs w:val="24"/>
          <w:lang w:val="en-GB"/>
        </w:rPr>
        <w:t xml:space="preserve"> off over time</w:t>
      </w:r>
      <w:r w:rsidR="00F21B54" w:rsidRPr="009E3813">
        <w:rPr>
          <w:rFonts w:eastAsiaTheme="minorEastAsia" w:cs="Arial"/>
          <w:color w:val="000000" w:themeColor="text1"/>
          <w:kern w:val="24"/>
          <w:szCs w:val="24"/>
          <w:lang w:val="en-GB"/>
        </w:rPr>
        <w:t>. There were also</w:t>
      </w:r>
      <w:r w:rsidR="004C0549" w:rsidRPr="009E3813">
        <w:rPr>
          <w:rFonts w:eastAsiaTheme="minorEastAsia" w:cs="Arial"/>
          <w:color w:val="000000" w:themeColor="text1"/>
          <w:kern w:val="24"/>
          <w:szCs w:val="24"/>
          <w:lang w:val="en-GB"/>
        </w:rPr>
        <w:t xml:space="preserve"> worries about possible side effects </w:t>
      </w:r>
      <w:r w:rsidR="00F21B54" w:rsidRPr="009E3813">
        <w:rPr>
          <w:rFonts w:eastAsiaTheme="minorEastAsia" w:cs="Arial"/>
          <w:color w:val="000000" w:themeColor="text1"/>
          <w:kern w:val="24"/>
          <w:szCs w:val="24"/>
          <w:lang w:val="en-GB"/>
        </w:rPr>
        <w:t xml:space="preserve">with current treatments </w:t>
      </w:r>
      <w:r w:rsidR="004C0549" w:rsidRPr="009E3813">
        <w:rPr>
          <w:rFonts w:eastAsiaTheme="minorEastAsia" w:cs="Arial"/>
          <w:color w:val="000000" w:themeColor="text1"/>
          <w:kern w:val="24"/>
          <w:szCs w:val="24"/>
          <w:lang w:val="en-GB"/>
        </w:rPr>
        <w:t xml:space="preserve">and concerns for patients with severe disease who do not meet </w:t>
      </w:r>
      <w:r w:rsidR="00B0769A" w:rsidRPr="009E3813">
        <w:rPr>
          <w:rFonts w:eastAsiaTheme="minorEastAsia" w:cs="Arial"/>
          <w:color w:val="000000" w:themeColor="text1"/>
          <w:kern w:val="24"/>
          <w:szCs w:val="24"/>
          <w:lang w:val="en-GB"/>
        </w:rPr>
        <w:t xml:space="preserve">the </w:t>
      </w:r>
      <w:r w:rsidR="004C0549" w:rsidRPr="009E3813">
        <w:rPr>
          <w:rFonts w:eastAsiaTheme="minorEastAsia" w:cs="Arial"/>
          <w:color w:val="000000" w:themeColor="text1"/>
          <w:kern w:val="24"/>
          <w:szCs w:val="24"/>
          <w:lang w:val="en-GB"/>
        </w:rPr>
        <w:t xml:space="preserve">criteria for </w:t>
      </w:r>
      <w:r w:rsidR="004C47CE" w:rsidRPr="009E3813">
        <w:rPr>
          <w:rFonts w:eastAsiaTheme="minorEastAsia" w:cs="Arial"/>
          <w:color w:val="000000" w:themeColor="text1"/>
          <w:kern w:val="24"/>
          <w:szCs w:val="24"/>
          <w:lang w:val="en-GB"/>
        </w:rPr>
        <w:t xml:space="preserve">current </w:t>
      </w:r>
      <w:r w:rsidR="004C0549" w:rsidRPr="009E3813">
        <w:rPr>
          <w:rFonts w:eastAsiaTheme="minorEastAsia" w:cs="Arial"/>
          <w:color w:val="000000" w:themeColor="text1"/>
          <w:kern w:val="24"/>
          <w:szCs w:val="24"/>
          <w:lang w:val="en-GB"/>
        </w:rPr>
        <w:t xml:space="preserve">biologic therapy. </w:t>
      </w:r>
      <w:r w:rsidR="00D70B8E" w:rsidRPr="009E3813">
        <w:rPr>
          <w:rFonts w:eastAsiaTheme="minorEastAsia" w:cs="Arial"/>
          <w:color w:val="000000" w:themeColor="text1"/>
          <w:kern w:val="24"/>
          <w:szCs w:val="24"/>
          <w:lang w:val="en-GB"/>
        </w:rPr>
        <w:t>Ixekizumab</w:t>
      </w:r>
      <w:r w:rsidR="00AE0EE1" w:rsidRPr="009E3813">
        <w:rPr>
          <w:rFonts w:eastAsiaTheme="minorEastAsia" w:cs="Arial"/>
          <w:color w:val="000000" w:themeColor="text1"/>
          <w:kern w:val="24"/>
          <w:szCs w:val="24"/>
          <w:lang w:val="en-GB"/>
        </w:rPr>
        <w:t xml:space="preserve"> works differently to </w:t>
      </w:r>
      <w:r w:rsidR="00E8670C" w:rsidRPr="009E3813">
        <w:rPr>
          <w:rFonts w:eastAsiaTheme="minorEastAsia" w:cs="Arial"/>
          <w:color w:val="000000" w:themeColor="text1"/>
          <w:kern w:val="24"/>
          <w:szCs w:val="24"/>
          <w:lang w:val="en-GB"/>
        </w:rPr>
        <w:t>tumour necrosis factor (</w:t>
      </w:r>
      <w:r w:rsidR="00AE0EE1" w:rsidRPr="009E3813">
        <w:rPr>
          <w:rFonts w:eastAsiaTheme="minorEastAsia" w:cs="Arial"/>
          <w:color w:val="000000" w:themeColor="text1"/>
          <w:kern w:val="24"/>
          <w:szCs w:val="24"/>
          <w:lang w:val="en-GB"/>
        </w:rPr>
        <w:t>TNF</w:t>
      </w:r>
      <w:r w:rsidR="00E8670C" w:rsidRPr="009E3813">
        <w:rPr>
          <w:rFonts w:eastAsiaTheme="minorEastAsia" w:cs="Arial"/>
          <w:color w:val="000000" w:themeColor="text1"/>
          <w:kern w:val="24"/>
          <w:szCs w:val="24"/>
          <w:lang w:val="en-GB"/>
        </w:rPr>
        <w:t>)</w:t>
      </w:r>
      <w:r w:rsidR="00AE0EE1" w:rsidRPr="009E3813">
        <w:rPr>
          <w:rFonts w:eastAsiaTheme="minorEastAsia" w:cs="Arial"/>
          <w:color w:val="000000" w:themeColor="text1"/>
          <w:kern w:val="24"/>
          <w:szCs w:val="24"/>
          <w:lang w:val="en-GB"/>
        </w:rPr>
        <w:t>-alpha inhibitors</w:t>
      </w:r>
      <w:r w:rsidR="00B0769A" w:rsidRPr="009E3813">
        <w:rPr>
          <w:rFonts w:eastAsiaTheme="minorEastAsia" w:cs="Arial"/>
          <w:color w:val="000000" w:themeColor="text1"/>
          <w:kern w:val="24"/>
          <w:szCs w:val="24"/>
          <w:lang w:val="en-GB"/>
        </w:rPr>
        <w:t>. It</w:t>
      </w:r>
      <w:r w:rsidR="00627A21" w:rsidRPr="009E3813">
        <w:rPr>
          <w:rFonts w:eastAsiaTheme="minorEastAsia" w:cs="Arial"/>
          <w:color w:val="000000" w:themeColor="text1"/>
          <w:kern w:val="24"/>
          <w:szCs w:val="24"/>
          <w:lang w:val="en-GB"/>
        </w:rPr>
        <w:t xml:space="preserve"> w</w:t>
      </w:r>
      <w:r w:rsidR="00AE0EE1" w:rsidRPr="009E3813">
        <w:rPr>
          <w:rFonts w:eastAsiaTheme="minorEastAsia" w:cs="Arial"/>
          <w:color w:val="000000" w:themeColor="text1"/>
          <w:kern w:val="24"/>
          <w:szCs w:val="24"/>
          <w:lang w:val="en-GB"/>
        </w:rPr>
        <w:t xml:space="preserve">ould be </w:t>
      </w:r>
      <w:r w:rsidRPr="009E3813">
        <w:rPr>
          <w:rFonts w:eastAsiaTheme="minorEastAsia" w:cs="Arial"/>
          <w:color w:val="000000" w:themeColor="text1"/>
          <w:kern w:val="24"/>
          <w:szCs w:val="24"/>
          <w:lang w:val="en-GB"/>
        </w:rPr>
        <w:t xml:space="preserve">particularly </w:t>
      </w:r>
      <w:r w:rsidR="00AE0EE1" w:rsidRPr="009E3813">
        <w:rPr>
          <w:rFonts w:eastAsiaTheme="minorEastAsia" w:cs="Arial"/>
          <w:color w:val="000000" w:themeColor="text1"/>
          <w:kern w:val="24"/>
          <w:szCs w:val="24"/>
          <w:lang w:val="en-GB"/>
        </w:rPr>
        <w:t>beneficial to patients</w:t>
      </w:r>
      <w:r w:rsidRPr="009E3813">
        <w:rPr>
          <w:rFonts w:eastAsiaTheme="minorEastAsia" w:cs="Arial"/>
          <w:color w:val="000000" w:themeColor="text1"/>
          <w:kern w:val="24"/>
          <w:szCs w:val="24"/>
          <w:lang w:val="en-GB"/>
        </w:rPr>
        <w:t xml:space="preserve"> </w:t>
      </w:r>
      <w:r w:rsidR="00627A21" w:rsidRPr="009E3813">
        <w:rPr>
          <w:rFonts w:cs="Arial"/>
          <w:color w:val="000000" w:themeColor="text1"/>
          <w:kern w:val="24"/>
          <w:szCs w:val="24"/>
          <w:lang w:val="en-GB"/>
        </w:rPr>
        <w:t xml:space="preserve">with non-radiographic </w:t>
      </w:r>
      <w:r w:rsidR="003873F5" w:rsidRPr="009E3813">
        <w:rPr>
          <w:szCs w:val="24"/>
          <w:lang w:val="en-GB"/>
        </w:rPr>
        <w:t>axial spondyloarthritis</w:t>
      </w:r>
      <w:r w:rsidR="003873F5" w:rsidRPr="009E3813">
        <w:rPr>
          <w:rFonts w:cs="Arial"/>
          <w:color w:val="000000" w:themeColor="text1"/>
          <w:kern w:val="24"/>
          <w:szCs w:val="24"/>
          <w:lang w:val="en-GB"/>
        </w:rPr>
        <w:t xml:space="preserve"> </w:t>
      </w:r>
      <w:r w:rsidR="00627A21" w:rsidRPr="009E3813">
        <w:rPr>
          <w:rFonts w:cs="Arial"/>
          <w:color w:val="000000" w:themeColor="text1"/>
          <w:kern w:val="24"/>
          <w:szCs w:val="24"/>
          <w:lang w:val="en-GB"/>
        </w:rPr>
        <w:t xml:space="preserve">for whom the only </w:t>
      </w:r>
      <w:r w:rsidR="00627A21" w:rsidRPr="009E3813">
        <w:rPr>
          <w:rFonts w:eastAsiaTheme="minorEastAsia" w:cs="Arial"/>
          <w:color w:val="000000" w:themeColor="text1"/>
          <w:kern w:val="24"/>
          <w:szCs w:val="24"/>
          <w:lang w:val="en-GB"/>
        </w:rPr>
        <w:t>biologic</w:t>
      </w:r>
      <w:r w:rsidR="00B0769A" w:rsidRPr="009E3813">
        <w:rPr>
          <w:rFonts w:eastAsiaTheme="minorEastAsia" w:cs="Arial"/>
          <w:color w:val="000000" w:themeColor="text1"/>
          <w:kern w:val="24"/>
          <w:szCs w:val="24"/>
          <w:lang w:val="en-GB"/>
        </w:rPr>
        <w:t>s</w:t>
      </w:r>
      <w:r w:rsidR="00627A21" w:rsidRPr="009E3813">
        <w:rPr>
          <w:rFonts w:eastAsiaTheme="minorEastAsia" w:cs="Arial"/>
          <w:color w:val="000000" w:themeColor="text1"/>
          <w:kern w:val="24"/>
          <w:szCs w:val="24"/>
          <w:lang w:val="en-GB"/>
        </w:rPr>
        <w:t xml:space="preserve"> available are</w:t>
      </w:r>
      <w:r w:rsidRPr="009E3813">
        <w:rPr>
          <w:rFonts w:eastAsiaTheme="minorEastAsia" w:cs="Arial"/>
          <w:color w:val="000000" w:themeColor="text1"/>
          <w:kern w:val="24"/>
          <w:szCs w:val="24"/>
          <w:lang w:val="en-GB"/>
        </w:rPr>
        <w:t xml:space="preserve"> </w:t>
      </w:r>
      <w:r w:rsidR="00627A21" w:rsidRPr="009E3813">
        <w:rPr>
          <w:rFonts w:eastAsiaTheme="minorEastAsia" w:cs="Arial"/>
          <w:color w:val="000000" w:themeColor="text1"/>
          <w:kern w:val="24"/>
          <w:szCs w:val="24"/>
          <w:lang w:val="en-GB"/>
        </w:rPr>
        <w:t xml:space="preserve">TNF-alpha inhibitors. </w:t>
      </w:r>
      <w:r w:rsidR="00E63D59" w:rsidRPr="009E3813">
        <w:rPr>
          <w:rFonts w:eastAsiaTheme="minorEastAsia" w:cs="Arial"/>
          <w:color w:val="000000" w:themeColor="text1"/>
          <w:kern w:val="24"/>
          <w:szCs w:val="24"/>
          <w:lang w:val="en-GB"/>
        </w:rPr>
        <w:t>Ixekizumab</w:t>
      </w:r>
      <w:r w:rsidRPr="009E3813">
        <w:rPr>
          <w:rFonts w:eastAsiaTheme="minorEastAsia" w:cs="Arial"/>
          <w:color w:val="000000" w:themeColor="text1"/>
          <w:kern w:val="24"/>
          <w:szCs w:val="24"/>
          <w:lang w:val="en-GB"/>
        </w:rPr>
        <w:t xml:space="preserve"> </w:t>
      </w:r>
      <w:r w:rsidR="00627A21" w:rsidRPr="009E3813">
        <w:rPr>
          <w:rFonts w:eastAsiaTheme="minorEastAsia" w:cs="Arial"/>
          <w:color w:val="000000" w:themeColor="text1"/>
          <w:kern w:val="24"/>
          <w:szCs w:val="24"/>
          <w:lang w:val="en-GB"/>
        </w:rPr>
        <w:t xml:space="preserve">would also provide an additional treatment </w:t>
      </w:r>
      <w:r w:rsidR="00B0769A" w:rsidRPr="009E3813">
        <w:rPr>
          <w:rFonts w:eastAsiaTheme="minorEastAsia" w:cs="Arial"/>
          <w:color w:val="000000" w:themeColor="text1"/>
          <w:kern w:val="24"/>
          <w:szCs w:val="24"/>
          <w:lang w:val="en-GB"/>
        </w:rPr>
        <w:t xml:space="preserve">option </w:t>
      </w:r>
      <w:r w:rsidR="00627A21" w:rsidRPr="009E3813">
        <w:rPr>
          <w:rFonts w:eastAsiaTheme="minorEastAsia" w:cs="Arial"/>
          <w:color w:val="000000" w:themeColor="text1"/>
          <w:kern w:val="24"/>
          <w:szCs w:val="24"/>
          <w:lang w:val="en-GB"/>
        </w:rPr>
        <w:t xml:space="preserve">for people with </w:t>
      </w:r>
      <w:r w:rsidR="003873F5" w:rsidRPr="009E3813">
        <w:rPr>
          <w:rFonts w:eastAsiaTheme="minorEastAsia" w:cs="Arial"/>
          <w:color w:val="000000" w:themeColor="text1"/>
          <w:kern w:val="24"/>
          <w:szCs w:val="24"/>
          <w:lang w:val="en-GB"/>
        </w:rPr>
        <w:t>radiographic disease</w:t>
      </w:r>
      <w:r w:rsidRPr="009E3813">
        <w:rPr>
          <w:rFonts w:eastAsiaTheme="minorEastAsia" w:cs="Arial"/>
          <w:color w:val="000000" w:themeColor="text1"/>
          <w:kern w:val="24"/>
          <w:szCs w:val="24"/>
          <w:lang w:val="en-GB"/>
        </w:rPr>
        <w:t>.</w:t>
      </w:r>
      <w:r w:rsidR="00B775CC" w:rsidRPr="009E3813">
        <w:rPr>
          <w:rFonts w:eastAsiaTheme="minorEastAsia" w:cs="Arial"/>
          <w:color w:val="000000" w:themeColor="text1"/>
          <w:kern w:val="24"/>
          <w:szCs w:val="24"/>
          <w:lang w:val="en-GB"/>
        </w:rPr>
        <w:t xml:space="preserve"> </w:t>
      </w:r>
      <w:r w:rsidR="00B775CC" w:rsidRPr="009E3813">
        <w:rPr>
          <w:lang w:val="en-GB"/>
        </w:rPr>
        <w:t xml:space="preserve">The patient expert </w:t>
      </w:r>
      <w:r w:rsidR="00B0769A" w:rsidRPr="009E3813">
        <w:rPr>
          <w:lang w:val="en-GB"/>
        </w:rPr>
        <w:t xml:space="preserve">stated </w:t>
      </w:r>
      <w:r w:rsidR="00B775CC" w:rsidRPr="009E3813">
        <w:rPr>
          <w:lang w:val="en-GB"/>
        </w:rPr>
        <w:t xml:space="preserve">that </w:t>
      </w:r>
      <w:r w:rsidR="004207D8" w:rsidRPr="009E3813">
        <w:rPr>
          <w:lang w:val="en-GB"/>
        </w:rPr>
        <w:t xml:space="preserve">having a choice of treatments is important to meet individual needs. </w:t>
      </w:r>
      <w:bookmarkStart w:id="3" w:name="_Hlk24556768"/>
      <w:r w:rsidR="00F21B54" w:rsidRPr="009E3813">
        <w:rPr>
          <w:lang w:val="en-GB"/>
        </w:rPr>
        <w:t xml:space="preserve">The committee concluded that the availability of an effective new treatment option would be valuable for people with </w:t>
      </w:r>
      <w:r w:rsidR="00F21B54" w:rsidRPr="009E3813">
        <w:rPr>
          <w:rFonts w:eastAsiaTheme="minorEastAsia"/>
          <w:lang w:val="en-GB"/>
        </w:rPr>
        <w:t>axial spondyloarthritis.</w:t>
      </w:r>
    </w:p>
    <w:p w14:paraId="2899C86F" w14:textId="1B5C713A" w:rsidR="00AE0EE1" w:rsidRPr="009E3813" w:rsidRDefault="009147F6" w:rsidP="00AE0EE1">
      <w:pPr>
        <w:pStyle w:val="Heading3"/>
      </w:pPr>
      <w:r w:rsidRPr="009E3813">
        <w:lastRenderedPageBreak/>
        <w:t xml:space="preserve">Ixekizumab </w:t>
      </w:r>
      <w:r w:rsidR="00E63D59" w:rsidRPr="009E3813">
        <w:t>would</w:t>
      </w:r>
      <w:r w:rsidRPr="009E3813">
        <w:t xml:space="preserve"> be used </w:t>
      </w:r>
      <w:r w:rsidR="006E4E92" w:rsidRPr="009E3813">
        <w:t xml:space="preserve">when </w:t>
      </w:r>
      <w:r w:rsidRPr="009E3813">
        <w:t xml:space="preserve">TNF-alpha inhibitors are not suitable or </w:t>
      </w:r>
      <w:r w:rsidR="002C32F9" w:rsidRPr="009E3813">
        <w:t>have not worked well enough</w:t>
      </w:r>
    </w:p>
    <w:p w14:paraId="415417CF" w14:textId="13800F1D" w:rsidR="008A5A72" w:rsidRPr="009E3813" w:rsidRDefault="00D46064">
      <w:pPr>
        <w:pStyle w:val="Numberedlevel2text"/>
        <w:numPr>
          <w:ilvl w:val="1"/>
          <w:numId w:val="1"/>
        </w:numPr>
        <w:rPr>
          <w:lang w:val="en-GB"/>
        </w:rPr>
      </w:pPr>
      <w:r w:rsidRPr="009E3813">
        <w:rPr>
          <w:lang w:val="en-GB"/>
        </w:rPr>
        <w:t xml:space="preserve">Conventional therapy </w:t>
      </w:r>
      <w:r w:rsidR="00162EAC" w:rsidRPr="009E3813">
        <w:rPr>
          <w:lang w:val="en-GB"/>
        </w:rPr>
        <w:t xml:space="preserve">for axial spondyloarthritis includes </w:t>
      </w:r>
      <w:r w:rsidR="00633FC3" w:rsidRPr="009E3813">
        <w:rPr>
          <w:lang w:val="en-GB"/>
        </w:rPr>
        <w:t>nonsteroidal</w:t>
      </w:r>
      <w:r w:rsidR="00162EAC" w:rsidRPr="009E3813">
        <w:rPr>
          <w:lang w:val="en-GB"/>
        </w:rPr>
        <w:t xml:space="preserve"> </w:t>
      </w:r>
      <w:r w:rsidR="00E63D59" w:rsidRPr="009E3813">
        <w:rPr>
          <w:lang w:val="en-GB"/>
        </w:rPr>
        <w:t>anti-</w:t>
      </w:r>
      <w:r w:rsidR="00162EAC" w:rsidRPr="009E3813">
        <w:rPr>
          <w:lang w:val="en-GB"/>
        </w:rPr>
        <w:t xml:space="preserve">inflammatory drugs </w:t>
      </w:r>
      <w:r w:rsidR="000C595C" w:rsidRPr="009E3813">
        <w:rPr>
          <w:lang w:val="en-GB"/>
        </w:rPr>
        <w:t xml:space="preserve">(NSAIDs) </w:t>
      </w:r>
      <w:r w:rsidR="00162EAC" w:rsidRPr="009E3813">
        <w:rPr>
          <w:lang w:val="en-GB"/>
        </w:rPr>
        <w:t xml:space="preserve">and physiotherapy. </w:t>
      </w:r>
      <w:r w:rsidR="00B0769A" w:rsidRPr="009E3813">
        <w:rPr>
          <w:lang w:val="en-GB"/>
        </w:rPr>
        <w:t xml:space="preserve">NICE technology appraisal guidance recommends </w:t>
      </w:r>
      <w:hyperlink r:id="rId10" w:history="1">
        <w:r w:rsidR="005266DA" w:rsidRPr="009E3813">
          <w:rPr>
            <w:rStyle w:val="Hyperlink"/>
            <w:lang w:val="en-GB"/>
          </w:rPr>
          <w:t>TNF-alpha inhibitors for disease that has not responded adequately to</w:t>
        </w:r>
        <w:r w:rsidR="00403400" w:rsidRPr="009E3813">
          <w:rPr>
            <w:rStyle w:val="Hyperlink"/>
            <w:lang w:val="en-GB"/>
          </w:rPr>
          <w:t xml:space="preserve"> conventional therapy</w:t>
        </w:r>
      </w:hyperlink>
      <w:r w:rsidR="007B04D7" w:rsidRPr="009E3813">
        <w:rPr>
          <w:lang w:val="en-GB"/>
        </w:rPr>
        <w:t xml:space="preserve">. </w:t>
      </w:r>
      <w:r w:rsidR="00B0769A" w:rsidRPr="009E3813">
        <w:rPr>
          <w:lang w:val="en-GB"/>
        </w:rPr>
        <w:t>Ixekizumab and secukinumab are both</w:t>
      </w:r>
      <w:r w:rsidR="002A7A19" w:rsidRPr="009E3813">
        <w:rPr>
          <w:lang w:val="en-GB"/>
        </w:rPr>
        <w:t xml:space="preserve"> </w:t>
      </w:r>
      <w:r w:rsidR="00E8670C" w:rsidRPr="009E3813">
        <w:rPr>
          <w:lang w:val="en-GB"/>
        </w:rPr>
        <w:t>interleukin (</w:t>
      </w:r>
      <w:r w:rsidR="002A7A19" w:rsidRPr="009E3813">
        <w:rPr>
          <w:rFonts w:eastAsiaTheme="minorEastAsia" w:cs="Arial"/>
          <w:color w:val="000000" w:themeColor="text1"/>
          <w:kern w:val="24"/>
          <w:szCs w:val="24"/>
          <w:lang w:val="en-GB"/>
        </w:rPr>
        <w:t>IL</w:t>
      </w:r>
      <w:r w:rsidR="00E8670C" w:rsidRPr="009E3813">
        <w:rPr>
          <w:rFonts w:eastAsiaTheme="minorEastAsia" w:cs="Arial"/>
          <w:color w:val="000000" w:themeColor="text1"/>
          <w:kern w:val="24"/>
          <w:szCs w:val="24"/>
          <w:lang w:val="en-GB"/>
        </w:rPr>
        <w:t>)</w:t>
      </w:r>
      <w:r w:rsidR="000C7ACA" w:rsidRPr="009E3813">
        <w:rPr>
          <w:rFonts w:eastAsiaTheme="minorEastAsia" w:cs="Arial"/>
          <w:color w:val="000000" w:themeColor="text1"/>
          <w:kern w:val="24"/>
          <w:szCs w:val="24"/>
          <w:lang w:val="en-GB"/>
        </w:rPr>
        <w:noBreakHyphen/>
      </w:r>
      <w:r w:rsidR="002A7A19" w:rsidRPr="009E3813">
        <w:rPr>
          <w:rFonts w:eastAsiaTheme="minorEastAsia" w:cs="Arial"/>
          <w:color w:val="000000" w:themeColor="text1"/>
          <w:kern w:val="24"/>
          <w:szCs w:val="24"/>
          <w:lang w:val="en-GB"/>
        </w:rPr>
        <w:t>17-a inhibitor</w:t>
      </w:r>
      <w:r w:rsidR="00B0769A" w:rsidRPr="009E3813">
        <w:rPr>
          <w:rFonts w:eastAsiaTheme="minorEastAsia" w:cs="Arial"/>
          <w:color w:val="000000" w:themeColor="text1"/>
          <w:kern w:val="24"/>
          <w:szCs w:val="24"/>
          <w:lang w:val="en-GB"/>
        </w:rPr>
        <w:t>s</w:t>
      </w:r>
      <w:r w:rsidR="00D2626E" w:rsidRPr="009E3813">
        <w:rPr>
          <w:rFonts w:eastAsiaTheme="minorEastAsia" w:cs="Arial"/>
          <w:color w:val="000000" w:themeColor="text1"/>
          <w:kern w:val="24"/>
          <w:szCs w:val="24"/>
          <w:lang w:val="en-GB"/>
        </w:rPr>
        <w:t>.</w:t>
      </w:r>
      <w:r w:rsidR="007B04D7" w:rsidRPr="009E3813">
        <w:rPr>
          <w:lang w:val="en-GB"/>
        </w:rPr>
        <w:t xml:space="preserve"> </w:t>
      </w:r>
      <w:r w:rsidR="00B0769A" w:rsidRPr="009E3813">
        <w:rPr>
          <w:lang w:val="en-GB"/>
        </w:rPr>
        <w:t xml:space="preserve">NICE’s technology appraisal guidance recommends </w:t>
      </w:r>
      <w:hyperlink r:id="rId11" w:history="1">
        <w:r w:rsidR="00317226">
          <w:rPr>
            <w:rStyle w:val="Hyperlink"/>
            <w:lang w:val="en-GB"/>
          </w:rPr>
          <w:t>secukinumab as a treatment option for active ankylosing spondylitis</w:t>
        </w:r>
      </w:hyperlink>
      <w:r w:rsidR="000C595C" w:rsidRPr="009E3813">
        <w:rPr>
          <w:lang w:val="en-GB"/>
        </w:rPr>
        <w:t xml:space="preserve"> </w:t>
      </w:r>
      <w:r w:rsidR="00B0769A" w:rsidRPr="009E3813">
        <w:rPr>
          <w:lang w:val="en-GB"/>
        </w:rPr>
        <w:t>that</w:t>
      </w:r>
      <w:r w:rsidR="007B04D7" w:rsidRPr="009E3813">
        <w:rPr>
          <w:lang w:val="en-GB"/>
        </w:rPr>
        <w:t xml:space="preserve"> has responded inadequately to </w:t>
      </w:r>
      <w:r w:rsidR="000C595C" w:rsidRPr="009E3813">
        <w:rPr>
          <w:lang w:val="en-GB"/>
        </w:rPr>
        <w:t>NSAIDs</w:t>
      </w:r>
      <w:r w:rsidR="007B04D7" w:rsidRPr="009E3813">
        <w:rPr>
          <w:lang w:val="en-GB"/>
        </w:rPr>
        <w:t xml:space="preserve"> or TNF-alpha </w:t>
      </w:r>
      <w:r w:rsidR="009F357D" w:rsidRPr="009E3813">
        <w:rPr>
          <w:lang w:val="en-GB"/>
        </w:rPr>
        <w:t>inhibitors</w:t>
      </w:r>
      <w:r w:rsidR="00B0769A" w:rsidRPr="009E3813">
        <w:rPr>
          <w:lang w:val="en-GB"/>
        </w:rPr>
        <w:t>.</w:t>
      </w:r>
      <w:r w:rsidR="009F357D" w:rsidRPr="009E3813">
        <w:rPr>
          <w:lang w:val="en-GB"/>
        </w:rPr>
        <w:t xml:space="preserve"> </w:t>
      </w:r>
      <w:r w:rsidR="00B0769A" w:rsidRPr="009E3813">
        <w:rPr>
          <w:lang w:val="en-GB"/>
        </w:rPr>
        <w:t xml:space="preserve">Secukinumab </w:t>
      </w:r>
      <w:r w:rsidR="007B04D7" w:rsidRPr="009E3813">
        <w:rPr>
          <w:lang w:val="en-GB"/>
        </w:rPr>
        <w:t xml:space="preserve">is </w:t>
      </w:r>
      <w:r w:rsidR="00B42F1E" w:rsidRPr="009E3813">
        <w:rPr>
          <w:lang w:val="en-GB"/>
        </w:rPr>
        <w:t xml:space="preserve">currently </w:t>
      </w:r>
      <w:r w:rsidR="007B04D7" w:rsidRPr="009E3813">
        <w:rPr>
          <w:lang w:val="en-GB"/>
        </w:rPr>
        <w:t xml:space="preserve">being appraised for </w:t>
      </w:r>
      <w:r w:rsidR="00B0769A" w:rsidRPr="009E3813">
        <w:rPr>
          <w:lang w:val="en-GB"/>
        </w:rPr>
        <w:t xml:space="preserve">treating </w:t>
      </w:r>
      <w:r w:rsidR="00E63D59" w:rsidRPr="009E3813">
        <w:rPr>
          <w:lang w:val="en-GB"/>
        </w:rPr>
        <w:t>nr-axSpA</w:t>
      </w:r>
      <w:r w:rsidR="007B04D7" w:rsidRPr="009E3813">
        <w:rPr>
          <w:lang w:val="en-GB"/>
        </w:rPr>
        <w:t xml:space="preserve">. </w:t>
      </w:r>
      <w:r w:rsidR="00AE0EE1" w:rsidRPr="009E3813">
        <w:rPr>
          <w:lang w:val="en-GB"/>
        </w:rPr>
        <w:t>The scope</w:t>
      </w:r>
      <w:r w:rsidR="00AE4DE2" w:rsidRPr="009E3813">
        <w:rPr>
          <w:lang w:val="en-GB"/>
        </w:rPr>
        <w:t xml:space="preserve"> for ixekizumab </w:t>
      </w:r>
      <w:r w:rsidR="00AE0EE1" w:rsidRPr="009E3813">
        <w:rPr>
          <w:lang w:val="en-GB"/>
        </w:rPr>
        <w:t xml:space="preserve">issued by NICE is for people with </w:t>
      </w:r>
      <w:r w:rsidR="00E63D59" w:rsidRPr="009E3813">
        <w:rPr>
          <w:lang w:val="en-GB"/>
        </w:rPr>
        <w:t xml:space="preserve">axial spondyloarthritis </w:t>
      </w:r>
      <w:r w:rsidR="00AE0EE1" w:rsidRPr="009E3813">
        <w:rPr>
          <w:lang w:val="en-GB"/>
        </w:rPr>
        <w:t xml:space="preserve">for whom NSAIDs or </w:t>
      </w:r>
      <w:r w:rsidR="008A5A72" w:rsidRPr="009E3813">
        <w:rPr>
          <w:lang w:val="en-GB"/>
        </w:rPr>
        <w:t xml:space="preserve">TNF-alpha inhibitors </w:t>
      </w:r>
      <w:r w:rsidR="00AE0EE1" w:rsidRPr="009E3813">
        <w:rPr>
          <w:lang w:val="en-GB"/>
        </w:rPr>
        <w:t xml:space="preserve">have been inadequately effective or not tolerated, or are contraindicated. </w:t>
      </w:r>
      <w:r w:rsidR="00B42F1E" w:rsidRPr="009E3813">
        <w:rPr>
          <w:lang w:val="en-GB"/>
        </w:rPr>
        <w:t>In its response to technical engagement, t</w:t>
      </w:r>
      <w:r w:rsidR="00AE0EE1" w:rsidRPr="009E3813">
        <w:rPr>
          <w:lang w:val="en-GB"/>
        </w:rPr>
        <w:t xml:space="preserve">he company </w:t>
      </w:r>
      <w:r w:rsidR="00E63D59" w:rsidRPr="009E3813">
        <w:rPr>
          <w:lang w:val="en-GB"/>
        </w:rPr>
        <w:t>stated</w:t>
      </w:r>
      <w:r w:rsidR="0009636A" w:rsidRPr="009E3813">
        <w:rPr>
          <w:lang w:val="en-GB"/>
        </w:rPr>
        <w:t xml:space="preserve"> </w:t>
      </w:r>
      <w:r w:rsidR="00AE0EE1" w:rsidRPr="009E3813">
        <w:rPr>
          <w:lang w:val="en-GB"/>
        </w:rPr>
        <w:t>that ixekizumab would be used primarily</w:t>
      </w:r>
      <w:r w:rsidR="00B04802" w:rsidRPr="009E3813">
        <w:rPr>
          <w:lang w:val="en-GB"/>
        </w:rPr>
        <w:t xml:space="preserve"> </w:t>
      </w:r>
      <w:r w:rsidR="00B42F1E" w:rsidRPr="009E3813">
        <w:rPr>
          <w:lang w:val="en-GB"/>
        </w:rPr>
        <w:t>when</w:t>
      </w:r>
      <w:r w:rsidR="00B04802" w:rsidRPr="009E3813">
        <w:rPr>
          <w:lang w:val="en-GB"/>
        </w:rPr>
        <w:t xml:space="preserve"> TNF-alpha inhibitors are not suitable or in </w:t>
      </w:r>
      <w:r w:rsidR="00B42F1E" w:rsidRPr="009E3813">
        <w:rPr>
          <w:lang w:val="en-GB"/>
        </w:rPr>
        <w:t>people</w:t>
      </w:r>
      <w:r w:rsidR="00B04802" w:rsidRPr="009E3813">
        <w:rPr>
          <w:lang w:val="en-GB"/>
        </w:rPr>
        <w:t xml:space="preserve"> who </w:t>
      </w:r>
      <w:r w:rsidR="00B42F1E" w:rsidRPr="009E3813">
        <w:rPr>
          <w:lang w:val="en-GB"/>
        </w:rPr>
        <w:t xml:space="preserve">have </w:t>
      </w:r>
      <w:r w:rsidR="00B04802" w:rsidRPr="009E3813">
        <w:rPr>
          <w:lang w:val="en-GB"/>
        </w:rPr>
        <w:t xml:space="preserve">had an inadequate response to TNF-alpha inhibitors. </w:t>
      </w:r>
      <w:r w:rsidR="00E55192" w:rsidRPr="009E3813">
        <w:rPr>
          <w:lang w:val="en-GB"/>
        </w:rPr>
        <w:t xml:space="preserve">The clinical experts explained that IL-17-a inhibitors are most needed in </w:t>
      </w:r>
      <w:r w:rsidR="00277A85" w:rsidRPr="009E3813">
        <w:rPr>
          <w:lang w:val="en-GB"/>
        </w:rPr>
        <w:t>people</w:t>
      </w:r>
      <w:r w:rsidR="00E55192" w:rsidRPr="009E3813">
        <w:rPr>
          <w:lang w:val="en-GB"/>
        </w:rPr>
        <w:t xml:space="preserve"> with tolerability issues or contraindications</w:t>
      </w:r>
      <w:r w:rsidR="008A5A72" w:rsidRPr="009E3813">
        <w:rPr>
          <w:lang w:val="en-GB"/>
        </w:rPr>
        <w:t xml:space="preserve"> to TNF-alpha inhibitors, </w:t>
      </w:r>
      <w:r w:rsidR="00277A85" w:rsidRPr="009E3813">
        <w:rPr>
          <w:lang w:val="en-GB"/>
        </w:rPr>
        <w:t xml:space="preserve">in people </w:t>
      </w:r>
      <w:r w:rsidR="00481D88" w:rsidRPr="009E3813">
        <w:rPr>
          <w:lang w:val="en-GB"/>
        </w:rPr>
        <w:t xml:space="preserve">with disease that does not respond to TNF-alpha inhibitors (that is, </w:t>
      </w:r>
      <w:r w:rsidR="008A5A72" w:rsidRPr="009E3813">
        <w:rPr>
          <w:lang w:val="en-GB"/>
        </w:rPr>
        <w:t>primary non-response</w:t>
      </w:r>
      <w:r w:rsidR="00481D88" w:rsidRPr="009E3813">
        <w:rPr>
          <w:lang w:val="en-GB"/>
        </w:rPr>
        <w:t>)</w:t>
      </w:r>
      <w:r w:rsidR="008A5A72" w:rsidRPr="009E3813">
        <w:rPr>
          <w:lang w:val="en-GB"/>
        </w:rPr>
        <w:t xml:space="preserve"> o</w:t>
      </w:r>
      <w:r w:rsidR="00E55192" w:rsidRPr="009E3813">
        <w:rPr>
          <w:lang w:val="en-GB"/>
        </w:rPr>
        <w:t xml:space="preserve">r </w:t>
      </w:r>
      <w:r w:rsidR="00481D88" w:rsidRPr="009E3813">
        <w:rPr>
          <w:lang w:val="en-GB"/>
        </w:rPr>
        <w:t xml:space="preserve">in people in whom the response is </w:t>
      </w:r>
      <w:r w:rsidR="000B2D44" w:rsidRPr="009E3813">
        <w:rPr>
          <w:lang w:val="en-GB"/>
        </w:rPr>
        <w:t>p</w:t>
      </w:r>
      <w:r w:rsidR="00EC4E11" w:rsidRPr="009E3813">
        <w:rPr>
          <w:lang w:val="en-GB"/>
        </w:rPr>
        <w:t>o</w:t>
      </w:r>
      <w:r w:rsidR="000B2D44" w:rsidRPr="009E3813">
        <w:rPr>
          <w:lang w:val="en-GB"/>
        </w:rPr>
        <w:t xml:space="preserve">or or </w:t>
      </w:r>
      <w:r w:rsidR="00481D88" w:rsidRPr="009E3813">
        <w:rPr>
          <w:lang w:val="en-GB"/>
        </w:rPr>
        <w:t xml:space="preserve">lost after </w:t>
      </w:r>
      <w:r w:rsidR="00DA7F5D" w:rsidRPr="009E3813">
        <w:rPr>
          <w:lang w:val="en-GB"/>
        </w:rPr>
        <w:t>T</w:t>
      </w:r>
      <w:r w:rsidR="00481D88" w:rsidRPr="009E3813">
        <w:rPr>
          <w:lang w:val="en-GB"/>
        </w:rPr>
        <w:t xml:space="preserve">NF-alpha </w:t>
      </w:r>
      <w:r w:rsidR="00DA7F5D" w:rsidRPr="009E3813">
        <w:rPr>
          <w:lang w:val="en-GB"/>
        </w:rPr>
        <w:t>inhibitor</w:t>
      </w:r>
      <w:r w:rsidR="00EC4E11" w:rsidRPr="009E3813">
        <w:rPr>
          <w:lang w:val="en-GB"/>
        </w:rPr>
        <w:t xml:space="preserve"> therapy</w:t>
      </w:r>
      <w:r w:rsidR="008A5A72" w:rsidRPr="009E3813">
        <w:rPr>
          <w:lang w:val="en-GB"/>
        </w:rPr>
        <w:t xml:space="preserve">. </w:t>
      </w:r>
      <w:r w:rsidR="00481D88" w:rsidRPr="009E3813">
        <w:rPr>
          <w:lang w:val="en-GB"/>
        </w:rPr>
        <w:t xml:space="preserve">IL-17-a inhibitors </w:t>
      </w:r>
      <w:r w:rsidR="00B42F1E" w:rsidRPr="009E3813">
        <w:rPr>
          <w:lang w:val="en-GB"/>
        </w:rPr>
        <w:t xml:space="preserve">would not </w:t>
      </w:r>
      <w:r w:rsidR="00277A85" w:rsidRPr="009E3813">
        <w:rPr>
          <w:lang w:val="en-GB"/>
        </w:rPr>
        <w:t xml:space="preserve">be expected to </w:t>
      </w:r>
      <w:r w:rsidR="00B42F1E" w:rsidRPr="009E3813">
        <w:rPr>
          <w:lang w:val="en-GB"/>
        </w:rPr>
        <w:t xml:space="preserve">replace TNF-alpha inhibitors as </w:t>
      </w:r>
      <w:r w:rsidR="001155C0" w:rsidRPr="009E3813">
        <w:rPr>
          <w:lang w:val="en-GB"/>
        </w:rPr>
        <w:t xml:space="preserve">the standard </w:t>
      </w:r>
      <w:r w:rsidR="00B42F1E" w:rsidRPr="009E3813">
        <w:rPr>
          <w:lang w:val="en-GB"/>
        </w:rPr>
        <w:t>first</w:t>
      </w:r>
      <w:r w:rsidR="000C7ACA" w:rsidRPr="009E3813">
        <w:rPr>
          <w:lang w:val="en-GB"/>
        </w:rPr>
        <w:t>-</w:t>
      </w:r>
      <w:r w:rsidR="00B42F1E" w:rsidRPr="009E3813">
        <w:rPr>
          <w:lang w:val="en-GB"/>
        </w:rPr>
        <w:t xml:space="preserve">line treatment because </w:t>
      </w:r>
      <w:r w:rsidR="001155C0" w:rsidRPr="009E3813">
        <w:rPr>
          <w:lang w:val="en-GB"/>
        </w:rPr>
        <w:t xml:space="preserve">they are more expensive and there is less clinical experience with using them. </w:t>
      </w:r>
      <w:r w:rsidR="009147F6" w:rsidRPr="009E3813">
        <w:rPr>
          <w:lang w:val="en-GB"/>
        </w:rPr>
        <w:t xml:space="preserve">The committee </w:t>
      </w:r>
      <w:r w:rsidR="00AC2968" w:rsidRPr="009E3813">
        <w:rPr>
          <w:lang w:val="en-GB"/>
        </w:rPr>
        <w:t>concluded</w:t>
      </w:r>
      <w:r w:rsidR="00B42F1E" w:rsidRPr="009E3813">
        <w:rPr>
          <w:lang w:val="en-GB"/>
        </w:rPr>
        <w:t xml:space="preserve"> that</w:t>
      </w:r>
      <w:r w:rsidR="009147F6" w:rsidRPr="009E3813">
        <w:rPr>
          <w:lang w:val="en-GB"/>
        </w:rPr>
        <w:t xml:space="preserve"> ixekizumab would </w:t>
      </w:r>
      <w:r w:rsidR="00AC2968" w:rsidRPr="009E3813">
        <w:rPr>
          <w:lang w:val="en-GB"/>
        </w:rPr>
        <w:t xml:space="preserve">be used </w:t>
      </w:r>
      <w:r w:rsidR="00B42F1E" w:rsidRPr="009E3813">
        <w:rPr>
          <w:lang w:val="en-GB"/>
        </w:rPr>
        <w:t>when</w:t>
      </w:r>
      <w:r w:rsidR="009147F6" w:rsidRPr="009E3813">
        <w:rPr>
          <w:lang w:val="en-GB"/>
        </w:rPr>
        <w:t xml:space="preserve"> TNF-alpha inhibitors are </w:t>
      </w:r>
      <w:r w:rsidR="00B42F1E" w:rsidRPr="009E3813">
        <w:rPr>
          <w:lang w:val="en-GB"/>
        </w:rPr>
        <w:t xml:space="preserve">contraindicated or otherwise </w:t>
      </w:r>
      <w:r w:rsidR="009147F6" w:rsidRPr="009E3813">
        <w:rPr>
          <w:lang w:val="en-GB"/>
        </w:rPr>
        <w:t xml:space="preserve">not suitable, </w:t>
      </w:r>
      <w:r w:rsidR="00BA1740" w:rsidRPr="009E3813">
        <w:rPr>
          <w:lang w:val="en-GB"/>
        </w:rPr>
        <w:t>after</w:t>
      </w:r>
      <w:r w:rsidR="009147F6" w:rsidRPr="009E3813">
        <w:rPr>
          <w:lang w:val="en-GB"/>
        </w:rPr>
        <w:t xml:space="preserve"> primary non-response to </w:t>
      </w:r>
      <w:r w:rsidR="001155C0" w:rsidRPr="009E3813">
        <w:rPr>
          <w:lang w:val="en-GB"/>
        </w:rPr>
        <w:t>a</w:t>
      </w:r>
      <w:r w:rsidR="009147F6" w:rsidRPr="009E3813">
        <w:rPr>
          <w:lang w:val="en-GB"/>
        </w:rPr>
        <w:t xml:space="preserve"> TNF-alpha inhibitor or </w:t>
      </w:r>
      <w:r w:rsidR="00BA1740" w:rsidRPr="009E3813">
        <w:rPr>
          <w:lang w:val="en-GB"/>
        </w:rPr>
        <w:t>after</w:t>
      </w:r>
      <w:r w:rsidR="009147F6" w:rsidRPr="009E3813">
        <w:rPr>
          <w:lang w:val="en-GB"/>
        </w:rPr>
        <w:t xml:space="preserve"> </w:t>
      </w:r>
      <w:r w:rsidR="00453A34" w:rsidRPr="009E3813">
        <w:rPr>
          <w:lang w:val="en-GB"/>
        </w:rPr>
        <w:t>a poor</w:t>
      </w:r>
      <w:r w:rsidR="000B2D44" w:rsidRPr="009E3813">
        <w:rPr>
          <w:lang w:val="en-GB"/>
        </w:rPr>
        <w:t xml:space="preserve"> </w:t>
      </w:r>
      <w:r w:rsidR="009147F6" w:rsidRPr="009E3813">
        <w:rPr>
          <w:lang w:val="en-GB"/>
        </w:rPr>
        <w:t xml:space="preserve">response </w:t>
      </w:r>
      <w:r w:rsidR="00D24AAE" w:rsidRPr="009E3813">
        <w:rPr>
          <w:lang w:val="en-GB"/>
        </w:rPr>
        <w:t xml:space="preserve">or loss of response </w:t>
      </w:r>
      <w:r w:rsidR="003835F6" w:rsidRPr="009E3813">
        <w:rPr>
          <w:lang w:val="en-GB"/>
        </w:rPr>
        <w:t xml:space="preserve">to </w:t>
      </w:r>
      <w:r w:rsidR="009147F6" w:rsidRPr="009E3813">
        <w:rPr>
          <w:lang w:val="en-GB"/>
        </w:rPr>
        <w:t xml:space="preserve">TNF-alpha </w:t>
      </w:r>
      <w:r w:rsidR="003835F6" w:rsidRPr="009E3813">
        <w:rPr>
          <w:lang w:val="en-GB"/>
        </w:rPr>
        <w:t>therapy</w:t>
      </w:r>
      <w:r w:rsidR="009147F6" w:rsidRPr="009E3813">
        <w:rPr>
          <w:lang w:val="en-GB"/>
        </w:rPr>
        <w:t>.</w:t>
      </w:r>
    </w:p>
    <w:p w14:paraId="356E42A0" w14:textId="34A1C6B0" w:rsidR="00595C45" w:rsidRPr="009E3813" w:rsidRDefault="00D46064" w:rsidP="00595C45">
      <w:pPr>
        <w:pStyle w:val="Heading3"/>
      </w:pPr>
      <w:r w:rsidRPr="009E3813">
        <w:lastRenderedPageBreak/>
        <w:t xml:space="preserve">Conventional therapy </w:t>
      </w:r>
      <w:r w:rsidR="00AC3152" w:rsidRPr="009E3813">
        <w:t xml:space="preserve">is </w:t>
      </w:r>
      <w:r w:rsidR="00277A85" w:rsidRPr="009E3813">
        <w:t xml:space="preserve">the most </w:t>
      </w:r>
      <w:r w:rsidR="003C513C" w:rsidRPr="009E3813">
        <w:t xml:space="preserve">reliable </w:t>
      </w:r>
      <w:r w:rsidR="00AC3152" w:rsidRPr="009E3813">
        <w:t>comparator</w:t>
      </w:r>
      <w:r w:rsidR="00D1453D" w:rsidRPr="009E3813">
        <w:t xml:space="preserve"> for ixekizumab</w:t>
      </w:r>
    </w:p>
    <w:p w14:paraId="15EAF49D" w14:textId="77243E9A" w:rsidR="0090005E" w:rsidRPr="009E3813" w:rsidRDefault="00AE0EE1">
      <w:pPr>
        <w:pStyle w:val="Numberedlevel2text"/>
        <w:numPr>
          <w:ilvl w:val="1"/>
          <w:numId w:val="1"/>
        </w:numPr>
        <w:rPr>
          <w:lang w:val="en-GB"/>
        </w:rPr>
      </w:pPr>
      <w:r w:rsidRPr="009E3813">
        <w:rPr>
          <w:lang w:val="en-GB"/>
        </w:rPr>
        <w:t xml:space="preserve">The committee </w:t>
      </w:r>
      <w:r w:rsidR="00D1453D" w:rsidRPr="009E3813">
        <w:rPr>
          <w:lang w:val="en-GB"/>
        </w:rPr>
        <w:t xml:space="preserve">considered </w:t>
      </w:r>
      <w:r w:rsidR="000C7ACA" w:rsidRPr="009E3813">
        <w:rPr>
          <w:lang w:val="en-GB"/>
        </w:rPr>
        <w:t xml:space="preserve">the most relevant </w:t>
      </w:r>
      <w:r w:rsidR="00D1453D" w:rsidRPr="009E3813">
        <w:rPr>
          <w:lang w:val="en-GB"/>
        </w:rPr>
        <w:t>comparators</w:t>
      </w:r>
      <w:r w:rsidR="000C7ACA" w:rsidRPr="009E3813">
        <w:rPr>
          <w:lang w:val="en-GB"/>
        </w:rPr>
        <w:t>,</w:t>
      </w:r>
      <w:r w:rsidR="00D1453D" w:rsidRPr="009E3813">
        <w:rPr>
          <w:lang w:val="en-GB"/>
        </w:rPr>
        <w:t xml:space="preserve"> </w:t>
      </w:r>
      <w:r w:rsidR="0090005E" w:rsidRPr="009E3813">
        <w:rPr>
          <w:lang w:val="en-GB"/>
        </w:rPr>
        <w:t>given the treatment position</w:t>
      </w:r>
      <w:r w:rsidR="00D1453D" w:rsidRPr="009E3813">
        <w:rPr>
          <w:lang w:val="en-GB"/>
        </w:rPr>
        <w:t xml:space="preserve"> </w:t>
      </w:r>
      <w:r w:rsidR="0090005E" w:rsidRPr="009E3813">
        <w:rPr>
          <w:lang w:val="en-GB"/>
        </w:rPr>
        <w:t>for</w:t>
      </w:r>
      <w:r w:rsidR="00D1453D" w:rsidRPr="009E3813">
        <w:rPr>
          <w:lang w:val="en-GB"/>
        </w:rPr>
        <w:t xml:space="preserve"> ixekizumab </w:t>
      </w:r>
      <w:r w:rsidR="00481D88" w:rsidRPr="009E3813">
        <w:rPr>
          <w:lang w:val="en-GB"/>
        </w:rPr>
        <w:t>described in</w:t>
      </w:r>
      <w:r w:rsidR="00D1453D" w:rsidRPr="009E3813">
        <w:rPr>
          <w:lang w:val="en-GB"/>
        </w:rPr>
        <w:t xml:space="preserve"> section 3.3. For </w:t>
      </w:r>
      <w:r w:rsidR="00896E94">
        <w:rPr>
          <w:lang w:val="en-GB"/>
        </w:rPr>
        <w:t xml:space="preserve">active </w:t>
      </w:r>
      <w:r w:rsidR="00317226">
        <w:rPr>
          <w:lang w:val="en-GB"/>
        </w:rPr>
        <w:t>AS</w:t>
      </w:r>
      <w:r w:rsidR="00D1453D" w:rsidRPr="009E3813">
        <w:rPr>
          <w:lang w:val="en-GB"/>
        </w:rPr>
        <w:t xml:space="preserve">, the comparators in the NICE scope </w:t>
      </w:r>
      <w:r w:rsidR="005B1605" w:rsidRPr="009E3813">
        <w:rPr>
          <w:lang w:val="en-GB"/>
        </w:rPr>
        <w:t>were</w:t>
      </w:r>
      <w:r w:rsidR="00D1453D" w:rsidRPr="009E3813">
        <w:rPr>
          <w:lang w:val="en-GB"/>
        </w:rPr>
        <w:t xml:space="preserve"> TNF-alpha inhibitors, secukinumab and </w:t>
      </w:r>
      <w:r w:rsidR="00D46064" w:rsidRPr="009E3813">
        <w:rPr>
          <w:lang w:val="en-GB"/>
        </w:rPr>
        <w:t xml:space="preserve">conventional therapy </w:t>
      </w:r>
      <w:r w:rsidR="00D1453D" w:rsidRPr="009E3813">
        <w:rPr>
          <w:lang w:val="en-GB"/>
        </w:rPr>
        <w:t xml:space="preserve">without </w:t>
      </w:r>
      <w:r w:rsidR="000C7ACA" w:rsidRPr="009E3813">
        <w:rPr>
          <w:lang w:val="en-GB"/>
        </w:rPr>
        <w:t>biologics</w:t>
      </w:r>
      <w:r w:rsidR="00D1453D" w:rsidRPr="009E3813">
        <w:rPr>
          <w:lang w:val="en-GB"/>
        </w:rPr>
        <w:t xml:space="preserve">. For nr-axSpA the comparators in the NICE scope </w:t>
      </w:r>
      <w:r w:rsidR="005B1605" w:rsidRPr="009E3813">
        <w:rPr>
          <w:lang w:val="en-GB"/>
        </w:rPr>
        <w:t>were</w:t>
      </w:r>
      <w:r w:rsidR="00D1453D" w:rsidRPr="009E3813">
        <w:rPr>
          <w:lang w:val="en-GB"/>
        </w:rPr>
        <w:t xml:space="preserve"> TNF</w:t>
      </w:r>
      <w:r w:rsidR="00437CE6" w:rsidRPr="009E3813">
        <w:rPr>
          <w:lang w:val="en-GB"/>
        </w:rPr>
        <w:noBreakHyphen/>
      </w:r>
      <w:r w:rsidR="00D1453D" w:rsidRPr="009E3813">
        <w:rPr>
          <w:lang w:val="en-GB"/>
        </w:rPr>
        <w:t xml:space="preserve">alpha inhibitors and </w:t>
      </w:r>
      <w:r w:rsidR="00D46064" w:rsidRPr="009E3813">
        <w:rPr>
          <w:lang w:val="en-GB"/>
        </w:rPr>
        <w:t xml:space="preserve">conventional therapy </w:t>
      </w:r>
      <w:r w:rsidR="00D1453D" w:rsidRPr="009E3813">
        <w:rPr>
          <w:lang w:val="en-GB"/>
        </w:rPr>
        <w:t xml:space="preserve">without </w:t>
      </w:r>
      <w:r w:rsidR="000C7ACA" w:rsidRPr="009E3813">
        <w:rPr>
          <w:lang w:val="en-GB"/>
        </w:rPr>
        <w:t>biologics</w:t>
      </w:r>
      <w:r w:rsidR="00D1453D" w:rsidRPr="009E3813">
        <w:rPr>
          <w:lang w:val="en-GB"/>
        </w:rPr>
        <w:t>.</w:t>
      </w:r>
      <w:r w:rsidR="0090005E" w:rsidRPr="009E3813">
        <w:rPr>
          <w:lang w:val="en-GB"/>
        </w:rPr>
        <w:t xml:space="preserve"> </w:t>
      </w:r>
      <w:r w:rsidR="00AC3152" w:rsidRPr="009E3813">
        <w:rPr>
          <w:lang w:val="en-GB"/>
        </w:rPr>
        <w:t>T</w:t>
      </w:r>
      <w:r w:rsidR="0090005E" w:rsidRPr="009E3813">
        <w:rPr>
          <w:lang w:val="en-GB"/>
        </w:rPr>
        <w:t xml:space="preserve">he committee </w:t>
      </w:r>
      <w:r w:rsidR="00AC3152" w:rsidRPr="009E3813">
        <w:rPr>
          <w:lang w:val="en-GB"/>
        </w:rPr>
        <w:t>concluded that</w:t>
      </w:r>
      <w:r w:rsidR="0090005E" w:rsidRPr="009E3813">
        <w:rPr>
          <w:lang w:val="en-GB"/>
        </w:rPr>
        <w:t xml:space="preserve"> TNF-alpha inhibitors were not relevant comparator</w:t>
      </w:r>
      <w:r w:rsidR="00277A85" w:rsidRPr="009E3813">
        <w:rPr>
          <w:lang w:val="en-GB"/>
        </w:rPr>
        <w:t>s</w:t>
      </w:r>
      <w:r w:rsidR="0090005E" w:rsidRPr="009E3813">
        <w:rPr>
          <w:lang w:val="en-GB"/>
        </w:rPr>
        <w:t xml:space="preserve"> </w:t>
      </w:r>
      <w:r w:rsidR="00277A85" w:rsidRPr="009E3813">
        <w:rPr>
          <w:lang w:val="en-GB"/>
        </w:rPr>
        <w:t>because</w:t>
      </w:r>
      <w:r w:rsidR="0090005E" w:rsidRPr="009E3813">
        <w:rPr>
          <w:lang w:val="en-GB"/>
        </w:rPr>
        <w:t xml:space="preserve"> ixekizumab would be </w:t>
      </w:r>
      <w:r w:rsidR="00277A85" w:rsidRPr="009E3813">
        <w:rPr>
          <w:lang w:val="en-GB"/>
        </w:rPr>
        <w:t xml:space="preserve">used </w:t>
      </w:r>
      <w:r w:rsidR="0090005E" w:rsidRPr="009E3813">
        <w:rPr>
          <w:lang w:val="en-GB"/>
        </w:rPr>
        <w:t xml:space="preserve">in </w:t>
      </w:r>
      <w:r w:rsidR="00277A85" w:rsidRPr="009E3813">
        <w:rPr>
          <w:lang w:val="en-GB"/>
        </w:rPr>
        <w:t xml:space="preserve">people </w:t>
      </w:r>
      <w:r w:rsidR="00481D88" w:rsidRPr="009E3813">
        <w:rPr>
          <w:lang w:val="en-GB"/>
        </w:rPr>
        <w:t>in whom TNF</w:t>
      </w:r>
      <w:r w:rsidR="00437CE6" w:rsidRPr="009E3813">
        <w:rPr>
          <w:lang w:val="en-GB"/>
        </w:rPr>
        <w:noBreakHyphen/>
      </w:r>
      <w:r w:rsidR="00481D88" w:rsidRPr="009E3813">
        <w:rPr>
          <w:lang w:val="en-GB"/>
        </w:rPr>
        <w:t xml:space="preserve">alpha inhibitors are </w:t>
      </w:r>
      <w:r w:rsidR="0090005E" w:rsidRPr="009E3813">
        <w:rPr>
          <w:lang w:val="en-GB"/>
        </w:rPr>
        <w:t>contraindicated</w:t>
      </w:r>
      <w:r w:rsidR="00481D88" w:rsidRPr="009E3813">
        <w:rPr>
          <w:lang w:val="en-GB"/>
        </w:rPr>
        <w:t xml:space="preserve"> or otherwise not suitable</w:t>
      </w:r>
      <w:r w:rsidR="0090005E" w:rsidRPr="009E3813">
        <w:rPr>
          <w:lang w:val="en-GB"/>
        </w:rPr>
        <w:t>,</w:t>
      </w:r>
      <w:r w:rsidR="00481D88" w:rsidRPr="009E3813">
        <w:rPr>
          <w:lang w:val="en-GB"/>
        </w:rPr>
        <w:t xml:space="preserve"> </w:t>
      </w:r>
      <w:r w:rsidR="0090005E" w:rsidRPr="009E3813">
        <w:rPr>
          <w:lang w:val="en-GB"/>
        </w:rPr>
        <w:t xml:space="preserve">or </w:t>
      </w:r>
      <w:r w:rsidR="00D2626E" w:rsidRPr="009E3813">
        <w:rPr>
          <w:lang w:val="en-GB"/>
        </w:rPr>
        <w:t xml:space="preserve">after </w:t>
      </w:r>
      <w:r w:rsidR="0090005E" w:rsidRPr="009E3813">
        <w:rPr>
          <w:lang w:val="en-GB"/>
        </w:rPr>
        <w:t xml:space="preserve">non-response </w:t>
      </w:r>
      <w:r w:rsidR="00985C44" w:rsidRPr="009E3813">
        <w:rPr>
          <w:lang w:val="en-GB"/>
        </w:rPr>
        <w:t>or p</w:t>
      </w:r>
      <w:r w:rsidR="00485D4F" w:rsidRPr="009E3813">
        <w:rPr>
          <w:lang w:val="en-GB"/>
        </w:rPr>
        <w:t xml:space="preserve">oor response </w:t>
      </w:r>
      <w:r w:rsidR="0090005E" w:rsidRPr="009E3813">
        <w:rPr>
          <w:lang w:val="en-GB"/>
        </w:rPr>
        <w:t>to TNF-alpha inhibitors</w:t>
      </w:r>
      <w:r w:rsidR="008A64D3" w:rsidRPr="009E3813">
        <w:rPr>
          <w:lang w:val="en-GB"/>
        </w:rPr>
        <w:t xml:space="preserve"> (see section 3.3)</w:t>
      </w:r>
      <w:r w:rsidR="0090005E" w:rsidRPr="009E3813">
        <w:rPr>
          <w:lang w:val="en-GB"/>
        </w:rPr>
        <w:t xml:space="preserve">. </w:t>
      </w:r>
      <w:r w:rsidR="00AC3152" w:rsidRPr="009E3813">
        <w:rPr>
          <w:lang w:val="en-GB"/>
        </w:rPr>
        <w:t xml:space="preserve">The committee </w:t>
      </w:r>
      <w:r w:rsidR="00586458" w:rsidRPr="009E3813">
        <w:rPr>
          <w:lang w:val="en-GB"/>
        </w:rPr>
        <w:t xml:space="preserve">acknowledged </w:t>
      </w:r>
      <w:r w:rsidR="00AC3152" w:rsidRPr="009E3813">
        <w:rPr>
          <w:lang w:val="en-GB"/>
        </w:rPr>
        <w:t>that secukinumab was a</w:t>
      </w:r>
      <w:r w:rsidR="005B1605" w:rsidRPr="009E3813">
        <w:rPr>
          <w:lang w:val="en-GB"/>
        </w:rPr>
        <w:t xml:space="preserve"> </w:t>
      </w:r>
      <w:r w:rsidR="00AC3152" w:rsidRPr="009E3813">
        <w:rPr>
          <w:lang w:val="en-GB"/>
        </w:rPr>
        <w:t xml:space="preserve">comparator </w:t>
      </w:r>
      <w:r w:rsidR="005B1605" w:rsidRPr="009E3813">
        <w:rPr>
          <w:lang w:val="en-GB"/>
        </w:rPr>
        <w:t xml:space="preserve">in the scope </w:t>
      </w:r>
      <w:r w:rsidR="00AC3152" w:rsidRPr="009E3813">
        <w:rPr>
          <w:lang w:val="en-GB"/>
        </w:rPr>
        <w:t xml:space="preserve">for </w:t>
      </w:r>
      <w:r w:rsidR="00317226">
        <w:rPr>
          <w:lang w:val="en-GB"/>
        </w:rPr>
        <w:t>AS</w:t>
      </w:r>
      <w:r w:rsidR="00AC3152" w:rsidRPr="009E3813">
        <w:rPr>
          <w:lang w:val="en-GB"/>
        </w:rPr>
        <w:t xml:space="preserve">, however </w:t>
      </w:r>
      <w:r w:rsidR="005B1605" w:rsidRPr="009E3813">
        <w:rPr>
          <w:lang w:val="en-GB"/>
        </w:rPr>
        <w:t xml:space="preserve">it considered that </w:t>
      </w:r>
      <w:r w:rsidR="00AC3152" w:rsidRPr="009E3813">
        <w:rPr>
          <w:lang w:val="en-GB"/>
        </w:rPr>
        <w:t xml:space="preserve">there was insufficient clinical evidence to allow a </w:t>
      </w:r>
      <w:r w:rsidR="005B1605" w:rsidRPr="009E3813">
        <w:rPr>
          <w:lang w:val="en-GB"/>
        </w:rPr>
        <w:t xml:space="preserve">robust </w:t>
      </w:r>
      <w:r w:rsidR="00AC3152" w:rsidRPr="009E3813">
        <w:rPr>
          <w:lang w:val="en-GB"/>
        </w:rPr>
        <w:t xml:space="preserve">comparison </w:t>
      </w:r>
      <w:r w:rsidR="005B1605" w:rsidRPr="009E3813">
        <w:rPr>
          <w:lang w:val="en-GB"/>
        </w:rPr>
        <w:t xml:space="preserve">between </w:t>
      </w:r>
      <w:r w:rsidR="00586458" w:rsidRPr="009E3813">
        <w:rPr>
          <w:lang w:val="en-GB"/>
        </w:rPr>
        <w:t>secukinumab and ixekizumab</w:t>
      </w:r>
      <w:r w:rsidR="00B04802" w:rsidRPr="009E3813">
        <w:rPr>
          <w:lang w:val="en-GB"/>
        </w:rPr>
        <w:t xml:space="preserve"> (see section 3.</w:t>
      </w:r>
      <w:r w:rsidR="008A64D3" w:rsidRPr="009E3813">
        <w:rPr>
          <w:lang w:val="en-GB"/>
        </w:rPr>
        <w:t>8</w:t>
      </w:r>
      <w:r w:rsidR="00B04802" w:rsidRPr="009E3813">
        <w:rPr>
          <w:lang w:val="en-GB"/>
        </w:rPr>
        <w:t>)</w:t>
      </w:r>
      <w:r w:rsidR="00AC3152" w:rsidRPr="009E3813">
        <w:rPr>
          <w:lang w:val="en-GB"/>
        </w:rPr>
        <w:t xml:space="preserve">. </w:t>
      </w:r>
      <w:r w:rsidR="00B04802" w:rsidRPr="009E3813">
        <w:rPr>
          <w:lang w:val="en-GB"/>
        </w:rPr>
        <w:t>T</w:t>
      </w:r>
      <w:r w:rsidR="00AC3152" w:rsidRPr="009E3813">
        <w:rPr>
          <w:lang w:val="en-GB"/>
        </w:rPr>
        <w:t xml:space="preserve">he committee </w:t>
      </w:r>
      <w:r w:rsidR="005B1605" w:rsidRPr="009E3813">
        <w:rPr>
          <w:lang w:val="en-GB"/>
        </w:rPr>
        <w:t xml:space="preserve">concluded that </w:t>
      </w:r>
      <w:r w:rsidR="00D46064" w:rsidRPr="009E3813">
        <w:rPr>
          <w:lang w:val="en-GB"/>
        </w:rPr>
        <w:t xml:space="preserve">conventional therapy </w:t>
      </w:r>
      <w:r w:rsidR="005B1605" w:rsidRPr="009E3813">
        <w:rPr>
          <w:lang w:val="en-GB"/>
        </w:rPr>
        <w:t xml:space="preserve">was </w:t>
      </w:r>
      <w:r w:rsidR="00277A85" w:rsidRPr="009E3813">
        <w:rPr>
          <w:lang w:val="en-GB"/>
        </w:rPr>
        <w:t xml:space="preserve">the most </w:t>
      </w:r>
      <w:r w:rsidR="0090013C" w:rsidRPr="009E3813">
        <w:rPr>
          <w:lang w:val="en-GB"/>
        </w:rPr>
        <w:t xml:space="preserve">reliable </w:t>
      </w:r>
      <w:r w:rsidR="00AC3152" w:rsidRPr="009E3813">
        <w:rPr>
          <w:lang w:val="en-GB"/>
        </w:rPr>
        <w:t>comparator for</w:t>
      </w:r>
      <w:r w:rsidR="00B04802" w:rsidRPr="009E3813">
        <w:rPr>
          <w:lang w:val="en-GB"/>
        </w:rPr>
        <w:t xml:space="preserve"> ixekizumab and </w:t>
      </w:r>
      <w:r w:rsidR="005B1605" w:rsidRPr="009E3813">
        <w:rPr>
          <w:lang w:val="en-GB"/>
        </w:rPr>
        <w:t xml:space="preserve">noted that </w:t>
      </w:r>
      <w:r w:rsidR="00B04802" w:rsidRPr="009E3813">
        <w:rPr>
          <w:lang w:val="en-GB"/>
        </w:rPr>
        <w:t xml:space="preserve">there was direct evidence from the COAST </w:t>
      </w:r>
      <w:r w:rsidR="00D2626E" w:rsidRPr="009E3813">
        <w:rPr>
          <w:lang w:val="en-GB"/>
        </w:rPr>
        <w:t xml:space="preserve">trials for </w:t>
      </w:r>
      <w:r w:rsidR="00B04802" w:rsidRPr="009E3813">
        <w:rPr>
          <w:lang w:val="en-GB"/>
        </w:rPr>
        <w:t xml:space="preserve">both </w:t>
      </w:r>
      <w:r w:rsidR="005B1605" w:rsidRPr="009E3813">
        <w:rPr>
          <w:lang w:val="en-GB"/>
        </w:rPr>
        <w:t xml:space="preserve">the </w:t>
      </w:r>
      <w:r w:rsidR="00317226">
        <w:rPr>
          <w:lang w:val="en-GB"/>
        </w:rPr>
        <w:t>AS</w:t>
      </w:r>
      <w:r w:rsidR="00B04802" w:rsidRPr="009E3813">
        <w:rPr>
          <w:lang w:val="en-GB"/>
        </w:rPr>
        <w:t xml:space="preserve"> and nr-axSpA populations (see section 3.</w:t>
      </w:r>
      <w:r w:rsidR="003A45CE" w:rsidRPr="009E3813">
        <w:rPr>
          <w:lang w:val="en-GB"/>
        </w:rPr>
        <w:t>6</w:t>
      </w:r>
      <w:r w:rsidR="00B04802" w:rsidRPr="009E3813">
        <w:rPr>
          <w:lang w:val="en-GB"/>
        </w:rPr>
        <w:t>).</w:t>
      </w:r>
    </w:p>
    <w:p w14:paraId="659FBBED" w14:textId="44829B0C" w:rsidR="00AE0EE1" w:rsidRPr="009E3813" w:rsidRDefault="009A0607">
      <w:pPr>
        <w:pStyle w:val="Heading3"/>
      </w:pPr>
      <w:r w:rsidRPr="009E3813">
        <w:t xml:space="preserve">Treatment effects </w:t>
      </w:r>
      <w:r w:rsidR="008A64D3" w:rsidRPr="009E3813">
        <w:t>are</w:t>
      </w:r>
      <w:r w:rsidRPr="009E3813">
        <w:t xml:space="preserve"> not </w:t>
      </w:r>
      <w:r w:rsidR="000B37F4" w:rsidRPr="009E3813">
        <w:t xml:space="preserve">reliably </w:t>
      </w:r>
      <w:r w:rsidRPr="009E3813">
        <w:t xml:space="preserve">generalisable across </w:t>
      </w:r>
      <w:r w:rsidR="00066660">
        <w:t xml:space="preserve">active </w:t>
      </w:r>
      <w:r w:rsidR="00066660" w:rsidRPr="00066660">
        <w:t>ankylosing spondylitis</w:t>
      </w:r>
      <w:r w:rsidRPr="009E3813">
        <w:t xml:space="preserve"> and non-radiographic axial spondyloarthritis</w:t>
      </w:r>
    </w:p>
    <w:p w14:paraId="0C27EA69" w14:textId="7255B7F4" w:rsidR="00AE0EE1" w:rsidRPr="009E3813" w:rsidRDefault="00066660" w:rsidP="006B3091">
      <w:pPr>
        <w:pStyle w:val="Numberedlevel2text"/>
        <w:rPr>
          <w:lang w:val="en-GB"/>
        </w:rPr>
      </w:pPr>
      <w:r>
        <w:rPr>
          <w:lang w:val="en-GB"/>
        </w:rPr>
        <w:t xml:space="preserve">Active AS </w:t>
      </w:r>
      <w:r w:rsidR="00AE0EE1" w:rsidRPr="009E3813">
        <w:rPr>
          <w:lang w:val="en-GB"/>
        </w:rPr>
        <w:t xml:space="preserve">and nr-axSpA have traditionally been considered as </w:t>
      </w:r>
      <w:r w:rsidR="00633FC3" w:rsidRPr="009E3813">
        <w:rPr>
          <w:lang w:val="en-GB"/>
        </w:rPr>
        <w:t>2</w:t>
      </w:r>
      <w:r w:rsidR="00AE0EE1" w:rsidRPr="009E3813">
        <w:rPr>
          <w:lang w:val="en-GB"/>
        </w:rPr>
        <w:t xml:space="preserve"> distinct disease entities. The </w:t>
      </w:r>
      <w:r w:rsidR="00846748" w:rsidRPr="009E3813">
        <w:rPr>
          <w:lang w:val="en-GB"/>
        </w:rPr>
        <w:t xml:space="preserve">company </w:t>
      </w:r>
      <w:r w:rsidR="00F31298" w:rsidRPr="009E3813">
        <w:rPr>
          <w:lang w:val="en-GB"/>
        </w:rPr>
        <w:t>argued that</w:t>
      </w:r>
      <w:r w:rsidR="00846748" w:rsidRPr="009E3813">
        <w:rPr>
          <w:lang w:val="en-GB"/>
        </w:rPr>
        <w:t xml:space="preserve"> clinical practice has moved towards classifying axial spondyloarthritis as </w:t>
      </w:r>
      <w:r w:rsidR="005B1605" w:rsidRPr="009E3813">
        <w:rPr>
          <w:lang w:val="en-GB"/>
        </w:rPr>
        <w:t xml:space="preserve">a </w:t>
      </w:r>
      <w:r w:rsidR="00846748" w:rsidRPr="009E3813">
        <w:rPr>
          <w:lang w:val="en-GB"/>
        </w:rPr>
        <w:t xml:space="preserve">continuous disease spectrum with </w:t>
      </w:r>
      <w:r>
        <w:rPr>
          <w:lang w:val="en-GB"/>
        </w:rPr>
        <w:t>active AS</w:t>
      </w:r>
      <w:r w:rsidRPr="009E3813">
        <w:rPr>
          <w:lang w:val="en-GB"/>
        </w:rPr>
        <w:t xml:space="preserve"> </w:t>
      </w:r>
      <w:r w:rsidR="00846748" w:rsidRPr="009E3813">
        <w:rPr>
          <w:lang w:val="en-GB"/>
        </w:rPr>
        <w:t xml:space="preserve">and </w:t>
      </w:r>
      <w:r>
        <w:rPr>
          <w:lang w:val="en-GB"/>
        </w:rPr>
        <w:t>nr-axSpA</w:t>
      </w:r>
      <w:r w:rsidR="00846748" w:rsidRPr="009E3813">
        <w:rPr>
          <w:lang w:val="en-GB"/>
        </w:rPr>
        <w:t xml:space="preserve"> being subtypes of the same condition. </w:t>
      </w:r>
      <w:r w:rsidR="00F31298" w:rsidRPr="009E3813">
        <w:rPr>
          <w:lang w:val="en-GB"/>
        </w:rPr>
        <w:t xml:space="preserve">The company </w:t>
      </w:r>
      <w:r w:rsidR="005B1605" w:rsidRPr="009E3813">
        <w:rPr>
          <w:lang w:val="en-GB"/>
        </w:rPr>
        <w:t xml:space="preserve">believed </w:t>
      </w:r>
      <w:r w:rsidR="00F31298" w:rsidRPr="009E3813">
        <w:rPr>
          <w:lang w:val="en-GB"/>
        </w:rPr>
        <w:t>that the response rate</w:t>
      </w:r>
      <w:r w:rsidR="008A64D3" w:rsidRPr="009E3813">
        <w:rPr>
          <w:lang w:val="en-GB"/>
        </w:rPr>
        <w:t>s</w:t>
      </w:r>
      <w:r w:rsidR="00F31298" w:rsidRPr="009E3813">
        <w:rPr>
          <w:lang w:val="en-GB"/>
        </w:rPr>
        <w:t xml:space="preserve"> to ixekizumab would be generalisable across </w:t>
      </w:r>
      <w:r w:rsidR="005B1605" w:rsidRPr="009E3813">
        <w:rPr>
          <w:lang w:val="en-GB"/>
        </w:rPr>
        <w:t xml:space="preserve">the </w:t>
      </w:r>
      <w:r w:rsidR="00317226">
        <w:rPr>
          <w:lang w:val="en-GB"/>
        </w:rPr>
        <w:t>AS</w:t>
      </w:r>
      <w:r w:rsidR="00F31298" w:rsidRPr="009E3813">
        <w:rPr>
          <w:lang w:val="en-GB"/>
        </w:rPr>
        <w:t xml:space="preserve"> and nr-axSpA</w:t>
      </w:r>
      <w:r w:rsidR="008A64D3" w:rsidRPr="009E3813">
        <w:rPr>
          <w:lang w:val="en-GB"/>
        </w:rPr>
        <w:t xml:space="preserve"> populations</w:t>
      </w:r>
      <w:r w:rsidR="00F31298" w:rsidRPr="009E3813">
        <w:rPr>
          <w:lang w:val="en-GB"/>
        </w:rPr>
        <w:t xml:space="preserve">. </w:t>
      </w:r>
      <w:r w:rsidR="00846748" w:rsidRPr="009E3813">
        <w:rPr>
          <w:lang w:val="en-GB"/>
        </w:rPr>
        <w:t xml:space="preserve">The clinical experts agreed that axial spondyloarthritis is a disease spectrum containing radiographic and non-radiographic subtypes. </w:t>
      </w:r>
      <w:r w:rsidR="00F31298" w:rsidRPr="009E3813">
        <w:rPr>
          <w:lang w:val="en-GB"/>
        </w:rPr>
        <w:t xml:space="preserve">However, </w:t>
      </w:r>
      <w:r w:rsidR="0059338F" w:rsidRPr="009E3813">
        <w:rPr>
          <w:lang w:val="en-GB"/>
        </w:rPr>
        <w:t xml:space="preserve">they </w:t>
      </w:r>
      <w:r w:rsidR="00846748" w:rsidRPr="009E3813">
        <w:rPr>
          <w:lang w:val="en-GB"/>
        </w:rPr>
        <w:t xml:space="preserve">explained that </w:t>
      </w:r>
      <w:r w:rsidR="00E60096" w:rsidRPr="009E3813">
        <w:rPr>
          <w:lang w:val="en-GB"/>
        </w:rPr>
        <w:t xml:space="preserve">factors such as </w:t>
      </w:r>
      <w:r w:rsidR="0059338F" w:rsidRPr="009E3813">
        <w:rPr>
          <w:lang w:val="en-GB"/>
        </w:rPr>
        <w:t>the extent of radiographic damage, inflammatory burden, disease duration and treatment</w:t>
      </w:r>
      <w:r w:rsidR="00E60096" w:rsidRPr="009E3813">
        <w:rPr>
          <w:lang w:val="en-GB"/>
        </w:rPr>
        <w:t xml:space="preserve"> history are likely to </w:t>
      </w:r>
      <w:r w:rsidR="00E60096" w:rsidRPr="009E3813">
        <w:rPr>
          <w:lang w:val="en-GB"/>
        </w:rPr>
        <w:lastRenderedPageBreak/>
        <w:t xml:space="preserve">differ in </w:t>
      </w:r>
      <w:r w:rsidR="00317226">
        <w:rPr>
          <w:lang w:val="en-GB"/>
        </w:rPr>
        <w:t>AS</w:t>
      </w:r>
      <w:r w:rsidR="00E60096" w:rsidRPr="009E3813">
        <w:rPr>
          <w:lang w:val="en-GB"/>
        </w:rPr>
        <w:t xml:space="preserve"> and nr-axSpA,</w:t>
      </w:r>
      <w:r w:rsidR="0059338F" w:rsidRPr="009E3813">
        <w:rPr>
          <w:lang w:val="en-GB"/>
        </w:rPr>
        <w:t xml:space="preserve"> </w:t>
      </w:r>
      <w:r w:rsidR="000C7ACA" w:rsidRPr="009E3813">
        <w:rPr>
          <w:lang w:val="en-GB"/>
        </w:rPr>
        <w:t xml:space="preserve">which may </w:t>
      </w:r>
      <w:r w:rsidR="0059338F" w:rsidRPr="009E3813">
        <w:rPr>
          <w:lang w:val="en-GB"/>
        </w:rPr>
        <w:t xml:space="preserve">affect treatment outcomes. </w:t>
      </w:r>
      <w:r w:rsidR="00AE0EE1" w:rsidRPr="009E3813">
        <w:rPr>
          <w:lang w:val="en-GB"/>
        </w:rPr>
        <w:t>The committee</w:t>
      </w:r>
      <w:r w:rsidR="00F31298" w:rsidRPr="009E3813">
        <w:rPr>
          <w:lang w:val="en-GB"/>
        </w:rPr>
        <w:t xml:space="preserve"> </w:t>
      </w:r>
      <w:r w:rsidR="00361891" w:rsidRPr="009E3813">
        <w:rPr>
          <w:lang w:val="en-GB"/>
        </w:rPr>
        <w:t xml:space="preserve">accepted </w:t>
      </w:r>
      <w:r w:rsidR="00AE0EE1" w:rsidRPr="009E3813">
        <w:rPr>
          <w:lang w:val="en-GB"/>
        </w:rPr>
        <w:t xml:space="preserve">that </w:t>
      </w:r>
      <w:r w:rsidR="00361891" w:rsidRPr="009E3813">
        <w:rPr>
          <w:lang w:val="en-GB"/>
        </w:rPr>
        <w:t xml:space="preserve">axial spondyloarthritis </w:t>
      </w:r>
      <w:r w:rsidR="00AE0EE1" w:rsidRPr="009E3813">
        <w:rPr>
          <w:lang w:val="en-GB"/>
        </w:rPr>
        <w:t>is a continuous spectrum of disease</w:t>
      </w:r>
      <w:r w:rsidR="00F31298" w:rsidRPr="009E3813">
        <w:rPr>
          <w:lang w:val="en-GB"/>
        </w:rPr>
        <w:t xml:space="preserve">. </w:t>
      </w:r>
      <w:r w:rsidR="00361891" w:rsidRPr="009E3813">
        <w:rPr>
          <w:lang w:val="en-GB"/>
        </w:rPr>
        <w:t>However, it</w:t>
      </w:r>
      <w:r w:rsidR="00AE0EE1" w:rsidRPr="009E3813">
        <w:rPr>
          <w:lang w:val="en-GB"/>
        </w:rPr>
        <w:t xml:space="preserve"> </w:t>
      </w:r>
      <w:r w:rsidR="00551D01" w:rsidRPr="009E3813">
        <w:rPr>
          <w:lang w:val="en-GB"/>
        </w:rPr>
        <w:t xml:space="preserve">concluded </w:t>
      </w:r>
      <w:r w:rsidR="00AE0EE1" w:rsidRPr="009E3813">
        <w:rPr>
          <w:lang w:val="en-GB"/>
        </w:rPr>
        <w:t xml:space="preserve">that </w:t>
      </w:r>
      <w:r w:rsidR="00F31298" w:rsidRPr="009E3813">
        <w:rPr>
          <w:lang w:val="en-GB"/>
        </w:rPr>
        <w:t xml:space="preserve">the response rate to ixekizumab </w:t>
      </w:r>
      <w:r w:rsidR="00500B25" w:rsidRPr="009E3813">
        <w:rPr>
          <w:lang w:val="en-GB"/>
        </w:rPr>
        <w:t xml:space="preserve">could not </w:t>
      </w:r>
      <w:r w:rsidR="000B37F4" w:rsidRPr="009E3813">
        <w:rPr>
          <w:lang w:val="en-GB"/>
        </w:rPr>
        <w:t>reliably be</w:t>
      </w:r>
      <w:r w:rsidR="00F31298" w:rsidRPr="009E3813">
        <w:rPr>
          <w:lang w:val="en-GB"/>
        </w:rPr>
        <w:t xml:space="preserve"> </w:t>
      </w:r>
      <w:r w:rsidR="00621F5B" w:rsidRPr="009E3813">
        <w:rPr>
          <w:lang w:val="en-GB"/>
        </w:rPr>
        <w:t xml:space="preserve">generalised </w:t>
      </w:r>
      <w:r w:rsidR="00F31298" w:rsidRPr="009E3813">
        <w:rPr>
          <w:lang w:val="en-GB"/>
        </w:rPr>
        <w:t xml:space="preserve">across </w:t>
      </w:r>
      <w:r w:rsidR="00361891" w:rsidRPr="009E3813">
        <w:rPr>
          <w:lang w:val="en-GB"/>
        </w:rPr>
        <w:t xml:space="preserve">the </w:t>
      </w:r>
      <w:r w:rsidR="00317226">
        <w:rPr>
          <w:lang w:val="en-GB"/>
        </w:rPr>
        <w:t>AS</w:t>
      </w:r>
      <w:r w:rsidR="00AE0EE1" w:rsidRPr="009E3813">
        <w:rPr>
          <w:lang w:val="en-GB"/>
        </w:rPr>
        <w:t xml:space="preserve"> and nr-axSpA </w:t>
      </w:r>
      <w:r w:rsidR="00F31298" w:rsidRPr="009E3813">
        <w:rPr>
          <w:lang w:val="en-GB"/>
        </w:rPr>
        <w:t xml:space="preserve">populations </w:t>
      </w:r>
      <w:r w:rsidR="00633FC3" w:rsidRPr="009E3813">
        <w:rPr>
          <w:lang w:val="en-GB"/>
        </w:rPr>
        <w:t>because of</w:t>
      </w:r>
      <w:r w:rsidR="00AE0EE1" w:rsidRPr="009E3813">
        <w:rPr>
          <w:lang w:val="en-GB"/>
        </w:rPr>
        <w:t xml:space="preserve"> differences in </w:t>
      </w:r>
      <w:r w:rsidR="00F31298" w:rsidRPr="009E3813">
        <w:rPr>
          <w:lang w:val="en-GB"/>
        </w:rPr>
        <w:t>patient characteristics and disease presentation</w:t>
      </w:r>
      <w:r w:rsidR="00AE0EE1" w:rsidRPr="009E3813">
        <w:rPr>
          <w:lang w:val="en-GB"/>
        </w:rPr>
        <w:t>.</w:t>
      </w:r>
    </w:p>
    <w:p w14:paraId="22ADB563" w14:textId="4258C56F" w:rsidR="00F712F8" w:rsidRPr="009E3813" w:rsidRDefault="00F712F8" w:rsidP="002A7318">
      <w:pPr>
        <w:pStyle w:val="Heading2"/>
      </w:pPr>
      <w:r w:rsidRPr="009E3813">
        <w:t>Clinical evidence</w:t>
      </w:r>
    </w:p>
    <w:p w14:paraId="71048BAB" w14:textId="44B5BD85" w:rsidR="002E4487" w:rsidRPr="009E3813" w:rsidRDefault="002E4487" w:rsidP="002E4487">
      <w:pPr>
        <w:pStyle w:val="Heading3"/>
      </w:pPr>
      <w:r w:rsidRPr="009E3813">
        <w:t>Ixekizumab is effective compared with placebo</w:t>
      </w:r>
    </w:p>
    <w:p w14:paraId="5541D04B" w14:textId="6E9CE7B6" w:rsidR="003D3B16" w:rsidRPr="009E3813" w:rsidRDefault="00A95265">
      <w:pPr>
        <w:pStyle w:val="Numberedlevel2text"/>
        <w:rPr>
          <w:lang w:val="en-GB"/>
        </w:rPr>
      </w:pPr>
      <w:r w:rsidRPr="009E3813">
        <w:rPr>
          <w:lang w:val="en-GB"/>
        </w:rPr>
        <w:t xml:space="preserve">The </w:t>
      </w:r>
      <w:r w:rsidR="000442E4" w:rsidRPr="009E3813">
        <w:rPr>
          <w:lang w:val="en-GB"/>
        </w:rPr>
        <w:t xml:space="preserve">main </w:t>
      </w:r>
      <w:r w:rsidRPr="009E3813">
        <w:rPr>
          <w:lang w:val="en-GB"/>
        </w:rPr>
        <w:t xml:space="preserve">clinical trial evidence </w:t>
      </w:r>
      <w:r w:rsidR="00361891" w:rsidRPr="009E3813">
        <w:rPr>
          <w:lang w:val="en-GB"/>
        </w:rPr>
        <w:t>came</w:t>
      </w:r>
      <w:r w:rsidRPr="009E3813">
        <w:rPr>
          <w:lang w:val="en-GB"/>
        </w:rPr>
        <w:t xml:space="preserve"> from </w:t>
      </w:r>
      <w:r w:rsidR="00633FC3" w:rsidRPr="009E3813">
        <w:rPr>
          <w:lang w:val="en-GB"/>
        </w:rPr>
        <w:t>3</w:t>
      </w:r>
      <w:r w:rsidRPr="009E3813">
        <w:rPr>
          <w:lang w:val="en-GB"/>
        </w:rPr>
        <w:t xml:space="preserve"> international</w:t>
      </w:r>
      <w:r w:rsidR="0001466F" w:rsidRPr="009E3813">
        <w:rPr>
          <w:lang w:val="en-GB"/>
        </w:rPr>
        <w:t xml:space="preserve"> </w:t>
      </w:r>
      <w:r w:rsidR="00ED68F6" w:rsidRPr="009E3813">
        <w:rPr>
          <w:lang w:val="en-GB"/>
        </w:rPr>
        <w:t xml:space="preserve">placebo-controlled </w:t>
      </w:r>
      <w:r w:rsidR="000C7ACA" w:rsidRPr="009E3813">
        <w:rPr>
          <w:lang w:val="en-GB"/>
        </w:rPr>
        <w:t>randomised controlled trials</w:t>
      </w:r>
      <w:r w:rsidR="0001466F" w:rsidRPr="009E3813">
        <w:rPr>
          <w:lang w:val="en-GB"/>
        </w:rPr>
        <w:t xml:space="preserve"> in </w:t>
      </w:r>
      <w:r w:rsidR="00361891" w:rsidRPr="009E3813">
        <w:rPr>
          <w:lang w:val="en-GB"/>
        </w:rPr>
        <w:t>people</w:t>
      </w:r>
      <w:r w:rsidR="0036399C" w:rsidRPr="009E3813">
        <w:rPr>
          <w:lang w:val="en-GB"/>
        </w:rPr>
        <w:t xml:space="preserve"> who had an inadequate response or</w:t>
      </w:r>
      <w:r w:rsidR="0001466F" w:rsidRPr="009E3813">
        <w:rPr>
          <w:lang w:val="en-GB"/>
        </w:rPr>
        <w:t xml:space="preserve"> intolerance to NSAIDs</w:t>
      </w:r>
      <w:r w:rsidR="0036399C" w:rsidRPr="009E3813">
        <w:rPr>
          <w:lang w:val="en-GB"/>
        </w:rPr>
        <w:t>.</w:t>
      </w:r>
      <w:r w:rsidRPr="009E3813">
        <w:rPr>
          <w:lang w:val="en-GB"/>
        </w:rPr>
        <w:t xml:space="preserve"> </w:t>
      </w:r>
      <w:r w:rsidR="00883D87" w:rsidRPr="009E3813">
        <w:rPr>
          <w:lang w:val="en-GB"/>
        </w:rPr>
        <w:t>Two of the trials</w:t>
      </w:r>
      <w:r w:rsidR="0036399C" w:rsidRPr="009E3813">
        <w:rPr>
          <w:lang w:val="en-GB"/>
        </w:rPr>
        <w:t xml:space="preserve"> were in </w:t>
      </w:r>
      <w:r w:rsidR="00317226">
        <w:rPr>
          <w:lang w:val="en-GB"/>
        </w:rPr>
        <w:t>AS</w:t>
      </w:r>
      <w:r w:rsidR="002010F9" w:rsidRPr="009E3813">
        <w:rPr>
          <w:lang w:val="en-GB"/>
        </w:rPr>
        <w:t>:</w:t>
      </w:r>
      <w:r w:rsidR="0036399C" w:rsidRPr="009E3813">
        <w:rPr>
          <w:lang w:val="en-GB"/>
        </w:rPr>
        <w:t xml:space="preserve"> </w:t>
      </w:r>
      <w:r w:rsidR="0001466F" w:rsidRPr="009E3813">
        <w:rPr>
          <w:lang w:val="en-GB"/>
        </w:rPr>
        <w:t>COAST-V include</w:t>
      </w:r>
      <w:r w:rsidR="0036399C" w:rsidRPr="009E3813">
        <w:rPr>
          <w:lang w:val="en-GB"/>
        </w:rPr>
        <w:t>d</w:t>
      </w:r>
      <w:r w:rsidR="0001466F" w:rsidRPr="009E3813">
        <w:rPr>
          <w:lang w:val="en-GB"/>
        </w:rPr>
        <w:t xml:space="preserve"> 341 </w:t>
      </w:r>
      <w:r w:rsidR="00883D87" w:rsidRPr="009E3813">
        <w:rPr>
          <w:lang w:val="en-GB"/>
        </w:rPr>
        <w:t xml:space="preserve">people </w:t>
      </w:r>
      <w:r w:rsidR="0001466F" w:rsidRPr="009E3813">
        <w:rPr>
          <w:lang w:val="en-GB"/>
        </w:rPr>
        <w:t>who ha</w:t>
      </w:r>
      <w:r w:rsidR="0036399C" w:rsidRPr="009E3813">
        <w:rPr>
          <w:lang w:val="en-GB"/>
        </w:rPr>
        <w:t>d</w:t>
      </w:r>
      <w:r w:rsidR="0001466F" w:rsidRPr="009E3813">
        <w:rPr>
          <w:lang w:val="en-GB"/>
        </w:rPr>
        <w:t xml:space="preserve"> not had </w:t>
      </w:r>
      <w:r w:rsidR="000C7ACA" w:rsidRPr="009E3813">
        <w:rPr>
          <w:lang w:val="en-GB"/>
        </w:rPr>
        <w:t xml:space="preserve">a </w:t>
      </w:r>
      <w:r w:rsidR="0001466F" w:rsidRPr="009E3813">
        <w:rPr>
          <w:lang w:val="en-GB"/>
        </w:rPr>
        <w:t xml:space="preserve">biologic </w:t>
      </w:r>
      <w:r w:rsidR="000C7ACA" w:rsidRPr="009E3813">
        <w:rPr>
          <w:lang w:val="en-GB"/>
        </w:rPr>
        <w:t>before, and</w:t>
      </w:r>
      <w:r w:rsidR="0001466F" w:rsidRPr="009E3813">
        <w:rPr>
          <w:lang w:val="en-GB"/>
        </w:rPr>
        <w:t xml:space="preserve"> COAST-W include</w:t>
      </w:r>
      <w:r w:rsidR="0036399C" w:rsidRPr="009E3813">
        <w:rPr>
          <w:lang w:val="en-GB"/>
        </w:rPr>
        <w:t>d</w:t>
      </w:r>
      <w:r w:rsidR="0001466F" w:rsidRPr="009E3813">
        <w:rPr>
          <w:lang w:val="en-GB"/>
        </w:rPr>
        <w:t xml:space="preserve"> 316 people who ha</w:t>
      </w:r>
      <w:r w:rsidR="0036399C" w:rsidRPr="009E3813">
        <w:rPr>
          <w:lang w:val="en-GB"/>
        </w:rPr>
        <w:t>d</w:t>
      </w:r>
      <w:r w:rsidR="0001466F" w:rsidRPr="009E3813">
        <w:rPr>
          <w:lang w:val="en-GB"/>
        </w:rPr>
        <w:t xml:space="preserve"> previously </w:t>
      </w:r>
      <w:r w:rsidR="0036399C" w:rsidRPr="009E3813">
        <w:rPr>
          <w:lang w:val="en-GB"/>
        </w:rPr>
        <w:t xml:space="preserve">had </w:t>
      </w:r>
      <w:r w:rsidR="0001466F" w:rsidRPr="009E3813">
        <w:rPr>
          <w:lang w:val="en-GB"/>
        </w:rPr>
        <w:t xml:space="preserve">at least 1 </w:t>
      </w:r>
      <w:r w:rsidR="000C7ACA" w:rsidRPr="009E3813">
        <w:rPr>
          <w:lang w:val="en-GB"/>
        </w:rPr>
        <w:t xml:space="preserve">biologic (a </w:t>
      </w:r>
      <w:r w:rsidR="0001466F" w:rsidRPr="009E3813">
        <w:rPr>
          <w:lang w:val="en-GB"/>
        </w:rPr>
        <w:t>TNF-alpha inhibitor</w:t>
      </w:r>
      <w:r w:rsidR="000C7ACA" w:rsidRPr="009E3813">
        <w:rPr>
          <w:lang w:val="en-GB"/>
        </w:rPr>
        <w:t>)</w:t>
      </w:r>
      <w:r w:rsidR="0036399C" w:rsidRPr="009E3813">
        <w:rPr>
          <w:lang w:val="en-GB"/>
        </w:rPr>
        <w:t>. T</w:t>
      </w:r>
      <w:r w:rsidR="0001466F" w:rsidRPr="009E3813">
        <w:rPr>
          <w:lang w:val="en-GB"/>
        </w:rPr>
        <w:t xml:space="preserve">he COAST-X study </w:t>
      </w:r>
      <w:r w:rsidR="000C7ACA" w:rsidRPr="009E3813">
        <w:rPr>
          <w:lang w:val="en-GB"/>
        </w:rPr>
        <w:t>included 303</w:t>
      </w:r>
      <w:r w:rsidR="002010F9" w:rsidRPr="009E3813">
        <w:rPr>
          <w:lang w:val="en-GB"/>
        </w:rPr>
        <w:t xml:space="preserve"> people with n</w:t>
      </w:r>
      <w:r w:rsidR="003D3B16" w:rsidRPr="009E3813">
        <w:rPr>
          <w:lang w:val="en-GB"/>
        </w:rPr>
        <w:t>r</w:t>
      </w:r>
      <w:r w:rsidR="002010F9" w:rsidRPr="009E3813">
        <w:rPr>
          <w:lang w:val="en-GB"/>
        </w:rPr>
        <w:t>-</w:t>
      </w:r>
      <w:r w:rsidR="003D3B16" w:rsidRPr="009E3813">
        <w:rPr>
          <w:lang w:val="en-GB"/>
        </w:rPr>
        <w:t>axSpA</w:t>
      </w:r>
      <w:r w:rsidR="002010F9" w:rsidRPr="009E3813">
        <w:rPr>
          <w:lang w:val="en-GB"/>
        </w:rPr>
        <w:t xml:space="preserve"> </w:t>
      </w:r>
      <w:r w:rsidR="000C7ACA" w:rsidRPr="009E3813">
        <w:rPr>
          <w:lang w:val="en-GB"/>
        </w:rPr>
        <w:t>who had never had a biologic</w:t>
      </w:r>
      <w:r w:rsidR="0001466F" w:rsidRPr="009E3813">
        <w:rPr>
          <w:lang w:val="en-GB"/>
        </w:rPr>
        <w:t xml:space="preserve">. </w:t>
      </w:r>
      <w:r w:rsidR="00286C02" w:rsidRPr="009E3813">
        <w:rPr>
          <w:lang w:val="en-GB"/>
        </w:rPr>
        <w:t>The clinical</w:t>
      </w:r>
      <w:r w:rsidRPr="009E3813">
        <w:rPr>
          <w:lang w:val="en-GB"/>
        </w:rPr>
        <w:t xml:space="preserve"> experts confirmed that the patients in the COAST trials </w:t>
      </w:r>
      <w:r w:rsidR="002010F9" w:rsidRPr="009E3813">
        <w:rPr>
          <w:lang w:val="en-GB"/>
        </w:rPr>
        <w:t xml:space="preserve">were </w:t>
      </w:r>
      <w:r w:rsidRPr="009E3813">
        <w:rPr>
          <w:lang w:val="en-GB"/>
        </w:rPr>
        <w:t xml:space="preserve">representative of patients treated in the NHS. The ERG </w:t>
      </w:r>
      <w:r w:rsidR="00ED68F6" w:rsidRPr="009E3813">
        <w:rPr>
          <w:lang w:val="en-GB"/>
        </w:rPr>
        <w:t>considered</w:t>
      </w:r>
      <w:r w:rsidRPr="009E3813">
        <w:rPr>
          <w:lang w:val="en-GB"/>
        </w:rPr>
        <w:t xml:space="preserve"> that patient baseline characteristics were well-balanced across the arms</w:t>
      </w:r>
      <w:r w:rsidR="000C7ACA" w:rsidRPr="009E3813">
        <w:rPr>
          <w:lang w:val="en-GB"/>
        </w:rPr>
        <w:t xml:space="preserve"> within each trial</w:t>
      </w:r>
      <w:r w:rsidRPr="009E3813">
        <w:rPr>
          <w:lang w:val="en-GB"/>
        </w:rPr>
        <w:t>.</w:t>
      </w:r>
      <w:r w:rsidR="00ED68F6" w:rsidRPr="009E3813">
        <w:rPr>
          <w:lang w:val="en-GB"/>
        </w:rPr>
        <w:t xml:space="preserve"> </w:t>
      </w:r>
      <w:r w:rsidR="00BB5875" w:rsidRPr="009E3813">
        <w:rPr>
          <w:lang w:val="en-GB"/>
        </w:rPr>
        <w:t>The primary outcome</w:t>
      </w:r>
      <w:r w:rsidR="00635D1E" w:rsidRPr="009E3813">
        <w:rPr>
          <w:lang w:val="en-GB"/>
        </w:rPr>
        <w:t xml:space="preserve"> was the </w:t>
      </w:r>
      <w:r w:rsidR="00BB5875" w:rsidRPr="009E3813">
        <w:rPr>
          <w:lang w:val="en-GB"/>
        </w:rPr>
        <w:t xml:space="preserve">proportion </w:t>
      </w:r>
      <w:r w:rsidR="00883D87" w:rsidRPr="009E3813">
        <w:rPr>
          <w:lang w:val="en-GB"/>
        </w:rPr>
        <w:t xml:space="preserve">of patients who had an Assessment in Spondyloarthritis International Society (ASAS) 40 response </w:t>
      </w:r>
      <w:r w:rsidR="00B86383" w:rsidRPr="009E3813">
        <w:rPr>
          <w:lang w:val="en-GB"/>
        </w:rPr>
        <w:t xml:space="preserve">(improvement of at least 40% in at least 2 units in 3 of the 4 main domains of ASAS and no worsening in the remaining domains) </w:t>
      </w:r>
      <w:r w:rsidR="00883D87" w:rsidRPr="009E3813">
        <w:rPr>
          <w:lang w:val="en-GB"/>
        </w:rPr>
        <w:t xml:space="preserve">at week 16. </w:t>
      </w:r>
      <w:r w:rsidR="000442E4" w:rsidRPr="009E3813">
        <w:rPr>
          <w:lang w:val="en-GB"/>
        </w:rPr>
        <w:t xml:space="preserve">Secondary endpoints were the </w:t>
      </w:r>
      <w:r w:rsidR="00883D87" w:rsidRPr="009E3813">
        <w:rPr>
          <w:lang w:val="en-GB"/>
        </w:rPr>
        <w:t>proportion of patients whose Bath Ankylosing Spondylitis Disease Activity Index score improved by 50% from baseline</w:t>
      </w:r>
      <w:r w:rsidR="00F61572" w:rsidRPr="009E3813">
        <w:rPr>
          <w:lang w:val="en-GB"/>
        </w:rPr>
        <w:t xml:space="preserve"> (BASDAI 50)</w:t>
      </w:r>
      <w:r w:rsidR="00883D87" w:rsidRPr="009E3813">
        <w:rPr>
          <w:lang w:val="en-GB"/>
        </w:rPr>
        <w:t xml:space="preserve">, and </w:t>
      </w:r>
      <w:r w:rsidR="000442E4" w:rsidRPr="009E3813">
        <w:rPr>
          <w:lang w:val="en-GB"/>
        </w:rPr>
        <w:t xml:space="preserve">the </w:t>
      </w:r>
      <w:r w:rsidR="00883D87" w:rsidRPr="009E3813">
        <w:rPr>
          <w:lang w:val="en-GB"/>
        </w:rPr>
        <w:t xml:space="preserve">change in </w:t>
      </w:r>
      <w:r w:rsidR="00B86383" w:rsidRPr="009E3813">
        <w:rPr>
          <w:lang w:val="en-GB"/>
        </w:rPr>
        <w:t xml:space="preserve">the </w:t>
      </w:r>
      <w:r w:rsidR="00883D87" w:rsidRPr="009E3813">
        <w:rPr>
          <w:lang w:val="en-GB"/>
        </w:rPr>
        <w:t xml:space="preserve">Bath Ankylosing Spondylitis Functional Index (BASFI) score from baseline. </w:t>
      </w:r>
      <w:r w:rsidR="00286C02" w:rsidRPr="009E3813">
        <w:rPr>
          <w:lang w:val="en-GB"/>
        </w:rPr>
        <w:t xml:space="preserve">Ixekizumab showed a statistically significant clinical effect </w:t>
      </w:r>
      <w:r w:rsidR="00883D87" w:rsidRPr="009E3813">
        <w:rPr>
          <w:lang w:val="en-GB"/>
        </w:rPr>
        <w:t xml:space="preserve">compared with </w:t>
      </w:r>
      <w:r w:rsidR="00286C02" w:rsidRPr="009E3813">
        <w:rPr>
          <w:lang w:val="en-GB"/>
        </w:rPr>
        <w:t xml:space="preserve">placebo </w:t>
      </w:r>
      <w:r w:rsidR="00883D87" w:rsidRPr="009E3813">
        <w:rPr>
          <w:lang w:val="en-GB"/>
        </w:rPr>
        <w:t xml:space="preserve">for </w:t>
      </w:r>
      <w:r w:rsidR="00286C02" w:rsidRPr="009E3813">
        <w:rPr>
          <w:lang w:val="en-GB"/>
        </w:rPr>
        <w:t>all primary and secondary outcome measures</w:t>
      </w:r>
      <w:r w:rsidR="001B7130" w:rsidRPr="009E3813">
        <w:rPr>
          <w:lang w:val="en-GB"/>
        </w:rPr>
        <w:t>.</w:t>
      </w:r>
      <w:r w:rsidR="00870C41" w:rsidRPr="009E3813">
        <w:rPr>
          <w:lang w:val="en-GB"/>
        </w:rPr>
        <w:t xml:space="preserve"> </w:t>
      </w:r>
      <w:r w:rsidR="003D3B16" w:rsidRPr="009E3813">
        <w:rPr>
          <w:lang w:val="en-GB"/>
        </w:rPr>
        <w:t>T</w:t>
      </w:r>
      <w:r w:rsidR="00870C41" w:rsidRPr="009E3813">
        <w:rPr>
          <w:lang w:val="en-GB"/>
        </w:rPr>
        <w:t xml:space="preserve">he company </w:t>
      </w:r>
      <w:r w:rsidR="003D3B16" w:rsidRPr="009E3813">
        <w:rPr>
          <w:lang w:val="en-GB"/>
        </w:rPr>
        <w:t xml:space="preserve">also presented evidence from the COAST-Y </w:t>
      </w:r>
      <w:r w:rsidR="00361891" w:rsidRPr="009E3813">
        <w:rPr>
          <w:lang w:val="en-GB"/>
        </w:rPr>
        <w:t>study</w:t>
      </w:r>
      <w:r w:rsidR="003D3B16" w:rsidRPr="009E3813">
        <w:rPr>
          <w:lang w:val="en-GB"/>
        </w:rPr>
        <w:t>, an ongoing, multicentre, long term extension study to evaluate the maintenance of treatment effect with ixekizumab. COAST-Y includes people who completed COAST-V, COAST-W, and COAST</w:t>
      </w:r>
      <w:r w:rsidR="004B62BF" w:rsidRPr="009E3813">
        <w:rPr>
          <w:lang w:val="en-GB"/>
        </w:rPr>
        <w:noBreakHyphen/>
      </w:r>
      <w:r w:rsidR="003D3B16" w:rsidRPr="009E3813">
        <w:rPr>
          <w:lang w:val="en-GB"/>
        </w:rPr>
        <w:t>X</w:t>
      </w:r>
      <w:r w:rsidR="00B65FE5" w:rsidRPr="009E3813">
        <w:rPr>
          <w:lang w:val="en-GB"/>
        </w:rPr>
        <w:t xml:space="preserve"> and </w:t>
      </w:r>
      <w:r w:rsidR="00B65FE5" w:rsidRPr="009E3813">
        <w:rPr>
          <w:lang w:val="en-GB"/>
        </w:rPr>
        <w:lastRenderedPageBreak/>
        <w:t>continue</w:t>
      </w:r>
      <w:r w:rsidR="00B93D05" w:rsidRPr="009E3813">
        <w:rPr>
          <w:lang w:val="en-GB"/>
        </w:rPr>
        <w:t>d</w:t>
      </w:r>
      <w:r w:rsidR="00B65FE5" w:rsidRPr="009E3813">
        <w:rPr>
          <w:lang w:val="en-GB"/>
        </w:rPr>
        <w:t xml:space="preserve"> </w:t>
      </w:r>
      <w:r w:rsidR="004B62BF" w:rsidRPr="009E3813">
        <w:rPr>
          <w:lang w:val="en-GB"/>
        </w:rPr>
        <w:t>having</w:t>
      </w:r>
      <w:r w:rsidR="00B93D05" w:rsidRPr="009E3813">
        <w:rPr>
          <w:lang w:val="en-GB"/>
        </w:rPr>
        <w:t xml:space="preserve"> ixekizumab up</w:t>
      </w:r>
      <w:r w:rsidR="00B65FE5" w:rsidRPr="009E3813">
        <w:rPr>
          <w:lang w:val="en-GB"/>
        </w:rPr>
        <w:t xml:space="preserve"> to 116</w:t>
      </w:r>
      <w:r w:rsidR="004B62BF" w:rsidRPr="009E3813">
        <w:rPr>
          <w:lang w:val="en-GB"/>
        </w:rPr>
        <w:t> </w:t>
      </w:r>
      <w:r w:rsidR="00B65FE5" w:rsidRPr="009E3813">
        <w:rPr>
          <w:lang w:val="en-GB"/>
        </w:rPr>
        <w:t xml:space="preserve">weeks after their </w:t>
      </w:r>
      <w:r w:rsidR="004B62BF" w:rsidRPr="009E3813">
        <w:rPr>
          <w:lang w:val="en-GB"/>
        </w:rPr>
        <w:t xml:space="preserve">first </w:t>
      </w:r>
      <w:r w:rsidR="00B65FE5" w:rsidRPr="009E3813">
        <w:rPr>
          <w:lang w:val="en-GB"/>
        </w:rPr>
        <w:t xml:space="preserve">dose. The company stated </w:t>
      </w:r>
      <w:r w:rsidR="00B93D05" w:rsidRPr="009E3813">
        <w:rPr>
          <w:lang w:val="en-GB"/>
        </w:rPr>
        <w:t>the</w:t>
      </w:r>
      <w:r w:rsidR="00B65FE5" w:rsidRPr="009E3813">
        <w:rPr>
          <w:lang w:val="en-GB"/>
        </w:rPr>
        <w:t xml:space="preserve"> </w:t>
      </w:r>
      <w:r w:rsidR="00B93D05" w:rsidRPr="009E3813">
        <w:rPr>
          <w:lang w:val="en-GB"/>
        </w:rPr>
        <w:t>results of COAST-Y provide evidence to support</w:t>
      </w:r>
      <w:r w:rsidR="00B65FE5" w:rsidRPr="009E3813">
        <w:rPr>
          <w:lang w:val="en-GB"/>
        </w:rPr>
        <w:t xml:space="preserve"> the maintenance of treatment effect</w:t>
      </w:r>
      <w:r w:rsidR="00B93D05" w:rsidRPr="009E3813">
        <w:rPr>
          <w:lang w:val="en-GB"/>
        </w:rPr>
        <w:t>s</w:t>
      </w:r>
      <w:r w:rsidR="00B65FE5" w:rsidRPr="009E3813">
        <w:rPr>
          <w:lang w:val="en-GB"/>
        </w:rPr>
        <w:t xml:space="preserve"> </w:t>
      </w:r>
      <w:r w:rsidR="00B93D05" w:rsidRPr="009E3813">
        <w:rPr>
          <w:lang w:val="en-GB"/>
        </w:rPr>
        <w:t xml:space="preserve">for ixekizumab </w:t>
      </w:r>
      <w:r w:rsidR="00B65FE5" w:rsidRPr="009E3813">
        <w:rPr>
          <w:lang w:val="en-GB"/>
        </w:rPr>
        <w:t xml:space="preserve">on </w:t>
      </w:r>
      <w:r w:rsidR="003D3B16" w:rsidRPr="009E3813">
        <w:rPr>
          <w:lang w:val="en-GB"/>
        </w:rPr>
        <w:t>ASAS</w:t>
      </w:r>
      <w:r w:rsidR="000442E4" w:rsidRPr="009E3813">
        <w:rPr>
          <w:lang w:val="en-GB"/>
        </w:rPr>
        <w:t> </w:t>
      </w:r>
      <w:r w:rsidR="003D3B16" w:rsidRPr="009E3813">
        <w:rPr>
          <w:lang w:val="en-GB"/>
        </w:rPr>
        <w:t>40</w:t>
      </w:r>
      <w:r w:rsidR="008A64D3" w:rsidRPr="009E3813">
        <w:rPr>
          <w:lang w:val="en-GB"/>
        </w:rPr>
        <w:t xml:space="preserve"> response</w:t>
      </w:r>
      <w:r w:rsidR="003D3B16" w:rsidRPr="009E3813">
        <w:rPr>
          <w:lang w:val="en-GB"/>
        </w:rPr>
        <w:t>, BASDAI</w:t>
      </w:r>
      <w:r w:rsidR="000442E4" w:rsidRPr="009E3813">
        <w:rPr>
          <w:lang w:val="en-GB"/>
        </w:rPr>
        <w:t> </w:t>
      </w:r>
      <w:r w:rsidR="008A64D3" w:rsidRPr="009E3813">
        <w:rPr>
          <w:lang w:val="en-GB"/>
        </w:rPr>
        <w:t>50 response</w:t>
      </w:r>
      <w:r w:rsidR="00B93D05" w:rsidRPr="009E3813">
        <w:rPr>
          <w:lang w:val="en-GB"/>
        </w:rPr>
        <w:t xml:space="preserve"> </w:t>
      </w:r>
      <w:r w:rsidR="003D3B16" w:rsidRPr="009E3813">
        <w:rPr>
          <w:lang w:val="en-GB"/>
        </w:rPr>
        <w:t>and</w:t>
      </w:r>
      <w:r w:rsidR="00B93D05" w:rsidRPr="009E3813">
        <w:rPr>
          <w:lang w:val="en-GB"/>
        </w:rPr>
        <w:t xml:space="preserve"> </w:t>
      </w:r>
      <w:r w:rsidR="006424CA">
        <w:rPr>
          <w:lang w:val="en-GB"/>
        </w:rPr>
        <w:t xml:space="preserve">the </w:t>
      </w:r>
      <w:r w:rsidR="003D3B16" w:rsidRPr="009E3813">
        <w:rPr>
          <w:lang w:val="en-GB"/>
        </w:rPr>
        <w:t xml:space="preserve">BASFI </w:t>
      </w:r>
      <w:r w:rsidR="008A64D3" w:rsidRPr="009E3813">
        <w:rPr>
          <w:lang w:val="en-GB"/>
        </w:rPr>
        <w:t>change from baseline</w:t>
      </w:r>
      <w:r w:rsidR="003D3B16" w:rsidRPr="009E3813">
        <w:rPr>
          <w:lang w:val="en-GB"/>
        </w:rPr>
        <w:t xml:space="preserve">. </w:t>
      </w:r>
      <w:r w:rsidR="00286C02" w:rsidRPr="009E3813">
        <w:rPr>
          <w:lang w:val="en-GB"/>
        </w:rPr>
        <w:t xml:space="preserve">The committee </w:t>
      </w:r>
      <w:r w:rsidR="00883D87" w:rsidRPr="009E3813">
        <w:rPr>
          <w:lang w:val="en-GB"/>
        </w:rPr>
        <w:t xml:space="preserve">concluded that </w:t>
      </w:r>
      <w:r w:rsidR="00286C02" w:rsidRPr="009E3813">
        <w:rPr>
          <w:lang w:val="en-GB"/>
        </w:rPr>
        <w:t xml:space="preserve">ixekizumab </w:t>
      </w:r>
      <w:r w:rsidR="002E4487" w:rsidRPr="009E3813">
        <w:rPr>
          <w:lang w:val="en-GB"/>
        </w:rPr>
        <w:t>is</w:t>
      </w:r>
      <w:r w:rsidR="00883D87" w:rsidRPr="009E3813">
        <w:rPr>
          <w:lang w:val="en-GB"/>
        </w:rPr>
        <w:t xml:space="preserve"> an effective treatment</w:t>
      </w:r>
      <w:r w:rsidR="00286C02" w:rsidRPr="009E3813">
        <w:rPr>
          <w:lang w:val="en-GB"/>
        </w:rPr>
        <w:t xml:space="preserve"> compared with placebo.</w:t>
      </w:r>
    </w:p>
    <w:bookmarkEnd w:id="3"/>
    <w:p w14:paraId="2C01DE0A" w14:textId="1CC171D8" w:rsidR="00643582" w:rsidRPr="009E3813" w:rsidRDefault="002C32F9" w:rsidP="002A7318">
      <w:pPr>
        <w:pStyle w:val="Heading2"/>
      </w:pPr>
      <w:r w:rsidRPr="009E3813">
        <w:t>The company’s n</w:t>
      </w:r>
      <w:r w:rsidR="00D2626E" w:rsidRPr="009E3813">
        <w:t>etwork meta-analysis</w:t>
      </w:r>
    </w:p>
    <w:p w14:paraId="5EAFF9DA" w14:textId="060B3AAD" w:rsidR="00643582" w:rsidRPr="009E3813" w:rsidRDefault="002C32F9" w:rsidP="0073007E">
      <w:pPr>
        <w:pStyle w:val="Heading3"/>
      </w:pPr>
      <w:r w:rsidRPr="009E3813">
        <w:t>Results</w:t>
      </w:r>
      <w:r w:rsidR="008A64D3" w:rsidRPr="009E3813">
        <w:t xml:space="preserve"> of the network meta-analysis</w:t>
      </w:r>
      <w:r w:rsidR="00FB458F" w:rsidRPr="009E3813">
        <w:t xml:space="preserve"> in the </w:t>
      </w:r>
      <w:r w:rsidRPr="009E3813">
        <w:t xml:space="preserve">company’s </w:t>
      </w:r>
      <w:r w:rsidR="00FB458F" w:rsidRPr="009E3813">
        <w:t xml:space="preserve">original submission </w:t>
      </w:r>
      <w:r w:rsidR="008962B9" w:rsidRPr="009E3813">
        <w:t xml:space="preserve">are uncertain and </w:t>
      </w:r>
      <w:r w:rsidR="00FB458F" w:rsidRPr="009E3813">
        <w:t>not suitable for decision making</w:t>
      </w:r>
    </w:p>
    <w:p w14:paraId="2C5FDC3D" w14:textId="17328F9A" w:rsidR="00653238" w:rsidRPr="009E3813" w:rsidRDefault="00086F0A" w:rsidP="007C021C">
      <w:pPr>
        <w:pStyle w:val="Numberedlevel2text"/>
        <w:rPr>
          <w:lang w:val="en-GB"/>
        </w:rPr>
      </w:pPr>
      <w:r w:rsidRPr="009E3813">
        <w:rPr>
          <w:lang w:val="en-GB"/>
        </w:rPr>
        <w:t xml:space="preserve">In the absence of direct evidence, </w:t>
      </w:r>
      <w:r w:rsidR="00C250B2" w:rsidRPr="009E3813">
        <w:rPr>
          <w:lang w:val="en-GB"/>
        </w:rPr>
        <w:t>the</w:t>
      </w:r>
      <w:r w:rsidR="00286C02" w:rsidRPr="009E3813">
        <w:rPr>
          <w:lang w:val="en-GB"/>
        </w:rPr>
        <w:t xml:space="preserve"> original company submission included a network meta-analysis (NMA) </w:t>
      </w:r>
      <w:r w:rsidRPr="009E3813">
        <w:rPr>
          <w:lang w:val="en-GB"/>
        </w:rPr>
        <w:t>that compared</w:t>
      </w:r>
      <w:r w:rsidR="006B3091" w:rsidRPr="009E3813">
        <w:rPr>
          <w:lang w:val="en-GB"/>
        </w:rPr>
        <w:t xml:space="preserve"> the </w:t>
      </w:r>
      <w:r w:rsidR="006C43F7" w:rsidRPr="009E3813">
        <w:rPr>
          <w:lang w:val="en-GB"/>
        </w:rPr>
        <w:t xml:space="preserve">relative </w:t>
      </w:r>
      <w:r w:rsidR="006B3091" w:rsidRPr="009E3813">
        <w:rPr>
          <w:lang w:val="en-GB"/>
        </w:rPr>
        <w:t xml:space="preserve">efficacy of </w:t>
      </w:r>
      <w:r w:rsidR="00286C02" w:rsidRPr="009E3813">
        <w:rPr>
          <w:lang w:val="en-GB"/>
        </w:rPr>
        <w:t xml:space="preserve">ixekizumab </w:t>
      </w:r>
      <w:r w:rsidR="006C43F7" w:rsidRPr="009E3813">
        <w:rPr>
          <w:lang w:val="en-GB"/>
        </w:rPr>
        <w:t>and</w:t>
      </w:r>
      <w:r w:rsidR="006B3091" w:rsidRPr="009E3813">
        <w:rPr>
          <w:lang w:val="en-GB"/>
        </w:rPr>
        <w:t xml:space="preserve"> </w:t>
      </w:r>
      <w:r w:rsidR="00286C02" w:rsidRPr="009E3813">
        <w:rPr>
          <w:lang w:val="en-GB"/>
        </w:rPr>
        <w:t>the comparator</w:t>
      </w:r>
      <w:r w:rsidR="006B3091" w:rsidRPr="009E3813">
        <w:rPr>
          <w:lang w:val="en-GB"/>
        </w:rPr>
        <w:t>s in the scope</w:t>
      </w:r>
      <w:r w:rsidRPr="009E3813">
        <w:rPr>
          <w:lang w:val="en-GB"/>
        </w:rPr>
        <w:t xml:space="preserve"> (see section 3.4)</w:t>
      </w:r>
      <w:r w:rsidR="003E7EF6" w:rsidRPr="009E3813">
        <w:rPr>
          <w:lang w:val="en-GB"/>
        </w:rPr>
        <w:t>.</w:t>
      </w:r>
      <w:r w:rsidR="00286C02" w:rsidRPr="009E3813">
        <w:rPr>
          <w:lang w:val="en-GB"/>
        </w:rPr>
        <w:t xml:space="preserve"> </w:t>
      </w:r>
      <w:r w:rsidR="003E7EF6" w:rsidRPr="009E3813">
        <w:rPr>
          <w:lang w:val="en-GB"/>
        </w:rPr>
        <w:t xml:space="preserve">It used </w:t>
      </w:r>
      <w:r w:rsidR="00286C02" w:rsidRPr="009E3813">
        <w:rPr>
          <w:lang w:val="en-GB"/>
        </w:rPr>
        <w:t xml:space="preserve">placebo as the common comparator. The company </w:t>
      </w:r>
      <w:r w:rsidR="004B62BF" w:rsidRPr="009E3813">
        <w:rPr>
          <w:lang w:val="en-GB"/>
        </w:rPr>
        <w:t xml:space="preserve">did </w:t>
      </w:r>
      <w:r w:rsidR="00286C02" w:rsidRPr="009E3813">
        <w:rPr>
          <w:lang w:val="en-GB"/>
        </w:rPr>
        <w:t xml:space="preserve">separate NMAs for </w:t>
      </w:r>
      <w:r w:rsidRPr="009E3813">
        <w:rPr>
          <w:lang w:val="en-GB"/>
        </w:rPr>
        <w:t xml:space="preserve">the </w:t>
      </w:r>
      <w:r w:rsidR="00317226">
        <w:rPr>
          <w:lang w:val="en-GB"/>
        </w:rPr>
        <w:t>AS</w:t>
      </w:r>
      <w:r w:rsidRPr="009E3813">
        <w:rPr>
          <w:lang w:val="en-GB"/>
        </w:rPr>
        <w:t xml:space="preserve"> populations</w:t>
      </w:r>
      <w:r w:rsidR="003E7EF6" w:rsidRPr="009E3813">
        <w:rPr>
          <w:lang w:val="en-GB"/>
        </w:rPr>
        <w:t xml:space="preserve"> who had and had not had a biologic before</w:t>
      </w:r>
      <w:r w:rsidRPr="009E3813">
        <w:rPr>
          <w:lang w:val="en-GB"/>
        </w:rPr>
        <w:t>, and the nr-axSpA population</w:t>
      </w:r>
      <w:r w:rsidR="003E7EF6" w:rsidRPr="009E3813">
        <w:rPr>
          <w:lang w:val="en-GB"/>
        </w:rPr>
        <w:t xml:space="preserve"> that had not had a biologic. This was</w:t>
      </w:r>
      <w:r w:rsidRPr="009E3813">
        <w:rPr>
          <w:lang w:val="en-GB"/>
        </w:rPr>
        <w:t xml:space="preserve"> in line with COAST-V, COAST-W and COAST-X, respectively.</w:t>
      </w:r>
      <w:r w:rsidR="00286C02" w:rsidRPr="009E3813">
        <w:rPr>
          <w:lang w:val="en-GB"/>
        </w:rPr>
        <w:t xml:space="preserve"> The company </w:t>
      </w:r>
      <w:r w:rsidR="004B62BF" w:rsidRPr="009E3813">
        <w:rPr>
          <w:lang w:val="en-GB"/>
        </w:rPr>
        <w:t xml:space="preserve">did </w:t>
      </w:r>
      <w:r w:rsidRPr="009E3813">
        <w:rPr>
          <w:lang w:val="en-GB"/>
        </w:rPr>
        <w:t>‘</w:t>
      </w:r>
      <w:r w:rsidR="00286C02" w:rsidRPr="009E3813">
        <w:rPr>
          <w:lang w:val="en-GB"/>
        </w:rPr>
        <w:t>base</w:t>
      </w:r>
      <w:r w:rsidR="003E7EF6" w:rsidRPr="009E3813">
        <w:rPr>
          <w:lang w:val="en-GB"/>
        </w:rPr>
        <w:t>-</w:t>
      </w:r>
      <w:r w:rsidR="00286C02" w:rsidRPr="009E3813">
        <w:rPr>
          <w:lang w:val="en-GB"/>
        </w:rPr>
        <w:t>case</w:t>
      </w:r>
      <w:r w:rsidRPr="009E3813">
        <w:rPr>
          <w:lang w:val="en-GB"/>
        </w:rPr>
        <w:t>’</w:t>
      </w:r>
      <w:r w:rsidR="00286C02" w:rsidRPr="009E3813">
        <w:rPr>
          <w:lang w:val="en-GB"/>
        </w:rPr>
        <w:t xml:space="preserve"> NMAs </w:t>
      </w:r>
      <w:r w:rsidR="004B62BF" w:rsidRPr="009E3813">
        <w:rPr>
          <w:lang w:val="en-GB"/>
        </w:rPr>
        <w:t xml:space="preserve">that </w:t>
      </w:r>
      <w:r w:rsidRPr="009E3813">
        <w:rPr>
          <w:lang w:val="en-GB"/>
        </w:rPr>
        <w:t>included</w:t>
      </w:r>
      <w:r w:rsidR="00286C02" w:rsidRPr="009E3813">
        <w:rPr>
          <w:lang w:val="en-GB"/>
        </w:rPr>
        <w:t xml:space="preserve"> studies </w:t>
      </w:r>
      <w:r w:rsidRPr="009E3813">
        <w:rPr>
          <w:lang w:val="en-GB"/>
        </w:rPr>
        <w:t>known to be in the relevant</w:t>
      </w:r>
      <w:r w:rsidR="00286C02" w:rsidRPr="009E3813">
        <w:rPr>
          <w:lang w:val="en-GB"/>
        </w:rPr>
        <w:t xml:space="preserve"> patient population, and </w:t>
      </w:r>
      <w:r w:rsidRPr="009E3813">
        <w:rPr>
          <w:lang w:val="en-GB"/>
        </w:rPr>
        <w:t>‘</w:t>
      </w:r>
      <w:r w:rsidR="00286C02" w:rsidRPr="009E3813">
        <w:rPr>
          <w:lang w:val="en-GB"/>
        </w:rPr>
        <w:t>sensitivity</w:t>
      </w:r>
      <w:r w:rsidRPr="009E3813">
        <w:rPr>
          <w:lang w:val="en-GB"/>
        </w:rPr>
        <w:t>’</w:t>
      </w:r>
      <w:r w:rsidR="00286C02" w:rsidRPr="009E3813">
        <w:rPr>
          <w:lang w:val="en-GB"/>
        </w:rPr>
        <w:t xml:space="preserve"> NMAs </w:t>
      </w:r>
      <w:r w:rsidR="004B62BF" w:rsidRPr="009E3813">
        <w:rPr>
          <w:lang w:val="en-GB"/>
        </w:rPr>
        <w:t xml:space="preserve">that </w:t>
      </w:r>
      <w:r w:rsidR="00286C02" w:rsidRPr="009E3813">
        <w:rPr>
          <w:lang w:val="en-GB"/>
        </w:rPr>
        <w:t xml:space="preserve">included additional studies with mixed populations or </w:t>
      </w:r>
      <w:r w:rsidR="002019A4" w:rsidRPr="009E3813">
        <w:rPr>
          <w:lang w:val="en-GB"/>
        </w:rPr>
        <w:t xml:space="preserve">that were </w:t>
      </w:r>
      <w:r w:rsidR="00286C02" w:rsidRPr="009E3813">
        <w:rPr>
          <w:lang w:val="en-GB"/>
        </w:rPr>
        <w:t>unclear</w:t>
      </w:r>
      <w:r w:rsidR="003E7EF6" w:rsidRPr="009E3813">
        <w:rPr>
          <w:lang w:val="en-GB"/>
        </w:rPr>
        <w:t xml:space="preserve"> </w:t>
      </w:r>
      <w:r w:rsidR="002019A4" w:rsidRPr="009E3813">
        <w:rPr>
          <w:lang w:val="en-GB"/>
        </w:rPr>
        <w:t xml:space="preserve">about previous </w:t>
      </w:r>
      <w:r w:rsidR="003E7EF6" w:rsidRPr="009E3813">
        <w:rPr>
          <w:lang w:val="en-GB"/>
        </w:rPr>
        <w:t>biologic treatment</w:t>
      </w:r>
      <w:r w:rsidR="00286C02" w:rsidRPr="009E3813">
        <w:rPr>
          <w:lang w:val="en-GB"/>
        </w:rPr>
        <w:t xml:space="preserve">. The ERG considered the company’s methods to be appropriate. However, </w:t>
      </w:r>
      <w:r w:rsidR="004B62BF" w:rsidRPr="009E3813">
        <w:rPr>
          <w:lang w:val="en-GB"/>
        </w:rPr>
        <w:t>it</w:t>
      </w:r>
      <w:r w:rsidR="00286C02" w:rsidRPr="009E3813">
        <w:rPr>
          <w:lang w:val="en-GB"/>
        </w:rPr>
        <w:t xml:space="preserve"> noted that the company’s base</w:t>
      </w:r>
      <w:r w:rsidR="004B62BF" w:rsidRPr="009E3813">
        <w:rPr>
          <w:lang w:val="en-GB"/>
        </w:rPr>
        <w:t>-</w:t>
      </w:r>
      <w:r w:rsidR="00286C02" w:rsidRPr="009E3813">
        <w:rPr>
          <w:lang w:val="en-GB"/>
        </w:rPr>
        <w:t xml:space="preserve">case NMAs were too sparsely populated to generate results for all relevant comparator treatments, </w:t>
      </w:r>
      <w:r w:rsidR="003E7EF6" w:rsidRPr="009E3813">
        <w:rPr>
          <w:lang w:val="en-GB"/>
        </w:rPr>
        <w:t>so</w:t>
      </w:r>
      <w:r w:rsidR="00286C02" w:rsidRPr="009E3813">
        <w:rPr>
          <w:lang w:val="en-GB"/>
        </w:rPr>
        <w:t xml:space="preserve"> </w:t>
      </w:r>
      <w:r w:rsidR="003A45CE" w:rsidRPr="009E3813">
        <w:rPr>
          <w:lang w:val="en-GB"/>
        </w:rPr>
        <w:t xml:space="preserve">the </w:t>
      </w:r>
      <w:r w:rsidR="00286C02" w:rsidRPr="009E3813">
        <w:rPr>
          <w:lang w:val="en-GB"/>
        </w:rPr>
        <w:t xml:space="preserve">cost-effectiveness results were informed by the sensitivity NMAs. The ERG was concerned </w:t>
      </w:r>
      <w:r w:rsidR="008932EE" w:rsidRPr="009E3813">
        <w:rPr>
          <w:lang w:val="en-GB"/>
        </w:rPr>
        <w:t xml:space="preserve">about the </w:t>
      </w:r>
      <w:r w:rsidR="00286C02" w:rsidRPr="009E3813">
        <w:rPr>
          <w:lang w:val="en-GB"/>
        </w:rPr>
        <w:t xml:space="preserve">substantial differences in </w:t>
      </w:r>
      <w:r w:rsidR="008932EE" w:rsidRPr="009E3813">
        <w:rPr>
          <w:lang w:val="en-GB"/>
        </w:rPr>
        <w:t xml:space="preserve">the </w:t>
      </w:r>
      <w:r w:rsidR="00286C02" w:rsidRPr="009E3813">
        <w:rPr>
          <w:lang w:val="en-GB"/>
        </w:rPr>
        <w:t>absolute effect estimates generated by the base</w:t>
      </w:r>
      <w:r w:rsidR="003E7EF6" w:rsidRPr="009E3813">
        <w:rPr>
          <w:lang w:val="en-GB"/>
        </w:rPr>
        <w:t>-</w:t>
      </w:r>
      <w:r w:rsidR="00286C02" w:rsidRPr="009E3813">
        <w:rPr>
          <w:lang w:val="en-GB"/>
        </w:rPr>
        <w:t xml:space="preserve">case and sensitivity NMAs. </w:t>
      </w:r>
      <w:r w:rsidR="006C43F7" w:rsidRPr="009E3813">
        <w:rPr>
          <w:lang w:val="en-GB"/>
        </w:rPr>
        <w:t>It</w:t>
      </w:r>
      <w:r w:rsidR="00286C02" w:rsidRPr="009E3813">
        <w:rPr>
          <w:lang w:val="en-GB"/>
        </w:rPr>
        <w:t xml:space="preserve"> considered the sensitivity NMAs to be less reliable than the base</w:t>
      </w:r>
      <w:r w:rsidR="003E7EF6" w:rsidRPr="009E3813">
        <w:rPr>
          <w:lang w:val="en-GB"/>
        </w:rPr>
        <w:t>-</w:t>
      </w:r>
      <w:r w:rsidR="00286C02" w:rsidRPr="009E3813">
        <w:rPr>
          <w:lang w:val="en-GB"/>
        </w:rPr>
        <w:t xml:space="preserve">case NMAs </w:t>
      </w:r>
      <w:r w:rsidR="00633FC3" w:rsidRPr="009E3813">
        <w:rPr>
          <w:lang w:val="en-GB"/>
        </w:rPr>
        <w:t>because of</w:t>
      </w:r>
      <w:r w:rsidR="00286C02" w:rsidRPr="009E3813">
        <w:rPr>
          <w:lang w:val="en-GB"/>
        </w:rPr>
        <w:t xml:space="preserve"> high levels of heterogeneity, and concluded </w:t>
      </w:r>
      <w:r w:rsidR="008932EE" w:rsidRPr="009E3813">
        <w:rPr>
          <w:lang w:val="en-GB"/>
        </w:rPr>
        <w:t xml:space="preserve">that </w:t>
      </w:r>
      <w:r w:rsidR="00633FC3" w:rsidRPr="009E3813">
        <w:rPr>
          <w:lang w:val="en-GB"/>
        </w:rPr>
        <w:t>3</w:t>
      </w:r>
      <w:r w:rsidR="00286C02" w:rsidRPr="009E3813">
        <w:rPr>
          <w:lang w:val="en-GB"/>
        </w:rPr>
        <w:t xml:space="preserve"> of the sensitivity NMAs for the </w:t>
      </w:r>
      <w:r w:rsidR="00317226">
        <w:rPr>
          <w:lang w:val="en-GB"/>
        </w:rPr>
        <w:t>AS</w:t>
      </w:r>
      <w:r w:rsidR="00286C02" w:rsidRPr="009E3813">
        <w:rPr>
          <w:lang w:val="en-GB"/>
        </w:rPr>
        <w:t xml:space="preserve"> population were not robust. The committee </w:t>
      </w:r>
      <w:r w:rsidR="00FB458F" w:rsidRPr="009E3813">
        <w:rPr>
          <w:lang w:val="en-GB"/>
        </w:rPr>
        <w:t>agreed</w:t>
      </w:r>
      <w:r w:rsidR="003A45CE" w:rsidRPr="009E3813">
        <w:rPr>
          <w:lang w:val="en-GB"/>
        </w:rPr>
        <w:t xml:space="preserve"> with the ERG</w:t>
      </w:r>
      <w:r w:rsidR="00FB458F" w:rsidRPr="009E3813">
        <w:rPr>
          <w:lang w:val="en-GB"/>
        </w:rPr>
        <w:t xml:space="preserve"> that</w:t>
      </w:r>
      <w:r w:rsidR="00286C02" w:rsidRPr="009E3813">
        <w:rPr>
          <w:lang w:val="en-GB"/>
        </w:rPr>
        <w:t xml:space="preserve"> </w:t>
      </w:r>
      <w:r w:rsidR="00FB458F" w:rsidRPr="009E3813">
        <w:rPr>
          <w:lang w:val="en-GB"/>
        </w:rPr>
        <w:t xml:space="preserve">the </w:t>
      </w:r>
      <w:r w:rsidR="006C43F7" w:rsidRPr="009E3813">
        <w:rPr>
          <w:lang w:val="en-GB"/>
        </w:rPr>
        <w:lastRenderedPageBreak/>
        <w:t xml:space="preserve">results of the </w:t>
      </w:r>
      <w:r w:rsidR="00286C02" w:rsidRPr="009E3813">
        <w:rPr>
          <w:lang w:val="en-GB"/>
        </w:rPr>
        <w:t xml:space="preserve">NMAs </w:t>
      </w:r>
      <w:r w:rsidR="00FB458F" w:rsidRPr="009E3813">
        <w:rPr>
          <w:lang w:val="en-GB"/>
        </w:rPr>
        <w:t xml:space="preserve">were not robust and were therefore </w:t>
      </w:r>
      <w:r w:rsidR="008962B9" w:rsidRPr="009E3813">
        <w:rPr>
          <w:lang w:val="en-GB"/>
        </w:rPr>
        <w:t xml:space="preserve">not suitable for </w:t>
      </w:r>
      <w:r w:rsidR="00286C02" w:rsidRPr="009E3813">
        <w:rPr>
          <w:lang w:val="en-GB"/>
        </w:rPr>
        <w:t>decision making</w:t>
      </w:r>
      <w:r w:rsidR="00FB458F" w:rsidRPr="009E3813">
        <w:rPr>
          <w:lang w:val="en-GB"/>
        </w:rPr>
        <w:t>.</w:t>
      </w:r>
    </w:p>
    <w:p w14:paraId="3332E9FB" w14:textId="09F8C120" w:rsidR="00653238" w:rsidRPr="009E3813" w:rsidRDefault="00AB2773" w:rsidP="006C43F7">
      <w:pPr>
        <w:pStyle w:val="Heading3"/>
      </w:pPr>
      <w:r w:rsidRPr="009E3813">
        <w:t>There is insufficient evidence to compare the effectiveness of ixekizumab and s</w:t>
      </w:r>
      <w:r w:rsidR="00653238" w:rsidRPr="009E3813">
        <w:t>ecukinumab</w:t>
      </w:r>
    </w:p>
    <w:p w14:paraId="0D2FDC87" w14:textId="09B436FC" w:rsidR="008962B9" w:rsidRPr="009E3813" w:rsidRDefault="008A64D3">
      <w:pPr>
        <w:pStyle w:val="Numberedlevel2text"/>
        <w:rPr>
          <w:lang w:val="en-GB"/>
        </w:rPr>
      </w:pPr>
      <w:r w:rsidRPr="009E3813">
        <w:rPr>
          <w:lang w:val="en-GB"/>
        </w:rPr>
        <w:t>S</w:t>
      </w:r>
      <w:r w:rsidR="00653238" w:rsidRPr="009E3813">
        <w:rPr>
          <w:lang w:val="en-GB"/>
        </w:rPr>
        <w:t xml:space="preserve">ecukinumab </w:t>
      </w:r>
      <w:r w:rsidRPr="009E3813">
        <w:rPr>
          <w:lang w:val="en-GB"/>
        </w:rPr>
        <w:t>w</w:t>
      </w:r>
      <w:r w:rsidR="00653238" w:rsidRPr="009E3813">
        <w:rPr>
          <w:lang w:val="en-GB"/>
        </w:rPr>
        <w:t xml:space="preserve">as a comparator </w:t>
      </w:r>
      <w:r w:rsidRPr="009E3813">
        <w:rPr>
          <w:lang w:val="en-GB"/>
        </w:rPr>
        <w:t>in the NICE scope for</w:t>
      </w:r>
      <w:r w:rsidR="00653238" w:rsidRPr="009E3813">
        <w:rPr>
          <w:lang w:val="en-GB"/>
        </w:rPr>
        <w:t xml:space="preserve"> the </w:t>
      </w:r>
      <w:r w:rsidR="00317226">
        <w:rPr>
          <w:lang w:val="en-GB"/>
        </w:rPr>
        <w:t>AS</w:t>
      </w:r>
      <w:r w:rsidR="00653238" w:rsidRPr="009E3813">
        <w:rPr>
          <w:lang w:val="en-GB"/>
        </w:rPr>
        <w:t xml:space="preserve"> population</w:t>
      </w:r>
      <w:r w:rsidRPr="009E3813">
        <w:rPr>
          <w:lang w:val="en-GB"/>
        </w:rPr>
        <w:t xml:space="preserve"> (see section 3.4)</w:t>
      </w:r>
      <w:r w:rsidR="00653238" w:rsidRPr="009E3813">
        <w:rPr>
          <w:lang w:val="en-GB"/>
        </w:rPr>
        <w:t>.</w:t>
      </w:r>
      <w:r w:rsidR="00F94ADB" w:rsidRPr="009E3813">
        <w:rPr>
          <w:lang w:val="en-GB"/>
        </w:rPr>
        <w:t xml:space="preserve"> </w:t>
      </w:r>
      <w:r w:rsidRPr="009E3813">
        <w:rPr>
          <w:lang w:val="en-GB"/>
        </w:rPr>
        <w:t xml:space="preserve">In </w:t>
      </w:r>
      <w:r w:rsidR="006C43F7" w:rsidRPr="009E3813">
        <w:rPr>
          <w:lang w:val="en-GB"/>
        </w:rPr>
        <w:t xml:space="preserve">its </w:t>
      </w:r>
      <w:r w:rsidRPr="009E3813">
        <w:rPr>
          <w:lang w:val="en-GB"/>
        </w:rPr>
        <w:t>original submission, the company indicated that there was insufficient</w:t>
      </w:r>
      <w:r w:rsidR="00F94ADB" w:rsidRPr="009E3813">
        <w:rPr>
          <w:lang w:val="en-GB"/>
        </w:rPr>
        <w:t xml:space="preserve"> published data available to allow </w:t>
      </w:r>
      <w:r w:rsidRPr="009E3813">
        <w:rPr>
          <w:lang w:val="en-GB"/>
        </w:rPr>
        <w:t xml:space="preserve">for </w:t>
      </w:r>
      <w:r w:rsidR="00F94ADB" w:rsidRPr="009E3813">
        <w:rPr>
          <w:lang w:val="en-GB"/>
        </w:rPr>
        <w:t>a full comparison of</w:t>
      </w:r>
      <w:r w:rsidR="0019325D" w:rsidRPr="009E3813">
        <w:rPr>
          <w:lang w:val="en-GB"/>
        </w:rPr>
        <w:t xml:space="preserve"> </w:t>
      </w:r>
      <w:r w:rsidR="006C43F7" w:rsidRPr="009E3813">
        <w:rPr>
          <w:lang w:val="en-GB"/>
        </w:rPr>
        <w:t xml:space="preserve">the </w:t>
      </w:r>
      <w:r w:rsidR="0019325D" w:rsidRPr="009E3813">
        <w:rPr>
          <w:lang w:val="en-GB"/>
        </w:rPr>
        <w:t xml:space="preserve">effectiveness </w:t>
      </w:r>
      <w:r w:rsidR="00013EEC" w:rsidRPr="009E3813">
        <w:rPr>
          <w:lang w:val="en-GB"/>
        </w:rPr>
        <w:t>of</w:t>
      </w:r>
      <w:r w:rsidR="00F94ADB" w:rsidRPr="009E3813">
        <w:rPr>
          <w:lang w:val="en-GB"/>
        </w:rPr>
        <w:t xml:space="preserve"> </w:t>
      </w:r>
      <w:r w:rsidR="002E211E" w:rsidRPr="009E3813">
        <w:rPr>
          <w:lang w:val="en-GB"/>
        </w:rPr>
        <w:t>ixekizumab</w:t>
      </w:r>
      <w:r w:rsidR="00F94ADB" w:rsidRPr="009E3813">
        <w:rPr>
          <w:lang w:val="en-GB"/>
        </w:rPr>
        <w:t xml:space="preserve"> </w:t>
      </w:r>
      <w:r w:rsidR="0019325D" w:rsidRPr="009E3813">
        <w:rPr>
          <w:lang w:val="en-GB"/>
        </w:rPr>
        <w:t>and</w:t>
      </w:r>
      <w:r w:rsidR="00F94ADB" w:rsidRPr="009E3813">
        <w:rPr>
          <w:lang w:val="en-GB"/>
        </w:rPr>
        <w:t xml:space="preserve"> secukinumab</w:t>
      </w:r>
      <w:r w:rsidR="00042792" w:rsidRPr="009E3813">
        <w:rPr>
          <w:lang w:val="en-GB"/>
        </w:rPr>
        <w:t>.</w:t>
      </w:r>
      <w:r w:rsidR="00653238" w:rsidRPr="009E3813">
        <w:rPr>
          <w:lang w:val="en-GB"/>
        </w:rPr>
        <w:t xml:space="preserve"> Following technical engagement, the company updated its NMAs to include data from the PREVENT </w:t>
      </w:r>
      <w:r w:rsidR="00163742" w:rsidRPr="009E3813">
        <w:rPr>
          <w:lang w:val="en-GB"/>
        </w:rPr>
        <w:t xml:space="preserve">trial, </w:t>
      </w:r>
      <w:r w:rsidR="00653238" w:rsidRPr="009E3813">
        <w:rPr>
          <w:lang w:val="en-GB"/>
        </w:rPr>
        <w:t>which compare</w:t>
      </w:r>
      <w:r w:rsidR="006C43F7" w:rsidRPr="009E3813">
        <w:rPr>
          <w:lang w:val="en-GB"/>
        </w:rPr>
        <w:t>d</w:t>
      </w:r>
      <w:r w:rsidR="00653238" w:rsidRPr="009E3813">
        <w:rPr>
          <w:lang w:val="en-GB"/>
        </w:rPr>
        <w:t xml:space="preserve"> secukinumab </w:t>
      </w:r>
      <w:r w:rsidR="00E37CEC" w:rsidRPr="009E3813">
        <w:rPr>
          <w:lang w:val="en-GB"/>
        </w:rPr>
        <w:t xml:space="preserve">with </w:t>
      </w:r>
      <w:r w:rsidR="00653238" w:rsidRPr="009E3813">
        <w:rPr>
          <w:lang w:val="en-GB"/>
        </w:rPr>
        <w:t xml:space="preserve">placebo in </w:t>
      </w:r>
      <w:r w:rsidR="00163742" w:rsidRPr="009E3813">
        <w:rPr>
          <w:lang w:val="en-GB"/>
        </w:rPr>
        <w:t xml:space="preserve">an </w:t>
      </w:r>
      <w:r w:rsidR="00653238" w:rsidRPr="009E3813">
        <w:rPr>
          <w:lang w:val="en-GB"/>
        </w:rPr>
        <w:t>nr-axSpA</w:t>
      </w:r>
      <w:r w:rsidR="00163742" w:rsidRPr="009E3813">
        <w:rPr>
          <w:lang w:val="en-GB"/>
        </w:rPr>
        <w:t xml:space="preserve"> population</w:t>
      </w:r>
      <w:r w:rsidR="00653238" w:rsidRPr="009E3813">
        <w:rPr>
          <w:lang w:val="en-GB"/>
        </w:rPr>
        <w:t xml:space="preserve">. The company argued that results for the nr-axSpA population are generalisable to the </w:t>
      </w:r>
      <w:r w:rsidR="00317226">
        <w:rPr>
          <w:lang w:val="en-GB"/>
        </w:rPr>
        <w:t>AS</w:t>
      </w:r>
      <w:r w:rsidR="00653238" w:rsidRPr="009E3813">
        <w:rPr>
          <w:lang w:val="en-GB"/>
        </w:rPr>
        <w:t xml:space="preserve"> population </w:t>
      </w:r>
      <w:r w:rsidR="006C43F7" w:rsidRPr="009E3813">
        <w:rPr>
          <w:lang w:val="en-GB"/>
        </w:rPr>
        <w:t>because</w:t>
      </w:r>
      <w:r w:rsidR="00975656" w:rsidRPr="009E3813">
        <w:rPr>
          <w:lang w:val="en-GB"/>
        </w:rPr>
        <w:t xml:space="preserve"> axial spondyloarthritis is a disease spectrum </w:t>
      </w:r>
      <w:r w:rsidR="00653238" w:rsidRPr="009E3813">
        <w:rPr>
          <w:lang w:val="en-GB"/>
        </w:rPr>
        <w:t>(see section 3.</w:t>
      </w:r>
      <w:r w:rsidR="006C43F7" w:rsidRPr="009E3813">
        <w:rPr>
          <w:lang w:val="en-GB"/>
        </w:rPr>
        <w:t>5</w:t>
      </w:r>
      <w:r w:rsidR="00653238" w:rsidRPr="009E3813">
        <w:rPr>
          <w:lang w:val="en-GB"/>
        </w:rPr>
        <w:t xml:space="preserve">). </w:t>
      </w:r>
      <w:r w:rsidR="00163742" w:rsidRPr="009E3813">
        <w:rPr>
          <w:lang w:val="en-GB"/>
        </w:rPr>
        <w:t xml:space="preserve">The </w:t>
      </w:r>
      <w:r w:rsidR="000A310E" w:rsidRPr="009E3813">
        <w:rPr>
          <w:lang w:val="en-GB"/>
        </w:rPr>
        <w:t xml:space="preserve">ERG noted </w:t>
      </w:r>
      <w:r w:rsidR="0019325D" w:rsidRPr="009E3813">
        <w:rPr>
          <w:lang w:val="en-GB"/>
        </w:rPr>
        <w:t xml:space="preserve">substantial </w:t>
      </w:r>
      <w:r w:rsidR="000A310E" w:rsidRPr="009E3813">
        <w:rPr>
          <w:lang w:val="en-GB"/>
        </w:rPr>
        <w:t xml:space="preserve">differences between </w:t>
      </w:r>
      <w:r w:rsidR="006C43F7" w:rsidRPr="009E3813">
        <w:rPr>
          <w:lang w:val="en-GB"/>
        </w:rPr>
        <w:t xml:space="preserve">the </w:t>
      </w:r>
      <w:r w:rsidR="000A310E" w:rsidRPr="009E3813">
        <w:rPr>
          <w:lang w:val="en-GB"/>
        </w:rPr>
        <w:t>response rates</w:t>
      </w:r>
      <w:r w:rsidR="006C43F7" w:rsidRPr="009E3813">
        <w:rPr>
          <w:lang w:val="en-GB"/>
        </w:rPr>
        <w:t xml:space="preserve"> for ixekizumab </w:t>
      </w:r>
      <w:r w:rsidR="000A310E" w:rsidRPr="009E3813">
        <w:rPr>
          <w:lang w:val="en-GB"/>
        </w:rPr>
        <w:t>in COAST-V</w:t>
      </w:r>
      <w:r w:rsidR="003A45CE" w:rsidRPr="009E3813">
        <w:rPr>
          <w:lang w:val="en-GB"/>
        </w:rPr>
        <w:t>,</w:t>
      </w:r>
      <w:r w:rsidR="000A310E" w:rsidRPr="009E3813">
        <w:rPr>
          <w:lang w:val="en-GB"/>
        </w:rPr>
        <w:t xml:space="preserve"> which included </w:t>
      </w:r>
      <w:r w:rsidR="00317226">
        <w:rPr>
          <w:lang w:val="en-GB"/>
        </w:rPr>
        <w:t>an</w:t>
      </w:r>
      <w:r w:rsidR="00896E94">
        <w:rPr>
          <w:lang w:val="en-GB"/>
        </w:rPr>
        <w:t xml:space="preserve"> active AS</w:t>
      </w:r>
      <w:r w:rsidR="000A310E" w:rsidRPr="009E3813">
        <w:rPr>
          <w:lang w:val="en-GB"/>
        </w:rPr>
        <w:t xml:space="preserve"> population, and COAST-X</w:t>
      </w:r>
      <w:r w:rsidR="006C43F7" w:rsidRPr="009E3813">
        <w:rPr>
          <w:lang w:val="en-GB"/>
        </w:rPr>
        <w:t>,</w:t>
      </w:r>
      <w:r w:rsidR="000A310E" w:rsidRPr="009E3813">
        <w:rPr>
          <w:lang w:val="en-GB"/>
        </w:rPr>
        <w:t xml:space="preserve"> which included </w:t>
      </w:r>
      <w:r w:rsidR="00163742" w:rsidRPr="009E3813">
        <w:rPr>
          <w:lang w:val="en-GB"/>
        </w:rPr>
        <w:t>an</w:t>
      </w:r>
      <w:r w:rsidR="000A310E" w:rsidRPr="009E3813">
        <w:rPr>
          <w:lang w:val="en-GB"/>
        </w:rPr>
        <w:t xml:space="preserve"> nr-axSpA population. </w:t>
      </w:r>
      <w:r w:rsidR="00163742" w:rsidRPr="009E3813">
        <w:rPr>
          <w:lang w:val="en-GB"/>
        </w:rPr>
        <w:t xml:space="preserve">Both populations had not had a biologic. </w:t>
      </w:r>
      <w:r w:rsidR="000A310E" w:rsidRPr="009E3813">
        <w:rPr>
          <w:lang w:val="en-GB"/>
        </w:rPr>
        <w:t xml:space="preserve">The ERG stated that if </w:t>
      </w:r>
      <w:r w:rsidR="00013EEC" w:rsidRPr="009E3813">
        <w:rPr>
          <w:lang w:val="en-GB"/>
        </w:rPr>
        <w:t xml:space="preserve">these </w:t>
      </w:r>
      <w:r w:rsidR="000A310E" w:rsidRPr="009E3813">
        <w:rPr>
          <w:lang w:val="en-GB"/>
        </w:rPr>
        <w:t xml:space="preserve">differences were </w:t>
      </w:r>
      <w:r w:rsidR="00633FC3" w:rsidRPr="009E3813">
        <w:rPr>
          <w:lang w:val="en-GB"/>
        </w:rPr>
        <w:t>because of</w:t>
      </w:r>
      <w:r w:rsidR="000A310E" w:rsidRPr="009E3813">
        <w:rPr>
          <w:lang w:val="en-GB"/>
        </w:rPr>
        <w:t xml:space="preserve"> underlying disease biology then it </w:t>
      </w:r>
      <w:r w:rsidR="006C43F7" w:rsidRPr="009E3813">
        <w:rPr>
          <w:lang w:val="en-GB"/>
        </w:rPr>
        <w:t>would be</w:t>
      </w:r>
      <w:r w:rsidR="000A310E" w:rsidRPr="009E3813">
        <w:rPr>
          <w:lang w:val="en-GB"/>
        </w:rPr>
        <w:t xml:space="preserve"> unreliable to use results from </w:t>
      </w:r>
      <w:r w:rsidR="00896E94">
        <w:rPr>
          <w:lang w:val="en-GB"/>
        </w:rPr>
        <w:t>the</w:t>
      </w:r>
      <w:r w:rsidR="00896E94" w:rsidRPr="009E3813">
        <w:rPr>
          <w:lang w:val="en-GB"/>
        </w:rPr>
        <w:t xml:space="preserve"> </w:t>
      </w:r>
      <w:r w:rsidR="000A310E" w:rsidRPr="009E3813">
        <w:rPr>
          <w:lang w:val="en-GB"/>
        </w:rPr>
        <w:t xml:space="preserve">nr-axSpA </w:t>
      </w:r>
      <w:r w:rsidR="00163742" w:rsidRPr="009E3813">
        <w:rPr>
          <w:lang w:val="en-GB"/>
        </w:rPr>
        <w:t xml:space="preserve">population </w:t>
      </w:r>
      <w:r w:rsidR="000A310E" w:rsidRPr="009E3813">
        <w:rPr>
          <w:lang w:val="en-GB"/>
        </w:rPr>
        <w:t xml:space="preserve">as </w:t>
      </w:r>
      <w:r w:rsidR="003A45CE" w:rsidRPr="009E3813">
        <w:rPr>
          <w:lang w:val="en-GB"/>
        </w:rPr>
        <w:t xml:space="preserve">a </w:t>
      </w:r>
      <w:r w:rsidR="000A310E" w:rsidRPr="009E3813">
        <w:rPr>
          <w:lang w:val="en-GB"/>
        </w:rPr>
        <w:t>prox</w:t>
      </w:r>
      <w:r w:rsidR="003A45CE" w:rsidRPr="009E3813">
        <w:rPr>
          <w:lang w:val="en-GB"/>
        </w:rPr>
        <w:t>y</w:t>
      </w:r>
      <w:r w:rsidR="000A310E" w:rsidRPr="009E3813">
        <w:rPr>
          <w:lang w:val="en-GB"/>
        </w:rPr>
        <w:t xml:space="preserve"> for results in </w:t>
      </w:r>
      <w:r w:rsidR="00317226">
        <w:rPr>
          <w:lang w:val="en-GB"/>
        </w:rPr>
        <w:t>AS</w:t>
      </w:r>
      <w:r w:rsidR="000A310E" w:rsidRPr="009E3813">
        <w:rPr>
          <w:lang w:val="en-GB"/>
        </w:rPr>
        <w:t xml:space="preserve">. </w:t>
      </w:r>
      <w:r w:rsidR="00013EEC" w:rsidRPr="009E3813">
        <w:rPr>
          <w:lang w:val="en-GB"/>
        </w:rPr>
        <w:t>I</w:t>
      </w:r>
      <w:r w:rsidR="000A310E" w:rsidRPr="009E3813">
        <w:rPr>
          <w:lang w:val="en-GB"/>
        </w:rPr>
        <w:t>f</w:t>
      </w:r>
      <w:r w:rsidR="00013EEC" w:rsidRPr="009E3813">
        <w:rPr>
          <w:lang w:val="en-GB"/>
        </w:rPr>
        <w:t xml:space="preserve"> the</w:t>
      </w:r>
      <w:r w:rsidR="000A310E" w:rsidRPr="009E3813">
        <w:rPr>
          <w:lang w:val="en-GB"/>
        </w:rPr>
        <w:t xml:space="preserve"> differences in </w:t>
      </w:r>
      <w:r w:rsidR="00013EEC" w:rsidRPr="009E3813">
        <w:rPr>
          <w:lang w:val="en-GB"/>
        </w:rPr>
        <w:t xml:space="preserve">the </w:t>
      </w:r>
      <w:r w:rsidR="000A310E" w:rsidRPr="009E3813">
        <w:rPr>
          <w:lang w:val="en-GB"/>
        </w:rPr>
        <w:t xml:space="preserve">response rates were </w:t>
      </w:r>
      <w:r w:rsidR="00633FC3" w:rsidRPr="009E3813">
        <w:rPr>
          <w:lang w:val="en-GB"/>
        </w:rPr>
        <w:t>because of</w:t>
      </w:r>
      <w:r w:rsidR="000A310E" w:rsidRPr="009E3813">
        <w:rPr>
          <w:lang w:val="en-GB"/>
        </w:rPr>
        <w:t xml:space="preserve"> differences in patient </w:t>
      </w:r>
      <w:r w:rsidR="000043B9" w:rsidRPr="009E3813">
        <w:rPr>
          <w:lang w:val="en-GB"/>
        </w:rPr>
        <w:t>characteristics,</w:t>
      </w:r>
      <w:r w:rsidR="000A310E" w:rsidRPr="009E3813">
        <w:rPr>
          <w:lang w:val="en-GB"/>
        </w:rPr>
        <w:t xml:space="preserve"> then </w:t>
      </w:r>
      <w:r w:rsidR="00AB2773" w:rsidRPr="009E3813">
        <w:rPr>
          <w:lang w:val="en-GB"/>
        </w:rPr>
        <w:t xml:space="preserve">results from </w:t>
      </w:r>
      <w:r w:rsidR="00013EEC" w:rsidRPr="009E3813">
        <w:rPr>
          <w:lang w:val="en-GB"/>
        </w:rPr>
        <w:t xml:space="preserve">the </w:t>
      </w:r>
      <w:r w:rsidR="00AB2773" w:rsidRPr="009E3813">
        <w:rPr>
          <w:lang w:val="en-GB"/>
        </w:rPr>
        <w:t xml:space="preserve">nr-axSpA </w:t>
      </w:r>
      <w:r w:rsidR="00163742" w:rsidRPr="009E3813">
        <w:rPr>
          <w:lang w:val="en-GB"/>
        </w:rPr>
        <w:t xml:space="preserve">population </w:t>
      </w:r>
      <w:r w:rsidR="00AB2773" w:rsidRPr="009E3813">
        <w:rPr>
          <w:lang w:val="en-GB"/>
        </w:rPr>
        <w:t xml:space="preserve">could only be used to inform </w:t>
      </w:r>
      <w:r w:rsidR="003D5516" w:rsidRPr="009E3813">
        <w:rPr>
          <w:lang w:val="en-GB"/>
        </w:rPr>
        <w:t xml:space="preserve">the </w:t>
      </w:r>
      <w:r w:rsidR="00AB2773" w:rsidRPr="009E3813">
        <w:rPr>
          <w:lang w:val="en-GB"/>
        </w:rPr>
        <w:t>effectiveness</w:t>
      </w:r>
      <w:r w:rsidR="003D5516" w:rsidRPr="009E3813">
        <w:rPr>
          <w:lang w:val="en-GB"/>
        </w:rPr>
        <w:t xml:space="preserve"> of ixekizumab</w:t>
      </w:r>
      <w:r w:rsidR="00AB2773" w:rsidRPr="009E3813">
        <w:rPr>
          <w:lang w:val="en-GB"/>
        </w:rPr>
        <w:t xml:space="preserve"> for patients with </w:t>
      </w:r>
      <w:r w:rsidR="00317226">
        <w:rPr>
          <w:lang w:val="en-GB"/>
        </w:rPr>
        <w:t>AS</w:t>
      </w:r>
      <w:r w:rsidR="00AB2773" w:rsidRPr="009E3813">
        <w:rPr>
          <w:lang w:val="en-GB"/>
        </w:rPr>
        <w:t xml:space="preserve"> if </w:t>
      </w:r>
      <w:r w:rsidR="000A310E" w:rsidRPr="009E3813">
        <w:rPr>
          <w:lang w:val="en-GB"/>
        </w:rPr>
        <w:t xml:space="preserve">appropriate adjustments </w:t>
      </w:r>
      <w:r w:rsidR="00AB2773" w:rsidRPr="009E3813">
        <w:rPr>
          <w:lang w:val="en-GB"/>
        </w:rPr>
        <w:t>were</w:t>
      </w:r>
      <w:r w:rsidR="000A310E" w:rsidRPr="009E3813">
        <w:rPr>
          <w:lang w:val="en-GB"/>
        </w:rPr>
        <w:t xml:space="preserve"> </w:t>
      </w:r>
      <w:r w:rsidR="00AB2773" w:rsidRPr="009E3813">
        <w:rPr>
          <w:lang w:val="en-GB"/>
        </w:rPr>
        <w:t xml:space="preserve">made for these patient characteristics. The committee concluded that insufficient evidence was </w:t>
      </w:r>
      <w:r w:rsidR="003A45CE" w:rsidRPr="009E3813">
        <w:rPr>
          <w:lang w:val="en-GB"/>
        </w:rPr>
        <w:t>presented</w:t>
      </w:r>
      <w:r w:rsidR="00AB2773" w:rsidRPr="009E3813">
        <w:rPr>
          <w:lang w:val="en-GB"/>
        </w:rPr>
        <w:t xml:space="preserve"> to allow for a robust comparison of ixekizumab and secukinumab</w:t>
      </w:r>
      <w:r w:rsidR="00163742" w:rsidRPr="009E3813">
        <w:rPr>
          <w:lang w:val="en-GB"/>
        </w:rPr>
        <w:t>,</w:t>
      </w:r>
      <w:r w:rsidR="00AB2773" w:rsidRPr="009E3813">
        <w:rPr>
          <w:lang w:val="en-GB"/>
        </w:rPr>
        <w:t xml:space="preserve"> given that treatment effectiveness was not considered to be generalisable across </w:t>
      </w:r>
      <w:r w:rsidR="00317226">
        <w:rPr>
          <w:lang w:val="en-GB"/>
        </w:rPr>
        <w:t>AS</w:t>
      </w:r>
      <w:r w:rsidR="00AB2773" w:rsidRPr="009E3813">
        <w:rPr>
          <w:lang w:val="en-GB"/>
        </w:rPr>
        <w:t xml:space="preserve"> and nr-axSpA populations (see section 3.5).</w:t>
      </w:r>
    </w:p>
    <w:p w14:paraId="6B237C01" w14:textId="5F49FA10" w:rsidR="00437FA7" w:rsidRPr="009E3813" w:rsidRDefault="00437FA7" w:rsidP="002A7318">
      <w:pPr>
        <w:pStyle w:val="Heading2"/>
      </w:pPr>
      <w:r w:rsidRPr="009E3813">
        <w:lastRenderedPageBreak/>
        <w:t>Assumptions</w:t>
      </w:r>
      <w:r w:rsidR="00B36932" w:rsidRPr="009E3813">
        <w:t xml:space="preserve"> about a class effect</w:t>
      </w:r>
    </w:p>
    <w:p w14:paraId="4429F7DB" w14:textId="71A45B4A" w:rsidR="00653238" w:rsidRPr="009E3813" w:rsidRDefault="003F4054" w:rsidP="005163F6">
      <w:pPr>
        <w:pStyle w:val="Heading3"/>
      </w:pPr>
      <w:r w:rsidRPr="009E3813">
        <w:t xml:space="preserve">It is not reasonable to assume </w:t>
      </w:r>
      <w:r w:rsidR="00D1452F" w:rsidRPr="009E3813">
        <w:t xml:space="preserve">a </w:t>
      </w:r>
      <w:r w:rsidRPr="009E3813">
        <w:t xml:space="preserve">class effect </w:t>
      </w:r>
      <w:r w:rsidR="00C5256C" w:rsidRPr="009E3813">
        <w:t xml:space="preserve">for </w:t>
      </w:r>
      <w:r w:rsidR="007545A6" w:rsidRPr="009E3813">
        <w:t xml:space="preserve">all </w:t>
      </w:r>
      <w:r w:rsidR="002019A4" w:rsidRPr="009E3813">
        <w:t>biologic treatments</w:t>
      </w:r>
    </w:p>
    <w:p w14:paraId="12E52B99" w14:textId="360A07B8" w:rsidR="003F4054" w:rsidRPr="009E3813" w:rsidRDefault="00653238" w:rsidP="00470E9A">
      <w:pPr>
        <w:pStyle w:val="Numberedlevel2text"/>
        <w:rPr>
          <w:lang w:val="en-GB"/>
        </w:rPr>
      </w:pPr>
      <w:r w:rsidRPr="009E3813">
        <w:rPr>
          <w:lang w:val="en-GB"/>
        </w:rPr>
        <w:t xml:space="preserve">Following technical engagement, the company </w:t>
      </w:r>
      <w:r w:rsidR="00042792" w:rsidRPr="009E3813">
        <w:rPr>
          <w:lang w:val="en-GB"/>
        </w:rPr>
        <w:t xml:space="preserve">considered </w:t>
      </w:r>
      <w:r w:rsidRPr="009E3813">
        <w:rPr>
          <w:lang w:val="en-GB"/>
        </w:rPr>
        <w:t xml:space="preserve">it reasonable to assume </w:t>
      </w:r>
      <w:r w:rsidR="009627AD" w:rsidRPr="009E3813">
        <w:rPr>
          <w:lang w:val="en-GB"/>
        </w:rPr>
        <w:t>that all biologic treatments for axial spondyloarthritis have equivalent efficacy (that is,</w:t>
      </w:r>
      <w:r w:rsidR="00B40B08" w:rsidRPr="009E3813">
        <w:rPr>
          <w:lang w:val="en-GB"/>
        </w:rPr>
        <w:t xml:space="preserve"> there is</w:t>
      </w:r>
      <w:r w:rsidR="009627AD" w:rsidRPr="009E3813">
        <w:rPr>
          <w:lang w:val="en-GB"/>
        </w:rPr>
        <w:t xml:space="preserve"> </w:t>
      </w:r>
      <w:r w:rsidR="003D5516" w:rsidRPr="009E3813">
        <w:rPr>
          <w:lang w:val="en-GB"/>
        </w:rPr>
        <w:t xml:space="preserve">a </w:t>
      </w:r>
      <w:r w:rsidRPr="009E3813">
        <w:rPr>
          <w:lang w:val="en-GB"/>
        </w:rPr>
        <w:t>class effect</w:t>
      </w:r>
      <w:r w:rsidR="00B40B08" w:rsidRPr="009E3813">
        <w:rPr>
          <w:lang w:val="en-GB"/>
        </w:rPr>
        <w:t xml:space="preserve"> </w:t>
      </w:r>
      <w:r w:rsidR="000B04DF" w:rsidRPr="009E3813">
        <w:rPr>
          <w:lang w:val="en-GB"/>
        </w:rPr>
        <w:t xml:space="preserve">for all </w:t>
      </w:r>
      <w:r w:rsidR="00B40B08" w:rsidRPr="009E3813">
        <w:rPr>
          <w:lang w:val="en-GB"/>
        </w:rPr>
        <w:t>TNF-alpha and IL</w:t>
      </w:r>
      <w:r w:rsidR="00C5256C" w:rsidRPr="009E3813">
        <w:rPr>
          <w:lang w:val="en-GB"/>
        </w:rPr>
        <w:noBreakHyphen/>
      </w:r>
      <w:r w:rsidR="00B40B08" w:rsidRPr="009E3813">
        <w:rPr>
          <w:lang w:val="en-GB"/>
        </w:rPr>
        <w:t>17-a inhibitors</w:t>
      </w:r>
      <w:r w:rsidR="009627AD" w:rsidRPr="009E3813">
        <w:rPr>
          <w:lang w:val="en-GB"/>
        </w:rPr>
        <w:t>).</w:t>
      </w:r>
      <w:r w:rsidRPr="009E3813">
        <w:rPr>
          <w:lang w:val="en-GB"/>
        </w:rPr>
        <w:t xml:space="preserve"> </w:t>
      </w:r>
      <w:r w:rsidR="000B04DF" w:rsidRPr="009E3813">
        <w:rPr>
          <w:lang w:val="en-GB"/>
        </w:rPr>
        <w:t>It</w:t>
      </w:r>
      <w:r w:rsidRPr="009E3813">
        <w:rPr>
          <w:lang w:val="en-GB"/>
        </w:rPr>
        <w:t xml:space="preserve"> </w:t>
      </w:r>
      <w:r w:rsidR="00B40B08" w:rsidRPr="009E3813">
        <w:rPr>
          <w:lang w:val="en-GB"/>
        </w:rPr>
        <w:t>commented</w:t>
      </w:r>
      <w:r w:rsidR="009627AD" w:rsidRPr="009E3813">
        <w:rPr>
          <w:lang w:val="en-GB"/>
        </w:rPr>
        <w:t xml:space="preserve"> that the </w:t>
      </w:r>
      <w:r w:rsidRPr="009E3813">
        <w:rPr>
          <w:lang w:val="en-GB"/>
        </w:rPr>
        <w:t>evidence demonstrates</w:t>
      </w:r>
      <w:r w:rsidR="009627AD" w:rsidRPr="009E3813">
        <w:rPr>
          <w:lang w:val="en-GB"/>
        </w:rPr>
        <w:t xml:space="preserve"> that the pathophysiology of axial spondyloarthritis</w:t>
      </w:r>
      <w:r w:rsidRPr="009E3813">
        <w:rPr>
          <w:lang w:val="en-GB"/>
        </w:rPr>
        <w:t xml:space="preserve"> is driven by dysregulation</w:t>
      </w:r>
      <w:r w:rsidR="007C021C" w:rsidRPr="009E3813">
        <w:rPr>
          <w:lang w:val="en-GB"/>
        </w:rPr>
        <w:t xml:space="preserve"> of inflammatory cytokines</w:t>
      </w:r>
      <w:r w:rsidR="009627AD" w:rsidRPr="009E3813">
        <w:rPr>
          <w:lang w:val="en-GB"/>
        </w:rPr>
        <w:t>,</w:t>
      </w:r>
      <w:r w:rsidRPr="009E3813">
        <w:rPr>
          <w:lang w:val="en-GB"/>
        </w:rPr>
        <w:t xml:space="preserve"> </w:t>
      </w:r>
      <w:r w:rsidR="007C021C" w:rsidRPr="009E3813">
        <w:rPr>
          <w:lang w:val="en-GB"/>
        </w:rPr>
        <w:t xml:space="preserve">in which </w:t>
      </w:r>
      <w:r w:rsidRPr="009E3813">
        <w:rPr>
          <w:lang w:val="en-GB"/>
        </w:rPr>
        <w:t>both TNF-alpha</w:t>
      </w:r>
      <w:r w:rsidR="009627AD" w:rsidRPr="009E3813">
        <w:rPr>
          <w:lang w:val="en-GB"/>
        </w:rPr>
        <w:t xml:space="preserve"> inhibitors</w:t>
      </w:r>
      <w:r w:rsidRPr="009E3813">
        <w:rPr>
          <w:lang w:val="en-GB"/>
        </w:rPr>
        <w:t xml:space="preserve"> and IL-17</w:t>
      </w:r>
      <w:r w:rsidR="0019325D" w:rsidRPr="009E3813">
        <w:rPr>
          <w:lang w:val="en-GB"/>
        </w:rPr>
        <w:t>-a</w:t>
      </w:r>
      <w:r w:rsidR="007C021C" w:rsidRPr="009E3813">
        <w:rPr>
          <w:lang w:val="en-GB"/>
        </w:rPr>
        <w:t xml:space="preserve"> inhibitors</w:t>
      </w:r>
      <w:r w:rsidRPr="009E3813">
        <w:rPr>
          <w:lang w:val="en-GB"/>
        </w:rPr>
        <w:t xml:space="preserve"> play key role</w:t>
      </w:r>
      <w:r w:rsidR="007C021C" w:rsidRPr="009E3813">
        <w:rPr>
          <w:lang w:val="en-GB"/>
        </w:rPr>
        <w:t>s</w:t>
      </w:r>
      <w:r w:rsidRPr="009E3813">
        <w:rPr>
          <w:lang w:val="en-GB"/>
        </w:rPr>
        <w:t xml:space="preserve">. </w:t>
      </w:r>
      <w:r w:rsidR="009718F3" w:rsidRPr="009E3813">
        <w:rPr>
          <w:lang w:val="en-GB"/>
        </w:rPr>
        <w:t>The</w:t>
      </w:r>
      <w:r w:rsidRPr="009E3813">
        <w:rPr>
          <w:lang w:val="en-GB"/>
        </w:rPr>
        <w:t xml:space="preserve"> company </w:t>
      </w:r>
      <w:r w:rsidR="007C021C" w:rsidRPr="009E3813">
        <w:rPr>
          <w:lang w:val="en-GB"/>
        </w:rPr>
        <w:t xml:space="preserve">also highlighted </w:t>
      </w:r>
      <w:r w:rsidRPr="009E3813">
        <w:rPr>
          <w:lang w:val="en-GB"/>
        </w:rPr>
        <w:t>that the updated NMAs found no statistically significant difference between TNF-alpha inhibitors and IL-17</w:t>
      </w:r>
      <w:r w:rsidR="0019325D" w:rsidRPr="009E3813">
        <w:rPr>
          <w:lang w:val="en-GB"/>
        </w:rPr>
        <w:t>-a</w:t>
      </w:r>
      <w:r w:rsidRPr="009E3813">
        <w:rPr>
          <w:lang w:val="en-GB"/>
        </w:rPr>
        <w:t xml:space="preserve"> inhibitors for any of the outcomes assessed. </w:t>
      </w:r>
      <w:r w:rsidR="00245F97" w:rsidRPr="009E3813">
        <w:rPr>
          <w:lang w:val="en-GB"/>
        </w:rPr>
        <w:t xml:space="preserve">The </w:t>
      </w:r>
      <w:r w:rsidRPr="009E3813">
        <w:rPr>
          <w:lang w:val="en-GB"/>
        </w:rPr>
        <w:t>ERG</w:t>
      </w:r>
      <w:r w:rsidR="0004042B" w:rsidRPr="009E3813">
        <w:rPr>
          <w:lang w:val="en-GB"/>
        </w:rPr>
        <w:t xml:space="preserve"> said it</w:t>
      </w:r>
      <w:r w:rsidRPr="009E3813">
        <w:rPr>
          <w:lang w:val="en-GB"/>
        </w:rPr>
        <w:t xml:space="preserve"> could not comment on the validity of the company’s class</w:t>
      </w:r>
      <w:r w:rsidR="004B62BF" w:rsidRPr="009E3813">
        <w:rPr>
          <w:lang w:val="en-GB"/>
        </w:rPr>
        <w:t>-</w:t>
      </w:r>
      <w:r w:rsidRPr="009E3813">
        <w:rPr>
          <w:lang w:val="en-GB"/>
        </w:rPr>
        <w:t>effect assumption</w:t>
      </w:r>
      <w:r w:rsidR="004B62BF" w:rsidRPr="009E3813">
        <w:rPr>
          <w:lang w:val="en-GB"/>
        </w:rPr>
        <w:t>. This was</w:t>
      </w:r>
      <w:r w:rsidRPr="009E3813">
        <w:rPr>
          <w:lang w:val="en-GB"/>
        </w:rPr>
        <w:t xml:space="preserve"> </w:t>
      </w:r>
      <w:r w:rsidR="0004042B" w:rsidRPr="009E3813">
        <w:rPr>
          <w:lang w:val="en-GB"/>
        </w:rPr>
        <w:t>because</w:t>
      </w:r>
      <w:r w:rsidRPr="009E3813">
        <w:rPr>
          <w:lang w:val="en-GB"/>
        </w:rPr>
        <w:t xml:space="preserve"> the company had not </w:t>
      </w:r>
      <w:r w:rsidR="004B62BF" w:rsidRPr="009E3813">
        <w:rPr>
          <w:lang w:val="en-GB"/>
        </w:rPr>
        <w:t xml:space="preserve">done </w:t>
      </w:r>
      <w:r w:rsidRPr="009E3813">
        <w:rPr>
          <w:lang w:val="en-GB"/>
        </w:rPr>
        <w:t>an appropriate statistical analysis comparing relative treatment effects for TNF-alpha inhibitors and IL</w:t>
      </w:r>
      <w:r w:rsidR="00245F97" w:rsidRPr="009E3813">
        <w:rPr>
          <w:lang w:val="en-GB"/>
        </w:rPr>
        <w:noBreakHyphen/>
      </w:r>
      <w:r w:rsidRPr="009E3813">
        <w:rPr>
          <w:lang w:val="en-GB"/>
        </w:rPr>
        <w:t>17-</w:t>
      </w:r>
      <w:r w:rsidR="0019325D" w:rsidRPr="009E3813">
        <w:rPr>
          <w:lang w:val="en-GB"/>
        </w:rPr>
        <w:t>a</w:t>
      </w:r>
      <w:r w:rsidRPr="009E3813">
        <w:rPr>
          <w:lang w:val="en-GB"/>
        </w:rPr>
        <w:t xml:space="preserve"> inhibitors. </w:t>
      </w:r>
      <w:r w:rsidR="003F4054" w:rsidRPr="009E3813">
        <w:rPr>
          <w:lang w:val="en-GB"/>
        </w:rPr>
        <w:t>The clinical experts</w:t>
      </w:r>
      <w:r w:rsidR="0004042B" w:rsidRPr="009E3813">
        <w:rPr>
          <w:lang w:val="en-GB"/>
        </w:rPr>
        <w:t xml:space="preserve"> explained that IL-17-a inhibitors </w:t>
      </w:r>
      <w:r w:rsidR="004B62BF" w:rsidRPr="009E3813">
        <w:rPr>
          <w:lang w:val="en-GB"/>
        </w:rPr>
        <w:t xml:space="preserve">are </w:t>
      </w:r>
      <w:r w:rsidR="0004042B" w:rsidRPr="009E3813">
        <w:rPr>
          <w:lang w:val="en-GB"/>
        </w:rPr>
        <w:t>expected to have similar effectiveness to TNF</w:t>
      </w:r>
      <w:r w:rsidR="00E8670C" w:rsidRPr="009E3813">
        <w:rPr>
          <w:lang w:val="en-GB"/>
        </w:rPr>
        <w:noBreakHyphen/>
      </w:r>
      <w:r w:rsidR="0004042B" w:rsidRPr="009E3813">
        <w:rPr>
          <w:lang w:val="en-GB"/>
        </w:rPr>
        <w:t xml:space="preserve">alpha inhibitors </w:t>
      </w:r>
      <w:r w:rsidR="00551D01" w:rsidRPr="009E3813">
        <w:rPr>
          <w:lang w:val="en-GB"/>
        </w:rPr>
        <w:t>in clinical practice</w:t>
      </w:r>
      <w:r w:rsidR="004B62BF" w:rsidRPr="009E3813">
        <w:rPr>
          <w:lang w:val="en-GB"/>
        </w:rPr>
        <w:t>,</w:t>
      </w:r>
      <w:r w:rsidR="00551D01" w:rsidRPr="009E3813">
        <w:rPr>
          <w:lang w:val="en-GB"/>
        </w:rPr>
        <w:t xml:space="preserve"> </w:t>
      </w:r>
      <w:r w:rsidR="0004042B" w:rsidRPr="009E3813">
        <w:rPr>
          <w:lang w:val="en-GB"/>
        </w:rPr>
        <w:t xml:space="preserve">but this </w:t>
      </w:r>
      <w:r w:rsidR="004B62BF" w:rsidRPr="009E3813">
        <w:rPr>
          <w:lang w:val="en-GB"/>
        </w:rPr>
        <w:t xml:space="preserve">has </w:t>
      </w:r>
      <w:r w:rsidR="0004042B" w:rsidRPr="009E3813">
        <w:rPr>
          <w:lang w:val="en-GB"/>
        </w:rPr>
        <w:t xml:space="preserve">not been investigated in </w:t>
      </w:r>
      <w:r w:rsidR="00B40B08" w:rsidRPr="009E3813">
        <w:rPr>
          <w:lang w:val="en-GB"/>
        </w:rPr>
        <w:t>head-to-head</w:t>
      </w:r>
      <w:r w:rsidR="0004042B" w:rsidRPr="009E3813">
        <w:rPr>
          <w:lang w:val="en-GB"/>
        </w:rPr>
        <w:t xml:space="preserve"> clinical trials.</w:t>
      </w:r>
      <w:r w:rsidR="003F4054" w:rsidRPr="009E3813">
        <w:rPr>
          <w:lang w:val="en-GB"/>
        </w:rPr>
        <w:t xml:space="preserve"> </w:t>
      </w:r>
      <w:r w:rsidR="0004042B" w:rsidRPr="009E3813">
        <w:rPr>
          <w:lang w:val="en-GB"/>
        </w:rPr>
        <w:t>They</w:t>
      </w:r>
      <w:r w:rsidR="003F4054" w:rsidRPr="009E3813">
        <w:rPr>
          <w:lang w:val="en-GB"/>
        </w:rPr>
        <w:t xml:space="preserve"> explained that application of a class effect for all biologics may be an oversimplification </w:t>
      </w:r>
      <w:r w:rsidR="004B62BF" w:rsidRPr="009E3813">
        <w:rPr>
          <w:lang w:val="en-GB"/>
        </w:rPr>
        <w:t xml:space="preserve">because </w:t>
      </w:r>
      <w:r w:rsidR="003F4054" w:rsidRPr="009E3813">
        <w:rPr>
          <w:lang w:val="en-GB"/>
        </w:rPr>
        <w:t>TNF-alpha inhibitors and IL17-</w:t>
      </w:r>
      <w:r w:rsidR="0019325D" w:rsidRPr="009E3813">
        <w:rPr>
          <w:lang w:val="en-GB"/>
        </w:rPr>
        <w:t>a</w:t>
      </w:r>
      <w:r w:rsidR="003F4054" w:rsidRPr="009E3813">
        <w:rPr>
          <w:lang w:val="en-GB"/>
        </w:rPr>
        <w:t xml:space="preserve"> inhibitors have different mechanism</w:t>
      </w:r>
      <w:r w:rsidR="004B62BF" w:rsidRPr="009E3813">
        <w:rPr>
          <w:lang w:val="en-GB"/>
        </w:rPr>
        <w:t>s</w:t>
      </w:r>
      <w:r w:rsidR="003F4054" w:rsidRPr="009E3813">
        <w:rPr>
          <w:lang w:val="en-GB"/>
        </w:rPr>
        <w:t xml:space="preserve"> of action</w:t>
      </w:r>
      <w:r w:rsidR="00E8670C" w:rsidRPr="009E3813">
        <w:rPr>
          <w:lang w:val="en-GB"/>
        </w:rPr>
        <w:t>.</w:t>
      </w:r>
      <w:r w:rsidR="00535A22" w:rsidRPr="009E3813">
        <w:rPr>
          <w:lang w:val="en-GB"/>
        </w:rPr>
        <w:t xml:space="preserve"> </w:t>
      </w:r>
      <w:r w:rsidR="00E8670C" w:rsidRPr="009E3813">
        <w:rPr>
          <w:lang w:val="en-GB"/>
        </w:rPr>
        <w:t>This</w:t>
      </w:r>
      <w:r w:rsidR="004B62BF" w:rsidRPr="009E3813">
        <w:rPr>
          <w:lang w:val="en-GB"/>
        </w:rPr>
        <w:t xml:space="preserve"> is</w:t>
      </w:r>
      <w:r w:rsidR="00B20BA6" w:rsidRPr="009E3813">
        <w:rPr>
          <w:lang w:val="en-GB"/>
        </w:rPr>
        <w:t xml:space="preserve"> a potential advantage of IL17-a</w:t>
      </w:r>
      <w:r w:rsidR="0067550E" w:rsidRPr="009E3813">
        <w:rPr>
          <w:lang w:val="en-GB"/>
        </w:rPr>
        <w:t xml:space="preserve"> inhibitors </w:t>
      </w:r>
      <w:r w:rsidR="00E8670C" w:rsidRPr="009E3813">
        <w:rPr>
          <w:lang w:val="en-GB"/>
        </w:rPr>
        <w:t>after</w:t>
      </w:r>
      <w:r w:rsidR="0067550E" w:rsidRPr="009E3813">
        <w:rPr>
          <w:lang w:val="en-GB"/>
        </w:rPr>
        <w:t xml:space="preserve"> non</w:t>
      </w:r>
      <w:r w:rsidR="002C440C" w:rsidRPr="009E3813">
        <w:rPr>
          <w:lang w:val="en-GB"/>
        </w:rPr>
        <w:t>-</w:t>
      </w:r>
      <w:r w:rsidR="0067550E" w:rsidRPr="009E3813">
        <w:rPr>
          <w:lang w:val="en-GB"/>
        </w:rPr>
        <w:t>response o</w:t>
      </w:r>
      <w:r w:rsidR="002C440C" w:rsidRPr="009E3813">
        <w:rPr>
          <w:lang w:val="en-GB"/>
        </w:rPr>
        <w:t>r</w:t>
      </w:r>
      <w:r w:rsidR="0067550E" w:rsidRPr="009E3813">
        <w:rPr>
          <w:lang w:val="en-GB"/>
        </w:rPr>
        <w:t xml:space="preserve"> poor response to TNF-alpha inhibitors</w:t>
      </w:r>
      <w:r w:rsidR="003F4054" w:rsidRPr="009E3813">
        <w:rPr>
          <w:lang w:val="en-GB"/>
        </w:rPr>
        <w:t xml:space="preserve">. </w:t>
      </w:r>
      <w:r w:rsidR="00B40B08" w:rsidRPr="009E3813">
        <w:rPr>
          <w:lang w:val="en-GB"/>
        </w:rPr>
        <w:t xml:space="preserve">The committee concluded that a class effect </w:t>
      </w:r>
      <w:r w:rsidR="00E8670C" w:rsidRPr="009E3813">
        <w:rPr>
          <w:lang w:val="en-GB"/>
        </w:rPr>
        <w:t>had not been established for all</w:t>
      </w:r>
      <w:r w:rsidR="00B40B08" w:rsidRPr="009E3813">
        <w:rPr>
          <w:lang w:val="en-GB"/>
        </w:rPr>
        <w:t xml:space="preserve"> TNF-alpha inhibitors and IL17-a inhibitors.</w:t>
      </w:r>
    </w:p>
    <w:p w14:paraId="7A54F326" w14:textId="61AE1313" w:rsidR="00541080" w:rsidRPr="009E3813" w:rsidRDefault="00541080" w:rsidP="002A7318">
      <w:pPr>
        <w:pStyle w:val="Heading2"/>
      </w:pPr>
      <w:bookmarkStart w:id="4" w:name="_Hlk65251947"/>
      <w:r w:rsidRPr="009E3813">
        <w:t>Cost</w:t>
      </w:r>
      <w:r w:rsidR="00896E94">
        <w:t xml:space="preserve"> </w:t>
      </w:r>
      <w:r w:rsidRPr="009E3813">
        <w:t>effectiveness</w:t>
      </w:r>
    </w:p>
    <w:p w14:paraId="68D2A6D7" w14:textId="3275B9CD" w:rsidR="005163F6" w:rsidRPr="009E3813" w:rsidRDefault="005163F6" w:rsidP="005163F6">
      <w:pPr>
        <w:pStyle w:val="Heading3"/>
      </w:pPr>
      <w:bookmarkStart w:id="5" w:name="_Hlk65645950"/>
      <w:bookmarkEnd w:id="4"/>
      <w:r w:rsidRPr="009E3813">
        <w:t xml:space="preserve">The </w:t>
      </w:r>
      <w:r w:rsidR="00AE4DE2" w:rsidRPr="009E3813">
        <w:t xml:space="preserve">results of the model using </w:t>
      </w:r>
      <w:r w:rsidRPr="009E3813">
        <w:t xml:space="preserve">the network meta-analysis </w:t>
      </w:r>
      <w:r w:rsidR="00AE4DE2" w:rsidRPr="009E3813">
        <w:t xml:space="preserve">are </w:t>
      </w:r>
      <w:r w:rsidRPr="009E3813">
        <w:t xml:space="preserve">not </w:t>
      </w:r>
      <w:r w:rsidR="00AE4DE2" w:rsidRPr="009E3813">
        <w:t xml:space="preserve">reliable </w:t>
      </w:r>
      <w:r w:rsidRPr="009E3813">
        <w:t>for decision making</w:t>
      </w:r>
      <w:bookmarkEnd w:id="5"/>
    </w:p>
    <w:p w14:paraId="7356FEF2" w14:textId="04966341" w:rsidR="00C01241" w:rsidRPr="009E3813" w:rsidRDefault="005163F6" w:rsidP="00F1718D">
      <w:pPr>
        <w:pStyle w:val="Numberedlevel2text"/>
        <w:rPr>
          <w:lang w:val="en-GB"/>
        </w:rPr>
      </w:pPr>
      <w:r w:rsidRPr="009E3813">
        <w:rPr>
          <w:lang w:val="en-GB"/>
        </w:rPr>
        <w:t xml:space="preserve">The company presented a Markov model to estimate the cost effectiveness of ixekizumab compared with TNF-alpha inhibitors, </w:t>
      </w:r>
      <w:r w:rsidRPr="009E3813">
        <w:rPr>
          <w:lang w:val="en-GB"/>
        </w:rPr>
        <w:lastRenderedPageBreak/>
        <w:t xml:space="preserve">secukinumab (for </w:t>
      </w:r>
      <w:r w:rsidR="00317226">
        <w:rPr>
          <w:lang w:val="en-GB"/>
        </w:rPr>
        <w:t>AS</w:t>
      </w:r>
      <w:r w:rsidRPr="009E3813">
        <w:rPr>
          <w:lang w:val="en-GB"/>
        </w:rPr>
        <w:t xml:space="preserve"> only) and </w:t>
      </w:r>
      <w:r w:rsidR="009F6083" w:rsidRPr="009E3813">
        <w:rPr>
          <w:lang w:val="en-GB"/>
        </w:rPr>
        <w:t>conventional therapy</w:t>
      </w:r>
      <w:r w:rsidRPr="009E3813">
        <w:rPr>
          <w:lang w:val="en-GB"/>
        </w:rPr>
        <w:t xml:space="preserve"> in people for whom NSAIDs or TNF-alpha inhibitors </w:t>
      </w:r>
      <w:r w:rsidR="00E8670C" w:rsidRPr="009E3813">
        <w:rPr>
          <w:lang w:val="en-GB"/>
        </w:rPr>
        <w:t xml:space="preserve">had </w:t>
      </w:r>
      <w:r w:rsidRPr="009E3813">
        <w:rPr>
          <w:lang w:val="en-GB"/>
        </w:rPr>
        <w:t>been inadequately effective</w:t>
      </w:r>
      <w:r w:rsidR="00E8670C" w:rsidRPr="009E3813">
        <w:rPr>
          <w:lang w:val="en-GB"/>
        </w:rPr>
        <w:t>,</w:t>
      </w:r>
      <w:r w:rsidRPr="009E3813">
        <w:rPr>
          <w:lang w:val="en-GB"/>
        </w:rPr>
        <w:t xml:space="preserve"> not tolerated, or contraindicated. </w:t>
      </w:r>
      <w:r w:rsidR="009F6083" w:rsidRPr="009E3813">
        <w:rPr>
          <w:lang w:val="en-GB"/>
        </w:rPr>
        <w:t xml:space="preserve">The committee recalled that conventional therapy was the most reliable comparator (see section 3.4). </w:t>
      </w:r>
      <w:r w:rsidRPr="009E3813">
        <w:rPr>
          <w:lang w:val="en-GB"/>
        </w:rPr>
        <w:t xml:space="preserve">The committee considered that the structure of the model was appropriate. However, the efficacy inputs in the original version of the model were informed by the results of the NMA, which the committee considered were not robust (see section 3.7). </w:t>
      </w:r>
      <w:r w:rsidR="006865F6">
        <w:rPr>
          <w:lang w:val="en-GB"/>
        </w:rPr>
        <w:t>The</w:t>
      </w:r>
      <w:r w:rsidR="001E1587" w:rsidRPr="009E3813">
        <w:rPr>
          <w:lang w:val="en-GB"/>
        </w:rPr>
        <w:t xml:space="preserve"> </w:t>
      </w:r>
      <w:r w:rsidR="00C220BD" w:rsidRPr="009E3813">
        <w:rPr>
          <w:lang w:val="en-GB"/>
        </w:rPr>
        <w:t xml:space="preserve">committee </w:t>
      </w:r>
      <w:r w:rsidR="006865F6">
        <w:rPr>
          <w:lang w:val="en-GB"/>
        </w:rPr>
        <w:t xml:space="preserve">also </w:t>
      </w:r>
      <w:r w:rsidR="00C220BD" w:rsidRPr="009E3813">
        <w:rPr>
          <w:lang w:val="en-GB"/>
        </w:rPr>
        <w:t xml:space="preserve">noted that the </w:t>
      </w:r>
      <w:r w:rsidR="001E1587" w:rsidRPr="009E3813">
        <w:rPr>
          <w:lang w:val="en-GB"/>
        </w:rPr>
        <w:t>company’s</w:t>
      </w:r>
      <w:r w:rsidR="00D46064" w:rsidRPr="009E3813">
        <w:rPr>
          <w:lang w:val="en-GB"/>
        </w:rPr>
        <w:t xml:space="preserve"> incremental cost-effectiveness ratios</w:t>
      </w:r>
      <w:r w:rsidR="009F6083" w:rsidRPr="009E3813">
        <w:rPr>
          <w:lang w:val="en-GB"/>
        </w:rPr>
        <w:t xml:space="preserve"> </w:t>
      </w:r>
      <w:r w:rsidR="00D46064" w:rsidRPr="009E3813">
        <w:rPr>
          <w:lang w:val="en-GB"/>
        </w:rPr>
        <w:t>(</w:t>
      </w:r>
      <w:r w:rsidR="009F6083" w:rsidRPr="009E3813">
        <w:rPr>
          <w:lang w:val="en-GB"/>
        </w:rPr>
        <w:t>ICERs</w:t>
      </w:r>
      <w:r w:rsidR="00D46064" w:rsidRPr="009E3813">
        <w:rPr>
          <w:lang w:val="en-GB"/>
        </w:rPr>
        <w:t>)</w:t>
      </w:r>
      <w:r w:rsidR="009F6083" w:rsidRPr="009E3813">
        <w:rPr>
          <w:lang w:val="en-GB"/>
        </w:rPr>
        <w:t xml:space="preserve"> for ixekizumab compared with conventional therapy were above the range normally considered cost effective (that is, £20,000 to £30,0000 per QALY gained). </w:t>
      </w:r>
      <w:r w:rsidRPr="009E3813">
        <w:rPr>
          <w:lang w:val="en-GB"/>
        </w:rPr>
        <w:t xml:space="preserve">The committee concluded that </w:t>
      </w:r>
      <w:r w:rsidR="00C01241" w:rsidRPr="009E3813">
        <w:rPr>
          <w:lang w:val="en-GB"/>
        </w:rPr>
        <w:t>the results of the</w:t>
      </w:r>
      <w:r w:rsidRPr="009E3813">
        <w:rPr>
          <w:lang w:val="en-GB"/>
        </w:rPr>
        <w:t xml:space="preserve"> model </w:t>
      </w:r>
      <w:r w:rsidR="00C01241" w:rsidRPr="009E3813">
        <w:rPr>
          <w:lang w:val="en-GB"/>
        </w:rPr>
        <w:t xml:space="preserve">using the NMA were </w:t>
      </w:r>
      <w:r w:rsidRPr="009E3813">
        <w:rPr>
          <w:lang w:val="en-GB"/>
        </w:rPr>
        <w:t xml:space="preserve">not </w:t>
      </w:r>
      <w:r w:rsidR="00C01241" w:rsidRPr="009E3813">
        <w:rPr>
          <w:lang w:val="en-GB"/>
        </w:rPr>
        <w:t xml:space="preserve">reliable </w:t>
      </w:r>
      <w:r w:rsidRPr="009E3813">
        <w:rPr>
          <w:lang w:val="en-GB"/>
        </w:rPr>
        <w:t>for decision making</w:t>
      </w:r>
      <w:r w:rsidR="00C01241" w:rsidRPr="009E3813">
        <w:rPr>
          <w:lang w:val="en-GB"/>
        </w:rPr>
        <w:t>.</w:t>
      </w:r>
    </w:p>
    <w:p w14:paraId="58FFA1F4" w14:textId="1F15844E" w:rsidR="005163F6" w:rsidRPr="009E3813" w:rsidRDefault="005163F6" w:rsidP="005163F6">
      <w:pPr>
        <w:pStyle w:val="Heading3"/>
      </w:pPr>
      <w:bookmarkStart w:id="6" w:name="_Hlk65647297"/>
      <w:r w:rsidRPr="009E3813">
        <w:t xml:space="preserve">The company’s updated model assuming a class effect </w:t>
      </w:r>
      <w:r w:rsidR="00B36932" w:rsidRPr="009E3813">
        <w:t xml:space="preserve">for </w:t>
      </w:r>
      <w:r w:rsidRPr="009E3813">
        <w:t>biologic treatments is not appropriate</w:t>
      </w:r>
    </w:p>
    <w:bookmarkEnd w:id="6"/>
    <w:p w14:paraId="61F4EED2" w14:textId="470AF64D" w:rsidR="005163F6" w:rsidRPr="009E3813" w:rsidRDefault="00E8670C" w:rsidP="005163F6">
      <w:pPr>
        <w:pStyle w:val="Numberedlevel2text"/>
        <w:numPr>
          <w:ilvl w:val="1"/>
          <w:numId w:val="1"/>
        </w:numPr>
        <w:rPr>
          <w:rFonts w:cs="Arial"/>
          <w:bCs w:val="0"/>
          <w:color w:val="393938"/>
          <w:szCs w:val="24"/>
          <w:lang w:val="en-GB"/>
        </w:rPr>
      </w:pPr>
      <w:r w:rsidRPr="009E3813">
        <w:rPr>
          <w:lang w:val="en-GB"/>
        </w:rPr>
        <w:t>After</w:t>
      </w:r>
      <w:r w:rsidR="005163F6" w:rsidRPr="009E3813">
        <w:rPr>
          <w:rFonts w:cs="Arial"/>
          <w:bCs w:val="0"/>
          <w:color w:val="000000" w:themeColor="text1"/>
          <w:kern w:val="24"/>
          <w:szCs w:val="24"/>
          <w:lang w:val="en-GB"/>
        </w:rPr>
        <w:t xml:space="preserve"> technical engagement</w:t>
      </w:r>
      <w:r w:rsidRPr="009E3813">
        <w:rPr>
          <w:rFonts w:cs="Arial"/>
          <w:bCs w:val="0"/>
          <w:color w:val="000000" w:themeColor="text1"/>
          <w:kern w:val="24"/>
          <w:szCs w:val="24"/>
          <w:lang w:val="en-GB"/>
        </w:rPr>
        <w:t>,</w:t>
      </w:r>
      <w:r w:rsidR="005163F6" w:rsidRPr="009E3813">
        <w:rPr>
          <w:rFonts w:cs="Arial"/>
          <w:bCs w:val="0"/>
          <w:color w:val="000000" w:themeColor="text1"/>
          <w:kern w:val="24"/>
          <w:szCs w:val="24"/>
          <w:lang w:val="en-GB"/>
        </w:rPr>
        <w:t xml:space="preserve"> the company updated its cost-effectiveness analysis</w:t>
      </w:r>
      <w:r w:rsidRPr="009E3813">
        <w:rPr>
          <w:rFonts w:cs="Arial"/>
          <w:bCs w:val="0"/>
          <w:color w:val="000000" w:themeColor="text1"/>
          <w:kern w:val="24"/>
          <w:szCs w:val="24"/>
          <w:lang w:val="en-GB"/>
        </w:rPr>
        <w:t>.</w:t>
      </w:r>
      <w:r w:rsidR="005163F6" w:rsidRPr="009E3813">
        <w:rPr>
          <w:rFonts w:cs="Arial"/>
          <w:bCs w:val="0"/>
          <w:color w:val="000000" w:themeColor="text1"/>
          <w:kern w:val="24"/>
          <w:szCs w:val="24"/>
          <w:lang w:val="en-GB"/>
        </w:rPr>
        <w:t xml:space="preserve"> </w:t>
      </w:r>
      <w:r w:rsidRPr="009E3813">
        <w:rPr>
          <w:rFonts w:cs="Arial"/>
          <w:bCs w:val="0"/>
          <w:color w:val="000000" w:themeColor="text1"/>
          <w:kern w:val="24"/>
          <w:szCs w:val="24"/>
          <w:lang w:val="en-GB"/>
        </w:rPr>
        <w:t xml:space="preserve">It applied </w:t>
      </w:r>
      <w:r w:rsidR="005163F6" w:rsidRPr="009E3813">
        <w:rPr>
          <w:rFonts w:cs="Arial"/>
          <w:bCs w:val="0"/>
          <w:color w:val="000000" w:themeColor="text1"/>
          <w:kern w:val="24"/>
          <w:szCs w:val="24"/>
          <w:lang w:val="en-GB"/>
        </w:rPr>
        <w:t xml:space="preserve">a class effect across the IL-17-a </w:t>
      </w:r>
      <w:r w:rsidR="005163F6" w:rsidRPr="009E3813">
        <w:rPr>
          <w:bCs w:val="0"/>
          <w:iCs w:val="0"/>
          <w:lang w:val="en-GB"/>
        </w:rPr>
        <w:t>inhibitors</w:t>
      </w:r>
      <w:r w:rsidR="005163F6" w:rsidRPr="009E3813">
        <w:rPr>
          <w:rFonts w:cs="Arial"/>
          <w:bCs w:val="0"/>
          <w:color w:val="000000" w:themeColor="text1"/>
          <w:kern w:val="24"/>
          <w:szCs w:val="24"/>
          <w:lang w:val="en-GB"/>
        </w:rPr>
        <w:t xml:space="preserve"> and TNF</w:t>
      </w:r>
      <w:r w:rsidR="00D66116" w:rsidRPr="009E3813">
        <w:rPr>
          <w:rFonts w:cs="Arial"/>
          <w:bCs w:val="0"/>
          <w:color w:val="000000" w:themeColor="text1"/>
          <w:kern w:val="24"/>
          <w:szCs w:val="24"/>
          <w:lang w:val="en-GB"/>
        </w:rPr>
        <w:noBreakHyphen/>
      </w:r>
      <w:r w:rsidR="005163F6" w:rsidRPr="009E3813">
        <w:rPr>
          <w:rFonts w:cs="Arial"/>
          <w:bCs w:val="0"/>
          <w:color w:val="000000" w:themeColor="text1"/>
          <w:kern w:val="24"/>
          <w:szCs w:val="24"/>
          <w:lang w:val="en-GB"/>
        </w:rPr>
        <w:t xml:space="preserve">alpha inhibitors. </w:t>
      </w:r>
      <w:r w:rsidRPr="009E3813">
        <w:rPr>
          <w:rFonts w:cs="Arial"/>
          <w:bCs w:val="0"/>
          <w:color w:val="000000" w:themeColor="text1"/>
          <w:kern w:val="24"/>
          <w:szCs w:val="24"/>
          <w:lang w:val="en-GB"/>
        </w:rPr>
        <w:t>It</w:t>
      </w:r>
      <w:r w:rsidR="005163F6" w:rsidRPr="009E3813">
        <w:rPr>
          <w:rFonts w:cs="Arial"/>
          <w:bCs w:val="0"/>
          <w:color w:val="000000" w:themeColor="text1"/>
          <w:kern w:val="24"/>
          <w:szCs w:val="24"/>
          <w:lang w:val="en-GB"/>
        </w:rPr>
        <w:t xml:space="preserve"> presented 2 analyses</w:t>
      </w:r>
      <w:r w:rsidR="00C67284" w:rsidRPr="009E3813">
        <w:rPr>
          <w:rFonts w:cs="Arial"/>
          <w:bCs w:val="0"/>
          <w:color w:val="000000" w:themeColor="text1"/>
          <w:kern w:val="24"/>
          <w:szCs w:val="24"/>
          <w:lang w:val="en-GB"/>
        </w:rPr>
        <w:t>.</w:t>
      </w:r>
      <w:r w:rsidR="005163F6" w:rsidRPr="009E3813">
        <w:rPr>
          <w:rFonts w:cs="Arial"/>
          <w:bCs w:val="0"/>
          <w:color w:val="000000" w:themeColor="text1"/>
          <w:kern w:val="24"/>
          <w:szCs w:val="24"/>
          <w:lang w:val="en-GB"/>
        </w:rPr>
        <w:t xml:space="preserve"> </w:t>
      </w:r>
      <w:r w:rsidR="00C67284" w:rsidRPr="009E3813">
        <w:rPr>
          <w:rFonts w:cs="Arial"/>
          <w:bCs w:val="0"/>
          <w:color w:val="000000" w:themeColor="text1"/>
          <w:kern w:val="24"/>
          <w:szCs w:val="24"/>
          <w:lang w:val="en-GB"/>
        </w:rPr>
        <w:t xml:space="preserve">One analysis was </w:t>
      </w:r>
      <w:r w:rsidR="005163F6" w:rsidRPr="009E3813">
        <w:rPr>
          <w:rFonts w:cs="Arial"/>
          <w:bCs w:val="0"/>
          <w:color w:val="000000" w:themeColor="text1"/>
          <w:kern w:val="24"/>
          <w:szCs w:val="24"/>
          <w:lang w:val="en-GB"/>
        </w:rPr>
        <w:t xml:space="preserve">for the </w:t>
      </w:r>
      <w:r w:rsidR="00317226">
        <w:rPr>
          <w:rFonts w:cs="Arial"/>
          <w:bCs w:val="0"/>
          <w:color w:val="000000" w:themeColor="text1"/>
          <w:kern w:val="24"/>
          <w:szCs w:val="24"/>
          <w:lang w:val="en-GB"/>
        </w:rPr>
        <w:t>AS</w:t>
      </w:r>
      <w:r w:rsidR="005163F6" w:rsidRPr="009E3813">
        <w:rPr>
          <w:rFonts w:cs="Arial"/>
          <w:bCs w:val="0"/>
          <w:color w:val="000000" w:themeColor="text1"/>
          <w:kern w:val="24"/>
          <w:szCs w:val="24"/>
          <w:lang w:val="en-GB"/>
        </w:rPr>
        <w:t xml:space="preserve"> population </w:t>
      </w:r>
      <w:r w:rsidR="00C67284" w:rsidRPr="009E3813">
        <w:rPr>
          <w:rFonts w:cs="Arial"/>
          <w:bCs w:val="0"/>
          <w:color w:val="000000" w:themeColor="text1"/>
          <w:kern w:val="24"/>
          <w:szCs w:val="24"/>
          <w:lang w:val="en-GB"/>
        </w:rPr>
        <w:t xml:space="preserve">who had had a biologic, </w:t>
      </w:r>
      <w:r w:rsidR="005163F6" w:rsidRPr="009E3813">
        <w:rPr>
          <w:rFonts w:cs="Arial"/>
          <w:bCs w:val="0"/>
          <w:color w:val="000000" w:themeColor="text1"/>
          <w:kern w:val="24"/>
          <w:szCs w:val="24"/>
          <w:lang w:val="en-GB"/>
        </w:rPr>
        <w:t>in which the efficacy inputs for all biologics were assumed to equal the efficacy of ixekizumab in COAST-W</w:t>
      </w:r>
      <w:r w:rsidR="00C67284" w:rsidRPr="009E3813">
        <w:rPr>
          <w:rFonts w:cs="Arial"/>
          <w:bCs w:val="0"/>
          <w:color w:val="000000" w:themeColor="text1"/>
          <w:kern w:val="24"/>
          <w:szCs w:val="24"/>
          <w:lang w:val="en-GB"/>
        </w:rPr>
        <w:t>.</w:t>
      </w:r>
      <w:r w:rsidR="005163F6" w:rsidRPr="009E3813">
        <w:rPr>
          <w:rFonts w:cs="Arial"/>
          <w:bCs w:val="0"/>
          <w:color w:val="000000" w:themeColor="text1"/>
          <w:kern w:val="24"/>
          <w:szCs w:val="24"/>
          <w:lang w:val="en-GB"/>
        </w:rPr>
        <w:t xml:space="preserve"> </w:t>
      </w:r>
      <w:r w:rsidR="00C67284" w:rsidRPr="009E3813">
        <w:rPr>
          <w:rFonts w:cs="Arial"/>
          <w:bCs w:val="0"/>
          <w:color w:val="000000" w:themeColor="text1"/>
          <w:kern w:val="24"/>
          <w:szCs w:val="24"/>
          <w:lang w:val="en-GB"/>
        </w:rPr>
        <w:t xml:space="preserve">The other analysis was </w:t>
      </w:r>
      <w:r w:rsidR="005163F6" w:rsidRPr="009E3813">
        <w:rPr>
          <w:rFonts w:cs="Arial"/>
          <w:bCs w:val="0"/>
          <w:color w:val="000000" w:themeColor="text1"/>
          <w:kern w:val="24"/>
          <w:szCs w:val="24"/>
          <w:lang w:val="en-GB"/>
        </w:rPr>
        <w:t xml:space="preserve">for the nr-axSpA population </w:t>
      </w:r>
      <w:r w:rsidR="00C67284" w:rsidRPr="009E3813">
        <w:rPr>
          <w:rFonts w:cs="Arial"/>
          <w:bCs w:val="0"/>
          <w:color w:val="000000" w:themeColor="text1"/>
          <w:kern w:val="24"/>
          <w:szCs w:val="24"/>
          <w:lang w:val="en-GB"/>
        </w:rPr>
        <w:t xml:space="preserve">who had not had a biologic, </w:t>
      </w:r>
      <w:r w:rsidR="005163F6" w:rsidRPr="009E3813">
        <w:rPr>
          <w:rFonts w:cs="Arial"/>
          <w:bCs w:val="0"/>
          <w:color w:val="000000" w:themeColor="text1"/>
          <w:kern w:val="24"/>
          <w:szCs w:val="24"/>
          <w:lang w:val="en-GB"/>
        </w:rPr>
        <w:t>in which the efficacy inputs for all biologics were assumed to equal the efficacy of ixekizumab in COAST-X. This was intended as a proxy for the use of ixekizumab in a nr-axSpA population</w:t>
      </w:r>
      <w:r w:rsidR="00C67284" w:rsidRPr="009E3813">
        <w:rPr>
          <w:rFonts w:cs="Arial"/>
          <w:bCs w:val="0"/>
          <w:color w:val="000000" w:themeColor="text1"/>
          <w:kern w:val="24"/>
          <w:szCs w:val="24"/>
          <w:lang w:val="en-GB"/>
        </w:rPr>
        <w:t xml:space="preserve"> who had had a biologic, i</w:t>
      </w:r>
      <w:r w:rsidR="007B5C0A" w:rsidRPr="009E3813">
        <w:rPr>
          <w:rFonts w:cs="Arial"/>
          <w:bCs w:val="0"/>
          <w:color w:val="000000" w:themeColor="text1"/>
          <w:kern w:val="24"/>
          <w:szCs w:val="24"/>
          <w:lang w:val="en-GB"/>
        </w:rPr>
        <w:t>n</w:t>
      </w:r>
      <w:r w:rsidR="005163F6" w:rsidRPr="009E3813">
        <w:rPr>
          <w:rFonts w:cs="Arial"/>
          <w:bCs w:val="0"/>
          <w:color w:val="000000" w:themeColor="text1"/>
          <w:kern w:val="24"/>
          <w:szCs w:val="24"/>
          <w:lang w:val="en-GB"/>
        </w:rPr>
        <w:t xml:space="preserve"> the absence of trial data for this group. The assumption of a c</w:t>
      </w:r>
      <w:r w:rsidR="005163F6" w:rsidRPr="009E3813">
        <w:rPr>
          <w:rFonts w:cs="Arial"/>
          <w:bCs w:val="0"/>
          <w:szCs w:val="24"/>
          <w:lang w:val="en-GB"/>
        </w:rPr>
        <w:t xml:space="preserve">lass effect meant that there were </w:t>
      </w:r>
      <w:r w:rsidR="005163F6" w:rsidRPr="009E3813">
        <w:rPr>
          <w:rFonts w:cs="Arial"/>
          <w:bCs w:val="0"/>
          <w:color w:val="000000" w:themeColor="text1"/>
          <w:kern w:val="24"/>
          <w:szCs w:val="24"/>
          <w:lang w:val="en-GB"/>
        </w:rPr>
        <w:t xml:space="preserve">equivalent </w:t>
      </w:r>
      <w:r w:rsidR="005163F6" w:rsidRPr="009E3813">
        <w:rPr>
          <w:rFonts w:cs="Arial"/>
          <w:bCs w:val="0"/>
          <w:szCs w:val="24"/>
          <w:lang w:val="en-GB"/>
        </w:rPr>
        <w:t>quality-adjusted life years</w:t>
      </w:r>
      <w:r w:rsidR="005163F6" w:rsidRPr="009E3813">
        <w:rPr>
          <w:rFonts w:cs="Arial"/>
          <w:bCs w:val="0"/>
          <w:color w:val="000000" w:themeColor="text1"/>
          <w:kern w:val="24"/>
          <w:szCs w:val="24"/>
          <w:lang w:val="en-GB"/>
        </w:rPr>
        <w:t xml:space="preserve"> (QALYs) for all biologics. However, the QALYs differed across the analyses for the </w:t>
      </w:r>
      <w:r w:rsidR="00317226">
        <w:rPr>
          <w:rFonts w:eastAsiaTheme="minorEastAsia" w:cs="Arial"/>
          <w:bCs w:val="0"/>
          <w:color w:val="000000" w:themeColor="text1"/>
          <w:kern w:val="24"/>
          <w:szCs w:val="24"/>
          <w:lang w:val="en-GB"/>
        </w:rPr>
        <w:t>AS</w:t>
      </w:r>
      <w:r w:rsidR="005163F6" w:rsidRPr="009E3813">
        <w:rPr>
          <w:rFonts w:eastAsiaTheme="minorEastAsia" w:cs="Arial"/>
          <w:bCs w:val="0"/>
          <w:color w:val="000000" w:themeColor="text1"/>
          <w:kern w:val="24"/>
          <w:szCs w:val="24"/>
          <w:lang w:val="en-GB"/>
        </w:rPr>
        <w:t xml:space="preserve"> </w:t>
      </w:r>
      <w:r w:rsidR="0090431B" w:rsidRPr="009E3813">
        <w:rPr>
          <w:rFonts w:eastAsiaTheme="minorEastAsia" w:cs="Arial"/>
          <w:bCs w:val="0"/>
          <w:color w:val="000000" w:themeColor="text1"/>
          <w:kern w:val="24"/>
          <w:szCs w:val="24"/>
          <w:lang w:val="en-GB"/>
        </w:rPr>
        <w:t xml:space="preserve">population, who had had a biologic, </w:t>
      </w:r>
      <w:r w:rsidR="005163F6" w:rsidRPr="009E3813">
        <w:rPr>
          <w:rFonts w:eastAsiaTheme="minorEastAsia" w:cs="Arial"/>
          <w:bCs w:val="0"/>
          <w:color w:val="000000" w:themeColor="text1"/>
          <w:kern w:val="24"/>
          <w:szCs w:val="24"/>
          <w:lang w:val="en-GB"/>
        </w:rPr>
        <w:t xml:space="preserve">and </w:t>
      </w:r>
      <w:r w:rsidR="0090431B" w:rsidRPr="009E3813">
        <w:rPr>
          <w:rFonts w:eastAsiaTheme="minorEastAsia" w:cs="Arial"/>
          <w:bCs w:val="0"/>
          <w:color w:val="000000" w:themeColor="text1"/>
          <w:kern w:val="24"/>
          <w:szCs w:val="24"/>
          <w:lang w:val="en-GB"/>
        </w:rPr>
        <w:t xml:space="preserve">the </w:t>
      </w:r>
      <w:r w:rsidR="005163F6" w:rsidRPr="009E3813">
        <w:rPr>
          <w:rFonts w:eastAsiaTheme="minorEastAsia" w:cs="Arial"/>
          <w:bCs w:val="0"/>
          <w:color w:val="000000" w:themeColor="text1"/>
          <w:kern w:val="24"/>
          <w:szCs w:val="24"/>
          <w:lang w:val="en-GB"/>
        </w:rPr>
        <w:t xml:space="preserve">nr-axSpA </w:t>
      </w:r>
      <w:r w:rsidR="0090431B" w:rsidRPr="009E3813">
        <w:rPr>
          <w:rFonts w:eastAsiaTheme="minorEastAsia" w:cs="Arial"/>
          <w:bCs w:val="0"/>
          <w:color w:val="000000" w:themeColor="text1"/>
          <w:kern w:val="24"/>
          <w:szCs w:val="24"/>
          <w:lang w:val="en-GB"/>
        </w:rPr>
        <w:t>populations, who had not</w:t>
      </w:r>
      <w:r w:rsidR="005163F6" w:rsidRPr="009E3813">
        <w:rPr>
          <w:rFonts w:eastAsiaTheme="minorEastAsia" w:cs="Arial"/>
          <w:bCs w:val="0"/>
          <w:color w:val="000000" w:themeColor="text1"/>
          <w:kern w:val="24"/>
          <w:szCs w:val="24"/>
          <w:lang w:val="en-GB"/>
        </w:rPr>
        <w:t xml:space="preserve">. </w:t>
      </w:r>
      <w:r w:rsidR="005163F6" w:rsidRPr="009E3813">
        <w:rPr>
          <w:lang w:val="en-GB"/>
        </w:rPr>
        <w:t xml:space="preserve">The committee appreciated the need to find alternative ways to model the efficacy of the treatments given the limitations of the NMAs. However, it was not persuaded that a class effect </w:t>
      </w:r>
      <w:r w:rsidR="005163F6" w:rsidRPr="009E3813">
        <w:rPr>
          <w:lang w:val="en-GB"/>
        </w:rPr>
        <w:lastRenderedPageBreak/>
        <w:t xml:space="preserve">had been demonstrated across all </w:t>
      </w:r>
      <w:r w:rsidR="0090431B" w:rsidRPr="009E3813">
        <w:rPr>
          <w:lang w:val="en-GB"/>
        </w:rPr>
        <w:t xml:space="preserve">biologics </w:t>
      </w:r>
      <w:r w:rsidR="005163F6" w:rsidRPr="009E3813">
        <w:rPr>
          <w:lang w:val="en-GB"/>
        </w:rPr>
        <w:t xml:space="preserve">(see section 3.9). The committee was also concerned that the company had not presented an ICER for ixekizumab compared with </w:t>
      </w:r>
      <w:r w:rsidR="00D46064" w:rsidRPr="009E3813">
        <w:rPr>
          <w:lang w:val="en-GB"/>
        </w:rPr>
        <w:t xml:space="preserve">conventional therapy </w:t>
      </w:r>
      <w:r w:rsidR="005163F6" w:rsidRPr="009E3813">
        <w:rPr>
          <w:lang w:val="en-GB"/>
        </w:rPr>
        <w:t xml:space="preserve">in </w:t>
      </w:r>
      <w:r w:rsidR="00B063C8" w:rsidRPr="009E3813">
        <w:rPr>
          <w:lang w:val="en-GB"/>
        </w:rPr>
        <w:t>its updated analyses</w:t>
      </w:r>
      <w:r w:rsidR="0090431B" w:rsidRPr="009E3813">
        <w:rPr>
          <w:lang w:val="en-GB"/>
        </w:rPr>
        <w:t>. The committee</w:t>
      </w:r>
      <w:r w:rsidR="005163F6" w:rsidRPr="009E3813">
        <w:rPr>
          <w:lang w:val="en-GB"/>
        </w:rPr>
        <w:t xml:space="preserve"> considered </w:t>
      </w:r>
      <w:r w:rsidR="0090431B" w:rsidRPr="009E3813">
        <w:rPr>
          <w:lang w:val="en-GB"/>
        </w:rPr>
        <w:t xml:space="preserve">this </w:t>
      </w:r>
      <w:r w:rsidR="005163F6" w:rsidRPr="009E3813">
        <w:rPr>
          <w:lang w:val="en-GB"/>
        </w:rPr>
        <w:t xml:space="preserve">was the key comparator in situations </w:t>
      </w:r>
      <w:r w:rsidR="00D2626E" w:rsidRPr="009E3813">
        <w:rPr>
          <w:lang w:val="en-GB"/>
        </w:rPr>
        <w:t xml:space="preserve">when </w:t>
      </w:r>
      <w:r w:rsidR="005163F6" w:rsidRPr="009E3813">
        <w:rPr>
          <w:lang w:val="en-GB"/>
        </w:rPr>
        <w:t xml:space="preserve">ixekizumab would be used in clinical practice (see section 3.4). </w:t>
      </w:r>
      <w:r w:rsidR="0090431B" w:rsidRPr="009E3813">
        <w:rPr>
          <w:lang w:val="en-GB"/>
        </w:rPr>
        <w:t>It</w:t>
      </w:r>
      <w:r w:rsidR="005163F6" w:rsidRPr="009E3813">
        <w:rPr>
          <w:lang w:val="en-GB"/>
        </w:rPr>
        <w:t xml:space="preserve"> concluded that the updated version of the model could not be used for decision making.</w:t>
      </w:r>
    </w:p>
    <w:p w14:paraId="2F0E60FF" w14:textId="2E88ECF1" w:rsidR="00437FA7" w:rsidRPr="009E3813" w:rsidRDefault="00437FA7" w:rsidP="002A7318">
      <w:pPr>
        <w:pStyle w:val="Heading2"/>
      </w:pPr>
      <w:r w:rsidRPr="009E3813">
        <w:t>Further analyses are needed</w:t>
      </w:r>
    </w:p>
    <w:p w14:paraId="0C7ADEAF" w14:textId="5A3A51AC" w:rsidR="005163F6" w:rsidRPr="009E3813" w:rsidRDefault="005163F6" w:rsidP="005163F6">
      <w:pPr>
        <w:pStyle w:val="Heading3"/>
      </w:pPr>
      <w:r w:rsidRPr="009E3813">
        <w:t xml:space="preserve">The committee would like to see a comparison of ixekizumab with </w:t>
      </w:r>
      <w:r w:rsidR="00D46064" w:rsidRPr="009E3813">
        <w:t xml:space="preserve">conventional therapy </w:t>
      </w:r>
      <w:r w:rsidRPr="009E3813">
        <w:t>using direct evidence from the COAST trials</w:t>
      </w:r>
    </w:p>
    <w:p w14:paraId="60BDA4BB" w14:textId="1CF5C5D0" w:rsidR="005163F6" w:rsidRPr="009E3813" w:rsidRDefault="005163F6" w:rsidP="005163F6">
      <w:pPr>
        <w:pStyle w:val="Numberedlevel2text"/>
        <w:numPr>
          <w:ilvl w:val="1"/>
          <w:numId w:val="1"/>
        </w:numPr>
        <w:rPr>
          <w:rFonts w:cs="Arial"/>
          <w:bCs w:val="0"/>
          <w:szCs w:val="24"/>
          <w:lang w:val="en-GB"/>
        </w:rPr>
      </w:pPr>
      <w:r w:rsidRPr="009E3813">
        <w:rPr>
          <w:rFonts w:cs="Arial"/>
          <w:bCs w:val="0"/>
          <w:szCs w:val="24"/>
          <w:lang w:val="en-GB"/>
        </w:rPr>
        <w:t xml:space="preserve">The committee considered that </w:t>
      </w:r>
      <w:r w:rsidR="00916533" w:rsidRPr="009E3813">
        <w:rPr>
          <w:rFonts w:cs="Arial"/>
          <w:bCs w:val="0"/>
          <w:szCs w:val="24"/>
          <w:lang w:val="en-GB"/>
        </w:rPr>
        <w:t xml:space="preserve">further analyses </w:t>
      </w:r>
      <w:r w:rsidR="00BF5380" w:rsidRPr="009E3813">
        <w:rPr>
          <w:rFonts w:cs="Arial"/>
          <w:bCs w:val="0"/>
          <w:szCs w:val="24"/>
          <w:lang w:val="en-GB"/>
        </w:rPr>
        <w:t xml:space="preserve">are </w:t>
      </w:r>
      <w:r w:rsidR="00916533" w:rsidRPr="009E3813">
        <w:rPr>
          <w:rFonts w:cs="Arial"/>
          <w:bCs w:val="0"/>
          <w:szCs w:val="24"/>
          <w:lang w:val="en-GB"/>
        </w:rPr>
        <w:t xml:space="preserve">needed to assess the cost effectiveness of ixekizumab. </w:t>
      </w:r>
      <w:r w:rsidR="00BF5380" w:rsidRPr="009E3813">
        <w:rPr>
          <w:rFonts w:cs="Arial"/>
          <w:bCs w:val="0"/>
          <w:szCs w:val="24"/>
          <w:lang w:val="en-GB"/>
        </w:rPr>
        <w:t>The</w:t>
      </w:r>
      <w:r w:rsidRPr="009E3813">
        <w:rPr>
          <w:rFonts w:cs="Arial"/>
          <w:bCs w:val="0"/>
          <w:szCs w:val="24"/>
          <w:lang w:val="en-GB"/>
        </w:rPr>
        <w:t xml:space="preserve"> most </w:t>
      </w:r>
      <w:r w:rsidR="0090013C" w:rsidRPr="009E3813">
        <w:rPr>
          <w:rFonts w:cs="Arial"/>
          <w:bCs w:val="0"/>
          <w:szCs w:val="24"/>
          <w:lang w:val="en-GB"/>
        </w:rPr>
        <w:t xml:space="preserve">reliable </w:t>
      </w:r>
      <w:r w:rsidRPr="009E3813">
        <w:rPr>
          <w:rFonts w:cs="Arial"/>
          <w:bCs w:val="0"/>
          <w:szCs w:val="24"/>
          <w:lang w:val="en-GB"/>
        </w:rPr>
        <w:t xml:space="preserve">comparator for ixekizumab in the populations for whom it would be used </w:t>
      </w:r>
      <w:r w:rsidR="00BF5380" w:rsidRPr="009E3813">
        <w:rPr>
          <w:rFonts w:cs="Arial"/>
          <w:bCs w:val="0"/>
          <w:szCs w:val="24"/>
          <w:lang w:val="en-GB"/>
        </w:rPr>
        <w:t xml:space="preserve">is </w:t>
      </w:r>
      <w:r w:rsidR="00D46064" w:rsidRPr="009E3813">
        <w:rPr>
          <w:lang w:val="en-GB"/>
        </w:rPr>
        <w:t xml:space="preserve">conventional therapy </w:t>
      </w:r>
      <w:r w:rsidRPr="009E3813">
        <w:rPr>
          <w:rFonts w:cs="Arial"/>
          <w:bCs w:val="0"/>
          <w:szCs w:val="24"/>
          <w:lang w:val="en-GB"/>
        </w:rPr>
        <w:t xml:space="preserve">(see section 3.4). </w:t>
      </w:r>
      <w:r w:rsidR="00BF5380" w:rsidRPr="009E3813">
        <w:rPr>
          <w:rFonts w:cs="Arial"/>
          <w:bCs w:val="0"/>
          <w:szCs w:val="24"/>
          <w:lang w:val="en-GB"/>
        </w:rPr>
        <w:t>There</w:t>
      </w:r>
      <w:r w:rsidRPr="009E3813">
        <w:rPr>
          <w:rFonts w:cs="Arial"/>
          <w:bCs w:val="0"/>
          <w:szCs w:val="24"/>
          <w:lang w:val="en-GB"/>
        </w:rPr>
        <w:t xml:space="preserve"> is direct trial evidence from the 3 COAST trials on </w:t>
      </w:r>
      <w:r w:rsidRPr="009E3813">
        <w:rPr>
          <w:lang w:val="en-GB"/>
        </w:rPr>
        <w:t>the</w:t>
      </w:r>
      <w:r w:rsidRPr="009E3813">
        <w:rPr>
          <w:rFonts w:cs="Arial"/>
          <w:bCs w:val="0"/>
          <w:szCs w:val="24"/>
          <w:lang w:val="en-GB"/>
        </w:rPr>
        <w:t xml:space="preserve"> relative efficacy of ixekizumab </w:t>
      </w:r>
      <w:r w:rsidR="00106AA3" w:rsidRPr="009E3813">
        <w:rPr>
          <w:rFonts w:cs="Arial"/>
          <w:bCs w:val="0"/>
          <w:szCs w:val="24"/>
          <w:lang w:val="en-GB"/>
        </w:rPr>
        <w:t>and</w:t>
      </w:r>
      <w:r w:rsidRPr="009E3813">
        <w:rPr>
          <w:rFonts w:cs="Arial"/>
          <w:bCs w:val="0"/>
          <w:szCs w:val="24"/>
          <w:lang w:val="en-GB"/>
        </w:rPr>
        <w:t xml:space="preserve"> placebo</w:t>
      </w:r>
      <w:r w:rsidR="00BF5380" w:rsidRPr="009E3813">
        <w:rPr>
          <w:rFonts w:cs="Arial"/>
          <w:bCs w:val="0"/>
          <w:szCs w:val="24"/>
          <w:lang w:val="en-GB"/>
        </w:rPr>
        <w:t>,</w:t>
      </w:r>
      <w:r w:rsidRPr="009E3813">
        <w:rPr>
          <w:rFonts w:cs="Arial"/>
          <w:bCs w:val="0"/>
          <w:szCs w:val="24"/>
          <w:lang w:val="en-GB"/>
        </w:rPr>
        <w:t xml:space="preserve"> </w:t>
      </w:r>
      <w:r w:rsidR="00BF5380" w:rsidRPr="009E3813">
        <w:rPr>
          <w:rFonts w:cs="Arial"/>
          <w:bCs w:val="0"/>
          <w:szCs w:val="24"/>
          <w:lang w:val="en-GB"/>
        </w:rPr>
        <w:t xml:space="preserve">which </w:t>
      </w:r>
      <w:r w:rsidR="00916533" w:rsidRPr="009E3813">
        <w:rPr>
          <w:rFonts w:cs="Arial"/>
          <w:bCs w:val="0"/>
          <w:szCs w:val="24"/>
          <w:lang w:val="en-GB"/>
        </w:rPr>
        <w:t xml:space="preserve">the company could use </w:t>
      </w:r>
      <w:r w:rsidR="00B063C8" w:rsidRPr="009E3813">
        <w:rPr>
          <w:rFonts w:cs="Arial"/>
          <w:bCs w:val="0"/>
          <w:szCs w:val="24"/>
          <w:lang w:val="en-GB"/>
        </w:rPr>
        <w:t xml:space="preserve">to estimate the cost effectiveness of ixekizumab compared with </w:t>
      </w:r>
      <w:r w:rsidR="00D46064" w:rsidRPr="009E3813">
        <w:rPr>
          <w:lang w:val="en-GB"/>
        </w:rPr>
        <w:t>conventional therapy</w:t>
      </w:r>
      <w:r w:rsidRPr="009E3813">
        <w:rPr>
          <w:rFonts w:cs="Arial"/>
          <w:bCs w:val="0"/>
          <w:szCs w:val="24"/>
          <w:lang w:val="en-GB"/>
        </w:rPr>
        <w:t xml:space="preserve">. The committee concluded that </w:t>
      </w:r>
      <w:r w:rsidRPr="009E3813">
        <w:rPr>
          <w:lang w:val="en-GB"/>
        </w:rPr>
        <w:t>a cost</w:t>
      </w:r>
      <w:r w:rsidR="00BF5380" w:rsidRPr="009E3813">
        <w:rPr>
          <w:lang w:val="en-GB"/>
        </w:rPr>
        <w:t>-</w:t>
      </w:r>
      <w:r w:rsidRPr="009E3813">
        <w:rPr>
          <w:lang w:val="en-GB"/>
        </w:rPr>
        <w:t xml:space="preserve">effectiveness analysis comparing ixekizumab with </w:t>
      </w:r>
      <w:r w:rsidR="00D46064" w:rsidRPr="009E3813">
        <w:rPr>
          <w:lang w:val="en-GB"/>
        </w:rPr>
        <w:t xml:space="preserve">conventional therapy </w:t>
      </w:r>
      <w:r w:rsidRPr="009E3813">
        <w:rPr>
          <w:lang w:val="en-GB"/>
        </w:rPr>
        <w:t xml:space="preserve">using direct evidence from the COAST trials would be </w:t>
      </w:r>
      <w:r w:rsidRPr="009E3813">
        <w:rPr>
          <w:rFonts w:cs="Arial"/>
          <w:bCs w:val="0"/>
          <w:szCs w:val="24"/>
          <w:lang w:val="en-GB"/>
        </w:rPr>
        <w:t>the most robust way of assessing the cost effectiveness of ixekizumab.</w:t>
      </w:r>
    </w:p>
    <w:p w14:paraId="66658CDF" w14:textId="6818398D" w:rsidR="005163F6" w:rsidRPr="009E3813" w:rsidRDefault="005163F6">
      <w:pPr>
        <w:pStyle w:val="Heading2"/>
      </w:pPr>
      <w:r w:rsidRPr="009E3813">
        <w:t>Conclusion</w:t>
      </w:r>
    </w:p>
    <w:p w14:paraId="217003AC" w14:textId="37DE7844" w:rsidR="002A0F7A" w:rsidRPr="009E3813" w:rsidRDefault="002A0F7A" w:rsidP="002A7318">
      <w:pPr>
        <w:pStyle w:val="Heading3"/>
      </w:pPr>
      <w:r w:rsidRPr="009E3813">
        <w:t>An</w:t>
      </w:r>
      <w:r w:rsidR="003C68BF" w:rsidRPr="009E3813">
        <w:t xml:space="preserve"> an</w:t>
      </w:r>
      <w:r w:rsidRPr="009E3813">
        <w:t xml:space="preserve">alysis using direct evidence from </w:t>
      </w:r>
      <w:r w:rsidR="00421FF2">
        <w:t xml:space="preserve">the </w:t>
      </w:r>
      <w:r w:rsidRPr="009E3813">
        <w:t xml:space="preserve">COAST </w:t>
      </w:r>
      <w:r w:rsidR="00421FF2">
        <w:t xml:space="preserve">trials </w:t>
      </w:r>
      <w:r w:rsidRPr="009E3813">
        <w:t>is needed to assess the cost effectiveness of ixekizumab</w:t>
      </w:r>
    </w:p>
    <w:p w14:paraId="2ED432B5" w14:textId="7A9CDE1C" w:rsidR="005163F6" w:rsidRPr="009E3813" w:rsidRDefault="005163F6" w:rsidP="00DA2D26">
      <w:pPr>
        <w:pStyle w:val="Numberedlevel2text"/>
        <w:numPr>
          <w:ilvl w:val="1"/>
          <w:numId w:val="1"/>
        </w:numPr>
        <w:rPr>
          <w:lang w:val="en-GB"/>
        </w:rPr>
      </w:pPr>
      <w:r w:rsidRPr="009E3813">
        <w:rPr>
          <w:lang w:val="en-GB"/>
        </w:rPr>
        <w:t xml:space="preserve">Ixekizumab would </w:t>
      </w:r>
      <w:r w:rsidR="00E13DEE" w:rsidRPr="009E3813">
        <w:rPr>
          <w:lang w:val="en-GB"/>
        </w:rPr>
        <w:t xml:space="preserve">be offered </w:t>
      </w:r>
      <w:r w:rsidR="003C68BF" w:rsidRPr="009E3813">
        <w:rPr>
          <w:lang w:val="en-GB"/>
        </w:rPr>
        <w:t>to</w:t>
      </w:r>
      <w:r w:rsidR="00E13DEE" w:rsidRPr="009E3813">
        <w:rPr>
          <w:lang w:val="en-GB"/>
        </w:rPr>
        <w:t xml:space="preserve"> </w:t>
      </w:r>
      <w:r w:rsidRPr="009E3813">
        <w:rPr>
          <w:lang w:val="en-GB"/>
        </w:rPr>
        <w:t xml:space="preserve">people </w:t>
      </w:r>
      <w:r w:rsidR="003C68BF" w:rsidRPr="009E3813">
        <w:rPr>
          <w:lang w:val="en-GB"/>
        </w:rPr>
        <w:t xml:space="preserve">who </w:t>
      </w:r>
      <w:r w:rsidR="002C32F9" w:rsidRPr="009E3813">
        <w:rPr>
          <w:lang w:val="en-GB"/>
        </w:rPr>
        <w:t xml:space="preserve">cannot have </w:t>
      </w:r>
      <w:r w:rsidRPr="009E3813">
        <w:rPr>
          <w:lang w:val="en-GB"/>
        </w:rPr>
        <w:t>TNF-alpha inhibitors or</w:t>
      </w:r>
      <w:r w:rsidR="002C32F9" w:rsidRPr="009E3813">
        <w:rPr>
          <w:lang w:val="en-GB"/>
        </w:rPr>
        <w:t xml:space="preserve"> </w:t>
      </w:r>
      <w:r w:rsidR="003C68BF" w:rsidRPr="009E3813">
        <w:rPr>
          <w:lang w:val="en-GB"/>
        </w:rPr>
        <w:t xml:space="preserve">when </w:t>
      </w:r>
      <w:r w:rsidR="002C32F9" w:rsidRPr="009E3813">
        <w:rPr>
          <w:lang w:val="en-GB"/>
        </w:rPr>
        <w:t>they have not worked well enough</w:t>
      </w:r>
      <w:r w:rsidRPr="009E3813">
        <w:rPr>
          <w:lang w:val="en-GB"/>
        </w:rPr>
        <w:t xml:space="preserve">. The most </w:t>
      </w:r>
      <w:r w:rsidR="0090013C" w:rsidRPr="009E3813">
        <w:rPr>
          <w:lang w:val="en-GB"/>
        </w:rPr>
        <w:t xml:space="preserve">reliable </w:t>
      </w:r>
      <w:r w:rsidRPr="009E3813">
        <w:rPr>
          <w:lang w:val="en-GB"/>
        </w:rPr>
        <w:t xml:space="preserve">comparator in these populations is </w:t>
      </w:r>
      <w:r w:rsidR="00D46064" w:rsidRPr="009E3813">
        <w:rPr>
          <w:lang w:val="en-GB"/>
        </w:rPr>
        <w:t>conventional therapy</w:t>
      </w:r>
      <w:r w:rsidRPr="009E3813">
        <w:rPr>
          <w:lang w:val="en-GB"/>
        </w:rPr>
        <w:t>.</w:t>
      </w:r>
      <w:r w:rsidR="002A0F7A" w:rsidRPr="009E3813">
        <w:rPr>
          <w:lang w:val="en-GB"/>
        </w:rPr>
        <w:t xml:space="preserve"> </w:t>
      </w:r>
      <w:r w:rsidRPr="009E3813">
        <w:rPr>
          <w:lang w:val="en-GB"/>
        </w:rPr>
        <w:t xml:space="preserve">Evidence from the COAST trials shows that ixekizumab is effective compared with placebo, which is a proxy for </w:t>
      </w:r>
      <w:r w:rsidR="00D46064" w:rsidRPr="009E3813">
        <w:rPr>
          <w:lang w:val="en-GB"/>
        </w:rPr>
        <w:t>conventional therapy</w:t>
      </w:r>
      <w:r w:rsidRPr="009E3813">
        <w:rPr>
          <w:lang w:val="en-GB"/>
        </w:rPr>
        <w:t xml:space="preserve">. </w:t>
      </w:r>
      <w:r w:rsidR="00DA2D26" w:rsidRPr="009E3813">
        <w:rPr>
          <w:lang w:val="en-GB"/>
        </w:rPr>
        <w:t xml:space="preserve">However, the </w:t>
      </w:r>
      <w:r w:rsidR="00DA2D26" w:rsidRPr="009E3813">
        <w:rPr>
          <w:lang w:val="en-GB"/>
        </w:rPr>
        <w:lastRenderedPageBreak/>
        <w:t>company’s cost</w:t>
      </w:r>
      <w:r w:rsidR="006865F6">
        <w:rPr>
          <w:lang w:val="en-GB"/>
        </w:rPr>
        <w:t>-</w:t>
      </w:r>
      <w:r w:rsidR="00DA2D26" w:rsidRPr="009E3813">
        <w:rPr>
          <w:lang w:val="en-GB"/>
        </w:rPr>
        <w:t>effect</w:t>
      </w:r>
      <w:r w:rsidR="001E1587" w:rsidRPr="009E3813">
        <w:rPr>
          <w:lang w:val="en-GB"/>
        </w:rPr>
        <w:t>iveness</w:t>
      </w:r>
      <w:r w:rsidR="00DA2D26" w:rsidRPr="009E3813">
        <w:rPr>
          <w:lang w:val="en-GB"/>
        </w:rPr>
        <w:t xml:space="preserve"> </w:t>
      </w:r>
      <w:r w:rsidR="00C01241" w:rsidRPr="009E3813">
        <w:rPr>
          <w:lang w:val="en-GB"/>
        </w:rPr>
        <w:t>estimates for ixekizumab</w:t>
      </w:r>
      <w:r w:rsidR="00DA2D26" w:rsidRPr="009E3813">
        <w:rPr>
          <w:lang w:val="en-GB"/>
        </w:rPr>
        <w:t xml:space="preserve"> were above the range normally considered cost effective and were based on </w:t>
      </w:r>
      <w:r w:rsidR="006865F6">
        <w:rPr>
          <w:lang w:val="en-GB"/>
        </w:rPr>
        <w:t>an</w:t>
      </w:r>
      <w:r w:rsidR="00DA2D26" w:rsidRPr="009E3813">
        <w:rPr>
          <w:lang w:val="en-GB"/>
        </w:rPr>
        <w:t xml:space="preserve"> </w:t>
      </w:r>
      <w:r w:rsidR="003C5401" w:rsidRPr="009E3813">
        <w:rPr>
          <w:lang w:val="en-GB"/>
        </w:rPr>
        <w:t>NMA</w:t>
      </w:r>
      <w:r w:rsidR="00DA2D26" w:rsidRPr="009E3813">
        <w:rPr>
          <w:lang w:val="en-GB"/>
        </w:rPr>
        <w:t xml:space="preserve"> that the committee did not consider reliable. </w:t>
      </w:r>
      <w:r w:rsidR="002A0F7A" w:rsidRPr="009E3813">
        <w:rPr>
          <w:lang w:val="en-GB"/>
        </w:rPr>
        <w:t>An</w:t>
      </w:r>
      <w:r w:rsidRPr="009E3813">
        <w:rPr>
          <w:lang w:val="en-GB"/>
        </w:rPr>
        <w:t xml:space="preserve"> analysis </w:t>
      </w:r>
      <w:r w:rsidR="00036BF2" w:rsidRPr="009E3813">
        <w:rPr>
          <w:lang w:val="en-GB"/>
        </w:rPr>
        <w:t xml:space="preserve">directly </w:t>
      </w:r>
      <w:r w:rsidRPr="009E3813">
        <w:rPr>
          <w:lang w:val="en-GB"/>
        </w:rPr>
        <w:t xml:space="preserve">comparing ixekizumab with </w:t>
      </w:r>
      <w:r w:rsidR="00DA2D26" w:rsidRPr="009E3813">
        <w:rPr>
          <w:lang w:val="en-GB"/>
        </w:rPr>
        <w:t>conventional therapy</w:t>
      </w:r>
      <w:r w:rsidRPr="009E3813">
        <w:rPr>
          <w:lang w:val="en-GB"/>
        </w:rPr>
        <w:t xml:space="preserve"> using evidence from the COAST trials </w:t>
      </w:r>
      <w:r w:rsidR="003C68BF" w:rsidRPr="009E3813">
        <w:rPr>
          <w:lang w:val="en-GB"/>
        </w:rPr>
        <w:t>is needed to assess</w:t>
      </w:r>
      <w:r w:rsidRPr="009E3813">
        <w:rPr>
          <w:rFonts w:cs="Arial"/>
          <w:bCs w:val="0"/>
          <w:szCs w:val="24"/>
          <w:lang w:val="en-GB"/>
        </w:rPr>
        <w:t xml:space="preserve"> the cost effectiveness of ixekizumab.</w:t>
      </w:r>
    </w:p>
    <w:p w14:paraId="1881F63C" w14:textId="1D69C004" w:rsidR="000F48EC" w:rsidRPr="009E3813" w:rsidRDefault="007A2801" w:rsidP="00B0769A">
      <w:pPr>
        <w:pStyle w:val="Numberedheading1"/>
      </w:pPr>
      <w:r w:rsidRPr="009E3813">
        <w:t xml:space="preserve">Proposed date for </w:t>
      </w:r>
      <w:r w:rsidR="00000441" w:rsidRPr="009E3813">
        <w:t>r</w:t>
      </w:r>
      <w:r w:rsidR="000F48EC" w:rsidRPr="009E3813">
        <w:t>eview of guidance</w:t>
      </w:r>
    </w:p>
    <w:p w14:paraId="4CD00C20" w14:textId="47614CB0" w:rsidR="001823EB" w:rsidRPr="009E3813" w:rsidRDefault="001823EB" w:rsidP="001823EB">
      <w:pPr>
        <w:pStyle w:val="Numberedlevel2text"/>
        <w:rPr>
          <w:lang w:val="en-GB"/>
        </w:rPr>
      </w:pPr>
      <w:r w:rsidRPr="009E3813">
        <w:rPr>
          <w:lang w:val="en-GB"/>
        </w:rPr>
        <w:t>NICE proposes that the guidance on this technology is considered for review by the guidance executive 3 years after publication of the guidance. NICE welcomes comment on this proposed date. The guidance executive will decide whether the technology should be reviewed based on information gathered by NICE, and in consultation with consultees and commentators.</w:t>
      </w:r>
    </w:p>
    <w:p w14:paraId="1B10B361" w14:textId="0C804EC9" w:rsidR="004845D0" w:rsidRPr="009E3813" w:rsidRDefault="00B40B08" w:rsidP="00ED5F88">
      <w:pPr>
        <w:pStyle w:val="NICEnormal"/>
      </w:pPr>
      <w:r w:rsidRPr="009E3813">
        <w:t>Jane Adam</w:t>
      </w:r>
      <w:r w:rsidR="004845D0" w:rsidRPr="009E3813">
        <w:br/>
        <w:t xml:space="preserve">Chair, </w:t>
      </w:r>
      <w:r w:rsidR="003847B9" w:rsidRPr="009E3813">
        <w:t>a</w:t>
      </w:r>
      <w:r w:rsidR="004845D0" w:rsidRPr="009E3813">
        <w:t xml:space="preserve">ppraisal </w:t>
      </w:r>
      <w:r w:rsidR="003847B9" w:rsidRPr="009E3813">
        <w:t>c</w:t>
      </w:r>
      <w:r w:rsidR="004845D0" w:rsidRPr="009E3813">
        <w:t>ommittee</w:t>
      </w:r>
      <w:r w:rsidR="004845D0" w:rsidRPr="009E3813">
        <w:br/>
      </w:r>
      <w:r w:rsidR="005163F6" w:rsidRPr="009E3813">
        <w:t>March 2021</w:t>
      </w:r>
    </w:p>
    <w:p w14:paraId="6ABE49C8" w14:textId="77777777" w:rsidR="00B16431" w:rsidRPr="009E3813" w:rsidRDefault="00B16431" w:rsidP="00E23882">
      <w:pPr>
        <w:pStyle w:val="Numberedheading1"/>
      </w:pPr>
      <w:r w:rsidRPr="009E3813">
        <w:t xml:space="preserve">Appraisal </w:t>
      </w:r>
      <w:r w:rsidR="00343B53" w:rsidRPr="009E3813">
        <w:t>c</w:t>
      </w:r>
      <w:r w:rsidRPr="009E3813">
        <w:t>ommittee members and NICE project team</w:t>
      </w:r>
    </w:p>
    <w:p w14:paraId="21216AAE" w14:textId="77777777" w:rsidR="00B16431" w:rsidRPr="009E3813" w:rsidRDefault="00B16431" w:rsidP="00B16431">
      <w:pPr>
        <w:pStyle w:val="Heading2"/>
      </w:pPr>
      <w:bookmarkStart w:id="7" w:name="_Appraisal_committee_members"/>
      <w:bookmarkEnd w:id="7"/>
      <w:r w:rsidRPr="009E3813">
        <w:t xml:space="preserve">Appraisal </w:t>
      </w:r>
      <w:r w:rsidR="00343B53" w:rsidRPr="009E3813">
        <w:t>c</w:t>
      </w:r>
      <w:r w:rsidRPr="009E3813">
        <w:t>ommittee members</w:t>
      </w:r>
    </w:p>
    <w:p w14:paraId="1A0653B4" w14:textId="1AAC8B67" w:rsidR="002F2583" w:rsidRPr="009E3813" w:rsidRDefault="002F2583" w:rsidP="002F2583">
      <w:pPr>
        <w:pStyle w:val="NICEnormal"/>
        <w:rPr>
          <w:rFonts w:eastAsia="Calibri"/>
        </w:rPr>
      </w:pPr>
      <w:r w:rsidRPr="009E3813">
        <w:t xml:space="preserve">The 4 technology appraisal committees are standing advisory committees of NICE. This topic was considered by </w:t>
      </w:r>
      <w:hyperlink r:id="rId12" w:history="1">
        <w:r w:rsidR="00B93D05" w:rsidRPr="009E3813">
          <w:rPr>
            <w:rStyle w:val="Hyperlink"/>
            <w:rFonts w:eastAsia="Calibri"/>
          </w:rPr>
          <w:t>committee A</w:t>
        </w:r>
      </w:hyperlink>
      <w:r w:rsidR="00CE2B13" w:rsidRPr="009E3813">
        <w:t>.</w:t>
      </w:r>
    </w:p>
    <w:p w14:paraId="7FC5E698" w14:textId="7AC7E07D" w:rsidR="002F2583" w:rsidRPr="009E3813" w:rsidRDefault="002F2583" w:rsidP="002F2583">
      <w:pPr>
        <w:pStyle w:val="NICEnormal"/>
      </w:pPr>
      <w:r w:rsidRPr="009E3813">
        <w:t>Committee members are asked to declare any interests in the technology to be appraised. If it is considered there is a conflict of interest, the member is excluded from participating further in that appraisal.</w:t>
      </w:r>
    </w:p>
    <w:p w14:paraId="662C5CFD" w14:textId="5CCE3770" w:rsidR="002F2583" w:rsidRPr="009E3813" w:rsidRDefault="002F2583" w:rsidP="002F2583">
      <w:pPr>
        <w:pStyle w:val="NICEnormal"/>
      </w:pPr>
      <w:r w:rsidRPr="009E3813">
        <w:t xml:space="preserve">The </w:t>
      </w:r>
      <w:hyperlink r:id="rId13" w:history="1">
        <w:r w:rsidRPr="009E3813">
          <w:rPr>
            <w:rStyle w:val="Hyperlink"/>
            <w:rFonts w:eastAsia="Calibri"/>
          </w:rPr>
          <w:t>minutes</w:t>
        </w:r>
        <w:r w:rsidRPr="009E3813">
          <w:rPr>
            <w:rStyle w:val="Hyperlink"/>
          </w:rPr>
          <w:t xml:space="preserve"> of each appraisal committee meeting</w:t>
        </w:r>
      </w:hyperlink>
      <w:r w:rsidRPr="009E3813">
        <w:t>, which include the names of the members who attended and their declarations of interests, are posted on the NICE website.</w:t>
      </w:r>
    </w:p>
    <w:p w14:paraId="01D97824" w14:textId="77777777" w:rsidR="00B16431" w:rsidRPr="009E3813" w:rsidRDefault="00B16431" w:rsidP="00B16431">
      <w:pPr>
        <w:pStyle w:val="Heading2"/>
      </w:pPr>
      <w:r w:rsidRPr="009E3813">
        <w:lastRenderedPageBreak/>
        <w:t>NICE project team</w:t>
      </w:r>
    </w:p>
    <w:p w14:paraId="0EE2BF8B" w14:textId="4EF3BEFE" w:rsidR="00B16431" w:rsidRPr="009E3813" w:rsidRDefault="00B16431" w:rsidP="00B16431">
      <w:pPr>
        <w:pStyle w:val="NICEnormal"/>
      </w:pPr>
      <w:r w:rsidRPr="009E3813">
        <w:t>Each technology appraisal is assigned to a team consisting of 1 or more health technology analysts (who act as technical leads for the appraisal)</w:t>
      </w:r>
      <w:r w:rsidR="00CE2B13" w:rsidRPr="009E3813">
        <w:t xml:space="preserve"> and</w:t>
      </w:r>
      <w:r w:rsidRPr="009E3813">
        <w:t xml:space="preserve"> a technical adviser</w:t>
      </w:r>
      <w:r w:rsidR="00CE2B13" w:rsidRPr="009E3813">
        <w:t>.</w:t>
      </w:r>
    </w:p>
    <w:p w14:paraId="2BDAEF66" w14:textId="60FC1278" w:rsidR="00B16431" w:rsidRPr="009E3813" w:rsidRDefault="006251F9" w:rsidP="00B16431">
      <w:pPr>
        <w:pStyle w:val="NICEnormal"/>
      </w:pPr>
      <w:bookmarkStart w:id="8" w:name="Text45"/>
      <w:r w:rsidRPr="009E3813">
        <w:rPr>
          <w:b/>
        </w:rPr>
        <w:t xml:space="preserve">Richard Mattock </w:t>
      </w:r>
      <w:r w:rsidR="001C75CA" w:rsidRPr="009E3813">
        <w:rPr>
          <w:b/>
        </w:rPr>
        <w:t>and</w:t>
      </w:r>
      <w:r w:rsidRPr="009E3813">
        <w:rPr>
          <w:b/>
        </w:rPr>
        <w:t xml:space="preserve"> </w:t>
      </w:r>
      <w:r w:rsidR="00CE2B13" w:rsidRPr="009E3813">
        <w:rPr>
          <w:b/>
        </w:rPr>
        <w:t>Juliet Kenny</w:t>
      </w:r>
      <w:r w:rsidR="00B16431" w:rsidRPr="009E3813">
        <w:br/>
        <w:t xml:space="preserve">Technical </w:t>
      </w:r>
      <w:r w:rsidR="00E65C76" w:rsidRPr="009E3813">
        <w:t>l</w:t>
      </w:r>
      <w:r w:rsidR="00B16431" w:rsidRPr="009E3813">
        <w:t>ead</w:t>
      </w:r>
      <w:r w:rsidRPr="009E3813">
        <w:t>s</w:t>
      </w:r>
    </w:p>
    <w:p w14:paraId="091ED381" w14:textId="5523CA57" w:rsidR="00B16431" w:rsidRPr="009E3813" w:rsidRDefault="00CE2B13" w:rsidP="00B16431">
      <w:pPr>
        <w:pStyle w:val="NICEnormal"/>
      </w:pPr>
      <w:r w:rsidRPr="009E3813">
        <w:rPr>
          <w:b/>
        </w:rPr>
        <w:t>Zoe Charles</w:t>
      </w:r>
      <w:r w:rsidR="00B16431" w:rsidRPr="009E3813">
        <w:br/>
        <w:t xml:space="preserve">Technical </w:t>
      </w:r>
      <w:r w:rsidR="00E65C76" w:rsidRPr="009E3813">
        <w:t>a</w:t>
      </w:r>
      <w:r w:rsidR="00B16431" w:rsidRPr="009E3813">
        <w:t>dviser</w:t>
      </w:r>
    </w:p>
    <w:bookmarkEnd w:id="8"/>
    <w:p w14:paraId="1148D2DD" w14:textId="77777777" w:rsidR="006E7647" w:rsidRPr="009E3813" w:rsidRDefault="006E7647" w:rsidP="00F05E37">
      <w:pPr>
        <w:pStyle w:val="NICEnormal"/>
      </w:pPr>
      <w:r w:rsidRPr="009E3813">
        <w:t xml:space="preserve">ISBN: </w:t>
      </w:r>
      <w:r w:rsidRPr="009E3813">
        <w:rPr>
          <w:highlight w:val="green"/>
        </w:rPr>
        <w:t>[to be added at publication]</w:t>
      </w:r>
    </w:p>
    <w:sectPr w:rsidR="006E7647" w:rsidRPr="009E3813" w:rsidSect="00C76DDA">
      <w:headerReference w:type="default" r:id="rId14"/>
      <w:footerReference w:type="default" r:id="rId15"/>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DFE23" w14:textId="77777777" w:rsidR="00306A9B" w:rsidRDefault="00306A9B">
      <w:r>
        <w:separator/>
      </w:r>
    </w:p>
  </w:endnote>
  <w:endnote w:type="continuationSeparator" w:id="0">
    <w:p w14:paraId="3515A4C3" w14:textId="77777777" w:rsidR="00306A9B" w:rsidRDefault="0030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90733" w14:textId="39B17D0A" w:rsidR="009E74DB" w:rsidRPr="009E74DB" w:rsidRDefault="006B3091" w:rsidP="009E74DB">
    <w:pPr>
      <w:pStyle w:val="NICEnormalsinglespacing"/>
      <w:spacing w:after="120"/>
      <w:rPr>
        <w:bCs/>
        <w:sz w:val="18"/>
        <w:szCs w:val="18"/>
      </w:rPr>
    </w:pPr>
    <w:r>
      <w:rPr>
        <w:sz w:val="18"/>
        <w:szCs w:val="18"/>
      </w:rPr>
      <w:t>Appraisal consultation document</w:t>
    </w:r>
    <w:r w:rsidRPr="003D33FB">
      <w:rPr>
        <w:sz w:val="18"/>
        <w:szCs w:val="18"/>
      </w:rPr>
      <w:t xml:space="preserve"> –</w:t>
    </w:r>
    <w:r w:rsidR="009E74DB">
      <w:rPr>
        <w:sz w:val="18"/>
        <w:szCs w:val="18"/>
      </w:rPr>
      <w:t xml:space="preserve"> </w:t>
    </w:r>
    <w:r w:rsidR="009E74DB" w:rsidRPr="009E74DB">
      <w:rPr>
        <w:bCs/>
        <w:sz w:val="18"/>
        <w:szCs w:val="18"/>
      </w:rPr>
      <w:t>Ixekizumab for treating axial spondyloarthritis after nonsteroidal anti-inflammatory drugs</w:t>
    </w:r>
  </w:p>
  <w:p w14:paraId="79998B3E" w14:textId="0F55D5E5" w:rsidR="006B3091" w:rsidRPr="003D33FB" w:rsidRDefault="006B3091" w:rsidP="009E74DB">
    <w:pPr>
      <w:pStyle w:val="NICEnormalsinglespacing"/>
      <w:spacing w:after="120"/>
      <w:jc w:val="right"/>
      <w:rPr>
        <w:sz w:val="18"/>
        <w:szCs w:val="18"/>
      </w:rPr>
    </w:pPr>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p>
  <w:p w14:paraId="127FCBE7" w14:textId="6E38FA5B" w:rsidR="006B3091" w:rsidRDefault="006B3091" w:rsidP="007A7EC8">
    <w:pPr>
      <w:pStyle w:val="NICEnormalsinglespacing"/>
      <w:spacing w:after="120"/>
      <w:rPr>
        <w:sz w:val="18"/>
        <w:szCs w:val="18"/>
      </w:rPr>
    </w:pPr>
    <w:r w:rsidRPr="003D33FB">
      <w:rPr>
        <w:sz w:val="18"/>
        <w:szCs w:val="18"/>
      </w:rPr>
      <w:t xml:space="preserve">Issue date: </w:t>
    </w:r>
    <w:r w:rsidR="009E74DB">
      <w:rPr>
        <w:sz w:val="18"/>
        <w:szCs w:val="18"/>
      </w:rPr>
      <w:t>March 2021</w:t>
    </w:r>
  </w:p>
  <w:p w14:paraId="4BBE127E" w14:textId="713F0C41" w:rsidR="006B3091" w:rsidRPr="007A7EC8" w:rsidRDefault="006B3091" w:rsidP="007A7EC8">
    <w:pPr>
      <w:pStyle w:val="NICEnormalsinglespacing"/>
      <w:spacing w:after="120"/>
    </w:pPr>
    <w:r>
      <w:rPr>
        <w:sz w:val="18"/>
        <w:szCs w:val="18"/>
      </w:rPr>
      <w:t xml:space="preserve">© NICE </w:t>
    </w:r>
    <w:r w:rsidR="00E31154">
      <w:rPr>
        <w:sz w:val="18"/>
        <w:szCs w:val="18"/>
      </w:rPr>
      <w:t>2021</w:t>
    </w:r>
    <w:r>
      <w:rPr>
        <w:sz w:val="18"/>
        <w:szCs w:val="18"/>
      </w:rPr>
      <w:t xml:space="preserve">.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7D64A" w14:textId="77777777" w:rsidR="00306A9B" w:rsidRDefault="00306A9B">
      <w:r>
        <w:separator/>
      </w:r>
    </w:p>
  </w:footnote>
  <w:footnote w:type="continuationSeparator" w:id="0">
    <w:p w14:paraId="246EB351" w14:textId="77777777" w:rsidR="00306A9B" w:rsidRDefault="00306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F7BE2" w14:textId="77777777" w:rsidR="006B3091" w:rsidRPr="004E6427" w:rsidRDefault="006B3091"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AC26CC8"/>
    <w:multiLevelType w:val="hybridMultilevel"/>
    <w:tmpl w:val="2566461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BDB09CA"/>
    <w:multiLevelType w:val="hybridMultilevel"/>
    <w:tmpl w:val="FE803354"/>
    <w:lvl w:ilvl="0" w:tplc="BF3E5BF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037FF"/>
    <w:multiLevelType w:val="hybridMultilevel"/>
    <w:tmpl w:val="5544A956"/>
    <w:lvl w:ilvl="0" w:tplc="785E3C70">
      <w:start w:val="1"/>
      <w:numFmt w:val="bullet"/>
      <w:pStyle w:val="Bullets1"/>
      <w:lvlText w:val=""/>
      <w:lvlJc w:val="left"/>
      <w:pPr>
        <w:ind w:left="360" w:hanging="360"/>
      </w:pPr>
      <w:rPr>
        <w:rFonts w:ascii="Symbol" w:hAnsi="Symbol" w:hint="default"/>
        <w:color w:val="44546A" w:themeColor="text2"/>
      </w:rPr>
    </w:lvl>
    <w:lvl w:ilvl="1" w:tplc="7E784478">
      <w:start w:val="1"/>
      <w:numFmt w:val="bullet"/>
      <w:lvlText w:val="o"/>
      <w:lvlJc w:val="left"/>
      <w:pPr>
        <w:ind w:left="501" w:hanging="360"/>
      </w:pPr>
      <w:rPr>
        <w:rFonts w:ascii="Courier New" w:hAnsi="Courier New" w:cs="Courier New" w:hint="default"/>
      </w:rPr>
    </w:lvl>
    <w:lvl w:ilvl="2" w:tplc="08090005">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5" w15:restartNumberingAfterBreak="0">
    <w:nsid w:val="117C052B"/>
    <w:multiLevelType w:val="hybridMultilevel"/>
    <w:tmpl w:val="D1D2FC98"/>
    <w:lvl w:ilvl="0" w:tplc="003E96F8">
      <w:start w:val="1"/>
      <w:numFmt w:val="bullet"/>
      <w:lvlText w:val="•"/>
      <w:lvlJc w:val="left"/>
      <w:pPr>
        <w:tabs>
          <w:tab w:val="num" w:pos="720"/>
        </w:tabs>
        <w:ind w:left="720" w:hanging="360"/>
      </w:pPr>
      <w:rPr>
        <w:rFonts w:ascii="Arial" w:hAnsi="Arial" w:hint="default"/>
      </w:rPr>
    </w:lvl>
    <w:lvl w:ilvl="1" w:tplc="0EEA9086" w:tentative="1">
      <w:start w:val="1"/>
      <w:numFmt w:val="bullet"/>
      <w:lvlText w:val="•"/>
      <w:lvlJc w:val="left"/>
      <w:pPr>
        <w:tabs>
          <w:tab w:val="num" w:pos="1440"/>
        </w:tabs>
        <w:ind w:left="1440" w:hanging="360"/>
      </w:pPr>
      <w:rPr>
        <w:rFonts w:ascii="Arial" w:hAnsi="Arial" w:hint="default"/>
      </w:rPr>
    </w:lvl>
    <w:lvl w:ilvl="2" w:tplc="00DC6ABA" w:tentative="1">
      <w:start w:val="1"/>
      <w:numFmt w:val="bullet"/>
      <w:lvlText w:val="•"/>
      <w:lvlJc w:val="left"/>
      <w:pPr>
        <w:tabs>
          <w:tab w:val="num" w:pos="2160"/>
        </w:tabs>
        <w:ind w:left="2160" w:hanging="360"/>
      </w:pPr>
      <w:rPr>
        <w:rFonts w:ascii="Arial" w:hAnsi="Arial" w:hint="default"/>
      </w:rPr>
    </w:lvl>
    <w:lvl w:ilvl="3" w:tplc="F8E63448" w:tentative="1">
      <w:start w:val="1"/>
      <w:numFmt w:val="bullet"/>
      <w:lvlText w:val="•"/>
      <w:lvlJc w:val="left"/>
      <w:pPr>
        <w:tabs>
          <w:tab w:val="num" w:pos="2880"/>
        </w:tabs>
        <w:ind w:left="2880" w:hanging="360"/>
      </w:pPr>
      <w:rPr>
        <w:rFonts w:ascii="Arial" w:hAnsi="Arial" w:hint="default"/>
      </w:rPr>
    </w:lvl>
    <w:lvl w:ilvl="4" w:tplc="204AFEC0" w:tentative="1">
      <w:start w:val="1"/>
      <w:numFmt w:val="bullet"/>
      <w:lvlText w:val="•"/>
      <w:lvlJc w:val="left"/>
      <w:pPr>
        <w:tabs>
          <w:tab w:val="num" w:pos="3600"/>
        </w:tabs>
        <w:ind w:left="3600" w:hanging="360"/>
      </w:pPr>
      <w:rPr>
        <w:rFonts w:ascii="Arial" w:hAnsi="Arial" w:hint="default"/>
      </w:rPr>
    </w:lvl>
    <w:lvl w:ilvl="5" w:tplc="AE687F1E" w:tentative="1">
      <w:start w:val="1"/>
      <w:numFmt w:val="bullet"/>
      <w:lvlText w:val="•"/>
      <w:lvlJc w:val="left"/>
      <w:pPr>
        <w:tabs>
          <w:tab w:val="num" w:pos="4320"/>
        </w:tabs>
        <w:ind w:left="4320" w:hanging="360"/>
      </w:pPr>
      <w:rPr>
        <w:rFonts w:ascii="Arial" w:hAnsi="Arial" w:hint="default"/>
      </w:rPr>
    </w:lvl>
    <w:lvl w:ilvl="6" w:tplc="05562E78" w:tentative="1">
      <w:start w:val="1"/>
      <w:numFmt w:val="bullet"/>
      <w:lvlText w:val="•"/>
      <w:lvlJc w:val="left"/>
      <w:pPr>
        <w:tabs>
          <w:tab w:val="num" w:pos="5040"/>
        </w:tabs>
        <w:ind w:left="5040" w:hanging="360"/>
      </w:pPr>
      <w:rPr>
        <w:rFonts w:ascii="Arial" w:hAnsi="Arial" w:hint="default"/>
      </w:rPr>
    </w:lvl>
    <w:lvl w:ilvl="7" w:tplc="21947E24" w:tentative="1">
      <w:start w:val="1"/>
      <w:numFmt w:val="bullet"/>
      <w:lvlText w:val="•"/>
      <w:lvlJc w:val="left"/>
      <w:pPr>
        <w:tabs>
          <w:tab w:val="num" w:pos="5760"/>
        </w:tabs>
        <w:ind w:left="5760" w:hanging="360"/>
      </w:pPr>
      <w:rPr>
        <w:rFonts w:ascii="Arial" w:hAnsi="Arial" w:hint="default"/>
      </w:rPr>
    </w:lvl>
    <w:lvl w:ilvl="8" w:tplc="89108A0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017405"/>
    <w:multiLevelType w:val="multilevel"/>
    <w:tmpl w:val="B0A899F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6E05225"/>
    <w:multiLevelType w:val="hybridMultilevel"/>
    <w:tmpl w:val="65D4DB44"/>
    <w:lvl w:ilvl="0" w:tplc="3A70315E">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CC3584"/>
    <w:multiLevelType w:val="multilevel"/>
    <w:tmpl w:val="7390C4D4"/>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8FD4E71"/>
    <w:multiLevelType w:val="hybridMultilevel"/>
    <w:tmpl w:val="135052BC"/>
    <w:lvl w:ilvl="0" w:tplc="457E44F8">
      <w:start w:val="1"/>
      <w:numFmt w:val="bullet"/>
      <w:lvlText w:val="•"/>
      <w:lvlJc w:val="left"/>
      <w:pPr>
        <w:tabs>
          <w:tab w:val="num" w:pos="720"/>
        </w:tabs>
        <w:ind w:left="720" w:hanging="360"/>
      </w:pPr>
      <w:rPr>
        <w:rFonts w:ascii="Arial" w:hAnsi="Arial" w:hint="default"/>
      </w:rPr>
    </w:lvl>
    <w:lvl w:ilvl="1" w:tplc="5DC026F8" w:tentative="1">
      <w:start w:val="1"/>
      <w:numFmt w:val="bullet"/>
      <w:lvlText w:val="•"/>
      <w:lvlJc w:val="left"/>
      <w:pPr>
        <w:tabs>
          <w:tab w:val="num" w:pos="1440"/>
        </w:tabs>
        <w:ind w:left="1440" w:hanging="360"/>
      </w:pPr>
      <w:rPr>
        <w:rFonts w:ascii="Arial" w:hAnsi="Arial" w:hint="default"/>
      </w:rPr>
    </w:lvl>
    <w:lvl w:ilvl="2" w:tplc="6A64130E" w:tentative="1">
      <w:start w:val="1"/>
      <w:numFmt w:val="bullet"/>
      <w:lvlText w:val="•"/>
      <w:lvlJc w:val="left"/>
      <w:pPr>
        <w:tabs>
          <w:tab w:val="num" w:pos="2160"/>
        </w:tabs>
        <w:ind w:left="2160" w:hanging="360"/>
      </w:pPr>
      <w:rPr>
        <w:rFonts w:ascii="Arial" w:hAnsi="Arial" w:hint="default"/>
      </w:rPr>
    </w:lvl>
    <w:lvl w:ilvl="3" w:tplc="87E85392" w:tentative="1">
      <w:start w:val="1"/>
      <w:numFmt w:val="bullet"/>
      <w:lvlText w:val="•"/>
      <w:lvlJc w:val="left"/>
      <w:pPr>
        <w:tabs>
          <w:tab w:val="num" w:pos="2880"/>
        </w:tabs>
        <w:ind w:left="2880" w:hanging="360"/>
      </w:pPr>
      <w:rPr>
        <w:rFonts w:ascii="Arial" w:hAnsi="Arial" w:hint="default"/>
      </w:rPr>
    </w:lvl>
    <w:lvl w:ilvl="4" w:tplc="90104C7C" w:tentative="1">
      <w:start w:val="1"/>
      <w:numFmt w:val="bullet"/>
      <w:lvlText w:val="•"/>
      <w:lvlJc w:val="left"/>
      <w:pPr>
        <w:tabs>
          <w:tab w:val="num" w:pos="3600"/>
        </w:tabs>
        <w:ind w:left="3600" w:hanging="360"/>
      </w:pPr>
      <w:rPr>
        <w:rFonts w:ascii="Arial" w:hAnsi="Arial" w:hint="default"/>
      </w:rPr>
    </w:lvl>
    <w:lvl w:ilvl="5" w:tplc="8FB2095E" w:tentative="1">
      <w:start w:val="1"/>
      <w:numFmt w:val="bullet"/>
      <w:lvlText w:val="•"/>
      <w:lvlJc w:val="left"/>
      <w:pPr>
        <w:tabs>
          <w:tab w:val="num" w:pos="4320"/>
        </w:tabs>
        <w:ind w:left="4320" w:hanging="360"/>
      </w:pPr>
      <w:rPr>
        <w:rFonts w:ascii="Arial" w:hAnsi="Arial" w:hint="default"/>
      </w:rPr>
    </w:lvl>
    <w:lvl w:ilvl="6" w:tplc="9DA07D24" w:tentative="1">
      <w:start w:val="1"/>
      <w:numFmt w:val="bullet"/>
      <w:lvlText w:val="•"/>
      <w:lvlJc w:val="left"/>
      <w:pPr>
        <w:tabs>
          <w:tab w:val="num" w:pos="5040"/>
        </w:tabs>
        <w:ind w:left="5040" w:hanging="360"/>
      </w:pPr>
      <w:rPr>
        <w:rFonts w:ascii="Arial" w:hAnsi="Arial" w:hint="default"/>
      </w:rPr>
    </w:lvl>
    <w:lvl w:ilvl="7" w:tplc="75FC9F1E" w:tentative="1">
      <w:start w:val="1"/>
      <w:numFmt w:val="bullet"/>
      <w:lvlText w:val="•"/>
      <w:lvlJc w:val="left"/>
      <w:pPr>
        <w:tabs>
          <w:tab w:val="num" w:pos="5760"/>
        </w:tabs>
        <w:ind w:left="5760" w:hanging="360"/>
      </w:pPr>
      <w:rPr>
        <w:rFonts w:ascii="Arial" w:hAnsi="Arial" w:hint="default"/>
      </w:rPr>
    </w:lvl>
    <w:lvl w:ilvl="8" w:tplc="DF12663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D707CAC"/>
    <w:multiLevelType w:val="hybridMultilevel"/>
    <w:tmpl w:val="3F5AE03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4A784A"/>
    <w:multiLevelType w:val="hybridMultilevel"/>
    <w:tmpl w:val="F544E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8565A9"/>
    <w:multiLevelType w:val="hybridMultilevel"/>
    <w:tmpl w:val="9970F276"/>
    <w:lvl w:ilvl="0" w:tplc="418E44CC">
      <w:start w:val="1"/>
      <w:numFmt w:val="bullet"/>
      <w:pStyle w:val="Table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9A2248"/>
    <w:multiLevelType w:val="hybridMultilevel"/>
    <w:tmpl w:val="9ACAE39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0" w15:restartNumberingAfterBreak="0">
    <w:nsid w:val="5C533504"/>
    <w:multiLevelType w:val="hybridMultilevel"/>
    <w:tmpl w:val="6786031A"/>
    <w:lvl w:ilvl="0" w:tplc="44D88410">
      <w:start w:val="1"/>
      <w:numFmt w:val="bullet"/>
      <w:pStyle w:val="Panelbullet1"/>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1"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15:restartNumberingAfterBreak="0">
    <w:nsid w:val="67016FD9"/>
    <w:multiLevelType w:val="hybridMultilevel"/>
    <w:tmpl w:val="6BB0CACE"/>
    <w:lvl w:ilvl="0" w:tplc="D0D8A05E">
      <w:start w:val="1"/>
      <w:numFmt w:val="bullet"/>
      <w:lvlText w:val="•"/>
      <w:lvlJc w:val="left"/>
      <w:pPr>
        <w:tabs>
          <w:tab w:val="num" w:pos="720"/>
        </w:tabs>
        <w:ind w:left="720" w:hanging="360"/>
      </w:pPr>
      <w:rPr>
        <w:rFonts w:ascii="Arial" w:hAnsi="Arial" w:hint="default"/>
      </w:rPr>
    </w:lvl>
    <w:lvl w:ilvl="1" w:tplc="A1DCFA6C" w:tentative="1">
      <w:start w:val="1"/>
      <w:numFmt w:val="bullet"/>
      <w:lvlText w:val="•"/>
      <w:lvlJc w:val="left"/>
      <w:pPr>
        <w:tabs>
          <w:tab w:val="num" w:pos="1440"/>
        </w:tabs>
        <w:ind w:left="1440" w:hanging="360"/>
      </w:pPr>
      <w:rPr>
        <w:rFonts w:ascii="Arial" w:hAnsi="Arial" w:hint="default"/>
      </w:rPr>
    </w:lvl>
    <w:lvl w:ilvl="2" w:tplc="A468C8E2" w:tentative="1">
      <w:start w:val="1"/>
      <w:numFmt w:val="bullet"/>
      <w:lvlText w:val="•"/>
      <w:lvlJc w:val="left"/>
      <w:pPr>
        <w:tabs>
          <w:tab w:val="num" w:pos="2160"/>
        </w:tabs>
        <w:ind w:left="2160" w:hanging="360"/>
      </w:pPr>
      <w:rPr>
        <w:rFonts w:ascii="Arial" w:hAnsi="Arial" w:hint="default"/>
      </w:rPr>
    </w:lvl>
    <w:lvl w:ilvl="3" w:tplc="42E4B770" w:tentative="1">
      <w:start w:val="1"/>
      <w:numFmt w:val="bullet"/>
      <w:lvlText w:val="•"/>
      <w:lvlJc w:val="left"/>
      <w:pPr>
        <w:tabs>
          <w:tab w:val="num" w:pos="2880"/>
        </w:tabs>
        <w:ind w:left="2880" w:hanging="360"/>
      </w:pPr>
      <w:rPr>
        <w:rFonts w:ascii="Arial" w:hAnsi="Arial" w:hint="default"/>
      </w:rPr>
    </w:lvl>
    <w:lvl w:ilvl="4" w:tplc="C65077EA" w:tentative="1">
      <w:start w:val="1"/>
      <w:numFmt w:val="bullet"/>
      <w:lvlText w:val="•"/>
      <w:lvlJc w:val="left"/>
      <w:pPr>
        <w:tabs>
          <w:tab w:val="num" w:pos="3600"/>
        </w:tabs>
        <w:ind w:left="3600" w:hanging="360"/>
      </w:pPr>
      <w:rPr>
        <w:rFonts w:ascii="Arial" w:hAnsi="Arial" w:hint="default"/>
      </w:rPr>
    </w:lvl>
    <w:lvl w:ilvl="5" w:tplc="C8167D74" w:tentative="1">
      <w:start w:val="1"/>
      <w:numFmt w:val="bullet"/>
      <w:lvlText w:val="•"/>
      <w:lvlJc w:val="left"/>
      <w:pPr>
        <w:tabs>
          <w:tab w:val="num" w:pos="4320"/>
        </w:tabs>
        <w:ind w:left="4320" w:hanging="360"/>
      </w:pPr>
      <w:rPr>
        <w:rFonts w:ascii="Arial" w:hAnsi="Arial" w:hint="default"/>
      </w:rPr>
    </w:lvl>
    <w:lvl w:ilvl="6" w:tplc="575CC524" w:tentative="1">
      <w:start w:val="1"/>
      <w:numFmt w:val="bullet"/>
      <w:lvlText w:val="•"/>
      <w:lvlJc w:val="left"/>
      <w:pPr>
        <w:tabs>
          <w:tab w:val="num" w:pos="5040"/>
        </w:tabs>
        <w:ind w:left="5040" w:hanging="360"/>
      </w:pPr>
      <w:rPr>
        <w:rFonts w:ascii="Arial" w:hAnsi="Arial" w:hint="default"/>
      </w:rPr>
    </w:lvl>
    <w:lvl w:ilvl="7" w:tplc="6FE63CE0" w:tentative="1">
      <w:start w:val="1"/>
      <w:numFmt w:val="bullet"/>
      <w:lvlText w:val="•"/>
      <w:lvlJc w:val="left"/>
      <w:pPr>
        <w:tabs>
          <w:tab w:val="num" w:pos="5760"/>
        </w:tabs>
        <w:ind w:left="5760" w:hanging="360"/>
      </w:pPr>
      <w:rPr>
        <w:rFonts w:ascii="Arial" w:hAnsi="Arial" w:hint="default"/>
      </w:rPr>
    </w:lvl>
    <w:lvl w:ilvl="8" w:tplc="DCCAED1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2"/>
  </w:num>
  <w:num w:numId="3">
    <w:abstractNumId w:val="22"/>
  </w:num>
  <w:num w:numId="4">
    <w:abstractNumId w:val="11"/>
  </w:num>
  <w:num w:numId="5">
    <w:abstractNumId w:val="12"/>
  </w:num>
  <w:num w:numId="6">
    <w:abstractNumId w:val="0"/>
  </w:num>
  <w:num w:numId="7">
    <w:abstractNumId w:val="6"/>
  </w:num>
  <w:num w:numId="8">
    <w:abstractNumId w:val="8"/>
  </w:num>
  <w:num w:numId="9">
    <w:abstractNumId w:val="9"/>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0"/>
  </w:num>
  <w:num w:numId="14">
    <w:abstractNumId w:val="20"/>
  </w:num>
  <w:num w:numId="15">
    <w:abstractNumId w:val="15"/>
  </w:num>
  <w:num w:numId="16">
    <w:abstractNumId w:val="19"/>
  </w:num>
  <w:num w:numId="17">
    <w:abstractNumId w:val="17"/>
  </w:num>
  <w:num w:numId="18">
    <w:abstractNumId w:val="0"/>
  </w:num>
  <w:num w:numId="19">
    <w:abstractNumId w:val="10"/>
  </w:num>
  <w:num w:numId="20">
    <w:abstractNumId w:val="10"/>
  </w:num>
  <w:num w:numId="21">
    <w:abstractNumId w:val="1"/>
  </w:num>
  <w:num w:numId="22">
    <w:abstractNumId w:val="5"/>
  </w:num>
  <w:num w:numId="23">
    <w:abstractNumId w:val="23"/>
  </w:num>
  <w:num w:numId="24">
    <w:abstractNumId w:val="13"/>
  </w:num>
  <w:num w:numId="25">
    <w:abstractNumId w:val="10"/>
  </w:num>
  <w:num w:numId="26">
    <w:abstractNumId w:val="16"/>
  </w:num>
  <w:num w:numId="27">
    <w:abstractNumId w:val="4"/>
  </w:num>
  <w:num w:numId="28">
    <w:abstractNumId w:val="3"/>
  </w:num>
  <w:num w:numId="29">
    <w:abstractNumId w:val="14"/>
  </w:num>
  <w:num w:numId="30">
    <w:abstractNumId w:val="7"/>
  </w:num>
  <w:num w:numId="3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F9F"/>
    <w:rsid w:val="00000441"/>
    <w:rsid w:val="00002047"/>
    <w:rsid w:val="000043B9"/>
    <w:rsid w:val="00006590"/>
    <w:rsid w:val="000069A4"/>
    <w:rsid w:val="000069F9"/>
    <w:rsid w:val="0000727D"/>
    <w:rsid w:val="000119FB"/>
    <w:rsid w:val="00013EEC"/>
    <w:rsid w:val="0001466F"/>
    <w:rsid w:val="00014990"/>
    <w:rsid w:val="00016A22"/>
    <w:rsid w:val="00016E5E"/>
    <w:rsid w:val="00017610"/>
    <w:rsid w:val="000205C6"/>
    <w:rsid w:val="00021FB0"/>
    <w:rsid w:val="000221AA"/>
    <w:rsid w:val="0002331F"/>
    <w:rsid w:val="00023F26"/>
    <w:rsid w:val="000249F8"/>
    <w:rsid w:val="00026E82"/>
    <w:rsid w:val="00030676"/>
    <w:rsid w:val="00030714"/>
    <w:rsid w:val="0003322C"/>
    <w:rsid w:val="00034110"/>
    <w:rsid w:val="00035AC1"/>
    <w:rsid w:val="000368FC"/>
    <w:rsid w:val="00036BF2"/>
    <w:rsid w:val="000376EE"/>
    <w:rsid w:val="0004042B"/>
    <w:rsid w:val="000421F8"/>
    <w:rsid w:val="00042792"/>
    <w:rsid w:val="00043262"/>
    <w:rsid w:val="000442E4"/>
    <w:rsid w:val="00044D1B"/>
    <w:rsid w:val="00045528"/>
    <w:rsid w:val="00052063"/>
    <w:rsid w:val="00055DDF"/>
    <w:rsid w:val="00057724"/>
    <w:rsid w:val="00060876"/>
    <w:rsid w:val="00061C83"/>
    <w:rsid w:val="0006624B"/>
    <w:rsid w:val="00066660"/>
    <w:rsid w:val="0006735C"/>
    <w:rsid w:val="000711F1"/>
    <w:rsid w:val="00073DA8"/>
    <w:rsid w:val="000755E6"/>
    <w:rsid w:val="000764D3"/>
    <w:rsid w:val="00080A47"/>
    <w:rsid w:val="000815F7"/>
    <w:rsid w:val="00082F77"/>
    <w:rsid w:val="00085C5A"/>
    <w:rsid w:val="000862FC"/>
    <w:rsid w:val="00086F0A"/>
    <w:rsid w:val="00087323"/>
    <w:rsid w:val="000879ED"/>
    <w:rsid w:val="00093649"/>
    <w:rsid w:val="00096246"/>
    <w:rsid w:val="0009636A"/>
    <w:rsid w:val="000A0A6E"/>
    <w:rsid w:val="000A275D"/>
    <w:rsid w:val="000A310E"/>
    <w:rsid w:val="000A4016"/>
    <w:rsid w:val="000A6C40"/>
    <w:rsid w:val="000B04DF"/>
    <w:rsid w:val="000B1027"/>
    <w:rsid w:val="000B2D44"/>
    <w:rsid w:val="000B37F4"/>
    <w:rsid w:val="000B5BBD"/>
    <w:rsid w:val="000B70D6"/>
    <w:rsid w:val="000B7F7A"/>
    <w:rsid w:val="000C04A1"/>
    <w:rsid w:val="000C194F"/>
    <w:rsid w:val="000C2222"/>
    <w:rsid w:val="000C2C9E"/>
    <w:rsid w:val="000C595C"/>
    <w:rsid w:val="000C7ACA"/>
    <w:rsid w:val="000D09ED"/>
    <w:rsid w:val="000D0A87"/>
    <w:rsid w:val="000D0FB1"/>
    <w:rsid w:val="000D11B8"/>
    <w:rsid w:val="000D145B"/>
    <w:rsid w:val="000D6016"/>
    <w:rsid w:val="000D7185"/>
    <w:rsid w:val="000D7428"/>
    <w:rsid w:val="000E1CED"/>
    <w:rsid w:val="000E24BD"/>
    <w:rsid w:val="000E29D1"/>
    <w:rsid w:val="000E5C12"/>
    <w:rsid w:val="000E635A"/>
    <w:rsid w:val="000E6F19"/>
    <w:rsid w:val="000F1B3B"/>
    <w:rsid w:val="000F1E3F"/>
    <w:rsid w:val="000F3DBC"/>
    <w:rsid w:val="000F48EC"/>
    <w:rsid w:val="000F5D8D"/>
    <w:rsid w:val="001017A9"/>
    <w:rsid w:val="00101F34"/>
    <w:rsid w:val="001030E1"/>
    <w:rsid w:val="001033D5"/>
    <w:rsid w:val="001039F7"/>
    <w:rsid w:val="00105409"/>
    <w:rsid w:val="00106AA3"/>
    <w:rsid w:val="00107DBD"/>
    <w:rsid w:val="00113666"/>
    <w:rsid w:val="001155C0"/>
    <w:rsid w:val="001163D1"/>
    <w:rsid w:val="001169FE"/>
    <w:rsid w:val="00116D19"/>
    <w:rsid w:val="00117513"/>
    <w:rsid w:val="001209CD"/>
    <w:rsid w:val="00121E78"/>
    <w:rsid w:val="001230AC"/>
    <w:rsid w:val="00123F4B"/>
    <w:rsid w:val="00124405"/>
    <w:rsid w:val="00124604"/>
    <w:rsid w:val="00125E59"/>
    <w:rsid w:val="001265C0"/>
    <w:rsid w:val="001275C5"/>
    <w:rsid w:val="001337B7"/>
    <w:rsid w:val="00133921"/>
    <w:rsid w:val="001344B3"/>
    <w:rsid w:val="00140A72"/>
    <w:rsid w:val="00140C93"/>
    <w:rsid w:val="00143536"/>
    <w:rsid w:val="00145B2F"/>
    <w:rsid w:val="001464B2"/>
    <w:rsid w:val="001477F6"/>
    <w:rsid w:val="00150440"/>
    <w:rsid w:val="0015116B"/>
    <w:rsid w:val="00151D1A"/>
    <w:rsid w:val="00151D8E"/>
    <w:rsid w:val="00152EA9"/>
    <w:rsid w:val="001570BC"/>
    <w:rsid w:val="001579BF"/>
    <w:rsid w:val="00157B82"/>
    <w:rsid w:val="00161AA0"/>
    <w:rsid w:val="00162EAC"/>
    <w:rsid w:val="00163742"/>
    <w:rsid w:val="0016613F"/>
    <w:rsid w:val="001662BC"/>
    <w:rsid w:val="0017072D"/>
    <w:rsid w:val="00170B60"/>
    <w:rsid w:val="00170C34"/>
    <w:rsid w:val="00171A2B"/>
    <w:rsid w:val="00172691"/>
    <w:rsid w:val="00172B59"/>
    <w:rsid w:val="00173B18"/>
    <w:rsid w:val="001752FF"/>
    <w:rsid w:val="00176FB2"/>
    <w:rsid w:val="00177152"/>
    <w:rsid w:val="001823EB"/>
    <w:rsid w:val="00184A64"/>
    <w:rsid w:val="0018716E"/>
    <w:rsid w:val="001873CB"/>
    <w:rsid w:val="00191B56"/>
    <w:rsid w:val="0019325D"/>
    <w:rsid w:val="00193945"/>
    <w:rsid w:val="001956FC"/>
    <w:rsid w:val="00196FE1"/>
    <w:rsid w:val="0019718A"/>
    <w:rsid w:val="001A1AE2"/>
    <w:rsid w:val="001A5561"/>
    <w:rsid w:val="001A5CC4"/>
    <w:rsid w:val="001A6B4F"/>
    <w:rsid w:val="001B2DD8"/>
    <w:rsid w:val="001B7130"/>
    <w:rsid w:val="001B7E00"/>
    <w:rsid w:val="001C0EF4"/>
    <w:rsid w:val="001C59E4"/>
    <w:rsid w:val="001C75CA"/>
    <w:rsid w:val="001D1D43"/>
    <w:rsid w:val="001E1587"/>
    <w:rsid w:val="001E27E5"/>
    <w:rsid w:val="001E2CAF"/>
    <w:rsid w:val="001E4D37"/>
    <w:rsid w:val="001F1400"/>
    <w:rsid w:val="001F5E0F"/>
    <w:rsid w:val="001F6078"/>
    <w:rsid w:val="001F7251"/>
    <w:rsid w:val="002010F9"/>
    <w:rsid w:val="002019A4"/>
    <w:rsid w:val="00204F82"/>
    <w:rsid w:val="0021081C"/>
    <w:rsid w:val="002119CD"/>
    <w:rsid w:val="002159C9"/>
    <w:rsid w:val="00217FB0"/>
    <w:rsid w:val="002218BC"/>
    <w:rsid w:val="00222089"/>
    <w:rsid w:val="00222BEA"/>
    <w:rsid w:val="00225439"/>
    <w:rsid w:val="00225F9B"/>
    <w:rsid w:val="00232061"/>
    <w:rsid w:val="00235945"/>
    <w:rsid w:val="00235CAB"/>
    <w:rsid w:val="0024028F"/>
    <w:rsid w:val="00245F97"/>
    <w:rsid w:val="00253EB9"/>
    <w:rsid w:val="002555BE"/>
    <w:rsid w:val="00255679"/>
    <w:rsid w:val="0025588A"/>
    <w:rsid w:val="00257B1C"/>
    <w:rsid w:val="002614EA"/>
    <w:rsid w:val="00265B0E"/>
    <w:rsid w:val="00277A85"/>
    <w:rsid w:val="00282C30"/>
    <w:rsid w:val="00282D7E"/>
    <w:rsid w:val="00284DF6"/>
    <w:rsid w:val="00286C02"/>
    <w:rsid w:val="00290445"/>
    <w:rsid w:val="00292044"/>
    <w:rsid w:val="00293811"/>
    <w:rsid w:val="002958FC"/>
    <w:rsid w:val="002A0F7A"/>
    <w:rsid w:val="002A151A"/>
    <w:rsid w:val="002A2687"/>
    <w:rsid w:val="002A5A65"/>
    <w:rsid w:val="002A5C23"/>
    <w:rsid w:val="002A686F"/>
    <w:rsid w:val="002A7318"/>
    <w:rsid w:val="002A7A19"/>
    <w:rsid w:val="002B3340"/>
    <w:rsid w:val="002B5772"/>
    <w:rsid w:val="002B6D1D"/>
    <w:rsid w:val="002C0551"/>
    <w:rsid w:val="002C257D"/>
    <w:rsid w:val="002C2774"/>
    <w:rsid w:val="002C32F9"/>
    <w:rsid w:val="002C381D"/>
    <w:rsid w:val="002C440C"/>
    <w:rsid w:val="002D4E9F"/>
    <w:rsid w:val="002D79A7"/>
    <w:rsid w:val="002E211E"/>
    <w:rsid w:val="002E3F68"/>
    <w:rsid w:val="002E4487"/>
    <w:rsid w:val="002E5C16"/>
    <w:rsid w:val="002E73E7"/>
    <w:rsid w:val="002F0816"/>
    <w:rsid w:val="002F0AA7"/>
    <w:rsid w:val="002F1427"/>
    <w:rsid w:val="002F1B28"/>
    <w:rsid w:val="002F2583"/>
    <w:rsid w:val="002F279A"/>
    <w:rsid w:val="002F2C1A"/>
    <w:rsid w:val="002F4F5B"/>
    <w:rsid w:val="002F68FE"/>
    <w:rsid w:val="00300DF8"/>
    <w:rsid w:val="00303156"/>
    <w:rsid w:val="00305D9D"/>
    <w:rsid w:val="00306A9B"/>
    <w:rsid w:val="00306ABD"/>
    <w:rsid w:val="003107AB"/>
    <w:rsid w:val="0031127A"/>
    <w:rsid w:val="00311A01"/>
    <w:rsid w:val="003154E8"/>
    <w:rsid w:val="00315C29"/>
    <w:rsid w:val="0031664C"/>
    <w:rsid w:val="00317226"/>
    <w:rsid w:val="00324997"/>
    <w:rsid w:val="003256B1"/>
    <w:rsid w:val="0032703F"/>
    <w:rsid w:val="00327870"/>
    <w:rsid w:val="00331545"/>
    <w:rsid w:val="003330E6"/>
    <w:rsid w:val="0033333E"/>
    <w:rsid w:val="003368C0"/>
    <w:rsid w:val="00343439"/>
    <w:rsid w:val="00343B53"/>
    <w:rsid w:val="003459E9"/>
    <w:rsid w:val="00346BA7"/>
    <w:rsid w:val="00354915"/>
    <w:rsid w:val="00361891"/>
    <w:rsid w:val="0036399C"/>
    <w:rsid w:val="003642C1"/>
    <w:rsid w:val="00364E30"/>
    <w:rsid w:val="00366614"/>
    <w:rsid w:val="00370378"/>
    <w:rsid w:val="00372031"/>
    <w:rsid w:val="003738C2"/>
    <w:rsid w:val="0038097F"/>
    <w:rsid w:val="00382525"/>
    <w:rsid w:val="00383594"/>
    <w:rsid w:val="003835F6"/>
    <w:rsid w:val="003847B9"/>
    <w:rsid w:val="00385E85"/>
    <w:rsid w:val="003873F5"/>
    <w:rsid w:val="0039118D"/>
    <w:rsid w:val="00391AC8"/>
    <w:rsid w:val="00392FB4"/>
    <w:rsid w:val="0039346C"/>
    <w:rsid w:val="0039429E"/>
    <w:rsid w:val="00394DFF"/>
    <w:rsid w:val="00395C05"/>
    <w:rsid w:val="003A0250"/>
    <w:rsid w:val="003A04CD"/>
    <w:rsid w:val="003A11AB"/>
    <w:rsid w:val="003A1F14"/>
    <w:rsid w:val="003A3974"/>
    <w:rsid w:val="003A45CE"/>
    <w:rsid w:val="003A5838"/>
    <w:rsid w:val="003A77DA"/>
    <w:rsid w:val="003B0BC2"/>
    <w:rsid w:val="003B37BB"/>
    <w:rsid w:val="003C36AC"/>
    <w:rsid w:val="003C513C"/>
    <w:rsid w:val="003C5401"/>
    <w:rsid w:val="003C68BF"/>
    <w:rsid w:val="003C7EF9"/>
    <w:rsid w:val="003D2B72"/>
    <w:rsid w:val="003D3B16"/>
    <w:rsid w:val="003D5516"/>
    <w:rsid w:val="003D68D5"/>
    <w:rsid w:val="003D7050"/>
    <w:rsid w:val="003E14CF"/>
    <w:rsid w:val="003E684C"/>
    <w:rsid w:val="003E7EF6"/>
    <w:rsid w:val="003F168A"/>
    <w:rsid w:val="003F1A16"/>
    <w:rsid w:val="003F4054"/>
    <w:rsid w:val="00403400"/>
    <w:rsid w:val="00405CDA"/>
    <w:rsid w:val="00407D59"/>
    <w:rsid w:val="00410320"/>
    <w:rsid w:val="00414372"/>
    <w:rsid w:val="0041466C"/>
    <w:rsid w:val="0041525E"/>
    <w:rsid w:val="00415939"/>
    <w:rsid w:val="00420742"/>
    <w:rsid w:val="004207B3"/>
    <w:rsid w:val="004207D8"/>
    <w:rsid w:val="00421005"/>
    <w:rsid w:val="00421FF2"/>
    <w:rsid w:val="00422F17"/>
    <w:rsid w:val="00424FFC"/>
    <w:rsid w:val="00431372"/>
    <w:rsid w:val="00433564"/>
    <w:rsid w:val="00436E6F"/>
    <w:rsid w:val="00436F14"/>
    <w:rsid w:val="00437CA3"/>
    <w:rsid w:val="00437CE6"/>
    <w:rsid w:val="00437FA7"/>
    <w:rsid w:val="0044027B"/>
    <w:rsid w:val="004408F8"/>
    <w:rsid w:val="0044648F"/>
    <w:rsid w:val="00446DA2"/>
    <w:rsid w:val="00453A34"/>
    <w:rsid w:val="0045511B"/>
    <w:rsid w:val="004576F2"/>
    <w:rsid w:val="00457843"/>
    <w:rsid w:val="00462002"/>
    <w:rsid w:val="0046212F"/>
    <w:rsid w:val="00462733"/>
    <w:rsid w:val="00463227"/>
    <w:rsid w:val="00463973"/>
    <w:rsid w:val="00465222"/>
    <w:rsid w:val="00466674"/>
    <w:rsid w:val="00471113"/>
    <w:rsid w:val="00471200"/>
    <w:rsid w:val="00472FF8"/>
    <w:rsid w:val="00473882"/>
    <w:rsid w:val="00475C57"/>
    <w:rsid w:val="00475F03"/>
    <w:rsid w:val="004804B3"/>
    <w:rsid w:val="00481D88"/>
    <w:rsid w:val="00481E06"/>
    <w:rsid w:val="004820E9"/>
    <w:rsid w:val="00483119"/>
    <w:rsid w:val="0048361F"/>
    <w:rsid w:val="004845D0"/>
    <w:rsid w:val="004852FF"/>
    <w:rsid w:val="00485D4F"/>
    <w:rsid w:val="004921C3"/>
    <w:rsid w:val="00492FDA"/>
    <w:rsid w:val="00494E73"/>
    <w:rsid w:val="004A2830"/>
    <w:rsid w:val="004B1542"/>
    <w:rsid w:val="004B28AE"/>
    <w:rsid w:val="004B514C"/>
    <w:rsid w:val="004B62BF"/>
    <w:rsid w:val="004B7D57"/>
    <w:rsid w:val="004C00D8"/>
    <w:rsid w:val="004C0549"/>
    <w:rsid w:val="004C1787"/>
    <w:rsid w:val="004C1CDC"/>
    <w:rsid w:val="004C3DAD"/>
    <w:rsid w:val="004C47CE"/>
    <w:rsid w:val="004C5923"/>
    <w:rsid w:val="004C6116"/>
    <w:rsid w:val="004C7C61"/>
    <w:rsid w:val="004D0DFD"/>
    <w:rsid w:val="004D1262"/>
    <w:rsid w:val="004D1FBE"/>
    <w:rsid w:val="004D4A86"/>
    <w:rsid w:val="004D7664"/>
    <w:rsid w:val="004E074F"/>
    <w:rsid w:val="004E6427"/>
    <w:rsid w:val="004E7625"/>
    <w:rsid w:val="004E7E43"/>
    <w:rsid w:val="004F1956"/>
    <w:rsid w:val="004F5FC6"/>
    <w:rsid w:val="004F69FA"/>
    <w:rsid w:val="00500B25"/>
    <w:rsid w:val="005037B2"/>
    <w:rsid w:val="0050455E"/>
    <w:rsid w:val="005047AD"/>
    <w:rsid w:val="00510B1D"/>
    <w:rsid w:val="0051107D"/>
    <w:rsid w:val="005110E7"/>
    <w:rsid w:val="00511167"/>
    <w:rsid w:val="005163F6"/>
    <w:rsid w:val="005266DA"/>
    <w:rsid w:val="00526C07"/>
    <w:rsid w:val="005273A6"/>
    <w:rsid w:val="00527533"/>
    <w:rsid w:val="00527E88"/>
    <w:rsid w:val="00531400"/>
    <w:rsid w:val="0053387C"/>
    <w:rsid w:val="00534F74"/>
    <w:rsid w:val="00535A22"/>
    <w:rsid w:val="00536789"/>
    <w:rsid w:val="00536D2F"/>
    <w:rsid w:val="00540052"/>
    <w:rsid w:val="00541080"/>
    <w:rsid w:val="0054146B"/>
    <w:rsid w:val="00543DB4"/>
    <w:rsid w:val="00543E08"/>
    <w:rsid w:val="005449AD"/>
    <w:rsid w:val="00545131"/>
    <w:rsid w:val="005505ED"/>
    <w:rsid w:val="00551D01"/>
    <w:rsid w:val="00556D20"/>
    <w:rsid w:val="00560871"/>
    <w:rsid w:val="005616F7"/>
    <w:rsid w:val="00564B04"/>
    <w:rsid w:val="00567EEF"/>
    <w:rsid w:val="00570524"/>
    <w:rsid w:val="00573059"/>
    <w:rsid w:val="00575F1E"/>
    <w:rsid w:val="0057621E"/>
    <w:rsid w:val="005779CB"/>
    <w:rsid w:val="00577B05"/>
    <w:rsid w:val="00580D6F"/>
    <w:rsid w:val="005812C6"/>
    <w:rsid w:val="0058382A"/>
    <w:rsid w:val="00586458"/>
    <w:rsid w:val="0059338F"/>
    <w:rsid w:val="005948FA"/>
    <w:rsid w:val="005959BE"/>
    <w:rsid w:val="00595C45"/>
    <w:rsid w:val="00596210"/>
    <w:rsid w:val="00596286"/>
    <w:rsid w:val="00596999"/>
    <w:rsid w:val="005A0F31"/>
    <w:rsid w:val="005A23FD"/>
    <w:rsid w:val="005A28A1"/>
    <w:rsid w:val="005A318A"/>
    <w:rsid w:val="005A46D0"/>
    <w:rsid w:val="005A6FB5"/>
    <w:rsid w:val="005B1605"/>
    <w:rsid w:val="005B25E4"/>
    <w:rsid w:val="005B30C8"/>
    <w:rsid w:val="005B4AD8"/>
    <w:rsid w:val="005B677F"/>
    <w:rsid w:val="005B7778"/>
    <w:rsid w:val="005C051F"/>
    <w:rsid w:val="005C434C"/>
    <w:rsid w:val="005C54DC"/>
    <w:rsid w:val="005C6E7B"/>
    <w:rsid w:val="005C762E"/>
    <w:rsid w:val="005D098C"/>
    <w:rsid w:val="005D311B"/>
    <w:rsid w:val="005D3FD9"/>
    <w:rsid w:val="005D6FE2"/>
    <w:rsid w:val="005E2139"/>
    <w:rsid w:val="005E46BB"/>
    <w:rsid w:val="005E7605"/>
    <w:rsid w:val="006001CC"/>
    <w:rsid w:val="00602B4D"/>
    <w:rsid w:val="00603C94"/>
    <w:rsid w:val="00603DDB"/>
    <w:rsid w:val="006048E0"/>
    <w:rsid w:val="00604FAD"/>
    <w:rsid w:val="0060662A"/>
    <w:rsid w:val="00612789"/>
    <w:rsid w:val="00613D24"/>
    <w:rsid w:val="00614BDA"/>
    <w:rsid w:val="00621AFB"/>
    <w:rsid w:val="00621F5B"/>
    <w:rsid w:val="006251F9"/>
    <w:rsid w:val="0062589A"/>
    <w:rsid w:val="00627A21"/>
    <w:rsid w:val="006301C1"/>
    <w:rsid w:val="006307C7"/>
    <w:rsid w:val="00632B82"/>
    <w:rsid w:val="006331B4"/>
    <w:rsid w:val="00633FC3"/>
    <w:rsid w:val="006343F3"/>
    <w:rsid w:val="00634F9F"/>
    <w:rsid w:val="00635D1E"/>
    <w:rsid w:val="00640CF2"/>
    <w:rsid w:val="006417D6"/>
    <w:rsid w:val="006424CA"/>
    <w:rsid w:val="00642906"/>
    <w:rsid w:val="00643582"/>
    <w:rsid w:val="00643B75"/>
    <w:rsid w:val="006457EF"/>
    <w:rsid w:val="00647601"/>
    <w:rsid w:val="006501A0"/>
    <w:rsid w:val="00650F96"/>
    <w:rsid w:val="006512B7"/>
    <w:rsid w:val="00651842"/>
    <w:rsid w:val="00651C22"/>
    <w:rsid w:val="00653238"/>
    <w:rsid w:val="00655679"/>
    <w:rsid w:val="00655B4D"/>
    <w:rsid w:val="00655ED5"/>
    <w:rsid w:val="00665734"/>
    <w:rsid w:val="00671977"/>
    <w:rsid w:val="00671D80"/>
    <w:rsid w:val="00672EFB"/>
    <w:rsid w:val="006739CF"/>
    <w:rsid w:val="00673DD5"/>
    <w:rsid w:val="0067550E"/>
    <w:rsid w:val="0067752C"/>
    <w:rsid w:val="006776A2"/>
    <w:rsid w:val="00677C44"/>
    <w:rsid w:val="006801A6"/>
    <w:rsid w:val="0068124B"/>
    <w:rsid w:val="00681610"/>
    <w:rsid w:val="00684AD6"/>
    <w:rsid w:val="00685D36"/>
    <w:rsid w:val="006865F6"/>
    <w:rsid w:val="00687304"/>
    <w:rsid w:val="006877E9"/>
    <w:rsid w:val="00690F13"/>
    <w:rsid w:val="00692C71"/>
    <w:rsid w:val="006931A0"/>
    <w:rsid w:val="006935BC"/>
    <w:rsid w:val="00696E55"/>
    <w:rsid w:val="006A0B0E"/>
    <w:rsid w:val="006A1F4B"/>
    <w:rsid w:val="006A3A9C"/>
    <w:rsid w:val="006A3CC5"/>
    <w:rsid w:val="006A721F"/>
    <w:rsid w:val="006A7CCF"/>
    <w:rsid w:val="006B0581"/>
    <w:rsid w:val="006B0F36"/>
    <w:rsid w:val="006B2637"/>
    <w:rsid w:val="006B3091"/>
    <w:rsid w:val="006B30FD"/>
    <w:rsid w:val="006B4254"/>
    <w:rsid w:val="006B5CB4"/>
    <w:rsid w:val="006B6DCF"/>
    <w:rsid w:val="006B791B"/>
    <w:rsid w:val="006C43F7"/>
    <w:rsid w:val="006C4570"/>
    <w:rsid w:val="006C4793"/>
    <w:rsid w:val="006D0FF2"/>
    <w:rsid w:val="006D36FB"/>
    <w:rsid w:val="006D42ED"/>
    <w:rsid w:val="006D4D1A"/>
    <w:rsid w:val="006D54E9"/>
    <w:rsid w:val="006D73F1"/>
    <w:rsid w:val="006E017A"/>
    <w:rsid w:val="006E2A29"/>
    <w:rsid w:val="006E3514"/>
    <w:rsid w:val="006E4476"/>
    <w:rsid w:val="006E4E92"/>
    <w:rsid w:val="006E7421"/>
    <w:rsid w:val="006E7647"/>
    <w:rsid w:val="006F162C"/>
    <w:rsid w:val="006F1DA8"/>
    <w:rsid w:val="006F22E9"/>
    <w:rsid w:val="006F4CFA"/>
    <w:rsid w:val="006F5310"/>
    <w:rsid w:val="006F5579"/>
    <w:rsid w:val="006F696E"/>
    <w:rsid w:val="006F6B91"/>
    <w:rsid w:val="00703E2A"/>
    <w:rsid w:val="007040CB"/>
    <w:rsid w:val="0070523B"/>
    <w:rsid w:val="00707D16"/>
    <w:rsid w:val="00715E8A"/>
    <w:rsid w:val="00715EEE"/>
    <w:rsid w:val="00716ADD"/>
    <w:rsid w:val="00717226"/>
    <w:rsid w:val="00720FDD"/>
    <w:rsid w:val="00722883"/>
    <w:rsid w:val="00722C83"/>
    <w:rsid w:val="00723AF0"/>
    <w:rsid w:val="00727911"/>
    <w:rsid w:val="0073007E"/>
    <w:rsid w:val="007311E2"/>
    <w:rsid w:val="00732519"/>
    <w:rsid w:val="0073365B"/>
    <w:rsid w:val="0073391A"/>
    <w:rsid w:val="00734F5A"/>
    <w:rsid w:val="0073579D"/>
    <w:rsid w:val="00736D97"/>
    <w:rsid w:val="00737CEF"/>
    <w:rsid w:val="00737DDA"/>
    <w:rsid w:val="00745206"/>
    <w:rsid w:val="00746B57"/>
    <w:rsid w:val="00747D90"/>
    <w:rsid w:val="007501B9"/>
    <w:rsid w:val="00751CB9"/>
    <w:rsid w:val="007545A6"/>
    <w:rsid w:val="0075624F"/>
    <w:rsid w:val="00756580"/>
    <w:rsid w:val="00756D96"/>
    <w:rsid w:val="007620C2"/>
    <w:rsid w:val="00763604"/>
    <w:rsid w:val="00763641"/>
    <w:rsid w:val="007668BA"/>
    <w:rsid w:val="00766A45"/>
    <w:rsid w:val="00770596"/>
    <w:rsid w:val="0077277D"/>
    <w:rsid w:val="007747D4"/>
    <w:rsid w:val="00774963"/>
    <w:rsid w:val="0078171B"/>
    <w:rsid w:val="00781B7F"/>
    <w:rsid w:val="00782DCB"/>
    <w:rsid w:val="00784156"/>
    <w:rsid w:val="00791280"/>
    <w:rsid w:val="007933B3"/>
    <w:rsid w:val="00794D72"/>
    <w:rsid w:val="007A048E"/>
    <w:rsid w:val="007A19AF"/>
    <w:rsid w:val="007A1E9D"/>
    <w:rsid w:val="007A2801"/>
    <w:rsid w:val="007A4EEE"/>
    <w:rsid w:val="007A5E05"/>
    <w:rsid w:val="007A6DAA"/>
    <w:rsid w:val="007A7EC8"/>
    <w:rsid w:val="007B032C"/>
    <w:rsid w:val="007B04D7"/>
    <w:rsid w:val="007B1AF8"/>
    <w:rsid w:val="007B2A16"/>
    <w:rsid w:val="007B4B3F"/>
    <w:rsid w:val="007B5C0A"/>
    <w:rsid w:val="007B6972"/>
    <w:rsid w:val="007B787D"/>
    <w:rsid w:val="007B7B7B"/>
    <w:rsid w:val="007C021C"/>
    <w:rsid w:val="007C2963"/>
    <w:rsid w:val="007C3165"/>
    <w:rsid w:val="007C58D6"/>
    <w:rsid w:val="007C63C5"/>
    <w:rsid w:val="007C732D"/>
    <w:rsid w:val="007D1008"/>
    <w:rsid w:val="007D5B27"/>
    <w:rsid w:val="007D5C80"/>
    <w:rsid w:val="007D62AE"/>
    <w:rsid w:val="007E013D"/>
    <w:rsid w:val="007E2754"/>
    <w:rsid w:val="007E3DE6"/>
    <w:rsid w:val="007E4ACF"/>
    <w:rsid w:val="007E5818"/>
    <w:rsid w:val="007E61A7"/>
    <w:rsid w:val="007E65D7"/>
    <w:rsid w:val="007E7905"/>
    <w:rsid w:val="007F227E"/>
    <w:rsid w:val="0080089C"/>
    <w:rsid w:val="00803318"/>
    <w:rsid w:val="00803456"/>
    <w:rsid w:val="0080390A"/>
    <w:rsid w:val="00811BBD"/>
    <w:rsid w:val="0081211C"/>
    <w:rsid w:val="00812976"/>
    <w:rsid w:val="00814DEF"/>
    <w:rsid w:val="0082239E"/>
    <w:rsid w:val="00825A87"/>
    <w:rsid w:val="00831B9B"/>
    <w:rsid w:val="00835008"/>
    <w:rsid w:val="00842A7E"/>
    <w:rsid w:val="00844D3D"/>
    <w:rsid w:val="0084532E"/>
    <w:rsid w:val="00845810"/>
    <w:rsid w:val="00845F3C"/>
    <w:rsid w:val="00846159"/>
    <w:rsid w:val="00846748"/>
    <w:rsid w:val="008505C3"/>
    <w:rsid w:val="00851677"/>
    <w:rsid w:val="008522C6"/>
    <w:rsid w:val="00852E40"/>
    <w:rsid w:val="00857A90"/>
    <w:rsid w:val="00857CDD"/>
    <w:rsid w:val="00860EA8"/>
    <w:rsid w:val="0086462E"/>
    <w:rsid w:val="0086472B"/>
    <w:rsid w:val="00866CC6"/>
    <w:rsid w:val="00870C41"/>
    <w:rsid w:val="0087368E"/>
    <w:rsid w:val="008802D9"/>
    <w:rsid w:val="00880B98"/>
    <w:rsid w:val="00881A2B"/>
    <w:rsid w:val="00881F26"/>
    <w:rsid w:val="008838A1"/>
    <w:rsid w:val="00883D87"/>
    <w:rsid w:val="0088685E"/>
    <w:rsid w:val="0088689E"/>
    <w:rsid w:val="00891794"/>
    <w:rsid w:val="00891929"/>
    <w:rsid w:val="00893176"/>
    <w:rsid w:val="008932EE"/>
    <w:rsid w:val="008945E1"/>
    <w:rsid w:val="00895446"/>
    <w:rsid w:val="008962B9"/>
    <w:rsid w:val="00896E94"/>
    <w:rsid w:val="008A05E4"/>
    <w:rsid w:val="008A2098"/>
    <w:rsid w:val="008A32D1"/>
    <w:rsid w:val="008A5A72"/>
    <w:rsid w:val="008A64D3"/>
    <w:rsid w:val="008B03D8"/>
    <w:rsid w:val="008B4290"/>
    <w:rsid w:val="008B61CD"/>
    <w:rsid w:val="008C4A61"/>
    <w:rsid w:val="008C4CB3"/>
    <w:rsid w:val="008C4F0F"/>
    <w:rsid w:val="008C6CFD"/>
    <w:rsid w:val="008C7D07"/>
    <w:rsid w:val="008C7F38"/>
    <w:rsid w:val="008D2290"/>
    <w:rsid w:val="008D3B9E"/>
    <w:rsid w:val="008D55C9"/>
    <w:rsid w:val="008E1A4C"/>
    <w:rsid w:val="008E5986"/>
    <w:rsid w:val="008E7460"/>
    <w:rsid w:val="008E7585"/>
    <w:rsid w:val="008F2E5C"/>
    <w:rsid w:val="008F646F"/>
    <w:rsid w:val="0090005E"/>
    <w:rsid w:val="0090013C"/>
    <w:rsid w:val="0090431B"/>
    <w:rsid w:val="00906982"/>
    <w:rsid w:val="009076D0"/>
    <w:rsid w:val="009147F6"/>
    <w:rsid w:val="00914F38"/>
    <w:rsid w:val="00916533"/>
    <w:rsid w:val="0091776B"/>
    <w:rsid w:val="00917E6F"/>
    <w:rsid w:val="00920396"/>
    <w:rsid w:val="0092657D"/>
    <w:rsid w:val="00926E13"/>
    <w:rsid w:val="00930FAC"/>
    <w:rsid w:val="00931E1D"/>
    <w:rsid w:val="00932829"/>
    <w:rsid w:val="00932B67"/>
    <w:rsid w:val="00935018"/>
    <w:rsid w:val="0093671F"/>
    <w:rsid w:val="00937D0C"/>
    <w:rsid w:val="00937F0D"/>
    <w:rsid w:val="00941D1F"/>
    <w:rsid w:val="0094366C"/>
    <w:rsid w:val="00943AFC"/>
    <w:rsid w:val="0094666B"/>
    <w:rsid w:val="009479C0"/>
    <w:rsid w:val="00950914"/>
    <w:rsid w:val="00950C51"/>
    <w:rsid w:val="009517EF"/>
    <w:rsid w:val="00951973"/>
    <w:rsid w:val="00951A1B"/>
    <w:rsid w:val="0095252E"/>
    <w:rsid w:val="00952591"/>
    <w:rsid w:val="00952C90"/>
    <w:rsid w:val="00953ADF"/>
    <w:rsid w:val="00953B55"/>
    <w:rsid w:val="009555D3"/>
    <w:rsid w:val="0095579B"/>
    <w:rsid w:val="00957E73"/>
    <w:rsid w:val="0096135C"/>
    <w:rsid w:val="009627AD"/>
    <w:rsid w:val="00964B86"/>
    <w:rsid w:val="009718F3"/>
    <w:rsid w:val="00972127"/>
    <w:rsid w:val="009746D7"/>
    <w:rsid w:val="00975656"/>
    <w:rsid w:val="00977C50"/>
    <w:rsid w:val="009802C8"/>
    <w:rsid w:val="009808B4"/>
    <w:rsid w:val="00983391"/>
    <w:rsid w:val="00984821"/>
    <w:rsid w:val="00985C44"/>
    <w:rsid w:val="00992A22"/>
    <w:rsid w:val="00993293"/>
    <w:rsid w:val="009961A7"/>
    <w:rsid w:val="0099716A"/>
    <w:rsid w:val="009A0593"/>
    <w:rsid w:val="009A0607"/>
    <w:rsid w:val="009A09BE"/>
    <w:rsid w:val="009A2797"/>
    <w:rsid w:val="009A2C14"/>
    <w:rsid w:val="009A3D97"/>
    <w:rsid w:val="009A3ED6"/>
    <w:rsid w:val="009A598B"/>
    <w:rsid w:val="009A698B"/>
    <w:rsid w:val="009B2D86"/>
    <w:rsid w:val="009B3F94"/>
    <w:rsid w:val="009B50CD"/>
    <w:rsid w:val="009B5E70"/>
    <w:rsid w:val="009B621A"/>
    <w:rsid w:val="009B672F"/>
    <w:rsid w:val="009B6EAB"/>
    <w:rsid w:val="009B718D"/>
    <w:rsid w:val="009C0BCC"/>
    <w:rsid w:val="009C2378"/>
    <w:rsid w:val="009C3FA3"/>
    <w:rsid w:val="009C45D9"/>
    <w:rsid w:val="009C6530"/>
    <w:rsid w:val="009C6F32"/>
    <w:rsid w:val="009D2BEF"/>
    <w:rsid w:val="009D358E"/>
    <w:rsid w:val="009D3EBB"/>
    <w:rsid w:val="009D7187"/>
    <w:rsid w:val="009D783B"/>
    <w:rsid w:val="009E01DD"/>
    <w:rsid w:val="009E3813"/>
    <w:rsid w:val="009E547A"/>
    <w:rsid w:val="009E74DB"/>
    <w:rsid w:val="009F30C8"/>
    <w:rsid w:val="009F357D"/>
    <w:rsid w:val="009F4054"/>
    <w:rsid w:val="009F58D8"/>
    <w:rsid w:val="009F6083"/>
    <w:rsid w:val="00A02F7D"/>
    <w:rsid w:val="00A03791"/>
    <w:rsid w:val="00A06657"/>
    <w:rsid w:val="00A1100C"/>
    <w:rsid w:val="00A12DA0"/>
    <w:rsid w:val="00A165AC"/>
    <w:rsid w:val="00A16DFA"/>
    <w:rsid w:val="00A17C0A"/>
    <w:rsid w:val="00A220DF"/>
    <w:rsid w:val="00A22FA7"/>
    <w:rsid w:val="00A238D0"/>
    <w:rsid w:val="00A33919"/>
    <w:rsid w:val="00A346B2"/>
    <w:rsid w:val="00A3601F"/>
    <w:rsid w:val="00A36968"/>
    <w:rsid w:val="00A36EC5"/>
    <w:rsid w:val="00A41149"/>
    <w:rsid w:val="00A44745"/>
    <w:rsid w:val="00A44F15"/>
    <w:rsid w:val="00A47B7B"/>
    <w:rsid w:val="00A50621"/>
    <w:rsid w:val="00A54175"/>
    <w:rsid w:val="00A56809"/>
    <w:rsid w:val="00A60D9A"/>
    <w:rsid w:val="00A61938"/>
    <w:rsid w:val="00A63A07"/>
    <w:rsid w:val="00A654A2"/>
    <w:rsid w:val="00A67183"/>
    <w:rsid w:val="00A70079"/>
    <w:rsid w:val="00A76391"/>
    <w:rsid w:val="00A76452"/>
    <w:rsid w:val="00A83F5F"/>
    <w:rsid w:val="00A84DF8"/>
    <w:rsid w:val="00A86D3D"/>
    <w:rsid w:val="00A9013E"/>
    <w:rsid w:val="00A915F3"/>
    <w:rsid w:val="00A94B17"/>
    <w:rsid w:val="00A94F1F"/>
    <w:rsid w:val="00A95265"/>
    <w:rsid w:val="00A95347"/>
    <w:rsid w:val="00A9570B"/>
    <w:rsid w:val="00A97989"/>
    <w:rsid w:val="00AA0A92"/>
    <w:rsid w:val="00AA349C"/>
    <w:rsid w:val="00AA471D"/>
    <w:rsid w:val="00AA4B1C"/>
    <w:rsid w:val="00AA6188"/>
    <w:rsid w:val="00AA7E33"/>
    <w:rsid w:val="00AB1558"/>
    <w:rsid w:val="00AB265E"/>
    <w:rsid w:val="00AB2773"/>
    <w:rsid w:val="00AB2948"/>
    <w:rsid w:val="00AB39FA"/>
    <w:rsid w:val="00AB3B30"/>
    <w:rsid w:val="00AB426C"/>
    <w:rsid w:val="00AB451C"/>
    <w:rsid w:val="00AB59F2"/>
    <w:rsid w:val="00AC2968"/>
    <w:rsid w:val="00AC3152"/>
    <w:rsid w:val="00AC3286"/>
    <w:rsid w:val="00AC3E62"/>
    <w:rsid w:val="00AC5620"/>
    <w:rsid w:val="00AC5AF9"/>
    <w:rsid w:val="00AC6192"/>
    <w:rsid w:val="00AC7F31"/>
    <w:rsid w:val="00AD2F03"/>
    <w:rsid w:val="00AD53E6"/>
    <w:rsid w:val="00AD57FE"/>
    <w:rsid w:val="00AD5D97"/>
    <w:rsid w:val="00AD6933"/>
    <w:rsid w:val="00AD6B7B"/>
    <w:rsid w:val="00AD7CAB"/>
    <w:rsid w:val="00AE0A9A"/>
    <w:rsid w:val="00AE0D6A"/>
    <w:rsid w:val="00AE0EE1"/>
    <w:rsid w:val="00AE10BE"/>
    <w:rsid w:val="00AE16C9"/>
    <w:rsid w:val="00AE3EF5"/>
    <w:rsid w:val="00AE4DE2"/>
    <w:rsid w:val="00AE4F2A"/>
    <w:rsid w:val="00AE5F33"/>
    <w:rsid w:val="00AF0AD5"/>
    <w:rsid w:val="00AF15E6"/>
    <w:rsid w:val="00AF51E7"/>
    <w:rsid w:val="00AF6744"/>
    <w:rsid w:val="00B00106"/>
    <w:rsid w:val="00B03CC9"/>
    <w:rsid w:val="00B04802"/>
    <w:rsid w:val="00B05620"/>
    <w:rsid w:val="00B063C8"/>
    <w:rsid w:val="00B0769A"/>
    <w:rsid w:val="00B12E05"/>
    <w:rsid w:val="00B12EBE"/>
    <w:rsid w:val="00B16431"/>
    <w:rsid w:val="00B166A4"/>
    <w:rsid w:val="00B20BA6"/>
    <w:rsid w:val="00B20E14"/>
    <w:rsid w:val="00B219B7"/>
    <w:rsid w:val="00B25038"/>
    <w:rsid w:val="00B27FF1"/>
    <w:rsid w:val="00B3159A"/>
    <w:rsid w:val="00B33465"/>
    <w:rsid w:val="00B35C09"/>
    <w:rsid w:val="00B36932"/>
    <w:rsid w:val="00B379C5"/>
    <w:rsid w:val="00B4019C"/>
    <w:rsid w:val="00B40B08"/>
    <w:rsid w:val="00B4183F"/>
    <w:rsid w:val="00B42198"/>
    <w:rsid w:val="00B42F1E"/>
    <w:rsid w:val="00B46AD2"/>
    <w:rsid w:val="00B46B9B"/>
    <w:rsid w:val="00B64BBE"/>
    <w:rsid w:val="00B65FE5"/>
    <w:rsid w:val="00B67DE1"/>
    <w:rsid w:val="00B70CC6"/>
    <w:rsid w:val="00B73894"/>
    <w:rsid w:val="00B73B47"/>
    <w:rsid w:val="00B73E4B"/>
    <w:rsid w:val="00B775CC"/>
    <w:rsid w:val="00B776B5"/>
    <w:rsid w:val="00B8193F"/>
    <w:rsid w:val="00B82A82"/>
    <w:rsid w:val="00B82FDF"/>
    <w:rsid w:val="00B8464A"/>
    <w:rsid w:val="00B8473D"/>
    <w:rsid w:val="00B86239"/>
    <w:rsid w:val="00B86383"/>
    <w:rsid w:val="00B87C08"/>
    <w:rsid w:val="00B90410"/>
    <w:rsid w:val="00B90E10"/>
    <w:rsid w:val="00B92958"/>
    <w:rsid w:val="00B93D05"/>
    <w:rsid w:val="00B964CA"/>
    <w:rsid w:val="00B969D7"/>
    <w:rsid w:val="00BA1740"/>
    <w:rsid w:val="00BA31C4"/>
    <w:rsid w:val="00BA4655"/>
    <w:rsid w:val="00BA5DB2"/>
    <w:rsid w:val="00BA78B6"/>
    <w:rsid w:val="00BA7935"/>
    <w:rsid w:val="00BB047B"/>
    <w:rsid w:val="00BB19B6"/>
    <w:rsid w:val="00BB4818"/>
    <w:rsid w:val="00BB4AF3"/>
    <w:rsid w:val="00BB5875"/>
    <w:rsid w:val="00BB6398"/>
    <w:rsid w:val="00BC1962"/>
    <w:rsid w:val="00BC25EF"/>
    <w:rsid w:val="00BC2DAF"/>
    <w:rsid w:val="00BC365C"/>
    <w:rsid w:val="00BC4FD3"/>
    <w:rsid w:val="00BC6827"/>
    <w:rsid w:val="00BC6C7A"/>
    <w:rsid w:val="00BC7D9E"/>
    <w:rsid w:val="00BD0372"/>
    <w:rsid w:val="00BD44F5"/>
    <w:rsid w:val="00BD5123"/>
    <w:rsid w:val="00BE2B18"/>
    <w:rsid w:val="00BE4340"/>
    <w:rsid w:val="00BE5C41"/>
    <w:rsid w:val="00BF0646"/>
    <w:rsid w:val="00BF1C32"/>
    <w:rsid w:val="00BF5380"/>
    <w:rsid w:val="00BF76A6"/>
    <w:rsid w:val="00C0068D"/>
    <w:rsid w:val="00C01241"/>
    <w:rsid w:val="00C01F23"/>
    <w:rsid w:val="00C02D35"/>
    <w:rsid w:val="00C044BE"/>
    <w:rsid w:val="00C04A77"/>
    <w:rsid w:val="00C04BAB"/>
    <w:rsid w:val="00C0607B"/>
    <w:rsid w:val="00C06DEF"/>
    <w:rsid w:val="00C075A2"/>
    <w:rsid w:val="00C107CB"/>
    <w:rsid w:val="00C10D5A"/>
    <w:rsid w:val="00C118C4"/>
    <w:rsid w:val="00C11F58"/>
    <w:rsid w:val="00C120D7"/>
    <w:rsid w:val="00C132D1"/>
    <w:rsid w:val="00C139CA"/>
    <w:rsid w:val="00C13A7D"/>
    <w:rsid w:val="00C220BD"/>
    <w:rsid w:val="00C241A8"/>
    <w:rsid w:val="00C24ABA"/>
    <w:rsid w:val="00C250B2"/>
    <w:rsid w:val="00C264CB"/>
    <w:rsid w:val="00C31253"/>
    <w:rsid w:val="00C33BBD"/>
    <w:rsid w:val="00C35129"/>
    <w:rsid w:val="00C41197"/>
    <w:rsid w:val="00C419DB"/>
    <w:rsid w:val="00C476F1"/>
    <w:rsid w:val="00C51429"/>
    <w:rsid w:val="00C51E8F"/>
    <w:rsid w:val="00C5256C"/>
    <w:rsid w:val="00C52CE9"/>
    <w:rsid w:val="00C52FC0"/>
    <w:rsid w:val="00C53F9E"/>
    <w:rsid w:val="00C559E9"/>
    <w:rsid w:val="00C608C1"/>
    <w:rsid w:val="00C61360"/>
    <w:rsid w:val="00C63D4E"/>
    <w:rsid w:val="00C63EA9"/>
    <w:rsid w:val="00C665A0"/>
    <w:rsid w:val="00C67284"/>
    <w:rsid w:val="00C67725"/>
    <w:rsid w:val="00C700F3"/>
    <w:rsid w:val="00C7092F"/>
    <w:rsid w:val="00C754B8"/>
    <w:rsid w:val="00C76DDA"/>
    <w:rsid w:val="00C807B3"/>
    <w:rsid w:val="00C825C9"/>
    <w:rsid w:val="00C848E6"/>
    <w:rsid w:val="00C86CC3"/>
    <w:rsid w:val="00C86E37"/>
    <w:rsid w:val="00C901B1"/>
    <w:rsid w:val="00C90EBC"/>
    <w:rsid w:val="00C91B69"/>
    <w:rsid w:val="00CA3856"/>
    <w:rsid w:val="00CA5A3F"/>
    <w:rsid w:val="00CA67E0"/>
    <w:rsid w:val="00CB0122"/>
    <w:rsid w:val="00CB0269"/>
    <w:rsid w:val="00CB0833"/>
    <w:rsid w:val="00CB18F5"/>
    <w:rsid w:val="00CB6FFB"/>
    <w:rsid w:val="00CC008E"/>
    <w:rsid w:val="00CC02ED"/>
    <w:rsid w:val="00CC63EB"/>
    <w:rsid w:val="00CD022A"/>
    <w:rsid w:val="00CD03BE"/>
    <w:rsid w:val="00CD0707"/>
    <w:rsid w:val="00CD1A25"/>
    <w:rsid w:val="00CD2E16"/>
    <w:rsid w:val="00CD65E7"/>
    <w:rsid w:val="00CD7BFC"/>
    <w:rsid w:val="00CE2B13"/>
    <w:rsid w:val="00CE2B95"/>
    <w:rsid w:val="00CE2F1A"/>
    <w:rsid w:val="00CE76E9"/>
    <w:rsid w:val="00CF1A11"/>
    <w:rsid w:val="00CF27CA"/>
    <w:rsid w:val="00CF30FC"/>
    <w:rsid w:val="00CF4286"/>
    <w:rsid w:val="00CF5CB2"/>
    <w:rsid w:val="00D0008E"/>
    <w:rsid w:val="00D019BA"/>
    <w:rsid w:val="00D01B9F"/>
    <w:rsid w:val="00D03B38"/>
    <w:rsid w:val="00D03E6D"/>
    <w:rsid w:val="00D03F87"/>
    <w:rsid w:val="00D04CD4"/>
    <w:rsid w:val="00D07174"/>
    <w:rsid w:val="00D07AD5"/>
    <w:rsid w:val="00D12095"/>
    <w:rsid w:val="00D1452F"/>
    <w:rsid w:val="00D1453D"/>
    <w:rsid w:val="00D2191B"/>
    <w:rsid w:val="00D21AEC"/>
    <w:rsid w:val="00D22D06"/>
    <w:rsid w:val="00D24772"/>
    <w:rsid w:val="00D24AAE"/>
    <w:rsid w:val="00D2626E"/>
    <w:rsid w:val="00D26E91"/>
    <w:rsid w:val="00D272A6"/>
    <w:rsid w:val="00D3441D"/>
    <w:rsid w:val="00D355C4"/>
    <w:rsid w:val="00D3612A"/>
    <w:rsid w:val="00D37703"/>
    <w:rsid w:val="00D37DBF"/>
    <w:rsid w:val="00D37F25"/>
    <w:rsid w:val="00D42F4F"/>
    <w:rsid w:val="00D44141"/>
    <w:rsid w:val="00D45933"/>
    <w:rsid w:val="00D46064"/>
    <w:rsid w:val="00D56A53"/>
    <w:rsid w:val="00D6324F"/>
    <w:rsid w:val="00D63458"/>
    <w:rsid w:val="00D66116"/>
    <w:rsid w:val="00D66D37"/>
    <w:rsid w:val="00D70B8E"/>
    <w:rsid w:val="00D7359D"/>
    <w:rsid w:val="00D750CC"/>
    <w:rsid w:val="00D758DC"/>
    <w:rsid w:val="00D84369"/>
    <w:rsid w:val="00D84C8F"/>
    <w:rsid w:val="00D85089"/>
    <w:rsid w:val="00D873AD"/>
    <w:rsid w:val="00D90BEE"/>
    <w:rsid w:val="00D91AAC"/>
    <w:rsid w:val="00D91C06"/>
    <w:rsid w:val="00D91C9F"/>
    <w:rsid w:val="00D93FD1"/>
    <w:rsid w:val="00DA08F5"/>
    <w:rsid w:val="00DA0D48"/>
    <w:rsid w:val="00DA2ADC"/>
    <w:rsid w:val="00DA2D26"/>
    <w:rsid w:val="00DA69E2"/>
    <w:rsid w:val="00DA7F5D"/>
    <w:rsid w:val="00DB01E2"/>
    <w:rsid w:val="00DB0764"/>
    <w:rsid w:val="00DB3506"/>
    <w:rsid w:val="00DB7A9A"/>
    <w:rsid w:val="00DC3177"/>
    <w:rsid w:val="00DC3276"/>
    <w:rsid w:val="00DD0854"/>
    <w:rsid w:val="00DD13AB"/>
    <w:rsid w:val="00DD2841"/>
    <w:rsid w:val="00DD323F"/>
    <w:rsid w:val="00DD37D8"/>
    <w:rsid w:val="00DD3BCC"/>
    <w:rsid w:val="00DD4EB5"/>
    <w:rsid w:val="00DD5902"/>
    <w:rsid w:val="00DE01A4"/>
    <w:rsid w:val="00DE0E94"/>
    <w:rsid w:val="00DE3E40"/>
    <w:rsid w:val="00DE4597"/>
    <w:rsid w:val="00DE643F"/>
    <w:rsid w:val="00DE71CA"/>
    <w:rsid w:val="00DF2891"/>
    <w:rsid w:val="00DF6840"/>
    <w:rsid w:val="00E010AB"/>
    <w:rsid w:val="00E015AD"/>
    <w:rsid w:val="00E0233F"/>
    <w:rsid w:val="00E02678"/>
    <w:rsid w:val="00E050EC"/>
    <w:rsid w:val="00E06262"/>
    <w:rsid w:val="00E0677C"/>
    <w:rsid w:val="00E0748A"/>
    <w:rsid w:val="00E128A9"/>
    <w:rsid w:val="00E13DEE"/>
    <w:rsid w:val="00E14328"/>
    <w:rsid w:val="00E143DA"/>
    <w:rsid w:val="00E14BA3"/>
    <w:rsid w:val="00E16744"/>
    <w:rsid w:val="00E23882"/>
    <w:rsid w:val="00E24784"/>
    <w:rsid w:val="00E24CDE"/>
    <w:rsid w:val="00E25953"/>
    <w:rsid w:val="00E26114"/>
    <w:rsid w:val="00E27F5A"/>
    <w:rsid w:val="00E31154"/>
    <w:rsid w:val="00E325E4"/>
    <w:rsid w:val="00E32BEA"/>
    <w:rsid w:val="00E32F5B"/>
    <w:rsid w:val="00E34861"/>
    <w:rsid w:val="00E365E0"/>
    <w:rsid w:val="00E3681F"/>
    <w:rsid w:val="00E3799F"/>
    <w:rsid w:val="00E37CEC"/>
    <w:rsid w:val="00E37DA2"/>
    <w:rsid w:val="00E4121B"/>
    <w:rsid w:val="00E42FA4"/>
    <w:rsid w:val="00E43ACF"/>
    <w:rsid w:val="00E43B5E"/>
    <w:rsid w:val="00E45864"/>
    <w:rsid w:val="00E4622C"/>
    <w:rsid w:val="00E47F40"/>
    <w:rsid w:val="00E51FFB"/>
    <w:rsid w:val="00E52DD3"/>
    <w:rsid w:val="00E5471E"/>
    <w:rsid w:val="00E55192"/>
    <w:rsid w:val="00E558A4"/>
    <w:rsid w:val="00E576D9"/>
    <w:rsid w:val="00E60096"/>
    <w:rsid w:val="00E63D59"/>
    <w:rsid w:val="00E64FC1"/>
    <w:rsid w:val="00E65C76"/>
    <w:rsid w:val="00E65EA1"/>
    <w:rsid w:val="00E6605D"/>
    <w:rsid w:val="00E6611F"/>
    <w:rsid w:val="00E74156"/>
    <w:rsid w:val="00E75B7D"/>
    <w:rsid w:val="00E8670C"/>
    <w:rsid w:val="00E9168B"/>
    <w:rsid w:val="00E91A28"/>
    <w:rsid w:val="00E923A0"/>
    <w:rsid w:val="00E9265B"/>
    <w:rsid w:val="00E95253"/>
    <w:rsid w:val="00E95569"/>
    <w:rsid w:val="00E978F3"/>
    <w:rsid w:val="00EA1CB1"/>
    <w:rsid w:val="00EA6125"/>
    <w:rsid w:val="00EC0435"/>
    <w:rsid w:val="00EC4E11"/>
    <w:rsid w:val="00EC7180"/>
    <w:rsid w:val="00EC777D"/>
    <w:rsid w:val="00ED0D23"/>
    <w:rsid w:val="00ED209D"/>
    <w:rsid w:val="00ED2162"/>
    <w:rsid w:val="00ED418D"/>
    <w:rsid w:val="00ED46C4"/>
    <w:rsid w:val="00ED5F88"/>
    <w:rsid w:val="00ED664B"/>
    <w:rsid w:val="00ED68F6"/>
    <w:rsid w:val="00ED7359"/>
    <w:rsid w:val="00ED7C2E"/>
    <w:rsid w:val="00EE5111"/>
    <w:rsid w:val="00EF09A2"/>
    <w:rsid w:val="00EF157F"/>
    <w:rsid w:val="00EF1A12"/>
    <w:rsid w:val="00EF2730"/>
    <w:rsid w:val="00EF28D7"/>
    <w:rsid w:val="00EF5550"/>
    <w:rsid w:val="00F01D63"/>
    <w:rsid w:val="00F03786"/>
    <w:rsid w:val="00F03AB8"/>
    <w:rsid w:val="00F05E37"/>
    <w:rsid w:val="00F07897"/>
    <w:rsid w:val="00F07EF7"/>
    <w:rsid w:val="00F112AC"/>
    <w:rsid w:val="00F130AD"/>
    <w:rsid w:val="00F14555"/>
    <w:rsid w:val="00F2002D"/>
    <w:rsid w:val="00F21B54"/>
    <w:rsid w:val="00F22093"/>
    <w:rsid w:val="00F22670"/>
    <w:rsid w:val="00F227E8"/>
    <w:rsid w:val="00F24647"/>
    <w:rsid w:val="00F26374"/>
    <w:rsid w:val="00F26A9F"/>
    <w:rsid w:val="00F27C9F"/>
    <w:rsid w:val="00F307DF"/>
    <w:rsid w:val="00F30A95"/>
    <w:rsid w:val="00F30C19"/>
    <w:rsid w:val="00F30DE4"/>
    <w:rsid w:val="00F31298"/>
    <w:rsid w:val="00F31A5B"/>
    <w:rsid w:val="00F31CE2"/>
    <w:rsid w:val="00F331B5"/>
    <w:rsid w:val="00F34AF9"/>
    <w:rsid w:val="00F41E62"/>
    <w:rsid w:val="00F43E36"/>
    <w:rsid w:val="00F45725"/>
    <w:rsid w:val="00F47B58"/>
    <w:rsid w:val="00F47BED"/>
    <w:rsid w:val="00F53521"/>
    <w:rsid w:val="00F53991"/>
    <w:rsid w:val="00F5579B"/>
    <w:rsid w:val="00F61572"/>
    <w:rsid w:val="00F61722"/>
    <w:rsid w:val="00F617C6"/>
    <w:rsid w:val="00F6208E"/>
    <w:rsid w:val="00F6675D"/>
    <w:rsid w:val="00F66A33"/>
    <w:rsid w:val="00F66F7C"/>
    <w:rsid w:val="00F70BA5"/>
    <w:rsid w:val="00F70BD4"/>
    <w:rsid w:val="00F712F8"/>
    <w:rsid w:val="00F71818"/>
    <w:rsid w:val="00F73842"/>
    <w:rsid w:val="00F73B39"/>
    <w:rsid w:val="00F74981"/>
    <w:rsid w:val="00F75C04"/>
    <w:rsid w:val="00F81CD7"/>
    <w:rsid w:val="00F81F50"/>
    <w:rsid w:val="00F90692"/>
    <w:rsid w:val="00F94ADB"/>
    <w:rsid w:val="00F94BB7"/>
    <w:rsid w:val="00F95772"/>
    <w:rsid w:val="00FA0846"/>
    <w:rsid w:val="00FA27ED"/>
    <w:rsid w:val="00FB0F9E"/>
    <w:rsid w:val="00FB2CA2"/>
    <w:rsid w:val="00FB4289"/>
    <w:rsid w:val="00FB458F"/>
    <w:rsid w:val="00FB5140"/>
    <w:rsid w:val="00FC0149"/>
    <w:rsid w:val="00FC1824"/>
    <w:rsid w:val="00FC2985"/>
    <w:rsid w:val="00FC7254"/>
    <w:rsid w:val="00FD008B"/>
    <w:rsid w:val="00FD0771"/>
    <w:rsid w:val="00FD0E0E"/>
    <w:rsid w:val="00FD12A2"/>
    <w:rsid w:val="00FD424D"/>
    <w:rsid w:val="00FD5803"/>
    <w:rsid w:val="00FD5DAD"/>
    <w:rsid w:val="00FE2CE3"/>
    <w:rsid w:val="00FE2CF0"/>
    <w:rsid w:val="00FE7F11"/>
    <w:rsid w:val="00FF20D4"/>
    <w:rsid w:val="00FF2AF6"/>
    <w:rsid w:val="00FF2F31"/>
    <w:rsid w:val="00FF3F44"/>
    <w:rsid w:val="00FF491C"/>
    <w:rsid w:val="00FF6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41F5EE7"/>
  <w15:chartTrackingRefBased/>
  <w15:docId w15:val="{24B99AD2-09C8-4FE8-BF78-9E861C3F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F81F5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81F5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5658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rsid w:val="00FA0846"/>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F81F50"/>
    <w:rPr>
      <w:rFonts w:ascii="Arial" w:hAnsi="Arial" w:cs="Arial"/>
      <w:b/>
      <w:bCs/>
      <w:kern w:val="32"/>
      <w:sz w:val="32"/>
      <w:szCs w:val="32"/>
      <w:lang w:eastAsia="en-US"/>
    </w:rPr>
  </w:style>
  <w:style w:type="character" w:customStyle="1" w:styleId="Heading2Char">
    <w:name w:val="Heading 2 Char"/>
    <w:link w:val="Heading2"/>
    <w:rsid w:val="00F81F50"/>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F81F50"/>
    <w:pPr>
      <w:numPr>
        <w:numId w:val="13"/>
      </w:numPr>
    </w:pPr>
    <w:rPr>
      <w:szCs w:val="24"/>
    </w:rPr>
  </w:style>
  <w:style w:type="character" w:customStyle="1" w:styleId="Numberedheading1CharChar">
    <w:name w:val="Numbered heading 1 Char Char"/>
    <w:link w:val="Numberedheading1"/>
    <w:rsid w:val="00F81F50"/>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DD323F"/>
    <w:pPr>
      <w:numPr>
        <w:ilvl w:val="1"/>
        <w:numId w:val="13"/>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DD323F"/>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F81F50"/>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6"/>
      <w:szCs w:val="26"/>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F81F50"/>
    <w:pPr>
      <w:keepNext/>
      <w:spacing w:after="200"/>
    </w:pPr>
    <w:rPr>
      <w:b/>
      <w:bCs/>
      <w:iCs/>
      <w:szCs w:val="18"/>
    </w:rPr>
  </w:style>
  <w:style w:type="paragraph" w:customStyle="1" w:styleId="Numberedheading2">
    <w:name w:val="Numbered heading 2"/>
    <w:basedOn w:val="Heading2"/>
    <w:next w:val="NICEnormal"/>
    <w:link w:val="Numberedheading2Char"/>
    <w:rsid w:val="00F81F50"/>
  </w:style>
  <w:style w:type="character" w:customStyle="1" w:styleId="Numberedheading2Char">
    <w:name w:val="Numbered heading 2 Char"/>
    <w:basedOn w:val="Heading2Char"/>
    <w:link w:val="Numberedheading2"/>
    <w:rsid w:val="00F81F50"/>
    <w:rPr>
      <w:rFonts w:ascii="Arial" w:hAnsi="Arial" w:cs="Arial"/>
      <w:b/>
      <w:bCs/>
      <w:sz w:val="28"/>
      <w:szCs w:val="28"/>
      <w:lang w:eastAsia="en-US"/>
    </w:rPr>
  </w:style>
  <w:style w:type="table" w:customStyle="1" w:styleId="PanelDefault">
    <w:name w:val="Panel (Default)"/>
    <w:basedOn w:val="TableNormal"/>
    <w:uiPriority w:val="99"/>
    <w:rsid w:val="00A36EC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36EC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5658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A36EC5"/>
    <w:pPr>
      <w:numPr>
        <w:numId w:val="14"/>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A36EC5"/>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12"/>
      </w:numPr>
    </w:pPr>
  </w:style>
  <w:style w:type="paragraph" w:customStyle="1" w:styleId="Section412paragraphs">
    <w:name w:val="Section 4.1.2 paragraphs"/>
    <w:basedOn w:val="NICEnormal"/>
    <w:rsid w:val="00FB5140"/>
    <w:pPr>
      <w:numPr>
        <w:numId w:val="15"/>
      </w:numPr>
    </w:pPr>
  </w:style>
  <w:style w:type="paragraph" w:styleId="NormalWeb">
    <w:name w:val="Normal (Web)"/>
    <w:basedOn w:val="Normal"/>
    <w:uiPriority w:val="99"/>
    <w:unhideWhenUsed/>
    <w:rsid w:val="001752FF"/>
    <w:pPr>
      <w:spacing w:before="100" w:beforeAutospacing="1" w:after="100" w:afterAutospacing="1"/>
    </w:pPr>
    <w:rPr>
      <w:lang w:eastAsia="en-GB"/>
    </w:rPr>
  </w:style>
  <w:style w:type="paragraph" w:customStyle="1" w:styleId="TableBullets">
    <w:name w:val="Table Bullets"/>
    <w:basedOn w:val="Normal"/>
    <w:link w:val="TableBulletsChar"/>
    <w:qFormat/>
    <w:rsid w:val="0081211C"/>
    <w:pPr>
      <w:widowControl w:val="0"/>
      <w:numPr>
        <w:numId w:val="17"/>
      </w:numPr>
      <w:autoSpaceDE w:val="0"/>
      <w:autoSpaceDN w:val="0"/>
      <w:adjustRightInd w:val="0"/>
      <w:spacing w:before="40" w:after="40"/>
    </w:pPr>
    <w:rPr>
      <w:rFonts w:ascii="Arial" w:hAnsi="Arial"/>
      <w:color w:val="1F497D"/>
      <w:sz w:val="20"/>
      <w:szCs w:val="20"/>
    </w:rPr>
  </w:style>
  <w:style w:type="character" w:customStyle="1" w:styleId="TableBulletsChar">
    <w:name w:val="Table Bullets Char"/>
    <w:link w:val="TableBullets"/>
    <w:rsid w:val="0081211C"/>
    <w:rPr>
      <w:rFonts w:ascii="Arial" w:hAnsi="Arial"/>
      <w:color w:val="1F497D"/>
      <w:lang w:eastAsia="en-US"/>
    </w:rPr>
  </w:style>
  <w:style w:type="character" w:customStyle="1" w:styleId="TabletextChar">
    <w:name w:val="Table text Char"/>
    <w:link w:val="Tabletext"/>
    <w:rsid w:val="00F81CD7"/>
    <w:rPr>
      <w:rFonts w:ascii="Arial" w:hAnsi="Arial"/>
      <w:sz w:val="22"/>
      <w:szCs w:val="24"/>
      <w:lang w:eastAsia="en-US"/>
    </w:rPr>
  </w:style>
  <w:style w:type="paragraph" w:customStyle="1" w:styleId="Bullets1">
    <w:name w:val="Bullets 1"/>
    <w:basedOn w:val="Normal"/>
    <w:link w:val="Bullets1Char"/>
    <w:qFormat/>
    <w:rsid w:val="00B4019C"/>
    <w:pPr>
      <w:numPr>
        <w:numId w:val="27"/>
      </w:numPr>
      <w:spacing w:after="120" w:line="276" w:lineRule="auto"/>
      <w:jc w:val="both"/>
    </w:pPr>
    <w:rPr>
      <w:rFonts w:ascii="Arial" w:hAnsi="Arial"/>
      <w:color w:val="1F497D"/>
      <w:sz w:val="21"/>
    </w:rPr>
  </w:style>
  <w:style w:type="character" w:customStyle="1" w:styleId="Bullets1Char">
    <w:name w:val="Bullets 1 Char"/>
    <w:link w:val="Bullets1"/>
    <w:locked/>
    <w:rsid w:val="00B4019C"/>
    <w:rPr>
      <w:rFonts w:ascii="Arial" w:hAnsi="Arial"/>
      <w:color w:val="1F497D"/>
      <w:sz w:val="2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487795">
      <w:bodyDiv w:val="1"/>
      <w:marLeft w:val="0"/>
      <w:marRight w:val="0"/>
      <w:marTop w:val="0"/>
      <w:marBottom w:val="0"/>
      <w:divBdr>
        <w:top w:val="none" w:sz="0" w:space="0" w:color="auto"/>
        <w:left w:val="none" w:sz="0" w:space="0" w:color="auto"/>
        <w:bottom w:val="none" w:sz="0" w:space="0" w:color="auto"/>
        <w:right w:val="none" w:sz="0" w:space="0" w:color="auto"/>
      </w:divBdr>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182480781">
      <w:bodyDiv w:val="1"/>
      <w:marLeft w:val="0"/>
      <w:marRight w:val="0"/>
      <w:marTop w:val="0"/>
      <w:marBottom w:val="0"/>
      <w:divBdr>
        <w:top w:val="none" w:sz="0" w:space="0" w:color="auto"/>
        <w:left w:val="none" w:sz="0" w:space="0" w:color="auto"/>
        <w:bottom w:val="none" w:sz="0" w:space="0" w:color="auto"/>
        <w:right w:val="none" w:sz="0" w:space="0" w:color="auto"/>
      </w:divBdr>
    </w:div>
    <w:div w:id="254217939">
      <w:bodyDiv w:val="1"/>
      <w:marLeft w:val="0"/>
      <w:marRight w:val="0"/>
      <w:marTop w:val="0"/>
      <w:marBottom w:val="0"/>
      <w:divBdr>
        <w:top w:val="none" w:sz="0" w:space="0" w:color="auto"/>
        <w:left w:val="none" w:sz="0" w:space="0" w:color="auto"/>
        <w:bottom w:val="none" w:sz="0" w:space="0" w:color="auto"/>
        <w:right w:val="none" w:sz="0" w:space="0" w:color="auto"/>
      </w:divBdr>
      <w:divsChild>
        <w:div w:id="1412510223">
          <w:marLeft w:val="547"/>
          <w:marRight w:val="0"/>
          <w:marTop w:val="170"/>
          <w:marBottom w:val="0"/>
          <w:divBdr>
            <w:top w:val="none" w:sz="0" w:space="0" w:color="auto"/>
            <w:left w:val="none" w:sz="0" w:space="0" w:color="auto"/>
            <w:bottom w:val="none" w:sz="0" w:space="0" w:color="auto"/>
            <w:right w:val="none" w:sz="0" w:space="0" w:color="auto"/>
          </w:divBdr>
        </w:div>
        <w:div w:id="919485034">
          <w:marLeft w:val="547"/>
          <w:marRight w:val="0"/>
          <w:marTop w:val="170"/>
          <w:marBottom w:val="0"/>
          <w:divBdr>
            <w:top w:val="none" w:sz="0" w:space="0" w:color="auto"/>
            <w:left w:val="none" w:sz="0" w:space="0" w:color="auto"/>
            <w:bottom w:val="none" w:sz="0" w:space="0" w:color="auto"/>
            <w:right w:val="none" w:sz="0" w:space="0" w:color="auto"/>
          </w:divBdr>
        </w:div>
      </w:divsChild>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429206130">
      <w:bodyDiv w:val="1"/>
      <w:marLeft w:val="0"/>
      <w:marRight w:val="0"/>
      <w:marTop w:val="0"/>
      <w:marBottom w:val="0"/>
      <w:divBdr>
        <w:top w:val="none" w:sz="0" w:space="0" w:color="auto"/>
        <w:left w:val="none" w:sz="0" w:space="0" w:color="auto"/>
        <w:bottom w:val="none" w:sz="0" w:space="0" w:color="auto"/>
        <w:right w:val="none" w:sz="0" w:space="0" w:color="auto"/>
      </w:divBdr>
      <w:divsChild>
        <w:div w:id="969676962">
          <w:marLeft w:val="547"/>
          <w:marRight w:val="0"/>
          <w:marTop w:val="170"/>
          <w:marBottom w:val="0"/>
          <w:divBdr>
            <w:top w:val="none" w:sz="0" w:space="0" w:color="auto"/>
            <w:left w:val="none" w:sz="0" w:space="0" w:color="auto"/>
            <w:bottom w:val="none" w:sz="0" w:space="0" w:color="auto"/>
            <w:right w:val="none" w:sz="0" w:space="0" w:color="auto"/>
          </w:divBdr>
        </w:div>
      </w:divsChild>
    </w:div>
    <w:div w:id="482159140">
      <w:bodyDiv w:val="1"/>
      <w:marLeft w:val="0"/>
      <w:marRight w:val="0"/>
      <w:marTop w:val="0"/>
      <w:marBottom w:val="0"/>
      <w:divBdr>
        <w:top w:val="none" w:sz="0" w:space="0" w:color="auto"/>
        <w:left w:val="none" w:sz="0" w:space="0" w:color="auto"/>
        <w:bottom w:val="none" w:sz="0" w:space="0" w:color="auto"/>
        <w:right w:val="none" w:sz="0" w:space="0" w:color="auto"/>
      </w:divBdr>
      <w:divsChild>
        <w:div w:id="907500116">
          <w:marLeft w:val="547"/>
          <w:marRight w:val="0"/>
          <w:marTop w:val="170"/>
          <w:marBottom w:val="0"/>
          <w:divBdr>
            <w:top w:val="none" w:sz="0" w:space="0" w:color="auto"/>
            <w:left w:val="none" w:sz="0" w:space="0" w:color="auto"/>
            <w:bottom w:val="none" w:sz="0" w:space="0" w:color="auto"/>
            <w:right w:val="none" w:sz="0" w:space="0" w:color="auto"/>
          </w:divBdr>
        </w:div>
        <w:div w:id="1397166983">
          <w:marLeft w:val="547"/>
          <w:marRight w:val="0"/>
          <w:marTop w:val="170"/>
          <w:marBottom w:val="0"/>
          <w:divBdr>
            <w:top w:val="none" w:sz="0" w:space="0" w:color="auto"/>
            <w:left w:val="none" w:sz="0" w:space="0" w:color="auto"/>
            <w:bottom w:val="none" w:sz="0" w:space="0" w:color="auto"/>
            <w:right w:val="none" w:sz="0" w:space="0" w:color="auto"/>
          </w:divBdr>
        </w:div>
      </w:divsChild>
    </w:div>
    <w:div w:id="542523622">
      <w:bodyDiv w:val="1"/>
      <w:marLeft w:val="0"/>
      <w:marRight w:val="0"/>
      <w:marTop w:val="0"/>
      <w:marBottom w:val="0"/>
      <w:divBdr>
        <w:top w:val="none" w:sz="0" w:space="0" w:color="auto"/>
        <w:left w:val="none" w:sz="0" w:space="0" w:color="auto"/>
        <w:bottom w:val="none" w:sz="0" w:space="0" w:color="auto"/>
        <w:right w:val="none" w:sz="0" w:space="0" w:color="auto"/>
      </w:divBdr>
      <w:divsChild>
        <w:div w:id="432748419">
          <w:marLeft w:val="547"/>
          <w:marRight w:val="0"/>
          <w:marTop w:val="170"/>
          <w:marBottom w:val="0"/>
          <w:divBdr>
            <w:top w:val="none" w:sz="0" w:space="0" w:color="auto"/>
            <w:left w:val="none" w:sz="0" w:space="0" w:color="auto"/>
            <w:bottom w:val="none" w:sz="0" w:space="0" w:color="auto"/>
            <w:right w:val="none" w:sz="0" w:space="0" w:color="auto"/>
          </w:divBdr>
        </w:div>
        <w:div w:id="1343168155">
          <w:marLeft w:val="547"/>
          <w:marRight w:val="0"/>
          <w:marTop w:val="170"/>
          <w:marBottom w:val="0"/>
          <w:divBdr>
            <w:top w:val="none" w:sz="0" w:space="0" w:color="auto"/>
            <w:left w:val="none" w:sz="0" w:space="0" w:color="auto"/>
            <w:bottom w:val="none" w:sz="0" w:space="0" w:color="auto"/>
            <w:right w:val="none" w:sz="0" w:space="0" w:color="auto"/>
          </w:divBdr>
        </w:div>
      </w:divsChild>
    </w:div>
    <w:div w:id="590042565">
      <w:bodyDiv w:val="1"/>
      <w:marLeft w:val="0"/>
      <w:marRight w:val="0"/>
      <w:marTop w:val="0"/>
      <w:marBottom w:val="0"/>
      <w:divBdr>
        <w:top w:val="none" w:sz="0" w:space="0" w:color="auto"/>
        <w:left w:val="none" w:sz="0" w:space="0" w:color="auto"/>
        <w:bottom w:val="none" w:sz="0" w:space="0" w:color="auto"/>
        <w:right w:val="none" w:sz="0" w:space="0" w:color="auto"/>
      </w:divBdr>
      <w:divsChild>
        <w:div w:id="869925039">
          <w:marLeft w:val="547"/>
          <w:marRight w:val="0"/>
          <w:marTop w:val="170"/>
          <w:marBottom w:val="120"/>
          <w:divBdr>
            <w:top w:val="none" w:sz="0" w:space="0" w:color="auto"/>
            <w:left w:val="none" w:sz="0" w:space="0" w:color="auto"/>
            <w:bottom w:val="none" w:sz="0" w:space="0" w:color="auto"/>
            <w:right w:val="none" w:sz="0" w:space="0" w:color="auto"/>
          </w:divBdr>
        </w:div>
        <w:div w:id="1336222462">
          <w:marLeft w:val="994"/>
          <w:marRight w:val="0"/>
          <w:marTop w:val="170"/>
          <w:marBottom w:val="120"/>
          <w:divBdr>
            <w:top w:val="none" w:sz="0" w:space="0" w:color="auto"/>
            <w:left w:val="none" w:sz="0" w:space="0" w:color="auto"/>
            <w:bottom w:val="none" w:sz="0" w:space="0" w:color="auto"/>
            <w:right w:val="none" w:sz="0" w:space="0" w:color="auto"/>
          </w:divBdr>
        </w:div>
        <w:div w:id="1881169312">
          <w:marLeft w:val="994"/>
          <w:marRight w:val="0"/>
          <w:marTop w:val="170"/>
          <w:marBottom w:val="120"/>
          <w:divBdr>
            <w:top w:val="none" w:sz="0" w:space="0" w:color="auto"/>
            <w:left w:val="none" w:sz="0" w:space="0" w:color="auto"/>
            <w:bottom w:val="none" w:sz="0" w:space="0" w:color="auto"/>
            <w:right w:val="none" w:sz="0" w:space="0" w:color="auto"/>
          </w:divBdr>
        </w:div>
        <w:div w:id="1720978756">
          <w:marLeft w:val="994"/>
          <w:marRight w:val="0"/>
          <w:marTop w:val="170"/>
          <w:marBottom w:val="120"/>
          <w:divBdr>
            <w:top w:val="none" w:sz="0" w:space="0" w:color="auto"/>
            <w:left w:val="none" w:sz="0" w:space="0" w:color="auto"/>
            <w:bottom w:val="none" w:sz="0" w:space="0" w:color="auto"/>
            <w:right w:val="none" w:sz="0" w:space="0" w:color="auto"/>
          </w:divBdr>
        </w:div>
        <w:div w:id="1048996616">
          <w:marLeft w:val="994"/>
          <w:marRight w:val="0"/>
          <w:marTop w:val="170"/>
          <w:marBottom w:val="120"/>
          <w:divBdr>
            <w:top w:val="none" w:sz="0" w:space="0" w:color="auto"/>
            <w:left w:val="none" w:sz="0" w:space="0" w:color="auto"/>
            <w:bottom w:val="none" w:sz="0" w:space="0" w:color="auto"/>
            <w:right w:val="none" w:sz="0" w:space="0" w:color="auto"/>
          </w:divBdr>
        </w:div>
        <w:div w:id="1302072492">
          <w:marLeft w:val="994"/>
          <w:marRight w:val="0"/>
          <w:marTop w:val="170"/>
          <w:marBottom w:val="120"/>
          <w:divBdr>
            <w:top w:val="none" w:sz="0" w:space="0" w:color="auto"/>
            <w:left w:val="none" w:sz="0" w:space="0" w:color="auto"/>
            <w:bottom w:val="none" w:sz="0" w:space="0" w:color="auto"/>
            <w:right w:val="none" w:sz="0" w:space="0" w:color="auto"/>
          </w:divBdr>
        </w:div>
      </w:divsChild>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05965549">
      <w:bodyDiv w:val="1"/>
      <w:marLeft w:val="0"/>
      <w:marRight w:val="0"/>
      <w:marTop w:val="0"/>
      <w:marBottom w:val="0"/>
      <w:divBdr>
        <w:top w:val="none" w:sz="0" w:space="0" w:color="auto"/>
        <w:left w:val="none" w:sz="0" w:space="0" w:color="auto"/>
        <w:bottom w:val="none" w:sz="0" w:space="0" w:color="auto"/>
        <w:right w:val="none" w:sz="0" w:space="0" w:color="auto"/>
      </w:divBdr>
      <w:divsChild>
        <w:div w:id="1936983980">
          <w:marLeft w:val="547"/>
          <w:marRight w:val="0"/>
          <w:marTop w:val="170"/>
          <w:marBottom w:val="0"/>
          <w:divBdr>
            <w:top w:val="none" w:sz="0" w:space="0" w:color="auto"/>
            <w:left w:val="none" w:sz="0" w:space="0" w:color="auto"/>
            <w:bottom w:val="none" w:sz="0" w:space="0" w:color="auto"/>
            <w:right w:val="none" w:sz="0" w:space="0" w:color="auto"/>
          </w:divBdr>
        </w:div>
        <w:div w:id="313726018">
          <w:marLeft w:val="994"/>
          <w:marRight w:val="0"/>
          <w:marTop w:val="170"/>
          <w:marBottom w:val="0"/>
          <w:divBdr>
            <w:top w:val="none" w:sz="0" w:space="0" w:color="auto"/>
            <w:left w:val="none" w:sz="0" w:space="0" w:color="auto"/>
            <w:bottom w:val="none" w:sz="0" w:space="0" w:color="auto"/>
            <w:right w:val="none" w:sz="0" w:space="0" w:color="auto"/>
          </w:divBdr>
        </w:div>
        <w:div w:id="1716343468">
          <w:marLeft w:val="994"/>
          <w:marRight w:val="0"/>
          <w:marTop w:val="170"/>
          <w:marBottom w:val="0"/>
          <w:divBdr>
            <w:top w:val="none" w:sz="0" w:space="0" w:color="auto"/>
            <w:left w:val="none" w:sz="0" w:space="0" w:color="auto"/>
            <w:bottom w:val="none" w:sz="0" w:space="0" w:color="auto"/>
            <w:right w:val="none" w:sz="0" w:space="0" w:color="auto"/>
          </w:divBdr>
        </w:div>
      </w:divsChild>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711148461">
      <w:bodyDiv w:val="1"/>
      <w:marLeft w:val="0"/>
      <w:marRight w:val="0"/>
      <w:marTop w:val="0"/>
      <w:marBottom w:val="0"/>
      <w:divBdr>
        <w:top w:val="none" w:sz="0" w:space="0" w:color="auto"/>
        <w:left w:val="none" w:sz="0" w:space="0" w:color="auto"/>
        <w:bottom w:val="none" w:sz="0" w:space="0" w:color="auto"/>
        <w:right w:val="none" w:sz="0" w:space="0" w:color="auto"/>
      </w:divBdr>
    </w:div>
    <w:div w:id="831333422">
      <w:bodyDiv w:val="1"/>
      <w:marLeft w:val="0"/>
      <w:marRight w:val="0"/>
      <w:marTop w:val="0"/>
      <w:marBottom w:val="0"/>
      <w:divBdr>
        <w:top w:val="none" w:sz="0" w:space="0" w:color="auto"/>
        <w:left w:val="none" w:sz="0" w:space="0" w:color="auto"/>
        <w:bottom w:val="none" w:sz="0" w:space="0" w:color="auto"/>
        <w:right w:val="none" w:sz="0" w:space="0" w:color="auto"/>
      </w:divBdr>
      <w:divsChild>
        <w:div w:id="909314967">
          <w:marLeft w:val="547"/>
          <w:marRight w:val="0"/>
          <w:marTop w:val="170"/>
          <w:marBottom w:val="0"/>
          <w:divBdr>
            <w:top w:val="none" w:sz="0" w:space="0" w:color="auto"/>
            <w:left w:val="none" w:sz="0" w:space="0" w:color="auto"/>
            <w:bottom w:val="none" w:sz="0" w:space="0" w:color="auto"/>
            <w:right w:val="none" w:sz="0" w:space="0" w:color="auto"/>
          </w:divBdr>
        </w:div>
        <w:div w:id="701903296">
          <w:marLeft w:val="547"/>
          <w:marRight w:val="0"/>
          <w:marTop w:val="170"/>
          <w:marBottom w:val="0"/>
          <w:divBdr>
            <w:top w:val="none" w:sz="0" w:space="0" w:color="auto"/>
            <w:left w:val="none" w:sz="0" w:space="0" w:color="auto"/>
            <w:bottom w:val="none" w:sz="0" w:space="0" w:color="auto"/>
            <w:right w:val="none" w:sz="0" w:space="0" w:color="auto"/>
          </w:divBdr>
        </w:div>
      </w:divsChild>
    </w:div>
    <w:div w:id="833643447">
      <w:bodyDiv w:val="1"/>
      <w:marLeft w:val="0"/>
      <w:marRight w:val="0"/>
      <w:marTop w:val="0"/>
      <w:marBottom w:val="0"/>
      <w:divBdr>
        <w:top w:val="none" w:sz="0" w:space="0" w:color="auto"/>
        <w:left w:val="none" w:sz="0" w:space="0" w:color="auto"/>
        <w:bottom w:val="none" w:sz="0" w:space="0" w:color="auto"/>
        <w:right w:val="none" w:sz="0" w:space="0" w:color="auto"/>
      </w:divBdr>
    </w:div>
    <w:div w:id="847446730">
      <w:bodyDiv w:val="1"/>
      <w:marLeft w:val="0"/>
      <w:marRight w:val="0"/>
      <w:marTop w:val="0"/>
      <w:marBottom w:val="0"/>
      <w:divBdr>
        <w:top w:val="none" w:sz="0" w:space="0" w:color="auto"/>
        <w:left w:val="none" w:sz="0" w:space="0" w:color="auto"/>
        <w:bottom w:val="none" w:sz="0" w:space="0" w:color="auto"/>
        <w:right w:val="none" w:sz="0" w:space="0" w:color="auto"/>
      </w:divBdr>
      <w:divsChild>
        <w:div w:id="2017413184">
          <w:marLeft w:val="576"/>
          <w:marRight w:val="0"/>
          <w:marTop w:val="170"/>
          <w:marBottom w:val="0"/>
          <w:divBdr>
            <w:top w:val="none" w:sz="0" w:space="0" w:color="auto"/>
            <w:left w:val="none" w:sz="0" w:space="0" w:color="auto"/>
            <w:bottom w:val="none" w:sz="0" w:space="0" w:color="auto"/>
            <w:right w:val="none" w:sz="0" w:space="0" w:color="auto"/>
          </w:divBdr>
        </w:div>
        <w:div w:id="343022666">
          <w:marLeft w:val="576"/>
          <w:marRight w:val="0"/>
          <w:marTop w:val="170"/>
          <w:marBottom w:val="0"/>
          <w:divBdr>
            <w:top w:val="none" w:sz="0" w:space="0" w:color="auto"/>
            <w:left w:val="none" w:sz="0" w:space="0" w:color="auto"/>
            <w:bottom w:val="none" w:sz="0" w:space="0" w:color="auto"/>
            <w:right w:val="none" w:sz="0" w:space="0" w:color="auto"/>
          </w:divBdr>
        </w:div>
        <w:div w:id="1928533139">
          <w:marLeft w:val="576"/>
          <w:marRight w:val="0"/>
          <w:marTop w:val="170"/>
          <w:marBottom w:val="0"/>
          <w:divBdr>
            <w:top w:val="none" w:sz="0" w:space="0" w:color="auto"/>
            <w:left w:val="none" w:sz="0" w:space="0" w:color="auto"/>
            <w:bottom w:val="none" w:sz="0" w:space="0" w:color="auto"/>
            <w:right w:val="none" w:sz="0" w:space="0" w:color="auto"/>
          </w:divBdr>
        </w:div>
        <w:div w:id="1249654964">
          <w:marLeft w:val="1008"/>
          <w:marRight w:val="0"/>
          <w:marTop w:val="170"/>
          <w:marBottom w:val="0"/>
          <w:divBdr>
            <w:top w:val="none" w:sz="0" w:space="0" w:color="auto"/>
            <w:left w:val="none" w:sz="0" w:space="0" w:color="auto"/>
            <w:bottom w:val="none" w:sz="0" w:space="0" w:color="auto"/>
            <w:right w:val="none" w:sz="0" w:space="0" w:color="auto"/>
          </w:divBdr>
        </w:div>
        <w:div w:id="714043820">
          <w:marLeft w:val="1008"/>
          <w:marRight w:val="0"/>
          <w:marTop w:val="170"/>
          <w:marBottom w:val="0"/>
          <w:divBdr>
            <w:top w:val="none" w:sz="0" w:space="0" w:color="auto"/>
            <w:left w:val="none" w:sz="0" w:space="0" w:color="auto"/>
            <w:bottom w:val="none" w:sz="0" w:space="0" w:color="auto"/>
            <w:right w:val="none" w:sz="0" w:space="0" w:color="auto"/>
          </w:divBdr>
        </w:div>
        <w:div w:id="340357218">
          <w:marLeft w:val="547"/>
          <w:marRight w:val="0"/>
          <w:marTop w:val="170"/>
          <w:marBottom w:val="0"/>
          <w:divBdr>
            <w:top w:val="none" w:sz="0" w:space="0" w:color="auto"/>
            <w:left w:val="none" w:sz="0" w:space="0" w:color="auto"/>
            <w:bottom w:val="none" w:sz="0" w:space="0" w:color="auto"/>
            <w:right w:val="none" w:sz="0" w:space="0" w:color="auto"/>
          </w:divBdr>
        </w:div>
        <w:div w:id="237520787">
          <w:marLeft w:val="547"/>
          <w:marRight w:val="0"/>
          <w:marTop w:val="170"/>
          <w:marBottom w:val="0"/>
          <w:divBdr>
            <w:top w:val="none" w:sz="0" w:space="0" w:color="auto"/>
            <w:left w:val="none" w:sz="0" w:space="0" w:color="auto"/>
            <w:bottom w:val="none" w:sz="0" w:space="0" w:color="auto"/>
            <w:right w:val="none" w:sz="0" w:space="0" w:color="auto"/>
          </w:divBdr>
        </w:div>
        <w:div w:id="1036277187">
          <w:marLeft w:val="547"/>
          <w:marRight w:val="0"/>
          <w:marTop w:val="170"/>
          <w:marBottom w:val="0"/>
          <w:divBdr>
            <w:top w:val="none" w:sz="0" w:space="0" w:color="auto"/>
            <w:left w:val="none" w:sz="0" w:space="0" w:color="auto"/>
            <w:bottom w:val="none" w:sz="0" w:space="0" w:color="auto"/>
            <w:right w:val="none" w:sz="0" w:space="0" w:color="auto"/>
          </w:divBdr>
        </w:div>
        <w:div w:id="492140948">
          <w:marLeft w:val="547"/>
          <w:marRight w:val="0"/>
          <w:marTop w:val="170"/>
          <w:marBottom w:val="0"/>
          <w:divBdr>
            <w:top w:val="none" w:sz="0" w:space="0" w:color="auto"/>
            <w:left w:val="none" w:sz="0" w:space="0" w:color="auto"/>
            <w:bottom w:val="none" w:sz="0" w:space="0" w:color="auto"/>
            <w:right w:val="none" w:sz="0" w:space="0" w:color="auto"/>
          </w:divBdr>
        </w:div>
        <w:div w:id="1136724427">
          <w:marLeft w:val="547"/>
          <w:marRight w:val="0"/>
          <w:marTop w:val="170"/>
          <w:marBottom w:val="0"/>
          <w:divBdr>
            <w:top w:val="none" w:sz="0" w:space="0" w:color="auto"/>
            <w:left w:val="none" w:sz="0" w:space="0" w:color="auto"/>
            <w:bottom w:val="none" w:sz="0" w:space="0" w:color="auto"/>
            <w:right w:val="none" w:sz="0" w:space="0" w:color="auto"/>
          </w:divBdr>
        </w:div>
      </w:divsChild>
    </w:div>
    <w:div w:id="880478903">
      <w:bodyDiv w:val="1"/>
      <w:marLeft w:val="0"/>
      <w:marRight w:val="0"/>
      <w:marTop w:val="0"/>
      <w:marBottom w:val="0"/>
      <w:divBdr>
        <w:top w:val="none" w:sz="0" w:space="0" w:color="auto"/>
        <w:left w:val="none" w:sz="0" w:space="0" w:color="auto"/>
        <w:bottom w:val="none" w:sz="0" w:space="0" w:color="auto"/>
        <w:right w:val="none" w:sz="0" w:space="0" w:color="auto"/>
      </w:divBdr>
    </w:div>
    <w:div w:id="882516726">
      <w:bodyDiv w:val="1"/>
      <w:marLeft w:val="0"/>
      <w:marRight w:val="0"/>
      <w:marTop w:val="0"/>
      <w:marBottom w:val="0"/>
      <w:divBdr>
        <w:top w:val="none" w:sz="0" w:space="0" w:color="auto"/>
        <w:left w:val="none" w:sz="0" w:space="0" w:color="auto"/>
        <w:bottom w:val="none" w:sz="0" w:space="0" w:color="auto"/>
        <w:right w:val="none" w:sz="0" w:space="0" w:color="auto"/>
      </w:divBdr>
    </w:div>
    <w:div w:id="991640730">
      <w:bodyDiv w:val="1"/>
      <w:marLeft w:val="0"/>
      <w:marRight w:val="0"/>
      <w:marTop w:val="0"/>
      <w:marBottom w:val="0"/>
      <w:divBdr>
        <w:top w:val="none" w:sz="0" w:space="0" w:color="auto"/>
        <w:left w:val="none" w:sz="0" w:space="0" w:color="auto"/>
        <w:bottom w:val="none" w:sz="0" w:space="0" w:color="auto"/>
        <w:right w:val="none" w:sz="0" w:space="0" w:color="auto"/>
      </w:divBdr>
      <w:divsChild>
        <w:div w:id="957875705">
          <w:marLeft w:val="547"/>
          <w:marRight w:val="0"/>
          <w:marTop w:val="170"/>
          <w:marBottom w:val="0"/>
          <w:divBdr>
            <w:top w:val="none" w:sz="0" w:space="0" w:color="auto"/>
            <w:left w:val="none" w:sz="0" w:space="0" w:color="auto"/>
            <w:bottom w:val="none" w:sz="0" w:space="0" w:color="auto"/>
            <w:right w:val="none" w:sz="0" w:space="0" w:color="auto"/>
          </w:divBdr>
        </w:div>
      </w:divsChild>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046294646">
      <w:bodyDiv w:val="1"/>
      <w:marLeft w:val="0"/>
      <w:marRight w:val="0"/>
      <w:marTop w:val="0"/>
      <w:marBottom w:val="0"/>
      <w:divBdr>
        <w:top w:val="none" w:sz="0" w:space="0" w:color="auto"/>
        <w:left w:val="none" w:sz="0" w:space="0" w:color="auto"/>
        <w:bottom w:val="none" w:sz="0" w:space="0" w:color="auto"/>
        <w:right w:val="none" w:sz="0" w:space="0" w:color="auto"/>
      </w:divBdr>
      <w:divsChild>
        <w:div w:id="1929346125">
          <w:marLeft w:val="547"/>
          <w:marRight w:val="0"/>
          <w:marTop w:val="170"/>
          <w:marBottom w:val="0"/>
          <w:divBdr>
            <w:top w:val="none" w:sz="0" w:space="0" w:color="auto"/>
            <w:left w:val="none" w:sz="0" w:space="0" w:color="auto"/>
            <w:bottom w:val="none" w:sz="0" w:space="0" w:color="auto"/>
            <w:right w:val="none" w:sz="0" w:space="0" w:color="auto"/>
          </w:divBdr>
        </w:div>
      </w:divsChild>
    </w:div>
    <w:div w:id="1069501678">
      <w:bodyDiv w:val="1"/>
      <w:marLeft w:val="0"/>
      <w:marRight w:val="0"/>
      <w:marTop w:val="0"/>
      <w:marBottom w:val="0"/>
      <w:divBdr>
        <w:top w:val="none" w:sz="0" w:space="0" w:color="auto"/>
        <w:left w:val="none" w:sz="0" w:space="0" w:color="auto"/>
        <w:bottom w:val="none" w:sz="0" w:space="0" w:color="auto"/>
        <w:right w:val="none" w:sz="0" w:space="0" w:color="auto"/>
      </w:divBdr>
      <w:divsChild>
        <w:div w:id="466095950">
          <w:marLeft w:val="547"/>
          <w:marRight w:val="0"/>
          <w:marTop w:val="170"/>
          <w:marBottom w:val="0"/>
          <w:divBdr>
            <w:top w:val="none" w:sz="0" w:space="0" w:color="auto"/>
            <w:left w:val="none" w:sz="0" w:space="0" w:color="auto"/>
            <w:bottom w:val="none" w:sz="0" w:space="0" w:color="auto"/>
            <w:right w:val="none" w:sz="0" w:space="0" w:color="auto"/>
          </w:divBdr>
        </w:div>
      </w:divsChild>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256016094">
      <w:bodyDiv w:val="1"/>
      <w:marLeft w:val="0"/>
      <w:marRight w:val="0"/>
      <w:marTop w:val="0"/>
      <w:marBottom w:val="0"/>
      <w:divBdr>
        <w:top w:val="none" w:sz="0" w:space="0" w:color="auto"/>
        <w:left w:val="none" w:sz="0" w:space="0" w:color="auto"/>
        <w:bottom w:val="none" w:sz="0" w:space="0" w:color="auto"/>
        <w:right w:val="none" w:sz="0" w:space="0" w:color="auto"/>
      </w:divBdr>
      <w:divsChild>
        <w:div w:id="1600335274">
          <w:marLeft w:val="576"/>
          <w:marRight w:val="0"/>
          <w:marTop w:val="170"/>
          <w:marBottom w:val="0"/>
          <w:divBdr>
            <w:top w:val="none" w:sz="0" w:space="0" w:color="auto"/>
            <w:left w:val="none" w:sz="0" w:space="0" w:color="auto"/>
            <w:bottom w:val="none" w:sz="0" w:space="0" w:color="auto"/>
            <w:right w:val="none" w:sz="0" w:space="0" w:color="auto"/>
          </w:divBdr>
        </w:div>
        <w:div w:id="1297569426">
          <w:marLeft w:val="576"/>
          <w:marRight w:val="0"/>
          <w:marTop w:val="170"/>
          <w:marBottom w:val="0"/>
          <w:divBdr>
            <w:top w:val="none" w:sz="0" w:space="0" w:color="auto"/>
            <w:left w:val="none" w:sz="0" w:space="0" w:color="auto"/>
            <w:bottom w:val="none" w:sz="0" w:space="0" w:color="auto"/>
            <w:right w:val="none" w:sz="0" w:space="0" w:color="auto"/>
          </w:divBdr>
        </w:div>
        <w:div w:id="1603612052">
          <w:marLeft w:val="547"/>
          <w:marRight w:val="0"/>
          <w:marTop w:val="170"/>
          <w:marBottom w:val="0"/>
          <w:divBdr>
            <w:top w:val="none" w:sz="0" w:space="0" w:color="auto"/>
            <w:left w:val="none" w:sz="0" w:space="0" w:color="auto"/>
            <w:bottom w:val="none" w:sz="0" w:space="0" w:color="auto"/>
            <w:right w:val="none" w:sz="0" w:space="0" w:color="auto"/>
          </w:divBdr>
        </w:div>
        <w:div w:id="1860270196">
          <w:marLeft w:val="547"/>
          <w:marRight w:val="0"/>
          <w:marTop w:val="170"/>
          <w:marBottom w:val="0"/>
          <w:divBdr>
            <w:top w:val="none" w:sz="0" w:space="0" w:color="auto"/>
            <w:left w:val="none" w:sz="0" w:space="0" w:color="auto"/>
            <w:bottom w:val="none" w:sz="0" w:space="0" w:color="auto"/>
            <w:right w:val="none" w:sz="0" w:space="0" w:color="auto"/>
          </w:divBdr>
        </w:div>
        <w:div w:id="219171888">
          <w:marLeft w:val="547"/>
          <w:marRight w:val="0"/>
          <w:marTop w:val="170"/>
          <w:marBottom w:val="0"/>
          <w:divBdr>
            <w:top w:val="none" w:sz="0" w:space="0" w:color="auto"/>
            <w:left w:val="none" w:sz="0" w:space="0" w:color="auto"/>
            <w:bottom w:val="none" w:sz="0" w:space="0" w:color="auto"/>
            <w:right w:val="none" w:sz="0" w:space="0" w:color="auto"/>
          </w:divBdr>
        </w:div>
        <w:div w:id="674066802">
          <w:marLeft w:val="547"/>
          <w:marRight w:val="0"/>
          <w:marTop w:val="170"/>
          <w:marBottom w:val="0"/>
          <w:divBdr>
            <w:top w:val="none" w:sz="0" w:space="0" w:color="auto"/>
            <w:left w:val="none" w:sz="0" w:space="0" w:color="auto"/>
            <w:bottom w:val="none" w:sz="0" w:space="0" w:color="auto"/>
            <w:right w:val="none" w:sz="0" w:space="0" w:color="auto"/>
          </w:divBdr>
        </w:div>
        <w:div w:id="807092567">
          <w:marLeft w:val="547"/>
          <w:marRight w:val="0"/>
          <w:marTop w:val="170"/>
          <w:marBottom w:val="0"/>
          <w:divBdr>
            <w:top w:val="none" w:sz="0" w:space="0" w:color="auto"/>
            <w:left w:val="none" w:sz="0" w:space="0" w:color="auto"/>
            <w:bottom w:val="none" w:sz="0" w:space="0" w:color="auto"/>
            <w:right w:val="none" w:sz="0" w:space="0" w:color="auto"/>
          </w:divBdr>
        </w:div>
      </w:divsChild>
    </w:div>
    <w:div w:id="1346397586">
      <w:bodyDiv w:val="1"/>
      <w:marLeft w:val="0"/>
      <w:marRight w:val="0"/>
      <w:marTop w:val="0"/>
      <w:marBottom w:val="0"/>
      <w:divBdr>
        <w:top w:val="none" w:sz="0" w:space="0" w:color="auto"/>
        <w:left w:val="none" w:sz="0" w:space="0" w:color="auto"/>
        <w:bottom w:val="none" w:sz="0" w:space="0" w:color="auto"/>
        <w:right w:val="none" w:sz="0" w:space="0" w:color="auto"/>
      </w:divBdr>
    </w:div>
    <w:div w:id="1353727656">
      <w:bodyDiv w:val="1"/>
      <w:marLeft w:val="0"/>
      <w:marRight w:val="0"/>
      <w:marTop w:val="0"/>
      <w:marBottom w:val="0"/>
      <w:divBdr>
        <w:top w:val="none" w:sz="0" w:space="0" w:color="auto"/>
        <w:left w:val="none" w:sz="0" w:space="0" w:color="auto"/>
        <w:bottom w:val="none" w:sz="0" w:space="0" w:color="auto"/>
        <w:right w:val="none" w:sz="0" w:space="0" w:color="auto"/>
      </w:divBdr>
      <w:divsChild>
        <w:div w:id="413860809">
          <w:marLeft w:val="547"/>
          <w:marRight w:val="0"/>
          <w:marTop w:val="170"/>
          <w:marBottom w:val="0"/>
          <w:divBdr>
            <w:top w:val="none" w:sz="0" w:space="0" w:color="auto"/>
            <w:left w:val="none" w:sz="0" w:space="0" w:color="auto"/>
            <w:bottom w:val="none" w:sz="0" w:space="0" w:color="auto"/>
            <w:right w:val="none" w:sz="0" w:space="0" w:color="auto"/>
          </w:divBdr>
        </w:div>
      </w:divsChild>
    </w:div>
    <w:div w:id="1442144350">
      <w:bodyDiv w:val="1"/>
      <w:marLeft w:val="0"/>
      <w:marRight w:val="0"/>
      <w:marTop w:val="0"/>
      <w:marBottom w:val="0"/>
      <w:divBdr>
        <w:top w:val="none" w:sz="0" w:space="0" w:color="auto"/>
        <w:left w:val="none" w:sz="0" w:space="0" w:color="auto"/>
        <w:bottom w:val="none" w:sz="0" w:space="0" w:color="auto"/>
        <w:right w:val="none" w:sz="0" w:space="0" w:color="auto"/>
      </w:divBdr>
      <w:divsChild>
        <w:div w:id="641927965">
          <w:marLeft w:val="547"/>
          <w:marRight w:val="0"/>
          <w:marTop w:val="170"/>
          <w:marBottom w:val="0"/>
          <w:divBdr>
            <w:top w:val="none" w:sz="0" w:space="0" w:color="auto"/>
            <w:left w:val="none" w:sz="0" w:space="0" w:color="auto"/>
            <w:bottom w:val="none" w:sz="0" w:space="0" w:color="auto"/>
            <w:right w:val="none" w:sz="0" w:space="0" w:color="auto"/>
          </w:divBdr>
        </w:div>
      </w:divsChild>
    </w:div>
    <w:div w:id="1502627167">
      <w:bodyDiv w:val="1"/>
      <w:marLeft w:val="0"/>
      <w:marRight w:val="0"/>
      <w:marTop w:val="0"/>
      <w:marBottom w:val="0"/>
      <w:divBdr>
        <w:top w:val="none" w:sz="0" w:space="0" w:color="auto"/>
        <w:left w:val="none" w:sz="0" w:space="0" w:color="auto"/>
        <w:bottom w:val="none" w:sz="0" w:space="0" w:color="auto"/>
        <w:right w:val="none" w:sz="0" w:space="0" w:color="auto"/>
      </w:divBdr>
      <w:divsChild>
        <w:div w:id="514541609">
          <w:marLeft w:val="547"/>
          <w:marRight w:val="0"/>
          <w:marTop w:val="170"/>
          <w:marBottom w:val="0"/>
          <w:divBdr>
            <w:top w:val="none" w:sz="0" w:space="0" w:color="auto"/>
            <w:left w:val="none" w:sz="0" w:space="0" w:color="auto"/>
            <w:bottom w:val="none" w:sz="0" w:space="0" w:color="auto"/>
            <w:right w:val="none" w:sz="0" w:space="0" w:color="auto"/>
          </w:divBdr>
        </w:div>
        <w:div w:id="1504710136">
          <w:marLeft w:val="547"/>
          <w:marRight w:val="0"/>
          <w:marTop w:val="170"/>
          <w:marBottom w:val="0"/>
          <w:divBdr>
            <w:top w:val="none" w:sz="0" w:space="0" w:color="auto"/>
            <w:left w:val="none" w:sz="0" w:space="0" w:color="auto"/>
            <w:bottom w:val="none" w:sz="0" w:space="0" w:color="auto"/>
            <w:right w:val="none" w:sz="0" w:space="0" w:color="auto"/>
          </w:divBdr>
        </w:div>
        <w:div w:id="853570547">
          <w:marLeft w:val="547"/>
          <w:marRight w:val="0"/>
          <w:marTop w:val="170"/>
          <w:marBottom w:val="0"/>
          <w:divBdr>
            <w:top w:val="none" w:sz="0" w:space="0" w:color="auto"/>
            <w:left w:val="none" w:sz="0" w:space="0" w:color="auto"/>
            <w:bottom w:val="none" w:sz="0" w:space="0" w:color="auto"/>
            <w:right w:val="none" w:sz="0" w:space="0" w:color="auto"/>
          </w:divBdr>
        </w:div>
      </w:divsChild>
    </w:div>
    <w:div w:id="1614284075">
      <w:bodyDiv w:val="1"/>
      <w:marLeft w:val="0"/>
      <w:marRight w:val="0"/>
      <w:marTop w:val="0"/>
      <w:marBottom w:val="0"/>
      <w:divBdr>
        <w:top w:val="none" w:sz="0" w:space="0" w:color="auto"/>
        <w:left w:val="none" w:sz="0" w:space="0" w:color="auto"/>
        <w:bottom w:val="none" w:sz="0" w:space="0" w:color="auto"/>
        <w:right w:val="none" w:sz="0" w:space="0" w:color="auto"/>
      </w:divBdr>
    </w:div>
    <w:div w:id="1699311909">
      <w:bodyDiv w:val="1"/>
      <w:marLeft w:val="0"/>
      <w:marRight w:val="0"/>
      <w:marTop w:val="0"/>
      <w:marBottom w:val="0"/>
      <w:divBdr>
        <w:top w:val="none" w:sz="0" w:space="0" w:color="auto"/>
        <w:left w:val="none" w:sz="0" w:space="0" w:color="auto"/>
        <w:bottom w:val="none" w:sz="0" w:space="0" w:color="auto"/>
        <w:right w:val="none" w:sz="0" w:space="0" w:color="auto"/>
      </w:divBdr>
      <w:divsChild>
        <w:div w:id="1256748727">
          <w:marLeft w:val="547"/>
          <w:marRight w:val="0"/>
          <w:marTop w:val="170"/>
          <w:marBottom w:val="0"/>
          <w:divBdr>
            <w:top w:val="none" w:sz="0" w:space="0" w:color="auto"/>
            <w:left w:val="none" w:sz="0" w:space="0" w:color="auto"/>
            <w:bottom w:val="none" w:sz="0" w:space="0" w:color="auto"/>
            <w:right w:val="none" w:sz="0" w:space="0" w:color="auto"/>
          </w:divBdr>
        </w:div>
        <w:div w:id="772825471">
          <w:marLeft w:val="547"/>
          <w:marRight w:val="0"/>
          <w:marTop w:val="170"/>
          <w:marBottom w:val="0"/>
          <w:divBdr>
            <w:top w:val="none" w:sz="0" w:space="0" w:color="auto"/>
            <w:left w:val="none" w:sz="0" w:space="0" w:color="auto"/>
            <w:bottom w:val="none" w:sz="0" w:space="0" w:color="auto"/>
            <w:right w:val="none" w:sz="0" w:space="0" w:color="auto"/>
          </w:divBdr>
        </w:div>
      </w:divsChild>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725567319">
      <w:bodyDiv w:val="1"/>
      <w:marLeft w:val="0"/>
      <w:marRight w:val="0"/>
      <w:marTop w:val="0"/>
      <w:marBottom w:val="0"/>
      <w:divBdr>
        <w:top w:val="none" w:sz="0" w:space="0" w:color="auto"/>
        <w:left w:val="none" w:sz="0" w:space="0" w:color="auto"/>
        <w:bottom w:val="none" w:sz="0" w:space="0" w:color="auto"/>
        <w:right w:val="none" w:sz="0" w:space="0" w:color="auto"/>
      </w:divBdr>
    </w:div>
    <w:div w:id="1785886752">
      <w:bodyDiv w:val="1"/>
      <w:marLeft w:val="0"/>
      <w:marRight w:val="0"/>
      <w:marTop w:val="0"/>
      <w:marBottom w:val="0"/>
      <w:divBdr>
        <w:top w:val="none" w:sz="0" w:space="0" w:color="auto"/>
        <w:left w:val="none" w:sz="0" w:space="0" w:color="auto"/>
        <w:bottom w:val="none" w:sz="0" w:space="0" w:color="auto"/>
        <w:right w:val="none" w:sz="0" w:space="0" w:color="auto"/>
      </w:divBdr>
      <w:divsChild>
        <w:div w:id="1629701891">
          <w:marLeft w:val="547"/>
          <w:marRight w:val="0"/>
          <w:marTop w:val="170"/>
          <w:marBottom w:val="0"/>
          <w:divBdr>
            <w:top w:val="none" w:sz="0" w:space="0" w:color="auto"/>
            <w:left w:val="none" w:sz="0" w:space="0" w:color="auto"/>
            <w:bottom w:val="none" w:sz="0" w:space="0" w:color="auto"/>
            <w:right w:val="none" w:sz="0" w:space="0" w:color="auto"/>
          </w:divBdr>
        </w:div>
      </w:divsChild>
    </w:div>
    <w:div w:id="1824470161">
      <w:bodyDiv w:val="1"/>
      <w:marLeft w:val="0"/>
      <w:marRight w:val="0"/>
      <w:marTop w:val="0"/>
      <w:marBottom w:val="0"/>
      <w:divBdr>
        <w:top w:val="none" w:sz="0" w:space="0" w:color="auto"/>
        <w:left w:val="none" w:sz="0" w:space="0" w:color="auto"/>
        <w:bottom w:val="none" w:sz="0" w:space="0" w:color="auto"/>
        <w:right w:val="none" w:sz="0" w:space="0" w:color="auto"/>
      </w:divBdr>
    </w:div>
    <w:div w:id="1990479597">
      <w:bodyDiv w:val="1"/>
      <w:marLeft w:val="0"/>
      <w:marRight w:val="0"/>
      <w:marTop w:val="0"/>
      <w:marBottom w:val="0"/>
      <w:divBdr>
        <w:top w:val="none" w:sz="0" w:space="0" w:color="auto"/>
        <w:left w:val="none" w:sz="0" w:space="0" w:color="auto"/>
        <w:bottom w:val="none" w:sz="0" w:space="0" w:color="auto"/>
        <w:right w:val="none" w:sz="0" w:space="0" w:color="auto"/>
      </w:divBdr>
      <w:divsChild>
        <w:div w:id="1719275712">
          <w:marLeft w:val="547"/>
          <w:marRight w:val="0"/>
          <w:marTop w:val="170"/>
          <w:marBottom w:val="0"/>
          <w:divBdr>
            <w:top w:val="none" w:sz="0" w:space="0" w:color="auto"/>
            <w:left w:val="none" w:sz="0" w:space="0" w:color="auto"/>
            <w:bottom w:val="none" w:sz="0" w:space="0" w:color="auto"/>
            <w:right w:val="none" w:sz="0" w:space="0" w:color="auto"/>
          </w:divBdr>
        </w:div>
        <w:div w:id="598218898">
          <w:marLeft w:val="994"/>
          <w:marRight w:val="0"/>
          <w:marTop w:val="170"/>
          <w:marBottom w:val="0"/>
          <w:divBdr>
            <w:top w:val="none" w:sz="0" w:space="0" w:color="auto"/>
            <w:left w:val="none" w:sz="0" w:space="0" w:color="auto"/>
            <w:bottom w:val="none" w:sz="0" w:space="0" w:color="auto"/>
            <w:right w:val="none" w:sz="0" w:space="0" w:color="auto"/>
          </w:divBdr>
        </w:div>
        <w:div w:id="1070807217">
          <w:marLeft w:val="994"/>
          <w:marRight w:val="0"/>
          <w:marTop w:val="170"/>
          <w:marBottom w:val="0"/>
          <w:divBdr>
            <w:top w:val="none" w:sz="0" w:space="0" w:color="auto"/>
            <w:left w:val="none" w:sz="0" w:space="0" w:color="auto"/>
            <w:bottom w:val="none" w:sz="0" w:space="0" w:color="auto"/>
            <w:right w:val="none" w:sz="0" w:space="0" w:color="auto"/>
          </w:divBdr>
        </w:div>
      </w:divsChild>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 w:id="2079278689">
      <w:bodyDiv w:val="1"/>
      <w:marLeft w:val="0"/>
      <w:marRight w:val="0"/>
      <w:marTop w:val="0"/>
      <w:marBottom w:val="0"/>
      <w:divBdr>
        <w:top w:val="none" w:sz="0" w:space="0" w:color="auto"/>
        <w:left w:val="none" w:sz="0" w:space="0" w:color="auto"/>
        <w:bottom w:val="none" w:sz="0" w:space="0" w:color="auto"/>
        <w:right w:val="none" w:sz="0" w:space="0" w:color="auto"/>
      </w:divBdr>
    </w:div>
    <w:div w:id="2088728612">
      <w:bodyDiv w:val="1"/>
      <w:marLeft w:val="0"/>
      <w:marRight w:val="0"/>
      <w:marTop w:val="0"/>
      <w:marBottom w:val="0"/>
      <w:divBdr>
        <w:top w:val="none" w:sz="0" w:space="0" w:color="auto"/>
        <w:left w:val="none" w:sz="0" w:space="0" w:color="auto"/>
        <w:bottom w:val="none" w:sz="0" w:space="0" w:color="auto"/>
        <w:right w:val="none" w:sz="0" w:space="0" w:color="auto"/>
      </w:divBdr>
      <w:divsChild>
        <w:div w:id="980502461">
          <w:marLeft w:val="547"/>
          <w:marRight w:val="0"/>
          <w:marTop w:val="170"/>
          <w:marBottom w:val="0"/>
          <w:divBdr>
            <w:top w:val="none" w:sz="0" w:space="0" w:color="auto"/>
            <w:left w:val="none" w:sz="0" w:space="0" w:color="auto"/>
            <w:bottom w:val="none" w:sz="0" w:space="0" w:color="auto"/>
            <w:right w:val="none" w:sz="0" w:space="0" w:color="auto"/>
          </w:divBdr>
        </w:div>
        <w:div w:id="2105148070">
          <w:marLeft w:val="547"/>
          <w:marRight w:val="0"/>
          <w:marTop w:val="170"/>
          <w:marBottom w:val="0"/>
          <w:divBdr>
            <w:top w:val="none" w:sz="0" w:space="0" w:color="auto"/>
            <w:left w:val="none" w:sz="0" w:space="0" w:color="auto"/>
            <w:bottom w:val="none" w:sz="0" w:space="0" w:color="auto"/>
            <w:right w:val="none" w:sz="0" w:space="0" w:color="auto"/>
          </w:divBdr>
        </w:div>
        <w:div w:id="862212799">
          <w:marLeft w:val="547"/>
          <w:marRight w:val="0"/>
          <w:marTop w:val="170"/>
          <w:marBottom w:val="0"/>
          <w:divBdr>
            <w:top w:val="none" w:sz="0" w:space="0" w:color="auto"/>
            <w:left w:val="none" w:sz="0" w:space="0" w:color="auto"/>
            <w:bottom w:val="none" w:sz="0" w:space="0" w:color="auto"/>
            <w:right w:val="none" w:sz="0" w:space="0" w:color="auto"/>
          </w:divBdr>
        </w:div>
      </w:divsChild>
    </w:div>
    <w:div w:id="2092726862">
      <w:bodyDiv w:val="1"/>
      <w:marLeft w:val="0"/>
      <w:marRight w:val="0"/>
      <w:marTop w:val="0"/>
      <w:marBottom w:val="0"/>
      <w:divBdr>
        <w:top w:val="none" w:sz="0" w:space="0" w:color="auto"/>
        <w:left w:val="none" w:sz="0" w:space="0" w:color="auto"/>
        <w:bottom w:val="none" w:sz="0" w:space="0" w:color="auto"/>
        <w:right w:val="none" w:sz="0" w:space="0" w:color="auto"/>
      </w:divBdr>
      <w:divsChild>
        <w:div w:id="1781677060">
          <w:marLeft w:val="547"/>
          <w:marRight w:val="0"/>
          <w:marTop w:val="170"/>
          <w:marBottom w:val="0"/>
          <w:divBdr>
            <w:top w:val="none" w:sz="0" w:space="0" w:color="auto"/>
            <w:left w:val="none" w:sz="0" w:space="0" w:color="auto"/>
            <w:bottom w:val="none" w:sz="0" w:space="0" w:color="auto"/>
            <w:right w:val="none" w:sz="0" w:space="0" w:color="auto"/>
          </w:divBdr>
        </w:div>
        <w:div w:id="772211782">
          <w:marLeft w:val="547"/>
          <w:marRight w:val="0"/>
          <w:marTop w:val="170"/>
          <w:marBottom w:val="0"/>
          <w:divBdr>
            <w:top w:val="none" w:sz="0" w:space="0" w:color="auto"/>
            <w:left w:val="none" w:sz="0" w:space="0" w:color="auto"/>
            <w:bottom w:val="none" w:sz="0" w:space="0" w:color="auto"/>
            <w:right w:val="none" w:sz="0" w:space="0" w:color="auto"/>
          </w:divBdr>
        </w:div>
      </w:divsChild>
    </w:div>
    <w:div w:id="2098555611">
      <w:bodyDiv w:val="1"/>
      <w:marLeft w:val="0"/>
      <w:marRight w:val="0"/>
      <w:marTop w:val="0"/>
      <w:marBottom w:val="0"/>
      <w:divBdr>
        <w:top w:val="none" w:sz="0" w:space="0" w:color="auto"/>
        <w:left w:val="none" w:sz="0" w:space="0" w:color="auto"/>
        <w:bottom w:val="none" w:sz="0" w:space="0" w:color="auto"/>
        <w:right w:val="none" w:sz="0" w:space="0" w:color="auto"/>
      </w:divBdr>
      <w:divsChild>
        <w:div w:id="297076443">
          <w:marLeft w:val="547"/>
          <w:marRight w:val="0"/>
          <w:marTop w:val="170"/>
          <w:marBottom w:val="0"/>
          <w:divBdr>
            <w:top w:val="none" w:sz="0" w:space="0" w:color="auto"/>
            <w:left w:val="none" w:sz="0" w:space="0" w:color="auto"/>
            <w:bottom w:val="none" w:sz="0" w:space="0" w:color="auto"/>
            <w:right w:val="none" w:sz="0" w:space="0" w:color="auto"/>
          </w:divBdr>
        </w:div>
        <w:div w:id="1280719614">
          <w:marLeft w:val="547"/>
          <w:marRight w:val="0"/>
          <w:marTop w:val="170"/>
          <w:marBottom w:val="0"/>
          <w:divBdr>
            <w:top w:val="none" w:sz="0" w:space="0" w:color="auto"/>
            <w:left w:val="none" w:sz="0" w:space="0" w:color="auto"/>
            <w:bottom w:val="none" w:sz="0" w:space="0" w:color="auto"/>
            <w:right w:val="none" w:sz="0" w:space="0" w:color="auto"/>
          </w:divBdr>
        </w:div>
        <w:div w:id="1241476587">
          <w:marLeft w:val="547"/>
          <w:marRight w:val="0"/>
          <w:marTop w:val="17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dicines.org.uk/emc/product/8199/smpc" TargetMode="External"/><Relationship Id="rId13" Type="http://schemas.openxmlformats.org/officeDocument/2006/relationships/hyperlink" Target="https://www.nice.org.uk/get-involved/meetings-in-public/technology-appraisal-committ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et-Involved/Meetings-in-public/Technology-appraisal-Committee/Committee-A-Membe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ta40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ice.org.uk/guidance/ta383" TargetMode="External"/><Relationship Id="rId4" Type="http://schemas.openxmlformats.org/officeDocument/2006/relationships/settings" Target="settings.xml"/><Relationship Id="rId9" Type="http://schemas.openxmlformats.org/officeDocument/2006/relationships/hyperlink" Target="https://www.nice.org.uk/guidance/indevelopment/gid-ta10458"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55296-C161-4478-BEE2-E098140B1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3580</Words>
  <Characters>21222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24753</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Richard Mattock</dc:creator>
  <cp:keywords/>
  <cp:lastModifiedBy>Thomas Feist</cp:lastModifiedBy>
  <cp:revision>6</cp:revision>
  <cp:lastPrinted>2012-11-14T14:34:00Z</cp:lastPrinted>
  <dcterms:created xsi:type="dcterms:W3CDTF">2021-03-15T17:26:00Z</dcterms:created>
  <dcterms:modified xsi:type="dcterms:W3CDTF">2021-03-23T17:26:00Z</dcterms:modified>
</cp:coreProperties>
</file>