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D4D6C" w14:textId="77777777" w:rsidR="000F48EC" w:rsidRPr="004B08EF" w:rsidRDefault="000F48EC" w:rsidP="0093671F">
      <w:pPr>
        <w:pStyle w:val="Title2"/>
      </w:pPr>
      <w:r w:rsidRPr="004B08EF">
        <w:t>NATIONAL INSTITUTE FOR HEALTH AND C</w:t>
      </w:r>
      <w:r w:rsidR="00CC63EB" w:rsidRPr="004B08EF">
        <w:t>ARE</w:t>
      </w:r>
      <w:r w:rsidRPr="004B08EF">
        <w:t xml:space="preserve"> EXCELLENCE</w:t>
      </w:r>
    </w:p>
    <w:p w14:paraId="52BFFC14" w14:textId="4EF21CF2" w:rsidR="000F48EC" w:rsidRPr="004B08EF" w:rsidRDefault="004208C3" w:rsidP="000069F9">
      <w:pPr>
        <w:pStyle w:val="Title2"/>
      </w:pPr>
      <w:r w:rsidRPr="004B08EF">
        <w:t xml:space="preserve">Appraisal consultation </w:t>
      </w:r>
      <w:r w:rsidR="000F48EC" w:rsidRPr="004B08EF">
        <w:t>d</w:t>
      </w:r>
      <w:r w:rsidR="00A915F3" w:rsidRPr="004B08EF">
        <w:t>ocument</w:t>
      </w:r>
    </w:p>
    <w:p w14:paraId="645A73BA" w14:textId="7AC6277C" w:rsidR="0046627B" w:rsidRPr="004B08EF" w:rsidRDefault="00B00496" w:rsidP="00763FD3">
      <w:pPr>
        <w:pStyle w:val="Title1"/>
      </w:pPr>
      <w:r w:rsidRPr="004B08EF">
        <w:t>Secukinumab for treating non-radiographic axial spondyloarthritis</w:t>
      </w:r>
    </w:p>
    <w:p w14:paraId="054A1D8B" w14:textId="20756AF8" w:rsidR="004921C3" w:rsidRPr="004B08EF" w:rsidRDefault="004921C3" w:rsidP="004921C3">
      <w:pPr>
        <w:pStyle w:val="NICEnormal"/>
      </w:pPr>
    </w:p>
    <w:p w14:paraId="13AA2A51" w14:textId="02261A54" w:rsidR="0046627B" w:rsidRPr="004B08EF" w:rsidRDefault="0046627B" w:rsidP="004921C3">
      <w:pPr>
        <w:pStyle w:val="NICEnormal"/>
      </w:pPr>
    </w:p>
    <w:p w14:paraId="0ACCC523" w14:textId="6CB3812B" w:rsidR="0046627B" w:rsidRPr="004B08EF" w:rsidRDefault="0046627B" w:rsidP="004921C3">
      <w:pPr>
        <w:pStyle w:val="NICEnormal"/>
      </w:pPr>
    </w:p>
    <w:p w14:paraId="3D6F3AF5" w14:textId="6F35ACBB" w:rsidR="0046627B" w:rsidRPr="004B08EF" w:rsidRDefault="0046627B" w:rsidP="004921C3">
      <w:pPr>
        <w:pStyle w:val="NICEnormal"/>
      </w:pPr>
    </w:p>
    <w:p w14:paraId="79307911" w14:textId="53A17A2F" w:rsidR="0046627B" w:rsidRPr="004B08EF" w:rsidRDefault="0046627B" w:rsidP="004921C3">
      <w:pPr>
        <w:pStyle w:val="NICEnormal"/>
      </w:pPr>
    </w:p>
    <w:p w14:paraId="74D94466" w14:textId="4E21E967" w:rsidR="0046627B" w:rsidRPr="004B08EF" w:rsidRDefault="0046627B" w:rsidP="004921C3">
      <w:pPr>
        <w:pStyle w:val="NICEnormal"/>
      </w:pPr>
    </w:p>
    <w:p w14:paraId="0603E113" w14:textId="5DDE4269" w:rsidR="0046627B" w:rsidRPr="004B08EF" w:rsidRDefault="0046627B" w:rsidP="004921C3">
      <w:pPr>
        <w:pStyle w:val="NICEnormal"/>
      </w:pPr>
    </w:p>
    <w:p w14:paraId="32A68BF0" w14:textId="3A534F34" w:rsidR="0046627B" w:rsidRPr="004B08EF" w:rsidRDefault="0046627B" w:rsidP="004921C3">
      <w:pPr>
        <w:pStyle w:val="NICEnormal"/>
      </w:pPr>
    </w:p>
    <w:p w14:paraId="29124FA4" w14:textId="3E860093" w:rsidR="0046627B" w:rsidRPr="004B08EF" w:rsidRDefault="0046627B" w:rsidP="004921C3">
      <w:pPr>
        <w:pStyle w:val="NICEnormal"/>
      </w:pPr>
    </w:p>
    <w:p w14:paraId="35D0D182" w14:textId="2702345B" w:rsidR="0046627B" w:rsidRPr="004B08EF" w:rsidRDefault="0046627B" w:rsidP="004921C3">
      <w:pPr>
        <w:pStyle w:val="NICEnormal"/>
      </w:pPr>
    </w:p>
    <w:p w14:paraId="1A9F4F84" w14:textId="4CCF2F3F" w:rsidR="0046627B" w:rsidRPr="004B08EF" w:rsidRDefault="0046627B" w:rsidP="004921C3">
      <w:pPr>
        <w:pStyle w:val="NICEnormal"/>
      </w:pPr>
    </w:p>
    <w:p w14:paraId="4354648B" w14:textId="17A20E7A" w:rsidR="0046627B" w:rsidRPr="004B08EF" w:rsidRDefault="0046627B" w:rsidP="004921C3">
      <w:pPr>
        <w:pStyle w:val="NICEnormal"/>
      </w:pPr>
    </w:p>
    <w:p w14:paraId="3F1219F7" w14:textId="347AE2B0" w:rsidR="0046627B" w:rsidRPr="004B08EF" w:rsidRDefault="0046627B" w:rsidP="004921C3">
      <w:pPr>
        <w:pStyle w:val="NICEnormal"/>
      </w:pPr>
    </w:p>
    <w:p w14:paraId="69573820" w14:textId="52111AAF" w:rsidR="0046627B" w:rsidRPr="004B08EF" w:rsidRDefault="0046627B" w:rsidP="004921C3">
      <w:pPr>
        <w:pStyle w:val="NICEnormal"/>
      </w:pPr>
    </w:p>
    <w:p w14:paraId="092C5794" w14:textId="36B65B1B" w:rsidR="0046627B" w:rsidRPr="004B08EF" w:rsidRDefault="0046627B" w:rsidP="004921C3">
      <w:pPr>
        <w:pStyle w:val="NICEnormal"/>
      </w:pPr>
    </w:p>
    <w:p w14:paraId="0CD1F3E7" w14:textId="77777777" w:rsidR="00B27AE8" w:rsidRPr="004B08EF" w:rsidRDefault="00B27AE8" w:rsidP="004921C3">
      <w:pPr>
        <w:pStyle w:val="NICEnormal"/>
      </w:pPr>
    </w:p>
    <w:p w14:paraId="03A59FE6" w14:textId="699B6BC8" w:rsidR="000F48EC" w:rsidRPr="004B08EF" w:rsidRDefault="00B379C5" w:rsidP="0046627B">
      <w:pPr>
        <w:pStyle w:val="Numberedheading1"/>
      </w:pPr>
      <w:r w:rsidRPr="004B08EF">
        <w:lastRenderedPageBreak/>
        <w:t>Recommendations</w:t>
      </w:r>
    </w:p>
    <w:p w14:paraId="681E871D" w14:textId="793A6501" w:rsidR="009A1A3A" w:rsidRPr="004B08EF" w:rsidRDefault="003B7A86" w:rsidP="00721F5A">
      <w:pPr>
        <w:pStyle w:val="Numberedlevel2text"/>
        <w:rPr>
          <w:rStyle w:val="Numberedlevel2textChar"/>
          <w:bCs/>
          <w:iCs/>
          <w:lang w:val="en-GB"/>
        </w:rPr>
      </w:pPr>
      <w:r w:rsidRPr="004B08EF">
        <w:rPr>
          <w:rStyle w:val="Numberedlevel2textChar"/>
          <w:lang w:val="en-GB"/>
        </w:rPr>
        <w:t>Secukinumab</w:t>
      </w:r>
      <w:r w:rsidR="007A2801" w:rsidRPr="004B08EF">
        <w:rPr>
          <w:lang w:val="en-GB"/>
        </w:rPr>
        <w:t xml:space="preserve"> is recommended as an option for </w:t>
      </w:r>
      <w:r w:rsidR="009A1A3A" w:rsidRPr="004B08EF">
        <w:rPr>
          <w:lang w:val="en-GB"/>
        </w:rPr>
        <w:t>treating</w:t>
      </w:r>
      <w:r w:rsidRPr="004B08EF">
        <w:rPr>
          <w:rFonts w:ascii="Times New Roman" w:hAnsi="Times New Roman"/>
          <w:lang w:val="en-GB"/>
        </w:rPr>
        <w:t xml:space="preserve"> </w:t>
      </w:r>
      <w:r w:rsidRPr="004B08EF">
        <w:rPr>
          <w:lang w:val="en-GB"/>
        </w:rPr>
        <w:t>active non-radiographic axial spondyloarthritis with objective signs of inflammation</w:t>
      </w:r>
      <w:r w:rsidR="00FB6BFC" w:rsidRPr="004B08EF">
        <w:rPr>
          <w:lang w:val="en-GB"/>
        </w:rPr>
        <w:t xml:space="preserve"> </w:t>
      </w:r>
      <w:r w:rsidR="008E16AF" w:rsidRPr="004B08EF">
        <w:rPr>
          <w:lang w:val="en-GB"/>
        </w:rPr>
        <w:t>(</w:t>
      </w:r>
      <w:r w:rsidR="005841EF">
        <w:rPr>
          <w:lang w:val="en-GB"/>
        </w:rPr>
        <w:t xml:space="preserve">shown by </w:t>
      </w:r>
      <w:r w:rsidR="008E16AF" w:rsidRPr="004B08EF">
        <w:rPr>
          <w:rStyle w:val="Numberedlevel2textChar"/>
          <w:lang w:val="en-GB"/>
        </w:rPr>
        <w:t>elevated C-reactive protein or MRI</w:t>
      </w:r>
      <w:r w:rsidR="005841EF">
        <w:rPr>
          <w:rStyle w:val="Numberedlevel2textChar"/>
          <w:lang w:val="en-GB"/>
        </w:rPr>
        <w:t>, or both</w:t>
      </w:r>
      <w:r w:rsidR="008E16AF" w:rsidRPr="004B08EF">
        <w:rPr>
          <w:rStyle w:val="Numberedlevel2textChar"/>
          <w:lang w:val="en-GB"/>
        </w:rPr>
        <w:t>)</w:t>
      </w:r>
      <w:r w:rsidR="00CE347F">
        <w:rPr>
          <w:rStyle w:val="Numberedlevel2textChar"/>
          <w:lang w:val="en-GB"/>
        </w:rPr>
        <w:t xml:space="preserve"> </w:t>
      </w:r>
      <w:r w:rsidR="00CE347F" w:rsidRPr="00CE347F">
        <w:rPr>
          <w:rStyle w:val="Numberedlevel2textChar"/>
          <w:lang w:val="en-GB"/>
        </w:rPr>
        <w:t>that has responded inadequately</w:t>
      </w:r>
      <w:r w:rsidR="00CE347F" w:rsidRPr="00CE347F">
        <w:rPr>
          <w:rStyle w:val="Numberedlevel2textChar"/>
        </w:rPr>
        <w:t xml:space="preserve"> to non-steroidal anti-inflammatory drugs (NSAIDs</w:t>
      </w:r>
      <w:r w:rsidR="00CE347F" w:rsidRPr="00CE347F">
        <w:rPr>
          <w:rStyle w:val="Numberedlevel2textChar"/>
          <w:lang w:val="en-GB"/>
        </w:rPr>
        <w:t>)</w:t>
      </w:r>
      <w:r w:rsidR="008E16AF" w:rsidRPr="004B08EF">
        <w:rPr>
          <w:rStyle w:val="Numberedlevel2textChar"/>
          <w:lang w:val="en-GB"/>
        </w:rPr>
        <w:t xml:space="preserve"> </w:t>
      </w:r>
      <w:r w:rsidR="00FB6BFC" w:rsidRPr="004B08EF">
        <w:rPr>
          <w:lang w:val="en-GB"/>
        </w:rPr>
        <w:t>in adults</w:t>
      </w:r>
      <w:r w:rsidR="00B40185" w:rsidRPr="004B08EF">
        <w:rPr>
          <w:lang w:val="en-GB"/>
        </w:rPr>
        <w:t>. It</w:t>
      </w:r>
      <w:r w:rsidRPr="004B08EF">
        <w:rPr>
          <w:lang w:val="en-GB"/>
        </w:rPr>
        <w:t xml:space="preserve"> </w:t>
      </w:r>
      <w:r w:rsidR="008E16AF" w:rsidRPr="004B08EF">
        <w:rPr>
          <w:lang w:val="en-GB"/>
        </w:rPr>
        <w:t xml:space="preserve">is </w:t>
      </w:r>
      <w:r w:rsidR="00B40185" w:rsidRPr="004B08EF">
        <w:rPr>
          <w:rStyle w:val="Numberedlevel2textChar"/>
          <w:lang w:val="en-GB"/>
        </w:rPr>
        <w:t>recommended</w:t>
      </w:r>
      <w:r w:rsidR="007A2801" w:rsidRPr="004B08EF">
        <w:rPr>
          <w:rStyle w:val="Numberedlevel2textChar"/>
          <w:lang w:val="en-GB"/>
        </w:rPr>
        <w:t xml:space="preserve"> </w:t>
      </w:r>
      <w:r w:rsidR="008E16AF" w:rsidRPr="004B08EF">
        <w:rPr>
          <w:rStyle w:val="Numberedlevel2textChar"/>
          <w:lang w:val="en-GB"/>
        </w:rPr>
        <w:t xml:space="preserve">only </w:t>
      </w:r>
      <w:r w:rsidR="007A2801" w:rsidRPr="004B08EF">
        <w:rPr>
          <w:rStyle w:val="Numberedlevel2textChar"/>
          <w:lang w:val="en-GB"/>
        </w:rPr>
        <w:t>if</w:t>
      </w:r>
      <w:r w:rsidR="009A1A3A" w:rsidRPr="004B08EF">
        <w:rPr>
          <w:rStyle w:val="Numberedlevel2textChar"/>
          <w:lang w:val="en-GB"/>
        </w:rPr>
        <w:t>:</w:t>
      </w:r>
    </w:p>
    <w:p w14:paraId="206788DB" w14:textId="4F5322A8" w:rsidR="00B40185" w:rsidRPr="00CE347F" w:rsidRDefault="008E16AF" w:rsidP="00B40185">
      <w:pPr>
        <w:pStyle w:val="Bulletindent1"/>
        <w:rPr>
          <w:rStyle w:val="Numberedlevel2textChar"/>
          <w:bCs w:val="0"/>
          <w:iCs w:val="0"/>
          <w:szCs w:val="24"/>
          <w:lang w:val="en-GB"/>
        </w:rPr>
      </w:pPr>
      <w:r w:rsidRPr="004B08EF">
        <w:rPr>
          <w:rStyle w:val="Numberedlevel2textChar"/>
          <w:lang w:val="en-GB"/>
        </w:rPr>
        <w:t xml:space="preserve">the disease has responded inadequately to </w:t>
      </w:r>
      <w:r w:rsidR="00B40185" w:rsidRPr="004B08EF">
        <w:rPr>
          <w:rStyle w:val="Numberedlevel2textChar"/>
          <w:lang w:val="en-GB"/>
        </w:rPr>
        <w:t>tumour necrosis factor (</w:t>
      </w:r>
      <w:r w:rsidR="0086107E" w:rsidRPr="004B08EF">
        <w:rPr>
          <w:rStyle w:val="Numberedlevel2textChar"/>
          <w:lang w:val="en-GB"/>
        </w:rPr>
        <w:t>TNF</w:t>
      </w:r>
      <w:r w:rsidR="00B40185" w:rsidRPr="004B08EF">
        <w:rPr>
          <w:rStyle w:val="Numberedlevel2textChar"/>
          <w:lang w:val="en-GB"/>
        </w:rPr>
        <w:t>)</w:t>
      </w:r>
      <w:r w:rsidR="0086107E" w:rsidRPr="004B08EF">
        <w:rPr>
          <w:rStyle w:val="Numberedlevel2textChar"/>
          <w:lang w:val="en-GB"/>
        </w:rPr>
        <w:t>-alpha inhibitors</w:t>
      </w:r>
      <w:r w:rsidRPr="004B08EF">
        <w:rPr>
          <w:rStyle w:val="Numberedlevel2textChar"/>
          <w:lang w:val="en-GB"/>
        </w:rPr>
        <w:t>, or these</w:t>
      </w:r>
      <w:r w:rsidR="0086107E" w:rsidRPr="004B08EF">
        <w:rPr>
          <w:rStyle w:val="Numberedlevel2textChar"/>
          <w:lang w:val="en-GB"/>
        </w:rPr>
        <w:t xml:space="preserve"> are </w:t>
      </w:r>
      <w:r w:rsidR="00D2396F" w:rsidRPr="004B08EF">
        <w:rPr>
          <w:rStyle w:val="Numberedlevel2textChar"/>
          <w:lang w:val="en-GB"/>
        </w:rPr>
        <w:t>contraindicated or not suitable</w:t>
      </w:r>
      <w:r w:rsidR="00F54D19" w:rsidRPr="004B08EF">
        <w:rPr>
          <w:rStyle w:val="Numberedlevel2textChar"/>
          <w:lang w:val="en-GB"/>
        </w:rPr>
        <w:t xml:space="preserve"> </w:t>
      </w:r>
    </w:p>
    <w:p w14:paraId="46D79E20" w14:textId="436554BB" w:rsidR="007A2801" w:rsidRPr="004B08EF" w:rsidRDefault="0086107E" w:rsidP="00CE347F">
      <w:pPr>
        <w:pStyle w:val="Bulletindent1last"/>
      </w:pPr>
      <w:r w:rsidRPr="004B08EF">
        <w:t xml:space="preserve">the company provides </w:t>
      </w:r>
      <w:r w:rsidRPr="00CE347F">
        <w:t>secukinumab</w:t>
      </w:r>
      <w:r w:rsidRPr="004B08EF">
        <w:t xml:space="preserve"> according to the commercial arrangement (see </w:t>
      </w:r>
      <w:hyperlink w:anchor="_Price" w:history="1">
        <w:r w:rsidRPr="004B08EF">
          <w:rPr>
            <w:rStyle w:val="Hyperlink"/>
          </w:rPr>
          <w:t>section 2</w:t>
        </w:r>
      </w:hyperlink>
      <w:r w:rsidRPr="004B08EF">
        <w:t>).</w:t>
      </w:r>
    </w:p>
    <w:p w14:paraId="433C7F68" w14:textId="05E4E1A2" w:rsidR="0086107E" w:rsidRPr="004B08EF" w:rsidRDefault="0086107E" w:rsidP="0086107E">
      <w:pPr>
        <w:pStyle w:val="Numberedlevel2text"/>
        <w:numPr>
          <w:ilvl w:val="1"/>
          <w:numId w:val="27"/>
        </w:numPr>
        <w:rPr>
          <w:rStyle w:val="Numberedlevel2textChar"/>
          <w:lang w:val="en-GB"/>
        </w:rPr>
      </w:pPr>
      <w:r w:rsidRPr="004B08EF">
        <w:rPr>
          <w:rStyle w:val="Numberedlevel2textChar"/>
          <w:lang w:val="en-GB"/>
        </w:rPr>
        <w:t xml:space="preserve">Assess </w:t>
      </w:r>
      <w:r w:rsidRPr="004B08EF">
        <w:rPr>
          <w:lang w:val="en-GB"/>
        </w:rPr>
        <w:t>response</w:t>
      </w:r>
      <w:r w:rsidRPr="004B08EF">
        <w:rPr>
          <w:rStyle w:val="Numberedlevel2textChar"/>
          <w:lang w:val="en-GB"/>
        </w:rPr>
        <w:t xml:space="preserve"> to secukinumab after 16 weeks of treatment</w:t>
      </w:r>
      <w:r w:rsidR="00BB7EE7" w:rsidRPr="004B08EF">
        <w:rPr>
          <w:rStyle w:val="Numberedlevel2textChar"/>
          <w:lang w:val="en-GB"/>
        </w:rPr>
        <w:t>. Continue treatment</w:t>
      </w:r>
      <w:r w:rsidRPr="004B08EF">
        <w:rPr>
          <w:rStyle w:val="Numberedlevel2textChar"/>
          <w:lang w:val="en-GB"/>
        </w:rPr>
        <w:t xml:space="preserve"> only if there is clear evidence of response, defined as:</w:t>
      </w:r>
    </w:p>
    <w:p w14:paraId="02F08FDB" w14:textId="77777777" w:rsidR="0086107E" w:rsidRPr="004B08EF" w:rsidRDefault="0086107E" w:rsidP="0086107E">
      <w:pPr>
        <w:pStyle w:val="Bulletindent1"/>
        <w:rPr>
          <w:rStyle w:val="Numberedlevel2textChar"/>
          <w:bCs w:val="0"/>
          <w:iCs w:val="0"/>
          <w:szCs w:val="24"/>
          <w:lang w:val="en-GB"/>
        </w:rPr>
      </w:pPr>
      <w:r w:rsidRPr="004B08EF">
        <w:rPr>
          <w:rStyle w:val="Numberedlevel2textChar"/>
          <w:bCs w:val="0"/>
          <w:iCs w:val="0"/>
          <w:szCs w:val="24"/>
          <w:lang w:val="en-GB"/>
        </w:rPr>
        <w:t xml:space="preserve">a reduction in the Bath Ankylosing Spondylitis Disease Activity Index (BASDAI) score to 50% of the </w:t>
      </w:r>
      <w:r w:rsidRPr="004B08EF">
        <w:t>pre</w:t>
      </w:r>
      <w:r w:rsidRPr="004B08EF">
        <w:rPr>
          <w:rFonts w:eastAsia="MS Gothic"/>
        </w:rPr>
        <w:t>-</w:t>
      </w:r>
      <w:r w:rsidRPr="004B08EF">
        <w:t>treatment</w:t>
      </w:r>
      <w:r w:rsidRPr="004B08EF">
        <w:rPr>
          <w:rStyle w:val="Numberedlevel2textChar"/>
          <w:bCs w:val="0"/>
          <w:iCs w:val="0"/>
          <w:szCs w:val="24"/>
          <w:lang w:val="en-GB"/>
        </w:rPr>
        <w:t xml:space="preserve"> value or by 2 or more units and</w:t>
      </w:r>
    </w:p>
    <w:p w14:paraId="61CB6B38" w14:textId="65B31368" w:rsidR="0086107E" w:rsidRPr="004B08EF" w:rsidRDefault="0086107E" w:rsidP="0086107E">
      <w:pPr>
        <w:pStyle w:val="Bulletindent1last"/>
        <w:rPr>
          <w:rStyle w:val="Numberedlevel2textChar"/>
          <w:bCs w:val="0"/>
          <w:iCs w:val="0"/>
          <w:szCs w:val="24"/>
          <w:lang w:val="en-GB"/>
        </w:rPr>
      </w:pPr>
      <w:r w:rsidRPr="004B08EF">
        <w:rPr>
          <w:rStyle w:val="Numberedlevel2textChar"/>
          <w:bCs w:val="0"/>
          <w:iCs w:val="0"/>
          <w:szCs w:val="24"/>
          <w:lang w:val="en-GB"/>
        </w:rPr>
        <w:t>a reduction in the spinal pain visual analogue scale (VAS) by 2</w:t>
      </w:r>
      <w:r w:rsidR="00D53956" w:rsidRPr="004B08EF">
        <w:rPr>
          <w:rStyle w:val="Numberedlevel2textChar"/>
          <w:bCs w:val="0"/>
          <w:iCs w:val="0"/>
          <w:szCs w:val="24"/>
          <w:lang w:val="en-GB"/>
        </w:rPr>
        <w:t> </w:t>
      </w:r>
      <w:r w:rsidRPr="004B08EF">
        <w:rPr>
          <w:rStyle w:val="Numberedlevel2textChar"/>
          <w:bCs w:val="0"/>
          <w:iCs w:val="0"/>
          <w:szCs w:val="24"/>
          <w:lang w:val="en-GB"/>
        </w:rPr>
        <w:t>cm or more.</w:t>
      </w:r>
    </w:p>
    <w:p w14:paraId="53DD390F" w14:textId="6DA605A2" w:rsidR="0086107E" w:rsidRPr="004B08EF" w:rsidRDefault="00660076" w:rsidP="0086107E">
      <w:pPr>
        <w:pStyle w:val="Numberedlevel2text"/>
        <w:numPr>
          <w:ilvl w:val="1"/>
          <w:numId w:val="27"/>
        </w:numPr>
        <w:rPr>
          <w:rStyle w:val="Numberedlevel2textChar"/>
          <w:lang w:val="en-GB"/>
        </w:rPr>
      </w:pPr>
      <w:r>
        <w:rPr>
          <w:lang w:val="en-GB"/>
        </w:rPr>
        <w:t>T</w:t>
      </w:r>
      <w:r w:rsidRPr="004B08EF">
        <w:rPr>
          <w:rStyle w:val="Numberedlevel2textChar"/>
          <w:lang w:val="en-GB"/>
        </w:rPr>
        <w:t>ake into account any communication difficulties</w:t>
      </w:r>
      <w:r>
        <w:rPr>
          <w:rStyle w:val="Numberedlevel2textChar"/>
          <w:lang w:val="en-GB"/>
        </w:rPr>
        <w:t xml:space="preserve">, or </w:t>
      </w:r>
      <w:r w:rsidRPr="004B08EF">
        <w:rPr>
          <w:rStyle w:val="Numberedlevel2textChar"/>
          <w:lang w:val="en-GB"/>
        </w:rPr>
        <w:t>physical, psychological, sensory or learning disabilities</w:t>
      </w:r>
      <w:r>
        <w:rPr>
          <w:rStyle w:val="Numberedlevel2textChar"/>
          <w:lang w:val="en-GB"/>
        </w:rPr>
        <w:t xml:space="preserve"> </w:t>
      </w:r>
      <w:r w:rsidRPr="004B08EF">
        <w:rPr>
          <w:rStyle w:val="Numberedlevel2textChar"/>
          <w:lang w:val="en-GB"/>
        </w:rPr>
        <w:t>that could affect responses to</w:t>
      </w:r>
      <w:r>
        <w:rPr>
          <w:rStyle w:val="Numberedlevel2textChar"/>
          <w:lang w:val="en-GB"/>
        </w:rPr>
        <w:t xml:space="preserve"> </w:t>
      </w:r>
      <w:r w:rsidR="00AE73EA">
        <w:rPr>
          <w:rStyle w:val="Numberedlevel2textChar"/>
          <w:lang w:val="en-GB"/>
        </w:rPr>
        <w:t xml:space="preserve">the </w:t>
      </w:r>
      <w:r>
        <w:rPr>
          <w:rStyle w:val="Numberedlevel2textChar"/>
          <w:lang w:val="en-GB"/>
        </w:rPr>
        <w:t>BASDAI and spinal pain VAS question</w:t>
      </w:r>
      <w:r w:rsidR="005B5749">
        <w:rPr>
          <w:rStyle w:val="Numberedlevel2textChar"/>
          <w:lang w:val="en-GB"/>
        </w:rPr>
        <w:t>n</w:t>
      </w:r>
      <w:r>
        <w:rPr>
          <w:rStyle w:val="Numberedlevel2textChar"/>
          <w:lang w:val="en-GB"/>
        </w:rPr>
        <w:t>aires</w:t>
      </w:r>
      <w:r w:rsidRPr="004B08EF">
        <w:rPr>
          <w:rStyle w:val="Numberedlevel2textChar"/>
          <w:lang w:val="en-GB"/>
        </w:rPr>
        <w:t>, and make any appropriate adjustments.</w:t>
      </w:r>
    </w:p>
    <w:p w14:paraId="4169AB45" w14:textId="35F42284" w:rsidR="009A1A3A" w:rsidRPr="004B08EF" w:rsidRDefault="009A1A3A" w:rsidP="0086107E">
      <w:pPr>
        <w:pStyle w:val="Numberedlevel2text"/>
        <w:numPr>
          <w:ilvl w:val="1"/>
          <w:numId w:val="27"/>
        </w:numPr>
        <w:rPr>
          <w:rStyle w:val="Numberedlevel2textChar"/>
          <w:lang w:val="en-GB"/>
        </w:rPr>
      </w:pPr>
      <w:r w:rsidRPr="004B08EF">
        <w:rPr>
          <w:lang w:val="en-GB"/>
        </w:rPr>
        <w:t>These recommendations are not intended to affect treatment with secukinumab that was started in the NHS before this guidance was published. People having treatment outside these recommendations may continue without change to the funding arrangements in place for them before this guidance was published, until they and their NHS clinician consider it appropriate to stop.</w:t>
      </w:r>
    </w:p>
    <w:p w14:paraId="4DE0A37D" w14:textId="77777777" w:rsidR="00D53956" w:rsidRPr="004B08EF" w:rsidRDefault="00D53956" w:rsidP="008522C6">
      <w:pPr>
        <w:pStyle w:val="NICEnormal"/>
        <w:rPr>
          <w:b/>
        </w:rPr>
      </w:pPr>
    </w:p>
    <w:p w14:paraId="24D6AED5" w14:textId="52B03B52" w:rsidR="00C11F58" w:rsidRPr="004B08EF" w:rsidRDefault="00C11F58" w:rsidP="008522C6">
      <w:pPr>
        <w:pStyle w:val="NICEnormal"/>
        <w:rPr>
          <w:b/>
        </w:rPr>
      </w:pPr>
      <w:r w:rsidRPr="004B08EF">
        <w:rPr>
          <w:b/>
        </w:rPr>
        <w:lastRenderedPageBreak/>
        <w:t>Why the committee made these recommendations</w:t>
      </w:r>
    </w:p>
    <w:p w14:paraId="29C86CE7" w14:textId="420FA659" w:rsidR="00F14EB2" w:rsidRPr="004B08EF" w:rsidRDefault="00716211" w:rsidP="00265058">
      <w:pPr>
        <w:pStyle w:val="NICEnormal"/>
      </w:pPr>
      <w:r w:rsidRPr="004B08EF">
        <w:t>T</w:t>
      </w:r>
      <w:r w:rsidR="00F14EB2" w:rsidRPr="004B08EF">
        <w:t>reatment for non-radiographic axial spondyloarthritis</w:t>
      </w:r>
      <w:r w:rsidR="00747378" w:rsidRPr="004B08EF">
        <w:t xml:space="preserve"> that has not responded to </w:t>
      </w:r>
      <w:r w:rsidR="00F33B84" w:rsidRPr="006505A1">
        <w:rPr>
          <w:rStyle w:val="Numberedlevel2textChar"/>
        </w:rPr>
        <w:t>NSAIDs</w:t>
      </w:r>
      <w:r w:rsidR="00F33B84">
        <w:rPr>
          <w:rStyle w:val="Numberedlevel2textChar"/>
          <w:lang w:val="en-GB"/>
        </w:rPr>
        <w:t xml:space="preserve"> </w:t>
      </w:r>
      <w:r w:rsidR="00B462F4" w:rsidRPr="004B08EF">
        <w:t xml:space="preserve">is limited to </w:t>
      </w:r>
      <w:r w:rsidR="00F14EB2" w:rsidRPr="004B08EF">
        <w:t xml:space="preserve">TNF-alpha inhibitors (adalimumab, certolizumab pegol, etanercept </w:t>
      </w:r>
      <w:r w:rsidR="00BB7EE7" w:rsidRPr="004B08EF">
        <w:t xml:space="preserve">and </w:t>
      </w:r>
      <w:r w:rsidR="00F14EB2" w:rsidRPr="004B08EF">
        <w:t xml:space="preserve">golimumab). There are no treatment options </w:t>
      </w:r>
      <w:r w:rsidR="00BD1C44" w:rsidRPr="004B08EF">
        <w:t>when</w:t>
      </w:r>
      <w:r w:rsidR="00930737" w:rsidRPr="004B08EF">
        <w:t xml:space="preserve"> people cannot have</w:t>
      </w:r>
      <w:r w:rsidR="00F14EB2" w:rsidRPr="004B08EF">
        <w:t xml:space="preserve"> TNF-alpha inhibitors</w:t>
      </w:r>
      <w:r w:rsidR="00FB6BFC" w:rsidRPr="004B08EF">
        <w:t>,</w:t>
      </w:r>
      <w:r w:rsidR="00F14EB2" w:rsidRPr="004B08EF">
        <w:t xml:space="preserve"> or</w:t>
      </w:r>
      <w:r w:rsidR="00BD1C44" w:rsidRPr="004B08EF">
        <w:t xml:space="preserve"> if</w:t>
      </w:r>
      <w:r w:rsidR="00F14EB2" w:rsidRPr="004B08EF">
        <w:t xml:space="preserve"> TNF-alpha inhibitors</w:t>
      </w:r>
      <w:r w:rsidR="00BD1C44" w:rsidRPr="004B08EF">
        <w:t xml:space="preserve"> have not worked</w:t>
      </w:r>
      <w:r w:rsidR="00874743" w:rsidRPr="004B08EF">
        <w:t xml:space="preserve"> well enough</w:t>
      </w:r>
      <w:r w:rsidR="00F14EB2" w:rsidRPr="004B08EF">
        <w:t>.</w:t>
      </w:r>
    </w:p>
    <w:p w14:paraId="0906A47A" w14:textId="73BE5BA2" w:rsidR="00F14EB2" w:rsidRPr="004B08EF" w:rsidRDefault="00F14EB2" w:rsidP="00265058">
      <w:pPr>
        <w:pStyle w:val="NICEnormal"/>
      </w:pPr>
      <w:r w:rsidRPr="004B08EF">
        <w:t xml:space="preserve">Clinical trial evidence shows that secukinumab </w:t>
      </w:r>
      <w:r w:rsidR="00BD1C44" w:rsidRPr="004B08EF">
        <w:t>is effective</w:t>
      </w:r>
      <w:r w:rsidRPr="004B08EF">
        <w:t xml:space="preserve"> compared with placebo. There are no </w:t>
      </w:r>
      <w:r w:rsidRPr="004B08EF">
        <w:rPr>
          <w:color w:val="000000" w:themeColor="text1"/>
        </w:rPr>
        <w:t xml:space="preserve">trials directly comparing secukinumab </w:t>
      </w:r>
      <w:r w:rsidRPr="004B08EF">
        <w:t>with TNF-alpha inhibitors</w:t>
      </w:r>
      <w:r w:rsidR="00100F0A" w:rsidRPr="004B08EF">
        <w:t>. B</w:t>
      </w:r>
      <w:r w:rsidRPr="004B08EF">
        <w:t xml:space="preserve">ut an indirect comparison </w:t>
      </w:r>
      <w:r w:rsidR="00BD1C44" w:rsidRPr="004B08EF">
        <w:t xml:space="preserve">suggests </w:t>
      </w:r>
      <w:r w:rsidRPr="004B08EF">
        <w:t xml:space="preserve">that secukinumab may </w:t>
      </w:r>
      <w:r w:rsidR="00BD1C44" w:rsidRPr="004B08EF">
        <w:t>be less effective</w:t>
      </w:r>
      <w:r w:rsidRPr="004B08EF">
        <w:t xml:space="preserve"> than TNF</w:t>
      </w:r>
      <w:r w:rsidR="00D53956" w:rsidRPr="004B08EF">
        <w:noBreakHyphen/>
      </w:r>
      <w:r w:rsidRPr="004B08EF">
        <w:t>alpha inhibitors.</w:t>
      </w:r>
      <w:r w:rsidR="00BD1C44" w:rsidRPr="004B08EF">
        <w:t xml:space="preserve"> However, this evidence is uncertain. </w:t>
      </w:r>
    </w:p>
    <w:p w14:paraId="0B68D90D" w14:textId="12F05D96" w:rsidR="00F14EB2" w:rsidRPr="004B08EF" w:rsidRDefault="00BD1C44" w:rsidP="00265058">
      <w:pPr>
        <w:pStyle w:val="NICEnormal"/>
      </w:pPr>
      <w:r w:rsidRPr="004B08EF">
        <w:t>S</w:t>
      </w:r>
      <w:r w:rsidR="00F14EB2" w:rsidRPr="004B08EF">
        <w:t xml:space="preserve">ecukinumab is only considered to be a cost-effective use of NHS resources </w:t>
      </w:r>
      <w:r w:rsidR="00930737" w:rsidRPr="004B08EF">
        <w:t>for</w:t>
      </w:r>
      <w:r w:rsidR="00F14EB2" w:rsidRPr="004B08EF">
        <w:t xml:space="preserve"> </w:t>
      </w:r>
      <w:r w:rsidR="00930737" w:rsidRPr="004B08EF">
        <w:t xml:space="preserve">people who cannot have </w:t>
      </w:r>
      <w:r w:rsidR="00F14EB2" w:rsidRPr="004B08EF">
        <w:t>TNF-alpha inhibitors</w:t>
      </w:r>
      <w:r w:rsidRPr="004B08EF">
        <w:t>,</w:t>
      </w:r>
      <w:r w:rsidR="00F14EB2" w:rsidRPr="004B08EF">
        <w:t xml:space="preserve"> or </w:t>
      </w:r>
      <w:r w:rsidR="00290373" w:rsidRPr="004B08EF">
        <w:t xml:space="preserve">when </w:t>
      </w:r>
      <w:r w:rsidR="00F14EB2" w:rsidRPr="004B08EF">
        <w:t>TNF-alpha inhibitors</w:t>
      </w:r>
      <w:r w:rsidRPr="004B08EF">
        <w:t xml:space="preserve"> have not worked</w:t>
      </w:r>
      <w:r w:rsidR="00874743" w:rsidRPr="004B08EF">
        <w:t xml:space="preserve"> well enough</w:t>
      </w:r>
      <w:r w:rsidR="00F14EB2" w:rsidRPr="004B08EF">
        <w:t>.</w:t>
      </w:r>
      <w:r w:rsidRPr="004B08EF">
        <w:t xml:space="preserve"> </w:t>
      </w:r>
      <w:r w:rsidR="00E65E35">
        <w:t>Therefore</w:t>
      </w:r>
      <w:r w:rsidRPr="004B08EF">
        <w:t>, it is recommended</w:t>
      </w:r>
      <w:r w:rsidR="004F4B76" w:rsidRPr="004B08EF">
        <w:t xml:space="preserve"> in these situations</w:t>
      </w:r>
      <w:r w:rsidRPr="004B08EF">
        <w:t xml:space="preserve">. </w:t>
      </w:r>
    </w:p>
    <w:p w14:paraId="5845D6EF" w14:textId="61B2A9ED" w:rsidR="00EA1CB1" w:rsidRPr="004B08EF" w:rsidRDefault="00EA1CB1" w:rsidP="00EA1CB1">
      <w:pPr>
        <w:pStyle w:val="Numberedheading1"/>
        <w:keepLines/>
      </w:pPr>
      <w:r w:rsidRPr="004B08EF">
        <w:t xml:space="preserve">Information about </w:t>
      </w:r>
      <w:r w:rsidR="0017316E" w:rsidRPr="004B08EF">
        <w:t>se</w:t>
      </w:r>
      <w:r w:rsidR="00CC2169" w:rsidRPr="004B08EF">
        <w:t>c</w:t>
      </w:r>
      <w:r w:rsidR="0017316E" w:rsidRPr="004B08EF">
        <w:t>ukinumab</w:t>
      </w:r>
    </w:p>
    <w:p w14:paraId="0A537A0D" w14:textId="41C51E04" w:rsidR="00B82A82" w:rsidRPr="004B08EF" w:rsidRDefault="00B82A82" w:rsidP="00B82A82">
      <w:pPr>
        <w:pStyle w:val="Heading2"/>
      </w:pPr>
      <w:r w:rsidRPr="004B08EF">
        <w:t xml:space="preserve">Marketing authorisation indication </w:t>
      </w:r>
    </w:p>
    <w:p w14:paraId="6CD9C5F6" w14:textId="43200704" w:rsidR="00B82A82" w:rsidRPr="004B08EF" w:rsidRDefault="006505A1" w:rsidP="00BC4B41">
      <w:pPr>
        <w:pStyle w:val="Numberedlevel2text"/>
        <w:numPr>
          <w:ilvl w:val="1"/>
          <w:numId w:val="1"/>
        </w:numPr>
        <w:rPr>
          <w:lang w:val="en-GB"/>
        </w:rPr>
      </w:pPr>
      <w:r w:rsidRPr="004B08EF">
        <w:rPr>
          <w:rStyle w:val="Numberedlevel2textChar"/>
          <w:lang w:val="en-GB"/>
        </w:rPr>
        <w:t xml:space="preserve">Secukinumab (Cosentyx, Novartis) is </w:t>
      </w:r>
      <w:r w:rsidR="00747378" w:rsidRPr="004B08EF">
        <w:rPr>
          <w:rStyle w:val="Numberedlevel2textChar"/>
          <w:lang w:val="en-GB"/>
        </w:rPr>
        <w:t>‘</w:t>
      </w:r>
      <w:r w:rsidRPr="004B08EF">
        <w:rPr>
          <w:rStyle w:val="Numberedlevel2textChar"/>
          <w:lang w:val="en-GB"/>
        </w:rPr>
        <w:t xml:space="preserve">indicated for the treatment </w:t>
      </w:r>
      <w:r w:rsidR="00747378" w:rsidRPr="004B08EF">
        <w:rPr>
          <w:rStyle w:val="Numberedlevel2textChar"/>
          <w:lang w:val="en-GB"/>
        </w:rPr>
        <w:t>of</w:t>
      </w:r>
      <w:r w:rsidR="00256864" w:rsidRPr="004B08EF">
        <w:rPr>
          <w:rStyle w:val="Numberedlevel2textChar"/>
          <w:lang w:val="en-GB"/>
        </w:rPr>
        <w:t xml:space="preserve"> </w:t>
      </w:r>
      <w:r w:rsidRPr="004B08EF">
        <w:rPr>
          <w:rStyle w:val="Numberedlevel2textChar"/>
          <w:lang w:val="en-GB"/>
        </w:rPr>
        <w:t>active non-radiographic axial spondyloarthritis with objective signs of inflammation as indicated by elevated C-reactive protein (CRP) and/or magnetic resonance imaging (MRI)</w:t>
      </w:r>
      <w:r w:rsidR="00B82DCD" w:rsidRPr="004B08EF">
        <w:rPr>
          <w:rStyle w:val="Numberedlevel2textChar"/>
          <w:lang w:val="en-GB"/>
        </w:rPr>
        <w:t xml:space="preserve"> </w:t>
      </w:r>
      <w:r w:rsidR="00747378" w:rsidRPr="004B08EF">
        <w:rPr>
          <w:rStyle w:val="Numberedlevel2textChar"/>
          <w:lang w:val="en-GB"/>
        </w:rPr>
        <w:t xml:space="preserve">in adults </w:t>
      </w:r>
      <w:r w:rsidRPr="004B08EF">
        <w:rPr>
          <w:rStyle w:val="Numberedlevel2textChar"/>
          <w:lang w:val="en-GB"/>
        </w:rPr>
        <w:t>who have responded inadequately to non-steroidal anti-inflammatory drugs (NSAIDs)</w:t>
      </w:r>
      <w:r w:rsidR="00747378" w:rsidRPr="004B08EF">
        <w:rPr>
          <w:rStyle w:val="Numberedlevel2textChar"/>
          <w:lang w:val="en-GB"/>
        </w:rPr>
        <w:t>’</w:t>
      </w:r>
      <w:r w:rsidR="00B82A82" w:rsidRPr="004B08EF">
        <w:rPr>
          <w:lang w:val="en-GB"/>
        </w:rPr>
        <w:t>.</w:t>
      </w:r>
    </w:p>
    <w:p w14:paraId="798C5517" w14:textId="6B892ADD" w:rsidR="00B82A82" w:rsidRPr="004B08EF" w:rsidRDefault="00B82A82" w:rsidP="00B82A82">
      <w:pPr>
        <w:pStyle w:val="Heading2"/>
      </w:pPr>
      <w:r w:rsidRPr="004B08EF">
        <w:t>Dosage in the marketing authorisation</w:t>
      </w:r>
    </w:p>
    <w:p w14:paraId="17A954C2" w14:textId="7955BE55" w:rsidR="00B82A82" w:rsidRPr="004B08EF" w:rsidRDefault="00FE2CE3" w:rsidP="00E42A95">
      <w:pPr>
        <w:pStyle w:val="Numberedlevel2text"/>
        <w:numPr>
          <w:ilvl w:val="1"/>
          <w:numId w:val="1"/>
        </w:numPr>
        <w:rPr>
          <w:rStyle w:val="Numberedlevel2textChar"/>
          <w:lang w:val="en-GB"/>
        </w:rPr>
      </w:pPr>
      <w:r w:rsidRPr="004B08EF">
        <w:rPr>
          <w:lang w:val="en-GB"/>
        </w:rPr>
        <w:t>The dosage schedule is</w:t>
      </w:r>
      <w:r w:rsidR="006505A1" w:rsidRPr="004B08EF">
        <w:rPr>
          <w:lang w:val="en-GB"/>
        </w:rPr>
        <w:t xml:space="preserve"> in the </w:t>
      </w:r>
      <w:hyperlink r:id="rId11" w:anchor="gref" w:history="1">
        <w:r w:rsidR="006505A1" w:rsidRPr="004B08EF">
          <w:rPr>
            <w:rStyle w:val="Hyperlink"/>
            <w:lang w:val="en-GB"/>
          </w:rPr>
          <w:t>summary of product characteristics</w:t>
        </w:r>
      </w:hyperlink>
      <w:r w:rsidR="006505A1" w:rsidRPr="004B08EF">
        <w:rPr>
          <w:lang w:val="en-GB"/>
        </w:rPr>
        <w:t>.</w:t>
      </w:r>
    </w:p>
    <w:p w14:paraId="562564A0" w14:textId="77777777" w:rsidR="00B82A82" w:rsidRPr="004B08EF" w:rsidRDefault="00B82A82" w:rsidP="00B82A82">
      <w:pPr>
        <w:pStyle w:val="Heading2"/>
      </w:pPr>
      <w:bookmarkStart w:id="0" w:name="_Price"/>
      <w:bookmarkEnd w:id="0"/>
      <w:r w:rsidRPr="004B08EF">
        <w:t>Price</w:t>
      </w:r>
    </w:p>
    <w:p w14:paraId="20E9D5A1" w14:textId="1CA80E7F" w:rsidR="00B82A82" w:rsidRPr="004B08EF" w:rsidRDefault="00660076" w:rsidP="00C97DFA">
      <w:pPr>
        <w:pStyle w:val="Numberedlevel2text"/>
        <w:numPr>
          <w:ilvl w:val="1"/>
          <w:numId w:val="1"/>
        </w:numPr>
        <w:rPr>
          <w:lang w:val="en-GB"/>
        </w:rPr>
      </w:pPr>
      <w:r>
        <w:rPr>
          <w:lang w:val="en-US"/>
        </w:rPr>
        <w:t xml:space="preserve">The list price is </w:t>
      </w:r>
      <w:r w:rsidRPr="00200581">
        <w:rPr>
          <w:lang w:val="en-US"/>
        </w:rPr>
        <w:t xml:space="preserve">£1,218.78 </w:t>
      </w:r>
      <w:r>
        <w:rPr>
          <w:lang w:val="en-US"/>
        </w:rPr>
        <w:t xml:space="preserve">for 2 pre-filled pens or syringes containing </w:t>
      </w:r>
      <w:r w:rsidR="00AE73EA">
        <w:rPr>
          <w:lang w:val="en-US"/>
        </w:rPr>
        <w:t>150 </w:t>
      </w:r>
      <w:r>
        <w:rPr>
          <w:lang w:val="en-US"/>
        </w:rPr>
        <w:t xml:space="preserve">mg per </w:t>
      </w:r>
      <w:r w:rsidR="00AE73EA">
        <w:rPr>
          <w:lang w:val="en-US"/>
        </w:rPr>
        <w:t>1 </w:t>
      </w:r>
      <w:r>
        <w:rPr>
          <w:lang w:val="en-US"/>
        </w:rPr>
        <w:t>ml solution</w:t>
      </w:r>
      <w:r w:rsidRPr="004B08EF">
        <w:rPr>
          <w:lang w:val="en-GB"/>
        </w:rPr>
        <w:t xml:space="preserve"> </w:t>
      </w:r>
      <w:r w:rsidR="002C5EA6" w:rsidRPr="004B08EF">
        <w:rPr>
          <w:lang w:val="en-GB"/>
        </w:rPr>
        <w:t>(excluding VAT, BNF online accessed March 2021)</w:t>
      </w:r>
      <w:r w:rsidR="00A5455F" w:rsidRPr="004B08EF">
        <w:rPr>
          <w:lang w:val="en-GB"/>
        </w:rPr>
        <w:t xml:space="preserve">. </w:t>
      </w:r>
      <w:r w:rsidR="00200581" w:rsidRPr="004B08EF">
        <w:rPr>
          <w:lang w:val="en-GB"/>
        </w:rPr>
        <w:t>Annual cost of treatment</w:t>
      </w:r>
      <w:r w:rsidR="00A5455F" w:rsidRPr="004B08EF">
        <w:rPr>
          <w:lang w:val="en-GB"/>
        </w:rPr>
        <w:t xml:space="preserve"> for the first year is</w:t>
      </w:r>
      <w:r w:rsidR="00200581" w:rsidRPr="004B08EF">
        <w:rPr>
          <w:lang w:val="en-GB"/>
        </w:rPr>
        <w:t xml:space="preserve"> £9,750.24</w:t>
      </w:r>
      <w:r w:rsidR="00A5455F" w:rsidRPr="004B08EF">
        <w:rPr>
          <w:lang w:val="en-GB"/>
        </w:rPr>
        <w:t xml:space="preserve"> and s</w:t>
      </w:r>
      <w:r w:rsidR="00200581" w:rsidRPr="004B08EF">
        <w:rPr>
          <w:lang w:val="en-GB"/>
        </w:rPr>
        <w:t>ubsequent years</w:t>
      </w:r>
      <w:r w:rsidR="00A5455F" w:rsidRPr="004B08EF">
        <w:rPr>
          <w:lang w:val="en-GB"/>
        </w:rPr>
        <w:t xml:space="preserve"> is </w:t>
      </w:r>
      <w:r w:rsidR="00200581" w:rsidRPr="004B08EF">
        <w:rPr>
          <w:lang w:val="en-GB"/>
        </w:rPr>
        <w:t>£7,312.68</w:t>
      </w:r>
      <w:r w:rsidR="00A5455F" w:rsidRPr="004B08EF">
        <w:rPr>
          <w:lang w:val="en-GB"/>
        </w:rPr>
        <w:t>.</w:t>
      </w:r>
      <w:r w:rsidR="00C97DFA" w:rsidRPr="004B08EF">
        <w:rPr>
          <w:lang w:val="en-GB"/>
        </w:rPr>
        <w:t xml:space="preserve"> </w:t>
      </w:r>
      <w:r w:rsidR="00C97DFA" w:rsidRPr="004B08EF">
        <w:rPr>
          <w:szCs w:val="24"/>
          <w:lang w:val="en-GB"/>
        </w:rPr>
        <w:t>The company has a commercial arrangement (simple discount patient access scheme)</w:t>
      </w:r>
      <w:r w:rsidR="00B82A82" w:rsidRPr="004B08EF">
        <w:rPr>
          <w:lang w:val="en-GB"/>
        </w:rPr>
        <w:t>. This makes</w:t>
      </w:r>
      <w:r w:rsidR="00C97DFA" w:rsidRPr="004B08EF">
        <w:rPr>
          <w:lang w:val="en-GB"/>
        </w:rPr>
        <w:t xml:space="preserve"> </w:t>
      </w:r>
      <w:r w:rsidR="00C97DFA" w:rsidRPr="004B08EF">
        <w:rPr>
          <w:lang w:val="en-GB"/>
        </w:rPr>
        <w:lastRenderedPageBreak/>
        <w:t>secukinumab</w:t>
      </w:r>
      <w:r w:rsidR="00B82A82" w:rsidRPr="004B08EF">
        <w:rPr>
          <w:lang w:val="en-GB"/>
        </w:rPr>
        <w:t xml:space="preserve"> available to the NHS with a discount. The size of the discount is commercial in confidence. It is the company’s responsibility to let relevant NHS organisations know details of the discount.</w:t>
      </w:r>
    </w:p>
    <w:p w14:paraId="7D4DF9CF" w14:textId="77777777" w:rsidR="00F130AD" w:rsidRPr="004B08EF" w:rsidRDefault="00222BEA" w:rsidP="00F130AD">
      <w:pPr>
        <w:pStyle w:val="Numberedheading1"/>
      </w:pPr>
      <w:r w:rsidRPr="004B08EF">
        <w:t>Committee discussion</w:t>
      </w:r>
    </w:p>
    <w:p w14:paraId="33756A38" w14:textId="7E88BEA1" w:rsidR="002B5772" w:rsidRPr="004B08EF" w:rsidRDefault="00BC7D9E" w:rsidP="002B5772">
      <w:pPr>
        <w:pStyle w:val="NICEnormal"/>
      </w:pPr>
      <w:r w:rsidRPr="004B08EF">
        <w:t xml:space="preserve">The </w:t>
      </w:r>
      <w:hyperlink w:anchor="_Appraisal_committee_members" w:history="1">
        <w:r w:rsidR="00343B53" w:rsidRPr="004B08EF">
          <w:rPr>
            <w:rStyle w:val="Hyperlink"/>
          </w:rPr>
          <w:t>a</w:t>
        </w:r>
        <w:r w:rsidRPr="004B08EF">
          <w:rPr>
            <w:rStyle w:val="Hyperlink"/>
          </w:rPr>
          <w:t xml:space="preserve">ppraisal </w:t>
        </w:r>
        <w:r w:rsidR="00343B53" w:rsidRPr="004B08EF">
          <w:rPr>
            <w:rStyle w:val="Hyperlink"/>
          </w:rPr>
          <w:t>c</w:t>
        </w:r>
        <w:r w:rsidRPr="004B08EF">
          <w:rPr>
            <w:rStyle w:val="Hyperlink"/>
          </w:rPr>
          <w:t>ommittee</w:t>
        </w:r>
      </w:hyperlink>
      <w:r w:rsidRPr="004B08EF">
        <w:t xml:space="preserve"> considered evidence submitted by</w:t>
      </w:r>
      <w:r w:rsidR="006505A1" w:rsidRPr="004B08EF">
        <w:t xml:space="preserve"> Novartis</w:t>
      </w:r>
      <w:r w:rsidR="002B5772" w:rsidRPr="004B08EF">
        <w:t>,</w:t>
      </w:r>
      <w:r w:rsidRPr="004B08EF">
        <w:t xml:space="preserve"> a review of this submission by the </w:t>
      </w:r>
      <w:r w:rsidR="00343B53" w:rsidRPr="004B08EF">
        <w:t>e</w:t>
      </w:r>
      <w:r w:rsidRPr="004B08EF">
        <w:t xml:space="preserve">vidence </w:t>
      </w:r>
      <w:r w:rsidR="00343B53" w:rsidRPr="004B08EF">
        <w:t>r</w:t>
      </w:r>
      <w:r w:rsidRPr="004B08EF">
        <w:t xml:space="preserve">eview </w:t>
      </w:r>
      <w:r w:rsidR="00343B53" w:rsidRPr="004B08EF">
        <w:t>g</w:t>
      </w:r>
      <w:r w:rsidRPr="004B08EF">
        <w:t>roup (ERG)</w:t>
      </w:r>
      <w:r w:rsidR="002B5772" w:rsidRPr="004B08EF">
        <w:t xml:space="preserve">, </w:t>
      </w:r>
      <w:r w:rsidR="00E24CDE" w:rsidRPr="004B08EF">
        <w:t>NICE’s</w:t>
      </w:r>
      <w:r w:rsidR="002B5772" w:rsidRPr="004B08EF">
        <w:t xml:space="preserve"> technical </w:t>
      </w:r>
      <w:r w:rsidR="00E9265B" w:rsidRPr="004B08EF">
        <w:t>report</w:t>
      </w:r>
      <w:r w:rsidR="000B1027" w:rsidRPr="004B08EF">
        <w:t>, and responses from</w:t>
      </w:r>
      <w:r w:rsidR="00E9265B" w:rsidRPr="004B08EF">
        <w:t xml:space="preserve"> stakeholders</w:t>
      </w:r>
      <w:r w:rsidRPr="004B08EF">
        <w:t>.</w:t>
      </w:r>
      <w:r w:rsidR="00C63D4E" w:rsidRPr="004B08EF">
        <w:t xml:space="preserve"> </w:t>
      </w:r>
      <w:r w:rsidR="002B5772" w:rsidRPr="004B08EF">
        <w:t xml:space="preserve">See the </w:t>
      </w:r>
      <w:hyperlink r:id="rId12" w:history="1">
        <w:r w:rsidR="002B5772" w:rsidRPr="004B08EF">
          <w:rPr>
            <w:rStyle w:val="Hyperlink"/>
          </w:rPr>
          <w:t>committee papers</w:t>
        </w:r>
      </w:hyperlink>
      <w:r w:rsidR="002B5772" w:rsidRPr="004B08EF">
        <w:t xml:space="preserve"> for full details of the evidence.</w:t>
      </w:r>
    </w:p>
    <w:p w14:paraId="3A78AF1A" w14:textId="7794DFBB" w:rsidR="006B0F36" w:rsidRPr="004B08EF" w:rsidRDefault="00FB6BFC" w:rsidP="00D01B9F">
      <w:pPr>
        <w:pStyle w:val="NICEnormal"/>
      </w:pPr>
      <w:r w:rsidRPr="004B08EF">
        <w:t>The appraisal committee was aware that several issues were resolved during the technical engagement stage, and agreed that</w:t>
      </w:r>
      <w:r w:rsidR="00992BDF" w:rsidRPr="004B08EF">
        <w:t>:</w:t>
      </w:r>
    </w:p>
    <w:p w14:paraId="42E23A3C" w14:textId="29EA00FC" w:rsidR="006B0F36" w:rsidRPr="004B08EF" w:rsidRDefault="00933521" w:rsidP="007E6B28">
      <w:pPr>
        <w:pStyle w:val="Bulletleft1"/>
      </w:pPr>
      <w:r w:rsidRPr="004B08EF">
        <w:t xml:space="preserve">In the PREVENT trial, the </w:t>
      </w:r>
      <w:r w:rsidR="00F53643" w:rsidRPr="004B08EF">
        <w:t xml:space="preserve">response criteria </w:t>
      </w:r>
      <w:r w:rsidR="00FB6BFC" w:rsidRPr="004B08EF">
        <w:t>used</w:t>
      </w:r>
      <w:r w:rsidR="00F53643" w:rsidRPr="004B08EF">
        <w:t xml:space="preserve"> </w:t>
      </w:r>
      <w:r w:rsidR="00FB6BFC" w:rsidRPr="004B08EF">
        <w:t xml:space="preserve">to determine continuing treatment </w:t>
      </w:r>
      <w:r w:rsidR="00F53643" w:rsidRPr="004B08EF">
        <w:t xml:space="preserve">beyond </w:t>
      </w:r>
      <w:r w:rsidR="00442C8F" w:rsidRPr="004B08EF">
        <w:t>12</w:t>
      </w:r>
      <w:r w:rsidR="00442C8F">
        <w:t> </w:t>
      </w:r>
      <w:r w:rsidR="00F53643" w:rsidRPr="004B08EF">
        <w:t xml:space="preserve">weeks are different from the </w:t>
      </w:r>
      <w:r w:rsidR="00992BDF" w:rsidRPr="004B08EF">
        <w:t xml:space="preserve">response </w:t>
      </w:r>
      <w:r w:rsidR="00F53643" w:rsidRPr="004B08EF">
        <w:t>criteria</w:t>
      </w:r>
      <w:r w:rsidR="007B2FFB" w:rsidRPr="004B08EF">
        <w:t xml:space="preserve"> used</w:t>
      </w:r>
      <w:r w:rsidR="00F53643" w:rsidRPr="004B08EF">
        <w:t xml:space="preserve"> in the NHS</w:t>
      </w:r>
      <w:r w:rsidR="00992BDF" w:rsidRPr="004B08EF">
        <w:t>, but it is appropriate to use data from this trial in the model</w:t>
      </w:r>
      <w:r w:rsidR="00FB6BFC" w:rsidRPr="004B08EF">
        <w:t>.</w:t>
      </w:r>
    </w:p>
    <w:p w14:paraId="40FCB090" w14:textId="658B5894" w:rsidR="00425ED9" w:rsidRPr="004B08EF" w:rsidRDefault="00992BDF" w:rsidP="00425ED9">
      <w:pPr>
        <w:pStyle w:val="Bulletleft1"/>
      </w:pPr>
      <w:r w:rsidRPr="004B08EF">
        <w:rPr>
          <w:rFonts w:cs="Arial"/>
          <w:szCs w:val="22"/>
        </w:rPr>
        <w:t>Although PREVENT assessed secukinumab with and without a load</w:t>
      </w:r>
      <w:r w:rsidR="003839E4" w:rsidRPr="004B08EF">
        <w:rPr>
          <w:rFonts w:cs="Arial"/>
          <w:szCs w:val="22"/>
        </w:rPr>
        <w:t>ing</w:t>
      </w:r>
      <w:r w:rsidRPr="004B08EF">
        <w:rPr>
          <w:rFonts w:cs="Arial"/>
          <w:szCs w:val="22"/>
        </w:rPr>
        <w:t xml:space="preserve"> dose</w:t>
      </w:r>
      <w:r w:rsidR="00757A2C" w:rsidRPr="004B08EF">
        <w:rPr>
          <w:rFonts w:cs="Arial"/>
          <w:szCs w:val="22"/>
        </w:rPr>
        <w:t>,</w:t>
      </w:r>
      <w:r w:rsidRPr="004B08EF">
        <w:rPr>
          <w:rFonts w:cs="Arial"/>
          <w:szCs w:val="22"/>
        </w:rPr>
        <w:t xml:space="preserve"> t</w:t>
      </w:r>
      <w:r w:rsidR="00C824E5" w:rsidRPr="004B08EF">
        <w:rPr>
          <w:rFonts w:cs="Arial"/>
          <w:szCs w:val="22"/>
        </w:rPr>
        <w:t xml:space="preserve">he load-dose regimen is </w:t>
      </w:r>
      <w:r w:rsidR="003839E4" w:rsidRPr="004B08EF">
        <w:rPr>
          <w:rFonts w:cs="Arial"/>
          <w:szCs w:val="22"/>
        </w:rPr>
        <w:t xml:space="preserve">the </w:t>
      </w:r>
      <w:r w:rsidR="0049494C" w:rsidRPr="004B08EF">
        <w:rPr>
          <w:rFonts w:cs="Arial"/>
          <w:szCs w:val="22"/>
        </w:rPr>
        <w:t xml:space="preserve">regimen </w:t>
      </w:r>
      <w:r w:rsidR="00933521" w:rsidRPr="004B08EF">
        <w:rPr>
          <w:rFonts w:cs="Arial"/>
          <w:szCs w:val="22"/>
        </w:rPr>
        <w:t xml:space="preserve">licensed </w:t>
      </w:r>
      <w:r w:rsidR="00C824E5" w:rsidRPr="004B08EF">
        <w:rPr>
          <w:rFonts w:cs="Arial"/>
          <w:szCs w:val="22"/>
        </w:rPr>
        <w:t>for use in the UK</w:t>
      </w:r>
      <w:r w:rsidR="00747378" w:rsidRPr="004B08EF">
        <w:rPr>
          <w:rFonts w:cs="Arial"/>
          <w:szCs w:val="22"/>
        </w:rPr>
        <w:t>.</w:t>
      </w:r>
      <w:r w:rsidR="0049494C" w:rsidRPr="004B08EF">
        <w:rPr>
          <w:rFonts w:cs="Arial"/>
          <w:szCs w:val="22"/>
        </w:rPr>
        <w:t xml:space="preserve"> </w:t>
      </w:r>
      <w:r w:rsidR="009B1E35">
        <w:rPr>
          <w:rFonts w:cs="Arial"/>
          <w:szCs w:val="22"/>
        </w:rPr>
        <w:t>Therefore</w:t>
      </w:r>
      <w:r w:rsidR="004516FD">
        <w:rPr>
          <w:rFonts w:cs="Arial"/>
          <w:szCs w:val="22"/>
        </w:rPr>
        <w:t>,</w:t>
      </w:r>
      <w:r w:rsidR="00C824E5" w:rsidRPr="004B08EF">
        <w:rPr>
          <w:rFonts w:cs="Arial"/>
          <w:szCs w:val="22"/>
        </w:rPr>
        <w:t xml:space="preserve"> </w:t>
      </w:r>
      <w:r w:rsidR="0049494C" w:rsidRPr="004B08EF">
        <w:rPr>
          <w:rFonts w:cs="Arial"/>
          <w:szCs w:val="22"/>
        </w:rPr>
        <w:t>the</w:t>
      </w:r>
      <w:r w:rsidR="00C824E5" w:rsidRPr="004B08EF">
        <w:rPr>
          <w:rFonts w:cs="Arial"/>
          <w:szCs w:val="22"/>
        </w:rPr>
        <w:t xml:space="preserve"> results</w:t>
      </w:r>
      <w:r w:rsidRPr="004B08EF">
        <w:rPr>
          <w:rFonts w:cs="Arial"/>
          <w:szCs w:val="22"/>
        </w:rPr>
        <w:t xml:space="preserve"> from the load-dose arm of PREVENT</w:t>
      </w:r>
      <w:r w:rsidR="00C824E5" w:rsidRPr="004B08EF">
        <w:rPr>
          <w:rFonts w:cs="Arial"/>
          <w:szCs w:val="22"/>
        </w:rPr>
        <w:t xml:space="preserve"> </w:t>
      </w:r>
      <w:r w:rsidR="0049494C" w:rsidRPr="004B08EF">
        <w:rPr>
          <w:rFonts w:cs="Arial"/>
          <w:szCs w:val="22"/>
        </w:rPr>
        <w:t xml:space="preserve">are </w:t>
      </w:r>
      <w:r w:rsidR="00C824E5" w:rsidRPr="004B08EF">
        <w:rPr>
          <w:rFonts w:cs="Arial"/>
          <w:szCs w:val="22"/>
        </w:rPr>
        <w:t>generalisable</w:t>
      </w:r>
      <w:r w:rsidR="00DA268C">
        <w:rPr>
          <w:rFonts w:cs="Arial"/>
          <w:szCs w:val="22"/>
        </w:rPr>
        <w:t xml:space="preserve"> to</w:t>
      </w:r>
      <w:r w:rsidR="00C824E5" w:rsidRPr="004B08EF">
        <w:rPr>
          <w:rFonts w:cs="Arial"/>
          <w:szCs w:val="22"/>
        </w:rPr>
        <w:t xml:space="preserve"> </w:t>
      </w:r>
      <w:r w:rsidR="00747378" w:rsidRPr="004B08EF">
        <w:rPr>
          <w:rFonts w:cs="Arial"/>
          <w:szCs w:val="22"/>
        </w:rPr>
        <w:t>how</w:t>
      </w:r>
      <w:r w:rsidR="00757A2C" w:rsidRPr="004B08EF">
        <w:rPr>
          <w:rFonts w:cs="Arial"/>
          <w:szCs w:val="22"/>
        </w:rPr>
        <w:t xml:space="preserve"> </w:t>
      </w:r>
      <w:r w:rsidRPr="004B08EF">
        <w:rPr>
          <w:rFonts w:cs="Arial"/>
          <w:szCs w:val="22"/>
        </w:rPr>
        <w:t>secukinumab</w:t>
      </w:r>
      <w:r w:rsidR="00747378" w:rsidRPr="004B08EF">
        <w:rPr>
          <w:rFonts w:cs="Arial"/>
          <w:szCs w:val="22"/>
        </w:rPr>
        <w:t xml:space="preserve"> would be used</w:t>
      </w:r>
      <w:r w:rsidRPr="004B08EF">
        <w:rPr>
          <w:rFonts w:cs="Arial"/>
          <w:szCs w:val="22"/>
        </w:rPr>
        <w:t xml:space="preserve"> </w:t>
      </w:r>
      <w:r w:rsidR="00757A2C" w:rsidRPr="004B08EF">
        <w:rPr>
          <w:rFonts w:cs="Arial"/>
          <w:szCs w:val="22"/>
        </w:rPr>
        <w:t xml:space="preserve">in </w:t>
      </w:r>
      <w:r w:rsidR="00C824E5" w:rsidRPr="004B08EF">
        <w:rPr>
          <w:rFonts w:cs="Arial"/>
          <w:szCs w:val="22"/>
        </w:rPr>
        <w:t xml:space="preserve">NHS clinical practice.  </w:t>
      </w:r>
    </w:p>
    <w:p w14:paraId="510BC6CE" w14:textId="1B0ED43C" w:rsidR="008D4D7F" w:rsidRPr="004B08EF" w:rsidRDefault="003748BB" w:rsidP="00EE1962">
      <w:pPr>
        <w:pStyle w:val="Bulletleft1last"/>
      </w:pPr>
      <w:r w:rsidRPr="004B08EF">
        <w:t xml:space="preserve">Trial evidence </w:t>
      </w:r>
      <w:r w:rsidR="00BD3260" w:rsidRPr="004B08EF">
        <w:t xml:space="preserve">suggests </w:t>
      </w:r>
      <w:r w:rsidRPr="004B08EF">
        <w:t>that there may be differences in efficacy in certain subgroups of the trial population</w:t>
      </w:r>
      <w:r w:rsidR="00747378" w:rsidRPr="004B08EF">
        <w:t>.</w:t>
      </w:r>
      <w:r w:rsidRPr="004B08EF">
        <w:t xml:space="preserve"> </w:t>
      </w:r>
      <w:r w:rsidR="00747378" w:rsidRPr="004B08EF">
        <w:t>H</w:t>
      </w:r>
      <w:r w:rsidR="007B4FAA" w:rsidRPr="004B08EF">
        <w:t>owever,</w:t>
      </w:r>
      <w:r w:rsidRPr="004B08EF">
        <w:t xml:space="preserve"> </w:t>
      </w:r>
      <w:r w:rsidR="00747378" w:rsidRPr="004B08EF">
        <w:t xml:space="preserve">because </w:t>
      </w:r>
      <w:r w:rsidRPr="004B08EF">
        <w:t>PREVENT was not powered to detect differences between subgroups based on MRI</w:t>
      </w:r>
      <w:r w:rsidR="00747378" w:rsidRPr="004B08EF">
        <w:t xml:space="preserve"> or </w:t>
      </w:r>
      <w:r w:rsidR="00747378" w:rsidRPr="004B08EF">
        <w:rPr>
          <w:rStyle w:val="Numberedlevel2textChar"/>
          <w:lang w:val="en-GB"/>
        </w:rPr>
        <w:t xml:space="preserve">C-reactive protein </w:t>
      </w:r>
      <w:r w:rsidRPr="004B08EF">
        <w:t>status, it is not possible to conclude that there is genuine heterogeneity in treatment effect</w:t>
      </w:r>
      <w:r w:rsidR="00BD3260" w:rsidRPr="004B08EF">
        <w:t xml:space="preserve">. </w:t>
      </w:r>
      <w:r w:rsidR="0015310A">
        <w:t>Therefore</w:t>
      </w:r>
      <w:r w:rsidR="00933521" w:rsidRPr="004B08EF">
        <w:t xml:space="preserve">, the </w:t>
      </w:r>
      <w:r w:rsidR="00992BDF" w:rsidRPr="004B08EF">
        <w:t>cost</w:t>
      </w:r>
      <w:r w:rsidR="00D53956" w:rsidRPr="004B08EF">
        <w:t>-effectiveness</w:t>
      </w:r>
      <w:r w:rsidR="00992BDF" w:rsidRPr="004B08EF">
        <w:t xml:space="preserve"> results in these subgroups </w:t>
      </w:r>
      <w:r w:rsidR="00D42452" w:rsidRPr="004B08EF">
        <w:t xml:space="preserve">are not </w:t>
      </w:r>
      <w:r w:rsidR="00992BDF" w:rsidRPr="004B08EF">
        <w:t>relevant for decision making</w:t>
      </w:r>
      <w:r w:rsidRPr="004B08EF">
        <w:t xml:space="preserve">.  </w:t>
      </w:r>
    </w:p>
    <w:p w14:paraId="05191215" w14:textId="2A0E50A0" w:rsidR="0095579B" w:rsidRPr="004B08EF" w:rsidRDefault="009D57DB" w:rsidP="00647376">
      <w:pPr>
        <w:pStyle w:val="NICEnormal"/>
        <w:ind w:left="60"/>
      </w:pPr>
      <w:r w:rsidRPr="004B08EF">
        <w:t xml:space="preserve">There </w:t>
      </w:r>
      <w:r w:rsidR="00992BDF" w:rsidRPr="004B08EF">
        <w:t>were remaining areas of uncertainty associated with the analyses presented</w:t>
      </w:r>
      <w:r w:rsidR="006C7869">
        <w:t>,</w:t>
      </w:r>
      <w:r w:rsidR="00992BDF" w:rsidRPr="004B08EF">
        <w:t xml:space="preserve"> which were considered </w:t>
      </w:r>
      <w:r w:rsidRPr="004B08EF">
        <w:t>further by the committee</w:t>
      </w:r>
      <w:r w:rsidR="00992BDF" w:rsidRPr="004B08EF">
        <w:t xml:space="preserve">. </w:t>
      </w:r>
      <w:r w:rsidR="008D4D7F" w:rsidRPr="004B08EF">
        <w:t>The appraisal committee</w:t>
      </w:r>
      <w:r w:rsidR="002B5772" w:rsidRPr="004B08EF">
        <w:t xml:space="preserve"> discussed the following issues</w:t>
      </w:r>
      <w:r w:rsidR="00A33919" w:rsidRPr="004B08EF">
        <w:t xml:space="preserve"> (issues </w:t>
      </w:r>
      <w:r w:rsidR="008D4D7F" w:rsidRPr="004B08EF">
        <w:t>1</w:t>
      </w:r>
      <w:r w:rsidR="009D783B" w:rsidRPr="004B08EF">
        <w:t xml:space="preserve">, </w:t>
      </w:r>
      <w:r w:rsidR="008D4D7F" w:rsidRPr="004B08EF">
        <w:t>2,</w:t>
      </w:r>
      <w:r w:rsidR="002E41B1" w:rsidRPr="004B08EF">
        <w:t xml:space="preserve"> </w:t>
      </w:r>
      <w:r w:rsidR="008D4D7F" w:rsidRPr="004B08EF">
        <w:t>6</w:t>
      </w:r>
      <w:r w:rsidR="00CC2169" w:rsidRPr="004B08EF">
        <w:t>,</w:t>
      </w:r>
      <w:r w:rsidR="002E41B1" w:rsidRPr="004B08EF">
        <w:t xml:space="preserve"> </w:t>
      </w:r>
      <w:r w:rsidR="008D4D7F" w:rsidRPr="004B08EF">
        <w:t>7,</w:t>
      </w:r>
      <w:r w:rsidR="002E41B1" w:rsidRPr="004B08EF">
        <w:t xml:space="preserve"> </w:t>
      </w:r>
      <w:r w:rsidR="008D4D7F" w:rsidRPr="004B08EF">
        <w:t xml:space="preserve">8 </w:t>
      </w:r>
      <w:r w:rsidR="009D783B" w:rsidRPr="004B08EF">
        <w:t xml:space="preserve">and </w:t>
      </w:r>
      <w:r w:rsidR="008D4D7F" w:rsidRPr="004B08EF">
        <w:t>9 from the technical report</w:t>
      </w:r>
      <w:r w:rsidR="00A33919" w:rsidRPr="004B08EF">
        <w:t>)</w:t>
      </w:r>
      <w:r w:rsidR="002B5772" w:rsidRPr="004B08EF">
        <w:t xml:space="preserve">, which were outstanding </w:t>
      </w:r>
      <w:r w:rsidR="00E95253" w:rsidRPr="004B08EF">
        <w:t>after</w:t>
      </w:r>
      <w:r w:rsidR="002B5772" w:rsidRPr="004B08EF">
        <w:t xml:space="preserve"> </w:t>
      </w:r>
      <w:r w:rsidR="000205C6" w:rsidRPr="004B08EF">
        <w:t xml:space="preserve">the </w:t>
      </w:r>
      <w:r w:rsidR="002B5772" w:rsidRPr="004B08EF">
        <w:t>technical engagement</w:t>
      </w:r>
      <w:r w:rsidR="000205C6" w:rsidRPr="004B08EF">
        <w:t xml:space="preserve"> stage</w:t>
      </w:r>
      <w:r w:rsidR="002B5772" w:rsidRPr="004B08EF">
        <w:t xml:space="preserve">. </w:t>
      </w:r>
    </w:p>
    <w:p w14:paraId="21A20B1E" w14:textId="56241E62" w:rsidR="005A158F" w:rsidRPr="004B08EF" w:rsidRDefault="00F6615A" w:rsidP="005A158F">
      <w:pPr>
        <w:pStyle w:val="Heading2"/>
      </w:pPr>
      <w:r w:rsidRPr="004B08EF">
        <w:lastRenderedPageBreak/>
        <w:t>Clinical need and current management</w:t>
      </w:r>
    </w:p>
    <w:p w14:paraId="41B0298D" w14:textId="53D35284" w:rsidR="00B71347" w:rsidRPr="004B08EF" w:rsidRDefault="009B26F4" w:rsidP="00B71347">
      <w:pPr>
        <w:pStyle w:val="Heading3"/>
      </w:pPr>
      <w:r w:rsidRPr="004B08EF">
        <w:t>N</w:t>
      </w:r>
      <w:r w:rsidR="00B71347" w:rsidRPr="004B08EF">
        <w:t>on-radiographic axial spondyloarthritis</w:t>
      </w:r>
      <w:r w:rsidRPr="004B08EF">
        <w:t xml:space="preserve"> causes pain</w:t>
      </w:r>
      <w:r w:rsidR="00FA27D9" w:rsidRPr="004B08EF">
        <w:t>,</w:t>
      </w:r>
      <w:r w:rsidRPr="004B08EF">
        <w:t xml:space="preserve"> reduced mobility</w:t>
      </w:r>
      <w:r w:rsidR="00FA27D9" w:rsidRPr="004B08EF">
        <w:t xml:space="preserve"> and affects quality of life </w:t>
      </w:r>
    </w:p>
    <w:p w14:paraId="53874093" w14:textId="11347DD8" w:rsidR="00FA27D9" w:rsidRPr="004B08EF" w:rsidRDefault="007B1840" w:rsidP="00B62A52">
      <w:pPr>
        <w:pStyle w:val="Numberedlevel2text"/>
        <w:rPr>
          <w:lang w:val="en-GB"/>
        </w:rPr>
      </w:pPr>
      <w:r w:rsidRPr="004B08EF">
        <w:rPr>
          <w:lang w:val="en-GB"/>
        </w:rPr>
        <w:t>Axial spondyloarthritis is a chronic rheumatic condition characterised by inflammation at the sacroiliac joint</w:t>
      </w:r>
      <w:r w:rsidR="00A131ED" w:rsidRPr="004B08EF">
        <w:rPr>
          <w:lang w:val="en-GB"/>
        </w:rPr>
        <w:t>s</w:t>
      </w:r>
      <w:r w:rsidRPr="004B08EF">
        <w:rPr>
          <w:lang w:val="en-GB"/>
        </w:rPr>
        <w:t xml:space="preserve"> and spine</w:t>
      </w:r>
      <w:r w:rsidR="00A131ED" w:rsidRPr="004B08EF">
        <w:rPr>
          <w:lang w:val="en-GB"/>
        </w:rPr>
        <w:t>, although other joints can be affected</w:t>
      </w:r>
      <w:r w:rsidR="00BE774E" w:rsidRPr="004B08EF">
        <w:rPr>
          <w:lang w:val="en-GB"/>
        </w:rPr>
        <w:t>. I</w:t>
      </w:r>
      <w:r w:rsidR="00A131ED" w:rsidRPr="004B08EF">
        <w:rPr>
          <w:lang w:val="en-GB"/>
        </w:rPr>
        <w:t>t can be associated with other conditions affecting the eyes, bowel and skin</w:t>
      </w:r>
      <w:r w:rsidR="005A5071" w:rsidRPr="004B08EF">
        <w:rPr>
          <w:lang w:val="en-GB"/>
        </w:rPr>
        <w:t>. Axial spondyloarth</w:t>
      </w:r>
      <w:r w:rsidR="008B6CE6" w:rsidRPr="004B08EF">
        <w:rPr>
          <w:lang w:val="en-GB"/>
        </w:rPr>
        <w:t>ritis</w:t>
      </w:r>
      <w:r w:rsidRPr="004B08EF">
        <w:rPr>
          <w:lang w:val="en-GB"/>
        </w:rPr>
        <w:t xml:space="preserve"> is an umbrella term encompassing both non-radiographic axial spondyloarthritis and radiographic axial spondyloarthritis (also known as ankylosing spondylitis).</w:t>
      </w:r>
      <w:r w:rsidR="00BE774E" w:rsidRPr="004B08EF">
        <w:rPr>
          <w:lang w:val="en-GB"/>
        </w:rPr>
        <w:t xml:space="preserve"> Non-radiographic means that </w:t>
      </w:r>
      <w:r w:rsidR="005D6ECB" w:rsidRPr="004B08EF">
        <w:rPr>
          <w:lang w:val="en-GB"/>
        </w:rPr>
        <w:t xml:space="preserve">a person has symptoms, but </w:t>
      </w:r>
      <w:r w:rsidR="003D21B5">
        <w:rPr>
          <w:lang w:val="en-GB"/>
        </w:rPr>
        <w:t xml:space="preserve">the </w:t>
      </w:r>
      <w:r w:rsidR="00BE774E" w:rsidRPr="004B08EF">
        <w:rPr>
          <w:lang w:val="en-GB"/>
        </w:rPr>
        <w:t>condition cannot be identified on</w:t>
      </w:r>
      <w:r w:rsidR="006C7869">
        <w:rPr>
          <w:lang w:val="en-GB"/>
        </w:rPr>
        <w:t xml:space="preserve"> an</w:t>
      </w:r>
      <w:r w:rsidR="00BE774E" w:rsidRPr="004B08EF">
        <w:rPr>
          <w:lang w:val="en-GB"/>
        </w:rPr>
        <w:t xml:space="preserve"> X-ray.</w:t>
      </w:r>
      <w:r w:rsidRPr="004B08EF">
        <w:rPr>
          <w:lang w:val="en-GB"/>
        </w:rPr>
        <w:t xml:space="preserve"> It is a painful and debilitating condition and is considered incurable with current treatment</w:t>
      </w:r>
      <w:r w:rsidR="00C80636" w:rsidRPr="004B08EF">
        <w:rPr>
          <w:lang w:val="en-GB"/>
        </w:rPr>
        <w:t>s</w:t>
      </w:r>
      <w:r w:rsidR="00512E03" w:rsidRPr="004B08EF">
        <w:rPr>
          <w:lang w:val="en-GB"/>
        </w:rPr>
        <w:t>.</w:t>
      </w:r>
      <w:r w:rsidRPr="004B08EF">
        <w:rPr>
          <w:lang w:val="en-GB"/>
        </w:rPr>
        <w:t xml:space="preserve"> The </w:t>
      </w:r>
      <w:r w:rsidR="00C80636" w:rsidRPr="004B08EF">
        <w:rPr>
          <w:lang w:val="en-GB"/>
        </w:rPr>
        <w:t>clinical</w:t>
      </w:r>
      <w:r w:rsidRPr="004B08EF">
        <w:rPr>
          <w:lang w:val="en-GB"/>
        </w:rPr>
        <w:t xml:space="preserve"> expert</w:t>
      </w:r>
      <w:r w:rsidR="00505E9A">
        <w:rPr>
          <w:lang w:val="en-GB"/>
        </w:rPr>
        <w:t>s</w:t>
      </w:r>
      <w:r w:rsidRPr="004B08EF">
        <w:rPr>
          <w:lang w:val="en-GB"/>
        </w:rPr>
        <w:t xml:space="preserve"> explained that although the disease burden is variable, progressive spinal pain, immobility and </w:t>
      </w:r>
      <w:r w:rsidR="00512E03" w:rsidRPr="004B08EF">
        <w:rPr>
          <w:lang w:val="en-GB"/>
        </w:rPr>
        <w:t>disability</w:t>
      </w:r>
      <w:r w:rsidR="00C80636" w:rsidRPr="004B08EF">
        <w:rPr>
          <w:lang w:val="en-GB"/>
        </w:rPr>
        <w:t xml:space="preserve"> experienced by people with non-radiographic axial spondyloarthritis</w:t>
      </w:r>
      <w:r w:rsidRPr="004B08EF">
        <w:rPr>
          <w:lang w:val="en-GB"/>
        </w:rPr>
        <w:t xml:space="preserve"> </w:t>
      </w:r>
      <w:r w:rsidR="00E65E35">
        <w:rPr>
          <w:lang w:val="en-GB"/>
        </w:rPr>
        <w:t>substantially</w:t>
      </w:r>
      <w:r w:rsidRPr="004B08EF">
        <w:rPr>
          <w:lang w:val="en-GB"/>
        </w:rPr>
        <w:t xml:space="preserve"> </w:t>
      </w:r>
      <w:r w:rsidR="00BE774E" w:rsidRPr="004B08EF">
        <w:rPr>
          <w:lang w:val="en-GB"/>
        </w:rPr>
        <w:t xml:space="preserve">affects </w:t>
      </w:r>
      <w:r w:rsidR="00C80636" w:rsidRPr="004B08EF">
        <w:rPr>
          <w:lang w:val="en-GB"/>
        </w:rPr>
        <w:t>th</w:t>
      </w:r>
      <w:r w:rsidR="00992BDF" w:rsidRPr="004B08EF">
        <w:rPr>
          <w:lang w:val="en-GB"/>
        </w:rPr>
        <w:t>ei</w:t>
      </w:r>
      <w:r w:rsidR="00C80636" w:rsidRPr="004B08EF">
        <w:rPr>
          <w:lang w:val="en-GB"/>
        </w:rPr>
        <w:t>r</w:t>
      </w:r>
      <w:r w:rsidRPr="004B08EF">
        <w:rPr>
          <w:lang w:val="en-GB"/>
        </w:rPr>
        <w:t xml:space="preserve"> quality of life</w:t>
      </w:r>
      <w:r w:rsidR="008835BE" w:rsidRPr="004B08EF">
        <w:rPr>
          <w:lang w:val="en-GB"/>
        </w:rPr>
        <w:t xml:space="preserve"> and mental wellbeing</w:t>
      </w:r>
      <w:r w:rsidR="00021DAF" w:rsidRPr="004B08EF">
        <w:rPr>
          <w:lang w:val="en-GB"/>
        </w:rPr>
        <w:t>.</w:t>
      </w:r>
      <w:r w:rsidR="00AA22B7" w:rsidRPr="004B08EF">
        <w:rPr>
          <w:lang w:val="en-GB"/>
        </w:rPr>
        <w:t xml:space="preserve"> </w:t>
      </w:r>
      <w:r w:rsidR="00613200" w:rsidRPr="004B08EF">
        <w:rPr>
          <w:lang w:val="en-GB"/>
        </w:rPr>
        <w:t>The clinical experts noted that there can be a delay in diagnosis because of n</w:t>
      </w:r>
      <w:r w:rsidR="00AA22B7" w:rsidRPr="004B08EF">
        <w:rPr>
          <w:lang w:val="en-GB"/>
        </w:rPr>
        <w:t>on-specific symptoms</w:t>
      </w:r>
      <w:r w:rsidR="00613200" w:rsidRPr="004B08EF">
        <w:rPr>
          <w:lang w:val="en-GB"/>
        </w:rPr>
        <w:t>, an absence of visible structural damage on X-rays</w:t>
      </w:r>
      <w:r w:rsidR="00D42B98" w:rsidRPr="004B08EF">
        <w:rPr>
          <w:lang w:val="en-GB"/>
        </w:rPr>
        <w:t>,</w:t>
      </w:r>
      <w:r w:rsidR="00613200" w:rsidRPr="004B08EF">
        <w:rPr>
          <w:lang w:val="en-GB"/>
        </w:rPr>
        <w:t xml:space="preserve"> and </w:t>
      </w:r>
      <w:r w:rsidR="0037583A" w:rsidRPr="004B08EF">
        <w:rPr>
          <w:lang w:val="en-GB"/>
        </w:rPr>
        <w:t xml:space="preserve">normal or </w:t>
      </w:r>
      <w:r w:rsidR="00660076">
        <w:rPr>
          <w:lang w:val="en-GB"/>
        </w:rPr>
        <w:t>ambiguous</w:t>
      </w:r>
      <w:r w:rsidR="00F33B84" w:rsidRPr="004B08EF">
        <w:rPr>
          <w:lang w:val="en-GB"/>
        </w:rPr>
        <w:t xml:space="preserve"> </w:t>
      </w:r>
      <w:r w:rsidR="00613200" w:rsidRPr="004B08EF">
        <w:rPr>
          <w:lang w:val="en-GB"/>
        </w:rPr>
        <w:t>MRI results</w:t>
      </w:r>
      <w:r w:rsidR="00BE774E" w:rsidRPr="004B08EF">
        <w:rPr>
          <w:lang w:val="en-GB"/>
        </w:rPr>
        <w:t>. They noted</w:t>
      </w:r>
      <w:r w:rsidR="00033E7C" w:rsidRPr="004B08EF">
        <w:rPr>
          <w:lang w:val="en-GB"/>
        </w:rPr>
        <w:t xml:space="preserve"> </w:t>
      </w:r>
      <w:r w:rsidR="00BE774E" w:rsidRPr="004B08EF">
        <w:rPr>
          <w:lang w:val="en-GB"/>
        </w:rPr>
        <w:t xml:space="preserve">that </w:t>
      </w:r>
      <w:r w:rsidR="00033E7C" w:rsidRPr="004B08EF">
        <w:rPr>
          <w:lang w:val="en-GB"/>
        </w:rPr>
        <w:t>the</w:t>
      </w:r>
      <w:r w:rsidR="00D42B98" w:rsidRPr="004B08EF">
        <w:rPr>
          <w:lang w:val="en-GB"/>
        </w:rPr>
        <w:t xml:space="preserve"> </w:t>
      </w:r>
      <w:r w:rsidR="00613200" w:rsidRPr="004B08EF">
        <w:rPr>
          <w:lang w:val="en-GB"/>
        </w:rPr>
        <w:t>condition can be</w:t>
      </w:r>
      <w:r w:rsidR="00AA22B7" w:rsidRPr="004B08EF">
        <w:rPr>
          <w:lang w:val="en-GB"/>
        </w:rPr>
        <w:t xml:space="preserve"> mistaken for </w:t>
      </w:r>
      <w:r w:rsidR="00D42B98" w:rsidRPr="004B08EF">
        <w:rPr>
          <w:lang w:val="en-GB"/>
        </w:rPr>
        <w:t xml:space="preserve">other conditions such as </w:t>
      </w:r>
      <w:r w:rsidR="00CB3FC7" w:rsidRPr="004B08EF">
        <w:rPr>
          <w:lang w:val="en-GB"/>
        </w:rPr>
        <w:t xml:space="preserve">fibromyalgia. </w:t>
      </w:r>
      <w:r w:rsidR="00613200" w:rsidRPr="004B08EF">
        <w:rPr>
          <w:lang w:val="en-GB"/>
        </w:rPr>
        <w:t xml:space="preserve">This </w:t>
      </w:r>
      <w:r w:rsidR="00AA22B7" w:rsidRPr="004B08EF">
        <w:rPr>
          <w:lang w:val="en-GB"/>
        </w:rPr>
        <w:t xml:space="preserve">delay in diagnosis </w:t>
      </w:r>
      <w:r w:rsidR="00613200" w:rsidRPr="004B08EF">
        <w:rPr>
          <w:lang w:val="en-GB"/>
        </w:rPr>
        <w:t>can</w:t>
      </w:r>
      <w:r w:rsidR="00AA22B7" w:rsidRPr="004B08EF">
        <w:rPr>
          <w:lang w:val="en-GB"/>
        </w:rPr>
        <w:t xml:space="preserve"> result</w:t>
      </w:r>
      <w:r w:rsidR="00613200" w:rsidRPr="004B08EF">
        <w:rPr>
          <w:lang w:val="en-GB"/>
        </w:rPr>
        <w:t xml:space="preserve"> in</w:t>
      </w:r>
      <w:r w:rsidR="00AA22B7" w:rsidRPr="004B08EF">
        <w:rPr>
          <w:lang w:val="en-GB"/>
        </w:rPr>
        <w:t xml:space="preserve"> high functional impairment</w:t>
      </w:r>
      <w:r w:rsidR="005D6ECB" w:rsidRPr="004B08EF">
        <w:rPr>
          <w:lang w:val="en-GB"/>
        </w:rPr>
        <w:t xml:space="preserve"> (difficulties doing day-to-day activities)</w:t>
      </w:r>
      <w:r w:rsidR="00AA22B7" w:rsidRPr="004B08EF">
        <w:rPr>
          <w:lang w:val="en-GB"/>
        </w:rPr>
        <w:t>.</w:t>
      </w:r>
      <w:r w:rsidR="00613200" w:rsidRPr="004B08EF">
        <w:rPr>
          <w:lang w:val="en-GB"/>
        </w:rPr>
        <w:t xml:space="preserve"> Almost half of </w:t>
      </w:r>
      <w:r w:rsidR="00376B5C">
        <w:rPr>
          <w:lang w:val="en-GB"/>
        </w:rPr>
        <w:t>people</w:t>
      </w:r>
      <w:r w:rsidR="00376B5C" w:rsidRPr="004B08EF">
        <w:rPr>
          <w:lang w:val="en-GB"/>
        </w:rPr>
        <w:t xml:space="preserve"> </w:t>
      </w:r>
      <w:r w:rsidR="00613200" w:rsidRPr="004B08EF">
        <w:rPr>
          <w:lang w:val="en-GB"/>
        </w:rPr>
        <w:t>with non-radiographic axial spondyloarthritis progress to the radiographic version of the disease over a period of 8</w:t>
      </w:r>
      <w:r w:rsidR="00BE774E" w:rsidRPr="004B08EF">
        <w:rPr>
          <w:lang w:val="en-GB"/>
        </w:rPr>
        <w:t xml:space="preserve"> to </w:t>
      </w:r>
      <w:r w:rsidR="00F33B84" w:rsidRPr="004B08EF">
        <w:rPr>
          <w:lang w:val="en-GB"/>
        </w:rPr>
        <w:t>10</w:t>
      </w:r>
      <w:r w:rsidR="00F33B84">
        <w:rPr>
          <w:lang w:val="en-GB"/>
        </w:rPr>
        <w:t> </w:t>
      </w:r>
      <w:r w:rsidR="00613200" w:rsidRPr="004B08EF">
        <w:rPr>
          <w:lang w:val="en-GB"/>
        </w:rPr>
        <w:t xml:space="preserve">years. </w:t>
      </w:r>
      <w:r w:rsidR="009B26F4" w:rsidRPr="004B08EF">
        <w:rPr>
          <w:lang w:val="en-GB"/>
        </w:rPr>
        <w:t xml:space="preserve">People with axial </w:t>
      </w:r>
      <w:r w:rsidR="00C51816" w:rsidRPr="004B08EF">
        <w:rPr>
          <w:lang w:val="en-GB"/>
        </w:rPr>
        <w:t>spondyloarthritis</w:t>
      </w:r>
      <w:r w:rsidR="009B26F4" w:rsidRPr="004B08EF">
        <w:rPr>
          <w:lang w:val="en-GB"/>
        </w:rPr>
        <w:t xml:space="preserve"> report that </w:t>
      </w:r>
      <w:r w:rsidR="00B62A52" w:rsidRPr="004B08EF">
        <w:rPr>
          <w:lang w:val="en-GB"/>
        </w:rPr>
        <w:t>it profoundly affects their</w:t>
      </w:r>
      <w:r w:rsidR="009B26F4" w:rsidRPr="004B08EF">
        <w:rPr>
          <w:lang w:val="en-GB"/>
        </w:rPr>
        <w:t xml:space="preserve"> quality of life and </w:t>
      </w:r>
      <w:r w:rsidR="00BE774E" w:rsidRPr="004B08EF">
        <w:rPr>
          <w:lang w:val="en-GB"/>
        </w:rPr>
        <w:t>day-to-day</w:t>
      </w:r>
      <w:r w:rsidR="009B26F4" w:rsidRPr="004B08EF">
        <w:rPr>
          <w:lang w:val="en-GB"/>
        </w:rPr>
        <w:t xml:space="preserve"> activities</w:t>
      </w:r>
      <w:r w:rsidR="00FA27D9" w:rsidRPr="004B08EF">
        <w:rPr>
          <w:lang w:val="en-GB"/>
        </w:rPr>
        <w:t>, such as work.</w:t>
      </w:r>
    </w:p>
    <w:p w14:paraId="07BE1E8C" w14:textId="26E5F293" w:rsidR="00FA27D9" w:rsidRPr="004B08EF" w:rsidRDefault="00BE774E" w:rsidP="00D123DA">
      <w:pPr>
        <w:pStyle w:val="Heading3"/>
      </w:pPr>
      <w:r w:rsidRPr="004B08EF">
        <w:t>People</w:t>
      </w:r>
      <w:r w:rsidR="00FA27D9" w:rsidRPr="004B08EF">
        <w:t xml:space="preserve"> would welcome a new treatment option </w:t>
      </w:r>
      <w:r w:rsidRPr="004B08EF">
        <w:t xml:space="preserve">that </w:t>
      </w:r>
      <w:r w:rsidR="00FA27D9" w:rsidRPr="004B08EF">
        <w:t xml:space="preserve">works </w:t>
      </w:r>
      <w:r w:rsidRPr="004B08EF">
        <w:t>differently</w:t>
      </w:r>
      <w:r w:rsidR="00FA27D9" w:rsidRPr="004B08EF">
        <w:t xml:space="preserve"> </w:t>
      </w:r>
      <w:r w:rsidRPr="004B08EF">
        <w:t>to TNF-alpha inhibitors</w:t>
      </w:r>
    </w:p>
    <w:p w14:paraId="7D7A7BA3" w14:textId="746ADD0E" w:rsidR="005A158F" w:rsidRPr="004B08EF" w:rsidRDefault="00AE2DF2" w:rsidP="005A158F">
      <w:pPr>
        <w:pStyle w:val="Numberedlevel2text"/>
        <w:rPr>
          <w:lang w:val="en-GB"/>
        </w:rPr>
      </w:pPr>
      <w:hyperlink r:id="rId13" w:history="1">
        <w:r w:rsidR="00BE774E" w:rsidRPr="004B08EF">
          <w:rPr>
            <w:rStyle w:val="Hyperlink"/>
            <w:lang w:val="en-GB"/>
          </w:rPr>
          <w:t>NICE's guideline on spondyloarthritis in over 16s</w:t>
        </w:r>
      </w:hyperlink>
      <w:r w:rsidR="00B71347" w:rsidRPr="004B08EF">
        <w:rPr>
          <w:lang w:val="en-GB"/>
        </w:rPr>
        <w:t xml:space="preserve"> recommends </w:t>
      </w:r>
      <w:r w:rsidR="00F13575" w:rsidRPr="004B08EF">
        <w:rPr>
          <w:lang w:val="en-GB"/>
        </w:rPr>
        <w:t xml:space="preserve">that </w:t>
      </w:r>
      <w:r w:rsidR="00BE774E" w:rsidRPr="004B08EF">
        <w:rPr>
          <w:lang w:val="en-GB"/>
        </w:rPr>
        <w:t xml:space="preserve">the first </w:t>
      </w:r>
      <w:r w:rsidR="00FE2903" w:rsidRPr="004B08EF">
        <w:rPr>
          <w:lang w:val="en-GB"/>
        </w:rPr>
        <w:t>treatment</w:t>
      </w:r>
      <w:r w:rsidR="00A332A5" w:rsidRPr="004B08EF">
        <w:rPr>
          <w:lang w:val="en-GB"/>
        </w:rPr>
        <w:t xml:space="preserve"> for </w:t>
      </w:r>
      <w:r w:rsidR="00FE2903" w:rsidRPr="004B08EF">
        <w:rPr>
          <w:lang w:val="en-GB"/>
        </w:rPr>
        <w:t xml:space="preserve">people with </w:t>
      </w:r>
      <w:r w:rsidR="00A332A5" w:rsidRPr="004B08EF">
        <w:rPr>
          <w:lang w:val="en-GB"/>
        </w:rPr>
        <w:t xml:space="preserve">non-radiographic axial spondyloarthritis is </w:t>
      </w:r>
      <w:r w:rsidR="00B71347" w:rsidRPr="004B08EF">
        <w:rPr>
          <w:lang w:val="en-GB"/>
        </w:rPr>
        <w:t xml:space="preserve">physical </w:t>
      </w:r>
      <w:r w:rsidR="00A575E0" w:rsidRPr="004B08EF">
        <w:rPr>
          <w:lang w:val="en-GB"/>
        </w:rPr>
        <w:t>therapy</w:t>
      </w:r>
      <w:r w:rsidR="00E941A2" w:rsidRPr="004B08EF">
        <w:rPr>
          <w:lang w:val="en-GB"/>
        </w:rPr>
        <w:t xml:space="preserve"> and</w:t>
      </w:r>
      <w:r w:rsidR="00B71347" w:rsidRPr="004B08EF">
        <w:rPr>
          <w:lang w:val="en-GB"/>
        </w:rPr>
        <w:t xml:space="preserve"> </w:t>
      </w:r>
      <w:r w:rsidR="00B62A52" w:rsidRPr="004B08EF">
        <w:rPr>
          <w:lang w:val="en-GB"/>
        </w:rPr>
        <w:t>first-</w:t>
      </w:r>
      <w:r w:rsidR="00B71347" w:rsidRPr="004B08EF">
        <w:rPr>
          <w:lang w:val="en-GB"/>
        </w:rPr>
        <w:t>line pharmacological treatment with non-</w:t>
      </w:r>
      <w:r w:rsidR="00B71347" w:rsidRPr="004B08EF">
        <w:rPr>
          <w:lang w:val="en-GB"/>
        </w:rPr>
        <w:lastRenderedPageBreak/>
        <w:t>steroidal anti-inflammatory drugs (NSAIDs</w:t>
      </w:r>
      <w:r w:rsidR="00BE774E" w:rsidRPr="004B08EF">
        <w:rPr>
          <w:lang w:val="en-GB"/>
        </w:rPr>
        <w:t>)</w:t>
      </w:r>
      <w:r w:rsidR="00F6615A" w:rsidRPr="004B08EF">
        <w:rPr>
          <w:lang w:val="en-GB"/>
        </w:rPr>
        <w:t xml:space="preserve">. For </w:t>
      </w:r>
      <w:r w:rsidR="00BE774E" w:rsidRPr="004B08EF">
        <w:rPr>
          <w:lang w:val="en-GB"/>
        </w:rPr>
        <w:t xml:space="preserve">disease that </w:t>
      </w:r>
      <w:r w:rsidR="00F6615A" w:rsidRPr="004B08EF">
        <w:rPr>
          <w:lang w:val="en-GB"/>
        </w:rPr>
        <w:t>respond</w:t>
      </w:r>
      <w:r w:rsidR="00BE774E" w:rsidRPr="004B08EF">
        <w:rPr>
          <w:lang w:val="en-GB"/>
        </w:rPr>
        <w:t>s</w:t>
      </w:r>
      <w:r w:rsidR="00F6615A" w:rsidRPr="004B08EF">
        <w:rPr>
          <w:lang w:val="en-GB"/>
        </w:rPr>
        <w:t xml:space="preserve"> inadequately or </w:t>
      </w:r>
      <w:r w:rsidR="00BE774E" w:rsidRPr="004B08EF">
        <w:rPr>
          <w:lang w:val="en-GB"/>
        </w:rPr>
        <w:t xml:space="preserve">for people who </w:t>
      </w:r>
      <w:r w:rsidR="00F6615A" w:rsidRPr="004B08EF">
        <w:rPr>
          <w:lang w:val="en-GB"/>
        </w:rPr>
        <w:t xml:space="preserve">cannot tolerate NSAIDs, </w:t>
      </w:r>
      <w:r w:rsidR="00BE774E" w:rsidRPr="004B08EF">
        <w:rPr>
          <w:lang w:val="en-GB"/>
        </w:rPr>
        <w:t xml:space="preserve">NICE </w:t>
      </w:r>
      <w:r w:rsidR="00F6615A" w:rsidRPr="004B08EF">
        <w:rPr>
          <w:lang w:val="en-GB"/>
        </w:rPr>
        <w:t>recommend</w:t>
      </w:r>
      <w:r w:rsidR="00BE774E" w:rsidRPr="004B08EF">
        <w:rPr>
          <w:lang w:val="en-GB"/>
        </w:rPr>
        <w:t>s</w:t>
      </w:r>
      <w:r w:rsidR="00F6615A" w:rsidRPr="004B08EF">
        <w:rPr>
          <w:lang w:val="en-GB"/>
        </w:rPr>
        <w:t xml:space="preserve"> </w:t>
      </w:r>
      <w:r w:rsidR="00B62A52" w:rsidRPr="004B08EF">
        <w:rPr>
          <w:lang w:val="en-GB"/>
        </w:rPr>
        <w:t>tumour necrosis factor (</w:t>
      </w:r>
      <w:r w:rsidR="00F6615A" w:rsidRPr="004B08EF">
        <w:rPr>
          <w:lang w:val="en-GB"/>
        </w:rPr>
        <w:t>TNF</w:t>
      </w:r>
      <w:r w:rsidR="00B62A52" w:rsidRPr="004B08EF">
        <w:rPr>
          <w:lang w:val="en-GB"/>
        </w:rPr>
        <w:t>)</w:t>
      </w:r>
      <w:r w:rsidR="00F6615A" w:rsidRPr="004B08EF">
        <w:rPr>
          <w:lang w:val="en-GB"/>
        </w:rPr>
        <w:t>-alpha inhibitors (</w:t>
      </w:r>
      <w:r w:rsidR="00BE774E" w:rsidRPr="004B08EF">
        <w:rPr>
          <w:lang w:val="en-GB"/>
        </w:rPr>
        <w:t xml:space="preserve">see </w:t>
      </w:r>
      <w:hyperlink r:id="rId14" w:history="1">
        <w:r w:rsidR="00B62A52" w:rsidRPr="004B08EF">
          <w:rPr>
            <w:rStyle w:val="Hyperlink"/>
            <w:lang w:val="en-GB"/>
          </w:rPr>
          <w:t>NICE’s technology appraisal guidance on TNF-alpha inhibitors</w:t>
        </w:r>
      </w:hyperlink>
      <w:r w:rsidR="00BE774E" w:rsidRPr="004B08EF">
        <w:rPr>
          <w:lang w:val="en-GB"/>
        </w:rPr>
        <w:t xml:space="preserve"> and</w:t>
      </w:r>
      <w:r w:rsidR="00F6615A" w:rsidRPr="004B08EF">
        <w:rPr>
          <w:lang w:val="en-GB"/>
        </w:rPr>
        <w:t xml:space="preserve"> </w:t>
      </w:r>
      <w:hyperlink r:id="rId15" w:history="1">
        <w:r w:rsidR="00F6615A" w:rsidRPr="004B08EF">
          <w:rPr>
            <w:rStyle w:val="Hyperlink"/>
            <w:lang w:val="en-GB"/>
          </w:rPr>
          <w:t>golimumab</w:t>
        </w:r>
      </w:hyperlink>
      <w:r w:rsidR="00F6615A" w:rsidRPr="004B08EF">
        <w:rPr>
          <w:lang w:val="en-GB"/>
        </w:rPr>
        <w:t xml:space="preserve">) as options for treating severe non-radiographic axial spondyloarthritis. If </w:t>
      </w:r>
      <w:r w:rsidR="00B354AE" w:rsidRPr="004B08EF">
        <w:rPr>
          <w:lang w:val="en-GB"/>
        </w:rPr>
        <w:t xml:space="preserve">the </w:t>
      </w:r>
      <w:r w:rsidR="00F23A17" w:rsidRPr="004B08EF">
        <w:rPr>
          <w:lang w:val="en-GB"/>
        </w:rPr>
        <w:t>first TNF-alpha inhibitor is not tolerated, or</w:t>
      </w:r>
      <w:r w:rsidR="00F23A17" w:rsidRPr="004B08EF" w:rsidDel="00B354AE">
        <w:rPr>
          <w:lang w:val="en-GB"/>
        </w:rPr>
        <w:t xml:space="preserve"> </w:t>
      </w:r>
      <w:r w:rsidR="00F23A17" w:rsidRPr="004B08EF">
        <w:rPr>
          <w:lang w:val="en-GB"/>
        </w:rPr>
        <w:t>the person’s</w:t>
      </w:r>
      <w:r w:rsidR="00B354AE" w:rsidRPr="004B08EF">
        <w:rPr>
          <w:lang w:val="en-GB"/>
        </w:rPr>
        <w:t xml:space="preserve"> condition </w:t>
      </w:r>
      <w:r w:rsidR="00F6615A" w:rsidRPr="004B08EF">
        <w:rPr>
          <w:lang w:val="en-GB"/>
        </w:rPr>
        <w:t>has not responded</w:t>
      </w:r>
      <w:r w:rsidR="00E941A2" w:rsidRPr="004B08EF">
        <w:rPr>
          <w:lang w:val="en-GB"/>
        </w:rPr>
        <w:t xml:space="preserve"> </w:t>
      </w:r>
      <w:r w:rsidR="00C01F27" w:rsidRPr="004B08EF">
        <w:rPr>
          <w:lang w:val="en-GB"/>
        </w:rPr>
        <w:t xml:space="preserve">or </w:t>
      </w:r>
      <w:r w:rsidR="00F6615A" w:rsidRPr="004B08EF">
        <w:rPr>
          <w:lang w:val="en-GB"/>
        </w:rPr>
        <w:t>stops responding</w:t>
      </w:r>
      <w:r w:rsidR="00C01F27" w:rsidRPr="004B08EF">
        <w:rPr>
          <w:lang w:val="en-GB"/>
        </w:rPr>
        <w:t xml:space="preserve">, </w:t>
      </w:r>
      <w:hyperlink r:id="rId16" w:history="1">
        <w:r w:rsidR="00B62A52" w:rsidRPr="004B08EF">
          <w:rPr>
            <w:rStyle w:val="Hyperlink"/>
            <w:lang w:val="en-GB"/>
          </w:rPr>
          <w:t>NICE’s technology appraisal guidance on TNF-alpha inhibitors</w:t>
        </w:r>
      </w:hyperlink>
      <w:r w:rsidR="009B7F08" w:rsidRPr="004B08EF">
        <w:rPr>
          <w:lang w:val="en-GB"/>
        </w:rPr>
        <w:t xml:space="preserve"> </w:t>
      </w:r>
      <w:r w:rsidR="00F6615A" w:rsidRPr="004B08EF">
        <w:rPr>
          <w:lang w:val="en-GB"/>
        </w:rPr>
        <w:t xml:space="preserve">recommends </w:t>
      </w:r>
      <w:r w:rsidR="00C01F27" w:rsidRPr="004B08EF">
        <w:rPr>
          <w:lang w:val="en-GB"/>
        </w:rPr>
        <w:t xml:space="preserve">treatment </w:t>
      </w:r>
      <w:r w:rsidR="00F6615A" w:rsidRPr="004B08EF">
        <w:rPr>
          <w:lang w:val="en-GB"/>
        </w:rPr>
        <w:t xml:space="preserve">with another TNF-alpha inhibitor. The clinical expert explained that </w:t>
      </w:r>
      <w:r w:rsidR="00071B39" w:rsidRPr="004B08EF">
        <w:rPr>
          <w:lang w:val="en-GB"/>
        </w:rPr>
        <w:t xml:space="preserve">secukinumab </w:t>
      </w:r>
      <w:r w:rsidR="009B7F08" w:rsidRPr="004B08EF">
        <w:rPr>
          <w:lang w:val="en-GB"/>
        </w:rPr>
        <w:t xml:space="preserve">is </w:t>
      </w:r>
      <w:r w:rsidR="00071B39" w:rsidRPr="004B08EF">
        <w:rPr>
          <w:lang w:val="en-GB"/>
        </w:rPr>
        <w:t xml:space="preserve">an </w:t>
      </w:r>
      <w:r w:rsidR="00485779" w:rsidRPr="004B08EF">
        <w:rPr>
          <w:lang w:val="en-GB"/>
        </w:rPr>
        <w:t>additional</w:t>
      </w:r>
      <w:r w:rsidR="00071B39" w:rsidRPr="004B08EF">
        <w:rPr>
          <w:lang w:val="en-GB"/>
        </w:rPr>
        <w:t xml:space="preserve"> treatment option </w:t>
      </w:r>
      <w:r w:rsidR="009B7F08" w:rsidRPr="004B08EF">
        <w:rPr>
          <w:lang w:val="en-GB"/>
        </w:rPr>
        <w:t>when</w:t>
      </w:r>
      <w:r w:rsidR="00485779" w:rsidRPr="004B08EF">
        <w:rPr>
          <w:lang w:val="en-GB"/>
        </w:rPr>
        <w:t xml:space="preserve"> TNF-alpha inhibitors</w:t>
      </w:r>
      <w:r w:rsidR="00E50B8D" w:rsidRPr="004B08EF">
        <w:rPr>
          <w:lang w:val="en-GB"/>
        </w:rPr>
        <w:t xml:space="preserve"> are not</w:t>
      </w:r>
      <w:r w:rsidR="00485779" w:rsidRPr="004B08EF">
        <w:rPr>
          <w:lang w:val="en-GB"/>
        </w:rPr>
        <w:t xml:space="preserve"> </w:t>
      </w:r>
      <w:r w:rsidR="00E50B8D" w:rsidRPr="004B08EF">
        <w:rPr>
          <w:lang w:val="en-GB"/>
        </w:rPr>
        <w:t>suitable</w:t>
      </w:r>
      <w:r w:rsidR="00610FE2" w:rsidRPr="004B08EF">
        <w:rPr>
          <w:lang w:val="en-GB"/>
        </w:rPr>
        <w:t>,</w:t>
      </w:r>
      <w:r w:rsidR="00E50B8D" w:rsidRPr="004B08EF">
        <w:rPr>
          <w:lang w:val="en-GB"/>
        </w:rPr>
        <w:t xml:space="preserve"> </w:t>
      </w:r>
      <w:r w:rsidR="00485779" w:rsidRPr="004B08EF">
        <w:rPr>
          <w:lang w:val="en-GB"/>
        </w:rPr>
        <w:t xml:space="preserve">or </w:t>
      </w:r>
      <w:r w:rsidR="009B7F08" w:rsidRPr="004B08EF">
        <w:rPr>
          <w:lang w:val="en-GB"/>
        </w:rPr>
        <w:t>when</w:t>
      </w:r>
      <w:r w:rsidR="000F6866" w:rsidRPr="004B08EF">
        <w:rPr>
          <w:lang w:val="en-GB"/>
        </w:rPr>
        <w:t xml:space="preserve"> the</w:t>
      </w:r>
      <w:r w:rsidR="009B7F08" w:rsidRPr="004B08EF">
        <w:rPr>
          <w:lang w:val="en-GB"/>
        </w:rPr>
        <w:t xml:space="preserve"> disease has </w:t>
      </w:r>
      <w:r w:rsidR="00F6697D" w:rsidRPr="004B08EF">
        <w:rPr>
          <w:lang w:val="en-GB"/>
        </w:rPr>
        <w:t xml:space="preserve">not </w:t>
      </w:r>
      <w:r w:rsidR="001A3421">
        <w:rPr>
          <w:lang w:val="en-GB"/>
        </w:rPr>
        <w:t>responded</w:t>
      </w:r>
      <w:r w:rsidR="00F6697D" w:rsidRPr="004B08EF">
        <w:rPr>
          <w:lang w:val="en-GB"/>
        </w:rPr>
        <w:t xml:space="preserve"> </w:t>
      </w:r>
      <w:r w:rsidR="0076564C" w:rsidRPr="004B08EF">
        <w:rPr>
          <w:lang w:val="en-GB"/>
        </w:rPr>
        <w:t>or</w:t>
      </w:r>
      <w:r w:rsidR="00B73C40" w:rsidRPr="004B08EF">
        <w:rPr>
          <w:lang w:val="en-GB"/>
        </w:rPr>
        <w:t xml:space="preserve"> stopped responding </w:t>
      </w:r>
      <w:r w:rsidR="00610FE2" w:rsidRPr="004B08EF">
        <w:rPr>
          <w:lang w:val="en-GB"/>
        </w:rPr>
        <w:t>to</w:t>
      </w:r>
      <w:r w:rsidR="00071B39" w:rsidRPr="004B08EF">
        <w:rPr>
          <w:lang w:val="en-GB"/>
        </w:rPr>
        <w:t xml:space="preserve"> TNF-alpha inhibitors</w:t>
      </w:r>
      <w:r w:rsidR="00F6697D" w:rsidRPr="004B08EF">
        <w:rPr>
          <w:lang w:val="en-GB"/>
        </w:rPr>
        <w:t>.</w:t>
      </w:r>
      <w:r w:rsidR="00E50B8D" w:rsidRPr="004B08EF">
        <w:rPr>
          <w:lang w:val="en-GB"/>
        </w:rPr>
        <w:t xml:space="preserve"> The clinical expert explained that if </w:t>
      </w:r>
      <w:r w:rsidR="00B66E76">
        <w:rPr>
          <w:lang w:val="en-GB"/>
        </w:rPr>
        <w:t xml:space="preserve">a person’s </w:t>
      </w:r>
      <w:r w:rsidR="009B7F08" w:rsidRPr="004B08EF">
        <w:rPr>
          <w:lang w:val="en-GB"/>
        </w:rPr>
        <w:t>disease</w:t>
      </w:r>
      <w:r w:rsidR="00E50B8D" w:rsidRPr="004B08EF">
        <w:rPr>
          <w:lang w:val="en-GB"/>
        </w:rPr>
        <w:t xml:space="preserve"> </w:t>
      </w:r>
      <w:r w:rsidR="009B7F08" w:rsidRPr="004B08EF">
        <w:rPr>
          <w:lang w:val="en-GB"/>
        </w:rPr>
        <w:t>responded</w:t>
      </w:r>
      <w:r w:rsidR="00E50B8D" w:rsidRPr="004B08EF">
        <w:rPr>
          <w:lang w:val="en-GB"/>
        </w:rPr>
        <w:t xml:space="preserve"> to </w:t>
      </w:r>
      <w:r w:rsidR="009B7F08" w:rsidRPr="004B08EF">
        <w:rPr>
          <w:lang w:val="en-GB"/>
        </w:rPr>
        <w:t xml:space="preserve">a </w:t>
      </w:r>
      <w:r w:rsidR="00E50B8D" w:rsidRPr="004B08EF">
        <w:rPr>
          <w:lang w:val="en-GB"/>
        </w:rPr>
        <w:t xml:space="preserve">first TNF-alpha inhibitor, </w:t>
      </w:r>
      <w:r w:rsidR="009B7F08" w:rsidRPr="004B08EF">
        <w:rPr>
          <w:lang w:val="en-GB"/>
        </w:rPr>
        <w:t xml:space="preserve">it </w:t>
      </w:r>
      <w:r w:rsidR="00E50B8D" w:rsidRPr="004B08EF">
        <w:rPr>
          <w:lang w:val="en-GB"/>
        </w:rPr>
        <w:t>would likely respon</w:t>
      </w:r>
      <w:r w:rsidR="009B7F08" w:rsidRPr="004B08EF">
        <w:rPr>
          <w:lang w:val="en-GB"/>
        </w:rPr>
        <w:t>d</w:t>
      </w:r>
      <w:r w:rsidR="00E50B8D" w:rsidRPr="004B08EF">
        <w:rPr>
          <w:lang w:val="en-GB"/>
        </w:rPr>
        <w:t xml:space="preserve"> to an</w:t>
      </w:r>
      <w:r w:rsidR="000F6866" w:rsidRPr="004B08EF">
        <w:rPr>
          <w:lang w:val="en-GB"/>
        </w:rPr>
        <w:t xml:space="preserve">other </w:t>
      </w:r>
      <w:r w:rsidR="00E50B8D" w:rsidRPr="004B08EF">
        <w:rPr>
          <w:lang w:val="en-GB"/>
        </w:rPr>
        <w:t>TNF-alpha inhibitor</w:t>
      </w:r>
      <w:r w:rsidR="009B7F08" w:rsidRPr="004B08EF">
        <w:rPr>
          <w:lang w:val="en-GB"/>
        </w:rPr>
        <w:t>.</w:t>
      </w:r>
      <w:r w:rsidR="00E50B8D" w:rsidRPr="004B08EF">
        <w:rPr>
          <w:lang w:val="en-GB"/>
        </w:rPr>
        <w:t xml:space="preserve"> </w:t>
      </w:r>
      <w:r w:rsidR="009B7F08" w:rsidRPr="004B08EF">
        <w:rPr>
          <w:lang w:val="en-GB"/>
        </w:rPr>
        <w:t>However,</w:t>
      </w:r>
      <w:r w:rsidR="00F6697D" w:rsidRPr="004B08EF">
        <w:rPr>
          <w:lang w:val="en-GB"/>
        </w:rPr>
        <w:t xml:space="preserve"> </w:t>
      </w:r>
      <w:r w:rsidR="00E50B8D" w:rsidRPr="004B08EF">
        <w:rPr>
          <w:lang w:val="en-GB"/>
        </w:rPr>
        <w:t>f</w:t>
      </w:r>
      <w:r w:rsidR="00C80636" w:rsidRPr="004B08EF">
        <w:rPr>
          <w:lang w:val="en-GB"/>
        </w:rPr>
        <w:t xml:space="preserve">or </w:t>
      </w:r>
      <w:r w:rsidR="009B7F08" w:rsidRPr="004B08EF">
        <w:rPr>
          <w:lang w:val="en-GB"/>
        </w:rPr>
        <w:t xml:space="preserve">disease </w:t>
      </w:r>
      <w:r w:rsidR="000F6866" w:rsidRPr="004B08EF">
        <w:rPr>
          <w:lang w:val="en-GB"/>
        </w:rPr>
        <w:t xml:space="preserve">that has had </w:t>
      </w:r>
      <w:r w:rsidR="00C80636" w:rsidRPr="004B08EF">
        <w:rPr>
          <w:lang w:val="en-GB"/>
        </w:rPr>
        <w:t>an inadequate response to TNF-alpha inhibitors</w:t>
      </w:r>
      <w:r w:rsidR="00F6697D" w:rsidRPr="004B08EF">
        <w:rPr>
          <w:lang w:val="en-GB"/>
        </w:rPr>
        <w:t xml:space="preserve">, it is preferable to try a new treatment option with </w:t>
      </w:r>
      <w:r w:rsidR="00071B39" w:rsidRPr="004B08EF">
        <w:rPr>
          <w:lang w:val="en-GB"/>
        </w:rPr>
        <w:t>a</w:t>
      </w:r>
      <w:r w:rsidR="008835BE" w:rsidRPr="004B08EF">
        <w:rPr>
          <w:lang w:val="en-GB"/>
        </w:rPr>
        <w:t>n alternative mechanism</w:t>
      </w:r>
      <w:r w:rsidR="00071B39" w:rsidRPr="004B08EF">
        <w:rPr>
          <w:lang w:val="en-GB"/>
        </w:rPr>
        <w:t xml:space="preserve"> of action</w:t>
      </w:r>
      <w:r w:rsidR="00E50B8D" w:rsidRPr="004B08EF">
        <w:rPr>
          <w:lang w:val="en-GB"/>
        </w:rPr>
        <w:t>. The clinical expert</w:t>
      </w:r>
      <w:r w:rsidR="00BB3B16" w:rsidRPr="004B08EF">
        <w:rPr>
          <w:lang w:val="en-GB"/>
        </w:rPr>
        <w:t xml:space="preserve"> also noted that some people with non-radiographic axial spondyloarthritis also have </w:t>
      </w:r>
      <w:r w:rsidR="004516FD" w:rsidRPr="004B08EF">
        <w:rPr>
          <w:lang w:val="en-GB"/>
        </w:rPr>
        <w:t>psoriasis and</w:t>
      </w:r>
      <w:r w:rsidR="000F6866" w:rsidRPr="004B08EF">
        <w:rPr>
          <w:lang w:val="en-GB"/>
        </w:rPr>
        <w:t xml:space="preserve"> explained that</w:t>
      </w:r>
      <w:r w:rsidR="00BB3B16" w:rsidRPr="004B08EF">
        <w:rPr>
          <w:lang w:val="en-GB"/>
        </w:rPr>
        <w:t xml:space="preserve"> secukinumab is </w:t>
      </w:r>
      <w:r w:rsidR="00464D4E" w:rsidRPr="004B08EF">
        <w:rPr>
          <w:lang w:val="en-GB"/>
        </w:rPr>
        <w:t xml:space="preserve">more effective than TNF-alpha inhibitors for </w:t>
      </w:r>
      <w:r w:rsidR="00BB3B16" w:rsidRPr="004B08EF">
        <w:rPr>
          <w:lang w:val="en-GB"/>
        </w:rPr>
        <w:t>treating psoriasis</w:t>
      </w:r>
      <w:r w:rsidR="00CC2169" w:rsidRPr="004B08EF">
        <w:rPr>
          <w:lang w:val="en-GB"/>
        </w:rPr>
        <w:t>.</w:t>
      </w:r>
      <w:r w:rsidR="00AC241A" w:rsidRPr="004B08EF">
        <w:rPr>
          <w:lang w:val="en-GB"/>
        </w:rPr>
        <w:t xml:space="preserve"> </w:t>
      </w:r>
      <w:r w:rsidR="00071B39" w:rsidRPr="004B08EF">
        <w:rPr>
          <w:lang w:val="en-GB"/>
        </w:rPr>
        <w:t>The committee concluded that people with non-radiographic axial spondyloarthritis would welcome</w:t>
      </w:r>
      <w:r w:rsidR="001F0CDE" w:rsidRPr="004B08EF">
        <w:rPr>
          <w:lang w:val="en-GB"/>
        </w:rPr>
        <w:t xml:space="preserve"> a</w:t>
      </w:r>
      <w:r w:rsidR="00071B39" w:rsidRPr="004B08EF">
        <w:rPr>
          <w:lang w:val="en-GB"/>
        </w:rPr>
        <w:t xml:space="preserve"> </w:t>
      </w:r>
      <w:r w:rsidR="001F0CDE" w:rsidRPr="004B08EF">
        <w:rPr>
          <w:lang w:val="en-GB"/>
        </w:rPr>
        <w:t xml:space="preserve">new treatment option with a </w:t>
      </w:r>
      <w:r w:rsidR="00C7451B" w:rsidRPr="004B08EF">
        <w:rPr>
          <w:lang w:val="en-GB"/>
        </w:rPr>
        <w:t xml:space="preserve">different </w:t>
      </w:r>
      <w:r w:rsidR="001F0CDE" w:rsidRPr="004B08EF">
        <w:rPr>
          <w:lang w:val="en-GB"/>
        </w:rPr>
        <w:t>mechanism of action</w:t>
      </w:r>
      <w:r w:rsidR="00A52154" w:rsidRPr="004B08EF">
        <w:rPr>
          <w:lang w:val="en-GB"/>
        </w:rPr>
        <w:t>.</w:t>
      </w:r>
    </w:p>
    <w:p w14:paraId="377983EA" w14:textId="276DF72F" w:rsidR="00682425" w:rsidRPr="004B08EF" w:rsidRDefault="005F56F0" w:rsidP="00635ADA">
      <w:pPr>
        <w:pStyle w:val="Heading3"/>
      </w:pPr>
      <w:r w:rsidRPr="004B08EF">
        <w:t xml:space="preserve">Secukinumab is licensed </w:t>
      </w:r>
      <w:r w:rsidR="00BB3B16" w:rsidRPr="004B08EF">
        <w:t>as a first</w:t>
      </w:r>
      <w:r w:rsidR="00C7451B" w:rsidRPr="004B08EF">
        <w:t>-line</w:t>
      </w:r>
      <w:r w:rsidR="00BB3B16" w:rsidRPr="004B08EF">
        <w:t xml:space="preserve"> or second</w:t>
      </w:r>
      <w:r w:rsidR="00682425" w:rsidRPr="004B08EF">
        <w:t>-</w:t>
      </w:r>
      <w:r w:rsidR="00BB3B16" w:rsidRPr="004B08EF">
        <w:t>line treatment</w:t>
      </w:r>
      <w:r w:rsidRPr="004B08EF">
        <w:t xml:space="preserve">, </w:t>
      </w:r>
      <w:r w:rsidR="006A2896" w:rsidRPr="004B08EF">
        <w:t>but most</w:t>
      </w:r>
      <w:r w:rsidR="00BB3B16" w:rsidRPr="004B08EF">
        <w:t xml:space="preserve"> people </w:t>
      </w:r>
      <w:r w:rsidR="004B5ABB" w:rsidRPr="004B08EF">
        <w:t xml:space="preserve">would have </w:t>
      </w:r>
      <w:r w:rsidR="00BB3B16" w:rsidRPr="004B08EF">
        <w:t>a TNF-alpha</w:t>
      </w:r>
      <w:r w:rsidR="00D123DA" w:rsidRPr="004B08EF">
        <w:t xml:space="preserve"> inhibitor</w:t>
      </w:r>
      <w:r w:rsidR="00BB3B16" w:rsidRPr="004B08EF">
        <w:t xml:space="preserve"> </w:t>
      </w:r>
      <w:r w:rsidR="006A2896" w:rsidRPr="004B08EF">
        <w:t>first</w:t>
      </w:r>
      <w:r w:rsidR="00B6069A" w:rsidRPr="004B08EF">
        <w:t>,</w:t>
      </w:r>
      <w:r w:rsidR="00742E47" w:rsidRPr="004B08EF">
        <w:t xml:space="preserve"> unless unsuitable</w:t>
      </w:r>
      <w:r w:rsidR="00437CB9" w:rsidRPr="004B08EF">
        <w:t xml:space="preserve"> </w:t>
      </w:r>
    </w:p>
    <w:p w14:paraId="795C5866" w14:textId="16F9732D" w:rsidR="00E43790" w:rsidRPr="004B08EF" w:rsidRDefault="00DD39F7" w:rsidP="007919B3">
      <w:pPr>
        <w:pStyle w:val="Numberedlevel2text"/>
        <w:rPr>
          <w:lang w:val="en-GB"/>
        </w:rPr>
      </w:pPr>
      <w:r w:rsidRPr="004B08EF">
        <w:rPr>
          <w:lang w:val="en-GB"/>
        </w:rPr>
        <w:t xml:space="preserve">The company noted that the </w:t>
      </w:r>
      <w:r w:rsidR="00AC241A" w:rsidRPr="004B08EF">
        <w:rPr>
          <w:lang w:val="en-GB"/>
        </w:rPr>
        <w:t>marketing authorisation</w:t>
      </w:r>
      <w:r w:rsidRPr="004B08EF">
        <w:rPr>
          <w:lang w:val="en-GB"/>
        </w:rPr>
        <w:t xml:space="preserve"> for secukinumab</w:t>
      </w:r>
      <w:r w:rsidR="00AC241A" w:rsidRPr="004B08EF">
        <w:rPr>
          <w:lang w:val="en-GB"/>
        </w:rPr>
        <w:t xml:space="preserve"> does not limit</w:t>
      </w:r>
      <w:r w:rsidRPr="004B08EF">
        <w:rPr>
          <w:lang w:val="en-GB"/>
        </w:rPr>
        <w:t xml:space="preserve"> its use to </w:t>
      </w:r>
      <w:r w:rsidR="00AC241A" w:rsidRPr="004B08EF">
        <w:rPr>
          <w:lang w:val="en-GB"/>
        </w:rPr>
        <w:t>a particular line of treatment</w:t>
      </w:r>
      <w:r w:rsidR="009F7582" w:rsidRPr="004B08EF">
        <w:rPr>
          <w:lang w:val="en-GB"/>
        </w:rPr>
        <w:t>.</w:t>
      </w:r>
      <w:r w:rsidR="00971AA1" w:rsidRPr="004B08EF">
        <w:rPr>
          <w:lang w:val="en-GB"/>
        </w:rPr>
        <w:t xml:space="preserve"> The ERG considered </w:t>
      </w:r>
      <w:r w:rsidR="00C34468" w:rsidRPr="004B08EF">
        <w:rPr>
          <w:lang w:val="en-GB"/>
        </w:rPr>
        <w:t>it unlikely that secukinumab would the first-line biologic of choice</w:t>
      </w:r>
      <w:r w:rsidR="00D049F5" w:rsidRPr="004B08EF">
        <w:rPr>
          <w:lang w:val="en-GB"/>
        </w:rPr>
        <w:t xml:space="preserve">, given the extensive clinical experience </w:t>
      </w:r>
      <w:r w:rsidR="00CD6328" w:rsidRPr="004B08EF">
        <w:rPr>
          <w:lang w:val="en-GB"/>
        </w:rPr>
        <w:t>w</w:t>
      </w:r>
      <w:r w:rsidR="00D049F5" w:rsidRPr="004B08EF">
        <w:rPr>
          <w:lang w:val="en-GB"/>
        </w:rPr>
        <w:t>ith TN</w:t>
      </w:r>
      <w:r w:rsidR="00CC0F8C" w:rsidRPr="004B08EF">
        <w:rPr>
          <w:lang w:val="en-GB"/>
        </w:rPr>
        <w:t>F</w:t>
      </w:r>
      <w:r w:rsidR="00D049F5" w:rsidRPr="004B08EF">
        <w:rPr>
          <w:lang w:val="en-GB"/>
        </w:rPr>
        <w:t>-alpha in</w:t>
      </w:r>
      <w:r w:rsidR="00CD6328" w:rsidRPr="004B08EF">
        <w:rPr>
          <w:lang w:val="en-GB"/>
        </w:rPr>
        <w:t>hibitors and the lower price of generic versions</w:t>
      </w:r>
      <w:r w:rsidR="00C34468" w:rsidRPr="004B08EF">
        <w:rPr>
          <w:lang w:val="en-GB"/>
        </w:rPr>
        <w:t xml:space="preserve"> </w:t>
      </w:r>
      <w:r w:rsidR="00CD6328" w:rsidRPr="004B08EF">
        <w:rPr>
          <w:lang w:val="en-GB"/>
        </w:rPr>
        <w:t xml:space="preserve">now </w:t>
      </w:r>
      <w:r w:rsidR="00CC0F8C" w:rsidRPr="004B08EF">
        <w:rPr>
          <w:lang w:val="en-GB"/>
        </w:rPr>
        <w:t xml:space="preserve">available. </w:t>
      </w:r>
      <w:r w:rsidR="004B5ABB" w:rsidRPr="004B08EF">
        <w:rPr>
          <w:lang w:val="en-GB"/>
        </w:rPr>
        <w:t xml:space="preserve">It noted that secukinumab </w:t>
      </w:r>
      <w:r w:rsidR="00727B91" w:rsidRPr="004B08EF">
        <w:rPr>
          <w:lang w:val="en-GB"/>
        </w:rPr>
        <w:t xml:space="preserve">was more likely </w:t>
      </w:r>
      <w:r w:rsidR="00437CB9" w:rsidRPr="004B08EF">
        <w:rPr>
          <w:lang w:val="en-GB"/>
        </w:rPr>
        <w:t xml:space="preserve">to be used </w:t>
      </w:r>
      <w:r w:rsidR="00E06503" w:rsidRPr="004B08EF">
        <w:rPr>
          <w:lang w:val="en-GB"/>
        </w:rPr>
        <w:t>as</w:t>
      </w:r>
      <w:r w:rsidR="00C34468" w:rsidRPr="004B08EF">
        <w:rPr>
          <w:lang w:val="en-GB"/>
        </w:rPr>
        <w:t xml:space="preserve"> a second-line treatment after TNF-alpha inhibitors. The clinical experts </w:t>
      </w:r>
      <w:r w:rsidR="00641E4B" w:rsidRPr="004B08EF">
        <w:rPr>
          <w:lang w:val="en-GB"/>
        </w:rPr>
        <w:t>explained</w:t>
      </w:r>
      <w:r w:rsidR="00D0718B" w:rsidRPr="004B08EF">
        <w:rPr>
          <w:lang w:val="en-GB"/>
        </w:rPr>
        <w:t xml:space="preserve"> that</w:t>
      </w:r>
      <w:r w:rsidR="00641E4B" w:rsidRPr="004B08EF">
        <w:rPr>
          <w:lang w:val="en-GB"/>
        </w:rPr>
        <w:t xml:space="preserve"> in </w:t>
      </w:r>
      <w:r w:rsidR="001A01A3" w:rsidRPr="004B08EF">
        <w:rPr>
          <w:lang w:val="en-GB"/>
        </w:rPr>
        <w:t xml:space="preserve">line </w:t>
      </w:r>
      <w:r w:rsidR="00641E4B" w:rsidRPr="004B08EF">
        <w:rPr>
          <w:lang w:val="en-GB"/>
        </w:rPr>
        <w:t>with NICE guidance</w:t>
      </w:r>
      <w:r w:rsidR="004479D1" w:rsidRPr="004B08EF">
        <w:rPr>
          <w:lang w:val="en-GB"/>
        </w:rPr>
        <w:t>,</w:t>
      </w:r>
      <w:r w:rsidR="00641E4B" w:rsidRPr="004B08EF">
        <w:rPr>
          <w:lang w:val="en-GB"/>
        </w:rPr>
        <w:t xml:space="preserve"> when more than </w:t>
      </w:r>
      <w:r w:rsidR="001A01A3" w:rsidRPr="004B08EF">
        <w:rPr>
          <w:lang w:val="en-GB"/>
        </w:rPr>
        <w:t xml:space="preserve">1 </w:t>
      </w:r>
      <w:r w:rsidR="00641E4B" w:rsidRPr="004B08EF">
        <w:rPr>
          <w:lang w:val="en-GB"/>
        </w:rPr>
        <w:t xml:space="preserve">treatment is suitable, clinicians generally consider the </w:t>
      </w:r>
      <w:r w:rsidR="00641E4B" w:rsidRPr="004B08EF">
        <w:rPr>
          <w:lang w:val="en-GB"/>
        </w:rPr>
        <w:lastRenderedPageBreak/>
        <w:t>least expensive treatment</w:t>
      </w:r>
      <w:r w:rsidR="00D0718B" w:rsidRPr="004B08EF">
        <w:rPr>
          <w:lang w:val="en-GB"/>
        </w:rPr>
        <w:t xml:space="preserve"> </w:t>
      </w:r>
      <w:r w:rsidR="00641E4B" w:rsidRPr="004B08EF">
        <w:rPr>
          <w:lang w:val="en-GB"/>
        </w:rPr>
        <w:t>(taking into account administration costs and patient access schemes)</w:t>
      </w:r>
      <w:r w:rsidR="00E13CC6" w:rsidRPr="004B08EF">
        <w:rPr>
          <w:lang w:val="en-GB"/>
        </w:rPr>
        <w:t xml:space="preserve">. </w:t>
      </w:r>
      <w:r w:rsidR="008219FD">
        <w:rPr>
          <w:lang w:val="en-GB"/>
        </w:rPr>
        <w:t>C</w:t>
      </w:r>
      <w:r w:rsidR="00442C8F">
        <w:rPr>
          <w:lang w:val="en-GB"/>
        </w:rPr>
        <w:t>urrently</w:t>
      </w:r>
      <w:r w:rsidR="00E06503" w:rsidRPr="004B08EF">
        <w:rPr>
          <w:lang w:val="en-GB"/>
        </w:rPr>
        <w:t xml:space="preserve"> the</w:t>
      </w:r>
      <w:r w:rsidR="00E13CC6" w:rsidRPr="004B08EF">
        <w:rPr>
          <w:lang w:val="en-GB"/>
        </w:rPr>
        <w:t xml:space="preserve"> adalimumab biosimilar is usually the first-line </w:t>
      </w:r>
      <w:r w:rsidR="007919B3" w:rsidRPr="004B08EF">
        <w:rPr>
          <w:lang w:val="en-GB"/>
        </w:rPr>
        <w:t>biologic</w:t>
      </w:r>
      <w:r w:rsidR="00E13CC6" w:rsidRPr="004B08EF">
        <w:rPr>
          <w:lang w:val="en-GB"/>
        </w:rPr>
        <w:t xml:space="preserve"> </w:t>
      </w:r>
      <w:r w:rsidR="0072648D" w:rsidRPr="004B08EF">
        <w:rPr>
          <w:lang w:val="en-GB"/>
        </w:rPr>
        <w:t>used</w:t>
      </w:r>
      <w:r w:rsidR="00E13CC6" w:rsidRPr="004B08EF">
        <w:rPr>
          <w:lang w:val="en-GB"/>
        </w:rPr>
        <w:t xml:space="preserve"> </w:t>
      </w:r>
      <w:r w:rsidR="001009FB" w:rsidRPr="004B08EF">
        <w:rPr>
          <w:lang w:val="en-GB"/>
        </w:rPr>
        <w:t>when</w:t>
      </w:r>
      <w:r w:rsidR="001A01A3" w:rsidRPr="004B08EF">
        <w:rPr>
          <w:lang w:val="en-GB"/>
        </w:rPr>
        <w:t xml:space="preserve"> the</w:t>
      </w:r>
      <w:r w:rsidR="001009FB" w:rsidRPr="004B08EF">
        <w:rPr>
          <w:lang w:val="en-GB"/>
        </w:rPr>
        <w:t xml:space="preserve"> </w:t>
      </w:r>
      <w:r w:rsidR="001A01A3" w:rsidRPr="004B08EF">
        <w:rPr>
          <w:lang w:val="en-GB"/>
        </w:rPr>
        <w:t xml:space="preserve">disease has </w:t>
      </w:r>
      <w:r w:rsidR="00E13CC6" w:rsidRPr="004B08EF">
        <w:rPr>
          <w:lang w:val="en-GB"/>
        </w:rPr>
        <w:t xml:space="preserve">not responded to </w:t>
      </w:r>
      <w:r w:rsidR="001A01A3" w:rsidRPr="004B08EF">
        <w:rPr>
          <w:rStyle w:val="Numberedlevel2textChar"/>
          <w:lang w:val="en-GB"/>
        </w:rPr>
        <w:t>NSAIDs</w:t>
      </w:r>
      <w:r w:rsidR="00E06503" w:rsidRPr="004B08EF">
        <w:rPr>
          <w:lang w:val="en-GB"/>
        </w:rPr>
        <w:t>. The second choice is</w:t>
      </w:r>
      <w:r w:rsidR="00195346">
        <w:rPr>
          <w:lang w:val="en-GB"/>
        </w:rPr>
        <w:t xml:space="preserve"> usually</w:t>
      </w:r>
      <w:r w:rsidR="001A01A3" w:rsidRPr="004B08EF">
        <w:rPr>
          <w:lang w:val="en-GB"/>
        </w:rPr>
        <w:t xml:space="preserve"> </w:t>
      </w:r>
      <w:r w:rsidR="00E13CC6" w:rsidRPr="004B08EF">
        <w:rPr>
          <w:lang w:val="en-GB"/>
        </w:rPr>
        <w:t xml:space="preserve">etanercept </w:t>
      </w:r>
      <w:r w:rsidR="001009FB" w:rsidRPr="004B08EF">
        <w:rPr>
          <w:lang w:val="en-GB"/>
        </w:rPr>
        <w:t>when the</w:t>
      </w:r>
      <w:r w:rsidR="00E13CC6" w:rsidRPr="004B08EF">
        <w:rPr>
          <w:lang w:val="en-GB"/>
        </w:rPr>
        <w:t xml:space="preserve"> adalimumab biosimi</w:t>
      </w:r>
      <w:r w:rsidR="00BF40FC" w:rsidRPr="004B08EF">
        <w:rPr>
          <w:lang w:val="en-GB"/>
        </w:rPr>
        <w:t>l</w:t>
      </w:r>
      <w:r w:rsidR="00E13CC6" w:rsidRPr="004B08EF">
        <w:rPr>
          <w:lang w:val="en-GB"/>
        </w:rPr>
        <w:t>ar is unsuitable</w:t>
      </w:r>
      <w:r w:rsidR="001A3421">
        <w:rPr>
          <w:lang w:val="en-GB"/>
        </w:rPr>
        <w:t xml:space="preserve"> or has failed</w:t>
      </w:r>
      <w:r w:rsidR="00E13CC6" w:rsidRPr="004B08EF">
        <w:rPr>
          <w:lang w:val="en-GB"/>
        </w:rPr>
        <w:t>.</w:t>
      </w:r>
      <w:r w:rsidR="00FC48BF" w:rsidRPr="004B08EF">
        <w:rPr>
          <w:lang w:val="en-GB"/>
        </w:rPr>
        <w:t xml:space="preserve"> </w:t>
      </w:r>
      <w:r w:rsidR="00332506" w:rsidRPr="004B08EF">
        <w:rPr>
          <w:lang w:val="en-GB"/>
        </w:rPr>
        <w:t xml:space="preserve">The committee concluded that </w:t>
      </w:r>
      <w:r w:rsidR="00A27718" w:rsidRPr="004B08EF">
        <w:rPr>
          <w:lang w:val="en-GB"/>
        </w:rPr>
        <w:t xml:space="preserve">secukinumab </w:t>
      </w:r>
      <w:r w:rsidR="004B08EF">
        <w:rPr>
          <w:lang w:val="en-GB"/>
        </w:rPr>
        <w:t xml:space="preserve">is licensed </w:t>
      </w:r>
      <w:r w:rsidR="00A27718" w:rsidRPr="004B08EF">
        <w:rPr>
          <w:lang w:val="en-GB"/>
        </w:rPr>
        <w:t>as a first</w:t>
      </w:r>
      <w:r w:rsidR="004B5ABB" w:rsidRPr="004B08EF">
        <w:rPr>
          <w:lang w:val="en-GB"/>
        </w:rPr>
        <w:t>-line</w:t>
      </w:r>
      <w:r w:rsidR="00A27718" w:rsidRPr="004B08EF">
        <w:rPr>
          <w:lang w:val="en-GB"/>
        </w:rPr>
        <w:t xml:space="preserve"> or second</w:t>
      </w:r>
      <w:r w:rsidR="00682425" w:rsidRPr="004B08EF">
        <w:rPr>
          <w:lang w:val="en-GB"/>
        </w:rPr>
        <w:t>-</w:t>
      </w:r>
      <w:r w:rsidR="00A27718" w:rsidRPr="004B08EF">
        <w:rPr>
          <w:lang w:val="en-GB"/>
        </w:rPr>
        <w:t>line treatment option</w:t>
      </w:r>
      <w:r w:rsidR="00442C8F">
        <w:rPr>
          <w:lang w:val="en-GB"/>
        </w:rPr>
        <w:t>. However,</w:t>
      </w:r>
      <w:r w:rsidR="00A27718" w:rsidRPr="004B08EF">
        <w:rPr>
          <w:lang w:val="en-GB"/>
        </w:rPr>
        <w:t xml:space="preserve"> clinicians are more likely to choose a </w:t>
      </w:r>
      <w:r w:rsidR="001A01A3" w:rsidRPr="004B08EF">
        <w:rPr>
          <w:lang w:val="en-GB"/>
        </w:rPr>
        <w:t>TNF-</w:t>
      </w:r>
      <w:r w:rsidR="00A27718" w:rsidRPr="004B08EF">
        <w:rPr>
          <w:lang w:val="en-GB"/>
        </w:rPr>
        <w:t xml:space="preserve">alpha inhibitor as the first </w:t>
      </w:r>
      <w:r w:rsidR="00C04216" w:rsidRPr="004B08EF">
        <w:rPr>
          <w:lang w:val="en-GB"/>
        </w:rPr>
        <w:t xml:space="preserve">biologic </w:t>
      </w:r>
      <w:r w:rsidR="00A27718" w:rsidRPr="004B08EF">
        <w:rPr>
          <w:lang w:val="en-GB"/>
        </w:rPr>
        <w:t>treatment</w:t>
      </w:r>
      <w:r w:rsidR="00195346">
        <w:rPr>
          <w:lang w:val="en-GB"/>
        </w:rPr>
        <w:t xml:space="preserve"> </w:t>
      </w:r>
      <w:r w:rsidR="001C12F4">
        <w:rPr>
          <w:lang w:val="en-GB"/>
        </w:rPr>
        <w:t>unless it is contraindicated or unsuitable.</w:t>
      </w:r>
      <w:r w:rsidR="00A27718" w:rsidRPr="004B08EF">
        <w:rPr>
          <w:lang w:val="en-GB"/>
        </w:rPr>
        <w:t xml:space="preserve"> </w:t>
      </w:r>
    </w:p>
    <w:p w14:paraId="38EDEB21" w14:textId="03E51F07" w:rsidR="00B13E96" w:rsidRPr="004B08EF" w:rsidRDefault="00B13E96" w:rsidP="00B13E96">
      <w:pPr>
        <w:pStyle w:val="Heading2"/>
      </w:pPr>
      <w:r w:rsidRPr="004B08EF">
        <w:t>Clinical evidence</w:t>
      </w:r>
    </w:p>
    <w:p w14:paraId="1A621FF7" w14:textId="07E413BB" w:rsidR="00B13E96" w:rsidRPr="004B08EF" w:rsidRDefault="003B32FE" w:rsidP="00B13E96">
      <w:pPr>
        <w:pStyle w:val="Heading3"/>
      </w:pPr>
      <w:r w:rsidRPr="004B08EF">
        <w:t>Secukinumab increases the proportion of people having an ASAS</w:t>
      </w:r>
      <w:r w:rsidR="003D7B6F" w:rsidRPr="004B08EF">
        <w:t xml:space="preserve"> </w:t>
      </w:r>
      <w:r w:rsidRPr="004B08EF">
        <w:t>40 response compared with placebo</w:t>
      </w:r>
      <w:r w:rsidR="00920A5F" w:rsidRPr="004B08EF">
        <w:t xml:space="preserve"> when used as first</w:t>
      </w:r>
      <w:r w:rsidR="00682425" w:rsidRPr="004B08EF">
        <w:t>-</w:t>
      </w:r>
      <w:r w:rsidR="00920A5F" w:rsidRPr="004B08EF">
        <w:t>line treatment</w:t>
      </w:r>
    </w:p>
    <w:p w14:paraId="7242F8E6" w14:textId="5925D5E3" w:rsidR="000315B2" w:rsidRPr="004B08EF" w:rsidRDefault="003D5593" w:rsidP="000315B2">
      <w:pPr>
        <w:pStyle w:val="Numberedlevel2text"/>
        <w:numPr>
          <w:ilvl w:val="1"/>
          <w:numId w:val="27"/>
        </w:numPr>
        <w:rPr>
          <w:lang w:val="en-GB"/>
        </w:rPr>
      </w:pPr>
      <w:r w:rsidRPr="004B08EF">
        <w:rPr>
          <w:lang w:val="en-GB"/>
        </w:rPr>
        <w:t xml:space="preserve">PREVENT is a multicentre double-blind randomised placebo-controlled trial comparing </w:t>
      </w:r>
      <w:r w:rsidR="00737B55" w:rsidRPr="004B08EF">
        <w:rPr>
          <w:lang w:val="en-GB"/>
        </w:rPr>
        <w:t>150</w:t>
      </w:r>
      <w:r w:rsidR="00D53956" w:rsidRPr="004B08EF">
        <w:rPr>
          <w:lang w:val="en-GB"/>
        </w:rPr>
        <w:t> </w:t>
      </w:r>
      <w:r w:rsidR="00737B55" w:rsidRPr="004B08EF">
        <w:rPr>
          <w:lang w:val="en-GB"/>
        </w:rPr>
        <w:t xml:space="preserve">mg </w:t>
      </w:r>
      <w:r w:rsidR="00974C2C" w:rsidRPr="004B08EF">
        <w:rPr>
          <w:lang w:val="en-GB"/>
        </w:rPr>
        <w:t>secukinumab with a load</w:t>
      </w:r>
      <w:r w:rsidR="0054508F" w:rsidRPr="004B08EF">
        <w:rPr>
          <w:lang w:val="en-GB"/>
        </w:rPr>
        <w:t>ing</w:t>
      </w:r>
      <w:r w:rsidR="00974C2C" w:rsidRPr="004B08EF">
        <w:rPr>
          <w:lang w:val="en-GB"/>
        </w:rPr>
        <w:t xml:space="preserve"> dose</w:t>
      </w:r>
      <w:r w:rsidRPr="004B08EF">
        <w:rPr>
          <w:lang w:val="en-GB"/>
        </w:rPr>
        <w:t xml:space="preserve"> (</w:t>
      </w:r>
      <w:r w:rsidR="001A01A3" w:rsidRPr="004B08EF">
        <w:rPr>
          <w:lang w:val="en-GB"/>
        </w:rPr>
        <w:t>an initial higher dose of a drug given at the beginning of a course of treatment</w:t>
      </w:r>
      <w:r w:rsidR="0039386B">
        <w:rPr>
          <w:lang w:val="en-GB"/>
        </w:rPr>
        <w:t>;</w:t>
      </w:r>
      <w:r w:rsidR="001A01A3" w:rsidRPr="004B08EF">
        <w:rPr>
          <w:lang w:val="en-GB"/>
        </w:rPr>
        <w:t xml:space="preserve"> </w:t>
      </w:r>
      <w:r w:rsidRPr="004B08EF">
        <w:rPr>
          <w:lang w:val="en-GB"/>
        </w:rPr>
        <w:t>n=</w:t>
      </w:r>
      <w:r w:rsidR="00974C2C" w:rsidRPr="004B08EF">
        <w:rPr>
          <w:lang w:val="en-GB"/>
        </w:rPr>
        <w:t>185</w:t>
      </w:r>
      <w:r w:rsidRPr="004B08EF">
        <w:rPr>
          <w:lang w:val="en-GB"/>
        </w:rPr>
        <w:t>) with placebo (n=1</w:t>
      </w:r>
      <w:r w:rsidR="00974C2C" w:rsidRPr="004B08EF">
        <w:rPr>
          <w:lang w:val="en-GB"/>
        </w:rPr>
        <w:t>86</w:t>
      </w:r>
      <w:r w:rsidRPr="004B08EF">
        <w:rPr>
          <w:lang w:val="en-GB"/>
        </w:rPr>
        <w:t>)</w:t>
      </w:r>
      <w:r w:rsidR="001A01A3" w:rsidRPr="004B08EF">
        <w:rPr>
          <w:lang w:val="en-GB"/>
        </w:rPr>
        <w:t>. It included</w:t>
      </w:r>
      <w:r w:rsidRPr="004B08EF">
        <w:rPr>
          <w:lang w:val="en-GB"/>
        </w:rPr>
        <w:t xml:space="preserve"> adults</w:t>
      </w:r>
      <w:r w:rsidR="001A01A3" w:rsidRPr="004B08EF">
        <w:rPr>
          <w:lang w:val="en-GB"/>
        </w:rPr>
        <w:t xml:space="preserve"> with axial spondyloarthritis </w:t>
      </w:r>
      <w:r w:rsidR="003D7B6F" w:rsidRPr="004B08EF">
        <w:rPr>
          <w:lang w:val="en-GB"/>
        </w:rPr>
        <w:t>who</w:t>
      </w:r>
      <w:r w:rsidRPr="004B08EF">
        <w:rPr>
          <w:lang w:val="en-GB"/>
        </w:rPr>
        <w:t xml:space="preserve"> </w:t>
      </w:r>
      <w:r w:rsidR="001A01A3" w:rsidRPr="004B08EF">
        <w:rPr>
          <w:lang w:val="en-GB"/>
        </w:rPr>
        <w:t xml:space="preserve">fulfilled </w:t>
      </w:r>
      <w:r w:rsidR="00974C2C" w:rsidRPr="004B08EF">
        <w:rPr>
          <w:lang w:val="en-GB"/>
        </w:rPr>
        <w:t>the Assessment of Spondylarthritis International Society (ASAS) classification criteria for axial spondyloarthritis</w:t>
      </w:r>
      <w:r w:rsidR="00E138FF" w:rsidRPr="004B08EF">
        <w:rPr>
          <w:lang w:val="en-GB"/>
        </w:rPr>
        <w:t xml:space="preserve">, </w:t>
      </w:r>
      <w:r w:rsidR="00FE693F" w:rsidRPr="004B08EF">
        <w:rPr>
          <w:lang w:val="en-GB"/>
        </w:rPr>
        <w:t xml:space="preserve">with </w:t>
      </w:r>
      <w:r w:rsidR="00974C2C" w:rsidRPr="004B08EF">
        <w:rPr>
          <w:lang w:val="en-GB"/>
        </w:rPr>
        <w:t xml:space="preserve">abnormal </w:t>
      </w:r>
      <w:r w:rsidR="00747378" w:rsidRPr="004B08EF">
        <w:rPr>
          <w:rStyle w:val="Numberedlevel2textChar"/>
          <w:lang w:val="en-GB"/>
        </w:rPr>
        <w:t xml:space="preserve">C-reactive protein </w:t>
      </w:r>
      <w:r w:rsidR="00974C2C" w:rsidRPr="004B08EF">
        <w:rPr>
          <w:lang w:val="en-GB"/>
        </w:rPr>
        <w:t>or MRI</w:t>
      </w:r>
      <w:r w:rsidR="00747378" w:rsidRPr="004B08EF">
        <w:rPr>
          <w:lang w:val="en-GB"/>
        </w:rPr>
        <w:t>, or both,</w:t>
      </w:r>
      <w:r w:rsidR="00767332" w:rsidRPr="004B08EF">
        <w:rPr>
          <w:lang w:val="en-GB"/>
        </w:rPr>
        <w:t xml:space="preserve"> and </w:t>
      </w:r>
      <w:r w:rsidR="00017B74" w:rsidRPr="004B08EF">
        <w:rPr>
          <w:lang w:val="en-GB"/>
        </w:rPr>
        <w:t>n</w:t>
      </w:r>
      <w:r w:rsidR="00974C2C" w:rsidRPr="004B08EF">
        <w:rPr>
          <w:lang w:val="en-GB"/>
        </w:rPr>
        <w:t>o radiographic evidence of changes in the sacroiliac joints</w:t>
      </w:r>
      <w:r w:rsidR="00716211" w:rsidRPr="004B08EF">
        <w:rPr>
          <w:lang w:val="en-GB"/>
        </w:rPr>
        <w:t>. As such, the disease also</w:t>
      </w:r>
      <w:r w:rsidR="001A01A3" w:rsidRPr="004B08EF">
        <w:rPr>
          <w:lang w:val="en-GB"/>
        </w:rPr>
        <w:t xml:space="preserve"> </w:t>
      </w:r>
      <w:r w:rsidR="00FE693F" w:rsidRPr="004B08EF">
        <w:rPr>
          <w:lang w:val="en-GB"/>
        </w:rPr>
        <w:t>fulfil</w:t>
      </w:r>
      <w:r w:rsidR="00716211" w:rsidRPr="004B08EF">
        <w:rPr>
          <w:lang w:val="en-GB"/>
        </w:rPr>
        <w:t>led</w:t>
      </w:r>
      <w:r w:rsidR="00FE693F" w:rsidRPr="004B08EF">
        <w:rPr>
          <w:lang w:val="en-GB"/>
        </w:rPr>
        <w:t xml:space="preserve"> the</w:t>
      </w:r>
      <w:r w:rsidR="00974C2C" w:rsidRPr="004B08EF">
        <w:rPr>
          <w:lang w:val="en-GB"/>
        </w:rPr>
        <w:t xml:space="preserve"> modified New York criteria for non-radiographic axial spondyloarthritis. </w:t>
      </w:r>
      <w:r w:rsidR="0084169E" w:rsidRPr="004B08EF">
        <w:rPr>
          <w:lang w:val="en-GB"/>
        </w:rPr>
        <w:t xml:space="preserve">The primary outcome measure </w:t>
      </w:r>
      <w:r w:rsidR="00C34A58" w:rsidRPr="004B08EF">
        <w:rPr>
          <w:lang w:val="en-GB"/>
        </w:rPr>
        <w:t xml:space="preserve">is </w:t>
      </w:r>
      <w:r w:rsidR="0084169E" w:rsidRPr="004B08EF">
        <w:rPr>
          <w:lang w:val="en-GB"/>
        </w:rPr>
        <w:t xml:space="preserve">the proportion of </w:t>
      </w:r>
      <w:r w:rsidR="00716211" w:rsidRPr="004B08EF">
        <w:rPr>
          <w:lang w:val="en-GB"/>
        </w:rPr>
        <w:t xml:space="preserve">patients who have not had a </w:t>
      </w:r>
      <w:r w:rsidR="0084169E" w:rsidRPr="004B08EF">
        <w:rPr>
          <w:lang w:val="en-GB"/>
        </w:rPr>
        <w:t xml:space="preserve">TNF-alpha inhibitor </w:t>
      </w:r>
      <w:r w:rsidR="00716211" w:rsidRPr="004B08EF">
        <w:rPr>
          <w:lang w:val="en-GB"/>
        </w:rPr>
        <w:t xml:space="preserve">before who had </w:t>
      </w:r>
      <w:r w:rsidR="0084169E" w:rsidRPr="004B08EF">
        <w:rPr>
          <w:lang w:val="en-GB"/>
        </w:rPr>
        <w:t>an ASAS</w:t>
      </w:r>
      <w:r w:rsidR="003D7B6F" w:rsidRPr="004B08EF">
        <w:rPr>
          <w:lang w:val="en-GB"/>
        </w:rPr>
        <w:t xml:space="preserve"> </w:t>
      </w:r>
      <w:r w:rsidR="0084169E" w:rsidRPr="004B08EF">
        <w:rPr>
          <w:lang w:val="en-GB"/>
        </w:rPr>
        <w:t>40</w:t>
      </w:r>
      <w:r w:rsidR="00D61EFF" w:rsidRPr="004B08EF">
        <w:rPr>
          <w:lang w:val="en-GB"/>
        </w:rPr>
        <w:t xml:space="preserve"> response</w:t>
      </w:r>
      <w:r w:rsidR="0084169E" w:rsidRPr="004B08EF">
        <w:rPr>
          <w:lang w:val="en-GB"/>
        </w:rPr>
        <w:t xml:space="preserve"> (improvement of </w:t>
      </w:r>
      <w:r w:rsidR="00716211" w:rsidRPr="004B08EF">
        <w:rPr>
          <w:lang w:val="en-GB"/>
        </w:rPr>
        <w:t xml:space="preserve">at least </w:t>
      </w:r>
      <w:r w:rsidR="0084169E" w:rsidRPr="004B08EF">
        <w:rPr>
          <w:lang w:val="en-GB"/>
        </w:rPr>
        <w:t>40%</w:t>
      </w:r>
      <w:r w:rsidR="00B60CE1" w:rsidRPr="004B08EF">
        <w:rPr>
          <w:lang w:val="en-GB"/>
        </w:rPr>
        <w:t xml:space="preserve"> in the ASAS</w:t>
      </w:r>
      <w:r w:rsidR="00716211" w:rsidRPr="004B08EF">
        <w:rPr>
          <w:lang w:val="en-GB"/>
        </w:rPr>
        <w:t xml:space="preserve">, </w:t>
      </w:r>
      <w:r w:rsidR="003D7B6F" w:rsidRPr="004B08EF">
        <w:rPr>
          <w:lang w:val="en-GB"/>
        </w:rPr>
        <w:t xml:space="preserve">improvement in </w:t>
      </w:r>
      <w:r w:rsidR="00716211" w:rsidRPr="004B08EF">
        <w:rPr>
          <w:lang w:val="en-GB"/>
        </w:rPr>
        <w:t xml:space="preserve">at least </w:t>
      </w:r>
      <w:r w:rsidR="0084169E" w:rsidRPr="004B08EF">
        <w:rPr>
          <w:lang w:val="en-GB"/>
        </w:rPr>
        <w:t xml:space="preserve">2 units in 3 of the 4 main domains of ASAS </w:t>
      </w:r>
      <w:r w:rsidR="00D61EFF" w:rsidRPr="004B08EF">
        <w:rPr>
          <w:lang w:val="en-GB"/>
        </w:rPr>
        <w:t>and</w:t>
      </w:r>
      <w:r w:rsidR="0084169E" w:rsidRPr="004B08EF">
        <w:rPr>
          <w:lang w:val="en-GB"/>
        </w:rPr>
        <w:t xml:space="preserve"> no worsening in the remaining domains) at </w:t>
      </w:r>
      <w:r w:rsidR="0048083F" w:rsidRPr="004B08EF">
        <w:rPr>
          <w:lang w:val="en-GB"/>
        </w:rPr>
        <w:t>week</w:t>
      </w:r>
      <w:r w:rsidR="0048083F">
        <w:rPr>
          <w:lang w:val="en-GB"/>
        </w:rPr>
        <w:t> </w:t>
      </w:r>
      <w:r w:rsidR="0084169E" w:rsidRPr="004B08EF">
        <w:rPr>
          <w:lang w:val="en-GB"/>
        </w:rPr>
        <w:t xml:space="preserve">16. </w:t>
      </w:r>
      <w:r w:rsidR="00A27718" w:rsidRPr="004B08EF">
        <w:rPr>
          <w:lang w:val="en-GB"/>
        </w:rPr>
        <w:t>S</w:t>
      </w:r>
      <w:r w:rsidR="004A12B2" w:rsidRPr="004B08EF">
        <w:rPr>
          <w:lang w:val="en-GB"/>
        </w:rPr>
        <w:t xml:space="preserve">ecukinumab increased the proportion of people </w:t>
      </w:r>
      <w:r w:rsidR="004F0EA7">
        <w:rPr>
          <w:lang w:val="en-GB"/>
        </w:rPr>
        <w:t>who had</w:t>
      </w:r>
      <w:r w:rsidR="00B540B2" w:rsidRPr="004B08EF">
        <w:rPr>
          <w:lang w:val="en-GB"/>
        </w:rPr>
        <w:t xml:space="preserve"> </w:t>
      </w:r>
      <w:r w:rsidR="004A12B2" w:rsidRPr="004B08EF">
        <w:rPr>
          <w:lang w:val="en-GB"/>
        </w:rPr>
        <w:t>an ASAS</w:t>
      </w:r>
      <w:r w:rsidR="003D7B6F" w:rsidRPr="004B08EF">
        <w:rPr>
          <w:lang w:val="en-GB"/>
        </w:rPr>
        <w:t xml:space="preserve"> </w:t>
      </w:r>
      <w:r w:rsidR="004A12B2" w:rsidRPr="004B08EF">
        <w:rPr>
          <w:lang w:val="en-GB"/>
        </w:rPr>
        <w:t xml:space="preserve">40 response compared with placebo </w:t>
      </w:r>
      <w:r w:rsidR="00716211" w:rsidRPr="004B08EF">
        <w:rPr>
          <w:lang w:val="en-GB"/>
        </w:rPr>
        <w:t>(</w:t>
      </w:r>
      <w:r w:rsidR="004A12B2" w:rsidRPr="004B08EF">
        <w:rPr>
          <w:lang w:val="en-GB"/>
        </w:rPr>
        <w:t>odds ratio [OR] 1.72, p&lt;0.0197</w:t>
      </w:r>
      <w:r w:rsidR="00716211" w:rsidRPr="004B08EF">
        <w:rPr>
          <w:lang w:val="en-GB"/>
        </w:rPr>
        <w:t xml:space="preserve">; </w:t>
      </w:r>
      <w:r w:rsidR="004A12B2" w:rsidRPr="004B08EF">
        <w:rPr>
          <w:lang w:val="en-GB"/>
        </w:rPr>
        <w:t>95% confidence intervals</w:t>
      </w:r>
      <w:r w:rsidR="00207279" w:rsidRPr="004B08EF">
        <w:rPr>
          <w:lang w:val="en-GB"/>
        </w:rPr>
        <w:t xml:space="preserve"> and secondary outcome </w:t>
      </w:r>
      <w:r w:rsidR="00D61EFF" w:rsidRPr="004B08EF">
        <w:rPr>
          <w:lang w:val="en-GB"/>
        </w:rPr>
        <w:t>results</w:t>
      </w:r>
      <w:r w:rsidR="0088445C" w:rsidRPr="004B08EF">
        <w:rPr>
          <w:lang w:val="en-GB"/>
        </w:rPr>
        <w:t xml:space="preserve"> are confidential and cannot be reported here)</w:t>
      </w:r>
      <w:r w:rsidR="004A12B2" w:rsidRPr="004B08EF">
        <w:rPr>
          <w:lang w:val="en-GB"/>
        </w:rPr>
        <w:t>.</w:t>
      </w:r>
      <w:r w:rsidR="00A27718" w:rsidRPr="004B08EF">
        <w:rPr>
          <w:lang w:val="en-GB"/>
        </w:rPr>
        <w:t xml:space="preserve"> The proportion of patients whose Bath Ankylosing Spondylitis Disease Activity Index score improved by 50% from baseline</w:t>
      </w:r>
      <w:r w:rsidR="00A7641E">
        <w:rPr>
          <w:lang w:val="en-GB"/>
        </w:rPr>
        <w:t xml:space="preserve"> </w:t>
      </w:r>
      <w:r w:rsidR="00A7641E" w:rsidRPr="004B08EF">
        <w:rPr>
          <w:lang w:val="en-GB"/>
        </w:rPr>
        <w:t>(BASDAI 50)</w:t>
      </w:r>
      <w:r w:rsidR="00A27718" w:rsidRPr="004B08EF">
        <w:rPr>
          <w:lang w:val="en-GB"/>
        </w:rPr>
        <w:t xml:space="preserve">, and the change in Bath Ankylosing </w:t>
      </w:r>
      <w:r w:rsidR="00A27718" w:rsidRPr="004B08EF">
        <w:rPr>
          <w:lang w:val="en-GB"/>
        </w:rPr>
        <w:lastRenderedPageBreak/>
        <w:t>Spondylitis Functional Index (BASFI) score from baseline, were collected as secondary endpoints</w:t>
      </w:r>
      <w:r w:rsidR="00716211" w:rsidRPr="004B08EF">
        <w:rPr>
          <w:lang w:val="en-GB"/>
        </w:rPr>
        <w:t>. S</w:t>
      </w:r>
      <w:r w:rsidR="00A27718" w:rsidRPr="004B08EF">
        <w:rPr>
          <w:lang w:val="en-GB"/>
        </w:rPr>
        <w:t>ecukinumab improved these outcomes compared with placebo.</w:t>
      </w:r>
      <w:r w:rsidR="00D61EFF" w:rsidRPr="004B08EF">
        <w:rPr>
          <w:lang w:val="en-GB"/>
        </w:rPr>
        <w:t xml:space="preserve"> </w:t>
      </w:r>
      <w:r w:rsidR="007E363F" w:rsidRPr="004B08EF">
        <w:rPr>
          <w:lang w:val="en-GB"/>
        </w:rPr>
        <w:t xml:space="preserve">The </w:t>
      </w:r>
      <w:r w:rsidR="0084169E" w:rsidRPr="004B08EF">
        <w:rPr>
          <w:lang w:val="en-GB"/>
        </w:rPr>
        <w:t>committee concluded that</w:t>
      </w:r>
      <w:r w:rsidR="003D7B6F" w:rsidRPr="004B08EF">
        <w:rPr>
          <w:lang w:val="en-GB"/>
        </w:rPr>
        <w:t>, compared with placebo,</w:t>
      </w:r>
      <w:r w:rsidR="0084169E" w:rsidRPr="004B08EF">
        <w:rPr>
          <w:lang w:val="en-GB"/>
        </w:rPr>
        <w:t xml:space="preserve"> </w:t>
      </w:r>
      <w:r w:rsidR="004A12B2" w:rsidRPr="004B08EF">
        <w:rPr>
          <w:lang w:val="en-GB"/>
        </w:rPr>
        <w:t>secukinumab increas</w:t>
      </w:r>
      <w:r w:rsidR="0084169E" w:rsidRPr="004B08EF">
        <w:rPr>
          <w:lang w:val="en-GB"/>
        </w:rPr>
        <w:t>es</w:t>
      </w:r>
      <w:r w:rsidR="004A12B2" w:rsidRPr="004B08EF">
        <w:rPr>
          <w:lang w:val="en-GB"/>
        </w:rPr>
        <w:t xml:space="preserve"> the proportion of people having an ASAS</w:t>
      </w:r>
      <w:r w:rsidR="003D7B6F" w:rsidRPr="004B08EF">
        <w:rPr>
          <w:lang w:val="en-GB"/>
        </w:rPr>
        <w:t xml:space="preserve"> </w:t>
      </w:r>
      <w:r w:rsidR="004A12B2" w:rsidRPr="004B08EF">
        <w:rPr>
          <w:lang w:val="en-GB"/>
        </w:rPr>
        <w:t>40 response</w:t>
      </w:r>
      <w:r w:rsidR="00A27718" w:rsidRPr="004B08EF">
        <w:rPr>
          <w:lang w:val="en-GB"/>
        </w:rPr>
        <w:t>, BASDAI 50 response and improved function as assessed by BASFI</w:t>
      </w:r>
      <w:r w:rsidR="009C3939" w:rsidRPr="004B08EF">
        <w:rPr>
          <w:lang w:val="en-GB"/>
        </w:rPr>
        <w:t>.</w:t>
      </w:r>
      <w:r w:rsidR="004B4885" w:rsidRPr="004B08EF">
        <w:rPr>
          <w:lang w:val="en-GB"/>
        </w:rPr>
        <w:t xml:space="preserve"> </w:t>
      </w:r>
    </w:p>
    <w:p w14:paraId="693F90E3" w14:textId="6E0DA8E4" w:rsidR="00B27AE8" w:rsidRPr="004B08EF" w:rsidRDefault="00920A5F" w:rsidP="00B27AE8">
      <w:pPr>
        <w:pStyle w:val="Heading3"/>
      </w:pPr>
      <w:r w:rsidRPr="004B08EF">
        <w:t xml:space="preserve">There </w:t>
      </w:r>
      <w:r w:rsidR="000315B2" w:rsidRPr="004B08EF">
        <w:t>are</w:t>
      </w:r>
      <w:r w:rsidRPr="004B08EF">
        <w:t xml:space="preserve"> limited </w:t>
      </w:r>
      <w:r w:rsidR="005B05D3">
        <w:t xml:space="preserve">clinical-effectiveness </w:t>
      </w:r>
      <w:r w:rsidRPr="004B08EF">
        <w:t>data for secukinumab</w:t>
      </w:r>
      <w:r w:rsidR="00F15594" w:rsidRPr="004B08EF">
        <w:t xml:space="preserve"> used </w:t>
      </w:r>
      <w:r w:rsidRPr="004B08EF">
        <w:t>after a TNF</w:t>
      </w:r>
      <w:r w:rsidR="00D53956" w:rsidRPr="004B08EF">
        <w:t>-</w:t>
      </w:r>
      <w:r w:rsidRPr="004B08EF">
        <w:t>alpha inhibitor, but</w:t>
      </w:r>
      <w:r w:rsidR="00F15594" w:rsidRPr="004B08EF">
        <w:t xml:space="preserve"> it</w:t>
      </w:r>
      <w:r w:rsidRPr="004B08EF">
        <w:t xml:space="preserve"> </w:t>
      </w:r>
      <w:r w:rsidR="00F15594" w:rsidRPr="004B08EF">
        <w:t>is likely to be effective</w:t>
      </w:r>
    </w:p>
    <w:p w14:paraId="430BCBE3" w14:textId="4D68A9AA" w:rsidR="00920A5F" w:rsidRPr="004B08EF" w:rsidRDefault="004F0EA7" w:rsidP="00B27AE8">
      <w:pPr>
        <w:pStyle w:val="Numberedlevel2text"/>
        <w:rPr>
          <w:lang w:val="en-GB"/>
        </w:rPr>
      </w:pPr>
      <w:r>
        <w:rPr>
          <w:lang w:val="en-GB"/>
        </w:rPr>
        <w:t>L</w:t>
      </w:r>
      <w:r w:rsidR="00663063" w:rsidRPr="004B08EF">
        <w:rPr>
          <w:lang w:val="en-GB"/>
        </w:rPr>
        <w:t>ess than 10% of the population in PREVENT</w:t>
      </w:r>
      <w:r>
        <w:rPr>
          <w:lang w:val="en-GB"/>
        </w:rPr>
        <w:t xml:space="preserve"> </w:t>
      </w:r>
      <w:r w:rsidR="008219FD">
        <w:rPr>
          <w:lang w:val="en-GB"/>
        </w:rPr>
        <w:t>had</w:t>
      </w:r>
      <w:r w:rsidR="000A3410">
        <w:rPr>
          <w:lang w:val="en-GB"/>
        </w:rPr>
        <w:t xml:space="preserve"> </w:t>
      </w:r>
      <w:r w:rsidR="001F1345">
        <w:rPr>
          <w:lang w:val="en-GB"/>
        </w:rPr>
        <w:t>previously had treatment with a</w:t>
      </w:r>
      <w:r>
        <w:rPr>
          <w:lang w:val="en-GB"/>
        </w:rPr>
        <w:t xml:space="preserve"> TNF-alpha inhibitor</w:t>
      </w:r>
      <w:r w:rsidR="00C43E6B">
        <w:rPr>
          <w:lang w:val="en-GB"/>
        </w:rPr>
        <w:t xml:space="preserve"> before being randomised to the trial</w:t>
      </w:r>
      <w:r w:rsidR="00442493" w:rsidRPr="004B08EF">
        <w:rPr>
          <w:lang w:val="en-GB"/>
        </w:rPr>
        <w:t>. The committee noted that</w:t>
      </w:r>
      <w:r w:rsidR="003D7B6F" w:rsidRPr="004B08EF">
        <w:rPr>
          <w:lang w:val="en-GB"/>
        </w:rPr>
        <w:t>,</w:t>
      </w:r>
      <w:r w:rsidR="00442493" w:rsidRPr="004B08EF">
        <w:rPr>
          <w:lang w:val="en-GB"/>
        </w:rPr>
        <w:t xml:space="preserve"> as a result, there is limited evidence </w:t>
      </w:r>
      <w:r w:rsidR="005B05D3">
        <w:rPr>
          <w:lang w:val="en-GB"/>
        </w:rPr>
        <w:t>about</w:t>
      </w:r>
      <w:r w:rsidR="005B05D3" w:rsidRPr="004B08EF">
        <w:rPr>
          <w:lang w:val="en-GB"/>
        </w:rPr>
        <w:t xml:space="preserve"> </w:t>
      </w:r>
      <w:r w:rsidR="005B05D3">
        <w:rPr>
          <w:lang w:val="en-GB"/>
        </w:rPr>
        <w:t xml:space="preserve">how effective </w:t>
      </w:r>
      <w:r w:rsidR="000C52A5" w:rsidRPr="004B08EF">
        <w:rPr>
          <w:lang w:val="en-GB"/>
        </w:rPr>
        <w:t>secukinumab</w:t>
      </w:r>
      <w:r w:rsidR="005B05D3">
        <w:rPr>
          <w:lang w:val="en-GB"/>
        </w:rPr>
        <w:t xml:space="preserve"> is </w:t>
      </w:r>
      <w:r w:rsidR="00D93B19">
        <w:rPr>
          <w:lang w:val="en-GB"/>
        </w:rPr>
        <w:t xml:space="preserve">when used </w:t>
      </w:r>
      <w:r w:rsidR="00A54165" w:rsidRPr="004B08EF">
        <w:rPr>
          <w:lang w:val="en-GB"/>
        </w:rPr>
        <w:t xml:space="preserve">after </w:t>
      </w:r>
      <w:r w:rsidR="000C52A5" w:rsidRPr="004B08EF">
        <w:rPr>
          <w:lang w:val="en-GB"/>
        </w:rPr>
        <w:t xml:space="preserve">a </w:t>
      </w:r>
      <w:r w:rsidR="00A54165" w:rsidRPr="004B08EF">
        <w:rPr>
          <w:lang w:val="en-GB"/>
        </w:rPr>
        <w:t>TNF-alpha inhibitor</w:t>
      </w:r>
      <w:r w:rsidR="003D7B6F" w:rsidRPr="004B08EF">
        <w:rPr>
          <w:lang w:val="en-GB"/>
        </w:rPr>
        <w:t xml:space="preserve"> </w:t>
      </w:r>
      <w:r w:rsidR="001B3404" w:rsidRPr="004B08EF">
        <w:rPr>
          <w:lang w:val="en-GB"/>
        </w:rPr>
        <w:t>ha</w:t>
      </w:r>
      <w:r w:rsidR="004B08EF">
        <w:rPr>
          <w:lang w:val="en-GB"/>
        </w:rPr>
        <w:t>s</w:t>
      </w:r>
      <w:r w:rsidR="001B3404" w:rsidRPr="004B08EF">
        <w:rPr>
          <w:lang w:val="en-GB"/>
        </w:rPr>
        <w:t xml:space="preserve"> failed</w:t>
      </w:r>
      <w:r w:rsidR="005D3378" w:rsidRPr="004B08EF">
        <w:rPr>
          <w:lang w:val="en-GB"/>
        </w:rPr>
        <w:t>.</w:t>
      </w:r>
      <w:r w:rsidR="001272B7" w:rsidRPr="004B08EF">
        <w:rPr>
          <w:lang w:val="en-GB"/>
        </w:rPr>
        <w:t xml:space="preserve"> The </w:t>
      </w:r>
      <w:r w:rsidR="00DE4CCF" w:rsidRPr="004B08EF">
        <w:rPr>
          <w:lang w:val="en-GB"/>
        </w:rPr>
        <w:t xml:space="preserve">ERG </w:t>
      </w:r>
      <w:r w:rsidR="001272B7" w:rsidRPr="004B08EF">
        <w:rPr>
          <w:lang w:val="en-GB"/>
        </w:rPr>
        <w:t xml:space="preserve">acknowledged that </w:t>
      </w:r>
      <w:r w:rsidR="00A557F6" w:rsidRPr="004B08EF">
        <w:rPr>
          <w:lang w:val="en-GB"/>
        </w:rPr>
        <w:t xml:space="preserve">the </w:t>
      </w:r>
      <w:r w:rsidR="001272B7" w:rsidRPr="004B08EF">
        <w:rPr>
          <w:lang w:val="en-GB"/>
        </w:rPr>
        <w:t>relative effect estimates</w:t>
      </w:r>
      <w:r w:rsidR="00367328" w:rsidRPr="004B08EF">
        <w:rPr>
          <w:lang w:val="en-GB"/>
        </w:rPr>
        <w:t xml:space="preserve"> of secukinumab</w:t>
      </w:r>
      <w:r w:rsidR="001272B7" w:rsidRPr="004B08EF">
        <w:rPr>
          <w:lang w:val="en-GB"/>
        </w:rPr>
        <w:t xml:space="preserve"> </w:t>
      </w:r>
      <w:r w:rsidR="00367328" w:rsidRPr="004B08EF">
        <w:rPr>
          <w:lang w:val="en-GB"/>
        </w:rPr>
        <w:t xml:space="preserve">compared with </w:t>
      </w:r>
      <w:r w:rsidR="001272B7" w:rsidRPr="004B08EF">
        <w:rPr>
          <w:lang w:val="en-GB"/>
        </w:rPr>
        <w:t xml:space="preserve">placebo were similar </w:t>
      </w:r>
      <w:r w:rsidR="00367328" w:rsidRPr="004B08EF">
        <w:rPr>
          <w:lang w:val="en-GB"/>
        </w:rPr>
        <w:t xml:space="preserve">for people who had </w:t>
      </w:r>
      <w:r w:rsidR="00A557F6" w:rsidRPr="004B08EF">
        <w:rPr>
          <w:lang w:val="en-GB"/>
        </w:rPr>
        <w:t xml:space="preserve">a </w:t>
      </w:r>
      <w:r w:rsidR="001272B7" w:rsidRPr="004B08EF">
        <w:rPr>
          <w:lang w:val="en-GB"/>
        </w:rPr>
        <w:t xml:space="preserve">TNF-alpha inhibitor </w:t>
      </w:r>
      <w:r w:rsidR="00367328" w:rsidRPr="004B08EF">
        <w:rPr>
          <w:lang w:val="en-GB"/>
        </w:rPr>
        <w:t xml:space="preserve">before </w:t>
      </w:r>
      <w:r w:rsidR="001272B7" w:rsidRPr="004B08EF">
        <w:rPr>
          <w:lang w:val="en-GB"/>
        </w:rPr>
        <w:t xml:space="preserve">and </w:t>
      </w:r>
      <w:r w:rsidR="00367328" w:rsidRPr="004B08EF">
        <w:rPr>
          <w:lang w:val="en-GB"/>
        </w:rPr>
        <w:t>those who had</w:t>
      </w:r>
      <w:r w:rsidR="0039386B">
        <w:rPr>
          <w:lang w:val="en-GB"/>
        </w:rPr>
        <w:t xml:space="preserve"> not</w:t>
      </w:r>
      <w:r w:rsidR="00A557F6" w:rsidRPr="004B08EF">
        <w:rPr>
          <w:lang w:val="en-GB"/>
        </w:rPr>
        <w:t>. However, it noted</w:t>
      </w:r>
      <w:r w:rsidR="001272B7" w:rsidRPr="004B08EF">
        <w:rPr>
          <w:lang w:val="en-GB"/>
        </w:rPr>
        <w:t xml:space="preserve"> </w:t>
      </w:r>
      <w:r w:rsidR="00367328" w:rsidRPr="004B08EF">
        <w:rPr>
          <w:lang w:val="en-GB"/>
        </w:rPr>
        <w:t>that PREVENT</w:t>
      </w:r>
      <w:r w:rsidR="005B4BA9" w:rsidRPr="004B08EF">
        <w:rPr>
          <w:lang w:val="en-GB"/>
        </w:rPr>
        <w:t xml:space="preserve"> </w:t>
      </w:r>
      <w:r w:rsidR="001272B7" w:rsidRPr="004B08EF">
        <w:rPr>
          <w:lang w:val="en-GB"/>
        </w:rPr>
        <w:t xml:space="preserve">was not powered to detect differences </w:t>
      </w:r>
      <w:r w:rsidR="00AB066D" w:rsidRPr="004B08EF">
        <w:rPr>
          <w:lang w:val="en-GB"/>
        </w:rPr>
        <w:t>between the</w:t>
      </w:r>
      <w:r w:rsidR="00367328" w:rsidRPr="004B08EF">
        <w:rPr>
          <w:lang w:val="en-GB"/>
        </w:rPr>
        <w:t xml:space="preserve">se </w:t>
      </w:r>
      <w:r w:rsidR="00AB066D" w:rsidRPr="004B08EF">
        <w:rPr>
          <w:lang w:val="en-GB"/>
        </w:rPr>
        <w:t>subgroups</w:t>
      </w:r>
      <w:r w:rsidR="003636D7" w:rsidRPr="004B08EF">
        <w:rPr>
          <w:lang w:val="en-GB"/>
        </w:rPr>
        <w:t xml:space="preserve">. </w:t>
      </w:r>
      <w:r w:rsidR="00920A5F" w:rsidRPr="004B08EF">
        <w:rPr>
          <w:lang w:val="en-GB"/>
        </w:rPr>
        <w:t xml:space="preserve">The committee concluded that there are limited data </w:t>
      </w:r>
      <w:r w:rsidR="005B4BA9" w:rsidRPr="004B08EF">
        <w:rPr>
          <w:lang w:val="en-GB"/>
        </w:rPr>
        <w:t xml:space="preserve">from PREVENT </w:t>
      </w:r>
      <w:r w:rsidR="005B05D3">
        <w:rPr>
          <w:lang w:val="en-GB"/>
        </w:rPr>
        <w:t>to measure</w:t>
      </w:r>
      <w:r w:rsidR="005B05D3" w:rsidRPr="004B08EF">
        <w:rPr>
          <w:lang w:val="en-GB"/>
        </w:rPr>
        <w:t xml:space="preserve"> </w:t>
      </w:r>
      <w:r w:rsidR="00920A5F" w:rsidRPr="004B08EF">
        <w:rPr>
          <w:lang w:val="en-GB"/>
        </w:rPr>
        <w:t xml:space="preserve">the clinical effectiveness of secukinumab when used after a </w:t>
      </w:r>
      <w:r w:rsidR="00367328" w:rsidRPr="004B08EF">
        <w:rPr>
          <w:lang w:val="en-GB"/>
        </w:rPr>
        <w:t>TNF-</w:t>
      </w:r>
      <w:r w:rsidR="00920A5F" w:rsidRPr="004B08EF">
        <w:rPr>
          <w:lang w:val="en-GB"/>
        </w:rPr>
        <w:t>alpha inhibitor</w:t>
      </w:r>
      <w:r w:rsidR="00B540B2">
        <w:rPr>
          <w:lang w:val="en-GB"/>
        </w:rPr>
        <w:t>. It further concluded</w:t>
      </w:r>
      <w:r w:rsidR="005B05D3">
        <w:rPr>
          <w:lang w:val="en-GB"/>
        </w:rPr>
        <w:t xml:space="preserve"> that secukinumab</w:t>
      </w:r>
      <w:r w:rsidR="000E629F" w:rsidRPr="004B08EF">
        <w:rPr>
          <w:lang w:val="en-GB"/>
        </w:rPr>
        <w:t xml:space="preserve"> was likely to be clinically effective compared with placebo</w:t>
      </w:r>
      <w:r w:rsidR="00B540B2">
        <w:rPr>
          <w:lang w:val="en-GB"/>
        </w:rPr>
        <w:t xml:space="preserve"> in this situation</w:t>
      </w:r>
      <w:r w:rsidR="000E629F" w:rsidRPr="004B08EF">
        <w:rPr>
          <w:lang w:val="en-GB"/>
        </w:rPr>
        <w:t>.</w:t>
      </w:r>
      <w:r w:rsidR="00917876" w:rsidRPr="004B08EF">
        <w:rPr>
          <w:lang w:val="en-GB"/>
        </w:rPr>
        <w:t xml:space="preserve"> </w:t>
      </w:r>
    </w:p>
    <w:p w14:paraId="3D32C587" w14:textId="4DBD9B73" w:rsidR="000E629F" w:rsidRPr="004B08EF" w:rsidRDefault="000E629F" w:rsidP="000315B2">
      <w:pPr>
        <w:pStyle w:val="Heading3"/>
      </w:pPr>
      <w:r w:rsidRPr="004B08EF">
        <w:t xml:space="preserve">People in PREVENT may have more functional impairment than people </w:t>
      </w:r>
      <w:r w:rsidR="005C0C38" w:rsidRPr="004B08EF">
        <w:t xml:space="preserve">in </w:t>
      </w:r>
      <w:r w:rsidR="005B05D3">
        <w:t>similar</w:t>
      </w:r>
      <w:r w:rsidR="005B05D3" w:rsidRPr="004B08EF">
        <w:t xml:space="preserve"> </w:t>
      </w:r>
      <w:r w:rsidR="005C0C38" w:rsidRPr="004B08EF">
        <w:t>trial</w:t>
      </w:r>
      <w:r w:rsidR="0080507D" w:rsidRPr="004B08EF">
        <w:t>s,</w:t>
      </w:r>
      <w:r w:rsidR="005C0C38" w:rsidRPr="004B08EF">
        <w:t xml:space="preserve"> or </w:t>
      </w:r>
      <w:r w:rsidR="0080507D" w:rsidRPr="004B08EF">
        <w:t xml:space="preserve">those </w:t>
      </w:r>
      <w:r w:rsidR="00D53956" w:rsidRPr="004B08EF">
        <w:t>who would have</w:t>
      </w:r>
      <w:r w:rsidRPr="004B08EF">
        <w:t xml:space="preserve"> secukinumab in the NHS</w:t>
      </w:r>
    </w:p>
    <w:p w14:paraId="59098052" w14:textId="0460473D" w:rsidR="00573D74" w:rsidRPr="004B08EF" w:rsidRDefault="000E629F" w:rsidP="005478D5">
      <w:pPr>
        <w:pStyle w:val="Numberedlevel2text"/>
        <w:rPr>
          <w:lang w:val="en-GB"/>
        </w:rPr>
      </w:pPr>
      <w:r w:rsidRPr="004B08EF">
        <w:rPr>
          <w:lang w:val="en-GB"/>
        </w:rPr>
        <w:t xml:space="preserve">The ERG noted that </w:t>
      </w:r>
      <w:r w:rsidR="00CC2169" w:rsidRPr="004B08EF">
        <w:rPr>
          <w:lang w:val="en-GB"/>
        </w:rPr>
        <w:t>t</w:t>
      </w:r>
      <w:r w:rsidR="00676CA8" w:rsidRPr="004B08EF">
        <w:rPr>
          <w:lang w:val="en-GB"/>
        </w:rPr>
        <w:t xml:space="preserve">he </w:t>
      </w:r>
      <w:r w:rsidR="00B242F0" w:rsidRPr="004B08EF">
        <w:rPr>
          <w:lang w:val="en-GB"/>
        </w:rPr>
        <w:t xml:space="preserve">mean </w:t>
      </w:r>
      <w:r w:rsidR="00676CA8" w:rsidRPr="004B08EF">
        <w:rPr>
          <w:lang w:val="en-GB"/>
        </w:rPr>
        <w:t xml:space="preserve">baseline BASFI score (around 6) in the PREVENT trial population </w:t>
      </w:r>
      <w:r w:rsidR="00B242F0" w:rsidRPr="004B08EF">
        <w:rPr>
          <w:lang w:val="en-GB"/>
        </w:rPr>
        <w:t xml:space="preserve">is </w:t>
      </w:r>
      <w:r w:rsidR="00676CA8" w:rsidRPr="004B08EF">
        <w:rPr>
          <w:lang w:val="en-GB"/>
        </w:rPr>
        <w:t xml:space="preserve">higher than </w:t>
      </w:r>
      <w:r w:rsidR="00383984" w:rsidRPr="004B08EF">
        <w:rPr>
          <w:lang w:val="en-GB"/>
        </w:rPr>
        <w:t>in other clinical trials</w:t>
      </w:r>
      <w:r w:rsidR="00BD5C2F" w:rsidRPr="004B08EF">
        <w:rPr>
          <w:lang w:val="en-GB"/>
        </w:rPr>
        <w:t xml:space="preserve"> in this disease area,</w:t>
      </w:r>
      <w:r w:rsidR="00A20C68" w:rsidRPr="004B08EF">
        <w:rPr>
          <w:lang w:val="en-GB"/>
        </w:rPr>
        <w:t xml:space="preserve"> and </w:t>
      </w:r>
      <w:r w:rsidR="00432D70" w:rsidRPr="004B08EF">
        <w:rPr>
          <w:lang w:val="en-GB"/>
        </w:rPr>
        <w:t>possibly</w:t>
      </w:r>
      <w:r w:rsidR="00A20C68" w:rsidRPr="004B08EF">
        <w:rPr>
          <w:lang w:val="en-GB"/>
        </w:rPr>
        <w:t xml:space="preserve"> </w:t>
      </w:r>
      <w:r w:rsidR="00BD5C2F" w:rsidRPr="004B08EF">
        <w:rPr>
          <w:lang w:val="en-GB"/>
        </w:rPr>
        <w:t>higher than</w:t>
      </w:r>
      <w:r w:rsidR="002B1D20" w:rsidRPr="004B08EF">
        <w:rPr>
          <w:lang w:val="en-GB"/>
        </w:rPr>
        <w:t xml:space="preserve"> </w:t>
      </w:r>
      <w:r w:rsidR="00676CA8" w:rsidRPr="004B08EF">
        <w:rPr>
          <w:lang w:val="en-GB"/>
        </w:rPr>
        <w:t>would be expected in clinical practice</w:t>
      </w:r>
      <w:r w:rsidR="00A557F6" w:rsidRPr="004B08EF">
        <w:rPr>
          <w:lang w:val="en-GB"/>
        </w:rPr>
        <w:t xml:space="preserve">. This suggested a </w:t>
      </w:r>
      <w:r w:rsidR="00676CA8" w:rsidRPr="004B08EF">
        <w:rPr>
          <w:lang w:val="en-GB"/>
        </w:rPr>
        <w:t>high functional impairment</w:t>
      </w:r>
      <w:r w:rsidR="0001352C" w:rsidRPr="004B08EF">
        <w:rPr>
          <w:lang w:val="en-GB"/>
        </w:rPr>
        <w:t xml:space="preserve"> in the trial population</w:t>
      </w:r>
      <w:r w:rsidR="00676CA8" w:rsidRPr="004B08EF">
        <w:rPr>
          <w:lang w:val="en-GB"/>
        </w:rPr>
        <w:t xml:space="preserve">. The company </w:t>
      </w:r>
      <w:r w:rsidR="00432D70" w:rsidRPr="004B08EF">
        <w:rPr>
          <w:lang w:val="en-GB"/>
        </w:rPr>
        <w:t xml:space="preserve">considered </w:t>
      </w:r>
      <w:r w:rsidR="00676CA8" w:rsidRPr="004B08EF">
        <w:rPr>
          <w:lang w:val="en-GB"/>
        </w:rPr>
        <w:t>that</w:t>
      </w:r>
      <w:r w:rsidR="00BD5C2F" w:rsidRPr="004B08EF">
        <w:rPr>
          <w:lang w:val="en-GB"/>
        </w:rPr>
        <w:t>, because</w:t>
      </w:r>
      <w:r w:rsidR="00A557F6" w:rsidRPr="004B08EF">
        <w:rPr>
          <w:lang w:val="en-GB"/>
        </w:rPr>
        <w:t xml:space="preserve"> </w:t>
      </w:r>
      <w:r w:rsidR="00676CA8" w:rsidRPr="004B08EF">
        <w:rPr>
          <w:lang w:val="en-GB"/>
        </w:rPr>
        <w:t>BASFI scores are a predictor of response, treatment effect estimates for secukinumab from PREVENT can be considered conservative.</w:t>
      </w:r>
      <w:r w:rsidR="00195346">
        <w:rPr>
          <w:lang w:val="en-GB"/>
        </w:rPr>
        <w:t xml:space="preserve"> This is because people with higher baseline BASFI scores (more </w:t>
      </w:r>
      <w:r w:rsidR="005B5749">
        <w:rPr>
          <w:lang w:val="en-GB"/>
        </w:rPr>
        <w:t>functional impairment</w:t>
      </w:r>
      <w:r w:rsidR="00195346">
        <w:rPr>
          <w:lang w:val="en-GB"/>
        </w:rPr>
        <w:t xml:space="preserve">) may be less </w:t>
      </w:r>
      <w:r w:rsidR="00195346">
        <w:rPr>
          <w:lang w:val="en-GB"/>
        </w:rPr>
        <w:lastRenderedPageBreak/>
        <w:t xml:space="preserve">likely to have a good response to treatment than people with less </w:t>
      </w:r>
      <w:r w:rsidR="005B5749">
        <w:rPr>
          <w:lang w:val="en-GB"/>
        </w:rPr>
        <w:t xml:space="preserve">functional impairment </w:t>
      </w:r>
      <w:r w:rsidR="00195346">
        <w:rPr>
          <w:lang w:val="en-GB"/>
        </w:rPr>
        <w:t>at baseline.</w:t>
      </w:r>
      <w:r w:rsidR="00676CA8" w:rsidRPr="004B08EF">
        <w:rPr>
          <w:lang w:val="en-GB"/>
        </w:rPr>
        <w:t xml:space="preserve"> </w:t>
      </w:r>
      <w:r w:rsidR="00DE4CCF" w:rsidRPr="004B08EF">
        <w:rPr>
          <w:lang w:val="en-GB"/>
        </w:rPr>
        <w:t>The committee concluded that</w:t>
      </w:r>
      <w:r w:rsidR="007E363F" w:rsidRPr="004B08EF">
        <w:rPr>
          <w:lang w:val="en-GB"/>
        </w:rPr>
        <w:t xml:space="preserve"> a</w:t>
      </w:r>
      <w:r w:rsidR="00DE4CCF" w:rsidRPr="004B08EF">
        <w:rPr>
          <w:lang w:val="en-GB"/>
        </w:rPr>
        <w:t xml:space="preserve"> </w:t>
      </w:r>
      <w:r w:rsidR="00676CA8" w:rsidRPr="004B08EF">
        <w:rPr>
          <w:lang w:val="en-GB"/>
        </w:rPr>
        <w:t xml:space="preserve">higher baseline BASFI score in the trial population </w:t>
      </w:r>
      <w:r w:rsidR="00A20C68" w:rsidRPr="004B08EF">
        <w:rPr>
          <w:lang w:val="en-GB"/>
        </w:rPr>
        <w:t>may</w:t>
      </w:r>
      <w:r w:rsidR="0001352C" w:rsidRPr="004B08EF">
        <w:rPr>
          <w:lang w:val="en-GB"/>
        </w:rPr>
        <w:t xml:space="preserve"> affect </w:t>
      </w:r>
      <w:r w:rsidR="00DE4CCF" w:rsidRPr="004B08EF">
        <w:rPr>
          <w:lang w:val="en-GB"/>
        </w:rPr>
        <w:t xml:space="preserve">the </w:t>
      </w:r>
      <w:r w:rsidR="0080507D" w:rsidRPr="004B08EF">
        <w:rPr>
          <w:lang w:val="en-GB"/>
        </w:rPr>
        <w:t xml:space="preserve">comparison with TNF-alpha inhibitors and </w:t>
      </w:r>
      <w:r w:rsidR="00C02A8A" w:rsidRPr="004B08EF">
        <w:rPr>
          <w:lang w:val="en-GB"/>
        </w:rPr>
        <w:t xml:space="preserve">the </w:t>
      </w:r>
      <w:r w:rsidR="00DE4CCF" w:rsidRPr="004B08EF">
        <w:rPr>
          <w:lang w:val="en-GB"/>
        </w:rPr>
        <w:t>generalisability of trial results to NHS clinical practice.</w:t>
      </w:r>
    </w:p>
    <w:p w14:paraId="4A56B38D" w14:textId="007F06BD" w:rsidR="00F15594" w:rsidRPr="004B08EF" w:rsidRDefault="003B3CAC" w:rsidP="00F15594">
      <w:pPr>
        <w:pStyle w:val="Heading3"/>
      </w:pPr>
      <w:r w:rsidRPr="004B08EF">
        <w:t>No data</w:t>
      </w:r>
      <w:r w:rsidR="00BD5C2F" w:rsidRPr="004B08EF">
        <w:t xml:space="preserve"> were</w:t>
      </w:r>
      <w:r w:rsidRPr="004B08EF">
        <w:t xml:space="preserve"> presented for </w:t>
      </w:r>
      <w:r w:rsidR="00BD5C2F" w:rsidRPr="004B08EF">
        <w:t xml:space="preserve">people who cannot have </w:t>
      </w:r>
      <w:r w:rsidR="00481F74" w:rsidRPr="004B08EF">
        <w:t>TNF-alpha inhibitors</w:t>
      </w:r>
      <w:r w:rsidR="00B540B2">
        <w:t>,</w:t>
      </w:r>
      <w:r w:rsidR="00446455" w:rsidRPr="004B08EF">
        <w:t xml:space="preserve"> </w:t>
      </w:r>
      <w:r w:rsidR="00BB057E">
        <w:t>for whom</w:t>
      </w:r>
      <w:r w:rsidR="00446455" w:rsidRPr="004B08EF">
        <w:t xml:space="preserve"> </w:t>
      </w:r>
      <w:r w:rsidR="003C1DB5" w:rsidRPr="004B08EF">
        <w:t xml:space="preserve">conventional care </w:t>
      </w:r>
      <w:r w:rsidR="00446455" w:rsidRPr="004B08EF">
        <w:t xml:space="preserve">is the </w:t>
      </w:r>
      <w:r w:rsidR="00F039B6" w:rsidRPr="004B08EF">
        <w:t>appropriate comparator</w:t>
      </w:r>
    </w:p>
    <w:p w14:paraId="798BCDCA" w14:textId="28C35349" w:rsidR="00F15594" w:rsidRPr="004B08EF" w:rsidRDefault="00F15594" w:rsidP="00F15594">
      <w:pPr>
        <w:pStyle w:val="Numberedlevel2text"/>
        <w:rPr>
          <w:lang w:val="en-GB"/>
        </w:rPr>
      </w:pPr>
      <w:r w:rsidRPr="004B08EF">
        <w:rPr>
          <w:lang w:val="en-GB"/>
        </w:rPr>
        <w:t xml:space="preserve">The committee noted that there will be people </w:t>
      </w:r>
      <w:r w:rsidR="00733701">
        <w:rPr>
          <w:lang w:val="en-GB"/>
        </w:rPr>
        <w:t>who cannot have a</w:t>
      </w:r>
      <w:r w:rsidRPr="004B08EF">
        <w:rPr>
          <w:lang w:val="en-GB"/>
        </w:rPr>
        <w:t xml:space="preserve"> TNF-alpha inhibitor</w:t>
      </w:r>
      <w:r w:rsidR="00310C2C" w:rsidRPr="004B08EF">
        <w:rPr>
          <w:lang w:val="en-GB"/>
        </w:rPr>
        <w:t>, either first</w:t>
      </w:r>
      <w:r w:rsidR="00D53956" w:rsidRPr="004B08EF">
        <w:rPr>
          <w:lang w:val="en-GB"/>
        </w:rPr>
        <w:t xml:space="preserve"> </w:t>
      </w:r>
      <w:r w:rsidR="00310C2C" w:rsidRPr="004B08EF">
        <w:rPr>
          <w:lang w:val="en-GB"/>
        </w:rPr>
        <w:t>line or second</w:t>
      </w:r>
      <w:r w:rsidR="00D53956" w:rsidRPr="004B08EF">
        <w:rPr>
          <w:lang w:val="en-GB"/>
        </w:rPr>
        <w:t xml:space="preserve"> </w:t>
      </w:r>
      <w:r w:rsidR="00310C2C" w:rsidRPr="004B08EF">
        <w:rPr>
          <w:lang w:val="en-GB"/>
        </w:rPr>
        <w:t>line</w:t>
      </w:r>
      <w:r w:rsidR="00CD67DC" w:rsidRPr="004B08EF">
        <w:rPr>
          <w:lang w:val="en-GB"/>
        </w:rPr>
        <w:t xml:space="preserve">. According to the clinical experts, </w:t>
      </w:r>
      <w:r w:rsidR="00FD71AA" w:rsidRPr="004B08EF">
        <w:rPr>
          <w:lang w:val="en-GB"/>
        </w:rPr>
        <w:t>this was the group mo</w:t>
      </w:r>
      <w:r w:rsidR="005553DB" w:rsidRPr="004B08EF">
        <w:rPr>
          <w:lang w:val="en-GB"/>
        </w:rPr>
        <w:t>s</w:t>
      </w:r>
      <w:r w:rsidR="00FD71AA" w:rsidRPr="004B08EF">
        <w:rPr>
          <w:lang w:val="en-GB"/>
        </w:rPr>
        <w:t xml:space="preserve">t </w:t>
      </w:r>
      <w:r w:rsidR="005553DB" w:rsidRPr="004B08EF">
        <w:rPr>
          <w:lang w:val="en-GB"/>
        </w:rPr>
        <w:t xml:space="preserve">likely </w:t>
      </w:r>
      <w:r w:rsidR="00FD71AA" w:rsidRPr="004B08EF">
        <w:rPr>
          <w:lang w:val="en-GB"/>
        </w:rPr>
        <w:t xml:space="preserve">to be offered secukinumab in clinical practice. </w:t>
      </w:r>
      <w:r w:rsidR="005553DB" w:rsidRPr="004B08EF">
        <w:rPr>
          <w:lang w:val="en-GB"/>
        </w:rPr>
        <w:t>The committee considered that</w:t>
      </w:r>
      <w:r w:rsidRPr="004B08EF">
        <w:rPr>
          <w:lang w:val="en-GB"/>
        </w:rPr>
        <w:t xml:space="preserve"> for these people the </w:t>
      </w:r>
      <w:r w:rsidR="005553DB" w:rsidRPr="004B08EF">
        <w:rPr>
          <w:lang w:val="en-GB"/>
        </w:rPr>
        <w:t>alternative</w:t>
      </w:r>
      <w:r w:rsidRPr="004B08EF">
        <w:rPr>
          <w:lang w:val="en-GB"/>
        </w:rPr>
        <w:t xml:space="preserve"> is </w:t>
      </w:r>
      <w:r w:rsidR="00006C62" w:rsidRPr="004B08EF">
        <w:rPr>
          <w:lang w:val="en-GB"/>
        </w:rPr>
        <w:t xml:space="preserve">conventional </w:t>
      </w:r>
      <w:r w:rsidRPr="004B08EF">
        <w:rPr>
          <w:lang w:val="en-GB"/>
        </w:rPr>
        <w:t>care without treatment</w:t>
      </w:r>
      <w:r w:rsidR="000E6839">
        <w:rPr>
          <w:lang w:val="en-GB"/>
        </w:rPr>
        <w:t xml:space="preserve"> with biologics</w:t>
      </w:r>
      <w:r w:rsidRPr="004B08EF">
        <w:rPr>
          <w:lang w:val="en-GB"/>
        </w:rPr>
        <w:t>. The committee noted that no data had been presented</w:t>
      </w:r>
      <w:r w:rsidR="000224AC" w:rsidRPr="004B08EF">
        <w:rPr>
          <w:lang w:val="en-GB"/>
        </w:rPr>
        <w:t xml:space="preserve"> specifically for </w:t>
      </w:r>
      <w:r w:rsidR="00733701">
        <w:rPr>
          <w:lang w:val="en-GB"/>
        </w:rPr>
        <w:t>this</w:t>
      </w:r>
      <w:r w:rsidR="00733701" w:rsidRPr="004B08EF">
        <w:rPr>
          <w:lang w:val="en-GB"/>
        </w:rPr>
        <w:t xml:space="preserve"> </w:t>
      </w:r>
      <w:r w:rsidR="00ED423B" w:rsidRPr="004B08EF">
        <w:rPr>
          <w:lang w:val="en-GB"/>
        </w:rPr>
        <w:t>subgroup</w:t>
      </w:r>
      <w:r w:rsidR="00E8531A" w:rsidRPr="004B08EF">
        <w:rPr>
          <w:lang w:val="en-GB"/>
        </w:rPr>
        <w:t>.</w:t>
      </w:r>
    </w:p>
    <w:p w14:paraId="5193CF96" w14:textId="1F114ECA" w:rsidR="007B17EF" w:rsidRPr="004B08EF" w:rsidRDefault="00CE1C6E" w:rsidP="00573D74">
      <w:pPr>
        <w:pStyle w:val="Heading2"/>
      </w:pPr>
      <w:r w:rsidRPr="004B08EF">
        <w:t>The company’s network meta-analysis</w:t>
      </w:r>
    </w:p>
    <w:p w14:paraId="76085AB2" w14:textId="4C95BB3C" w:rsidR="007A7F07" w:rsidRPr="004B08EF" w:rsidRDefault="005B5749" w:rsidP="003C426B">
      <w:pPr>
        <w:pStyle w:val="Heading3"/>
      </w:pPr>
      <w:r>
        <w:t xml:space="preserve">The </w:t>
      </w:r>
      <w:r w:rsidR="008D54FC">
        <w:t>c</w:t>
      </w:r>
      <w:r w:rsidR="008D54FC" w:rsidRPr="004B08EF">
        <w:t xml:space="preserve">ompany’s </w:t>
      </w:r>
      <w:r w:rsidR="007A7F07" w:rsidRPr="004B08EF">
        <w:t xml:space="preserve">network meta-analysis </w:t>
      </w:r>
      <w:r w:rsidR="00215BB8">
        <w:t>c</w:t>
      </w:r>
      <w:r w:rsidR="00195346">
        <w:t>an</w:t>
      </w:r>
      <w:r w:rsidR="00215BB8">
        <w:t xml:space="preserve">not exclude the possibility that </w:t>
      </w:r>
      <w:r w:rsidR="007A7F07" w:rsidRPr="004B08EF">
        <w:t xml:space="preserve">secukinumab may </w:t>
      </w:r>
      <w:r w:rsidR="00CE27C6" w:rsidRPr="004B08EF">
        <w:t>be less effective than</w:t>
      </w:r>
      <w:r w:rsidR="007A7F07" w:rsidRPr="004B08EF">
        <w:t xml:space="preserve"> TNF-alpha inhibitors</w:t>
      </w:r>
    </w:p>
    <w:p w14:paraId="5AB3A260" w14:textId="0949D530" w:rsidR="00737B55" w:rsidRPr="004B08EF" w:rsidRDefault="00C772C4" w:rsidP="007A7F07">
      <w:pPr>
        <w:pStyle w:val="Numberedlevel2text"/>
        <w:numPr>
          <w:ilvl w:val="1"/>
          <w:numId w:val="27"/>
        </w:numPr>
        <w:rPr>
          <w:lang w:val="en-GB"/>
        </w:rPr>
      </w:pPr>
      <w:r w:rsidRPr="004B08EF">
        <w:rPr>
          <w:lang w:val="en-GB"/>
        </w:rPr>
        <w:t>There</w:t>
      </w:r>
      <w:r w:rsidR="00CE1C6E" w:rsidRPr="004B08EF">
        <w:rPr>
          <w:lang w:val="en-GB"/>
        </w:rPr>
        <w:t xml:space="preserve"> </w:t>
      </w:r>
      <w:r w:rsidR="00CE27C6" w:rsidRPr="004B08EF">
        <w:rPr>
          <w:lang w:val="en-GB"/>
        </w:rPr>
        <w:t xml:space="preserve">were </w:t>
      </w:r>
      <w:r w:rsidR="00CE1C6E" w:rsidRPr="004B08EF">
        <w:rPr>
          <w:lang w:val="en-GB"/>
        </w:rPr>
        <w:t xml:space="preserve">no trials </w:t>
      </w:r>
      <w:r w:rsidR="00CE27C6" w:rsidRPr="004B08EF">
        <w:rPr>
          <w:lang w:val="en-GB"/>
        </w:rPr>
        <w:t xml:space="preserve">directly </w:t>
      </w:r>
      <w:r w:rsidR="00CE1C6E" w:rsidRPr="004B08EF">
        <w:rPr>
          <w:lang w:val="en-GB"/>
        </w:rPr>
        <w:t xml:space="preserve">comparing secukinumab </w:t>
      </w:r>
      <w:r w:rsidR="00A225E2" w:rsidRPr="004B08EF">
        <w:rPr>
          <w:lang w:val="en-GB"/>
        </w:rPr>
        <w:t xml:space="preserve">with </w:t>
      </w:r>
      <w:r w:rsidR="00CE1C6E" w:rsidRPr="004B08EF">
        <w:rPr>
          <w:lang w:val="en-GB"/>
        </w:rPr>
        <w:t>TNF-alpha inhibitors</w:t>
      </w:r>
      <w:r w:rsidR="00CE27C6" w:rsidRPr="004B08EF">
        <w:rPr>
          <w:lang w:val="en-GB"/>
        </w:rPr>
        <w:t>.</w:t>
      </w:r>
      <w:r w:rsidRPr="004B08EF">
        <w:rPr>
          <w:lang w:val="en-GB"/>
        </w:rPr>
        <w:t xml:space="preserve"> </w:t>
      </w:r>
      <w:r w:rsidR="009B1E35">
        <w:rPr>
          <w:lang w:val="en-GB"/>
        </w:rPr>
        <w:t>Therefore</w:t>
      </w:r>
      <w:r w:rsidR="004516FD">
        <w:rPr>
          <w:lang w:val="en-GB"/>
        </w:rPr>
        <w:t>,</w:t>
      </w:r>
      <w:r w:rsidRPr="004B08EF">
        <w:rPr>
          <w:lang w:val="en-GB"/>
        </w:rPr>
        <w:t xml:space="preserve"> </w:t>
      </w:r>
      <w:r w:rsidR="00CE1C6E" w:rsidRPr="004B08EF">
        <w:rPr>
          <w:lang w:val="en-GB"/>
        </w:rPr>
        <w:t>the company</w:t>
      </w:r>
      <w:r w:rsidR="00CE1C6E" w:rsidRPr="004B08EF" w:rsidDel="00476E2B">
        <w:rPr>
          <w:lang w:val="en-GB"/>
        </w:rPr>
        <w:t xml:space="preserve"> </w:t>
      </w:r>
      <w:r w:rsidR="00CE1C6E" w:rsidRPr="004B08EF">
        <w:rPr>
          <w:lang w:val="en-GB"/>
        </w:rPr>
        <w:t xml:space="preserve">did a network meta-analysis to estimate the relative effectiveness of secukinumab </w:t>
      </w:r>
      <w:r w:rsidR="00CE27C6" w:rsidRPr="004B08EF">
        <w:rPr>
          <w:lang w:val="en-GB"/>
        </w:rPr>
        <w:t xml:space="preserve">compared with </w:t>
      </w:r>
      <w:r w:rsidR="00CE1C6E" w:rsidRPr="004B08EF">
        <w:rPr>
          <w:lang w:val="en-GB"/>
        </w:rPr>
        <w:t xml:space="preserve">the relevant </w:t>
      </w:r>
      <w:r w:rsidR="00A225E2" w:rsidRPr="004B08EF">
        <w:rPr>
          <w:lang w:val="en-GB"/>
        </w:rPr>
        <w:t xml:space="preserve">TNF-alpha inhibitors </w:t>
      </w:r>
      <w:r w:rsidR="000D6F37" w:rsidRPr="004B08EF">
        <w:rPr>
          <w:lang w:val="en-GB"/>
        </w:rPr>
        <w:t>(etanercept, adalimumab, golimumab and certolizumab pegol)</w:t>
      </w:r>
      <w:r w:rsidR="00CE1C6E" w:rsidRPr="004B08EF">
        <w:rPr>
          <w:lang w:val="en-GB"/>
        </w:rPr>
        <w:t>. The company’s base</w:t>
      </w:r>
      <w:r w:rsidR="00CE1C6E" w:rsidRPr="004B08EF">
        <w:rPr>
          <w:lang w:val="en-GB"/>
        </w:rPr>
        <w:noBreakHyphen/>
        <w:t xml:space="preserve">case analysis was based on the joint modelling approach </w:t>
      </w:r>
      <w:r w:rsidR="002C0C49" w:rsidRPr="004B08EF">
        <w:rPr>
          <w:lang w:val="en-GB"/>
        </w:rPr>
        <w:t xml:space="preserve">used </w:t>
      </w:r>
      <w:r w:rsidR="00CE1C6E" w:rsidRPr="004B08EF">
        <w:rPr>
          <w:lang w:val="en-GB"/>
        </w:rPr>
        <w:t xml:space="preserve">in </w:t>
      </w:r>
      <w:hyperlink r:id="rId17" w:history="1">
        <w:r w:rsidR="00B62A52" w:rsidRPr="004B08EF">
          <w:rPr>
            <w:rStyle w:val="Hyperlink"/>
            <w:lang w:val="en-GB"/>
          </w:rPr>
          <w:t>NICE’s technology appraisal guidance on TNF-alpha inhibitors</w:t>
        </w:r>
      </w:hyperlink>
      <w:r w:rsidR="00CE27C6" w:rsidRPr="004B08EF">
        <w:rPr>
          <w:lang w:val="en-GB"/>
        </w:rPr>
        <w:t>. It</w:t>
      </w:r>
      <w:r w:rsidR="005972F3" w:rsidRPr="004B08EF">
        <w:rPr>
          <w:lang w:val="en-GB"/>
        </w:rPr>
        <w:t xml:space="preserve"> </w:t>
      </w:r>
      <w:r w:rsidR="002C0C49" w:rsidRPr="004B08EF">
        <w:rPr>
          <w:lang w:val="en-GB"/>
        </w:rPr>
        <w:t>compared</w:t>
      </w:r>
      <w:r w:rsidR="000D6F37" w:rsidRPr="004B08EF">
        <w:rPr>
          <w:lang w:val="en-GB"/>
        </w:rPr>
        <w:t xml:space="preserve"> </w:t>
      </w:r>
      <w:r w:rsidR="005972F3" w:rsidRPr="004B08EF">
        <w:rPr>
          <w:lang w:val="en-GB"/>
        </w:rPr>
        <w:t xml:space="preserve">secukinumab </w:t>
      </w:r>
      <w:r w:rsidR="00BC63CE" w:rsidRPr="004B08EF">
        <w:rPr>
          <w:lang w:val="en-GB"/>
        </w:rPr>
        <w:t xml:space="preserve">with </w:t>
      </w:r>
      <w:r w:rsidR="000D6F37" w:rsidRPr="004B08EF">
        <w:rPr>
          <w:lang w:val="en-GB"/>
        </w:rPr>
        <w:t xml:space="preserve">each </w:t>
      </w:r>
      <w:r w:rsidR="005972F3" w:rsidRPr="004B08EF">
        <w:rPr>
          <w:lang w:val="en-GB"/>
        </w:rPr>
        <w:t>individual TNF</w:t>
      </w:r>
      <w:r w:rsidR="005E533B">
        <w:rPr>
          <w:lang w:val="en-GB"/>
        </w:rPr>
        <w:noBreakHyphen/>
      </w:r>
      <w:r w:rsidR="000D6F37" w:rsidRPr="004B08EF">
        <w:rPr>
          <w:lang w:val="en-GB"/>
        </w:rPr>
        <w:t xml:space="preserve">alpha </w:t>
      </w:r>
      <w:r w:rsidR="005972F3" w:rsidRPr="004B08EF">
        <w:rPr>
          <w:lang w:val="en-GB"/>
        </w:rPr>
        <w:t>inhibitor</w:t>
      </w:r>
      <w:r w:rsidR="00BC63CE" w:rsidRPr="004B08EF">
        <w:rPr>
          <w:lang w:val="en-GB"/>
        </w:rPr>
        <w:t>,</w:t>
      </w:r>
      <w:r w:rsidR="005972F3" w:rsidRPr="004B08EF">
        <w:rPr>
          <w:lang w:val="en-GB"/>
        </w:rPr>
        <w:t xml:space="preserve"> </w:t>
      </w:r>
      <w:r w:rsidR="00BC63CE" w:rsidRPr="004B08EF">
        <w:rPr>
          <w:lang w:val="en-GB"/>
        </w:rPr>
        <w:t xml:space="preserve">and </w:t>
      </w:r>
      <w:r w:rsidR="00733701">
        <w:rPr>
          <w:lang w:val="en-GB"/>
        </w:rPr>
        <w:t>with</w:t>
      </w:r>
      <w:r w:rsidR="00CE27C6" w:rsidRPr="004B08EF">
        <w:rPr>
          <w:lang w:val="en-GB"/>
        </w:rPr>
        <w:t xml:space="preserve"> </w:t>
      </w:r>
      <w:r w:rsidR="005972F3" w:rsidRPr="004B08EF">
        <w:rPr>
          <w:lang w:val="en-GB"/>
        </w:rPr>
        <w:t>TNF-</w:t>
      </w:r>
      <w:r w:rsidR="000D6F37" w:rsidRPr="004B08EF">
        <w:rPr>
          <w:lang w:val="en-GB"/>
        </w:rPr>
        <w:t>alpha</w:t>
      </w:r>
      <w:r w:rsidR="005972F3" w:rsidRPr="004B08EF">
        <w:rPr>
          <w:lang w:val="en-GB"/>
        </w:rPr>
        <w:t xml:space="preserve"> inhibitors</w:t>
      </w:r>
      <w:r w:rsidR="000D6F37" w:rsidRPr="004B08EF">
        <w:rPr>
          <w:lang w:val="en-GB"/>
        </w:rPr>
        <w:t xml:space="preserve"> as </w:t>
      </w:r>
      <w:r w:rsidR="002A159A" w:rsidRPr="004B08EF">
        <w:rPr>
          <w:lang w:val="en-GB"/>
        </w:rPr>
        <w:t xml:space="preserve">a drug </w:t>
      </w:r>
      <w:r w:rsidR="000D6F37" w:rsidRPr="004B08EF">
        <w:rPr>
          <w:lang w:val="en-GB"/>
        </w:rPr>
        <w:t>class</w:t>
      </w:r>
      <w:r w:rsidR="00BC63CE" w:rsidRPr="004B08EF">
        <w:rPr>
          <w:lang w:val="en-GB"/>
        </w:rPr>
        <w:t>.</w:t>
      </w:r>
      <w:r w:rsidR="005972F3" w:rsidRPr="004B08EF">
        <w:rPr>
          <w:lang w:val="en-GB"/>
        </w:rPr>
        <w:t xml:space="preserve"> </w:t>
      </w:r>
      <w:r w:rsidR="005A55E1" w:rsidRPr="004B08EF">
        <w:rPr>
          <w:lang w:val="en-GB"/>
        </w:rPr>
        <w:t xml:space="preserve">The committee considered that </w:t>
      </w:r>
      <w:r w:rsidR="00CE27C6" w:rsidRPr="004B08EF">
        <w:rPr>
          <w:lang w:val="en-GB"/>
        </w:rPr>
        <w:t xml:space="preserve">the </w:t>
      </w:r>
      <w:r w:rsidR="00F769EC" w:rsidRPr="004B08EF">
        <w:rPr>
          <w:lang w:val="en-GB"/>
        </w:rPr>
        <w:t>comparison with TNF-alpha inhibitors as a</w:t>
      </w:r>
      <w:r w:rsidR="005A55E1" w:rsidRPr="004B08EF">
        <w:rPr>
          <w:lang w:val="en-GB"/>
        </w:rPr>
        <w:t xml:space="preserve"> class was appropriate.</w:t>
      </w:r>
      <w:r w:rsidR="00CE1C6E" w:rsidRPr="004B08EF">
        <w:rPr>
          <w:lang w:val="en-GB"/>
        </w:rPr>
        <w:t xml:space="preserve"> </w:t>
      </w:r>
      <w:r w:rsidR="00C266D5" w:rsidRPr="004B08EF">
        <w:rPr>
          <w:lang w:val="en-GB"/>
        </w:rPr>
        <w:t xml:space="preserve">Numerical </w:t>
      </w:r>
      <w:r w:rsidR="00766203">
        <w:rPr>
          <w:lang w:val="en-GB"/>
        </w:rPr>
        <w:t>r</w:t>
      </w:r>
      <w:r w:rsidR="001B304A" w:rsidRPr="004B08EF">
        <w:rPr>
          <w:lang w:val="en-GB"/>
        </w:rPr>
        <w:t xml:space="preserve">esults from </w:t>
      </w:r>
      <w:r w:rsidR="009B5456" w:rsidRPr="004B08EF">
        <w:rPr>
          <w:lang w:val="en-GB"/>
        </w:rPr>
        <w:t xml:space="preserve">the </w:t>
      </w:r>
      <w:r w:rsidR="001B304A" w:rsidRPr="004B08EF">
        <w:rPr>
          <w:lang w:val="en-GB"/>
        </w:rPr>
        <w:t>network meta-analyses are confidential and cannot be reported here</w:t>
      </w:r>
      <w:r w:rsidR="00CE27C6" w:rsidRPr="004B08EF">
        <w:rPr>
          <w:lang w:val="en-GB"/>
        </w:rPr>
        <w:t>.</w:t>
      </w:r>
      <w:r w:rsidR="00C266D5" w:rsidRPr="004B08EF">
        <w:rPr>
          <w:lang w:val="en-GB"/>
        </w:rPr>
        <w:t xml:space="preserve"> </w:t>
      </w:r>
      <w:r w:rsidR="00CE27C6" w:rsidRPr="004B08EF">
        <w:rPr>
          <w:lang w:val="en-GB"/>
        </w:rPr>
        <w:t>B</w:t>
      </w:r>
      <w:r w:rsidR="00C266D5" w:rsidRPr="004B08EF">
        <w:rPr>
          <w:lang w:val="en-GB"/>
        </w:rPr>
        <w:t xml:space="preserve">ut </w:t>
      </w:r>
      <w:r w:rsidR="001C12F4">
        <w:rPr>
          <w:lang w:val="en-GB"/>
        </w:rPr>
        <w:t xml:space="preserve">point estimates for </w:t>
      </w:r>
      <w:r w:rsidR="00C266D5" w:rsidRPr="004B08EF">
        <w:rPr>
          <w:lang w:val="en-GB"/>
        </w:rPr>
        <w:t>secukinumab</w:t>
      </w:r>
      <w:r w:rsidR="001C12F4">
        <w:rPr>
          <w:lang w:val="en-GB"/>
        </w:rPr>
        <w:t xml:space="preserve"> were lower</w:t>
      </w:r>
      <w:r w:rsidR="00195346">
        <w:rPr>
          <w:lang w:val="en-GB"/>
        </w:rPr>
        <w:t xml:space="preserve"> for some</w:t>
      </w:r>
      <w:r w:rsidR="00BE5DB8" w:rsidRPr="004B08EF">
        <w:rPr>
          <w:lang w:val="en-GB"/>
        </w:rPr>
        <w:t xml:space="preserve"> </w:t>
      </w:r>
      <w:r w:rsidR="00C266D5" w:rsidRPr="004B08EF">
        <w:rPr>
          <w:lang w:val="en-GB"/>
        </w:rPr>
        <w:t xml:space="preserve">outcomes compared with </w:t>
      </w:r>
      <w:r w:rsidR="00CE27C6" w:rsidRPr="004B08EF">
        <w:rPr>
          <w:lang w:val="en-GB"/>
        </w:rPr>
        <w:t>TNF-</w:t>
      </w:r>
      <w:r w:rsidR="00C266D5" w:rsidRPr="004B08EF">
        <w:rPr>
          <w:lang w:val="en-GB"/>
        </w:rPr>
        <w:t>alpha inhibitors as a class. The</w:t>
      </w:r>
      <w:r w:rsidR="00937909" w:rsidRPr="004B08EF">
        <w:rPr>
          <w:lang w:val="en-GB"/>
        </w:rPr>
        <w:t xml:space="preserve"> committee noted</w:t>
      </w:r>
      <w:r w:rsidR="00C266D5" w:rsidRPr="004B08EF">
        <w:rPr>
          <w:lang w:val="en-GB"/>
        </w:rPr>
        <w:t xml:space="preserve"> </w:t>
      </w:r>
      <w:r w:rsidR="00CE27C6" w:rsidRPr="004B08EF">
        <w:rPr>
          <w:lang w:val="en-GB"/>
        </w:rPr>
        <w:t xml:space="preserve">that </w:t>
      </w:r>
      <w:r w:rsidR="00C266D5" w:rsidRPr="004B08EF">
        <w:rPr>
          <w:lang w:val="en-GB"/>
        </w:rPr>
        <w:t xml:space="preserve">credible </w:t>
      </w:r>
      <w:r w:rsidR="00C266D5" w:rsidRPr="004B08EF">
        <w:rPr>
          <w:lang w:val="en-GB"/>
        </w:rPr>
        <w:lastRenderedPageBreak/>
        <w:t>intervals around these estimates were wide and there were no statistically significant differences</w:t>
      </w:r>
      <w:r w:rsidR="001B304A" w:rsidRPr="004B08EF">
        <w:rPr>
          <w:lang w:val="en-GB"/>
        </w:rPr>
        <w:t>.</w:t>
      </w:r>
      <w:r w:rsidR="002C15DD" w:rsidRPr="004B08EF">
        <w:rPr>
          <w:lang w:val="en-GB"/>
        </w:rPr>
        <w:t xml:space="preserve"> </w:t>
      </w:r>
      <w:r w:rsidR="009B5456" w:rsidRPr="004B08EF">
        <w:rPr>
          <w:lang w:val="en-GB"/>
        </w:rPr>
        <w:t>Several sources of heterogeneity across the trials</w:t>
      </w:r>
      <w:r w:rsidR="000C55A8" w:rsidRPr="004B08EF">
        <w:rPr>
          <w:lang w:val="en-GB"/>
        </w:rPr>
        <w:t>,</w:t>
      </w:r>
      <w:r w:rsidR="009B5456" w:rsidRPr="004B08EF">
        <w:rPr>
          <w:lang w:val="en-GB"/>
        </w:rPr>
        <w:t xml:space="preserve"> such as differences in placebo response rates</w:t>
      </w:r>
      <w:r w:rsidR="00962B53" w:rsidRPr="004B08EF">
        <w:rPr>
          <w:lang w:val="en-GB"/>
        </w:rPr>
        <w:t xml:space="preserve"> and </w:t>
      </w:r>
      <w:r w:rsidR="009B5456" w:rsidRPr="004B08EF">
        <w:rPr>
          <w:lang w:val="en-GB"/>
        </w:rPr>
        <w:t>baseline characteristics</w:t>
      </w:r>
      <w:r w:rsidR="002A159A" w:rsidRPr="004B08EF">
        <w:rPr>
          <w:lang w:val="en-GB"/>
        </w:rPr>
        <w:t>,</w:t>
      </w:r>
      <w:r w:rsidR="009B5456" w:rsidRPr="004B08EF">
        <w:rPr>
          <w:lang w:val="en-GB"/>
        </w:rPr>
        <w:t xml:space="preserve"> </w:t>
      </w:r>
      <w:r w:rsidR="00962B53" w:rsidRPr="004B08EF">
        <w:rPr>
          <w:lang w:val="en-GB"/>
        </w:rPr>
        <w:t>were identified</w:t>
      </w:r>
      <w:r w:rsidR="002A159A" w:rsidRPr="004B08EF">
        <w:rPr>
          <w:lang w:val="en-GB"/>
        </w:rPr>
        <w:t>. These</w:t>
      </w:r>
      <w:r w:rsidR="00962B53" w:rsidRPr="004B08EF">
        <w:rPr>
          <w:lang w:val="en-GB"/>
        </w:rPr>
        <w:t xml:space="preserve"> may </w:t>
      </w:r>
      <w:r w:rsidR="002A159A" w:rsidRPr="004B08EF">
        <w:rPr>
          <w:lang w:val="en-GB"/>
        </w:rPr>
        <w:t xml:space="preserve">have </w:t>
      </w:r>
      <w:r w:rsidR="00962B53" w:rsidRPr="004B08EF">
        <w:rPr>
          <w:lang w:val="en-GB"/>
        </w:rPr>
        <w:t>affect</w:t>
      </w:r>
      <w:r w:rsidR="002A159A" w:rsidRPr="004B08EF">
        <w:rPr>
          <w:lang w:val="en-GB"/>
        </w:rPr>
        <w:t>ed the</w:t>
      </w:r>
      <w:r w:rsidR="00962B53" w:rsidRPr="004B08EF">
        <w:rPr>
          <w:lang w:val="en-GB"/>
        </w:rPr>
        <w:t xml:space="preserve"> results</w:t>
      </w:r>
      <w:r w:rsidR="002C15DD" w:rsidRPr="004B08EF">
        <w:rPr>
          <w:lang w:val="en-GB"/>
        </w:rPr>
        <w:t xml:space="preserve"> of the network meta-analyses</w:t>
      </w:r>
      <w:r w:rsidR="00C266D5" w:rsidRPr="004B08EF">
        <w:rPr>
          <w:lang w:val="en-GB"/>
        </w:rPr>
        <w:t xml:space="preserve">, but because of a lack of data </w:t>
      </w:r>
      <w:r w:rsidR="00937909" w:rsidRPr="004B08EF">
        <w:rPr>
          <w:lang w:val="en-GB"/>
        </w:rPr>
        <w:t>it was not possible to test whether the results were biased against secukinumab</w:t>
      </w:r>
      <w:r w:rsidR="000C55A8" w:rsidRPr="004B08EF">
        <w:rPr>
          <w:lang w:val="en-GB"/>
        </w:rPr>
        <w:t>.</w:t>
      </w:r>
      <w:r w:rsidR="00937909" w:rsidRPr="004B08EF">
        <w:rPr>
          <w:lang w:val="en-GB"/>
        </w:rPr>
        <w:t xml:space="preserve"> </w:t>
      </w:r>
      <w:r w:rsidR="00962B53" w:rsidRPr="004B08EF">
        <w:rPr>
          <w:lang w:val="en-GB"/>
        </w:rPr>
        <w:t xml:space="preserve">The ERG considered that the company’s network meta-analysis </w:t>
      </w:r>
      <w:r w:rsidR="002C15DD" w:rsidRPr="004B08EF">
        <w:rPr>
          <w:lang w:val="en-GB"/>
        </w:rPr>
        <w:t>w</w:t>
      </w:r>
      <w:r w:rsidR="00EE16E3" w:rsidRPr="004B08EF">
        <w:rPr>
          <w:lang w:val="en-GB"/>
        </w:rPr>
        <w:t>as</w:t>
      </w:r>
      <w:r w:rsidR="002C15DD" w:rsidRPr="004B08EF">
        <w:rPr>
          <w:lang w:val="en-GB"/>
        </w:rPr>
        <w:t xml:space="preserve"> </w:t>
      </w:r>
      <w:r w:rsidR="00962B53" w:rsidRPr="004B08EF">
        <w:rPr>
          <w:lang w:val="en-GB"/>
        </w:rPr>
        <w:t>appropriate but note</w:t>
      </w:r>
      <w:r w:rsidR="002C15DD" w:rsidRPr="004B08EF">
        <w:rPr>
          <w:lang w:val="en-GB"/>
        </w:rPr>
        <w:t>d</w:t>
      </w:r>
      <w:r w:rsidR="00962B53" w:rsidRPr="004B08EF">
        <w:rPr>
          <w:lang w:val="en-GB"/>
        </w:rPr>
        <w:t xml:space="preserve"> </w:t>
      </w:r>
      <w:r w:rsidR="007A7F07" w:rsidRPr="004B08EF">
        <w:rPr>
          <w:lang w:val="en-GB"/>
        </w:rPr>
        <w:t xml:space="preserve">that </w:t>
      </w:r>
      <w:r w:rsidR="002A159A" w:rsidRPr="004B08EF">
        <w:rPr>
          <w:lang w:val="en-GB"/>
        </w:rPr>
        <w:t xml:space="preserve">because </w:t>
      </w:r>
      <w:r w:rsidR="00EE16E3" w:rsidRPr="004B08EF">
        <w:rPr>
          <w:lang w:val="en-GB"/>
        </w:rPr>
        <w:t>the</w:t>
      </w:r>
      <w:r w:rsidR="002A159A" w:rsidRPr="004B08EF">
        <w:rPr>
          <w:lang w:val="en-GB"/>
        </w:rPr>
        <w:t>re were only a few</w:t>
      </w:r>
      <w:r w:rsidR="00EE16E3" w:rsidRPr="004B08EF">
        <w:rPr>
          <w:lang w:val="en-GB"/>
        </w:rPr>
        <w:t xml:space="preserve"> trials </w:t>
      </w:r>
      <w:r w:rsidR="007A7F07" w:rsidRPr="004B08EF">
        <w:rPr>
          <w:lang w:val="en-GB"/>
        </w:rPr>
        <w:t>included</w:t>
      </w:r>
      <w:r w:rsidR="00962B53" w:rsidRPr="004B08EF">
        <w:rPr>
          <w:lang w:val="en-GB"/>
        </w:rPr>
        <w:t xml:space="preserve">, it </w:t>
      </w:r>
      <w:r w:rsidR="002C15DD" w:rsidRPr="004B08EF">
        <w:rPr>
          <w:lang w:val="en-GB"/>
        </w:rPr>
        <w:t>was</w:t>
      </w:r>
      <w:r w:rsidR="00962B53" w:rsidRPr="004B08EF">
        <w:rPr>
          <w:lang w:val="en-GB"/>
        </w:rPr>
        <w:t xml:space="preserve"> not possible to check for consistency in the network or estimate heterogeneity</w:t>
      </w:r>
      <w:r w:rsidR="002A159A" w:rsidRPr="004B08EF">
        <w:rPr>
          <w:lang w:val="en-GB"/>
        </w:rPr>
        <w:t xml:space="preserve"> between the studies</w:t>
      </w:r>
      <w:r w:rsidR="00962B53" w:rsidRPr="004B08EF">
        <w:rPr>
          <w:lang w:val="en-GB"/>
        </w:rPr>
        <w:t xml:space="preserve">. </w:t>
      </w:r>
      <w:r w:rsidR="007A7F07" w:rsidRPr="004B08EF">
        <w:rPr>
          <w:lang w:val="en-GB"/>
        </w:rPr>
        <w:t xml:space="preserve">The company </w:t>
      </w:r>
      <w:r w:rsidR="00EE16E3" w:rsidRPr="004B08EF">
        <w:rPr>
          <w:lang w:val="en-GB"/>
        </w:rPr>
        <w:t xml:space="preserve">stated </w:t>
      </w:r>
      <w:r w:rsidR="007A7F07" w:rsidRPr="004B08EF">
        <w:rPr>
          <w:lang w:val="en-GB"/>
        </w:rPr>
        <w:t>that the clinical efficacy of secukinumab is not expected to differ substantially from TNF</w:t>
      </w:r>
      <w:r w:rsidR="00307EED">
        <w:rPr>
          <w:lang w:val="en-GB"/>
        </w:rPr>
        <w:noBreakHyphen/>
      </w:r>
      <w:r w:rsidR="007A7F07" w:rsidRPr="004B08EF">
        <w:rPr>
          <w:rFonts w:cs="Arial"/>
          <w:lang w:val="en-GB"/>
        </w:rPr>
        <w:t>alpha</w:t>
      </w:r>
      <w:r w:rsidR="007A7F07" w:rsidRPr="004B08EF">
        <w:rPr>
          <w:lang w:val="en-GB"/>
        </w:rPr>
        <w:t xml:space="preserve"> inhibitors</w:t>
      </w:r>
      <w:r w:rsidR="00937909" w:rsidRPr="004B08EF">
        <w:rPr>
          <w:lang w:val="en-GB"/>
        </w:rPr>
        <w:t>, which the clinical expert supported</w:t>
      </w:r>
      <w:r w:rsidR="00035B4B" w:rsidRPr="004B08EF">
        <w:rPr>
          <w:lang w:val="en-GB"/>
        </w:rPr>
        <w:t>.</w:t>
      </w:r>
      <w:r w:rsidR="002A159A" w:rsidRPr="004B08EF">
        <w:rPr>
          <w:lang w:val="en-GB"/>
        </w:rPr>
        <w:t xml:space="preserve"> T</w:t>
      </w:r>
      <w:r w:rsidR="007A7F07" w:rsidRPr="004B08EF">
        <w:rPr>
          <w:lang w:val="en-GB"/>
        </w:rPr>
        <w:t xml:space="preserve">he committee acknowledged </w:t>
      </w:r>
      <w:r w:rsidR="002A159A" w:rsidRPr="004B08EF">
        <w:rPr>
          <w:lang w:val="en-GB"/>
        </w:rPr>
        <w:t xml:space="preserve">that this was </w:t>
      </w:r>
      <w:r w:rsidR="007A7F07" w:rsidRPr="004B08EF">
        <w:rPr>
          <w:lang w:val="en-GB"/>
        </w:rPr>
        <w:t xml:space="preserve">in line with the committee conclusion in </w:t>
      </w:r>
      <w:hyperlink r:id="rId18" w:history="1">
        <w:r w:rsidR="002A159A" w:rsidRPr="004B08EF">
          <w:rPr>
            <w:rStyle w:val="Hyperlink"/>
            <w:lang w:val="en-GB"/>
          </w:rPr>
          <w:t xml:space="preserve">NICE’s technology appraisal guidance on </w:t>
        </w:r>
        <w:r w:rsidR="007A7F07" w:rsidRPr="004B08EF">
          <w:rPr>
            <w:rStyle w:val="Hyperlink"/>
            <w:lang w:val="en-GB"/>
          </w:rPr>
          <w:t>secukinumab for active ankylosing spondylitis</w:t>
        </w:r>
      </w:hyperlink>
      <w:r w:rsidR="007A7F07" w:rsidRPr="004B08EF">
        <w:rPr>
          <w:lang w:val="en-GB"/>
        </w:rPr>
        <w:t xml:space="preserve">. </w:t>
      </w:r>
      <w:r w:rsidR="00962B53" w:rsidRPr="004B08EF">
        <w:rPr>
          <w:lang w:val="en-GB"/>
        </w:rPr>
        <w:t xml:space="preserve">The committee concluded that </w:t>
      </w:r>
      <w:bookmarkStart w:id="1" w:name="_Hlk65705347"/>
      <w:r w:rsidR="002A159A" w:rsidRPr="004B08EF">
        <w:rPr>
          <w:lang w:val="en-GB"/>
        </w:rPr>
        <w:t xml:space="preserve">the </w:t>
      </w:r>
      <w:r w:rsidR="007A7F07" w:rsidRPr="004B08EF">
        <w:rPr>
          <w:lang w:val="en-GB"/>
        </w:rPr>
        <w:t xml:space="preserve">results of the </w:t>
      </w:r>
      <w:r w:rsidR="00962B53" w:rsidRPr="004B08EF">
        <w:rPr>
          <w:lang w:val="en-GB"/>
        </w:rPr>
        <w:t>company’s network meta-analysis</w:t>
      </w:r>
      <w:r w:rsidR="007A7F07" w:rsidRPr="004B08EF">
        <w:rPr>
          <w:lang w:val="en-GB"/>
        </w:rPr>
        <w:t xml:space="preserve"> </w:t>
      </w:r>
      <w:r w:rsidR="00F16CAB">
        <w:rPr>
          <w:lang w:val="en-GB"/>
        </w:rPr>
        <w:t>were</w:t>
      </w:r>
      <w:r w:rsidR="00F16CAB" w:rsidRPr="004B08EF">
        <w:rPr>
          <w:lang w:val="en-GB"/>
        </w:rPr>
        <w:t xml:space="preserve"> </w:t>
      </w:r>
      <w:r w:rsidR="00A83AE5" w:rsidRPr="004B08EF">
        <w:rPr>
          <w:lang w:val="en-GB"/>
        </w:rPr>
        <w:t>uncertain</w:t>
      </w:r>
      <w:r w:rsidR="008D54FC">
        <w:rPr>
          <w:lang w:val="en-GB"/>
        </w:rPr>
        <w:t xml:space="preserve"> and </w:t>
      </w:r>
      <w:r w:rsidR="007A7F07" w:rsidRPr="004B08EF">
        <w:rPr>
          <w:lang w:val="en-GB"/>
        </w:rPr>
        <w:t xml:space="preserve">it </w:t>
      </w:r>
      <w:r w:rsidR="00937909" w:rsidRPr="004B08EF">
        <w:rPr>
          <w:lang w:val="en-GB"/>
        </w:rPr>
        <w:t xml:space="preserve">could not exclude the possibility that </w:t>
      </w:r>
      <w:r w:rsidR="007A7F07" w:rsidRPr="004B08EF">
        <w:rPr>
          <w:lang w:val="en-GB"/>
        </w:rPr>
        <w:t xml:space="preserve">secukinumab may </w:t>
      </w:r>
      <w:r w:rsidR="002A159A" w:rsidRPr="004B08EF">
        <w:rPr>
          <w:lang w:val="en-GB"/>
        </w:rPr>
        <w:t>be less effective than</w:t>
      </w:r>
      <w:r w:rsidR="007A7F07" w:rsidRPr="004B08EF">
        <w:rPr>
          <w:lang w:val="en-GB"/>
        </w:rPr>
        <w:t xml:space="preserve"> TNF-alpha inhibitors.</w:t>
      </w:r>
      <w:bookmarkEnd w:id="1"/>
    </w:p>
    <w:p w14:paraId="75637406" w14:textId="77777777" w:rsidR="00D91D96" w:rsidRPr="004B08EF" w:rsidRDefault="00D91D96" w:rsidP="00D91D96">
      <w:pPr>
        <w:pStyle w:val="Heading2"/>
      </w:pPr>
      <w:r w:rsidRPr="004B08EF">
        <w:t>The company’s economic model</w:t>
      </w:r>
    </w:p>
    <w:p w14:paraId="03670C42" w14:textId="27856E87" w:rsidR="00D91D96" w:rsidRPr="004B08EF" w:rsidRDefault="00D91D96" w:rsidP="00D91D96">
      <w:pPr>
        <w:pStyle w:val="Heading3"/>
      </w:pPr>
      <w:r w:rsidRPr="004B08EF">
        <w:t xml:space="preserve">The model structure is appropriate for decision making </w:t>
      </w:r>
    </w:p>
    <w:p w14:paraId="34211D07" w14:textId="0C4D155D" w:rsidR="00D91D96" w:rsidRPr="004B08EF" w:rsidRDefault="00A83AE5" w:rsidP="002100FD">
      <w:pPr>
        <w:pStyle w:val="Numberedlevel2text"/>
        <w:rPr>
          <w:lang w:val="en-GB"/>
        </w:rPr>
      </w:pPr>
      <w:r w:rsidRPr="004B08EF">
        <w:rPr>
          <w:lang w:val="en-GB"/>
        </w:rPr>
        <w:t xml:space="preserve">The company modelled </w:t>
      </w:r>
      <w:r w:rsidR="0071671A" w:rsidRPr="004B08EF">
        <w:rPr>
          <w:lang w:val="en-GB"/>
        </w:rPr>
        <w:t xml:space="preserve">costs and </w:t>
      </w:r>
      <w:r w:rsidR="00272F5F" w:rsidRPr="004B08EF">
        <w:rPr>
          <w:lang w:val="en-GB"/>
        </w:rPr>
        <w:t>quality</w:t>
      </w:r>
      <w:r w:rsidR="00272F5F">
        <w:rPr>
          <w:lang w:val="en-GB"/>
        </w:rPr>
        <w:t>-</w:t>
      </w:r>
      <w:r w:rsidR="0071671A" w:rsidRPr="004B08EF">
        <w:rPr>
          <w:lang w:val="en-GB"/>
        </w:rPr>
        <w:t xml:space="preserve">adjusted life years (QALYs) </w:t>
      </w:r>
      <w:r w:rsidR="00035B4B" w:rsidRPr="004B08EF">
        <w:rPr>
          <w:lang w:val="en-GB"/>
        </w:rPr>
        <w:t xml:space="preserve">for </w:t>
      </w:r>
      <w:r w:rsidR="0071671A" w:rsidRPr="004B08EF">
        <w:rPr>
          <w:lang w:val="en-GB"/>
        </w:rPr>
        <w:t xml:space="preserve">secukinumab, </w:t>
      </w:r>
      <w:r w:rsidR="002A159A" w:rsidRPr="004B08EF">
        <w:rPr>
          <w:lang w:val="en-GB"/>
        </w:rPr>
        <w:t>TNF-</w:t>
      </w:r>
      <w:r w:rsidR="0071671A" w:rsidRPr="004B08EF">
        <w:rPr>
          <w:lang w:val="en-GB"/>
        </w:rPr>
        <w:t xml:space="preserve">alpha inhibitors (individually and as a drug class) and conventional care (NSAIDs and </w:t>
      </w:r>
      <w:r w:rsidR="00307EED">
        <w:rPr>
          <w:lang w:val="en-GB"/>
        </w:rPr>
        <w:t>physical therapies</w:t>
      </w:r>
      <w:r w:rsidR="0071671A" w:rsidRPr="004B08EF">
        <w:rPr>
          <w:lang w:val="en-GB"/>
        </w:rPr>
        <w:t>)</w:t>
      </w:r>
      <w:r w:rsidR="00B27AE8" w:rsidRPr="004B08EF">
        <w:rPr>
          <w:lang w:val="en-GB"/>
        </w:rPr>
        <w:t xml:space="preserve"> </w:t>
      </w:r>
      <w:r w:rsidRPr="004B08EF">
        <w:rPr>
          <w:lang w:val="en-GB"/>
        </w:rPr>
        <w:t>using</w:t>
      </w:r>
      <w:r w:rsidR="005F5980" w:rsidRPr="004B08EF">
        <w:rPr>
          <w:lang w:val="en-GB"/>
        </w:rPr>
        <w:t xml:space="preserve"> a</w:t>
      </w:r>
      <w:r w:rsidRPr="004B08EF">
        <w:rPr>
          <w:lang w:val="en-GB"/>
        </w:rPr>
        <w:t xml:space="preserve"> </w:t>
      </w:r>
      <w:r w:rsidR="00EE35DE" w:rsidRPr="004B08EF">
        <w:rPr>
          <w:lang w:val="en-GB"/>
        </w:rPr>
        <w:t>short-term decision tree followed by a long-term Markov model. The decision tree cover</w:t>
      </w:r>
      <w:r w:rsidR="005F5980" w:rsidRPr="004B08EF">
        <w:rPr>
          <w:lang w:val="en-GB"/>
        </w:rPr>
        <w:t>ed</w:t>
      </w:r>
      <w:r w:rsidR="00EE35DE" w:rsidRPr="004B08EF">
        <w:rPr>
          <w:lang w:val="en-GB"/>
        </w:rPr>
        <w:t xml:space="preserve"> the induction period until response to treatment </w:t>
      </w:r>
      <w:r w:rsidR="005F5980" w:rsidRPr="004B08EF">
        <w:rPr>
          <w:lang w:val="en-GB"/>
        </w:rPr>
        <w:t>was</w:t>
      </w:r>
      <w:r w:rsidR="00EE35DE" w:rsidRPr="004B08EF">
        <w:rPr>
          <w:lang w:val="en-GB"/>
        </w:rPr>
        <w:t xml:space="preserve"> assessed at </w:t>
      </w:r>
      <w:r w:rsidR="00272F5F" w:rsidRPr="004B08EF">
        <w:rPr>
          <w:lang w:val="en-GB"/>
        </w:rPr>
        <w:t>12</w:t>
      </w:r>
      <w:r w:rsidR="00272F5F">
        <w:rPr>
          <w:lang w:val="en-GB"/>
        </w:rPr>
        <w:t> </w:t>
      </w:r>
      <w:r w:rsidR="00EE35DE" w:rsidRPr="004B08EF">
        <w:rPr>
          <w:lang w:val="en-GB"/>
        </w:rPr>
        <w:t>weeks for TNF</w:t>
      </w:r>
      <w:r w:rsidR="00E87A97" w:rsidRPr="004B08EF">
        <w:rPr>
          <w:lang w:val="en-GB"/>
        </w:rPr>
        <w:t>-alpha</w:t>
      </w:r>
      <w:r w:rsidR="00EE35DE" w:rsidRPr="004B08EF">
        <w:rPr>
          <w:lang w:val="en-GB"/>
        </w:rPr>
        <w:t xml:space="preserve"> inhibitors or at </w:t>
      </w:r>
      <w:r w:rsidR="00272F5F" w:rsidRPr="004B08EF">
        <w:rPr>
          <w:lang w:val="en-GB"/>
        </w:rPr>
        <w:t>16</w:t>
      </w:r>
      <w:r w:rsidR="00272F5F">
        <w:rPr>
          <w:lang w:val="en-GB"/>
        </w:rPr>
        <w:t> </w:t>
      </w:r>
      <w:r w:rsidR="00EE35DE" w:rsidRPr="004B08EF">
        <w:rPr>
          <w:lang w:val="en-GB"/>
        </w:rPr>
        <w:t>weeks for secukinumab.</w:t>
      </w:r>
      <w:r w:rsidR="00E87A97" w:rsidRPr="004B08EF">
        <w:rPr>
          <w:lang w:val="en-GB"/>
        </w:rPr>
        <w:t xml:space="preserve"> P</w:t>
      </w:r>
      <w:r w:rsidR="005F5980" w:rsidRPr="004B08EF">
        <w:rPr>
          <w:lang w:val="en-GB"/>
        </w:rPr>
        <w:t xml:space="preserve">eople </w:t>
      </w:r>
      <w:r w:rsidR="00733701">
        <w:rPr>
          <w:lang w:val="en-GB"/>
        </w:rPr>
        <w:t>with</w:t>
      </w:r>
      <w:r w:rsidR="00733701" w:rsidRPr="004B08EF">
        <w:rPr>
          <w:lang w:val="en-GB"/>
        </w:rPr>
        <w:t xml:space="preserve"> </w:t>
      </w:r>
      <w:r w:rsidR="00C87EC2" w:rsidRPr="004B08EF">
        <w:rPr>
          <w:lang w:val="en-GB"/>
        </w:rPr>
        <w:t>disease</w:t>
      </w:r>
      <w:r w:rsidR="00E87A97" w:rsidRPr="004B08EF">
        <w:rPr>
          <w:lang w:val="en-GB"/>
        </w:rPr>
        <w:t xml:space="preserve"> </w:t>
      </w:r>
      <w:r w:rsidR="00733701" w:rsidRPr="004B08EF">
        <w:rPr>
          <w:lang w:val="en-GB"/>
        </w:rPr>
        <w:t>respon</w:t>
      </w:r>
      <w:r w:rsidR="00733701">
        <w:rPr>
          <w:lang w:val="en-GB"/>
        </w:rPr>
        <w:t xml:space="preserve">se </w:t>
      </w:r>
      <w:r w:rsidR="00E87A97" w:rsidRPr="004B08EF">
        <w:rPr>
          <w:lang w:val="en-GB"/>
        </w:rPr>
        <w:t>during the induction period continue</w:t>
      </w:r>
      <w:r w:rsidR="005F5980" w:rsidRPr="004B08EF">
        <w:rPr>
          <w:lang w:val="en-GB"/>
        </w:rPr>
        <w:t>d</w:t>
      </w:r>
      <w:r w:rsidR="00E87A97" w:rsidRPr="004B08EF">
        <w:rPr>
          <w:lang w:val="en-GB"/>
        </w:rPr>
        <w:t xml:space="preserve"> with the same biologic therapy and enter</w:t>
      </w:r>
      <w:r w:rsidR="005F5980" w:rsidRPr="004B08EF">
        <w:rPr>
          <w:lang w:val="en-GB"/>
        </w:rPr>
        <w:t>ed</w:t>
      </w:r>
      <w:r w:rsidR="00E87A97" w:rsidRPr="004B08EF">
        <w:rPr>
          <w:lang w:val="en-GB"/>
        </w:rPr>
        <w:t xml:space="preserve"> the</w:t>
      </w:r>
      <w:r w:rsidR="00AE3677" w:rsidRPr="004B08EF">
        <w:rPr>
          <w:lang w:val="en-GB"/>
        </w:rPr>
        <w:t xml:space="preserve"> 3 state</w:t>
      </w:r>
      <w:r w:rsidR="00E87A97" w:rsidRPr="004B08EF">
        <w:rPr>
          <w:lang w:val="en-GB"/>
        </w:rPr>
        <w:t xml:space="preserve"> Markov model in the ‘biologic treatment’ health state. </w:t>
      </w:r>
      <w:r w:rsidR="00C87EC2" w:rsidRPr="004B08EF">
        <w:rPr>
          <w:lang w:val="en-GB"/>
        </w:rPr>
        <w:t>People whose disease did not respond</w:t>
      </w:r>
      <w:r w:rsidR="00E87A97" w:rsidRPr="004B08EF">
        <w:rPr>
          <w:lang w:val="en-GB"/>
        </w:rPr>
        <w:t xml:space="preserve"> </w:t>
      </w:r>
      <w:r w:rsidR="00C87EC2" w:rsidRPr="004B08EF">
        <w:rPr>
          <w:lang w:val="en-GB"/>
        </w:rPr>
        <w:t xml:space="preserve">stopped </w:t>
      </w:r>
      <w:r w:rsidR="00E87A97" w:rsidRPr="004B08EF">
        <w:rPr>
          <w:lang w:val="en-GB"/>
        </w:rPr>
        <w:t>initial treatment</w:t>
      </w:r>
      <w:r w:rsidR="00AE3677" w:rsidRPr="004B08EF">
        <w:rPr>
          <w:lang w:val="en-GB"/>
        </w:rPr>
        <w:t xml:space="preserve"> and</w:t>
      </w:r>
      <w:r w:rsidR="00E87A97" w:rsidRPr="004B08EF">
        <w:rPr>
          <w:lang w:val="en-GB"/>
        </w:rPr>
        <w:t xml:space="preserve"> start</w:t>
      </w:r>
      <w:r w:rsidR="005F5980" w:rsidRPr="004B08EF">
        <w:rPr>
          <w:lang w:val="en-GB"/>
        </w:rPr>
        <w:t>ed</w:t>
      </w:r>
      <w:r w:rsidR="00E87A97" w:rsidRPr="004B08EF">
        <w:rPr>
          <w:lang w:val="en-GB"/>
        </w:rPr>
        <w:t xml:space="preserve"> in the ‘conventional care’ health state. The model structure and most model parameters</w:t>
      </w:r>
      <w:r w:rsidR="00AE3677" w:rsidRPr="004B08EF">
        <w:rPr>
          <w:lang w:val="en-GB"/>
        </w:rPr>
        <w:t xml:space="preserve"> (excluding </w:t>
      </w:r>
      <w:r w:rsidR="00AE3677" w:rsidRPr="004B08EF">
        <w:rPr>
          <w:lang w:val="en-GB"/>
        </w:rPr>
        <w:lastRenderedPageBreak/>
        <w:t>treatment effectiveness parameters)</w:t>
      </w:r>
      <w:r w:rsidR="00E87A97" w:rsidRPr="004B08EF">
        <w:rPr>
          <w:lang w:val="en-GB"/>
        </w:rPr>
        <w:t xml:space="preserve"> </w:t>
      </w:r>
      <w:r w:rsidR="00AE3677" w:rsidRPr="004B08EF">
        <w:rPr>
          <w:lang w:val="en-GB"/>
        </w:rPr>
        <w:t>were the same as</w:t>
      </w:r>
      <w:r w:rsidR="00E87A97" w:rsidRPr="004B08EF">
        <w:rPr>
          <w:lang w:val="en-GB"/>
        </w:rPr>
        <w:t xml:space="preserve"> </w:t>
      </w:r>
      <w:r w:rsidR="003A6BC0" w:rsidRPr="004B08EF">
        <w:rPr>
          <w:lang w:val="en-GB"/>
        </w:rPr>
        <w:t>in</w:t>
      </w:r>
      <w:r w:rsidR="00E87A97" w:rsidRPr="004B08EF">
        <w:rPr>
          <w:lang w:val="en-GB"/>
        </w:rPr>
        <w:t xml:space="preserve"> </w:t>
      </w:r>
      <w:hyperlink r:id="rId19" w:history="1">
        <w:r w:rsidR="00B62A52" w:rsidRPr="004B08EF">
          <w:rPr>
            <w:rStyle w:val="Hyperlink"/>
            <w:lang w:val="en-GB"/>
          </w:rPr>
          <w:t>NICE’s technology appraisal guidance on TNF-alpha inhibitors</w:t>
        </w:r>
      </w:hyperlink>
      <w:r w:rsidR="00AE3677" w:rsidRPr="004B08EF">
        <w:rPr>
          <w:lang w:val="en-GB"/>
        </w:rPr>
        <w:t xml:space="preserve">. The ERG </w:t>
      </w:r>
      <w:r w:rsidR="00E87A97" w:rsidRPr="004B08EF">
        <w:rPr>
          <w:lang w:val="en-GB"/>
        </w:rPr>
        <w:t>consider</w:t>
      </w:r>
      <w:r w:rsidR="005F5980" w:rsidRPr="004B08EF">
        <w:rPr>
          <w:lang w:val="en-GB"/>
        </w:rPr>
        <w:t>ed</w:t>
      </w:r>
      <w:r w:rsidR="00AE3677" w:rsidRPr="004B08EF">
        <w:rPr>
          <w:lang w:val="en-GB"/>
        </w:rPr>
        <w:t xml:space="preserve"> the</w:t>
      </w:r>
      <w:r w:rsidR="005F5980" w:rsidRPr="004B08EF">
        <w:rPr>
          <w:lang w:val="en-GB"/>
        </w:rPr>
        <w:t xml:space="preserve"> </w:t>
      </w:r>
      <w:r w:rsidR="00AE3677" w:rsidRPr="004B08EF">
        <w:rPr>
          <w:lang w:val="en-GB"/>
        </w:rPr>
        <w:t xml:space="preserve">model structure </w:t>
      </w:r>
      <w:r w:rsidR="005F5980" w:rsidRPr="004B08EF">
        <w:rPr>
          <w:lang w:val="en-GB"/>
        </w:rPr>
        <w:t>to be a</w:t>
      </w:r>
      <w:r w:rsidR="00E87A97" w:rsidRPr="004B08EF">
        <w:rPr>
          <w:lang w:val="en-GB"/>
        </w:rPr>
        <w:t>ppropriate</w:t>
      </w:r>
      <w:r w:rsidR="00AE3677" w:rsidRPr="004B08EF">
        <w:rPr>
          <w:lang w:val="en-GB"/>
        </w:rPr>
        <w:t xml:space="preserve"> but noted that the company model only included the </w:t>
      </w:r>
      <w:r w:rsidR="00C87EC2" w:rsidRPr="004B08EF">
        <w:rPr>
          <w:lang w:val="en-GB"/>
        </w:rPr>
        <w:t xml:space="preserve">population in PREVENT who had not had </w:t>
      </w:r>
      <w:r w:rsidR="00AE3677" w:rsidRPr="004B08EF">
        <w:rPr>
          <w:lang w:val="en-GB"/>
        </w:rPr>
        <w:t xml:space="preserve">TNF-alpha </w:t>
      </w:r>
      <w:r w:rsidR="00C87EC2" w:rsidRPr="004B08EF">
        <w:rPr>
          <w:lang w:val="en-GB"/>
        </w:rPr>
        <w:t>inhibitors before</w:t>
      </w:r>
      <w:r w:rsidR="00733701">
        <w:rPr>
          <w:lang w:val="en-GB"/>
        </w:rPr>
        <w:t>. The model</w:t>
      </w:r>
      <w:r w:rsidR="00C87EC2" w:rsidRPr="004B08EF">
        <w:rPr>
          <w:lang w:val="en-GB"/>
        </w:rPr>
        <w:t xml:space="preserve"> </w:t>
      </w:r>
      <w:r w:rsidR="009B1E35">
        <w:rPr>
          <w:lang w:val="en-GB"/>
        </w:rPr>
        <w:t>therefore</w:t>
      </w:r>
      <w:r w:rsidR="00DA0427" w:rsidRPr="004B08EF">
        <w:rPr>
          <w:lang w:val="en-GB"/>
        </w:rPr>
        <w:t xml:space="preserve"> </w:t>
      </w:r>
      <w:r w:rsidR="003A6BC0" w:rsidRPr="004B08EF">
        <w:rPr>
          <w:lang w:val="en-GB"/>
        </w:rPr>
        <w:t xml:space="preserve">related </w:t>
      </w:r>
      <w:r w:rsidR="00DA0427" w:rsidRPr="004B08EF">
        <w:rPr>
          <w:lang w:val="en-GB"/>
        </w:rPr>
        <w:t>only to first-line use of secukinumab</w:t>
      </w:r>
      <w:r w:rsidR="00AE3677" w:rsidRPr="004B08EF">
        <w:rPr>
          <w:lang w:val="en-GB"/>
        </w:rPr>
        <w:t xml:space="preserve">. No base-case analysis for the subgroup </w:t>
      </w:r>
      <w:r w:rsidR="00C87EC2" w:rsidRPr="004B08EF">
        <w:rPr>
          <w:lang w:val="en-GB"/>
        </w:rPr>
        <w:t xml:space="preserve">who </w:t>
      </w:r>
      <w:r w:rsidR="002C6417">
        <w:rPr>
          <w:lang w:val="en-GB"/>
        </w:rPr>
        <w:t>can</w:t>
      </w:r>
      <w:r w:rsidR="00C87EC2" w:rsidRPr="004B08EF">
        <w:rPr>
          <w:lang w:val="en-GB"/>
        </w:rPr>
        <w:t xml:space="preserve">not have </w:t>
      </w:r>
      <w:r w:rsidR="00AE3677" w:rsidRPr="004B08EF">
        <w:rPr>
          <w:lang w:val="en-GB"/>
        </w:rPr>
        <w:t>TNF-alpha inhibitors</w:t>
      </w:r>
      <w:r w:rsidR="00EB3D20" w:rsidRPr="00EB3D20">
        <w:t xml:space="preserve"> </w:t>
      </w:r>
      <w:r w:rsidR="00EB3D20" w:rsidRPr="00EB3D20">
        <w:rPr>
          <w:lang w:val="en-GB"/>
        </w:rPr>
        <w:t>or whose disease responded inadequately to these</w:t>
      </w:r>
      <w:r w:rsidR="00AE3677" w:rsidRPr="004B08EF">
        <w:rPr>
          <w:lang w:val="en-GB"/>
        </w:rPr>
        <w:t xml:space="preserve"> was presented by the company</w:t>
      </w:r>
      <w:r w:rsidR="00E87A97" w:rsidRPr="004B08EF">
        <w:rPr>
          <w:lang w:val="en-GB"/>
        </w:rPr>
        <w:t xml:space="preserve">. </w:t>
      </w:r>
      <w:r w:rsidR="00DB6529" w:rsidRPr="004B08EF">
        <w:rPr>
          <w:lang w:val="en-GB"/>
        </w:rPr>
        <w:t>The response criterion used in the company model was t</w:t>
      </w:r>
      <w:r w:rsidR="002100FD" w:rsidRPr="004B08EF">
        <w:rPr>
          <w:lang w:val="en-GB"/>
        </w:rPr>
        <w:t xml:space="preserve">he proportion of </w:t>
      </w:r>
      <w:r w:rsidR="005F5980" w:rsidRPr="004B08EF">
        <w:rPr>
          <w:lang w:val="en-GB"/>
        </w:rPr>
        <w:t xml:space="preserve">people </w:t>
      </w:r>
      <w:r w:rsidR="00C87EC2" w:rsidRPr="004B08EF">
        <w:rPr>
          <w:lang w:val="en-GB"/>
        </w:rPr>
        <w:t xml:space="preserve">with </w:t>
      </w:r>
      <w:r w:rsidR="002100FD" w:rsidRPr="004B08EF">
        <w:rPr>
          <w:lang w:val="en-GB"/>
        </w:rPr>
        <w:t>a BASDAI</w:t>
      </w:r>
      <w:r w:rsidR="003A6BC0" w:rsidRPr="004B08EF">
        <w:rPr>
          <w:lang w:val="en-GB"/>
        </w:rPr>
        <w:t xml:space="preserve"> </w:t>
      </w:r>
      <w:r w:rsidR="002100FD" w:rsidRPr="004B08EF">
        <w:rPr>
          <w:lang w:val="en-GB"/>
        </w:rPr>
        <w:t>50 response</w:t>
      </w:r>
      <w:r w:rsidR="00C87EC2" w:rsidRPr="004B08EF">
        <w:rPr>
          <w:lang w:val="en-GB"/>
        </w:rPr>
        <w:t>.</w:t>
      </w:r>
      <w:r w:rsidR="002100FD" w:rsidRPr="004B08EF">
        <w:rPr>
          <w:lang w:val="en-GB"/>
        </w:rPr>
        <w:t xml:space="preserve"> </w:t>
      </w:r>
      <w:r w:rsidR="00C87EC2" w:rsidRPr="004B08EF">
        <w:rPr>
          <w:lang w:val="en-GB"/>
        </w:rPr>
        <w:t>C</w:t>
      </w:r>
      <w:r w:rsidR="002100FD" w:rsidRPr="004B08EF">
        <w:rPr>
          <w:lang w:val="en-GB"/>
        </w:rPr>
        <w:t xml:space="preserve">hanges in BASDAI and BASFI after </w:t>
      </w:r>
      <w:r w:rsidR="00C87EC2" w:rsidRPr="004B08EF">
        <w:rPr>
          <w:lang w:val="en-GB"/>
        </w:rPr>
        <w:t xml:space="preserve">starting treatment were </w:t>
      </w:r>
      <w:r w:rsidR="002100FD" w:rsidRPr="004B08EF">
        <w:rPr>
          <w:lang w:val="en-GB"/>
        </w:rPr>
        <w:t xml:space="preserve">informed by results from the company’s network meta-analysis. </w:t>
      </w:r>
      <w:r w:rsidRPr="004B08EF">
        <w:rPr>
          <w:lang w:val="en-GB"/>
        </w:rPr>
        <w:t xml:space="preserve">The committee concluded that the structure of the company’s model </w:t>
      </w:r>
      <w:r w:rsidR="005F5980" w:rsidRPr="004B08EF">
        <w:rPr>
          <w:lang w:val="en-GB"/>
        </w:rPr>
        <w:t>was</w:t>
      </w:r>
      <w:r w:rsidRPr="004B08EF">
        <w:rPr>
          <w:lang w:val="en-GB"/>
        </w:rPr>
        <w:t xml:space="preserve"> appropriate for decision making</w:t>
      </w:r>
      <w:r w:rsidR="002100FD" w:rsidRPr="004B08EF">
        <w:rPr>
          <w:lang w:val="en-GB"/>
        </w:rPr>
        <w:t>.</w:t>
      </w:r>
    </w:p>
    <w:p w14:paraId="1C5BF0EB" w14:textId="3FAEEB48" w:rsidR="00723AF0" w:rsidRPr="004B08EF" w:rsidRDefault="00E55641" w:rsidP="00DA0427">
      <w:pPr>
        <w:pStyle w:val="Heading3"/>
      </w:pPr>
      <w:r w:rsidRPr="004B08EF">
        <w:t>Th</w:t>
      </w:r>
      <w:r w:rsidR="00DA0427" w:rsidRPr="004B08EF">
        <w:t>e</w:t>
      </w:r>
      <w:r w:rsidR="0020760E" w:rsidRPr="004B08EF">
        <w:t xml:space="preserve"> c</w:t>
      </w:r>
      <w:r w:rsidR="007E374A" w:rsidRPr="004B08EF">
        <w:t>ost</w:t>
      </w:r>
      <w:r w:rsidR="002C6417">
        <w:t>s</w:t>
      </w:r>
      <w:r w:rsidR="007E374A" w:rsidRPr="004B08EF">
        <w:t xml:space="preserve"> </w:t>
      </w:r>
      <w:r w:rsidR="005919FD" w:rsidRPr="004B08EF">
        <w:t>of</w:t>
      </w:r>
      <w:r w:rsidR="007E374A" w:rsidRPr="004B08EF">
        <w:t xml:space="preserve"> TNF-</w:t>
      </w:r>
      <w:r w:rsidRPr="004B08EF">
        <w:t>alpha</w:t>
      </w:r>
      <w:r w:rsidR="007E374A" w:rsidRPr="004B08EF">
        <w:t xml:space="preserve"> inhibitors</w:t>
      </w:r>
      <w:r w:rsidRPr="004B08EF">
        <w:t xml:space="preserve"> </w:t>
      </w:r>
      <w:r w:rsidR="0020760E" w:rsidRPr="004B08EF">
        <w:t xml:space="preserve">for </w:t>
      </w:r>
      <w:r w:rsidRPr="004B08EF">
        <w:t>first-line</w:t>
      </w:r>
      <w:r w:rsidR="0020760E" w:rsidRPr="004B08EF">
        <w:t xml:space="preserve"> use are</w:t>
      </w:r>
      <w:r w:rsidR="007E374A" w:rsidRPr="004B08EF">
        <w:t xml:space="preserve"> likely to be close to </w:t>
      </w:r>
      <w:r w:rsidR="00DA0427" w:rsidRPr="004B08EF">
        <w:t xml:space="preserve">the </w:t>
      </w:r>
      <w:r w:rsidR="007E374A" w:rsidRPr="004B08EF">
        <w:t>cost of adalimumab biosimilar</w:t>
      </w:r>
      <w:r w:rsidR="00643582" w:rsidRPr="004B08EF">
        <w:t xml:space="preserve"> </w:t>
      </w:r>
    </w:p>
    <w:p w14:paraId="395E40BC" w14:textId="7BF87A9C" w:rsidR="00D21128" w:rsidRPr="004B08EF" w:rsidRDefault="00305745" w:rsidP="00D21128">
      <w:pPr>
        <w:pStyle w:val="Numberedlevel2text"/>
        <w:rPr>
          <w:lang w:val="en-GB"/>
        </w:rPr>
      </w:pPr>
      <w:r w:rsidRPr="004B08EF">
        <w:rPr>
          <w:lang w:val="en-GB"/>
        </w:rPr>
        <w:t xml:space="preserve">The company used </w:t>
      </w:r>
      <w:r w:rsidR="00C87EC2" w:rsidRPr="004B08EF">
        <w:rPr>
          <w:lang w:val="en-GB"/>
        </w:rPr>
        <w:t xml:space="preserve">an average of </w:t>
      </w:r>
      <w:r w:rsidRPr="004B08EF">
        <w:rPr>
          <w:lang w:val="en-GB"/>
        </w:rPr>
        <w:t>confidential market share information to cost TNF-alpha inhibitors</w:t>
      </w:r>
      <w:r w:rsidR="00C87EC2" w:rsidRPr="004B08EF">
        <w:rPr>
          <w:lang w:val="en-GB"/>
        </w:rPr>
        <w:t>. It</w:t>
      </w:r>
      <w:r w:rsidRPr="004B08EF">
        <w:rPr>
          <w:lang w:val="en-GB"/>
        </w:rPr>
        <w:t xml:space="preserve"> us</w:t>
      </w:r>
      <w:r w:rsidR="00C87EC2" w:rsidRPr="004B08EF">
        <w:rPr>
          <w:lang w:val="en-GB"/>
        </w:rPr>
        <w:t>ed</w:t>
      </w:r>
      <w:r w:rsidRPr="004B08EF">
        <w:rPr>
          <w:lang w:val="en-GB"/>
        </w:rPr>
        <w:t xml:space="preserve"> a single comparator to reflect the effect of TNF-alpha inhibitors </w:t>
      </w:r>
      <w:r w:rsidR="00C87EC2" w:rsidRPr="004B08EF">
        <w:rPr>
          <w:lang w:val="en-GB"/>
        </w:rPr>
        <w:t xml:space="preserve">as a drug class, </w:t>
      </w:r>
      <w:r w:rsidR="006D7FA5" w:rsidRPr="004B08EF">
        <w:rPr>
          <w:lang w:val="en-GB"/>
        </w:rPr>
        <w:t>and</w:t>
      </w:r>
      <w:r w:rsidRPr="004B08EF">
        <w:rPr>
          <w:lang w:val="en-GB"/>
        </w:rPr>
        <w:t xml:space="preserve"> when considering </w:t>
      </w:r>
      <w:r w:rsidR="00C87EC2" w:rsidRPr="004B08EF">
        <w:rPr>
          <w:lang w:val="en-GB"/>
        </w:rPr>
        <w:t xml:space="preserve">the effect of </w:t>
      </w:r>
      <w:r w:rsidRPr="004B08EF">
        <w:rPr>
          <w:lang w:val="en-GB"/>
        </w:rPr>
        <w:t>subsequent treatment</w:t>
      </w:r>
      <w:r w:rsidR="006D7FA5" w:rsidRPr="004B08EF">
        <w:rPr>
          <w:lang w:val="en-GB"/>
        </w:rPr>
        <w:t xml:space="preserve"> with a TNF-alpha inhibitor in </w:t>
      </w:r>
      <w:r w:rsidRPr="004B08EF">
        <w:rPr>
          <w:lang w:val="en-GB"/>
        </w:rPr>
        <w:t>the economic model. The ERG consider</w:t>
      </w:r>
      <w:r w:rsidR="00555CD1" w:rsidRPr="004B08EF">
        <w:rPr>
          <w:lang w:val="en-GB"/>
        </w:rPr>
        <w:t>ed</w:t>
      </w:r>
      <w:r w:rsidRPr="004B08EF">
        <w:rPr>
          <w:lang w:val="en-GB"/>
        </w:rPr>
        <w:t xml:space="preserve"> </w:t>
      </w:r>
      <w:r w:rsidR="00D21128" w:rsidRPr="004B08EF">
        <w:rPr>
          <w:lang w:val="en-GB"/>
        </w:rPr>
        <w:t xml:space="preserve">that </w:t>
      </w:r>
      <w:r w:rsidRPr="004B08EF">
        <w:rPr>
          <w:lang w:val="en-GB"/>
        </w:rPr>
        <w:t xml:space="preserve">the company’s market share </w:t>
      </w:r>
      <w:r w:rsidR="00C87EC2" w:rsidRPr="004B08EF">
        <w:rPr>
          <w:lang w:val="en-GB"/>
        </w:rPr>
        <w:t>information wa</w:t>
      </w:r>
      <w:r w:rsidR="00D21128" w:rsidRPr="004B08EF">
        <w:rPr>
          <w:lang w:val="en-GB"/>
        </w:rPr>
        <w:t xml:space="preserve">s </w:t>
      </w:r>
      <w:r w:rsidRPr="004B08EF">
        <w:rPr>
          <w:lang w:val="en-GB"/>
        </w:rPr>
        <w:t>not representative of the expected</w:t>
      </w:r>
      <w:r w:rsidR="006D7FA5" w:rsidRPr="004B08EF">
        <w:rPr>
          <w:lang w:val="en-GB"/>
        </w:rPr>
        <w:t xml:space="preserve"> first-line</w:t>
      </w:r>
      <w:r w:rsidRPr="004B08EF">
        <w:rPr>
          <w:lang w:val="en-GB"/>
        </w:rPr>
        <w:t xml:space="preserve"> use of TNF-</w:t>
      </w:r>
      <w:r w:rsidR="00C87EC2" w:rsidRPr="004B08EF">
        <w:rPr>
          <w:lang w:val="en-GB"/>
        </w:rPr>
        <w:t xml:space="preserve">alpha </w:t>
      </w:r>
      <w:r w:rsidRPr="004B08EF">
        <w:rPr>
          <w:lang w:val="en-GB"/>
        </w:rPr>
        <w:t>inhibitors in clinical practice</w:t>
      </w:r>
      <w:r w:rsidR="00C87EC2" w:rsidRPr="004B08EF">
        <w:rPr>
          <w:lang w:val="en-GB"/>
        </w:rPr>
        <w:t>. It</w:t>
      </w:r>
      <w:r w:rsidR="006D7FA5" w:rsidRPr="004B08EF">
        <w:rPr>
          <w:lang w:val="en-GB"/>
        </w:rPr>
        <w:t xml:space="preserve"> </w:t>
      </w:r>
      <w:r w:rsidR="00D21128" w:rsidRPr="004B08EF">
        <w:rPr>
          <w:lang w:val="en-GB"/>
        </w:rPr>
        <w:t>explained</w:t>
      </w:r>
      <w:r w:rsidR="006D7FA5" w:rsidRPr="004B08EF">
        <w:rPr>
          <w:lang w:val="en-GB"/>
        </w:rPr>
        <w:t xml:space="preserve"> that the</w:t>
      </w:r>
      <w:r w:rsidRPr="004B08EF">
        <w:rPr>
          <w:lang w:val="en-GB"/>
        </w:rPr>
        <w:t xml:space="preserve"> cheapest TNF-</w:t>
      </w:r>
      <w:r w:rsidR="006D7FA5" w:rsidRPr="004B08EF">
        <w:rPr>
          <w:lang w:val="en-GB"/>
        </w:rPr>
        <w:t xml:space="preserve">alpha </w:t>
      </w:r>
      <w:r w:rsidRPr="004B08EF">
        <w:rPr>
          <w:lang w:val="en-GB"/>
        </w:rPr>
        <w:t>inhibitor</w:t>
      </w:r>
      <w:r w:rsidR="006D7FA5" w:rsidRPr="004B08EF">
        <w:rPr>
          <w:lang w:val="en-GB"/>
        </w:rPr>
        <w:t xml:space="preserve"> was the</w:t>
      </w:r>
      <w:r w:rsidR="00FC3B8A">
        <w:rPr>
          <w:lang w:val="en-GB"/>
        </w:rPr>
        <w:t xml:space="preserve"> </w:t>
      </w:r>
      <w:r w:rsidR="006D7FA5" w:rsidRPr="004B08EF">
        <w:rPr>
          <w:lang w:val="en-GB"/>
        </w:rPr>
        <w:t>adalimumab</w:t>
      </w:r>
      <w:r w:rsidR="007D650A" w:rsidRPr="004B08EF">
        <w:rPr>
          <w:lang w:val="en-GB"/>
        </w:rPr>
        <w:t xml:space="preserve"> biosimilar</w:t>
      </w:r>
      <w:r w:rsidR="00D21128" w:rsidRPr="004B08EF">
        <w:rPr>
          <w:lang w:val="en-GB"/>
        </w:rPr>
        <w:t>.</w:t>
      </w:r>
      <w:r w:rsidR="006D7FA5" w:rsidRPr="004B08EF">
        <w:rPr>
          <w:lang w:val="en-GB"/>
        </w:rPr>
        <w:t xml:space="preserve"> This </w:t>
      </w:r>
      <w:r w:rsidR="00FC3B8A" w:rsidRPr="004B08EF">
        <w:rPr>
          <w:lang w:val="en-GB"/>
        </w:rPr>
        <w:t>bec</w:t>
      </w:r>
      <w:r w:rsidR="00FC3B8A">
        <w:rPr>
          <w:lang w:val="en-GB"/>
        </w:rPr>
        <w:t>a</w:t>
      </w:r>
      <w:r w:rsidR="00FC3B8A" w:rsidRPr="004B08EF">
        <w:rPr>
          <w:lang w:val="en-GB"/>
        </w:rPr>
        <w:t xml:space="preserve">me </w:t>
      </w:r>
      <w:r w:rsidR="006D7FA5" w:rsidRPr="004B08EF">
        <w:rPr>
          <w:lang w:val="en-GB"/>
        </w:rPr>
        <w:t xml:space="preserve">available </w:t>
      </w:r>
      <w:r w:rsidR="00FC3B8A">
        <w:rPr>
          <w:lang w:val="en-GB"/>
        </w:rPr>
        <w:t>in</w:t>
      </w:r>
      <w:r w:rsidR="00FC3B8A" w:rsidRPr="004B08EF">
        <w:rPr>
          <w:lang w:val="en-GB"/>
        </w:rPr>
        <w:t xml:space="preserve"> </w:t>
      </w:r>
      <w:r w:rsidR="006D7FA5" w:rsidRPr="004B08EF">
        <w:rPr>
          <w:lang w:val="en-GB"/>
        </w:rPr>
        <w:t xml:space="preserve">late 2018 and its </w:t>
      </w:r>
      <w:r w:rsidR="007D650A" w:rsidRPr="004B08EF">
        <w:rPr>
          <w:lang w:val="en-GB"/>
        </w:rPr>
        <w:t xml:space="preserve">use </w:t>
      </w:r>
      <w:r w:rsidRPr="004B08EF">
        <w:rPr>
          <w:lang w:val="en-GB"/>
        </w:rPr>
        <w:t xml:space="preserve">in the NHS </w:t>
      </w:r>
      <w:r w:rsidR="00637FAC" w:rsidRPr="004B08EF">
        <w:rPr>
          <w:lang w:val="en-GB"/>
        </w:rPr>
        <w:t>is</w:t>
      </w:r>
      <w:r w:rsidRPr="004B08EF">
        <w:rPr>
          <w:lang w:val="en-GB"/>
        </w:rPr>
        <w:t xml:space="preserve"> expected </w:t>
      </w:r>
      <w:r w:rsidR="006D7FA5" w:rsidRPr="004B08EF">
        <w:rPr>
          <w:lang w:val="en-GB"/>
        </w:rPr>
        <w:t xml:space="preserve">to keep </w:t>
      </w:r>
      <w:r w:rsidRPr="004B08EF">
        <w:rPr>
          <w:lang w:val="en-GB"/>
        </w:rPr>
        <w:t>increasing.</w:t>
      </w:r>
      <w:r w:rsidR="00D21128" w:rsidRPr="004B08EF">
        <w:rPr>
          <w:lang w:val="en-GB"/>
        </w:rPr>
        <w:t xml:space="preserve"> </w:t>
      </w:r>
      <w:r w:rsidR="00C87EC2" w:rsidRPr="004B08EF">
        <w:rPr>
          <w:lang w:val="en-GB"/>
        </w:rPr>
        <w:t xml:space="preserve">The clinical expert agreed that the adalimumab biosimilar is the cheapest and most widely used TNF-alpha inhibitor in the NHS and should be considered the relevant comparator for first-line use of secukinumab. </w:t>
      </w:r>
      <w:r w:rsidR="00D21128" w:rsidRPr="004B08EF">
        <w:rPr>
          <w:lang w:val="en-GB"/>
        </w:rPr>
        <w:t>The company agree</w:t>
      </w:r>
      <w:r w:rsidR="00CC2169" w:rsidRPr="004B08EF">
        <w:rPr>
          <w:lang w:val="en-GB"/>
        </w:rPr>
        <w:t>d</w:t>
      </w:r>
      <w:r w:rsidR="00D21128" w:rsidRPr="004B08EF">
        <w:rPr>
          <w:lang w:val="en-GB"/>
        </w:rPr>
        <w:t xml:space="preserve"> that the adalimumab biosimilar is the most widely used TNF-alpha inhibitor in clinical practice for treating non-radiographic axial spondyloarthritis</w:t>
      </w:r>
      <w:r w:rsidR="008D54FC">
        <w:rPr>
          <w:lang w:val="en-GB"/>
        </w:rPr>
        <w:t>. However, it</w:t>
      </w:r>
      <w:r w:rsidR="00D21128" w:rsidRPr="004B08EF">
        <w:rPr>
          <w:lang w:val="en-GB"/>
        </w:rPr>
        <w:t xml:space="preserve"> </w:t>
      </w:r>
      <w:r w:rsidR="00BC505C" w:rsidRPr="004B08EF">
        <w:rPr>
          <w:lang w:val="en-GB"/>
        </w:rPr>
        <w:t xml:space="preserve">considered it </w:t>
      </w:r>
      <w:r w:rsidR="00D21128" w:rsidRPr="004B08EF">
        <w:rPr>
          <w:lang w:val="en-GB"/>
        </w:rPr>
        <w:t>inappropriate to use</w:t>
      </w:r>
      <w:r w:rsidR="007D650A" w:rsidRPr="004B08EF">
        <w:rPr>
          <w:lang w:val="en-GB"/>
        </w:rPr>
        <w:t xml:space="preserve"> the cost of</w:t>
      </w:r>
      <w:r w:rsidR="00D21128" w:rsidRPr="004B08EF">
        <w:rPr>
          <w:lang w:val="en-GB"/>
        </w:rPr>
        <w:t xml:space="preserve"> adalimumab biosimilar to represent the </w:t>
      </w:r>
      <w:r w:rsidR="00C7050B">
        <w:rPr>
          <w:lang w:val="en-GB"/>
        </w:rPr>
        <w:t xml:space="preserve">costs for the </w:t>
      </w:r>
      <w:r w:rsidR="00D21128" w:rsidRPr="004B08EF">
        <w:rPr>
          <w:lang w:val="en-GB"/>
        </w:rPr>
        <w:t>whole class of TNF-</w:t>
      </w:r>
      <w:r w:rsidR="00D21128" w:rsidRPr="004B08EF">
        <w:rPr>
          <w:lang w:val="en-GB"/>
        </w:rPr>
        <w:lastRenderedPageBreak/>
        <w:t>alpha inhibitor</w:t>
      </w:r>
      <w:r w:rsidR="00236D60" w:rsidRPr="004B08EF">
        <w:rPr>
          <w:lang w:val="en-GB"/>
        </w:rPr>
        <w:t>s</w:t>
      </w:r>
      <w:r w:rsidR="0072429D">
        <w:rPr>
          <w:lang w:val="en-GB"/>
        </w:rPr>
        <w:t xml:space="preserve"> because some people do not have adalimumab first</w:t>
      </w:r>
      <w:r w:rsidR="006475C8">
        <w:rPr>
          <w:lang w:val="en-GB"/>
        </w:rPr>
        <w:t xml:space="preserve"> </w:t>
      </w:r>
      <w:r w:rsidR="0072429D">
        <w:rPr>
          <w:lang w:val="en-GB"/>
        </w:rPr>
        <w:t>line</w:t>
      </w:r>
      <w:r w:rsidR="00C87EC2" w:rsidRPr="004B08EF">
        <w:rPr>
          <w:lang w:val="en-GB"/>
        </w:rPr>
        <w:t xml:space="preserve">. </w:t>
      </w:r>
      <w:r w:rsidR="00637FAC" w:rsidRPr="004B08EF">
        <w:rPr>
          <w:lang w:val="en-GB"/>
        </w:rPr>
        <w:t xml:space="preserve">The committee concluded that the costs </w:t>
      </w:r>
      <w:r w:rsidR="00C87EC2" w:rsidRPr="004B08EF">
        <w:rPr>
          <w:lang w:val="en-GB"/>
        </w:rPr>
        <w:t xml:space="preserve">estimated </w:t>
      </w:r>
      <w:r w:rsidR="00637FAC" w:rsidRPr="004B08EF">
        <w:rPr>
          <w:lang w:val="en-GB"/>
        </w:rPr>
        <w:t>for TNF-alpha inhibitors for first-line use are likely to be closer to the cost of adalimumab biosimilar.</w:t>
      </w:r>
    </w:p>
    <w:p w14:paraId="44D480F9" w14:textId="3CA1F3B9" w:rsidR="00DA0427" w:rsidRPr="004B08EF" w:rsidRDefault="00613886" w:rsidP="00814055">
      <w:pPr>
        <w:pStyle w:val="Heading3"/>
      </w:pPr>
      <w:r>
        <w:t>The u</w:t>
      </w:r>
      <w:r w:rsidRPr="004B08EF">
        <w:t xml:space="preserve">se </w:t>
      </w:r>
      <w:r w:rsidR="002E5F15" w:rsidRPr="004B08EF">
        <w:t>of c</w:t>
      </w:r>
      <w:r w:rsidR="00814055" w:rsidRPr="004B08EF">
        <w:t xml:space="preserve">onditional baselines </w:t>
      </w:r>
      <w:r w:rsidR="00551CCD" w:rsidRPr="004B08EF">
        <w:t>in t</w:t>
      </w:r>
      <w:r w:rsidR="002E5F15" w:rsidRPr="004B08EF">
        <w:t xml:space="preserve">he economic model </w:t>
      </w:r>
      <w:r>
        <w:t>is</w:t>
      </w:r>
      <w:r w:rsidR="00C87EC2" w:rsidRPr="004B08EF">
        <w:t xml:space="preserve"> </w:t>
      </w:r>
      <w:r w:rsidR="00551CCD" w:rsidRPr="004B08EF">
        <w:t>a</w:t>
      </w:r>
      <w:r w:rsidR="00555CD1" w:rsidRPr="004B08EF">
        <w:t>n</w:t>
      </w:r>
      <w:r w:rsidR="00616956" w:rsidRPr="004B08EF">
        <w:t xml:space="preserve"> </w:t>
      </w:r>
      <w:r w:rsidR="00551CCD" w:rsidRPr="004B08EF">
        <w:t>area of uncertainty</w:t>
      </w:r>
      <w:r w:rsidR="002E5F15" w:rsidRPr="004B08EF">
        <w:t xml:space="preserve"> </w:t>
      </w:r>
    </w:p>
    <w:p w14:paraId="70BB46D8" w14:textId="2F2D0CC7" w:rsidR="00814055" w:rsidRPr="004B08EF" w:rsidRDefault="001D6D98" w:rsidP="00814055">
      <w:pPr>
        <w:pStyle w:val="Numberedlevel2text"/>
        <w:rPr>
          <w:lang w:val="en-GB"/>
        </w:rPr>
      </w:pPr>
      <w:r w:rsidRPr="004B08EF">
        <w:rPr>
          <w:lang w:val="en-GB"/>
        </w:rPr>
        <w:t xml:space="preserve">The </w:t>
      </w:r>
      <w:r w:rsidR="00F112A2" w:rsidRPr="004B08EF">
        <w:rPr>
          <w:lang w:val="en-GB"/>
        </w:rPr>
        <w:t xml:space="preserve">company’s </w:t>
      </w:r>
      <w:r w:rsidRPr="004B08EF">
        <w:rPr>
          <w:lang w:val="en-GB"/>
        </w:rPr>
        <w:t xml:space="preserve">base-case model </w:t>
      </w:r>
      <w:r w:rsidR="00C87EC2" w:rsidRPr="004B08EF">
        <w:rPr>
          <w:lang w:val="en-GB"/>
        </w:rPr>
        <w:t xml:space="preserve">assumed </w:t>
      </w:r>
      <w:r w:rsidRPr="004B08EF">
        <w:rPr>
          <w:lang w:val="en-GB"/>
        </w:rPr>
        <w:t xml:space="preserve">that baseline BASDAI and BASFI scores are conditional on response. </w:t>
      </w:r>
      <w:r w:rsidR="001525A3">
        <w:rPr>
          <w:lang w:val="en-GB"/>
        </w:rPr>
        <w:t xml:space="preserve">This meant </w:t>
      </w:r>
      <w:r w:rsidR="00086922">
        <w:rPr>
          <w:lang w:val="en-GB"/>
        </w:rPr>
        <w:t xml:space="preserve">that people modelled to have a BASDAI 50 response had </w:t>
      </w:r>
      <w:r w:rsidR="001525A3">
        <w:rPr>
          <w:lang w:val="en-GB"/>
        </w:rPr>
        <w:t>different</w:t>
      </w:r>
      <w:r w:rsidR="00086922">
        <w:rPr>
          <w:lang w:val="en-GB"/>
        </w:rPr>
        <w:t xml:space="preserve"> baseline</w:t>
      </w:r>
      <w:r w:rsidR="001525A3">
        <w:rPr>
          <w:lang w:val="en-GB"/>
        </w:rPr>
        <w:t xml:space="preserve"> BASDAI and BASFI scores </w:t>
      </w:r>
      <w:r w:rsidR="00086922">
        <w:rPr>
          <w:lang w:val="en-GB"/>
        </w:rPr>
        <w:t>than those</w:t>
      </w:r>
      <w:r w:rsidR="001525A3">
        <w:rPr>
          <w:lang w:val="en-GB"/>
        </w:rPr>
        <w:t xml:space="preserve"> modelled to </w:t>
      </w:r>
      <w:r w:rsidR="00D3361F">
        <w:rPr>
          <w:lang w:val="en-GB"/>
        </w:rPr>
        <w:t xml:space="preserve">not </w:t>
      </w:r>
      <w:r w:rsidR="001525A3">
        <w:rPr>
          <w:lang w:val="en-GB"/>
        </w:rPr>
        <w:t>have a response.</w:t>
      </w:r>
      <w:r w:rsidR="001525A3" w:rsidRPr="004B08EF">
        <w:rPr>
          <w:lang w:val="en-GB"/>
        </w:rPr>
        <w:t xml:space="preserve"> </w:t>
      </w:r>
      <w:r w:rsidRPr="004B08EF">
        <w:rPr>
          <w:lang w:val="en-GB"/>
        </w:rPr>
        <w:t xml:space="preserve">This </w:t>
      </w:r>
      <w:r w:rsidR="00EB027E" w:rsidRPr="004B08EF">
        <w:rPr>
          <w:lang w:val="en-GB"/>
        </w:rPr>
        <w:t>was</w:t>
      </w:r>
      <w:r w:rsidRPr="004B08EF">
        <w:rPr>
          <w:lang w:val="en-GB"/>
        </w:rPr>
        <w:t xml:space="preserve"> based on </w:t>
      </w:r>
      <w:r w:rsidR="00BC4FB7" w:rsidRPr="004B08EF">
        <w:rPr>
          <w:lang w:val="en-GB"/>
        </w:rPr>
        <w:t>observation</w:t>
      </w:r>
      <w:r w:rsidR="00C87EC2" w:rsidRPr="004B08EF">
        <w:rPr>
          <w:lang w:val="en-GB"/>
        </w:rPr>
        <w:t>s</w:t>
      </w:r>
      <w:r w:rsidR="00BC4FB7" w:rsidRPr="004B08EF">
        <w:rPr>
          <w:lang w:val="en-GB"/>
        </w:rPr>
        <w:t xml:space="preserve"> from clinical trials of secukinumab (PREVENT) and adalimumab (ABILITY-1)</w:t>
      </w:r>
      <w:r w:rsidR="00C87EC2" w:rsidRPr="004B08EF">
        <w:rPr>
          <w:lang w:val="en-GB"/>
        </w:rPr>
        <w:t>, which showed</w:t>
      </w:r>
      <w:r w:rsidR="004E391C" w:rsidRPr="004B08EF">
        <w:rPr>
          <w:lang w:val="en-GB"/>
        </w:rPr>
        <w:t xml:space="preserve"> </w:t>
      </w:r>
      <w:r w:rsidR="00BC4FB7" w:rsidRPr="004B08EF">
        <w:rPr>
          <w:lang w:val="en-GB"/>
        </w:rPr>
        <w:t xml:space="preserve">that people who </w:t>
      </w:r>
      <w:r w:rsidR="00C87EC2" w:rsidRPr="004B08EF">
        <w:rPr>
          <w:lang w:val="en-GB"/>
        </w:rPr>
        <w:t xml:space="preserve">had </w:t>
      </w:r>
      <w:r w:rsidR="00BC4FB7" w:rsidRPr="004B08EF">
        <w:rPr>
          <w:lang w:val="en-GB"/>
        </w:rPr>
        <w:t xml:space="preserve">a BASDAI 50 response had </w:t>
      </w:r>
      <w:r w:rsidRPr="004B08EF">
        <w:rPr>
          <w:lang w:val="en-GB"/>
        </w:rPr>
        <w:t xml:space="preserve">lower baseline BASFI and BASDAI </w:t>
      </w:r>
      <w:r w:rsidR="00C7050B">
        <w:rPr>
          <w:lang w:val="en-GB"/>
        </w:rPr>
        <w:t xml:space="preserve">scores </w:t>
      </w:r>
      <w:r w:rsidRPr="004B08EF">
        <w:rPr>
          <w:lang w:val="en-GB"/>
        </w:rPr>
        <w:t>than</w:t>
      </w:r>
      <w:r w:rsidR="00C87EC2" w:rsidRPr="004B08EF">
        <w:rPr>
          <w:lang w:val="en-GB"/>
        </w:rPr>
        <w:t xml:space="preserve"> people whose disease did not</w:t>
      </w:r>
      <w:r w:rsidRPr="004B08EF">
        <w:rPr>
          <w:lang w:val="en-GB"/>
        </w:rPr>
        <w:t xml:space="preserve"> respond. </w:t>
      </w:r>
      <w:r w:rsidR="00120D64" w:rsidRPr="004B08EF">
        <w:rPr>
          <w:lang w:val="en-GB"/>
        </w:rPr>
        <w:t xml:space="preserve">However, the committee </w:t>
      </w:r>
      <w:r w:rsidR="00C87EC2" w:rsidRPr="004B08EF">
        <w:rPr>
          <w:lang w:val="en-GB"/>
        </w:rPr>
        <w:t xml:space="preserve">recalled </w:t>
      </w:r>
      <w:r w:rsidR="00120D64" w:rsidRPr="004B08EF">
        <w:rPr>
          <w:lang w:val="en-GB"/>
        </w:rPr>
        <w:t xml:space="preserve">the preference in </w:t>
      </w:r>
      <w:hyperlink r:id="rId20" w:history="1">
        <w:r w:rsidR="00B62A52" w:rsidRPr="004B08EF">
          <w:rPr>
            <w:rStyle w:val="Hyperlink"/>
            <w:lang w:val="en-GB"/>
          </w:rPr>
          <w:t>NICE’s technology appraisal guidance on TNF-alpha inhibitors</w:t>
        </w:r>
      </w:hyperlink>
      <w:r w:rsidR="00120D64" w:rsidRPr="004B08EF">
        <w:rPr>
          <w:lang w:val="en-GB"/>
        </w:rPr>
        <w:t xml:space="preserve"> for common baselines</w:t>
      </w:r>
      <w:r w:rsidR="00C87EC2" w:rsidRPr="004B08EF">
        <w:rPr>
          <w:lang w:val="en-GB"/>
        </w:rPr>
        <w:t xml:space="preserve">. </w:t>
      </w:r>
      <w:r w:rsidR="00C03E77" w:rsidRPr="004B08EF">
        <w:rPr>
          <w:lang w:val="en-GB"/>
        </w:rPr>
        <w:t>This was</w:t>
      </w:r>
      <w:r w:rsidR="00120D64" w:rsidRPr="004B08EF">
        <w:rPr>
          <w:lang w:val="en-GB"/>
        </w:rPr>
        <w:t xml:space="preserve"> </w:t>
      </w:r>
      <w:r w:rsidR="00FC3B8A">
        <w:rPr>
          <w:lang w:val="en-GB"/>
        </w:rPr>
        <w:t>because</w:t>
      </w:r>
      <w:r w:rsidR="00FC3B8A" w:rsidRPr="004B08EF">
        <w:rPr>
          <w:lang w:val="en-GB"/>
        </w:rPr>
        <w:t xml:space="preserve"> </w:t>
      </w:r>
      <w:r w:rsidR="00FC3B8A">
        <w:rPr>
          <w:lang w:val="en-GB"/>
        </w:rPr>
        <w:t>there was</w:t>
      </w:r>
      <w:r w:rsidR="00FC3B8A" w:rsidRPr="004B08EF">
        <w:rPr>
          <w:lang w:val="en-GB"/>
        </w:rPr>
        <w:t xml:space="preserve"> </w:t>
      </w:r>
      <w:r w:rsidR="0072429D">
        <w:rPr>
          <w:lang w:val="en-GB"/>
        </w:rPr>
        <w:t>no</w:t>
      </w:r>
      <w:r w:rsidR="00C87EC2" w:rsidRPr="004B08EF">
        <w:rPr>
          <w:lang w:val="en-GB"/>
        </w:rPr>
        <w:t xml:space="preserve"> </w:t>
      </w:r>
      <w:r w:rsidR="00120D64" w:rsidRPr="004B08EF">
        <w:rPr>
          <w:lang w:val="en-GB"/>
        </w:rPr>
        <w:t xml:space="preserve">evidence </w:t>
      </w:r>
      <w:r w:rsidR="00FC3B8A">
        <w:rPr>
          <w:lang w:val="en-GB"/>
        </w:rPr>
        <w:t>showing that</w:t>
      </w:r>
      <w:r w:rsidR="00FC3B8A" w:rsidRPr="004B08EF">
        <w:rPr>
          <w:lang w:val="en-GB"/>
        </w:rPr>
        <w:t xml:space="preserve"> </w:t>
      </w:r>
      <w:r w:rsidR="00120D64" w:rsidRPr="004B08EF">
        <w:rPr>
          <w:lang w:val="en-GB"/>
        </w:rPr>
        <w:t>people with more severe disease were less likely to have a clinically meaningful benefit</w:t>
      </w:r>
      <w:r w:rsidR="00FC3B8A">
        <w:rPr>
          <w:lang w:val="en-GB"/>
        </w:rPr>
        <w:t xml:space="preserve"> </w:t>
      </w:r>
      <w:r w:rsidR="000E6839">
        <w:rPr>
          <w:lang w:val="en-GB"/>
        </w:rPr>
        <w:t>with</w:t>
      </w:r>
      <w:r w:rsidR="00FC3B8A">
        <w:rPr>
          <w:lang w:val="en-GB"/>
        </w:rPr>
        <w:t xml:space="preserve"> TNF-alpha inhibitors</w:t>
      </w:r>
      <w:r w:rsidR="00120D64" w:rsidRPr="004B08EF">
        <w:rPr>
          <w:lang w:val="en-GB"/>
        </w:rPr>
        <w:t xml:space="preserve"> than</w:t>
      </w:r>
      <w:r w:rsidR="00674D5C" w:rsidRPr="004B08EF">
        <w:rPr>
          <w:lang w:val="en-GB"/>
        </w:rPr>
        <w:t xml:space="preserve"> people</w:t>
      </w:r>
      <w:r w:rsidR="00120D64" w:rsidRPr="004B08EF">
        <w:rPr>
          <w:lang w:val="en-GB"/>
        </w:rPr>
        <w:t xml:space="preserve"> with less severe disease</w:t>
      </w:r>
      <w:r w:rsidR="00674D5C" w:rsidRPr="004B08EF">
        <w:rPr>
          <w:lang w:val="en-GB"/>
        </w:rPr>
        <w:t>.</w:t>
      </w:r>
      <w:r w:rsidR="00EB3D20">
        <w:rPr>
          <w:lang w:val="en-GB"/>
        </w:rPr>
        <w:t xml:space="preserve"> </w:t>
      </w:r>
      <w:r w:rsidR="00EB3D20" w:rsidRPr="00EB3D20">
        <w:rPr>
          <w:lang w:val="en-GB"/>
        </w:rPr>
        <w:t>The ERG commented that, when using NICE guidance stopping criteria (see recommendation 1.2) in clinical practice, differences in baseline BASDAI score between people with disease response and those without may be less likely.</w:t>
      </w:r>
      <w:r w:rsidR="00674D5C" w:rsidRPr="004B08EF">
        <w:rPr>
          <w:lang w:val="en-GB"/>
        </w:rPr>
        <w:t xml:space="preserve"> </w:t>
      </w:r>
      <w:r w:rsidR="00551CCD" w:rsidRPr="004B08EF">
        <w:rPr>
          <w:lang w:val="en-GB"/>
        </w:rPr>
        <w:t xml:space="preserve">The committee concluded that the </w:t>
      </w:r>
      <w:r w:rsidR="00674D5C" w:rsidRPr="004B08EF">
        <w:rPr>
          <w:lang w:val="en-GB"/>
        </w:rPr>
        <w:t xml:space="preserve">use of </w:t>
      </w:r>
      <w:r w:rsidR="001940BE" w:rsidRPr="004B08EF">
        <w:rPr>
          <w:lang w:val="en-GB"/>
        </w:rPr>
        <w:t xml:space="preserve">common or </w:t>
      </w:r>
      <w:r w:rsidR="00674D5C" w:rsidRPr="004B08EF">
        <w:rPr>
          <w:lang w:val="en-GB"/>
        </w:rPr>
        <w:t xml:space="preserve">conditional baselines in the economic model was an area of </w:t>
      </w:r>
      <w:r w:rsidR="00C87EC2" w:rsidRPr="004B08EF">
        <w:rPr>
          <w:lang w:val="en-GB"/>
        </w:rPr>
        <w:t xml:space="preserve">substantial </w:t>
      </w:r>
      <w:r w:rsidR="00022837" w:rsidRPr="004B08EF">
        <w:rPr>
          <w:lang w:val="en-GB"/>
        </w:rPr>
        <w:t>uncertainty</w:t>
      </w:r>
      <w:r w:rsidR="00BC4FB7" w:rsidRPr="004B08EF">
        <w:rPr>
          <w:lang w:val="en-GB"/>
        </w:rPr>
        <w:t>.</w:t>
      </w:r>
    </w:p>
    <w:p w14:paraId="16F0A551" w14:textId="15F96F47" w:rsidR="00C31CE6" w:rsidRPr="004B08EF" w:rsidRDefault="00022837" w:rsidP="00C31CE6">
      <w:pPr>
        <w:pStyle w:val="Heading3"/>
      </w:pPr>
      <w:r w:rsidRPr="004B08EF">
        <w:t>Modelling a</w:t>
      </w:r>
      <w:r w:rsidR="00040B28" w:rsidRPr="004B08EF">
        <w:t xml:space="preserve"> </w:t>
      </w:r>
      <w:r w:rsidRPr="004B08EF">
        <w:t xml:space="preserve">further line </w:t>
      </w:r>
      <w:r w:rsidR="00040B28" w:rsidRPr="004B08EF">
        <w:t xml:space="preserve">of treatment </w:t>
      </w:r>
      <w:r w:rsidR="00446455" w:rsidRPr="004B08EF">
        <w:t>after</w:t>
      </w:r>
      <w:r w:rsidR="00D71B3A" w:rsidRPr="004B08EF">
        <w:t xml:space="preserve"> secukinumab or</w:t>
      </w:r>
      <w:r w:rsidR="00FD6549">
        <w:t xml:space="preserve"> a </w:t>
      </w:r>
      <w:r w:rsidR="00D71B3A" w:rsidRPr="004B08EF">
        <w:t>TNF-alpha inhibitor</w:t>
      </w:r>
      <w:r w:rsidR="00EB027E" w:rsidRPr="004B08EF">
        <w:t xml:space="preserve"> reflects the treatment pathway</w:t>
      </w:r>
      <w:r w:rsidR="00A624E0" w:rsidRPr="004B08EF">
        <w:t>,</w:t>
      </w:r>
      <w:r w:rsidR="00616956" w:rsidRPr="004B08EF">
        <w:t xml:space="preserve"> </w:t>
      </w:r>
      <w:r w:rsidR="00DE6775" w:rsidRPr="004B08EF">
        <w:t xml:space="preserve">but </w:t>
      </w:r>
      <w:r w:rsidR="00C03E77" w:rsidRPr="004B08EF">
        <w:t>relies on</w:t>
      </w:r>
      <w:r w:rsidR="00A624E0" w:rsidRPr="004B08EF">
        <w:t xml:space="preserve"> </w:t>
      </w:r>
      <w:r w:rsidR="0025131A" w:rsidRPr="004B08EF">
        <w:t>common</w:t>
      </w:r>
      <w:r w:rsidR="00A624E0" w:rsidRPr="004B08EF">
        <w:t xml:space="preserve"> baselines</w:t>
      </w:r>
    </w:p>
    <w:p w14:paraId="44FF027A" w14:textId="6177D427" w:rsidR="006F0FF4" w:rsidRPr="004B08EF" w:rsidRDefault="00F112A2" w:rsidP="001B2B11">
      <w:pPr>
        <w:pStyle w:val="Numberedlevel2text"/>
        <w:rPr>
          <w:lang w:val="en-GB"/>
        </w:rPr>
      </w:pPr>
      <w:r w:rsidRPr="004B08EF">
        <w:rPr>
          <w:lang w:val="en-GB"/>
        </w:rPr>
        <w:t>The company’s base-case model d</w:t>
      </w:r>
      <w:r w:rsidR="00040B28" w:rsidRPr="004B08EF">
        <w:rPr>
          <w:lang w:val="en-GB"/>
        </w:rPr>
        <w:t>id</w:t>
      </w:r>
      <w:r w:rsidRPr="004B08EF">
        <w:rPr>
          <w:lang w:val="en-GB"/>
        </w:rPr>
        <w:t xml:space="preserve"> not consider </w:t>
      </w:r>
      <w:r w:rsidR="007607E4" w:rsidRPr="004B08EF">
        <w:rPr>
          <w:lang w:val="en-GB"/>
        </w:rPr>
        <w:t xml:space="preserve">further </w:t>
      </w:r>
      <w:r w:rsidRPr="004B08EF">
        <w:rPr>
          <w:lang w:val="en-GB"/>
        </w:rPr>
        <w:t xml:space="preserve">treatment with </w:t>
      </w:r>
      <w:r w:rsidR="007607E4" w:rsidRPr="004B08EF">
        <w:rPr>
          <w:lang w:val="en-GB"/>
        </w:rPr>
        <w:t xml:space="preserve">a </w:t>
      </w:r>
      <w:r w:rsidRPr="004B08EF">
        <w:rPr>
          <w:lang w:val="en-GB"/>
        </w:rPr>
        <w:t xml:space="preserve">biologic </w:t>
      </w:r>
      <w:r w:rsidR="00C03E77" w:rsidRPr="004B08EF">
        <w:rPr>
          <w:lang w:val="en-GB"/>
        </w:rPr>
        <w:t>after</w:t>
      </w:r>
      <w:r w:rsidRPr="004B08EF">
        <w:rPr>
          <w:lang w:val="en-GB"/>
        </w:rPr>
        <w:t xml:space="preserve"> first-line treatment with secukinumab</w:t>
      </w:r>
      <w:r w:rsidR="00D71B3A" w:rsidRPr="004B08EF">
        <w:rPr>
          <w:lang w:val="en-GB"/>
        </w:rPr>
        <w:t xml:space="preserve"> or a TNF-</w:t>
      </w:r>
      <w:r w:rsidR="00352C29" w:rsidRPr="004B08EF">
        <w:rPr>
          <w:lang w:val="en-GB"/>
        </w:rPr>
        <w:t>alpha</w:t>
      </w:r>
      <w:r w:rsidR="00BA4C5E" w:rsidRPr="004B08EF">
        <w:rPr>
          <w:lang w:val="en-GB"/>
        </w:rPr>
        <w:t xml:space="preserve"> inhibitor</w:t>
      </w:r>
      <w:r w:rsidR="00040B28" w:rsidRPr="004B08EF">
        <w:rPr>
          <w:lang w:val="en-GB"/>
        </w:rPr>
        <w:t>.</w:t>
      </w:r>
      <w:r w:rsidR="00616956" w:rsidRPr="004B08EF">
        <w:rPr>
          <w:lang w:val="en-GB"/>
        </w:rPr>
        <w:t xml:space="preserve"> After treatment with</w:t>
      </w:r>
      <w:r w:rsidR="00040B28" w:rsidRPr="004B08EF">
        <w:rPr>
          <w:lang w:val="en-GB"/>
        </w:rPr>
        <w:t xml:space="preserve"> secukinumab or a TNF-alpha inhibitor</w:t>
      </w:r>
      <w:r w:rsidR="00616956" w:rsidRPr="004B08EF">
        <w:rPr>
          <w:lang w:val="en-GB"/>
        </w:rPr>
        <w:t>,</w:t>
      </w:r>
      <w:r w:rsidR="00040B28" w:rsidRPr="004B08EF">
        <w:rPr>
          <w:lang w:val="en-GB"/>
        </w:rPr>
        <w:t xml:space="preserve"> </w:t>
      </w:r>
      <w:r w:rsidR="00BA4C5E" w:rsidRPr="004B08EF">
        <w:rPr>
          <w:lang w:val="en-GB"/>
        </w:rPr>
        <w:t xml:space="preserve">the company initially </w:t>
      </w:r>
      <w:r w:rsidR="00816B08" w:rsidRPr="004B08EF">
        <w:rPr>
          <w:lang w:val="en-GB"/>
        </w:rPr>
        <w:t xml:space="preserve">assumed that </w:t>
      </w:r>
      <w:r w:rsidR="00040B28" w:rsidRPr="004B08EF">
        <w:rPr>
          <w:lang w:val="en-GB"/>
        </w:rPr>
        <w:t xml:space="preserve">people </w:t>
      </w:r>
      <w:r w:rsidR="00816B08" w:rsidRPr="004B08EF">
        <w:rPr>
          <w:lang w:val="en-GB"/>
        </w:rPr>
        <w:t>would</w:t>
      </w:r>
      <w:r w:rsidR="00040B28" w:rsidRPr="004B08EF">
        <w:rPr>
          <w:lang w:val="en-GB"/>
        </w:rPr>
        <w:t xml:space="preserve"> have conventional care</w:t>
      </w:r>
      <w:r w:rsidR="00C03E77" w:rsidRPr="004B08EF">
        <w:rPr>
          <w:lang w:val="en-GB"/>
        </w:rPr>
        <w:t>.</w:t>
      </w:r>
      <w:r w:rsidR="00C31CE6" w:rsidRPr="004B08EF">
        <w:rPr>
          <w:lang w:val="en-GB"/>
        </w:rPr>
        <w:t xml:space="preserve"> </w:t>
      </w:r>
      <w:r w:rsidR="00C03E77" w:rsidRPr="004B08EF">
        <w:rPr>
          <w:lang w:val="en-GB"/>
        </w:rPr>
        <w:t>T</w:t>
      </w:r>
      <w:r w:rsidR="00040B28" w:rsidRPr="004B08EF">
        <w:rPr>
          <w:lang w:val="en-GB"/>
        </w:rPr>
        <w:t xml:space="preserve">he </w:t>
      </w:r>
      <w:r w:rsidR="00040B28" w:rsidRPr="004B08EF">
        <w:rPr>
          <w:lang w:val="en-GB"/>
        </w:rPr>
        <w:lastRenderedPageBreak/>
        <w:t>committee noted</w:t>
      </w:r>
      <w:r w:rsidR="008A4BDB">
        <w:rPr>
          <w:lang w:val="en-GB"/>
        </w:rPr>
        <w:t xml:space="preserve"> that</w:t>
      </w:r>
      <w:r w:rsidR="00040B28" w:rsidRPr="004B08EF">
        <w:rPr>
          <w:lang w:val="en-GB"/>
        </w:rPr>
        <w:t xml:space="preserve"> </w:t>
      </w:r>
      <w:r w:rsidR="00C03E77" w:rsidRPr="004B08EF">
        <w:rPr>
          <w:lang w:val="en-GB"/>
        </w:rPr>
        <w:t>this</w:t>
      </w:r>
      <w:r w:rsidR="008A4BDB">
        <w:rPr>
          <w:lang w:val="en-GB"/>
        </w:rPr>
        <w:t xml:space="preserve"> did</w:t>
      </w:r>
      <w:r w:rsidR="00C03E77" w:rsidRPr="004B08EF">
        <w:rPr>
          <w:lang w:val="en-GB"/>
        </w:rPr>
        <w:t xml:space="preserve"> </w:t>
      </w:r>
      <w:r w:rsidR="00040B28" w:rsidRPr="004B08EF">
        <w:rPr>
          <w:lang w:val="en-GB"/>
        </w:rPr>
        <w:t xml:space="preserve">not reflect clinical practice </w:t>
      </w:r>
      <w:r w:rsidR="00C03E77" w:rsidRPr="004B08EF">
        <w:rPr>
          <w:lang w:val="en-GB"/>
        </w:rPr>
        <w:t xml:space="preserve">because </w:t>
      </w:r>
      <w:r w:rsidR="00040B28" w:rsidRPr="004B08EF">
        <w:rPr>
          <w:lang w:val="en-GB"/>
        </w:rPr>
        <w:t>people may</w:t>
      </w:r>
      <w:r w:rsidR="00C31CE6" w:rsidRPr="004B08EF">
        <w:rPr>
          <w:lang w:val="en-GB"/>
        </w:rPr>
        <w:t xml:space="preserve"> go on to h</w:t>
      </w:r>
      <w:r w:rsidR="00040B28" w:rsidRPr="004B08EF">
        <w:rPr>
          <w:lang w:val="en-GB"/>
        </w:rPr>
        <w:t xml:space="preserve">ave another </w:t>
      </w:r>
      <w:r w:rsidR="00C03E77" w:rsidRPr="004B08EF">
        <w:rPr>
          <w:lang w:val="en-GB"/>
        </w:rPr>
        <w:t xml:space="preserve">biologic </w:t>
      </w:r>
      <w:r w:rsidR="00816B08" w:rsidRPr="004B08EF">
        <w:rPr>
          <w:lang w:val="en-GB"/>
        </w:rPr>
        <w:t>treatment</w:t>
      </w:r>
      <w:r w:rsidRPr="004B08EF">
        <w:rPr>
          <w:lang w:val="en-GB"/>
        </w:rPr>
        <w:t>.</w:t>
      </w:r>
      <w:r w:rsidR="00D050BD" w:rsidRPr="004B08EF">
        <w:rPr>
          <w:lang w:val="en-GB"/>
        </w:rPr>
        <w:t xml:space="preserve"> The company </w:t>
      </w:r>
      <w:r w:rsidR="00C03E77" w:rsidRPr="004B08EF">
        <w:rPr>
          <w:lang w:val="en-GB"/>
        </w:rPr>
        <w:t xml:space="preserve">did </w:t>
      </w:r>
      <w:r w:rsidR="00D050BD" w:rsidRPr="004B08EF">
        <w:rPr>
          <w:lang w:val="en-GB"/>
        </w:rPr>
        <w:t xml:space="preserve">a scenario analysis </w:t>
      </w:r>
      <w:r w:rsidR="00040B28" w:rsidRPr="004B08EF">
        <w:rPr>
          <w:lang w:val="en-GB"/>
        </w:rPr>
        <w:t>in which it developed a</w:t>
      </w:r>
      <w:r w:rsidR="00C31CE6" w:rsidRPr="004B08EF">
        <w:rPr>
          <w:lang w:val="en-GB"/>
        </w:rPr>
        <w:t xml:space="preserve"> </w:t>
      </w:r>
      <w:r w:rsidR="00D050BD" w:rsidRPr="004B08EF">
        <w:rPr>
          <w:lang w:val="en-GB"/>
        </w:rPr>
        <w:t>sequence model</w:t>
      </w:r>
      <w:r w:rsidR="007D650A" w:rsidRPr="004B08EF">
        <w:rPr>
          <w:lang w:val="en-GB"/>
        </w:rPr>
        <w:t>. This</w:t>
      </w:r>
      <w:r w:rsidR="00D050BD" w:rsidRPr="004B08EF">
        <w:rPr>
          <w:lang w:val="en-GB"/>
        </w:rPr>
        <w:t xml:space="preserve"> </w:t>
      </w:r>
      <w:r w:rsidR="007D650A" w:rsidRPr="004B08EF">
        <w:rPr>
          <w:lang w:val="en-GB"/>
        </w:rPr>
        <w:t xml:space="preserve">compared </w:t>
      </w:r>
      <w:r w:rsidR="00D050BD" w:rsidRPr="004B08EF">
        <w:rPr>
          <w:lang w:val="en-GB"/>
        </w:rPr>
        <w:t>secukinumab followed by a TNF-alpha inhibitor</w:t>
      </w:r>
      <w:r w:rsidR="007D650A" w:rsidRPr="004B08EF">
        <w:rPr>
          <w:lang w:val="en-GB"/>
        </w:rPr>
        <w:t xml:space="preserve"> with</w:t>
      </w:r>
      <w:r w:rsidR="00F8144C" w:rsidRPr="004B08EF">
        <w:rPr>
          <w:lang w:val="en-GB"/>
        </w:rPr>
        <w:t xml:space="preserve"> </w:t>
      </w:r>
      <w:r w:rsidR="00040B28" w:rsidRPr="004B08EF">
        <w:rPr>
          <w:lang w:val="en-GB"/>
        </w:rPr>
        <w:t xml:space="preserve">a </w:t>
      </w:r>
      <w:r w:rsidR="00D050BD" w:rsidRPr="004B08EF">
        <w:rPr>
          <w:lang w:val="en-GB"/>
        </w:rPr>
        <w:t xml:space="preserve">TNF-alpha inhibitor followed </w:t>
      </w:r>
      <w:r w:rsidR="00040B28" w:rsidRPr="004B08EF">
        <w:rPr>
          <w:lang w:val="en-GB"/>
        </w:rPr>
        <w:t>by a</w:t>
      </w:r>
      <w:r w:rsidR="00F8144C" w:rsidRPr="004B08EF">
        <w:rPr>
          <w:lang w:val="en-GB"/>
        </w:rPr>
        <w:t xml:space="preserve"> second</w:t>
      </w:r>
      <w:r w:rsidR="00040B28" w:rsidRPr="004B08EF">
        <w:rPr>
          <w:lang w:val="en-GB"/>
        </w:rPr>
        <w:t xml:space="preserve"> TNF-alpha inhibitor</w:t>
      </w:r>
      <w:r w:rsidR="007D650A" w:rsidRPr="004B08EF">
        <w:rPr>
          <w:lang w:val="en-GB"/>
        </w:rPr>
        <w:t>.</w:t>
      </w:r>
      <w:r w:rsidR="00063664" w:rsidRPr="004B08EF">
        <w:rPr>
          <w:lang w:val="en-GB"/>
        </w:rPr>
        <w:t xml:space="preserve"> </w:t>
      </w:r>
      <w:r w:rsidR="00040B28" w:rsidRPr="004B08EF">
        <w:rPr>
          <w:lang w:val="en-GB"/>
        </w:rPr>
        <w:t xml:space="preserve">The ERG noted that there were errors in how the company had modelled underlying disease </w:t>
      </w:r>
      <w:r w:rsidR="00EB027E" w:rsidRPr="004B08EF">
        <w:rPr>
          <w:lang w:val="en-GB"/>
        </w:rPr>
        <w:t>activity</w:t>
      </w:r>
      <w:r w:rsidR="00040B28" w:rsidRPr="004B08EF">
        <w:rPr>
          <w:lang w:val="en-GB"/>
        </w:rPr>
        <w:t xml:space="preserve"> and that it was inappropriate to use conditional baselines</w:t>
      </w:r>
      <w:r w:rsidR="00EB027E" w:rsidRPr="004B08EF">
        <w:rPr>
          <w:lang w:val="en-GB"/>
        </w:rPr>
        <w:t xml:space="preserve"> in a sequence model. </w:t>
      </w:r>
      <w:r w:rsidR="00CF22F2">
        <w:rPr>
          <w:lang w:val="en-GB"/>
        </w:rPr>
        <w:t>Therefore</w:t>
      </w:r>
      <w:r w:rsidR="00C03E77" w:rsidRPr="004B08EF">
        <w:rPr>
          <w:lang w:val="en-GB"/>
        </w:rPr>
        <w:t xml:space="preserve">, the </w:t>
      </w:r>
      <w:r w:rsidR="00063664" w:rsidRPr="004B08EF">
        <w:rPr>
          <w:lang w:val="en-GB"/>
        </w:rPr>
        <w:t>ERG</w:t>
      </w:r>
      <w:r w:rsidR="00C31CE6" w:rsidRPr="004B08EF">
        <w:rPr>
          <w:lang w:val="en-GB"/>
        </w:rPr>
        <w:t xml:space="preserve"> </w:t>
      </w:r>
      <w:r w:rsidR="00EB027E" w:rsidRPr="004B08EF">
        <w:rPr>
          <w:lang w:val="en-GB"/>
        </w:rPr>
        <w:t xml:space="preserve">modelled a sequence of treatments </w:t>
      </w:r>
      <w:r w:rsidR="007B4F1A" w:rsidRPr="004B08EF">
        <w:rPr>
          <w:lang w:val="en-GB"/>
        </w:rPr>
        <w:t>using common</w:t>
      </w:r>
      <w:r w:rsidR="00EB027E" w:rsidRPr="004B08EF">
        <w:rPr>
          <w:lang w:val="en-GB"/>
        </w:rPr>
        <w:t xml:space="preserve"> baseline</w:t>
      </w:r>
      <w:r w:rsidR="00C31CE6" w:rsidRPr="004B08EF">
        <w:rPr>
          <w:lang w:val="en-GB"/>
        </w:rPr>
        <w:t xml:space="preserve">s. </w:t>
      </w:r>
      <w:r w:rsidR="00A26F80" w:rsidRPr="004B08EF">
        <w:rPr>
          <w:lang w:val="en-GB"/>
        </w:rPr>
        <w:t>This assumed</w:t>
      </w:r>
      <w:r w:rsidR="00063664" w:rsidRPr="004B08EF">
        <w:rPr>
          <w:lang w:val="en-GB"/>
        </w:rPr>
        <w:t xml:space="preserve"> that if secukinumab is used first</w:t>
      </w:r>
      <w:r w:rsidR="00C03E77" w:rsidRPr="004B08EF">
        <w:rPr>
          <w:lang w:val="en-GB"/>
        </w:rPr>
        <w:t xml:space="preserve"> </w:t>
      </w:r>
      <w:r w:rsidR="00063664" w:rsidRPr="004B08EF">
        <w:rPr>
          <w:lang w:val="en-GB"/>
        </w:rPr>
        <w:t xml:space="preserve">line, </w:t>
      </w:r>
      <w:r w:rsidR="00E656C8" w:rsidRPr="004B08EF">
        <w:rPr>
          <w:lang w:val="en-GB"/>
        </w:rPr>
        <w:t xml:space="preserve">then adalimumab biosimilar would be the next treatment. This sequence </w:t>
      </w:r>
      <w:r w:rsidR="00A26F80" w:rsidRPr="004B08EF">
        <w:rPr>
          <w:lang w:val="en-GB"/>
        </w:rPr>
        <w:t xml:space="preserve">was </w:t>
      </w:r>
      <w:r w:rsidR="00E656C8" w:rsidRPr="004B08EF">
        <w:rPr>
          <w:lang w:val="en-GB"/>
        </w:rPr>
        <w:t xml:space="preserve">compared with adalimumab followed by </w:t>
      </w:r>
      <w:r w:rsidR="008D420E" w:rsidRPr="004B08EF">
        <w:rPr>
          <w:lang w:val="en-GB"/>
        </w:rPr>
        <w:t xml:space="preserve">biosimilar </w:t>
      </w:r>
      <w:r w:rsidR="00E656C8" w:rsidRPr="004B08EF">
        <w:rPr>
          <w:lang w:val="en-GB"/>
        </w:rPr>
        <w:t xml:space="preserve">etanercept (the </w:t>
      </w:r>
      <w:r w:rsidR="008D420E" w:rsidRPr="004B08EF">
        <w:rPr>
          <w:lang w:val="en-GB"/>
        </w:rPr>
        <w:t xml:space="preserve">second </w:t>
      </w:r>
      <w:r w:rsidR="00E656C8" w:rsidRPr="004B08EF">
        <w:rPr>
          <w:lang w:val="en-GB"/>
        </w:rPr>
        <w:t>cheapest TNF-alpha inhibitor after adalimumab).</w:t>
      </w:r>
      <w:r w:rsidR="00EB027E" w:rsidRPr="004B08EF">
        <w:rPr>
          <w:lang w:val="en-GB"/>
        </w:rPr>
        <w:t xml:space="preserve"> </w:t>
      </w:r>
      <w:r w:rsidR="007A4AAA" w:rsidRPr="004B08EF">
        <w:rPr>
          <w:lang w:val="en-GB"/>
        </w:rPr>
        <w:t xml:space="preserve">The committee concluded that </w:t>
      </w:r>
      <w:r w:rsidR="00C31CE6" w:rsidRPr="004B08EF">
        <w:rPr>
          <w:lang w:val="en-GB"/>
        </w:rPr>
        <w:t xml:space="preserve">a </w:t>
      </w:r>
      <w:r w:rsidR="007A4AAA" w:rsidRPr="004B08EF">
        <w:rPr>
          <w:lang w:val="en-GB"/>
        </w:rPr>
        <w:t xml:space="preserve">sequence model </w:t>
      </w:r>
      <w:r w:rsidR="008F72E3" w:rsidRPr="004B08EF">
        <w:rPr>
          <w:lang w:val="en-GB"/>
        </w:rPr>
        <w:t xml:space="preserve">better reflects the treatment </w:t>
      </w:r>
      <w:r w:rsidR="0000494B" w:rsidRPr="004B08EF">
        <w:rPr>
          <w:lang w:val="en-GB"/>
        </w:rPr>
        <w:t>pathway</w:t>
      </w:r>
      <w:r w:rsidR="00C03E77" w:rsidRPr="004B08EF">
        <w:rPr>
          <w:lang w:val="en-GB"/>
        </w:rPr>
        <w:t>.</w:t>
      </w:r>
      <w:r w:rsidR="0000494B" w:rsidRPr="004B08EF">
        <w:rPr>
          <w:lang w:val="en-GB"/>
        </w:rPr>
        <w:t xml:space="preserve"> </w:t>
      </w:r>
      <w:r w:rsidR="00C7050B">
        <w:rPr>
          <w:lang w:val="en-GB"/>
        </w:rPr>
        <w:t>However,</w:t>
      </w:r>
      <w:r w:rsidR="00C03E77" w:rsidRPr="004B08EF">
        <w:rPr>
          <w:lang w:val="en-GB"/>
        </w:rPr>
        <w:t xml:space="preserve"> it</w:t>
      </w:r>
      <w:r w:rsidR="00A624E0" w:rsidRPr="004B08EF">
        <w:rPr>
          <w:lang w:val="en-GB"/>
        </w:rPr>
        <w:t xml:space="preserve"> noted that </w:t>
      </w:r>
      <w:r w:rsidR="00C03E77" w:rsidRPr="004B08EF">
        <w:rPr>
          <w:lang w:val="en-GB"/>
        </w:rPr>
        <w:t xml:space="preserve">this </w:t>
      </w:r>
      <w:r w:rsidR="00A624E0" w:rsidRPr="004B08EF">
        <w:rPr>
          <w:lang w:val="en-GB"/>
        </w:rPr>
        <w:t xml:space="preserve">relied on </w:t>
      </w:r>
      <w:r w:rsidR="00C03E77" w:rsidRPr="004B08EF">
        <w:rPr>
          <w:lang w:val="en-GB"/>
        </w:rPr>
        <w:t>using</w:t>
      </w:r>
      <w:r w:rsidR="00B60592" w:rsidRPr="004B08EF">
        <w:rPr>
          <w:lang w:val="en-GB"/>
        </w:rPr>
        <w:t xml:space="preserve"> co</w:t>
      </w:r>
      <w:r w:rsidR="008F72E3" w:rsidRPr="004B08EF">
        <w:rPr>
          <w:lang w:val="en-GB"/>
        </w:rPr>
        <w:t>mmon</w:t>
      </w:r>
      <w:r w:rsidR="00B60592" w:rsidRPr="004B08EF">
        <w:rPr>
          <w:lang w:val="en-GB"/>
        </w:rPr>
        <w:t xml:space="preserve"> baselines</w:t>
      </w:r>
      <w:r w:rsidR="00C03E77" w:rsidRPr="004B08EF">
        <w:rPr>
          <w:lang w:val="en-GB"/>
        </w:rPr>
        <w:t>,</w:t>
      </w:r>
      <w:r w:rsidR="00B60592" w:rsidRPr="004B08EF">
        <w:rPr>
          <w:lang w:val="en-GB"/>
        </w:rPr>
        <w:t xml:space="preserve"> which </w:t>
      </w:r>
      <w:r w:rsidR="00E1641B" w:rsidRPr="004B08EF">
        <w:rPr>
          <w:lang w:val="en-GB"/>
        </w:rPr>
        <w:t xml:space="preserve">was not favoured by the </w:t>
      </w:r>
      <w:r w:rsidR="00413E4A" w:rsidRPr="004B08EF">
        <w:rPr>
          <w:lang w:val="en-GB"/>
        </w:rPr>
        <w:t xml:space="preserve">company or the </w:t>
      </w:r>
      <w:r w:rsidR="004516FD" w:rsidRPr="004B08EF">
        <w:rPr>
          <w:lang w:val="en-GB"/>
        </w:rPr>
        <w:t>ERG and</w:t>
      </w:r>
      <w:r w:rsidR="00413E4A" w:rsidRPr="004B08EF">
        <w:rPr>
          <w:lang w:val="en-GB"/>
        </w:rPr>
        <w:t xml:space="preserve"> is</w:t>
      </w:r>
      <w:r w:rsidR="00B60592" w:rsidRPr="004B08EF">
        <w:rPr>
          <w:lang w:val="en-GB"/>
        </w:rPr>
        <w:t xml:space="preserve"> an area of uncertainty</w:t>
      </w:r>
      <w:r w:rsidR="007A4AAA" w:rsidRPr="004B08EF">
        <w:rPr>
          <w:lang w:val="en-GB"/>
        </w:rPr>
        <w:t xml:space="preserve">. </w:t>
      </w:r>
    </w:p>
    <w:p w14:paraId="28F9C7F5" w14:textId="07811B66" w:rsidR="006F0FF4" w:rsidRPr="004B08EF" w:rsidRDefault="00C03E77" w:rsidP="006F0FF4">
      <w:pPr>
        <w:pStyle w:val="Heading3"/>
      </w:pPr>
      <w:r w:rsidRPr="004B08EF">
        <w:t>R</w:t>
      </w:r>
      <w:r w:rsidR="00E11BBC" w:rsidRPr="004B08EF">
        <w:t xml:space="preserve">esults for </w:t>
      </w:r>
      <w:r w:rsidR="00413E4A" w:rsidRPr="004B08EF">
        <w:t xml:space="preserve">the </w:t>
      </w:r>
      <w:r w:rsidR="00E11BBC" w:rsidRPr="004B08EF">
        <w:t>second</w:t>
      </w:r>
      <w:r w:rsidR="006F0FF4" w:rsidRPr="004B08EF">
        <w:t>-line use</w:t>
      </w:r>
      <w:r w:rsidR="00E11BBC" w:rsidRPr="004B08EF">
        <w:t xml:space="preserve"> of</w:t>
      </w:r>
      <w:r w:rsidR="006F0FF4" w:rsidRPr="004B08EF">
        <w:t xml:space="preserve"> both</w:t>
      </w:r>
      <w:r w:rsidR="00E11BBC" w:rsidRPr="004B08EF">
        <w:t xml:space="preserve"> secukinumab and </w:t>
      </w:r>
      <w:r w:rsidR="006F0FF4" w:rsidRPr="004B08EF">
        <w:t>TNF-</w:t>
      </w:r>
      <w:r w:rsidR="00E11BBC" w:rsidRPr="004B08EF">
        <w:t>alpha</w:t>
      </w:r>
      <w:r w:rsidR="006F0FF4" w:rsidRPr="004B08EF">
        <w:t xml:space="preserve"> inhibitors </w:t>
      </w:r>
      <w:r w:rsidR="00E11BBC" w:rsidRPr="004B08EF">
        <w:t>are</w:t>
      </w:r>
      <w:r w:rsidR="006F0FF4" w:rsidRPr="004B08EF">
        <w:t xml:space="preserve"> uncertain</w:t>
      </w:r>
      <w:r w:rsidRPr="004B08EF">
        <w:t xml:space="preserve"> because of limited evidence</w:t>
      </w:r>
    </w:p>
    <w:p w14:paraId="38B38C53" w14:textId="01D9F851" w:rsidR="0020760E" w:rsidRPr="004B08EF" w:rsidRDefault="006F0FF4" w:rsidP="007A4AAA">
      <w:pPr>
        <w:pStyle w:val="Numberedlevel2text"/>
        <w:rPr>
          <w:lang w:val="en-GB"/>
        </w:rPr>
      </w:pPr>
      <w:r w:rsidRPr="004B08EF">
        <w:rPr>
          <w:lang w:val="en-GB"/>
        </w:rPr>
        <w:t xml:space="preserve">The ERG </w:t>
      </w:r>
      <w:r w:rsidR="00B731CF" w:rsidRPr="004B08EF">
        <w:rPr>
          <w:lang w:val="en-GB"/>
        </w:rPr>
        <w:t xml:space="preserve">highlighted </w:t>
      </w:r>
      <w:r w:rsidRPr="004B08EF">
        <w:rPr>
          <w:lang w:val="en-GB"/>
        </w:rPr>
        <w:t>that TNF-alpha inhibitors are relevant comparators for second-line</w:t>
      </w:r>
      <w:r w:rsidR="00C03E77" w:rsidRPr="004B08EF">
        <w:rPr>
          <w:lang w:val="en-GB"/>
        </w:rPr>
        <w:t xml:space="preserve"> secukinumab.</w:t>
      </w:r>
      <w:r w:rsidR="00B731CF" w:rsidRPr="004B08EF">
        <w:rPr>
          <w:lang w:val="en-GB"/>
        </w:rPr>
        <w:t xml:space="preserve"> </w:t>
      </w:r>
      <w:r w:rsidR="00C03E77" w:rsidRPr="004B08EF">
        <w:rPr>
          <w:lang w:val="en-GB"/>
        </w:rPr>
        <w:t xml:space="preserve">It </w:t>
      </w:r>
      <w:r w:rsidR="007A4AAA" w:rsidRPr="004B08EF">
        <w:rPr>
          <w:lang w:val="en-GB"/>
        </w:rPr>
        <w:t>acknowledg</w:t>
      </w:r>
      <w:r w:rsidR="00C03E77" w:rsidRPr="004B08EF">
        <w:rPr>
          <w:lang w:val="en-GB"/>
        </w:rPr>
        <w:t>ed</w:t>
      </w:r>
      <w:r w:rsidR="007A4AAA" w:rsidRPr="004B08EF">
        <w:rPr>
          <w:lang w:val="en-GB"/>
        </w:rPr>
        <w:t xml:space="preserve"> t</w:t>
      </w:r>
      <w:r w:rsidRPr="004B08EF">
        <w:rPr>
          <w:lang w:val="en-GB"/>
        </w:rPr>
        <w:t>hat there</w:t>
      </w:r>
      <w:r w:rsidR="007124B0" w:rsidRPr="004B08EF">
        <w:rPr>
          <w:lang w:val="en-GB"/>
        </w:rPr>
        <w:t xml:space="preserve"> is</w:t>
      </w:r>
      <w:r w:rsidRPr="004B08EF">
        <w:rPr>
          <w:lang w:val="en-GB"/>
        </w:rPr>
        <w:t xml:space="preserve"> </w:t>
      </w:r>
      <w:r w:rsidR="007A4AAA" w:rsidRPr="004B08EF">
        <w:rPr>
          <w:lang w:val="en-GB"/>
        </w:rPr>
        <w:t xml:space="preserve">limited </w:t>
      </w:r>
      <w:r w:rsidRPr="004B08EF">
        <w:rPr>
          <w:lang w:val="en-GB"/>
        </w:rPr>
        <w:t xml:space="preserve">randomised data available to inform cost-effectiveness estimates. </w:t>
      </w:r>
      <w:r w:rsidR="00E11BBC" w:rsidRPr="004B08EF">
        <w:rPr>
          <w:lang w:val="en-GB"/>
        </w:rPr>
        <w:t>The committe</w:t>
      </w:r>
      <w:r w:rsidR="005149B6" w:rsidRPr="004B08EF">
        <w:rPr>
          <w:lang w:val="en-GB"/>
        </w:rPr>
        <w:t>e</w:t>
      </w:r>
      <w:r w:rsidR="00E11BBC" w:rsidRPr="004B08EF">
        <w:rPr>
          <w:lang w:val="en-GB"/>
        </w:rPr>
        <w:t xml:space="preserve"> noted that </w:t>
      </w:r>
      <w:r w:rsidRPr="004B08EF">
        <w:rPr>
          <w:lang w:val="en-GB"/>
        </w:rPr>
        <w:t xml:space="preserve">the baseline characteristics of </w:t>
      </w:r>
      <w:r w:rsidR="00C03E77" w:rsidRPr="004B08EF">
        <w:rPr>
          <w:lang w:val="en-GB"/>
        </w:rPr>
        <w:t xml:space="preserve">people </w:t>
      </w:r>
      <w:r w:rsidRPr="004B08EF">
        <w:rPr>
          <w:lang w:val="en-GB"/>
        </w:rPr>
        <w:t xml:space="preserve">starting second-line treatment in the economic model </w:t>
      </w:r>
      <w:r w:rsidR="00A75774" w:rsidRPr="004B08EF">
        <w:rPr>
          <w:lang w:val="en-GB"/>
        </w:rPr>
        <w:t xml:space="preserve">were </w:t>
      </w:r>
      <w:r w:rsidRPr="004B08EF">
        <w:rPr>
          <w:lang w:val="en-GB"/>
        </w:rPr>
        <w:t xml:space="preserve">based on </w:t>
      </w:r>
      <w:r w:rsidR="00C03E77" w:rsidRPr="004B08EF">
        <w:rPr>
          <w:lang w:val="en-GB"/>
        </w:rPr>
        <w:t>the subgroup of</w:t>
      </w:r>
      <w:r w:rsidR="00A75774" w:rsidRPr="004B08EF">
        <w:rPr>
          <w:lang w:val="en-GB"/>
        </w:rPr>
        <w:t xml:space="preserve"> </w:t>
      </w:r>
      <w:r w:rsidR="00C03E77" w:rsidRPr="004B08EF">
        <w:rPr>
          <w:lang w:val="en-GB"/>
        </w:rPr>
        <w:t xml:space="preserve">people who had a </w:t>
      </w:r>
      <w:r w:rsidRPr="004B08EF">
        <w:rPr>
          <w:lang w:val="en-GB"/>
        </w:rPr>
        <w:t xml:space="preserve">TNF-alpha inhibitor </w:t>
      </w:r>
      <w:r w:rsidR="00C03E77" w:rsidRPr="004B08EF">
        <w:rPr>
          <w:lang w:val="en-GB"/>
        </w:rPr>
        <w:t xml:space="preserve">before </w:t>
      </w:r>
      <w:r w:rsidRPr="004B08EF">
        <w:rPr>
          <w:lang w:val="en-GB"/>
        </w:rPr>
        <w:t xml:space="preserve">in PREVENT. </w:t>
      </w:r>
      <w:r w:rsidR="00B731CF" w:rsidRPr="004B08EF">
        <w:rPr>
          <w:lang w:val="en-GB"/>
        </w:rPr>
        <w:t>The ERG considered that estimates from the DANBIO registry</w:t>
      </w:r>
      <w:r w:rsidR="00C03E77" w:rsidRPr="004B08EF">
        <w:rPr>
          <w:lang w:val="en-GB"/>
        </w:rPr>
        <w:t>, a registry of biologics in Denmark,</w:t>
      </w:r>
      <w:r w:rsidR="00B731CF" w:rsidRPr="004B08EF">
        <w:rPr>
          <w:lang w:val="en-GB"/>
        </w:rPr>
        <w:t xml:space="preserve"> were more reliable </w:t>
      </w:r>
      <w:r w:rsidR="00802CB1" w:rsidRPr="004B08EF">
        <w:rPr>
          <w:lang w:val="en-GB"/>
        </w:rPr>
        <w:t>than</w:t>
      </w:r>
      <w:r w:rsidR="007A4AAA" w:rsidRPr="004B08EF">
        <w:rPr>
          <w:lang w:val="en-GB"/>
        </w:rPr>
        <w:t xml:space="preserve"> results from this small subgroup</w:t>
      </w:r>
      <w:r w:rsidR="00F61FC3" w:rsidRPr="004B08EF">
        <w:rPr>
          <w:lang w:val="en-GB"/>
        </w:rPr>
        <w:t>.</w:t>
      </w:r>
      <w:r w:rsidR="007A4AAA" w:rsidRPr="004B08EF">
        <w:rPr>
          <w:lang w:val="en-GB"/>
        </w:rPr>
        <w:t xml:space="preserve"> The company argued that </w:t>
      </w:r>
      <w:r w:rsidR="00D34344">
        <w:rPr>
          <w:lang w:val="en-GB"/>
        </w:rPr>
        <w:t xml:space="preserve">the </w:t>
      </w:r>
      <w:r w:rsidR="007A4AAA" w:rsidRPr="004B08EF">
        <w:rPr>
          <w:lang w:val="en-GB"/>
        </w:rPr>
        <w:t>randomised data</w:t>
      </w:r>
      <w:r w:rsidR="00D34344">
        <w:rPr>
          <w:lang w:val="en-GB"/>
        </w:rPr>
        <w:t xml:space="preserve"> available</w:t>
      </w:r>
      <w:r w:rsidR="007A4AAA" w:rsidRPr="004B08EF">
        <w:rPr>
          <w:lang w:val="en-GB"/>
        </w:rPr>
        <w:t xml:space="preserve"> </w:t>
      </w:r>
      <w:r w:rsidR="00D34344" w:rsidRPr="004B08EF">
        <w:rPr>
          <w:lang w:val="en-GB"/>
        </w:rPr>
        <w:t>provide</w:t>
      </w:r>
      <w:r w:rsidR="00D34344">
        <w:rPr>
          <w:lang w:val="en-GB"/>
        </w:rPr>
        <w:t>d</w:t>
      </w:r>
      <w:r w:rsidR="00D34344" w:rsidRPr="004B08EF">
        <w:rPr>
          <w:lang w:val="en-GB"/>
        </w:rPr>
        <w:t xml:space="preserve"> </w:t>
      </w:r>
      <w:r w:rsidR="007A4AAA" w:rsidRPr="004B08EF">
        <w:rPr>
          <w:lang w:val="en-GB"/>
        </w:rPr>
        <w:t xml:space="preserve">more robust evidence than the DANBIO registry, which did not have a control </w:t>
      </w:r>
      <w:r w:rsidR="00802CB1" w:rsidRPr="004B08EF">
        <w:rPr>
          <w:lang w:val="en-GB"/>
        </w:rPr>
        <w:t>arm</w:t>
      </w:r>
      <w:r w:rsidR="007A4AAA" w:rsidRPr="004B08EF">
        <w:rPr>
          <w:lang w:val="en-GB"/>
        </w:rPr>
        <w:t xml:space="preserve">. The committee concluded that </w:t>
      </w:r>
      <w:r w:rsidR="00C03E77" w:rsidRPr="004B08EF">
        <w:rPr>
          <w:lang w:val="en-GB"/>
        </w:rPr>
        <w:t>because of the</w:t>
      </w:r>
      <w:r w:rsidR="00F61FC3" w:rsidRPr="004B08EF">
        <w:rPr>
          <w:lang w:val="en-GB"/>
        </w:rPr>
        <w:t xml:space="preserve"> limited evidence</w:t>
      </w:r>
      <w:r w:rsidR="00C03E77" w:rsidRPr="004B08EF">
        <w:rPr>
          <w:lang w:val="en-GB"/>
        </w:rPr>
        <w:t xml:space="preserve"> available</w:t>
      </w:r>
      <w:r w:rsidR="00F61FC3" w:rsidRPr="004B08EF">
        <w:rPr>
          <w:lang w:val="en-GB"/>
        </w:rPr>
        <w:t>, results for second-line use of both secukinumab and TNF-alpha inhibitors are uncertain.</w:t>
      </w:r>
    </w:p>
    <w:p w14:paraId="55435DFD" w14:textId="5ABEAEB5" w:rsidR="00B82A82" w:rsidRPr="004B08EF" w:rsidRDefault="00C03E77" w:rsidP="00B82A82">
      <w:pPr>
        <w:pStyle w:val="Heading2"/>
      </w:pPr>
      <w:r w:rsidRPr="004B08EF">
        <w:lastRenderedPageBreak/>
        <w:t>C</w:t>
      </w:r>
      <w:r w:rsidR="001C61FE" w:rsidRPr="004B08EF">
        <w:t>ost</w:t>
      </w:r>
      <w:r w:rsidRPr="004B08EF">
        <w:t>-</w:t>
      </w:r>
      <w:r w:rsidR="001C61FE" w:rsidRPr="004B08EF">
        <w:t>effectiveness results</w:t>
      </w:r>
      <w:r w:rsidR="00B82A82" w:rsidRPr="004B08EF">
        <w:t xml:space="preserve"> </w:t>
      </w:r>
    </w:p>
    <w:p w14:paraId="3E7EDA43" w14:textId="7F1D4044" w:rsidR="00CF08F4" w:rsidRPr="004B08EF" w:rsidRDefault="00256554" w:rsidP="00CF08F4">
      <w:pPr>
        <w:pStyle w:val="Heading3"/>
      </w:pPr>
      <w:r w:rsidRPr="004B08EF">
        <w:t>Secukinumab is more costly and less effective than TNF-alpha inhibitors</w:t>
      </w:r>
      <w:r w:rsidR="00CF08F4" w:rsidRPr="004B08EF">
        <w:t xml:space="preserve"> </w:t>
      </w:r>
    </w:p>
    <w:p w14:paraId="7640ACA2" w14:textId="425CD296" w:rsidR="008C65D2" w:rsidRPr="004B08EF" w:rsidRDefault="00553330" w:rsidP="008C65D2">
      <w:pPr>
        <w:pStyle w:val="Numberedlevel2text"/>
        <w:rPr>
          <w:lang w:val="en-GB"/>
        </w:rPr>
      </w:pPr>
      <w:r w:rsidRPr="004B08EF">
        <w:rPr>
          <w:lang w:val="en-GB"/>
        </w:rPr>
        <w:t>T</w:t>
      </w:r>
      <w:r w:rsidR="00C03E77" w:rsidRPr="004B08EF">
        <w:rPr>
          <w:lang w:val="en-GB"/>
        </w:rPr>
        <w:t>he committee noted that there is</w:t>
      </w:r>
      <w:r w:rsidR="008C65D2" w:rsidRPr="004B08EF">
        <w:rPr>
          <w:lang w:val="en-GB"/>
        </w:rPr>
        <w:t xml:space="preserve"> a confidential </w:t>
      </w:r>
      <w:r w:rsidR="00A72D5C" w:rsidRPr="004B08EF">
        <w:rPr>
          <w:lang w:val="en-GB"/>
        </w:rPr>
        <w:t>patient access scheme (</w:t>
      </w:r>
      <w:r w:rsidR="008C65D2" w:rsidRPr="004B08EF">
        <w:rPr>
          <w:lang w:val="en-GB"/>
        </w:rPr>
        <w:t>PAS</w:t>
      </w:r>
      <w:r w:rsidR="00A72D5C" w:rsidRPr="004B08EF">
        <w:rPr>
          <w:lang w:val="en-GB"/>
        </w:rPr>
        <w:t>)</w:t>
      </w:r>
      <w:r w:rsidR="008C65D2" w:rsidRPr="004B08EF">
        <w:rPr>
          <w:lang w:val="en-GB"/>
        </w:rPr>
        <w:t xml:space="preserve"> </w:t>
      </w:r>
      <w:r w:rsidR="00C03E77" w:rsidRPr="004B08EF">
        <w:rPr>
          <w:lang w:val="en-GB"/>
        </w:rPr>
        <w:t>for secukinumab. S</w:t>
      </w:r>
      <w:r w:rsidR="008C65D2" w:rsidRPr="004B08EF">
        <w:rPr>
          <w:lang w:val="en-GB"/>
        </w:rPr>
        <w:t xml:space="preserve">ome of the </w:t>
      </w:r>
      <w:r w:rsidR="00624594" w:rsidRPr="004B08EF">
        <w:rPr>
          <w:lang w:val="en-GB"/>
        </w:rPr>
        <w:t>TNF-alpha inhibitors</w:t>
      </w:r>
      <w:r w:rsidR="008C65D2" w:rsidRPr="004B08EF">
        <w:rPr>
          <w:lang w:val="en-GB"/>
        </w:rPr>
        <w:t xml:space="preserve"> are available to the NHS at a confidential discount</w:t>
      </w:r>
      <w:r w:rsidR="00624594" w:rsidRPr="004B08EF">
        <w:rPr>
          <w:lang w:val="en-GB"/>
        </w:rPr>
        <w:t>.</w:t>
      </w:r>
      <w:r w:rsidR="000E08F4" w:rsidRPr="004B08EF">
        <w:rPr>
          <w:lang w:val="en-GB"/>
        </w:rPr>
        <w:t xml:space="preserve"> </w:t>
      </w:r>
      <w:r w:rsidR="00C03E77" w:rsidRPr="004B08EF">
        <w:rPr>
          <w:lang w:val="en-GB"/>
        </w:rPr>
        <w:t xml:space="preserve">The committee noted that: </w:t>
      </w:r>
    </w:p>
    <w:p w14:paraId="4D3FE8C3" w14:textId="342EDD9D" w:rsidR="0071671A" w:rsidRPr="004B08EF" w:rsidRDefault="008C65D2" w:rsidP="00BC051D">
      <w:pPr>
        <w:pStyle w:val="Bulletindent1"/>
      </w:pPr>
      <w:r w:rsidRPr="004B08EF">
        <w:t>Secukinumab was less costly and less effective than TNF-alpha</w:t>
      </w:r>
      <w:r w:rsidR="00C7050B">
        <w:t xml:space="preserve"> </w:t>
      </w:r>
      <w:r w:rsidRPr="004B08EF">
        <w:t>inhibitors in</w:t>
      </w:r>
      <w:r w:rsidR="00BC051D" w:rsidRPr="004B08EF">
        <w:t xml:space="preserve"> the</w:t>
      </w:r>
      <w:r w:rsidR="009F6B7E" w:rsidRPr="004B08EF">
        <w:t>:</w:t>
      </w:r>
    </w:p>
    <w:p w14:paraId="268A722A" w14:textId="04F89A85" w:rsidR="0071671A" w:rsidRPr="004B08EF" w:rsidRDefault="00BC051D" w:rsidP="0071671A">
      <w:pPr>
        <w:pStyle w:val="Bulletindent2"/>
      </w:pPr>
      <w:r w:rsidRPr="004B08EF">
        <w:t>company base case (with mo</w:t>
      </w:r>
      <w:r w:rsidR="0071671A" w:rsidRPr="004B08EF">
        <w:t xml:space="preserve">delling errors corrected by the ERG) and </w:t>
      </w:r>
    </w:p>
    <w:p w14:paraId="64B42B4E" w14:textId="655D7A35" w:rsidR="0071671A" w:rsidRPr="004B08EF" w:rsidRDefault="0071671A" w:rsidP="00CF08F4">
      <w:pPr>
        <w:pStyle w:val="Bulletindent2"/>
      </w:pPr>
      <w:r w:rsidRPr="004B08EF">
        <w:t>ERG’s base case for secukinumab used as a second</w:t>
      </w:r>
      <w:r w:rsidR="00BC5968" w:rsidRPr="004B08EF">
        <w:t>-</w:t>
      </w:r>
      <w:r w:rsidRPr="004B08EF">
        <w:t>line treatment</w:t>
      </w:r>
      <w:r w:rsidR="00C03E77" w:rsidRPr="004B08EF">
        <w:t>.</w:t>
      </w:r>
    </w:p>
    <w:p w14:paraId="06CE451A" w14:textId="6D9ACEC5" w:rsidR="0071671A" w:rsidRPr="004B08EF" w:rsidRDefault="0071671A" w:rsidP="00BC051D">
      <w:pPr>
        <w:pStyle w:val="Bulletindent1"/>
      </w:pPr>
      <w:r w:rsidRPr="004B08EF">
        <w:t>Secukinumab was more costly and less effective in the</w:t>
      </w:r>
      <w:r w:rsidR="00C7050B">
        <w:t>:</w:t>
      </w:r>
    </w:p>
    <w:p w14:paraId="422CEA5C" w14:textId="504C828F" w:rsidR="0071671A" w:rsidRPr="004B08EF" w:rsidRDefault="00C03E77" w:rsidP="0071671A">
      <w:pPr>
        <w:pStyle w:val="Bulletindent2"/>
      </w:pPr>
      <w:r w:rsidRPr="004B08EF">
        <w:t xml:space="preserve">company </w:t>
      </w:r>
      <w:r w:rsidR="0071671A" w:rsidRPr="004B08EF">
        <w:t>base case</w:t>
      </w:r>
      <w:r w:rsidR="005149B6" w:rsidRPr="004B08EF">
        <w:t xml:space="preserve"> (without modelling errors corrected by the ERG)</w:t>
      </w:r>
    </w:p>
    <w:p w14:paraId="3821FAAA" w14:textId="77777777" w:rsidR="0071671A" w:rsidRPr="004B08EF" w:rsidRDefault="0071671A" w:rsidP="0071671A">
      <w:pPr>
        <w:pStyle w:val="Bulletindent2"/>
      </w:pPr>
      <w:r w:rsidRPr="004B08EF">
        <w:t>ERG base case</w:t>
      </w:r>
    </w:p>
    <w:p w14:paraId="621FDEDB" w14:textId="368D3408" w:rsidR="0071671A" w:rsidRPr="0012040E" w:rsidRDefault="0071671A" w:rsidP="0071671A">
      <w:pPr>
        <w:pStyle w:val="Bulletindent2"/>
      </w:pPr>
      <w:r w:rsidRPr="004B08EF">
        <w:t>ERG sequence model with common baselines</w:t>
      </w:r>
      <w:r w:rsidR="00C03E77" w:rsidRPr="004B08EF">
        <w:t>.</w:t>
      </w:r>
    </w:p>
    <w:p w14:paraId="2D58EDDE" w14:textId="6181F575" w:rsidR="00624594" w:rsidRPr="004B08EF" w:rsidRDefault="00FE0749" w:rsidP="001525A3">
      <w:pPr>
        <w:pStyle w:val="NICEnormalindented"/>
        <w:spacing w:before="240"/>
      </w:pPr>
      <w:r w:rsidRPr="004B08EF">
        <w:t xml:space="preserve">The committee concluded that secukinumab </w:t>
      </w:r>
      <w:r w:rsidR="00C03E77" w:rsidRPr="004B08EF">
        <w:t>had</w:t>
      </w:r>
      <w:r w:rsidRPr="004B08EF">
        <w:t xml:space="preserve"> fewer QALYs in all the company and ERG’s analyses</w:t>
      </w:r>
      <w:r w:rsidR="00634CCA" w:rsidRPr="004B08EF">
        <w:t xml:space="preserve">. The committee did not consider the difference in QALYs to be minimal and noted in most analyses the costs of secukinumab were also higher than TNF-alpha inhibitors. </w:t>
      </w:r>
      <w:r w:rsidR="00FF3B92">
        <w:t>For the full population covered by the marketing authorisation, the</w:t>
      </w:r>
      <w:r w:rsidR="00FF3B92" w:rsidRPr="004B08EF">
        <w:t xml:space="preserve"> </w:t>
      </w:r>
      <w:r w:rsidR="00634CCA" w:rsidRPr="004B08EF">
        <w:t xml:space="preserve">committee did not consider secukinumab to be </w:t>
      </w:r>
      <w:r w:rsidR="00C03E77" w:rsidRPr="004B08EF">
        <w:t>cost</w:t>
      </w:r>
      <w:r w:rsidR="006475C8">
        <w:t xml:space="preserve"> effective</w:t>
      </w:r>
      <w:r w:rsidR="00C03E77" w:rsidRPr="004B08EF">
        <w:t xml:space="preserve"> </w:t>
      </w:r>
      <w:r w:rsidR="00D34344">
        <w:t>compared with TNF-alpha inhibitors for treating non-radiographic axial spondyloarthritis</w:t>
      </w:r>
      <w:r w:rsidR="00FF3B92">
        <w:t>.</w:t>
      </w:r>
      <w:r w:rsidR="001525A3">
        <w:t xml:space="preserve"> </w:t>
      </w:r>
      <w:r w:rsidR="0072429D">
        <w:t xml:space="preserve"> </w:t>
      </w:r>
    </w:p>
    <w:p w14:paraId="08CDBCB5" w14:textId="51B27C38" w:rsidR="00FE0749" w:rsidRPr="004B08EF" w:rsidRDefault="00446455" w:rsidP="00CF08F4">
      <w:pPr>
        <w:pStyle w:val="Heading3"/>
      </w:pPr>
      <w:r w:rsidRPr="004B08EF">
        <w:t>S</w:t>
      </w:r>
      <w:r w:rsidR="00FE0749" w:rsidRPr="004B08EF">
        <w:t>ecukinumab</w:t>
      </w:r>
      <w:r w:rsidR="00CB536E" w:rsidRPr="004B08EF">
        <w:t xml:space="preserve"> is cost</w:t>
      </w:r>
      <w:r w:rsidR="000762CE">
        <w:t xml:space="preserve"> </w:t>
      </w:r>
      <w:r w:rsidR="00CB536E" w:rsidRPr="004B08EF">
        <w:t>effective</w:t>
      </w:r>
      <w:r w:rsidR="00FE0749" w:rsidRPr="004B08EF">
        <w:t xml:space="preserve"> </w:t>
      </w:r>
      <w:r w:rsidR="00415927" w:rsidRPr="00415927">
        <w:t>for people who would</w:t>
      </w:r>
      <w:r w:rsidR="00E9328D">
        <w:t xml:space="preserve"> otherwise</w:t>
      </w:r>
      <w:r w:rsidR="00415927" w:rsidRPr="00415927">
        <w:t xml:space="preserve"> have conventional care </w:t>
      </w:r>
    </w:p>
    <w:p w14:paraId="47ACF25D" w14:textId="47544DB4" w:rsidR="0071671A" w:rsidRPr="004B08EF" w:rsidRDefault="00D34344" w:rsidP="0071671A">
      <w:pPr>
        <w:pStyle w:val="Numberedlevel2text"/>
        <w:rPr>
          <w:lang w:val="en-GB"/>
        </w:rPr>
      </w:pPr>
      <w:r>
        <w:rPr>
          <w:lang w:val="en-GB"/>
        </w:rPr>
        <w:t>Compared with</w:t>
      </w:r>
      <w:r w:rsidR="0071671A" w:rsidRPr="004B08EF">
        <w:rPr>
          <w:lang w:val="en-GB"/>
        </w:rPr>
        <w:t xml:space="preserve"> conventional care, secukinumab gave </w:t>
      </w:r>
      <w:r w:rsidR="00D53956" w:rsidRPr="004B08EF">
        <w:rPr>
          <w:lang w:val="en-GB"/>
        </w:rPr>
        <w:t>incremental cost-effectiveness ratios (</w:t>
      </w:r>
      <w:r w:rsidR="00553330" w:rsidRPr="004B08EF">
        <w:rPr>
          <w:lang w:val="en-GB"/>
        </w:rPr>
        <w:t>ICER</w:t>
      </w:r>
      <w:r w:rsidR="00A75774" w:rsidRPr="004B08EF">
        <w:rPr>
          <w:lang w:val="en-GB"/>
        </w:rPr>
        <w:t>s</w:t>
      </w:r>
      <w:r w:rsidR="00D53956" w:rsidRPr="004B08EF">
        <w:rPr>
          <w:lang w:val="en-GB"/>
        </w:rPr>
        <w:t>)</w:t>
      </w:r>
      <w:r w:rsidR="0071671A" w:rsidRPr="004B08EF">
        <w:rPr>
          <w:lang w:val="en-GB"/>
        </w:rPr>
        <w:t xml:space="preserve"> of:</w:t>
      </w:r>
    </w:p>
    <w:p w14:paraId="39BB7BDD" w14:textId="775F49F6" w:rsidR="00FE0749" w:rsidRPr="004B08EF" w:rsidRDefault="000050C9" w:rsidP="0071671A">
      <w:pPr>
        <w:pStyle w:val="Bulletindent1"/>
      </w:pPr>
      <w:r w:rsidRPr="004B08EF">
        <w:t>£</w:t>
      </w:r>
      <w:r w:rsidR="00E138B8" w:rsidRPr="004B08EF">
        <w:t>5,413</w:t>
      </w:r>
      <w:r w:rsidRPr="004B08EF">
        <w:t xml:space="preserve"> </w:t>
      </w:r>
      <w:r w:rsidR="00FE0749" w:rsidRPr="004B08EF">
        <w:t>per QALY gained in</w:t>
      </w:r>
      <w:r w:rsidR="00C03E77" w:rsidRPr="004B08EF">
        <w:t xml:space="preserve"> the</w:t>
      </w:r>
      <w:r w:rsidR="00FE0749" w:rsidRPr="004B08EF">
        <w:t xml:space="preserve"> company base case</w:t>
      </w:r>
      <w:r w:rsidR="00E138B8" w:rsidRPr="004B08EF">
        <w:t xml:space="preserve"> (with modelling errors corrected by the ERG)</w:t>
      </w:r>
    </w:p>
    <w:p w14:paraId="743B00D8" w14:textId="73E79195" w:rsidR="00FE0749" w:rsidRPr="004B08EF" w:rsidRDefault="000050C9" w:rsidP="0071671A">
      <w:pPr>
        <w:pStyle w:val="Bulletindent1"/>
      </w:pPr>
      <w:r w:rsidRPr="004B08EF">
        <w:t>£</w:t>
      </w:r>
      <w:r w:rsidR="00E138B8" w:rsidRPr="004B08EF">
        <w:t>8,399</w:t>
      </w:r>
      <w:r w:rsidRPr="004B08EF">
        <w:t xml:space="preserve"> </w:t>
      </w:r>
      <w:r w:rsidR="00FE0749" w:rsidRPr="004B08EF">
        <w:t>per QALY gained in ERG base case</w:t>
      </w:r>
    </w:p>
    <w:p w14:paraId="261AC27B" w14:textId="2A3007A7" w:rsidR="00FE0749" w:rsidRPr="004B08EF" w:rsidRDefault="00EC2C5E" w:rsidP="0071671A">
      <w:pPr>
        <w:pStyle w:val="Bulletindent1"/>
      </w:pPr>
      <w:r w:rsidRPr="004B08EF">
        <w:lastRenderedPageBreak/>
        <w:t>£</w:t>
      </w:r>
      <w:r w:rsidR="00E138B8" w:rsidRPr="004B08EF">
        <w:t>7,727</w:t>
      </w:r>
      <w:r w:rsidR="00FE0749" w:rsidRPr="004B08EF">
        <w:t xml:space="preserve"> per QALY gained using ERG base</w:t>
      </w:r>
      <w:r w:rsidR="00D53956" w:rsidRPr="004B08EF">
        <w:t>-</w:t>
      </w:r>
      <w:r w:rsidR="00FE0749" w:rsidRPr="004B08EF">
        <w:t>case assumptions but assuming common baselines</w:t>
      </w:r>
    </w:p>
    <w:p w14:paraId="52D6397F" w14:textId="4C4667E2" w:rsidR="00FE0749" w:rsidRPr="004B08EF" w:rsidRDefault="00EC2C5E" w:rsidP="00C64A7D">
      <w:pPr>
        <w:pStyle w:val="Bulletindent1last"/>
      </w:pPr>
      <w:r w:rsidRPr="004B08EF">
        <w:t>£</w:t>
      </w:r>
      <w:r w:rsidR="00F97118" w:rsidRPr="004B08EF">
        <w:t>19,421</w:t>
      </w:r>
      <w:r w:rsidR="00FE0749" w:rsidRPr="004B08EF">
        <w:t xml:space="preserve"> per QALY gained in the ERG base case for </w:t>
      </w:r>
      <w:r w:rsidR="00C03E77" w:rsidRPr="004B08EF">
        <w:t>second-</w:t>
      </w:r>
      <w:r w:rsidR="00FE0749" w:rsidRPr="004B08EF">
        <w:t>line treatments</w:t>
      </w:r>
      <w:r w:rsidR="00C03E77" w:rsidRPr="004B08EF">
        <w:t>.</w:t>
      </w:r>
    </w:p>
    <w:p w14:paraId="44A97325" w14:textId="281A19C9" w:rsidR="00415927" w:rsidRDefault="00FE0749" w:rsidP="001525A3">
      <w:pPr>
        <w:pStyle w:val="Bulletindent1"/>
        <w:numPr>
          <w:ilvl w:val="0"/>
          <w:numId w:val="0"/>
        </w:numPr>
        <w:ind w:left="1134"/>
      </w:pPr>
      <w:r w:rsidRPr="004B08EF">
        <w:t>The committee noted that these estimates were for the whole population</w:t>
      </w:r>
      <w:r w:rsidR="00EE1AE8">
        <w:t>,</w:t>
      </w:r>
      <w:r w:rsidRPr="004B08EF">
        <w:t xml:space="preserve"> not just people for whom TNF-alpha inhibitors were contraindicated or unsuitable</w:t>
      </w:r>
      <w:r w:rsidR="000522A9" w:rsidRPr="004B08EF">
        <w:t>.</w:t>
      </w:r>
      <w:r w:rsidR="00EC2C5E" w:rsidRPr="004B08EF">
        <w:t xml:space="preserve"> </w:t>
      </w:r>
      <w:r w:rsidR="005149B6" w:rsidRPr="004B08EF">
        <w:t xml:space="preserve">There were no data to determine if these results would be different in the subgroup of people </w:t>
      </w:r>
      <w:r w:rsidR="007D438E">
        <w:t>who cannot have</w:t>
      </w:r>
      <w:r w:rsidR="005149B6" w:rsidRPr="004B08EF">
        <w:t xml:space="preserve"> TNF-alpha inhibitors or whose condition had not responded to a TNF-alpha inhibitor. However, given the ICERs were lower than £20,000 in the whole population it was reasonable to consider secukinumab a </w:t>
      </w:r>
      <w:r w:rsidR="00553330" w:rsidRPr="004B08EF">
        <w:t xml:space="preserve">cost-effective </w:t>
      </w:r>
      <w:r w:rsidR="005149B6" w:rsidRPr="004B08EF">
        <w:t xml:space="preserve">use of NHS resources </w:t>
      </w:r>
      <w:r w:rsidR="00553330" w:rsidRPr="004B08EF">
        <w:t xml:space="preserve">for </w:t>
      </w:r>
      <w:r w:rsidR="005149B6" w:rsidRPr="004B08EF">
        <w:t>people who would otherwise have conventional care</w:t>
      </w:r>
      <w:r w:rsidR="001525A3">
        <w:t>.</w:t>
      </w:r>
    </w:p>
    <w:p w14:paraId="10488B77" w14:textId="77777777" w:rsidR="00415927" w:rsidRDefault="00415927" w:rsidP="001525A3">
      <w:pPr>
        <w:pStyle w:val="Heading2"/>
      </w:pPr>
      <w:r>
        <w:t>Conclusion</w:t>
      </w:r>
    </w:p>
    <w:p w14:paraId="7EEA23F6" w14:textId="42E55269" w:rsidR="00FE0749" w:rsidRPr="004B08EF" w:rsidRDefault="00FE0749" w:rsidP="00FE0749">
      <w:pPr>
        <w:pStyle w:val="Heading3"/>
      </w:pPr>
      <w:r w:rsidRPr="004B08EF">
        <w:t xml:space="preserve">Secukinumab </w:t>
      </w:r>
      <w:r w:rsidR="00634CCA" w:rsidRPr="004B08EF">
        <w:t>is likely</w:t>
      </w:r>
      <w:r w:rsidR="008E7129">
        <w:t xml:space="preserve"> to </w:t>
      </w:r>
      <w:r w:rsidR="00634CCA" w:rsidRPr="004B08EF">
        <w:t>be cost</w:t>
      </w:r>
      <w:r w:rsidR="00D34344">
        <w:t xml:space="preserve"> </w:t>
      </w:r>
      <w:r w:rsidR="00634CCA" w:rsidRPr="004B08EF">
        <w:t>effective</w:t>
      </w:r>
      <w:r w:rsidR="00D34344">
        <w:t xml:space="preserve"> only</w:t>
      </w:r>
      <w:r w:rsidR="00634CCA" w:rsidRPr="004B08EF">
        <w:t xml:space="preserve"> </w:t>
      </w:r>
      <w:r w:rsidR="00981CDB">
        <w:t>if</w:t>
      </w:r>
      <w:r w:rsidR="00981CDB" w:rsidRPr="004B08EF">
        <w:t xml:space="preserve"> </w:t>
      </w:r>
      <w:r w:rsidR="008A4BDB">
        <w:t xml:space="preserve">people cannot have </w:t>
      </w:r>
      <w:r w:rsidR="004E391C" w:rsidRPr="004B08EF">
        <w:t>TNF-alpha inhibitors</w:t>
      </w:r>
      <w:r w:rsidR="00D34344">
        <w:t>,</w:t>
      </w:r>
      <w:r w:rsidR="001525A3">
        <w:t xml:space="preserve"> </w:t>
      </w:r>
      <w:r w:rsidR="00D34344">
        <w:t>so it is</w:t>
      </w:r>
      <w:r w:rsidR="001525A3">
        <w:t xml:space="preserve"> recommended for this population</w:t>
      </w:r>
    </w:p>
    <w:p w14:paraId="27DF6B47" w14:textId="204668A4" w:rsidR="000050C9" w:rsidRPr="004516FD" w:rsidRDefault="000050C9" w:rsidP="004516FD">
      <w:pPr>
        <w:pStyle w:val="Numberedlevel2text"/>
      </w:pPr>
      <w:r w:rsidRPr="004B08EF">
        <w:t xml:space="preserve">The committee considered the </w:t>
      </w:r>
      <w:r w:rsidR="00671833">
        <w:rPr>
          <w:lang w:val="en-GB"/>
        </w:rPr>
        <w:t xml:space="preserve">whole </w:t>
      </w:r>
      <w:r w:rsidRPr="004B08EF">
        <w:t xml:space="preserve">population </w:t>
      </w:r>
      <w:r w:rsidR="00C33205" w:rsidRPr="004B08EF">
        <w:t>eligible for</w:t>
      </w:r>
      <w:r w:rsidRPr="004B08EF">
        <w:t xml:space="preserve"> TNF-alpha inhibitors and noted that, </w:t>
      </w:r>
      <w:r w:rsidR="00EE1AE8">
        <w:rPr>
          <w:lang w:val="en-GB"/>
        </w:rPr>
        <w:t>considering</w:t>
      </w:r>
      <w:r w:rsidRPr="004B08EF">
        <w:t xml:space="preserve"> the PAS price for secukinumab and the discounted NHS Commercial Medicines Unit prices for adalimumab biosimilar and etanercept, secukinumab was not cost</w:t>
      </w:r>
      <w:r w:rsidR="006475C8">
        <w:t xml:space="preserve"> </w:t>
      </w:r>
      <w:r w:rsidRPr="004B08EF">
        <w:t xml:space="preserve">effective. It </w:t>
      </w:r>
      <w:r w:rsidR="005149B6" w:rsidRPr="004B08EF">
        <w:t xml:space="preserve">recalled that secukinumab gave fewer QALYs </w:t>
      </w:r>
      <w:r w:rsidR="00E365A2" w:rsidRPr="004B08EF">
        <w:t xml:space="preserve">and </w:t>
      </w:r>
      <w:r w:rsidR="00EC41C6" w:rsidRPr="004B08EF">
        <w:t>the</w:t>
      </w:r>
      <w:r w:rsidRPr="004B08EF">
        <w:t xml:space="preserve"> costs for </w:t>
      </w:r>
      <w:r w:rsidR="0044547D" w:rsidRPr="004B08EF">
        <w:t>secukinumab</w:t>
      </w:r>
      <w:r w:rsidR="00A06A9C" w:rsidRPr="004B08EF">
        <w:t xml:space="preserve"> are</w:t>
      </w:r>
      <w:r w:rsidRPr="004B08EF">
        <w:t xml:space="preserve"> generally higher than </w:t>
      </w:r>
      <w:r w:rsidR="00EC41C6" w:rsidRPr="004B08EF">
        <w:t xml:space="preserve">for </w:t>
      </w:r>
      <w:r w:rsidRPr="004B08EF">
        <w:t>TNF-alpha inhibitors</w:t>
      </w:r>
      <w:r w:rsidR="008A4BDB">
        <w:t>.</w:t>
      </w:r>
      <w:r w:rsidRPr="004B08EF">
        <w:t xml:space="preserve"> The committee considered the population </w:t>
      </w:r>
      <w:r w:rsidR="00553330" w:rsidRPr="004B08EF">
        <w:t xml:space="preserve">who </w:t>
      </w:r>
      <w:r w:rsidR="00D34344">
        <w:rPr>
          <w:lang w:val="en-GB"/>
        </w:rPr>
        <w:t>cannot</w:t>
      </w:r>
      <w:r w:rsidRPr="004B08EF">
        <w:t xml:space="preserve"> have TNF-alpha inhibitors (for whom conventional care would be the appropriate comparator) and noted that the ICERs for secukinumab compared with conventional care </w:t>
      </w:r>
      <w:r w:rsidR="00874743" w:rsidRPr="004B08EF">
        <w:t xml:space="preserve">were </w:t>
      </w:r>
      <w:r w:rsidRPr="004B08EF">
        <w:t xml:space="preserve">less than £20,000 per QALY gained. </w:t>
      </w:r>
      <w:r w:rsidR="00E365A2" w:rsidRPr="004B08EF">
        <w:t xml:space="preserve">It noted that it had only been presented with </w:t>
      </w:r>
      <w:r w:rsidR="00874743" w:rsidRPr="004B08EF">
        <w:t>cost-</w:t>
      </w:r>
      <w:r w:rsidR="00E365A2" w:rsidRPr="004B08EF">
        <w:t xml:space="preserve">effectiveness estimates for secukinumab compared with conventional care for the whole population, but </w:t>
      </w:r>
      <w:r w:rsidR="00EF4D0F" w:rsidRPr="004B08EF">
        <w:t xml:space="preserve">considered that secukinumab was </w:t>
      </w:r>
      <w:r w:rsidR="00E365A2" w:rsidRPr="004B08EF">
        <w:t xml:space="preserve">likely to be </w:t>
      </w:r>
      <w:r w:rsidRPr="004B08EF">
        <w:t>a cost-effective use of NHS resources</w:t>
      </w:r>
      <w:r w:rsidR="004E391C" w:rsidRPr="004B08EF">
        <w:t xml:space="preserve"> for </w:t>
      </w:r>
      <w:r w:rsidRPr="004B08EF">
        <w:t xml:space="preserve">people </w:t>
      </w:r>
      <w:r w:rsidR="008A4BDB">
        <w:t>who cannot have</w:t>
      </w:r>
      <w:r w:rsidR="004E391C" w:rsidRPr="004B08EF">
        <w:t xml:space="preserve"> TNF-alpha inhibitors</w:t>
      </w:r>
      <w:r w:rsidR="00D34344">
        <w:rPr>
          <w:lang w:val="en-GB"/>
        </w:rPr>
        <w:t>. It would</w:t>
      </w:r>
      <w:r w:rsidR="00E0321C">
        <w:t xml:space="preserve"> </w:t>
      </w:r>
      <w:r w:rsidR="00D34344">
        <w:rPr>
          <w:lang w:val="en-GB"/>
        </w:rPr>
        <w:t>also</w:t>
      </w:r>
      <w:r w:rsidR="00E365A2" w:rsidRPr="004B08EF">
        <w:t xml:space="preserve"> provide a</w:t>
      </w:r>
      <w:r w:rsidR="00EF4D0F" w:rsidRPr="004B08EF">
        <w:t>n</w:t>
      </w:r>
      <w:r w:rsidR="008369BA" w:rsidRPr="004B08EF">
        <w:t xml:space="preserve"> </w:t>
      </w:r>
      <w:r w:rsidR="00EF4D0F" w:rsidRPr="004B08EF">
        <w:t>alternat</w:t>
      </w:r>
      <w:r w:rsidR="008369BA" w:rsidRPr="004B08EF">
        <w:t>ive biologic therapy</w:t>
      </w:r>
      <w:r w:rsidR="00E365A2" w:rsidRPr="004B08EF">
        <w:t xml:space="preserve"> </w:t>
      </w:r>
      <w:r w:rsidR="008369BA" w:rsidRPr="004B08EF">
        <w:t xml:space="preserve">to address the </w:t>
      </w:r>
      <w:r w:rsidR="00E365A2" w:rsidRPr="004B08EF">
        <w:t xml:space="preserve">currently unmet need in </w:t>
      </w:r>
      <w:r w:rsidR="00D34344">
        <w:rPr>
          <w:lang w:val="en-GB"/>
        </w:rPr>
        <w:t xml:space="preserve">this </w:t>
      </w:r>
      <w:r w:rsidR="00D34344">
        <w:rPr>
          <w:lang w:val="en-GB"/>
        </w:rPr>
        <w:lastRenderedPageBreak/>
        <w:t>population</w:t>
      </w:r>
      <w:r w:rsidR="001525A3">
        <w:t xml:space="preserve">. The committee concluded that secukinumab </w:t>
      </w:r>
      <w:r w:rsidR="00D34344">
        <w:rPr>
          <w:lang w:val="en-GB"/>
        </w:rPr>
        <w:t>was</w:t>
      </w:r>
      <w:r w:rsidR="001525A3">
        <w:t xml:space="preserve"> r</w:t>
      </w:r>
      <w:r w:rsidR="00415927">
        <w:t xml:space="preserve">ecommended for </w:t>
      </w:r>
      <w:r w:rsidR="00E9328D">
        <w:t xml:space="preserve">people whose </w:t>
      </w:r>
      <w:r w:rsidR="00E9328D" w:rsidRPr="004516FD">
        <w:t xml:space="preserve">disease has responded inadequately to TNF-alpha inhibitors, or </w:t>
      </w:r>
      <w:r w:rsidR="00671833">
        <w:rPr>
          <w:lang w:val="en-GB"/>
        </w:rPr>
        <w:t>when</w:t>
      </w:r>
      <w:r w:rsidR="00E9328D" w:rsidRPr="004516FD">
        <w:t xml:space="preserve"> these are contraindicated or not suitable</w:t>
      </w:r>
      <w:r w:rsidR="00D34344">
        <w:rPr>
          <w:lang w:val="en-GB"/>
        </w:rPr>
        <w:t>.</w:t>
      </w:r>
      <w:r w:rsidR="00E9328D" w:rsidRPr="004516FD">
        <w:t xml:space="preserve"> </w:t>
      </w:r>
    </w:p>
    <w:p w14:paraId="5B92449E" w14:textId="77777777" w:rsidR="000F48EC" w:rsidRPr="004B08EF" w:rsidRDefault="000F48EC" w:rsidP="00F130AD">
      <w:pPr>
        <w:pStyle w:val="Numberedheading1"/>
      </w:pPr>
      <w:r w:rsidRPr="004B08EF">
        <w:t>Implementation</w:t>
      </w:r>
    </w:p>
    <w:p w14:paraId="1A8D3956" w14:textId="2015781E" w:rsidR="002A686F" w:rsidRPr="00C64A7D" w:rsidRDefault="00AE2DF2" w:rsidP="00C64A7D">
      <w:pPr>
        <w:pStyle w:val="Numberedlevel2text"/>
      </w:pPr>
      <w:hyperlink r:id="rId21" w:history="1">
        <w:r w:rsidR="002A686F" w:rsidRPr="004B08EF">
          <w:rPr>
            <w:rStyle w:val="Hyperlink"/>
            <w:lang w:val="en-GB"/>
          </w:rPr>
          <w:t>Section 7(6) of the National Institute for Health and Care Excellence (Constitution and Functions) and the Health and Social Care Information Centre (Functions) Regulations 2013</w:t>
        </w:r>
      </w:hyperlink>
      <w:r w:rsidR="002A686F" w:rsidRPr="004B08EF">
        <w:rPr>
          <w:lang w:val="en-GB"/>
        </w:rPr>
        <w:t xml:space="preserve"> requires clinical commissioning groups, NHS England and, with respect to their public health functions, local authorities to comply with the recommendations in this appraisal within 3 months of its date of publication. </w:t>
      </w:r>
    </w:p>
    <w:p w14:paraId="36DD5995" w14:textId="652723D1" w:rsidR="002A686F" w:rsidRPr="004B08EF" w:rsidRDefault="002A686F" w:rsidP="002A686F">
      <w:pPr>
        <w:pStyle w:val="Numberedlevel2text"/>
        <w:rPr>
          <w:lang w:val="en-GB"/>
        </w:rPr>
      </w:pPr>
      <w:r w:rsidRPr="004B08EF">
        <w:rPr>
          <w:lang w:val="en-GB"/>
        </w:rPr>
        <w:t>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 months of the first publication of the final appraisal document.</w:t>
      </w:r>
    </w:p>
    <w:p w14:paraId="4635F96E" w14:textId="26D866AE" w:rsidR="002A686F" w:rsidRPr="004B08EF" w:rsidRDefault="002A686F" w:rsidP="00D5622A">
      <w:pPr>
        <w:pStyle w:val="Numberedlevel2text"/>
        <w:rPr>
          <w:lang w:val="en-GB"/>
        </w:rPr>
      </w:pPr>
      <w:r w:rsidRPr="004B08EF">
        <w:rPr>
          <w:lang w:val="en-GB"/>
        </w:rPr>
        <w:t xml:space="preserve">When NICE recommends a treatment ‘as an option’, the NHS must make sure it is available within the period set out in the paragraphs above. This means that, if a patient has </w:t>
      </w:r>
      <w:r w:rsidR="00D5622A" w:rsidRPr="004B08EF">
        <w:rPr>
          <w:lang w:val="en-GB"/>
        </w:rPr>
        <w:t>non-radiographic axial spondyloarthritis</w:t>
      </w:r>
      <w:r w:rsidRPr="004B08EF">
        <w:rPr>
          <w:lang w:val="en-GB"/>
        </w:rPr>
        <w:t xml:space="preserve"> and the doctor responsible for their care thinks that </w:t>
      </w:r>
      <w:r w:rsidR="00D5622A" w:rsidRPr="004B08EF">
        <w:rPr>
          <w:lang w:val="en-GB"/>
        </w:rPr>
        <w:t>secukinumab</w:t>
      </w:r>
      <w:r w:rsidRPr="004B08EF">
        <w:rPr>
          <w:lang w:val="en-GB"/>
        </w:rPr>
        <w:t xml:space="preserve"> is the right treatment, it should be available for use, in line with NICE’s recommendations.</w:t>
      </w:r>
    </w:p>
    <w:p w14:paraId="07E8BCC7" w14:textId="4BA43844" w:rsidR="000F48EC" w:rsidRPr="004B08EF" w:rsidRDefault="001D3566" w:rsidP="002E73E7">
      <w:pPr>
        <w:pStyle w:val="Numberedheading1"/>
      </w:pPr>
      <w:r w:rsidRPr="004B08EF">
        <w:t xml:space="preserve">Proposed date </w:t>
      </w:r>
      <w:r w:rsidR="007A2801" w:rsidRPr="004B08EF">
        <w:t xml:space="preserve">for </w:t>
      </w:r>
      <w:r w:rsidR="00000441" w:rsidRPr="004B08EF">
        <w:t>r</w:t>
      </w:r>
      <w:r w:rsidR="000F48EC" w:rsidRPr="004B08EF">
        <w:t>eview of guidance</w:t>
      </w:r>
    </w:p>
    <w:p w14:paraId="19C3FEE0" w14:textId="32B7DA19" w:rsidR="001D3566" w:rsidRPr="004B08EF" w:rsidRDefault="001D3566" w:rsidP="001D3566">
      <w:pPr>
        <w:pStyle w:val="Numberedlevel2text"/>
        <w:rPr>
          <w:lang w:val="en-GB"/>
        </w:rPr>
      </w:pPr>
      <w:r w:rsidRPr="004B08EF">
        <w:rPr>
          <w:lang w:val="en-GB"/>
        </w:rPr>
        <w:t xml:space="preserve">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 </w:t>
      </w:r>
    </w:p>
    <w:p w14:paraId="3A33C936" w14:textId="613EF4BC" w:rsidR="004845D0" w:rsidRPr="004B08EF" w:rsidRDefault="00D5622A" w:rsidP="00ED5F88">
      <w:pPr>
        <w:pStyle w:val="NICEnormal"/>
      </w:pPr>
      <w:r w:rsidRPr="004B08EF">
        <w:lastRenderedPageBreak/>
        <w:t>Jane Adam</w:t>
      </w:r>
      <w:r w:rsidR="004845D0" w:rsidRPr="004B08EF">
        <w:br/>
        <w:t xml:space="preserve">Chair, </w:t>
      </w:r>
      <w:r w:rsidR="003847B9" w:rsidRPr="004B08EF">
        <w:t>a</w:t>
      </w:r>
      <w:r w:rsidR="004845D0" w:rsidRPr="004B08EF">
        <w:t xml:space="preserve">ppraisal </w:t>
      </w:r>
      <w:r w:rsidR="003847B9" w:rsidRPr="004B08EF">
        <w:t>c</w:t>
      </w:r>
      <w:r w:rsidR="004845D0" w:rsidRPr="004B08EF">
        <w:t>ommittee</w:t>
      </w:r>
      <w:r w:rsidR="004845D0" w:rsidRPr="004B08EF">
        <w:br/>
      </w:r>
      <w:r w:rsidRPr="004B08EF">
        <w:t>March 2021</w:t>
      </w:r>
    </w:p>
    <w:p w14:paraId="6FBADE2D" w14:textId="77777777" w:rsidR="00B16431" w:rsidRPr="004B08EF" w:rsidRDefault="00B16431" w:rsidP="00B16431">
      <w:pPr>
        <w:pStyle w:val="Numberedheading1"/>
        <w:numPr>
          <w:ilvl w:val="0"/>
          <w:numId w:val="1"/>
        </w:numPr>
      </w:pPr>
      <w:r w:rsidRPr="004B08EF">
        <w:t xml:space="preserve">Appraisal </w:t>
      </w:r>
      <w:r w:rsidR="00343B53" w:rsidRPr="004B08EF">
        <w:t>c</w:t>
      </w:r>
      <w:r w:rsidRPr="004B08EF">
        <w:t>ommittee members and NICE project team</w:t>
      </w:r>
    </w:p>
    <w:p w14:paraId="6EEA6213" w14:textId="77777777" w:rsidR="00B16431" w:rsidRPr="004B08EF" w:rsidRDefault="00B16431" w:rsidP="00B16431">
      <w:pPr>
        <w:pStyle w:val="Heading2"/>
      </w:pPr>
      <w:bookmarkStart w:id="2" w:name="_Appraisal_committee_members"/>
      <w:bookmarkEnd w:id="2"/>
      <w:r w:rsidRPr="004B08EF">
        <w:t xml:space="preserve">Appraisal </w:t>
      </w:r>
      <w:r w:rsidR="00343B53" w:rsidRPr="004B08EF">
        <w:t>c</w:t>
      </w:r>
      <w:r w:rsidRPr="004B08EF">
        <w:t>ommittee members</w:t>
      </w:r>
    </w:p>
    <w:p w14:paraId="30C16B50" w14:textId="0458591E" w:rsidR="002F2583" w:rsidRPr="004B08EF" w:rsidRDefault="002F2583" w:rsidP="002F2583">
      <w:pPr>
        <w:pStyle w:val="NICEnormal"/>
        <w:rPr>
          <w:rFonts w:eastAsia="Calibri"/>
        </w:rPr>
      </w:pPr>
      <w:r w:rsidRPr="004B08EF">
        <w:t xml:space="preserve">The 4 technology appraisal committees are standing advisory committees of NICE. This topic was considered by </w:t>
      </w:r>
      <w:hyperlink r:id="rId22" w:history="1">
        <w:r w:rsidR="00D5622A" w:rsidRPr="004B08EF">
          <w:rPr>
            <w:rStyle w:val="Hyperlink"/>
            <w:rFonts w:eastAsia="Calibri"/>
          </w:rPr>
          <w:t>committee A</w:t>
        </w:r>
      </w:hyperlink>
      <w:r w:rsidRPr="004B08EF">
        <w:t>.</w:t>
      </w:r>
    </w:p>
    <w:p w14:paraId="073EB202" w14:textId="77777777" w:rsidR="002F2583" w:rsidRPr="004B08EF" w:rsidRDefault="002F2583" w:rsidP="002F2583">
      <w:pPr>
        <w:pStyle w:val="NICEnormal"/>
      </w:pPr>
      <w:r w:rsidRPr="004B08EF">
        <w:t xml:space="preserve">Committee members are asked to declare any interests in the technology to be appraised. If it is considered there is a conflict of interest, the member is excluded from participating further in that appraisal. </w:t>
      </w:r>
    </w:p>
    <w:p w14:paraId="0B3FB751" w14:textId="77777777" w:rsidR="002F2583" w:rsidRPr="004B08EF" w:rsidRDefault="002F2583" w:rsidP="002F2583">
      <w:pPr>
        <w:pStyle w:val="NICEnormal"/>
      </w:pPr>
      <w:r w:rsidRPr="004B08EF">
        <w:t xml:space="preserve">The </w:t>
      </w:r>
      <w:hyperlink r:id="rId23" w:history="1">
        <w:r w:rsidRPr="004B08EF">
          <w:rPr>
            <w:rStyle w:val="Hyperlink"/>
            <w:rFonts w:eastAsia="Calibri"/>
          </w:rPr>
          <w:t>minutes</w:t>
        </w:r>
        <w:r w:rsidRPr="004B08EF">
          <w:rPr>
            <w:rStyle w:val="Hyperlink"/>
          </w:rPr>
          <w:t xml:space="preserve"> of each appraisal committee meeting</w:t>
        </w:r>
      </w:hyperlink>
      <w:r w:rsidRPr="004B08EF">
        <w:t>, which include the names of the members who attended and their declarations of interests, are posted on the NICE website.</w:t>
      </w:r>
    </w:p>
    <w:p w14:paraId="353C68BA" w14:textId="77777777" w:rsidR="00B16431" w:rsidRPr="004B08EF" w:rsidRDefault="00B16431" w:rsidP="00B16431">
      <w:pPr>
        <w:pStyle w:val="Heading2"/>
      </w:pPr>
      <w:r w:rsidRPr="004B08EF">
        <w:t>NICE project team</w:t>
      </w:r>
    </w:p>
    <w:p w14:paraId="698A73C5" w14:textId="5585EA4D" w:rsidR="00B16431" w:rsidRPr="004B08EF" w:rsidRDefault="00B16431" w:rsidP="00B16431">
      <w:pPr>
        <w:pStyle w:val="NICEnormal"/>
      </w:pPr>
      <w:r w:rsidRPr="004B08EF">
        <w:t xml:space="preserve">Each technology appraisal is assigned to a team consisting of 1 or more health technology analysts (who act as technical leads for the appraisal), a technical adviser and a project manager. </w:t>
      </w:r>
    </w:p>
    <w:p w14:paraId="7F88425A" w14:textId="133C445C" w:rsidR="00B16431" w:rsidRPr="004B08EF" w:rsidRDefault="00D5622A" w:rsidP="00B16431">
      <w:pPr>
        <w:pStyle w:val="NICEnormal"/>
      </w:pPr>
      <w:bookmarkStart w:id="3" w:name="Text45"/>
      <w:r w:rsidRPr="004B08EF">
        <w:rPr>
          <w:b/>
        </w:rPr>
        <w:t>Sana Khan</w:t>
      </w:r>
      <w:r w:rsidR="00B16431" w:rsidRPr="004B08EF">
        <w:br/>
        <w:t xml:space="preserve">Technical </w:t>
      </w:r>
      <w:r w:rsidR="00E65C76" w:rsidRPr="004B08EF">
        <w:t>l</w:t>
      </w:r>
      <w:r w:rsidR="00B16431" w:rsidRPr="004B08EF">
        <w:t>ead</w:t>
      </w:r>
    </w:p>
    <w:p w14:paraId="29666537" w14:textId="0D7A68D0" w:rsidR="00B16431" w:rsidRPr="004B08EF" w:rsidRDefault="00D5622A" w:rsidP="00B16431">
      <w:pPr>
        <w:pStyle w:val="NICEnormal"/>
      </w:pPr>
      <w:r w:rsidRPr="004B08EF">
        <w:rPr>
          <w:b/>
        </w:rPr>
        <w:t>Zoe Charles</w:t>
      </w:r>
      <w:r w:rsidR="001D3566" w:rsidRPr="004B08EF">
        <w:rPr>
          <w:b/>
        </w:rPr>
        <w:t xml:space="preserve"> and </w:t>
      </w:r>
      <w:r w:rsidRPr="004B08EF">
        <w:rPr>
          <w:b/>
        </w:rPr>
        <w:t>Mary Hughes</w:t>
      </w:r>
      <w:r w:rsidR="00B16431" w:rsidRPr="004B08EF">
        <w:br/>
        <w:t xml:space="preserve">Technical </w:t>
      </w:r>
      <w:r w:rsidR="00E65C76" w:rsidRPr="004B08EF">
        <w:t>a</w:t>
      </w:r>
      <w:r w:rsidR="00B16431" w:rsidRPr="004B08EF">
        <w:t>dviser</w:t>
      </w:r>
      <w:r w:rsidR="001D3566" w:rsidRPr="004B08EF">
        <w:t>s</w:t>
      </w:r>
    </w:p>
    <w:p w14:paraId="5845C5D2" w14:textId="21F5F0AC" w:rsidR="00B16431" w:rsidRPr="004B08EF" w:rsidRDefault="00D5622A" w:rsidP="005D3FD9">
      <w:pPr>
        <w:pStyle w:val="NICEnormal"/>
      </w:pPr>
      <w:r w:rsidRPr="004B08EF">
        <w:rPr>
          <w:b/>
        </w:rPr>
        <w:t>Thomas Feist</w:t>
      </w:r>
      <w:r w:rsidR="00B16431" w:rsidRPr="004B08EF">
        <w:br/>
        <w:t xml:space="preserve">Project </w:t>
      </w:r>
      <w:r w:rsidR="00E65C76" w:rsidRPr="004B08EF">
        <w:t>m</w:t>
      </w:r>
      <w:r w:rsidR="00B16431" w:rsidRPr="004B08EF">
        <w:t>anager</w:t>
      </w:r>
      <w:bookmarkEnd w:id="3"/>
    </w:p>
    <w:p w14:paraId="07C2F723" w14:textId="77777777" w:rsidR="006E7647" w:rsidRPr="004B08EF" w:rsidRDefault="006E7647" w:rsidP="00F05E37">
      <w:pPr>
        <w:pStyle w:val="NICEnormal"/>
      </w:pPr>
      <w:r w:rsidRPr="004B08EF">
        <w:t xml:space="preserve">ISBN: </w:t>
      </w:r>
      <w:r w:rsidRPr="004B08EF">
        <w:rPr>
          <w:highlight w:val="green"/>
        </w:rPr>
        <w:t>[to be added at publication]</w:t>
      </w:r>
    </w:p>
    <w:sectPr w:rsidR="006E7647" w:rsidRPr="004B08EF" w:rsidSect="00C76DDA">
      <w:headerReference w:type="default" r:id="rId24"/>
      <w:footerReference w:type="default" r:id="rId2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3CA1E" w14:textId="77777777" w:rsidR="00BB057E" w:rsidRDefault="00BB057E">
      <w:r>
        <w:separator/>
      </w:r>
    </w:p>
  </w:endnote>
  <w:endnote w:type="continuationSeparator" w:id="0">
    <w:p w14:paraId="24E93601" w14:textId="77777777" w:rsidR="00BB057E" w:rsidRDefault="00BB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54EDC" w14:textId="2C313D41" w:rsidR="006247FC" w:rsidRDefault="00BB057E" w:rsidP="007A7EC8">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s</w:t>
    </w:r>
    <w:r w:rsidRPr="00B00496">
      <w:rPr>
        <w:sz w:val="18"/>
        <w:szCs w:val="18"/>
      </w:rPr>
      <w:t>ecukinumab for treating non-radiographic axial spondyloarthritis</w:t>
    </w:r>
    <w:r>
      <w:rPr>
        <w:sz w:val="18"/>
        <w:szCs w:val="18"/>
      </w:rPr>
      <w:tab/>
    </w:r>
  </w:p>
  <w:p w14:paraId="6EA35444" w14:textId="4EEE418B" w:rsidR="00BB057E" w:rsidRDefault="00BB057E" w:rsidP="00660076">
    <w:pPr>
      <w:pStyle w:val="NICEnormalsinglespacing"/>
      <w:spacing w:after="120"/>
      <w:jc w:val="right"/>
      <w:rPr>
        <w:sz w:val="18"/>
        <w:szCs w:val="18"/>
      </w:rPr>
    </w:pP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4228E487" w14:textId="6AC04EFE" w:rsidR="00BB057E" w:rsidRDefault="00BB057E" w:rsidP="007A7EC8">
    <w:pPr>
      <w:pStyle w:val="NICEnormalsinglespacing"/>
      <w:spacing w:after="120"/>
      <w:rPr>
        <w:sz w:val="18"/>
        <w:szCs w:val="18"/>
      </w:rPr>
    </w:pPr>
    <w:r w:rsidRPr="003D33FB">
      <w:rPr>
        <w:sz w:val="18"/>
        <w:szCs w:val="18"/>
      </w:rPr>
      <w:t xml:space="preserve">Issue date: </w:t>
    </w:r>
    <w:r>
      <w:rPr>
        <w:sz w:val="18"/>
        <w:szCs w:val="18"/>
      </w:rPr>
      <w:t>March 2021</w:t>
    </w:r>
  </w:p>
  <w:p w14:paraId="35D3F5C5" w14:textId="0860E62C" w:rsidR="00BB057E" w:rsidRPr="007A7EC8" w:rsidRDefault="00BB057E"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E674A" w14:textId="77777777" w:rsidR="00BB057E" w:rsidRDefault="00BB057E">
      <w:r>
        <w:separator/>
      </w:r>
    </w:p>
  </w:footnote>
  <w:footnote w:type="continuationSeparator" w:id="0">
    <w:p w14:paraId="24B4F0E7" w14:textId="77777777" w:rsidR="00BB057E" w:rsidRDefault="00BB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6F829" w14:textId="77777777" w:rsidR="00BB057E" w:rsidRPr="004E6427" w:rsidRDefault="00BB057E"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488E2E0"/>
    <w:lvl w:ilvl="0">
      <w:numFmt w:val="bullet"/>
      <w:lvlText w:val="*"/>
      <w:lvlJc w:val="left"/>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457F1"/>
    <w:multiLevelType w:val="hybridMultilevel"/>
    <w:tmpl w:val="042C4844"/>
    <w:lvl w:ilvl="0" w:tplc="DBDC3914">
      <w:start w:val="1"/>
      <w:numFmt w:val="bullet"/>
      <w:lvlText w:val="•"/>
      <w:lvlJc w:val="left"/>
      <w:pPr>
        <w:tabs>
          <w:tab w:val="num" w:pos="720"/>
        </w:tabs>
        <w:ind w:left="720" w:hanging="360"/>
      </w:pPr>
      <w:rPr>
        <w:rFonts w:ascii="Arial" w:hAnsi="Arial" w:hint="default"/>
      </w:rPr>
    </w:lvl>
    <w:lvl w:ilvl="1" w:tplc="3A8C97B0" w:tentative="1">
      <w:start w:val="1"/>
      <w:numFmt w:val="bullet"/>
      <w:lvlText w:val="•"/>
      <w:lvlJc w:val="left"/>
      <w:pPr>
        <w:tabs>
          <w:tab w:val="num" w:pos="1440"/>
        </w:tabs>
        <w:ind w:left="1440" w:hanging="360"/>
      </w:pPr>
      <w:rPr>
        <w:rFonts w:ascii="Arial" w:hAnsi="Arial" w:hint="default"/>
      </w:rPr>
    </w:lvl>
    <w:lvl w:ilvl="2" w:tplc="D610AA28" w:tentative="1">
      <w:start w:val="1"/>
      <w:numFmt w:val="bullet"/>
      <w:lvlText w:val="•"/>
      <w:lvlJc w:val="left"/>
      <w:pPr>
        <w:tabs>
          <w:tab w:val="num" w:pos="2160"/>
        </w:tabs>
        <w:ind w:left="2160" w:hanging="360"/>
      </w:pPr>
      <w:rPr>
        <w:rFonts w:ascii="Arial" w:hAnsi="Arial" w:hint="default"/>
      </w:rPr>
    </w:lvl>
    <w:lvl w:ilvl="3" w:tplc="53A2D97C" w:tentative="1">
      <w:start w:val="1"/>
      <w:numFmt w:val="bullet"/>
      <w:lvlText w:val="•"/>
      <w:lvlJc w:val="left"/>
      <w:pPr>
        <w:tabs>
          <w:tab w:val="num" w:pos="2880"/>
        </w:tabs>
        <w:ind w:left="2880" w:hanging="360"/>
      </w:pPr>
      <w:rPr>
        <w:rFonts w:ascii="Arial" w:hAnsi="Arial" w:hint="default"/>
      </w:rPr>
    </w:lvl>
    <w:lvl w:ilvl="4" w:tplc="F9282D3E" w:tentative="1">
      <w:start w:val="1"/>
      <w:numFmt w:val="bullet"/>
      <w:lvlText w:val="•"/>
      <w:lvlJc w:val="left"/>
      <w:pPr>
        <w:tabs>
          <w:tab w:val="num" w:pos="3600"/>
        </w:tabs>
        <w:ind w:left="3600" w:hanging="360"/>
      </w:pPr>
      <w:rPr>
        <w:rFonts w:ascii="Arial" w:hAnsi="Arial" w:hint="default"/>
      </w:rPr>
    </w:lvl>
    <w:lvl w:ilvl="5" w:tplc="30EAF320" w:tentative="1">
      <w:start w:val="1"/>
      <w:numFmt w:val="bullet"/>
      <w:lvlText w:val="•"/>
      <w:lvlJc w:val="left"/>
      <w:pPr>
        <w:tabs>
          <w:tab w:val="num" w:pos="4320"/>
        </w:tabs>
        <w:ind w:left="4320" w:hanging="360"/>
      </w:pPr>
      <w:rPr>
        <w:rFonts w:ascii="Arial" w:hAnsi="Arial" w:hint="default"/>
      </w:rPr>
    </w:lvl>
    <w:lvl w:ilvl="6" w:tplc="B9440426" w:tentative="1">
      <w:start w:val="1"/>
      <w:numFmt w:val="bullet"/>
      <w:lvlText w:val="•"/>
      <w:lvlJc w:val="left"/>
      <w:pPr>
        <w:tabs>
          <w:tab w:val="num" w:pos="5040"/>
        </w:tabs>
        <w:ind w:left="5040" w:hanging="360"/>
      </w:pPr>
      <w:rPr>
        <w:rFonts w:ascii="Arial" w:hAnsi="Arial" w:hint="default"/>
      </w:rPr>
    </w:lvl>
    <w:lvl w:ilvl="7" w:tplc="99886C6A" w:tentative="1">
      <w:start w:val="1"/>
      <w:numFmt w:val="bullet"/>
      <w:lvlText w:val="•"/>
      <w:lvlJc w:val="left"/>
      <w:pPr>
        <w:tabs>
          <w:tab w:val="num" w:pos="5760"/>
        </w:tabs>
        <w:ind w:left="5760" w:hanging="360"/>
      </w:pPr>
      <w:rPr>
        <w:rFonts w:ascii="Arial" w:hAnsi="Arial" w:hint="default"/>
      </w:rPr>
    </w:lvl>
    <w:lvl w:ilvl="8" w:tplc="ACC450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5C79B0"/>
    <w:multiLevelType w:val="hybridMultilevel"/>
    <w:tmpl w:val="56128766"/>
    <w:lvl w:ilvl="0" w:tplc="BD3E9D96">
      <w:start w:val="1"/>
      <w:numFmt w:val="bullet"/>
      <w:lvlText w:val="•"/>
      <w:lvlJc w:val="left"/>
      <w:pPr>
        <w:tabs>
          <w:tab w:val="num" w:pos="720"/>
        </w:tabs>
        <w:ind w:left="720" w:hanging="360"/>
      </w:pPr>
      <w:rPr>
        <w:rFonts w:ascii="Arial" w:hAnsi="Arial" w:hint="default"/>
      </w:rPr>
    </w:lvl>
    <w:lvl w:ilvl="1" w:tplc="FA7AC004" w:tentative="1">
      <w:start w:val="1"/>
      <w:numFmt w:val="bullet"/>
      <w:lvlText w:val="•"/>
      <w:lvlJc w:val="left"/>
      <w:pPr>
        <w:tabs>
          <w:tab w:val="num" w:pos="1440"/>
        </w:tabs>
        <w:ind w:left="1440" w:hanging="360"/>
      </w:pPr>
      <w:rPr>
        <w:rFonts w:ascii="Arial" w:hAnsi="Arial" w:hint="default"/>
      </w:rPr>
    </w:lvl>
    <w:lvl w:ilvl="2" w:tplc="09404C88" w:tentative="1">
      <w:start w:val="1"/>
      <w:numFmt w:val="bullet"/>
      <w:lvlText w:val="•"/>
      <w:lvlJc w:val="left"/>
      <w:pPr>
        <w:tabs>
          <w:tab w:val="num" w:pos="2160"/>
        </w:tabs>
        <w:ind w:left="2160" w:hanging="360"/>
      </w:pPr>
      <w:rPr>
        <w:rFonts w:ascii="Arial" w:hAnsi="Arial" w:hint="default"/>
      </w:rPr>
    </w:lvl>
    <w:lvl w:ilvl="3" w:tplc="7E4ED804" w:tentative="1">
      <w:start w:val="1"/>
      <w:numFmt w:val="bullet"/>
      <w:lvlText w:val="•"/>
      <w:lvlJc w:val="left"/>
      <w:pPr>
        <w:tabs>
          <w:tab w:val="num" w:pos="2880"/>
        </w:tabs>
        <w:ind w:left="2880" w:hanging="360"/>
      </w:pPr>
      <w:rPr>
        <w:rFonts w:ascii="Arial" w:hAnsi="Arial" w:hint="default"/>
      </w:rPr>
    </w:lvl>
    <w:lvl w:ilvl="4" w:tplc="A3DEEFD4" w:tentative="1">
      <w:start w:val="1"/>
      <w:numFmt w:val="bullet"/>
      <w:lvlText w:val="•"/>
      <w:lvlJc w:val="left"/>
      <w:pPr>
        <w:tabs>
          <w:tab w:val="num" w:pos="3600"/>
        </w:tabs>
        <w:ind w:left="3600" w:hanging="360"/>
      </w:pPr>
      <w:rPr>
        <w:rFonts w:ascii="Arial" w:hAnsi="Arial" w:hint="default"/>
      </w:rPr>
    </w:lvl>
    <w:lvl w:ilvl="5" w:tplc="5C7EDC30" w:tentative="1">
      <w:start w:val="1"/>
      <w:numFmt w:val="bullet"/>
      <w:lvlText w:val="•"/>
      <w:lvlJc w:val="left"/>
      <w:pPr>
        <w:tabs>
          <w:tab w:val="num" w:pos="4320"/>
        </w:tabs>
        <w:ind w:left="4320" w:hanging="360"/>
      </w:pPr>
      <w:rPr>
        <w:rFonts w:ascii="Arial" w:hAnsi="Arial" w:hint="default"/>
      </w:rPr>
    </w:lvl>
    <w:lvl w:ilvl="6" w:tplc="B09A7CA8" w:tentative="1">
      <w:start w:val="1"/>
      <w:numFmt w:val="bullet"/>
      <w:lvlText w:val="•"/>
      <w:lvlJc w:val="left"/>
      <w:pPr>
        <w:tabs>
          <w:tab w:val="num" w:pos="5040"/>
        </w:tabs>
        <w:ind w:left="5040" w:hanging="360"/>
      </w:pPr>
      <w:rPr>
        <w:rFonts w:ascii="Arial" w:hAnsi="Arial" w:hint="default"/>
      </w:rPr>
    </w:lvl>
    <w:lvl w:ilvl="7" w:tplc="A3963BBC" w:tentative="1">
      <w:start w:val="1"/>
      <w:numFmt w:val="bullet"/>
      <w:lvlText w:val="•"/>
      <w:lvlJc w:val="left"/>
      <w:pPr>
        <w:tabs>
          <w:tab w:val="num" w:pos="5760"/>
        </w:tabs>
        <w:ind w:left="5760" w:hanging="360"/>
      </w:pPr>
      <w:rPr>
        <w:rFonts w:ascii="Arial" w:hAnsi="Arial" w:hint="default"/>
      </w:rPr>
    </w:lvl>
    <w:lvl w:ilvl="8" w:tplc="F8B6E1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2"/>
  </w:num>
  <w:num w:numId="3">
    <w:abstractNumId w:val="18"/>
  </w:num>
  <w:num w:numId="4">
    <w:abstractNumId w:val="12"/>
  </w:num>
  <w:num w:numId="5">
    <w:abstractNumId w:val="13"/>
  </w:num>
  <w:num w:numId="6">
    <w:abstractNumId w:val="1"/>
  </w:num>
  <w:num w:numId="7">
    <w:abstractNumId w:val="3"/>
  </w:num>
  <w:num w:numId="8">
    <w:abstractNumId w:val="5"/>
  </w:num>
  <w:num w:numId="9">
    <w:abstractNumId w:val="8"/>
  </w:num>
  <w:num w:numId="10">
    <w:abstractNumId w:val="9"/>
  </w:num>
  <w:num w:numId="11">
    <w:abstractNumId w:val="11"/>
  </w:num>
  <w:num w:numId="12">
    <w:abstractNumId w:val="10"/>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16"/>
  </w:num>
  <w:num w:numId="23">
    <w:abstractNumId w:val="17"/>
  </w:num>
  <w:num w:numId="24">
    <w:abstractNumId w:val="9"/>
  </w:num>
  <w:num w:numId="25">
    <w:abstractNumId w:val="16"/>
  </w:num>
  <w:num w:numId="26">
    <w:abstractNumId w:val="14"/>
  </w:num>
  <w:num w:numId="27">
    <w:abstractNumId w:val="9"/>
    <w:lvlOverride w:ilvl="0">
      <w:lvl w:ilvl="0">
        <w:start w:val="1"/>
        <w:numFmt w:val="decimal"/>
        <w:pStyle w:val="Numberedheading1"/>
        <w:lvlText w:val="%1"/>
        <w:lvlJc w:val="left"/>
        <w:pPr>
          <w:tabs>
            <w:tab w:val="num" w:pos="1134"/>
          </w:tabs>
          <w:ind w:left="1134" w:hanging="1134"/>
        </w:pPr>
        <w:rPr>
          <w:rFonts w:hint="default"/>
        </w:rPr>
      </w:lvl>
    </w:lvlOverride>
    <w:lvlOverride w:ilvl="1">
      <w:lvl w:ilvl="1">
        <w:start w:val="1"/>
        <w:numFmt w:val="decimal"/>
        <w:pStyle w:val="Numberedlevel2text"/>
        <w:lvlText w:val="%1.%2"/>
        <w:lvlJc w:val="left"/>
        <w:pPr>
          <w:tabs>
            <w:tab w:val="num" w:pos="1134"/>
          </w:tabs>
          <w:ind w:left="1134" w:hanging="1134"/>
        </w:pPr>
        <w:rPr>
          <w:rFonts w:ascii="Arial" w:hAnsi="Arial"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decimal"/>
        <w:lvlText w:val="%1.%2.%3.%4.%5."/>
        <w:lvlJc w:val="left"/>
        <w:pPr>
          <w:tabs>
            <w:tab w:val="num" w:pos="4320"/>
          </w:tabs>
          <w:ind w:left="2232" w:hanging="792"/>
        </w:pPr>
        <w:rPr>
          <w:rFonts w:hint="default"/>
        </w:rPr>
      </w:lvl>
    </w:lvlOverride>
    <w:lvlOverride w:ilvl="5">
      <w:lvl w:ilvl="5">
        <w:start w:val="1"/>
        <w:numFmt w:val="decimal"/>
        <w:lvlText w:val="%1.%2.%3.%4.%5.%6."/>
        <w:lvlJc w:val="left"/>
        <w:pPr>
          <w:tabs>
            <w:tab w:val="num" w:pos="5400"/>
          </w:tabs>
          <w:ind w:left="2736" w:hanging="936"/>
        </w:pPr>
        <w:rPr>
          <w:rFonts w:hint="default"/>
        </w:rPr>
      </w:lvl>
    </w:lvlOverride>
    <w:lvlOverride w:ilvl="6">
      <w:lvl w:ilvl="6">
        <w:start w:val="1"/>
        <w:numFmt w:val="decimal"/>
        <w:lvlText w:val="%1.%2.%3.%4.%5.%6.%7."/>
        <w:lvlJc w:val="left"/>
        <w:pPr>
          <w:tabs>
            <w:tab w:val="num" w:pos="6480"/>
          </w:tabs>
          <w:ind w:left="3240" w:hanging="1080"/>
        </w:pPr>
        <w:rPr>
          <w:rFonts w:hint="default"/>
        </w:rPr>
      </w:lvl>
    </w:lvlOverride>
    <w:lvlOverride w:ilvl="7">
      <w:lvl w:ilvl="7">
        <w:start w:val="1"/>
        <w:numFmt w:val="decimal"/>
        <w:lvlText w:val="%1.%2.%3.%4.%5.%6.%7.%8."/>
        <w:lvlJc w:val="left"/>
        <w:pPr>
          <w:tabs>
            <w:tab w:val="num" w:pos="7200"/>
          </w:tabs>
          <w:ind w:left="3744" w:hanging="1224"/>
        </w:pPr>
        <w:rPr>
          <w:rFonts w:hint="default"/>
        </w:rPr>
      </w:lvl>
    </w:lvlOverride>
    <w:lvlOverride w:ilvl="8">
      <w:lvl w:ilvl="8">
        <w:start w:val="1"/>
        <w:numFmt w:val="decimal"/>
        <w:lvlText w:val="%1.%2.%3.%4.%5.%6.%7.%8.%9."/>
        <w:lvlJc w:val="left"/>
        <w:pPr>
          <w:tabs>
            <w:tab w:val="num" w:pos="8280"/>
          </w:tabs>
          <w:ind w:left="4320" w:hanging="1440"/>
        </w:pPr>
        <w:rPr>
          <w:rFonts w:hint="default"/>
        </w:rPr>
      </w:lvl>
    </w:lvlOverride>
  </w:num>
  <w:num w:numId="28">
    <w:abstractNumId w:val="7"/>
  </w:num>
  <w:num w:numId="29">
    <w:abstractNumId w:val="0"/>
    <w:lvlOverride w:ilvl="0">
      <w:lvl w:ilvl="0">
        <w:numFmt w:val="bullet"/>
        <w:lvlText w:val="•"/>
        <w:legacy w:legacy="1" w:legacySpace="0" w:legacyIndent="0"/>
        <w:lvlJc w:val="left"/>
        <w:rPr>
          <w:rFonts w:ascii="Arial" w:hAnsi="Arial" w:cs="Arial" w:hint="default"/>
          <w:sz w:val="36"/>
        </w:rPr>
      </w:lvl>
    </w:lvlOverride>
  </w:num>
  <w:num w:numId="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8C"/>
    <w:rsid w:val="00000441"/>
    <w:rsid w:val="0000494B"/>
    <w:rsid w:val="000050C9"/>
    <w:rsid w:val="00006590"/>
    <w:rsid w:val="000069A4"/>
    <w:rsid w:val="000069F9"/>
    <w:rsid w:val="00006C62"/>
    <w:rsid w:val="0000727D"/>
    <w:rsid w:val="000119FB"/>
    <w:rsid w:val="0001352C"/>
    <w:rsid w:val="00014990"/>
    <w:rsid w:val="00016A22"/>
    <w:rsid w:val="00016E5E"/>
    <w:rsid w:val="0001744C"/>
    <w:rsid w:val="00017610"/>
    <w:rsid w:val="00017B74"/>
    <w:rsid w:val="000205C6"/>
    <w:rsid w:val="00021DAF"/>
    <w:rsid w:val="00021FB0"/>
    <w:rsid w:val="000221AA"/>
    <w:rsid w:val="000224AC"/>
    <w:rsid w:val="00022837"/>
    <w:rsid w:val="0002331F"/>
    <w:rsid w:val="00023F26"/>
    <w:rsid w:val="000249F8"/>
    <w:rsid w:val="00026E82"/>
    <w:rsid w:val="00030676"/>
    <w:rsid w:val="00030714"/>
    <w:rsid w:val="000315B2"/>
    <w:rsid w:val="0003322C"/>
    <w:rsid w:val="00033E7C"/>
    <w:rsid w:val="00034110"/>
    <w:rsid w:val="0003552F"/>
    <w:rsid w:val="00035AC1"/>
    <w:rsid w:val="00035B4B"/>
    <w:rsid w:val="000368FC"/>
    <w:rsid w:val="000376EE"/>
    <w:rsid w:val="00040B28"/>
    <w:rsid w:val="000421F8"/>
    <w:rsid w:val="00043262"/>
    <w:rsid w:val="00045528"/>
    <w:rsid w:val="000464B5"/>
    <w:rsid w:val="00052063"/>
    <w:rsid w:val="000522A9"/>
    <w:rsid w:val="00055DDF"/>
    <w:rsid w:val="00057724"/>
    <w:rsid w:val="000615B5"/>
    <w:rsid w:val="00061C83"/>
    <w:rsid w:val="00063664"/>
    <w:rsid w:val="0006624B"/>
    <w:rsid w:val="000711F1"/>
    <w:rsid w:val="00071B39"/>
    <w:rsid w:val="00073DA8"/>
    <w:rsid w:val="000755E6"/>
    <w:rsid w:val="000762CE"/>
    <w:rsid w:val="000764D3"/>
    <w:rsid w:val="0007791A"/>
    <w:rsid w:val="00080A47"/>
    <w:rsid w:val="00082F77"/>
    <w:rsid w:val="00085C5A"/>
    <w:rsid w:val="000862FC"/>
    <w:rsid w:val="00086922"/>
    <w:rsid w:val="00087323"/>
    <w:rsid w:val="000879ED"/>
    <w:rsid w:val="00093649"/>
    <w:rsid w:val="00096246"/>
    <w:rsid w:val="000A0A6E"/>
    <w:rsid w:val="000A3410"/>
    <w:rsid w:val="000A4016"/>
    <w:rsid w:val="000A6C40"/>
    <w:rsid w:val="000B0BDD"/>
    <w:rsid w:val="000B1027"/>
    <w:rsid w:val="000B70D6"/>
    <w:rsid w:val="000B7F7A"/>
    <w:rsid w:val="000C04A1"/>
    <w:rsid w:val="000C194F"/>
    <w:rsid w:val="000C2222"/>
    <w:rsid w:val="000C52A5"/>
    <w:rsid w:val="000C55A8"/>
    <w:rsid w:val="000D09ED"/>
    <w:rsid w:val="000D0A87"/>
    <w:rsid w:val="000D0FB1"/>
    <w:rsid w:val="000D11B8"/>
    <w:rsid w:val="000D145B"/>
    <w:rsid w:val="000D6016"/>
    <w:rsid w:val="000D6F37"/>
    <w:rsid w:val="000D7185"/>
    <w:rsid w:val="000E08F4"/>
    <w:rsid w:val="000E1CED"/>
    <w:rsid w:val="000E1F42"/>
    <w:rsid w:val="000E24BD"/>
    <w:rsid w:val="000E29D1"/>
    <w:rsid w:val="000E629F"/>
    <w:rsid w:val="000E6839"/>
    <w:rsid w:val="000E6F19"/>
    <w:rsid w:val="000F1B3B"/>
    <w:rsid w:val="000F1E3F"/>
    <w:rsid w:val="000F3DBC"/>
    <w:rsid w:val="000F48EC"/>
    <w:rsid w:val="000F5D8D"/>
    <w:rsid w:val="000F6866"/>
    <w:rsid w:val="001009FB"/>
    <w:rsid w:val="00100F0A"/>
    <w:rsid w:val="001017A9"/>
    <w:rsid w:val="00101F34"/>
    <w:rsid w:val="001030E1"/>
    <w:rsid w:val="001033D5"/>
    <w:rsid w:val="001039F7"/>
    <w:rsid w:val="00105409"/>
    <w:rsid w:val="00107DBD"/>
    <w:rsid w:val="00113666"/>
    <w:rsid w:val="00113B71"/>
    <w:rsid w:val="001169FE"/>
    <w:rsid w:val="00116D19"/>
    <w:rsid w:val="00117513"/>
    <w:rsid w:val="0012040E"/>
    <w:rsid w:val="001209CD"/>
    <w:rsid w:val="00120D64"/>
    <w:rsid w:val="00121E78"/>
    <w:rsid w:val="001230AC"/>
    <w:rsid w:val="00123F4B"/>
    <w:rsid w:val="00124604"/>
    <w:rsid w:val="001265C0"/>
    <w:rsid w:val="00126EA3"/>
    <w:rsid w:val="001272B7"/>
    <w:rsid w:val="001311E8"/>
    <w:rsid w:val="001328BB"/>
    <w:rsid w:val="001337B7"/>
    <w:rsid w:val="00133921"/>
    <w:rsid w:val="001344B3"/>
    <w:rsid w:val="001360A5"/>
    <w:rsid w:val="00140C93"/>
    <w:rsid w:val="00143536"/>
    <w:rsid w:val="00145B2F"/>
    <w:rsid w:val="001464B2"/>
    <w:rsid w:val="00150440"/>
    <w:rsid w:val="00151D8E"/>
    <w:rsid w:val="001525A3"/>
    <w:rsid w:val="0015310A"/>
    <w:rsid w:val="001570BC"/>
    <w:rsid w:val="001579BF"/>
    <w:rsid w:val="00160738"/>
    <w:rsid w:val="00161AA0"/>
    <w:rsid w:val="001662BC"/>
    <w:rsid w:val="0017072D"/>
    <w:rsid w:val="00170B60"/>
    <w:rsid w:val="00171A2B"/>
    <w:rsid w:val="0017316E"/>
    <w:rsid w:val="00176FB2"/>
    <w:rsid w:val="001823EB"/>
    <w:rsid w:val="00184A64"/>
    <w:rsid w:val="0018716E"/>
    <w:rsid w:val="001873CB"/>
    <w:rsid w:val="00191B56"/>
    <w:rsid w:val="00193945"/>
    <w:rsid w:val="001940BE"/>
    <w:rsid w:val="00195346"/>
    <w:rsid w:val="001956FC"/>
    <w:rsid w:val="00196FE1"/>
    <w:rsid w:val="0019718A"/>
    <w:rsid w:val="001A01A3"/>
    <w:rsid w:val="001A1AE2"/>
    <w:rsid w:val="001A3421"/>
    <w:rsid w:val="001A5561"/>
    <w:rsid w:val="001B2B11"/>
    <w:rsid w:val="001B2DD8"/>
    <w:rsid w:val="001B304A"/>
    <w:rsid w:val="001B3404"/>
    <w:rsid w:val="001B7E00"/>
    <w:rsid w:val="001C0EF4"/>
    <w:rsid w:val="001C12F4"/>
    <w:rsid w:val="001C59E4"/>
    <w:rsid w:val="001C61FE"/>
    <w:rsid w:val="001D1D43"/>
    <w:rsid w:val="001D3320"/>
    <w:rsid w:val="001D3566"/>
    <w:rsid w:val="001D55B9"/>
    <w:rsid w:val="001D6D98"/>
    <w:rsid w:val="001E27E5"/>
    <w:rsid w:val="001E2CAF"/>
    <w:rsid w:val="001E4D37"/>
    <w:rsid w:val="001E64EC"/>
    <w:rsid w:val="001F0CDE"/>
    <w:rsid w:val="001F1345"/>
    <w:rsid w:val="001F1400"/>
    <w:rsid w:val="001F6078"/>
    <w:rsid w:val="001F7251"/>
    <w:rsid w:val="00200581"/>
    <w:rsid w:val="00204F82"/>
    <w:rsid w:val="00207279"/>
    <w:rsid w:val="0020760E"/>
    <w:rsid w:val="002100FD"/>
    <w:rsid w:val="0021081C"/>
    <w:rsid w:val="00210EB0"/>
    <w:rsid w:val="002119CD"/>
    <w:rsid w:val="002159C9"/>
    <w:rsid w:val="00215BB8"/>
    <w:rsid w:val="00217FB0"/>
    <w:rsid w:val="002218BC"/>
    <w:rsid w:val="00222BEA"/>
    <w:rsid w:val="00225439"/>
    <w:rsid w:val="00225F9B"/>
    <w:rsid w:val="00232061"/>
    <w:rsid w:val="00235945"/>
    <w:rsid w:val="00235CAB"/>
    <w:rsid w:val="00236D60"/>
    <w:rsid w:val="0025131A"/>
    <w:rsid w:val="00253EB9"/>
    <w:rsid w:val="002548AF"/>
    <w:rsid w:val="002555BE"/>
    <w:rsid w:val="00255679"/>
    <w:rsid w:val="00256554"/>
    <w:rsid w:val="00256864"/>
    <w:rsid w:val="00257B1C"/>
    <w:rsid w:val="002614EA"/>
    <w:rsid w:val="00265058"/>
    <w:rsid w:val="00265B0E"/>
    <w:rsid w:val="00267EC3"/>
    <w:rsid w:val="00272F5F"/>
    <w:rsid w:val="00282C30"/>
    <w:rsid w:val="00282D7E"/>
    <w:rsid w:val="0028520F"/>
    <w:rsid w:val="00290373"/>
    <w:rsid w:val="00290445"/>
    <w:rsid w:val="00292044"/>
    <w:rsid w:val="00293811"/>
    <w:rsid w:val="00294285"/>
    <w:rsid w:val="002A151A"/>
    <w:rsid w:val="002A159A"/>
    <w:rsid w:val="002A2687"/>
    <w:rsid w:val="002A5C23"/>
    <w:rsid w:val="002A686F"/>
    <w:rsid w:val="002B1D20"/>
    <w:rsid w:val="002B3340"/>
    <w:rsid w:val="002B5772"/>
    <w:rsid w:val="002B6D1D"/>
    <w:rsid w:val="002C0551"/>
    <w:rsid w:val="002C0C49"/>
    <w:rsid w:val="002C15DD"/>
    <w:rsid w:val="002C205B"/>
    <w:rsid w:val="002C257D"/>
    <w:rsid w:val="002C2774"/>
    <w:rsid w:val="002C381D"/>
    <w:rsid w:val="002C5EA6"/>
    <w:rsid w:val="002C6417"/>
    <w:rsid w:val="002C7506"/>
    <w:rsid w:val="002D6E60"/>
    <w:rsid w:val="002D79A7"/>
    <w:rsid w:val="002E3F68"/>
    <w:rsid w:val="002E41B1"/>
    <w:rsid w:val="002E45A4"/>
    <w:rsid w:val="002E5C16"/>
    <w:rsid w:val="002E5F15"/>
    <w:rsid w:val="002E7239"/>
    <w:rsid w:val="002E73E7"/>
    <w:rsid w:val="002F0AA7"/>
    <w:rsid w:val="002F1B28"/>
    <w:rsid w:val="002F2583"/>
    <w:rsid w:val="002F279A"/>
    <w:rsid w:val="002F2C1A"/>
    <w:rsid w:val="002F4F5B"/>
    <w:rsid w:val="002F68FE"/>
    <w:rsid w:val="00300DF8"/>
    <w:rsid w:val="00303156"/>
    <w:rsid w:val="00305745"/>
    <w:rsid w:val="00307EED"/>
    <w:rsid w:val="003107AB"/>
    <w:rsid w:val="00310C2C"/>
    <w:rsid w:val="0031127A"/>
    <w:rsid w:val="00311A01"/>
    <w:rsid w:val="003154E8"/>
    <w:rsid w:val="00315C29"/>
    <w:rsid w:val="0031664C"/>
    <w:rsid w:val="00322080"/>
    <w:rsid w:val="00324997"/>
    <w:rsid w:val="003256B1"/>
    <w:rsid w:val="00331545"/>
    <w:rsid w:val="00332506"/>
    <w:rsid w:val="003330E6"/>
    <w:rsid w:val="0033333E"/>
    <w:rsid w:val="0033594E"/>
    <w:rsid w:val="003368C0"/>
    <w:rsid w:val="00341897"/>
    <w:rsid w:val="00343439"/>
    <w:rsid w:val="00343B53"/>
    <w:rsid w:val="003459E9"/>
    <w:rsid w:val="00346BA7"/>
    <w:rsid w:val="00352C29"/>
    <w:rsid w:val="00354915"/>
    <w:rsid w:val="00362B86"/>
    <w:rsid w:val="003636D7"/>
    <w:rsid w:val="00364E30"/>
    <w:rsid w:val="00367328"/>
    <w:rsid w:val="00372031"/>
    <w:rsid w:val="003738C2"/>
    <w:rsid w:val="003748BB"/>
    <w:rsid w:val="0037583A"/>
    <w:rsid w:val="00376B5C"/>
    <w:rsid w:val="00383594"/>
    <w:rsid w:val="00383984"/>
    <w:rsid w:val="003839E4"/>
    <w:rsid w:val="003847B9"/>
    <w:rsid w:val="00385E85"/>
    <w:rsid w:val="0039118D"/>
    <w:rsid w:val="00391AC8"/>
    <w:rsid w:val="00392FB4"/>
    <w:rsid w:val="0039386B"/>
    <w:rsid w:val="00394DFF"/>
    <w:rsid w:val="00395C05"/>
    <w:rsid w:val="003A0250"/>
    <w:rsid w:val="003A04CD"/>
    <w:rsid w:val="003A0A78"/>
    <w:rsid w:val="003A11AB"/>
    <w:rsid w:val="003A1F14"/>
    <w:rsid w:val="003A3974"/>
    <w:rsid w:val="003A4427"/>
    <w:rsid w:val="003A5838"/>
    <w:rsid w:val="003A6BC0"/>
    <w:rsid w:val="003B0BC2"/>
    <w:rsid w:val="003B32FE"/>
    <w:rsid w:val="003B37BB"/>
    <w:rsid w:val="003B3CAC"/>
    <w:rsid w:val="003B68FC"/>
    <w:rsid w:val="003B70C9"/>
    <w:rsid w:val="003B7A86"/>
    <w:rsid w:val="003C0528"/>
    <w:rsid w:val="003C1943"/>
    <w:rsid w:val="003C1DB5"/>
    <w:rsid w:val="003C2D24"/>
    <w:rsid w:val="003C36AC"/>
    <w:rsid w:val="003C426B"/>
    <w:rsid w:val="003C4DD7"/>
    <w:rsid w:val="003C7EF9"/>
    <w:rsid w:val="003D21B5"/>
    <w:rsid w:val="003D355B"/>
    <w:rsid w:val="003D5593"/>
    <w:rsid w:val="003D68D5"/>
    <w:rsid w:val="003D7050"/>
    <w:rsid w:val="003D7B6F"/>
    <w:rsid w:val="003E14CF"/>
    <w:rsid w:val="003E1D1E"/>
    <w:rsid w:val="003E555C"/>
    <w:rsid w:val="003E684C"/>
    <w:rsid w:val="003F02CF"/>
    <w:rsid w:val="003F0F71"/>
    <w:rsid w:val="003F168A"/>
    <w:rsid w:val="003F30F3"/>
    <w:rsid w:val="003F77AB"/>
    <w:rsid w:val="00407D59"/>
    <w:rsid w:val="00413E4A"/>
    <w:rsid w:val="004147A5"/>
    <w:rsid w:val="0041525E"/>
    <w:rsid w:val="00415927"/>
    <w:rsid w:val="00415939"/>
    <w:rsid w:val="00420742"/>
    <w:rsid w:val="004208C3"/>
    <w:rsid w:val="00421005"/>
    <w:rsid w:val="00425E3F"/>
    <w:rsid w:val="00425ED9"/>
    <w:rsid w:val="00431372"/>
    <w:rsid w:val="00432D70"/>
    <w:rsid w:val="00433564"/>
    <w:rsid w:val="00436A6E"/>
    <w:rsid w:val="00437CA3"/>
    <w:rsid w:val="00437CB9"/>
    <w:rsid w:val="0044027B"/>
    <w:rsid w:val="004408F8"/>
    <w:rsid w:val="00442493"/>
    <w:rsid w:val="00442C8F"/>
    <w:rsid w:val="00444575"/>
    <w:rsid w:val="0044547D"/>
    <w:rsid w:val="00446455"/>
    <w:rsid w:val="0044648F"/>
    <w:rsid w:val="00446DA2"/>
    <w:rsid w:val="004479D1"/>
    <w:rsid w:val="004516FD"/>
    <w:rsid w:val="00457843"/>
    <w:rsid w:val="00462002"/>
    <w:rsid w:val="0046212F"/>
    <w:rsid w:val="00462733"/>
    <w:rsid w:val="00463227"/>
    <w:rsid w:val="00463973"/>
    <w:rsid w:val="00464D4E"/>
    <w:rsid w:val="00465031"/>
    <w:rsid w:val="0046627B"/>
    <w:rsid w:val="00466674"/>
    <w:rsid w:val="00471113"/>
    <w:rsid w:val="00471200"/>
    <w:rsid w:val="00472FF8"/>
    <w:rsid w:val="00475F03"/>
    <w:rsid w:val="0047658C"/>
    <w:rsid w:val="004804B3"/>
    <w:rsid w:val="0048083F"/>
    <w:rsid w:val="00480FEB"/>
    <w:rsid w:val="00481E06"/>
    <w:rsid w:val="00481F74"/>
    <w:rsid w:val="004820E9"/>
    <w:rsid w:val="00483119"/>
    <w:rsid w:val="0048361F"/>
    <w:rsid w:val="004845D0"/>
    <w:rsid w:val="004852FF"/>
    <w:rsid w:val="00485779"/>
    <w:rsid w:val="004921C3"/>
    <w:rsid w:val="00492FDA"/>
    <w:rsid w:val="0049494C"/>
    <w:rsid w:val="00494E73"/>
    <w:rsid w:val="00495DE8"/>
    <w:rsid w:val="004A12B2"/>
    <w:rsid w:val="004A2830"/>
    <w:rsid w:val="004B08EF"/>
    <w:rsid w:val="004B4885"/>
    <w:rsid w:val="004B514C"/>
    <w:rsid w:val="004B5ABB"/>
    <w:rsid w:val="004B6F84"/>
    <w:rsid w:val="004B7D57"/>
    <w:rsid w:val="004C00D8"/>
    <w:rsid w:val="004C3BD1"/>
    <w:rsid w:val="004C3DAD"/>
    <w:rsid w:val="004C44A5"/>
    <w:rsid w:val="004C5923"/>
    <w:rsid w:val="004C6116"/>
    <w:rsid w:val="004C7C61"/>
    <w:rsid w:val="004D0DFD"/>
    <w:rsid w:val="004D1FBE"/>
    <w:rsid w:val="004D4A86"/>
    <w:rsid w:val="004D7664"/>
    <w:rsid w:val="004E074F"/>
    <w:rsid w:val="004E391C"/>
    <w:rsid w:val="004E6427"/>
    <w:rsid w:val="004E7625"/>
    <w:rsid w:val="004E7E43"/>
    <w:rsid w:val="004F0EA7"/>
    <w:rsid w:val="004F1956"/>
    <w:rsid w:val="004F4B76"/>
    <w:rsid w:val="004F5FC6"/>
    <w:rsid w:val="004F69FA"/>
    <w:rsid w:val="005037B2"/>
    <w:rsid w:val="005039ED"/>
    <w:rsid w:val="0050455E"/>
    <w:rsid w:val="005047AD"/>
    <w:rsid w:val="00505E9A"/>
    <w:rsid w:val="00510B1D"/>
    <w:rsid w:val="0051107D"/>
    <w:rsid w:val="00511167"/>
    <w:rsid w:val="00512E03"/>
    <w:rsid w:val="005149B6"/>
    <w:rsid w:val="005172ED"/>
    <w:rsid w:val="00521583"/>
    <w:rsid w:val="00521D9E"/>
    <w:rsid w:val="0052646C"/>
    <w:rsid w:val="00526C07"/>
    <w:rsid w:val="005273A6"/>
    <w:rsid w:val="00527533"/>
    <w:rsid w:val="00527E88"/>
    <w:rsid w:val="0053387C"/>
    <w:rsid w:val="00534F74"/>
    <w:rsid w:val="00536789"/>
    <w:rsid w:val="00536D2F"/>
    <w:rsid w:val="00540052"/>
    <w:rsid w:val="0054146B"/>
    <w:rsid w:val="00543DB4"/>
    <w:rsid w:val="00543E08"/>
    <w:rsid w:val="005445FC"/>
    <w:rsid w:val="005449AD"/>
    <w:rsid w:val="0054508F"/>
    <w:rsid w:val="005478D5"/>
    <w:rsid w:val="005505ED"/>
    <w:rsid w:val="00551CCD"/>
    <w:rsid w:val="00553330"/>
    <w:rsid w:val="005553DB"/>
    <w:rsid w:val="00555CD1"/>
    <w:rsid w:val="00556410"/>
    <w:rsid w:val="00564B04"/>
    <w:rsid w:val="005677ED"/>
    <w:rsid w:val="00570524"/>
    <w:rsid w:val="00572349"/>
    <w:rsid w:val="00573059"/>
    <w:rsid w:val="00573D74"/>
    <w:rsid w:val="0057621E"/>
    <w:rsid w:val="00577B04"/>
    <w:rsid w:val="00577B05"/>
    <w:rsid w:val="00580D6F"/>
    <w:rsid w:val="005812C6"/>
    <w:rsid w:val="0058382A"/>
    <w:rsid w:val="005841EF"/>
    <w:rsid w:val="005919FD"/>
    <w:rsid w:val="005948FA"/>
    <w:rsid w:val="005950F4"/>
    <w:rsid w:val="005959BE"/>
    <w:rsid w:val="00596210"/>
    <w:rsid w:val="00596286"/>
    <w:rsid w:val="00596999"/>
    <w:rsid w:val="005972F3"/>
    <w:rsid w:val="005A0F31"/>
    <w:rsid w:val="005A158F"/>
    <w:rsid w:val="005A1D1C"/>
    <w:rsid w:val="005A28A1"/>
    <w:rsid w:val="005A46D0"/>
    <w:rsid w:val="005A5071"/>
    <w:rsid w:val="005A55E1"/>
    <w:rsid w:val="005A6FB5"/>
    <w:rsid w:val="005B05D3"/>
    <w:rsid w:val="005B25E4"/>
    <w:rsid w:val="005B30C8"/>
    <w:rsid w:val="005B4BA9"/>
    <w:rsid w:val="005B5749"/>
    <w:rsid w:val="005B7778"/>
    <w:rsid w:val="005C051F"/>
    <w:rsid w:val="005C0C38"/>
    <w:rsid w:val="005C1160"/>
    <w:rsid w:val="005C1574"/>
    <w:rsid w:val="005C6E7B"/>
    <w:rsid w:val="005C762E"/>
    <w:rsid w:val="005D098C"/>
    <w:rsid w:val="005D311B"/>
    <w:rsid w:val="005D3378"/>
    <w:rsid w:val="005D3FD9"/>
    <w:rsid w:val="005D6ECB"/>
    <w:rsid w:val="005D7330"/>
    <w:rsid w:val="005E2139"/>
    <w:rsid w:val="005E46BB"/>
    <w:rsid w:val="005E533B"/>
    <w:rsid w:val="005E6978"/>
    <w:rsid w:val="005E6A8D"/>
    <w:rsid w:val="005E7605"/>
    <w:rsid w:val="005F56F0"/>
    <w:rsid w:val="005F5980"/>
    <w:rsid w:val="006001CC"/>
    <w:rsid w:val="00602B4D"/>
    <w:rsid w:val="00603C94"/>
    <w:rsid w:val="006048E0"/>
    <w:rsid w:val="00604FAD"/>
    <w:rsid w:val="0060662A"/>
    <w:rsid w:val="00610FE2"/>
    <w:rsid w:val="00612789"/>
    <w:rsid w:val="0061280E"/>
    <w:rsid w:val="00613200"/>
    <w:rsid w:val="00613886"/>
    <w:rsid w:val="00613D24"/>
    <w:rsid w:val="00614BDA"/>
    <w:rsid w:val="00616956"/>
    <w:rsid w:val="006217FE"/>
    <w:rsid w:val="00621AFB"/>
    <w:rsid w:val="00624594"/>
    <w:rsid w:val="006247FC"/>
    <w:rsid w:val="0062589A"/>
    <w:rsid w:val="006307C7"/>
    <w:rsid w:val="00632B82"/>
    <w:rsid w:val="006331B4"/>
    <w:rsid w:val="006343F3"/>
    <w:rsid w:val="00634CCA"/>
    <w:rsid w:val="00635ADA"/>
    <w:rsid w:val="00637FAC"/>
    <w:rsid w:val="00640CF2"/>
    <w:rsid w:val="006417D6"/>
    <w:rsid w:val="00641E4B"/>
    <w:rsid w:val="00642906"/>
    <w:rsid w:val="00643582"/>
    <w:rsid w:val="00643B75"/>
    <w:rsid w:val="0064459C"/>
    <w:rsid w:val="006457EF"/>
    <w:rsid w:val="00647376"/>
    <w:rsid w:val="006475C8"/>
    <w:rsid w:val="006505A1"/>
    <w:rsid w:val="00650F96"/>
    <w:rsid w:val="006512B7"/>
    <w:rsid w:val="00651C22"/>
    <w:rsid w:val="00655679"/>
    <w:rsid w:val="00655B4D"/>
    <w:rsid w:val="00655ED5"/>
    <w:rsid w:val="00656F51"/>
    <w:rsid w:val="00660076"/>
    <w:rsid w:val="00660CCF"/>
    <w:rsid w:val="00663063"/>
    <w:rsid w:val="0066555C"/>
    <w:rsid w:val="00665734"/>
    <w:rsid w:val="0066632E"/>
    <w:rsid w:val="00671833"/>
    <w:rsid w:val="00671977"/>
    <w:rsid w:val="00671D80"/>
    <w:rsid w:val="00672EFB"/>
    <w:rsid w:val="006739CF"/>
    <w:rsid w:val="00674D5C"/>
    <w:rsid w:val="00676CA8"/>
    <w:rsid w:val="00677472"/>
    <w:rsid w:val="0067752C"/>
    <w:rsid w:val="006776A2"/>
    <w:rsid w:val="006801A6"/>
    <w:rsid w:val="0068124B"/>
    <w:rsid w:val="00681610"/>
    <w:rsid w:val="00681D6F"/>
    <w:rsid w:val="00682425"/>
    <w:rsid w:val="00684AD6"/>
    <w:rsid w:val="00685D36"/>
    <w:rsid w:val="00687304"/>
    <w:rsid w:val="006873D4"/>
    <w:rsid w:val="00692659"/>
    <w:rsid w:val="00692C71"/>
    <w:rsid w:val="006931A0"/>
    <w:rsid w:val="006935BC"/>
    <w:rsid w:val="00696E55"/>
    <w:rsid w:val="006A0B0E"/>
    <w:rsid w:val="006A2896"/>
    <w:rsid w:val="006A3A9C"/>
    <w:rsid w:val="006A3CC5"/>
    <w:rsid w:val="006A721F"/>
    <w:rsid w:val="006A7CCF"/>
    <w:rsid w:val="006B0581"/>
    <w:rsid w:val="006B0F36"/>
    <w:rsid w:val="006B30FD"/>
    <w:rsid w:val="006B4254"/>
    <w:rsid w:val="006B5CB4"/>
    <w:rsid w:val="006B6BB6"/>
    <w:rsid w:val="006B6DCF"/>
    <w:rsid w:val="006B791B"/>
    <w:rsid w:val="006C4793"/>
    <w:rsid w:val="006C7869"/>
    <w:rsid w:val="006D28CA"/>
    <w:rsid w:val="006D36FB"/>
    <w:rsid w:val="006D42ED"/>
    <w:rsid w:val="006D4D1A"/>
    <w:rsid w:val="006D6647"/>
    <w:rsid w:val="006D73F1"/>
    <w:rsid w:val="006D7FA5"/>
    <w:rsid w:val="006E2A29"/>
    <w:rsid w:val="006E3514"/>
    <w:rsid w:val="006E3D94"/>
    <w:rsid w:val="006E7421"/>
    <w:rsid w:val="006E7647"/>
    <w:rsid w:val="006F0FF4"/>
    <w:rsid w:val="006F162C"/>
    <w:rsid w:val="006F1DA8"/>
    <w:rsid w:val="006F22E9"/>
    <w:rsid w:val="006F25ED"/>
    <w:rsid w:val="006F25F5"/>
    <w:rsid w:val="006F4C5A"/>
    <w:rsid w:val="006F4CFA"/>
    <w:rsid w:val="006F5310"/>
    <w:rsid w:val="006F696E"/>
    <w:rsid w:val="006F6B91"/>
    <w:rsid w:val="007008AF"/>
    <w:rsid w:val="0070106D"/>
    <w:rsid w:val="007040CB"/>
    <w:rsid w:val="0070523B"/>
    <w:rsid w:val="00706F9B"/>
    <w:rsid w:val="00707D16"/>
    <w:rsid w:val="00707FB8"/>
    <w:rsid w:val="007124B0"/>
    <w:rsid w:val="00715E8A"/>
    <w:rsid w:val="00716211"/>
    <w:rsid w:val="0071671A"/>
    <w:rsid w:val="00717226"/>
    <w:rsid w:val="00720FDD"/>
    <w:rsid w:val="00721F5A"/>
    <w:rsid w:val="00722883"/>
    <w:rsid w:val="00723AF0"/>
    <w:rsid w:val="0072429D"/>
    <w:rsid w:val="0072648D"/>
    <w:rsid w:val="00727911"/>
    <w:rsid w:val="00727B91"/>
    <w:rsid w:val="0073007E"/>
    <w:rsid w:val="007311E2"/>
    <w:rsid w:val="00732519"/>
    <w:rsid w:val="0073365B"/>
    <w:rsid w:val="00733701"/>
    <w:rsid w:val="00734F5A"/>
    <w:rsid w:val="0073579D"/>
    <w:rsid w:val="00735AA2"/>
    <w:rsid w:val="00736D97"/>
    <w:rsid w:val="00737B55"/>
    <w:rsid w:val="00737CEF"/>
    <w:rsid w:val="00737DDA"/>
    <w:rsid w:val="00742E47"/>
    <w:rsid w:val="00746B57"/>
    <w:rsid w:val="00747378"/>
    <w:rsid w:val="00747D90"/>
    <w:rsid w:val="007501B9"/>
    <w:rsid w:val="00751CB9"/>
    <w:rsid w:val="0075624F"/>
    <w:rsid w:val="00756580"/>
    <w:rsid w:val="00756D96"/>
    <w:rsid w:val="00757A2C"/>
    <w:rsid w:val="00757B5C"/>
    <w:rsid w:val="007607E4"/>
    <w:rsid w:val="007620C2"/>
    <w:rsid w:val="00763641"/>
    <w:rsid w:val="00763FD3"/>
    <w:rsid w:val="0076564C"/>
    <w:rsid w:val="00766203"/>
    <w:rsid w:val="007668BA"/>
    <w:rsid w:val="00767332"/>
    <w:rsid w:val="00770596"/>
    <w:rsid w:val="0077277D"/>
    <w:rsid w:val="007747D4"/>
    <w:rsid w:val="00774963"/>
    <w:rsid w:val="007804E9"/>
    <w:rsid w:val="0078151D"/>
    <w:rsid w:val="00781B7F"/>
    <w:rsid w:val="00782DCB"/>
    <w:rsid w:val="00783FDF"/>
    <w:rsid w:val="00784156"/>
    <w:rsid w:val="00791280"/>
    <w:rsid w:val="007919B3"/>
    <w:rsid w:val="007933B3"/>
    <w:rsid w:val="00794D72"/>
    <w:rsid w:val="007A048E"/>
    <w:rsid w:val="007A19AF"/>
    <w:rsid w:val="007A1E9D"/>
    <w:rsid w:val="007A2801"/>
    <w:rsid w:val="007A374C"/>
    <w:rsid w:val="007A4AAA"/>
    <w:rsid w:val="007A4EEE"/>
    <w:rsid w:val="007A6DAA"/>
    <w:rsid w:val="007A7EC8"/>
    <w:rsid w:val="007A7F07"/>
    <w:rsid w:val="007B032C"/>
    <w:rsid w:val="007B1351"/>
    <w:rsid w:val="007B17EF"/>
    <w:rsid w:val="007B1840"/>
    <w:rsid w:val="007B1AF8"/>
    <w:rsid w:val="007B2A16"/>
    <w:rsid w:val="007B2FFB"/>
    <w:rsid w:val="007B4B3F"/>
    <w:rsid w:val="007B4EF4"/>
    <w:rsid w:val="007B4F1A"/>
    <w:rsid w:val="007B4FAA"/>
    <w:rsid w:val="007B787D"/>
    <w:rsid w:val="007B7B7B"/>
    <w:rsid w:val="007C3165"/>
    <w:rsid w:val="007C58D6"/>
    <w:rsid w:val="007C732D"/>
    <w:rsid w:val="007D1008"/>
    <w:rsid w:val="007D1709"/>
    <w:rsid w:val="007D220C"/>
    <w:rsid w:val="007D438E"/>
    <w:rsid w:val="007D5B27"/>
    <w:rsid w:val="007D5C80"/>
    <w:rsid w:val="007D62AE"/>
    <w:rsid w:val="007D650A"/>
    <w:rsid w:val="007E013D"/>
    <w:rsid w:val="007E108C"/>
    <w:rsid w:val="007E2754"/>
    <w:rsid w:val="007E363F"/>
    <w:rsid w:val="007E374A"/>
    <w:rsid w:val="007E5818"/>
    <w:rsid w:val="007E61A7"/>
    <w:rsid w:val="007E65D7"/>
    <w:rsid w:val="007E6B28"/>
    <w:rsid w:val="007F0853"/>
    <w:rsid w:val="007F227E"/>
    <w:rsid w:val="007F22BF"/>
    <w:rsid w:val="0080089C"/>
    <w:rsid w:val="00802CB1"/>
    <w:rsid w:val="00803318"/>
    <w:rsid w:val="00803456"/>
    <w:rsid w:val="0080390A"/>
    <w:rsid w:val="0080507D"/>
    <w:rsid w:val="00811BBD"/>
    <w:rsid w:val="00812976"/>
    <w:rsid w:val="00814055"/>
    <w:rsid w:val="00814DEF"/>
    <w:rsid w:val="00816B08"/>
    <w:rsid w:val="00816CCB"/>
    <w:rsid w:val="008219FD"/>
    <w:rsid w:val="0082239E"/>
    <w:rsid w:val="00825A87"/>
    <w:rsid w:val="008261A6"/>
    <w:rsid w:val="00826F30"/>
    <w:rsid w:val="00830D29"/>
    <w:rsid w:val="00831B9B"/>
    <w:rsid w:val="00831C6E"/>
    <w:rsid w:val="00833DD5"/>
    <w:rsid w:val="00834F51"/>
    <w:rsid w:val="00835008"/>
    <w:rsid w:val="008369BA"/>
    <w:rsid w:val="00836AE7"/>
    <w:rsid w:val="00836FB3"/>
    <w:rsid w:val="0084169E"/>
    <w:rsid w:val="00842A7E"/>
    <w:rsid w:val="00843951"/>
    <w:rsid w:val="00844D3D"/>
    <w:rsid w:val="0084532E"/>
    <w:rsid w:val="00845810"/>
    <w:rsid w:val="00845C0E"/>
    <w:rsid w:val="00845F3C"/>
    <w:rsid w:val="00846159"/>
    <w:rsid w:val="008505C3"/>
    <w:rsid w:val="00851677"/>
    <w:rsid w:val="00851ECA"/>
    <w:rsid w:val="008522C6"/>
    <w:rsid w:val="00852E40"/>
    <w:rsid w:val="00857A90"/>
    <w:rsid w:val="00857CDD"/>
    <w:rsid w:val="00860672"/>
    <w:rsid w:val="00860EA8"/>
    <w:rsid w:val="0086107E"/>
    <w:rsid w:val="0086472B"/>
    <w:rsid w:val="00866CC6"/>
    <w:rsid w:val="00866D86"/>
    <w:rsid w:val="0087368E"/>
    <w:rsid w:val="00874743"/>
    <w:rsid w:val="008802D9"/>
    <w:rsid w:val="00880B98"/>
    <w:rsid w:val="00881F26"/>
    <w:rsid w:val="008835BE"/>
    <w:rsid w:val="008838A1"/>
    <w:rsid w:val="0088445C"/>
    <w:rsid w:val="0088685E"/>
    <w:rsid w:val="0088689E"/>
    <w:rsid w:val="00891794"/>
    <w:rsid w:val="00891929"/>
    <w:rsid w:val="00893176"/>
    <w:rsid w:val="00895446"/>
    <w:rsid w:val="008A05E4"/>
    <w:rsid w:val="008A2098"/>
    <w:rsid w:val="008A32D1"/>
    <w:rsid w:val="008A33DF"/>
    <w:rsid w:val="008A4634"/>
    <w:rsid w:val="008A4BDB"/>
    <w:rsid w:val="008B03D8"/>
    <w:rsid w:val="008B124B"/>
    <w:rsid w:val="008B4290"/>
    <w:rsid w:val="008B61CD"/>
    <w:rsid w:val="008B6CE6"/>
    <w:rsid w:val="008C4A61"/>
    <w:rsid w:val="008C4CB3"/>
    <w:rsid w:val="008C4F0F"/>
    <w:rsid w:val="008C65D2"/>
    <w:rsid w:val="008C6CFD"/>
    <w:rsid w:val="008C7D07"/>
    <w:rsid w:val="008C7F38"/>
    <w:rsid w:val="008D20AD"/>
    <w:rsid w:val="008D3B9E"/>
    <w:rsid w:val="008D420E"/>
    <w:rsid w:val="008D4D7F"/>
    <w:rsid w:val="008D54FC"/>
    <w:rsid w:val="008D55C9"/>
    <w:rsid w:val="008E16AF"/>
    <w:rsid w:val="008E5042"/>
    <w:rsid w:val="008E7129"/>
    <w:rsid w:val="008E7460"/>
    <w:rsid w:val="008E7585"/>
    <w:rsid w:val="008E7D65"/>
    <w:rsid w:val="008E7EAC"/>
    <w:rsid w:val="008F1BF7"/>
    <w:rsid w:val="008F2E5C"/>
    <w:rsid w:val="008F646F"/>
    <w:rsid w:val="008F72E3"/>
    <w:rsid w:val="00906982"/>
    <w:rsid w:val="009076D0"/>
    <w:rsid w:val="00914F38"/>
    <w:rsid w:val="0091776B"/>
    <w:rsid w:val="00917876"/>
    <w:rsid w:val="00920396"/>
    <w:rsid w:val="00920A5F"/>
    <w:rsid w:val="0092657D"/>
    <w:rsid w:val="00930737"/>
    <w:rsid w:val="00931E1D"/>
    <w:rsid w:val="00932B67"/>
    <w:rsid w:val="00933521"/>
    <w:rsid w:val="00935018"/>
    <w:rsid w:val="0093671F"/>
    <w:rsid w:val="00937909"/>
    <w:rsid w:val="00937D0C"/>
    <w:rsid w:val="00937F0D"/>
    <w:rsid w:val="00941D1F"/>
    <w:rsid w:val="0094366C"/>
    <w:rsid w:val="0094666B"/>
    <w:rsid w:val="009479C0"/>
    <w:rsid w:val="00950914"/>
    <w:rsid w:val="00950C51"/>
    <w:rsid w:val="00951973"/>
    <w:rsid w:val="0095252E"/>
    <w:rsid w:val="00952591"/>
    <w:rsid w:val="00952C90"/>
    <w:rsid w:val="00953ADF"/>
    <w:rsid w:val="00953B55"/>
    <w:rsid w:val="0095579B"/>
    <w:rsid w:val="00957E73"/>
    <w:rsid w:val="0096135C"/>
    <w:rsid w:val="00962B53"/>
    <w:rsid w:val="0096409E"/>
    <w:rsid w:val="009659CC"/>
    <w:rsid w:val="00971AA1"/>
    <w:rsid w:val="009746D7"/>
    <w:rsid w:val="00974C2C"/>
    <w:rsid w:val="009808B4"/>
    <w:rsid w:val="00981CDB"/>
    <w:rsid w:val="00983391"/>
    <w:rsid w:val="00984821"/>
    <w:rsid w:val="00991F0E"/>
    <w:rsid w:val="00992BDF"/>
    <w:rsid w:val="00994518"/>
    <w:rsid w:val="009961A7"/>
    <w:rsid w:val="0099716A"/>
    <w:rsid w:val="009A0593"/>
    <w:rsid w:val="009A1A3A"/>
    <w:rsid w:val="009A2797"/>
    <w:rsid w:val="009A2C14"/>
    <w:rsid w:val="009A3D97"/>
    <w:rsid w:val="009A3ED6"/>
    <w:rsid w:val="009A598B"/>
    <w:rsid w:val="009A698B"/>
    <w:rsid w:val="009B1E24"/>
    <w:rsid w:val="009B1E35"/>
    <w:rsid w:val="009B26F4"/>
    <w:rsid w:val="009B2D86"/>
    <w:rsid w:val="009B2EC8"/>
    <w:rsid w:val="009B3F94"/>
    <w:rsid w:val="009B5456"/>
    <w:rsid w:val="009B5E70"/>
    <w:rsid w:val="009B621A"/>
    <w:rsid w:val="009B672F"/>
    <w:rsid w:val="009B6EAB"/>
    <w:rsid w:val="009B6F37"/>
    <w:rsid w:val="009B718D"/>
    <w:rsid w:val="009B7F08"/>
    <w:rsid w:val="009C0BCC"/>
    <w:rsid w:val="009C1165"/>
    <w:rsid w:val="009C3939"/>
    <w:rsid w:val="009C3FA3"/>
    <w:rsid w:val="009C45D9"/>
    <w:rsid w:val="009C6530"/>
    <w:rsid w:val="009C6F32"/>
    <w:rsid w:val="009D2BEF"/>
    <w:rsid w:val="009D358E"/>
    <w:rsid w:val="009D57DB"/>
    <w:rsid w:val="009D7187"/>
    <w:rsid w:val="009D783B"/>
    <w:rsid w:val="009E01DD"/>
    <w:rsid w:val="009E547A"/>
    <w:rsid w:val="009F30C8"/>
    <w:rsid w:val="009F4054"/>
    <w:rsid w:val="009F58D8"/>
    <w:rsid w:val="009F6B7E"/>
    <w:rsid w:val="009F7582"/>
    <w:rsid w:val="00A00B30"/>
    <w:rsid w:val="00A02F7D"/>
    <w:rsid w:val="00A03791"/>
    <w:rsid w:val="00A06657"/>
    <w:rsid w:val="00A06A9C"/>
    <w:rsid w:val="00A07618"/>
    <w:rsid w:val="00A12DA0"/>
    <w:rsid w:val="00A131ED"/>
    <w:rsid w:val="00A16DFA"/>
    <w:rsid w:val="00A17C0A"/>
    <w:rsid w:val="00A20C68"/>
    <w:rsid w:val="00A225E2"/>
    <w:rsid w:val="00A22FA7"/>
    <w:rsid w:val="00A238D0"/>
    <w:rsid w:val="00A26F80"/>
    <w:rsid w:val="00A27718"/>
    <w:rsid w:val="00A27F9E"/>
    <w:rsid w:val="00A332A5"/>
    <w:rsid w:val="00A33919"/>
    <w:rsid w:val="00A346B2"/>
    <w:rsid w:val="00A3601F"/>
    <w:rsid w:val="00A36968"/>
    <w:rsid w:val="00A36EC5"/>
    <w:rsid w:val="00A37D90"/>
    <w:rsid w:val="00A41149"/>
    <w:rsid w:val="00A41F6F"/>
    <w:rsid w:val="00A44745"/>
    <w:rsid w:val="00A44F15"/>
    <w:rsid w:val="00A47B7B"/>
    <w:rsid w:val="00A50621"/>
    <w:rsid w:val="00A51F6F"/>
    <w:rsid w:val="00A52154"/>
    <w:rsid w:val="00A53295"/>
    <w:rsid w:val="00A54165"/>
    <w:rsid w:val="00A54175"/>
    <w:rsid w:val="00A5455F"/>
    <w:rsid w:val="00A557F6"/>
    <w:rsid w:val="00A56809"/>
    <w:rsid w:val="00A575E0"/>
    <w:rsid w:val="00A60D9A"/>
    <w:rsid w:val="00A624E0"/>
    <w:rsid w:val="00A63A07"/>
    <w:rsid w:val="00A654A2"/>
    <w:rsid w:val="00A67183"/>
    <w:rsid w:val="00A70079"/>
    <w:rsid w:val="00A72D5C"/>
    <w:rsid w:val="00A75774"/>
    <w:rsid w:val="00A75DA8"/>
    <w:rsid w:val="00A76391"/>
    <w:rsid w:val="00A7641E"/>
    <w:rsid w:val="00A76452"/>
    <w:rsid w:val="00A81E88"/>
    <w:rsid w:val="00A83AE5"/>
    <w:rsid w:val="00A83F5F"/>
    <w:rsid w:val="00A84DF8"/>
    <w:rsid w:val="00A86D3D"/>
    <w:rsid w:val="00A9013E"/>
    <w:rsid w:val="00A915F3"/>
    <w:rsid w:val="00A93B7B"/>
    <w:rsid w:val="00A943CD"/>
    <w:rsid w:val="00A94B17"/>
    <w:rsid w:val="00A94F1F"/>
    <w:rsid w:val="00A95347"/>
    <w:rsid w:val="00AA22B7"/>
    <w:rsid w:val="00AA349C"/>
    <w:rsid w:val="00AA471D"/>
    <w:rsid w:val="00AA4B1C"/>
    <w:rsid w:val="00AA6188"/>
    <w:rsid w:val="00AA7E33"/>
    <w:rsid w:val="00AB066D"/>
    <w:rsid w:val="00AB265E"/>
    <w:rsid w:val="00AB2948"/>
    <w:rsid w:val="00AB39FA"/>
    <w:rsid w:val="00AB3B30"/>
    <w:rsid w:val="00AB426C"/>
    <w:rsid w:val="00AB451C"/>
    <w:rsid w:val="00AB59F2"/>
    <w:rsid w:val="00AC0D5C"/>
    <w:rsid w:val="00AC241A"/>
    <w:rsid w:val="00AC3E62"/>
    <w:rsid w:val="00AC5620"/>
    <w:rsid w:val="00AC5AF9"/>
    <w:rsid w:val="00AC6192"/>
    <w:rsid w:val="00AD2F03"/>
    <w:rsid w:val="00AD57FE"/>
    <w:rsid w:val="00AD6933"/>
    <w:rsid w:val="00AD6B7B"/>
    <w:rsid w:val="00AD793D"/>
    <w:rsid w:val="00AD7CAB"/>
    <w:rsid w:val="00AE0D6A"/>
    <w:rsid w:val="00AE10BE"/>
    <w:rsid w:val="00AE16C9"/>
    <w:rsid w:val="00AE2DF2"/>
    <w:rsid w:val="00AE3677"/>
    <w:rsid w:val="00AE3EF5"/>
    <w:rsid w:val="00AE4F2A"/>
    <w:rsid w:val="00AE5938"/>
    <w:rsid w:val="00AE5F33"/>
    <w:rsid w:val="00AE73EA"/>
    <w:rsid w:val="00AF0AD5"/>
    <w:rsid w:val="00AF15E6"/>
    <w:rsid w:val="00AF2587"/>
    <w:rsid w:val="00AF51E7"/>
    <w:rsid w:val="00AF6744"/>
    <w:rsid w:val="00B00496"/>
    <w:rsid w:val="00B05171"/>
    <w:rsid w:val="00B05620"/>
    <w:rsid w:val="00B06A46"/>
    <w:rsid w:val="00B12E05"/>
    <w:rsid w:val="00B12EBE"/>
    <w:rsid w:val="00B13E96"/>
    <w:rsid w:val="00B16431"/>
    <w:rsid w:val="00B166A4"/>
    <w:rsid w:val="00B17968"/>
    <w:rsid w:val="00B219B7"/>
    <w:rsid w:val="00B242F0"/>
    <w:rsid w:val="00B25038"/>
    <w:rsid w:val="00B27AE8"/>
    <w:rsid w:val="00B27FF1"/>
    <w:rsid w:val="00B3159A"/>
    <w:rsid w:val="00B33465"/>
    <w:rsid w:val="00B354AE"/>
    <w:rsid w:val="00B35C09"/>
    <w:rsid w:val="00B379C5"/>
    <w:rsid w:val="00B40185"/>
    <w:rsid w:val="00B4183F"/>
    <w:rsid w:val="00B42198"/>
    <w:rsid w:val="00B462F4"/>
    <w:rsid w:val="00B46AD2"/>
    <w:rsid w:val="00B4779D"/>
    <w:rsid w:val="00B540B2"/>
    <w:rsid w:val="00B60592"/>
    <w:rsid w:val="00B6069A"/>
    <w:rsid w:val="00B60CE1"/>
    <w:rsid w:val="00B62A52"/>
    <w:rsid w:val="00B64BBE"/>
    <w:rsid w:val="00B66E76"/>
    <w:rsid w:val="00B67DE1"/>
    <w:rsid w:val="00B70CC6"/>
    <w:rsid w:val="00B71347"/>
    <w:rsid w:val="00B71CE9"/>
    <w:rsid w:val="00B731CF"/>
    <w:rsid w:val="00B73894"/>
    <w:rsid w:val="00B73C40"/>
    <w:rsid w:val="00B752D9"/>
    <w:rsid w:val="00B776B5"/>
    <w:rsid w:val="00B8193F"/>
    <w:rsid w:val="00B82462"/>
    <w:rsid w:val="00B82A82"/>
    <w:rsid w:val="00B82DCD"/>
    <w:rsid w:val="00B8464A"/>
    <w:rsid w:val="00B8473D"/>
    <w:rsid w:val="00B84A0B"/>
    <w:rsid w:val="00B87519"/>
    <w:rsid w:val="00B90410"/>
    <w:rsid w:val="00B90E10"/>
    <w:rsid w:val="00B964CA"/>
    <w:rsid w:val="00B969D7"/>
    <w:rsid w:val="00BA246A"/>
    <w:rsid w:val="00BA31C4"/>
    <w:rsid w:val="00BA4655"/>
    <w:rsid w:val="00BA4C5E"/>
    <w:rsid w:val="00BA5EB4"/>
    <w:rsid w:val="00BA78B6"/>
    <w:rsid w:val="00BA7935"/>
    <w:rsid w:val="00BB047B"/>
    <w:rsid w:val="00BB057E"/>
    <w:rsid w:val="00BB3B16"/>
    <w:rsid w:val="00BB40E6"/>
    <w:rsid w:val="00BB4818"/>
    <w:rsid w:val="00BB4AF3"/>
    <w:rsid w:val="00BB6398"/>
    <w:rsid w:val="00BB7EE7"/>
    <w:rsid w:val="00BC051D"/>
    <w:rsid w:val="00BC25EF"/>
    <w:rsid w:val="00BC2DAF"/>
    <w:rsid w:val="00BC3C81"/>
    <w:rsid w:val="00BC4B41"/>
    <w:rsid w:val="00BC4FB7"/>
    <w:rsid w:val="00BC4FD3"/>
    <w:rsid w:val="00BC505C"/>
    <w:rsid w:val="00BC5968"/>
    <w:rsid w:val="00BC63CE"/>
    <w:rsid w:val="00BC6827"/>
    <w:rsid w:val="00BC6C3A"/>
    <w:rsid w:val="00BC6C7A"/>
    <w:rsid w:val="00BC7D9E"/>
    <w:rsid w:val="00BD0372"/>
    <w:rsid w:val="00BD1895"/>
    <w:rsid w:val="00BD1C44"/>
    <w:rsid w:val="00BD3260"/>
    <w:rsid w:val="00BD44F5"/>
    <w:rsid w:val="00BD5C2F"/>
    <w:rsid w:val="00BE0918"/>
    <w:rsid w:val="00BE25EA"/>
    <w:rsid w:val="00BE4340"/>
    <w:rsid w:val="00BE5C41"/>
    <w:rsid w:val="00BE5DB8"/>
    <w:rsid w:val="00BE774E"/>
    <w:rsid w:val="00BF0646"/>
    <w:rsid w:val="00BF1C32"/>
    <w:rsid w:val="00BF40FC"/>
    <w:rsid w:val="00BF76A6"/>
    <w:rsid w:val="00C0068D"/>
    <w:rsid w:val="00C00E42"/>
    <w:rsid w:val="00C01F23"/>
    <w:rsid w:val="00C01F27"/>
    <w:rsid w:val="00C02A8A"/>
    <w:rsid w:val="00C03E77"/>
    <w:rsid w:val="00C04216"/>
    <w:rsid w:val="00C044BE"/>
    <w:rsid w:val="00C04BAB"/>
    <w:rsid w:val="00C0607B"/>
    <w:rsid w:val="00C06DEF"/>
    <w:rsid w:val="00C075A2"/>
    <w:rsid w:val="00C107CB"/>
    <w:rsid w:val="00C118C4"/>
    <w:rsid w:val="00C11F58"/>
    <w:rsid w:val="00C120D7"/>
    <w:rsid w:val="00C132D1"/>
    <w:rsid w:val="00C139CA"/>
    <w:rsid w:val="00C13A7D"/>
    <w:rsid w:val="00C241A8"/>
    <w:rsid w:val="00C24ABA"/>
    <w:rsid w:val="00C264CB"/>
    <w:rsid w:val="00C266D5"/>
    <w:rsid w:val="00C30518"/>
    <w:rsid w:val="00C31253"/>
    <w:rsid w:val="00C31531"/>
    <w:rsid w:val="00C31CE6"/>
    <w:rsid w:val="00C33205"/>
    <w:rsid w:val="00C34468"/>
    <w:rsid w:val="00C34A58"/>
    <w:rsid w:val="00C35129"/>
    <w:rsid w:val="00C37023"/>
    <w:rsid w:val="00C37CDD"/>
    <w:rsid w:val="00C4090F"/>
    <w:rsid w:val="00C41197"/>
    <w:rsid w:val="00C419DB"/>
    <w:rsid w:val="00C43E6B"/>
    <w:rsid w:val="00C476F1"/>
    <w:rsid w:val="00C50A19"/>
    <w:rsid w:val="00C51429"/>
    <w:rsid w:val="00C51816"/>
    <w:rsid w:val="00C51E8F"/>
    <w:rsid w:val="00C52CE9"/>
    <w:rsid w:val="00C52FC0"/>
    <w:rsid w:val="00C530CB"/>
    <w:rsid w:val="00C53F9E"/>
    <w:rsid w:val="00C559E9"/>
    <w:rsid w:val="00C608C1"/>
    <w:rsid w:val="00C61360"/>
    <w:rsid w:val="00C63D4E"/>
    <w:rsid w:val="00C63EA9"/>
    <w:rsid w:val="00C64A7D"/>
    <w:rsid w:val="00C665A0"/>
    <w:rsid w:val="00C67725"/>
    <w:rsid w:val="00C700F3"/>
    <w:rsid w:val="00C7050B"/>
    <w:rsid w:val="00C7092F"/>
    <w:rsid w:val="00C713BC"/>
    <w:rsid w:val="00C7451B"/>
    <w:rsid w:val="00C74862"/>
    <w:rsid w:val="00C757A7"/>
    <w:rsid w:val="00C75B69"/>
    <w:rsid w:val="00C76DDA"/>
    <w:rsid w:val="00C772C4"/>
    <w:rsid w:val="00C77D22"/>
    <w:rsid w:val="00C8060B"/>
    <w:rsid w:val="00C80636"/>
    <w:rsid w:val="00C807B3"/>
    <w:rsid w:val="00C824E5"/>
    <w:rsid w:val="00C825C9"/>
    <w:rsid w:val="00C84E61"/>
    <w:rsid w:val="00C86CC3"/>
    <w:rsid w:val="00C86E37"/>
    <w:rsid w:val="00C87EC2"/>
    <w:rsid w:val="00C901B1"/>
    <w:rsid w:val="00C90EBC"/>
    <w:rsid w:val="00C911E6"/>
    <w:rsid w:val="00C91B69"/>
    <w:rsid w:val="00C930E3"/>
    <w:rsid w:val="00C97DFA"/>
    <w:rsid w:val="00CA3856"/>
    <w:rsid w:val="00CA5A3F"/>
    <w:rsid w:val="00CA67E0"/>
    <w:rsid w:val="00CA6E96"/>
    <w:rsid w:val="00CA703D"/>
    <w:rsid w:val="00CB0122"/>
    <w:rsid w:val="00CB0269"/>
    <w:rsid w:val="00CB0833"/>
    <w:rsid w:val="00CB18F5"/>
    <w:rsid w:val="00CB1CC5"/>
    <w:rsid w:val="00CB3FC7"/>
    <w:rsid w:val="00CB536E"/>
    <w:rsid w:val="00CC008E"/>
    <w:rsid w:val="00CC02ED"/>
    <w:rsid w:val="00CC0F8C"/>
    <w:rsid w:val="00CC2169"/>
    <w:rsid w:val="00CC63EB"/>
    <w:rsid w:val="00CD022A"/>
    <w:rsid w:val="00CD03BE"/>
    <w:rsid w:val="00CD0707"/>
    <w:rsid w:val="00CD0929"/>
    <w:rsid w:val="00CD1A25"/>
    <w:rsid w:val="00CD2E16"/>
    <w:rsid w:val="00CD2E42"/>
    <w:rsid w:val="00CD4DBC"/>
    <w:rsid w:val="00CD6328"/>
    <w:rsid w:val="00CD65E7"/>
    <w:rsid w:val="00CD67DC"/>
    <w:rsid w:val="00CD7BFC"/>
    <w:rsid w:val="00CE1C6E"/>
    <w:rsid w:val="00CE27C6"/>
    <w:rsid w:val="00CE2B95"/>
    <w:rsid w:val="00CE2F1A"/>
    <w:rsid w:val="00CE347F"/>
    <w:rsid w:val="00CF08F4"/>
    <w:rsid w:val="00CF1A11"/>
    <w:rsid w:val="00CF22F2"/>
    <w:rsid w:val="00CF30FC"/>
    <w:rsid w:val="00CF4286"/>
    <w:rsid w:val="00CF5CB2"/>
    <w:rsid w:val="00D019BA"/>
    <w:rsid w:val="00D01B9F"/>
    <w:rsid w:val="00D03B38"/>
    <w:rsid w:val="00D03F87"/>
    <w:rsid w:val="00D049F5"/>
    <w:rsid w:val="00D04CD4"/>
    <w:rsid w:val="00D050BD"/>
    <w:rsid w:val="00D07174"/>
    <w:rsid w:val="00D0718B"/>
    <w:rsid w:val="00D12095"/>
    <w:rsid w:val="00D123DA"/>
    <w:rsid w:val="00D21128"/>
    <w:rsid w:val="00D21AEC"/>
    <w:rsid w:val="00D22D06"/>
    <w:rsid w:val="00D2396F"/>
    <w:rsid w:val="00D24772"/>
    <w:rsid w:val="00D26E91"/>
    <w:rsid w:val="00D272A6"/>
    <w:rsid w:val="00D3361F"/>
    <w:rsid w:val="00D33F8D"/>
    <w:rsid w:val="00D34344"/>
    <w:rsid w:val="00D3441D"/>
    <w:rsid w:val="00D34B59"/>
    <w:rsid w:val="00D355C4"/>
    <w:rsid w:val="00D3612A"/>
    <w:rsid w:val="00D361C4"/>
    <w:rsid w:val="00D37703"/>
    <w:rsid w:val="00D37DBF"/>
    <w:rsid w:val="00D37F25"/>
    <w:rsid w:val="00D42452"/>
    <w:rsid w:val="00D42B98"/>
    <w:rsid w:val="00D42F4F"/>
    <w:rsid w:val="00D44141"/>
    <w:rsid w:val="00D443E7"/>
    <w:rsid w:val="00D45E53"/>
    <w:rsid w:val="00D5168E"/>
    <w:rsid w:val="00D53956"/>
    <w:rsid w:val="00D5622A"/>
    <w:rsid w:val="00D56A53"/>
    <w:rsid w:val="00D61EFF"/>
    <w:rsid w:val="00D6324F"/>
    <w:rsid w:val="00D63458"/>
    <w:rsid w:val="00D654F6"/>
    <w:rsid w:val="00D66D37"/>
    <w:rsid w:val="00D71B3A"/>
    <w:rsid w:val="00D750CC"/>
    <w:rsid w:val="00D758DC"/>
    <w:rsid w:val="00D77D62"/>
    <w:rsid w:val="00D83793"/>
    <w:rsid w:val="00D84369"/>
    <w:rsid w:val="00D84C8F"/>
    <w:rsid w:val="00D86E59"/>
    <w:rsid w:val="00D873AD"/>
    <w:rsid w:val="00D90BEE"/>
    <w:rsid w:val="00D91AAC"/>
    <w:rsid w:val="00D91C06"/>
    <w:rsid w:val="00D91C9F"/>
    <w:rsid w:val="00D91D96"/>
    <w:rsid w:val="00D93B19"/>
    <w:rsid w:val="00D93FD1"/>
    <w:rsid w:val="00DA0427"/>
    <w:rsid w:val="00DA08F5"/>
    <w:rsid w:val="00DA2176"/>
    <w:rsid w:val="00DA268C"/>
    <w:rsid w:val="00DA2ADC"/>
    <w:rsid w:val="00DB01E2"/>
    <w:rsid w:val="00DB0764"/>
    <w:rsid w:val="00DB3506"/>
    <w:rsid w:val="00DB6529"/>
    <w:rsid w:val="00DB7A9A"/>
    <w:rsid w:val="00DC3177"/>
    <w:rsid w:val="00DC3276"/>
    <w:rsid w:val="00DD0EDD"/>
    <w:rsid w:val="00DD13AB"/>
    <w:rsid w:val="00DD2841"/>
    <w:rsid w:val="00DD323F"/>
    <w:rsid w:val="00DD37D8"/>
    <w:rsid w:val="00DD39F7"/>
    <w:rsid w:val="00DD4D13"/>
    <w:rsid w:val="00DD4EB5"/>
    <w:rsid w:val="00DD5902"/>
    <w:rsid w:val="00DD592F"/>
    <w:rsid w:val="00DD6430"/>
    <w:rsid w:val="00DE01A4"/>
    <w:rsid w:val="00DE3E40"/>
    <w:rsid w:val="00DE4597"/>
    <w:rsid w:val="00DE4CCF"/>
    <w:rsid w:val="00DE643F"/>
    <w:rsid w:val="00DE6775"/>
    <w:rsid w:val="00DF6840"/>
    <w:rsid w:val="00E010AB"/>
    <w:rsid w:val="00E015AD"/>
    <w:rsid w:val="00E0233F"/>
    <w:rsid w:val="00E02678"/>
    <w:rsid w:val="00E0321C"/>
    <w:rsid w:val="00E050EC"/>
    <w:rsid w:val="00E06262"/>
    <w:rsid w:val="00E06503"/>
    <w:rsid w:val="00E0748A"/>
    <w:rsid w:val="00E11BBC"/>
    <w:rsid w:val="00E128A9"/>
    <w:rsid w:val="00E129E3"/>
    <w:rsid w:val="00E138B8"/>
    <w:rsid w:val="00E138FF"/>
    <w:rsid w:val="00E13CC6"/>
    <w:rsid w:val="00E143DA"/>
    <w:rsid w:val="00E14BA3"/>
    <w:rsid w:val="00E1641B"/>
    <w:rsid w:val="00E16744"/>
    <w:rsid w:val="00E24CDE"/>
    <w:rsid w:val="00E25953"/>
    <w:rsid w:val="00E27F5A"/>
    <w:rsid w:val="00E32BEA"/>
    <w:rsid w:val="00E32F5B"/>
    <w:rsid w:val="00E365A2"/>
    <w:rsid w:val="00E3799F"/>
    <w:rsid w:val="00E37DA2"/>
    <w:rsid w:val="00E4121B"/>
    <w:rsid w:val="00E42A95"/>
    <w:rsid w:val="00E42FA4"/>
    <w:rsid w:val="00E43790"/>
    <w:rsid w:val="00E43ACF"/>
    <w:rsid w:val="00E43B5E"/>
    <w:rsid w:val="00E45864"/>
    <w:rsid w:val="00E4622C"/>
    <w:rsid w:val="00E47F40"/>
    <w:rsid w:val="00E50B8D"/>
    <w:rsid w:val="00E51FFB"/>
    <w:rsid w:val="00E52DD3"/>
    <w:rsid w:val="00E54274"/>
    <w:rsid w:val="00E5471E"/>
    <w:rsid w:val="00E55641"/>
    <w:rsid w:val="00E558A4"/>
    <w:rsid w:val="00E576D9"/>
    <w:rsid w:val="00E61C8B"/>
    <w:rsid w:val="00E656C8"/>
    <w:rsid w:val="00E65988"/>
    <w:rsid w:val="00E65C76"/>
    <w:rsid w:val="00E65E35"/>
    <w:rsid w:val="00E65EA1"/>
    <w:rsid w:val="00E6605D"/>
    <w:rsid w:val="00E6611F"/>
    <w:rsid w:val="00E76F09"/>
    <w:rsid w:val="00E8531A"/>
    <w:rsid w:val="00E87A97"/>
    <w:rsid w:val="00E90359"/>
    <w:rsid w:val="00E9168B"/>
    <w:rsid w:val="00E91A28"/>
    <w:rsid w:val="00E91CD6"/>
    <w:rsid w:val="00E923A0"/>
    <w:rsid w:val="00E9265B"/>
    <w:rsid w:val="00E9328D"/>
    <w:rsid w:val="00E941A2"/>
    <w:rsid w:val="00E95253"/>
    <w:rsid w:val="00E95569"/>
    <w:rsid w:val="00E978F3"/>
    <w:rsid w:val="00EA1CB1"/>
    <w:rsid w:val="00EA6125"/>
    <w:rsid w:val="00EB027E"/>
    <w:rsid w:val="00EB3002"/>
    <w:rsid w:val="00EB3D20"/>
    <w:rsid w:val="00EC0435"/>
    <w:rsid w:val="00EC2C5E"/>
    <w:rsid w:val="00EC41C6"/>
    <w:rsid w:val="00EC53C3"/>
    <w:rsid w:val="00EC7180"/>
    <w:rsid w:val="00ED209D"/>
    <w:rsid w:val="00ED418D"/>
    <w:rsid w:val="00ED423B"/>
    <w:rsid w:val="00ED46C4"/>
    <w:rsid w:val="00ED5F88"/>
    <w:rsid w:val="00ED664B"/>
    <w:rsid w:val="00ED7359"/>
    <w:rsid w:val="00ED7C2E"/>
    <w:rsid w:val="00EE16E3"/>
    <w:rsid w:val="00EE1962"/>
    <w:rsid w:val="00EE1AE8"/>
    <w:rsid w:val="00EE35DE"/>
    <w:rsid w:val="00EE5111"/>
    <w:rsid w:val="00EE6D1C"/>
    <w:rsid w:val="00EF0971"/>
    <w:rsid w:val="00EF157F"/>
    <w:rsid w:val="00EF2730"/>
    <w:rsid w:val="00EF28D7"/>
    <w:rsid w:val="00EF4CBB"/>
    <w:rsid w:val="00EF4D0F"/>
    <w:rsid w:val="00EF5550"/>
    <w:rsid w:val="00EF5C9B"/>
    <w:rsid w:val="00F01D63"/>
    <w:rsid w:val="00F03786"/>
    <w:rsid w:val="00F039B6"/>
    <w:rsid w:val="00F03AB8"/>
    <w:rsid w:val="00F05E37"/>
    <w:rsid w:val="00F07897"/>
    <w:rsid w:val="00F07EF7"/>
    <w:rsid w:val="00F112A2"/>
    <w:rsid w:val="00F112AC"/>
    <w:rsid w:val="00F11D59"/>
    <w:rsid w:val="00F130AD"/>
    <w:rsid w:val="00F13575"/>
    <w:rsid w:val="00F13E70"/>
    <w:rsid w:val="00F14EB2"/>
    <w:rsid w:val="00F15594"/>
    <w:rsid w:val="00F16CAB"/>
    <w:rsid w:val="00F2002D"/>
    <w:rsid w:val="00F22093"/>
    <w:rsid w:val="00F227E8"/>
    <w:rsid w:val="00F23A17"/>
    <w:rsid w:val="00F24647"/>
    <w:rsid w:val="00F26374"/>
    <w:rsid w:val="00F26A9F"/>
    <w:rsid w:val="00F30DE4"/>
    <w:rsid w:val="00F31CE2"/>
    <w:rsid w:val="00F331B5"/>
    <w:rsid w:val="00F33B84"/>
    <w:rsid w:val="00F34AF9"/>
    <w:rsid w:val="00F37A60"/>
    <w:rsid w:val="00F41E62"/>
    <w:rsid w:val="00F45725"/>
    <w:rsid w:val="00F47B58"/>
    <w:rsid w:val="00F47BED"/>
    <w:rsid w:val="00F5064B"/>
    <w:rsid w:val="00F52F08"/>
    <w:rsid w:val="00F53521"/>
    <w:rsid w:val="00F53643"/>
    <w:rsid w:val="00F53991"/>
    <w:rsid w:val="00F54D19"/>
    <w:rsid w:val="00F61722"/>
    <w:rsid w:val="00F617C6"/>
    <w:rsid w:val="00F61FC3"/>
    <w:rsid w:val="00F6208E"/>
    <w:rsid w:val="00F6615A"/>
    <w:rsid w:val="00F6697D"/>
    <w:rsid w:val="00F66A33"/>
    <w:rsid w:val="00F66F7C"/>
    <w:rsid w:val="00F70BA5"/>
    <w:rsid w:val="00F71818"/>
    <w:rsid w:val="00F72DBE"/>
    <w:rsid w:val="00F73842"/>
    <w:rsid w:val="00F73B39"/>
    <w:rsid w:val="00F74981"/>
    <w:rsid w:val="00F75C04"/>
    <w:rsid w:val="00F769EC"/>
    <w:rsid w:val="00F8144C"/>
    <w:rsid w:val="00F81F50"/>
    <w:rsid w:val="00F83EB5"/>
    <w:rsid w:val="00F87B66"/>
    <w:rsid w:val="00F90692"/>
    <w:rsid w:val="00F95772"/>
    <w:rsid w:val="00F95F86"/>
    <w:rsid w:val="00F97118"/>
    <w:rsid w:val="00FA0846"/>
    <w:rsid w:val="00FA27D9"/>
    <w:rsid w:val="00FA27ED"/>
    <w:rsid w:val="00FB2CA2"/>
    <w:rsid w:val="00FB4289"/>
    <w:rsid w:val="00FB5140"/>
    <w:rsid w:val="00FB6BFC"/>
    <w:rsid w:val="00FC0149"/>
    <w:rsid w:val="00FC1824"/>
    <w:rsid w:val="00FC2985"/>
    <w:rsid w:val="00FC3B8A"/>
    <w:rsid w:val="00FC48BF"/>
    <w:rsid w:val="00FC7254"/>
    <w:rsid w:val="00FD008B"/>
    <w:rsid w:val="00FD0E0E"/>
    <w:rsid w:val="00FD12A2"/>
    <w:rsid w:val="00FD424D"/>
    <w:rsid w:val="00FD5803"/>
    <w:rsid w:val="00FD6549"/>
    <w:rsid w:val="00FD71AA"/>
    <w:rsid w:val="00FE0120"/>
    <w:rsid w:val="00FE0749"/>
    <w:rsid w:val="00FE2903"/>
    <w:rsid w:val="00FE2CE3"/>
    <w:rsid w:val="00FE2CF0"/>
    <w:rsid w:val="00FE693F"/>
    <w:rsid w:val="00FE7F11"/>
    <w:rsid w:val="00FF20D4"/>
    <w:rsid w:val="00FF2AF6"/>
    <w:rsid w:val="00FF3B92"/>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9B644F6"/>
  <w15:chartTrackingRefBased/>
  <w15:docId w15:val="{6BF234E4-4E24-43FF-84B0-D9DBDC74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styleId="NormalWeb">
    <w:name w:val="Normal (Web)"/>
    <w:basedOn w:val="Normal"/>
    <w:uiPriority w:val="99"/>
    <w:unhideWhenUsed/>
    <w:rsid w:val="00831C6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4056">
      <w:bodyDiv w:val="1"/>
      <w:marLeft w:val="0"/>
      <w:marRight w:val="0"/>
      <w:marTop w:val="0"/>
      <w:marBottom w:val="0"/>
      <w:divBdr>
        <w:top w:val="none" w:sz="0" w:space="0" w:color="auto"/>
        <w:left w:val="none" w:sz="0" w:space="0" w:color="auto"/>
        <w:bottom w:val="none" w:sz="0" w:space="0" w:color="auto"/>
        <w:right w:val="none" w:sz="0" w:space="0" w:color="auto"/>
      </w:divBdr>
      <w:divsChild>
        <w:div w:id="1896503048">
          <w:marLeft w:val="0"/>
          <w:marRight w:val="0"/>
          <w:marTop w:val="0"/>
          <w:marBottom w:val="0"/>
          <w:divBdr>
            <w:top w:val="none" w:sz="0" w:space="0" w:color="auto"/>
            <w:left w:val="none" w:sz="0" w:space="0" w:color="auto"/>
            <w:bottom w:val="none" w:sz="0" w:space="0" w:color="auto"/>
            <w:right w:val="none" w:sz="0" w:space="0" w:color="auto"/>
          </w:divBdr>
        </w:div>
      </w:divsChild>
    </w:div>
    <w:div w:id="159127452">
      <w:bodyDiv w:val="1"/>
      <w:marLeft w:val="0"/>
      <w:marRight w:val="0"/>
      <w:marTop w:val="0"/>
      <w:marBottom w:val="0"/>
      <w:divBdr>
        <w:top w:val="none" w:sz="0" w:space="0" w:color="auto"/>
        <w:left w:val="none" w:sz="0" w:space="0" w:color="auto"/>
        <w:bottom w:val="none" w:sz="0" w:space="0" w:color="auto"/>
        <w:right w:val="none" w:sz="0" w:space="0" w:color="auto"/>
      </w:divBdr>
      <w:divsChild>
        <w:div w:id="927272661">
          <w:marLeft w:val="547"/>
          <w:marRight w:val="0"/>
          <w:marTop w:val="170"/>
          <w:marBottom w:val="0"/>
          <w:divBdr>
            <w:top w:val="none" w:sz="0" w:space="0" w:color="auto"/>
            <w:left w:val="none" w:sz="0" w:space="0" w:color="auto"/>
            <w:bottom w:val="none" w:sz="0" w:space="0" w:color="auto"/>
            <w:right w:val="none" w:sz="0" w:space="0" w:color="auto"/>
          </w:divBdr>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182668612">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470559540">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5">
          <w:marLeft w:val="446"/>
          <w:marRight w:val="0"/>
          <w:marTop w:val="0"/>
          <w:marBottom w:val="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825435470">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116365051">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372150638">
      <w:bodyDiv w:val="1"/>
      <w:marLeft w:val="0"/>
      <w:marRight w:val="0"/>
      <w:marTop w:val="0"/>
      <w:marBottom w:val="0"/>
      <w:divBdr>
        <w:top w:val="none" w:sz="0" w:space="0" w:color="auto"/>
        <w:left w:val="none" w:sz="0" w:space="0" w:color="auto"/>
        <w:bottom w:val="none" w:sz="0" w:space="0" w:color="auto"/>
        <w:right w:val="none" w:sz="0" w:space="0" w:color="auto"/>
      </w:divBdr>
    </w:div>
    <w:div w:id="1415935927">
      <w:bodyDiv w:val="1"/>
      <w:marLeft w:val="0"/>
      <w:marRight w:val="0"/>
      <w:marTop w:val="0"/>
      <w:marBottom w:val="0"/>
      <w:divBdr>
        <w:top w:val="none" w:sz="0" w:space="0" w:color="auto"/>
        <w:left w:val="none" w:sz="0" w:space="0" w:color="auto"/>
        <w:bottom w:val="none" w:sz="0" w:space="0" w:color="auto"/>
        <w:right w:val="none" w:sz="0" w:space="0" w:color="auto"/>
      </w:divBdr>
    </w:div>
    <w:div w:id="150065581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65" TargetMode="External"/><Relationship Id="rId18" Type="http://schemas.openxmlformats.org/officeDocument/2006/relationships/hyperlink" Target="https://www.nice.org.uk/guidance/ta407/chapter/1-Recommend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islation.gov.uk/uksi/2013/259/contents/made" TargetMode="External"/><Relationship Id="rId7" Type="http://schemas.openxmlformats.org/officeDocument/2006/relationships/settings" Target="settings.xml"/><Relationship Id="rId12" Type="http://schemas.openxmlformats.org/officeDocument/2006/relationships/hyperlink" Target="http://www.nice.org.uk/Guidance/gid-ta10457/Documents" TargetMode="External"/><Relationship Id="rId17" Type="http://schemas.openxmlformats.org/officeDocument/2006/relationships/hyperlink" Target="https://www.nice.org.uk/guidance/ta38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ce.org.uk/guidance/ta383" TargetMode="External"/><Relationship Id="rId20" Type="http://schemas.openxmlformats.org/officeDocument/2006/relationships/hyperlink" Target="https://www.nice.org.uk/guidance/ta3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ines.org.uk/emc/product/3669/smp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ice.org.uk/guidance/ta497" TargetMode="External"/><Relationship Id="rId23" Type="http://schemas.openxmlformats.org/officeDocument/2006/relationships/hyperlink" Target="https://www.nice.org.uk/get-involved/meetings-in-public/technology-appraisal-committee" TargetMode="External"/><Relationship Id="rId10" Type="http://schemas.openxmlformats.org/officeDocument/2006/relationships/endnotes" Target="endnotes.xml"/><Relationship Id="rId19" Type="http://schemas.openxmlformats.org/officeDocument/2006/relationships/hyperlink" Target="https://www.nice.org.uk/guidance/ta3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ta383" TargetMode="External"/><Relationship Id="rId22" Type="http://schemas.openxmlformats.org/officeDocument/2006/relationships/hyperlink" Target="https://www.nice.org.uk/Get-Involved/Meetings-in-public/Technology-appraisal-Committee/Committee-a-Member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D704341CB9D540B12ED741C385E705" ma:contentTypeVersion="4" ma:contentTypeDescription="Create a new document." ma:contentTypeScope="" ma:versionID="8fd65ae3c03751ae830114a2a4199e0f">
  <xsd:schema xmlns:xsd="http://www.w3.org/2001/XMLSchema" xmlns:xs="http://www.w3.org/2001/XMLSchema" xmlns:p="http://schemas.microsoft.com/office/2006/metadata/properties" xmlns:ns3="bab7c8a3-47ae-40bc-9a4f-a51d2b4e4035" targetNamespace="http://schemas.microsoft.com/office/2006/metadata/properties" ma:root="true" ma:fieldsID="507a00a41d79979ae625b38fb32bcaa3" ns3:_="">
    <xsd:import namespace="bab7c8a3-47ae-40bc-9a4f-a51d2b4e40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c8a3-47ae-40bc-9a4f-a51d2b4e4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1AB14-0A11-43A8-BABD-1F75E55E3171}">
  <ds:schemaRefs>
    <ds:schemaRef ds:uri="http://schemas.microsoft.com/sharepoint/v3/contenttype/forms"/>
  </ds:schemaRefs>
</ds:datastoreItem>
</file>

<file path=customXml/itemProps2.xml><?xml version="1.0" encoding="utf-8"?>
<ds:datastoreItem xmlns:ds="http://schemas.openxmlformats.org/officeDocument/2006/customXml" ds:itemID="{35BE6ACF-1D6B-4458-B6A5-79CADE696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7c8a3-47ae-40bc-9a4f-a51d2b4e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customXml/itemProps4.xml><?xml version="1.0" encoding="utf-8"?>
<ds:datastoreItem xmlns:ds="http://schemas.openxmlformats.org/officeDocument/2006/customXml" ds:itemID="{DF47144B-50F6-4027-B05F-BAD7DF01EBC2}">
  <ds:schemaRefs>
    <ds:schemaRef ds:uri="http://schemas.microsoft.com/office/2006/metadata/properties"/>
    <ds:schemaRef ds:uri="http://purl.org/dc/terms/"/>
    <ds:schemaRef ds:uri="bab7c8a3-47ae-40bc-9a4f-a51d2b4e403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4382</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30563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Sana Khan</dc:creator>
  <cp:keywords/>
  <cp:lastModifiedBy>Thomas Feist</cp:lastModifiedBy>
  <cp:revision>3</cp:revision>
  <cp:lastPrinted>2012-11-14T14:34:00Z</cp:lastPrinted>
  <dcterms:created xsi:type="dcterms:W3CDTF">2021-03-23T17:06:00Z</dcterms:created>
  <dcterms:modified xsi:type="dcterms:W3CDTF">2021-03-23T17:06:00Z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0x01010067D704341CB9D540B12ED741C385E705</vt:lpwstr>
  </property>
</Properties>
</file>