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FCD85" w14:textId="5CB246BD" w:rsidR="00D96B81" w:rsidRPr="00D96B81" w:rsidRDefault="00453774" w:rsidP="00D96B81">
      <w:pPr>
        <w:rPr>
          <w:rFonts w:ascii="Arial" w:eastAsia="Times New Roman" w:hAnsi="Arial" w:cs="Arial"/>
          <w:sz w:val="24"/>
          <w:szCs w:val="24"/>
          <w:lang w:eastAsia="en-GB"/>
        </w:rPr>
      </w:pPr>
      <w:r w:rsidRPr="00D96B81">
        <w:rPr>
          <w:rFonts w:ascii="Arial" w:hAnsi="Arial" w:cs="Arial"/>
          <w:sz w:val="24"/>
          <w:szCs w:val="24"/>
        </w:rPr>
        <w:softHyphen/>
      </w:r>
      <w:r w:rsidR="00D96B81" w:rsidRPr="00D96B81">
        <w:rPr>
          <w:rFonts w:ascii="Arial" w:eastAsia="Times New Roman" w:hAnsi="Arial" w:cs="Arial"/>
          <w:sz w:val="24"/>
          <w:szCs w:val="24"/>
          <w:lang w:eastAsia="en-GB"/>
        </w:rPr>
        <w:t xml:space="preserve">Sent by email to: </w:t>
      </w:r>
      <w:hyperlink r:id="rId7" w:history="1">
        <w:r w:rsidR="00850640" w:rsidRPr="007F7F30">
          <w:rPr>
            <w:rStyle w:val="Hyperlink"/>
            <w:rFonts w:ascii="Arial" w:eastAsia="Times New Roman" w:hAnsi="Arial" w:cs="Arial"/>
            <w:color w:val="000000" w:themeColor="text1"/>
            <w:sz w:val="24"/>
            <w:szCs w:val="24"/>
            <w:highlight w:val="black"/>
            <w:lang w:eastAsia="en-GB"/>
          </w:rPr>
          <w:t>xxxxxxxx</w:t>
        </w:r>
        <w:r w:rsidR="00850640" w:rsidRPr="00DE1A67">
          <w:rPr>
            <w:rStyle w:val="Hyperlink"/>
            <w:rFonts w:ascii="Arial" w:eastAsia="Times New Roman" w:hAnsi="Arial" w:cs="Arial"/>
            <w:sz w:val="24"/>
            <w:szCs w:val="24"/>
            <w:lang w:eastAsia="en-GB"/>
          </w:rPr>
          <w:t>@ITS.JNJ.com</w:t>
        </w:r>
      </w:hyperlink>
      <w:r w:rsidR="00D96B81" w:rsidRPr="00D96B81">
        <w:rPr>
          <w:rFonts w:ascii="Arial" w:eastAsia="Times New Roman" w:hAnsi="Arial" w:cs="Arial"/>
          <w:sz w:val="24"/>
          <w:szCs w:val="24"/>
          <w:lang w:eastAsia="en-GB"/>
        </w:rPr>
        <w:t xml:space="preserve"> </w:t>
      </w:r>
    </w:p>
    <w:p w14:paraId="137A0954" w14:textId="5B28C09C" w:rsidR="00D96B81" w:rsidRPr="00D96B81" w:rsidRDefault="00850640" w:rsidP="00D96B81">
      <w:pPr>
        <w:autoSpaceDE w:val="0"/>
        <w:autoSpaceDN w:val="0"/>
        <w:spacing w:before="120" w:after="120" w:line="240" w:lineRule="auto"/>
        <w:rPr>
          <w:rFonts w:ascii="Arial" w:hAnsi="Arial" w:cs="Arial"/>
          <w:sz w:val="24"/>
          <w:szCs w:val="24"/>
          <w:lang w:eastAsia="en-GB"/>
        </w:rPr>
      </w:pPr>
      <w:proofErr w:type="spellStart"/>
      <w:r w:rsidRPr="00850640">
        <w:rPr>
          <w:rFonts w:ascii="Arial" w:hAnsi="Arial" w:cs="Arial"/>
          <w:sz w:val="24"/>
          <w:szCs w:val="24"/>
          <w:highlight w:val="black"/>
          <w:lang w:eastAsia="en-GB"/>
        </w:rPr>
        <w:t>xxxxxxxxxxxxxxxx</w:t>
      </w:r>
      <w:proofErr w:type="spellEnd"/>
    </w:p>
    <w:p w14:paraId="4BC488FF" w14:textId="77777777" w:rsidR="00D96B81" w:rsidRPr="00D96B81" w:rsidRDefault="00D96B81" w:rsidP="00D96B81">
      <w:pPr>
        <w:autoSpaceDE w:val="0"/>
        <w:autoSpaceDN w:val="0"/>
        <w:spacing w:before="120" w:after="120" w:line="240" w:lineRule="auto"/>
        <w:rPr>
          <w:rFonts w:ascii="Arial" w:hAnsi="Arial" w:cs="Arial"/>
          <w:sz w:val="24"/>
          <w:szCs w:val="24"/>
          <w:lang w:eastAsia="en-GB"/>
        </w:rPr>
      </w:pPr>
      <w:r w:rsidRPr="00D96B81">
        <w:rPr>
          <w:rFonts w:ascii="Arial" w:hAnsi="Arial" w:cs="Arial"/>
          <w:sz w:val="24"/>
          <w:szCs w:val="24"/>
          <w:lang w:eastAsia="en-GB"/>
        </w:rPr>
        <w:t>Director of Health Economics, Market Access, Reimbursement, Patient Engagement &amp; Government Affairs</w:t>
      </w:r>
    </w:p>
    <w:p w14:paraId="4DC8824A" w14:textId="77777777" w:rsidR="00D96B81" w:rsidRPr="00D96B81" w:rsidRDefault="00D96B81" w:rsidP="00D96B81">
      <w:pPr>
        <w:autoSpaceDE w:val="0"/>
        <w:autoSpaceDN w:val="0"/>
        <w:spacing w:before="120" w:after="120" w:line="240" w:lineRule="auto"/>
        <w:rPr>
          <w:rFonts w:ascii="Arial" w:hAnsi="Arial" w:cs="Arial"/>
          <w:sz w:val="24"/>
          <w:szCs w:val="24"/>
          <w:lang w:eastAsia="en-GB"/>
        </w:rPr>
      </w:pPr>
      <w:r w:rsidRPr="00D96B81">
        <w:rPr>
          <w:rFonts w:ascii="Arial" w:hAnsi="Arial" w:cs="Arial"/>
          <w:sz w:val="24"/>
          <w:szCs w:val="24"/>
          <w:lang w:eastAsia="en-GB"/>
        </w:rPr>
        <w:t>Janssen-</w:t>
      </w:r>
      <w:proofErr w:type="spellStart"/>
      <w:r w:rsidRPr="00D96B81">
        <w:rPr>
          <w:rFonts w:ascii="Arial" w:hAnsi="Arial" w:cs="Arial"/>
          <w:sz w:val="24"/>
          <w:szCs w:val="24"/>
          <w:lang w:eastAsia="en-GB"/>
        </w:rPr>
        <w:t>Cilag</w:t>
      </w:r>
      <w:proofErr w:type="spellEnd"/>
      <w:r w:rsidRPr="00D96B81">
        <w:rPr>
          <w:rFonts w:ascii="Arial" w:hAnsi="Arial" w:cs="Arial"/>
          <w:sz w:val="24"/>
          <w:szCs w:val="24"/>
          <w:lang w:eastAsia="en-GB"/>
        </w:rPr>
        <w:t xml:space="preserve"> Ltd UK</w:t>
      </w:r>
    </w:p>
    <w:p w14:paraId="18C5F52C" w14:textId="77777777" w:rsidR="00D96B81" w:rsidRPr="00D96B81" w:rsidRDefault="00D96B81" w:rsidP="00D96B81">
      <w:pPr>
        <w:spacing w:before="240" w:after="240" w:line="240" w:lineRule="auto"/>
        <w:jc w:val="both"/>
        <w:rPr>
          <w:rFonts w:ascii="Arial" w:eastAsia="Times New Roman" w:hAnsi="Arial" w:cs="Arial"/>
          <w:sz w:val="24"/>
          <w:szCs w:val="24"/>
          <w:lang w:eastAsia="en-GB"/>
        </w:rPr>
      </w:pPr>
    </w:p>
    <w:p w14:paraId="7D5B5692" w14:textId="6ED078CF" w:rsidR="00D96B81" w:rsidRPr="00D96B81" w:rsidRDefault="00D96B81" w:rsidP="00D96B81">
      <w:pPr>
        <w:spacing w:before="240" w:after="240" w:line="240" w:lineRule="auto"/>
        <w:jc w:val="both"/>
        <w:rPr>
          <w:rFonts w:ascii="Arial" w:eastAsia="Times New Roman" w:hAnsi="Arial" w:cs="Arial"/>
          <w:sz w:val="24"/>
          <w:szCs w:val="24"/>
          <w:lang w:eastAsia="en-GB"/>
        </w:rPr>
      </w:pPr>
      <w:r w:rsidRPr="00D96B81">
        <w:rPr>
          <w:rFonts w:ascii="Arial" w:eastAsia="Times New Roman" w:hAnsi="Arial" w:cs="Arial"/>
          <w:sz w:val="24"/>
          <w:szCs w:val="24"/>
          <w:lang w:eastAsia="en-GB"/>
        </w:rPr>
        <w:t>2</w:t>
      </w:r>
      <w:r w:rsidR="00736283">
        <w:rPr>
          <w:rFonts w:ascii="Arial" w:eastAsia="Times New Roman" w:hAnsi="Arial" w:cs="Arial"/>
          <w:sz w:val="24"/>
          <w:szCs w:val="24"/>
          <w:lang w:eastAsia="en-GB"/>
        </w:rPr>
        <w:t>1</w:t>
      </w:r>
      <w:r w:rsidRPr="00D96B81">
        <w:rPr>
          <w:rFonts w:ascii="Arial" w:eastAsia="Times New Roman" w:hAnsi="Arial" w:cs="Arial"/>
          <w:sz w:val="24"/>
          <w:szCs w:val="24"/>
          <w:lang w:eastAsia="en-GB"/>
        </w:rPr>
        <w:t xml:space="preserve"> July 2020</w:t>
      </w:r>
    </w:p>
    <w:p w14:paraId="34152B15" w14:textId="77777777" w:rsidR="00D96B81" w:rsidRPr="00D96B81" w:rsidRDefault="00D96B81" w:rsidP="00D96B81">
      <w:pPr>
        <w:spacing w:before="240" w:after="240" w:line="240" w:lineRule="auto"/>
        <w:jc w:val="both"/>
        <w:rPr>
          <w:rFonts w:ascii="Arial" w:eastAsia="Times New Roman" w:hAnsi="Arial" w:cs="Arial"/>
          <w:sz w:val="24"/>
          <w:szCs w:val="24"/>
          <w:lang w:eastAsia="en-GB"/>
        </w:rPr>
      </w:pPr>
    </w:p>
    <w:p w14:paraId="2B228AD7" w14:textId="6705361E" w:rsidR="00D96B81" w:rsidRPr="00D96B81" w:rsidRDefault="00D96B81" w:rsidP="00D96B81">
      <w:pPr>
        <w:spacing w:before="240" w:after="240" w:line="240" w:lineRule="auto"/>
        <w:jc w:val="both"/>
        <w:rPr>
          <w:rFonts w:ascii="Arial" w:eastAsia="Times New Roman" w:hAnsi="Arial" w:cs="Arial"/>
          <w:sz w:val="24"/>
          <w:szCs w:val="24"/>
          <w:lang w:eastAsia="en-GB"/>
        </w:rPr>
      </w:pPr>
      <w:r w:rsidRPr="00D96B81">
        <w:rPr>
          <w:rFonts w:ascii="Arial" w:eastAsia="Times New Roman" w:hAnsi="Arial" w:cs="Arial"/>
          <w:sz w:val="24"/>
          <w:szCs w:val="24"/>
          <w:lang w:eastAsia="en-GB"/>
        </w:rPr>
        <w:t xml:space="preserve">Dear </w:t>
      </w:r>
      <w:proofErr w:type="spellStart"/>
      <w:r w:rsidR="00850640" w:rsidRPr="00850640">
        <w:rPr>
          <w:rFonts w:ascii="Arial" w:eastAsia="Times New Roman" w:hAnsi="Arial" w:cs="Arial"/>
          <w:sz w:val="24"/>
          <w:szCs w:val="24"/>
          <w:highlight w:val="black"/>
          <w:lang w:eastAsia="en-GB"/>
        </w:rPr>
        <w:t>xxxxxx</w:t>
      </w:r>
      <w:proofErr w:type="spellEnd"/>
    </w:p>
    <w:p w14:paraId="67351526" w14:textId="77777777" w:rsidR="00D96B81" w:rsidRPr="00D96B81" w:rsidRDefault="00D96B81" w:rsidP="00D96B81">
      <w:pPr>
        <w:widowControl w:val="0"/>
        <w:spacing w:before="240" w:after="240" w:line="240" w:lineRule="auto"/>
        <w:jc w:val="both"/>
        <w:rPr>
          <w:rFonts w:ascii="Arial" w:eastAsia="Times New Roman" w:hAnsi="Arial" w:cs="Arial"/>
          <w:b/>
          <w:sz w:val="24"/>
          <w:szCs w:val="24"/>
          <w:lang w:eastAsia="en-GB"/>
        </w:rPr>
      </w:pPr>
      <w:r w:rsidRPr="00D96B81">
        <w:rPr>
          <w:rFonts w:ascii="Arial" w:eastAsia="Times New Roman" w:hAnsi="Arial" w:cs="Arial"/>
          <w:b/>
          <w:sz w:val="24"/>
          <w:szCs w:val="24"/>
          <w:lang w:eastAsia="en-GB"/>
        </w:rPr>
        <w:t>FINAL APPRAISAL DOCUMENT FOR ABIRATERONE FOR HIGH-RISK HORMONE-SENSITIVE METASTATIC PROSTATE CANCER</w:t>
      </w:r>
    </w:p>
    <w:p w14:paraId="7A7931BC" w14:textId="77777777" w:rsidR="00D96B81" w:rsidRPr="00D96B81" w:rsidRDefault="00D96B81" w:rsidP="00D96B81">
      <w:pPr>
        <w:widowControl w:val="0"/>
        <w:spacing w:before="240" w:after="240" w:line="240" w:lineRule="auto"/>
        <w:jc w:val="both"/>
        <w:rPr>
          <w:rFonts w:ascii="Arial" w:eastAsia="Times New Roman" w:hAnsi="Arial" w:cs="Arial"/>
          <w:sz w:val="24"/>
          <w:szCs w:val="24"/>
          <w:lang w:eastAsia="en-GB"/>
        </w:rPr>
      </w:pPr>
      <w:r w:rsidRPr="00D96B81">
        <w:rPr>
          <w:rFonts w:ascii="Arial" w:eastAsia="Times New Roman" w:hAnsi="Arial" w:cs="Arial"/>
          <w:sz w:val="24"/>
          <w:szCs w:val="24"/>
          <w:lang w:eastAsia="en-GB"/>
        </w:rPr>
        <w:t xml:space="preserve">Thank you for your letter of 10 July 2020, lodging Janssen’s appeal against the above Final Appraisal Document (FAD). </w:t>
      </w:r>
    </w:p>
    <w:p w14:paraId="1675FED2" w14:textId="77777777" w:rsidR="00D96B81" w:rsidRPr="00D96B81" w:rsidRDefault="00D96B81" w:rsidP="00D96B81">
      <w:pPr>
        <w:widowControl w:val="0"/>
        <w:spacing w:before="240" w:after="240" w:line="240" w:lineRule="auto"/>
        <w:jc w:val="both"/>
        <w:rPr>
          <w:rFonts w:ascii="Arial" w:eastAsia="Times New Roman" w:hAnsi="Arial" w:cs="Arial"/>
          <w:b/>
          <w:sz w:val="24"/>
          <w:szCs w:val="24"/>
          <w:lang w:eastAsia="en-GB"/>
        </w:rPr>
      </w:pPr>
      <w:r w:rsidRPr="00D96B81">
        <w:rPr>
          <w:rFonts w:ascii="Arial" w:eastAsia="Times New Roman" w:hAnsi="Arial" w:cs="Arial"/>
          <w:b/>
          <w:sz w:val="24"/>
          <w:szCs w:val="24"/>
          <w:lang w:eastAsia="en-GB"/>
        </w:rPr>
        <w:t xml:space="preserve">Introduction </w:t>
      </w:r>
    </w:p>
    <w:p w14:paraId="47BD8C24" w14:textId="77777777" w:rsidR="00D96B81" w:rsidRPr="00D96B81" w:rsidRDefault="00D96B81" w:rsidP="00D96B81">
      <w:pPr>
        <w:widowControl w:val="0"/>
        <w:spacing w:before="240" w:after="240" w:line="240" w:lineRule="auto"/>
        <w:jc w:val="both"/>
        <w:rPr>
          <w:rFonts w:ascii="Arial" w:eastAsia="Times New Roman" w:hAnsi="Arial" w:cs="Arial"/>
          <w:sz w:val="24"/>
          <w:szCs w:val="24"/>
          <w:lang w:eastAsia="en-GB"/>
        </w:rPr>
      </w:pPr>
      <w:r w:rsidRPr="00D96B81">
        <w:rPr>
          <w:rFonts w:ascii="Arial" w:eastAsia="Times New Roman" w:hAnsi="Arial" w:cs="Arial"/>
          <w:sz w:val="24"/>
          <w:szCs w:val="24"/>
          <w:lang w:eastAsia="en-GB"/>
        </w:rPr>
        <w:t xml:space="preserve">The Institute's appeal procedures provide for an initial scrutiny of points that an appellant wishes to raise, to confirm that they are at least arguably within the permitted grounds of appeal ("valid"). The permitted grounds of appeal are: </w:t>
      </w:r>
    </w:p>
    <w:p w14:paraId="4DB6105A" w14:textId="77777777" w:rsidR="00D96B81" w:rsidRPr="00D96B81" w:rsidRDefault="00D96B81" w:rsidP="00D96B81">
      <w:pPr>
        <w:widowControl w:val="0"/>
        <w:spacing w:before="240" w:after="240" w:line="240" w:lineRule="auto"/>
        <w:jc w:val="both"/>
        <w:rPr>
          <w:rFonts w:ascii="Arial" w:eastAsia="Times New Roman" w:hAnsi="Arial" w:cs="Arial"/>
          <w:sz w:val="24"/>
          <w:szCs w:val="24"/>
          <w:lang w:eastAsia="en-GB"/>
        </w:rPr>
      </w:pPr>
      <w:r w:rsidRPr="00D96B81">
        <w:rPr>
          <w:rFonts w:ascii="Arial" w:eastAsia="Times New Roman" w:hAnsi="Arial" w:cs="Arial"/>
          <w:sz w:val="24"/>
          <w:szCs w:val="24"/>
          <w:lang w:eastAsia="en-GB"/>
        </w:rPr>
        <w:t>•</w:t>
      </w:r>
      <w:r w:rsidRPr="00D96B81">
        <w:rPr>
          <w:rFonts w:ascii="Arial" w:eastAsia="Times New Roman" w:hAnsi="Arial" w:cs="Arial"/>
          <w:sz w:val="24"/>
          <w:szCs w:val="24"/>
          <w:lang w:eastAsia="en-GB"/>
        </w:rPr>
        <w:tab/>
        <w:t xml:space="preserve">1(a) NICE  has failed to act fairly, or </w:t>
      </w:r>
    </w:p>
    <w:p w14:paraId="5C9E2D47" w14:textId="77777777" w:rsidR="00D96B81" w:rsidRPr="00D96B81" w:rsidRDefault="00D96B81" w:rsidP="00D96B81">
      <w:pPr>
        <w:widowControl w:val="0"/>
        <w:spacing w:before="240" w:after="240" w:line="240" w:lineRule="auto"/>
        <w:jc w:val="both"/>
        <w:rPr>
          <w:rFonts w:ascii="Arial" w:eastAsia="Times New Roman" w:hAnsi="Arial" w:cs="Arial"/>
          <w:sz w:val="24"/>
          <w:szCs w:val="24"/>
          <w:lang w:eastAsia="en-GB"/>
        </w:rPr>
      </w:pPr>
      <w:r w:rsidRPr="00D96B81">
        <w:rPr>
          <w:rFonts w:ascii="Arial" w:eastAsia="Times New Roman" w:hAnsi="Arial" w:cs="Arial"/>
          <w:sz w:val="24"/>
          <w:szCs w:val="24"/>
          <w:lang w:eastAsia="en-GB"/>
        </w:rPr>
        <w:t>•</w:t>
      </w:r>
      <w:r w:rsidRPr="00D96B81">
        <w:rPr>
          <w:rFonts w:ascii="Arial" w:eastAsia="Times New Roman" w:hAnsi="Arial" w:cs="Arial"/>
          <w:sz w:val="24"/>
          <w:szCs w:val="24"/>
          <w:lang w:eastAsia="en-GB"/>
        </w:rPr>
        <w:tab/>
        <w:t>1(b) NICE has exceeded its powers;</w:t>
      </w:r>
    </w:p>
    <w:p w14:paraId="3B3BDBCD" w14:textId="77777777" w:rsidR="00D96B81" w:rsidRPr="00D96B81" w:rsidRDefault="00D96B81" w:rsidP="00D96B81">
      <w:pPr>
        <w:widowControl w:val="0"/>
        <w:spacing w:before="240" w:after="240" w:line="240" w:lineRule="auto"/>
        <w:jc w:val="both"/>
        <w:rPr>
          <w:rFonts w:ascii="Arial" w:eastAsia="Times New Roman" w:hAnsi="Arial" w:cs="Arial"/>
          <w:sz w:val="24"/>
          <w:szCs w:val="24"/>
          <w:lang w:eastAsia="en-GB"/>
        </w:rPr>
      </w:pPr>
      <w:r w:rsidRPr="00D96B81">
        <w:rPr>
          <w:rFonts w:ascii="Arial" w:eastAsia="Times New Roman" w:hAnsi="Arial" w:cs="Arial"/>
          <w:sz w:val="24"/>
          <w:szCs w:val="24"/>
          <w:lang w:eastAsia="en-GB"/>
        </w:rPr>
        <w:t>•</w:t>
      </w:r>
      <w:r w:rsidRPr="00D96B81">
        <w:rPr>
          <w:rFonts w:ascii="Arial" w:eastAsia="Times New Roman" w:hAnsi="Arial" w:cs="Arial"/>
          <w:sz w:val="24"/>
          <w:szCs w:val="24"/>
          <w:lang w:eastAsia="en-GB"/>
        </w:rPr>
        <w:tab/>
        <w:t>(2) the recommendation is unreasonable in the light of the evidence submitted to NICE</w:t>
      </w:r>
    </w:p>
    <w:p w14:paraId="026C2D9B" w14:textId="77777777" w:rsidR="00D96B81" w:rsidRPr="00D96B81" w:rsidRDefault="00D96B81" w:rsidP="00D96B81">
      <w:pPr>
        <w:widowControl w:val="0"/>
        <w:spacing w:before="240" w:after="240" w:line="240" w:lineRule="auto"/>
        <w:jc w:val="both"/>
        <w:rPr>
          <w:rFonts w:ascii="Arial" w:eastAsia="Times New Roman" w:hAnsi="Arial" w:cs="Arial"/>
          <w:sz w:val="24"/>
          <w:szCs w:val="24"/>
          <w:lang w:eastAsia="en-GB"/>
        </w:rPr>
      </w:pPr>
      <w:r w:rsidRPr="00D96B81">
        <w:rPr>
          <w:rFonts w:ascii="Arial" w:eastAsia="Times New Roman" w:hAnsi="Arial" w:cs="Arial"/>
          <w:sz w:val="24"/>
          <w:szCs w:val="24"/>
          <w:lang w:eastAsia="en-GB"/>
        </w:rPr>
        <w:t xml:space="preserve">This letter sets out my initial view of the points of appeal you have raised: principally whether they fall within any of the grounds of appeal, or whether further clarification is required of any point. Only if I am satisfied that your points contain the necessary information and arguably fall within any one of the grounds will your appeal be referred to the Appeal Panel. </w:t>
      </w:r>
    </w:p>
    <w:p w14:paraId="0B1E3687" w14:textId="77777777" w:rsidR="00D96B81" w:rsidRPr="00D96B81" w:rsidRDefault="00D96B81" w:rsidP="00D96B81">
      <w:pPr>
        <w:widowControl w:val="0"/>
        <w:spacing w:before="240" w:after="240" w:line="240" w:lineRule="auto"/>
        <w:jc w:val="both"/>
        <w:rPr>
          <w:rFonts w:ascii="Arial" w:eastAsia="Times New Roman" w:hAnsi="Arial" w:cs="Arial"/>
          <w:sz w:val="24"/>
          <w:szCs w:val="24"/>
          <w:lang w:eastAsia="en-GB"/>
        </w:rPr>
      </w:pPr>
      <w:r w:rsidRPr="00D96B81">
        <w:rPr>
          <w:rFonts w:ascii="Arial" w:eastAsia="Times New Roman" w:hAnsi="Arial" w:cs="Arial"/>
          <w:sz w:val="24"/>
          <w:szCs w:val="24"/>
          <w:lang w:eastAsia="en-GB"/>
        </w:rPr>
        <w:t xml:space="preserve">You have the opportunity to comment on this letter in order to elaborate on or clarify any of the points raised before I will make my final decision as to whether each appeal point should be referred on to the Appeal Panel. </w:t>
      </w:r>
    </w:p>
    <w:p w14:paraId="211E9AC2" w14:textId="77777777" w:rsidR="00D96B81" w:rsidRPr="00D96B81" w:rsidRDefault="00D96B81" w:rsidP="00D96B81">
      <w:pPr>
        <w:widowControl w:val="0"/>
        <w:spacing w:before="240" w:after="240" w:line="240" w:lineRule="auto"/>
        <w:jc w:val="both"/>
        <w:rPr>
          <w:rFonts w:ascii="Arial" w:eastAsia="Times New Roman" w:hAnsi="Arial" w:cs="Arial"/>
          <w:b/>
          <w:sz w:val="24"/>
          <w:szCs w:val="24"/>
          <w:lang w:eastAsia="en-GB"/>
        </w:rPr>
      </w:pPr>
      <w:r w:rsidRPr="00D96B81">
        <w:rPr>
          <w:rFonts w:ascii="Arial" w:eastAsia="Times New Roman" w:hAnsi="Arial" w:cs="Arial"/>
          <w:b/>
          <w:sz w:val="24"/>
          <w:szCs w:val="24"/>
          <w:lang w:eastAsia="en-GB"/>
        </w:rPr>
        <w:t>Initial View</w:t>
      </w:r>
    </w:p>
    <w:p w14:paraId="2E23DA69" w14:textId="77777777" w:rsidR="00D96B81" w:rsidRPr="00D96B81" w:rsidRDefault="00D96B81" w:rsidP="00D96B81">
      <w:pPr>
        <w:widowControl w:val="0"/>
        <w:spacing w:before="240" w:after="240" w:line="240" w:lineRule="auto"/>
        <w:jc w:val="both"/>
        <w:rPr>
          <w:rFonts w:ascii="Arial" w:eastAsia="Times New Roman" w:hAnsi="Arial" w:cs="Arial"/>
          <w:b/>
          <w:sz w:val="24"/>
          <w:szCs w:val="24"/>
          <w:lang w:eastAsia="en-GB"/>
        </w:rPr>
      </w:pPr>
      <w:r w:rsidRPr="00D96B81">
        <w:rPr>
          <w:rFonts w:ascii="Arial" w:eastAsia="Times New Roman" w:hAnsi="Arial" w:cs="Arial"/>
          <w:b/>
          <w:sz w:val="24"/>
          <w:szCs w:val="24"/>
          <w:lang w:eastAsia="en-GB"/>
        </w:rPr>
        <w:t>Ground 1(a): In making the assessment that preceded the recommendation, NICE has failed to act fairly</w:t>
      </w:r>
    </w:p>
    <w:p w14:paraId="307EC5D9" w14:textId="77777777" w:rsidR="00D96B81" w:rsidRPr="00D96B81" w:rsidRDefault="00D96B81" w:rsidP="00D96B81">
      <w:pPr>
        <w:widowControl w:val="0"/>
        <w:spacing w:before="240" w:after="240" w:line="240" w:lineRule="auto"/>
        <w:jc w:val="both"/>
        <w:rPr>
          <w:rFonts w:ascii="Arial" w:eastAsia="Times New Roman" w:hAnsi="Arial" w:cs="Arial"/>
          <w:i/>
          <w:sz w:val="24"/>
          <w:szCs w:val="24"/>
          <w:lang w:eastAsia="en-GB"/>
        </w:rPr>
      </w:pPr>
      <w:r w:rsidRPr="00D96B81">
        <w:rPr>
          <w:rFonts w:ascii="Arial" w:eastAsia="Times New Roman" w:hAnsi="Arial" w:cs="Arial"/>
          <w:i/>
          <w:sz w:val="24"/>
          <w:szCs w:val="24"/>
          <w:lang w:eastAsia="en-GB"/>
        </w:rPr>
        <w:lastRenderedPageBreak/>
        <w:t>1.1.</w:t>
      </w:r>
      <w:r w:rsidRPr="00D96B81">
        <w:rPr>
          <w:rFonts w:ascii="Arial" w:eastAsia="Times New Roman" w:hAnsi="Arial" w:cs="Arial"/>
          <w:i/>
          <w:sz w:val="24"/>
          <w:szCs w:val="24"/>
          <w:lang w:eastAsia="en-GB"/>
        </w:rPr>
        <w:tab/>
        <w:t>Ground 1(a).1: The Appraisal Committee has failed to consider whether and, if so, to what extent the change in health-related quality of life associated with use of abiraterone has been adequately captured in this appraisal</w:t>
      </w:r>
    </w:p>
    <w:p w14:paraId="0A78F3E8" w14:textId="77777777" w:rsidR="00D96B81" w:rsidRPr="00D96B81" w:rsidRDefault="00D96B81" w:rsidP="00D96B81">
      <w:pPr>
        <w:widowControl w:val="0"/>
        <w:spacing w:before="240" w:after="240" w:line="240" w:lineRule="auto"/>
        <w:jc w:val="both"/>
        <w:rPr>
          <w:rFonts w:ascii="Arial" w:eastAsia="Times New Roman" w:hAnsi="Arial" w:cs="Arial"/>
          <w:sz w:val="24"/>
          <w:szCs w:val="24"/>
          <w:lang w:eastAsia="en-GB"/>
        </w:rPr>
      </w:pPr>
      <w:r w:rsidRPr="00D96B81">
        <w:rPr>
          <w:rFonts w:ascii="Arial" w:eastAsia="Times New Roman" w:hAnsi="Arial" w:cs="Arial"/>
          <w:sz w:val="24"/>
          <w:szCs w:val="24"/>
          <w:lang w:eastAsia="en-GB"/>
        </w:rPr>
        <w:t>I agree your subpoint (a) is a valid appeal point.</w:t>
      </w:r>
    </w:p>
    <w:p w14:paraId="5D31D3D9" w14:textId="77777777" w:rsidR="00D96B81" w:rsidRPr="00D96B81" w:rsidRDefault="00D96B81" w:rsidP="00D96B81">
      <w:pPr>
        <w:widowControl w:val="0"/>
        <w:spacing w:before="240" w:after="240" w:line="240" w:lineRule="auto"/>
        <w:jc w:val="both"/>
        <w:rPr>
          <w:rFonts w:ascii="Arial" w:eastAsia="Times New Roman" w:hAnsi="Arial" w:cs="Arial"/>
          <w:sz w:val="24"/>
          <w:szCs w:val="24"/>
          <w:lang w:eastAsia="en-GB"/>
        </w:rPr>
      </w:pPr>
      <w:r w:rsidRPr="00D96B81">
        <w:rPr>
          <w:rFonts w:ascii="Arial" w:eastAsia="Times New Roman" w:hAnsi="Arial" w:cs="Arial"/>
          <w:sz w:val="24"/>
          <w:szCs w:val="24"/>
          <w:lang w:eastAsia="en-GB"/>
        </w:rPr>
        <w:t xml:space="preserve">I am not presently persuaded that your subpoint (b) is a valid appeal point.  First, I do not think the committee can be faulted for not taking account of the current pandemic, which is likely to be a temporary state of affairs.  Second, I would expect the factors you raise (reduced administration cost and greater convenience of an oral at-home treatment and reduced immunosuppression) to be included in modelling in the form of costs of a comparator, improved quality of life, or fewer adverse incidents.  Further I am not sure these are non-health objectives of the NHS, as they all seem to be health related. </w:t>
      </w:r>
    </w:p>
    <w:p w14:paraId="5B9915BE" w14:textId="77777777" w:rsidR="00D96B81" w:rsidRPr="00D96B81" w:rsidRDefault="00D96B81" w:rsidP="00D96B81">
      <w:pPr>
        <w:widowControl w:val="0"/>
        <w:spacing w:before="240" w:after="240" w:line="240" w:lineRule="auto"/>
        <w:jc w:val="both"/>
        <w:rPr>
          <w:rFonts w:ascii="Arial" w:eastAsia="Times New Roman" w:hAnsi="Arial" w:cs="Arial"/>
          <w:i/>
          <w:sz w:val="24"/>
          <w:szCs w:val="24"/>
          <w:lang w:eastAsia="en-GB"/>
        </w:rPr>
      </w:pPr>
      <w:r w:rsidRPr="00D96B81">
        <w:rPr>
          <w:rFonts w:ascii="Arial" w:eastAsia="Times New Roman" w:hAnsi="Arial" w:cs="Arial"/>
          <w:i/>
          <w:sz w:val="24"/>
          <w:szCs w:val="24"/>
          <w:lang w:eastAsia="en-GB"/>
        </w:rPr>
        <w:t>1.2.</w:t>
      </w:r>
      <w:r w:rsidRPr="00D96B81">
        <w:rPr>
          <w:rFonts w:ascii="Arial" w:eastAsia="Times New Roman" w:hAnsi="Arial" w:cs="Arial"/>
          <w:i/>
          <w:sz w:val="24"/>
          <w:szCs w:val="24"/>
          <w:lang w:eastAsia="en-GB"/>
        </w:rPr>
        <w:tab/>
        <w:t xml:space="preserve">Ground 1(a).2: The Appraisal Committee’s conclusion that “there are no clear-cut clinical criteria to define who can have abiraterone in combination but not docetaxel in combination” does not: (a) provide adequate reasons for diverging from NHS England’s commissioning policy; (b) justify rejection of the criteria proposed by NHS England for determining access to abiraterone through the </w:t>
      </w:r>
      <w:proofErr w:type="spellStart"/>
      <w:r w:rsidRPr="00D96B81">
        <w:rPr>
          <w:rFonts w:ascii="Arial" w:eastAsia="Times New Roman" w:hAnsi="Arial" w:cs="Arial"/>
          <w:i/>
          <w:sz w:val="24"/>
          <w:szCs w:val="24"/>
          <w:lang w:eastAsia="en-GB"/>
        </w:rPr>
        <w:t>Blueteq</w:t>
      </w:r>
      <w:proofErr w:type="spellEnd"/>
      <w:r w:rsidRPr="00D96B81">
        <w:rPr>
          <w:rFonts w:ascii="Arial" w:eastAsia="Times New Roman" w:hAnsi="Arial" w:cs="Arial"/>
          <w:i/>
          <w:sz w:val="24"/>
          <w:szCs w:val="24"/>
          <w:lang w:eastAsia="en-GB"/>
        </w:rPr>
        <w:t xml:space="preserve"> management system; (c) provide reasons for deviating from its conclusions in the earlier appraisal of Radium-223; and (d) explained why it has adopted a different approach to that followed in the appraisal of lenalidomide</w:t>
      </w:r>
    </w:p>
    <w:p w14:paraId="1AE3FD62" w14:textId="77777777" w:rsidR="00D96B81" w:rsidRPr="00D96B81" w:rsidRDefault="00D96B81" w:rsidP="00D96B81">
      <w:pPr>
        <w:widowControl w:val="0"/>
        <w:spacing w:before="240" w:after="240" w:line="240" w:lineRule="auto"/>
        <w:jc w:val="both"/>
        <w:rPr>
          <w:rFonts w:ascii="Arial" w:eastAsia="Times New Roman" w:hAnsi="Arial" w:cs="Arial"/>
          <w:sz w:val="24"/>
          <w:szCs w:val="24"/>
          <w:lang w:eastAsia="en-GB"/>
        </w:rPr>
      </w:pPr>
      <w:r w:rsidRPr="00D96B81">
        <w:rPr>
          <w:rFonts w:ascii="Arial" w:eastAsia="Times New Roman" w:hAnsi="Arial" w:cs="Arial"/>
          <w:sz w:val="24"/>
          <w:szCs w:val="24"/>
          <w:lang w:eastAsia="en-GB"/>
        </w:rPr>
        <w:t xml:space="preserve">I am not persuaded that subpoint (a) is a valid appeal point, because I do not think that the committee were required to take an NHS England commissioning policy as their starting point.  That being so there is no obligation to give a reason for departing from it.  For similar reasons I do not think that subpoint (b) is a valid appeal point (and additionally, I do not think the </w:t>
      </w:r>
      <w:proofErr w:type="spellStart"/>
      <w:r w:rsidRPr="00D96B81">
        <w:rPr>
          <w:rFonts w:ascii="Arial" w:eastAsia="Times New Roman" w:hAnsi="Arial" w:cs="Arial"/>
          <w:sz w:val="24"/>
          <w:szCs w:val="24"/>
          <w:lang w:eastAsia="en-GB"/>
        </w:rPr>
        <w:t>Blueteq</w:t>
      </w:r>
      <w:proofErr w:type="spellEnd"/>
      <w:r w:rsidRPr="00D96B81">
        <w:rPr>
          <w:rFonts w:ascii="Arial" w:eastAsia="Times New Roman" w:hAnsi="Arial" w:cs="Arial"/>
          <w:sz w:val="24"/>
          <w:szCs w:val="24"/>
          <w:lang w:eastAsia="en-GB"/>
        </w:rPr>
        <w:t xml:space="preserve">  criteria meet the Committee’s concern about a lack of clear cut clinical criteria, as they include patients who have made an informed choice not to receive docetaxel which is not a clinical criterion)</w:t>
      </w:r>
    </w:p>
    <w:p w14:paraId="377C4689" w14:textId="46BE978F" w:rsidR="00D96B81" w:rsidRPr="00D96B81" w:rsidRDefault="00D96B81" w:rsidP="00D96B81">
      <w:pPr>
        <w:widowControl w:val="0"/>
        <w:spacing w:before="240" w:after="240" w:line="240" w:lineRule="auto"/>
        <w:jc w:val="both"/>
        <w:rPr>
          <w:rFonts w:ascii="Arial" w:eastAsia="Times New Roman" w:hAnsi="Arial" w:cs="Arial"/>
          <w:sz w:val="24"/>
          <w:szCs w:val="24"/>
          <w:lang w:eastAsia="en-GB"/>
        </w:rPr>
      </w:pPr>
      <w:r w:rsidRPr="00D96B81">
        <w:rPr>
          <w:rFonts w:ascii="Arial" w:eastAsia="Times New Roman" w:hAnsi="Arial" w:cs="Arial"/>
          <w:sz w:val="24"/>
          <w:szCs w:val="24"/>
          <w:lang w:eastAsia="en-GB"/>
        </w:rPr>
        <w:t>I agree that your subpoint (c) (erroneously labelled (b)) concerning the appraisal of Radium 223 is a valid appeal point.</w:t>
      </w:r>
    </w:p>
    <w:p w14:paraId="35AAB682" w14:textId="77777777" w:rsidR="00D96B81" w:rsidRPr="00D96B81" w:rsidRDefault="00D96B81" w:rsidP="00D96B81">
      <w:pPr>
        <w:widowControl w:val="0"/>
        <w:spacing w:before="240" w:after="240" w:line="240" w:lineRule="auto"/>
        <w:jc w:val="both"/>
        <w:rPr>
          <w:rFonts w:ascii="Arial" w:eastAsia="Times New Roman" w:hAnsi="Arial" w:cs="Arial"/>
          <w:sz w:val="24"/>
          <w:szCs w:val="24"/>
          <w:lang w:eastAsia="en-GB"/>
        </w:rPr>
      </w:pPr>
      <w:r w:rsidRPr="00D96B81">
        <w:rPr>
          <w:rFonts w:ascii="Arial" w:eastAsia="Times New Roman" w:hAnsi="Arial" w:cs="Arial"/>
          <w:sz w:val="24"/>
          <w:szCs w:val="24"/>
          <w:lang w:eastAsia="en-GB"/>
        </w:rPr>
        <w:t>I do not agree that your point (d) (labelled (c)) is a valid appeal point because I am not persuaded that the appraisal of lenalidomide has enough in common with this appraisal to be a meaningful guide.</w:t>
      </w:r>
    </w:p>
    <w:p w14:paraId="712870AA" w14:textId="77777777" w:rsidR="00D96B81" w:rsidRPr="00D96B81" w:rsidRDefault="00D96B81" w:rsidP="00D96B81">
      <w:pPr>
        <w:widowControl w:val="0"/>
        <w:spacing w:before="240" w:after="240" w:line="240" w:lineRule="auto"/>
        <w:jc w:val="both"/>
        <w:rPr>
          <w:rFonts w:ascii="Arial" w:eastAsia="Times New Roman" w:hAnsi="Arial" w:cs="Arial"/>
          <w:i/>
          <w:sz w:val="24"/>
          <w:szCs w:val="24"/>
          <w:lang w:eastAsia="en-GB"/>
        </w:rPr>
      </w:pPr>
      <w:r w:rsidRPr="00D96B81">
        <w:rPr>
          <w:rFonts w:ascii="Arial" w:eastAsia="Times New Roman" w:hAnsi="Arial" w:cs="Arial"/>
          <w:i/>
          <w:sz w:val="24"/>
          <w:szCs w:val="24"/>
          <w:lang w:eastAsia="en-GB"/>
        </w:rPr>
        <w:t>1.3.</w:t>
      </w:r>
      <w:r w:rsidRPr="00D96B81">
        <w:rPr>
          <w:rFonts w:ascii="Arial" w:eastAsia="Times New Roman" w:hAnsi="Arial" w:cs="Arial"/>
          <w:i/>
          <w:sz w:val="24"/>
          <w:szCs w:val="24"/>
          <w:lang w:eastAsia="en-GB"/>
        </w:rPr>
        <w:tab/>
        <w:t>Ground 1(a).3: the Appraisal Committee has provided no reasons to explain its view that the benefits of abiraterone may be different in those patients who are unable to receive docetaxel</w:t>
      </w:r>
    </w:p>
    <w:p w14:paraId="377728FD" w14:textId="77777777" w:rsidR="00D96B81" w:rsidRPr="00D96B81" w:rsidRDefault="00D96B81" w:rsidP="00D96B81">
      <w:pPr>
        <w:widowControl w:val="0"/>
        <w:spacing w:before="240" w:after="240" w:line="240" w:lineRule="auto"/>
        <w:jc w:val="both"/>
        <w:rPr>
          <w:rFonts w:ascii="Arial" w:eastAsia="Times New Roman" w:hAnsi="Arial" w:cs="Arial"/>
          <w:sz w:val="24"/>
          <w:szCs w:val="24"/>
          <w:lang w:eastAsia="en-GB"/>
        </w:rPr>
      </w:pPr>
      <w:r w:rsidRPr="00D96B81">
        <w:rPr>
          <w:rFonts w:ascii="Arial" w:eastAsia="Times New Roman" w:hAnsi="Arial" w:cs="Arial"/>
          <w:sz w:val="24"/>
          <w:szCs w:val="24"/>
          <w:lang w:eastAsia="en-GB"/>
        </w:rPr>
        <w:t>A valid appeal point.</w:t>
      </w:r>
    </w:p>
    <w:p w14:paraId="716C35DE" w14:textId="77777777" w:rsidR="00D96B81" w:rsidRPr="00D96B81" w:rsidRDefault="00D96B81" w:rsidP="00D96B81">
      <w:pPr>
        <w:widowControl w:val="0"/>
        <w:spacing w:before="240" w:after="240" w:line="240" w:lineRule="auto"/>
        <w:jc w:val="both"/>
        <w:rPr>
          <w:rFonts w:ascii="Arial" w:eastAsia="Times New Roman" w:hAnsi="Arial" w:cs="Arial"/>
          <w:i/>
          <w:sz w:val="24"/>
          <w:szCs w:val="24"/>
          <w:lang w:eastAsia="en-GB"/>
        </w:rPr>
      </w:pPr>
      <w:r w:rsidRPr="00D96B81">
        <w:rPr>
          <w:rFonts w:ascii="Arial" w:eastAsia="Times New Roman" w:hAnsi="Arial" w:cs="Arial"/>
          <w:i/>
          <w:sz w:val="24"/>
          <w:szCs w:val="24"/>
          <w:lang w:eastAsia="en-GB"/>
        </w:rPr>
        <w:t>1.4.</w:t>
      </w:r>
      <w:r w:rsidRPr="00D96B81">
        <w:rPr>
          <w:rFonts w:ascii="Arial" w:eastAsia="Times New Roman" w:hAnsi="Arial" w:cs="Arial"/>
          <w:i/>
          <w:sz w:val="24"/>
          <w:szCs w:val="24"/>
          <w:lang w:eastAsia="en-GB"/>
        </w:rPr>
        <w:tab/>
        <w:t>Ground 1(a).4: The conclusions of the Appraisal Committee in relation to the cost effectiveness of abiraterone in this appraisal are opaque</w:t>
      </w:r>
    </w:p>
    <w:p w14:paraId="5F5B7C2F" w14:textId="77777777" w:rsidR="00D96B81" w:rsidRPr="00D96B81" w:rsidRDefault="00D96B81" w:rsidP="00D96B81">
      <w:pPr>
        <w:widowControl w:val="0"/>
        <w:spacing w:before="240" w:after="240" w:line="240" w:lineRule="auto"/>
        <w:jc w:val="both"/>
        <w:rPr>
          <w:rFonts w:ascii="Arial" w:eastAsia="Times New Roman" w:hAnsi="Arial" w:cs="Arial"/>
          <w:sz w:val="24"/>
          <w:szCs w:val="24"/>
          <w:lang w:eastAsia="en-GB"/>
        </w:rPr>
      </w:pPr>
      <w:r w:rsidRPr="00D96B81">
        <w:rPr>
          <w:rFonts w:ascii="Arial" w:eastAsia="Times New Roman" w:hAnsi="Arial" w:cs="Arial"/>
          <w:sz w:val="24"/>
          <w:szCs w:val="24"/>
          <w:lang w:eastAsia="en-GB"/>
        </w:rPr>
        <w:t xml:space="preserve">I am not persuaded this is a valid appeal point.  The committee’s conclusion is clear, even if an ICER or a range of ICERs is not given.  Further it seems to me that a reason for this is that the ICERs may indicate what level of confidential discounts may be </w:t>
      </w:r>
      <w:r w:rsidRPr="00D96B81">
        <w:rPr>
          <w:rFonts w:ascii="Arial" w:eastAsia="Times New Roman" w:hAnsi="Arial" w:cs="Arial"/>
          <w:sz w:val="24"/>
          <w:szCs w:val="24"/>
          <w:lang w:eastAsia="en-GB"/>
        </w:rPr>
        <w:lastRenderedPageBreak/>
        <w:t xml:space="preserve">given for other treatments, and that seems to me to be a reasonable concern.  You will have developed the economic model yourselves and the committee have set out in the FAD and in the committee slides comments on the model, and on their preferred assumptions.  It seems to me it is possible to understand their committee’s conclusion and the reasons for it in acceptable detail.  </w:t>
      </w:r>
    </w:p>
    <w:p w14:paraId="53B7FEB3" w14:textId="77777777" w:rsidR="00D96B81" w:rsidRPr="00D96B81" w:rsidRDefault="00D96B81" w:rsidP="00D96B81">
      <w:pPr>
        <w:widowControl w:val="0"/>
        <w:spacing w:before="240" w:after="240" w:line="240" w:lineRule="auto"/>
        <w:jc w:val="both"/>
        <w:rPr>
          <w:rFonts w:ascii="Arial" w:eastAsia="Times New Roman" w:hAnsi="Arial" w:cs="Arial"/>
          <w:i/>
          <w:sz w:val="24"/>
          <w:szCs w:val="24"/>
          <w:lang w:eastAsia="en-GB"/>
        </w:rPr>
      </w:pPr>
      <w:r w:rsidRPr="00D96B81">
        <w:rPr>
          <w:rFonts w:ascii="Arial" w:eastAsia="Times New Roman" w:hAnsi="Arial" w:cs="Arial"/>
          <w:i/>
          <w:sz w:val="24"/>
          <w:szCs w:val="24"/>
          <w:lang w:eastAsia="en-GB"/>
        </w:rPr>
        <w:t>1.5.</w:t>
      </w:r>
      <w:r w:rsidRPr="00D96B81">
        <w:rPr>
          <w:rFonts w:ascii="Arial" w:eastAsia="Times New Roman" w:hAnsi="Arial" w:cs="Arial"/>
          <w:i/>
          <w:sz w:val="24"/>
          <w:szCs w:val="24"/>
          <w:lang w:eastAsia="en-GB"/>
        </w:rPr>
        <w:tab/>
        <w:t xml:space="preserve">Ground 1(a).5 The fact that NICE disclosed its preferred ICERs to NHS England for the purposes of negotiation of a commercial agreement, but not to Janssen is unfair  </w:t>
      </w:r>
    </w:p>
    <w:p w14:paraId="54B2FAE2" w14:textId="77777777" w:rsidR="00D96B81" w:rsidRPr="00D96B81" w:rsidRDefault="00D96B81" w:rsidP="00D96B81">
      <w:pPr>
        <w:widowControl w:val="0"/>
        <w:spacing w:before="240" w:after="240" w:line="240" w:lineRule="auto"/>
        <w:jc w:val="both"/>
        <w:rPr>
          <w:rFonts w:ascii="Arial" w:eastAsia="Times New Roman" w:hAnsi="Arial" w:cs="Arial"/>
          <w:sz w:val="24"/>
          <w:szCs w:val="24"/>
          <w:lang w:eastAsia="en-GB"/>
        </w:rPr>
      </w:pPr>
      <w:r w:rsidRPr="00D96B81">
        <w:rPr>
          <w:rFonts w:ascii="Arial" w:eastAsia="Times New Roman" w:hAnsi="Arial" w:cs="Arial"/>
          <w:sz w:val="24"/>
          <w:szCs w:val="24"/>
          <w:lang w:eastAsia="en-GB"/>
        </w:rPr>
        <w:t xml:space="preserve">I am not convinced this can have caused any unfairness in the appraisal process, which is what the appeal is concerned with.  Further as noted above it seems to me that the Committee had a valid reason for not disclosing precise ICERs, namely to protect the commercially confidential discounts offered by others.  </w:t>
      </w:r>
    </w:p>
    <w:p w14:paraId="714F927B" w14:textId="77777777" w:rsidR="00D96B81" w:rsidRPr="00D96B81" w:rsidRDefault="00D96B81" w:rsidP="00D96B81">
      <w:pPr>
        <w:widowControl w:val="0"/>
        <w:spacing w:before="240" w:after="240" w:line="240" w:lineRule="auto"/>
        <w:jc w:val="both"/>
        <w:rPr>
          <w:rFonts w:ascii="Arial" w:eastAsia="Times New Roman" w:hAnsi="Arial" w:cs="Arial"/>
          <w:i/>
          <w:sz w:val="24"/>
          <w:szCs w:val="24"/>
          <w:lang w:eastAsia="en-GB"/>
        </w:rPr>
      </w:pPr>
      <w:r w:rsidRPr="00D96B81">
        <w:rPr>
          <w:rFonts w:ascii="Arial" w:eastAsia="Times New Roman" w:hAnsi="Arial" w:cs="Arial"/>
          <w:i/>
          <w:sz w:val="24"/>
          <w:szCs w:val="24"/>
          <w:lang w:eastAsia="en-GB"/>
        </w:rPr>
        <w:t>1.6.</w:t>
      </w:r>
      <w:r w:rsidRPr="00D96B81">
        <w:rPr>
          <w:rFonts w:ascii="Arial" w:eastAsia="Times New Roman" w:hAnsi="Arial" w:cs="Arial"/>
          <w:i/>
          <w:sz w:val="24"/>
          <w:szCs w:val="24"/>
          <w:lang w:eastAsia="en-GB"/>
        </w:rPr>
        <w:tab/>
        <w:t>Ground 1(a).6: the Committee’s statement that “the clinical experts involved in STAMPEDE confirmed that post-progression survival was shorter after abiraterone in combination than after ADT in this trial” is based on unpublished data that have not been disclosed or confirmed.</w:t>
      </w:r>
    </w:p>
    <w:p w14:paraId="14B3657C" w14:textId="77777777" w:rsidR="00D96B81" w:rsidRPr="00D96B81" w:rsidRDefault="00D96B81" w:rsidP="00D96B81">
      <w:pPr>
        <w:widowControl w:val="0"/>
        <w:spacing w:before="240" w:after="240" w:line="240" w:lineRule="auto"/>
        <w:jc w:val="both"/>
        <w:rPr>
          <w:rFonts w:ascii="Arial" w:eastAsia="Times New Roman" w:hAnsi="Arial" w:cs="Arial"/>
          <w:sz w:val="24"/>
          <w:szCs w:val="24"/>
          <w:lang w:eastAsia="en-GB"/>
        </w:rPr>
      </w:pPr>
      <w:r w:rsidRPr="00D96B81">
        <w:rPr>
          <w:rFonts w:ascii="Arial" w:eastAsia="Times New Roman" w:hAnsi="Arial" w:cs="Arial"/>
          <w:sz w:val="24"/>
          <w:szCs w:val="24"/>
          <w:lang w:eastAsia="en-GB"/>
        </w:rPr>
        <w:t>A valid appeal point.</w:t>
      </w:r>
    </w:p>
    <w:p w14:paraId="4148EFA2" w14:textId="77777777" w:rsidR="00D96B81" w:rsidRPr="00D96B81" w:rsidRDefault="00D96B81" w:rsidP="00D96B81">
      <w:pPr>
        <w:widowControl w:val="0"/>
        <w:spacing w:before="240" w:after="240" w:line="240" w:lineRule="auto"/>
        <w:jc w:val="both"/>
        <w:rPr>
          <w:rFonts w:ascii="Arial" w:eastAsia="Times New Roman" w:hAnsi="Arial" w:cs="Arial"/>
          <w:i/>
          <w:sz w:val="24"/>
          <w:szCs w:val="24"/>
          <w:lang w:eastAsia="en-GB"/>
        </w:rPr>
      </w:pPr>
      <w:r w:rsidRPr="00D96B81">
        <w:rPr>
          <w:rFonts w:ascii="Arial" w:eastAsia="Times New Roman" w:hAnsi="Arial" w:cs="Arial"/>
          <w:i/>
          <w:sz w:val="24"/>
          <w:szCs w:val="24"/>
          <w:lang w:eastAsia="en-GB"/>
        </w:rPr>
        <w:t>1.7.</w:t>
      </w:r>
      <w:r w:rsidRPr="00D96B81">
        <w:rPr>
          <w:rFonts w:ascii="Arial" w:eastAsia="Times New Roman" w:hAnsi="Arial" w:cs="Arial"/>
          <w:i/>
          <w:sz w:val="24"/>
          <w:szCs w:val="24"/>
          <w:lang w:eastAsia="en-GB"/>
        </w:rPr>
        <w:tab/>
        <w:t>Ground 1(a).7: The Appraisal Committee’s focus on number of subsequent treatment options rather than outcomes relies on an irrelevant consideration</w:t>
      </w:r>
    </w:p>
    <w:p w14:paraId="261DEC6D" w14:textId="77777777" w:rsidR="00D96B81" w:rsidRPr="00D96B81" w:rsidRDefault="00D96B81" w:rsidP="00D96B81">
      <w:pPr>
        <w:widowControl w:val="0"/>
        <w:spacing w:before="240" w:after="240" w:line="240" w:lineRule="auto"/>
        <w:jc w:val="both"/>
        <w:rPr>
          <w:rFonts w:ascii="Arial" w:eastAsia="Times New Roman" w:hAnsi="Arial" w:cs="Arial"/>
          <w:sz w:val="24"/>
          <w:szCs w:val="24"/>
          <w:lang w:eastAsia="en-GB"/>
        </w:rPr>
      </w:pPr>
      <w:r w:rsidRPr="00D96B81">
        <w:rPr>
          <w:rFonts w:ascii="Arial" w:eastAsia="Times New Roman" w:hAnsi="Arial" w:cs="Arial"/>
          <w:sz w:val="24"/>
          <w:szCs w:val="24"/>
          <w:lang w:eastAsia="en-GB"/>
        </w:rPr>
        <w:t>A valid appeal point.</w:t>
      </w:r>
    </w:p>
    <w:p w14:paraId="6503CB84" w14:textId="77777777" w:rsidR="00D96B81" w:rsidRPr="00D96B81" w:rsidRDefault="00D96B81" w:rsidP="00D96B81">
      <w:pPr>
        <w:widowControl w:val="0"/>
        <w:spacing w:before="240" w:after="240" w:line="240" w:lineRule="auto"/>
        <w:jc w:val="both"/>
        <w:rPr>
          <w:rFonts w:ascii="Arial" w:eastAsia="Times New Roman" w:hAnsi="Arial" w:cs="Arial"/>
          <w:b/>
          <w:sz w:val="24"/>
          <w:szCs w:val="24"/>
          <w:lang w:eastAsia="en-GB"/>
        </w:rPr>
      </w:pPr>
      <w:r w:rsidRPr="00D96B81">
        <w:rPr>
          <w:rFonts w:ascii="Arial" w:eastAsia="Times New Roman" w:hAnsi="Arial" w:cs="Arial"/>
          <w:b/>
          <w:sz w:val="24"/>
          <w:szCs w:val="24"/>
          <w:lang w:eastAsia="en-GB"/>
        </w:rPr>
        <w:t>Ground 1b: that NICE has exceeded its powers</w:t>
      </w:r>
    </w:p>
    <w:p w14:paraId="5DA37073" w14:textId="77777777" w:rsidR="00D96B81" w:rsidRPr="00D96B81" w:rsidRDefault="00D96B81" w:rsidP="00D96B81">
      <w:pPr>
        <w:widowControl w:val="0"/>
        <w:spacing w:before="240" w:after="240" w:line="240" w:lineRule="auto"/>
        <w:jc w:val="both"/>
        <w:rPr>
          <w:rFonts w:ascii="Arial" w:eastAsia="Times New Roman" w:hAnsi="Arial" w:cs="Arial"/>
          <w:i/>
          <w:sz w:val="24"/>
          <w:szCs w:val="24"/>
          <w:lang w:eastAsia="en-GB"/>
        </w:rPr>
      </w:pPr>
      <w:r w:rsidRPr="00D96B81">
        <w:rPr>
          <w:rFonts w:ascii="Arial" w:eastAsia="Times New Roman" w:hAnsi="Arial" w:cs="Arial"/>
          <w:i/>
          <w:sz w:val="24"/>
          <w:szCs w:val="24"/>
          <w:lang w:eastAsia="en-GB"/>
        </w:rPr>
        <w:t>1.8.</w:t>
      </w:r>
      <w:r w:rsidRPr="00D96B81">
        <w:rPr>
          <w:rFonts w:ascii="Arial" w:eastAsia="Times New Roman" w:hAnsi="Arial" w:cs="Arial"/>
          <w:i/>
          <w:sz w:val="24"/>
          <w:szCs w:val="24"/>
          <w:lang w:eastAsia="en-GB"/>
        </w:rPr>
        <w:tab/>
        <w:t>Ground 1(b).8: the assertion by the Appraisal Committee that it is required to say whether abiraterone is “safe” in patients who cannot take docetaxel assumes the role of the regulatory authority</w:t>
      </w:r>
    </w:p>
    <w:p w14:paraId="621DE263" w14:textId="77777777" w:rsidR="00D96B81" w:rsidRPr="00D96B81" w:rsidRDefault="00D96B81" w:rsidP="00D96B81">
      <w:pPr>
        <w:widowControl w:val="0"/>
        <w:spacing w:before="240" w:after="240" w:line="240" w:lineRule="auto"/>
        <w:jc w:val="both"/>
        <w:rPr>
          <w:rFonts w:ascii="Arial" w:eastAsia="Times New Roman" w:hAnsi="Arial" w:cs="Arial"/>
          <w:sz w:val="24"/>
          <w:szCs w:val="24"/>
          <w:lang w:eastAsia="en-GB"/>
        </w:rPr>
      </w:pPr>
      <w:r w:rsidRPr="00D96B81">
        <w:rPr>
          <w:rFonts w:ascii="Arial" w:eastAsia="Times New Roman" w:hAnsi="Arial" w:cs="Arial"/>
          <w:sz w:val="24"/>
          <w:szCs w:val="24"/>
          <w:lang w:eastAsia="en-GB"/>
        </w:rPr>
        <w:t>A valid appeal point.</w:t>
      </w:r>
    </w:p>
    <w:p w14:paraId="2F82DE69" w14:textId="77777777" w:rsidR="00D96B81" w:rsidRPr="00D96B81" w:rsidRDefault="00D96B81" w:rsidP="00D96B81">
      <w:pPr>
        <w:widowControl w:val="0"/>
        <w:spacing w:before="240" w:after="240" w:line="240" w:lineRule="auto"/>
        <w:jc w:val="both"/>
        <w:rPr>
          <w:rFonts w:ascii="Arial" w:eastAsia="Times New Roman" w:hAnsi="Arial" w:cs="Arial"/>
          <w:b/>
          <w:sz w:val="24"/>
          <w:szCs w:val="24"/>
          <w:lang w:eastAsia="en-GB"/>
        </w:rPr>
      </w:pPr>
      <w:r w:rsidRPr="00D96B81">
        <w:rPr>
          <w:rFonts w:ascii="Arial" w:eastAsia="Times New Roman" w:hAnsi="Arial" w:cs="Arial"/>
          <w:b/>
          <w:sz w:val="24"/>
          <w:szCs w:val="24"/>
          <w:lang w:eastAsia="en-GB"/>
        </w:rPr>
        <w:t>Ground 2: The recommendation is unreasonable in light of the evidence submitted</w:t>
      </w:r>
    </w:p>
    <w:p w14:paraId="4A9B31F1" w14:textId="77777777" w:rsidR="00D96B81" w:rsidRPr="00D96B81" w:rsidRDefault="00D96B81" w:rsidP="00D96B81">
      <w:pPr>
        <w:widowControl w:val="0"/>
        <w:spacing w:before="240" w:after="240" w:line="240" w:lineRule="auto"/>
        <w:jc w:val="both"/>
        <w:rPr>
          <w:rFonts w:ascii="Arial" w:eastAsia="Times New Roman" w:hAnsi="Arial" w:cs="Arial"/>
          <w:i/>
          <w:sz w:val="24"/>
          <w:szCs w:val="24"/>
          <w:lang w:eastAsia="en-GB"/>
        </w:rPr>
      </w:pPr>
      <w:r w:rsidRPr="00D96B81">
        <w:rPr>
          <w:rFonts w:ascii="Arial" w:eastAsia="Times New Roman" w:hAnsi="Arial" w:cs="Arial"/>
          <w:i/>
          <w:sz w:val="24"/>
          <w:szCs w:val="24"/>
          <w:lang w:eastAsia="en-GB"/>
        </w:rPr>
        <w:t>2.1.</w:t>
      </w:r>
      <w:r w:rsidRPr="00D96B81">
        <w:rPr>
          <w:rFonts w:ascii="Arial" w:eastAsia="Times New Roman" w:hAnsi="Arial" w:cs="Arial"/>
          <w:i/>
          <w:sz w:val="24"/>
          <w:szCs w:val="24"/>
          <w:lang w:eastAsia="en-GB"/>
        </w:rPr>
        <w:tab/>
        <w:t>Ground 2.1: The Appraisal Committee’s conclusion that “there are no clear-cut clinical criteria to define who can have abiraterone in combination but not docetaxel in combination” is unreasonable in the context of the available evidence</w:t>
      </w:r>
    </w:p>
    <w:p w14:paraId="3ED7D58C" w14:textId="77777777" w:rsidR="00D96B81" w:rsidRPr="00D96B81" w:rsidRDefault="00D96B81" w:rsidP="00D96B81">
      <w:pPr>
        <w:widowControl w:val="0"/>
        <w:spacing w:before="240" w:after="240" w:line="240" w:lineRule="auto"/>
        <w:jc w:val="both"/>
        <w:rPr>
          <w:rFonts w:ascii="Arial" w:eastAsia="Times New Roman" w:hAnsi="Arial" w:cs="Arial"/>
          <w:sz w:val="24"/>
          <w:szCs w:val="24"/>
          <w:lang w:eastAsia="en-GB"/>
        </w:rPr>
      </w:pPr>
      <w:r w:rsidRPr="00D96B81">
        <w:rPr>
          <w:rFonts w:ascii="Arial" w:eastAsia="Times New Roman" w:hAnsi="Arial" w:cs="Arial"/>
          <w:sz w:val="24"/>
          <w:szCs w:val="24"/>
          <w:lang w:eastAsia="en-GB"/>
        </w:rPr>
        <w:t xml:space="preserve">And </w:t>
      </w:r>
    </w:p>
    <w:p w14:paraId="79284462" w14:textId="77777777" w:rsidR="00D96B81" w:rsidRPr="00D96B81" w:rsidRDefault="00D96B81" w:rsidP="00D96B81">
      <w:pPr>
        <w:widowControl w:val="0"/>
        <w:spacing w:before="240" w:after="240" w:line="240" w:lineRule="auto"/>
        <w:jc w:val="both"/>
        <w:rPr>
          <w:rFonts w:ascii="Arial" w:eastAsia="Times New Roman" w:hAnsi="Arial" w:cs="Arial"/>
          <w:i/>
          <w:sz w:val="24"/>
          <w:szCs w:val="24"/>
          <w:lang w:eastAsia="en-GB"/>
        </w:rPr>
      </w:pPr>
      <w:r w:rsidRPr="00D96B81">
        <w:rPr>
          <w:rFonts w:ascii="Arial" w:eastAsia="Times New Roman" w:hAnsi="Arial" w:cs="Arial"/>
          <w:i/>
          <w:sz w:val="24"/>
          <w:szCs w:val="24"/>
          <w:lang w:eastAsia="en-GB"/>
        </w:rPr>
        <w:t>2.2.</w:t>
      </w:r>
      <w:r w:rsidRPr="00D96B81">
        <w:rPr>
          <w:rFonts w:ascii="Arial" w:eastAsia="Times New Roman" w:hAnsi="Arial" w:cs="Arial"/>
          <w:i/>
          <w:sz w:val="24"/>
          <w:szCs w:val="24"/>
          <w:lang w:eastAsia="en-GB"/>
        </w:rPr>
        <w:tab/>
        <w:t>Ground 2.2: the Appraisal Committee’s conclusion that the benefits of abiraterone may be different in those patients who are unable to receive docetaxel is unreasonable in light of the evidence available</w:t>
      </w:r>
    </w:p>
    <w:p w14:paraId="18D44C5B" w14:textId="77777777" w:rsidR="00D96B81" w:rsidRPr="00D96B81" w:rsidRDefault="00D96B81" w:rsidP="00D96B81">
      <w:pPr>
        <w:widowControl w:val="0"/>
        <w:spacing w:before="240" w:after="240" w:line="240" w:lineRule="auto"/>
        <w:jc w:val="both"/>
        <w:rPr>
          <w:rFonts w:ascii="Arial" w:eastAsia="Times New Roman" w:hAnsi="Arial" w:cs="Arial"/>
          <w:sz w:val="24"/>
          <w:szCs w:val="24"/>
          <w:lang w:eastAsia="en-GB"/>
        </w:rPr>
      </w:pPr>
      <w:r w:rsidRPr="00D96B81">
        <w:rPr>
          <w:rFonts w:ascii="Arial" w:eastAsia="Times New Roman" w:hAnsi="Arial" w:cs="Arial"/>
          <w:sz w:val="24"/>
          <w:szCs w:val="24"/>
          <w:lang w:eastAsia="en-GB"/>
        </w:rPr>
        <w:t xml:space="preserve">Both valid appeal points.  </w:t>
      </w:r>
    </w:p>
    <w:p w14:paraId="2381F024" w14:textId="77777777" w:rsidR="00D96B81" w:rsidRPr="00D96B81" w:rsidRDefault="00D96B81" w:rsidP="00D96B81">
      <w:pPr>
        <w:widowControl w:val="0"/>
        <w:spacing w:before="240" w:after="240" w:line="240" w:lineRule="auto"/>
        <w:jc w:val="both"/>
        <w:rPr>
          <w:rFonts w:ascii="Arial" w:eastAsia="Times New Roman" w:hAnsi="Arial" w:cs="Arial"/>
          <w:sz w:val="24"/>
          <w:szCs w:val="24"/>
          <w:lang w:eastAsia="en-GB"/>
        </w:rPr>
      </w:pPr>
      <w:r w:rsidRPr="00D96B81">
        <w:rPr>
          <w:rFonts w:ascii="Arial" w:eastAsia="Times New Roman" w:hAnsi="Arial" w:cs="Arial"/>
          <w:sz w:val="24"/>
          <w:szCs w:val="24"/>
          <w:lang w:eastAsia="en-GB"/>
        </w:rPr>
        <w:t xml:space="preserve">In respect of the points or subpoints that I am not yet minded to refer you are entitled to submit further clarification and/or evidence to me within the next 10 working days, </w:t>
      </w:r>
      <w:r w:rsidRPr="00D96B81">
        <w:rPr>
          <w:rFonts w:ascii="Arial" w:eastAsia="Times New Roman" w:hAnsi="Arial" w:cs="Arial"/>
          <w:b/>
          <w:bCs/>
          <w:sz w:val="24"/>
          <w:szCs w:val="24"/>
          <w:lang w:eastAsia="en-GB"/>
        </w:rPr>
        <w:t>no later than 5pm Monday 3 August 2020</w:t>
      </w:r>
      <w:r w:rsidRPr="00D96B81">
        <w:rPr>
          <w:rFonts w:ascii="Arial" w:eastAsia="Times New Roman" w:hAnsi="Arial" w:cs="Arial"/>
          <w:sz w:val="24"/>
          <w:szCs w:val="24"/>
          <w:lang w:eastAsia="en-GB"/>
        </w:rPr>
        <w:t>,</w:t>
      </w:r>
      <w:r w:rsidRPr="00D96B81">
        <w:rPr>
          <w:rFonts w:ascii="Arial" w:eastAsia="Times New Roman" w:hAnsi="Arial" w:cs="Arial"/>
          <w:b/>
          <w:bCs/>
          <w:sz w:val="24"/>
          <w:szCs w:val="24"/>
          <w:lang w:eastAsia="en-GB"/>
        </w:rPr>
        <w:t xml:space="preserve"> </w:t>
      </w:r>
      <w:r w:rsidRPr="00D96B81">
        <w:rPr>
          <w:rFonts w:ascii="Arial" w:eastAsia="Times New Roman" w:hAnsi="Arial" w:cs="Arial"/>
          <w:sz w:val="24"/>
          <w:szCs w:val="24"/>
          <w:lang w:eastAsia="en-GB"/>
        </w:rPr>
        <w:t xml:space="preserve">and I will then give a final decision on the </w:t>
      </w:r>
      <w:r w:rsidRPr="00D96B81">
        <w:rPr>
          <w:rFonts w:ascii="Arial" w:eastAsia="Times New Roman" w:hAnsi="Arial" w:cs="Arial"/>
          <w:sz w:val="24"/>
          <w:szCs w:val="24"/>
          <w:lang w:eastAsia="en-GB"/>
        </w:rPr>
        <w:lastRenderedPageBreak/>
        <w:t>points to put before an appeal panel.  For the points I am already content to refer on, an oral appeal will be held, although under current circumstances this is likely to be held remotely.</w:t>
      </w:r>
    </w:p>
    <w:p w14:paraId="4AE64794" w14:textId="77777777" w:rsidR="00D96B81" w:rsidRPr="00D96B81" w:rsidRDefault="00D96B81" w:rsidP="00D96B81">
      <w:pPr>
        <w:widowControl w:val="0"/>
        <w:spacing w:before="240" w:after="240" w:line="240" w:lineRule="auto"/>
        <w:jc w:val="both"/>
        <w:rPr>
          <w:rFonts w:ascii="Arial" w:eastAsia="Times New Roman" w:hAnsi="Arial" w:cs="Arial"/>
          <w:sz w:val="24"/>
          <w:szCs w:val="24"/>
          <w:lang w:eastAsia="en-GB"/>
        </w:rPr>
      </w:pPr>
    </w:p>
    <w:p w14:paraId="7F54E2EF" w14:textId="77777777" w:rsidR="00D96B81" w:rsidRPr="00D96B81" w:rsidRDefault="00D96B81" w:rsidP="00D96B81">
      <w:pPr>
        <w:widowControl w:val="0"/>
        <w:spacing w:before="240" w:after="240" w:line="240" w:lineRule="auto"/>
        <w:jc w:val="both"/>
        <w:rPr>
          <w:rFonts w:ascii="Arial" w:eastAsia="Times New Roman" w:hAnsi="Arial" w:cs="Arial"/>
          <w:sz w:val="24"/>
          <w:szCs w:val="24"/>
          <w:lang w:eastAsia="en-GB"/>
        </w:rPr>
      </w:pPr>
      <w:r w:rsidRPr="00D96B81">
        <w:rPr>
          <w:rFonts w:ascii="Arial" w:eastAsia="Times New Roman" w:hAnsi="Arial" w:cs="Arial"/>
          <w:sz w:val="24"/>
          <w:szCs w:val="24"/>
          <w:lang w:eastAsia="en-GB"/>
        </w:rPr>
        <w:t>Many thanks</w:t>
      </w:r>
    </w:p>
    <w:p w14:paraId="7692F9C9" w14:textId="77777777" w:rsidR="00D96B81" w:rsidRPr="00D96B81" w:rsidRDefault="00D96B81" w:rsidP="00D96B81">
      <w:pPr>
        <w:spacing w:before="240" w:after="240" w:line="240" w:lineRule="auto"/>
        <w:jc w:val="both"/>
        <w:rPr>
          <w:rFonts w:ascii="Arial" w:eastAsia="Times New Roman" w:hAnsi="Arial" w:cs="Arial"/>
          <w:sz w:val="24"/>
          <w:szCs w:val="24"/>
          <w:lang w:eastAsia="en-GB"/>
        </w:rPr>
      </w:pPr>
      <w:r w:rsidRPr="00D96B81">
        <w:rPr>
          <w:rFonts w:ascii="Arial" w:eastAsia="Times New Roman" w:hAnsi="Arial" w:cs="Arial"/>
          <w:sz w:val="24"/>
          <w:szCs w:val="24"/>
          <w:lang w:eastAsia="en-GB"/>
        </w:rPr>
        <w:t xml:space="preserve">Yours sincerely </w:t>
      </w:r>
    </w:p>
    <w:p w14:paraId="7F8583BC" w14:textId="45614C84" w:rsidR="00D96B81" w:rsidRPr="00D96B81" w:rsidRDefault="00D96B81" w:rsidP="00D96B81">
      <w:pPr>
        <w:spacing w:before="240" w:after="240" w:line="240" w:lineRule="auto"/>
        <w:jc w:val="both"/>
        <w:rPr>
          <w:rFonts w:ascii="Arial" w:eastAsia="Times New Roman" w:hAnsi="Arial" w:cs="Arial"/>
          <w:sz w:val="24"/>
          <w:szCs w:val="24"/>
          <w:lang w:eastAsia="en-GB"/>
        </w:rPr>
      </w:pPr>
    </w:p>
    <w:p w14:paraId="1F4505DE" w14:textId="77777777" w:rsidR="00D96B81" w:rsidRPr="00D96B81" w:rsidRDefault="00D96B81" w:rsidP="00D96B81">
      <w:pPr>
        <w:spacing w:before="240" w:after="240" w:line="240" w:lineRule="auto"/>
        <w:jc w:val="both"/>
        <w:rPr>
          <w:rFonts w:ascii="Arial" w:eastAsia="Times New Roman" w:hAnsi="Arial" w:cs="Arial"/>
          <w:sz w:val="24"/>
          <w:szCs w:val="24"/>
          <w:lang w:eastAsia="en-GB"/>
        </w:rPr>
      </w:pPr>
      <w:r w:rsidRPr="00D96B81">
        <w:rPr>
          <w:rFonts w:ascii="Arial" w:eastAsia="Times New Roman" w:hAnsi="Arial" w:cs="Arial"/>
          <w:sz w:val="24"/>
          <w:szCs w:val="24"/>
          <w:lang w:eastAsia="en-GB"/>
        </w:rPr>
        <w:t>Tim Irish</w:t>
      </w:r>
    </w:p>
    <w:p w14:paraId="35FEE527" w14:textId="77777777" w:rsidR="00D96B81" w:rsidRPr="00D96B81" w:rsidRDefault="00D96B81" w:rsidP="00D96B81">
      <w:pPr>
        <w:spacing w:before="240" w:after="240" w:line="240" w:lineRule="auto"/>
        <w:jc w:val="both"/>
        <w:rPr>
          <w:rFonts w:ascii="Arial" w:eastAsia="Times New Roman" w:hAnsi="Arial" w:cs="Arial"/>
          <w:sz w:val="24"/>
          <w:szCs w:val="24"/>
          <w:lang w:eastAsia="en-GB"/>
        </w:rPr>
      </w:pPr>
      <w:r w:rsidRPr="00D96B81">
        <w:rPr>
          <w:rFonts w:ascii="Arial" w:eastAsia="Times New Roman" w:hAnsi="Arial" w:cs="Arial"/>
          <w:sz w:val="24"/>
          <w:szCs w:val="24"/>
          <w:lang w:eastAsia="en-GB"/>
        </w:rPr>
        <w:t>Vice-Chair</w:t>
      </w:r>
    </w:p>
    <w:p w14:paraId="0EA9C8EF" w14:textId="77777777" w:rsidR="00D96B81" w:rsidRPr="00D96B81" w:rsidRDefault="00D96B81" w:rsidP="00D96B81">
      <w:pPr>
        <w:spacing w:before="240" w:after="240" w:line="240" w:lineRule="auto"/>
        <w:jc w:val="both"/>
        <w:rPr>
          <w:rFonts w:ascii="Arial" w:eastAsia="Times New Roman" w:hAnsi="Arial" w:cs="Arial"/>
          <w:sz w:val="24"/>
          <w:szCs w:val="24"/>
          <w:lang w:eastAsia="en-GB"/>
        </w:rPr>
      </w:pPr>
      <w:r w:rsidRPr="00D96B81">
        <w:rPr>
          <w:rFonts w:ascii="Arial" w:eastAsia="Times New Roman" w:hAnsi="Arial" w:cs="Arial"/>
          <w:sz w:val="24"/>
          <w:szCs w:val="24"/>
          <w:lang w:eastAsia="en-GB"/>
        </w:rPr>
        <w:t>National Institute for Health and Care Excellence</w:t>
      </w:r>
    </w:p>
    <w:p w14:paraId="03E7BAFA" w14:textId="228E4268" w:rsidR="000B36E1" w:rsidRPr="00D96B81" w:rsidRDefault="000B36E1" w:rsidP="00D96B81">
      <w:pPr>
        <w:rPr>
          <w:rFonts w:ascii="Arial" w:hAnsi="Arial" w:cs="Arial"/>
          <w:sz w:val="24"/>
          <w:szCs w:val="24"/>
        </w:rPr>
      </w:pPr>
    </w:p>
    <w:sectPr w:rsidR="000B36E1" w:rsidRPr="00D96B81" w:rsidSect="000B36E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D323D" w14:textId="1683F94C"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3A79B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6FFC96ED">
          <wp:simplePos x="0" y="0"/>
          <wp:positionH relativeFrom="margin">
            <wp:align>center</wp:align>
          </wp:positionH>
          <wp:positionV relativeFrom="margin">
            <wp:posOffset>8340560</wp:posOffset>
          </wp:positionV>
          <wp:extent cx="7000002" cy="509268"/>
          <wp:effectExtent l="0" t="0" r="0" b="5715"/>
          <wp:wrapNone/>
          <wp:docPr id="5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17012" w14:textId="58C2A3C9"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4836F15E">
          <wp:simplePos x="0" y="0"/>
          <wp:positionH relativeFrom="margin">
            <wp:posOffset>-699770</wp:posOffset>
          </wp:positionH>
          <wp:positionV relativeFrom="margin">
            <wp:posOffset>-1206817</wp:posOffset>
          </wp:positionV>
          <wp:extent cx="2800350" cy="496570"/>
          <wp:effectExtent l="0" t="0" r="0" b="0"/>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Pr="005E0434">
      <w:rPr>
        <w:rFonts w:ascii="Arial" w:hAnsi="Arial" w:cs="Arial"/>
        <w:color w:val="0E0E0E"/>
        <w:sz w:val="20"/>
        <w:szCs w:val="20"/>
      </w:rPr>
      <w:t>10 Spring Gardens</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SW1A 2BU</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053B8"/>
    <w:rsid w:val="000468DC"/>
    <w:rsid w:val="00085181"/>
    <w:rsid w:val="000B352B"/>
    <w:rsid w:val="000B36E1"/>
    <w:rsid w:val="00176AA4"/>
    <w:rsid w:val="001C4C0F"/>
    <w:rsid w:val="001D5BD2"/>
    <w:rsid w:val="0022689E"/>
    <w:rsid w:val="003028A0"/>
    <w:rsid w:val="00320722"/>
    <w:rsid w:val="00321B75"/>
    <w:rsid w:val="003A3E2E"/>
    <w:rsid w:val="003A79BD"/>
    <w:rsid w:val="003D614E"/>
    <w:rsid w:val="004215D9"/>
    <w:rsid w:val="00453774"/>
    <w:rsid w:val="00493D2F"/>
    <w:rsid w:val="004C2D22"/>
    <w:rsid w:val="004E4493"/>
    <w:rsid w:val="004F29D7"/>
    <w:rsid w:val="005B078B"/>
    <w:rsid w:val="005E0434"/>
    <w:rsid w:val="0069376C"/>
    <w:rsid w:val="006D0C62"/>
    <w:rsid w:val="006F031D"/>
    <w:rsid w:val="00732227"/>
    <w:rsid w:val="00736283"/>
    <w:rsid w:val="007F7F30"/>
    <w:rsid w:val="00850640"/>
    <w:rsid w:val="009E2F15"/>
    <w:rsid w:val="00AE303D"/>
    <w:rsid w:val="00B32B71"/>
    <w:rsid w:val="00C96687"/>
    <w:rsid w:val="00D96B81"/>
    <w:rsid w:val="00E03263"/>
    <w:rsid w:val="00E622D7"/>
    <w:rsid w:val="00EA3919"/>
    <w:rsid w:val="00EE6553"/>
    <w:rsid w:val="00F1265E"/>
    <w:rsid w:val="00F233EA"/>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character" w:styleId="Hyperlink">
    <w:name w:val="Hyperlink"/>
    <w:basedOn w:val="DefaultParagraphFont"/>
    <w:uiPriority w:val="99"/>
    <w:unhideWhenUsed/>
    <w:rsid w:val="00D96B81"/>
    <w:rPr>
      <w:color w:val="0000FF" w:themeColor="hyperlink"/>
      <w:u w:val="single"/>
    </w:rPr>
  </w:style>
  <w:style w:type="character" w:styleId="UnresolvedMention">
    <w:name w:val="Unresolved Mention"/>
    <w:basedOn w:val="DefaultParagraphFont"/>
    <w:uiPriority w:val="99"/>
    <w:semiHidden/>
    <w:unhideWhenUsed/>
    <w:rsid w:val="00D96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85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xxxx@ITS.JNJ.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674F-B31D-444D-8DA2-97F304D4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12</TotalTime>
  <Pages>4</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Maria Pitan</cp:lastModifiedBy>
  <cp:revision>8</cp:revision>
  <cp:lastPrinted>2017-02-13T09:51:00Z</cp:lastPrinted>
  <dcterms:created xsi:type="dcterms:W3CDTF">2020-07-20T14:31:00Z</dcterms:created>
  <dcterms:modified xsi:type="dcterms:W3CDTF">2020-08-07T13:27:00Z</dcterms:modified>
</cp:coreProperties>
</file>