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B4DBC" w14:textId="77777777" w:rsidR="000F48EC" w:rsidRPr="00FA7706" w:rsidRDefault="000F48EC" w:rsidP="0093671F">
      <w:pPr>
        <w:pStyle w:val="Title2"/>
      </w:pPr>
      <w:r w:rsidRPr="00FA7706">
        <w:t>NATIONAL INSTITUTE FOR HEALTH AND C</w:t>
      </w:r>
      <w:r w:rsidR="00CC63EB" w:rsidRPr="00FA7706">
        <w:t>ARE</w:t>
      </w:r>
      <w:r w:rsidRPr="00FA7706">
        <w:t xml:space="preserve"> EXCELLENCE</w:t>
      </w:r>
    </w:p>
    <w:p w14:paraId="4741DDA5" w14:textId="78740517" w:rsidR="000F48EC" w:rsidRPr="00FA7706" w:rsidRDefault="00DE2053" w:rsidP="000069F9">
      <w:pPr>
        <w:pStyle w:val="Title2"/>
      </w:pPr>
      <w:r w:rsidRPr="00FA7706">
        <w:t>A</w:t>
      </w:r>
      <w:r w:rsidR="00C03294" w:rsidRPr="00FA7706">
        <w:t>ppraisal consultation document</w:t>
      </w:r>
    </w:p>
    <w:p w14:paraId="6A6D62E0" w14:textId="1CB6F28E" w:rsidR="007A2801" w:rsidRPr="00FA7706" w:rsidRDefault="00DD3729" w:rsidP="00855B42">
      <w:pPr>
        <w:pStyle w:val="Title1"/>
      </w:pPr>
      <w:r w:rsidRPr="00DD3729">
        <w:t>Nivolumab with ipilimumab and chemotherapy for untreated metastatic non-small-cell lung cancer [ID1566]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5FFFE2CD" w14:textId="77777777" w:rsidTr="008669C9">
        <w:tc>
          <w:tcPr>
            <w:tcW w:w="8529" w:type="dxa"/>
            <w:shd w:val="clear" w:color="auto" w:fill="auto"/>
          </w:tcPr>
          <w:p w14:paraId="154AA7CC" w14:textId="77777777" w:rsidR="00DD3729" w:rsidRDefault="00DD3729" w:rsidP="00DD3729">
            <w:pPr>
              <w:pStyle w:val="NICEnormalsinglespacing"/>
            </w:pPr>
            <w:r>
              <w:t xml:space="preserve">The Department of Health and Social Care has asked the National Institute for Health and Care Excellence (NICE) to produce guidance on using nivolumab with ipilimumab and chemotherapy in the NHS in England. The appraisal committee has considered the evidence submitted by the company and the views of non-company consultees and commentators, clinical </w:t>
            </w:r>
            <w:proofErr w:type="gramStart"/>
            <w:r>
              <w:t>experts</w:t>
            </w:r>
            <w:proofErr w:type="gramEnd"/>
            <w:r>
              <w:t xml:space="preserve"> and patient experts. </w:t>
            </w:r>
          </w:p>
          <w:p w14:paraId="6C13FE5F" w14:textId="77777777" w:rsidR="00DD3729" w:rsidRDefault="00DD3729" w:rsidP="00DD3729">
            <w:pPr>
              <w:pStyle w:val="NICEnormalsinglespacing"/>
            </w:pPr>
            <w:r w:rsidRPr="00791280">
              <w:rPr>
                <w:rStyle w:val="NICEnormalChar"/>
                <w:b/>
                <w:bCs/>
              </w:rPr>
              <w:t>This document has been prepared for consultation with the consultees.</w:t>
            </w:r>
            <w: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Pr>
                  <w:rStyle w:val="Hyperlink"/>
                </w:rPr>
                <w:t>committee papers</w:t>
              </w:r>
            </w:hyperlink>
            <w:r>
              <w:t>).</w:t>
            </w:r>
          </w:p>
          <w:p w14:paraId="5612645E" w14:textId="77777777" w:rsidR="00DD3729" w:rsidRDefault="00DD3729" w:rsidP="00DD3729">
            <w:pPr>
              <w:pStyle w:val="NICEnormalsinglespacing"/>
            </w:pPr>
            <w:r>
              <w:t>The appraisal committee is interested in receiving comments on the following:</w:t>
            </w:r>
          </w:p>
          <w:p w14:paraId="1AA14CAF" w14:textId="77777777" w:rsidR="00DD3729" w:rsidRDefault="00DD3729" w:rsidP="00DD3729">
            <w:pPr>
              <w:pStyle w:val="Bulletleft1"/>
              <w:spacing w:line="240" w:lineRule="auto"/>
            </w:pPr>
            <w:r>
              <w:t xml:space="preserve">Has </w:t>
            </w:r>
            <w:proofErr w:type="gramStart"/>
            <w:r>
              <w:t>all of</w:t>
            </w:r>
            <w:proofErr w:type="gramEnd"/>
            <w:r>
              <w:t xml:space="preserve"> the relevant evidence been taken into account?</w:t>
            </w:r>
          </w:p>
          <w:p w14:paraId="39078395" w14:textId="77777777" w:rsidR="00DD3729" w:rsidRDefault="00DD3729" w:rsidP="00DD3729">
            <w:pPr>
              <w:pStyle w:val="Bulletleft1"/>
              <w:spacing w:line="240" w:lineRule="auto"/>
            </w:pPr>
            <w:r>
              <w:t>Are the summaries of clinical and cost effectiveness reasonable interpretations of the evidence?</w:t>
            </w:r>
          </w:p>
          <w:p w14:paraId="704FB2D5" w14:textId="77777777" w:rsidR="00DD3729" w:rsidRDefault="00DD3729" w:rsidP="00DD3729">
            <w:pPr>
              <w:pStyle w:val="Bulletleft1"/>
              <w:spacing w:line="240" w:lineRule="auto"/>
            </w:pPr>
            <w:r>
              <w:t>Are the recommendations sound and a suitable basis for guidance to the NHS?</w:t>
            </w:r>
          </w:p>
          <w:p w14:paraId="3C8C8F10" w14:textId="77777777" w:rsidR="00DD3729" w:rsidRDefault="00DD3729" w:rsidP="00DD3729">
            <w:pPr>
              <w:pStyle w:val="Bulletleft1"/>
              <w:spacing w:line="240" w:lineRule="auto"/>
            </w:pPr>
            <w:r>
              <w:t xml:space="preserve">Are there any aspects of the recommendations that need </w:t>
            </w:r>
            <w:proofErr w:type="gramStart"/>
            <w:r>
              <w:t>particular consideration</w:t>
            </w:r>
            <w:proofErr w:type="gramEnd"/>
            <w:r>
              <w:t xml:space="preserve"> to ensure we avoid unlawful discrimination against any group of people on the grounds of race, gender, disability, religion or belief, sexual orientation, age, gender reassignment, pregnancy and maternity?</w:t>
            </w:r>
          </w:p>
          <w:p w14:paraId="4F9D48D5" w14:textId="64941F9C" w:rsidR="00C03294" w:rsidRPr="00FA7706" w:rsidRDefault="00C03294" w:rsidP="00585D69">
            <w:pPr>
              <w:pStyle w:val="Bulletleft1"/>
              <w:numPr>
                <w:ilvl w:val="0"/>
                <w:numId w:val="0"/>
              </w:numPr>
              <w:spacing w:line="240" w:lineRule="auto"/>
              <w:ind w:left="284" w:hanging="284"/>
            </w:pPr>
          </w:p>
        </w:tc>
      </w:tr>
    </w:tbl>
    <w:p w14:paraId="5CD978BA" w14:textId="120193B7" w:rsidR="008B54F2" w:rsidRPr="00FA7706" w:rsidRDefault="008B54F2" w:rsidP="00E816B3">
      <w:pPr>
        <w:pStyle w:val="NICEnormal"/>
      </w:pPr>
    </w:p>
    <w:p w14:paraId="618C9198" w14:textId="77777777" w:rsidR="008B54F2" w:rsidRPr="00FA7706" w:rsidRDefault="008B54F2" w:rsidP="00E816B3">
      <w:pPr>
        <w:pStyle w:val="NICEnormal"/>
        <w:rPr>
          <w:rFonts w:cs="Arial"/>
          <w:kern w:val="28"/>
          <w:sz w:val="40"/>
          <w:szCs w:val="32"/>
        </w:rPr>
      </w:pPr>
      <w:r w:rsidRPr="00FA770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26CADEE8" w14:textId="77777777" w:rsidTr="008669C9">
        <w:tc>
          <w:tcPr>
            <w:tcW w:w="8529" w:type="dxa"/>
            <w:shd w:val="clear" w:color="auto" w:fill="auto"/>
          </w:tcPr>
          <w:p w14:paraId="73EAB1D4" w14:textId="77777777" w:rsidR="00DD3729" w:rsidRPr="004921C3" w:rsidRDefault="00DD3729" w:rsidP="00DD3729">
            <w:pPr>
              <w:pStyle w:val="NICEnormalsinglespacing"/>
              <w:rPr>
                <w:b/>
                <w:bCs/>
              </w:rPr>
            </w:pPr>
            <w:r w:rsidRPr="004921C3">
              <w:rPr>
                <w:b/>
                <w:bCs/>
              </w:rPr>
              <w:lastRenderedPageBreak/>
              <w:t>Note that this document is not NICE's final guidance on this technology. The recommendations in section 1 may change after consultation.</w:t>
            </w:r>
          </w:p>
          <w:p w14:paraId="0DB51A50" w14:textId="77777777" w:rsidR="00DD3729" w:rsidRDefault="00DD3729" w:rsidP="00DD3729">
            <w:pPr>
              <w:pStyle w:val="NICEnormalsinglespacing"/>
            </w:pPr>
            <w:r>
              <w:t>After consultation:</w:t>
            </w:r>
          </w:p>
          <w:p w14:paraId="77BF321F" w14:textId="77777777" w:rsidR="00DD3729" w:rsidRDefault="00DD3729" w:rsidP="00DD3729">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7CF2BEE7" w14:textId="77777777" w:rsidR="00DD3729" w:rsidRDefault="00DD3729" w:rsidP="00DD3729">
            <w:pPr>
              <w:pStyle w:val="Bulletleft1"/>
              <w:spacing w:line="240" w:lineRule="auto"/>
            </w:pPr>
            <w:r>
              <w:t>At that meeting, the committee will also consider comments made by people who are not consultees.</w:t>
            </w:r>
          </w:p>
          <w:p w14:paraId="079296A3" w14:textId="77777777" w:rsidR="00DD3729" w:rsidRDefault="00DD3729" w:rsidP="00DD3729">
            <w:pPr>
              <w:pStyle w:val="Bulletleft1"/>
              <w:spacing w:line="240" w:lineRule="auto"/>
            </w:pPr>
            <w:r>
              <w:t>After considering these comments, the committee will prepare the final appraisal document.</w:t>
            </w:r>
          </w:p>
          <w:p w14:paraId="1DA9A24A" w14:textId="77777777" w:rsidR="00DD3729" w:rsidRDefault="00DD3729" w:rsidP="00DD3729">
            <w:pPr>
              <w:pStyle w:val="Bulletleft1last"/>
              <w:spacing w:line="240" w:lineRule="auto"/>
            </w:pPr>
            <w:r>
              <w:t>Subject to any appeal by consultees, the final appraisal document may be used as the basis for NICE's guidance on using n</w:t>
            </w:r>
            <w:r w:rsidRPr="005534E4">
              <w:t>ivolumab with ipilimumab and chemotherapy</w:t>
            </w:r>
            <w:r w:rsidRPr="00FB5140">
              <w:t xml:space="preserve"> </w:t>
            </w:r>
            <w:r>
              <w:t>in the NHS in England.</w:t>
            </w:r>
          </w:p>
          <w:p w14:paraId="0FC3B7C5" w14:textId="77777777" w:rsidR="00DD3729" w:rsidRDefault="00DD3729" w:rsidP="00DD3729">
            <w:pPr>
              <w:pStyle w:val="NICEnormalsinglespacing"/>
            </w:pPr>
            <w:r>
              <w:t>For further details, see NICE's guide to the processes of technology appraisal.</w:t>
            </w:r>
          </w:p>
          <w:p w14:paraId="626DAD99" w14:textId="77777777" w:rsidR="00DD3729" w:rsidRDefault="00DD3729" w:rsidP="00DD3729">
            <w:pPr>
              <w:pStyle w:val="NICEnormalsinglespacing"/>
            </w:pPr>
            <w:r>
              <w:t>The key dates for this appraisal are:</w:t>
            </w:r>
          </w:p>
          <w:p w14:paraId="24A9A6CB" w14:textId="68D50F53" w:rsidR="00DD3729" w:rsidRDefault="00DD3729" w:rsidP="00DD3729">
            <w:pPr>
              <w:pStyle w:val="NICEnormalsinglespacing"/>
            </w:pPr>
            <w:r>
              <w:t>Closing date for comments: 2</w:t>
            </w:r>
            <w:r w:rsidR="00EC701B">
              <w:t>6</w:t>
            </w:r>
            <w:r>
              <w:t xml:space="preserve"> April 2021</w:t>
            </w:r>
          </w:p>
          <w:p w14:paraId="1B7075EB" w14:textId="169DC08B" w:rsidR="00DD3729" w:rsidRDefault="00DD3729" w:rsidP="00DD3729">
            <w:pPr>
              <w:pStyle w:val="NICEnormalsinglespacing"/>
            </w:pPr>
            <w:r>
              <w:t xml:space="preserve">Second appraisal committee meeting: </w:t>
            </w:r>
            <w:r w:rsidR="00EC701B">
              <w:t>12 May 2021</w:t>
            </w:r>
          </w:p>
          <w:p w14:paraId="44686661" w14:textId="77777777" w:rsidR="00DD3729" w:rsidRDefault="00DD3729" w:rsidP="00DD3729">
            <w:pPr>
              <w:pStyle w:val="Bulletleft1"/>
              <w:numPr>
                <w:ilvl w:val="0"/>
                <w:numId w:val="0"/>
              </w:numPr>
              <w:spacing w:line="240" w:lineRule="auto"/>
              <w:ind w:left="284" w:hanging="284"/>
            </w:pPr>
            <w:r>
              <w:t>Details of membership of the appraisal committee are given in section 5</w:t>
            </w:r>
          </w:p>
          <w:p w14:paraId="73F55BAD" w14:textId="64634D7B" w:rsidR="00C03294" w:rsidRPr="00FA7706" w:rsidRDefault="00C03294" w:rsidP="008669C9">
            <w:pPr>
              <w:pStyle w:val="NICEnormalsinglespacing"/>
            </w:pPr>
          </w:p>
        </w:tc>
      </w:tr>
    </w:tbl>
    <w:p w14:paraId="72699083" w14:textId="4CB2861D" w:rsidR="008B54F2" w:rsidRPr="00FA7706" w:rsidRDefault="008B54F2">
      <w:pPr>
        <w:pStyle w:val="NICEnormal"/>
      </w:pPr>
    </w:p>
    <w:p w14:paraId="77CFEE88" w14:textId="77777777" w:rsidR="008B54F2" w:rsidRPr="00FA7706" w:rsidRDefault="008B54F2">
      <w:pPr>
        <w:rPr>
          <w:rFonts w:ascii="Arial" w:hAnsi="Arial"/>
        </w:rPr>
      </w:pPr>
      <w:r w:rsidRPr="00FA7706">
        <w:br w:type="page"/>
      </w:r>
    </w:p>
    <w:p w14:paraId="70AAC4E6" w14:textId="77777777" w:rsidR="008F0C77" w:rsidRPr="000F48EC" w:rsidRDefault="008F0C77" w:rsidP="008F0C77">
      <w:pPr>
        <w:pStyle w:val="Numberedheading1"/>
        <w:numPr>
          <w:ilvl w:val="0"/>
          <w:numId w:val="1"/>
        </w:numPr>
      </w:pPr>
      <w:r>
        <w:lastRenderedPageBreak/>
        <w:t>Recommendations</w:t>
      </w:r>
    </w:p>
    <w:p w14:paraId="6250A11E" w14:textId="77777777" w:rsidR="008F0C77" w:rsidRPr="00ED46C4" w:rsidRDefault="008F0C77" w:rsidP="008F0C77">
      <w:pPr>
        <w:pStyle w:val="Numberedlevel2text"/>
        <w:numPr>
          <w:ilvl w:val="1"/>
          <w:numId w:val="1"/>
        </w:numPr>
      </w:pPr>
      <w:r>
        <w:rPr>
          <w:rStyle w:val="Numberedlevel2textChar"/>
          <w:lang w:val="en-GB"/>
        </w:rPr>
        <w:t>Nivolumab plus ipilimumab and 2 cycles of platinum-based chemotherapy</w:t>
      </w:r>
      <w:r w:rsidRPr="00981B9F">
        <w:t xml:space="preserve"> is not recommended</w:t>
      </w:r>
      <w:r>
        <w:t>,</w:t>
      </w:r>
      <w:r w:rsidRPr="00981B9F">
        <w:t xml:space="preserve"> within its marketing authorisation</w:t>
      </w:r>
      <w:r>
        <w:t>,</w:t>
      </w:r>
      <w:r w:rsidRPr="00981B9F">
        <w:t xml:space="preserve"> for </w:t>
      </w:r>
      <w:r>
        <w:rPr>
          <w:lang w:val="en-GB"/>
        </w:rPr>
        <w:t>untreated metastatic non-small-cell lung cancer (NSCLC) in adults whose tumours have no epidermal growth factor receptor (EGFR)</w:t>
      </w:r>
      <w:r>
        <w:t xml:space="preserve"> </w:t>
      </w:r>
      <w:r>
        <w:rPr>
          <w:lang w:val="en-GB"/>
        </w:rPr>
        <w:t>or anaplastic lymphoma kinase (ALK) mutations</w:t>
      </w:r>
      <w:r w:rsidRPr="00981B9F">
        <w:t>.</w:t>
      </w:r>
    </w:p>
    <w:p w14:paraId="4A41D596" w14:textId="77777777" w:rsidR="008F0C77" w:rsidRDefault="008F0C77" w:rsidP="008F0C77">
      <w:pPr>
        <w:pStyle w:val="Numberedlevel2text"/>
        <w:numPr>
          <w:ilvl w:val="1"/>
          <w:numId w:val="1"/>
        </w:numPr>
      </w:pPr>
      <w:r w:rsidRPr="0009129B">
        <w:t>This</w:t>
      </w:r>
      <w:r>
        <w:t xml:space="preserve"> recommendation is</w:t>
      </w:r>
      <w:r>
        <w:rPr>
          <w:lang w:val="en-GB"/>
        </w:rPr>
        <w:t xml:space="preserve"> </w:t>
      </w:r>
      <w:r w:rsidRPr="0009129B">
        <w:t xml:space="preserve">not intended to affect </w:t>
      </w:r>
      <w:r w:rsidRPr="006A2D99">
        <w:t xml:space="preserve">treatment with </w:t>
      </w:r>
      <w:r>
        <w:t xml:space="preserve">nivolumab </w:t>
      </w:r>
      <w:r>
        <w:rPr>
          <w:lang w:val="en-GB"/>
        </w:rPr>
        <w:t>plus</w:t>
      </w:r>
      <w:r>
        <w:t xml:space="preserve"> ipilimumab </w:t>
      </w:r>
      <w:r>
        <w:rPr>
          <w:rStyle w:val="Numberedlevel2textChar"/>
          <w:lang w:val="en-GB"/>
        </w:rPr>
        <w:t xml:space="preserve">and 2 cycles of platinum-based </w:t>
      </w:r>
      <w:r>
        <w:t>chemotherapy</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5AABC597" w14:textId="77777777" w:rsidR="008F0C77" w:rsidRPr="008522C6" w:rsidRDefault="008F0C77" w:rsidP="008F0C77">
      <w:pPr>
        <w:pStyle w:val="NICEnormal"/>
        <w:rPr>
          <w:b/>
        </w:rPr>
      </w:pPr>
      <w:bookmarkStart w:id="0" w:name="_Hlk67493859"/>
      <w:r w:rsidRPr="008522C6">
        <w:rPr>
          <w:b/>
        </w:rPr>
        <w:t>Why the committee made these recommendations</w:t>
      </w:r>
    </w:p>
    <w:p w14:paraId="0AC8137E" w14:textId="77777777" w:rsidR="008F0C77" w:rsidRDefault="008F0C77" w:rsidP="008F0C77">
      <w:pPr>
        <w:pStyle w:val="NICEnormal"/>
      </w:pPr>
      <w:bookmarkStart w:id="1" w:name="_Hlk67490433"/>
      <w:r>
        <w:t xml:space="preserve">Standard care for untreated metastatic NSCLC that has no EGFR or ALK mutations is usually </w:t>
      </w:r>
      <w:r w:rsidRPr="00531D8D">
        <w:t xml:space="preserve">immunotherapy </w:t>
      </w:r>
      <w:r>
        <w:t>plus</w:t>
      </w:r>
      <w:r w:rsidRPr="00531D8D">
        <w:t xml:space="preserve"> platinum-doublet chemotherapy</w:t>
      </w:r>
      <w:r>
        <w:t>. People can have different treatments depending on their PD-L1 tumour proportion score (TPS) and whether they have squamous or non-squamous NSCLC. These include:</w:t>
      </w:r>
    </w:p>
    <w:p w14:paraId="38A06FE3" w14:textId="77777777" w:rsidR="008F0C77" w:rsidRDefault="008F0C77" w:rsidP="008F0C77">
      <w:pPr>
        <w:pStyle w:val="Bulletleft1"/>
      </w:pPr>
      <w:r>
        <w:t>platinum-doublet chemotherapy for NSCLC with a PD-L1 TPS below 50%, with or without pemetrexed maintenance for non-squamous NSCLC</w:t>
      </w:r>
    </w:p>
    <w:p w14:paraId="7DF12A42" w14:textId="77777777" w:rsidR="008F0C77" w:rsidRDefault="008F0C77" w:rsidP="008F0C77">
      <w:pPr>
        <w:pStyle w:val="Bulletleft1"/>
      </w:pPr>
      <w:r>
        <w:t xml:space="preserve">atezolizumab plus bevacizumab, </w:t>
      </w:r>
      <w:proofErr w:type="gramStart"/>
      <w:r>
        <w:t>carboplatin</w:t>
      </w:r>
      <w:proofErr w:type="gramEnd"/>
      <w:r>
        <w:t xml:space="preserve"> and paclitaxel (atezolizumab combination) for non-squamous NSCLC with a PD-L1 TPS below 50%</w:t>
      </w:r>
    </w:p>
    <w:p w14:paraId="27EF1B2B" w14:textId="77777777" w:rsidR="008F0C77" w:rsidRDefault="008F0C77" w:rsidP="008F0C77">
      <w:pPr>
        <w:pStyle w:val="Bulletleft1last"/>
        <w:spacing w:after="0"/>
      </w:pPr>
      <w:r>
        <w:t>pembrolizumab monotherapy for NSCLC with a PD-L1 TPS of at least 50%</w:t>
      </w:r>
    </w:p>
    <w:p w14:paraId="1AF1F765" w14:textId="77777777" w:rsidR="008F0C77" w:rsidRDefault="008F0C77" w:rsidP="008F0C77">
      <w:pPr>
        <w:pStyle w:val="Bulletleft1last"/>
      </w:pPr>
      <w:r>
        <w:t xml:space="preserve">pembrolizumab </w:t>
      </w:r>
      <w:r w:rsidRPr="002F17FE">
        <w:t>plus pemetrexed and platinum chemotherapy</w:t>
      </w:r>
      <w:r>
        <w:t xml:space="preserve"> for non-squamous NSCLC.</w:t>
      </w:r>
    </w:p>
    <w:p w14:paraId="4FACAF10" w14:textId="77777777" w:rsidR="008F0C77" w:rsidRDefault="008F0C77" w:rsidP="008F0C77">
      <w:pPr>
        <w:pStyle w:val="Bulletleft1last"/>
        <w:numPr>
          <w:ilvl w:val="0"/>
          <w:numId w:val="0"/>
        </w:numPr>
      </w:pPr>
      <w:r w:rsidRPr="00D50F5A">
        <w:lastRenderedPageBreak/>
        <w:t>Some people have pembrolizumab plus carboplatin and paclitaxel for squamous NSCLC through the Cancer Drugs Fund, but this is not considered to be standard care.</w:t>
      </w:r>
    </w:p>
    <w:p w14:paraId="2EC4DCB1" w14:textId="77777777" w:rsidR="008F0C77" w:rsidRDefault="008F0C77" w:rsidP="008F0C77">
      <w:pPr>
        <w:pStyle w:val="NICEnormal"/>
      </w:pPr>
      <w:r>
        <w:t xml:space="preserve">Clinical trial evidence suggests that people who have nivolumab plus ipilimumab and </w:t>
      </w:r>
      <w:r>
        <w:rPr>
          <w:rStyle w:val="Numberedlevel2textChar"/>
          <w:lang w:val="en-GB"/>
        </w:rPr>
        <w:t xml:space="preserve">2 cycles of platinum-based </w:t>
      </w:r>
      <w:r>
        <w:t xml:space="preserve">chemotherapy (nivolumab combination) live longer than those who have platinum-doublet chemotherapy. There are no trials directly comparing nivolumab combination with other treatments. The results of </w:t>
      </w:r>
      <w:r w:rsidRPr="009D681D">
        <w:t>indirect comparison</w:t>
      </w:r>
      <w:r>
        <w:t>s</w:t>
      </w:r>
      <w:r w:rsidRPr="009D681D">
        <w:t xml:space="preserve"> of nivolumab combination with</w:t>
      </w:r>
      <w:r>
        <w:t xml:space="preserve"> </w:t>
      </w:r>
      <w:r w:rsidRPr="009D681D">
        <w:t>atezolizumab combination and pembrolizumab monotherapy</w:t>
      </w:r>
      <w:r>
        <w:t xml:space="preserve"> are confidential. But they are useful for supporting decisions</w:t>
      </w:r>
      <w:r w:rsidRPr="009D681D">
        <w:t xml:space="preserve"> despite some uncertainty</w:t>
      </w:r>
      <w:r w:rsidRPr="000D28B2">
        <w:t>.</w:t>
      </w:r>
      <w:r>
        <w:t xml:space="preserve"> </w:t>
      </w:r>
      <w:r w:rsidRPr="00F92792">
        <w:t>Nivolumab combination has not been compared with pembrolizumab plus pemetrexed and platinum chemotherapy, which is widely used in the NHS.</w:t>
      </w:r>
    </w:p>
    <w:p w14:paraId="51535102" w14:textId="77777777" w:rsidR="008F0C77" w:rsidRDefault="008F0C77" w:rsidP="008F0C77">
      <w:pPr>
        <w:pStyle w:val="NICEnormal"/>
      </w:pPr>
      <w:r>
        <w:t xml:space="preserve">In the economic model it is uncertain how long the effect of </w:t>
      </w:r>
      <w:r w:rsidRPr="000D28B2">
        <w:t>nivolumab combination</w:t>
      </w:r>
      <w:r>
        <w:t xml:space="preserve"> lasts. It is also unclear</w:t>
      </w:r>
      <w:r w:rsidRPr="000D28B2">
        <w:t xml:space="preserve"> whether people having</w:t>
      </w:r>
      <w:r>
        <w:t xml:space="preserve"> it</w:t>
      </w:r>
      <w:r w:rsidRPr="000D28B2">
        <w:t xml:space="preserve"> live </w:t>
      </w:r>
      <w:r>
        <w:t>longer depending</w:t>
      </w:r>
      <w:r w:rsidRPr="000D28B2">
        <w:t xml:space="preserve"> on </w:t>
      </w:r>
      <w:r>
        <w:t xml:space="preserve">their </w:t>
      </w:r>
      <w:r w:rsidRPr="000D28B2">
        <w:t>PD</w:t>
      </w:r>
      <w:r>
        <w:noBreakHyphen/>
      </w:r>
      <w:r w:rsidRPr="000D28B2">
        <w:t>L1 TPS and the type of NSCLC</w:t>
      </w:r>
      <w:r>
        <w:t xml:space="preserve"> they have.</w:t>
      </w:r>
    </w:p>
    <w:p w14:paraId="0457AA59" w14:textId="77777777" w:rsidR="008F0C77" w:rsidRDefault="008F0C77" w:rsidP="008F0C77">
      <w:pPr>
        <w:pStyle w:val="NICEnormal"/>
      </w:pPr>
      <w:r>
        <w:t xml:space="preserve">Nivolumab combination is only likely to meet NICE’s end of life criteria for squamous NSCLC with a PD-L1 TPS below 50%. The cost-effectiveness estimates for nivolumab combination compared with </w:t>
      </w:r>
      <w:r w:rsidRPr="00C505B2">
        <w:t xml:space="preserve">platinum-doublet chemotherapy, atezolizumab </w:t>
      </w:r>
      <w:r w:rsidRPr="00846FC7">
        <w:t>combination and pembrolizumab monotherapy</w:t>
      </w:r>
      <w:r>
        <w:t xml:space="preserve"> are higher than what NICE considers acceptable. This is even when the</w:t>
      </w:r>
      <w:r w:rsidRPr="00E978C1">
        <w:t xml:space="preserve"> </w:t>
      </w:r>
      <w:proofErr w:type="gramStart"/>
      <w:r w:rsidRPr="00E978C1">
        <w:t>end of life</w:t>
      </w:r>
      <w:proofErr w:type="gramEnd"/>
      <w:r w:rsidRPr="00E978C1">
        <w:t xml:space="preserve"> criteria </w:t>
      </w:r>
      <w:r>
        <w:t xml:space="preserve">are </w:t>
      </w:r>
      <w:r w:rsidRPr="00E978C1">
        <w:t>applied for squamous NSCLC with a PD-L1 TPS below 50%</w:t>
      </w:r>
      <w:r>
        <w:t>.</w:t>
      </w:r>
    </w:p>
    <w:p w14:paraId="322ECC09" w14:textId="77777777" w:rsidR="008F0C77" w:rsidRPr="00B8464A" w:rsidRDefault="008F0C77" w:rsidP="008F0C77">
      <w:pPr>
        <w:pStyle w:val="NICEnormal"/>
      </w:pPr>
      <w:r>
        <w:t>It is unlikely that collecting more data in the Cancer Drugs Fund would resolve the uncertainty in the modelling. So, nivolumab combination cannot be recommended for routine use or through the Cancer Drugs Fund.</w:t>
      </w:r>
    </w:p>
    <w:bookmarkEnd w:id="0"/>
    <w:bookmarkEnd w:id="1"/>
    <w:p w14:paraId="4856357C" w14:textId="77777777" w:rsidR="008F0C77" w:rsidRDefault="008F0C77" w:rsidP="008F0C77">
      <w:pPr>
        <w:pStyle w:val="Numberedheading1"/>
        <w:keepLines/>
        <w:numPr>
          <w:ilvl w:val="0"/>
          <w:numId w:val="1"/>
        </w:numPr>
      </w:pPr>
      <w:r>
        <w:lastRenderedPageBreak/>
        <w:t>Information about n</w:t>
      </w:r>
      <w:r w:rsidRPr="005534E4">
        <w:t xml:space="preserve">ivolumab </w:t>
      </w:r>
      <w:r>
        <w:t>plus</w:t>
      </w:r>
      <w:r w:rsidRPr="005534E4">
        <w:t xml:space="preserve"> ipilimumab and chemotherapy</w:t>
      </w:r>
    </w:p>
    <w:p w14:paraId="2E4EA313" w14:textId="77777777" w:rsidR="008F0C77" w:rsidRDefault="008F0C77" w:rsidP="008F0C77">
      <w:pPr>
        <w:pStyle w:val="Heading2"/>
      </w:pPr>
      <w:r w:rsidRPr="00A76391">
        <w:t>Marketing authorisation indication</w:t>
      </w:r>
    </w:p>
    <w:p w14:paraId="19D2DF41" w14:textId="77777777" w:rsidR="008F0C77" w:rsidRPr="005534E4" w:rsidRDefault="008F0C77" w:rsidP="008F0C77">
      <w:pPr>
        <w:pStyle w:val="Numberedlevel2text"/>
        <w:numPr>
          <w:ilvl w:val="1"/>
          <w:numId w:val="1"/>
        </w:numPr>
        <w:rPr>
          <w:rStyle w:val="NICEnormalChar"/>
          <w:szCs w:val="28"/>
          <w:lang w:val="x-none"/>
        </w:rPr>
      </w:pPr>
      <w:r>
        <w:rPr>
          <w:rStyle w:val="NICEnormalChar"/>
          <w:szCs w:val="28"/>
        </w:rPr>
        <w:t>Nivolumab (</w:t>
      </w:r>
      <w:proofErr w:type="spellStart"/>
      <w:r>
        <w:rPr>
          <w:rStyle w:val="NICEnormalChar"/>
          <w:szCs w:val="28"/>
        </w:rPr>
        <w:t>Opdivo</w:t>
      </w:r>
      <w:proofErr w:type="spellEnd"/>
      <w:r>
        <w:rPr>
          <w:rStyle w:val="NICEnormalChar"/>
          <w:szCs w:val="28"/>
        </w:rPr>
        <w:t>, Bristol-Myers Squibb) plus ipilimumab (</w:t>
      </w:r>
      <w:proofErr w:type="spellStart"/>
      <w:r>
        <w:rPr>
          <w:rStyle w:val="NICEnormalChar"/>
          <w:szCs w:val="28"/>
        </w:rPr>
        <w:t>Yervoy</w:t>
      </w:r>
      <w:proofErr w:type="spellEnd"/>
      <w:r>
        <w:rPr>
          <w:rStyle w:val="NICEnormalChar"/>
          <w:szCs w:val="28"/>
        </w:rPr>
        <w:t>, Bristol-Myers Squibb) and 2 cycles of platinum-based chemotherapy has a marketing authorisation for ‘the first-line treatment of metastatic non-small-cell lung cancer in adults whose tumours have no sensitising epidermal growth factor receptor (EGFR) mutation or anaplastic lymphoma kinase (ALK) translocation’.</w:t>
      </w:r>
    </w:p>
    <w:p w14:paraId="49CB81CD" w14:textId="77777777" w:rsidR="008F0C77" w:rsidRDefault="008F0C77" w:rsidP="008F0C77">
      <w:pPr>
        <w:pStyle w:val="Heading2"/>
      </w:pPr>
      <w:r>
        <w:t>Dosage in the marketing authorisation</w:t>
      </w:r>
    </w:p>
    <w:p w14:paraId="1F3F705D" w14:textId="77777777" w:rsidR="008F0C77" w:rsidRPr="00570524" w:rsidRDefault="008F0C77" w:rsidP="008F0C77">
      <w:pPr>
        <w:pStyle w:val="Numberedlevel2text"/>
        <w:numPr>
          <w:ilvl w:val="1"/>
          <w:numId w:val="1"/>
        </w:numPr>
        <w:rPr>
          <w:rStyle w:val="Numberedlevel2textChar"/>
        </w:rPr>
      </w:pPr>
      <w:r w:rsidRPr="00570524">
        <w:t xml:space="preserve">The dosage schedule is available in </w:t>
      </w:r>
      <w:r>
        <w:t xml:space="preserve">the </w:t>
      </w:r>
      <w:hyperlink r:id="rId9" w:history="1">
        <w:r w:rsidRPr="00022539">
          <w:rPr>
            <w:rStyle w:val="Hyperlink"/>
          </w:rPr>
          <w:t>summary of product characteristics</w:t>
        </w:r>
      </w:hyperlink>
      <w:r>
        <w:t>.</w:t>
      </w:r>
    </w:p>
    <w:p w14:paraId="5FC65FEC" w14:textId="77777777" w:rsidR="008F0C77" w:rsidRDefault="008F0C77" w:rsidP="008F0C77">
      <w:pPr>
        <w:pStyle w:val="Heading2"/>
      </w:pPr>
      <w:r>
        <w:t>Price</w:t>
      </w:r>
    </w:p>
    <w:p w14:paraId="585ACD28" w14:textId="77777777" w:rsidR="008F0C77" w:rsidRPr="00022539" w:rsidRDefault="008F0C77" w:rsidP="008F0C77">
      <w:pPr>
        <w:pStyle w:val="Numberedlevel2text"/>
        <w:numPr>
          <w:ilvl w:val="1"/>
          <w:numId w:val="1"/>
        </w:numPr>
        <w:rPr>
          <w:rStyle w:val="NICEnormalChar"/>
          <w:szCs w:val="28"/>
          <w:lang w:val="x-none"/>
        </w:rPr>
      </w:pPr>
      <w:r>
        <w:rPr>
          <w:rStyle w:val="NICEnormalChar"/>
          <w:szCs w:val="28"/>
        </w:rPr>
        <w:t xml:space="preserve">The list price of nivolumab is £2,633 per 240 mg per 24-ml vial (excluding VAT; BNF online, accessed March 2021). </w:t>
      </w:r>
      <w:r w:rsidRPr="00022539">
        <w:rPr>
          <w:rStyle w:val="NICEnormalChar"/>
          <w:szCs w:val="28"/>
        </w:rPr>
        <w:t xml:space="preserve">The company has a commercial arrangement. This makes </w:t>
      </w:r>
      <w:r>
        <w:rPr>
          <w:rStyle w:val="NICEnormalChar"/>
          <w:szCs w:val="28"/>
        </w:rPr>
        <w:t>nivolumab</w:t>
      </w:r>
      <w:r w:rsidRPr="00022539">
        <w:rPr>
          <w:rStyle w:val="NICEnormalChar"/>
          <w:szCs w:val="28"/>
        </w:rPr>
        <w:t xml:space="preserve"> available to the NHS with a discount and it would have also applied to this indication if the technology had been recommended. The size of the discount is commercial in confidence. It is the company’s responsibility to let relevant NHS organisations know details of the discount.</w:t>
      </w:r>
    </w:p>
    <w:p w14:paraId="2E7D4B01" w14:textId="77777777" w:rsidR="008F0C77" w:rsidRPr="00022539" w:rsidRDefault="008F0C77" w:rsidP="008F0C77">
      <w:pPr>
        <w:pStyle w:val="Numberedlevel2text"/>
        <w:numPr>
          <w:ilvl w:val="1"/>
          <w:numId w:val="1"/>
        </w:numPr>
        <w:rPr>
          <w:rStyle w:val="NICEnormalChar"/>
          <w:szCs w:val="28"/>
          <w:lang w:val="x-none"/>
        </w:rPr>
      </w:pPr>
      <w:r>
        <w:rPr>
          <w:rStyle w:val="NICEnormalChar"/>
          <w:szCs w:val="28"/>
        </w:rPr>
        <w:t xml:space="preserve">The list price of ipilimumab is £15,000 per 200 mg per 40-ml vial (excluding VAT; BNF online, accessed March 2021). </w:t>
      </w:r>
      <w:r w:rsidRPr="00E903BA">
        <w:rPr>
          <w:rStyle w:val="NICEnormalChar"/>
          <w:szCs w:val="28"/>
        </w:rPr>
        <w:t xml:space="preserve">The company has a commercial arrangement. This makes </w:t>
      </w:r>
      <w:r>
        <w:rPr>
          <w:rStyle w:val="NICEnormalChar"/>
          <w:szCs w:val="28"/>
        </w:rPr>
        <w:t>ipilimumab</w:t>
      </w:r>
      <w:r w:rsidRPr="00E903BA">
        <w:rPr>
          <w:rStyle w:val="NICEnormalChar"/>
          <w:szCs w:val="28"/>
        </w:rPr>
        <w:t xml:space="preserve"> available to the NHS with a discount </w:t>
      </w:r>
      <w:r w:rsidRPr="00793016">
        <w:rPr>
          <w:rStyle w:val="NICEnormalChar"/>
          <w:color w:val="000000" w:themeColor="text1"/>
          <w:szCs w:val="28"/>
        </w:rPr>
        <w:t xml:space="preserve">and it would have also applied to this indication if the technology had been recommended. </w:t>
      </w:r>
      <w:r w:rsidRPr="00E903BA">
        <w:rPr>
          <w:rStyle w:val="NICEnormalChar"/>
          <w:szCs w:val="28"/>
        </w:rPr>
        <w:t>The size of the discount is commercial in confidence. It is the company’s responsibility to let relevant NHS organisations know details of the discount.</w:t>
      </w:r>
    </w:p>
    <w:p w14:paraId="17B3262E" w14:textId="77777777" w:rsidR="008F0C77" w:rsidRDefault="008F0C77" w:rsidP="008F0C77">
      <w:pPr>
        <w:pStyle w:val="Numberedheading1"/>
        <w:numPr>
          <w:ilvl w:val="0"/>
          <w:numId w:val="1"/>
        </w:numPr>
      </w:pPr>
      <w:r w:rsidRPr="000F48EC">
        <w:lastRenderedPageBreak/>
        <w:t>Co</w:t>
      </w:r>
      <w:r>
        <w:t>mmittee discussion</w:t>
      </w:r>
    </w:p>
    <w:p w14:paraId="4ECC6AC2" w14:textId="77777777" w:rsidR="008F0C77" w:rsidRPr="00C63D4E" w:rsidRDefault="008F0C77" w:rsidP="008F0C77">
      <w:pPr>
        <w:pStyle w:val="NICEnormal"/>
      </w:pPr>
      <w:r w:rsidRPr="007D7F83">
        <w:t xml:space="preserve">The </w:t>
      </w:r>
      <w:hyperlink w:anchor="_Appraisal_committee_members" w:history="1">
        <w:r w:rsidRPr="00866CC6">
          <w:rPr>
            <w:rStyle w:val="Hyperlink"/>
          </w:rPr>
          <w:t>appraisal committee</w:t>
        </w:r>
      </w:hyperlink>
      <w:r w:rsidRPr="007D7F83">
        <w:t xml:space="preserve"> considered evidence submitted by </w:t>
      </w:r>
      <w:r>
        <w:t>Bristol-Myers Squibb,</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and responses from stakeholders</w:t>
      </w:r>
      <w:r w:rsidRPr="007D7F83">
        <w:t>.</w:t>
      </w:r>
      <w:r>
        <w:t xml:space="preserve"> See the </w:t>
      </w:r>
      <w:hyperlink r:id="rId10" w:history="1">
        <w:r>
          <w:rPr>
            <w:rStyle w:val="Hyperlink"/>
          </w:rPr>
          <w:t>committee papers</w:t>
        </w:r>
      </w:hyperlink>
      <w:r>
        <w:t xml:space="preserve"> for full details of the evidence</w:t>
      </w:r>
      <w:r w:rsidRPr="000F2D8A">
        <w:t>.</w:t>
      </w:r>
    </w:p>
    <w:p w14:paraId="13286939" w14:textId="77777777" w:rsidR="008F0C77" w:rsidRDefault="008F0C77" w:rsidP="008F0C77">
      <w:pPr>
        <w:pStyle w:val="NICEnormal"/>
      </w:pPr>
      <w:r>
        <w:t>The appraisal committee was aware that several issues were resolved during the technical engagement stage, and agreed that:</w:t>
      </w:r>
    </w:p>
    <w:p w14:paraId="105973E5" w14:textId="77777777" w:rsidR="008F0C77" w:rsidRDefault="008F0C77" w:rsidP="008F0C77">
      <w:pPr>
        <w:pStyle w:val="Bulletleft1"/>
      </w:pPr>
      <w:r>
        <w:t>the populations in the clinical trials generally reflected people who would have treatment in NHS clinical practice (issue 2, see ERG report page </w:t>
      </w:r>
      <w:r w:rsidRPr="0057101A">
        <w:rPr>
          <w:color w:val="000000" w:themeColor="text1"/>
        </w:rPr>
        <w:t>17</w:t>
      </w:r>
      <w:r>
        <w:t>)</w:t>
      </w:r>
    </w:p>
    <w:p w14:paraId="52BFD6E8" w14:textId="77777777" w:rsidR="008F0C77" w:rsidRDefault="008F0C77" w:rsidP="008F0C77">
      <w:pPr>
        <w:pStyle w:val="Bulletleft1"/>
      </w:pPr>
      <w:r>
        <w:t xml:space="preserve">the company’s indirect treatment comparisons were acceptable for decision making, despite some differences between the trials in patient characteristics and trial design (issue 3, see </w:t>
      </w:r>
      <w:r w:rsidRPr="0057101A">
        <w:rPr>
          <w:color w:val="000000" w:themeColor="text1"/>
        </w:rPr>
        <w:t>ERG report page</w:t>
      </w:r>
      <w:r>
        <w:rPr>
          <w:color w:val="000000" w:themeColor="text1"/>
        </w:rPr>
        <w:t> </w:t>
      </w:r>
      <w:r w:rsidRPr="0057101A">
        <w:rPr>
          <w:color w:val="000000" w:themeColor="text1"/>
        </w:rPr>
        <w:t>1</w:t>
      </w:r>
      <w:r>
        <w:rPr>
          <w:color w:val="000000" w:themeColor="text1"/>
        </w:rPr>
        <w:t>8</w:t>
      </w:r>
      <w:r>
        <w:t>)</w:t>
      </w:r>
    </w:p>
    <w:p w14:paraId="24A45D65" w14:textId="77777777" w:rsidR="008F0C77" w:rsidRPr="00950C27" w:rsidRDefault="008F0C77" w:rsidP="008F0C77">
      <w:pPr>
        <w:pStyle w:val="Bulletleft1"/>
        <w:rPr>
          <w:color w:val="000000" w:themeColor="text1"/>
        </w:rPr>
      </w:pPr>
      <w:r w:rsidRPr="00A1687A">
        <w:rPr>
          <w:color w:val="000000" w:themeColor="text1"/>
        </w:rPr>
        <w:t xml:space="preserve">the CheckMate-227 </w:t>
      </w:r>
      <w:r>
        <w:rPr>
          <w:color w:val="000000" w:themeColor="text1"/>
        </w:rPr>
        <w:t xml:space="preserve">data </w:t>
      </w:r>
      <w:r w:rsidRPr="00A1687A">
        <w:rPr>
          <w:color w:val="000000" w:themeColor="text1"/>
        </w:rPr>
        <w:t>should be incorporated into the indirect treatment comparisons (issue</w:t>
      </w:r>
      <w:r>
        <w:rPr>
          <w:color w:val="000000" w:themeColor="text1"/>
        </w:rPr>
        <w:t> </w:t>
      </w:r>
      <w:r w:rsidRPr="00A1687A">
        <w:rPr>
          <w:color w:val="000000" w:themeColor="text1"/>
        </w:rPr>
        <w:t xml:space="preserve">4, see ERG </w:t>
      </w:r>
      <w:r w:rsidRPr="00950C27">
        <w:rPr>
          <w:color w:val="000000" w:themeColor="text1"/>
        </w:rPr>
        <w:t>report page</w:t>
      </w:r>
      <w:r>
        <w:rPr>
          <w:color w:val="000000" w:themeColor="text1"/>
        </w:rPr>
        <w:t> </w:t>
      </w:r>
      <w:r w:rsidRPr="00950C27">
        <w:rPr>
          <w:color w:val="000000" w:themeColor="text1"/>
        </w:rPr>
        <w:t>19)</w:t>
      </w:r>
    </w:p>
    <w:p w14:paraId="509FC0BC" w14:textId="77777777" w:rsidR="008F0C77" w:rsidRPr="00950C27" w:rsidRDefault="008F0C77" w:rsidP="008F0C77">
      <w:pPr>
        <w:pStyle w:val="Bulletleft1"/>
        <w:rPr>
          <w:color w:val="000000" w:themeColor="text1"/>
        </w:rPr>
      </w:pPr>
      <w:r w:rsidRPr="00950C27">
        <w:rPr>
          <w:color w:val="000000" w:themeColor="text1"/>
        </w:rPr>
        <w:t xml:space="preserve">nivolumab plus ipilimumab </w:t>
      </w:r>
      <w:r>
        <w:rPr>
          <w:color w:val="000000" w:themeColor="text1"/>
        </w:rPr>
        <w:t>and</w:t>
      </w:r>
      <w:r w:rsidRPr="00950C27">
        <w:rPr>
          <w:color w:val="000000" w:themeColor="text1"/>
        </w:rPr>
        <w:t xml:space="preserve"> </w:t>
      </w:r>
      <w:r>
        <w:rPr>
          <w:color w:val="000000" w:themeColor="text1"/>
        </w:rPr>
        <w:t xml:space="preserve">2 cycles of platinum-based </w:t>
      </w:r>
      <w:r w:rsidRPr="00950C27">
        <w:rPr>
          <w:color w:val="000000" w:themeColor="text1"/>
        </w:rPr>
        <w:t>chemotherapy (nivolumab combination) was likely to have similar efficacy across subgroups</w:t>
      </w:r>
      <w:r>
        <w:rPr>
          <w:color w:val="000000" w:themeColor="text1"/>
        </w:rPr>
        <w:t xml:space="preserve">, including people aged 75 and over, people who have never smoked, </w:t>
      </w:r>
      <w:r w:rsidRPr="00950C27">
        <w:rPr>
          <w:color w:val="000000" w:themeColor="text1"/>
        </w:rPr>
        <w:t>and people with liver or bone metastases (issue</w:t>
      </w:r>
      <w:r>
        <w:rPr>
          <w:color w:val="000000" w:themeColor="text1"/>
        </w:rPr>
        <w:t> </w:t>
      </w:r>
      <w:r w:rsidRPr="00950C27">
        <w:rPr>
          <w:color w:val="000000" w:themeColor="text1"/>
        </w:rPr>
        <w:t>5, see ERG report page</w:t>
      </w:r>
      <w:r>
        <w:rPr>
          <w:color w:val="000000" w:themeColor="text1"/>
        </w:rPr>
        <w:t> </w:t>
      </w:r>
      <w:r w:rsidRPr="00950C27">
        <w:rPr>
          <w:color w:val="000000" w:themeColor="text1"/>
        </w:rPr>
        <w:t>20)</w:t>
      </w:r>
    </w:p>
    <w:p w14:paraId="1BB1CC5C" w14:textId="77777777" w:rsidR="008F0C77" w:rsidRDefault="008F0C77" w:rsidP="008F0C77">
      <w:pPr>
        <w:pStyle w:val="Bulletleft1"/>
        <w:rPr>
          <w:color w:val="000000" w:themeColor="text1"/>
        </w:rPr>
      </w:pPr>
      <w:r w:rsidRPr="00950C27">
        <w:rPr>
          <w:color w:val="000000" w:themeColor="text1"/>
        </w:rPr>
        <w:t>the duration of treatment for atezolizumab plus bevacizumab</w:t>
      </w:r>
      <w:r>
        <w:rPr>
          <w:color w:val="000000" w:themeColor="text1"/>
        </w:rPr>
        <w:t>,</w:t>
      </w:r>
      <w:r w:rsidRPr="00950C27">
        <w:rPr>
          <w:color w:val="000000" w:themeColor="text1"/>
        </w:rPr>
        <w:t xml:space="preserve"> </w:t>
      </w:r>
      <w:proofErr w:type="gramStart"/>
      <w:r w:rsidRPr="00944011">
        <w:rPr>
          <w:color w:val="000000" w:themeColor="text1"/>
        </w:rPr>
        <w:t>carboplatin</w:t>
      </w:r>
      <w:proofErr w:type="gramEnd"/>
      <w:r w:rsidRPr="00944011">
        <w:rPr>
          <w:color w:val="000000" w:themeColor="text1"/>
        </w:rPr>
        <w:t xml:space="preserve"> and paclitaxel</w:t>
      </w:r>
      <w:r w:rsidRPr="00950C27" w:rsidDel="00464D2E">
        <w:rPr>
          <w:color w:val="000000" w:themeColor="text1"/>
        </w:rPr>
        <w:t xml:space="preserve"> </w:t>
      </w:r>
      <w:r w:rsidRPr="00950C27">
        <w:rPr>
          <w:color w:val="000000" w:themeColor="text1"/>
        </w:rPr>
        <w:t xml:space="preserve">(atezolizumab combination) should </w:t>
      </w:r>
      <w:r>
        <w:rPr>
          <w:color w:val="000000" w:themeColor="text1"/>
        </w:rPr>
        <w:t>be based on the observed data from the IMPower150 trial (issue 11, see ERG report page </w:t>
      </w:r>
      <w:r w:rsidRPr="0057101A">
        <w:rPr>
          <w:color w:val="000000" w:themeColor="text1"/>
        </w:rPr>
        <w:t>27</w:t>
      </w:r>
      <w:r>
        <w:rPr>
          <w:color w:val="000000" w:themeColor="text1"/>
        </w:rPr>
        <w:t>)</w:t>
      </w:r>
    </w:p>
    <w:p w14:paraId="0EF993A8" w14:textId="77777777" w:rsidR="008F0C77" w:rsidRPr="00BF5BED" w:rsidRDefault="008F0C77" w:rsidP="008F0C77">
      <w:pPr>
        <w:pStyle w:val="Bulletleft1"/>
        <w:spacing w:after="240"/>
        <w:rPr>
          <w:color w:val="000000" w:themeColor="text1"/>
        </w:rPr>
      </w:pPr>
      <w:r>
        <w:rPr>
          <w:color w:val="000000" w:themeColor="text1"/>
        </w:rPr>
        <w:t>docetaxel should be removed as a subsequent therapy for people having first-line platinum-doublet chemotherapy (issue 15, see ERG report page </w:t>
      </w:r>
      <w:r w:rsidRPr="00B55E58">
        <w:rPr>
          <w:color w:val="000000" w:themeColor="text1"/>
        </w:rPr>
        <w:t>30</w:t>
      </w:r>
      <w:r>
        <w:rPr>
          <w:color w:val="000000" w:themeColor="text1"/>
        </w:rPr>
        <w:t>).</w:t>
      </w:r>
    </w:p>
    <w:p w14:paraId="17A24A48" w14:textId="77777777" w:rsidR="008F0C77" w:rsidRDefault="008F0C77" w:rsidP="008F0C77">
      <w:pPr>
        <w:pStyle w:val="NICEnormal"/>
        <w:ind w:left="60"/>
      </w:pPr>
      <w:r>
        <w:t xml:space="preserve">The committee recognised that there were remaining areas of uncertainty associated with the analyses </w:t>
      </w:r>
      <w:proofErr w:type="gramStart"/>
      <w:r>
        <w:t>presented, and</w:t>
      </w:r>
      <w:proofErr w:type="gramEnd"/>
      <w:r>
        <w:t xml:space="preserve"> took these into account in its decision making. It discussed the following issues, which were outstanding after the technical engagement stage:</w:t>
      </w:r>
    </w:p>
    <w:p w14:paraId="4808731D" w14:textId="77777777" w:rsidR="008F0C77" w:rsidRDefault="008F0C77" w:rsidP="008F0C77">
      <w:pPr>
        <w:pStyle w:val="NICEnormal"/>
        <w:numPr>
          <w:ilvl w:val="0"/>
          <w:numId w:val="27"/>
        </w:numPr>
        <w:spacing w:after="0"/>
        <w:ind w:left="284" w:hanging="284"/>
      </w:pPr>
      <w:r>
        <w:lastRenderedPageBreak/>
        <w:t xml:space="preserve">whether the decision problem should be split into 3 separate subgroups based on </w:t>
      </w:r>
      <w:r w:rsidRPr="00BC34D9">
        <w:t>histology and PD-L1 tumour proportion score</w:t>
      </w:r>
      <w:r>
        <w:t xml:space="preserve"> (TPS; issue 1, see ERG report page </w:t>
      </w:r>
      <w:r w:rsidRPr="00B55E58">
        <w:rPr>
          <w:color w:val="000000" w:themeColor="text1"/>
        </w:rPr>
        <w:t>16</w:t>
      </w:r>
      <w:r>
        <w:t>)</w:t>
      </w:r>
    </w:p>
    <w:p w14:paraId="0734F9E7" w14:textId="77777777" w:rsidR="008F0C77" w:rsidRDefault="008F0C77" w:rsidP="008F0C77">
      <w:pPr>
        <w:pStyle w:val="NICEnormal"/>
        <w:numPr>
          <w:ilvl w:val="0"/>
          <w:numId w:val="27"/>
        </w:numPr>
        <w:spacing w:after="0"/>
        <w:ind w:left="284" w:hanging="284"/>
      </w:pPr>
      <w:r>
        <w:t>whether different curves should be used to model overall survival and progression-free survival for nivolumab combination in these 3 subgroups (issue 8, see ERG report, page </w:t>
      </w:r>
      <w:r w:rsidRPr="00B55E58">
        <w:rPr>
          <w:color w:val="000000" w:themeColor="text1"/>
        </w:rPr>
        <w:t>23</w:t>
      </w:r>
      <w:r>
        <w:t>)</w:t>
      </w:r>
    </w:p>
    <w:p w14:paraId="1663C8A5" w14:textId="77777777" w:rsidR="008F0C77" w:rsidRDefault="008F0C77" w:rsidP="008F0C77">
      <w:pPr>
        <w:pStyle w:val="NICEnormal"/>
        <w:numPr>
          <w:ilvl w:val="0"/>
          <w:numId w:val="27"/>
        </w:numPr>
        <w:spacing w:after="0"/>
        <w:ind w:left="284" w:hanging="284"/>
      </w:pPr>
      <w:r>
        <w:t xml:space="preserve">what composition of platinum-doublet chemotherapy best reflects NHS clinical practice (issues 6 and 7, see ERG </w:t>
      </w:r>
      <w:proofErr w:type="gramStart"/>
      <w:r>
        <w:t>report,</w:t>
      </w:r>
      <w:proofErr w:type="gramEnd"/>
      <w:r>
        <w:t xml:space="preserve"> </w:t>
      </w:r>
      <w:r w:rsidRPr="00B55E58">
        <w:rPr>
          <w:color w:val="000000" w:themeColor="text1"/>
        </w:rPr>
        <w:t>pages 21</w:t>
      </w:r>
      <w:r>
        <w:rPr>
          <w:color w:val="000000" w:themeColor="text1"/>
        </w:rPr>
        <w:t> </w:t>
      </w:r>
      <w:r w:rsidRPr="00B55E58">
        <w:rPr>
          <w:color w:val="000000" w:themeColor="text1"/>
        </w:rPr>
        <w:t>to</w:t>
      </w:r>
      <w:r>
        <w:rPr>
          <w:color w:val="000000" w:themeColor="text1"/>
        </w:rPr>
        <w:t> </w:t>
      </w:r>
      <w:r w:rsidRPr="00B55E58">
        <w:rPr>
          <w:color w:val="000000" w:themeColor="text1"/>
        </w:rPr>
        <w:t>23</w:t>
      </w:r>
      <w:r>
        <w:t>)</w:t>
      </w:r>
    </w:p>
    <w:p w14:paraId="0D151E7D" w14:textId="77777777" w:rsidR="008F0C77" w:rsidRDefault="008F0C77" w:rsidP="008F0C77">
      <w:pPr>
        <w:pStyle w:val="NICEnormal"/>
        <w:numPr>
          <w:ilvl w:val="0"/>
          <w:numId w:val="27"/>
        </w:numPr>
        <w:spacing w:after="0"/>
        <w:ind w:left="284" w:hanging="284"/>
      </w:pPr>
      <w:r>
        <w:t>whether survival for people having platinum-doublet chemotherapy should be modelled using the CheckMate-9LA data up to 13 months and the CheckMate</w:t>
      </w:r>
      <w:r>
        <w:noBreakHyphen/>
        <w:t>227 data thereafter, or using the CheckMate-227 data alone (issue 9, see ERG report, page </w:t>
      </w:r>
      <w:r w:rsidRPr="00B55E58">
        <w:rPr>
          <w:color w:val="000000" w:themeColor="text1"/>
        </w:rPr>
        <w:t>25</w:t>
      </w:r>
      <w:r>
        <w:t>)</w:t>
      </w:r>
    </w:p>
    <w:p w14:paraId="7E3F4BE4" w14:textId="77777777" w:rsidR="008F0C77" w:rsidRDefault="008F0C77" w:rsidP="008F0C77">
      <w:pPr>
        <w:pStyle w:val="NICEnormal"/>
        <w:numPr>
          <w:ilvl w:val="0"/>
          <w:numId w:val="27"/>
        </w:numPr>
        <w:spacing w:after="0"/>
        <w:ind w:left="284" w:hanging="284"/>
      </w:pPr>
      <w:r>
        <w:t>how long the effect of treatment with nivolumab combination lasts (issue 10, see ERG report, page </w:t>
      </w:r>
      <w:r w:rsidRPr="00B55E58">
        <w:rPr>
          <w:color w:val="000000" w:themeColor="text1"/>
        </w:rPr>
        <w:t>26</w:t>
      </w:r>
      <w:r>
        <w:t>)</w:t>
      </w:r>
    </w:p>
    <w:p w14:paraId="5D4F69A8" w14:textId="77777777" w:rsidR="008F0C77" w:rsidRDefault="008F0C77" w:rsidP="008F0C77">
      <w:pPr>
        <w:pStyle w:val="NICEnormal"/>
        <w:numPr>
          <w:ilvl w:val="0"/>
          <w:numId w:val="27"/>
        </w:numPr>
        <w:spacing w:after="0"/>
        <w:ind w:left="284" w:hanging="284"/>
      </w:pPr>
      <w:r>
        <w:t>whether the utility values should be based on progression status or time to death (issue 12, see ERG report, page </w:t>
      </w:r>
      <w:r w:rsidRPr="00B55E58">
        <w:rPr>
          <w:color w:val="000000" w:themeColor="text1"/>
        </w:rPr>
        <w:t>28</w:t>
      </w:r>
      <w:r>
        <w:t>)</w:t>
      </w:r>
    </w:p>
    <w:p w14:paraId="4A952760" w14:textId="77777777" w:rsidR="008F0C77" w:rsidRDefault="008F0C77" w:rsidP="008F0C77">
      <w:pPr>
        <w:pStyle w:val="NICEnormal"/>
        <w:numPr>
          <w:ilvl w:val="0"/>
          <w:numId w:val="27"/>
        </w:numPr>
        <w:spacing w:after="0"/>
        <w:ind w:left="284" w:hanging="284"/>
      </w:pPr>
      <w:r>
        <w:t>whether the adjustment for relative dose intensity should be applied to the acquisition cost, or the expected required treatment dose (issue 13, see ERG report, page </w:t>
      </w:r>
      <w:r w:rsidRPr="00B55E58">
        <w:rPr>
          <w:color w:val="000000" w:themeColor="text1"/>
        </w:rPr>
        <w:t>29</w:t>
      </w:r>
      <w:r>
        <w:t>)</w:t>
      </w:r>
    </w:p>
    <w:p w14:paraId="57146371" w14:textId="77777777" w:rsidR="008F0C77" w:rsidRDefault="008F0C77" w:rsidP="008F0C77">
      <w:pPr>
        <w:pStyle w:val="NICEnormal"/>
        <w:numPr>
          <w:ilvl w:val="0"/>
          <w:numId w:val="27"/>
        </w:numPr>
        <w:spacing w:after="0"/>
        <w:ind w:left="284" w:hanging="284"/>
      </w:pPr>
      <w:r>
        <w:t xml:space="preserve">what proportion of people have subsequent anticancer therapy after their first-line treatment (issue 14, see ERG </w:t>
      </w:r>
      <w:proofErr w:type="gramStart"/>
      <w:r>
        <w:t>report,</w:t>
      </w:r>
      <w:proofErr w:type="gramEnd"/>
      <w:r>
        <w:t xml:space="preserve"> page </w:t>
      </w:r>
      <w:r w:rsidRPr="00B55E58">
        <w:rPr>
          <w:color w:val="000000" w:themeColor="text1"/>
        </w:rPr>
        <w:t>29</w:t>
      </w:r>
      <w:r>
        <w:t>)</w:t>
      </w:r>
    </w:p>
    <w:p w14:paraId="4437D086" w14:textId="77777777" w:rsidR="008F0C77" w:rsidRDefault="008F0C77" w:rsidP="008F0C77">
      <w:pPr>
        <w:pStyle w:val="NICEnormal"/>
        <w:numPr>
          <w:ilvl w:val="0"/>
          <w:numId w:val="27"/>
        </w:numPr>
        <w:spacing w:after="0"/>
        <w:ind w:left="284" w:hanging="284"/>
      </w:pPr>
      <w:r>
        <w:t xml:space="preserve">whether nivolumab combination meets the criteria for </w:t>
      </w:r>
      <w:proofErr w:type="gramStart"/>
      <w:r>
        <w:t>end of life</w:t>
      </w:r>
      <w:proofErr w:type="gramEnd"/>
      <w:r>
        <w:t xml:space="preserve"> treatments (issue 16, see ERG report, page </w:t>
      </w:r>
      <w:r w:rsidRPr="00B55E58">
        <w:rPr>
          <w:color w:val="000000" w:themeColor="text1"/>
        </w:rPr>
        <w:t>31</w:t>
      </w:r>
      <w:r>
        <w:t>)</w:t>
      </w:r>
    </w:p>
    <w:p w14:paraId="2C4782CB" w14:textId="77777777" w:rsidR="008F0C77" w:rsidRDefault="008F0C77" w:rsidP="008F0C77">
      <w:pPr>
        <w:pStyle w:val="NICEnormal"/>
        <w:numPr>
          <w:ilvl w:val="0"/>
          <w:numId w:val="27"/>
        </w:numPr>
        <w:spacing w:after="0"/>
        <w:ind w:left="284" w:hanging="284"/>
      </w:pPr>
      <w:r>
        <w:t>whether nivolumab combination meets the criteria to be considered for use within the Cancer Drugs Fund (issue 17, see ERG report, page </w:t>
      </w:r>
      <w:r w:rsidRPr="00B55E58">
        <w:rPr>
          <w:color w:val="000000" w:themeColor="text1"/>
        </w:rPr>
        <w:t>32</w:t>
      </w:r>
      <w:r>
        <w:t>).</w:t>
      </w:r>
    </w:p>
    <w:p w14:paraId="4E715E9E" w14:textId="77777777" w:rsidR="008F0C77" w:rsidRDefault="008F0C77" w:rsidP="008F0C77">
      <w:pPr>
        <w:pStyle w:val="Heading2"/>
      </w:pPr>
      <w:r>
        <w:lastRenderedPageBreak/>
        <w:t>Clinical need and management</w:t>
      </w:r>
    </w:p>
    <w:p w14:paraId="6E47A811" w14:textId="77777777" w:rsidR="008F0C77" w:rsidRDefault="008F0C77" w:rsidP="008F0C77">
      <w:pPr>
        <w:pStyle w:val="Heading3"/>
      </w:pPr>
      <w:r>
        <w:t>Nivolumab combination is another option for untreated, metastatic non-small-cell lung cancer</w:t>
      </w:r>
    </w:p>
    <w:p w14:paraId="4E0777C1" w14:textId="77777777" w:rsidR="008F0C77" w:rsidRPr="008021A8" w:rsidRDefault="008F0C77" w:rsidP="008F0C77">
      <w:pPr>
        <w:pStyle w:val="Numberedlevel2text"/>
        <w:numPr>
          <w:ilvl w:val="1"/>
          <w:numId w:val="1"/>
        </w:numPr>
      </w:pPr>
      <w:r>
        <w:rPr>
          <w:lang w:val="en-GB"/>
        </w:rPr>
        <w:t>The clinical experts explained that immunotherapy with platinum-doublet chemotherapy (chemo-immunotherapy) is standard care in the NHS for untreated metastatic non-small-cell lung cancer (NSCLC) with no epidermal growth factor receptor (EGFR) or anaplastic lymphoma kinase (ALK) mutations. M</w:t>
      </w:r>
      <w:r w:rsidRPr="003F5ACA">
        <w:rPr>
          <w:lang w:val="en-GB"/>
        </w:rPr>
        <w:t xml:space="preserve">ost </w:t>
      </w:r>
      <w:r>
        <w:rPr>
          <w:lang w:val="en-GB"/>
        </w:rPr>
        <w:t>people</w:t>
      </w:r>
      <w:r w:rsidRPr="003F5ACA">
        <w:rPr>
          <w:lang w:val="en-GB"/>
        </w:rPr>
        <w:t xml:space="preserve"> </w:t>
      </w:r>
      <w:r>
        <w:rPr>
          <w:lang w:val="en-GB"/>
        </w:rPr>
        <w:t xml:space="preserve">having chemo-immunotherapy stop treatment before 2 years because their disease progresses or there are tolerability issues, and few survive in the long term. The side effects of long-term immunotherapy are usually mild but can sometimes be considerable, needing specialist management. </w:t>
      </w:r>
      <w:r w:rsidRPr="00330FF0">
        <w:rPr>
          <w:lang w:val="en-GB"/>
        </w:rPr>
        <w:t xml:space="preserve">The </w:t>
      </w:r>
      <w:r>
        <w:rPr>
          <w:lang w:val="en-GB"/>
        </w:rPr>
        <w:t>clinical experts considered</w:t>
      </w:r>
      <w:r w:rsidRPr="00330FF0">
        <w:rPr>
          <w:lang w:val="en-GB"/>
        </w:rPr>
        <w:t xml:space="preserve"> that nivolumab</w:t>
      </w:r>
      <w:r>
        <w:rPr>
          <w:lang w:val="en-GB"/>
        </w:rPr>
        <w:t xml:space="preserve"> combination</w:t>
      </w:r>
      <w:r w:rsidRPr="00330FF0">
        <w:rPr>
          <w:lang w:val="en-GB"/>
        </w:rPr>
        <w:t xml:space="preserve"> is likely to have similar efficacy to other first-line chemo-immunotherapy combinations.</w:t>
      </w:r>
      <w:r>
        <w:rPr>
          <w:lang w:val="en-GB"/>
        </w:rPr>
        <w:t xml:space="preserve"> Limiting the duration of chemotherapy to 2 cycles may reduce renal toxicity and allow platinum-doublet chemotherapy to be offered again as a later-line therapy. However, the clinical experts also noted that combining 2 immunotherapies is likely to cause more immune-related toxicities than current regimens, which include only 1 immunotherapy. The committee concluded that nivolumab combination offers another treatment </w:t>
      </w:r>
      <w:r w:rsidRPr="00655F65">
        <w:rPr>
          <w:lang w:val="en-GB"/>
        </w:rPr>
        <w:t>option for untreated metastatic NSCLC w</w:t>
      </w:r>
      <w:r>
        <w:rPr>
          <w:lang w:val="en-GB"/>
        </w:rPr>
        <w:t>ith</w:t>
      </w:r>
      <w:r w:rsidRPr="00655F65">
        <w:rPr>
          <w:lang w:val="en-GB"/>
        </w:rPr>
        <w:t xml:space="preserve"> no EGFR or ALK mutation</w:t>
      </w:r>
      <w:r>
        <w:rPr>
          <w:lang w:val="en-GB"/>
        </w:rPr>
        <w:t>s, which may have advantages for some people.</w:t>
      </w:r>
    </w:p>
    <w:p w14:paraId="0F8A1064" w14:textId="77777777" w:rsidR="008F0C77" w:rsidRDefault="008F0C77" w:rsidP="008F0C77">
      <w:pPr>
        <w:pStyle w:val="Heading3"/>
      </w:pPr>
      <w:bookmarkStart w:id="2" w:name="_Treatment_practice_and"/>
      <w:bookmarkEnd w:id="2"/>
      <w:r>
        <w:t xml:space="preserve">Treatment and prognosis differ based on </w:t>
      </w:r>
      <w:r w:rsidRPr="00F40ABF">
        <w:t xml:space="preserve">histology and PD-L1 </w:t>
      </w:r>
      <w:r>
        <w:t>status, and subgroups based on these should be considered separately</w:t>
      </w:r>
    </w:p>
    <w:p w14:paraId="3EA387AC" w14:textId="77777777" w:rsidR="008F0C77" w:rsidRPr="00B90EF6" w:rsidRDefault="008F0C77" w:rsidP="008F0C77">
      <w:pPr>
        <w:pStyle w:val="Numberedlevel2text"/>
        <w:numPr>
          <w:ilvl w:val="1"/>
          <w:numId w:val="1"/>
        </w:numPr>
      </w:pPr>
      <w:r>
        <w:rPr>
          <w:lang w:val="en-GB"/>
        </w:rPr>
        <w:t>The clinical experts explained that current treatment is based on histology and PD-L1 TPS, in line with NICE guidance. The ERG considered that the population with</w:t>
      </w:r>
      <w:r w:rsidRPr="00AF459F">
        <w:rPr>
          <w:lang w:val="en-GB"/>
        </w:rPr>
        <w:t xml:space="preserve"> untreated metastatic NSCLC who have no EGFR or ALK tumour mutations</w:t>
      </w:r>
      <w:r>
        <w:rPr>
          <w:lang w:val="en-GB"/>
        </w:rPr>
        <w:t xml:space="preserve"> should be split into 3 subgroups, according to the treatments currently available:</w:t>
      </w:r>
    </w:p>
    <w:p w14:paraId="2298A5EE" w14:textId="77777777" w:rsidR="008F0C77" w:rsidRDefault="008F0C77" w:rsidP="008F0C77">
      <w:pPr>
        <w:pStyle w:val="Bulletindent1"/>
      </w:pPr>
      <w:r w:rsidRPr="00B90EF6">
        <w:lastRenderedPageBreak/>
        <w:t xml:space="preserve">people with non-squamous NSCLC, whose PD-L1 </w:t>
      </w:r>
      <w:r>
        <w:t>TPS</w:t>
      </w:r>
      <w:r w:rsidRPr="00B90EF6">
        <w:t xml:space="preserve"> is be</w:t>
      </w:r>
      <w:r>
        <w:t>low 50</w:t>
      </w:r>
      <w:r w:rsidRPr="00B90EF6">
        <w:t>%</w:t>
      </w:r>
    </w:p>
    <w:p w14:paraId="55226A22" w14:textId="77777777" w:rsidR="008F0C77" w:rsidRDefault="008F0C77" w:rsidP="008F0C77">
      <w:pPr>
        <w:pStyle w:val="Bulletindent1"/>
      </w:pPr>
      <w:r w:rsidRPr="00B90EF6">
        <w:t xml:space="preserve">people with squamous NSCLC, whose PD-L1 </w:t>
      </w:r>
      <w:r>
        <w:t>TPS</w:t>
      </w:r>
      <w:r w:rsidRPr="00B90EF6">
        <w:t xml:space="preserve"> is be</w:t>
      </w:r>
      <w:r>
        <w:t>low</w:t>
      </w:r>
      <w:r w:rsidRPr="00B90EF6">
        <w:t xml:space="preserve"> </w:t>
      </w:r>
      <w:r>
        <w:t>50</w:t>
      </w:r>
      <w:r w:rsidRPr="00B90EF6">
        <w:t>%</w:t>
      </w:r>
      <w:r>
        <w:t xml:space="preserve"> and</w:t>
      </w:r>
    </w:p>
    <w:p w14:paraId="244E8FEB" w14:textId="77777777" w:rsidR="008F0C77" w:rsidRDefault="008F0C77" w:rsidP="008F0C77">
      <w:pPr>
        <w:pStyle w:val="Bulletindent1last"/>
      </w:pPr>
      <w:r w:rsidRPr="00B90EF6">
        <w:t xml:space="preserve">people with NSCLC of either histology, whose PD-L1 </w:t>
      </w:r>
      <w:r>
        <w:t>TPS</w:t>
      </w:r>
      <w:r w:rsidRPr="00B90EF6">
        <w:t xml:space="preserve"> is at least 50%</w:t>
      </w:r>
      <w:r>
        <w:t>.</w:t>
      </w:r>
    </w:p>
    <w:p w14:paraId="74F3DD9F" w14:textId="77777777" w:rsidR="008F0C77" w:rsidRDefault="008F0C77" w:rsidP="008F0C77">
      <w:pPr>
        <w:pStyle w:val="Numberedlevel2text"/>
        <w:numPr>
          <w:ilvl w:val="0"/>
          <w:numId w:val="0"/>
        </w:numPr>
        <w:ind w:left="1134"/>
        <w:rPr>
          <w:lang w:val="en-GB"/>
        </w:rPr>
      </w:pPr>
      <w:r>
        <w:rPr>
          <w:lang w:val="en-GB"/>
        </w:rPr>
        <w:t>The clinical experts also explained that prognosis may differ by histology and PD-L1 TPS, with outcomes tending to be worse for people with squamous NSCLC. The committee concluded that it was appropriate to consider the 3 subgroups identified by the ERG separately.</w:t>
      </w:r>
    </w:p>
    <w:p w14:paraId="4A89FFE4" w14:textId="77777777" w:rsidR="008F0C77" w:rsidRDefault="008F0C77" w:rsidP="008F0C77">
      <w:pPr>
        <w:pStyle w:val="Heading3"/>
      </w:pPr>
      <w:bookmarkStart w:id="3" w:name="_The_comparators_are"/>
      <w:bookmarkEnd w:id="3"/>
      <w:r>
        <w:t>The comparators are appropriate, but pembrolizumab plus pemetrexed and platinum chemotherapy is also relevant for non-squamous NSCLC</w:t>
      </w:r>
    </w:p>
    <w:p w14:paraId="2B2AB3A8" w14:textId="77777777" w:rsidR="008F0C77" w:rsidRDefault="008F0C77" w:rsidP="008F0C77">
      <w:pPr>
        <w:pStyle w:val="Numberedlevel2text"/>
        <w:numPr>
          <w:ilvl w:val="1"/>
          <w:numId w:val="1"/>
        </w:numPr>
        <w:rPr>
          <w:lang w:val="en-GB"/>
        </w:rPr>
      </w:pPr>
      <w:r w:rsidRPr="000D28B2">
        <w:rPr>
          <w:lang w:val="en-GB"/>
        </w:rPr>
        <w:t>The committee heard that</w:t>
      </w:r>
      <w:r>
        <w:rPr>
          <w:lang w:val="en-GB"/>
        </w:rPr>
        <w:t xml:space="preserve">, in line with </w:t>
      </w:r>
      <w:hyperlink r:id="rId11" w:history="1">
        <w:r w:rsidRPr="00DC23C8">
          <w:rPr>
            <w:rStyle w:val="Hyperlink"/>
            <w:lang w:val="en-GB"/>
          </w:rPr>
          <w:t>NICE’s technology appraisal guidance on pembrolizumab plus pemetrexed and platinum chemotherapy for non-squamous NSCLC</w:t>
        </w:r>
      </w:hyperlink>
      <w:r>
        <w:rPr>
          <w:lang w:val="en-GB"/>
        </w:rPr>
        <w:t xml:space="preserve">, and </w:t>
      </w:r>
      <w:hyperlink r:id="rId12" w:history="1">
        <w:r>
          <w:rPr>
            <w:rStyle w:val="Hyperlink"/>
            <w:lang w:val="en-GB"/>
          </w:rPr>
          <w:t>pembrolizumab plus carboplatin and paclitaxel for squamous NSCLC</w:t>
        </w:r>
      </w:hyperlink>
      <w:r>
        <w:rPr>
          <w:lang w:val="en-GB"/>
        </w:rPr>
        <w:t>,</w:t>
      </w:r>
      <w:r w:rsidRPr="0039483B">
        <w:rPr>
          <w:lang w:val="en-GB"/>
        </w:rPr>
        <w:t xml:space="preserve"> </w:t>
      </w:r>
      <w:r>
        <w:rPr>
          <w:lang w:val="en-GB"/>
        </w:rPr>
        <w:t xml:space="preserve">these combinations are widely used in NHS clinical practice. When the scope for this appraisal was developed, </w:t>
      </w:r>
      <w:r w:rsidRPr="00464D2E">
        <w:rPr>
          <w:lang w:val="en-GB"/>
        </w:rPr>
        <w:t xml:space="preserve">pembrolizumab plus pemetrexed </w:t>
      </w:r>
      <w:r>
        <w:rPr>
          <w:lang w:val="en-GB"/>
        </w:rPr>
        <w:t>and</w:t>
      </w:r>
      <w:r w:rsidRPr="00464D2E">
        <w:rPr>
          <w:lang w:val="en-GB"/>
        </w:rPr>
        <w:t xml:space="preserve"> platinum chemotherapy</w:t>
      </w:r>
      <w:r w:rsidRPr="00F06607">
        <w:rPr>
          <w:lang w:val="en-GB"/>
        </w:rPr>
        <w:t xml:space="preserve"> </w:t>
      </w:r>
      <w:r>
        <w:rPr>
          <w:lang w:val="en-GB"/>
        </w:rPr>
        <w:t xml:space="preserve">was recommended </w:t>
      </w:r>
      <w:r w:rsidRPr="00F06607">
        <w:rPr>
          <w:lang w:val="en-GB"/>
        </w:rPr>
        <w:t>for use within the Cancer Drugs Fund</w:t>
      </w:r>
      <w:r>
        <w:rPr>
          <w:lang w:val="en-GB"/>
        </w:rPr>
        <w:t>. So, it was not included as a comparator i</w:t>
      </w:r>
      <w:r w:rsidRPr="00F06607">
        <w:rPr>
          <w:lang w:val="en-GB"/>
        </w:rPr>
        <w:t xml:space="preserve">n line with </w:t>
      </w:r>
      <w:hyperlink r:id="rId13" w:history="1">
        <w:r w:rsidRPr="00F06607">
          <w:rPr>
            <w:rStyle w:val="Hyperlink"/>
            <w:lang w:val="en-GB"/>
          </w:rPr>
          <w:t xml:space="preserve">NICE’s position statement on </w:t>
        </w:r>
        <w:r>
          <w:rPr>
            <w:rStyle w:val="Hyperlink"/>
            <w:lang w:val="en-GB"/>
          </w:rPr>
          <w:t>handling comparators and treatment sequences</w:t>
        </w:r>
        <w:r w:rsidRPr="00F06607">
          <w:rPr>
            <w:rStyle w:val="Hyperlink"/>
            <w:lang w:val="en-GB"/>
          </w:rPr>
          <w:t xml:space="preserve"> in the Cancer Drugs Fund</w:t>
        </w:r>
      </w:hyperlink>
      <w:r>
        <w:rPr>
          <w:lang w:val="en-GB"/>
        </w:rPr>
        <w:t xml:space="preserve">. However, it is now recommended for routine commissioning, and is therefore an appropriate comparator for non-squamous NSCLC. </w:t>
      </w:r>
      <w:hyperlink r:id="rId14" w:history="1">
        <w:r>
          <w:rPr>
            <w:rStyle w:val="Hyperlink"/>
            <w:lang w:val="en-GB"/>
          </w:rPr>
          <w:t>NICE's technology appraisal guidance on pembrolizumab plus carboplatin and paclitaxel is being reviewed</w:t>
        </w:r>
      </w:hyperlink>
      <w:r>
        <w:rPr>
          <w:lang w:val="en-GB"/>
        </w:rPr>
        <w:t>, but this technology is still recommended for use within the Cancer Drugs Fund while the review is ongoing. It is therefore not an appropriate comparator. The committee understood that, i</w:t>
      </w:r>
      <w:r w:rsidRPr="00F06607">
        <w:rPr>
          <w:lang w:val="en-GB"/>
        </w:rPr>
        <w:t xml:space="preserve">n line </w:t>
      </w:r>
      <w:r>
        <w:rPr>
          <w:lang w:val="en-GB"/>
        </w:rPr>
        <w:t>with the scope, the following comparators were included in the cost-effectiveness analysis:</w:t>
      </w:r>
    </w:p>
    <w:p w14:paraId="203B081A" w14:textId="77777777" w:rsidR="008F0C77" w:rsidRDefault="008F0C77" w:rsidP="008F0C77">
      <w:pPr>
        <w:pStyle w:val="Bulletindent1"/>
      </w:pPr>
      <w:r>
        <w:t>platinum-doublet chemotherapy for all 3 subgroups, including optional pemetrexed maintenance for people with non-squamous NSCLC</w:t>
      </w:r>
    </w:p>
    <w:p w14:paraId="13B29FA5" w14:textId="77777777" w:rsidR="008F0C77" w:rsidRDefault="008F0C77" w:rsidP="008F0C77">
      <w:pPr>
        <w:pStyle w:val="Bulletindent1"/>
      </w:pPr>
      <w:r>
        <w:lastRenderedPageBreak/>
        <w:t xml:space="preserve">atezolizumab combination for the subgroup with </w:t>
      </w:r>
      <w:r w:rsidRPr="00C804B3">
        <w:t>non-squamous NSCLC</w:t>
      </w:r>
      <w:r>
        <w:t xml:space="preserve"> and a PD-L1 TPS</w:t>
      </w:r>
      <w:r w:rsidRPr="00C804B3">
        <w:t xml:space="preserve"> between </w:t>
      </w:r>
      <w:r>
        <w:t>below 50</w:t>
      </w:r>
      <w:r w:rsidRPr="00C804B3">
        <w:t>%</w:t>
      </w:r>
    </w:p>
    <w:p w14:paraId="46A33A62" w14:textId="77777777" w:rsidR="008F0C77" w:rsidRDefault="008F0C77" w:rsidP="008F0C77">
      <w:pPr>
        <w:pStyle w:val="Bulletindent1last"/>
      </w:pPr>
      <w:r>
        <w:t xml:space="preserve">pembrolizumab monotherapy for the subgroup with either histology </w:t>
      </w:r>
      <w:proofErr w:type="gramStart"/>
      <w:r>
        <w:t>and</w:t>
      </w:r>
      <w:proofErr w:type="gramEnd"/>
      <w:r>
        <w:t xml:space="preserve"> a PD-L1 TPS of at least 50%.</w:t>
      </w:r>
    </w:p>
    <w:p w14:paraId="7F039957" w14:textId="77777777" w:rsidR="008F0C77" w:rsidRDefault="008F0C77" w:rsidP="008F0C77">
      <w:pPr>
        <w:pStyle w:val="Panelbullet1"/>
        <w:numPr>
          <w:ilvl w:val="0"/>
          <w:numId w:val="0"/>
        </w:numPr>
        <w:spacing w:after="240" w:line="360" w:lineRule="auto"/>
        <w:ind w:left="1134"/>
      </w:pPr>
      <w:r>
        <w:t xml:space="preserve">The committee agreed that these comparators were appropriate. However, it concluded that </w:t>
      </w:r>
      <w:r w:rsidRPr="00934B83">
        <w:t xml:space="preserve">pembrolizumab plus pemetrexed </w:t>
      </w:r>
      <w:r>
        <w:t>and</w:t>
      </w:r>
      <w:r w:rsidRPr="00934B83">
        <w:t xml:space="preserve"> platinum chemotherapy</w:t>
      </w:r>
      <w:r>
        <w:t xml:space="preserve"> was also a relevant comparator for non-squamous </w:t>
      </w:r>
      <w:proofErr w:type="gramStart"/>
      <w:r>
        <w:t>NSCLC, and</w:t>
      </w:r>
      <w:proofErr w:type="gramEnd"/>
      <w:r>
        <w:t xml:space="preserve"> should be included in the analysis to reflect established NHS practice.</w:t>
      </w:r>
    </w:p>
    <w:p w14:paraId="481E9358" w14:textId="77777777" w:rsidR="008F0C77" w:rsidRDefault="008F0C77" w:rsidP="008F0C77">
      <w:pPr>
        <w:pStyle w:val="Heading2"/>
      </w:pPr>
      <w:r>
        <w:t>Clinical effectiveness</w:t>
      </w:r>
    </w:p>
    <w:p w14:paraId="580770CE" w14:textId="77777777" w:rsidR="008F0C77" w:rsidRDefault="008F0C77" w:rsidP="008F0C77">
      <w:pPr>
        <w:pStyle w:val="Heading3"/>
      </w:pPr>
      <w:r>
        <w:t>CheckMate-9LA does not include all the relevant treatments used in NHS clinical practice</w:t>
      </w:r>
    </w:p>
    <w:p w14:paraId="307F86DF" w14:textId="77777777" w:rsidR="008F0C77" w:rsidRDefault="008F0C77" w:rsidP="008F0C77">
      <w:pPr>
        <w:pStyle w:val="Numberedlevel2text"/>
        <w:numPr>
          <w:ilvl w:val="1"/>
          <w:numId w:val="1"/>
        </w:numPr>
        <w:rPr>
          <w:lang w:val="en-GB"/>
        </w:rPr>
      </w:pPr>
      <w:r>
        <w:t xml:space="preserve">The main clinical effectiveness evidence for nivolumab </w:t>
      </w:r>
      <w:r>
        <w:rPr>
          <w:lang w:val="en-GB"/>
        </w:rPr>
        <w:t>combination</w:t>
      </w:r>
      <w:r>
        <w:t xml:space="preserve"> came from CheckMate-9LA. This is an ongoing open-label phase</w:t>
      </w:r>
      <w:r>
        <w:rPr>
          <w:lang w:val="en-GB"/>
        </w:rPr>
        <w:t> </w:t>
      </w:r>
      <w:r>
        <w:t xml:space="preserve">3 randomised controlled trial, comparing </w:t>
      </w:r>
      <w:r>
        <w:rPr>
          <w:lang w:val="en-GB"/>
        </w:rPr>
        <w:t>nivolumab combination</w:t>
      </w:r>
      <w:r>
        <w:t xml:space="preserve"> with </w:t>
      </w:r>
      <w:r>
        <w:rPr>
          <w:lang w:val="en-GB"/>
        </w:rPr>
        <w:t xml:space="preserve">standard </w:t>
      </w:r>
      <w:r>
        <w:t xml:space="preserve">platinum-doublet chemotherapy. For </w:t>
      </w:r>
      <w:r>
        <w:rPr>
          <w:lang w:val="en-GB"/>
        </w:rPr>
        <w:t>people</w:t>
      </w:r>
      <w:r>
        <w:t xml:space="preserve"> with non-squamous NSCLC, platinum-doublet chemotherapy was pemetrexed plus either cisplatin or carboplatin</w:t>
      </w:r>
      <w:r>
        <w:rPr>
          <w:lang w:val="en-GB"/>
        </w:rPr>
        <w:t>,</w:t>
      </w:r>
      <w:r>
        <w:t xml:space="preserve"> with optional pemetrexed maintenance therapy. For </w:t>
      </w:r>
      <w:r>
        <w:rPr>
          <w:lang w:val="en-GB"/>
        </w:rPr>
        <w:t>people</w:t>
      </w:r>
      <w:r>
        <w:t xml:space="preserve"> with squamous NSCLC, platinum-doublet chemotherapy was paclitaxel plus carboplatin. The committee was aware that CheckMate</w:t>
      </w:r>
      <w:r>
        <w:noBreakHyphen/>
        <w:t xml:space="preserve">9LA included adults with untreated recurrent or metastatic NSCLC (with no EGFR or ALK mutations) with an Eastern Cooperative Oncology Group performance status of 0 or 1. The trial included </w:t>
      </w:r>
      <w:r>
        <w:rPr>
          <w:lang w:val="en-GB"/>
        </w:rPr>
        <w:t>people</w:t>
      </w:r>
      <w:r>
        <w:t xml:space="preserve"> regardless of PD</w:t>
      </w:r>
      <w:r>
        <w:noBreakHyphen/>
        <w:t xml:space="preserve">L1 status. CheckMate-9LA did not include </w:t>
      </w:r>
      <w:r>
        <w:rPr>
          <w:lang w:val="en-GB"/>
        </w:rPr>
        <w:t xml:space="preserve">some </w:t>
      </w:r>
      <w:r>
        <w:t>comparators used in NHS clinical practice</w:t>
      </w:r>
      <w:r>
        <w:rPr>
          <w:lang w:val="en-GB"/>
        </w:rPr>
        <w:t>:</w:t>
      </w:r>
    </w:p>
    <w:p w14:paraId="2765F267" w14:textId="77777777" w:rsidR="008F0C77" w:rsidRDefault="008F0C77" w:rsidP="008F0C77">
      <w:pPr>
        <w:pStyle w:val="Bulletindent1"/>
      </w:pPr>
      <w:r>
        <w:t>For people with non-squamous NSCLC and a</w:t>
      </w:r>
      <w:r w:rsidRPr="00272E46">
        <w:t xml:space="preserve"> PD-L1 </w:t>
      </w:r>
      <w:r>
        <w:t>TPS</w:t>
      </w:r>
      <w:r w:rsidRPr="00272E46">
        <w:t xml:space="preserve"> be</w:t>
      </w:r>
      <w:r>
        <w:t>low 50</w:t>
      </w:r>
      <w:r w:rsidRPr="00272E46">
        <w:t>%</w:t>
      </w:r>
      <w:r>
        <w:t xml:space="preserve"> it did not include atezolizumab combination and </w:t>
      </w:r>
      <w:r w:rsidRPr="000A1A94">
        <w:t xml:space="preserve">pembrolizumab </w:t>
      </w:r>
      <w:r w:rsidRPr="00971435">
        <w:t xml:space="preserve">plus pemetrexed </w:t>
      </w:r>
      <w:r>
        <w:t>and</w:t>
      </w:r>
      <w:r w:rsidRPr="00971435">
        <w:t xml:space="preserve"> platinum chemotherapy</w:t>
      </w:r>
      <w:r>
        <w:t>.</w:t>
      </w:r>
    </w:p>
    <w:p w14:paraId="0D1127A6" w14:textId="77777777" w:rsidR="008F0C77" w:rsidRDefault="008F0C77" w:rsidP="008F0C77">
      <w:pPr>
        <w:pStyle w:val="Bulletindent1last"/>
        <w:spacing w:after="0"/>
      </w:pPr>
      <w:r>
        <w:lastRenderedPageBreak/>
        <w:t>For people with NSCLC of any histology and a</w:t>
      </w:r>
      <w:r w:rsidRPr="000A1A94">
        <w:t xml:space="preserve"> PD-L1 </w:t>
      </w:r>
      <w:r>
        <w:t>TPS</w:t>
      </w:r>
      <w:r w:rsidRPr="000A1A94">
        <w:t xml:space="preserve"> </w:t>
      </w:r>
      <w:r>
        <w:t>of</w:t>
      </w:r>
      <w:r w:rsidRPr="000A1A94">
        <w:t xml:space="preserve"> at least 50%</w:t>
      </w:r>
      <w:r>
        <w:t xml:space="preserve"> it did not include pembrolizumab monotherapy.</w:t>
      </w:r>
    </w:p>
    <w:p w14:paraId="662AB0B1" w14:textId="77777777" w:rsidR="008F0C77" w:rsidRPr="00423F42" w:rsidRDefault="008F0C77" w:rsidP="008F0C77">
      <w:pPr>
        <w:pStyle w:val="Bulletindent1last"/>
      </w:pPr>
      <w:r>
        <w:t xml:space="preserve">For people with non-squamous </w:t>
      </w:r>
      <w:proofErr w:type="gramStart"/>
      <w:r>
        <w:t>NSCLC</w:t>
      </w:r>
      <w:proofErr w:type="gramEnd"/>
      <w:r>
        <w:t xml:space="preserve"> it did not include pembrolizumab plus pemetrexed and platinum chemotherapy.</w:t>
      </w:r>
    </w:p>
    <w:p w14:paraId="0EC968A5" w14:textId="77777777" w:rsidR="008F0C77" w:rsidRPr="000A1A94" w:rsidRDefault="008F0C77" w:rsidP="008F0C77">
      <w:pPr>
        <w:pStyle w:val="NICEnormalindented"/>
      </w:pPr>
      <w:r>
        <w:t>The committee acknowledged that, because there was no head-to-head evidence with these comparators, indirect treatment comparisons were needed to assess the relative effectiveness of nivolumab combination.</w:t>
      </w:r>
    </w:p>
    <w:p w14:paraId="5FC03C75" w14:textId="77777777" w:rsidR="008F0C77" w:rsidRDefault="008F0C77" w:rsidP="008F0C77">
      <w:pPr>
        <w:pStyle w:val="Heading3"/>
      </w:pPr>
      <w:r w:rsidRPr="00272E46">
        <w:t xml:space="preserve">Nivolumab </w:t>
      </w:r>
      <w:r>
        <w:t>combination</w:t>
      </w:r>
      <w:r w:rsidRPr="00272E46">
        <w:t xml:space="preserve"> improves overall and progression-free survival compared with </w:t>
      </w:r>
      <w:r>
        <w:t>standard chemotherapy</w:t>
      </w:r>
    </w:p>
    <w:p w14:paraId="6CDC4F62" w14:textId="77777777" w:rsidR="008F0C77" w:rsidRPr="00436720" w:rsidRDefault="008F0C77" w:rsidP="008F0C77">
      <w:pPr>
        <w:pStyle w:val="Numberedlevel2text"/>
        <w:numPr>
          <w:ilvl w:val="1"/>
          <w:numId w:val="1"/>
        </w:numPr>
      </w:pPr>
      <w:r>
        <w:rPr>
          <w:lang w:val="en-GB"/>
        </w:rPr>
        <w:t xml:space="preserve">An interim analysis of CheckMate-9LA showed a statistically significant difference in overall and progression-free survival in favour of nivolumab combination compared with standard platinum-doublet chemotherapy. At the most recent data cut (March 2020), median overall survival was 15.6 months for nivolumab combination and 10.9 months for standard chemotherapy (hazard ratio [HR] 0.66, 95% confidence interval [CI] 0.55 to 0.80). Median progression-free survival was 6.7 months </w:t>
      </w:r>
      <w:r w:rsidRPr="00941B23">
        <w:rPr>
          <w:lang w:val="en-GB"/>
        </w:rPr>
        <w:t xml:space="preserve">for </w:t>
      </w:r>
      <w:r>
        <w:rPr>
          <w:lang w:val="en-GB"/>
        </w:rPr>
        <w:t>nivolumab combination</w:t>
      </w:r>
      <w:r w:rsidRPr="00941B23">
        <w:rPr>
          <w:lang w:val="en-GB"/>
        </w:rPr>
        <w:t xml:space="preserve"> and</w:t>
      </w:r>
      <w:r>
        <w:rPr>
          <w:lang w:val="en-GB"/>
        </w:rPr>
        <w:t xml:space="preserve"> 5.0 months for standard chemotherapy (HR 0.68, 95% CI 0.57 to 0.82). Some people having nivolumab combination</w:t>
      </w:r>
      <w:r w:rsidRPr="00941B23">
        <w:rPr>
          <w:lang w:val="en-GB"/>
        </w:rPr>
        <w:t xml:space="preserve"> </w:t>
      </w:r>
      <w:r>
        <w:rPr>
          <w:lang w:val="en-GB"/>
        </w:rPr>
        <w:t>in CheckMate-9LA had either immunotherapy or a therapy targeted against EGFR, ALK or vascular endothelial growth factor as a subsequent therapy. This did not represent NHS clinical practice, because people would not have immunotherapy again or a targeted therapy on disease progression. The clinical experts stated that this was unlikely to have had a major impact on treatment outcomes. But it meant that the survival of people having nivolumab combination</w:t>
      </w:r>
      <w:r w:rsidRPr="00941B23">
        <w:rPr>
          <w:lang w:val="en-GB"/>
        </w:rPr>
        <w:t xml:space="preserve"> </w:t>
      </w:r>
      <w:r>
        <w:rPr>
          <w:lang w:val="en-GB"/>
        </w:rPr>
        <w:t>may have been overestimated in CheckMate-9LA. The committee concluded that nivolumab combination</w:t>
      </w:r>
      <w:r w:rsidRPr="00941B23">
        <w:rPr>
          <w:lang w:val="en-GB"/>
        </w:rPr>
        <w:t xml:space="preserve"> </w:t>
      </w:r>
      <w:r>
        <w:rPr>
          <w:lang w:val="en-GB"/>
        </w:rPr>
        <w:t>was clinically effective compared with standard chemotherapy.</w:t>
      </w:r>
    </w:p>
    <w:p w14:paraId="5ADE5E9B" w14:textId="77777777" w:rsidR="008F0C77" w:rsidRDefault="008F0C77" w:rsidP="008F0C77">
      <w:pPr>
        <w:pStyle w:val="Heading2"/>
      </w:pPr>
      <w:r>
        <w:lastRenderedPageBreak/>
        <w:t>Indirect treatment comparisons</w:t>
      </w:r>
    </w:p>
    <w:p w14:paraId="1FE051D4" w14:textId="77777777" w:rsidR="008F0C77" w:rsidRDefault="008F0C77" w:rsidP="008F0C77">
      <w:pPr>
        <w:pStyle w:val="Heading3"/>
      </w:pPr>
      <w:bookmarkStart w:id="4" w:name="_The_company’s_indirect"/>
      <w:bookmarkEnd w:id="4"/>
      <w:r>
        <w:t>The company’s indirect treatment comparisons are acceptable for decision making, despite uncertainty</w:t>
      </w:r>
    </w:p>
    <w:p w14:paraId="7BAFEC9B" w14:textId="77777777" w:rsidR="008F0C77" w:rsidRPr="00424621" w:rsidRDefault="008F0C77" w:rsidP="008F0C77">
      <w:pPr>
        <w:pStyle w:val="Numberedlevel2text"/>
        <w:numPr>
          <w:ilvl w:val="1"/>
          <w:numId w:val="1"/>
        </w:numPr>
      </w:pPr>
      <w:r>
        <w:rPr>
          <w:lang w:val="en-GB"/>
        </w:rPr>
        <w:t>The company did indirect treatment comparisons</w:t>
      </w:r>
      <w:r w:rsidRPr="003D5747">
        <w:rPr>
          <w:lang w:val="en-GB"/>
        </w:rPr>
        <w:t xml:space="preserve"> </w:t>
      </w:r>
      <w:r>
        <w:rPr>
          <w:lang w:val="en-GB"/>
        </w:rPr>
        <w:t>b</w:t>
      </w:r>
      <w:r w:rsidRPr="003D5747">
        <w:rPr>
          <w:lang w:val="en-GB"/>
        </w:rPr>
        <w:t xml:space="preserve">ecause there were no head-to-head trials comparing </w:t>
      </w:r>
      <w:r>
        <w:rPr>
          <w:lang w:val="en-GB"/>
        </w:rPr>
        <w:t>nivolumab combination</w:t>
      </w:r>
      <w:r w:rsidRPr="003D5747">
        <w:rPr>
          <w:lang w:val="en-GB"/>
        </w:rPr>
        <w:t xml:space="preserve"> with pembrolizumab monotherapy</w:t>
      </w:r>
      <w:r>
        <w:rPr>
          <w:lang w:val="en-GB"/>
        </w:rPr>
        <w:t xml:space="preserve"> and </w:t>
      </w:r>
      <w:r w:rsidRPr="003D5747">
        <w:rPr>
          <w:lang w:val="en-GB"/>
        </w:rPr>
        <w:t>atezolizumab combination</w:t>
      </w:r>
      <w:r>
        <w:rPr>
          <w:lang w:val="en-GB"/>
        </w:rPr>
        <w:t>. The company considered that the proportional hazards assumption (that is, the relative risk of an event is fixed irrespective of time) was not met. It therefore used fractional polynomial models to estimate time-varying hazard ratios. For the indirect comparison with pembrolizumab monotherapy in the subgroup with a</w:t>
      </w:r>
      <w:r w:rsidRPr="000A1A94">
        <w:rPr>
          <w:lang w:val="en-GB"/>
        </w:rPr>
        <w:t xml:space="preserve"> PD-L1 </w:t>
      </w:r>
      <w:r>
        <w:rPr>
          <w:lang w:val="en-GB"/>
        </w:rPr>
        <w:t>TPS</w:t>
      </w:r>
      <w:r w:rsidRPr="000A1A94">
        <w:rPr>
          <w:lang w:val="en-GB"/>
        </w:rPr>
        <w:t xml:space="preserve"> </w:t>
      </w:r>
      <w:r>
        <w:rPr>
          <w:lang w:val="en-GB"/>
        </w:rPr>
        <w:t xml:space="preserve">of </w:t>
      </w:r>
      <w:r w:rsidRPr="000A1A94">
        <w:rPr>
          <w:lang w:val="en-GB"/>
        </w:rPr>
        <w:t>at least 50%</w:t>
      </w:r>
      <w:r>
        <w:rPr>
          <w:lang w:val="en-GB"/>
        </w:rPr>
        <w:t xml:space="preserve">, the company used the data from the full intention-to-treat (ITT) population from CheckMate-9LA. For the comparison with atezolizumab combination for the subgroup </w:t>
      </w:r>
      <w:r w:rsidRPr="00B6684F">
        <w:rPr>
          <w:lang w:val="en-GB"/>
        </w:rPr>
        <w:t xml:space="preserve">with non-squamous NSCLC </w:t>
      </w:r>
      <w:r>
        <w:rPr>
          <w:lang w:val="en-GB"/>
        </w:rPr>
        <w:t>and a</w:t>
      </w:r>
      <w:r w:rsidRPr="00B6684F">
        <w:rPr>
          <w:lang w:val="en-GB"/>
        </w:rPr>
        <w:t xml:space="preserve"> PD-L1 </w:t>
      </w:r>
      <w:r>
        <w:rPr>
          <w:lang w:val="en-GB"/>
        </w:rPr>
        <w:t>TPS</w:t>
      </w:r>
      <w:r w:rsidRPr="00B6684F">
        <w:rPr>
          <w:lang w:val="en-GB"/>
        </w:rPr>
        <w:t xml:space="preserve"> between </w:t>
      </w:r>
      <w:r>
        <w:rPr>
          <w:lang w:val="en-GB"/>
        </w:rPr>
        <w:t>below 50</w:t>
      </w:r>
      <w:r w:rsidRPr="00B6684F">
        <w:rPr>
          <w:lang w:val="en-GB"/>
        </w:rPr>
        <w:t>%</w:t>
      </w:r>
      <w:r>
        <w:rPr>
          <w:lang w:val="en-GB"/>
        </w:rPr>
        <w:t xml:space="preserve">, the company used the data from the relevant subgroup of CheckMate-9LA. The results of the indirect comparisons are confidential and cannot be reported here. At technical engagement, it was agreed that the CheckMate-227 data should also be included in the indirect treatment comparisons. CheckMate-227 is </w:t>
      </w:r>
      <w:r w:rsidRPr="006D6E56">
        <w:rPr>
          <w:lang w:val="en-GB"/>
        </w:rPr>
        <w:t>an ongoing open-label phase</w:t>
      </w:r>
      <w:r>
        <w:rPr>
          <w:lang w:val="en-GB"/>
        </w:rPr>
        <w:t> </w:t>
      </w:r>
      <w:r w:rsidRPr="006D6E56">
        <w:rPr>
          <w:lang w:val="en-GB"/>
        </w:rPr>
        <w:t>3 randomised controlled trial</w:t>
      </w:r>
      <w:r>
        <w:rPr>
          <w:lang w:val="en-GB"/>
        </w:rPr>
        <w:t xml:space="preserve"> in a similar population to that in CheckMate</w:t>
      </w:r>
      <w:r>
        <w:rPr>
          <w:lang w:val="en-GB"/>
        </w:rPr>
        <w:noBreakHyphen/>
        <w:t xml:space="preserve">9LA. It includes a nivolumab plus ipilimumab treatment arm and a platinum-doublet chemotherapy treatment arm, both stratified by PD-L1 TPS. The most recent data cut from CheckMate-227 (February 2020) had a minimum follow up of 37.7 months compared with 12.7 months for CheckMate-9LA. So, it provided more data to inform the long-term extrapolations of the fractional polynomial model. The committee </w:t>
      </w:r>
      <w:r w:rsidRPr="001C22F8">
        <w:rPr>
          <w:lang w:val="en-GB"/>
        </w:rPr>
        <w:t>noted that some of</w:t>
      </w:r>
      <w:r>
        <w:rPr>
          <w:lang w:val="en-GB"/>
        </w:rPr>
        <w:t xml:space="preserve"> the company’s indirect treatment comparison results </w:t>
      </w:r>
      <w:r w:rsidRPr="001C22F8">
        <w:rPr>
          <w:lang w:val="en-GB"/>
        </w:rPr>
        <w:t xml:space="preserve">had wide confidence intervals and were </w:t>
      </w:r>
      <w:proofErr w:type="gramStart"/>
      <w:r w:rsidRPr="001C22F8">
        <w:rPr>
          <w:lang w:val="en-GB"/>
        </w:rPr>
        <w:t>uncertain</w:t>
      </w:r>
      <w:r>
        <w:rPr>
          <w:lang w:val="en-GB"/>
        </w:rPr>
        <w:t>, but</w:t>
      </w:r>
      <w:proofErr w:type="gramEnd"/>
      <w:r w:rsidRPr="001C22F8">
        <w:rPr>
          <w:lang w:val="en-GB"/>
        </w:rPr>
        <w:t xml:space="preserve"> </w:t>
      </w:r>
      <w:r>
        <w:rPr>
          <w:lang w:val="en-GB"/>
        </w:rPr>
        <w:t>concluded that they were acceptable for decision making.</w:t>
      </w:r>
    </w:p>
    <w:p w14:paraId="2714F829" w14:textId="77777777" w:rsidR="008F0C77" w:rsidRDefault="008F0C77" w:rsidP="008F0C77">
      <w:pPr>
        <w:pStyle w:val="Heading2"/>
      </w:pPr>
      <w:r>
        <w:lastRenderedPageBreak/>
        <w:t>Adverse events</w:t>
      </w:r>
    </w:p>
    <w:p w14:paraId="6A810E7D" w14:textId="77777777" w:rsidR="008F0C77" w:rsidRDefault="008F0C77" w:rsidP="008F0C77">
      <w:pPr>
        <w:pStyle w:val="Heading3"/>
      </w:pPr>
      <w:r>
        <w:t>Nivolumab combination is likely to be less well tolerated than other chemo-immunotherapy combinations</w:t>
      </w:r>
    </w:p>
    <w:p w14:paraId="7415CA31" w14:textId="77777777" w:rsidR="008F0C77" w:rsidRPr="00C8544C" w:rsidRDefault="008F0C77" w:rsidP="008F0C77">
      <w:pPr>
        <w:pStyle w:val="Numberedlevel2text"/>
        <w:numPr>
          <w:ilvl w:val="1"/>
          <w:numId w:val="1"/>
        </w:numPr>
      </w:pPr>
      <w:r>
        <w:rPr>
          <w:lang w:val="en-GB"/>
        </w:rPr>
        <w:t xml:space="preserve">The clinical experts explained that immunotherapy is generally well tolerated, but is associated with some rare but unpleasant, and potentially serious, adverse events. These were likely to be more common for nivolumab combination (2 different immunotherapies) than current chemo-immunotherapy combinations (only 1 immunotherapy). The committee understood that clinicians are experienced in recognising and managing these serious adverse events, and there are established toxicity management algorithms in place. </w:t>
      </w:r>
      <w:r>
        <w:rPr>
          <w:color w:val="000000" w:themeColor="text1"/>
          <w:lang w:val="en-GB"/>
        </w:rPr>
        <w:t>It</w:t>
      </w:r>
      <w:r w:rsidRPr="00531D8D">
        <w:rPr>
          <w:color w:val="000000" w:themeColor="text1"/>
          <w:lang w:val="en-GB"/>
        </w:rPr>
        <w:t xml:space="preserve"> concluded that </w:t>
      </w:r>
      <w:r>
        <w:rPr>
          <w:color w:val="000000" w:themeColor="text1"/>
          <w:lang w:val="en-GB"/>
        </w:rPr>
        <w:t>nivolumab combination</w:t>
      </w:r>
      <w:r w:rsidRPr="00531D8D">
        <w:rPr>
          <w:color w:val="000000" w:themeColor="text1"/>
          <w:lang w:val="en-GB"/>
        </w:rPr>
        <w:t xml:space="preserve"> was </w:t>
      </w:r>
      <w:r>
        <w:rPr>
          <w:color w:val="000000" w:themeColor="text1"/>
          <w:lang w:val="en-GB"/>
        </w:rPr>
        <w:t>likely to be less</w:t>
      </w:r>
      <w:r w:rsidRPr="00531D8D">
        <w:rPr>
          <w:color w:val="000000" w:themeColor="text1"/>
          <w:lang w:val="en-GB"/>
        </w:rPr>
        <w:t xml:space="preserve"> well tolerated</w:t>
      </w:r>
      <w:r>
        <w:rPr>
          <w:color w:val="000000" w:themeColor="text1"/>
          <w:lang w:val="en-GB"/>
        </w:rPr>
        <w:t xml:space="preserve"> than other chemo-immunotherapy combinations</w:t>
      </w:r>
      <w:r w:rsidRPr="00531D8D">
        <w:rPr>
          <w:color w:val="000000" w:themeColor="text1"/>
          <w:lang w:val="en-GB"/>
        </w:rPr>
        <w:t xml:space="preserve">, </w:t>
      </w:r>
      <w:r>
        <w:rPr>
          <w:color w:val="000000" w:themeColor="text1"/>
          <w:lang w:val="en-GB"/>
        </w:rPr>
        <w:t>so</w:t>
      </w:r>
      <w:r w:rsidRPr="00531D8D">
        <w:rPr>
          <w:color w:val="000000" w:themeColor="text1"/>
          <w:lang w:val="en-GB"/>
        </w:rPr>
        <w:t xml:space="preserve"> </w:t>
      </w:r>
      <w:r>
        <w:rPr>
          <w:color w:val="000000" w:themeColor="text1"/>
          <w:lang w:val="en-GB"/>
        </w:rPr>
        <w:t>more</w:t>
      </w:r>
      <w:r w:rsidRPr="00531D8D">
        <w:rPr>
          <w:color w:val="000000" w:themeColor="text1"/>
          <w:lang w:val="en-GB"/>
        </w:rPr>
        <w:t xml:space="preserve"> specialist management </w:t>
      </w:r>
      <w:r>
        <w:rPr>
          <w:color w:val="000000" w:themeColor="text1"/>
          <w:lang w:val="en-GB"/>
        </w:rPr>
        <w:t xml:space="preserve">would be needed </w:t>
      </w:r>
      <w:r w:rsidRPr="00531D8D">
        <w:rPr>
          <w:color w:val="000000" w:themeColor="text1"/>
          <w:lang w:val="en-GB"/>
        </w:rPr>
        <w:t xml:space="preserve">to address </w:t>
      </w:r>
      <w:r>
        <w:rPr>
          <w:color w:val="000000" w:themeColor="text1"/>
          <w:lang w:val="en-GB"/>
        </w:rPr>
        <w:t xml:space="preserve">severe </w:t>
      </w:r>
      <w:r w:rsidRPr="00531D8D">
        <w:rPr>
          <w:color w:val="000000" w:themeColor="text1"/>
          <w:lang w:val="en-GB"/>
        </w:rPr>
        <w:t>toxicities.</w:t>
      </w:r>
    </w:p>
    <w:p w14:paraId="02FAB284" w14:textId="77777777" w:rsidR="008F0C77" w:rsidRDefault="008F0C77" w:rsidP="008F0C77">
      <w:pPr>
        <w:pStyle w:val="Heading2"/>
      </w:pPr>
      <w:r>
        <w:t>The company’s economic model</w:t>
      </w:r>
    </w:p>
    <w:p w14:paraId="669F170A" w14:textId="77777777" w:rsidR="008F0C77" w:rsidRDefault="008F0C77" w:rsidP="008F0C77">
      <w:pPr>
        <w:pStyle w:val="Heading3"/>
      </w:pPr>
      <w:bookmarkStart w:id="5" w:name="_The_company's_model"/>
      <w:bookmarkEnd w:id="5"/>
      <w:r w:rsidRPr="00150292">
        <w:t>The company's model structure is acceptable for decision making</w:t>
      </w:r>
    </w:p>
    <w:p w14:paraId="0043D778" w14:textId="77777777" w:rsidR="008F0C77" w:rsidRPr="00150292" w:rsidRDefault="008F0C77" w:rsidP="008F0C77">
      <w:pPr>
        <w:pStyle w:val="Numberedlevel2text"/>
        <w:numPr>
          <w:ilvl w:val="1"/>
          <w:numId w:val="1"/>
        </w:numPr>
      </w:pPr>
      <w:r>
        <w:rPr>
          <w:lang w:val="en-GB"/>
        </w:rPr>
        <w:t>The company presented a 3-state partitioned survival model to estimate the cost effectiveness of nivolumab combination</w:t>
      </w:r>
      <w:r w:rsidRPr="00941B23">
        <w:rPr>
          <w:lang w:val="en-GB"/>
        </w:rPr>
        <w:t xml:space="preserve"> </w:t>
      </w:r>
      <w:r>
        <w:rPr>
          <w:lang w:val="en-GB"/>
        </w:rPr>
        <w:t xml:space="preserve">compared with </w:t>
      </w:r>
      <w:bookmarkStart w:id="6" w:name="_Hlk66434987"/>
      <w:r>
        <w:rPr>
          <w:lang w:val="en-GB"/>
        </w:rPr>
        <w:t>platinum-doublet chemotherapy, atezolizumab combination and pembrolizumab monotherapy</w:t>
      </w:r>
      <w:bookmarkEnd w:id="6"/>
      <w:r>
        <w:rPr>
          <w:lang w:val="en-GB"/>
        </w:rPr>
        <w:t xml:space="preserve">. People were able to move to different health </w:t>
      </w:r>
      <w:proofErr w:type="gramStart"/>
      <w:r>
        <w:rPr>
          <w:lang w:val="en-GB"/>
        </w:rPr>
        <w:t>states;</w:t>
      </w:r>
      <w:proofErr w:type="gramEnd"/>
      <w:r>
        <w:rPr>
          <w:lang w:val="en-GB"/>
        </w:rPr>
        <w:t xml:space="preserve"> from pre-progression to post-progression and death and from post-progression to death. The ERG agreed with the company’s model structure, noting that it was consistent with previous appraisals. For people having nivolumab combination</w:t>
      </w:r>
      <w:r w:rsidRPr="00941B23">
        <w:rPr>
          <w:lang w:val="en-GB"/>
        </w:rPr>
        <w:t xml:space="preserve"> </w:t>
      </w:r>
      <w:r>
        <w:rPr>
          <w:lang w:val="en-GB"/>
        </w:rPr>
        <w:t xml:space="preserve">and people having standard platinum-doublet chemotherapy, the company used the results from CheckMate-9LA to model overall and progression-free survival for the first 13 months. The results from CheckMate-227 were used after this point because longer-term data was available (see </w:t>
      </w:r>
      <w:hyperlink w:anchor="_The_company’s_indirect" w:history="1">
        <w:r w:rsidRPr="006E0D1C">
          <w:rPr>
            <w:rStyle w:val="Hyperlink"/>
            <w:lang w:val="en-GB"/>
          </w:rPr>
          <w:t>section</w:t>
        </w:r>
        <w:r>
          <w:rPr>
            <w:rStyle w:val="Hyperlink"/>
            <w:lang w:val="en-GB"/>
          </w:rPr>
          <w:t> </w:t>
        </w:r>
        <w:r w:rsidRPr="006E0D1C">
          <w:rPr>
            <w:rStyle w:val="Hyperlink"/>
            <w:lang w:val="en-GB"/>
          </w:rPr>
          <w:t>3.6</w:t>
        </w:r>
      </w:hyperlink>
      <w:r>
        <w:rPr>
          <w:lang w:val="en-GB"/>
        </w:rPr>
        <w:t xml:space="preserve">). Survival curves were modelled for the ITT population and applied for everyone, regardless of histology </w:t>
      </w:r>
      <w:r>
        <w:rPr>
          <w:lang w:val="en-GB"/>
        </w:rPr>
        <w:lastRenderedPageBreak/>
        <w:t xml:space="preserve">and PD-L1 TPS. Hazard ratios from the indirect comparisons were then applied to the nivolumab combination data to estimate overall and progression-free survival for atezolizumab combination and for pembrolizumab monotherapy. The committee concluded that the company’s model structure was acceptable for decision making. But it noted that there was uncertainty about whether it was appropriate to use the same survival curves for everyone (see </w:t>
      </w:r>
      <w:hyperlink w:anchor="_Survival_curves_modelled" w:history="1">
        <w:r w:rsidRPr="006E0D1C">
          <w:rPr>
            <w:rStyle w:val="Hyperlink"/>
            <w:lang w:val="en-GB"/>
          </w:rPr>
          <w:t>section</w:t>
        </w:r>
        <w:r>
          <w:rPr>
            <w:rStyle w:val="Hyperlink"/>
            <w:lang w:val="en-GB"/>
          </w:rPr>
          <w:t> </w:t>
        </w:r>
        <w:r w:rsidRPr="006E0D1C">
          <w:rPr>
            <w:rStyle w:val="Hyperlink"/>
            <w:lang w:val="en-GB"/>
          </w:rPr>
          <w:t>3.10</w:t>
        </w:r>
      </w:hyperlink>
      <w:r>
        <w:rPr>
          <w:lang w:val="en-GB"/>
        </w:rPr>
        <w:t>).</w:t>
      </w:r>
    </w:p>
    <w:p w14:paraId="45ADD23D" w14:textId="77777777" w:rsidR="008F0C77" w:rsidRDefault="008F0C77" w:rsidP="008F0C77">
      <w:pPr>
        <w:pStyle w:val="Heading3"/>
      </w:pPr>
      <w:r>
        <w:t>Including a 2-year stopping rule is acceptable</w:t>
      </w:r>
    </w:p>
    <w:p w14:paraId="3867381E" w14:textId="77777777" w:rsidR="008F0C77" w:rsidRPr="005B7DDE" w:rsidRDefault="008F0C77" w:rsidP="008F0C77">
      <w:pPr>
        <w:pStyle w:val="Numberedlevel2text"/>
        <w:numPr>
          <w:ilvl w:val="1"/>
          <w:numId w:val="1"/>
        </w:numPr>
        <w:rPr>
          <w:lang w:val="en-GB"/>
        </w:rPr>
      </w:pPr>
      <w:r>
        <w:t xml:space="preserve">The company included a 2-year treatment stopping rule in its model. The maximum possible duration </w:t>
      </w:r>
      <w:r>
        <w:rPr>
          <w:lang w:val="en-GB"/>
        </w:rPr>
        <w:t>for</w:t>
      </w:r>
      <w:r>
        <w:t xml:space="preserve"> nivolumab </w:t>
      </w:r>
      <w:r>
        <w:rPr>
          <w:lang w:val="en-GB"/>
        </w:rPr>
        <w:t>combination</w:t>
      </w:r>
      <w:r>
        <w:t xml:space="preserve"> in CheckMate</w:t>
      </w:r>
      <w:r>
        <w:noBreakHyphen/>
        <w:t>9LA was 24</w:t>
      </w:r>
      <w:r>
        <w:rPr>
          <w:lang w:val="en-GB"/>
        </w:rPr>
        <w:t> </w:t>
      </w:r>
      <w:r>
        <w:t xml:space="preserve">months, and this was also stated in the summary of product characteristics. The committee </w:t>
      </w:r>
      <w:r>
        <w:rPr>
          <w:lang w:val="en-GB"/>
        </w:rPr>
        <w:t>understood</w:t>
      </w:r>
      <w:r>
        <w:t xml:space="preserve"> that implementing a 2-year stopping rule was consistent with other NICE technology appraisal guidance on untreated NSCLC</w:t>
      </w:r>
      <w:r>
        <w:rPr>
          <w:lang w:val="en-GB"/>
        </w:rPr>
        <w:t>. It also reflected how nivolumab combination would be used in clinical practice</w:t>
      </w:r>
      <w:r>
        <w:t xml:space="preserve">. </w:t>
      </w:r>
      <w:r w:rsidRPr="005B7DDE">
        <w:rPr>
          <w:lang w:val="en-GB"/>
        </w:rPr>
        <w:t>The committee concluded that a 2-year treatment stopping rule</w:t>
      </w:r>
      <w:r>
        <w:rPr>
          <w:lang w:val="en-GB"/>
        </w:rPr>
        <w:t>,</w:t>
      </w:r>
      <w:r w:rsidRPr="005B7DDE">
        <w:rPr>
          <w:lang w:val="en-GB"/>
        </w:rPr>
        <w:t xml:space="preserve"> in</w:t>
      </w:r>
      <w:r>
        <w:rPr>
          <w:lang w:val="en-GB"/>
        </w:rPr>
        <w:t xml:space="preserve"> </w:t>
      </w:r>
      <w:r w:rsidRPr="005B7DDE">
        <w:rPr>
          <w:lang w:val="en-GB"/>
        </w:rPr>
        <w:t>line with the clinical- and cost-effectiveness evidence</w:t>
      </w:r>
      <w:r>
        <w:rPr>
          <w:lang w:val="en-GB"/>
        </w:rPr>
        <w:t>,</w:t>
      </w:r>
      <w:r w:rsidRPr="005B7DDE">
        <w:rPr>
          <w:lang w:val="en-GB"/>
        </w:rPr>
        <w:t xml:space="preserve"> was acceptable.</w:t>
      </w:r>
    </w:p>
    <w:p w14:paraId="6AE0A379" w14:textId="77777777" w:rsidR="008F0C77" w:rsidRDefault="008F0C77" w:rsidP="008F0C77">
      <w:pPr>
        <w:pStyle w:val="Heading2"/>
      </w:pPr>
      <w:r>
        <w:t>Modelling survival</w:t>
      </w:r>
    </w:p>
    <w:p w14:paraId="46EC4B39" w14:textId="77777777" w:rsidR="008F0C77" w:rsidRDefault="008F0C77" w:rsidP="008F0C77">
      <w:pPr>
        <w:pStyle w:val="Heading3"/>
      </w:pPr>
      <w:bookmarkStart w:id="7" w:name="_Survival_curves_modelled"/>
      <w:bookmarkEnd w:id="7"/>
      <w:r>
        <w:t>Survival curves should be modelled separately for each subgroup</w:t>
      </w:r>
    </w:p>
    <w:p w14:paraId="720EA3B1" w14:textId="77777777" w:rsidR="008F0C77" w:rsidRPr="00B63758" w:rsidRDefault="008F0C77" w:rsidP="008F0C77">
      <w:pPr>
        <w:pStyle w:val="Numberedlevel2text"/>
        <w:numPr>
          <w:ilvl w:val="1"/>
          <w:numId w:val="1"/>
        </w:numPr>
      </w:pPr>
      <w:r>
        <w:rPr>
          <w:lang w:val="en-GB"/>
        </w:rPr>
        <w:t>The committee considered whether it was appropriate to use the same overall and progression-free survival curves across all</w:t>
      </w:r>
      <w:r w:rsidRPr="0031288B">
        <w:rPr>
          <w:lang w:val="en-GB"/>
        </w:rPr>
        <w:t xml:space="preserve"> 3</w:t>
      </w:r>
      <w:r>
        <w:rPr>
          <w:lang w:val="en-GB"/>
        </w:rPr>
        <w:t> </w:t>
      </w:r>
      <w:r w:rsidRPr="0031288B">
        <w:rPr>
          <w:lang w:val="en-GB"/>
        </w:rPr>
        <w:t>subgroups</w:t>
      </w:r>
      <w:r>
        <w:rPr>
          <w:lang w:val="en-GB"/>
        </w:rPr>
        <w:t xml:space="preserve">, based on the ITT data from CheckMate-9LA and CheckMate-227 (see </w:t>
      </w:r>
      <w:hyperlink w:anchor="_The_company's_model" w:history="1">
        <w:r w:rsidRPr="006E0D1C">
          <w:rPr>
            <w:rStyle w:val="Hyperlink"/>
            <w:lang w:val="en-GB"/>
          </w:rPr>
          <w:t>section</w:t>
        </w:r>
        <w:r>
          <w:rPr>
            <w:rStyle w:val="Hyperlink"/>
            <w:lang w:val="en-GB"/>
          </w:rPr>
          <w:t> </w:t>
        </w:r>
        <w:r w:rsidRPr="006E0D1C">
          <w:rPr>
            <w:rStyle w:val="Hyperlink"/>
            <w:lang w:val="en-GB"/>
          </w:rPr>
          <w:t>3.8</w:t>
        </w:r>
      </w:hyperlink>
      <w:r>
        <w:rPr>
          <w:lang w:val="en-GB"/>
        </w:rPr>
        <w:t>). The company took this approach because it believed there was a consistent efficacy benefit across subgroups in CheckMate</w:t>
      </w:r>
      <w:r>
        <w:rPr>
          <w:lang w:val="en-GB"/>
        </w:rPr>
        <w:noBreakHyphen/>
        <w:t>9LA, including those based on PD-L1 and histology. However, the ERG noted that the CheckMate-9LA and CheckMate-227 results suggested there were differences in the absolute and relative efficacy of nivolumab combination</w:t>
      </w:r>
      <w:r w:rsidRPr="00941B23">
        <w:rPr>
          <w:lang w:val="en-GB"/>
        </w:rPr>
        <w:t xml:space="preserve"> </w:t>
      </w:r>
      <w:r>
        <w:rPr>
          <w:lang w:val="en-GB"/>
        </w:rPr>
        <w:t xml:space="preserve">across some of the subgroups. Clinical advice to the ERG was that people whose NSCLC has a higher PD-L1 TPS generally have </w:t>
      </w:r>
      <w:r>
        <w:rPr>
          <w:lang w:val="en-GB"/>
        </w:rPr>
        <w:lastRenderedPageBreak/>
        <w:t>greater benefit with anti-PD-L1 immunotherapies. The company considered that using the ITT data was more appropriate than the subgroup data, because the subgroups were not pre-specified and included smaller numbers of people. The company also noted the lack of external clinical data available to validate the subgroup curves, placing greater reliance on clinical opinion. Also, it</w:t>
      </w:r>
      <w:r w:rsidRPr="00243C2B">
        <w:rPr>
          <w:lang w:val="en-GB"/>
        </w:rPr>
        <w:t xml:space="preserve"> considered that by combining 3</w:t>
      </w:r>
      <w:r>
        <w:rPr>
          <w:lang w:val="en-GB"/>
        </w:rPr>
        <w:t> </w:t>
      </w:r>
      <w:r w:rsidRPr="00243C2B">
        <w:rPr>
          <w:lang w:val="en-GB"/>
        </w:rPr>
        <w:t xml:space="preserve">different mechanisms of action, </w:t>
      </w:r>
      <w:r>
        <w:rPr>
          <w:lang w:val="en-GB"/>
        </w:rPr>
        <w:t>nivolumab combination</w:t>
      </w:r>
      <w:r w:rsidRPr="00243C2B">
        <w:rPr>
          <w:lang w:val="en-GB"/>
        </w:rPr>
        <w:t xml:space="preserve"> </w:t>
      </w:r>
      <w:r>
        <w:rPr>
          <w:lang w:val="en-GB"/>
        </w:rPr>
        <w:t>wa</w:t>
      </w:r>
      <w:r w:rsidRPr="00243C2B">
        <w:rPr>
          <w:lang w:val="en-GB"/>
        </w:rPr>
        <w:t xml:space="preserve">s not expected to have the same efficacy differences by histology or PD-L1 </w:t>
      </w:r>
      <w:r>
        <w:rPr>
          <w:lang w:val="en-GB"/>
        </w:rPr>
        <w:t>TPS</w:t>
      </w:r>
      <w:r w:rsidRPr="00243C2B">
        <w:rPr>
          <w:lang w:val="en-GB"/>
        </w:rPr>
        <w:t xml:space="preserve"> as other immunotherapies. </w:t>
      </w:r>
      <w:r>
        <w:rPr>
          <w:lang w:val="en-GB"/>
        </w:rPr>
        <w:t xml:space="preserve">The committee considered that because it had agreed to separate the population into 3 subgroups (see </w:t>
      </w:r>
      <w:hyperlink w:anchor="_Treatment_practice_and" w:history="1">
        <w:r w:rsidRPr="006E0D1C">
          <w:rPr>
            <w:rStyle w:val="Hyperlink"/>
            <w:lang w:val="en-GB"/>
          </w:rPr>
          <w:t>section</w:t>
        </w:r>
        <w:r>
          <w:rPr>
            <w:rStyle w:val="Hyperlink"/>
            <w:lang w:val="en-GB"/>
          </w:rPr>
          <w:t> </w:t>
        </w:r>
        <w:r w:rsidRPr="006E0D1C">
          <w:rPr>
            <w:rStyle w:val="Hyperlink"/>
            <w:lang w:val="en-GB"/>
          </w:rPr>
          <w:t>3.2</w:t>
        </w:r>
      </w:hyperlink>
      <w:r>
        <w:rPr>
          <w:lang w:val="en-GB"/>
        </w:rPr>
        <w:t>), it was appropriate to reflect this heterogeneity in the data used to generate the survival curves. It also noted that applying separate survival curves based on the subgroup data had a considerable impact on the cost-effectiveness results. The committee agreed that there was uncertainty about the validity of applying survival curves derived from the ITT data across all the subgroups. It concluded that survival curves should be modelled separately for each subgroup.</w:t>
      </w:r>
    </w:p>
    <w:p w14:paraId="36AAC346" w14:textId="77777777" w:rsidR="008F0C77" w:rsidRPr="00FC15E6" w:rsidRDefault="008F0C77" w:rsidP="008F0C77">
      <w:pPr>
        <w:pStyle w:val="Heading3"/>
        <w:rPr>
          <w:color w:val="000000" w:themeColor="text1"/>
        </w:rPr>
      </w:pPr>
      <w:bookmarkStart w:id="8" w:name="_Survival_for_patients"/>
      <w:bookmarkEnd w:id="8"/>
      <w:r w:rsidRPr="00FC15E6">
        <w:rPr>
          <w:color w:val="000000" w:themeColor="text1"/>
        </w:rPr>
        <w:t xml:space="preserve">Survival for </w:t>
      </w:r>
      <w:r>
        <w:rPr>
          <w:color w:val="000000" w:themeColor="text1"/>
        </w:rPr>
        <w:t>people</w:t>
      </w:r>
      <w:r w:rsidRPr="00FC15E6">
        <w:rPr>
          <w:color w:val="000000" w:themeColor="text1"/>
        </w:rPr>
        <w:t xml:space="preserve"> having platinum-doublet chemotherapy should be modelled using the CheckMate-227 </w:t>
      </w:r>
      <w:r>
        <w:rPr>
          <w:color w:val="000000" w:themeColor="text1"/>
        </w:rPr>
        <w:t xml:space="preserve">data </w:t>
      </w:r>
      <w:r w:rsidRPr="00FC15E6">
        <w:rPr>
          <w:color w:val="000000" w:themeColor="text1"/>
        </w:rPr>
        <w:t>alone</w:t>
      </w:r>
    </w:p>
    <w:p w14:paraId="50122594" w14:textId="77777777" w:rsidR="008F0C77" w:rsidRPr="00A63E6B" w:rsidRDefault="008F0C77" w:rsidP="008F0C77">
      <w:pPr>
        <w:pStyle w:val="Numberedlevel2text"/>
        <w:numPr>
          <w:ilvl w:val="1"/>
          <w:numId w:val="1"/>
        </w:numPr>
      </w:pPr>
      <w:r>
        <w:rPr>
          <w:lang w:val="en-GB"/>
        </w:rPr>
        <w:t>The ERG noted that median overall survival for people having platinum-doublet chemotherapy was longer in CheckMate-227 than in CheckMate</w:t>
      </w:r>
      <w:r>
        <w:rPr>
          <w:lang w:val="en-GB"/>
        </w:rPr>
        <w:noBreakHyphen/>
        <w:t>9LA. This could have been because fewer people had subsequent therapy in CheckMate-9LA than in CheckMate-227. The ERG considered that the proportion of people having subsequent therapy after platinum-doublet chemotherapy in CheckMate-9LA was lower than in NHS clinical practice. It was therefore concerned that using the CheckMate-9LA data to estimate survival for the first 13 months (</w:t>
      </w:r>
      <w:r w:rsidRPr="006E0D1C">
        <w:rPr>
          <w:color w:val="000000" w:themeColor="text1"/>
          <w:lang w:val="en-GB"/>
        </w:rPr>
        <w:t xml:space="preserve">see </w:t>
      </w:r>
      <w:hyperlink w:anchor="_The_company's_model" w:history="1">
        <w:r w:rsidRPr="006E0D1C">
          <w:rPr>
            <w:rStyle w:val="Hyperlink"/>
            <w:lang w:val="en-GB"/>
          </w:rPr>
          <w:t>section</w:t>
        </w:r>
        <w:r>
          <w:rPr>
            <w:rStyle w:val="Hyperlink"/>
            <w:lang w:val="en-GB"/>
          </w:rPr>
          <w:t> </w:t>
        </w:r>
        <w:r w:rsidRPr="006E0D1C">
          <w:rPr>
            <w:rStyle w:val="Hyperlink"/>
            <w:lang w:val="en-GB"/>
          </w:rPr>
          <w:t>3.8</w:t>
        </w:r>
      </w:hyperlink>
      <w:r>
        <w:rPr>
          <w:lang w:val="en-GB"/>
        </w:rPr>
        <w:t xml:space="preserve">) may have underestimated survival for people having platinum-doublet chemotherapy. The ERG did a scenario analysis in which survival for people having platinum-doublet chemotherapy was </w:t>
      </w:r>
      <w:r>
        <w:rPr>
          <w:lang w:val="en-GB"/>
        </w:rPr>
        <w:lastRenderedPageBreak/>
        <w:t>modelled using the CheckMate-227 data alone. In this, the relative efficacy of nivolumab combination was taken from the indirect treatment comparison. However, the ERG preferred to retain the company’s original approach of using the CheckMate-9LA data followed by the CheckMate</w:t>
      </w:r>
      <w:r>
        <w:rPr>
          <w:lang w:val="en-GB"/>
        </w:rPr>
        <w:noBreakHyphen/>
        <w:t xml:space="preserve">227 data for its base case. This was because it used the same data sources for people having nivolumab combination and people having platinum-doublet chemotherapy. The committee noted that in </w:t>
      </w:r>
      <w:hyperlink r:id="rId15" w:history="1">
        <w:r>
          <w:rPr>
            <w:rStyle w:val="Hyperlink"/>
            <w:lang w:val="en-GB"/>
          </w:rPr>
          <w:t>NICE’s technology appraisal guidance on pembrolizumab with carboplatin and paclitaxel for untreated metastatic squamous non-small-cell lung cancer</w:t>
        </w:r>
      </w:hyperlink>
      <w:r>
        <w:rPr>
          <w:lang w:val="en-GB"/>
        </w:rPr>
        <w:t>, it was estimated that around 50% of people having first-line chemotherapy have immunotherapy after disease progression. The clinical experts noted that this may be an underestimate based on the proportion of people switching from chemotherapy to pembrolizumab in the KEYNOTE</w:t>
      </w:r>
      <w:r>
        <w:rPr>
          <w:lang w:val="en-GB"/>
        </w:rPr>
        <w:noBreakHyphen/>
        <w:t>024 trial. KEYNOTE-024</w:t>
      </w:r>
      <w:r w:rsidRPr="00E978C1">
        <w:rPr>
          <w:lang w:val="en-GB"/>
        </w:rPr>
        <w:t xml:space="preserve"> </w:t>
      </w:r>
      <w:r>
        <w:rPr>
          <w:lang w:val="en-GB"/>
        </w:rPr>
        <w:t xml:space="preserve">was an </w:t>
      </w:r>
      <w:r w:rsidRPr="00E978C1">
        <w:rPr>
          <w:lang w:val="en-GB"/>
        </w:rPr>
        <w:t>open-label phase</w:t>
      </w:r>
      <w:r>
        <w:rPr>
          <w:lang w:val="en-GB"/>
        </w:rPr>
        <w:t> </w:t>
      </w:r>
      <w:r w:rsidRPr="00E978C1">
        <w:rPr>
          <w:lang w:val="en-GB"/>
        </w:rPr>
        <w:t xml:space="preserve">3 randomised controlled trial, comparing </w:t>
      </w:r>
      <w:r>
        <w:rPr>
          <w:lang w:val="en-GB"/>
        </w:rPr>
        <w:t xml:space="preserve">pembrolizumab </w:t>
      </w:r>
      <w:r w:rsidRPr="00E978C1">
        <w:rPr>
          <w:lang w:val="en-GB"/>
        </w:rPr>
        <w:t>with</w:t>
      </w:r>
      <w:r>
        <w:rPr>
          <w:lang w:val="en-GB"/>
        </w:rPr>
        <w:t xml:space="preserve"> </w:t>
      </w:r>
      <w:r w:rsidRPr="00E978C1">
        <w:rPr>
          <w:lang w:val="en-GB"/>
        </w:rPr>
        <w:t>chemotherapy</w:t>
      </w:r>
      <w:r>
        <w:rPr>
          <w:lang w:val="en-GB"/>
        </w:rPr>
        <w:t xml:space="preserve"> for untreated metastatic NSCLC. The committee understood that around 28% of people had subsequent immunotherapy after first-line chemotherapy in CheckMate-9LA, compared with around 41% in CheckMate-227. It considered that the rate of subsequent immunotherapy in CheckMate-227 was likely closer to that in NHS clinical practice. The committee concluded that the survival curves for people having platinum-doublet chemotherapy should be based on the CheckMate-227 data alone.</w:t>
      </w:r>
    </w:p>
    <w:p w14:paraId="63386DBD" w14:textId="77777777" w:rsidR="008F0C77" w:rsidRDefault="008F0C77" w:rsidP="008F0C77">
      <w:pPr>
        <w:pStyle w:val="Heading3"/>
      </w:pPr>
      <w:bookmarkStart w:id="9" w:name="_A_treatment_effect"/>
      <w:bookmarkEnd w:id="9"/>
      <w:r>
        <w:t>A treatment effect lasting 3 to 5 years after starting treatment is appropriate and consistent with previous appraisals</w:t>
      </w:r>
    </w:p>
    <w:p w14:paraId="06D6D6BD" w14:textId="77777777" w:rsidR="008F0C77" w:rsidRPr="00B63758" w:rsidRDefault="008F0C77" w:rsidP="008F0C77">
      <w:pPr>
        <w:pStyle w:val="Numberedlevel2text"/>
        <w:numPr>
          <w:ilvl w:val="1"/>
          <w:numId w:val="1"/>
        </w:numPr>
      </w:pPr>
      <w:r>
        <w:rPr>
          <w:lang w:val="en-GB"/>
        </w:rPr>
        <w:t xml:space="preserve">The company’s base case included a lifetime treatment effect with nivolumab combination. The company justified this using pooled data from 4 clinical trials of nivolumab for previously treated NSCLC, which showed that nivolumab had a long-term survival advantage over docetaxel. The ERG noted that a lifetime treatment effect was inconsistent with previous </w:t>
      </w:r>
      <w:r>
        <w:rPr>
          <w:lang w:val="en-GB"/>
        </w:rPr>
        <w:lastRenderedPageBreak/>
        <w:t xml:space="preserve">technology appraisals for NSCLC. For those, a treatment effect lasting from 3 to 5 years after starting treatment had been accepted. The ERG also considered the pooled data referenced by the company to be of limited relevance. This was because the data was from trials of nivolumab as a monotherapy in a population who had previous treatment, and survival outcomes were only reported to 4 years. The ERG preferred a scenario with a treatment effect lasting 5 years after stopping treatment. This was modelled by setting the mortality rate as equal to that of platinum-doublet chemotherapy from this timepoint onwards. The committee understood that the assumption around the duration of treatment effect </w:t>
      </w:r>
      <w:r w:rsidRPr="00DD61B9">
        <w:rPr>
          <w:lang w:val="en-GB"/>
        </w:rPr>
        <w:t>had a considerable impact on the cost-effectiveness results</w:t>
      </w:r>
      <w:r>
        <w:rPr>
          <w:lang w:val="en-GB"/>
        </w:rPr>
        <w:t>. It agreed that, although it was biologically plausible for the treatment effect to continue after stopping treatment with nivolumab combination, its duration was uncertain. The clinical experts explained that there was insufficient evidence to suggest the treatment effect of nivolumab combination</w:t>
      </w:r>
      <w:r w:rsidRPr="00941B23">
        <w:rPr>
          <w:lang w:val="en-GB"/>
        </w:rPr>
        <w:t xml:space="preserve"> </w:t>
      </w:r>
      <w:r>
        <w:rPr>
          <w:lang w:val="en-GB"/>
        </w:rPr>
        <w:t xml:space="preserve">lasted longer than for other immunotherapies. The committee concluded </w:t>
      </w:r>
      <w:r w:rsidRPr="00B63758">
        <w:rPr>
          <w:lang w:val="en-GB"/>
        </w:rPr>
        <w:t>that a treatment effect lasting</w:t>
      </w:r>
      <w:r>
        <w:rPr>
          <w:lang w:val="en-GB"/>
        </w:rPr>
        <w:t> </w:t>
      </w:r>
      <w:r w:rsidRPr="00B63758">
        <w:rPr>
          <w:lang w:val="en-GB"/>
        </w:rPr>
        <w:t xml:space="preserve">3 </w:t>
      </w:r>
      <w:r>
        <w:rPr>
          <w:lang w:val="en-GB"/>
        </w:rPr>
        <w:t>to</w:t>
      </w:r>
      <w:r w:rsidRPr="00B63758">
        <w:rPr>
          <w:lang w:val="en-GB"/>
        </w:rPr>
        <w:t xml:space="preserve"> 5</w:t>
      </w:r>
      <w:r>
        <w:rPr>
          <w:lang w:val="en-GB"/>
        </w:rPr>
        <w:t> </w:t>
      </w:r>
      <w:r w:rsidRPr="00B63758">
        <w:rPr>
          <w:lang w:val="en-GB"/>
        </w:rPr>
        <w:t xml:space="preserve">years </w:t>
      </w:r>
      <w:r>
        <w:rPr>
          <w:lang w:val="en-GB"/>
        </w:rPr>
        <w:t>after</w:t>
      </w:r>
      <w:r w:rsidRPr="00B63758">
        <w:rPr>
          <w:lang w:val="en-GB"/>
        </w:rPr>
        <w:t xml:space="preserve"> start</w:t>
      </w:r>
      <w:r>
        <w:rPr>
          <w:lang w:val="en-GB"/>
        </w:rPr>
        <w:t>ing</w:t>
      </w:r>
      <w:r w:rsidRPr="00B63758">
        <w:rPr>
          <w:lang w:val="en-GB"/>
        </w:rPr>
        <w:t xml:space="preserve"> treatment was appropriate for decision making, for consistency with previous </w:t>
      </w:r>
      <w:r>
        <w:rPr>
          <w:lang w:val="en-GB"/>
        </w:rPr>
        <w:t xml:space="preserve">immunotherapy </w:t>
      </w:r>
      <w:r w:rsidRPr="00B63758">
        <w:rPr>
          <w:lang w:val="en-GB"/>
        </w:rPr>
        <w:t>appraisals</w:t>
      </w:r>
      <w:r>
        <w:rPr>
          <w:lang w:val="en-GB"/>
        </w:rPr>
        <w:t xml:space="preserve"> in NSCLC</w:t>
      </w:r>
      <w:r w:rsidRPr="00B63758">
        <w:rPr>
          <w:lang w:val="en-GB"/>
        </w:rPr>
        <w:t>.</w:t>
      </w:r>
    </w:p>
    <w:p w14:paraId="7AF8B36C" w14:textId="77777777" w:rsidR="008F0C77" w:rsidRDefault="008F0C77" w:rsidP="008F0C77">
      <w:pPr>
        <w:pStyle w:val="Heading2"/>
      </w:pPr>
      <w:r>
        <w:t>Health-related quality of life</w:t>
      </w:r>
    </w:p>
    <w:p w14:paraId="3208413A" w14:textId="77777777" w:rsidR="008F0C77" w:rsidRDefault="008F0C77" w:rsidP="008F0C77">
      <w:pPr>
        <w:pStyle w:val="Heading3"/>
      </w:pPr>
      <w:bookmarkStart w:id="10" w:name="_The_ERG’s_approach"/>
      <w:bookmarkEnd w:id="10"/>
      <w:r>
        <w:t>The ERG’s approach of using progression-based utility values is preferred</w:t>
      </w:r>
    </w:p>
    <w:p w14:paraId="01BB25D1" w14:textId="77777777" w:rsidR="008F0C77" w:rsidRPr="00995478" w:rsidRDefault="008F0C77" w:rsidP="008F0C77">
      <w:pPr>
        <w:pStyle w:val="Numberedlevel2text"/>
        <w:numPr>
          <w:ilvl w:val="1"/>
          <w:numId w:val="1"/>
        </w:numPr>
      </w:pPr>
      <w:r>
        <w:rPr>
          <w:lang w:val="en-GB"/>
        </w:rPr>
        <w:t xml:space="preserve">The ERG explained that the company’s time-to-death approach was not appropriate. This was because in previous technology appraisals in which this approach had been accepted, health-related quality-of-life data had only been collected for up to 30 days after stopping treatment. This meant that the utility value for the post-progression state may have been overestimated, because the full effects of progression may not yet have been evident. </w:t>
      </w:r>
      <w:proofErr w:type="gramStart"/>
      <w:r>
        <w:rPr>
          <w:lang w:val="en-GB"/>
        </w:rPr>
        <w:t>However</w:t>
      </w:r>
      <w:proofErr w:type="gramEnd"/>
      <w:r>
        <w:rPr>
          <w:lang w:val="en-GB"/>
        </w:rPr>
        <w:t xml:space="preserve"> in CheckMate-9LA, health-related quality-of-life data was collected until death, and there were many observations (1,004) contributing to the post-progression health state. In contrast, there were </w:t>
      </w:r>
      <w:r>
        <w:rPr>
          <w:lang w:val="en-GB"/>
        </w:rPr>
        <w:lastRenderedPageBreak/>
        <w:t>only 114 observations contributing to the utility value for 4 weeks or less to death in the company’s approach. The ERG also had concerns with using time to death to determine health-related quality of life. A time-to-death approach meant that people entering the model had a different health-related quality of life depending on the treatment arm they were assigned to. The ERG preferred a progression-based approach, using utility values derived from the EQ-5D data collected in CheckMate</w:t>
      </w:r>
      <w:r>
        <w:rPr>
          <w:lang w:val="en-GB"/>
        </w:rPr>
        <w:noBreakHyphen/>
        <w:t>9LA. The clinical experts explained that quality of life may not immediately decline after disease progression. The committee was also aware that progression-based utility values may be overestimated because there were fewer observations in people with more severe disease. However, it agreed with the ERG that utility values based on disease progression were more appropriate for decision making, given the large amount of data captured after progression.</w:t>
      </w:r>
    </w:p>
    <w:p w14:paraId="03A66AF1" w14:textId="77777777" w:rsidR="008F0C77" w:rsidRDefault="008F0C77" w:rsidP="008F0C77">
      <w:pPr>
        <w:pStyle w:val="Heading2"/>
      </w:pPr>
      <w:r>
        <w:t>Composition of platinum-doublet chemotherapy</w:t>
      </w:r>
    </w:p>
    <w:p w14:paraId="226152E2" w14:textId="77777777" w:rsidR="008F0C77" w:rsidRDefault="008F0C77" w:rsidP="008F0C77">
      <w:pPr>
        <w:pStyle w:val="Heading3"/>
      </w:pPr>
      <w:bookmarkStart w:id="11" w:name="_Separate_chemotherapy_regimen"/>
      <w:bookmarkEnd w:id="11"/>
      <w:r>
        <w:t>Separate chemotherapy regimen distributions should be used for each subgroup to reflect differences in clinical practice</w:t>
      </w:r>
    </w:p>
    <w:p w14:paraId="0AB55C78" w14:textId="77777777" w:rsidR="008F0C77" w:rsidRPr="00420687" w:rsidRDefault="008F0C77" w:rsidP="008F0C77">
      <w:pPr>
        <w:pStyle w:val="Numberedlevel2text"/>
        <w:numPr>
          <w:ilvl w:val="1"/>
          <w:numId w:val="1"/>
        </w:numPr>
      </w:pPr>
      <w:r>
        <w:rPr>
          <w:lang w:val="en-GB"/>
        </w:rPr>
        <w:t xml:space="preserve">To calculate the costs associated with platinum-doublet chemotherapy, the company based the distribution of chemotherapy regimens on the CheckMate-9LA data. It applied the same assumption for everyone having platinum-doublet chemotherapy, regardless of histology or PD-L1 TPS. The ERG considered that the distribution of chemotherapy regimens in CheckMate-9LA may not reflect NHS clinical practice. For example, some people with squamous NSCLC were modelled as having pemetrexed, when they would not have this in practice. It noted that there were differences in acquisition and administration costs between chemotherapy regimens, which meant that the costs calculated from the company’s distribution may not have been representative. The ERG preferred to apply a specific distribution of chemotherapy agents for each subgroup (see </w:t>
      </w:r>
      <w:hyperlink w:anchor="_Treatment_practice_and" w:history="1">
        <w:r w:rsidRPr="0079187A">
          <w:rPr>
            <w:rStyle w:val="Hyperlink"/>
            <w:lang w:val="en-GB"/>
          </w:rPr>
          <w:t>section</w:t>
        </w:r>
        <w:r>
          <w:rPr>
            <w:rStyle w:val="Hyperlink"/>
            <w:lang w:val="en-GB"/>
          </w:rPr>
          <w:t> </w:t>
        </w:r>
        <w:r w:rsidRPr="0079187A">
          <w:rPr>
            <w:rStyle w:val="Hyperlink"/>
            <w:lang w:val="en-GB"/>
          </w:rPr>
          <w:t>3.2</w:t>
        </w:r>
      </w:hyperlink>
      <w:r>
        <w:rPr>
          <w:lang w:val="en-GB"/>
        </w:rPr>
        <w:t xml:space="preserve">), including different proportions of people having </w:t>
      </w:r>
      <w:r>
        <w:rPr>
          <w:lang w:val="en-GB"/>
        </w:rPr>
        <w:lastRenderedPageBreak/>
        <w:t>pemetrexed maintenance therapy. The ERG took these distributions from reported UK market share information in:</w:t>
      </w:r>
    </w:p>
    <w:p w14:paraId="6AA930E9" w14:textId="77777777" w:rsidR="008F0C77" w:rsidRDefault="008F0C77" w:rsidP="008F0C77">
      <w:pPr>
        <w:pStyle w:val="Bulletindent1"/>
      </w:pPr>
      <w:r w:rsidRPr="000D28B2">
        <w:t>NICE’s technology appraisal of pembrolizumab with pemetrexed and platinum chemotherapy for untreated, metastatic, non-squamous non-small-cell lung cancer (TA557)</w:t>
      </w:r>
      <w:r>
        <w:t xml:space="preserve"> and</w:t>
      </w:r>
    </w:p>
    <w:p w14:paraId="77C63D82" w14:textId="77777777" w:rsidR="008F0C77" w:rsidRDefault="00EC701B" w:rsidP="008F0C77">
      <w:pPr>
        <w:pStyle w:val="Bulletindent1last"/>
      </w:pPr>
      <w:hyperlink r:id="rId16" w:history="1">
        <w:r w:rsidR="008F0C77">
          <w:rPr>
            <w:rStyle w:val="Hyperlink"/>
          </w:rPr>
          <w:t>NICE's technology appraisal guidance on pembrolizumab with carboplatin and paclitaxel for untreated metastatic squamous non-small-cell lung cancer</w:t>
        </w:r>
      </w:hyperlink>
      <w:r w:rsidR="008F0C77">
        <w:t xml:space="preserve"> (TA600).</w:t>
      </w:r>
    </w:p>
    <w:p w14:paraId="0B32AB1A" w14:textId="77777777" w:rsidR="008F0C77" w:rsidRPr="00EE6C94" w:rsidRDefault="008F0C77" w:rsidP="008F0C77">
      <w:pPr>
        <w:pStyle w:val="NICEnormalindented"/>
      </w:pPr>
      <w:r>
        <w:t>At technical engagement, with clinical input the company revised the proportion of people having each chemotherapy regimen but continued to apply a single weighted distribution for everyone. The clinical experts explained that the most widely used chemotherapy regimens in clinical practice differed by histology. Carboplatin plus either gemcitabine or vinorelbine were the most common combinations for people with squamous NSCLC, but pemetrexed was preferred for people with non-squamous NSCLC. The committee considered that these differences should be reflected in the composition of platinum-doublet chemotherapy in the economic model. It concluded that the ERG’s approach of applying separate distributions of chemotherapy regimens for each subgroup was more appropriate for decision making.</w:t>
      </w:r>
    </w:p>
    <w:p w14:paraId="31DAB620" w14:textId="77777777" w:rsidR="008F0C77" w:rsidRDefault="008F0C77" w:rsidP="008F0C77">
      <w:pPr>
        <w:pStyle w:val="Heading2"/>
      </w:pPr>
      <w:r>
        <w:t>Subsequent therapy</w:t>
      </w:r>
    </w:p>
    <w:p w14:paraId="2E89AD83" w14:textId="77777777" w:rsidR="008F0C77" w:rsidRPr="00150292" w:rsidRDefault="008F0C77" w:rsidP="008F0C77">
      <w:pPr>
        <w:pStyle w:val="Heading3"/>
      </w:pPr>
      <w:bookmarkStart w:id="12" w:name="_The_proportion_of"/>
      <w:bookmarkEnd w:id="12"/>
      <w:r>
        <w:t>The proportion of people having subsequent therapy should be based on the CheckMate-227 data</w:t>
      </w:r>
    </w:p>
    <w:p w14:paraId="72D243CB" w14:textId="77777777" w:rsidR="008F0C77" w:rsidRPr="00D20D97" w:rsidRDefault="008F0C77" w:rsidP="008F0C77">
      <w:pPr>
        <w:pStyle w:val="Numberedlevel2text"/>
        <w:numPr>
          <w:ilvl w:val="1"/>
          <w:numId w:val="1"/>
        </w:numPr>
      </w:pPr>
      <w:r>
        <w:rPr>
          <w:lang w:val="en-GB"/>
        </w:rPr>
        <w:t>In the company’s model, 31% of people having nivolumab combination as their first-line treatment had subsequent therapy, based on the CheckMate-9LA data. The same assumption was used for people having pembrolizumab monotherapy and atezolizumab combination. In the model,</w:t>
      </w:r>
      <w:r w:rsidRPr="008A04C1">
        <w:rPr>
          <w:lang w:val="en-GB"/>
        </w:rPr>
        <w:t xml:space="preserve"> </w:t>
      </w:r>
      <w:r>
        <w:rPr>
          <w:lang w:val="en-GB"/>
        </w:rPr>
        <w:t xml:space="preserve">40% of people having platinum-doublet chemotherapy as their </w:t>
      </w:r>
      <w:r>
        <w:rPr>
          <w:lang w:val="en-GB"/>
        </w:rPr>
        <w:lastRenderedPageBreak/>
        <w:t>first-line treatment had subsequent therapy. The ERG noted that the data on the rates of subsequent therapy from CheckMate-9LA was immature, and likely an underestimate. The rates from CheckMate-227 were higher (45% for people having nivolumab combination as first-line treatment, and 61% for people having platinum-doublet chemotherapy). The ERG considered that the CheckMate-227 rates were more in line with those seen in NHS clinical practice. They were also based on more mature data. Also, using the CheckMate-227 data was consistent with the approach used for modelling long-term survival. At technical engagement, the company accepted that the rates of subsequent therapy in CheckMate</w:t>
      </w:r>
      <w:r>
        <w:rPr>
          <w:lang w:val="en-GB"/>
        </w:rPr>
        <w:noBreakHyphen/>
        <w:t xml:space="preserve">9LA may be lower than expected in a clinical </w:t>
      </w:r>
      <w:proofErr w:type="gramStart"/>
      <w:r>
        <w:rPr>
          <w:lang w:val="en-GB"/>
        </w:rPr>
        <w:t>trial, but</w:t>
      </w:r>
      <w:proofErr w:type="gramEnd"/>
      <w:r>
        <w:rPr>
          <w:lang w:val="en-GB"/>
        </w:rPr>
        <w:t xml:space="preserve"> considered that they reflected NHS clinical practice. The committee recalled its earlier conclusion that the proportion of people having subsequent therapy in the clinical trials was likely lower than NHS clinical practice (see </w:t>
      </w:r>
      <w:hyperlink w:anchor="_Survival_for_patients" w:history="1">
        <w:r w:rsidRPr="00FB53EB">
          <w:rPr>
            <w:rStyle w:val="Hyperlink"/>
            <w:lang w:val="en-GB"/>
          </w:rPr>
          <w:t>section</w:t>
        </w:r>
        <w:r>
          <w:rPr>
            <w:rStyle w:val="Hyperlink"/>
            <w:lang w:val="en-GB"/>
          </w:rPr>
          <w:t> </w:t>
        </w:r>
        <w:r w:rsidRPr="00FB53EB">
          <w:rPr>
            <w:rStyle w:val="Hyperlink"/>
            <w:lang w:val="en-GB"/>
          </w:rPr>
          <w:t>3.11</w:t>
        </w:r>
      </w:hyperlink>
      <w:r>
        <w:rPr>
          <w:lang w:val="en-GB"/>
        </w:rPr>
        <w:t>). Therefore, it concluded that the higher rates from CheckMate-227 better reflected clinical practice and should be used in the model.</w:t>
      </w:r>
    </w:p>
    <w:p w14:paraId="077FAE59" w14:textId="77777777" w:rsidR="008F0C77" w:rsidRDefault="008F0C77" w:rsidP="008F0C77">
      <w:pPr>
        <w:pStyle w:val="Heading2"/>
      </w:pPr>
      <w:r>
        <w:t>Relative dose intensity</w:t>
      </w:r>
    </w:p>
    <w:p w14:paraId="48503983" w14:textId="77777777" w:rsidR="008F0C77" w:rsidRPr="008C4F61" w:rsidRDefault="008F0C77" w:rsidP="008F0C77">
      <w:pPr>
        <w:pStyle w:val="Heading3"/>
        <w:rPr>
          <w:color w:val="000000" w:themeColor="text1"/>
        </w:rPr>
      </w:pPr>
      <w:r w:rsidRPr="008C4F61">
        <w:rPr>
          <w:color w:val="000000" w:themeColor="text1"/>
        </w:rPr>
        <w:t>The difference between the company and ERG</w:t>
      </w:r>
      <w:r>
        <w:rPr>
          <w:color w:val="000000" w:themeColor="text1"/>
        </w:rPr>
        <w:t>’s</w:t>
      </w:r>
      <w:r w:rsidRPr="008C4F61">
        <w:rPr>
          <w:color w:val="000000" w:themeColor="text1"/>
        </w:rPr>
        <w:t xml:space="preserve"> relative dose intensity adjustments has minimal impact on the cost-effectiveness results</w:t>
      </w:r>
    </w:p>
    <w:p w14:paraId="48BB44BC" w14:textId="77777777" w:rsidR="008F0C77" w:rsidRPr="008C4F61" w:rsidRDefault="008F0C77" w:rsidP="008F0C77">
      <w:pPr>
        <w:pStyle w:val="Numberedlevel2text"/>
        <w:numPr>
          <w:ilvl w:val="1"/>
          <w:numId w:val="1"/>
        </w:numPr>
      </w:pPr>
      <w:r>
        <w:rPr>
          <w:lang w:val="en-GB"/>
        </w:rPr>
        <w:t xml:space="preserve">Relative dose intensity is the percentage of the prescribed dose of a treatment that people take. The company applied the relative dose intensities to the drug acquisition costs, after these had been estimated from the number of vials needed based on the treatment dose in the marketing authorisation. The ERG considered it more appropriate to apply the relative dose intensities to the expected treatment dose, and then calculate the number of vials and associated drug acquisition costs from these adjusted numbers. Because this may not necessarily reduce the number of vials, the ERG was concerned that the company may have underestimated drug acquisition costs. The committee concluded that the </w:t>
      </w:r>
      <w:r>
        <w:rPr>
          <w:lang w:val="en-GB"/>
        </w:rPr>
        <w:lastRenderedPageBreak/>
        <w:t>relative dose intensity likely lay between the company and ERG’s assumptions. However, it noted that this had minimal impact on the cost-effectiveness results.</w:t>
      </w:r>
    </w:p>
    <w:p w14:paraId="5348BA96" w14:textId="77777777" w:rsidR="008F0C77" w:rsidRDefault="008F0C77" w:rsidP="008F0C77">
      <w:pPr>
        <w:pStyle w:val="Heading2"/>
      </w:pPr>
      <w:r>
        <w:t>End of life</w:t>
      </w:r>
    </w:p>
    <w:p w14:paraId="282AE19D" w14:textId="77777777" w:rsidR="008F0C77" w:rsidRDefault="008F0C77" w:rsidP="008F0C77">
      <w:pPr>
        <w:pStyle w:val="Heading3"/>
      </w:pPr>
      <w:r>
        <w:t xml:space="preserve">Nivolumab combination is likely to meet the </w:t>
      </w:r>
      <w:proofErr w:type="gramStart"/>
      <w:r>
        <w:t>end of life</w:t>
      </w:r>
      <w:proofErr w:type="gramEnd"/>
      <w:r>
        <w:t xml:space="preserve"> criteria for squamous NSCLC with a PD-L1 TPS less than 50%</w:t>
      </w:r>
    </w:p>
    <w:p w14:paraId="101E04B4" w14:textId="77777777" w:rsidR="008F0C77" w:rsidRPr="001B153B" w:rsidRDefault="008F0C77" w:rsidP="008F0C77">
      <w:pPr>
        <w:pStyle w:val="Numberedlevel2text"/>
        <w:numPr>
          <w:ilvl w:val="1"/>
          <w:numId w:val="1"/>
        </w:numPr>
      </w:pPr>
      <w:r>
        <w:rPr>
          <w:lang w:val="en-GB"/>
        </w:rPr>
        <w:t xml:space="preserve">The committee considered the advice about life-extending treatment for people with a short life expectancy in </w:t>
      </w:r>
      <w:hyperlink r:id="rId17" w:history="1">
        <w:r w:rsidRPr="00666598">
          <w:rPr>
            <w:rStyle w:val="Hyperlink"/>
            <w:lang w:val="en-GB"/>
          </w:rPr>
          <w:t>NICE’s guide to the methods of technology appraisal</w:t>
        </w:r>
      </w:hyperlink>
      <w:r>
        <w:rPr>
          <w:lang w:val="en-GB"/>
        </w:rPr>
        <w:t xml:space="preserve">. It understood that the company and ERG agreed that nivolumab combination did not meet the criteria for </w:t>
      </w:r>
      <w:proofErr w:type="gramStart"/>
      <w:r>
        <w:rPr>
          <w:lang w:val="en-GB"/>
        </w:rPr>
        <w:t>end of life</w:t>
      </w:r>
      <w:proofErr w:type="gramEnd"/>
      <w:r>
        <w:rPr>
          <w:lang w:val="en-GB"/>
        </w:rPr>
        <w:t xml:space="preserve"> treatments for:</w:t>
      </w:r>
    </w:p>
    <w:p w14:paraId="6AA71780" w14:textId="77777777" w:rsidR="008F0C77" w:rsidRDefault="008F0C77" w:rsidP="008F0C77">
      <w:pPr>
        <w:pStyle w:val="Bulletindent1"/>
      </w:pPr>
      <w:r>
        <w:t xml:space="preserve">non-squamous NSCLC and a </w:t>
      </w:r>
      <w:r w:rsidRPr="00CE5E08">
        <w:t xml:space="preserve">PD-L1 </w:t>
      </w:r>
      <w:r>
        <w:t>TPS</w:t>
      </w:r>
      <w:r w:rsidRPr="00CE5E08">
        <w:t xml:space="preserve"> be</w:t>
      </w:r>
      <w:r>
        <w:t>low 50</w:t>
      </w:r>
      <w:r w:rsidRPr="00CE5E08">
        <w:t>%</w:t>
      </w:r>
      <w:r>
        <w:t xml:space="preserve"> or</w:t>
      </w:r>
    </w:p>
    <w:p w14:paraId="273D667D" w14:textId="77777777" w:rsidR="008F0C77" w:rsidRDefault="008F0C77" w:rsidP="008F0C77">
      <w:pPr>
        <w:pStyle w:val="Bulletindent1last"/>
      </w:pPr>
      <w:r>
        <w:t xml:space="preserve">NSCLC of either histology </w:t>
      </w:r>
      <w:proofErr w:type="gramStart"/>
      <w:r>
        <w:t>and</w:t>
      </w:r>
      <w:proofErr w:type="gramEnd"/>
      <w:r>
        <w:t xml:space="preserve"> a PD-L1 TPS of 50% or more</w:t>
      </w:r>
      <w:r w:rsidRPr="00CE5E08">
        <w:t>.</w:t>
      </w:r>
    </w:p>
    <w:p w14:paraId="79918CD8" w14:textId="77777777" w:rsidR="008F0C77" w:rsidRPr="007C5954" w:rsidRDefault="008F0C77" w:rsidP="008F0C77">
      <w:pPr>
        <w:pStyle w:val="NICEnormalindented"/>
      </w:pPr>
      <w:r>
        <w:t xml:space="preserve">For the subgroup with squamous NSCLC and a </w:t>
      </w:r>
      <w:r w:rsidRPr="00666598">
        <w:t xml:space="preserve">PD-L1 </w:t>
      </w:r>
      <w:r>
        <w:t>TPS</w:t>
      </w:r>
      <w:r w:rsidRPr="00666598">
        <w:t xml:space="preserve"> </w:t>
      </w:r>
      <w:r>
        <w:t xml:space="preserve">of </w:t>
      </w:r>
      <w:r w:rsidRPr="00666598">
        <w:t>be</w:t>
      </w:r>
      <w:r>
        <w:t>low 50</w:t>
      </w:r>
      <w:r w:rsidRPr="00666598">
        <w:t>%</w:t>
      </w:r>
      <w:r>
        <w:t xml:space="preserve">, both the company’s and ERG’s base cases predicted a mean overall survival of around 24 months for people having platinum-doublet chemotherapy. The clinical experts stated that the life expectancy for this subgroup was likely to be less than 2 years, even with immunotherapy. The company and ERG estimated that the mean life extension for nivolumab combination in this subgroup was more than 3 months compared with platinum-doublet chemotherapy. The committee was satisfied that nivolumab combination was likely to meet the criteria for </w:t>
      </w:r>
      <w:proofErr w:type="gramStart"/>
      <w:r>
        <w:t>end of life</w:t>
      </w:r>
      <w:proofErr w:type="gramEnd"/>
      <w:r>
        <w:t xml:space="preserve"> treatments in the subgroup with </w:t>
      </w:r>
      <w:r w:rsidRPr="009A39D8">
        <w:t>squamous NSCLC</w:t>
      </w:r>
      <w:r>
        <w:t xml:space="preserve"> and a </w:t>
      </w:r>
      <w:r w:rsidRPr="009A39D8">
        <w:t xml:space="preserve">PD-L1 </w:t>
      </w:r>
      <w:r>
        <w:t>TPS</w:t>
      </w:r>
      <w:r w:rsidRPr="009A39D8">
        <w:t xml:space="preserve"> be</w:t>
      </w:r>
      <w:r>
        <w:t>low 50</w:t>
      </w:r>
      <w:r w:rsidRPr="009A39D8">
        <w:t>%</w:t>
      </w:r>
      <w:r>
        <w:t>.</w:t>
      </w:r>
    </w:p>
    <w:p w14:paraId="5FD52697" w14:textId="77777777" w:rsidR="008F0C77" w:rsidRDefault="008F0C77" w:rsidP="008F0C77">
      <w:pPr>
        <w:pStyle w:val="Heading2"/>
      </w:pPr>
      <w:r>
        <w:lastRenderedPageBreak/>
        <w:t>Cost-effectiveness results</w:t>
      </w:r>
    </w:p>
    <w:p w14:paraId="0F364CE5" w14:textId="77777777" w:rsidR="008F0C77" w:rsidRPr="007C5954" w:rsidRDefault="008F0C77" w:rsidP="008F0C77">
      <w:pPr>
        <w:pStyle w:val="Heading3"/>
      </w:pPr>
      <w:r>
        <w:t>Nivolumab combination is not cost effective in any subgroup and further analyses are needed</w:t>
      </w:r>
    </w:p>
    <w:p w14:paraId="31309F18" w14:textId="77777777" w:rsidR="008F0C77" w:rsidRPr="00042EE7" w:rsidRDefault="008F0C77" w:rsidP="008F0C77">
      <w:pPr>
        <w:pStyle w:val="Numberedlevel2text"/>
        <w:numPr>
          <w:ilvl w:val="1"/>
          <w:numId w:val="1"/>
        </w:numPr>
      </w:pPr>
      <w:r>
        <w:rPr>
          <w:lang w:val="en-GB"/>
        </w:rPr>
        <w:t>The committee recalled that its preferred assumptions were:</w:t>
      </w:r>
    </w:p>
    <w:p w14:paraId="31543483" w14:textId="77777777" w:rsidR="008F0C77" w:rsidRPr="00C41B82" w:rsidRDefault="008F0C77" w:rsidP="008F0C77">
      <w:pPr>
        <w:pStyle w:val="Numberedlevel2text"/>
        <w:numPr>
          <w:ilvl w:val="0"/>
          <w:numId w:val="32"/>
        </w:numPr>
        <w:spacing w:after="0"/>
        <w:ind w:left="1491" w:hanging="357"/>
      </w:pPr>
      <w:r>
        <w:rPr>
          <w:lang w:val="en-GB"/>
        </w:rPr>
        <w:t xml:space="preserve">considering 3 separate subgroups based on </w:t>
      </w:r>
      <w:r w:rsidRPr="00C41B82">
        <w:rPr>
          <w:lang w:val="en-GB"/>
        </w:rPr>
        <w:t xml:space="preserve">histology and PD-L1 </w:t>
      </w:r>
      <w:r>
        <w:rPr>
          <w:lang w:val="en-GB"/>
        </w:rPr>
        <w:t xml:space="preserve">TPS (see </w:t>
      </w:r>
      <w:hyperlink w:anchor="_Treatment_practice_and" w:history="1">
        <w:r w:rsidRPr="00C41B82">
          <w:rPr>
            <w:rStyle w:val="Hyperlink"/>
            <w:lang w:val="en-GB"/>
          </w:rPr>
          <w:t>section</w:t>
        </w:r>
        <w:r>
          <w:rPr>
            <w:rStyle w:val="Hyperlink"/>
            <w:lang w:val="en-GB"/>
          </w:rPr>
          <w:t> </w:t>
        </w:r>
        <w:r w:rsidRPr="00C41B82">
          <w:rPr>
            <w:rStyle w:val="Hyperlink"/>
            <w:lang w:val="en-GB"/>
          </w:rPr>
          <w:t>3.2</w:t>
        </w:r>
      </w:hyperlink>
      <w:r>
        <w:rPr>
          <w:lang w:val="en-GB"/>
        </w:rPr>
        <w:t>)</w:t>
      </w:r>
    </w:p>
    <w:p w14:paraId="066F426F" w14:textId="77777777" w:rsidR="008F0C77" w:rsidRPr="007212E9" w:rsidRDefault="008F0C77" w:rsidP="008F0C77">
      <w:pPr>
        <w:pStyle w:val="Numberedlevel2text"/>
        <w:numPr>
          <w:ilvl w:val="0"/>
          <w:numId w:val="32"/>
        </w:numPr>
        <w:spacing w:after="0"/>
        <w:ind w:left="1491" w:hanging="357"/>
      </w:pPr>
      <w:r>
        <w:rPr>
          <w:lang w:val="en-GB"/>
        </w:rPr>
        <w:t xml:space="preserve">applying separate survival curves for each subgroup (see </w:t>
      </w:r>
      <w:hyperlink w:anchor="_Survival_curves_modelled" w:history="1">
        <w:r w:rsidRPr="00FB53EB">
          <w:rPr>
            <w:rStyle w:val="Hyperlink"/>
            <w:lang w:val="en-GB"/>
          </w:rPr>
          <w:t>section</w:t>
        </w:r>
        <w:r>
          <w:rPr>
            <w:rStyle w:val="Hyperlink"/>
            <w:lang w:val="en-GB"/>
          </w:rPr>
          <w:t> </w:t>
        </w:r>
        <w:r w:rsidRPr="00FB53EB">
          <w:rPr>
            <w:rStyle w:val="Hyperlink"/>
            <w:lang w:val="en-GB"/>
          </w:rPr>
          <w:t>3.10</w:t>
        </w:r>
      </w:hyperlink>
      <w:r>
        <w:rPr>
          <w:lang w:val="en-GB"/>
        </w:rPr>
        <w:t>)</w:t>
      </w:r>
    </w:p>
    <w:p w14:paraId="755462AE" w14:textId="77777777" w:rsidR="008F0C77" w:rsidRPr="0048266A" w:rsidRDefault="008F0C77" w:rsidP="008F0C77">
      <w:pPr>
        <w:pStyle w:val="Numberedlevel2text"/>
        <w:numPr>
          <w:ilvl w:val="0"/>
          <w:numId w:val="32"/>
        </w:numPr>
        <w:spacing w:after="0"/>
        <w:ind w:left="1491" w:hanging="357"/>
      </w:pPr>
      <w:r>
        <w:rPr>
          <w:lang w:val="en-GB"/>
        </w:rPr>
        <w:t xml:space="preserve">modelling </w:t>
      </w:r>
      <w:r w:rsidRPr="0048266A">
        <w:t xml:space="preserve">survival for </w:t>
      </w:r>
      <w:r>
        <w:rPr>
          <w:lang w:val="en-GB"/>
        </w:rPr>
        <w:t>people</w:t>
      </w:r>
      <w:r w:rsidRPr="0048266A">
        <w:t xml:space="preserve"> having platinum-doublet chemotherapy using the CheckMate-227 </w:t>
      </w:r>
      <w:r>
        <w:rPr>
          <w:lang w:val="en-GB"/>
        </w:rPr>
        <w:t xml:space="preserve">data </w:t>
      </w:r>
      <w:r w:rsidRPr="0048266A">
        <w:t>alone</w:t>
      </w:r>
      <w:r>
        <w:rPr>
          <w:lang w:val="en-GB"/>
        </w:rPr>
        <w:t xml:space="preserve"> (see </w:t>
      </w:r>
      <w:hyperlink w:anchor="_Survival_for_patients" w:history="1">
        <w:r w:rsidRPr="00FB53EB">
          <w:rPr>
            <w:rStyle w:val="Hyperlink"/>
            <w:lang w:val="en-GB"/>
          </w:rPr>
          <w:t>section</w:t>
        </w:r>
        <w:r>
          <w:rPr>
            <w:rStyle w:val="Hyperlink"/>
            <w:lang w:val="en-GB"/>
          </w:rPr>
          <w:t> </w:t>
        </w:r>
        <w:r w:rsidRPr="00FB53EB">
          <w:rPr>
            <w:rStyle w:val="Hyperlink"/>
            <w:lang w:val="en-GB"/>
          </w:rPr>
          <w:t>3.11</w:t>
        </w:r>
      </w:hyperlink>
      <w:r>
        <w:rPr>
          <w:lang w:val="en-GB"/>
        </w:rPr>
        <w:t>)</w:t>
      </w:r>
    </w:p>
    <w:p w14:paraId="415A9C8E" w14:textId="77777777" w:rsidR="008F0C77" w:rsidRPr="0048266A" w:rsidRDefault="008F0C77" w:rsidP="008F0C77">
      <w:pPr>
        <w:pStyle w:val="Numberedlevel2text"/>
        <w:numPr>
          <w:ilvl w:val="0"/>
          <w:numId w:val="32"/>
        </w:numPr>
        <w:spacing w:after="0"/>
        <w:ind w:left="1491" w:hanging="357"/>
      </w:pPr>
      <w:r>
        <w:rPr>
          <w:lang w:val="en-GB"/>
        </w:rPr>
        <w:t xml:space="preserve">a treatment effect lasting 3 to 5 years after starting treatment (see </w:t>
      </w:r>
      <w:hyperlink w:anchor="_A_treatment_effect" w:history="1">
        <w:r w:rsidRPr="00FB53EB">
          <w:rPr>
            <w:rStyle w:val="Hyperlink"/>
            <w:lang w:val="en-GB"/>
          </w:rPr>
          <w:t>section</w:t>
        </w:r>
        <w:r>
          <w:rPr>
            <w:rStyle w:val="Hyperlink"/>
            <w:lang w:val="en-GB"/>
          </w:rPr>
          <w:t> </w:t>
        </w:r>
        <w:r w:rsidRPr="00FB53EB">
          <w:rPr>
            <w:rStyle w:val="Hyperlink"/>
            <w:lang w:val="en-GB"/>
          </w:rPr>
          <w:t>3.12</w:t>
        </w:r>
      </w:hyperlink>
      <w:r>
        <w:rPr>
          <w:lang w:val="en-GB"/>
        </w:rPr>
        <w:t>)</w:t>
      </w:r>
    </w:p>
    <w:p w14:paraId="4C34CA6D" w14:textId="77777777" w:rsidR="008F0C77" w:rsidRPr="00FB53EB" w:rsidRDefault="008F0C77" w:rsidP="008F0C77">
      <w:pPr>
        <w:pStyle w:val="Numberedlevel2text"/>
        <w:numPr>
          <w:ilvl w:val="0"/>
          <w:numId w:val="32"/>
        </w:numPr>
        <w:spacing w:after="0"/>
        <w:ind w:left="1491" w:hanging="357"/>
      </w:pPr>
      <w:r>
        <w:rPr>
          <w:lang w:val="en-GB"/>
        </w:rPr>
        <w:t xml:space="preserve">utility values based on disease progression rather than time to death (see </w:t>
      </w:r>
      <w:hyperlink w:anchor="_The_ERG’s_approach" w:history="1">
        <w:r w:rsidRPr="00FB53EB">
          <w:rPr>
            <w:rStyle w:val="Hyperlink"/>
            <w:lang w:val="en-GB"/>
          </w:rPr>
          <w:t>section</w:t>
        </w:r>
        <w:r>
          <w:rPr>
            <w:rStyle w:val="Hyperlink"/>
            <w:lang w:val="en-GB"/>
          </w:rPr>
          <w:t> </w:t>
        </w:r>
        <w:r w:rsidRPr="00FB53EB">
          <w:rPr>
            <w:rStyle w:val="Hyperlink"/>
            <w:lang w:val="en-GB"/>
          </w:rPr>
          <w:t>3.13</w:t>
        </w:r>
      </w:hyperlink>
      <w:r>
        <w:rPr>
          <w:lang w:val="en-GB"/>
        </w:rPr>
        <w:t>)</w:t>
      </w:r>
    </w:p>
    <w:p w14:paraId="2046A572" w14:textId="77777777" w:rsidR="008F0C77" w:rsidRPr="0048266A" w:rsidRDefault="008F0C77" w:rsidP="008F0C77">
      <w:pPr>
        <w:pStyle w:val="Numberedlevel2text"/>
        <w:numPr>
          <w:ilvl w:val="0"/>
          <w:numId w:val="32"/>
        </w:numPr>
        <w:spacing w:after="0"/>
        <w:ind w:left="1491" w:hanging="357"/>
      </w:pPr>
      <w:r>
        <w:rPr>
          <w:lang w:val="en-GB"/>
        </w:rPr>
        <w:t xml:space="preserve">applying separate platinum-doublet chemotherapy distributions for each subgroup, using UK market share data from TA557 and TA600 (see </w:t>
      </w:r>
      <w:hyperlink w:anchor="_Separate_chemotherapy_regimen" w:history="1">
        <w:r w:rsidRPr="00FB53EB">
          <w:rPr>
            <w:rStyle w:val="Hyperlink"/>
            <w:lang w:val="en-GB"/>
          </w:rPr>
          <w:t>section 3.14</w:t>
        </w:r>
      </w:hyperlink>
      <w:r>
        <w:rPr>
          <w:lang w:val="en-GB"/>
        </w:rPr>
        <w:t>)</w:t>
      </w:r>
    </w:p>
    <w:p w14:paraId="5145C4D4" w14:textId="77777777" w:rsidR="008F0C77" w:rsidRPr="00042EE7" w:rsidRDefault="008F0C77" w:rsidP="008F0C77">
      <w:pPr>
        <w:pStyle w:val="Numberedlevel2text"/>
        <w:numPr>
          <w:ilvl w:val="0"/>
          <w:numId w:val="32"/>
        </w:numPr>
        <w:ind w:left="1491" w:hanging="357"/>
      </w:pPr>
      <w:r>
        <w:rPr>
          <w:lang w:val="en-GB"/>
        </w:rPr>
        <w:t xml:space="preserve">subsequent treatment rates based on the CheckMate-227 data (see </w:t>
      </w:r>
      <w:hyperlink w:anchor="_The_proportion_of" w:history="1">
        <w:r w:rsidRPr="00FB53EB">
          <w:rPr>
            <w:rStyle w:val="Hyperlink"/>
            <w:lang w:val="en-GB"/>
          </w:rPr>
          <w:t>section 3.15</w:t>
        </w:r>
      </w:hyperlink>
      <w:r>
        <w:rPr>
          <w:lang w:val="en-GB"/>
        </w:rPr>
        <w:t>).</w:t>
      </w:r>
    </w:p>
    <w:p w14:paraId="7C9CDE9D" w14:textId="77777777" w:rsidR="008F0C77" w:rsidRDefault="008F0C77" w:rsidP="008F0C77">
      <w:pPr>
        <w:pStyle w:val="Numberedlevel2text"/>
        <w:numPr>
          <w:ilvl w:val="0"/>
          <w:numId w:val="0"/>
        </w:numPr>
        <w:ind w:left="1134"/>
        <w:rPr>
          <w:lang w:val="en-GB"/>
        </w:rPr>
      </w:pPr>
      <w:r>
        <w:rPr>
          <w:lang w:val="en-GB"/>
        </w:rPr>
        <w:t>The cost-effectiveness results are commercial in confidence because they included the discounts from commercial access agreements and patient access schemes for atezolizumab, pembrolizumab, bevacizumab and pemetrexed maintenance.</w:t>
      </w:r>
    </w:p>
    <w:p w14:paraId="291538EE" w14:textId="77777777" w:rsidR="008F0C77" w:rsidRDefault="008F0C77" w:rsidP="008F0C77">
      <w:pPr>
        <w:pStyle w:val="Bulletindent1"/>
      </w:pPr>
      <w:r>
        <w:t>For the subgroup</w:t>
      </w:r>
      <w:r w:rsidRPr="00614B14">
        <w:t xml:space="preserve"> with non-squamous NSCLC</w:t>
      </w:r>
      <w:r>
        <w:t xml:space="preserve"> and a</w:t>
      </w:r>
      <w:r w:rsidRPr="00614B14">
        <w:t xml:space="preserve"> PD-L1 </w:t>
      </w:r>
      <w:r>
        <w:t>TPS</w:t>
      </w:r>
      <w:r w:rsidRPr="00614B14">
        <w:t xml:space="preserve"> be</w:t>
      </w:r>
      <w:r>
        <w:t>low 50</w:t>
      </w:r>
      <w:r w:rsidRPr="00614B14">
        <w:t>%</w:t>
      </w:r>
      <w:r>
        <w:t xml:space="preserve">, the incremental cost-effectiveness ratios (ICERs) for nivolumab combination compared with both atezolizumab combination and platinum-doublet chemotherapy </w:t>
      </w:r>
      <w:bookmarkStart w:id="13" w:name="_Hlk66432325"/>
      <w:r>
        <w:t>were above the upper end of the range normally considered a cost-effective use of NHS resources (£30,000 per quality-adjusted life year [QALY] gained</w:t>
      </w:r>
      <w:bookmarkEnd w:id="13"/>
      <w:r>
        <w:t>).</w:t>
      </w:r>
    </w:p>
    <w:p w14:paraId="2E35BABC" w14:textId="77777777" w:rsidR="008F0C77" w:rsidRDefault="008F0C77" w:rsidP="008F0C77">
      <w:pPr>
        <w:pStyle w:val="Bulletindent1"/>
      </w:pPr>
      <w:r>
        <w:lastRenderedPageBreak/>
        <w:t xml:space="preserve">For the subgroup with squamous NSCLC and a PD-L1 TPS below 50%, the ICERs for nivolumab combination compared with platinum-doublet chemotherapy were above the upper end of what is normally considered a cost-effective use of NHS resources </w:t>
      </w:r>
      <w:r w:rsidRPr="00CF7DC9">
        <w:t xml:space="preserve">for </w:t>
      </w:r>
      <w:proofErr w:type="gramStart"/>
      <w:r w:rsidRPr="00CF7DC9">
        <w:t>end</w:t>
      </w:r>
      <w:r>
        <w:t xml:space="preserve"> </w:t>
      </w:r>
      <w:r w:rsidRPr="00CF7DC9">
        <w:t>of</w:t>
      </w:r>
      <w:r>
        <w:t xml:space="preserve"> </w:t>
      </w:r>
      <w:r w:rsidRPr="00CF7DC9">
        <w:t>life</w:t>
      </w:r>
      <w:proofErr w:type="gramEnd"/>
      <w:r w:rsidRPr="00CF7DC9">
        <w:t xml:space="preserve"> treatments</w:t>
      </w:r>
      <w:r>
        <w:t xml:space="preserve"> (£50,000 per QALY gained).</w:t>
      </w:r>
    </w:p>
    <w:p w14:paraId="5E498195" w14:textId="77777777" w:rsidR="008F0C77" w:rsidRDefault="008F0C77" w:rsidP="008F0C77">
      <w:pPr>
        <w:pStyle w:val="Bulletindent1last"/>
      </w:pPr>
      <w:r>
        <w:t xml:space="preserve">For the subgroup with NSCLC of either histology and a PD-L1 TPS of </w:t>
      </w:r>
      <w:r w:rsidRPr="005D344D">
        <w:t>at least 50%</w:t>
      </w:r>
      <w:r>
        <w:t xml:space="preserve">, nivolumab combination was more costly and less effective than pembrolizumab monotherapy (that is, it was dominated by pembrolizumab). Compared with platinum-doublet chemotherapy in this subgroup, the ICERs </w:t>
      </w:r>
      <w:r w:rsidRPr="000C0330">
        <w:t>were above £30,000 per QALY gained</w:t>
      </w:r>
      <w:r>
        <w:t>.</w:t>
      </w:r>
    </w:p>
    <w:p w14:paraId="44FD0F50" w14:textId="77777777" w:rsidR="008F0C77" w:rsidRPr="00042EE7" w:rsidRDefault="008F0C77" w:rsidP="008F0C77">
      <w:pPr>
        <w:pStyle w:val="NICEnormalindented"/>
      </w:pPr>
      <w:r>
        <w:t xml:space="preserve">The committee concluded that the cost-effectiveness estimates for nivolumab combination were higher than what NICE normally considers a cost-effective use of NHS resources. It also recalled that pembrolizumab plus pemetrexed and platinum chemotherapy was a relevant comparator for non-squamous NSCLC (see </w:t>
      </w:r>
      <w:hyperlink w:anchor="_The_comparators_are" w:history="1">
        <w:r w:rsidRPr="00177DC1">
          <w:rPr>
            <w:rStyle w:val="Hyperlink"/>
          </w:rPr>
          <w:t>section</w:t>
        </w:r>
        <w:r>
          <w:rPr>
            <w:rStyle w:val="Hyperlink"/>
          </w:rPr>
          <w:t> </w:t>
        </w:r>
        <w:r w:rsidRPr="00177DC1">
          <w:rPr>
            <w:rStyle w:val="Hyperlink"/>
          </w:rPr>
          <w:t>3.3</w:t>
        </w:r>
      </w:hyperlink>
      <w:r>
        <w:t>). It concluded that the decision problem was incomplete without these analyses.</w:t>
      </w:r>
    </w:p>
    <w:p w14:paraId="3B415644" w14:textId="77777777" w:rsidR="008F0C77" w:rsidRDefault="008F0C77" w:rsidP="008F0C77">
      <w:pPr>
        <w:pStyle w:val="Heading2"/>
      </w:pPr>
      <w:r>
        <w:t>Other factors</w:t>
      </w:r>
    </w:p>
    <w:p w14:paraId="54973F40" w14:textId="77777777" w:rsidR="008F0C77" w:rsidRPr="001B153B" w:rsidRDefault="008F0C77" w:rsidP="008F0C77">
      <w:pPr>
        <w:pStyle w:val="Numberedlevel2text"/>
        <w:numPr>
          <w:ilvl w:val="1"/>
          <w:numId w:val="1"/>
        </w:numPr>
      </w:pPr>
      <w:r>
        <w:rPr>
          <w:lang w:val="en-GB"/>
        </w:rPr>
        <w:t>No relevant equalities issues were identified.</w:t>
      </w:r>
    </w:p>
    <w:p w14:paraId="49625E34" w14:textId="77777777" w:rsidR="008F0C77" w:rsidRPr="007C5954" w:rsidRDefault="008F0C77" w:rsidP="008F0C77">
      <w:pPr>
        <w:pStyle w:val="Numberedlevel2text"/>
        <w:numPr>
          <w:ilvl w:val="1"/>
          <w:numId w:val="1"/>
        </w:numPr>
      </w:pPr>
      <w:r>
        <w:rPr>
          <w:lang w:val="en-GB"/>
        </w:rPr>
        <w:t>The company stated that nivolumab combination was innovative because it was the first dual immunotherapy approved in NSCLC. However, the clinical experts explained that they did not consider the treatment to be innovative because the important step change had already been made by the earlier immunotherapies. The committee concluded that there were no additional benefits associated with nivolumab combination that had not been captured in the economic analysis.</w:t>
      </w:r>
    </w:p>
    <w:p w14:paraId="5DC4D691" w14:textId="77777777" w:rsidR="008F0C77" w:rsidRDefault="008F0C77" w:rsidP="008F0C77">
      <w:pPr>
        <w:pStyle w:val="Heading2"/>
      </w:pPr>
      <w:r>
        <w:lastRenderedPageBreak/>
        <w:t>Conclusion</w:t>
      </w:r>
    </w:p>
    <w:p w14:paraId="6368652C" w14:textId="77777777" w:rsidR="008F0C77" w:rsidRPr="00DC3177" w:rsidRDefault="008F0C77" w:rsidP="008F0C77">
      <w:pPr>
        <w:pStyle w:val="Heading3"/>
      </w:pPr>
      <w:r>
        <w:t>Nivolumab combination is not recommended for routine use in the NHS</w:t>
      </w:r>
    </w:p>
    <w:p w14:paraId="36FE236C" w14:textId="77777777" w:rsidR="008F0C77" w:rsidRDefault="008F0C77" w:rsidP="008F0C77">
      <w:pPr>
        <w:pStyle w:val="Numberedlevel2text"/>
        <w:numPr>
          <w:ilvl w:val="1"/>
          <w:numId w:val="1"/>
        </w:numPr>
      </w:pPr>
      <w:r>
        <w:rPr>
          <w:lang w:val="en-GB"/>
        </w:rPr>
        <w:t xml:space="preserve">Nivolumab combination is more clinically effective than standard chemotherapy, and likely to have similar efficacy to other chemo-immunotherapy treatments. The committee agreed that the most plausible ICERs for nivolumab combination compared with </w:t>
      </w:r>
      <w:r w:rsidRPr="00EC0DDB">
        <w:rPr>
          <w:lang w:val="en-GB"/>
        </w:rPr>
        <w:t>platinum-doublet chemotherapy, atezolizumab combination and pembrolizumab monotherapy</w:t>
      </w:r>
      <w:r>
        <w:rPr>
          <w:lang w:val="en-GB"/>
        </w:rPr>
        <w:t xml:space="preserve"> were above the range normally considered to be a cost-effective use of NHS resources. Therefore, it concluded that nivolumab combination could not be recommended for routine use as an option for untreated </w:t>
      </w:r>
      <w:r w:rsidRPr="00EC0DDB">
        <w:rPr>
          <w:lang w:val="en-GB"/>
        </w:rPr>
        <w:t>metastatic NSCLC w</w:t>
      </w:r>
      <w:r>
        <w:rPr>
          <w:lang w:val="en-GB"/>
        </w:rPr>
        <w:t>ith</w:t>
      </w:r>
      <w:r w:rsidRPr="00EC0DDB">
        <w:rPr>
          <w:lang w:val="en-GB"/>
        </w:rPr>
        <w:t xml:space="preserve"> no EGFR or ALK mutations</w:t>
      </w:r>
      <w:r>
        <w:rPr>
          <w:lang w:val="en-GB"/>
        </w:rPr>
        <w:t>.</w:t>
      </w:r>
    </w:p>
    <w:p w14:paraId="4EA1C94A" w14:textId="77777777" w:rsidR="008F0C77" w:rsidRDefault="008F0C77" w:rsidP="008F0C77">
      <w:pPr>
        <w:pStyle w:val="Heading3"/>
      </w:pPr>
      <w:r>
        <w:t>Nivolumab combination is not recommended for use in the Cancer Drugs Fund</w:t>
      </w:r>
    </w:p>
    <w:p w14:paraId="2FB3FAAB" w14:textId="77777777" w:rsidR="008F0C77" w:rsidRPr="000D28B2" w:rsidRDefault="008F0C77" w:rsidP="008F0C77">
      <w:pPr>
        <w:pStyle w:val="Numberedlevel2text"/>
        <w:numPr>
          <w:ilvl w:val="1"/>
          <w:numId w:val="1"/>
        </w:numPr>
      </w:pPr>
      <w:r w:rsidRPr="00EC0DDB">
        <w:rPr>
          <w:lang w:val="en-GB"/>
        </w:rPr>
        <w:t xml:space="preserve">Having concluded that </w:t>
      </w:r>
      <w:r w:rsidRPr="00BF5898">
        <w:rPr>
          <w:lang w:val="en-GB"/>
        </w:rPr>
        <w:t xml:space="preserve">nivolumab combination </w:t>
      </w:r>
      <w:r w:rsidRPr="00EC0DDB">
        <w:rPr>
          <w:lang w:val="en-GB"/>
        </w:rPr>
        <w:t xml:space="preserve">could not be recommended for routine use, the committee then considered if it could be recommended within the Cancer Drugs Fund. The committee discussed the arrangements for the Cancer Drugs Fund agreed by NICE and NHS England in 2016, noting </w:t>
      </w:r>
      <w:hyperlink r:id="rId18" w:history="1">
        <w:r w:rsidRPr="00EC0DDB">
          <w:rPr>
            <w:rStyle w:val="Hyperlink"/>
            <w:lang w:val="en-GB"/>
          </w:rPr>
          <w:t>NICE’s Cancer Drugs Fund methods guide (addendum)</w:t>
        </w:r>
      </w:hyperlink>
      <w:r w:rsidRPr="00EC0DDB">
        <w:rPr>
          <w:lang w:val="en-GB"/>
        </w:rPr>
        <w:t>.</w:t>
      </w:r>
      <w:r>
        <w:rPr>
          <w:lang w:val="en-GB"/>
        </w:rPr>
        <w:t xml:space="preserve"> </w:t>
      </w:r>
      <w:r w:rsidRPr="00EC0DDB">
        <w:rPr>
          <w:lang w:val="en-GB"/>
        </w:rPr>
        <w:t xml:space="preserve">The committee was aware that the company had expressed an interest in the treatment being considered for funding through the Cancer Drugs Fund. It also </w:t>
      </w:r>
      <w:r>
        <w:rPr>
          <w:lang w:val="en-GB"/>
        </w:rPr>
        <w:t>understood</w:t>
      </w:r>
      <w:r w:rsidRPr="00EC0DDB">
        <w:rPr>
          <w:lang w:val="en-GB"/>
        </w:rPr>
        <w:t xml:space="preserve"> that </w:t>
      </w:r>
      <w:r>
        <w:rPr>
          <w:lang w:val="en-GB"/>
        </w:rPr>
        <w:t>CheckMate-9LA and CheckMate-227</w:t>
      </w:r>
      <w:r w:rsidRPr="00EC0DDB">
        <w:rPr>
          <w:lang w:val="en-GB"/>
        </w:rPr>
        <w:t xml:space="preserve"> w</w:t>
      </w:r>
      <w:r>
        <w:rPr>
          <w:lang w:val="en-GB"/>
        </w:rPr>
        <w:t>ere</w:t>
      </w:r>
      <w:r w:rsidRPr="00EC0DDB">
        <w:rPr>
          <w:lang w:val="en-GB"/>
        </w:rPr>
        <w:t xml:space="preserve"> ongoing, and </w:t>
      </w:r>
      <w:r>
        <w:rPr>
          <w:lang w:val="en-GB"/>
        </w:rPr>
        <w:t>further</w:t>
      </w:r>
      <w:r w:rsidRPr="00EC0DDB">
        <w:rPr>
          <w:lang w:val="en-GB"/>
        </w:rPr>
        <w:t xml:space="preserve"> data would be</w:t>
      </w:r>
      <w:r>
        <w:rPr>
          <w:lang w:val="en-GB"/>
        </w:rPr>
        <w:t>come</w:t>
      </w:r>
      <w:r w:rsidRPr="00EC0DDB">
        <w:rPr>
          <w:lang w:val="en-GB"/>
        </w:rPr>
        <w:t xml:space="preserve"> available. </w:t>
      </w:r>
      <w:r>
        <w:rPr>
          <w:lang w:val="en-GB"/>
        </w:rPr>
        <w:t>However, the committee agreed that this would likely be insufficient to reduce the key uncertainties affecting the cost-effectiveness results, that is:</w:t>
      </w:r>
    </w:p>
    <w:p w14:paraId="26A44358" w14:textId="77777777" w:rsidR="008F0C77" w:rsidRDefault="008F0C77" w:rsidP="008F0C77">
      <w:pPr>
        <w:pStyle w:val="Bulletindent1"/>
      </w:pPr>
      <w:r>
        <w:t>the duration of the treatment effect</w:t>
      </w:r>
    </w:p>
    <w:p w14:paraId="06B85CEA" w14:textId="77777777" w:rsidR="008F0C77" w:rsidRDefault="008F0C77" w:rsidP="008F0C77">
      <w:pPr>
        <w:pStyle w:val="Bulletindent1last"/>
      </w:pPr>
      <w:r>
        <w:t xml:space="preserve">whether </w:t>
      </w:r>
      <w:r w:rsidRPr="00DD61B9">
        <w:t xml:space="preserve">it was appropriate to use the same survival curves </w:t>
      </w:r>
      <w:r>
        <w:t>for</w:t>
      </w:r>
      <w:r w:rsidRPr="00DD61B9">
        <w:t xml:space="preserve"> all 3</w:t>
      </w:r>
      <w:r>
        <w:t> </w:t>
      </w:r>
      <w:r w:rsidRPr="00DD61B9">
        <w:t>subgroups</w:t>
      </w:r>
      <w:r>
        <w:t>.</w:t>
      </w:r>
    </w:p>
    <w:p w14:paraId="69D13D98" w14:textId="77777777" w:rsidR="008F0C77" w:rsidRPr="007C5954" w:rsidRDefault="008F0C77" w:rsidP="008F0C77">
      <w:pPr>
        <w:pStyle w:val="NICEnormalindented"/>
      </w:pPr>
      <w:r>
        <w:lastRenderedPageBreak/>
        <w:t xml:space="preserve">The committee concluded that </w:t>
      </w:r>
      <w:r w:rsidRPr="00BF5898">
        <w:t>nivolumab combination</w:t>
      </w:r>
      <w:r>
        <w:t xml:space="preserve"> did not meet the criteria to be considered for inclusion in the Cancer Drugs Fund.</w:t>
      </w:r>
    </w:p>
    <w:p w14:paraId="1B34E017" w14:textId="77777777" w:rsidR="008F0C77" w:rsidRPr="000F48EC" w:rsidRDefault="008F0C77" w:rsidP="008F0C77">
      <w:pPr>
        <w:pStyle w:val="Numberedheading1"/>
        <w:numPr>
          <w:ilvl w:val="0"/>
          <w:numId w:val="1"/>
        </w:numPr>
      </w:pPr>
      <w:r>
        <w:t>Proposed date for r</w:t>
      </w:r>
      <w:r w:rsidRPr="000F48EC">
        <w:t>eview of guidance</w:t>
      </w:r>
    </w:p>
    <w:p w14:paraId="56858D19" w14:textId="77777777" w:rsidR="008F0C77" w:rsidRDefault="008F0C77" w:rsidP="008F0C77">
      <w:pPr>
        <w:pStyle w:val="Numberedlevel2text"/>
        <w:numPr>
          <w:ilvl w:val="1"/>
          <w:numId w:val="1"/>
        </w:numPr>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5C82E181" w14:textId="77777777" w:rsidR="008F0C77" w:rsidRDefault="008F0C77" w:rsidP="008F0C77">
      <w:pPr>
        <w:pStyle w:val="NICEnormal"/>
      </w:pPr>
      <w:r w:rsidRPr="00A6616A">
        <w:t>Gary McVeigh</w:t>
      </w:r>
      <w:r>
        <w:br/>
      </w:r>
      <w:r w:rsidRPr="000F2D8A">
        <w:t xml:space="preserve">Chair, </w:t>
      </w:r>
      <w:r>
        <w:t>a</w:t>
      </w:r>
      <w:r w:rsidRPr="000F2D8A">
        <w:t xml:space="preserve">ppraisal </w:t>
      </w:r>
      <w:r>
        <w:t>c</w:t>
      </w:r>
      <w:r w:rsidRPr="000F2D8A">
        <w:t>ommittee</w:t>
      </w:r>
      <w:r>
        <w:br/>
        <w:t>April 2021</w:t>
      </w:r>
    </w:p>
    <w:p w14:paraId="24120182" w14:textId="77777777" w:rsidR="008F0C77" w:rsidRPr="007D7F83" w:rsidRDefault="008F0C77" w:rsidP="008F0C77">
      <w:pPr>
        <w:pStyle w:val="Numberedheading1"/>
        <w:numPr>
          <w:ilvl w:val="0"/>
          <w:numId w:val="1"/>
        </w:numPr>
      </w:pPr>
      <w:r w:rsidRPr="007D7F83">
        <w:t xml:space="preserve">Appraisal </w:t>
      </w:r>
      <w:r>
        <w:t>c</w:t>
      </w:r>
      <w:r w:rsidRPr="007D7F83">
        <w:t>ommittee members and NICE project team</w:t>
      </w:r>
    </w:p>
    <w:p w14:paraId="61D0A46D" w14:textId="77777777" w:rsidR="008F0C77" w:rsidRPr="007D7F83" w:rsidRDefault="008F0C77" w:rsidP="008F0C77">
      <w:pPr>
        <w:pStyle w:val="Heading2"/>
      </w:pPr>
      <w:bookmarkStart w:id="14" w:name="_Appraisal_committee_members"/>
      <w:bookmarkEnd w:id="14"/>
      <w:r w:rsidRPr="007D7F83">
        <w:t xml:space="preserve">Appraisal </w:t>
      </w:r>
      <w:r>
        <w:t>c</w:t>
      </w:r>
      <w:r w:rsidRPr="007D7F83">
        <w:t>ommittee members</w:t>
      </w:r>
    </w:p>
    <w:p w14:paraId="1C40DF63" w14:textId="77777777" w:rsidR="008F0C77" w:rsidRPr="00742089" w:rsidRDefault="008F0C77" w:rsidP="008F0C77">
      <w:pPr>
        <w:pStyle w:val="NICEnormal"/>
        <w:rPr>
          <w:rFonts w:eastAsia="Calibri"/>
        </w:rPr>
      </w:pPr>
      <w:r>
        <w:t xml:space="preserve">The 4 technology appraisal committees are standing advisory committees of NICE. This topic was considered by </w:t>
      </w:r>
      <w:hyperlink r:id="rId19" w:history="1">
        <w:r>
          <w:rPr>
            <w:rStyle w:val="Hyperlink"/>
            <w:rFonts w:eastAsia="Calibri"/>
          </w:rPr>
          <w:t>committee D</w:t>
        </w:r>
      </w:hyperlink>
      <w:r>
        <w:t>.</w:t>
      </w:r>
    </w:p>
    <w:p w14:paraId="7FC6A11E" w14:textId="77777777" w:rsidR="008F0C77" w:rsidRDefault="008F0C77" w:rsidP="008F0C77">
      <w:pPr>
        <w:pStyle w:val="NICEnormal"/>
      </w:pPr>
      <w:r>
        <w:t>Committee members are asked to declare any interests in the technology to be appraised. If it is considered there is a conflict of interest, the member is excluded from participating further in that appraisal.</w:t>
      </w:r>
    </w:p>
    <w:p w14:paraId="021FF908" w14:textId="77777777" w:rsidR="008F0C77" w:rsidRDefault="008F0C77" w:rsidP="008F0C77">
      <w:pPr>
        <w:pStyle w:val="NICEnormal"/>
      </w:pPr>
      <w:r>
        <w:t xml:space="preserve">The </w:t>
      </w:r>
      <w:hyperlink r:id="rId20"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1FA16892" w14:textId="77777777" w:rsidR="008F0C77" w:rsidRPr="007D7F83" w:rsidRDefault="008F0C77" w:rsidP="008F0C77">
      <w:pPr>
        <w:pStyle w:val="Heading2"/>
      </w:pPr>
      <w:r w:rsidRPr="007D7F83">
        <w:lastRenderedPageBreak/>
        <w:t>NICE project team</w:t>
      </w:r>
    </w:p>
    <w:p w14:paraId="0E357985" w14:textId="77777777" w:rsidR="008F0C77" w:rsidRPr="000F2D8A" w:rsidRDefault="008F0C77" w:rsidP="008F0C77">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34838A94" w14:textId="77777777" w:rsidR="008F0C77" w:rsidRPr="000F2D8A" w:rsidRDefault="008F0C77" w:rsidP="008F0C77">
      <w:pPr>
        <w:pStyle w:val="NICEnormal"/>
      </w:pPr>
      <w:bookmarkStart w:id="15" w:name="Text45"/>
      <w:r>
        <w:rPr>
          <w:b/>
        </w:rPr>
        <w:t>Charlie Hewitt and Thomas Paling</w:t>
      </w:r>
      <w:r>
        <w:br/>
      </w:r>
      <w:r w:rsidRPr="000F2D8A">
        <w:t xml:space="preserve">Technical </w:t>
      </w:r>
      <w:r>
        <w:t>l</w:t>
      </w:r>
      <w:r w:rsidRPr="000F2D8A">
        <w:t>eads</w:t>
      </w:r>
    </w:p>
    <w:p w14:paraId="35683080" w14:textId="77777777" w:rsidR="008F0C77" w:rsidRPr="000F2D8A" w:rsidRDefault="008F0C77" w:rsidP="008F0C77">
      <w:pPr>
        <w:pStyle w:val="NICEnormal"/>
      </w:pPr>
      <w:r>
        <w:rPr>
          <w:b/>
        </w:rPr>
        <w:t>Caron Jones</w:t>
      </w:r>
      <w:r>
        <w:br/>
      </w:r>
      <w:r w:rsidRPr="00AF59A2">
        <w:t xml:space="preserve">Technical </w:t>
      </w:r>
      <w:r>
        <w:t>a</w:t>
      </w:r>
      <w:r w:rsidRPr="00AF59A2">
        <w:t>dviser</w:t>
      </w:r>
    </w:p>
    <w:p w14:paraId="79196514" w14:textId="77777777" w:rsidR="008F0C77" w:rsidRPr="000F2D8A" w:rsidRDefault="008F0C77" w:rsidP="008F0C77">
      <w:pPr>
        <w:pStyle w:val="NICEnormal"/>
      </w:pPr>
      <w:r>
        <w:rPr>
          <w:b/>
        </w:rPr>
        <w:t>Kate Moore</w:t>
      </w:r>
      <w:r>
        <w:br/>
      </w:r>
      <w:r w:rsidRPr="000F2D8A">
        <w:t xml:space="preserve">Project </w:t>
      </w:r>
      <w:r>
        <w:t>m</w:t>
      </w:r>
      <w:r w:rsidRPr="000F2D8A">
        <w:t>anager</w:t>
      </w:r>
      <w:bookmarkEnd w:id="15"/>
    </w:p>
    <w:p w14:paraId="5E47B483" w14:textId="77777777" w:rsidR="008F0C77" w:rsidRPr="000F48EC" w:rsidRDefault="008F0C77" w:rsidP="008F0C77">
      <w:pPr>
        <w:pStyle w:val="NICEnormal"/>
      </w:pPr>
      <w:r>
        <w:t xml:space="preserve">ISBN: </w:t>
      </w:r>
      <w:r w:rsidRPr="004D7C92">
        <w:rPr>
          <w:highlight w:val="green"/>
        </w:rPr>
        <w:t>[to be added at publication]</w:t>
      </w:r>
    </w:p>
    <w:p w14:paraId="593B4C41" w14:textId="2F186D7F" w:rsidR="005861D4" w:rsidRPr="00FA7706" w:rsidRDefault="005861D4" w:rsidP="00A45701">
      <w:pPr>
        <w:pStyle w:val="NICEnormal"/>
      </w:pPr>
    </w:p>
    <w:sectPr w:rsidR="005861D4" w:rsidRPr="00FA7706" w:rsidSect="000C709D">
      <w:headerReference w:type="default" r:id="rId21"/>
      <w:footerReference w:type="default" r:id="rId22"/>
      <w:pgSz w:w="11907" w:h="16840" w:code="9"/>
      <w:pgMar w:top="1440"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0B96" w14:textId="77777777" w:rsidR="00571160" w:rsidRDefault="00571160">
      <w:r>
        <w:separator/>
      </w:r>
    </w:p>
  </w:endnote>
  <w:endnote w:type="continuationSeparator" w:id="0">
    <w:p w14:paraId="0E446D05" w14:textId="77777777" w:rsidR="00571160" w:rsidRDefault="005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248C" w14:textId="77777777" w:rsidR="00DD3729" w:rsidRPr="003D33FB" w:rsidRDefault="00DD3729" w:rsidP="00DD3729">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8331ED">
      <w:rPr>
        <w:sz w:val="18"/>
        <w:szCs w:val="18"/>
      </w:rPr>
      <w:t xml:space="preserve">Nivolumab with ipilimumab and chemotherapy for untreated </w:t>
    </w:r>
    <w:r>
      <w:rPr>
        <w:sz w:val="18"/>
        <w:szCs w:val="18"/>
      </w:rPr>
      <w:t>metastatic</w:t>
    </w:r>
    <w:r w:rsidRPr="008331ED">
      <w:rPr>
        <w:sz w:val="18"/>
        <w:szCs w:val="18"/>
      </w:rPr>
      <w:t xml:space="preserve"> non-small-cell lung cancer</w:t>
    </w:r>
    <w:r>
      <w:rPr>
        <w:sz w:val="18"/>
        <w:szCs w:val="18"/>
      </w:rPr>
      <w:t xml:space="preserve"> [ID1566]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sz w:val="20"/>
        <w:szCs w:val="20"/>
      </w:rPr>
      <w:t>1</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sz w:val="20"/>
        <w:szCs w:val="20"/>
      </w:rPr>
      <w:t>24</w:t>
    </w:r>
    <w:r w:rsidRPr="0039118D">
      <w:rPr>
        <w:rStyle w:val="PageNumber"/>
        <w:sz w:val="20"/>
        <w:szCs w:val="20"/>
      </w:rPr>
      <w:fldChar w:fldCharType="end"/>
    </w:r>
  </w:p>
  <w:p w14:paraId="6E70D0B8" w14:textId="77777777" w:rsidR="00DD3729" w:rsidRDefault="00DD3729" w:rsidP="00DD3729">
    <w:pPr>
      <w:pStyle w:val="NICEnormalsinglespacing"/>
      <w:spacing w:after="120"/>
      <w:rPr>
        <w:sz w:val="18"/>
        <w:szCs w:val="18"/>
      </w:rPr>
    </w:pPr>
    <w:r w:rsidRPr="003D33FB">
      <w:rPr>
        <w:sz w:val="18"/>
        <w:szCs w:val="18"/>
      </w:rPr>
      <w:t xml:space="preserve">Issue date: </w:t>
    </w:r>
    <w:r>
      <w:rPr>
        <w:sz w:val="18"/>
        <w:szCs w:val="18"/>
      </w:rPr>
      <w:t>March 2021</w:t>
    </w:r>
  </w:p>
  <w:p w14:paraId="79041615" w14:textId="77777777" w:rsidR="00DD3729" w:rsidRPr="007A7EC8" w:rsidRDefault="00DD3729" w:rsidP="00DD3729">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p w14:paraId="0FCCDD9A" w14:textId="52B10ADA" w:rsidR="00571160" w:rsidRPr="008E14F9" w:rsidRDefault="00571160" w:rsidP="008E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31AC1" w14:textId="77777777" w:rsidR="00571160" w:rsidRDefault="00571160">
      <w:r>
        <w:separator/>
      </w:r>
    </w:p>
  </w:footnote>
  <w:footnote w:type="continuationSeparator" w:id="0">
    <w:p w14:paraId="0F43CB19" w14:textId="77777777" w:rsidR="00571160" w:rsidRDefault="0057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9F1A4" w14:textId="77777777" w:rsidR="00571160" w:rsidRPr="004E6427" w:rsidRDefault="00571160"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FF9"/>
    <w:multiLevelType w:val="hybridMultilevel"/>
    <w:tmpl w:val="C9B0E7C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5622666"/>
    <w:multiLevelType w:val="multilevel"/>
    <w:tmpl w:val="B374081E"/>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27073E4"/>
    <w:multiLevelType w:val="hybridMultilevel"/>
    <w:tmpl w:val="B7B4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3616BE"/>
    <w:multiLevelType w:val="hybridMultilevel"/>
    <w:tmpl w:val="39DC070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80DE4"/>
    <w:multiLevelType w:val="hybridMultilevel"/>
    <w:tmpl w:val="2334E2E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0DE2BF1"/>
    <w:multiLevelType w:val="hybridMultilevel"/>
    <w:tmpl w:val="E21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55735"/>
    <w:multiLevelType w:val="hybridMultilevel"/>
    <w:tmpl w:val="A85A1C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9CC3584"/>
    <w:multiLevelType w:val="multilevel"/>
    <w:tmpl w:val="7D64F0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F4C3E"/>
    <w:multiLevelType w:val="hybridMultilevel"/>
    <w:tmpl w:val="19308C06"/>
    <w:lvl w:ilvl="0" w:tplc="7DD287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41B7135"/>
    <w:multiLevelType w:val="multilevel"/>
    <w:tmpl w:val="65E8D622"/>
    <w:lvl w:ilvl="0">
      <w:start w:val="1"/>
      <w:numFmt w:val="bullet"/>
      <w:lvlText w:val=""/>
      <w:lvlJc w:val="left"/>
      <w:pPr>
        <w:tabs>
          <w:tab w:val="num" w:pos="1702"/>
        </w:tabs>
        <w:ind w:left="1702" w:hanging="284"/>
      </w:pPr>
      <w:rPr>
        <w:rFonts w:ascii="Symbol" w:hAnsi="Symbol" w:hint="default"/>
        <w:color w:val="auto"/>
      </w:rPr>
    </w:lvl>
    <w:lvl w:ilvl="1">
      <w:start w:val="1"/>
      <w:numFmt w:val="bullet"/>
      <w:pStyle w:val="Bulletindent2"/>
      <w:lvlText w:val=""/>
      <w:lvlJc w:val="left"/>
      <w:pPr>
        <w:tabs>
          <w:tab w:val="num" w:pos="1985"/>
        </w:tabs>
        <w:ind w:left="1985" w:hanging="283"/>
      </w:pPr>
      <w:rPr>
        <w:rFonts w:ascii="Symbol" w:hAnsi="Symbol" w:hint="default"/>
      </w:rPr>
    </w:lvl>
    <w:lvl w:ilvl="2">
      <w:start w:val="1"/>
      <w:numFmt w:val="decimal"/>
      <w:lvlText w:val="%3.%1.%2"/>
      <w:lvlJc w:val="left"/>
      <w:pPr>
        <w:tabs>
          <w:tab w:val="num" w:pos="2252"/>
        </w:tabs>
        <w:ind w:left="2252" w:hanging="964"/>
      </w:pPr>
      <w:rPr>
        <w:rFonts w:hint="default"/>
      </w:rPr>
    </w:lvl>
    <w:lvl w:ilvl="3">
      <w:start w:val="1"/>
      <w:numFmt w:val="decimal"/>
      <w:lvlText w:val="%1.%2.%3.%4"/>
      <w:lvlJc w:val="left"/>
      <w:pPr>
        <w:tabs>
          <w:tab w:val="num" w:pos="2252"/>
        </w:tabs>
        <w:ind w:left="2252" w:hanging="964"/>
      </w:pPr>
      <w:rPr>
        <w:rFonts w:hint="default"/>
      </w:rPr>
    </w:lvl>
    <w:lvl w:ilvl="4">
      <w:start w:val="1"/>
      <w:numFmt w:val="decimal"/>
      <w:lvlText w:val="%1.%2.%3.%4.%5."/>
      <w:lvlJc w:val="left"/>
      <w:pPr>
        <w:tabs>
          <w:tab w:val="num" w:pos="5608"/>
        </w:tabs>
        <w:ind w:left="3520" w:hanging="792"/>
      </w:pPr>
      <w:rPr>
        <w:rFonts w:hint="default"/>
      </w:rPr>
    </w:lvl>
    <w:lvl w:ilvl="5">
      <w:start w:val="1"/>
      <w:numFmt w:val="decimal"/>
      <w:lvlText w:val="%1.%2.%3.%4.%5.%6."/>
      <w:lvlJc w:val="left"/>
      <w:pPr>
        <w:tabs>
          <w:tab w:val="num" w:pos="6688"/>
        </w:tabs>
        <w:ind w:left="4024" w:hanging="936"/>
      </w:pPr>
      <w:rPr>
        <w:rFonts w:hint="default"/>
      </w:rPr>
    </w:lvl>
    <w:lvl w:ilvl="6">
      <w:start w:val="1"/>
      <w:numFmt w:val="decimal"/>
      <w:lvlText w:val="%1.%2.%3.%4.%5.%6.%7."/>
      <w:lvlJc w:val="left"/>
      <w:pPr>
        <w:tabs>
          <w:tab w:val="num" w:pos="7768"/>
        </w:tabs>
        <w:ind w:left="4528" w:hanging="1080"/>
      </w:pPr>
      <w:rPr>
        <w:rFonts w:hint="default"/>
      </w:rPr>
    </w:lvl>
    <w:lvl w:ilvl="7">
      <w:start w:val="1"/>
      <w:numFmt w:val="decimal"/>
      <w:lvlText w:val="%1.%2.%3.%4.%5.%6.%7.%8."/>
      <w:lvlJc w:val="left"/>
      <w:pPr>
        <w:tabs>
          <w:tab w:val="num" w:pos="8488"/>
        </w:tabs>
        <w:ind w:left="5032" w:hanging="1224"/>
      </w:pPr>
      <w:rPr>
        <w:rFonts w:hint="default"/>
      </w:rPr>
    </w:lvl>
    <w:lvl w:ilvl="8">
      <w:start w:val="1"/>
      <w:numFmt w:val="decimal"/>
      <w:lvlText w:val="%1.%2.%3.%4.%5.%6.%7.%8.%9."/>
      <w:lvlJc w:val="left"/>
      <w:pPr>
        <w:tabs>
          <w:tab w:val="num" w:pos="9568"/>
        </w:tabs>
        <w:ind w:left="5608"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E6A1114"/>
    <w:multiLevelType w:val="hybridMultilevel"/>
    <w:tmpl w:val="A81CBA42"/>
    <w:lvl w:ilvl="0" w:tplc="0809000F">
      <w:start w:val="1"/>
      <w:numFmt w:val="decimal"/>
      <w:lvlText w:val="%1."/>
      <w:lvlJc w:val="left"/>
      <w:pPr>
        <w:ind w:left="1494" w:hanging="360"/>
      </w:pPr>
      <w:rPr>
        <w:rFont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7" w15:restartNumberingAfterBreak="0">
    <w:nsid w:val="78C041E0"/>
    <w:multiLevelType w:val="hybridMultilevel"/>
    <w:tmpl w:val="E9587C1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7B844C47"/>
    <w:multiLevelType w:val="hybridMultilevel"/>
    <w:tmpl w:val="B7B4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24"/>
  </w:num>
  <w:num w:numId="4">
    <w:abstractNumId w:val="17"/>
  </w:num>
  <w:num w:numId="5">
    <w:abstractNumId w:val="18"/>
  </w:num>
  <w:num w:numId="6">
    <w:abstractNumId w:val="2"/>
  </w:num>
  <w:num w:numId="7">
    <w:abstractNumId w:val="5"/>
  </w:num>
  <w:num w:numId="8">
    <w:abstractNumId w:val="8"/>
  </w:num>
  <w:num w:numId="9">
    <w:abstractNumId w:val="11"/>
  </w:num>
  <w:num w:numId="10">
    <w:abstractNumId w:val="13"/>
  </w:num>
  <w:num w:numId="11">
    <w:abstractNumId w:val="22"/>
  </w:num>
  <w:num w:numId="12">
    <w:abstractNumId w:val="23"/>
  </w:num>
  <w:num w:numId="13">
    <w:abstractNumId w:val="20"/>
  </w:num>
  <w:num w:numId="14">
    <w:abstractNumId w:val="13"/>
    <w:lvlOverride w:ilvl="0">
      <w:startOverride w:val="2"/>
    </w:lvlOverride>
    <w:lvlOverride w:ilvl="1">
      <w:startOverride w:val="2"/>
    </w:lvlOverride>
  </w:num>
  <w:num w:numId="15">
    <w:abstractNumId w:val="10"/>
  </w:num>
  <w:num w:numId="16">
    <w:abstractNumId w:val="15"/>
  </w:num>
  <w:num w:numId="17">
    <w:abstractNumId w:val="14"/>
  </w:num>
  <w:num w:numId="18">
    <w:abstractNumId w:val="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
  </w:num>
  <w:num w:numId="25">
    <w:abstractNumId w:val="0"/>
  </w:num>
  <w:num w:numId="26">
    <w:abstractNumId w:val="1"/>
  </w:num>
  <w:num w:numId="27">
    <w:abstractNumId w:val="27"/>
  </w:num>
  <w:num w:numId="28">
    <w:abstractNumId w:val="16"/>
  </w:num>
  <w:num w:numId="29">
    <w:abstractNumId w:val="9"/>
  </w:num>
  <w:num w:numId="30">
    <w:abstractNumId w:val="19"/>
  </w:num>
  <w:num w:numId="31">
    <w:abstractNumId w:val="6"/>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46"/>
    <w:rsid w:val="00000441"/>
    <w:rsid w:val="000006E3"/>
    <w:rsid w:val="00002B7C"/>
    <w:rsid w:val="000046F1"/>
    <w:rsid w:val="00004C5E"/>
    <w:rsid w:val="0000641D"/>
    <w:rsid w:val="00006590"/>
    <w:rsid w:val="0000678C"/>
    <w:rsid w:val="000069A4"/>
    <w:rsid w:val="000069F9"/>
    <w:rsid w:val="00006B63"/>
    <w:rsid w:val="0000727D"/>
    <w:rsid w:val="0000771C"/>
    <w:rsid w:val="00007C10"/>
    <w:rsid w:val="000119FB"/>
    <w:rsid w:val="00013A70"/>
    <w:rsid w:val="00013F0C"/>
    <w:rsid w:val="00014990"/>
    <w:rsid w:val="00016A22"/>
    <w:rsid w:val="00016E5E"/>
    <w:rsid w:val="00017610"/>
    <w:rsid w:val="00017D4A"/>
    <w:rsid w:val="00017F00"/>
    <w:rsid w:val="00021751"/>
    <w:rsid w:val="00021BC9"/>
    <w:rsid w:val="00021DCE"/>
    <w:rsid w:val="00021FB0"/>
    <w:rsid w:val="000221AA"/>
    <w:rsid w:val="000229A0"/>
    <w:rsid w:val="00022C29"/>
    <w:rsid w:val="0002331F"/>
    <w:rsid w:val="00023F26"/>
    <w:rsid w:val="00023F3A"/>
    <w:rsid w:val="000249F8"/>
    <w:rsid w:val="00025E0A"/>
    <w:rsid w:val="00026E82"/>
    <w:rsid w:val="00027A46"/>
    <w:rsid w:val="00030676"/>
    <w:rsid w:val="00030714"/>
    <w:rsid w:val="00031442"/>
    <w:rsid w:val="0003322C"/>
    <w:rsid w:val="00034110"/>
    <w:rsid w:val="000357D0"/>
    <w:rsid w:val="0003582B"/>
    <w:rsid w:val="00035AC1"/>
    <w:rsid w:val="000368FC"/>
    <w:rsid w:val="000376EE"/>
    <w:rsid w:val="000421F8"/>
    <w:rsid w:val="0004226A"/>
    <w:rsid w:val="000422A7"/>
    <w:rsid w:val="00042FAD"/>
    <w:rsid w:val="000432F9"/>
    <w:rsid w:val="00045528"/>
    <w:rsid w:val="0005187A"/>
    <w:rsid w:val="00051D18"/>
    <w:rsid w:val="00052063"/>
    <w:rsid w:val="00052EAA"/>
    <w:rsid w:val="00053332"/>
    <w:rsid w:val="00053367"/>
    <w:rsid w:val="00053C38"/>
    <w:rsid w:val="00055C3E"/>
    <w:rsid w:val="00055DDF"/>
    <w:rsid w:val="00057724"/>
    <w:rsid w:val="000607FC"/>
    <w:rsid w:val="00060C09"/>
    <w:rsid w:val="000613D4"/>
    <w:rsid w:val="00061C83"/>
    <w:rsid w:val="0006624B"/>
    <w:rsid w:val="00066474"/>
    <w:rsid w:val="00066567"/>
    <w:rsid w:val="00066863"/>
    <w:rsid w:val="000678B3"/>
    <w:rsid w:val="00067C4C"/>
    <w:rsid w:val="000711F1"/>
    <w:rsid w:val="000712D8"/>
    <w:rsid w:val="0007147F"/>
    <w:rsid w:val="000725D8"/>
    <w:rsid w:val="00073DA8"/>
    <w:rsid w:val="00075210"/>
    <w:rsid w:val="000755E6"/>
    <w:rsid w:val="00076251"/>
    <w:rsid w:val="000764D3"/>
    <w:rsid w:val="000778F5"/>
    <w:rsid w:val="0008061F"/>
    <w:rsid w:val="00080680"/>
    <w:rsid w:val="00080A47"/>
    <w:rsid w:val="000818C7"/>
    <w:rsid w:val="00082F77"/>
    <w:rsid w:val="00084A26"/>
    <w:rsid w:val="00085C5A"/>
    <w:rsid w:val="00085CF9"/>
    <w:rsid w:val="000862FC"/>
    <w:rsid w:val="000863CD"/>
    <w:rsid w:val="00087323"/>
    <w:rsid w:val="000879ED"/>
    <w:rsid w:val="00090292"/>
    <w:rsid w:val="0009128A"/>
    <w:rsid w:val="00093649"/>
    <w:rsid w:val="00094E46"/>
    <w:rsid w:val="00095C83"/>
    <w:rsid w:val="00096246"/>
    <w:rsid w:val="00097337"/>
    <w:rsid w:val="000977C0"/>
    <w:rsid w:val="00097E02"/>
    <w:rsid w:val="000A0494"/>
    <w:rsid w:val="000A08D5"/>
    <w:rsid w:val="000A0A6E"/>
    <w:rsid w:val="000A1D38"/>
    <w:rsid w:val="000A2737"/>
    <w:rsid w:val="000A2A64"/>
    <w:rsid w:val="000A2D91"/>
    <w:rsid w:val="000A4016"/>
    <w:rsid w:val="000A4144"/>
    <w:rsid w:val="000A4A28"/>
    <w:rsid w:val="000A6C40"/>
    <w:rsid w:val="000B05BB"/>
    <w:rsid w:val="000B061D"/>
    <w:rsid w:val="000B149D"/>
    <w:rsid w:val="000B2D29"/>
    <w:rsid w:val="000B6302"/>
    <w:rsid w:val="000B70D6"/>
    <w:rsid w:val="000B77F2"/>
    <w:rsid w:val="000B7F7A"/>
    <w:rsid w:val="000C04A1"/>
    <w:rsid w:val="000C194F"/>
    <w:rsid w:val="000C19DB"/>
    <w:rsid w:val="000C2222"/>
    <w:rsid w:val="000C2BDA"/>
    <w:rsid w:val="000C2D51"/>
    <w:rsid w:val="000C3FF5"/>
    <w:rsid w:val="000C6296"/>
    <w:rsid w:val="000C709D"/>
    <w:rsid w:val="000C7343"/>
    <w:rsid w:val="000D0849"/>
    <w:rsid w:val="000D09ED"/>
    <w:rsid w:val="000D0A87"/>
    <w:rsid w:val="000D0FB1"/>
    <w:rsid w:val="000D11B8"/>
    <w:rsid w:val="000D124C"/>
    <w:rsid w:val="000D145B"/>
    <w:rsid w:val="000D20A3"/>
    <w:rsid w:val="000D3B75"/>
    <w:rsid w:val="000D3C7D"/>
    <w:rsid w:val="000D5A09"/>
    <w:rsid w:val="000D5CD6"/>
    <w:rsid w:val="000D6016"/>
    <w:rsid w:val="000D6A80"/>
    <w:rsid w:val="000D7185"/>
    <w:rsid w:val="000D7A72"/>
    <w:rsid w:val="000E0189"/>
    <w:rsid w:val="000E1CED"/>
    <w:rsid w:val="000E24BD"/>
    <w:rsid w:val="000E29D1"/>
    <w:rsid w:val="000E32E3"/>
    <w:rsid w:val="000E5765"/>
    <w:rsid w:val="000E697E"/>
    <w:rsid w:val="000E69C7"/>
    <w:rsid w:val="000E6F19"/>
    <w:rsid w:val="000F16DA"/>
    <w:rsid w:val="000F1E3F"/>
    <w:rsid w:val="000F2336"/>
    <w:rsid w:val="000F3CEA"/>
    <w:rsid w:val="000F3DBC"/>
    <w:rsid w:val="000F40E7"/>
    <w:rsid w:val="000F4473"/>
    <w:rsid w:val="000F48EC"/>
    <w:rsid w:val="000F4B37"/>
    <w:rsid w:val="000F4FC4"/>
    <w:rsid w:val="000F4FDA"/>
    <w:rsid w:val="000F5106"/>
    <w:rsid w:val="00100FC6"/>
    <w:rsid w:val="00101F34"/>
    <w:rsid w:val="00102C97"/>
    <w:rsid w:val="001033D5"/>
    <w:rsid w:val="0010432D"/>
    <w:rsid w:val="00104767"/>
    <w:rsid w:val="00105409"/>
    <w:rsid w:val="00107DBD"/>
    <w:rsid w:val="001111D4"/>
    <w:rsid w:val="00111642"/>
    <w:rsid w:val="001120AD"/>
    <w:rsid w:val="00112222"/>
    <w:rsid w:val="00113666"/>
    <w:rsid w:val="001140E0"/>
    <w:rsid w:val="00114579"/>
    <w:rsid w:val="00114C25"/>
    <w:rsid w:val="001169FE"/>
    <w:rsid w:val="00116D19"/>
    <w:rsid w:val="00121E78"/>
    <w:rsid w:val="001230AC"/>
    <w:rsid w:val="00123B47"/>
    <w:rsid w:val="00124604"/>
    <w:rsid w:val="00125061"/>
    <w:rsid w:val="001265C0"/>
    <w:rsid w:val="00130ADE"/>
    <w:rsid w:val="00131348"/>
    <w:rsid w:val="001316C5"/>
    <w:rsid w:val="001337B7"/>
    <w:rsid w:val="00133921"/>
    <w:rsid w:val="0013492E"/>
    <w:rsid w:val="00135027"/>
    <w:rsid w:val="00140C93"/>
    <w:rsid w:val="00142EB2"/>
    <w:rsid w:val="00143536"/>
    <w:rsid w:val="00143A28"/>
    <w:rsid w:val="00143F64"/>
    <w:rsid w:val="00144F44"/>
    <w:rsid w:val="00145B2F"/>
    <w:rsid w:val="001461CE"/>
    <w:rsid w:val="00150440"/>
    <w:rsid w:val="0015085A"/>
    <w:rsid w:val="00150F74"/>
    <w:rsid w:val="0015169A"/>
    <w:rsid w:val="00151D8E"/>
    <w:rsid w:val="00152070"/>
    <w:rsid w:val="00154109"/>
    <w:rsid w:val="001570BC"/>
    <w:rsid w:val="00157812"/>
    <w:rsid w:val="001579BF"/>
    <w:rsid w:val="00161759"/>
    <w:rsid w:val="00161AA0"/>
    <w:rsid w:val="00162ED9"/>
    <w:rsid w:val="001642A3"/>
    <w:rsid w:val="00165081"/>
    <w:rsid w:val="0016570D"/>
    <w:rsid w:val="001662BC"/>
    <w:rsid w:val="00167948"/>
    <w:rsid w:val="0017072D"/>
    <w:rsid w:val="00170B60"/>
    <w:rsid w:val="00170D25"/>
    <w:rsid w:val="00171110"/>
    <w:rsid w:val="0017143A"/>
    <w:rsid w:val="00171A2B"/>
    <w:rsid w:val="00172B7D"/>
    <w:rsid w:val="0017332D"/>
    <w:rsid w:val="00173F30"/>
    <w:rsid w:val="00174FE2"/>
    <w:rsid w:val="00175B2B"/>
    <w:rsid w:val="00175C19"/>
    <w:rsid w:val="00176FB2"/>
    <w:rsid w:val="001775E1"/>
    <w:rsid w:val="001823EB"/>
    <w:rsid w:val="00183823"/>
    <w:rsid w:val="00184577"/>
    <w:rsid w:val="001846D2"/>
    <w:rsid w:val="00184A2B"/>
    <w:rsid w:val="00184A64"/>
    <w:rsid w:val="00184C5D"/>
    <w:rsid w:val="001860A0"/>
    <w:rsid w:val="00186B95"/>
    <w:rsid w:val="0018716E"/>
    <w:rsid w:val="001872F5"/>
    <w:rsid w:val="001873CB"/>
    <w:rsid w:val="00187D8C"/>
    <w:rsid w:val="00190872"/>
    <w:rsid w:val="00190D83"/>
    <w:rsid w:val="00191B56"/>
    <w:rsid w:val="00193614"/>
    <w:rsid w:val="001937E9"/>
    <w:rsid w:val="00193945"/>
    <w:rsid w:val="00193965"/>
    <w:rsid w:val="00193AFF"/>
    <w:rsid w:val="001956FC"/>
    <w:rsid w:val="001957E0"/>
    <w:rsid w:val="00196ABF"/>
    <w:rsid w:val="0019718A"/>
    <w:rsid w:val="001A03AC"/>
    <w:rsid w:val="001A1658"/>
    <w:rsid w:val="001A1AE2"/>
    <w:rsid w:val="001A211A"/>
    <w:rsid w:val="001A29CE"/>
    <w:rsid w:val="001A2D76"/>
    <w:rsid w:val="001A553B"/>
    <w:rsid w:val="001A6BD9"/>
    <w:rsid w:val="001A77C8"/>
    <w:rsid w:val="001A7B34"/>
    <w:rsid w:val="001B0C9F"/>
    <w:rsid w:val="001B2DD8"/>
    <w:rsid w:val="001B4131"/>
    <w:rsid w:val="001B4BF3"/>
    <w:rsid w:val="001B54C7"/>
    <w:rsid w:val="001B56B1"/>
    <w:rsid w:val="001B7E00"/>
    <w:rsid w:val="001C0E6D"/>
    <w:rsid w:val="001C0EF4"/>
    <w:rsid w:val="001C0F80"/>
    <w:rsid w:val="001C3366"/>
    <w:rsid w:val="001C45EE"/>
    <w:rsid w:val="001C59E4"/>
    <w:rsid w:val="001C5EEC"/>
    <w:rsid w:val="001C78ED"/>
    <w:rsid w:val="001D0320"/>
    <w:rsid w:val="001D0720"/>
    <w:rsid w:val="001D0C0B"/>
    <w:rsid w:val="001D1D43"/>
    <w:rsid w:val="001D22B8"/>
    <w:rsid w:val="001D3F3E"/>
    <w:rsid w:val="001D49C5"/>
    <w:rsid w:val="001D6D87"/>
    <w:rsid w:val="001D7520"/>
    <w:rsid w:val="001E13FA"/>
    <w:rsid w:val="001E2368"/>
    <w:rsid w:val="001E27E5"/>
    <w:rsid w:val="001E2CAF"/>
    <w:rsid w:val="001E3596"/>
    <w:rsid w:val="001E36C1"/>
    <w:rsid w:val="001E3C57"/>
    <w:rsid w:val="001E4D37"/>
    <w:rsid w:val="001E605E"/>
    <w:rsid w:val="001E66C2"/>
    <w:rsid w:val="001E763A"/>
    <w:rsid w:val="001E7E32"/>
    <w:rsid w:val="001F1400"/>
    <w:rsid w:val="001F2A84"/>
    <w:rsid w:val="001F2E8D"/>
    <w:rsid w:val="001F436E"/>
    <w:rsid w:val="001F4699"/>
    <w:rsid w:val="001F6078"/>
    <w:rsid w:val="001F635B"/>
    <w:rsid w:val="001F7251"/>
    <w:rsid w:val="00201842"/>
    <w:rsid w:val="00201CFD"/>
    <w:rsid w:val="00202827"/>
    <w:rsid w:val="002034E1"/>
    <w:rsid w:val="00204F82"/>
    <w:rsid w:val="00204F93"/>
    <w:rsid w:val="00207017"/>
    <w:rsid w:val="0021081C"/>
    <w:rsid w:val="002119CD"/>
    <w:rsid w:val="00211B58"/>
    <w:rsid w:val="002159C9"/>
    <w:rsid w:val="0021664F"/>
    <w:rsid w:val="00216D41"/>
    <w:rsid w:val="002209DC"/>
    <w:rsid w:val="00220BEE"/>
    <w:rsid w:val="00220E00"/>
    <w:rsid w:val="002218BC"/>
    <w:rsid w:val="00222098"/>
    <w:rsid w:val="00222BEA"/>
    <w:rsid w:val="00222EAC"/>
    <w:rsid w:val="002232CA"/>
    <w:rsid w:val="00223C30"/>
    <w:rsid w:val="00224282"/>
    <w:rsid w:val="00225439"/>
    <w:rsid w:val="00225F9B"/>
    <w:rsid w:val="00226533"/>
    <w:rsid w:val="0023000A"/>
    <w:rsid w:val="00232061"/>
    <w:rsid w:val="00233421"/>
    <w:rsid w:val="00233B98"/>
    <w:rsid w:val="00233F88"/>
    <w:rsid w:val="00235945"/>
    <w:rsid w:val="00235CAB"/>
    <w:rsid w:val="00237B2E"/>
    <w:rsid w:val="00237B64"/>
    <w:rsid w:val="00241C46"/>
    <w:rsid w:val="00242347"/>
    <w:rsid w:val="00246300"/>
    <w:rsid w:val="00246E12"/>
    <w:rsid w:val="002511F3"/>
    <w:rsid w:val="0025128B"/>
    <w:rsid w:val="002513A2"/>
    <w:rsid w:val="00254EE2"/>
    <w:rsid w:val="00255085"/>
    <w:rsid w:val="002555BE"/>
    <w:rsid w:val="00255679"/>
    <w:rsid w:val="00255966"/>
    <w:rsid w:val="00256B06"/>
    <w:rsid w:val="00256C71"/>
    <w:rsid w:val="002577AC"/>
    <w:rsid w:val="00257B1C"/>
    <w:rsid w:val="00261199"/>
    <w:rsid w:val="002614EA"/>
    <w:rsid w:val="00261BCE"/>
    <w:rsid w:val="00265B0E"/>
    <w:rsid w:val="00266655"/>
    <w:rsid w:val="00267F26"/>
    <w:rsid w:val="0027009A"/>
    <w:rsid w:val="0027049D"/>
    <w:rsid w:val="002729AD"/>
    <w:rsid w:val="0027432B"/>
    <w:rsid w:val="00275D8B"/>
    <w:rsid w:val="00275DB9"/>
    <w:rsid w:val="00276FDB"/>
    <w:rsid w:val="0028148D"/>
    <w:rsid w:val="00281648"/>
    <w:rsid w:val="00282C30"/>
    <w:rsid w:val="00282D7E"/>
    <w:rsid w:val="002864B5"/>
    <w:rsid w:val="002868BE"/>
    <w:rsid w:val="00290445"/>
    <w:rsid w:val="00290EBA"/>
    <w:rsid w:val="002916BA"/>
    <w:rsid w:val="002916DA"/>
    <w:rsid w:val="00291ACB"/>
    <w:rsid w:val="00291E0F"/>
    <w:rsid w:val="00292044"/>
    <w:rsid w:val="00292B82"/>
    <w:rsid w:val="002931F3"/>
    <w:rsid w:val="00293811"/>
    <w:rsid w:val="0029459E"/>
    <w:rsid w:val="0029578B"/>
    <w:rsid w:val="00297259"/>
    <w:rsid w:val="00297710"/>
    <w:rsid w:val="002A151A"/>
    <w:rsid w:val="002A2687"/>
    <w:rsid w:val="002A4207"/>
    <w:rsid w:val="002A4222"/>
    <w:rsid w:val="002A578B"/>
    <w:rsid w:val="002A5B0E"/>
    <w:rsid w:val="002A5C23"/>
    <w:rsid w:val="002A5DD6"/>
    <w:rsid w:val="002B1AA9"/>
    <w:rsid w:val="002B2847"/>
    <w:rsid w:val="002B2999"/>
    <w:rsid w:val="002B3340"/>
    <w:rsid w:val="002B5772"/>
    <w:rsid w:val="002B6D1D"/>
    <w:rsid w:val="002C04A9"/>
    <w:rsid w:val="002C0551"/>
    <w:rsid w:val="002C08D2"/>
    <w:rsid w:val="002C09C5"/>
    <w:rsid w:val="002C1066"/>
    <w:rsid w:val="002C1255"/>
    <w:rsid w:val="002C175F"/>
    <w:rsid w:val="002C257D"/>
    <w:rsid w:val="002C2774"/>
    <w:rsid w:val="002C381D"/>
    <w:rsid w:val="002C3941"/>
    <w:rsid w:val="002C7102"/>
    <w:rsid w:val="002C7533"/>
    <w:rsid w:val="002C7F0E"/>
    <w:rsid w:val="002D1069"/>
    <w:rsid w:val="002D2864"/>
    <w:rsid w:val="002D6707"/>
    <w:rsid w:val="002D79A7"/>
    <w:rsid w:val="002E1578"/>
    <w:rsid w:val="002E24BC"/>
    <w:rsid w:val="002E3A2D"/>
    <w:rsid w:val="002E3D5D"/>
    <w:rsid w:val="002E3F68"/>
    <w:rsid w:val="002E42C7"/>
    <w:rsid w:val="002E56E3"/>
    <w:rsid w:val="002E5C16"/>
    <w:rsid w:val="002E73E7"/>
    <w:rsid w:val="002F0AA7"/>
    <w:rsid w:val="002F0D28"/>
    <w:rsid w:val="002F1B28"/>
    <w:rsid w:val="002F21BE"/>
    <w:rsid w:val="002F2583"/>
    <w:rsid w:val="002F279A"/>
    <w:rsid w:val="002F2C1A"/>
    <w:rsid w:val="002F4868"/>
    <w:rsid w:val="002F4F5B"/>
    <w:rsid w:val="002F68FE"/>
    <w:rsid w:val="00300DF8"/>
    <w:rsid w:val="00301148"/>
    <w:rsid w:val="00301198"/>
    <w:rsid w:val="00301487"/>
    <w:rsid w:val="00303156"/>
    <w:rsid w:val="0030349D"/>
    <w:rsid w:val="00304358"/>
    <w:rsid w:val="0030571A"/>
    <w:rsid w:val="00307450"/>
    <w:rsid w:val="00307743"/>
    <w:rsid w:val="0030794F"/>
    <w:rsid w:val="00307B3D"/>
    <w:rsid w:val="003107AB"/>
    <w:rsid w:val="0031127A"/>
    <w:rsid w:val="00313EEC"/>
    <w:rsid w:val="0031410C"/>
    <w:rsid w:val="00314535"/>
    <w:rsid w:val="00314E42"/>
    <w:rsid w:val="00315192"/>
    <w:rsid w:val="003154E8"/>
    <w:rsid w:val="00315C29"/>
    <w:rsid w:val="003164DD"/>
    <w:rsid w:val="00316533"/>
    <w:rsid w:val="0031664C"/>
    <w:rsid w:val="0031709A"/>
    <w:rsid w:val="00317F86"/>
    <w:rsid w:val="00320807"/>
    <w:rsid w:val="00322E59"/>
    <w:rsid w:val="00324997"/>
    <w:rsid w:val="003256B1"/>
    <w:rsid w:val="00331184"/>
    <w:rsid w:val="00331545"/>
    <w:rsid w:val="003316A8"/>
    <w:rsid w:val="00332D45"/>
    <w:rsid w:val="003330E6"/>
    <w:rsid w:val="0033318C"/>
    <w:rsid w:val="0033333E"/>
    <w:rsid w:val="00333830"/>
    <w:rsid w:val="00335442"/>
    <w:rsid w:val="003364D8"/>
    <w:rsid w:val="00336606"/>
    <w:rsid w:val="003368C0"/>
    <w:rsid w:val="003416B4"/>
    <w:rsid w:val="00341D46"/>
    <w:rsid w:val="00342422"/>
    <w:rsid w:val="0034257D"/>
    <w:rsid w:val="0034332F"/>
    <w:rsid w:val="00343439"/>
    <w:rsid w:val="00343B53"/>
    <w:rsid w:val="003450CE"/>
    <w:rsid w:val="003459E9"/>
    <w:rsid w:val="00345DFC"/>
    <w:rsid w:val="00346BA7"/>
    <w:rsid w:val="00347154"/>
    <w:rsid w:val="00351D8E"/>
    <w:rsid w:val="00354915"/>
    <w:rsid w:val="003555F7"/>
    <w:rsid w:val="00355895"/>
    <w:rsid w:val="00356255"/>
    <w:rsid w:val="00357826"/>
    <w:rsid w:val="003609D5"/>
    <w:rsid w:val="00361873"/>
    <w:rsid w:val="00362630"/>
    <w:rsid w:val="003643B9"/>
    <w:rsid w:val="00364E30"/>
    <w:rsid w:val="00367FA9"/>
    <w:rsid w:val="00370550"/>
    <w:rsid w:val="00371A9C"/>
    <w:rsid w:val="00372031"/>
    <w:rsid w:val="00373203"/>
    <w:rsid w:val="003737C4"/>
    <w:rsid w:val="003738C2"/>
    <w:rsid w:val="00374AB0"/>
    <w:rsid w:val="00375C06"/>
    <w:rsid w:val="00376AF1"/>
    <w:rsid w:val="00377AF7"/>
    <w:rsid w:val="003819AC"/>
    <w:rsid w:val="003838B8"/>
    <w:rsid w:val="00384125"/>
    <w:rsid w:val="00385254"/>
    <w:rsid w:val="00385A83"/>
    <w:rsid w:val="00385E85"/>
    <w:rsid w:val="00386491"/>
    <w:rsid w:val="0038657C"/>
    <w:rsid w:val="00386A97"/>
    <w:rsid w:val="0039118D"/>
    <w:rsid w:val="0039182E"/>
    <w:rsid w:val="00391AC8"/>
    <w:rsid w:val="00392FB4"/>
    <w:rsid w:val="00394DFF"/>
    <w:rsid w:val="0039579D"/>
    <w:rsid w:val="00395C05"/>
    <w:rsid w:val="00396746"/>
    <w:rsid w:val="00396A93"/>
    <w:rsid w:val="003A0250"/>
    <w:rsid w:val="003A04CD"/>
    <w:rsid w:val="003A11AB"/>
    <w:rsid w:val="003A1F14"/>
    <w:rsid w:val="003A365A"/>
    <w:rsid w:val="003A3974"/>
    <w:rsid w:val="003A3DA7"/>
    <w:rsid w:val="003A5838"/>
    <w:rsid w:val="003A5D8C"/>
    <w:rsid w:val="003A6B5E"/>
    <w:rsid w:val="003B035D"/>
    <w:rsid w:val="003B0BC2"/>
    <w:rsid w:val="003B1F83"/>
    <w:rsid w:val="003B37BB"/>
    <w:rsid w:val="003B65C1"/>
    <w:rsid w:val="003B75C2"/>
    <w:rsid w:val="003B79BB"/>
    <w:rsid w:val="003C36AC"/>
    <w:rsid w:val="003C373C"/>
    <w:rsid w:val="003C7A87"/>
    <w:rsid w:val="003C7EF9"/>
    <w:rsid w:val="003D35F6"/>
    <w:rsid w:val="003D5025"/>
    <w:rsid w:val="003D5615"/>
    <w:rsid w:val="003D68D5"/>
    <w:rsid w:val="003D7050"/>
    <w:rsid w:val="003D737D"/>
    <w:rsid w:val="003E14CF"/>
    <w:rsid w:val="003E232F"/>
    <w:rsid w:val="003E25CF"/>
    <w:rsid w:val="003E25E6"/>
    <w:rsid w:val="003E409F"/>
    <w:rsid w:val="003E684C"/>
    <w:rsid w:val="003E79B4"/>
    <w:rsid w:val="003F015E"/>
    <w:rsid w:val="003F168A"/>
    <w:rsid w:val="003F5048"/>
    <w:rsid w:val="003F587C"/>
    <w:rsid w:val="003F59C7"/>
    <w:rsid w:val="003F5D1B"/>
    <w:rsid w:val="003F7AF5"/>
    <w:rsid w:val="003F7DA7"/>
    <w:rsid w:val="004000E9"/>
    <w:rsid w:val="00400308"/>
    <w:rsid w:val="0040055B"/>
    <w:rsid w:val="00401150"/>
    <w:rsid w:val="004016DA"/>
    <w:rsid w:val="004035DA"/>
    <w:rsid w:val="0040532B"/>
    <w:rsid w:val="00406258"/>
    <w:rsid w:val="00407D59"/>
    <w:rsid w:val="00407E77"/>
    <w:rsid w:val="00411C15"/>
    <w:rsid w:val="0041257E"/>
    <w:rsid w:val="0041525E"/>
    <w:rsid w:val="00415939"/>
    <w:rsid w:val="00420742"/>
    <w:rsid w:val="00421005"/>
    <w:rsid w:val="0042397D"/>
    <w:rsid w:val="00426625"/>
    <w:rsid w:val="00426C73"/>
    <w:rsid w:val="00431039"/>
    <w:rsid w:val="00431372"/>
    <w:rsid w:val="00431996"/>
    <w:rsid w:val="00431D84"/>
    <w:rsid w:val="00433564"/>
    <w:rsid w:val="00433A69"/>
    <w:rsid w:val="00433E16"/>
    <w:rsid w:val="00434CDA"/>
    <w:rsid w:val="00434F98"/>
    <w:rsid w:val="00437CA3"/>
    <w:rsid w:val="0044027B"/>
    <w:rsid w:val="004408F8"/>
    <w:rsid w:val="00444993"/>
    <w:rsid w:val="00445E8B"/>
    <w:rsid w:val="0044648F"/>
    <w:rsid w:val="00446DA2"/>
    <w:rsid w:val="00446FF6"/>
    <w:rsid w:val="0045000D"/>
    <w:rsid w:val="00450260"/>
    <w:rsid w:val="00450EC4"/>
    <w:rsid w:val="004516CC"/>
    <w:rsid w:val="00453143"/>
    <w:rsid w:val="00454703"/>
    <w:rsid w:val="004562C2"/>
    <w:rsid w:val="0045723F"/>
    <w:rsid w:val="0045727F"/>
    <w:rsid w:val="00457843"/>
    <w:rsid w:val="00462002"/>
    <w:rsid w:val="0046212F"/>
    <w:rsid w:val="00462733"/>
    <w:rsid w:val="00463227"/>
    <w:rsid w:val="00463973"/>
    <w:rsid w:val="00465978"/>
    <w:rsid w:val="00466674"/>
    <w:rsid w:val="00466BCB"/>
    <w:rsid w:val="0046701C"/>
    <w:rsid w:val="00471113"/>
    <w:rsid w:val="00471200"/>
    <w:rsid w:val="004713FA"/>
    <w:rsid w:val="00471661"/>
    <w:rsid w:val="00472DD2"/>
    <w:rsid w:val="00472FF8"/>
    <w:rsid w:val="00473897"/>
    <w:rsid w:val="004755B3"/>
    <w:rsid w:val="00475F03"/>
    <w:rsid w:val="00476B09"/>
    <w:rsid w:val="00477C46"/>
    <w:rsid w:val="00480317"/>
    <w:rsid w:val="004804B3"/>
    <w:rsid w:val="00480D0B"/>
    <w:rsid w:val="004818EF"/>
    <w:rsid w:val="004819EB"/>
    <w:rsid w:val="00481E06"/>
    <w:rsid w:val="004820E9"/>
    <w:rsid w:val="00483119"/>
    <w:rsid w:val="0048361F"/>
    <w:rsid w:val="00483627"/>
    <w:rsid w:val="004845D0"/>
    <w:rsid w:val="004849BA"/>
    <w:rsid w:val="0048505F"/>
    <w:rsid w:val="004852FF"/>
    <w:rsid w:val="00485745"/>
    <w:rsid w:val="004858BD"/>
    <w:rsid w:val="00485BBC"/>
    <w:rsid w:val="004867C7"/>
    <w:rsid w:val="0048741A"/>
    <w:rsid w:val="00487DA4"/>
    <w:rsid w:val="004902AA"/>
    <w:rsid w:val="00490734"/>
    <w:rsid w:val="00490BF4"/>
    <w:rsid w:val="00491C09"/>
    <w:rsid w:val="00491D09"/>
    <w:rsid w:val="00492398"/>
    <w:rsid w:val="00494E73"/>
    <w:rsid w:val="004A1026"/>
    <w:rsid w:val="004A14F6"/>
    <w:rsid w:val="004A1DC0"/>
    <w:rsid w:val="004A2830"/>
    <w:rsid w:val="004A31A5"/>
    <w:rsid w:val="004A3E7E"/>
    <w:rsid w:val="004A4A45"/>
    <w:rsid w:val="004A5F44"/>
    <w:rsid w:val="004B0805"/>
    <w:rsid w:val="004B08C1"/>
    <w:rsid w:val="004B115C"/>
    <w:rsid w:val="004B37E4"/>
    <w:rsid w:val="004B4948"/>
    <w:rsid w:val="004B4FB1"/>
    <w:rsid w:val="004B5101"/>
    <w:rsid w:val="004B514C"/>
    <w:rsid w:val="004B6A44"/>
    <w:rsid w:val="004B7182"/>
    <w:rsid w:val="004B7597"/>
    <w:rsid w:val="004B7E95"/>
    <w:rsid w:val="004C00D8"/>
    <w:rsid w:val="004C2341"/>
    <w:rsid w:val="004C34E2"/>
    <w:rsid w:val="004C356A"/>
    <w:rsid w:val="004C3DAD"/>
    <w:rsid w:val="004C410A"/>
    <w:rsid w:val="004C5923"/>
    <w:rsid w:val="004C6116"/>
    <w:rsid w:val="004C6979"/>
    <w:rsid w:val="004C7C61"/>
    <w:rsid w:val="004D0DFD"/>
    <w:rsid w:val="004D1411"/>
    <w:rsid w:val="004D1FBE"/>
    <w:rsid w:val="004D458C"/>
    <w:rsid w:val="004D4A86"/>
    <w:rsid w:val="004D4E0F"/>
    <w:rsid w:val="004D5B62"/>
    <w:rsid w:val="004D5B75"/>
    <w:rsid w:val="004D7664"/>
    <w:rsid w:val="004E074F"/>
    <w:rsid w:val="004E2A9A"/>
    <w:rsid w:val="004E3FD6"/>
    <w:rsid w:val="004E583B"/>
    <w:rsid w:val="004E63AD"/>
    <w:rsid w:val="004E6427"/>
    <w:rsid w:val="004E6630"/>
    <w:rsid w:val="004E6CB3"/>
    <w:rsid w:val="004E7625"/>
    <w:rsid w:val="004E7E43"/>
    <w:rsid w:val="004E7EC4"/>
    <w:rsid w:val="004F072D"/>
    <w:rsid w:val="004F0D07"/>
    <w:rsid w:val="004F12F1"/>
    <w:rsid w:val="004F1662"/>
    <w:rsid w:val="004F1956"/>
    <w:rsid w:val="004F4743"/>
    <w:rsid w:val="004F58B3"/>
    <w:rsid w:val="004F5FC6"/>
    <w:rsid w:val="004F69FA"/>
    <w:rsid w:val="004F76CC"/>
    <w:rsid w:val="004F7E42"/>
    <w:rsid w:val="00500B64"/>
    <w:rsid w:val="005037B2"/>
    <w:rsid w:val="00503D54"/>
    <w:rsid w:val="0050442F"/>
    <w:rsid w:val="0050455E"/>
    <w:rsid w:val="005047AD"/>
    <w:rsid w:val="00504BB3"/>
    <w:rsid w:val="00506690"/>
    <w:rsid w:val="005066B3"/>
    <w:rsid w:val="005071C6"/>
    <w:rsid w:val="00510860"/>
    <w:rsid w:val="00510B1D"/>
    <w:rsid w:val="0051107D"/>
    <w:rsid w:val="0051254F"/>
    <w:rsid w:val="0051431C"/>
    <w:rsid w:val="0052053F"/>
    <w:rsid w:val="00520BCE"/>
    <w:rsid w:val="005227B5"/>
    <w:rsid w:val="005251AF"/>
    <w:rsid w:val="0052538F"/>
    <w:rsid w:val="00526C07"/>
    <w:rsid w:val="005273A6"/>
    <w:rsid w:val="00527533"/>
    <w:rsid w:val="00527E0E"/>
    <w:rsid w:val="005319D4"/>
    <w:rsid w:val="005323E9"/>
    <w:rsid w:val="00532CD9"/>
    <w:rsid w:val="00533141"/>
    <w:rsid w:val="00533202"/>
    <w:rsid w:val="0053387C"/>
    <w:rsid w:val="00534F74"/>
    <w:rsid w:val="005358B4"/>
    <w:rsid w:val="00536789"/>
    <w:rsid w:val="00536D2F"/>
    <w:rsid w:val="0053758F"/>
    <w:rsid w:val="00540052"/>
    <w:rsid w:val="00541121"/>
    <w:rsid w:val="0054146B"/>
    <w:rsid w:val="005421CE"/>
    <w:rsid w:val="00543DB4"/>
    <w:rsid w:val="00543E08"/>
    <w:rsid w:val="005449AD"/>
    <w:rsid w:val="00544B79"/>
    <w:rsid w:val="00544F2F"/>
    <w:rsid w:val="00545861"/>
    <w:rsid w:val="00546114"/>
    <w:rsid w:val="00547FC4"/>
    <w:rsid w:val="00550116"/>
    <w:rsid w:val="005505ED"/>
    <w:rsid w:val="005508FF"/>
    <w:rsid w:val="00550BBB"/>
    <w:rsid w:val="00552C71"/>
    <w:rsid w:val="0055327E"/>
    <w:rsid w:val="0055403C"/>
    <w:rsid w:val="00555003"/>
    <w:rsid w:val="0055689B"/>
    <w:rsid w:val="00563941"/>
    <w:rsid w:val="00564B04"/>
    <w:rsid w:val="00565BE4"/>
    <w:rsid w:val="00565FF5"/>
    <w:rsid w:val="00571160"/>
    <w:rsid w:val="00572470"/>
    <w:rsid w:val="00572AE2"/>
    <w:rsid w:val="00572DFC"/>
    <w:rsid w:val="00573059"/>
    <w:rsid w:val="00573CF0"/>
    <w:rsid w:val="005760B4"/>
    <w:rsid w:val="0057621E"/>
    <w:rsid w:val="00577B05"/>
    <w:rsid w:val="00577BA9"/>
    <w:rsid w:val="00580D6F"/>
    <w:rsid w:val="005810E1"/>
    <w:rsid w:val="005812C6"/>
    <w:rsid w:val="005817C1"/>
    <w:rsid w:val="00581F30"/>
    <w:rsid w:val="00585D69"/>
    <w:rsid w:val="005861D4"/>
    <w:rsid w:val="00586351"/>
    <w:rsid w:val="00587E16"/>
    <w:rsid w:val="0059122C"/>
    <w:rsid w:val="005912B7"/>
    <w:rsid w:val="005948FA"/>
    <w:rsid w:val="005959BE"/>
    <w:rsid w:val="00596210"/>
    <w:rsid w:val="00596286"/>
    <w:rsid w:val="00596999"/>
    <w:rsid w:val="00596CC2"/>
    <w:rsid w:val="00596E5C"/>
    <w:rsid w:val="00597D27"/>
    <w:rsid w:val="005A09DD"/>
    <w:rsid w:val="005A0A29"/>
    <w:rsid w:val="005A0F31"/>
    <w:rsid w:val="005A28A1"/>
    <w:rsid w:val="005A2921"/>
    <w:rsid w:val="005A4359"/>
    <w:rsid w:val="005A46D0"/>
    <w:rsid w:val="005A5315"/>
    <w:rsid w:val="005A6FB5"/>
    <w:rsid w:val="005B011F"/>
    <w:rsid w:val="005B05D5"/>
    <w:rsid w:val="005B0D80"/>
    <w:rsid w:val="005B1794"/>
    <w:rsid w:val="005B25E4"/>
    <w:rsid w:val="005B2F99"/>
    <w:rsid w:val="005B30C1"/>
    <w:rsid w:val="005B30C8"/>
    <w:rsid w:val="005B3173"/>
    <w:rsid w:val="005B428B"/>
    <w:rsid w:val="005B4908"/>
    <w:rsid w:val="005B5E93"/>
    <w:rsid w:val="005B7778"/>
    <w:rsid w:val="005C051F"/>
    <w:rsid w:val="005C2C88"/>
    <w:rsid w:val="005C30D6"/>
    <w:rsid w:val="005C3916"/>
    <w:rsid w:val="005C3C38"/>
    <w:rsid w:val="005C41AF"/>
    <w:rsid w:val="005C52A6"/>
    <w:rsid w:val="005C5A6B"/>
    <w:rsid w:val="005C5D36"/>
    <w:rsid w:val="005C66F4"/>
    <w:rsid w:val="005C6E7B"/>
    <w:rsid w:val="005C6EB4"/>
    <w:rsid w:val="005C762E"/>
    <w:rsid w:val="005D098C"/>
    <w:rsid w:val="005D2283"/>
    <w:rsid w:val="005D2B81"/>
    <w:rsid w:val="005D3FD9"/>
    <w:rsid w:val="005D45CC"/>
    <w:rsid w:val="005D4B74"/>
    <w:rsid w:val="005D5996"/>
    <w:rsid w:val="005D5BA6"/>
    <w:rsid w:val="005D6A27"/>
    <w:rsid w:val="005D7DBE"/>
    <w:rsid w:val="005E134E"/>
    <w:rsid w:val="005E137A"/>
    <w:rsid w:val="005E2139"/>
    <w:rsid w:val="005E2451"/>
    <w:rsid w:val="005E30C5"/>
    <w:rsid w:val="005E3380"/>
    <w:rsid w:val="005E46BB"/>
    <w:rsid w:val="005E49C8"/>
    <w:rsid w:val="005E7094"/>
    <w:rsid w:val="005F269A"/>
    <w:rsid w:val="005F661F"/>
    <w:rsid w:val="006001CC"/>
    <w:rsid w:val="0060078E"/>
    <w:rsid w:val="00602B4D"/>
    <w:rsid w:val="00603C94"/>
    <w:rsid w:val="006048E0"/>
    <w:rsid w:val="00604FAD"/>
    <w:rsid w:val="0060555B"/>
    <w:rsid w:val="00605628"/>
    <w:rsid w:val="0060662A"/>
    <w:rsid w:val="006068CD"/>
    <w:rsid w:val="00606C27"/>
    <w:rsid w:val="00606ECB"/>
    <w:rsid w:val="006077FE"/>
    <w:rsid w:val="00607BC8"/>
    <w:rsid w:val="00607E26"/>
    <w:rsid w:val="00612789"/>
    <w:rsid w:val="0061284F"/>
    <w:rsid w:val="0061308E"/>
    <w:rsid w:val="006130BD"/>
    <w:rsid w:val="00613D24"/>
    <w:rsid w:val="00614154"/>
    <w:rsid w:val="00614BDA"/>
    <w:rsid w:val="00614CFD"/>
    <w:rsid w:val="006162CD"/>
    <w:rsid w:val="006176DA"/>
    <w:rsid w:val="006204DB"/>
    <w:rsid w:val="006214A9"/>
    <w:rsid w:val="006216F5"/>
    <w:rsid w:val="00621AFB"/>
    <w:rsid w:val="00624326"/>
    <w:rsid w:val="0062589A"/>
    <w:rsid w:val="006307C7"/>
    <w:rsid w:val="006327B3"/>
    <w:rsid w:val="00632B82"/>
    <w:rsid w:val="006331B4"/>
    <w:rsid w:val="00633748"/>
    <w:rsid w:val="00633EB1"/>
    <w:rsid w:val="006343F3"/>
    <w:rsid w:val="00636966"/>
    <w:rsid w:val="006379D5"/>
    <w:rsid w:val="00640CF2"/>
    <w:rsid w:val="006417D6"/>
    <w:rsid w:val="006420D1"/>
    <w:rsid w:val="00642906"/>
    <w:rsid w:val="006433D3"/>
    <w:rsid w:val="00643582"/>
    <w:rsid w:val="0064391D"/>
    <w:rsid w:val="00643B75"/>
    <w:rsid w:val="00643BC5"/>
    <w:rsid w:val="006457EF"/>
    <w:rsid w:val="006505FA"/>
    <w:rsid w:val="00650F96"/>
    <w:rsid w:val="006512B7"/>
    <w:rsid w:val="00651C22"/>
    <w:rsid w:val="00655679"/>
    <w:rsid w:val="00655965"/>
    <w:rsid w:val="00655B4D"/>
    <w:rsid w:val="00655ED5"/>
    <w:rsid w:val="0065631D"/>
    <w:rsid w:val="0065716F"/>
    <w:rsid w:val="00657199"/>
    <w:rsid w:val="0066041E"/>
    <w:rsid w:val="00661F43"/>
    <w:rsid w:val="0066299A"/>
    <w:rsid w:val="00662A54"/>
    <w:rsid w:val="00663156"/>
    <w:rsid w:val="00664976"/>
    <w:rsid w:val="006656E3"/>
    <w:rsid w:val="00665734"/>
    <w:rsid w:val="00665EBF"/>
    <w:rsid w:val="00665FAD"/>
    <w:rsid w:val="00667421"/>
    <w:rsid w:val="00667D01"/>
    <w:rsid w:val="00671977"/>
    <w:rsid w:val="00671D80"/>
    <w:rsid w:val="00672EFB"/>
    <w:rsid w:val="00672F86"/>
    <w:rsid w:val="00673258"/>
    <w:rsid w:val="006739CF"/>
    <w:rsid w:val="00673B87"/>
    <w:rsid w:val="00673BC9"/>
    <w:rsid w:val="00674B84"/>
    <w:rsid w:val="00674BE3"/>
    <w:rsid w:val="00676D89"/>
    <w:rsid w:val="0067752C"/>
    <w:rsid w:val="006776A2"/>
    <w:rsid w:val="0068012C"/>
    <w:rsid w:val="006801A6"/>
    <w:rsid w:val="0068124B"/>
    <w:rsid w:val="00681610"/>
    <w:rsid w:val="0068343C"/>
    <w:rsid w:val="00685CCC"/>
    <w:rsid w:val="00685D36"/>
    <w:rsid w:val="00685FAA"/>
    <w:rsid w:val="006870BC"/>
    <w:rsid w:val="00687304"/>
    <w:rsid w:val="006902EC"/>
    <w:rsid w:val="006906A8"/>
    <w:rsid w:val="00692C71"/>
    <w:rsid w:val="006931A0"/>
    <w:rsid w:val="006935BC"/>
    <w:rsid w:val="00696233"/>
    <w:rsid w:val="0069694D"/>
    <w:rsid w:val="00696E55"/>
    <w:rsid w:val="006A0B0E"/>
    <w:rsid w:val="006A174E"/>
    <w:rsid w:val="006A3A9C"/>
    <w:rsid w:val="006A3CC5"/>
    <w:rsid w:val="006A4212"/>
    <w:rsid w:val="006A721F"/>
    <w:rsid w:val="006A7CCF"/>
    <w:rsid w:val="006B0581"/>
    <w:rsid w:val="006B0B13"/>
    <w:rsid w:val="006B0F36"/>
    <w:rsid w:val="006B2224"/>
    <w:rsid w:val="006B2C0D"/>
    <w:rsid w:val="006B30FD"/>
    <w:rsid w:val="006B366D"/>
    <w:rsid w:val="006B4004"/>
    <w:rsid w:val="006B4254"/>
    <w:rsid w:val="006B47A3"/>
    <w:rsid w:val="006B513F"/>
    <w:rsid w:val="006B5BC8"/>
    <w:rsid w:val="006B5BF7"/>
    <w:rsid w:val="006B5CB4"/>
    <w:rsid w:val="006B6DCF"/>
    <w:rsid w:val="006B791B"/>
    <w:rsid w:val="006B7985"/>
    <w:rsid w:val="006C0A22"/>
    <w:rsid w:val="006C195D"/>
    <w:rsid w:val="006C249D"/>
    <w:rsid w:val="006C2865"/>
    <w:rsid w:val="006C2922"/>
    <w:rsid w:val="006C299C"/>
    <w:rsid w:val="006C41A3"/>
    <w:rsid w:val="006C4793"/>
    <w:rsid w:val="006C6CD2"/>
    <w:rsid w:val="006D35F4"/>
    <w:rsid w:val="006D36FB"/>
    <w:rsid w:val="006D3F62"/>
    <w:rsid w:val="006D42ED"/>
    <w:rsid w:val="006D4B59"/>
    <w:rsid w:val="006D4B86"/>
    <w:rsid w:val="006D6BF2"/>
    <w:rsid w:val="006D6DB1"/>
    <w:rsid w:val="006D73F1"/>
    <w:rsid w:val="006D768A"/>
    <w:rsid w:val="006D792E"/>
    <w:rsid w:val="006D7F6A"/>
    <w:rsid w:val="006E08B1"/>
    <w:rsid w:val="006E2A29"/>
    <w:rsid w:val="006E3514"/>
    <w:rsid w:val="006E36F1"/>
    <w:rsid w:val="006E3A6D"/>
    <w:rsid w:val="006E4AC5"/>
    <w:rsid w:val="006E7647"/>
    <w:rsid w:val="006F014A"/>
    <w:rsid w:val="006F0F9F"/>
    <w:rsid w:val="006F162C"/>
    <w:rsid w:val="006F1DA8"/>
    <w:rsid w:val="006F2BD5"/>
    <w:rsid w:val="006F48C9"/>
    <w:rsid w:val="006F4CFA"/>
    <w:rsid w:val="006F5310"/>
    <w:rsid w:val="006F6757"/>
    <w:rsid w:val="006F696E"/>
    <w:rsid w:val="006F6B91"/>
    <w:rsid w:val="006F792A"/>
    <w:rsid w:val="00700594"/>
    <w:rsid w:val="007013BF"/>
    <w:rsid w:val="00701E22"/>
    <w:rsid w:val="00702B1B"/>
    <w:rsid w:val="00702BB5"/>
    <w:rsid w:val="007040CB"/>
    <w:rsid w:val="007046E8"/>
    <w:rsid w:val="007049D7"/>
    <w:rsid w:val="0070523B"/>
    <w:rsid w:val="0070588C"/>
    <w:rsid w:val="00706D35"/>
    <w:rsid w:val="00707609"/>
    <w:rsid w:val="00707D16"/>
    <w:rsid w:val="00711157"/>
    <w:rsid w:val="00713056"/>
    <w:rsid w:val="00713B49"/>
    <w:rsid w:val="007146EA"/>
    <w:rsid w:val="00714886"/>
    <w:rsid w:val="007151B3"/>
    <w:rsid w:val="00715E8A"/>
    <w:rsid w:val="00715F07"/>
    <w:rsid w:val="00717226"/>
    <w:rsid w:val="00720CCD"/>
    <w:rsid w:val="00720FDD"/>
    <w:rsid w:val="00722253"/>
    <w:rsid w:val="00722883"/>
    <w:rsid w:val="00722F07"/>
    <w:rsid w:val="00722FF1"/>
    <w:rsid w:val="00723AF0"/>
    <w:rsid w:val="00724A3B"/>
    <w:rsid w:val="00724D1E"/>
    <w:rsid w:val="00724F58"/>
    <w:rsid w:val="0072618B"/>
    <w:rsid w:val="00727911"/>
    <w:rsid w:val="0073007E"/>
    <w:rsid w:val="007311E2"/>
    <w:rsid w:val="00731E0D"/>
    <w:rsid w:val="00732519"/>
    <w:rsid w:val="0073365B"/>
    <w:rsid w:val="0073387A"/>
    <w:rsid w:val="007344AD"/>
    <w:rsid w:val="00734F5A"/>
    <w:rsid w:val="0073520C"/>
    <w:rsid w:val="00735BFC"/>
    <w:rsid w:val="00736871"/>
    <w:rsid w:val="00736958"/>
    <w:rsid w:val="00736D97"/>
    <w:rsid w:val="00737335"/>
    <w:rsid w:val="00737B10"/>
    <w:rsid w:val="00737CEF"/>
    <w:rsid w:val="00737DDA"/>
    <w:rsid w:val="00737EBC"/>
    <w:rsid w:val="00740961"/>
    <w:rsid w:val="007417F9"/>
    <w:rsid w:val="0074201D"/>
    <w:rsid w:val="007449BB"/>
    <w:rsid w:val="00746B57"/>
    <w:rsid w:val="00747455"/>
    <w:rsid w:val="007475C2"/>
    <w:rsid w:val="00747D90"/>
    <w:rsid w:val="00750803"/>
    <w:rsid w:val="00751CB9"/>
    <w:rsid w:val="007545FB"/>
    <w:rsid w:val="0075624F"/>
    <w:rsid w:val="007567ED"/>
    <w:rsid w:val="00756D96"/>
    <w:rsid w:val="007600CA"/>
    <w:rsid w:val="00763641"/>
    <w:rsid w:val="00763A57"/>
    <w:rsid w:val="007641A2"/>
    <w:rsid w:val="0076588C"/>
    <w:rsid w:val="007668BA"/>
    <w:rsid w:val="0076753A"/>
    <w:rsid w:val="00770596"/>
    <w:rsid w:val="0077277D"/>
    <w:rsid w:val="00772E6E"/>
    <w:rsid w:val="0077315E"/>
    <w:rsid w:val="007747D4"/>
    <w:rsid w:val="00774963"/>
    <w:rsid w:val="007750FC"/>
    <w:rsid w:val="007763CD"/>
    <w:rsid w:val="00780AB3"/>
    <w:rsid w:val="00781B7F"/>
    <w:rsid w:val="00782CBE"/>
    <w:rsid w:val="00782DCB"/>
    <w:rsid w:val="00784156"/>
    <w:rsid w:val="007844E7"/>
    <w:rsid w:val="00784810"/>
    <w:rsid w:val="007853DA"/>
    <w:rsid w:val="007860E5"/>
    <w:rsid w:val="00791535"/>
    <w:rsid w:val="00792110"/>
    <w:rsid w:val="007924B3"/>
    <w:rsid w:val="007927DB"/>
    <w:rsid w:val="00793320"/>
    <w:rsid w:val="007933B3"/>
    <w:rsid w:val="00794753"/>
    <w:rsid w:val="00794D72"/>
    <w:rsid w:val="00796250"/>
    <w:rsid w:val="0079656D"/>
    <w:rsid w:val="007A0196"/>
    <w:rsid w:val="007A048E"/>
    <w:rsid w:val="007A0777"/>
    <w:rsid w:val="007A113D"/>
    <w:rsid w:val="007A19AF"/>
    <w:rsid w:val="007A1E9D"/>
    <w:rsid w:val="007A2676"/>
    <w:rsid w:val="007A2801"/>
    <w:rsid w:val="007A2DFD"/>
    <w:rsid w:val="007A4EEE"/>
    <w:rsid w:val="007A6D85"/>
    <w:rsid w:val="007A6DAA"/>
    <w:rsid w:val="007A6E76"/>
    <w:rsid w:val="007A7EC8"/>
    <w:rsid w:val="007B032C"/>
    <w:rsid w:val="007B0997"/>
    <w:rsid w:val="007B1AF8"/>
    <w:rsid w:val="007B2A16"/>
    <w:rsid w:val="007B41DE"/>
    <w:rsid w:val="007B4B3F"/>
    <w:rsid w:val="007B787D"/>
    <w:rsid w:val="007B7B7B"/>
    <w:rsid w:val="007C27AF"/>
    <w:rsid w:val="007C3165"/>
    <w:rsid w:val="007C58D6"/>
    <w:rsid w:val="007C5B12"/>
    <w:rsid w:val="007C5F78"/>
    <w:rsid w:val="007C732D"/>
    <w:rsid w:val="007C7893"/>
    <w:rsid w:val="007D05B8"/>
    <w:rsid w:val="007D1008"/>
    <w:rsid w:val="007D3A7A"/>
    <w:rsid w:val="007D4576"/>
    <w:rsid w:val="007D5B27"/>
    <w:rsid w:val="007D5C80"/>
    <w:rsid w:val="007D62AE"/>
    <w:rsid w:val="007D76B5"/>
    <w:rsid w:val="007E013D"/>
    <w:rsid w:val="007E0ABE"/>
    <w:rsid w:val="007E12BB"/>
    <w:rsid w:val="007E2754"/>
    <w:rsid w:val="007E34F9"/>
    <w:rsid w:val="007E3EC1"/>
    <w:rsid w:val="007E4589"/>
    <w:rsid w:val="007E5818"/>
    <w:rsid w:val="007E59C2"/>
    <w:rsid w:val="007E60A8"/>
    <w:rsid w:val="007E61A7"/>
    <w:rsid w:val="007E65D7"/>
    <w:rsid w:val="007F0491"/>
    <w:rsid w:val="007F1B31"/>
    <w:rsid w:val="007F2891"/>
    <w:rsid w:val="007F30D9"/>
    <w:rsid w:val="007F4403"/>
    <w:rsid w:val="007F6B1A"/>
    <w:rsid w:val="007F70BC"/>
    <w:rsid w:val="0080089C"/>
    <w:rsid w:val="00801D49"/>
    <w:rsid w:val="00803318"/>
    <w:rsid w:val="00803456"/>
    <w:rsid w:val="00803505"/>
    <w:rsid w:val="00803DA3"/>
    <w:rsid w:val="0080401A"/>
    <w:rsid w:val="008044FC"/>
    <w:rsid w:val="00806783"/>
    <w:rsid w:val="00806979"/>
    <w:rsid w:val="00811BBD"/>
    <w:rsid w:val="00812119"/>
    <w:rsid w:val="00812232"/>
    <w:rsid w:val="00812976"/>
    <w:rsid w:val="00812FA9"/>
    <w:rsid w:val="008149C9"/>
    <w:rsid w:val="00814DEF"/>
    <w:rsid w:val="008155E1"/>
    <w:rsid w:val="00815A3F"/>
    <w:rsid w:val="00821A9C"/>
    <w:rsid w:val="0082239E"/>
    <w:rsid w:val="0082278B"/>
    <w:rsid w:val="00824E89"/>
    <w:rsid w:val="00825785"/>
    <w:rsid w:val="00825A87"/>
    <w:rsid w:val="00825A99"/>
    <w:rsid w:val="00826481"/>
    <w:rsid w:val="00826A95"/>
    <w:rsid w:val="00831B9B"/>
    <w:rsid w:val="0083456B"/>
    <w:rsid w:val="00835008"/>
    <w:rsid w:val="0083666F"/>
    <w:rsid w:val="0084051B"/>
    <w:rsid w:val="00840961"/>
    <w:rsid w:val="0084150F"/>
    <w:rsid w:val="0084159C"/>
    <w:rsid w:val="00842627"/>
    <w:rsid w:val="00842A7E"/>
    <w:rsid w:val="00844D3D"/>
    <w:rsid w:val="0084532E"/>
    <w:rsid w:val="00845810"/>
    <w:rsid w:val="00845F3C"/>
    <w:rsid w:val="00846159"/>
    <w:rsid w:val="0084638B"/>
    <w:rsid w:val="008476CA"/>
    <w:rsid w:val="008505C3"/>
    <w:rsid w:val="00851455"/>
    <w:rsid w:val="00851677"/>
    <w:rsid w:val="008522C6"/>
    <w:rsid w:val="00852CD5"/>
    <w:rsid w:val="00852E40"/>
    <w:rsid w:val="00854363"/>
    <w:rsid w:val="00855B42"/>
    <w:rsid w:val="00855E8A"/>
    <w:rsid w:val="0085650F"/>
    <w:rsid w:val="008573B9"/>
    <w:rsid w:val="00857A90"/>
    <w:rsid w:val="00857CDD"/>
    <w:rsid w:val="00860529"/>
    <w:rsid w:val="00860EA8"/>
    <w:rsid w:val="00864022"/>
    <w:rsid w:val="00864287"/>
    <w:rsid w:val="0086472B"/>
    <w:rsid w:val="00864B8F"/>
    <w:rsid w:val="008669C9"/>
    <w:rsid w:val="00867294"/>
    <w:rsid w:val="0087090E"/>
    <w:rsid w:val="008710A3"/>
    <w:rsid w:val="008710DB"/>
    <w:rsid w:val="008711BF"/>
    <w:rsid w:val="00871DAA"/>
    <w:rsid w:val="008733EC"/>
    <w:rsid w:val="0087368E"/>
    <w:rsid w:val="00873762"/>
    <w:rsid w:val="00873C48"/>
    <w:rsid w:val="00875720"/>
    <w:rsid w:val="0087626B"/>
    <w:rsid w:val="008800AD"/>
    <w:rsid w:val="008802D9"/>
    <w:rsid w:val="00880B03"/>
    <w:rsid w:val="00880B98"/>
    <w:rsid w:val="00881DEB"/>
    <w:rsid w:val="00881F26"/>
    <w:rsid w:val="008838A1"/>
    <w:rsid w:val="00884C38"/>
    <w:rsid w:val="00885FE9"/>
    <w:rsid w:val="0088685E"/>
    <w:rsid w:val="0088689E"/>
    <w:rsid w:val="00890FE1"/>
    <w:rsid w:val="00891794"/>
    <w:rsid w:val="00891929"/>
    <w:rsid w:val="00891D56"/>
    <w:rsid w:val="00891F14"/>
    <w:rsid w:val="0089229A"/>
    <w:rsid w:val="00892945"/>
    <w:rsid w:val="00893176"/>
    <w:rsid w:val="00895446"/>
    <w:rsid w:val="008955AF"/>
    <w:rsid w:val="00895CC7"/>
    <w:rsid w:val="0089653D"/>
    <w:rsid w:val="008A05E4"/>
    <w:rsid w:val="008A1D48"/>
    <w:rsid w:val="008A1D7B"/>
    <w:rsid w:val="008A2098"/>
    <w:rsid w:val="008A288A"/>
    <w:rsid w:val="008A32D1"/>
    <w:rsid w:val="008A57A0"/>
    <w:rsid w:val="008A7E20"/>
    <w:rsid w:val="008B03D8"/>
    <w:rsid w:val="008B1688"/>
    <w:rsid w:val="008B2218"/>
    <w:rsid w:val="008B28E9"/>
    <w:rsid w:val="008B47BA"/>
    <w:rsid w:val="008B54F2"/>
    <w:rsid w:val="008B5AF3"/>
    <w:rsid w:val="008B61CD"/>
    <w:rsid w:val="008B6562"/>
    <w:rsid w:val="008C0190"/>
    <w:rsid w:val="008C0437"/>
    <w:rsid w:val="008C0AF3"/>
    <w:rsid w:val="008C19F2"/>
    <w:rsid w:val="008C2016"/>
    <w:rsid w:val="008C4C59"/>
    <w:rsid w:val="008C4CB3"/>
    <w:rsid w:val="008C4F0F"/>
    <w:rsid w:val="008C68D1"/>
    <w:rsid w:val="008C6CFD"/>
    <w:rsid w:val="008C7D07"/>
    <w:rsid w:val="008C7F38"/>
    <w:rsid w:val="008D2736"/>
    <w:rsid w:val="008D2C43"/>
    <w:rsid w:val="008D3941"/>
    <w:rsid w:val="008D3B9E"/>
    <w:rsid w:val="008D55C9"/>
    <w:rsid w:val="008D562F"/>
    <w:rsid w:val="008E1190"/>
    <w:rsid w:val="008E14F9"/>
    <w:rsid w:val="008E2978"/>
    <w:rsid w:val="008E377F"/>
    <w:rsid w:val="008E525B"/>
    <w:rsid w:val="008E5427"/>
    <w:rsid w:val="008E6805"/>
    <w:rsid w:val="008E710A"/>
    <w:rsid w:val="008E7460"/>
    <w:rsid w:val="008E7585"/>
    <w:rsid w:val="008F035E"/>
    <w:rsid w:val="008F0C77"/>
    <w:rsid w:val="008F0C7C"/>
    <w:rsid w:val="008F1251"/>
    <w:rsid w:val="008F2E5C"/>
    <w:rsid w:val="008F50C9"/>
    <w:rsid w:val="008F646F"/>
    <w:rsid w:val="00900658"/>
    <w:rsid w:val="00903B57"/>
    <w:rsid w:val="00905603"/>
    <w:rsid w:val="00906982"/>
    <w:rsid w:val="00906C2C"/>
    <w:rsid w:val="009075B8"/>
    <w:rsid w:val="009076D0"/>
    <w:rsid w:val="00910E15"/>
    <w:rsid w:val="00910E86"/>
    <w:rsid w:val="00910F4A"/>
    <w:rsid w:val="009133DC"/>
    <w:rsid w:val="00914F38"/>
    <w:rsid w:val="00915264"/>
    <w:rsid w:val="009163B1"/>
    <w:rsid w:val="00916F50"/>
    <w:rsid w:val="00917286"/>
    <w:rsid w:val="0091774F"/>
    <w:rsid w:val="0091776B"/>
    <w:rsid w:val="00920091"/>
    <w:rsid w:val="00920396"/>
    <w:rsid w:val="00922D4D"/>
    <w:rsid w:val="00924125"/>
    <w:rsid w:val="0092657D"/>
    <w:rsid w:val="00926B65"/>
    <w:rsid w:val="00930C93"/>
    <w:rsid w:val="0093281E"/>
    <w:rsid w:val="00932B67"/>
    <w:rsid w:val="00933768"/>
    <w:rsid w:val="00935018"/>
    <w:rsid w:val="0093671F"/>
    <w:rsid w:val="00937D0C"/>
    <w:rsid w:val="00937F0D"/>
    <w:rsid w:val="00937F77"/>
    <w:rsid w:val="00940DE2"/>
    <w:rsid w:val="00941D1F"/>
    <w:rsid w:val="0094366C"/>
    <w:rsid w:val="00943CDC"/>
    <w:rsid w:val="00944A63"/>
    <w:rsid w:val="00944AB9"/>
    <w:rsid w:val="00945C7D"/>
    <w:rsid w:val="00946090"/>
    <w:rsid w:val="0094666B"/>
    <w:rsid w:val="009469D9"/>
    <w:rsid w:val="00946A80"/>
    <w:rsid w:val="009479C0"/>
    <w:rsid w:val="00950640"/>
    <w:rsid w:val="00950668"/>
    <w:rsid w:val="00950914"/>
    <w:rsid w:val="00950C4C"/>
    <w:rsid w:val="00950C51"/>
    <w:rsid w:val="00951085"/>
    <w:rsid w:val="0095150C"/>
    <w:rsid w:val="00951585"/>
    <w:rsid w:val="00951973"/>
    <w:rsid w:val="0095252E"/>
    <w:rsid w:val="00952591"/>
    <w:rsid w:val="00952919"/>
    <w:rsid w:val="00952C90"/>
    <w:rsid w:val="00953ADF"/>
    <w:rsid w:val="00953B33"/>
    <w:rsid w:val="00953B55"/>
    <w:rsid w:val="009540F5"/>
    <w:rsid w:val="009568AF"/>
    <w:rsid w:val="00957255"/>
    <w:rsid w:val="00957E73"/>
    <w:rsid w:val="0096135C"/>
    <w:rsid w:val="009620D8"/>
    <w:rsid w:val="009627C7"/>
    <w:rsid w:val="00964C39"/>
    <w:rsid w:val="00964CBA"/>
    <w:rsid w:val="00965DAD"/>
    <w:rsid w:val="009665AA"/>
    <w:rsid w:val="00970E70"/>
    <w:rsid w:val="00972A83"/>
    <w:rsid w:val="00973E95"/>
    <w:rsid w:val="0097432F"/>
    <w:rsid w:val="009746D7"/>
    <w:rsid w:val="00974B02"/>
    <w:rsid w:val="009750B3"/>
    <w:rsid w:val="00976597"/>
    <w:rsid w:val="009803E6"/>
    <w:rsid w:val="009808B4"/>
    <w:rsid w:val="00981D43"/>
    <w:rsid w:val="00983EC3"/>
    <w:rsid w:val="00984821"/>
    <w:rsid w:val="009848C9"/>
    <w:rsid w:val="0098493A"/>
    <w:rsid w:val="00990ABD"/>
    <w:rsid w:val="009913EE"/>
    <w:rsid w:val="0099435B"/>
    <w:rsid w:val="00994AE0"/>
    <w:rsid w:val="00994C9B"/>
    <w:rsid w:val="00995C8E"/>
    <w:rsid w:val="00995F86"/>
    <w:rsid w:val="009961A7"/>
    <w:rsid w:val="00996F07"/>
    <w:rsid w:val="0099716A"/>
    <w:rsid w:val="009977D6"/>
    <w:rsid w:val="00997F3F"/>
    <w:rsid w:val="009A0323"/>
    <w:rsid w:val="009A03EA"/>
    <w:rsid w:val="009A0593"/>
    <w:rsid w:val="009A16D0"/>
    <w:rsid w:val="009A198B"/>
    <w:rsid w:val="009A1FD5"/>
    <w:rsid w:val="009A2797"/>
    <w:rsid w:val="009A2C14"/>
    <w:rsid w:val="009A3D97"/>
    <w:rsid w:val="009A3ED6"/>
    <w:rsid w:val="009A4E2D"/>
    <w:rsid w:val="009A598B"/>
    <w:rsid w:val="009A60D5"/>
    <w:rsid w:val="009A67F5"/>
    <w:rsid w:val="009A698B"/>
    <w:rsid w:val="009B0291"/>
    <w:rsid w:val="009B1D50"/>
    <w:rsid w:val="009B2D86"/>
    <w:rsid w:val="009B30B5"/>
    <w:rsid w:val="009B3F94"/>
    <w:rsid w:val="009B4C81"/>
    <w:rsid w:val="009B4D81"/>
    <w:rsid w:val="009B5E70"/>
    <w:rsid w:val="009B621A"/>
    <w:rsid w:val="009B63F2"/>
    <w:rsid w:val="009B672F"/>
    <w:rsid w:val="009B6EAB"/>
    <w:rsid w:val="009B718D"/>
    <w:rsid w:val="009B7D53"/>
    <w:rsid w:val="009C023B"/>
    <w:rsid w:val="009C05CB"/>
    <w:rsid w:val="009C09BB"/>
    <w:rsid w:val="009C0BCC"/>
    <w:rsid w:val="009C288F"/>
    <w:rsid w:val="009C3196"/>
    <w:rsid w:val="009C3FA3"/>
    <w:rsid w:val="009C43CE"/>
    <w:rsid w:val="009C45D9"/>
    <w:rsid w:val="009C4BDF"/>
    <w:rsid w:val="009C6058"/>
    <w:rsid w:val="009C68D2"/>
    <w:rsid w:val="009C6F32"/>
    <w:rsid w:val="009C7441"/>
    <w:rsid w:val="009C774B"/>
    <w:rsid w:val="009C7898"/>
    <w:rsid w:val="009D02C3"/>
    <w:rsid w:val="009D2BEF"/>
    <w:rsid w:val="009D36D4"/>
    <w:rsid w:val="009D44C2"/>
    <w:rsid w:val="009D46DA"/>
    <w:rsid w:val="009D509E"/>
    <w:rsid w:val="009D5168"/>
    <w:rsid w:val="009D7187"/>
    <w:rsid w:val="009D783B"/>
    <w:rsid w:val="009D7893"/>
    <w:rsid w:val="009E01DD"/>
    <w:rsid w:val="009E3AAF"/>
    <w:rsid w:val="009E3F5B"/>
    <w:rsid w:val="009E4B53"/>
    <w:rsid w:val="009E547A"/>
    <w:rsid w:val="009E603D"/>
    <w:rsid w:val="009E6622"/>
    <w:rsid w:val="009F1FB0"/>
    <w:rsid w:val="009F30C8"/>
    <w:rsid w:val="009F340E"/>
    <w:rsid w:val="009F4054"/>
    <w:rsid w:val="009F5D7E"/>
    <w:rsid w:val="009F68E2"/>
    <w:rsid w:val="009F6D91"/>
    <w:rsid w:val="00A016D6"/>
    <w:rsid w:val="00A01746"/>
    <w:rsid w:val="00A02F7D"/>
    <w:rsid w:val="00A03202"/>
    <w:rsid w:val="00A03791"/>
    <w:rsid w:val="00A06657"/>
    <w:rsid w:val="00A110BB"/>
    <w:rsid w:val="00A110ED"/>
    <w:rsid w:val="00A117F4"/>
    <w:rsid w:val="00A11A1C"/>
    <w:rsid w:val="00A121BB"/>
    <w:rsid w:val="00A12607"/>
    <w:rsid w:val="00A12DA0"/>
    <w:rsid w:val="00A134BA"/>
    <w:rsid w:val="00A15077"/>
    <w:rsid w:val="00A1552A"/>
    <w:rsid w:val="00A1666A"/>
    <w:rsid w:val="00A16DFA"/>
    <w:rsid w:val="00A17C0A"/>
    <w:rsid w:val="00A22FA7"/>
    <w:rsid w:val="00A235C9"/>
    <w:rsid w:val="00A238D0"/>
    <w:rsid w:val="00A27360"/>
    <w:rsid w:val="00A3098B"/>
    <w:rsid w:val="00A30AD1"/>
    <w:rsid w:val="00A31E19"/>
    <w:rsid w:val="00A33919"/>
    <w:rsid w:val="00A344B4"/>
    <w:rsid w:val="00A3601F"/>
    <w:rsid w:val="00A36968"/>
    <w:rsid w:val="00A369D2"/>
    <w:rsid w:val="00A40D46"/>
    <w:rsid w:val="00A41149"/>
    <w:rsid w:val="00A41416"/>
    <w:rsid w:val="00A43651"/>
    <w:rsid w:val="00A44006"/>
    <w:rsid w:val="00A44745"/>
    <w:rsid w:val="00A44F15"/>
    <w:rsid w:val="00A45701"/>
    <w:rsid w:val="00A46DCD"/>
    <w:rsid w:val="00A47B7B"/>
    <w:rsid w:val="00A47FAE"/>
    <w:rsid w:val="00A50621"/>
    <w:rsid w:val="00A50739"/>
    <w:rsid w:val="00A514F0"/>
    <w:rsid w:val="00A52815"/>
    <w:rsid w:val="00A52D7F"/>
    <w:rsid w:val="00A54175"/>
    <w:rsid w:val="00A5629D"/>
    <w:rsid w:val="00A56809"/>
    <w:rsid w:val="00A56D19"/>
    <w:rsid w:val="00A57E61"/>
    <w:rsid w:val="00A60072"/>
    <w:rsid w:val="00A60D9A"/>
    <w:rsid w:val="00A61480"/>
    <w:rsid w:val="00A63A07"/>
    <w:rsid w:val="00A63B2A"/>
    <w:rsid w:val="00A654A2"/>
    <w:rsid w:val="00A656CD"/>
    <w:rsid w:val="00A6624B"/>
    <w:rsid w:val="00A670B1"/>
    <w:rsid w:val="00A67143"/>
    <w:rsid w:val="00A67183"/>
    <w:rsid w:val="00A70079"/>
    <w:rsid w:val="00A707FE"/>
    <w:rsid w:val="00A731B4"/>
    <w:rsid w:val="00A7466A"/>
    <w:rsid w:val="00A7493D"/>
    <w:rsid w:val="00A76452"/>
    <w:rsid w:val="00A768E6"/>
    <w:rsid w:val="00A7776E"/>
    <w:rsid w:val="00A77C92"/>
    <w:rsid w:val="00A817C2"/>
    <w:rsid w:val="00A8199A"/>
    <w:rsid w:val="00A82205"/>
    <w:rsid w:val="00A82AED"/>
    <w:rsid w:val="00A83F5F"/>
    <w:rsid w:val="00A84DF8"/>
    <w:rsid w:val="00A859E7"/>
    <w:rsid w:val="00A861C1"/>
    <w:rsid w:val="00A86D3D"/>
    <w:rsid w:val="00A87D52"/>
    <w:rsid w:val="00A9013E"/>
    <w:rsid w:val="00A915F3"/>
    <w:rsid w:val="00A94B17"/>
    <w:rsid w:val="00A94F1F"/>
    <w:rsid w:val="00A95347"/>
    <w:rsid w:val="00A955F0"/>
    <w:rsid w:val="00A95978"/>
    <w:rsid w:val="00A97926"/>
    <w:rsid w:val="00AA09A3"/>
    <w:rsid w:val="00AA0C4B"/>
    <w:rsid w:val="00AA41BA"/>
    <w:rsid w:val="00AA471D"/>
    <w:rsid w:val="00AA4AE1"/>
    <w:rsid w:val="00AA4B1C"/>
    <w:rsid w:val="00AA52AC"/>
    <w:rsid w:val="00AA6188"/>
    <w:rsid w:val="00AA6DCB"/>
    <w:rsid w:val="00AA7E33"/>
    <w:rsid w:val="00AB02E2"/>
    <w:rsid w:val="00AB069A"/>
    <w:rsid w:val="00AB1C95"/>
    <w:rsid w:val="00AB1DD3"/>
    <w:rsid w:val="00AB265E"/>
    <w:rsid w:val="00AB2948"/>
    <w:rsid w:val="00AB39FA"/>
    <w:rsid w:val="00AB3B30"/>
    <w:rsid w:val="00AB426C"/>
    <w:rsid w:val="00AB451C"/>
    <w:rsid w:val="00AB4DC4"/>
    <w:rsid w:val="00AB59F2"/>
    <w:rsid w:val="00AC187C"/>
    <w:rsid w:val="00AC1E2A"/>
    <w:rsid w:val="00AC1E63"/>
    <w:rsid w:val="00AC31F5"/>
    <w:rsid w:val="00AC3B9D"/>
    <w:rsid w:val="00AC3E62"/>
    <w:rsid w:val="00AC5AF9"/>
    <w:rsid w:val="00AC6192"/>
    <w:rsid w:val="00AC6601"/>
    <w:rsid w:val="00AD1AC8"/>
    <w:rsid w:val="00AD1E3E"/>
    <w:rsid w:val="00AD2F03"/>
    <w:rsid w:val="00AD57FE"/>
    <w:rsid w:val="00AD6559"/>
    <w:rsid w:val="00AD6933"/>
    <w:rsid w:val="00AD6B7B"/>
    <w:rsid w:val="00AD6EB9"/>
    <w:rsid w:val="00AD73E1"/>
    <w:rsid w:val="00AD7CAB"/>
    <w:rsid w:val="00AE14EC"/>
    <w:rsid w:val="00AE16C9"/>
    <w:rsid w:val="00AE27DF"/>
    <w:rsid w:val="00AE314C"/>
    <w:rsid w:val="00AE3EF5"/>
    <w:rsid w:val="00AE4898"/>
    <w:rsid w:val="00AE4F2A"/>
    <w:rsid w:val="00AE5F33"/>
    <w:rsid w:val="00AF0AD5"/>
    <w:rsid w:val="00AF138C"/>
    <w:rsid w:val="00AF15E6"/>
    <w:rsid w:val="00AF17AD"/>
    <w:rsid w:val="00AF2ADA"/>
    <w:rsid w:val="00AF51E7"/>
    <w:rsid w:val="00AF6744"/>
    <w:rsid w:val="00AF69B9"/>
    <w:rsid w:val="00AF6E17"/>
    <w:rsid w:val="00AF77B9"/>
    <w:rsid w:val="00AF7EC8"/>
    <w:rsid w:val="00B01EE1"/>
    <w:rsid w:val="00B031A1"/>
    <w:rsid w:val="00B04A43"/>
    <w:rsid w:val="00B04D06"/>
    <w:rsid w:val="00B05556"/>
    <w:rsid w:val="00B05620"/>
    <w:rsid w:val="00B05FBE"/>
    <w:rsid w:val="00B0722A"/>
    <w:rsid w:val="00B10EFC"/>
    <w:rsid w:val="00B1126B"/>
    <w:rsid w:val="00B11977"/>
    <w:rsid w:val="00B12E05"/>
    <w:rsid w:val="00B12E47"/>
    <w:rsid w:val="00B12EBE"/>
    <w:rsid w:val="00B13445"/>
    <w:rsid w:val="00B151DA"/>
    <w:rsid w:val="00B16431"/>
    <w:rsid w:val="00B166A4"/>
    <w:rsid w:val="00B168A4"/>
    <w:rsid w:val="00B16D84"/>
    <w:rsid w:val="00B16FB8"/>
    <w:rsid w:val="00B219B7"/>
    <w:rsid w:val="00B22719"/>
    <w:rsid w:val="00B2463C"/>
    <w:rsid w:val="00B24B81"/>
    <w:rsid w:val="00B25038"/>
    <w:rsid w:val="00B26374"/>
    <w:rsid w:val="00B26E54"/>
    <w:rsid w:val="00B3159A"/>
    <w:rsid w:val="00B33261"/>
    <w:rsid w:val="00B33465"/>
    <w:rsid w:val="00B336EE"/>
    <w:rsid w:val="00B35609"/>
    <w:rsid w:val="00B35C09"/>
    <w:rsid w:val="00B3620D"/>
    <w:rsid w:val="00B36D9F"/>
    <w:rsid w:val="00B36E05"/>
    <w:rsid w:val="00B37014"/>
    <w:rsid w:val="00B379C5"/>
    <w:rsid w:val="00B40450"/>
    <w:rsid w:val="00B4183F"/>
    <w:rsid w:val="00B42198"/>
    <w:rsid w:val="00B421E0"/>
    <w:rsid w:val="00B42E5E"/>
    <w:rsid w:val="00B432A2"/>
    <w:rsid w:val="00B453A8"/>
    <w:rsid w:val="00B45954"/>
    <w:rsid w:val="00B468F4"/>
    <w:rsid w:val="00B46AD2"/>
    <w:rsid w:val="00B52D26"/>
    <w:rsid w:val="00B54509"/>
    <w:rsid w:val="00B54590"/>
    <w:rsid w:val="00B54F1D"/>
    <w:rsid w:val="00B554DC"/>
    <w:rsid w:val="00B61A7B"/>
    <w:rsid w:val="00B62C10"/>
    <w:rsid w:val="00B62EFD"/>
    <w:rsid w:val="00B64645"/>
    <w:rsid w:val="00B649A7"/>
    <w:rsid w:val="00B64BBE"/>
    <w:rsid w:val="00B655AB"/>
    <w:rsid w:val="00B67DE1"/>
    <w:rsid w:val="00B7025D"/>
    <w:rsid w:val="00B72D2E"/>
    <w:rsid w:val="00B73DC1"/>
    <w:rsid w:val="00B75159"/>
    <w:rsid w:val="00B77636"/>
    <w:rsid w:val="00B77D7A"/>
    <w:rsid w:val="00B77E25"/>
    <w:rsid w:val="00B80134"/>
    <w:rsid w:val="00B8189D"/>
    <w:rsid w:val="00B8193F"/>
    <w:rsid w:val="00B8473D"/>
    <w:rsid w:val="00B84B21"/>
    <w:rsid w:val="00B86258"/>
    <w:rsid w:val="00B86780"/>
    <w:rsid w:val="00B86FA1"/>
    <w:rsid w:val="00B870B6"/>
    <w:rsid w:val="00B87653"/>
    <w:rsid w:val="00B90E10"/>
    <w:rsid w:val="00B93115"/>
    <w:rsid w:val="00B94E44"/>
    <w:rsid w:val="00B956BA"/>
    <w:rsid w:val="00B96473"/>
    <w:rsid w:val="00B964CA"/>
    <w:rsid w:val="00BA0782"/>
    <w:rsid w:val="00BA31C4"/>
    <w:rsid w:val="00BA33A6"/>
    <w:rsid w:val="00BA434D"/>
    <w:rsid w:val="00BA4655"/>
    <w:rsid w:val="00BA46C0"/>
    <w:rsid w:val="00BA68A2"/>
    <w:rsid w:val="00BA729A"/>
    <w:rsid w:val="00BA77A5"/>
    <w:rsid w:val="00BA78B6"/>
    <w:rsid w:val="00BA7935"/>
    <w:rsid w:val="00BB047B"/>
    <w:rsid w:val="00BB05E4"/>
    <w:rsid w:val="00BB0606"/>
    <w:rsid w:val="00BB45BC"/>
    <w:rsid w:val="00BB4818"/>
    <w:rsid w:val="00BB4AF3"/>
    <w:rsid w:val="00BB6398"/>
    <w:rsid w:val="00BB6C0C"/>
    <w:rsid w:val="00BB7D68"/>
    <w:rsid w:val="00BC2238"/>
    <w:rsid w:val="00BC25EF"/>
    <w:rsid w:val="00BC2C5B"/>
    <w:rsid w:val="00BC2D36"/>
    <w:rsid w:val="00BC2DAF"/>
    <w:rsid w:val="00BC378C"/>
    <w:rsid w:val="00BC3ABB"/>
    <w:rsid w:val="00BC3DE9"/>
    <w:rsid w:val="00BC49F4"/>
    <w:rsid w:val="00BC4EFE"/>
    <w:rsid w:val="00BC4FD3"/>
    <w:rsid w:val="00BC6827"/>
    <w:rsid w:val="00BC6C7A"/>
    <w:rsid w:val="00BC7D9E"/>
    <w:rsid w:val="00BD0372"/>
    <w:rsid w:val="00BD32EF"/>
    <w:rsid w:val="00BD3B6B"/>
    <w:rsid w:val="00BD44F5"/>
    <w:rsid w:val="00BD4948"/>
    <w:rsid w:val="00BD4B12"/>
    <w:rsid w:val="00BD5B70"/>
    <w:rsid w:val="00BE03A1"/>
    <w:rsid w:val="00BE2BB3"/>
    <w:rsid w:val="00BE32E9"/>
    <w:rsid w:val="00BE4340"/>
    <w:rsid w:val="00BE48D4"/>
    <w:rsid w:val="00BE5C41"/>
    <w:rsid w:val="00BE5C58"/>
    <w:rsid w:val="00BE79CC"/>
    <w:rsid w:val="00BE7AC5"/>
    <w:rsid w:val="00BF0646"/>
    <w:rsid w:val="00BF18D4"/>
    <w:rsid w:val="00BF1C32"/>
    <w:rsid w:val="00BF291B"/>
    <w:rsid w:val="00BF3522"/>
    <w:rsid w:val="00BF3F9E"/>
    <w:rsid w:val="00BF4117"/>
    <w:rsid w:val="00BF5AC9"/>
    <w:rsid w:val="00BF6810"/>
    <w:rsid w:val="00BF76A6"/>
    <w:rsid w:val="00C00DCB"/>
    <w:rsid w:val="00C00FB7"/>
    <w:rsid w:val="00C01F23"/>
    <w:rsid w:val="00C03294"/>
    <w:rsid w:val="00C044BE"/>
    <w:rsid w:val="00C04BAB"/>
    <w:rsid w:val="00C0515F"/>
    <w:rsid w:val="00C0607B"/>
    <w:rsid w:val="00C06DEF"/>
    <w:rsid w:val="00C073F4"/>
    <w:rsid w:val="00C075A2"/>
    <w:rsid w:val="00C07D80"/>
    <w:rsid w:val="00C107CB"/>
    <w:rsid w:val="00C118C4"/>
    <w:rsid w:val="00C11CAE"/>
    <w:rsid w:val="00C11F58"/>
    <w:rsid w:val="00C120D7"/>
    <w:rsid w:val="00C1236B"/>
    <w:rsid w:val="00C12BAE"/>
    <w:rsid w:val="00C132D1"/>
    <w:rsid w:val="00C139CA"/>
    <w:rsid w:val="00C13A7D"/>
    <w:rsid w:val="00C13C99"/>
    <w:rsid w:val="00C14CF8"/>
    <w:rsid w:val="00C15C4D"/>
    <w:rsid w:val="00C1721B"/>
    <w:rsid w:val="00C17359"/>
    <w:rsid w:val="00C17E35"/>
    <w:rsid w:val="00C20D50"/>
    <w:rsid w:val="00C214C8"/>
    <w:rsid w:val="00C215AE"/>
    <w:rsid w:val="00C229A2"/>
    <w:rsid w:val="00C22E5A"/>
    <w:rsid w:val="00C232C2"/>
    <w:rsid w:val="00C23AFF"/>
    <w:rsid w:val="00C23FA8"/>
    <w:rsid w:val="00C241A8"/>
    <w:rsid w:val="00C241B4"/>
    <w:rsid w:val="00C24ABA"/>
    <w:rsid w:val="00C24EB9"/>
    <w:rsid w:val="00C254A8"/>
    <w:rsid w:val="00C254EF"/>
    <w:rsid w:val="00C264CB"/>
    <w:rsid w:val="00C26767"/>
    <w:rsid w:val="00C30B0B"/>
    <w:rsid w:val="00C31253"/>
    <w:rsid w:val="00C3461E"/>
    <w:rsid w:val="00C34AA1"/>
    <w:rsid w:val="00C35129"/>
    <w:rsid w:val="00C3532F"/>
    <w:rsid w:val="00C358A2"/>
    <w:rsid w:val="00C36360"/>
    <w:rsid w:val="00C37984"/>
    <w:rsid w:val="00C37D4C"/>
    <w:rsid w:val="00C37DD6"/>
    <w:rsid w:val="00C419DB"/>
    <w:rsid w:val="00C42741"/>
    <w:rsid w:val="00C42AE2"/>
    <w:rsid w:val="00C43DD0"/>
    <w:rsid w:val="00C44A49"/>
    <w:rsid w:val="00C46577"/>
    <w:rsid w:val="00C476F1"/>
    <w:rsid w:val="00C51429"/>
    <w:rsid w:val="00C5198C"/>
    <w:rsid w:val="00C51E8F"/>
    <w:rsid w:val="00C52938"/>
    <w:rsid w:val="00C52FC0"/>
    <w:rsid w:val="00C53F9E"/>
    <w:rsid w:val="00C559E9"/>
    <w:rsid w:val="00C56BC4"/>
    <w:rsid w:val="00C57515"/>
    <w:rsid w:val="00C57E5E"/>
    <w:rsid w:val="00C60571"/>
    <w:rsid w:val="00C608C1"/>
    <w:rsid w:val="00C61279"/>
    <w:rsid w:val="00C61BFA"/>
    <w:rsid w:val="00C63D4E"/>
    <w:rsid w:val="00C63EA9"/>
    <w:rsid w:val="00C6479E"/>
    <w:rsid w:val="00C64BAD"/>
    <w:rsid w:val="00C665A0"/>
    <w:rsid w:val="00C67725"/>
    <w:rsid w:val="00C700F3"/>
    <w:rsid w:val="00C7092F"/>
    <w:rsid w:val="00C7342C"/>
    <w:rsid w:val="00C75832"/>
    <w:rsid w:val="00C759D4"/>
    <w:rsid w:val="00C76DDA"/>
    <w:rsid w:val="00C807B3"/>
    <w:rsid w:val="00C80A49"/>
    <w:rsid w:val="00C825C9"/>
    <w:rsid w:val="00C828B1"/>
    <w:rsid w:val="00C843DA"/>
    <w:rsid w:val="00C84A39"/>
    <w:rsid w:val="00C84A3D"/>
    <w:rsid w:val="00C86CC3"/>
    <w:rsid w:val="00C87D82"/>
    <w:rsid w:val="00C901B1"/>
    <w:rsid w:val="00C90EBC"/>
    <w:rsid w:val="00C91B69"/>
    <w:rsid w:val="00C92584"/>
    <w:rsid w:val="00C928A1"/>
    <w:rsid w:val="00C93418"/>
    <w:rsid w:val="00C936B8"/>
    <w:rsid w:val="00C9489F"/>
    <w:rsid w:val="00C94E42"/>
    <w:rsid w:val="00C95C40"/>
    <w:rsid w:val="00C95C50"/>
    <w:rsid w:val="00C96EDE"/>
    <w:rsid w:val="00C97015"/>
    <w:rsid w:val="00CA09B1"/>
    <w:rsid w:val="00CA1652"/>
    <w:rsid w:val="00CA1D04"/>
    <w:rsid w:val="00CA2A65"/>
    <w:rsid w:val="00CA3856"/>
    <w:rsid w:val="00CA5A3F"/>
    <w:rsid w:val="00CA60D3"/>
    <w:rsid w:val="00CA65AD"/>
    <w:rsid w:val="00CA67E0"/>
    <w:rsid w:val="00CB0122"/>
    <w:rsid w:val="00CB0269"/>
    <w:rsid w:val="00CB0833"/>
    <w:rsid w:val="00CB18F5"/>
    <w:rsid w:val="00CB3F0C"/>
    <w:rsid w:val="00CB4F16"/>
    <w:rsid w:val="00CB5AC4"/>
    <w:rsid w:val="00CB5FC2"/>
    <w:rsid w:val="00CC008E"/>
    <w:rsid w:val="00CC02ED"/>
    <w:rsid w:val="00CC07BF"/>
    <w:rsid w:val="00CC1229"/>
    <w:rsid w:val="00CC17DF"/>
    <w:rsid w:val="00CC5921"/>
    <w:rsid w:val="00CC5C13"/>
    <w:rsid w:val="00CC63EB"/>
    <w:rsid w:val="00CC6EA9"/>
    <w:rsid w:val="00CD022A"/>
    <w:rsid w:val="00CD03BE"/>
    <w:rsid w:val="00CD0707"/>
    <w:rsid w:val="00CD0DF7"/>
    <w:rsid w:val="00CD17B2"/>
    <w:rsid w:val="00CD1A25"/>
    <w:rsid w:val="00CD2658"/>
    <w:rsid w:val="00CD2770"/>
    <w:rsid w:val="00CD3EEC"/>
    <w:rsid w:val="00CD46AB"/>
    <w:rsid w:val="00CD49A3"/>
    <w:rsid w:val="00CD52FB"/>
    <w:rsid w:val="00CD65E7"/>
    <w:rsid w:val="00CD68A6"/>
    <w:rsid w:val="00CD7BFC"/>
    <w:rsid w:val="00CD7F4F"/>
    <w:rsid w:val="00CE2B95"/>
    <w:rsid w:val="00CE2F1A"/>
    <w:rsid w:val="00CE3273"/>
    <w:rsid w:val="00CE34DB"/>
    <w:rsid w:val="00CE3ADE"/>
    <w:rsid w:val="00CE452B"/>
    <w:rsid w:val="00CE4E0C"/>
    <w:rsid w:val="00CE5438"/>
    <w:rsid w:val="00CE700C"/>
    <w:rsid w:val="00CF0022"/>
    <w:rsid w:val="00CF0D86"/>
    <w:rsid w:val="00CF1877"/>
    <w:rsid w:val="00CF1A11"/>
    <w:rsid w:val="00CF1A34"/>
    <w:rsid w:val="00CF28D6"/>
    <w:rsid w:val="00CF30FC"/>
    <w:rsid w:val="00CF4286"/>
    <w:rsid w:val="00CF4FE5"/>
    <w:rsid w:val="00CF53ED"/>
    <w:rsid w:val="00CF5CB2"/>
    <w:rsid w:val="00CF7121"/>
    <w:rsid w:val="00CF71D8"/>
    <w:rsid w:val="00D013E1"/>
    <w:rsid w:val="00D01B9F"/>
    <w:rsid w:val="00D03B38"/>
    <w:rsid w:val="00D03F18"/>
    <w:rsid w:val="00D03F87"/>
    <w:rsid w:val="00D04076"/>
    <w:rsid w:val="00D04CD4"/>
    <w:rsid w:val="00D04ECF"/>
    <w:rsid w:val="00D054FD"/>
    <w:rsid w:val="00D07174"/>
    <w:rsid w:val="00D101DC"/>
    <w:rsid w:val="00D10332"/>
    <w:rsid w:val="00D118C7"/>
    <w:rsid w:val="00D12095"/>
    <w:rsid w:val="00D13D1B"/>
    <w:rsid w:val="00D13EEA"/>
    <w:rsid w:val="00D14152"/>
    <w:rsid w:val="00D173CC"/>
    <w:rsid w:val="00D20D78"/>
    <w:rsid w:val="00D21ACB"/>
    <w:rsid w:val="00D21AEC"/>
    <w:rsid w:val="00D22D06"/>
    <w:rsid w:val="00D22E28"/>
    <w:rsid w:val="00D23AFC"/>
    <w:rsid w:val="00D24772"/>
    <w:rsid w:val="00D263B2"/>
    <w:rsid w:val="00D26E91"/>
    <w:rsid w:val="00D2769F"/>
    <w:rsid w:val="00D306B4"/>
    <w:rsid w:val="00D34180"/>
    <w:rsid w:val="00D3441D"/>
    <w:rsid w:val="00D355C4"/>
    <w:rsid w:val="00D357DD"/>
    <w:rsid w:val="00D3612A"/>
    <w:rsid w:val="00D37703"/>
    <w:rsid w:val="00D37DBF"/>
    <w:rsid w:val="00D37F25"/>
    <w:rsid w:val="00D4007E"/>
    <w:rsid w:val="00D42F4F"/>
    <w:rsid w:val="00D44141"/>
    <w:rsid w:val="00D444E7"/>
    <w:rsid w:val="00D44703"/>
    <w:rsid w:val="00D44B04"/>
    <w:rsid w:val="00D468D9"/>
    <w:rsid w:val="00D46E9D"/>
    <w:rsid w:val="00D50FF8"/>
    <w:rsid w:val="00D52B4A"/>
    <w:rsid w:val="00D5341E"/>
    <w:rsid w:val="00D54E15"/>
    <w:rsid w:val="00D5604C"/>
    <w:rsid w:val="00D56A53"/>
    <w:rsid w:val="00D60042"/>
    <w:rsid w:val="00D6070F"/>
    <w:rsid w:val="00D62E87"/>
    <w:rsid w:val="00D6324F"/>
    <w:rsid w:val="00D63458"/>
    <w:rsid w:val="00D66983"/>
    <w:rsid w:val="00D66D37"/>
    <w:rsid w:val="00D67FEC"/>
    <w:rsid w:val="00D7187C"/>
    <w:rsid w:val="00D72442"/>
    <w:rsid w:val="00D726C2"/>
    <w:rsid w:val="00D73151"/>
    <w:rsid w:val="00D74ACA"/>
    <w:rsid w:val="00D74F84"/>
    <w:rsid w:val="00D750CC"/>
    <w:rsid w:val="00D7541E"/>
    <w:rsid w:val="00D758DC"/>
    <w:rsid w:val="00D76C28"/>
    <w:rsid w:val="00D800CC"/>
    <w:rsid w:val="00D801E1"/>
    <w:rsid w:val="00D80337"/>
    <w:rsid w:val="00D81367"/>
    <w:rsid w:val="00D819A2"/>
    <w:rsid w:val="00D821B0"/>
    <w:rsid w:val="00D82EA1"/>
    <w:rsid w:val="00D83328"/>
    <w:rsid w:val="00D838C5"/>
    <w:rsid w:val="00D84369"/>
    <w:rsid w:val="00D8458A"/>
    <w:rsid w:val="00D845C5"/>
    <w:rsid w:val="00D84C8F"/>
    <w:rsid w:val="00D85237"/>
    <w:rsid w:val="00D86013"/>
    <w:rsid w:val="00D865D8"/>
    <w:rsid w:val="00D8680A"/>
    <w:rsid w:val="00D87351"/>
    <w:rsid w:val="00D873AD"/>
    <w:rsid w:val="00D87EB3"/>
    <w:rsid w:val="00D90BEE"/>
    <w:rsid w:val="00D915CC"/>
    <w:rsid w:val="00D91AAC"/>
    <w:rsid w:val="00D91C06"/>
    <w:rsid w:val="00D91C9F"/>
    <w:rsid w:val="00D92C19"/>
    <w:rsid w:val="00D937E4"/>
    <w:rsid w:val="00D93FD1"/>
    <w:rsid w:val="00D94799"/>
    <w:rsid w:val="00D94F28"/>
    <w:rsid w:val="00DA08F5"/>
    <w:rsid w:val="00DA0C16"/>
    <w:rsid w:val="00DA2ADC"/>
    <w:rsid w:val="00DA65B2"/>
    <w:rsid w:val="00DA6786"/>
    <w:rsid w:val="00DB01E2"/>
    <w:rsid w:val="00DB0764"/>
    <w:rsid w:val="00DB176D"/>
    <w:rsid w:val="00DB3506"/>
    <w:rsid w:val="00DB4A66"/>
    <w:rsid w:val="00DB5008"/>
    <w:rsid w:val="00DB54CA"/>
    <w:rsid w:val="00DB6A1C"/>
    <w:rsid w:val="00DB7A9A"/>
    <w:rsid w:val="00DC3177"/>
    <w:rsid w:val="00DC3276"/>
    <w:rsid w:val="00DC38B2"/>
    <w:rsid w:val="00DC44E9"/>
    <w:rsid w:val="00DC6ADA"/>
    <w:rsid w:val="00DD13AB"/>
    <w:rsid w:val="00DD16D2"/>
    <w:rsid w:val="00DD17BB"/>
    <w:rsid w:val="00DD2841"/>
    <w:rsid w:val="00DD2C47"/>
    <w:rsid w:val="00DD2EB2"/>
    <w:rsid w:val="00DD3729"/>
    <w:rsid w:val="00DD37D8"/>
    <w:rsid w:val="00DD4498"/>
    <w:rsid w:val="00DD44CA"/>
    <w:rsid w:val="00DD47D5"/>
    <w:rsid w:val="00DD487A"/>
    <w:rsid w:val="00DD4CCE"/>
    <w:rsid w:val="00DD4EB5"/>
    <w:rsid w:val="00DD5902"/>
    <w:rsid w:val="00DD66C0"/>
    <w:rsid w:val="00DD6B22"/>
    <w:rsid w:val="00DD703C"/>
    <w:rsid w:val="00DE01A4"/>
    <w:rsid w:val="00DE05BF"/>
    <w:rsid w:val="00DE165A"/>
    <w:rsid w:val="00DE2053"/>
    <w:rsid w:val="00DE37ED"/>
    <w:rsid w:val="00DE3A53"/>
    <w:rsid w:val="00DE4597"/>
    <w:rsid w:val="00DE5BDA"/>
    <w:rsid w:val="00DE643F"/>
    <w:rsid w:val="00DE6638"/>
    <w:rsid w:val="00DE6710"/>
    <w:rsid w:val="00DE6B04"/>
    <w:rsid w:val="00DE7487"/>
    <w:rsid w:val="00DF0483"/>
    <w:rsid w:val="00DF0C0F"/>
    <w:rsid w:val="00DF1A91"/>
    <w:rsid w:val="00DF20A4"/>
    <w:rsid w:val="00DF3364"/>
    <w:rsid w:val="00DF37DD"/>
    <w:rsid w:val="00DF4925"/>
    <w:rsid w:val="00DF4A39"/>
    <w:rsid w:val="00DF57DC"/>
    <w:rsid w:val="00DF677F"/>
    <w:rsid w:val="00DF6840"/>
    <w:rsid w:val="00DF725D"/>
    <w:rsid w:val="00E010AB"/>
    <w:rsid w:val="00E015AD"/>
    <w:rsid w:val="00E0233F"/>
    <w:rsid w:val="00E02678"/>
    <w:rsid w:val="00E02BAD"/>
    <w:rsid w:val="00E032E1"/>
    <w:rsid w:val="00E050EC"/>
    <w:rsid w:val="00E05BC9"/>
    <w:rsid w:val="00E06262"/>
    <w:rsid w:val="00E0748A"/>
    <w:rsid w:val="00E10DA4"/>
    <w:rsid w:val="00E10DDF"/>
    <w:rsid w:val="00E119F5"/>
    <w:rsid w:val="00E11BF2"/>
    <w:rsid w:val="00E128A9"/>
    <w:rsid w:val="00E12A7F"/>
    <w:rsid w:val="00E143DA"/>
    <w:rsid w:val="00E14BA3"/>
    <w:rsid w:val="00E150E2"/>
    <w:rsid w:val="00E16744"/>
    <w:rsid w:val="00E17947"/>
    <w:rsid w:val="00E2028E"/>
    <w:rsid w:val="00E2054A"/>
    <w:rsid w:val="00E208B0"/>
    <w:rsid w:val="00E21B9F"/>
    <w:rsid w:val="00E22BB0"/>
    <w:rsid w:val="00E230A1"/>
    <w:rsid w:val="00E230E4"/>
    <w:rsid w:val="00E23836"/>
    <w:rsid w:val="00E247FB"/>
    <w:rsid w:val="00E24C1F"/>
    <w:rsid w:val="00E24E40"/>
    <w:rsid w:val="00E25953"/>
    <w:rsid w:val="00E259B1"/>
    <w:rsid w:val="00E27F5A"/>
    <w:rsid w:val="00E32BEA"/>
    <w:rsid w:val="00E32F5B"/>
    <w:rsid w:val="00E364D7"/>
    <w:rsid w:val="00E368AF"/>
    <w:rsid w:val="00E3799F"/>
    <w:rsid w:val="00E37DA2"/>
    <w:rsid w:val="00E4034F"/>
    <w:rsid w:val="00E4078D"/>
    <w:rsid w:val="00E4091B"/>
    <w:rsid w:val="00E4121B"/>
    <w:rsid w:val="00E417B7"/>
    <w:rsid w:val="00E42FA4"/>
    <w:rsid w:val="00E43ACF"/>
    <w:rsid w:val="00E4426B"/>
    <w:rsid w:val="00E45864"/>
    <w:rsid w:val="00E4622C"/>
    <w:rsid w:val="00E46D41"/>
    <w:rsid w:val="00E5095A"/>
    <w:rsid w:val="00E50D5F"/>
    <w:rsid w:val="00E51FFB"/>
    <w:rsid w:val="00E52A77"/>
    <w:rsid w:val="00E52DD3"/>
    <w:rsid w:val="00E52EA7"/>
    <w:rsid w:val="00E5471E"/>
    <w:rsid w:val="00E558A4"/>
    <w:rsid w:val="00E55CC7"/>
    <w:rsid w:val="00E55F66"/>
    <w:rsid w:val="00E5652F"/>
    <w:rsid w:val="00E5712D"/>
    <w:rsid w:val="00E576D9"/>
    <w:rsid w:val="00E57773"/>
    <w:rsid w:val="00E60814"/>
    <w:rsid w:val="00E63C49"/>
    <w:rsid w:val="00E65EA1"/>
    <w:rsid w:val="00E6605D"/>
    <w:rsid w:val="00E6611F"/>
    <w:rsid w:val="00E667C7"/>
    <w:rsid w:val="00E67610"/>
    <w:rsid w:val="00E67CBC"/>
    <w:rsid w:val="00E71221"/>
    <w:rsid w:val="00E72173"/>
    <w:rsid w:val="00E72EB8"/>
    <w:rsid w:val="00E74460"/>
    <w:rsid w:val="00E75AAE"/>
    <w:rsid w:val="00E75C99"/>
    <w:rsid w:val="00E77248"/>
    <w:rsid w:val="00E816B3"/>
    <w:rsid w:val="00E81EC5"/>
    <w:rsid w:val="00E82285"/>
    <w:rsid w:val="00E828DE"/>
    <w:rsid w:val="00E829D6"/>
    <w:rsid w:val="00E82AAD"/>
    <w:rsid w:val="00E830B7"/>
    <w:rsid w:val="00E87655"/>
    <w:rsid w:val="00E91635"/>
    <w:rsid w:val="00E9168B"/>
    <w:rsid w:val="00E923A0"/>
    <w:rsid w:val="00E9265B"/>
    <w:rsid w:val="00E92D1F"/>
    <w:rsid w:val="00E94FCA"/>
    <w:rsid w:val="00E95253"/>
    <w:rsid w:val="00E95F85"/>
    <w:rsid w:val="00E96102"/>
    <w:rsid w:val="00E96A4A"/>
    <w:rsid w:val="00E978F3"/>
    <w:rsid w:val="00E9798E"/>
    <w:rsid w:val="00EA0BDD"/>
    <w:rsid w:val="00EA1E6B"/>
    <w:rsid w:val="00EA3BA4"/>
    <w:rsid w:val="00EA486D"/>
    <w:rsid w:val="00EA5CE7"/>
    <w:rsid w:val="00EA6125"/>
    <w:rsid w:val="00EA71B2"/>
    <w:rsid w:val="00EA7287"/>
    <w:rsid w:val="00EB1BDD"/>
    <w:rsid w:val="00EB3228"/>
    <w:rsid w:val="00EB3AE6"/>
    <w:rsid w:val="00EB4487"/>
    <w:rsid w:val="00EB6302"/>
    <w:rsid w:val="00EB6C5C"/>
    <w:rsid w:val="00EB6C65"/>
    <w:rsid w:val="00EB6D01"/>
    <w:rsid w:val="00EC0435"/>
    <w:rsid w:val="00EC0F16"/>
    <w:rsid w:val="00EC2B22"/>
    <w:rsid w:val="00EC2B8A"/>
    <w:rsid w:val="00EC3D80"/>
    <w:rsid w:val="00EC6FE6"/>
    <w:rsid w:val="00EC701B"/>
    <w:rsid w:val="00EC7180"/>
    <w:rsid w:val="00EC750C"/>
    <w:rsid w:val="00EC7B38"/>
    <w:rsid w:val="00ED1D70"/>
    <w:rsid w:val="00ED209D"/>
    <w:rsid w:val="00ED418D"/>
    <w:rsid w:val="00ED4212"/>
    <w:rsid w:val="00ED4362"/>
    <w:rsid w:val="00ED4673"/>
    <w:rsid w:val="00ED46C4"/>
    <w:rsid w:val="00ED5D29"/>
    <w:rsid w:val="00ED5F88"/>
    <w:rsid w:val="00ED664B"/>
    <w:rsid w:val="00ED7359"/>
    <w:rsid w:val="00ED7454"/>
    <w:rsid w:val="00ED7C2E"/>
    <w:rsid w:val="00EE0F43"/>
    <w:rsid w:val="00EE27B0"/>
    <w:rsid w:val="00EE5111"/>
    <w:rsid w:val="00EE7DDE"/>
    <w:rsid w:val="00EF157F"/>
    <w:rsid w:val="00EF2699"/>
    <w:rsid w:val="00EF2730"/>
    <w:rsid w:val="00EF28D7"/>
    <w:rsid w:val="00EF4EBC"/>
    <w:rsid w:val="00EF7213"/>
    <w:rsid w:val="00EF78F0"/>
    <w:rsid w:val="00F01D63"/>
    <w:rsid w:val="00F02613"/>
    <w:rsid w:val="00F03786"/>
    <w:rsid w:val="00F049B7"/>
    <w:rsid w:val="00F04B80"/>
    <w:rsid w:val="00F05E37"/>
    <w:rsid w:val="00F05F4C"/>
    <w:rsid w:val="00F06988"/>
    <w:rsid w:val="00F07897"/>
    <w:rsid w:val="00F07B8D"/>
    <w:rsid w:val="00F07EF7"/>
    <w:rsid w:val="00F112AC"/>
    <w:rsid w:val="00F12A50"/>
    <w:rsid w:val="00F130AD"/>
    <w:rsid w:val="00F133B3"/>
    <w:rsid w:val="00F13492"/>
    <w:rsid w:val="00F1561E"/>
    <w:rsid w:val="00F15A2C"/>
    <w:rsid w:val="00F15FBB"/>
    <w:rsid w:val="00F16D89"/>
    <w:rsid w:val="00F2002D"/>
    <w:rsid w:val="00F211AA"/>
    <w:rsid w:val="00F22093"/>
    <w:rsid w:val="00F227E8"/>
    <w:rsid w:val="00F23825"/>
    <w:rsid w:val="00F23B42"/>
    <w:rsid w:val="00F24647"/>
    <w:rsid w:val="00F25CDE"/>
    <w:rsid w:val="00F26374"/>
    <w:rsid w:val="00F264CF"/>
    <w:rsid w:val="00F26A9F"/>
    <w:rsid w:val="00F306AF"/>
    <w:rsid w:val="00F30A74"/>
    <w:rsid w:val="00F30DE4"/>
    <w:rsid w:val="00F331B5"/>
    <w:rsid w:val="00F343D2"/>
    <w:rsid w:val="00F34A4F"/>
    <w:rsid w:val="00F34AF9"/>
    <w:rsid w:val="00F3609D"/>
    <w:rsid w:val="00F378EE"/>
    <w:rsid w:val="00F41068"/>
    <w:rsid w:val="00F4172A"/>
    <w:rsid w:val="00F41F3E"/>
    <w:rsid w:val="00F434D7"/>
    <w:rsid w:val="00F447BA"/>
    <w:rsid w:val="00F45645"/>
    <w:rsid w:val="00F45725"/>
    <w:rsid w:val="00F45CEC"/>
    <w:rsid w:val="00F45E6C"/>
    <w:rsid w:val="00F47B58"/>
    <w:rsid w:val="00F47BED"/>
    <w:rsid w:val="00F51200"/>
    <w:rsid w:val="00F526FD"/>
    <w:rsid w:val="00F5320F"/>
    <w:rsid w:val="00F53521"/>
    <w:rsid w:val="00F53991"/>
    <w:rsid w:val="00F53D34"/>
    <w:rsid w:val="00F55649"/>
    <w:rsid w:val="00F560DB"/>
    <w:rsid w:val="00F57140"/>
    <w:rsid w:val="00F61722"/>
    <w:rsid w:val="00F617C6"/>
    <w:rsid w:val="00F61CF5"/>
    <w:rsid w:val="00F6208E"/>
    <w:rsid w:val="00F66446"/>
    <w:rsid w:val="00F665BF"/>
    <w:rsid w:val="00F665FE"/>
    <w:rsid w:val="00F66A33"/>
    <w:rsid w:val="00F66D5F"/>
    <w:rsid w:val="00F66F7C"/>
    <w:rsid w:val="00F67322"/>
    <w:rsid w:val="00F67566"/>
    <w:rsid w:val="00F70BA5"/>
    <w:rsid w:val="00F71818"/>
    <w:rsid w:val="00F727CB"/>
    <w:rsid w:val="00F733C8"/>
    <w:rsid w:val="00F73842"/>
    <w:rsid w:val="00F73B39"/>
    <w:rsid w:val="00F741D2"/>
    <w:rsid w:val="00F74320"/>
    <w:rsid w:val="00F743D3"/>
    <w:rsid w:val="00F74453"/>
    <w:rsid w:val="00F74981"/>
    <w:rsid w:val="00F75C04"/>
    <w:rsid w:val="00F75D7B"/>
    <w:rsid w:val="00F769BF"/>
    <w:rsid w:val="00F77B7B"/>
    <w:rsid w:val="00F77C66"/>
    <w:rsid w:val="00F77D7B"/>
    <w:rsid w:val="00F80C81"/>
    <w:rsid w:val="00F810E0"/>
    <w:rsid w:val="00F8412C"/>
    <w:rsid w:val="00F85DA5"/>
    <w:rsid w:val="00F868BE"/>
    <w:rsid w:val="00F86A8D"/>
    <w:rsid w:val="00F90467"/>
    <w:rsid w:val="00F90692"/>
    <w:rsid w:val="00F92482"/>
    <w:rsid w:val="00F94C10"/>
    <w:rsid w:val="00F954D2"/>
    <w:rsid w:val="00F95772"/>
    <w:rsid w:val="00F97F09"/>
    <w:rsid w:val="00FA159F"/>
    <w:rsid w:val="00FA2420"/>
    <w:rsid w:val="00FA27ED"/>
    <w:rsid w:val="00FA2833"/>
    <w:rsid w:val="00FA2A52"/>
    <w:rsid w:val="00FA3BC1"/>
    <w:rsid w:val="00FA6D11"/>
    <w:rsid w:val="00FA7706"/>
    <w:rsid w:val="00FB2461"/>
    <w:rsid w:val="00FB2CA2"/>
    <w:rsid w:val="00FB4289"/>
    <w:rsid w:val="00FB4ADE"/>
    <w:rsid w:val="00FC0149"/>
    <w:rsid w:val="00FC1824"/>
    <w:rsid w:val="00FC2985"/>
    <w:rsid w:val="00FC4E47"/>
    <w:rsid w:val="00FC518C"/>
    <w:rsid w:val="00FC6E92"/>
    <w:rsid w:val="00FC7254"/>
    <w:rsid w:val="00FC7611"/>
    <w:rsid w:val="00FD008B"/>
    <w:rsid w:val="00FD0E0E"/>
    <w:rsid w:val="00FD12A2"/>
    <w:rsid w:val="00FD18C2"/>
    <w:rsid w:val="00FD2403"/>
    <w:rsid w:val="00FD2A23"/>
    <w:rsid w:val="00FD3264"/>
    <w:rsid w:val="00FD3621"/>
    <w:rsid w:val="00FD424D"/>
    <w:rsid w:val="00FD5803"/>
    <w:rsid w:val="00FD6B74"/>
    <w:rsid w:val="00FD6F5F"/>
    <w:rsid w:val="00FD7C55"/>
    <w:rsid w:val="00FE0495"/>
    <w:rsid w:val="00FE0B4E"/>
    <w:rsid w:val="00FE2CF0"/>
    <w:rsid w:val="00FE3646"/>
    <w:rsid w:val="00FE74C1"/>
    <w:rsid w:val="00FF0D60"/>
    <w:rsid w:val="00FF0FF8"/>
    <w:rsid w:val="00FF1752"/>
    <w:rsid w:val="00FF20D4"/>
    <w:rsid w:val="00FF2AF6"/>
    <w:rsid w:val="00FF36F2"/>
    <w:rsid w:val="00FF3F44"/>
    <w:rsid w:val="00FF491C"/>
    <w:rsid w:val="00FF5712"/>
    <w:rsid w:val="00FF5A91"/>
    <w:rsid w:val="00FF6F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3"/>
    <o:shapelayout v:ext="edit">
      <o:idmap v:ext="edit" data="1"/>
    </o:shapelayout>
  </w:shapeDefaults>
  <w:decimalSymbol w:val="."/>
  <w:listSeparator w:val=","/>
  <w14:docId w14:val="332D7571"/>
  <w15:docId w15:val="{EE1B66C7-4E92-4545-AFD0-BD12824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905603"/>
    <w:rPr>
      <w:color w:val="605E5C"/>
      <w:shd w:val="clear" w:color="auto" w:fill="E1DFDD"/>
    </w:rPr>
  </w:style>
  <w:style w:type="character" w:styleId="UnresolvedMention">
    <w:name w:val="Unresolved Mention"/>
    <w:basedOn w:val="DefaultParagraphFont"/>
    <w:uiPriority w:val="99"/>
    <w:semiHidden/>
    <w:unhideWhenUsed/>
    <w:rsid w:val="008B54F2"/>
    <w:rPr>
      <w:color w:val="605E5C"/>
      <w:shd w:val="clear" w:color="auto" w:fill="E1DFDD"/>
    </w:rPr>
  </w:style>
  <w:style w:type="paragraph" w:styleId="Caption">
    <w:name w:val="caption"/>
    <w:basedOn w:val="NICEnormal"/>
    <w:next w:val="NICEnormal"/>
    <w:unhideWhenUsed/>
    <w:qFormat/>
    <w:rsid w:val="001A29CE"/>
    <w:pPr>
      <w:keepNext/>
      <w:spacing w:after="200"/>
    </w:pPr>
    <w:rPr>
      <w:b/>
      <w:bCs/>
      <w:iCs/>
      <w:szCs w:val="18"/>
    </w:rPr>
  </w:style>
  <w:style w:type="paragraph" w:customStyle="1" w:styleId="Numberedheading2">
    <w:name w:val="Numbered heading 2"/>
    <w:basedOn w:val="Heading2"/>
    <w:next w:val="NICEnormal"/>
    <w:link w:val="Numberedheading2Char"/>
    <w:rsid w:val="001A29CE"/>
    <w:pPr>
      <w:tabs>
        <w:tab w:val="clear" w:pos="1134"/>
      </w:tabs>
    </w:pPr>
    <w:rPr>
      <w:i w:val="0"/>
      <w:iCs w:val="0"/>
    </w:rPr>
  </w:style>
  <w:style w:type="character" w:customStyle="1" w:styleId="Numberedheading2Char">
    <w:name w:val="Numbered heading 2 Char"/>
    <w:basedOn w:val="Heading2Char"/>
    <w:link w:val="Numberedheading2"/>
    <w:rsid w:val="001A29CE"/>
    <w:rPr>
      <w:rFonts w:ascii="Arial" w:hAnsi="Arial" w:cs="Arial"/>
      <w:b/>
      <w:bCs/>
      <w:i w:val="0"/>
      <w:iCs w:val="0"/>
      <w:sz w:val="28"/>
      <w:szCs w:val="28"/>
      <w:lang w:val="en-GB" w:eastAsia="en-US" w:bidi="ar-SA"/>
    </w:rPr>
  </w:style>
  <w:style w:type="table" w:customStyle="1" w:styleId="PanelDefault">
    <w:name w:val="Panel (Default)"/>
    <w:basedOn w:val="TableNormal"/>
    <w:uiPriority w:val="99"/>
    <w:rsid w:val="001A29CE"/>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A29CE"/>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1A29CE"/>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1A29CE"/>
    <w:pPr>
      <w:numPr>
        <w:numId w:val="11"/>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1A29CE"/>
    <w:rPr>
      <w:color w:val="FFFFFF" w:themeColor="background1"/>
      <w:u w:val="single"/>
    </w:rPr>
  </w:style>
  <w:style w:type="paragraph" w:styleId="Quote">
    <w:name w:val="Quote"/>
    <w:basedOn w:val="NICEnormal"/>
    <w:next w:val="NICEnormal"/>
    <w:link w:val="QuoteChar"/>
    <w:uiPriority w:val="29"/>
    <w:qFormat/>
    <w:rsid w:val="001A29CE"/>
    <w:pPr>
      <w:spacing w:before="200" w:after="160"/>
      <w:ind w:left="864" w:right="864"/>
      <w:jc w:val="center"/>
    </w:pPr>
    <w:rPr>
      <w:iCs/>
    </w:rPr>
  </w:style>
  <w:style w:type="character" w:customStyle="1" w:styleId="QuoteChar">
    <w:name w:val="Quote Char"/>
    <w:basedOn w:val="DefaultParagraphFont"/>
    <w:link w:val="Quote"/>
    <w:uiPriority w:val="29"/>
    <w:rsid w:val="001A29CE"/>
    <w:rPr>
      <w:rFonts w:ascii="Arial" w:hAnsi="Arial"/>
      <w:iCs/>
      <w:sz w:val="24"/>
      <w:szCs w:val="24"/>
      <w:lang w:eastAsia="en-US"/>
    </w:rPr>
  </w:style>
  <w:style w:type="paragraph" w:customStyle="1" w:styleId="Tableheading">
    <w:name w:val="Table heading"/>
    <w:basedOn w:val="Tabletext"/>
    <w:qFormat/>
    <w:rsid w:val="001A29CE"/>
    <w:rPr>
      <w:b/>
    </w:rPr>
  </w:style>
  <w:style w:type="paragraph" w:customStyle="1" w:styleId="Tablebullet">
    <w:name w:val="Table bullet"/>
    <w:basedOn w:val="Tabletext"/>
    <w:qFormat/>
    <w:rsid w:val="001A29CE"/>
    <w:pPr>
      <w:numPr>
        <w:numId w:val="12"/>
      </w:numPr>
    </w:pPr>
  </w:style>
  <w:style w:type="paragraph" w:customStyle="1" w:styleId="Section412paragraphs">
    <w:name w:val="Section 4.1.2 paragraphs"/>
    <w:basedOn w:val="NICEnormal"/>
    <w:rsid w:val="001A29CE"/>
    <w:pPr>
      <w:numPr>
        <w:numId w:val="13"/>
      </w:numPr>
    </w:pPr>
  </w:style>
  <w:style w:type="paragraph" w:styleId="NormalWeb">
    <w:name w:val="Normal (Web)"/>
    <w:basedOn w:val="Normal"/>
    <w:uiPriority w:val="99"/>
    <w:unhideWhenUsed/>
    <w:rsid w:val="001A29C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04931078">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305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72/documents" TargetMode="External"/><Relationship Id="rId13" Type="http://schemas.openxmlformats.org/officeDocument/2006/relationships/hyperlink" Target="https://www.nice.org.uk/about/what-we-do/our-programmes/nice-guidance/nice-technology-appraisal-guidance/cancer-drugs-fund" TargetMode="External"/><Relationship Id="rId18" Type="http://schemas.openxmlformats.org/officeDocument/2006/relationships/hyperlink" Target="https://www.nice.org.uk/about/what-we-do/our-programmes/nice-guidance/nice-technology-appraisal-guidance/cancer-drugs-fun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ta600" TargetMode="External"/><Relationship Id="rId17" Type="http://schemas.openxmlformats.org/officeDocument/2006/relationships/hyperlink" Target="https://www.nice.org.uk/process/pmg9/chapter/the-appraisal-of-the-evidence-and-structured-decision-making" TargetMode="External"/><Relationship Id="rId2" Type="http://schemas.openxmlformats.org/officeDocument/2006/relationships/numbering" Target="numbering.xml"/><Relationship Id="rId16" Type="http://schemas.openxmlformats.org/officeDocument/2006/relationships/hyperlink" Target="https://www.nice.org.uk/guidance/ta600" TargetMode="External"/><Relationship Id="rId20" Type="http://schemas.openxmlformats.org/officeDocument/2006/relationships/hyperlink" Target="https://www.nice.org.uk/get-involved/meetings-in-public/technology-appraisal-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68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ta600" TargetMode="External"/><Relationship Id="rId23" Type="http://schemas.openxmlformats.org/officeDocument/2006/relationships/fontTable" Target="fontTable.xml"/><Relationship Id="rId10" Type="http://schemas.openxmlformats.org/officeDocument/2006/relationships/hyperlink" Target="https://www.nice.org.uk/guidance/indevelopment/gid-ta10472/documents" TargetMode="External"/><Relationship Id="rId19" Type="http://schemas.openxmlformats.org/officeDocument/2006/relationships/hyperlink" Target="https://www.nice.org.uk/Get-Involved/Meetings-in-public/Technology-appraisal-Committee/Committee-D-Members" TargetMode="External"/><Relationship Id="rId4" Type="http://schemas.openxmlformats.org/officeDocument/2006/relationships/settings" Target="settings.xml"/><Relationship Id="rId9" Type="http://schemas.openxmlformats.org/officeDocument/2006/relationships/hyperlink" Target="https://www.medicines.org.uk/emc/product/6888/smpc" TargetMode="External"/><Relationship Id="rId14" Type="http://schemas.openxmlformats.org/officeDocument/2006/relationships/hyperlink" Target="https://www.nice.org.uk/guidance/indevelopment/gid-ta1053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253E-BB36-4981-9044-B3E0F162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6130</Words>
  <Characters>37859</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43902</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Kirsty Pitt</dc:creator>
  <cp:keywords/>
  <cp:lastModifiedBy>Celia Mayers</cp:lastModifiedBy>
  <cp:revision>11</cp:revision>
  <cp:lastPrinted>2019-04-04T12:42:00Z</cp:lastPrinted>
  <dcterms:created xsi:type="dcterms:W3CDTF">2021-02-05T10:43:00Z</dcterms:created>
  <dcterms:modified xsi:type="dcterms:W3CDTF">2021-04-07T08:43:00Z</dcterms:modified>
</cp:coreProperties>
</file>