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344E9" w14:textId="77777777" w:rsidR="000F48EC" w:rsidRPr="000F48EC" w:rsidRDefault="000F48EC" w:rsidP="0093671F">
      <w:pPr>
        <w:pStyle w:val="Title2"/>
      </w:pPr>
      <w:r w:rsidRPr="000F48EC">
        <w:t>NATIONAL INSTITUTE FOR HEALTH AND C</w:t>
      </w:r>
      <w:r w:rsidR="00CC63EB">
        <w:t>ARE</w:t>
      </w:r>
      <w:r w:rsidRPr="000F48EC">
        <w:t xml:space="preserve"> EXCELLENCE</w:t>
      </w:r>
    </w:p>
    <w:p w14:paraId="13A78C58" w14:textId="4BC66521" w:rsidR="000F48EC" w:rsidRPr="000F48EC" w:rsidRDefault="007A2801" w:rsidP="000069F9">
      <w:pPr>
        <w:pStyle w:val="Title2"/>
      </w:pPr>
      <w:r>
        <w:t>Appraisal consultation document</w:t>
      </w:r>
    </w:p>
    <w:p w14:paraId="1DBFBC73" w14:textId="1AF15EAF" w:rsidR="000F48EC" w:rsidRDefault="00222DB7" w:rsidP="00034110">
      <w:pPr>
        <w:pStyle w:val="Title1"/>
      </w:pPr>
      <w:r w:rsidRPr="00222DB7">
        <w:t>Abemaciclib with fulvestrant for treating hormone</w:t>
      </w:r>
      <w:r w:rsidR="00826146">
        <w:t xml:space="preserve"> </w:t>
      </w:r>
      <w:r w:rsidRPr="00222DB7">
        <w:t>receptor</w:t>
      </w:r>
      <w:r w:rsidR="00826146">
        <w:t>-</w:t>
      </w:r>
      <w:r w:rsidRPr="00222DB7">
        <w:t xml:space="preserve">positive, HER2-negative </w:t>
      </w:r>
      <w:r w:rsidR="001D6269" w:rsidRPr="00222DB7">
        <w:t xml:space="preserve">advanced </w:t>
      </w:r>
      <w:r w:rsidRPr="00222DB7">
        <w:t>breast cancer after endocrine therapy</w:t>
      </w:r>
    </w:p>
    <w:p w14:paraId="16C67BC2" w14:textId="318C5F23" w:rsidR="004921C3" w:rsidRPr="004921C3" w:rsidRDefault="004921C3" w:rsidP="004921C3">
      <w:pPr>
        <w:pStyle w:val="NICEnormal"/>
      </w:pPr>
    </w:p>
    <w:p w14:paraId="578680B7" w14:textId="29B4CCB2" w:rsidR="007A2801" w:rsidRDefault="007A2801" w:rsidP="00C76DDA">
      <w:pPr>
        <w:pStyle w:val="NICEnormal"/>
      </w:pPr>
    </w:p>
    <w:p w14:paraId="5E04D202" w14:textId="77777777" w:rsidR="007A2801" w:rsidRDefault="007A2801">
      <w:pPr>
        <w:rPr>
          <w:rFonts w:ascii="Arial" w:hAnsi="Arial"/>
        </w:rPr>
      </w:pPr>
      <w:r>
        <w:br w:type="page"/>
      </w:r>
    </w:p>
    <w:p w14:paraId="79F97548" w14:textId="77777777" w:rsidR="000F48EC" w:rsidRPr="000F48EC" w:rsidRDefault="00B379C5" w:rsidP="00F130AD">
      <w:pPr>
        <w:pStyle w:val="Numberedheading1"/>
      </w:pPr>
      <w:r>
        <w:lastRenderedPageBreak/>
        <w:t>Recommendations</w:t>
      </w:r>
    </w:p>
    <w:p w14:paraId="174C99B1" w14:textId="4C8734FC" w:rsidR="00A922F1" w:rsidRDefault="00A922F1" w:rsidP="00A922F1">
      <w:pPr>
        <w:pStyle w:val="Numberedlevel2text"/>
      </w:pPr>
      <w:r>
        <w:rPr>
          <w:lang w:val="en-GB"/>
        </w:rPr>
        <w:t xml:space="preserve">Abemaciclib </w:t>
      </w:r>
      <w:r w:rsidR="00163983">
        <w:rPr>
          <w:lang w:val="en-GB"/>
        </w:rPr>
        <w:t>plus</w:t>
      </w:r>
      <w:r>
        <w:rPr>
          <w:lang w:val="en-GB"/>
        </w:rPr>
        <w:t xml:space="preserve"> fulvestrant</w:t>
      </w:r>
      <w:r w:rsidRPr="007471D8">
        <w:t xml:space="preserve"> is </w:t>
      </w:r>
      <w:r>
        <w:rPr>
          <w:lang w:val="en-GB"/>
        </w:rPr>
        <w:t xml:space="preserve">not </w:t>
      </w:r>
      <w:r w:rsidRPr="007471D8">
        <w:t>recommended, within its marketing authorisation</w:t>
      </w:r>
      <w:r>
        <w:rPr>
          <w:lang w:val="en-GB"/>
        </w:rPr>
        <w:t>,</w:t>
      </w:r>
      <w:r w:rsidRPr="007471D8">
        <w:t xml:space="preserve"> </w:t>
      </w:r>
      <w:bookmarkStart w:id="0" w:name="_Hlk53585422"/>
      <w:r w:rsidRPr="007471D8">
        <w:t>for treat</w:t>
      </w:r>
      <w:r w:rsidR="001D6269">
        <w:rPr>
          <w:lang w:val="en-GB"/>
        </w:rPr>
        <w:t>ing</w:t>
      </w:r>
      <w:r>
        <w:rPr>
          <w:lang w:val="en-GB"/>
        </w:rPr>
        <w:t xml:space="preserve"> </w:t>
      </w:r>
      <w:bookmarkEnd w:id="0"/>
      <w:r w:rsidRPr="00222DB7">
        <w:t>hormone</w:t>
      </w:r>
      <w:r w:rsidR="00826146">
        <w:rPr>
          <w:lang w:val="en-GB"/>
        </w:rPr>
        <w:t xml:space="preserve"> </w:t>
      </w:r>
      <w:r w:rsidRPr="00222DB7">
        <w:t>receptor</w:t>
      </w:r>
      <w:r w:rsidR="00826146">
        <w:rPr>
          <w:lang w:val="en-GB"/>
        </w:rPr>
        <w:t>-</w:t>
      </w:r>
      <w:r w:rsidRPr="00222DB7">
        <w:t xml:space="preserve">positive, </w:t>
      </w:r>
      <w:r w:rsidR="00AF6503">
        <w:t>human epidermal growth factor receptor</w:t>
      </w:r>
      <w:r w:rsidR="00AF6503">
        <w:rPr>
          <w:lang w:val="en-GB"/>
        </w:rPr>
        <w:t> </w:t>
      </w:r>
      <w:r w:rsidR="00AF6503">
        <w:t xml:space="preserve">2 </w:t>
      </w:r>
      <w:r w:rsidR="00AF6503">
        <w:rPr>
          <w:lang w:val="en-GB"/>
        </w:rPr>
        <w:t>(</w:t>
      </w:r>
      <w:r w:rsidRPr="00222DB7">
        <w:t>HER2</w:t>
      </w:r>
      <w:r w:rsidR="00AF6503">
        <w:rPr>
          <w:lang w:val="en-GB"/>
        </w:rPr>
        <w:t>)</w:t>
      </w:r>
      <w:r w:rsidRPr="00222DB7">
        <w:t xml:space="preserve">-negative </w:t>
      </w:r>
      <w:r w:rsidR="001D6269">
        <w:rPr>
          <w:lang w:val="en-GB"/>
        </w:rPr>
        <w:t>advanced</w:t>
      </w:r>
      <w:r w:rsidR="001D6269" w:rsidRPr="00222DB7">
        <w:t xml:space="preserve"> </w:t>
      </w:r>
      <w:r w:rsidRPr="00222DB7">
        <w:t xml:space="preserve">breast cancer </w:t>
      </w:r>
      <w:r w:rsidR="001D6269">
        <w:rPr>
          <w:lang w:val="en-GB"/>
        </w:rPr>
        <w:t>in adults who have had</w:t>
      </w:r>
      <w:r w:rsidR="001D6269" w:rsidRPr="00222DB7">
        <w:t xml:space="preserve"> </w:t>
      </w:r>
      <w:r w:rsidRPr="00222DB7">
        <w:t>endocrine therapy</w:t>
      </w:r>
      <w:r>
        <w:rPr>
          <w:lang w:val="en-GB"/>
        </w:rPr>
        <w:t>.</w:t>
      </w:r>
    </w:p>
    <w:p w14:paraId="2F5C0936" w14:textId="25F845F8" w:rsidR="008B4290" w:rsidRPr="008B4290" w:rsidRDefault="008B4290" w:rsidP="00E257B5">
      <w:pPr>
        <w:pStyle w:val="Numberedlevel2text"/>
        <w:numPr>
          <w:ilvl w:val="1"/>
          <w:numId w:val="1"/>
        </w:numPr>
      </w:pPr>
      <w:r w:rsidRPr="008B4290">
        <w:t xml:space="preserve">This recommendation is not intended to affect treatment with </w:t>
      </w:r>
      <w:r w:rsidR="009D0A75">
        <w:rPr>
          <w:lang w:val="en-US"/>
        </w:rPr>
        <w:t>a</w:t>
      </w:r>
      <w:r w:rsidR="009D0A75" w:rsidRPr="009D0A75">
        <w:t xml:space="preserve">bemaciclib </w:t>
      </w:r>
      <w:r w:rsidR="00163983">
        <w:rPr>
          <w:lang w:val="en-GB"/>
        </w:rPr>
        <w:t>plus</w:t>
      </w:r>
      <w:r w:rsidR="00163983" w:rsidRPr="009D0A75">
        <w:t xml:space="preserve"> </w:t>
      </w:r>
      <w:r w:rsidR="009D0A75" w:rsidRPr="009D0A75">
        <w:t>fulvestrant</w:t>
      </w:r>
      <w:r w:rsidRPr="008B4290">
        <w:t xml:space="preserve"> that was started in the Cancer Drugs Fund before </w:t>
      </w:r>
      <w:r w:rsidR="00FE2CE3">
        <w:t xml:space="preserve">final </w:t>
      </w:r>
      <w:r w:rsidRPr="008B4290">
        <w:t xml:space="preserve">guidance was published. For those people, </w:t>
      </w:r>
      <w:r w:rsidR="009D0A75">
        <w:rPr>
          <w:lang w:val="en-US"/>
        </w:rPr>
        <w:t>a</w:t>
      </w:r>
      <w:r w:rsidR="009D0A75" w:rsidRPr="009D0A75">
        <w:t>bemaciclib with fulvestrant</w:t>
      </w:r>
      <w:r w:rsidRPr="008B4290">
        <w:t xml:space="preserve"> will be funded by the company until they and their NHS clinician consider it appropriate to stop.</w:t>
      </w:r>
    </w:p>
    <w:p w14:paraId="39DD9A78" w14:textId="77777777" w:rsidR="00C11F58" w:rsidRPr="008522C6" w:rsidRDefault="00C11F58" w:rsidP="008522C6">
      <w:pPr>
        <w:pStyle w:val="NICEnormal"/>
        <w:rPr>
          <w:b/>
        </w:rPr>
      </w:pPr>
      <w:r w:rsidRPr="008522C6">
        <w:rPr>
          <w:b/>
        </w:rPr>
        <w:t>Why the committee made these recommendations</w:t>
      </w:r>
    </w:p>
    <w:p w14:paraId="61BEC99F" w14:textId="33D13F35" w:rsidR="00AA5B3C" w:rsidRDefault="00947D0E" w:rsidP="00E257B5">
      <w:pPr>
        <w:pStyle w:val="NICEnormal"/>
      </w:pPr>
      <w:r w:rsidRPr="00293CA2">
        <w:t xml:space="preserve">This appraisal reviews </w:t>
      </w:r>
      <w:r w:rsidR="00AF6503">
        <w:t xml:space="preserve">the additional </w:t>
      </w:r>
      <w:r w:rsidRPr="00293CA2">
        <w:t xml:space="preserve">evidence collected </w:t>
      </w:r>
      <w:r w:rsidR="00AF6503">
        <w:t>as part of the Cancer Drugs Fund managed access agreement for</w:t>
      </w:r>
      <w:r w:rsidR="00466F4F">
        <w:t xml:space="preserve"> abemaciclib </w:t>
      </w:r>
      <w:r w:rsidR="00492747">
        <w:t>plus</w:t>
      </w:r>
      <w:r w:rsidR="00466F4F">
        <w:t xml:space="preserve"> fulvestrant </w:t>
      </w:r>
      <w:r w:rsidRPr="00293CA2">
        <w:t xml:space="preserve">for treating </w:t>
      </w:r>
      <w:r w:rsidRPr="00947D0E">
        <w:t>hormone</w:t>
      </w:r>
      <w:r w:rsidR="00826146">
        <w:t xml:space="preserve"> </w:t>
      </w:r>
      <w:r w:rsidRPr="00947D0E">
        <w:t>receptor</w:t>
      </w:r>
      <w:r w:rsidR="00826146">
        <w:t>-</w:t>
      </w:r>
      <w:r w:rsidRPr="00947D0E">
        <w:t xml:space="preserve">positive, HER2-negative </w:t>
      </w:r>
      <w:r w:rsidR="00AF6503">
        <w:t xml:space="preserve">advanced </w:t>
      </w:r>
      <w:r w:rsidRPr="00947D0E">
        <w:t>breast cancer after endocrine therapy (</w:t>
      </w:r>
      <w:hyperlink r:id="rId8" w:history="1">
        <w:r w:rsidRPr="004C609C">
          <w:rPr>
            <w:rStyle w:val="Hyperlink"/>
          </w:rPr>
          <w:t>NICE technology appraisal guidance 579</w:t>
        </w:r>
      </w:hyperlink>
      <w:r w:rsidRPr="00947D0E">
        <w:t>)</w:t>
      </w:r>
      <w:r>
        <w:t xml:space="preserve">. </w:t>
      </w:r>
      <w:r w:rsidR="00797E31">
        <w:t>Abemaciclib with fulvestrant</w:t>
      </w:r>
      <w:r w:rsidR="00797E31" w:rsidRPr="00B8569A">
        <w:t xml:space="preserve"> will no longer be available in the Cancer Drugs Fund for this indication after final guidance is published</w:t>
      </w:r>
      <w:r w:rsidR="00797E31">
        <w:t>.</w:t>
      </w:r>
    </w:p>
    <w:p w14:paraId="5676E3BE" w14:textId="69981B2B" w:rsidR="0089632F" w:rsidRDefault="0089632F">
      <w:pPr>
        <w:pStyle w:val="NICEnormal"/>
      </w:pPr>
      <w:r>
        <w:t xml:space="preserve">People with </w:t>
      </w:r>
      <w:r w:rsidRPr="00947D0E">
        <w:t>hormone</w:t>
      </w:r>
      <w:r w:rsidR="00826146">
        <w:t xml:space="preserve"> </w:t>
      </w:r>
      <w:r w:rsidRPr="00947D0E">
        <w:t>receptor</w:t>
      </w:r>
      <w:r w:rsidR="00826146">
        <w:t>-</w:t>
      </w:r>
      <w:r w:rsidRPr="00947D0E">
        <w:t xml:space="preserve">positive, HER2-negative </w:t>
      </w:r>
      <w:r>
        <w:t xml:space="preserve">advanced </w:t>
      </w:r>
      <w:r w:rsidRPr="00947D0E">
        <w:t xml:space="preserve">breast cancer </w:t>
      </w:r>
      <w:r>
        <w:t>usually have exemestane plus everolimus</w:t>
      </w:r>
      <w:r w:rsidDel="00C92711">
        <w:t xml:space="preserve"> </w:t>
      </w:r>
      <w:r>
        <w:t>after endocrine therapy.</w:t>
      </w:r>
    </w:p>
    <w:p w14:paraId="00E50E7F" w14:textId="68755BCB" w:rsidR="00A362B3" w:rsidRDefault="00BA368F" w:rsidP="005C26F9">
      <w:pPr>
        <w:pStyle w:val="NICEnormal"/>
      </w:pPr>
      <w:r>
        <w:t>Additional c</w:t>
      </w:r>
      <w:r w:rsidR="00BE4F50">
        <w:t xml:space="preserve">linical trial </w:t>
      </w:r>
      <w:r w:rsidR="00F568CB">
        <w:t>evidence</w:t>
      </w:r>
      <w:r w:rsidR="00947D0E">
        <w:t xml:space="preserve"> </w:t>
      </w:r>
      <w:r>
        <w:t>was collected</w:t>
      </w:r>
      <w:r w:rsidR="00B51546">
        <w:t xml:space="preserve"> while abemaciclib plus fulvestrant was</w:t>
      </w:r>
      <w:r>
        <w:t xml:space="preserve"> in the Cancer Drugs Fund. </w:t>
      </w:r>
      <w:r w:rsidR="00C61AD1">
        <w:t xml:space="preserve">But some people </w:t>
      </w:r>
      <w:r w:rsidR="005C26F9">
        <w:t xml:space="preserve">in the trial </w:t>
      </w:r>
      <w:r w:rsidR="00C61AD1">
        <w:t xml:space="preserve">had a </w:t>
      </w:r>
      <w:r w:rsidR="005C26F9">
        <w:t>higher</w:t>
      </w:r>
      <w:r w:rsidR="00C61AD1">
        <w:t xml:space="preserve"> dose of abemaciclib </w:t>
      </w:r>
      <w:r w:rsidR="00A362B3">
        <w:t>than</w:t>
      </w:r>
      <w:r w:rsidR="00C61AD1">
        <w:t xml:space="preserve"> would </w:t>
      </w:r>
      <w:r w:rsidR="00CB260F">
        <w:t xml:space="preserve">normally </w:t>
      </w:r>
      <w:r w:rsidR="00C61AD1">
        <w:t>be used</w:t>
      </w:r>
      <w:r w:rsidR="005C26F9">
        <w:t xml:space="preserve">, </w:t>
      </w:r>
      <w:r w:rsidR="00A362B3">
        <w:t xml:space="preserve">so it is </w:t>
      </w:r>
      <w:r w:rsidR="006F61D0">
        <w:t>un</w:t>
      </w:r>
      <w:r w:rsidR="00A362B3">
        <w:t>c</w:t>
      </w:r>
      <w:r w:rsidR="00C826D2">
        <w:t>ertain</w:t>
      </w:r>
      <w:r w:rsidR="005C26F9">
        <w:t xml:space="preserve"> how well the drug will work in clinical practice</w:t>
      </w:r>
      <w:r w:rsidR="00C61AD1">
        <w:t>.</w:t>
      </w:r>
    </w:p>
    <w:p w14:paraId="1FF45C7F" w14:textId="38DC703B" w:rsidR="003A4E42" w:rsidRDefault="00C61AD1" w:rsidP="005C26F9">
      <w:pPr>
        <w:pStyle w:val="NICEnormal"/>
      </w:pPr>
      <w:r>
        <w:t>T</w:t>
      </w:r>
      <w:r w:rsidR="0089632F">
        <w:t xml:space="preserve">here is </w:t>
      </w:r>
      <w:r w:rsidR="00A362B3">
        <w:t xml:space="preserve">also </w:t>
      </w:r>
      <w:r w:rsidR="0089632F">
        <w:t>uncertainty because</w:t>
      </w:r>
      <w:r w:rsidR="00AC1878">
        <w:t xml:space="preserve"> </w:t>
      </w:r>
      <w:r w:rsidR="00B53FCC">
        <w:t xml:space="preserve">there is </w:t>
      </w:r>
      <w:r w:rsidR="001C2CBF">
        <w:t>no evidence directly</w:t>
      </w:r>
      <w:r w:rsidR="00F257DD">
        <w:t xml:space="preserve"> </w:t>
      </w:r>
      <w:r w:rsidR="00B53FCC">
        <w:t>compari</w:t>
      </w:r>
      <w:r w:rsidR="00F257DD">
        <w:t>ng</w:t>
      </w:r>
      <w:r w:rsidR="00B53FCC">
        <w:t xml:space="preserve"> </w:t>
      </w:r>
      <w:r w:rsidR="00AC1878">
        <w:t xml:space="preserve">abemaciclib </w:t>
      </w:r>
      <w:r w:rsidR="00163983">
        <w:t xml:space="preserve">plus </w:t>
      </w:r>
      <w:r w:rsidR="00AC1878">
        <w:t xml:space="preserve">fulvestrant with exemestane </w:t>
      </w:r>
      <w:r w:rsidR="00163983">
        <w:t xml:space="preserve">plus </w:t>
      </w:r>
      <w:r w:rsidR="00AC1878">
        <w:t xml:space="preserve">everolimus. </w:t>
      </w:r>
      <w:r w:rsidR="00F257DD">
        <w:t xml:space="preserve">An indirect </w:t>
      </w:r>
      <w:r w:rsidR="00A922F1">
        <w:t xml:space="preserve">comparison </w:t>
      </w:r>
      <w:r w:rsidR="000E2B65">
        <w:t>s</w:t>
      </w:r>
      <w:r w:rsidR="00F4668D">
        <w:t>uggest</w:t>
      </w:r>
      <w:r w:rsidR="000E2B65">
        <w:t xml:space="preserve">s that </w:t>
      </w:r>
      <w:r w:rsidR="005743E3">
        <w:t xml:space="preserve">people </w:t>
      </w:r>
      <w:r w:rsidR="00A9404F">
        <w:t>hav</w:t>
      </w:r>
      <w:r w:rsidR="005743E3">
        <w:t xml:space="preserve">ing </w:t>
      </w:r>
      <w:r w:rsidR="000E2B65">
        <w:t xml:space="preserve">abemaciclib </w:t>
      </w:r>
      <w:r w:rsidR="00163983">
        <w:t xml:space="preserve">plus </w:t>
      </w:r>
      <w:r w:rsidR="000E2B65">
        <w:t>fulvestrant</w:t>
      </w:r>
      <w:r w:rsidR="002B5C6C">
        <w:t xml:space="preserve"> </w:t>
      </w:r>
      <w:r w:rsidR="005743E3">
        <w:t>have</w:t>
      </w:r>
      <w:r w:rsidR="003A4E42">
        <w:t xml:space="preserve"> long</w:t>
      </w:r>
      <w:r w:rsidR="005743E3">
        <w:t>er</w:t>
      </w:r>
      <w:r w:rsidR="003A4E42">
        <w:t xml:space="preserve"> before their disease progresses</w:t>
      </w:r>
      <w:r w:rsidR="000E2B65">
        <w:t xml:space="preserve"> and </w:t>
      </w:r>
      <w:r w:rsidR="002B5C6C">
        <w:t>live</w:t>
      </w:r>
      <w:r w:rsidR="005743E3">
        <w:t xml:space="preserve"> longer</w:t>
      </w:r>
      <w:r w:rsidR="002B5C6C">
        <w:t xml:space="preserve"> </w:t>
      </w:r>
      <w:r w:rsidR="00A9404F">
        <w:t>than people having</w:t>
      </w:r>
      <w:r w:rsidR="002B5C6C">
        <w:t xml:space="preserve"> </w:t>
      </w:r>
      <w:r w:rsidR="003A4E42">
        <w:t>exemestane</w:t>
      </w:r>
      <w:r w:rsidR="00E43FB4">
        <w:t xml:space="preserve"> </w:t>
      </w:r>
      <w:r w:rsidR="00163983">
        <w:t xml:space="preserve">plus </w:t>
      </w:r>
      <w:r w:rsidR="00E43FB4">
        <w:lastRenderedPageBreak/>
        <w:t>everolimus</w:t>
      </w:r>
      <w:r w:rsidR="003A4E42">
        <w:t xml:space="preserve">. </w:t>
      </w:r>
      <w:r w:rsidR="001C5E78">
        <w:t xml:space="preserve">Also, </w:t>
      </w:r>
      <w:r w:rsidR="00B80810">
        <w:t>it is unclear</w:t>
      </w:r>
      <w:r w:rsidR="003A4E42">
        <w:t xml:space="preserve"> </w:t>
      </w:r>
      <w:r w:rsidR="00A20CEF">
        <w:t>how long</w:t>
      </w:r>
      <w:r w:rsidR="003A4E42">
        <w:t xml:space="preserve"> people </w:t>
      </w:r>
      <w:r w:rsidR="00A20CEF">
        <w:t xml:space="preserve">would </w:t>
      </w:r>
      <w:r w:rsidR="001C5E78">
        <w:t>have treatment for</w:t>
      </w:r>
      <w:r w:rsidR="003A4E42">
        <w:t>, and therefore how much the treatments would cost.</w:t>
      </w:r>
    </w:p>
    <w:p w14:paraId="732CBEED" w14:textId="7BCA6923" w:rsidR="003A4E42" w:rsidRPr="00B8464A" w:rsidRDefault="003A4E42" w:rsidP="005E1355">
      <w:pPr>
        <w:pStyle w:val="NICEnormal"/>
      </w:pPr>
      <w:r>
        <w:t>Because of th</w:t>
      </w:r>
      <w:r w:rsidR="005E1355">
        <w:t>ese uncertainties</w:t>
      </w:r>
      <w:r>
        <w:t xml:space="preserve"> the cost-effectiveness estimates vary. The most likely estimates are </w:t>
      </w:r>
      <w:r w:rsidR="000D1D50">
        <w:t xml:space="preserve">higher than </w:t>
      </w:r>
      <w:r>
        <w:t>what NICE considers</w:t>
      </w:r>
      <w:r w:rsidRPr="005112EC">
        <w:t xml:space="preserve"> a cost-effective use of NHS resources. Therefore,</w:t>
      </w:r>
      <w:r>
        <w:t xml:space="preserve"> abemaciclib </w:t>
      </w:r>
      <w:r w:rsidR="00163983">
        <w:t>plus</w:t>
      </w:r>
      <w:r>
        <w:t xml:space="preserve"> fulvestrant</w:t>
      </w:r>
      <w:r w:rsidRPr="005112EC">
        <w:t xml:space="preserve"> is not recommended.</w:t>
      </w:r>
    </w:p>
    <w:p w14:paraId="78A75E9B" w14:textId="16F421C8" w:rsidR="00EA1CB1" w:rsidRDefault="00EA1CB1" w:rsidP="00B54F03">
      <w:pPr>
        <w:pStyle w:val="Numberedheading1"/>
        <w:keepLines/>
      </w:pPr>
      <w:r>
        <w:t xml:space="preserve">Information about </w:t>
      </w:r>
      <w:r w:rsidR="00B54F03">
        <w:t>abemaciclib with fulvestrant</w:t>
      </w:r>
    </w:p>
    <w:p w14:paraId="47E553B3" w14:textId="3F3BBCD2" w:rsidR="00B82A82" w:rsidRDefault="00B82A82" w:rsidP="00B82A82">
      <w:pPr>
        <w:pStyle w:val="Heading2"/>
      </w:pPr>
      <w:r w:rsidRPr="00A76391">
        <w:t>Marketing authorisation indication</w:t>
      </w:r>
    </w:p>
    <w:p w14:paraId="39255AC6" w14:textId="08EC8AEB" w:rsidR="000E2B65" w:rsidRPr="000E2B65" w:rsidRDefault="000E2B65" w:rsidP="004C609C">
      <w:pPr>
        <w:pStyle w:val="Numberedlevel2text"/>
        <w:numPr>
          <w:ilvl w:val="1"/>
          <w:numId w:val="1"/>
        </w:numPr>
        <w:rPr>
          <w:rStyle w:val="NICEnormalChar"/>
          <w:szCs w:val="28"/>
          <w:lang w:val="x-none"/>
        </w:rPr>
      </w:pPr>
      <w:r>
        <w:rPr>
          <w:lang w:val="en-GB"/>
        </w:rPr>
        <w:t>Abemaciclib</w:t>
      </w:r>
      <w:r w:rsidR="00492747">
        <w:rPr>
          <w:lang w:val="en-GB"/>
        </w:rPr>
        <w:t xml:space="preserve"> (</w:t>
      </w:r>
      <w:r w:rsidR="00492747">
        <w:t>Verzenios</w:t>
      </w:r>
      <w:r w:rsidR="00492747">
        <w:rPr>
          <w:lang w:val="en-GB"/>
        </w:rPr>
        <w:t>, Eli Lilly)</w:t>
      </w:r>
      <w:r>
        <w:rPr>
          <w:lang w:val="en-GB"/>
        </w:rPr>
        <w:t xml:space="preserve"> </w:t>
      </w:r>
      <w:r>
        <w:t xml:space="preserve">is indicated </w:t>
      </w:r>
      <w:r w:rsidR="004C609C">
        <w:rPr>
          <w:lang w:val="en-GB"/>
        </w:rPr>
        <w:t>‘</w:t>
      </w:r>
      <w:r>
        <w:t>for the treatment of women with hormone receptor (HR) positive, human epidermal growth factor receptor 2 (HER2) negative locally advanced or metastatic breast cancer in combination with an aromatase inhibitor or fulvestrant as initial endocrine-based therapy, or in women who have received prior endocrine therapy</w:t>
      </w:r>
      <w:r w:rsidR="00D538AD">
        <w:rPr>
          <w:lang w:val="en-US"/>
        </w:rPr>
        <w:t xml:space="preserve">. </w:t>
      </w:r>
      <w:r w:rsidR="00D538AD" w:rsidRPr="00D538AD">
        <w:t>In pre- or perimenopausal women, the endocrine therapy should be combined with a luteinising hormone-releasing hormone (LHRH) agonist.</w:t>
      </w:r>
      <w:r w:rsidR="004C609C">
        <w:rPr>
          <w:lang w:val="en-GB"/>
        </w:rPr>
        <w:t>’</w:t>
      </w:r>
    </w:p>
    <w:p w14:paraId="48DCF28C" w14:textId="77777777" w:rsidR="00B82A82" w:rsidRDefault="00B82A82" w:rsidP="00B82A82">
      <w:pPr>
        <w:pStyle w:val="Heading2"/>
      </w:pPr>
      <w:r>
        <w:t>Dosage in the marketing authorisation</w:t>
      </w:r>
    </w:p>
    <w:p w14:paraId="5F51D147" w14:textId="1F305E86" w:rsidR="00B82A82" w:rsidRPr="00570524" w:rsidRDefault="00FE2CE3" w:rsidP="004C609C">
      <w:pPr>
        <w:pStyle w:val="Numberedlevel2text"/>
        <w:numPr>
          <w:ilvl w:val="1"/>
          <w:numId w:val="1"/>
        </w:numPr>
        <w:rPr>
          <w:rStyle w:val="Numberedlevel2textChar"/>
        </w:rPr>
      </w:pPr>
      <w:r w:rsidRPr="00570524">
        <w:t xml:space="preserve">The dosage schedule is </w:t>
      </w:r>
      <w:r w:rsidR="00570524" w:rsidRPr="00570524">
        <w:t xml:space="preserve">available in </w:t>
      </w:r>
      <w:r w:rsidR="00570524">
        <w:t xml:space="preserve">the </w:t>
      </w:r>
      <w:hyperlink r:id="rId9" w:anchor="gref" w:history="1">
        <w:r w:rsidR="00570524" w:rsidRPr="00F377AC">
          <w:rPr>
            <w:rStyle w:val="Hyperlink"/>
          </w:rPr>
          <w:t>summary of product characteristics</w:t>
        </w:r>
      </w:hyperlink>
      <w:r w:rsidR="004C609C">
        <w:rPr>
          <w:lang w:val="en-GB"/>
        </w:rPr>
        <w:t>.</w:t>
      </w:r>
    </w:p>
    <w:p w14:paraId="60D68AA0" w14:textId="77777777" w:rsidR="00B82A82" w:rsidRDefault="00B82A82" w:rsidP="00B82A82">
      <w:pPr>
        <w:pStyle w:val="Heading2"/>
      </w:pPr>
      <w:r>
        <w:t>Price</w:t>
      </w:r>
    </w:p>
    <w:p w14:paraId="51E14934" w14:textId="1DA7096F" w:rsidR="00CD5337" w:rsidRPr="00CA73CB" w:rsidRDefault="004C609C" w:rsidP="003360F4">
      <w:pPr>
        <w:pStyle w:val="Numberedlevel2text"/>
        <w:rPr>
          <w:rStyle w:val="NICEnormalChar"/>
          <w:szCs w:val="28"/>
          <w:lang w:val="x-none"/>
        </w:rPr>
      </w:pPr>
      <w:r>
        <w:rPr>
          <w:rStyle w:val="NICEnormalChar"/>
          <w:szCs w:val="28"/>
        </w:rPr>
        <w:t>The list price</w:t>
      </w:r>
      <w:r w:rsidR="008B2F4E">
        <w:rPr>
          <w:rStyle w:val="NICEnormalChar"/>
          <w:szCs w:val="28"/>
        </w:rPr>
        <w:t xml:space="preserve"> for abemaciclib </w:t>
      </w:r>
      <w:r>
        <w:rPr>
          <w:rStyle w:val="NICEnormalChar"/>
          <w:szCs w:val="28"/>
        </w:rPr>
        <w:t xml:space="preserve">is </w:t>
      </w:r>
      <w:r w:rsidR="008B2F4E">
        <w:rPr>
          <w:rStyle w:val="NICEnormalChar"/>
          <w:szCs w:val="28"/>
        </w:rPr>
        <w:t xml:space="preserve">£2,950 per 28-day cycle: </w:t>
      </w:r>
      <w:r>
        <w:rPr>
          <w:rStyle w:val="NICEnormalChar"/>
          <w:szCs w:val="28"/>
        </w:rPr>
        <w:t>£1</w:t>
      </w:r>
      <w:r w:rsidR="003360F4">
        <w:rPr>
          <w:rStyle w:val="NICEnormalChar"/>
          <w:szCs w:val="28"/>
        </w:rPr>
        <w:t>,</w:t>
      </w:r>
      <w:r>
        <w:rPr>
          <w:rStyle w:val="NICEnormalChar"/>
          <w:szCs w:val="28"/>
        </w:rPr>
        <w:t>475 per 28</w:t>
      </w:r>
      <w:r w:rsidR="00C36B16">
        <w:rPr>
          <w:rStyle w:val="NICEnormalChar"/>
          <w:szCs w:val="28"/>
        </w:rPr>
        <w:t>-tablet</w:t>
      </w:r>
      <w:r>
        <w:rPr>
          <w:rStyle w:val="NICEnormalChar"/>
          <w:szCs w:val="28"/>
        </w:rPr>
        <w:t xml:space="preserve"> pack</w:t>
      </w:r>
      <w:r w:rsidR="00991C16">
        <w:rPr>
          <w:rStyle w:val="NICEnormalChar"/>
          <w:szCs w:val="28"/>
        </w:rPr>
        <w:t>, or £2</w:t>
      </w:r>
      <w:r w:rsidR="003360F4">
        <w:rPr>
          <w:rStyle w:val="NICEnormalChar"/>
          <w:szCs w:val="28"/>
        </w:rPr>
        <w:t>,</w:t>
      </w:r>
      <w:r w:rsidR="00991C16">
        <w:rPr>
          <w:rStyle w:val="NICEnormalChar"/>
          <w:szCs w:val="28"/>
        </w:rPr>
        <w:t>950 per 56</w:t>
      </w:r>
      <w:r w:rsidR="00C36B16">
        <w:rPr>
          <w:rStyle w:val="NICEnormalChar"/>
          <w:szCs w:val="28"/>
        </w:rPr>
        <w:t>-tablet</w:t>
      </w:r>
      <w:r w:rsidR="00991C16">
        <w:rPr>
          <w:rStyle w:val="NICEnormalChar"/>
          <w:szCs w:val="28"/>
        </w:rPr>
        <w:t xml:space="preserve"> pack of 150</w:t>
      </w:r>
      <w:r w:rsidR="00C36B16">
        <w:rPr>
          <w:rStyle w:val="NICEnormalChar"/>
          <w:szCs w:val="28"/>
        </w:rPr>
        <w:t> </w:t>
      </w:r>
      <w:r w:rsidR="00991C16">
        <w:rPr>
          <w:rStyle w:val="NICEnormalChar"/>
          <w:szCs w:val="28"/>
        </w:rPr>
        <w:t>mg tablets; £1</w:t>
      </w:r>
      <w:r w:rsidR="003360F4">
        <w:rPr>
          <w:rStyle w:val="NICEnormalChar"/>
          <w:szCs w:val="28"/>
        </w:rPr>
        <w:t>,</w:t>
      </w:r>
      <w:r w:rsidR="00991C16">
        <w:rPr>
          <w:rStyle w:val="NICEnormalChar"/>
          <w:szCs w:val="28"/>
        </w:rPr>
        <w:t>475 per 28</w:t>
      </w:r>
      <w:r w:rsidR="00C36B16">
        <w:rPr>
          <w:rStyle w:val="NICEnormalChar"/>
          <w:szCs w:val="28"/>
        </w:rPr>
        <w:t>-tablet</w:t>
      </w:r>
      <w:r w:rsidR="00991C16">
        <w:rPr>
          <w:rStyle w:val="NICEnormalChar"/>
          <w:szCs w:val="28"/>
        </w:rPr>
        <w:t xml:space="preserve"> pack, or £2</w:t>
      </w:r>
      <w:r w:rsidR="003360F4">
        <w:rPr>
          <w:rStyle w:val="NICEnormalChar"/>
          <w:szCs w:val="28"/>
        </w:rPr>
        <w:t>,</w:t>
      </w:r>
      <w:r w:rsidR="00991C16">
        <w:rPr>
          <w:rStyle w:val="NICEnormalChar"/>
          <w:szCs w:val="28"/>
        </w:rPr>
        <w:t>950 per 56</w:t>
      </w:r>
      <w:r w:rsidR="00C36B16">
        <w:rPr>
          <w:rStyle w:val="NICEnormalChar"/>
          <w:szCs w:val="28"/>
        </w:rPr>
        <w:t>-tablet</w:t>
      </w:r>
      <w:r w:rsidR="00991C16">
        <w:rPr>
          <w:rStyle w:val="NICEnormalChar"/>
          <w:szCs w:val="28"/>
        </w:rPr>
        <w:t xml:space="preserve"> pack of 100</w:t>
      </w:r>
      <w:r w:rsidR="00C36B16">
        <w:rPr>
          <w:rStyle w:val="NICEnormalChar"/>
          <w:szCs w:val="28"/>
        </w:rPr>
        <w:t> </w:t>
      </w:r>
      <w:r w:rsidR="00991C16">
        <w:rPr>
          <w:rStyle w:val="NICEnormalChar"/>
          <w:szCs w:val="28"/>
        </w:rPr>
        <w:t>mg tablets; and £1</w:t>
      </w:r>
      <w:r w:rsidR="003360F4">
        <w:rPr>
          <w:rStyle w:val="NICEnormalChar"/>
          <w:szCs w:val="28"/>
        </w:rPr>
        <w:t>,</w:t>
      </w:r>
      <w:r w:rsidR="00991C16">
        <w:rPr>
          <w:rStyle w:val="NICEnormalChar"/>
          <w:szCs w:val="28"/>
        </w:rPr>
        <w:t>475 per 28</w:t>
      </w:r>
      <w:r w:rsidR="00C36B16">
        <w:rPr>
          <w:rStyle w:val="NICEnormalChar"/>
          <w:szCs w:val="28"/>
        </w:rPr>
        <w:t>-tablet</w:t>
      </w:r>
      <w:r w:rsidR="00991C16">
        <w:rPr>
          <w:rStyle w:val="NICEnormalChar"/>
          <w:szCs w:val="28"/>
        </w:rPr>
        <w:t xml:space="preserve"> pack, or £2</w:t>
      </w:r>
      <w:r w:rsidR="003360F4">
        <w:rPr>
          <w:rStyle w:val="NICEnormalChar"/>
          <w:szCs w:val="28"/>
        </w:rPr>
        <w:t>,</w:t>
      </w:r>
      <w:r w:rsidR="00991C16">
        <w:rPr>
          <w:rStyle w:val="NICEnormalChar"/>
          <w:szCs w:val="28"/>
        </w:rPr>
        <w:t>950 per 56</w:t>
      </w:r>
      <w:r w:rsidR="00C36B16">
        <w:rPr>
          <w:rStyle w:val="NICEnormalChar"/>
          <w:szCs w:val="28"/>
        </w:rPr>
        <w:t>-tablet</w:t>
      </w:r>
      <w:r w:rsidR="00991C16">
        <w:rPr>
          <w:rStyle w:val="NICEnormalChar"/>
          <w:szCs w:val="28"/>
        </w:rPr>
        <w:t xml:space="preserve"> pack of 50</w:t>
      </w:r>
      <w:r w:rsidR="00C36B16">
        <w:rPr>
          <w:rStyle w:val="NICEnormalChar"/>
          <w:szCs w:val="28"/>
        </w:rPr>
        <w:t> </w:t>
      </w:r>
      <w:r w:rsidR="00991C16">
        <w:rPr>
          <w:rStyle w:val="NICEnormalChar"/>
          <w:szCs w:val="28"/>
        </w:rPr>
        <w:t>mg tablets (excluding VAT; BNF online, accessed January 2021).</w:t>
      </w:r>
    </w:p>
    <w:p w14:paraId="2A307BF0" w14:textId="49DA4CF1" w:rsidR="00CD5337" w:rsidRDefault="008B2F4E" w:rsidP="008720D8">
      <w:pPr>
        <w:pStyle w:val="Numberedlevel2text"/>
      </w:pPr>
      <w:r w:rsidRPr="00CD5337">
        <w:rPr>
          <w:rStyle w:val="NICEnormalChar"/>
          <w:szCs w:val="28"/>
        </w:rPr>
        <w:t xml:space="preserve">The list price for fulvestrant is </w:t>
      </w:r>
      <w:r w:rsidRPr="008B2F4E">
        <w:t xml:space="preserve">£522.41 </w:t>
      </w:r>
      <w:r w:rsidR="00CD5337">
        <w:rPr>
          <w:lang w:val="en-GB"/>
        </w:rPr>
        <w:t>for two</w:t>
      </w:r>
      <w:r w:rsidRPr="008B2F4E">
        <w:t xml:space="preserve"> 250</w:t>
      </w:r>
      <w:r w:rsidR="00CD5337">
        <w:rPr>
          <w:lang w:val="en-GB"/>
        </w:rPr>
        <w:t> </w:t>
      </w:r>
      <w:r w:rsidRPr="008B2F4E">
        <w:t>mg/5</w:t>
      </w:r>
      <w:r w:rsidR="00CD5337">
        <w:rPr>
          <w:lang w:val="en-GB"/>
        </w:rPr>
        <w:t> </w:t>
      </w:r>
      <w:r w:rsidRPr="008B2F4E">
        <w:t xml:space="preserve">ml </w:t>
      </w:r>
      <w:r w:rsidR="008540E4">
        <w:rPr>
          <w:lang w:val="en-GB"/>
        </w:rPr>
        <w:t xml:space="preserve">pre-filled syringes of </w:t>
      </w:r>
      <w:r w:rsidRPr="008B2F4E">
        <w:t>solution for injection</w:t>
      </w:r>
      <w:r w:rsidR="003360F4">
        <w:t>, which equates to £</w:t>
      </w:r>
      <w:r w:rsidR="003360F4" w:rsidRPr="003360F4">
        <w:rPr>
          <w:lang w:val="en-GB"/>
        </w:rPr>
        <w:t>1,044.82</w:t>
      </w:r>
      <w:r w:rsidR="003360F4">
        <w:rPr>
          <w:lang w:val="en-GB"/>
        </w:rPr>
        <w:t xml:space="preserve"> for the first cycle, and £522.41 for subsequent cycles </w:t>
      </w:r>
      <w:r w:rsidR="008540E4">
        <w:rPr>
          <w:rStyle w:val="NICEnormalChar"/>
          <w:szCs w:val="28"/>
        </w:rPr>
        <w:t>(excluding VAT; BNF online, accessed January 2021).</w:t>
      </w:r>
      <w:bookmarkStart w:id="1" w:name="_Hlk24530292"/>
    </w:p>
    <w:p w14:paraId="58D93E08" w14:textId="66CEE4E8" w:rsidR="00B82A82" w:rsidRDefault="00B82A82" w:rsidP="00CA73CB">
      <w:pPr>
        <w:pStyle w:val="Numberedlevel2text"/>
      </w:pPr>
      <w:r>
        <w:lastRenderedPageBreak/>
        <w:t>The company has a commercial arrangement</w:t>
      </w:r>
      <w:r w:rsidR="000576F0">
        <w:t xml:space="preserve"> (simple discount patient access scheme)</w:t>
      </w:r>
      <w:r>
        <w:t>. This</w:t>
      </w:r>
      <w:r w:rsidRPr="00B520D8">
        <w:t xml:space="preserve"> makes </w:t>
      </w:r>
      <w:r w:rsidR="00C32D1E">
        <w:t xml:space="preserve">abemaciclib </w:t>
      </w:r>
      <w:r w:rsidRPr="00B520D8">
        <w:t>available to the NHS with a discount</w:t>
      </w:r>
      <w:r>
        <w:t xml:space="preserve"> and it would have also applied to this indication if the technology had been recommended</w:t>
      </w:r>
      <w:r w:rsidRPr="00B520D8">
        <w:t>. The size of the discount is commercial in confidence. It is the company</w:t>
      </w:r>
      <w:r>
        <w:t>’s responsibility</w:t>
      </w:r>
      <w:r w:rsidRPr="00B520D8">
        <w:t xml:space="preserve"> to </w:t>
      </w:r>
      <w:r>
        <w:t>let</w:t>
      </w:r>
      <w:r w:rsidRPr="00B520D8">
        <w:t xml:space="preserve"> relevant NHS organisations</w:t>
      </w:r>
      <w:r>
        <w:t xml:space="preserve"> know details of the discount.</w:t>
      </w:r>
    </w:p>
    <w:bookmarkEnd w:id="1"/>
    <w:p w14:paraId="1221CFFC" w14:textId="77777777" w:rsidR="00F130AD" w:rsidRDefault="00222BEA" w:rsidP="00F130AD">
      <w:pPr>
        <w:pStyle w:val="Numberedheading1"/>
      </w:pPr>
      <w:r w:rsidRPr="000F48EC">
        <w:t>Co</w:t>
      </w:r>
      <w:r>
        <w:t>mmittee discussion</w:t>
      </w:r>
    </w:p>
    <w:p w14:paraId="3634A4EE" w14:textId="7F92517E" w:rsidR="002B5772" w:rsidRPr="00C63D4E" w:rsidRDefault="00BC7D9E" w:rsidP="00466F4F">
      <w:pPr>
        <w:pStyle w:val="NICEnormal"/>
      </w:pPr>
      <w:r w:rsidRPr="007D7F83">
        <w:t xml:space="preserve">The </w:t>
      </w:r>
      <w:hyperlink w:anchor="_Appraisal_committee_members" w:history="1">
        <w:r w:rsidR="00343B53" w:rsidRPr="00866CC6">
          <w:rPr>
            <w:rStyle w:val="Hyperlink"/>
          </w:rPr>
          <w:t>a</w:t>
        </w:r>
        <w:r w:rsidRPr="00866CC6">
          <w:rPr>
            <w:rStyle w:val="Hyperlink"/>
          </w:rPr>
          <w:t xml:space="preserve">ppraisal </w:t>
        </w:r>
        <w:r w:rsidR="00343B53" w:rsidRPr="00866CC6">
          <w:rPr>
            <w:rStyle w:val="Hyperlink"/>
          </w:rPr>
          <w:t>c</w:t>
        </w:r>
        <w:r w:rsidRPr="00866CC6">
          <w:rPr>
            <w:rStyle w:val="Hyperlink"/>
          </w:rPr>
          <w:t>ommittee</w:t>
        </w:r>
      </w:hyperlink>
      <w:r w:rsidRPr="007D7F83">
        <w:t xml:space="preserve"> considered evidence submitted by </w:t>
      </w:r>
      <w:r w:rsidR="00991C16">
        <w:t>Eli Lilly,</w:t>
      </w:r>
      <w:r w:rsidRPr="00981B9F">
        <w:t xml:space="preserve"> </w:t>
      </w:r>
      <w:r w:rsidRPr="007D7F83">
        <w:t xml:space="preserve">a review of this submission by the </w:t>
      </w:r>
      <w:r w:rsidR="00343B53">
        <w:t>e</w:t>
      </w:r>
      <w:r w:rsidRPr="007D7F83">
        <w:t xml:space="preserve">vidence </w:t>
      </w:r>
      <w:r w:rsidR="00343B53">
        <w:t>r</w:t>
      </w:r>
      <w:r w:rsidRPr="007D7F83">
        <w:t xml:space="preserve">eview </w:t>
      </w:r>
      <w:r w:rsidR="00343B53">
        <w:t>g</w:t>
      </w:r>
      <w:r w:rsidRPr="007D7F83">
        <w:t>roup (ERG)</w:t>
      </w:r>
      <w:r w:rsidR="00466F4F">
        <w:t xml:space="preserve"> </w:t>
      </w:r>
      <w:r w:rsidR="000B1027">
        <w:t>and responses from</w:t>
      </w:r>
      <w:r w:rsidR="00E9265B">
        <w:t xml:space="preserve"> stakeholders</w:t>
      </w:r>
      <w:r w:rsidRPr="007D7F83">
        <w:t>.</w:t>
      </w:r>
      <w:r w:rsidR="00C63D4E">
        <w:t xml:space="preserve"> </w:t>
      </w:r>
      <w:r w:rsidR="002B5772">
        <w:t xml:space="preserve">See the </w:t>
      </w:r>
      <w:hyperlink r:id="rId10" w:history="1">
        <w:r w:rsidR="002B5772">
          <w:rPr>
            <w:rStyle w:val="Hyperlink"/>
          </w:rPr>
          <w:t>committee papers</w:t>
        </w:r>
      </w:hyperlink>
      <w:r w:rsidR="002B5772">
        <w:t xml:space="preserve"> for full details of the evidence</w:t>
      </w:r>
      <w:r w:rsidR="002B5772" w:rsidRPr="000F2D8A">
        <w:t>.</w:t>
      </w:r>
    </w:p>
    <w:p w14:paraId="1CA802A6" w14:textId="71DD7286" w:rsidR="006B0F36" w:rsidRDefault="002B5772" w:rsidP="005E1355">
      <w:pPr>
        <w:pStyle w:val="NICEnormal"/>
      </w:pPr>
      <w:r>
        <w:t xml:space="preserve">The appraisal committee was aware </w:t>
      </w:r>
      <w:r w:rsidR="002555BE">
        <w:t>that several</w:t>
      </w:r>
      <w:r>
        <w:t xml:space="preserve"> issues were </w:t>
      </w:r>
      <w:r w:rsidR="005E1355">
        <w:t>addressed</w:t>
      </w:r>
      <w:r>
        <w:t xml:space="preserve"> during </w:t>
      </w:r>
      <w:r w:rsidR="006D4D1A">
        <w:t xml:space="preserve">the </w:t>
      </w:r>
      <w:r w:rsidR="00E95253">
        <w:t>technical engagement</w:t>
      </w:r>
      <w:r w:rsidR="006D4D1A">
        <w:t xml:space="preserve"> stage</w:t>
      </w:r>
      <w:r w:rsidR="007D1008">
        <w:t>, and agreed that:</w:t>
      </w:r>
    </w:p>
    <w:p w14:paraId="747A5904" w14:textId="6102C18C" w:rsidR="006B0F36" w:rsidRDefault="00F024F3" w:rsidP="00141D87">
      <w:pPr>
        <w:pStyle w:val="Bulletleft1"/>
      </w:pPr>
      <w:r>
        <w:t>C</w:t>
      </w:r>
      <w:r w:rsidR="00FB3275">
        <w:t>osts and resource use codes</w:t>
      </w:r>
      <w:r w:rsidR="00FB3275" w:rsidRPr="00210E63">
        <w:t xml:space="preserve"> </w:t>
      </w:r>
      <w:r w:rsidR="00141D87">
        <w:t xml:space="preserve">for the comparator, subsequent treatments, drug administration costs, treatment of adverse events, disease monitoring, terminal care and hospitalisation </w:t>
      </w:r>
      <w:r w:rsidR="001A479C" w:rsidRPr="00210E63">
        <w:t xml:space="preserve">used in the model were </w:t>
      </w:r>
      <w:r w:rsidR="00210E63">
        <w:t xml:space="preserve">acceptable after </w:t>
      </w:r>
      <w:r w:rsidR="00BD5263">
        <w:t>an</w:t>
      </w:r>
      <w:r w:rsidR="00210E63">
        <w:t xml:space="preserve"> </w:t>
      </w:r>
      <w:r w:rsidR="001A479C" w:rsidRPr="00210E63">
        <w:t xml:space="preserve">update by the </w:t>
      </w:r>
      <w:r w:rsidR="001A479C" w:rsidRPr="0033247E">
        <w:t>company and minor corrections made by the ERG</w:t>
      </w:r>
      <w:r>
        <w:t>.</w:t>
      </w:r>
    </w:p>
    <w:p w14:paraId="10C659AB" w14:textId="41C7F226" w:rsidR="00802084" w:rsidRDefault="00F024F3" w:rsidP="006B0F36">
      <w:pPr>
        <w:pStyle w:val="Bulletleft1"/>
      </w:pPr>
      <w:r>
        <w:t>T</w:t>
      </w:r>
      <w:r w:rsidR="00802084">
        <w:t>here was unresolvable heterogeneity in the indirect treatment comparison</w:t>
      </w:r>
      <w:r>
        <w:t>.</w:t>
      </w:r>
    </w:p>
    <w:p w14:paraId="43109135" w14:textId="28A8DDF2" w:rsidR="00802084" w:rsidRPr="0033247E" w:rsidRDefault="00F024F3" w:rsidP="00802084">
      <w:pPr>
        <w:pStyle w:val="Bulletleft1"/>
      </w:pPr>
      <w:r>
        <w:t>T</w:t>
      </w:r>
      <w:r w:rsidR="00802084">
        <w:t>he quality</w:t>
      </w:r>
      <w:r w:rsidR="00BD5263">
        <w:t>-</w:t>
      </w:r>
      <w:r w:rsidR="00802084">
        <w:t>of</w:t>
      </w:r>
      <w:r w:rsidR="00BD5263">
        <w:t>-</w:t>
      </w:r>
      <w:r w:rsidR="00802084">
        <w:t>life data from the previous analysis of MONARCH</w:t>
      </w:r>
      <w:r w:rsidR="00877AB7">
        <w:t> </w:t>
      </w:r>
      <w:r w:rsidR="00802084">
        <w:t xml:space="preserve">2 </w:t>
      </w:r>
      <w:r w:rsidR="00BD5263">
        <w:t>are</w:t>
      </w:r>
      <w:r w:rsidR="00802084">
        <w:t xml:space="preserve"> acceptable, since new data from MONARCH</w:t>
      </w:r>
      <w:r w:rsidR="00877AB7">
        <w:t> </w:t>
      </w:r>
      <w:r w:rsidR="00802084">
        <w:t>2 w</w:t>
      </w:r>
      <w:r w:rsidR="00BD5263">
        <w:t>ere</w:t>
      </w:r>
      <w:r w:rsidR="00802084">
        <w:t xml:space="preserve"> not available</w:t>
      </w:r>
      <w:r>
        <w:t>.</w:t>
      </w:r>
    </w:p>
    <w:p w14:paraId="14B5EFEF" w14:textId="7171DBBE" w:rsidR="00CE2B95" w:rsidRPr="0033247E" w:rsidRDefault="00F024F3" w:rsidP="0033247E">
      <w:pPr>
        <w:pStyle w:val="Bulletleft1last"/>
      </w:pPr>
      <w:r>
        <w:t>T</w:t>
      </w:r>
      <w:r w:rsidR="0033247E" w:rsidRPr="0033247E">
        <w:t xml:space="preserve">he </w:t>
      </w:r>
      <w:r>
        <w:t>price</w:t>
      </w:r>
      <w:r w:rsidRPr="0033247E">
        <w:t xml:space="preserve"> </w:t>
      </w:r>
      <w:r w:rsidR="0033247E" w:rsidRPr="0033247E">
        <w:t xml:space="preserve">of fulvestrant </w:t>
      </w:r>
      <w:r w:rsidR="007E7FB5">
        <w:t xml:space="preserve">paid by the NHS </w:t>
      </w:r>
      <w:r w:rsidR="0033247E" w:rsidRPr="0033247E">
        <w:t>was not available to the company</w:t>
      </w:r>
      <w:r w:rsidR="007E7FB5">
        <w:t xml:space="preserve"> and is confidential.</w:t>
      </w:r>
      <w:r w:rsidR="0033247E" w:rsidRPr="0033247E">
        <w:t xml:space="preserve"> </w:t>
      </w:r>
      <w:r w:rsidR="007E7FB5">
        <w:t>It</w:t>
      </w:r>
      <w:r w:rsidR="0033247E" w:rsidRPr="0033247E">
        <w:t xml:space="preserve"> was provided to </w:t>
      </w:r>
      <w:r w:rsidR="007E7FB5">
        <w:t>N</w:t>
      </w:r>
      <w:r w:rsidR="00BD5263">
        <w:t>ICE</w:t>
      </w:r>
      <w:r w:rsidR="007E7FB5">
        <w:t xml:space="preserve"> </w:t>
      </w:r>
      <w:r w:rsidR="0033247E" w:rsidRPr="0033247E">
        <w:t>by NHS England and used</w:t>
      </w:r>
      <w:r w:rsidR="007E7FB5">
        <w:t xml:space="preserve"> in the analyses presented to the committee in the closed session.</w:t>
      </w:r>
      <w:r w:rsidR="0033247E" w:rsidRPr="0033247E">
        <w:t xml:space="preserve"> </w:t>
      </w:r>
      <w:r>
        <w:t>It</w:t>
      </w:r>
      <w:r w:rsidR="005A3CB1">
        <w:t xml:space="preserve"> is lower than list price.</w:t>
      </w:r>
    </w:p>
    <w:p w14:paraId="5D7D5D85" w14:textId="38080DC5" w:rsidR="00955B0B" w:rsidRDefault="00183590" w:rsidP="0033247E">
      <w:pPr>
        <w:pStyle w:val="NICEnormal"/>
        <w:ind w:left="60"/>
      </w:pPr>
      <w:r>
        <w:t>The committee</w:t>
      </w:r>
      <w:r w:rsidR="002B5772">
        <w:t xml:space="preserve"> recognised that there were remaining areas of uncertainty associated with the analyses presented (see </w:t>
      </w:r>
      <w:r w:rsidR="00466F4F">
        <w:t xml:space="preserve">ERG report </w:t>
      </w:r>
      <w:r w:rsidR="00BD5263">
        <w:t>t</w:t>
      </w:r>
      <w:r w:rsidR="00A33919">
        <w:t xml:space="preserve">able </w:t>
      </w:r>
      <w:r w:rsidR="00802084">
        <w:t>1</w:t>
      </w:r>
      <w:r w:rsidR="008B1FD8">
        <w:t>, page 11</w:t>
      </w:r>
      <w:r w:rsidR="002B5772">
        <w:t xml:space="preserve">), and took these into account in its decision making. It discussed </w:t>
      </w:r>
      <w:r w:rsidR="00A33919">
        <w:t xml:space="preserve">issues </w:t>
      </w:r>
      <w:r w:rsidR="0033247E">
        <w:t>1</w:t>
      </w:r>
      <w:r w:rsidR="009D783B">
        <w:t xml:space="preserve">, </w:t>
      </w:r>
      <w:r w:rsidR="008B1FD8">
        <w:t>4 and</w:t>
      </w:r>
      <w:r w:rsidR="0033247E">
        <w:t xml:space="preserve"> 5, </w:t>
      </w:r>
      <w:r w:rsidR="008B1FD8">
        <w:t xml:space="preserve">which were outstanding after the technical engagement stage, </w:t>
      </w:r>
      <w:r w:rsidR="009D783B">
        <w:t xml:space="preserve">and </w:t>
      </w:r>
      <w:r w:rsidR="008B1FD8">
        <w:t xml:space="preserve">the usefulness of the </w:t>
      </w:r>
      <w:r w:rsidR="00B46A78">
        <w:t>systemic anti-cancer therapy</w:t>
      </w:r>
      <w:r w:rsidR="00B46A78" w:rsidRPr="000B423C">
        <w:t xml:space="preserve"> </w:t>
      </w:r>
      <w:r w:rsidR="008B1FD8">
        <w:t>data</w:t>
      </w:r>
      <w:r w:rsidR="003B17A6">
        <w:t xml:space="preserve"> collected</w:t>
      </w:r>
      <w:r w:rsidR="00B46A78">
        <w:t xml:space="preserve"> through</w:t>
      </w:r>
      <w:r w:rsidR="003B17A6">
        <w:t xml:space="preserve"> the Cancer Drugs Fund</w:t>
      </w:r>
      <w:r w:rsidR="002B5772">
        <w:t>.</w:t>
      </w:r>
    </w:p>
    <w:p w14:paraId="696B29A4" w14:textId="77777777" w:rsidR="00955B0B" w:rsidRPr="009E3088" w:rsidRDefault="00955B0B" w:rsidP="009E3088">
      <w:pPr>
        <w:pStyle w:val="Heading2"/>
      </w:pPr>
      <w:r w:rsidRPr="009E3088">
        <w:lastRenderedPageBreak/>
        <w:t>Clinical pathway</w:t>
      </w:r>
    </w:p>
    <w:p w14:paraId="668880CC" w14:textId="375627BE" w:rsidR="009E3088" w:rsidRPr="009E3088" w:rsidRDefault="006B5E7F" w:rsidP="00141D87">
      <w:pPr>
        <w:pStyle w:val="Heading3"/>
      </w:pPr>
      <w:r>
        <w:t xml:space="preserve">There is a population </w:t>
      </w:r>
      <w:r w:rsidR="00DA7A0F">
        <w:t>who</w:t>
      </w:r>
      <w:r>
        <w:t xml:space="preserve"> </w:t>
      </w:r>
      <w:r w:rsidR="00DB386E">
        <w:t>could</w:t>
      </w:r>
      <w:r>
        <w:t xml:space="preserve"> benefit from abemaciclib </w:t>
      </w:r>
      <w:r w:rsidR="00163983">
        <w:t>plus</w:t>
      </w:r>
      <w:r>
        <w:t xml:space="preserve"> fulvestrant</w:t>
      </w:r>
    </w:p>
    <w:p w14:paraId="28443746" w14:textId="2F6D02A5" w:rsidR="00B042A0" w:rsidRPr="00A15E15" w:rsidRDefault="00F377AC" w:rsidP="00A15E15">
      <w:pPr>
        <w:pStyle w:val="Numberedlevel2text"/>
        <w:rPr>
          <w:rStyle w:val="NICEnormalChar"/>
          <w:szCs w:val="28"/>
          <w:lang w:val="x-none"/>
        </w:rPr>
      </w:pPr>
      <w:r w:rsidRPr="002A6E8C">
        <w:rPr>
          <w:rStyle w:val="NICEnormalChar"/>
          <w:szCs w:val="28"/>
        </w:rPr>
        <w:t xml:space="preserve">Advanced breast cancer is an </w:t>
      </w:r>
      <w:r w:rsidRPr="00CA73CB">
        <w:rPr>
          <w:rStyle w:val="NICEnormalChar"/>
          <w:szCs w:val="28"/>
          <w:lang w:val="x-none"/>
        </w:rPr>
        <w:t>incurable</w:t>
      </w:r>
      <w:r w:rsidRPr="002A6E8C">
        <w:rPr>
          <w:rStyle w:val="NICEnormalChar"/>
          <w:szCs w:val="28"/>
        </w:rPr>
        <w:t xml:space="preserve"> condition</w:t>
      </w:r>
      <w:r w:rsidR="008E35F0" w:rsidRPr="002A6E8C">
        <w:rPr>
          <w:rStyle w:val="NICEnormalChar"/>
          <w:szCs w:val="28"/>
        </w:rPr>
        <w:t xml:space="preserve"> </w:t>
      </w:r>
      <w:r w:rsidR="00DA7A0F">
        <w:rPr>
          <w:rStyle w:val="NICEnormalChar"/>
          <w:szCs w:val="28"/>
        </w:rPr>
        <w:t>and</w:t>
      </w:r>
      <w:r w:rsidR="008E35F0" w:rsidRPr="002A6E8C">
        <w:rPr>
          <w:rStyle w:val="NICEnormalChar"/>
          <w:szCs w:val="28"/>
        </w:rPr>
        <w:t xml:space="preserve"> the aim of treatment is to</w:t>
      </w:r>
      <w:r w:rsidR="00817A39" w:rsidRPr="002A6E8C">
        <w:rPr>
          <w:rStyle w:val="NICEnormalChar"/>
          <w:szCs w:val="28"/>
        </w:rPr>
        <w:t xml:space="preserve"> delay progression and extend survival</w:t>
      </w:r>
      <w:r w:rsidRPr="002A6E8C">
        <w:rPr>
          <w:rStyle w:val="NICEnormalChar"/>
          <w:szCs w:val="28"/>
        </w:rPr>
        <w:t xml:space="preserve">. </w:t>
      </w:r>
      <w:r w:rsidR="00DA7A0F">
        <w:rPr>
          <w:rStyle w:val="NICEnormalChar"/>
          <w:szCs w:val="28"/>
        </w:rPr>
        <w:t>Most</w:t>
      </w:r>
      <w:r w:rsidR="005A1156">
        <w:rPr>
          <w:rStyle w:val="NICEnormalChar"/>
          <w:szCs w:val="28"/>
        </w:rPr>
        <w:t xml:space="preserve"> </w:t>
      </w:r>
      <w:r w:rsidR="002A26EA" w:rsidRPr="002A6E8C">
        <w:rPr>
          <w:rStyle w:val="NICEnormalChar"/>
          <w:szCs w:val="28"/>
        </w:rPr>
        <w:t>p</w:t>
      </w:r>
      <w:r w:rsidR="002A26EA">
        <w:rPr>
          <w:rStyle w:val="NICEnormalChar"/>
          <w:szCs w:val="28"/>
        </w:rPr>
        <w:t>eople</w:t>
      </w:r>
      <w:r w:rsidR="002A26EA" w:rsidRPr="002A6E8C">
        <w:rPr>
          <w:rStyle w:val="NICEnormalChar"/>
          <w:szCs w:val="28"/>
        </w:rPr>
        <w:t xml:space="preserve"> </w:t>
      </w:r>
      <w:r w:rsidR="005A1156">
        <w:rPr>
          <w:rStyle w:val="NICEnormalChar"/>
          <w:szCs w:val="28"/>
        </w:rPr>
        <w:t xml:space="preserve">who do not need urgent treatment with chemotherapy </w:t>
      </w:r>
      <w:r w:rsidR="008E35F0" w:rsidRPr="002A6E8C">
        <w:rPr>
          <w:rStyle w:val="NICEnormalChar"/>
          <w:szCs w:val="28"/>
        </w:rPr>
        <w:t>are offered endocrine therapy</w:t>
      </w:r>
      <w:r w:rsidR="000370A8" w:rsidRPr="002A6E8C">
        <w:rPr>
          <w:rStyle w:val="NICEnormalChar"/>
          <w:szCs w:val="28"/>
        </w:rPr>
        <w:t xml:space="preserve"> as </w:t>
      </w:r>
      <w:r w:rsidR="00A07443">
        <w:rPr>
          <w:rStyle w:val="NICEnormalChar"/>
          <w:szCs w:val="28"/>
        </w:rPr>
        <w:t>initial</w:t>
      </w:r>
      <w:r w:rsidR="000370A8" w:rsidRPr="002A6E8C">
        <w:rPr>
          <w:rStyle w:val="NICEnormalChar"/>
          <w:szCs w:val="28"/>
        </w:rPr>
        <w:t xml:space="preserve"> treatment</w:t>
      </w:r>
      <w:r w:rsidR="005505A1">
        <w:rPr>
          <w:rStyle w:val="NICEnormalChar"/>
          <w:szCs w:val="28"/>
        </w:rPr>
        <w:t>,</w:t>
      </w:r>
      <w:r w:rsidR="002A26EA">
        <w:rPr>
          <w:rStyle w:val="NICEnormalChar"/>
          <w:szCs w:val="28"/>
        </w:rPr>
        <w:t xml:space="preserve"> </w:t>
      </w:r>
      <w:r w:rsidR="00DA7A0F">
        <w:rPr>
          <w:rStyle w:val="NICEnormalChar"/>
          <w:szCs w:val="28"/>
        </w:rPr>
        <w:t>in line with</w:t>
      </w:r>
      <w:r w:rsidR="002A26EA">
        <w:rPr>
          <w:rStyle w:val="NICEnormalChar"/>
          <w:szCs w:val="28"/>
        </w:rPr>
        <w:t xml:space="preserve"> </w:t>
      </w:r>
      <w:hyperlink r:id="rId11" w:history="1">
        <w:r w:rsidR="00DA7A0F">
          <w:rPr>
            <w:rStyle w:val="Hyperlink"/>
            <w:lang w:val="en-GB"/>
          </w:rPr>
          <w:t>NICE's guideline on advanced breast cancer</w:t>
        </w:r>
      </w:hyperlink>
      <w:r w:rsidR="002A26EA" w:rsidRPr="002A6E8C">
        <w:rPr>
          <w:rStyle w:val="NICEnormalChar"/>
          <w:szCs w:val="28"/>
        </w:rPr>
        <w:t xml:space="preserve">. </w:t>
      </w:r>
      <w:r w:rsidR="00A457B1">
        <w:rPr>
          <w:rStyle w:val="NICEnormalChar"/>
          <w:szCs w:val="28"/>
        </w:rPr>
        <w:t>After</w:t>
      </w:r>
      <w:r w:rsidR="002C6362">
        <w:rPr>
          <w:rStyle w:val="NICEnormalChar"/>
          <w:szCs w:val="28"/>
        </w:rPr>
        <w:t xml:space="preserve"> initial</w:t>
      </w:r>
      <w:r w:rsidR="00A457B1" w:rsidRPr="002A6E8C">
        <w:rPr>
          <w:rStyle w:val="NICEnormalChar"/>
          <w:szCs w:val="28"/>
        </w:rPr>
        <w:t xml:space="preserve"> </w:t>
      </w:r>
      <w:r w:rsidR="000370A8" w:rsidRPr="002A6E8C">
        <w:rPr>
          <w:rStyle w:val="NICEnormalChar"/>
          <w:szCs w:val="28"/>
        </w:rPr>
        <w:t xml:space="preserve">endocrine therapy, </w:t>
      </w:r>
      <w:r w:rsidR="002A26EA" w:rsidRPr="002A6E8C">
        <w:rPr>
          <w:rStyle w:val="NICEnormalChar"/>
          <w:szCs w:val="28"/>
        </w:rPr>
        <w:t>p</w:t>
      </w:r>
      <w:r w:rsidR="002A26EA">
        <w:rPr>
          <w:rStyle w:val="NICEnormalChar"/>
          <w:szCs w:val="28"/>
        </w:rPr>
        <w:t>eople</w:t>
      </w:r>
      <w:r w:rsidR="002A26EA" w:rsidRPr="002A6E8C">
        <w:rPr>
          <w:rStyle w:val="NICEnormalChar"/>
          <w:szCs w:val="28"/>
        </w:rPr>
        <w:t xml:space="preserve"> </w:t>
      </w:r>
      <w:r w:rsidR="00B042A0">
        <w:rPr>
          <w:rStyle w:val="NICEnormalChar"/>
          <w:szCs w:val="28"/>
        </w:rPr>
        <w:t xml:space="preserve">can </w:t>
      </w:r>
      <w:r w:rsidR="005A1156">
        <w:rPr>
          <w:rStyle w:val="NICEnormalChar"/>
          <w:szCs w:val="28"/>
        </w:rPr>
        <w:t xml:space="preserve">have exemestane </w:t>
      </w:r>
      <w:r w:rsidR="00163983">
        <w:rPr>
          <w:rStyle w:val="NICEnormalChar"/>
          <w:szCs w:val="28"/>
        </w:rPr>
        <w:t>plus</w:t>
      </w:r>
      <w:r w:rsidR="005A1156">
        <w:rPr>
          <w:rStyle w:val="NICEnormalChar"/>
          <w:szCs w:val="28"/>
        </w:rPr>
        <w:t xml:space="preserve"> everolimus</w:t>
      </w:r>
      <w:r w:rsidR="000370A8" w:rsidRPr="002A6E8C">
        <w:rPr>
          <w:rStyle w:val="NICEnormalChar"/>
          <w:szCs w:val="28"/>
        </w:rPr>
        <w:t xml:space="preserve"> before progressing to chemotherapy</w:t>
      </w:r>
      <w:r w:rsidR="005A1156">
        <w:rPr>
          <w:rStyle w:val="NICEnormalChar"/>
          <w:szCs w:val="28"/>
        </w:rPr>
        <w:t xml:space="preserve">, though adverse events limit the use of </w:t>
      </w:r>
      <w:r w:rsidR="002C6362">
        <w:rPr>
          <w:rStyle w:val="NICEnormalChar"/>
          <w:szCs w:val="28"/>
        </w:rPr>
        <w:t>everolimus</w:t>
      </w:r>
      <w:r w:rsidR="000370A8" w:rsidRPr="002A6E8C">
        <w:rPr>
          <w:rStyle w:val="NICEnormalChar"/>
          <w:szCs w:val="28"/>
        </w:rPr>
        <w:t xml:space="preserve">. </w:t>
      </w:r>
      <w:r w:rsidR="002A26EA">
        <w:rPr>
          <w:rStyle w:val="NICEnormalChar"/>
          <w:szCs w:val="28"/>
        </w:rPr>
        <w:t xml:space="preserve">People </w:t>
      </w:r>
      <w:r w:rsidR="002C6362" w:rsidRPr="002C6362">
        <w:rPr>
          <w:rStyle w:val="NICEnormalChar"/>
          <w:szCs w:val="28"/>
        </w:rPr>
        <w:t xml:space="preserve">who have had endocrine therapy </w:t>
      </w:r>
      <w:r w:rsidR="002C6362">
        <w:rPr>
          <w:rStyle w:val="NICEnormalChar"/>
          <w:szCs w:val="28"/>
        </w:rPr>
        <w:t xml:space="preserve">and are </w:t>
      </w:r>
      <w:r w:rsidR="002A26EA">
        <w:rPr>
          <w:rStyle w:val="NICEnormalChar"/>
          <w:szCs w:val="28"/>
        </w:rPr>
        <w:t xml:space="preserve">eligible for exemestane </w:t>
      </w:r>
      <w:r w:rsidR="00163983">
        <w:rPr>
          <w:rStyle w:val="NICEnormalChar"/>
          <w:szCs w:val="28"/>
        </w:rPr>
        <w:t>plus</w:t>
      </w:r>
      <w:r w:rsidR="00AE4D4F">
        <w:rPr>
          <w:rStyle w:val="NICEnormalChar"/>
          <w:szCs w:val="28"/>
        </w:rPr>
        <w:t xml:space="preserve"> </w:t>
      </w:r>
      <w:r w:rsidR="002A26EA">
        <w:rPr>
          <w:rStyle w:val="NICEnormalChar"/>
          <w:szCs w:val="28"/>
        </w:rPr>
        <w:t xml:space="preserve">everolimus </w:t>
      </w:r>
      <w:r w:rsidR="002C6362">
        <w:rPr>
          <w:rStyle w:val="NICEnormalChar"/>
          <w:szCs w:val="28"/>
        </w:rPr>
        <w:t xml:space="preserve">as their next treatment </w:t>
      </w:r>
      <w:r w:rsidR="002A26EA">
        <w:rPr>
          <w:rStyle w:val="NICEnormalChar"/>
          <w:szCs w:val="28"/>
        </w:rPr>
        <w:t xml:space="preserve">may instead have </w:t>
      </w:r>
      <w:r w:rsidR="00A457B1">
        <w:rPr>
          <w:rStyle w:val="NICEnormalChar"/>
          <w:szCs w:val="28"/>
        </w:rPr>
        <w:t>1</w:t>
      </w:r>
      <w:r w:rsidR="002A26EA">
        <w:rPr>
          <w:rStyle w:val="NICEnormalChar"/>
          <w:szCs w:val="28"/>
        </w:rPr>
        <w:t xml:space="preserve"> of 3</w:t>
      </w:r>
      <w:r w:rsidR="00A457B1">
        <w:rPr>
          <w:rStyle w:val="NICEnormalChar"/>
          <w:szCs w:val="28"/>
        </w:rPr>
        <w:t> </w:t>
      </w:r>
      <w:r w:rsidR="002A26EA" w:rsidRPr="002A6E8C">
        <w:rPr>
          <w:rStyle w:val="NICEnormalChar"/>
          <w:szCs w:val="28"/>
        </w:rPr>
        <w:t>CDK4/6 inhibitor treatments</w:t>
      </w:r>
      <w:r w:rsidR="00442758">
        <w:rPr>
          <w:rStyle w:val="NICEnormalChar"/>
          <w:szCs w:val="28"/>
        </w:rPr>
        <w:t>,</w:t>
      </w:r>
      <w:r w:rsidR="002A26EA" w:rsidRPr="002A6E8C">
        <w:rPr>
          <w:rStyle w:val="NICEnormalChar"/>
          <w:szCs w:val="28"/>
        </w:rPr>
        <w:t xml:space="preserve"> </w:t>
      </w:r>
      <w:r w:rsidR="005505A1">
        <w:rPr>
          <w:rStyle w:val="NICEnormalChar"/>
          <w:szCs w:val="28"/>
        </w:rPr>
        <w:t>each with fulvestrant</w:t>
      </w:r>
      <w:r w:rsidR="00442758">
        <w:rPr>
          <w:rStyle w:val="NICEnormalChar"/>
          <w:szCs w:val="28"/>
        </w:rPr>
        <w:t>,</w:t>
      </w:r>
      <w:r w:rsidR="005505A1">
        <w:rPr>
          <w:rStyle w:val="NICEnormalChar"/>
          <w:szCs w:val="28"/>
        </w:rPr>
        <w:t xml:space="preserve"> </w:t>
      </w:r>
      <w:r w:rsidR="002A26EA">
        <w:rPr>
          <w:rStyle w:val="NICEnormalChar"/>
          <w:szCs w:val="28"/>
        </w:rPr>
        <w:t>through</w:t>
      </w:r>
      <w:r w:rsidR="002A26EA" w:rsidRPr="002A6E8C">
        <w:rPr>
          <w:rStyle w:val="NICEnormalChar"/>
          <w:szCs w:val="28"/>
        </w:rPr>
        <w:t xml:space="preserve"> the C</w:t>
      </w:r>
      <w:r w:rsidR="002A26EA">
        <w:rPr>
          <w:rStyle w:val="NICEnormalChar"/>
          <w:szCs w:val="28"/>
        </w:rPr>
        <w:t xml:space="preserve">ancer </w:t>
      </w:r>
      <w:r w:rsidR="002A26EA" w:rsidRPr="002A6E8C">
        <w:rPr>
          <w:rStyle w:val="NICEnormalChar"/>
          <w:szCs w:val="28"/>
        </w:rPr>
        <w:t>D</w:t>
      </w:r>
      <w:r w:rsidR="002A26EA">
        <w:rPr>
          <w:rStyle w:val="NICEnormalChar"/>
          <w:szCs w:val="28"/>
        </w:rPr>
        <w:t xml:space="preserve">rugs </w:t>
      </w:r>
      <w:r w:rsidR="002A26EA" w:rsidRPr="002A6E8C">
        <w:rPr>
          <w:rStyle w:val="NICEnormalChar"/>
          <w:szCs w:val="28"/>
        </w:rPr>
        <w:t>F</w:t>
      </w:r>
      <w:r w:rsidR="002A26EA">
        <w:rPr>
          <w:rStyle w:val="NICEnormalChar"/>
          <w:szCs w:val="28"/>
        </w:rPr>
        <w:t xml:space="preserve">und </w:t>
      </w:r>
      <w:r w:rsidR="00163983">
        <w:rPr>
          <w:rStyle w:val="NICEnormalChar"/>
          <w:szCs w:val="28"/>
        </w:rPr>
        <w:t>(see</w:t>
      </w:r>
      <w:r w:rsidR="000230AF" w:rsidRPr="002A6E8C">
        <w:rPr>
          <w:rStyle w:val="NICEnormalChar"/>
          <w:szCs w:val="28"/>
        </w:rPr>
        <w:t xml:space="preserve"> </w:t>
      </w:r>
      <w:hyperlink r:id="rId12" w:history="1">
        <w:r w:rsidR="00163983" w:rsidRPr="00163983">
          <w:rPr>
            <w:rStyle w:val="Hyperlink"/>
            <w:lang w:val="en-GB"/>
          </w:rPr>
          <w:t>NICE's technology appraisal guidance on abemaciclib</w:t>
        </w:r>
      </w:hyperlink>
      <w:r w:rsidR="000230AF" w:rsidRPr="002A6E8C">
        <w:rPr>
          <w:rStyle w:val="NICEnormalChar"/>
          <w:szCs w:val="28"/>
        </w:rPr>
        <w:t xml:space="preserve">, </w:t>
      </w:r>
      <w:hyperlink r:id="rId13" w:history="1">
        <w:r w:rsidR="00A457B1">
          <w:rPr>
            <w:rStyle w:val="Hyperlink"/>
          </w:rPr>
          <w:t>ribociclib</w:t>
        </w:r>
      </w:hyperlink>
      <w:r w:rsidR="000230AF" w:rsidRPr="002A6E8C">
        <w:rPr>
          <w:rStyle w:val="NICEnormalChar"/>
          <w:szCs w:val="28"/>
        </w:rPr>
        <w:t xml:space="preserve"> and </w:t>
      </w:r>
      <w:hyperlink r:id="rId14" w:history="1">
        <w:r w:rsidR="00A457B1">
          <w:rPr>
            <w:rStyle w:val="Hyperlink"/>
          </w:rPr>
          <w:t>palbociclib</w:t>
        </w:r>
      </w:hyperlink>
      <w:r w:rsidR="00163983">
        <w:rPr>
          <w:rStyle w:val="Hyperlink"/>
          <w:lang w:val="en-GB"/>
        </w:rPr>
        <w:t>)</w:t>
      </w:r>
      <w:r w:rsidR="00581B61" w:rsidRPr="002A6E8C">
        <w:rPr>
          <w:rStyle w:val="NICEnormalChar"/>
          <w:szCs w:val="28"/>
        </w:rPr>
        <w:t xml:space="preserve">. </w:t>
      </w:r>
      <w:r w:rsidR="00A201D0" w:rsidRPr="002A6E8C">
        <w:rPr>
          <w:rStyle w:val="NICEnormalChar"/>
          <w:szCs w:val="28"/>
        </w:rPr>
        <w:t xml:space="preserve">In </w:t>
      </w:r>
      <w:r w:rsidR="00A457B1">
        <w:rPr>
          <w:rStyle w:val="NICEnormalChar"/>
          <w:szCs w:val="28"/>
        </w:rPr>
        <w:t xml:space="preserve">NICE’s </w:t>
      </w:r>
      <w:r w:rsidR="00DE28A7">
        <w:rPr>
          <w:rStyle w:val="NICEnormalChar"/>
          <w:szCs w:val="28"/>
        </w:rPr>
        <w:t xml:space="preserve">original </w:t>
      </w:r>
      <w:r w:rsidR="00A457B1" w:rsidRPr="00DB302B">
        <w:t xml:space="preserve">technology appraisal </w:t>
      </w:r>
      <w:r w:rsidR="00A457B1">
        <w:rPr>
          <w:lang w:val="en-GB"/>
        </w:rPr>
        <w:t xml:space="preserve">guidance </w:t>
      </w:r>
      <w:r w:rsidR="00DE28A7">
        <w:rPr>
          <w:lang w:val="en-GB"/>
        </w:rPr>
        <w:t>on abemaciclib for advanced disease after endocrine therapy</w:t>
      </w:r>
      <w:r w:rsidR="00A201D0" w:rsidRPr="002A6E8C">
        <w:rPr>
          <w:rStyle w:val="NICEnormalChar"/>
          <w:szCs w:val="28"/>
        </w:rPr>
        <w:t xml:space="preserve">, clinical experts explained that CDK4/6 inhibitors </w:t>
      </w:r>
      <w:r w:rsidR="005E7DD6">
        <w:rPr>
          <w:rStyle w:val="NICEnormalChar"/>
          <w:szCs w:val="28"/>
        </w:rPr>
        <w:t xml:space="preserve">would not be used twice in </w:t>
      </w:r>
      <w:r w:rsidR="005505A1">
        <w:rPr>
          <w:rStyle w:val="NICEnormalChar"/>
          <w:szCs w:val="28"/>
        </w:rPr>
        <w:t>the</w:t>
      </w:r>
      <w:r w:rsidR="005E7DD6">
        <w:rPr>
          <w:rStyle w:val="NICEnormalChar"/>
          <w:szCs w:val="28"/>
        </w:rPr>
        <w:t xml:space="preserve"> treatment pathway</w:t>
      </w:r>
      <w:r w:rsidR="00DE28A7">
        <w:rPr>
          <w:rStyle w:val="NICEnormalChar"/>
          <w:szCs w:val="28"/>
        </w:rPr>
        <w:t>.</w:t>
      </w:r>
      <w:r w:rsidR="005E7DD6">
        <w:rPr>
          <w:rStyle w:val="NICEnormalChar"/>
          <w:szCs w:val="28"/>
        </w:rPr>
        <w:t xml:space="preserve"> </w:t>
      </w:r>
      <w:r w:rsidR="00DE28A7">
        <w:rPr>
          <w:rStyle w:val="NICEnormalChar"/>
          <w:szCs w:val="28"/>
        </w:rPr>
        <w:t xml:space="preserve">This is </w:t>
      </w:r>
      <w:r w:rsidR="005E7DD6">
        <w:rPr>
          <w:rStyle w:val="NICEnormalChar"/>
          <w:szCs w:val="28"/>
        </w:rPr>
        <w:t xml:space="preserve">because of the potential for tumours becoming resistant. </w:t>
      </w:r>
      <w:r w:rsidR="00330868">
        <w:rPr>
          <w:rStyle w:val="NICEnormalChar"/>
          <w:szCs w:val="28"/>
        </w:rPr>
        <w:t>The c</w:t>
      </w:r>
      <w:r w:rsidR="00A15E15">
        <w:rPr>
          <w:rStyle w:val="NICEnormalChar"/>
          <w:szCs w:val="28"/>
        </w:rPr>
        <w:t>linical experts said that the main groups of p</w:t>
      </w:r>
      <w:r w:rsidR="005E7DD6">
        <w:rPr>
          <w:rStyle w:val="NICEnormalChar"/>
          <w:szCs w:val="28"/>
        </w:rPr>
        <w:t xml:space="preserve">eople who </w:t>
      </w:r>
      <w:r w:rsidR="00B042A0">
        <w:rPr>
          <w:rStyle w:val="NICEnormalChar"/>
          <w:szCs w:val="28"/>
        </w:rPr>
        <w:t>could</w:t>
      </w:r>
      <w:r w:rsidR="005E7DD6">
        <w:rPr>
          <w:rStyle w:val="NICEnormalChar"/>
          <w:szCs w:val="28"/>
        </w:rPr>
        <w:t xml:space="preserve"> benefit from a</w:t>
      </w:r>
      <w:r w:rsidR="00A201D0" w:rsidRPr="002A6E8C">
        <w:rPr>
          <w:rStyle w:val="NICEnormalChar"/>
          <w:szCs w:val="28"/>
        </w:rPr>
        <w:t xml:space="preserve">bemaciclib </w:t>
      </w:r>
      <w:r w:rsidR="00645A9F">
        <w:rPr>
          <w:rStyle w:val="NICEnormalChar"/>
          <w:szCs w:val="28"/>
        </w:rPr>
        <w:t>plus</w:t>
      </w:r>
      <w:r w:rsidR="00A201D0" w:rsidRPr="002A6E8C">
        <w:rPr>
          <w:rStyle w:val="NICEnormalChar"/>
          <w:szCs w:val="28"/>
        </w:rPr>
        <w:t xml:space="preserve"> fulvestrant</w:t>
      </w:r>
      <w:r w:rsidR="005505A1">
        <w:rPr>
          <w:rStyle w:val="NICEnormalChar"/>
          <w:szCs w:val="28"/>
        </w:rPr>
        <w:t xml:space="preserve"> after previous </w:t>
      </w:r>
      <w:r w:rsidR="005C26F9">
        <w:rPr>
          <w:rStyle w:val="NICEnormalChar"/>
          <w:szCs w:val="28"/>
        </w:rPr>
        <w:t xml:space="preserve">endocrine </w:t>
      </w:r>
      <w:r w:rsidR="005505A1">
        <w:rPr>
          <w:rStyle w:val="NICEnormalChar"/>
          <w:szCs w:val="28"/>
        </w:rPr>
        <w:t>treatment for advanced disease</w:t>
      </w:r>
      <w:r w:rsidR="005E7DD6">
        <w:rPr>
          <w:rStyle w:val="NICEnormalChar"/>
          <w:szCs w:val="28"/>
        </w:rPr>
        <w:t xml:space="preserve"> are those </w:t>
      </w:r>
      <w:r w:rsidR="00A201D0" w:rsidRPr="002A6E8C">
        <w:rPr>
          <w:rStyle w:val="NICEnormalChar"/>
          <w:szCs w:val="28"/>
        </w:rPr>
        <w:t>whose</w:t>
      </w:r>
      <w:r w:rsidR="00B042A0">
        <w:rPr>
          <w:rStyle w:val="NICEnormalChar"/>
          <w:szCs w:val="28"/>
        </w:rPr>
        <w:t>:</w:t>
      </w:r>
    </w:p>
    <w:p w14:paraId="3ADD87A7" w14:textId="51365C21" w:rsidR="00B042A0" w:rsidRPr="00A15E15" w:rsidRDefault="00A201D0" w:rsidP="00B042A0">
      <w:pPr>
        <w:pStyle w:val="Bulletindent1"/>
        <w:rPr>
          <w:rStyle w:val="NICEnormalChar"/>
          <w:szCs w:val="28"/>
          <w:lang w:val="x-none"/>
        </w:rPr>
      </w:pPr>
      <w:r w:rsidRPr="002A6E8C">
        <w:rPr>
          <w:rStyle w:val="NICEnormalChar"/>
          <w:szCs w:val="28"/>
        </w:rPr>
        <w:t>disease ha</w:t>
      </w:r>
      <w:r w:rsidR="000A5CD0" w:rsidRPr="002A6E8C">
        <w:rPr>
          <w:rStyle w:val="NICEnormalChar"/>
          <w:szCs w:val="28"/>
        </w:rPr>
        <w:t>s progressed on or within 12</w:t>
      </w:r>
      <w:r w:rsidR="00B042A0">
        <w:rPr>
          <w:rStyle w:val="NICEnormalChar"/>
          <w:szCs w:val="28"/>
        </w:rPr>
        <w:t> </w:t>
      </w:r>
      <w:r w:rsidR="000A5CD0" w:rsidRPr="00B042A0">
        <w:rPr>
          <w:rStyle w:val="NICEnormalChar"/>
        </w:rPr>
        <w:t>months</w:t>
      </w:r>
      <w:r w:rsidR="000A5CD0" w:rsidRPr="002A6E8C">
        <w:rPr>
          <w:rStyle w:val="NICEnormalChar"/>
          <w:szCs w:val="28"/>
        </w:rPr>
        <w:t xml:space="preserve"> of neoadjuvant or adjuvant endocrine therapy </w:t>
      </w:r>
      <w:r w:rsidR="00B042A0">
        <w:rPr>
          <w:rStyle w:val="NICEnormalChar"/>
          <w:szCs w:val="28"/>
        </w:rPr>
        <w:t>(because</w:t>
      </w:r>
      <w:r w:rsidR="000A5CD0" w:rsidRPr="002A6E8C">
        <w:rPr>
          <w:rStyle w:val="NICEnormalChar"/>
          <w:szCs w:val="28"/>
        </w:rPr>
        <w:t xml:space="preserve"> the</w:t>
      </w:r>
      <w:r w:rsidR="00DE28A7">
        <w:rPr>
          <w:rStyle w:val="NICEnormalChar"/>
          <w:szCs w:val="28"/>
        </w:rPr>
        <w:t>y</w:t>
      </w:r>
      <w:r w:rsidR="000A5CD0" w:rsidRPr="002A6E8C">
        <w:rPr>
          <w:rStyle w:val="NICEnormalChar"/>
          <w:szCs w:val="28"/>
        </w:rPr>
        <w:t xml:space="preserve"> are not eligible for CDK4/6 inhibitors with aromatase inhibitors in the NHS</w:t>
      </w:r>
      <w:r w:rsidR="00B042A0">
        <w:rPr>
          <w:rStyle w:val="NICEnormalChar"/>
          <w:szCs w:val="28"/>
        </w:rPr>
        <w:t>)</w:t>
      </w:r>
    </w:p>
    <w:p w14:paraId="5410F8C0" w14:textId="040B4E62" w:rsidR="00B042A0" w:rsidRPr="00A15E15" w:rsidRDefault="000E081D" w:rsidP="00A15E15">
      <w:pPr>
        <w:pStyle w:val="Bulletindent1last"/>
        <w:rPr>
          <w:rStyle w:val="NICEnormalChar"/>
          <w:szCs w:val="28"/>
          <w:lang w:val="x-none"/>
        </w:rPr>
      </w:pPr>
      <w:r>
        <w:rPr>
          <w:rStyle w:val="NICEnormalChar"/>
          <w:szCs w:val="28"/>
        </w:rPr>
        <w:t>advanced disease</w:t>
      </w:r>
      <w:r w:rsidR="005E7DD6">
        <w:rPr>
          <w:rStyle w:val="NICEnormalChar"/>
          <w:szCs w:val="28"/>
        </w:rPr>
        <w:t xml:space="preserve"> is</w:t>
      </w:r>
      <w:r>
        <w:rPr>
          <w:rStyle w:val="NICEnormalChar"/>
          <w:szCs w:val="28"/>
        </w:rPr>
        <w:t xml:space="preserve"> </w:t>
      </w:r>
      <w:r w:rsidR="005E7DD6">
        <w:rPr>
          <w:rStyle w:val="NICEnormalChar"/>
          <w:szCs w:val="28"/>
        </w:rPr>
        <w:t xml:space="preserve">progressing </w:t>
      </w:r>
      <w:r>
        <w:rPr>
          <w:rStyle w:val="NICEnormalChar"/>
          <w:szCs w:val="28"/>
        </w:rPr>
        <w:t>slowly</w:t>
      </w:r>
      <w:r w:rsidR="000A5CD0" w:rsidRPr="002A6E8C">
        <w:rPr>
          <w:rStyle w:val="NICEnormalChar"/>
          <w:szCs w:val="28"/>
        </w:rPr>
        <w:t xml:space="preserve"> </w:t>
      </w:r>
      <w:r>
        <w:rPr>
          <w:rStyle w:val="NICEnormalChar"/>
          <w:szCs w:val="28"/>
        </w:rPr>
        <w:t xml:space="preserve">on endocrine </w:t>
      </w:r>
      <w:r w:rsidRPr="00B042A0">
        <w:rPr>
          <w:rStyle w:val="NICEnormalChar"/>
        </w:rPr>
        <w:t>therapy</w:t>
      </w:r>
      <w:r>
        <w:rPr>
          <w:rStyle w:val="NICEnormalChar"/>
          <w:szCs w:val="28"/>
        </w:rPr>
        <w:t>.</w:t>
      </w:r>
    </w:p>
    <w:p w14:paraId="06104522" w14:textId="3D8C9608" w:rsidR="008E35F0" w:rsidRPr="00D82E43" w:rsidRDefault="003D0060" w:rsidP="00DB302B">
      <w:pPr>
        <w:pStyle w:val="NICEnormalindented"/>
        <w:rPr>
          <w:rStyle w:val="NICEnormalChar"/>
          <w:szCs w:val="28"/>
          <w:lang w:val="x-none"/>
        </w:rPr>
      </w:pPr>
      <w:r>
        <w:rPr>
          <w:rStyle w:val="NICEnormalChar"/>
          <w:szCs w:val="28"/>
        </w:rPr>
        <w:t>The</w:t>
      </w:r>
      <w:r w:rsidR="004924E2">
        <w:rPr>
          <w:rStyle w:val="NICEnormalChar"/>
          <w:szCs w:val="28"/>
        </w:rPr>
        <w:t>y</w:t>
      </w:r>
      <w:r>
        <w:rPr>
          <w:rStyle w:val="NICEnormalChar"/>
          <w:szCs w:val="28"/>
        </w:rPr>
        <w:t xml:space="preserve"> noted that</w:t>
      </w:r>
      <w:r w:rsidR="00B042A0">
        <w:rPr>
          <w:rStyle w:val="NICEnormalChar"/>
          <w:szCs w:val="28"/>
        </w:rPr>
        <w:t>,</w:t>
      </w:r>
      <w:r>
        <w:rPr>
          <w:rStyle w:val="NICEnormalChar"/>
          <w:szCs w:val="28"/>
        </w:rPr>
        <w:t xml:space="preserve"> through the Cancer Drugs Fund</w:t>
      </w:r>
      <w:r w:rsidR="00B042A0">
        <w:rPr>
          <w:rStyle w:val="NICEnormalChar"/>
          <w:szCs w:val="28"/>
        </w:rPr>
        <w:t>,</w:t>
      </w:r>
      <w:r>
        <w:rPr>
          <w:rStyle w:val="NICEnormalChar"/>
          <w:szCs w:val="28"/>
        </w:rPr>
        <w:t xml:space="preserve"> abemaciclib </w:t>
      </w:r>
      <w:r w:rsidR="00501010">
        <w:rPr>
          <w:rStyle w:val="NICEnormalChar"/>
          <w:szCs w:val="28"/>
        </w:rPr>
        <w:t>plus</w:t>
      </w:r>
      <w:r>
        <w:rPr>
          <w:rStyle w:val="NICEnormalChar"/>
          <w:szCs w:val="28"/>
        </w:rPr>
        <w:t xml:space="preserve"> fulvestrant </w:t>
      </w:r>
      <w:r w:rsidR="00050625">
        <w:rPr>
          <w:rStyle w:val="NICEnormalChar"/>
          <w:szCs w:val="28"/>
        </w:rPr>
        <w:t xml:space="preserve">could also </w:t>
      </w:r>
      <w:r w:rsidR="004E7A60">
        <w:rPr>
          <w:rStyle w:val="NICEnormalChar"/>
          <w:szCs w:val="28"/>
        </w:rPr>
        <w:t xml:space="preserve">be </w:t>
      </w:r>
      <w:r w:rsidR="00B042A0">
        <w:rPr>
          <w:rStyle w:val="NICEnormalChar"/>
          <w:szCs w:val="28"/>
        </w:rPr>
        <w:t xml:space="preserve">offered </w:t>
      </w:r>
      <w:r>
        <w:rPr>
          <w:rStyle w:val="NICEnormalChar"/>
          <w:szCs w:val="28"/>
        </w:rPr>
        <w:t>later in the treatment pathway</w:t>
      </w:r>
      <w:r w:rsidR="003C0A35">
        <w:rPr>
          <w:rStyle w:val="NICEnormalChar"/>
          <w:szCs w:val="28"/>
        </w:rPr>
        <w:t>,</w:t>
      </w:r>
      <w:r>
        <w:rPr>
          <w:rStyle w:val="NICEnormalChar"/>
          <w:szCs w:val="28"/>
        </w:rPr>
        <w:t xml:space="preserve"> after chemotherapy.</w:t>
      </w:r>
      <w:r w:rsidR="00370CDA">
        <w:rPr>
          <w:rStyle w:val="NICEnormalChar"/>
          <w:szCs w:val="28"/>
        </w:rPr>
        <w:t xml:space="preserve"> </w:t>
      </w:r>
      <w:r w:rsidR="00B042A0">
        <w:rPr>
          <w:rStyle w:val="NICEnormalChar"/>
          <w:szCs w:val="28"/>
        </w:rPr>
        <w:t>The p</w:t>
      </w:r>
      <w:r w:rsidR="00370CDA" w:rsidRPr="002A6E8C">
        <w:rPr>
          <w:rStyle w:val="NICEnormalChar"/>
          <w:szCs w:val="28"/>
        </w:rPr>
        <w:t xml:space="preserve">atient experts explained that it would be a </w:t>
      </w:r>
      <w:r w:rsidR="00370CDA">
        <w:rPr>
          <w:rStyle w:val="NICEnormalChar"/>
          <w:szCs w:val="28"/>
        </w:rPr>
        <w:t>backwards step if</w:t>
      </w:r>
      <w:r w:rsidR="00370CDA" w:rsidRPr="002A6E8C">
        <w:rPr>
          <w:rStyle w:val="NICEnormalChar"/>
          <w:szCs w:val="28"/>
        </w:rPr>
        <w:t xml:space="preserve"> abemaciclib </w:t>
      </w:r>
      <w:r w:rsidR="00501010">
        <w:rPr>
          <w:rStyle w:val="NICEnormalChar"/>
          <w:szCs w:val="28"/>
        </w:rPr>
        <w:t>plus</w:t>
      </w:r>
      <w:r w:rsidR="00501010" w:rsidRPr="002A6E8C">
        <w:rPr>
          <w:rStyle w:val="NICEnormalChar"/>
          <w:szCs w:val="28"/>
        </w:rPr>
        <w:t xml:space="preserve"> </w:t>
      </w:r>
      <w:r w:rsidR="00370CDA" w:rsidRPr="002A6E8C">
        <w:rPr>
          <w:rStyle w:val="NICEnormalChar"/>
          <w:szCs w:val="28"/>
        </w:rPr>
        <w:t>fulvestrant was not recommended</w:t>
      </w:r>
      <w:r w:rsidR="00370CDA">
        <w:rPr>
          <w:rStyle w:val="NICEnormalChar"/>
          <w:szCs w:val="28"/>
        </w:rPr>
        <w:t xml:space="preserve"> for routine commissioning</w:t>
      </w:r>
      <w:r w:rsidR="00370CDA" w:rsidRPr="002A6E8C">
        <w:rPr>
          <w:rStyle w:val="NICEnormalChar"/>
          <w:szCs w:val="28"/>
        </w:rPr>
        <w:t>.</w:t>
      </w:r>
      <w:r w:rsidR="00393D4C">
        <w:rPr>
          <w:rStyle w:val="NICEnormalChar"/>
          <w:szCs w:val="28"/>
        </w:rPr>
        <w:t xml:space="preserve"> The committee concluded </w:t>
      </w:r>
      <w:r w:rsidR="00393D4C">
        <w:t xml:space="preserve">that there is a </w:t>
      </w:r>
      <w:r w:rsidR="00393D4C">
        <w:lastRenderedPageBreak/>
        <w:t xml:space="preserve">population </w:t>
      </w:r>
      <w:r w:rsidR="009D04D6">
        <w:t>who</w:t>
      </w:r>
      <w:r w:rsidR="00393D4C">
        <w:t xml:space="preserve"> </w:t>
      </w:r>
      <w:r w:rsidR="00B042A0">
        <w:t>could</w:t>
      </w:r>
      <w:r w:rsidR="00393D4C">
        <w:t xml:space="preserve"> benefit from abemaciclib </w:t>
      </w:r>
      <w:r w:rsidR="00501010">
        <w:t>plus</w:t>
      </w:r>
      <w:r w:rsidR="00393D4C">
        <w:t xml:space="preserve"> fulvestrant being </w:t>
      </w:r>
      <w:r w:rsidR="003C0A35">
        <w:rPr>
          <w:lang w:val="en-US"/>
        </w:rPr>
        <w:t>routinely available</w:t>
      </w:r>
      <w:r w:rsidR="001F73ED">
        <w:rPr>
          <w:lang w:val="en-US"/>
        </w:rPr>
        <w:t>.</w:t>
      </w:r>
    </w:p>
    <w:p w14:paraId="70E44089" w14:textId="000FA887" w:rsidR="002A6E8C" w:rsidRDefault="002A6E8C" w:rsidP="0025718E">
      <w:pPr>
        <w:pStyle w:val="Heading3"/>
      </w:pPr>
      <w:r>
        <w:t xml:space="preserve">People with advanced breast cancer </w:t>
      </w:r>
      <w:r w:rsidR="00E16091">
        <w:t xml:space="preserve">value </w:t>
      </w:r>
      <w:r>
        <w:t xml:space="preserve">a choice of </w:t>
      </w:r>
      <w:r w:rsidR="001B076D">
        <w:rPr>
          <w:rStyle w:val="NICEnormalChar"/>
          <w:sz w:val="26"/>
          <w:szCs w:val="26"/>
        </w:rPr>
        <w:t>CDK</w:t>
      </w:r>
      <w:r w:rsidR="002C4DFF" w:rsidRPr="0025718E">
        <w:rPr>
          <w:rStyle w:val="NICEnormalChar"/>
          <w:sz w:val="26"/>
          <w:szCs w:val="26"/>
        </w:rPr>
        <w:t xml:space="preserve">4/6 </w:t>
      </w:r>
      <w:r>
        <w:t>inhibitors</w:t>
      </w:r>
      <w:r w:rsidR="0015007A">
        <w:t xml:space="preserve"> </w:t>
      </w:r>
      <w:r w:rsidR="004C4A3C">
        <w:t>after endocrine therapy</w:t>
      </w:r>
    </w:p>
    <w:p w14:paraId="6214F44E" w14:textId="2CD9826F" w:rsidR="00955B0B" w:rsidRDefault="00F377AC" w:rsidP="00BF0920">
      <w:pPr>
        <w:pStyle w:val="Numberedlevel2text"/>
        <w:numPr>
          <w:ilvl w:val="1"/>
          <w:numId w:val="1"/>
        </w:numPr>
        <w:rPr>
          <w:rStyle w:val="NICEnormalChar"/>
          <w:szCs w:val="28"/>
        </w:rPr>
      </w:pPr>
      <w:r w:rsidRPr="002A6E8C">
        <w:rPr>
          <w:rStyle w:val="NICEnormalChar"/>
          <w:szCs w:val="28"/>
        </w:rPr>
        <w:t xml:space="preserve">Patient and clinical experts explained that </w:t>
      </w:r>
      <w:r w:rsidR="000A5CD0" w:rsidRPr="002A6E8C">
        <w:rPr>
          <w:rStyle w:val="NICEnormalChar"/>
          <w:szCs w:val="28"/>
        </w:rPr>
        <w:t>CDK4/6 inhibitors were welcomed by patient</w:t>
      </w:r>
      <w:r w:rsidR="00BF6775">
        <w:rPr>
          <w:rStyle w:val="NICEnormalChar"/>
          <w:szCs w:val="28"/>
        </w:rPr>
        <w:t>s</w:t>
      </w:r>
      <w:r w:rsidR="000A5CD0" w:rsidRPr="002A6E8C">
        <w:rPr>
          <w:rStyle w:val="NICEnormalChar"/>
          <w:szCs w:val="28"/>
        </w:rPr>
        <w:t xml:space="preserve"> </w:t>
      </w:r>
      <w:r w:rsidR="00BF6775">
        <w:rPr>
          <w:rStyle w:val="NICEnormalChar"/>
          <w:szCs w:val="28"/>
        </w:rPr>
        <w:t>because</w:t>
      </w:r>
      <w:r w:rsidR="00BF6775" w:rsidRPr="002A6E8C">
        <w:rPr>
          <w:rStyle w:val="NICEnormalChar"/>
          <w:szCs w:val="28"/>
        </w:rPr>
        <w:t xml:space="preserve"> </w:t>
      </w:r>
      <w:r w:rsidR="000A5CD0" w:rsidRPr="002A6E8C">
        <w:rPr>
          <w:rStyle w:val="NICEnormalChar"/>
          <w:szCs w:val="28"/>
        </w:rPr>
        <w:t xml:space="preserve">they can </w:t>
      </w:r>
      <w:r w:rsidR="00817A39" w:rsidRPr="002A6E8C">
        <w:rPr>
          <w:rStyle w:val="NICEnormalChar"/>
          <w:szCs w:val="28"/>
        </w:rPr>
        <w:t>d</w:t>
      </w:r>
      <w:r w:rsidR="000A5CD0" w:rsidRPr="002A6E8C">
        <w:rPr>
          <w:rStyle w:val="NICEnormalChar"/>
          <w:szCs w:val="28"/>
        </w:rPr>
        <w:t>elay</w:t>
      </w:r>
      <w:r w:rsidR="00817A39" w:rsidRPr="002A6E8C">
        <w:rPr>
          <w:rStyle w:val="NICEnormalChar"/>
          <w:szCs w:val="28"/>
        </w:rPr>
        <w:t xml:space="preserve"> </w:t>
      </w:r>
      <w:r w:rsidR="00BF6775">
        <w:rPr>
          <w:rStyle w:val="NICEnormalChar"/>
          <w:szCs w:val="28"/>
        </w:rPr>
        <w:t xml:space="preserve">disease </w:t>
      </w:r>
      <w:r w:rsidR="00817A39" w:rsidRPr="002A6E8C">
        <w:rPr>
          <w:rStyle w:val="NICEnormalChar"/>
          <w:szCs w:val="28"/>
        </w:rPr>
        <w:t xml:space="preserve">progression </w:t>
      </w:r>
      <w:r w:rsidR="000A5CD0" w:rsidRPr="002A6E8C">
        <w:rPr>
          <w:rStyle w:val="NICEnormalChar"/>
          <w:szCs w:val="28"/>
        </w:rPr>
        <w:t xml:space="preserve">and </w:t>
      </w:r>
      <w:r w:rsidR="00BF6775">
        <w:rPr>
          <w:rStyle w:val="NICEnormalChar"/>
          <w:szCs w:val="28"/>
        </w:rPr>
        <w:t xml:space="preserve">so delay </w:t>
      </w:r>
      <w:r w:rsidR="00364CB8">
        <w:rPr>
          <w:rStyle w:val="NICEnormalChar"/>
          <w:szCs w:val="28"/>
        </w:rPr>
        <w:t>or avoid</w:t>
      </w:r>
      <w:r w:rsidR="00A15E15">
        <w:rPr>
          <w:rStyle w:val="NICEnormalChar"/>
          <w:szCs w:val="28"/>
        </w:rPr>
        <w:t xml:space="preserve"> the need for</w:t>
      </w:r>
      <w:r w:rsidR="00817A39" w:rsidRPr="002A6E8C">
        <w:rPr>
          <w:rStyle w:val="NICEnormalChar"/>
          <w:szCs w:val="28"/>
        </w:rPr>
        <w:t xml:space="preserve"> chemotherapy</w:t>
      </w:r>
      <w:r w:rsidR="000A5CD0" w:rsidRPr="002A6E8C">
        <w:rPr>
          <w:rStyle w:val="NICEnormalChar"/>
          <w:szCs w:val="28"/>
        </w:rPr>
        <w:t>. T</w:t>
      </w:r>
      <w:r w:rsidR="00817A39" w:rsidRPr="002A6E8C">
        <w:rPr>
          <w:rStyle w:val="NICEnormalChar"/>
          <w:szCs w:val="28"/>
        </w:rPr>
        <w:t xml:space="preserve">his is desirable </w:t>
      </w:r>
      <w:r w:rsidR="00BF6775">
        <w:rPr>
          <w:rStyle w:val="NICEnormalChar"/>
          <w:szCs w:val="28"/>
        </w:rPr>
        <w:t>because</w:t>
      </w:r>
      <w:r w:rsidR="00BF6775" w:rsidRPr="002A6E8C">
        <w:rPr>
          <w:rStyle w:val="NICEnormalChar"/>
          <w:szCs w:val="28"/>
        </w:rPr>
        <w:t xml:space="preserve"> </w:t>
      </w:r>
      <w:r w:rsidR="00817A39" w:rsidRPr="002A6E8C">
        <w:rPr>
          <w:rStyle w:val="NICEnormalChar"/>
          <w:szCs w:val="28"/>
        </w:rPr>
        <w:t xml:space="preserve">chemotherapy side </w:t>
      </w:r>
      <w:r w:rsidR="000A5CD0" w:rsidRPr="002A6E8C">
        <w:rPr>
          <w:rStyle w:val="NICEnormalChar"/>
          <w:szCs w:val="28"/>
        </w:rPr>
        <w:t>effects</w:t>
      </w:r>
      <w:r w:rsidR="00817A39" w:rsidRPr="002A6E8C">
        <w:rPr>
          <w:rStyle w:val="NICEnormalChar"/>
          <w:szCs w:val="28"/>
        </w:rPr>
        <w:t xml:space="preserve"> can substantially reduce quality of life. </w:t>
      </w:r>
      <w:r w:rsidR="008E35F0" w:rsidRPr="002A6E8C">
        <w:rPr>
          <w:rStyle w:val="NICEnormalChar"/>
          <w:szCs w:val="28"/>
        </w:rPr>
        <w:t>Extending survival can give p</w:t>
      </w:r>
      <w:r w:rsidR="002626F3">
        <w:rPr>
          <w:rStyle w:val="NICEnormalChar"/>
          <w:szCs w:val="28"/>
        </w:rPr>
        <w:t>eople</w:t>
      </w:r>
      <w:r w:rsidR="008E35F0" w:rsidRPr="002A6E8C">
        <w:rPr>
          <w:rStyle w:val="NICEnormalChar"/>
          <w:szCs w:val="28"/>
        </w:rPr>
        <w:t xml:space="preserve"> valuable extra time with family and friends. </w:t>
      </w:r>
      <w:r w:rsidR="00BF6775">
        <w:rPr>
          <w:rStyle w:val="NICEnormalChar"/>
          <w:szCs w:val="28"/>
        </w:rPr>
        <w:t>The p</w:t>
      </w:r>
      <w:r w:rsidR="00370CDA">
        <w:rPr>
          <w:rStyle w:val="NICEnormalChar"/>
          <w:szCs w:val="28"/>
        </w:rPr>
        <w:t>atient experts</w:t>
      </w:r>
      <w:r w:rsidR="008E35F0" w:rsidRPr="002A6E8C">
        <w:rPr>
          <w:rStyle w:val="NICEnormalChar"/>
          <w:szCs w:val="28"/>
        </w:rPr>
        <w:t xml:space="preserve"> explained that exemestane</w:t>
      </w:r>
      <w:r w:rsidR="00E43FB4">
        <w:rPr>
          <w:rStyle w:val="NICEnormalChar"/>
          <w:szCs w:val="28"/>
        </w:rPr>
        <w:t xml:space="preserve"> </w:t>
      </w:r>
      <w:r w:rsidR="00E47DF9">
        <w:rPr>
          <w:rStyle w:val="NICEnormalChar"/>
          <w:szCs w:val="28"/>
        </w:rPr>
        <w:t>plus</w:t>
      </w:r>
      <w:r w:rsidR="00E43FB4">
        <w:rPr>
          <w:rStyle w:val="NICEnormalChar"/>
          <w:szCs w:val="28"/>
        </w:rPr>
        <w:t xml:space="preserve"> everolimus</w:t>
      </w:r>
      <w:r w:rsidR="008E35F0" w:rsidRPr="002A6E8C">
        <w:rPr>
          <w:rStyle w:val="NICEnormalChar"/>
          <w:szCs w:val="28"/>
        </w:rPr>
        <w:t>, the comparator, was poorly tolerated</w:t>
      </w:r>
      <w:r w:rsidR="008962D7">
        <w:rPr>
          <w:rStyle w:val="NICEnormalChar"/>
          <w:szCs w:val="28"/>
        </w:rPr>
        <w:t xml:space="preserve"> and used </w:t>
      </w:r>
      <w:r w:rsidR="00BF6775">
        <w:rPr>
          <w:rStyle w:val="NICEnormalChar"/>
          <w:szCs w:val="28"/>
        </w:rPr>
        <w:t>for</w:t>
      </w:r>
      <w:r w:rsidR="008962D7">
        <w:rPr>
          <w:rStyle w:val="NICEnormalChar"/>
          <w:szCs w:val="28"/>
        </w:rPr>
        <w:t xml:space="preserve"> only a small number of people, </w:t>
      </w:r>
      <w:r w:rsidR="00BF6775">
        <w:rPr>
          <w:rStyle w:val="NICEnormalChar"/>
          <w:szCs w:val="28"/>
        </w:rPr>
        <w:t>because</w:t>
      </w:r>
      <w:r w:rsidR="00BF6775" w:rsidRPr="002A6E8C">
        <w:rPr>
          <w:rStyle w:val="NICEnormalChar"/>
          <w:szCs w:val="28"/>
        </w:rPr>
        <w:t xml:space="preserve"> </w:t>
      </w:r>
      <w:r w:rsidR="00BF0920">
        <w:rPr>
          <w:rStyle w:val="NICEnormalChar"/>
          <w:szCs w:val="28"/>
        </w:rPr>
        <w:t xml:space="preserve">it has similar effects </w:t>
      </w:r>
      <w:r w:rsidR="00CE28C0">
        <w:rPr>
          <w:rStyle w:val="NICEnormalChar"/>
          <w:szCs w:val="28"/>
        </w:rPr>
        <w:t xml:space="preserve">to chemotherapy </w:t>
      </w:r>
      <w:r w:rsidR="00BF0920">
        <w:rPr>
          <w:rStyle w:val="NICEnormalChar"/>
          <w:szCs w:val="28"/>
        </w:rPr>
        <w:t>on quality of life</w:t>
      </w:r>
      <w:r w:rsidR="008E35F0" w:rsidRPr="002A6E8C">
        <w:rPr>
          <w:rStyle w:val="NICEnormalChar"/>
          <w:szCs w:val="28"/>
        </w:rPr>
        <w:t xml:space="preserve">. </w:t>
      </w:r>
      <w:r w:rsidR="002A6E8C" w:rsidRPr="002A6E8C">
        <w:rPr>
          <w:rStyle w:val="NICEnormalChar"/>
          <w:szCs w:val="28"/>
        </w:rPr>
        <w:t xml:space="preserve">They also </w:t>
      </w:r>
      <w:r w:rsidR="00B31E1C">
        <w:rPr>
          <w:rStyle w:val="NICEnormalChar"/>
          <w:szCs w:val="28"/>
        </w:rPr>
        <w:t>noted</w:t>
      </w:r>
      <w:r w:rsidR="00B31E1C" w:rsidRPr="002A6E8C">
        <w:rPr>
          <w:rStyle w:val="NICEnormalChar"/>
          <w:szCs w:val="28"/>
        </w:rPr>
        <w:t xml:space="preserve"> </w:t>
      </w:r>
      <w:r w:rsidR="002A6E8C" w:rsidRPr="002A6E8C">
        <w:rPr>
          <w:rStyle w:val="NICEnormalChar"/>
          <w:szCs w:val="28"/>
        </w:rPr>
        <w:t xml:space="preserve">that </w:t>
      </w:r>
      <w:r w:rsidR="00BF6775">
        <w:rPr>
          <w:rStyle w:val="NICEnormalChar"/>
          <w:szCs w:val="28"/>
        </w:rPr>
        <w:t xml:space="preserve">although </w:t>
      </w:r>
      <w:r w:rsidR="002A6E8C" w:rsidRPr="002A6E8C">
        <w:rPr>
          <w:rStyle w:val="NICEnormalChar"/>
          <w:szCs w:val="28"/>
        </w:rPr>
        <w:t xml:space="preserve">abemaciclib </w:t>
      </w:r>
      <w:r w:rsidR="00E47DF9">
        <w:rPr>
          <w:rStyle w:val="NICEnormalChar"/>
          <w:szCs w:val="28"/>
        </w:rPr>
        <w:t>plus</w:t>
      </w:r>
      <w:r w:rsidR="00E47DF9" w:rsidRPr="002A6E8C">
        <w:rPr>
          <w:rStyle w:val="NICEnormalChar"/>
          <w:szCs w:val="28"/>
        </w:rPr>
        <w:t xml:space="preserve"> </w:t>
      </w:r>
      <w:r w:rsidR="008962D7" w:rsidRPr="002A6E8C">
        <w:rPr>
          <w:rStyle w:val="NICEnormalChar"/>
          <w:szCs w:val="28"/>
        </w:rPr>
        <w:t xml:space="preserve">fulvestrant </w:t>
      </w:r>
      <w:r w:rsidR="008962D7">
        <w:rPr>
          <w:rStyle w:val="NICEnormalChar"/>
          <w:szCs w:val="28"/>
        </w:rPr>
        <w:t xml:space="preserve">can cause debilitating diarrhoea </w:t>
      </w:r>
      <w:r w:rsidR="00BF6775">
        <w:rPr>
          <w:rStyle w:val="NICEnormalChar"/>
          <w:szCs w:val="28"/>
        </w:rPr>
        <w:t>and</w:t>
      </w:r>
      <w:r w:rsidR="008962D7">
        <w:rPr>
          <w:rStyle w:val="NICEnormalChar"/>
          <w:szCs w:val="28"/>
        </w:rPr>
        <w:t xml:space="preserve"> other side effects, </w:t>
      </w:r>
      <w:r w:rsidR="002A6E8C" w:rsidRPr="002A6E8C">
        <w:rPr>
          <w:rStyle w:val="NICEnormalChar"/>
          <w:szCs w:val="28"/>
        </w:rPr>
        <w:t xml:space="preserve">these can usually be </w:t>
      </w:r>
      <w:r w:rsidR="00B31E1C" w:rsidRPr="002A6E8C">
        <w:rPr>
          <w:rStyle w:val="NICEnormalChar"/>
          <w:szCs w:val="28"/>
        </w:rPr>
        <w:t>managed and</w:t>
      </w:r>
      <w:r w:rsidR="002A6E8C" w:rsidRPr="002A6E8C">
        <w:rPr>
          <w:rStyle w:val="NICEnormalChar"/>
          <w:szCs w:val="28"/>
        </w:rPr>
        <w:t xml:space="preserve"> are preferable to </w:t>
      </w:r>
      <w:r w:rsidR="00364CB8">
        <w:rPr>
          <w:rStyle w:val="NICEnormalChar"/>
          <w:szCs w:val="28"/>
        </w:rPr>
        <w:t xml:space="preserve">having </w:t>
      </w:r>
      <w:r w:rsidR="002A6E8C" w:rsidRPr="002A6E8C">
        <w:rPr>
          <w:rStyle w:val="NICEnormalChar"/>
          <w:szCs w:val="28"/>
        </w:rPr>
        <w:t xml:space="preserve">chemotherapy. </w:t>
      </w:r>
      <w:r w:rsidR="00D352A6">
        <w:rPr>
          <w:rStyle w:val="NICEnormalChar"/>
          <w:szCs w:val="28"/>
        </w:rPr>
        <w:t>The p</w:t>
      </w:r>
      <w:r w:rsidR="002A6E8C" w:rsidRPr="002A6E8C">
        <w:rPr>
          <w:rStyle w:val="NICEnormalChar"/>
          <w:szCs w:val="28"/>
        </w:rPr>
        <w:t xml:space="preserve">atient and clinical experts </w:t>
      </w:r>
      <w:r w:rsidR="00D352A6">
        <w:rPr>
          <w:rStyle w:val="NICEnormalChar"/>
          <w:szCs w:val="28"/>
        </w:rPr>
        <w:t>preferred</w:t>
      </w:r>
      <w:r w:rsidR="002A6E8C" w:rsidRPr="002A6E8C">
        <w:rPr>
          <w:rStyle w:val="NICEnormalChar"/>
          <w:szCs w:val="28"/>
        </w:rPr>
        <w:t xml:space="preserve"> </w:t>
      </w:r>
      <w:r w:rsidR="00D352A6">
        <w:rPr>
          <w:rStyle w:val="NICEnormalChar"/>
          <w:szCs w:val="28"/>
        </w:rPr>
        <w:t xml:space="preserve">having </w:t>
      </w:r>
      <w:r w:rsidR="00783F1A">
        <w:rPr>
          <w:rStyle w:val="NICEnormalChar"/>
          <w:szCs w:val="28"/>
        </w:rPr>
        <w:t xml:space="preserve">a choice of </w:t>
      </w:r>
      <w:r w:rsidR="002A6E8C" w:rsidRPr="002A6E8C">
        <w:rPr>
          <w:rStyle w:val="NICEnormalChar"/>
          <w:szCs w:val="28"/>
        </w:rPr>
        <w:t>CDK4/6 inhibitor</w:t>
      </w:r>
      <w:r w:rsidR="00783F1A">
        <w:rPr>
          <w:rStyle w:val="NICEnormalChar"/>
          <w:szCs w:val="28"/>
        </w:rPr>
        <w:t>s</w:t>
      </w:r>
      <w:r w:rsidR="002A6E8C" w:rsidRPr="002A6E8C">
        <w:rPr>
          <w:rStyle w:val="NICEnormalChar"/>
          <w:szCs w:val="28"/>
        </w:rPr>
        <w:t xml:space="preserve"> </w:t>
      </w:r>
      <w:r w:rsidR="00D352A6">
        <w:rPr>
          <w:rStyle w:val="NICEnormalChar"/>
          <w:szCs w:val="28"/>
        </w:rPr>
        <w:t>because</w:t>
      </w:r>
      <w:r w:rsidR="002A6E8C" w:rsidRPr="002A6E8C">
        <w:rPr>
          <w:rStyle w:val="NICEnormalChar"/>
          <w:szCs w:val="28"/>
        </w:rPr>
        <w:t xml:space="preserve"> they have different </w:t>
      </w:r>
      <w:r w:rsidR="00D352A6">
        <w:rPr>
          <w:rStyle w:val="NICEnormalChar"/>
          <w:szCs w:val="28"/>
        </w:rPr>
        <w:t>side-effect</w:t>
      </w:r>
      <w:r w:rsidR="002A6E8C" w:rsidRPr="002A6E8C">
        <w:rPr>
          <w:rStyle w:val="NICEnormalChar"/>
          <w:szCs w:val="28"/>
        </w:rPr>
        <w:t xml:space="preserve"> profiles</w:t>
      </w:r>
      <w:r w:rsidR="00BF0920">
        <w:rPr>
          <w:rStyle w:val="NICEnormalChar"/>
          <w:szCs w:val="28"/>
        </w:rPr>
        <w:t xml:space="preserve"> </w:t>
      </w:r>
      <w:r w:rsidR="002A6E8C" w:rsidRPr="002A6E8C">
        <w:rPr>
          <w:rStyle w:val="NICEnormalChar"/>
          <w:szCs w:val="28"/>
        </w:rPr>
        <w:t>and p</w:t>
      </w:r>
      <w:r w:rsidR="002626F3">
        <w:rPr>
          <w:rStyle w:val="NICEnormalChar"/>
          <w:szCs w:val="28"/>
        </w:rPr>
        <w:t>eople</w:t>
      </w:r>
      <w:r w:rsidR="002A6E8C" w:rsidRPr="002A6E8C">
        <w:rPr>
          <w:rStyle w:val="NICEnormalChar"/>
          <w:szCs w:val="28"/>
        </w:rPr>
        <w:t xml:space="preserve"> can</w:t>
      </w:r>
      <w:r w:rsidR="00072BC5">
        <w:rPr>
          <w:rStyle w:val="NICEnormalChar"/>
          <w:szCs w:val="28"/>
        </w:rPr>
        <w:t xml:space="preserve"> change </w:t>
      </w:r>
      <w:r w:rsidR="007D05F8">
        <w:rPr>
          <w:rStyle w:val="NICEnormalChar"/>
          <w:szCs w:val="28"/>
        </w:rPr>
        <w:t>to</w:t>
      </w:r>
      <w:r w:rsidR="00072BC5">
        <w:rPr>
          <w:rStyle w:val="NICEnormalChar"/>
          <w:szCs w:val="28"/>
        </w:rPr>
        <w:t xml:space="preserve"> </w:t>
      </w:r>
      <w:r w:rsidR="00783F1A">
        <w:rPr>
          <w:rStyle w:val="NICEnormalChar"/>
          <w:szCs w:val="28"/>
        </w:rPr>
        <w:t xml:space="preserve">a </w:t>
      </w:r>
      <w:r w:rsidR="00072BC5">
        <w:rPr>
          <w:rStyle w:val="NICEnormalChar"/>
          <w:szCs w:val="28"/>
        </w:rPr>
        <w:t>different option if needed.</w:t>
      </w:r>
      <w:r w:rsidR="002A6E8C" w:rsidRPr="002A6E8C">
        <w:rPr>
          <w:rStyle w:val="NICEnormalChar"/>
          <w:szCs w:val="28"/>
        </w:rPr>
        <w:t xml:space="preserve"> </w:t>
      </w:r>
      <w:r w:rsidR="00CA746B">
        <w:rPr>
          <w:rStyle w:val="NICEnormalChar"/>
          <w:szCs w:val="28"/>
        </w:rPr>
        <w:t>The committee concluded that</w:t>
      </w:r>
      <w:r w:rsidR="004B6F3E">
        <w:rPr>
          <w:rStyle w:val="NICEnormalChar"/>
          <w:szCs w:val="28"/>
        </w:rPr>
        <w:t xml:space="preserve"> hav</w:t>
      </w:r>
      <w:r w:rsidR="00F47154">
        <w:rPr>
          <w:rStyle w:val="NICEnormalChar"/>
          <w:szCs w:val="28"/>
        </w:rPr>
        <w:t>ing</w:t>
      </w:r>
      <w:r w:rsidR="004B6F3E">
        <w:rPr>
          <w:rStyle w:val="NICEnormalChar"/>
          <w:szCs w:val="28"/>
        </w:rPr>
        <w:t xml:space="preserve"> a choice of</w:t>
      </w:r>
      <w:r w:rsidR="00CA746B">
        <w:rPr>
          <w:rStyle w:val="NICEnormalChar"/>
          <w:szCs w:val="28"/>
        </w:rPr>
        <w:t xml:space="preserve"> treatment</w:t>
      </w:r>
      <w:r w:rsidR="00E16091">
        <w:rPr>
          <w:rStyle w:val="NICEnormalChar"/>
          <w:szCs w:val="28"/>
        </w:rPr>
        <w:t xml:space="preserve">s </w:t>
      </w:r>
      <w:r w:rsidR="00CA746B">
        <w:rPr>
          <w:rStyle w:val="NICEnormalChar"/>
          <w:szCs w:val="28"/>
        </w:rPr>
        <w:t xml:space="preserve">that </w:t>
      </w:r>
      <w:r w:rsidR="003F7E24">
        <w:rPr>
          <w:rStyle w:val="NICEnormalChar"/>
          <w:szCs w:val="28"/>
        </w:rPr>
        <w:t>extend</w:t>
      </w:r>
      <w:r w:rsidR="00CA746B">
        <w:rPr>
          <w:rStyle w:val="NICEnormalChar"/>
          <w:szCs w:val="28"/>
        </w:rPr>
        <w:t xml:space="preserve"> </w:t>
      </w:r>
      <w:r w:rsidR="00CA746B" w:rsidRPr="00D82E43">
        <w:rPr>
          <w:rStyle w:val="NICEnormalChar"/>
          <w:szCs w:val="28"/>
        </w:rPr>
        <w:t xml:space="preserve">how long people live before their disease progresses and delay chemotherapy </w:t>
      </w:r>
      <w:r w:rsidR="00783F1A">
        <w:rPr>
          <w:rStyle w:val="NICEnormalChar"/>
          <w:szCs w:val="28"/>
        </w:rPr>
        <w:t>is</w:t>
      </w:r>
      <w:r w:rsidR="00E16091" w:rsidRPr="00D82E43">
        <w:rPr>
          <w:rStyle w:val="NICEnormalChar"/>
          <w:szCs w:val="28"/>
        </w:rPr>
        <w:t xml:space="preserve"> valued</w:t>
      </w:r>
      <w:r w:rsidR="00CA746B" w:rsidRPr="00D82E43">
        <w:rPr>
          <w:rStyle w:val="NICEnormalChar"/>
          <w:szCs w:val="28"/>
        </w:rPr>
        <w:t xml:space="preserve"> by people who have already had endocrine therapy.</w:t>
      </w:r>
    </w:p>
    <w:p w14:paraId="7149501B" w14:textId="170D9FB2" w:rsidR="0015007A" w:rsidRPr="002D0F7C" w:rsidRDefault="0015007A" w:rsidP="002D0F7C">
      <w:pPr>
        <w:pStyle w:val="Heading2"/>
      </w:pPr>
      <w:r w:rsidRPr="002D0F7C">
        <w:t>Clinical evidence</w:t>
      </w:r>
    </w:p>
    <w:p w14:paraId="2F963146" w14:textId="2F9BBD00" w:rsidR="00036153" w:rsidRDefault="00DE6B9C" w:rsidP="0068625D">
      <w:pPr>
        <w:pStyle w:val="Heading3"/>
      </w:pPr>
      <w:r>
        <w:t>Data from t</w:t>
      </w:r>
      <w:r w:rsidR="00091D55">
        <w:t>he group who</w:t>
      </w:r>
      <w:r w:rsidR="00F450AB">
        <w:t xml:space="preserve"> start on the licensed dose</w:t>
      </w:r>
      <w:r w:rsidR="00091D55">
        <w:t xml:space="preserve"> are</w:t>
      </w:r>
      <w:r w:rsidR="000E212E">
        <w:t xml:space="preserve"> </w:t>
      </w:r>
      <w:r w:rsidR="0068625D">
        <w:t>the most relevant</w:t>
      </w:r>
    </w:p>
    <w:p w14:paraId="15600AF3" w14:textId="3288DB0F" w:rsidR="000A1A53" w:rsidRPr="00785E49" w:rsidRDefault="00036153" w:rsidP="001420FD">
      <w:pPr>
        <w:pStyle w:val="Numberedlevel2text"/>
      </w:pPr>
      <w:r w:rsidRPr="00F2003A">
        <w:t>MONARCH</w:t>
      </w:r>
      <w:r w:rsidR="00934604">
        <w:rPr>
          <w:lang w:val="en-GB"/>
        </w:rPr>
        <w:t> </w:t>
      </w:r>
      <w:r w:rsidRPr="00F2003A">
        <w:t>2 is a phase</w:t>
      </w:r>
      <w:r w:rsidR="00934604">
        <w:rPr>
          <w:lang w:val="en-GB"/>
        </w:rPr>
        <w:t> 3</w:t>
      </w:r>
      <w:r w:rsidRPr="00F2003A">
        <w:t>, multinational, placebo-controlled</w:t>
      </w:r>
      <w:r w:rsidRPr="003D5D79">
        <w:t>, double-blind trial. It enrolled w</w:t>
      </w:r>
      <w:r w:rsidRPr="00FB67BC">
        <w:t xml:space="preserve">omen with </w:t>
      </w:r>
      <w:r w:rsidR="00826146">
        <w:t>hormone receptor</w:t>
      </w:r>
      <w:r w:rsidR="00826146">
        <w:rPr>
          <w:lang w:val="en-GB"/>
        </w:rPr>
        <w:t>-</w:t>
      </w:r>
      <w:r w:rsidRPr="00FB67BC">
        <w:t>positive, HER2</w:t>
      </w:r>
      <w:r w:rsidR="000A1A53">
        <w:rPr>
          <w:lang w:val="en-GB"/>
        </w:rPr>
        <w:t>-</w:t>
      </w:r>
      <w:r w:rsidRPr="002C4DFF">
        <w:t>negative locally advanced or metastatic breast cancer who</w:t>
      </w:r>
      <w:r w:rsidR="00305240">
        <w:rPr>
          <w:lang w:val="en-GB"/>
        </w:rPr>
        <w:t>se disease</w:t>
      </w:r>
      <w:r w:rsidRPr="002C4DFF">
        <w:t xml:space="preserve"> had progressed </w:t>
      </w:r>
      <w:r w:rsidR="005A555D">
        <w:rPr>
          <w:lang w:val="en-GB"/>
        </w:rPr>
        <w:t>on</w:t>
      </w:r>
      <w:r w:rsidR="00305240" w:rsidRPr="002C4DFF">
        <w:t xml:space="preserve"> </w:t>
      </w:r>
      <w:r w:rsidRPr="002C4DFF">
        <w:t>neoadjuvant or adjuvant endocrine therapy</w:t>
      </w:r>
      <w:r w:rsidR="001A2614" w:rsidRPr="005273DE">
        <w:rPr>
          <w:lang w:val="en-US"/>
        </w:rPr>
        <w:t xml:space="preserve">, </w:t>
      </w:r>
      <w:r w:rsidR="005A555D">
        <w:rPr>
          <w:lang w:val="en-US"/>
        </w:rPr>
        <w:t>either</w:t>
      </w:r>
      <w:r w:rsidR="000A1A53">
        <w:rPr>
          <w:lang w:val="en-US"/>
        </w:rPr>
        <w:t>:</w:t>
      </w:r>
    </w:p>
    <w:p w14:paraId="2A65F9BE" w14:textId="28EADA7F" w:rsidR="000A1A53" w:rsidRDefault="00036153" w:rsidP="000A1A53">
      <w:pPr>
        <w:pStyle w:val="Bulletindent1"/>
      </w:pPr>
      <w:r w:rsidRPr="002C4DFF">
        <w:t>12</w:t>
      </w:r>
      <w:r w:rsidR="00305240">
        <w:t> </w:t>
      </w:r>
      <w:r w:rsidRPr="002C4DFF">
        <w:t>months</w:t>
      </w:r>
      <w:r w:rsidR="001A2614" w:rsidRPr="005273DE">
        <w:rPr>
          <w:lang w:val="en-US"/>
        </w:rPr>
        <w:t xml:space="preserve"> or less</w:t>
      </w:r>
      <w:r w:rsidRPr="002C4DFF">
        <w:t xml:space="preserve"> from the end of adjuvant </w:t>
      </w:r>
      <w:r w:rsidRPr="00364CB8">
        <w:t>endocrine therapy or</w:t>
      </w:r>
    </w:p>
    <w:p w14:paraId="08BBE3B9" w14:textId="474895EE" w:rsidR="000A1A53" w:rsidRDefault="00036153" w:rsidP="000A1A53">
      <w:pPr>
        <w:pStyle w:val="Bulletindent1last"/>
      </w:pPr>
      <w:r w:rsidRPr="00364CB8">
        <w:lastRenderedPageBreak/>
        <w:t xml:space="preserve">while </w:t>
      </w:r>
      <w:r w:rsidR="00305240">
        <w:t>ha</w:t>
      </w:r>
      <w:r w:rsidR="00305240" w:rsidRPr="00364CB8">
        <w:t xml:space="preserve">ving </w:t>
      </w:r>
      <w:r w:rsidRPr="00364CB8">
        <w:t>first-line endocrine therapy for metastatic disease.</w:t>
      </w:r>
    </w:p>
    <w:p w14:paraId="0383A60D" w14:textId="46ACB03D" w:rsidR="004370D2" w:rsidRPr="008720D8" w:rsidRDefault="008F1433" w:rsidP="00785E49">
      <w:pPr>
        <w:pStyle w:val="NICEnormalindented"/>
      </w:pPr>
      <w:r w:rsidRPr="005273DE">
        <w:rPr>
          <w:lang w:val="en-US"/>
        </w:rPr>
        <w:t>B</w:t>
      </w:r>
      <w:r w:rsidRPr="00364CB8">
        <w:t>ecause of adverse</w:t>
      </w:r>
      <w:r>
        <w:t xml:space="preserve"> events (diarrhoea)</w:t>
      </w:r>
      <w:r w:rsidRPr="005273DE">
        <w:rPr>
          <w:lang w:val="en-US"/>
        </w:rPr>
        <w:t xml:space="preserve">, a </w:t>
      </w:r>
      <w:r w:rsidR="00036153" w:rsidRPr="00364CB8">
        <w:t>protocol amendment was made after 26.6% of patients were enrolled</w:t>
      </w:r>
      <w:r w:rsidR="000A1A53">
        <w:t>. This</w:t>
      </w:r>
      <w:r w:rsidR="00036153" w:rsidRPr="00364CB8">
        <w:t xml:space="preserve"> change</w:t>
      </w:r>
      <w:r w:rsidR="000A1A53">
        <w:t>d</w:t>
      </w:r>
      <w:r w:rsidR="00036153" w:rsidRPr="00364CB8">
        <w:t xml:space="preserve"> the </w:t>
      </w:r>
      <w:r w:rsidR="006B6732" w:rsidRPr="005273DE">
        <w:rPr>
          <w:lang w:val="en-US"/>
        </w:rPr>
        <w:t xml:space="preserve">starting </w:t>
      </w:r>
      <w:r w:rsidR="00036153" w:rsidRPr="00364CB8">
        <w:t>dose</w:t>
      </w:r>
      <w:r w:rsidR="00FC67F8" w:rsidRPr="005273DE">
        <w:rPr>
          <w:lang w:val="en-US"/>
        </w:rPr>
        <w:t xml:space="preserve"> of abemaciclib</w:t>
      </w:r>
      <w:r w:rsidR="00036153" w:rsidRPr="00364CB8">
        <w:t xml:space="preserve"> from 200</w:t>
      </w:r>
      <w:r w:rsidR="00305240">
        <w:t> </w:t>
      </w:r>
      <w:r w:rsidR="00036153" w:rsidRPr="00364CB8">
        <w:t>mg to 150</w:t>
      </w:r>
      <w:r w:rsidR="00305240">
        <w:t> </w:t>
      </w:r>
      <w:r w:rsidR="00036153" w:rsidRPr="00364CB8">
        <w:t>mg</w:t>
      </w:r>
      <w:r w:rsidR="00D30476" w:rsidRPr="005273DE">
        <w:rPr>
          <w:lang w:val="en-US"/>
        </w:rPr>
        <w:t>, both</w:t>
      </w:r>
      <w:r w:rsidR="00036153" w:rsidRPr="00364CB8">
        <w:t xml:space="preserve"> twice per day. </w:t>
      </w:r>
      <w:r w:rsidR="00054D30" w:rsidRPr="005273DE">
        <w:rPr>
          <w:lang w:val="en-US"/>
        </w:rPr>
        <w:t xml:space="preserve">At the time of </w:t>
      </w:r>
      <w:r w:rsidR="000A1A53">
        <w:rPr>
          <w:lang w:val="en-US"/>
        </w:rPr>
        <w:t xml:space="preserve">the </w:t>
      </w:r>
      <w:r w:rsidR="00054D30" w:rsidRPr="005273DE">
        <w:rPr>
          <w:lang w:val="en-US"/>
        </w:rPr>
        <w:t>protocol amendment any</w:t>
      </w:r>
      <w:r w:rsidR="00305240">
        <w:rPr>
          <w:lang w:val="en-US"/>
        </w:rPr>
        <w:t>one</w:t>
      </w:r>
      <w:r w:rsidR="00054D30" w:rsidRPr="005273DE">
        <w:rPr>
          <w:lang w:val="en-US"/>
        </w:rPr>
        <w:t xml:space="preserve"> </w:t>
      </w:r>
      <w:r w:rsidR="00054D30" w:rsidRPr="00E6191F">
        <w:rPr>
          <w:lang w:val="en-US"/>
        </w:rPr>
        <w:t>still on 200</w:t>
      </w:r>
      <w:r w:rsidR="00305240">
        <w:rPr>
          <w:lang w:val="en-US"/>
        </w:rPr>
        <w:t> </w:t>
      </w:r>
      <w:r w:rsidR="00054D30" w:rsidRPr="00E6191F">
        <w:rPr>
          <w:lang w:val="en-US"/>
        </w:rPr>
        <w:t>mg had the</w:t>
      </w:r>
      <w:r w:rsidR="00305240">
        <w:rPr>
          <w:lang w:val="en-US"/>
        </w:rPr>
        <w:t>ir</w:t>
      </w:r>
      <w:r w:rsidR="00054D30" w:rsidRPr="00E6191F">
        <w:rPr>
          <w:lang w:val="en-US"/>
        </w:rPr>
        <w:t xml:space="preserve"> dose reduced to 150</w:t>
      </w:r>
      <w:r w:rsidR="00305240">
        <w:rPr>
          <w:lang w:val="en-US"/>
        </w:rPr>
        <w:t> </w:t>
      </w:r>
      <w:r w:rsidR="00054D30" w:rsidRPr="00E6191F">
        <w:rPr>
          <w:lang w:val="en-US"/>
        </w:rPr>
        <w:t>mg.</w:t>
      </w:r>
      <w:r w:rsidR="008E74C1">
        <w:rPr>
          <w:lang w:val="en-US"/>
        </w:rPr>
        <w:t xml:space="preserve"> </w:t>
      </w:r>
      <w:r w:rsidR="00036153">
        <w:t>In total, 446</w:t>
      </w:r>
      <w:r w:rsidR="007A2FE7">
        <w:t> </w:t>
      </w:r>
      <w:r w:rsidR="00036153">
        <w:t>patients were enrolled to</w:t>
      </w:r>
      <w:r w:rsidR="001A2614" w:rsidRPr="005273DE">
        <w:rPr>
          <w:lang w:val="en-US"/>
        </w:rPr>
        <w:t xml:space="preserve"> have</w:t>
      </w:r>
      <w:r w:rsidR="00036153">
        <w:t xml:space="preserve"> abemaciclib </w:t>
      </w:r>
      <w:r w:rsidR="00E1187B">
        <w:t xml:space="preserve">plus </w:t>
      </w:r>
      <w:r w:rsidR="00036153">
        <w:t>fulvestrant (pre-amendment n=121, post-amendment n=325) and 223</w:t>
      </w:r>
      <w:r w:rsidR="00F316B1" w:rsidRPr="005273DE">
        <w:rPr>
          <w:lang w:val="en-US"/>
        </w:rPr>
        <w:t xml:space="preserve"> </w:t>
      </w:r>
      <w:r w:rsidR="00F316B1">
        <w:t xml:space="preserve">to </w:t>
      </w:r>
      <w:r w:rsidR="00F316B1" w:rsidRPr="005273DE">
        <w:rPr>
          <w:lang w:val="en-US"/>
        </w:rPr>
        <w:t>have</w:t>
      </w:r>
      <w:r w:rsidR="00F316B1">
        <w:t xml:space="preserve"> placebo </w:t>
      </w:r>
      <w:r w:rsidR="00E1187B">
        <w:t xml:space="preserve">plus </w:t>
      </w:r>
      <w:r w:rsidR="00F316B1">
        <w:t>fulvestrant</w:t>
      </w:r>
      <w:r w:rsidR="00036153">
        <w:t xml:space="preserve"> (pre-amendment n=57, post-amendment n=166)</w:t>
      </w:r>
      <w:r w:rsidR="00F316B1" w:rsidRPr="005273DE">
        <w:rPr>
          <w:lang w:val="en-US"/>
        </w:rPr>
        <w:t>.</w:t>
      </w:r>
      <w:r w:rsidR="00036153">
        <w:t xml:space="preserve"> </w:t>
      </w:r>
      <w:r w:rsidR="005E2F5A">
        <w:t>T</w:t>
      </w:r>
      <w:r w:rsidRPr="005273DE">
        <w:rPr>
          <w:lang w:val="en-US"/>
        </w:rPr>
        <w:t xml:space="preserve">he company considered it appropriate for the committee to use data from the full trial population in its decision making, </w:t>
      </w:r>
      <w:r w:rsidR="001F73ED">
        <w:rPr>
          <w:lang w:val="en-US"/>
        </w:rPr>
        <w:t>rather than</w:t>
      </w:r>
      <w:r w:rsidR="009C6E57" w:rsidRPr="00000AE4">
        <w:rPr>
          <w:lang w:val="en-US"/>
        </w:rPr>
        <w:t xml:space="preserve"> </w:t>
      </w:r>
      <w:r w:rsidR="004370D2">
        <w:rPr>
          <w:lang w:val="en-US"/>
        </w:rPr>
        <w:t xml:space="preserve">from </w:t>
      </w:r>
      <w:r w:rsidR="009C6E57" w:rsidRPr="00000AE4">
        <w:rPr>
          <w:lang w:val="en-US"/>
        </w:rPr>
        <w:t>separat</w:t>
      </w:r>
      <w:r w:rsidR="007A2FE7">
        <w:rPr>
          <w:lang w:val="en-US"/>
        </w:rPr>
        <w:t>e</w:t>
      </w:r>
      <w:r w:rsidR="007162CE" w:rsidRPr="00000AE4">
        <w:rPr>
          <w:lang w:val="en-US"/>
        </w:rPr>
        <w:t xml:space="preserve"> </w:t>
      </w:r>
      <w:r w:rsidR="00CB5105" w:rsidRPr="00000AE4">
        <w:rPr>
          <w:lang w:val="en-US"/>
        </w:rPr>
        <w:t>pre- and post-amendment group</w:t>
      </w:r>
      <w:r w:rsidR="007A2FE7">
        <w:rPr>
          <w:lang w:val="en-US"/>
        </w:rPr>
        <w:t>s</w:t>
      </w:r>
      <w:r w:rsidR="00966EFF" w:rsidRPr="00000AE4">
        <w:rPr>
          <w:lang w:val="en-US"/>
        </w:rPr>
        <w:t>. The</w:t>
      </w:r>
      <w:r w:rsidR="005E2F5A" w:rsidRPr="00000AE4">
        <w:t xml:space="preserve"> compan</w:t>
      </w:r>
      <w:r w:rsidR="00966EFF" w:rsidRPr="00000AE4">
        <w:t>y</w:t>
      </w:r>
      <w:r w:rsidR="005E2F5A">
        <w:t xml:space="preserve"> provided</w:t>
      </w:r>
      <w:r w:rsidR="004370D2">
        <w:t>:</w:t>
      </w:r>
    </w:p>
    <w:p w14:paraId="6689E68B" w14:textId="50A540B7" w:rsidR="004370D2" w:rsidRPr="008720D8" w:rsidRDefault="004370D2" w:rsidP="004370D2">
      <w:pPr>
        <w:pStyle w:val="Bulletindent1"/>
      </w:pPr>
      <w:r>
        <w:t>the</w:t>
      </w:r>
      <w:r w:rsidR="005E2F5A">
        <w:t xml:space="preserve"> median dose for </w:t>
      </w:r>
      <w:r w:rsidR="009C6E57" w:rsidRPr="005273DE">
        <w:rPr>
          <w:lang w:val="en-US"/>
        </w:rPr>
        <w:t>the</w:t>
      </w:r>
      <w:r w:rsidR="002B66B9" w:rsidRPr="005273DE">
        <w:rPr>
          <w:lang w:val="en-US"/>
        </w:rPr>
        <w:t xml:space="preserve"> </w:t>
      </w:r>
      <w:r w:rsidR="00BA0FF1" w:rsidRPr="005273DE">
        <w:rPr>
          <w:lang w:val="en-US"/>
        </w:rPr>
        <w:t>pre</w:t>
      </w:r>
      <w:r w:rsidR="001F73ED">
        <w:rPr>
          <w:lang w:val="en-US"/>
        </w:rPr>
        <w:t>-</w:t>
      </w:r>
      <w:r w:rsidR="00BA0FF1" w:rsidRPr="005273DE">
        <w:rPr>
          <w:lang w:val="en-US"/>
        </w:rPr>
        <w:t xml:space="preserve"> and post</w:t>
      </w:r>
      <w:r w:rsidR="001F73ED">
        <w:rPr>
          <w:lang w:val="en-US"/>
        </w:rPr>
        <w:t>-</w:t>
      </w:r>
      <w:r w:rsidR="00BA0FF1" w:rsidRPr="005273DE">
        <w:rPr>
          <w:lang w:val="en-US"/>
        </w:rPr>
        <w:t xml:space="preserve"> amendment </w:t>
      </w:r>
      <w:r w:rsidR="00D2566D" w:rsidRPr="005273DE">
        <w:rPr>
          <w:lang w:val="en-US"/>
        </w:rPr>
        <w:t>gr</w:t>
      </w:r>
      <w:r w:rsidR="00D2566D" w:rsidRPr="00E6191F">
        <w:rPr>
          <w:lang w:val="en-US"/>
        </w:rPr>
        <w:t>oups</w:t>
      </w:r>
    </w:p>
    <w:p w14:paraId="657F8746" w14:textId="42C94A3B" w:rsidR="004370D2" w:rsidRDefault="00D2566D" w:rsidP="004370D2">
      <w:pPr>
        <w:pStyle w:val="Bulletindent1"/>
      </w:pPr>
      <w:r w:rsidRPr="005273DE">
        <w:rPr>
          <w:lang w:val="en-US"/>
        </w:rPr>
        <w:t xml:space="preserve">the median time </w:t>
      </w:r>
      <w:r w:rsidR="009733DC" w:rsidRPr="005273DE">
        <w:rPr>
          <w:lang w:val="en-US"/>
        </w:rPr>
        <w:t>to dose reduction</w:t>
      </w:r>
      <w:r w:rsidR="007F0D79" w:rsidRPr="005273DE">
        <w:rPr>
          <w:lang w:val="en-US"/>
        </w:rPr>
        <w:t xml:space="preserve"> and</w:t>
      </w:r>
    </w:p>
    <w:p w14:paraId="16AE9CBB" w14:textId="7FF97164" w:rsidR="004370D2" w:rsidRPr="008720D8" w:rsidRDefault="005E2F5A" w:rsidP="008720D8">
      <w:pPr>
        <w:pStyle w:val="Bulletindent1last"/>
      </w:pPr>
      <w:r>
        <w:t>results from an interaction test</w:t>
      </w:r>
      <w:r w:rsidR="008D0B26" w:rsidRPr="005273DE">
        <w:rPr>
          <w:lang w:val="en-US"/>
        </w:rPr>
        <w:t xml:space="preserve"> after adjustments for multiplicity and baseline confounding factors</w:t>
      </w:r>
      <w:r w:rsidR="004370D2">
        <w:rPr>
          <w:lang w:val="en-US"/>
        </w:rPr>
        <w:t>.</w:t>
      </w:r>
    </w:p>
    <w:p w14:paraId="514F5217" w14:textId="4C9A933A" w:rsidR="00D40C06" w:rsidRDefault="004370D2" w:rsidP="00BF0920">
      <w:pPr>
        <w:pStyle w:val="NICEnormalindented"/>
        <w:rPr>
          <w:lang w:val="en-US"/>
        </w:rPr>
      </w:pPr>
      <w:r>
        <w:rPr>
          <w:lang w:val="en-US"/>
        </w:rPr>
        <w:t>T</w:t>
      </w:r>
      <w:r w:rsidR="001F73ED">
        <w:rPr>
          <w:lang w:val="en-US"/>
        </w:rPr>
        <w:t>hese were marked confiden</w:t>
      </w:r>
      <w:r w:rsidR="00D51C52">
        <w:rPr>
          <w:lang w:val="en-US"/>
        </w:rPr>
        <w:t>tial</w:t>
      </w:r>
      <w:r w:rsidR="001F73ED">
        <w:rPr>
          <w:lang w:val="en-US"/>
        </w:rPr>
        <w:t>, and cannot be reported here</w:t>
      </w:r>
      <w:r w:rsidR="005351A1">
        <w:rPr>
          <w:lang w:val="en-US"/>
        </w:rPr>
        <w:t>.</w:t>
      </w:r>
      <w:r w:rsidR="00C75C84">
        <w:rPr>
          <w:lang w:val="en-US"/>
        </w:rPr>
        <w:t xml:space="preserve"> </w:t>
      </w:r>
      <w:r w:rsidR="0064030D" w:rsidRPr="002B2D61">
        <w:t>The company d</w:t>
      </w:r>
      <w:r w:rsidR="0064030D">
        <w:t>id</w:t>
      </w:r>
      <w:r w:rsidR="0064030D" w:rsidRPr="002B2D61">
        <w:t xml:space="preserve"> not believe</w:t>
      </w:r>
      <w:r w:rsidR="0064030D">
        <w:t xml:space="preserve"> that </w:t>
      </w:r>
      <w:r w:rsidR="009A7868">
        <w:t xml:space="preserve">the </w:t>
      </w:r>
      <w:r w:rsidR="0064030D" w:rsidRPr="002B2D61">
        <w:t xml:space="preserve">outcomes in </w:t>
      </w:r>
      <w:r w:rsidR="00CD34DD">
        <w:t xml:space="preserve">the </w:t>
      </w:r>
      <w:r w:rsidR="0064030D" w:rsidRPr="002B2D61">
        <w:t xml:space="preserve">subgroups </w:t>
      </w:r>
      <w:r w:rsidR="0064030D">
        <w:t>could</w:t>
      </w:r>
      <w:r w:rsidR="0064030D" w:rsidRPr="002B2D61">
        <w:t xml:space="preserve"> reasonably </w:t>
      </w:r>
      <w:r w:rsidR="0064030D" w:rsidRPr="002A7ED6">
        <w:t xml:space="preserve">be </w:t>
      </w:r>
      <w:r w:rsidR="0064030D" w:rsidRPr="002B2D61">
        <w:t xml:space="preserve">attributed to </w:t>
      </w:r>
      <w:r w:rsidR="000A1A53">
        <w:t xml:space="preserve">the </w:t>
      </w:r>
      <w:r w:rsidR="0064030D" w:rsidRPr="002B2D61">
        <w:t>starting dose</w:t>
      </w:r>
      <w:r w:rsidR="009A7868">
        <w:t xml:space="preserve"> used</w:t>
      </w:r>
      <w:r w:rsidR="000A1A53">
        <w:t>. It</w:t>
      </w:r>
      <w:r w:rsidR="0064030D" w:rsidRPr="002B2D61">
        <w:t xml:space="preserve"> </w:t>
      </w:r>
      <w:r w:rsidR="00785E49">
        <w:t>stated</w:t>
      </w:r>
      <w:r w:rsidR="0064030D" w:rsidRPr="002B2D61">
        <w:t xml:space="preserve"> that starting dose is not a treatment effect modifier.</w:t>
      </w:r>
      <w:r w:rsidR="0064030D">
        <w:t xml:space="preserve"> </w:t>
      </w:r>
      <w:r w:rsidR="005E2F5A">
        <w:t xml:space="preserve">The company further explained that worldwide regulators have used data </w:t>
      </w:r>
      <w:r>
        <w:t>that</w:t>
      </w:r>
      <w:r w:rsidRPr="005273DE">
        <w:t xml:space="preserve"> </w:t>
      </w:r>
      <w:r w:rsidR="005E2F5A" w:rsidRPr="005273DE">
        <w:t>included</w:t>
      </w:r>
      <w:r w:rsidR="005E2F5A">
        <w:t xml:space="preserve"> all patients</w:t>
      </w:r>
      <w:r>
        <w:t>.</w:t>
      </w:r>
      <w:r w:rsidR="005E2F5A">
        <w:t xml:space="preserve"> </w:t>
      </w:r>
      <w:r>
        <w:t>Also,</w:t>
      </w:r>
      <w:r w:rsidR="005E2F5A">
        <w:t xml:space="preserve"> clinical advice </w:t>
      </w:r>
      <w:r w:rsidR="005A4265">
        <w:t xml:space="preserve">to the company </w:t>
      </w:r>
      <w:r w:rsidR="00B46A1A">
        <w:t>was</w:t>
      </w:r>
      <w:r w:rsidR="003152C0">
        <w:rPr>
          <w:lang w:val="en-US"/>
        </w:rPr>
        <w:t xml:space="preserve"> that</w:t>
      </w:r>
      <w:r w:rsidR="005E2F5A">
        <w:t xml:space="preserve"> it would be inappropriate to analyse the groups separately</w:t>
      </w:r>
      <w:r w:rsidR="00BA709B">
        <w:rPr>
          <w:lang w:val="en-US"/>
        </w:rPr>
        <w:t>,</w:t>
      </w:r>
      <w:r w:rsidR="00D32C07" w:rsidRPr="005273DE">
        <w:rPr>
          <w:lang w:val="en-US"/>
        </w:rPr>
        <w:t xml:space="preserve"> </w:t>
      </w:r>
      <w:r w:rsidR="00B507CD">
        <w:rPr>
          <w:lang w:val="en-US"/>
        </w:rPr>
        <w:t xml:space="preserve">or exclude </w:t>
      </w:r>
      <w:r w:rsidR="005462E2" w:rsidRPr="005273DE">
        <w:rPr>
          <w:lang w:val="en-US"/>
        </w:rPr>
        <w:t>pa</w:t>
      </w:r>
      <w:r>
        <w:rPr>
          <w:lang w:val="en-US"/>
        </w:rPr>
        <w:t>tients</w:t>
      </w:r>
      <w:r w:rsidR="00B507CD">
        <w:rPr>
          <w:lang w:val="en-US"/>
        </w:rPr>
        <w:t xml:space="preserve"> recruited </w:t>
      </w:r>
      <w:r>
        <w:rPr>
          <w:lang w:val="en-US"/>
        </w:rPr>
        <w:t xml:space="preserve">before the </w:t>
      </w:r>
      <w:r w:rsidR="006D7573" w:rsidRPr="00E6191F">
        <w:rPr>
          <w:lang w:val="en-US"/>
        </w:rPr>
        <w:t>amendment</w:t>
      </w:r>
      <w:r w:rsidR="005E2F5A">
        <w:t xml:space="preserve">. </w:t>
      </w:r>
      <w:r w:rsidR="00966EFF" w:rsidRPr="005273DE">
        <w:t>The</w:t>
      </w:r>
      <w:r w:rsidR="005E2F5A" w:rsidRPr="005273DE">
        <w:t xml:space="preserve"> </w:t>
      </w:r>
      <w:r w:rsidR="005E2F5A">
        <w:t>clinical expert</w:t>
      </w:r>
      <w:r w:rsidR="00966EFF" w:rsidRPr="005273DE">
        <w:rPr>
          <w:lang w:val="en-US"/>
        </w:rPr>
        <w:t>s</w:t>
      </w:r>
      <w:r w:rsidR="005E2F5A">
        <w:t xml:space="preserve"> </w:t>
      </w:r>
      <w:r w:rsidR="0056785B">
        <w:t xml:space="preserve">said </w:t>
      </w:r>
      <w:r w:rsidR="005E2F5A">
        <w:t xml:space="preserve">that they would not expect </w:t>
      </w:r>
      <w:r w:rsidR="004B5466">
        <w:t xml:space="preserve">abemaciclib’s </w:t>
      </w:r>
      <w:r w:rsidR="005E2F5A">
        <w:t>efficacy</w:t>
      </w:r>
      <w:r w:rsidR="00966EFF" w:rsidRPr="005273DE">
        <w:rPr>
          <w:lang w:val="en-US"/>
        </w:rPr>
        <w:t xml:space="preserve"> to differ between the 150</w:t>
      </w:r>
      <w:r>
        <w:rPr>
          <w:lang w:val="en-US"/>
        </w:rPr>
        <w:t> </w:t>
      </w:r>
      <w:r w:rsidR="00966EFF" w:rsidRPr="005273DE">
        <w:rPr>
          <w:lang w:val="en-US"/>
        </w:rPr>
        <w:t>mg and 200</w:t>
      </w:r>
      <w:r>
        <w:rPr>
          <w:lang w:val="en-US"/>
        </w:rPr>
        <w:t> </w:t>
      </w:r>
      <w:r w:rsidR="00966EFF" w:rsidRPr="005273DE">
        <w:rPr>
          <w:lang w:val="en-US"/>
        </w:rPr>
        <w:t>mg doses</w:t>
      </w:r>
      <w:r w:rsidR="005E2F5A">
        <w:t xml:space="preserve">, and </w:t>
      </w:r>
      <w:r w:rsidR="00B65BED" w:rsidRPr="005273DE">
        <w:rPr>
          <w:lang w:val="en-US"/>
        </w:rPr>
        <w:t xml:space="preserve">clinical outcomes </w:t>
      </w:r>
      <w:r w:rsidR="00C80DF7">
        <w:rPr>
          <w:lang w:val="en-US"/>
        </w:rPr>
        <w:t>with the 2</w:t>
      </w:r>
      <w:r w:rsidR="004B5466">
        <w:rPr>
          <w:lang w:val="en-US"/>
        </w:rPr>
        <w:t> </w:t>
      </w:r>
      <w:r w:rsidR="00C80DF7">
        <w:rPr>
          <w:lang w:val="en-US"/>
        </w:rPr>
        <w:t xml:space="preserve">doses </w:t>
      </w:r>
      <w:r w:rsidR="0056785B">
        <w:rPr>
          <w:lang w:val="en-US"/>
        </w:rPr>
        <w:t>were</w:t>
      </w:r>
      <w:r w:rsidR="00B65BED" w:rsidRPr="005273DE">
        <w:rPr>
          <w:lang w:val="en-US"/>
        </w:rPr>
        <w:t xml:space="preserve"> similar in practice</w:t>
      </w:r>
      <w:r w:rsidR="005E2F5A">
        <w:t xml:space="preserve">. </w:t>
      </w:r>
      <w:r w:rsidR="00F41411" w:rsidRPr="00F41411">
        <w:t>A larger study of 150</w:t>
      </w:r>
      <w:r w:rsidR="0056785B">
        <w:t> </w:t>
      </w:r>
      <w:r w:rsidR="00F41411" w:rsidRPr="00F41411">
        <w:t xml:space="preserve">mg abemaciclib </w:t>
      </w:r>
      <w:r w:rsidR="0056785B">
        <w:t>plus</w:t>
      </w:r>
      <w:r w:rsidR="00F41411" w:rsidRPr="00F41411">
        <w:t xml:space="preserve"> an aromatase inhibitor, which is now routinely commissioned, showed clear efficacy at that dosage.</w:t>
      </w:r>
      <w:r w:rsidR="00314C1D">
        <w:rPr>
          <w:lang w:val="en-US"/>
        </w:rPr>
        <w:t xml:space="preserve"> </w:t>
      </w:r>
      <w:r w:rsidR="00720016" w:rsidRPr="005273DE">
        <w:rPr>
          <w:lang w:val="en-US"/>
        </w:rPr>
        <w:t>They</w:t>
      </w:r>
      <w:r w:rsidR="005E2F5A" w:rsidRPr="005273DE">
        <w:t xml:space="preserve"> also explained that a higher dose for a short time at the start of treatment </w:t>
      </w:r>
      <w:r w:rsidR="004B5466">
        <w:t>wa</w:t>
      </w:r>
      <w:r w:rsidR="005E2F5A" w:rsidRPr="005273DE">
        <w:t xml:space="preserve">s not likely to confer a long-term advantage, </w:t>
      </w:r>
      <w:r w:rsidR="0056785B">
        <w:t>because</w:t>
      </w:r>
      <w:r w:rsidR="0056785B" w:rsidRPr="005273DE">
        <w:t xml:space="preserve"> </w:t>
      </w:r>
      <w:r w:rsidR="005E2F5A" w:rsidRPr="005273DE">
        <w:t xml:space="preserve">CDK4/6 inhibitors work through long-term suppression of tumour growth. </w:t>
      </w:r>
      <w:r w:rsidR="005E2F5A">
        <w:t>T</w:t>
      </w:r>
      <w:r w:rsidR="005E2F5A" w:rsidRPr="00F7170B">
        <w:t>he ERG noted that the 150</w:t>
      </w:r>
      <w:r w:rsidR="00077D8C">
        <w:t> </w:t>
      </w:r>
      <w:r w:rsidR="005E2F5A" w:rsidRPr="00F7170B">
        <w:t xml:space="preserve">mg starting dose is in the marketing authorisation and will be </w:t>
      </w:r>
      <w:r w:rsidR="005E2F5A" w:rsidRPr="00F7170B">
        <w:lastRenderedPageBreak/>
        <w:t xml:space="preserve">used in clinical practice. </w:t>
      </w:r>
      <w:r w:rsidR="00077D8C">
        <w:t>It</w:t>
      </w:r>
      <w:r w:rsidR="00077D8C" w:rsidRPr="00F7170B">
        <w:t xml:space="preserve"> </w:t>
      </w:r>
      <w:r w:rsidR="000108D8" w:rsidRPr="005273DE">
        <w:rPr>
          <w:lang w:val="en-US"/>
        </w:rPr>
        <w:t>emphasised</w:t>
      </w:r>
      <w:r w:rsidR="005E2F5A" w:rsidRPr="00F7170B">
        <w:t xml:space="preserve"> that the </w:t>
      </w:r>
      <w:r w:rsidR="00720016" w:rsidRPr="005273DE">
        <w:rPr>
          <w:lang w:val="en-US"/>
        </w:rPr>
        <w:t>post-amendment group</w:t>
      </w:r>
      <w:r w:rsidR="005E2F5A" w:rsidRPr="00F7170B">
        <w:t xml:space="preserve"> is methodologically robust since</w:t>
      </w:r>
      <w:r w:rsidR="008E6E92" w:rsidRPr="005273DE">
        <w:rPr>
          <w:lang w:val="en-US"/>
        </w:rPr>
        <w:t xml:space="preserve"> the trial was redesigned </w:t>
      </w:r>
      <w:r w:rsidR="00077D8C">
        <w:rPr>
          <w:lang w:val="en-US"/>
        </w:rPr>
        <w:t>to be</w:t>
      </w:r>
      <w:r w:rsidR="008E6E92" w:rsidRPr="005273DE">
        <w:rPr>
          <w:lang w:val="en-US"/>
        </w:rPr>
        <w:t xml:space="preserve"> powered to detect a difference in progression-free survival between </w:t>
      </w:r>
      <w:r w:rsidR="007E0FF3" w:rsidRPr="005273DE">
        <w:rPr>
          <w:lang w:val="en-US"/>
        </w:rPr>
        <w:t xml:space="preserve">abemaciclib </w:t>
      </w:r>
      <w:r w:rsidR="00E1187B">
        <w:rPr>
          <w:lang w:val="en-US"/>
        </w:rPr>
        <w:t>plus</w:t>
      </w:r>
      <w:r w:rsidR="00E1187B" w:rsidRPr="005273DE">
        <w:rPr>
          <w:lang w:val="en-US"/>
        </w:rPr>
        <w:t xml:space="preserve"> </w:t>
      </w:r>
      <w:r w:rsidR="007E0FF3" w:rsidRPr="005273DE">
        <w:rPr>
          <w:lang w:val="en-US"/>
        </w:rPr>
        <w:t>fulvestrant</w:t>
      </w:r>
      <w:r w:rsidR="008E6E92" w:rsidRPr="00E6191F">
        <w:rPr>
          <w:lang w:val="en-US"/>
        </w:rPr>
        <w:t xml:space="preserve"> </w:t>
      </w:r>
      <w:r w:rsidR="007E0FF3" w:rsidRPr="00E6191F">
        <w:rPr>
          <w:lang w:val="en-US"/>
        </w:rPr>
        <w:t xml:space="preserve">and placebo </w:t>
      </w:r>
      <w:r w:rsidR="00E1187B">
        <w:rPr>
          <w:lang w:val="en-US"/>
        </w:rPr>
        <w:t>plus</w:t>
      </w:r>
      <w:r w:rsidR="00E1187B" w:rsidRPr="00E6191F">
        <w:rPr>
          <w:lang w:val="en-US"/>
        </w:rPr>
        <w:t xml:space="preserve"> </w:t>
      </w:r>
      <w:r w:rsidR="007E0FF3" w:rsidRPr="00E6191F">
        <w:rPr>
          <w:lang w:val="en-US"/>
        </w:rPr>
        <w:t>fulvestrant</w:t>
      </w:r>
      <w:r w:rsidR="008E6E92" w:rsidRPr="000C53E6">
        <w:rPr>
          <w:lang w:val="en-US"/>
        </w:rPr>
        <w:t xml:space="preserve"> in th</w:t>
      </w:r>
      <w:r w:rsidR="004B5466">
        <w:rPr>
          <w:lang w:val="en-US"/>
        </w:rPr>
        <w:t>is</w:t>
      </w:r>
      <w:r w:rsidR="008E6E92" w:rsidRPr="000C53E6">
        <w:rPr>
          <w:lang w:val="en-US"/>
        </w:rPr>
        <w:t xml:space="preserve"> group.</w:t>
      </w:r>
      <w:r w:rsidR="005E2F5A" w:rsidRPr="00F7170B">
        <w:t xml:space="preserve"> </w:t>
      </w:r>
      <w:r w:rsidR="00A16740">
        <w:t xml:space="preserve">The committee did not consider that the </w:t>
      </w:r>
      <w:r w:rsidR="00680F7E">
        <w:t xml:space="preserve">company’s </w:t>
      </w:r>
      <w:r w:rsidR="00A16740">
        <w:t xml:space="preserve">interaction test was sufficient evidence to support using the full trial population. </w:t>
      </w:r>
      <w:r w:rsidR="00077D8C">
        <w:t>It</w:t>
      </w:r>
      <w:r w:rsidR="005E2F5A">
        <w:t xml:space="preserve"> also noted that the </w:t>
      </w:r>
      <w:r w:rsidR="0093374C">
        <w:t xml:space="preserve">patient </w:t>
      </w:r>
      <w:r w:rsidR="005E2F5A">
        <w:t xml:space="preserve">baseline characteristics provided by the company </w:t>
      </w:r>
      <w:r w:rsidR="0093374C">
        <w:t>were not</w:t>
      </w:r>
      <w:r w:rsidR="005E2F5A">
        <w:t xml:space="preserve"> likely to account for the difference in efficacy reported</w:t>
      </w:r>
      <w:r w:rsidR="005E2F5A" w:rsidRPr="005273DE">
        <w:t>, but that not all characteristics were provided</w:t>
      </w:r>
      <w:r w:rsidR="005E2F5A">
        <w:t xml:space="preserve">. </w:t>
      </w:r>
      <w:r w:rsidR="005E2F5A" w:rsidRPr="005273DE">
        <w:t xml:space="preserve">The committee considered that the ERG had made a coherent case that the post-amendment group was </w:t>
      </w:r>
      <w:r w:rsidR="00BF0920">
        <w:t xml:space="preserve">methodologically </w:t>
      </w:r>
      <w:r w:rsidR="005E2F5A" w:rsidRPr="005273DE">
        <w:t>robust</w:t>
      </w:r>
      <w:r w:rsidR="00BC602D">
        <w:t>. It</w:t>
      </w:r>
      <w:r w:rsidR="005E2F5A" w:rsidRPr="005273DE">
        <w:t xml:space="preserve"> discussed whether </w:t>
      </w:r>
      <w:r w:rsidR="00AD5A39" w:rsidRPr="00E6191F">
        <w:t xml:space="preserve">there </w:t>
      </w:r>
      <w:r w:rsidR="00234D4E">
        <w:t>was</w:t>
      </w:r>
      <w:r w:rsidR="005E2F5A" w:rsidRPr="00E6191F">
        <w:t xml:space="preserve"> a genuine dose effect, </w:t>
      </w:r>
      <w:r w:rsidR="00234D4E">
        <w:t xml:space="preserve">or whether differences </w:t>
      </w:r>
      <w:r w:rsidR="001164FF">
        <w:t xml:space="preserve">between the groups </w:t>
      </w:r>
      <w:r w:rsidR="00234D4E">
        <w:t xml:space="preserve">were </w:t>
      </w:r>
      <w:r w:rsidR="00BC602D">
        <w:t>because of</w:t>
      </w:r>
      <w:r w:rsidR="005E2F5A" w:rsidRPr="00E6191F">
        <w:t xml:space="preserve"> chance or baseline imbalances. </w:t>
      </w:r>
      <w:r w:rsidR="00BC602D">
        <w:t>It</w:t>
      </w:r>
      <w:r w:rsidR="00BC602D" w:rsidRPr="00E6191F">
        <w:t xml:space="preserve"> </w:t>
      </w:r>
      <w:r w:rsidR="005144F9">
        <w:t>considered whether</w:t>
      </w:r>
      <w:r w:rsidR="00D40C06">
        <w:t xml:space="preserve"> </w:t>
      </w:r>
      <w:r w:rsidR="005E2F5A" w:rsidRPr="00E6191F">
        <w:t>the difference</w:t>
      </w:r>
      <w:r w:rsidR="001164FF">
        <w:t>s</w:t>
      </w:r>
      <w:r w:rsidR="005E2F5A" w:rsidRPr="000C53E6">
        <w:t xml:space="preserve"> might be greater in the placebo arm than in the treatment arm, but this was difficult to determine. </w:t>
      </w:r>
      <w:r w:rsidR="007E3B76">
        <w:t xml:space="preserve">The committee understood </w:t>
      </w:r>
      <w:r w:rsidR="00AD5A39" w:rsidRPr="005273DE">
        <w:rPr>
          <w:lang w:val="en-US"/>
        </w:rPr>
        <w:t>the challenges of interpreting the MONARCH</w:t>
      </w:r>
      <w:r w:rsidR="00AD1D58">
        <w:rPr>
          <w:lang w:val="en-US"/>
        </w:rPr>
        <w:t> </w:t>
      </w:r>
      <w:r w:rsidR="00AD5A39" w:rsidRPr="005273DE">
        <w:rPr>
          <w:lang w:val="en-US"/>
        </w:rPr>
        <w:t xml:space="preserve">2 </w:t>
      </w:r>
      <w:r w:rsidR="00AD1D58">
        <w:rPr>
          <w:lang w:val="en-US"/>
        </w:rPr>
        <w:t xml:space="preserve">clinical data </w:t>
      </w:r>
      <w:r w:rsidR="00AD5A39" w:rsidRPr="005273DE">
        <w:rPr>
          <w:lang w:val="en-US"/>
        </w:rPr>
        <w:t>given the protocol amendment.</w:t>
      </w:r>
      <w:r w:rsidR="001A2614" w:rsidRPr="005273DE">
        <w:rPr>
          <w:lang w:val="en-US"/>
        </w:rPr>
        <w:t xml:space="preserve"> </w:t>
      </w:r>
      <w:r w:rsidR="00D13898">
        <w:rPr>
          <w:lang w:val="en-US"/>
        </w:rPr>
        <w:t>It</w:t>
      </w:r>
      <w:r w:rsidR="00D40C06" w:rsidRPr="00000AE4">
        <w:rPr>
          <w:lang w:val="en-US"/>
        </w:rPr>
        <w:t xml:space="preserve"> preferred to use the post-amendment group </w:t>
      </w:r>
      <w:r w:rsidR="00D40C06">
        <w:rPr>
          <w:lang w:val="en-US"/>
        </w:rPr>
        <w:t xml:space="preserve">data </w:t>
      </w:r>
      <w:r w:rsidR="00D40C06" w:rsidRPr="00000AE4">
        <w:rPr>
          <w:lang w:val="en-US"/>
        </w:rPr>
        <w:t xml:space="preserve">to estimate the clinical effectiveness of abemaciclib </w:t>
      </w:r>
      <w:r w:rsidR="003003A9">
        <w:rPr>
          <w:lang w:val="en-US"/>
        </w:rPr>
        <w:t>plus</w:t>
      </w:r>
      <w:r w:rsidR="00D40C06" w:rsidRPr="00000AE4">
        <w:rPr>
          <w:lang w:val="en-US"/>
        </w:rPr>
        <w:t xml:space="preserve"> fulvestrant</w:t>
      </w:r>
      <w:r w:rsidR="00D40C06">
        <w:rPr>
          <w:lang w:val="en-US"/>
        </w:rPr>
        <w:t xml:space="preserve"> because:</w:t>
      </w:r>
    </w:p>
    <w:p w14:paraId="0ED1C285" w14:textId="0DA596E4" w:rsidR="00D40C06" w:rsidRPr="00DF7942" w:rsidRDefault="00D40C06" w:rsidP="00D40C06">
      <w:pPr>
        <w:pStyle w:val="Bulletindent1"/>
      </w:pPr>
      <w:r>
        <w:rPr>
          <w:lang w:val="en-US"/>
        </w:rPr>
        <w:t>this</w:t>
      </w:r>
      <w:r w:rsidR="001A2614" w:rsidRPr="005273DE">
        <w:rPr>
          <w:lang w:val="en-US"/>
        </w:rPr>
        <w:t xml:space="preserve"> group included only people who </w:t>
      </w:r>
      <w:r>
        <w:rPr>
          <w:lang w:val="en-US"/>
        </w:rPr>
        <w:t>ha</w:t>
      </w:r>
      <w:r w:rsidRPr="005273DE">
        <w:rPr>
          <w:lang w:val="en-US"/>
        </w:rPr>
        <w:t xml:space="preserve">d </w:t>
      </w:r>
      <w:r w:rsidR="001A2614" w:rsidRPr="005273DE">
        <w:rPr>
          <w:lang w:val="en-US"/>
        </w:rPr>
        <w:t>the licensed dose of abemaciclib</w:t>
      </w:r>
    </w:p>
    <w:p w14:paraId="284C20E1" w14:textId="610F0756" w:rsidR="00D40C06" w:rsidRPr="00DF7942" w:rsidRDefault="001A2614" w:rsidP="00DF7942">
      <w:pPr>
        <w:pStyle w:val="Bulletindent1last"/>
      </w:pPr>
      <w:r w:rsidRPr="000C53E6">
        <w:rPr>
          <w:lang w:val="en-US"/>
        </w:rPr>
        <w:t>the</w:t>
      </w:r>
      <w:r w:rsidR="007E3309" w:rsidRPr="000C53E6">
        <w:rPr>
          <w:lang w:val="en-US"/>
        </w:rPr>
        <w:t xml:space="preserve"> </w:t>
      </w:r>
      <w:r w:rsidR="007E3309" w:rsidRPr="000C53E6">
        <w:t>trial was redesigned and adequately powered to detect a treatment effect</w:t>
      </w:r>
      <w:r w:rsidR="008E6E92" w:rsidRPr="00000AE4">
        <w:t xml:space="preserve"> for </w:t>
      </w:r>
      <w:r w:rsidR="00D82E43" w:rsidRPr="00000AE4">
        <w:t>progression</w:t>
      </w:r>
      <w:r w:rsidR="008E6E92" w:rsidRPr="00000AE4">
        <w:t>-free survival</w:t>
      </w:r>
      <w:r w:rsidR="007E3309" w:rsidRPr="00000AE4">
        <w:t xml:space="preserve"> in th</w:t>
      </w:r>
      <w:r w:rsidR="00D40C06">
        <w:t>is</w:t>
      </w:r>
      <w:r w:rsidR="007E3309" w:rsidRPr="00000AE4">
        <w:t xml:space="preserve"> group</w:t>
      </w:r>
      <w:r w:rsidR="0068625D">
        <w:rPr>
          <w:lang w:val="en-US"/>
        </w:rPr>
        <w:t>.</w:t>
      </w:r>
    </w:p>
    <w:p w14:paraId="6E891C01" w14:textId="29E6A206" w:rsidR="00036153" w:rsidRDefault="0068625D" w:rsidP="00DF7942">
      <w:pPr>
        <w:pStyle w:val="NICEnormalindented"/>
      </w:pPr>
      <w:r>
        <w:rPr>
          <w:lang w:val="en-US"/>
        </w:rPr>
        <w:t xml:space="preserve">The committee considered </w:t>
      </w:r>
      <w:r w:rsidR="005A185F">
        <w:rPr>
          <w:lang w:val="en-US"/>
        </w:rPr>
        <w:t>that</w:t>
      </w:r>
      <w:r w:rsidR="0009455D">
        <w:rPr>
          <w:lang w:val="en-US"/>
        </w:rPr>
        <w:t xml:space="preserve"> exclud</w:t>
      </w:r>
      <w:r w:rsidR="005A185F">
        <w:rPr>
          <w:lang w:val="en-US"/>
        </w:rPr>
        <w:t>ing</w:t>
      </w:r>
      <w:r w:rsidR="0009455D">
        <w:rPr>
          <w:lang w:val="en-US"/>
        </w:rPr>
        <w:t xml:space="preserve"> data from the 26.6% of </w:t>
      </w:r>
      <w:r w:rsidR="00463E98">
        <w:rPr>
          <w:lang w:val="en-US"/>
        </w:rPr>
        <w:t>p</w:t>
      </w:r>
      <w:r w:rsidR="005A185F">
        <w:rPr>
          <w:lang w:val="en-US"/>
        </w:rPr>
        <w:t>eople</w:t>
      </w:r>
      <w:r w:rsidR="0009455D">
        <w:rPr>
          <w:lang w:val="en-US"/>
        </w:rPr>
        <w:t xml:space="preserve"> </w:t>
      </w:r>
      <w:r w:rsidR="00B7306E">
        <w:rPr>
          <w:lang w:val="en-US"/>
        </w:rPr>
        <w:t xml:space="preserve">who were recruited </w:t>
      </w:r>
      <w:r w:rsidR="00463E98">
        <w:rPr>
          <w:lang w:val="en-US"/>
        </w:rPr>
        <w:t xml:space="preserve">before the </w:t>
      </w:r>
      <w:r w:rsidR="00B7306E">
        <w:rPr>
          <w:lang w:val="en-US"/>
        </w:rPr>
        <w:t>amendment</w:t>
      </w:r>
      <w:r w:rsidR="005A185F">
        <w:rPr>
          <w:lang w:val="en-US"/>
        </w:rPr>
        <w:t xml:space="preserve"> was justified</w:t>
      </w:r>
      <w:r w:rsidR="00B7306E">
        <w:rPr>
          <w:lang w:val="en-US"/>
        </w:rPr>
        <w:t>.</w:t>
      </w:r>
      <w:r>
        <w:rPr>
          <w:lang w:val="en-US"/>
        </w:rPr>
        <w:t xml:space="preserve"> </w:t>
      </w:r>
      <w:r w:rsidR="00DE6B9C">
        <w:rPr>
          <w:lang w:val="en-US"/>
        </w:rPr>
        <w:t>It</w:t>
      </w:r>
      <w:r>
        <w:rPr>
          <w:lang w:val="en-US"/>
        </w:rPr>
        <w:t xml:space="preserve"> concluded that </w:t>
      </w:r>
      <w:r w:rsidR="00DE6B9C">
        <w:rPr>
          <w:lang w:val="en-US"/>
        </w:rPr>
        <w:t xml:space="preserve">data from </w:t>
      </w:r>
      <w:r w:rsidR="001420FD">
        <w:rPr>
          <w:lang w:val="en-US"/>
        </w:rPr>
        <w:t xml:space="preserve">those recruited </w:t>
      </w:r>
      <w:r w:rsidR="00DE6B9C">
        <w:rPr>
          <w:lang w:val="en-US"/>
        </w:rPr>
        <w:t xml:space="preserve">after the </w:t>
      </w:r>
      <w:r w:rsidRPr="0068625D">
        <w:rPr>
          <w:lang w:val="en-US"/>
        </w:rPr>
        <w:t>amendment</w:t>
      </w:r>
      <w:r w:rsidR="001420FD">
        <w:rPr>
          <w:lang w:val="en-US"/>
        </w:rPr>
        <w:t>, who</w:t>
      </w:r>
      <w:r w:rsidRPr="0068625D">
        <w:rPr>
          <w:lang w:val="en-US"/>
        </w:rPr>
        <w:t xml:space="preserve"> started on the licensed dose</w:t>
      </w:r>
      <w:r w:rsidR="001420FD">
        <w:rPr>
          <w:lang w:val="en-US"/>
        </w:rPr>
        <w:t>, were</w:t>
      </w:r>
      <w:r w:rsidRPr="0068625D">
        <w:rPr>
          <w:lang w:val="en-US"/>
        </w:rPr>
        <w:t xml:space="preserve"> more relevant than </w:t>
      </w:r>
      <w:r w:rsidR="00DE6B9C">
        <w:rPr>
          <w:lang w:val="en-US"/>
        </w:rPr>
        <w:t xml:space="preserve">data for </w:t>
      </w:r>
      <w:r w:rsidRPr="0068625D">
        <w:rPr>
          <w:lang w:val="en-US"/>
        </w:rPr>
        <w:t xml:space="preserve">the </w:t>
      </w:r>
      <w:r w:rsidR="001420FD">
        <w:rPr>
          <w:lang w:val="en-US"/>
        </w:rPr>
        <w:t>full trial</w:t>
      </w:r>
      <w:r w:rsidRPr="0068625D">
        <w:rPr>
          <w:lang w:val="en-US"/>
        </w:rPr>
        <w:t xml:space="preserve"> population.</w:t>
      </w:r>
    </w:p>
    <w:p w14:paraId="569E6149" w14:textId="18996455" w:rsidR="00036153" w:rsidRPr="00036153" w:rsidRDefault="00036153" w:rsidP="00D82E43">
      <w:pPr>
        <w:pStyle w:val="Heading2"/>
      </w:pPr>
      <w:r>
        <w:lastRenderedPageBreak/>
        <w:t>Clinical effectiveness</w:t>
      </w:r>
    </w:p>
    <w:p w14:paraId="00B435CD" w14:textId="0C9F44BE" w:rsidR="0015007A" w:rsidRDefault="00736D4E" w:rsidP="002D0F7C">
      <w:pPr>
        <w:pStyle w:val="Heading3"/>
      </w:pPr>
      <w:r>
        <w:t xml:space="preserve">Abemaciclib </w:t>
      </w:r>
      <w:r w:rsidR="00BE467D">
        <w:t xml:space="preserve">plus </w:t>
      </w:r>
      <w:r>
        <w:t xml:space="preserve">fulvestrant </w:t>
      </w:r>
      <w:r w:rsidR="008962D7">
        <w:t>improve</w:t>
      </w:r>
      <w:r>
        <w:t>s</w:t>
      </w:r>
      <w:r w:rsidR="0015007A">
        <w:t xml:space="preserve"> progression</w:t>
      </w:r>
      <w:r w:rsidR="00635353">
        <w:t>-</w:t>
      </w:r>
      <w:r w:rsidR="0015007A">
        <w:t>free</w:t>
      </w:r>
      <w:r w:rsidR="00635353">
        <w:t xml:space="preserve"> survival</w:t>
      </w:r>
      <w:r w:rsidR="0015007A">
        <w:t xml:space="preserve"> </w:t>
      </w:r>
      <w:r w:rsidR="00635353">
        <w:t>but the improvement in overall survival is less certain</w:t>
      </w:r>
    </w:p>
    <w:p w14:paraId="6699EDE8" w14:textId="2DCE2F4B" w:rsidR="00F511FE" w:rsidRPr="00DF7942" w:rsidRDefault="00361AF0" w:rsidP="00DE68CD">
      <w:pPr>
        <w:pStyle w:val="Numberedlevel2text"/>
      </w:pPr>
      <w:r>
        <w:rPr>
          <w:lang w:val="en-GB"/>
        </w:rPr>
        <w:t xml:space="preserve">In </w:t>
      </w:r>
      <w:r w:rsidRPr="00200E22">
        <w:t>the</w:t>
      </w:r>
      <w:r>
        <w:rPr>
          <w:lang w:val="en-GB"/>
        </w:rPr>
        <w:t xml:space="preserve"> </w:t>
      </w:r>
      <w:hyperlink r:id="rId15" w:history="1">
        <w:r w:rsidR="00492747">
          <w:rPr>
            <w:rStyle w:val="Hyperlink"/>
            <w:lang w:val="en-GB"/>
          </w:rPr>
          <w:t xml:space="preserve">original NICE technology appraisal guidance for abemaciclib </w:t>
        </w:r>
        <w:r w:rsidR="00A63DFC">
          <w:rPr>
            <w:rStyle w:val="Hyperlink"/>
            <w:lang w:val="en-GB"/>
          </w:rPr>
          <w:t>plus</w:t>
        </w:r>
        <w:r w:rsidR="00492747">
          <w:rPr>
            <w:rStyle w:val="Hyperlink"/>
            <w:lang w:val="en-GB"/>
          </w:rPr>
          <w:t xml:space="preserve"> fulvestrant</w:t>
        </w:r>
      </w:hyperlink>
      <w:r>
        <w:rPr>
          <w:lang w:val="en-GB"/>
        </w:rPr>
        <w:t xml:space="preserve">, abemaciclib </w:t>
      </w:r>
      <w:r w:rsidR="00BE467D">
        <w:rPr>
          <w:lang w:val="en-GB"/>
        </w:rPr>
        <w:t xml:space="preserve">plus </w:t>
      </w:r>
      <w:r>
        <w:rPr>
          <w:lang w:val="en-GB"/>
        </w:rPr>
        <w:t xml:space="preserve">fulvestrant </w:t>
      </w:r>
      <w:r w:rsidR="00A571D2">
        <w:rPr>
          <w:lang w:val="en-GB"/>
        </w:rPr>
        <w:t xml:space="preserve">statistically significantly improved progression-free survival </w:t>
      </w:r>
      <w:r>
        <w:rPr>
          <w:lang w:val="en-GB"/>
        </w:rPr>
        <w:t xml:space="preserve">compared </w:t>
      </w:r>
      <w:r w:rsidR="00492747">
        <w:rPr>
          <w:lang w:val="en-GB"/>
        </w:rPr>
        <w:t>with</w:t>
      </w:r>
      <w:r>
        <w:rPr>
          <w:lang w:val="en-GB"/>
        </w:rPr>
        <w:t xml:space="preserve"> placebo </w:t>
      </w:r>
      <w:r w:rsidR="00BE467D">
        <w:rPr>
          <w:lang w:val="en-GB"/>
        </w:rPr>
        <w:t xml:space="preserve">plus </w:t>
      </w:r>
      <w:r>
        <w:rPr>
          <w:lang w:val="en-GB"/>
        </w:rPr>
        <w:t>fulvestrant</w:t>
      </w:r>
      <w:r w:rsidR="00CB0954">
        <w:rPr>
          <w:lang w:val="en-GB"/>
        </w:rPr>
        <w:t xml:space="preserve"> in the </w:t>
      </w:r>
      <w:r w:rsidR="0068625D">
        <w:rPr>
          <w:lang w:val="en-GB"/>
        </w:rPr>
        <w:t xml:space="preserve">full </w:t>
      </w:r>
      <w:r w:rsidR="00CB0954">
        <w:rPr>
          <w:lang w:val="en-GB"/>
        </w:rPr>
        <w:t>trial population</w:t>
      </w:r>
      <w:r>
        <w:rPr>
          <w:lang w:val="en-GB"/>
        </w:rPr>
        <w:t xml:space="preserve">. The effect of abemaciclib </w:t>
      </w:r>
      <w:r w:rsidR="00BE467D">
        <w:rPr>
          <w:lang w:val="en-GB"/>
        </w:rPr>
        <w:t xml:space="preserve">plus </w:t>
      </w:r>
      <w:r>
        <w:rPr>
          <w:lang w:val="en-GB"/>
        </w:rPr>
        <w:t>fulvestrant on overall survival was not statistically significant</w:t>
      </w:r>
      <w:r w:rsidR="00BE467D">
        <w:rPr>
          <w:lang w:val="en-GB"/>
        </w:rPr>
        <w:t>.</w:t>
      </w:r>
      <w:r>
        <w:rPr>
          <w:lang w:val="en-GB"/>
        </w:rPr>
        <w:t xml:space="preserve"> </w:t>
      </w:r>
      <w:r w:rsidR="00BE467D">
        <w:rPr>
          <w:lang w:val="en-GB"/>
        </w:rPr>
        <w:t>I</w:t>
      </w:r>
      <w:r>
        <w:rPr>
          <w:lang w:val="en-GB"/>
        </w:rPr>
        <w:t>t was concluded that more mature data from MONARCH</w:t>
      </w:r>
      <w:r w:rsidR="00BE467D">
        <w:rPr>
          <w:lang w:val="en-GB"/>
        </w:rPr>
        <w:t> </w:t>
      </w:r>
      <w:r>
        <w:rPr>
          <w:lang w:val="en-GB"/>
        </w:rPr>
        <w:t xml:space="preserve">2 could resolve uncertainty around this outcome. </w:t>
      </w:r>
      <w:r w:rsidR="00BE467D">
        <w:rPr>
          <w:lang w:val="en-GB"/>
        </w:rPr>
        <w:t>More</w:t>
      </w:r>
      <w:r>
        <w:rPr>
          <w:lang w:val="en-GB"/>
        </w:rPr>
        <w:t xml:space="preserve"> data from </w:t>
      </w:r>
      <w:r w:rsidR="00BE467D">
        <w:rPr>
          <w:lang w:val="en-GB"/>
        </w:rPr>
        <w:t>MONARCH </w:t>
      </w:r>
      <w:r>
        <w:rPr>
          <w:lang w:val="en-GB"/>
        </w:rPr>
        <w:t>2</w:t>
      </w:r>
      <w:r w:rsidR="00BE467D">
        <w:rPr>
          <w:lang w:val="en-GB"/>
        </w:rPr>
        <w:t xml:space="preserve"> have now been collected</w:t>
      </w:r>
      <w:r w:rsidR="00DE68CD">
        <w:rPr>
          <w:lang w:val="en-GB"/>
        </w:rPr>
        <w:t xml:space="preserve">, and were analysed </w:t>
      </w:r>
      <w:r>
        <w:rPr>
          <w:lang w:val="en-GB"/>
        </w:rPr>
        <w:t>in June 2019</w:t>
      </w:r>
      <w:r w:rsidR="00DE68CD">
        <w:rPr>
          <w:lang w:val="en-GB"/>
        </w:rPr>
        <w:t xml:space="preserve">. This analysis </w:t>
      </w:r>
      <w:r>
        <w:rPr>
          <w:lang w:val="en-GB"/>
        </w:rPr>
        <w:t>included an additional 28</w:t>
      </w:r>
      <w:r w:rsidR="000A60B4">
        <w:rPr>
          <w:lang w:val="en-GB"/>
        </w:rPr>
        <w:t> </w:t>
      </w:r>
      <w:r>
        <w:rPr>
          <w:lang w:val="en-GB"/>
        </w:rPr>
        <w:t xml:space="preserve">months of data compared </w:t>
      </w:r>
      <w:r w:rsidR="000A60B4">
        <w:rPr>
          <w:lang w:val="en-GB"/>
        </w:rPr>
        <w:t>with</w:t>
      </w:r>
      <w:r>
        <w:rPr>
          <w:lang w:val="en-GB"/>
        </w:rPr>
        <w:t xml:space="preserve"> the original appraisal</w:t>
      </w:r>
      <w:r w:rsidR="00F511FE">
        <w:rPr>
          <w:lang w:val="en-GB"/>
        </w:rPr>
        <w:t>:</w:t>
      </w:r>
    </w:p>
    <w:p w14:paraId="69F10D0D" w14:textId="45970DC3" w:rsidR="00F511FE" w:rsidRDefault="00E729CF" w:rsidP="00F511FE">
      <w:pPr>
        <w:pStyle w:val="Bulletindent1"/>
      </w:pPr>
      <w:r>
        <w:t>Median follow</w:t>
      </w:r>
      <w:r w:rsidR="00826146">
        <w:t xml:space="preserve"> </w:t>
      </w:r>
      <w:r>
        <w:t>up was 47.7</w:t>
      </w:r>
      <w:r w:rsidR="006D0C65">
        <w:t> </w:t>
      </w:r>
      <w:r>
        <w:t>months</w:t>
      </w:r>
      <w:r w:rsidR="000A60B4">
        <w:t>.</w:t>
      </w:r>
    </w:p>
    <w:p w14:paraId="7EB43CC9" w14:textId="4EF7C010" w:rsidR="00F511FE" w:rsidRDefault="000A60B4" w:rsidP="00F511FE">
      <w:pPr>
        <w:pStyle w:val="Bulletindent1"/>
      </w:pPr>
      <w:r>
        <w:t>M</w:t>
      </w:r>
      <w:r w:rsidR="00E729CF">
        <w:t>edian progression-free survival was 16.87</w:t>
      </w:r>
      <w:r>
        <w:t> </w:t>
      </w:r>
      <w:r w:rsidR="00E729CF">
        <w:t xml:space="preserve">months with abemaciclib </w:t>
      </w:r>
      <w:r>
        <w:t xml:space="preserve">plus </w:t>
      </w:r>
      <w:r w:rsidR="00E729CF">
        <w:t>fulvestrant compared with 9.27</w:t>
      </w:r>
      <w:r>
        <w:t> </w:t>
      </w:r>
      <w:r w:rsidR="00E729CF">
        <w:t xml:space="preserve">months with placebo </w:t>
      </w:r>
      <w:r>
        <w:t xml:space="preserve">plus </w:t>
      </w:r>
      <w:r w:rsidR="00E729CF">
        <w:t>fulvestrant</w:t>
      </w:r>
      <w:r>
        <w:t>.</w:t>
      </w:r>
    </w:p>
    <w:p w14:paraId="2E2352BC" w14:textId="3510D377" w:rsidR="00F511FE" w:rsidRDefault="000A60B4" w:rsidP="00F511FE">
      <w:pPr>
        <w:pStyle w:val="Bulletindent1last"/>
      </w:pPr>
      <w:r>
        <w:t>M</w:t>
      </w:r>
      <w:r w:rsidR="00E729CF">
        <w:t>edian overall survival was 46.72</w:t>
      </w:r>
      <w:r>
        <w:t> </w:t>
      </w:r>
      <w:r w:rsidR="00E729CF">
        <w:t xml:space="preserve">months </w:t>
      </w:r>
      <w:r w:rsidR="00A571D2">
        <w:t>for</w:t>
      </w:r>
      <w:r w:rsidR="00A571D2" w:rsidRPr="00E729CF">
        <w:t xml:space="preserve"> </w:t>
      </w:r>
      <w:r w:rsidR="00A571D2">
        <w:t xml:space="preserve">abemaciclib plus fulvestrant </w:t>
      </w:r>
      <w:r w:rsidR="00E729CF">
        <w:t>and 37.25</w:t>
      </w:r>
      <w:r>
        <w:t> </w:t>
      </w:r>
      <w:r w:rsidR="00E729CF">
        <w:t xml:space="preserve">months </w:t>
      </w:r>
      <w:r w:rsidR="00A571D2">
        <w:t>for</w:t>
      </w:r>
      <w:r w:rsidR="00E729CF">
        <w:t xml:space="preserve"> placebo </w:t>
      </w:r>
      <w:r>
        <w:t xml:space="preserve">plus </w:t>
      </w:r>
      <w:r w:rsidR="00E729CF">
        <w:t>fulvestrant.</w:t>
      </w:r>
    </w:p>
    <w:p w14:paraId="54144DE9" w14:textId="29622CA8" w:rsidR="00C84F46" w:rsidRPr="00C84F46" w:rsidRDefault="00361AF0" w:rsidP="005C21B3">
      <w:pPr>
        <w:pStyle w:val="NICEnormalindented"/>
      </w:pPr>
      <w:r>
        <w:t>This anal</w:t>
      </w:r>
      <w:r w:rsidR="00363D5B">
        <w:t>ysis confirmed the previous progression</w:t>
      </w:r>
      <w:r w:rsidR="007C151D">
        <w:t>-</w:t>
      </w:r>
      <w:r w:rsidR="00363D5B">
        <w:t>free survival results</w:t>
      </w:r>
      <w:r w:rsidR="00EB41B4">
        <w:t xml:space="preserve"> for the full trial population</w:t>
      </w:r>
      <w:r w:rsidR="000A60B4">
        <w:t>.</w:t>
      </w:r>
      <w:r w:rsidR="008646D4">
        <w:t xml:space="preserve"> The progression-free survival data</w:t>
      </w:r>
      <w:r w:rsidR="008646D4" w:rsidRPr="00B320D2">
        <w:t xml:space="preserve"> </w:t>
      </w:r>
      <w:r w:rsidR="00313FBB">
        <w:t>for</w:t>
      </w:r>
      <w:r w:rsidR="008646D4" w:rsidRPr="00B320D2">
        <w:t xml:space="preserve"> the pre</w:t>
      </w:r>
      <w:r w:rsidR="008646D4">
        <w:t>-</w:t>
      </w:r>
      <w:r w:rsidR="008646D4" w:rsidRPr="00B320D2">
        <w:t xml:space="preserve"> and post</w:t>
      </w:r>
      <w:r w:rsidR="008646D4">
        <w:t>-</w:t>
      </w:r>
      <w:r w:rsidR="008646D4" w:rsidRPr="00B320D2">
        <w:t>amendment groups were marked academic in confidence and cannot be reported here</w:t>
      </w:r>
      <w:r w:rsidR="008646D4">
        <w:t>.</w:t>
      </w:r>
      <w:r w:rsidR="00363D5B">
        <w:t xml:space="preserve"> </w:t>
      </w:r>
      <w:r w:rsidR="008646D4">
        <w:t>The updated data from MONARCH</w:t>
      </w:r>
      <w:r w:rsidR="00313FBB">
        <w:t> </w:t>
      </w:r>
      <w:r w:rsidR="008646D4">
        <w:t xml:space="preserve">2 </w:t>
      </w:r>
      <w:r w:rsidR="000A60B4">
        <w:t>also</w:t>
      </w:r>
      <w:r w:rsidR="00363D5B">
        <w:t xml:space="preserve"> showed that </w:t>
      </w:r>
      <w:r w:rsidR="00997AE3">
        <w:t xml:space="preserve">abemaciclib plus fulvestrant </w:t>
      </w:r>
      <w:r w:rsidR="00363D5B">
        <w:t xml:space="preserve">statistically significantly improved </w:t>
      </w:r>
      <w:r w:rsidR="00997AE3">
        <w:t xml:space="preserve">overall survival </w:t>
      </w:r>
      <w:r w:rsidR="00363D5B">
        <w:t xml:space="preserve">compared </w:t>
      </w:r>
      <w:r w:rsidR="000A60B4">
        <w:t>with</w:t>
      </w:r>
      <w:r w:rsidR="00363D5B">
        <w:t xml:space="preserve"> placebo </w:t>
      </w:r>
      <w:r w:rsidR="000A60B4">
        <w:t xml:space="preserve">plus </w:t>
      </w:r>
      <w:r w:rsidR="00363D5B">
        <w:t>fulvestrant</w:t>
      </w:r>
      <w:r w:rsidR="00C26DE6">
        <w:t xml:space="preserve"> (</w:t>
      </w:r>
      <w:r w:rsidR="002C4E34">
        <w:t>hazard ratio [HR] 0.757, 95% confidence interval [CI] 0.606 to 0.945</w:t>
      </w:r>
      <w:r w:rsidR="00C26DE6">
        <w:t>)</w:t>
      </w:r>
      <w:r w:rsidR="00EB41B4">
        <w:t>.</w:t>
      </w:r>
      <w:r w:rsidR="006979E2">
        <w:t xml:space="preserve"> </w:t>
      </w:r>
      <w:r w:rsidR="008646D4">
        <w:t xml:space="preserve">The improvement in </w:t>
      </w:r>
      <w:r w:rsidR="00313FBB">
        <w:t>overall survival</w:t>
      </w:r>
      <w:r w:rsidR="008646D4">
        <w:t xml:space="preserve"> was smaller in the post-amendment than in the pre-amendment group</w:t>
      </w:r>
      <w:bookmarkStart w:id="2" w:name="_Hlk61956244"/>
      <w:r w:rsidR="006979E2" w:rsidRPr="00B320D2">
        <w:t>.</w:t>
      </w:r>
      <w:r w:rsidR="00EB41B4">
        <w:t xml:space="preserve"> </w:t>
      </w:r>
      <w:r w:rsidR="002B2D61">
        <w:t xml:space="preserve">The company explained that it </w:t>
      </w:r>
      <w:r w:rsidR="00997AE3">
        <w:t>was</w:t>
      </w:r>
      <w:r w:rsidR="002B2D61">
        <w:t xml:space="preserve"> likely that any differences in outcomes </w:t>
      </w:r>
      <w:r w:rsidR="00313FBB">
        <w:t>seen</w:t>
      </w:r>
      <w:r w:rsidR="002B2D61">
        <w:t xml:space="preserve"> when comparing subgroups </w:t>
      </w:r>
      <w:r w:rsidR="00997AE3">
        <w:t>were</w:t>
      </w:r>
      <w:r w:rsidR="002B2D61">
        <w:t xml:space="preserve"> the result of differences in baseline characteristics between subgroups, a</w:t>
      </w:r>
      <w:r w:rsidR="00313FBB">
        <w:t>nd</w:t>
      </w:r>
      <w:r w:rsidR="002B2D61">
        <w:t xml:space="preserve"> random variation</w:t>
      </w:r>
      <w:r w:rsidR="00771E97">
        <w:t xml:space="preserve">. </w:t>
      </w:r>
      <w:bookmarkEnd w:id="2"/>
      <w:r w:rsidR="00771E97">
        <w:t xml:space="preserve">The committee agreed that the explanation for the different clinical results </w:t>
      </w:r>
      <w:r w:rsidR="00771E97">
        <w:lastRenderedPageBreak/>
        <w:t xml:space="preserve">between the pre- and post-amendment groups </w:t>
      </w:r>
      <w:r w:rsidR="004B637B">
        <w:t>wa</w:t>
      </w:r>
      <w:r w:rsidR="00771E97">
        <w:t>s uncertain</w:t>
      </w:r>
      <w:r w:rsidR="004C59A6">
        <w:t>. This was</w:t>
      </w:r>
      <w:r w:rsidR="002308DF">
        <w:t xml:space="preserve"> because it could not be determined if the differences </w:t>
      </w:r>
      <w:r w:rsidR="007F5A9D">
        <w:t>were</w:t>
      </w:r>
      <w:r w:rsidR="002308DF">
        <w:t xml:space="preserve"> </w:t>
      </w:r>
      <w:r w:rsidR="004C59A6">
        <w:t>because of</w:t>
      </w:r>
      <w:r w:rsidR="002308DF">
        <w:t xml:space="preserve"> </w:t>
      </w:r>
      <w:r w:rsidR="002308DF" w:rsidRPr="00E6191F">
        <w:t xml:space="preserve">a genuine dose effect, </w:t>
      </w:r>
      <w:r w:rsidR="002308DF">
        <w:t>or because of</w:t>
      </w:r>
      <w:r w:rsidR="002308DF" w:rsidRPr="00E6191F">
        <w:t xml:space="preserve"> chance or baseline imbalances</w:t>
      </w:r>
      <w:r w:rsidR="002B22FD">
        <w:t xml:space="preserve">. It </w:t>
      </w:r>
      <w:r w:rsidR="00771E97">
        <w:t xml:space="preserve">concluded that abemaciclib </w:t>
      </w:r>
      <w:r w:rsidR="004B637B">
        <w:t xml:space="preserve">plus </w:t>
      </w:r>
      <w:r w:rsidR="00771E97">
        <w:t>fulvestrant improve</w:t>
      </w:r>
      <w:r w:rsidR="004B637B">
        <w:t>d</w:t>
      </w:r>
      <w:r w:rsidR="00771E97">
        <w:t xml:space="preserve"> </w:t>
      </w:r>
      <w:r w:rsidR="008434DC">
        <w:t>progression</w:t>
      </w:r>
      <w:r w:rsidR="00771E97">
        <w:t xml:space="preserve">-free survival compared with placebo </w:t>
      </w:r>
      <w:r w:rsidR="004B637B">
        <w:t xml:space="preserve">plus </w:t>
      </w:r>
      <w:r w:rsidR="00771E97">
        <w:t>fulvestrant</w:t>
      </w:r>
      <w:r w:rsidR="004B637B">
        <w:t>.</w:t>
      </w:r>
      <w:r w:rsidR="00771E97">
        <w:t xml:space="preserve"> </w:t>
      </w:r>
      <w:r w:rsidR="004B637B">
        <w:t>B</w:t>
      </w:r>
      <w:r w:rsidR="00771E97">
        <w:t>ut</w:t>
      </w:r>
      <w:r w:rsidR="002B22FD">
        <w:t xml:space="preserve"> </w:t>
      </w:r>
      <w:r w:rsidR="00771E97">
        <w:t xml:space="preserve">the improvement in overall survival </w:t>
      </w:r>
      <w:r w:rsidR="004B637B">
        <w:t>wa</w:t>
      </w:r>
      <w:r w:rsidR="00771E97">
        <w:t>s less certain</w:t>
      </w:r>
      <w:r w:rsidR="004B637B">
        <w:t xml:space="preserve"> </w:t>
      </w:r>
      <w:r w:rsidR="00740DCE">
        <w:t>in</w:t>
      </w:r>
      <w:r w:rsidR="000569AD">
        <w:t xml:space="preserve"> </w:t>
      </w:r>
      <w:r w:rsidR="004B637B">
        <w:t xml:space="preserve">the post-amendment group </w:t>
      </w:r>
      <w:r w:rsidR="000569AD">
        <w:t>data</w:t>
      </w:r>
      <w:r w:rsidR="00740DCE">
        <w:t>, which the committee preferred</w:t>
      </w:r>
      <w:r w:rsidR="000569AD">
        <w:t xml:space="preserve"> </w:t>
      </w:r>
      <w:r w:rsidR="004B637B">
        <w:t>(see section 3.3).</w:t>
      </w:r>
    </w:p>
    <w:p w14:paraId="19C43218" w14:textId="703FE7E3" w:rsidR="00701B67" w:rsidRPr="00701B67" w:rsidRDefault="00836FE3" w:rsidP="002D0F7C">
      <w:pPr>
        <w:pStyle w:val="Heading3"/>
      </w:pPr>
      <w:r>
        <w:t xml:space="preserve">Clinical effectiveness data </w:t>
      </w:r>
      <w:r w:rsidR="00BF226B">
        <w:t xml:space="preserve">from </w:t>
      </w:r>
      <w:r w:rsidR="0087740D">
        <w:t xml:space="preserve">the </w:t>
      </w:r>
      <w:r w:rsidR="00BF226B">
        <w:t xml:space="preserve">SACT </w:t>
      </w:r>
      <w:r w:rsidR="0087740D">
        <w:t xml:space="preserve">dataset </w:t>
      </w:r>
      <w:r w:rsidR="00BF226B">
        <w:t>is less relevant than</w:t>
      </w:r>
      <w:r w:rsidR="00F44BAD">
        <w:t xml:space="preserve"> </w:t>
      </w:r>
      <w:r w:rsidR="0087740D">
        <w:t xml:space="preserve">the </w:t>
      </w:r>
      <w:r w:rsidR="00F44BAD">
        <w:t xml:space="preserve">updated </w:t>
      </w:r>
      <w:r>
        <w:t>MONARCH</w:t>
      </w:r>
      <w:r w:rsidR="00A006F4">
        <w:t> </w:t>
      </w:r>
      <w:r>
        <w:t xml:space="preserve">2 </w:t>
      </w:r>
      <w:r w:rsidR="00F44BAD">
        <w:t xml:space="preserve">data </w:t>
      </w:r>
      <w:r>
        <w:t>for decision making</w:t>
      </w:r>
    </w:p>
    <w:p w14:paraId="5E2BC444" w14:textId="78960B1C" w:rsidR="00B44845" w:rsidRPr="006F4AB2" w:rsidRDefault="00232377" w:rsidP="005A6512">
      <w:pPr>
        <w:pStyle w:val="Numberedlevel2text"/>
      </w:pPr>
      <w:r>
        <w:rPr>
          <w:lang w:val="en-GB"/>
        </w:rPr>
        <w:t>The company presented o</w:t>
      </w:r>
      <w:r w:rsidR="00563AF8" w:rsidRPr="00293CA2">
        <w:rPr>
          <w:lang w:val="en-GB"/>
        </w:rPr>
        <w:t xml:space="preserve">bservational data </w:t>
      </w:r>
      <w:r w:rsidR="002A7B98" w:rsidRPr="00293CA2">
        <w:rPr>
          <w:lang w:val="en-GB"/>
        </w:rPr>
        <w:t xml:space="preserve">from the </w:t>
      </w:r>
      <w:r w:rsidR="00B46A78">
        <w:rPr>
          <w:lang w:val="en-GB"/>
        </w:rPr>
        <w:t>systemic anti-cancer therapy</w:t>
      </w:r>
      <w:r w:rsidR="00D26B67">
        <w:rPr>
          <w:lang w:val="en-GB"/>
        </w:rPr>
        <w:t xml:space="preserve"> (</w:t>
      </w:r>
      <w:r w:rsidR="0087740D">
        <w:rPr>
          <w:lang w:val="en-GB"/>
        </w:rPr>
        <w:t>SACT</w:t>
      </w:r>
      <w:r w:rsidR="00D26B67">
        <w:rPr>
          <w:lang w:val="en-GB"/>
        </w:rPr>
        <w:t>)</w:t>
      </w:r>
      <w:r w:rsidR="002A7B98" w:rsidRPr="00293CA2">
        <w:rPr>
          <w:lang w:val="en-GB"/>
        </w:rPr>
        <w:t xml:space="preserve"> dataset </w:t>
      </w:r>
      <w:r w:rsidR="00563AF8" w:rsidRPr="00293CA2">
        <w:rPr>
          <w:lang w:val="en-GB"/>
        </w:rPr>
        <w:t xml:space="preserve">for </w:t>
      </w:r>
      <w:r w:rsidR="00B44845">
        <w:rPr>
          <w:lang w:val="en-GB"/>
        </w:rPr>
        <w:t>876 </w:t>
      </w:r>
      <w:r w:rsidR="00563AF8" w:rsidRPr="00293CA2">
        <w:rPr>
          <w:lang w:val="en-GB"/>
        </w:rPr>
        <w:t>p</w:t>
      </w:r>
      <w:r w:rsidR="000E70F6">
        <w:rPr>
          <w:lang w:val="en-GB"/>
        </w:rPr>
        <w:t>eople</w:t>
      </w:r>
      <w:r w:rsidR="00563AF8" w:rsidRPr="00293CA2">
        <w:rPr>
          <w:lang w:val="en-GB"/>
        </w:rPr>
        <w:t xml:space="preserve"> </w:t>
      </w:r>
      <w:r w:rsidR="002A7B98">
        <w:rPr>
          <w:lang w:val="en-GB"/>
        </w:rPr>
        <w:t xml:space="preserve">who </w:t>
      </w:r>
      <w:r w:rsidR="00B46A78">
        <w:rPr>
          <w:lang w:val="en-GB"/>
        </w:rPr>
        <w:t xml:space="preserve">had </w:t>
      </w:r>
      <w:r w:rsidR="002A7B98">
        <w:rPr>
          <w:lang w:val="en-GB"/>
        </w:rPr>
        <w:t xml:space="preserve">abemaciclib </w:t>
      </w:r>
      <w:r w:rsidR="00A006F4">
        <w:rPr>
          <w:lang w:val="en-GB"/>
        </w:rPr>
        <w:t>plus</w:t>
      </w:r>
      <w:r w:rsidR="002A7B98">
        <w:rPr>
          <w:lang w:val="en-GB"/>
        </w:rPr>
        <w:t xml:space="preserve"> fulvestrant </w:t>
      </w:r>
      <w:r w:rsidR="00B46A78">
        <w:rPr>
          <w:lang w:val="en-GB"/>
        </w:rPr>
        <w:t xml:space="preserve">through </w:t>
      </w:r>
      <w:r w:rsidR="002A7B98">
        <w:rPr>
          <w:lang w:val="en-GB"/>
        </w:rPr>
        <w:t>the Cancer Drugs Fund</w:t>
      </w:r>
      <w:r w:rsidR="00B44845">
        <w:rPr>
          <w:lang w:val="en-GB"/>
        </w:rPr>
        <w:t>:</w:t>
      </w:r>
    </w:p>
    <w:p w14:paraId="5C4B4963" w14:textId="4E18908C" w:rsidR="00B44845" w:rsidRDefault="009917B3" w:rsidP="00B44845">
      <w:pPr>
        <w:pStyle w:val="Bulletindent1"/>
      </w:pPr>
      <w:r>
        <w:t>M</w:t>
      </w:r>
      <w:r w:rsidR="00563AF8">
        <w:t>edian follow</w:t>
      </w:r>
      <w:r w:rsidR="00232377">
        <w:rPr>
          <w:bCs/>
        </w:rPr>
        <w:t xml:space="preserve"> </w:t>
      </w:r>
      <w:r w:rsidR="00563AF8">
        <w:t xml:space="preserve">up was </w:t>
      </w:r>
      <w:r w:rsidR="00695E3D">
        <w:t xml:space="preserve">only </w:t>
      </w:r>
      <w:r w:rsidR="00563AF8">
        <w:t>4.4</w:t>
      </w:r>
      <w:r w:rsidR="00232377">
        <w:rPr>
          <w:bCs/>
        </w:rPr>
        <w:t> </w:t>
      </w:r>
      <w:r w:rsidR="00563AF8">
        <w:t>months</w:t>
      </w:r>
      <w:r w:rsidR="00B44845">
        <w:t>, because more mature MONARCH</w:t>
      </w:r>
      <w:r w:rsidR="00B44845">
        <w:rPr>
          <w:bCs/>
        </w:rPr>
        <w:t> </w:t>
      </w:r>
      <w:r w:rsidR="00B44845">
        <w:t>2 data became available, which were suitable for decision</w:t>
      </w:r>
      <w:r w:rsidR="00B44845">
        <w:rPr>
          <w:bCs/>
        </w:rPr>
        <w:t xml:space="preserve"> </w:t>
      </w:r>
      <w:r w:rsidR="00B44845">
        <w:t>making</w:t>
      </w:r>
      <w:r w:rsidR="00B44845" w:rsidRPr="00293CA2">
        <w:t>.</w:t>
      </w:r>
    </w:p>
    <w:p w14:paraId="13EAAC5D" w14:textId="54CCF302" w:rsidR="00B44845" w:rsidRDefault="009917B3" w:rsidP="00B44845">
      <w:pPr>
        <w:pStyle w:val="Bulletindent1"/>
      </w:pPr>
      <w:r>
        <w:t>M</w:t>
      </w:r>
      <w:r w:rsidR="00563AF8">
        <w:t>edian treatment duration was 10.2</w:t>
      </w:r>
      <w:r w:rsidR="00232377">
        <w:rPr>
          <w:bCs/>
        </w:rPr>
        <w:t> </w:t>
      </w:r>
      <w:r w:rsidR="00563AF8">
        <w:t>months and the median overall survival was not reached.</w:t>
      </w:r>
    </w:p>
    <w:p w14:paraId="6762D09E" w14:textId="559373E5" w:rsidR="00B44845" w:rsidRDefault="00836FE3" w:rsidP="000D0A35">
      <w:pPr>
        <w:pStyle w:val="Bulletindent1last"/>
      </w:pPr>
      <w:r>
        <w:t>Fewer people were alive at 12</w:t>
      </w:r>
      <w:r w:rsidR="00807A6B">
        <w:rPr>
          <w:bCs/>
        </w:rPr>
        <w:t> </w:t>
      </w:r>
      <w:r>
        <w:t xml:space="preserve">months </w:t>
      </w:r>
      <w:r w:rsidR="00370EE4">
        <w:rPr>
          <w:bCs/>
        </w:rPr>
        <w:t>after</w:t>
      </w:r>
      <w:r w:rsidR="00370EE4">
        <w:t xml:space="preserve"> </w:t>
      </w:r>
      <w:r w:rsidR="00B44845">
        <w:t xml:space="preserve">having </w:t>
      </w:r>
      <w:r>
        <w:t xml:space="preserve">abemaciclib </w:t>
      </w:r>
      <w:r w:rsidR="00807A6B">
        <w:rPr>
          <w:bCs/>
        </w:rPr>
        <w:t>plus</w:t>
      </w:r>
      <w:r w:rsidR="00807A6B">
        <w:t xml:space="preserve"> </w:t>
      </w:r>
      <w:r>
        <w:t>fulvestrant compared with those who had treatment in MONARCH</w:t>
      </w:r>
      <w:r w:rsidR="00370EE4">
        <w:rPr>
          <w:bCs/>
        </w:rPr>
        <w:t> </w:t>
      </w:r>
      <w:r>
        <w:t>2.</w:t>
      </w:r>
    </w:p>
    <w:p w14:paraId="19484E14" w14:textId="14D20A63" w:rsidR="00701B67" w:rsidRPr="00391728" w:rsidRDefault="0013292C" w:rsidP="000D0A35">
      <w:pPr>
        <w:pStyle w:val="NICEnormalindented"/>
      </w:pPr>
      <w:r>
        <w:t>The SACT data were</w:t>
      </w:r>
      <w:r w:rsidRPr="00293CA2">
        <w:t xml:space="preserve"> not include</w:t>
      </w:r>
      <w:r>
        <w:t>d</w:t>
      </w:r>
      <w:r w:rsidRPr="00293CA2">
        <w:t xml:space="preserve"> in </w:t>
      </w:r>
      <w:r>
        <w:t>the company’s</w:t>
      </w:r>
      <w:r w:rsidRPr="00293CA2">
        <w:t xml:space="preserve"> economic analysis</w:t>
      </w:r>
      <w:r>
        <w:t xml:space="preserve">. </w:t>
      </w:r>
      <w:r w:rsidR="00A52D04">
        <w:t xml:space="preserve">The company explained that </w:t>
      </w:r>
      <w:r w:rsidR="002A7B98">
        <w:t>th</w:t>
      </w:r>
      <w:r>
        <w:t>e</w:t>
      </w:r>
      <w:r w:rsidR="002A7B98">
        <w:t xml:space="preserve"> difference </w:t>
      </w:r>
      <w:r>
        <w:t xml:space="preserve">in the number of people alive at 12 months </w:t>
      </w:r>
      <w:r w:rsidR="002A7B98">
        <w:t xml:space="preserve">may be </w:t>
      </w:r>
      <w:r w:rsidR="009E638E">
        <w:rPr>
          <w:bCs/>
        </w:rPr>
        <w:t>because</w:t>
      </w:r>
      <w:r w:rsidR="002A7B98">
        <w:t xml:space="preserve"> </w:t>
      </w:r>
      <w:r w:rsidR="00836FE3">
        <w:t xml:space="preserve">people having treatment through the Cancer Drugs Fund </w:t>
      </w:r>
      <w:r w:rsidR="009E638E">
        <w:rPr>
          <w:bCs/>
        </w:rPr>
        <w:t xml:space="preserve">were </w:t>
      </w:r>
      <w:r w:rsidR="00836FE3">
        <w:t xml:space="preserve">generally </w:t>
      </w:r>
      <w:r w:rsidR="00A52D04">
        <w:t>older and frailer than those in MONARCH</w:t>
      </w:r>
      <w:r w:rsidR="009E638E">
        <w:rPr>
          <w:bCs/>
        </w:rPr>
        <w:t> </w:t>
      </w:r>
      <w:r w:rsidR="00A52D04">
        <w:t>2</w:t>
      </w:r>
      <w:r>
        <w:t>. Also, they</w:t>
      </w:r>
      <w:r w:rsidR="00DB076B">
        <w:t xml:space="preserve"> </w:t>
      </w:r>
      <w:r w:rsidR="000D0A35">
        <w:t xml:space="preserve">may have </w:t>
      </w:r>
      <w:r w:rsidR="00DB076B">
        <w:t>ha</w:t>
      </w:r>
      <w:r w:rsidR="009E638E">
        <w:rPr>
          <w:bCs/>
        </w:rPr>
        <w:t>d</w:t>
      </w:r>
      <w:r w:rsidR="00DB076B">
        <w:t xml:space="preserve"> treatment later in the pathway</w:t>
      </w:r>
      <w:r w:rsidR="005707D5">
        <w:t xml:space="preserve"> or when disease </w:t>
      </w:r>
      <w:r w:rsidR="009E638E">
        <w:rPr>
          <w:bCs/>
        </w:rPr>
        <w:t>wa</w:t>
      </w:r>
      <w:r w:rsidR="005707D5">
        <w:t>s more advanced</w:t>
      </w:r>
      <w:r w:rsidR="00DB076B">
        <w:t>.</w:t>
      </w:r>
      <w:r w:rsidR="002A7B98">
        <w:t xml:space="preserve"> The</w:t>
      </w:r>
      <w:r w:rsidR="00434B7D">
        <w:t xml:space="preserve"> company</w:t>
      </w:r>
      <w:r w:rsidR="009E638E">
        <w:t xml:space="preserve"> </w:t>
      </w:r>
      <w:r w:rsidR="002A7B98">
        <w:t>also highlighted that</w:t>
      </w:r>
      <w:r w:rsidR="00A52D04">
        <w:t xml:space="preserve"> p</w:t>
      </w:r>
      <w:r w:rsidR="00762CB4">
        <w:rPr>
          <w:bCs/>
        </w:rPr>
        <w:t>eople</w:t>
      </w:r>
      <w:r w:rsidR="00A52D04">
        <w:t xml:space="preserve"> with visceral disease may be </w:t>
      </w:r>
      <w:r w:rsidR="00762CB4">
        <w:rPr>
          <w:bCs/>
        </w:rPr>
        <w:t>offered</w:t>
      </w:r>
      <w:r w:rsidR="00A52D04">
        <w:t xml:space="preserve"> abemaciclib </w:t>
      </w:r>
      <w:r w:rsidR="00762CB4">
        <w:rPr>
          <w:bCs/>
        </w:rPr>
        <w:t>plus</w:t>
      </w:r>
      <w:r w:rsidR="00A52D04">
        <w:t xml:space="preserve"> fulvestrant over other CDK4/6 inhibitors</w:t>
      </w:r>
      <w:r w:rsidR="002A7B98">
        <w:t xml:space="preserve"> </w:t>
      </w:r>
      <w:r w:rsidR="00762CB4">
        <w:rPr>
          <w:bCs/>
        </w:rPr>
        <w:t xml:space="preserve">because </w:t>
      </w:r>
      <w:r w:rsidR="002306B5">
        <w:rPr>
          <w:bCs/>
        </w:rPr>
        <w:t>there is</w:t>
      </w:r>
      <w:r w:rsidR="002A7B98">
        <w:t xml:space="preserve"> evidence </w:t>
      </w:r>
      <w:r w:rsidR="002306B5">
        <w:t xml:space="preserve">of efficacy </w:t>
      </w:r>
      <w:r w:rsidR="00762CB4">
        <w:rPr>
          <w:bCs/>
        </w:rPr>
        <w:t>for</w:t>
      </w:r>
      <w:r w:rsidR="002A7B98">
        <w:t xml:space="preserve"> this group</w:t>
      </w:r>
      <w:r w:rsidR="00A52D04">
        <w:t xml:space="preserve">. The company noted that the data were immature, and since there was no comparator arm, the relative efficacy </w:t>
      </w:r>
      <w:r w:rsidR="00200C9F">
        <w:rPr>
          <w:bCs/>
        </w:rPr>
        <w:t>wa</w:t>
      </w:r>
      <w:r w:rsidR="00A52D04">
        <w:t>s unknow</w:t>
      </w:r>
      <w:r w:rsidR="00DB076B">
        <w:t>n</w:t>
      </w:r>
      <w:r w:rsidR="00A52D04">
        <w:t xml:space="preserve">. The ERG agreed with most points </w:t>
      </w:r>
      <w:r w:rsidR="00D63CBA">
        <w:t>and</w:t>
      </w:r>
      <w:r w:rsidR="00AE7362">
        <w:t xml:space="preserve"> </w:t>
      </w:r>
      <w:r w:rsidR="00DB076B">
        <w:t>considered that</w:t>
      </w:r>
      <w:r w:rsidR="00AE7362">
        <w:t xml:space="preserve"> MONARCH</w:t>
      </w:r>
      <w:r w:rsidR="00200C9F">
        <w:rPr>
          <w:bCs/>
        </w:rPr>
        <w:t> </w:t>
      </w:r>
      <w:r w:rsidR="00AE7362">
        <w:t xml:space="preserve">2 </w:t>
      </w:r>
      <w:r w:rsidR="00200C9F">
        <w:rPr>
          <w:bCs/>
        </w:rPr>
        <w:t>wa</w:t>
      </w:r>
      <w:r w:rsidR="00AE7362">
        <w:t>s the mo</w:t>
      </w:r>
      <w:r w:rsidR="00434B7D">
        <w:t>re</w:t>
      </w:r>
      <w:r w:rsidR="00AE7362">
        <w:t xml:space="preserve"> </w:t>
      </w:r>
      <w:r w:rsidR="00AE7362">
        <w:lastRenderedPageBreak/>
        <w:t>robust</w:t>
      </w:r>
      <w:r w:rsidR="00DB076B">
        <w:t xml:space="preserve"> evidence source.</w:t>
      </w:r>
      <w:r w:rsidR="00AE7362">
        <w:t xml:space="preserve"> </w:t>
      </w:r>
      <w:r w:rsidR="0051667A">
        <w:t xml:space="preserve">The </w:t>
      </w:r>
      <w:r w:rsidR="00D63CBA">
        <w:t>clinical expert</w:t>
      </w:r>
      <w:r w:rsidR="0051667A">
        <w:t>s</w:t>
      </w:r>
      <w:r w:rsidR="00AE7362">
        <w:t xml:space="preserve"> </w:t>
      </w:r>
      <w:r w:rsidR="00DB076B">
        <w:t xml:space="preserve">agreed that </w:t>
      </w:r>
      <w:r w:rsidR="00DF2DC9">
        <w:t>the relative efficacy from MONARCH</w:t>
      </w:r>
      <w:r w:rsidR="00200C9F">
        <w:rPr>
          <w:bCs/>
        </w:rPr>
        <w:t> </w:t>
      </w:r>
      <w:r w:rsidR="00DF2DC9">
        <w:t xml:space="preserve">2 </w:t>
      </w:r>
      <w:r w:rsidR="00200C9F">
        <w:rPr>
          <w:bCs/>
        </w:rPr>
        <w:t>was</w:t>
      </w:r>
      <w:r w:rsidR="00DF2DC9">
        <w:t xml:space="preserve"> generalisable</w:t>
      </w:r>
      <w:r w:rsidR="00E16091">
        <w:t xml:space="preserve"> and provide</w:t>
      </w:r>
      <w:r w:rsidR="00200C9F">
        <w:rPr>
          <w:bCs/>
        </w:rPr>
        <w:t>d</w:t>
      </w:r>
      <w:r w:rsidR="00E16091">
        <w:t xml:space="preserve"> the most robust clinical evidence for decision making</w:t>
      </w:r>
      <w:r w:rsidR="00DF2DC9">
        <w:t xml:space="preserve">. The committee concluded that the </w:t>
      </w:r>
      <w:r w:rsidR="00200C9F">
        <w:t>SACT</w:t>
      </w:r>
      <w:r w:rsidR="00B46A78" w:rsidRPr="000B423C">
        <w:t xml:space="preserve"> </w:t>
      </w:r>
      <w:r w:rsidR="00DF2DC9">
        <w:t xml:space="preserve">data </w:t>
      </w:r>
      <w:r w:rsidR="00200C9F">
        <w:rPr>
          <w:bCs/>
        </w:rPr>
        <w:t>were</w:t>
      </w:r>
      <w:r w:rsidR="00DF2DC9">
        <w:t xml:space="preserve"> too immature and that </w:t>
      </w:r>
      <w:r w:rsidR="00DB076B">
        <w:t>clinical effectiveness data from MONARCH</w:t>
      </w:r>
      <w:r w:rsidR="00200C9F">
        <w:rPr>
          <w:bCs/>
        </w:rPr>
        <w:t> </w:t>
      </w:r>
      <w:r w:rsidR="00DB076B">
        <w:t xml:space="preserve">2 </w:t>
      </w:r>
      <w:r w:rsidR="00200C9F">
        <w:rPr>
          <w:bCs/>
        </w:rPr>
        <w:t>were more</w:t>
      </w:r>
      <w:r w:rsidR="00DB076B">
        <w:t xml:space="preserve"> appropriate for decision making.</w:t>
      </w:r>
    </w:p>
    <w:p w14:paraId="5D698FAB" w14:textId="3231A0EC" w:rsidR="00036153" w:rsidRPr="007735AE" w:rsidRDefault="00391728" w:rsidP="00391728">
      <w:pPr>
        <w:pStyle w:val="Heading2"/>
      </w:pPr>
      <w:r>
        <w:t>Indirect treatment comparison</w:t>
      </w:r>
    </w:p>
    <w:p w14:paraId="385F0CEA" w14:textId="1A81C766" w:rsidR="00B6289C" w:rsidRDefault="00B4689B" w:rsidP="00EC1C3C">
      <w:pPr>
        <w:pStyle w:val="Heading3"/>
      </w:pPr>
      <w:r>
        <w:t>Data from the post-amendment group from MONARCH</w:t>
      </w:r>
      <w:r w:rsidR="00491B40">
        <w:t> </w:t>
      </w:r>
      <w:r>
        <w:t>2 should be used to estimate the clinical</w:t>
      </w:r>
      <w:r w:rsidR="00491B40">
        <w:t xml:space="preserve"> </w:t>
      </w:r>
      <w:r>
        <w:t xml:space="preserve">effectiveness of abemaciclib </w:t>
      </w:r>
      <w:r w:rsidR="00695E3D">
        <w:t xml:space="preserve">plus </w:t>
      </w:r>
      <w:r>
        <w:t>fulvestrant</w:t>
      </w:r>
    </w:p>
    <w:p w14:paraId="1AF6594D" w14:textId="11EBCCEA" w:rsidR="007E0AB1" w:rsidRPr="00EC1C3C" w:rsidRDefault="00491B40" w:rsidP="00391728">
      <w:pPr>
        <w:pStyle w:val="Numberedlevel2text"/>
      </w:pPr>
      <w:r>
        <w:rPr>
          <w:lang w:val="en-GB"/>
        </w:rPr>
        <w:t>T</w:t>
      </w:r>
      <w:r w:rsidR="00403D85" w:rsidRPr="00391728">
        <w:t xml:space="preserve">here </w:t>
      </w:r>
      <w:r>
        <w:rPr>
          <w:lang w:val="en-GB"/>
        </w:rPr>
        <w:t>we</w:t>
      </w:r>
      <w:r w:rsidRPr="00391728">
        <w:t xml:space="preserve">re </w:t>
      </w:r>
      <w:r w:rsidR="00403D85" w:rsidRPr="00391728">
        <w:t xml:space="preserve">no trials </w:t>
      </w:r>
      <w:r>
        <w:rPr>
          <w:lang w:val="en-GB"/>
        </w:rPr>
        <w:t xml:space="preserve">directly </w:t>
      </w:r>
      <w:r w:rsidR="00403D85" w:rsidRPr="00391728">
        <w:t xml:space="preserve">comparing abemaciclib </w:t>
      </w:r>
      <w:r>
        <w:rPr>
          <w:lang w:val="en-GB"/>
        </w:rPr>
        <w:t>plus</w:t>
      </w:r>
      <w:r w:rsidR="00403D85" w:rsidRPr="00391728">
        <w:t xml:space="preserve"> fulvestrant with exemestane </w:t>
      </w:r>
      <w:r>
        <w:rPr>
          <w:lang w:val="en-US"/>
        </w:rPr>
        <w:t>plus</w:t>
      </w:r>
      <w:r w:rsidRPr="00391728">
        <w:t xml:space="preserve"> </w:t>
      </w:r>
      <w:r w:rsidR="00403D85" w:rsidRPr="00391728">
        <w:t>everolimus</w:t>
      </w:r>
      <w:r>
        <w:rPr>
          <w:lang w:val="en-GB"/>
        </w:rPr>
        <w:t>.</w:t>
      </w:r>
      <w:r w:rsidR="00403D85" w:rsidRPr="00391728">
        <w:t xml:space="preserve"> </w:t>
      </w:r>
      <w:r>
        <w:rPr>
          <w:lang w:val="en-GB"/>
        </w:rPr>
        <w:t xml:space="preserve">So, </w:t>
      </w:r>
      <w:r w:rsidR="00403D85" w:rsidRPr="00391728">
        <w:t xml:space="preserve">the company presented </w:t>
      </w:r>
      <w:r w:rsidR="007E0AB1">
        <w:rPr>
          <w:lang w:val="en-US"/>
        </w:rPr>
        <w:t>fractional polynomial</w:t>
      </w:r>
      <w:r w:rsidR="00403D85" w:rsidRPr="00391728">
        <w:t xml:space="preserve"> network meta-analys</w:t>
      </w:r>
      <w:r>
        <w:rPr>
          <w:lang w:val="en-GB"/>
        </w:rPr>
        <w:t>es</w:t>
      </w:r>
      <w:r w:rsidR="007E0AB1">
        <w:rPr>
          <w:lang w:val="en-US"/>
        </w:rPr>
        <w:t xml:space="preserve"> in line with the committee’s preferred assumptions</w:t>
      </w:r>
      <w:r w:rsidR="00403D85">
        <w:rPr>
          <w:lang w:val="en-US"/>
        </w:rPr>
        <w:t xml:space="preserve">. </w:t>
      </w:r>
      <w:r>
        <w:rPr>
          <w:lang w:val="en-US"/>
        </w:rPr>
        <w:t>These</w:t>
      </w:r>
      <w:r w:rsidR="007E0AB1">
        <w:rPr>
          <w:lang w:val="en-US"/>
        </w:rPr>
        <w:t xml:space="preserve"> meta-analyses incorporat</w:t>
      </w:r>
      <w:r>
        <w:rPr>
          <w:lang w:val="en-US"/>
        </w:rPr>
        <w:t>ed</w:t>
      </w:r>
      <w:r w:rsidR="007E0AB1">
        <w:rPr>
          <w:lang w:val="en-US"/>
        </w:rPr>
        <w:t xml:space="preserve"> the </w:t>
      </w:r>
      <w:r w:rsidR="004F01D5">
        <w:rPr>
          <w:lang w:val="en-US"/>
        </w:rPr>
        <w:t xml:space="preserve">updated </w:t>
      </w:r>
      <w:r w:rsidR="007E0AB1">
        <w:rPr>
          <w:lang w:val="en-US"/>
        </w:rPr>
        <w:t>MONARCH</w:t>
      </w:r>
      <w:r>
        <w:rPr>
          <w:lang w:val="en-US"/>
        </w:rPr>
        <w:t> </w:t>
      </w:r>
      <w:r w:rsidR="007E0AB1">
        <w:rPr>
          <w:lang w:val="en-US"/>
        </w:rPr>
        <w:t>2 data for progression-free and overall</w:t>
      </w:r>
      <w:r w:rsidR="008434DC">
        <w:rPr>
          <w:lang w:val="en-US"/>
        </w:rPr>
        <w:t xml:space="preserve"> </w:t>
      </w:r>
      <w:r w:rsidR="007E0AB1">
        <w:rPr>
          <w:lang w:val="en-US"/>
        </w:rPr>
        <w:t xml:space="preserve">survival for the full trial population. </w:t>
      </w:r>
      <w:r>
        <w:rPr>
          <w:lang w:val="en-US"/>
        </w:rPr>
        <w:t>T</w:t>
      </w:r>
      <w:r w:rsidR="00054B8C">
        <w:rPr>
          <w:lang w:val="en-US"/>
        </w:rPr>
        <w:t xml:space="preserve">he results </w:t>
      </w:r>
      <w:r>
        <w:rPr>
          <w:lang w:val="en-US"/>
        </w:rPr>
        <w:t>were</w:t>
      </w:r>
      <w:r w:rsidR="007E0AB1">
        <w:rPr>
          <w:lang w:val="en-US"/>
        </w:rPr>
        <w:t xml:space="preserve"> </w:t>
      </w:r>
      <w:r w:rsidR="00B55F04">
        <w:rPr>
          <w:lang w:val="en-US"/>
        </w:rPr>
        <w:t>based on the post-amendment group at technical engagement</w:t>
      </w:r>
      <w:r w:rsidR="00D17571">
        <w:rPr>
          <w:lang w:val="en-US"/>
        </w:rPr>
        <w:t>,</w:t>
      </w:r>
      <w:r w:rsidR="00B55F04">
        <w:rPr>
          <w:lang w:val="en-US"/>
        </w:rPr>
        <w:t xml:space="preserve"> </w:t>
      </w:r>
      <w:r w:rsidR="00D17571">
        <w:rPr>
          <w:lang w:val="en-US"/>
        </w:rPr>
        <w:t>at</w:t>
      </w:r>
      <w:r w:rsidR="00B55F04">
        <w:rPr>
          <w:lang w:val="en-US"/>
        </w:rPr>
        <w:t xml:space="preserve"> the ERG’s request. </w:t>
      </w:r>
      <w:r w:rsidR="00B6289C">
        <w:rPr>
          <w:lang w:val="en-US"/>
        </w:rPr>
        <w:t>The fractional polynomial network meta-analyses for progression-free and overall survival show</w:t>
      </w:r>
      <w:r>
        <w:rPr>
          <w:lang w:val="en-US"/>
        </w:rPr>
        <w:t>ed</w:t>
      </w:r>
      <w:r w:rsidR="00B6289C">
        <w:rPr>
          <w:lang w:val="en-US"/>
        </w:rPr>
        <w:t xml:space="preserve"> that abemaciclib </w:t>
      </w:r>
      <w:r>
        <w:rPr>
          <w:lang w:val="en-US"/>
        </w:rPr>
        <w:t xml:space="preserve">plus </w:t>
      </w:r>
      <w:r w:rsidR="00B6289C">
        <w:rPr>
          <w:lang w:val="en-US"/>
        </w:rPr>
        <w:t>fulvestrant improve</w:t>
      </w:r>
      <w:r>
        <w:rPr>
          <w:lang w:val="en-US"/>
        </w:rPr>
        <w:t>d</w:t>
      </w:r>
      <w:r w:rsidR="00B6289C">
        <w:rPr>
          <w:lang w:val="en-US"/>
        </w:rPr>
        <w:t xml:space="preserve"> progression</w:t>
      </w:r>
      <w:r>
        <w:rPr>
          <w:lang w:val="en-US"/>
        </w:rPr>
        <w:t>-free</w:t>
      </w:r>
      <w:r w:rsidR="00B6289C">
        <w:rPr>
          <w:lang w:val="en-US"/>
        </w:rPr>
        <w:t xml:space="preserve"> and overall survival compared with exemestane </w:t>
      </w:r>
      <w:r>
        <w:rPr>
          <w:lang w:val="en-US"/>
        </w:rPr>
        <w:t xml:space="preserve">plus </w:t>
      </w:r>
      <w:r w:rsidR="00B6289C">
        <w:rPr>
          <w:lang w:val="en-US"/>
        </w:rPr>
        <w:t>everolimus</w:t>
      </w:r>
      <w:r w:rsidR="00B55F04">
        <w:rPr>
          <w:lang w:val="en-US"/>
        </w:rPr>
        <w:t xml:space="preserve"> for the full trial population</w:t>
      </w:r>
      <w:r w:rsidR="00B6289C">
        <w:rPr>
          <w:lang w:val="en-US"/>
        </w:rPr>
        <w:t>.</w:t>
      </w:r>
      <w:r w:rsidR="00B55F04">
        <w:rPr>
          <w:lang w:val="en-US"/>
        </w:rPr>
        <w:t xml:space="preserve"> The ERG highlighted that progression-free and overall survival with abemaciclib </w:t>
      </w:r>
      <w:r w:rsidR="00DF0F70">
        <w:rPr>
          <w:lang w:val="en-US"/>
        </w:rPr>
        <w:t xml:space="preserve">plus </w:t>
      </w:r>
      <w:r w:rsidR="00B55F04">
        <w:rPr>
          <w:lang w:val="en-US"/>
        </w:rPr>
        <w:t xml:space="preserve">fulvestrant </w:t>
      </w:r>
      <w:r w:rsidR="00DF0F70">
        <w:rPr>
          <w:lang w:val="en-US"/>
        </w:rPr>
        <w:t>w</w:t>
      </w:r>
      <w:r w:rsidR="00263289">
        <w:rPr>
          <w:lang w:val="en-US"/>
        </w:rPr>
        <w:t>ere</w:t>
      </w:r>
      <w:r w:rsidR="00DF0F70">
        <w:rPr>
          <w:lang w:val="en-US"/>
        </w:rPr>
        <w:t xml:space="preserve"> </w:t>
      </w:r>
      <w:r w:rsidR="00B55F04">
        <w:rPr>
          <w:lang w:val="en-US"/>
        </w:rPr>
        <w:t>s</w:t>
      </w:r>
      <w:r w:rsidR="00DF0F70">
        <w:rPr>
          <w:lang w:val="en-US"/>
        </w:rPr>
        <w:t>horter</w:t>
      </w:r>
      <w:r w:rsidR="00B55F04">
        <w:rPr>
          <w:lang w:val="en-US"/>
        </w:rPr>
        <w:t xml:space="preserve"> in the post-amendment group than for the full trial population</w:t>
      </w:r>
      <w:r w:rsidR="00D63F0C">
        <w:rPr>
          <w:lang w:val="en-US"/>
        </w:rPr>
        <w:t>.</w:t>
      </w:r>
      <w:r w:rsidR="00B55F04">
        <w:rPr>
          <w:lang w:val="en-US"/>
        </w:rPr>
        <w:t xml:space="preserve"> </w:t>
      </w:r>
      <w:r w:rsidR="00263289">
        <w:rPr>
          <w:lang w:val="en-US"/>
        </w:rPr>
        <w:t>So,</w:t>
      </w:r>
      <w:r w:rsidR="00B55F04">
        <w:rPr>
          <w:lang w:val="en-US"/>
        </w:rPr>
        <w:t xml:space="preserve"> taking into account the heterogeneity and uncertainty across the network, the size of th</w:t>
      </w:r>
      <w:r w:rsidR="00263289">
        <w:rPr>
          <w:lang w:val="en-US"/>
        </w:rPr>
        <w:t>ese</w:t>
      </w:r>
      <w:r w:rsidR="00B55F04">
        <w:rPr>
          <w:lang w:val="en-US"/>
        </w:rPr>
        <w:t xml:space="preserve"> benefit</w:t>
      </w:r>
      <w:r w:rsidR="00263289">
        <w:rPr>
          <w:lang w:val="en-US"/>
        </w:rPr>
        <w:t>s</w:t>
      </w:r>
      <w:r w:rsidR="00B55F04">
        <w:rPr>
          <w:lang w:val="en-US"/>
        </w:rPr>
        <w:t xml:space="preserve"> </w:t>
      </w:r>
      <w:r w:rsidR="00D63F0C">
        <w:rPr>
          <w:lang w:val="en-US"/>
        </w:rPr>
        <w:t>w</w:t>
      </w:r>
      <w:r w:rsidR="004B2978">
        <w:rPr>
          <w:lang w:val="en-US"/>
        </w:rPr>
        <w:t>as</w:t>
      </w:r>
      <w:r w:rsidR="00B55F04">
        <w:rPr>
          <w:lang w:val="en-US"/>
        </w:rPr>
        <w:t xml:space="preserve"> highly uncertain. </w:t>
      </w:r>
      <w:r w:rsidR="00134CCB">
        <w:rPr>
          <w:lang w:val="en-US"/>
        </w:rPr>
        <w:t>The committee recalled its preference to use the post-amendment</w:t>
      </w:r>
      <w:r w:rsidR="00EF2D9F">
        <w:rPr>
          <w:lang w:val="en-US"/>
        </w:rPr>
        <w:t xml:space="preserve"> group data to estimate the clinical effectiveness of abemaciclib with fulvestrant</w:t>
      </w:r>
      <w:r w:rsidR="008434DC">
        <w:rPr>
          <w:lang w:val="en-US"/>
        </w:rPr>
        <w:t xml:space="preserve"> (see section</w:t>
      </w:r>
      <w:r w:rsidR="00263289">
        <w:rPr>
          <w:lang w:val="en-US"/>
        </w:rPr>
        <w:t> </w:t>
      </w:r>
      <w:r w:rsidR="008434DC">
        <w:rPr>
          <w:lang w:val="en-US"/>
        </w:rPr>
        <w:t>3.3)</w:t>
      </w:r>
      <w:r w:rsidR="00EF2D9F">
        <w:rPr>
          <w:lang w:val="en-US"/>
        </w:rPr>
        <w:t xml:space="preserve">. </w:t>
      </w:r>
      <w:r w:rsidR="004C1CD2">
        <w:rPr>
          <w:lang w:val="en-US"/>
        </w:rPr>
        <w:t>It</w:t>
      </w:r>
      <w:r w:rsidR="00EF2D9F">
        <w:rPr>
          <w:lang w:val="en-US"/>
        </w:rPr>
        <w:t xml:space="preserve"> concluded that data from the </w:t>
      </w:r>
      <w:r w:rsidR="00EF2D9F">
        <w:t>post-amendment group from MONARCH</w:t>
      </w:r>
      <w:r w:rsidR="00263289">
        <w:rPr>
          <w:lang w:val="en-GB"/>
        </w:rPr>
        <w:t> </w:t>
      </w:r>
      <w:r w:rsidR="00EF2D9F">
        <w:t>2 should be used to estimate the clinical</w:t>
      </w:r>
      <w:r w:rsidR="00263289">
        <w:rPr>
          <w:lang w:val="en-GB"/>
        </w:rPr>
        <w:t xml:space="preserve"> </w:t>
      </w:r>
      <w:r w:rsidR="00EF2D9F">
        <w:t xml:space="preserve">effectiveness of abemaciclib </w:t>
      </w:r>
      <w:r w:rsidR="00722345">
        <w:rPr>
          <w:lang w:val="en-GB"/>
        </w:rPr>
        <w:t>plus</w:t>
      </w:r>
      <w:r w:rsidR="00722345">
        <w:t xml:space="preserve"> </w:t>
      </w:r>
      <w:r w:rsidR="00EF2D9F">
        <w:t>fulvestrant</w:t>
      </w:r>
      <w:r w:rsidR="00EF2D9F">
        <w:rPr>
          <w:lang w:val="en-US"/>
        </w:rPr>
        <w:t xml:space="preserve"> compared with exemestane plus everolimus.</w:t>
      </w:r>
    </w:p>
    <w:p w14:paraId="21C94F78" w14:textId="2D9CFFA2" w:rsidR="002D0F7C" w:rsidRDefault="002D0F7C" w:rsidP="002D0F7C">
      <w:pPr>
        <w:pStyle w:val="Heading2"/>
      </w:pPr>
      <w:r>
        <w:lastRenderedPageBreak/>
        <w:t>The company’s economic model</w:t>
      </w:r>
    </w:p>
    <w:p w14:paraId="37E99AFD" w14:textId="75964919" w:rsidR="00EF2D9F" w:rsidRDefault="00EF2D9F" w:rsidP="00EF2D9F">
      <w:pPr>
        <w:pStyle w:val="Heading3"/>
      </w:pPr>
      <w:r>
        <w:t>Data from the post-amendment group from MONARCH</w:t>
      </w:r>
      <w:r w:rsidR="00695E3D">
        <w:t> </w:t>
      </w:r>
      <w:r>
        <w:t>2 should be used to estimate the cost</w:t>
      </w:r>
      <w:r w:rsidR="00695E3D">
        <w:t xml:space="preserve"> </w:t>
      </w:r>
      <w:r>
        <w:t xml:space="preserve">effectiveness of abemaciclib </w:t>
      </w:r>
      <w:r w:rsidR="00695E3D">
        <w:t xml:space="preserve">plus </w:t>
      </w:r>
      <w:r>
        <w:t>fulvestrant</w:t>
      </w:r>
    </w:p>
    <w:p w14:paraId="2FB340D1" w14:textId="7DF5D0D6" w:rsidR="008F3362" w:rsidRPr="002D0F7C" w:rsidRDefault="00C24D21" w:rsidP="0068625D">
      <w:pPr>
        <w:pStyle w:val="Numberedlevel2text"/>
      </w:pPr>
      <w:r>
        <w:rPr>
          <w:lang w:val="en-US"/>
        </w:rPr>
        <w:t>The company use</w:t>
      </w:r>
      <w:r w:rsidR="009A7AFD">
        <w:rPr>
          <w:lang w:val="en-US"/>
        </w:rPr>
        <w:t>d</w:t>
      </w:r>
      <w:r>
        <w:rPr>
          <w:lang w:val="en-US"/>
        </w:rPr>
        <w:t xml:space="preserve"> </w:t>
      </w:r>
      <w:r w:rsidR="00EF2D9F">
        <w:rPr>
          <w:lang w:val="en-US"/>
        </w:rPr>
        <w:t xml:space="preserve">fractional polynomial network meta-analysis </w:t>
      </w:r>
      <w:r w:rsidR="009A7AFD">
        <w:rPr>
          <w:lang w:val="en-US"/>
        </w:rPr>
        <w:t xml:space="preserve">data </w:t>
      </w:r>
      <w:r w:rsidR="00EF2D9F">
        <w:rPr>
          <w:lang w:val="en-US"/>
        </w:rPr>
        <w:t>that used the full trial population</w:t>
      </w:r>
      <w:r w:rsidR="001671F2">
        <w:rPr>
          <w:lang w:val="en-US"/>
        </w:rPr>
        <w:t xml:space="preserve"> from MONARCH</w:t>
      </w:r>
      <w:r w:rsidR="009A7AFD">
        <w:rPr>
          <w:lang w:val="en-US"/>
        </w:rPr>
        <w:t> </w:t>
      </w:r>
      <w:r w:rsidR="001671F2">
        <w:rPr>
          <w:lang w:val="en-US"/>
        </w:rPr>
        <w:t>2 in its economic model for progression-free and overall survival</w:t>
      </w:r>
      <w:r w:rsidR="00870EEF">
        <w:rPr>
          <w:lang w:val="en-US"/>
        </w:rPr>
        <w:t xml:space="preserve"> (see section</w:t>
      </w:r>
      <w:r w:rsidR="009A7AFD">
        <w:rPr>
          <w:lang w:val="en-US"/>
        </w:rPr>
        <w:t> </w:t>
      </w:r>
      <w:r w:rsidR="00870EEF">
        <w:rPr>
          <w:lang w:val="en-US"/>
        </w:rPr>
        <w:t>3.</w:t>
      </w:r>
      <w:r w:rsidR="001D2A8A">
        <w:rPr>
          <w:lang w:val="en-US"/>
        </w:rPr>
        <w:t>6</w:t>
      </w:r>
      <w:r w:rsidR="00870EEF">
        <w:rPr>
          <w:lang w:val="en-US"/>
        </w:rPr>
        <w:t>)</w:t>
      </w:r>
      <w:r>
        <w:rPr>
          <w:lang w:val="en-US"/>
        </w:rPr>
        <w:t xml:space="preserve">. </w:t>
      </w:r>
      <w:r>
        <w:t>The ERG w</w:t>
      </w:r>
      <w:r w:rsidR="009A7AFD">
        <w:rPr>
          <w:lang w:val="en-GB"/>
        </w:rPr>
        <w:t>as</w:t>
      </w:r>
      <w:r>
        <w:t xml:space="preserve"> concerned that this may </w:t>
      </w:r>
      <w:r w:rsidR="009A7AFD">
        <w:rPr>
          <w:lang w:val="en-GB"/>
        </w:rPr>
        <w:t xml:space="preserve">have </w:t>
      </w:r>
      <w:r>
        <w:t>overestimate</w:t>
      </w:r>
      <w:r w:rsidR="009A7AFD">
        <w:rPr>
          <w:lang w:val="en-GB"/>
        </w:rPr>
        <w:t>d the</w:t>
      </w:r>
      <w:r>
        <w:t xml:space="preserve"> treatment effects </w:t>
      </w:r>
      <w:r>
        <w:rPr>
          <w:lang w:val="en-GB"/>
        </w:rPr>
        <w:t xml:space="preserve">compared </w:t>
      </w:r>
      <w:r w:rsidR="009A7AFD">
        <w:rPr>
          <w:lang w:val="en-GB"/>
        </w:rPr>
        <w:t>with</w:t>
      </w:r>
      <w:r>
        <w:rPr>
          <w:lang w:val="en-GB"/>
        </w:rPr>
        <w:t xml:space="preserve"> clinical practice</w:t>
      </w:r>
      <w:r w:rsidR="009A7AFD">
        <w:rPr>
          <w:lang w:val="en-GB"/>
        </w:rPr>
        <w:t>. It</w:t>
      </w:r>
      <w:r w:rsidR="00EF2D9F">
        <w:rPr>
          <w:lang w:val="en-GB"/>
        </w:rPr>
        <w:t xml:space="preserve"> emphasised that this did not </w:t>
      </w:r>
      <w:r w:rsidR="008740C1">
        <w:rPr>
          <w:lang w:val="en-GB"/>
        </w:rPr>
        <w:t xml:space="preserve">fully </w:t>
      </w:r>
      <w:r w:rsidR="00EF2D9F">
        <w:rPr>
          <w:lang w:val="en-GB"/>
        </w:rPr>
        <w:t xml:space="preserve">reflect the </w:t>
      </w:r>
      <w:r w:rsidR="00D53404">
        <w:rPr>
          <w:lang w:val="en-GB"/>
        </w:rPr>
        <w:t xml:space="preserve">licensed </w:t>
      </w:r>
      <w:r w:rsidR="00EF2D9F">
        <w:rPr>
          <w:lang w:val="en-GB"/>
        </w:rPr>
        <w:t>dose that would be used in clinical practice</w:t>
      </w:r>
      <w:r>
        <w:t>.</w:t>
      </w:r>
      <w:r>
        <w:rPr>
          <w:lang w:val="en-US"/>
        </w:rPr>
        <w:t xml:space="preserve"> The ERG </w:t>
      </w:r>
      <w:r w:rsidR="001671F2">
        <w:rPr>
          <w:lang w:val="en-US"/>
        </w:rPr>
        <w:t xml:space="preserve">preferred to use fractional polynomial network meta-analysis </w:t>
      </w:r>
      <w:r w:rsidR="009A7AFD">
        <w:rPr>
          <w:lang w:val="en-US"/>
        </w:rPr>
        <w:t xml:space="preserve">data </w:t>
      </w:r>
      <w:r w:rsidR="001671F2">
        <w:rPr>
          <w:lang w:val="en-US"/>
        </w:rPr>
        <w:t>that used the post-amendment group from MONARCH</w:t>
      </w:r>
      <w:r w:rsidR="009A7AFD">
        <w:rPr>
          <w:lang w:val="en-US"/>
        </w:rPr>
        <w:t> </w:t>
      </w:r>
      <w:r w:rsidR="001671F2">
        <w:rPr>
          <w:lang w:val="en-US"/>
        </w:rPr>
        <w:t>2</w:t>
      </w:r>
      <w:r w:rsidR="001437D0">
        <w:rPr>
          <w:lang w:val="en-US"/>
        </w:rPr>
        <w:t xml:space="preserve"> in the economic model</w:t>
      </w:r>
      <w:r>
        <w:rPr>
          <w:lang w:val="en-US"/>
        </w:rPr>
        <w:t>.</w:t>
      </w:r>
      <w:r w:rsidR="008159D8">
        <w:rPr>
          <w:lang w:val="en-US"/>
        </w:rPr>
        <w:t xml:space="preserve"> </w:t>
      </w:r>
      <w:r w:rsidR="001671F2">
        <w:rPr>
          <w:lang w:val="en-US"/>
        </w:rPr>
        <w:t xml:space="preserve">The </w:t>
      </w:r>
      <w:r w:rsidR="001437D0">
        <w:rPr>
          <w:lang w:val="en-US"/>
        </w:rPr>
        <w:t xml:space="preserve">committee </w:t>
      </w:r>
      <w:r w:rsidR="001671F2">
        <w:rPr>
          <w:lang w:val="en-US"/>
        </w:rPr>
        <w:t xml:space="preserve">was aware that the results of the model </w:t>
      </w:r>
      <w:r w:rsidR="00643DBD">
        <w:rPr>
          <w:lang w:val="en-US"/>
        </w:rPr>
        <w:t xml:space="preserve">were </w:t>
      </w:r>
      <w:r w:rsidR="001671F2">
        <w:rPr>
          <w:lang w:val="en-US"/>
        </w:rPr>
        <w:t>highly sensitive to the choice of clinical</w:t>
      </w:r>
      <w:r w:rsidR="00643DBD">
        <w:rPr>
          <w:lang w:val="en-US"/>
        </w:rPr>
        <w:t xml:space="preserve"> </w:t>
      </w:r>
      <w:r w:rsidR="001671F2">
        <w:rPr>
          <w:lang w:val="en-US"/>
        </w:rPr>
        <w:t xml:space="preserve">effectiveness data for abemaciclib </w:t>
      </w:r>
      <w:r w:rsidR="00643DBD">
        <w:rPr>
          <w:lang w:val="en-US"/>
        </w:rPr>
        <w:t xml:space="preserve">plus </w:t>
      </w:r>
      <w:r w:rsidR="001671F2">
        <w:rPr>
          <w:lang w:val="en-US"/>
        </w:rPr>
        <w:t>fulvestrant</w:t>
      </w:r>
      <w:r w:rsidR="00643DBD">
        <w:rPr>
          <w:lang w:val="en-US"/>
        </w:rPr>
        <w:t>.</w:t>
      </w:r>
      <w:r w:rsidR="0021540F">
        <w:rPr>
          <w:lang w:val="en-US"/>
        </w:rPr>
        <w:t xml:space="preserve"> </w:t>
      </w:r>
      <w:r w:rsidR="00643DBD">
        <w:rPr>
          <w:lang w:val="en-US"/>
        </w:rPr>
        <w:t>Also,</w:t>
      </w:r>
      <w:r w:rsidR="0021540F">
        <w:rPr>
          <w:lang w:val="en-US"/>
        </w:rPr>
        <w:t xml:space="preserve"> using on</w:t>
      </w:r>
      <w:r w:rsidR="004F3D8B">
        <w:rPr>
          <w:lang w:val="en-US"/>
        </w:rPr>
        <w:t>l</w:t>
      </w:r>
      <w:r w:rsidR="0021540F">
        <w:rPr>
          <w:lang w:val="en-US"/>
        </w:rPr>
        <w:t>y the post</w:t>
      </w:r>
      <w:r w:rsidR="00476A34">
        <w:rPr>
          <w:lang w:val="en-US"/>
        </w:rPr>
        <w:t>-</w:t>
      </w:r>
      <w:r w:rsidR="0021540F">
        <w:rPr>
          <w:lang w:val="en-US"/>
        </w:rPr>
        <w:t>amendment group</w:t>
      </w:r>
      <w:r w:rsidR="004F3D8B">
        <w:rPr>
          <w:lang w:val="en-US"/>
        </w:rPr>
        <w:t xml:space="preserve"> </w:t>
      </w:r>
      <w:r w:rsidR="00643DBD">
        <w:rPr>
          <w:lang w:val="en-US"/>
        </w:rPr>
        <w:t xml:space="preserve">data </w:t>
      </w:r>
      <w:r w:rsidR="004F3D8B">
        <w:rPr>
          <w:lang w:val="en-US"/>
        </w:rPr>
        <w:t xml:space="preserve">gave a much </w:t>
      </w:r>
      <w:r w:rsidR="00CC7EE3">
        <w:rPr>
          <w:lang w:val="en-US"/>
        </w:rPr>
        <w:t>lower</w:t>
      </w:r>
      <w:r w:rsidR="004F3D8B">
        <w:rPr>
          <w:lang w:val="en-US"/>
        </w:rPr>
        <w:t xml:space="preserve"> estimate of </w:t>
      </w:r>
      <w:r w:rsidR="00B33455">
        <w:rPr>
          <w:lang w:val="en-US"/>
        </w:rPr>
        <w:t xml:space="preserve">abemaciclib’s </w:t>
      </w:r>
      <w:r w:rsidR="004F3D8B">
        <w:rPr>
          <w:lang w:val="en-US"/>
        </w:rPr>
        <w:t xml:space="preserve">clinical effectiveness </w:t>
      </w:r>
      <w:r w:rsidR="00CC7EE3">
        <w:rPr>
          <w:lang w:val="en-US"/>
        </w:rPr>
        <w:t xml:space="preserve">compared with </w:t>
      </w:r>
      <w:r w:rsidR="00C243E4">
        <w:rPr>
          <w:lang w:val="en-US"/>
        </w:rPr>
        <w:t xml:space="preserve">using </w:t>
      </w:r>
      <w:r w:rsidR="00CC7EE3">
        <w:rPr>
          <w:lang w:val="en-US"/>
        </w:rPr>
        <w:t xml:space="preserve">the </w:t>
      </w:r>
      <w:r w:rsidR="0068625D">
        <w:rPr>
          <w:lang w:val="en-US"/>
        </w:rPr>
        <w:t>full</w:t>
      </w:r>
      <w:r w:rsidR="00476A34">
        <w:rPr>
          <w:lang w:val="en-US"/>
        </w:rPr>
        <w:t xml:space="preserve"> trial </w:t>
      </w:r>
      <w:r w:rsidR="00CC7EE3">
        <w:rPr>
          <w:lang w:val="en-US"/>
        </w:rPr>
        <w:t>population</w:t>
      </w:r>
      <w:r w:rsidR="00183D7E">
        <w:rPr>
          <w:lang w:val="en-US"/>
        </w:rPr>
        <w:t xml:space="preserve"> data</w:t>
      </w:r>
      <w:r w:rsidR="001671F2">
        <w:rPr>
          <w:lang w:val="en-US"/>
        </w:rPr>
        <w:t>.</w:t>
      </w:r>
      <w:r w:rsidR="002E2D5F">
        <w:rPr>
          <w:lang w:val="en-GB"/>
        </w:rPr>
        <w:t xml:space="preserve"> </w:t>
      </w:r>
      <w:r w:rsidR="006A425D">
        <w:rPr>
          <w:lang w:val="en-GB"/>
        </w:rPr>
        <w:t>T</w:t>
      </w:r>
      <w:r w:rsidR="00DD3C38">
        <w:rPr>
          <w:lang w:val="en-GB"/>
        </w:rPr>
        <w:t xml:space="preserve">he </w:t>
      </w:r>
      <w:r w:rsidR="008F3362">
        <w:rPr>
          <w:lang w:val="en-GB"/>
        </w:rPr>
        <w:t>committee w</w:t>
      </w:r>
      <w:r w:rsidR="00B33455">
        <w:rPr>
          <w:lang w:val="en-GB"/>
        </w:rPr>
        <w:t>as</w:t>
      </w:r>
      <w:r w:rsidR="008F3362">
        <w:rPr>
          <w:lang w:val="en-GB"/>
        </w:rPr>
        <w:t xml:space="preserve"> not persuaded that the </w:t>
      </w:r>
      <w:r w:rsidR="001671F2">
        <w:rPr>
          <w:lang w:val="en-GB"/>
        </w:rPr>
        <w:t xml:space="preserve">company’s approach </w:t>
      </w:r>
      <w:r w:rsidR="00B33455">
        <w:rPr>
          <w:lang w:val="en-GB"/>
        </w:rPr>
        <w:t>wa</w:t>
      </w:r>
      <w:r w:rsidR="001671F2">
        <w:rPr>
          <w:lang w:val="en-GB"/>
        </w:rPr>
        <w:t>s</w:t>
      </w:r>
      <w:r w:rsidR="00FE3F1D">
        <w:rPr>
          <w:lang w:val="en-GB"/>
        </w:rPr>
        <w:t xml:space="preserve"> more</w:t>
      </w:r>
      <w:r w:rsidR="008F3362">
        <w:rPr>
          <w:lang w:val="en-GB"/>
        </w:rPr>
        <w:t xml:space="preserve"> appropriate, since the trial was redesigned and powered to detect an effect</w:t>
      </w:r>
      <w:r w:rsidR="00787E89">
        <w:rPr>
          <w:lang w:val="en-GB"/>
        </w:rPr>
        <w:t xml:space="preserve"> in progression-free survival</w:t>
      </w:r>
      <w:r w:rsidR="008F3362">
        <w:rPr>
          <w:lang w:val="en-GB"/>
        </w:rPr>
        <w:t xml:space="preserve"> in the post-amendment group</w:t>
      </w:r>
      <w:r w:rsidR="002649A9">
        <w:rPr>
          <w:lang w:val="en-GB"/>
        </w:rPr>
        <w:t xml:space="preserve"> (see section</w:t>
      </w:r>
      <w:r w:rsidR="00CE06BD">
        <w:rPr>
          <w:lang w:val="en-GB"/>
        </w:rPr>
        <w:t> </w:t>
      </w:r>
      <w:r w:rsidR="002649A9">
        <w:rPr>
          <w:lang w:val="en-GB"/>
        </w:rPr>
        <w:t>3.</w:t>
      </w:r>
      <w:r w:rsidR="00C51FD7">
        <w:rPr>
          <w:lang w:val="en-GB"/>
        </w:rPr>
        <w:t>3</w:t>
      </w:r>
      <w:r w:rsidR="002649A9">
        <w:rPr>
          <w:lang w:val="en-GB"/>
        </w:rPr>
        <w:t>)</w:t>
      </w:r>
      <w:r w:rsidR="008159D8">
        <w:rPr>
          <w:lang w:val="en-GB"/>
        </w:rPr>
        <w:t>.</w:t>
      </w:r>
      <w:r w:rsidR="008F3362">
        <w:rPr>
          <w:lang w:val="en-GB"/>
        </w:rPr>
        <w:t xml:space="preserve"> </w:t>
      </w:r>
      <w:r w:rsidR="008159D8">
        <w:rPr>
          <w:lang w:val="en-GB"/>
        </w:rPr>
        <w:t xml:space="preserve">The committee </w:t>
      </w:r>
      <w:r w:rsidR="008F3362">
        <w:rPr>
          <w:lang w:val="en-GB"/>
        </w:rPr>
        <w:t xml:space="preserve">concluded that the </w:t>
      </w:r>
      <w:r w:rsidR="008159D8">
        <w:rPr>
          <w:lang w:val="en-GB"/>
        </w:rPr>
        <w:t>post-amendment group</w:t>
      </w:r>
      <w:r w:rsidR="00CE06BD">
        <w:rPr>
          <w:lang w:val="en-GB"/>
        </w:rPr>
        <w:t xml:space="preserve"> data</w:t>
      </w:r>
      <w:r w:rsidR="008159D8">
        <w:rPr>
          <w:lang w:val="en-GB"/>
        </w:rPr>
        <w:t xml:space="preserve"> </w:t>
      </w:r>
      <w:r w:rsidR="00A51079">
        <w:rPr>
          <w:lang w:val="en-GB"/>
        </w:rPr>
        <w:t xml:space="preserve">should be used in the </w:t>
      </w:r>
      <w:r w:rsidR="00B226DE">
        <w:rPr>
          <w:lang w:val="en-GB"/>
        </w:rPr>
        <w:t>economic model</w:t>
      </w:r>
      <w:r w:rsidR="003F6DD3">
        <w:rPr>
          <w:lang w:val="en-GB"/>
        </w:rPr>
        <w:t>. B</w:t>
      </w:r>
      <w:r w:rsidR="00253513">
        <w:rPr>
          <w:lang w:val="en-GB"/>
        </w:rPr>
        <w:t xml:space="preserve">ut </w:t>
      </w:r>
      <w:r w:rsidR="003F6DD3">
        <w:rPr>
          <w:lang w:val="en-GB"/>
        </w:rPr>
        <w:t xml:space="preserve">it </w:t>
      </w:r>
      <w:r w:rsidR="00A51079">
        <w:rPr>
          <w:lang w:val="en-GB"/>
        </w:rPr>
        <w:t xml:space="preserve">recognised that the </w:t>
      </w:r>
      <w:r w:rsidR="00253513">
        <w:rPr>
          <w:lang w:val="en-GB"/>
        </w:rPr>
        <w:t>cost</w:t>
      </w:r>
      <w:r w:rsidR="00CE06BD">
        <w:rPr>
          <w:lang w:val="en-GB"/>
        </w:rPr>
        <w:t>-</w:t>
      </w:r>
      <w:r w:rsidR="00253513">
        <w:rPr>
          <w:lang w:val="en-GB"/>
        </w:rPr>
        <w:t xml:space="preserve">effectiveness </w:t>
      </w:r>
      <w:r w:rsidR="00A51079">
        <w:rPr>
          <w:lang w:val="en-GB"/>
        </w:rPr>
        <w:t xml:space="preserve">results </w:t>
      </w:r>
      <w:r w:rsidR="00CE06BD">
        <w:rPr>
          <w:lang w:val="en-GB"/>
        </w:rPr>
        <w:t>we</w:t>
      </w:r>
      <w:r w:rsidR="00A51079">
        <w:rPr>
          <w:lang w:val="en-GB"/>
        </w:rPr>
        <w:t>re highly sensitive to th</w:t>
      </w:r>
      <w:r w:rsidR="006A425D">
        <w:rPr>
          <w:lang w:val="en-GB"/>
        </w:rPr>
        <w:t>e</w:t>
      </w:r>
      <w:r w:rsidR="00A51079">
        <w:rPr>
          <w:lang w:val="en-GB"/>
        </w:rPr>
        <w:t xml:space="preserve"> choice of clinical</w:t>
      </w:r>
      <w:r w:rsidR="006A425D">
        <w:rPr>
          <w:lang w:val="en-GB"/>
        </w:rPr>
        <w:t xml:space="preserve"> </w:t>
      </w:r>
      <w:r w:rsidR="00A51079">
        <w:rPr>
          <w:lang w:val="en-GB"/>
        </w:rPr>
        <w:t xml:space="preserve">effectiveness </w:t>
      </w:r>
      <w:r w:rsidR="006A425D">
        <w:rPr>
          <w:lang w:val="en-GB"/>
        </w:rPr>
        <w:t xml:space="preserve">data </w:t>
      </w:r>
      <w:r w:rsidR="00A51079">
        <w:rPr>
          <w:lang w:val="en-GB"/>
        </w:rPr>
        <w:t xml:space="preserve">for abemaciclib </w:t>
      </w:r>
      <w:r w:rsidR="00CE06BD">
        <w:rPr>
          <w:lang w:val="en-GB"/>
        </w:rPr>
        <w:t xml:space="preserve">plus </w:t>
      </w:r>
      <w:r w:rsidR="00A51079">
        <w:rPr>
          <w:lang w:val="en-GB"/>
        </w:rPr>
        <w:t>fulvestrant.</w:t>
      </w:r>
    </w:p>
    <w:p w14:paraId="78C90F1D" w14:textId="5A59A371" w:rsidR="007735AE" w:rsidRPr="0007738A" w:rsidRDefault="00711702" w:rsidP="005056F8">
      <w:pPr>
        <w:pStyle w:val="Heading3"/>
      </w:pPr>
      <w:r>
        <w:t xml:space="preserve">The appropriate modelling approach for </w:t>
      </w:r>
      <w:r w:rsidR="00B75B6A">
        <w:t>t</w:t>
      </w:r>
      <w:r w:rsidR="0007738A">
        <w:t>ime to</w:t>
      </w:r>
      <w:r>
        <w:t xml:space="preserve"> treatment</w:t>
      </w:r>
      <w:r w:rsidR="0007738A">
        <w:t xml:space="preserve"> discontinuation </w:t>
      </w:r>
      <w:r w:rsidR="005056F8">
        <w:t>for</w:t>
      </w:r>
      <w:r w:rsidR="0007738A">
        <w:t xml:space="preserve"> abemaciclib </w:t>
      </w:r>
      <w:r w:rsidR="006E3215">
        <w:t xml:space="preserve">plus </w:t>
      </w:r>
      <w:r w:rsidR="0007738A">
        <w:t xml:space="preserve">fulvestrant </w:t>
      </w:r>
      <w:r>
        <w:t>is uncertain</w:t>
      </w:r>
    </w:p>
    <w:p w14:paraId="05A635A7" w14:textId="0A1BC4AF" w:rsidR="004C4918" w:rsidRPr="00DE68CD" w:rsidRDefault="00355E55" w:rsidP="000E259A">
      <w:pPr>
        <w:pStyle w:val="Numberedlevel2text"/>
      </w:pPr>
      <w:r>
        <w:rPr>
          <w:lang w:val="en-GB"/>
        </w:rPr>
        <w:t xml:space="preserve">In the </w:t>
      </w:r>
      <w:hyperlink r:id="rId16" w:history="1">
        <w:r>
          <w:rPr>
            <w:rStyle w:val="Hyperlink"/>
            <w:lang w:val="en-GB"/>
          </w:rPr>
          <w:t>original NICE technology appraisal guidance for abemaciclib with fulvestrant</w:t>
        </w:r>
      </w:hyperlink>
      <w:r w:rsidR="00FE43C4">
        <w:rPr>
          <w:lang w:val="en-GB"/>
        </w:rPr>
        <w:t xml:space="preserve"> there was uncertainty around how long p</w:t>
      </w:r>
      <w:r>
        <w:rPr>
          <w:lang w:val="en-GB"/>
        </w:rPr>
        <w:t>eople</w:t>
      </w:r>
      <w:r w:rsidR="00FE43C4">
        <w:rPr>
          <w:lang w:val="en-GB"/>
        </w:rPr>
        <w:t xml:space="preserve"> </w:t>
      </w:r>
      <w:r w:rsidR="00031522">
        <w:rPr>
          <w:lang w:val="en-GB"/>
        </w:rPr>
        <w:t>had treatment with</w:t>
      </w:r>
      <w:r w:rsidR="00FE43C4">
        <w:rPr>
          <w:lang w:val="en-GB"/>
        </w:rPr>
        <w:t xml:space="preserve"> abemaciclib </w:t>
      </w:r>
      <w:r>
        <w:rPr>
          <w:lang w:val="en-GB"/>
        </w:rPr>
        <w:t xml:space="preserve">plus </w:t>
      </w:r>
      <w:r w:rsidR="00FE43C4">
        <w:rPr>
          <w:lang w:val="en-GB"/>
        </w:rPr>
        <w:t>fulvestrant (time to</w:t>
      </w:r>
      <w:r w:rsidR="00E43FB4">
        <w:rPr>
          <w:lang w:val="en-GB"/>
        </w:rPr>
        <w:t xml:space="preserve"> treatment</w:t>
      </w:r>
      <w:r w:rsidR="00FE43C4">
        <w:rPr>
          <w:lang w:val="en-GB"/>
        </w:rPr>
        <w:t xml:space="preserve"> discontinuation)</w:t>
      </w:r>
      <w:r>
        <w:rPr>
          <w:lang w:val="en-GB"/>
        </w:rPr>
        <w:t>. Also</w:t>
      </w:r>
      <w:r w:rsidR="00FE43C4">
        <w:rPr>
          <w:lang w:val="en-GB"/>
        </w:rPr>
        <w:t xml:space="preserve">, the company’s model underestimated the treatment duration and therefore </w:t>
      </w:r>
      <w:r>
        <w:rPr>
          <w:lang w:val="en-GB"/>
        </w:rPr>
        <w:t xml:space="preserve">the </w:t>
      </w:r>
      <w:r w:rsidR="00FE43C4">
        <w:rPr>
          <w:lang w:val="en-GB"/>
        </w:rPr>
        <w:t xml:space="preserve">treatment costs of abemaciclib </w:t>
      </w:r>
      <w:r>
        <w:rPr>
          <w:lang w:val="en-GB"/>
        </w:rPr>
        <w:t xml:space="preserve">plus </w:t>
      </w:r>
      <w:r w:rsidR="00FE43C4">
        <w:rPr>
          <w:lang w:val="en-GB"/>
        </w:rPr>
        <w:t xml:space="preserve">fulvestrant. This was </w:t>
      </w:r>
      <w:r w:rsidR="00FE43C4">
        <w:rPr>
          <w:lang w:val="en-GB"/>
        </w:rPr>
        <w:lastRenderedPageBreak/>
        <w:t xml:space="preserve">because the company used data </w:t>
      </w:r>
      <w:r w:rsidR="00307C3E">
        <w:rPr>
          <w:lang w:val="en-GB"/>
        </w:rPr>
        <w:t>from the full trial</w:t>
      </w:r>
      <w:r w:rsidR="00EE3332">
        <w:rPr>
          <w:lang w:val="en-GB"/>
        </w:rPr>
        <w:t xml:space="preserve"> population</w:t>
      </w:r>
      <w:r w:rsidR="00FE43C4">
        <w:rPr>
          <w:lang w:val="en-GB"/>
        </w:rPr>
        <w:t xml:space="preserve">, including those </w:t>
      </w:r>
      <w:r w:rsidR="00EE3332">
        <w:rPr>
          <w:lang w:val="en-GB"/>
        </w:rPr>
        <w:t xml:space="preserve">who were enrolled </w:t>
      </w:r>
      <w:r w:rsidR="00FE43C4">
        <w:rPr>
          <w:lang w:val="en-GB"/>
        </w:rPr>
        <w:t>before the protocol amendment</w:t>
      </w:r>
      <w:r w:rsidR="00EE3332">
        <w:rPr>
          <w:lang w:val="en-GB"/>
        </w:rPr>
        <w:t>. Also</w:t>
      </w:r>
      <w:r w:rsidR="00F52123">
        <w:rPr>
          <w:lang w:val="en-GB"/>
        </w:rPr>
        <w:t xml:space="preserve">, </w:t>
      </w:r>
      <w:r w:rsidR="00EE3332">
        <w:rPr>
          <w:lang w:val="en-GB"/>
        </w:rPr>
        <w:t>people</w:t>
      </w:r>
      <w:r w:rsidR="00F52123">
        <w:rPr>
          <w:lang w:val="en-GB"/>
        </w:rPr>
        <w:t xml:space="preserve"> </w:t>
      </w:r>
      <w:r w:rsidR="00066629">
        <w:rPr>
          <w:lang w:val="en-GB"/>
        </w:rPr>
        <w:t xml:space="preserve">on the lower dose </w:t>
      </w:r>
      <w:r w:rsidR="00EE3332">
        <w:rPr>
          <w:lang w:val="en-GB"/>
        </w:rPr>
        <w:t xml:space="preserve">stopped treatment </w:t>
      </w:r>
      <w:r w:rsidR="00066629">
        <w:rPr>
          <w:lang w:val="en-GB"/>
        </w:rPr>
        <w:t>less often</w:t>
      </w:r>
      <w:r w:rsidR="005056F8">
        <w:rPr>
          <w:lang w:val="en-GB"/>
        </w:rPr>
        <w:t xml:space="preserve"> </w:t>
      </w:r>
      <w:r w:rsidR="00EE3332">
        <w:rPr>
          <w:lang w:val="en-GB"/>
        </w:rPr>
        <w:t xml:space="preserve">because </w:t>
      </w:r>
      <w:r w:rsidR="005056F8">
        <w:rPr>
          <w:lang w:val="en-GB"/>
        </w:rPr>
        <w:t xml:space="preserve">they </w:t>
      </w:r>
      <w:r w:rsidR="00EE3332">
        <w:rPr>
          <w:lang w:val="en-GB"/>
        </w:rPr>
        <w:t xml:space="preserve">had </w:t>
      </w:r>
      <w:r w:rsidR="005056F8">
        <w:rPr>
          <w:lang w:val="en-GB"/>
        </w:rPr>
        <w:t>fewer adverse events</w:t>
      </w:r>
      <w:r w:rsidR="00FE43C4">
        <w:rPr>
          <w:lang w:val="en-GB"/>
        </w:rPr>
        <w:t>.</w:t>
      </w:r>
      <w:r w:rsidR="00E30693">
        <w:rPr>
          <w:lang w:val="en-GB"/>
        </w:rPr>
        <w:t xml:space="preserve"> </w:t>
      </w:r>
      <w:r w:rsidR="00A8148D">
        <w:rPr>
          <w:lang w:val="en-GB"/>
        </w:rPr>
        <w:t>During that appraisal, t</w:t>
      </w:r>
      <w:r w:rsidR="00F52123">
        <w:rPr>
          <w:lang w:val="en-GB"/>
        </w:rPr>
        <w:t>he committee suggested that discontinuation should be estimated using the post-amendment group</w:t>
      </w:r>
      <w:r w:rsidR="00EE3332">
        <w:rPr>
          <w:lang w:val="en-GB"/>
        </w:rPr>
        <w:t xml:space="preserve"> data</w:t>
      </w:r>
      <w:r w:rsidR="00F52123">
        <w:rPr>
          <w:lang w:val="en-GB"/>
        </w:rPr>
        <w:t>,</w:t>
      </w:r>
      <w:r w:rsidR="00F57A43">
        <w:rPr>
          <w:lang w:val="en-GB"/>
        </w:rPr>
        <w:t xml:space="preserve"> </w:t>
      </w:r>
      <w:r w:rsidR="00EE3332">
        <w:rPr>
          <w:lang w:val="en-GB"/>
        </w:rPr>
        <w:t xml:space="preserve">because </w:t>
      </w:r>
      <w:r w:rsidR="00F57A43">
        <w:rPr>
          <w:lang w:val="en-GB"/>
        </w:rPr>
        <w:t xml:space="preserve">this </w:t>
      </w:r>
      <w:r w:rsidR="00EE3332">
        <w:rPr>
          <w:lang w:val="en-GB"/>
        </w:rPr>
        <w:t xml:space="preserve">used </w:t>
      </w:r>
      <w:r w:rsidR="00F57A43">
        <w:rPr>
          <w:lang w:val="en-GB"/>
        </w:rPr>
        <w:t>the lower licensed dose with fewer side effects,</w:t>
      </w:r>
      <w:r w:rsidR="00F52123">
        <w:rPr>
          <w:lang w:val="en-GB"/>
        </w:rPr>
        <w:t xml:space="preserve"> and </w:t>
      </w:r>
      <w:r w:rsidR="00FE43C4">
        <w:rPr>
          <w:lang w:val="en-GB"/>
        </w:rPr>
        <w:t xml:space="preserve">more data could be collected on this outcome. </w:t>
      </w:r>
      <w:r w:rsidR="005D29B7">
        <w:rPr>
          <w:lang w:val="en-GB"/>
        </w:rPr>
        <w:t xml:space="preserve">In the current </w:t>
      </w:r>
      <w:r w:rsidR="00AC05B9">
        <w:rPr>
          <w:lang w:val="en-GB"/>
        </w:rPr>
        <w:t xml:space="preserve">appraisal, the company used </w:t>
      </w:r>
      <w:r w:rsidR="005D29B7">
        <w:rPr>
          <w:lang w:val="en-GB"/>
        </w:rPr>
        <w:t>updated</w:t>
      </w:r>
      <w:r w:rsidR="00AC05B9">
        <w:rPr>
          <w:lang w:val="en-GB"/>
        </w:rPr>
        <w:t xml:space="preserve"> discontinuation data from the post-amendment group </w:t>
      </w:r>
      <w:r w:rsidR="005D29B7">
        <w:rPr>
          <w:lang w:val="en-GB"/>
        </w:rPr>
        <w:t>as requested</w:t>
      </w:r>
      <w:r w:rsidR="00B5088F">
        <w:rPr>
          <w:lang w:val="en-GB"/>
        </w:rPr>
        <w:t xml:space="preserve">. It </w:t>
      </w:r>
      <w:r w:rsidR="00AC05B9">
        <w:rPr>
          <w:lang w:val="en-GB"/>
        </w:rPr>
        <w:t xml:space="preserve">calculated a </w:t>
      </w:r>
      <w:r w:rsidR="005D29B7">
        <w:rPr>
          <w:lang w:val="en-GB"/>
        </w:rPr>
        <w:t>hazard ratio</w:t>
      </w:r>
      <w:r w:rsidR="00AC05B9">
        <w:rPr>
          <w:lang w:val="en-GB"/>
        </w:rPr>
        <w:t xml:space="preserve"> to apply to the progression</w:t>
      </w:r>
      <w:r w:rsidR="00307C3E">
        <w:rPr>
          <w:lang w:val="en-GB"/>
        </w:rPr>
        <w:t>-</w:t>
      </w:r>
      <w:r w:rsidR="00AC05B9">
        <w:rPr>
          <w:lang w:val="en-GB"/>
        </w:rPr>
        <w:t>free survival curve</w:t>
      </w:r>
      <w:r w:rsidR="00307C3E">
        <w:rPr>
          <w:lang w:val="en-GB"/>
        </w:rPr>
        <w:t xml:space="preserve"> for abemaciclib </w:t>
      </w:r>
      <w:r w:rsidR="00B5088F">
        <w:rPr>
          <w:lang w:val="en-GB"/>
        </w:rPr>
        <w:t xml:space="preserve">plus </w:t>
      </w:r>
      <w:r w:rsidR="00307C3E">
        <w:rPr>
          <w:lang w:val="en-GB"/>
        </w:rPr>
        <w:t>fulvestrant</w:t>
      </w:r>
      <w:r w:rsidR="008F3290">
        <w:rPr>
          <w:lang w:val="en-GB"/>
        </w:rPr>
        <w:t>. The progression-free survival curve</w:t>
      </w:r>
      <w:r w:rsidR="00BE053E">
        <w:rPr>
          <w:lang w:val="en-GB"/>
        </w:rPr>
        <w:t xml:space="preserve"> was</w:t>
      </w:r>
      <w:r w:rsidR="00AC05B9">
        <w:rPr>
          <w:lang w:val="en-GB"/>
        </w:rPr>
        <w:t xml:space="preserve"> generated by the </w:t>
      </w:r>
      <w:r w:rsidR="00711702">
        <w:rPr>
          <w:lang w:val="en-GB"/>
        </w:rPr>
        <w:t xml:space="preserve">fractional polynomial </w:t>
      </w:r>
      <w:r w:rsidR="00307C3E">
        <w:rPr>
          <w:lang w:val="en-GB"/>
        </w:rPr>
        <w:t xml:space="preserve">network meta-analysis </w:t>
      </w:r>
      <w:r w:rsidR="005D29B7">
        <w:rPr>
          <w:lang w:val="en-GB"/>
        </w:rPr>
        <w:t>for use</w:t>
      </w:r>
      <w:r w:rsidR="00AC05B9">
        <w:rPr>
          <w:lang w:val="en-GB"/>
        </w:rPr>
        <w:t xml:space="preserve"> in the model</w:t>
      </w:r>
      <w:r w:rsidR="00BE053E">
        <w:rPr>
          <w:lang w:val="en-GB"/>
        </w:rPr>
        <w:t xml:space="preserve"> (see section</w:t>
      </w:r>
      <w:r w:rsidR="00FD2E80">
        <w:rPr>
          <w:lang w:val="en-GB"/>
        </w:rPr>
        <w:t> </w:t>
      </w:r>
      <w:r w:rsidR="00BE053E">
        <w:rPr>
          <w:lang w:val="en-GB"/>
        </w:rPr>
        <w:t>3.6)</w:t>
      </w:r>
      <w:r w:rsidR="00AC05B9">
        <w:rPr>
          <w:lang w:val="en-GB"/>
        </w:rPr>
        <w:t xml:space="preserve">. The </w:t>
      </w:r>
      <w:r w:rsidR="005D29B7">
        <w:rPr>
          <w:lang w:val="en-GB"/>
        </w:rPr>
        <w:t>hazard ratio</w:t>
      </w:r>
      <w:r w:rsidR="00AC05B9">
        <w:rPr>
          <w:lang w:val="en-GB"/>
        </w:rPr>
        <w:t xml:space="preserve"> was calculated using the discontinuation data from the post-amendment group and the progr</w:t>
      </w:r>
      <w:r w:rsidR="005056F8">
        <w:rPr>
          <w:lang w:val="en-GB"/>
        </w:rPr>
        <w:t>ession</w:t>
      </w:r>
      <w:r w:rsidR="007422C5">
        <w:rPr>
          <w:lang w:val="en-GB"/>
        </w:rPr>
        <w:t>-</w:t>
      </w:r>
      <w:r w:rsidR="005056F8">
        <w:rPr>
          <w:lang w:val="en-GB"/>
        </w:rPr>
        <w:t xml:space="preserve">free survival data from </w:t>
      </w:r>
      <w:r w:rsidR="00307C3E">
        <w:rPr>
          <w:lang w:val="en-GB"/>
        </w:rPr>
        <w:t>the full trial population</w:t>
      </w:r>
      <w:r w:rsidR="00903DA9">
        <w:rPr>
          <w:lang w:val="en-GB"/>
        </w:rPr>
        <w:t xml:space="preserve">. </w:t>
      </w:r>
      <w:r w:rsidR="00AC05B9">
        <w:rPr>
          <w:lang w:val="en-GB"/>
        </w:rPr>
        <w:t xml:space="preserve">The ERG </w:t>
      </w:r>
      <w:r w:rsidR="00711702">
        <w:rPr>
          <w:lang w:val="en-GB"/>
        </w:rPr>
        <w:t xml:space="preserve">was </w:t>
      </w:r>
      <w:r w:rsidR="00AC05B9">
        <w:rPr>
          <w:lang w:val="en-GB"/>
        </w:rPr>
        <w:t xml:space="preserve">concerned that </w:t>
      </w:r>
      <w:r w:rsidR="005056F8">
        <w:rPr>
          <w:lang w:val="en-GB"/>
        </w:rPr>
        <w:t>the inconsistency in data sources could</w:t>
      </w:r>
      <w:r w:rsidR="00AC05B9">
        <w:rPr>
          <w:lang w:val="en-GB"/>
        </w:rPr>
        <w:t xml:space="preserve"> overestimat</w:t>
      </w:r>
      <w:r w:rsidR="00223543">
        <w:rPr>
          <w:lang w:val="en-GB"/>
        </w:rPr>
        <w:t>e</w:t>
      </w:r>
      <w:r w:rsidR="00AC05B9">
        <w:rPr>
          <w:lang w:val="en-GB"/>
        </w:rPr>
        <w:t xml:space="preserve"> </w:t>
      </w:r>
      <w:r w:rsidR="005056F8">
        <w:rPr>
          <w:lang w:val="en-GB"/>
        </w:rPr>
        <w:t>the hazard ratio</w:t>
      </w:r>
      <w:r w:rsidR="00223543">
        <w:rPr>
          <w:lang w:val="en-GB"/>
        </w:rPr>
        <w:t>. This was because it</w:t>
      </w:r>
      <w:r w:rsidR="000C53E6">
        <w:rPr>
          <w:lang w:val="en-GB"/>
        </w:rPr>
        <w:t xml:space="preserve"> considered</w:t>
      </w:r>
      <w:r w:rsidR="00AC05B9">
        <w:rPr>
          <w:lang w:val="en-GB"/>
        </w:rPr>
        <w:t xml:space="preserve"> </w:t>
      </w:r>
      <w:r w:rsidR="000C53E6">
        <w:rPr>
          <w:lang w:val="en-GB"/>
        </w:rPr>
        <w:t xml:space="preserve">that </w:t>
      </w:r>
      <w:r w:rsidR="00AC05B9">
        <w:rPr>
          <w:lang w:val="en-GB"/>
        </w:rPr>
        <w:t>progression</w:t>
      </w:r>
      <w:r w:rsidR="00711702">
        <w:rPr>
          <w:lang w:val="en-GB"/>
        </w:rPr>
        <w:t>-</w:t>
      </w:r>
      <w:r w:rsidR="00AC05B9">
        <w:rPr>
          <w:lang w:val="en-GB"/>
        </w:rPr>
        <w:t xml:space="preserve">free survival was </w:t>
      </w:r>
      <w:r w:rsidR="005E2BF4">
        <w:rPr>
          <w:lang w:val="en-GB"/>
        </w:rPr>
        <w:t xml:space="preserve">shorter </w:t>
      </w:r>
      <w:r w:rsidR="00AC05B9">
        <w:rPr>
          <w:lang w:val="en-GB"/>
        </w:rPr>
        <w:t>in the post-amendment group</w:t>
      </w:r>
      <w:r w:rsidR="004C4918">
        <w:rPr>
          <w:lang w:val="en-GB"/>
        </w:rPr>
        <w:t>. Also</w:t>
      </w:r>
      <w:r w:rsidR="00AC05B9">
        <w:rPr>
          <w:lang w:val="en-GB"/>
        </w:rPr>
        <w:t xml:space="preserve">, the </w:t>
      </w:r>
      <w:r w:rsidR="00B20938">
        <w:rPr>
          <w:lang w:val="en-GB"/>
        </w:rPr>
        <w:t xml:space="preserve">curves for the time to </w:t>
      </w:r>
      <w:r w:rsidR="00E43FB4">
        <w:rPr>
          <w:lang w:val="en-GB"/>
        </w:rPr>
        <w:t xml:space="preserve">treatment </w:t>
      </w:r>
      <w:r w:rsidR="00B20938">
        <w:rPr>
          <w:lang w:val="en-GB"/>
        </w:rPr>
        <w:t xml:space="preserve">discontinuation </w:t>
      </w:r>
      <w:r w:rsidR="00A632E9">
        <w:rPr>
          <w:lang w:val="en-GB"/>
        </w:rPr>
        <w:t xml:space="preserve">in the post-amendment group </w:t>
      </w:r>
      <w:r w:rsidR="00B20938">
        <w:rPr>
          <w:lang w:val="en-GB"/>
        </w:rPr>
        <w:t>and progression</w:t>
      </w:r>
      <w:r w:rsidR="007422C5">
        <w:rPr>
          <w:lang w:val="en-GB"/>
        </w:rPr>
        <w:t>-</w:t>
      </w:r>
      <w:r w:rsidR="00B20938">
        <w:rPr>
          <w:lang w:val="en-GB"/>
        </w:rPr>
        <w:t xml:space="preserve">free survival </w:t>
      </w:r>
      <w:r w:rsidR="00A632E9">
        <w:rPr>
          <w:lang w:val="en-GB"/>
        </w:rPr>
        <w:t xml:space="preserve">in the full trial population </w:t>
      </w:r>
      <w:r w:rsidR="00B20938">
        <w:rPr>
          <w:lang w:val="en-GB"/>
        </w:rPr>
        <w:t xml:space="preserve">were close together. </w:t>
      </w:r>
      <w:r w:rsidR="008F6610">
        <w:rPr>
          <w:lang w:val="en-GB"/>
        </w:rPr>
        <w:t>At technical engagement</w:t>
      </w:r>
      <w:r w:rsidR="000E259A">
        <w:rPr>
          <w:lang w:val="en-GB"/>
        </w:rPr>
        <w:t>,</w:t>
      </w:r>
      <w:r w:rsidR="008F6610">
        <w:rPr>
          <w:lang w:val="en-GB"/>
        </w:rPr>
        <w:t xml:space="preserve"> t</w:t>
      </w:r>
      <w:r w:rsidR="00C831ED">
        <w:rPr>
          <w:lang w:val="en-GB"/>
        </w:rPr>
        <w:t>he company</w:t>
      </w:r>
      <w:r w:rsidR="005D29B7">
        <w:rPr>
          <w:lang w:val="en-GB"/>
        </w:rPr>
        <w:t xml:space="preserve"> calculated </w:t>
      </w:r>
      <w:r w:rsidR="00223543">
        <w:rPr>
          <w:lang w:val="en-GB"/>
        </w:rPr>
        <w:t>6</w:t>
      </w:r>
      <w:r w:rsidR="00866483">
        <w:rPr>
          <w:lang w:val="en-GB"/>
        </w:rPr>
        <w:t> </w:t>
      </w:r>
      <w:r w:rsidR="00C831ED">
        <w:rPr>
          <w:lang w:val="en-GB"/>
        </w:rPr>
        <w:t xml:space="preserve">potentially useful </w:t>
      </w:r>
      <w:r w:rsidR="005D29B7">
        <w:rPr>
          <w:lang w:val="en-GB"/>
        </w:rPr>
        <w:t xml:space="preserve">hazard ratios using </w:t>
      </w:r>
      <w:r w:rsidR="00C831ED">
        <w:rPr>
          <w:lang w:val="en-GB"/>
        </w:rPr>
        <w:t>a lifetime survival model or a restricted means methodology</w:t>
      </w:r>
      <w:r w:rsidR="004C4918">
        <w:rPr>
          <w:lang w:val="en-GB"/>
        </w:rPr>
        <w:t>. These hazard ratios were based on:</w:t>
      </w:r>
    </w:p>
    <w:p w14:paraId="091998C8" w14:textId="665517D5" w:rsidR="004C4918" w:rsidRDefault="00C831ED" w:rsidP="00DE68CD">
      <w:pPr>
        <w:pStyle w:val="Bulletindent1"/>
      </w:pPr>
      <w:r>
        <w:t>progression</w:t>
      </w:r>
      <w:r w:rsidR="00652A33">
        <w:t>-</w:t>
      </w:r>
      <w:r>
        <w:t xml:space="preserve">free survival data and time to </w:t>
      </w:r>
      <w:r w:rsidR="00E43FB4">
        <w:t xml:space="preserve">treatment </w:t>
      </w:r>
      <w:r>
        <w:t xml:space="preserve">discontinuation data from the </w:t>
      </w:r>
      <w:r w:rsidR="00652A33">
        <w:t xml:space="preserve">full </w:t>
      </w:r>
      <w:r>
        <w:t>tri</w:t>
      </w:r>
      <w:r w:rsidR="00655422">
        <w:t>a</w:t>
      </w:r>
      <w:r>
        <w:t>l population</w:t>
      </w:r>
      <w:r w:rsidR="00DE68CD">
        <w:t>, and separately</w:t>
      </w:r>
      <w:r>
        <w:t xml:space="preserve"> from the post-amendment group or</w:t>
      </w:r>
    </w:p>
    <w:p w14:paraId="76538DBF" w14:textId="6980314D" w:rsidR="004C4918" w:rsidRDefault="00C831ED" w:rsidP="006F4AB2">
      <w:pPr>
        <w:pStyle w:val="Bulletindent1last"/>
      </w:pPr>
      <w:r>
        <w:t xml:space="preserve">using </w:t>
      </w:r>
      <w:r w:rsidR="00652A33">
        <w:t xml:space="preserve">full </w:t>
      </w:r>
      <w:r>
        <w:t>trial progression</w:t>
      </w:r>
      <w:r w:rsidR="00652A33">
        <w:t>-</w:t>
      </w:r>
      <w:r>
        <w:t>free survival data and post-amendment time to</w:t>
      </w:r>
      <w:r w:rsidR="00E43FB4">
        <w:t xml:space="preserve"> treatment</w:t>
      </w:r>
      <w:r>
        <w:t xml:space="preserve"> discontinuation data</w:t>
      </w:r>
      <w:r w:rsidR="00A8148D">
        <w:t>.</w:t>
      </w:r>
    </w:p>
    <w:p w14:paraId="09C8E1CB" w14:textId="644C809B" w:rsidR="00FE43C4" w:rsidRPr="00C716EE" w:rsidRDefault="00C831ED" w:rsidP="00C03630">
      <w:pPr>
        <w:pStyle w:val="NICEnormalindented"/>
      </w:pPr>
      <w:r>
        <w:t xml:space="preserve">The company continued to prefer </w:t>
      </w:r>
      <w:r w:rsidR="00866483">
        <w:t xml:space="preserve">using </w:t>
      </w:r>
      <w:r>
        <w:t>the hazard ratio generated by the lifetime survival model</w:t>
      </w:r>
      <w:r w:rsidR="00866483">
        <w:t>. It also</w:t>
      </w:r>
      <w:r>
        <w:t xml:space="preserve"> </w:t>
      </w:r>
      <w:r w:rsidR="00866483">
        <w:t xml:space="preserve">continued to </w:t>
      </w:r>
      <w:r>
        <w:t>us</w:t>
      </w:r>
      <w:r w:rsidR="00866483">
        <w:t>e</w:t>
      </w:r>
      <w:r>
        <w:t xml:space="preserve"> the </w:t>
      </w:r>
      <w:r w:rsidR="00652A33">
        <w:t xml:space="preserve">full </w:t>
      </w:r>
      <w:r>
        <w:t>trial progression</w:t>
      </w:r>
      <w:r w:rsidR="00652A33">
        <w:t>-</w:t>
      </w:r>
      <w:r>
        <w:t>free survival data and post-amendment time to</w:t>
      </w:r>
      <w:r w:rsidR="00E43FB4">
        <w:t xml:space="preserve"> treatment</w:t>
      </w:r>
      <w:r>
        <w:t xml:space="preserve"> discontinuation </w:t>
      </w:r>
      <w:r>
        <w:lastRenderedPageBreak/>
        <w:t xml:space="preserve">data, as it had used in its base case. The ERG preferred the restricted means analysis using the post-amendment data, because </w:t>
      </w:r>
      <w:r w:rsidR="00866483">
        <w:t>it had</w:t>
      </w:r>
      <w:r>
        <w:t xml:space="preserve"> a better visual fit </w:t>
      </w:r>
      <w:r w:rsidR="00A8148D">
        <w:t>with</w:t>
      </w:r>
      <w:r>
        <w:t xml:space="preserve"> the Kaplan</w:t>
      </w:r>
      <w:r w:rsidR="006E3215">
        <w:t>–</w:t>
      </w:r>
      <w:r>
        <w:t>Meier curves from MONARCH</w:t>
      </w:r>
      <w:r w:rsidR="006E3215">
        <w:t> </w:t>
      </w:r>
      <w:r>
        <w:t xml:space="preserve">2. </w:t>
      </w:r>
      <w:r w:rsidR="00B75B6A">
        <w:t xml:space="preserve">The </w:t>
      </w:r>
      <w:r w:rsidR="006E3215">
        <w:t>company explained that</w:t>
      </w:r>
      <w:r w:rsidR="00841627">
        <w:t xml:space="preserve"> the trial data could not be used directly in the model </w:t>
      </w:r>
      <w:r w:rsidR="00234F84">
        <w:t xml:space="preserve">because </w:t>
      </w:r>
      <w:r w:rsidR="006338C2">
        <w:t>data w</w:t>
      </w:r>
      <w:r w:rsidR="006E3215">
        <w:t>ere</w:t>
      </w:r>
      <w:r w:rsidR="006338C2">
        <w:t xml:space="preserve"> </w:t>
      </w:r>
      <w:r w:rsidR="00234F84">
        <w:t xml:space="preserve">not </w:t>
      </w:r>
      <w:r w:rsidR="006338C2">
        <w:t xml:space="preserve">available for </w:t>
      </w:r>
      <w:r w:rsidR="00234F84">
        <w:t>all the comparator</w:t>
      </w:r>
      <w:r w:rsidR="006338C2">
        <w:t>s. The committee</w:t>
      </w:r>
      <w:r w:rsidR="00234F84">
        <w:t xml:space="preserve"> </w:t>
      </w:r>
      <w:r w:rsidR="00B75B6A">
        <w:t xml:space="preserve">concluded that </w:t>
      </w:r>
      <w:r w:rsidR="006338C2">
        <w:t xml:space="preserve">the </w:t>
      </w:r>
      <w:r w:rsidR="00655422">
        <w:t>most appropriate modelling approach</w:t>
      </w:r>
      <w:r w:rsidR="006338C2">
        <w:t xml:space="preserve"> to estimate time to </w:t>
      </w:r>
      <w:r w:rsidR="00E43FB4">
        <w:t xml:space="preserve">treatment </w:t>
      </w:r>
      <w:r w:rsidR="006338C2">
        <w:t xml:space="preserve">discontinuation for abemaciclib </w:t>
      </w:r>
      <w:r w:rsidR="006E3215">
        <w:t xml:space="preserve">plus </w:t>
      </w:r>
      <w:r w:rsidR="006338C2">
        <w:t>fulvestrant</w:t>
      </w:r>
      <w:r w:rsidR="006E3215">
        <w:t xml:space="preserve"> was uncertain</w:t>
      </w:r>
      <w:r w:rsidR="00C716EE">
        <w:t>.</w:t>
      </w:r>
    </w:p>
    <w:p w14:paraId="7C24F8AD" w14:textId="1478E388" w:rsidR="00C716EE" w:rsidRPr="00701B67" w:rsidRDefault="00711702" w:rsidP="002D0F7C">
      <w:pPr>
        <w:pStyle w:val="Heading3"/>
      </w:pPr>
      <w:r>
        <w:t xml:space="preserve">The appropriate modelling approach for </w:t>
      </w:r>
      <w:r w:rsidR="00B75B6A">
        <w:t>time</w:t>
      </w:r>
      <w:r w:rsidR="00C716EE">
        <w:t xml:space="preserve"> to treatment discontinuation for exemestane </w:t>
      </w:r>
      <w:r w:rsidR="00095414">
        <w:t xml:space="preserve">plus </w:t>
      </w:r>
      <w:r w:rsidR="00C716EE">
        <w:t xml:space="preserve">everolimus </w:t>
      </w:r>
      <w:r>
        <w:t>is uncertain</w:t>
      </w:r>
    </w:p>
    <w:p w14:paraId="050ACD58" w14:textId="02073F55" w:rsidR="00FE43C4" w:rsidRPr="0015007A" w:rsidRDefault="00B54F03" w:rsidP="003E6892">
      <w:pPr>
        <w:pStyle w:val="Numberedlevel2text"/>
      </w:pPr>
      <w:r>
        <w:rPr>
          <w:lang w:val="en-GB"/>
        </w:rPr>
        <w:t xml:space="preserve">In the </w:t>
      </w:r>
      <w:hyperlink r:id="rId17" w:history="1">
        <w:r w:rsidR="00B34D39">
          <w:rPr>
            <w:rStyle w:val="Hyperlink"/>
            <w:lang w:val="en-GB"/>
          </w:rPr>
          <w:t>original NICE technology appraisal guidance for abemaciclib with fulvestrant</w:t>
        </w:r>
      </w:hyperlink>
      <w:r>
        <w:rPr>
          <w:lang w:val="en-GB"/>
        </w:rPr>
        <w:t xml:space="preserve">, the company </w:t>
      </w:r>
      <w:r w:rsidR="000276D5">
        <w:rPr>
          <w:lang w:val="en-GB"/>
        </w:rPr>
        <w:t>estimated a hazard ratio for the time to treatment discontinuation for exemestane plus everolimus compared with progression-free survival. To do this</w:t>
      </w:r>
      <w:r w:rsidR="00FE6DA2">
        <w:rPr>
          <w:lang w:val="en-GB"/>
        </w:rPr>
        <w:t>,</w:t>
      </w:r>
      <w:r w:rsidR="000276D5">
        <w:rPr>
          <w:lang w:val="en-GB"/>
        </w:rPr>
        <w:t xml:space="preserve"> it </w:t>
      </w:r>
      <w:r>
        <w:rPr>
          <w:lang w:val="en-GB"/>
        </w:rPr>
        <w:t>used the median progression</w:t>
      </w:r>
      <w:r w:rsidR="007C151D">
        <w:rPr>
          <w:lang w:val="en-GB"/>
        </w:rPr>
        <w:t>-</w:t>
      </w:r>
      <w:r>
        <w:rPr>
          <w:lang w:val="en-GB"/>
        </w:rPr>
        <w:t>free survival and median time to</w:t>
      </w:r>
      <w:r w:rsidR="00E43FB4">
        <w:rPr>
          <w:lang w:val="en-GB"/>
        </w:rPr>
        <w:t xml:space="preserve"> treatment</w:t>
      </w:r>
      <w:r>
        <w:rPr>
          <w:lang w:val="en-GB"/>
        </w:rPr>
        <w:t xml:space="preserve"> discontinuation </w:t>
      </w:r>
      <w:r w:rsidR="00FE6DA2">
        <w:rPr>
          <w:lang w:val="en-GB"/>
        </w:rPr>
        <w:t>from</w:t>
      </w:r>
      <w:r>
        <w:rPr>
          <w:lang w:val="en-GB"/>
        </w:rPr>
        <w:t xml:space="preserve"> BOLERO</w:t>
      </w:r>
      <w:r w:rsidR="00B34D39">
        <w:rPr>
          <w:lang w:val="en-GB"/>
        </w:rPr>
        <w:t> </w:t>
      </w:r>
      <w:r>
        <w:rPr>
          <w:lang w:val="en-GB"/>
        </w:rPr>
        <w:t>2</w:t>
      </w:r>
      <w:r w:rsidR="00FE6DA2">
        <w:rPr>
          <w:lang w:val="en-GB"/>
        </w:rPr>
        <w:t>,</w:t>
      </w:r>
      <w:r w:rsidR="00A03C35">
        <w:rPr>
          <w:lang w:val="en-GB"/>
        </w:rPr>
        <w:t xml:space="preserve"> </w:t>
      </w:r>
      <w:r w:rsidR="00D11DE9">
        <w:rPr>
          <w:lang w:val="en-GB"/>
        </w:rPr>
        <w:t>a phase</w:t>
      </w:r>
      <w:r w:rsidR="00B34D39">
        <w:rPr>
          <w:lang w:val="en-GB"/>
        </w:rPr>
        <w:t> 3</w:t>
      </w:r>
      <w:r w:rsidR="00D11DE9">
        <w:rPr>
          <w:lang w:val="en-GB"/>
        </w:rPr>
        <w:t xml:space="preserve"> randomised controlled trial comparing exemestane </w:t>
      </w:r>
      <w:r w:rsidR="00B34D39">
        <w:rPr>
          <w:lang w:val="en-GB"/>
        </w:rPr>
        <w:t xml:space="preserve">plus </w:t>
      </w:r>
      <w:r w:rsidR="00D11DE9">
        <w:rPr>
          <w:lang w:val="en-GB"/>
        </w:rPr>
        <w:t>everolimus with exemestane alone.</w:t>
      </w:r>
      <w:r>
        <w:rPr>
          <w:lang w:val="en-GB"/>
        </w:rPr>
        <w:t xml:space="preserve"> The hazard ratio was applied to the </w:t>
      </w:r>
      <w:r w:rsidR="00B75B6A">
        <w:rPr>
          <w:lang w:val="en-GB"/>
        </w:rPr>
        <w:t>progression</w:t>
      </w:r>
      <w:r w:rsidR="00A22DDF">
        <w:rPr>
          <w:lang w:val="en-GB"/>
        </w:rPr>
        <w:t>-</w:t>
      </w:r>
      <w:r w:rsidR="00B75B6A">
        <w:rPr>
          <w:lang w:val="en-GB"/>
        </w:rPr>
        <w:t>free survival curve</w:t>
      </w:r>
      <w:r w:rsidR="00A22DDF">
        <w:rPr>
          <w:lang w:val="en-GB"/>
        </w:rPr>
        <w:t xml:space="preserve"> for exemestane </w:t>
      </w:r>
      <w:r w:rsidR="00B34D39">
        <w:rPr>
          <w:lang w:val="en-GB"/>
        </w:rPr>
        <w:t xml:space="preserve">plus </w:t>
      </w:r>
      <w:r w:rsidR="00A22DDF">
        <w:rPr>
          <w:lang w:val="en-GB"/>
        </w:rPr>
        <w:t>everolimus</w:t>
      </w:r>
      <w:r>
        <w:rPr>
          <w:lang w:val="en-GB"/>
        </w:rPr>
        <w:t xml:space="preserve"> generated by the </w:t>
      </w:r>
      <w:r w:rsidR="007672E0">
        <w:rPr>
          <w:lang w:val="en-GB"/>
        </w:rPr>
        <w:t xml:space="preserve">fractional polynomial </w:t>
      </w:r>
      <w:r>
        <w:rPr>
          <w:lang w:val="en-GB"/>
        </w:rPr>
        <w:t xml:space="preserve">network meta-analysis, </w:t>
      </w:r>
      <w:r w:rsidR="00B75B6A">
        <w:rPr>
          <w:lang w:val="en-GB"/>
        </w:rPr>
        <w:t xml:space="preserve">which was </w:t>
      </w:r>
      <w:r w:rsidR="004B53DA">
        <w:rPr>
          <w:lang w:val="en-GB"/>
        </w:rPr>
        <w:t>used i</w:t>
      </w:r>
      <w:r w:rsidR="006338C2">
        <w:rPr>
          <w:lang w:val="en-GB"/>
        </w:rPr>
        <w:t>n the model.</w:t>
      </w:r>
      <w:r w:rsidR="00A22DDF">
        <w:rPr>
          <w:lang w:val="en-GB"/>
        </w:rPr>
        <w:t xml:space="preserve"> The </w:t>
      </w:r>
      <w:r w:rsidR="00F555EF">
        <w:rPr>
          <w:lang w:val="en-GB"/>
        </w:rPr>
        <w:t xml:space="preserve">company’s original </w:t>
      </w:r>
      <w:r w:rsidR="00A22DDF">
        <w:rPr>
          <w:lang w:val="en-GB"/>
        </w:rPr>
        <w:t>model was not set up to model time to treatment discontinuation for exemestane and everolimus separate</w:t>
      </w:r>
      <w:r w:rsidR="00B85C04">
        <w:rPr>
          <w:lang w:val="en-GB"/>
        </w:rPr>
        <w:t>ly</w:t>
      </w:r>
      <w:r w:rsidR="00B34D39">
        <w:rPr>
          <w:lang w:val="en-GB"/>
        </w:rPr>
        <w:t>. This</w:t>
      </w:r>
      <w:r w:rsidR="00A22DDF">
        <w:rPr>
          <w:lang w:val="en-GB"/>
        </w:rPr>
        <w:t xml:space="preserve"> was a limitation because people tend</w:t>
      </w:r>
      <w:r w:rsidR="00B34D39">
        <w:rPr>
          <w:lang w:val="en-GB"/>
        </w:rPr>
        <w:t>ed</w:t>
      </w:r>
      <w:r w:rsidR="00A22DDF">
        <w:rPr>
          <w:lang w:val="en-GB"/>
        </w:rPr>
        <w:t xml:space="preserve"> to stop treatment with everolimus because of adverse events but continue</w:t>
      </w:r>
      <w:r w:rsidR="00B34D39">
        <w:rPr>
          <w:lang w:val="en-GB"/>
        </w:rPr>
        <w:t>d</w:t>
      </w:r>
      <w:r w:rsidR="00A22DDF">
        <w:rPr>
          <w:lang w:val="en-GB"/>
        </w:rPr>
        <w:t xml:space="preserve"> to have exemestane. This </w:t>
      </w:r>
      <w:r w:rsidR="00B34D39">
        <w:rPr>
          <w:lang w:val="en-GB"/>
        </w:rPr>
        <w:t>affected</w:t>
      </w:r>
      <w:r w:rsidR="00A22DDF">
        <w:rPr>
          <w:lang w:val="en-GB"/>
        </w:rPr>
        <w:t xml:space="preserve"> cost</w:t>
      </w:r>
      <w:r w:rsidR="00B34D39">
        <w:rPr>
          <w:lang w:val="en-GB"/>
        </w:rPr>
        <w:t xml:space="preserve"> </w:t>
      </w:r>
      <w:r w:rsidR="00A22DDF">
        <w:rPr>
          <w:lang w:val="en-GB"/>
        </w:rPr>
        <w:t>effectiv</w:t>
      </w:r>
      <w:r w:rsidR="00F376B1">
        <w:rPr>
          <w:lang w:val="en-GB"/>
        </w:rPr>
        <w:t>e</w:t>
      </w:r>
      <w:r w:rsidR="00A22DDF">
        <w:rPr>
          <w:lang w:val="en-GB"/>
        </w:rPr>
        <w:t xml:space="preserve">ness because </w:t>
      </w:r>
      <w:r w:rsidR="00F376B1">
        <w:rPr>
          <w:lang w:val="en-GB"/>
        </w:rPr>
        <w:t xml:space="preserve">everolimus </w:t>
      </w:r>
      <w:r w:rsidR="00A22DDF">
        <w:rPr>
          <w:lang w:val="en-GB"/>
        </w:rPr>
        <w:t xml:space="preserve">is </w:t>
      </w:r>
      <w:r w:rsidR="00F376B1">
        <w:rPr>
          <w:lang w:val="en-GB"/>
        </w:rPr>
        <w:t xml:space="preserve">considerably </w:t>
      </w:r>
      <w:r w:rsidR="00A22DDF">
        <w:rPr>
          <w:lang w:val="en-GB"/>
        </w:rPr>
        <w:t>more expensive than</w:t>
      </w:r>
      <w:r w:rsidR="00F376B1">
        <w:rPr>
          <w:lang w:val="en-GB"/>
        </w:rPr>
        <w:t xml:space="preserve"> exemestane</w:t>
      </w:r>
      <w:r w:rsidR="00A22DDF">
        <w:rPr>
          <w:lang w:val="en-GB"/>
        </w:rPr>
        <w:t>.</w:t>
      </w:r>
      <w:r w:rsidR="006338C2">
        <w:rPr>
          <w:lang w:val="en-GB"/>
        </w:rPr>
        <w:t xml:space="preserve"> In this appraisal,</w:t>
      </w:r>
      <w:r w:rsidR="00841627">
        <w:rPr>
          <w:lang w:val="en-GB"/>
        </w:rPr>
        <w:t xml:space="preserve"> </w:t>
      </w:r>
      <w:r w:rsidR="004B53DA">
        <w:rPr>
          <w:lang w:val="en-GB"/>
        </w:rPr>
        <w:t>the ERG preferred</w:t>
      </w:r>
      <w:r w:rsidR="00CB0AD6">
        <w:rPr>
          <w:lang w:val="en-GB"/>
        </w:rPr>
        <w:t xml:space="preserve"> to use a</w:t>
      </w:r>
      <w:r w:rsidR="00C260C2">
        <w:rPr>
          <w:lang w:val="en-GB"/>
        </w:rPr>
        <w:t xml:space="preserve"> different approach</w:t>
      </w:r>
      <w:r w:rsidR="00A73812">
        <w:rPr>
          <w:lang w:val="en-GB"/>
        </w:rPr>
        <w:t>. It</w:t>
      </w:r>
      <w:r w:rsidR="00C260C2">
        <w:rPr>
          <w:lang w:val="en-GB"/>
        </w:rPr>
        <w:t xml:space="preserve"> calculate</w:t>
      </w:r>
      <w:r w:rsidR="00A73812">
        <w:rPr>
          <w:lang w:val="en-GB"/>
        </w:rPr>
        <w:t>d</w:t>
      </w:r>
      <w:r w:rsidR="00C260C2">
        <w:rPr>
          <w:lang w:val="en-GB"/>
        </w:rPr>
        <w:t xml:space="preserve"> a</w:t>
      </w:r>
      <w:r w:rsidR="00CB0AD6">
        <w:rPr>
          <w:lang w:val="en-GB"/>
        </w:rPr>
        <w:t xml:space="preserve"> hazard ratio</w:t>
      </w:r>
      <w:r w:rsidR="00C260C2">
        <w:rPr>
          <w:lang w:val="en-GB"/>
        </w:rPr>
        <w:t xml:space="preserve"> </w:t>
      </w:r>
      <w:r w:rsidR="00A73812">
        <w:rPr>
          <w:lang w:val="en-GB"/>
        </w:rPr>
        <w:t>and</w:t>
      </w:r>
      <w:r w:rsidR="00CB0AD6">
        <w:rPr>
          <w:lang w:val="en-GB"/>
        </w:rPr>
        <w:t xml:space="preserve"> applied </w:t>
      </w:r>
      <w:r w:rsidR="00A73812">
        <w:rPr>
          <w:lang w:val="en-GB"/>
        </w:rPr>
        <w:t xml:space="preserve">it </w:t>
      </w:r>
      <w:r w:rsidR="00CB0AD6">
        <w:rPr>
          <w:lang w:val="en-GB"/>
        </w:rPr>
        <w:t xml:space="preserve">to the fractional polynomial network meta-analysis progression-free survival curve to estimate the exemestane </w:t>
      </w:r>
      <w:r w:rsidR="00B34D39">
        <w:rPr>
          <w:lang w:val="en-GB"/>
        </w:rPr>
        <w:t xml:space="preserve">plus </w:t>
      </w:r>
      <w:r w:rsidR="00CB0AD6">
        <w:rPr>
          <w:lang w:val="en-GB"/>
        </w:rPr>
        <w:t>everolimus time to treatment discontinuation curve in the model. The ERG and the company agreed on the method used to derive the hazard ratio of 1.58</w:t>
      </w:r>
      <w:r w:rsidR="0056714D">
        <w:rPr>
          <w:lang w:val="en-GB"/>
        </w:rPr>
        <w:t xml:space="preserve"> from </w:t>
      </w:r>
      <w:r w:rsidR="000F6B67">
        <w:rPr>
          <w:lang w:val="en-GB"/>
        </w:rPr>
        <w:t xml:space="preserve">the </w:t>
      </w:r>
      <w:r w:rsidR="0056714D">
        <w:rPr>
          <w:lang w:val="en-GB"/>
        </w:rPr>
        <w:t>BOLERO</w:t>
      </w:r>
      <w:r w:rsidR="00B34D39">
        <w:rPr>
          <w:lang w:val="en-GB"/>
        </w:rPr>
        <w:t> </w:t>
      </w:r>
      <w:r w:rsidR="0056714D">
        <w:rPr>
          <w:lang w:val="en-GB"/>
        </w:rPr>
        <w:t>2 data</w:t>
      </w:r>
      <w:r w:rsidR="003A0074">
        <w:rPr>
          <w:lang w:val="en-GB"/>
        </w:rPr>
        <w:t xml:space="preserve"> at technical engagement</w:t>
      </w:r>
      <w:r w:rsidR="00CB0AD6">
        <w:rPr>
          <w:lang w:val="en-GB"/>
        </w:rPr>
        <w:t>.</w:t>
      </w:r>
      <w:r w:rsidR="004B53DA">
        <w:rPr>
          <w:lang w:val="en-GB"/>
        </w:rPr>
        <w:t xml:space="preserve"> The company</w:t>
      </w:r>
      <w:r w:rsidR="00CB0AD6">
        <w:rPr>
          <w:lang w:val="en-GB"/>
        </w:rPr>
        <w:t xml:space="preserve"> used the hazard ratio of 1.58 in its base case but</w:t>
      </w:r>
      <w:r w:rsidR="004B53DA">
        <w:rPr>
          <w:lang w:val="en-GB"/>
        </w:rPr>
        <w:t xml:space="preserve"> </w:t>
      </w:r>
      <w:r w:rsidR="00100407">
        <w:rPr>
          <w:lang w:val="en-GB"/>
        </w:rPr>
        <w:t>also</w:t>
      </w:r>
      <w:r w:rsidR="006D1C15">
        <w:rPr>
          <w:lang w:val="en-GB"/>
        </w:rPr>
        <w:t xml:space="preserve"> </w:t>
      </w:r>
      <w:r w:rsidR="004B53DA">
        <w:rPr>
          <w:lang w:val="en-GB"/>
        </w:rPr>
        <w:t xml:space="preserve">presented </w:t>
      </w:r>
      <w:r w:rsidR="00100407">
        <w:rPr>
          <w:lang w:val="en-GB"/>
        </w:rPr>
        <w:t>3 </w:t>
      </w:r>
      <w:r w:rsidR="004B53DA">
        <w:rPr>
          <w:lang w:val="en-GB"/>
        </w:rPr>
        <w:t>alternative scenarios</w:t>
      </w:r>
      <w:r w:rsidR="00100407">
        <w:rPr>
          <w:lang w:val="en-GB"/>
        </w:rPr>
        <w:t>. T</w:t>
      </w:r>
      <w:r w:rsidR="004B53DA">
        <w:rPr>
          <w:lang w:val="en-GB"/>
        </w:rPr>
        <w:t xml:space="preserve">he ERG </w:t>
      </w:r>
      <w:r w:rsidR="004B53DA">
        <w:rPr>
          <w:lang w:val="en-GB"/>
        </w:rPr>
        <w:lastRenderedPageBreak/>
        <w:t xml:space="preserve">agreed that </w:t>
      </w:r>
      <w:r w:rsidR="00100407">
        <w:rPr>
          <w:lang w:val="en-GB"/>
        </w:rPr>
        <w:t>1</w:t>
      </w:r>
      <w:r w:rsidR="004B53DA">
        <w:rPr>
          <w:lang w:val="en-GB"/>
        </w:rPr>
        <w:t xml:space="preserve"> of these was potentially plausible</w:t>
      </w:r>
      <w:r w:rsidR="0056714D">
        <w:rPr>
          <w:lang w:val="en-GB"/>
        </w:rPr>
        <w:t>.</w:t>
      </w:r>
      <w:r w:rsidR="004B53DA">
        <w:rPr>
          <w:lang w:val="en-GB"/>
        </w:rPr>
        <w:t xml:space="preserve"> </w:t>
      </w:r>
      <w:r w:rsidR="0056714D">
        <w:rPr>
          <w:lang w:val="en-GB"/>
        </w:rPr>
        <w:t>Th</w:t>
      </w:r>
      <w:r w:rsidR="000F6B67">
        <w:rPr>
          <w:lang w:val="en-GB"/>
        </w:rPr>
        <w:t>e</w:t>
      </w:r>
      <w:r w:rsidR="0056714D">
        <w:rPr>
          <w:lang w:val="en-GB"/>
        </w:rPr>
        <w:t xml:space="preserve"> </w:t>
      </w:r>
      <w:r w:rsidR="000F6B67">
        <w:rPr>
          <w:lang w:val="en-GB"/>
        </w:rPr>
        <w:t xml:space="preserve">plausible </w:t>
      </w:r>
      <w:r w:rsidR="0056714D">
        <w:rPr>
          <w:lang w:val="en-GB"/>
        </w:rPr>
        <w:t xml:space="preserve">scenario </w:t>
      </w:r>
      <w:r w:rsidR="00345195">
        <w:rPr>
          <w:lang w:val="en-GB"/>
        </w:rPr>
        <w:t>wa</w:t>
      </w:r>
      <w:r w:rsidR="0056714D">
        <w:rPr>
          <w:lang w:val="en-GB"/>
        </w:rPr>
        <w:t>s based on clinical opinion from the C</w:t>
      </w:r>
      <w:r w:rsidR="00345195">
        <w:rPr>
          <w:lang w:val="en-GB"/>
        </w:rPr>
        <w:t xml:space="preserve">ancer </w:t>
      </w:r>
      <w:r w:rsidR="0056714D">
        <w:rPr>
          <w:lang w:val="en-GB"/>
        </w:rPr>
        <w:t>D</w:t>
      </w:r>
      <w:r w:rsidR="00345195">
        <w:rPr>
          <w:lang w:val="en-GB"/>
        </w:rPr>
        <w:t xml:space="preserve">rugs </w:t>
      </w:r>
      <w:r w:rsidR="0056714D">
        <w:rPr>
          <w:lang w:val="en-GB"/>
        </w:rPr>
        <w:t>F</w:t>
      </w:r>
      <w:r w:rsidR="00345195">
        <w:rPr>
          <w:lang w:val="en-GB"/>
        </w:rPr>
        <w:t>und</w:t>
      </w:r>
      <w:r w:rsidR="0056714D">
        <w:rPr>
          <w:lang w:val="en-GB"/>
        </w:rPr>
        <w:t xml:space="preserve"> review of </w:t>
      </w:r>
      <w:r w:rsidR="007052DE" w:rsidRPr="00D83040">
        <w:t>NICE's technology appraisal guidance on ribociclib with fulvestrant for hormone</w:t>
      </w:r>
      <w:r w:rsidR="00826146">
        <w:rPr>
          <w:lang w:val="en-GB"/>
        </w:rPr>
        <w:t xml:space="preserve"> receptor</w:t>
      </w:r>
      <w:r w:rsidR="007052DE" w:rsidRPr="00D83040">
        <w:t>-positive, HER2-negative, advanced breast cancer</w:t>
      </w:r>
      <w:r w:rsidR="00345195">
        <w:rPr>
          <w:rStyle w:val="Hyperlink"/>
          <w:lang w:val="en-GB"/>
        </w:rPr>
        <w:t>.</w:t>
      </w:r>
      <w:r w:rsidR="0056714D">
        <w:rPr>
          <w:lang w:val="en-GB"/>
        </w:rPr>
        <w:t xml:space="preserve"> </w:t>
      </w:r>
      <w:r w:rsidR="00345195">
        <w:rPr>
          <w:lang w:val="en-GB"/>
        </w:rPr>
        <w:t>It</w:t>
      </w:r>
      <w:r w:rsidR="0056714D">
        <w:rPr>
          <w:lang w:val="en-GB"/>
        </w:rPr>
        <w:t xml:space="preserve"> assumed that 20% of p</w:t>
      </w:r>
      <w:r w:rsidR="00C14144">
        <w:rPr>
          <w:lang w:val="en-GB"/>
        </w:rPr>
        <w:t>eople</w:t>
      </w:r>
      <w:r w:rsidR="0056714D">
        <w:rPr>
          <w:lang w:val="en-GB"/>
        </w:rPr>
        <w:t xml:space="preserve"> </w:t>
      </w:r>
      <w:r w:rsidR="000F6B67">
        <w:rPr>
          <w:lang w:val="en-GB"/>
        </w:rPr>
        <w:t xml:space="preserve">stopped </w:t>
      </w:r>
      <w:r w:rsidR="0056714D">
        <w:rPr>
          <w:lang w:val="en-GB"/>
        </w:rPr>
        <w:t>everolimus after 6</w:t>
      </w:r>
      <w:r w:rsidR="00C14144">
        <w:rPr>
          <w:lang w:val="en-GB"/>
        </w:rPr>
        <w:t> </w:t>
      </w:r>
      <w:r w:rsidR="0056714D">
        <w:rPr>
          <w:lang w:val="en-GB"/>
        </w:rPr>
        <w:t>months, and 70% of those remaining on treatment had a dose reduction (10</w:t>
      </w:r>
      <w:r w:rsidR="00C14144">
        <w:rPr>
          <w:lang w:val="en-GB"/>
        </w:rPr>
        <w:t> </w:t>
      </w:r>
      <w:r w:rsidR="0056714D">
        <w:rPr>
          <w:lang w:val="en-GB"/>
        </w:rPr>
        <w:t>mg to 5</w:t>
      </w:r>
      <w:r w:rsidR="00C14144">
        <w:rPr>
          <w:lang w:val="en-GB"/>
        </w:rPr>
        <w:t> </w:t>
      </w:r>
      <w:r w:rsidR="0056714D">
        <w:rPr>
          <w:lang w:val="en-GB"/>
        </w:rPr>
        <w:t xml:space="preserve">mg) but continued exemestane until disease progression. The clinical experts noted that the </w:t>
      </w:r>
      <w:r w:rsidR="002D0F7C">
        <w:rPr>
          <w:lang w:val="en-GB"/>
        </w:rPr>
        <w:t>change at 6</w:t>
      </w:r>
      <w:r w:rsidR="00E240E3">
        <w:rPr>
          <w:lang w:val="en-GB"/>
        </w:rPr>
        <w:t> </w:t>
      </w:r>
      <w:r w:rsidR="002D0F7C">
        <w:rPr>
          <w:lang w:val="en-GB"/>
        </w:rPr>
        <w:t xml:space="preserve">months seemed implausible </w:t>
      </w:r>
      <w:r w:rsidR="00E240E3">
        <w:rPr>
          <w:lang w:val="en-GB"/>
        </w:rPr>
        <w:t xml:space="preserve">because </w:t>
      </w:r>
      <w:r w:rsidR="0056714D">
        <w:rPr>
          <w:lang w:val="en-GB"/>
        </w:rPr>
        <w:t xml:space="preserve">people </w:t>
      </w:r>
      <w:r w:rsidR="002D0F7C">
        <w:rPr>
          <w:lang w:val="en-GB"/>
        </w:rPr>
        <w:t xml:space="preserve">would be more likely to </w:t>
      </w:r>
      <w:r w:rsidR="000F6B67">
        <w:rPr>
          <w:lang w:val="en-GB"/>
        </w:rPr>
        <w:t xml:space="preserve">stop </w:t>
      </w:r>
      <w:r w:rsidR="005A5D23">
        <w:rPr>
          <w:lang w:val="en-GB"/>
        </w:rPr>
        <w:t xml:space="preserve">gradually </w:t>
      </w:r>
      <w:r w:rsidR="002D0F7C">
        <w:rPr>
          <w:lang w:val="en-GB"/>
        </w:rPr>
        <w:t>throughout the first 6</w:t>
      </w:r>
      <w:r w:rsidR="005A5D23">
        <w:rPr>
          <w:lang w:val="en-GB"/>
        </w:rPr>
        <w:t> </w:t>
      </w:r>
      <w:r w:rsidR="002D0F7C">
        <w:rPr>
          <w:lang w:val="en-GB"/>
        </w:rPr>
        <w:t xml:space="preserve">months. </w:t>
      </w:r>
      <w:r w:rsidR="001546ED">
        <w:rPr>
          <w:lang w:val="en-GB"/>
        </w:rPr>
        <w:t>T</w:t>
      </w:r>
      <w:r w:rsidR="002D0F7C">
        <w:rPr>
          <w:lang w:val="en-GB"/>
        </w:rPr>
        <w:t xml:space="preserve">he committee </w:t>
      </w:r>
      <w:r w:rsidR="00430446">
        <w:rPr>
          <w:lang w:val="en-GB"/>
        </w:rPr>
        <w:t xml:space="preserve">said </w:t>
      </w:r>
      <w:r w:rsidR="00841627">
        <w:rPr>
          <w:lang w:val="en-GB"/>
        </w:rPr>
        <w:t>that BOLERO</w:t>
      </w:r>
      <w:r w:rsidR="00430446">
        <w:rPr>
          <w:lang w:val="en-GB"/>
        </w:rPr>
        <w:t> </w:t>
      </w:r>
      <w:r w:rsidR="00841627">
        <w:rPr>
          <w:lang w:val="en-GB"/>
        </w:rPr>
        <w:t>2</w:t>
      </w:r>
      <w:r w:rsidR="001546ED">
        <w:rPr>
          <w:lang w:val="en-GB"/>
        </w:rPr>
        <w:t xml:space="preserve"> data</w:t>
      </w:r>
      <w:r w:rsidR="00AF07B3">
        <w:rPr>
          <w:lang w:val="en-GB"/>
        </w:rPr>
        <w:t>, even if not based on individual patient data</w:t>
      </w:r>
      <w:r w:rsidR="008011F1">
        <w:rPr>
          <w:lang w:val="en-GB"/>
        </w:rPr>
        <w:t xml:space="preserve"> from the trial</w:t>
      </w:r>
      <w:r w:rsidR="00430446">
        <w:rPr>
          <w:lang w:val="en-GB"/>
        </w:rPr>
        <w:t>,</w:t>
      </w:r>
      <w:r w:rsidR="00841627">
        <w:rPr>
          <w:lang w:val="en-GB"/>
        </w:rPr>
        <w:t xml:space="preserve"> w</w:t>
      </w:r>
      <w:r w:rsidR="00430446">
        <w:rPr>
          <w:lang w:val="en-GB"/>
        </w:rPr>
        <w:t>ere</w:t>
      </w:r>
      <w:r w:rsidR="00841627">
        <w:rPr>
          <w:lang w:val="en-GB"/>
        </w:rPr>
        <w:t xml:space="preserve"> preferable to the opinion of </w:t>
      </w:r>
      <w:r w:rsidR="008A246E">
        <w:rPr>
          <w:lang w:val="en-GB"/>
        </w:rPr>
        <w:t>1 </w:t>
      </w:r>
      <w:r w:rsidR="00841627">
        <w:rPr>
          <w:lang w:val="en-GB"/>
        </w:rPr>
        <w:t xml:space="preserve">clinician. </w:t>
      </w:r>
      <w:r w:rsidR="00CD572B">
        <w:rPr>
          <w:lang w:val="en-GB"/>
        </w:rPr>
        <w:t xml:space="preserve">The committee was aware that the results of the economic model </w:t>
      </w:r>
      <w:r w:rsidR="00522F86">
        <w:rPr>
          <w:lang w:val="en-GB"/>
        </w:rPr>
        <w:t xml:space="preserve">were </w:t>
      </w:r>
      <w:r w:rsidR="00CD572B">
        <w:rPr>
          <w:lang w:val="en-GB"/>
        </w:rPr>
        <w:t xml:space="preserve">highly sensitive to the assumption used to estimate the time to treatment discontinuation for exemestane </w:t>
      </w:r>
      <w:r w:rsidR="00522F86">
        <w:rPr>
          <w:lang w:val="en-GB"/>
        </w:rPr>
        <w:t xml:space="preserve">plus </w:t>
      </w:r>
      <w:r w:rsidR="00CD572B">
        <w:rPr>
          <w:lang w:val="en-GB"/>
        </w:rPr>
        <w:t>eve</w:t>
      </w:r>
      <w:r w:rsidR="00522F86">
        <w:rPr>
          <w:lang w:val="en-GB"/>
        </w:rPr>
        <w:t>r</w:t>
      </w:r>
      <w:r w:rsidR="00CD572B">
        <w:rPr>
          <w:lang w:val="en-GB"/>
        </w:rPr>
        <w:t xml:space="preserve">olimus. </w:t>
      </w:r>
      <w:r w:rsidR="001546ED">
        <w:rPr>
          <w:lang w:val="en-GB"/>
        </w:rPr>
        <w:t>It</w:t>
      </w:r>
      <w:r w:rsidR="002D0F7C">
        <w:rPr>
          <w:lang w:val="en-GB"/>
        </w:rPr>
        <w:t xml:space="preserve"> concluded that there was uncertainty about the </w:t>
      </w:r>
      <w:r w:rsidR="0056714D">
        <w:rPr>
          <w:lang w:val="en-GB"/>
        </w:rPr>
        <w:t xml:space="preserve">most appropriate method </w:t>
      </w:r>
      <w:r w:rsidR="002D0F7C">
        <w:rPr>
          <w:lang w:val="en-GB"/>
        </w:rPr>
        <w:t>to estimate time to</w:t>
      </w:r>
      <w:r w:rsidR="00E43FB4">
        <w:rPr>
          <w:lang w:val="en-GB"/>
        </w:rPr>
        <w:t xml:space="preserve"> treatment</w:t>
      </w:r>
      <w:r w:rsidR="002D0F7C">
        <w:rPr>
          <w:lang w:val="en-GB"/>
        </w:rPr>
        <w:t xml:space="preserve"> discontinuation for exemestane </w:t>
      </w:r>
      <w:r w:rsidR="007A39E9">
        <w:rPr>
          <w:lang w:val="en-GB"/>
        </w:rPr>
        <w:t xml:space="preserve">plus </w:t>
      </w:r>
      <w:r w:rsidR="002D0F7C">
        <w:rPr>
          <w:lang w:val="en-GB"/>
        </w:rPr>
        <w:t>everolimus.</w:t>
      </w:r>
    </w:p>
    <w:p w14:paraId="7DBA2B5B" w14:textId="76E67030" w:rsidR="00A8148D" w:rsidRPr="009E3088" w:rsidRDefault="00A8148D" w:rsidP="007672E0">
      <w:pPr>
        <w:pStyle w:val="Heading2"/>
      </w:pPr>
      <w:bookmarkStart w:id="3" w:name="_Hlk53585065"/>
      <w:r w:rsidRPr="009E3088">
        <w:t>Cost-effectiveness results</w:t>
      </w:r>
    </w:p>
    <w:p w14:paraId="5BAA482F" w14:textId="104330B3" w:rsidR="00A8148D" w:rsidRDefault="00A8148D" w:rsidP="007672E0">
      <w:pPr>
        <w:pStyle w:val="Heading3"/>
      </w:pPr>
      <w:r>
        <w:t>The cost-effectiveness estimates are uncertain, but are higher than what NICE considers cost</w:t>
      </w:r>
      <w:r w:rsidR="002C0DC1">
        <w:t xml:space="preserve"> </w:t>
      </w:r>
      <w:r>
        <w:t>effective</w:t>
      </w:r>
    </w:p>
    <w:bookmarkEnd w:id="3"/>
    <w:p w14:paraId="2E241525" w14:textId="5D9EF757" w:rsidR="00AD2143" w:rsidRPr="00C03630" w:rsidRDefault="00A315B5" w:rsidP="007672E0">
      <w:pPr>
        <w:pStyle w:val="Numberedlevel2text"/>
      </w:pPr>
      <w:r>
        <w:rPr>
          <w:lang w:val="en-GB"/>
        </w:rPr>
        <w:t>The company’s base</w:t>
      </w:r>
      <w:r w:rsidR="002C0DC1">
        <w:rPr>
          <w:lang w:val="en-GB"/>
        </w:rPr>
        <w:t>-</w:t>
      </w:r>
      <w:r>
        <w:rPr>
          <w:lang w:val="en-GB"/>
        </w:rPr>
        <w:t xml:space="preserve">case </w:t>
      </w:r>
      <w:r w:rsidR="00807159">
        <w:rPr>
          <w:lang w:val="en-GB"/>
        </w:rPr>
        <w:t>incremental cost-effectiveness ratio (</w:t>
      </w:r>
      <w:r>
        <w:rPr>
          <w:lang w:val="en-GB"/>
        </w:rPr>
        <w:t>ICER</w:t>
      </w:r>
      <w:r w:rsidR="00807159">
        <w:rPr>
          <w:lang w:val="en-GB"/>
        </w:rPr>
        <w:t>)</w:t>
      </w:r>
      <w:r>
        <w:rPr>
          <w:lang w:val="en-GB"/>
        </w:rPr>
        <w:t xml:space="preserve"> was within </w:t>
      </w:r>
      <w:r w:rsidR="002C0DC1">
        <w:rPr>
          <w:lang w:val="en-GB"/>
        </w:rPr>
        <w:t>what</w:t>
      </w:r>
      <w:r>
        <w:rPr>
          <w:lang w:val="en-GB"/>
        </w:rPr>
        <w:t xml:space="preserve"> NICE considers a cost-effective use of NHS resources</w:t>
      </w:r>
      <w:r w:rsidR="00FB67BC">
        <w:rPr>
          <w:lang w:val="en-GB"/>
        </w:rPr>
        <w:t xml:space="preserve"> </w:t>
      </w:r>
      <w:r w:rsidR="00E72E8F">
        <w:rPr>
          <w:lang w:val="en-GB"/>
        </w:rPr>
        <w:t>when the</w:t>
      </w:r>
      <w:r w:rsidR="00606F80">
        <w:rPr>
          <w:lang w:val="en-GB"/>
        </w:rPr>
        <w:t xml:space="preserve"> relevant confidential discount</w:t>
      </w:r>
      <w:r w:rsidR="00DD0EC6">
        <w:rPr>
          <w:lang w:val="en-GB"/>
        </w:rPr>
        <w:t>s</w:t>
      </w:r>
      <w:r w:rsidR="00E72E8F">
        <w:rPr>
          <w:lang w:val="en-GB"/>
        </w:rPr>
        <w:t xml:space="preserve"> were applied</w:t>
      </w:r>
      <w:r>
        <w:rPr>
          <w:lang w:val="en-GB"/>
        </w:rPr>
        <w:t xml:space="preserve">. </w:t>
      </w:r>
      <w:r w:rsidR="00A8148D" w:rsidRPr="00074DCE">
        <w:t>The</w:t>
      </w:r>
      <w:r w:rsidR="00E72E8F">
        <w:rPr>
          <w:lang w:val="en-GB"/>
        </w:rPr>
        <w:t>se</w:t>
      </w:r>
      <w:r w:rsidR="00A8148D" w:rsidRPr="00074DCE">
        <w:t xml:space="preserve"> </w:t>
      </w:r>
      <w:r w:rsidR="00E72E8F">
        <w:rPr>
          <w:lang w:val="en-GB"/>
        </w:rPr>
        <w:t>were</w:t>
      </w:r>
      <w:r w:rsidR="00A8148D" w:rsidRPr="00074DCE">
        <w:t xml:space="preserve"> the patient access scheme </w:t>
      </w:r>
      <w:r w:rsidR="00B34D64">
        <w:rPr>
          <w:lang w:val="en-US"/>
        </w:rPr>
        <w:t xml:space="preserve">discounts </w:t>
      </w:r>
      <w:r w:rsidR="00A8148D" w:rsidRPr="00074DCE">
        <w:t>for abemaciclib</w:t>
      </w:r>
      <w:r w:rsidR="00B34D64">
        <w:rPr>
          <w:lang w:val="en-US"/>
        </w:rPr>
        <w:t xml:space="preserve"> and</w:t>
      </w:r>
      <w:r>
        <w:rPr>
          <w:lang w:val="en-GB"/>
        </w:rPr>
        <w:t xml:space="preserve"> everolimus, </w:t>
      </w:r>
      <w:r w:rsidR="00A8148D" w:rsidRPr="00074DCE">
        <w:t xml:space="preserve">and </w:t>
      </w:r>
      <w:r w:rsidR="000D0634">
        <w:rPr>
          <w:lang w:val="en-US"/>
        </w:rPr>
        <w:t>the</w:t>
      </w:r>
      <w:r w:rsidR="00A8148D" w:rsidRPr="00074DCE">
        <w:t xml:space="preserve"> NHS England price for </w:t>
      </w:r>
      <w:r w:rsidR="00AE1E43">
        <w:rPr>
          <w:lang w:val="en-GB"/>
        </w:rPr>
        <w:t xml:space="preserve">generic </w:t>
      </w:r>
      <w:r w:rsidR="00A8148D" w:rsidRPr="00074DCE">
        <w:t>fulvestrant</w:t>
      </w:r>
      <w:r w:rsidR="00BE0125" w:rsidRPr="00074DCE">
        <w:t>.</w:t>
      </w:r>
      <w:r w:rsidR="00606F80">
        <w:rPr>
          <w:lang w:val="en-GB"/>
        </w:rPr>
        <w:t xml:space="preserve"> </w:t>
      </w:r>
      <w:r w:rsidR="00606F80">
        <w:rPr>
          <w:lang w:val="en-US"/>
        </w:rPr>
        <w:t>Using the ERG’s preferred assumptions</w:t>
      </w:r>
      <w:r w:rsidR="00690AE7">
        <w:rPr>
          <w:lang w:val="en-US"/>
        </w:rPr>
        <w:t>,</w:t>
      </w:r>
      <w:r w:rsidR="00AD2143">
        <w:rPr>
          <w:lang w:val="en-US"/>
        </w:rPr>
        <w:t xml:space="preserve"> the ICER </w:t>
      </w:r>
      <w:r w:rsidR="00690AE7">
        <w:rPr>
          <w:lang w:val="en-US"/>
        </w:rPr>
        <w:t xml:space="preserve">increased </w:t>
      </w:r>
      <w:r w:rsidR="00AD2143">
        <w:rPr>
          <w:lang w:val="en-US"/>
        </w:rPr>
        <w:t>to above the range NICE normally considers a cost-effective use of NHS resources</w:t>
      </w:r>
      <w:r w:rsidR="00690AE7">
        <w:rPr>
          <w:lang w:val="en-US"/>
        </w:rPr>
        <w:t>. This was</w:t>
      </w:r>
      <w:r w:rsidR="00DF39A4">
        <w:rPr>
          <w:lang w:val="en-US"/>
        </w:rPr>
        <w:t xml:space="preserve"> irrespective of the approach used to estimate time to treatment discontinuation for </w:t>
      </w:r>
      <w:r w:rsidR="00DF39A4">
        <w:t>exemestane plus everolimus</w:t>
      </w:r>
      <w:r w:rsidR="00DF39A4">
        <w:rPr>
          <w:lang w:val="en-US"/>
        </w:rPr>
        <w:t xml:space="preserve"> (see section 3.9)</w:t>
      </w:r>
      <w:r w:rsidR="00AD2143">
        <w:rPr>
          <w:lang w:val="en-US"/>
        </w:rPr>
        <w:t>. Its preferred assumptions were:</w:t>
      </w:r>
    </w:p>
    <w:p w14:paraId="4057345B" w14:textId="5BE8A81A" w:rsidR="00AD2143" w:rsidRPr="00C03630" w:rsidRDefault="00AD2143" w:rsidP="00AD2143">
      <w:pPr>
        <w:pStyle w:val="Bulletindent1"/>
      </w:pPr>
      <w:r>
        <w:rPr>
          <w:lang w:val="en-US"/>
        </w:rPr>
        <w:lastRenderedPageBreak/>
        <w:t xml:space="preserve">applying </w:t>
      </w:r>
      <w:r w:rsidR="00606F80">
        <w:rPr>
          <w:lang w:val="en-US"/>
        </w:rPr>
        <w:t xml:space="preserve">the hazard ratio to generate the </w:t>
      </w:r>
      <w:r w:rsidR="00AE4D4F">
        <w:rPr>
          <w:lang w:val="en-US"/>
        </w:rPr>
        <w:t>time to treatment discontinuation</w:t>
      </w:r>
      <w:r w:rsidR="00606F80">
        <w:rPr>
          <w:lang w:val="en-US"/>
        </w:rPr>
        <w:t xml:space="preserve"> curve for </w:t>
      </w:r>
      <w:r w:rsidR="00AE4D4F">
        <w:rPr>
          <w:lang w:val="en-US"/>
        </w:rPr>
        <w:t xml:space="preserve">abemaciclib </w:t>
      </w:r>
      <w:r>
        <w:rPr>
          <w:lang w:val="en-US"/>
        </w:rPr>
        <w:t xml:space="preserve">plus </w:t>
      </w:r>
      <w:r w:rsidR="00AE4D4F">
        <w:rPr>
          <w:lang w:val="en-US"/>
        </w:rPr>
        <w:t>fulvestrant</w:t>
      </w:r>
      <w:r w:rsidR="00606F80">
        <w:rPr>
          <w:lang w:val="en-US"/>
        </w:rPr>
        <w:t xml:space="preserve"> (see section</w:t>
      </w:r>
      <w:r w:rsidR="0028774A">
        <w:rPr>
          <w:lang w:val="en-US"/>
        </w:rPr>
        <w:t> </w:t>
      </w:r>
      <w:r w:rsidR="009872BB">
        <w:rPr>
          <w:lang w:val="en-US"/>
        </w:rPr>
        <w:t>3.8</w:t>
      </w:r>
      <w:r w:rsidR="00606F80">
        <w:rPr>
          <w:lang w:val="en-US"/>
        </w:rPr>
        <w:t>)</w:t>
      </w:r>
    </w:p>
    <w:p w14:paraId="582481B2" w14:textId="3683A32A" w:rsidR="00AD2143" w:rsidRPr="00C03630" w:rsidRDefault="00177C9A" w:rsidP="00AD2143">
      <w:pPr>
        <w:pStyle w:val="Bulletindent1"/>
      </w:pPr>
      <w:r>
        <w:rPr>
          <w:lang w:val="en-US"/>
        </w:rPr>
        <w:t xml:space="preserve">using the post-amendment group efficacy data for </w:t>
      </w:r>
      <w:r w:rsidR="00AE4D4F">
        <w:rPr>
          <w:lang w:val="en-US"/>
        </w:rPr>
        <w:t xml:space="preserve">abemaciclib </w:t>
      </w:r>
      <w:r w:rsidR="00AD2143">
        <w:rPr>
          <w:lang w:val="en-US"/>
        </w:rPr>
        <w:t xml:space="preserve">plus </w:t>
      </w:r>
      <w:r w:rsidR="00AE4D4F">
        <w:rPr>
          <w:lang w:val="en-US"/>
        </w:rPr>
        <w:t xml:space="preserve">fulvestrant </w:t>
      </w:r>
      <w:r w:rsidR="009872BB">
        <w:rPr>
          <w:lang w:val="en-US"/>
        </w:rPr>
        <w:t>(see section</w:t>
      </w:r>
      <w:r w:rsidR="00DF39A4">
        <w:rPr>
          <w:lang w:val="en-US"/>
        </w:rPr>
        <w:t> </w:t>
      </w:r>
      <w:r w:rsidR="009872BB">
        <w:rPr>
          <w:lang w:val="en-US"/>
        </w:rPr>
        <w:t>3.7)</w:t>
      </w:r>
      <w:r w:rsidR="00606F80">
        <w:rPr>
          <w:lang w:val="en-US"/>
        </w:rPr>
        <w:t xml:space="preserve"> and</w:t>
      </w:r>
    </w:p>
    <w:p w14:paraId="7A736B41" w14:textId="731764F0" w:rsidR="00DF39A4" w:rsidRPr="00C03630" w:rsidRDefault="00606F80" w:rsidP="00C03630">
      <w:pPr>
        <w:pStyle w:val="Bulletindent1last"/>
      </w:pPr>
      <w:r>
        <w:rPr>
          <w:lang w:val="en-US"/>
        </w:rPr>
        <w:t>removing the half-cycle correction.</w:t>
      </w:r>
    </w:p>
    <w:p w14:paraId="115DE71C" w14:textId="155C93D1" w:rsidR="008F4B5D" w:rsidRPr="008F4B5D" w:rsidRDefault="00393E2B" w:rsidP="00C03630">
      <w:pPr>
        <w:pStyle w:val="NICEnormalindented"/>
      </w:pPr>
      <w:r>
        <w:t xml:space="preserve">Taking into account the confidential discounts and </w:t>
      </w:r>
      <w:r w:rsidR="00050171">
        <w:rPr>
          <w:lang w:val="en-US"/>
        </w:rPr>
        <w:t>the committee</w:t>
      </w:r>
      <w:r>
        <w:rPr>
          <w:lang w:val="en-US"/>
        </w:rPr>
        <w:t>’s</w:t>
      </w:r>
      <w:r w:rsidR="00050171">
        <w:rPr>
          <w:lang w:val="en-US"/>
        </w:rPr>
        <w:t xml:space="preserve"> preference </w:t>
      </w:r>
      <w:r>
        <w:rPr>
          <w:lang w:val="en-US"/>
        </w:rPr>
        <w:t>for</w:t>
      </w:r>
      <w:r w:rsidR="00050171">
        <w:rPr>
          <w:lang w:val="en-US"/>
        </w:rPr>
        <w:t xml:space="preserve"> using the post-amendment group efficacy data</w:t>
      </w:r>
      <w:r w:rsidR="000350A6">
        <w:rPr>
          <w:lang w:val="en-US"/>
        </w:rPr>
        <w:t xml:space="preserve"> for abemaciclib </w:t>
      </w:r>
      <w:r w:rsidR="00DF39A4">
        <w:rPr>
          <w:lang w:val="en-US"/>
        </w:rPr>
        <w:t xml:space="preserve">plus </w:t>
      </w:r>
      <w:r w:rsidR="000350A6">
        <w:rPr>
          <w:lang w:val="en-US"/>
        </w:rPr>
        <w:t>fulvestrant</w:t>
      </w:r>
      <w:r w:rsidR="00050171">
        <w:rPr>
          <w:lang w:val="en-US"/>
        </w:rPr>
        <w:t xml:space="preserve">, the ICERs were all over £30,000 per </w:t>
      </w:r>
      <w:r w:rsidR="00826146">
        <w:rPr>
          <w:lang w:val="en-US"/>
        </w:rPr>
        <w:t>quality-adjusted life year (</w:t>
      </w:r>
      <w:r w:rsidR="00050171">
        <w:rPr>
          <w:lang w:val="en-US"/>
        </w:rPr>
        <w:t>QALY</w:t>
      </w:r>
      <w:r w:rsidR="00826146">
        <w:rPr>
          <w:lang w:val="en-US"/>
        </w:rPr>
        <w:t>)</w:t>
      </w:r>
      <w:r w:rsidR="00050171">
        <w:rPr>
          <w:lang w:val="en-US"/>
        </w:rPr>
        <w:t xml:space="preserve"> gained. The committee concluded that all the ICERs </w:t>
      </w:r>
      <w:r w:rsidR="0068003F">
        <w:rPr>
          <w:lang w:val="en-US"/>
        </w:rPr>
        <w:t>we</w:t>
      </w:r>
      <w:r w:rsidR="00050171">
        <w:rPr>
          <w:lang w:val="en-US"/>
        </w:rPr>
        <w:t>re higher than what NICE considers a cost-effective use of NHS resources.</w:t>
      </w:r>
    </w:p>
    <w:p w14:paraId="5954CC6F" w14:textId="1E3A9783" w:rsidR="008F4B5D" w:rsidRPr="00FE3462" w:rsidRDefault="008F4B5D" w:rsidP="008F4B5D">
      <w:pPr>
        <w:pStyle w:val="Heading2"/>
      </w:pPr>
      <w:r>
        <w:t>Cancer Drugs Fund</w:t>
      </w:r>
    </w:p>
    <w:p w14:paraId="2533B2FD" w14:textId="4FB3ECEF" w:rsidR="008F4B5D" w:rsidRDefault="008F4B5D" w:rsidP="008F4B5D">
      <w:pPr>
        <w:pStyle w:val="Heading3"/>
      </w:pPr>
      <w:r>
        <w:t xml:space="preserve">Abemaciclib </w:t>
      </w:r>
      <w:r w:rsidR="00B8289C">
        <w:t xml:space="preserve">plus </w:t>
      </w:r>
      <w:r>
        <w:t>fulvestrant</w:t>
      </w:r>
      <w:r w:rsidRPr="000067B0">
        <w:t xml:space="preserve"> </w:t>
      </w:r>
      <w:r>
        <w:t>cannot remain</w:t>
      </w:r>
      <w:r w:rsidRPr="000067B0">
        <w:t xml:space="preserve"> in the Cancer Drugs Fund</w:t>
      </w:r>
    </w:p>
    <w:p w14:paraId="4F2DD655" w14:textId="042B904E" w:rsidR="008F4B5D" w:rsidRPr="00E20B3D" w:rsidRDefault="008F4B5D" w:rsidP="008F4B5D">
      <w:pPr>
        <w:pStyle w:val="Numberedlevel2text"/>
      </w:pPr>
      <w:r w:rsidRPr="00376547">
        <w:t xml:space="preserve">The aim of </w:t>
      </w:r>
      <w:r>
        <w:rPr>
          <w:lang w:val="en-US"/>
        </w:rPr>
        <w:t>a</w:t>
      </w:r>
      <w:r w:rsidRPr="00376547">
        <w:t xml:space="preserve"> Cancer Drugs Fund guidance review is to decide whether or not the drug can be recommended for routine use. </w:t>
      </w:r>
      <w:r>
        <w:rPr>
          <w:lang w:val="en-US"/>
        </w:rPr>
        <w:t xml:space="preserve">Abemaciclib </w:t>
      </w:r>
      <w:r w:rsidR="0068003F">
        <w:rPr>
          <w:lang w:val="en-US"/>
        </w:rPr>
        <w:t xml:space="preserve">plus </w:t>
      </w:r>
      <w:r>
        <w:rPr>
          <w:lang w:val="en-US"/>
        </w:rPr>
        <w:t>fulvestrant for</w:t>
      </w:r>
      <w:r w:rsidRPr="008F4B5D">
        <w:rPr>
          <w:lang w:val="en-US"/>
        </w:rPr>
        <w:t xml:space="preserve"> treating advanced hormone</w:t>
      </w:r>
      <w:r w:rsidR="00826146">
        <w:rPr>
          <w:lang w:val="en-US"/>
        </w:rPr>
        <w:t xml:space="preserve"> </w:t>
      </w:r>
      <w:r w:rsidRPr="008F4B5D">
        <w:rPr>
          <w:lang w:val="en-US"/>
        </w:rPr>
        <w:t>receptor</w:t>
      </w:r>
      <w:r w:rsidR="00826146">
        <w:rPr>
          <w:lang w:val="en-US"/>
        </w:rPr>
        <w:t>-</w:t>
      </w:r>
      <w:r w:rsidRPr="008F4B5D">
        <w:rPr>
          <w:lang w:val="en-US"/>
        </w:rPr>
        <w:t>positive, HER2-negative breast cancer after endocrine therapy</w:t>
      </w:r>
      <w:r>
        <w:rPr>
          <w:lang w:val="en-US"/>
        </w:rPr>
        <w:t xml:space="preserve"> </w:t>
      </w:r>
      <w:r w:rsidR="0068003F">
        <w:rPr>
          <w:lang w:val="en-GB"/>
        </w:rPr>
        <w:t>can</w:t>
      </w:r>
      <w:r w:rsidRPr="00376547">
        <w:t>not remain in the Cancer Drugs Fund once the guidance review has been completed</w:t>
      </w:r>
      <w:r>
        <w:rPr>
          <w:lang w:val="en-GB"/>
        </w:rPr>
        <w:t xml:space="preserve"> </w:t>
      </w:r>
      <w:r>
        <w:rPr>
          <w:lang w:val="en-US"/>
        </w:rPr>
        <w:t xml:space="preserve">(see section 6.19 of the </w:t>
      </w:r>
      <w:hyperlink r:id="rId18" w:history="1">
        <w:r w:rsidRPr="00F11912">
          <w:rPr>
            <w:rStyle w:val="Hyperlink"/>
            <w:lang w:val="en-US"/>
          </w:rPr>
          <w:t>guide to the processes of technology appraisal</w:t>
        </w:r>
      </w:hyperlink>
      <w:r>
        <w:rPr>
          <w:lang w:val="en-US"/>
        </w:rPr>
        <w:t>)</w:t>
      </w:r>
      <w:r w:rsidRPr="00376547">
        <w:t>.</w:t>
      </w:r>
    </w:p>
    <w:p w14:paraId="5FF7D222" w14:textId="081CD3ED" w:rsidR="008F4B5D" w:rsidRDefault="009E3088" w:rsidP="008F4B5D">
      <w:pPr>
        <w:pStyle w:val="Heading2"/>
      </w:pPr>
      <w:r w:rsidRPr="009E3088">
        <w:t>Other factors</w:t>
      </w:r>
    </w:p>
    <w:p w14:paraId="5A93801D" w14:textId="164BB53D" w:rsidR="00AA5849" w:rsidRPr="005F3E3D" w:rsidRDefault="00AA5849" w:rsidP="005F3E3D">
      <w:pPr>
        <w:pStyle w:val="Numberedlevel2text"/>
      </w:pPr>
      <w:r>
        <w:rPr>
          <w:lang w:val="en-US"/>
        </w:rPr>
        <w:t>NICE’s advice about life-extending treatments for people with a short life expectancy did not apply.</w:t>
      </w:r>
    </w:p>
    <w:p w14:paraId="181BA727" w14:textId="563C3CDD" w:rsidR="008F4B5D" w:rsidRDefault="008F4B5D" w:rsidP="008F4B5D">
      <w:pPr>
        <w:pStyle w:val="Heading2"/>
      </w:pPr>
      <w:r>
        <w:t>Conclusion</w:t>
      </w:r>
    </w:p>
    <w:p w14:paraId="77E835E4" w14:textId="55ACF77D" w:rsidR="008F4B5D" w:rsidRPr="00293CA2" w:rsidRDefault="008F4B5D" w:rsidP="008F4B5D">
      <w:pPr>
        <w:pStyle w:val="Heading3"/>
      </w:pPr>
      <w:r>
        <w:t xml:space="preserve">Abemaciclib </w:t>
      </w:r>
      <w:r w:rsidR="00B8289C">
        <w:t xml:space="preserve">plus </w:t>
      </w:r>
      <w:r>
        <w:t>fulvestrant</w:t>
      </w:r>
      <w:r w:rsidRPr="0019572D">
        <w:t xml:space="preserve"> is not recommended for routine use</w:t>
      </w:r>
    </w:p>
    <w:p w14:paraId="749DA0F0" w14:textId="226F271C" w:rsidR="008F4B5D" w:rsidRPr="008F4B5D" w:rsidRDefault="008F4B5D" w:rsidP="008F4B5D">
      <w:pPr>
        <w:pStyle w:val="Numberedlevel2text"/>
      </w:pPr>
      <w:r w:rsidRPr="00331BE4">
        <w:rPr>
          <w:lang w:val="en-GB"/>
        </w:rPr>
        <w:t>The committee concluded that</w:t>
      </w:r>
      <w:r w:rsidRPr="005057B5">
        <w:t xml:space="preserve"> </w:t>
      </w:r>
      <w:r w:rsidRPr="00331BE4">
        <w:rPr>
          <w:lang w:val="en-GB"/>
        </w:rPr>
        <w:t>the</w:t>
      </w:r>
      <w:r>
        <w:rPr>
          <w:lang w:val="en-GB"/>
        </w:rPr>
        <w:t xml:space="preserve"> most plausible</w:t>
      </w:r>
      <w:r w:rsidRPr="00331BE4">
        <w:rPr>
          <w:lang w:val="en-GB"/>
        </w:rPr>
        <w:t xml:space="preserve"> </w:t>
      </w:r>
      <w:r w:rsidR="0028488A">
        <w:rPr>
          <w:lang w:val="en-GB"/>
        </w:rPr>
        <w:t xml:space="preserve">cost-effectiveness </w:t>
      </w:r>
      <w:r w:rsidRPr="00331BE4">
        <w:rPr>
          <w:lang w:val="en-GB"/>
        </w:rPr>
        <w:t xml:space="preserve">estimates are </w:t>
      </w:r>
      <w:r>
        <w:rPr>
          <w:lang w:val="en-GB"/>
        </w:rPr>
        <w:t xml:space="preserve">higher than what NICE </w:t>
      </w:r>
      <w:r w:rsidRPr="00331BE4">
        <w:rPr>
          <w:lang w:val="en-GB"/>
        </w:rPr>
        <w:t>consider</w:t>
      </w:r>
      <w:r>
        <w:rPr>
          <w:lang w:val="en-GB"/>
        </w:rPr>
        <w:t>s</w:t>
      </w:r>
      <w:r w:rsidRPr="00331BE4">
        <w:rPr>
          <w:lang w:val="en-GB"/>
        </w:rPr>
        <w:t xml:space="preserve"> a cost-effective use of NHS resources</w:t>
      </w:r>
      <w:r>
        <w:rPr>
          <w:lang w:val="en-GB"/>
        </w:rPr>
        <w:t xml:space="preserve">. </w:t>
      </w:r>
      <w:r w:rsidR="0028488A">
        <w:rPr>
          <w:lang w:val="en-GB"/>
        </w:rPr>
        <w:t xml:space="preserve">So, </w:t>
      </w:r>
      <w:r>
        <w:rPr>
          <w:lang w:val="en-GB"/>
        </w:rPr>
        <w:t>abemaciclib with fulvestrant is not recommended</w:t>
      </w:r>
      <w:r w:rsidRPr="002178F5">
        <w:t xml:space="preserve"> </w:t>
      </w:r>
      <w:r w:rsidR="00D6204A">
        <w:rPr>
          <w:lang w:val="en-US"/>
        </w:rPr>
        <w:t>for</w:t>
      </w:r>
      <w:r w:rsidR="00D6204A" w:rsidRPr="008F4B5D">
        <w:rPr>
          <w:lang w:val="en-US"/>
        </w:rPr>
        <w:t xml:space="preserve"> </w:t>
      </w:r>
      <w:r w:rsidR="00D6204A" w:rsidRPr="008F4B5D">
        <w:rPr>
          <w:lang w:val="en-US"/>
        </w:rPr>
        <w:lastRenderedPageBreak/>
        <w:t>treating hormone</w:t>
      </w:r>
      <w:r w:rsidR="00826146">
        <w:rPr>
          <w:lang w:val="en-US"/>
        </w:rPr>
        <w:t xml:space="preserve"> </w:t>
      </w:r>
      <w:r w:rsidR="00D6204A" w:rsidRPr="008F4B5D">
        <w:rPr>
          <w:lang w:val="en-US"/>
        </w:rPr>
        <w:t>receptor</w:t>
      </w:r>
      <w:r w:rsidR="00826146">
        <w:rPr>
          <w:lang w:val="en-US"/>
        </w:rPr>
        <w:t>-</w:t>
      </w:r>
      <w:r w:rsidR="00D6204A" w:rsidRPr="008F4B5D">
        <w:rPr>
          <w:lang w:val="en-US"/>
        </w:rPr>
        <w:t xml:space="preserve">positive, HER2-negative </w:t>
      </w:r>
      <w:r w:rsidR="0028488A" w:rsidRPr="008F4B5D">
        <w:rPr>
          <w:lang w:val="en-US"/>
        </w:rPr>
        <w:t xml:space="preserve">advanced </w:t>
      </w:r>
      <w:r w:rsidR="00D6204A" w:rsidRPr="008F4B5D">
        <w:rPr>
          <w:lang w:val="en-US"/>
        </w:rPr>
        <w:t>breast cancer after endocrine therapy</w:t>
      </w:r>
      <w:r w:rsidR="00D6204A">
        <w:rPr>
          <w:lang w:val="en-US"/>
        </w:rPr>
        <w:t>.</w:t>
      </w:r>
    </w:p>
    <w:p w14:paraId="38980533" w14:textId="77777777" w:rsidR="000F48EC" w:rsidRPr="000F48EC" w:rsidRDefault="007A2801" w:rsidP="002E73E7">
      <w:pPr>
        <w:pStyle w:val="Numberedheading1"/>
      </w:pPr>
      <w:r>
        <w:t xml:space="preserve">Proposed date for </w:t>
      </w:r>
      <w:r w:rsidR="00000441">
        <w:t>r</w:t>
      </w:r>
      <w:r w:rsidR="000F48EC" w:rsidRPr="000F48EC">
        <w:t>eview of guidance</w:t>
      </w:r>
    </w:p>
    <w:p w14:paraId="3B0C56A3" w14:textId="1D3C3285" w:rsidR="001823EB" w:rsidRDefault="001823EB" w:rsidP="005F3E3D">
      <w:pPr>
        <w:pStyle w:val="Numberedlevel2text"/>
      </w:pPr>
      <w:r w:rsidRPr="00044CC7">
        <w:t xml:space="preserve">NICE proposes that the guidance on this technology is considered for review by the </w:t>
      </w:r>
      <w:r>
        <w:t>g</w:t>
      </w:r>
      <w:r w:rsidRPr="00044CC7">
        <w:t xml:space="preserve">uidance </w:t>
      </w:r>
      <w:r>
        <w:t>e</w:t>
      </w:r>
      <w:r w:rsidRPr="00044CC7">
        <w:t>xecutive</w:t>
      </w:r>
      <w:r>
        <w:t xml:space="preserve"> 3 years after publication of the guidance</w:t>
      </w:r>
      <w:r w:rsidRPr="00044CC7">
        <w:t xml:space="preserve">. NICE welcomes comment on this proposed date. The </w:t>
      </w:r>
      <w:r>
        <w:t>g</w:t>
      </w:r>
      <w:r w:rsidRPr="00044CC7">
        <w:t xml:space="preserve">uidance </w:t>
      </w:r>
      <w:r>
        <w:t>e</w:t>
      </w:r>
      <w:r w:rsidRPr="00044CC7">
        <w:t>xecutive will decide whether the technology should be reviewed based on information gathered by NICE, and in consultation with consultees and commentators.</w:t>
      </w:r>
    </w:p>
    <w:p w14:paraId="3735F769" w14:textId="0275F4C4" w:rsidR="004845D0" w:rsidRDefault="005F3E3D" w:rsidP="0058610F">
      <w:pPr>
        <w:pStyle w:val="NICEnormal"/>
      </w:pPr>
      <w:r>
        <w:t>Jane Adam</w:t>
      </w:r>
      <w:r w:rsidR="004845D0">
        <w:br/>
      </w:r>
      <w:r w:rsidR="004845D0" w:rsidRPr="000F2D8A">
        <w:t xml:space="preserve">Chair, </w:t>
      </w:r>
      <w:r w:rsidR="003847B9">
        <w:t>a</w:t>
      </w:r>
      <w:r w:rsidR="004845D0" w:rsidRPr="000F2D8A">
        <w:t xml:space="preserve">ppraisal </w:t>
      </w:r>
      <w:r w:rsidR="003847B9">
        <w:t>c</w:t>
      </w:r>
      <w:r w:rsidR="004845D0" w:rsidRPr="000F2D8A">
        <w:t>ommittee</w:t>
      </w:r>
      <w:r w:rsidR="004845D0">
        <w:br/>
      </w:r>
      <w:r w:rsidR="00DA45CE">
        <w:t xml:space="preserve">February </w:t>
      </w:r>
      <w:r>
        <w:t>202</w:t>
      </w:r>
      <w:r w:rsidR="0058610F">
        <w:t>1</w:t>
      </w:r>
    </w:p>
    <w:p w14:paraId="2C6137A9" w14:textId="77777777" w:rsidR="00B16431" w:rsidRPr="007D7F83" w:rsidRDefault="00B16431" w:rsidP="00B16431">
      <w:pPr>
        <w:pStyle w:val="Numberedheading1"/>
        <w:numPr>
          <w:ilvl w:val="0"/>
          <w:numId w:val="1"/>
        </w:numPr>
      </w:pPr>
      <w:r w:rsidRPr="007D7F83">
        <w:t xml:space="preserve">Appraisal </w:t>
      </w:r>
      <w:r w:rsidR="00343B53">
        <w:t>c</w:t>
      </w:r>
      <w:r w:rsidRPr="007D7F83">
        <w:t>ommittee members and NICE project team</w:t>
      </w:r>
    </w:p>
    <w:p w14:paraId="28A110EF" w14:textId="77777777" w:rsidR="00B16431" w:rsidRPr="007D7F83" w:rsidRDefault="00B16431" w:rsidP="00B16431">
      <w:pPr>
        <w:pStyle w:val="Heading2"/>
      </w:pPr>
      <w:bookmarkStart w:id="4" w:name="_Appraisal_committee_members"/>
      <w:bookmarkEnd w:id="4"/>
      <w:r w:rsidRPr="007D7F83">
        <w:t xml:space="preserve">Appraisal </w:t>
      </w:r>
      <w:r w:rsidR="00343B53">
        <w:t>c</w:t>
      </w:r>
      <w:r w:rsidRPr="007D7F83">
        <w:t>ommittee members</w:t>
      </w:r>
    </w:p>
    <w:p w14:paraId="330DCD81" w14:textId="023BAD51" w:rsidR="005F3E3D" w:rsidRDefault="002F2583" w:rsidP="005F3E3D">
      <w:pPr>
        <w:pStyle w:val="NICEnormal"/>
        <w:rPr>
          <w:rFonts w:cs="Arial"/>
          <w:iCs/>
          <w:lang w:eastAsia="en-GB"/>
        </w:rPr>
      </w:pPr>
      <w:r>
        <w:t xml:space="preserve">The 4 technology appraisal committees are standing advisory committees of NICE. This topic was considered by </w:t>
      </w:r>
      <w:r w:rsidR="005F3E3D" w:rsidRPr="005F3E3D">
        <w:rPr>
          <w:rFonts w:eastAsia="Calibri"/>
        </w:rPr>
        <w:t>c</w:t>
      </w:r>
      <w:r w:rsidR="005F3E3D">
        <w:rPr>
          <w:rFonts w:eastAsia="Calibri"/>
        </w:rPr>
        <w:t>ommittee A</w:t>
      </w:r>
      <w:r>
        <w:t xml:space="preserve">. </w:t>
      </w:r>
      <w:r w:rsidR="005F3E3D" w:rsidRPr="00AC37CE">
        <w:rPr>
          <w:rFonts w:cs="Arial"/>
          <w:iCs/>
          <w:lang w:eastAsia="en-GB"/>
        </w:rPr>
        <w:t xml:space="preserve">The names of the members who attended are in the </w:t>
      </w:r>
      <w:hyperlink r:id="rId19" w:history="1">
        <w:r w:rsidR="005F3E3D" w:rsidRPr="007620C2">
          <w:rPr>
            <w:rStyle w:val="Hyperlink"/>
            <w:rFonts w:cs="Arial"/>
            <w:iCs/>
            <w:lang w:eastAsia="en-GB"/>
          </w:rPr>
          <w:t>minutes of the appraisal committee meeting</w:t>
        </w:r>
      </w:hyperlink>
      <w:r w:rsidR="005F3E3D" w:rsidRPr="00AC37CE">
        <w:rPr>
          <w:rFonts w:cs="Arial"/>
          <w:iCs/>
          <w:lang w:eastAsia="en-GB"/>
        </w:rPr>
        <w:t>, which are posted on the NICE website.</w:t>
      </w:r>
    </w:p>
    <w:p w14:paraId="704ACBFC" w14:textId="4674B30D" w:rsidR="002F2583" w:rsidRDefault="002F2583" w:rsidP="005F3E3D">
      <w:pPr>
        <w:pStyle w:val="NICEnormal"/>
      </w:pPr>
      <w:r>
        <w:t>Committee members are asked to declare any interests in the technology to be appraised. If it is considered there is a conflict of interest, the member is excluded from participating further in that appraisal.</w:t>
      </w:r>
    </w:p>
    <w:p w14:paraId="798C07A8" w14:textId="77777777" w:rsidR="00B16431" w:rsidRPr="007D7F83" w:rsidRDefault="00B16431" w:rsidP="00B16431">
      <w:pPr>
        <w:pStyle w:val="Heading2"/>
      </w:pPr>
      <w:r w:rsidRPr="007D7F83">
        <w:t>NICE project team</w:t>
      </w:r>
    </w:p>
    <w:p w14:paraId="0C0EA7AE" w14:textId="0605D429" w:rsidR="00B16431" w:rsidRPr="000F2D8A" w:rsidRDefault="00B16431" w:rsidP="005F3E3D">
      <w:pPr>
        <w:pStyle w:val="NICEnormal"/>
      </w:pPr>
      <w:r w:rsidRPr="0058413D">
        <w:t xml:space="preserve">Each technology appraisal is assigned to a team consisting of </w:t>
      </w:r>
      <w:r>
        <w:t>1</w:t>
      </w:r>
      <w:r w:rsidRPr="0058413D">
        <w:t xml:space="preserve"> or more health technology analysts (who act as technical leads for the appraisal), a technical adviser and a project manager.</w:t>
      </w:r>
    </w:p>
    <w:p w14:paraId="29436434" w14:textId="2A78EF1A" w:rsidR="00B16431" w:rsidRPr="000F2D8A" w:rsidRDefault="005F3E3D" w:rsidP="00B16431">
      <w:pPr>
        <w:pStyle w:val="NICEnormal"/>
      </w:pPr>
      <w:bookmarkStart w:id="5" w:name="Text45"/>
      <w:r>
        <w:rPr>
          <w:b/>
        </w:rPr>
        <w:lastRenderedPageBreak/>
        <w:t>Sue Harnan</w:t>
      </w:r>
      <w:r w:rsidR="00B16431">
        <w:br/>
      </w:r>
      <w:r w:rsidR="00B16431" w:rsidRPr="000F2D8A">
        <w:t xml:space="preserve">Technical </w:t>
      </w:r>
      <w:r w:rsidR="00E65C76">
        <w:t>l</w:t>
      </w:r>
      <w:r>
        <w:t>ead</w:t>
      </w:r>
    </w:p>
    <w:p w14:paraId="1967D5E4" w14:textId="39602623" w:rsidR="00B16431" w:rsidRPr="000F2D8A" w:rsidRDefault="005F3E3D" w:rsidP="00B16431">
      <w:pPr>
        <w:pStyle w:val="NICEnormal"/>
      </w:pPr>
      <w:r>
        <w:rPr>
          <w:b/>
        </w:rPr>
        <w:t>Emily Eaton</w:t>
      </w:r>
      <w:r w:rsidR="00E968AA">
        <w:rPr>
          <w:b/>
        </w:rPr>
        <w:t xml:space="preserve"> </w:t>
      </w:r>
      <w:r>
        <w:rPr>
          <w:b/>
        </w:rPr>
        <w:t>Turner</w:t>
      </w:r>
      <w:r w:rsidR="00B16431">
        <w:br/>
      </w:r>
      <w:r w:rsidR="00B16431" w:rsidRPr="00AF59A2">
        <w:t xml:space="preserve">Technical </w:t>
      </w:r>
      <w:r w:rsidR="00E65C76">
        <w:t>a</w:t>
      </w:r>
      <w:r w:rsidR="00B16431" w:rsidRPr="00AF59A2">
        <w:t>dviser</w:t>
      </w:r>
    </w:p>
    <w:p w14:paraId="3F854BBE" w14:textId="3B72A97A" w:rsidR="00B16431" w:rsidRPr="005F3E3D" w:rsidRDefault="005F3E3D" w:rsidP="005F3E3D">
      <w:pPr>
        <w:pStyle w:val="NICEnormal"/>
        <w:rPr>
          <w:b/>
        </w:rPr>
      </w:pPr>
      <w:r>
        <w:rPr>
          <w:b/>
        </w:rPr>
        <w:t>Thomas F</w:t>
      </w:r>
      <w:r w:rsidR="00DB7D14">
        <w:rPr>
          <w:b/>
        </w:rPr>
        <w:t>ei</w:t>
      </w:r>
      <w:r>
        <w:rPr>
          <w:b/>
        </w:rPr>
        <w:t>st</w:t>
      </w:r>
      <w:r w:rsidR="00B16431">
        <w:br/>
      </w:r>
      <w:r w:rsidR="00B16431" w:rsidRPr="000F2D8A">
        <w:t xml:space="preserve">Project </w:t>
      </w:r>
      <w:r w:rsidR="00E65C76">
        <w:t>m</w:t>
      </w:r>
      <w:r w:rsidR="00B16431" w:rsidRPr="000F2D8A">
        <w:t>anager</w:t>
      </w:r>
      <w:bookmarkEnd w:id="5"/>
    </w:p>
    <w:p w14:paraId="77B78F89" w14:textId="77777777" w:rsidR="006E7647" w:rsidRPr="000F48EC" w:rsidRDefault="006E7647" w:rsidP="00F05E37">
      <w:pPr>
        <w:pStyle w:val="NICEnormal"/>
      </w:pPr>
      <w:r>
        <w:t xml:space="preserve">ISBN: </w:t>
      </w:r>
      <w:r w:rsidRPr="004D7C92">
        <w:rPr>
          <w:highlight w:val="green"/>
        </w:rPr>
        <w:t>[to be added at publication]</w:t>
      </w:r>
    </w:p>
    <w:sectPr w:rsidR="006E7647" w:rsidRPr="000F48EC" w:rsidSect="00C76DDA">
      <w:headerReference w:type="default" r:id="rId20"/>
      <w:footerReference w:type="default" r:id="rId2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230E" w14:textId="77777777" w:rsidR="001C2CBF" w:rsidRDefault="001C2CBF">
      <w:r>
        <w:separator/>
      </w:r>
    </w:p>
  </w:endnote>
  <w:endnote w:type="continuationSeparator" w:id="0">
    <w:p w14:paraId="5BFC36FA" w14:textId="77777777" w:rsidR="001C2CBF" w:rsidRDefault="001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0873" w14:textId="68DF2138" w:rsidR="001C2CBF" w:rsidRPr="003D33FB" w:rsidRDefault="001C2CBF" w:rsidP="007A7EC8">
    <w:pPr>
      <w:pStyle w:val="NICEnormalsinglespacing"/>
      <w:spacing w:after="120"/>
      <w:rPr>
        <w:sz w:val="18"/>
        <w:szCs w:val="18"/>
      </w:rPr>
    </w:pPr>
    <w:r>
      <w:rPr>
        <w:sz w:val="18"/>
        <w:szCs w:val="18"/>
      </w:rPr>
      <w:t xml:space="preserve">Appraisal consultation document </w:t>
    </w:r>
    <w:r w:rsidRPr="003D33FB">
      <w:rPr>
        <w:sz w:val="18"/>
        <w:szCs w:val="18"/>
      </w:rPr>
      <w:t xml:space="preserve">– </w:t>
    </w:r>
    <w:r w:rsidRPr="000905C7">
      <w:rPr>
        <w:sz w:val="18"/>
        <w:szCs w:val="18"/>
      </w:rPr>
      <w:t>Abemaciclib with fulvestrant for treating advanced hormone</w:t>
    </w:r>
    <w:r>
      <w:rPr>
        <w:sz w:val="18"/>
        <w:szCs w:val="18"/>
      </w:rPr>
      <w:t xml:space="preserve"> </w:t>
    </w:r>
    <w:r w:rsidRPr="000905C7">
      <w:rPr>
        <w:sz w:val="18"/>
        <w:szCs w:val="18"/>
      </w:rPr>
      <w:t>receptor</w:t>
    </w:r>
    <w:r>
      <w:rPr>
        <w:sz w:val="18"/>
        <w:szCs w:val="18"/>
      </w:rPr>
      <w:t>-</w:t>
    </w:r>
    <w:r w:rsidRPr="000905C7">
      <w:rPr>
        <w:sz w:val="18"/>
        <w:szCs w:val="18"/>
      </w:rPr>
      <w:t>positive, HER2-negative breast cancer after endocrine therapy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39118D">
      <w:rPr>
        <w:rStyle w:val="PageNumber"/>
        <w:sz w:val="20"/>
        <w:szCs w:val="20"/>
      </w:rPr>
      <w:t xml:space="preserve">Page </w:t>
    </w:r>
    <w:r w:rsidRPr="0039118D">
      <w:rPr>
        <w:rStyle w:val="PageNumber"/>
        <w:sz w:val="20"/>
        <w:szCs w:val="20"/>
      </w:rPr>
      <w:fldChar w:fldCharType="begin"/>
    </w:r>
    <w:r w:rsidRPr="0039118D">
      <w:rPr>
        <w:rStyle w:val="PageNumber"/>
        <w:sz w:val="20"/>
        <w:szCs w:val="20"/>
      </w:rPr>
      <w:instrText xml:space="preserve"> PAGE </w:instrText>
    </w:r>
    <w:r w:rsidRPr="0039118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16</w:t>
    </w:r>
    <w:r w:rsidRPr="0039118D">
      <w:rPr>
        <w:rStyle w:val="PageNumber"/>
        <w:sz w:val="20"/>
        <w:szCs w:val="20"/>
      </w:rPr>
      <w:fldChar w:fldCharType="end"/>
    </w:r>
    <w:r w:rsidRPr="0039118D">
      <w:rPr>
        <w:rStyle w:val="PageNumber"/>
        <w:sz w:val="20"/>
        <w:szCs w:val="20"/>
      </w:rPr>
      <w:t xml:space="preserve"> of </w:t>
    </w:r>
    <w:r w:rsidRPr="0039118D">
      <w:rPr>
        <w:rStyle w:val="PageNumber"/>
        <w:sz w:val="20"/>
        <w:szCs w:val="20"/>
      </w:rPr>
      <w:fldChar w:fldCharType="begin"/>
    </w:r>
    <w:r w:rsidRPr="0039118D">
      <w:rPr>
        <w:rStyle w:val="PageNumber"/>
        <w:sz w:val="20"/>
        <w:szCs w:val="20"/>
      </w:rPr>
      <w:instrText xml:space="preserve"> NUMPAGES </w:instrText>
    </w:r>
    <w:r w:rsidRPr="0039118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39118D">
      <w:rPr>
        <w:rStyle w:val="PageNumber"/>
        <w:sz w:val="20"/>
        <w:szCs w:val="20"/>
      </w:rPr>
      <w:fldChar w:fldCharType="end"/>
    </w:r>
  </w:p>
  <w:p w14:paraId="0E62191E" w14:textId="52896ECA" w:rsidR="001C2CBF" w:rsidRDefault="001C2CBF" w:rsidP="007A7EC8">
    <w:pPr>
      <w:pStyle w:val="NICEnormalsinglespacing"/>
      <w:spacing w:after="120"/>
      <w:rPr>
        <w:sz w:val="18"/>
        <w:szCs w:val="18"/>
      </w:rPr>
    </w:pPr>
    <w:r w:rsidRPr="003D33FB">
      <w:rPr>
        <w:sz w:val="18"/>
        <w:szCs w:val="18"/>
      </w:rPr>
      <w:t xml:space="preserve">Issue date: </w:t>
    </w:r>
    <w:r>
      <w:rPr>
        <w:sz w:val="18"/>
        <w:szCs w:val="18"/>
      </w:rPr>
      <w:t>February 2021</w:t>
    </w:r>
  </w:p>
  <w:p w14:paraId="646A589B" w14:textId="74BBF7E5" w:rsidR="001C2CBF" w:rsidRPr="007A7EC8" w:rsidRDefault="001C2CBF" w:rsidP="007A7EC8">
    <w:pPr>
      <w:pStyle w:val="NICEnormalsinglespacing"/>
      <w:spacing w:after="120"/>
    </w:pPr>
    <w:r>
      <w:rPr>
        <w:sz w:val="18"/>
        <w:szCs w:val="18"/>
      </w:rPr>
      <w:t xml:space="preserve">© NICE 2021. All rights reserved. Subject to </w:t>
    </w:r>
    <w:hyperlink r:id="rId1" w:history="1">
      <w:r>
        <w:rPr>
          <w:rStyle w:val="Hyperlink"/>
          <w:sz w:val="18"/>
          <w:szCs w:val="18"/>
        </w:rPr>
        <w:t>Notice of rights</w:t>
      </w:r>
    </w:hyperlink>
    <w:r w:rsidRPr="00D40674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304B1" w14:textId="77777777" w:rsidR="001C2CBF" w:rsidRDefault="001C2CBF">
      <w:r>
        <w:separator/>
      </w:r>
    </w:p>
  </w:footnote>
  <w:footnote w:type="continuationSeparator" w:id="0">
    <w:p w14:paraId="556B0C06" w14:textId="77777777" w:rsidR="001C2CBF" w:rsidRDefault="001C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25F92" w14:textId="77777777" w:rsidR="001C2CBF" w:rsidRPr="004E6427" w:rsidRDefault="001C2CBF" w:rsidP="004E6427">
    <w:pPr>
      <w:pStyle w:val="Header"/>
      <w:jc w:val="right"/>
      <w:rPr>
        <w:b/>
      </w:rPr>
    </w:pPr>
    <w:r w:rsidRPr="004E6427">
      <w:rPr>
        <w:b/>
      </w:rPr>
      <w:t>CONFIDENTIAL</w:t>
    </w:r>
    <w:r>
      <w:rPr>
        <w:b/>
      </w:rPr>
      <w:t xml:space="preserve"> UNTIL PUBLISHED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392234"/>
    <w:multiLevelType w:val="hybridMultilevel"/>
    <w:tmpl w:val="B148C2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390C4D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26E2E"/>
    <w:multiLevelType w:val="hybridMultilevel"/>
    <w:tmpl w:val="5EB82B2A"/>
    <w:lvl w:ilvl="0" w:tplc="C824C56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865B8"/>
    <w:multiLevelType w:val="hybridMultilevel"/>
    <w:tmpl w:val="0B72998A"/>
    <w:lvl w:ilvl="0" w:tplc="C178C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CA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69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EB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07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9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2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C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CE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2B33D5"/>
    <w:multiLevelType w:val="multilevel"/>
    <w:tmpl w:val="5DFCF880"/>
    <w:lvl w:ilvl="0">
      <w:start w:val="1"/>
      <w:numFmt w:val="decimal"/>
      <w:lvlText w:val="%1"/>
      <w:lvlJc w:val="left"/>
      <w:pPr>
        <w:ind w:left="360" w:hanging="360"/>
      </w:pPr>
      <w:rPr>
        <w:rFonts w:eastAsia="Calibri" w:cs="Arial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Arial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Arial"/>
      </w:rPr>
    </w:lvl>
  </w:abstractNum>
  <w:abstractNum w:abstractNumId="19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6"/>
  </w:num>
  <w:num w:numId="22">
    <w:abstractNumId w:val="13"/>
  </w:num>
  <w:num w:numId="23">
    <w:abstractNumId w:val="14"/>
  </w:num>
  <w:num w:numId="24">
    <w:abstractNumId w:val="6"/>
  </w:num>
  <w:num w:numId="25">
    <w:abstractNumId w:val="13"/>
  </w:num>
  <w:num w:numId="26">
    <w:abstractNumId w:val="11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16"/>
  </w:num>
  <w:num w:numId="33">
    <w:abstractNumId w:val="16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0"/>
    <w:rsid w:val="00000441"/>
    <w:rsid w:val="00000AE4"/>
    <w:rsid w:val="00003231"/>
    <w:rsid w:val="00006590"/>
    <w:rsid w:val="000069A4"/>
    <w:rsid w:val="000069F9"/>
    <w:rsid w:val="0000727D"/>
    <w:rsid w:val="000108D8"/>
    <w:rsid w:val="000119FB"/>
    <w:rsid w:val="00012427"/>
    <w:rsid w:val="00012C4D"/>
    <w:rsid w:val="00014990"/>
    <w:rsid w:val="00016A22"/>
    <w:rsid w:val="00016E5E"/>
    <w:rsid w:val="00017610"/>
    <w:rsid w:val="000205C6"/>
    <w:rsid w:val="0002180B"/>
    <w:rsid w:val="00021FB0"/>
    <w:rsid w:val="000221AA"/>
    <w:rsid w:val="000230AF"/>
    <w:rsid w:val="0002331F"/>
    <w:rsid w:val="00023F26"/>
    <w:rsid w:val="000249F8"/>
    <w:rsid w:val="00026E82"/>
    <w:rsid w:val="000276D5"/>
    <w:rsid w:val="00030676"/>
    <w:rsid w:val="00030714"/>
    <w:rsid w:val="00031522"/>
    <w:rsid w:val="0003322C"/>
    <w:rsid w:val="00034110"/>
    <w:rsid w:val="000350A6"/>
    <w:rsid w:val="00035A59"/>
    <w:rsid w:val="00035AC1"/>
    <w:rsid w:val="00036153"/>
    <w:rsid w:val="000368FC"/>
    <w:rsid w:val="000370A8"/>
    <w:rsid w:val="000376EE"/>
    <w:rsid w:val="000415CB"/>
    <w:rsid w:val="000421F8"/>
    <w:rsid w:val="00043262"/>
    <w:rsid w:val="00045528"/>
    <w:rsid w:val="00045D7D"/>
    <w:rsid w:val="00050171"/>
    <w:rsid w:val="00050625"/>
    <w:rsid w:val="00050974"/>
    <w:rsid w:val="00050C91"/>
    <w:rsid w:val="00051963"/>
    <w:rsid w:val="00052063"/>
    <w:rsid w:val="00054B8C"/>
    <w:rsid w:val="00054D30"/>
    <w:rsid w:val="000557DC"/>
    <w:rsid w:val="00055DDF"/>
    <w:rsid w:val="000569AD"/>
    <w:rsid w:val="000576F0"/>
    <w:rsid w:val="00057724"/>
    <w:rsid w:val="00061C83"/>
    <w:rsid w:val="00064456"/>
    <w:rsid w:val="0006624B"/>
    <w:rsid w:val="00066629"/>
    <w:rsid w:val="000711F1"/>
    <w:rsid w:val="00072BC5"/>
    <w:rsid w:val="000738CA"/>
    <w:rsid w:val="00073CD8"/>
    <w:rsid w:val="00073DA8"/>
    <w:rsid w:val="00074DCE"/>
    <w:rsid w:val="000755E6"/>
    <w:rsid w:val="000764D3"/>
    <w:rsid w:val="0007738A"/>
    <w:rsid w:val="00077D8C"/>
    <w:rsid w:val="00080A47"/>
    <w:rsid w:val="00080FB6"/>
    <w:rsid w:val="00082F77"/>
    <w:rsid w:val="000841DB"/>
    <w:rsid w:val="00085C5A"/>
    <w:rsid w:val="000862FC"/>
    <w:rsid w:val="00086308"/>
    <w:rsid w:val="00087323"/>
    <w:rsid w:val="000879ED"/>
    <w:rsid w:val="000905C7"/>
    <w:rsid w:val="00091D55"/>
    <w:rsid w:val="00093649"/>
    <w:rsid w:val="0009455D"/>
    <w:rsid w:val="00095414"/>
    <w:rsid w:val="00096246"/>
    <w:rsid w:val="000A0A6E"/>
    <w:rsid w:val="000A0C63"/>
    <w:rsid w:val="000A1A53"/>
    <w:rsid w:val="000A1A9F"/>
    <w:rsid w:val="000A4016"/>
    <w:rsid w:val="000A5902"/>
    <w:rsid w:val="000A5CD0"/>
    <w:rsid w:val="000A60B4"/>
    <w:rsid w:val="000A6C40"/>
    <w:rsid w:val="000B1027"/>
    <w:rsid w:val="000B35B6"/>
    <w:rsid w:val="000B48A8"/>
    <w:rsid w:val="000B70D6"/>
    <w:rsid w:val="000B7F7A"/>
    <w:rsid w:val="000C04A1"/>
    <w:rsid w:val="000C194F"/>
    <w:rsid w:val="000C2222"/>
    <w:rsid w:val="000C468D"/>
    <w:rsid w:val="000C53E6"/>
    <w:rsid w:val="000D0634"/>
    <w:rsid w:val="000D09ED"/>
    <w:rsid w:val="000D0A35"/>
    <w:rsid w:val="000D0A87"/>
    <w:rsid w:val="000D0FB1"/>
    <w:rsid w:val="000D11B8"/>
    <w:rsid w:val="000D145B"/>
    <w:rsid w:val="000D1D50"/>
    <w:rsid w:val="000D3CF6"/>
    <w:rsid w:val="000D4D87"/>
    <w:rsid w:val="000D6016"/>
    <w:rsid w:val="000D7185"/>
    <w:rsid w:val="000E081D"/>
    <w:rsid w:val="000E1B4E"/>
    <w:rsid w:val="000E1CED"/>
    <w:rsid w:val="000E20D9"/>
    <w:rsid w:val="000E212E"/>
    <w:rsid w:val="000E24BD"/>
    <w:rsid w:val="000E259A"/>
    <w:rsid w:val="000E29D1"/>
    <w:rsid w:val="000E2B65"/>
    <w:rsid w:val="000E6F19"/>
    <w:rsid w:val="000E70F6"/>
    <w:rsid w:val="000F1B3B"/>
    <w:rsid w:val="000F1E3F"/>
    <w:rsid w:val="000F3DBC"/>
    <w:rsid w:val="000F48EC"/>
    <w:rsid w:val="000F5D8D"/>
    <w:rsid w:val="000F6B67"/>
    <w:rsid w:val="00100407"/>
    <w:rsid w:val="001017A9"/>
    <w:rsid w:val="00101F34"/>
    <w:rsid w:val="001030E1"/>
    <w:rsid w:val="001033D5"/>
    <w:rsid w:val="001039F7"/>
    <w:rsid w:val="001043DD"/>
    <w:rsid w:val="00105409"/>
    <w:rsid w:val="00107DBD"/>
    <w:rsid w:val="00113666"/>
    <w:rsid w:val="001164FF"/>
    <w:rsid w:val="001169FE"/>
    <w:rsid w:val="00116D19"/>
    <w:rsid w:val="00117513"/>
    <w:rsid w:val="001209CD"/>
    <w:rsid w:val="00121E78"/>
    <w:rsid w:val="001230AC"/>
    <w:rsid w:val="00123F4B"/>
    <w:rsid w:val="00124604"/>
    <w:rsid w:val="001265C0"/>
    <w:rsid w:val="0013292C"/>
    <w:rsid w:val="001337B7"/>
    <w:rsid w:val="00133921"/>
    <w:rsid w:val="001344B3"/>
    <w:rsid w:val="00134CCB"/>
    <w:rsid w:val="00134DA7"/>
    <w:rsid w:val="00140C93"/>
    <w:rsid w:val="00141D87"/>
    <w:rsid w:val="001420FD"/>
    <w:rsid w:val="00142F29"/>
    <w:rsid w:val="00143536"/>
    <w:rsid w:val="001437D0"/>
    <w:rsid w:val="00145B2F"/>
    <w:rsid w:val="001464B2"/>
    <w:rsid w:val="0015007A"/>
    <w:rsid w:val="00150440"/>
    <w:rsid w:val="00151D8E"/>
    <w:rsid w:val="001546ED"/>
    <w:rsid w:val="001570BC"/>
    <w:rsid w:val="001579BF"/>
    <w:rsid w:val="00161AA0"/>
    <w:rsid w:val="00163983"/>
    <w:rsid w:val="001662BC"/>
    <w:rsid w:val="00166DD1"/>
    <w:rsid w:val="001671F2"/>
    <w:rsid w:val="0017072D"/>
    <w:rsid w:val="00170B60"/>
    <w:rsid w:val="00171A2B"/>
    <w:rsid w:val="00176FB2"/>
    <w:rsid w:val="00177C9A"/>
    <w:rsid w:val="0018222A"/>
    <w:rsid w:val="001823EB"/>
    <w:rsid w:val="00183590"/>
    <w:rsid w:val="00183D7E"/>
    <w:rsid w:val="00184A64"/>
    <w:rsid w:val="0018716E"/>
    <w:rsid w:val="001873CB"/>
    <w:rsid w:val="00191B56"/>
    <w:rsid w:val="00193945"/>
    <w:rsid w:val="001956FC"/>
    <w:rsid w:val="00196FE1"/>
    <w:rsid w:val="0019718A"/>
    <w:rsid w:val="001A1AE2"/>
    <w:rsid w:val="001A2614"/>
    <w:rsid w:val="001A479C"/>
    <w:rsid w:val="001A5561"/>
    <w:rsid w:val="001B076D"/>
    <w:rsid w:val="001B2DD8"/>
    <w:rsid w:val="001B2DED"/>
    <w:rsid w:val="001B2F9D"/>
    <w:rsid w:val="001B7E00"/>
    <w:rsid w:val="001C0EF4"/>
    <w:rsid w:val="001C2CBF"/>
    <w:rsid w:val="001C4442"/>
    <w:rsid w:val="001C59E4"/>
    <w:rsid w:val="001C5E78"/>
    <w:rsid w:val="001D0712"/>
    <w:rsid w:val="001D1778"/>
    <w:rsid w:val="001D1D43"/>
    <w:rsid w:val="001D2A8A"/>
    <w:rsid w:val="001D338D"/>
    <w:rsid w:val="001D4919"/>
    <w:rsid w:val="001D6269"/>
    <w:rsid w:val="001D6B88"/>
    <w:rsid w:val="001E27E5"/>
    <w:rsid w:val="001E2CAF"/>
    <w:rsid w:val="001E4D37"/>
    <w:rsid w:val="001F1400"/>
    <w:rsid w:val="001F6078"/>
    <w:rsid w:val="001F7251"/>
    <w:rsid w:val="001F73ED"/>
    <w:rsid w:val="001F7D58"/>
    <w:rsid w:val="00200C9F"/>
    <w:rsid w:val="00200E22"/>
    <w:rsid w:val="00204F82"/>
    <w:rsid w:val="0021081C"/>
    <w:rsid w:val="00210E63"/>
    <w:rsid w:val="002119CD"/>
    <w:rsid w:val="00212D39"/>
    <w:rsid w:val="002139FA"/>
    <w:rsid w:val="00214BBA"/>
    <w:rsid w:val="0021540F"/>
    <w:rsid w:val="002159C9"/>
    <w:rsid w:val="00216A26"/>
    <w:rsid w:val="00217FB0"/>
    <w:rsid w:val="002218BC"/>
    <w:rsid w:val="00222BEA"/>
    <w:rsid w:val="00222DB7"/>
    <w:rsid w:val="00223543"/>
    <w:rsid w:val="00225439"/>
    <w:rsid w:val="00225F9B"/>
    <w:rsid w:val="002306B5"/>
    <w:rsid w:val="002308DF"/>
    <w:rsid w:val="00232061"/>
    <w:rsid w:val="00232377"/>
    <w:rsid w:val="00232C5D"/>
    <w:rsid w:val="00234D4E"/>
    <w:rsid w:val="00234F84"/>
    <w:rsid w:val="00235945"/>
    <w:rsid w:val="00235CAB"/>
    <w:rsid w:val="00240BA8"/>
    <w:rsid w:val="00253513"/>
    <w:rsid w:val="00253EB9"/>
    <w:rsid w:val="002555BE"/>
    <w:rsid w:val="00255679"/>
    <w:rsid w:val="0025718E"/>
    <w:rsid w:val="00257B1C"/>
    <w:rsid w:val="002614EA"/>
    <w:rsid w:val="002626F3"/>
    <w:rsid w:val="00263289"/>
    <w:rsid w:val="002649A9"/>
    <w:rsid w:val="00265B0E"/>
    <w:rsid w:val="002674D5"/>
    <w:rsid w:val="002737DC"/>
    <w:rsid w:val="00275BAB"/>
    <w:rsid w:val="00282C30"/>
    <w:rsid w:val="00282D7E"/>
    <w:rsid w:val="0028488A"/>
    <w:rsid w:val="00284F5C"/>
    <w:rsid w:val="0028583A"/>
    <w:rsid w:val="002867CB"/>
    <w:rsid w:val="0028774A"/>
    <w:rsid w:val="00287E9F"/>
    <w:rsid w:val="00290445"/>
    <w:rsid w:val="00292044"/>
    <w:rsid w:val="00293811"/>
    <w:rsid w:val="00293F1F"/>
    <w:rsid w:val="002A151A"/>
    <w:rsid w:val="002A2687"/>
    <w:rsid w:val="002A26EA"/>
    <w:rsid w:val="002A5C23"/>
    <w:rsid w:val="002A686F"/>
    <w:rsid w:val="002A6E8C"/>
    <w:rsid w:val="002A7016"/>
    <w:rsid w:val="002A7B98"/>
    <w:rsid w:val="002B073E"/>
    <w:rsid w:val="002B22FD"/>
    <w:rsid w:val="002B2D61"/>
    <w:rsid w:val="002B3340"/>
    <w:rsid w:val="002B5772"/>
    <w:rsid w:val="002B578A"/>
    <w:rsid w:val="002B5C6C"/>
    <w:rsid w:val="002B66B9"/>
    <w:rsid w:val="002B6D1D"/>
    <w:rsid w:val="002C048A"/>
    <w:rsid w:val="002C0551"/>
    <w:rsid w:val="002C0DC1"/>
    <w:rsid w:val="002C257D"/>
    <w:rsid w:val="002C2774"/>
    <w:rsid w:val="002C381D"/>
    <w:rsid w:val="002C4DFF"/>
    <w:rsid w:val="002C4E34"/>
    <w:rsid w:val="002C51C3"/>
    <w:rsid w:val="002C6362"/>
    <w:rsid w:val="002D0F7C"/>
    <w:rsid w:val="002D215D"/>
    <w:rsid w:val="002D79A7"/>
    <w:rsid w:val="002E2D5F"/>
    <w:rsid w:val="002E3F68"/>
    <w:rsid w:val="002E5C16"/>
    <w:rsid w:val="002E73E7"/>
    <w:rsid w:val="002F0AA7"/>
    <w:rsid w:val="002F1B28"/>
    <w:rsid w:val="002F22CA"/>
    <w:rsid w:val="002F2583"/>
    <w:rsid w:val="002F279A"/>
    <w:rsid w:val="002F2C1A"/>
    <w:rsid w:val="002F431C"/>
    <w:rsid w:val="002F4F5B"/>
    <w:rsid w:val="002F68FE"/>
    <w:rsid w:val="003003A9"/>
    <w:rsid w:val="00300DF8"/>
    <w:rsid w:val="00303156"/>
    <w:rsid w:val="00305240"/>
    <w:rsid w:val="00307C3E"/>
    <w:rsid w:val="003107AB"/>
    <w:rsid w:val="0031127A"/>
    <w:rsid w:val="00311A01"/>
    <w:rsid w:val="00313FBB"/>
    <w:rsid w:val="00314C1D"/>
    <w:rsid w:val="003152C0"/>
    <w:rsid w:val="003154E8"/>
    <w:rsid w:val="00315C29"/>
    <w:rsid w:val="0031664C"/>
    <w:rsid w:val="00317A3E"/>
    <w:rsid w:val="0032232A"/>
    <w:rsid w:val="003229AF"/>
    <w:rsid w:val="00324997"/>
    <w:rsid w:val="00324F14"/>
    <w:rsid w:val="003256B1"/>
    <w:rsid w:val="00330868"/>
    <w:rsid w:val="00331545"/>
    <w:rsid w:val="0033247E"/>
    <w:rsid w:val="003330E6"/>
    <w:rsid w:val="0033333E"/>
    <w:rsid w:val="003360F4"/>
    <w:rsid w:val="003368C0"/>
    <w:rsid w:val="00342690"/>
    <w:rsid w:val="00343439"/>
    <w:rsid w:val="00343937"/>
    <w:rsid w:val="00343B53"/>
    <w:rsid w:val="00345195"/>
    <w:rsid w:val="003459E9"/>
    <w:rsid w:val="00345A3D"/>
    <w:rsid w:val="00346BA7"/>
    <w:rsid w:val="00350C25"/>
    <w:rsid w:val="00354915"/>
    <w:rsid w:val="00355E55"/>
    <w:rsid w:val="00356871"/>
    <w:rsid w:val="00361AF0"/>
    <w:rsid w:val="003626CF"/>
    <w:rsid w:val="00363D5B"/>
    <w:rsid w:val="00364CB8"/>
    <w:rsid w:val="00364E30"/>
    <w:rsid w:val="00370CDA"/>
    <w:rsid w:val="00370EE4"/>
    <w:rsid w:val="003711A5"/>
    <w:rsid w:val="00372031"/>
    <w:rsid w:val="00373774"/>
    <w:rsid w:val="003738C2"/>
    <w:rsid w:val="003751B1"/>
    <w:rsid w:val="00383594"/>
    <w:rsid w:val="00383E90"/>
    <w:rsid w:val="003847B9"/>
    <w:rsid w:val="00385E85"/>
    <w:rsid w:val="0039118D"/>
    <w:rsid w:val="00391728"/>
    <w:rsid w:val="00391AC8"/>
    <w:rsid w:val="00392FB4"/>
    <w:rsid w:val="00393D4C"/>
    <w:rsid w:val="00393E2B"/>
    <w:rsid w:val="00394DFF"/>
    <w:rsid w:val="00395C05"/>
    <w:rsid w:val="003A0074"/>
    <w:rsid w:val="003A0250"/>
    <w:rsid w:val="003A04CD"/>
    <w:rsid w:val="003A11AB"/>
    <w:rsid w:val="003A1F14"/>
    <w:rsid w:val="003A3974"/>
    <w:rsid w:val="003A4E42"/>
    <w:rsid w:val="003A5838"/>
    <w:rsid w:val="003B0BC2"/>
    <w:rsid w:val="003B17A6"/>
    <w:rsid w:val="003B37BB"/>
    <w:rsid w:val="003C0A35"/>
    <w:rsid w:val="003C31F5"/>
    <w:rsid w:val="003C36AC"/>
    <w:rsid w:val="003C7EF9"/>
    <w:rsid w:val="003D0060"/>
    <w:rsid w:val="003D5BF8"/>
    <w:rsid w:val="003D5D79"/>
    <w:rsid w:val="003D68D5"/>
    <w:rsid w:val="003D7050"/>
    <w:rsid w:val="003E0DEA"/>
    <w:rsid w:val="003E14CF"/>
    <w:rsid w:val="003E1A46"/>
    <w:rsid w:val="003E5D65"/>
    <w:rsid w:val="003E684C"/>
    <w:rsid w:val="003E6892"/>
    <w:rsid w:val="003E6908"/>
    <w:rsid w:val="003F168A"/>
    <w:rsid w:val="003F6DD3"/>
    <w:rsid w:val="003F79F9"/>
    <w:rsid w:val="003F7E24"/>
    <w:rsid w:val="00401431"/>
    <w:rsid w:val="00403D85"/>
    <w:rsid w:val="004043E1"/>
    <w:rsid w:val="00404586"/>
    <w:rsid w:val="00407D59"/>
    <w:rsid w:val="0041385E"/>
    <w:rsid w:val="004144A2"/>
    <w:rsid w:val="0041525E"/>
    <w:rsid w:val="00415939"/>
    <w:rsid w:val="00420742"/>
    <w:rsid w:val="00421005"/>
    <w:rsid w:val="0042101B"/>
    <w:rsid w:val="00430446"/>
    <w:rsid w:val="00431372"/>
    <w:rsid w:val="00432773"/>
    <w:rsid w:val="004327F4"/>
    <w:rsid w:val="00433564"/>
    <w:rsid w:val="00434B7D"/>
    <w:rsid w:val="0043573E"/>
    <w:rsid w:val="004370D2"/>
    <w:rsid w:val="00437CA3"/>
    <w:rsid w:val="0044027B"/>
    <w:rsid w:val="004408F8"/>
    <w:rsid w:val="00442758"/>
    <w:rsid w:val="0044648F"/>
    <w:rsid w:val="00446DA2"/>
    <w:rsid w:val="004528D8"/>
    <w:rsid w:val="0045406D"/>
    <w:rsid w:val="00457843"/>
    <w:rsid w:val="00462002"/>
    <w:rsid w:val="0046212F"/>
    <w:rsid w:val="00462733"/>
    <w:rsid w:val="00463227"/>
    <w:rsid w:val="00463973"/>
    <w:rsid w:val="00463E98"/>
    <w:rsid w:val="00466674"/>
    <w:rsid w:val="00466F4F"/>
    <w:rsid w:val="00471113"/>
    <w:rsid w:val="00471200"/>
    <w:rsid w:val="004715F5"/>
    <w:rsid w:val="00472FF8"/>
    <w:rsid w:val="00475F03"/>
    <w:rsid w:val="00476A34"/>
    <w:rsid w:val="004804B3"/>
    <w:rsid w:val="00481D45"/>
    <w:rsid w:val="00481E06"/>
    <w:rsid w:val="004820E9"/>
    <w:rsid w:val="004821BD"/>
    <w:rsid w:val="00483119"/>
    <w:rsid w:val="0048361F"/>
    <w:rsid w:val="004845D0"/>
    <w:rsid w:val="0048494E"/>
    <w:rsid w:val="004852FF"/>
    <w:rsid w:val="00491B40"/>
    <w:rsid w:val="004921C3"/>
    <w:rsid w:val="004924E2"/>
    <w:rsid w:val="00492747"/>
    <w:rsid w:val="00492FDA"/>
    <w:rsid w:val="00494E73"/>
    <w:rsid w:val="004A2830"/>
    <w:rsid w:val="004A3FDD"/>
    <w:rsid w:val="004B1C2D"/>
    <w:rsid w:val="004B2978"/>
    <w:rsid w:val="004B3B5D"/>
    <w:rsid w:val="004B514C"/>
    <w:rsid w:val="004B53DA"/>
    <w:rsid w:val="004B5466"/>
    <w:rsid w:val="004B637B"/>
    <w:rsid w:val="004B6F3E"/>
    <w:rsid w:val="004B7D57"/>
    <w:rsid w:val="004C00D8"/>
    <w:rsid w:val="004C0DAD"/>
    <w:rsid w:val="004C1CD2"/>
    <w:rsid w:val="004C250E"/>
    <w:rsid w:val="004C3DAD"/>
    <w:rsid w:val="004C4918"/>
    <w:rsid w:val="004C4A3C"/>
    <w:rsid w:val="004C5923"/>
    <w:rsid w:val="004C59A6"/>
    <w:rsid w:val="004C609C"/>
    <w:rsid w:val="004C6116"/>
    <w:rsid w:val="004C7C61"/>
    <w:rsid w:val="004D0DFD"/>
    <w:rsid w:val="004D1FBE"/>
    <w:rsid w:val="004D4A86"/>
    <w:rsid w:val="004D7664"/>
    <w:rsid w:val="004E074F"/>
    <w:rsid w:val="004E6427"/>
    <w:rsid w:val="004E7625"/>
    <w:rsid w:val="004E7A60"/>
    <w:rsid w:val="004E7E43"/>
    <w:rsid w:val="004F01D5"/>
    <w:rsid w:val="004F1956"/>
    <w:rsid w:val="004F31AA"/>
    <w:rsid w:val="004F3D8B"/>
    <w:rsid w:val="004F5FC6"/>
    <w:rsid w:val="004F69FA"/>
    <w:rsid w:val="00501010"/>
    <w:rsid w:val="00501A84"/>
    <w:rsid w:val="005037B2"/>
    <w:rsid w:val="0050455E"/>
    <w:rsid w:val="005047AD"/>
    <w:rsid w:val="005056F8"/>
    <w:rsid w:val="00510B1D"/>
    <w:rsid w:val="0051107D"/>
    <w:rsid w:val="00511167"/>
    <w:rsid w:val="00512B8C"/>
    <w:rsid w:val="005144F9"/>
    <w:rsid w:val="0051667A"/>
    <w:rsid w:val="00520C7A"/>
    <w:rsid w:val="00522F86"/>
    <w:rsid w:val="00524E5B"/>
    <w:rsid w:val="00526C07"/>
    <w:rsid w:val="005273A6"/>
    <w:rsid w:val="005273DE"/>
    <w:rsid w:val="00527533"/>
    <w:rsid w:val="00527D9D"/>
    <w:rsid w:val="00527E88"/>
    <w:rsid w:val="005330DF"/>
    <w:rsid w:val="0053387C"/>
    <w:rsid w:val="00534F74"/>
    <w:rsid w:val="005351A1"/>
    <w:rsid w:val="00536789"/>
    <w:rsid w:val="00536D2F"/>
    <w:rsid w:val="00540052"/>
    <w:rsid w:val="0054146B"/>
    <w:rsid w:val="00542575"/>
    <w:rsid w:val="00543DB4"/>
    <w:rsid w:val="00543E08"/>
    <w:rsid w:val="005449AD"/>
    <w:rsid w:val="005462E2"/>
    <w:rsid w:val="005505A1"/>
    <w:rsid w:val="005505ED"/>
    <w:rsid w:val="00562627"/>
    <w:rsid w:val="00563AF8"/>
    <w:rsid w:val="00564B04"/>
    <w:rsid w:val="0056714D"/>
    <w:rsid w:val="0056785B"/>
    <w:rsid w:val="00570524"/>
    <w:rsid w:val="005707D5"/>
    <w:rsid w:val="00573059"/>
    <w:rsid w:val="005732FC"/>
    <w:rsid w:val="005743E3"/>
    <w:rsid w:val="0057475E"/>
    <w:rsid w:val="0057621E"/>
    <w:rsid w:val="00577B05"/>
    <w:rsid w:val="00580D6F"/>
    <w:rsid w:val="005812C6"/>
    <w:rsid w:val="00581B61"/>
    <w:rsid w:val="0058382A"/>
    <w:rsid w:val="0058610F"/>
    <w:rsid w:val="005948FA"/>
    <w:rsid w:val="005959BE"/>
    <w:rsid w:val="00596210"/>
    <w:rsid w:val="00596286"/>
    <w:rsid w:val="00596999"/>
    <w:rsid w:val="005A0F31"/>
    <w:rsid w:val="005A1156"/>
    <w:rsid w:val="005A185F"/>
    <w:rsid w:val="005A28A1"/>
    <w:rsid w:val="005A3CB1"/>
    <w:rsid w:val="005A4265"/>
    <w:rsid w:val="005A46D0"/>
    <w:rsid w:val="005A555D"/>
    <w:rsid w:val="005A5D23"/>
    <w:rsid w:val="005A6512"/>
    <w:rsid w:val="005A6FB5"/>
    <w:rsid w:val="005B25E4"/>
    <w:rsid w:val="005B30C8"/>
    <w:rsid w:val="005B3997"/>
    <w:rsid w:val="005B5788"/>
    <w:rsid w:val="005B7778"/>
    <w:rsid w:val="005C051F"/>
    <w:rsid w:val="005C0596"/>
    <w:rsid w:val="005C1BFF"/>
    <w:rsid w:val="005C21B3"/>
    <w:rsid w:val="005C26F9"/>
    <w:rsid w:val="005C3932"/>
    <w:rsid w:val="005C6BB2"/>
    <w:rsid w:val="005C6E7B"/>
    <w:rsid w:val="005C762E"/>
    <w:rsid w:val="005D098C"/>
    <w:rsid w:val="005D25D1"/>
    <w:rsid w:val="005D29B7"/>
    <w:rsid w:val="005D311B"/>
    <w:rsid w:val="005D3FD9"/>
    <w:rsid w:val="005D6866"/>
    <w:rsid w:val="005E1355"/>
    <w:rsid w:val="005E15CC"/>
    <w:rsid w:val="005E2139"/>
    <w:rsid w:val="005E2BF4"/>
    <w:rsid w:val="005E2F5A"/>
    <w:rsid w:val="005E46BB"/>
    <w:rsid w:val="005E6F0D"/>
    <w:rsid w:val="005E7605"/>
    <w:rsid w:val="005E7DD6"/>
    <w:rsid w:val="005F3E3D"/>
    <w:rsid w:val="006001CC"/>
    <w:rsid w:val="00602B4D"/>
    <w:rsid w:val="00603398"/>
    <w:rsid w:val="00603C94"/>
    <w:rsid w:val="006048E0"/>
    <w:rsid w:val="00604FAD"/>
    <w:rsid w:val="0060662A"/>
    <w:rsid w:val="00606F80"/>
    <w:rsid w:val="00612789"/>
    <w:rsid w:val="00613D24"/>
    <w:rsid w:val="00614BDA"/>
    <w:rsid w:val="00621AFB"/>
    <w:rsid w:val="0062589A"/>
    <w:rsid w:val="006307C7"/>
    <w:rsid w:val="00632B82"/>
    <w:rsid w:val="006331B4"/>
    <w:rsid w:val="006338C2"/>
    <w:rsid w:val="006343F3"/>
    <w:rsid w:val="00635353"/>
    <w:rsid w:val="00635FD9"/>
    <w:rsid w:val="0064030D"/>
    <w:rsid w:val="00640CF2"/>
    <w:rsid w:val="006417D6"/>
    <w:rsid w:val="00641D00"/>
    <w:rsid w:val="00641E21"/>
    <w:rsid w:val="00642906"/>
    <w:rsid w:val="00643582"/>
    <w:rsid w:val="00643748"/>
    <w:rsid w:val="00643B75"/>
    <w:rsid w:val="00643C57"/>
    <w:rsid w:val="00643DBD"/>
    <w:rsid w:val="006457EF"/>
    <w:rsid w:val="00645A9F"/>
    <w:rsid w:val="00650F96"/>
    <w:rsid w:val="006512B7"/>
    <w:rsid w:val="006513CC"/>
    <w:rsid w:val="00651C22"/>
    <w:rsid w:val="00651EEB"/>
    <w:rsid w:val="00652A33"/>
    <w:rsid w:val="00655422"/>
    <w:rsid w:val="00655679"/>
    <w:rsid w:val="00655B4D"/>
    <w:rsid w:val="00655ED5"/>
    <w:rsid w:val="006619D8"/>
    <w:rsid w:val="00664C38"/>
    <w:rsid w:val="00665734"/>
    <w:rsid w:val="0066785F"/>
    <w:rsid w:val="00671977"/>
    <w:rsid w:val="00671D80"/>
    <w:rsid w:val="0067227E"/>
    <w:rsid w:val="00672EFB"/>
    <w:rsid w:val="006739CF"/>
    <w:rsid w:val="00674642"/>
    <w:rsid w:val="00676542"/>
    <w:rsid w:val="0067752C"/>
    <w:rsid w:val="006776A2"/>
    <w:rsid w:val="0068003F"/>
    <w:rsid w:val="006801A6"/>
    <w:rsid w:val="00680F7E"/>
    <w:rsid w:val="0068124B"/>
    <w:rsid w:val="00681610"/>
    <w:rsid w:val="00684AD6"/>
    <w:rsid w:val="00685D36"/>
    <w:rsid w:val="0068625D"/>
    <w:rsid w:val="00687304"/>
    <w:rsid w:val="00690AE7"/>
    <w:rsid w:val="00692C71"/>
    <w:rsid w:val="006931A0"/>
    <w:rsid w:val="006935BC"/>
    <w:rsid w:val="00695E3D"/>
    <w:rsid w:val="006969F4"/>
    <w:rsid w:val="00696E55"/>
    <w:rsid w:val="00697535"/>
    <w:rsid w:val="006979E2"/>
    <w:rsid w:val="006A0B0E"/>
    <w:rsid w:val="006A2890"/>
    <w:rsid w:val="006A3556"/>
    <w:rsid w:val="006A3A9C"/>
    <w:rsid w:val="006A3CC5"/>
    <w:rsid w:val="006A425D"/>
    <w:rsid w:val="006A721F"/>
    <w:rsid w:val="006A7CCF"/>
    <w:rsid w:val="006A7D12"/>
    <w:rsid w:val="006B0581"/>
    <w:rsid w:val="006B0F36"/>
    <w:rsid w:val="006B30FD"/>
    <w:rsid w:val="006B4254"/>
    <w:rsid w:val="006B5CB4"/>
    <w:rsid w:val="006B5E7F"/>
    <w:rsid w:val="006B6732"/>
    <w:rsid w:val="006B6DCF"/>
    <w:rsid w:val="006B791B"/>
    <w:rsid w:val="006C2FAE"/>
    <w:rsid w:val="006C4793"/>
    <w:rsid w:val="006C582F"/>
    <w:rsid w:val="006C75BD"/>
    <w:rsid w:val="006C7F9F"/>
    <w:rsid w:val="006D0C65"/>
    <w:rsid w:val="006D1C15"/>
    <w:rsid w:val="006D276B"/>
    <w:rsid w:val="006D36FB"/>
    <w:rsid w:val="006D42ED"/>
    <w:rsid w:val="006D4D1A"/>
    <w:rsid w:val="006D73F1"/>
    <w:rsid w:val="006D7426"/>
    <w:rsid w:val="006D7573"/>
    <w:rsid w:val="006D770E"/>
    <w:rsid w:val="006E0D78"/>
    <w:rsid w:val="006E2A29"/>
    <w:rsid w:val="006E3215"/>
    <w:rsid w:val="006E3514"/>
    <w:rsid w:val="006E7421"/>
    <w:rsid w:val="006E7647"/>
    <w:rsid w:val="006F02C6"/>
    <w:rsid w:val="006F162C"/>
    <w:rsid w:val="006F1DA8"/>
    <w:rsid w:val="006F22E9"/>
    <w:rsid w:val="006F32CF"/>
    <w:rsid w:val="006F4AB2"/>
    <w:rsid w:val="006F4CFA"/>
    <w:rsid w:val="006F5310"/>
    <w:rsid w:val="006F61D0"/>
    <w:rsid w:val="006F696E"/>
    <w:rsid w:val="006F6B91"/>
    <w:rsid w:val="00701B67"/>
    <w:rsid w:val="007040CB"/>
    <w:rsid w:val="0070523B"/>
    <w:rsid w:val="007052DE"/>
    <w:rsid w:val="00707D16"/>
    <w:rsid w:val="00711702"/>
    <w:rsid w:val="00715E8A"/>
    <w:rsid w:val="007162CE"/>
    <w:rsid w:val="0071706D"/>
    <w:rsid w:val="00717226"/>
    <w:rsid w:val="00720016"/>
    <w:rsid w:val="00720FDD"/>
    <w:rsid w:val="00722345"/>
    <w:rsid w:val="00722883"/>
    <w:rsid w:val="007236F5"/>
    <w:rsid w:val="00723AF0"/>
    <w:rsid w:val="00723E82"/>
    <w:rsid w:val="00727911"/>
    <w:rsid w:val="0073007E"/>
    <w:rsid w:val="007310D4"/>
    <w:rsid w:val="007311E2"/>
    <w:rsid w:val="00732519"/>
    <w:rsid w:val="007335D4"/>
    <w:rsid w:val="0073365B"/>
    <w:rsid w:val="00734F5A"/>
    <w:rsid w:val="0073579D"/>
    <w:rsid w:val="00736D4E"/>
    <w:rsid w:val="00736D97"/>
    <w:rsid w:val="00737CEF"/>
    <w:rsid w:val="00737DDA"/>
    <w:rsid w:val="00740DCE"/>
    <w:rsid w:val="007422C5"/>
    <w:rsid w:val="00746B57"/>
    <w:rsid w:val="00747805"/>
    <w:rsid w:val="00747D90"/>
    <w:rsid w:val="007501B9"/>
    <w:rsid w:val="00751CB9"/>
    <w:rsid w:val="00754F85"/>
    <w:rsid w:val="00755D69"/>
    <w:rsid w:val="0075624F"/>
    <w:rsid w:val="00756580"/>
    <w:rsid w:val="00756AC4"/>
    <w:rsid w:val="00756D96"/>
    <w:rsid w:val="007620C2"/>
    <w:rsid w:val="00762CB4"/>
    <w:rsid w:val="00763641"/>
    <w:rsid w:val="00763C9B"/>
    <w:rsid w:val="007668BA"/>
    <w:rsid w:val="007672E0"/>
    <w:rsid w:val="00767ACE"/>
    <w:rsid w:val="00770596"/>
    <w:rsid w:val="00771E97"/>
    <w:rsid w:val="0077277D"/>
    <w:rsid w:val="007735AE"/>
    <w:rsid w:val="007742C4"/>
    <w:rsid w:val="007747D4"/>
    <w:rsid w:val="00774963"/>
    <w:rsid w:val="00781B7F"/>
    <w:rsid w:val="00782B0E"/>
    <w:rsid w:val="00782DCB"/>
    <w:rsid w:val="00783F1A"/>
    <w:rsid w:val="00784156"/>
    <w:rsid w:val="00785E49"/>
    <w:rsid w:val="0078614C"/>
    <w:rsid w:val="00787E89"/>
    <w:rsid w:val="00791280"/>
    <w:rsid w:val="007933B3"/>
    <w:rsid w:val="00794D72"/>
    <w:rsid w:val="00797E31"/>
    <w:rsid w:val="007A048E"/>
    <w:rsid w:val="007A19AF"/>
    <w:rsid w:val="007A1E9D"/>
    <w:rsid w:val="007A2801"/>
    <w:rsid w:val="007A2F57"/>
    <w:rsid w:val="007A2FE7"/>
    <w:rsid w:val="007A345E"/>
    <w:rsid w:val="007A39E9"/>
    <w:rsid w:val="007A4EEE"/>
    <w:rsid w:val="007A6DAA"/>
    <w:rsid w:val="007A7EC8"/>
    <w:rsid w:val="007B032C"/>
    <w:rsid w:val="007B1AF8"/>
    <w:rsid w:val="007B2681"/>
    <w:rsid w:val="007B2859"/>
    <w:rsid w:val="007B2A16"/>
    <w:rsid w:val="007B48D4"/>
    <w:rsid w:val="007B4B3F"/>
    <w:rsid w:val="007B787D"/>
    <w:rsid w:val="007B7B7B"/>
    <w:rsid w:val="007C03FA"/>
    <w:rsid w:val="007C151D"/>
    <w:rsid w:val="007C3165"/>
    <w:rsid w:val="007C58D6"/>
    <w:rsid w:val="007C6C51"/>
    <w:rsid w:val="007C732D"/>
    <w:rsid w:val="007D05F8"/>
    <w:rsid w:val="007D0B64"/>
    <w:rsid w:val="007D1008"/>
    <w:rsid w:val="007D1053"/>
    <w:rsid w:val="007D3484"/>
    <w:rsid w:val="007D3F75"/>
    <w:rsid w:val="007D5B27"/>
    <w:rsid w:val="007D5C80"/>
    <w:rsid w:val="007D62AE"/>
    <w:rsid w:val="007E013D"/>
    <w:rsid w:val="007E0AB1"/>
    <w:rsid w:val="007E0FF3"/>
    <w:rsid w:val="007E2754"/>
    <w:rsid w:val="007E3309"/>
    <w:rsid w:val="007E3B76"/>
    <w:rsid w:val="007E5818"/>
    <w:rsid w:val="007E61A7"/>
    <w:rsid w:val="007E65D7"/>
    <w:rsid w:val="007E7FB5"/>
    <w:rsid w:val="007F0D79"/>
    <w:rsid w:val="007F227E"/>
    <w:rsid w:val="007F5A9D"/>
    <w:rsid w:val="0080089C"/>
    <w:rsid w:val="008011F1"/>
    <w:rsid w:val="00802084"/>
    <w:rsid w:val="00803318"/>
    <w:rsid w:val="00803456"/>
    <w:rsid w:val="0080390A"/>
    <w:rsid w:val="00807159"/>
    <w:rsid w:val="0080729F"/>
    <w:rsid w:val="00807A6B"/>
    <w:rsid w:val="00807F08"/>
    <w:rsid w:val="00810B52"/>
    <w:rsid w:val="00811BBD"/>
    <w:rsid w:val="00812976"/>
    <w:rsid w:val="00813072"/>
    <w:rsid w:val="00814DEF"/>
    <w:rsid w:val="008159D8"/>
    <w:rsid w:val="00817A39"/>
    <w:rsid w:val="0082239E"/>
    <w:rsid w:val="00825A87"/>
    <w:rsid w:val="00826146"/>
    <w:rsid w:val="00830674"/>
    <w:rsid w:val="00831B9B"/>
    <w:rsid w:val="00835008"/>
    <w:rsid w:val="00835391"/>
    <w:rsid w:val="00836FE3"/>
    <w:rsid w:val="00840E17"/>
    <w:rsid w:val="00841627"/>
    <w:rsid w:val="00842A7E"/>
    <w:rsid w:val="008434DC"/>
    <w:rsid w:val="00844D3D"/>
    <w:rsid w:val="0084532E"/>
    <w:rsid w:val="00845810"/>
    <w:rsid w:val="00845F3C"/>
    <w:rsid w:val="00846159"/>
    <w:rsid w:val="00847E0E"/>
    <w:rsid w:val="008500ED"/>
    <w:rsid w:val="008505C3"/>
    <w:rsid w:val="00851677"/>
    <w:rsid w:val="008522C6"/>
    <w:rsid w:val="00852B9A"/>
    <w:rsid w:val="00852E40"/>
    <w:rsid w:val="0085361A"/>
    <w:rsid w:val="008540E4"/>
    <w:rsid w:val="00856311"/>
    <w:rsid w:val="00857A90"/>
    <w:rsid w:val="00857CDD"/>
    <w:rsid w:val="00860EA8"/>
    <w:rsid w:val="00863649"/>
    <w:rsid w:val="008646D4"/>
    <w:rsid w:val="0086472B"/>
    <w:rsid w:val="00866483"/>
    <w:rsid w:val="00866CC6"/>
    <w:rsid w:val="00870EEF"/>
    <w:rsid w:val="008720D8"/>
    <w:rsid w:val="0087368E"/>
    <w:rsid w:val="00873FB7"/>
    <w:rsid w:val="008740C1"/>
    <w:rsid w:val="0087740D"/>
    <w:rsid w:val="00877AB7"/>
    <w:rsid w:val="00877B86"/>
    <w:rsid w:val="008802D9"/>
    <w:rsid w:val="00880B98"/>
    <w:rsid w:val="00881F26"/>
    <w:rsid w:val="008838A1"/>
    <w:rsid w:val="00885EC4"/>
    <w:rsid w:val="0088685E"/>
    <w:rsid w:val="0088689E"/>
    <w:rsid w:val="00891794"/>
    <w:rsid w:val="00891929"/>
    <w:rsid w:val="00891C67"/>
    <w:rsid w:val="00893176"/>
    <w:rsid w:val="00895446"/>
    <w:rsid w:val="008962D7"/>
    <w:rsid w:val="0089632F"/>
    <w:rsid w:val="008A05E4"/>
    <w:rsid w:val="008A2098"/>
    <w:rsid w:val="008A246E"/>
    <w:rsid w:val="008A32D1"/>
    <w:rsid w:val="008B03D8"/>
    <w:rsid w:val="008B1FD8"/>
    <w:rsid w:val="008B2F4E"/>
    <w:rsid w:val="008B4290"/>
    <w:rsid w:val="008B574F"/>
    <w:rsid w:val="008B61CD"/>
    <w:rsid w:val="008C4A61"/>
    <w:rsid w:val="008C4CB3"/>
    <w:rsid w:val="008C4F0F"/>
    <w:rsid w:val="008C68B9"/>
    <w:rsid w:val="008C6CFD"/>
    <w:rsid w:val="008C7D07"/>
    <w:rsid w:val="008C7F38"/>
    <w:rsid w:val="008D0B26"/>
    <w:rsid w:val="008D3B9E"/>
    <w:rsid w:val="008D3E8E"/>
    <w:rsid w:val="008D4D91"/>
    <w:rsid w:val="008D55C9"/>
    <w:rsid w:val="008D5945"/>
    <w:rsid w:val="008D7C41"/>
    <w:rsid w:val="008E35F0"/>
    <w:rsid w:val="008E6E92"/>
    <w:rsid w:val="008E6FC3"/>
    <w:rsid w:val="008E7460"/>
    <w:rsid w:val="008E74C1"/>
    <w:rsid w:val="008E7585"/>
    <w:rsid w:val="008F1433"/>
    <w:rsid w:val="008F2E5C"/>
    <w:rsid w:val="008F3290"/>
    <w:rsid w:val="008F3362"/>
    <w:rsid w:val="008F4B5D"/>
    <w:rsid w:val="008F646F"/>
    <w:rsid w:val="008F6610"/>
    <w:rsid w:val="00901E0E"/>
    <w:rsid w:val="00903DA9"/>
    <w:rsid w:val="00905A62"/>
    <w:rsid w:val="00905E54"/>
    <w:rsid w:val="00905E73"/>
    <w:rsid w:val="0090629F"/>
    <w:rsid w:val="00906982"/>
    <w:rsid w:val="009076D0"/>
    <w:rsid w:val="00911CBF"/>
    <w:rsid w:val="00914F38"/>
    <w:rsid w:val="00917429"/>
    <w:rsid w:val="0091776B"/>
    <w:rsid w:val="00917942"/>
    <w:rsid w:val="009201A8"/>
    <w:rsid w:val="00920396"/>
    <w:rsid w:val="009222FB"/>
    <w:rsid w:val="00922333"/>
    <w:rsid w:val="0092320D"/>
    <w:rsid w:val="00924F0A"/>
    <w:rsid w:val="0092657D"/>
    <w:rsid w:val="00931E1D"/>
    <w:rsid w:val="0093295F"/>
    <w:rsid w:val="00932B67"/>
    <w:rsid w:val="0093374C"/>
    <w:rsid w:val="00934604"/>
    <w:rsid w:val="00934E21"/>
    <w:rsid w:val="00934F0C"/>
    <w:rsid w:val="00935018"/>
    <w:rsid w:val="0093671F"/>
    <w:rsid w:val="00937157"/>
    <w:rsid w:val="00937D0C"/>
    <w:rsid w:val="00937F0D"/>
    <w:rsid w:val="00941D1F"/>
    <w:rsid w:val="0094366C"/>
    <w:rsid w:val="00945CAA"/>
    <w:rsid w:val="0094666B"/>
    <w:rsid w:val="009479C0"/>
    <w:rsid w:val="00947D0E"/>
    <w:rsid w:val="00950914"/>
    <w:rsid w:val="00950C51"/>
    <w:rsid w:val="00951973"/>
    <w:rsid w:val="00951B7D"/>
    <w:rsid w:val="00951DAD"/>
    <w:rsid w:val="0095252E"/>
    <w:rsid w:val="00952591"/>
    <w:rsid w:val="00952C90"/>
    <w:rsid w:val="00953ADF"/>
    <w:rsid w:val="00953B55"/>
    <w:rsid w:val="0095579B"/>
    <w:rsid w:val="00955B0B"/>
    <w:rsid w:val="00957E73"/>
    <w:rsid w:val="0096135C"/>
    <w:rsid w:val="00963324"/>
    <w:rsid w:val="00966CBB"/>
    <w:rsid w:val="00966EFF"/>
    <w:rsid w:val="009678DB"/>
    <w:rsid w:val="009733DC"/>
    <w:rsid w:val="009746D7"/>
    <w:rsid w:val="009778B8"/>
    <w:rsid w:val="009808B4"/>
    <w:rsid w:val="00983391"/>
    <w:rsid w:val="00984821"/>
    <w:rsid w:val="009872BB"/>
    <w:rsid w:val="009917B3"/>
    <w:rsid w:val="00991C16"/>
    <w:rsid w:val="00995FD8"/>
    <w:rsid w:val="009961A7"/>
    <w:rsid w:val="00996E27"/>
    <w:rsid w:val="0099716A"/>
    <w:rsid w:val="00997AE3"/>
    <w:rsid w:val="009A0593"/>
    <w:rsid w:val="009A2797"/>
    <w:rsid w:val="009A2C14"/>
    <w:rsid w:val="009A3D97"/>
    <w:rsid w:val="009A3ECC"/>
    <w:rsid w:val="009A3ED6"/>
    <w:rsid w:val="009A598B"/>
    <w:rsid w:val="009A698B"/>
    <w:rsid w:val="009A6FC5"/>
    <w:rsid w:val="009A7868"/>
    <w:rsid w:val="009A7AFD"/>
    <w:rsid w:val="009B00D4"/>
    <w:rsid w:val="009B2D86"/>
    <w:rsid w:val="009B3F94"/>
    <w:rsid w:val="009B5E70"/>
    <w:rsid w:val="009B621A"/>
    <w:rsid w:val="009B672F"/>
    <w:rsid w:val="009B6EAB"/>
    <w:rsid w:val="009B718D"/>
    <w:rsid w:val="009C0965"/>
    <w:rsid w:val="009C0BCC"/>
    <w:rsid w:val="009C1B7E"/>
    <w:rsid w:val="009C3FA3"/>
    <w:rsid w:val="009C45D9"/>
    <w:rsid w:val="009C6530"/>
    <w:rsid w:val="009C6D40"/>
    <w:rsid w:val="009C6E57"/>
    <w:rsid w:val="009C6F32"/>
    <w:rsid w:val="009D04D6"/>
    <w:rsid w:val="009D0A75"/>
    <w:rsid w:val="009D2BEF"/>
    <w:rsid w:val="009D358E"/>
    <w:rsid w:val="009D65F8"/>
    <w:rsid w:val="009D6F67"/>
    <w:rsid w:val="009D7187"/>
    <w:rsid w:val="009D7511"/>
    <w:rsid w:val="009D783B"/>
    <w:rsid w:val="009E01DD"/>
    <w:rsid w:val="009E3088"/>
    <w:rsid w:val="009E3C5D"/>
    <w:rsid w:val="009E547A"/>
    <w:rsid w:val="009E638E"/>
    <w:rsid w:val="009F2FFF"/>
    <w:rsid w:val="009F30C8"/>
    <w:rsid w:val="009F4054"/>
    <w:rsid w:val="009F58D8"/>
    <w:rsid w:val="00A006F4"/>
    <w:rsid w:val="00A021BC"/>
    <w:rsid w:val="00A02F7D"/>
    <w:rsid w:val="00A03791"/>
    <w:rsid w:val="00A03C35"/>
    <w:rsid w:val="00A06657"/>
    <w:rsid w:val="00A07443"/>
    <w:rsid w:val="00A12DA0"/>
    <w:rsid w:val="00A13B85"/>
    <w:rsid w:val="00A14783"/>
    <w:rsid w:val="00A15E15"/>
    <w:rsid w:val="00A16740"/>
    <w:rsid w:val="00A16DFA"/>
    <w:rsid w:val="00A17C0A"/>
    <w:rsid w:val="00A201D0"/>
    <w:rsid w:val="00A2037A"/>
    <w:rsid w:val="00A20CEF"/>
    <w:rsid w:val="00A22DDF"/>
    <w:rsid w:val="00A22FA7"/>
    <w:rsid w:val="00A238D0"/>
    <w:rsid w:val="00A27B9D"/>
    <w:rsid w:val="00A30D47"/>
    <w:rsid w:val="00A315B5"/>
    <w:rsid w:val="00A326BE"/>
    <w:rsid w:val="00A33919"/>
    <w:rsid w:val="00A340E7"/>
    <w:rsid w:val="00A346B2"/>
    <w:rsid w:val="00A3601F"/>
    <w:rsid w:val="00A362B3"/>
    <w:rsid w:val="00A36968"/>
    <w:rsid w:val="00A36EC5"/>
    <w:rsid w:val="00A41149"/>
    <w:rsid w:val="00A43A02"/>
    <w:rsid w:val="00A44745"/>
    <w:rsid w:val="00A44F15"/>
    <w:rsid w:val="00A457B1"/>
    <w:rsid w:val="00A47B7B"/>
    <w:rsid w:val="00A50621"/>
    <w:rsid w:val="00A51079"/>
    <w:rsid w:val="00A52D04"/>
    <w:rsid w:val="00A54175"/>
    <w:rsid w:val="00A56809"/>
    <w:rsid w:val="00A571D2"/>
    <w:rsid w:val="00A60D9A"/>
    <w:rsid w:val="00A632E9"/>
    <w:rsid w:val="00A63A07"/>
    <w:rsid w:val="00A63DFC"/>
    <w:rsid w:val="00A654A2"/>
    <w:rsid w:val="00A67183"/>
    <w:rsid w:val="00A70079"/>
    <w:rsid w:val="00A70463"/>
    <w:rsid w:val="00A70A6C"/>
    <w:rsid w:val="00A7237F"/>
    <w:rsid w:val="00A73812"/>
    <w:rsid w:val="00A743C7"/>
    <w:rsid w:val="00A76391"/>
    <w:rsid w:val="00A76452"/>
    <w:rsid w:val="00A8148D"/>
    <w:rsid w:val="00A83F5F"/>
    <w:rsid w:val="00A84DF8"/>
    <w:rsid w:val="00A86D3D"/>
    <w:rsid w:val="00A9013E"/>
    <w:rsid w:val="00A910B5"/>
    <w:rsid w:val="00A915F3"/>
    <w:rsid w:val="00A922F1"/>
    <w:rsid w:val="00A9404F"/>
    <w:rsid w:val="00A94B17"/>
    <w:rsid w:val="00A94F1F"/>
    <w:rsid w:val="00A95347"/>
    <w:rsid w:val="00AA161A"/>
    <w:rsid w:val="00AA2963"/>
    <w:rsid w:val="00AA349C"/>
    <w:rsid w:val="00AA471D"/>
    <w:rsid w:val="00AA4B1C"/>
    <w:rsid w:val="00AA5849"/>
    <w:rsid w:val="00AA5B3C"/>
    <w:rsid w:val="00AA6188"/>
    <w:rsid w:val="00AA7E33"/>
    <w:rsid w:val="00AB0C27"/>
    <w:rsid w:val="00AB1185"/>
    <w:rsid w:val="00AB265E"/>
    <w:rsid w:val="00AB2948"/>
    <w:rsid w:val="00AB39FA"/>
    <w:rsid w:val="00AB3B30"/>
    <w:rsid w:val="00AB426C"/>
    <w:rsid w:val="00AB451C"/>
    <w:rsid w:val="00AB4AB5"/>
    <w:rsid w:val="00AB51E6"/>
    <w:rsid w:val="00AB59F2"/>
    <w:rsid w:val="00AC05B9"/>
    <w:rsid w:val="00AC1878"/>
    <w:rsid w:val="00AC1C61"/>
    <w:rsid w:val="00AC3E62"/>
    <w:rsid w:val="00AC5620"/>
    <w:rsid w:val="00AC5AF9"/>
    <w:rsid w:val="00AC6192"/>
    <w:rsid w:val="00AD1D58"/>
    <w:rsid w:val="00AD2143"/>
    <w:rsid w:val="00AD2F03"/>
    <w:rsid w:val="00AD57FE"/>
    <w:rsid w:val="00AD5A39"/>
    <w:rsid w:val="00AD6933"/>
    <w:rsid w:val="00AD6B7B"/>
    <w:rsid w:val="00AD7CAB"/>
    <w:rsid w:val="00AE063C"/>
    <w:rsid w:val="00AE0D6A"/>
    <w:rsid w:val="00AE10BE"/>
    <w:rsid w:val="00AE16C9"/>
    <w:rsid w:val="00AE1E43"/>
    <w:rsid w:val="00AE3EF5"/>
    <w:rsid w:val="00AE4D4F"/>
    <w:rsid w:val="00AE4F2A"/>
    <w:rsid w:val="00AE5F33"/>
    <w:rsid w:val="00AE7362"/>
    <w:rsid w:val="00AF07B3"/>
    <w:rsid w:val="00AF0AD5"/>
    <w:rsid w:val="00AF15E6"/>
    <w:rsid w:val="00AF51E7"/>
    <w:rsid w:val="00AF6503"/>
    <w:rsid w:val="00AF6744"/>
    <w:rsid w:val="00B01FF6"/>
    <w:rsid w:val="00B042A0"/>
    <w:rsid w:val="00B05620"/>
    <w:rsid w:val="00B12E05"/>
    <w:rsid w:val="00B12EBE"/>
    <w:rsid w:val="00B16431"/>
    <w:rsid w:val="00B166A4"/>
    <w:rsid w:val="00B17306"/>
    <w:rsid w:val="00B20938"/>
    <w:rsid w:val="00B219B7"/>
    <w:rsid w:val="00B226DE"/>
    <w:rsid w:val="00B2386A"/>
    <w:rsid w:val="00B25038"/>
    <w:rsid w:val="00B256DD"/>
    <w:rsid w:val="00B27069"/>
    <w:rsid w:val="00B27FF1"/>
    <w:rsid w:val="00B3159A"/>
    <w:rsid w:val="00B31E1C"/>
    <w:rsid w:val="00B32562"/>
    <w:rsid w:val="00B32AC3"/>
    <w:rsid w:val="00B33455"/>
    <w:rsid w:val="00B33465"/>
    <w:rsid w:val="00B34D39"/>
    <w:rsid w:val="00B34D64"/>
    <w:rsid w:val="00B35C09"/>
    <w:rsid w:val="00B379C5"/>
    <w:rsid w:val="00B4183F"/>
    <w:rsid w:val="00B42198"/>
    <w:rsid w:val="00B42BF0"/>
    <w:rsid w:val="00B44279"/>
    <w:rsid w:val="00B44845"/>
    <w:rsid w:val="00B45ECB"/>
    <w:rsid w:val="00B4689B"/>
    <w:rsid w:val="00B46A1A"/>
    <w:rsid w:val="00B46A78"/>
    <w:rsid w:val="00B46AD2"/>
    <w:rsid w:val="00B507CD"/>
    <w:rsid w:val="00B5088F"/>
    <w:rsid w:val="00B51546"/>
    <w:rsid w:val="00B53FCC"/>
    <w:rsid w:val="00B5458D"/>
    <w:rsid w:val="00B54F03"/>
    <w:rsid w:val="00B55F04"/>
    <w:rsid w:val="00B6289C"/>
    <w:rsid w:val="00B64BBE"/>
    <w:rsid w:val="00B65BED"/>
    <w:rsid w:val="00B67DE1"/>
    <w:rsid w:val="00B70CC6"/>
    <w:rsid w:val="00B7306E"/>
    <w:rsid w:val="00B73894"/>
    <w:rsid w:val="00B75B6A"/>
    <w:rsid w:val="00B776B5"/>
    <w:rsid w:val="00B80810"/>
    <w:rsid w:val="00B8193F"/>
    <w:rsid w:val="00B8289C"/>
    <w:rsid w:val="00B82A82"/>
    <w:rsid w:val="00B8464A"/>
    <w:rsid w:val="00B8473D"/>
    <w:rsid w:val="00B85C04"/>
    <w:rsid w:val="00B8606C"/>
    <w:rsid w:val="00B90410"/>
    <w:rsid w:val="00B90E10"/>
    <w:rsid w:val="00B93FE0"/>
    <w:rsid w:val="00B964CA"/>
    <w:rsid w:val="00B969D7"/>
    <w:rsid w:val="00BA0FF1"/>
    <w:rsid w:val="00BA31C4"/>
    <w:rsid w:val="00BA368F"/>
    <w:rsid w:val="00BA4655"/>
    <w:rsid w:val="00BA5E5A"/>
    <w:rsid w:val="00BA709B"/>
    <w:rsid w:val="00BA71C2"/>
    <w:rsid w:val="00BA78B6"/>
    <w:rsid w:val="00BA7935"/>
    <w:rsid w:val="00BB047B"/>
    <w:rsid w:val="00BB4818"/>
    <w:rsid w:val="00BB4AF3"/>
    <w:rsid w:val="00BB6398"/>
    <w:rsid w:val="00BB7E7D"/>
    <w:rsid w:val="00BC25EF"/>
    <w:rsid w:val="00BC2DAF"/>
    <w:rsid w:val="00BC4FD3"/>
    <w:rsid w:val="00BC602D"/>
    <w:rsid w:val="00BC6827"/>
    <w:rsid w:val="00BC6C7A"/>
    <w:rsid w:val="00BC7119"/>
    <w:rsid w:val="00BC7D9E"/>
    <w:rsid w:val="00BD0372"/>
    <w:rsid w:val="00BD2FFE"/>
    <w:rsid w:val="00BD44F5"/>
    <w:rsid w:val="00BD5263"/>
    <w:rsid w:val="00BD78AD"/>
    <w:rsid w:val="00BE0125"/>
    <w:rsid w:val="00BE053E"/>
    <w:rsid w:val="00BE133D"/>
    <w:rsid w:val="00BE4340"/>
    <w:rsid w:val="00BE467D"/>
    <w:rsid w:val="00BE4F50"/>
    <w:rsid w:val="00BE5C41"/>
    <w:rsid w:val="00BF0585"/>
    <w:rsid w:val="00BF0646"/>
    <w:rsid w:val="00BF0920"/>
    <w:rsid w:val="00BF1C32"/>
    <w:rsid w:val="00BF226B"/>
    <w:rsid w:val="00BF47DE"/>
    <w:rsid w:val="00BF6775"/>
    <w:rsid w:val="00BF76A6"/>
    <w:rsid w:val="00C0068D"/>
    <w:rsid w:val="00C01F23"/>
    <w:rsid w:val="00C03299"/>
    <w:rsid w:val="00C03630"/>
    <w:rsid w:val="00C044BE"/>
    <w:rsid w:val="00C04BAB"/>
    <w:rsid w:val="00C0607B"/>
    <w:rsid w:val="00C06DEF"/>
    <w:rsid w:val="00C075A2"/>
    <w:rsid w:val="00C107CB"/>
    <w:rsid w:val="00C118C4"/>
    <w:rsid w:val="00C11F58"/>
    <w:rsid w:val="00C120D7"/>
    <w:rsid w:val="00C123CA"/>
    <w:rsid w:val="00C132D1"/>
    <w:rsid w:val="00C139CA"/>
    <w:rsid w:val="00C13A7D"/>
    <w:rsid w:val="00C14144"/>
    <w:rsid w:val="00C241A8"/>
    <w:rsid w:val="00C243E4"/>
    <w:rsid w:val="00C24ABA"/>
    <w:rsid w:val="00C24D21"/>
    <w:rsid w:val="00C260C2"/>
    <w:rsid w:val="00C264CB"/>
    <w:rsid w:val="00C26DE6"/>
    <w:rsid w:val="00C31253"/>
    <w:rsid w:val="00C32D1E"/>
    <w:rsid w:val="00C35129"/>
    <w:rsid w:val="00C369A6"/>
    <w:rsid w:val="00C36B16"/>
    <w:rsid w:val="00C41197"/>
    <w:rsid w:val="00C419DB"/>
    <w:rsid w:val="00C476F1"/>
    <w:rsid w:val="00C51429"/>
    <w:rsid w:val="00C51E8F"/>
    <w:rsid w:val="00C51FD7"/>
    <w:rsid w:val="00C52CE9"/>
    <w:rsid w:val="00C52FC0"/>
    <w:rsid w:val="00C531C2"/>
    <w:rsid w:val="00C53F9E"/>
    <w:rsid w:val="00C559E9"/>
    <w:rsid w:val="00C608C1"/>
    <w:rsid w:val="00C61360"/>
    <w:rsid w:val="00C61AD1"/>
    <w:rsid w:val="00C63D4E"/>
    <w:rsid w:val="00C63EA9"/>
    <w:rsid w:val="00C63FF9"/>
    <w:rsid w:val="00C665A0"/>
    <w:rsid w:val="00C67725"/>
    <w:rsid w:val="00C700F3"/>
    <w:rsid w:val="00C7092F"/>
    <w:rsid w:val="00C716EE"/>
    <w:rsid w:val="00C74781"/>
    <w:rsid w:val="00C75C84"/>
    <w:rsid w:val="00C76DDA"/>
    <w:rsid w:val="00C807B3"/>
    <w:rsid w:val="00C80DF7"/>
    <w:rsid w:val="00C825C9"/>
    <w:rsid w:val="00C826D2"/>
    <w:rsid w:val="00C82B5B"/>
    <w:rsid w:val="00C831ED"/>
    <w:rsid w:val="00C844C5"/>
    <w:rsid w:val="00C84F46"/>
    <w:rsid w:val="00C86B26"/>
    <w:rsid w:val="00C86CC3"/>
    <w:rsid w:val="00C86E37"/>
    <w:rsid w:val="00C901B1"/>
    <w:rsid w:val="00C90EBC"/>
    <w:rsid w:val="00C91B69"/>
    <w:rsid w:val="00C92711"/>
    <w:rsid w:val="00C952D8"/>
    <w:rsid w:val="00CA3856"/>
    <w:rsid w:val="00CA42FC"/>
    <w:rsid w:val="00CA5A3F"/>
    <w:rsid w:val="00CA67E0"/>
    <w:rsid w:val="00CA73CB"/>
    <w:rsid w:val="00CA746B"/>
    <w:rsid w:val="00CB0122"/>
    <w:rsid w:val="00CB0269"/>
    <w:rsid w:val="00CB0833"/>
    <w:rsid w:val="00CB0954"/>
    <w:rsid w:val="00CB0AD6"/>
    <w:rsid w:val="00CB18F5"/>
    <w:rsid w:val="00CB260F"/>
    <w:rsid w:val="00CB5105"/>
    <w:rsid w:val="00CB5118"/>
    <w:rsid w:val="00CC008E"/>
    <w:rsid w:val="00CC02ED"/>
    <w:rsid w:val="00CC1E45"/>
    <w:rsid w:val="00CC4304"/>
    <w:rsid w:val="00CC63EB"/>
    <w:rsid w:val="00CC7EE3"/>
    <w:rsid w:val="00CC7FD3"/>
    <w:rsid w:val="00CD022A"/>
    <w:rsid w:val="00CD03BE"/>
    <w:rsid w:val="00CD0707"/>
    <w:rsid w:val="00CD0D53"/>
    <w:rsid w:val="00CD1A25"/>
    <w:rsid w:val="00CD2E16"/>
    <w:rsid w:val="00CD34DD"/>
    <w:rsid w:val="00CD5337"/>
    <w:rsid w:val="00CD572B"/>
    <w:rsid w:val="00CD65E7"/>
    <w:rsid w:val="00CD7BFC"/>
    <w:rsid w:val="00CE06BD"/>
    <w:rsid w:val="00CE2074"/>
    <w:rsid w:val="00CE21E8"/>
    <w:rsid w:val="00CE28C0"/>
    <w:rsid w:val="00CE2B95"/>
    <w:rsid w:val="00CE2F1A"/>
    <w:rsid w:val="00CF1A11"/>
    <w:rsid w:val="00CF30FC"/>
    <w:rsid w:val="00CF3A4A"/>
    <w:rsid w:val="00CF4286"/>
    <w:rsid w:val="00CF48CD"/>
    <w:rsid w:val="00CF4CE1"/>
    <w:rsid w:val="00CF5CB2"/>
    <w:rsid w:val="00D019BA"/>
    <w:rsid w:val="00D01B9F"/>
    <w:rsid w:val="00D03667"/>
    <w:rsid w:val="00D03B38"/>
    <w:rsid w:val="00D03F87"/>
    <w:rsid w:val="00D04CD4"/>
    <w:rsid w:val="00D07174"/>
    <w:rsid w:val="00D11DE9"/>
    <w:rsid w:val="00D12095"/>
    <w:rsid w:val="00D13898"/>
    <w:rsid w:val="00D15D19"/>
    <w:rsid w:val="00D17571"/>
    <w:rsid w:val="00D219EB"/>
    <w:rsid w:val="00D21AEC"/>
    <w:rsid w:val="00D22D06"/>
    <w:rsid w:val="00D24772"/>
    <w:rsid w:val="00D2566D"/>
    <w:rsid w:val="00D25750"/>
    <w:rsid w:val="00D26B67"/>
    <w:rsid w:val="00D26E91"/>
    <w:rsid w:val="00D272A6"/>
    <w:rsid w:val="00D30476"/>
    <w:rsid w:val="00D32C07"/>
    <w:rsid w:val="00D33AD2"/>
    <w:rsid w:val="00D3441D"/>
    <w:rsid w:val="00D352A6"/>
    <w:rsid w:val="00D355C4"/>
    <w:rsid w:val="00D3612A"/>
    <w:rsid w:val="00D37703"/>
    <w:rsid w:val="00D37DBF"/>
    <w:rsid w:val="00D37F25"/>
    <w:rsid w:val="00D40C06"/>
    <w:rsid w:val="00D40E05"/>
    <w:rsid w:val="00D42EAA"/>
    <w:rsid w:val="00D42F4F"/>
    <w:rsid w:val="00D43518"/>
    <w:rsid w:val="00D44141"/>
    <w:rsid w:val="00D46D4A"/>
    <w:rsid w:val="00D51C52"/>
    <w:rsid w:val="00D53404"/>
    <w:rsid w:val="00D538AD"/>
    <w:rsid w:val="00D55AC5"/>
    <w:rsid w:val="00D55C30"/>
    <w:rsid w:val="00D56A53"/>
    <w:rsid w:val="00D56B5F"/>
    <w:rsid w:val="00D6204A"/>
    <w:rsid w:val="00D6324F"/>
    <w:rsid w:val="00D63458"/>
    <w:rsid w:val="00D63CBA"/>
    <w:rsid w:val="00D63F0C"/>
    <w:rsid w:val="00D66D37"/>
    <w:rsid w:val="00D679D9"/>
    <w:rsid w:val="00D72D4D"/>
    <w:rsid w:val="00D750CC"/>
    <w:rsid w:val="00D7543E"/>
    <w:rsid w:val="00D758DC"/>
    <w:rsid w:val="00D82E43"/>
    <w:rsid w:val="00D83040"/>
    <w:rsid w:val="00D84369"/>
    <w:rsid w:val="00D84C8F"/>
    <w:rsid w:val="00D873AD"/>
    <w:rsid w:val="00D878B0"/>
    <w:rsid w:val="00D90BEE"/>
    <w:rsid w:val="00D91AAC"/>
    <w:rsid w:val="00D91C06"/>
    <w:rsid w:val="00D91C9F"/>
    <w:rsid w:val="00D92369"/>
    <w:rsid w:val="00D93B89"/>
    <w:rsid w:val="00D93FD1"/>
    <w:rsid w:val="00DA08F5"/>
    <w:rsid w:val="00DA22F8"/>
    <w:rsid w:val="00DA27F7"/>
    <w:rsid w:val="00DA2ADC"/>
    <w:rsid w:val="00DA45CE"/>
    <w:rsid w:val="00DA7A0F"/>
    <w:rsid w:val="00DB01E2"/>
    <w:rsid w:val="00DB0764"/>
    <w:rsid w:val="00DB076B"/>
    <w:rsid w:val="00DB0C20"/>
    <w:rsid w:val="00DB17AF"/>
    <w:rsid w:val="00DB302B"/>
    <w:rsid w:val="00DB3506"/>
    <w:rsid w:val="00DB386E"/>
    <w:rsid w:val="00DB6F3F"/>
    <w:rsid w:val="00DB7A9A"/>
    <w:rsid w:val="00DB7D14"/>
    <w:rsid w:val="00DC0B38"/>
    <w:rsid w:val="00DC3177"/>
    <w:rsid w:val="00DC3276"/>
    <w:rsid w:val="00DC39EB"/>
    <w:rsid w:val="00DC4F05"/>
    <w:rsid w:val="00DC5417"/>
    <w:rsid w:val="00DD0EC6"/>
    <w:rsid w:val="00DD13AB"/>
    <w:rsid w:val="00DD222A"/>
    <w:rsid w:val="00DD2841"/>
    <w:rsid w:val="00DD323F"/>
    <w:rsid w:val="00DD37D8"/>
    <w:rsid w:val="00DD3C38"/>
    <w:rsid w:val="00DD3FDC"/>
    <w:rsid w:val="00DD49C5"/>
    <w:rsid w:val="00DD4EB5"/>
    <w:rsid w:val="00DD5902"/>
    <w:rsid w:val="00DD67F2"/>
    <w:rsid w:val="00DE01A4"/>
    <w:rsid w:val="00DE219A"/>
    <w:rsid w:val="00DE28A7"/>
    <w:rsid w:val="00DE3E40"/>
    <w:rsid w:val="00DE4597"/>
    <w:rsid w:val="00DE643F"/>
    <w:rsid w:val="00DE68CD"/>
    <w:rsid w:val="00DE6B9C"/>
    <w:rsid w:val="00DE748B"/>
    <w:rsid w:val="00DF0F70"/>
    <w:rsid w:val="00DF2DC9"/>
    <w:rsid w:val="00DF39A4"/>
    <w:rsid w:val="00DF6840"/>
    <w:rsid w:val="00DF7942"/>
    <w:rsid w:val="00E00BFB"/>
    <w:rsid w:val="00E010AB"/>
    <w:rsid w:val="00E015AD"/>
    <w:rsid w:val="00E0233F"/>
    <w:rsid w:val="00E02678"/>
    <w:rsid w:val="00E050EC"/>
    <w:rsid w:val="00E06262"/>
    <w:rsid w:val="00E0748A"/>
    <w:rsid w:val="00E1187B"/>
    <w:rsid w:val="00E128A9"/>
    <w:rsid w:val="00E13075"/>
    <w:rsid w:val="00E143DA"/>
    <w:rsid w:val="00E14BA3"/>
    <w:rsid w:val="00E16091"/>
    <w:rsid w:val="00E16744"/>
    <w:rsid w:val="00E17F9D"/>
    <w:rsid w:val="00E240E3"/>
    <w:rsid w:val="00E24CDE"/>
    <w:rsid w:val="00E257B5"/>
    <w:rsid w:val="00E25953"/>
    <w:rsid w:val="00E2655F"/>
    <w:rsid w:val="00E27F5A"/>
    <w:rsid w:val="00E30693"/>
    <w:rsid w:val="00E32BEA"/>
    <w:rsid w:val="00E32F5B"/>
    <w:rsid w:val="00E3799F"/>
    <w:rsid w:val="00E37DA2"/>
    <w:rsid w:val="00E4121B"/>
    <w:rsid w:val="00E41726"/>
    <w:rsid w:val="00E42FA4"/>
    <w:rsid w:val="00E43ACF"/>
    <w:rsid w:val="00E43B5E"/>
    <w:rsid w:val="00E43FB4"/>
    <w:rsid w:val="00E45864"/>
    <w:rsid w:val="00E4622C"/>
    <w:rsid w:val="00E4704E"/>
    <w:rsid w:val="00E47DF9"/>
    <w:rsid w:val="00E47F40"/>
    <w:rsid w:val="00E51FFB"/>
    <w:rsid w:val="00E52DD3"/>
    <w:rsid w:val="00E54266"/>
    <w:rsid w:val="00E5471E"/>
    <w:rsid w:val="00E558A4"/>
    <w:rsid w:val="00E576D9"/>
    <w:rsid w:val="00E6191F"/>
    <w:rsid w:val="00E65C76"/>
    <w:rsid w:val="00E65EA1"/>
    <w:rsid w:val="00E6605D"/>
    <w:rsid w:val="00E6611F"/>
    <w:rsid w:val="00E729CF"/>
    <w:rsid w:val="00E72E8F"/>
    <w:rsid w:val="00E74211"/>
    <w:rsid w:val="00E76C13"/>
    <w:rsid w:val="00E8020B"/>
    <w:rsid w:val="00E81330"/>
    <w:rsid w:val="00E83E2D"/>
    <w:rsid w:val="00E9168B"/>
    <w:rsid w:val="00E91A28"/>
    <w:rsid w:val="00E923A0"/>
    <w:rsid w:val="00E9265B"/>
    <w:rsid w:val="00E95253"/>
    <w:rsid w:val="00E95569"/>
    <w:rsid w:val="00E968AA"/>
    <w:rsid w:val="00E978F3"/>
    <w:rsid w:val="00EA1CB1"/>
    <w:rsid w:val="00EA6125"/>
    <w:rsid w:val="00EB41B4"/>
    <w:rsid w:val="00EC0435"/>
    <w:rsid w:val="00EC1C3C"/>
    <w:rsid w:val="00EC7180"/>
    <w:rsid w:val="00ED209D"/>
    <w:rsid w:val="00ED418D"/>
    <w:rsid w:val="00ED46C4"/>
    <w:rsid w:val="00ED5F88"/>
    <w:rsid w:val="00ED664B"/>
    <w:rsid w:val="00ED7359"/>
    <w:rsid w:val="00ED7C2E"/>
    <w:rsid w:val="00EE3332"/>
    <w:rsid w:val="00EE5111"/>
    <w:rsid w:val="00EF046D"/>
    <w:rsid w:val="00EF157F"/>
    <w:rsid w:val="00EF1C26"/>
    <w:rsid w:val="00EF2730"/>
    <w:rsid w:val="00EF28D7"/>
    <w:rsid w:val="00EF2D9F"/>
    <w:rsid w:val="00EF5550"/>
    <w:rsid w:val="00F01D63"/>
    <w:rsid w:val="00F024F3"/>
    <w:rsid w:val="00F03786"/>
    <w:rsid w:val="00F03AB8"/>
    <w:rsid w:val="00F05E37"/>
    <w:rsid w:val="00F07897"/>
    <w:rsid w:val="00F07EF7"/>
    <w:rsid w:val="00F112AC"/>
    <w:rsid w:val="00F130AD"/>
    <w:rsid w:val="00F1439C"/>
    <w:rsid w:val="00F2002D"/>
    <w:rsid w:val="00F2003A"/>
    <w:rsid w:val="00F22093"/>
    <w:rsid w:val="00F227E8"/>
    <w:rsid w:val="00F24441"/>
    <w:rsid w:val="00F24647"/>
    <w:rsid w:val="00F257DD"/>
    <w:rsid w:val="00F26374"/>
    <w:rsid w:val="00F26A9F"/>
    <w:rsid w:val="00F30DE4"/>
    <w:rsid w:val="00F316B1"/>
    <w:rsid w:val="00F31CE2"/>
    <w:rsid w:val="00F331B5"/>
    <w:rsid w:val="00F34AF9"/>
    <w:rsid w:val="00F376B1"/>
    <w:rsid w:val="00F377AC"/>
    <w:rsid w:val="00F41411"/>
    <w:rsid w:val="00F41E62"/>
    <w:rsid w:val="00F44BAD"/>
    <w:rsid w:val="00F450AB"/>
    <w:rsid w:val="00F45725"/>
    <w:rsid w:val="00F4668D"/>
    <w:rsid w:val="00F47154"/>
    <w:rsid w:val="00F47B58"/>
    <w:rsid w:val="00F47BED"/>
    <w:rsid w:val="00F511FE"/>
    <w:rsid w:val="00F52123"/>
    <w:rsid w:val="00F52783"/>
    <w:rsid w:val="00F53521"/>
    <w:rsid w:val="00F53991"/>
    <w:rsid w:val="00F555EF"/>
    <w:rsid w:val="00F55C9E"/>
    <w:rsid w:val="00F568CB"/>
    <w:rsid w:val="00F57A43"/>
    <w:rsid w:val="00F60560"/>
    <w:rsid w:val="00F61722"/>
    <w:rsid w:val="00F617C6"/>
    <w:rsid w:val="00F61F55"/>
    <w:rsid w:val="00F6208E"/>
    <w:rsid w:val="00F656BC"/>
    <w:rsid w:val="00F65897"/>
    <w:rsid w:val="00F65E7B"/>
    <w:rsid w:val="00F66A33"/>
    <w:rsid w:val="00F66F7C"/>
    <w:rsid w:val="00F67049"/>
    <w:rsid w:val="00F70BA5"/>
    <w:rsid w:val="00F7170B"/>
    <w:rsid w:val="00F71818"/>
    <w:rsid w:val="00F73842"/>
    <w:rsid w:val="00F73B39"/>
    <w:rsid w:val="00F74981"/>
    <w:rsid w:val="00F75258"/>
    <w:rsid w:val="00F75C04"/>
    <w:rsid w:val="00F77756"/>
    <w:rsid w:val="00F81F50"/>
    <w:rsid w:val="00F846FA"/>
    <w:rsid w:val="00F870E2"/>
    <w:rsid w:val="00F90692"/>
    <w:rsid w:val="00F91A95"/>
    <w:rsid w:val="00F94A62"/>
    <w:rsid w:val="00F94E14"/>
    <w:rsid w:val="00F95772"/>
    <w:rsid w:val="00FA0846"/>
    <w:rsid w:val="00FA244E"/>
    <w:rsid w:val="00FA27ED"/>
    <w:rsid w:val="00FB1C2B"/>
    <w:rsid w:val="00FB2CA2"/>
    <w:rsid w:val="00FB3275"/>
    <w:rsid w:val="00FB4289"/>
    <w:rsid w:val="00FB4AF8"/>
    <w:rsid w:val="00FB5140"/>
    <w:rsid w:val="00FB67BC"/>
    <w:rsid w:val="00FC0149"/>
    <w:rsid w:val="00FC1824"/>
    <w:rsid w:val="00FC2213"/>
    <w:rsid w:val="00FC2985"/>
    <w:rsid w:val="00FC67F8"/>
    <w:rsid w:val="00FC7254"/>
    <w:rsid w:val="00FC73F2"/>
    <w:rsid w:val="00FD008B"/>
    <w:rsid w:val="00FD0E0E"/>
    <w:rsid w:val="00FD12A2"/>
    <w:rsid w:val="00FD2E80"/>
    <w:rsid w:val="00FD424D"/>
    <w:rsid w:val="00FD5803"/>
    <w:rsid w:val="00FE2CE3"/>
    <w:rsid w:val="00FE2CF0"/>
    <w:rsid w:val="00FE3704"/>
    <w:rsid w:val="00FE3AAF"/>
    <w:rsid w:val="00FE3F1D"/>
    <w:rsid w:val="00FE43C4"/>
    <w:rsid w:val="00FE46C6"/>
    <w:rsid w:val="00FE6DA2"/>
    <w:rsid w:val="00FE7F11"/>
    <w:rsid w:val="00FF20D4"/>
    <w:rsid w:val="00FF2AF6"/>
    <w:rsid w:val="00FF3F44"/>
    <w:rsid w:val="00FF491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820A4AF"/>
  <w15:chartTrackingRefBased/>
  <w15:docId w15:val="{1415F022-17B5-4D81-848E-F01C89D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F81F50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F81F50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75658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FA0846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857CDD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857CDD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F81F5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F81F50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rsid w:val="0013392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81F50"/>
    <w:pPr>
      <w:numPr>
        <w:numId w:val="24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F81F50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4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7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6"/>
      </w:numPr>
      <w:spacing w:after="0"/>
    </w:pPr>
  </w:style>
  <w:style w:type="character" w:customStyle="1" w:styleId="Bulletindent1Char">
    <w:name w:val="Bullet indent 1 Char"/>
    <w:link w:val="Bulletindent1"/>
    <w:rsid w:val="000069F9"/>
    <w:rPr>
      <w:rFonts w:ascii="Arial" w:hAnsi="Arial"/>
      <w:sz w:val="24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5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DD323F"/>
    <w:pPr>
      <w:numPr>
        <w:ilvl w:val="1"/>
        <w:numId w:val="24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rsid w:val="00DD323F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8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A17C0A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F81F50"/>
    <w:pPr>
      <w:keepNext/>
      <w:spacing w:after="60"/>
    </w:pPr>
    <w:rPr>
      <w:sz w:val="22"/>
    </w:rPr>
  </w:style>
  <w:style w:type="paragraph" w:styleId="BalloonText">
    <w:name w:val="Balloon Text"/>
    <w:basedOn w:val="Normal"/>
    <w:semiHidden/>
    <w:rsid w:val="00F130A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13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0A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0711F1"/>
    <w:rPr>
      <w:lang w:eastAsia="en-US"/>
    </w:rPr>
  </w:style>
  <w:style w:type="paragraph" w:styleId="CommentSubject">
    <w:name w:val="annotation subject"/>
    <w:basedOn w:val="CommentText"/>
    <w:next w:val="CommentText"/>
    <w:semiHidden/>
    <w:rsid w:val="00F130AD"/>
    <w:rPr>
      <w:b/>
      <w:bCs/>
    </w:rPr>
  </w:style>
  <w:style w:type="character" w:styleId="Hyperlink">
    <w:name w:val="Hyperlink"/>
    <w:rsid w:val="00952C90"/>
    <w:rPr>
      <w:color w:val="0000FF"/>
      <w:u w:val="single"/>
    </w:rPr>
  </w:style>
  <w:style w:type="paragraph" w:customStyle="1" w:styleId="Title1">
    <w:name w:val="Title 1"/>
    <w:basedOn w:val="Normal"/>
    <w:qFormat/>
    <w:rsid w:val="0013392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034110"/>
    <w:rPr>
      <w:lang w:val="en-US"/>
    </w:rPr>
  </w:style>
  <w:style w:type="paragraph" w:customStyle="1" w:styleId="Documentissuedate">
    <w:name w:val="Document issue date"/>
    <w:basedOn w:val="NICEnormal"/>
    <w:qFormat/>
    <w:rsid w:val="00034110"/>
    <w:rPr>
      <w:lang w:val="en-US"/>
    </w:rPr>
  </w:style>
  <w:style w:type="table" w:styleId="TableGrid">
    <w:name w:val="Table Grid"/>
    <w:basedOn w:val="TableNormal"/>
    <w:rsid w:val="00C7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A3D97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ED46C4"/>
    <w:rPr>
      <w:sz w:val="20"/>
      <w:szCs w:val="20"/>
    </w:rPr>
  </w:style>
  <w:style w:type="character" w:customStyle="1" w:styleId="FootnoteTextChar">
    <w:name w:val="Footnote Text Char"/>
    <w:link w:val="FootnoteText"/>
    <w:rsid w:val="00ED46C4"/>
    <w:rPr>
      <w:lang w:eastAsia="en-US"/>
    </w:rPr>
  </w:style>
  <w:style w:type="character" w:styleId="FootnoteReference">
    <w:name w:val="footnote reference"/>
    <w:rsid w:val="00ED46C4"/>
    <w:rPr>
      <w:vertAlign w:val="superscript"/>
    </w:rPr>
  </w:style>
  <w:style w:type="paragraph" w:styleId="Revision">
    <w:name w:val="Revision"/>
    <w:hidden/>
    <w:uiPriority w:val="99"/>
    <w:semiHidden/>
    <w:rsid w:val="002119CD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B032C"/>
    <w:rPr>
      <w:rFonts w:ascii="Arial" w:hAnsi="Arial" w:cs="Arial"/>
      <w:b/>
      <w:bCs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D783B"/>
    <w:rPr>
      <w:color w:val="808080"/>
    </w:rPr>
  </w:style>
  <w:style w:type="paragraph" w:styleId="ListParagraph">
    <w:name w:val="List Paragraph"/>
    <w:basedOn w:val="Normal"/>
    <w:uiPriority w:val="34"/>
    <w:qFormat/>
    <w:rsid w:val="00665734"/>
    <w:pPr>
      <w:ind w:left="720"/>
      <w:contextualSpacing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9BA"/>
    <w:rPr>
      <w:color w:val="605E5C"/>
      <w:shd w:val="clear" w:color="auto" w:fill="E1DFDD"/>
    </w:rPr>
  </w:style>
  <w:style w:type="paragraph" w:styleId="Caption">
    <w:name w:val="caption"/>
    <w:basedOn w:val="NICEnormal"/>
    <w:next w:val="NICEnormal"/>
    <w:unhideWhenUsed/>
    <w:qFormat/>
    <w:rsid w:val="00F81F50"/>
    <w:pPr>
      <w:keepNext/>
      <w:spacing w:after="200"/>
    </w:pPr>
    <w:rPr>
      <w:b/>
      <w:bCs/>
      <w:iCs/>
      <w:szCs w:val="18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81F50"/>
  </w:style>
  <w:style w:type="character" w:customStyle="1" w:styleId="Numberedheading2Char">
    <w:name w:val="Numbered heading 2 Char"/>
    <w:basedOn w:val="Heading2Char"/>
    <w:link w:val="Numberedheading2"/>
    <w:rsid w:val="00F81F50"/>
    <w:rPr>
      <w:rFonts w:ascii="Arial" w:hAnsi="Arial" w:cs="Arial"/>
      <w:b/>
      <w:bCs/>
      <w:sz w:val="28"/>
      <w:szCs w:val="28"/>
      <w:lang w:eastAsia="en-US"/>
    </w:rPr>
  </w:style>
  <w:style w:type="table" w:customStyle="1" w:styleId="PanelDefault">
    <w:name w:val="Panel (Default)"/>
    <w:basedOn w:val="TableNormal"/>
    <w:uiPriority w:val="99"/>
    <w:rsid w:val="00A36EC5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A36EC5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756580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A36EC5"/>
    <w:pPr>
      <w:numPr>
        <w:numId w:val="25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A36EC5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F81F50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81F50"/>
    <w:rPr>
      <w:rFonts w:ascii="Arial" w:hAnsi="Arial"/>
      <w:iCs/>
      <w:sz w:val="24"/>
      <w:szCs w:val="24"/>
      <w:lang w:eastAsia="en-US"/>
    </w:rPr>
  </w:style>
  <w:style w:type="paragraph" w:customStyle="1" w:styleId="Tableheading">
    <w:name w:val="Table heading"/>
    <w:basedOn w:val="Tabletext"/>
    <w:qFormat/>
    <w:rsid w:val="00F81F50"/>
    <w:rPr>
      <w:b/>
    </w:rPr>
  </w:style>
  <w:style w:type="paragraph" w:customStyle="1" w:styleId="Tablebullet">
    <w:name w:val="Table bullet"/>
    <w:basedOn w:val="Tabletext"/>
    <w:qFormat/>
    <w:rsid w:val="00F81F50"/>
    <w:pPr>
      <w:numPr>
        <w:numId w:val="23"/>
      </w:numPr>
    </w:pPr>
  </w:style>
  <w:style w:type="paragraph" w:customStyle="1" w:styleId="Section412paragraphs">
    <w:name w:val="Section 4.1.2 paragraphs"/>
    <w:basedOn w:val="NICEnormal"/>
    <w:rsid w:val="00FB5140"/>
    <w:pPr>
      <w:numPr>
        <w:numId w:val="26"/>
      </w:numPr>
    </w:pPr>
  </w:style>
  <w:style w:type="paragraph" w:styleId="NormalWeb">
    <w:name w:val="Normal (Web)"/>
    <w:basedOn w:val="Normal"/>
    <w:uiPriority w:val="99"/>
    <w:unhideWhenUsed/>
    <w:rsid w:val="006513CC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6FC5"/>
    <w:rPr>
      <w:color w:val="605E5C"/>
      <w:shd w:val="clear" w:color="auto" w:fill="E1DFDD"/>
    </w:rPr>
  </w:style>
  <w:style w:type="paragraph" w:customStyle="1" w:styleId="Bullets">
    <w:name w:val="Bullets"/>
    <w:basedOn w:val="Normal"/>
    <w:uiPriority w:val="5"/>
    <w:qFormat/>
    <w:rsid w:val="00AF6503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AF6503"/>
    <w:pPr>
      <w:spacing w:after="240" w:line="276" w:lineRule="auto"/>
    </w:pPr>
    <w:rPr>
      <w:rFonts w:ascii="Arial" w:hAnsi="Aria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4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579" TargetMode="External"/><Relationship Id="rId13" Type="http://schemas.openxmlformats.org/officeDocument/2006/relationships/hyperlink" Target="https://www.nice.org.uk/guidance/ta593" TargetMode="External"/><Relationship Id="rId18" Type="http://schemas.openxmlformats.org/officeDocument/2006/relationships/hyperlink" Target="https://www.nice.org.uk/process/pmg19/chapter/review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579" TargetMode="External"/><Relationship Id="rId17" Type="http://schemas.openxmlformats.org/officeDocument/2006/relationships/hyperlink" Target="https://www.nice.org.uk/guidance/ta5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7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674" TargetMode="External"/><Relationship Id="rId19" Type="http://schemas.openxmlformats.org/officeDocument/2006/relationships/hyperlink" Target="https://www.nice.org.uk/get-involved/meetings-in-public/technology-appraisal-committ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cines.org.uk/emc/product/11047/smpc" TargetMode="External"/><Relationship Id="rId14" Type="http://schemas.openxmlformats.org/officeDocument/2006/relationships/hyperlink" Target="https://www.nice.org.uk/guidance/ta619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2FAA-A96E-4776-B948-52AECEE9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4389</Words>
  <Characters>26067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30396</CharactersWithSpaces>
  <SharedDoc>false</SharedDoc>
  <HLinks>
    <vt:vector size="90" baseType="variant">
      <vt:variant>
        <vt:i4>3211303</vt:i4>
      </vt:variant>
      <vt:variant>
        <vt:i4>312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309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306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297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273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252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249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243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237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201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198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5373979</vt:i4>
      </vt:variant>
      <vt:variant>
        <vt:i4>183</vt:i4>
      </vt:variant>
      <vt:variant>
        <vt:i4>0</vt:i4>
      </vt:variant>
      <vt:variant>
        <vt:i4>5</vt:i4>
      </vt:variant>
      <vt:variant>
        <vt:lpwstr>https://www.nice.org.uk/process/pmg9/chapter/the-appraisal-of-the-evidence-and-structured-decision-making</vt:lpwstr>
      </vt:variant>
      <vt:variant>
        <vt:lpwstr/>
      </vt:variant>
      <vt:variant>
        <vt:i4>5701707</vt:i4>
      </vt:variant>
      <vt:variant>
        <vt:i4>87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30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Emily EatonTurner</dc:creator>
  <cp:keywords/>
  <cp:lastModifiedBy>Janet Robertson</cp:lastModifiedBy>
  <cp:revision>3</cp:revision>
  <cp:lastPrinted>2021-02-05T12:34:00Z</cp:lastPrinted>
  <dcterms:created xsi:type="dcterms:W3CDTF">2021-02-15T10:17:00Z</dcterms:created>
  <dcterms:modified xsi:type="dcterms:W3CDTF">2021-02-15T10:18:00Z</dcterms:modified>
</cp:coreProperties>
</file>