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8FDF1" w14:textId="77777777" w:rsidR="000F48EC" w:rsidRPr="000F48EC" w:rsidRDefault="000F48EC" w:rsidP="0093671F">
      <w:pPr>
        <w:pStyle w:val="Title2"/>
      </w:pPr>
      <w:r w:rsidRPr="000F48EC">
        <w:t>NATIONAL INSTITUTE FOR HEALTH AND C</w:t>
      </w:r>
      <w:r w:rsidR="00CC63EB">
        <w:t>ARE</w:t>
      </w:r>
      <w:r w:rsidRPr="000F48EC">
        <w:t xml:space="preserve"> EXCELLENCE</w:t>
      </w:r>
    </w:p>
    <w:p w14:paraId="3D92E2A3" w14:textId="0F3AFD3E" w:rsidR="000F48EC" w:rsidRPr="000F48EC" w:rsidRDefault="007A2801" w:rsidP="000069F9">
      <w:pPr>
        <w:pStyle w:val="Title2"/>
      </w:pPr>
      <w:r>
        <w:t>Appraisal consultation document</w:t>
      </w:r>
    </w:p>
    <w:p w14:paraId="470D6A1F" w14:textId="058959A5" w:rsidR="000F48EC" w:rsidRDefault="00870FB3" w:rsidP="00034110">
      <w:pPr>
        <w:pStyle w:val="Title1"/>
      </w:pPr>
      <w:bookmarkStart w:id="0" w:name="_Hlk49939977"/>
      <w:r>
        <w:t>Midostaurin for treating advanced systemic mastocytosis</w:t>
      </w:r>
    </w:p>
    <w:bookmarkEnd w:id="0"/>
    <w:p w14:paraId="5844AE09" w14:textId="0BD78C8A" w:rsidR="004921C3" w:rsidRDefault="001F1E02" w:rsidP="004921C3">
      <w:pPr>
        <w:pStyle w:val="NICEnormal"/>
      </w:pPr>
      <w:r>
        <w:rPr>
          <w:noProof/>
        </w:rPr>
        <mc:AlternateContent>
          <mc:Choice Requires="wps">
            <w:drawing>
              <wp:anchor distT="0" distB="0" distL="114300" distR="114300" simplePos="0" relativeHeight="251659264" behindDoc="0" locked="0" layoutInCell="1" allowOverlap="1" wp14:anchorId="72623526" wp14:editId="335515B5">
                <wp:simplePos x="0" y="0"/>
                <wp:positionH relativeFrom="margin">
                  <wp:posOffset>19050</wp:posOffset>
                </wp:positionH>
                <wp:positionV relativeFrom="paragraph">
                  <wp:posOffset>125026</wp:posOffset>
                </wp:positionV>
                <wp:extent cx="5277227" cy="4933195"/>
                <wp:effectExtent l="19050" t="19050" r="19050" b="20320"/>
                <wp:wrapNone/>
                <wp:docPr id="7" name="Text Box 7" descr="Panel explaining the consultation process. "/>
                <wp:cNvGraphicFramePr/>
                <a:graphic xmlns:a="http://schemas.openxmlformats.org/drawingml/2006/main">
                  <a:graphicData uri="http://schemas.microsoft.com/office/word/2010/wordprocessingShape">
                    <wps:wsp>
                      <wps:cNvSpPr txBox="1"/>
                      <wps:spPr>
                        <a:xfrm>
                          <a:off x="0" y="0"/>
                          <a:ext cx="5277227" cy="4933195"/>
                        </a:xfrm>
                        <a:prstGeom prst="rect">
                          <a:avLst/>
                        </a:prstGeom>
                        <a:solidFill>
                          <a:schemeClr val="bg1"/>
                        </a:solidFill>
                        <a:ln w="38100">
                          <a:solidFill>
                            <a:srgbClr val="A2BDC1"/>
                          </a:solidFill>
                        </a:ln>
                      </wps:spPr>
                      <wps:txbx>
                        <w:txbxContent>
                          <w:p w14:paraId="13A6F26B" w14:textId="77777777" w:rsidR="00ED0898" w:rsidRPr="00800530" w:rsidRDefault="00ED0898" w:rsidP="00800530">
                            <w:pPr>
                              <w:pStyle w:val="NICEnormalsinglespacing"/>
                            </w:pPr>
                            <w:r w:rsidRPr="00800530">
                              <w:t xml:space="preserve">The Department of Health and Social Care has asked the National Institute for Health and Care Excellence (NICE) to produce guidance on using midostaurin in the NHS in England. The appraisal committee has considered the evidence submitted by the company and the views of non-company consultees and commentators, clinical </w:t>
                            </w:r>
                            <w:proofErr w:type="gramStart"/>
                            <w:r w:rsidRPr="00800530">
                              <w:t>experts</w:t>
                            </w:r>
                            <w:proofErr w:type="gramEnd"/>
                            <w:r w:rsidRPr="00800530">
                              <w:t xml:space="preserve"> and patient experts. </w:t>
                            </w:r>
                          </w:p>
                          <w:p w14:paraId="06AEAE4B" w14:textId="6D180F4C" w:rsidR="00ED0898" w:rsidRPr="00800530" w:rsidRDefault="00ED0898" w:rsidP="00800530">
                            <w:pPr>
                              <w:pStyle w:val="NICEnormalsinglespacing"/>
                            </w:pPr>
                            <w:r w:rsidRPr="00800530">
                              <w:rPr>
                                <w:b/>
                                <w:bCs/>
                              </w:rPr>
                              <w:t>This document has been prepared for consultation with the consultees.</w:t>
                            </w:r>
                            <w:r w:rsidRPr="00800530">
                              <w:t xml:space="preserve"> It summarises the evidence and views that have been </w:t>
                            </w:r>
                            <w:proofErr w:type="gramStart"/>
                            <w:r w:rsidRPr="00800530">
                              <w:t>considered, and</w:t>
                            </w:r>
                            <w:proofErr w:type="gramEnd"/>
                            <w:r w:rsidRPr="00800530">
                              <w:t xml:space="preserve"> sets out the recommendations made by the committee. NICE invites comments from the consultees and commentators for this appraisal and the public. This document should be read along with the evidence (see the </w:t>
                            </w:r>
                            <w:hyperlink r:id="rId8" w:history="1">
                              <w:r w:rsidRPr="00800530">
                                <w:rPr>
                                  <w:color w:val="0000FF"/>
                                  <w:u w:val="single"/>
                                </w:rPr>
                                <w:t>committee papers</w:t>
                              </w:r>
                            </w:hyperlink>
                            <w:r w:rsidRPr="00800530">
                              <w:t>).</w:t>
                            </w:r>
                          </w:p>
                          <w:p w14:paraId="7661284B" w14:textId="77777777" w:rsidR="00ED0898" w:rsidRPr="00800530" w:rsidRDefault="00ED0898" w:rsidP="00800530">
                            <w:pPr>
                              <w:pStyle w:val="NICEnormalsinglespacing"/>
                            </w:pPr>
                            <w:r w:rsidRPr="00800530">
                              <w:t>The appraisal committee is interested in receiving comments on the following:</w:t>
                            </w:r>
                          </w:p>
                          <w:p w14:paraId="0853B62B" w14:textId="77777777" w:rsidR="00ED0898" w:rsidRPr="00800530" w:rsidRDefault="00ED0898" w:rsidP="00800530">
                            <w:pPr>
                              <w:pStyle w:val="Bulletleft1"/>
                              <w:spacing w:line="240" w:lineRule="auto"/>
                            </w:pPr>
                            <w:r w:rsidRPr="00800530">
                              <w:t xml:space="preserve">Has </w:t>
                            </w:r>
                            <w:proofErr w:type="gramStart"/>
                            <w:r w:rsidRPr="00800530">
                              <w:t>all of</w:t>
                            </w:r>
                            <w:proofErr w:type="gramEnd"/>
                            <w:r w:rsidRPr="00800530">
                              <w:t xml:space="preserve"> the relevant evidence been taken into account?</w:t>
                            </w:r>
                          </w:p>
                          <w:p w14:paraId="0E8038E9" w14:textId="77777777" w:rsidR="00ED0898" w:rsidRPr="00800530" w:rsidRDefault="00ED0898" w:rsidP="00800530">
                            <w:pPr>
                              <w:pStyle w:val="Bulletleft1"/>
                              <w:spacing w:line="240" w:lineRule="auto"/>
                            </w:pPr>
                            <w:r w:rsidRPr="00800530">
                              <w:t>Are the summaries of clinical and cost effectiveness reasonable interpretations of the evidence?</w:t>
                            </w:r>
                          </w:p>
                          <w:p w14:paraId="236B6E75" w14:textId="77777777" w:rsidR="00ED0898" w:rsidRDefault="00ED0898" w:rsidP="00800530">
                            <w:pPr>
                              <w:pStyle w:val="Bulletleft1"/>
                              <w:spacing w:line="240" w:lineRule="auto"/>
                            </w:pPr>
                            <w:r w:rsidRPr="00800530">
                              <w:t>Are the recommendations sound and a suitable basis for guidance to the NHS?</w:t>
                            </w:r>
                          </w:p>
                          <w:p w14:paraId="71225EBE" w14:textId="671B752F" w:rsidR="00ED0898" w:rsidRDefault="00ED0898" w:rsidP="00800530">
                            <w:pPr>
                              <w:pStyle w:val="Bulletleft1last"/>
                              <w:spacing w:line="240" w:lineRule="auto"/>
                            </w:pPr>
                            <w:r w:rsidRPr="00800530">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23526" id="_x0000_t202" coordsize="21600,21600" o:spt="202" path="m,l,21600r21600,l21600,xe">
                <v:stroke joinstyle="miter"/>
                <v:path gradientshapeok="t" o:connecttype="rect"/>
              </v:shapetype>
              <v:shape id="Text Box 7" o:spid="_x0000_s1026" type="#_x0000_t202" alt="Panel explaining the consultation process. " style="position:absolute;margin-left:1.5pt;margin-top:9.85pt;width:415.55pt;height:38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" fillcolor="white [3212]" strokecolor="#a2bdc1" strokeweight="3pt">
                <v:textbox>
                  <w:txbxContent>
                    <w:p w14:paraId="13A6F26B" w14:textId="77777777" w:rsidR="00ED0898" w:rsidRPr="00800530" w:rsidRDefault="00ED0898" w:rsidP="00800530">
                      <w:pPr>
                        <w:pStyle w:val="NICEnormalsinglespacing"/>
                      </w:pPr>
                      <w:r w:rsidRPr="00800530">
                        <w:t xml:space="preserve">The Department of Health and Social Care has asked the National Institute for Health and Care Excellence (NICE) to produce guidance on using midostaurin in the NHS in England. The appraisal committee has considered the evidence submitted by the company and the views of non-company consultees and commentators, clinical </w:t>
                      </w:r>
                      <w:proofErr w:type="gramStart"/>
                      <w:r w:rsidRPr="00800530">
                        <w:t>experts</w:t>
                      </w:r>
                      <w:proofErr w:type="gramEnd"/>
                      <w:r w:rsidRPr="00800530">
                        <w:t xml:space="preserve"> and patient experts. </w:t>
                      </w:r>
                    </w:p>
                    <w:p w14:paraId="06AEAE4B" w14:textId="6D180F4C" w:rsidR="00ED0898" w:rsidRPr="00800530" w:rsidRDefault="00ED0898" w:rsidP="00800530">
                      <w:pPr>
                        <w:pStyle w:val="NICEnormalsinglespacing"/>
                      </w:pPr>
                      <w:r w:rsidRPr="00800530">
                        <w:rPr>
                          <w:b/>
                          <w:bCs/>
                        </w:rPr>
                        <w:t>This document has been prepared for consultation with the consultees.</w:t>
                      </w:r>
                      <w:r w:rsidRPr="00800530">
                        <w:t xml:space="preserve"> It summarises the evidence and views that have been </w:t>
                      </w:r>
                      <w:proofErr w:type="gramStart"/>
                      <w:r w:rsidRPr="00800530">
                        <w:t>considered, and</w:t>
                      </w:r>
                      <w:proofErr w:type="gramEnd"/>
                      <w:r w:rsidRPr="00800530">
                        <w:t xml:space="preserve"> sets out the recommendations made by the committee. NICE invites comments from the consultees and commentators for this appraisal and the public. This document should be read along with the evidence (see the </w:t>
                      </w:r>
                      <w:hyperlink r:id="rId9" w:history="1">
                        <w:r w:rsidRPr="00800530">
                          <w:rPr>
                            <w:color w:val="0000FF"/>
                            <w:u w:val="single"/>
                          </w:rPr>
                          <w:t>committee papers</w:t>
                        </w:r>
                      </w:hyperlink>
                      <w:r w:rsidRPr="00800530">
                        <w:t>).</w:t>
                      </w:r>
                    </w:p>
                    <w:p w14:paraId="7661284B" w14:textId="77777777" w:rsidR="00ED0898" w:rsidRPr="00800530" w:rsidRDefault="00ED0898" w:rsidP="00800530">
                      <w:pPr>
                        <w:pStyle w:val="NICEnormalsinglespacing"/>
                      </w:pPr>
                      <w:r w:rsidRPr="00800530">
                        <w:t>The appraisal committee is interested in receiving comments on the following:</w:t>
                      </w:r>
                    </w:p>
                    <w:p w14:paraId="0853B62B" w14:textId="77777777" w:rsidR="00ED0898" w:rsidRPr="00800530" w:rsidRDefault="00ED0898" w:rsidP="00800530">
                      <w:pPr>
                        <w:pStyle w:val="Bulletleft1"/>
                        <w:spacing w:line="240" w:lineRule="auto"/>
                      </w:pPr>
                      <w:r w:rsidRPr="00800530">
                        <w:t xml:space="preserve">Has </w:t>
                      </w:r>
                      <w:proofErr w:type="gramStart"/>
                      <w:r w:rsidRPr="00800530">
                        <w:t>all of</w:t>
                      </w:r>
                      <w:proofErr w:type="gramEnd"/>
                      <w:r w:rsidRPr="00800530">
                        <w:t xml:space="preserve"> the relevant evidence been taken into account?</w:t>
                      </w:r>
                    </w:p>
                    <w:p w14:paraId="0E8038E9" w14:textId="77777777" w:rsidR="00ED0898" w:rsidRPr="00800530" w:rsidRDefault="00ED0898" w:rsidP="00800530">
                      <w:pPr>
                        <w:pStyle w:val="Bulletleft1"/>
                        <w:spacing w:line="240" w:lineRule="auto"/>
                      </w:pPr>
                      <w:r w:rsidRPr="00800530">
                        <w:t>Are the summaries of clinical and cost effectiveness reasonable interpretations of the evidence?</w:t>
                      </w:r>
                    </w:p>
                    <w:p w14:paraId="236B6E75" w14:textId="77777777" w:rsidR="00ED0898" w:rsidRDefault="00ED0898" w:rsidP="00800530">
                      <w:pPr>
                        <w:pStyle w:val="Bulletleft1"/>
                        <w:spacing w:line="240" w:lineRule="auto"/>
                      </w:pPr>
                      <w:r w:rsidRPr="00800530">
                        <w:t>Are the recommendations sound and a suitable basis for guidance to the NHS?</w:t>
                      </w:r>
                    </w:p>
                    <w:p w14:paraId="71225EBE" w14:textId="671B752F" w:rsidR="00ED0898" w:rsidRDefault="00ED0898" w:rsidP="00800530">
                      <w:pPr>
                        <w:pStyle w:val="Bulletleft1last"/>
                        <w:spacing w:line="240" w:lineRule="auto"/>
                      </w:pPr>
                      <w:r w:rsidRPr="00800530">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v:textbox>
                <w10:wrap anchorx="margin"/>
              </v:shape>
            </w:pict>
          </mc:Fallback>
        </mc:AlternateContent>
      </w:r>
    </w:p>
    <w:p w14:paraId="5DD57552" w14:textId="77777777" w:rsidR="004921C3" w:rsidRPr="004921C3" w:rsidRDefault="004921C3" w:rsidP="004921C3">
      <w:pPr>
        <w:pStyle w:val="NICEnormal"/>
      </w:pPr>
      <w:r>
        <w:br w:type="page"/>
      </w:r>
    </w:p>
    <w:p w14:paraId="6102B3C3" w14:textId="77777777" w:rsidR="00791280" w:rsidRDefault="00791280" w:rsidP="004921C3">
      <w:pPr>
        <w:pStyle w:val="NICEnormal"/>
      </w:pPr>
    </w:p>
    <w:p w14:paraId="24BC69AD" w14:textId="3D5A88D3" w:rsidR="007A2801" w:rsidRDefault="001F1E02" w:rsidP="00C76DDA">
      <w:pPr>
        <w:pStyle w:val="NICEnormal"/>
      </w:pPr>
      <w:r>
        <w:rPr>
          <w:noProof/>
        </w:rPr>
        <mc:AlternateContent>
          <mc:Choice Requires="wps">
            <w:drawing>
              <wp:anchor distT="0" distB="0" distL="114300" distR="114300" simplePos="0" relativeHeight="251661312" behindDoc="0" locked="0" layoutInCell="1" allowOverlap="1" wp14:anchorId="553FCA03" wp14:editId="65C4C218">
                <wp:simplePos x="0" y="0"/>
                <wp:positionH relativeFrom="margin">
                  <wp:posOffset>943</wp:posOffset>
                </wp:positionH>
                <wp:positionV relativeFrom="paragraph">
                  <wp:posOffset>20219</wp:posOffset>
                </wp:positionV>
                <wp:extent cx="5277227" cy="4715913"/>
                <wp:effectExtent l="19050" t="19050" r="19050" b="27940"/>
                <wp:wrapNone/>
                <wp:docPr id="1" name="Text Box 1" descr="Panel explaining the consultation process. "/>
                <wp:cNvGraphicFramePr/>
                <a:graphic xmlns:a="http://schemas.openxmlformats.org/drawingml/2006/main">
                  <a:graphicData uri="http://schemas.microsoft.com/office/word/2010/wordprocessingShape">
                    <wps:wsp>
                      <wps:cNvSpPr txBox="1"/>
                      <wps:spPr>
                        <a:xfrm>
                          <a:off x="0" y="0"/>
                          <a:ext cx="5277227" cy="4715913"/>
                        </a:xfrm>
                        <a:prstGeom prst="rect">
                          <a:avLst/>
                        </a:prstGeom>
                        <a:solidFill>
                          <a:sysClr val="window" lastClr="FFFFFF"/>
                        </a:solidFill>
                        <a:ln w="38100">
                          <a:solidFill>
                            <a:srgbClr val="A2BDC1"/>
                          </a:solidFill>
                        </a:ln>
                      </wps:spPr>
                      <wps:txbx>
                        <w:txbxContent>
                          <w:p w14:paraId="753437EC" w14:textId="77777777" w:rsidR="00ED0898" w:rsidRPr="004921C3" w:rsidRDefault="00ED0898" w:rsidP="001F1E02">
                            <w:pPr>
                              <w:pStyle w:val="NICEnormalsinglespacing"/>
                              <w:rPr>
                                <w:b/>
                                <w:bCs/>
                              </w:rPr>
                            </w:pPr>
                            <w:r w:rsidRPr="004921C3">
                              <w:rPr>
                                <w:b/>
                                <w:bCs/>
                              </w:rPr>
                              <w:t>Note that this document is not NICE's final guidance on this technology. The recommendations in section 1 may change after consultation.</w:t>
                            </w:r>
                          </w:p>
                          <w:p w14:paraId="6F524F6B" w14:textId="77777777" w:rsidR="00ED0898" w:rsidRDefault="00ED0898" w:rsidP="001F1E02">
                            <w:pPr>
                              <w:pStyle w:val="NICEnormalsinglespacing"/>
                            </w:pPr>
                            <w:r>
                              <w:t>After consultation:</w:t>
                            </w:r>
                          </w:p>
                          <w:p w14:paraId="43BDB149" w14:textId="77777777" w:rsidR="00ED0898" w:rsidRDefault="00ED0898" w:rsidP="001F1E02">
                            <w:pPr>
                              <w:pStyle w:val="Bulletleft1"/>
                              <w:spacing w:line="240" w:lineRule="auto"/>
                            </w:pPr>
                            <w:r>
                              <w:t xml:space="preserve">The appraisal committee will meet again to consider the evidence, this appraisal consultation </w:t>
                            </w:r>
                            <w:proofErr w:type="gramStart"/>
                            <w:r>
                              <w:t>document</w:t>
                            </w:r>
                            <w:proofErr w:type="gramEnd"/>
                            <w:r>
                              <w:t xml:space="preserve"> and comments from the consultees.</w:t>
                            </w:r>
                          </w:p>
                          <w:p w14:paraId="5F470945" w14:textId="77777777" w:rsidR="00ED0898" w:rsidRDefault="00ED0898" w:rsidP="001F1E02">
                            <w:pPr>
                              <w:pStyle w:val="Bulletleft1"/>
                              <w:spacing w:line="240" w:lineRule="auto"/>
                            </w:pPr>
                            <w:r>
                              <w:t>At that meeting, the committee will also consider comments made by people who are not consultees.</w:t>
                            </w:r>
                          </w:p>
                          <w:p w14:paraId="433B8E68" w14:textId="77777777" w:rsidR="00ED0898" w:rsidRDefault="00ED0898" w:rsidP="001F1E02">
                            <w:pPr>
                              <w:pStyle w:val="Bulletleft1"/>
                              <w:spacing w:line="240" w:lineRule="auto"/>
                            </w:pPr>
                            <w:r>
                              <w:t>After considering these comments, the committee will prepare the final appraisal document.</w:t>
                            </w:r>
                          </w:p>
                          <w:p w14:paraId="5ED30CA9" w14:textId="77777777" w:rsidR="00ED0898" w:rsidRDefault="00ED0898" w:rsidP="001F1E02">
                            <w:pPr>
                              <w:pStyle w:val="Bulletleft1last"/>
                              <w:spacing w:line="240" w:lineRule="auto"/>
                            </w:pPr>
                            <w:r>
                              <w:t xml:space="preserve">Subject to any appeal by consultees, the final appraisal document may be used as the basis for NICE's guidance on using midostaurin in the NHS in England. </w:t>
                            </w:r>
                          </w:p>
                          <w:p w14:paraId="6199AA46" w14:textId="77777777" w:rsidR="00ED0898" w:rsidRDefault="00ED0898" w:rsidP="001F1E02">
                            <w:pPr>
                              <w:pStyle w:val="NICEnormalsinglespacing"/>
                            </w:pPr>
                            <w:r>
                              <w:t xml:space="preserve">For further details, see </w:t>
                            </w:r>
                            <w:hyperlink r:id="rId10" w:history="1">
                              <w:r w:rsidRPr="007F5BA9">
                                <w:rPr>
                                  <w:rStyle w:val="Hyperlink"/>
                                </w:rPr>
                                <w:t>NICE's guide to the processes of technology appraisal.</w:t>
                              </w:r>
                            </w:hyperlink>
                          </w:p>
                          <w:p w14:paraId="5F263B6F" w14:textId="77777777" w:rsidR="00ED0898" w:rsidRDefault="00ED0898" w:rsidP="001F1E02">
                            <w:pPr>
                              <w:pStyle w:val="NICEnormalsinglespacing"/>
                            </w:pPr>
                            <w:r>
                              <w:t>The key dates for this appraisal are:</w:t>
                            </w:r>
                          </w:p>
                          <w:p w14:paraId="58C302C4" w14:textId="56274A79" w:rsidR="00ED0898" w:rsidRDefault="00ED0898" w:rsidP="001F1E02">
                            <w:pPr>
                              <w:pStyle w:val="NICEnormalsinglespacing"/>
                            </w:pPr>
                            <w:r>
                              <w:t xml:space="preserve">Closing date for comments: </w:t>
                            </w:r>
                            <w:r w:rsidR="00D900A6">
                              <w:t>27 November 2020</w:t>
                            </w:r>
                          </w:p>
                          <w:p w14:paraId="4C4DF331" w14:textId="77777777" w:rsidR="00ED0898" w:rsidRDefault="00ED0898" w:rsidP="001F1E02">
                            <w:pPr>
                              <w:pStyle w:val="NICEnormalsinglespacing"/>
                            </w:pPr>
                            <w:r>
                              <w:t>Second appraisal committee meeting: TBC</w:t>
                            </w:r>
                          </w:p>
                          <w:p w14:paraId="1DE2F9E3" w14:textId="65777E68" w:rsidR="00ED0898" w:rsidRDefault="00ED0898" w:rsidP="001F1E02">
                            <w:pPr>
                              <w:pStyle w:val="Bulletleft1last"/>
                              <w:numPr>
                                <w:ilvl w:val="0"/>
                                <w:numId w:val="0"/>
                              </w:numPr>
                              <w:spacing w:line="240" w:lineRule="auto"/>
                              <w:ind w:left="284" w:hanging="284"/>
                            </w:pPr>
                            <w:r>
                              <w:t>Details of membership of the appraisal committee are given in 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FCA03" id="Text Box 1" o:spid="_x0000_s1027" type="#_x0000_t202" alt="Panel explaining the consultation process. " style="position:absolute;margin-left:.05pt;margin-top:1.6pt;width:415.55pt;height:37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" fillcolor="window" strokecolor="#a2bdc1" strokeweight="3pt">
                <v:textbox>
                  <w:txbxContent>
                    <w:p w14:paraId="753437EC" w14:textId="77777777" w:rsidR="00ED0898" w:rsidRPr="004921C3" w:rsidRDefault="00ED0898" w:rsidP="001F1E02">
                      <w:pPr>
                        <w:pStyle w:val="NICEnormalsinglespacing"/>
                        <w:rPr>
                          <w:b/>
                          <w:bCs/>
                        </w:rPr>
                      </w:pPr>
                      <w:r w:rsidRPr="004921C3">
                        <w:rPr>
                          <w:b/>
                          <w:bCs/>
                        </w:rPr>
                        <w:t>Note that this document is not NICE's final guidance on this technology. The recommendations in section 1 may change after consultation.</w:t>
                      </w:r>
                    </w:p>
                    <w:p w14:paraId="6F524F6B" w14:textId="77777777" w:rsidR="00ED0898" w:rsidRDefault="00ED0898" w:rsidP="001F1E02">
                      <w:pPr>
                        <w:pStyle w:val="NICEnormalsinglespacing"/>
                      </w:pPr>
                      <w:r>
                        <w:t>After consultation:</w:t>
                      </w:r>
                    </w:p>
                    <w:p w14:paraId="43BDB149" w14:textId="77777777" w:rsidR="00ED0898" w:rsidRDefault="00ED0898" w:rsidP="001F1E02">
                      <w:pPr>
                        <w:pStyle w:val="Bulletleft1"/>
                        <w:spacing w:line="240" w:lineRule="auto"/>
                      </w:pPr>
                      <w:r>
                        <w:t xml:space="preserve">The appraisal committee will meet again to consider the evidence, this appraisal consultation </w:t>
                      </w:r>
                      <w:proofErr w:type="gramStart"/>
                      <w:r>
                        <w:t>document</w:t>
                      </w:r>
                      <w:proofErr w:type="gramEnd"/>
                      <w:r>
                        <w:t xml:space="preserve"> and comments from the consultees.</w:t>
                      </w:r>
                    </w:p>
                    <w:p w14:paraId="5F470945" w14:textId="77777777" w:rsidR="00ED0898" w:rsidRDefault="00ED0898" w:rsidP="001F1E02">
                      <w:pPr>
                        <w:pStyle w:val="Bulletleft1"/>
                        <w:spacing w:line="240" w:lineRule="auto"/>
                      </w:pPr>
                      <w:r>
                        <w:t>At that meeting, the committee will also consider comments made by people who are not consultees.</w:t>
                      </w:r>
                    </w:p>
                    <w:p w14:paraId="433B8E68" w14:textId="77777777" w:rsidR="00ED0898" w:rsidRDefault="00ED0898" w:rsidP="001F1E02">
                      <w:pPr>
                        <w:pStyle w:val="Bulletleft1"/>
                        <w:spacing w:line="240" w:lineRule="auto"/>
                      </w:pPr>
                      <w:r>
                        <w:t>After considering these comments, the committee will prepare the final appraisal document.</w:t>
                      </w:r>
                    </w:p>
                    <w:p w14:paraId="5ED30CA9" w14:textId="77777777" w:rsidR="00ED0898" w:rsidRDefault="00ED0898" w:rsidP="001F1E02">
                      <w:pPr>
                        <w:pStyle w:val="Bulletleft1last"/>
                        <w:spacing w:line="240" w:lineRule="auto"/>
                      </w:pPr>
                      <w:r>
                        <w:t xml:space="preserve">Subject to any appeal by consultees, the final appraisal document may be used as the basis for NICE's guidance on using midostaurin in the NHS in England. </w:t>
                      </w:r>
                    </w:p>
                    <w:p w14:paraId="6199AA46" w14:textId="77777777" w:rsidR="00ED0898" w:rsidRDefault="00ED0898" w:rsidP="001F1E02">
                      <w:pPr>
                        <w:pStyle w:val="NICEnormalsinglespacing"/>
                      </w:pPr>
                      <w:r>
                        <w:t xml:space="preserve">For further details, see </w:t>
                      </w:r>
                      <w:hyperlink r:id="rId11" w:history="1">
                        <w:r w:rsidRPr="007F5BA9">
                          <w:rPr>
                            <w:rStyle w:val="Hyperlink"/>
                          </w:rPr>
                          <w:t>NICE's guide to the processes of technology appraisal.</w:t>
                        </w:r>
                      </w:hyperlink>
                    </w:p>
                    <w:p w14:paraId="5F263B6F" w14:textId="77777777" w:rsidR="00ED0898" w:rsidRDefault="00ED0898" w:rsidP="001F1E02">
                      <w:pPr>
                        <w:pStyle w:val="NICEnormalsinglespacing"/>
                      </w:pPr>
                      <w:r>
                        <w:t>The key dates for this appraisal are:</w:t>
                      </w:r>
                    </w:p>
                    <w:p w14:paraId="58C302C4" w14:textId="56274A79" w:rsidR="00ED0898" w:rsidRDefault="00ED0898" w:rsidP="001F1E02">
                      <w:pPr>
                        <w:pStyle w:val="NICEnormalsinglespacing"/>
                      </w:pPr>
                      <w:r>
                        <w:t xml:space="preserve">Closing date for comments: </w:t>
                      </w:r>
                      <w:r w:rsidR="00D900A6">
                        <w:t>27 November 2020</w:t>
                      </w:r>
                    </w:p>
                    <w:p w14:paraId="4C4DF331" w14:textId="77777777" w:rsidR="00ED0898" w:rsidRDefault="00ED0898" w:rsidP="001F1E02">
                      <w:pPr>
                        <w:pStyle w:val="NICEnormalsinglespacing"/>
                      </w:pPr>
                      <w:r>
                        <w:t>Second appraisal committee meeting: TBC</w:t>
                      </w:r>
                    </w:p>
                    <w:p w14:paraId="1DE2F9E3" w14:textId="65777E68" w:rsidR="00ED0898" w:rsidRDefault="00ED0898" w:rsidP="001F1E02">
                      <w:pPr>
                        <w:pStyle w:val="Bulletleft1last"/>
                        <w:numPr>
                          <w:ilvl w:val="0"/>
                          <w:numId w:val="0"/>
                        </w:numPr>
                        <w:spacing w:line="240" w:lineRule="auto"/>
                        <w:ind w:left="284" w:hanging="284"/>
                      </w:pPr>
                      <w:r>
                        <w:t>Details of membership of the appraisal committee are given in section 5.</w:t>
                      </w:r>
                    </w:p>
                  </w:txbxContent>
                </v:textbox>
                <w10:wrap anchorx="margin"/>
              </v:shape>
            </w:pict>
          </mc:Fallback>
        </mc:AlternateContent>
      </w:r>
    </w:p>
    <w:p w14:paraId="6B2ED13C" w14:textId="77777777" w:rsidR="007A2801" w:rsidRDefault="007A2801">
      <w:pPr>
        <w:rPr>
          <w:rFonts w:ascii="Arial" w:hAnsi="Arial"/>
        </w:rPr>
      </w:pPr>
      <w:r>
        <w:br w:type="page"/>
      </w:r>
    </w:p>
    <w:p w14:paraId="7E1DDE42" w14:textId="77777777" w:rsidR="000F48EC" w:rsidRPr="000F48EC" w:rsidRDefault="00B379C5" w:rsidP="00F130AD">
      <w:pPr>
        <w:pStyle w:val="Numberedheading1"/>
      </w:pPr>
      <w:r>
        <w:lastRenderedPageBreak/>
        <w:t>Recommendations</w:t>
      </w:r>
    </w:p>
    <w:p w14:paraId="0B11DF11" w14:textId="5331B1C5" w:rsidR="00C31253" w:rsidRPr="00E2708B" w:rsidRDefault="006205D7" w:rsidP="006205D7">
      <w:pPr>
        <w:pStyle w:val="Numberedlevel2text"/>
      </w:pPr>
      <w:r>
        <w:rPr>
          <w:lang w:val="en-GB"/>
        </w:rPr>
        <w:t>Midostaurin</w:t>
      </w:r>
      <w:r w:rsidR="00BA3F6A">
        <w:rPr>
          <w:lang w:val="en-GB"/>
        </w:rPr>
        <w:t xml:space="preserve"> </w:t>
      </w:r>
      <w:r w:rsidR="00C31253" w:rsidRPr="00133921">
        <w:t>is</w:t>
      </w:r>
      <w:r w:rsidR="007857D4">
        <w:rPr>
          <w:lang w:val="en-GB"/>
        </w:rPr>
        <w:t xml:space="preserve"> not</w:t>
      </w:r>
      <w:r w:rsidR="00C31253" w:rsidRPr="00133921">
        <w:t xml:space="preserve"> recommended, within its marketing authorisation</w:t>
      </w:r>
      <w:r w:rsidR="00066EB2">
        <w:rPr>
          <w:lang w:val="en-GB"/>
        </w:rPr>
        <w:t>,</w:t>
      </w:r>
      <w:r w:rsidR="00C31253" w:rsidRPr="00133921">
        <w:t xml:space="preserve"> for treating</w:t>
      </w:r>
      <w:r>
        <w:rPr>
          <w:lang w:val="en-GB"/>
        </w:rPr>
        <w:t xml:space="preserve"> </w:t>
      </w:r>
      <w:r w:rsidRPr="006205D7">
        <w:rPr>
          <w:lang w:val="en-GB"/>
        </w:rPr>
        <w:t xml:space="preserve">advanced systemic mastocytosis </w:t>
      </w:r>
      <w:r w:rsidR="003E7B38">
        <w:rPr>
          <w:lang w:val="en-GB"/>
        </w:rPr>
        <w:t>(</w:t>
      </w:r>
      <w:r w:rsidR="003E7B38" w:rsidRPr="003E7B38">
        <w:rPr>
          <w:lang w:val="en-GB"/>
        </w:rPr>
        <w:t>aggressive systemic mastocytosis, systemic mastocytosis with associated haematological neoplasms and mast cell leukaemia</w:t>
      </w:r>
      <w:r w:rsidR="003E7B38">
        <w:rPr>
          <w:lang w:val="en-GB"/>
        </w:rPr>
        <w:t xml:space="preserve">) </w:t>
      </w:r>
      <w:r w:rsidRPr="006205D7">
        <w:rPr>
          <w:lang w:val="en-GB"/>
        </w:rPr>
        <w:t>in adults</w:t>
      </w:r>
      <w:r w:rsidR="007857D4">
        <w:rPr>
          <w:lang w:val="en-GB"/>
        </w:rPr>
        <w:t>.</w:t>
      </w:r>
    </w:p>
    <w:p w14:paraId="4E6B36E7" w14:textId="347DAA75" w:rsidR="00E2708B" w:rsidRDefault="00E2708B" w:rsidP="006205D7">
      <w:pPr>
        <w:pStyle w:val="Numberedlevel2text"/>
      </w:pPr>
      <w:r w:rsidRPr="00E2708B">
        <w:t>This recommendation is not intended to affect treatment with midostaurin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6D4C4850" w14:textId="17BA8F9C" w:rsidR="00C11F58" w:rsidRDefault="00C11F58" w:rsidP="008522C6">
      <w:pPr>
        <w:pStyle w:val="NICEnormal"/>
        <w:rPr>
          <w:b/>
        </w:rPr>
      </w:pPr>
      <w:r w:rsidRPr="008522C6">
        <w:rPr>
          <w:b/>
        </w:rPr>
        <w:t>Why the committee made these recommendations</w:t>
      </w:r>
    </w:p>
    <w:p w14:paraId="516F597F" w14:textId="1D813EC3" w:rsidR="0035067C" w:rsidRDefault="00295AD9" w:rsidP="008522C6">
      <w:pPr>
        <w:pStyle w:val="NICEnormal"/>
      </w:pPr>
      <w:r>
        <w:rPr>
          <w:bCs/>
        </w:rPr>
        <w:t>There is no standard treatment for a</w:t>
      </w:r>
      <w:r w:rsidR="0035067C">
        <w:rPr>
          <w:bCs/>
        </w:rPr>
        <w:t>dvanced systemic mastocytosis</w:t>
      </w:r>
      <w:r>
        <w:rPr>
          <w:bCs/>
        </w:rPr>
        <w:t>.</w:t>
      </w:r>
      <w:r w:rsidR="0035067C">
        <w:rPr>
          <w:bCs/>
        </w:rPr>
        <w:t xml:space="preserve"> </w:t>
      </w:r>
      <w:r w:rsidR="00855529">
        <w:rPr>
          <w:bCs/>
        </w:rPr>
        <w:t>Current t</w:t>
      </w:r>
      <w:r>
        <w:rPr>
          <w:bCs/>
        </w:rPr>
        <w:t>reatment</w:t>
      </w:r>
      <w:r w:rsidR="006E20BF">
        <w:rPr>
          <w:bCs/>
        </w:rPr>
        <w:t>s</w:t>
      </w:r>
      <w:r>
        <w:rPr>
          <w:bCs/>
        </w:rPr>
        <w:t xml:space="preserve"> </w:t>
      </w:r>
      <w:r w:rsidR="00044153">
        <w:rPr>
          <w:bCs/>
        </w:rPr>
        <w:t>include</w:t>
      </w:r>
      <w:r w:rsidR="0035067C" w:rsidRPr="00902F43">
        <w:t xml:space="preserve"> interferon alpha</w:t>
      </w:r>
      <w:r w:rsidR="00342EB8">
        <w:t xml:space="preserve">, </w:t>
      </w:r>
      <w:r w:rsidR="00342EB8" w:rsidRPr="00342EB8">
        <w:t>pegylated interferon alpha</w:t>
      </w:r>
      <w:r w:rsidR="0035067C" w:rsidRPr="00902F43">
        <w:t>, cladribine, imatinib, and treatments</w:t>
      </w:r>
      <w:r w:rsidR="006C4F71">
        <w:t xml:space="preserve"> </w:t>
      </w:r>
      <w:r w:rsidR="00373BF7">
        <w:t xml:space="preserve">usually </w:t>
      </w:r>
      <w:r w:rsidR="006C4F71">
        <w:t xml:space="preserve">used </w:t>
      </w:r>
      <w:r w:rsidR="00044153">
        <w:t>for</w:t>
      </w:r>
      <w:r w:rsidR="006C4F71">
        <w:t xml:space="preserve"> acute myeloid leukaemia</w:t>
      </w:r>
      <w:r w:rsidR="0035067C">
        <w:t xml:space="preserve">. </w:t>
      </w:r>
      <w:r w:rsidR="00373BF7">
        <w:t xml:space="preserve">Midostaurin </w:t>
      </w:r>
      <w:r>
        <w:t>aims to treat</w:t>
      </w:r>
      <w:r w:rsidR="008850A9">
        <w:t xml:space="preserve"> the disease</w:t>
      </w:r>
      <w:r w:rsidR="00B26B0C">
        <w:t xml:space="preserve"> and </w:t>
      </w:r>
      <w:r w:rsidR="00D645BA">
        <w:t>its</w:t>
      </w:r>
      <w:r w:rsidR="00B26B0C">
        <w:t xml:space="preserve"> symptoms</w:t>
      </w:r>
      <w:r w:rsidR="008850A9">
        <w:t>.</w:t>
      </w:r>
    </w:p>
    <w:p w14:paraId="6B241814" w14:textId="7D9F8245" w:rsidR="0035067C" w:rsidRDefault="00D645BA" w:rsidP="008522C6">
      <w:pPr>
        <w:pStyle w:val="NICEnormal"/>
      </w:pPr>
      <w:r>
        <w:t>Evidence</w:t>
      </w:r>
      <w:r w:rsidR="00AB2524">
        <w:t xml:space="preserve"> suggests that</w:t>
      </w:r>
      <w:r w:rsidR="008850A9">
        <w:t xml:space="preserve"> midostaurin </w:t>
      </w:r>
      <w:r w:rsidR="00AB2524">
        <w:t>is more effective than</w:t>
      </w:r>
      <w:r w:rsidR="008850A9">
        <w:t xml:space="preserve"> current treatment</w:t>
      </w:r>
      <w:r w:rsidR="00AB2524">
        <w:t>s, but th</w:t>
      </w:r>
      <w:r w:rsidR="001979D8">
        <w:t>e evidence</w:t>
      </w:r>
      <w:r w:rsidR="00AB2524">
        <w:t xml:space="preserve"> is uncertain</w:t>
      </w:r>
      <w:r w:rsidR="008850A9">
        <w:t xml:space="preserve">. This is because </w:t>
      </w:r>
      <w:r w:rsidR="00170746">
        <w:t>midostaurin</w:t>
      </w:r>
      <w:r w:rsidR="008850A9">
        <w:t xml:space="preserve"> has been compared </w:t>
      </w:r>
      <w:r w:rsidR="00DC77C2">
        <w:t xml:space="preserve">indirectly </w:t>
      </w:r>
      <w:r w:rsidR="0035067C">
        <w:t xml:space="preserve">with current </w:t>
      </w:r>
      <w:r w:rsidR="008850A9">
        <w:t>treatments</w:t>
      </w:r>
      <w:r w:rsidR="0035067C">
        <w:t xml:space="preserve"> using</w:t>
      </w:r>
      <w:r w:rsidR="000C31A6">
        <w:t xml:space="preserve"> evidence from</w:t>
      </w:r>
      <w:r w:rsidR="00404D06">
        <w:t xml:space="preserve"> </w:t>
      </w:r>
      <w:r w:rsidR="00295AD9">
        <w:t>1</w:t>
      </w:r>
      <w:r w:rsidR="00D56A19">
        <w:t xml:space="preserve"> unpublished </w:t>
      </w:r>
      <w:r w:rsidR="008850A9">
        <w:t>study</w:t>
      </w:r>
      <w:r w:rsidR="00D56A19">
        <w:t xml:space="preserve">. </w:t>
      </w:r>
      <w:r w:rsidR="008850A9">
        <w:t xml:space="preserve">Also, </w:t>
      </w:r>
      <w:r w:rsidR="001979D8">
        <w:t xml:space="preserve">it is unlikely that </w:t>
      </w:r>
      <w:r w:rsidR="00AE2A6E">
        <w:t>high</w:t>
      </w:r>
      <w:r w:rsidR="00373BF7">
        <w:t>er</w:t>
      </w:r>
      <w:r w:rsidR="00AE2A6E">
        <w:t xml:space="preserve"> quality </w:t>
      </w:r>
      <w:r w:rsidR="006F5256">
        <w:t xml:space="preserve">comparative </w:t>
      </w:r>
      <w:r w:rsidR="00AE2A6E">
        <w:t xml:space="preserve">evidence </w:t>
      </w:r>
      <w:r w:rsidR="001979D8">
        <w:t>will</w:t>
      </w:r>
      <w:r w:rsidR="00AE2A6E">
        <w:t xml:space="preserve"> become available.</w:t>
      </w:r>
      <w:r w:rsidR="00D56A19">
        <w:t xml:space="preserve"> </w:t>
      </w:r>
    </w:p>
    <w:p w14:paraId="227F28CA" w14:textId="01E64597" w:rsidR="00B8464A" w:rsidRPr="00D645BA" w:rsidRDefault="00066EB2" w:rsidP="002967A0">
      <w:pPr>
        <w:pStyle w:val="NICEnormal"/>
      </w:pPr>
      <w:r>
        <w:t>M</w:t>
      </w:r>
      <w:r w:rsidR="00295AD9" w:rsidRPr="00295AD9">
        <w:t xml:space="preserve">idostaurin </w:t>
      </w:r>
      <w:r>
        <w:t>meets NICE’s criteria for a life-extending treatment at the end of life</w:t>
      </w:r>
      <w:r w:rsidR="00295AD9" w:rsidRPr="00295AD9">
        <w:t xml:space="preserve">. </w:t>
      </w:r>
      <w:r>
        <w:t xml:space="preserve">However, the </w:t>
      </w:r>
      <w:r w:rsidR="00D56A19">
        <w:t>cost-effectiveness estimate</w:t>
      </w:r>
      <w:r w:rsidR="00373BF7">
        <w:t>s</w:t>
      </w:r>
      <w:r w:rsidR="00D56A19">
        <w:t xml:space="preserve"> </w:t>
      </w:r>
      <w:r w:rsidR="00373BF7">
        <w:t>are</w:t>
      </w:r>
      <w:r w:rsidR="00D56A19">
        <w:t xml:space="preserve"> much higher than </w:t>
      </w:r>
      <w:r w:rsidR="00373BF7">
        <w:t>what</w:t>
      </w:r>
      <w:r w:rsidR="002967A0">
        <w:t xml:space="preserve"> </w:t>
      </w:r>
      <w:r w:rsidR="00D56A19">
        <w:t xml:space="preserve">NICE normally considers </w:t>
      </w:r>
      <w:r w:rsidR="00AB2524">
        <w:t>a cost-effective</w:t>
      </w:r>
      <w:r w:rsidR="00D56A19">
        <w:t xml:space="preserve"> use of NHS resources </w:t>
      </w:r>
      <w:r w:rsidR="00AB2524">
        <w:t xml:space="preserve">for </w:t>
      </w:r>
      <w:r w:rsidR="00D56A19">
        <w:t>end of life</w:t>
      </w:r>
      <w:r w:rsidR="00AB2524">
        <w:t xml:space="preserve"> treatments</w:t>
      </w:r>
      <w:r w:rsidR="00D56A19">
        <w:t>. So</w:t>
      </w:r>
      <w:r w:rsidR="006C4F71">
        <w:t>,</w:t>
      </w:r>
      <w:r w:rsidR="00D56A19">
        <w:t xml:space="preserve"> midostaurin </w:t>
      </w:r>
      <w:r w:rsidR="002967A0">
        <w:t>is not</w:t>
      </w:r>
      <w:r w:rsidR="00D56A19">
        <w:t xml:space="preserve"> recommended for routine use in the NHS.</w:t>
      </w:r>
      <w:r w:rsidR="002967A0">
        <w:t xml:space="preserve"> Because </w:t>
      </w:r>
      <w:r w:rsidR="00373BF7">
        <w:t>more evidence</w:t>
      </w:r>
      <w:r w:rsidR="00D56A19">
        <w:t xml:space="preserve"> </w:t>
      </w:r>
      <w:r w:rsidR="00044153">
        <w:t xml:space="preserve">is </w:t>
      </w:r>
      <w:r w:rsidR="00D56A19">
        <w:t xml:space="preserve">unlikely to </w:t>
      </w:r>
      <w:r w:rsidR="002967A0">
        <w:t xml:space="preserve">become available </w:t>
      </w:r>
      <w:r w:rsidR="008850A9">
        <w:t xml:space="preserve">to help with the uncertainty, </w:t>
      </w:r>
      <w:r w:rsidR="00D56A19">
        <w:t xml:space="preserve">midostaurin </w:t>
      </w:r>
      <w:r w:rsidR="002967A0">
        <w:t xml:space="preserve">is </w:t>
      </w:r>
      <w:r w:rsidR="006C4F71">
        <w:t xml:space="preserve">also </w:t>
      </w:r>
      <w:r w:rsidR="002967A0">
        <w:t>not</w:t>
      </w:r>
      <w:r w:rsidR="00D56A19">
        <w:t xml:space="preserve"> recommended for use within the Cancer Drugs Fund.</w:t>
      </w:r>
    </w:p>
    <w:p w14:paraId="034C8D73" w14:textId="01215864" w:rsidR="00EA1CB1" w:rsidRDefault="00EA1CB1" w:rsidP="00EA1CB1">
      <w:pPr>
        <w:pStyle w:val="Numberedheading1"/>
        <w:keepLines/>
      </w:pPr>
      <w:r>
        <w:lastRenderedPageBreak/>
        <w:t xml:space="preserve">Information about </w:t>
      </w:r>
      <w:r w:rsidR="007F5BA9">
        <w:t>midostaurin</w:t>
      </w:r>
    </w:p>
    <w:p w14:paraId="2ADB33DE" w14:textId="5595D856" w:rsidR="00B82A82" w:rsidRDefault="00B82A82" w:rsidP="00B82A82">
      <w:pPr>
        <w:pStyle w:val="Heading2"/>
      </w:pPr>
      <w:r w:rsidRPr="00A76391">
        <w:t>Marketing authorisation indication</w:t>
      </w:r>
    </w:p>
    <w:p w14:paraId="3661A33E" w14:textId="6F9F41F3" w:rsidR="00B82A82" w:rsidRPr="00B84674" w:rsidRDefault="007F5BA9" w:rsidP="00B82A82">
      <w:pPr>
        <w:pStyle w:val="Numberedlevel2text"/>
        <w:numPr>
          <w:ilvl w:val="1"/>
          <w:numId w:val="1"/>
        </w:numPr>
      </w:pPr>
      <w:r>
        <w:rPr>
          <w:rStyle w:val="NICEnormalChar"/>
          <w:szCs w:val="28"/>
        </w:rPr>
        <w:t>Midostaurin (Rydapt,</w:t>
      </w:r>
      <w:r w:rsidR="002967A0">
        <w:rPr>
          <w:rStyle w:val="NICEnormalChar"/>
          <w:szCs w:val="28"/>
        </w:rPr>
        <w:t xml:space="preserve"> </w:t>
      </w:r>
      <w:r>
        <w:rPr>
          <w:rStyle w:val="NICEnormalChar"/>
          <w:szCs w:val="28"/>
        </w:rPr>
        <w:t>Novartis)</w:t>
      </w:r>
      <w:r w:rsidR="00295C49">
        <w:rPr>
          <w:rStyle w:val="NICEnormalChar"/>
          <w:szCs w:val="28"/>
        </w:rPr>
        <w:t xml:space="preserve"> is indicated </w:t>
      </w:r>
      <w:r w:rsidR="004D73FF">
        <w:rPr>
          <w:rStyle w:val="NICEnormalChar"/>
          <w:szCs w:val="28"/>
        </w:rPr>
        <w:t>‘</w:t>
      </w:r>
      <w:r w:rsidR="00295C49">
        <w:rPr>
          <w:rStyle w:val="NICEnormalChar"/>
          <w:szCs w:val="28"/>
        </w:rPr>
        <w:t xml:space="preserve">as monotherapy for the treatment of adult patients with </w:t>
      </w:r>
      <w:r w:rsidR="00FC22CD">
        <w:rPr>
          <w:lang w:val="en-GB"/>
        </w:rPr>
        <w:t>aggressive systemic mastocytosis</w:t>
      </w:r>
      <w:r w:rsidR="00826143">
        <w:rPr>
          <w:lang w:val="en-GB"/>
        </w:rPr>
        <w:t xml:space="preserve"> (ASM)</w:t>
      </w:r>
      <w:r w:rsidR="00FC22CD">
        <w:rPr>
          <w:lang w:val="en-GB"/>
        </w:rPr>
        <w:t xml:space="preserve">, systemic mastocytosis </w:t>
      </w:r>
      <w:r w:rsidR="00C03329">
        <w:rPr>
          <w:lang w:val="en-GB"/>
        </w:rPr>
        <w:t xml:space="preserve">with </w:t>
      </w:r>
      <w:r w:rsidR="00FC22CD">
        <w:rPr>
          <w:lang w:val="en-GB"/>
        </w:rPr>
        <w:t>associated haematological neoplasm</w:t>
      </w:r>
      <w:r w:rsidR="00826143">
        <w:rPr>
          <w:lang w:val="en-GB"/>
        </w:rPr>
        <w:t xml:space="preserve"> (SM</w:t>
      </w:r>
      <w:r w:rsidR="00EC02AA">
        <w:rPr>
          <w:lang w:val="en-GB"/>
        </w:rPr>
        <w:noBreakHyphen/>
      </w:r>
      <w:r w:rsidR="00826143">
        <w:rPr>
          <w:lang w:val="en-GB"/>
        </w:rPr>
        <w:t>AHN)</w:t>
      </w:r>
      <w:r w:rsidR="005E0B21">
        <w:rPr>
          <w:lang w:val="en-GB"/>
        </w:rPr>
        <w:t>, or</w:t>
      </w:r>
      <w:r w:rsidR="00FC22CD">
        <w:rPr>
          <w:lang w:val="en-GB"/>
        </w:rPr>
        <w:t xml:space="preserve"> mast cell leukaemia</w:t>
      </w:r>
      <w:r w:rsidR="00826143">
        <w:rPr>
          <w:lang w:val="en-GB"/>
        </w:rPr>
        <w:t xml:space="preserve"> (MCL)</w:t>
      </w:r>
      <w:r w:rsidR="004D73FF">
        <w:rPr>
          <w:lang w:val="en-GB"/>
        </w:rPr>
        <w:t>’</w:t>
      </w:r>
      <w:r w:rsidR="00FC22CD">
        <w:rPr>
          <w:lang w:val="en-GB"/>
        </w:rPr>
        <w:t>.</w:t>
      </w:r>
    </w:p>
    <w:p w14:paraId="4CE5B564" w14:textId="77777777" w:rsidR="00B82A82" w:rsidRDefault="00B82A82" w:rsidP="00B82A82">
      <w:pPr>
        <w:pStyle w:val="Heading2"/>
      </w:pPr>
      <w:r>
        <w:t>Dosage in the marketing authorisation</w:t>
      </w:r>
    </w:p>
    <w:p w14:paraId="236CA5EE" w14:textId="41D618B0" w:rsidR="00B82A82" w:rsidRPr="00570524" w:rsidRDefault="00FE2CE3" w:rsidP="001A5561">
      <w:pPr>
        <w:pStyle w:val="Numberedlevel2text"/>
        <w:numPr>
          <w:ilvl w:val="1"/>
          <w:numId w:val="1"/>
        </w:numPr>
        <w:rPr>
          <w:rStyle w:val="Numberedlevel2textChar"/>
        </w:rPr>
      </w:pPr>
      <w:r w:rsidRPr="00570524">
        <w:t xml:space="preserve">The dosage schedule is </w:t>
      </w:r>
      <w:r w:rsidR="00570524" w:rsidRPr="00570524">
        <w:t xml:space="preserve">available in </w:t>
      </w:r>
      <w:r w:rsidR="00570524">
        <w:t xml:space="preserve">the </w:t>
      </w:r>
      <w:hyperlink r:id="rId12" w:history="1">
        <w:r w:rsidR="00570524" w:rsidRPr="00261B02">
          <w:rPr>
            <w:rStyle w:val="Hyperlink"/>
          </w:rPr>
          <w:t>summary of product characteristics</w:t>
        </w:r>
      </w:hyperlink>
      <w:r w:rsidR="00FC22CD">
        <w:rPr>
          <w:lang w:val="en-GB"/>
        </w:rPr>
        <w:t>.</w:t>
      </w:r>
    </w:p>
    <w:p w14:paraId="1A2664D2" w14:textId="77777777" w:rsidR="00B82A82" w:rsidRDefault="00B82A82" w:rsidP="00B82A82">
      <w:pPr>
        <w:pStyle w:val="Heading2"/>
      </w:pPr>
      <w:r>
        <w:t>Price</w:t>
      </w:r>
    </w:p>
    <w:p w14:paraId="4DF67918" w14:textId="2443F734" w:rsidR="00B82A82" w:rsidRDefault="00FC22CD" w:rsidP="00B82A82">
      <w:pPr>
        <w:pStyle w:val="Numberedlevel2text"/>
        <w:numPr>
          <w:ilvl w:val="1"/>
          <w:numId w:val="1"/>
        </w:numPr>
      </w:pPr>
      <w:r>
        <w:rPr>
          <w:rStyle w:val="NICEnormalChar"/>
        </w:rPr>
        <w:t>The list price of midostaurin is £5,609.94</w:t>
      </w:r>
      <w:r w:rsidR="003F485B">
        <w:rPr>
          <w:rStyle w:val="NICEnormalChar"/>
        </w:rPr>
        <w:t xml:space="preserve"> </w:t>
      </w:r>
      <w:r w:rsidR="002B31F2">
        <w:rPr>
          <w:rStyle w:val="NICEnormalChar"/>
        </w:rPr>
        <w:t>for a 56-pack of 25</w:t>
      </w:r>
      <w:r w:rsidR="00534035">
        <w:rPr>
          <w:rStyle w:val="NICEnormalChar"/>
        </w:rPr>
        <w:t> </w:t>
      </w:r>
      <w:r w:rsidR="002B31F2">
        <w:rPr>
          <w:rStyle w:val="NICEnormalChar"/>
        </w:rPr>
        <w:t>mg capsules</w:t>
      </w:r>
      <w:r w:rsidR="003F485B">
        <w:rPr>
          <w:rStyle w:val="NICEnormalChar"/>
        </w:rPr>
        <w:t xml:space="preserve"> (excluding VAT; British national formulary</w:t>
      </w:r>
      <w:r w:rsidR="00EC02AA">
        <w:rPr>
          <w:rStyle w:val="NICEnormalChar"/>
        </w:rPr>
        <w:t xml:space="preserve"> online</w:t>
      </w:r>
      <w:r w:rsidR="00F06599">
        <w:rPr>
          <w:rStyle w:val="NICEnormalChar"/>
        </w:rPr>
        <w:t>,</w:t>
      </w:r>
      <w:r w:rsidR="00DD6CBC">
        <w:rPr>
          <w:rStyle w:val="NICEnormalChar"/>
        </w:rPr>
        <w:t xml:space="preserve"> accessed</w:t>
      </w:r>
      <w:r w:rsidR="003F485B">
        <w:rPr>
          <w:rStyle w:val="NICEnormalChar"/>
        </w:rPr>
        <w:t xml:space="preserve"> September 2020)</w:t>
      </w:r>
      <w:r w:rsidR="009736EE">
        <w:rPr>
          <w:rStyle w:val="NICEnormalChar"/>
        </w:rPr>
        <w:t>,</w:t>
      </w:r>
      <w:r w:rsidR="00A75347">
        <w:rPr>
          <w:rStyle w:val="NICEnormalChar"/>
        </w:rPr>
        <w:t xml:space="preserve"> which equates to an annual cost of £146,</w:t>
      </w:r>
      <w:r w:rsidR="00EA115B">
        <w:rPr>
          <w:rStyle w:val="NICEnormalChar"/>
        </w:rPr>
        <w:t>3</w:t>
      </w:r>
      <w:r w:rsidR="00A75347">
        <w:rPr>
          <w:rStyle w:val="NICEnormalChar"/>
        </w:rPr>
        <w:t>59.</w:t>
      </w:r>
      <w:r w:rsidR="00EA115B">
        <w:rPr>
          <w:rStyle w:val="NICEnormalChar"/>
        </w:rPr>
        <w:t>33</w:t>
      </w:r>
      <w:r w:rsidR="00A75347">
        <w:rPr>
          <w:rStyle w:val="NICEnormalChar"/>
        </w:rPr>
        <w:t xml:space="preserve"> at the standard dose of </w:t>
      </w:r>
      <w:r w:rsidR="00DD6CBC">
        <w:rPr>
          <w:rStyle w:val="NICEnormalChar"/>
        </w:rPr>
        <w:t>100 </w:t>
      </w:r>
      <w:r w:rsidR="00A75347">
        <w:rPr>
          <w:rStyle w:val="NICEnormalChar"/>
        </w:rPr>
        <w:t xml:space="preserve">mg </w:t>
      </w:r>
      <w:r w:rsidR="00534BF7">
        <w:rPr>
          <w:rStyle w:val="NICEnormalChar"/>
        </w:rPr>
        <w:t xml:space="preserve">twice </w:t>
      </w:r>
      <w:r w:rsidR="00A75347">
        <w:rPr>
          <w:rStyle w:val="NICEnormalChar"/>
        </w:rPr>
        <w:t>daily.</w:t>
      </w:r>
      <w:r w:rsidR="002B31F2">
        <w:rPr>
          <w:rStyle w:val="NICEnormalChar"/>
        </w:rPr>
        <w:t xml:space="preserve"> </w:t>
      </w:r>
      <w:r w:rsidR="00E2708B" w:rsidRPr="00E2708B">
        <w:rPr>
          <w:rStyle w:val="NICEnormalChar"/>
        </w:rPr>
        <w:t>The company has a commercial arrangement, which would have applied if the technology had been recommended.</w:t>
      </w:r>
    </w:p>
    <w:p w14:paraId="7E230653" w14:textId="77777777" w:rsidR="00F130AD" w:rsidRDefault="00222BEA" w:rsidP="00F130AD">
      <w:pPr>
        <w:pStyle w:val="Numberedheading1"/>
      </w:pPr>
      <w:r w:rsidRPr="000F48EC">
        <w:t>Co</w:t>
      </w:r>
      <w:r>
        <w:t>mmittee discussion</w:t>
      </w:r>
    </w:p>
    <w:p w14:paraId="20B6A853" w14:textId="402D5F5E" w:rsidR="002B5772" w:rsidRPr="00C63D4E" w:rsidRDefault="00BC7D9E" w:rsidP="002B5772">
      <w:pPr>
        <w:pStyle w:val="NICEnormal"/>
      </w:pPr>
      <w:r w:rsidRPr="007D7F83">
        <w:t xml:space="preserve">The </w:t>
      </w:r>
      <w:hyperlink w:anchor="_Appraisal_committee_members" w:history="1">
        <w:r w:rsidR="00343B53" w:rsidRPr="00DD6CBC">
          <w:rPr>
            <w:rStyle w:val="Hyperlink"/>
          </w:rPr>
          <w:t>a</w:t>
        </w:r>
        <w:r w:rsidRPr="00DD6CBC">
          <w:rPr>
            <w:rStyle w:val="Hyperlink"/>
          </w:rPr>
          <w:t xml:space="preserve">ppraisal </w:t>
        </w:r>
        <w:r w:rsidR="00343B53" w:rsidRPr="00DD6CBC">
          <w:rPr>
            <w:rStyle w:val="Hyperlink"/>
          </w:rPr>
          <w:t>c</w:t>
        </w:r>
        <w:r w:rsidRPr="00DD6CBC">
          <w:rPr>
            <w:rStyle w:val="Hyperlink"/>
          </w:rPr>
          <w:t>ommittee</w:t>
        </w:r>
      </w:hyperlink>
      <w:r w:rsidRPr="007D7F83">
        <w:t xml:space="preserve"> considered evidence submitted by </w:t>
      </w:r>
      <w:r w:rsidR="00F33818">
        <w:t>Novartis</w:t>
      </w:r>
      <w:r w:rsidR="002B5772">
        <w:t>,</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2B5772">
        <w:t xml:space="preserve">, </w:t>
      </w:r>
      <w:r w:rsidR="00E24CDE">
        <w:t>NICE’s</w:t>
      </w:r>
      <w:r w:rsidR="002B5772">
        <w:t xml:space="preserve"> technical </w:t>
      </w:r>
      <w:r w:rsidR="00E9265B">
        <w:t>report</w:t>
      </w:r>
      <w:r w:rsidR="000B1027">
        <w:t>, and responses from</w:t>
      </w:r>
      <w:r w:rsidR="00E9265B">
        <w:t xml:space="preserve"> stakeholders</w:t>
      </w:r>
      <w:r w:rsidRPr="007D7F83">
        <w:t>.</w:t>
      </w:r>
      <w:r w:rsidR="00C63D4E">
        <w:t xml:space="preserve"> </w:t>
      </w:r>
      <w:r w:rsidR="002B5772">
        <w:t xml:space="preserve">See the </w:t>
      </w:r>
      <w:hyperlink r:id="rId13" w:history="1">
        <w:r w:rsidR="002B5772" w:rsidRPr="00F33818">
          <w:rPr>
            <w:rStyle w:val="Hyperlink"/>
          </w:rPr>
          <w:t>committee papers</w:t>
        </w:r>
      </w:hyperlink>
      <w:r w:rsidR="002B5772">
        <w:t xml:space="preserve"> for full details of the evidence</w:t>
      </w:r>
      <w:r w:rsidR="002B5772" w:rsidRPr="000F2D8A">
        <w:t>.</w:t>
      </w:r>
    </w:p>
    <w:p w14:paraId="1A642988" w14:textId="77777777" w:rsidR="006B0F36" w:rsidRDefault="002B5772" w:rsidP="00D01B9F">
      <w:pPr>
        <w:pStyle w:val="NICEnormal"/>
      </w:pPr>
      <w:r>
        <w:t xml:space="preserve">The appraisal committee was aware </w:t>
      </w:r>
      <w:r w:rsidR="002555BE">
        <w:t>that several</w:t>
      </w:r>
      <w:r>
        <w:t xml:space="preserve"> issues were resolved during </w:t>
      </w:r>
      <w:r w:rsidR="006D4D1A">
        <w:t xml:space="preserve">the </w:t>
      </w:r>
      <w:r w:rsidR="00E95253">
        <w:t>technical engagement</w:t>
      </w:r>
      <w:r w:rsidR="006D4D1A">
        <w:t xml:space="preserve"> stage</w:t>
      </w:r>
      <w:r w:rsidR="007D1008">
        <w:t>, and agreed that:</w:t>
      </w:r>
    </w:p>
    <w:p w14:paraId="0F9A14C9" w14:textId="30A4C5A3" w:rsidR="006B0F36" w:rsidRDefault="00FD2367" w:rsidP="006B0F36">
      <w:pPr>
        <w:pStyle w:val="Bulletleft1"/>
      </w:pPr>
      <w:r w:rsidRPr="00FD2367">
        <w:t xml:space="preserve">The </w:t>
      </w:r>
      <w:r w:rsidR="002967A0">
        <w:t xml:space="preserve">2 </w:t>
      </w:r>
      <w:r w:rsidR="00400A93">
        <w:t>single-</w:t>
      </w:r>
      <w:r w:rsidR="00A75347">
        <w:t xml:space="preserve">arm </w:t>
      </w:r>
      <w:r>
        <w:t>midostaurin clinical trials,</w:t>
      </w:r>
      <w:r w:rsidRPr="00FD2367">
        <w:t xml:space="preserve"> D2201 and A2213, </w:t>
      </w:r>
      <w:r>
        <w:t>are</w:t>
      </w:r>
      <w:r w:rsidRPr="00FD2367">
        <w:t xml:space="preserve"> </w:t>
      </w:r>
      <w:r w:rsidR="002967A0">
        <w:t xml:space="preserve">sufficiently </w:t>
      </w:r>
      <w:r w:rsidRPr="00FD2367">
        <w:t>generalisable to NHS practice</w:t>
      </w:r>
      <w:r w:rsidR="002967A0">
        <w:t xml:space="preserve"> in England for decision making.</w:t>
      </w:r>
    </w:p>
    <w:p w14:paraId="2044F437" w14:textId="1182DD6C" w:rsidR="00892883" w:rsidRDefault="002967A0" w:rsidP="00892883">
      <w:pPr>
        <w:pStyle w:val="Bulletleft1"/>
      </w:pPr>
      <w:r>
        <w:t xml:space="preserve">The 3 subtypes </w:t>
      </w:r>
      <w:r w:rsidR="00FD2367">
        <w:t>of advanced systemic mastocytosis (aggressive systemic mastocytosis</w:t>
      </w:r>
      <w:r w:rsidR="009736EE">
        <w:t xml:space="preserve"> [ASM]</w:t>
      </w:r>
      <w:r w:rsidR="00FD2367">
        <w:t xml:space="preserve">, systemic mastocytosis </w:t>
      </w:r>
      <w:r w:rsidR="00085FAF">
        <w:t xml:space="preserve">with </w:t>
      </w:r>
      <w:r w:rsidR="00FD2367">
        <w:t xml:space="preserve">associated haematological </w:t>
      </w:r>
      <w:r w:rsidR="00FD2367">
        <w:lastRenderedPageBreak/>
        <w:t>neoplasms</w:t>
      </w:r>
      <w:r w:rsidR="009736EE">
        <w:t xml:space="preserve"> [SM</w:t>
      </w:r>
      <w:r w:rsidR="0004716C">
        <w:noBreakHyphen/>
      </w:r>
      <w:r w:rsidR="009736EE">
        <w:t>A</w:t>
      </w:r>
      <w:r w:rsidR="0004716C">
        <w:t>HM</w:t>
      </w:r>
      <w:r w:rsidR="009736EE">
        <w:t>]</w:t>
      </w:r>
      <w:r w:rsidR="00FD2367">
        <w:t xml:space="preserve"> and mast cell leukaemia</w:t>
      </w:r>
      <w:r w:rsidR="009736EE">
        <w:t xml:space="preserve"> [MCL]</w:t>
      </w:r>
      <w:r w:rsidR="00FD2367">
        <w:t>) are</w:t>
      </w:r>
      <w:r w:rsidR="00A75347">
        <w:t xml:space="preserve"> usually</w:t>
      </w:r>
      <w:r w:rsidR="00FD2367">
        <w:t xml:space="preserve"> clinically distinct</w:t>
      </w:r>
      <w:r w:rsidR="00DA09CA">
        <w:t>.</w:t>
      </w:r>
    </w:p>
    <w:p w14:paraId="4613A044" w14:textId="2634CCEF" w:rsidR="00274830" w:rsidRDefault="002967A0" w:rsidP="00074D53">
      <w:pPr>
        <w:pStyle w:val="Bulletleft1last"/>
      </w:pPr>
      <w:r>
        <w:t xml:space="preserve">It is appropriate to pool the </w:t>
      </w:r>
      <w:r w:rsidR="00274830">
        <w:t xml:space="preserve">D2201 </w:t>
      </w:r>
      <w:r>
        <w:t xml:space="preserve">and </w:t>
      </w:r>
      <w:r w:rsidR="00274830">
        <w:t xml:space="preserve">A2213 </w:t>
      </w:r>
      <w:r>
        <w:t xml:space="preserve">studies to inform the comparative effectiveness estimate used in decision </w:t>
      </w:r>
      <w:r w:rsidR="00FA3523">
        <w:t>making.</w:t>
      </w:r>
    </w:p>
    <w:p w14:paraId="41921811" w14:textId="2016F3AE" w:rsidR="002B5772" w:rsidRDefault="002B5772" w:rsidP="00534BF7">
      <w:pPr>
        <w:pStyle w:val="NICEnormal"/>
      </w:pPr>
      <w:r>
        <w:t xml:space="preserve">It recognised that </w:t>
      </w:r>
      <w:r w:rsidRPr="00444870">
        <w:t>there</w:t>
      </w:r>
      <w:r>
        <w:t xml:space="preserve"> were remaining areas of uncertainty associated with the analyses presented (see technical report</w:t>
      </w:r>
      <w:r w:rsidR="00E501C8">
        <w:t xml:space="preserve">, </w:t>
      </w:r>
      <w:r w:rsidR="00872FF8">
        <w:t>k</w:t>
      </w:r>
      <w:r w:rsidR="00E501C8">
        <w:t>ey issues summary, page 2</w:t>
      </w:r>
      <w:r>
        <w:t xml:space="preserve">), and took these into account in its decision making. It discussed the following </w:t>
      </w:r>
      <w:r w:rsidR="00170746">
        <w:t>issue</w:t>
      </w:r>
      <w:r w:rsidR="0073034C">
        <w:t>s</w:t>
      </w:r>
      <w:r w:rsidR="00EA115B">
        <w:t xml:space="preserve"> </w:t>
      </w:r>
      <w:r w:rsidR="008469E9">
        <w:t>in further detail</w:t>
      </w:r>
      <w:r>
        <w:t xml:space="preserve"> which were outstanding </w:t>
      </w:r>
      <w:r w:rsidR="00E95253">
        <w:t>after</w:t>
      </w:r>
      <w:r>
        <w:t xml:space="preserve"> </w:t>
      </w:r>
      <w:r w:rsidR="000205C6">
        <w:t xml:space="preserve">the </w:t>
      </w:r>
      <w:r>
        <w:t>technical engagement</w:t>
      </w:r>
      <w:r w:rsidR="000205C6">
        <w:t xml:space="preserve"> stage</w:t>
      </w:r>
      <w:r>
        <w:t>.</w:t>
      </w:r>
      <w:r w:rsidR="00F33818">
        <w:t xml:space="preserve"> </w:t>
      </w:r>
    </w:p>
    <w:p w14:paraId="6C6066F8" w14:textId="48AE60A1" w:rsidR="00643582" w:rsidRDefault="002F6FBA" w:rsidP="00643582">
      <w:pPr>
        <w:pStyle w:val="Heading2"/>
      </w:pPr>
      <w:r>
        <w:t xml:space="preserve">Treatment </w:t>
      </w:r>
      <w:r w:rsidR="000D0E3D">
        <w:t>pathway</w:t>
      </w:r>
      <w:r w:rsidR="008765CB">
        <w:t xml:space="preserve"> and comparator</w:t>
      </w:r>
    </w:p>
    <w:p w14:paraId="495B33FD" w14:textId="04A30725" w:rsidR="00723AF0" w:rsidRDefault="00E501C8" w:rsidP="00723AF0">
      <w:pPr>
        <w:pStyle w:val="Heading3"/>
      </w:pPr>
      <w:bookmarkStart w:id="1" w:name="_People_with_advanced"/>
      <w:bookmarkEnd w:id="1"/>
      <w:r w:rsidRPr="00E501C8">
        <w:t>There is an unmet need for a disease-modifying treatment for advanced systemic mastocytosis</w:t>
      </w:r>
    </w:p>
    <w:p w14:paraId="7B621D48" w14:textId="0E52A290" w:rsidR="00742E30" w:rsidRDefault="00DA09CA" w:rsidP="00C36E47">
      <w:pPr>
        <w:pStyle w:val="Numberedlevel2text"/>
      </w:pPr>
      <w:bookmarkStart w:id="2" w:name="_Ref50019251"/>
      <w:r>
        <w:t>Mastocytosis is a rare group of heterogenous diseases characterised by excessive mast cells. It includes advanced systemic mastocytosi</w:t>
      </w:r>
      <w:r w:rsidR="0075256C">
        <w:rPr>
          <w:lang w:val="en-GB"/>
        </w:rPr>
        <w:t>s</w:t>
      </w:r>
      <w:r>
        <w:t xml:space="preserve">, a severe form of the disease </w:t>
      </w:r>
      <w:r w:rsidR="00016DB7">
        <w:rPr>
          <w:lang w:val="en-GB"/>
        </w:rPr>
        <w:t>with</w:t>
      </w:r>
      <w:r>
        <w:t xml:space="preserve"> </w:t>
      </w:r>
      <w:r w:rsidR="0004716C">
        <w:rPr>
          <w:lang w:val="en-GB"/>
        </w:rPr>
        <w:t>3 </w:t>
      </w:r>
      <w:r w:rsidR="00262AD1">
        <w:rPr>
          <w:lang w:val="en-GB"/>
        </w:rPr>
        <w:t>diverse</w:t>
      </w:r>
      <w:r w:rsidR="00262AD1">
        <w:t xml:space="preserve"> </w:t>
      </w:r>
      <w:r>
        <w:t>sub</w:t>
      </w:r>
      <w:r w:rsidR="00085FAF">
        <w:rPr>
          <w:lang w:val="en-GB"/>
        </w:rPr>
        <w:t>type</w:t>
      </w:r>
      <w:r>
        <w:t>s</w:t>
      </w:r>
      <w:r w:rsidR="008E4D41">
        <w:rPr>
          <w:lang w:val="en-GB"/>
        </w:rPr>
        <w:t xml:space="preserve">. </w:t>
      </w:r>
      <w:r w:rsidR="002E7002">
        <w:rPr>
          <w:lang w:val="en-GB"/>
        </w:rPr>
        <w:t>ASM</w:t>
      </w:r>
      <w:r w:rsidR="008E4D41">
        <w:rPr>
          <w:lang w:val="en-GB"/>
        </w:rPr>
        <w:t xml:space="preserve"> is typically the least severe subtype</w:t>
      </w:r>
      <w:r>
        <w:t xml:space="preserve">, </w:t>
      </w:r>
      <w:r w:rsidR="008E4D41">
        <w:rPr>
          <w:lang w:val="en-GB"/>
        </w:rPr>
        <w:t xml:space="preserve">followed by </w:t>
      </w:r>
      <w:r w:rsidR="002E7002">
        <w:rPr>
          <w:lang w:val="en-GB"/>
        </w:rPr>
        <w:t>SM-AHN</w:t>
      </w:r>
      <w:r w:rsidR="008E4D41">
        <w:rPr>
          <w:lang w:val="en-GB"/>
        </w:rPr>
        <w:t>,</w:t>
      </w:r>
      <w:r>
        <w:t xml:space="preserve"> </w:t>
      </w:r>
      <w:r w:rsidR="008E4D41">
        <w:rPr>
          <w:lang w:val="en-GB"/>
        </w:rPr>
        <w:t>then</w:t>
      </w:r>
      <w:r w:rsidR="008E4D41">
        <w:t xml:space="preserve"> </w:t>
      </w:r>
      <w:r w:rsidR="002E7002">
        <w:rPr>
          <w:lang w:val="en-GB"/>
        </w:rPr>
        <w:t>MCL</w:t>
      </w:r>
      <w:r w:rsidR="008E4D41">
        <w:rPr>
          <w:lang w:val="en-GB"/>
        </w:rPr>
        <w:t xml:space="preserve"> which has a life expectancy of less than </w:t>
      </w:r>
      <w:r w:rsidR="00016DB7">
        <w:rPr>
          <w:lang w:val="en-GB"/>
        </w:rPr>
        <w:t>1 </w:t>
      </w:r>
      <w:r w:rsidR="008E4D41">
        <w:rPr>
          <w:lang w:val="en-GB"/>
        </w:rPr>
        <w:t>year</w:t>
      </w:r>
      <w:r>
        <w:t xml:space="preserve">. </w:t>
      </w:r>
      <w:r w:rsidR="003C097C">
        <w:t xml:space="preserve">The clinical experts </w:t>
      </w:r>
      <w:r w:rsidR="003C097C">
        <w:rPr>
          <w:lang w:val="en-GB"/>
        </w:rPr>
        <w:t>advised</w:t>
      </w:r>
      <w:r w:rsidR="003C097C">
        <w:t xml:space="preserve"> that the treatment pathway for advanced systemic mastocytosis is complex</w:t>
      </w:r>
      <w:r w:rsidR="00E60331">
        <w:rPr>
          <w:lang w:val="en-GB"/>
        </w:rPr>
        <w:t>. T</w:t>
      </w:r>
      <w:r w:rsidR="000F7A3C">
        <w:rPr>
          <w:lang w:val="en-GB"/>
        </w:rPr>
        <w:t xml:space="preserve">reatment is </w:t>
      </w:r>
      <w:r w:rsidR="003C097C">
        <w:rPr>
          <w:lang w:val="en-GB"/>
        </w:rPr>
        <w:t>individualised</w:t>
      </w:r>
      <w:r w:rsidR="00F00D40">
        <w:rPr>
          <w:lang w:val="en-GB"/>
        </w:rPr>
        <w:t xml:space="preserve"> based on symptoms</w:t>
      </w:r>
      <w:r w:rsidR="003C097C">
        <w:rPr>
          <w:lang w:val="en-GB"/>
        </w:rPr>
        <w:t>,</w:t>
      </w:r>
      <w:r w:rsidR="000F7A3C">
        <w:rPr>
          <w:lang w:val="en-GB"/>
        </w:rPr>
        <w:t xml:space="preserve"> and</w:t>
      </w:r>
      <w:r w:rsidR="003C097C">
        <w:t xml:space="preserve"> </w:t>
      </w:r>
      <w:r w:rsidR="00016DB7">
        <w:rPr>
          <w:lang w:val="en-GB"/>
        </w:rPr>
        <w:t>because of</w:t>
      </w:r>
      <w:r w:rsidR="003C097C">
        <w:t xml:space="preserve"> </w:t>
      </w:r>
      <w:r w:rsidR="003C097C">
        <w:rPr>
          <w:lang w:val="en-GB"/>
        </w:rPr>
        <w:t xml:space="preserve">the </w:t>
      </w:r>
      <w:r w:rsidR="00262AD1">
        <w:rPr>
          <w:lang w:val="en-GB"/>
        </w:rPr>
        <w:t>diversity</w:t>
      </w:r>
      <w:r w:rsidR="00262AD1">
        <w:t xml:space="preserve"> </w:t>
      </w:r>
      <w:r w:rsidR="003C097C">
        <w:t>of the disease</w:t>
      </w:r>
      <w:r w:rsidR="003C097C">
        <w:rPr>
          <w:lang w:val="en-GB"/>
        </w:rPr>
        <w:t xml:space="preserve"> subtypes</w:t>
      </w:r>
      <w:r w:rsidR="003C097C">
        <w:t xml:space="preserve">. </w:t>
      </w:r>
      <w:r w:rsidR="003C097C">
        <w:rPr>
          <w:lang w:val="en-GB"/>
        </w:rPr>
        <w:t>There are no licensed</w:t>
      </w:r>
      <w:r w:rsidR="00E70B43">
        <w:rPr>
          <w:lang w:val="en-GB"/>
        </w:rPr>
        <w:t>,</w:t>
      </w:r>
      <w:r w:rsidR="003C097C">
        <w:rPr>
          <w:lang w:val="en-GB"/>
        </w:rPr>
        <w:t xml:space="preserve"> targeted </w:t>
      </w:r>
      <w:r w:rsidR="00E70B43">
        <w:rPr>
          <w:lang w:val="en-GB"/>
        </w:rPr>
        <w:t xml:space="preserve">or disease-modifying </w:t>
      </w:r>
      <w:r w:rsidR="003C097C">
        <w:rPr>
          <w:lang w:val="en-GB"/>
        </w:rPr>
        <w:t xml:space="preserve">therapies to treat advanced </w:t>
      </w:r>
      <w:r w:rsidR="00044153">
        <w:rPr>
          <w:lang w:val="en-GB"/>
        </w:rPr>
        <w:t xml:space="preserve">systemic </w:t>
      </w:r>
      <w:r w:rsidR="003C097C">
        <w:rPr>
          <w:lang w:val="en-GB"/>
        </w:rPr>
        <w:t>mastocytosis currently available for use in the NHS. The p</w:t>
      </w:r>
      <w:r w:rsidR="0057032C">
        <w:t xml:space="preserve">atient and clinical experts </w:t>
      </w:r>
      <w:r w:rsidR="00085FAF">
        <w:rPr>
          <w:lang w:val="en-GB"/>
        </w:rPr>
        <w:t>advised</w:t>
      </w:r>
      <w:r w:rsidR="00085FAF">
        <w:t xml:space="preserve"> </w:t>
      </w:r>
      <w:r w:rsidR="00085FAF">
        <w:rPr>
          <w:lang w:val="en-GB"/>
        </w:rPr>
        <w:t>that</w:t>
      </w:r>
      <w:r w:rsidR="0057032C">
        <w:t xml:space="preserve"> </w:t>
      </w:r>
      <w:r w:rsidR="003C097C">
        <w:rPr>
          <w:lang w:val="en-GB"/>
        </w:rPr>
        <w:t>the condition</w:t>
      </w:r>
      <w:r w:rsidR="0057032C">
        <w:t xml:space="preserve"> </w:t>
      </w:r>
      <w:r w:rsidR="00085FAF">
        <w:rPr>
          <w:lang w:val="en-GB"/>
        </w:rPr>
        <w:t>has a</w:t>
      </w:r>
      <w:r w:rsidR="00085FAF">
        <w:t xml:space="preserve"> </w:t>
      </w:r>
      <w:r w:rsidR="0057032C">
        <w:t xml:space="preserve">poor prognosis </w:t>
      </w:r>
      <w:r w:rsidR="00085FAF">
        <w:rPr>
          <w:lang w:val="en-GB"/>
        </w:rPr>
        <w:t xml:space="preserve">with current treatment options, particularly </w:t>
      </w:r>
      <w:r w:rsidR="007D67CF">
        <w:rPr>
          <w:lang w:val="en-GB"/>
        </w:rPr>
        <w:t xml:space="preserve">for </w:t>
      </w:r>
      <w:r w:rsidR="002E7002">
        <w:rPr>
          <w:lang w:val="en-GB"/>
        </w:rPr>
        <w:t>SM</w:t>
      </w:r>
      <w:r w:rsidR="00930694">
        <w:rPr>
          <w:lang w:val="en-GB"/>
        </w:rPr>
        <w:noBreakHyphen/>
      </w:r>
      <w:r w:rsidR="002E7002">
        <w:rPr>
          <w:lang w:val="en-GB"/>
        </w:rPr>
        <w:t>AHN</w:t>
      </w:r>
      <w:r w:rsidR="003C097C">
        <w:t xml:space="preserve"> </w:t>
      </w:r>
      <w:r w:rsidR="003C097C">
        <w:rPr>
          <w:lang w:val="en-GB"/>
        </w:rPr>
        <w:t>or</w:t>
      </w:r>
      <w:r w:rsidR="003C097C">
        <w:t xml:space="preserve"> </w:t>
      </w:r>
      <w:r w:rsidR="002E7002">
        <w:rPr>
          <w:lang w:val="en-GB"/>
        </w:rPr>
        <w:t>MCL</w:t>
      </w:r>
      <w:r w:rsidR="0057032C">
        <w:t xml:space="preserve">. </w:t>
      </w:r>
      <w:r w:rsidR="003C097C">
        <w:rPr>
          <w:lang w:val="en-GB"/>
        </w:rPr>
        <w:t xml:space="preserve">The </w:t>
      </w:r>
      <w:r w:rsidR="00AD1E9A">
        <w:rPr>
          <w:lang w:val="en-GB"/>
        </w:rPr>
        <w:t>p</w:t>
      </w:r>
      <w:r w:rsidR="0057032C">
        <w:t xml:space="preserve">atient experts </w:t>
      </w:r>
      <w:r w:rsidR="00A75347">
        <w:rPr>
          <w:lang w:val="en-GB"/>
        </w:rPr>
        <w:t xml:space="preserve">also </w:t>
      </w:r>
      <w:r w:rsidR="00085FAF">
        <w:rPr>
          <w:lang w:val="en-GB"/>
        </w:rPr>
        <w:t xml:space="preserve">explained that </w:t>
      </w:r>
      <w:r w:rsidR="0057032C">
        <w:t xml:space="preserve">the symptoms </w:t>
      </w:r>
      <w:r w:rsidR="00085FAF">
        <w:rPr>
          <w:lang w:val="en-GB"/>
        </w:rPr>
        <w:t xml:space="preserve">of advanced systemic mastocytosis have a </w:t>
      </w:r>
      <w:r w:rsidR="00A75347">
        <w:rPr>
          <w:lang w:val="en-GB"/>
        </w:rPr>
        <w:t xml:space="preserve">major </w:t>
      </w:r>
      <w:r w:rsidR="00085FAF">
        <w:rPr>
          <w:lang w:val="en-GB"/>
        </w:rPr>
        <w:t>debilitating</w:t>
      </w:r>
      <w:r w:rsidR="0057032C">
        <w:t xml:space="preserve"> </w:t>
      </w:r>
      <w:r w:rsidR="00085FAF">
        <w:rPr>
          <w:lang w:val="en-GB"/>
        </w:rPr>
        <w:t>e</w:t>
      </w:r>
      <w:r w:rsidR="0057032C">
        <w:t xml:space="preserve">ffect </w:t>
      </w:r>
      <w:r w:rsidR="00085FAF">
        <w:rPr>
          <w:lang w:val="en-GB"/>
        </w:rPr>
        <w:t xml:space="preserve">on </w:t>
      </w:r>
      <w:r w:rsidR="0057032C">
        <w:t xml:space="preserve">their </w:t>
      </w:r>
      <w:r w:rsidR="00085FAF">
        <w:rPr>
          <w:lang w:val="en-GB"/>
        </w:rPr>
        <w:t xml:space="preserve">daily activities and </w:t>
      </w:r>
      <w:r w:rsidR="0057032C">
        <w:t>quality of life</w:t>
      </w:r>
      <w:r w:rsidR="00016DB7">
        <w:rPr>
          <w:lang w:val="en-GB"/>
        </w:rPr>
        <w:t>. These include</w:t>
      </w:r>
      <w:r w:rsidR="00085FAF">
        <w:rPr>
          <w:lang w:val="en-GB"/>
        </w:rPr>
        <w:t xml:space="preserve"> frequent and unexpected a</w:t>
      </w:r>
      <w:r w:rsidR="008963EA">
        <w:t>naphylaxis</w:t>
      </w:r>
      <w:r w:rsidR="00085FAF">
        <w:rPr>
          <w:lang w:val="en-GB"/>
        </w:rPr>
        <w:t xml:space="preserve">, </w:t>
      </w:r>
      <w:proofErr w:type="gramStart"/>
      <w:r w:rsidR="008963EA">
        <w:t>diarrhoea</w:t>
      </w:r>
      <w:proofErr w:type="gramEnd"/>
      <w:r w:rsidR="008963EA">
        <w:t xml:space="preserve"> and vomiting</w:t>
      </w:r>
      <w:r w:rsidR="009F0649">
        <w:rPr>
          <w:lang w:val="en-GB"/>
        </w:rPr>
        <w:t xml:space="preserve">. </w:t>
      </w:r>
      <w:r w:rsidR="00432596">
        <w:rPr>
          <w:lang w:val="en-GB"/>
        </w:rPr>
        <w:t>A</w:t>
      </w:r>
      <w:r w:rsidR="003C097C" w:rsidRPr="00742E30">
        <w:rPr>
          <w:lang w:val="en-GB"/>
        </w:rPr>
        <w:t xml:space="preserve">vailable treatments </w:t>
      </w:r>
      <w:r w:rsidR="003C097C">
        <w:rPr>
          <w:lang w:val="en-GB"/>
        </w:rPr>
        <w:t>do little to improve</w:t>
      </w:r>
      <w:r w:rsidR="003C097C" w:rsidRPr="00742E30">
        <w:rPr>
          <w:lang w:val="en-GB"/>
        </w:rPr>
        <w:t xml:space="preserve"> </w:t>
      </w:r>
      <w:r w:rsidR="003C097C">
        <w:rPr>
          <w:lang w:val="en-GB"/>
        </w:rPr>
        <w:t>these</w:t>
      </w:r>
      <w:r w:rsidR="003C097C" w:rsidRPr="00742E30">
        <w:rPr>
          <w:lang w:val="en-GB"/>
        </w:rPr>
        <w:t xml:space="preserve"> symptoms</w:t>
      </w:r>
      <w:r w:rsidR="009F0649">
        <w:rPr>
          <w:lang w:val="en-GB"/>
        </w:rPr>
        <w:t xml:space="preserve"> and may cause additional side effects</w:t>
      </w:r>
      <w:r w:rsidR="003C097C" w:rsidRPr="00742E30">
        <w:rPr>
          <w:lang w:val="en-GB"/>
        </w:rPr>
        <w:t>.</w:t>
      </w:r>
      <w:r w:rsidR="008963EA">
        <w:t xml:space="preserve"> </w:t>
      </w:r>
      <w:r w:rsidR="00742E30">
        <w:rPr>
          <w:lang w:val="en-GB"/>
        </w:rPr>
        <w:t xml:space="preserve">The committee </w:t>
      </w:r>
      <w:r w:rsidR="009F0649">
        <w:rPr>
          <w:lang w:val="en-GB"/>
        </w:rPr>
        <w:t>concluded</w:t>
      </w:r>
      <w:r w:rsidR="003C097C">
        <w:rPr>
          <w:lang w:val="en-GB"/>
        </w:rPr>
        <w:t xml:space="preserve"> that there is an unmet need for </w:t>
      </w:r>
      <w:r w:rsidR="00742E30">
        <w:rPr>
          <w:lang w:val="en-GB"/>
        </w:rPr>
        <w:t>people with advanced systemic mastocytosis</w:t>
      </w:r>
      <w:r w:rsidR="009F0649">
        <w:rPr>
          <w:lang w:val="en-GB"/>
        </w:rPr>
        <w:t xml:space="preserve">, and </w:t>
      </w:r>
      <w:r w:rsidR="00E70B43">
        <w:rPr>
          <w:lang w:val="en-GB"/>
        </w:rPr>
        <w:t xml:space="preserve">people with </w:t>
      </w:r>
      <w:r w:rsidR="009F0649">
        <w:rPr>
          <w:lang w:val="en-GB"/>
        </w:rPr>
        <w:lastRenderedPageBreak/>
        <w:t>the condition</w:t>
      </w:r>
      <w:r w:rsidR="00742E30">
        <w:rPr>
          <w:lang w:val="en-GB"/>
        </w:rPr>
        <w:t xml:space="preserve"> would welcome a disease</w:t>
      </w:r>
      <w:r w:rsidR="00E70B43">
        <w:rPr>
          <w:lang w:val="en-GB"/>
        </w:rPr>
        <w:t>-</w:t>
      </w:r>
      <w:r w:rsidR="00742E30">
        <w:rPr>
          <w:lang w:val="en-GB"/>
        </w:rPr>
        <w:t>modifying treatment</w:t>
      </w:r>
      <w:r w:rsidR="008469E9">
        <w:rPr>
          <w:lang w:val="en-GB"/>
        </w:rPr>
        <w:t xml:space="preserve"> </w:t>
      </w:r>
      <w:r w:rsidR="00E70B43">
        <w:rPr>
          <w:lang w:val="en-GB"/>
        </w:rPr>
        <w:t>option</w:t>
      </w:r>
      <w:r w:rsidR="00262AD1">
        <w:rPr>
          <w:lang w:val="en-GB"/>
        </w:rPr>
        <w:t xml:space="preserve"> like</w:t>
      </w:r>
      <w:r w:rsidR="008469E9">
        <w:rPr>
          <w:lang w:val="en-GB"/>
        </w:rPr>
        <w:t xml:space="preserve"> midostaurin.</w:t>
      </w:r>
      <w:bookmarkEnd w:id="2"/>
    </w:p>
    <w:p w14:paraId="6A91E02C" w14:textId="2C7817AC" w:rsidR="00742E30" w:rsidRDefault="00432596" w:rsidP="00742E30">
      <w:pPr>
        <w:pStyle w:val="Heading3"/>
      </w:pPr>
      <w:r>
        <w:t xml:space="preserve">A mixture of treatments used in current </w:t>
      </w:r>
      <w:r w:rsidR="00742E30">
        <w:t>clinical management is the most appropriate comparator</w:t>
      </w:r>
    </w:p>
    <w:p w14:paraId="5F580E65" w14:textId="68C3DF50" w:rsidR="00BF24BC" w:rsidRDefault="006A54BE" w:rsidP="006A54BE">
      <w:pPr>
        <w:pStyle w:val="Numberedlevel2text"/>
      </w:pPr>
      <w:r>
        <w:t>The company</w:t>
      </w:r>
      <w:r w:rsidR="00CB5256">
        <w:rPr>
          <w:lang w:val="en-GB"/>
        </w:rPr>
        <w:t>’s evidence submission</w:t>
      </w:r>
      <w:r>
        <w:t xml:space="preserve"> </w:t>
      </w:r>
      <w:r w:rsidR="00CB5256">
        <w:rPr>
          <w:lang w:val="en-GB"/>
        </w:rPr>
        <w:t>compared</w:t>
      </w:r>
      <w:r>
        <w:t xml:space="preserve"> </w:t>
      </w:r>
      <w:r>
        <w:rPr>
          <w:lang w:val="en-GB"/>
        </w:rPr>
        <w:t>midostaurin</w:t>
      </w:r>
      <w:r>
        <w:t xml:space="preserve"> with </w:t>
      </w:r>
      <w:r w:rsidR="007D67CF">
        <w:rPr>
          <w:lang w:val="en-GB"/>
        </w:rPr>
        <w:t xml:space="preserve">how advanced systemic mastocytosis is currently </w:t>
      </w:r>
      <w:r w:rsidR="005E0B21">
        <w:rPr>
          <w:lang w:val="en-GB"/>
        </w:rPr>
        <w:t xml:space="preserve">treated </w:t>
      </w:r>
      <w:r w:rsidR="007D67CF">
        <w:rPr>
          <w:lang w:val="en-GB"/>
        </w:rPr>
        <w:t>in clinical practice (current clinical management).</w:t>
      </w:r>
      <w:r w:rsidR="00016DB7">
        <w:rPr>
          <w:lang w:val="en-GB"/>
        </w:rPr>
        <w:t xml:space="preserve"> It used</w:t>
      </w:r>
      <w:r w:rsidR="00CB5256">
        <w:rPr>
          <w:lang w:val="en-GB"/>
        </w:rPr>
        <w:t xml:space="preserve"> </w:t>
      </w:r>
      <w:r>
        <w:t xml:space="preserve">a </w:t>
      </w:r>
      <w:r>
        <w:rPr>
          <w:lang w:val="en-GB"/>
        </w:rPr>
        <w:t xml:space="preserve">composite comparator </w:t>
      </w:r>
      <w:r w:rsidR="000C3707">
        <w:rPr>
          <w:lang w:val="en-GB"/>
        </w:rPr>
        <w:t>(</w:t>
      </w:r>
      <w:r w:rsidR="005E0B21">
        <w:rPr>
          <w:lang w:val="en-GB"/>
        </w:rPr>
        <w:t xml:space="preserve">a </w:t>
      </w:r>
      <w:r w:rsidR="006A11E9">
        <w:rPr>
          <w:lang w:val="en-GB"/>
        </w:rPr>
        <w:t xml:space="preserve">representative mixture of </w:t>
      </w:r>
      <w:r w:rsidR="007D67CF">
        <w:rPr>
          <w:lang w:val="en-GB"/>
        </w:rPr>
        <w:t>treatments</w:t>
      </w:r>
      <w:r w:rsidR="006A11E9">
        <w:rPr>
          <w:lang w:val="en-GB"/>
        </w:rPr>
        <w:t xml:space="preserve"> currently used</w:t>
      </w:r>
      <w:r w:rsidR="000C3707">
        <w:rPr>
          <w:lang w:val="en-GB"/>
        </w:rPr>
        <w:t xml:space="preserve">) </w:t>
      </w:r>
      <w:r w:rsidRPr="00902F43">
        <w:t xml:space="preserve">including interferon alpha, cladribine, imatinib, pegylated interferon alpha and </w:t>
      </w:r>
      <w:r w:rsidR="00CB5256">
        <w:rPr>
          <w:lang w:val="en-GB"/>
        </w:rPr>
        <w:t>treatments that are typically used to treat acute myeloid leukaemia</w:t>
      </w:r>
      <w:r w:rsidR="00193D8F">
        <w:rPr>
          <w:lang w:val="en-GB"/>
        </w:rPr>
        <w:t>,</w:t>
      </w:r>
      <w:r w:rsidR="00193D8F" w:rsidRPr="00193D8F">
        <w:t xml:space="preserve"> </w:t>
      </w:r>
      <w:r w:rsidR="00193D8F" w:rsidRPr="00193D8F">
        <w:rPr>
          <w:lang w:val="en-GB"/>
        </w:rPr>
        <w:t>such as azacitidine</w:t>
      </w:r>
      <w:r>
        <w:rPr>
          <w:lang w:val="en-GB"/>
        </w:rPr>
        <w:t xml:space="preserve">. </w:t>
      </w:r>
      <w:r w:rsidR="00400A93">
        <w:rPr>
          <w:lang w:val="en-GB"/>
        </w:rPr>
        <w:t>The proportion of th</w:t>
      </w:r>
      <w:r w:rsidR="00400A93">
        <w:t xml:space="preserve">e composite comparator </w:t>
      </w:r>
      <w:r w:rsidR="00400A93">
        <w:rPr>
          <w:lang w:val="en-GB"/>
        </w:rPr>
        <w:t xml:space="preserve">made up by </w:t>
      </w:r>
      <w:r w:rsidR="00016DB7">
        <w:rPr>
          <w:lang w:val="en-GB"/>
        </w:rPr>
        <w:t>e</w:t>
      </w:r>
      <w:r>
        <w:t xml:space="preserve">ach treatment </w:t>
      </w:r>
      <w:r w:rsidR="00016DB7">
        <w:rPr>
          <w:lang w:val="en-GB"/>
        </w:rPr>
        <w:t xml:space="preserve">was </w:t>
      </w:r>
      <w:r w:rsidR="008469E9">
        <w:rPr>
          <w:lang w:val="en-GB"/>
        </w:rPr>
        <w:t>informed</w:t>
      </w:r>
      <w:r>
        <w:t xml:space="preserve"> by opinion</w:t>
      </w:r>
      <w:r w:rsidR="00262AD1">
        <w:rPr>
          <w:lang w:val="en-GB"/>
        </w:rPr>
        <w:t>s</w:t>
      </w:r>
      <w:r>
        <w:t xml:space="preserve"> </w:t>
      </w:r>
      <w:r w:rsidR="00CB5256">
        <w:rPr>
          <w:lang w:val="en-GB"/>
        </w:rPr>
        <w:t>from</w:t>
      </w:r>
      <w:r w:rsidR="00CB5256">
        <w:t xml:space="preserve"> </w:t>
      </w:r>
      <w:r w:rsidR="00F06599">
        <w:t>5</w:t>
      </w:r>
      <w:r w:rsidR="00F06599">
        <w:rPr>
          <w:lang w:val="en-GB"/>
        </w:rPr>
        <w:t> </w:t>
      </w:r>
      <w:r>
        <w:t>clinical experts.</w:t>
      </w:r>
      <w:r>
        <w:rPr>
          <w:lang w:val="en-GB"/>
        </w:rPr>
        <w:t xml:space="preserve"> </w:t>
      </w:r>
      <w:r>
        <w:t xml:space="preserve">The committee </w:t>
      </w:r>
      <w:r w:rsidR="00CB5256">
        <w:rPr>
          <w:lang w:val="en-GB"/>
        </w:rPr>
        <w:t>recalled that there are no treatments licensed for advanced</w:t>
      </w:r>
      <w:r w:rsidR="00262AD1">
        <w:rPr>
          <w:lang w:val="en-GB"/>
        </w:rPr>
        <w:t xml:space="preserve"> systemic</w:t>
      </w:r>
      <w:r w:rsidR="00CB5256">
        <w:rPr>
          <w:lang w:val="en-GB"/>
        </w:rPr>
        <w:t xml:space="preserve"> mastocytosis in</w:t>
      </w:r>
      <w:r>
        <w:t xml:space="preserve"> current </w:t>
      </w:r>
      <w:r w:rsidR="00CB5256">
        <w:rPr>
          <w:lang w:val="en-GB"/>
        </w:rPr>
        <w:t xml:space="preserve">NHS practice, and that </w:t>
      </w:r>
      <w:r>
        <w:t>treatment</w:t>
      </w:r>
      <w:r w:rsidR="00CB5256">
        <w:rPr>
          <w:lang w:val="en-GB"/>
        </w:rPr>
        <w:t xml:space="preserve"> </w:t>
      </w:r>
      <w:r w:rsidR="008F2DDF">
        <w:rPr>
          <w:lang w:val="en-GB"/>
        </w:rPr>
        <w:t>is</w:t>
      </w:r>
      <w:r w:rsidR="00CB5256">
        <w:rPr>
          <w:lang w:val="en-GB"/>
        </w:rPr>
        <w:t xml:space="preserve"> highly individualised</w:t>
      </w:r>
      <w:r>
        <w:t xml:space="preserve"> </w:t>
      </w:r>
      <w:r w:rsidR="00CB5256">
        <w:rPr>
          <w:lang w:val="en-GB"/>
        </w:rPr>
        <w:t xml:space="preserve">(see </w:t>
      </w:r>
      <w:hyperlink w:anchor="_People_with_advanced" w:history="1">
        <w:r w:rsidR="00CB5256" w:rsidRPr="008850A9">
          <w:rPr>
            <w:rStyle w:val="Hyperlink"/>
            <w:lang w:val="en-GB"/>
          </w:rPr>
          <w:t xml:space="preserve">section </w:t>
        </w:r>
        <w:r w:rsidR="008850A9" w:rsidRPr="008850A9">
          <w:rPr>
            <w:rStyle w:val="Hyperlink"/>
            <w:lang w:val="en-GB"/>
          </w:rPr>
          <w:t>3.1</w:t>
        </w:r>
      </w:hyperlink>
      <w:r w:rsidR="00CB5256">
        <w:rPr>
          <w:lang w:val="en-GB"/>
        </w:rPr>
        <w:t>)</w:t>
      </w:r>
      <w:r>
        <w:rPr>
          <w:lang w:val="en-GB"/>
        </w:rPr>
        <w:t xml:space="preserve">. </w:t>
      </w:r>
      <w:r w:rsidR="00CB5256">
        <w:rPr>
          <w:lang w:val="en-GB"/>
        </w:rPr>
        <w:t>The c</w:t>
      </w:r>
      <w:r w:rsidRPr="006A54BE">
        <w:rPr>
          <w:lang w:val="en-GB"/>
        </w:rPr>
        <w:t xml:space="preserve">linical experts </w:t>
      </w:r>
      <w:r w:rsidR="00CB5256">
        <w:rPr>
          <w:lang w:val="en-GB"/>
        </w:rPr>
        <w:t xml:space="preserve">confirmed that the company’s composite comparator is a reasonable </w:t>
      </w:r>
      <w:r w:rsidR="00D84F33">
        <w:rPr>
          <w:lang w:val="en-GB"/>
        </w:rPr>
        <w:t xml:space="preserve">representation </w:t>
      </w:r>
      <w:r w:rsidR="00CB5256">
        <w:rPr>
          <w:lang w:val="en-GB"/>
        </w:rPr>
        <w:t>of the treatments used in current NHS practice</w:t>
      </w:r>
      <w:r w:rsidR="00CB5256">
        <w:rPr>
          <w:color w:val="000000" w:themeColor="text1"/>
          <w:lang w:val="en-GB"/>
        </w:rPr>
        <w:t>.</w:t>
      </w:r>
      <w:r w:rsidRPr="006A54BE">
        <w:rPr>
          <w:color w:val="000000" w:themeColor="text1"/>
          <w:lang w:val="en-GB"/>
        </w:rPr>
        <w:t xml:space="preserve"> </w:t>
      </w:r>
      <w:r w:rsidR="00CB5256">
        <w:rPr>
          <w:color w:val="000000" w:themeColor="text1"/>
          <w:lang w:val="en-GB"/>
        </w:rPr>
        <w:t xml:space="preserve">The </w:t>
      </w:r>
      <w:r w:rsidR="00BF24BC">
        <w:t xml:space="preserve">committee </w:t>
      </w:r>
      <w:r w:rsidR="008C6ABB" w:rsidRPr="006A54BE">
        <w:rPr>
          <w:lang w:val="en-GB"/>
        </w:rPr>
        <w:t xml:space="preserve">recognised </w:t>
      </w:r>
      <w:r w:rsidR="00CB5256">
        <w:rPr>
          <w:lang w:val="en-GB"/>
        </w:rPr>
        <w:t>that it would be difficult to</w:t>
      </w:r>
      <w:r>
        <w:rPr>
          <w:lang w:val="en-GB"/>
        </w:rPr>
        <w:t xml:space="preserve"> identify </w:t>
      </w:r>
      <w:r w:rsidR="00CB5256">
        <w:rPr>
          <w:lang w:val="en-GB"/>
        </w:rPr>
        <w:t xml:space="preserve">a single </w:t>
      </w:r>
      <w:r>
        <w:rPr>
          <w:lang w:val="en-GB"/>
        </w:rPr>
        <w:t xml:space="preserve">treatment option </w:t>
      </w:r>
      <w:r w:rsidR="00CB5256">
        <w:rPr>
          <w:lang w:val="en-GB"/>
        </w:rPr>
        <w:t xml:space="preserve">to use as the comparator. It concluded that </w:t>
      </w:r>
      <w:r w:rsidR="00BF24BC">
        <w:t>current clinical management</w:t>
      </w:r>
      <w:r w:rsidR="00CB5256">
        <w:rPr>
          <w:lang w:val="en-GB"/>
        </w:rPr>
        <w:t>,</w:t>
      </w:r>
      <w:r w:rsidR="00BF24BC">
        <w:t xml:space="preserve"> </w:t>
      </w:r>
      <w:r w:rsidR="00CB5256">
        <w:rPr>
          <w:lang w:val="en-GB"/>
        </w:rPr>
        <w:t>as defined by the company, was the</w:t>
      </w:r>
      <w:r w:rsidR="00BF24BC">
        <w:t xml:space="preserve"> appropriate comparator</w:t>
      </w:r>
      <w:r w:rsidR="00CB5256">
        <w:rPr>
          <w:lang w:val="en-GB"/>
        </w:rPr>
        <w:t xml:space="preserve"> for decision making</w:t>
      </w:r>
      <w:r w:rsidR="00BF24BC">
        <w:t>.</w:t>
      </w:r>
    </w:p>
    <w:p w14:paraId="4AE644C1" w14:textId="597763C6" w:rsidR="00643582" w:rsidRDefault="00A06C3D" w:rsidP="00BF24BC">
      <w:pPr>
        <w:pStyle w:val="Heading2"/>
      </w:pPr>
      <w:r>
        <w:t xml:space="preserve">Clinical </w:t>
      </w:r>
      <w:r w:rsidR="00C36E47">
        <w:t xml:space="preserve">effectiveness </w:t>
      </w:r>
      <w:r w:rsidR="00CB5256">
        <w:t>evidence</w:t>
      </w:r>
    </w:p>
    <w:p w14:paraId="55559AC9" w14:textId="21E8F4DD" w:rsidR="00FD739A" w:rsidRDefault="00FD739A" w:rsidP="00FD739A">
      <w:pPr>
        <w:pStyle w:val="Heading3"/>
      </w:pPr>
      <w:bookmarkStart w:id="3" w:name="_The_clinical_effectiveness"/>
      <w:bookmarkEnd w:id="3"/>
      <w:r>
        <w:t>The clinical effectiveness evidence for midostaurin is from 2 single-arm non-randomised trials</w:t>
      </w:r>
    </w:p>
    <w:p w14:paraId="62F20F38" w14:textId="49B4A040" w:rsidR="009902D8" w:rsidRPr="009902D8" w:rsidRDefault="00FD739A" w:rsidP="009902D8">
      <w:pPr>
        <w:pStyle w:val="Numberedlevel2text"/>
      </w:pPr>
      <w:bookmarkStart w:id="4" w:name="_Ref50365132"/>
      <w:r w:rsidRPr="00FD739A">
        <w:t xml:space="preserve">The clinical evidence for midostaurin came from D2201 and A2213, </w:t>
      </w:r>
      <w:r w:rsidR="00F06599">
        <w:t>2</w:t>
      </w:r>
      <w:r w:rsidR="00F06599">
        <w:rPr>
          <w:lang w:val="en-GB"/>
        </w:rPr>
        <w:t> </w:t>
      </w:r>
      <w:r w:rsidRPr="00FD739A">
        <w:t>non-randomised, open-label, single-arm clinical trials.</w:t>
      </w:r>
      <w:r w:rsidR="00D10C23">
        <w:rPr>
          <w:lang w:val="en-GB"/>
        </w:rPr>
        <w:t xml:space="preserve"> </w:t>
      </w:r>
      <w:r w:rsidR="00412CC7">
        <w:rPr>
          <w:lang w:val="en-GB"/>
        </w:rPr>
        <w:t xml:space="preserve">Both trials included people with the </w:t>
      </w:r>
      <w:r w:rsidR="00F06599">
        <w:rPr>
          <w:lang w:val="en-GB"/>
        </w:rPr>
        <w:t>3 </w:t>
      </w:r>
      <w:r w:rsidR="00412CC7">
        <w:rPr>
          <w:lang w:val="en-GB"/>
        </w:rPr>
        <w:t xml:space="preserve">subtypes of advanced systemic mastocytosis (see </w:t>
      </w:r>
      <w:hyperlink w:anchor="_People_with_advanced" w:history="1">
        <w:r w:rsidR="00412CC7" w:rsidRPr="004D0915">
          <w:rPr>
            <w:rStyle w:val="Hyperlink"/>
            <w:lang w:val="en-GB"/>
          </w:rPr>
          <w:t>section</w:t>
        </w:r>
        <w:r w:rsidR="00262AD1" w:rsidRPr="004D0915">
          <w:rPr>
            <w:rStyle w:val="Hyperlink"/>
            <w:lang w:val="en-GB"/>
          </w:rPr>
          <w:t xml:space="preserve"> 3.1</w:t>
        </w:r>
      </w:hyperlink>
      <w:r w:rsidR="00412CC7">
        <w:rPr>
          <w:lang w:val="en-GB"/>
        </w:rPr>
        <w:t xml:space="preserve">). </w:t>
      </w:r>
      <w:r w:rsidR="00821B33">
        <w:rPr>
          <w:lang w:val="en-GB"/>
        </w:rPr>
        <w:t xml:space="preserve">D2201 </w:t>
      </w:r>
      <w:r w:rsidR="009E4400">
        <w:rPr>
          <w:lang w:val="en-GB"/>
        </w:rPr>
        <w:t xml:space="preserve">was an international trial, including </w:t>
      </w:r>
      <w:r w:rsidR="00F06599">
        <w:rPr>
          <w:lang w:val="en-GB"/>
        </w:rPr>
        <w:t>4 </w:t>
      </w:r>
      <w:r w:rsidR="009E4400">
        <w:rPr>
          <w:lang w:val="en-GB"/>
        </w:rPr>
        <w:t xml:space="preserve">patients from the UK, </w:t>
      </w:r>
      <w:r w:rsidR="00CB7B46">
        <w:rPr>
          <w:lang w:val="en-GB"/>
        </w:rPr>
        <w:t xml:space="preserve">and </w:t>
      </w:r>
      <w:r w:rsidR="00821B33">
        <w:rPr>
          <w:lang w:val="en-GB"/>
        </w:rPr>
        <w:t xml:space="preserve">A2213 </w:t>
      </w:r>
      <w:r w:rsidR="009E4400">
        <w:rPr>
          <w:lang w:val="en-GB"/>
        </w:rPr>
        <w:t>was a US study</w:t>
      </w:r>
      <w:r w:rsidR="00821B33">
        <w:rPr>
          <w:lang w:val="en-GB"/>
        </w:rPr>
        <w:t xml:space="preserve">. </w:t>
      </w:r>
      <w:r w:rsidR="00651169" w:rsidRPr="00651169">
        <w:rPr>
          <w:lang w:val="en-GB"/>
        </w:rPr>
        <w:t>The median overall survival (OS) for advanced systemic mastocytosis from D2201 (December 2014 data, n=89) was 26.</w:t>
      </w:r>
      <w:r w:rsidR="00193D8F" w:rsidRPr="00651169">
        <w:rPr>
          <w:lang w:val="en-GB"/>
        </w:rPr>
        <w:t>8</w:t>
      </w:r>
      <w:r w:rsidR="00193D8F">
        <w:rPr>
          <w:lang w:val="en-GB"/>
        </w:rPr>
        <w:t> </w:t>
      </w:r>
      <w:r w:rsidR="00651169" w:rsidRPr="00651169">
        <w:rPr>
          <w:lang w:val="en-GB"/>
        </w:rPr>
        <w:t xml:space="preserve">months. The median OS was shortest for </w:t>
      </w:r>
      <w:r w:rsidR="002E7002">
        <w:rPr>
          <w:lang w:val="en-GB"/>
        </w:rPr>
        <w:t>MCL</w:t>
      </w:r>
      <w:r w:rsidR="00651169" w:rsidRPr="00651169">
        <w:rPr>
          <w:lang w:val="en-GB"/>
        </w:rPr>
        <w:t xml:space="preserve"> </w:t>
      </w:r>
      <w:r w:rsidR="00651169" w:rsidRPr="00651169">
        <w:rPr>
          <w:lang w:val="en-GB"/>
        </w:rPr>
        <w:lastRenderedPageBreak/>
        <w:t>(9.</w:t>
      </w:r>
      <w:r w:rsidR="00193D8F" w:rsidRPr="00651169">
        <w:rPr>
          <w:lang w:val="en-GB"/>
        </w:rPr>
        <w:t>4</w:t>
      </w:r>
      <w:r w:rsidR="00193D8F">
        <w:rPr>
          <w:lang w:val="en-GB"/>
        </w:rPr>
        <w:t> </w:t>
      </w:r>
      <w:r w:rsidR="00651169" w:rsidRPr="00651169">
        <w:rPr>
          <w:lang w:val="en-GB"/>
        </w:rPr>
        <w:t xml:space="preserve">months), followed by </w:t>
      </w:r>
      <w:r w:rsidR="002E7002">
        <w:rPr>
          <w:lang w:val="en-GB"/>
        </w:rPr>
        <w:t>SM</w:t>
      </w:r>
      <w:r w:rsidR="0016106E">
        <w:rPr>
          <w:lang w:val="en-GB"/>
        </w:rPr>
        <w:noBreakHyphen/>
      </w:r>
      <w:r w:rsidR="002E7002">
        <w:rPr>
          <w:lang w:val="en-GB"/>
        </w:rPr>
        <w:t>AHN</w:t>
      </w:r>
      <w:r w:rsidR="00651169" w:rsidRPr="00651169">
        <w:rPr>
          <w:lang w:val="en-GB"/>
        </w:rPr>
        <w:t xml:space="preserve"> (20.</w:t>
      </w:r>
      <w:r w:rsidR="00193D8F" w:rsidRPr="00651169">
        <w:rPr>
          <w:lang w:val="en-GB"/>
        </w:rPr>
        <w:t>7</w:t>
      </w:r>
      <w:r w:rsidR="00193D8F">
        <w:rPr>
          <w:lang w:val="en-GB"/>
        </w:rPr>
        <w:t> </w:t>
      </w:r>
      <w:r w:rsidR="00651169" w:rsidRPr="00651169">
        <w:rPr>
          <w:lang w:val="en-GB"/>
        </w:rPr>
        <w:t>months), then</w:t>
      </w:r>
      <w:r w:rsidR="002E7002">
        <w:rPr>
          <w:lang w:val="en-GB"/>
        </w:rPr>
        <w:t xml:space="preserve"> ASM</w:t>
      </w:r>
      <w:r w:rsidR="00651169" w:rsidRPr="00651169">
        <w:rPr>
          <w:lang w:val="en-GB"/>
        </w:rPr>
        <w:t xml:space="preserve"> (51.</w:t>
      </w:r>
      <w:r w:rsidR="00193D8F" w:rsidRPr="00651169">
        <w:rPr>
          <w:lang w:val="en-GB"/>
        </w:rPr>
        <w:t>1</w:t>
      </w:r>
      <w:r w:rsidR="00193D8F">
        <w:rPr>
          <w:lang w:val="en-GB"/>
        </w:rPr>
        <w:t> </w:t>
      </w:r>
      <w:r w:rsidR="00651169" w:rsidRPr="00651169">
        <w:rPr>
          <w:lang w:val="en-GB"/>
        </w:rPr>
        <w:t>months). The</w:t>
      </w:r>
      <w:r w:rsidR="00400A93">
        <w:rPr>
          <w:lang w:val="en-GB"/>
        </w:rPr>
        <w:t xml:space="preserve"> results of a more recent data cut</w:t>
      </w:r>
      <w:r w:rsidR="00651169" w:rsidRPr="00651169">
        <w:rPr>
          <w:lang w:val="en-GB"/>
        </w:rPr>
        <w:t xml:space="preserve"> were similar (August 2017; results are confidential and cannot be reported here). Median OS in the overall population in A2213 (n=26) was </w:t>
      </w:r>
      <w:r w:rsidR="00A25A54" w:rsidRPr="00651169">
        <w:rPr>
          <w:lang w:val="en-GB"/>
        </w:rPr>
        <w:t>40</w:t>
      </w:r>
      <w:r w:rsidR="00A25A54">
        <w:rPr>
          <w:lang w:val="en-GB"/>
        </w:rPr>
        <w:t> </w:t>
      </w:r>
      <w:r w:rsidR="00651169" w:rsidRPr="00651169">
        <w:rPr>
          <w:lang w:val="en-GB"/>
        </w:rPr>
        <w:t>months</w:t>
      </w:r>
      <w:r w:rsidR="00651169">
        <w:rPr>
          <w:lang w:val="en-GB"/>
        </w:rPr>
        <w:t xml:space="preserve">. </w:t>
      </w:r>
      <w:r w:rsidR="00A47250">
        <w:rPr>
          <w:lang w:val="en-GB"/>
        </w:rPr>
        <w:t xml:space="preserve">The committee noted that most people in D2201 had stopped treatment with midostaurin within </w:t>
      </w:r>
      <w:r w:rsidR="00193D8F">
        <w:rPr>
          <w:lang w:val="en-GB"/>
        </w:rPr>
        <w:t>1 </w:t>
      </w:r>
      <w:r w:rsidR="00A47250">
        <w:rPr>
          <w:lang w:val="en-GB"/>
        </w:rPr>
        <w:t xml:space="preserve">year, with 19% of patients still </w:t>
      </w:r>
      <w:r w:rsidR="00F06599">
        <w:rPr>
          <w:lang w:val="en-GB"/>
        </w:rPr>
        <w:t xml:space="preserve">having </w:t>
      </w:r>
      <w:r w:rsidR="00A47250">
        <w:rPr>
          <w:lang w:val="en-GB"/>
        </w:rPr>
        <w:t xml:space="preserve">treatment at </w:t>
      </w:r>
      <w:r w:rsidR="00193D8F">
        <w:rPr>
          <w:lang w:val="en-GB"/>
        </w:rPr>
        <w:t>3 </w:t>
      </w:r>
      <w:r w:rsidR="00A47250">
        <w:rPr>
          <w:lang w:val="en-GB"/>
        </w:rPr>
        <w:t xml:space="preserve">years. </w:t>
      </w:r>
      <w:r w:rsidR="005467A4">
        <w:rPr>
          <w:lang w:val="en-GB"/>
        </w:rPr>
        <w:t>The committee</w:t>
      </w:r>
      <w:r w:rsidR="00704DCC">
        <w:rPr>
          <w:lang w:val="en-GB"/>
        </w:rPr>
        <w:t xml:space="preserve"> concluded that </w:t>
      </w:r>
      <w:r w:rsidR="00A25A54">
        <w:rPr>
          <w:lang w:val="en-GB"/>
        </w:rPr>
        <w:t xml:space="preserve">because </w:t>
      </w:r>
      <w:r w:rsidR="005467A4">
        <w:rPr>
          <w:lang w:val="en-GB"/>
        </w:rPr>
        <w:t xml:space="preserve">D2201 and A2213 </w:t>
      </w:r>
      <w:r w:rsidR="00704DCC">
        <w:rPr>
          <w:lang w:val="en-GB"/>
        </w:rPr>
        <w:t>are single-arm trials, they do not provide evidence of the relative effectiveness of midostaurin compared with current treatment options</w:t>
      </w:r>
      <w:bookmarkEnd w:id="4"/>
      <w:r w:rsidR="00D362FC">
        <w:rPr>
          <w:lang w:val="en-GB"/>
        </w:rPr>
        <w:t>.</w:t>
      </w:r>
      <w:r w:rsidR="00A75347">
        <w:rPr>
          <w:lang w:val="en-GB"/>
        </w:rPr>
        <w:t xml:space="preserve"> </w:t>
      </w:r>
      <w:r w:rsidR="00D362FC">
        <w:rPr>
          <w:lang w:val="en-GB"/>
        </w:rPr>
        <w:t>B</w:t>
      </w:r>
      <w:r w:rsidR="00A75347">
        <w:rPr>
          <w:lang w:val="en-GB"/>
        </w:rPr>
        <w:t>ut</w:t>
      </w:r>
      <w:r w:rsidR="00D362FC">
        <w:rPr>
          <w:lang w:val="en-GB"/>
        </w:rPr>
        <w:t xml:space="preserve"> it</w:t>
      </w:r>
      <w:r w:rsidR="00A75347">
        <w:rPr>
          <w:lang w:val="en-GB"/>
        </w:rPr>
        <w:t xml:space="preserve"> acknowledged that </w:t>
      </w:r>
      <w:r w:rsidR="00A52CFE">
        <w:rPr>
          <w:lang w:val="en-GB"/>
        </w:rPr>
        <w:t xml:space="preserve">doing </w:t>
      </w:r>
      <w:r w:rsidR="00EA115B">
        <w:rPr>
          <w:lang w:val="en-GB"/>
        </w:rPr>
        <w:t xml:space="preserve">a </w:t>
      </w:r>
      <w:r w:rsidR="008E7AE9">
        <w:rPr>
          <w:lang w:val="en-GB"/>
        </w:rPr>
        <w:t>phase </w:t>
      </w:r>
      <w:r w:rsidR="00A75347">
        <w:rPr>
          <w:lang w:val="en-GB"/>
        </w:rPr>
        <w:t xml:space="preserve">3 trial </w:t>
      </w:r>
      <w:r w:rsidR="00A52CFE">
        <w:rPr>
          <w:lang w:val="en-GB"/>
        </w:rPr>
        <w:t xml:space="preserve">for </w:t>
      </w:r>
      <w:r w:rsidR="00EA115B">
        <w:rPr>
          <w:lang w:val="en-GB"/>
        </w:rPr>
        <w:t>advanced systemic mastocytosis would be</w:t>
      </w:r>
      <w:r w:rsidR="00A75347">
        <w:rPr>
          <w:lang w:val="en-GB"/>
        </w:rPr>
        <w:t xml:space="preserve"> difficult.</w:t>
      </w:r>
    </w:p>
    <w:p w14:paraId="39B53618" w14:textId="684F1A03" w:rsidR="00C36E47" w:rsidRDefault="00C36E47" w:rsidP="00C36E47">
      <w:pPr>
        <w:pStyle w:val="Heading2"/>
      </w:pPr>
      <w:r>
        <w:t>Comparative effectiveness evidence</w:t>
      </w:r>
    </w:p>
    <w:p w14:paraId="7EE883C4" w14:textId="317492F7" w:rsidR="00643582" w:rsidRDefault="0023180C" w:rsidP="0073007E">
      <w:pPr>
        <w:pStyle w:val="Heading3"/>
      </w:pPr>
      <w:bookmarkStart w:id="5" w:name="_The_comparative_evidence"/>
      <w:bookmarkStart w:id="6" w:name="_Hlk49951331"/>
      <w:bookmarkEnd w:id="5"/>
      <w:r>
        <w:t xml:space="preserve">The </w:t>
      </w:r>
      <w:r w:rsidR="00F868A8">
        <w:t xml:space="preserve">comparative evidence </w:t>
      </w:r>
      <w:r w:rsidR="008E7AE9">
        <w:t xml:space="preserve">for </w:t>
      </w:r>
      <w:r w:rsidR="004D25C7">
        <w:t xml:space="preserve">midostaurin is highly uncertain, but estimates </w:t>
      </w:r>
      <w:r w:rsidR="00F868A8">
        <w:t xml:space="preserve">from Reiter </w:t>
      </w:r>
      <w:r w:rsidR="00CB7B46">
        <w:t xml:space="preserve">et al. (2017) </w:t>
      </w:r>
      <w:r w:rsidR="004D25C7">
        <w:t>are suitable</w:t>
      </w:r>
      <w:r w:rsidR="00C36E47">
        <w:t xml:space="preserve"> for decision making</w:t>
      </w:r>
    </w:p>
    <w:p w14:paraId="003764EA" w14:textId="6036CDCB" w:rsidR="00E66735" w:rsidRPr="005030FC" w:rsidRDefault="00C36E47" w:rsidP="007E2E78">
      <w:pPr>
        <w:pStyle w:val="Numberedlevel2text"/>
      </w:pPr>
      <w:bookmarkStart w:id="7" w:name="_Ref50030831"/>
      <w:r>
        <w:rPr>
          <w:lang w:val="en-GB"/>
        </w:rPr>
        <w:t>The company’s</w:t>
      </w:r>
      <w:r w:rsidR="00A06C3D">
        <w:rPr>
          <w:lang w:val="en-GB"/>
        </w:rPr>
        <w:t xml:space="preserve"> evidence </w:t>
      </w:r>
      <w:r>
        <w:rPr>
          <w:lang w:val="en-GB"/>
        </w:rPr>
        <w:t xml:space="preserve">submission did not include any studies that </w:t>
      </w:r>
      <w:r w:rsidR="00A06C3D">
        <w:rPr>
          <w:lang w:val="en-GB"/>
        </w:rPr>
        <w:t>directly compar</w:t>
      </w:r>
      <w:r>
        <w:rPr>
          <w:lang w:val="en-GB"/>
        </w:rPr>
        <w:t>ed</w:t>
      </w:r>
      <w:r w:rsidR="00A06C3D">
        <w:rPr>
          <w:lang w:val="en-GB"/>
        </w:rPr>
        <w:t xml:space="preserve"> midostaurin with treatments currently used in NHS </w:t>
      </w:r>
      <w:r w:rsidR="003650FC">
        <w:rPr>
          <w:lang w:val="en-GB"/>
        </w:rPr>
        <w:t>practice</w:t>
      </w:r>
      <w:r w:rsidR="00A06C3D">
        <w:rPr>
          <w:lang w:val="en-GB"/>
        </w:rPr>
        <w:t>. The</w:t>
      </w:r>
      <w:r w:rsidR="00202AB0">
        <w:rPr>
          <w:lang w:val="en-GB"/>
        </w:rPr>
        <w:t xml:space="preserve"> main comparative effectiveness evidence</w:t>
      </w:r>
      <w:r w:rsidR="00A06C3D">
        <w:rPr>
          <w:lang w:val="en-GB"/>
        </w:rPr>
        <w:t xml:space="preserve"> </w:t>
      </w:r>
      <w:r w:rsidR="00202AB0">
        <w:rPr>
          <w:lang w:val="en-GB"/>
        </w:rPr>
        <w:t>was</w:t>
      </w:r>
      <w:r w:rsidR="00A06C3D">
        <w:rPr>
          <w:lang w:val="en-GB"/>
        </w:rPr>
        <w:t xml:space="preserve"> </w:t>
      </w:r>
      <w:r w:rsidR="005467A4">
        <w:rPr>
          <w:lang w:val="en-GB"/>
        </w:rPr>
        <w:t xml:space="preserve">from </w:t>
      </w:r>
      <w:r w:rsidR="00202AB0">
        <w:rPr>
          <w:lang w:val="en-GB"/>
        </w:rPr>
        <w:t xml:space="preserve">2 non-randomised </w:t>
      </w:r>
      <w:r w:rsidR="00A06C3D">
        <w:rPr>
          <w:lang w:val="en-GB"/>
        </w:rPr>
        <w:t xml:space="preserve">studies, Reiter </w:t>
      </w:r>
      <w:r w:rsidR="00202AB0">
        <w:rPr>
          <w:lang w:val="en-GB"/>
        </w:rPr>
        <w:t>et al.</w:t>
      </w:r>
      <w:r w:rsidR="0018134C">
        <w:rPr>
          <w:lang w:val="en-GB"/>
        </w:rPr>
        <w:t xml:space="preserve"> (2017)</w:t>
      </w:r>
      <w:r w:rsidR="00202AB0">
        <w:rPr>
          <w:lang w:val="en-GB"/>
        </w:rPr>
        <w:t xml:space="preserve"> </w:t>
      </w:r>
      <w:r w:rsidR="00A06C3D">
        <w:rPr>
          <w:lang w:val="en-GB"/>
        </w:rPr>
        <w:t xml:space="preserve">and </w:t>
      </w:r>
      <w:r w:rsidR="00040AAA">
        <w:rPr>
          <w:lang w:val="en-GB"/>
        </w:rPr>
        <w:t>CEREMAST</w:t>
      </w:r>
      <w:r w:rsidR="00A06C3D">
        <w:rPr>
          <w:lang w:val="en-GB"/>
        </w:rPr>
        <w:t xml:space="preserve">. Reiter </w:t>
      </w:r>
      <w:r w:rsidR="00CB7B46">
        <w:rPr>
          <w:lang w:val="en-GB"/>
        </w:rPr>
        <w:t xml:space="preserve">et al. </w:t>
      </w:r>
      <w:r w:rsidR="00A06C3D">
        <w:rPr>
          <w:lang w:val="en-GB"/>
        </w:rPr>
        <w:t xml:space="preserve">pooled midostaurin </w:t>
      </w:r>
      <w:r w:rsidR="00202AB0">
        <w:rPr>
          <w:lang w:val="en-GB"/>
        </w:rPr>
        <w:t xml:space="preserve">time-to-event data </w:t>
      </w:r>
      <w:r w:rsidR="00A06C3D">
        <w:rPr>
          <w:lang w:val="en-GB"/>
        </w:rPr>
        <w:t xml:space="preserve">from </w:t>
      </w:r>
      <w:r w:rsidR="00202AB0">
        <w:rPr>
          <w:lang w:val="en-GB"/>
        </w:rPr>
        <w:t xml:space="preserve">the </w:t>
      </w:r>
      <w:r w:rsidR="00A06C3D">
        <w:rPr>
          <w:lang w:val="en-GB"/>
        </w:rPr>
        <w:t>D2201 and A2213</w:t>
      </w:r>
      <w:r w:rsidR="00202AB0">
        <w:rPr>
          <w:lang w:val="en-GB"/>
        </w:rPr>
        <w:t xml:space="preserve"> </w:t>
      </w:r>
      <w:r w:rsidR="002203F0">
        <w:rPr>
          <w:lang w:val="en-GB"/>
        </w:rPr>
        <w:t>trials and</w:t>
      </w:r>
      <w:r w:rsidR="00202AB0">
        <w:rPr>
          <w:lang w:val="en-GB"/>
        </w:rPr>
        <w:t xml:space="preserve"> </w:t>
      </w:r>
      <w:r w:rsidR="00A06C3D">
        <w:rPr>
          <w:lang w:val="en-GB"/>
        </w:rPr>
        <w:t>compare</w:t>
      </w:r>
      <w:r w:rsidR="00202AB0">
        <w:rPr>
          <w:lang w:val="en-GB"/>
        </w:rPr>
        <w:t xml:space="preserve">d </w:t>
      </w:r>
      <w:r w:rsidR="00400A93">
        <w:rPr>
          <w:lang w:val="en-GB"/>
        </w:rPr>
        <w:t xml:space="preserve">it </w:t>
      </w:r>
      <w:r w:rsidR="0088703B">
        <w:rPr>
          <w:lang w:val="en-GB"/>
        </w:rPr>
        <w:t xml:space="preserve">with </w:t>
      </w:r>
      <w:r w:rsidR="00202AB0">
        <w:rPr>
          <w:lang w:val="en-GB"/>
        </w:rPr>
        <w:t>outcomes from</w:t>
      </w:r>
      <w:r w:rsidR="0088703B">
        <w:rPr>
          <w:lang w:val="en-GB"/>
        </w:rPr>
        <w:t xml:space="preserve"> German registry</w:t>
      </w:r>
      <w:r w:rsidR="006655DF">
        <w:rPr>
          <w:lang w:val="en-GB"/>
        </w:rPr>
        <w:t xml:space="preserve"> data</w:t>
      </w:r>
      <w:r w:rsidR="00202AB0">
        <w:rPr>
          <w:lang w:val="en-GB"/>
        </w:rPr>
        <w:t xml:space="preserve"> for treatment without midostaurin</w:t>
      </w:r>
      <w:r w:rsidR="00A06C3D">
        <w:rPr>
          <w:lang w:val="en-GB"/>
        </w:rPr>
        <w:t>.</w:t>
      </w:r>
      <w:r w:rsidR="00202AB0">
        <w:rPr>
          <w:lang w:val="en-GB"/>
        </w:rPr>
        <w:t xml:space="preserve"> The</w:t>
      </w:r>
      <w:r w:rsidR="00A06C3D">
        <w:rPr>
          <w:lang w:val="en-GB"/>
        </w:rPr>
        <w:t xml:space="preserve"> </w:t>
      </w:r>
      <w:r w:rsidR="00040AAA">
        <w:rPr>
          <w:lang w:val="en-GB"/>
        </w:rPr>
        <w:t>CEREMAST</w:t>
      </w:r>
      <w:r w:rsidR="00A06C3D">
        <w:rPr>
          <w:lang w:val="en-GB"/>
        </w:rPr>
        <w:t xml:space="preserve"> study compared </w:t>
      </w:r>
      <w:r w:rsidR="00202AB0">
        <w:rPr>
          <w:lang w:val="en-GB"/>
        </w:rPr>
        <w:t>outcomes from a midostaurin</w:t>
      </w:r>
      <w:r w:rsidR="00A06C3D">
        <w:rPr>
          <w:lang w:val="en-GB"/>
        </w:rPr>
        <w:t xml:space="preserve"> compassionate use programme </w:t>
      </w:r>
      <w:r w:rsidR="00202AB0">
        <w:rPr>
          <w:lang w:val="en-GB"/>
        </w:rPr>
        <w:t xml:space="preserve">in France </w:t>
      </w:r>
      <w:r w:rsidR="00A06C3D">
        <w:rPr>
          <w:lang w:val="en-GB"/>
        </w:rPr>
        <w:t xml:space="preserve">with </w:t>
      </w:r>
      <w:r w:rsidR="00202AB0">
        <w:rPr>
          <w:lang w:val="en-GB"/>
        </w:rPr>
        <w:t xml:space="preserve">outcomes </w:t>
      </w:r>
      <w:r w:rsidR="00A06C3D">
        <w:rPr>
          <w:lang w:val="en-GB"/>
        </w:rPr>
        <w:t>from French registry data</w:t>
      </w:r>
      <w:r w:rsidR="00202AB0">
        <w:rPr>
          <w:lang w:val="en-GB"/>
        </w:rPr>
        <w:t xml:space="preserve"> for treatment without midostaurin</w:t>
      </w:r>
      <w:r w:rsidR="00A06C3D">
        <w:rPr>
          <w:lang w:val="en-GB"/>
        </w:rPr>
        <w:t xml:space="preserve">. The company’s </w:t>
      </w:r>
      <w:r w:rsidR="00202AB0">
        <w:rPr>
          <w:lang w:val="en-GB"/>
        </w:rPr>
        <w:t>preferred</w:t>
      </w:r>
      <w:r w:rsidR="00A06C3D">
        <w:rPr>
          <w:lang w:val="en-GB"/>
        </w:rPr>
        <w:t xml:space="preserve"> analys</w:t>
      </w:r>
      <w:r w:rsidR="00202AB0">
        <w:rPr>
          <w:lang w:val="en-GB"/>
        </w:rPr>
        <w:t>e</w:t>
      </w:r>
      <w:r w:rsidR="00A06C3D">
        <w:rPr>
          <w:lang w:val="en-GB"/>
        </w:rPr>
        <w:t xml:space="preserve">s used </w:t>
      </w:r>
      <w:r w:rsidR="00202AB0">
        <w:rPr>
          <w:lang w:val="en-GB"/>
        </w:rPr>
        <w:t xml:space="preserve">results from </w:t>
      </w:r>
      <w:r w:rsidR="00A06C3D">
        <w:rPr>
          <w:lang w:val="en-GB"/>
        </w:rPr>
        <w:t>Reiter</w:t>
      </w:r>
      <w:r w:rsidR="0018134C">
        <w:rPr>
          <w:lang w:val="en-GB"/>
        </w:rPr>
        <w:t xml:space="preserve"> et al</w:t>
      </w:r>
      <w:r w:rsidR="00A06C3D">
        <w:rPr>
          <w:lang w:val="en-GB"/>
        </w:rPr>
        <w:t xml:space="preserve">. </w:t>
      </w:r>
      <w:r w:rsidR="00202AB0">
        <w:rPr>
          <w:lang w:val="en-GB"/>
        </w:rPr>
        <w:t>The committee</w:t>
      </w:r>
      <w:r w:rsidR="00202AB0" w:rsidRPr="007E2E78">
        <w:rPr>
          <w:lang w:val="en-GB"/>
        </w:rPr>
        <w:t xml:space="preserve"> </w:t>
      </w:r>
      <w:r w:rsidR="00202AB0">
        <w:rPr>
          <w:lang w:val="en-GB"/>
        </w:rPr>
        <w:t>noted that the study was presented at</w:t>
      </w:r>
      <w:r w:rsidR="0088703B">
        <w:t xml:space="preserve"> </w:t>
      </w:r>
      <w:r w:rsidR="0088703B" w:rsidRPr="007E2E78">
        <w:rPr>
          <w:lang w:val="en-GB"/>
        </w:rPr>
        <w:t xml:space="preserve">a </w:t>
      </w:r>
      <w:r w:rsidR="0088703B">
        <w:t>conference</w:t>
      </w:r>
      <w:r w:rsidR="00202AB0">
        <w:rPr>
          <w:lang w:val="en-GB"/>
        </w:rPr>
        <w:t xml:space="preserve">, but was otherwise unpublished, meaning it </w:t>
      </w:r>
      <w:r w:rsidR="00BF7422">
        <w:rPr>
          <w:lang w:val="en-GB"/>
        </w:rPr>
        <w:t>had received less scrutiny than</w:t>
      </w:r>
      <w:r w:rsidR="00202AB0">
        <w:rPr>
          <w:lang w:val="en-GB"/>
        </w:rPr>
        <w:t xml:space="preserve"> if it had been fully peer reviewed.</w:t>
      </w:r>
      <w:r w:rsidR="00E66735" w:rsidRPr="007E2E78">
        <w:rPr>
          <w:lang w:val="en-GB"/>
        </w:rPr>
        <w:t xml:space="preserve"> </w:t>
      </w:r>
      <w:r w:rsidR="007E3FB1">
        <w:rPr>
          <w:lang w:val="en-GB"/>
        </w:rPr>
        <w:t xml:space="preserve">The company explained that it was not aware of planned publications by the study investigators, but that it had identified very little comparative effectiveness evidence </w:t>
      </w:r>
      <w:r w:rsidR="0018134C">
        <w:rPr>
          <w:lang w:val="en-GB"/>
        </w:rPr>
        <w:t>because</w:t>
      </w:r>
      <w:r w:rsidR="007E3FB1">
        <w:rPr>
          <w:lang w:val="en-GB"/>
        </w:rPr>
        <w:t xml:space="preserve"> advanced systemic mastocytosis</w:t>
      </w:r>
      <w:r w:rsidR="0018134C">
        <w:rPr>
          <w:lang w:val="en-GB"/>
        </w:rPr>
        <w:t xml:space="preserve"> is rare. It had</w:t>
      </w:r>
      <w:r w:rsidR="007E3FB1">
        <w:rPr>
          <w:lang w:val="en-GB"/>
        </w:rPr>
        <w:t xml:space="preserve"> determined Reiter </w:t>
      </w:r>
      <w:r w:rsidR="00A95F2A">
        <w:rPr>
          <w:lang w:val="en-GB"/>
        </w:rPr>
        <w:t xml:space="preserve">et </w:t>
      </w:r>
      <w:r w:rsidR="0093763C">
        <w:rPr>
          <w:lang w:val="en-GB"/>
        </w:rPr>
        <w:t xml:space="preserve">al. </w:t>
      </w:r>
      <w:r w:rsidR="007E3FB1">
        <w:rPr>
          <w:lang w:val="en-GB"/>
        </w:rPr>
        <w:t>to be the best</w:t>
      </w:r>
      <w:r w:rsidR="004C7421">
        <w:rPr>
          <w:lang w:val="en-GB"/>
        </w:rPr>
        <w:t xml:space="preserve"> </w:t>
      </w:r>
      <w:r w:rsidR="007E3FB1">
        <w:rPr>
          <w:lang w:val="en-GB"/>
        </w:rPr>
        <w:t>evidence</w:t>
      </w:r>
      <w:r w:rsidR="0018134C">
        <w:rPr>
          <w:lang w:val="en-GB"/>
        </w:rPr>
        <w:t xml:space="preserve"> available</w:t>
      </w:r>
      <w:r w:rsidR="007E3FB1">
        <w:rPr>
          <w:lang w:val="en-GB"/>
        </w:rPr>
        <w:t xml:space="preserve">. </w:t>
      </w:r>
      <w:r w:rsidR="007E3FB1" w:rsidRPr="007E2E78">
        <w:rPr>
          <w:lang w:val="en-GB"/>
        </w:rPr>
        <w:t xml:space="preserve">The clinical expert </w:t>
      </w:r>
      <w:r w:rsidR="0018134C">
        <w:rPr>
          <w:lang w:val="en-GB"/>
        </w:rPr>
        <w:t>explained</w:t>
      </w:r>
      <w:r w:rsidR="007E3FB1" w:rsidRPr="007E2E78">
        <w:rPr>
          <w:lang w:val="en-GB"/>
        </w:rPr>
        <w:t xml:space="preserve"> that the registry </w:t>
      </w:r>
      <w:r w:rsidR="00CB7B46">
        <w:rPr>
          <w:lang w:val="en-GB"/>
        </w:rPr>
        <w:t xml:space="preserve">used in </w:t>
      </w:r>
      <w:r w:rsidR="00CB7B46">
        <w:rPr>
          <w:lang w:val="en-GB"/>
        </w:rPr>
        <w:lastRenderedPageBreak/>
        <w:t xml:space="preserve">Reiter et al. </w:t>
      </w:r>
      <w:r w:rsidR="007E3FB1" w:rsidRPr="007E2E78">
        <w:rPr>
          <w:lang w:val="en-GB"/>
        </w:rPr>
        <w:t xml:space="preserve">remains the main source of data used internationally. </w:t>
      </w:r>
      <w:r w:rsidR="0014606F" w:rsidRPr="007E2E78">
        <w:rPr>
          <w:lang w:val="en-GB"/>
        </w:rPr>
        <w:t xml:space="preserve">The ERG </w:t>
      </w:r>
      <w:r w:rsidR="007E3FB1">
        <w:rPr>
          <w:lang w:val="en-GB"/>
        </w:rPr>
        <w:t xml:space="preserve">agreed with the company’s conclusion that </w:t>
      </w:r>
      <w:r w:rsidR="007E3FB1" w:rsidRPr="007E2E78">
        <w:rPr>
          <w:lang w:val="en-GB"/>
        </w:rPr>
        <w:t>Reiter</w:t>
      </w:r>
      <w:r w:rsidR="0018134C">
        <w:rPr>
          <w:lang w:val="en-GB"/>
        </w:rPr>
        <w:t xml:space="preserve"> et al.</w:t>
      </w:r>
      <w:r w:rsidR="007E3FB1" w:rsidRPr="007E2E78">
        <w:rPr>
          <w:lang w:val="en-GB"/>
        </w:rPr>
        <w:t xml:space="preserve"> </w:t>
      </w:r>
      <w:r w:rsidR="004D25C7">
        <w:rPr>
          <w:lang w:val="en-GB"/>
        </w:rPr>
        <w:t>was</w:t>
      </w:r>
      <w:r w:rsidR="007E3FB1" w:rsidRPr="007E2E78">
        <w:rPr>
          <w:lang w:val="en-GB"/>
        </w:rPr>
        <w:t xml:space="preserve"> the best available </w:t>
      </w:r>
      <w:r w:rsidR="007E3FB1">
        <w:rPr>
          <w:lang w:val="en-GB"/>
        </w:rPr>
        <w:t xml:space="preserve">source of comparative effectiveness </w:t>
      </w:r>
      <w:r w:rsidR="007E3FB1" w:rsidRPr="007E2E78">
        <w:rPr>
          <w:lang w:val="en-GB"/>
        </w:rPr>
        <w:t>evidence</w:t>
      </w:r>
      <w:r w:rsidR="0018134C">
        <w:rPr>
          <w:lang w:val="en-GB"/>
        </w:rPr>
        <w:t>. But it</w:t>
      </w:r>
      <w:r w:rsidR="007E3FB1">
        <w:rPr>
          <w:lang w:val="en-GB"/>
        </w:rPr>
        <w:t xml:space="preserve"> </w:t>
      </w:r>
      <w:r w:rsidR="0014606F" w:rsidRPr="007E2E78">
        <w:rPr>
          <w:lang w:val="en-GB"/>
        </w:rPr>
        <w:t>highlighted</w:t>
      </w:r>
      <w:r w:rsidR="0018134C">
        <w:rPr>
          <w:lang w:val="en-GB"/>
        </w:rPr>
        <w:t xml:space="preserve"> </w:t>
      </w:r>
      <w:r w:rsidR="000A0CA0">
        <w:rPr>
          <w:lang w:val="en-GB"/>
        </w:rPr>
        <w:t>its</w:t>
      </w:r>
      <w:r w:rsidR="0014606F" w:rsidRPr="007E2E78">
        <w:rPr>
          <w:lang w:val="en-GB"/>
        </w:rPr>
        <w:t xml:space="preserve"> limitations</w:t>
      </w:r>
      <w:r w:rsidR="0018134C">
        <w:rPr>
          <w:lang w:val="en-GB"/>
        </w:rPr>
        <w:t>, which included</w:t>
      </w:r>
      <w:r w:rsidR="0014606F" w:rsidRPr="007E2E78">
        <w:rPr>
          <w:lang w:val="en-GB"/>
        </w:rPr>
        <w:t xml:space="preserve"> </w:t>
      </w:r>
      <w:r w:rsidR="007E3FB1">
        <w:rPr>
          <w:lang w:val="en-GB"/>
        </w:rPr>
        <w:t>its small sample size</w:t>
      </w:r>
      <w:r w:rsidR="000A0CA0">
        <w:rPr>
          <w:lang w:val="en-GB"/>
        </w:rPr>
        <w:t xml:space="preserve"> and </w:t>
      </w:r>
      <w:r w:rsidR="007E3FB1">
        <w:rPr>
          <w:lang w:val="en-GB"/>
        </w:rPr>
        <w:t xml:space="preserve">limited information about </w:t>
      </w:r>
      <w:r w:rsidR="00A25A54">
        <w:rPr>
          <w:lang w:val="en-GB"/>
        </w:rPr>
        <w:t xml:space="preserve">what </w:t>
      </w:r>
      <w:r w:rsidR="007E3FB1">
        <w:rPr>
          <w:lang w:val="en-GB"/>
        </w:rPr>
        <w:t>treatments</w:t>
      </w:r>
      <w:r w:rsidR="00A25A54">
        <w:rPr>
          <w:lang w:val="en-GB"/>
        </w:rPr>
        <w:t xml:space="preserve"> were </w:t>
      </w:r>
      <w:r w:rsidR="00CB7B46">
        <w:rPr>
          <w:lang w:val="en-GB"/>
        </w:rPr>
        <w:t>used</w:t>
      </w:r>
      <w:r w:rsidR="007E3FB1">
        <w:rPr>
          <w:lang w:val="en-GB"/>
        </w:rPr>
        <w:t xml:space="preserve"> </w:t>
      </w:r>
      <w:r w:rsidR="007E3FB1" w:rsidRPr="004D25C7">
        <w:rPr>
          <w:lang w:val="en-GB"/>
        </w:rPr>
        <w:t xml:space="preserve">and </w:t>
      </w:r>
      <w:r w:rsidR="004D25C7" w:rsidRPr="004D25C7">
        <w:rPr>
          <w:lang w:val="en-GB"/>
        </w:rPr>
        <w:t xml:space="preserve">study </w:t>
      </w:r>
      <w:r w:rsidR="007E3FB1" w:rsidRPr="00643D96">
        <w:rPr>
          <w:lang w:val="en-GB"/>
        </w:rPr>
        <w:t>recruitment</w:t>
      </w:r>
      <w:r w:rsidR="0018134C">
        <w:rPr>
          <w:lang w:val="en-GB"/>
        </w:rPr>
        <w:t>. It also noted</w:t>
      </w:r>
      <w:r w:rsidR="007E3FB1" w:rsidRPr="002E5F79">
        <w:rPr>
          <w:lang w:val="en-GB"/>
        </w:rPr>
        <w:t xml:space="preserve"> </w:t>
      </w:r>
      <w:r w:rsidR="004D25C7" w:rsidRPr="002E5F79">
        <w:rPr>
          <w:lang w:val="en-GB"/>
        </w:rPr>
        <w:t>the risk of bias</w:t>
      </w:r>
      <w:r w:rsidR="007E3FB1" w:rsidRPr="000E2A62">
        <w:rPr>
          <w:lang w:val="en-GB"/>
        </w:rPr>
        <w:t xml:space="preserve"> </w:t>
      </w:r>
      <w:r w:rsidR="00400A93">
        <w:rPr>
          <w:lang w:val="en-GB"/>
        </w:rPr>
        <w:t>present in all</w:t>
      </w:r>
      <w:r w:rsidR="00400A93" w:rsidRPr="003207B9">
        <w:rPr>
          <w:lang w:val="en-GB"/>
        </w:rPr>
        <w:t xml:space="preserve"> </w:t>
      </w:r>
      <w:r w:rsidR="007E3FB1" w:rsidRPr="003207B9">
        <w:rPr>
          <w:lang w:val="en-GB"/>
        </w:rPr>
        <w:t>non-randomised evidence</w:t>
      </w:r>
      <w:r w:rsidR="0014606F" w:rsidRPr="0089110B">
        <w:rPr>
          <w:lang w:val="en-GB"/>
        </w:rPr>
        <w:t xml:space="preserve">. </w:t>
      </w:r>
      <w:r w:rsidR="001D5890">
        <w:rPr>
          <w:lang w:val="en-GB"/>
        </w:rPr>
        <w:t xml:space="preserve">The ERG also advised that there are potential limitations to pooling data from the D2201 and A2213 trials, </w:t>
      </w:r>
      <w:r w:rsidR="00F45BFF">
        <w:rPr>
          <w:lang w:val="en-GB"/>
        </w:rPr>
        <w:t xml:space="preserve">because </w:t>
      </w:r>
      <w:r w:rsidR="001D5890">
        <w:rPr>
          <w:lang w:val="en-GB"/>
        </w:rPr>
        <w:t xml:space="preserve">they have different study protocols and median follow-up durations. In response to technical engagement, a clinical expert advised that the A2213 study is likely to be less generalisable to NHS clinical practice than D2201. The committee agreed that there is limited evidence for midostaurin </w:t>
      </w:r>
      <w:r w:rsidR="0018134C">
        <w:rPr>
          <w:lang w:val="en-GB"/>
        </w:rPr>
        <w:t>because the condition is rare</w:t>
      </w:r>
      <w:r w:rsidR="001D5890">
        <w:rPr>
          <w:lang w:val="en-GB"/>
        </w:rPr>
        <w:t xml:space="preserve">, </w:t>
      </w:r>
      <w:r w:rsidR="00F45BFF">
        <w:rPr>
          <w:lang w:val="en-GB"/>
        </w:rPr>
        <w:t xml:space="preserve">so </w:t>
      </w:r>
      <w:r w:rsidR="001D5890">
        <w:rPr>
          <w:lang w:val="en-GB"/>
        </w:rPr>
        <w:t xml:space="preserve">data from the </w:t>
      </w:r>
      <w:r w:rsidR="008E7AE9">
        <w:rPr>
          <w:lang w:val="en-GB"/>
        </w:rPr>
        <w:t>2 </w:t>
      </w:r>
      <w:r w:rsidR="001D5890">
        <w:rPr>
          <w:lang w:val="en-GB"/>
        </w:rPr>
        <w:t xml:space="preserve">studies could be pooled for decision making. </w:t>
      </w:r>
      <w:r w:rsidR="00893362">
        <w:rPr>
          <w:lang w:val="en-GB"/>
        </w:rPr>
        <w:t>It</w:t>
      </w:r>
      <w:r w:rsidR="00893362" w:rsidRPr="004D25C7">
        <w:rPr>
          <w:lang w:val="en-GB"/>
        </w:rPr>
        <w:t xml:space="preserve"> agreed that </w:t>
      </w:r>
      <w:r w:rsidR="00893362">
        <w:rPr>
          <w:lang w:val="en-GB"/>
        </w:rPr>
        <w:t>Reiter et al. was more robust than the CEREMAST study</w:t>
      </w:r>
      <w:r w:rsidR="00893362" w:rsidRPr="007E2E78">
        <w:rPr>
          <w:lang w:val="en-GB"/>
        </w:rPr>
        <w:t>.</w:t>
      </w:r>
      <w:r w:rsidR="00893362">
        <w:rPr>
          <w:lang w:val="en-GB"/>
        </w:rPr>
        <w:t xml:space="preserve"> </w:t>
      </w:r>
      <w:r w:rsidR="004D25C7" w:rsidRPr="000136F9">
        <w:rPr>
          <w:lang w:val="en-GB"/>
        </w:rPr>
        <w:t xml:space="preserve">The committee </w:t>
      </w:r>
      <w:r w:rsidR="0018134C">
        <w:rPr>
          <w:lang w:val="en-GB"/>
        </w:rPr>
        <w:t>noted</w:t>
      </w:r>
      <w:r w:rsidR="004D25C7" w:rsidRPr="000136F9">
        <w:rPr>
          <w:lang w:val="en-GB"/>
        </w:rPr>
        <w:t xml:space="preserve"> ongoing data collection by the European Competence Network on Mastocytosis registry and considered whether it might provide more robust evidence on outcomes with current treatments. A patient expert advised that although the registry </w:t>
      </w:r>
      <w:r w:rsidR="004D25C7">
        <w:rPr>
          <w:lang w:val="en-GB"/>
        </w:rPr>
        <w:t>has</w:t>
      </w:r>
      <w:r w:rsidR="004D25C7" w:rsidRPr="000136F9">
        <w:rPr>
          <w:lang w:val="en-GB"/>
        </w:rPr>
        <w:t xml:space="preserve"> data </w:t>
      </w:r>
      <w:r w:rsidR="00893362">
        <w:rPr>
          <w:lang w:val="en-GB"/>
        </w:rPr>
        <w:t>for</w:t>
      </w:r>
      <w:r w:rsidR="00893362" w:rsidRPr="000136F9">
        <w:rPr>
          <w:lang w:val="en-GB"/>
        </w:rPr>
        <w:t xml:space="preserve"> </w:t>
      </w:r>
      <w:r w:rsidR="004D25C7" w:rsidRPr="000136F9">
        <w:rPr>
          <w:lang w:val="en-GB"/>
        </w:rPr>
        <w:t xml:space="preserve">approximately </w:t>
      </w:r>
      <w:r w:rsidR="00A25A54" w:rsidRPr="000136F9">
        <w:rPr>
          <w:lang w:val="en-GB"/>
        </w:rPr>
        <w:t>500</w:t>
      </w:r>
      <w:r w:rsidR="00A25A54">
        <w:rPr>
          <w:lang w:val="en-GB"/>
        </w:rPr>
        <w:t> </w:t>
      </w:r>
      <w:r w:rsidR="004D25C7" w:rsidRPr="000136F9">
        <w:rPr>
          <w:lang w:val="en-GB"/>
        </w:rPr>
        <w:t xml:space="preserve">people with advanced systemic mastocytosis, some of them might </w:t>
      </w:r>
      <w:r w:rsidR="004D25C7">
        <w:rPr>
          <w:lang w:val="en-GB"/>
        </w:rPr>
        <w:t xml:space="preserve">already </w:t>
      </w:r>
      <w:r w:rsidR="004D25C7" w:rsidRPr="000136F9">
        <w:rPr>
          <w:lang w:val="en-GB"/>
        </w:rPr>
        <w:t xml:space="preserve">be </w:t>
      </w:r>
      <w:r w:rsidR="00A25A54">
        <w:rPr>
          <w:lang w:val="en-GB"/>
        </w:rPr>
        <w:t>having treatment</w:t>
      </w:r>
      <w:r w:rsidR="00A25A54" w:rsidRPr="000136F9">
        <w:rPr>
          <w:lang w:val="en-GB"/>
        </w:rPr>
        <w:t xml:space="preserve"> </w:t>
      </w:r>
      <w:r w:rsidR="004D25C7" w:rsidRPr="000136F9">
        <w:rPr>
          <w:lang w:val="en-GB"/>
        </w:rPr>
        <w:t>with midostaurin, and the frequency of follow up is unclear</w:t>
      </w:r>
      <w:r w:rsidR="004D25C7" w:rsidRPr="004D25C7">
        <w:rPr>
          <w:lang w:val="en-GB"/>
        </w:rPr>
        <w:t xml:space="preserve">. </w:t>
      </w:r>
      <w:r w:rsidR="00893362">
        <w:rPr>
          <w:lang w:val="en-GB"/>
        </w:rPr>
        <w:t>The committee</w:t>
      </w:r>
      <w:r w:rsidR="00893362" w:rsidRPr="007E2E78">
        <w:rPr>
          <w:lang w:val="en-GB"/>
        </w:rPr>
        <w:t xml:space="preserve"> </w:t>
      </w:r>
      <w:r w:rsidR="004D25C7">
        <w:rPr>
          <w:lang w:val="en-GB"/>
        </w:rPr>
        <w:t>concluded that</w:t>
      </w:r>
      <w:r w:rsidR="00893362">
        <w:rPr>
          <w:lang w:val="en-GB"/>
        </w:rPr>
        <w:t xml:space="preserve"> </w:t>
      </w:r>
      <w:r w:rsidR="00893362" w:rsidRPr="004D25C7">
        <w:rPr>
          <w:lang w:val="en-GB"/>
        </w:rPr>
        <w:t>the quality of comparative effectiveness evidence was poor</w:t>
      </w:r>
      <w:r w:rsidR="00893362">
        <w:rPr>
          <w:lang w:val="en-GB"/>
        </w:rPr>
        <w:t xml:space="preserve">, but </w:t>
      </w:r>
      <w:r w:rsidR="00893362" w:rsidRPr="007E2E78">
        <w:rPr>
          <w:lang w:val="en-GB"/>
        </w:rPr>
        <w:t xml:space="preserve">in the absence of </w:t>
      </w:r>
      <w:r w:rsidR="00893362">
        <w:rPr>
          <w:lang w:val="en-GB"/>
        </w:rPr>
        <w:t xml:space="preserve">more robust </w:t>
      </w:r>
      <w:r w:rsidR="00893362" w:rsidRPr="007E2E78">
        <w:rPr>
          <w:lang w:val="en-GB"/>
        </w:rPr>
        <w:t>evidenc</w:t>
      </w:r>
      <w:r w:rsidR="00893362" w:rsidRPr="004D25C7">
        <w:rPr>
          <w:lang w:val="en-GB"/>
        </w:rPr>
        <w:t>e</w:t>
      </w:r>
      <w:r w:rsidR="00893362">
        <w:rPr>
          <w:lang w:val="en-GB"/>
        </w:rPr>
        <w:t xml:space="preserve"> i</w:t>
      </w:r>
      <w:r w:rsidR="004D25C7">
        <w:rPr>
          <w:lang w:val="en-GB"/>
        </w:rPr>
        <w:t>t would</w:t>
      </w:r>
      <w:r w:rsidR="004D25C7" w:rsidRPr="007E2E78">
        <w:rPr>
          <w:lang w:val="en-GB"/>
        </w:rPr>
        <w:t xml:space="preserve"> </w:t>
      </w:r>
      <w:r w:rsidR="004D25C7">
        <w:rPr>
          <w:lang w:val="en-GB"/>
        </w:rPr>
        <w:t>consider outcomes from</w:t>
      </w:r>
      <w:r w:rsidR="005030FC" w:rsidRPr="007E2E78">
        <w:rPr>
          <w:lang w:val="en-GB"/>
        </w:rPr>
        <w:t xml:space="preserve"> Reiter </w:t>
      </w:r>
      <w:r w:rsidR="0018134C">
        <w:rPr>
          <w:lang w:val="en-GB"/>
        </w:rPr>
        <w:t xml:space="preserve">et al. </w:t>
      </w:r>
      <w:r w:rsidR="000136F9">
        <w:rPr>
          <w:lang w:val="en-GB"/>
        </w:rPr>
        <w:t>in</w:t>
      </w:r>
      <w:r w:rsidR="004D25C7">
        <w:rPr>
          <w:lang w:val="en-GB"/>
        </w:rPr>
        <w:t xml:space="preserve"> its decision making</w:t>
      </w:r>
      <w:r w:rsidR="00893362">
        <w:rPr>
          <w:lang w:val="en-GB"/>
        </w:rPr>
        <w:t xml:space="preserve">. It agreed </w:t>
      </w:r>
      <w:r w:rsidR="004D25C7">
        <w:rPr>
          <w:lang w:val="en-GB"/>
        </w:rPr>
        <w:t>that it would interpret the</w:t>
      </w:r>
      <w:r w:rsidR="004D25C7" w:rsidRPr="000C64C6">
        <w:rPr>
          <w:lang w:val="en-GB"/>
        </w:rPr>
        <w:t xml:space="preserve"> resulting estimates (see </w:t>
      </w:r>
      <w:hyperlink w:anchor="_The_propensity_score" w:history="1">
        <w:r w:rsidR="004D25C7" w:rsidRPr="00575BE7">
          <w:rPr>
            <w:rStyle w:val="Hyperlink"/>
            <w:lang w:val="en-GB"/>
          </w:rPr>
          <w:t>section</w:t>
        </w:r>
        <w:r w:rsidR="00575BE7" w:rsidRPr="00575BE7">
          <w:rPr>
            <w:rStyle w:val="Hyperlink"/>
            <w:lang w:val="en-GB"/>
          </w:rPr>
          <w:t xml:space="preserve"> 3.5</w:t>
        </w:r>
      </w:hyperlink>
      <w:r w:rsidR="004D25C7" w:rsidRPr="004D25C7">
        <w:rPr>
          <w:lang w:val="en-GB"/>
        </w:rPr>
        <w:t>)</w:t>
      </w:r>
      <w:r w:rsidR="004D25C7" w:rsidRPr="000C64C6">
        <w:rPr>
          <w:lang w:val="en-GB"/>
        </w:rPr>
        <w:t xml:space="preserve"> </w:t>
      </w:r>
      <w:r w:rsidR="004D25C7">
        <w:rPr>
          <w:lang w:val="en-GB"/>
        </w:rPr>
        <w:t>with caution.</w:t>
      </w:r>
      <w:bookmarkEnd w:id="7"/>
    </w:p>
    <w:p w14:paraId="4ED4EAD2" w14:textId="77777777" w:rsidR="009A412B" w:rsidRDefault="008077A6" w:rsidP="009A412B">
      <w:pPr>
        <w:pStyle w:val="Heading3"/>
      </w:pPr>
      <w:bookmarkStart w:id="8" w:name="_The_propensity_score"/>
      <w:bookmarkEnd w:id="6"/>
      <w:bookmarkEnd w:id="8"/>
      <w:r w:rsidRPr="008077A6">
        <w:t>The propensity score matched HR suggests midostaurin is more effective than current clinical management, but this is uncertain</w:t>
      </w:r>
      <w:bookmarkStart w:id="9" w:name="_Ref50022029"/>
      <w:bookmarkStart w:id="10" w:name="_Ref50364293"/>
    </w:p>
    <w:p w14:paraId="6AD47592" w14:textId="2374B1C7" w:rsidR="00457203" w:rsidRPr="002D10A0" w:rsidRDefault="00D10094" w:rsidP="009A412B">
      <w:pPr>
        <w:pStyle w:val="Numberedlevel2text"/>
      </w:pPr>
      <w:r>
        <w:t xml:space="preserve">The comparative </w:t>
      </w:r>
      <w:r w:rsidR="000A6464">
        <w:t>OS</w:t>
      </w:r>
      <w:r>
        <w:t xml:space="preserve"> </w:t>
      </w:r>
      <w:r w:rsidR="002E5F79">
        <w:t>of midostaurin</w:t>
      </w:r>
      <w:r>
        <w:t xml:space="preserve"> </w:t>
      </w:r>
      <w:r w:rsidR="000A6464">
        <w:t xml:space="preserve">was </w:t>
      </w:r>
      <w:r w:rsidR="002E5F79">
        <w:t>by far</w:t>
      </w:r>
      <w:r>
        <w:t xml:space="preserve"> the most important</w:t>
      </w:r>
      <w:r w:rsidR="002E5F79">
        <w:t xml:space="preserve"> clinical factor affecting its cost effectiveness. </w:t>
      </w:r>
      <w:r w:rsidR="00643D96">
        <w:t>In its evidence submission, the company</w:t>
      </w:r>
      <w:r w:rsidR="008B175C">
        <w:t xml:space="preserve"> </w:t>
      </w:r>
      <w:r w:rsidR="00643D96">
        <w:t xml:space="preserve">considered several </w:t>
      </w:r>
      <w:r w:rsidR="00464A61">
        <w:t>OS</w:t>
      </w:r>
      <w:r w:rsidR="00643D96">
        <w:t xml:space="preserve"> hazard ratios (HRs), based on Reiter </w:t>
      </w:r>
      <w:r w:rsidR="00581D40">
        <w:t>e</w:t>
      </w:r>
      <w:r w:rsidR="00FB33F5">
        <w:t>t</w:t>
      </w:r>
      <w:r w:rsidR="00581D40">
        <w:t xml:space="preserve"> al. (2017)</w:t>
      </w:r>
      <w:r w:rsidR="00643D96">
        <w:t>, as options to inform the comparative effectiveness of midostaurin. Following</w:t>
      </w:r>
      <w:r w:rsidR="00A357E2">
        <w:t xml:space="preserve"> technical engagement, the company updated </w:t>
      </w:r>
      <w:r w:rsidR="00643D96">
        <w:lastRenderedPageBreak/>
        <w:t>some of the HR analyses using a more recent</w:t>
      </w:r>
      <w:r w:rsidR="00A357E2">
        <w:t xml:space="preserve"> D2201 data cut</w:t>
      </w:r>
      <w:r w:rsidR="00643D96">
        <w:t xml:space="preserve"> (containing </w:t>
      </w:r>
      <w:r w:rsidR="00C37DA2">
        <w:t>1 </w:t>
      </w:r>
      <w:r w:rsidR="00643D96">
        <w:t>extra year of data)</w:t>
      </w:r>
      <w:r w:rsidR="002D10A0">
        <w:t xml:space="preserve">. </w:t>
      </w:r>
      <w:r w:rsidR="006B08FE">
        <w:t>The committee noted that the company</w:t>
      </w:r>
      <w:r w:rsidR="00643D96">
        <w:t>’s</w:t>
      </w:r>
      <w:r w:rsidR="006B08FE">
        <w:t xml:space="preserve"> preferred</w:t>
      </w:r>
      <w:r w:rsidR="00643D96">
        <w:t xml:space="preserve"> HR</w:t>
      </w:r>
      <w:r w:rsidR="006B08FE">
        <w:t xml:space="preserve"> </w:t>
      </w:r>
      <w:r w:rsidR="00643D96">
        <w:t xml:space="preserve">was from </w:t>
      </w:r>
      <w:r w:rsidR="00BA7CAC">
        <w:t>a</w:t>
      </w:r>
      <w:r w:rsidR="002D10A0">
        <w:t xml:space="preserve"> </w:t>
      </w:r>
      <w:r w:rsidR="006B08FE">
        <w:t xml:space="preserve">multivariable </w:t>
      </w:r>
      <w:r w:rsidR="00BA7CAC">
        <w:t xml:space="preserve">regression </w:t>
      </w:r>
      <w:r w:rsidR="006B08FE">
        <w:t>analysis</w:t>
      </w:r>
      <w:r w:rsidR="00BA7CAC">
        <w:t xml:space="preserve"> using pooled D2201 and A2213 data for midostaurin </w:t>
      </w:r>
      <w:r w:rsidR="006B08FE" w:rsidRPr="002D10A0">
        <w:t>(</w:t>
      </w:r>
      <w:r w:rsidR="006B08FE">
        <w:t>0.52</w:t>
      </w:r>
      <w:r w:rsidR="006B08FE" w:rsidRPr="002D10A0">
        <w:t xml:space="preserve">, 95% confidence interval </w:t>
      </w:r>
      <w:r w:rsidR="000F6289">
        <w:t xml:space="preserve">[CI] </w:t>
      </w:r>
      <w:r w:rsidR="006B08FE" w:rsidRPr="002D10A0">
        <w:t>0.32 to 0.84)</w:t>
      </w:r>
      <w:r w:rsidR="002D10A0">
        <w:t xml:space="preserve">. </w:t>
      </w:r>
      <w:r w:rsidR="00BA7CAC">
        <w:t>This analysis attempted to account for potential imbalances in patient characteristics between the midostaurin</w:t>
      </w:r>
      <w:r w:rsidR="00DD1FF2">
        <w:t xml:space="preserve"> clinical</w:t>
      </w:r>
      <w:r w:rsidR="00BA7CAC">
        <w:t xml:space="preserve"> trials and</w:t>
      </w:r>
      <w:r w:rsidR="009070AB">
        <w:t xml:space="preserve"> the</w:t>
      </w:r>
      <w:r w:rsidR="00BA7CAC">
        <w:t xml:space="preserve"> German registry data</w:t>
      </w:r>
      <w:r w:rsidR="00DD1FF2">
        <w:t xml:space="preserve"> from Reiter et al</w:t>
      </w:r>
      <w:r w:rsidR="00BA7CAC">
        <w:t>. The committee was concerned that the</w:t>
      </w:r>
      <w:r w:rsidR="00581D40">
        <w:t xml:space="preserve"> company’s preferred</w:t>
      </w:r>
      <w:r w:rsidR="00BA7CAC">
        <w:t xml:space="preserve"> HR </w:t>
      </w:r>
      <w:r w:rsidR="001A3EEB" w:rsidRPr="002D10A0">
        <w:t xml:space="preserve">was </w:t>
      </w:r>
      <w:r w:rsidR="00BA7CAC">
        <w:t>similar</w:t>
      </w:r>
      <w:r w:rsidR="001A3EEB" w:rsidRPr="002D10A0">
        <w:t xml:space="preserve"> to </w:t>
      </w:r>
      <w:r w:rsidR="00BA7CAC">
        <w:t xml:space="preserve">the HR </w:t>
      </w:r>
      <w:r w:rsidR="00DD1FF2">
        <w:t xml:space="preserve">that did not </w:t>
      </w:r>
      <w:r w:rsidR="00BA7CAC">
        <w:t xml:space="preserve">adjust for imbalances </w:t>
      </w:r>
      <w:r w:rsidR="00A357E2" w:rsidRPr="002D10A0">
        <w:t>(</w:t>
      </w:r>
      <w:r w:rsidR="00A357E2">
        <w:t>0.5</w:t>
      </w:r>
      <w:r w:rsidR="00A357E2" w:rsidRPr="002D10A0">
        <w:t xml:space="preserve">0, 95% </w:t>
      </w:r>
      <w:r w:rsidR="000F6289">
        <w:t>CI</w:t>
      </w:r>
      <w:r w:rsidR="00A357E2" w:rsidRPr="002D10A0">
        <w:t xml:space="preserve"> 0.33 to 0.76)</w:t>
      </w:r>
      <w:r w:rsidR="00581D40">
        <w:t>. This</w:t>
      </w:r>
      <w:r w:rsidR="00BA7CAC">
        <w:t xml:space="preserve"> </w:t>
      </w:r>
      <w:r w:rsidR="00410F24">
        <w:t>suggested</w:t>
      </w:r>
      <w:r w:rsidR="00DD1FF2">
        <w:t xml:space="preserve"> </w:t>
      </w:r>
      <w:r w:rsidR="00BA7CAC">
        <w:t xml:space="preserve">that the regression analysis </w:t>
      </w:r>
      <w:r w:rsidR="00575BE7">
        <w:t>might not have</w:t>
      </w:r>
      <w:r w:rsidR="00BA7CAC">
        <w:t xml:space="preserve"> fully captured important </w:t>
      </w:r>
      <w:r>
        <w:t xml:space="preserve">observed or unobserved </w:t>
      </w:r>
      <w:r w:rsidR="00BA7CAC">
        <w:t>differences between the datasets</w:t>
      </w:r>
      <w:r w:rsidR="002D10A0">
        <w:t>.</w:t>
      </w:r>
      <w:r w:rsidR="001A3EEB" w:rsidRPr="002D10A0">
        <w:t xml:space="preserve"> </w:t>
      </w:r>
      <w:r w:rsidR="00BA7CAC">
        <w:t xml:space="preserve">The committee considered that the </w:t>
      </w:r>
      <w:r w:rsidR="001A3EEB" w:rsidRPr="002D10A0">
        <w:t xml:space="preserve">propensity score matching </w:t>
      </w:r>
      <w:r w:rsidR="00BA7CAC">
        <w:t>analysis might provide a more unbiased estimate of the HR</w:t>
      </w:r>
      <w:r w:rsidR="009C58DD">
        <w:t xml:space="preserve"> (0.64, 95% </w:t>
      </w:r>
      <w:r w:rsidR="000F6289">
        <w:t>CI</w:t>
      </w:r>
      <w:r w:rsidR="009C58DD">
        <w:t xml:space="preserve"> 0.33 to 1.24)</w:t>
      </w:r>
      <w:r w:rsidR="00BA7CAC">
        <w:t>. The ERG advised that the propensity score matching analysis</w:t>
      </w:r>
      <w:r>
        <w:t xml:space="preserve"> </w:t>
      </w:r>
      <w:r w:rsidR="00410F24">
        <w:t>meant</w:t>
      </w:r>
      <w:r>
        <w:t xml:space="preserve"> reducing the sample size (to achieve </w:t>
      </w:r>
      <w:r w:rsidR="00C37DA2">
        <w:t>2 </w:t>
      </w:r>
      <w:r>
        <w:t xml:space="preserve">groups of ‘matched’ pairs of patients), and it may be </w:t>
      </w:r>
      <w:r w:rsidRPr="002D10A0">
        <w:t>prefer</w:t>
      </w:r>
      <w:r>
        <w:t>able</w:t>
      </w:r>
      <w:r w:rsidRPr="002D10A0">
        <w:t xml:space="preserve"> to retain the bigger sample size </w:t>
      </w:r>
      <w:r>
        <w:t>used by</w:t>
      </w:r>
      <w:r w:rsidRPr="002D10A0">
        <w:t xml:space="preserve"> the </w:t>
      </w:r>
      <w:r>
        <w:t xml:space="preserve">multivariable regression </w:t>
      </w:r>
      <w:r w:rsidRPr="002D10A0">
        <w:t>analysis</w:t>
      </w:r>
      <w:r>
        <w:t xml:space="preserve">. </w:t>
      </w:r>
      <w:r w:rsidR="000F6289">
        <w:t>It also</w:t>
      </w:r>
      <w:r>
        <w:t xml:space="preserve"> advised that </w:t>
      </w:r>
      <w:r w:rsidR="005467A4">
        <w:t xml:space="preserve">like the regression analysis, </w:t>
      </w:r>
      <w:r>
        <w:t>the matching analysis cannot</w:t>
      </w:r>
      <w:r w:rsidR="001A3EEB" w:rsidRPr="002D10A0">
        <w:t xml:space="preserve"> adjust for </w:t>
      </w:r>
      <w:r w:rsidR="000F6289">
        <w:t xml:space="preserve">any </w:t>
      </w:r>
      <w:r w:rsidR="001A3EEB" w:rsidRPr="002D10A0">
        <w:t xml:space="preserve">unobserved </w:t>
      </w:r>
      <w:r>
        <w:t>imbalances in patient characteristics</w:t>
      </w:r>
      <w:r w:rsidR="001A3EEB" w:rsidRPr="002D10A0">
        <w:t xml:space="preserve">. </w:t>
      </w:r>
      <w:r>
        <w:t xml:space="preserve">The committee noted that in the propensity score matched analysis the number of patients </w:t>
      </w:r>
      <w:r w:rsidR="00AF3DB9">
        <w:t>was substantially lower</w:t>
      </w:r>
      <w:r>
        <w:t xml:space="preserve">, which </w:t>
      </w:r>
      <w:r w:rsidR="006B2A9F">
        <w:t>led</w:t>
      </w:r>
      <w:r>
        <w:t xml:space="preserve"> to a wider </w:t>
      </w:r>
      <w:r w:rsidR="00C37DA2">
        <w:t>CI</w:t>
      </w:r>
      <w:r>
        <w:t xml:space="preserve"> but </w:t>
      </w:r>
      <w:r w:rsidR="00AF3DB9">
        <w:t xml:space="preserve">suggested </w:t>
      </w:r>
      <w:r>
        <w:t>that the unadjusted patient groups were not well matched. It</w:t>
      </w:r>
      <w:r w:rsidR="00903662">
        <w:t xml:space="preserve"> </w:t>
      </w:r>
      <w:r>
        <w:t>considered that, on balance, it would prefer an unbiased estimate of the HR with a wide</w:t>
      </w:r>
      <w:r w:rsidR="005467A4">
        <w:t>r</w:t>
      </w:r>
      <w:r>
        <w:t xml:space="preserve"> </w:t>
      </w:r>
      <w:r w:rsidR="00C37DA2">
        <w:t>CI</w:t>
      </w:r>
      <w:r>
        <w:t xml:space="preserve">, rather than a potentially biased estimate of the HR with a narrower </w:t>
      </w:r>
      <w:r w:rsidR="00C37DA2">
        <w:t>CI</w:t>
      </w:r>
      <w:r>
        <w:t xml:space="preserve">. </w:t>
      </w:r>
      <w:r w:rsidR="00955AE7">
        <w:t xml:space="preserve">The committee </w:t>
      </w:r>
      <w:r>
        <w:t>concluded</w:t>
      </w:r>
      <w:r w:rsidR="00955AE7">
        <w:t xml:space="preserve"> that </w:t>
      </w:r>
      <w:r>
        <w:t>from the available HRs to inform comparative survival, t</w:t>
      </w:r>
      <w:r w:rsidR="00955AE7">
        <w:t>he</w:t>
      </w:r>
      <w:r>
        <w:t xml:space="preserve"> propensity score matched HR </w:t>
      </w:r>
      <w:r w:rsidR="00AF3DB9">
        <w:t xml:space="preserve">was </w:t>
      </w:r>
      <w:r w:rsidR="007E2E78">
        <w:t xml:space="preserve">the </w:t>
      </w:r>
      <w:r>
        <w:t>most robust estimate</w:t>
      </w:r>
      <w:r w:rsidR="007E2E78">
        <w:t xml:space="preserve"> to inform the </w:t>
      </w:r>
      <w:r>
        <w:t>economic model and decision making</w:t>
      </w:r>
      <w:r w:rsidR="007E2E78">
        <w:t>.</w:t>
      </w:r>
      <w:bookmarkEnd w:id="9"/>
      <w:r w:rsidR="007E2E78">
        <w:t xml:space="preserve"> </w:t>
      </w:r>
      <w:r w:rsidR="00141989">
        <w:t>The committee also concluded that, based on its preferred HR, midostaurin does appear to be clinically effective compared with current clinical management, but the estimate remains uncertain.</w:t>
      </w:r>
      <w:bookmarkEnd w:id="10"/>
    </w:p>
    <w:p w14:paraId="3913E65F" w14:textId="79545AD8" w:rsidR="00643582" w:rsidRDefault="009B5D66" w:rsidP="00643582">
      <w:pPr>
        <w:pStyle w:val="Heading2"/>
      </w:pPr>
      <w:r>
        <w:lastRenderedPageBreak/>
        <w:t xml:space="preserve">Economic </w:t>
      </w:r>
      <w:r w:rsidR="00C36E47">
        <w:t>model</w:t>
      </w:r>
    </w:p>
    <w:p w14:paraId="342E01C3" w14:textId="1426DC4E" w:rsidR="00FD739A" w:rsidRDefault="00FD739A" w:rsidP="00FD739A">
      <w:pPr>
        <w:pStyle w:val="Heading3"/>
      </w:pPr>
      <w:bookmarkStart w:id="11" w:name="_The_company’s_economic"/>
      <w:bookmarkEnd w:id="11"/>
      <w:r>
        <w:t>The company’s economic model is broadly acceptable for decision making</w:t>
      </w:r>
    </w:p>
    <w:p w14:paraId="17A5A46A" w14:textId="308B2DDA" w:rsidR="00C36E47" w:rsidRPr="00C36E47" w:rsidRDefault="00FD739A" w:rsidP="000C31A6">
      <w:pPr>
        <w:pStyle w:val="Numberedlevel2text"/>
      </w:pPr>
      <w:bookmarkStart w:id="12" w:name="_Ref50365031"/>
      <w:r w:rsidRPr="00FD739A">
        <w:t xml:space="preserve">The company presented a partitioned survival model with </w:t>
      </w:r>
      <w:r w:rsidR="00444870" w:rsidRPr="00FD739A">
        <w:t>4</w:t>
      </w:r>
      <w:r w:rsidR="00444870">
        <w:rPr>
          <w:lang w:val="en-GB"/>
        </w:rPr>
        <w:t> </w:t>
      </w:r>
      <w:r w:rsidRPr="00FD739A">
        <w:t xml:space="preserve">mutually exclusive health states: </w:t>
      </w:r>
      <w:r w:rsidR="00444870" w:rsidRPr="00FD739A">
        <w:t>2</w:t>
      </w:r>
      <w:r w:rsidR="00444870">
        <w:rPr>
          <w:lang w:val="en-GB"/>
        </w:rPr>
        <w:t> </w:t>
      </w:r>
      <w:r w:rsidRPr="00FD739A">
        <w:t xml:space="preserve">progression-free survival (PFS) states (with either sustained response or lack or loss </w:t>
      </w:r>
      <w:r w:rsidR="000F6289" w:rsidRPr="00FD739A">
        <w:t>o</w:t>
      </w:r>
      <w:r w:rsidR="000F6289">
        <w:rPr>
          <w:lang w:val="en-GB"/>
        </w:rPr>
        <w:t>f</w:t>
      </w:r>
      <w:r w:rsidR="000F6289" w:rsidRPr="00FD739A">
        <w:t xml:space="preserve"> </w:t>
      </w:r>
      <w:r w:rsidRPr="00FD739A">
        <w:t>response), progressed disease and death</w:t>
      </w:r>
      <w:r w:rsidR="00915675">
        <w:rPr>
          <w:lang w:val="en-GB"/>
        </w:rPr>
        <w:t xml:space="preserve">. </w:t>
      </w:r>
      <w:r w:rsidR="00661F31">
        <w:rPr>
          <w:lang w:val="en-GB"/>
        </w:rPr>
        <w:t xml:space="preserve">The model </w:t>
      </w:r>
      <w:r w:rsidR="005467A4">
        <w:rPr>
          <w:lang w:val="en-GB"/>
        </w:rPr>
        <w:t>used</w:t>
      </w:r>
      <w:r w:rsidR="00661F31">
        <w:rPr>
          <w:lang w:val="en-GB"/>
        </w:rPr>
        <w:t xml:space="preserve"> a lifetime </w:t>
      </w:r>
      <w:r w:rsidR="005467A4">
        <w:rPr>
          <w:lang w:val="en-GB"/>
        </w:rPr>
        <w:t xml:space="preserve">time </w:t>
      </w:r>
      <w:r w:rsidR="00661F31">
        <w:rPr>
          <w:lang w:val="en-GB"/>
        </w:rPr>
        <w:t>horizon</w:t>
      </w:r>
      <w:r w:rsidR="00A57FED">
        <w:rPr>
          <w:lang w:val="en-GB"/>
        </w:rPr>
        <w:t>.</w:t>
      </w:r>
      <w:r w:rsidR="005467A4">
        <w:rPr>
          <w:lang w:val="en-GB"/>
        </w:rPr>
        <w:t xml:space="preserve"> </w:t>
      </w:r>
      <w:r w:rsidR="00444870">
        <w:rPr>
          <w:rFonts w:cs="Arial"/>
          <w:szCs w:val="24"/>
          <w:lang w:val="en-GB"/>
        </w:rPr>
        <w:t xml:space="preserve">People </w:t>
      </w:r>
      <w:r w:rsidR="00661F31">
        <w:rPr>
          <w:rFonts w:cs="Arial"/>
          <w:szCs w:val="24"/>
          <w:lang w:val="en-GB"/>
        </w:rPr>
        <w:t>entered</w:t>
      </w:r>
      <w:r w:rsidR="00224764" w:rsidRPr="00224764">
        <w:rPr>
          <w:rFonts w:cs="Arial"/>
          <w:szCs w:val="24"/>
          <w:lang w:val="en-GB"/>
        </w:rPr>
        <w:t xml:space="preserve"> the model</w:t>
      </w:r>
      <w:r w:rsidR="00661F31">
        <w:rPr>
          <w:rFonts w:cs="Arial"/>
          <w:szCs w:val="24"/>
          <w:lang w:val="en-GB"/>
        </w:rPr>
        <w:t xml:space="preserve"> in </w:t>
      </w:r>
      <w:r w:rsidR="003C06E4">
        <w:rPr>
          <w:rFonts w:cs="Arial"/>
          <w:szCs w:val="24"/>
          <w:lang w:val="en-GB"/>
        </w:rPr>
        <w:t xml:space="preserve">1 </w:t>
      </w:r>
      <w:r w:rsidR="00661F31">
        <w:rPr>
          <w:rFonts w:cs="Arial"/>
          <w:szCs w:val="24"/>
          <w:lang w:val="en-GB"/>
        </w:rPr>
        <w:t xml:space="preserve">of the </w:t>
      </w:r>
      <w:r w:rsidR="00444870">
        <w:rPr>
          <w:rFonts w:cs="Arial"/>
          <w:szCs w:val="24"/>
          <w:lang w:val="en-GB"/>
        </w:rPr>
        <w:t>2 </w:t>
      </w:r>
      <w:r w:rsidR="00661F31">
        <w:rPr>
          <w:rFonts w:cs="Arial"/>
          <w:szCs w:val="24"/>
          <w:lang w:val="en-GB"/>
        </w:rPr>
        <w:t xml:space="preserve">PFS states depending on </w:t>
      </w:r>
      <w:r w:rsidR="00AF3DB9">
        <w:rPr>
          <w:rFonts w:cs="Arial"/>
          <w:szCs w:val="24"/>
          <w:lang w:val="en-GB"/>
        </w:rPr>
        <w:t xml:space="preserve">the disease’s </w:t>
      </w:r>
      <w:r w:rsidR="00661F31">
        <w:rPr>
          <w:rFonts w:cs="Arial"/>
          <w:szCs w:val="24"/>
          <w:lang w:val="en-GB"/>
        </w:rPr>
        <w:t>initial response to treatment. They</w:t>
      </w:r>
      <w:r w:rsidR="00224764" w:rsidRPr="00224764">
        <w:rPr>
          <w:rFonts w:cs="Arial"/>
          <w:szCs w:val="24"/>
          <w:lang w:val="en-GB"/>
        </w:rPr>
        <w:t xml:space="preserve"> could move from PFS (sustained response) to PFS (lack or loss of response)</w:t>
      </w:r>
      <w:r w:rsidR="005467A4">
        <w:rPr>
          <w:rFonts w:cs="Arial"/>
          <w:szCs w:val="24"/>
          <w:lang w:val="en-GB"/>
        </w:rPr>
        <w:t>, informed by</w:t>
      </w:r>
      <w:r w:rsidR="00661F31">
        <w:rPr>
          <w:rFonts w:cs="Arial"/>
          <w:szCs w:val="24"/>
          <w:lang w:val="en-GB"/>
        </w:rPr>
        <w:t xml:space="preserve"> </w:t>
      </w:r>
      <w:r w:rsidR="00412CC7">
        <w:rPr>
          <w:rFonts w:cs="Arial"/>
          <w:szCs w:val="24"/>
          <w:lang w:val="en-GB"/>
        </w:rPr>
        <w:t xml:space="preserve">duration of response </w:t>
      </w:r>
      <w:r w:rsidR="005467A4">
        <w:rPr>
          <w:rFonts w:cs="Arial"/>
          <w:szCs w:val="24"/>
          <w:lang w:val="en-GB"/>
        </w:rPr>
        <w:t>data</w:t>
      </w:r>
      <w:r w:rsidR="00224764" w:rsidRPr="00224764">
        <w:rPr>
          <w:rFonts w:cs="Arial"/>
          <w:szCs w:val="24"/>
          <w:lang w:val="en-GB"/>
        </w:rPr>
        <w:t xml:space="preserve">. </w:t>
      </w:r>
      <w:r w:rsidR="00794AB9">
        <w:rPr>
          <w:lang w:val="en-GB"/>
        </w:rPr>
        <w:t xml:space="preserve">The </w:t>
      </w:r>
      <w:r w:rsidR="00794AB9" w:rsidRPr="00794AB9">
        <w:rPr>
          <w:szCs w:val="24"/>
          <w:lang w:val="en-GB"/>
        </w:rPr>
        <w:t>company fitted</w:t>
      </w:r>
      <w:r w:rsidR="00794AB9" w:rsidRPr="00224764">
        <w:rPr>
          <w:rFonts w:cs="Arial"/>
          <w:szCs w:val="24"/>
        </w:rPr>
        <w:t xml:space="preserve"> </w:t>
      </w:r>
      <w:bookmarkStart w:id="13" w:name="_Hlk41855153"/>
      <w:r w:rsidR="00DC0484" w:rsidRPr="00224764">
        <w:rPr>
          <w:rFonts w:cs="Arial"/>
          <w:szCs w:val="24"/>
          <w:lang w:val="en-GB"/>
        </w:rPr>
        <w:t xml:space="preserve">parametric curves </w:t>
      </w:r>
      <w:r w:rsidR="00794AB9" w:rsidRPr="00224764">
        <w:rPr>
          <w:rFonts w:cs="Arial"/>
          <w:szCs w:val="24"/>
        </w:rPr>
        <w:t xml:space="preserve">to </w:t>
      </w:r>
      <w:r w:rsidR="00794AB9" w:rsidRPr="00224764">
        <w:rPr>
          <w:rFonts w:cs="Arial"/>
          <w:szCs w:val="24"/>
          <w:lang w:val="en-GB"/>
        </w:rPr>
        <w:t>D2201</w:t>
      </w:r>
      <w:r w:rsidR="00794AB9" w:rsidRPr="00224764">
        <w:rPr>
          <w:rFonts w:cs="Arial"/>
          <w:szCs w:val="24"/>
        </w:rPr>
        <w:t xml:space="preserve"> </w:t>
      </w:r>
      <w:r w:rsidR="001D5890">
        <w:rPr>
          <w:rFonts w:cs="Arial"/>
          <w:szCs w:val="24"/>
          <w:lang w:val="en-GB"/>
        </w:rPr>
        <w:t>time-to-event</w:t>
      </w:r>
      <w:r w:rsidR="00A90D19" w:rsidRPr="00224764">
        <w:rPr>
          <w:rFonts w:cs="Arial"/>
          <w:szCs w:val="24"/>
          <w:lang w:val="en-GB"/>
        </w:rPr>
        <w:t xml:space="preserve"> data</w:t>
      </w:r>
      <w:bookmarkEnd w:id="13"/>
      <w:r w:rsidR="00A90D19" w:rsidRPr="00224764">
        <w:rPr>
          <w:rFonts w:cs="Arial"/>
          <w:szCs w:val="24"/>
          <w:lang w:val="en-GB"/>
        </w:rPr>
        <w:t xml:space="preserve"> to estimate </w:t>
      </w:r>
      <w:r w:rsidR="001D5890">
        <w:rPr>
          <w:rFonts w:cs="Arial"/>
          <w:szCs w:val="24"/>
          <w:lang w:val="en-GB"/>
        </w:rPr>
        <w:t xml:space="preserve">transition probabilities, and applied HRs from </w:t>
      </w:r>
      <w:r w:rsidR="00DC0484" w:rsidRPr="00224764">
        <w:rPr>
          <w:rFonts w:cs="Arial"/>
          <w:szCs w:val="24"/>
          <w:lang w:val="en-GB"/>
        </w:rPr>
        <w:t>Reiter</w:t>
      </w:r>
      <w:r w:rsidR="00AF3DB9">
        <w:rPr>
          <w:rFonts w:cs="Arial"/>
          <w:szCs w:val="24"/>
          <w:lang w:val="en-GB"/>
        </w:rPr>
        <w:t xml:space="preserve"> et al. </w:t>
      </w:r>
      <w:r w:rsidR="002C4723">
        <w:rPr>
          <w:rFonts w:cs="Arial"/>
          <w:szCs w:val="24"/>
          <w:lang w:val="en-GB"/>
        </w:rPr>
        <w:t>(</w:t>
      </w:r>
      <w:r w:rsidR="00A90D19" w:rsidRPr="00224764">
        <w:rPr>
          <w:rFonts w:cs="Arial"/>
          <w:szCs w:val="24"/>
          <w:lang w:val="en-GB"/>
        </w:rPr>
        <w:t xml:space="preserve">see </w:t>
      </w:r>
      <w:hyperlink w:anchor="_The_propensity_score" w:history="1">
        <w:r w:rsidR="00A90D19" w:rsidRPr="003C06E4">
          <w:rPr>
            <w:rStyle w:val="Hyperlink"/>
            <w:rFonts w:cs="Arial"/>
            <w:szCs w:val="24"/>
            <w:lang w:val="en-GB"/>
          </w:rPr>
          <w:t>section</w:t>
        </w:r>
        <w:r w:rsidR="003C06E4" w:rsidRPr="003C06E4">
          <w:rPr>
            <w:rStyle w:val="Hyperlink"/>
            <w:rFonts w:cs="Arial"/>
            <w:szCs w:val="24"/>
            <w:lang w:val="en-GB"/>
          </w:rPr>
          <w:t xml:space="preserve"> 3.5</w:t>
        </w:r>
      </w:hyperlink>
      <w:r w:rsidR="00A90D19" w:rsidRPr="00224764">
        <w:rPr>
          <w:rFonts w:cs="Arial"/>
          <w:szCs w:val="24"/>
          <w:lang w:val="en-GB"/>
        </w:rPr>
        <w:t>)</w:t>
      </w:r>
      <w:r w:rsidR="00DC0484" w:rsidRPr="00224764">
        <w:rPr>
          <w:rFonts w:cs="Arial"/>
          <w:szCs w:val="24"/>
          <w:lang w:val="en-GB"/>
        </w:rPr>
        <w:t xml:space="preserve"> to estimate </w:t>
      </w:r>
      <w:r w:rsidR="001D5890">
        <w:rPr>
          <w:rFonts w:cs="Arial"/>
          <w:szCs w:val="24"/>
          <w:lang w:val="en-GB"/>
        </w:rPr>
        <w:t>outcomes</w:t>
      </w:r>
      <w:r w:rsidR="001D5890" w:rsidRPr="00224764">
        <w:rPr>
          <w:rFonts w:cs="Arial"/>
          <w:szCs w:val="24"/>
          <w:lang w:val="en-GB"/>
        </w:rPr>
        <w:t xml:space="preserve"> </w:t>
      </w:r>
      <w:r w:rsidR="00DC0484" w:rsidRPr="00224764">
        <w:rPr>
          <w:rFonts w:cs="Arial"/>
          <w:szCs w:val="24"/>
          <w:lang w:val="en-GB"/>
        </w:rPr>
        <w:t>for current clinical management.</w:t>
      </w:r>
      <w:r w:rsidR="00B1424F" w:rsidRPr="00224764">
        <w:rPr>
          <w:rFonts w:cs="Arial"/>
          <w:szCs w:val="24"/>
          <w:lang w:val="en-GB"/>
        </w:rPr>
        <w:t xml:space="preserve"> </w:t>
      </w:r>
      <w:r w:rsidR="00A90D19" w:rsidRPr="00224764">
        <w:rPr>
          <w:rFonts w:cs="Arial"/>
          <w:szCs w:val="24"/>
          <w:lang w:val="en-GB"/>
        </w:rPr>
        <w:t xml:space="preserve">The ERG </w:t>
      </w:r>
      <w:r w:rsidR="001D5890">
        <w:rPr>
          <w:rFonts w:cs="Arial"/>
          <w:szCs w:val="24"/>
          <w:lang w:val="en-GB"/>
        </w:rPr>
        <w:t>advised that</w:t>
      </w:r>
      <w:r w:rsidR="001D5890" w:rsidRPr="00224764">
        <w:rPr>
          <w:rFonts w:cs="Arial"/>
          <w:szCs w:val="24"/>
          <w:lang w:val="en-GB"/>
        </w:rPr>
        <w:t xml:space="preserve"> </w:t>
      </w:r>
      <w:r w:rsidR="00A90D19" w:rsidRPr="00224764">
        <w:rPr>
          <w:rFonts w:cs="Arial"/>
          <w:szCs w:val="24"/>
          <w:lang w:val="en-GB"/>
        </w:rPr>
        <w:t xml:space="preserve">the </w:t>
      </w:r>
      <w:r w:rsidR="001D5890">
        <w:rPr>
          <w:rFonts w:cs="Arial"/>
          <w:szCs w:val="24"/>
          <w:lang w:val="en-GB"/>
        </w:rPr>
        <w:t>parametric</w:t>
      </w:r>
      <w:r w:rsidR="001D5890" w:rsidRPr="00224764">
        <w:rPr>
          <w:rFonts w:cs="Arial"/>
          <w:szCs w:val="24"/>
          <w:lang w:val="en-GB"/>
        </w:rPr>
        <w:t xml:space="preserve"> </w:t>
      </w:r>
      <w:r w:rsidR="00A90D19" w:rsidRPr="00224764">
        <w:rPr>
          <w:rFonts w:cs="Arial"/>
          <w:szCs w:val="24"/>
          <w:lang w:val="en-GB"/>
        </w:rPr>
        <w:t xml:space="preserve">curves </w:t>
      </w:r>
      <w:r w:rsidR="001D5890" w:rsidRPr="00224764">
        <w:rPr>
          <w:rFonts w:cs="Arial"/>
          <w:szCs w:val="24"/>
          <w:lang w:val="en-GB"/>
        </w:rPr>
        <w:t>for midostaurin</w:t>
      </w:r>
      <w:r w:rsidR="001D5890">
        <w:rPr>
          <w:rFonts w:cs="Arial"/>
          <w:szCs w:val="24"/>
          <w:lang w:val="en-GB"/>
        </w:rPr>
        <w:t xml:space="preserve"> had been </w:t>
      </w:r>
      <w:r w:rsidR="00A90D19" w:rsidRPr="00224764">
        <w:rPr>
          <w:rFonts w:cs="Arial"/>
          <w:szCs w:val="24"/>
          <w:lang w:val="en-GB"/>
        </w:rPr>
        <w:t>selected</w:t>
      </w:r>
      <w:r w:rsidR="001D5890">
        <w:rPr>
          <w:rFonts w:cs="Arial"/>
          <w:szCs w:val="24"/>
          <w:lang w:val="en-GB"/>
        </w:rPr>
        <w:t xml:space="preserve"> appropriately and appeared to be reasonable</w:t>
      </w:r>
      <w:r w:rsidR="00A90D19" w:rsidRPr="00224764">
        <w:rPr>
          <w:rFonts w:cs="Arial"/>
          <w:szCs w:val="24"/>
          <w:lang w:val="en-GB"/>
        </w:rPr>
        <w:t xml:space="preserve">. </w:t>
      </w:r>
      <w:r w:rsidR="00224764" w:rsidRPr="00224764">
        <w:rPr>
          <w:rFonts w:cs="Arial"/>
          <w:szCs w:val="24"/>
          <w:lang w:val="en-GB"/>
        </w:rPr>
        <w:t xml:space="preserve">The committee concluded that </w:t>
      </w:r>
      <w:r w:rsidR="00505906">
        <w:rPr>
          <w:rFonts w:cs="Arial"/>
          <w:szCs w:val="24"/>
          <w:lang w:val="en-GB"/>
        </w:rPr>
        <w:t xml:space="preserve">company’s </w:t>
      </w:r>
      <w:r w:rsidR="00224764" w:rsidRPr="00224764">
        <w:rPr>
          <w:rFonts w:cs="Arial"/>
          <w:szCs w:val="24"/>
          <w:lang w:val="en-GB"/>
        </w:rPr>
        <w:t xml:space="preserve">economic model </w:t>
      </w:r>
      <w:r w:rsidR="001D5890">
        <w:rPr>
          <w:rFonts w:cs="Arial"/>
          <w:szCs w:val="24"/>
          <w:lang w:val="en-GB"/>
        </w:rPr>
        <w:t>wa</w:t>
      </w:r>
      <w:r w:rsidR="00224764" w:rsidRPr="00224764">
        <w:rPr>
          <w:rFonts w:cs="Arial"/>
          <w:szCs w:val="24"/>
          <w:lang w:val="en-GB"/>
        </w:rPr>
        <w:t>s broadly acceptable for decision making.</w:t>
      </w:r>
      <w:bookmarkEnd w:id="12"/>
    </w:p>
    <w:p w14:paraId="4B79A134" w14:textId="39F4C787" w:rsidR="00643582" w:rsidRDefault="003207B9" w:rsidP="0073007E">
      <w:pPr>
        <w:pStyle w:val="Heading3"/>
      </w:pPr>
      <w:bookmarkStart w:id="14" w:name="_The_model_should"/>
      <w:bookmarkEnd w:id="14"/>
      <w:r>
        <w:t xml:space="preserve">The model should use </w:t>
      </w:r>
      <w:r w:rsidR="00114DEE">
        <w:t>1</w:t>
      </w:r>
      <w:r>
        <w:t xml:space="preserve"> health state</w:t>
      </w:r>
      <w:r w:rsidR="008B744D">
        <w:t xml:space="preserve"> with a single utility value</w:t>
      </w:r>
      <w:r>
        <w:t xml:space="preserve"> for p</w:t>
      </w:r>
      <w:r w:rsidR="00894BD8">
        <w:t xml:space="preserve">rogression-free </w:t>
      </w:r>
      <w:r w:rsidR="0049491F">
        <w:t>survival</w:t>
      </w:r>
    </w:p>
    <w:p w14:paraId="71510E0D" w14:textId="666ABF8A" w:rsidR="00894BD8" w:rsidRDefault="000E2A62" w:rsidP="00085F52">
      <w:pPr>
        <w:pStyle w:val="Numberedlevel2text"/>
        <w:rPr>
          <w:rFonts w:cs="Arial"/>
        </w:rPr>
      </w:pPr>
      <w:bookmarkStart w:id="15" w:name="_Ref50026921"/>
      <w:r>
        <w:rPr>
          <w:lang w:val="en-GB"/>
        </w:rPr>
        <w:t xml:space="preserve">The company’s model partitioned </w:t>
      </w:r>
      <w:r w:rsidR="00A34AE7">
        <w:rPr>
          <w:lang w:val="en-GB"/>
        </w:rPr>
        <w:t>PFS</w:t>
      </w:r>
      <w:r>
        <w:rPr>
          <w:lang w:val="en-GB"/>
        </w:rPr>
        <w:t xml:space="preserve"> by response status (see </w:t>
      </w:r>
      <w:hyperlink w:anchor="_The_company’s_economic" w:history="1">
        <w:r w:rsidRPr="009300E9">
          <w:rPr>
            <w:rStyle w:val="Hyperlink"/>
            <w:lang w:val="en-GB"/>
          </w:rPr>
          <w:t>section</w:t>
        </w:r>
        <w:r w:rsidR="009300E9" w:rsidRPr="009300E9">
          <w:rPr>
            <w:rStyle w:val="Hyperlink"/>
            <w:lang w:val="en-GB"/>
          </w:rPr>
          <w:t xml:space="preserve"> 3.6</w:t>
        </w:r>
      </w:hyperlink>
      <w:r>
        <w:rPr>
          <w:lang w:val="en-GB"/>
        </w:rPr>
        <w:t>), t</w:t>
      </w:r>
      <w:r w:rsidR="006B2A9F">
        <w:rPr>
          <w:lang w:val="en-GB"/>
        </w:rPr>
        <w:t>o</w:t>
      </w:r>
      <w:r>
        <w:rPr>
          <w:lang w:val="en-GB"/>
        </w:rPr>
        <w:t xml:space="preserve"> allow the utility value with progression-free disease to differ depending on response to treatment.</w:t>
      </w:r>
      <w:r>
        <w:t xml:space="preserve"> </w:t>
      </w:r>
      <w:r>
        <w:rPr>
          <w:lang w:val="en-GB"/>
        </w:rPr>
        <w:t xml:space="preserve">The company stated that this </w:t>
      </w:r>
      <w:r w:rsidR="00AE3512">
        <w:t>was supported by clinical advice</w:t>
      </w:r>
      <w:r w:rsidR="00AE3512" w:rsidRPr="00AE3512">
        <w:t xml:space="preserve"> that quality of life </w:t>
      </w:r>
      <w:r w:rsidR="004443F7">
        <w:rPr>
          <w:lang w:val="en-GB"/>
        </w:rPr>
        <w:t>is affected by</w:t>
      </w:r>
      <w:r w:rsidR="004443F7" w:rsidRPr="00AE3512">
        <w:t xml:space="preserve"> </w:t>
      </w:r>
      <w:r w:rsidR="00AE3512" w:rsidRPr="00AE3512">
        <w:t xml:space="preserve">treatment response. </w:t>
      </w:r>
      <w:r w:rsidR="009B5D66" w:rsidRPr="00AE3512">
        <w:rPr>
          <w:rFonts w:cs="Arial"/>
        </w:rPr>
        <w:t xml:space="preserve">The ERG </w:t>
      </w:r>
      <w:r w:rsidR="00AE3512">
        <w:rPr>
          <w:rFonts w:cs="Arial"/>
        </w:rPr>
        <w:t>recognised</w:t>
      </w:r>
      <w:r w:rsidR="009B5D66" w:rsidRPr="00AE3512">
        <w:rPr>
          <w:rFonts w:cs="Arial"/>
        </w:rPr>
        <w:t xml:space="preserve"> that </w:t>
      </w:r>
      <w:r w:rsidR="004443F7">
        <w:rPr>
          <w:rFonts w:cs="Arial"/>
          <w:lang w:val="en-GB"/>
        </w:rPr>
        <w:t>PFS</w:t>
      </w:r>
      <w:r w:rsidR="009B5D66" w:rsidRPr="00AE3512">
        <w:rPr>
          <w:rFonts w:cs="Arial"/>
        </w:rPr>
        <w:t xml:space="preserve"> may be different for</w:t>
      </w:r>
      <w:r w:rsidR="00AF3DB9">
        <w:rPr>
          <w:rFonts w:cs="Arial"/>
          <w:lang w:val="en-GB"/>
        </w:rPr>
        <w:t xml:space="preserve"> people whose disease responded</w:t>
      </w:r>
      <w:r w:rsidR="009B5D66" w:rsidRPr="00AE3512">
        <w:rPr>
          <w:rFonts w:cs="Arial"/>
        </w:rPr>
        <w:t xml:space="preserve"> and </w:t>
      </w:r>
      <w:r w:rsidR="00AF3DB9">
        <w:rPr>
          <w:rFonts w:cs="Arial"/>
          <w:lang w:val="en-GB"/>
        </w:rPr>
        <w:t>those whose disease did not</w:t>
      </w:r>
      <w:r w:rsidR="009B5D66" w:rsidRPr="00AE3512">
        <w:rPr>
          <w:rFonts w:cs="Arial"/>
        </w:rPr>
        <w:t xml:space="preserve">, based on the trial data. However, it had concerns </w:t>
      </w:r>
      <w:r w:rsidR="00CE6D8E">
        <w:rPr>
          <w:rFonts w:cs="Arial"/>
          <w:lang w:val="en-GB"/>
        </w:rPr>
        <w:t>about</w:t>
      </w:r>
      <w:r w:rsidR="00CE6D8E" w:rsidRPr="00AE3512">
        <w:rPr>
          <w:rFonts w:cs="Arial"/>
        </w:rPr>
        <w:t xml:space="preserve"> </w:t>
      </w:r>
      <w:r w:rsidR="009B5D66" w:rsidRPr="00AE3512">
        <w:rPr>
          <w:rFonts w:cs="Arial"/>
        </w:rPr>
        <w:t xml:space="preserve">the reliability of the response rate and duration data used by the company to partition the progression-free health </w:t>
      </w:r>
      <w:r w:rsidR="00894BD8" w:rsidRPr="00AE3512">
        <w:rPr>
          <w:rFonts w:cs="Arial"/>
        </w:rPr>
        <w:t>state</w:t>
      </w:r>
      <w:r w:rsidR="00CE6D8E">
        <w:rPr>
          <w:rFonts w:cs="Arial"/>
          <w:lang w:val="en-GB"/>
        </w:rPr>
        <w:t>. It</w:t>
      </w:r>
      <w:r w:rsidR="00CE6D8E" w:rsidRPr="00AE3512">
        <w:rPr>
          <w:rFonts w:cs="Arial"/>
        </w:rPr>
        <w:t xml:space="preserve"> </w:t>
      </w:r>
      <w:r w:rsidR="009B5D66" w:rsidRPr="00AE3512">
        <w:rPr>
          <w:rFonts w:cs="Arial"/>
        </w:rPr>
        <w:t xml:space="preserve">considered that </w:t>
      </w:r>
      <w:r w:rsidR="004443F7">
        <w:rPr>
          <w:rFonts w:cs="Arial"/>
          <w:lang w:val="en-GB"/>
        </w:rPr>
        <w:t>the data</w:t>
      </w:r>
      <w:r w:rsidR="004443F7" w:rsidRPr="00AE3512">
        <w:rPr>
          <w:rFonts w:cs="Arial"/>
        </w:rPr>
        <w:t xml:space="preserve"> </w:t>
      </w:r>
      <w:r w:rsidR="009B5D66" w:rsidRPr="00AE3512">
        <w:rPr>
          <w:rFonts w:cs="Arial"/>
        </w:rPr>
        <w:t xml:space="preserve">were not appropriate for this purpose. The ERG also </w:t>
      </w:r>
      <w:r w:rsidR="004443F7">
        <w:rPr>
          <w:rFonts w:cs="Arial"/>
          <w:lang w:val="en-GB"/>
        </w:rPr>
        <w:t>advised that</w:t>
      </w:r>
      <w:r w:rsidR="004443F7" w:rsidRPr="00AE3512">
        <w:rPr>
          <w:rFonts w:cs="Arial"/>
        </w:rPr>
        <w:t xml:space="preserve"> </w:t>
      </w:r>
      <w:r w:rsidR="009B5D66" w:rsidRPr="00AE3512">
        <w:rPr>
          <w:rFonts w:cs="Arial"/>
        </w:rPr>
        <w:t xml:space="preserve">it is </w:t>
      </w:r>
      <w:r w:rsidR="004443F7">
        <w:rPr>
          <w:rFonts w:cs="Arial"/>
          <w:lang w:val="en-GB"/>
        </w:rPr>
        <w:t>inconsistent</w:t>
      </w:r>
      <w:r w:rsidR="009B5D66" w:rsidRPr="00AE3512">
        <w:rPr>
          <w:rFonts w:cs="Arial"/>
        </w:rPr>
        <w:t xml:space="preserve"> to partition </w:t>
      </w:r>
      <w:r w:rsidR="004443F7">
        <w:rPr>
          <w:rFonts w:cs="Arial"/>
          <w:lang w:val="en-GB"/>
        </w:rPr>
        <w:t>PFS</w:t>
      </w:r>
      <w:r w:rsidR="009B5D66" w:rsidRPr="00AE3512">
        <w:rPr>
          <w:rFonts w:cs="Arial"/>
        </w:rPr>
        <w:t xml:space="preserve"> </w:t>
      </w:r>
      <w:r w:rsidR="004443F7">
        <w:rPr>
          <w:rFonts w:cs="Arial"/>
          <w:lang w:val="en-GB"/>
        </w:rPr>
        <w:t xml:space="preserve">by response status </w:t>
      </w:r>
      <w:r w:rsidR="009B5D66" w:rsidRPr="00AE3512">
        <w:rPr>
          <w:rFonts w:cs="Arial"/>
        </w:rPr>
        <w:t xml:space="preserve">without similarly partitioning </w:t>
      </w:r>
      <w:r w:rsidR="00CE6D8E">
        <w:rPr>
          <w:rFonts w:cs="Arial"/>
          <w:lang w:val="en-GB"/>
        </w:rPr>
        <w:t>OS</w:t>
      </w:r>
      <w:r w:rsidR="004443F7">
        <w:rPr>
          <w:rFonts w:cs="Arial"/>
          <w:lang w:val="en-GB"/>
        </w:rPr>
        <w:t xml:space="preserve">, because the trial data </w:t>
      </w:r>
      <w:r w:rsidR="004443F7">
        <w:rPr>
          <w:rFonts w:cs="Arial"/>
          <w:lang w:val="en-GB"/>
        </w:rPr>
        <w:lastRenderedPageBreak/>
        <w:t xml:space="preserve">also suggested that </w:t>
      </w:r>
      <w:r w:rsidR="00AF3DB9">
        <w:rPr>
          <w:rFonts w:cs="Arial"/>
          <w:lang w:val="en-GB"/>
        </w:rPr>
        <w:t>OS</w:t>
      </w:r>
      <w:r w:rsidR="004443F7">
        <w:rPr>
          <w:rFonts w:cs="Arial"/>
          <w:lang w:val="en-GB"/>
        </w:rPr>
        <w:t xml:space="preserve"> was affected by treatment response</w:t>
      </w:r>
      <w:r w:rsidR="009B5D66" w:rsidRPr="00AE3512">
        <w:rPr>
          <w:rFonts w:cs="Arial"/>
        </w:rPr>
        <w:t>.</w:t>
      </w:r>
      <w:r w:rsidR="006761AE">
        <w:rPr>
          <w:rFonts w:cs="Arial"/>
        </w:rPr>
        <w:t xml:space="preserve"> </w:t>
      </w:r>
      <w:r w:rsidR="004443F7">
        <w:rPr>
          <w:rFonts w:eastAsiaTheme="minorEastAsia"/>
          <w:lang w:val="en-GB"/>
        </w:rPr>
        <w:t xml:space="preserve">In response to technical engagement, </w:t>
      </w:r>
      <w:proofErr w:type="spellStart"/>
      <w:r w:rsidR="004443F7">
        <w:rPr>
          <w:rFonts w:cs="Arial"/>
          <w:lang w:val="en-GB"/>
        </w:rPr>
        <w:t>t</w:t>
      </w:r>
      <w:r w:rsidR="00AE3512">
        <w:rPr>
          <w:rFonts w:cs="Arial"/>
        </w:rPr>
        <w:t>he</w:t>
      </w:r>
      <w:proofErr w:type="spellEnd"/>
      <w:r w:rsidR="00AE3512">
        <w:rPr>
          <w:rFonts w:cs="Arial"/>
        </w:rPr>
        <w:t xml:space="preserve"> company provide</w:t>
      </w:r>
      <w:r w:rsidR="004443F7">
        <w:rPr>
          <w:rFonts w:cs="Arial"/>
          <w:lang w:val="en-GB"/>
        </w:rPr>
        <w:t>d</w:t>
      </w:r>
      <w:r w:rsidR="00AE3512">
        <w:rPr>
          <w:rFonts w:cs="Arial"/>
        </w:rPr>
        <w:t xml:space="preserve"> a revised analysis using a single</w:t>
      </w:r>
      <w:r w:rsidR="004443F7">
        <w:rPr>
          <w:rFonts w:cs="Arial"/>
          <w:lang w:val="en-GB"/>
        </w:rPr>
        <w:t xml:space="preserve"> utility value for the</w:t>
      </w:r>
      <w:r w:rsidR="00AE3512">
        <w:rPr>
          <w:rFonts w:cs="Arial"/>
        </w:rPr>
        <w:t xml:space="preserve"> progression-free health state.</w:t>
      </w:r>
      <w:r w:rsidR="006761AE">
        <w:rPr>
          <w:rFonts w:cs="Arial"/>
        </w:rPr>
        <w:t xml:space="preserve"> </w:t>
      </w:r>
      <w:r w:rsidR="00AE3512">
        <w:rPr>
          <w:rFonts w:cs="Arial"/>
        </w:rPr>
        <w:t xml:space="preserve">The committee recognised the limitations </w:t>
      </w:r>
      <w:r w:rsidR="00CE6D8E">
        <w:rPr>
          <w:rFonts w:cs="Arial"/>
          <w:lang w:val="en-GB"/>
        </w:rPr>
        <w:t>of</w:t>
      </w:r>
      <w:r w:rsidR="00CE6D8E">
        <w:rPr>
          <w:rFonts w:cs="Arial"/>
        </w:rPr>
        <w:t xml:space="preserve"> </w:t>
      </w:r>
      <w:r w:rsidR="00AE3512">
        <w:rPr>
          <w:rFonts w:cs="Arial"/>
        </w:rPr>
        <w:t>the data</w:t>
      </w:r>
      <w:r w:rsidR="00894BD8">
        <w:rPr>
          <w:rFonts w:cs="Arial"/>
        </w:rPr>
        <w:t xml:space="preserve"> for partitioning</w:t>
      </w:r>
      <w:r w:rsidR="0049491F">
        <w:rPr>
          <w:rFonts w:cs="Arial"/>
          <w:lang w:val="en-GB"/>
        </w:rPr>
        <w:t xml:space="preserve"> PFS</w:t>
      </w:r>
      <w:r w:rsidR="00894BD8">
        <w:rPr>
          <w:rFonts w:cs="Arial"/>
        </w:rPr>
        <w:t xml:space="preserve"> and the inconsistency in not partitioning </w:t>
      </w:r>
      <w:r w:rsidR="00A34AE7">
        <w:rPr>
          <w:rFonts w:cs="Arial"/>
        </w:rPr>
        <w:t>OS</w:t>
      </w:r>
      <w:r w:rsidR="00894BD8">
        <w:rPr>
          <w:rFonts w:cs="Arial"/>
        </w:rPr>
        <w:t xml:space="preserve">. </w:t>
      </w:r>
      <w:r w:rsidR="004443F7">
        <w:rPr>
          <w:rFonts w:cs="Arial"/>
          <w:lang w:val="en-GB"/>
        </w:rPr>
        <w:t xml:space="preserve">It </w:t>
      </w:r>
      <w:r w:rsidR="000F6289">
        <w:rPr>
          <w:rFonts w:cs="Arial"/>
          <w:lang w:val="en-GB"/>
        </w:rPr>
        <w:t xml:space="preserve">agreed </w:t>
      </w:r>
      <w:r w:rsidR="004443F7">
        <w:rPr>
          <w:rFonts w:cs="Arial"/>
          <w:lang w:val="en-GB"/>
        </w:rPr>
        <w:t xml:space="preserve">that partitioning </w:t>
      </w:r>
      <w:r w:rsidR="00A34AE7">
        <w:rPr>
          <w:rFonts w:cs="Arial"/>
          <w:lang w:val="en-GB"/>
        </w:rPr>
        <w:t>OS</w:t>
      </w:r>
      <w:r w:rsidR="004443F7">
        <w:rPr>
          <w:rFonts w:cs="Arial"/>
          <w:lang w:val="en-GB"/>
        </w:rPr>
        <w:t xml:space="preserve"> would increase the model’s reliance on uncertain response data.</w:t>
      </w:r>
      <w:r w:rsidR="00224764">
        <w:rPr>
          <w:rFonts w:cs="Arial"/>
          <w:lang w:val="en-GB"/>
        </w:rPr>
        <w:t xml:space="preserve"> </w:t>
      </w:r>
      <w:r w:rsidR="00894BD8">
        <w:rPr>
          <w:rFonts w:cs="Arial"/>
        </w:rPr>
        <w:t xml:space="preserve">Therefore, the committee </w:t>
      </w:r>
      <w:r w:rsidR="004443F7">
        <w:rPr>
          <w:rFonts w:cs="Arial"/>
          <w:lang w:val="en-GB"/>
        </w:rPr>
        <w:t xml:space="preserve">concluded that the model should </w:t>
      </w:r>
      <w:r w:rsidR="003207B9">
        <w:rPr>
          <w:rFonts w:cs="Arial"/>
          <w:lang w:val="en-GB"/>
        </w:rPr>
        <w:t xml:space="preserve">have </w:t>
      </w:r>
      <w:r w:rsidR="00444870">
        <w:rPr>
          <w:rFonts w:cs="Arial"/>
          <w:lang w:val="en-GB"/>
        </w:rPr>
        <w:t>1 </w:t>
      </w:r>
      <w:r w:rsidR="003207B9">
        <w:rPr>
          <w:rFonts w:cs="Arial"/>
          <w:lang w:val="en-GB"/>
        </w:rPr>
        <w:t>PFS health state, with a single utility value from the company’s revised analysis.</w:t>
      </w:r>
      <w:r w:rsidR="00B3054B">
        <w:rPr>
          <w:rFonts w:cs="Arial"/>
          <w:lang w:val="en-GB"/>
        </w:rPr>
        <w:t xml:space="preserve"> </w:t>
      </w:r>
      <w:bookmarkEnd w:id="15"/>
      <w:r w:rsidR="00AE3512">
        <w:rPr>
          <w:rFonts w:cs="Arial"/>
        </w:rPr>
        <w:t xml:space="preserve"> </w:t>
      </w:r>
    </w:p>
    <w:p w14:paraId="14C4FE16" w14:textId="473ED92A" w:rsidR="00077565" w:rsidRDefault="00077565" w:rsidP="00077565">
      <w:pPr>
        <w:pStyle w:val="Heading3"/>
      </w:pPr>
      <w:bookmarkStart w:id="16" w:name="_The_utility_estimates"/>
      <w:bookmarkEnd w:id="16"/>
      <w:r>
        <w:t xml:space="preserve">The </w:t>
      </w:r>
      <w:r w:rsidR="003207B9">
        <w:t>utility estimates might not capture the full</w:t>
      </w:r>
      <w:r w:rsidR="00554A82">
        <w:t xml:space="preserve"> effect o</w:t>
      </w:r>
      <w:r w:rsidR="00855529">
        <w:t>f</w:t>
      </w:r>
      <w:r w:rsidR="00554A82">
        <w:t xml:space="preserve"> midostaurin on</w:t>
      </w:r>
      <w:r>
        <w:t xml:space="preserve"> quality of life </w:t>
      </w:r>
    </w:p>
    <w:p w14:paraId="10A0322D" w14:textId="7407D2C4" w:rsidR="00077565" w:rsidRPr="00077565" w:rsidRDefault="00077565" w:rsidP="00502F37">
      <w:pPr>
        <w:pStyle w:val="Numberedlevel2text"/>
      </w:pPr>
      <w:bookmarkStart w:id="17" w:name="_Ref50031132"/>
      <w:r>
        <w:t xml:space="preserve">The committee </w:t>
      </w:r>
      <w:r w:rsidR="0089110B">
        <w:rPr>
          <w:lang w:val="en-GB"/>
        </w:rPr>
        <w:t xml:space="preserve">noted that the utility values used in the model had been derived from the </w:t>
      </w:r>
      <w:r w:rsidR="00312681">
        <w:rPr>
          <w:lang w:val="en-GB"/>
        </w:rPr>
        <w:t xml:space="preserve">single-arm </w:t>
      </w:r>
      <w:r w:rsidR="0089110B">
        <w:rPr>
          <w:lang w:val="en-GB"/>
        </w:rPr>
        <w:t xml:space="preserve">D2201 trial, </w:t>
      </w:r>
      <w:r w:rsidR="00554A82">
        <w:rPr>
          <w:lang w:val="en-GB"/>
        </w:rPr>
        <w:t>so</w:t>
      </w:r>
      <w:r w:rsidR="0089110B">
        <w:rPr>
          <w:lang w:val="en-GB"/>
        </w:rPr>
        <w:t xml:space="preserve"> it had not seen </w:t>
      </w:r>
      <w:r w:rsidR="0089110B">
        <w:t>quality of life</w:t>
      </w:r>
      <w:r w:rsidR="0089110B">
        <w:rPr>
          <w:lang w:val="en-GB"/>
        </w:rPr>
        <w:t xml:space="preserve"> evidence</w:t>
      </w:r>
      <w:r w:rsidR="0089110B">
        <w:t xml:space="preserve"> </w:t>
      </w:r>
      <w:r w:rsidR="0089110B">
        <w:rPr>
          <w:lang w:val="en-GB"/>
        </w:rPr>
        <w:t xml:space="preserve">from people </w:t>
      </w:r>
      <w:r w:rsidR="00554A82">
        <w:rPr>
          <w:lang w:val="en-GB"/>
        </w:rPr>
        <w:t>having</w:t>
      </w:r>
      <w:r w:rsidR="0089110B">
        <w:rPr>
          <w:lang w:val="en-GB"/>
        </w:rPr>
        <w:t xml:space="preserve"> current clinical management</w:t>
      </w:r>
      <w:r w:rsidR="002243BD">
        <w:t xml:space="preserve">. </w:t>
      </w:r>
      <w:r w:rsidR="0089110B">
        <w:rPr>
          <w:lang w:val="en-GB"/>
        </w:rPr>
        <w:t xml:space="preserve">It recalled that advanced systemic mastocytosis often has </w:t>
      </w:r>
      <w:r w:rsidR="00A75347">
        <w:rPr>
          <w:lang w:val="en-GB"/>
        </w:rPr>
        <w:t>a major</w:t>
      </w:r>
      <w:r w:rsidR="0089110B">
        <w:rPr>
          <w:lang w:val="en-GB"/>
        </w:rPr>
        <w:t xml:space="preserve"> debilitating effect on a person’s life (see </w:t>
      </w:r>
      <w:hyperlink w:anchor="_People_with_advanced" w:history="1">
        <w:r w:rsidR="0089110B" w:rsidRPr="007469C9">
          <w:rPr>
            <w:rStyle w:val="Hyperlink"/>
            <w:lang w:val="en-GB"/>
          </w:rPr>
          <w:t>section</w:t>
        </w:r>
        <w:r w:rsidR="007469C9" w:rsidRPr="007469C9">
          <w:rPr>
            <w:rStyle w:val="Hyperlink"/>
            <w:lang w:val="en-GB"/>
          </w:rPr>
          <w:t xml:space="preserve"> 3.1</w:t>
        </w:r>
      </w:hyperlink>
      <w:r w:rsidR="0089110B">
        <w:rPr>
          <w:lang w:val="en-GB"/>
        </w:rPr>
        <w:t xml:space="preserve">). </w:t>
      </w:r>
      <w:r w:rsidR="002243BD">
        <w:t xml:space="preserve">The patient experts </w:t>
      </w:r>
      <w:r w:rsidR="0089110B">
        <w:rPr>
          <w:lang w:val="en-GB"/>
        </w:rPr>
        <w:t>advised that the quality of life improvement after starting treatment with midostaurin was rapid and substantial</w:t>
      </w:r>
      <w:r w:rsidR="00554A82">
        <w:rPr>
          <w:lang w:val="en-GB"/>
        </w:rPr>
        <w:t xml:space="preserve">. </w:t>
      </w:r>
      <w:r w:rsidR="00CE6D8E">
        <w:rPr>
          <w:lang w:val="en-GB"/>
        </w:rPr>
        <w:t>One patient expert</w:t>
      </w:r>
      <w:r w:rsidR="00554A82">
        <w:rPr>
          <w:lang w:val="en-GB"/>
        </w:rPr>
        <w:t xml:space="preserve"> explained that they had</w:t>
      </w:r>
      <w:r w:rsidR="0089110B">
        <w:t xml:space="preserve"> </w:t>
      </w:r>
      <w:r w:rsidR="002243BD">
        <w:t xml:space="preserve">beneficial effects </w:t>
      </w:r>
      <w:r w:rsidR="0089110B">
        <w:rPr>
          <w:lang w:val="en-GB"/>
        </w:rPr>
        <w:t>after</w:t>
      </w:r>
      <w:r w:rsidR="0089110B">
        <w:t xml:space="preserve"> </w:t>
      </w:r>
      <w:r w:rsidR="00554A82">
        <w:rPr>
          <w:lang w:val="en-GB"/>
        </w:rPr>
        <w:t>1 </w:t>
      </w:r>
      <w:r w:rsidR="002243BD">
        <w:t xml:space="preserve">week of starting </w:t>
      </w:r>
      <w:r w:rsidR="0089110B">
        <w:rPr>
          <w:lang w:val="en-GB"/>
        </w:rPr>
        <w:t xml:space="preserve">treatment, and up to </w:t>
      </w:r>
      <w:r w:rsidR="00554A82">
        <w:rPr>
          <w:lang w:val="en-GB"/>
        </w:rPr>
        <w:t>10 </w:t>
      </w:r>
      <w:r w:rsidR="002243BD">
        <w:t xml:space="preserve">hours of normal life </w:t>
      </w:r>
      <w:r w:rsidR="0089110B">
        <w:rPr>
          <w:lang w:val="en-GB"/>
        </w:rPr>
        <w:t xml:space="preserve">per day </w:t>
      </w:r>
      <w:r w:rsidR="002243BD">
        <w:t xml:space="preserve">after </w:t>
      </w:r>
      <w:r w:rsidR="00554A82">
        <w:rPr>
          <w:lang w:val="en-GB"/>
        </w:rPr>
        <w:t>1 </w:t>
      </w:r>
      <w:r w:rsidR="002243BD">
        <w:t xml:space="preserve">month of treatment. The clinical experts also reiterated the </w:t>
      </w:r>
      <w:r w:rsidR="0089110B">
        <w:rPr>
          <w:lang w:val="en-GB"/>
        </w:rPr>
        <w:t>large</w:t>
      </w:r>
      <w:r w:rsidR="0089110B">
        <w:t xml:space="preserve"> </w:t>
      </w:r>
      <w:r w:rsidR="002243BD">
        <w:t>improvement in quality of life with midostaurin</w:t>
      </w:r>
      <w:r w:rsidR="00CC5083">
        <w:rPr>
          <w:lang w:val="en-GB"/>
        </w:rPr>
        <w:t>. They</w:t>
      </w:r>
      <w:r w:rsidR="0089110B">
        <w:rPr>
          <w:lang w:val="en-GB"/>
        </w:rPr>
        <w:t xml:space="preserve"> advised </w:t>
      </w:r>
      <w:r w:rsidR="002243BD">
        <w:t xml:space="preserve">that there is very little comparator quality of life data available </w:t>
      </w:r>
      <w:r w:rsidR="00CE6D8E">
        <w:rPr>
          <w:lang w:val="en-GB"/>
        </w:rPr>
        <w:t>because</w:t>
      </w:r>
      <w:r w:rsidR="00CE6D8E">
        <w:t xml:space="preserve"> </w:t>
      </w:r>
      <w:r w:rsidR="002243BD">
        <w:t xml:space="preserve">midostaurin is increasingly being used </w:t>
      </w:r>
      <w:r w:rsidR="00CE6D8E">
        <w:rPr>
          <w:lang w:val="en-GB"/>
        </w:rPr>
        <w:t>before</w:t>
      </w:r>
      <w:r w:rsidR="00CE6D8E">
        <w:t xml:space="preserve"> </w:t>
      </w:r>
      <w:r w:rsidR="002243BD">
        <w:t>other treatments</w:t>
      </w:r>
      <w:r w:rsidR="00A47250">
        <w:rPr>
          <w:lang w:val="en-GB"/>
        </w:rPr>
        <w:t xml:space="preserve"> in other countries</w:t>
      </w:r>
      <w:r w:rsidR="002243BD">
        <w:t xml:space="preserve">. The committee </w:t>
      </w:r>
      <w:r w:rsidR="0089110B">
        <w:rPr>
          <w:lang w:val="en-GB"/>
        </w:rPr>
        <w:t xml:space="preserve">considered that, </w:t>
      </w:r>
      <w:r w:rsidR="00312681">
        <w:rPr>
          <w:lang w:val="en-GB"/>
        </w:rPr>
        <w:t>although</w:t>
      </w:r>
      <w:r w:rsidR="0089110B">
        <w:rPr>
          <w:lang w:val="en-GB"/>
        </w:rPr>
        <w:t xml:space="preserve"> it </w:t>
      </w:r>
      <w:r w:rsidR="00312681">
        <w:rPr>
          <w:lang w:val="en-GB"/>
        </w:rPr>
        <w:t xml:space="preserve">had </w:t>
      </w:r>
      <w:r w:rsidR="0089110B">
        <w:rPr>
          <w:lang w:val="en-GB"/>
        </w:rPr>
        <w:t xml:space="preserve">not seen quality of life evidence directly related to current clinical management, it is likely that the utility estimates </w:t>
      </w:r>
      <w:r w:rsidR="00312681">
        <w:rPr>
          <w:lang w:val="en-GB"/>
        </w:rPr>
        <w:t xml:space="preserve">used in the model </w:t>
      </w:r>
      <w:r w:rsidR="0089110B">
        <w:rPr>
          <w:lang w:val="en-GB"/>
        </w:rPr>
        <w:t xml:space="preserve">did not capture all of the benefits </w:t>
      </w:r>
      <w:r w:rsidR="00CE6D8E">
        <w:rPr>
          <w:lang w:val="en-GB"/>
        </w:rPr>
        <w:t>of</w:t>
      </w:r>
      <w:r w:rsidR="0089110B">
        <w:rPr>
          <w:lang w:val="en-GB"/>
        </w:rPr>
        <w:t xml:space="preserve"> midostaurin that had been described by the patient and clinical experts.</w:t>
      </w:r>
      <w:r w:rsidR="00312681">
        <w:rPr>
          <w:lang w:val="en-GB"/>
        </w:rPr>
        <w:t xml:space="preserve"> It recalled its earlier conclusion </w:t>
      </w:r>
      <w:r w:rsidR="003D035F">
        <w:rPr>
          <w:lang w:val="en-GB"/>
        </w:rPr>
        <w:t xml:space="preserve">that </w:t>
      </w:r>
      <w:r w:rsidR="00312681">
        <w:rPr>
          <w:lang w:val="en-GB"/>
        </w:rPr>
        <w:t xml:space="preserve">the response data were too uncertain to implement response-based utility values (see </w:t>
      </w:r>
      <w:hyperlink w:anchor="_The_model_should" w:history="1">
        <w:r w:rsidR="00312681" w:rsidRPr="00CE6D8E">
          <w:rPr>
            <w:rStyle w:val="Hyperlink"/>
            <w:lang w:val="en-GB"/>
          </w:rPr>
          <w:t xml:space="preserve">section </w:t>
        </w:r>
        <w:r w:rsidR="00CE6D8E" w:rsidRPr="00CE6D8E">
          <w:rPr>
            <w:rStyle w:val="Hyperlink"/>
            <w:lang w:val="en-GB"/>
          </w:rPr>
          <w:t>3.7</w:t>
        </w:r>
      </w:hyperlink>
      <w:r w:rsidR="00312681">
        <w:rPr>
          <w:lang w:val="en-GB"/>
        </w:rPr>
        <w:t xml:space="preserve">), which might have been a way to </w:t>
      </w:r>
      <w:r w:rsidR="008077A6" w:rsidRPr="008077A6">
        <w:rPr>
          <w:lang w:val="en-GB"/>
        </w:rPr>
        <w:t>include the quality of life benefits of midostaurin</w:t>
      </w:r>
      <w:r w:rsidR="008077A6">
        <w:rPr>
          <w:lang w:val="en-GB"/>
        </w:rPr>
        <w:t>.</w:t>
      </w:r>
      <w:r w:rsidR="00312681">
        <w:rPr>
          <w:lang w:val="en-GB"/>
        </w:rPr>
        <w:t xml:space="preserve"> </w:t>
      </w:r>
      <w:r w:rsidR="00502F37">
        <w:t xml:space="preserve">The committee concluded that </w:t>
      </w:r>
      <w:r w:rsidR="0089110B">
        <w:rPr>
          <w:lang w:val="en-GB"/>
        </w:rPr>
        <w:t>the incremental</w:t>
      </w:r>
      <w:r w:rsidR="00502F37">
        <w:t xml:space="preserve"> </w:t>
      </w:r>
      <w:r w:rsidR="0089110B">
        <w:rPr>
          <w:lang w:val="en-GB"/>
        </w:rPr>
        <w:t>quality-adjusted life years (QALYs) estimated by the model may be conservative for midostaurin, and that it would consider this in its decision making.</w:t>
      </w:r>
      <w:bookmarkEnd w:id="17"/>
    </w:p>
    <w:p w14:paraId="40929578" w14:textId="562665C0" w:rsidR="00DC51EE" w:rsidRDefault="00444870" w:rsidP="00DC51EE">
      <w:pPr>
        <w:pStyle w:val="Heading3"/>
      </w:pPr>
      <w:bookmarkStart w:id="18" w:name="_A_lifetime_treatment"/>
      <w:bookmarkEnd w:id="18"/>
      <w:r>
        <w:lastRenderedPageBreak/>
        <w:t>A</w:t>
      </w:r>
      <w:r w:rsidR="00251670">
        <w:t xml:space="preserve"> </w:t>
      </w:r>
      <w:r w:rsidR="00AC709F">
        <w:t>3-year</w:t>
      </w:r>
      <w:r>
        <w:t xml:space="preserve"> treatment benefit is suitable for decision making</w:t>
      </w:r>
      <w:r w:rsidR="00F0455D">
        <w:t xml:space="preserve">, although this might be optimistic </w:t>
      </w:r>
    </w:p>
    <w:p w14:paraId="455CF8C8" w14:textId="45FB1215" w:rsidR="00556734" w:rsidRPr="00556734" w:rsidRDefault="00DF6CBC" w:rsidP="00502F37">
      <w:pPr>
        <w:pStyle w:val="Numberedlevel2text"/>
      </w:pPr>
      <w:bookmarkStart w:id="19" w:name="_Ref50031216"/>
      <w:r>
        <w:t>The company’s</w:t>
      </w:r>
      <w:r w:rsidR="007214E3">
        <w:rPr>
          <w:lang w:val="en-GB"/>
        </w:rPr>
        <w:t xml:space="preserve"> </w:t>
      </w:r>
      <w:r>
        <w:t>base</w:t>
      </w:r>
      <w:r w:rsidR="006737B1">
        <w:rPr>
          <w:lang w:val="en-GB"/>
        </w:rPr>
        <w:t>-</w:t>
      </w:r>
      <w:r>
        <w:t xml:space="preserve">case model </w:t>
      </w:r>
      <w:r w:rsidR="006737B1">
        <w:rPr>
          <w:lang w:val="en-GB"/>
        </w:rPr>
        <w:t>applied the comparative effectiveness</w:t>
      </w:r>
      <w:r w:rsidR="007214E3">
        <w:rPr>
          <w:lang w:val="en-GB"/>
        </w:rPr>
        <w:t xml:space="preserve"> </w:t>
      </w:r>
      <w:r w:rsidR="006737B1">
        <w:rPr>
          <w:lang w:val="en-GB"/>
        </w:rPr>
        <w:t>HR for the duration of the model</w:t>
      </w:r>
      <w:r w:rsidR="006737B1">
        <w:t xml:space="preserve"> (</w:t>
      </w:r>
      <w:r w:rsidR="00251670">
        <w:t>38</w:t>
      </w:r>
      <w:r w:rsidR="00251670">
        <w:rPr>
          <w:lang w:val="en-GB"/>
        </w:rPr>
        <w:t> </w:t>
      </w:r>
      <w:r w:rsidR="006737B1">
        <w:t>years)</w:t>
      </w:r>
      <w:r w:rsidR="006737B1">
        <w:rPr>
          <w:lang w:val="en-GB"/>
        </w:rPr>
        <w:t xml:space="preserve">, which </w:t>
      </w:r>
      <w:r w:rsidR="00251670">
        <w:rPr>
          <w:lang w:val="en-GB"/>
        </w:rPr>
        <w:t xml:space="preserve">assumed </w:t>
      </w:r>
      <w:r w:rsidR="006737B1">
        <w:rPr>
          <w:lang w:val="en-GB"/>
        </w:rPr>
        <w:t>the</w:t>
      </w:r>
      <w:r>
        <w:t xml:space="preserve"> benefit </w:t>
      </w:r>
      <w:r w:rsidR="006737B1">
        <w:rPr>
          <w:lang w:val="en-GB"/>
        </w:rPr>
        <w:t>of starting treatment with</w:t>
      </w:r>
      <w:r w:rsidR="006737B1">
        <w:t xml:space="preserve"> </w:t>
      </w:r>
      <w:r>
        <w:t>midostaurin last</w:t>
      </w:r>
      <w:r w:rsidR="006737B1">
        <w:rPr>
          <w:lang w:val="en-GB"/>
        </w:rPr>
        <w:t>s for a person’s</w:t>
      </w:r>
      <w:r>
        <w:t xml:space="preserve"> lifetime. </w:t>
      </w:r>
      <w:r w:rsidR="00991F50">
        <w:rPr>
          <w:lang w:val="en-GB"/>
        </w:rPr>
        <w:t xml:space="preserve">The </w:t>
      </w:r>
      <w:r>
        <w:t xml:space="preserve">ERG </w:t>
      </w:r>
      <w:r w:rsidR="006737B1">
        <w:rPr>
          <w:lang w:val="en-GB"/>
        </w:rPr>
        <w:t>considered that a lifetime treatment benefit was unlikely to be plausible, and that the progression and survival rates with midostaurin would instead become equal to other treatments over time</w:t>
      </w:r>
      <w:r w:rsidR="00991F50">
        <w:rPr>
          <w:lang w:val="en-GB"/>
        </w:rPr>
        <w:t xml:space="preserve">. </w:t>
      </w:r>
      <w:r w:rsidR="006737B1">
        <w:rPr>
          <w:lang w:val="en-GB"/>
        </w:rPr>
        <w:t>In response to technical engagement</w:t>
      </w:r>
      <w:r w:rsidR="00991F50">
        <w:rPr>
          <w:lang w:val="en-GB"/>
        </w:rPr>
        <w:t xml:space="preserve">, </w:t>
      </w:r>
      <w:r>
        <w:t xml:space="preserve">the company </w:t>
      </w:r>
      <w:r w:rsidR="006737B1">
        <w:rPr>
          <w:lang w:val="en-GB"/>
        </w:rPr>
        <w:t xml:space="preserve">presented alternative analyses where the HR became 1 (no treatment effect) after </w:t>
      </w:r>
      <w:r>
        <w:t xml:space="preserve">3, 5 and </w:t>
      </w:r>
      <w:r w:rsidR="00AC709F">
        <w:t>10</w:t>
      </w:r>
      <w:r w:rsidR="00AC709F">
        <w:rPr>
          <w:lang w:val="en-GB"/>
        </w:rPr>
        <w:t> </w:t>
      </w:r>
      <w:r>
        <w:t xml:space="preserve">years. </w:t>
      </w:r>
      <w:r w:rsidR="006737B1">
        <w:rPr>
          <w:lang w:val="en-GB"/>
        </w:rPr>
        <w:t>The c</w:t>
      </w:r>
      <w:r>
        <w:t>linical expert</w:t>
      </w:r>
      <w:r w:rsidR="006737B1">
        <w:rPr>
          <w:lang w:val="en-GB"/>
        </w:rPr>
        <w:t>s</w:t>
      </w:r>
      <w:r>
        <w:t xml:space="preserve"> advised that the longer </w:t>
      </w:r>
      <w:r w:rsidR="006737B1">
        <w:rPr>
          <w:lang w:val="en-GB"/>
        </w:rPr>
        <w:t>a person</w:t>
      </w:r>
      <w:r>
        <w:t xml:space="preserve"> </w:t>
      </w:r>
      <w:r w:rsidR="00251670">
        <w:rPr>
          <w:lang w:val="en-GB"/>
        </w:rPr>
        <w:t>has</w:t>
      </w:r>
      <w:r>
        <w:t xml:space="preserve"> midostaurin</w:t>
      </w:r>
      <w:r w:rsidR="006737B1">
        <w:rPr>
          <w:lang w:val="en-GB"/>
        </w:rPr>
        <w:t>,</w:t>
      </w:r>
      <w:r>
        <w:t xml:space="preserve"> the </w:t>
      </w:r>
      <w:r w:rsidR="00251670">
        <w:rPr>
          <w:lang w:val="en-GB"/>
        </w:rPr>
        <w:t xml:space="preserve">more sustained disease response is. </w:t>
      </w:r>
      <w:r w:rsidR="00261B02">
        <w:rPr>
          <w:lang w:val="en-GB"/>
        </w:rPr>
        <w:t>But t</w:t>
      </w:r>
      <w:r w:rsidR="00251670">
        <w:rPr>
          <w:lang w:val="en-GB"/>
        </w:rPr>
        <w:t>hey noted that</w:t>
      </w:r>
      <w:r w:rsidR="006737B1">
        <w:rPr>
          <w:lang w:val="en-GB"/>
        </w:rPr>
        <w:t xml:space="preserve"> </w:t>
      </w:r>
      <w:r w:rsidR="00251670">
        <w:rPr>
          <w:lang w:val="en-GB"/>
        </w:rPr>
        <w:t>disease</w:t>
      </w:r>
      <w:r w:rsidR="006737B1">
        <w:rPr>
          <w:lang w:val="en-GB"/>
        </w:rPr>
        <w:t xml:space="preserve"> response is</w:t>
      </w:r>
      <w:r w:rsidR="00251670">
        <w:rPr>
          <w:lang w:val="en-GB"/>
        </w:rPr>
        <w:t xml:space="preserve"> often</w:t>
      </w:r>
      <w:r w:rsidR="006737B1">
        <w:rPr>
          <w:lang w:val="en-GB"/>
        </w:rPr>
        <w:t xml:space="preserve"> lost </w:t>
      </w:r>
      <w:r w:rsidR="00F97602">
        <w:rPr>
          <w:lang w:val="en-GB"/>
        </w:rPr>
        <w:t>because of</w:t>
      </w:r>
      <w:r w:rsidR="006737B1">
        <w:rPr>
          <w:lang w:val="en-GB"/>
        </w:rPr>
        <w:t xml:space="preserve"> associated haematological malignancy </w:t>
      </w:r>
      <w:r w:rsidR="00F97602">
        <w:rPr>
          <w:lang w:val="en-GB"/>
        </w:rPr>
        <w:t xml:space="preserve">instead of </w:t>
      </w:r>
      <w:r w:rsidR="006737B1">
        <w:rPr>
          <w:lang w:val="en-GB"/>
        </w:rPr>
        <w:t xml:space="preserve">mastocytosis itself. They also advised that while there is no known resistance to midostaurin, its </w:t>
      </w:r>
      <w:r w:rsidR="006737B1">
        <w:t>effect dissipate</w:t>
      </w:r>
      <w:r w:rsidR="006737B1">
        <w:rPr>
          <w:lang w:val="en-GB"/>
        </w:rPr>
        <w:t>s</w:t>
      </w:r>
      <w:r w:rsidR="006737B1">
        <w:t xml:space="preserve"> </w:t>
      </w:r>
      <w:r w:rsidR="006737B1">
        <w:rPr>
          <w:lang w:val="en-GB"/>
        </w:rPr>
        <w:t xml:space="preserve">rapidly </w:t>
      </w:r>
      <w:r w:rsidR="006737B1">
        <w:t>after stopping treatment</w:t>
      </w:r>
      <w:r w:rsidR="00D05301">
        <w:rPr>
          <w:lang w:val="en-GB"/>
        </w:rPr>
        <w:t>, even if doses</w:t>
      </w:r>
      <w:r w:rsidR="00F97602">
        <w:rPr>
          <w:lang w:val="en-GB"/>
        </w:rPr>
        <w:t xml:space="preserve"> are only missed for a few days</w:t>
      </w:r>
      <w:r w:rsidR="006737B1">
        <w:t xml:space="preserve">. </w:t>
      </w:r>
      <w:r w:rsidR="00DC18D3">
        <w:t xml:space="preserve">The committee </w:t>
      </w:r>
      <w:r w:rsidR="006737B1">
        <w:rPr>
          <w:lang w:val="en-GB"/>
        </w:rPr>
        <w:t>considered whether it was appropriate to include a lifetime</w:t>
      </w:r>
      <w:r w:rsidR="006737B1">
        <w:t xml:space="preserve"> </w:t>
      </w:r>
      <w:r w:rsidR="00DC18D3">
        <w:t>treatment benefit</w:t>
      </w:r>
      <w:r w:rsidR="006737B1">
        <w:rPr>
          <w:lang w:val="en-GB"/>
        </w:rPr>
        <w:t xml:space="preserve"> in the model</w:t>
      </w:r>
      <w:r w:rsidR="00DC18D3">
        <w:t xml:space="preserve">. </w:t>
      </w:r>
      <w:r w:rsidR="00D05301">
        <w:rPr>
          <w:lang w:val="en-GB"/>
        </w:rPr>
        <w:t xml:space="preserve">It recalled that most </w:t>
      </w:r>
      <w:r w:rsidR="00CC3D55">
        <w:rPr>
          <w:lang w:val="en-GB"/>
        </w:rPr>
        <w:t xml:space="preserve">people </w:t>
      </w:r>
      <w:r w:rsidR="00D05301">
        <w:rPr>
          <w:lang w:val="en-GB"/>
        </w:rPr>
        <w:t xml:space="preserve">did not continue to </w:t>
      </w:r>
      <w:r w:rsidR="00251670">
        <w:rPr>
          <w:lang w:val="en-GB"/>
        </w:rPr>
        <w:t xml:space="preserve">have </w:t>
      </w:r>
      <w:r w:rsidR="00D05301">
        <w:rPr>
          <w:lang w:val="en-GB"/>
        </w:rPr>
        <w:t xml:space="preserve">midostaurin in the long term (see </w:t>
      </w:r>
      <w:hyperlink w:anchor="_The_clinical_effectiveness" w:history="1">
        <w:r w:rsidR="00D05301" w:rsidRPr="000E4A54">
          <w:rPr>
            <w:rStyle w:val="Hyperlink"/>
            <w:lang w:val="en-GB"/>
          </w:rPr>
          <w:t xml:space="preserve">section </w:t>
        </w:r>
        <w:r w:rsidR="000E4A54" w:rsidRPr="000E4A54">
          <w:rPr>
            <w:rStyle w:val="Hyperlink"/>
            <w:lang w:val="en-GB"/>
          </w:rPr>
          <w:t>3.3</w:t>
        </w:r>
      </w:hyperlink>
      <w:r w:rsidR="00D05301">
        <w:rPr>
          <w:lang w:val="en-GB"/>
        </w:rPr>
        <w:t xml:space="preserve">). </w:t>
      </w:r>
      <w:r w:rsidR="00077565">
        <w:t xml:space="preserve">The committee </w:t>
      </w:r>
      <w:r w:rsidR="00D05301">
        <w:rPr>
          <w:lang w:val="en-GB"/>
        </w:rPr>
        <w:t>considered that it was implausible to retain the Reiter</w:t>
      </w:r>
      <w:r w:rsidR="00251670">
        <w:rPr>
          <w:lang w:val="en-GB"/>
        </w:rPr>
        <w:t xml:space="preserve"> et al. (2017)</w:t>
      </w:r>
      <w:r w:rsidR="00D05301">
        <w:rPr>
          <w:lang w:val="en-GB"/>
        </w:rPr>
        <w:t xml:space="preserve"> HR for </w:t>
      </w:r>
      <w:r w:rsidR="00CC3D55">
        <w:rPr>
          <w:lang w:val="en-GB"/>
        </w:rPr>
        <w:t xml:space="preserve">people </w:t>
      </w:r>
      <w:r w:rsidR="00D05301">
        <w:rPr>
          <w:lang w:val="en-GB"/>
        </w:rPr>
        <w:t xml:space="preserve">who were no longer having midostaurin. It also noted that it had not seen long-term, robust comparative effectiveness evidence, </w:t>
      </w:r>
      <w:r w:rsidR="0058118F">
        <w:rPr>
          <w:lang w:val="en-GB"/>
        </w:rPr>
        <w:t>so</w:t>
      </w:r>
      <w:r w:rsidR="00D05301">
        <w:rPr>
          <w:lang w:val="en-GB"/>
        </w:rPr>
        <w:t xml:space="preserve"> the duration of treatment benefit is highly uncertain.</w:t>
      </w:r>
      <w:r w:rsidR="00077565">
        <w:t xml:space="preserve"> The committee considered that </w:t>
      </w:r>
      <w:r w:rsidR="00D05301">
        <w:rPr>
          <w:lang w:val="en-GB"/>
        </w:rPr>
        <w:t>a</w:t>
      </w:r>
      <w:r w:rsidR="00077565">
        <w:t xml:space="preserve"> 3-year</w:t>
      </w:r>
      <w:r w:rsidR="00D05301">
        <w:rPr>
          <w:lang w:val="en-GB"/>
        </w:rPr>
        <w:t xml:space="preserve"> midostaurin benefit duration is likely to be optimistic for </w:t>
      </w:r>
      <w:r w:rsidR="00CC3D55">
        <w:rPr>
          <w:lang w:val="en-GB"/>
        </w:rPr>
        <w:t xml:space="preserve">people </w:t>
      </w:r>
      <w:r w:rsidR="00D05301">
        <w:rPr>
          <w:lang w:val="en-GB"/>
        </w:rPr>
        <w:t xml:space="preserve">who </w:t>
      </w:r>
      <w:r w:rsidR="00251670">
        <w:rPr>
          <w:lang w:val="en-GB"/>
        </w:rPr>
        <w:t>stop</w:t>
      </w:r>
      <w:r w:rsidR="00F97602">
        <w:rPr>
          <w:lang w:val="en-GB"/>
        </w:rPr>
        <w:t xml:space="preserve"> having</w:t>
      </w:r>
      <w:r w:rsidR="00251670">
        <w:rPr>
          <w:lang w:val="en-GB"/>
        </w:rPr>
        <w:t xml:space="preserve"> </w:t>
      </w:r>
      <w:r w:rsidR="00D05301">
        <w:rPr>
          <w:lang w:val="en-GB"/>
        </w:rPr>
        <w:t xml:space="preserve">treatment before </w:t>
      </w:r>
      <w:r w:rsidR="00251670">
        <w:rPr>
          <w:lang w:val="en-GB"/>
        </w:rPr>
        <w:t>3 </w:t>
      </w:r>
      <w:r w:rsidR="00D05301">
        <w:rPr>
          <w:lang w:val="en-GB"/>
        </w:rPr>
        <w:t>years</w:t>
      </w:r>
      <w:r w:rsidR="00F97602">
        <w:rPr>
          <w:lang w:val="en-GB"/>
        </w:rPr>
        <w:t>. But it considered it</w:t>
      </w:r>
      <w:r w:rsidR="00D05301">
        <w:rPr>
          <w:lang w:val="en-GB"/>
        </w:rPr>
        <w:t xml:space="preserve"> potentially pessimistic for </w:t>
      </w:r>
      <w:r w:rsidR="00DE2310">
        <w:rPr>
          <w:lang w:val="en-GB"/>
        </w:rPr>
        <w:t xml:space="preserve">the minority of </w:t>
      </w:r>
      <w:r w:rsidR="00CC3D55">
        <w:rPr>
          <w:lang w:val="en-GB"/>
        </w:rPr>
        <w:t xml:space="preserve">people </w:t>
      </w:r>
      <w:r w:rsidR="00D05301">
        <w:rPr>
          <w:lang w:val="en-GB"/>
        </w:rPr>
        <w:t xml:space="preserve">who remain on treatment beyond </w:t>
      </w:r>
      <w:r w:rsidR="00251670">
        <w:rPr>
          <w:lang w:val="en-GB"/>
        </w:rPr>
        <w:t>3 </w:t>
      </w:r>
      <w:r w:rsidR="00D05301">
        <w:rPr>
          <w:lang w:val="en-GB"/>
        </w:rPr>
        <w:t>years,</w:t>
      </w:r>
      <w:r w:rsidR="00D05301" w:rsidRPr="00D05301">
        <w:rPr>
          <w:lang w:val="en-GB"/>
        </w:rPr>
        <w:t xml:space="preserve"> </w:t>
      </w:r>
      <w:r w:rsidR="00D05301">
        <w:rPr>
          <w:lang w:val="en-GB"/>
        </w:rPr>
        <w:t>to an unknown extent.</w:t>
      </w:r>
      <w:r w:rsidR="00077565">
        <w:t xml:space="preserve"> </w:t>
      </w:r>
      <w:r w:rsidR="00D05301">
        <w:rPr>
          <w:lang w:val="en-GB"/>
        </w:rPr>
        <w:t>On balance</w:t>
      </w:r>
      <w:r w:rsidR="00077565">
        <w:t xml:space="preserve">, the committee concluded that </w:t>
      </w:r>
      <w:r w:rsidR="00D05301">
        <w:rPr>
          <w:lang w:val="en-GB"/>
        </w:rPr>
        <w:t>it</w:t>
      </w:r>
      <w:r w:rsidR="00077565">
        <w:t xml:space="preserve"> </w:t>
      </w:r>
      <w:r w:rsidR="00D05301">
        <w:rPr>
          <w:lang w:val="en-GB"/>
        </w:rPr>
        <w:t xml:space="preserve">would consider a </w:t>
      </w:r>
      <w:r w:rsidR="00077565">
        <w:t xml:space="preserve">3-year </w:t>
      </w:r>
      <w:r w:rsidR="00D05301">
        <w:rPr>
          <w:lang w:val="en-GB"/>
        </w:rPr>
        <w:t xml:space="preserve">treatment </w:t>
      </w:r>
      <w:r w:rsidR="00077565">
        <w:t xml:space="preserve">benefit </w:t>
      </w:r>
      <w:r w:rsidR="00D05301">
        <w:rPr>
          <w:lang w:val="en-GB"/>
        </w:rPr>
        <w:t>duration for</w:t>
      </w:r>
      <w:r w:rsidR="00D05301">
        <w:t xml:space="preserve"> </w:t>
      </w:r>
      <w:r w:rsidR="00077565">
        <w:t xml:space="preserve">midostaurin </w:t>
      </w:r>
      <w:r w:rsidR="00D05301">
        <w:rPr>
          <w:lang w:val="en-GB"/>
        </w:rPr>
        <w:t>in its</w:t>
      </w:r>
      <w:r w:rsidR="0075256C">
        <w:rPr>
          <w:lang w:val="en-GB"/>
        </w:rPr>
        <w:t xml:space="preserve"> decision making</w:t>
      </w:r>
      <w:bookmarkEnd w:id="19"/>
      <w:r w:rsidR="00DE2310">
        <w:rPr>
          <w:lang w:val="en-GB"/>
        </w:rPr>
        <w:t>,</w:t>
      </w:r>
      <w:r w:rsidR="00D56A79">
        <w:rPr>
          <w:lang w:val="en-GB"/>
        </w:rPr>
        <w:t xml:space="preserve"> even though this was likely to be optimistic</w:t>
      </w:r>
      <w:r w:rsidR="006A11E9">
        <w:rPr>
          <w:lang w:val="en-GB"/>
        </w:rPr>
        <w:t>.</w:t>
      </w:r>
    </w:p>
    <w:p w14:paraId="3837894B" w14:textId="03EC9B4B" w:rsidR="003948E9" w:rsidRDefault="003948E9" w:rsidP="003948E9">
      <w:pPr>
        <w:pStyle w:val="Heading2"/>
      </w:pPr>
      <w:r>
        <w:lastRenderedPageBreak/>
        <w:t>End of life</w:t>
      </w:r>
    </w:p>
    <w:p w14:paraId="459AD74A" w14:textId="3167AE6D" w:rsidR="003948E9" w:rsidRDefault="001E17FE" w:rsidP="003948E9">
      <w:pPr>
        <w:pStyle w:val="Heading3"/>
      </w:pPr>
      <w:r>
        <w:t xml:space="preserve">Midostaurin </w:t>
      </w:r>
      <w:proofErr w:type="gramStart"/>
      <w:r>
        <w:t xml:space="preserve">is considered </w:t>
      </w:r>
      <w:r w:rsidR="000E01F1">
        <w:t>to be</w:t>
      </w:r>
      <w:proofErr w:type="gramEnd"/>
      <w:r w:rsidR="000E01F1">
        <w:t xml:space="preserve"> a </w:t>
      </w:r>
      <w:r>
        <w:t>life</w:t>
      </w:r>
      <w:r w:rsidR="00A34AE7">
        <w:t>-</w:t>
      </w:r>
      <w:r>
        <w:t>extending treatment at the end of life</w:t>
      </w:r>
    </w:p>
    <w:p w14:paraId="22E1817B" w14:textId="2A822A52" w:rsidR="009B5D66" w:rsidRPr="009B5D66" w:rsidRDefault="003948E9" w:rsidP="009B5D66">
      <w:pPr>
        <w:pStyle w:val="Numberedlevel2text"/>
      </w:pPr>
      <w:bookmarkStart w:id="20" w:name="_Ref50031203"/>
      <w:r>
        <w:t xml:space="preserve">The committee considered the advice about life-extending treatments for people with a short life expectancy in </w:t>
      </w:r>
      <w:hyperlink r:id="rId14" w:history="1">
        <w:r w:rsidR="00C96CE3" w:rsidRPr="00D019BA">
          <w:rPr>
            <w:rStyle w:val="Hyperlink"/>
          </w:rPr>
          <w:t>NICE’s guide to the methods of technology appraisal</w:t>
        </w:r>
      </w:hyperlink>
      <w:r w:rsidR="00C96CE3">
        <w:t>.</w:t>
      </w:r>
      <w:r w:rsidR="00C96CE3">
        <w:rPr>
          <w:lang w:val="en-GB"/>
        </w:rPr>
        <w:t xml:space="preserve"> </w:t>
      </w:r>
      <w:r w:rsidRPr="003948E9">
        <w:t xml:space="preserve">The committee considered whether </w:t>
      </w:r>
      <w:r>
        <w:t>midostaurin</w:t>
      </w:r>
      <w:r w:rsidRPr="003948E9">
        <w:t xml:space="preserve"> meets </w:t>
      </w:r>
      <w:r w:rsidR="002D7CEA">
        <w:rPr>
          <w:lang w:val="en-GB"/>
        </w:rPr>
        <w:t>both</w:t>
      </w:r>
      <w:r w:rsidR="002D7CEA" w:rsidRPr="003948E9">
        <w:t xml:space="preserve"> </w:t>
      </w:r>
      <w:r w:rsidRPr="003948E9">
        <w:t xml:space="preserve">end of life criteria for people with </w:t>
      </w:r>
      <w:r>
        <w:t>advanced systemic mastocytosis</w:t>
      </w:r>
      <w:r w:rsidRPr="003948E9">
        <w:t>.</w:t>
      </w:r>
      <w:r w:rsidR="00085F52">
        <w:rPr>
          <w:lang w:val="en-GB"/>
        </w:rPr>
        <w:t xml:space="preserve"> </w:t>
      </w:r>
      <w:r w:rsidR="002D7CEA">
        <w:rPr>
          <w:lang w:val="en-GB"/>
        </w:rPr>
        <w:t>For the life expectancy criterion, t</w:t>
      </w:r>
      <w:r w:rsidR="00085F52">
        <w:rPr>
          <w:lang w:val="en-GB"/>
        </w:rPr>
        <w:t xml:space="preserve">he committee noted that Reiter </w:t>
      </w:r>
      <w:r w:rsidR="00251670">
        <w:rPr>
          <w:lang w:val="en-GB"/>
        </w:rPr>
        <w:t>et al. (2017)</w:t>
      </w:r>
      <w:r w:rsidR="000E01F1">
        <w:rPr>
          <w:lang w:val="en-GB"/>
        </w:rPr>
        <w:t xml:space="preserve">, which it had accepted as a source of comparative effectiveness evidence (see </w:t>
      </w:r>
      <w:hyperlink w:anchor="_The_comparative_evidence" w:history="1">
        <w:r w:rsidR="000E01F1" w:rsidRPr="000E4A54">
          <w:rPr>
            <w:rStyle w:val="Hyperlink"/>
            <w:lang w:val="en-GB"/>
          </w:rPr>
          <w:t xml:space="preserve">section </w:t>
        </w:r>
        <w:r w:rsidR="000E4A54" w:rsidRPr="000E4A54">
          <w:rPr>
            <w:rStyle w:val="Hyperlink"/>
            <w:lang w:val="en-GB"/>
          </w:rPr>
          <w:t>3.4</w:t>
        </w:r>
      </w:hyperlink>
      <w:r w:rsidR="000E01F1">
        <w:rPr>
          <w:lang w:val="en-GB"/>
        </w:rPr>
        <w:t>), reported</w:t>
      </w:r>
      <w:r w:rsidR="00486772">
        <w:rPr>
          <w:lang w:val="en-GB"/>
        </w:rPr>
        <w:t xml:space="preserve"> a</w:t>
      </w:r>
      <w:r w:rsidR="000E01F1">
        <w:rPr>
          <w:lang w:val="en-GB"/>
        </w:rPr>
        <w:t xml:space="preserve"> median survival with</w:t>
      </w:r>
      <w:r w:rsidR="00085F52">
        <w:rPr>
          <w:lang w:val="en-GB"/>
        </w:rPr>
        <w:t xml:space="preserve"> current clinical management </w:t>
      </w:r>
      <w:r w:rsidR="000E01F1">
        <w:rPr>
          <w:lang w:val="en-GB"/>
        </w:rPr>
        <w:t xml:space="preserve">of </w:t>
      </w:r>
      <w:r w:rsidR="00085F52">
        <w:rPr>
          <w:lang w:val="en-GB"/>
        </w:rPr>
        <w:t>19.</w:t>
      </w:r>
      <w:r w:rsidR="00251670">
        <w:rPr>
          <w:lang w:val="en-GB"/>
        </w:rPr>
        <w:t>5 </w:t>
      </w:r>
      <w:r w:rsidR="00085F52">
        <w:rPr>
          <w:lang w:val="en-GB"/>
        </w:rPr>
        <w:t xml:space="preserve">months. </w:t>
      </w:r>
      <w:r w:rsidR="002D7CEA">
        <w:rPr>
          <w:lang w:val="en-GB"/>
        </w:rPr>
        <w:t xml:space="preserve">The committee agreed that life expectancy was clearly lower than </w:t>
      </w:r>
      <w:r w:rsidR="00F97602">
        <w:rPr>
          <w:lang w:val="en-GB"/>
        </w:rPr>
        <w:t>24 </w:t>
      </w:r>
      <w:r w:rsidR="002D7CEA">
        <w:rPr>
          <w:lang w:val="en-GB"/>
        </w:rPr>
        <w:t>months for people with</w:t>
      </w:r>
      <w:r w:rsidR="002E7002">
        <w:rPr>
          <w:lang w:val="en-GB"/>
        </w:rPr>
        <w:t xml:space="preserve"> MCL</w:t>
      </w:r>
      <w:r w:rsidR="002D7CEA">
        <w:rPr>
          <w:lang w:val="en-GB"/>
        </w:rPr>
        <w:t>, but that this is less clear for advanced systemic mastocytosis overall. Some</w:t>
      </w:r>
      <w:r w:rsidR="000E01F1">
        <w:rPr>
          <w:lang w:val="en-GB"/>
        </w:rPr>
        <w:t xml:space="preserve"> sources of evidence reported median survival estimates above </w:t>
      </w:r>
      <w:r w:rsidR="00F97602">
        <w:rPr>
          <w:lang w:val="en-GB"/>
        </w:rPr>
        <w:t>24 </w:t>
      </w:r>
      <w:r w:rsidR="000E01F1">
        <w:rPr>
          <w:lang w:val="en-GB"/>
        </w:rPr>
        <w:t xml:space="preserve">months, but the company explained that these </w:t>
      </w:r>
      <w:r w:rsidR="002D7CEA">
        <w:rPr>
          <w:lang w:val="en-GB"/>
        </w:rPr>
        <w:t xml:space="preserve">studies often included people with </w:t>
      </w:r>
      <w:r w:rsidR="000E01F1">
        <w:rPr>
          <w:lang w:val="en-GB"/>
        </w:rPr>
        <w:t xml:space="preserve">indolent systemic mastocytosis, which is much less severe </w:t>
      </w:r>
      <w:r w:rsidR="002D7CEA">
        <w:rPr>
          <w:lang w:val="en-GB"/>
        </w:rPr>
        <w:t>and has</w:t>
      </w:r>
      <w:r w:rsidR="00486772">
        <w:rPr>
          <w:lang w:val="en-GB"/>
        </w:rPr>
        <w:t xml:space="preserve"> a</w:t>
      </w:r>
      <w:r w:rsidR="002D7CEA">
        <w:rPr>
          <w:lang w:val="en-GB"/>
        </w:rPr>
        <w:t xml:space="preserve"> longer life expectancy tha</w:t>
      </w:r>
      <w:r w:rsidR="000E01F1">
        <w:rPr>
          <w:lang w:val="en-GB"/>
        </w:rPr>
        <w:t xml:space="preserve">n advanced systematic mastocytosis. </w:t>
      </w:r>
      <w:r w:rsidR="002D7CEA">
        <w:rPr>
          <w:lang w:val="en-GB"/>
        </w:rPr>
        <w:t>For the life extension criterion, t</w:t>
      </w:r>
      <w:r w:rsidR="008B467B">
        <w:rPr>
          <w:lang w:val="en-GB"/>
        </w:rPr>
        <w:t xml:space="preserve">he committee noted that Reiter </w:t>
      </w:r>
      <w:r w:rsidR="00675A57">
        <w:rPr>
          <w:lang w:val="en-GB"/>
        </w:rPr>
        <w:t xml:space="preserve">et al. </w:t>
      </w:r>
      <w:r w:rsidR="002D7CEA">
        <w:rPr>
          <w:lang w:val="en-GB"/>
        </w:rPr>
        <w:t>reported a median survival benefit of 21.</w:t>
      </w:r>
      <w:r w:rsidR="00675A57">
        <w:rPr>
          <w:lang w:val="en-GB"/>
        </w:rPr>
        <w:t>9 </w:t>
      </w:r>
      <w:r w:rsidR="002D7CEA">
        <w:rPr>
          <w:lang w:val="en-GB"/>
        </w:rPr>
        <w:t xml:space="preserve">months for </w:t>
      </w:r>
      <w:r w:rsidR="008B467B">
        <w:rPr>
          <w:lang w:val="en-GB"/>
        </w:rPr>
        <w:t>midostaurin compared with current clinical management.</w:t>
      </w:r>
      <w:r w:rsidR="002D7CEA">
        <w:rPr>
          <w:lang w:val="en-GB"/>
        </w:rPr>
        <w:t xml:space="preserve"> It also noted that the economic model predicted a mean survival benefit far higher than the </w:t>
      </w:r>
      <w:r w:rsidR="000E4A54">
        <w:rPr>
          <w:lang w:val="en-GB"/>
        </w:rPr>
        <w:t>3 </w:t>
      </w:r>
      <w:r w:rsidR="002D7CEA">
        <w:rPr>
          <w:lang w:val="en-GB"/>
        </w:rPr>
        <w:t>months stipulated by the life extension criterion. The patient and clinical</w:t>
      </w:r>
      <w:r w:rsidR="0075256C">
        <w:rPr>
          <w:lang w:val="en-GB"/>
        </w:rPr>
        <w:t xml:space="preserve"> experts </w:t>
      </w:r>
      <w:r w:rsidR="002D7CEA">
        <w:rPr>
          <w:lang w:val="en-GB"/>
        </w:rPr>
        <w:t>advised that there is increasing</w:t>
      </w:r>
      <w:r w:rsidR="0075256C">
        <w:rPr>
          <w:lang w:val="en-GB"/>
        </w:rPr>
        <w:t xml:space="preserve"> </w:t>
      </w:r>
      <w:r w:rsidR="002D7CEA">
        <w:rPr>
          <w:lang w:val="en-GB"/>
        </w:rPr>
        <w:t xml:space="preserve">clinical experience and </w:t>
      </w:r>
      <w:r w:rsidR="0075256C">
        <w:rPr>
          <w:lang w:val="en-GB"/>
        </w:rPr>
        <w:t>evidence</w:t>
      </w:r>
      <w:r w:rsidR="002D7CEA">
        <w:rPr>
          <w:lang w:val="en-GB"/>
        </w:rPr>
        <w:t xml:space="preserve">, albeit non-randomised, </w:t>
      </w:r>
      <w:r w:rsidR="005E1861">
        <w:rPr>
          <w:lang w:val="en-GB"/>
        </w:rPr>
        <w:t xml:space="preserve">suggesting </w:t>
      </w:r>
      <w:r w:rsidR="002D7CEA">
        <w:rPr>
          <w:lang w:val="en-GB"/>
        </w:rPr>
        <w:t>that</w:t>
      </w:r>
      <w:r w:rsidR="0075256C">
        <w:rPr>
          <w:lang w:val="en-GB"/>
        </w:rPr>
        <w:t xml:space="preserve"> midostaurin </w:t>
      </w:r>
      <w:r w:rsidR="002D7CEA">
        <w:rPr>
          <w:lang w:val="en-GB"/>
        </w:rPr>
        <w:t>improve</w:t>
      </w:r>
      <w:r w:rsidR="00486772">
        <w:rPr>
          <w:lang w:val="en-GB"/>
        </w:rPr>
        <w:t>s</w:t>
      </w:r>
      <w:r w:rsidR="002D7CEA">
        <w:rPr>
          <w:lang w:val="en-GB"/>
        </w:rPr>
        <w:t xml:space="preserve"> </w:t>
      </w:r>
      <w:r w:rsidR="0075256C">
        <w:rPr>
          <w:lang w:val="en-GB"/>
        </w:rPr>
        <w:t>life expectancy</w:t>
      </w:r>
      <w:r w:rsidR="00486772">
        <w:rPr>
          <w:lang w:val="en-GB"/>
        </w:rPr>
        <w:t xml:space="preserve"> </w:t>
      </w:r>
      <w:r w:rsidR="006470AE">
        <w:rPr>
          <w:lang w:val="en-GB"/>
        </w:rPr>
        <w:t>considerably</w:t>
      </w:r>
      <w:r w:rsidR="0075256C">
        <w:rPr>
          <w:lang w:val="en-GB"/>
        </w:rPr>
        <w:t xml:space="preserve">. </w:t>
      </w:r>
      <w:r w:rsidR="008B467B">
        <w:rPr>
          <w:lang w:val="en-GB"/>
        </w:rPr>
        <w:t xml:space="preserve">Therefore, the committee </w:t>
      </w:r>
      <w:r w:rsidR="00150072">
        <w:rPr>
          <w:lang w:val="en-GB"/>
        </w:rPr>
        <w:t>c</w:t>
      </w:r>
      <w:r w:rsidR="001E17FE">
        <w:rPr>
          <w:lang w:val="en-GB"/>
        </w:rPr>
        <w:t xml:space="preserve">oncluded that midostaurin </w:t>
      </w:r>
      <w:r w:rsidR="00150072">
        <w:rPr>
          <w:lang w:val="en-GB"/>
        </w:rPr>
        <w:t xml:space="preserve">could be considered </w:t>
      </w:r>
      <w:r w:rsidR="001E17FE">
        <w:rPr>
          <w:lang w:val="en-GB"/>
        </w:rPr>
        <w:t>a</w:t>
      </w:r>
      <w:r w:rsidR="00150072">
        <w:rPr>
          <w:lang w:val="en-GB"/>
        </w:rPr>
        <w:t xml:space="preserve"> </w:t>
      </w:r>
      <w:r w:rsidR="00675A57">
        <w:rPr>
          <w:lang w:val="en-GB"/>
        </w:rPr>
        <w:t>life-</w:t>
      </w:r>
      <w:r w:rsidR="00150072">
        <w:rPr>
          <w:lang w:val="en-GB"/>
        </w:rPr>
        <w:t xml:space="preserve">extending treatment </w:t>
      </w:r>
      <w:r w:rsidR="00675A57">
        <w:rPr>
          <w:lang w:val="en-GB"/>
        </w:rPr>
        <w:t xml:space="preserve">at </w:t>
      </w:r>
      <w:r w:rsidR="00150072">
        <w:rPr>
          <w:lang w:val="en-GB"/>
        </w:rPr>
        <w:t>the</w:t>
      </w:r>
      <w:r w:rsidR="001E17FE">
        <w:rPr>
          <w:lang w:val="en-GB"/>
        </w:rPr>
        <w:t xml:space="preserve"> end of life.</w:t>
      </w:r>
      <w:bookmarkEnd w:id="20"/>
      <w:r w:rsidR="001E17FE">
        <w:rPr>
          <w:lang w:val="en-GB"/>
        </w:rPr>
        <w:t xml:space="preserve"> </w:t>
      </w:r>
    </w:p>
    <w:p w14:paraId="364B8B30" w14:textId="6C267064" w:rsidR="00B82A82" w:rsidRDefault="00C96CE3" w:rsidP="00B82A82">
      <w:pPr>
        <w:pStyle w:val="Heading2"/>
      </w:pPr>
      <w:r>
        <w:lastRenderedPageBreak/>
        <w:t>Cost-effectiveness estimates</w:t>
      </w:r>
      <w:r w:rsidR="00B82A82">
        <w:t xml:space="preserve"> </w:t>
      </w:r>
    </w:p>
    <w:p w14:paraId="0732B47E" w14:textId="00FA8038" w:rsidR="004B7D57" w:rsidRDefault="00141989" w:rsidP="004B7D57">
      <w:pPr>
        <w:pStyle w:val="Heading3"/>
      </w:pPr>
      <w:bookmarkStart w:id="21" w:name="_All_cost-effectiveness_estimates"/>
      <w:bookmarkEnd w:id="21"/>
      <w:r>
        <w:t>All cost-effectiveness estimates are higher than</w:t>
      </w:r>
      <w:r w:rsidR="004B7D57">
        <w:t xml:space="preserve"> </w:t>
      </w:r>
      <w:r w:rsidR="00826A5C">
        <w:t>£</w:t>
      </w:r>
      <w:r>
        <w:t>10</w:t>
      </w:r>
      <w:r w:rsidR="00826A5C">
        <w:t>0,000</w:t>
      </w:r>
      <w:r w:rsidR="004B7D57">
        <w:t xml:space="preserve"> per QALY gained</w:t>
      </w:r>
    </w:p>
    <w:p w14:paraId="20D8EF85" w14:textId="0E7DF7E3" w:rsidR="00150072" w:rsidRDefault="00150072" w:rsidP="00150072">
      <w:pPr>
        <w:pStyle w:val="Numberedlevel2text"/>
        <w:numPr>
          <w:ilvl w:val="1"/>
          <w:numId w:val="1"/>
        </w:numPr>
        <w:rPr>
          <w:lang w:val="en-GB"/>
        </w:rPr>
      </w:pPr>
      <w:r w:rsidRPr="0047383B">
        <w:rPr>
          <w:lang w:val="en-GB"/>
        </w:rPr>
        <w:t>The committee noted that the company’s base</w:t>
      </w:r>
      <w:r w:rsidR="008E4D41">
        <w:rPr>
          <w:lang w:val="en-GB"/>
        </w:rPr>
        <w:t>-</w:t>
      </w:r>
      <w:r w:rsidRPr="0047383B">
        <w:rPr>
          <w:lang w:val="en-GB"/>
        </w:rPr>
        <w:t>case</w:t>
      </w:r>
      <w:r w:rsidR="008E4D41">
        <w:rPr>
          <w:lang w:val="en-GB"/>
        </w:rPr>
        <w:t xml:space="preserve"> probabilistic</w:t>
      </w:r>
      <w:r w:rsidRPr="0047383B">
        <w:rPr>
          <w:lang w:val="en-GB"/>
        </w:rPr>
        <w:t xml:space="preserve"> </w:t>
      </w:r>
      <w:r>
        <w:rPr>
          <w:lang w:val="en-GB"/>
        </w:rPr>
        <w:t xml:space="preserve">estimate of </w:t>
      </w:r>
      <w:r w:rsidRPr="0047383B">
        <w:rPr>
          <w:lang w:val="en-GB"/>
        </w:rPr>
        <w:t>cost</w:t>
      </w:r>
      <w:r w:rsidR="008E4D41">
        <w:rPr>
          <w:lang w:val="en-GB"/>
        </w:rPr>
        <w:t xml:space="preserve"> </w:t>
      </w:r>
      <w:r w:rsidRPr="0047383B">
        <w:rPr>
          <w:lang w:val="en-GB"/>
        </w:rPr>
        <w:t xml:space="preserve">effectiveness </w:t>
      </w:r>
      <w:r>
        <w:rPr>
          <w:lang w:val="en-GB"/>
        </w:rPr>
        <w:t xml:space="preserve">in the overall, advanced systemic mastocytosis population was </w:t>
      </w:r>
      <w:r w:rsidR="008E4D41">
        <w:rPr>
          <w:lang w:val="en-GB"/>
        </w:rPr>
        <w:t>above £100,000 per QALY gained</w:t>
      </w:r>
      <w:r w:rsidR="007214E3">
        <w:rPr>
          <w:lang w:val="en-GB"/>
        </w:rPr>
        <w:t xml:space="preserve"> (all estimates are confidential, </w:t>
      </w:r>
      <w:r w:rsidR="00675A57">
        <w:rPr>
          <w:lang w:val="en-GB"/>
        </w:rPr>
        <w:t xml:space="preserve">so </w:t>
      </w:r>
      <w:r w:rsidR="007214E3">
        <w:rPr>
          <w:lang w:val="en-GB"/>
        </w:rPr>
        <w:t>exact values cannot be reported here). This is</w:t>
      </w:r>
      <w:r w:rsidR="008E4D41">
        <w:rPr>
          <w:lang w:val="en-GB"/>
        </w:rPr>
        <w:t xml:space="preserve"> substantially higher than </w:t>
      </w:r>
      <w:r w:rsidRPr="0047383B">
        <w:rPr>
          <w:lang w:val="en-GB"/>
        </w:rPr>
        <w:t>what is normally considered to be a cost-effective use of NHS resources (£50,000 per QALY gained for a life-extending treatment at the end of life).</w:t>
      </w:r>
      <w:r>
        <w:rPr>
          <w:lang w:val="en-GB"/>
        </w:rPr>
        <w:t xml:space="preserve"> This was also the case for a subgroup analysis </w:t>
      </w:r>
      <w:r w:rsidR="008E4D41">
        <w:rPr>
          <w:lang w:val="en-GB"/>
        </w:rPr>
        <w:t xml:space="preserve">including only people with </w:t>
      </w:r>
      <w:r w:rsidR="00DE2310">
        <w:rPr>
          <w:lang w:val="en-GB"/>
        </w:rPr>
        <w:t>SM</w:t>
      </w:r>
      <w:r w:rsidR="0058118F">
        <w:rPr>
          <w:lang w:val="en-GB"/>
        </w:rPr>
        <w:noBreakHyphen/>
      </w:r>
      <w:r w:rsidR="00DE2310">
        <w:rPr>
          <w:lang w:val="en-GB"/>
        </w:rPr>
        <w:t xml:space="preserve">AHN or MCL, which are the </w:t>
      </w:r>
      <w:r w:rsidR="009862F4">
        <w:rPr>
          <w:lang w:val="en-GB"/>
        </w:rPr>
        <w:t>2 </w:t>
      </w:r>
      <w:r w:rsidR="00DE2310">
        <w:rPr>
          <w:lang w:val="en-GB"/>
        </w:rPr>
        <w:t>more severe subtypes</w:t>
      </w:r>
      <w:r w:rsidR="008E4D41">
        <w:rPr>
          <w:lang w:val="en-GB"/>
        </w:rPr>
        <w:t>.</w:t>
      </w:r>
      <w:r w:rsidRPr="0047383B">
        <w:rPr>
          <w:lang w:val="en-GB"/>
        </w:rPr>
        <w:t xml:space="preserve"> </w:t>
      </w:r>
      <w:bookmarkStart w:id="22" w:name="_Ref50032940"/>
      <w:r w:rsidR="00A55E7C" w:rsidRPr="008E4D41">
        <w:rPr>
          <w:lang w:val="en-GB"/>
        </w:rPr>
        <w:t>The</w:t>
      </w:r>
      <w:r w:rsidR="00A55E7C" w:rsidRPr="00150072">
        <w:rPr>
          <w:lang w:val="en-GB"/>
        </w:rPr>
        <w:t xml:space="preserve"> committee </w:t>
      </w:r>
      <w:r w:rsidR="00DE2310">
        <w:rPr>
          <w:lang w:val="en-GB"/>
        </w:rPr>
        <w:t xml:space="preserve">recalled its </w:t>
      </w:r>
      <w:r>
        <w:rPr>
          <w:lang w:val="en-GB"/>
        </w:rPr>
        <w:t>preferred assumptions</w:t>
      </w:r>
      <w:r w:rsidR="008E4D41">
        <w:rPr>
          <w:lang w:val="en-GB"/>
        </w:rPr>
        <w:t xml:space="preserve"> for decision making</w:t>
      </w:r>
      <w:r>
        <w:rPr>
          <w:lang w:val="en-GB"/>
        </w:rPr>
        <w:t>:</w:t>
      </w:r>
      <w:bookmarkEnd w:id="22"/>
      <w:r>
        <w:rPr>
          <w:lang w:val="en-GB"/>
        </w:rPr>
        <w:t xml:space="preserve"> </w:t>
      </w:r>
    </w:p>
    <w:p w14:paraId="5FE19677" w14:textId="119B75CB" w:rsidR="00150072" w:rsidRDefault="009C58DD" w:rsidP="000F7CC8">
      <w:pPr>
        <w:pStyle w:val="Bulletindent1"/>
      </w:pPr>
      <w:r>
        <w:t>Using the Reiter et al.</w:t>
      </w:r>
      <w:r w:rsidR="00800530">
        <w:t xml:space="preserve"> (2017)</w:t>
      </w:r>
      <w:r>
        <w:t xml:space="preserve"> </w:t>
      </w:r>
      <w:r w:rsidRPr="009C58DD">
        <w:t xml:space="preserve">propensity score matched </w:t>
      </w:r>
      <w:r w:rsidR="00A34AE7">
        <w:t>OS</w:t>
      </w:r>
      <w:r w:rsidRPr="009C58DD">
        <w:t xml:space="preserve"> </w:t>
      </w:r>
      <w:r w:rsidR="009862F4">
        <w:t>HR</w:t>
      </w:r>
      <w:r w:rsidRPr="009C58DD">
        <w:t xml:space="preserve"> </w:t>
      </w:r>
      <w:r>
        <w:t xml:space="preserve">(see </w:t>
      </w:r>
      <w:hyperlink w:anchor="_The_comparative_evidence" w:history="1">
        <w:r w:rsidRPr="00993C90">
          <w:rPr>
            <w:rStyle w:val="Hyperlink"/>
          </w:rPr>
          <w:t xml:space="preserve">sections </w:t>
        </w:r>
        <w:r w:rsidR="00993C90" w:rsidRPr="00993C90">
          <w:rPr>
            <w:rStyle w:val="Hyperlink"/>
          </w:rPr>
          <w:t>3.4</w:t>
        </w:r>
        <w:r w:rsidR="00307DFE" w:rsidRPr="00993C90">
          <w:rPr>
            <w:rStyle w:val="Hyperlink"/>
          </w:rPr>
          <w:t xml:space="preserve"> </w:t>
        </w:r>
        <w:r w:rsidRPr="00993C90">
          <w:rPr>
            <w:rStyle w:val="Hyperlink"/>
          </w:rPr>
          <w:t xml:space="preserve">and </w:t>
        </w:r>
        <w:r w:rsidR="00993C90" w:rsidRPr="00993C90">
          <w:rPr>
            <w:rStyle w:val="Hyperlink"/>
          </w:rPr>
          <w:t>3.5</w:t>
        </w:r>
      </w:hyperlink>
      <w:r>
        <w:t>).</w:t>
      </w:r>
    </w:p>
    <w:p w14:paraId="628EEF7A" w14:textId="329FC707" w:rsidR="007214E3" w:rsidRDefault="00307DFE" w:rsidP="000F7CC8">
      <w:pPr>
        <w:pStyle w:val="Bulletindent1"/>
      </w:pPr>
      <w:r>
        <w:t>Using a single</w:t>
      </w:r>
      <w:r w:rsidRPr="00307DFE">
        <w:t xml:space="preserve"> </w:t>
      </w:r>
      <w:r w:rsidR="00A34AE7">
        <w:t>PFS</w:t>
      </w:r>
      <w:r w:rsidRPr="00307DFE">
        <w:t xml:space="preserve"> health state, with a single utility value from the company’s revised analysis</w:t>
      </w:r>
      <w:r>
        <w:t xml:space="preserve"> (see </w:t>
      </w:r>
      <w:hyperlink w:anchor="_The_model_should" w:history="1">
        <w:r w:rsidRPr="00993C90">
          <w:rPr>
            <w:rStyle w:val="Hyperlink"/>
          </w:rPr>
          <w:t xml:space="preserve">section </w:t>
        </w:r>
        <w:r w:rsidR="00993C90" w:rsidRPr="00993C90">
          <w:rPr>
            <w:rStyle w:val="Hyperlink"/>
          </w:rPr>
          <w:t>3.7</w:t>
        </w:r>
      </w:hyperlink>
      <w:r>
        <w:t>).</w:t>
      </w:r>
    </w:p>
    <w:p w14:paraId="4FC8B841" w14:textId="25F9AA04" w:rsidR="00FC62AE" w:rsidRPr="00222210" w:rsidRDefault="00307DFE" w:rsidP="00466B6A">
      <w:pPr>
        <w:pStyle w:val="Bulletindent1last"/>
      </w:pPr>
      <w:r>
        <w:t xml:space="preserve">Assuming the treatment benefit of midostaurin lasts for </w:t>
      </w:r>
      <w:r w:rsidR="00800530">
        <w:t>3 </w:t>
      </w:r>
      <w:r>
        <w:t xml:space="preserve">years, after which its progression and survival rates become equal to the comparator (see </w:t>
      </w:r>
      <w:hyperlink w:anchor="_A_lifetime_treatment" w:history="1">
        <w:r w:rsidRPr="00993C90">
          <w:rPr>
            <w:rStyle w:val="Hyperlink"/>
          </w:rPr>
          <w:t xml:space="preserve">section </w:t>
        </w:r>
        <w:r w:rsidR="00993C90" w:rsidRPr="00993C90">
          <w:rPr>
            <w:rStyle w:val="Hyperlink"/>
          </w:rPr>
          <w:t>3.9</w:t>
        </w:r>
      </w:hyperlink>
      <w:r>
        <w:t>).</w:t>
      </w:r>
      <w:r w:rsidR="00E709C4">
        <w:br/>
      </w:r>
      <w:r w:rsidR="00E709C4">
        <w:br/>
      </w:r>
      <w:r w:rsidR="00DE2310" w:rsidRPr="0046080F">
        <w:t>With the preferred assumptions, t</w:t>
      </w:r>
      <w:r w:rsidR="008E4D41" w:rsidRPr="002D68D1">
        <w:t>he cost-effectiveness estimate</w:t>
      </w:r>
      <w:r w:rsidR="009C58DD" w:rsidRPr="0058118F">
        <w:t>s</w:t>
      </w:r>
      <w:r w:rsidR="00DE2310" w:rsidRPr="0058118F">
        <w:t xml:space="preserve"> for the overall population and the more severe subgroup (SM</w:t>
      </w:r>
      <w:r w:rsidR="0058118F">
        <w:noBreakHyphen/>
      </w:r>
      <w:r w:rsidR="00DE2310" w:rsidRPr="0058118F">
        <w:t xml:space="preserve">AHN or MCL) </w:t>
      </w:r>
      <w:r w:rsidR="008E4D41" w:rsidRPr="001C3CFA">
        <w:t>remained higher than £100,000 per QALY gained. The committee considered that the estimate</w:t>
      </w:r>
      <w:r w:rsidR="00DE2310" w:rsidRPr="001C3CFA">
        <w:t>s</w:t>
      </w:r>
      <w:r w:rsidR="008E4D41" w:rsidRPr="001C3CFA">
        <w:t xml:space="preserve"> </w:t>
      </w:r>
      <w:r w:rsidR="00DE2310" w:rsidRPr="00222210">
        <w:t xml:space="preserve">were </w:t>
      </w:r>
      <w:r w:rsidR="008E4D41" w:rsidRPr="00222210">
        <w:t xml:space="preserve">uncertain </w:t>
      </w:r>
      <w:r w:rsidR="00B26B0C" w:rsidRPr="00222210">
        <w:t>because of</w:t>
      </w:r>
      <w:r w:rsidR="008E4D41" w:rsidRPr="00222210">
        <w:t xml:space="preserve"> limitations</w:t>
      </w:r>
      <w:r w:rsidR="00150072" w:rsidRPr="00222210">
        <w:t xml:space="preserve"> in the </w:t>
      </w:r>
      <w:r w:rsidR="008E4D41" w:rsidRPr="00222210">
        <w:t xml:space="preserve">clinical and comparative effectiveness </w:t>
      </w:r>
      <w:r w:rsidR="00150072" w:rsidRPr="00222210">
        <w:t>evidence</w:t>
      </w:r>
      <w:r w:rsidR="008E4D41" w:rsidRPr="00222210">
        <w:t xml:space="preserve"> (see sections </w:t>
      </w:r>
      <w:r w:rsidR="008E4D41" w:rsidRPr="00222210">
        <w:fldChar w:fldCharType="begin"/>
      </w:r>
      <w:r w:rsidR="008E4D41" w:rsidRPr="00222210">
        <w:instrText xml:space="preserve"> REF _Ref50030831 \r \h </w:instrText>
      </w:r>
      <w:r w:rsidR="008E4D41" w:rsidRPr="00222210">
        <w:fldChar w:fldCharType="separate"/>
      </w:r>
      <w:r w:rsidR="00A47250" w:rsidRPr="00222210">
        <w:t>3.4</w:t>
      </w:r>
      <w:r w:rsidR="008E4D41" w:rsidRPr="00222210">
        <w:fldChar w:fldCharType="end"/>
      </w:r>
      <w:r w:rsidR="007214E3" w:rsidRPr="00222210">
        <w:t xml:space="preserve">, </w:t>
      </w:r>
      <w:r w:rsidR="008E4D41" w:rsidRPr="00222210">
        <w:fldChar w:fldCharType="begin"/>
      </w:r>
      <w:r w:rsidR="008E4D41" w:rsidRPr="00222210">
        <w:instrText xml:space="preserve"> REF _Ref50022029 \r \h </w:instrText>
      </w:r>
      <w:r w:rsidR="008E4D41" w:rsidRPr="00222210">
        <w:fldChar w:fldCharType="separate"/>
      </w:r>
      <w:r w:rsidR="00A47250" w:rsidRPr="00222210">
        <w:t>3.5</w:t>
      </w:r>
      <w:r w:rsidR="008E4D41" w:rsidRPr="00222210">
        <w:fldChar w:fldCharType="end"/>
      </w:r>
      <w:r w:rsidR="007214E3" w:rsidRPr="00222210">
        <w:t xml:space="preserve"> and </w:t>
      </w:r>
      <w:r w:rsidR="007214E3" w:rsidRPr="00222210">
        <w:fldChar w:fldCharType="begin"/>
      </w:r>
      <w:r w:rsidR="007214E3" w:rsidRPr="00222210">
        <w:instrText xml:space="preserve"> REF _Ref50031216 \r \h </w:instrText>
      </w:r>
      <w:r w:rsidR="007214E3" w:rsidRPr="00222210">
        <w:fldChar w:fldCharType="separate"/>
      </w:r>
      <w:r w:rsidR="00A47250" w:rsidRPr="00222210">
        <w:t>3.9</w:t>
      </w:r>
      <w:r w:rsidR="007214E3" w:rsidRPr="00222210">
        <w:fldChar w:fldCharType="end"/>
      </w:r>
      <w:r w:rsidR="008E4D41" w:rsidRPr="0046080F">
        <w:t>)</w:t>
      </w:r>
      <w:r w:rsidR="00A55E7C" w:rsidRPr="002D68D1">
        <w:t>.</w:t>
      </w:r>
      <w:r w:rsidR="008E4D41" w:rsidRPr="002D68D1">
        <w:t xml:space="preserve"> </w:t>
      </w:r>
      <w:r w:rsidRPr="0058118F">
        <w:t>It recalled its</w:t>
      </w:r>
      <w:r w:rsidR="008E4D41" w:rsidRPr="0058118F">
        <w:t xml:space="preserve"> conclusion that the incremental QALY estimates from the model might not c</w:t>
      </w:r>
      <w:r w:rsidR="008E4D41" w:rsidRPr="001C3CFA">
        <w:t xml:space="preserve">apture all </w:t>
      </w:r>
      <w:r w:rsidR="007214E3" w:rsidRPr="001C3CFA">
        <w:t>of the quality of life benefit</w:t>
      </w:r>
      <w:r w:rsidR="00B26B0C" w:rsidRPr="001C3CFA">
        <w:t>s</w:t>
      </w:r>
      <w:r w:rsidR="007214E3" w:rsidRPr="00222210">
        <w:t xml:space="preserve"> associated with midostaurin compared with current treatment options (see</w:t>
      </w:r>
      <w:r w:rsidR="00800530" w:rsidRPr="00222210">
        <w:t xml:space="preserve"> </w:t>
      </w:r>
      <w:hyperlink w:anchor="_The_utility_estimates" w:history="1">
        <w:r w:rsidR="00800530" w:rsidRPr="0046080F">
          <w:rPr>
            <w:rStyle w:val="Hyperlink"/>
          </w:rPr>
          <w:t>section</w:t>
        </w:r>
        <w:r w:rsidR="007214E3" w:rsidRPr="002D68D1">
          <w:rPr>
            <w:rStyle w:val="Hyperlink"/>
          </w:rPr>
          <w:t xml:space="preserve"> </w:t>
        </w:r>
        <w:r w:rsidR="00134709" w:rsidRPr="002D68D1">
          <w:rPr>
            <w:rStyle w:val="Hyperlink"/>
          </w:rPr>
          <w:t>3.8</w:t>
        </w:r>
      </w:hyperlink>
      <w:r w:rsidR="007214E3" w:rsidRPr="0058118F">
        <w:t>). However, it agreed that the size of benefit that might have been missed would not be</w:t>
      </w:r>
      <w:r w:rsidR="007214E3" w:rsidRPr="001C3CFA">
        <w:t xml:space="preserve"> large enough to </w:t>
      </w:r>
      <w:r w:rsidR="007214E3" w:rsidRPr="001C3CFA">
        <w:lastRenderedPageBreak/>
        <w:t>reduce the cost-effectiveness estimate to a</w:t>
      </w:r>
      <w:r w:rsidR="005E1861" w:rsidRPr="001C3CFA">
        <w:t xml:space="preserve"> </w:t>
      </w:r>
      <w:r w:rsidR="007214E3" w:rsidRPr="001C3CFA">
        <w:t>level</w:t>
      </w:r>
      <w:r w:rsidR="005E1861" w:rsidRPr="00222210">
        <w:t xml:space="preserve"> that NICE considers cost effective</w:t>
      </w:r>
      <w:r w:rsidR="007214E3" w:rsidRPr="00222210">
        <w:t xml:space="preserve">, nor would it offset the </w:t>
      </w:r>
      <w:r w:rsidR="00134709" w:rsidRPr="00222210">
        <w:t xml:space="preserve">other </w:t>
      </w:r>
      <w:r w:rsidR="007214E3" w:rsidRPr="00222210">
        <w:t>uncertainties. Therefore, midostaurin could not be recommended for routine use in the NHS.</w:t>
      </w:r>
    </w:p>
    <w:p w14:paraId="0C88CEB4" w14:textId="47B81724" w:rsidR="00643582" w:rsidRDefault="00502F37" w:rsidP="00643582">
      <w:pPr>
        <w:pStyle w:val="Heading2"/>
      </w:pPr>
      <w:r>
        <w:t>Cancer Drugs Fund</w:t>
      </w:r>
      <w:r w:rsidR="00643582">
        <w:t xml:space="preserve"> </w:t>
      </w:r>
    </w:p>
    <w:p w14:paraId="776E9957" w14:textId="5426108F" w:rsidR="00643582" w:rsidRDefault="001E17FE" w:rsidP="0073007E">
      <w:pPr>
        <w:pStyle w:val="Heading3"/>
      </w:pPr>
      <w:r>
        <w:t xml:space="preserve">Midostaurin </w:t>
      </w:r>
      <w:r w:rsidR="00AF7809">
        <w:t>is not recommended</w:t>
      </w:r>
      <w:r>
        <w:t xml:space="preserve"> </w:t>
      </w:r>
      <w:r w:rsidR="005E1861">
        <w:t>for use</w:t>
      </w:r>
      <w:r>
        <w:t xml:space="preserve"> in the Cancer Drugs Fund</w:t>
      </w:r>
    </w:p>
    <w:p w14:paraId="65F44D84" w14:textId="39AE97A7" w:rsidR="00CF1CFA" w:rsidRPr="00C00D5C" w:rsidRDefault="001E17FE" w:rsidP="00C00D5C">
      <w:pPr>
        <w:pStyle w:val="Numberedlevel2text"/>
        <w:rPr>
          <w:lang w:val="en-GB"/>
        </w:rPr>
      </w:pPr>
      <w:bookmarkStart w:id="23" w:name="_Hlk54688057"/>
      <w:r>
        <w:t>Having concluded that m</w:t>
      </w:r>
      <w:r>
        <w:rPr>
          <w:lang w:val="en-GB"/>
        </w:rPr>
        <w:t>idostaurin</w:t>
      </w:r>
      <w:r>
        <w:t xml:space="preserve"> could not be recommended for</w:t>
      </w:r>
      <w:r>
        <w:rPr>
          <w:lang w:val="en-GB"/>
        </w:rPr>
        <w:t xml:space="preserve"> </w:t>
      </w:r>
      <w:r>
        <w:t>routine use, the committee then considered if it could be recommended</w:t>
      </w:r>
      <w:r>
        <w:rPr>
          <w:lang w:val="en-GB"/>
        </w:rPr>
        <w:t xml:space="preserve"> </w:t>
      </w:r>
      <w:r>
        <w:t xml:space="preserve">for treating </w:t>
      </w:r>
      <w:r w:rsidR="00CF1CFA">
        <w:rPr>
          <w:lang w:val="en-GB"/>
        </w:rPr>
        <w:t>advanced systemic mastocytosis</w:t>
      </w:r>
      <w:r>
        <w:t xml:space="preserve"> within the Cancer</w:t>
      </w:r>
      <w:r w:rsidR="00CF1CFA">
        <w:rPr>
          <w:lang w:val="en-GB"/>
        </w:rPr>
        <w:t xml:space="preserve"> </w:t>
      </w:r>
      <w:r>
        <w:t>Drugs Fund.</w:t>
      </w:r>
      <w:r w:rsidR="00CF1CFA">
        <w:rPr>
          <w:lang w:val="en-GB"/>
        </w:rPr>
        <w:t xml:space="preserve"> </w:t>
      </w:r>
      <w:r w:rsidR="00CF1CFA" w:rsidRPr="00CF1CFA">
        <w:rPr>
          <w:lang w:val="en-GB"/>
        </w:rPr>
        <w:t xml:space="preserve">The committee discussed the arrangements for the Cancer Drugs Fund agreed by NICE and NHS England in 2016, noting </w:t>
      </w:r>
      <w:hyperlink r:id="rId15" w:history="1">
        <w:r w:rsidR="00CF1CFA" w:rsidRPr="00800530">
          <w:rPr>
            <w:rStyle w:val="Hyperlink"/>
            <w:lang w:val="en-GB"/>
          </w:rPr>
          <w:t>NICE’s Cancer Drugs Fund methods guide (addendum)</w:t>
        </w:r>
      </w:hyperlink>
      <w:r w:rsidR="00CF1CFA" w:rsidRPr="00CF1CFA">
        <w:rPr>
          <w:lang w:val="en-GB"/>
        </w:rPr>
        <w:t>. The committee noted</w:t>
      </w:r>
      <w:r w:rsidR="00CF1CFA">
        <w:rPr>
          <w:lang w:val="en-GB"/>
        </w:rPr>
        <w:t xml:space="preserve"> </w:t>
      </w:r>
      <w:r w:rsidR="00CF1CFA" w:rsidRPr="00CF1CFA">
        <w:rPr>
          <w:lang w:val="en-GB"/>
        </w:rPr>
        <w:t>that</w:t>
      </w:r>
      <w:r w:rsidR="00254EBF">
        <w:rPr>
          <w:lang w:val="en-GB"/>
        </w:rPr>
        <w:t xml:space="preserve"> </w:t>
      </w:r>
      <w:proofErr w:type="spellStart"/>
      <w:r w:rsidR="00254EBF">
        <w:rPr>
          <w:lang w:val="en-GB"/>
        </w:rPr>
        <w:t>t</w:t>
      </w:r>
      <w:r w:rsidR="00CF1CFA" w:rsidRPr="00CF1CFA">
        <w:t>he</w:t>
      </w:r>
      <w:proofErr w:type="spellEnd"/>
      <w:r w:rsidR="00CF1CFA" w:rsidRPr="00CF1CFA">
        <w:t xml:space="preserve"> key uncertainty </w:t>
      </w:r>
      <w:r w:rsidR="0058118F">
        <w:rPr>
          <w:lang w:val="en-GB"/>
        </w:rPr>
        <w:t>was</w:t>
      </w:r>
      <w:r w:rsidR="00CF1CFA" w:rsidRPr="00CF1CFA">
        <w:t xml:space="preserve"> the </w:t>
      </w:r>
      <w:r w:rsidR="0058118F">
        <w:rPr>
          <w:lang w:val="en-GB"/>
        </w:rPr>
        <w:t xml:space="preserve">lack of </w:t>
      </w:r>
      <w:r w:rsidR="00CF1CFA" w:rsidRPr="00CF1CFA">
        <w:t xml:space="preserve">availability of comparative effectiveness evidence. </w:t>
      </w:r>
      <w:r w:rsidR="00BF7422">
        <w:rPr>
          <w:lang w:val="en-GB"/>
        </w:rPr>
        <w:t>The committee was not aware of any planned future midostaurin or comparator studies that might resolve this uncertainty.</w:t>
      </w:r>
      <w:r w:rsidR="00BF7422" w:rsidRPr="00CF1CFA">
        <w:t xml:space="preserve"> </w:t>
      </w:r>
      <w:r w:rsidR="00BF7422">
        <w:rPr>
          <w:lang w:val="en-GB"/>
        </w:rPr>
        <w:t>Also, it understood that d</w:t>
      </w:r>
      <w:r w:rsidR="00CF1CFA" w:rsidRPr="00CF1CFA">
        <w:t xml:space="preserve">ata to </w:t>
      </w:r>
      <w:r w:rsidR="00BF7422">
        <w:rPr>
          <w:lang w:val="en-GB"/>
        </w:rPr>
        <w:t>inform comparative effectiveness</w:t>
      </w:r>
      <w:r w:rsidR="00CF1CFA" w:rsidRPr="00CF1CFA">
        <w:t xml:space="preserve"> could not be collected as part of the Cancer Drugs Fund</w:t>
      </w:r>
      <w:bookmarkEnd w:id="23"/>
      <w:r w:rsidR="00CF1CFA" w:rsidRPr="00CF1CFA">
        <w:t>.</w:t>
      </w:r>
      <w:r w:rsidR="00A14ABE" w:rsidRPr="00A14ABE">
        <w:t xml:space="preserve"> </w:t>
      </w:r>
      <w:r w:rsidR="00CF1CFA">
        <w:t xml:space="preserve">The committee concluded that </w:t>
      </w:r>
      <w:r w:rsidR="00CF1CFA" w:rsidRPr="00254EBF">
        <w:rPr>
          <w:lang w:val="en-GB"/>
        </w:rPr>
        <w:t>midostaurin</w:t>
      </w:r>
      <w:r w:rsidR="00CF1CFA">
        <w:t xml:space="preserve"> </w:t>
      </w:r>
      <w:r w:rsidR="00AF7809" w:rsidRPr="00254EBF">
        <w:rPr>
          <w:lang w:val="en-GB"/>
        </w:rPr>
        <w:t>is not recommended for use</w:t>
      </w:r>
      <w:r w:rsidR="005E1861" w:rsidRPr="00254EBF">
        <w:rPr>
          <w:lang w:val="en-GB"/>
        </w:rPr>
        <w:t xml:space="preserve"> in</w:t>
      </w:r>
      <w:r w:rsidR="00CF1CFA">
        <w:t xml:space="preserve"> the Cancer Drugs Fund.</w:t>
      </w:r>
    </w:p>
    <w:p w14:paraId="4CD03A08" w14:textId="77777777" w:rsidR="00CF1CFA" w:rsidRPr="00CF1CFA" w:rsidRDefault="00CF1CFA" w:rsidP="00CF1CFA">
      <w:pPr>
        <w:pStyle w:val="Heading2"/>
      </w:pPr>
      <w:r w:rsidRPr="00CF1CFA">
        <w:t>Innovation</w:t>
      </w:r>
    </w:p>
    <w:p w14:paraId="6B4F2962" w14:textId="0E67216E" w:rsidR="00CF1CFA" w:rsidRPr="00CF1CFA" w:rsidRDefault="00CF1CFA" w:rsidP="00CF1CFA">
      <w:pPr>
        <w:pStyle w:val="Heading3"/>
      </w:pPr>
      <w:r w:rsidRPr="00CF1CFA">
        <w:t>M</w:t>
      </w:r>
      <w:r>
        <w:t>idostaurin</w:t>
      </w:r>
      <w:r w:rsidRPr="00CF1CFA">
        <w:t xml:space="preserve"> is</w:t>
      </w:r>
      <w:r w:rsidR="00E27B7E">
        <w:t xml:space="preserve"> an</w:t>
      </w:r>
      <w:r w:rsidRPr="00CF1CFA">
        <w:t xml:space="preserve"> innovative </w:t>
      </w:r>
      <w:r w:rsidR="00E27B7E">
        <w:t xml:space="preserve">treatment for advanced systemic mastocytosis </w:t>
      </w:r>
    </w:p>
    <w:p w14:paraId="78D8395C" w14:textId="7752E90D" w:rsidR="00BD4703" w:rsidRPr="00BD4703" w:rsidRDefault="00CF1CFA" w:rsidP="001E17FE">
      <w:pPr>
        <w:pStyle w:val="Numberedlevel2text"/>
        <w:rPr>
          <w:lang w:val="en-GB"/>
        </w:rPr>
      </w:pPr>
      <w:r>
        <w:rPr>
          <w:lang w:val="en-GB"/>
        </w:rPr>
        <w:t>T</w:t>
      </w:r>
      <w:r w:rsidRPr="00CF1CFA">
        <w:rPr>
          <w:lang w:val="en-GB"/>
        </w:rPr>
        <w:t>he company considered m</w:t>
      </w:r>
      <w:r w:rsidR="00742087">
        <w:rPr>
          <w:lang w:val="en-GB"/>
        </w:rPr>
        <w:t>idostaurin</w:t>
      </w:r>
      <w:r w:rsidRPr="00CF1CFA">
        <w:rPr>
          <w:lang w:val="en-GB"/>
        </w:rPr>
        <w:t xml:space="preserve"> to be innovative because there</w:t>
      </w:r>
      <w:r>
        <w:rPr>
          <w:lang w:val="en-GB"/>
        </w:rPr>
        <w:t xml:space="preserve"> </w:t>
      </w:r>
      <w:r w:rsidRPr="00CF1CFA">
        <w:rPr>
          <w:lang w:val="en-GB"/>
        </w:rPr>
        <w:t>are</w:t>
      </w:r>
      <w:r w:rsidR="00000988">
        <w:rPr>
          <w:lang w:val="en-GB"/>
        </w:rPr>
        <w:t xml:space="preserve"> currently</w:t>
      </w:r>
      <w:r w:rsidRPr="00CF1CFA">
        <w:rPr>
          <w:lang w:val="en-GB"/>
        </w:rPr>
        <w:t xml:space="preserve"> </w:t>
      </w:r>
      <w:r w:rsidR="00742087">
        <w:rPr>
          <w:lang w:val="en-GB"/>
        </w:rPr>
        <w:t>no</w:t>
      </w:r>
      <w:r w:rsidR="00000988">
        <w:rPr>
          <w:lang w:val="en-GB"/>
        </w:rPr>
        <w:t xml:space="preserve"> other licensed or</w:t>
      </w:r>
      <w:r w:rsidR="00742087">
        <w:rPr>
          <w:lang w:val="en-GB"/>
        </w:rPr>
        <w:t xml:space="preserve"> targeted</w:t>
      </w:r>
      <w:r w:rsidR="00000988">
        <w:rPr>
          <w:lang w:val="en-GB"/>
        </w:rPr>
        <w:t xml:space="preserve"> disease-modifying</w:t>
      </w:r>
      <w:r w:rsidRPr="00CF1CFA">
        <w:rPr>
          <w:lang w:val="en-GB"/>
        </w:rPr>
        <w:t xml:space="preserve"> treatment options for people with </w:t>
      </w:r>
      <w:r w:rsidR="00742087">
        <w:rPr>
          <w:lang w:val="en-GB"/>
        </w:rPr>
        <w:t>advanced systemic mastocytosis.</w:t>
      </w:r>
      <w:r w:rsidRPr="00CF1CFA">
        <w:rPr>
          <w:lang w:val="en-GB"/>
        </w:rPr>
        <w:t xml:space="preserve"> The </w:t>
      </w:r>
      <w:r w:rsidR="00742087">
        <w:rPr>
          <w:lang w:val="en-GB"/>
        </w:rPr>
        <w:t>patient and clinical experts</w:t>
      </w:r>
      <w:r w:rsidRPr="00CF1CFA">
        <w:rPr>
          <w:lang w:val="en-GB"/>
        </w:rPr>
        <w:t xml:space="preserve"> emphasise</w:t>
      </w:r>
      <w:r w:rsidR="00000988">
        <w:rPr>
          <w:lang w:val="en-GB"/>
        </w:rPr>
        <w:t>d</w:t>
      </w:r>
      <w:r w:rsidRPr="00CF1CFA">
        <w:rPr>
          <w:lang w:val="en-GB"/>
        </w:rPr>
        <w:t xml:space="preserve"> the</w:t>
      </w:r>
      <w:r>
        <w:rPr>
          <w:lang w:val="en-GB"/>
        </w:rPr>
        <w:t xml:space="preserve"> </w:t>
      </w:r>
      <w:r w:rsidRPr="00CF1CFA">
        <w:rPr>
          <w:lang w:val="en-GB"/>
        </w:rPr>
        <w:t xml:space="preserve">importance of </w:t>
      </w:r>
      <w:r w:rsidR="00000988">
        <w:rPr>
          <w:lang w:val="en-GB"/>
        </w:rPr>
        <w:t>alleviating debilitating</w:t>
      </w:r>
      <w:r w:rsidR="00742087">
        <w:rPr>
          <w:lang w:val="en-GB"/>
        </w:rPr>
        <w:t xml:space="preserve"> symptoms and </w:t>
      </w:r>
      <w:r w:rsidR="00000988">
        <w:rPr>
          <w:lang w:val="en-GB"/>
        </w:rPr>
        <w:t xml:space="preserve">improving </w:t>
      </w:r>
      <w:r w:rsidR="00742087" w:rsidRPr="00CF1CFA">
        <w:rPr>
          <w:lang w:val="en-GB"/>
        </w:rPr>
        <w:t>health</w:t>
      </w:r>
      <w:r w:rsidRPr="00CF1CFA">
        <w:rPr>
          <w:lang w:val="en-GB"/>
        </w:rPr>
        <w:t>-related quality of life</w:t>
      </w:r>
      <w:r w:rsidR="00000988">
        <w:rPr>
          <w:lang w:val="en-GB"/>
        </w:rPr>
        <w:t xml:space="preserve">, and the potential benefit from midostaurin in achieving this (see </w:t>
      </w:r>
      <w:hyperlink w:anchor="_People_with_advanced" w:history="1">
        <w:r w:rsidR="00000988" w:rsidRPr="00134709">
          <w:rPr>
            <w:rStyle w:val="Hyperlink"/>
            <w:lang w:val="en-GB"/>
          </w:rPr>
          <w:t>section</w:t>
        </w:r>
        <w:r w:rsidR="00134709" w:rsidRPr="00134709">
          <w:rPr>
            <w:rStyle w:val="Hyperlink"/>
            <w:lang w:val="en-GB"/>
          </w:rPr>
          <w:t xml:space="preserve"> 3.1</w:t>
        </w:r>
      </w:hyperlink>
      <w:r w:rsidR="00000988">
        <w:rPr>
          <w:lang w:val="en-GB"/>
        </w:rPr>
        <w:t>)</w:t>
      </w:r>
      <w:r w:rsidRPr="00CF1CFA">
        <w:rPr>
          <w:lang w:val="en-GB"/>
        </w:rPr>
        <w:t xml:space="preserve">. It </w:t>
      </w:r>
      <w:r w:rsidR="00000988">
        <w:rPr>
          <w:lang w:val="en-GB"/>
        </w:rPr>
        <w:t xml:space="preserve">recalled </w:t>
      </w:r>
      <w:r w:rsidRPr="00CF1CFA">
        <w:rPr>
          <w:lang w:val="en-GB"/>
        </w:rPr>
        <w:t xml:space="preserve">that </w:t>
      </w:r>
      <w:r w:rsidR="00B26B0C">
        <w:rPr>
          <w:lang w:val="en-GB"/>
        </w:rPr>
        <w:t xml:space="preserve">the </w:t>
      </w:r>
      <w:r w:rsidR="00742087">
        <w:rPr>
          <w:lang w:val="en-GB"/>
        </w:rPr>
        <w:t xml:space="preserve">utility values </w:t>
      </w:r>
      <w:r w:rsidR="00000988">
        <w:rPr>
          <w:lang w:val="en-GB"/>
        </w:rPr>
        <w:t>used</w:t>
      </w:r>
      <w:r w:rsidR="00742087">
        <w:rPr>
          <w:lang w:val="en-GB"/>
        </w:rPr>
        <w:t xml:space="preserve"> </w:t>
      </w:r>
      <w:r w:rsidRPr="00CF1CFA">
        <w:rPr>
          <w:lang w:val="en-GB"/>
        </w:rPr>
        <w:t>in the</w:t>
      </w:r>
      <w:r w:rsidR="00742087">
        <w:rPr>
          <w:lang w:val="en-GB"/>
        </w:rPr>
        <w:t xml:space="preserve"> economic</w:t>
      </w:r>
      <w:r w:rsidRPr="00CF1CFA">
        <w:rPr>
          <w:lang w:val="en-GB"/>
        </w:rPr>
        <w:t xml:space="preserve"> model</w:t>
      </w:r>
      <w:r w:rsidR="00000988">
        <w:rPr>
          <w:lang w:val="en-GB"/>
        </w:rPr>
        <w:t xml:space="preserve"> might not capture all quality of life benefit</w:t>
      </w:r>
      <w:r w:rsidR="00134709">
        <w:rPr>
          <w:lang w:val="en-GB"/>
        </w:rPr>
        <w:t>s</w:t>
      </w:r>
      <w:r w:rsidR="00000988">
        <w:rPr>
          <w:lang w:val="en-GB"/>
        </w:rPr>
        <w:t xml:space="preserve"> associated with midostaurin, because there were no quality of life data from people having current clinical management (see </w:t>
      </w:r>
      <w:hyperlink w:anchor="_The_utility_estimates" w:history="1">
        <w:r w:rsidR="0058118F" w:rsidRPr="00134709">
          <w:rPr>
            <w:rStyle w:val="Hyperlink"/>
            <w:lang w:val="en-GB"/>
          </w:rPr>
          <w:t xml:space="preserve">section </w:t>
        </w:r>
        <w:r w:rsidR="0058118F" w:rsidRPr="00134709">
          <w:rPr>
            <w:rStyle w:val="Hyperlink"/>
            <w:lang w:val="en-GB"/>
          </w:rPr>
          <w:lastRenderedPageBreak/>
          <w:t>3.</w:t>
        </w:r>
        <w:r w:rsidR="0058118F">
          <w:rPr>
            <w:rStyle w:val="Hyperlink"/>
            <w:lang w:val="en-GB"/>
          </w:rPr>
          <w:t>8</w:t>
        </w:r>
      </w:hyperlink>
      <w:r w:rsidR="00000988">
        <w:rPr>
          <w:lang w:val="en-GB"/>
        </w:rPr>
        <w:t>)</w:t>
      </w:r>
      <w:r w:rsidRPr="00CF1CFA">
        <w:rPr>
          <w:lang w:val="en-GB"/>
        </w:rPr>
        <w:t xml:space="preserve">. </w:t>
      </w:r>
      <w:r w:rsidR="00000988">
        <w:rPr>
          <w:lang w:val="en-GB"/>
        </w:rPr>
        <w:t>However,</w:t>
      </w:r>
      <w:r w:rsidR="00000988" w:rsidRPr="00CF1CFA">
        <w:rPr>
          <w:lang w:val="en-GB"/>
        </w:rPr>
        <w:t xml:space="preserve"> </w:t>
      </w:r>
      <w:r w:rsidRPr="00CF1CFA">
        <w:rPr>
          <w:lang w:val="en-GB"/>
        </w:rPr>
        <w:t xml:space="preserve">it </w:t>
      </w:r>
      <w:r w:rsidR="00000988">
        <w:rPr>
          <w:lang w:val="en-GB"/>
        </w:rPr>
        <w:t>had taken this potential uncertainty into account in its decision making (</w:t>
      </w:r>
      <w:r w:rsidR="00A657FF">
        <w:rPr>
          <w:lang w:val="en-GB"/>
        </w:rPr>
        <w:t xml:space="preserve">see </w:t>
      </w:r>
      <w:hyperlink w:anchor="_All_cost-effectiveness_estimates" w:history="1">
        <w:r w:rsidR="00A657FF" w:rsidRPr="00134709">
          <w:rPr>
            <w:rStyle w:val="Hyperlink"/>
            <w:lang w:val="en-GB"/>
          </w:rPr>
          <w:t>section</w:t>
        </w:r>
        <w:r w:rsidR="00134709" w:rsidRPr="00134709">
          <w:rPr>
            <w:rStyle w:val="Hyperlink"/>
            <w:lang w:val="en-GB"/>
          </w:rPr>
          <w:t xml:space="preserve"> 3.11</w:t>
        </w:r>
      </w:hyperlink>
      <w:r w:rsidR="00000988">
        <w:rPr>
          <w:lang w:val="en-GB"/>
        </w:rPr>
        <w:t xml:space="preserve">). It concluded that while midostaurin may be innovative, this does not change the cost-effectiveness conclusion because the estimates are substantially </w:t>
      </w:r>
      <w:r>
        <w:t xml:space="preserve">higher than </w:t>
      </w:r>
      <w:r w:rsidR="00742087">
        <w:rPr>
          <w:lang w:val="en-GB"/>
        </w:rPr>
        <w:t>£5</w:t>
      </w:r>
      <w:r>
        <w:t xml:space="preserve">0,000 per QALY gained. </w:t>
      </w:r>
    </w:p>
    <w:p w14:paraId="1B7A703D" w14:textId="77777777" w:rsidR="00BD4703" w:rsidRDefault="00BD4703" w:rsidP="00BD4703">
      <w:pPr>
        <w:pStyle w:val="Heading2"/>
      </w:pPr>
      <w:r>
        <w:t>Equalities considerations</w:t>
      </w:r>
    </w:p>
    <w:p w14:paraId="4330A768" w14:textId="77777777" w:rsidR="00BD4703" w:rsidRDefault="00BD4703" w:rsidP="00BD4703">
      <w:pPr>
        <w:pStyle w:val="Heading3"/>
      </w:pPr>
      <w:r>
        <w:t>There are no equalities issues relevant to the recommendation</w:t>
      </w:r>
    </w:p>
    <w:p w14:paraId="680231B7" w14:textId="3B23B523" w:rsidR="002A686F" w:rsidRPr="00BD4703" w:rsidRDefault="00BD4703" w:rsidP="00C00D5C">
      <w:pPr>
        <w:pStyle w:val="Numberedlevel2text"/>
      </w:pPr>
      <w:r>
        <w:t>No equalities issues were raised during scoping and technica</w:t>
      </w:r>
      <w:r w:rsidR="0075256C">
        <w:rPr>
          <w:lang w:val="en-GB"/>
        </w:rPr>
        <w:t>l</w:t>
      </w:r>
      <w:r>
        <w:rPr>
          <w:lang w:val="en-GB"/>
        </w:rPr>
        <w:t xml:space="preserve"> </w:t>
      </w:r>
      <w:r>
        <w:t>engagement. No potential equality issues were identified in the company</w:t>
      </w:r>
      <w:r>
        <w:rPr>
          <w:lang w:val="en-GB"/>
        </w:rPr>
        <w:t xml:space="preserve"> </w:t>
      </w:r>
      <w:r>
        <w:t>submission. The committee concluded that there were no equalitie</w:t>
      </w:r>
      <w:r>
        <w:rPr>
          <w:lang w:val="en-GB"/>
        </w:rPr>
        <w:t xml:space="preserve">s </w:t>
      </w:r>
      <w:r>
        <w:t>issues relevant to the recommendation.</w:t>
      </w:r>
    </w:p>
    <w:p w14:paraId="3A6D7C16" w14:textId="77777777" w:rsidR="000F48EC" w:rsidRPr="000F48EC" w:rsidRDefault="007A2801" w:rsidP="0014606F">
      <w:pPr>
        <w:pStyle w:val="Numberedheading1"/>
      </w:pPr>
      <w:r>
        <w:t xml:space="preserve">Proposed date for </w:t>
      </w:r>
      <w:r w:rsidR="00000441">
        <w:t>r</w:t>
      </w:r>
      <w:r w:rsidR="000F48EC" w:rsidRPr="000F48EC">
        <w:t>eview of guidance</w:t>
      </w:r>
    </w:p>
    <w:p w14:paraId="41977AE3" w14:textId="30A8E6D8" w:rsidR="00C52FC0" w:rsidRPr="000F48EC" w:rsidRDefault="001823EB" w:rsidP="00BD4703">
      <w:pPr>
        <w:pStyle w:val="Numberedlevel2text"/>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 xml:space="preserve">xecutive will decide whether the technology should be reviewed based on information gathered by NICE, and in consultation with consultees and commentators. </w:t>
      </w:r>
    </w:p>
    <w:p w14:paraId="6B521DCB" w14:textId="1B7C826C" w:rsidR="004845D0" w:rsidRDefault="00BD4703" w:rsidP="00ED5F88">
      <w:pPr>
        <w:pStyle w:val="NICEnormal"/>
      </w:pPr>
      <w:r>
        <w:t>Stephen O’Brien</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rsidR="00254EBF">
        <w:t>Nov</w:t>
      </w:r>
      <w:r>
        <w:t>ember 2020</w:t>
      </w:r>
    </w:p>
    <w:p w14:paraId="484DF1F3"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7147E532" w14:textId="77777777" w:rsidR="00B16431" w:rsidRPr="007D7F83" w:rsidRDefault="00B16431" w:rsidP="00B16431">
      <w:pPr>
        <w:pStyle w:val="Heading2"/>
      </w:pPr>
      <w:bookmarkStart w:id="24" w:name="_Appraisal_committee_members"/>
      <w:bookmarkEnd w:id="24"/>
      <w:r w:rsidRPr="007D7F83">
        <w:t xml:space="preserve">Appraisal </w:t>
      </w:r>
      <w:r w:rsidR="00343B53">
        <w:t>c</w:t>
      </w:r>
      <w:r w:rsidRPr="007D7F83">
        <w:t>ommittee members</w:t>
      </w:r>
    </w:p>
    <w:p w14:paraId="6E309AE9" w14:textId="61DC9550" w:rsidR="002F2583" w:rsidRPr="00742089" w:rsidRDefault="002F2583" w:rsidP="002F2583">
      <w:pPr>
        <w:pStyle w:val="NICEnormal"/>
        <w:rPr>
          <w:rFonts w:eastAsia="Calibri"/>
        </w:rPr>
      </w:pPr>
      <w:r>
        <w:t xml:space="preserve">The 4 technology appraisal committees are standing advisory committees of NICE. This topic was considered </w:t>
      </w:r>
      <w:r w:rsidR="00E97467">
        <w:t xml:space="preserve">by </w:t>
      </w:r>
      <w:hyperlink r:id="rId16" w:history="1">
        <w:r w:rsidR="00E97467" w:rsidRPr="00E97467">
          <w:rPr>
            <w:rStyle w:val="Hyperlink"/>
          </w:rPr>
          <w:t>committee C</w:t>
        </w:r>
      </w:hyperlink>
      <w:r>
        <w:t>.</w:t>
      </w:r>
    </w:p>
    <w:p w14:paraId="59B3BE46" w14:textId="77777777" w:rsidR="002F2583" w:rsidRDefault="002F2583" w:rsidP="002F2583">
      <w:pPr>
        <w:pStyle w:val="NICEnormal"/>
      </w:pPr>
      <w:r>
        <w:lastRenderedPageBreak/>
        <w:t xml:space="preserve">Committee members are asked to declare any interests in the technology to be appraised. If it is considered there is a conflict of interest, the member is excluded from participating further in that appraisal. </w:t>
      </w:r>
    </w:p>
    <w:p w14:paraId="5F977758" w14:textId="77777777" w:rsidR="002F2583" w:rsidRDefault="002F2583" w:rsidP="002F2583">
      <w:pPr>
        <w:pStyle w:val="NICEnormal"/>
      </w:pPr>
      <w:r>
        <w:t xml:space="preserve">The </w:t>
      </w:r>
      <w:hyperlink r:id="rId17"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5732FB70" w14:textId="77777777" w:rsidR="00B16431" w:rsidRPr="007D7F83" w:rsidRDefault="00B16431" w:rsidP="00B16431">
      <w:pPr>
        <w:pStyle w:val="Heading2"/>
      </w:pPr>
      <w:r w:rsidRPr="007D7F83">
        <w:t>NICE project team</w:t>
      </w:r>
    </w:p>
    <w:p w14:paraId="59E4ED53" w14:textId="3E6D4F37"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 </w:t>
      </w:r>
    </w:p>
    <w:p w14:paraId="3E7169BC" w14:textId="7DD4320C" w:rsidR="00B16431" w:rsidRDefault="00E97467" w:rsidP="00B16431">
      <w:pPr>
        <w:pStyle w:val="NICEnormal"/>
      </w:pPr>
      <w:bookmarkStart w:id="25" w:name="Text45"/>
      <w:r>
        <w:rPr>
          <w:b/>
        </w:rPr>
        <w:t>Zain Hussain</w:t>
      </w:r>
      <w:r w:rsidR="00095C04">
        <w:rPr>
          <w:b/>
        </w:rPr>
        <w:t xml:space="preserve"> and </w:t>
      </w:r>
      <w:r w:rsidR="00095C04" w:rsidRPr="00095C04">
        <w:rPr>
          <w:b/>
        </w:rPr>
        <w:t>Verena Wolfram</w:t>
      </w:r>
      <w:r w:rsidR="00B16431">
        <w:br/>
      </w:r>
      <w:r w:rsidR="00B16431" w:rsidRPr="000F2D8A">
        <w:t xml:space="preserve">Technical </w:t>
      </w:r>
      <w:r w:rsidR="00E65C76">
        <w:t>l</w:t>
      </w:r>
      <w:r w:rsidR="00B16431" w:rsidRPr="000F2D8A">
        <w:t>ead</w:t>
      </w:r>
      <w:r w:rsidR="00095C04">
        <w:t>s</w:t>
      </w:r>
    </w:p>
    <w:p w14:paraId="1FF2304F" w14:textId="498D2E56" w:rsidR="00B16431" w:rsidRPr="000F2D8A" w:rsidRDefault="00E97467" w:rsidP="00B16431">
      <w:pPr>
        <w:pStyle w:val="NICEnormal"/>
      </w:pPr>
      <w:r>
        <w:rPr>
          <w:b/>
        </w:rPr>
        <w:t>Jamie Elvidge</w:t>
      </w:r>
      <w:r w:rsidR="00B16431">
        <w:br/>
      </w:r>
      <w:r w:rsidR="00B16431" w:rsidRPr="00AF59A2">
        <w:t xml:space="preserve">Technical </w:t>
      </w:r>
      <w:r w:rsidR="00E65C76">
        <w:t>a</w:t>
      </w:r>
      <w:r w:rsidR="00B16431" w:rsidRPr="00AF59A2">
        <w:t>dviser</w:t>
      </w:r>
    </w:p>
    <w:p w14:paraId="29340677" w14:textId="0C9334BB" w:rsidR="00B16431" w:rsidRPr="000F2D8A" w:rsidRDefault="00B9421C" w:rsidP="005D3FD9">
      <w:pPr>
        <w:pStyle w:val="NICEnormal"/>
      </w:pPr>
      <w:r>
        <w:rPr>
          <w:b/>
        </w:rPr>
        <w:t>Gavin Kenny</w:t>
      </w:r>
      <w:r w:rsidR="00B16431">
        <w:br/>
      </w:r>
      <w:r w:rsidR="00B16431" w:rsidRPr="000F2D8A">
        <w:t xml:space="preserve">Project </w:t>
      </w:r>
      <w:r w:rsidR="00E65C76">
        <w:t>m</w:t>
      </w:r>
      <w:r w:rsidR="00B16431" w:rsidRPr="000F2D8A">
        <w:t>anager</w:t>
      </w:r>
      <w:bookmarkEnd w:id="25"/>
    </w:p>
    <w:p w14:paraId="4BE8CCCF"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18"/>
      <w:footerReference w:type="default" r:id="rId1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A23AF" w14:textId="77777777" w:rsidR="00ED0898" w:rsidRDefault="00ED0898">
      <w:r>
        <w:separator/>
      </w:r>
    </w:p>
  </w:endnote>
  <w:endnote w:type="continuationSeparator" w:id="0">
    <w:p w14:paraId="0F14E265" w14:textId="77777777" w:rsidR="00ED0898" w:rsidRDefault="00ED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22DD3" w14:textId="52B30FD2" w:rsidR="00ED0898" w:rsidRPr="003D33FB" w:rsidRDefault="00ED0898" w:rsidP="007A7EC8">
    <w:pPr>
      <w:pStyle w:val="NICEnormalsinglespacing"/>
      <w:spacing w:after="120"/>
      <w:rPr>
        <w:sz w:val="18"/>
        <w:szCs w:val="18"/>
      </w:rPr>
    </w:pPr>
    <w:r>
      <w:rPr>
        <w:sz w:val="18"/>
        <w:szCs w:val="18"/>
      </w:rPr>
      <w:t>Appraisal consultation document</w:t>
    </w:r>
    <w:r w:rsidRPr="003D33FB">
      <w:rPr>
        <w:sz w:val="18"/>
        <w:szCs w:val="18"/>
      </w:rPr>
      <w:t xml:space="preserve"> – </w:t>
    </w:r>
    <w:r>
      <w:rPr>
        <w:sz w:val="18"/>
        <w:szCs w:val="18"/>
      </w:rPr>
      <w:t>Midostaurin for treating advanced systemic mastocytosis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1434C43B" w14:textId="26B7807D" w:rsidR="00ED0898" w:rsidRDefault="00ED0898" w:rsidP="007A7EC8">
    <w:pPr>
      <w:pStyle w:val="NICEnormalsinglespacing"/>
      <w:spacing w:after="120"/>
      <w:rPr>
        <w:sz w:val="18"/>
        <w:szCs w:val="18"/>
      </w:rPr>
    </w:pPr>
    <w:r w:rsidRPr="003D33FB">
      <w:rPr>
        <w:sz w:val="18"/>
        <w:szCs w:val="18"/>
      </w:rPr>
      <w:t xml:space="preserve">Issue date: </w:t>
    </w:r>
    <w:r w:rsidR="00254EBF">
      <w:rPr>
        <w:sz w:val="18"/>
        <w:szCs w:val="18"/>
      </w:rPr>
      <w:t xml:space="preserve">November </w:t>
    </w:r>
    <w:r>
      <w:rPr>
        <w:sz w:val="18"/>
        <w:szCs w:val="18"/>
      </w:rPr>
      <w:t>2020</w:t>
    </w:r>
  </w:p>
  <w:p w14:paraId="4758D756" w14:textId="2A75371E" w:rsidR="00ED0898" w:rsidRPr="007A7EC8" w:rsidRDefault="00ED0898"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0B0D6" w14:textId="77777777" w:rsidR="00ED0898" w:rsidRDefault="00ED0898">
      <w:r>
        <w:separator/>
      </w:r>
    </w:p>
  </w:footnote>
  <w:footnote w:type="continuationSeparator" w:id="0">
    <w:p w14:paraId="68974E17" w14:textId="77777777" w:rsidR="00ED0898" w:rsidRDefault="00ED0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0EEB1" w14:textId="77777777" w:rsidR="00ED0898" w:rsidRPr="004E6427" w:rsidRDefault="00ED0898"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C96138D"/>
    <w:multiLevelType w:val="hybridMultilevel"/>
    <w:tmpl w:val="8B884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8EC3D25"/>
    <w:multiLevelType w:val="hybridMultilevel"/>
    <w:tmpl w:val="036460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D6F3E"/>
    <w:multiLevelType w:val="hybridMultilevel"/>
    <w:tmpl w:val="119C0F78"/>
    <w:lvl w:ilvl="0" w:tplc="EC809A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8810EEA"/>
    <w:multiLevelType w:val="hybridMultilevel"/>
    <w:tmpl w:val="F622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F00955"/>
    <w:multiLevelType w:val="hybridMultilevel"/>
    <w:tmpl w:val="7B5014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2" w15:restartNumberingAfterBreak="0">
    <w:nsid w:val="766959A4"/>
    <w:multiLevelType w:val="hybridMultilevel"/>
    <w:tmpl w:val="0F8CAA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
  </w:num>
  <w:num w:numId="3">
    <w:abstractNumId w:val="19"/>
  </w:num>
  <w:num w:numId="4">
    <w:abstractNumId w:val="12"/>
  </w:num>
  <w:num w:numId="5">
    <w:abstractNumId w:val="13"/>
  </w:num>
  <w:num w:numId="6">
    <w:abstractNumId w:val="0"/>
  </w:num>
  <w:num w:numId="7">
    <w:abstractNumId w:val="3"/>
  </w:num>
  <w:num w:numId="8">
    <w:abstractNumId w:val="6"/>
  </w:num>
  <w:num w:numId="9">
    <w:abstractNumId w:val="8"/>
  </w:num>
  <w:num w:numId="10">
    <w:abstractNumId w:val="9"/>
  </w:num>
  <w:num w:numId="11">
    <w:abstractNumId w:val="11"/>
  </w:num>
  <w:num w:numId="12">
    <w:abstractNumId w:val="10"/>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9"/>
  </w:num>
  <w:num w:numId="22">
    <w:abstractNumId w:val="17"/>
  </w:num>
  <w:num w:numId="23">
    <w:abstractNumId w:val="18"/>
  </w:num>
  <w:num w:numId="24">
    <w:abstractNumId w:val="9"/>
  </w:num>
  <w:num w:numId="25">
    <w:abstractNumId w:val="17"/>
  </w:num>
  <w:num w:numId="26">
    <w:abstractNumId w:val="2"/>
  </w:num>
  <w:num w:numId="27">
    <w:abstractNumId w:val="15"/>
  </w:num>
  <w:num w:numId="28">
    <w:abstractNumId w:val="4"/>
  </w:num>
  <w:num w:numId="29">
    <w:abstractNumId w:val="16"/>
  </w:num>
  <w:num w:numId="30">
    <w:abstractNumId w:val="7"/>
  </w:num>
  <w:num w:numId="3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B3"/>
    <w:rsid w:val="00000441"/>
    <w:rsid w:val="00000988"/>
    <w:rsid w:val="00006590"/>
    <w:rsid w:val="000069A4"/>
    <w:rsid w:val="000069F9"/>
    <w:rsid w:val="0000727D"/>
    <w:rsid w:val="000119FB"/>
    <w:rsid w:val="000136F9"/>
    <w:rsid w:val="00014990"/>
    <w:rsid w:val="00016A22"/>
    <w:rsid w:val="00016DB7"/>
    <w:rsid w:val="00016E5E"/>
    <w:rsid w:val="00017610"/>
    <w:rsid w:val="000205C6"/>
    <w:rsid w:val="00021FB0"/>
    <w:rsid w:val="000221AA"/>
    <w:rsid w:val="0002331F"/>
    <w:rsid w:val="00023F26"/>
    <w:rsid w:val="000249F8"/>
    <w:rsid w:val="00026E82"/>
    <w:rsid w:val="00030676"/>
    <w:rsid w:val="00030714"/>
    <w:rsid w:val="0003322C"/>
    <w:rsid w:val="00034110"/>
    <w:rsid w:val="00035AC1"/>
    <w:rsid w:val="000368FC"/>
    <w:rsid w:val="000376EE"/>
    <w:rsid w:val="00040AAA"/>
    <w:rsid w:val="000421F8"/>
    <w:rsid w:val="00043262"/>
    <w:rsid w:val="00044153"/>
    <w:rsid w:val="00045528"/>
    <w:rsid w:val="0004716C"/>
    <w:rsid w:val="00052063"/>
    <w:rsid w:val="00055DDF"/>
    <w:rsid w:val="00057724"/>
    <w:rsid w:val="00061C83"/>
    <w:rsid w:val="0006624B"/>
    <w:rsid w:val="00066EB2"/>
    <w:rsid w:val="000711F1"/>
    <w:rsid w:val="00073DA8"/>
    <w:rsid w:val="00074D53"/>
    <w:rsid w:val="000755E6"/>
    <w:rsid w:val="000764D3"/>
    <w:rsid w:val="00077565"/>
    <w:rsid w:val="00077932"/>
    <w:rsid w:val="00080A47"/>
    <w:rsid w:val="00082F77"/>
    <w:rsid w:val="00085265"/>
    <w:rsid w:val="00085C5A"/>
    <w:rsid w:val="00085F52"/>
    <w:rsid w:val="00085FAF"/>
    <w:rsid w:val="000862FC"/>
    <w:rsid w:val="00087323"/>
    <w:rsid w:val="000879ED"/>
    <w:rsid w:val="00093649"/>
    <w:rsid w:val="00095C04"/>
    <w:rsid w:val="00096246"/>
    <w:rsid w:val="000A0A6E"/>
    <w:rsid w:val="000A0CA0"/>
    <w:rsid w:val="000A4016"/>
    <w:rsid w:val="000A436E"/>
    <w:rsid w:val="000A6464"/>
    <w:rsid w:val="000A6C40"/>
    <w:rsid w:val="000B1027"/>
    <w:rsid w:val="000B70D6"/>
    <w:rsid w:val="000B7F7A"/>
    <w:rsid w:val="000C04A1"/>
    <w:rsid w:val="000C194F"/>
    <w:rsid w:val="000C2222"/>
    <w:rsid w:val="000C31A6"/>
    <w:rsid w:val="000C3707"/>
    <w:rsid w:val="000D09ED"/>
    <w:rsid w:val="000D0A87"/>
    <w:rsid w:val="000D0E3D"/>
    <w:rsid w:val="000D0FB1"/>
    <w:rsid w:val="000D11B8"/>
    <w:rsid w:val="000D145B"/>
    <w:rsid w:val="000D4E2C"/>
    <w:rsid w:val="000D6016"/>
    <w:rsid w:val="000D7185"/>
    <w:rsid w:val="000E01F1"/>
    <w:rsid w:val="000E0BA9"/>
    <w:rsid w:val="000E1CED"/>
    <w:rsid w:val="000E24BD"/>
    <w:rsid w:val="000E29D1"/>
    <w:rsid w:val="000E2A62"/>
    <w:rsid w:val="000E4A54"/>
    <w:rsid w:val="000E6F19"/>
    <w:rsid w:val="000F1B3B"/>
    <w:rsid w:val="000F1E3F"/>
    <w:rsid w:val="000F3B8E"/>
    <w:rsid w:val="000F3DBC"/>
    <w:rsid w:val="000F48EC"/>
    <w:rsid w:val="000F5D8D"/>
    <w:rsid w:val="000F6289"/>
    <w:rsid w:val="000F7A3C"/>
    <w:rsid w:val="000F7CC8"/>
    <w:rsid w:val="001017A9"/>
    <w:rsid w:val="00101F34"/>
    <w:rsid w:val="001030E1"/>
    <w:rsid w:val="001033D5"/>
    <w:rsid w:val="001039F7"/>
    <w:rsid w:val="00105409"/>
    <w:rsid w:val="00107DBD"/>
    <w:rsid w:val="00113666"/>
    <w:rsid w:val="00114DEE"/>
    <w:rsid w:val="001169FE"/>
    <w:rsid w:val="00116D19"/>
    <w:rsid w:val="00117513"/>
    <w:rsid w:val="001209CD"/>
    <w:rsid w:val="00120BD3"/>
    <w:rsid w:val="00121E78"/>
    <w:rsid w:val="001230AC"/>
    <w:rsid w:val="00123F4B"/>
    <w:rsid w:val="00124604"/>
    <w:rsid w:val="001265C0"/>
    <w:rsid w:val="001337B7"/>
    <w:rsid w:val="00133921"/>
    <w:rsid w:val="001344B3"/>
    <w:rsid w:val="00134709"/>
    <w:rsid w:val="00140C93"/>
    <w:rsid w:val="00141989"/>
    <w:rsid w:val="00141A47"/>
    <w:rsid w:val="00143536"/>
    <w:rsid w:val="00145B2F"/>
    <w:rsid w:val="00145CC4"/>
    <w:rsid w:val="0014606F"/>
    <w:rsid w:val="00150072"/>
    <w:rsid w:val="00150440"/>
    <w:rsid w:val="00151D8E"/>
    <w:rsid w:val="001570BC"/>
    <w:rsid w:val="001579BF"/>
    <w:rsid w:val="0016106E"/>
    <w:rsid w:val="00161AA0"/>
    <w:rsid w:val="001662BC"/>
    <w:rsid w:val="00167BB3"/>
    <w:rsid w:val="0017072D"/>
    <w:rsid w:val="00170746"/>
    <w:rsid w:val="00170B60"/>
    <w:rsid w:val="00171A2B"/>
    <w:rsid w:val="001740A6"/>
    <w:rsid w:val="00176FB2"/>
    <w:rsid w:val="00176FE0"/>
    <w:rsid w:val="00180E3D"/>
    <w:rsid w:val="0018134C"/>
    <w:rsid w:val="001816AA"/>
    <w:rsid w:val="001823EB"/>
    <w:rsid w:val="00184A64"/>
    <w:rsid w:val="0018716E"/>
    <w:rsid w:val="001873CB"/>
    <w:rsid w:val="00190C4D"/>
    <w:rsid w:val="00191B56"/>
    <w:rsid w:val="00193945"/>
    <w:rsid w:val="00193D8F"/>
    <w:rsid w:val="001956FC"/>
    <w:rsid w:val="00196FE1"/>
    <w:rsid w:val="0019718A"/>
    <w:rsid w:val="001979D8"/>
    <w:rsid w:val="001A1AE2"/>
    <w:rsid w:val="001A3EEB"/>
    <w:rsid w:val="001A5561"/>
    <w:rsid w:val="001A6661"/>
    <w:rsid w:val="001B2DD8"/>
    <w:rsid w:val="001B7E00"/>
    <w:rsid w:val="001C0EF4"/>
    <w:rsid w:val="001C3CFA"/>
    <w:rsid w:val="001C59E4"/>
    <w:rsid w:val="001C6D8A"/>
    <w:rsid w:val="001D1D43"/>
    <w:rsid w:val="001D5890"/>
    <w:rsid w:val="001E17FE"/>
    <w:rsid w:val="001E27E5"/>
    <w:rsid w:val="001E2CAF"/>
    <w:rsid w:val="001E4D37"/>
    <w:rsid w:val="001F1400"/>
    <w:rsid w:val="001F1912"/>
    <w:rsid w:val="001F1E02"/>
    <w:rsid w:val="001F6078"/>
    <w:rsid w:val="001F617C"/>
    <w:rsid w:val="001F7251"/>
    <w:rsid w:val="00202A04"/>
    <w:rsid w:val="00202AB0"/>
    <w:rsid w:val="00204F82"/>
    <w:rsid w:val="002052E6"/>
    <w:rsid w:val="0021081C"/>
    <w:rsid w:val="002119CD"/>
    <w:rsid w:val="002159C9"/>
    <w:rsid w:val="00217FB0"/>
    <w:rsid w:val="002203F0"/>
    <w:rsid w:val="002218BC"/>
    <w:rsid w:val="00222210"/>
    <w:rsid w:val="00222BEA"/>
    <w:rsid w:val="002243BD"/>
    <w:rsid w:val="00224764"/>
    <w:rsid w:val="00225439"/>
    <w:rsid w:val="00225F9B"/>
    <w:rsid w:val="0023180C"/>
    <w:rsid w:val="00232061"/>
    <w:rsid w:val="00235945"/>
    <w:rsid w:val="00235CAB"/>
    <w:rsid w:val="002406C5"/>
    <w:rsid w:val="00241BB2"/>
    <w:rsid w:val="00251670"/>
    <w:rsid w:val="00253EB9"/>
    <w:rsid w:val="00254EBF"/>
    <w:rsid w:val="002555BE"/>
    <w:rsid w:val="00255679"/>
    <w:rsid w:val="00257B1C"/>
    <w:rsid w:val="002614EA"/>
    <w:rsid w:val="00261B02"/>
    <w:rsid w:val="00262AD1"/>
    <w:rsid w:val="0026527F"/>
    <w:rsid w:val="00265B0E"/>
    <w:rsid w:val="00274830"/>
    <w:rsid w:val="00282C30"/>
    <w:rsid w:val="00282D7E"/>
    <w:rsid w:val="00290445"/>
    <w:rsid w:val="00290EAD"/>
    <w:rsid w:val="00292044"/>
    <w:rsid w:val="00293811"/>
    <w:rsid w:val="00295AD9"/>
    <w:rsid w:val="00295C49"/>
    <w:rsid w:val="002967A0"/>
    <w:rsid w:val="002A151A"/>
    <w:rsid w:val="002A2687"/>
    <w:rsid w:val="002A5C23"/>
    <w:rsid w:val="002A686F"/>
    <w:rsid w:val="002B31F2"/>
    <w:rsid w:val="002B3340"/>
    <w:rsid w:val="002B5772"/>
    <w:rsid w:val="002B6D1D"/>
    <w:rsid w:val="002C0551"/>
    <w:rsid w:val="002C11B1"/>
    <w:rsid w:val="002C257D"/>
    <w:rsid w:val="002C2774"/>
    <w:rsid w:val="002C381D"/>
    <w:rsid w:val="002C4723"/>
    <w:rsid w:val="002C5B33"/>
    <w:rsid w:val="002D10A0"/>
    <w:rsid w:val="002D68D1"/>
    <w:rsid w:val="002D79A7"/>
    <w:rsid w:val="002D7CEA"/>
    <w:rsid w:val="002E3F68"/>
    <w:rsid w:val="002E5C16"/>
    <w:rsid w:val="002E5F79"/>
    <w:rsid w:val="002E7002"/>
    <w:rsid w:val="002E73E7"/>
    <w:rsid w:val="002F0AA7"/>
    <w:rsid w:val="002F1B28"/>
    <w:rsid w:val="002F2583"/>
    <w:rsid w:val="002F279A"/>
    <w:rsid w:val="002F2C1A"/>
    <w:rsid w:val="002F4F5B"/>
    <w:rsid w:val="002F68FE"/>
    <w:rsid w:val="002F6FBA"/>
    <w:rsid w:val="00300DF8"/>
    <w:rsid w:val="00303156"/>
    <w:rsid w:val="00306CC6"/>
    <w:rsid w:val="00307DFE"/>
    <w:rsid w:val="003107AB"/>
    <w:rsid w:val="0031127A"/>
    <w:rsid w:val="00311A01"/>
    <w:rsid w:val="00312681"/>
    <w:rsid w:val="003154E8"/>
    <w:rsid w:val="00315C29"/>
    <w:rsid w:val="0031664C"/>
    <w:rsid w:val="003207B9"/>
    <w:rsid w:val="00324997"/>
    <w:rsid w:val="003256B1"/>
    <w:rsid w:val="003272AA"/>
    <w:rsid w:val="00331545"/>
    <w:rsid w:val="003330E6"/>
    <w:rsid w:val="0033333E"/>
    <w:rsid w:val="003368C0"/>
    <w:rsid w:val="00342EB8"/>
    <w:rsid w:val="00343439"/>
    <w:rsid w:val="00343B53"/>
    <w:rsid w:val="00344E47"/>
    <w:rsid w:val="003459E9"/>
    <w:rsid w:val="00346066"/>
    <w:rsid w:val="00346435"/>
    <w:rsid w:val="00346BA7"/>
    <w:rsid w:val="003474E9"/>
    <w:rsid w:val="0035067C"/>
    <w:rsid w:val="00354915"/>
    <w:rsid w:val="003649B2"/>
    <w:rsid w:val="00364E30"/>
    <w:rsid w:val="003650FC"/>
    <w:rsid w:val="00372031"/>
    <w:rsid w:val="003738C2"/>
    <w:rsid w:val="00373BF7"/>
    <w:rsid w:val="00381C01"/>
    <w:rsid w:val="00383594"/>
    <w:rsid w:val="003847B9"/>
    <w:rsid w:val="00385E85"/>
    <w:rsid w:val="0039118D"/>
    <w:rsid w:val="00391AC8"/>
    <w:rsid w:val="00392DFF"/>
    <w:rsid w:val="00392FB4"/>
    <w:rsid w:val="003948E9"/>
    <w:rsid w:val="00394DFF"/>
    <w:rsid w:val="00395C05"/>
    <w:rsid w:val="003A0250"/>
    <w:rsid w:val="003A04CD"/>
    <w:rsid w:val="003A11AB"/>
    <w:rsid w:val="003A1F14"/>
    <w:rsid w:val="003A3974"/>
    <w:rsid w:val="003A5838"/>
    <w:rsid w:val="003B0BC2"/>
    <w:rsid w:val="003B1706"/>
    <w:rsid w:val="003B37BB"/>
    <w:rsid w:val="003C06E4"/>
    <w:rsid w:val="003C097C"/>
    <w:rsid w:val="003C36AC"/>
    <w:rsid w:val="003C5972"/>
    <w:rsid w:val="003C7EF9"/>
    <w:rsid w:val="003D035F"/>
    <w:rsid w:val="003D68D5"/>
    <w:rsid w:val="003D7050"/>
    <w:rsid w:val="003E14CF"/>
    <w:rsid w:val="003E684C"/>
    <w:rsid w:val="003E7B38"/>
    <w:rsid w:val="003F0F0F"/>
    <w:rsid w:val="003F168A"/>
    <w:rsid w:val="003F485B"/>
    <w:rsid w:val="00400A93"/>
    <w:rsid w:val="00404D06"/>
    <w:rsid w:val="00407D59"/>
    <w:rsid w:val="00410F24"/>
    <w:rsid w:val="00412CC7"/>
    <w:rsid w:val="00415198"/>
    <w:rsid w:val="0041525E"/>
    <w:rsid w:val="00415939"/>
    <w:rsid w:val="00420742"/>
    <w:rsid w:val="00421005"/>
    <w:rsid w:val="00431372"/>
    <w:rsid w:val="00432596"/>
    <w:rsid w:val="004331C7"/>
    <w:rsid w:val="00433564"/>
    <w:rsid w:val="00437CA3"/>
    <w:rsid w:val="0044027B"/>
    <w:rsid w:val="004408F8"/>
    <w:rsid w:val="004443F7"/>
    <w:rsid w:val="00444870"/>
    <w:rsid w:val="0044648F"/>
    <w:rsid w:val="00446DA2"/>
    <w:rsid w:val="00457203"/>
    <w:rsid w:val="00457843"/>
    <w:rsid w:val="0046080F"/>
    <w:rsid w:val="00462002"/>
    <w:rsid w:val="0046212F"/>
    <w:rsid w:val="00462733"/>
    <w:rsid w:val="00463227"/>
    <w:rsid w:val="00463973"/>
    <w:rsid w:val="00464A61"/>
    <w:rsid w:val="0046640C"/>
    <w:rsid w:val="00466674"/>
    <w:rsid w:val="00466B6A"/>
    <w:rsid w:val="00471113"/>
    <w:rsid w:val="00471200"/>
    <w:rsid w:val="00472FF8"/>
    <w:rsid w:val="00475F03"/>
    <w:rsid w:val="004804B3"/>
    <w:rsid w:val="00481E06"/>
    <w:rsid w:val="004820E9"/>
    <w:rsid w:val="00483119"/>
    <w:rsid w:val="0048361F"/>
    <w:rsid w:val="004845D0"/>
    <w:rsid w:val="004852FF"/>
    <w:rsid w:val="00486772"/>
    <w:rsid w:val="004921C3"/>
    <w:rsid w:val="00492FDA"/>
    <w:rsid w:val="0049491F"/>
    <w:rsid w:val="00494E73"/>
    <w:rsid w:val="004A161A"/>
    <w:rsid w:val="004A2830"/>
    <w:rsid w:val="004B16E4"/>
    <w:rsid w:val="004B514C"/>
    <w:rsid w:val="004B7D57"/>
    <w:rsid w:val="004C00D8"/>
    <w:rsid w:val="004C0F57"/>
    <w:rsid w:val="004C3DAD"/>
    <w:rsid w:val="004C5923"/>
    <w:rsid w:val="004C6116"/>
    <w:rsid w:val="004C7421"/>
    <w:rsid w:val="004C7C61"/>
    <w:rsid w:val="004D0915"/>
    <w:rsid w:val="004D0DFD"/>
    <w:rsid w:val="004D1FBE"/>
    <w:rsid w:val="004D25C7"/>
    <w:rsid w:val="004D4A86"/>
    <w:rsid w:val="004D73FF"/>
    <w:rsid w:val="004D7664"/>
    <w:rsid w:val="004E074F"/>
    <w:rsid w:val="004E19E7"/>
    <w:rsid w:val="004E6427"/>
    <w:rsid w:val="004E7625"/>
    <w:rsid w:val="004E7E43"/>
    <w:rsid w:val="004F1956"/>
    <w:rsid w:val="004F5FC6"/>
    <w:rsid w:val="004F69FA"/>
    <w:rsid w:val="00502F37"/>
    <w:rsid w:val="005030FC"/>
    <w:rsid w:val="005037B2"/>
    <w:rsid w:val="0050455E"/>
    <w:rsid w:val="005047AD"/>
    <w:rsid w:val="00505906"/>
    <w:rsid w:val="00510B1D"/>
    <w:rsid w:val="0051107D"/>
    <w:rsid w:val="00511167"/>
    <w:rsid w:val="0052077B"/>
    <w:rsid w:val="0052550E"/>
    <w:rsid w:val="00526C07"/>
    <w:rsid w:val="005273A6"/>
    <w:rsid w:val="00527533"/>
    <w:rsid w:val="00527E88"/>
    <w:rsid w:val="00532A8B"/>
    <w:rsid w:val="0053387C"/>
    <w:rsid w:val="0053396D"/>
    <w:rsid w:val="00534035"/>
    <w:rsid w:val="00534BF7"/>
    <w:rsid w:val="00534F74"/>
    <w:rsid w:val="00536789"/>
    <w:rsid w:val="00536D2F"/>
    <w:rsid w:val="00540052"/>
    <w:rsid w:val="0054146B"/>
    <w:rsid w:val="00543636"/>
    <w:rsid w:val="00543DB4"/>
    <w:rsid w:val="00543E08"/>
    <w:rsid w:val="005449AD"/>
    <w:rsid w:val="005467A4"/>
    <w:rsid w:val="005505ED"/>
    <w:rsid w:val="005536DA"/>
    <w:rsid w:val="00554A82"/>
    <w:rsid w:val="00556734"/>
    <w:rsid w:val="00563595"/>
    <w:rsid w:val="00564B04"/>
    <w:rsid w:val="00567D55"/>
    <w:rsid w:val="0057032C"/>
    <w:rsid w:val="00570524"/>
    <w:rsid w:val="00573059"/>
    <w:rsid w:val="00575513"/>
    <w:rsid w:val="00575BE7"/>
    <w:rsid w:val="0057621E"/>
    <w:rsid w:val="00577B05"/>
    <w:rsid w:val="00580D6F"/>
    <w:rsid w:val="0058118F"/>
    <w:rsid w:val="005812C6"/>
    <w:rsid w:val="00581D40"/>
    <w:rsid w:val="00582AA7"/>
    <w:rsid w:val="0058333C"/>
    <w:rsid w:val="0058382A"/>
    <w:rsid w:val="005948FA"/>
    <w:rsid w:val="005959BE"/>
    <w:rsid w:val="00595E04"/>
    <w:rsid w:val="00596210"/>
    <w:rsid w:val="00596286"/>
    <w:rsid w:val="00596999"/>
    <w:rsid w:val="005A0F31"/>
    <w:rsid w:val="005A28A1"/>
    <w:rsid w:val="005A46D0"/>
    <w:rsid w:val="005A6FB5"/>
    <w:rsid w:val="005A78F5"/>
    <w:rsid w:val="005B0F55"/>
    <w:rsid w:val="005B25E4"/>
    <w:rsid w:val="005B30C8"/>
    <w:rsid w:val="005B7778"/>
    <w:rsid w:val="005C051F"/>
    <w:rsid w:val="005C6E7B"/>
    <w:rsid w:val="005C762E"/>
    <w:rsid w:val="005D098C"/>
    <w:rsid w:val="005D291E"/>
    <w:rsid w:val="005D3FD9"/>
    <w:rsid w:val="005E0B21"/>
    <w:rsid w:val="005E1861"/>
    <w:rsid w:val="005E2139"/>
    <w:rsid w:val="005E46BB"/>
    <w:rsid w:val="005E7605"/>
    <w:rsid w:val="005F2A4F"/>
    <w:rsid w:val="006001CC"/>
    <w:rsid w:val="00602B4D"/>
    <w:rsid w:val="00603C94"/>
    <w:rsid w:val="006048E0"/>
    <w:rsid w:val="00604FAD"/>
    <w:rsid w:val="0060662A"/>
    <w:rsid w:val="00612789"/>
    <w:rsid w:val="00613D24"/>
    <w:rsid w:val="00614BDA"/>
    <w:rsid w:val="006205D7"/>
    <w:rsid w:val="00621AFB"/>
    <w:rsid w:val="0062589A"/>
    <w:rsid w:val="006307C7"/>
    <w:rsid w:val="00632B82"/>
    <w:rsid w:val="006331B4"/>
    <w:rsid w:val="006343F3"/>
    <w:rsid w:val="00636402"/>
    <w:rsid w:val="00640CF2"/>
    <w:rsid w:val="006417D6"/>
    <w:rsid w:val="006425C9"/>
    <w:rsid w:val="00642906"/>
    <w:rsid w:val="00643582"/>
    <w:rsid w:val="00643B75"/>
    <w:rsid w:val="00643D96"/>
    <w:rsid w:val="006457EF"/>
    <w:rsid w:val="006470AE"/>
    <w:rsid w:val="00650F96"/>
    <w:rsid w:val="00651169"/>
    <w:rsid w:val="006512B7"/>
    <w:rsid w:val="00651C22"/>
    <w:rsid w:val="006545EE"/>
    <w:rsid w:val="00655679"/>
    <w:rsid w:val="00655B4D"/>
    <w:rsid w:val="00655ED5"/>
    <w:rsid w:val="00661F31"/>
    <w:rsid w:val="006655DF"/>
    <w:rsid w:val="00665734"/>
    <w:rsid w:val="00671977"/>
    <w:rsid w:val="00671D80"/>
    <w:rsid w:val="00672EFB"/>
    <w:rsid w:val="006737B1"/>
    <w:rsid w:val="006739CF"/>
    <w:rsid w:val="00675A57"/>
    <w:rsid w:val="006761AE"/>
    <w:rsid w:val="0067752C"/>
    <w:rsid w:val="006776A2"/>
    <w:rsid w:val="006801A6"/>
    <w:rsid w:val="0068124B"/>
    <w:rsid w:val="00681610"/>
    <w:rsid w:val="00684AD6"/>
    <w:rsid w:val="00685D36"/>
    <w:rsid w:val="00687304"/>
    <w:rsid w:val="00692C71"/>
    <w:rsid w:val="006931A0"/>
    <w:rsid w:val="006935BC"/>
    <w:rsid w:val="00696E55"/>
    <w:rsid w:val="006A0B0E"/>
    <w:rsid w:val="006A11E9"/>
    <w:rsid w:val="006A2B3C"/>
    <w:rsid w:val="006A37A7"/>
    <w:rsid w:val="006A3A9C"/>
    <w:rsid w:val="006A3CC5"/>
    <w:rsid w:val="006A54BE"/>
    <w:rsid w:val="006A721F"/>
    <w:rsid w:val="006A7CCF"/>
    <w:rsid w:val="006B0581"/>
    <w:rsid w:val="006B08FE"/>
    <w:rsid w:val="006B0F36"/>
    <w:rsid w:val="006B2A9F"/>
    <w:rsid w:val="006B30FD"/>
    <w:rsid w:val="006B4254"/>
    <w:rsid w:val="006B5CB4"/>
    <w:rsid w:val="006B6DCF"/>
    <w:rsid w:val="006B791B"/>
    <w:rsid w:val="006C4793"/>
    <w:rsid w:val="006C4F71"/>
    <w:rsid w:val="006C649C"/>
    <w:rsid w:val="006D36FB"/>
    <w:rsid w:val="006D42ED"/>
    <w:rsid w:val="006D4D1A"/>
    <w:rsid w:val="006D73F1"/>
    <w:rsid w:val="006D74D0"/>
    <w:rsid w:val="006E20BF"/>
    <w:rsid w:val="006E2A29"/>
    <w:rsid w:val="006E3514"/>
    <w:rsid w:val="006E7421"/>
    <w:rsid w:val="006E7647"/>
    <w:rsid w:val="006F162C"/>
    <w:rsid w:val="006F1DA8"/>
    <w:rsid w:val="006F22E9"/>
    <w:rsid w:val="006F4CFA"/>
    <w:rsid w:val="006F5256"/>
    <w:rsid w:val="006F5310"/>
    <w:rsid w:val="006F696E"/>
    <w:rsid w:val="006F6B91"/>
    <w:rsid w:val="007004E7"/>
    <w:rsid w:val="00703502"/>
    <w:rsid w:val="007040CB"/>
    <w:rsid w:val="00704DCC"/>
    <w:rsid w:val="0070523B"/>
    <w:rsid w:val="00707D16"/>
    <w:rsid w:val="00712369"/>
    <w:rsid w:val="00715E8A"/>
    <w:rsid w:val="00717226"/>
    <w:rsid w:val="007207A3"/>
    <w:rsid w:val="00720FDD"/>
    <w:rsid w:val="007214E3"/>
    <w:rsid w:val="00722883"/>
    <w:rsid w:val="00723AF0"/>
    <w:rsid w:val="00727911"/>
    <w:rsid w:val="0073007E"/>
    <w:rsid w:val="0073034C"/>
    <w:rsid w:val="007311E2"/>
    <w:rsid w:val="00732519"/>
    <w:rsid w:val="0073365B"/>
    <w:rsid w:val="00734670"/>
    <w:rsid w:val="00734F5A"/>
    <w:rsid w:val="0073579D"/>
    <w:rsid w:val="00736D97"/>
    <w:rsid w:val="00737CEF"/>
    <w:rsid w:val="00737DDA"/>
    <w:rsid w:val="00742087"/>
    <w:rsid w:val="00742E30"/>
    <w:rsid w:val="007469C9"/>
    <w:rsid w:val="00746B57"/>
    <w:rsid w:val="00747D90"/>
    <w:rsid w:val="007501B9"/>
    <w:rsid w:val="00751CB9"/>
    <w:rsid w:val="0075256C"/>
    <w:rsid w:val="0075624F"/>
    <w:rsid w:val="00756580"/>
    <w:rsid w:val="00756D96"/>
    <w:rsid w:val="007620C2"/>
    <w:rsid w:val="00763641"/>
    <w:rsid w:val="00766301"/>
    <w:rsid w:val="007668BA"/>
    <w:rsid w:val="00770596"/>
    <w:rsid w:val="0077277D"/>
    <w:rsid w:val="007747D4"/>
    <w:rsid w:val="00774963"/>
    <w:rsid w:val="00781B7F"/>
    <w:rsid w:val="00782DCB"/>
    <w:rsid w:val="00784156"/>
    <w:rsid w:val="007857D4"/>
    <w:rsid w:val="0079111E"/>
    <w:rsid w:val="00791280"/>
    <w:rsid w:val="007933B3"/>
    <w:rsid w:val="00794AB9"/>
    <w:rsid w:val="00794D72"/>
    <w:rsid w:val="00797DC5"/>
    <w:rsid w:val="007A048E"/>
    <w:rsid w:val="007A19AF"/>
    <w:rsid w:val="007A1E9D"/>
    <w:rsid w:val="007A2801"/>
    <w:rsid w:val="007A2D09"/>
    <w:rsid w:val="007A3BE1"/>
    <w:rsid w:val="007A4EEE"/>
    <w:rsid w:val="007A6DAA"/>
    <w:rsid w:val="007A7EC8"/>
    <w:rsid w:val="007B032C"/>
    <w:rsid w:val="007B1AF8"/>
    <w:rsid w:val="007B2A16"/>
    <w:rsid w:val="007B4B3F"/>
    <w:rsid w:val="007B787D"/>
    <w:rsid w:val="007B7B7B"/>
    <w:rsid w:val="007C3165"/>
    <w:rsid w:val="007C58D6"/>
    <w:rsid w:val="007C732D"/>
    <w:rsid w:val="007D1008"/>
    <w:rsid w:val="007D3ADC"/>
    <w:rsid w:val="007D5B27"/>
    <w:rsid w:val="007D5C80"/>
    <w:rsid w:val="007D62AE"/>
    <w:rsid w:val="007D67CF"/>
    <w:rsid w:val="007E013D"/>
    <w:rsid w:val="007E2754"/>
    <w:rsid w:val="007E2E78"/>
    <w:rsid w:val="007E3FB1"/>
    <w:rsid w:val="007E5818"/>
    <w:rsid w:val="007E61A7"/>
    <w:rsid w:val="007E65D7"/>
    <w:rsid w:val="007F227E"/>
    <w:rsid w:val="007F3249"/>
    <w:rsid w:val="007F5BA9"/>
    <w:rsid w:val="00800530"/>
    <w:rsid w:val="0080089C"/>
    <w:rsid w:val="008013F6"/>
    <w:rsid w:val="00803318"/>
    <w:rsid w:val="00803456"/>
    <w:rsid w:val="0080390A"/>
    <w:rsid w:val="008077A6"/>
    <w:rsid w:val="00811BBD"/>
    <w:rsid w:val="00812976"/>
    <w:rsid w:val="0081354B"/>
    <w:rsid w:val="00814DEF"/>
    <w:rsid w:val="00821B33"/>
    <w:rsid w:val="0082239E"/>
    <w:rsid w:val="00825A87"/>
    <w:rsid w:val="00826143"/>
    <w:rsid w:val="00826A5C"/>
    <w:rsid w:val="00831B9B"/>
    <w:rsid w:val="00835008"/>
    <w:rsid w:val="00842A7E"/>
    <w:rsid w:val="00844D3D"/>
    <w:rsid w:val="0084532E"/>
    <w:rsid w:val="00845810"/>
    <w:rsid w:val="00845F3C"/>
    <w:rsid w:val="00846159"/>
    <w:rsid w:val="008469E9"/>
    <w:rsid w:val="008505C3"/>
    <w:rsid w:val="00850E84"/>
    <w:rsid w:val="00851677"/>
    <w:rsid w:val="008522C6"/>
    <w:rsid w:val="00852E40"/>
    <w:rsid w:val="00855529"/>
    <w:rsid w:val="00857A90"/>
    <w:rsid w:val="00857CDD"/>
    <w:rsid w:val="00860EA8"/>
    <w:rsid w:val="0086472B"/>
    <w:rsid w:val="00870FB3"/>
    <w:rsid w:val="00872FF8"/>
    <w:rsid w:val="0087368E"/>
    <w:rsid w:val="008765CB"/>
    <w:rsid w:val="00876DEE"/>
    <w:rsid w:val="008802D9"/>
    <w:rsid w:val="00880B98"/>
    <w:rsid w:val="00881F26"/>
    <w:rsid w:val="0088285C"/>
    <w:rsid w:val="008838A1"/>
    <w:rsid w:val="008850A9"/>
    <w:rsid w:val="0088685E"/>
    <w:rsid w:val="0088689E"/>
    <w:rsid w:val="0088703B"/>
    <w:rsid w:val="0089110B"/>
    <w:rsid w:val="00891794"/>
    <w:rsid w:val="00891929"/>
    <w:rsid w:val="00892883"/>
    <w:rsid w:val="00893176"/>
    <w:rsid w:val="00893362"/>
    <w:rsid w:val="00894BD8"/>
    <w:rsid w:val="00895446"/>
    <w:rsid w:val="008963EA"/>
    <w:rsid w:val="008A05E4"/>
    <w:rsid w:val="008A2098"/>
    <w:rsid w:val="008A32D1"/>
    <w:rsid w:val="008A6292"/>
    <w:rsid w:val="008B03D8"/>
    <w:rsid w:val="008B175C"/>
    <w:rsid w:val="008B4290"/>
    <w:rsid w:val="008B467B"/>
    <w:rsid w:val="008B61CD"/>
    <w:rsid w:val="008B744D"/>
    <w:rsid w:val="008C4A61"/>
    <w:rsid w:val="008C4CB3"/>
    <w:rsid w:val="008C4F0F"/>
    <w:rsid w:val="008C6ABB"/>
    <w:rsid w:val="008C6CFD"/>
    <w:rsid w:val="008C7D07"/>
    <w:rsid w:val="008C7F38"/>
    <w:rsid w:val="008D3B9E"/>
    <w:rsid w:val="008D3E72"/>
    <w:rsid w:val="008D55C9"/>
    <w:rsid w:val="008E2053"/>
    <w:rsid w:val="008E4D41"/>
    <w:rsid w:val="008E7460"/>
    <w:rsid w:val="008E7585"/>
    <w:rsid w:val="008E7AE9"/>
    <w:rsid w:val="008F2DDF"/>
    <w:rsid w:val="008F2E5C"/>
    <w:rsid w:val="008F646F"/>
    <w:rsid w:val="00902F43"/>
    <w:rsid w:val="00903662"/>
    <w:rsid w:val="00906982"/>
    <w:rsid w:val="009070AB"/>
    <w:rsid w:val="009076D0"/>
    <w:rsid w:val="00914F38"/>
    <w:rsid w:val="00915675"/>
    <w:rsid w:val="0091776B"/>
    <w:rsid w:val="00920396"/>
    <w:rsid w:val="0092657D"/>
    <w:rsid w:val="009300E9"/>
    <w:rsid w:val="00930694"/>
    <w:rsid w:val="00932B67"/>
    <w:rsid w:val="00935018"/>
    <w:rsid w:val="0093671F"/>
    <w:rsid w:val="0093763C"/>
    <w:rsid w:val="00937D0C"/>
    <w:rsid w:val="00937F0D"/>
    <w:rsid w:val="00941D1F"/>
    <w:rsid w:val="0094366C"/>
    <w:rsid w:val="0094666B"/>
    <w:rsid w:val="009479C0"/>
    <w:rsid w:val="00950914"/>
    <w:rsid w:val="00950C51"/>
    <w:rsid w:val="00951973"/>
    <w:rsid w:val="0095252E"/>
    <w:rsid w:val="00952591"/>
    <w:rsid w:val="00952C90"/>
    <w:rsid w:val="00953725"/>
    <w:rsid w:val="00953ADF"/>
    <w:rsid w:val="00953B55"/>
    <w:rsid w:val="0095579B"/>
    <w:rsid w:val="00955AE7"/>
    <w:rsid w:val="00957E73"/>
    <w:rsid w:val="0096135C"/>
    <w:rsid w:val="00962C41"/>
    <w:rsid w:val="009736EE"/>
    <w:rsid w:val="009746D7"/>
    <w:rsid w:val="009808B4"/>
    <w:rsid w:val="00983391"/>
    <w:rsid w:val="00984821"/>
    <w:rsid w:val="00985B22"/>
    <w:rsid w:val="009861DA"/>
    <w:rsid w:val="009862F4"/>
    <w:rsid w:val="009902D8"/>
    <w:rsid w:val="00991F50"/>
    <w:rsid w:val="00993C90"/>
    <w:rsid w:val="00994748"/>
    <w:rsid w:val="00995916"/>
    <w:rsid w:val="009961A7"/>
    <w:rsid w:val="0099716A"/>
    <w:rsid w:val="009A0593"/>
    <w:rsid w:val="009A2797"/>
    <w:rsid w:val="009A2C14"/>
    <w:rsid w:val="009A3D97"/>
    <w:rsid w:val="009A3ED6"/>
    <w:rsid w:val="009A412B"/>
    <w:rsid w:val="009A598B"/>
    <w:rsid w:val="009A698B"/>
    <w:rsid w:val="009B21EE"/>
    <w:rsid w:val="009B2D86"/>
    <w:rsid w:val="009B3F94"/>
    <w:rsid w:val="009B4632"/>
    <w:rsid w:val="009B5282"/>
    <w:rsid w:val="009B5D66"/>
    <w:rsid w:val="009B5E70"/>
    <w:rsid w:val="009B607F"/>
    <w:rsid w:val="009B621A"/>
    <w:rsid w:val="009B672F"/>
    <w:rsid w:val="009B6EAB"/>
    <w:rsid w:val="009B718D"/>
    <w:rsid w:val="009C0BCC"/>
    <w:rsid w:val="009C3FA3"/>
    <w:rsid w:val="009C45D9"/>
    <w:rsid w:val="009C58DD"/>
    <w:rsid w:val="009C6530"/>
    <w:rsid w:val="009C6F32"/>
    <w:rsid w:val="009D03FB"/>
    <w:rsid w:val="009D2BEF"/>
    <w:rsid w:val="009D358E"/>
    <w:rsid w:val="009D7187"/>
    <w:rsid w:val="009D783B"/>
    <w:rsid w:val="009E01DD"/>
    <w:rsid w:val="009E2C56"/>
    <w:rsid w:val="009E4400"/>
    <w:rsid w:val="009E505E"/>
    <w:rsid w:val="009E547A"/>
    <w:rsid w:val="009F03BF"/>
    <w:rsid w:val="009F0649"/>
    <w:rsid w:val="009F30C8"/>
    <w:rsid w:val="009F4054"/>
    <w:rsid w:val="009F58D8"/>
    <w:rsid w:val="00A01FB7"/>
    <w:rsid w:val="00A02F7D"/>
    <w:rsid w:val="00A03791"/>
    <w:rsid w:val="00A06657"/>
    <w:rsid w:val="00A06C3D"/>
    <w:rsid w:val="00A121C5"/>
    <w:rsid w:val="00A12DA0"/>
    <w:rsid w:val="00A14ABE"/>
    <w:rsid w:val="00A16DFA"/>
    <w:rsid w:val="00A17C0A"/>
    <w:rsid w:val="00A22FA7"/>
    <w:rsid w:val="00A238D0"/>
    <w:rsid w:val="00A25A54"/>
    <w:rsid w:val="00A33919"/>
    <w:rsid w:val="00A346B2"/>
    <w:rsid w:val="00A34AE7"/>
    <w:rsid w:val="00A357E2"/>
    <w:rsid w:val="00A3601F"/>
    <w:rsid w:val="00A36685"/>
    <w:rsid w:val="00A36968"/>
    <w:rsid w:val="00A36EC5"/>
    <w:rsid w:val="00A41149"/>
    <w:rsid w:val="00A44745"/>
    <w:rsid w:val="00A44F15"/>
    <w:rsid w:val="00A47250"/>
    <w:rsid w:val="00A47B7B"/>
    <w:rsid w:val="00A50621"/>
    <w:rsid w:val="00A52CFE"/>
    <w:rsid w:val="00A54175"/>
    <w:rsid w:val="00A55E7C"/>
    <w:rsid w:val="00A56809"/>
    <w:rsid w:val="00A57DE0"/>
    <w:rsid w:val="00A57FED"/>
    <w:rsid w:val="00A60D9A"/>
    <w:rsid w:val="00A620DE"/>
    <w:rsid w:val="00A63A07"/>
    <w:rsid w:val="00A64698"/>
    <w:rsid w:val="00A654A2"/>
    <w:rsid w:val="00A657FF"/>
    <w:rsid w:val="00A67183"/>
    <w:rsid w:val="00A70079"/>
    <w:rsid w:val="00A7285A"/>
    <w:rsid w:val="00A75347"/>
    <w:rsid w:val="00A76145"/>
    <w:rsid w:val="00A76391"/>
    <w:rsid w:val="00A76452"/>
    <w:rsid w:val="00A80D31"/>
    <w:rsid w:val="00A83F5F"/>
    <w:rsid w:val="00A84DF8"/>
    <w:rsid w:val="00A86D3D"/>
    <w:rsid w:val="00A9013E"/>
    <w:rsid w:val="00A90D19"/>
    <w:rsid w:val="00A915F3"/>
    <w:rsid w:val="00A94B17"/>
    <w:rsid w:val="00A94F1F"/>
    <w:rsid w:val="00A95347"/>
    <w:rsid w:val="00A95F2A"/>
    <w:rsid w:val="00AA349C"/>
    <w:rsid w:val="00AA471D"/>
    <w:rsid w:val="00AA4B1C"/>
    <w:rsid w:val="00AA6188"/>
    <w:rsid w:val="00AA7E33"/>
    <w:rsid w:val="00AA7E55"/>
    <w:rsid w:val="00AB2524"/>
    <w:rsid w:val="00AB265E"/>
    <w:rsid w:val="00AB2948"/>
    <w:rsid w:val="00AB39FA"/>
    <w:rsid w:val="00AB3B30"/>
    <w:rsid w:val="00AB426C"/>
    <w:rsid w:val="00AB451C"/>
    <w:rsid w:val="00AB59F2"/>
    <w:rsid w:val="00AC3E62"/>
    <w:rsid w:val="00AC5620"/>
    <w:rsid w:val="00AC5AF9"/>
    <w:rsid w:val="00AC6192"/>
    <w:rsid w:val="00AC709F"/>
    <w:rsid w:val="00AD1E9A"/>
    <w:rsid w:val="00AD2F03"/>
    <w:rsid w:val="00AD57FE"/>
    <w:rsid w:val="00AD6933"/>
    <w:rsid w:val="00AD6B7B"/>
    <w:rsid w:val="00AD7CAB"/>
    <w:rsid w:val="00AE0D6A"/>
    <w:rsid w:val="00AE10BE"/>
    <w:rsid w:val="00AE16C9"/>
    <w:rsid w:val="00AE17EC"/>
    <w:rsid w:val="00AE2A6E"/>
    <w:rsid w:val="00AE3512"/>
    <w:rsid w:val="00AE3EF5"/>
    <w:rsid w:val="00AE4F2A"/>
    <w:rsid w:val="00AE5F33"/>
    <w:rsid w:val="00AF0AD5"/>
    <w:rsid w:val="00AF15E6"/>
    <w:rsid w:val="00AF3DB9"/>
    <w:rsid w:val="00AF51E7"/>
    <w:rsid w:val="00AF6744"/>
    <w:rsid w:val="00AF7809"/>
    <w:rsid w:val="00B05620"/>
    <w:rsid w:val="00B10BED"/>
    <w:rsid w:val="00B11913"/>
    <w:rsid w:val="00B12E05"/>
    <w:rsid w:val="00B12EBE"/>
    <w:rsid w:val="00B1424F"/>
    <w:rsid w:val="00B16431"/>
    <w:rsid w:val="00B166A4"/>
    <w:rsid w:val="00B219B7"/>
    <w:rsid w:val="00B25038"/>
    <w:rsid w:val="00B26B0C"/>
    <w:rsid w:val="00B26C94"/>
    <w:rsid w:val="00B27FF1"/>
    <w:rsid w:val="00B3054B"/>
    <w:rsid w:val="00B3159A"/>
    <w:rsid w:val="00B33465"/>
    <w:rsid w:val="00B35C09"/>
    <w:rsid w:val="00B379C5"/>
    <w:rsid w:val="00B4183F"/>
    <w:rsid w:val="00B42198"/>
    <w:rsid w:val="00B46AD2"/>
    <w:rsid w:val="00B64BBE"/>
    <w:rsid w:val="00B67DE1"/>
    <w:rsid w:val="00B70CC6"/>
    <w:rsid w:val="00B73894"/>
    <w:rsid w:val="00B8193F"/>
    <w:rsid w:val="00B82A82"/>
    <w:rsid w:val="00B8464A"/>
    <w:rsid w:val="00B8473D"/>
    <w:rsid w:val="00B90410"/>
    <w:rsid w:val="00B90E10"/>
    <w:rsid w:val="00B9421C"/>
    <w:rsid w:val="00B964CA"/>
    <w:rsid w:val="00B969D7"/>
    <w:rsid w:val="00B977F4"/>
    <w:rsid w:val="00BA24BD"/>
    <w:rsid w:val="00BA31C4"/>
    <w:rsid w:val="00BA3F6A"/>
    <w:rsid w:val="00BA4655"/>
    <w:rsid w:val="00BA78B6"/>
    <w:rsid w:val="00BA7935"/>
    <w:rsid w:val="00BA7CAC"/>
    <w:rsid w:val="00BB047B"/>
    <w:rsid w:val="00BB156C"/>
    <w:rsid w:val="00BB4818"/>
    <w:rsid w:val="00BB4AF3"/>
    <w:rsid w:val="00BB6398"/>
    <w:rsid w:val="00BB6D5E"/>
    <w:rsid w:val="00BC25EF"/>
    <w:rsid w:val="00BC2DAF"/>
    <w:rsid w:val="00BC4FD3"/>
    <w:rsid w:val="00BC6827"/>
    <w:rsid w:val="00BC6C7A"/>
    <w:rsid w:val="00BC7D9E"/>
    <w:rsid w:val="00BD0372"/>
    <w:rsid w:val="00BD0B51"/>
    <w:rsid w:val="00BD44F5"/>
    <w:rsid w:val="00BD4703"/>
    <w:rsid w:val="00BD7A88"/>
    <w:rsid w:val="00BE4340"/>
    <w:rsid w:val="00BE5C41"/>
    <w:rsid w:val="00BF0646"/>
    <w:rsid w:val="00BF17B9"/>
    <w:rsid w:val="00BF1C32"/>
    <w:rsid w:val="00BF24BC"/>
    <w:rsid w:val="00BF5497"/>
    <w:rsid w:val="00BF7422"/>
    <w:rsid w:val="00BF76A6"/>
    <w:rsid w:val="00C0068D"/>
    <w:rsid w:val="00C00D5C"/>
    <w:rsid w:val="00C01E38"/>
    <w:rsid w:val="00C01F23"/>
    <w:rsid w:val="00C03329"/>
    <w:rsid w:val="00C044BE"/>
    <w:rsid w:val="00C04BAB"/>
    <w:rsid w:val="00C0607B"/>
    <w:rsid w:val="00C06DEF"/>
    <w:rsid w:val="00C075A2"/>
    <w:rsid w:val="00C107CB"/>
    <w:rsid w:val="00C118C4"/>
    <w:rsid w:val="00C11F58"/>
    <w:rsid w:val="00C120D7"/>
    <w:rsid w:val="00C132D1"/>
    <w:rsid w:val="00C139CA"/>
    <w:rsid w:val="00C13A7D"/>
    <w:rsid w:val="00C241A8"/>
    <w:rsid w:val="00C24ABA"/>
    <w:rsid w:val="00C264CB"/>
    <w:rsid w:val="00C31253"/>
    <w:rsid w:val="00C319AF"/>
    <w:rsid w:val="00C35129"/>
    <w:rsid w:val="00C36E47"/>
    <w:rsid w:val="00C37DA2"/>
    <w:rsid w:val="00C41197"/>
    <w:rsid w:val="00C419DB"/>
    <w:rsid w:val="00C476F1"/>
    <w:rsid w:val="00C51429"/>
    <w:rsid w:val="00C51E8F"/>
    <w:rsid w:val="00C52CE9"/>
    <w:rsid w:val="00C52FC0"/>
    <w:rsid w:val="00C53F9E"/>
    <w:rsid w:val="00C54048"/>
    <w:rsid w:val="00C559E9"/>
    <w:rsid w:val="00C608C1"/>
    <w:rsid w:val="00C61360"/>
    <w:rsid w:val="00C63D4E"/>
    <w:rsid w:val="00C63EA9"/>
    <w:rsid w:val="00C665A0"/>
    <w:rsid w:val="00C67725"/>
    <w:rsid w:val="00C700F3"/>
    <w:rsid w:val="00C7092F"/>
    <w:rsid w:val="00C76DDA"/>
    <w:rsid w:val="00C807B3"/>
    <w:rsid w:val="00C8247B"/>
    <w:rsid w:val="00C825C9"/>
    <w:rsid w:val="00C86CC3"/>
    <w:rsid w:val="00C86E37"/>
    <w:rsid w:val="00C901B1"/>
    <w:rsid w:val="00C907D7"/>
    <w:rsid w:val="00C90EBC"/>
    <w:rsid w:val="00C91B69"/>
    <w:rsid w:val="00C95B11"/>
    <w:rsid w:val="00C96CE3"/>
    <w:rsid w:val="00CA3856"/>
    <w:rsid w:val="00CA5A3F"/>
    <w:rsid w:val="00CA67E0"/>
    <w:rsid w:val="00CB0122"/>
    <w:rsid w:val="00CB0269"/>
    <w:rsid w:val="00CB0833"/>
    <w:rsid w:val="00CB18F5"/>
    <w:rsid w:val="00CB5256"/>
    <w:rsid w:val="00CB5846"/>
    <w:rsid w:val="00CB7B46"/>
    <w:rsid w:val="00CC008E"/>
    <w:rsid w:val="00CC02ED"/>
    <w:rsid w:val="00CC38AF"/>
    <w:rsid w:val="00CC3D55"/>
    <w:rsid w:val="00CC5083"/>
    <w:rsid w:val="00CC63EB"/>
    <w:rsid w:val="00CD022A"/>
    <w:rsid w:val="00CD03BE"/>
    <w:rsid w:val="00CD0707"/>
    <w:rsid w:val="00CD108C"/>
    <w:rsid w:val="00CD1A25"/>
    <w:rsid w:val="00CD2E16"/>
    <w:rsid w:val="00CD65E7"/>
    <w:rsid w:val="00CD76B3"/>
    <w:rsid w:val="00CD7BFC"/>
    <w:rsid w:val="00CE2B95"/>
    <w:rsid w:val="00CE2F1A"/>
    <w:rsid w:val="00CE6D8E"/>
    <w:rsid w:val="00CF1A11"/>
    <w:rsid w:val="00CF1CFA"/>
    <w:rsid w:val="00CF30FC"/>
    <w:rsid w:val="00CF4286"/>
    <w:rsid w:val="00CF5CB2"/>
    <w:rsid w:val="00D019BA"/>
    <w:rsid w:val="00D01B9F"/>
    <w:rsid w:val="00D03B38"/>
    <w:rsid w:val="00D03F87"/>
    <w:rsid w:val="00D04CD4"/>
    <w:rsid w:val="00D05301"/>
    <w:rsid w:val="00D07174"/>
    <w:rsid w:val="00D10094"/>
    <w:rsid w:val="00D10C23"/>
    <w:rsid w:val="00D12095"/>
    <w:rsid w:val="00D21AEC"/>
    <w:rsid w:val="00D22D06"/>
    <w:rsid w:val="00D24772"/>
    <w:rsid w:val="00D26E91"/>
    <w:rsid w:val="00D272A6"/>
    <w:rsid w:val="00D3441D"/>
    <w:rsid w:val="00D3445C"/>
    <w:rsid w:val="00D355C4"/>
    <w:rsid w:val="00D3612A"/>
    <w:rsid w:val="00D362FC"/>
    <w:rsid w:val="00D37703"/>
    <w:rsid w:val="00D37DBF"/>
    <w:rsid w:val="00D37F25"/>
    <w:rsid w:val="00D42F4F"/>
    <w:rsid w:val="00D44141"/>
    <w:rsid w:val="00D51D74"/>
    <w:rsid w:val="00D56A19"/>
    <w:rsid w:val="00D56A53"/>
    <w:rsid w:val="00D56A79"/>
    <w:rsid w:val="00D60B0E"/>
    <w:rsid w:val="00D61B46"/>
    <w:rsid w:val="00D6324F"/>
    <w:rsid w:val="00D63458"/>
    <w:rsid w:val="00D645BA"/>
    <w:rsid w:val="00D668B2"/>
    <w:rsid w:val="00D66D37"/>
    <w:rsid w:val="00D750CC"/>
    <w:rsid w:val="00D758DC"/>
    <w:rsid w:val="00D84369"/>
    <w:rsid w:val="00D84C8F"/>
    <w:rsid w:val="00D84F33"/>
    <w:rsid w:val="00D873AD"/>
    <w:rsid w:val="00D900A6"/>
    <w:rsid w:val="00D90BEE"/>
    <w:rsid w:val="00D91AAC"/>
    <w:rsid w:val="00D91C06"/>
    <w:rsid w:val="00D91C9F"/>
    <w:rsid w:val="00D93FD1"/>
    <w:rsid w:val="00DA002C"/>
    <w:rsid w:val="00DA08F5"/>
    <w:rsid w:val="00DA09CA"/>
    <w:rsid w:val="00DA2ADC"/>
    <w:rsid w:val="00DB01E2"/>
    <w:rsid w:val="00DB0764"/>
    <w:rsid w:val="00DB2A70"/>
    <w:rsid w:val="00DB3506"/>
    <w:rsid w:val="00DB7A9A"/>
    <w:rsid w:val="00DC0484"/>
    <w:rsid w:val="00DC18D3"/>
    <w:rsid w:val="00DC3177"/>
    <w:rsid w:val="00DC3276"/>
    <w:rsid w:val="00DC449D"/>
    <w:rsid w:val="00DC51EE"/>
    <w:rsid w:val="00DC77C2"/>
    <w:rsid w:val="00DD13AB"/>
    <w:rsid w:val="00DD1FF2"/>
    <w:rsid w:val="00DD2841"/>
    <w:rsid w:val="00DD323F"/>
    <w:rsid w:val="00DD37D8"/>
    <w:rsid w:val="00DD4EAA"/>
    <w:rsid w:val="00DD4EB5"/>
    <w:rsid w:val="00DD5902"/>
    <w:rsid w:val="00DD6CBC"/>
    <w:rsid w:val="00DE01A4"/>
    <w:rsid w:val="00DE2310"/>
    <w:rsid w:val="00DE3E40"/>
    <w:rsid w:val="00DE4597"/>
    <w:rsid w:val="00DE5BB1"/>
    <w:rsid w:val="00DE643F"/>
    <w:rsid w:val="00DF606E"/>
    <w:rsid w:val="00DF6840"/>
    <w:rsid w:val="00DF6CBC"/>
    <w:rsid w:val="00E010AB"/>
    <w:rsid w:val="00E015AD"/>
    <w:rsid w:val="00E0233F"/>
    <w:rsid w:val="00E02678"/>
    <w:rsid w:val="00E050EC"/>
    <w:rsid w:val="00E06262"/>
    <w:rsid w:val="00E0748A"/>
    <w:rsid w:val="00E10761"/>
    <w:rsid w:val="00E128A9"/>
    <w:rsid w:val="00E143DA"/>
    <w:rsid w:val="00E14BA3"/>
    <w:rsid w:val="00E16744"/>
    <w:rsid w:val="00E235EF"/>
    <w:rsid w:val="00E24CDE"/>
    <w:rsid w:val="00E25953"/>
    <w:rsid w:val="00E2708B"/>
    <w:rsid w:val="00E27B7E"/>
    <w:rsid w:val="00E27F5A"/>
    <w:rsid w:val="00E32BEA"/>
    <w:rsid w:val="00E32F5B"/>
    <w:rsid w:val="00E3799F"/>
    <w:rsid w:val="00E37DA2"/>
    <w:rsid w:val="00E4121B"/>
    <w:rsid w:val="00E41580"/>
    <w:rsid w:val="00E42FA4"/>
    <w:rsid w:val="00E43ACF"/>
    <w:rsid w:val="00E43B5E"/>
    <w:rsid w:val="00E45864"/>
    <w:rsid w:val="00E4622C"/>
    <w:rsid w:val="00E47F40"/>
    <w:rsid w:val="00E501C8"/>
    <w:rsid w:val="00E51FFB"/>
    <w:rsid w:val="00E52DD3"/>
    <w:rsid w:val="00E540B2"/>
    <w:rsid w:val="00E5471E"/>
    <w:rsid w:val="00E558A4"/>
    <w:rsid w:val="00E5653C"/>
    <w:rsid w:val="00E576D9"/>
    <w:rsid w:val="00E60331"/>
    <w:rsid w:val="00E65C76"/>
    <w:rsid w:val="00E65EA1"/>
    <w:rsid w:val="00E6605D"/>
    <w:rsid w:val="00E6611F"/>
    <w:rsid w:val="00E66735"/>
    <w:rsid w:val="00E709C4"/>
    <w:rsid w:val="00E70B43"/>
    <w:rsid w:val="00E9168B"/>
    <w:rsid w:val="00E91A28"/>
    <w:rsid w:val="00E923A0"/>
    <w:rsid w:val="00E9265B"/>
    <w:rsid w:val="00E95253"/>
    <w:rsid w:val="00E95569"/>
    <w:rsid w:val="00E97467"/>
    <w:rsid w:val="00E978F3"/>
    <w:rsid w:val="00EA115B"/>
    <w:rsid w:val="00EA1633"/>
    <w:rsid w:val="00EA17A9"/>
    <w:rsid w:val="00EA1CB1"/>
    <w:rsid w:val="00EA6125"/>
    <w:rsid w:val="00EC02AA"/>
    <w:rsid w:val="00EC0435"/>
    <w:rsid w:val="00EC7180"/>
    <w:rsid w:val="00EC7B4E"/>
    <w:rsid w:val="00ED0898"/>
    <w:rsid w:val="00ED209D"/>
    <w:rsid w:val="00ED418D"/>
    <w:rsid w:val="00ED46C4"/>
    <w:rsid w:val="00ED5F88"/>
    <w:rsid w:val="00ED664B"/>
    <w:rsid w:val="00ED7359"/>
    <w:rsid w:val="00ED7C2E"/>
    <w:rsid w:val="00EE25DC"/>
    <w:rsid w:val="00EE5111"/>
    <w:rsid w:val="00EF157F"/>
    <w:rsid w:val="00EF2730"/>
    <w:rsid w:val="00EF28D7"/>
    <w:rsid w:val="00EF4263"/>
    <w:rsid w:val="00F00D40"/>
    <w:rsid w:val="00F01D63"/>
    <w:rsid w:val="00F03786"/>
    <w:rsid w:val="00F03AB8"/>
    <w:rsid w:val="00F0455D"/>
    <w:rsid w:val="00F05E37"/>
    <w:rsid w:val="00F06599"/>
    <w:rsid w:val="00F07897"/>
    <w:rsid w:val="00F07EF7"/>
    <w:rsid w:val="00F112AC"/>
    <w:rsid w:val="00F130AD"/>
    <w:rsid w:val="00F151E6"/>
    <w:rsid w:val="00F15987"/>
    <w:rsid w:val="00F2002D"/>
    <w:rsid w:val="00F22093"/>
    <w:rsid w:val="00F227E8"/>
    <w:rsid w:val="00F24647"/>
    <w:rsid w:val="00F26374"/>
    <w:rsid w:val="00F26A9F"/>
    <w:rsid w:val="00F27844"/>
    <w:rsid w:val="00F30DE4"/>
    <w:rsid w:val="00F331B5"/>
    <w:rsid w:val="00F33818"/>
    <w:rsid w:val="00F34AF9"/>
    <w:rsid w:val="00F41E62"/>
    <w:rsid w:val="00F45725"/>
    <w:rsid w:val="00F45BFF"/>
    <w:rsid w:val="00F47B58"/>
    <w:rsid w:val="00F47BED"/>
    <w:rsid w:val="00F53521"/>
    <w:rsid w:val="00F53991"/>
    <w:rsid w:val="00F5579B"/>
    <w:rsid w:val="00F57B34"/>
    <w:rsid w:val="00F60AC2"/>
    <w:rsid w:val="00F61722"/>
    <w:rsid w:val="00F617C6"/>
    <w:rsid w:val="00F61C66"/>
    <w:rsid w:val="00F6208E"/>
    <w:rsid w:val="00F66A33"/>
    <w:rsid w:val="00F66F7C"/>
    <w:rsid w:val="00F70BA5"/>
    <w:rsid w:val="00F71818"/>
    <w:rsid w:val="00F73842"/>
    <w:rsid w:val="00F73B39"/>
    <w:rsid w:val="00F74981"/>
    <w:rsid w:val="00F75C04"/>
    <w:rsid w:val="00F81F50"/>
    <w:rsid w:val="00F868A8"/>
    <w:rsid w:val="00F90692"/>
    <w:rsid w:val="00F95772"/>
    <w:rsid w:val="00F97602"/>
    <w:rsid w:val="00F97C4C"/>
    <w:rsid w:val="00FA0846"/>
    <w:rsid w:val="00FA0C52"/>
    <w:rsid w:val="00FA27ED"/>
    <w:rsid w:val="00FA3523"/>
    <w:rsid w:val="00FB2CA2"/>
    <w:rsid w:val="00FB33F5"/>
    <w:rsid w:val="00FB4289"/>
    <w:rsid w:val="00FC0149"/>
    <w:rsid w:val="00FC0969"/>
    <w:rsid w:val="00FC1824"/>
    <w:rsid w:val="00FC22CD"/>
    <w:rsid w:val="00FC2985"/>
    <w:rsid w:val="00FC62AE"/>
    <w:rsid w:val="00FC7254"/>
    <w:rsid w:val="00FD008B"/>
    <w:rsid w:val="00FD0E0E"/>
    <w:rsid w:val="00FD12A2"/>
    <w:rsid w:val="00FD2367"/>
    <w:rsid w:val="00FD424D"/>
    <w:rsid w:val="00FD5803"/>
    <w:rsid w:val="00FD739A"/>
    <w:rsid w:val="00FE2CE3"/>
    <w:rsid w:val="00FE2CF0"/>
    <w:rsid w:val="00FE6331"/>
    <w:rsid w:val="00FE7F11"/>
    <w:rsid w:val="00FF074D"/>
    <w:rsid w:val="00FF20D4"/>
    <w:rsid w:val="00FF2AF6"/>
    <w:rsid w:val="00FF3F44"/>
    <w:rsid w:val="00FF491C"/>
    <w:rsid w:val="00FF5C65"/>
    <w:rsid w:val="00FF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2F0A2C37"/>
  <w15:chartTrackingRefBased/>
  <w15:docId w15:val="{48F9EF60-F669-48C6-ACD4-9206BC67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Paragraphnonumbers">
    <w:name w:val="Paragraph no numbers"/>
    <w:basedOn w:val="Normal"/>
    <w:uiPriority w:val="99"/>
    <w:qFormat/>
    <w:rsid w:val="009B5D66"/>
    <w:pPr>
      <w:spacing w:after="24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59401744">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503/documents" TargetMode="External"/><Relationship Id="rId13" Type="http://schemas.openxmlformats.org/officeDocument/2006/relationships/hyperlink" Target="https://www.nice.org.uk/guidance/indevelopment/gid-ta10503/documen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dicines.org.uk/emc/product/9134" TargetMode="External"/><Relationship Id="rId17" Type="http://schemas.openxmlformats.org/officeDocument/2006/relationships/hyperlink" Target="https://www.nice.org.uk/get-involved/meetings-in-public/technology-appraisal-committee" TargetMode="Externa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committee-c-memb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19/chapter/Foreword" TargetMode="External"/><Relationship Id="rId5" Type="http://schemas.openxmlformats.org/officeDocument/2006/relationships/webSettings" Target="webSettings.xml"/><Relationship Id="rId15" Type="http://schemas.openxmlformats.org/officeDocument/2006/relationships/hyperlink" Target="https://www.nice.org.uk/about/what-we-do/our-programmes/nice-guidance/nice-technology-appraisal-guidance/cancer-drugs-fund" TargetMode="External"/><Relationship Id="rId10" Type="http://schemas.openxmlformats.org/officeDocument/2006/relationships/hyperlink" Target="https://www.nice.org.uk/process/pmg19/chapter/Forewo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indevelopment/gid-ta10503/documents" TargetMode="External"/><Relationship Id="rId14" Type="http://schemas.openxmlformats.org/officeDocument/2006/relationships/hyperlink" Target="https://www.nice.org.uk/process/pmg9/chapter/the-appraisal-of-the-evidence-and-structured-decision-mak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4064</Words>
  <Characters>24425</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28433</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Zain Hussain</dc:creator>
  <cp:keywords/>
  <cp:lastModifiedBy>Gavin Kenny</cp:lastModifiedBy>
  <cp:revision>4</cp:revision>
  <cp:lastPrinted>2012-11-14T14:34:00Z</cp:lastPrinted>
  <dcterms:created xsi:type="dcterms:W3CDTF">2020-10-29T11:20:00Z</dcterms:created>
  <dcterms:modified xsi:type="dcterms:W3CDTF">2020-10-29T12:41:00Z</dcterms:modified>
</cp:coreProperties>
</file>