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5C26D" w14:textId="3738A7EE" w:rsidR="00443081" w:rsidRPr="00A4265E" w:rsidRDefault="0098593F" w:rsidP="00181A4A">
      <w:pPr>
        <w:pStyle w:val="Title"/>
      </w:pPr>
      <w:r>
        <w:t>R</w:t>
      </w:r>
      <w:r w:rsidR="00016F2C" w:rsidRPr="00A4265E">
        <w:t xml:space="preserve">eview proposal </w:t>
      </w:r>
      <w:r w:rsidR="008C1624" w:rsidRPr="00A4265E">
        <w:t xml:space="preserve">of </w:t>
      </w:r>
      <w:r w:rsidR="00D868E5">
        <w:t xml:space="preserve">TA753 </w:t>
      </w:r>
      <w:r w:rsidR="00D868E5" w:rsidRPr="00D868E5">
        <w:t>Cenobamate for focal onset seizures in epilepsy</w:t>
      </w:r>
      <w:r w:rsidR="00D868E5" w:rsidRPr="00D868E5">
        <w:tab/>
      </w:r>
    </w:p>
    <w:p w14:paraId="7EB0BA84" w14:textId="77777777" w:rsidR="008C1624" w:rsidRPr="00A4265E" w:rsidRDefault="008C1624" w:rsidP="008C1624">
      <w:pPr>
        <w:pStyle w:val="Paragraphnonumbers"/>
      </w:pPr>
    </w:p>
    <w:p w14:paraId="64F9E071" w14:textId="42CC84C5" w:rsidR="002C3284" w:rsidRPr="00A4265E" w:rsidRDefault="002C3284" w:rsidP="002C3284">
      <w:pPr>
        <w:pStyle w:val="Heading1numbered"/>
      </w:pPr>
      <w:r w:rsidRPr="00A4265E">
        <w:t>Rationale</w:t>
      </w:r>
      <w:r>
        <w:t xml:space="preserve"> for change</w:t>
      </w:r>
    </w:p>
    <w:p w14:paraId="1F98D2B9" w14:textId="5410078E" w:rsidR="0001475D" w:rsidRDefault="000A4FD5" w:rsidP="0001475D">
      <w:pPr>
        <w:pStyle w:val="Paragraph"/>
      </w:pPr>
      <w:r>
        <w:t xml:space="preserve"> </w:t>
      </w:r>
      <w:r w:rsidR="0001475D">
        <w:t>Cenobamate is recommended as an option for treating focal onset seizures with or without secondary generalised seizures in adults with drug-resistant epilepsy that has not been adequately controlled with at least 2 antiseizure medicines. It is recommended only if:</w:t>
      </w:r>
    </w:p>
    <w:p w14:paraId="4C859F79" w14:textId="1B9DF2C3" w:rsidR="0001475D" w:rsidRDefault="0001475D" w:rsidP="0001475D">
      <w:pPr>
        <w:pStyle w:val="Paragraph"/>
        <w:numPr>
          <w:ilvl w:val="1"/>
          <w:numId w:val="20"/>
        </w:numPr>
      </w:pPr>
      <w:r>
        <w:t>it is used as an add-on treatment, after at least 1 other add-on treatment has not controlled seizures, and</w:t>
      </w:r>
    </w:p>
    <w:p w14:paraId="79041E4A" w14:textId="1554766D" w:rsidR="004638A7" w:rsidRDefault="0001475D" w:rsidP="004B5A0A">
      <w:pPr>
        <w:pStyle w:val="Paragraph"/>
        <w:numPr>
          <w:ilvl w:val="1"/>
          <w:numId w:val="20"/>
        </w:numPr>
      </w:pPr>
      <w:bookmarkStart w:id="0" w:name="_Hlk182393008"/>
      <w:r>
        <w:t>treatment is started in a tertiary epilepsy service</w:t>
      </w:r>
      <w:bookmarkEnd w:id="0"/>
      <w:r>
        <w:t>.</w:t>
      </w:r>
    </w:p>
    <w:p w14:paraId="53E2C93F" w14:textId="7B4E88DA" w:rsidR="00AB208F" w:rsidRPr="00A4265E" w:rsidRDefault="00AB208F" w:rsidP="00AE2837">
      <w:pPr>
        <w:pStyle w:val="Paragraph"/>
      </w:pPr>
      <w:r>
        <w:t xml:space="preserve"> The clinical community</w:t>
      </w:r>
      <w:r w:rsidR="007019F8">
        <w:t xml:space="preserve"> and company</w:t>
      </w:r>
      <w:r>
        <w:t xml:space="preserve"> consider </w:t>
      </w:r>
      <w:r w:rsidR="0001475D">
        <w:t>these criteria</w:t>
      </w:r>
      <w:r w:rsidR="00753CB9">
        <w:t xml:space="preserve"> </w:t>
      </w:r>
      <w:r w:rsidR="00153277">
        <w:t xml:space="preserve">may </w:t>
      </w:r>
      <w:r w:rsidR="00753CB9">
        <w:t>be</w:t>
      </w:r>
      <w:r>
        <w:t xml:space="preserve"> overly restrictive because</w:t>
      </w:r>
      <w:r w:rsidR="00666F43">
        <w:t xml:space="preserve"> </w:t>
      </w:r>
      <w:r w:rsidR="0001475D" w:rsidRPr="0001475D">
        <w:t xml:space="preserve">the current guidance requires </w:t>
      </w:r>
      <w:r w:rsidR="00091A3B">
        <w:t>c</w:t>
      </w:r>
      <w:r w:rsidR="0001475D" w:rsidRPr="0001475D">
        <w:t xml:space="preserve">enobamate treatment to be commenced in a tertiary epilepsy service. This has put additional pressure on over-stretched services. The </w:t>
      </w:r>
      <w:r w:rsidR="00EF0014">
        <w:t xml:space="preserve">requirement for </w:t>
      </w:r>
      <w:r w:rsidR="0001475D" w:rsidRPr="0001475D">
        <w:t xml:space="preserve">tertiary initiation creates </w:t>
      </w:r>
      <w:r w:rsidR="00EF0014">
        <w:t>geographical inequity</w:t>
      </w:r>
      <w:r w:rsidR="0001475D" w:rsidRPr="0001475D">
        <w:t xml:space="preserve"> for patients </w:t>
      </w:r>
      <w:r w:rsidR="00EF0014">
        <w:t>without local access to</w:t>
      </w:r>
      <w:r w:rsidR="0001475D" w:rsidRPr="0001475D">
        <w:t xml:space="preserve"> tertiary services. </w:t>
      </w:r>
      <w:r w:rsidR="00EF0014">
        <w:t xml:space="preserve">Section 3.13 of the </w:t>
      </w:r>
      <w:r w:rsidR="00177501">
        <w:t xml:space="preserve">updated </w:t>
      </w:r>
      <w:r w:rsidR="00EF0014">
        <w:t>guideline</w:t>
      </w:r>
      <w:r w:rsidR="00177501">
        <w:t xml:space="preserve"> on epilepsies in children, young people and adults</w:t>
      </w:r>
      <w:r w:rsidR="00EF0014">
        <w:t xml:space="preserve"> </w:t>
      </w:r>
      <w:r w:rsidR="00EF0014" w:rsidRPr="0001475D">
        <w:t>(</w:t>
      </w:r>
      <w:hyperlink r:id="rId11" w:history="1">
        <w:r w:rsidR="00EF0014" w:rsidRPr="00091A3B">
          <w:rPr>
            <w:rStyle w:val="Hyperlink"/>
          </w:rPr>
          <w:t>NG217</w:t>
        </w:r>
      </w:hyperlink>
      <w:r w:rsidR="00EF0014" w:rsidRPr="0001475D">
        <w:t>)</w:t>
      </w:r>
      <w:r w:rsidR="00EF0014">
        <w:t xml:space="preserve"> states that people with drug-resistant epilepsy should be referred to tertiary services</w:t>
      </w:r>
      <w:r w:rsidR="00177501">
        <w:t>. However</w:t>
      </w:r>
      <w:r w:rsidR="00EF0014">
        <w:t xml:space="preserve">, this is no longer a requirement for </w:t>
      </w:r>
      <w:r w:rsidR="000A4FD5">
        <w:t xml:space="preserve">the </w:t>
      </w:r>
      <w:r w:rsidR="00EF0014">
        <w:t xml:space="preserve">initiation </w:t>
      </w:r>
      <w:r w:rsidR="000A4FD5">
        <w:t>of</w:t>
      </w:r>
      <w:r w:rsidR="00EF0014">
        <w:t xml:space="preserve"> other treatments</w:t>
      </w:r>
      <w:r w:rsidR="000A4FD5">
        <w:t xml:space="preserve"> such as </w:t>
      </w:r>
      <w:r w:rsidR="000A4FD5" w:rsidRPr="000A4FD5">
        <w:t>brivaracetam, eslicarbazepine acetate, perampanel, pregabalin</w:t>
      </w:r>
      <w:r w:rsidR="009D6609">
        <w:t xml:space="preserve"> and</w:t>
      </w:r>
      <w:r w:rsidR="000A4FD5" w:rsidRPr="000A4FD5">
        <w:t xml:space="preserve"> sodium valproate</w:t>
      </w:r>
      <w:r w:rsidR="00EF0014" w:rsidRPr="0001475D">
        <w:t>.</w:t>
      </w:r>
    </w:p>
    <w:p w14:paraId="0CE79509" w14:textId="04AB36EB" w:rsidR="008C1624" w:rsidRPr="00A4265E" w:rsidRDefault="008C1624" w:rsidP="003844B5">
      <w:pPr>
        <w:pStyle w:val="Heading1numbered"/>
      </w:pPr>
      <w:r w:rsidRPr="00A4265E">
        <w:t xml:space="preserve">Proposal </w:t>
      </w:r>
      <w:r w:rsidR="002C3284">
        <w:t>options</w:t>
      </w:r>
    </w:p>
    <w:p w14:paraId="2B4D38C3" w14:textId="4501EA95" w:rsidR="008C1624" w:rsidRDefault="000A4FD5" w:rsidP="003844B5">
      <w:pPr>
        <w:pStyle w:val="Paragraph"/>
      </w:pPr>
      <w:r>
        <w:t xml:space="preserve"> </w:t>
      </w:r>
      <w:r w:rsidR="00EF0325">
        <w:t xml:space="preserve">This review aims to investigate </w:t>
      </w:r>
      <w:r w:rsidR="00177501">
        <w:t xml:space="preserve">the </w:t>
      </w:r>
      <w:r w:rsidR="00EF0325">
        <w:t xml:space="preserve">implications of changing the recommendation wording through consultation with key stakeholders. There may be a range of potential </w:t>
      </w:r>
      <w:r w:rsidR="002D4C7F">
        <w:t xml:space="preserve">options resulting from </w:t>
      </w:r>
      <w:r w:rsidR="00EF0325">
        <w:t>this review including:</w:t>
      </w:r>
    </w:p>
    <w:p w14:paraId="4D06A2B4" w14:textId="2D79DED2" w:rsidR="00EF0325" w:rsidRDefault="00EF0325" w:rsidP="00EF0325">
      <w:pPr>
        <w:pStyle w:val="Paragraph"/>
        <w:numPr>
          <w:ilvl w:val="1"/>
          <w:numId w:val="20"/>
        </w:numPr>
      </w:pPr>
      <w:r>
        <w:t>No change to the recommendation wording, termination of the review</w:t>
      </w:r>
      <w:r w:rsidR="00FD46B6">
        <w:t>.</w:t>
      </w:r>
    </w:p>
    <w:p w14:paraId="2C5E90CC" w14:textId="40E36F19" w:rsidR="00EF0325" w:rsidRDefault="00EF0325" w:rsidP="00EF0325">
      <w:pPr>
        <w:pStyle w:val="Paragraph"/>
        <w:numPr>
          <w:ilvl w:val="1"/>
          <w:numId w:val="20"/>
        </w:numPr>
      </w:pPr>
      <w:r>
        <w:t xml:space="preserve">An adjustment to the recommendation wording, that does not require further </w:t>
      </w:r>
      <w:r w:rsidR="00FD46B6">
        <w:t xml:space="preserve">submission of </w:t>
      </w:r>
      <w:r>
        <w:t>evidence</w:t>
      </w:r>
      <w:r w:rsidR="00102C9F">
        <w:t xml:space="preserve"> or </w:t>
      </w:r>
      <w:r>
        <w:t>analysis.</w:t>
      </w:r>
    </w:p>
    <w:p w14:paraId="19640E7D" w14:textId="750E913D" w:rsidR="00EF0325" w:rsidRDefault="00EF0325" w:rsidP="00EF0325">
      <w:pPr>
        <w:pStyle w:val="Paragraph"/>
        <w:numPr>
          <w:ilvl w:val="1"/>
          <w:numId w:val="20"/>
        </w:numPr>
      </w:pPr>
      <w:r>
        <w:t xml:space="preserve">A review of the clinical and/or cost effectiveness of </w:t>
      </w:r>
      <w:r w:rsidR="00EF0014">
        <w:t>cenobamate based on updated positioning of cenobamate than what has been considered in the original TA753 guidance</w:t>
      </w:r>
      <w:r w:rsidR="00FD46B6">
        <w:t>.</w:t>
      </w:r>
    </w:p>
    <w:p w14:paraId="07AB6624" w14:textId="77777777" w:rsidR="008C1624" w:rsidRPr="00A4265E" w:rsidRDefault="008C1624" w:rsidP="003844B5">
      <w:pPr>
        <w:pStyle w:val="Heading1numbered"/>
      </w:pPr>
      <w:r w:rsidRPr="00A4265E">
        <w:t>Summary of new evidence and implications for review</w:t>
      </w:r>
    </w:p>
    <w:p w14:paraId="6EBCC999" w14:textId="421D32B5" w:rsidR="006E511A" w:rsidRDefault="000A4FD5" w:rsidP="002955ED">
      <w:pPr>
        <w:pStyle w:val="Paragraph"/>
      </w:pPr>
      <w:r>
        <w:t xml:space="preserve"> </w:t>
      </w:r>
      <w:r w:rsidR="00877714">
        <w:t>The</w:t>
      </w:r>
      <w:r>
        <w:t xml:space="preserve"> company has not presented any </w:t>
      </w:r>
      <w:r w:rsidR="00877714">
        <w:t xml:space="preserve">new evidence </w:t>
      </w:r>
      <w:r>
        <w:t xml:space="preserve">for this review. Submitted evidence includes </w:t>
      </w:r>
      <w:r w:rsidR="00EF0325">
        <w:t>clinical feedback</w:t>
      </w:r>
      <w:r>
        <w:t xml:space="preserve"> from various stakeholders</w:t>
      </w:r>
      <w:r w:rsidR="00EF0325">
        <w:t>.</w:t>
      </w:r>
      <w:r w:rsidR="00753CB9">
        <w:t xml:space="preserve"> </w:t>
      </w:r>
      <w:r>
        <w:t>B</w:t>
      </w:r>
      <w:r w:rsidR="00753CB9">
        <w:t xml:space="preserve">ecause of the </w:t>
      </w:r>
      <w:r w:rsidR="00753CB9">
        <w:lastRenderedPageBreak/>
        <w:t xml:space="preserve">nature of this review, NICE has not reviewed any updated published literature evidence for </w:t>
      </w:r>
      <w:r w:rsidR="00EF0014">
        <w:t xml:space="preserve">cenobamate </w:t>
      </w:r>
      <w:r w:rsidR="00753CB9">
        <w:t>at this time.</w:t>
      </w:r>
    </w:p>
    <w:p w14:paraId="17EC512B" w14:textId="5C50958C" w:rsidR="00D35290" w:rsidRDefault="00177501" w:rsidP="0084534A">
      <w:pPr>
        <w:pStyle w:val="Paragraph"/>
        <w:numPr>
          <w:ilvl w:val="0"/>
          <w:numId w:val="0"/>
        </w:numPr>
        <w:ind w:left="720"/>
      </w:pPr>
      <w:hyperlink r:id="rId12" w:history="1">
        <w:r w:rsidRPr="00177501">
          <w:rPr>
            <w:rStyle w:val="Hyperlink"/>
          </w:rPr>
          <w:t>NICE clinical guideline 137</w:t>
        </w:r>
      </w:hyperlink>
      <w:r>
        <w:t xml:space="preserve"> </w:t>
      </w:r>
      <w:r w:rsidR="0084534A">
        <w:t>has been update</w:t>
      </w:r>
      <w:r>
        <w:t>d and replaced by</w:t>
      </w:r>
      <w:r w:rsidR="0084534A">
        <w:t xml:space="preserve"> NG217</w:t>
      </w:r>
      <w:r>
        <w:t xml:space="preserve">. Section 5.2.5 </w:t>
      </w:r>
      <w:r w:rsidR="0040781E">
        <w:t xml:space="preserve">of NG217 </w:t>
      </w:r>
      <w:r>
        <w:t>lists</w:t>
      </w:r>
      <w:r w:rsidR="0040781E">
        <w:t xml:space="preserve"> </w:t>
      </w:r>
      <w:r>
        <w:t>‘</w:t>
      </w:r>
      <w:r w:rsidR="0084534A">
        <w:t xml:space="preserve">cenobamate </w:t>
      </w:r>
      <w:r w:rsidRPr="00177501">
        <w:t xml:space="preserve">(in line with </w:t>
      </w:r>
      <w:hyperlink r:id="rId13" w:history="1">
        <w:r w:rsidR="0040781E" w:rsidRPr="0040781E">
          <w:rPr>
            <w:rStyle w:val="Hyperlink"/>
          </w:rPr>
          <w:t>TA753</w:t>
        </w:r>
      </w:hyperlink>
      <w:r w:rsidRPr="00177501">
        <w:t>)</w:t>
      </w:r>
      <w:r w:rsidR="0040781E">
        <w:t>’</w:t>
      </w:r>
      <w:r w:rsidRPr="00177501">
        <w:t xml:space="preserve"> </w:t>
      </w:r>
      <w:r w:rsidR="0084534A">
        <w:t xml:space="preserve">as </w:t>
      </w:r>
      <w:r>
        <w:t>one possible</w:t>
      </w:r>
      <w:r w:rsidR="0084534A">
        <w:t xml:space="preserve"> option for second-line add-on treatment.</w:t>
      </w:r>
    </w:p>
    <w:p w14:paraId="2EF3707F" w14:textId="79BA8524" w:rsidR="008C1624" w:rsidRPr="00A4265E" w:rsidRDefault="008C1624" w:rsidP="008C1624">
      <w:pPr>
        <w:pStyle w:val="Heading2"/>
      </w:pPr>
      <w:r w:rsidRPr="00A4265E">
        <w:t>Are there any existing or proposed changes to the marketing authorisation</w:t>
      </w:r>
      <w:r w:rsidR="00FD46B6">
        <w:t xml:space="preserve"> policies</w:t>
      </w:r>
      <w:r w:rsidRPr="00A4265E">
        <w:t xml:space="preserve"> that would affect the existing guidance?</w:t>
      </w:r>
    </w:p>
    <w:p w14:paraId="615F171E" w14:textId="7DAB0C05" w:rsidR="0040781E" w:rsidRPr="0040781E" w:rsidRDefault="00D61BC8" w:rsidP="00320505">
      <w:pPr>
        <w:pStyle w:val="Paragraph"/>
        <w:numPr>
          <w:ilvl w:val="0"/>
          <w:numId w:val="0"/>
        </w:numPr>
        <w:ind w:left="720"/>
      </w:pPr>
      <w:r>
        <w:t xml:space="preserve"> No</w:t>
      </w:r>
      <w:r w:rsidR="0040781E">
        <w:t>.</w:t>
      </w:r>
    </w:p>
    <w:p w14:paraId="548D7D32" w14:textId="47D4809F" w:rsidR="008C1624" w:rsidRPr="00A4265E" w:rsidRDefault="00153277" w:rsidP="008C1624">
      <w:pPr>
        <w:pStyle w:val="Heading2"/>
      </w:pPr>
      <w:r>
        <w:t>What w</w:t>
      </w:r>
      <w:r w:rsidR="008C1624" w:rsidRPr="00A4265E">
        <w:t xml:space="preserve">ere </w:t>
      </w:r>
      <w:r>
        <w:t>the</w:t>
      </w:r>
      <w:r w:rsidR="008C1624" w:rsidRPr="00A4265E">
        <w:t xml:space="preserve"> uncertainties identified in the original guidance</w:t>
      </w:r>
      <w:r>
        <w:t xml:space="preserve"> relating to the recommendation wording</w:t>
      </w:r>
      <w:r w:rsidR="008C1624" w:rsidRPr="00A4265E">
        <w:t xml:space="preserve">? </w:t>
      </w:r>
    </w:p>
    <w:p w14:paraId="6A81D190" w14:textId="5A100A02" w:rsidR="0084534A" w:rsidRDefault="009E76E8" w:rsidP="0084534A">
      <w:pPr>
        <w:pStyle w:val="Paragraph"/>
      </w:pPr>
      <w:r>
        <w:t xml:space="preserve"> </w:t>
      </w:r>
      <w:r w:rsidR="00F005EE">
        <w:t>T</w:t>
      </w:r>
      <w:r w:rsidR="0084534A">
        <w:t xml:space="preserve">he marketing authorisation wording </w:t>
      </w:r>
      <w:r w:rsidR="00E17641">
        <w:t xml:space="preserve">for cenobamate </w:t>
      </w:r>
      <w:r w:rsidR="0084534A">
        <w:t xml:space="preserve">specifies drug-resistant epilepsy </w:t>
      </w:r>
      <w:r w:rsidR="00283570" w:rsidRPr="00283570">
        <w:t>that has not been adequately controlled with at least 2 antiseizure medicines</w:t>
      </w:r>
      <w:r w:rsidR="00283570">
        <w:t>.</w:t>
      </w:r>
      <w:r w:rsidR="00F005EE">
        <w:t xml:space="preserve"> In </w:t>
      </w:r>
      <w:r w:rsidR="0040781E">
        <w:t>TA753</w:t>
      </w:r>
      <w:r w:rsidR="00F005EE">
        <w:t>, t</w:t>
      </w:r>
      <w:r w:rsidR="00283570">
        <w:t xml:space="preserve">he committee recognised that </w:t>
      </w:r>
      <w:r w:rsidR="00283570" w:rsidRPr="00283570">
        <w:t>pharmacological management of epilepsy is highly individualised</w:t>
      </w:r>
      <w:r w:rsidR="00283570">
        <w:t xml:space="preserve"> </w:t>
      </w:r>
      <w:r w:rsidR="0040781E">
        <w:t xml:space="preserve">with variation in </w:t>
      </w:r>
      <w:r w:rsidR="00862660">
        <w:t xml:space="preserve">the </w:t>
      </w:r>
      <w:r w:rsidR="0040781E">
        <w:t>medicines that are trialled, combined or sequenced</w:t>
      </w:r>
      <w:r w:rsidR="00862660">
        <w:t xml:space="preserve"> </w:t>
      </w:r>
      <w:r w:rsidR="00862660" w:rsidRPr="0040781E">
        <w:t>depending on a person's circumstances, tolerability, drug interactions, biological targets and mechanisms of action</w:t>
      </w:r>
      <w:r w:rsidR="0040781E">
        <w:t xml:space="preserve">. </w:t>
      </w:r>
      <w:r w:rsidR="00E17641">
        <w:t xml:space="preserve">It acknowledged that CG137 was being updated but that it recommended </w:t>
      </w:r>
      <w:r w:rsidR="00E17641" w:rsidRPr="00E17641">
        <w:t>referral to a tertiary epilepsy specialist who can consider other add-on therapy options such as eslicarbazepine acetate, lacosamide, phenobarbital, phenytoin, pregabalin, tiagabine, vigabatrin</w:t>
      </w:r>
      <w:r w:rsidR="00E17641">
        <w:t>,</w:t>
      </w:r>
      <w:r w:rsidR="00E17641" w:rsidRPr="00E17641">
        <w:t xml:space="preserve"> zonisamide</w:t>
      </w:r>
      <w:r w:rsidR="00E17641">
        <w:t>, b</w:t>
      </w:r>
      <w:r w:rsidR="00E17641" w:rsidRPr="00E17641">
        <w:t xml:space="preserve">rivaracetam acetate and perampanel </w:t>
      </w:r>
      <w:r w:rsidR="00E17641">
        <w:t>i</w:t>
      </w:r>
      <w:r w:rsidR="00E17641" w:rsidRPr="00E17641">
        <w:t xml:space="preserve">f </w:t>
      </w:r>
      <w:r w:rsidR="00E17641">
        <w:t xml:space="preserve">initial </w:t>
      </w:r>
      <w:r w:rsidR="00E17641" w:rsidRPr="00E17641">
        <w:t xml:space="preserve">add-on treatment is ineffective. </w:t>
      </w:r>
      <w:r w:rsidR="00E17641">
        <w:t xml:space="preserve">The committee </w:t>
      </w:r>
      <w:r w:rsidR="00862660">
        <w:t>considered that the treatment pathway is complex and not clearly defined, which meant that the wording of the marketing authorisat</w:t>
      </w:r>
      <w:r w:rsidR="00E17641">
        <w:t>i</w:t>
      </w:r>
      <w:r w:rsidR="00862660">
        <w:t xml:space="preserve">on </w:t>
      </w:r>
      <w:r w:rsidR="00E17641">
        <w:t xml:space="preserve">for cenobamate </w:t>
      </w:r>
      <w:r w:rsidR="00862660">
        <w:t xml:space="preserve">may be </w:t>
      </w:r>
      <w:r w:rsidR="00283570">
        <w:t>open to interpretation (see section</w:t>
      </w:r>
      <w:r w:rsidR="00E17641">
        <w:t>s</w:t>
      </w:r>
      <w:r w:rsidR="00283570">
        <w:t xml:space="preserve"> 3.2 </w:t>
      </w:r>
      <w:r w:rsidR="00E17641">
        <w:t xml:space="preserve">and 3.3 </w:t>
      </w:r>
      <w:r w:rsidR="00283570">
        <w:t>of TA753).</w:t>
      </w:r>
    </w:p>
    <w:p w14:paraId="363015A5" w14:textId="4B5E7FE2" w:rsidR="003A0DDB" w:rsidRPr="003A0DDB" w:rsidRDefault="003A0DDB" w:rsidP="003A0DDB">
      <w:pPr>
        <w:pStyle w:val="Paragraph"/>
        <w:rPr>
          <w:b/>
          <w:bCs/>
        </w:rPr>
      </w:pPr>
      <w:r>
        <w:t xml:space="preserve"> </w:t>
      </w:r>
      <w:r>
        <w:tab/>
      </w:r>
      <w:r w:rsidR="00283570">
        <w:t xml:space="preserve">The committee considered, based on clinical expert opinion, that </w:t>
      </w:r>
      <w:r w:rsidR="00283570" w:rsidRPr="00283570">
        <w:t>cenobamate is likely to be first used in specialist epilepsy centres for people with drug-resistant epilepsy, because of concerns about potential long-term adverse effects of treatment</w:t>
      </w:r>
      <w:r w:rsidR="00283570">
        <w:t>.</w:t>
      </w:r>
      <w:r w:rsidR="00283570" w:rsidRPr="00283570">
        <w:t xml:space="preserve"> </w:t>
      </w:r>
      <w:r w:rsidR="00283570">
        <w:t xml:space="preserve">It concluded that it should be recommended </w:t>
      </w:r>
      <w:r w:rsidR="00283570" w:rsidRPr="00283570">
        <w:t>as an add-on treatment after at least 1 other add-on treatment has not controlled seizures</w:t>
      </w:r>
      <w:r w:rsidR="00283570">
        <w:t>, and th</w:t>
      </w:r>
      <w:r>
        <w:t>at treatment should</w:t>
      </w:r>
      <w:r w:rsidR="00283570">
        <w:t xml:space="preserve"> be </w:t>
      </w:r>
      <w:r w:rsidR="00F005EE">
        <w:t>initiated</w:t>
      </w:r>
      <w:r w:rsidR="00283570">
        <w:t xml:space="preserve"> in </w:t>
      </w:r>
      <w:r>
        <w:t>a tertiary epilepsy centre in line with CG137</w:t>
      </w:r>
      <w:r w:rsidR="00283570">
        <w:t xml:space="preserve"> (see section 3.3 of TA753)</w:t>
      </w:r>
      <w:r>
        <w:t>.</w:t>
      </w:r>
    </w:p>
    <w:p w14:paraId="37B94C58" w14:textId="72E1FE19" w:rsidR="00C81CE8" w:rsidRPr="00A4265E" w:rsidRDefault="00F23791" w:rsidP="00283570">
      <w:pPr>
        <w:pStyle w:val="Paragraph"/>
        <w:numPr>
          <w:ilvl w:val="0"/>
          <w:numId w:val="0"/>
        </w:numPr>
        <w:ind w:left="720"/>
      </w:pPr>
      <w:r>
        <w:t>In its submission, t</w:t>
      </w:r>
      <w:r w:rsidR="0084534A">
        <w:t xml:space="preserve">he company </w:t>
      </w:r>
      <w:r>
        <w:t xml:space="preserve">compared </w:t>
      </w:r>
      <w:r w:rsidR="0084534A">
        <w:t xml:space="preserve">cenobamate to </w:t>
      </w:r>
      <w:r>
        <w:t xml:space="preserve">only </w:t>
      </w:r>
      <w:r w:rsidR="0084534A">
        <w:t xml:space="preserve">‘third-generation’ </w:t>
      </w:r>
      <w:r>
        <w:t xml:space="preserve">medicines, namely, </w:t>
      </w:r>
      <w:r w:rsidRPr="003A0DDB">
        <w:t xml:space="preserve">brivaracetam acetate, </w:t>
      </w:r>
      <w:r w:rsidR="0084534A">
        <w:t>eslicarbazepine</w:t>
      </w:r>
      <w:r>
        <w:t xml:space="preserve"> acetate</w:t>
      </w:r>
      <w:r w:rsidR="0084534A">
        <w:t>, lacosamide</w:t>
      </w:r>
      <w:r>
        <w:t xml:space="preserve"> </w:t>
      </w:r>
      <w:r w:rsidR="0084534A">
        <w:t>and perampanel.</w:t>
      </w:r>
      <w:r w:rsidR="00F005EE">
        <w:t xml:space="preserve"> </w:t>
      </w:r>
      <w:r w:rsidRPr="003A0DDB">
        <w:t>The company did not provide any evidence for cenobamate compared with treatments that would be used earlier in the treatment pathway</w:t>
      </w:r>
      <w:r>
        <w:t xml:space="preserve">, such as </w:t>
      </w:r>
      <w:r w:rsidRPr="003A0DDB">
        <w:t>clobazam</w:t>
      </w:r>
      <w:r>
        <w:t>,</w:t>
      </w:r>
      <w:r w:rsidRPr="003A0DDB">
        <w:t xml:space="preserve"> topiramate </w:t>
      </w:r>
      <w:r>
        <w:t xml:space="preserve">and </w:t>
      </w:r>
      <w:r w:rsidRPr="003A0DDB">
        <w:t>zonisamide</w:t>
      </w:r>
      <w:r>
        <w:t xml:space="preserve">. </w:t>
      </w:r>
      <w:r w:rsidR="00F005EE">
        <w:t xml:space="preserve">Therefore, the committee considered </w:t>
      </w:r>
      <w:r>
        <w:t xml:space="preserve">that </w:t>
      </w:r>
      <w:r w:rsidR="00F005EE">
        <w:t xml:space="preserve">it </w:t>
      </w:r>
      <w:r>
        <w:t xml:space="preserve">would be </w:t>
      </w:r>
      <w:r w:rsidR="00F005EE">
        <w:t xml:space="preserve">most appropriate to </w:t>
      </w:r>
      <w:r w:rsidR="00D56321">
        <w:t xml:space="preserve">position </w:t>
      </w:r>
      <w:r w:rsidR="00F005EE">
        <w:t xml:space="preserve">cenobamate </w:t>
      </w:r>
      <w:r w:rsidRPr="003A0DDB">
        <w:t>for drug-resistant epilepsy only as an add-</w:t>
      </w:r>
      <w:r w:rsidRPr="003A0DDB">
        <w:lastRenderedPageBreak/>
        <w:t>on option after at least 1 add-on treatment has not controlled seizures</w:t>
      </w:r>
      <w:r w:rsidR="00E6528C">
        <w:t xml:space="preserve"> and that </w:t>
      </w:r>
      <w:r>
        <w:t xml:space="preserve">the relevant comparators for this positioning </w:t>
      </w:r>
      <w:r w:rsidR="00E6528C">
        <w:t>is in line with the company’s submission</w:t>
      </w:r>
      <w:r w:rsidR="00F005EE">
        <w:t xml:space="preserve"> (see section 3.4 of TA753)</w:t>
      </w:r>
      <w:r>
        <w:t>.</w:t>
      </w:r>
    </w:p>
    <w:p w14:paraId="11B0373D" w14:textId="77777777" w:rsidR="00A4265E" w:rsidRPr="00A4265E" w:rsidRDefault="00A4265E" w:rsidP="00A4265E">
      <w:pPr>
        <w:pStyle w:val="Heading2"/>
      </w:pPr>
      <w:r w:rsidRPr="00A4265E">
        <w:t>Are there any related pieces of NICE guidance relevant to this appraisal? If so, what implications might this have for the existing guidance?</w:t>
      </w:r>
    </w:p>
    <w:p w14:paraId="3043CB85" w14:textId="004CB760" w:rsidR="00A4265E" w:rsidRPr="00A4265E" w:rsidRDefault="00D61BC8" w:rsidP="003844B5">
      <w:pPr>
        <w:pStyle w:val="Paragraph"/>
      </w:pPr>
      <w:r>
        <w:t>No</w:t>
      </w:r>
      <w:r w:rsidR="00E6528C">
        <w:t>.</w:t>
      </w:r>
    </w:p>
    <w:p w14:paraId="33E3752C" w14:textId="69CDB960" w:rsidR="008C1624" w:rsidRDefault="00153277" w:rsidP="00666F43">
      <w:pPr>
        <w:pStyle w:val="Heading1"/>
      </w:pPr>
      <w:r>
        <w:t>Q</w:t>
      </w:r>
      <w:r w:rsidR="007019F8">
        <w:t>uestions for consultation</w:t>
      </w:r>
    </w:p>
    <w:p w14:paraId="327CF76B" w14:textId="6F958B25" w:rsidR="00F005EE" w:rsidRDefault="00F005EE" w:rsidP="00D868E5">
      <w:pPr>
        <w:pStyle w:val="Bullets"/>
      </w:pPr>
      <w:r>
        <w:t>How is cenobamate currently used in clinical practice?</w:t>
      </w:r>
    </w:p>
    <w:p w14:paraId="1E18B2F1" w14:textId="4BFDEB8D" w:rsidR="00F005EE" w:rsidRDefault="00F005EE" w:rsidP="00D868E5">
      <w:pPr>
        <w:pStyle w:val="Bullets"/>
      </w:pPr>
      <w:r>
        <w:t xml:space="preserve">Has clinical practice </w:t>
      </w:r>
      <w:r w:rsidR="006B1669">
        <w:t>changed</w:t>
      </w:r>
      <w:r>
        <w:t xml:space="preserve"> </w:t>
      </w:r>
      <w:r w:rsidR="006B1669">
        <w:t>compared to the decision problem outlined in the original guidance?</w:t>
      </w:r>
    </w:p>
    <w:p w14:paraId="29FDE25E" w14:textId="11A9E000" w:rsidR="006B1669" w:rsidRDefault="006B1669" w:rsidP="000305F6">
      <w:pPr>
        <w:pStyle w:val="Bullets"/>
      </w:pPr>
      <w:r>
        <w:t>What are the most appropriate comparators for cenobamate?</w:t>
      </w:r>
    </w:p>
    <w:p w14:paraId="1EEDB734" w14:textId="0F45166E" w:rsidR="0004073A" w:rsidRDefault="0004073A" w:rsidP="000305F6">
      <w:pPr>
        <w:pStyle w:val="Bullets"/>
      </w:pPr>
      <w:r>
        <w:t xml:space="preserve">Is </w:t>
      </w:r>
      <w:r w:rsidR="00BF01F7">
        <w:t xml:space="preserve">further evidence available for the potential long-term adverse effects of </w:t>
      </w:r>
      <w:r w:rsidR="743411F7">
        <w:t>cenobamate</w:t>
      </w:r>
      <w:r w:rsidR="00CD32CB">
        <w:t>?</w:t>
      </w:r>
    </w:p>
    <w:p w14:paraId="45DB63CB" w14:textId="2943B335" w:rsidR="0001475D" w:rsidRDefault="006B1669" w:rsidP="00D868E5">
      <w:pPr>
        <w:pStyle w:val="Bullets"/>
      </w:pPr>
      <w:r>
        <w:t xml:space="preserve">Please comment on the following </w:t>
      </w:r>
      <w:r w:rsidR="00E83384">
        <w:t>proposed change</w:t>
      </w:r>
      <w:r w:rsidR="004E5A50">
        <w:t>s</w:t>
      </w:r>
      <w:r w:rsidR="00E83384">
        <w:t xml:space="preserve"> to the recommendation</w:t>
      </w:r>
      <w:r w:rsidR="00CC139E">
        <w:t>, particularly whether the changes</w:t>
      </w:r>
      <w:r w:rsidR="007D26D5">
        <w:t xml:space="preserve"> would resolve the issues of geographical inequity for patients without</w:t>
      </w:r>
      <w:r w:rsidR="00E059E8">
        <w:t xml:space="preserve"> access to tertiary services:</w:t>
      </w:r>
      <w:r w:rsidR="00E83384">
        <w:t xml:space="preserve"> </w:t>
      </w:r>
    </w:p>
    <w:p w14:paraId="5814E9DD" w14:textId="3B41DC01" w:rsidR="00D868E5" w:rsidRDefault="00FA7A6B" w:rsidP="0001475D">
      <w:pPr>
        <w:pStyle w:val="Bullets"/>
        <w:numPr>
          <w:ilvl w:val="1"/>
          <w:numId w:val="2"/>
        </w:numPr>
      </w:pPr>
      <w:bookmarkStart w:id="1" w:name="_Hlk182392972"/>
      <w:r>
        <w:t xml:space="preserve">Cenobamate is recommended as an option for treating focal onset seizures with or without secondary generalised seizures in adults with drug-resistant epilepsy that has not been adequately controlled with at least 2 antiseizure medicines. It is recommended only </w:t>
      </w:r>
      <w:r w:rsidR="00244A93">
        <w:t>if:</w:t>
      </w:r>
    </w:p>
    <w:p w14:paraId="355CA106" w14:textId="31424822" w:rsidR="00D868E5" w:rsidRDefault="00D868E5" w:rsidP="0001475D">
      <w:pPr>
        <w:pStyle w:val="Bullets"/>
        <w:numPr>
          <w:ilvl w:val="1"/>
          <w:numId w:val="2"/>
        </w:numPr>
      </w:pPr>
      <w:r>
        <w:t>it is used after at least 1 other add-on treatment has not controlled seizures, and</w:t>
      </w:r>
    </w:p>
    <w:bookmarkEnd w:id="1"/>
    <w:p w14:paraId="1B01EABA" w14:textId="4F453F81" w:rsidR="00877714" w:rsidRPr="00153277" w:rsidRDefault="00E83384" w:rsidP="0001475D">
      <w:pPr>
        <w:pStyle w:val="Bullets"/>
        <w:numPr>
          <w:ilvl w:val="1"/>
          <w:numId w:val="2"/>
        </w:numPr>
      </w:pPr>
      <w:r>
        <w:t xml:space="preserve">treatment is started in a tertiary epilepsy service </w:t>
      </w:r>
      <w:r w:rsidRPr="00CC6466">
        <w:rPr>
          <w:b/>
          <w:bCs/>
        </w:rPr>
        <w:t>or</w:t>
      </w:r>
      <w:r w:rsidR="004B5A0A" w:rsidRPr="00CC6466">
        <w:rPr>
          <w:b/>
          <w:bCs/>
        </w:rPr>
        <w:t xml:space="preserve"> by a neurologist with a subspecialis</w:t>
      </w:r>
      <w:r w:rsidR="00000C54" w:rsidRPr="00CC6466">
        <w:rPr>
          <w:b/>
          <w:bCs/>
        </w:rPr>
        <w:t>t</w:t>
      </w:r>
      <w:r w:rsidR="004B5A0A" w:rsidRPr="00CC6466">
        <w:rPr>
          <w:b/>
          <w:bCs/>
        </w:rPr>
        <w:t xml:space="preserve"> interest in epilepsy</w:t>
      </w:r>
      <w:r w:rsidR="00D868E5" w:rsidRPr="00CC6466">
        <w:rPr>
          <w:b/>
          <w:bCs/>
        </w:rPr>
        <w:t>.</w:t>
      </w:r>
      <w:r w:rsidR="0001475D" w:rsidRPr="00CC6466">
        <w:rPr>
          <w:b/>
          <w:bCs/>
        </w:rPr>
        <w:t xml:space="preserve"> </w:t>
      </w:r>
    </w:p>
    <w:p w14:paraId="49A2EEB8" w14:textId="77777777" w:rsidR="00A4265E" w:rsidRPr="00A4265E" w:rsidRDefault="00A4265E" w:rsidP="003844B5">
      <w:pPr>
        <w:pStyle w:val="Heading1numbered"/>
      </w:pPr>
      <w:r w:rsidRPr="00A4265E">
        <w:t>Equality issues</w:t>
      </w:r>
    </w:p>
    <w:p w14:paraId="0AACD5CC" w14:textId="5E8CE025" w:rsidR="00A4265E" w:rsidRPr="00A4265E" w:rsidRDefault="00666F43" w:rsidP="003844B5">
      <w:pPr>
        <w:pStyle w:val="Paragraph"/>
      </w:pPr>
      <w:r>
        <w:t xml:space="preserve">No </w:t>
      </w:r>
      <w:r w:rsidR="00CC076E">
        <w:t xml:space="preserve">relevant </w:t>
      </w:r>
      <w:r>
        <w:t>equality issues were identified in the original appraisal.</w:t>
      </w:r>
    </w:p>
    <w:p w14:paraId="2392BB7E" w14:textId="192005EC" w:rsidR="00A4265E" w:rsidRPr="00A4265E" w:rsidRDefault="00A4265E" w:rsidP="009937C4">
      <w:pPr>
        <w:pStyle w:val="Heading1"/>
      </w:pPr>
      <w:r w:rsidRPr="00A4265E">
        <w:t>Proposal paper sign off</w:t>
      </w:r>
    </w:p>
    <w:p w14:paraId="131F6130" w14:textId="15B1B831" w:rsidR="00A4265E" w:rsidRDefault="005C3727" w:rsidP="003D3D3F">
      <w:pPr>
        <w:pStyle w:val="Paragraphnonumbers"/>
        <w:spacing w:line="240" w:lineRule="auto"/>
      </w:pPr>
      <w:r>
        <w:t>Richard Diaz</w:t>
      </w:r>
      <w:r w:rsidR="00A4265E">
        <w:t xml:space="preserve"> – Associate Director, Technology Appraisals and Highly Specialised Technologies</w:t>
      </w:r>
    </w:p>
    <w:p w14:paraId="725101E0" w14:textId="77777777" w:rsidR="00A4265E" w:rsidRDefault="00A4265E" w:rsidP="009937C4">
      <w:pPr>
        <w:pStyle w:val="Heading1"/>
      </w:pPr>
      <w:r>
        <w:t xml:space="preserve">Contributors to this paper </w:t>
      </w:r>
    </w:p>
    <w:p w14:paraId="0D1E6031" w14:textId="152087F3" w:rsidR="00D30463" w:rsidRDefault="00D30463" w:rsidP="003D3D3F">
      <w:pPr>
        <w:pStyle w:val="Paragraphnonumbers"/>
        <w:spacing w:line="240" w:lineRule="auto"/>
      </w:pPr>
      <w:r>
        <w:t xml:space="preserve">Technical </w:t>
      </w:r>
      <w:r w:rsidR="00504148">
        <w:t>Lead</w:t>
      </w:r>
      <w:r>
        <w:t>: Sharlene Ting</w:t>
      </w:r>
    </w:p>
    <w:p w14:paraId="7B86D776" w14:textId="571649E9" w:rsidR="00A4265E" w:rsidRDefault="00A4265E" w:rsidP="003D3D3F">
      <w:pPr>
        <w:pStyle w:val="Paragraphnonumbers"/>
        <w:spacing w:line="240" w:lineRule="auto"/>
      </w:pPr>
      <w:r>
        <w:t xml:space="preserve">Technical Adviser: </w:t>
      </w:r>
      <w:r w:rsidR="005C3727">
        <w:t>Adam Brooke</w:t>
      </w:r>
    </w:p>
    <w:p w14:paraId="7F04C139" w14:textId="73FE8668" w:rsidR="00A4265E" w:rsidRDefault="00A4265E" w:rsidP="003D3D3F">
      <w:pPr>
        <w:pStyle w:val="Paragraphnonumbers"/>
        <w:spacing w:line="240" w:lineRule="auto"/>
      </w:pPr>
      <w:r>
        <w:t xml:space="preserve">Associate Director: </w:t>
      </w:r>
      <w:r w:rsidR="005C3727">
        <w:t>Richard Diaz</w:t>
      </w:r>
    </w:p>
    <w:p w14:paraId="1F3CD9D1" w14:textId="0E8345A2" w:rsidR="0053533C" w:rsidRDefault="003D3D3F" w:rsidP="00591760">
      <w:pPr>
        <w:pStyle w:val="Paragraphnonumbers"/>
        <w:spacing w:line="240" w:lineRule="auto"/>
      </w:pPr>
      <w:r>
        <w:lastRenderedPageBreak/>
        <w:t xml:space="preserve">Programme Manager: </w:t>
      </w:r>
      <w:r w:rsidR="005C3727">
        <w:t>Gavin Kenny</w:t>
      </w:r>
    </w:p>
    <w:p w14:paraId="3EEB34A5" w14:textId="77777777" w:rsidR="002955ED" w:rsidRDefault="002955ED" w:rsidP="00591760">
      <w:pPr>
        <w:pStyle w:val="Paragraphnonumbers"/>
        <w:spacing w:line="240" w:lineRule="auto"/>
      </w:pPr>
    </w:p>
    <w:p w14:paraId="650915F0" w14:textId="77777777" w:rsidR="002955ED" w:rsidRDefault="002955ED" w:rsidP="00591760">
      <w:pPr>
        <w:pStyle w:val="Paragraphnonumbers"/>
        <w:spacing w:line="240" w:lineRule="auto"/>
      </w:pPr>
    </w:p>
    <w:p w14:paraId="6FA01AA2" w14:textId="77777777" w:rsidR="002955ED" w:rsidRDefault="002955ED" w:rsidP="00591760">
      <w:pPr>
        <w:pStyle w:val="Paragraphnonumbers"/>
        <w:spacing w:line="240" w:lineRule="auto"/>
      </w:pPr>
    </w:p>
    <w:p w14:paraId="4CA7A709" w14:textId="77777777" w:rsidR="002955ED" w:rsidRDefault="002955ED">
      <w:pPr>
        <w:rPr>
          <w:rFonts w:ascii="Arial" w:hAnsi="Arial"/>
          <w:b/>
          <w:bCs/>
          <w:kern w:val="28"/>
          <w:sz w:val="32"/>
          <w:szCs w:val="32"/>
        </w:rPr>
      </w:pPr>
      <w:r>
        <w:br w:type="page"/>
      </w:r>
    </w:p>
    <w:p w14:paraId="3C5DD32E" w14:textId="0EC23CEA" w:rsidR="002955ED" w:rsidRDefault="002955ED" w:rsidP="002955ED">
      <w:pPr>
        <w:pStyle w:val="Title"/>
      </w:pPr>
      <w:r>
        <w:lastRenderedPageBreak/>
        <w:t>Appendix 1</w:t>
      </w:r>
    </w:p>
    <w:p w14:paraId="2AABC79B" w14:textId="670E8629" w:rsidR="00CE158F" w:rsidRDefault="00CE158F" w:rsidP="00CE158F">
      <w:pPr>
        <w:pStyle w:val="Heading1"/>
      </w:pPr>
      <w:r>
        <w:t>Scope of review</w:t>
      </w:r>
    </w:p>
    <w:p w14:paraId="631237B2" w14:textId="235F7EDD" w:rsidR="00CE158F" w:rsidRPr="00CE158F" w:rsidRDefault="00CE158F" w:rsidP="00CE158F">
      <w:pPr>
        <w:pStyle w:val="Paragraphnonumbers"/>
      </w:pPr>
      <w:r>
        <w:t>Review proposals require a scope</w:t>
      </w:r>
      <w:r w:rsidR="00E2723E">
        <w:t xml:space="preserve"> using the PICO framework to describe the analysis that would be required if an economic analysis was considered appropriate. Please comment on the suitability of the proposed scope below.</w:t>
      </w:r>
    </w:p>
    <w:p w14:paraId="2E74B277" w14:textId="77777777" w:rsidR="00CE158F" w:rsidRPr="00DC68B6" w:rsidRDefault="00CE158F" w:rsidP="00CE158F">
      <w:pPr>
        <w:pStyle w:val="Heading2"/>
      </w:pPr>
      <w:r>
        <w:t xml:space="preserve">The technology </w:t>
      </w:r>
    </w:p>
    <w:p w14:paraId="0965BB69" w14:textId="7D8556BB" w:rsidR="002955ED" w:rsidRPr="00CE158F" w:rsidRDefault="00D30463" w:rsidP="002955ED">
      <w:pPr>
        <w:pStyle w:val="Paragraph"/>
        <w:numPr>
          <w:ilvl w:val="0"/>
          <w:numId w:val="42"/>
        </w:numPr>
      </w:pPr>
      <w:r w:rsidRPr="00D30463">
        <w:t>Cenobamate (Ontozry, Arvelle Therapeutics) is indicated for the 'adjunctive treatment of focal onset seizures with or without secondary generalisation in adults with epilepsy who have not been adequately controlled despite treatment with at least 2 anti-epileptic medicinal products'.</w:t>
      </w:r>
      <w:r w:rsidR="00CE158F">
        <w:t xml:space="preserve"> </w:t>
      </w:r>
    </w:p>
    <w:p w14:paraId="47AFAC66" w14:textId="1EF7F970" w:rsidR="002955ED" w:rsidRPr="002955ED" w:rsidRDefault="002955ED" w:rsidP="00CE158F">
      <w:pPr>
        <w:pStyle w:val="Heading2"/>
      </w:pPr>
      <w:r>
        <w:t>Table 1: PICO framework</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6237"/>
      </w:tblGrid>
      <w:tr w:rsidR="00D30463" w:rsidRPr="00D30463" w14:paraId="1E0B6912" w14:textId="77777777" w:rsidTr="00AE2837">
        <w:trPr>
          <w:cantSplit/>
        </w:trPr>
        <w:tc>
          <w:tcPr>
            <w:tcW w:w="2376" w:type="dxa"/>
            <w:shd w:val="clear" w:color="auto" w:fill="D9D9D9"/>
          </w:tcPr>
          <w:p w14:paraId="4C2A8F96" w14:textId="77777777" w:rsidR="00D30463" w:rsidRPr="00D30463" w:rsidRDefault="00D30463" w:rsidP="00AE2837">
            <w:pPr>
              <w:spacing w:before="120"/>
              <w:rPr>
                <w:rFonts w:ascii="Arial" w:hAnsi="Arial" w:cs="Arial"/>
                <w:b/>
                <w:bCs/>
              </w:rPr>
            </w:pPr>
            <w:r w:rsidRPr="00D30463">
              <w:rPr>
                <w:rFonts w:ascii="Arial" w:hAnsi="Arial" w:cs="Arial"/>
                <w:b/>
                <w:bCs/>
              </w:rPr>
              <w:t>Intervention(s)</w:t>
            </w:r>
          </w:p>
        </w:tc>
        <w:tc>
          <w:tcPr>
            <w:tcW w:w="6237" w:type="dxa"/>
          </w:tcPr>
          <w:p w14:paraId="17D33E58" w14:textId="77777777" w:rsidR="00D30463" w:rsidRPr="00D30463" w:rsidRDefault="00D30463" w:rsidP="00AE2837">
            <w:pPr>
              <w:pStyle w:val="BodyText2"/>
              <w:rPr>
                <w:rFonts w:cs="Arial"/>
                <w:szCs w:val="24"/>
                <w:lang w:val="en-GB"/>
              </w:rPr>
            </w:pPr>
            <w:r w:rsidRPr="00D30463">
              <w:rPr>
                <w:rFonts w:cs="Arial"/>
                <w:szCs w:val="24"/>
                <w:lang w:val="en-GB"/>
              </w:rPr>
              <w:t>Cenobamate</w:t>
            </w:r>
          </w:p>
        </w:tc>
      </w:tr>
      <w:tr w:rsidR="00D30463" w:rsidRPr="00D30463" w14:paraId="073FC9D1" w14:textId="77777777" w:rsidTr="00AE2837">
        <w:trPr>
          <w:cantSplit/>
        </w:trPr>
        <w:tc>
          <w:tcPr>
            <w:tcW w:w="2376" w:type="dxa"/>
            <w:shd w:val="clear" w:color="auto" w:fill="D9D9D9"/>
          </w:tcPr>
          <w:p w14:paraId="36CAACBC" w14:textId="77777777" w:rsidR="00D30463" w:rsidRPr="00D30463" w:rsidRDefault="00D30463" w:rsidP="00AE2837">
            <w:pPr>
              <w:pStyle w:val="Header"/>
              <w:spacing w:before="120"/>
              <w:rPr>
                <w:rFonts w:cs="Arial"/>
              </w:rPr>
            </w:pPr>
            <w:r w:rsidRPr="00D30463">
              <w:rPr>
                <w:rFonts w:cs="Arial"/>
                <w:b/>
                <w:bCs/>
              </w:rPr>
              <w:t>Population(s)</w:t>
            </w:r>
          </w:p>
        </w:tc>
        <w:tc>
          <w:tcPr>
            <w:tcW w:w="6237" w:type="dxa"/>
          </w:tcPr>
          <w:p w14:paraId="18516FEE" w14:textId="77777777" w:rsidR="00D30463" w:rsidRPr="00D30463" w:rsidRDefault="00D30463" w:rsidP="00AE2837">
            <w:pPr>
              <w:pStyle w:val="Title"/>
              <w:spacing w:after="240"/>
              <w:jc w:val="left"/>
              <w:rPr>
                <w:rFonts w:cs="Arial"/>
                <w:sz w:val="24"/>
                <w:szCs w:val="24"/>
              </w:rPr>
            </w:pPr>
            <w:r w:rsidRPr="00D30463">
              <w:rPr>
                <w:rFonts w:cs="Arial"/>
                <w:b w:val="0"/>
                <w:bCs w:val="0"/>
                <w:sz w:val="24"/>
                <w:szCs w:val="24"/>
              </w:rPr>
              <w:t>Adults with uncontrolled focal onset seizures</w:t>
            </w:r>
            <w:r w:rsidRPr="00D30463">
              <w:rPr>
                <w:rFonts w:cs="Arial"/>
                <w:sz w:val="24"/>
                <w:szCs w:val="24"/>
              </w:rPr>
              <w:t xml:space="preserve"> </w:t>
            </w:r>
            <w:r w:rsidRPr="00D30463">
              <w:rPr>
                <w:rFonts w:cs="Arial"/>
                <w:b w:val="0"/>
                <w:bCs w:val="0"/>
                <w:sz w:val="24"/>
                <w:szCs w:val="24"/>
              </w:rPr>
              <w:t>with or without secondary generalization in epilepsy in whom adjunctive therapy is needed.</w:t>
            </w:r>
          </w:p>
        </w:tc>
      </w:tr>
      <w:tr w:rsidR="00D30463" w:rsidRPr="00D30463" w14:paraId="196F339C" w14:textId="77777777" w:rsidTr="00AE2837">
        <w:trPr>
          <w:cantSplit/>
        </w:trPr>
        <w:tc>
          <w:tcPr>
            <w:tcW w:w="2376" w:type="dxa"/>
            <w:shd w:val="clear" w:color="auto" w:fill="D9D9D9"/>
          </w:tcPr>
          <w:p w14:paraId="352E0DED" w14:textId="77777777" w:rsidR="00D30463" w:rsidRPr="00D30463" w:rsidRDefault="00D30463" w:rsidP="00AE2837">
            <w:pPr>
              <w:pStyle w:val="Header"/>
              <w:spacing w:before="120"/>
              <w:rPr>
                <w:rFonts w:cs="Arial"/>
              </w:rPr>
            </w:pPr>
            <w:r w:rsidRPr="00D30463">
              <w:rPr>
                <w:rFonts w:cs="Arial"/>
                <w:b/>
                <w:bCs/>
              </w:rPr>
              <w:t>Comparators</w:t>
            </w:r>
          </w:p>
        </w:tc>
        <w:tc>
          <w:tcPr>
            <w:tcW w:w="6237" w:type="dxa"/>
          </w:tcPr>
          <w:p w14:paraId="369F76C0" w14:textId="77777777" w:rsidR="006B1669" w:rsidRDefault="00D30463" w:rsidP="00AE2837">
            <w:pPr>
              <w:pStyle w:val="ListParagraph"/>
              <w:ind w:left="0"/>
              <w:contextualSpacing w:val="0"/>
              <w:rPr>
                <w:rFonts w:ascii="Arial" w:hAnsi="Arial" w:cs="Arial"/>
              </w:rPr>
            </w:pPr>
            <w:r w:rsidRPr="00D30463">
              <w:rPr>
                <w:rFonts w:ascii="Arial" w:hAnsi="Arial" w:cs="Arial"/>
              </w:rPr>
              <w:t>Established adjunctive clinical management, including but not limited to:</w:t>
            </w:r>
          </w:p>
          <w:p w14:paraId="5B122CAA" w14:textId="341DAA6A" w:rsidR="006B1669" w:rsidRDefault="00D30463" w:rsidP="006B1669">
            <w:pPr>
              <w:pStyle w:val="ListParagraph"/>
              <w:numPr>
                <w:ilvl w:val="0"/>
                <w:numId w:val="45"/>
              </w:numPr>
              <w:contextualSpacing w:val="0"/>
              <w:rPr>
                <w:rFonts w:ascii="Arial" w:hAnsi="Arial" w:cs="Arial"/>
              </w:rPr>
            </w:pPr>
            <w:r w:rsidRPr="00D30463">
              <w:rPr>
                <w:rFonts w:ascii="Arial" w:hAnsi="Arial" w:cs="Arial"/>
              </w:rPr>
              <w:t>brivaracetam</w:t>
            </w:r>
          </w:p>
          <w:p w14:paraId="4937BDA9" w14:textId="247FC673" w:rsidR="006B1669" w:rsidRDefault="000A4FD5" w:rsidP="006B1669">
            <w:pPr>
              <w:pStyle w:val="ListParagraph"/>
              <w:numPr>
                <w:ilvl w:val="0"/>
                <w:numId w:val="45"/>
              </w:numPr>
              <w:contextualSpacing w:val="0"/>
              <w:rPr>
                <w:rFonts w:ascii="Arial" w:hAnsi="Arial" w:cs="Arial"/>
              </w:rPr>
            </w:pPr>
            <w:r>
              <w:rPr>
                <w:rFonts w:ascii="Arial" w:hAnsi="Arial" w:cs="Arial"/>
              </w:rPr>
              <w:t>c</w:t>
            </w:r>
            <w:r w:rsidR="00D30463" w:rsidRPr="00D30463">
              <w:rPr>
                <w:rFonts w:ascii="Arial" w:hAnsi="Arial" w:cs="Arial"/>
              </w:rPr>
              <w:t>arbamazepine</w:t>
            </w:r>
          </w:p>
          <w:p w14:paraId="2B5C1113" w14:textId="726E3AE3" w:rsidR="006B1669" w:rsidRDefault="00D30463" w:rsidP="006B1669">
            <w:pPr>
              <w:pStyle w:val="ListParagraph"/>
              <w:numPr>
                <w:ilvl w:val="0"/>
                <w:numId w:val="45"/>
              </w:numPr>
              <w:contextualSpacing w:val="0"/>
              <w:rPr>
                <w:rFonts w:ascii="Arial" w:hAnsi="Arial" w:cs="Arial"/>
              </w:rPr>
            </w:pPr>
            <w:r w:rsidRPr="00D30463">
              <w:rPr>
                <w:rFonts w:ascii="Arial" w:hAnsi="Arial" w:cs="Arial"/>
              </w:rPr>
              <w:t>eslicarbazepine</w:t>
            </w:r>
          </w:p>
          <w:p w14:paraId="3BDCECB7" w14:textId="313DABFF" w:rsidR="006B1669" w:rsidRDefault="00D30463" w:rsidP="006B1669">
            <w:pPr>
              <w:pStyle w:val="ListParagraph"/>
              <w:numPr>
                <w:ilvl w:val="0"/>
                <w:numId w:val="45"/>
              </w:numPr>
              <w:contextualSpacing w:val="0"/>
              <w:rPr>
                <w:rFonts w:ascii="Arial" w:hAnsi="Arial" w:cs="Arial"/>
              </w:rPr>
            </w:pPr>
            <w:r w:rsidRPr="00D30463">
              <w:rPr>
                <w:rFonts w:ascii="Arial" w:hAnsi="Arial" w:cs="Arial"/>
              </w:rPr>
              <w:t>lacosamide</w:t>
            </w:r>
          </w:p>
          <w:p w14:paraId="6A6633E3" w14:textId="1B3E33A6" w:rsidR="000A4FD5" w:rsidRDefault="000A4FD5" w:rsidP="006B1669">
            <w:pPr>
              <w:pStyle w:val="ListParagraph"/>
              <w:numPr>
                <w:ilvl w:val="0"/>
                <w:numId w:val="45"/>
              </w:numPr>
              <w:contextualSpacing w:val="0"/>
              <w:rPr>
                <w:rFonts w:ascii="Arial" w:hAnsi="Arial" w:cs="Arial"/>
              </w:rPr>
            </w:pPr>
            <w:r>
              <w:rPr>
                <w:rFonts w:ascii="Arial" w:hAnsi="Arial" w:cs="Arial"/>
              </w:rPr>
              <w:t>levetiracetam</w:t>
            </w:r>
          </w:p>
          <w:p w14:paraId="42D8FD03" w14:textId="2C01EF2A" w:rsidR="006B1669" w:rsidRPr="00D30463" w:rsidRDefault="00D30463" w:rsidP="006B1669">
            <w:pPr>
              <w:pStyle w:val="ListParagraph"/>
              <w:numPr>
                <w:ilvl w:val="0"/>
                <w:numId w:val="45"/>
              </w:numPr>
              <w:contextualSpacing w:val="0"/>
              <w:rPr>
                <w:rFonts w:ascii="Arial" w:hAnsi="Arial" w:cs="Arial"/>
              </w:rPr>
            </w:pPr>
            <w:r w:rsidRPr="000A4FD5">
              <w:rPr>
                <w:rFonts w:ascii="Arial" w:hAnsi="Arial" w:cs="Arial"/>
              </w:rPr>
              <w:t>perampanel</w:t>
            </w:r>
          </w:p>
        </w:tc>
      </w:tr>
      <w:tr w:rsidR="00D30463" w:rsidRPr="00D30463" w14:paraId="54FE1CDC" w14:textId="77777777" w:rsidTr="00AE2837">
        <w:trPr>
          <w:cantSplit/>
        </w:trPr>
        <w:tc>
          <w:tcPr>
            <w:tcW w:w="2376" w:type="dxa"/>
            <w:shd w:val="clear" w:color="auto" w:fill="D9D9D9"/>
          </w:tcPr>
          <w:p w14:paraId="5A1BA124" w14:textId="77777777" w:rsidR="00D30463" w:rsidRPr="00D30463" w:rsidRDefault="00D30463" w:rsidP="00AE2837">
            <w:pPr>
              <w:pStyle w:val="Header"/>
              <w:spacing w:before="120"/>
              <w:rPr>
                <w:rFonts w:cs="Arial"/>
              </w:rPr>
            </w:pPr>
            <w:r w:rsidRPr="00D30463">
              <w:rPr>
                <w:rFonts w:cs="Arial"/>
                <w:b/>
                <w:bCs/>
              </w:rPr>
              <w:t>Outcomes</w:t>
            </w:r>
          </w:p>
        </w:tc>
        <w:tc>
          <w:tcPr>
            <w:tcW w:w="6237" w:type="dxa"/>
          </w:tcPr>
          <w:p w14:paraId="7101C821" w14:textId="77777777" w:rsidR="00D30463" w:rsidRPr="00D30463" w:rsidRDefault="00D30463" w:rsidP="00AE2837">
            <w:pPr>
              <w:pStyle w:val="BodyText2"/>
              <w:rPr>
                <w:rFonts w:cs="Arial"/>
                <w:szCs w:val="24"/>
                <w:lang w:val="en-GB"/>
              </w:rPr>
            </w:pPr>
            <w:r w:rsidRPr="00D30463">
              <w:rPr>
                <w:rFonts w:cs="Arial"/>
                <w:szCs w:val="24"/>
                <w:lang w:val="en-GB"/>
              </w:rPr>
              <w:t>The outcome measures to be considered include:</w:t>
            </w:r>
          </w:p>
          <w:p w14:paraId="6C6782F6"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change in seizure frequency</w:t>
            </w:r>
          </w:p>
          <w:p w14:paraId="5A1803A3"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seizure free rate</w:t>
            </w:r>
          </w:p>
          <w:p w14:paraId="6650702F"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time to first seizure</w:t>
            </w:r>
          </w:p>
          <w:p w14:paraId="36ECB176"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response rate</w:t>
            </w:r>
          </w:p>
          <w:p w14:paraId="3160D568"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seizure severity</w:t>
            </w:r>
          </w:p>
          <w:p w14:paraId="6AE7D2F1" w14:textId="77777777" w:rsidR="00D30463" w:rsidRPr="00D30463" w:rsidRDefault="00D30463" w:rsidP="00D30463">
            <w:pPr>
              <w:pStyle w:val="BodyText2"/>
              <w:numPr>
                <w:ilvl w:val="0"/>
                <w:numId w:val="44"/>
              </w:numPr>
              <w:rPr>
                <w:rFonts w:cs="Arial"/>
                <w:szCs w:val="24"/>
                <w:lang w:val="en-GB"/>
              </w:rPr>
            </w:pPr>
            <w:r w:rsidRPr="00D30463">
              <w:rPr>
                <w:rFonts w:cs="Arial"/>
                <w:szCs w:val="24"/>
                <w:lang w:val="en-GB"/>
              </w:rPr>
              <w:t>mortality</w:t>
            </w:r>
          </w:p>
          <w:p w14:paraId="5A94516C" w14:textId="77777777" w:rsidR="00D30463" w:rsidRPr="00D30463" w:rsidRDefault="00D30463" w:rsidP="00D30463">
            <w:pPr>
              <w:numPr>
                <w:ilvl w:val="0"/>
                <w:numId w:val="37"/>
              </w:numPr>
              <w:spacing w:before="120" w:after="120"/>
              <w:ind w:left="714" w:hanging="357"/>
              <w:rPr>
                <w:rFonts w:ascii="Arial" w:hAnsi="Arial" w:cs="Arial"/>
              </w:rPr>
            </w:pPr>
            <w:r w:rsidRPr="00D30463">
              <w:rPr>
                <w:rFonts w:ascii="Arial" w:hAnsi="Arial" w:cs="Arial"/>
              </w:rPr>
              <w:t>adverse effects of treatment</w:t>
            </w:r>
          </w:p>
          <w:p w14:paraId="07048F67" w14:textId="77777777" w:rsidR="00D30463" w:rsidRPr="00D30463" w:rsidRDefault="00D30463" w:rsidP="00D30463">
            <w:pPr>
              <w:numPr>
                <w:ilvl w:val="0"/>
                <w:numId w:val="37"/>
              </w:numPr>
              <w:spacing w:before="120" w:after="120"/>
              <w:ind w:left="714" w:hanging="357"/>
              <w:rPr>
                <w:rFonts w:ascii="Arial" w:hAnsi="Arial" w:cs="Arial"/>
              </w:rPr>
            </w:pPr>
            <w:r w:rsidRPr="00D30463">
              <w:rPr>
                <w:rFonts w:ascii="Arial" w:hAnsi="Arial" w:cs="Arial"/>
              </w:rPr>
              <w:t>health-related quality of life.</w:t>
            </w:r>
          </w:p>
        </w:tc>
      </w:tr>
      <w:tr w:rsidR="00D30463" w:rsidRPr="00D30463" w14:paraId="7CF009F8" w14:textId="77777777" w:rsidTr="00AE2837">
        <w:trPr>
          <w:cantSplit/>
        </w:trPr>
        <w:tc>
          <w:tcPr>
            <w:tcW w:w="2376" w:type="dxa"/>
            <w:shd w:val="clear" w:color="auto" w:fill="D9D9D9"/>
          </w:tcPr>
          <w:p w14:paraId="33A617D6" w14:textId="77777777" w:rsidR="00D30463" w:rsidRPr="00D30463" w:rsidRDefault="00D30463" w:rsidP="00AE2837">
            <w:pPr>
              <w:pStyle w:val="Header"/>
              <w:spacing w:before="120"/>
              <w:rPr>
                <w:rFonts w:cs="Arial"/>
              </w:rPr>
            </w:pPr>
            <w:r w:rsidRPr="00D30463">
              <w:rPr>
                <w:rFonts w:cs="Arial"/>
                <w:b/>
                <w:bCs/>
              </w:rPr>
              <w:lastRenderedPageBreak/>
              <w:t>Economic analysis</w:t>
            </w:r>
          </w:p>
        </w:tc>
        <w:tc>
          <w:tcPr>
            <w:tcW w:w="6237" w:type="dxa"/>
          </w:tcPr>
          <w:p w14:paraId="05ED4683" w14:textId="77777777" w:rsidR="00D30463" w:rsidRPr="00D30463" w:rsidRDefault="00D30463" w:rsidP="00AE2837">
            <w:pPr>
              <w:pStyle w:val="BodyText2"/>
              <w:rPr>
                <w:rFonts w:cs="Arial"/>
                <w:szCs w:val="24"/>
                <w:lang w:val="en-GB"/>
              </w:rPr>
            </w:pPr>
            <w:r w:rsidRPr="00D30463">
              <w:rPr>
                <w:rFonts w:cs="Arial"/>
                <w:szCs w:val="24"/>
                <w:lang w:val="en-GB"/>
              </w:rPr>
              <w:t>The reference case stipulates that the cost effectiveness of treatments should be expressed in terms of incremental cost per quality-adjusted life year.</w:t>
            </w:r>
          </w:p>
          <w:p w14:paraId="7AB6B3ED" w14:textId="77777777" w:rsidR="00D30463" w:rsidRPr="00D30463" w:rsidRDefault="00D30463" w:rsidP="00AE2837">
            <w:pPr>
              <w:pStyle w:val="BodyText2"/>
              <w:rPr>
                <w:rFonts w:cs="Arial"/>
                <w:szCs w:val="24"/>
                <w:lang w:val="en-GB"/>
              </w:rPr>
            </w:pPr>
            <w:r w:rsidRPr="00D30463">
              <w:rPr>
                <w:rFonts w:cs="Arial"/>
                <w:szCs w:val="24"/>
                <w:lang w:val="en-GB"/>
              </w:rPr>
              <w:t>If the technology is likely to provide similar or greater health benefits at similar or lower cost than technologies recommended in published NICE technology appraisal guidance for the same indication, a cost-comparison may be carried out.</w:t>
            </w:r>
          </w:p>
          <w:p w14:paraId="4E218EF9" w14:textId="77777777" w:rsidR="00D30463" w:rsidRPr="00D30463" w:rsidRDefault="00D30463" w:rsidP="00AE2837">
            <w:pPr>
              <w:pStyle w:val="BodyText2"/>
              <w:rPr>
                <w:rFonts w:cs="Arial"/>
                <w:szCs w:val="24"/>
                <w:lang w:val="en-GB"/>
              </w:rPr>
            </w:pPr>
            <w:r w:rsidRPr="00D30463">
              <w:rPr>
                <w:rFonts w:cs="Arial"/>
                <w:szCs w:val="24"/>
                <w:lang w:val="en-GB"/>
              </w:rPr>
              <w:t>The reference case stipulates that the time horizon for estimating clinical and cost effectiveness should be sufficiently long to reflect any differences in costs or outcomes between the technologies being compared.</w:t>
            </w:r>
          </w:p>
          <w:p w14:paraId="7876B44E" w14:textId="77777777" w:rsidR="00D30463" w:rsidRPr="00D30463" w:rsidRDefault="00D30463" w:rsidP="00AE2837">
            <w:pPr>
              <w:pStyle w:val="BodyText2"/>
              <w:rPr>
                <w:rFonts w:cs="Arial"/>
                <w:szCs w:val="24"/>
                <w:lang w:val="en-GB"/>
              </w:rPr>
            </w:pPr>
            <w:r w:rsidRPr="00D30463">
              <w:rPr>
                <w:rFonts w:cs="Arial"/>
                <w:szCs w:val="24"/>
                <w:lang w:val="en-GB"/>
              </w:rPr>
              <w:t>Costs will be considered from an NHS and Personal Social Services perspective.</w:t>
            </w:r>
          </w:p>
        </w:tc>
      </w:tr>
      <w:tr w:rsidR="00D30463" w:rsidRPr="00D30463" w14:paraId="482EF95B" w14:textId="77777777" w:rsidTr="00AE2837">
        <w:trPr>
          <w:cantSplit/>
        </w:trPr>
        <w:tc>
          <w:tcPr>
            <w:tcW w:w="2376" w:type="dxa"/>
            <w:shd w:val="clear" w:color="auto" w:fill="D9D9D9"/>
          </w:tcPr>
          <w:p w14:paraId="1FBB7631" w14:textId="77777777" w:rsidR="00D30463" w:rsidRPr="00D30463" w:rsidRDefault="00D30463" w:rsidP="00AE2837">
            <w:pPr>
              <w:pStyle w:val="Header"/>
              <w:spacing w:before="120"/>
              <w:rPr>
                <w:rFonts w:cs="Arial"/>
              </w:rPr>
            </w:pPr>
            <w:r w:rsidRPr="00D30463">
              <w:rPr>
                <w:rFonts w:cs="Arial"/>
                <w:b/>
                <w:bCs/>
              </w:rPr>
              <w:t xml:space="preserve">Other considerations </w:t>
            </w:r>
          </w:p>
        </w:tc>
        <w:tc>
          <w:tcPr>
            <w:tcW w:w="6237" w:type="dxa"/>
          </w:tcPr>
          <w:p w14:paraId="75B1FC75" w14:textId="77777777" w:rsidR="00D30463" w:rsidRPr="00D30463" w:rsidRDefault="00D30463" w:rsidP="00AE2837">
            <w:pPr>
              <w:pStyle w:val="BodyText2"/>
              <w:rPr>
                <w:rFonts w:cs="Arial"/>
                <w:szCs w:val="24"/>
                <w:lang w:val="en-GB"/>
              </w:rPr>
            </w:pPr>
            <w:r w:rsidRPr="00D30463">
              <w:rPr>
                <w:rFonts w:cs="Arial"/>
                <w:szCs w:val="24"/>
                <w:lang w:val="en-GB"/>
              </w:rPr>
              <w:t>Guidance will only be issued in accordance with the marketing authorisation</w:t>
            </w:r>
            <w:bookmarkStart w:id="2" w:name="Text54"/>
            <w:r w:rsidRPr="00D30463">
              <w:rPr>
                <w:rFonts w:cs="Arial"/>
                <w:szCs w:val="24"/>
                <w:lang w:val="en-GB"/>
              </w:rPr>
              <w:t xml:space="preserve">. </w:t>
            </w:r>
            <w:r w:rsidRPr="00D30463">
              <w:rPr>
                <w:rFonts w:cs="Arial"/>
                <w:szCs w:val="24"/>
              </w:rPr>
              <w:t>Where the wording of the therapeutic indication does not include specific treatment combinations, guidance will be issued only in the context of the evidence that has underpinned the marketing authorisation granted by the regulator.</w:t>
            </w:r>
            <w:r w:rsidRPr="00D30463">
              <w:rPr>
                <w:rFonts w:cs="Arial"/>
                <w:szCs w:val="24"/>
                <w:lang w:val="en-GB"/>
              </w:rPr>
              <w:t xml:space="preserve">  </w:t>
            </w:r>
            <w:bookmarkEnd w:id="2"/>
          </w:p>
        </w:tc>
      </w:tr>
      <w:tr w:rsidR="00D30463" w:rsidRPr="00D30463" w14:paraId="07DE753F" w14:textId="77777777" w:rsidTr="00AE28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4D2104C7" w14:textId="77777777" w:rsidR="00D30463" w:rsidRPr="00D30463" w:rsidRDefault="00D30463" w:rsidP="00AE2837">
            <w:pPr>
              <w:pStyle w:val="Header"/>
              <w:spacing w:before="120"/>
              <w:rPr>
                <w:rFonts w:cs="Arial"/>
              </w:rPr>
            </w:pPr>
            <w:r w:rsidRPr="00D30463">
              <w:rPr>
                <w:rFonts w:cs="Arial"/>
                <w:b/>
                <w:bCs/>
              </w:rPr>
              <w:t>Related NICE recommendations and NICE Pathways</w:t>
            </w:r>
          </w:p>
        </w:tc>
        <w:tc>
          <w:tcPr>
            <w:tcW w:w="6237" w:type="dxa"/>
          </w:tcPr>
          <w:p w14:paraId="06C135A4" w14:textId="77777777" w:rsidR="00D30463" w:rsidRPr="00D30463" w:rsidRDefault="00D30463" w:rsidP="00AE2837">
            <w:pPr>
              <w:pStyle w:val="BodyText2"/>
              <w:rPr>
                <w:rFonts w:cs="Arial"/>
                <w:b/>
                <w:bCs/>
                <w:szCs w:val="24"/>
                <w:lang w:val="en-GB"/>
              </w:rPr>
            </w:pPr>
            <w:r w:rsidRPr="00D30463">
              <w:rPr>
                <w:rFonts w:cs="Arial"/>
                <w:b/>
                <w:bCs/>
                <w:szCs w:val="24"/>
                <w:lang w:val="en-GB"/>
              </w:rPr>
              <w:t xml:space="preserve">Related Technology Appraisals: </w:t>
            </w:r>
          </w:p>
          <w:p w14:paraId="3D3384E8" w14:textId="77777777" w:rsidR="00D30463" w:rsidRPr="00D30463" w:rsidRDefault="00D30463" w:rsidP="00AE2837">
            <w:pPr>
              <w:pStyle w:val="BodyText2"/>
              <w:rPr>
                <w:rFonts w:cs="Arial"/>
                <w:szCs w:val="24"/>
                <w:lang w:val="en-GB"/>
              </w:rPr>
            </w:pPr>
            <w:r w:rsidRPr="00D30463">
              <w:rPr>
                <w:rFonts w:cs="Arial"/>
                <w:szCs w:val="24"/>
                <w:lang w:val="en-GB"/>
              </w:rPr>
              <w:t>None</w:t>
            </w:r>
          </w:p>
          <w:p w14:paraId="7C7E9830" w14:textId="77777777" w:rsidR="00D30463" w:rsidRPr="00D30463" w:rsidRDefault="00D30463" w:rsidP="00AE2837">
            <w:pPr>
              <w:pStyle w:val="BodyText2"/>
              <w:rPr>
                <w:rFonts w:cs="Arial"/>
                <w:b/>
                <w:bCs/>
                <w:szCs w:val="24"/>
                <w:lang w:val="en-GB"/>
              </w:rPr>
            </w:pPr>
            <w:r w:rsidRPr="00D30463">
              <w:rPr>
                <w:rFonts w:cs="Arial"/>
                <w:b/>
                <w:bCs/>
                <w:szCs w:val="24"/>
                <w:lang w:val="en-GB"/>
              </w:rPr>
              <w:t xml:space="preserve">Related Guidelines: </w:t>
            </w:r>
          </w:p>
          <w:p w14:paraId="1FA15676" w14:textId="58F87FAF" w:rsidR="00D30463" w:rsidRPr="00D30463" w:rsidRDefault="00D30463" w:rsidP="00AE2837">
            <w:pPr>
              <w:spacing w:before="120" w:after="120"/>
              <w:rPr>
                <w:rFonts w:ascii="Arial" w:hAnsi="Arial" w:cs="Arial"/>
              </w:rPr>
            </w:pPr>
            <w:hyperlink r:id="rId14" w:history="1">
              <w:r w:rsidRPr="00D30463">
                <w:rPr>
                  <w:rFonts w:ascii="Arial" w:hAnsi="Arial" w:cs="Arial"/>
                  <w:color w:val="0000FF"/>
                  <w:u w:val="single"/>
                  <w:lang w:val="en"/>
                </w:rPr>
                <w:t>Epilepsies: diagnosis and management</w:t>
              </w:r>
            </w:hyperlink>
            <w:r w:rsidRPr="00D30463">
              <w:rPr>
                <w:rFonts w:ascii="Arial" w:hAnsi="Arial" w:cs="Arial"/>
                <w:u w:val="single"/>
                <w:lang w:val="en"/>
              </w:rPr>
              <w:t xml:space="preserve"> </w:t>
            </w:r>
            <w:r w:rsidRPr="00D30463">
              <w:rPr>
                <w:rFonts w:ascii="Arial" w:hAnsi="Arial" w:cs="Arial"/>
                <w:lang w:val="en"/>
              </w:rPr>
              <w:t>(</w:t>
            </w:r>
            <w:r w:rsidR="00F005EE">
              <w:rPr>
                <w:rFonts w:ascii="Arial" w:hAnsi="Arial" w:cs="Arial"/>
                <w:lang w:val="en"/>
              </w:rPr>
              <w:t>2022</w:t>
            </w:r>
            <w:r w:rsidRPr="00D30463">
              <w:rPr>
                <w:rFonts w:ascii="Arial" w:hAnsi="Arial" w:cs="Arial"/>
                <w:lang w:val="en"/>
              </w:rPr>
              <w:t>) NICE</w:t>
            </w:r>
            <w:r w:rsidR="00F005EE">
              <w:rPr>
                <w:rFonts w:ascii="Arial" w:hAnsi="Arial" w:cs="Arial"/>
                <w:lang w:val="en"/>
              </w:rPr>
              <w:t xml:space="preserve"> guideline NG217</w:t>
            </w:r>
            <w:r w:rsidRPr="00D30463">
              <w:rPr>
                <w:rFonts w:ascii="Arial" w:hAnsi="Arial" w:cs="Arial"/>
                <w:lang w:val="en"/>
              </w:rPr>
              <w:t xml:space="preserve">. </w:t>
            </w:r>
            <w:r w:rsidRPr="00D30463">
              <w:rPr>
                <w:rFonts w:ascii="Arial" w:hAnsi="Arial" w:cs="Arial"/>
              </w:rPr>
              <w:t>Review date 2021.</w:t>
            </w:r>
          </w:p>
          <w:p w14:paraId="0B7EAB70" w14:textId="77777777" w:rsidR="00D30463" w:rsidRPr="00D30463" w:rsidRDefault="00D30463" w:rsidP="00AE2837">
            <w:pPr>
              <w:rPr>
                <w:rFonts w:ascii="Arial" w:hAnsi="Arial" w:cs="Arial"/>
                <w:lang w:val="en"/>
              </w:rPr>
            </w:pPr>
            <w:hyperlink r:id="rId15" w:history="1">
              <w:r w:rsidRPr="00D30463">
                <w:rPr>
                  <w:rStyle w:val="Hyperlink"/>
                  <w:rFonts w:ascii="Arial" w:hAnsi="Arial" w:cs="Arial"/>
                  <w:lang w:val="en"/>
                </w:rPr>
                <w:t>Partial-onset seizures in epilepsy: perampanel as adjunctive treatment</w:t>
              </w:r>
            </w:hyperlink>
            <w:r w:rsidRPr="00D30463">
              <w:rPr>
                <w:rFonts w:ascii="Arial" w:hAnsi="Arial" w:cs="Arial"/>
                <w:lang w:val="en"/>
              </w:rPr>
              <w:t xml:space="preserve"> (2012) NICE evidence summary ESNM7.</w:t>
            </w:r>
          </w:p>
          <w:p w14:paraId="15838E81" w14:textId="77777777" w:rsidR="00D30463" w:rsidRPr="00D30463" w:rsidRDefault="00D30463" w:rsidP="00AE2837">
            <w:pPr>
              <w:spacing w:before="120" w:after="120"/>
              <w:rPr>
                <w:rFonts w:ascii="Arial" w:hAnsi="Arial" w:cs="Arial"/>
                <w:lang w:val="en"/>
              </w:rPr>
            </w:pPr>
            <w:hyperlink r:id="rId16" w:history="1">
              <w:r w:rsidRPr="00D30463">
                <w:rPr>
                  <w:rStyle w:val="Hyperlink"/>
                  <w:rFonts w:ascii="Arial" w:hAnsi="Arial" w:cs="Arial"/>
                  <w:lang w:val="en"/>
                </w:rPr>
                <w:t>Deep brain stimulation for refractory epilepsy</w:t>
              </w:r>
            </w:hyperlink>
            <w:r w:rsidRPr="00D30463">
              <w:rPr>
                <w:rFonts w:ascii="Arial" w:hAnsi="Arial" w:cs="Arial"/>
                <w:lang w:val="en"/>
              </w:rPr>
              <w:t xml:space="preserve"> (2012) NICE interventional procedures guidance IPG4216.</w:t>
            </w:r>
          </w:p>
          <w:p w14:paraId="72FEA1C8" w14:textId="77777777" w:rsidR="00D30463" w:rsidRPr="00D30463" w:rsidRDefault="00D30463" w:rsidP="00AE2837">
            <w:pPr>
              <w:pStyle w:val="BodyText2"/>
              <w:rPr>
                <w:rFonts w:cs="Arial"/>
                <w:b/>
                <w:bCs/>
                <w:szCs w:val="24"/>
                <w:lang w:val="en-GB"/>
              </w:rPr>
            </w:pPr>
            <w:r w:rsidRPr="00D30463">
              <w:rPr>
                <w:rFonts w:cs="Arial"/>
                <w:b/>
                <w:bCs/>
                <w:szCs w:val="24"/>
                <w:lang w:val="en-GB"/>
              </w:rPr>
              <w:t>Related Quality Standards:</w:t>
            </w:r>
          </w:p>
          <w:p w14:paraId="2D917B54" w14:textId="77777777" w:rsidR="00D30463" w:rsidRPr="00D30463" w:rsidRDefault="00D30463" w:rsidP="00AE2837">
            <w:pPr>
              <w:pStyle w:val="BodyText2"/>
              <w:rPr>
                <w:rFonts w:cs="Arial"/>
                <w:szCs w:val="24"/>
                <w:lang w:val="en-GB"/>
              </w:rPr>
            </w:pPr>
            <w:hyperlink r:id="rId17" w:history="1">
              <w:r w:rsidRPr="00D30463">
                <w:rPr>
                  <w:rFonts w:cs="Arial"/>
                  <w:color w:val="0000FF"/>
                  <w:szCs w:val="24"/>
                  <w:u w:val="single"/>
                  <w:lang w:val="en-GB"/>
                </w:rPr>
                <w:t>Quality standard for the epilepsies in adults</w:t>
              </w:r>
            </w:hyperlink>
            <w:r w:rsidRPr="00D30463">
              <w:rPr>
                <w:rFonts w:cs="Arial"/>
                <w:szCs w:val="24"/>
                <w:lang w:val="en-GB"/>
              </w:rPr>
              <w:t xml:space="preserve"> (2013) NICE quality standard 26.</w:t>
            </w:r>
          </w:p>
          <w:p w14:paraId="41352127" w14:textId="77777777" w:rsidR="00D30463" w:rsidRPr="00D30463" w:rsidRDefault="00D30463" w:rsidP="00AE2837">
            <w:pPr>
              <w:rPr>
                <w:rFonts w:ascii="Arial" w:hAnsi="Arial" w:cs="Arial"/>
                <w:color w:val="000000"/>
              </w:rPr>
            </w:pPr>
            <w:hyperlink r:id="rId18" w:history="1">
              <w:r w:rsidRPr="00D30463">
                <w:rPr>
                  <w:rFonts w:ascii="Arial" w:hAnsi="Arial" w:cs="Arial"/>
                  <w:color w:val="0000FF"/>
                  <w:u w:val="single"/>
                </w:rPr>
                <w:t>Quality standard for the epilepsies in children and young people</w:t>
              </w:r>
            </w:hyperlink>
            <w:r w:rsidRPr="00D30463">
              <w:rPr>
                <w:rFonts w:ascii="Arial" w:hAnsi="Arial" w:cs="Arial"/>
                <w:color w:val="000000"/>
              </w:rPr>
              <w:t xml:space="preserve"> (2013) NICE Quality Standard 27</w:t>
            </w:r>
          </w:p>
          <w:p w14:paraId="2E45B4A1" w14:textId="77777777" w:rsidR="00D30463" w:rsidRPr="00D30463" w:rsidRDefault="00D30463" w:rsidP="00AE2837">
            <w:pPr>
              <w:pStyle w:val="BodyText2"/>
              <w:rPr>
                <w:rFonts w:cs="Arial"/>
                <w:b/>
                <w:bCs/>
                <w:szCs w:val="24"/>
                <w:lang w:val="en-GB"/>
              </w:rPr>
            </w:pPr>
            <w:r w:rsidRPr="00D30463">
              <w:rPr>
                <w:rFonts w:cs="Arial"/>
                <w:b/>
                <w:bCs/>
                <w:szCs w:val="24"/>
                <w:lang w:val="en-GB"/>
              </w:rPr>
              <w:t>Related NICE Pathways:</w:t>
            </w:r>
          </w:p>
          <w:p w14:paraId="432F47B3" w14:textId="77777777" w:rsidR="00D30463" w:rsidRPr="00D30463" w:rsidRDefault="00D30463" w:rsidP="00AE2837">
            <w:pPr>
              <w:pStyle w:val="BodyText2"/>
              <w:rPr>
                <w:rFonts w:cs="Arial"/>
                <w:szCs w:val="24"/>
                <w:lang w:val="en-GB"/>
              </w:rPr>
            </w:pPr>
            <w:hyperlink r:id="rId19" w:history="1">
              <w:r w:rsidRPr="00D30463">
                <w:rPr>
                  <w:rStyle w:val="Hyperlink"/>
                  <w:rFonts w:cs="Arial"/>
                  <w:szCs w:val="24"/>
                  <w:lang w:val="en-GB"/>
                </w:rPr>
                <w:t>Epilepsy</w:t>
              </w:r>
            </w:hyperlink>
            <w:r w:rsidRPr="00D30463">
              <w:rPr>
                <w:rFonts w:cs="Arial"/>
                <w:szCs w:val="24"/>
              </w:rPr>
              <w:t xml:space="preserve"> (</w:t>
            </w:r>
            <w:r w:rsidRPr="00D30463">
              <w:rPr>
                <w:rFonts w:cs="Arial"/>
                <w:szCs w:val="24"/>
                <w:lang w:val="en-GB"/>
              </w:rPr>
              <w:t>2016</w:t>
            </w:r>
            <w:r w:rsidRPr="00D30463">
              <w:rPr>
                <w:rFonts w:cs="Arial"/>
                <w:szCs w:val="24"/>
              </w:rPr>
              <w:t>) NICE pathway</w:t>
            </w:r>
          </w:p>
        </w:tc>
      </w:tr>
      <w:tr w:rsidR="00D30463" w:rsidRPr="00D30463" w14:paraId="53D08374" w14:textId="77777777" w:rsidTr="00AE28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76" w:type="dxa"/>
            <w:shd w:val="clear" w:color="auto" w:fill="D9D9D9"/>
          </w:tcPr>
          <w:p w14:paraId="7C44B5D8" w14:textId="77777777" w:rsidR="00D30463" w:rsidRPr="00D30463" w:rsidRDefault="00D30463" w:rsidP="00AE2837">
            <w:pPr>
              <w:pStyle w:val="Header"/>
              <w:spacing w:before="120"/>
              <w:rPr>
                <w:rFonts w:cs="Arial"/>
                <w:b/>
                <w:bCs/>
              </w:rPr>
            </w:pPr>
            <w:r w:rsidRPr="00D30463">
              <w:rPr>
                <w:rFonts w:cs="Arial"/>
                <w:b/>
                <w:bCs/>
              </w:rPr>
              <w:t xml:space="preserve">Related National Policy </w:t>
            </w:r>
          </w:p>
        </w:tc>
        <w:tc>
          <w:tcPr>
            <w:tcW w:w="6237" w:type="dxa"/>
          </w:tcPr>
          <w:p w14:paraId="73011601" w14:textId="77777777" w:rsidR="00D30463" w:rsidRPr="00D30463" w:rsidRDefault="00D30463" w:rsidP="00AE2837">
            <w:pPr>
              <w:rPr>
                <w:rFonts w:ascii="Arial" w:hAnsi="Arial" w:cs="Arial"/>
              </w:rPr>
            </w:pPr>
            <w:r w:rsidRPr="00D30463">
              <w:rPr>
                <w:rFonts w:ascii="Arial" w:hAnsi="Arial" w:cs="Arial"/>
              </w:rPr>
              <w:t xml:space="preserve">The NHS Long Term Plan, 2019. </w:t>
            </w:r>
            <w:hyperlink r:id="rId20" w:history="1">
              <w:r w:rsidRPr="00D30463">
                <w:rPr>
                  <w:rStyle w:val="Hyperlink"/>
                  <w:rFonts w:ascii="Arial" w:hAnsi="Arial" w:cs="Arial"/>
                </w:rPr>
                <w:t>NHS Long Term Plan</w:t>
              </w:r>
            </w:hyperlink>
          </w:p>
          <w:p w14:paraId="0BB60BFE" w14:textId="007FB1DC" w:rsidR="00D30463" w:rsidRPr="00D30463" w:rsidRDefault="00D30463" w:rsidP="00AE2837">
            <w:pPr>
              <w:pStyle w:val="BodyText2"/>
              <w:rPr>
                <w:rFonts w:cs="Arial"/>
                <w:szCs w:val="24"/>
              </w:rPr>
            </w:pPr>
            <w:r w:rsidRPr="00D30463">
              <w:rPr>
                <w:rFonts w:cs="Arial"/>
                <w:szCs w:val="24"/>
                <w:lang w:val="en-GB"/>
              </w:rPr>
              <w:t xml:space="preserve">NHS England (2018/2019) </w:t>
            </w:r>
            <w:hyperlink r:id="rId21" w:history="1">
              <w:r w:rsidRPr="00D30463">
                <w:rPr>
                  <w:rStyle w:val="Hyperlink"/>
                  <w:rFonts w:cs="Arial"/>
                  <w:szCs w:val="24"/>
                </w:rPr>
                <w:t>NHS manual for prescribed specialist services (2018/2019)</w:t>
              </w:r>
            </w:hyperlink>
          </w:p>
          <w:p w14:paraId="61F6CAD7" w14:textId="77777777" w:rsidR="00D30463" w:rsidRPr="00D30463" w:rsidRDefault="00D30463" w:rsidP="00AE2837">
            <w:pPr>
              <w:pStyle w:val="BodyText2"/>
              <w:rPr>
                <w:rFonts w:cs="Arial"/>
                <w:szCs w:val="24"/>
                <w:lang w:val="en-GB"/>
              </w:rPr>
            </w:pPr>
            <w:r w:rsidRPr="00D30463">
              <w:rPr>
                <w:rFonts w:cs="Arial"/>
                <w:szCs w:val="24"/>
              </w:rPr>
              <w:lastRenderedPageBreak/>
              <w:t>Department of Health</w:t>
            </w:r>
            <w:r w:rsidRPr="00D30463">
              <w:rPr>
                <w:rFonts w:cs="Arial"/>
                <w:szCs w:val="24"/>
                <w:lang w:val="en-GB"/>
              </w:rPr>
              <w:t xml:space="preserve"> and Social Care</w:t>
            </w:r>
            <w:r w:rsidRPr="00D30463">
              <w:rPr>
                <w:rFonts w:cs="Arial"/>
                <w:szCs w:val="24"/>
              </w:rPr>
              <w:t xml:space="preserve">, NHS Outcomes Framework 2016-2017: Domains </w:t>
            </w:r>
            <w:r w:rsidRPr="00D30463">
              <w:rPr>
                <w:rFonts w:cs="Arial"/>
                <w:szCs w:val="24"/>
                <w:lang w:val="en-US"/>
              </w:rPr>
              <w:t>1, 2,4 and 5</w:t>
            </w:r>
            <w:r w:rsidRPr="00D30463">
              <w:rPr>
                <w:rFonts w:cs="Arial"/>
                <w:szCs w:val="24"/>
              </w:rPr>
              <w:t xml:space="preserve">. </w:t>
            </w:r>
            <w:hyperlink r:id="rId22" w:history="1">
              <w:r w:rsidRPr="00D30463">
                <w:rPr>
                  <w:rStyle w:val="Hyperlink"/>
                  <w:rFonts w:cs="Arial"/>
                  <w:szCs w:val="24"/>
                </w:rPr>
                <w:t>https://www.gov.uk/government/publications/nhs-outcomes-framework-2016-to-2017</w:t>
              </w:r>
            </w:hyperlink>
          </w:p>
        </w:tc>
      </w:tr>
    </w:tbl>
    <w:p w14:paraId="24773285" w14:textId="77777777" w:rsidR="002955ED" w:rsidRPr="002955ED" w:rsidRDefault="002955ED" w:rsidP="002955ED">
      <w:pPr>
        <w:pStyle w:val="Heading1"/>
      </w:pPr>
    </w:p>
    <w:sectPr w:rsidR="002955ED" w:rsidRPr="002955ED" w:rsidSect="00F412C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E3AF" w14:textId="77777777" w:rsidR="00CE18AA" w:rsidRDefault="00CE18AA" w:rsidP="00446BEE">
      <w:r>
        <w:separator/>
      </w:r>
    </w:p>
  </w:endnote>
  <w:endnote w:type="continuationSeparator" w:id="0">
    <w:p w14:paraId="10E1BA74" w14:textId="77777777" w:rsidR="00CE18AA" w:rsidRDefault="00CE18AA" w:rsidP="00446BEE">
      <w:r>
        <w:continuationSeparator/>
      </w:r>
    </w:p>
  </w:endnote>
  <w:endnote w:type="continuationNotice" w:id="1">
    <w:p w14:paraId="1D46A156" w14:textId="77777777" w:rsidR="00CE18AA" w:rsidRDefault="00CE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DBA2" w14:textId="77777777" w:rsidR="0021354C" w:rsidRDefault="0021354C">
    <w:pPr>
      <w:pStyle w:val="Footer"/>
    </w:pPr>
  </w:p>
  <w:p w14:paraId="299FC113" w14:textId="0F12C232" w:rsidR="0021354C" w:rsidRPr="00BF405E" w:rsidRDefault="0021354C" w:rsidP="00BF405E">
    <w:pPr>
      <w:pStyle w:val="Paragraphnonumbers"/>
      <w:rPr>
        <w:lang w:val="en-US"/>
      </w:rPr>
    </w:pPr>
    <w:r>
      <w:rPr>
        <w:sz w:val="20"/>
        <w:szCs w:val="20"/>
      </w:rPr>
      <w:t>© NICE 202</w:t>
    </w:r>
    <w:r w:rsidR="00877714">
      <w:rPr>
        <w:sz w:val="20"/>
        <w:szCs w:val="20"/>
      </w:rPr>
      <w:t>4</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7EE1E" w14:textId="77777777" w:rsidR="00CE18AA" w:rsidRDefault="00CE18AA" w:rsidP="00446BEE">
      <w:r>
        <w:separator/>
      </w:r>
    </w:p>
  </w:footnote>
  <w:footnote w:type="continuationSeparator" w:id="0">
    <w:p w14:paraId="7F993138" w14:textId="77777777" w:rsidR="00CE18AA" w:rsidRDefault="00CE18AA" w:rsidP="00446BEE">
      <w:r>
        <w:continuationSeparator/>
      </w:r>
    </w:p>
  </w:footnote>
  <w:footnote w:type="continuationNotice" w:id="1">
    <w:p w14:paraId="76367966" w14:textId="77777777" w:rsidR="00CE18AA" w:rsidRDefault="00CE1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B6B4A"/>
    <w:multiLevelType w:val="hybridMultilevel"/>
    <w:tmpl w:val="828C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253CF1"/>
    <w:multiLevelType w:val="hybridMultilevel"/>
    <w:tmpl w:val="381E2A2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A6A366F"/>
    <w:multiLevelType w:val="hybridMultilevel"/>
    <w:tmpl w:val="F536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023AB"/>
    <w:multiLevelType w:val="hybridMultilevel"/>
    <w:tmpl w:val="1B282A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1B15797"/>
    <w:multiLevelType w:val="hybridMultilevel"/>
    <w:tmpl w:val="89B8D402"/>
    <w:lvl w:ilvl="0" w:tplc="D9866E88">
      <w:start w:val="1"/>
      <w:numFmt w:val="decimal"/>
      <w:pStyle w:val="Paragraph"/>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B128F"/>
    <w:multiLevelType w:val="hybridMultilevel"/>
    <w:tmpl w:val="68D6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74B9F"/>
    <w:multiLevelType w:val="hybridMultilevel"/>
    <w:tmpl w:val="90D6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4001E"/>
    <w:multiLevelType w:val="hybridMultilevel"/>
    <w:tmpl w:val="2C762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75A07"/>
    <w:multiLevelType w:val="hybridMultilevel"/>
    <w:tmpl w:val="DB4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B5233"/>
    <w:multiLevelType w:val="hybridMultilevel"/>
    <w:tmpl w:val="6CBC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C1F1C"/>
    <w:multiLevelType w:val="hybridMultilevel"/>
    <w:tmpl w:val="417224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8A44E3A"/>
    <w:multiLevelType w:val="hybridMultilevel"/>
    <w:tmpl w:val="BEBCC3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2B692E"/>
    <w:multiLevelType w:val="hybridMultilevel"/>
    <w:tmpl w:val="51D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76723"/>
    <w:multiLevelType w:val="hybridMultilevel"/>
    <w:tmpl w:val="D16A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67D28"/>
    <w:multiLevelType w:val="hybridMultilevel"/>
    <w:tmpl w:val="57F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02B422C4"/>
    <w:lvl w:ilvl="0" w:tplc="D6D67F26">
      <w:start w:val="1"/>
      <w:numFmt w:val="bullet"/>
      <w:pStyle w:val="Bullets"/>
      <w:lvlText w:val=""/>
      <w:lvlJc w:val="left"/>
      <w:pPr>
        <w:ind w:left="1174" w:hanging="454"/>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69FF2E44"/>
    <w:multiLevelType w:val="hybridMultilevel"/>
    <w:tmpl w:val="33E6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60906"/>
    <w:multiLevelType w:val="hybridMultilevel"/>
    <w:tmpl w:val="A9D24B4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AF910A9"/>
    <w:multiLevelType w:val="hybridMultilevel"/>
    <w:tmpl w:val="90E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A071E"/>
    <w:multiLevelType w:val="hybridMultilevel"/>
    <w:tmpl w:val="082CF5DA"/>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E37A7"/>
    <w:multiLevelType w:val="hybridMultilevel"/>
    <w:tmpl w:val="918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25F5B"/>
    <w:multiLevelType w:val="hybridMultilevel"/>
    <w:tmpl w:val="E152BEBA"/>
    <w:lvl w:ilvl="0" w:tplc="59A22A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9A1E9A"/>
    <w:multiLevelType w:val="hybridMultilevel"/>
    <w:tmpl w:val="ED7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14162">
    <w:abstractNumId w:val="24"/>
  </w:num>
  <w:num w:numId="2" w16cid:durableId="620691757">
    <w:abstractNumId w:val="28"/>
  </w:num>
  <w:num w:numId="3" w16cid:durableId="6256708">
    <w:abstractNumId w:val="28"/>
    <w:lvlOverride w:ilvl="0">
      <w:startOverride w:val="1"/>
    </w:lvlOverride>
  </w:num>
  <w:num w:numId="4" w16cid:durableId="994838084">
    <w:abstractNumId w:val="28"/>
    <w:lvlOverride w:ilvl="0">
      <w:startOverride w:val="1"/>
    </w:lvlOverride>
  </w:num>
  <w:num w:numId="5" w16cid:durableId="1295215124">
    <w:abstractNumId w:val="28"/>
    <w:lvlOverride w:ilvl="0">
      <w:startOverride w:val="1"/>
    </w:lvlOverride>
  </w:num>
  <w:num w:numId="6" w16cid:durableId="1220946265">
    <w:abstractNumId w:val="28"/>
    <w:lvlOverride w:ilvl="0">
      <w:startOverride w:val="1"/>
    </w:lvlOverride>
  </w:num>
  <w:num w:numId="7" w16cid:durableId="1885942900">
    <w:abstractNumId w:val="28"/>
    <w:lvlOverride w:ilvl="0">
      <w:startOverride w:val="1"/>
    </w:lvlOverride>
  </w:num>
  <w:num w:numId="8" w16cid:durableId="761410971">
    <w:abstractNumId w:val="9"/>
  </w:num>
  <w:num w:numId="9" w16cid:durableId="620115468">
    <w:abstractNumId w:val="7"/>
  </w:num>
  <w:num w:numId="10" w16cid:durableId="697198881">
    <w:abstractNumId w:val="6"/>
  </w:num>
  <w:num w:numId="11" w16cid:durableId="1558780489">
    <w:abstractNumId w:val="5"/>
  </w:num>
  <w:num w:numId="12" w16cid:durableId="956252322">
    <w:abstractNumId w:val="4"/>
  </w:num>
  <w:num w:numId="13" w16cid:durableId="171066286">
    <w:abstractNumId w:val="8"/>
  </w:num>
  <w:num w:numId="14" w16cid:durableId="1054965015">
    <w:abstractNumId w:val="3"/>
  </w:num>
  <w:num w:numId="15" w16cid:durableId="417098740">
    <w:abstractNumId w:val="2"/>
  </w:num>
  <w:num w:numId="16" w16cid:durableId="1598051033">
    <w:abstractNumId w:val="1"/>
  </w:num>
  <w:num w:numId="17" w16cid:durableId="1041518103">
    <w:abstractNumId w:val="0"/>
  </w:num>
  <w:num w:numId="18" w16cid:durableId="275719882">
    <w:abstractNumId w:val="18"/>
  </w:num>
  <w:num w:numId="19" w16cid:durableId="2025670835">
    <w:abstractNumId w:val="18"/>
    <w:lvlOverride w:ilvl="0">
      <w:startOverride w:val="1"/>
    </w:lvlOverride>
  </w:num>
  <w:num w:numId="20" w16cid:durableId="1781412406">
    <w:abstractNumId w:val="15"/>
  </w:num>
  <w:num w:numId="21" w16cid:durableId="65566781">
    <w:abstractNumId w:val="12"/>
  </w:num>
  <w:num w:numId="22" w16cid:durableId="1289966241">
    <w:abstractNumId w:val="34"/>
  </w:num>
  <w:num w:numId="23" w16cid:durableId="1024482398">
    <w:abstractNumId w:val="34"/>
    <w:lvlOverride w:ilvl="0">
      <w:startOverride w:val="1"/>
    </w:lvlOverride>
  </w:num>
  <w:num w:numId="24" w16cid:durableId="298070986">
    <w:abstractNumId w:val="30"/>
  </w:num>
  <w:num w:numId="25" w16cid:durableId="852451429">
    <w:abstractNumId w:val="22"/>
  </w:num>
  <w:num w:numId="26" w16cid:durableId="32006900">
    <w:abstractNumId w:val="21"/>
  </w:num>
  <w:num w:numId="27" w16cid:durableId="1593587089">
    <w:abstractNumId w:val="27"/>
  </w:num>
  <w:num w:numId="28" w16cid:durableId="51005015">
    <w:abstractNumId w:val="17"/>
  </w:num>
  <w:num w:numId="29" w16cid:durableId="416295574">
    <w:abstractNumId w:val="14"/>
  </w:num>
  <w:num w:numId="30" w16cid:durableId="1043753998">
    <w:abstractNumId w:val="10"/>
  </w:num>
  <w:num w:numId="31" w16cid:durableId="255596514">
    <w:abstractNumId w:val="35"/>
  </w:num>
  <w:num w:numId="32" w16cid:durableId="1568538808">
    <w:abstractNumId w:val="19"/>
  </w:num>
  <w:num w:numId="33" w16cid:durableId="999575985">
    <w:abstractNumId w:val="20"/>
  </w:num>
  <w:num w:numId="34" w16cid:durableId="980573140">
    <w:abstractNumId w:val="31"/>
  </w:num>
  <w:num w:numId="35" w16cid:durableId="1799180445">
    <w:abstractNumId w:val="29"/>
  </w:num>
  <w:num w:numId="36" w16cid:durableId="489906643">
    <w:abstractNumId w:val="15"/>
  </w:num>
  <w:num w:numId="37" w16cid:durableId="548230490">
    <w:abstractNumId w:val="32"/>
  </w:num>
  <w:num w:numId="38" w16cid:durableId="1401976802">
    <w:abstractNumId w:val="33"/>
  </w:num>
  <w:num w:numId="39" w16cid:durableId="1155298967">
    <w:abstractNumId w:val="23"/>
  </w:num>
  <w:num w:numId="40" w16cid:durableId="1906333521">
    <w:abstractNumId w:val="13"/>
  </w:num>
  <w:num w:numId="41" w16cid:durableId="1072312176">
    <w:abstractNumId w:val="16"/>
  </w:num>
  <w:num w:numId="42" w16cid:durableId="65495817">
    <w:abstractNumId w:val="15"/>
    <w:lvlOverride w:ilvl="0">
      <w:startOverride w:val="1"/>
    </w:lvlOverride>
  </w:num>
  <w:num w:numId="43" w16cid:durableId="183054122">
    <w:abstractNumId w:val="25"/>
  </w:num>
  <w:num w:numId="44" w16cid:durableId="347828394">
    <w:abstractNumId w:val="26"/>
  </w:num>
  <w:num w:numId="45" w16cid:durableId="2012484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C2"/>
    <w:rsid w:val="00000C54"/>
    <w:rsid w:val="000053F8"/>
    <w:rsid w:val="00006C2F"/>
    <w:rsid w:val="00007800"/>
    <w:rsid w:val="0001475D"/>
    <w:rsid w:val="0001656B"/>
    <w:rsid w:val="00016F2C"/>
    <w:rsid w:val="0002080A"/>
    <w:rsid w:val="00024D0A"/>
    <w:rsid w:val="00026F79"/>
    <w:rsid w:val="000274F4"/>
    <w:rsid w:val="000305F6"/>
    <w:rsid w:val="0003096D"/>
    <w:rsid w:val="00037565"/>
    <w:rsid w:val="0004073A"/>
    <w:rsid w:val="000472DC"/>
    <w:rsid w:val="00054C0D"/>
    <w:rsid w:val="00070065"/>
    <w:rsid w:val="00085E83"/>
    <w:rsid w:val="00090A2E"/>
    <w:rsid w:val="00091A3B"/>
    <w:rsid w:val="000A4FD5"/>
    <w:rsid w:val="000A4FEE"/>
    <w:rsid w:val="000B5939"/>
    <w:rsid w:val="000C6D85"/>
    <w:rsid w:val="000C7032"/>
    <w:rsid w:val="000D1D10"/>
    <w:rsid w:val="000D327C"/>
    <w:rsid w:val="000E185D"/>
    <w:rsid w:val="000E7FDC"/>
    <w:rsid w:val="000F0B94"/>
    <w:rsid w:val="000F2669"/>
    <w:rsid w:val="000F6800"/>
    <w:rsid w:val="00102382"/>
    <w:rsid w:val="00102C9F"/>
    <w:rsid w:val="001053DA"/>
    <w:rsid w:val="00111CCE"/>
    <w:rsid w:val="001134E7"/>
    <w:rsid w:val="00127C95"/>
    <w:rsid w:val="001319D2"/>
    <w:rsid w:val="00153277"/>
    <w:rsid w:val="0015449E"/>
    <w:rsid w:val="00170D1F"/>
    <w:rsid w:val="0017149E"/>
    <w:rsid w:val="0017169E"/>
    <w:rsid w:val="00177501"/>
    <w:rsid w:val="00181A4A"/>
    <w:rsid w:val="00185C95"/>
    <w:rsid w:val="00187F9C"/>
    <w:rsid w:val="001B0EE9"/>
    <w:rsid w:val="001B3313"/>
    <w:rsid w:val="001B65B3"/>
    <w:rsid w:val="001B6BFB"/>
    <w:rsid w:val="001C5E34"/>
    <w:rsid w:val="001C65A9"/>
    <w:rsid w:val="001D013E"/>
    <w:rsid w:val="001F08BB"/>
    <w:rsid w:val="002022A2"/>
    <w:rsid w:val="002029A6"/>
    <w:rsid w:val="0021354C"/>
    <w:rsid w:val="00217AC7"/>
    <w:rsid w:val="002212DC"/>
    <w:rsid w:val="002408EA"/>
    <w:rsid w:val="0024310A"/>
    <w:rsid w:val="00244A93"/>
    <w:rsid w:val="002679C2"/>
    <w:rsid w:val="00281697"/>
    <w:rsid w:val="002819D7"/>
    <w:rsid w:val="00283570"/>
    <w:rsid w:val="002839FA"/>
    <w:rsid w:val="00287D66"/>
    <w:rsid w:val="002955ED"/>
    <w:rsid w:val="002B21F3"/>
    <w:rsid w:val="002B6950"/>
    <w:rsid w:val="002C1A7E"/>
    <w:rsid w:val="002C3284"/>
    <w:rsid w:val="002C56D0"/>
    <w:rsid w:val="002D3376"/>
    <w:rsid w:val="002D42D0"/>
    <w:rsid w:val="002D4C7F"/>
    <w:rsid w:val="002D770D"/>
    <w:rsid w:val="002E4C83"/>
    <w:rsid w:val="002F00A0"/>
    <w:rsid w:val="00311ED0"/>
    <w:rsid w:val="00320505"/>
    <w:rsid w:val="00322A4E"/>
    <w:rsid w:val="00325848"/>
    <w:rsid w:val="003422B1"/>
    <w:rsid w:val="00344897"/>
    <w:rsid w:val="0034687F"/>
    <w:rsid w:val="00353AE2"/>
    <w:rsid w:val="003648C5"/>
    <w:rsid w:val="00364B76"/>
    <w:rsid w:val="00366BF8"/>
    <w:rsid w:val="003722FA"/>
    <w:rsid w:val="003751CC"/>
    <w:rsid w:val="00375906"/>
    <w:rsid w:val="003844B5"/>
    <w:rsid w:val="00384B58"/>
    <w:rsid w:val="003A0DDB"/>
    <w:rsid w:val="003B267B"/>
    <w:rsid w:val="003B2A00"/>
    <w:rsid w:val="003C7AAF"/>
    <w:rsid w:val="003D3D3F"/>
    <w:rsid w:val="003D3F42"/>
    <w:rsid w:val="004075B6"/>
    <w:rsid w:val="0040781E"/>
    <w:rsid w:val="00410C81"/>
    <w:rsid w:val="00412A80"/>
    <w:rsid w:val="00413B68"/>
    <w:rsid w:val="00414644"/>
    <w:rsid w:val="00416FD5"/>
    <w:rsid w:val="00420952"/>
    <w:rsid w:val="00433EFF"/>
    <w:rsid w:val="00440431"/>
    <w:rsid w:val="00443081"/>
    <w:rsid w:val="00446BEE"/>
    <w:rsid w:val="004638A7"/>
    <w:rsid w:val="0046506A"/>
    <w:rsid w:val="0049374A"/>
    <w:rsid w:val="00493C2C"/>
    <w:rsid w:val="004B10F0"/>
    <w:rsid w:val="004B5A0A"/>
    <w:rsid w:val="004C424C"/>
    <w:rsid w:val="004C7F8A"/>
    <w:rsid w:val="004E28A3"/>
    <w:rsid w:val="004E5A50"/>
    <w:rsid w:val="005025A1"/>
    <w:rsid w:val="00502CA9"/>
    <w:rsid w:val="00504148"/>
    <w:rsid w:val="0053533C"/>
    <w:rsid w:val="00540E78"/>
    <w:rsid w:val="005523B1"/>
    <w:rsid w:val="00556EE7"/>
    <w:rsid w:val="00572C40"/>
    <w:rsid w:val="00591760"/>
    <w:rsid w:val="00597678"/>
    <w:rsid w:val="005B0A6F"/>
    <w:rsid w:val="005B138C"/>
    <w:rsid w:val="005C3727"/>
    <w:rsid w:val="005D55AF"/>
    <w:rsid w:val="005E50BA"/>
    <w:rsid w:val="0062131B"/>
    <w:rsid w:val="00623074"/>
    <w:rsid w:val="006236E2"/>
    <w:rsid w:val="006278DB"/>
    <w:rsid w:val="0063347F"/>
    <w:rsid w:val="00644A12"/>
    <w:rsid w:val="00652B10"/>
    <w:rsid w:val="00666F43"/>
    <w:rsid w:val="006735AE"/>
    <w:rsid w:val="006921E1"/>
    <w:rsid w:val="006B15CA"/>
    <w:rsid w:val="006B1669"/>
    <w:rsid w:val="006C0772"/>
    <w:rsid w:val="006C2B8B"/>
    <w:rsid w:val="006E511A"/>
    <w:rsid w:val="006F4B25"/>
    <w:rsid w:val="006F6496"/>
    <w:rsid w:val="007019F8"/>
    <w:rsid w:val="0070366A"/>
    <w:rsid w:val="00720878"/>
    <w:rsid w:val="00736348"/>
    <w:rsid w:val="00753CB9"/>
    <w:rsid w:val="00753DD2"/>
    <w:rsid w:val="00760908"/>
    <w:rsid w:val="00770A0B"/>
    <w:rsid w:val="00781383"/>
    <w:rsid w:val="00794C03"/>
    <w:rsid w:val="007B572F"/>
    <w:rsid w:val="007C5BBB"/>
    <w:rsid w:val="007D1C3B"/>
    <w:rsid w:val="007D26D5"/>
    <w:rsid w:val="007D50AD"/>
    <w:rsid w:val="007D75EF"/>
    <w:rsid w:val="007E6B60"/>
    <w:rsid w:val="007F238D"/>
    <w:rsid w:val="00802FAC"/>
    <w:rsid w:val="0080577E"/>
    <w:rsid w:val="00842D7A"/>
    <w:rsid w:val="0084534A"/>
    <w:rsid w:val="00861B92"/>
    <w:rsid w:val="00862660"/>
    <w:rsid w:val="00876BB7"/>
    <w:rsid w:val="00877714"/>
    <w:rsid w:val="0088045F"/>
    <w:rsid w:val="00880606"/>
    <w:rsid w:val="00881034"/>
    <w:rsid w:val="008814FB"/>
    <w:rsid w:val="00886FA6"/>
    <w:rsid w:val="00891B8C"/>
    <w:rsid w:val="00897B32"/>
    <w:rsid w:val="008A04D4"/>
    <w:rsid w:val="008C1624"/>
    <w:rsid w:val="008C4C08"/>
    <w:rsid w:val="008E0A3D"/>
    <w:rsid w:val="008F22D5"/>
    <w:rsid w:val="008F5E30"/>
    <w:rsid w:val="008F6FA4"/>
    <w:rsid w:val="00903C7F"/>
    <w:rsid w:val="009057B5"/>
    <w:rsid w:val="00906678"/>
    <w:rsid w:val="00912D46"/>
    <w:rsid w:val="00914D7F"/>
    <w:rsid w:val="009565C1"/>
    <w:rsid w:val="00956E19"/>
    <w:rsid w:val="00960084"/>
    <w:rsid w:val="00961076"/>
    <w:rsid w:val="00972682"/>
    <w:rsid w:val="0098593F"/>
    <w:rsid w:val="009937C4"/>
    <w:rsid w:val="009A3D36"/>
    <w:rsid w:val="009A7519"/>
    <w:rsid w:val="009D6609"/>
    <w:rsid w:val="009E12B0"/>
    <w:rsid w:val="009E373F"/>
    <w:rsid w:val="009E680B"/>
    <w:rsid w:val="009E76E8"/>
    <w:rsid w:val="009F5062"/>
    <w:rsid w:val="00A01E60"/>
    <w:rsid w:val="00A04ED0"/>
    <w:rsid w:val="00A15A1F"/>
    <w:rsid w:val="00A222E3"/>
    <w:rsid w:val="00A30CC2"/>
    <w:rsid w:val="00A30E7D"/>
    <w:rsid w:val="00A3325A"/>
    <w:rsid w:val="00A37E85"/>
    <w:rsid w:val="00A40AAD"/>
    <w:rsid w:val="00A4265E"/>
    <w:rsid w:val="00A43013"/>
    <w:rsid w:val="00A72170"/>
    <w:rsid w:val="00A75474"/>
    <w:rsid w:val="00AA0B75"/>
    <w:rsid w:val="00AB208F"/>
    <w:rsid w:val="00AB6501"/>
    <w:rsid w:val="00AB76E9"/>
    <w:rsid w:val="00AD50FD"/>
    <w:rsid w:val="00AD6D6C"/>
    <w:rsid w:val="00AE2837"/>
    <w:rsid w:val="00AF108A"/>
    <w:rsid w:val="00B02E55"/>
    <w:rsid w:val="00B036C1"/>
    <w:rsid w:val="00B2148F"/>
    <w:rsid w:val="00B35505"/>
    <w:rsid w:val="00B5431F"/>
    <w:rsid w:val="00B81431"/>
    <w:rsid w:val="00B84303"/>
    <w:rsid w:val="00BA0EF9"/>
    <w:rsid w:val="00BA2D53"/>
    <w:rsid w:val="00BB1683"/>
    <w:rsid w:val="00BB44CD"/>
    <w:rsid w:val="00BB5BBD"/>
    <w:rsid w:val="00BD2961"/>
    <w:rsid w:val="00BF01F7"/>
    <w:rsid w:val="00BF2269"/>
    <w:rsid w:val="00BF3311"/>
    <w:rsid w:val="00BF405E"/>
    <w:rsid w:val="00BF7FE0"/>
    <w:rsid w:val="00C07CFA"/>
    <w:rsid w:val="00C07E2D"/>
    <w:rsid w:val="00C11AC7"/>
    <w:rsid w:val="00C130CE"/>
    <w:rsid w:val="00C13CE0"/>
    <w:rsid w:val="00C30F0B"/>
    <w:rsid w:val="00C52EAC"/>
    <w:rsid w:val="00C5426E"/>
    <w:rsid w:val="00C57DEC"/>
    <w:rsid w:val="00C62DD7"/>
    <w:rsid w:val="00C67D7E"/>
    <w:rsid w:val="00C73A6B"/>
    <w:rsid w:val="00C81104"/>
    <w:rsid w:val="00C81CE8"/>
    <w:rsid w:val="00C96411"/>
    <w:rsid w:val="00C97226"/>
    <w:rsid w:val="00C9755E"/>
    <w:rsid w:val="00CA55E2"/>
    <w:rsid w:val="00CB2054"/>
    <w:rsid w:val="00CB4DAE"/>
    <w:rsid w:val="00CB5671"/>
    <w:rsid w:val="00CC076E"/>
    <w:rsid w:val="00CC139E"/>
    <w:rsid w:val="00CC6466"/>
    <w:rsid w:val="00CD32CB"/>
    <w:rsid w:val="00CE158F"/>
    <w:rsid w:val="00CE18AA"/>
    <w:rsid w:val="00CE2481"/>
    <w:rsid w:val="00CF58B7"/>
    <w:rsid w:val="00D30463"/>
    <w:rsid w:val="00D351C1"/>
    <w:rsid w:val="00D35290"/>
    <w:rsid w:val="00D35EFB"/>
    <w:rsid w:val="00D504B3"/>
    <w:rsid w:val="00D508DA"/>
    <w:rsid w:val="00D56321"/>
    <w:rsid w:val="00D61BC8"/>
    <w:rsid w:val="00D64CEB"/>
    <w:rsid w:val="00D868E5"/>
    <w:rsid w:val="00D86BF0"/>
    <w:rsid w:val="00D87094"/>
    <w:rsid w:val="00D95524"/>
    <w:rsid w:val="00DE3DBE"/>
    <w:rsid w:val="00DF620D"/>
    <w:rsid w:val="00E02518"/>
    <w:rsid w:val="00E059E8"/>
    <w:rsid w:val="00E13166"/>
    <w:rsid w:val="00E14DE6"/>
    <w:rsid w:val="00E17641"/>
    <w:rsid w:val="00E2134F"/>
    <w:rsid w:val="00E21FA7"/>
    <w:rsid w:val="00E22111"/>
    <w:rsid w:val="00E23155"/>
    <w:rsid w:val="00E2524E"/>
    <w:rsid w:val="00E2723E"/>
    <w:rsid w:val="00E316A6"/>
    <w:rsid w:val="00E40532"/>
    <w:rsid w:val="00E421B7"/>
    <w:rsid w:val="00E51920"/>
    <w:rsid w:val="00E64120"/>
    <w:rsid w:val="00E6528C"/>
    <w:rsid w:val="00E660A1"/>
    <w:rsid w:val="00E77A81"/>
    <w:rsid w:val="00E80298"/>
    <w:rsid w:val="00E83384"/>
    <w:rsid w:val="00EA1F59"/>
    <w:rsid w:val="00EA271C"/>
    <w:rsid w:val="00EA3CCF"/>
    <w:rsid w:val="00EB3266"/>
    <w:rsid w:val="00EC4EF1"/>
    <w:rsid w:val="00EC622E"/>
    <w:rsid w:val="00ED2448"/>
    <w:rsid w:val="00ED7E34"/>
    <w:rsid w:val="00EF0014"/>
    <w:rsid w:val="00EF0325"/>
    <w:rsid w:val="00EF0E17"/>
    <w:rsid w:val="00EF2B63"/>
    <w:rsid w:val="00EF3465"/>
    <w:rsid w:val="00EF3AF9"/>
    <w:rsid w:val="00EF3D38"/>
    <w:rsid w:val="00F005EE"/>
    <w:rsid w:val="00F055F1"/>
    <w:rsid w:val="00F23791"/>
    <w:rsid w:val="00F23A8B"/>
    <w:rsid w:val="00F24C83"/>
    <w:rsid w:val="00F326FA"/>
    <w:rsid w:val="00F405B4"/>
    <w:rsid w:val="00F412C2"/>
    <w:rsid w:val="00F57DA3"/>
    <w:rsid w:val="00F610AF"/>
    <w:rsid w:val="00F62CF4"/>
    <w:rsid w:val="00F85A74"/>
    <w:rsid w:val="00F91691"/>
    <w:rsid w:val="00FA049B"/>
    <w:rsid w:val="00FA2C5A"/>
    <w:rsid w:val="00FA3C67"/>
    <w:rsid w:val="00FA3ECA"/>
    <w:rsid w:val="00FA5E32"/>
    <w:rsid w:val="00FA7A6B"/>
    <w:rsid w:val="00FB3812"/>
    <w:rsid w:val="00FC0886"/>
    <w:rsid w:val="00FC2D11"/>
    <w:rsid w:val="00FC55B1"/>
    <w:rsid w:val="00FC6230"/>
    <w:rsid w:val="00FC718D"/>
    <w:rsid w:val="00FD46B6"/>
    <w:rsid w:val="00FF61E7"/>
    <w:rsid w:val="3AF4AFE1"/>
    <w:rsid w:val="743411F7"/>
    <w:rsid w:val="7ED7BA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A7491"/>
  <w15:chartTrackingRefBased/>
  <w15:docId w15:val="{B4E41746-98AF-42BF-A4FD-D9BF4EEC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unhideWhenUsed/>
    <w:qFormat/>
    <w:rsid w:val="003A0D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2"/>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semiHidden/>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21"/>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qFormat/>
    <w:rsid w:val="0053533C"/>
    <w:pPr>
      <w:ind w:left="720"/>
      <w:contextualSpacing/>
    </w:pPr>
  </w:style>
  <w:style w:type="character" w:styleId="Hyperlink">
    <w:name w:val="Hyperlink"/>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character" w:styleId="UnresolvedMention">
    <w:name w:val="Unresolved Mention"/>
    <w:basedOn w:val="DefaultParagraphFont"/>
    <w:uiPriority w:val="99"/>
    <w:semiHidden/>
    <w:unhideWhenUsed/>
    <w:rsid w:val="0046506A"/>
    <w:rPr>
      <w:color w:val="605E5C"/>
      <w:shd w:val="clear" w:color="auto" w:fill="E1DFDD"/>
    </w:rPr>
  </w:style>
  <w:style w:type="paragraph" w:styleId="BodyText">
    <w:name w:val="Body Text"/>
    <w:basedOn w:val="Normal"/>
    <w:link w:val="BodyTextChar"/>
    <w:rsid w:val="00D35290"/>
    <w:pPr>
      <w:spacing w:after="240"/>
    </w:pPr>
    <w:rPr>
      <w:rFonts w:ascii="Arial" w:hAnsi="Arial"/>
      <w:szCs w:val="20"/>
      <w:lang w:val="x-none" w:eastAsia="en-US"/>
    </w:rPr>
  </w:style>
  <w:style w:type="character" w:customStyle="1" w:styleId="BodyTextChar">
    <w:name w:val="Body Text Char"/>
    <w:basedOn w:val="DefaultParagraphFont"/>
    <w:link w:val="BodyText"/>
    <w:rsid w:val="00D35290"/>
    <w:rPr>
      <w:rFonts w:ascii="Arial" w:hAnsi="Arial"/>
      <w:sz w:val="24"/>
      <w:lang w:val="x-none" w:eastAsia="en-US"/>
    </w:rPr>
  </w:style>
  <w:style w:type="paragraph" w:styleId="BodyText2">
    <w:name w:val="Body Text 2"/>
    <w:basedOn w:val="BodyText"/>
    <w:link w:val="BodyText2Char"/>
    <w:rsid w:val="002D770D"/>
    <w:pPr>
      <w:spacing w:before="120" w:after="120"/>
    </w:pPr>
  </w:style>
  <w:style w:type="character" w:customStyle="1" w:styleId="BodyText2Char">
    <w:name w:val="Body Text 2 Char"/>
    <w:basedOn w:val="DefaultParagraphFont"/>
    <w:link w:val="BodyText2"/>
    <w:rsid w:val="002D770D"/>
    <w:rPr>
      <w:rFonts w:ascii="Arial" w:hAnsi="Arial"/>
      <w:sz w:val="24"/>
      <w:lang w:val="x-none" w:eastAsia="en-US"/>
    </w:rPr>
  </w:style>
  <w:style w:type="character" w:customStyle="1" w:styleId="Heading4Char">
    <w:name w:val="Heading 4 Char"/>
    <w:basedOn w:val="DefaultParagraphFont"/>
    <w:link w:val="Heading4"/>
    <w:semiHidden/>
    <w:rsid w:val="003A0DDB"/>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69064">
      <w:bodyDiv w:val="1"/>
      <w:marLeft w:val="0"/>
      <w:marRight w:val="0"/>
      <w:marTop w:val="0"/>
      <w:marBottom w:val="0"/>
      <w:divBdr>
        <w:top w:val="none" w:sz="0" w:space="0" w:color="auto"/>
        <w:left w:val="none" w:sz="0" w:space="0" w:color="auto"/>
        <w:bottom w:val="none" w:sz="0" w:space="0" w:color="auto"/>
        <w:right w:val="none" w:sz="0" w:space="0" w:color="auto"/>
      </w:divBdr>
    </w:div>
    <w:div w:id="406996371">
      <w:bodyDiv w:val="1"/>
      <w:marLeft w:val="0"/>
      <w:marRight w:val="0"/>
      <w:marTop w:val="0"/>
      <w:marBottom w:val="0"/>
      <w:divBdr>
        <w:top w:val="none" w:sz="0" w:space="0" w:color="auto"/>
        <w:left w:val="none" w:sz="0" w:space="0" w:color="auto"/>
        <w:bottom w:val="none" w:sz="0" w:space="0" w:color="auto"/>
        <w:right w:val="none" w:sz="0" w:space="0" w:color="auto"/>
      </w:divBdr>
    </w:div>
    <w:div w:id="1102994374">
      <w:bodyDiv w:val="1"/>
      <w:marLeft w:val="0"/>
      <w:marRight w:val="0"/>
      <w:marTop w:val="0"/>
      <w:marBottom w:val="0"/>
      <w:divBdr>
        <w:top w:val="none" w:sz="0" w:space="0" w:color="auto"/>
        <w:left w:val="none" w:sz="0" w:space="0" w:color="auto"/>
        <w:bottom w:val="none" w:sz="0" w:space="0" w:color="auto"/>
        <w:right w:val="none" w:sz="0" w:space="0" w:color="auto"/>
      </w:divBdr>
    </w:div>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753" TargetMode="External"/><Relationship Id="rId18" Type="http://schemas.openxmlformats.org/officeDocument/2006/relationships/hyperlink" Target="http://www.nice.org.uk/guidance/qs27" TargetMode="External"/><Relationship Id="rId3" Type="http://schemas.openxmlformats.org/officeDocument/2006/relationships/customXml" Target="../customXml/item3.xml"/><Relationship Id="rId21" Type="http://schemas.openxmlformats.org/officeDocument/2006/relationships/hyperlink" Target="https://www.england.nhs.uk/publication/manual-for-prescribed-specialised-services/" TargetMode="External"/><Relationship Id="rId7" Type="http://schemas.openxmlformats.org/officeDocument/2006/relationships/settings" Target="settings.xml"/><Relationship Id="rId12" Type="http://schemas.openxmlformats.org/officeDocument/2006/relationships/hyperlink" Target="https://www.nice.org.uk/guidance/cg137" TargetMode="External"/><Relationship Id="rId17" Type="http://schemas.openxmlformats.org/officeDocument/2006/relationships/hyperlink" Target="http://www.nice.org.uk/guidance/qs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ice.org.uk/guidance/ipg416" TargetMode="External"/><Relationship Id="rId20" Type="http://schemas.openxmlformats.org/officeDocument/2006/relationships/hyperlink" Target="https://www.longtermplan.nhs.uk/publication/nhs-long-term-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1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ice.org.uk/advice/esnm7/chapter/Overview"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pathways.nice.org.uk/pathways/epileps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cg137" TargetMode="External"/><Relationship Id="rId22" Type="http://schemas.openxmlformats.org/officeDocument/2006/relationships/hyperlink" Target="https://www.gov.uk/government/publications/nhs-outcomes-framework-2016-to-201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d69c56-5c11-44d1-8d1c-8744f97365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415D73561E4DF4DBDD617F6DF8D4E00" ma:contentTypeVersion="18" ma:contentTypeDescription="Create a new document." ma:contentTypeScope="" ma:versionID="5ba1a387110a4ec2cebf024b57f9291c">
  <xsd:schema xmlns:xsd="http://www.w3.org/2001/XMLSchema" xmlns:xs="http://www.w3.org/2001/XMLSchema" xmlns:p="http://schemas.microsoft.com/office/2006/metadata/properties" xmlns:ns3="4b9a1d2e-e223-4041-8b68-ec96857a7cf2" xmlns:ns4="bfd69c56-5c11-44d1-8d1c-8744f973650b" targetNamespace="http://schemas.microsoft.com/office/2006/metadata/properties" ma:root="true" ma:fieldsID="fab74ef6f65946f665dde23f5d3086b2" ns3:_="" ns4:_="">
    <xsd:import namespace="4b9a1d2e-e223-4041-8b68-ec96857a7cf2"/>
    <xsd:import namespace="bfd69c56-5c11-44d1-8d1c-8744f97365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a1d2e-e223-4041-8b68-ec96857a7c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9c56-5c11-44d1-8d1c-8744f97365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82112-F0AC-4C22-83BA-2215DECD88C2}">
  <ds:schemaRefs>
    <ds:schemaRef ds:uri="http://schemas.microsoft.com/office/2006/metadata/properties"/>
    <ds:schemaRef ds:uri="http://schemas.microsoft.com/office/infopath/2007/PartnerControls"/>
    <ds:schemaRef ds:uri="bfd69c56-5c11-44d1-8d1c-8744f973650b"/>
  </ds:schemaRefs>
</ds:datastoreItem>
</file>

<file path=customXml/itemProps2.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customXml/itemProps3.xml><?xml version="1.0" encoding="utf-8"?>
<ds:datastoreItem xmlns:ds="http://schemas.openxmlformats.org/officeDocument/2006/customXml" ds:itemID="{7F789892-4DF7-4A22-A3D2-9945F369D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a1d2e-e223-4041-8b68-ec96857a7cf2"/>
    <ds:schemaRef ds:uri="bfd69c56-5c11-44d1-8d1c-8744f9736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238B2-92AF-4BE5-92A7-0763E4D2F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1532</Words>
  <Characters>8739</Characters>
  <Application>Microsoft Office Word</Application>
  <DocSecurity>0</DocSecurity>
  <Lines>72</Lines>
  <Paragraphs>20</Paragraphs>
  <ScaleCrop>false</ScaleCrop>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Sharlene Ting</cp:lastModifiedBy>
  <cp:revision>2</cp:revision>
  <dcterms:created xsi:type="dcterms:W3CDTF">2024-12-02T11:42:00Z</dcterms:created>
  <dcterms:modified xsi:type="dcterms:W3CDTF">2024-12-02T11:42:00Z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2024-02-18T18:34:40Z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b94135c6-0fb7-4a02-aeef-145e42fe08f0</vt:lpwstr>
  </property>
  <property fmtid="{D5CDD505-2E9C-101B-9397-08002B2CF9AE}" pid="8" name="MSIP_Label_c69d85d5-6d9e-4305-a294-1f636ec0f2d6_ContentBits">
    <vt:lpwstr>0</vt:lpwstr>
  </property>
  <property fmtid="{D5CDD505-2E9C-101B-9397-08002B2CF9AE}" pid="9" name="ContentTypeId">
    <vt:lpwstr>0x0101004415D73561E4DF4DBDD617F6DF8D4E00</vt:lpwstr>
  </property>
</Properties>
</file>