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7451" w14:textId="77777777" w:rsidR="00935BEA" w:rsidRDefault="00935BEA" w:rsidP="00924B32">
      <w:pPr>
        <w:pStyle w:val="Paragraph"/>
        <w:numPr>
          <w:ilvl w:val="0"/>
          <w:numId w:val="0"/>
        </w:numPr>
        <w:spacing w:before="0" w:after="0" w:line="360" w:lineRule="auto"/>
        <w:rPr>
          <w:sz w:val="22"/>
          <w:szCs w:val="22"/>
        </w:rPr>
      </w:pPr>
    </w:p>
    <w:p w14:paraId="0104BC67" w14:textId="466FCCED" w:rsidR="00E9588A" w:rsidRPr="00935BEA" w:rsidRDefault="00E41D8A" w:rsidP="00924B32">
      <w:pPr>
        <w:pStyle w:val="Paragraph"/>
        <w:numPr>
          <w:ilvl w:val="0"/>
          <w:numId w:val="0"/>
        </w:numPr>
        <w:spacing w:before="0" w:after="0" w:line="360" w:lineRule="auto"/>
        <w:rPr>
          <w:sz w:val="22"/>
          <w:szCs w:val="22"/>
        </w:rPr>
      </w:pPr>
      <w:r w:rsidRPr="00935BEA">
        <w:rPr>
          <w:sz w:val="22"/>
          <w:szCs w:val="22"/>
        </w:rPr>
        <w:t>18</w:t>
      </w:r>
      <w:r w:rsidR="00A67073" w:rsidRPr="00935BEA">
        <w:rPr>
          <w:sz w:val="22"/>
          <w:szCs w:val="22"/>
        </w:rPr>
        <w:t xml:space="preserve"> March 2021</w:t>
      </w:r>
    </w:p>
    <w:p w14:paraId="37267483" w14:textId="77777777" w:rsidR="00935BEA" w:rsidRDefault="00935BEA" w:rsidP="00924B32">
      <w:pPr>
        <w:pStyle w:val="Paragraph"/>
        <w:numPr>
          <w:ilvl w:val="0"/>
          <w:numId w:val="0"/>
        </w:numPr>
        <w:spacing w:before="0" w:after="0" w:line="360" w:lineRule="auto"/>
        <w:rPr>
          <w:sz w:val="22"/>
          <w:szCs w:val="22"/>
        </w:rPr>
      </w:pPr>
    </w:p>
    <w:p w14:paraId="2DBC76D6" w14:textId="341C278F" w:rsidR="00E9588A" w:rsidRPr="00935BEA" w:rsidRDefault="00A91BC5" w:rsidP="00924B32">
      <w:pPr>
        <w:pStyle w:val="Paragraph"/>
        <w:numPr>
          <w:ilvl w:val="0"/>
          <w:numId w:val="0"/>
        </w:numPr>
        <w:spacing w:before="0" w:after="0" w:line="360" w:lineRule="auto"/>
        <w:rPr>
          <w:sz w:val="22"/>
          <w:szCs w:val="22"/>
        </w:rPr>
      </w:pPr>
      <w:r w:rsidRPr="00935BEA">
        <w:rPr>
          <w:sz w:val="22"/>
          <w:szCs w:val="22"/>
        </w:rPr>
        <w:t xml:space="preserve">Mr </w:t>
      </w:r>
      <w:r w:rsidR="00A67073" w:rsidRPr="00935BEA">
        <w:rPr>
          <w:sz w:val="22"/>
          <w:szCs w:val="22"/>
        </w:rPr>
        <w:t>Tim Irish</w:t>
      </w:r>
    </w:p>
    <w:p w14:paraId="3227CB28" w14:textId="77777777" w:rsidR="00E9588A" w:rsidRPr="00935BEA" w:rsidRDefault="008323F0" w:rsidP="00924B32">
      <w:pPr>
        <w:pStyle w:val="Paragraph"/>
        <w:numPr>
          <w:ilvl w:val="0"/>
          <w:numId w:val="0"/>
        </w:numPr>
        <w:spacing w:before="0" w:after="0" w:line="360" w:lineRule="auto"/>
        <w:rPr>
          <w:sz w:val="22"/>
          <w:szCs w:val="22"/>
        </w:rPr>
      </w:pPr>
      <w:r w:rsidRPr="00935BEA">
        <w:rPr>
          <w:sz w:val="22"/>
          <w:szCs w:val="22"/>
        </w:rPr>
        <w:t xml:space="preserve">Vice </w:t>
      </w:r>
      <w:r w:rsidR="00CA7BC1" w:rsidRPr="00935BEA">
        <w:rPr>
          <w:sz w:val="22"/>
          <w:szCs w:val="22"/>
        </w:rPr>
        <w:t>C</w:t>
      </w:r>
      <w:r w:rsidRPr="00935BEA">
        <w:rPr>
          <w:sz w:val="22"/>
          <w:szCs w:val="22"/>
        </w:rPr>
        <w:t>hair</w:t>
      </w:r>
    </w:p>
    <w:p w14:paraId="08FDE75A" w14:textId="77777777" w:rsidR="00A91BC5" w:rsidRPr="00935BEA" w:rsidRDefault="00A91BC5" w:rsidP="00A91BC5">
      <w:pPr>
        <w:pStyle w:val="Paragraph"/>
        <w:numPr>
          <w:ilvl w:val="0"/>
          <w:numId w:val="0"/>
        </w:numPr>
        <w:spacing w:before="0" w:after="0" w:line="360" w:lineRule="auto"/>
        <w:ind w:left="851" w:hanging="851"/>
        <w:rPr>
          <w:sz w:val="22"/>
          <w:szCs w:val="22"/>
        </w:rPr>
      </w:pPr>
      <w:r w:rsidRPr="00935BEA">
        <w:rPr>
          <w:sz w:val="22"/>
          <w:szCs w:val="22"/>
        </w:rPr>
        <w:t>2nd Floor</w:t>
      </w:r>
    </w:p>
    <w:p w14:paraId="0FA1279D" w14:textId="77777777" w:rsidR="00A91BC5" w:rsidRPr="00935BEA" w:rsidRDefault="00A91BC5" w:rsidP="00A91BC5">
      <w:pPr>
        <w:pStyle w:val="Paragraph"/>
        <w:numPr>
          <w:ilvl w:val="0"/>
          <w:numId w:val="0"/>
        </w:numPr>
        <w:spacing w:before="0" w:after="0" w:line="360" w:lineRule="auto"/>
        <w:ind w:left="851" w:hanging="851"/>
        <w:rPr>
          <w:sz w:val="22"/>
          <w:szCs w:val="22"/>
        </w:rPr>
      </w:pPr>
      <w:r w:rsidRPr="00935BEA">
        <w:rPr>
          <w:sz w:val="22"/>
          <w:szCs w:val="22"/>
        </w:rPr>
        <w:t>2 Redman Place</w:t>
      </w:r>
    </w:p>
    <w:p w14:paraId="0F382AFF" w14:textId="34796330" w:rsidR="006251FF" w:rsidRPr="00935BEA" w:rsidRDefault="00A91BC5" w:rsidP="00A91BC5">
      <w:pPr>
        <w:pStyle w:val="Paragraph"/>
        <w:numPr>
          <w:ilvl w:val="0"/>
          <w:numId w:val="0"/>
        </w:numPr>
        <w:spacing w:before="0" w:after="0" w:line="360" w:lineRule="auto"/>
        <w:rPr>
          <w:sz w:val="22"/>
          <w:szCs w:val="22"/>
        </w:rPr>
      </w:pPr>
      <w:r w:rsidRPr="00935BEA">
        <w:rPr>
          <w:sz w:val="22"/>
          <w:szCs w:val="22"/>
        </w:rPr>
        <w:t>London E20 1JQ</w:t>
      </w:r>
    </w:p>
    <w:p w14:paraId="1A4D251F" w14:textId="77777777" w:rsidR="00A91BC5" w:rsidRPr="00935BEA" w:rsidRDefault="00A91BC5" w:rsidP="00924B32">
      <w:pPr>
        <w:pStyle w:val="Paragraph"/>
        <w:numPr>
          <w:ilvl w:val="0"/>
          <w:numId w:val="0"/>
        </w:numPr>
        <w:spacing w:before="0" w:after="0" w:line="360" w:lineRule="auto"/>
        <w:rPr>
          <w:sz w:val="22"/>
          <w:szCs w:val="22"/>
        </w:rPr>
      </w:pPr>
    </w:p>
    <w:p w14:paraId="78D634BA" w14:textId="2FDF0846" w:rsidR="00E9588A" w:rsidRPr="00935BEA" w:rsidRDefault="00E9588A" w:rsidP="00924B32">
      <w:pPr>
        <w:pStyle w:val="Paragraph"/>
        <w:numPr>
          <w:ilvl w:val="0"/>
          <w:numId w:val="0"/>
        </w:numPr>
        <w:spacing w:before="0" w:after="0" w:line="360" w:lineRule="auto"/>
        <w:rPr>
          <w:sz w:val="22"/>
          <w:szCs w:val="22"/>
        </w:rPr>
      </w:pPr>
      <w:r w:rsidRPr="00935BEA">
        <w:rPr>
          <w:sz w:val="22"/>
          <w:szCs w:val="22"/>
        </w:rPr>
        <w:t xml:space="preserve">Dear </w:t>
      </w:r>
      <w:r w:rsidR="0098460E" w:rsidRPr="00935BEA">
        <w:rPr>
          <w:sz w:val="22"/>
          <w:szCs w:val="22"/>
        </w:rPr>
        <w:t xml:space="preserve">Mr </w:t>
      </w:r>
      <w:r w:rsidR="00A67073" w:rsidRPr="00935BEA">
        <w:rPr>
          <w:sz w:val="22"/>
          <w:szCs w:val="22"/>
        </w:rPr>
        <w:t>Irish</w:t>
      </w:r>
      <w:r w:rsidR="0098460E" w:rsidRPr="00935BEA">
        <w:rPr>
          <w:sz w:val="22"/>
          <w:szCs w:val="22"/>
        </w:rPr>
        <w:t>,</w:t>
      </w:r>
    </w:p>
    <w:p w14:paraId="4CB1B756" w14:textId="6E0F76D9" w:rsidR="004D7B6B" w:rsidRPr="00935BEA" w:rsidRDefault="00E9588A" w:rsidP="00041D17">
      <w:pPr>
        <w:pStyle w:val="Paragraph"/>
        <w:numPr>
          <w:ilvl w:val="0"/>
          <w:numId w:val="0"/>
        </w:numPr>
        <w:spacing w:after="0" w:line="360" w:lineRule="auto"/>
        <w:rPr>
          <w:b/>
          <w:sz w:val="22"/>
          <w:szCs w:val="22"/>
        </w:rPr>
      </w:pPr>
      <w:r w:rsidRPr="00935BEA">
        <w:rPr>
          <w:b/>
          <w:sz w:val="22"/>
          <w:szCs w:val="22"/>
        </w:rPr>
        <w:t xml:space="preserve">Re: Final Appraisal Determination – </w:t>
      </w:r>
      <w:r w:rsidR="00A67073" w:rsidRPr="00935BEA">
        <w:rPr>
          <w:b/>
          <w:sz w:val="22"/>
          <w:szCs w:val="22"/>
        </w:rPr>
        <w:t xml:space="preserve">Mogamulizumab for previously treated mycosis fungoides and </w:t>
      </w:r>
      <w:proofErr w:type="spellStart"/>
      <w:r w:rsidR="00A67073" w:rsidRPr="00935BEA">
        <w:rPr>
          <w:b/>
          <w:sz w:val="22"/>
          <w:szCs w:val="22"/>
        </w:rPr>
        <w:t>Sézary</w:t>
      </w:r>
      <w:proofErr w:type="spellEnd"/>
      <w:r w:rsidR="00A67073" w:rsidRPr="00935BEA">
        <w:rPr>
          <w:b/>
          <w:sz w:val="22"/>
          <w:szCs w:val="22"/>
        </w:rPr>
        <w:t xml:space="preserve"> syndrome [ID1405]</w:t>
      </w:r>
    </w:p>
    <w:p w14:paraId="58D32A25" w14:textId="5EE496A6" w:rsidR="004D7B6B" w:rsidRPr="00935BEA" w:rsidRDefault="00A67073" w:rsidP="00924B32">
      <w:pPr>
        <w:pStyle w:val="Paragraph"/>
        <w:numPr>
          <w:ilvl w:val="0"/>
          <w:numId w:val="0"/>
        </w:numPr>
        <w:spacing w:after="0" w:line="360" w:lineRule="auto"/>
        <w:rPr>
          <w:sz w:val="22"/>
          <w:szCs w:val="22"/>
        </w:rPr>
      </w:pPr>
      <w:r w:rsidRPr="00935BEA">
        <w:rPr>
          <w:sz w:val="22"/>
          <w:szCs w:val="22"/>
        </w:rPr>
        <w:t xml:space="preserve">Lymphoma Action and </w:t>
      </w:r>
      <w:r w:rsidR="004D7B6B" w:rsidRPr="00935BEA">
        <w:rPr>
          <w:sz w:val="22"/>
          <w:szCs w:val="22"/>
        </w:rPr>
        <w:t>Leukaemia C</w:t>
      </w:r>
      <w:r w:rsidRPr="00935BEA">
        <w:rPr>
          <w:sz w:val="22"/>
          <w:szCs w:val="22"/>
        </w:rPr>
        <w:t>are</w:t>
      </w:r>
      <w:r w:rsidR="004D7B6B" w:rsidRPr="00935BEA">
        <w:rPr>
          <w:sz w:val="22"/>
          <w:szCs w:val="22"/>
        </w:rPr>
        <w:t xml:space="preserve"> hereby give notice to the National Institute for Health and Care Excellence (henceforth referred to as NICE) that </w:t>
      </w:r>
      <w:r w:rsidR="00544034" w:rsidRPr="00935BEA">
        <w:rPr>
          <w:sz w:val="22"/>
          <w:szCs w:val="22"/>
        </w:rPr>
        <w:t>they</w:t>
      </w:r>
      <w:r w:rsidR="004D7B6B" w:rsidRPr="00935BEA">
        <w:rPr>
          <w:sz w:val="22"/>
          <w:szCs w:val="22"/>
        </w:rPr>
        <w:t xml:space="preserve"> would like to </w:t>
      </w:r>
      <w:r w:rsidR="00544034" w:rsidRPr="00935BEA">
        <w:rPr>
          <w:sz w:val="22"/>
          <w:szCs w:val="22"/>
        </w:rPr>
        <w:t xml:space="preserve">jointly </w:t>
      </w:r>
      <w:r w:rsidR="004D7B6B" w:rsidRPr="00935BEA">
        <w:rPr>
          <w:sz w:val="22"/>
          <w:szCs w:val="22"/>
        </w:rPr>
        <w:t>appeal against the Final Appraisal Determination (</w:t>
      </w:r>
      <w:r w:rsidR="002D4AEF" w:rsidRPr="00935BEA">
        <w:rPr>
          <w:sz w:val="22"/>
          <w:szCs w:val="22"/>
        </w:rPr>
        <w:t xml:space="preserve">henceforth referred to as </w:t>
      </w:r>
      <w:r w:rsidR="004D7B6B" w:rsidRPr="00935BEA">
        <w:rPr>
          <w:sz w:val="22"/>
          <w:szCs w:val="22"/>
        </w:rPr>
        <w:t xml:space="preserve">FAD) </w:t>
      </w:r>
      <w:r w:rsidRPr="00935BEA">
        <w:rPr>
          <w:sz w:val="22"/>
          <w:szCs w:val="22"/>
        </w:rPr>
        <w:t xml:space="preserve">mogamulizumab for previously treated mycosis fungoides and </w:t>
      </w:r>
      <w:proofErr w:type="spellStart"/>
      <w:r w:rsidRPr="00935BEA">
        <w:rPr>
          <w:sz w:val="22"/>
          <w:szCs w:val="22"/>
        </w:rPr>
        <w:t>Sézary</w:t>
      </w:r>
      <w:proofErr w:type="spellEnd"/>
      <w:r w:rsidRPr="00935BEA">
        <w:rPr>
          <w:sz w:val="22"/>
          <w:szCs w:val="22"/>
        </w:rPr>
        <w:t xml:space="preserve"> syndrome [ID1405] </w:t>
      </w:r>
      <w:r w:rsidR="004D7B6B" w:rsidRPr="00935BEA">
        <w:rPr>
          <w:sz w:val="22"/>
          <w:szCs w:val="22"/>
        </w:rPr>
        <w:t>on the following grounds:</w:t>
      </w:r>
    </w:p>
    <w:p w14:paraId="3804A75B" w14:textId="77777777" w:rsidR="002D4AEF" w:rsidRPr="00935BEA" w:rsidRDefault="002D4AEF" w:rsidP="00CB07A7">
      <w:pPr>
        <w:pStyle w:val="Paragraph"/>
        <w:numPr>
          <w:ilvl w:val="0"/>
          <w:numId w:val="0"/>
        </w:numPr>
        <w:spacing w:line="360" w:lineRule="auto"/>
        <w:rPr>
          <w:b/>
          <w:sz w:val="22"/>
          <w:szCs w:val="22"/>
        </w:rPr>
      </w:pPr>
      <w:r w:rsidRPr="00935BEA">
        <w:rPr>
          <w:b/>
          <w:sz w:val="22"/>
          <w:szCs w:val="22"/>
        </w:rPr>
        <w:t xml:space="preserve">Ground one: In making the assessment that preceded the recommendation, NICE has: </w:t>
      </w:r>
    </w:p>
    <w:p w14:paraId="259526B3" w14:textId="12C1BA27" w:rsidR="006251FF" w:rsidRPr="00935BEA" w:rsidRDefault="004D7B6B" w:rsidP="006251FF">
      <w:pPr>
        <w:pStyle w:val="Paragraph"/>
        <w:numPr>
          <w:ilvl w:val="0"/>
          <w:numId w:val="28"/>
        </w:numPr>
        <w:spacing w:before="0" w:after="0" w:line="360" w:lineRule="auto"/>
        <w:rPr>
          <w:b/>
          <w:sz w:val="22"/>
          <w:szCs w:val="22"/>
        </w:rPr>
      </w:pPr>
      <w:r w:rsidRPr="00935BEA">
        <w:rPr>
          <w:b/>
          <w:sz w:val="22"/>
          <w:szCs w:val="22"/>
        </w:rPr>
        <w:t>failed to act fairly</w:t>
      </w:r>
      <w:r w:rsidR="00DA6B53" w:rsidRPr="00935BEA">
        <w:rPr>
          <w:b/>
          <w:sz w:val="22"/>
          <w:szCs w:val="22"/>
        </w:rPr>
        <w:t xml:space="preserve"> – 1(a)</w:t>
      </w:r>
    </w:p>
    <w:p w14:paraId="65FA764B" w14:textId="77777777" w:rsidR="004D7B6B" w:rsidRPr="00935BEA" w:rsidRDefault="004D7B6B" w:rsidP="00924B32">
      <w:pPr>
        <w:pStyle w:val="Paragraph"/>
        <w:numPr>
          <w:ilvl w:val="0"/>
          <w:numId w:val="0"/>
        </w:numPr>
        <w:spacing w:after="0" w:line="360" w:lineRule="auto"/>
        <w:rPr>
          <w:b/>
          <w:sz w:val="22"/>
          <w:szCs w:val="22"/>
        </w:rPr>
      </w:pPr>
      <w:r w:rsidRPr="00935BEA">
        <w:rPr>
          <w:b/>
          <w:sz w:val="22"/>
          <w:szCs w:val="22"/>
        </w:rPr>
        <w:t>Ground two: The recommendation is unreasonable in the light of the evidence submitted to NICE.</w:t>
      </w:r>
    </w:p>
    <w:p w14:paraId="1ABB2C5F" w14:textId="77777777" w:rsidR="00964DFA" w:rsidRPr="00935BEA" w:rsidRDefault="00964DFA" w:rsidP="00924B32">
      <w:pPr>
        <w:pStyle w:val="Paragraph"/>
        <w:numPr>
          <w:ilvl w:val="0"/>
          <w:numId w:val="0"/>
        </w:numPr>
        <w:spacing w:after="0" w:line="360" w:lineRule="auto"/>
        <w:rPr>
          <w:sz w:val="22"/>
          <w:szCs w:val="22"/>
        </w:rPr>
      </w:pPr>
      <w:r w:rsidRPr="00935BEA">
        <w:rPr>
          <w:sz w:val="22"/>
          <w:szCs w:val="22"/>
        </w:rPr>
        <w:t>Lymphoma Action is a registered charity in England and Wales (1068395) and in Scotland (SC045850). A company limited by guarantee registered in England and Wales (number 03518755).</w:t>
      </w:r>
    </w:p>
    <w:p w14:paraId="34698B7F" w14:textId="77777777" w:rsidR="00935BEA" w:rsidRDefault="00964DFA" w:rsidP="00924B32">
      <w:pPr>
        <w:pStyle w:val="Paragraph"/>
        <w:numPr>
          <w:ilvl w:val="0"/>
          <w:numId w:val="0"/>
        </w:numPr>
        <w:spacing w:after="0" w:line="360" w:lineRule="auto"/>
        <w:rPr>
          <w:sz w:val="22"/>
          <w:szCs w:val="22"/>
        </w:rPr>
      </w:pPr>
      <w:r w:rsidRPr="00935BEA">
        <w:rPr>
          <w:sz w:val="22"/>
          <w:szCs w:val="22"/>
        </w:rPr>
        <w:t>Leukaemia Care is a registered charity in England and Wales (1183890) and in Scotland (SC049802). A company limited by guarantee registered in England and Wales (11911752).</w:t>
      </w:r>
    </w:p>
    <w:p w14:paraId="54991035" w14:textId="5B144A0C" w:rsidR="00750532" w:rsidRPr="00935BEA" w:rsidRDefault="00750532" w:rsidP="00924B32">
      <w:pPr>
        <w:pStyle w:val="Paragraph"/>
        <w:numPr>
          <w:ilvl w:val="0"/>
          <w:numId w:val="0"/>
        </w:numPr>
        <w:spacing w:after="0" w:line="360" w:lineRule="auto"/>
        <w:rPr>
          <w:sz w:val="22"/>
          <w:szCs w:val="22"/>
        </w:rPr>
      </w:pPr>
      <w:r w:rsidRPr="00935BEA">
        <w:rPr>
          <w:sz w:val="22"/>
          <w:szCs w:val="22"/>
        </w:rPr>
        <w:t xml:space="preserve">We submit that the decision not to recommend </w:t>
      </w:r>
      <w:r w:rsidR="00A67073" w:rsidRPr="00935BEA">
        <w:rPr>
          <w:sz w:val="22"/>
          <w:szCs w:val="22"/>
        </w:rPr>
        <w:t xml:space="preserve">mogamulizumab for previously treated mycosis fungoides and </w:t>
      </w:r>
      <w:proofErr w:type="spellStart"/>
      <w:r w:rsidR="00A67073" w:rsidRPr="00935BEA">
        <w:rPr>
          <w:sz w:val="22"/>
          <w:szCs w:val="22"/>
        </w:rPr>
        <w:t>Sézary</w:t>
      </w:r>
      <w:proofErr w:type="spellEnd"/>
      <w:r w:rsidR="00A67073" w:rsidRPr="00935BEA">
        <w:rPr>
          <w:sz w:val="22"/>
          <w:szCs w:val="22"/>
        </w:rPr>
        <w:t xml:space="preserve"> syndrome [ID1405] </w:t>
      </w:r>
      <w:r w:rsidRPr="00935BEA">
        <w:rPr>
          <w:sz w:val="22"/>
          <w:szCs w:val="22"/>
        </w:rPr>
        <w:t>was both unfair and unreasonable.</w:t>
      </w:r>
    </w:p>
    <w:p w14:paraId="2ADC1768" w14:textId="77777777" w:rsidR="00935BEA" w:rsidRDefault="008A33F4" w:rsidP="00924B32">
      <w:pPr>
        <w:pStyle w:val="Numberedlevel3text"/>
        <w:numPr>
          <w:ilvl w:val="0"/>
          <w:numId w:val="0"/>
        </w:numPr>
        <w:spacing w:before="240" w:after="0"/>
        <w:rPr>
          <w:b/>
          <w:sz w:val="22"/>
          <w:szCs w:val="22"/>
        </w:rPr>
      </w:pPr>
      <w:r w:rsidRPr="00935BEA">
        <w:rPr>
          <w:b/>
          <w:sz w:val="22"/>
          <w:szCs w:val="22"/>
        </w:rPr>
        <w:br w:type="page"/>
      </w:r>
    </w:p>
    <w:p w14:paraId="78CA924B" w14:textId="77777777" w:rsidR="00935BEA" w:rsidRDefault="00935BEA" w:rsidP="00924B32">
      <w:pPr>
        <w:pStyle w:val="Numberedlevel3text"/>
        <w:numPr>
          <w:ilvl w:val="0"/>
          <w:numId w:val="0"/>
        </w:numPr>
        <w:spacing w:before="240" w:after="0"/>
        <w:rPr>
          <w:b/>
          <w:sz w:val="22"/>
          <w:szCs w:val="22"/>
        </w:rPr>
      </w:pPr>
    </w:p>
    <w:p w14:paraId="0F0FAFDA" w14:textId="587AC453" w:rsidR="00497D92" w:rsidRPr="00935BEA" w:rsidRDefault="001E3730" w:rsidP="00924B32">
      <w:pPr>
        <w:pStyle w:val="Numberedlevel3text"/>
        <w:numPr>
          <w:ilvl w:val="0"/>
          <w:numId w:val="0"/>
        </w:numPr>
        <w:spacing w:before="240" w:after="0"/>
        <w:rPr>
          <w:b/>
          <w:sz w:val="22"/>
          <w:szCs w:val="22"/>
        </w:rPr>
      </w:pPr>
      <w:r w:rsidRPr="00935BEA">
        <w:rPr>
          <w:b/>
          <w:sz w:val="22"/>
          <w:szCs w:val="22"/>
        </w:rPr>
        <w:t>Ground 1</w:t>
      </w:r>
      <w:r w:rsidR="008767C6" w:rsidRPr="00935BEA">
        <w:rPr>
          <w:b/>
          <w:sz w:val="22"/>
          <w:szCs w:val="22"/>
        </w:rPr>
        <w:t>a</w:t>
      </w:r>
      <w:r w:rsidRPr="00935BEA">
        <w:rPr>
          <w:b/>
          <w:sz w:val="22"/>
          <w:szCs w:val="22"/>
        </w:rPr>
        <w:t xml:space="preserve">: </w:t>
      </w:r>
      <w:r w:rsidR="00497D92" w:rsidRPr="00935BEA">
        <w:rPr>
          <w:b/>
          <w:sz w:val="22"/>
          <w:szCs w:val="22"/>
        </w:rPr>
        <w:t>In making the assessment that preceded the recommendation, NICE ha</w:t>
      </w:r>
      <w:r w:rsidR="008767C6" w:rsidRPr="00935BEA">
        <w:rPr>
          <w:b/>
          <w:sz w:val="22"/>
          <w:szCs w:val="22"/>
        </w:rPr>
        <w:t>s: f</w:t>
      </w:r>
      <w:r w:rsidR="00497D92" w:rsidRPr="00935BEA">
        <w:rPr>
          <w:b/>
          <w:sz w:val="22"/>
          <w:szCs w:val="22"/>
        </w:rPr>
        <w:t xml:space="preserve">ailed to act fairly </w:t>
      </w:r>
    </w:p>
    <w:p w14:paraId="67D9F591" w14:textId="77777777" w:rsidR="0053083A" w:rsidRPr="00935BEA" w:rsidRDefault="0053083A" w:rsidP="00924B32">
      <w:pPr>
        <w:pStyle w:val="Paragraph"/>
        <w:numPr>
          <w:ilvl w:val="0"/>
          <w:numId w:val="0"/>
        </w:numPr>
        <w:spacing w:before="0" w:after="0" w:line="360" w:lineRule="auto"/>
        <w:rPr>
          <w:rFonts w:cs="Arial"/>
          <w:sz w:val="22"/>
          <w:szCs w:val="22"/>
        </w:rPr>
      </w:pPr>
    </w:p>
    <w:p w14:paraId="2FAE9E6F" w14:textId="344D4BEF" w:rsidR="00045633" w:rsidRPr="00935BEA" w:rsidRDefault="00371BD0" w:rsidP="00924B32">
      <w:pPr>
        <w:pStyle w:val="Paragraph"/>
        <w:numPr>
          <w:ilvl w:val="0"/>
          <w:numId w:val="0"/>
        </w:numPr>
        <w:spacing w:before="0" w:after="0" w:line="360" w:lineRule="auto"/>
        <w:rPr>
          <w:b/>
          <w:sz w:val="22"/>
          <w:szCs w:val="22"/>
        </w:rPr>
      </w:pPr>
      <w:r w:rsidRPr="00935BEA">
        <w:rPr>
          <w:b/>
          <w:sz w:val="22"/>
          <w:szCs w:val="22"/>
        </w:rPr>
        <w:t>1a.</w:t>
      </w:r>
      <w:r w:rsidRPr="00935BEA">
        <w:rPr>
          <w:b/>
          <w:sz w:val="22"/>
          <w:szCs w:val="22"/>
        </w:rPr>
        <w:tab/>
      </w:r>
      <w:r w:rsidR="00A67073" w:rsidRPr="00935BEA">
        <w:rPr>
          <w:b/>
          <w:sz w:val="22"/>
          <w:szCs w:val="22"/>
        </w:rPr>
        <w:t xml:space="preserve">Cost-effectiveness </w:t>
      </w:r>
      <w:r w:rsidR="00544034" w:rsidRPr="00935BEA">
        <w:rPr>
          <w:b/>
          <w:sz w:val="22"/>
          <w:szCs w:val="22"/>
        </w:rPr>
        <w:t xml:space="preserve">– Usage of a Lower Threshold </w:t>
      </w:r>
    </w:p>
    <w:p w14:paraId="35BC1FC0" w14:textId="77777777" w:rsidR="00A67073" w:rsidRPr="00935BEA" w:rsidRDefault="00A67073" w:rsidP="00924B32">
      <w:pPr>
        <w:pStyle w:val="Paragraph"/>
        <w:numPr>
          <w:ilvl w:val="0"/>
          <w:numId w:val="0"/>
        </w:numPr>
        <w:spacing w:before="0" w:after="0" w:line="360" w:lineRule="auto"/>
        <w:rPr>
          <w:b/>
          <w:sz w:val="22"/>
          <w:szCs w:val="22"/>
        </w:rPr>
      </w:pPr>
    </w:p>
    <w:p w14:paraId="176C2C2B" w14:textId="14106470" w:rsidR="00A67073" w:rsidRPr="00935BEA" w:rsidRDefault="00A67073" w:rsidP="00924B32">
      <w:pPr>
        <w:pStyle w:val="Paragraph"/>
        <w:numPr>
          <w:ilvl w:val="0"/>
          <w:numId w:val="0"/>
        </w:numPr>
        <w:spacing w:before="0" w:after="0" w:line="360" w:lineRule="auto"/>
        <w:rPr>
          <w:b/>
          <w:sz w:val="22"/>
          <w:szCs w:val="22"/>
        </w:rPr>
      </w:pPr>
      <w:r w:rsidRPr="00935BEA">
        <w:rPr>
          <w:sz w:val="22"/>
          <w:szCs w:val="22"/>
        </w:rPr>
        <w:t>As set out in the FAD (3.14) the committee felt that</w:t>
      </w:r>
      <w:r w:rsidR="00544034" w:rsidRPr="00935BEA">
        <w:rPr>
          <w:sz w:val="22"/>
          <w:szCs w:val="22"/>
        </w:rPr>
        <w:t xml:space="preserve"> </w:t>
      </w:r>
      <w:r w:rsidR="00964DFA" w:rsidRPr="00935BEA">
        <w:rPr>
          <w:sz w:val="22"/>
          <w:szCs w:val="22"/>
        </w:rPr>
        <w:t>“</w:t>
      </w:r>
      <w:r w:rsidR="00544034" w:rsidRPr="00935BEA">
        <w:rPr>
          <w:sz w:val="22"/>
          <w:szCs w:val="22"/>
        </w:rPr>
        <w:t>because of the uncertainty</w:t>
      </w:r>
      <w:r w:rsidR="00964DFA" w:rsidRPr="00935BEA">
        <w:rPr>
          <w:sz w:val="22"/>
          <w:szCs w:val="22"/>
        </w:rPr>
        <w:t xml:space="preserve"> …</w:t>
      </w:r>
      <w:r w:rsidR="00544034" w:rsidRPr="00935BEA">
        <w:rPr>
          <w:sz w:val="22"/>
          <w:szCs w:val="22"/>
        </w:rPr>
        <w:t xml:space="preserve"> </w:t>
      </w:r>
      <w:r w:rsidRPr="00935BEA">
        <w:rPr>
          <w:sz w:val="22"/>
          <w:szCs w:val="22"/>
        </w:rPr>
        <w:t>an acceptable ICER would be no higher than the middle of the range normally considered a cost-effective use of NHS resources (£20,000 to £30,000 per QALY gained)”</w:t>
      </w:r>
      <w:r w:rsidR="00DA6B53" w:rsidRPr="00935BEA">
        <w:rPr>
          <w:sz w:val="22"/>
          <w:szCs w:val="22"/>
        </w:rPr>
        <w:t>.</w:t>
      </w:r>
    </w:p>
    <w:p w14:paraId="5900CB3C" w14:textId="12AF9EFD" w:rsidR="005A5047" w:rsidRPr="00935BEA" w:rsidRDefault="00A67073" w:rsidP="00544034">
      <w:pPr>
        <w:pStyle w:val="Paragraph"/>
        <w:numPr>
          <w:ilvl w:val="0"/>
          <w:numId w:val="0"/>
        </w:numPr>
        <w:spacing w:after="0" w:line="360" w:lineRule="auto"/>
        <w:rPr>
          <w:sz w:val="22"/>
          <w:szCs w:val="22"/>
        </w:rPr>
      </w:pPr>
      <w:r w:rsidRPr="00935BEA">
        <w:rPr>
          <w:sz w:val="22"/>
          <w:szCs w:val="22"/>
        </w:rPr>
        <w:t xml:space="preserve">Lymphoma Action and </w:t>
      </w:r>
      <w:r w:rsidR="005A5047" w:rsidRPr="00935BEA">
        <w:rPr>
          <w:sz w:val="22"/>
          <w:szCs w:val="22"/>
        </w:rPr>
        <w:t>Leukaemia C</w:t>
      </w:r>
      <w:r w:rsidRPr="00935BEA">
        <w:rPr>
          <w:sz w:val="22"/>
          <w:szCs w:val="22"/>
        </w:rPr>
        <w:t>are</w:t>
      </w:r>
      <w:r w:rsidR="005A5047" w:rsidRPr="00935BEA">
        <w:rPr>
          <w:sz w:val="22"/>
          <w:szCs w:val="22"/>
        </w:rPr>
        <w:t xml:space="preserve"> </w:t>
      </w:r>
      <w:r w:rsidRPr="00935BEA">
        <w:rPr>
          <w:sz w:val="22"/>
          <w:szCs w:val="22"/>
        </w:rPr>
        <w:t xml:space="preserve">jointly </w:t>
      </w:r>
      <w:r w:rsidR="005A5047" w:rsidRPr="00935BEA">
        <w:rPr>
          <w:sz w:val="22"/>
          <w:szCs w:val="22"/>
        </w:rPr>
        <w:t xml:space="preserve">submit that </w:t>
      </w:r>
      <w:r w:rsidR="00544034" w:rsidRPr="00935BEA">
        <w:rPr>
          <w:sz w:val="22"/>
          <w:szCs w:val="22"/>
        </w:rPr>
        <w:t xml:space="preserve">the </w:t>
      </w:r>
      <w:r w:rsidR="001D5844" w:rsidRPr="00935BEA">
        <w:rPr>
          <w:sz w:val="22"/>
          <w:szCs w:val="22"/>
        </w:rPr>
        <w:t xml:space="preserve">explicit </w:t>
      </w:r>
      <w:r w:rsidR="00544034" w:rsidRPr="00935BEA">
        <w:rPr>
          <w:sz w:val="22"/>
          <w:szCs w:val="22"/>
        </w:rPr>
        <w:t>imposition</w:t>
      </w:r>
      <w:r w:rsidRPr="00935BEA">
        <w:rPr>
          <w:sz w:val="22"/>
          <w:szCs w:val="22"/>
        </w:rPr>
        <w:t xml:space="preserve"> </w:t>
      </w:r>
      <w:r w:rsidR="00544034" w:rsidRPr="00935BEA">
        <w:rPr>
          <w:sz w:val="22"/>
          <w:szCs w:val="22"/>
        </w:rPr>
        <w:t>of a lower threshold</w:t>
      </w:r>
      <w:r w:rsidR="00580786" w:rsidRPr="00935BEA">
        <w:rPr>
          <w:sz w:val="22"/>
          <w:szCs w:val="22"/>
        </w:rPr>
        <w:t xml:space="preserve"> (“no higher than the middle”)</w:t>
      </w:r>
      <w:r w:rsidR="00544034" w:rsidRPr="00935BEA">
        <w:rPr>
          <w:sz w:val="22"/>
          <w:szCs w:val="22"/>
        </w:rPr>
        <w:t xml:space="preserve"> than </w:t>
      </w:r>
      <w:r w:rsidR="001D5844" w:rsidRPr="00935BEA">
        <w:rPr>
          <w:sz w:val="22"/>
          <w:szCs w:val="22"/>
        </w:rPr>
        <w:t xml:space="preserve">the </w:t>
      </w:r>
      <w:r w:rsidR="00544034" w:rsidRPr="00935BEA">
        <w:rPr>
          <w:sz w:val="22"/>
          <w:szCs w:val="22"/>
        </w:rPr>
        <w:t xml:space="preserve">normal range </w:t>
      </w:r>
      <w:r w:rsidR="001D5844" w:rsidRPr="00935BEA">
        <w:rPr>
          <w:sz w:val="22"/>
          <w:szCs w:val="22"/>
        </w:rPr>
        <w:t xml:space="preserve">(£20,000 to £30,000) </w:t>
      </w:r>
      <w:r w:rsidR="00544034" w:rsidRPr="00935BEA">
        <w:rPr>
          <w:sz w:val="22"/>
          <w:szCs w:val="22"/>
        </w:rPr>
        <w:t>is unfair in this context</w:t>
      </w:r>
      <w:r w:rsidR="001D5844" w:rsidRPr="00935BEA">
        <w:rPr>
          <w:sz w:val="22"/>
          <w:szCs w:val="22"/>
        </w:rPr>
        <w:t>, setting a dangerous precedent</w:t>
      </w:r>
      <w:r w:rsidR="00150E4A" w:rsidRPr="00935BEA">
        <w:rPr>
          <w:sz w:val="22"/>
          <w:szCs w:val="22"/>
        </w:rPr>
        <w:t xml:space="preserve">. To do so would create </w:t>
      </w:r>
      <w:r w:rsidR="003B5CC1" w:rsidRPr="00935BEA">
        <w:rPr>
          <w:sz w:val="22"/>
          <w:szCs w:val="22"/>
        </w:rPr>
        <w:t xml:space="preserve">an </w:t>
      </w:r>
      <w:r w:rsidR="00150E4A" w:rsidRPr="00935BEA">
        <w:rPr>
          <w:sz w:val="22"/>
          <w:szCs w:val="22"/>
        </w:rPr>
        <w:t>unfair barrier to access for patients affected by rare cancers, which would be both unfair and potentially discriminatory (on the basis that cancer is a protected disability under the Equality Act 2010).</w:t>
      </w:r>
    </w:p>
    <w:p w14:paraId="457BE6B7" w14:textId="03590BB9" w:rsidR="001D5844" w:rsidRPr="00935BEA" w:rsidRDefault="00A91BC5" w:rsidP="001D5844">
      <w:pPr>
        <w:pStyle w:val="Paragraph"/>
        <w:numPr>
          <w:ilvl w:val="0"/>
          <w:numId w:val="0"/>
        </w:numPr>
        <w:spacing w:after="0" w:line="360" w:lineRule="auto"/>
        <w:rPr>
          <w:sz w:val="22"/>
          <w:szCs w:val="22"/>
        </w:rPr>
      </w:pPr>
      <w:r w:rsidRPr="00935BEA">
        <w:rPr>
          <w:sz w:val="22"/>
          <w:szCs w:val="22"/>
        </w:rPr>
        <w:t>As set out in the NICE’s guide to the methods of technology appraisal (at 6.2.16) uncertainty is a key factor underpinning the judgements of the Committee. However, it explicitly states that “the evidence base will necessarily be weaker for some technologies, such as technologies used to treat patients with very rare diseases.”</w:t>
      </w:r>
      <w:r w:rsidR="001D5844" w:rsidRPr="00935BEA">
        <w:rPr>
          <w:sz w:val="22"/>
          <w:szCs w:val="22"/>
        </w:rPr>
        <w:t xml:space="preserve"> Given the rarity of this condition</w:t>
      </w:r>
      <w:r w:rsidR="00687E6E" w:rsidRPr="00935BEA">
        <w:rPr>
          <w:sz w:val="22"/>
          <w:szCs w:val="22"/>
        </w:rPr>
        <w:t xml:space="preserve">, unmet </w:t>
      </w:r>
      <w:proofErr w:type="gramStart"/>
      <w:r w:rsidR="00687E6E" w:rsidRPr="00935BEA">
        <w:rPr>
          <w:sz w:val="22"/>
          <w:szCs w:val="22"/>
        </w:rPr>
        <w:t>need</w:t>
      </w:r>
      <w:proofErr w:type="gramEnd"/>
      <w:r w:rsidR="001D5844" w:rsidRPr="00935BEA">
        <w:rPr>
          <w:sz w:val="22"/>
          <w:szCs w:val="22"/>
        </w:rPr>
        <w:t xml:space="preserve"> and limited treatment options for these patients we believe </w:t>
      </w:r>
      <w:r w:rsidR="00150E4A" w:rsidRPr="00935BEA">
        <w:rPr>
          <w:sz w:val="22"/>
          <w:szCs w:val="22"/>
        </w:rPr>
        <w:t xml:space="preserve">the imposition of </w:t>
      </w:r>
      <w:r w:rsidR="001D5844" w:rsidRPr="00935BEA">
        <w:rPr>
          <w:sz w:val="22"/>
          <w:szCs w:val="22"/>
        </w:rPr>
        <w:t>this “middle of the range” threshold to be unfair.</w:t>
      </w:r>
    </w:p>
    <w:p w14:paraId="0A237BDF" w14:textId="269A232D" w:rsidR="004009BF" w:rsidRPr="00935BEA" w:rsidRDefault="004009BF" w:rsidP="001D5844">
      <w:pPr>
        <w:pStyle w:val="Paragraph"/>
        <w:numPr>
          <w:ilvl w:val="0"/>
          <w:numId w:val="0"/>
        </w:numPr>
        <w:spacing w:after="0" w:line="360" w:lineRule="auto"/>
        <w:rPr>
          <w:b/>
          <w:bCs/>
          <w:sz w:val="22"/>
          <w:szCs w:val="22"/>
        </w:rPr>
      </w:pPr>
      <w:r w:rsidRPr="00935BEA">
        <w:rPr>
          <w:b/>
          <w:bCs/>
          <w:sz w:val="22"/>
          <w:szCs w:val="22"/>
        </w:rPr>
        <w:t>1a.</w:t>
      </w:r>
      <w:r w:rsidRPr="00935BEA">
        <w:rPr>
          <w:b/>
          <w:bCs/>
          <w:sz w:val="22"/>
          <w:szCs w:val="22"/>
        </w:rPr>
        <w:tab/>
        <w:t>End of Life</w:t>
      </w:r>
    </w:p>
    <w:p w14:paraId="04CD52F7" w14:textId="77777777" w:rsidR="00935BEA" w:rsidRDefault="001D5844" w:rsidP="004009BF">
      <w:pPr>
        <w:pStyle w:val="Paragraph"/>
        <w:numPr>
          <w:ilvl w:val="0"/>
          <w:numId w:val="0"/>
        </w:numPr>
        <w:spacing w:after="0" w:line="360" w:lineRule="auto"/>
        <w:rPr>
          <w:sz w:val="22"/>
          <w:szCs w:val="22"/>
        </w:rPr>
      </w:pPr>
      <w:r w:rsidRPr="00935BEA">
        <w:rPr>
          <w:sz w:val="22"/>
          <w:szCs w:val="22"/>
        </w:rPr>
        <w:t xml:space="preserve">Furthermore, NICE has </w:t>
      </w:r>
      <w:r w:rsidR="00580786" w:rsidRPr="00935BEA">
        <w:rPr>
          <w:sz w:val="22"/>
          <w:szCs w:val="22"/>
        </w:rPr>
        <w:t>criteria</w:t>
      </w:r>
      <w:r w:rsidRPr="00935BEA">
        <w:rPr>
          <w:sz w:val="22"/>
          <w:szCs w:val="22"/>
        </w:rPr>
        <w:t xml:space="preserve"> for </w:t>
      </w:r>
      <w:proofErr w:type="gramStart"/>
      <w:r w:rsidR="00580786" w:rsidRPr="00935BEA">
        <w:rPr>
          <w:sz w:val="22"/>
          <w:szCs w:val="22"/>
        </w:rPr>
        <w:t>e</w:t>
      </w:r>
      <w:r w:rsidRPr="00935BEA">
        <w:rPr>
          <w:sz w:val="22"/>
          <w:szCs w:val="22"/>
        </w:rPr>
        <w:t>nd</w:t>
      </w:r>
      <w:r w:rsidR="00580786" w:rsidRPr="00935BEA">
        <w:rPr>
          <w:sz w:val="22"/>
          <w:szCs w:val="22"/>
        </w:rPr>
        <w:t xml:space="preserve"> </w:t>
      </w:r>
      <w:r w:rsidRPr="00935BEA">
        <w:rPr>
          <w:sz w:val="22"/>
          <w:szCs w:val="22"/>
        </w:rPr>
        <w:t>of</w:t>
      </w:r>
      <w:r w:rsidR="00580786" w:rsidRPr="00935BEA">
        <w:rPr>
          <w:sz w:val="22"/>
          <w:szCs w:val="22"/>
        </w:rPr>
        <w:t xml:space="preserve"> l</w:t>
      </w:r>
      <w:r w:rsidRPr="00935BEA">
        <w:rPr>
          <w:sz w:val="22"/>
          <w:szCs w:val="22"/>
        </w:rPr>
        <w:t>ife</w:t>
      </w:r>
      <w:proofErr w:type="gramEnd"/>
      <w:r w:rsidRPr="00935BEA">
        <w:rPr>
          <w:sz w:val="22"/>
          <w:szCs w:val="22"/>
        </w:rPr>
        <w:t xml:space="preserve"> treatments (which </w:t>
      </w:r>
      <w:r w:rsidR="00580786" w:rsidRPr="00935BEA">
        <w:rPr>
          <w:sz w:val="22"/>
          <w:szCs w:val="22"/>
        </w:rPr>
        <w:t xml:space="preserve">if met </w:t>
      </w:r>
      <w:r w:rsidRPr="00935BEA">
        <w:rPr>
          <w:sz w:val="22"/>
          <w:szCs w:val="22"/>
        </w:rPr>
        <w:t xml:space="preserve">increases the normal threshold to £50,000 per QALY gained). </w:t>
      </w:r>
      <w:r w:rsidR="00150E4A" w:rsidRPr="00935BEA">
        <w:rPr>
          <w:sz w:val="22"/>
          <w:szCs w:val="22"/>
        </w:rPr>
        <w:t xml:space="preserve">We submit that </w:t>
      </w:r>
      <w:r w:rsidR="00C14A57" w:rsidRPr="00935BEA">
        <w:rPr>
          <w:sz w:val="22"/>
          <w:szCs w:val="22"/>
        </w:rPr>
        <w:t>these criteria</w:t>
      </w:r>
      <w:r w:rsidR="00150E4A" w:rsidRPr="00935BEA">
        <w:rPr>
          <w:sz w:val="22"/>
          <w:szCs w:val="22"/>
        </w:rPr>
        <w:t xml:space="preserve"> have been met</w:t>
      </w:r>
      <w:r w:rsidR="005406B2" w:rsidRPr="00935BEA">
        <w:rPr>
          <w:sz w:val="22"/>
          <w:szCs w:val="22"/>
        </w:rPr>
        <w:t xml:space="preserve"> and that a decision not to consider mogamulizumab to be a treatment ‘indicated for patients with a short life expectancy’ is unfair</w:t>
      </w:r>
      <w:r w:rsidR="007861B6" w:rsidRPr="00935BEA">
        <w:rPr>
          <w:sz w:val="22"/>
          <w:szCs w:val="22"/>
        </w:rPr>
        <w:t xml:space="preserve"> (and unreasonable)</w:t>
      </w:r>
      <w:r w:rsidR="005B7533" w:rsidRPr="00935BEA">
        <w:rPr>
          <w:sz w:val="22"/>
          <w:szCs w:val="22"/>
        </w:rPr>
        <w:t xml:space="preserve"> as set out below</w:t>
      </w:r>
      <w:r w:rsidR="007861B6" w:rsidRPr="00935BEA">
        <w:rPr>
          <w:sz w:val="22"/>
          <w:szCs w:val="22"/>
        </w:rPr>
        <w:t xml:space="preserve">. </w:t>
      </w:r>
    </w:p>
    <w:p w14:paraId="0B73C025" w14:textId="59509E14" w:rsidR="00580786" w:rsidRPr="00935BEA" w:rsidRDefault="00964DFA" w:rsidP="004009BF">
      <w:pPr>
        <w:pStyle w:val="Paragraph"/>
        <w:numPr>
          <w:ilvl w:val="0"/>
          <w:numId w:val="0"/>
        </w:numPr>
        <w:spacing w:after="0" w:line="360" w:lineRule="auto"/>
        <w:rPr>
          <w:b/>
          <w:sz w:val="22"/>
          <w:szCs w:val="22"/>
        </w:rPr>
      </w:pPr>
      <w:r w:rsidRPr="00935BEA">
        <w:rPr>
          <w:sz w:val="22"/>
          <w:szCs w:val="22"/>
        </w:rPr>
        <w:t>I</w:t>
      </w:r>
      <w:r w:rsidR="00150E4A" w:rsidRPr="00935BEA">
        <w:rPr>
          <w:sz w:val="22"/>
          <w:szCs w:val="22"/>
        </w:rPr>
        <w:t xml:space="preserve">n the alternative </w:t>
      </w:r>
      <w:r w:rsidRPr="00935BEA">
        <w:rPr>
          <w:sz w:val="22"/>
          <w:szCs w:val="22"/>
        </w:rPr>
        <w:t xml:space="preserve">(where NICE does not consider </w:t>
      </w:r>
      <w:r w:rsidR="00C36733" w:rsidRPr="00935BEA">
        <w:rPr>
          <w:sz w:val="22"/>
          <w:szCs w:val="22"/>
        </w:rPr>
        <w:t>the criteria</w:t>
      </w:r>
      <w:r w:rsidRPr="00935BEA">
        <w:rPr>
          <w:sz w:val="22"/>
          <w:szCs w:val="22"/>
        </w:rPr>
        <w:t xml:space="preserve"> to be met) </w:t>
      </w:r>
      <w:r w:rsidR="00150E4A" w:rsidRPr="00935BEA">
        <w:rPr>
          <w:sz w:val="22"/>
          <w:szCs w:val="22"/>
        </w:rPr>
        <w:t>we submit that, g</w:t>
      </w:r>
      <w:r w:rsidR="00580786" w:rsidRPr="00935BEA">
        <w:rPr>
          <w:sz w:val="22"/>
          <w:szCs w:val="22"/>
        </w:rPr>
        <w:t xml:space="preserve">iven the committees comments regarding the median life expectancy of this population being less than 24 months, any </w:t>
      </w:r>
      <w:r w:rsidR="00150E4A" w:rsidRPr="00935BEA">
        <w:rPr>
          <w:sz w:val="22"/>
          <w:szCs w:val="22"/>
        </w:rPr>
        <w:t xml:space="preserve">committee decision to utilise a </w:t>
      </w:r>
      <w:r w:rsidR="00580786" w:rsidRPr="00935BEA">
        <w:rPr>
          <w:sz w:val="22"/>
          <w:szCs w:val="22"/>
        </w:rPr>
        <w:t xml:space="preserve">lower </w:t>
      </w:r>
      <w:r w:rsidR="004009BF" w:rsidRPr="00935BEA">
        <w:rPr>
          <w:sz w:val="22"/>
          <w:szCs w:val="22"/>
        </w:rPr>
        <w:t xml:space="preserve">threshold (as per 3.14 in the FAD) </w:t>
      </w:r>
      <w:r w:rsidR="00580786" w:rsidRPr="00935BEA">
        <w:rPr>
          <w:sz w:val="22"/>
          <w:szCs w:val="22"/>
        </w:rPr>
        <w:t xml:space="preserve">than the maximum available to a treatment not meeting </w:t>
      </w:r>
      <w:r w:rsidR="00150E4A" w:rsidRPr="00935BEA">
        <w:rPr>
          <w:sz w:val="22"/>
          <w:szCs w:val="22"/>
        </w:rPr>
        <w:t>end of life</w:t>
      </w:r>
      <w:r w:rsidR="00580786" w:rsidRPr="00935BEA">
        <w:rPr>
          <w:sz w:val="22"/>
          <w:szCs w:val="22"/>
        </w:rPr>
        <w:t xml:space="preserve"> (£30,000 per QALY gained) would be unfair (and unreasonable) in th</w:t>
      </w:r>
      <w:r w:rsidR="00197AC5" w:rsidRPr="00935BEA">
        <w:rPr>
          <w:sz w:val="22"/>
          <w:szCs w:val="22"/>
        </w:rPr>
        <w:t xml:space="preserve">e </w:t>
      </w:r>
      <w:r w:rsidR="00580786" w:rsidRPr="00935BEA">
        <w:rPr>
          <w:sz w:val="22"/>
          <w:szCs w:val="22"/>
        </w:rPr>
        <w:t>context</w:t>
      </w:r>
      <w:r w:rsidR="00197AC5" w:rsidRPr="00935BEA">
        <w:rPr>
          <w:sz w:val="22"/>
          <w:szCs w:val="22"/>
        </w:rPr>
        <w:t xml:space="preserve"> of treatments close to end of life</w:t>
      </w:r>
      <w:r w:rsidR="005B111D" w:rsidRPr="00935BEA">
        <w:rPr>
          <w:sz w:val="22"/>
          <w:szCs w:val="22"/>
        </w:rPr>
        <w:t xml:space="preserve"> (but not meeting NICE’s criteria)</w:t>
      </w:r>
      <w:r w:rsidR="00580786" w:rsidRPr="00935BEA">
        <w:rPr>
          <w:sz w:val="22"/>
          <w:szCs w:val="22"/>
        </w:rPr>
        <w:t>.</w:t>
      </w:r>
      <w:r w:rsidR="00580786" w:rsidRPr="00935BEA">
        <w:rPr>
          <w:b/>
          <w:sz w:val="22"/>
          <w:szCs w:val="22"/>
        </w:rPr>
        <w:br w:type="page"/>
      </w:r>
    </w:p>
    <w:p w14:paraId="5A8FCADA" w14:textId="77777777" w:rsidR="006E446E" w:rsidRPr="00935BEA" w:rsidRDefault="006E446E" w:rsidP="00924B32">
      <w:pPr>
        <w:pStyle w:val="Paragraph"/>
        <w:numPr>
          <w:ilvl w:val="0"/>
          <w:numId w:val="0"/>
        </w:numPr>
        <w:spacing w:before="0" w:after="0" w:line="360" w:lineRule="auto"/>
        <w:rPr>
          <w:b/>
          <w:sz w:val="22"/>
          <w:szCs w:val="22"/>
        </w:rPr>
      </w:pPr>
    </w:p>
    <w:p w14:paraId="41943484" w14:textId="20182D55" w:rsidR="0053083A" w:rsidRPr="00935BEA" w:rsidRDefault="0053083A" w:rsidP="00924B32">
      <w:pPr>
        <w:pStyle w:val="Paragraph"/>
        <w:numPr>
          <w:ilvl w:val="0"/>
          <w:numId w:val="0"/>
        </w:numPr>
        <w:spacing w:before="0" w:after="0" w:line="360" w:lineRule="auto"/>
        <w:rPr>
          <w:b/>
          <w:sz w:val="22"/>
          <w:szCs w:val="22"/>
        </w:rPr>
      </w:pPr>
      <w:r w:rsidRPr="00935BEA">
        <w:rPr>
          <w:b/>
          <w:sz w:val="22"/>
          <w:szCs w:val="22"/>
        </w:rPr>
        <w:t xml:space="preserve">Ground 2: </w:t>
      </w:r>
      <w:r w:rsidR="008767C6" w:rsidRPr="00935BEA">
        <w:rPr>
          <w:b/>
          <w:sz w:val="22"/>
          <w:szCs w:val="22"/>
        </w:rPr>
        <w:t xml:space="preserve">The recommendation is </w:t>
      </w:r>
      <w:bookmarkStart w:id="0" w:name="_Hlk491440965"/>
      <w:r w:rsidR="008767C6" w:rsidRPr="00935BEA">
        <w:rPr>
          <w:b/>
          <w:sz w:val="22"/>
          <w:szCs w:val="22"/>
        </w:rPr>
        <w:t>unreasonable in the light of the evidence submitted to NICE</w:t>
      </w:r>
    </w:p>
    <w:bookmarkEnd w:id="0"/>
    <w:p w14:paraId="6DAF8F15" w14:textId="77777777" w:rsidR="0053083A" w:rsidRPr="00935BEA" w:rsidRDefault="0053083A" w:rsidP="00924B32">
      <w:pPr>
        <w:pStyle w:val="Paragraph"/>
        <w:numPr>
          <w:ilvl w:val="0"/>
          <w:numId w:val="0"/>
        </w:numPr>
        <w:spacing w:before="0" w:after="0" w:line="360" w:lineRule="auto"/>
        <w:rPr>
          <w:b/>
          <w:sz w:val="22"/>
          <w:szCs w:val="22"/>
        </w:rPr>
      </w:pPr>
    </w:p>
    <w:p w14:paraId="03111563" w14:textId="0B63FAEE" w:rsidR="0053083A" w:rsidRPr="00935BEA" w:rsidRDefault="0053083A" w:rsidP="00924B32">
      <w:pPr>
        <w:pStyle w:val="Paragraph"/>
        <w:numPr>
          <w:ilvl w:val="0"/>
          <w:numId w:val="0"/>
        </w:numPr>
        <w:spacing w:before="0" w:after="0" w:line="360" w:lineRule="auto"/>
        <w:ind w:left="720" w:hanging="720"/>
        <w:rPr>
          <w:rFonts w:cs="Arial"/>
          <w:b/>
          <w:bCs/>
          <w:sz w:val="22"/>
          <w:szCs w:val="22"/>
        </w:rPr>
      </w:pPr>
      <w:r w:rsidRPr="00935BEA">
        <w:rPr>
          <w:b/>
          <w:sz w:val="22"/>
          <w:szCs w:val="22"/>
        </w:rPr>
        <w:t>2.1</w:t>
      </w:r>
      <w:r w:rsidRPr="00935BEA">
        <w:rPr>
          <w:b/>
          <w:sz w:val="22"/>
          <w:szCs w:val="22"/>
        </w:rPr>
        <w:tab/>
      </w:r>
      <w:r w:rsidR="00580786" w:rsidRPr="00935BEA">
        <w:rPr>
          <w:b/>
          <w:sz w:val="22"/>
          <w:szCs w:val="22"/>
        </w:rPr>
        <w:t>Life-extending treatment at the end of life</w:t>
      </w:r>
    </w:p>
    <w:p w14:paraId="6646C420" w14:textId="58946D2B" w:rsidR="00580786" w:rsidRPr="00935BEA" w:rsidRDefault="00580786" w:rsidP="007877D3">
      <w:pPr>
        <w:pStyle w:val="Paragraph"/>
        <w:numPr>
          <w:ilvl w:val="0"/>
          <w:numId w:val="0"/>
        </w:numPr>
        <w:spacing w:after="0" w:line="360" w:lineRule="auto"/>
        <w:rPr>
          <w:sz w:val="22"/>
          <w:szCs w:val="22"/>
        </w:rPr>
      </w:pPr>
      <w:r w:rsidRPr="00935BEA">
        <w:rPr>
          <w:sz w:val="22"/>
          <w:szCs w:val="22"/>
        </w:rPr>
        <w:t xml:space="preserve">The </w:t>
      </w:r>
      <w:proofErr w:type="gramStart"/>
      <w:r w:rsidRPr="00935BEA">
        <w:rPr>
          <w:sz w:val="22"/>
          <w:szCs w:val="22"/>
        </w:rPr>
        <w:t>end of life</w:t>
      </w:r>
      <w:proofErr w:type="gramEnd"/>
      <w:r w:rsidRPr="00935BEA">
        <w:rPr>
          <w:sz w:val="22"/>
          <w:szCs w:val="22"/>
        </w:rPr>
        <w:t xml:space="preserve"> criteria (6.2.10) require that “the treatment is indicated for patients with a short life expectancy, normally less than 24 months”. </w:t>
      </w:r>
    </w:p>
    <w:p w14:paraId="27389981" w14:textId="159E382F" w:rsidR="00A67073" w:rsidRPr="00935BEA" w:rsidRDefault="00A67073" w:rsidP="007877D3">
      <w:pPr>
        <w:pStyle w:val="Paragraph"/>
        <w:numPr>
          <w:ilvl w:val="0"/>
          <w:numId w:val="0"/>
        </w:numPr>
        <w:spacing w:after="0" w:line="360" w:lineRule="auto"/>
        <w:rPr>
          <w:sz w:val="22"/>
          <w:szCs w:val="22"/>
        </w:rPr>
      </w:pPr>
      <w:r w:rsidRPr="00935BEA">
        <w:rPr>
          <w:sz w:val="22"/>
          <w:szCs w:val="22"/>
        </w:rPr>
        <w:t xml:space="preserve">As set out in the FAD (3.13) </w:t>
      </w:r>
      <w:r w:rsidR="001D5844" w:rsidRPr="00935BEA">
        <w:rPr>
          <w:sz w:val="22"/>
          <w:szCs w:val="22"/>
        </w:rPr>
        <w:t>the median life expectancy of the patient population under consideration is normally less than 24 months</w:t>
      </w:r>
      <w:r w:rsidR="00580786" w:rsidRPr="00935BEA">
        <w:rPr>
          <w:sz w:val="22"/>
          <w:szCs w:val="22"/>
        </w:rPr>
        <w:t>, whilst the mean life expectancy falls above 24 months.</w:t>
      </w:r>
    </w:p>
    <w:p w14:paraId="73EC7BD0" w14:textId="668E0655" w:rsidR="001D5844" w:rsidRPr="00935BEA" w:rsidRDefault="00580786" w:rsidP="007877D3">
      <w:pPr>
        <w:pStyle w:val="Paragraph"/>
        <w:numPr>
          <w:ilvl w:val="0"/>
          <w:numId w:val="0"/>
        </w:numPr>
        <w:spacing w:after="0" w:line="360" w:lineRule="auto"/>
        <w:rPr>
          <w:sz w:val="22"/>
          <w:szCs w:val="22"/>
        </w:rPr>
      </w:pPr>
      <w:r w:rsidRPr="00935BEA">
        <w:rPr>
          <w:sz w:val="22"/>
          <w:szCs w:val="22"/>
        </w:rPr>
        <w:t xml:space="preserve">The criteria make no explicit reference to use of either median or mean survival. </w:t>
      </w:r>
      <w:r w:rsidR="001D5844" w:rsidRPr="00935BEA">
        <w:rPr>
          <w:sz w:val="22"/>
          <w:szCs w:val="22"/>
        </w:rPr>
        <w:t>There is precedent for using median life expectancy for the short life expectancy criterion (</w:t>
      </w:r>
      <w:proofErr w:type="gramStart"/>
      <w:r w:rsidR="001D5844" w:rsidRPr="00935BEA">
        <w:rPr>
          <w:sz w:val="22"/>
          <w:szCs w:val="22"/>
        </w:rPr>
        <w:t>e.g.</w:t>
      </w:r>
      <w:proofErr w:type="gramEnd"/>
      <w:r w:rsidR="001D5844" w:rsidRPr="00935BEA">
        <w:rPr>
          <w:sz w:val="22"/>
          <w:szCs w:val="22"/>
        </w:rPr>
        <w:t xml:space="preserve"> </w:t>
      </w:r>
      <w:proofErr w:type="spellStart"/>
      <w:r w:rsidR="00150E4A" w:rsidRPr="00935BEA">
        <w:rPr>
          <w:sz w:val="22"/>
          <w:szCs w:val="22"/>
        </w:rPr>
        <w:t>i</w:t>
      </w:r>
      <w:r w:rsidR="001D5844" w:rsidRPr="00935BEA">
        <w:rPr>
          <w:sz w:val="22"/>
          <w:szCs w:val="22"/>
        </w:rPr>
        <w:t>notuzumab</w:t>
      </w:r>
      <w:proofErr w:type="spellEnd"/>
      <w:r w:rsidR="001D5844" w:rsidRPr="00935BEA">
        <w:rPr>
          <w:sz w:val="22"/>
          <w:szCs w:val="22"/>
        </w:rPr>
        <w:t xml:space="preserve"> </w:t>
      </w:r>
      <w:proofErr w:type="spellStart"/>
      <w:r w:rsidR="001D5844" w:rsidRPr="00935BEA">
        <w:rPr>
          <w:sz w:val="22"/>
          <w:szCs w:val="22"/>
        </w:rPr>
        <w:t>ozogamicin</w:t>
      </w:r>
      <w:proofErr w:type="spellEnd"/>
      <w:r w:rsidR="001D5844" w:rsidRPr="00935BEA">
        <w:rPr>
          <w:sz w:val="22"/>
          <w:szCs w:val="22"/>
        </w:rPr>
        <w:t xml:space="preserve"> for treating relapsed or refractory B-cell acute lymphoblastic leukaemia [TA541])</w:t>
      </w:r>
      <w:r w:rsidRPr="00935BEA">
        <w:rPr>
          <w:sz w:val="22"/>
          <w:szCs w:val="22"/>
        </w:rPr>
        <w:t xml:space="preserve"> in such a scenario</w:t>
      </w:r>
      <w:r w:rsidR="001D5844" w:rsidRPr="00935BEA">
        <w:rPr>
          <w:sz w:val="22"/>
          <w:szCs w:val="22"/>
        </w:rPr>
        <w:t xml:space="preserve">. </w:t>
      </w:r>
    </w:p>
    <w:p w14:paraId="0B083755" w14:textId="7702BC3E" w:rsidR="00D04325" w:rsidRPr="00935BEA" w:rsidRDefault="00D04325" w:rsidP="007877D3">
      <w:pPr>
        <w:pStyle w:val="Paragraph"/>
        <w:numPr>
          <w:ilvl w:val="0"/>
          <w:numId w:val="0"/>
        </w:numPr>
        <w:spacing w:after="0" w:line="360" w:lineRule="auto"/>
        <w:rPr>
          <w:sz w:val="22"/>
          <w:szCs w:val="22"/>
        </w:rPr>
      </w:pPr>
      <w:r w:rsidRPr="00935BEA">
        <w:rPr>
          <w:sz w:val="22"/>
          <w:szCs w:val="22"/>
        </w:rPr>
        <w:t xml:space="preserve">On this basis, we submit that </w:t>
      </w:r>
      <w:r w:rsidR="00544034" w:rsidRPr="00935BEA">
        <w:rPr>
          <w:sz w:val="22"/>
          <w:szCs w:val="22"/>
        </w:rPr>
        <w:t xml:space="preserve">a decision not to consider mogamulizumab to be a treatment </w:t>
      </w:r>
      <w:r w:rsidR="00580786" w:rsidRPr="00935BEA">
        <w:rPr>
          <w:sz w:val="22"/>
          <w:szCs w:val="22"/>
        </w:rPr>
        <w:t xml:space="preserve">‘indicated for patients with a short life expectancy’ </w:t>
      </w:r>
      <w:r w:rsidRPr="00935BEA">
        <w:rPr>
          <w:sz w:val="22"/>
          <w:szCs w:val="22"/>
        </w:rPr>
        <w:t>is unreasonable in the light of the evidence submitted to NICE.</w:t>
      </w:r>
    </w:p>
    <w:p w14:paraId="7AE42C4D" w14:textId="4252E4A4" w:rsidR="00231E33" w:rsidRPr="00935BEA" w:rsidRDefault="00231E33" w:rsidP="00924B32">
      <w:pPr>
        <w:pStyle w:val="Paragraph"/>
        <w:numPr>
          <w:ilvl w:val="0"/>
          <w:numId w:val="0"/>
        </w:numPr>
        <w:spacing w:before="0" w:after="0" w:line="360" w:lineRule="auto"/>
        <w:ind w:left="720" w:hanging="720"/>
        <w:rPr>
          <w:b/>
          <w:sz w:val="22"/>
          <w:szCs w:val="22"/>
        </w:rPr>
      </w:pPr>
    </w:p>
    <w:p w14:paraId="1E846F19" w14:textId="6097A66D" w:rsidR="00C35E67" w:rsidRPr="00935BEA" w:rsidRDefault="006E3579" w:rsidP="00924B32">
      <w:pPr>
        <w:pStyle w:val="Paragraph"/>
        <w:numPr>
          <w:ilvl w:val="0"/>
          <w:numId w:val="0"/>
        </w:numPr>
        <w:spacing w:before="0" w:after="0" w:line="360" w:lineRule="auto"/>
        <w:ind w:left="720" w:hanging="720"/>
        <w:rPr>
          <w:b/>
          <w:sz w:val="22"/>
          <w:szCs w:val="22"/>
        </w:rPr>
      </w:pPr>
      <w:r w:rsidRPr="00935BEA">
        <w:rPr>
          <w:b/>
          <w:sz w:val="22"/>
          <w:szCs w:val="22"/>
        </w:rPr>
        <w:t>Conclusion</w:t>
      </w:r>
    </w:p>
    <w:p w14:paraId="59A6E5ED" w14:textId="23CA04A0" w:rsidR="00195039" w:rsidRPr="00935BEA" w:rsidRDefault="00195039" w:rsidP="002C3349">
      <w:pPr>
        <w:pStyle w:val="Paragraph"/>
        <w:numPr>
          <w:ilvl w:val="0"/>
          <w:numId w:val="0"/>
        </w:numPr>
        <w:spacing w:after="0" w:line="360" w:lineRule="auto"/>
        <w:rPr>
          <w:sz w:val="22"/>
          <w:szCs w:val="22"/>
        </w:rPr>
      </w:pPr>
      <w:r w:rsidRPr="00935BEA">
        <w:rPr>
          <w:sz w:val="22"/>
          <w:szCs w:val="22"/>
        </w:rPr>
        <w:t xml:space="preserve">For the reasons listed above, we believe that the appraisal of </w:t>
      </w:r>
      <w:r w:rsidR="00544034" w:rsidRPr="00935BEA">
        <w:rPr>
          <w:sz w:val="22"/>
          <w:szCs w:val="22"/>
        </w:rPr>
        <w:t xml:space="preserve">mogamulizumab </w:t>
      </w:r>
      <w:r w:rsidR="006D59F1" w:rsidRPr="00935BEA">
        <w:rPr>
          <w:sz w:val="22"/>
          <w:szCs w:val="22"/>
        </w:rPr>
        <w:t>was both unfair and unreasonable. It is on this basis that we wish to appeal the FAD</w:t>
      </w:r>
      <w:r w:rsidR="00353080" w:rsidRPr="00935BEA">
        <w:rPr>
          <w:sz w:val="22"/>
          <w:szCs w:val="22"/>
        </w:rPr>
        <w:t>, via a written appeal.</w:t>
      </w:r>
    </w:p>
    <w:p w14:paraId="72CF98C0" w14:textId="525E2D7A" w:rsidR="002C3349" w:rsidRPr="00935BEA" w:rsidRDefault="002C3349" w:rsidP="002C3349">
      <w:pPr>
        <w:pStyle w:val="Paragraph"/>
        <w:numPr>
          <w:ilvl w:val="0"/>
          <w:numId w:val="0"/>
        </w:numPr>
        <w:spacing w:after="0" w:line="360" w:lineRule="auto"/>
        <w:rPr>
          <w:sz w:val="22"/>
          <w:szCs w:val="22"/>
        </w:rPr>
      </w:pPr>
      <w:r w:rsidRPr="00935BEA">
        <w:rPr>
          <w:sz w:val="22"/>
          <w:szCs w:val="22"/>
        </w:rPr>
        <w:t xml:space="preserve">We urge you to make </w:t>
      </w:r>
      <w:r w:rsidR="00A67073" w:rsidRPr="00935BEA">
        <w:rPr>
          <w:sz w:val="22"/>
          <w:szCs w:val="22"/>
        </w:rPr>
        <w:t xml:space="preserve">mogamulizumab </w:t>
      </w:r>
      <w:r w:rsidRPr="00935BEA">
        <w:rPr>
          <w:sz w:val="22"/>
          <w:szCs w:val="22"/>
        </w:rPr>
        <w:t>available to all those who could benefit from it.</w:t>
      </w:r>
    </w:p>
    <w:p w14:paraId="135F7236" w14:textId="3F7908A6" w:rsidR="00544034" w:rsidRDefault="002C3349" w:rsidP="00CD2D9E">
      <w:pPr>
        <w:pStyle w:val="Paragraph"/>
        <w:numPr>
          <w:ilvl w:val="0"/>
          <w:numId w:val="0"/>
        </w:numPr>
        <w:spacing w:after="0" w:line="360" w:lineRule="auto"/>
        <w:rPr>
          <w:sz w:val="22"/>
          <w:szCs w:val="22"/>
        </w:rPr>
      </w:pPr>
      <w:r w:rsidRPr="00935BEA">
        <w:rPr>
          <w:sz w:val="22"/>
          <w:szCs w:val="22"/>
        </w:rPr>
        <w:t>Yours Sincerely</w:t>
      </w:r>
      <w:r w:rsidR="00353080" w:rsidRPr="00935BEA">
        <w:rPr>
          <w:sz w:val="22"/>
          <w:szCs w:val="22"/>
        </w:rPr>
        <w:t>,</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935BEA" w14:paraId="18AD3B8C" w14:textId="77777777" w:rsidTr="00935BEA">
        <w:trPr>
          <w:trHeight w:val="2227"/>
        </w:trPr>
        <w:tc>
          <w:tcPr>
            <w:tcW w:w="4583" w:type="dxa"/>
          </w:tcPr>
          <w:p w14:paraId="46833FF7" w14:textId="266F1CD9" w:rsidR="00935BEA" w:rsidRDefault="00935BEA" w:rsidP="00935BEA">
            <w:pPr>
              <w:pStyle w:val="Paragraph"/>
              <w:numPr>
                <w:ilvl w:val="0"/>
                <w:numId w:val="0"/>
              </w:numPr>
              <w:spacing w:after="0" w:line="360" w:lineRule="auto"/>
              <w:ind w:left="851" w:hanging="851"/>
              <w:rPr>
                <w:sz w:val="22"/>
                <w:szCs w:val="22"/>
              </w:rPr>
            </w:pPr>
          </w:p>
          <w:p w14:paraId="46B043C8" w14:textId="77777777" w:rsidR="00935BEA" w:rsidRDefault="00935BEA" w:rsidP="00935BEA">
            <w:pPr>
              <w:pStyle w:val="Paragraph"/>
              <w:numPr>
                <w:ilvl w:val="0"/>
                <w:numId w:val="0"/>
              </w:numPr>
              <w:spacing w:after="0" w:line="360" w:lineRule="auto"/>
              <w:ind w:left="851" w:hanging="851"/>
              <w:rPr>
                <w:sz w:val="22"/>
                <w:szCs w:val="22"/>
              </w:rPr>
            </w:pPr>
          </w:p>
          <w:p w14:paraId="3652E275" w14:textId="2C95F18F" w:rsidR="00935BEA" w:rsidRDefault="009F668E" w:rsidP="00935BEA">
            <w:pPr>
              <w:pStyle w:val="Paragraph"/>
              <w:numPr>
                <w:ilvl w:val="0"/>
                <w:numId w:val="0"/>
              </w:numPr>
              <w:spacing w:before="0" w:after="0" w:line="360" w:lineRule="auto"/>
              <w:rPr>
                <w:sz w:val="22"/>
                <w:szCs w:val="22"/>
              </w:rPr>
            </w:pPr>
            <w:r w:rsidRPr="009F668E">
              <w:rPr>
                <w:sz w:val="22"/>
                <w:szCs w:val="22"/>
                <w:highlight w:val="black"/>
              </w:rPr>
              <w:t>XXXXXXX</w:t>
            </w:r>
            <w:r w:rsidR="00935BEA" w:rsidRPr="009F668E">
              <w:rPr>
                <w:sz w:val="22"/>
                <w:szCs w:val="22"/>
                <w:highlight w:val="black"/>
              </w:rPr>
              <w:t xml:space="preserve"> </w:t>
            </w:r>
            <w:r w:rsidRPr="009F668E">
              <w:rPr>
                <w:sz w:val="22"/>
                <w:szCs w:val="22"/>
                <w:highlight w:val="black"/>
              </w:rPr>
              <w:t>XXXXXXXXX</w:t>
            </w:r>
          </w:p>
          <w:p w14:paraId="02BC2BE1" w14:textId="77282A80" w:rsidR="00935BEA" w:rsidRDefault="009F668E" w:rsidP="00935BEA">
            <w:pPr>
              <w:pStyle w:val="Paragraph"/>
              <w:numPr>
                <w:ilvl w:val="0"/>
                <w:numId w:val="0"/>
              </w:numPr>
              <w:spacing w:before="0" w:after="0" w:line="360" w:lineRule="auto"/>
              <w:ind w:left="851" w:hanging="851"/>
              <w:rPr>
                <w:sz w:val="22"/>
                <w:szCs w:val="22"/>
              </w:rPr>
            </w:pPr>
            <w:r w:rsidRPr="009F668E">
              <w:rPr>
                <w:sz w:val="22"/>
                <w:szCs w:val="22"/>
                <w:highlight w:val="black"/>
              </w:rPr>
              <w:t>XXXXXXXX</w:t>
            </w:r>
            <w:r w:rsidR="00935BEA" w:rsidRPr="009F668E">
              <w:rPr>
                <w:sz w:val="22"/>
                <w:szCs w:val="22"/>
                <w:highlight w:val="black"/>
              </w:rPr>
              <w:t xml:space="preserve"> </w:t>
            </w:r>
            <w:r w:rsidRPr="009F668E">
              <w:rPr>
                <w:sz w:val="22"/>
                <w:szCs w:val="22"/>
                <w:highlight w:val="black"/>
              </w:rPr>
              <w:t>XX</w:t>
            </w:r>
            <w:r w:rsidR="00935BEA" w:rsidRPr="009F668E">
              <w:rPr>
                <w:sz w:val="22"/>
                <w:szCs w:val="22"/>
                <w:highlight w:val="black"/>
              </w:rPr>
              <w:t xml:space="preserve"> </w:t>
            </w:r>
            <w:r w:rsidRPr="009F668E">
              <w:rPr>
                <w:sz w:val="22"/>
                <w:szCs w:val="22"/>
                <w:highlight w:val="black"/>
              </w:rPr>
              <w:t>XXXXXXXXXX</w:t>
            </w:r>
            <w:r w:rsidR="00935BEA" w:rsidRPr="009F668E">
              <w:rPr>
                <w:sz w:val="22"/>
                <w:szCs w:val="22"/>
                <w:highlight w:val="black"/>
              </w:rPr>
              <w:t xml:space="preserve"> </w:t>
            </w:r>
            <w:r w:rsidRPr="009F668E">
              <w:rPr>
                <w:sz w:val="22"/>
                <w:szCs w:val="22"/>
                <w:highlight w:val="black"/>
              </w:rPr>
              <w:t>XXX</w:t>
            </w:r>
            <w:r w:rsidR="00935BEA" w:rsidRPr="009F668E">
              <w:rPr>
                <w:sz w:val="22"/>
                <w:szCs w:val="22"/>
                <w:highlight w:val="black"/>
              </w:rPr>
              <w:t xml:space="preserve"> </w:t>
            </w:r>
            <w:r w:rsidRPr="009F668E">
              <w:rPr>
                <w:sz w:val="22"/>
                <w:szCs w:val="22"/>
                <w:highlight w:val="black"/>
              </w:rPr>
              <w:t>XXXXXXXX</w:t>
            </w:r>
            <w:r w:rsidR="00935BEA" w:rsidRPr="009F668E">
              <w:rPr>
                <w:sz w:val="22"/>
                <w:szCs w:val="22"/>
                <w:highlight w:val="black"/>
              </w:rPr>
              <w:t xml:space="preserve"> </w:t>
            </w:r>
            <w:r w:rsidRPr="009F668E">
              <w:rPr>
                <w:sz w:val="22"/>
                <w:szCs w:val="22"/>
                <w:highlight w:val="black"/>
              </w:rPr>
              <w:t>XXXXXXX</w:t>
            </w:r>
          </w:p>
          <w:p w14:paraId="1E5B9B60" w14:textId="6574A1CB" w:rsidR="00935BEA" w:rsidRDefault="00935BEA" w:rsidP="00935BEA">
            <w:pPr>
              <w:pStyle w:val="Paragraph"/>
              <w:numPr>
                <w:ilvl w:val="0"/>
                <w:numId w:val="0"/>
              </w:numPr>
              <w:spacing w:before="0" w:after="0" w:line="360" w:lineRule="auto"/>
              <w:ind w:left="851" w:hanging="851"/>
              <w:rPr>
                <w:sz w:val="22"/>
                <w:szCs w:val="22"/>
              </w:rPr>
            </w:pPr>
            <w:r w:rsidRPr="00935BEA">
              <w:rPr>
                <w:sz w:val="22"/>
                <w:szCs w:val="22"/>
              </w:rPr>
              <w:t>Lymphoma Action</w:t>
            </w:r>
          </w:p>
        </w:tc>
        <w:tc>
          <w:tcPr>
            <w:tcW w:w="4583" w:type="dxa"/>
          </w:tcPr>
          <w:p w14:paraId="66FC3D42" w14:textId="10588C70" w:rsidR="00935BEA" w:rsidRDefault="00935BEA" w:rsidP="00CD2D9E">
            <w:pPr>
              <w:pStyle w:val="Paragraph"/>
              <w:numPr>
                <w:ilvl w:val="0"/>
                <w:numId w:val="0"/>
              </w:numPr>
              <w:spacing w:after="0" w:line="360" w:lineRule="auto"/>
              <w:rPr>
                <w:sz w:val="22"/>
                <w:szCs w:val="22"/>
              </w:rPr>
            </w:pPr>
          </w:p>
          <w:p w14:paraId="6F4EBB05" w14:textId="33D72B7E" w:rsidR="00935BEA" w:rsidRDefault="00935BEA" w:rsidP="00CD2D9E">
            <w:pPr>
              <w:pStyle w:val="Paragraph"/>
              <w:numPr>
                <w:ilvl w:val="0"/>
                <w:numId w:val="0"/>
              </w:numPr>
              <w:spacing w:after="0" w:line="360" w:lineRule="auto"/>
              <w:rPr>
                <w:sz w:val="22"/>
                <w:szCs w:val="22"/>
              </w:rPr>
            </w:pPr>
          </w:p>
          <w:p w14:paraId="12505551" w14:textId="31A6790F" w:rsidR="00935BEA" w:rsidRDefault="009F668E" w:rsidP="00935BEA">
            <w:pPr>
              <w:pStyle w:val="Paragraph"/>
              <w:numPr>
                <w:ilvl w:val="0"/>
                <w:numId w:val="0"/>
              </w:numPr>
              <w:spacing w:before="0" w:after="0" w:line="360" w:lineRule="auto"/>
              <w:ind w:left="851" w:hanging="851"/>
              <w:rPr>
                <w:sz w:val="22"/>
                <w:szCs w:val="22"/>
              </w:rPr>
            </w:pPr>
            <w:r w:rsidRPr="009F668E">
              <w:rPr>
                <w:sz w:val="22"/>
                <w:szCs w:val="22"/>
                <w:highlight w:val="black"/>
              </w:rPr>
              <w:t>XXXX</w:t>
            </w:r>
            <w:r w:rsidR="00935BEA" w:rsidRPr="009F668E">
              <w:rPr>
                <w:sz w:val="22"/>
                <w:szCs w:val="22"/>
                <w:highlight w:val="black"/>
              </w:rPr>
              <w:t xml:space="preserve"> </w:t>
            </w:r>
            <w:r w:rsidRPr="009F668E">
              <w:rPr>
                <w:sz w:val="22"/>
                <w:szCs w:val="22"/>
                <w:highlight w:val="black"/>
              </w:rPr>
              <w:t>XXXXXXXXX XXXXXXXX</w:t>
            </w:r>
            <w:r w:rsidR="00935BEA" w:rsidRPr="00935BEA">
              <w:rPr>
                <w:sz w:val="22"/>
                <w:szCs w:val="22"/>
              </w:rPr>
              <w:t xml:space="preserve"> </w:t>
            </w:r>
          </w:p>
          <w:p w14:paraId="400EB098" w14:textId="0FFA89A3" w:rsidR="00935BEA" w:rsidRDefault="009F668E" w:rsidP="00935BEA">
            <w:pPr>
              <w:pStyle w:val="Paragraph"/>
              <w:numPr>
                <w:ilvl w:val="0"/>
                <w:numId w:val="0"/>
              </w:numPr>
              <w:spacing w:before="0" w:after="0" w:line="360" w:lineRule="auto"/>
              <w:ind w:left="851" w:hanging="851"/>
              <w:rPr>
                <w:sz w:val="22"/>
                <w:szCs w:val="22"/>
              </w:rPr>
            </w:pPr>
            <w:r w:rsidRPr="009F668E">
              <w:rPr>
                <w:sz w:val="22"/>
                <w:szCs w:val="22"/>
                <w:highlight w:val="black"/>
              </w:rPr>
              <w:t>XXXXX</w:t>
            </w:r>
            <w:r w:rsidR="00935BEA" w:rsidRPr="009F668E">
              <w:rPr>
                <w:sz w:val="22"/>
                <w:szCs w:val="22"/>
                <w:highlight w:val="black"/>
              </w:rPr>
              <w:t xml:space="preserve"> </w:t>
            </w:r>
            <w:r w:rsidRPr="009F668E">
              <w:rPr>
                <w:sz w:val="22"/>
                <w:szCs w:val="22"/>
                <w:highlight w:val="black"/>
              </w:rPr>
              <w:t>XXXXXXXXX</w:t>
            </w:r>
            <w:r w:rsidR="00935BEA" w:rsidRPr="009F668E">
              <w:rPr>
                <w:sz w:val="22"/>
                <w:szCs w:val="22"/>
                <w:highlight w:val="black"/>
              </w:rPr>
              <w:t xml:space="preserve"> </w:t>
            </w:r>
            <w:r w:rsidRPr="009F668E">
              <w:rPr>
                <w:sz w:val="22"/>
                <w:szCs w:val="22"/>
                <w:highlight w:val="black"/>
              </w:rPr>
              <w:t>XXXXXXX</w:t>
            </w:r>
          </w:p>
          <w:p w14:paraId="3B647A1B" w14:textId="03C69158" w:rsidR="00935BEA" w:rsidRDefault="00935BEA" w:rsidP="00935BEA">
            <w:pPr>
              <w:pStyle w:val="Paragraph"/>
              <w:numPr>
                <w:ilvl w:val="0"/>
                <w:numId w:val="0"/>
              </w:numPr>
              <w:spacing w:before="0" w:after="0" w:line="360" w:lineRule="auto"/>
              <w:ind w:left="851" w:hanging="851"/>
              <w:rPr>
                <w:sz w:val="22"/>
                <w:szCs w:val="22"/>
              </w:rPr>
            </w:pPr>
            <w:r w:rsidRPr="00935BEA">
              <w:rPr>
                <w:sz w:val="22"/>
                <w:szCs w:val="22"/>
              </w:rPr>
              <w:t>Leukaemia Care</w:t>
            </w:r>
          </w:p>
        </w:tc>
      </w:tr>
    </w:tbl>
    <w:p w14:paraId="315185C2" w14:textId="07EC0F50" w:rsidR="00935BEA" w:rsidRPr="00935BEA" w:rsidRDefault="00935BEA" w:rsidP="00935BEA">
      <w:pPr>
        <w:pStyle w:val="Paragraph"/>
        <w:numPr>
          <w:ilvl w:val="0"/>
          <w:numId w:val="0"/>
        </w:numPr>
        <w:spacing w:line="360" w:lineRule="auto"/>
        <w:ind w:left="851" w:hanging="851"/>
        <w:rPr>
          <w:sz w:val="22"/>
          <w:szCs w:val="22"/>
        </w:rPr>
      </w:pPr>
    </w:p>
    <w:sectPr w:rsidR="00935BEA" w:rsidRPr="00935BEA" w:rsidSect="00935BEA">
      <w:headerReference w:type="default" r:id="rId8"/>
      <w:footerReference w:type="default" r:id="rId9"/>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53969" w14:textId="77777777" w:rsidR="00CD2021" w:rsidRDefault="00CD2021" w:rsidP="00446BEE">
      <w:r>
        <w:separator/>
      </w:r>
    </w:p>
  </w:endnote>
  <w:endnote w:type="continuationSeparator" w:id="0">
    <w:p w14:paraId="786A213B" w14:textId="77777777" w:rsidR="00CD2021" w:rsidRDefault="00CD202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940019"/>
      <w:docPartObj>
        <w:docPartGallery w:val="Page Numbers (Bottom of Page)"/>
        <w:docPartUnique/>
      </w:docPartObj>
    </w:sdtPr>
    <w:sdtEndPr>
      <w:rPr>
        <w:noProof/>
      </w:rPr>
    </w:sdtEndPr>
    <w:sdtContent>
      <w:p w14:paraId="6FC7B9C7" w14:textId="1292ECA5" w:rsidR="00F64CCF" w:rsidRDefault="00F64C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283CE" w14:textId="77777777" w:rsidR="00F64CCF" w:rsidRDefault="00F6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D13B" w14:textId="77777777" w:rsidR="00CD2021" w:rsidRDefault="00CD2021" w:rsidP="00446BEE">
      <w:r>
        <w:separator/>
      </w:r>
    </w:p>
  </w:footnote>
  <w:footnote w:type="continuationSeparator" w:id="0">
    <w:p w14:paraId="56FC6FDB" w14:textId="77777777" w:rsidR="00CD2021" w:rsidRDefault="00CD202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034D" w14:textId="7F3469A9" w:rsidR="006E446E" w:rsidRDefault="006E446E">
    <w:pPr>
      <w:pStyle w:val="Header"/>
    </w:pPr>
    <w:r>
      <w:rPr>
        <w:noProof/>
      </w:rPr>
      <w:drawing>
        <wp:anchor distT="0" distB="0" distL="114300" distR="114300" simplePos="0" relativeHeight="251658240" behindDoc="1" locked="0" layoutInCell="1" allowOverlap="1" wp14:anchorId="6477FB88" wp14:editId="7495562F">
          <wp:simplePos x="0" y="0"/>
          <wp:positionH relativeFrom="margin">
            <wp:align>right</wp:align>
          </wp:positionH>
          <wp:positionV relativeFrom="paragraph">
            <wp:posOffset>-69215</wp:posOffset>
          </wp:positionV>
          <wp:extent cx="2616835" cy="535940"/>
          <wp:effectExtent l="0" t="0" r="0" b="0"/>
          <wp:wrapTight wrapText="bothSides">
            <wp:wrapPolygon edited="0">
              <wp:start x="0" y="0"/>
              <wp:lineTo x="0" y="20730"/>
              <wp:lineTo x="21385" y="20730"/>
              <wp:lineTo x="21385"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6835" cy="5359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922CF4B" wp14:editId="0F7C9D5E">
          <wp:simplePos x="0" y="0"/>
          <wp:positionH relativeFrom="margin">
            <wp:align>left</wp:align>
          </wp:positionH>
          <wp:positionV relativeFrom="paragraph">
            <wp:posOffset>-269240</wp:posOffset>
          </wp:positionV>
          <wp:extent cx="1514475" cy="756920"/>
          <wp:effectExtent l="0" t="0" r="0" b="0"/>
          <wp:wrapTight wrapText="bothSides">
            <wp:wrapPolygon edited="0">
              <wp:start x="0" y="2718"/>
              <wp:lineTo x="0" y="9242"/>
              <wp:lineTo x="2989" y="12503"/>
              <wp:lineTo x="7879" y="12503"/>
              <wp:lineTo x="7879" y="18483"/>
              <wp:lineTo x="19019" y="18483"/>
              <wp:lineTo x="19562" y="17396"/>
              <wp:lineTo x="20921" y="13591"/>
              <wp:lineTo x="21192" y="8154"/>
              <wp:lineTo x="16845" y="4893"/>
              <wp:lineTo x="10053" y="2718"/>
              <wp:lineTo x="0" y="2718"/>
            </wp:wrapPolygon>
          </wp:wrapTight>
          <wp:docPr id="4" name="Picture 4" descr="Lymphoma Action - Helpline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phoma Action - Helplines Partnersh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690" cy="7695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C09B9"/>
    <w:multiLevelType w:val="hybridMultilevel"/>
    <w:tmpl w:val="41B4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18" w15:restartNumberingAfterBreak="0">
    <w:nsid w:val="785B0CF5"/>
    <w:multiLevelType w:val="hybridMultilevel"/>
    <w:tmpl w:val="2B884B72"/>
    <w:lvl w:ilvl="0" w:tplc="37369C9A">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4"/>
  </w:num>
  <w:num w:numId="21">
    <w:abstractNumId w:val="15"/>
  </w:num>
  <w:num w:numId="22">
    <w:abstractNumId w:val="10"/>
  </w:num>
  <w:num w:numId="23">
    <w:abstractNumId w:val="15"/>
  </w:num>
  <w:num w:numId="24">
    <w:abstractNumId w:val="17"/>
  </w:num>
  <w:num w:numId="25">
    <w:abstractNumId w:val="11"/>
  </w:num>
  <w:num w:numId="26">
    <w:abstractNumId w:val="19"/>
  </w:num>
  <w:num w:numId="27">
    <w:abstractNumId w:val="15"/>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1693B"/>
    <w:rsid w:val="00024D0A"/>
    <w:rsid w:val="00025E46"/>
    <w:rsid w:val="00034295"/>
    <w:rsid w:val="00041D17"/>
    <w:rsid w:val="00045633"/>
    <w:rsid w:val="000634BB"/>
    <w:rsid w:val="00070065"/>
    <w:rsid w:val="00071B5F"/>
    <w:rsid w:val="000B5939"/>
    <w:rsid w:val="000C2337"/>
    <w:rsid w:val="000D182D"/>
    <w:rsid w:val="000D4E0B"/>
    <w:rsid w:val="001122ED"/>
    <w:rsid w:val="001134E7"/>
    <w:rsid w:val="00134FDA"/>
    <w:rsid w:val="00150E4A"/>
    <w:rsid w:val="0017169E"/>
    <w:rsid w:val="00195039"/>
    <w:rsid w:val="00197AC5"/>
    <w:rsid w:val="001A23E4"/>
    <w:rsid w:val="001B65B3"/>
    <w:rsid w:val="001D5844"/>
    <w:rsid w:val="001E3730"/>
    <w:rsid w:val="00231E33"/>
    <w:rsid w:val="002326AC"/>
    <w:rsid w:val="00234B5A"/>
    <w:rsid w:val="002408EA"/>
    <w:rsid w:val="002469B9"/>
    <w:rsid w:val="00270605"/>
    <w:rsid w:val="00275FC0"/>
    <w:rsid w:val="002A7517"/>
    <w:rsid w:val="002C1A7E"/>
    <w:rsid w:val="002C3349"/>
    <w:rsid w:val="002D30A7"/>
    <w:rsid w:val="002D4AEF"/>
    <w:rsid w:val="002F2EEF"/>
    <w:rsid w:val="00311ED0"/>
    <w:rsid w:val="00353080"/>
    <w:rsid w:val="00371BD0"/>
    <w:rsid w:val="003722FA"/>
    <w:rsid w:val="00377277"/>
    <w:rsid w:val="003953EA"/>
    <w:rsid w:val="003966A3"/>
    <w:rsid w:val="003B1C33"/>
    <w:rsid w:val="003B5CC1"/>
    <w:rsid w:val="003B6427"/>
    <w:rsid w:val="003C2A6F"/>
    <w:rsid w:val="003C7AAF"/>
    <w:rsid w:val="003E12B1"/>
    <w:rsid w:val="003E196A"/>
    <w:rsid w:val="003E652C"/>
    <w:rsid w:val="003F2EC0"/>
    <w:rsid w:val="004009BF"/>
    <w:rsid w:val="004075B6"/>
    <w:rsid w:val="00420952"/>
    <w:rsid w:val="00446BEE"/>
    <w:rsid w:val="004859BD"/>
    <w:rsid w:val="00485B5C"/>
    <w:rsid w:val="0049614B"/>
    <w:rsid w:val="00497D92"/>
    <w:rsid w:val="004D7B6B"/>
    <w:rsid w:val="005025A1"/>
    <w:rsid w:val="00502C4B"/>
    <w:rsid w:val="0053083A"/>
    <w:rsid w:val="005406B2"/>
    <w:rsid w:val="00544034"/>
    <w:rsid w:val="00562DFE"/>
    <w:rsid w:val="0057369D"/>
    <w:rsid w:val="00580786"/>
    <w:rsid w:val="005A4DA9"/>
    <w:rsid w:val="005A5047"/>
    <w:rsid w:val="005A6AE2"/>
    <w:rsid w:val="005B111D"/>
    <w:rsid w:val="005B7533"/>
    <w:rsid w:val="005C277A"/>
    <w:rsid w:val="005C7183"/>
    <w:rsid w:val="005E6FD9"/>
    <w:rsid w:val="005F1E67"/>
    <w:rsid w:val="005F7678"/>
    <w:rsid w:val="00601A93"/>
    <w:rsid w:val="00616B8B"/>
    <w:rsid w:val="0062002A"/>
    <w:rsid w:val="006251FF"/>
    <w:rsid w:val="00642E81"/>
    <w:rsid w:val="006770FF"/>
    <w:rsid w:val="00687E6E"/>
    <w:rsid w:val="006921E1"/>
    <w:rsid w:val="006B33DD"/>
    <w:rsid w:val="006D55A6"/>
    <w:rsid w:val="006D59F1"/>
    <w:rsid w:val="006E3579"/>
    <w:rsid w:val="006E446E"/>
    <w:rsid w:val="006F6680"/>
    <w:rsid w:val="00715201"/>
    <w:rsid w:val="0071566A"/>
    <w:rsid w:val="00736348"/>
    <w:rsid w:val="00750532"/>
    <w:rsid w:val="007511B0"/>
    <w:rsid w:val="00770B9A"/>
    <w:rsid w:val="0077388D"/>
    <w:rsid w:val="007861B6"/>
    <w:rsid w:val="007877D3"/>
    <w:rsid w:val="007A2373"/>
    <w:rsid w:val="007B171F"/>
    <w:rsid w:val="007B4CBD"/>
    <w:rsid w:val="007D3458"/>
    <w:rsid w:val="00804B12"/>
    <w:rsid w:val="008323F0"/>
    <w:rsid w:val="0087374A"/>
    <w:rsid w:val="008767C6"/>
    <w:rsid w:val="008A33F4"/>
    <w:rsid w:val="008B5100"/>
    <w:rsid w:val="008D0820"/>
    <w:rsid w:val="008D7BB2"/>
    <w:rsid w:val="008E664D"/>
    <w:rsid w:val="00920F1A"/>
    <w:rsid w:val="00924B32"/>
    <w:rsid w:val="00925F15"/>
    <w:rsid w:val="00935BEA"/>
    <w:rsid w:val="00964DFA"/>
    <w:rsid w:val="009657AB"/>
    <w:rsid w:val="0098401E"/>
    <w:rsid w:val="0098460E"/>
    <w:rsid w:val="009E680B"/>
    <w:rsid w:val="009F668E"/>
    <w:rsid w:val="009F6B4B"/>
    <w:rsid w:val="009F7239"/>
    <w:rsid w:val="00A15A1F"/>
    <w:rsid w:val="00A3325A"/>
    <w:rsid w:val="00A47CBE"/>
    <w:rsid w:val="00A67073"/>
    <w:rsid w:val="00A756BB"/>
    <w:rsid w:val="00A80FF5"/>
    <w:rsid w:val="00A91BC5"/>
    <w:rsid w:val="00AC5797"/>
    <w:rsid w:val="00AD0092"/>
    <w:rsid w:val="00AF108A"/>
    <w:rsid w:val="00B02E55"/>
    <w:rsid w:val="00B06EF5"/>
    <w:rsid w:val="00B23C4B"/>
    <w:rsid w:val="00B50149"/>
    <w:rsid w:val="00B80748"/>
    <w:rsid w:val="00B8205D"/>
    <w:rsid w:val="00B82B15"/>
    <w:rsid w:val="00B8562D"/>
    <w:rsid w:val="00B87D29"/>
    <w:rsid w:val="00B9594A"/>
    <w:rsid w:val="00BC6FDE"/>
    <w:rsid w:val="00BE5835"/>
    <w:rsid w:val="00BF7FE0"/>
    <w:rsid w:val="00C00117"/>
    <w:rsid w:val="00C074D2"/>
    <w:rsid w:val="00C14A57"/>
    <w:rsid w:val="00C35E67"/>
    <w:rsid w:val="00C36733"/>
    <w:rsid w:val="00C47DDE"/>
    <w:rsid w:val="00C61243"/>
    <w:rsid w:val="00C74164"/>
    <w:rsid w:val="00C84370"/>
    <w:rsid w:val="00C9195E"/>
    <w:rsid w:val="00CA7BC1"/>
    <w:rsid w:val="00CB07A7"/>
    <w:rsid w:val="00CD2021"/>
    <w:rsid w:val="00CD2D9E"/>
    <w:rsid w:val="00CD6A70"/>
    <w:rsid w:val="00CF58B7"/>
    <w:rsid w:val="00D04325"/>
    <w:rsid w:val="00D351C1"/>
    <w:rsid w:val="00D41ADE"/>
    <w:rsid w:val="00D76F2E"/>
    <w:rsid w:val="00D809B5"/>
    <w:rsid w:val="00D84096"/>
    <w:rsid w:val="00D86BF0"/>
    <w:rsid w:val="00D873DF"/>
    <w:rsid w:val="00DA6179"/>
    <w:rsid w:val="00DA6B53"/>
    <w:rsid w:val="00DE29F6"/>
    <w:rsid w:val="00E41D8A"/>
    <w:rsid w:val="00E51920"/>
    <w:rsid w:val="00E64120"/>
    <w:rsid w:val="00E8747C"/>
    <w:rsid w:val="00E9588A"/>
    <w:rsid w:val="00EA650C"/>
    <w:rsid w:val="00EE437C"/>
    <w:rsid w:val="00EF5EFB"/>
    <w:rsid w:val="00F055F1"/>
    <w:rsid w:val="00F6208D"/>
    <w:rsid w:val="00F64CCF"/>
    <w:rsid w:val="00F715DA"/>
    <w:rsid w:val="00F858CA"/>
    <w:rsid w:val="00FA2F61"/>
    <w:rsid w:val="00FC10ED"/>
    <w:rsid w:val="00FC2D11"/>
    <w:rsid w:val="00FC6230"/>
    <w:rsid w:val="00FD5A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2B6AF9"/>
  <w15:chartTrackingRefBased/>
  <w15:docId w15:val="{C1C42281-6137-47CE-AB10-051EA12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22"/>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22"/>
      </w:numPr>
      <w:spacing w:line="360" w:lineRule="auto"/>
    </w:pPr>
    <w:rPr>
      <w:rFonts w:cs="Arial"/>
      <w:lang w:eastAsia="en-US"/>
    </w:rPr>
  </w:style>
  <w:style w:type="paragraph" w:customStyle="1" w:styleId="Numberedheading3">
    <w:name w:val="Numbered heading 3"/>
    <w:basedOn w:val="Heading3"/>
    <w:next w:val="Normal"/>
    <w:rsid w:val="00BC6FDE"/>
    <w:pPr>
      <w:numPr>
        <w:ilvl w:val="2"/>
        <w:numId w:val="22"/>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22"/>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semiHidden/>
    <w:rsid w:val="005C7183"/>
    <w:rPr>
      <w:sz w:val="20"/>
      <w:szCs w:val="20"/>
    </w:rPr>
  </w:style>
  <w:style w:type="paragraph" w:styleId="CommentSubject">
    <w:name w:val="annotation subject"/>
    <w:basedOn w:val="CommentText"/>
    <w:next w:val="CommentText"/>
    <w:semiHidden/>
    <w:rsid w:val="005C7183"/>
    <w:rPr>
      <w:b/>
      <w:bCs/>
    </w:rPr>
  </w:style>
  <w:style w:type="paragraph" w:styleId="FootnoteText">
    <w:name w:val="footnote text"/>
    <w:basedOn w:val="Normal"/>
    <w:link w:val="FootnoteTextChar"/>
    <w:semiHidden/>
    <w:rsid w:val="003E652C"/>
    <w:rPr>
      <w:sz w:val="20"/>
      <w:szCs w:val="20"/>
    </w:rPr>
  </w:style>
  <w:style w:type="character" w:customStyle="1" w:styleId="FootnoteTextChar">
    <w:name w:val="Footnote Text Char"/>
    <w:basedOn w:val="DefaultParagraphFont"/>
    <w:link w:val="FootnoteText"/>
    <w:semiHidden/>
    <w:rsid w:val="003E652C"/>
  </w:style>
  <w:style w:type="character" w:styleId="FootnoteReference">
    <w:name w:val="footnote reference"/>
    <w:semiHidden/>
    <w:rsid w:val="003E652C"/>
    <w:rPr>
      <w:vertAlign w:val="superscript"/>
    </w:rPr>
  </w:style>
  <w:style w:type="character" w:styleId="Hyperlink">
    <w:name w:val="Hyperlink"/>
    <w:semiHidden/>
    <w:rsid w:val="003E652C"/>
    <w:rPr>
      <w:color w:val="0563C1"/>
      <w:u w:val="single"/>
    </w:rPr>
  </w:style>
  <w:style w:type="character" w:styleId="UnresolvedMention">
    <w:name w:val="Unresolved Mention"/>
    <w:uiPriority w:val="99"/>
    <w:semiHidden/>
    <w:unhideWhenUsed/>
    <w:rsid w:val="003E652C"/>
    <w:rPr>
      <w:color w:val="808080"/>
      <w:shd w:val="clear" w:color="auto" w:fill="E6E6E6"/>
    </w:rPr>
  </w:style>
  <w:style w:type="paragraph" w:styleId="ListParagraph">
    <w:name w:val="List Paragraph"/>
    <w:basedOn w:val="Normal"/>
    <w:uiPriority w:val="34"/>
    <w:qFormat/>
    <w:rsid w:val="00E8747C"/>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488">
      <w:bodyDiv w:val="1"/>
      <w:marLeft w:val="0"/>
      <w:marRight w:val="0"/>
      <w:marTop w:val="0"/>
      <w:marBottom w:val="0"/>
      <w:divBdr>
        <w:top w:val="none" w:sz="0" w:space="0" w:color="auto"/>
        <w:left w:val="none" w:sz="0" w:space="0" w:color="auto"/>
        <w:bottom w:val="none" w:sz="0" w:space="0" w:color="auto"/>
        <w:right w:val="none" w:sz="0" w:space="0" w:color="auto"/>
      </w:divBdr>
    </w:div>
    <w:div w:id="907573019">
      <w:bodyDiv w:val="1"/>
      <w:marLeft w:val="0"/>
      <w:marRight w:val="0"/>
      <w:marTop w:val="0"/>
      <w:marBottom w:val="0"/>
      <w:divBdr>
        <w:top w:val="none" w:sz="0" w:space="0" w:color="auto"/>
        <w:left w:val="none" w:sz="0" w:space="0" w:color="auto"/>
        <w:bottom w:val="none" w:sz="0" w:space="0" w:color="auto"/>
        <w:right w:val="none" w:sz="0" w:space="0" w:color="auto"/>
      </w:divBdr>
    </w:div>
    <w:div w:id="1151680627">
      <w:bodyDiv w:val="1"/>
      <w:marLeft w:val="0"/>
      <w:marRight w:val="0"/>
      <w:marTop w:val="0"/>
      <w:marBottom w:val="0"/>
      <w:divBdr>
        <w:top w:val="none" w:sz="0" w:space="0" w:color="auto"/>
        <w:left w:val="none" w:sz="0" w:space="0" w:color="auto"/>
        <w:bottom w:val="none" w:sz="0" w:space="0" w:color="auto"/>
        <w:right w:val="none" w:sz="0" w:space="0" w:color="auto"/>
      </w:divBdr>
    </w:div>
    <w:div w:id="1167942665">
      <w:bodyDiv w:val="1"/>
      <w:marLeft w:val="0"/>
      <w:marRight w:val="0"/>
      <w:marTop w:val="0"/>
      <w:marBottom w:val="0"/>
      <w:divBdr>
        <w:top w:val="none" w:sz="0" w:space="0" w:color="auto"/>
        <w:left w:val="none" w:sz="0" w:space="0" w:color="auto"/>
        <w:bottom w:val="none" w:sz="0" w:space="0" w:color="auto"/>
        <w:right w:val="none" w:sz="0" w:space="0" w:color="auto"/>
      </w:divBdr>
    </w:div>
    <w:div w:id="1187450016">
      <w:bodyDiv w:val="1"/>
      <w:marLeft w:val="0"/>
      <w:marRight w:val="0"/>
      <w:marTop w:val="0"/>
      <w:marBottom w:val="0"/>
      <w:divBdr>
        <w:top w:val="none" w:sz="0" w:space="0" w:color="auto"/>
        <w:left w:val="none" w:sz="0" w:space="0" w:color="auto"/>
        <w:bottom w:val="none" w:sz="0" w:space="0" w:color="auto"/>
        <w:right w:val="none" w:sz="0" w:space="0" w:color="auto"/>
      </w:divBdr>
    </w:div>
    <w:div w:id="1288318010">
      <w:bodyDiv w:val="1"/>
      <w:marLeft w:val="0"/>
      <w:marRight w:val="0"/>
      <w:marTop w:val="0"/>
      <w:marBottom w:val="0"/>
      <w:divBdr>
        <w:top w:val="none" w:sz="0" w:space="0" w:color="auto"/>
        <w:left w:val="none" w:sz="0" w:space="0" w:color="auto"/>
        <w:bottom w:val="none" w:sz="0" w:space="0" w:color="auto"/>
        <w:right w:val="none" w:sz="0" w:space="0" w:color="auto"/>
      </w:divBdr>
    </w:div>
    <w:div w:id="1403601608">
      <w:bodyDiv w:val="1"/>
      <w:marLeft w:val="0"/>
      <w:marRight w:val="0"/>
      <w:marTop w:val="0"/>
      <w:marBottom w:val="0"/>
      <w:divBdr>
        <w:top w:val="none" w:sz="0" w:space="0" w:color="auto"/>
        <w:left w:val="none" w:sz="0" w:space="0" w:color="auto"/>
        <w:bottom w:val="none" w:sz="0" w:space="0" w:color="auto"/>
        <w:right w:val="none" w:sz="0" w:space="0" w:color="auto"/>
      </w:divBdr>
    </w:div>
    <w:div w:id="1718386672">
      <w:bodyDiv w:val="1"/>
      <w:marLeft w:val="0"/>
      <w:marRight w:val="0"/>
      <w:marTop w:val="0"/>
      <w:marBottom w:val="0"/>
      <w:divBdr>
        <w:top w:val="none" w:sz="0" w:space="0" w:color="auto"/>
        <w:left w:val="none" w:sz="0" w:space="0" w:color="auto"/>
        <w:bottom w:val="none" w:sz="0" w:space="0" w:color="auto"/>
        <w:right w:val="none" w:sz="0" w:space="0" w:color="auto"/>
      </w:divBdr>
    </w:div>
    <w:div w:id="1782718851">
      <w:bodyDiv w:val="1"/>
      <w:marLeft w:val="0"/>
      <w:marRight w:val="0"/>
      <w:marTop w:val="0"/>
      <w:marBottom w:val="0"/>
      <w:divBdr>
        <w:top w:val="none" w:sz="0" w:space="0" w:color="auto"/>
        <w:left w:val="none" w:sz="0" w:space="0" w:color="auto"/>
        <w:bottom w:val="none" w:sz="0" w:space="0" w:color="auto"/>
        <w:right w:val="none" w:sz="0" w:space="0" w:color="auto"/>
      </w:divBdr>
    </w:div>
    <w:div w:id="18059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8871-E234-4F91-B495-01E18C8C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4963</CharactersWithSpaces>
  <SharedDoc>false</SharedDoc>
  <HLinks>
    <vt:vector size="18" baseType="variant">
      <vt:variant>
        <vt:i4>3670122</vt:i4>
      </vt:variant>
      <vt:variant>
        <vt:i4>6</vt:i4>
      </vt:variant>
      <vt:variant>
        <vt:i4>0</vt:i4>
      </vt:variant>
      <vt:variant>
        <vt:i4>5</vt:i4>
      </vt:variant>
      <vt:variant>
        <vt:lpwstr>https://www.nice.org.uk/guidance/gid-ta10091/documents/committee-papers</vt:lpwstr>
      </vt:variant>
      <vt:variant>
        <vt:lpwstr/>
      </vt:variant>
      <vt:variant>
        <vt:i4>3211315</vt:i4>
      </vt:variant>
      <vt:variant>
        <vt:i4>3</vt:i4>
      </vt:variant>
      <vt:variant>
        <vt:i4>0</vt:i4>
      </vt:variant>
      <vt:variant>
        <vt:i4>5</vt:i4>
      </vt:variant>
      <vt:variant>
        <vt:lpwstr>https://www.nice.org.uk/guidance/published?type=hst</vt:lpwstr>
      </vt:variant>
      <vt:variant>
        <vt:lpwstr/>
      </vt:variant>
      <vt:variant>
        <vt:i4>3342455</vt:i4>
      </vt:variant>
      <vt:variant>
        <vt:i4>0</vt:i4>
      </vt:variant>
      <vt:variant>
        <vt:i4>0</vt:i4>
      </vt:variant>
      <vt:variant>
        <vt:i4>5</vt:i4>
      </vt:variant>
      <vt:variant>
        <vt:lpwstr>https://www.nice.org.uk/Media/Default/About/what-we-do/NICE-guidance/NICE-highly-specialised-technologies-guidance/HST-interim-methods-process-guide-may-17.pdf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Alana Christopher</dc:creator>
  <cp:keywords> </cp:keywords>
  <cp:lastModifiedBy>Lucinda Evans</cp:lastModifiedBy>
  <cp:revision>3</cp:revision>
  <cp:lastPrinted>2017-09-01T09:39:00Z</cp:lastPrinted>
  <dcterms:created xsi:type="dcterms:W3CDTF">2021-04-23T07:54:00Z</dcterms:created>
  <dcterms:modified xsi:type="dcterms:W3CDTF">2021-04-23T07:58:00Z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oFAAXzy6TWd89pgBxbFUn33F81aITr3W5r63kFu/e76SRaPjkdKAJQYsZ6GaRDJBLNkuJHio9hcfbY9Y_x000d_
LZomCU56sMK7/8xF3u7vWWZq0EOuliOXypBZUwv6Ye1e2spKmj9bhII2DQ3XudSL0sF2wQNA95N3_x000d_
36xu5LZixmAESkjKL0mQB3MYAuWB9XOrYBmysOKfPcVXjSzd4NN/cuncM0jgqgY/KRbsjTHaSus0_x000d_
BLUHQuBAmc9+LZGPz</vt:lpwstr>
  </property>
  <property fmtid="{D5CDD505-2E9C-101B-9397-08002B2CF9AE}" pid="3" name="MAIL_MSG_ID2">
    <vt:lpwstr>licg0+sezOAeTe8Gfjre7H65e5PT+savf+LnMVis4GI97deGj04UUo9kxMV_x000d_
JlauRdB6knlzJ6li8jayH+nsA94UuxjD5EbBuEZ9AhwMpSkW</vt:lpwstr>
  </property>
  <property fmtid="{D5CDD505-2E9C-101B-9397-08002B2CF9AE}" pid="4" name="RESPONSE_SENDER_NAME">
    <vt:lpwstr>sAAA2RgG6J6jCJ058AkwouaNUya/apUKJOyu8lgks5vgJlw=</vt:lpwstr>
  </property>
  <property fmtid="{D5CDD505-2E9C-101B-9397-08002B2CF9AE}" pid="5" name="EMAIL_OWNER_ADDRESS">
    <vt:lpwstr>4AAA6DouqOs9baEYpny66bLFNp/bYVz6OmpIouGeNbialXkz+dP+N/V3GA==</vt:lpwstr>
  </property>
</Properties>
</file>