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14645" w14:textId="170AEB37" w:rsidR="007C0024" w:rsidRDefault="00132738">
      <w:pPr>
        <w:rPr>
          <w:rFonts w:ascii="Arial" w:hAnsi="Arial"/>
        </w:rPr>
      </w:pPr>
    </w:p>
    <w:p w14:paraId="7811A81E" w14:textId="3368B4E2" w:rsidR="007C0024" w:rsidRPr="00051ED4" w:rsidRDefault="00132738">
      <w:pPr>
        <w:rPr>
          <w:rFonts w:ascii="Arial" w:hAnsi="Arial"/>
          <w:sz w:val="28"/>
          <w:szCs w:val="28"/>
        </w:rPr>
      </w:pPr>
    </w:p>
    <w:p w14:paraId="1F75453F" w14:textId="77777777" w:rsidR="00051ED4" w:rsidRPr="00051ED4" w:rsidRDefault="00051ED4" w:rsidP="00051ED4">
      <w:pPr>
        <w:jc w:val="center"/>
        <w:rPr>
          <w:rFonts w:asciiTheme="minorHAnsi" w:hAnsiTheme="minorHAnsi" w:cstheme="minorHAnsi"/>
          <w:b/>
          <w:sz w:val="28"/>
          <w:szCs w:val="28"/>
        </w:rPr>
      </w:pPr>
      <w:r w:rsidRPr="00051ED4">
        <w:rPr>
          <w:rFonts w:asciiTheme="minorHAnsi" w:hAnsiTheme="minorHAnsi" w:cstheme="minorHAnsi"/>
          <w:b/>
          <w:sz w:val="28"/>
          <w:szCs w:val="28"/>
        </w:rPr>
        <w:t>Mogamulizumab NICE Appeal</w:t>
      </w:r>
    </w:p>
    <w:p w14:paraId="0CB029D1" w14:textId="77777777" w:rsidR="00051ED4" w:rsidRPr="00051ED4" w:rsidRDefault="00051ED4" w:rsidP="00051ED4">
      <w:pPr>
        <w:jc w:val="center"/>
        <w:rPr>
          <w:rFonts w:asciiTheme="minorHAnsi" w:hAnsiTheme="minorHAnsi" w:cstheme="minorHAnsi"/>
          <w:b/>
        </w:rPr>
      </w:pPr>
    </w:p>
    <w:p w14:paraId="70EE3B5B" w14:textId="77777777" w:rsidR="00051ED4" w:rsidRDefault="00051ED4" w:rsidP="00051ED4">
      <w:pPr>
        <w:rPr>
          <w:rFonts w:asciiTheme="minorHAnsi" w:hAnsiTheme="minorHAnsi" w:cstheme="minorHAnsi"/>
        </w:rPr>
      </w:pPr>
      <w:r w:rsidRPr="00051ED4">
        <w:rPr>
          <w:rFonts w:asciiTheme="minorHAnsi" w:hAnsiTheme="minorHAnsi" w:cstheme="minorHAnsi"/>
        </w:rPr>
        <w:t>On behalf of the professional bodies representing UK clinical experts in the field of Cutaneous T Cell Lymphoma and Sezary Syndrome, we wish to appeal the recent NICE decision concerning mogamulizumab.</w:t>
      </w:r>
    </w:p>
    <w:p w14:paraId="0442AB3E" w14:textId="77777777" w:rsidR="00051ED4" w:rsidRPr="00051ED4" w:rsidRDefault="00051ED4" w:rsidP="00051ED4">
      <w:pPr>
        <w:rPr>
          <w:rFonts w:asciiTheme="minorHAnsi" w:hAnsiTheme="minorHAnsi" w:cstheme="minorHAnsi"/>
        </w:rPr>
      </w:pPr>
    </w:p>
    <w:p w14:paraId="7E67F81C" w14:textId="77777777" w:rsidR="00051ED4" w:rsidRDefault="00051ED4" w:rsidP="00051ED4">
      <w:pPr>
        <w:rPr>
          <w:rFonts w:asciiTheme="minorHAnsi" w:hAnsiTheme="minorHAnsi" w:cstheme="minorHAnsi"/>
        </w:rPr>
      </w:pPr>
      <w:r w:rsidRPr="00051ED4">
        <w:rPr>
          <w:rFonts w:asciiTheme="minorHAnsi" w:hAnsiTheme="minorHAnsi" w:cstheme="minorHAnsi"/>
        </w:rPr>
        <w:t xml:space="preserve">The clinical community is unanimous in our feeling that the final appraisal document (FAD) issued by NICE demonstrates fundamental misunderstanding of the current picture regarding the efficacy of mogamulizumab in relation to Mycosis Fungoides and Sezary Syndrome and our appeal will address these issues </w:t>
      </w:r>
    </w:p>
    <w:p w14:paraId="38CBFA00" w14:textId="77777777" w:rsidR="00051ED4" w:rsidRPr="00051ED4" w:rsidRDefault="00051ED4" w:rsidP="00051ED4">
      <w:pPr>
        <w:rPr>
          <w:rFonts w:asciiTheme="minorHAnsi" w:hAnsiTheme="minorHAnsi" w:cstheme="minorHAnsi"/>
        </w:rPr>
      </w:pPr>
    </w:p>
    <w:p w14:paraId="75A6334B" w14:textId="77777777" w:rsidR="00051ED4" w:rsidRPr="00051ED4" w:rsidRDefault="00051ED4" w:rsidP="00051ED4">
      <w:pPr>
        <w:numPr>
          <w:ilvl w:val="0"/>
          <w:numId w:val="1"/>
        </w:numPr>
        <w:spacing w:after="200" w:line="276" w:lineRule="auto"/>
        <w:rPr>
          <w:rFonts w:asciiTheme="minorHAnsi" w:hAnsiTheme="minorHAnsi" w:cstheme="minorHAnsi"/>
        </w:rPr>
      </w:pPr>
      <w:r w:rsidRPr="00051ED4">
        <w:rPr>
          <w:rFonts w:asciiTheme="minorHAnsi" w:hAnsiTheme="minorHAnsi" w:cstheme="minorHAnsi"/>
        </w:rPr>
        <w:t xml:space="preserve">The FAD quotes “limitation in trial design” with particular reference to the fact that </w:t>
      </w:r>
      <w:proofErr w:type="spellStart"/>
      <w:r w:rsidRPr="00051ED4">
        <w:rPr>
          <w:rFonts w:asciiTheme="minorHAnsi" w:hAnsiTheme="minorHAnsi" w:cstheme="minorHAnsi"/>
        </w:rPr>
        <w:t>Vorinostat</w:t>
      </w:r>
      <w:proofErr w:type="spellEnd"/>
      <w:r w:rsidRPr="00051ED4">
        <w:rPr>
          <w:rFonts w:asciiTheme="minorHAnsi" w:hAnsiTheme="minorHAnsi" w:cstheme="minorHAnsi"/>
        </w:rPr>
        <w:t xml:space="preserve"> is not standard treatment in the UK. We </w:t>
      </w:r>
      <w:proofErr w:type="spellStart"/>
      <w:r w:rsidRPr="00051ED4">
        <w:rPr>
          <w:rFonts w:asciiTheme="minorHAnsi" w:hAnsiTheme="minorHAnsi" w:cstheme="minorHAnsi"/>
        </w:rPr>
        <w:t>recognise</w:t>
      </w:r>
      <w:proofErr w:type="spellEnd"/>
      <w:r w:rsidRPr="00051ED4">
        <w:rPr>
          <w:rFonts w:asciiTheme="minorHAnsi" w:hAnsiTheme="minorHAnsi" w:cstheme="minorHAnsi"/>
        </w:rPr>
        <w:t xml:space="preserve"> that </w:t>
      </w:r>
      <w:proofErr w:type="spellStart"/>
      <w:r w:rsidRPr="00051ED4">
        <w:rPr>
          <w:rFonts w:asciiTheme="minorHAnsi" w:hAnsiTheme="minorHAnsi" w:cstheme="minorHAnsi"/>
        </w:rPr>
        <w:t>Vorinostat</w:t>
      </w:r>
      <w:proofErr w:type="spellEnd"/>
      <w:r w:rsidRPr="00051ED4">
        <w:rPr>
          <w:rFonts w:asciiTheme="minorHAnsi" w:hAnsiTheme="minorHAnsi" w:cstheme="minorHAnsi"/>
        </w:rPr>
        <w:t xml:space="preserve"> does not have a </w:t>
      </w:r>
      <w:proofErr w:type="spellStart"/>
      <w:r w:rsidRPr="00051ED4">
        <w:rPr>
          <w:rFonts w:asciiTheme="minorHAnsi" w:hAnsiTheme="minorHAnsi" w:cstheme="minorHAnsi"/>
        </w:rPr>
        <w:t>licence</w:t>
      </w:r>
      <w:proofErr w:type="spellEnd"/>
      <w:r w:rsidRPr="00051ED4">
        <w:rPr>
          <w:rFonts w:asciiTheme="minorHAnsi" w:hAnsiTheme="minorHAnsi" w:cstheme="minorHAnsi"/>
        </w:rPr>
        <w:t xml:space="preserve"> in the UK. We do however strongly feel that </w:t>
      </w:r>
      <w:proofErr w:type="spellStart"/>
      <w:r w:rsidRPr="00051ED4">
        <w:rPr>
          <w:rFonts w:asciiTheme="minorHAnsi" w:hAnsiTheme="minorHAnsi" w:cstheme="minorHAnsi"/>
        </w:rPr>
        <w:t>Vorinostat</w:t>
      </w:r>
      <w:proofErr w:type="spellEnd"/>
      <w:r w:rsidRPr="00051ED4">
        <w:rPr>
          <w:rFonts w:asciiTheme="minorHAnsi" w:hAnsiTheme="minorHAnsi" w:cstheme="minorHAnsi"/>
        </w:rPr>
        <w:t xml:space="preserve"> is an entirely meaningful comparator in the MAVORIC trial. Standard of care quoted in the FAD refers to Bexarotene, interferon and methotrexate. However, the data assessing the efficacy of these agents is relatively small. The strongest available data relates to the phase II studies published for Bexarotene which demonstrates an ORR of 31 % (</w:t>
      </w:r>
      <w:proofErr w:type="spellStart"/>
      <w:r w:rsidRPr="00051ED4">
        <w:rPr>
          <w:rFonts w:asciiTheme="minorHAnsi" w:hAnsiTheme="minorHAnsi" w:cstheme="minorHAnsi"/>
        </w:rPr>
        <w:t>Duvic</w:t>
      </w:r>
      <w:proofErr w:type="spellEnd"/>
      <w:r w:rsidRPr="00051ED4">
        <w:rPr>
          <w:rFonts w:asciiTheme="minorHAnsi" w:hAnsiTheme="minorHAnsi" w:cstheme="minorHAnsi"/>
        </w:rPr>
        <w:t xml:space="preserve"> et al 2001). This compares with similar more recent studies published on </w:t>
      </w:r>
      <w:proofErr w:type="spellStart"/>
      <w:r w:rsidRPr="00051ED4">
        <w:rPr>
          <w:rFonts w:asciiTheme="minorHAnsi" w:hAnsiTheme="minorHAnsi" w:cstheme="minorHAnsi"/>
        </w:rPr>
        <w:t>Vorinostat</w:t>
      </w:r>
      <w:proofErr w:type="spellEnd"/>
      <w:r w:rsidRPr="00051ED4">
        <w:rPr>
          <w:rFonts w:asciiTheme="minorHAnsi" w:hAnsiTheme="minorHAnsi" w:cstheme="minorHAnsi"/>
        </w:rPr>
        <w:t xml:space="preserve"> with similar patient populations demonstrating an ORR of 24%. (</w:t>
      </w:r>
      <w:proofErr w:type="spellStart"/>
      <w:r w:rsidRPr="00051ED4">
        <w:rPr>
          <w:rFonts w:asciiTheme="minorHAnsi" w:hAnsiTheme="minorHAnsi" w:cstheme="minorHAnsi"/>
        </w:rPr>
        <w:t>Duvic</w:t>
      </w:r>
      <w:proofErr w:type="spellEnd"/>
      <w:r w:rsidRPr="00051ED4">
        <w:rPr>
          <w:rFonts w:asciiTheme="minorHAnsi" w:hAnsiTheme="minorHAnsi" w:cstheme="minorHAnsi"/>
        </w:rPr>
        <w:t xml:space="preserve"> et al 2007)</w:t>
      </w:r>
      <w:r w:rsidRPr="00051ED4">
        <w:rPr>
          <w:rFonts w:asciiTheme="minorHAnsi" w:hAnsiTheme="minorHAnsi" w:cstheme="minorHAnsi"/>
          <w:color w:val="FF0000"/>
        </w:rPr>
        <w:t xml:space="preserve"> </w:t>
      </w:r>
      <w:r w:rsidRPr="00051ED4">
        <w:rPr>
          <w:rFonts w:asciiTheme="minorHAnsi" w:hAnsiTheme="minorHAnsi" w:cstheme="minorHAnsi"/>
        </w:rPr>
        <w:t xml:space="preserve">It is also quite clear that although </w:t>
      </w:r>
      <w:proofErr w:type="spellStart"/>
      <w:r w:rsidRPr="00051ED4">
        <w:rPr>
          <w:rFonts w:asciiTheme="minorHAnsi" w:hAnsiTheme="minorHAnsi" w:cstheme="minorHAnsi"/>
        </w:rPr>
        <w:t>Vorinostat</w:t>
      </w:r>
      <w:proofErr w:type="spellEnd"/>
      <w:r w:rsidRPr="00051ED4">
        <w:rPr>
          <w:rFonts w:asciiTheme="minorHAnsi" w:hAnsiTheme="minorHAnsi" w:cstheme="minorHAnsi"/>
        </w:rPr>
        <w:t xml:space="preserve"> does not have a </w:t>
      </w:r>
      <w:proofErr w:type="spellStart"/>
      <w:r w:rsidRPr="00051ED4">
        <w:rPr>
          <w:rFonts w:asciiTheme="minorHAnsi" w:hAnsiTheme="minorHAnsi" w:cstheme="minorHAnsi"/>
        </w:rPr>
        <w:t>licence</w:t>
      </w:r>
      <w:proofErr w:type="spellEnd"/>
      <w:r w:rsidRPr="00051ED4">
        <w:rPr>
          <w:rFonts w:asciiTheme="minorHAnsi" w:hAnsiTheme="minorHAnsi" w:cstheme="minorHAnsi"/>
        </w:rPr>
        <w:t xml:space="preserve"> in the UK, the trial data demonstrating its efficacy is more recent and robust in terms of endpoints than historical data for other examples of standard of care such as interferon or methotrexate in this group of patients.</w:t>
      </w:r>
    </w:p>
    <w:p w14:paraId="040ABE75" w14:textId="5C5280DA" w:rsidR="00051ED4" w:rsidRPr="00051ED4" w:rsidRDefault="00051ED4" w:rsidP="00051ED4">
      <w:pPr>
        <w:numPr>
          <w:ilvl w:val="0"/>
          <w:numId w:val="1"/>
        </w:numPr>
        <w:spacing w:after="200" w:line="276" w:lineRule="auto"/>
        <w:rPr>
          <w:rFonts w:asciiTheme="minorHAnsi" w:hAnsiTheme="minorHAnsi" w:cstheme="minorHAnsi"/>
        </w:rPr>
      </w:pPr>
      <w:r w:rsidRPr="00051ED4">
        <w:rPr>
          <w:rFonts w:asciiTheme="minorHAnsi" w:hAnsiTheme="minorHAnsi" w:cstheme="minorHAnsi"/>
        </w:rPr>
        <w:t>We also consider that the decision is inconsistent with previous NICE decisions. Specifically there are examples where drugs have been approved by NICE on the basis of clinical trials where the control arm was not “standard of care” (</w:t>
      </w:r>
      <w:hyperlink r:id="rId8" w:history="1">
        <w:r w:rsidRPr="00051ED4">
          <w:rPr>
            <w:rStyle w:val="Hyperlink"/>
            <w:rFonts w:asciiTheme="minorHAnsi" w:hAnsiTheme="minorHAnsi" w:cstheme="minorHAnsi"/>
          </w:rPr>
          <w:t>https://www.nice.org.uk/guidance/ta171/documents/multiple-myeloma-lenalidomide-final-appraisal-determination3</w:t>
        </w:r>
      </w:hyperlink>
      <w:r w:rsidRPr="00051ED4">
        <w:rPr>
          <w:rFonts w:asciiTheme="minorHAnsi" w:hAnsiTheme="minorHAnsi" w:cstheme="minorHAnsi"/>
        </w:rPr>
        <w:t>). It is therefore incorrect for the results of the MAVORIC trial to be disregarded on the basis of an unlicensed control arm when this approach has not been consistently applied for other NICE oncology assessments</w:t>
      </w:r>
      <w:r>
        <w:rPr>
          <w:rFonts w:asciiTheme="minorHAnsi" w:hAnsiTheme="minorHAnsi" w:cstheme="minorHAnsi"/>
        </w:rPr>
        <w:t>.</w:t>
      </w:r>
    </w:p>
    <w:p w14:paraId="2B394BDF" w14:textId="487237A8" w:rsidR="00051ED4" w:rsidRPr="00051ED4" w:rsidRDefault="00051ED4" w:rsidP="00051ED4">
      <w:pPr>
        <w:numPr>
          <w:ilvl w:val="0"/>
          <w:numId w:val="1"/>
        </w:numPr>
        <w:spacing w:after="200" w:line="276" w:lineRule="auto"/>
        <w:rPr>
          <w:rFonts w:asciiTheme="minorHAnsi" w:hAnsiTheme="minorHAnsi" w:cstheme="minorHAnsi"/>
        </w:rPr>
      </w:pPr>
      <w:r w:rsidRPr="00051ED4">
        <w:rPr>
          <w:rFonts w:asciiTheme="minorHAnsi" w:hAnsiTheme="minorHAnsi" w:cstheme="minorHAnsi"/>
        </w:rPr>
        <w:t>In the FAD, the panel</w:t>
      </w:r>
      <w:r>
        <w:rPr>
          <w:rFonts w:asciiTheme="minorHAnsi" w:hAnsiTheme="minorHAnsi" w:cstheme="minorHAnsi"/>
        </w:rPr>
        <w:t xml:space="preserve"> </w:t>
      </w:r>
      <w:r w:rsidRPr="00051ED4">
        <w:rPr>
          <w:rFonts w:asciiTheme="minorHAnsi" w:hAnsiTheme="minorHAnsi" w:cstheme="minorHAnsi"/>
        </w:rPr>
        <w:t>state that mogamulizumab does not meet the NICE criteria for being considered a life extending treatment at the end of life. We presume that the panel have made this statement because the MAVORIC trial was not designed to demonstrate an overall survival difference between the two treatments. The trial also included a cross-over which further impairs the ability of the trial to show a difference in survival. Firstly, we have grave concerns that NICE appear to be discriminating against cross-over designs. All clinical trials should be designed in the best interest of the participating patient. In the MAVORIC trial, patients were given the opportunity to receive the potential benefit of the trial drug irrespective of the arm they were randomised to.  This is clearly in the best interest of the patient and it has a positive impact on the ability to accrue patients to the trial in the intended time interval. These are positive attributes for any clinical trial and should be encouraged and certainly not disincentivised.</w:t>
      </w:r>
    </w:p>
    <w:p w14:paraId="50207AC9" w14:textId="77777777" w:rsidR="00051ED4" w:rsidRDefault="00051ED4" w:rsidP="00051ED4">
      <w:pPr>
        <w:ind w:left="720"/>
        <w:rPr>
          <w:rFonts w:asciiTheme="minorHAnsi" w:hAnsiTheme="minorHAnsi" w:cstheme="minorHAnsi"/>
        </w:rPr>
      </w:pPr>
      <w:r w:rsidRPr="00051ED4">
        <w:rPr>
          <w:rFonts w:asciiTheme="minorHAnsi" w:hAnsiTheme="minorHAnsi" w:cstheme="minorHAnsi"/>
        </w:rPr>
        <w:lastRenderedPageBreak/>
        <w:t>In terms of consistency of NICE decisions, approvals have been made by NICE from trials in which the arms cross over (see below) and so again, approval should not be withheld on the basis of a cross over trial.</w:t>
      </w:r>
    </w:p>
    <w:p w14:paraId="60CE1041" w14:textId="77777777" w:rsidR="00051ED4" w:rsidRPr="00051ED4" w:rsidRDefault="00051ED4" w:rsidP="00051ED4">
      <w:pPr>
        <w:ind w:left="720"/>
        <w:rPr>
          <w:rFonts w:asciiTheme="minorHAnsi" w:hAnsiTheme="minorHAnsi" w:cstheme="minorHAnsi"/>
        </w:rPr>
      </w:pPr>
    </w:p>
    <w:p w14:paraId="09134385" w14:textId="77777777" w:rsidR="00051ED4" w:rsidRPr="00051ED4" w:rsidRDefault="00051ED4" w:rsidP="00051ED4">
      <w:pPr>
        <w:numPr>
          <w:ilvl w:val="0"/>
          <w:numId w:val="1"/>
        </w:numPr>
        <w:spacing w:after="200" w:line="276" w:lineRule="auto"/>
        <w:rPr>
          <w:rFonts w:asciiTheme="minorHAnsi" w:hAnsiTheme="minorHAnsi" w:cstheme="minorHAnsi"/>
        </w:rPr>
      </w:pPr>
      <w:r w:rsidRPr="00051ED4">
        <w:rPr>
          <w:rFonts w:asciiTheme="minorHAnsi" w:hAnsiTheme="minorHAnsi" w:cstheme="minorHAnsi"/>
        </w:rPr>
        <w:t>Prolongation of life is clearly an important aspect in the NICE approval process and the FAD indicates that there was no evidence to suggest that mogamulizumab could prolong life in this group of patients. We strongly disagree with this interpretation. We fully recognise that estimations on impact on survival in this setting are complex. However, we should not let the complexity distract us from identifying a prolongation of life, if in fact it exists. We have studied the data from MAVORIC in detail and have also studied the “Real World” data made available to the panel from the HES database. The HES data demonstrates that in this patient population the median survival is 17.83 months after at least one line of systemic therapy.  If we compare this with the outcome for the cohort of patients in MAVORIC who were randomised to receive mogamulizumab, there is a stark difference. When the paper was published (Kim 2018) the analysis was performed after a data lock in December 2016. This constituted a median follow up of 17 months. The data has now been re-analysed with a second data lock in March 2019. This second analysis has occurred 27 months after the initial analysis. On this occasion, the median survival for the patients randomised to receive mogamulizumab is 57.2 months.  Clearly this is not a randomised comparison but a difference of this magnitude gives a clear indication of what as clinicians, we are observing directly in our patients who we have treated with mogamulizumab. Specifically, mogamulizumab dramatically changes the course of disease in patients for whom, hitherto, we have had no effective treatment.</w:t>
      </w:r>
    </w:p>
    <w:p w14:paraId="4311F845" w14:textId="642612F8" w:rsidR="00051ED4" w:rsidRPr="00051ED4" w:rsidRDefault="00051ED4" w:rsidP="00051ED4">
      <w:pPr>
        <w:numPr>
          <w:ilvl w:val="0"/>
          <w:numId w:val="1"/>
        </w:numPr>
        <w:spacing w:after="200" w:line="276" w:lineRule="auto"/>
        <w:rPr>
          <w:rFonts w:asciiTheme="minorHAnsi" w:hAnsiTheme="minorHAnsi" w:cstheme="minorHAnsi"/>
        </w:rPr>
      </w:pPr>
      <w:r w:rsidRPr="00051ED4">
        <w:rPr>
          <w:rFonts w:asciiTheme="minorHAnsi" w:hAnsiTheme="minorHAnsi" w:cstheme="minorHAnsi"/>
        </w:rPr>
        <w:t xml:space="preserve">The most striking aspect for the efficacy of mogamulizumab relates to its mode of action. Throughout the field of oncology, we have recognised that the most aggressive tumours with the worst prognosis respond the least well to any given therapy. Until the appearance of mogamulizumab, this was the case for Sezary syndrome. This is a disease with a documented median survival of 32 months from diagnosis and for which, over the last 30 years, we have had no effective therapy in terms of survival or even disease control. Mogamulizumab targets the circulating malignant lymphocytes resulting in a rapid fall in the number of circulating cells as demonstrated in the MAVORIC study. A recent further analysis of the data from this study has revealed that the highest response rate was seen in patients with the highest number of circulating malignant T-cells (B2 disease). This data is about to be submitted for publication. Until the arrival of mogamulizumab, patients with B2 disease had the shortest survival and the poorest response to current therapies. Every clinician managing patients with Sezary Syndrome </w:t>
      </w:r>
      <w:proofErr w:type="spellStart"/>
      <w:r w:rsidRPr="00051ED4">
        <w:rPr>
          <w:rFonts w:asciiTheme="minorHAnsi" w:hAnsiTheme="minorHAnsi" w:cstheme="minorHAnsi"/>
        </w:rPr>
        <w:t>recognises</w:t>
      </w:r>
      <w:proofErr w:type="spellEnd"/>
      <w:r w:rsidRPr="00051ED4">
        <w:rPr>
          <w:rFonts w:asciiTheme="minorHAnsi" w:hAnsiTheme="minorHAnsi" w:cstheme="minorHAnsi"/>
        </w:rPr>
        <w:t xml:space="preserve"> that mogamulizumab is dramatic in its efficacy and is transforming the course of the disease in those patients fortunate enough to receive it.</w:t>
      </w:r>
    </w:p>
    <w:p w14:paraId="236E3653" w14:textId="23B2A3E4" w:rsidR="00051ED4" w:rsidRPr="00051ED4" w:rsidRDefault="00051ED4" w:rsidP="00051ED4">
      <w:pPr>
        <w:rPr>
          <w:rFonts w:asciiTheme="minorHAnsi" w:hAnsiTheme="minorHAnsi" w:cstheme="minorHAnsi"/>
        </w:rPr>
      </w:pPr>
      <w:r w:rsidRPr="00051ED4">
        <w:rPr>
          <w:rFonts w:asciiTheme="minorHAnsi" w:hAnsiTheme="minorHAnsi" w:cstheme="minorHAnsi"/>
        </w:rPr>
        <w:t>MAVORIC is the largest randomised clinical trial ever performed in CTCL. It was designed with the interest of the participating patients at its centre. It was carefully conducted by centres all over the world and its medical importance was illustrated by its publication in the Lancet. Mogamulizumab has compelling clinical trial evidence to support its efficacy. The clear mode of action demonstrates why it is effective in Sezary Syndrome and the Real World clinical experience confirms these findings.</w:t>
      </w:r>
    </w:p>
    <w:p w14:paraId="5626DE06" w14:textId="7DE184AD" w:rsidR="00051ED4" w:rsidRPr="00051ED4" w:rsidRDefault="00051ED4" w:rsidP="00051ED4">
      <w:pPr>
        <w:rPr>
          <w:rFonts w:asciiTheme="minorHAnsi" w:hAnsiTheme="minorHAnsi" w:cstheme="minorHAnsi"/>
        </w:rPr>
      </w:pPr>
      <w:r w:rsidRPr="00051ED4">
        <w:rPr>
          <w:rFonts w:asciiTheme="minorHAnsi" w:hAnsiTheme="minorHAnsi" w:cstheme="minorHAnsi"/>
        </w:rPr>
        <w:lastRenderedPageBreak/>
        <w:t>We have been looking after CTCL patients for over 30 years and during that time we have not encountered a drug with</w:t>
      </w:r>
      <w:r>
        <w:rPr>
          <w:rFonts w:asciiTheme="minorHAnsi" w:hAnsiTheme="minorHAnsi" w:cstheme="minorHAnsi"/>
        </w:rPr>
        <w:t xml:space="preserve"> this impact on Sezary Syndrome. </w:t>
      </w:r>
    </w:p>
    <w:p w14:paraId="2C207E26" w14:textId="77777777" w:rsidR="00051ED4" w:rsidRPr="00051ED4" w:rsidRDefault="00051ED4" w:rsidP="00051ED4">
      <w:pPr>
        <w:rPr>
          <w:rFonts w:asciiTheme="minorHAnsi" w:hAnsiTheme="minorHAnsi" w:cstheme="minorHAnsi"/>
        </w:rPr>
      </w:pPr>
    </w:p>
    <w:p w14:paraId="51E28898" w14:textId="3AFD8081" w:rsidR="00051ED4" w:rsidRPr="00051ED4" w:rsidRDefault="00051ED4" w:rsidP="00051ED4">
      <w:pPr>
        <w:rPr>
          <w:rFonts w:asciiTheme="minorHAnsi" w:hAnsiTheme="minorHAnsi" w:cstheme="minorHAnsi"/>
          <w:u w:val="single"/>
        </w:rPr>
      </w:pPr>
      <w:r w:rsidRPr="00051ED4">
        <w:rPr>
          <w:rFonts w:asciiTheme="minorHAnsi" w:hAnsiTheme="minorHAnsi" w:cstheme="minorHAnsi"/>
        </w:rPr>
        <w:t xml:space="preserve">                                       </w:t>
      </w:r>
      <w:r>
        <w:rPr>
          <w:rFonts w:asciiTheme="minorHAnsi" w:hAnsiTheme="minorHAnsi" w:cstheme="minorHAnsi"/>
        </w:rPr>
        <w:tab/>
      </w:r>
      <w:r w:rsidRPr="00051ED4">
        <w:rPr>
          <w:rFonts w:asciiTheme="minorHAnsi" w:hAnsiTheme="minorHAnsi" w:cstheme="minorHAnsi"/>
        </w:rPr>
        <w:t xml:space="preserve">    </w:t>
      </w:r>
    </w:p>
    <w:p w14:paraId="7A9F030F" w14:textId="6F2DEDA3" w:rsidR="00051ED4" w:rsidRPr="00051ED4" w:rsidRDefault="00132738" w:rsidP="00051ED4">
      <w:pPr>
        <w:spacing w:line="360" w:lineRule="auto"/>
        <w:rPr>
          <w:rFonts w:asciiTheme="minorHAnsi" w:hAnsiTheme="minorHAnsi" w:cstheme="minorHAnsi"/>
          <w:sz w:val="18"/>
          <w:szCs w:val="18"/>
        </w:rPr>
      </w:pPr>
      <w:r w:rsidRPr="00132738">
        <w:rPr>
          <w:rFonts w:asciiTheme="minorHAnsi" w:hAnsiTheme="minorHAnsi" w:cstheme="minorHAnsi"/>
          <w:sz w:val="18"/>
          <w:szCs w:val="18"/>
          <w:highlight w:val="black"/>
        </w:rPr>
        <w:t>XXXXXXXXX</w:t>
      </w:r>
      <w:r w:rsidR="00051ED4" w:rsidRPr="00132738">
        <w:rPr>
          <w:rFonts w:asciiTheme="minorHAnsi" w:hAnsiTheme="minorHAnsi" w:cstheme="minorHAnsi"/>
          <w:sz w:val="18"/>
          <w:szCs w:val="18"/>
          <w:highlight w:val="black"/>
        </w:rPr>
        <w:t xml:space="preserve"> </w:t>
      </w:r>
      <w:r w:rsidRPr="00132738">
        <w:rPr>
          <w:rFonts w:asciiTheme="minorHAnsi" w:hAnsiTheme="minorHAnsi" w:cstheme="minorHAnsi"/>
          <w:sz w:val="18"/>
          <w:szCs w:val="18"/>
          <w:highlight w:val="black"/>
        </w:rPr>
        <w:t>XXXXXXX</w:t>
      </w:r>
      <w:r w:rsidR="00051ED4" w:rsidRPr="00132738">
        <w:rPr>
          <w:rFonts w:asciiTheme="minorHAnsi" w:hAnsiTheme="minorHAnsi" w:cstheme="minorHAnsi"/>
          <w:sz w:val="18"/>
          <w:szCs w:val="18"/>
          <w:highlight w:val="black"/>
        </w:rPr>
        <w:t xml:space="preserve"> </w:t>
      </w:r>
      <w:r w:rsidRPr="00132738">
        <w:rPr>
          <w:rFonts w:asciiTheme="minorHAnsi" w:hAnsiTheme="minorHAnsi" w:cstheme="minorHAnsi"/>
          <w:sz w:val="18"/>
          <w:szCs w:val="18"/>
          <w:highlight w:val="black"/>
        </w:rPr>
        <w:t>XXXXX</w:t>
      </w:r>
      <w:r w:rsidR="00051ED4" w:rsidRPr="00051ED4">
        <w:rPr>
          <w:rFonts w:asciiTheme="minorHAnsi" w:hAnsiTheme="minorHAnsi" w:cstheme="minorHAnsi"/>
          <w:sz w:val="18"/>
          <w:szCs w:val="18"/>
        </w:rPr>
        <w:tab/>
      </w:r>
      <w:r w:rsidR="00051ED4" w:rsidRPr="00051ED4">
        <w:rPr>
          <w:rFonts w:asciiTheme="minorHAnsi" w:hAnsiTheme="minorHAnsi" w:cstheme="minorHAnsi"/>
          <w:sz w:val="18"/>
          <w:szCs w:val="18"/>
        </w:rPr>
        <w:tab/>
      </w:r>
      <w:r w:rsidR="00051ED4" w:rsidRPr="00051ED4">
        <w:rPr>
          <w:rFonts w:asciiTheme="minorHAnsi" w:hAnsiTheme="minorHAnsi" w:cstheme="minorHAnsi"/>
          <w:sz w:val="18"/>
          <w:szCs w:val="18"/>
        </w:rPr>
        <w:tab/>
      </w:r>
      <w:r w:rsidR="00051ED4" w:rsidRPr="00051ED4">
        <w:rPr>
          <w:rFonts w:asciiTheme="minorHAnsi" w:hAnsiTheme="minorHAnsi" w:cstheme="minorHAnsi"/>
          <w:sz w:val="18"/>
          <w:szCs w:val="18"/>
        </w:rPr>
        <w:tab/>
      </w:r>
      <w:r w:rsidR="00051ED4" w:rsidRPr="00051ED4">
        <w:rPr>
          <w:rFonts w:asciiTheme="minorHAnsi" w:hAnsiTheme="minorHAnsi" w:cstheme="minorHAnsi"/>
          <w:sz w:val="18"/>
          <w:szCs w:val="18"/>
        </w:rPr>
        <w:tab/>
      </w:r>
      <w:r w:rsidRPr="00132738">
        <w:rPr>
          <w:rFonts w:asciiTheme="minorHAnsi" w:hAnsiTheme="minorHAnsi" w:cstheme="minorHAnsi"/>
          <w:sz w:val="18"/>
          <w:szCs w:val="18"/>
          <w:highlight w:val="black"/>
        </w:rPr>
        <w:t>XXXXXXXXX</w:t>
      </w:r>
      <w:r w:rsidR="00051ED4" w:rsidRPr="00132738">
        <w:rPr>
          <w:rFonts w:asciiTheme="minorHAnsi" w:hAnsiTheme="minorHAnsi" w:cstheme="minorHAnsi"/>
          <w:sz w:val="18"/>
          <w:szCs w:val="18"/>
          <w:highlight w:val="black"/>
        </w:rPr>
        <w:t xml:space="preserve"> </w:t>
      </w:r>
      <w:r w:rsidRPr="00132738">
        <w:rPr>
          <w:rFonts w:asciiTheme="minorHAnsi" w:hAnsiTheme="minorHAnsi" w:cstheme="minorHAnsi"/>
          <w:sz w:val="18"/>
          <w:szCs w:val="18"/>
          <w:highlight w:val="black"/>
        </w:rPr>
        <w:t>XXXX</w:t>
      </w:r>
      <w:r w:rsidR="00051ED4" w:rsidRPr="00132738">
        <w:rPr>
          <w:rFonts w:asciiTheme="minorHAnsi" w:hAnsiTheme="minorHAnsi" w:cstheme="minorHAnsi"/>
          <w:sz w:val="18"/>
          <w:szCs w:val="18"/>
          <w:highlight w:val="black"/>
        </w:rPr>
        <w:t xml:space="preserve"> </w:t>
      </w:r>
      <w:r w:rsidRPr="00132738">
        <w:rPr>
          <w:rFonts w:asciiTheme="minorHAnsi" w:hAnsiTheme="minorHAnsi" w:cstheme="minorHAnsi"/>
          <w:sz w:val="18"/>
          <w:szCs w:val="18"/>
          <w:highlight w:val="black"/>
        </w:rPr>
        <w:t>XXXXXXXXX</w:t>
      </w:r>
    </w:p>
    <w:p w14:paraId="41456078" w14:textId="127F9DC1" w:rsidR="00051ED4" w:rsidRPr="00051ED4" w:rsidRDefault="00132738" w:rsidP="00051ED4">
      <w:pPr>
        <w:spacing w:line="360" w:lineRule="auto"/>
        <w:rPr>
          <w:rFonts w:asciiTheme="minorHAnsi" w:hAnsiTheme="minorHAnsi" w:cstheme="minorHAnsi"/>
          <w:sz w:val="18"/>
          <w:szCs w:val="18"/>
        </w:rPr>
      </w:pPr>
      <w:r w:rsidRPr="00132738">
        <w:rPr>
          <w:rFonts w:asciiTheme="minorHAnsi" w:hAnsiTheme="minorHAnsi" w:cstheme="minorHAnsi"/>
          <w:sz w:val="18"/>
          <w:szCs w:val="18"/>
          <w:highlight w:val="black"/>
        </w:rPr>
        <w:t>XXXXXXXXX</w:t>
      </w:r>
      <w:r w:rsidR="00051ED4" w:rsidRPr="00132738">
        <w:rPr>
          <w:rFonts w:asciiTheme="minorHAnsi" w:hAnsiTheme="minorHAnsi" w:cstheme="minorHAnsi"/>
          <w:sz w:val="18"/>
          <w:szCs w:val="18"/>
          <w:highlight w:val="black"/>
        </w:rPr>
        <w:t xml:space="preserve"> </w:t>
      </w:r>
      <w:r w:rsidRPr="00132738">
        <w:rPr>
          <w:rFonts w:asciiTheme="minorHAnsi" w:hAnsiTheme="minorHAnsi" w:cstheme="minorHAnsi"/>
          <w:sz w:val="18"/>
          <w:szCs w:val="18"/>
          <w:highlight w:val="black"/>
        </w:rPr>
        <w:t>XX</w:t>
      </w:r>
      <w:r w:rsidR="00051ED4" w:rsidRPr="00132738">
        <w:rPr>
          <w:rFonts w:asciiTheme="minorHAnsi" w:hAnsiTheme="minorHAnsi" w:cstheme="minorHAnsi"/>
          <w:sz w:val="18"/>
          <w:szCs w:val="18"/>
          <w:highlight w:val="black"/>
        </w:rPr>
        <w:t xml:space="preserve"> </w:t>
      </w:r>
      <w:r w:rsidRPr="00132738">
        <w:rPr>
          <w:rFonts w:asciiTheme="minorHAnsi" w:hAnsiTheme="minorHAnsi" w:cstheme="minorHAnsi"/>
          <w:sz w:val="18"/>
          <w:szCs w:val="18"/>
          <w:highlight w:val="black"/>
        </w:rPr>
        <w:t>XXXXXXXX</w:t>
      </w:r>
      <w:r w:rsidR="00051ED4" w:rsidRPr="00132738">
        <w:rPr>
          <w:rFonts w:asciiTheme="minorHAnsi" w:hAnsiTheme="minorHAnsi" w:cstheme="minorHAnsi"/>
          <w:sz w:val="18"/>
          <w:szCs w:val="18"/>
          <w:highlight w:val="black"/>
        </w:rPr>
        <w:t xml:space="preserve"> </w:t>
      </w:r>
      <w:proofErr w:type="spellStart"/>
      <w:r w:rsidRPr="00132738">
        <w:rPr>
          <w:rFonts w:asciiTheme="minorHAnsi" w:hAnsiTheme="minorHAnsi" w:cstheme="minorHAnsi"/>
          <w:sz w:val="18"/>
          <w:szCs w:val="18"/>
          <w:highlight w:val="black"/>
        </w:rPr>
        <w:t>XXXXXXXX</w:t>
      </w:r>
      <w:proofErr w:type="spellEnd"/>
      <w:r w:rsidR="00051ED4" w:rsidRPr="00132738">
        <w:rPr>
          <w:rFonts w:asciiTheme="minorHAnsi" w:hAnsiTheme="minorHAnsi" w:cstheme="minorHAnsi"/>
          <w:sz w:val="18"/>
          <w:szCs w:val="18"/>
          <w:highlight w:val="black"/>
        </w:rPr>
        <w:t xml:space="preserve"> </w:t>
      </w:r>
      <w:proofErr w:type="spellStart"/>
      <w:r w:rsidRPr="00132738">
        <w:rPr>
          <w:rFonts w:asciiTheme="minorHAnsi" w:hAnsiTheme="minorHAnsi" w:cstheme="minorHAnsi"/>
          <w:sz w:val="18"/>
          <w:szCs w:val="18"/>
          <w:highlight w:val="black"/>
        </w:rPr>
        <w:t>XXXXXXXX</w:t>
      </w:r>
      <w:proofErr w:type="spellEnd"/>
      <w:r w:rsidR="00051ED4" w:rsidRPr="00132738">
        <w:rPr>
          <w:rFonts w:asciiTheme="minorHAnsi" w:hAnsiTheme="minorHAnsi" w:cstheme="minorHAnsi"/>
          <w:sz w:val="18"/>
          <w:szCs w:val="18"/>
          <w:highlight w:val="black"/>
        </w:rPr>
        <w:t xml:space="preserve"> </w:t>
      </w:r>
      <w:proofErr w:type="spellStart"/>
      <w:r w:rsidRPr="00132738">
        <w:rPr>
          <w:rFonts w:asciiTheme="minorHAnsi" w:hAnsiTheme="minorHAnsi" w:cstheme="minorHAnsi"/>
          <w:sz w:val="18"/>
          <w:szCs w:val="18"/>
          <w:highlight w:val="black"/>
        </w:rPr>
        <w:t>XXXXXXXX</w:t>
      </w:r>
      <w:proofErr w:type="spellEnd"/>
      <w:r w:rsidR="00051ED4" w:rsidRPr="00051ED4">
        <w:rPr>
          <w:rFonts w:asciiTheme="minorHAnsi" w:hAnsiTheme="minorHAnsi" w:cstheme="minorHAnsi"/>
          <w:sz w:val="18"/>
          <w:szCs w:val="18"/>
        </w:rPr>
        <w:t xml:space="preserve"> </w:t>
      </w:r>
      <w:r w:rsidR="00051ED4" w:rsidRPr="00051ED4">
        <w:rPr>
          <w:rFonts w:asciiTheme="minorHAnsi" w:hAnsiTheme="minorHAnsi" w:cstheme="minorHAnsi"/>
          <w:sz w:val="18"/>
          <w:szCs w:val="18"/>
        </w:rPr>
        <w:tab/>
      </w:r>
      <w:r>
        <w:rPr>
          <w:rFonts w:asciiTheme="minorHAnsi" w:hAnsiTheme="minorHAnsi" w:cstheme="minorHAnsi"/>
          <w:sz w:val="18"/>
          <w:szCs w:val="18"/>
        </w:rPr>
        <w:tab/>
      </w:r>
      <w:r w:rsidRPr="00132738">
        <w:rPr>
          <w:rFonts w:asciiTheme="minorHAnsi" w:hAnsiTheme="minorHAnsi" w:cstheme="minorHAnsi"/>
          <w:sz w:val="18"/>
          <w:szCs w:val="18"/>
          <w:highlight w:val="black"/>
        </w:rPr>
        <w:t>XXXXXXXXX</w:t>
      </w:r>
      <w:r w:rsidR="00051ED4" w:rsidRPr="00132738">
        <w:rPr>
          <w:rFonts w:asciiTheme="minorHAnsi" w:hAnsiTheme="minorHAnsi" w:cstheme="minorHAnsi"/>
          <w:sz w:val="18"/>
          <w:szCs w:val="18"/>
          <w:highlight w:val="black"/>
        </w:rPr>
        <w:t xml:space="preserve"> </w:t>
      </w:r>
      <w:r w:rsidRPr="00132738">
        <w:rPr>
          <w:rFonts w:asciiTheme="minorHAnsi" w:hAnsiTheme="minorHAnsi" w:cstheme="minorHAnsi"/>
          <w:sz w:val="18"/>
          <w:szCs w:val="18"/>
          <w:highlight w:val="black"/>
        </w:rPr>
        <w:t>XXXXXXXXXXXXX</w:t>
      </w:r>
      <w:r w:rsidR="00051ED4" w:rsidRPr="00132738">
        <w:rPr>
          <w:rFonts w:asciiTheme="minorHAnsi" w:hAnsiTheme="minorHAnsi" w:cstheme="minorHAnsi"/>
          <w:sz w:val="18"/>
          <w:szCs w:val="18"/>
          <w:highlight w:val="black"/>
        </w:rPr>
        <w:t xml:space="preserve"> </w:t>
      </w:r>
      <w:r w:rsidRPr="00132738">
        <w:rPr>
          <w:rFonts w:asciiTheme="minorHAnsi" w:hAnsiTheme="minorHAnsi" w:cstheme="minorHAnsi"/>
          <w:sz w:val="18"/>
          <w:szCs w:val="18"/>
          <w:highlight w:val="black"/>
        </w:rPr>
        <w:t>XXXX</w:t>
      </w:r>
      <w:r w:rsidR="00051ED4" w:rsidRPr="00132738">
        <w:rPr>
          <w:rFonts w:asciiTheme="minorHAnsi" w:hAnsiTheme="minorHAnsi" w:cstheme="minorHAnsi"/>
          <w:sz w:val="18"/>
          <w:szCs w:val="18"/>
          <w:highlight w:val="black"/>
        </w:rPr>
        <w:t xml:space="preserve"> </w:t>
      </w:r>
      <w:r w:rsidRPr="00132738">
        <w:rPr>
          <w:rFonts w:asciiTheme="minorHAnsi" w:hAnsiTheme="minorHAnsi" w:cstheme="minorHAnsi"/>
          <w:sz w:val="18"/>
          <w:szCs w:val="18"/>
          <w:highlight w:val="black"/>
        </w:rPr>
        <w:t>XXX</w:t>
      </w:r>
      <w:r w:rsidR="00051ED4" w:rsidRPr="00132738">
        <w:rPr>
          <w:rFonts w:asciiTheme="minorHAnsi" w:hAnsiTheme="minorHAnsi" w:cstheme="minorHAnsi"/>
          <w:sz w:val="18"/>
          <w:szCs w:val="18"/>
          <w:highlight w:val="black"/>
        </w:rPr>
        <w:t xml:space="preserve"> </w:t>
      </w:r>
      <w:r w:rsidRPr="00132738">
        <w:rPr>
          <w:rFonts w:asciiTheme="minorHAnsi" w:hAnsiTheme="minorHAnsi" w:cstheme="minorHAnsi"/>
          <w:sz w:val="18"/>
          <w:szCs w:val="18"/>
          <w:highlight w:val="black"/>
        </w:rPr>
        <w:t>XX</w:t>
      </w:r>
      <w:r w:rsidR="00051ED4" w:rsidRPr="00132738">
        <w:rPr>
          <w:rFonts w:asciiTheme="minorHAnsi" w:hAnsiTheme="minorHAnsi" w:cstheme="minorHAnsi"/>
          <w:sz w:val="18"/>
          <w:szCs w:val="18"/>
          <w:highlight w:val="black"/>
        </w:rPr>
        <w:t xml:space="preserve"> </w:t>
      </w:r>
      <w:r w:rsidRPr="00132738">
        <w:rPr>
          <w:rFonts w:asciiTheme="minorHAnsi" w:hAnsiTheme="minorHAnsi" w:cstheme="minorHAnsi"/>
          <w:sz w:val="18"/>
          <w:szCs w:val="18"/>
          <w:highlight w:val="black"/>
        </w:rPr>
        <w:t>XXXXXX</w:t>
      </w:r>
      <w:r w:rsidR="00051ED4" w:rsidRPr="00132738">
        <w:rPr>
          <w:rFonts w:asciiTheme="minorHAnsi" w:hAnsiTheme="minorHAnsi" w:cstheme="minorHAnsi"/>
          <w:sz w:val="18"/>
          <w:szCs w:val="18"/>
          <w:highlight w:val="black"/>
        </w:rPr>
        <w:t xml:space="preserve"> </w:t>
      </w:r>
      <w:r w:rsidRPr="00132738">
        <w:rPr>
          <w:rFonts w:asciiTheme="minorHAnsi" w:hAnsiTheme="minorHAnsi" w:cstheme="minorHAnsi"/>
          <w:sz w:val="18"/>
          <w:szCs w:val="18"/>
          <w:highlight w:val="black"/>
        </w:rPr>
        <w:t>XXX</w:t>
      </w:r>
      <w:r w:rsidR="00051ED4" w:rsidRPr="00132738">
        <w:rPr>
          <w:rFonts w:asciiTheme="minorHAnsi" w:hAnsiTheme="minorHAnsi" w:cstheme="minorHAnsi"/>
          <w:sz w:val="18"/>
          <w:szCs w:val="18"/>
          <w:highlight w:val="black"/>
        </w:rPr>
        <w:t xml:space="preserve"> </w:t>
      </w:r>
      <w:r w:rsidRPr="00132738">
        <w:rPr>
          <w:rFonts w:asciiTheme="minorHAnsi" w:hAnsiTheme="minorHAnsi" w:cstheme="minorHAnsi"/>
          <w:sz w:val="18"/>
          <w:szCs w:val="18"/>
          <w:highlight w:val="black"/>
        </w:rPr>
        <w:t>XX</w:t>
      </w:r>
      <w:r w:rsidR="00051ED4" w:rsidRPr="00051ED4">
        <w:rPr>
          <w:rFonts w:asciiTheme="minorHAnsi" w:hAnsiTheme="minorHAnsi" w:cstheme="minorHAnsi"/>
          <w:sz w:val="18"/>
          <w:szCs w:val="18"/>
        </w:rPr>
        <w:t xml:space="preserve"> </w:t>
      </w:r>
    </w:p>
    <w:p w14:paraId="1D92A58D" w14:textId="1C975BDF" w:rsidR="00051ED4" w:rsidRPr="00051ED4" w:rsidRDefault="00132738" w:rsidP="00051ED4">
      <w:pPr>
        <w:spacing w:line="360" w:lineRule="auto"/>
        <w:rPr>
          <w:rFonts w:asciiTheme="minorHAnsi" w:hAnsiTheme="minorHAnsi" w:cstheme="minorHAnsi"/>
          <w:sz w:val="18"/>
          <w:szCs w:val="18"/>
        </w:rPr>
      </w:pPr>
      <w:r w:rsidRPr="00132738">
        <w:rPr>
          <w:rFonts w:asciiTheme="minorHAnsi" w:hAnsiTheme="minorHAnsi" w:cstheme="minorHAnsi"/>
          <w:sz w:val="18"/>
          <w:szCs w:val="18"/>
          <w:highlight w:val="black"/>
        </w:rPr>
        <w:t>XXXXXXXXXX</w:t>
      </w:r>
      <w:r w:rsidR="00051ED4" w:rsidRPr="00132738">
        <w:rPr>
          <w:rFonts w:asciiTheme="minorHAnsi" w:hAnsiTheme="minorHAnsi" w:cstheme="minorHAnsi"/>
          <w:sz w:val="18"/>
          <w:szCs w:val="18"/>
          <w:highlight w:val="black"/>
        </w:rPr>
        <w:t xml:space="preserve"> </w:t>
      </w:r>
      <w:r w:rsidRPr="00132738">
        <w:rPr>
          <w:rFonts w:asciiTheme="minorHAnsi" w:hAnsiTheme="minorHAnsi" w:cstheme="minorHAnsi"/>
          <w:sz w:val="18"/>
          <w:szCs w:val="18"/>
          <w:highlight w:val="black"/>
        </w:rPr>
        <w:t>XX XXXXXXXXXX</w:t>
      </w:r>
      <w:r w:rsidR="00051ED4" w:rsidRPr="00051ED4">
        <w:rPr>
          <w:rFonts w:asciiTheme="minorHAnsi" w:hAnsiTheme="minorHAnsi" w:cstheme="minorHAnsi"/>
          <w:sz w:val="18"/>
          <w:szCs w:val="18"/>
        </w:rPr>
        <w:tab/>
      </w:r>
      <w:r w:rsidR="00051ED4" w:rsidRPr="00051ED4">
        <w:rPr>
          <w:rFonts w:asciiTheme="minorHAnsi" w:hAnsiTheme="minorHAnsi" w:cstheme="minorHAnsi"/>
          <w:sz w:val="18"/>
          <w:szCs w:val="18"/>
        </w:rPr>
        <w:tab/>
      </w:r>
      <w:r w:rsidR="00051ED4" w:rsidRPr="00051ED4">
        <w:rPr>
          <w:rFonts w:asciiTheme="minorHAnsi" w:hAnsiTheme="minorHAnsi" w:cstheme="minorHAnsi"/>
          <w:sz w:val="18"/>
          <w:szCs w:val="18"/>
        </w:rPr>
        <w:tab/>
      </w:r>
      <w:r w:rsidR="00051ED4" w:rsidRPr="00051ED4">
        <w:rPr>
          <w:rFonts w:asciiTheme="minorHAnsi" w:hAnsiTheme="minorHAnsi" w:cstheme="minorHAnsi"/>
          <w:sz w:val="18"/>
          <w:szCs w:val="18"/>
        </w:rPr>
        <w:tab/>
      </w:r>
      <w:r w:rsidR="00051ED4" w:rsidRPr="00051ED4">
        <w:rPr>
          <w:rFonts w:asciiTheme="minorHAnsi" w:hAnsiTheme="minorHAnsi" w:cstheme="minorHAnsi"/>
          <w:sz w:val="18"/>
          <w:szCs w:val="18"/>
        </w:rPr>
        <w:tab/>
      </w:r>
      <w:r w:rsidRPr="00132738">
        <w:rPr>
          <w:rFonts w:asciiTheme="minorHAnsi" w:hAnsiTheme="minorHAnsi" w:cstheme="minorHAnsi"/>
          <w:sz w:val="18"/>
          <w:szCs w:val="18"/>
          <w:highlight w:val="black"/>
        </w:rPr>
        <w:t>XXXX</w:t>
      </w:r>
      <w:r w:rsidR="00051ED4" w:rsidRPr="00132738">
        <w:rPr>
          <w:rFonts w:asciiTheme="minorHAnsi" w:hAnsiTheme="minorHAnsi" w:cstheme="minorHAnsi"/>
          <w:sz w:val="18"/>
          <w:szCs w:val="18"/>
          <w:highlight w:val="black"/>
        </w:rPr>
        <w:t xml:space="preserve"> </w:t>
      </w:r>
      <w:r w:rsidRPr="00132738">
        <w:rPr>
          <w:rFonts w:asciiTheme="minorHAnsi" w:hAnsiTheme="minorHAnsi" w:cstheme="minorHAnsi"/>
          <w:sz w:val="18"/>
          <w:szCs w:val="18"/>
          <w:highlight w:val="black"/>
        </w:rPr>
        <w:t>XX</w:t>
      </w:r>
      <w:r w:rsidR="00051ED4" w:rsidRPr="00132738">
        <w:rPr>
          <w:rFonts w:asciiTheme="minorHAnsi" w:hAnsiTheme="minorHAnsi" w:cstheme="minorHAnsi"/>
          <w:sz w:val="18"/>
          <w:szCs w:val="18"/>
          <w:highlight w:val="black"/>
        </w:rPr>
        <w:t xml:space="preserve"> </w:t>
      </w:r>
      <w:r w:rsidRPr="00132738">
        <w:rPr>
          <w:rFonts w:asciiTheme="minorHAnsi" w:hAnsiTheme="minorHAnsi" w:cstheme="minorHAnsi"/>
          <w:sz w:val="18"/>
          <w:szCs w:val="18"/>
          <w:highlight w:val="black"/>
        </w:rPr>
        <w:t>XXXXXXXXX</w:t>
      </w:r>
      <w:r w:rsidR="00051ED4" w:rsidRPr="00132738">
        <w:rPr>
          <w:rFonts w:asciiTheme="minorHAnsi" w:hAnsiTheme="minorHAnsi" w:cstheme="minorHAnsi"/>
          <w:sz w:val="18"/>
          <w:szCs w:val="18"/>
          <w:highlight w:val="black"/>
        </w:rPr>
        <w:t xml:space="preserve"> </w:t>
      </w:r>
      <w:r w:rsidRPr="00132738">
        <w:rPr>
          <w:rFonts w:asciiTheme="minorHAnsi" w:hAnsiTheme="minorHAnsi" w:cstheme="minorHAnsi"/>
          <w:sz w:val="18"/>
          <w:szCs w:val="18"/>
          <w:highlight w:val="black"/>
        </w:rPr>
        <w:t>XXXXXXXX</w:t>
      </w:r>
      <w:r w:rsidR="00051ED4" w:rsidRPr="00132738">
        <w:rPr>
          <w:rFonts w:asciiTheme="minorHAnsi" w:hAnsiTheme="minorHAnsi" w:cstheme="minorHAnsi"/>
          <w:sz w:val="18"/>
          <w:szCs w:val="18"/>
          <w:highlight w:val="black"/>
        </w:rPr>
        <w:t xml:space="preserve"> </w:t>
      </w:r>
      <w:r w:rsidRPr="00132738">
        <w:rPr>
          <w:rFonts w:asciiTheme="minorHAnsi" w:hAnsiTheme="minorHAnsi" w:cstheme="minorHAnsi"/>
          <w:sz w:val="18"/>
          <w:szCs w:val="18"/>
          <w:highlight w:val="black"/>
        </w:rPr>
        <w:t>XXXXX</w:t>
      </w:r>
      <w:r w:rsidR="00051ED4" w:rsidRPr="00132738">
        <w:rPr>
          <w:rFonts w:asciiTheme="minorHAnsi" w:hAnsiTheme="minorHAnsi" w:cstheme="minorHAnsi"/>
          <w:sz w:val="18"/>
          <w:szCs w:val="18"/>
          <w:highlight w:val="black"/>
        </w:rPr>
        <w:t xml:space="preserve"> </w:t>
      </w:r>
      <w:r w:rsidRPr="00132738">
        <w:rPr>
          <w:rFonts w:asciiTheme="minorHAnsi" w:hAnsiTheme="minorHAnsi" w:cstheme="minorHAnsi"/>
          <w:sz w:val="18"/>
          <w:szCs w:val="18"/>
          <w:highlight w:val="black"/>
        </w:rPr>
        <w:t>XXXXXXX</w:t>
      </w:r>
      <w:r w:rsidR="00051ED4" w:rsidRPr="00132738">
        <w:rPr>
          <w:rFonts w:asciiTheme="minorHAnsi" w:hAnsiTheme="minorHAnsi" w:cstheme="minorHAnsi"/>
          <w:sz w:val="18"/>
          <w:szCs w:val="18"/>
          <w:highlight w:val="black"/>
        </w:rPr>
        <w:t xml:space="preserve"> </w:t>
      </w:r>
      <w:r w:rsidRPr="00132738">
        <w:rPr>
          <w:rFonts w:asciiTheme="minorHAnsi" w:hAnsiTheme="minorHAnsi" w:cstheme="minorHAnsi"/>
          <w:sz w:val="18"/>
          <w:szCs w:val="18"/>
          <w:highlight w:val="black"/>
        </w:rPr>
        <w:t>XXXXXX</w:t>
      </w:r>
    </w:p>
    <w:p w14:paraId="1DE5D06A" w14:textId="7885FA40" w:rsidR="00051ED4" w:rsidRPr="00051ED4" w:rsidRDefault="00132738" w:rsidP="00051ED4">
      <w:pPr>
        <w:spacing w:line="360" w:lineRule="auto"/>
        <w:rPr>
          <w:rFonts w:asciiTheme="minorHAnsi" w:hAnsiTheme="minorHAnsi" w:cstheme="minorHAnsi"/>
          <w:sz w:val="18"/>
          <w:szCs w:val="18"/>
        </w:rPr>
      </w:pPr>
      <w:r w:rsidRPr="00132738">
        <w:rPr>
          <w:rFonts w:asciiTheme="minorHAnsi" w:hAnsiTheme="minorHAnsi" w:cstheme="minorHAnsi"/>
          <w:sz w:val="18"/>
          <w:szCs w:val="18"/>
          <w:highlight w:val="black"/>
        </w:rPr>
        <w:t xml:space="preserve">XXXXXXXX XXXX XXX </w:t>
      </w:r>
      <w:proofErr w:type="spellStart"/>
      <w:r w:rsidRPr="00132738">
        <w:rPr>
          <w:rFonts w:asciiTheme="minorHAnsi" w:hAnsiTheme="minorHAnsi" w:cstheme="minorHAnsi"/>
          <w:sz w:val="18"/>
          <w:szCs w:val="18"/>
          <w:highlight w:val="black"/>
        </w:rPr>
        <w:t>XXX</w:t>
      </w:r>
      <w:proofErr w:type="spellEnd"/>
      <w:r w:rsidR="00051ED4" w:rsidRPr="00132738">
        <w:rPr>
          <w:rFonts w:asciiTheme="minorHAnsi" w:hAnsiTheme="minorHAnsi" w:cstheme="minorHAnsi"/>
          <w:sz w:val="18"/>
          <w:szCs w:val="18"/>
          <w:highlight w:val="black"/>
        </w:rPr>
        <w:t xml:space="preserve"> </w:t>
      </w:r>
      <w:r w:rsidRPr="00132738">
        <w:rPr>
          <w:rFonts w:asciiTheme="minorHAnsi" w:hAnsiTheme="minorHAnsi" w:cstheme="minorHAnsi"/>
          <w:sz w:val="18"/>
          <w:szCs w:val="18"/>
          <w:highlight w:val="black"/>
        </w:rPr>
        <w:t>XXXXXXXXXX</w:t>
      </w:r>
      <w:r w:rsidR="00051ED4" w:rsidRPr="00132738">
        <w:rPr>
          <w:rFonts w:asciiTheme="minorHAnsi" w:hAnsiTheme="minorHAnsi" w:cstheme="minorHAnsi"/>
          <w:sz w:val="18"/>
          <w:szCs w:val="18"/>
          <w:highlight w:val="black"/>
        </w:rPr>
        <w:t xml:space="preserve"> </w:t>
      </w:r>
      <w:r w:rsidRPr="00132738">
        <w:rPr>
          <w:rFonts w:asciiTheme="minorHAnsi" w:hAnsiTheme="minorHAnsi" w:cstheme="minorHAnsi"/>
          <w:sz w:val="18"/>
          <w:szCs w:val="18"/>
          <w:highlight w:val="black"/>
        </w:rPr>
        <w:t>XXXXXXXXX</w:t>
      </w:r>
      <w:r w:rsidR="00051ED4" w:rsidRPr="00132738">
        <w:rPr>
          <w:rFonts w:asciiTheme="minorHAnsi" w:hAnsiTheme="minorHAnsi" w:cstheme="minorHAnsi"/>
          <w:sz w:val="18"/>
          <w:szCs w:val="18"/>
          <w:highlight w:val="black"/>
        </w:rPr>
        <w:t xml:space="preserve"> </w:t>
      </w:r>
      <w:r w:rsidRPr="00132738">
        <w:rPr>
          <w:rFonts w:asciiTheme="minorHAnsi" w:hAnsiTheme="minorHAnsi" w:cstheme="minorHAnsi"/>
          <w:sz w:val="18"/>
          <w:szCs w:val="18"/>
          <w:highlight w:val="black"/>
        </w:rPr>
        <w:t>XXXXXXXX</w:t>
      </w:r>
      <w:r w:rsidR="00051ED4" w:rsidRPr="00132738">
        <w:rPr>
          <w:rFonts w:asciiTheme="minorHAnsi" w:hAnsiTheme="minorHAnsi" w:cstheme="minorHAnsi"/>
          <w:sz w:val="18"/>
          <w:szCs w:val="18"/>
          <w:highlight w:val="black"/>
        </w:rPr>
        <w:t xml:space="preserve"> </w:t>
      </w:r>
      <w:r w:rsidRPr="00132738">
        <w:rPr>
          <w:rFonts w:asciiTheme="minorHAnsi" w:hAnsiTheme="minorHAnsi" w:cstheme="minorHAnsi"/>
          <w:sz w:val="18"/>
          <w:szCs w:val="18"/>
          <w:highlight w:val="black"/>
        </w:rPr>
        <w:t>XXXXXXX</w:t>
      </w:r>
      <w:r w:rsidR="00051ED4" w:rsidRPr="00051ED4">
        <w:rPr>
          <w:rFonts w:asciiTheme="minorHAnsi" w:hAnsiTheme="minorHAnsi" w:cstheme="minorHAnsi"/>
          <w:sz w:val="18"/>
          <w:szCs w:val="18"/>
        </w:rPr>
        <w:t xml:space="preserve"> </w:t>
      </w:r>
      <w:r w:rsidRPr="00132738">
        <w:rPr>
          <w:rFonts w:asciiTheme="minorHAnsi" w:hAnsiTheme="minorHAnsi" w:cstheme="minorHAnsi"/>
          <w:sz w:val="18"/>
          <w:szCs w:val="18"/>
          <w:highlight w:val="black"/>
        </w:rPr>
        <w:t>XX XXXXXXXX</w:t>
      </w:r>
      <w:r w:rsidR="00051ED4" w:rsidRPr="00132738">
        <w:rPr>
          <w:rFonts w:asciiTheme="minorHAnsi" w:hAnsiTheme="minorHAnsi" w:cstheme="minorHAnsi"/>
          <w:sz w:val="18"/>
          <w:szCs w:val="18"/>
          <w:highlight w:val="black"/>
        </w:rPr>
        <w:t xml:space="preserve"> </w:t>
      </w:r>
      <w:r w:rsidRPr="00132738">
        <w:rPr>
          <w:rFonts w:asciiTheme="minorHAnsi" w:hAnsiTheme="minorHAnsi" w:cstheme="minorHAnsi"/>
          <w:sz w:val="18"/>
          <w:szCs w:val="18"/>
          <w:highlight w:val="black"/>
        </w:rPr>
        <w:t>XXX</w:t>
      </w:r>
      <w:r w:rsidR="00051ED4" w:rsidRPr="00132738">
        <w:rPr>
          <w:rFonts w:asciiTheme="minorHAnsi" w:hAnsiTheme="minorHAnsi" w:cstheme="minorHAnsi"/>
          <w:sz w:val="18"/>
          <w:szCs w:val="18"/>
          <w:highlight w:val="black"/>
        </w:rPr>
        <w:t xml:space="preserve"> </w:t>
      </w:r>
      <w:r w:rsidRPr="00132738">
        <w:rPr>
          <w:rFonts w:asciiTheme="minorHAnsi" w:hAnsiTheme="minorHAnsi" w:cstheme="minorHAnsi"/>
          <w:sz w:val="18"/>
          <w:szCs w:val="18"/>
          <w:highlight w:val="black"/>
        </w:rPr>
        <w:t>XXXXXXXXXXXXX</w:t>
      </w:r>
      <w:r w:rsidR="00051ED4" w:rsidRPr="00132738">
        <w:rPr>
          <w:rFonts w:asciiTheme="minorHAnsi" w:hAnsiTheme="minorHAnsi" w:cstheme="minorHAnsi"/>
          <w:sz w:val="18"/>
          <w:szCs w:val="18"/>
          <w:highlight w:val="black"/>
        </w:rPr>
        <w:t xml:space="preserve"> </w:t>
      </w:r>
      <w:r w:rsidRPr="00132738">
        <w:rPr>
          <w:rFonts w:asciiTheme="minorHAnsi" w:hAnsiTheme="minorHAnsi" w:cstheme="minorHAnsi"/>
          <w:sz w:val="18"/>
          <w:szCs w:val="18"/>
          <w:highlight w:val="black"/>
        </w:rPr>
        <w:t>XXXXXX</w:t>
      </w:r>
      <w:r w:rsidR="00051ED4" w:rsidRPr="00132738">
        <w:rPr>
          <w:rFonts w:asciiTheme="minorHAnsi" w:hAnsiTheme="minorHAnsi" w:cstheme="minorHAnsi"/>
          <w:sz w:val="18"/>
          <w:szCs w:val="18"/>
          <w:highlight w:val="black"/>
        </w:rPr>
        <w:t xml:space="preserve"> </w:t>
      </w:r>
      <w:proofErr w:type="spellStart"/>
      <w:r w:rsidRPr="00132738">
        <w:rPr>
          <w:rFonts w:asciiTheme="minorHAnsi" w:hAnsiTheme="minorHAnsi" w:cstheme="minorHAnsi"/>
          <w:sz w:val="18"/>
          <w:szCs w:val="18"/>
          <w:highlight w:val="black"/>
        </w:rPr>
        <w:t>XXXXXX</w:t>
      </w:r>
      <w:proofErr w:type="spellEnd"/>
    </w:p>
    <w:p w14:paraId="0B1413C9" w14:textId="2A379B86" w:rsidR="00051ED4" w:rsidRPr="00051ED4" w:rsidRDefault="00132738" w:rsidP="00051ED4">
      <w:pPr>
        <w:rPr>
          <w:rFonts w:asciiTheme="minorHAnsi" w:hAnsiTheme="minorHAnsi" w:cstheme="minorHAnsi"/>
        </w:rPr>
      </w:pPr>
      <w:r w:rsidRPr="00132738">
        <w:rPr>
          <w:rFonts w:asciiTheme="minorHAnsi" w:hAnsiTheme="minorHAnsi" w:cstheme="minorHAnsi"/>
          <w:sz w:val="18"/>
          <w:szCs w:val="18"/>
          <w:highlight w:val="black"/>
        </w:rPr>
        <w:t>XXXX</w:t>
      </w:r>
      <w:r w:rsidR="00051ED4" w:rsidRPr="00132738">
        <w:rPr>
          <w:rFonts w:asciiTheme="minorHAnsi" w:hAnsiTheme="minorHAnsi" w:cstheme="minorHAnsi"/>
          <w:sz w:val="18"/>
          <w:szCs w:val="18"/>
          <w:highlight w:val="black"/>
        </w:rPr>
        <w:t xml:space="preserve"> </w:t>
      </w:r>
      <w:r w:rsidRPr="00132738">
        <w:rPr>
          <w:rFonts w:asciiTheme="minorHAnsi" w:hAnsiTheme="minorHAnsi" w:cstheme="minorHAnsi"/>
          <w:sz w:val="18"/>
          <w:szCs w:val="18"/>
          <w:highlight w:val="black"/>
        </w:rPr>
        <w:t>XXXXXXXX</w:t>
      </w:r>
      <w:r w:rsidR="00051ED4" w:rsidRPr="00132738">
        <w:rPr>
          <w:rFonts w:asciiTheme="minorHAnsi" w:hAnsiTheme="minorHAnsi" w:cstheme="minorHAnsi"/>
          <w:sz w:val="18"/>
          <w:szCs w:val="18"/>
          <w:highlight w:val="black"/>
        </w:rPr>
        <w:t xml:space="preserve"> </w:t>
      </w:r>
      <w:proofErr w:type="spellStart"/>
      <w:r w:rsidRPr="00132738">
        <w:rPr>
          <w:rFonts w:asciiTheme="minorHAnsi" w:hAnsiTheme="minorHAnsi" w:cstheme="minorHAnsi"/>
          <w:sz w:val="18"/>
          <w:szCs w:val="18"/>
          <w:highlight w:val="black"/>
        </w:rPr>
        <w:t>XXXXXXXX</w:t>
      </w:r>
      <w:proofErr w:type="spellEnd"/>
      <w:r w:rsidR="00051ED4" w:rsidRPr="00132738">
        <w:rPr>
          <w:rFonts w:asciiTheme="minorHAnsi" w:hAnsiTheme="minorHAnsi" w:cstheme="minorHAnsi"/>
          <w:sz w:val="18"/>
          <w:szCs w:val="18"/>
          <w:highlight w:val="black"/>
        </w:rPr>
        <w:t xml:space="preserve"> </w:t>
      </w:r>
      <w:r w:rsidRPr="00132738">
        <w:rPr>
          <w:rFonts w:asciiTheme="minorHAnsi" w:hAnsiTheme="minorHAnsi" w:cstheme="minorHAnsi"/>
          <w:sz w:val="18"/>
          <w:szCs w:val="18"/>
          <w:highlight w:val="black"/>
        </w:rPr>
        <w:t>XXXXXXX</w:t>
      </w:r>
      <w:r w:rsidR="00051ED4" w:rsidRPr="00132738">
        <w:rPr>
          <w:rFonts w:asciiTheme="minorHAnsi" w:hAnsiTheme="minorHAnsi" w:cstheme="minorHAnsi"/>
          <w:sz w:val="18"/>
          <w:szCs w:val="18"/>
          <w:highlight w:val="black"/>
        </w:rPr>
        <w:t xml:space="preserve"> </w:t>
      </w:r>
      <w:r w:rsidRPr="00132738">
        <w:rPr>
          <w:rFonts w:asciiTheme="minorHAnsi" w:hAnsiTheme="minorHAnsi" w:cstheme="minorHAnsi"/>
          <w:sz w:val="18"/>
          <w:szCs w:val="18"/>
          <w:highlight w:val="black"/>
        </w:rPr>
        <w:t>XXXXX</w:t>
      </w:r>
      <w:r w:rsidR="00051ED4" w:rsidRPr="00051ED4">
        <w:rPr>
          <w:rFonts w:asciiTheme="minorHAnsi" w:hAnsiTheme="minorHAnsi" w:cstheme="minorHAnsi"/>
          <w:sz w:val="18"/>
          <w:szCs w:val="18"/>
        </w:rPr>
        <w:t xml:space="preserve"> </w:t>
      </w:r>
      <w:r w:rsidR="00051ED4" w:rsidRPr="00051ED4">
        <w:rPr>
          <w:rFonts w:asciiTheme="minorHAnsi" w:hAnsiTheme="minorHAnsi" w:cstheme="minorHAnsi"/>
        </w:rPr>
        <w:tab/>
      </w:r>
      <w:r w:rsidR="00051ED4" w:rsidRPr="00051ED4">
        <w:rPr>
          <w:rFonts w:asciiTheme="minorHAnsi" w:hAnsiTheme="minorHAnsi" w:cstheme="minorHAnsi"/>
        </w:rPr>
        <w:tab/>
      </w:r>
      <w:r w:rsidR="00051ED4" w:rsidRPr="00051ED4">
        <w:rPr>
          <w:rFonts w:asciiTheme="minorHAnsi" w:hAnsiTheme="minorHAnsi" w:cstheme="minorHAnsi"/>
        </w:rPr>
        <w:tab/>
      </w:r>
      <w:r w:rsidR="00051ED4" w:rsidRPr="00051ED4">
        <w:rPr>
          <w:rFonts w:asciiTheme="minorHAnsi" w:hAnsiTheme="minorHAnsi" w:cstheme="minorHAnsi"/>
        </w:rPr>
        <w:tab/>
      </w:r>
      <w:r w:rsidR="00051ED4" w:rsidRPr="00051ED4">
        <w:rPr>
          <w:rFonts w:asciiTheme="minorHAnsi" w:hAnsiTheme="minorHAnsi" w:cstheme="minorHAnsi"/>
        </w:rPr>
        <w:tab/>
      </w:r>
    </w:p>
    <w:p w14:paraId="4B41ABB5" w14:textId="77777777" w:rsidR="00051ED4" w:rsidRDefault="00051ED4" w:rsidP="00051ED4">
      <w:pPr>
        <w:ind w:left="720" w:firstLine="720"/>
        <w:rPr>
          <w:rFonts w:asciiTheme="minorHAnsi" w:hAnsiTheme="minorHAnsi" w:cstheme="minorHAnsi"/>
        </w:rPr>
      </w:pPr>
    </w:p>
    <w:p w14:paraId="57A57335" w14:textId="77777777" w:rsidR="00051ED4" w:rsidRDefault="00051ED4" w:rsidP="00051ED4">
      <w:pPr>
        <w:ind w:left="720" w:firstLine="720"/>
        <w:rPr>
          <w:rFonts w:asciiTheme="minorHAnsi" w:hAnsiTheme="minorHAnsi" w:cstheme="minorHAnsi"/>
        </w:rPr>
      </w:pPr>
    </w:p>
    <w:p w14:paraId="1C47BD18" w14:textId="77777777" w:rsidR="00051ED4" w:rsidRPr="00051ED4" w:rsidRDefault="00051ED4" w:rsidP="00051ED4">
      <w:pPr>
        <w:ind w:left="2160" w:firstLine="720"/>
        <w:rPr>
          <w:rFonts w:asciiTheme="minorHAnsi" w:hAnsiTheme="minorHAnsi" w:cstheme="minorHAnsi"/>
        </w:rPr>
      </w:pPr>
      <w:r w:rsidRPr="00051ED4">
        <w:rPr>
          <w:rFonts w:asciiTheme="minorHAnsi" w:hAnsiTheme="minorHAnsi" w:cstheme="minorHAnsi"/>
        </w:rPr>
        <w:t xml:space="preserve">On behalf of the UK Cutaneous Lymphoma Group </w:t>
      </w:r>
    </w:p>
    <w:p w14:paraId="072E089B" w14:textId="77777777" w:rsidR="00051ED4" w:rsidRPr="00051ED4" w:rsidRDefault="00051ED4" w:rsidP="00051ED4">
      <w:pPr>
        <w:rPr>
          <w:rStyle w:val="element-citation"/>
          <w:rFonts w:asciiTheme="minorHAnsi" w:hAnsiTheme="minorHAnsi" w:cstheme="minorHAnsi"/>
          <w:lang w:val="en"/>
        </w:rPr>
      </w:pPr>
      <w:r w:rsidRPr="00051ED4">
        <w:rPr>
          <w:rStyle w:val="element-citation"/>
          <w:rFonts w:asciiTheme="minorHAnsi" w:hAnsiTheme="minorHAnsi" w:cstheme="minorHAnsi"/>
          <w:lang w:val="en"/>
        </w:rPr>
        <w:br w:type="page"/>
      </w:r>
      <w:proofErr w:type="spellStart"/>
      <w:r w:rsidRPr="00051ED4">
        <w:rPr>
          <w:rStyle w:val="element-citation"/>
          <w:rFonts w:asciiTheme="minorHAnsi" w:hAnsiTheme="minorHAnsi" w:cstheme="minorHAnsi"/>
          <w:lang w:val="en"/>
        </w:rPr>
        <w:lastRenderedPageBreak/>
        <w:t>Duvic</w:t>
      </w:r>
      <w:proofErr w:type="spellEnd"/>
      <w:r w:rsidRPr="00051ED4">
        <w:rPr>
          <w:rStyle w:val="element-citation"/>
          <w:rFonts w:asciiTheme="minorHAnsi" w:hAnsiTheme="minorHAnsi" w:cstheme="minorHAnsi"/>
          <w:lang w:val="en"/>
        </w:rPr>
        <w:t xml:space="preserve"> M, Martin AG, Kim Y, et al. Worldwide Bexarotene Study Group Phase 2 and 3 clinical trial of oral bexarotene (Targretin capsules) for the treatment of refractory or persistent early-stage cutaneous T-cell lymphoma. </w:t>
      </w:r>
      <w:r w:rsidRPr="00051ED4">
        <w:rPr>
          <w:rStyle w:val="ref-journal1"/>
          <w:rFonts w:asciiTheme="minorHAnsi" w:hAnsiTheme="minorHAnsi" w:cstheme="minorHAnsi"/>
          <w:lang w:val="en"/>
        </w:rPr>
        <w:t xml:space="preserve">Arch Dermatol. </w:t>
      </w:r>
      <w:r w:rsidRPr="00051ED4">
        <w:rPr>
          <w:rStyle w:val="element-citation"/>
          <w:rFonts w:asciiTheme="minorHAnsi" w:hAnsiTheme="minorHAnsi" w:cstheme="minorHAnsi"/>
          <w:lang w:val="en"/>
        </w:rPr>
        <w:t>2001;</w:t>
      </w:r>
      <w:r w:rsidRPr="00051ED4">
        <w:rPr>
          <w:rStyle w:val="ref-vol"/>
          <w:rFonts w:asciiTheme="minorHAnsi" w:hAnsiTheme="minorHAnsi" w:cstheme="minorHAnsi"/>
          <w:lang w:val="en"/>
        </w:rPr>
        <w:t>137</w:t>
      </w:r>
      <w:r w:rsidRPr="00051ED4">
        <w:rPr>
          <w:rStyle w:val="element-citation"/>
          <w:rFonts w:asciiTheme="minorHAnsi" w:hAnsiTheme="minorHAnsi" w:cstheme="minorHAnsi"/>
          <w:lang w:val="en"/>
        </w:rPr>
        <w:t>(5):581–593</w:t>
      </w:r>
    </w:p>
    <w:p w14:paraId="0C0CCF58" w14:textId="77777777" w:rsidR="00051ED4" w:rsidRPr="00051ED4" w:rsidRDefault="00051ED4" w:rsidP="00051ED4">
      <w:pPr>
        <w:rPr>
          <w:rFonts w:asciiTheme="minorHAnsi" w:hAnsiTheme="minorHAnsi" w:cstheme="minorHAnsi"/>
          <w:color w:val="1F497D"/>
        </w:rPr>
      </w:pPr>
      <w:r w:rsidRPr="00051ED4">
        <w:rPr>
          <w:rFonts w:asciiTheme="minorHAnsi" w:hAnsiTheme="minorHAnsi" w:cstheme="minorHAnsi"/>
          <w:color w:val="1A1A1A"/>
          <w:shd w:val="clear" w:color="auto" w:fill="FFFFFF"/>
        </w:rPr>
        <w:t xml:space="preserve">Madeleine </w:t>
      </w:r>
      <w:proofErr w:type="spellStart"/>
      <w:r w:rsidRPr="00051ED4">
        <w:rPr>
          <w:rFonts w:asciiTheme="minorHAnsi" w:hAnsiTheme="minorHAnsi" w:cstheme="minorHAnsi"/>
          <w:color w:val="1A1A1A"/>
          <w:shd w:val="clear" w:color="auto" w:fill="FFFFFF"/>
        </w:rPr>
        <w:t>Duvic</w:t>
      </w:r>
      <w:proofErr w:type="spellEnd"/>
      <w:r w:rsidRPr="00051ED4">
        <w:rPr>
          <w:rFonts w:asciiTheme="minorHAnsi" w:hAnsiTheme="minorHAnsi" w:cstheme="minorHAnsi"/>
          <w:color w:val="1A1A1A"/>
          <w:shd w:val="clear" w:color="auto" w:fill="FFFFFF"/>
        </w:rPr>
        <w:t xml:space="preserve">, </w:t>
      </w:r>
      <w:proofErr w:type="spellStart"/>
      <w:r w:rsidRPr="00051ED4">
        <w:rPr>
          <w:rFonts w:asciiTheme="minorHAnsi" w:hAnsiTheme="minorHAnsi" w:cstheme="minorHAnsi"/>
          <w:color w:val="1A1A1A"/>
          <w:shd w:val="clear" w:color="auto" w:fill="FFFFFF"/>
        </w:rPr>
        <w:t>Rakshandra</w:t>
      </w:r>
      <w:proofErr w:type="spellEnd"/>
      <w:r w:rsidRPr="00051ED4">
        <w:rPr>
          <w:rFonts w:asciiTheme="minorHAnsi" w:hAnsiTheme="minorHAnsi" w:cstheme="minorHAnsi"/>
          <w:color w:val="1A1A1A"/>
          <w:shd w:val="clear" w:color="auto" w:fill="FFFFFF"/>
        </w:rPr>
        <w:t xml:space="preserve"> </w:t>
      </w:r>
      <w:proofErr w:type="spellStart"/>
      <w:r w:rsidRPr="00051ED4">
        <w:rPr>
          <w:rFonts w:asciiTheme="minorHAnsi" w:hAnsiTheme="minorHAnsi" w:cstheme="minorHAnsi"/>
          <w:color w:val="1A1A1A"/>
          <w:shd w:val="clear" w:color="auto" w:fill="FFFFFF"/>
        </w:rPr>
        <w:t>Talpur</w:t>
      </w:r>
      <w:proofErr w:type="spellEnd"/>
      <w:r w:rsidRPr="00051ED4">
        <w:rPr>
          <w:rFonts w:asciiTheme="minorHAnsi" w:hAnsiTheme="minorHAnsi" w:cstheme="minorHAnsi"/>
          <w:color w:val="1A1A1A"/>
          <w:shd w:val="clear" w:color="auto" w:fill="FFFFFF"/>
        </w:rPr>
        <w:t xml:space="preserve">, Xiao Ni, </w:t>
      </w:r>
      <w:proofErr w:type="spellStart"/>
      <w:r w:rsidRPr="00051ED4">
        <w:rPr>
          <w:rFonts w:asciiTheme="minorHAnsi" w:hAnsiTheme="minorHAnsi" w:cstheme="minorHAnsi"/>
          <w:color w:val="1A1A1A"/>
          <w:shd w:val="clear" w:color="auto" w:fill="FFFFFF"/>
        </w:rPr>
        <w:t>Chunlei</w:t>
      </w:r>
      <w:proofErr w:type="spellEnd"/>
      <w:r w:rsidRPr="00051ED4">
        <w:rPr>
          <w:rFonts w:asciiTheme="minorHAnsi" w:hAnsiTheme="minorHAnsi" w:cstheme="minorHAnsi"/>
          <w:color w:val="1A1A1A"/>
          <w:shd w:val="clear" w:color="auto" w:fill="FFFFFF"/>
        </w:rPr>
        <w:t xml:space="preserve"> Zhang, </w:t>
      </w:r>
      <w:proofErr w:type="spellStart"/>
      <w:r w:rsidRPr="00051ED4">
        <w:rPr>
          <w:rFonts w:asciiTheme="minorHAnsi" w:hAnsiTheme="minorHAnsi" w:cstheme="minorHAnsi"/>
          <w:color w:val="1A1A1A"/>
          <w:shd w:val="clear" w:color="auto" w:fill="FFFFFF"/>
        </w:rPr>
        <w:t>Parul</w:t>
      </w:r>
      <w:proofErr w:type="spellEnd"/>
      <w:r w:rsidRPr="00051ED4">
        <w:rPr>
          <w:rFonts w:asciiTheme="minorHAnsi" w:hAnsiTheme="minorHAnsi" w:cstheme="minorHAnsi"/>
          <w:color w:val="1A1A1A"/>
          <w:shd w:val="clear" w:color="auto" w:fill="FFFFFF"/>
        </w:rPr>
        <w:t xml:space="preserve"> Hazarika, Cecilia Kelly, Judy H. Chiao, John F. Reilly, Justin L. Ricker, Victoria M. </w:t>
      </w:r>
      <w:proofErr w:type="spellStart"/>
      <w:r w:rsidRPr="00051ED4">
        <w:rPr>
          <w:rFonts w:asciiTheme="minorHAnsi" w:hAnsiTheme="minorHAnsi" w:cstheme="minorHAnsi"/>
          <w:color w:val="1A1A1A"/>
          <w:shd w:val="clear" w:color="auto" w:fill="FFFFFF"/>
        </w:rPr>
        <w:t>Richon</w:t>
      </w:r>
      <w:proofErr w:type="spellEnd"/>
      <w:r w:rsidRPr="00051ED4">
        <w:rPr>
          <w:rFonts w:asciiTheme="minorHAnsi" w:hAnsiTheme="minorHAnsi" w:cstheme="minorHAnsi"/>
          <w:color w:val="1A1A1A"/>
          <w:shd w:val="clear" w:color="auto" w:fill="FFFFFF"/>
        </w:rPr>
        <w:t xml:space="preserve">, Stanley R. Frankel; Phase 2 trial of oral </w:t>
      </w:r>
      <w:proofErr w:type="spellStart"/>
      <w:r w:rsidRPr="00051ED4">
        <w:rPr>
          <w:rFonts w:asciiTheme="minorHAnsi" w:hAnsiTheme="minorHAnsi" w:cstheme="minorHAnsi"/>
          <w:color w:val="1A1A1A"/>
          <w:shd w:val="clear" w:color="auto" w:fill="FFFFFF"/>
        </w:rPr>
        <w:t>vorinostat</w:t>
      </w:r>
      <w:proofErr w:type="spellEnd"/>
      <w:r w:rsidRPr="00051ED4">
        <w:rPr>
          <w:rFonts w:asciiTheme="minorHAnsi" w:hAnsiTheme="minorHAnsi" w:cstheme="minorHAnsi"/>
          <w:color w:val="1A1A1A"/>
          <w:shd w:val="clear" w:color="auto" w:fill="FFFFFF"/>
        </w:rPr>
        <w:t xml:space="preserve"> (</w:t>
      </w:r>
      <w:proofErr w:type="spellStart"/>
      <w:r w:rsidRPr="00051ED4">
        <w:rPr>
          <w:rFonts w:asciiTheme="minorHAnsi" w:hAnsiTheme="minorHAnsi" w:cstheme="minorHAnsi"/>
          <w:color w:val="1A1A1A"/>
          <w:shd w:val="clear" w:color="auto" w:fill="FFFFFF"/>
        </w:rPr>
        <w:t>suberoylanilide</w:t>
      </w:r>
      <w:proofErr w:type="spellEnd"/>
      <w:r w:rsidRPr="00051ED4">
        <w:rPr>
          <w:rFonts w:asciiTheme="minorHAnsi" w:hAnsiTheme="minorHAnsi" w:cstheme="minorHAnsi"/>
          <w:color w:val="1A1A1A"/>
          <w:shd w:val="clear" w:color="auto" w:fill="FFFFFF"/>
        </w:rPr>
        <w:t xml:space="preserve"> hydroxamic acid, SAHA) for refractory cutaneous T-cell lymphoma (CTCL). </w:t>
      </w:r>
      <w:r w:rsidRPr="00051ED4">
        <w:rPr>
          <w:rStyle w:val="Emphasis"/>
          <w:rFonts w:asciiTheme="minorHAnsi" w:hAnsiTheme="minorHAnsi" w:cstheme="minorHAnsi"/>
          <w:color w:val="1A1A1A"/>
          <w:bdr w:val="none" w:sz="0" w:space="0" w:color="auto" w:frame="1"/>
          <w:shd w:val="clear" w:color="auto" w:fill="FFFFFF"/>
        </w:rPr>
        <w:t>Blood</w:t>
      </w:r>
      <w:r w:rsidRPr="00051ED4">
        <w:rPr>
          <w:rFonts w:asciiTheme="minorHAnsi" w:hAnsiTheme="minorHAnsi" w:cstheme="minorHAnsi"/>
          <w:color w:val="1A1A1A"/>
          <w:shd w:val="clear" w:color="auto" w:fill="FFFFFF"/>
        </w:rPr>
        <w:t xml:space="preserve"> 2007; 109 (1): 31–39. </w:t>
      </w:r>
      <w:proofErr w:type="spellStart"/>
      <w:r w:rsidRPr="00051ED4">
        <w:rPr>
          <w:rFonts w:asciiTheme="minorHAnsi" w:hAnsiTheme="minorHAnsi" w:cstheme="minorHAnsi"/>
          <w:color w:val="1A1A1A"/>
          <w:shd w:val="clear" w:color="auto" w:fill="FFFFFF"/>
        </w:rPr>
        <w:t>doi</w:t>
      </w:r>
      <w:proofErr w:type="spellEnd"/>
      <w:r w:rsidRPr="00051ED4">
        <w:rPr>
          <w:rFonts w:asciiTheme="minorHAnsi" w:hAnsiTheme="minorHAnsi" w:cstheme="minorHAnsi"/>
          <w:color w:val="1A1A1A"/>
          <w:shd w:val="clear" w:color="auto" w:fill="FFFFFF"/>
        </w:rPr>
        <w:t>: </w:t>
      </w:r>
      <w:hyperlink r:id="rId9" w:tgtFrame="_blank" w:history="1">
        <w:r w:rsidRPr="00051ED4">
          <w:rPr>
            <w:rStyle w:val="Hyperlink"/>
            <w:rFonts w:asciiTheme="minorHAnsi" w:hAnsiTheme="minorHAnsi" w:cstheme="minorHAnsi"/>
            <w:color w:val="B7000F"/>
            <w:u w:val="none"/>
            <w:bdr w:val="none" w:sz="0" w:space="0" w:color="auto" w:frame="1"/>
            <w:shd w:val="clear" w:color="auto" w:fill="FFFFFF"/>
          </w:rPr>
          <w:t>https://doi.org/10.1182/blood-2006-06-025999</w:t>
        </w:r>
      </w:hyperlink>
    </w:p>
    <w:p w14:paraId="627B1CD0" w14:textId="77777777" w:rsidR="00051ED4" w:rsidRPr="00051ED4" w:rsidRDefault="00051ED4" w:rsidP="00051ED4">
      <w:pPr>
        <w:rPr>
          <w:rStyle w:val="element-citation"/>
          <w:rFonts w:asciiTheme="minorHAnsi" w:hAnsiTheme="minorHAnsi" w:cstheme="minorHAnsi"/>
          <w:lang w:val="en"/>
        </w:rPr>
      </w:pPr>
    </w:p>
    <w:p w14:paraId="280D3A18" w14:textId="77777777" w:rsidR="00051ED4" w:rsidRPr="00051ED4" w:rsidRDefault="00051ED4" w:rsidP="00051ED4">
      <w:pPr>
        <w:rPr>
          <w:rFonts w:asciiTheme="minorHAnsi" w:hAnsiTheme="minorHAnsi" w:cstheme="minorHAnsi"/>
        </w:rPr>
      </w:pPr>
    </w:p>
    <w:p w14:paraId="1E7A7F17" w14:textId="77777777" w:rsidR="00051ED4" w:rsidRPr="00051ED4" w:rsidRDefault="00051ED4" w:rsidP="00051ED4">
      <w:pPr>
        <w:ind w:left="720"/>
        <w:rPr>
          <w:rFonts w:asciiTheme="minorHAnsi" w:hAnsiTheme="minorHAnsi" w:cstheme="minorHAnsi"/>
        </w:rPr>
      </w:pPr>
    </w:p>
    <w:p w14:paraId="5C6A5D0F" w14:textId="77777777" w:rsidR="00051ED4" w:rsidRPr="00051ED4" w:rsidRDefault="00051ED4" w:rsidP="00051ED4">
      <w:pPr>
        <w:ind w:left="720"/>
        <w:rPr>
          <w:rFonts w:asciiTheme="minorHAnsi" w:hAnsiTheme="minorHAnsi" w:cstheme="minorHAnsi"/>
        </w:rPr>
      </w:pPr>
      <w:r w:rsidRPr="00051ED4">
        <w:rPr>
          <w:rFonts w:asciiTheme="minorHAnsi" w:hAnsiTheme="minorHAnsi" w:cstheme="minorHAnsi"/>
        </w:rPr>
        <w:t>Examples of cross over trials which have led to approval by NICE:</w:t>
      </w:r>
    </w:p>
    <w:p w14:paraId="77810221" w14:textId="77777777" w:rsidR="00051ED4" w:rsidRPr="00051ED4" w:rsidRDefault="00051ED4" w:rsidP="00051ED4">
      <w:pPr>
        <w:rPr>
          <w:rFonts w:asciiTheme="minorHAnsi" w:hAnsiTheme="minorHAnsi" w:cstheme="minorHAnsi"/>
        </w:rPr>
      </w:pPr>
      <w:r w:rsidRPr="00051ED4">
        <w:rPr>
          <w:rFonts w:asciiTheme="minorHAnsi" w:hAnsiTheme="minorHAnsi" w:cstheme="minorHAnsi"/>
        </w:rPr>
        <w:t xml:space="preserve">1. </w:t>
      </w:r>
      <w:hyperlink r:id="rId10" w:history="1">
        <w:r w:rsidRPr="00051ED4">
          <w:rPr>
            <w:rStyle w:val="Hyperlink"/>
            <w:rFonts w:asciiTheme="minorHAnsi" w:hAnsiTheme="minorHAnsi" w:cstheme="minorHAnsi"/>
          </w:rPr>
          <w:t>https://www.nice.org.uk/guidance/ta488/documents/final-appraisal-determination-document</w:t>
        </w:r>
      </w:hyperlink>
    </w:p>
    <w:p w14:paraId="2B3BAB98" w14:textId="77777777" w:rsidR="00051ED4" w:rsidRPr="00051ED4" w:rsidRDefault="00051ED4" w:rsidP="00051ED4">
      <w:pPr>
        <w:rPr>
          <w:rFonts w:asciiTheme="minorHAnsi" w:hAnsiTheme="minorHAnsi" w:cstheme="minorHAnsi"/>
        </w:rPr>
      </w:pPr>
      <w:r w:rsidRPr="00051ED4">
        <w:rPr>
          <w:rFonts w:asciiTheme="minorHAnsi" w:hAnsiTheme="minorHAnsi" w:cstheme="minorHAnsi"/>
        </w:rPr>
        <w:t xml:space="preserve">2. </w:t>
      </w:r>
      <w:hyperlink r:id="rId11" w:history="1">
        <w:r w:rsidRPr="00051ED4">
          <w:rPr>
            <w:rStyle w:val="Hyperlink"/>
            <w:rFonts w:asciiTheme="minorHAnsi" w:hAnsiTheme="minorHAnsi" w:cstheme="minorHAnsi"/>
          </w:rPr>
          <w:t>https://www.nice.org.uk/guidance/ta432/documents/final-appraisal-determination-document</w:t>
        </w:r>
      </w:hyperlink>
    </w:p>
    <w:p w14:paraId="2B32A695" w14:textId="77777777" w:rsidR="00051ED4" w:rsidRPr="00051ED4" w:rsidRDefault="00051ED4" w:rsidP="00051ED4">
      <w:pPr>
        <w:rPr>
          <w:rFonts w:asciiTheme="minorHAnsi" w:hAnsiTheme="minorHAnsi" w:cstheme="minorHAnsi"/>
        </w:rPr>
      </w:pPr>
      <w:r w:rsidRPr="00051ED4">
        <w:rPr>
          <w:rFonts w:asciiTheme="minorHAnsi" w:hAnsiTheme="minorHAnsi" w:cstheme="minorHAnsi"/>
        </w:rPr>
        <w:t xml:space="preserve">3. </w:t>
      </w:r>
      <w:hyperlink r:id="rId12" w:history="1">
        <w:r w:rsidRPr="00051ED4">
          <w:rPr>
            <w:rStyle w:val="Hyperlink"/>
            <w:rFonts w:asciiTheme="minorHAnsi" w:hAnsiTheme="minorHAnsi" w:cstheme="minorHAnsi"/>
          </w:rPr>
          <w:t>https://www.nice.org.uk/guidance/ta653/documents/final-appraisal-determination-document</w:t>
        </w:r>
      </w:hyperlink>
    </w:p>
    <w:p w14:paraId="512D7D17" w14:textId="77777777" w:rsidR="00051ED4" w:rsidRPr="00051ED4" w:rsidRDefault="00051ED4" w:rsidP="00051ED4">
      <w:pPr>
        <w:rPr>
          <w:rFonts w:asciiTheme="minorHAnsi" w:hAnsiTheme="minorHAnsi" w:cstheme="minorHAnsi"/>
        </w:rPr>
      </w:pPr>
      <w:r w:rsidRPr="00051ED4">
        <w:rPr>
          <w:rFonts w:asciiTheme="minorHAnsi" w:hAnsiTheme="minorHAnsi" w:cstheme="minorHAnsi"/>
        </w:rPr>
        <w:t xml:space="preserve">4. </w:t>
      </w:r>
      <w:hyperlink r:id="rId13" w:history="1">
        <w:r w:rsidRPr="00051ED4">
          <w:rPr>
            <w:rStyle w:val="Hyperlink"/>
            <w:rFonts w:asciiTheme="minorHAnsi" w:hAnsiTheme="minorHAnsi" w:cstheme="minorHAnsi"/>
          </w:rPr>
          <w:t>https://www.nice.org.uk/guidance/ta357/documents/melanoma-unresectable-metastatic-pembrolizumab-after-ipilimumab-id760-final-appraisal-determination-document2</w:t>
        </w:r>
      </w:hyperlink>
    </w:p>
    <w:p w14:paraId="75333EFE" w14:textId="1677E179" w:rsidR="003F5C8D" w:rsidRPr="00051ED4" w:rsidRDefault="003F5C8D" w:rsidP="003F5C8D">
      <w:pPr>
        <w:rPr>
          <w:rFonts w:asciiTheme="minorHAnsi" w:hAnsiTheme="minorHAnsi" w:cstheme="minorHAnsi"/>
          <w:bCs/>
        </w:rPr>
      </w:pPr>
    </w:p>
    <w:p w14:paraId="30E8E3E2" w14:textId="77777777" w:rsidR="003F5C8D" w:rsidRPr="00051ED4" w:rsidRDefault="003F5C8D" w:rsidP="003F5C8D">
      <w:pPr>
        <w:rPr>
          <w:rFonts w:asciiTheme="minorHAnsi" w:hAnsiTheme="minorHAnsi" w:cstheme="minorHAnsi"/>
          <w:bCs/>
        </w:rPr>
      </w:pPr>
    </w:p>
    <w:p w14:paraId="20D70DA5" w14:textId="6F11CC08" w:rsidR="003F5C8D" w:rsidRPr="00051ED4" w:rsidRDefault="003F5C8D" w:rsidP="003F5C8D">
      <w:pPr>
        <w:rPr>
          <w:rFonts w:asciiTheme="minorHAnsi" w:hAnsiTheme="minorHAnsi" w:cstheme="minorHAnsi"/>
          <w:bCs/>
        </w:rPr>
      </w:pPr>
    </w:p>
    <w:p w14:paraId="7F26E62E" w14:textId="77777777" w:rsidR="009D2C47" w:rsidRPr="00051ED4" w:rsidRDefault="009D2C47" w:rsidP="009D2C47">
      <w:pPr>
        <w:rPr>
          <w:rFonts w:asciiTheme="minorHAnsi" w:hAnsiTheme="minorHAnsi" w:cstheme="minorHAnsi"/>
          <w:bCs/>
        </w:rPr>
      </w:pPr>
    </w:p>
    <w:p w14:paraId="6F330159" w14:textId="77777777" w:rsidR="003F5C8D" w:rsidRPr="00051ED4" w:rsidRDefault="003F5C8D" w:rsidP="009D2C47">
      <w:pPr>
        <w:rPr>
          <w:rFonts w:asciiTheme="minorHAnsi" w:hAnsiTheme="minorHAnsi" w:cstheme="minorHAnsi"/>
          <w:bCs/>
        </w:rPr>
      </w:pPr>
    </w:p>
    <w:p w14:paraId="1A2B769D" w14:textId="40CC4908" w:rsidR="00800876" w:rsidRPr="00051ED4" w:rsidRDefault="00800876">
      <w:pPr>
        <w:rPr>
          <w:rFonts w:asciiTheme="minorHAnsi" w:hAnsiTheme="minorHAnsi" w:cstheme="minorHAnsi"/>
        </w:rPr>
      </w:pPr>
    </w:p>
    <w:sectPr w:rsidR="00800876" w:rsidRPr="00051ED4" w:rsidSect="00055B65">
      <w:headerReference w:type="default" r:id="rId14"/>
      <w:footerReference w:type="default" r:id="rId15"/>
      <w:pgSz w:w="11909" w:h="16834" w:code="9"/>
      <w:pgMar w:top="567" w:right="567" w:bottom="567" w:left="56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C6A19" w14:textId="77777777" w:rsidR="00A80D30" w:rsidRDefault="00A80D30" w:rsidP="006E6DAA">
      <w:r>
        <w:separator/>
      </w:r>
    </w:p>
  </w:endnote>
  <w:endnote w:type="continuationSeparator" w:id="0">
    <w:p w14:paraId="4A2A6769" w14:textId="77777777" w:rsidR="00A80D30" w:rsidRDefault="00A80D30" w:rsidP="006E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4D04B" w14:textId="400318DF" w:rsidR="005B721A" w:rsidRDefault="00D651F1">
    <w:pPr>
      <w:pStyle w:val="Footer"/>
    </w:pPr>
    <w:r>
      <w:rPr>
        <w:noProof/>
        <w:lang w:val="en-GB" w:eastAsia="en-GB"/>
      </w:rPr>
      <w:drawing>
        <wp:inline distT="0" distB="0" distL="0" distR="0" wp14:anchorId="51DDFE0D" wp14:editId="4734B8E4">
          <wp:extent cx="774720" cy="76745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he_Christie_Embrace_CMYK.jpg"/>
                  <pic:cNvPicPr/>
                </pic:nvPicPr>
                <pic:blipFill>
                  <a:blip r:embed="rId1">
                    <a:extLst>
                      <a:ext uri="{28A0092B-C50C-407E-A947-70E740481C1C}">
                        <a14:useLocalDpi xmlns:a14="http://schemas.microsoft.com/office/drawing/2010/main" val="0"/>
                      </a:ext>
                    </a:extLst>
                  </a:blip>
                  <a:stretch>
                    <a:fillRect/>
                  </a:stretch>
                </pic:blipFill>
                <pic:spPr>
                  <a:xfrm>
                    <a:off x="0" y="0"/>
                    <a:ext cx="774720" cy="76745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E04BC" w14:textId="77777777" w:rsidR="00A80D30" w:rsidRDefault="00A80D30" w:rsidP="006E6DAA">
      <w:r>
        <w:separator/>
      </w:r>
    </w:p>
  </w:footnote>
  <w:footnote w:type="continuationSeparator" w:id="0">
    <w:p w14:paraId="32B2D45D" w14:textId="77777777" w:rsidR="00A80D30" w:rsidRDefault="00A80D30" w:rsidP="006E6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F6CF" w14:textId="28C0424A" w:rsidR="006E6DAA" w:rsidRDefault="006E6DAA" w:rsidP="006E6DAA">
    <w:pPr>
      <w:pStyle w:val="Header"/>
      <w:ind w:left="-284" w:right="-459" w:firstLine="284"/>
    </w:pPr>
    <w:r>
      <w:ptab w:relativeTo="margin" w:alignment="right" w:leader="none"/>
    </w:r>
    <w:r w:rsidR="008C3AEA">
      <w:rPr>
        <w:noProof/>
        <w:lang w:val="en-GB" w:eastAsia="en-GB"/>
      </w:rPr>
      <w:drawing>
        <wp:inline distT="0" distB="0" distL="0" distR="0" wp14:anchorId="72BBCA5A" wp14:editId="0D0CD9EE">
          <wp:extent cx="1547164" cy="76788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he Christie NHS Foundation Trust CMYK BLUE_To AWK.eps"/>
                  <pic:cNvPicPr/>
                </pic:nvPicPr>
                <pic:blipFill>
                  <a:blip r:embed="rId1">
                    <a:extLst>
                      <a:ext uri="{28A0092B-C50C-407E-A947-70E740481C1C}">
                        <a14:useLocalDpi xmlns:a14="http://schemas.microsoft.com/office/drawing/2010/main" val="0"/>
                      </a:ext>
                    </a:extLst>
                  </a:blip>
                  <a:stretch>
                    <a:fillRect/>
                  </a:stretch>
                </pic:blipFill>
                <pic:spPr>
                  <a:xfrm>
                    <a:off x="0" y="0"/>
                    <a:ext cx="1547164" cy="7678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015967"/>
    <w:multiLevelType w:val="hybridMultilevel"/>
    <w:tmpl w:val="18C45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66"/>
    <w:rsid w:val="00051ED4"/>
    <w:rsid w:val="00055B65"/>
    <w:rsid w:val="000D4E55"/>
    <w:rsid w:val="000F5766"/>
    <w:rsid w:val="00132738"/>
    <w:rsid w:val="00216A06"/>
    <w:rsid w:val="003F5C8D"/>
    <w:rsid w:val="00566C12"/>
    <w:rsid w:val="005B721A"/>
    <w:rsid w:val="00653476"/>
    <w:rsid w:val="006E6DAA"/>
    <w:rsid w:val="00786C37"/>
    <w:rsid w:val="007B0A22"/>
    <w:rsid w:val="00800876"/>
    <w:rsid w:val="008C3AEA"/>
    <w:rsid w:val="008F01F6"/>
    <w:rsid w:val="008F372E"/>
    <w:rsid w:val="00942266"/>
    <w:rsid w:val="00970B21"/>
    <w:rsid w:val="009D2C47"/>
    <w:rsid w:val="00A80D30"/>
    <w:rsid w:val="00A8487A"/>
    <w:rsid w:val="00AE13DB"/>
    <w:rsid w:val="00B54302"/>
    <w:rsid w:val="00CA0D9D"/>
    <w:rsid w:val="00D53E87"/>
    <w:rsid w:val="00D651F1"/>
    <w:rsid w:val="00FA320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8EF214F"/>
  <w14:defaultImageDpi w14:val="32767"/>
  <w15:docId w15:val="{19BBD0EB-DBCC-4D9C-8185-D86BE87D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autoSpaceDE w:val="0"/>
      <w:autoSpaceDN w:val="0"/>
      <w:adjustRightInd w:val="0"/>
      <w:jc w:val="right"/>
      <w:outlineLvl w:val="0"/>
    </w:pPr>
    <w:rPr>
      <w:rFonts w:ascii="Frutiger" w:hAnsi="Frutiger"/>
      <w:b/>
      <w:bCs/>
      <w:color w:val="000000"/>
      <w:sz w:val="40"/>
      <w:szCs w:val="44"/>
    </w:rPr>
  </w:style>
  <w:style w:type="paragraph" w:styleId="Heading2">
    <w:name w:val="heading 2"/>
    <w:basedOn w:val="Normal"/>
    <w:next w:val="Normal"/>
    <w:qFormat/>
    <w:pPr>
      <w:keepNext/>
      <w:autoSpaceDE w:val="0"/>
      <w:autoSpaceDN w:val="0"/>
      <w:adjustRightInd w:val="0"/>
      <w:jc w:val="right"/>
      <w:outlineLvl w:val="1"/>
    </w:pPr>
    <w:rPr>
      <w:rFonts w:ascii="Frutiger" w:hAnsi="Frutiger"/>
      <w:b/>
      <w:bCs/>
      <w:color w:val="000000"/>
      <w:szCs w:val="28"/>
    </w:rPr>
  </w:style>
  <w:style w:type="paragraph" w:styleId="Heading3">
    <w:name w:val="heading 3"/>
    <w:basedOn w:val="Normal"/>
    <w:next w:val="Normal"/>
    <w:qFormat/>
    <w:pPr>
      <w:keepNext/>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er">
    <w:name w:val="header"/>
    <w:basedOn w:val="Normal"/>
    <w:link w:val="HeaderChar"/>
    <w:uiPriority w:val="99"/>
    <w:rsid w:val="006E6DAA"/>
    <w:pPr>
      <w:tabs>
        <w:tab w:val="center" w:pos="4513"/>
        <w:tab w:val="right" w:pos="9026"/>
      </w:tabs>
    </w:pPr>
  </w:style>
  <w:style w:type="character" w:customStyle="1" w:styleId="HeaderChar">
    <w:name w:val="Header Char"/>
    <w:basedOn w:val="DefaultParagraphFont"/>
    <w:link w:val="Header"/>
    <w:uiPriority w:val="99"/>
    <w:rsid w:val="006E6DAA"/>
    <w:rPr>
      <w:sz w:val="24"/>
      <w:szCs w:val="24"/>
      <w:lang w:val="en-US" w:eastAsia="en-US"/>
    </w:rPr>
  </w:style>
  <w:style w:type="paragraph" w:styleId="Footer">
    <w:name w:val="footer"/>
    <w:basedOn w:val="Normal"/>
    <w:link w:val="FooterChar"/>
    <w:uiPriority w:val="99"/>
    <w:rsid w:val="006E6DAA"/>
    <w:pPr>
      <w:tabs>
        <w:tab w:val="center" w:pos="4513"/>
        <w:tab w:val="right" w:pos="9026"/>
      </w:tabs>
    </w:pPr>
  </w:style>
  <w:style w:type="character" w:customStyle="1" w:styleId="FooterChar">
    <w:name w:val="Footer Char"/>
    <w:basedOn w:val="DefaultParagraphFont"/>
    <w:link w:val="Footer"/>
    <w:uiPriority w:val="99"/>
    <w:rsid w:val="006E6DAA"/>
    <w:rPr>
      <w:sz w:val="24"/>
      <w:szCs w:val="24"/>
      <w:lang w:val="en-US" w:eastAsia="en-US"/>
    </w:rPr>
  </w:style>
  <w:style w:type="paragraph" w:styleId="BalloonText">
    <w:name w:val="Balloon Text"/>
    <w:basedOn w:val="Normal"/>
    <w:link w:val="BalloonTextChar"/>
    <w:rsid w:val="00CA0D9D"/>
    <w:rPr>
      <w:rFonts w:ascii="Tahoma" w:hAnsi="Tahoma" w:cs="Tahoma"/>
      <w:sz w:val="16"/>
      <w:szCs w:val="16"/>
    </w:rPr>
  </w:style>
  <w:style w:type="character" w:customStyle="1" w:styleId="BalloonTextChar">
    <w:name w:val="Balloon Text Char"/>
    <w:basedOn w:val="DefaultParagraphFont"/>
    <w:link w:val="BalloonText"/>
    <w:rsid w:val="00CA0D9D"/>
    <w:rPr>
      <w:rFonts w:ascii="Tahoma" w:hAnsi="Tahoma" w:cs="Tahoma"/>
      <w:sz w:val="16"/>
      <w:szCs w:val="16"/>
      <w:lang w:val="en-US" w:eastAsia="en-US"/>
    </w:rPr>
  </w:style>
  <w:style w:type="character" w:customStyle="1" w:styleId="element-citation">
    <w:name w:val="element-citation"/>
    <w:rsid w:val="00051ED4"/>
  </w:style>
  <w:style w:type="character" w:customStyle="1" w:styleId="ref-journal1">
    <w:name w:val="ref-journal1"/>
    <w:rsid w:val="00051ED4"/>
    <w:rPr>
      <w:i/>
      <w:iCs/>
    </w:rPr>
  </w:style>
  <w:style w:type="character" w:customStyle="1" w:styleId="ref-vol">
    <w:name w:val="ref-vol"/>
    <w:rsid w:val="00051ED4"/>
  </w:style>
  <w:style w:type="character" w:styleId="Emphasis">
    <w:name w:val="Emphasis"/>
    <w:uiPriority w:val="20"/>
    <w:qFormat/>
    <w:rsid w:val="00051E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946355">
      <w:bodyDiv w:val="1"/>
      <w:marLeft w:val="0"/>
      <w:marRight w:val="0"/>
      <w:marTop w:val="0"/>
      <w:marBottom w:val="0"/>
      <w:divBdr>
        <w:top w:val="none" w:sz="0" w:space="0" w:color="auto"/>
        <w:left w:val="none" w:sz="0" w:space="0" w:color="auto"/>
        <w:bottom w:val="none" w:sz="0" w:space="0" w:color="auto"/>
        <w:right w:val="none" w:sz="0" w:space="0" w:color="auto"/>
      </w:divBdr>
    </w:div>
    <w:div w:id="1196581289">
      <w:bodyDiv w:val="1"/>
      <w:marLeft w:val="0"/>
      <w:marRight w:val="0"/>
      <w:marTop w:val="0"/>
      <w:marBottom w:val="0"/>
      <w:divBdr>
        <w:top w:val="none" w:sz="0" w:space="0" w:color="auto"/>
        <w:left w:val="none" w:sz="0" w:space="0" w:color="auto"/>
        <w:bottom w:val="none" w:sz="0" w:space="0" w:color="auto"/>
        <w:right w:val="none" w:sz="0" w:space="0" w:color="auto"/>
      </w:divBdr>
    </w:div>
    <w:div w:id="1243181884">
      <w:bodyDiv w:val="1"/>
      <w:marLeft w:val="0"/>
      <w:marRight w:val="0"/>
      <w:marTop w:val="0"/>
      <w:marBottom w:val="0"/>
      <w:divBdr>
        <w:top w:val="none" w:sz="0" w:space="0" w:color="auto"/>
        <w:left w:val="none" w:sz="0" w:space="0" w:color="auto"/>
        <w:bottom w:val="none" w:sz="0" w:space="0" w:color="auto"/>
        <w:right w:val="none" w:sz="0" w:space="0" w:color="auto"/>
      </w:divBdr>
    </w:div>
    <w:div w:id="1961912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pn01.safelinks.protection.outlook.com/?url=https%3A%2F%2Fwww.nice.org.uk%2Fguidance%2Fta171%2Fdocuments%2Fmultiple-myeloma-lenalidomide-final-appraisal-determination3&amp;data=04%7C01%7CLinda.McNamara%40kyowakirin.com%7C35d98b7d9dc24c34573808d8e8a8a8f1%7C34db9a5d91ba486ebb82d37d2ee1d84c%7C0%7C1%7C637515159258088834%7CUnknown%7CTWFpbGZsb3d8eyJWIjoiMC4wLjAwMDAiLCJQIjoiV2luMzIiLCJBTiI6Ik1haWwiLCJXVCI6Mn0%3D%7C1000&amp;sdata=O31AMDy0Y2R0fv1WdiWeSDJU5ObYixVlAeXXZkV5GfY%3D&amp;reserved=0" TargetMode="External"/><Relationship Id="rId13" Type="http://schemas.openxmlformats.org/officeDocument/2006/relationships/hyperlink" Target="https://www.nice.org.uk/guidance/ta357/documents/melanoma-unresectable-metastatic-pembrolizumab-after-ipilimumab-id760-final-appraisal-determination-document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ta653/documents/final-appraisal-determination-docu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ta432/documents/final-appraisal-determination-docume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ice.org.uk/guidance/ta488/documents/final-appraisal-determination-document" TargetMode="External"/><Relationship Id="rId4" Type="http://schemas.openxmlformats.org/officeDocument/2006/relationships/settings" Target="settings.xml"/><Relationship Id="rId9" Type="http://schemas.openxmlformats.org/officeDocument/2006/relationships/hyperlink" Target="https://doi.org/10.1182/blood-2006-06-025999"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B498F66-A87D-4DE4-B3EE-41AFB9D58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1283</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Corporate Identity - Letterhead Template - Colour</vt:lpstr>
    </vt:vector>
  </TitlesOfParts>
  <Company>Christie Hospital NHS Trust</Company>
  <LinksUpToDate>false</LinksUpToDate>
  <CharactersWithSpaces>9639</CharactersWithSpaces>
  <SharedDoc>false</SharedDoc>
  <HLinks>
    <vt:vector size="12" baseType="variant">
      <vt:variant>
        <vt:i4>2293767</vt:i4>
      </vt:variant>
      <vt:variant>
        <vt:i4>0</vt:i4>
      </vt:variant>
      <vt:variant>
        <vt:i4>0</vt:i4>
      </vt:variant>
      <vt:variant>
        <vt:i4>5</vt:i4>
      </vt:variant>
      <vt:variant>
        <vt:lpwstr>http://www.christie.nhs.uk/</vt:lpwstr>
      </vt:variant>
      <vt:variant>
        <vt:lpwstr/>
      </vt:variant>
      <vt:variant>
        <vt:i4>4128821</vt:i4>
      </vt:variant>
      <vt:variant>
        <vt:i4>2049</vt:i4>
      </vt:variant>
      <vt:variant>
        <vt:i4>1025</vt:i4>
      </vt:variant>
      <vt:variant>
        <vt:i4>1</vt:i4>
      </vt:variant>
      <vt:variant>
        <vt:lpwstr>Embrace-Chritie-NHS Header 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Identity - Letterhead Template - Colour</dc:title>
  <dc:creator>dlees</dc:creator>
  <cp:lastModifiedBy>Lucinda Evans</cp:lastModifiedBy>
  <cp:revision>3</cp:revision>
  <cp:lastPrinted>2018-11-08T16:20:00Z</cp:lastPrinted>
  <dcterms:created xsi:type="dcterms:W3CDTF">2021-04-22T07:49:00Z</dcterms:created>
  <dcterms:modified xsi:type="dcterms:W3CDTF">2021-04-22T08:31:00Z</dcterms:modified>
</cp:coreProperties>
</file>