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02C5" w14:textId="27C523E3" w:rsidR="00F65871" w:rsidRDefault="00453774" w:rsidP="00D96B81">
      <w:pPr>
        <w:rPr>
          <w:rFonts w:ascii="Arial" w:hAnsi="Arial" w:cs="Arial"/>
          <w:sz w:val="24"/>
          <w:szCs w:val="24"/>
        </w:rPr>
      </w:pPr>
      <w:r w:rsidRPr="00D96B81">
        <w:rPr>
          <w:rFonts w:ascii="Arial" w:hAnsi="Arial" w:cs="Arial"/>
          <w:sz w:val="24"/>
          <w:szCs w:val="24"/>
        </w:rPr>
        <w:softHyphen/>
      </w:r>
      <w:r w:rsidR="00D96B81" w:rsidRPr="00D96B81">
        <w:rPr>
          <w:rFonts w:ascii="Arial" w:eastAsia="Times New Roman" w:hAnsi="Arial" w:cs="Arial"/>
          <w:sz w:val="24"/>
          <w:szCs w:val="24"/>
          <w:lang w:eastAsia="en-GB"/>
        </w:rPr>
        <w:t xml:space="preserve">Sent by email to: </w:t>
      </w:r>
      <w:hyperlink r:id="rId8" w:history="1">
        <w:r w:rsidR="00DB7E11" w:rsidRPr="00DB7E11">
          <w:rPr>
            <w:rStyle w:val="Hyperlink"/>
            <w:rFonts w:ascii="Arial" w:hAnsi="Arial" w:cs="Arial"/>
            <w:color w:val="000000" w:themeColor="text1"/>
            <w:sz w:val="24"/>
            <w:szCs w:val="24"/>
            <w:highlight w:val="black"/>
          </w:rPr>
          <w:t>XXXXXXXXXXXXXXXXXXXXXXXXXXXX</w:t>
        </w:r>
      </w:hyperlink>
      <w:r w:rsidR="00DB7E11" w:rsidRPr="00DB7E11">
        <w:rPr>
          <w:rStyle w:val="Hyperlink"/>
          <w:rFonts w:ascii="Arial" w:hAnsi="Arial" w:cs="Arial"/>
          <w:color w:val="000000" w:themeColor="text1"/>
          <w:sz w:val="24"/>
          <w:szCs w:val="24"/>
          <w:highlight w:val="black"/>
        </w:rPr>
        <w:t>X</w:t>
      </w:r>
    </w:p>
    <w:p w14:paraId="1034EA14" w14:textId="77777777" w:rsidR="0008737F" w:rsidRDefault="0008737F" w:rsidP="0008737F">
      <w:pPr>
        <w:widowControl w:val="0"/>
        <w:spacing w:before="240" w:after="240" w:line="240" w:lineRule="auto"/>
        <w:jc w:val="both"/>
        <w:rPr>
          <w:rFonts w:ascii="Arial" w:hAnsi="Arial" w:cs="Arial"/>
          <w:sz w:val="24"/>
          <w:szCs w:val="24"/>
          <w:lang w:eastAsia="en-GB"/>
        </w:rPr>
      </w:pPr>
    </w:p>
    <w:p w14:paraId="390DBC82" w14:textId="4F6E3E9D" w:rsidR="00676C27" w:rsidRPr="00676C27" w:rsidRDefault="00DB7E11" w:rsidP="00676C27">
      <w:pPr>
        <w:widowControl w:val="0"/>
        <w:spacing w:before="120" w:after="120" w:line="240" w:lineRule="auto"/>
        <w:jc w:val="both"/>
        <w:rPr>
          <w:rFonts w:ascii="Arial" w:hAnsi="Arial" w:cs="Arial"/>
          <w:sz w:val="24"/>
          <w:szCs w:val="24"/>
          <w:lang w:eastAsia="en-GB"/>
        </w:rPr>
      </w:pPr>
      <w:r w:rsidRPr="00DB7E11">
        <w:rPr>
          <w:rFonts w:ascii="Arial" w:hAnsi="Arial" w:cs="Arial"/>
          <w:sz w:val="24"/>
          <w:szCs w:val="24"/>
          <w:highlight w:val="black"/>
          <w:lang w:eastAsia="en-GB"/>
        </w:rPr>
        <w:t>XXXXX</w:t>
      </w:r>
      <w:r w:rsidR="00676C27" w:rsidRPr="00DB7E11">
        <w:rPr>
          <w:rFonts w:ascii="Arial" w:hAnsi="Arial" w:cs="Arial"/>
          <w:sz w:val="24"/>
          <w:szCs w:val="24"/>
          <w:highlight w:val="black"/>
          <w:lang w:eastAsia="en-GB"/>
        </w:rPr>
        <w:t xml:space="preserve"> </w:t>
      </w:r>
      <w:r w:rsidRPr="00DB7E11">
        <w:rPr>
          <w:rFonts w:ascii="Arial" w:hAnsi="Arial" w:cs="Arial"/>
          <w:sz w:val="24"/>
          <w:szCs w:val="24"/>
          <w:highlight w:val="black"/>
          <w:lang w:eastAsia="en-GB"/>
        </w:rPr>
        <w:t>XXXXXXXX</w:t>
      </w:r>
      <w:r w:rsidR="00676C27" w:rsidRPr="00DB7E11">
        <w:rPr>
          <w:rFonts w:ascii="Arial" w:hAnsi="Arial" w:cs="Arial"/>
          <w:sz w:val="24"/>
          <w:szCs w:val="24"/>
          <w:highlight w:val="black"/>
          <w:lang w:eastAsia="en-GB"/>
        </w:rPr>
        <w:t xml:space="preserve"> </w:t>
      </w:r>
      <w:r w:rsidRPr="00DB7E11">
        <w:rPr>
          <w:rFonts w:ascii="Arial" w:hAnsi="Arial" w:cs="Arial"/>
          <w:sz w:val="24"/>
          <w:szCs w:val="24"/>
          <w:highlight w:val="black"/>
          <w:lang w:eastAsia="en-GB"/>
        </w:rPr>
        <w:t>XXXX</w:t>
      </w:r>
    </w:p>
    <w:p w14:paraId="17B371F2" w14:textId="2C2FEDA4" w:rsidR="00676C27" w:rsidRDefault="00DB7E11" w:rsidP="00676C27">
      <w:pPr>
        <w:widowControl w:val="0"/>
        <w:spacing w:before="120" w:after="120" w:line="240" w:lineRule="auto"/>
        <w:jc w:val="both"/>
        <w:rPr>
          <w:rFonts w:ascii="Arial" w:hAnsi="Arial" w:cs="Arial"/>
          <w:sz w:val="24"/>
          <w:szCs w:val="24"/>
          <w:lang w:eastAsia="en-GB"/>
        </w:rPr>
      </w:pPr>
      <w:r w:rsidRPr="00DB7E11">
        <w:rPr>
          <w:rFonts w:ascii="Arial" w:hAnsi="Arial" w:cs="Arial"/>
          <w:sz w:val="24"/>
          <w:szCs w:val="24"/>
          <w:highlight w:val="black"/>
          <w:lang w:eastAsia="en-GB"/>
        </w:rPr>
        <w:t>XXXXXX</w:t>
      </w:r>
      <w:r w:rsidR="00676C27" w:rsidRPr="00DB7E11">
        <w:rPr>
          <w:rFonts w:ascii="Arial" w:hAnsi="Arial" w:cs="Arial"/>
          <w:sz w:val="24"/>
          <w:szCs w:val="24"/>
          <w:highlight w:val="black"/>
          <w:lang w:eastAsia="en-GB"/>
        </w:rPr>
        <w:t xml:space="preserve"> </w:t>
      </w:r>
      <w:proofErr w:type="spellStart"/>
      <w:r w:rsidRPr="00DB7E11">
        <w:rPr>
          <w:rFonts w:ascii="Arial" w:hAnsi="Arial" w:cs="Arial"/>
          <w:sz w:val="24"/>
          <w:szCs w:val="24"/>
          <w:highlight w:val="black"/>
          <w:lang w:eastAsia="en-GB"/>
        </w:rPr>
        <w:t>XXXXXX</w:t>
      </w:r>
      <w:proofErr w:type="spellEnd"/>
      <w:r w:rsidR="00676C27" w:rsidRPr="00DB7E11">
        <w:rPr>
          <w:rFonts w:ascii="Arial" w:hAnsi="Arial" w:cs="Arial"/>
          <w:sz w:val="24"/>
          <w:szCs w:val="24"/>
          <w:highlight w:val="black"/>
          <w:lang w:eastAsia="en-GB"/>
        </w:rPr>
        <w:t xml:space="preserve"> </w:t>
      </w:r>
      <w:r w:rsidRPr="00DB7E11">
        <w:rPr>
          <w:rFonts w:ascii="Arial" w:hAnsi="Arial" w:cs="Arial"/>
          <w:sz w:val="24"/>
          <w:szCs w:val="24"/>
          <w:highlight w:val="black"/>
          <w:lang w:eastAsia="en-GB"/>
        </w:rPr>
        <w:t>XXXXXXXX</w:t>
      </w:r>
      <w:r w:rsidR="00676C27" w:rsidRPr="00DB7E11">
        <w:rPr>
          <w:rFonts w:ascii="Arial" w:hAnsi="Arial" w:cs="Arial"/>
          <w:sz w:val="24"/>
          <w:szCs w:val="24"/>
          <w:highlight w:val="black"/>
          <w:lang w:eastAsia="en-GB"/>
        </w:rPr>
        <w:t xml:space="preserve"> </w:t>
      </w:r>
      <w:r w:rsidRPr="00DB7E11">
        <w:rPr>
          <w:rFonts w:ascii="Arial" w:hAnsi="Arial" w:cs="Arial"/>
          <w:sz w:val="24"/>
          <w:szCs w:val="24"/>
          <w:highlight w:val="black"/>
          <w:lang w:eastAsia="en-GB"/>
        </w:rPr>
        <w:t>X XXXXXXXX</w:t>
      </w:r>
      <w:r w:rsidR="00676C27" w:rsidRPr="00DB7E11">
        <w:rPr>
          <w:rFonts w:ascii="Arial" w:hAnsi="Arial" w:cs="Arial"/>
          <w:sz w:val="24"/>
          <w:szCs w:val="24"/>
          <w:highlight w:val="black"/>
          <w:lang w:eastAsia="en-GB"/>
        </w:rPr>
        <w:t xml:space="preserve"> </w:t>
      </w:r>
      <w:r w:rsidRPr="00DB7E11">
        <w:rPr>
          <w:rFonts w:ascii="Arial" w:hAnsi="Arial" w:cs="Arial"/>
          <w:sz w:val="24"/>
          <w:szCs w:val="24"/>
          <w:highlight w:val="black"/>
          <w:lang w:eastAsia="en-GB"/>
        </w:rPr>
        <w:t>XXXXXXX</w:t>
      </w:r>
      <w:r w:rsidR="00676C27" w:rsidRPr="00DB7E11">
        <w:rPr>
          <w:rFonts w:ascii="Arial" w:hAnsi="Arial" w:cs="Arial"/>
          <w:sz w:val="24"/>
          <w:szCs w:val="24"/>
          <w:highlight w:val="black"/>
          <w:lang w:eastAsia="en-GB"/>
        </w:rPr>
        <w:t xml:space="preserve"> </w:t>
      </w:r>
      <w:r w:rsidRPr="00DB7E11">
        <w:rPr>
          <w:rFonts w:ascii="Arial" w:hAnsi="Arial" w:cs="Arial"/>
          <w:sz w:val="24"/>
          <w:szCs w:val="24"/>
          <w:highlight w:val="black"/>
          <w:lang w:eastAsia="en-GB"/>
        </w:rPr>
        <w:t>XXX</w:t>
      </w:r>
      <w:r w:rsidR="00486326" w:rsidRPr="00DB7E11">
        <w:rPr>
          <w:rFonts w:ascii="Arial" w:hAnsi="Arial" w:cs="Arial"/>
          <w:sz w:val="24"/>
          <w:szCs w:val="24"/>
          <w:highlight w:val="black"/>
          <w:lang w:eastAsia="en-GB"/>
        </w:rPr>
        <w:t xml:space="preserve"> </w:t>
      </w:r>
      <w:r w:rsidRPr="00DB7E11">
        <w:rPr>
          <w:rFonts w:ascii="Arial" w:hAnsi="Arial" w:cs="Arial"/>
          <w:sz w:val="24"/>
          <w:szCs w:val="24"/>
          <w:highlight w:val="black"/>
          <w:lang w:eastAsia="en-GB"/>
        </w:rPr>
        <w:t>XXXXXXX</w:t>
      </w:r>
      <w:r w:rsidR="00676C27" w:rsidRPr="00DB7E11">
        <w:rPr>
          <w:rFonts w:ascii="Arial" w:hAnsi="Arial" w:cs="Arial"/>
          <w:sz w:val="24"/>
          <w:szCs w:val="24"/>
          <w:highlight w:val="black"/>
          <w:lang w:eastAsia="en-GB"/>
        </w:rPr>
        <w:t xml:space="preserve"> </w:t>
      </w:r>
      <w:proofErr w:type="spellStart"/>
      <w:r w:rsidRPr="00DB7E11">
        <w:rPr>
          <w:rFonts w:ascii="Arial" w:hAnsi="Arial" w:cs="Arial"/>
          <w:sz w:val="24"/>
          <w:szCs w:val="24"/>
          <w:highlight w:val="black"/>
          <w:lang w:eastAsia="en-GB"/>
        </w:rPr>
        <w:t>XXXXXXX</w:t>
      </w:r>
      <w:proofErr w:type="spellEnd"/>
      <w:r w:rsidR="00676C27" w:rsidRPr="00DB7E11">
        <w:rPr>
          <w:rFonts w:ascii="Arial" w:hAnsi="Arial" w:cs="Arial"/>
          <w:sz w:val="24"/>
          <w:szCs w:val="24"/>
          <w:highlight w:val="black"/>
          <w:lang w:eastAsia="en-GB"/>
        </w:rPr>
        <w:t xml:space="preserve"> </w:t>
      </w:r>
      <w:r w:rsidRPr="00DB7E11">
        <w:rPr>
          <w:rFonts w:ascii="Arial" w:hAnsi="Arial" w:cs="Arial"/>
          <w:sz w:val="24"/>
          <w:szCs w:val="24"/>
          <w:highlight w:val="black"/>
          <w:lang w:eastAsia="en-GB"/>
        </w:rPr>
        <w:t>XXXXXXXX</w:t>
      </w:r>
    </w:p>
    <w:p w14:paraId="5A7C7D1D" w14:textId="22F724B4" w:rsidR="0008737F" w:rsidRDefault="00676C27" w:rsidP="00676C27">
      <w:pPr>
        <w:widowControl w:val="0"/>
        <w:spacing w:before="120" w:after="120" w:line="240" w:lineRule="auto"/>
        <w:jc w:val="both"/>
        <w:rPr>
          <w:rFonts w:ascii="Arial" w:hAnsi="Arial" w:cs="Arial"/>
          <w:sz w:val="24"/>
          <w:szCs w:val="24"/>
          <w:lang w:eastAsia="en-GB"/>
        </w:rPr>
      </w:pPr>
      <w:r>
        <w:rPr>
          <w:rFonts w:ascii="Arial" w:hAnsi="Arial" w:cs="Arial"/>
          <w:sz w:val="24"/>
          <w:szCs w:val="24"/>
          <w:lang w:eastAsia="en-GB"/>
        </w:rPr>
        <w:t>Kyowa Kirin</w:t>
      </w:r>
      <w:r w:rsidR="0008737F">
        <w:rPr>
          <w:rFonts w:ascii="Arial" w:hAnsi="Arial" w:cs="Arial"/>
          <w:sz w:val="24"/>
          <w:szCs w:val="24"/>
          <w:lang w:eastAsia="en-GB"/>
        </w:rPr>
        <w:tab/>
      </w:r>
    </w:p>
    <w:p w14:paraId="69E7987E" w14:textId="77777777" w:rsidR="00A361B6" w:rsidRDefault="00A361B6" w:rsidP="00A361B6">
      <w:pPr>
        <w:widowControl w:val="0"/>
        <w:spacing w:before="120" w:after="120" w:line="240" w:lineRule="auto"/>
        <w:jc w:val="both"/>
        <w:rPr>
          <w:rFonts w:ascii="Arial" w:hAnsi="Arial" w:cs="Arial"/>
          <w:sz w:val="24"/>
          <w:szCs w:val="24"/>
          <w:lang w:eastAsia="en-GB"/>
        </w:rPr>
      </w:pPr>
    </w:p>
    <w:p w14:paraId="5EF74177" w14:textId="044A2FF9" w:rsidR="00C71F14" w:rsidRPr="00C71F14" w:rsidRDefault="005F4E27" w:rsidP="00C71F14">
      <w:pPr>
        <w:widowControl w:val="0"/>
        <w:spacing w:before="240" w:after="240" w:line="240" w:lineRule="auto"/>
        <w:jc w:val="both"/>
        <w:rPr>
          <w:rFonts w:ascii="Arial" w:hAnsi="Arial" w:cs="Arial"/>
          <w:sz w:val="24"/>
          <w:szCs w:val="24"/>
          <w:lang w:eastAsia="en-GB"/>
        </w:rPr>
      </w:pPr>
      <w:r>
        <w:rPr>
          <w:rFonts w:ascii="Arial" w:hAnsi="Arial" w:cs="Arial"/>
          <w:sz w:val="24"/>
          <w:szCs w:val="24"/>
          <w:lang w:eastAsia="en-GB"/>
        </w:rPr>
        <w:t>19 April</w:t>
      </w:r>
      <w:r w:rsidR="00430FF5">
        <w:rPr>
          <w:rFonts w:ascii="Arial" w:hAnsi="Arial" w:cs="Arial"/>
          <w:sz w:val="24"/>
          <w:szCs w:val="24"/>
          <w:lang w:eastAsia="en-GB"/>
        </w:rPr>
        <w:t xml:space="preserve"> 2021</w:t>
      </w:r>
    </w:p>
    <w:p w14:paraId="4E975AC1" w14:textId="77777777" w:rsidR="00C71F14" w:rsidRPr="00A361B6" w:rsidRDefault="00C71F14" w:rsidP="00C71F14">
      <w:pPr>
        <w:widowControl w:val="0"/>
        <w:spacing w:before="240" w:after="240" w:line="240" w:lineRule="auto"/>
        <w:jc w:val="both"/>
        <w:rPr>
          <w:rFonts w:ascii="Arial" w:hAnsi="Arial" w:cs="Arial"/>
          <w:sz w:val="24"/>
          <w:szCs w:val="24"/>
          <w:lang w:eastAsia="en-GB"/>
        </w:rPr>
      </w:pPr>
    </w:p>
    <w:p w14:paraId="5793ECBA" w14:textId="7060BDE3" w:rsidR="00A361B6" w:rsidRPr="00A361B6" w:rsidRDefault="00A361B6" w:rsidP="00A361B6">
      <w:pPr>
        <w:spacing w:line="288" w:lineRule="auto"/>
        <w:jc w:val="both"/>
        <w:rPr>
          <w:rFonts w:ascii="Arial" w:eastAsia="Times New Roman" w:hAnsi="Arial" w:cs="Arial"/>
          <w:sz w:val="24"/>
          <w:szCs w:val="24"/>
        </w:rPr>
      </w:pPr>
      <w:bookmarkStart w:id="0" w:name="deartext"/>
      <w:r w:rsidRPr="00A361B6">
        <w:rPr>
          <w:rFonts w:ascii="Arial" w:eastAsia="Times New Roman" w:hAnsi="Arial" w:cs="Arial"/>
          <w:sz w:val="24"/>
          <w:szCs w:val="24"/>
        </w:rPr>
        <w:t>Dear</w:t>
      </w:r>
      <w:bookmarkEnd w:id="0"/>
      <w:r w:rsidRPr="00A361B6">
        <w:rPr>
          <w:rFonts w:ascii="Arial" w:eastAsia="Times New Roman" w:hAnsi="Arial" w:cs="Arial"/>
          <w:sz w:val="24"/>
          <w:szCs w:val="24"/>
        </w:rPr>
        <w:t xml:space="preserve"> </w:t>
      </w:r>
      <w:bookmarkStart w:id="1" w:name="Sal"/>
      <w:bookmarkEnd w:id="1"/>
      <w:r w:rsidR="00DB7E11" w:rsidRPr="00DB7E11">
        <w:rPr>
          <w:rFonts w:ascii="Arial" w:eastAsia="Times New Roman" w:hAnsi="Arial" w:cs="Arial"/>
          <w:sz w:val="24"/>
          <w:szCs w:val="24"/>
          <w:highlight w:val="black"/>
        </w:rPr>
        <w:t>XX</w:t>
      </w:r>
      <w:r w:rsidR="00486326" w:rsidRPr="00DB7E11">
        <w:rPr>
          <w:rFonts w:ascii="Arial" w:eastAsia="Times New Roman" w:hAnsi="Arial" w:cs="Arial"/>
          <w:sz w:val="24"/>
          <w:szCs w:val="24"/>
          <w:highlight w:val="black"/>
        </w:rPr>
        <w:t xml:space="preserve"> </w:t>
      </w:r>
      <w:r w:rsidR="00DB7E11" w:rsidRPr="00DB7E11">
        <w:rPr>
          <w:rFonts w:ascii="Arial" w:eastAsia="Times New Roman" w:hAnsi="Arial" w:cs="Arial"/>
          <w:sz w:val="24"/>
          <w:szCs w:val="24"/>
          <w:highlight w:val="black"/>
        </w:rPr>
        <w:t>XXXXXXXX</w:t>
      </w:r>
      <w:r w:rsidR="00F65871">
        <w:rPr>
          <w:rFonts w:ascii="Arial" w:eastAsia="Times New Roman" w:hAnsi="Arial"/>
          <w:sz w:val="24"/>
          <w:szCs w:val="24"/>
        </w:rPr>
        <w:t xml:space="preserve"> </w:t>
      </w:r>
    </w:p>
    <w:p w14:paraId="60ED6DD7" w14:textId="6A73A05B" w:rsidR="00A361B6" w:rsidRPr="00A361B6" w:rsidRDefault="00A361B6" w:rsidP="00A361B6">
      <w:pPr>
        <w:spacing w:line="288" w:lineRule="auto"/>
        <w:ind w:left="426" w:right="468" w:hanging="426"/>
        <w:jc w:val="both"/>
        <w:rPr>
          <w:rFonts w:ascii="Arial" w:eastAsia="Times New Roman" w:hAnsi="Arial" w:cs="Arial"/>
          <w:sz w:val="24"/>
          <w:szCs w:val="24"/>
        </w:rPr>
      </w:pPr>
      <w:r w:rsidRPr="00A361B6">
        <w:rPr>
          <w:rFonts w:ascii="Arial" w:eastAsia="Times New Roman" w:hAnsi="Arial"/>
          <w:noProof/>
          <w:color w:val="333333"/>
          <w:sz w:val="24"/>
          <w:szCs w:val="24"/>
        </w:rPr>
        <mc:AlternateContent>
          <mc:Choice Requires="wps">
            <w:drawing>
              <wp:anchor distT="4294967294" distB="4294967294" distL="114300" distR="114300" simplePos="0" relativeHeight="251659264" behindDoc="0" locked="0" layoutInCell="1" allowOverlap="1" wp14:anchorId="2EE5A9EE" wp14:editId="3BB4E1A8">
                <wp:simplePos x="0" y="0"/>
                <wp:positionH relativeFrom="column">
                  <wp:posOffset>-805815</wp:posOffset>
                </wp:positionH>
                <wp:positionV relativeFrom="paragraph">
                  <wp:posOffset>255270</wp:posOffset>
                </wp:positionV>
                <wp:extent cx="8191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222AA3"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yOByX8oBAACBAwAADgAA&#10;AAAAAAAAAAAAAAAuAgAAZHJzL2Uyb0RvYy54bWxQSwECLQAUAAYACAAAACEA2X1V2eAAAAALAQAA&#10;DwAAAAAAAAAAAAAAAAAkBAAAZHJzL2Rvd25yZXYueG1sUEsFBgAAAAAEAAQA8wAAADEFAAAAAA==&#10;" strokecolor="#505050" strokeweight=".25pt">
                <o:lock v:ext="edit" shapetype="f"/>
              </v:line>
            </w:pict>
          </mc:Fallback>
        </mc:AlternateContent>
      </w:r>
      <w:bookmarkStart w:id="2" w:name="Heading"/>
      <w:bookmarkEnd w:id="2"/>
      <w:r w:rsidRPr="00A361B6">
        <w:rPr>
          <w:rFonts w:ascii="Arial" w:eastAsia="Times New Roman" w:hAnsi="Arial" w:cs="Arial"/>
          <w:b/>
          <w:spacing w:val="-3"/>
          <w:sz w:val="24"/>
          <w:szCs w:val="24"/>
        </w:rPr>
        <w:t xml:space="preserve">Re: </w:t>
      </w:r>
      <w:r w:rsidRPr="00A361B6">
        <w:rPr>
          <w:rFonts w:ascii="Arial" w:eastAsia="Times New Roman" w:hAnsi="Arial" w:cs="Arial"/>
          <w:b/>
          <w:sz w:val="24"/>
          <w:szCs w:val="24"/>
        </w:rPr>
        <w:t>Final Appraisal Document –</w:t>
      </w:r>
      <w:r w:rsidRPr="00A361B6">
        <w:rPr>
          <w:rFonts w:ascii="Arial" w:eastAsia="Times New Roman" w:hAnsi="Arial"/>
          <w:sz w:val="24"/>
          <w:szCs w:val="24"/>
        </w:rPr>
        <w:t xml:space="preserve"> </w:t>
      </w:r>
      <w:r w:rsidRPr="00A361B6">
        <w:rPr>
          <w:rFonts w:ascii="Arial" w:eastAsia="Times New Roman" w:hAnsi="Arial" w:cs="Arial"/>
          <w:b/>
          <w:sz w:val="24"/>
          <w:szCs w:val="24"/>
        </w:rPr>
        <w:t>Mogamulizumab for previously treated</w:t>
      </w:r>
      <w:r w:rsidR="00DC2B02">
        <w:rPr>
          <w:rFonts w:ascii="Arial" w:eastAsia="Times New Roman" w:hAnsi="Arial" w:cs="Arial"/>
          <w:b/>
          <w:sz w:val="24"/>
          <w:szCs w:val="24"/>
        </w:rPr>
        <w:t xml:space="preserve"> </w:t>
      </w:r>
      <w:r w:rsidRPr="00A361B6">
        <w:rPr>
          <w:rFonts w:ascii="Arial" w:eastAsia="Times New Roman" w:hAnsi="Arial" w:cs="Arial"/>
          <w:b/>
          <w:sz w:val="24"/>
          <w:szCs w:val="24"/>
        </w:rPr>
        <w:t xml:space="preserve">mycosis fungoides and </w:t>
      </w:r>
      <w:proofErr w:type="spellStart"/>
      <w:r w:rsidRPr="00A361B6">
        <w:rPr>
          <w:rFonts w:ascii="Arial" w:eastAsia="Times New Roman" w:hAnsi="Arial" w:cs="Arial"/>
          <w:b/>
          <w:sz w:val="24"/>
          <w:szCs w:val="24"/>
        </w:rPr>
        <w:t>Sézary</w:t>
      </w:r>
      <w:proofErr w:type="spellEnd"/>
      <w:r w:rsidRPr="00A361B6">
        <w:rPr>
          <w:rFonts w:ascii="Arial" w:eastAsia="Times New Roman" w:hAnsi="Arial" w:cs="Arial"/>
          <w:b/>
          <w:sz w:val="24"/>
          <w:szCs w:val="24"/>
        </w:rPr>
        <w:t xml:space="preserve"> syndrome [ID1405]</w:t>
      </w:r>
    </w:p>
    <w:p w14:paraId="403ABC2F" w14:textId="1AD9D65B" w:rsidR="005F4E27" w:rsidRPr="005F4E27" w:rsidRDefault="005F4E27" w:rsidP="005F4E27">
      <w:pPr>
        <w:rPr>
          <w:rFonts w:ascii="Arial" w:eastAsia="Times New Roman" w:hAnsi="Arial" w:cs="Arial"/>
          <w:sz w:val="24"/>
          <w:szCs w:val="24"/>
        </w:rPr>
      </w:pPr>
      <w:r w:rsidRPr="005F4E27">
        <w:rPr>
          <w:rFonts w:ascii="Arial" w:eastAsia="Times New Roman" w:hAnsi="Arial" w:cs="Arial"/>
          <w:sz w:val="24"/>
          <w:szCs w:val="24"/>
        </w:rPr>
        <w:t>Thank you for your letter o</w:t>
      </w:r>
      <w:r>
        <w:rPr>
          <w:rFonts w:ascii="Arial" w:eastAsia="Times New Roman" w:hAnsi="Arial" w:cs="Arial"/>
          <w:sz w:val="24"/>
          <w:szCs w:val="24"/>
        </w:rPr>
        <w:t>f</w:t>
      </w:r>
      <w:r w:rsidRPr="005F4E27">
        <w:rPr>
          <w:rFonts w:ascii="Arial" w:eastAsia="Times New Roman" w:hAnsi="Arial" w:cs="Arial"/>
          <w:sz w:val="24"/>
          <w:szCs w:val="24"/>
        </w:rPr>
        <w:t xml:space="preserve"> 12 April 2021, responding to my initial scrutiny letter.  This letter represents my final decision on initial scrutiny.</w:t>
      </w:r>
    </w:p>
    <w:p w14:paraId="28522D18" w14:textId="51160D12" w:rsidR="005F4E27" w:rsidRPr="005F4E27" w:rsidRDefault="00FA78D4" w:rsidP="005F4E27">
      <w:pPr>
        <w:rPr>
          <w:rFonts w:ascii="Arial" w:eastAsia="Times New Roman" w:hAnsi="Arial" w:cs="Arial"/>
          <w:b/>
          <w:sz w:val="24"/>
          <w:szCs w:val="24"/>
        </w:rPr>
      </w:pPr>
      <w:r w:rsidRPr="00F65871">
        <w:rPr>
          <w:rFonts w:ascii="Arial" w:eastAsia="Times New Roman" w:hAnsi="Arial" w:cs="Arial"/>
          <w:b/>
          <w:i/>
          <w:sz w:val="24"/>
          <w:szCs w:val="24"/>
          <w:lang w:eastAsia="en-GB"/>
        </w:rPr>
        <w:t>Ground 1(a): In making the assessment that preceded the recommendation, NICE has failed to act fairly</w:t>
      </w:r>
    </w:p>
    <w:p w14:paraId="7398B946" w14:textId="1BC418A3" w:rsidR="005F4E27" w:rsidRPr="00FA78D4" w:rsidRDefault="005F4E27" w:rsidP="00FA78D4">
      <w:pPr>
        <w:pStyle w:val="ListParagraph"/>
        <w:numPr>
          <w:ilvl w:val="1"/>
          <w:numId w:val="9"/>
        </w:numPr>
        <w:spacing w:after="200" w:line="276" w:lineRule="auto"/>
        <w:ind w:left="357" w:hanging="357"/>
        <w:rPr>
          <w:rFonts w:cs="Arial"/>
          <w:b/>
          <w:bCs/>
          <w:sz w:val="24"/>
          <w:szCs w:val="24"/>
        </w:rPr>
      </w:pPr>
      <w:r w:rsidRPr="00FA78D4">
        <w:rPr>
          <w:rFonts w:cs="Arial"/>
          <w:b/>
          <w:bCs/>
          <w:sz w:val="24"/>
          <w:szCs w:val="24"/>
        </w:rPr>
        <w:t xml:space="preserve">The Committee’s decision that allogenic stem cell transplant should not be included in the economic modelling for mogamulizumab because </w:t>
      </w:r>
      <w:proofErr w:type="spellStart"/>
      <w:r w:rsidRPr="00FA78D4">
        <w:rPr>
          <w:rFonts w:cs="Arial"/>
          <w:b/>
          <w:bCs/>
          <w:sz w:val="24"/>
          <w:szCs w:val="24"/>
        </w:rPr>
        <w:t>aSCT</w:t>
      </w:r>
      <w:proofErr w:type="spellEnd"/>
      <w:r w:rsidRPr="00FA78D4">
        <w:rPr>
          <w:rFonts w:cs="Arial"/>
          <w:b/>
          <w:bCs/>
          <w:sz w:val="24"/>
          <w:szCs w:val="24"/>
        </w:rPr>
        <w:t xml:space="preserve"> had not been permitted in the MAVORIC trial is unfair</w:t>
      </w:r>
    </w:p>
    <w:p w14:paraId="45089E2D" w14:textId="6ED8AF1C" w:rsidR="005F4E27" w:rsidRPr="005F4E27" w:rsidRDefault="005F4E27" w:rsidP="00FA78D4">
      <w:pPr>
        <w:rPr>
          <w:rFonts w:ascii="Arial" w:eastAsia="Times New Roman" w:hAnsi="Arial" w:cs="Arial"/>
          <w:sz w:val="24"/>
          <w:szCs w:val="24"/>
        </w:rPr>
      </w:pPr>
      <w:r w:rsidRPr="005F4E27">
        <w:rPr>
          <w:rFonts w:ascii="Arial" w:eastAsia="Times New Roman" w:hAnsi="Arial" w:cs="Arial"/>
          <w:sz w:val="24"/>
          <w:szCs w:val="24"/>
        </w:rPr>
        <w:t>Already accepted as valid</w:t>
      </w:r>
      <w:r>
        <w:rPr>
          <w:rFonts w:ascii="Arial" w:eastAsia="Times New Roman" w:hAnsi="Arial" w:cs="Arial"/>
          <w:sz w:val="24"/>
          <w:szCs w:val="24"/>
        </w:rPr>
        <w:t>.</w:t>
      </w:r>
    </w:p>
    <w:p w14:paraId="76A905FA" w14:textId="64DC583A" w:rsidR="005F4E27" w:rsidRPr="00FA78D4" w:rsidRDefault="005F4E27" w:rsidP="00FA78D4">
      <w:pPr>
        <w:pStyle w:val="ListParagraph"/>
        <w:numPr>
          <w:ilvl w:val="1"/>
          <w:numId w:val="9"/>
        </w:numPr>
        <w:spacing w:after="200" w:line="276" w:lineRule="auto"/>
        <w:ind w:left="357" w:hanging="357"/>
        <w:rPr>
          <w:rFonts w:cs="Arial"/>
          <w:b/>
          <w:bCs/>
          <w:sz w:val="24"/>
          <w:szCs w:val="24"/>
        </w:rPr>
      </w:pPr>
      <w:r w:rsidRPr="00FA78D4">
        <w:rPr>
          <w:rFonts w:cs="Arial"/>
          <w:b/>
          <w:bCs/>
          <w:sz w:val="24"/>
          <w:szCs w:val="24"/>
        </w:rPr>
        <w:t>The Committee’s conclusion that the IPCW-adjusted curve was not clinically plausible for the average person in the modelled population with severe disease is unexplained</w:t>
      </w:r>
    </w:p>
    <w:p w14:paraId="4D573BA9" w14:textId="59A685C7" w:rsidR="005F4E27" w:rsidRPr="005F4E27" w:rsidRDefault="005F4E27" w:rsidP="005F4E27">
      <w:pPr>
        <w:rPr>
          <w:rFonts w:ascii="Arial" w:eastAsia="Times New Roman" w:hAnsi="Arial" w:cs="Arial"/>
          <w:sz w:val="24"/>
          <w:szCs w:val="24"/>
        </w:rPr>
      </w:pPr>
      <w:r w:rsidRPr="005F4E27">
        <w:rPr>
          <w:rFonts w:ascii="Arial" w:eastAsia="Times New Roman" w:hAnsi="Arial" w:cs="Arial"/>
          <w:sz w:val="24"/>
          <w:szCs w:val="24"/>
        </w:rPr>
        <w:t>I accept the statement that reasons must “</w:t>
      </w:r>
      <w:r w:rsidRPr="005F4E27">
        <w:rPr>
          <w:rFonts w:ascii="Arial" w:eastAsia="Times New Roman" w:hAnsi="Arial" w:cs="Arial"/>
          <w:i/>
          <w:sz w:val="24"/>
          <w:szCs w:val="24"/>
        </w:rPr>
        <w:t>enable the reader to understand why the matter was decided as it was and what conclusions were reached on the “principal important controversial issues</w:t>
      </w:r>
      <w:r w:rsidRPr="005F4E27">
        <w:rPr>
          <w:rFonts w:ascii="Arial" w:eastAsia="Times New Roman" w:hAnsi="Arial" w:cs="Arial"/>
          <w:sz w:val="24"/>
          <w:szCs w:val="24"/>
        </w:rPr>
        <w:t xml:space="preserve">”.  I remain of the view that the application of this test is context dependent (so here the question is not whether reasons are adequate for the average citizen, but for a reader with some knowledge of the analysis of clinical trial data).  I am also of the view that the context includes </w:t>
      </w:r>
      <w:proofErr w:type="gramStart"/>
      <w:r w:rsidRPr="005F4E27">
        <w:rPr>
          <w:rFonts w:ascii="Arial" w:eastAsia="Times New Roman" w:hAnsi="Arial" w:cs="Arial"/>
          <w:sz w:val="24"/>
          <w:szCs w:val="24"/>
        </w:rPr>
        <w:t>all of</w:t>
      </w:r>
      <w:proofErr w:type="gramEnd"/>
      <w:r w:rsidRPr="005F4E27">
        <w:rPr>
          <w:rFonts w:ascii="Arial" w:eastAsia="Times New Roman" w:hAnsi="Arial" w:cs="Arial"/>
          <w:sz w:val="24"/>
          <w:szCs w:val="24"/>
        </w:rPr>
        <w:t xml:space="preserve"> the appraisal documentation, although naturally I accept that, say, a document from the company or from the ERG cannot be said to contain committee reasons unless it is adopted or disagreed with by the committee.</w:t>
      </w:r>
    </w:p>
    <w:p w14:paraId="26989558" w14:textId="3B10C141" w:rsidR="005F4E27" w:rsidRPr="005F4E27" w:rsidRDefault="005F4E27" w:rsidP="005F4E27">
      <w:pPr>
        <w:rPr>
          <w:rFonts w:ascii="Arial" w:eastAsia="Times New Roman" w:hAnsi="Arial" w:cs="Arial"/>
          <w:sz w:val="24"/>
          <w:szCs w:val="24"/>
        </w:rPr>
      </w:pPr>
      <w:r w:rsidRPr="005F4E27">
        <w:rPr>
          <w:rFonts w:ascii="Arial" w:eastAsia="Times New Roman" w:hAnsi="Arial" w:cs="Arial"/>
          <w:sz w:val="24"/>
          <w:szCs w:val="24"/>
        </w:rPr>
        <w:lastRenderedPageBreak/>
        <w:t>In the MAVORIC trial there was a great deal of patient crossover, for unavoidable ethical reasons.  Anyone with knowledge of clinical trial analysis will know that that potentially introduces confounding factors, that these must be corrected for statistically, that there are various ways to do so and that (as a rule) there is no one obviously “best” way.  It was also obvious that this was an issue in play in the appraisal, and I accept (for scrutiny purposes at least) that it was an important issue.</w:t>
      </w:r>
    </w:p>
    <w:p w14:paraId="46A6075E" w14:textId="0C3EC259" w:rsidR="005F4E27" w:rsidRPr="005F4E27" w:rsidRDefault="005F4E27" w:rsidP="005F4E27">
      <w:pPr>
        <w:rPr>
          <w:rFonts w:ascii="Arial" w:eastAsia="Times New Roman" w:hAnsi="Arial" w:cs="Arial"/>
          <w:sz w:val="24"/>
          <w:szCs w:val="24"/>
        </w:rPr>
      </w:pPr>
      <w:r w:rsidRPr="005F4E27">
        <w:rPr>
          <w:rFonts w:ascii="Arial" w:eastAsia="Times New Roman" w:hAnsi="Arial" w:cs="Arial"/>
          <w:sz w:val="24"/>
          <w:szCs w:val="24"/>
        </w:rPr>
        <w:t>However, there is extensive discussion of this issue in the FAD (and I note it was raised in consultation and at the committee’s public meeting).  You have focused on one sentence “</w:t>
      </w:r>
      <w:r w:rsidRPr="005F4E27">
        <w:rPr>
          <w:rFonts w:ascii="Arial" w:eastAsia="Times New Roman" w:hAnsi="Arial" w:cs="Arial"/>
          <w:i/>
          <w:sz w:val="24"/>
          <w:szCs w:val="24"/>
        </w:rPr>
        <w:t>The committee was not convinced that the IPCW adjusted curve was clinically plausible for the average person in the modelled population with severe disease</w:t>
      </w:r>
      <w:r w:rsidRPr="005F4E27">
        <w:rPr>
          <w:rFonts w:ascii="Arial" w:eastAsia="Times New Roman" w:hAnsi="Arial" w:cs="Arial"/>
          <w:sz w:val="24"/>
          <w:szCs w:val="24"/>
        </w:rPr>
        <w:t xml:space="preserve">” but in doing so you have not done justice to the discussion at FAD 3.8, all of which </w:t>
      </w:r>
      <w:proofErr w:type="gramStart"/>
      <w:r w:rsidRPr="005F4E27">
        <w:rPr>
          <w:rFonts w:ascii="Arial" w:eastAsia="Times New Roman" w:hAnsi="Arial" w:cs="Arial"/>
          <w:sz w:val="24"/>
          <w:szCs w:val="24"/>
        </w:rPr>
        <w:t>has to</w:t>
      </w:r>
      <w:proofErr w:type="gramEnd"/>
      <w:r w:rsidRPr="005F4E27">
        <w:rPr>
          <w:rFonts w:ascii="Arial" w:eastAsia="Times New Roman" w:hAnsi="Arial" w:cs="Arial"/>
          <w:sz w:val="24"/>
          <w:szCs w:val="24"/>
        </w:rPr>
        <w:t xml:space="preserve"> be read to understand the committee’s position on correcting for crossover.  It still seems to me you are focusing on reasons for reasons.  Reading the whole of FAD 3.8 one can see that the committee’s conclusion is “</w:t>
      </w:r>
      <w:r w:rsidRPr="005F4E27">
        <w:rPr>
          <w:rFonts w:ascii="Arial" w:eastAsia="Times New Roman" w:hAnsi="Arial" w:cs="Arial"/>
          <w:i/>
          <w:sz w:val="24"/>
          <w:szCs w:val="24"/>
        </w:rPr>
        <w:t>that the results from the 2-stage estimation and IPCW methods represented the upper and lower range of plausible overall survival in the standard care arm</w:t>
      </w:r>
      <w:r w:rsidRPr="005F4E27">
        <w:rPr>
          <w:rFonts w:ascii="Arial" w:eastAsia="Times New Roman" w:hAnsi="Arial" w:cs="Arial"/>
          <w:sz w:val="24"/>
          <w:szCs w:val="24"/>
        </w:rPr>
        <w:t>.”  In other words</w:t>
      </w:r>
      <w:r>
        <w:rPr>
          <w:rFonts w:ascii="Arial" w:eastAsia="Times New Roman" w:hAnsi="Arial" w:cs="Arial"/>
          <w:sz w:val="24"/>
          <w:szCs w:val="24"/>
        </w:rPr>
        <w:t>,</w:t>
      </w:r>
      <w:r w:rsidRPr="005F4E27">
        <w:rPr>
          <w:rFonts w:ascii="Arial" w:eastAsia="Times New Roman" w:hAnsi="Arial" w:cs="Arial"/>
          <w:sz w:val="24"/>
          <w:szCs w:val="24"/>
        </w:rPr>
        <w:t xml:space="preserve"> it allowed both your preferred method and the ERG method to inform its analysis, by setting an upper and a lower bound on OS in the comparator arm.  That (at best) is the decision for which reasons must be given, not the statement that the IPCW curve may not have been clinically plausible.  (I say at best because I consider it is arguable that even this statement is in fact the reason called for, and so the discussion in FAD 3.8 may already be reasons for reasons.  </w:t>
      </w:r>
      <w:proofErr w:type="gramStart"/>
      <w:r w:rsidRPr="005F4E27">
        <w:rPr>
          <w:rFonts w:ascii="Arial" w:eastAsia="Times New Roman" w:hAnsi="Arial" w:cs="Arial"/>
          <w:sz w:val="24"/>
          <w:szCs w:val="24"/>
        </w:rPr>
        <w:t>However</w:t>
      </w:r>
      <w:proofErr w:type="gramEnd"/>
      <w:r w:rsidRPr="005F4E27">
        <w:rPr>
          <w:rFonts w:ascii="Arial" w:eastAsia="Times New Roman" w:hAnsi="Arial" w:cs="Arial"/>
          <w:sz w:val="24"/>
          <w:szCs w:val="24"/>
        </w:rPr>
        <w:t xml:space="preserve"> I am not proceeding on that basis.) It seems to me that FAD 3.8 clearly gives sufficient reasons for the committee’s approach which include but are not limited to clinical plausibility.  The reasons given may or may not be good reasons, of course, but that falls to be considered </w:t>
      </w:r>
      <w:proofErr w:type="spellStart"/>
      <w:r w:rsidRPr="005F4E27">
        <w:rPr>
          <w:rFonts w:ascii="Arial" w:eastAsia="Times New Roman" w:hAnsi="Arial" w:cs="Arial"/>
          <w:sz w:val="24"/>
          <w:szCs w:val="24"/>
        </w:rPr>
        <w:t>under ground</w:t>
      </w:r>
      <w:proofErr w:type="spellEnd"/>
      <w:r w:rsidRPr="005F4E27">
        <w:rPr>
          <w:rFonts w:ascii="Arial" w:eastAsia="Times New Roman" w:hAnsi="Arial" w:cs="Arial"/>
          <w:sz w:val="24"/>
          <w:szCs w:val="24"/>
        </w:rPr>
        <w:t xml:space="preserve"> 2.  </w:t>
      </w:r>
    </w:p>
    <w:p w14:paraId="6A75760A" w14:textId="77777777" w:rsidR="005F4E27" w:rsidRPr="005F4E27" w:rsidRDefault="005F4E27" w:rsidP="005F4E27">
      <w:pPr>
        <w:rPr>
          <w:rFonts w:ascii="Arial" w:eastAsia="Times New Roman" w:hAnsi="Arial" w:cs="Arial"/>
          <w:sz w:val="24"/>
          <w:szCs w:val="24"/>
        </w:rPr>
      </w:pPr>
      <w:proofErr w:type="gramStart"/>
      <w:r w:rsidRPr="005F4E27">
        <w:rPr>
          <w:rFonts w:ascii="Arial" w:eastAsia="Times New Roman" w:hAnsi="Arial" w:cs="Arial"/>
          <w:sz w:val="24"/>
          <w:szCs w:val="24"/>
        </w:rPr>
        <w:t>Therefore</w:t>
      </w:r>
      <w:proofErr w:type="gramEnd"/>
      <w:r w:rsidRPr="005F4E27">
        <w:rPr>
          <w:rFonts w:ascii="Arial" w:eastAsia="Times New Roman" w:hAnsi="Arial" w:cs="Arial"/>
          <w:sz w:val="24"/>
          <w:szCs w:val="24"/>
        </w:rPr>
        <w:t xml:space="preserve"> I am still of the view this is not a valid appeal point.</w:t>
      </w:r>
    </w:p>
    <w:p w14:paraId="373E561E" w14:textId="77777777" w:rsidR="005F4E27" w:rsidRPr="005F4E27" w:rsidRDefault="005F4E27" w:rsidP="00FA78D4">
      <w:pPr>
        <w:numPr>
          <w:ilvl w:val="1"/>
          <w:numId w:val="9"/>
        </w:numPr>
        <w:rPr>
          <w:rFonts w:ascii="Arial" w:eastAsia="Times New Roman" w:hAnsi="Arial" w:cs="Arial"/>
          <w:b/>
          <w:bCs/>
          <w:sz w:val="24"/>
          <w:szCs w:val="24"/>
        </w:rPr>
      </w:pPr>
      <w:r w:rsidRPr="005F4E27">
        <w:rPr>
          <w:rFonts w:ascii="Arial" w:eastAsia="Times New Roman" w:hAnsi="Arial" w:cs="Arial"/>
          <w:b/>
          <w:bCs/>
          <w:sz w:val="24"/>
          <w:szCs w:val="24"/>
        </w:rPr>
        <w:t>The Committee’s decision not to include carer utilities in the economic model is based on conclusions which are inconsistent with NICE’s Methods Guide and inadequately explained</w:t>
      </w:r>
    </w:p>
    <w:p w14:paraId="6D7A99BB" w14:textId="77777777" w:rsidR="005F4E27" w:rsidRPr="005F4E27" w:rsidRDefault="005F4E27" w:rsidP="005F4E27">
      <w:pPr>
        <w:rPr>
          <w:rFonts w:ascii="Arial" w:eastAsia="Times New Roman" w:hAnsi="Arial" w:cs="Arial"/>
          <w:sz w:val="24"/>
          <w:szCs w:val="24"/>
        </w:rPr>
      </w:pPr>
      <w:r w:rsidRPr="005F4E27">
        <w:rPr>
          <w:rFonts w:ascii="Arial" w:eastAsia="Times New Roman" w:hAnsi="Arial" w:cs="Arial"/>
          <w:sz w:val="24"/>
          <w:szCs w:val="24"/>
        </w:rPr>
        <w:t xml:space="preserve">Thank you for your additional comments.  Particularly </w:t>
      </w:r>
      <w:proofErr w:type="gramStart"/>
      <w:r w:rsidRPr="005F4E27">
        <w:rPr>
          <w:rFonts w:ascii="Arial" w:eastAsia="Times New Roman" w:hAnsi="Arial" w:cs="Arial"/>
          <w:sz w:val="24"/>
          <w:szCs w:val="24"/>
        </w:rPr>
        <w:t>in light of</w:t>
      </w:r>
      <w:proofErr w:type="gramEnd"/>
      <w:r w:rsidRPr="005F4E27">
        <w:rPr>
          <w:rFonts w:ascii="Arial" w:eastAsia="Times New Roman" w:hAnsi="Arial" w:cs="Arial"/>
          <w:sz w:val="24"/>
          <w:szCs w:val="24"/>
        </w:rPr>
        <w:t xml:space="preserve"> the reference to the methods guide and to past practice I agree this is a valid appeal point.</w:t>
      </w:r>
    </w:p>
    <w:p w14:paraId="13689D29" w14:textId="77777777" w:rsidR="005F4E27" w:rsidRPr="005F4E27" w:rsidRDefault="005F4E27" w:rsidP="00FA78D4">
      <w:pPr>
        <w:numPr>
          <w:ilvl w:val="1"/>
          <w:numId w:val="9"/>
        </w:numPr>
        <w:rPr>
          <w:rFonts w:ascii="Arial" w:eastAsia="Times New Roman" w:hAnsi="Arial" w:cs="Arial"/>
          <w:b/>
          <w:bCs/>
          <w:sz w:val="24"/>
          <w:szCs w:val="24"/>
        </w:rPr>
      </w:pPr>
      <w:r w:rsidRPr="005F4E27">
        <w:rPr>
          <w:rFonts w:ascii="Arial" w:eastAsia="Times New Roman" w:hAnsi="Arial" w:cs="Arial"/>
          <w:b/>
          <w:bCs/>
          <w:sz w:val="24"/>
          <w:szCs w:val="24"/>
        </w:rPr>
        <w:t>The Committee’s conclusion that mogamulizumab is not considered to be a life-extending treatment at the end of life relies on evidence which has not been disclosed and is therefore unfair</w:t>
      </w:r>
    </w:p>
    <w:p w14:paraId="2F61FC0C" w14:textId="5EB289CD" w:rsidR="005F4E27" w:rsidRPr="005F4E27" w:rsidRDefault="005F4E27" w:rsidP="005F4E27">
      <w:pPr>
        <w:rPr>
          <w:rFonts w:ascii="Arial" w:eastAsia="Times New Roman" w:hAnsi="Arial" w:cs="Arial"/>
          <w:sz w:val="24"/>
          <w:szCs w:val="24"/>
        </w:rPr>
      </w:pPr>
      <w:r w:rsidRPr="005F4E27">
        <w:rPr>
          <w:rFonts w:ascii="Arial" w:eastAsia="Times New Roman" w:hAnsi="Arial" w:cs="Arial"/>
          <w:sz w:val="24"/>
          <w:szCs w:val="24"/>
        </w:rPr>
        <w:t>Already accepted as valid</w:t>
      </w:r>
      <w:r>
        <w:rPr>
          <w:rFonts w:ascii="Arial" w:eastAsia="Times New Roman" w:hAnsi="Arial" w:cs="Arial"/>
          <w:sz w:val="24"/>
          <w:szCs w:val="24"/>
        </w:rPr>
        <w:t>.</w:t>
      </w:r>
    </w:p>
    <w:p w14:paraId="5D0F1D24" w14:textId="77777777" w:rsidR="005F4E27" w:rsidRPr="005F4E27" w:rsidRDefault="005F4E27" w:rsidP="00FA78D4">
      <w:pPr>
        <w:numPr>
          <w:ilvl w:val="1"/>
          <w:numId w:val="9"/>
        </w:numPr>
        <w:rPr>
          <w:rFonts w:ascii="Arial" w:eastAsia="Times New Roman" w:hAnsi="Arial" w:cs="Arial"/>
          <w:b/>
          <w:bCs/>
          <w:sz w:val="24"/>
          <w:szCs w:val="24"/>
        </w:rPr>
      </w:pPr>
      <w:r w:rsidRPr="005F4E27">
        <w:rPr>
          <w:rFonts w:ascii="Arial" w:eastAsia="Times New Roman" w:hAnsi="Arial" w:cs="Arial"/>
          <w:b/>
          <w:sz w:val="24"/>
          <w:szCs w:val="24"/>
        </w:rPr>
        <w:t xml:space="preserve">The Committee’s conclusions regarding the appropriate ICER threshold for this appraisal do not </w:t>
      </w:r>
      <w:proofErr w:type="gramStart"/>
      <w:r w:rsidRPr="005F4E27">
        <w:rPr>
          <w:rFonts w:ascii="Arial" w:eastAsia="Times New Roman" w:hAnsi="Arial" w:cs="Arial"/>
          <w:b/>
          <w:sz w:val="24"/>
          <w:szCs w:val="24"/>
        </w:rPr>
        <w:t>take into account</w:t>
      </w:r>
      <w:proofErr w:type="gramEnd"/>
      <w:r w:rsidRPr="005F4E27">
        <w:rPr>
          <w:rFonts w:ascii="Arial" w:eastAsia="Times New Roman" w:hAnsi="Arial" w:cs="Arial"/>
          <w:b/>
          <w:sz w:val="24"/>
          <w:szCs w:val="24"/>
        </w:rPr>
        <w:t xml:space="preserve"> the factors identified at paragraph 6.3.3 of NICE’s Guide to the Methods of Technology Appraisal</w:t>
      </w:r>
    </w:p>
    <w:p w14:paraId="27DDE48B" w14:textId="025D6387" w:rsidR="005F4E27" w:rsidRPr="005F4E27" w:rsidRDefault="005F4E27" w:rsidP="005F4E27">
      <w:pPr>
        <w:rPr>
          <w:rFonts w:ascii="Arial" w:eastAsia="Times New Roman" w:hAnsi="Arial" w:cs="Arial"/>
          <w:sz w:val="24"/>
          <w:szCs w:val="24"/>
        </w:rPr>
      </w:pPr>
      <w:r w:rsidRPr="005F4E27">
        <w:rPr>
          <w:rFonts w:ascii="Arial" w:eastAsia="Times New Roman" w:hAnsi="Arial" w:cs="Arial"/>
          <w:sz w:val="24"/>
          <w:szCs w:val="24"/>
        </w:rPr>
        <w:lastRenderedPageBreak/>
        <w:t xml:space="preserve">I have considered your additional comments </w:t>
      </w:r>
      <w:proofErr w:type="gramStart"/>
      <w:r w:rsidRPr="005F4E27">
        <w:rPr>
          <w:rFonts w:ascii="Arial" w:eastAsia="Times New Roman" w:hAnsi="Arial" w:cs="Arial"/>
          <w:sz w:val="24"/>
          <w:szCs w:val="24"/>
        </w:rPr>
        <w:t>carefully, but</w:t>
      </w:r>
      <w:proofErr w:type="gramEnd"/>
      <w:r w:rsidRPr="005F4E27">
        <w:rPr>
          <w:rFonts w:ascii="Arial" w:eastAsia="Times New Roman" w:hAnsi="Arial" w:cs="Arial"/>
          <w:sz w:val="24"/>
          <w:szCs w:val="24"/>
        </w:rPr>
        <w:t xml:space="preserve"> am still not satisfied that it is arguable that the Committee has not acted fairly here.  The committee indicates where it would have found an acceptable ICER to be and gives adequate reasons for that.  I do not think fairness requires any farther discussion of the factors set out in para 6.3.3 of the methods guide. </w:t>
      </w:r>
      <w:r>
        <w:rPr>
          <w:rFonts w:ascii="Arial" w:eastAsia="Times New Roman" w:hAnsi="Arial" w:cs="Arial"/>
          <w:sz w:val="24"/>
          <w:szCs w:val="24"/>
        </w:rPr>
        <w:t xml:space="preserve"> </w:t>
      </w:r>
      <w:proofErr w:type="gramStart"/>
      <w:r w:rsidRPr="005F4E27">
        <w:rPr>
          <w:rFonts w:ascii="Arial" w:eastAsia="Times New Roman" w:hAnsi="Arial" w:cs="Arial"/>
          <w:sz w:val="24"/>
          <w:szCs w:val="24"/>
        </w:rPr>
        <w:t>Therefore</w:t>
      </w:r>
      <w:proofErr w:type="gramEnd"/>
      <w:r w:rsidRPr="005F4E27">
        <w:rPr>
          <w:rFonts w:ascii="Arial" w:eastAsia="Times New Roman" w:hAnsi="Arial" w:cs="Arial"/>
          <w:sz w:val="24"/>
          <w:szCs w:val="24"/>
        </w:rPr>
        <w:t xml:space="preserve"> I am still of the view this is not a valid appeal point.</w:t>
      </w:r>
    </w:p>
    <w:p w14:paraId="069562A5" w14:textId="77777777" w:rsidR="005F4E27" w:rsidRPr="005F4E27" w:rsidRDefault="005F4E27" w:rsidP="00FA78D4">
      <w:pPr>
        <w:numPr>
          <w:ilvl w:val="1"/>
          <w:numId w:val="9"/>
        </w:numPr>
        <w:rPr>
          <w:rFonts w:ascii="Arial" w:eastAsia="Times New Roman" w:hAnsi="Arial" w:cs="Arial"/>
          <w:b/>
          <w:sz w:val="24"/>
          <w:szCs w:val="24"/>
        </w:rPr>
      </w:pPr>
      <w:r w:rsidRPr="005F4E27">
        <w:rPr>
          <w:rFonts w:ascii="Arial" w:eastAsia="Times New Roman" w:hAnsi="Arial" w:cs="Arial"/>
          <w:b/>
          <w:sz w:val="24"/>
          <w:szCs w:val="24"/>
        </w:rPr>
        <w:t>The Committee’s conclusions regarding the appropriate ICER threshold for this appraisal do not assess uncertainty in accordance with paragraph 6.2.16 of NICE’s Guide to the Methods of Technology Appraisal</w:t>
      </w:r>
    </w:p>
    <w:p w14:paraId="2BF6059F" w14:textId="77777777" w:rsidR="005F4E27" w:rsidRPr="005F4E27" w:rsidRDefault="005F4E27" w:rsidP="005F4E27">
      <w:pPr>
        <w:rPr>
          <w:rFonts w:ascii="Arial" w:eastAsia="Times New Roman" w:hAnsi="Arial" w:cs="Arial"/>
          <w:sz w:val="24"/>
          <w:szCs w:val="24"/>
        </w:rPr>
      </w:pPr>
      <w:r w:rsidRPr="005F4E27">
        <w:rPr>
          <w:rFonts w:ascii="Arial" w:eastAsia="Times New Roman" w:hAnsi="Arial" w:cs="Arial"/>
          <w:sz w:val="24"/>
          <w:szCs w:val="24"/>
        </w:rPr>
        <w:t>Already accepted as valid.</w:t>
      </w:r>
    </w:p>
    <w:p w14:paraId="184268A6" w14:textId="77777777" w:rsidR="005F4E27" w:rsidRPr="005F4E27" w:rsidRDefault="005F4E27" w:rsidP="00FA78D4">
      <w:pPr>
        <w:numPr>
          <w:ilvl w:val="1"/>
          <w:numId w:val="9"/>
        </w:numPr>
        <w:rPr>
          <w:rFonts w:ascii="Arial" w:eastAsia="Times New Roman" w:hAnsi="Arial" w:cs="Arial"/>
          <w:b/>
          <w:bCs/>
          <w:sz w:val="24"/>
          <w:szCs w:val="24"/>
        </w:rPr>
      </w:pPr>
      <w:r w:rsidRPr="005F4E27">
        <w:rPr>
          <w:rFonts w:ascii="Arial" w:eastAsia="Times New Roman" w:hAnsi="Arial" w:cs="Arial"/>
          <w:b/>
          <w:sz w:val="24"/>
          <w:szCs w:val="24"/>
        </w:rPr>
        <w:t>The Committee’s conclusions regarding the appropriate ICER threshold for this appraisal lack transparency</w:t>
      </w:r>
    </w:p>
    <w:p w14:paraId="46B57182" w14:textId="53BFF4A7" w:rsidR="005F4E27" w:rsidRPr="005F4E27" w:rsidRDefault="005F4E27" w:rsidP="005F4E27">
      <w:pPr>
        <w:rPr>
          <w:rFonts w:ascii="Arial" w:eastAsia="Times New Roman" w:hAnsi="Arial" w:cs="Arial"/>
          <w:sz w:val="24"/>
          <w:szCs w:val="24"/>
        </w:rPr>
      </w:pPr>
      <w:r w:rsidRPr="005F4E27">
        <w:rPr>
          <w:rFonts w:ascii="Arial" w:eastAsia="Times New Roman" w:hAnsi="Arial" w:cs="Arial"/>
          <w:sz w:val="24"/>
          <w:szCs w:val="24"/>
        </w:rPr>
        <w:t>Already accepted as valid</w:t>
      </w:r>
      <w:r>
        <w:rPr>
          <w:rFonts w:ascii="Arial" w:eastAsia="Times New Roman" w:hAnsi="Arial" w:cs="Arial"/>
          <w:sz w:val="24"/>
          <w:szCs w:val="24"/>
        </w:rPr>
        <w:t>.</w:t>
      </w:r>
    </w:p>
    <w:p w14:paraId="39D073D3" w14:textId="77777777" w:rsidR="005F4E27" w:rsidRPr="005F4E27" w:rsidRDefault="005F4E27" w:rsidP="00FA78D4">
      <w:pPr>
        <w:numPr>
          <w:ilvl w:val="1"/>
          <w:numId w:val="9"/>
        </w:numPr>
        <w:rPr>
          <w:rFonts w:ascii="Arial" w:eastAsia="Times New Roman" w:hAnsi="Arial" w:cs="Arial"/>
          <w:b/>
          <w:bCs/>
          <w:sz w:val="24"/>
          <w:szCs w:val="24"/>
        </w:rPr>
      </w:pPr>
      <w:r w:rsidRPr="005F4E27">
        <w:rPr>
          <w:rFonts w:ascii="Arial" w:eastAsia="Times New Roman" w:hAnsi="Arial" w:cs="Arial"/>
          <w:b/>
          <w:sz w:val="24"/>
          <w:szCs w:val="24"/>
        </w:rPr>
        <w:t>The Committee’s conclusions regarding the most plausible ICER for this appraisal lack transparency</w:t>
      </w:r>
    </w:p>
    <w:p w14:paraId="0CF83933" w14:textId="1EBD9838" w:rsidR="005F4E27" w:rsidRPr="005F4E27" w:rsidRDefault="005F4E27" w:rsidP="005F4E27">
      <w:pPr>
        <w:rPr>
          <w:rFonts w:ascii="Arial" w:eastAsia="Times New Roman" w:hAnsi="Arial" w:cs="Arial"/>
          <w:sz w:val="24"/>
          <w:szCs w:val="24"/>
        </w:rPr>
      </w:pPr>
      <w:r w:rsidRPr="005F4E27">
        <w:rPr>
          <w:rFonts w:ascii="Arial" w:eastAsia="Times New Roman" w:hAnsi="Arial" w:cs="Arial"/>
          <w:sz w:val="24"/>
          <w:szCs w:val="24"/>
        </w:rPr>
        <w:t xml:space="preserve">I have considered your additional comments </w:t>
      </w:r>
      <w:proofErr w:type="gramStart"/>
      <w:r w:rsidRPr="005F4E27">
        <w:rPr>
          <w:rFonts w:ascii="Arial" w:eastAsia="Times New Roman" w:hAnsi="Arial" w:cs="Arial"/>
          <w:sz w:val="24"/>
          <w:szCs w:val="24"/>
        </w:rPr>
        <w:t>carefully, but</w:t>
      </w:r>
      <w:proofErr w:type="gramEnd"/>
      <w:r w:rsidRPr="005F4E27">
        <w:rPr>
          <w:rFonts w:ascii="Arial" w:eastAsia="Times New Roman" w:hAnsi="Arial" w:cs="Arial"/>
          <w:sz w:val="24"/>
          <w:szCs w:val="24"/>
        </w:rPr>
        <w:t xml:space="preserve"> remain firmly of the view that fairness cannot require more precision in the most plausible ICER(s) than a committee reasonably considers possible.  Here the committee identifies considerable uncertainty and accordingly offers a considerable range.  I do not agree there is any lack of clarity surrounding the </w:t>
      </w:r>
      <w:r>
        <w:rPr>
          <w:rFonts w:ascii="Arial" w:eastAsia="Times New Roman" w:hAnsi="Arial" w:cs="Arial"/>
          <w:sz w:val="24"/>
          <w:szCs w:val="24"/>
        </w:rPr>
        <w:t>c</w:t>
      </w:r>
      <w:r w:rsidRPr="005F4E27">
        <w:rPr>
          <w:rFonts w:ascii="Arial" w:eastAsia="Times New Roman" w:hAnsi="Arial" w:cs="Arial"/>
          <w:sz w:val="24"/>
          <w:szCs w:val="24"/>
        </w:rPr>
        <w:t xml:space="preserve">ommittee’s preferred assumptions.  Paragraph 3.14 and indeed the FAD more broadly discusses uncertainty, assumptions and the different models and inputs quite clearly.  </w:t>
      </w:r>
      <w:proofErr w:type="gramStart"/>
      <w:r w:rsidRPr="005F4E27">
        <w:rPr>
          <w:rFonts w:ascii="Arial" w:eastAsia="Times New Roman" w:hAnsi="Arial" w:cs="Arial"/>
          <w:sz w:val="24"/>
          <w:szCs w:val="24"/>
        </w:rPr>
        <w:t>Therefore</w:t>
      </w:r>
      <w:proofErr w:type="gramEnd"/>
      <w:r w:rsidRPr="005F4E27">
        <w:rPr>
          <w:rFonts w:ascii="Arial" w:eastAsia="Times New Roman" w:hAnsi="Arial" w:cs="Arial"/>
          <w:sz w:val="24"/>
          <w:szCs w:val="24"/>
        </w:rPr>
        <w:t xml:space="preserve"> I am still of the view this is not a valid appeal point.</w:t>
      </w:r>
      <w:r w:rsidRPr="005F4E27">
        <w:rPr>
          <w:rFonts w:ascii="Arial" w:eastAsia="Times New Roman" w:hAnsi="Arial" w:cs="Arial"/>
          <w:bCs/>
          <w:sz w:val="24"/>
          <w:szCs w:val="24"/>
        </w:rPr>
        <w:t xml:space="preserve">  </w:t>
      </w:r>
    </w:p>
    <w:p w14:paraId="29B7214F" w14:textId="77777777" w:rsidR="005F4E27" w:rsidRPr="005F4E27" w:rsidRDefault="005F4E27" w:rsidP="00FA78D4">
      <w:pPr>
        <w:numPr>
          <w:ilvl w:val="1"/>
          <w:numId w:val="9"/>
        </w:numPr>
        <w:rPr>
          <w:rFonts w:ascii="Arial" w:eastAsia="Times New Roman" w:hAnsi="Arial" w:cs="Arial"/>
          <w:b/>
          <w:sz w:val="24"/>
          <w:szCs w:val="24"/>
        </w:rPr>
      </w:pPr>
      <w:r w:rsidRPr="005F4E27">
        <w:rPr>
          <w:rFonts w:ascii="Arial" w:eastAsia="Times New Roman" w:hAnsi="Arial" w:cs="Arial"/>
          <w:b/>
          <w:sz w:val="24"/>
          <w:szCs w:val="24"/>
        </w:rPr>
        <w:t>The Committee’s statement that the relevant benefits associated with mogamulizumab could be adequately captured in the model disregards its own conclusions, is inconsistent with NICE’s procedures and lacks transparency</w:t>
      </w:r>
    </w:p>
    <w:p w14:paraId="7185ADFC" w14:textId="6A856074" w:rsidR="005F4E27" w:rsidRPr="005F4E27" w:rsidRDefault="005F4E27" w:rsidP="005F4E27">
      <w:pPr>
        <w:rPr>
          <w:rFonts w:ascii="Arial" w:eastAsia="Times New Roman" w:hAnsi="Arial" w:cs="Arial"/>
          <w:bCs/>
          <w:sz w:val="24"/>
          <w:szCs w:val="24"/>
        </w:rPr>
      </w:pPr>
      <w:r w:rsidRPr="005F4E27">
        <w:rPr>
          <w:rFonts w:ascii="Arial" w:eastAsia="Times New Roman" w:hAnsi="Arial" w:cs="Arial"/>
          <w:bCs/>
          <w:sz w:val="24"/>
          <w:szCs w:val="24"/>
        </w:rPr>
        <w:t xml:space="preserve">I have considered your additional </w:t>
      </w:r>
      <w:proofErr w:type="gramStart"/>
      <w:r w:rsidRPr="005F4E27">
        <w:rPr>
          <w:rFonts w:ascii="Arial" w:eastAsia="Times New Roman" w:hAnsi="Arial" w:cs="Arial"/>
          <w:bCs/>
          <w:sz w:val="24"/>
          <w:szCs w:val="24"/>
        </w:rPr>
        <w:t>comments</w:t>
      </w:r>
      <w:proofErr w:type="gramEnd"/>
      <w:r w:rsidRPr="005F4E27">
        <w:rPr>
          <w:rFonts w:ascii="Arial" w:eastAsia="Times New Roman" w:hAnsi="Arial" w:cs="Arial"/>
          <w:bCs/>
          <w:sz w:val="24"/>
          <w:szCs w:val="24"/>
        </w:rPr>
        <w:t xml:space="preserve"> but they seem to me to repeat for initial point, that by the committee saying that benefits “could be” captured in the model the committee was in some way casting doubt on whether they had been captured.  I am afraid I simply do not agree the FAD can be read as you are reading it.  </w:t>
      </w:r>
    </w:p>
    <w:p w14:paraId="30709808" w14:textId="19D22041" w:rsidR="005F4E27" w:rsidRPr="005F4E27" w:rsidRDefault="005F4E27" w:rsidP="005F4E27">
      <w:pPr>
        <w:rPr>
          <w:rFonts w:ascii="Arial" w:eastAsia="Times New Roman" w:hAnsi="Arial" w:cs="Arial"/>
          <w:bCs/>
          <w:sz w:val="24"/>
          <w:szCs w:val="24"/>
        </w:rPr>
      </w:pPr>
      <w:r w:rsidRPr="005F4E27">
        <w:rPr>
          <w:rFonts w:ascii="Arial" w:eastAsia="Times New Roman" w:hAnsi="Arial" w:cs="Arial"/>
          <w:bCs/>
          <w:sz w:val="24"/>
          <w:szCs w:val="24"/>
        </w:rPr>
        <w:t xml:space="preserve">Nor do I think that excluding carer benefit from the model can be unfair (whether it is reasonable is of course a different question).  It is apparent from the FAD that the committee were not satisfied with how you had modelled those benefits, and why that was.  Your comments seem to suggest it is for the committee to establish that a product is not cost effective, which is not the case.  A committee must assess the case made to it and in this case (rightly or otherwise) it concluded your case on carer utility could not be accepted, leaving it with no quantitative analysis on this point.  </w:t>
      </w:r>
      <w:r w:rsidRPr="005F4E27">
        <w:rPr>
          <w:rFonts w:ascii="Arial" w:eastAsia="Times New Roman" w:hAnsi="Arial" w:cs="Arial"/>
          <w:bCs/>
          <w:sz w:val="24"/>
          <w:szCs w:val="24"/>
        </w:rPr>
        <w:lastRenderedPageBreak/>
        <w:t>Whether this required special consideration at FAD</w:t>
      </w:r>
      <w:r>
        <w:rPr>
          <w:rFonts w:ascii="Arial" w:eastAsia="Times New Roman" w:hAnsi="Arial" w:cs="Arial"/>
          <w:bCs/>
          <w:sz w:val="24"/>
          <w:szCs w:val="24"/>
        </w:rPr>
        <w:t xml:space="preserve"> </w:t>
      </w:r>
      <w:r w:rsidRPr="005F4E27">
        <w:rPr>
          <w:rFonts w:ascii="Arial" w:eastAsia="Times New Roman" w:hAnsi="Arial" w:cs="Arial"/>
          <w:bCs/>
          <w:sz w:val="24"/>
          <w:szCs w:val="24"/>
        </w:rPr>
        <w:t xml:space="preserve">3.17 was an issue raised in consultation, and it seems to me rightly rejected.  If a company provides an analysis on a particular issue which the committee rejects and excludes from the model, it is clearly a circular argument to say that the model then no longer captures all; the benefits of treatment and so the rejected benefits </w:t>
      </w:r>
      <w:proofErr w:type="gramStart"/>
      <w:r w:rsidRPr="005F4E27">
        <w:rPr>
          <w:rFonts w:ascii="Arial" w:eastAsia="Times New Roman" w:hAnsi="Arial" w:cs="Arial"/>
          <w:bCs/>
          <w:sz w:val="24"/>
          <w:szCs w:val="24"/>
        </w:rPr>
        <w:t>have to</w:t>
      </w:r>
      <w:proofErr w:type="gramEnd"/>
      <w:r w:rsidRPr="005F4E27">
        <w:rPr>
          <w:rFonts w:ascii="Arial" w:eastAsia="Times New Roman" w:hAnsi="Arial" w:cs="Arial"/>
          <w:bCs/>
          <w:sz w:val="24"/>
          <w:szCs w:val="24"/>
        </w:rPr>
        <w:t xml:space="preserve"> be reintroduced under the equivalent of FAD 3.17.  There is no unfairness here as carer utility was an issue raised </w:t>
      </w:r>
      <w:proofErr w:type="gramStart"/>
      <w:r w:rsidRPr="005F4E27">
        <w:rPr>
          <w:rFonts w:ascii="Arial" w:eastAsia="Times New Roman" w:hAnsi="Arial" w:cs="Arial"/>
          <w:bCs/>
          <w:sz w:val="24"/>
          <w:szCs w:val="24"/>
        </w:rPr>
        <w:t>in the course of</w:t>
      </w:r>
      <w:proofErr w:type="gramEnd"/>
      <w:r w:rsidRPr="005F4E27">
        <w:rPr>
          <w:rFonts w:ascii="Arial" w:eastAsia="Times New Roman" w:hAnsi="Arial" w:cs="Arial"/>
          <w:bCs/>
          <w:sz w:val="24"/>
          <w:szCs w:val="24"/>
        </w:rPr>
        <w:t xml:space="preserve"> the appraisal and you had the opportunity to put your case as you wished.</w:t>
      </w:r>
    </w:p>
    <w:p w14:paraId="6A852B91" w14:textId="77777777" w:rsidR="005F4E27" w:rsidRPr="005F4E27" w:rsidRDefault="005F4E27" w:rsidP="005F4E27">
      <w:pPr>
        <w:rPr>
          <w:rFonts w:ascii="Arial" w:eastAsia="Times New Roman" w:hAnsi="Arial" w:cs="Arial"/>
          <w:bCs/>
          <w:sz w:val="24"/>
          <w:szCs w:val="24"/>
        </w:rPr>
      </w:pPr>
      <w:proofErr w:type="gramStart"/>
      <w:r w:rsidRPr="005F4E27">
        <w:rPr>
          <w:rFonts w:ascii="Arial" w:eastAsia="Times New Roman" w:hAnsi="Arial" w:cs="Arial"/>
          <w:bCs/>
          <w:sz w:val="24"/>
          <w:szCs w:val="24"/>
        </w:rPr>
        <w:t>Therefore</w:t>
      </w:r>
      <w:proofErr w:type="gramEnd"/>
      <w:r w:rsidRPr="005F4E27">
        <w:rPr>
          <w:rFonts w:ascii="Arial" w:eastAsia="Times New Roman" w:hAnsi="Arial" w:cs="Arial"/>
          <w:bCs/>
          <w:sz w:val="24"/>
          <w:szCs w:val="24"/>
        </w:rPr>
        <w:t xml:space="preserve"> I am still of the view this is not a valid appeal point.  </w:t>
      </w:r>
    </w:p>
    <w:p w14:paraId="11E55084" w14:textId="09D641B3" w:rsidR="005F4E27" w:rsidRPr="005F4E27" w:rsidRDefault="005F4E27" w:rsidP="00FA78D4">
      <w:pPr>
        <w:rPr>
          <w:rFonts w:ascii="Arial" w:eastAsia="Times New Roman" w:hAnsi="Arial" w:cs="Arial"/>
          <w:b/>
          <w:i/>
          <w:iCs/>
          <w:sz w:val="24"/>
          <w:szCs w:val="24"/>
        </w:rPr>
      </w:pPr>
      <w:r w:rsidRPr="00FA78D4">
        <w:rPr>
          <w:rFonts w:ascii="Arial" w:eastAsia="Times New Roman" w:hAnsi="Arial" w:cs="Arial"/>
          <w:b/>
          <w:i/>
          <w:iCs/>
          <w:sz w:val="24"/>
          <w:szCs w:val="24"/>
        </w:rPr>
        <w:t>Ground 2: the recommendation is unreasonable in the light of the evidence submitted to NICE</w:t>
      </w:r>
    </w:p>
    <w:p w14:paraId="254E8E94" w14:textId="7FC25D59" w:rsidR="005F4E27" w:rsidRPr="00FA78D4" w:rsidRDefault="005F4E27" w:rsidP="00FA78D4">
      <w:pPr>
        <w:pStyle w:val="ListParagraph"/>
        <w:numPr>
          <w:ilvl w:val="1"/>
          <w:numId w:val="8"/>
        </w:numPr>
        <w:spacing w:after="200" w:line="276" w:lineRule="auto"/>
        <w:ind w:left="357" w:hanging="357"/>
        <w:rPr>
          <w:rFonts w:cs="Arial"/>
          <w:b/>
          <w:sz w:val="24"/>
          <w:szCs w:val="24"/>
        </w:rPr>
      </w:pPr>
      <w:r w:rsidRPr="00FA78D4">
        <w:rPr>
          <w:rFonts w:cs="Arial"/>
          <w:b/>
          <w:sz w:val="24"/>
          <w:szCs w:val="24"/>
        </w:rPr>
        <w:t>The Committee’s conclusion that Kyowa Kirin’s analysis using the Hospital Episodes Statistics (HES) database was not adequately matched to the data from the MAVORIC trial is incorrect and therefore unreasonable</w:t>
      </w:r>
    </w:p>
    <w:p w14:paraId="51C08733" w14:textId="5C287257" w:rsidR="005F4E27" w:rsidRPr="005F4E27" w:rsidRDefault="005F4E27" w:rsidP="005F4E27">
      <w:pPr>
        <w:rPr>
          <w:rFonts w:ascii="Arial" w:eastAsia="Times New Roman" w:hAnsi="Arial" w:cs="Arial"/>
          <w:bCs/>
          <w:sz w:val="24"/>
          <w:szCs w:val="24"/>
        </w:rPr>
      </w:pPr>
      <w:r w:rsidRPr="005F4E27">
        <w:rPr>
          <w:rFonts w:ascii="Arial" w:eastAsia="Times New Roman" w:hAnsi="Arial" w:cs="Arial"/>
          <w:bCs/>
          <w:sz w:val="24"/>
          <w:szCs w:val="24"/>
        </w:rPr>
        <w:t>Already accepted as valid</w:t>
      </w:r>
      <w:r>
        <w:rPr>
          <w:rFonts w:ascii="Arial" w:eastAsia="Times New Roman" w:hAnsi="Arial" w:cs="Arial"/>
          <w:bCs/>
          <w:sz w:val="24"/>
          <w:szCs w:val="24"/>
        </w:rPr>
        <w:t>.</w:t>
      </w:r>
    </w:p>
    <w:p w14:paraId="620F9BA6" w14:textId="5CAB1BF3" w:rsidR="005F4E27" w:rsidRPr="00FA78D4" w:rsidRDefault="005F4E27" w:rsidP="00FA78D4">
      <w:pPr>
        <w:pStyle w:val="ListParagraph"/>
        <w:numPr>
          <w:ilvl w:val="1"/>
          <w:numId w:val="8"/>
        </w:numPr>
        <w:spacing w:after="200" w:line="276" w:lineRule="auto"/>
        <w:ind w:left="357" w:hanging="357"/>
        <w:rPr>
          <w:rFonts w:cs="Arial"/>
          <w:b/>
          <w:sz w:val="24"/>
          <w:szCs w:val="24"/>
        </w:rPr>
      </w:pPr>
      <w:r w:rsidRPr="00FA78D4">
        <w:rPr>
          <w:rFonts w:cs="Arial"/>
          <w:b/>
          <w:sz w:val="24"/>
          <w:szCs w:val="24"/>
        </w:rPr>
        <w:t>The Committee’s reliance on the two-stage estimation method to produce overall survival estimates for survival in the standard care arm of the MAVORIC trial is inconsistent with the available evidence</w:t>
      </w:r>
    </w:p>
    <w:p w14:paraId="0BD30D45" w14:textId="77777777" w:rsidR="005F4E27" w:rsidRPr="005F4E27" w:rsidRDefault="005F4E27" w:rsidP="005F4E27">
      <w:pPr>
        <w:rPr>
          <w:rFonts w:ascii="Arial" w:eastAsia="Times New Roman" w:hAnsi="Arial" w:cs="Arial"/>
          <w:bCs/>
          <w:sz w:val="24"/>
          <w:szCs w:val="24"/>
        </w:rPr>
      </w:pPr>
      <w:r w:rsidRPr="005F4E27">
        <w:rPr>
          <w:rFonts w:ascii="Arial" w:eastAsia="Times New Roman" w:hAnsi="Arial" w:cs="Arial"/>
          <w:bCs/>
          <w:sz w:val="24"/>
          <w:szCs w:val="24"/>
        </w:rPr>
        <w:t>Already accepted as valid.</w:t>
      </w:r>
    </w:p>
    <w:p w14:paraId="3AB0BB00" w14:textId="77777777" w:rsidR="005F4E27" w:rsidRPr="005F4E27" w:rsidRDefault="005F4E27" w:rsidP="00FA78D4">
      <w:pPr>
        <w:numPr>
          <w:ilvl w:val="1"/>
          <w:numId w:val="8"/>
        </w:numPr>
        <w:rPr>
          <w:rFonts w:ascii="Arial" w:eastAsia="Times New Roman" w:hAnsi="Arial" w:cs="Arial"/>
          <w:b/>
          <w:sz w:val="24"/>
          <w:szCs w:val="24"/>
        </w:rPr>
      </w:pPr>
      <w:r w:rsidRPr="005F4E27">
        <w:rPr>
          <w:rFonts w:ascii="Arial" w:eastAsia="Times New Roman" w:hAnsi="Arial" w:cs="Arial"/>
          <w:b/>
          <w:sz w:val="24"/>
          <w:szCs w:val="24"/>
        </w:rPr>
        <w:t>The Committee’s conclusions regarding the disease-modifying effects of mogamulizumab disregard expert evidence and misinterpret the evidence of one patient expert and are therefore unreasonable</w:t>
      </w:r>
    </w:p>
    <w:p w14:paraId="2902CBEA" w14:textId="384B7014" w:rsidR="005F4E27" w:rsidRPr="005F4E27" w:rsidRDefault="005F4E27" w:rsidP="005F4E27">
      <w:pPr>
        <w:rPr>
          <w:rFonts w:ascii="Arial" w:eastAsia="Times New Roman" w:hAnsi="Arial" w:cs="Arial"/>
          <w:bCs/>
          <w:sz w:val="24"/>
          <w:szCs w:val="24"/>
        </w:rPr>
      </w:pPr>
      <w:r w:rsidRPr="005F4E27">
        <w:rPr>
          <w:rFonts w:ascii="Arial" w:eastAsia="Times New Roman" w:hAnsi="Arial" w:cs="Arial"/>
          <w:bCs/>
          <w:sz w:val="24"/>
          <w:szCs w:val="24"/>
        </w:rPr>
        <w:t xml:space="preserve">In light of your additional </w:t>
      </w:r>
      <w:proofErr w:type="gramStart"/>
      <w:r w:rsidRPr="005F4E27">
        <w:rPr>
          <w:rFonts w:ascii="Arial" w:eastAsia="Times New Roman" w:hAnsi="Arial" w:cs="Arial"/>
          <w:bCs/>
          <w:sz w:val="24"/>
          <w:szCs w:val="24"/>
        </w:rPr>
        <w:t>comments</w:t>
      </w:r>
      <w:proofErr w:type="gramEnd"/>
      <w:r w:rsidRPr="005F4E27">
        <w:rPr>
          <w:rFonts w:ascii="Arial" w:eastAsia="Times New Roman" w:hAnsi="Arial" w:cs="Arial"/>
          <w:bCs/>
          <w:sz w:val="24"/>
          <w:szCs w:val="24"/>
        </w:rPr>
        <w:t xml:space="preserve"> I agree this is a valid appeal ground</w:t>
      </w:r>
      <w:r w:rsidR="00FA78D4">
        <w:rPr>
          <w:rFonts w:ascii="Arial" w:eastAsia="Times New Roman" w:hAnsi="Arial" w:cs="Arial"/>
          <w:bCs/>
          <w:sz w:val="24"/>
          <w:szCs w:val="24"/>
        </w:rPr>
        <w:t>.</w:t>
      </w:r>
    </w:p>
    <w:p w14:paraId="6B558C79" w14:textId="49673441" w:rsidR="005F4E27" w:rsidRPr="005F4E27" w:rsidRDefault="005F4E27" w:rsidP="00FA78D4">
      <w:pPr>
        <w:numPr>
          <w:ilvl w:val="1"/>
          <w:numId w:val="8"/>
        </w:numPr>
        <w:rPr>
          <w:rFonts w:ascii="Arial" w:eastAsia="Times New Roman" w:hAnsi="Arial" w:cs="Arial"/>
          <w:b/>
          <w:sz w:val="24"/>
          <w:szCs w:val="24"/>
        </w:rPr>
      </w:pPr>
      <w:r w:rsidRPr="005F4E27">
        <w:rPr>
          <w:rFonts w:ascii="Arial" w:eastAsia="Times New Roman" w:hAnsi="Arial" w:cs="Arial"/>
          <w:b/>
          <w:sz w:val="24"/>
          <w:szCs w:val="24"/>
        </w:rPr>
        <w:t>The Committee’s conclusion that it was not convinced that mo</w:t>
      </w:r>
      <w:r w:rsidR="00FA78D4">
        <w:rPr>
          <w:rFonts w:ascii="Arial" w:eastAsia="Times New Roman" w:hAnsi="Arial" w:cs="Arial"/>
          <w:b/>
          <w:sz w:val="24"/>
          <w:szCs w:val="24"/>
        </w:rPr>
        <w:t>g</w:t>
      </w:r>
      <w:r w:rsidRPr="005F4E27">
        <w:rPr>
          <w:rFonts w:ascii="Arial" w:eastAsia="Times New Roman" w:hAnsi="Arial" w:cs="Arial"/>
          <w:b/>
          <w:sz w:val="24"/>
          <w:szCs w:val="24"/>
        </w:rPr>
        <w:t xml:space="preserve">amulizumab provides an overall survival benefit is unreasonable </w:t>
      </w:r>
      <w:proofErr w:type="gramStart"/>
      <w:r w:rsidRPr="005F4E27">
        <w:rPr>
          <w:rFonts w:ascii="Arial" w:eastAsia="Times New Roman" w:hAnsi="Arial" w:cs="Arial"/>
          <w:b/>
          <w:sz w:val="24"/>
          <w:szCs w:val="24"/>
        </w:rPr>
        <w:t>in light of</w:t>
      </w:r>
      <w:proofErr w:type="gramEnd"/>
      <w:r w:rsidRPr="005F4E27">
        <w:rPr>
          <w:rFonts w:ascii="Arial" w:eastAsia="Times New Roman" w:hAnsi="Arial" w:cs="Arial"/>
          <w:b/>
          <w:sz w:val="24"/>
          <w:szCs w:val="24"/>
        </w:rPr>
        <w:t xml:space="preserve"> the evidence available</w:t>
      </w:r>
    </w:p>
    <w:p w14:paraId="4BFAEE33" w14:textId="41178AE7" w:rsidR="005F4E27" w:rsidRPr="005F4E27" w:rsidRDefault="005F4E27" w:rsidP="005F4E27">
      <w:pPr>
        <w:rPr>
          <w:rFonts w:ascii="Arial" w:eastAsia="Times New Roman" w:hAnsi="Arial" w:cs="Arial"/>
          <w:bCs/>
          <w:sz w:val="24"/>
          <w:szCs w:val="24"/>
        </w:rPr>
      </w:pPr>
      <w:r w:rsidRPr="005F4E27">
        <w:rPr>
          <w:rFonts w:ascii="Arial" w:eastAsia="Times New Roman" w:hAnsi="Arial" w:cs="Arial"/>
          <w:bCs/>
          <w:sz w:val="24"/>
          <w:szCs w:val="24"/>
        </w:rPr>
        <w:t>Already accepted as valid</w:t>
      </w:r>
      <w:r w:rsidR="00FA78D4">
        <w:rPr>
          <w:rFonts w:ascii="Arial" w:eastAsia="Times New Roman" w:hAnsi="Arial" w:cs="Arial"/>
          <w:bCs/>
          <w:sz w:val="24"/>
          <w:szCs w:val="24"/>
        </w:rPr>
        <w:t>.</w:t>
      </w:r>
    </w:p>
    <w:p w14:paraId="7490F842" w14:textId="77777777" w:rsidR="005F4E27" w:rsidRPr="005F4E27" w:rsidRDefault="005F4E27" w:rsidP="00FA78D4">
      <w:pPr>
        <w:numPr>
          <w:ilvl w:val="1"/>
          <w:numId w:val="8"/>
        </w:numPr>
        <w:rPr>
          <w:rFonts w:ascii="Arial" w:eastAsia="Times New Roman" w:hAnsi="Arial" w:cs="Arial"/>
          <w:b/>
          <w:sz w:val="24"/>
          <w:szCs w:val="24"/>
        </w:rPr>
      </w:pPr>
      <w:r w:rsidRPr="005F4E27">
        <w:rPr>
          <w:rFonts w:ascii="Arial" w:eastAsia="Times New Roman" w:hAnsi="Arial" w:cs="Arial"/>
          <w:b/>
          <w:sz w:val="24"/>
          <w:szCs w:val="24"/>
        </w:rPr>
        <w:t>The Committee</w:t>
      </w:r>
      <w:r w:rsidRPr="005F4E27">
        <w:rPr>
          <w:rFonts w:ascii="Arial" w:eastAsia="Times New Roman" w:hAnsi="Arial" w:cs="Arial"/>
          <w:b/>
          <w:bCs/>
          <w:sz w:val="24"/>
          <w:szCs w:val="24"/>
        </w:rPr>
        <w:t>’s conclusion that mogamulizumab is not considered to be a life-extending treatment at the end of life relies on incorrect and irrelevant data and is therefore unreasonable</w:t>
      </w:r>
    </w:p>
    <w:p w14:paraId="78910518" w14:textId="3F389F61" w:rsidR="005F4E27" w:rsidRPr="005F4E27" w:rsidRDefault="005F4E27" w:rsidP="005F4E27">
      <w:pPr>
        <w:rPr>
          <w:rFonts w:ascii="Arial" w:eastAsia="Times New Roman" w:hAnsi="Arial" w:cs="Arial"/>
          <w:sz w:val="24"/>
          <w:szCs w:val="24"/>
        </w:rPr>
      </w:pPr>
      <w:r w:rsidRPr="005F4E27">
        <w:rPr>
          <w:rFonts w:ascii="Arial" w:eastAsia="Times New Roman" w:hAnsi="Arial" w:cs="Arial"/>
          <w:sz w:val="24"/>
          <w:szCs w:val="24"/>
        </w:rPr>
        <w:t>Already accepted as valid</w:t>
      </w:r>
      <w:r w:rsidR="00FA78D4">
        <w:rPr>
          <w:rFonts w:ascii="Arial" w:eastAsia="Times New Roman" w:hAnsi="Arial" w:cs="Arial"/>
          <w:sz w:val="24"/>
          <w:szCs w:val="24"/>
        </w:rPr>
        <w:t>.</w:t>
      </w:r>
    </w:p>
    <w:p w14:paraId="132885FF" w14:textId="77777777" w:rsidR="00FA78D4" w:rsidRDefault="00FA78D4" w:rsidP="005F4E27">
      <w:pPr>
        <w:rPr>
          <w:rFonts w:ascii="Arial" w:eastAsia="Times New Roman" w:hAnsi="Arial" w:cs="Arial"/>
          <w:sz w:val="24"/>
          <w:szCs w:val="24"/>
        </w:rPr>
      </w:pPr>
    </w:p>
    <w:p w14:paraId="6E7D5324" w14:textId="7A470F72" w:rsidR="005F4E27" w:rsidRPr="005F4E27" w:rsidRDefault="005F4E27" w:rsidP="005F4E27">
      <w:pPr>
        <w:rPr>
          <w:rFonts w:ascii="Arial" w:eastAsia="Times New Roman" w:hAnsi="Arial" w:cs="Arial"/>
          <w:sz w:val="24"/>
          <w:szCs w:val="24"/>
        </w:rPr>
      </w:pPr>
      <w:r w:rsidRPr="005F4E27">
        <w:rPr>
          <w:rFonts w:ascii="Arial" w:eastAsia="Times New Roman" w:hAnsi="Arial" w:cs="Arial"/>
          <w:sz w:val="24"/>
          <w:szCs w:val="24"/>
        </w:rPr>
        <w:t xml:space="preserve">NICE will now contact you to </w:t>
      </w:r>
      <w:proofErr w:type="gramStart"/>
      <w:r w:rsidRPr="005F4E27">
        <w:rPr>
          <w:rFonts w:ascii="Arial" w:eastAsia="Times New Roman" w:hAnsi="Arial" w:cs="Arial"/>
          <w:sz w:val="24"/>
          <w:szCs w:val="24"/>
        </w:rPr>
        <w:t>make arrangements</w:t>
      </w:r>
      <w:proofErr w:type="gramEnd"/>
      <w:r w:rsidRPr="005F4E27">
        <w:rPr>
          <w:rFonts w:ascii="Arial" w:eastAsia="Times New Roman" w:hAnsi="Arial" w:cs="Arial"/>
          <w:sz w:val="24"/>
          <w:szCs w:val="24"/>
        </w:rPr>
        <w:t xml:space="preserve"> for an oral appeal hearing, which is likely to be conducted remotely.  Your appeal points will be shared in advance with any co-appellants, and you will in turn receive the appeal points that have been </w:t>
      </w:r>
      <w:r w:rsidRPr="005F4E27">
        <w:rPr>
          <w:rFonts w:ascii="Arial" w:eastAsia="Times New Roman" w:hAnsi="Arial" w:cs="Arial"/>
          <w:sz w:val="24"/>
          <w:szCs w:val="24"/>
        </w:rPr>
        <w:lastRenderedPageBreak/>
        <w:t xml:space="preserve">accepted from any co-appellants, to help with preparing for the appeal day.  The chair of the appeal panel is likely to want to group points that raise similar issues to be taken together, so that the day can be conducted most effectively, and may be in touch in this regard. </w:t>
      </w:r>
    </w:p>
    <w:p w14:paraId="5CF9145A" w14:textId="5A750D7E" w:rsidR="005F4E27" w:rsidRPr="005F4E27" w:rsidRDefault="005F4E27" w:rsidP="005F4E27">
      <w:pPr>
        <w:rPr>
          <w:rFonts w:ascii="Arial" w:eastAsia="Times New Roman" w:hAnsi="Arial" w:cs="Arial"/>
          <w:sz w:val="24"/>
          <w:szCs w:val="24"/>
        </w:rPr>
      </w:pPr>
      <w:r w:rsidRPr="005F4E27">
        <w:rPr>
          <w:rFonts w:ascii="Arial" w:eastAsia="Times New Roman" w:hAnsi="Arial" w:cs="Arial"/>
          <w:sz w:val="24"/>
          <w:szCs w:val="24"/>
        </w:rPr>
        <w:t xml:space="preserve">Ordinarily appeals are conducted </w:t>
      </w:r>
      <w:proofErr w:type="gramStart"/>
      <w:r w:rsidRPr="005F4E27">
        <w:rPr>
          <w:rFonts w:ascii="Arial" w:eastAsia="Times New Roman" w:hAnsi="Arial" w:cs="Arial"/>
          <w:sz w:val="24"/>
          <w:szCs w:val="24"/>
        </w:rPr>
        <w:t>on the basis of</w:t>
      </w:r>
      <w:proofErr w:type="gramEnd"/>
      <w:r w:rsidRPr="005F4E27">
        <w:rPr>
          <w:rFonts w:ascii="Arial" w:eastAsia="Times New Roman" w:hAnsi="Arial" w:cs="Arial"/>
          <w:sz w:val="24"/>
          <w:szCs w:val="24"/>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NICE know by return of letter, indicating what the material is, why it is desirable to submit it, and when it will be available</w:t>
      </w:r>
      <w:r w:rsidR="00FA78D4">
        <w:rPr>
          <w:rFonts w:ascii="Arial" w:eastAsia="Times New Roman" w:hAnsi="Arial" w:cs="Arial"/>
          <w:sz w:val="24"/>
          <w:szCs w:val="24"/>
        </w:rPr>
        <w:t xml:space="preserve">, by no later than </w:t>
      </w:r>
      <w:r w:rsidR="00FA78D4" w:rsidRPr="00FA78D4">
        <w:rPr>
          <w:rFonts w:ascii="Arial" w:eastAsia="Times New Roman" w:hAnsi="Arial" w:cs="Arial"/>
          <w:b/>
          <w:bCs/>
          <w:sz w:val="24"/>
          <w:szCs w:val="24"/>
        </w:rPr>
        <w:t>Monday 26 April 2021</w:t>
      </w:r>
      <w:r w:rsidRPr="005F4E27">
        <w:rPr>
          <w:rFonts w:ascii="Arial" w:eastAsia="Times New Roman" w:hAnsi="Arial" w:cs="Arial"/>
          <w:sz w:val="24"/>
          <w:szCs w:val="24"/>
        </w:rPr>
        <w:t>.  Please note that the appeal panel cannot accept papers that are tabled late or ad hoc, as this affects the preparation of the panel and other parties for the appeal.</w:t>
      </w:r>
    </w:p>
    <w:p w14:paraId="570CDD70" w14:textId="0F5A30B0" w:rsidR="00430FF5" w:rsidRDefault="00430FF5" w:rsidP="00430FF5">
      <w:pPr>
        <w:rPr>
          <w:rFonts w:ascii="Arial" w:hAnsi="Arial" w:cs="Arial"/>
        </w:rPr>
      </w:pPr>
    </w:p>
    <w:p w14:paraId="120A8716" w14:textId="0CE28A83" w:rsidR="005F4E27" w:rsidRPr="005F4E27" w:rsidRDefault="005F4E27" w:rsidP="00430FF5">
      <w:pPr>
        <w:rPr>
          <w:rFonts w:ascii="Arial" w:hAnsi="Arial" w:cs="Arial"/>
          <w:sz w:val="24"/>
          <w:szCs w:val="24"/>
        </w:rPr>
      </w:pPr>
      <w:r w:rsidRPr="005F4E27">
        <w:rPr>
          <w:rFonts w:ascii="Arial" w:hAnsi="Arial" w:cs="Arial"/>
          <w:sz w:val="24"/>
          <w:szCs w:val="24"/>
        </w:rPr>
        <w:t>Many thanks</w:t>
      </w:r>
    </w:p>
    <w:p w14:paraId="0236CFAA" w14:textId="77777777" w:rsidR="004675B7" w:rsidRPr="004675B7" w:rsidRDefault="004675B7" w:rsidP="004675B7">
      <w:pPr>
        <w:widowControl w:val="0"/>
        <w:spacing w:before="240" w:after="240" w:line="240" w:lineRule="auto"/>
        <w:jc w:val="both"/>
        <w:rPr>
          <w:rFonts w:ascii="Arial" w:hAnsi="Arial" w:cs="Arial"/>
          <w:sz w:val="24"/>
          <w:szCs w:val="24"/>
          <w:lang w:eastAsia="en-GB"/>
        </w:rPr>
      </w:pPr>
      <w:r w:rsidRPr="004675B7">
        <w:rPr>
          <w:rFonts w:ascii="Arial" w:hAnsi="Arial" w:cs="Arial"/>
          <w:sz w:val="24"/>
          <w:szCs w:val="24"/>
          <w:lang w:eastAsia="en-GB"/>
        </w:rPr>
        <w:t xml:space="preserve">Yours sincerely </w:t>
      </w:r>
    </w:p>
    <w:p w14:paraId="0CACFD55" w14:textId="34A50782" w:rsidR="00131D2B" w:rsidRPr="00131D2B" w:rsidRDefault="00131D2B" w:rsidP="00131D2B">
      <w:pPr>
        <w:widowControl w:val="0"/>
        <w:spacing w:before="240" w:after="240" w:line="240" w:lineRule="auto"/>
        <w:jc w:val="both"/>
        <w:rPr>
          <w:rFonts w:ascii="Arial" w:hAnsi="Arial" w:cs="Arial"/>
          <w:sz w:val="24"/>
          <w:szCs w:val="24"/>
          <w:lang w:eastAsia="en-GB"/>
        </w:rPr>
      </w:pPr>
    </w:p>
    <w:p w14:paraId="637F620B"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Tim Irish</w:t>
      </w:r>
    </w:p>
    <w:p w14:paraId="28E13ABB" w14:textId="5CF6987A"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Vice</w:t>
      </w:r>
      <w:r w:rsidR="00394EB2">
        <w:rPr>
          <w:rFonts w:ascii="Arial" w:hAnsi="Arial" w:cs="Arial"/>
          <w:sz w:val="24"/>
          <w:szCs w:val="24"/>
          <w:lang w:eastAsia="en-GB"/>
        </w:rPr>
        <w:t xml:space="preserve"> </w:t>
      </w:r>
      <w:r w:rsidRPr="00131D2B">
        <w:rPr>
          <w:rFonts w:ascii="Arial" w:hAnsi="Arial" w:cs="Arial"/>
          <w:sz w:val="24"/>
          <w:szCs w:val="24"/>
          <w:lang w:eastAsia="en-GB"/>
        </w:rPr>
        <w:t>Chair</w:t>
      </w:r>
    </w:p>
    <w:p w14:paraId="6396DFA3"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National Institute for Health and Care Excellence</w:t>
      </w:r>
    </w:p>
    <w:p w14:paraId="03E7BAFA" w14:textId="228E4268" w:rsidR="000B36E1" w:rsidRPr="00D96B81" w:rsidRDefault="000B36E1" w:rsidP="00131D2B">
      <w:pPr>
        <w:widowControl w:val="0"/>
        <w:spacing w:before="240" w:after="240" w:line="240" w:lineRule="auto"/>
        <w:jc w:val="both"/>
        <w:rPr>
          <w:rFonts w:ascii="Arial" w:hAnsi="Arial" w:cs="Arial"/>
          <w:sz w:val="24"/>
          <w:szCs w:val="24"/>
        </w:rPr>
      </w:pPr>
    </w:p>
    <w:sectPr w:rsidR="000B36E1" w:rsidRPr="00D96B81"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6FFC96E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4836F15E">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181"/>
    <w:multiLevelType w:val="hybridMultilevel"/>
    <w:tmpl w:val="D0BE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B39B7"/>
    <w:multiLevelType w:val="hybridMultilevel"/>
    <w:tmpl w:val="B5EEE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3A4C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CA3E20"/>
    <w:multiLevelType w:val="hybridMultilevel"/>
    <w:tmpl w:val="D544357E"/>
    <w:lvl w:ilvl="0" w:tplc="6EDAFF1E">
      <w:start w:val="1"/>
      <w:numFmt w:val="decimal"/>
      <w:lvlText w:val="%1."/>
      <w:lvlJc w:val="left"/>
      <w:pPr>
        <w:ind w:left="360" w:hanging="360"/>
      </w:pPr>
      <w:rPr>
        <w:rFonts w:hint="default"/>
        <w:i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1D7DDD"/>
    <w:multiLevelType w:val="hybridMultilevel"/>
    <w:tmpl w:val="23BE73CE"/>
    <w:lvl w:ilvl="0" w:tplc="26783BEA">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CF177DD"/>
    <w:multiLevelType w:val="multilevel"/>
    <w:tmpl w:val="607AC6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830E05"/>
    <w:multiLevelType w:val="multilevel"/>
    <w:tmpl w:val="FC722A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53B8"/>
    <w:rsid w:val="000468DC"/>
    <w:rsid w:val="00085181"/>
    <w:rsid w:val="0008737F"/>
    <w:rsid w:val="000B352B"/>
    <w:rsid w:val="000B36E1"/>
    <w:rsid w:val="00131D2B"/>
    <w:rsid w:val="001533FB"/>
    <w:rsid w:val="00176AA4"/>
    <w:rsid w:val="001C4C0F"/>
    <w:rsid w:val="001D5BD2"/>
    <w:rsid w:val="0022689E"/>
    <w:rsid w:val="003028A0"/>
    <w:rsid w:val="00312E90"/>
    <w:rsid w:val="00320722"/>
    <w:rsid w:val="00321B75"/>
    <w:rsid w:val="00394EB2"/>
    <w:rsid w:val="003A3E2E"/>
    <w:rsid w:val="003A79BD"/>
    <w:rsid w:val="003D614E"/>
    <w:rsid w:val="004215D9"/>
    <w:rsid w:val="00430FF5"/>
    <w:rsid w:val="00453774"/>
    <w:rsid w:val="004675B7"/>
    <w:rsid w:val="00486326"/>
    <w:rsid w:val="00493D2F"/>
    <w:rsid w:val="004C2D22"/>
    <w:rsid w:val="004E4493"/>
    <w:rsid w:val="004F29D7"/>
    <w:rsid w:val="005B078B"/>
    <w:rsid w:val="005E0434"/>
    <w:rsid w:val="005F4E27"/>
    <w:rsid w:val="0067278F"/>
    <w:rsid w:val="00676C27"/>
    <w:rsid w:val="0069376C"/>
    <w:rsid w:val="006D0C62"/>
    <w:rsid w:val="006F031D"/>
    <w:rsid w:val="00732227"/>
    <w:rsid w:val="00736283"/>
    <w:rsid w:val="009E2F15"/>
    <w:rsid w:val="00A361B6"/>
    <w:rsid w:val="00AE303D"/>
    <w:rsid w:val="00B32B71"/>
    <w:rsid w:val="00B772B2"/>
    <w:rsid w:val="00BB56F6"/>
    <w:rsid w:val="00C30733"/>
    <w:rsid w:val="00C71F14"/>
    <w:rsid w:val="00C96687"/>
    <w:rsid w:val="00CF5AD0"/>
    <w:rsid w:val="00D96B81"/>
    <w:rsid w:val="00DB7E11"/>
    <w:rsid w:val="00DC2B02"/>
    <w:rsid w:val="00E03263"/>
    <w:rsid w:val="00E622D7"/>
    <w:rsid w:val="00EA3919"/>
    <w:rsid w:val="00EE6553"/>
    <w:rsid w:val="00F03896"/>
    <w:rsid w:val="00F1265E"/>
    <w:rsid w:val="00F233EA"/>
    <w:rsid w:val="00F65871"/>
    <w:rsid w:val="00FA78D4"/>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D96B81"/>
    <w:rPr>
      <w:color w:val="0000FF" w:themeColor="hyperlink"/>
      <w:u w:val="single"/>
    </w:rPr>
  </w:style>
  <w:style w:type="character" w:styleId="UnresolvedMention">
    <w:name w:val="Unresolved Mention"/>
    <w:basedOn w:val="DefaultParagraphFont"/>
    <w:uiPriority w:val="99"/>
    <w:semiHidden/>
    <w:unhideWhenUsed/>
    <w:rsid w:val="00D96B81"/>
    <w:rPr>
      <w:color w:val="605E5C"/>
      <w:shd w:val="clear" w:color="auto" w:fill="E1DFDD"/>
    </w:rPr>
  </w:style>
  <w:style w:type="paragraph" w:styleId="ListParagraph">
    <w:name w:val="List Paragraph"/>
    <w:basedOn w:val="Normal"/>
    <w:uiPriority w:val="34"/>
    <w:qFormat/>
    <w:rsid w:val="00430FF5"/>
    <w:pPr>
      <w:spacing w:after="0" w:line="288" w:lineRule="auto"/>
      <w:ind w:left="720"/>
      <w:contextualSpacing/>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4186">
      <w:bodyDiv w:val="1"/>
      <w:marLeft w:val="0"/>
      <w:marRight w:val="0"/>
      <w:marTop w:val="0"/>
      <w:marBottom w:val="0"/>
      <w:divBdr>
        <w:top w:val="none" w:sz="0" w:space="0" w:color="auto"/>
        <w:left w:val="none" w:sz="0" w:space="0" w:color="auto"/>
        <w:bottom w:val="none" w:sz="0" w:space="0" w:color="auto"/>
        <w:right w:val="none" w:sz="0" w:space="0" w:color="auto"/>
      </w:divBdr>
    </w:div>
    <w:div w:id="475222243">
      <w:bodyDiv w:val="1"/>
      <w:marLeft w:val="0"/>
      <w:marRight w:val="0"/>
      <w:marTop w:val="0"/>
      <w:marBottom w:val="0"/>
      <w:divBdr>
        <w:top w:val="none" w:sz="0" w:space="0" w:color="auto"/>
        <w:left w:val="none" w:sz="0" w:space="0" w:color="auto"/>
        <w:bottom w:val="none" w:sz="0" w:space="0" w:color="auto"/>
        <w:right w:val="none" w:sz="0" w:space="0" w:color="auto"/>
      </w:divBdr>
    </w:div>
    <w:div w:id="16478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McNamara@kyowakiri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4</TotalTime>
  <Pages>5</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Lucinda Evans</cp:lastModifiedBy>
  <cp:revision>2</cp:revision>
  <cp:lastPrinted>2017-02-13T09:51:00Z</cp:lastPrinted>
  <dcterms:created xsi:type="dcterms:W3CDTF">2021-04-22T08:50:00Z</dcterms:created>
  <dcterms:modified xsi:type="dcterms:W3CDTF">2021-04-22T08:50:00Z</dcterms:modified>
</cp:coreProperties>
</file>