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C166A" w14:textId="6BC33CAA" w:rsidR="000F48EC" w:rsidRPr="000F48EC" w:rsidRDefault="000F48EC" w:rsidP="0093671F">
      <w:pPr>
        <w:pStyle w:val="Title2"/>
      </w:pPr>
      <w:r w:rsidRPr="000F48EC">
        <w:t>NATIONAL INSTITUTE FOR HEALTH AND C</w:t>
      </w:r>
      <w:r w:rsidR="00CC63EB">
        <w:t>ARE</w:t>
      </w:r>
      <w:r w:rsidRPr="000F48EC">
        <w:t xml:space="preserve"> EXCELLENCE</w:t>
      </w:r>
    </w:p>
    <w:p w14:paraId="3624A2F8" w14:textId="686FFC99" w:rsidR="000F48EC" w:rsidRPr="000F48EC" w:rsidRDefault="00B12F5D" w:rsidP="000069F9">
      <w:pPr>
        <w:pStyle w:val="Title2"/>
      </w:pPr>
      <w:r>
        <w:t>Appraisal consultation document</w:t>
      </w:r>
    </w:p>
    <w:p w14:paraId="2E9071A2" w14:textId="076332A6" w:rsidR="00C7539F" w:rsidRDefault="007D2C8C" w:rsidP="003B79B0">
      <w:pPr>
        <w:pStyle w:val="Title1"/>
      </w:pPr>
      <w:r>
        <w:t xml:space="preserve">Pembrolizumab for treating relapsed or refractory classical Hodgkin lymphoma after stem cell transplant or at least </w:t>
      </w:r>
      <w:r w:rsidR="00EB2947">
        <w:t xml:space="preserve">2 </w:t>
      </w:r>
      <w:r w:rsidR="00CC0CD0">
        <w:t xml:space="preserve">previous </w:t>
      </w:r>
      <w:r>
        <w:t>therap</w:t>
      </w:r>
      <w:r w:rsidR="00BD77B8">
        <w:t>ies</w:t>
      </w:r>
    </w:p>
    <w:p w14:paraId="039AB34B" w14:textId="5F2F7228" w:rsidR="00B12F5D" w:rsidRPr="00220406" w:rsidRDefault="00B12F5D" w:rsidP="00682015">
      <w:pPr>
        <w:rPr>
          <w:highlight w:val="darkGray"/>
        </w:rPr>
      </w:pPr>
      <w:r>
        <w:rPr>
          <w:highlight w:val="darkGray"/>
        </w:rPr>
        <w:br w:type="page"/>
      </w:r>
    </w:p>
    <w:p w14:paraId="76642AB1" w14:textId="77777777" w:rsidR="000F48EC" w:rsidRPr="000F48EC" w:rsidRDefault="00B379C5" w:rsidP="00F130AD">
      <w:pPr>
        <w:pStyle w:val="Numberedheading1"/>
      </w:pPr>
      <w:r>
        <w:lastRenderedPageBreak/>
        <w:t>Recommendations</w:t>
      </w:r>
    </w:p>
    <w:p w14:paraId="3BE41E12" w14:textId="77777777" w:rsidR="004A2FC0" w:rsidRPr="00682015" w:rsidRDefault="007B1AA2" w:rsidP="00442F8E">
      <w:pPr>
        <w:pStyle w:val="Numberedlevel2text"/>
      </w:pPr>
      <w:r>
        <w:t>Pembrolizumab</w:t>
      </w:r>
      <w:r w:rsidR="00D63458" w:rsidRPr="00133921">
        <w:t xml:space="preserve"> </w:t>
      </w:r>
      <w:r w:rsidR="00C31253" w:rsidRPr="00133921">
        <w:t>is recommended</w:t>
      </w:r>
      <w:r w:rsidR="007B5E5C">
        <w:t xml:space="preserve"> </w:t>
      </w:r>
      <w:r w:rsidR="00C31253" w:rsidRPr="00133921">
        <w:t xml:space="preserve">as an option for treating </w:t>
      </w:r>
      <w:r>
        <w:t xml:space="preserve">relapsed or refractory classical Hodgkin lymphoma </w:t>
      </w:r>
      <w:r w:rsidR="007B5E5C">
        <w:t xml:space="preserve">in </w:t>
      </w:r>
      <w:r w:rsidR="00D726A7">
        <w:rPr>
          <w:lang w:val="en-GB"/>
        </w:rPr>
        <w:t>people</w:t>
      </w:r>
      <w:r w:rsidR="007B5E5C">
        <w:t xml:space="preserve"> aged</w:t>
      </w:r>
      <w:r w:rsidR="00CC0CD0">
        <w:rPr>
          <w:lang w:val="en-GB"/>
        </w:rPr>
        <w:t> </w:t>
      </w:r>
      <w:r w:rsidR="007B5E5C">
        <w:t>3</w:t>
      </w:r>
      <w:r w:rsidR="00CC0CD0">
        <w:rPr>
          <w:lang w:val="en-GB"/>
        </w:rPr>
        <w:t> </w:t>
      </w:r>
      <w:r w:rsidR="007B5E5C">
        <w:t>and older</w:t>
      </w:r>
      <w:r w:rsidR="004A2FC0">
        <w:rPr>
          <w:lang w:val="en-GB"/>
        </w:rPr>
        <w:t>. It is only recommended if:</w:t>
      </w:r>
    </w:p>
    <w:p w14:paraId="79A45008" w14:textId="717825AC" w:rsidR="004A2FC0" w:rsidRDefault="004A2FC0" w:rsidP="004A2FC0">
      <w:pPr>
        <w:pStyle w:val="Bulletindent1"/>
      </w:pPr>
      <w:r>
        <w:t>they</w:t>
      </w:r>
      <w:r w:rsidR="00BD77B8" w:rsidRPr="006F1A77">
        <w:t xml:space="preserve"> have had </w:t>
      </w:r>
      <w:r w:rsidR="00BD77B8">
        <w:t>an</w:t>
      </w:r>
      <w:r w:rsidR="00BD77B8" w:rsidRPr="006F1A77">
        <w:t xml:space="preserve"> autologous stem cell transplant</w:t>
      </w:r>
      <w:r w:rsidR="00BD77B8">
        <w:t xml:space="preserve"> that has not worked</w:t>
      </w:r>
    </w:p>
    <w:p w14:paraId="176C365A" w14:textId="04FA8806" w:rsidR="004A2FC0" w:rsidRPr="00327E13" w:rsidRDefault="004A2FC0" w:rsidP="00682015">
      <w:pPr>
        <w:pStyle w:val="Bulletindent1"/>
      </w:pPr>
      <w:r>
        <w:t xml:space="preserve">they </w:t>
      </w:r>
      <w:r w:rsidR="00442F8E">
        <w:t xml:space="preserve">have not had brentuximab </w:t>
      </w:r>
      <w:proofErr w:type="spellStart"/>
      <w:r w:rsidR="00442F8E">
        <w:t>vedotin</w:t>
      </w:r>
      <w:proofErr w:type="spellEnd"/>
      <w:r>
        <w:t xml:space="preserve"> and</w:t>
      </w:r>
    </w:p>
    <w:p w14:paraId="108DE019" w14:textId="41B8DD0B" w:rsidR="00C31253" w:rsidRPr="007F64EB" w:rsidRDefault="00DD5647" w:rsidP="001721E3">
      <w:pPr>
        <w:pStyle w:val="Bulletindent1last"/>
        <w:rPr>
          <w:rStyle w:val="NICEnormalChar"/>
          <w:bCs/>
          <w:iCs/>
          <w:szCs w:val="28"/>
          <w:lang w:val="x-none"/>
        </w:rPr>
      </w:pPr>
      <w:r w:rsidRPr="006F1A77">
        <w:rPr>
          <w:rStyle w:val="NICEnormalChar"/>
        </w:rPr>
        <w:t xml:space="preserve">the </w:t>
      </w:r>
      <w:r w:rsidRPr="001721E3">
        <w:rPr>
          <w:rStyle w:val="NICEnormalChar"/>
        </w:rPr>
        <w:t>company</w:t>
      </w:r>
      <w:r w:rsidRPr="006F1A77">
        <w:rPr>
          <w:rStyle w:val="NICEnormalChar"/>
        </w:rPr>
        <w:t xml:space="preserve"> </w:t>
      </w:r>
      <w:r w:rsidRPr="001721E3">
        <w:rPr>
          <w:rStyle w:val="NICEnormalChar"/>
        </w:rPr>
        <w:t>provides</w:t>
      </w:r>
      <w:r w:rsidRPr="006F1A77">
        <w:rPr>
          <w:rStyle w:val="NICEnormalChar"/>
        </w:rPr>
        <w:t xml:space="preserve"> pembrolizumab according to the commercial arrangement (see section</w:t>
      </w:r>
      <w:r w:rsidRPr="00017B34">
        <w:rPr>
          <w:rStyle w:val="NICEnormalChar"/>
        </w:rPr>
        <w:t> </w:t>
      </w:r>
      <w:r w:rsidRPr="006F1A77">
        <w:rPr>
          <w:rStyle w:val="NICEnormalChar"/>
        </w:rPr>
        <w:t>2).</w:t>
      </w:r>
    </w:p>
    <w:p w14:paraId="136AEFF5" w14:textId="3FD2B5B9" w:rsidR="002F2C1A" w:rsidRDefault="0090679C" w:rsidP="00C063F5">
      <w:pPr>
        <w:pStyle w:val="Numberedlevel2text"/>
      </w:pPr>
      <w:proofErr w:type="spellStart"/>
      <w:r>
        <w:t>T</w:t>
      </w:r>
      <w:r w:rsidR="002F2C1A">
        <w:t>h</w:t>
      </w:r>
      <w:r w:rsidR="004A2FC0">
        <w:rPr>
          <w:lang w:val="en-GB"/>
        </w:rPr>
        <w:t>i</w:t>
      </w:r>
      <w:proofErr w:type="spellEnd"/>
      <w:r w:rsidR="002F2C1A">
        <w:t xml:space="preserve">s recommendation </w:t>
      </w:r>
      <w:r w:rsidR="004A2FC0">
        <w:rPr>
          <w:lang w:val="en-GB"/>
        </w:rPr>
        <w:t>is</w:t>
      </w:r>
      <w:r w:rsidR="002F2C1A" w:rsidRPr="0009129B">
        <w:t xml:space="preserve"> not intended to affect </w:t>
      </w:r>
      <w:r w:rsidR="002F2C1A" w:rsidRPr="006A2D99">
        <w:t xml:space="preserve">treatment with </w:t>
      </w:r>
      <w:r>
        <w:t>pembrolizumab</w:t>
      </w:r>
      <w:r w:rsidR="002F2C1A" w:rsidRPr="006A2D99">
        <w:t xml:space="preserve"> </w:t>
      </w:r>
      <w:r w:rsidR="002F2C1A">
        <w:t xml:space="preserve">that </w:t>
      </w:r>
      <w:r w:rsidR="002F2C1A" w:rsidRPr="006A2D99">
        <w:t>was started in the NHS befo</w:t>
      </w:r>
      <w:r w:rsidR="002F2C1A">
        <w:t xml:space="preserve">re this guidance was published. People having treatment outside </w:t>
      </w:r>
      <w:proofErr w:type="spellStart"/>
      <w:r w:rsidR="002F2C1A">
        <w:t>th</w:t>
      </w:r>
      <w:r w:rsidR="004A2FC0">
        <w:rPr>
          <w:lang w:val="en-GB"/>
        </w:rPr>
        <w:t>i</w:t>
      </w:r>
      <w:proofErr w:type="spellEnd"/>
      <w:r w:rsidR="002F2C1A">
        <w:t xml:space="preserve">s recommendation may </w:t>
      </w:r>
      <w:r w:rsidR="002F2C1A" w:rsidRPr="006A2D99">
        <w:t xml:space="preserve">continue </w:t>
      </w:r>
      <w:r w:rsidR="002F2C1A">
        <w:t xml:space="preserve">without change to the funding arrangements in place </w:t>
      </w:r>
      <w:r w:rsidR="00007B15">
        <w:rPr>
          <w:lang w:val="en-GB"/>
        </w:rPr>
        <w:t>f</w:t>
      </w:r>
      <w:r w:rsidR="002F2C1A">
        <w:t>or them before this guidance was published,</w:t>
      </w:r>
      <w:r w:rsidR="002F2C1A" w:rsidRPr="006A2D99">
        <w:t xml:space="preserve"> until they and their NHS clinician consider it appropriate to stop</w:t>
      </w:r>
      <w:r w:rsidR="002F2C1A" w:rsidRPr="007C0BAA">
        <w:t xml:space="preserve">. </w:t>
      </w:r>
      <w:r w:rsidR="002F2C1A" w:rsidRPr="006A2D99">
        <w:t>This decision should be made jointly by the clinician and the child</w:t>
      </w:r>
      <w:r>
        <w:t xml:space="preserve"> or </w:t>
      </w:r>
      <w:r w:rsidR="002F2C1A" w:rsidRPr="006A2D99">
        <w:t>young person and the child’s</w:t>
      </w:r>
      <w:r>
        <w:t xml:space="preserve"> and </w:t>
      </w:r>
      <w:r w:rsidR="002F2C1A" w:rsidRPr="006A2D99">
        <w:t>young person’s parents or carers</w:t>
      </w:r>
      <w:r>
        <w:t>, where applicable.</w:t>
      </w:r>
    </w:p>
    <w:p w14:paraId="1CA4BC57" w14:textId="77777777" w:rsidR="00C11F58" w:rsidRPr="008522C6" w:rsidRDefault="00C11F58" w:rsidP="008522C6">
      <w:pPr>
        <w:pStyle w:val="NICEnormal"/>
        <w:rPr>
          <w:b/>
        </w:rPr>
      </w:pPr>
      <w:r w:rsidRPr="008522C6">
        <w:rPr>
          <w:b/>
        </w:rPr>
        <w:t>Why the committee made these recommendations</w:t>
      </w:r>
    </w:p>
    <w:p w14:paraId="76DA1A76" w14:textId="6E5AFD56" w:rsidR="00B8464A" w:rsidRDefault="003B79B0" w:rsidP="00C52CE9">
      <w:pPr>
        <w:pStyle w:val="NICEnormal"/>
      </w:pPr>
      <w:r w:rsidRPr="003B79B0">
        <w:t xml:space="preserve">Pembrolizumab </w:t>
      </w:r>
      <w:r>
        <w:t xml:space="preserve">is an additional treatment option for people with relapsed or refractory classical Hodgkin lymphoma. </w:t>
      </w:r>
      <w:r w:rsidR="00060F26">
        <w:t>Clinical trial evidence shows that p</w:t>
      </w:r>
      <w:r>
        <w:t xml:space="preserve">embrolizumab delays </w:t>
      </w:r>
      <w:r w:rsidR="00C04D5F">
        <w:t>the condition getting worse</w:t>
      </w:r>
      <w:r>
        <w:t xml:space="preserve">. </w:t>
      </w:r>
      <w:r w:rsidR="00784169">
        <w:t>It is not known</w:t>
      </w:r>
      <w:r>
        <w:t xml:space="preserve"> </w:t>
      </w:r>
      <w:r w:rsidR="00191341">
        <w:t xml:space="preserve">if </w:t>
      </w:r>
      <w:r>
        <w:t xml:space="preserve">people having pembrolizumab live longer, because </w:t>
      </w:r>
      <w:r w:rsidR="00EC4EF1">
        <w:t xml:space="preserve">longer-term </w:t>
      </w:r>
      <w:r w:rsidR="00522C0C">
        <w:t>evidence</w:t>
      </w:r>
      <w:r w:rsidR="00EC4EF1">
        <w:t xml:space="preserve"> from the KEYNOTE-204 trial is not available yet.</w:t>
      </w:r>
    </w:p>
    <w:p w14:paraId="1A095EDE" w14:textId="0241664B" w:rsidR="00A84C8D" w:rsidRDefault="00A84C8D" w:rsidP="00C52CE9">
      <w:pPr>
        <w:pStyle w:val="NICEnormal"/>
      </w:pPr>
      <w:r>
        <w:t xml:space="preserve">Pembrolizumab is a cost-effective use of NHS resources for </w:t>
      </w:r>
      <w:r w:rsidR="00191341">
        <w:t>treating relapsed or refractory</w:t>
      </w:r>
      <w:r>
        <w:t xml:space="preserve"> classical Hodgkin lymphoma in people who h</w:t>
      </w:r>
      <w:r w:rsidR="0024316A">
        <w:t>ave had</w:t>
      </w:r>
      <w:r>
        <w:t xml:space="preserve"> </w:t>
      </w:r>
      <w:r w:rsidRPr="006D3F45">
        <w:t>a</w:t>
      </w:r>
      <w:r w:rsidR="00C737B8" w:rsidRPr="006D3F45">
        <w:t>n autologous</w:t>
      </w:r>
      <w:r>
        <w:t xml:space="preserve"> stem cell transplant</w:t>
      </w:r>
      <w:r w:rsidR="00C737B8">
        <w:t xml:space="preserve"> that has not worked</w:t>
      </w:r>
      <w:r w:rsidR="00191341">
        <w:t xml:space="preserve"> but have not had brentuximab </w:t>
      </w:r>
      <w:proofErr w:type="spellStart"/>
      <w:r w:rsidR="00191341">
        <w:t>vedotin</w:t>
      </w:r>
      <w:proofErr w:type="spellEnd"/>
      <w:r>
        <w:t>. So</w:t>
      </w:r>
      <w:r w:rsidR="00191341">
        <w:t>,</w:t>
      </w:r>
      <w:r>
        <w:t xml:space="preserve"> it is recommended for use in the NHS in this population.</w:t>
      </w:r>
    </w:p>
    <w:p w14:paraId="499A4813" w14:textId="73D70826" w:rsidR="00A84C8D" w:rsidRDefault="00A84C8D" w:rsidP="00C52CE9">
      <w:pPr>
        <w:pStyle w:val="NICEnormal"/>
      </w:pPr>
      <w:r>
        <w:lastRenderedPageBreak/>
        <w:t>The cost</w:t>
      </w:r>
      <w:r w:rsidR="00191341">
        <w:t>-</w:t>
      </w:r>
      <w:r>
        <w:t xml:space="preserve">effectiveness estimates are uncertain </w:t>
      </w:r>
      <w:r w:rsidR="00060F26">
        <w:t xml:space="preserve">in </w:t>
      </w:r>
      <w:r>
        <w:t xml:space="preserve">people who have </w:t>
      </w:r>
      <w:r w:rsidR="00191341">
        <w:t xml:space="preserve">had </w:t>
      </w:r>
      <w:r>
        <w:t>2 previous anti</w:t>
      </w:r>
      <w:r w:rsidR="005C2380">
        <w:t>cancer</w:t>
      </w:r>
      <w:r>
        <w:t xml:space="preserve"> treatments and have not had a</w:t>
      </w:r>
      <w:r w:rsidR="00EC4EF1">
        <w:t>n autologous</w:t>
      </w:r>
      <w:r>
        <w:t xml:space="preserve"> stem cell transplant</w:t>
      </w:r>
      <w:r w:rsidR="00191341">
        <w:t xml:space="preserve"> </w:t>
      </w:r>
      <w:r w:rsidR="00CF5831">
        <w:t>and</w:t>
      </w:r>
      <w:r w:rsidR="00191341">
        <w:t xml:space="preserve"> brentuximab </w:t>
      </w:r>
      <w:proofErr w:type="spellStart"/>
      <w:r w:rsidR="00191341">
        <w:t>vedotin</w:t>
      </w:r>
      <w:proofErr w:type="spellEnd"/>
      <w:r w:rsidR="00735179">
        <w:t>. The most plausible cost</w:t>
      </w:r>
      <w:r w:rsidR="004317A0">
        <w:t>-</w:t>
      </w:r>
      <w:r w:rsidR="00735179">
        <w:t xml:space="preserve">effectiveness estimate may be within the range usually considered cost effective or may be much higher. </w:t>
      </w:r>
      <w:r w:rsidR="001232F6">
        <w:t>Because of this uncertainty,</w:t>
      </w:r>
      <w:r w:rsidR="00735179">
        <w:t xml:space="preserve"> pembrolizumab cannot be recommended for this population.</w:t>
      </w:r>
    </w:p>
    <w:p w14:paraId="286D0C39" w14:textId="02E3FE63" w:rsidR="00EA1CB1" w:rsidRDefault="00EA1CB1" w:rsidP="00EA1CB1">
      <w:pPr>
        <w:pStyle w:val="Numberedheading1"/>
        <w:keepLines/>
      </w:pPr>
      <w:r>
        <w:t xml:space="preserve">Information about </w:t>
      </w:r>
      <w:r w:rsidR="007D2C8C">
        <w:t>pembrolizumab</w:t>
      </w:r>
    </w:p>
    <w:p w14:paraId="7A7AADBC" w14:textId="7FA2C0FA" w:rsidR="00B82A82" w:rsidRDefault="00B82A82" w:rsidP="00B82A82">
      <w:pPr>
        <w:pStyle w:val="Heading2"/>
      </w:pPr>
      <w:r w:rsidRPr="00A76391">
        <w:t>Marketing authorisation indication</w:t>
      </w:r>
    </w:p>
    <w:p w14:paraId="4F680CFE" w14:textId="6DAF2324" w:rsidR="00B82A82" w:rsidRPr="00CE2D91" w:rsidRDefault="007D2C8C" w:rsidP="00B82A82">
      <w:pPr>
        <w:pStyle w:val="Numberedlevel2text"/>
        <w:numPr>
          <w:ilvl w:val="1"/>
          <w:numId w:val="1"/>
        </w:numPr>
      </w:pPr>
      <w:r w:rsidRPr="00CE2D91">
        <w:rPr>
          <w:rStyle w:val="NICEnormalChar"/>
          <w:szCs w:val="28"/>
        </w:rPr>
        <w:t xml:space="preserve">Pembrolizumab (Keytruda, Merck Sharp &amp; Dohme) </w:t>
      </w:r>
      <w:r w:rsidR="00CE2D91" w:rsidRPr="00CE2D91">
        <w:rPr>
          <w:rStyle w:val="NICEnormalChar"/>
          <w:szCs w:val="28"/>
        </w:rPr>
        <w:t>has a marketing authorisation in the UK ‘as monotherapy for the treatment of adult and paediatric patients aged 3</w:t>
      </w:r>
      <w:r w:rsidR="00C2795D">
        <w:rPr>
          <w:rStyle w:val="NICEnormalChar"/>
          <w:szCs w:val="28"/>
        </w:rPr>
        <w:t> </w:t>
      </w:r>
      <w:r w:rsidR="00CE2D91" w:rsidRPr="00CE2D91">
        <w:rPr>
          <w:rStyle w:val="NICEnormalChar"/>
          <w:szCs w:val="28"/>
        </w:rPr>
        <w:t xml:space="preserve">years and older with relapsed or refractory classical Hodgkin lymphoma who have failed autologous stem cell transplant (ASCT) or following at least </w:t>
      </w:r>
      <w:r w:rsidR="00C2795D">
        <w:rPr>
          <w:rStyle w:val="NICEnormalChar"/>
          <w:szCs w:val="28"/>
        </w:rPr>
        <w:t>2</w:t>
      </w:r>
      <w:r w:rsidR="00C2795D" w:rsidRPr="00CE2D91">
        <w:rPr>
          <w:rStyle w:val="NICEnormalChar"/>
          <w:szCs w:val="28"/>
        </w:rPr>
        <w:t xml:space="preserve"> </w:t>
      </w:r>
      <w:r w:rsidR="00CE2D91" w:rsidRPr="00CE2D91">
        <w:rPr>
          <w:rStyle w:val="NICEnormalChar"/>
          <w:szCs w:val="28"/>
        </w:rPr>
        <w:t>prior therapies when ASCT is not a treatment option.</w:t>
      </w:r>
      <w:r w:rsidR="00CE2D91">
        <w:rPr>
          <w:lang w:val="en-GB"/>
        </w:rPr>
        <w:t>’</w:t>
      </w:r>
    </w:p>
    <w:p w14:paraId="68171544" w14:textId="77777777" w:rsidR="00B82A82" w:rsidRDefault="00B82A82" w:rsidP="00B82A82">
      <w:pPr>
        <w:pStyle w:val="Heading2"/>
      </w:pPr>
      <w:r>
        <w:t>Dosage in the marketing authorisation</w:t>
      </w:r>
    </w:p>
    <w:p w14:paraId="5897BD4D" w14:textId="2CE257FA" w:rsidR="00B82A82" w:rsidRPr="00570524" w:rsidRDefault="00FE2CE3" w:rsidP="001A5561">
      <w:pPr>
        <w:pStyle w:val="Numberedlevel2text"/>
        <w:numPr>
          <w:ilvl w:val="1"/>
          <w:numId w:val="1"/>
        </w:numPr>
        <w:rPr>
          <w:rStyle w:val="Numberedlevel2textChar"/>
        </w:rPr>
      </w:pPr>
      <w:r w:rsidRPr="00570524">
        <w:t>The dosage schedule is</w:t>
      </w:r>
      <w:r w:rsidR="00570524" w:rsidRPr="00570524">
        <w:t xml:space="preserve"> available in </w:t>
      </w:r>
      <w:r w:rsidR="00570524">
        <w:t xml:space="preserve">the </w:t>
      </w:r>
      <w:hyperlink r:id="rId8" w:history="1">
        <w:r w:rsidR="00570524" w:rsidRPr="00CE2D91">
          <w:rPr>
            <w:rStyle w:val="Hyperlink"/>
          </w:rPr>
          <w:t>summary of product characteristics</w:t>
        </w:r>
      </w:hyperlink>
      <w:r w:rsidR="00CE2D91">
        <w:rPr>
          <w:lang w:val="en-GB"/>
        </w:rPr>
        <w:t>.</w:t>
      </w:r>
    </w:p>
    <w:p w14:paraId="50460684" w14:textId="77777777" w:rsidR="00B82A82" w:rsidRDefault="00B82A82" w:rsidP="00B82A82">
      <w:pPr>
        <w:pStyle w:val="Heading2"/>
      </w:pPr>
      <w:r>
        <w:t>Price</w:t>
      </w:r>
    </w:p>
    <w:p w14:paraId="045F6D60" w14:textId="4DDFDBFC" w:rsidR="00B82A82" w:rsidRDefault="00C652AE" w:rsidP="009F212F">
      <w:pPr>
        <w:pStyle w:val="Numberedlevel2text"/>
        <w:numPr>
          <w:ilvl w:val="1"/>
          <w:numId w:val="1"/>
        </w:numPr>
      </w:pPr>
      <w:r>
        <w:rPr>
          <w:lang w:val="en-GB"/>
        </w:rPr>
        <w:t>The list price is £2,630 for 1 x 100</w:t>
      </w:r>
      <w:r w:rsidR="00C2795D">
        <w:rPr>
          <w:lang w:val="en-GB"/>
        </w:rPr>
        <w:t> </w:t>
      </w:r>
      <w:r>
        <w:rPr>
          <w:lang w:val="en-GB"/>
        </w:rPr>
        <w:t xml:space="preserve">mg vial (excluding VAT; BNF online accessed </w:t>
      </w:r>
      <w:r w:rsidR="00FC55DF">
        <w:rPr>
          <w:lang w:val="en-GB"/>
        </w:rPr>
        <w:t xml:space="preserve">September </w:t>
      </w:r>
      <w:r>
        <w:rPr>
          <w:lang w:val="en-GB"/>
        </w:rPr>
        <w:t>2021).</w:t>
      </w:r>
      <w:bookmarkStart w:id="0" w:name="_Hlk66279522"/>
    </w:p>
    <w:bookmarkEnd w:id="0"/>
    <w:p w14:paraId="5BF3AAA1" w14:textId="04332858" w:rsidR="00B82A82" w:rsidRDefault="00B82A82" w:rsidP="00B82A82">
      <w:pPr>
        <w:pStyle w:val="NICEnormalindented"/>
      </w:pPr>
      <w:r>
        <w:t>The company has a commercial arrangement (</w:t>
      </w:r>
      <w:r w:rsidR="00C652AE">
        <w:t>simple discount patient access scheme).</w:t>
      </w:r>
      <w:r>
        <w:t xml:space="preserve"> This</w:t>
      </w:r>
      <w:r w:rsidRPr="00B520D8">
        <w:t xml:space="preserve"> makes </w:t>
      </w:r>
      <w:r w:rsidR="00C652AE">
        <w:t>pembrolizumab</w:t>
      </w:r>
      <w:r w:rsidRPr="00B520D8">
        <w:t xml:space="preserve"> available to the NHS with a discount. The size of the discount is commercial in confidence. It is the company</w:t>
      </w:r>
      <w:r>
        <w:t>’s responsibility</w:t>
      </w:r>
      <w:r w:rsidRPr="00B520D8">
        <w:t xml:space="preserve"> to </w:t>
      </w:r>
      <w:r>
        <w:t>let</w:t>
      </w:r>
      <w:r w:rsidRPr="00B520D8">
        <w:t xml:space="preserve"> relevant NHS organisations</w:t>
      </w:r>
      <w:r>
        <w:t xml:space="preserve"> know details of the discount.</w:t>
      </w:r>
    </w:p>
    <w:p w14:paraId="2ABCEC39" w14:textId="77777777" w:rsidR="00F130AD" w:rsidRDefault="00222BEA" w:rsidP="00F130AD">
      <w:pPr>
        <w:pStyle w:val="Numberedheading1"/>
      </w:pPr>
      <w:r w:rsidRPr="000F48EC">
        <w:lastRenderedPageBreak/>
        <w:t>Co</w:t>
      </w:r>
      <w:r>
        <w:t>mmittee discussion</w:t>
      </w:r>
    </w:p>
    <w:p w14:paraId="2CBEFE4E" w14:textId="3100607C" w:rsidR="002B5772" w:rsidRPr="00C63D4E" w:rsidRDefault="00BC7D9E" w:rsidP="002B5772">
      <w:pPr>
        <w:pStyle w:val="NICEnormal"/>
      </w:pPr>
      <w:r w:rsidRPr="007D7F83">
        <w:t xml:space="preserve">The </w:t>
      </w:r>
      <w:hyperlink w:anchor="_Appraisal_committee_members" w:history="1">
        <w:r w:rsidR="00343B53" w:rsidRPr="00866CC6">
          <w:rPr>
            <w:rStyle w:val="Hyperlink"/>
          </w:rPr>
          <w:t>a</w:t>
        </w:r>
        <w:r w:rsidRPr="00866CC6">
          <w:rPr>
            <w:rStyle w:val="Hyperlink"/>
          </w:rPr>
          <w:t xml:space="preserve">ppraisal </w:t>
        </w:r>
        <w:r w:rsidR="00343B53" w:rsidRPr="00866CC6">
          <w:rPr>
            <w:rStyle w:val="Hyperlink"/>
          </w:rPr>
          <w:t>c</w:t>
        </w:r>
        <w:r w:rsidRPr="00866CC6">
          <w:rPr>
            <w:rStyle w:val="Hyperlink"/>
          </w:rPr>
          <w:t>ommittee</w:t>
        </w:r>
      </w:hyperlink>
      <w:r w:rsidRPr="007D7F83">
        <w:t xml:space="preserve"> considered evidence submitted by </w:t>
      </w:r>
      <w:r w:rsidR="00FC55DF">
        <w:t>MSD</w:t>
      </w:r>
      <w:r w:rsidR="002B5772">
        <w:t>,</w:t>
      </w:r>
      <w:r w:rsidRPr="00981B9F">
        <w:t xml:space="preserve"> </w:t>
      </w:r>
      <w:r w:rsidRPr="007D7F83">
        <w:t xml:space="preserve">a review of this submission by the </w:t>
      </w:r>
      <w:r w:rsidR="00343B53">
        <w:t>e</w:t>
      </w:r>
      <w:r w:rsidRPr="007D7F83">
        <w:t xml:space="preserve">vidence </w:t>
      </w:r>
      <w:r w:rsidR="00343B53">
        <w:t>r</w:t>
      </w:r>
      <w:r w:rsidRPr="007D7F83">
        <w:t xml:space="preserve">eview </w:t>
      </w:r>
      <w:r w:rsidR="00343B53">
        <w:t>g</w:t>
      </w:r>
      <w:r w:rsidRPr="007D7F83">
        <w:t>roup (ERG)</w:t>
      </w:r>
      <w:r w:rsidR="002B5772">
        <w:t xml:space="preserve">, </w:t>
      </w:r>
      <w:r w:rsidR="000B1027">
        <w:t>and responses from</w:t>
      </w:r>
      <w:r w:rsidR="00E9265B">
        <w:t xml:space="preserve"> stakeholders</w:t>
      </w:r>
      <w:r w:rsidRPr="007D7F83">
        <w:t>.</w:t>
      </w:r>
      <w:r w:rsidR="00C63D4E">
        <w:t xml:space="preserve"> </w:t>
      </w:r>
      <w:r w:rsidR="002B5772">
        <w:t xml:space="preserve">See the </w:t>
      </w:r>
      <w:hyperlink r:id="rId9" w:history="1">
        <w:r w:rsidR="002B5772">
          <w:rPr>
            <w:rStyle w:val="Hyperlink"/>
          </w:rPr>
          <w:t>committee papers</w:t>
        </w:r>
      </w:hyperlink>
      <w:r w:rsidR="002B5772">
        <w:t xml:space="preserve"> for full details of the evidence</w:t>
      </w:r>
      <w:r w:rsidR="002B5772" w:rsidRPr="000F2D8A">
        <w:t>.</w:t>
      </w:r>
    </w:p>
    <w:p w14:paraId="6EDDAE68" w14:textId="764AD868" w:rsidR="00643582" w:rsidRDefault="00C83B87" w:rsidP="00643582">
      <w:pPr>
        <w:pStyle w:val="Heading2"/>
      </w:pPr>
      <w:r>
        <w:t>The condition</w:t>
      </w:r>
    </w:p>
    <w:p w14:paraId="4978B4C1" w14:textId="522F7BD9" w:rsidR="00723AF0" w:rsidRDefault="00C83B87" w:rsidP="00723AF0">
      <w:pPr>
        <w:pStyle w:val="Heading3"/>
      </w:pPr>
      <w:r>
        <w:t xml:space="preserve">People with classical Hodgkin lymphoma </w:t>
      </w:r>
      <w:r w:rsidR="000E1B86">
        <w:t xml:space="preserve">would </w:t>
      </w:r>
      <w:r>
        <w:t>welcome a</w:t>
      </w:r>
      <w:r w:rsidR="005B09F0">
        <w:t>n effective</w:t>
      </w:r>
      <w:r>
        <w:t xml:space="preserve"> treatment option</w:t>
      </w:r>
      <w:r w:rsidR="00672121">
        <w:t xml:space="preserve"> </w:t>
      </w:r>
      <w:r w:rsidR="00C2795D">
        <w:t>that is more tolerable</w:t>
      </w:r>
    </w:p>
    <w:p w14:paraId="2D51574B" w14:textId="27902E8E" w:rsidR="00C063F5" w:rsidRPr="00C063F5" w:rsidRDefault="00C063F5" w:rsidP="00271476">
      <w:pPr>
        <w:pStyle w:val="Numberedlevel2text"/>
      </w:pPr>
      <w:r>
        <w:t xml:space="preserve">The patient </w:t>
      </w:r>
      <w:r w:rsidR="00784169">
        <w:rPr>
          <w:lang w:val="en-GB"/>
        </w:rPr>
        <w:t xml:space="preserve">expert and a committee member with personal experience of how the condition </w:t>
      </w:r>
      <w:r w:rsidR="00D64CBE">
        <w:rPr>
          <w:lang w:val="en-GB"/>
        </w:rPr>
        <w:t>a</w:t>
      </w:r>
      <w:r w:rsidR="00117991">
        <w:rPr>
          <w:lang w:val="en-GB"/>
        </w:rPr>
        <w:t>ffects</w:t>
      </w:r>
      <w:r w:rsidR="00784169">
        <w:rPr>
          <w:lang w:val="en-GB"/>
        </w:rPr>
        <w:t xml:space="preserve"> patients</w:t>
      </w:r>
      <w:r w:rsidR="008E2960">
        <w:rPr>
          <w:lang w:val="en-GB"/>
        </w:rPr>
        <w:t>’</w:t>
      </w:r>
      <w:r w:rsidR="00784169">
        <w:rPr>
          <w:lang w:val="en-GB"/>
        </w:rPr>
        <w:t xml:space="preserve"> lives </w:t>
      </w:r>
      <w:r>
        <w:t xml:space="preserve">explained that classical Hodgkin lymphoma </w:t>
      </w:r>
      <w:r w:rsidR="003345B0">
        <w:t xml:space="preserve">and its treatment </w:t>
      </w:r>
      <w:r w:rsidR="00C2795D">
        <w:rPr>
          <w:lang w:val="en-GB"/>
        </w:rPr>
        <w:t>substantially</w:t>
      </w:r>
      <w:r w:rsidR="00C2795D">
        <w:t xml:space="preserve"> </w:t>
      </w:r>
      <w:r w:rsidR="003345B0">
        <w:t>affect</w:t>
      </w:r>
      <w:r w:rsidR="00C2795D">
        <w:rPr>
          <w:lang w:val="en-GB"/>
        </w:rPr>
        <w:t>s</w:t>
      </w:r>
      <w:r w:rsidR="003345B0">
        <w:t xml:space="preserve"> quality of life. They explained that the physical symptoms which can include fatigue, breathlessness, </w:t>
      </w:r>
      <w:r w:rsidR="00725197">
        <w:t xml:space="preserve">nausea, </w:t>
      </w:r>
      <w:r w:rsidR="003345B0">
        <w:t xml:space="preserve">fevers, night sweats, weight loss and severe itching are also exacerbated by the emotional </w:t>
      </w:r>
      <w:r w:rsidR="00C2795D">
        <w:rPr>
          <w:lang w:val="en-GB"/>
        </w:rPr>
        <w:t>effect</w:t>
      </w:r>
      <w:r w:rsidR="00C2795D">
        <w:t xml:space="preserve"> </w:t>
      </w:r>
      <w:r w:rsidR="003345B0">
        <w:t xml:space="preserve">of </w:t>
      </w:r>
      <w:r w:rsidR="00725197">
        <w:t xml:space="preserve">the </w:t>
      </w:r>
      <w:r w:rsidR="00820022">
        <w:rPr>
          <w:lang w:val="en-GB"/>
        </w:rPr>
        <w:t>condition</w:t>
      </w:r>
      <w:r w:rsidR="00725197">
        <w:t xml:space="preserve">. People with classical Hodgkin lymphoma may experience depression, anxiety, isolation and loss of self-esteem. Further consequences can include </w:t>
      </w:r>
      <w:r w:rsidR="00C2795D">
        <w:rPr>
          <w:lang w:val="en-GB"/>
        </w:rPr>
        <w:t>substantial</w:t>
      </w:r>
      <w:r w:rsidR="00C2795D">
        <w:t xml:space="preserve"> </w:t>
      </w:r>
      <w:r w:rsidR="00725197">
        <w:t xml:space="preserve">financial impact </w:t>
      </w:r>
      <w:r w:rsidR="00C2795D">
        <w:rPr>
          <w:lang w:val="en-GB"/>
        </w:rPr>
        <w:t>because of</w:t>
      </w:r>
      <w:r w:rsidR="00725197">
        <w:t xml:space="preserve"> the inability to work and an inability to care for children. The patient </w:t>
      </w:r>
      <w:r w:rsidR="008E2960">
        <w:rPr>
          <w:lang w:val="en-GB"/>
        </w:rPr>
        <w:t>expert</w:t>
      </w:r>
      <w:r w:rsidR="00725197">
        <w:t xml:space="preserve"> explained that pembrolizumab is a desirable treatment option, </w:t>
      </w:r>
      <w:r w:rsidR="009D20B2">
        <w:rPr>
          <w:lang w:val="en-GB"/>
        </w:rPr>
        <w:t>because</w:t>
      </w:r>
      <w:r w:rsidR="00725197">
        <w:t xml:space="preserve"> it is </w:t>
      </w:r>
      <w:r w:rsidR="009D20B2">
        <w:rPr>
          <w:lang w:val="en-GB"/>
        </w:rPr>
        <w:t>more tolerable</w:t>
      </w:r>
      <w:r w:rsidR="00725197">
        <w:t xml:space="preserve"> and more convenient than other treatments for classical Hodgkin lymphoma</w:t>
      </w:r>
      <w:r w:rsidR="00DC21E4">
        <w:rPr>
          <w:lang w:val="en-GB"/>
        </w:rPr>
        <w:t xml:space="preserve"> and </w:t>
      </w:r>
      <w:r w:rsidR="00725197">
        <w:t xml:space="preserve">does not </w:t>
      </w:r>
      <w:r w:rsidR="009D20B2">
        <w:rPr>
          <w:lang w:val="en-GB"/>
        </w:rPr>
        <w:t>need</w:t>
      </w:r>
      <w:r w:rsidR="009D20B2">
        <w:t xml:space="preserve"> </w:t>
      </w:r>
      <w:r w:rsidR="00725197">
        <w:t xml:space="preserve">prolonged hospital stays. They explained that these are important factors </w:t>
      </w:r>
      <w:r w:rsidR="00672121">
        <w:t xml:space="preserve">for people with the </w:t>
      </w:r>
      <w:r w:rsidR="00820022">
        <w:rPr>
          <w:lang w:val="en-GB"/>
        </w:rPr>
        <w:t>condition</w:t>
      </w:r>
      <w:r w:rsidR="00672121">
        <w:t>.</w:t>
      </w:r>
      <w:r w:rsidR="00725197">
        <w:t xml:space="preserve"> </w:t>
      </w:r>
      <w:r w:rsidR="00672121">
        <w:t xml:space="preserve">The committee recognised the potential benefits that pembrolizumab may bring for people with classical Hodgkin lymphoma. It concluded that people would welcome a new effective treatment option, especially one </w:t>
      </w:r>
      <w:r w:rsidR="009D20B2">
        <w:rPr>
          <w:lang w:val="en-GB"/>
        </w:rPr>
        <w:t xml:space="preserve">that is </w:t>
      </w:r>
      <w:r w:rsidR="00724CC2">
        <w:rPr>
          <w:lang w:val="en-GB"/>
        </w:rPr>
        <w:t>well tolerated</w:t>
      </w:r>
      <w:r w:rsidR="009D20B2" w:rsidRPr="006F1A77">
        <w:rPr>
          <w:lang w:val="en-GB"/>
        </w:rPr>
        <w:t>.</w:t>
      </w:r>
    </w:p>
    <w:p w14:paraId="36BB3C63" w14:textId="27F94A81" w:rsidR="00090108" w:rsidRDefault="00C83B87" w:rsidP="00090108">
      <w:pPr>
        <w:pStyle w:val="Heading2"/>
      </w:pPr>
      <w:r>
        <w:lastRenderedPageBreak/>
        <w:t>Treatment pathway</w:t>
      </w:r>
    </w:p>
    <w:p w14:paraId="21AC1054" w14:textId="4B560FF0" w:rsidR="00C83B87" w:rsidRDefault="00C83B87" w:rsidP="00C83B87">
      <w:pPr>
        <w:pStyle w:val="Heading3"/>
      </w:pPr>
      <w:bookmarkStart w:id="1" w:name="_Pembrolizumab_would_offer"/>
      <w:bookmarkEnd w:id="1"/>
      <w:r>
        <w:t xml:space="preserve">Pembrolizumab </w:t>
      </w:r>
      <w:r w:rsidR="004B670B">
        <w:t xml:space="preserve">would </w:t>
      </w:r>
      <w:r>
        <w:t xml:space="preserve">offer an </w:t>
      </w:r>
      <w:r w:rsidR="008E2960">
        <w:t xml:space="preserve">alternative treatment option to brentuximab </w:t>
      </w:r>
      <w:proofErr w:type="spellStart"/>
      <w:r w:rsidR="008E2960">
        <w:t>vedotin</w:t>
      </w:r>
      <w:proofErr w:type="spellEnd"/>
      <w:r>
        <w:t xml:space="preserve"> for people who have </w:t>
      </w:r>
      <w:r w:rsidR="009D20B2">
        <w:t xml:space="preserve">had </w:t>
      </w:r>
      <w:r w:rsidR="00DC21E4">
        <w:t>2</w:t>
      </w:r>
      <w:r w:rsidR="009D20B2">
        <w:t> </w:t>
      </w:r>
      <w:r w:rsidR="00DC21E4">
        <w:t>previous treatments</w:t>
      </w:r>
    </w:p>
    <w:p w14:paraId="29ED0888" w14:textId="4F82782E" w:rsidR="001D74F4" w:rsidRDefault="00B102B9" w:rsidP="00271476">
      <w:pPr>
        <w:pStyle w:val="Numberedlevel2text"/>
      </w:pPr>
      <w:r>
        <w:rPr>
          <w:lang w:val="en-GB"/>
        </w:rPr>
        <w:t>Treatment</w:t>
      </w:r>
      <w:r w:rsidR="005B09F0">
        <w:t xml:space="preserve"> for classical Hodgkin lymphoma </w:t>
      </w:r>
      <w:r w:rsidR="0049335B">
        <w:t>which is</w:t>
      </w:r>
      <w:r w:rsidR="005B09F0">
        <w:t xml:space="preserve"> relapse</w:t>
      </w:r>
      <w:r w:rsidR="0049335B">
        <w:t>d</w:t>
      </w:r>
      <w:r w:rsidR="005B09F0">
        <w:t xml:space="preserve"> or refractory to first-line chemotherapy is salvage chemotherapy. </w:t>
      </w:r>
      <w:bookmarkStart w:id="2" w:name="_Hlk69414762"/>
      <w:r w:rsidR="005B09F0">
        <w:t>People who</w:t>
      </w:r>
      <w:r w:rsidR="009D20B2">
        <w:rPr>
          <w:lang w:val="en-GB"/>
        </w:rPr>
        <w:t xml:space="preserve">se </w:t>
      </w:r>
      <w:r w:rsidR="002E01E0">
        <w:rPr>
          <w:lang w:val="en-GB"/>
        </w:rPr>
        <w:t>condition</w:t>
      </w:r>
      <w:r w:rsidR="009D20B2">
        <w:rPr>
          <w:lang w:val="en-GB"/>
        </w:rPr>
        <w:t xml:space="preserve"> has</w:t>
      </w:r>
      <w:r w:rsidR="005B09F0">
        <w:t xml:space="preserve"> </w:t>
      </w:r>
      <w:r w:rsidR="00671003">
        <w:rPr>
          <w:lang w:val="en-US"/>
        </w:rPr>
        <w:t>responded to</w:t>
      </w:r>
      <w:r w:rsidR="005B09F0">
        <w:t xml:space="preserve"> salvage chemotherapy</w:t>
      </w:r>
      <w:bookmarkEnd w:id="2"/>
      <w:r w:rsidR="0009040B">
        <w:rPr>
          <w:lang w:val="en-US"/>
        </w:rPr>
        <w:t>,</w:t>
      </w:r>
      <w:r w:rsidR="00671003">
        <w:rPr>
          <w:lang w:val="en-US"/>
        </w:rPr>
        <w:t xml:space="preserve"> and are </w:t>
      </w:r>
      <w:r w:rsidR="009D20B2">
        <w:rPr>
          <w:lang w:val="en-US"/>
        </w:rPr>
        <w:t xml:space="preserve">well </w:t>
      </w:r>
      <w:r w:rsidR="00671003">
        <w:rPr>
          <w:lang w:val="en-US"/>
        </w:rPr>
        <w:t>enough,</w:t>
      </w:r>
      <w:r w:rsidR="00F123BB">
        <w:rPr>
          <w:lang w:val="en-US"/>
        </w:rPr>
        <w:t xml:space="preserve"> </w:t>
      </w:r>
      <w:r w:rsidR="005B09F0">
        <w:t xml:space="preserve">may be offered </w:t>
      </w:r>
      <w:r w:rsidR="009D20B2">
        <w:rPr>
          <w:lang w:val="en-GB"/>
        </w:rPr>
        <w:t xml:space="preserve">an </w:t>
      </w:r>
      <w:r w:rsidR="005B09F0">
        <w:t>autologous stem cell transplant.</w:t>
      </w:r>
    </w:p>
    <w:p w14:paraId="696CE854" w14:textId="386A1A71" w:rsidR="008E2960" w:rsidRDefault="0049335B" w:rsidP="00666ECA">
      <w:pPr>
        <w:pStyle w:val="Bulletindent1"/>
      </w:pPr>
      <w:r>
        <w:t>For p</w:t>
      </w:r>
      <w:r w:rsidR="005B09F0">
        <w:t>eople who</w:t>
      </w:r>
      <w:r>
        <w:t xml:space="preserve">se </w:t>
      </w:r>
      <w:r w:rsidR="002E01E0">
        <w:t xml:space="preserve">condition </w:t>
      </w:r>
      <w:r>
        <w:t>is</w:t>
      </w:r>
      <w:r w:rsidR="005B09F0">
        <w:t xml:space="preserve"> </w:t>
      </w:r>
      <w:r w:rsidR="00841379">
        <w:t xml:space="preserve">relapsed or </w:t>
      </w:r>
      <w:r w:rsidR="005B09F0">
        <w:t xml:space="preserve">refractory to salvage chemotherapy </w:t>
      </w:r>
      <w:r w:rsidR="00841379">
        <w:t>and</w:t>
      </w:r>
      <w:r w:rsidR="009D20B2">
        <w:t xml:space="preserve"> for whom</w:t>
      </w:r>
      <w:r w:rsidR="005B09F0">
        <w:t xml:space="preserve"> </w:t>
      </w:r>
      <w:r w:rsidR="009D20B2">
        <w:t xml:space="preserve">a </w:t>
      </w:r>
      <w:r w:rsidR="005B09F0">
        <w:t>stem cell transplant</w:t>
      </w:r>
      <w:r w:rsidR="009D20B2">
        <w:t xml:space="preserve"> is not suitable</w:t>
      </w:r>
      <w:r w:rsidR="009659D3">
        <w:t>,</w:t>
      </w:r>
      <w:r>
        <w:t xml:space="preserve"> or whose </w:t>
      </w:r>
      <w:r w:rsidR="002E01E0">
        <w:t xml:space="preserve">condition </w:t>
      </w:r>
      <w:r>
        <w:t xml:space="preserve">is relapsed or refractory to autologous stem cell </w:t>
      </w:r>
      <w:r w:rsidR="00E039AF">
        <w:t xml:space="preserve">transplant, </w:t>
      </w:r>
      <w:hyperlink r:id="rId10" w:history="1">
        <w:r w:rsidR="00E039AF" w:rsidRPr="00E039AF">
          <w:rPr>
            <w:rStyle w:val="Hyperlink"/>
          </w:rPr>
          <w:t>NICE</w:t>
        </w:r>
        <w:r w:rsidR="009659D3">
          <w:rPr>
            <w:rStyle w:val="Hyperlink"/>
          </w:rPr>
          <w:t>’s</w:t>
        </w:r>
        <w:r w:rsidR="008E2960" w:rsidRPr="00E039AF">
          <w:rPr>
            <w:rStyle w:val="Hyperlink"/>
          </w:rPr>
          <w:t xml:space="preserve"> technology appraisal</w:t>
        </w:r>
        <w:r w:rsidR="009659D3">
          <w:rPr>
            <w:rStyle w:val="Hyperlink"/>
          </w:rPr>
          <w:t xml:space="preserve"> guidance on b</w:t>
        </w:r>
        <w:r w:rsidR="009659D3" w:rsidRPr="009659D3">
          <w:rPr>
            <w:rStyle w:val="Hyperlink"/>
          </w:rPr>
          <w:t xml:space="preserve">rentuximab </w:t>
        </w:r>
        <w:proofErr w:type="spellStart"/>
        <w:r w:rsidR="009659D3" w:rsidRPr="009659D3">
          <w:rPr>
            <w:rStyle w:val="Hyperlink"/>
          </w:rPr>
          <w:t>vedotin</w:t>
        </w:r>
        <w:proofErr w:type="spellEnd"/>
        <w:r w:rsidR="009659D3" w:rsidRPr="009659D3">
          <w:rPr>
            <w:rStyle w:val="Hyperlink"/>
          </w:rPr>
          <w:t xml:space="preserve"> for treating CD30-positive Hodgkin lymphoma</w:t>
        </w:r>
        <w:r w:rsidR="008E2960" w:rsidRPr="00E039AF">
          <w:rPr>
            <w:rStyle w:val="Hyperlink"/>
          </w:rPr>
          <w:t xml:space="preserve"> </w:t>
        </w:r>
      </w:hyperlink>
      <w:r w:rsidR="008E2960">
        <w:t xml:space="preserve">recommends brentuximab </w:t>
      </w:r>
      <w:proofErr w:type="spellStart"/>
      <w:r w:rsidR="008E2960">
        <w:t>vedotin</w:t>
      </w:r>
      <w:proofErr w:type="spellEnd"/>
      <w:r w:rsidR="008E2960">
        <w:t xml:space="preserve"> as a third</w:t>
      </w:r>
      <w:r w:rsidR="001D74F4">
        <w:t>-</w:t>
      </w:r>
      <w:r w:rsidR="008E2960">
        <w:t>line treatment option</w:t>
      </w:r>
      <w:r>
        <w:t>.</w:t>
      </w:r>
    </w:p>
    <w:p w14:paraId="202BB9C4" w14:textId="220954AD" w:rsidR="008E2960" w:rsidRDefault="008E2960" w:rsidP="008E2960">
      <w:pPr>
        <w:pStyle w:val="Bulletindent1"/>
      </w:pPr>
      <w:r>
        <w:t xml:space="preserve">For people who have </w:t>
      </w:r>
      <w:r w:rsidR="009659D3">
        <w:t xml:space="preserve">had an </w:t>
      </w:r>
      <w:r>
        <w:t xml:space="preserve">autologous stem cell transplant and brentuximab </w:t>
      </w:r>
      <w:proofErr w:type="spellStart"/>
      <w:r>
        <w:t>vedotin</w:t>
      </w:r>
      <w:proofErr w:type="spellEnd"/>
      <w:r w:rsidR="001D74F4">
        <w:t xml:space="preserve">, </w:t>
      </w:r>
      <w:hyperlink r:id="rId11" w:history="1">
        <w:r w:rsidR="001D74F4" w:rsidRPr="001D74F4">
          <w:rPr>
            <w:rStyle w:val="Hyperlink"/>
          </w:rPr>
          <w:t>NICE</w:t>
        </w:r>
        <w:r w:rsidR="009659D3">
          <w:rPr>
            <w:rStyle w:val="Hyperlink"/>
          </w:rPr>
          <w:t>’s</w:t>
        </w:r>
        <w:r w:rsidR="001D74F4" w:rsidRPr="001D74F4">
          <w:rPr>
            <w:rStyle w:val="Hyperlink"/>
          </w:rPr>
          <w:t xml:space="preserve"> technology appraisal</w:t>
        </w:r>
        <w:r w:rsidR="009659D3">
          <w:rPr>
            <w:rStyle w:val="Hyperlink"/>
          </w:rPr>
          <w:t xml:space="preserve"> guidance on</w:t>
        </w:r>
        <w:r w:rsidR="001D74F4" w:rsidRPr="001D74F4">
          <w:rPr>
            <w:rStyle w:val="Hyperlink"/>
          </w:rPr>
          <w:t xml:space="preserve"> </w:t>
        </w:r>
        <w:r w:rsidR="009659D3">
          <w:rPr>
            <w:rStyle w:val="Hyperlink"/>
          </w:rPr>
          <w:t>n</w:t>
        </w:r>
        <w:r w:rsidR="009659D3" w:rsidRPr="009659D3">
          <w:rPr>
            <w:rStyle w:val="Hyperlink"/>
          </w:rPr>
          <w:t>ivolumab for treating relapsed or refractory classical Hodgkin lymphoma</w:t>
        </w:r>
      </w:hyperlink>
      <w:r w:rsidR="001D74F4">
        <w:t xml:space="preserve"> recommends n</w:t>
      </w:r>
      <w:r w:rsidR="0049335B">
        <w:t xml:space="preserve">ivolumab as an option for treating relapsed or refractory </w:t>
      </w:r>
      <w:r w:rsidR="00F53B17">
        <w:t>classical Hodgkin lymphoma</w:t>
      </w:r>
      <w:r w:rsidR="001D74F4">
        <w:t>.</w:t>
      </w:r>
    </w:p>
    <w:p w14:paraId="0365A1D2" w14:textId="720C6825" w:rsidR="008E2960" w:rsidRDefault="0049335B" w:rsidP="00666ECA">
      <w:pPr>
        <w:pStyle w:val="Bulletindent1last"/>
      </w:pPr>
      <w:r>
        <w:t xml:space="preserve">For people who have not </w:t>
      </w:r>
      <w:r w:rsidR="009659D3">
        <w:t xml:space="preserve">had an </w:t>
      </w:r>
      <w:r w:rsidR="007628E8">
        <w:t xml:space="preserve">autologous stem cell transplant and </w:t>
      </w:r>
      <w:r>
        <w:t xml:space="preserve">whose </w:t>
      </w:r>
      <w:r w:rsidR="00F53B17">
        <w:t xml:space="preserve">condition </w:t>
      </w:r>
      <w:r>
        <w:t xml:space="preserve">is relapsed or </w:t>
      </w:r>
      <w:r w:rsidR="007628E8">
        <w:t xml:space="preserve">refractory to third-line brentuximab </w:t>
      </w:r>
      <w:proofErr w:type="spellStart"/>
      <w:r w:rsidR="007628E8">
        <w:t>vedotin</w:t>
      </w:r>
      <w:proofErr w:type="spellEnd"/>
      <w:r w:rsidR="007628E8">
        <w:t xml:space="preserve">, </w:t>
      </w:r>
      <w:hyperlink r:id="rId12" w:history="1">
        <w:r w:rsidR="001D74F4" w:rsidRPr="001D74F4">
          <w:rPr>
            <w:rStyle w:val="Hyperlink"/>
          </w:rPr>
          <w:t>NICE</w:t>
        </w:r>
        <w:r w:rsidR="009659D3">
          <w:rPr>
            <w:rStyle w:val="Hyperlink"/>
          </w:rPr>
          <w:t>’s</w:t>
        </w:r>
        <w:r w:rsidR="001D74F4" w:rsidRPr="001D74F4">
          <w:rPr>
            <w:rStyle w:val="Hyperlink"/>
          </w:rPr>
          <w:t xml:space="preserve"> technology appraisal</w:t>
        </w:r>
        <w:r w:rsidR="009659D3">
          <w:rPr>
            <w:rStyle w:val="Hyperlink"/>
          </w:rPr>
          <w:t xml:space="preserve"> on p</w:t>
        </w:r>
        <w:r w:rsidR="009659D3" w:rsidRPr="009659D3">
          <w:rPr>
            <w:rStyle w:val="Hyperlink"/>
          </w:rPr>
          <w:t>embrolizumab for treating relapsed or refractory classical Hodgkin lymphoma</w:t>
        </w:r>
      </w:hyperlink>
      <w:r w:rsidR="001D74F4">
        <w:t xml:space="preserve"> recommends </w:t>
      </w:r>
      <w:r w:rsidR="007628E8">
        <w:t xml:space="preserve">pembrolizumab </w:t>
      </w:r>
      <w:r w:rsidR="001D74F4">
        <w:t>within</w:t>
      </w:r>
      <w:r w:rsidR="007628E8">
        <w:t xml:space="preserve"> the Cancer Drugs Fund</w:t>
      </w:r>
      <w:r w:rsidR="008E2960">
        <w:t xml:space="preserve">. The clinical experts noted that although </w:t>
      </w:r>
      <w:r w:rsidR="001D74F4">
        <w:t>most</w:t>
      </w:r>
      <w:r w:rsidR="008E2960">
        <w:t xml:space="preserve"> people </w:t>
      </w:r>
      <w:r w:rsidR="0052247D">
        <w:t>have pembrolizumab currently</w:t>
      </w:r>
      <w:r w:rsidR="00820154">
        <w:t xml:space="preserve"> </w:t>
      </w:r>
      <w:r w:rsidR="009659D3">
        <w:t>because of</w:t>
      </w:r>
      <w:r w:rsidR="00820154">
        <w:t xml:space="preserve"> its availability though the Cancer Drugs Fund</w:t>
      </w:r>
      <w:r w:rsidR="001D74F4">
        <w:t>,</w:t>
      </w:r>
      <w:r w:rsidR="002E3BFE">
        <w:t xml:space="preserve"> </w:t>
      </w:r>
      <w:r w:rsidR="00820154">
        <w:t>the</w:t>
      </w:r>
      <w:r w:rsidR="00820154" w:rsidRPr="00820154">
        <w:t xml:space="preserve"> routinely commissioned standard care</w:t>
      </w:r>
      <w:r w:rsidR="00820154">
        <w:t xml:space="preserve"> is </w:t>
      </w:r>
      <w:r w:rsidR="002E3BFE">
        <w:t>multi-agent chemotherapy</w:t>
      </w:r>
      <w:r w:rsidR="00820154">
        <w:t>.</w:t>
      </w:r>
    </w:p>
    <w:p w14:paraId="14BB7714" w14:textId="611FF3B1" w:rsidR="005B09F0" w:rsidRDefault="00672121" w:rsidP="008E2960">
      <w:pPr>
        <w:pStyle w:val="NICEnormalindented"/>
      </w:pPr>
      <w:r>
        <w:t xml:space="preserve">The clinical experts explained that some people may be offered an autologous or allogenic stem cell transplant </w:t>
      </w:r>
      <w:r w:rsidR="009659D3">
        <w:t xml:space="preserve">after </w:t>
      </w:r>
      <w:r w:rsidR="002E3BFE">
        <w:t xml:space="preserve">third- or fourth-line treatment depending on their fitness for transplant and </w:t>
      </w:r>
      <w:r w:rsidR="009659D3">
        <w:t xml:space="preserve">how their </w:t>
      </w:r>
      <w:r w:rsidR="00F53B17">
        <w:t>condition</w:t>
      </w:r>
      <w:r w:rsidR="009659D3">
        <w:t xml:space="preserve"> </w:t>
      </w:r>
      <w:r w:rsidR="009659D3">
        <w:lastRenderedPageBreak/>
        <w:t xml:space="preserve">has </w:t>
      </w:r>
      <w:r w:rsidR="002E3BFE">
        <w:t>respon</w:t>
      </w:r>
      <w:r w:rsidR="009659D3">
        <w:t>d</w:t>
      </w:r>
      <w:r w:rsidR="002E3BFE">
        <w:t>e</w:t>
      </w:r>
      <w:r w:rsidR="009659D3">
        <w:t>d</w:t>
      </w:r>
      <w:r w:rsidR="002E3BFE">
        <w:t xml:space="preserve"> to previous lines of therapy. </w:t>
      </w:r>
      <w:r w:rsidR="002E3BFE" w:rsidRPr="002E3BFE">
        <w:t xml:space="preserve">The committee noted that </w:t>
      </w:r>
      <w:r w:rsidR="0052247D">
        <w:t xml:space="preserve">pembrolizumab has previously been appraised for use after brentuximab </w:t>
      </w:r>
      <w:proofErr w:type="spellStart"/>
      <w:r w:rsidR="0052247D">
        <w:t>vedotin</w:t>
      </w:r>
      <w:proofErr w:type="spellEnd"/>
      <w:r w:rsidR="0052247D">
        <w:t xml:space="preserve"> in </w:t>
      </w:r>
      <w:r w:rsidR="009659D3">
        <w:t xml:space="preserve">NICE’s technology appraisal guidance on </w:t>
      </w:r>
      <w:r w:rsidR="009659D3" w:rsidRPr="009659D3">
        <w:t>pembrolizumab for treating relapsed or refractory classical Hodgkin lymphoma</w:t>
      </w:r>
      <w:r w:rsidR="00913F5E">
        <w:t>. However</w:t>
      </w:r>
      <w:r w:rsidR="00FC6827">
        <w:t>,</w:t>
      </w:r>
      <w:r w:rsidR="0052247D">
        <w:t xml:space="preserve"> its marketing authorisation </w:t>
      </w:r>
      <w:r w:rsidR="00FC6827">
        <w:t xml:space="preserve">has now </w:t>
      </w:r>
      <w:r w:rsidR="0052247D">
        <w:t xml:space="preserve">been extended to allow its use as </w:t>
      </w:r>
      <w:r w:rsidR="002E3BFE" w:rsidRPr="002E3BFE">
        <w:t>a third-line treatment option</w:t>
      </w:r>
      <w:r w:rsidR="002E3BFE">
        <w:t>,</w:t>
      </w:r>
      <w:r w:rsidR="002E3BFE" w:rsidRPr="002E3BFE">
        <w:t xml:space="preserve"> </w:t>
      </w:r>
      <w:r w:rsidR="005C2380">
        <w:t xml:space="preserve">when </w:t>
      </w:r>
      <w:r w:rsidR="00CB2F37">
        <w:t xml:space="preserve">brentuximab </w:t>
      </w:r>
      <w:proofErr w:type="spellStart"/>
      <w:r w:rsidR="00CB2F37">
        <w:t>vedotin</w:t>
      </w:r>
      <w:proofErr w:type="spellEnd"/>
      <w:r w:rsidR="00CB2F37">
        <w:t xml:space="preserve"> is currently </w:t>
      </w:r>
      <w:r w:rsidR="009F212F">
        <w:t>standard care</w:t>
      </w:r>
      <w:r w:rsidR="00CB2F37">
        <w:t xml:space="preserve">. </w:t>
      </w:r>
      <w:r w:rsidR="009659D3">
        <w:t xml:space="preserve">The committee </w:t>
      </w:r>
      <w:r w:rsidR="00CB2F37">
        <w:t>concluded that pembrolizumab would</w:t>
      </w:r>
      <w:r w:rsidR="009F212F">
        <w:t xml:space="preserve"> potentially </w:t>
      </w:r>
      <w:r w:rsidR="00CB2F37">
        <w:t xml:space="preserve">offer an </w:t>
      </w:r>
      <w:r w:rsidR="0023052F">
        <w:t xml:space="preserve">alternative to brentuximab </w:t>
      </w:r>
      <w:proofErr w:type="spellStart"/>
      <w:r w:rsidR="0023052F">
        <w:t>vedotin</w:t>
      </w:r>
      <w:proofErr w:type="spellEnd"/>
      <w:r w:rsidR="00CB2F37">
        <w:t xml:space="preserve"> for people who have </w:t>
      </w:r>
      <w:r w:rsidR="009659D3">
        <w:t xml:space="preserve">had </w:t>
      </w:r>
      <w:r w:rsidR="00CB2F37">
        <w:t xml:space="preserve">2 previous lines of therapy, with or without a </w:t>
      </w:r>
      <w:r w:rsidR="000F283A">
        <w:t xml:space="preserve">previous </w:t>
      </w:r>
      <w:r w:rsidR="00CB2F37">
        <w:t>stem cell transplant.</w:t>
      </w:r>
    </w:p>
    <w:p w14:paraId="0577628F" w14:textId="686E87DA" w:rsidR="00090108" w:rsidRDefault="00C83B87" w:rsidP="00090108">
      <w:pPr>
        <w:pStyle w:val="Heading2"/>
      </w:pPr>
      <w:r>
        <w:t>Clinical evidence</w:t>
      </w:r>
    </w:p>
    <w:p w14:paraId="66DC600E" w14:textId="1D6F133F" w:rsidR="00C83B87" w:rsidRDefault="005B2769" w:rsidP="00C83B87">
      <w:pPr>
        <w:pStyle w:val="Heading3"/>
      </w:pPr>
      <w:bookmarkStart w:id="3" w:name="_KEYNOTE-204_subgroup_data"/>
      <w:bookmarkEnd w:id="3"/>
      <w:r>
        <w:t>KEYNOTE-204</w:t>
      </w:r>
      <w:r w:rsidR="0023052F">
        <w:t xml:space="preserve"> subgroup data is generalisable </w:t>
      </w:r>
      <w:r w:rsidR="002025D3">
        <w:t xml:space="preserve">to </w:t>
      </w:r>
      <w:r>
        <w:t>people who</w:t>
      </w:r>
      <w:r w:rsidR="002025D3">
        <w:t xml:space="preserve"> have</w:t>
      </w:r>
      <w:r>
        <w:t xml:space="preserve"> ha</w:t>
      </w:r>
      <w:r w:rsidR="00FF673D">
        <w:t>d</w:t>
      </w:r>
      <w:r>
        <w:t xml:space="preserve"> </w:t>
      </w:r>
      <w:r w:rsidR="00FF673D">
        <w:t>2 previous treatments, with or without previous stem cell transplant</w:t>
      </w:r>
    </w:p>
    <w:p w14:paraId="54B7BD56" w14:textId="19809620" w:rsidR="00117991" w:rsidRPr="00117991" w:rsidRDefault="00AE0A23" w:rsidP="00117991">
      <w:pPr>
        <w:pStyle w:val="Numberedlevel2text"/>
      </w:pPr>
      <w:r w:rsidRPr="00117991">
        <w:t xml:space="preserve">KEYNOTE-204 is an open-label, randomised controlled trial comparing pembrolizumab with brentuximab </w:t>
      </w:r>
      <w:proofErr w:type="spellStart"/>
      <w:r w:rsidRPr="00117991">
        <w:t>vedotin</w:t>
      </w:r>
      <w:proofErr w:type="spellEnd"/>
      <w:r w:rsidRPr="00117991">
        <w:t xml:space="preserve"> as </w:t>
      </w:r>
      <w:r w:rsidR="006F11C1" w:rsidRPr="00117991">
        <w:t xml:space="preserve">a </w:t>
      </w:r>
      <w:r w:rsidRPr="00117991">
        <w:t xml:space="preserve">treatment for classical Hodgkin lymphoma in </w:t>
      </w:r>
      <w:r w:rsidR="0098343A" w:rsidRPr="00117991">
        <w:t>adults</w:t>
      </w:r>
      <w:r w:rsidRPr="00117991">
        <w:t xml:space="preserve"> who</w:t>
      </w:r>
      <w:r w:rsidR="009659D3" w:rsidRPr="00117991">
        <w:t xml:space="preserve">se </w:t>
      </w:r>
      <w:r w:rsidR="00F53B17" w:rsidRPr="00117991">
        <w:t>condition</w:t>
      </w:r>
      <w:r w:rsidR="009659D3" w:rsidRPr="00117991">
        <w:t xml:space="preserve"> is </w:t>
      </w:r>
      <w:r w:rsidRPr="00117991">
        <w:t>relapsed or refractory to at least 1</w:t>
      </w:r>
      <w:r w:rsidR="009659D3" w:rsidRPr="00117991">
        <w:t> </w:t>
      </w:r>
      <w:r w:rsidRPr="00117991">
        <w:t>previous multi-agent chemotherapy regimen. Participants in KEYNOTE</w:t>
      </w:r>
      <w:r w:rsidR="000F283A" w:rsidRPr="00117991">
        <w:noBreakHyphen/>
      </w:r>
      <w:r w:rsidRPr="00117991">
        <w:t xml:space="preserve">204 were randomised </w:t>
      </w:r>
      <w:r w:rsidR="009659D3" w:rsidRPr="00117991">
        <w:t xml:space="preserve">after </w:t>
      </w:r>
      <w:r w:rsidR="0052247D" w:rsidRPr="00117991">
        <w:t>stratification</w:t>
      </w:r>
      <w:r w:rsidRPr="00117991">
        <w:t xml:space="preserve"> into </w:t>
      </w:r>
      <w:r w:rsidR="00543585" w:rsidRPr="00117991">
        <w:t xml:space="preserve">groups </w:t>
      </w:r>
      <w:r w:rsidRPr="00117991">
        <w:t xml:space="preserve">who had and had not had previous stem cell transplant. </w:t>
      </w:r>
      <w:r w:rsidR="005B2769" w:rsidRPr="00117991">
        <w:t xml:space="preserve">The committee noted that the marketing authorisation for pembrolizumab </w:t>
      </w:r>
      <w:r w:rsidR="00CB2303" w:rsidRPr="00117991">
        <w:t>i</w:t>
      </w:r>
      <w:r w:rsidR="006F11C1" w:rsidRPr="00117991">
        <w:t xml:space="preserve">s narrower than </w:t>
      </w:r>
      <w:r w:rsidR="00CB2303" w:rsidRPr="00117991">
        <w:t>the tr</w:t>
      </w:r>
      <w:r w:rsidR="00BA6B21" w:rsidRPr="00117991">
        <w:t>ial population</w:t>
      </w:r>
      <w:r w:rsidR="004576A5" w:rsidRPr="00117991">
        <w:t xml:space="preserve"> and</w:t>
      </w:r>
      <w:r w:rsidR="006F11C1" w:rsidRPr="00117991">
        <w:t xml:space="preserve"> </w:t>
      </w:r>
      <w:r w:rsidR="005B2769" w:rsidRPr="00117991">
        <w:t>include</w:t>
      </w:r>
      <w:r w:rsidR="00B433B3" w:rsidRPr="00117991">
        <w:t>s</w:t>
      </w:r>
      <w:r w:rsidR="005B2769" w:rsidRPr="00117991">
        <w:t xml:space="preserve"> </w:t>
      </w:r>
      <w:r w:rsidR="004576A5" w:rsidRPr="00117991">
        <w:t xml:space="preserve">only </w:t>
      </w:r>
      <w:r w:rsidR="005B2769" w:rsidRPr="00117991">
        <w:t>people</w:t>
      </w:r>
      <w:r w:rsidR="009659D3" w:rsidRPr="00117991">
        <w:t xml:space="preserve"> for whom</w:t>
      </w:r>
      <w:r w:rsidR="005549E8" w:rsidRPr="00117991">
        <w:t xml:space="preserve"> autologous stem cell transplant</w:t>
      </w:r>
      <w:r w:rsidR="009659D3" w:rsidRPr="00117991">
        <w:t xml:space="preserve"> has not been successful</w:t>
      </w:r>
      <w:r w:rsidR="005549E8" w:rsidRPr="00117991">
        <w:t xml:space="preserve"> or</w:t>
      </w:r>
      <w:r w:rsidR="00B433B3" w:rsidRPr="00117991">
        <w:t xml:space="preserve"> </w:t>
      </w:r>
      <w:r w:rsidR="007E1546" w:rsidRPr="00117991">
        <w:t xml:space="preserve">who have </w:t>
      </w:r>
      <w:r w:rsidR="009659D3" w:rsidRPr="00117991">
        <w:t xml:space="preserve">had </w:t>
      </w:r>
      <w:r w:rsidR="000D72C0" w:rsidRPr="00117991">
        <w:t xml:space="preserve">at least </w:t>
      </w:r>
      <w:r w:rsidR="005549E8" w:rsidRPr="00117991">
        <w:t>2</w:t>
      </w:r>
      <w:r w:rsidR="009659D3" w:rsidRPr="00117991">
        <w:t> </w:t>
      </w:r>
      <w:r w:rsidR="000D72C0" w:rsidRPr="00117991">
        <w:t>previous treatments</w:t>
      </w:r>
      <w:r w:rsidR="005549E8" w:rsidRPr="00117991">
        <w:t xml:space="preserve"> when </w:t>
      </w:r>
      <w:r w:rsidR="005B2769" w:rsidRPr="00117991">
        <w:t xml:space="preserve">autologous stem cell transplant </w:t>
      </w:r>
      <w:r w:rsidR="005549E8" w:rsidRPr="00117991">
        <w:t>i</w:t>
      </w:r>
      <w:r w:rsidR="005B2769" w:rsidRPr="00117991">
        <w:t xml:space="preserve">s not an option. </w:t>
      </w:r>
      <w:r w:rsidR="00BA6B21" w:rsidRPr="00117991">
        <w:t>It</w:t>
      </w:r>
      <w:r w:rsidR="005B2769" w:rsidRPr="00117991">
        <w:t xml:space="preserve"> </w:t>
      </w:r>
      <w:r w:rsidR="002232F1" w:rsidRPr="00117991">
        <w:t xml:space="preserve">noted </w:t>
      </w:r>
      <w:r w:rsidR="005B2769" w:rsidRPr="00117991">
        <w:t xml:space="preserve">that the population of interest </w:t>
      </w:r>
      <w:r w:rsidR="0023052F" w:rsidRPr="00117991">
        <w:t xml:space="preserve">was </w:t>
      </w:r>
      <w:r w:rsidR="00BA42AD" w:rsidRPr="00117991">
        <w:t xml:space="preserve">a </w:t>
      </w:r>
      <w:r w:rsidR="0023052F" w:rsidRPr="00117991">
        <w:t>subgroup of</w:t>
      </w:r>
      <w:r w:rsidR="005B2769" w:rsidRPr="00117991">
        <w:t xml:space="preserve"> </w:t>
      </w:r>
      <w:r w:rsidR="00BA42AD" w:rsidRPr="00117991">
        <w:t>the whole KEYNOTE-204 population</w:t>
      </w:r>
      <w:r w:rsidR="005B2769" w:rsidRPr="00117991">
        <w:t>.</w:t>
      </w:r>
      <w:r w:rsidR="0023052F" w:rsidRPr="00117991">
        <w:t xml:space="preserve"> </w:t>
      </w:r>
      <w:r w:rsidR="003E362C" w:rsidRPr="00117991">
        <w:t xml:space="preserve">The clinical experts considered that the trial </w:t>
      </w:r>
      <w:r w:rsidR="00B433B3" w:rsidRPr="00117991">
        <w:t xml:space="preserve">results </w:t>
      </w:r>
      <w:r w:rsidR="008D7580" w:rsidRPr="00117991">
        <w:t xml:space="preserve">for the subgroup </w:t>
      </w:r>
      <w:r w:rsidR="006D1586" w:rsidRPr="00117991">
        <w:t xml:space="preserve">corresponding to the marketing authorisation </w:t>
      </w:r>
      <w:r w:rsidR="00B433B3" w:rsidRPr="00117991">
        <w:t>are</w:t>
      </w:r>
      <w:r w:rsidR="003E362C" w:rsidRPr="00117991">
        <w:t xml:space="preserve"> generalisable to clinical practice</w:t>
      </w:r>
      <w:r w:rsidR="005549E8" w:rsidRPr="00117991">
        <w:t>.</w:t>
      </w:r>
      <w:r w:rsidR="003E362C" w:rsidRPr="00117991" w:rsidDel="00A447ED">
        <w:t xml:space="preserve"> </w:t>
      </w:r>
      <w:r w:rsidR="00B52FE9" w:rsidRPr="00117991">
        <w:t xml:space="preserve">The </w:t>
      </w:r>
      <w:r w:rsidR="00A447ED" w:rsidRPr="00117991">
        <w:t>comm</w:t>
      </w:r>
      <w:r w:rsidR="00BF47C6" w:rsidRPr="00117991">
        <w:t xml:space="preserve">ittee </w:t>
      </w:r>
      <w:r w:rsidR="004A4C8C" w:rsidRPr="00117991">
        <w:t>noted</w:t>
      </w:r>
      <w:r w:rsidR="00BF47C6" w:rsidRPr="00117991">
        <w:t xml:space="preserve"> that the comparator treatment </w:t>
      </w:r>
      <w:r w:rsidR="0014726F" w:rsidRPr="00117991">
        <w:t xml:space="preserve">in KEYNOTE-204 is brentuximab </w:t>
      </w:r>
      <w:proofErr w:type="spellStart"/>
      <w:r w:rsidR="0014726F" w:rsidRPr="00117991">
        <w:t>vedotin</w:t>
      </w:r>
      <w:proofErr w:type="spellEnd"/>
      <w:r w:rsidR="0014726F" w:rsidRPr="00117991">
        <w:t xml:space="preserve"> and </w:t>
      </w:r>
      <w:r w:rsidR="00E64A55" w:rsidRPr="00117991">
        <w:t xml:space="preserve">NICE recommends brentuximab </w:t>
      </w:r>
      <w:proofErr w:type="spellStart"/>
      <w:r w:rsidR="00E64A55" w:rsidRPr="00117991">
        <w:t>vedotin</w:t>
      </w:r>
      <w:proofErr w:type="spellEnd"/>
      <w:r w:rsidR="00E64A55" w:rsidRPr="00117991">
        <w:t xml:space="preserve"> for p</w:t>
      </w:r>
      <w:r w:rsidR="00137278" w:rsidRPr="00117991">
        <w:t xml:space="preserve">eople who </w:t>
      </w:r>
      <w:r w:rsidR="00AA4073" w:rsidRPr="00117991">
        <w:t xml:space="preserve">have </w:t>
      </w:r>
      <w:r w:rsidR="009659D3" w:rsidRPr="00117991">
        <w:t xml:space="preserve">had </w:t>
      </w:r>
      <w:r w:rsidR="00AA4073" w:rsidRPr="00117991">
        <w:t xml:space="preserve">2 </w:t>
      </w:r>
      <w:r w:rsidR="0014726F" w:rsidRPr="00117991">
        <w:t xml:space="preserve">or more </w:t>
      </w:r>
      <w:r w:rsidR="00AA4073" w:rsidRPr="00117991">
        <w:t>previous</w:t>
      </w:r>
      <w:r w:rsidR="00FF673D" w:rsidRPr="00117991">
        <w:t xml:space="preserve"> treatment</w:t>
      </w:r>
      <w:r w:rsidR="00AA4073" w:rsidRPr="00117991">
        <w:t>s</w:t>
      </w:r>
      <w:r w:rsidR="00F2496A" w:rsidRPr="00117991">
        <w:t xml:space="preserve"> (</w:t>
      </w:r>
      <w:hyperlink w:anchor="_Pembrolizumab_would_offer" w:history="1">
        <w:r w:rsidR="00F2496A" w:rsidRPr="00B65C37">
          <w:rPr>
            <w:rStyle w:val="Hyperlink"/>
          </w:rPr>
          <w:t>see section</w:t>
        </w:r>
        <w:r w:rsidR="009659D3" w:rsidRPr="00B65C37">
          <w:rPr>
            <w:rStyle w:val="Hyperlink"/>
          </w:rPr>
          <w:t> </w:t>
        </w:r>
        <w:r w:rsidR="00F2496A" w:rsidRPr="00B65C37">
          <w:rPr>
            <w:rStyle w:val="Hyperlink"/>
            <w:lang w:val="en-GB"/>
          </w:rPr>
          <w:t>3.2</w:t>
        </w:r>
      </w:hyperlink>
      <w:r w:rsidR="00F2496A" w:rsidRPr="00117991">
        <w:t>)</w:t>
      </w:r>
      <w:r w:rsidR="00137278" w:rsidRPr="00117991">
        <w:t xml:space="preserve">. It concluded that the </w:t>
      </w:r>
      <w:r w:rsidR="00D628C8" w:rsidRPr="00117991">
        <w:t>t</w:t>
      </w:r>
      <w:r w:rsidR="00137278" w:rsidRPr="00117991">
        <w:t xml:space="preserve">rial results </w:t>
      </w:r>
      <w:r w:rsidR="00D628C8" w:rsidRPr="00117991">
        <w:t xml:space="preserve">for this subgroup </w:t>
      </w:r>
      <w:r w:rsidR="00137278" w:rsidRPr="00117991">
        <w:t xml:space="preserve">are </w:t>
      </w:r>
      <w:r w:rsidR="009D0F6B" w:rsidRPr="00117991">
        <w:t>generalisable to NHS practice</w:t>
      </w:r>
      <w:r w:rsidR="00761258" w:rsidRPr="00117991">
        <w:t>.</w:t>
      </w:r>
    </w:p>
    <w:p w14:paraId="1411AFAD" w14:textId="01E6FDB6" w:rsidR="00090108" w:rsidRDefault="00C83B87" w:rsidP="00090108">
      <w:pPr>
        <w:pStyle w:val="Heading2"/>
      </w:pPr>
      <w:r>
        <w:lastRenderedPageBreak/>
        <w:t>Clinical effectiveness</w:t>
      </w:r>
    </w:p>
    <w:p w14:paraId="159FE60B" w14:textId="54DC474E" w:rsidR="00C83B87" w:rsidRDefault="00C83B87" w:rsidP="00C83B87">
      <w:pPr>
        <w:pStyle w:val="Heading3"/>
      </w:pPr>
      <w:bookmarkStart w:id="4" w:name="_Pembrolizumab_improves_progression-"/>
      <w:bookmarkEnd w:id="4"/>
      <w:r>
        <w:t xml:space="preserve">Pembrolizumab improves progression-free survival compared with brentuximab </w:t>
      </w:r>
      <w:proofErr w:type="spellStart"/>
      <w:r>
        <w:t>vedotin</w:t>
      </w:r>
      <w:proofErr w:type="spellEnd"/>
    </w:p>
    <w:p w14:paraId="56131ECF" w14:textId="2329C742" w:rsidR="00DA3BCC" w:rsidRPr="00DA3BCC" w:rsidRDefault="00955E8C" w:rsidP="002E7BAE">
      <w:pPr>
        <w:pStyle w:val="Numberedlevel2text"/>
      </w:pPr>
      <w:r>
        <w:rPr>
          <w:lang w:val="en-GB"/>
        </w:rPr>
        <w:t xml:space="preserve">The </w:t>
      </w:r>
      <w:r w:rsidR="00797624">
        <w:rPr>
          <w:lang w:val="en-GB"/>
        </w:rPr>
        <w:t>population in</w:t>
      </w:r>
      <w:r>
        <w:rPr>
          <w:lang w:val="en-GB"/>
        </w:rPr>
        <w:t xml:space="preserve"> </w:t>
      </w:r>
      <w:r w:rsidR="00241CF7">
        <w:rPr>
          <w:lang w:val="en-GB"/>
        </w:rPr>
        <w:t xml:space="preserve">KEYNOTE-204 </w:t>
      </w:r>
      <w:r w:rsidR="00640125">
        <w:t xml:space="preserve">who </w:t>
      </w:r>
      <w:r w:rsidR="00241CF7">
        <w:rPr>
          <w:lang w:val="en-GB"/>
        </w:rPr>
        <w:t xml:space="preserve">had </w:t>
      </w:r>
      <w:r w:rsidR="009659D3">
        <w:rPr>
          <w:lang w:val="en-GB"/>
        </w:rPr>
        <w:t xml:space="preserve">had </w:t>
      </w:r>
      <w:r w:rsidR="00241CF7">
        <w:rPr>
          <w:lang w:val="en-GB"/>
        </w:rPr>
        <w:t>at least 2</w:t>
      </w:r>
      <w:r w:rsidR="009659D3">
        <w:rPr>
          <w:lang w:val="en-GB"/>
        </w:rPr>
        <w:t> </w:t>
      </w:r>
      <w:r w:rsidR="00241CF7">
        <w:rPr>
          <w:lang w:val="en-GB"/>
        </w:rPr>
        <w:t>previous treatments</w:t>
      </w:r>
      <w:r w:rsidR="005C3F61">
        <w:rPr>
          <w:lang w:val="en-GB"/>
        </w:rPr>
        <w:t>,</w:t>
      </w:r>
      <w:r w:rsidR="00241CF7">
        <w:rPr>
          <w:lang w:val="en-GB"/>
        </w:rPr>
        <w:t xml:space="preserve"> </w:t>
      </w:r>
      <w:r w:rsidR="00640125">
        <w:t xml:space="preserve">with or without </w:t>
      </w:r>
      <w:r w:rsidR="00241CF7">
        <w:rPr>
          <w:lang w:val="en-GB"/>
        </w:rPr>
        <w:t xml:space="preserve">previous </w:t>
      </w:r>
      <w:r w:rsidR="00640125">
        <w:t>stem cell transplant</w:t>
      </w:r>
      <w:r w:rsidR="005C3F61">
        <w:rPr>
          <w:lang w:val="en-US"/>
        </w:rPr>
        <w:t>,</w:t>
      </w:r>
      <w:r w:rsidR="00640125">
        <w:t xml:space="preserve"> showed </w:t>
      </w:r>
      <w:r w:rsidR="00EB01D7">
        <w:rPr>
          <w:lang w:val="en-US"/>
        </w:rPr>
        <w:t xml:space="preserve">longer </w:t>
      </w:r>
      <w:r w:rsidR="00DA3BCC">
        <w:t xml:space="preserve">median progression-free survival </w:t>
      </w:r>
      <w:r w:rsidR="005C3F61">
        <w:t>w</w:t>
      </w:r>
      <w:r w:rsidR="005C3F61">
        <w:rPr>
          <w:lang w:val="en-US"/>
        </w:rPr>
        <w:t>ith</w:t>
      </w:r>
      <w:r w:rsidR="005C3F61">
        <w:t xml:space="preserve"> </w:t>
      </w:r>
      <w:r w:rsidR="005773FB">
        <w:t xml:space="preserve">pembrolizumab than brentuximab </w:t>
      </w:r>
      <w:proofErr w:type="spellStart"/>
      <w:r w:rsidR="005773FB">
        <w:t>vedotin</w:t>
      </w:r>
      <w:proofErr w:type="spellEnd"/>
      <w:r w:rsidR="005773FB">
        <w:t>. The</w:t>
      </w:r>
      <w:r w:rsidR="00640125">
        <w:t>se</w:t>
      </w:r>
      <w:r w:rsidR="005773FB">
        <w:t xml:space="preserve"> data are academic in confidence and cannot be reported here. </w:t>
      </w:r>
      <w:r w:rsidR="00FD603A" w:rsidRPr="00FD603A">
        <w:t>The committee noted that the subgroups who had and had not had a previous stem cell transplant were not in the statistical analysis plan</w:t>
      </w:r>
      <w:r w:rsidR="009659D3">
        <w:rPr>
          <w:lang w:val="en-GB"/>
        </w:rPr>
        <w:t>.</w:t>
      </w:r>
      <w:r w:rsidR="00FD603A" w:rsidRPr="00FD603A">
        <w:t xml:space="preserve"> </w:t>
      </w:r>
      <w:r w:rsidR="009659D3">
        <w:rPr>
          <w:lang w:val="en-US"/>
        </w:rPr>
        <w:t>But,</w:t>
      </w:r>
      <w:r w:rsidR="00FD603A">
        <w:rPr>
          <w:lang w:val="en-US"/>
        </w:rPr>
        <w:t xml:space="preserve"> analysis </w:t>
      </w:r>
      <w:r w:rsidR="000941CE">
        <w:rPr>
          <w:lang w:val="en-US"/>
        </w:rPr>
        <w:t>of these subgroups</w:t>
      </w:r>
      <w:r w:rsidR="00107B49">
        <w:rPr>
          <w:lang w:val="en-GB"/>
        </w:rPr>
        <w:t xml:space="preserve"> </w:t>
      </w:r>
      <w:r w:rsidR="005773FB">
        <w:t xml:space="preserve">indicated that median progression-free survival </w:t>
      </w:r>
      <w:r w:rsidR="00682533">
        <w:t xml:space="preserve">was longer with pembrolizumab than brentuximab </w:t>
      </w:r>
      <w:proofErr w:type="spellStart"/>
      <w:r w:rsidR="00682533">
        <w:t>vedotin</w:t>
      </w:r>
      <w:proofErr w:type="spellEnd"/>
      <w:r w:rsidR="00107B49">
        <w:rPr>
          <w:lang w:val="en-GB"/>
        </w:rPr>
        <w:t xml:space="preserve"> in both</w:t>
      </w:r>
      <w:r w:rsidR="00F2496A">
        <w:rPr>
          <w:lang w:val="en-GB"/>
        </w:rPr>
        <w:t xml:space="preserve"> of</w:t>
      </w:r>
      <w:r w:rsidR="00107B49">
        <w:rPr>
          <w:lang w:val="en-GB"/>
        </w:rPr>
        <w:t xml:space="preserve"> these groups</w:t>
      </w:r>
      <w:r w:rsidR="00241CF7">
        <w:rPr>
          <w:lang w:val="en-GB"/>
        </w:rPr>
        <w:t>.</w:t>
      </w:r>
      <w:r w:rsidR="00107B49">
        <w:rPr>
          <w:lang w:val="en-GB"/>
        </w:rPr>
        <w:t xml:space="preserve"> The clinical experts explained that </w:t>
      </w:r>
      <w:r w:rsidR="00BA5494">
        <w:rPr>
          <w:lang w:val="en-GB"/>
        </w:rPr>
        <w:t xml:space="preserve">pembrolizumab may </w:t>
      </w:r>
      <w:r w:rsidR="00FA0127">
        <w:rPr>
          <w:lang w:val="en-GB"/>
        </w:rPr>
        <w:t xml:space="preserve">not have the same </w:t>
      </w:r>
      <w:r w:rsidR="008A1E69">
        <w:rPr>
          <w:lang w:val="en-GB"/>
        </w:rPr>
        <w:t xml:space="preserve">relative </w:t>
      </w:r>
      <w:r w:rsidR="0078531D">
        <w:rPr>
          <w:lang w:val="en-GB"/>
        </w:rPr>
        <w:t>benefit</w:t>
      </w:r>
      <w:r w:rsidR="00FA0127">
        <w:rPr>
          <w:lang w:val="en-GB"/>
        </w:rPr>
        <w:t xml:space="preserve"> </w:t>
      </w:r>
      <w:r w:rsidR="00BA5494">
        <w:rPr>
          <w:lang w:val="en-GB"/>
        </w:rPr>
        <w:t xml:space="preserve">compared with brentuximab </w:t>
      </w:r>
      <w:proofErr w:type="spellStart"/>
      <w:r w:rsidR="00BA5494">
        <w:rPr>
          <w:lang w:val="en-GB"/>
        </w:rPr>
        <w:t>vedotin</w:t>
      </w:r>
      <w:proofErr w:type="spellEnd"/>
      <w:r w:rsidR="00D3017F">
        <w:rPr>
          <w:lang w:val="en-GB"/>
        </w:rPr>
        <w:t xml:space="preserve"> for people</w:t>
      </w:r>
      <w:r w:rsidR="00BA5494">
        <w:rPr>
          <w:lang w:val="en-GB"/>
        </w:rPr>
        <w:t xml:space="preserve"> </w:t>
      </w:r>
      <w:r w:rsidR="00C97FC7">
        <w:rPr>
          <w:lang w:val="en-GB"/>
        </w:rPr>
        <w:t>with and without previous transplant</w:t>
      </w:r>
      <w:r w:rsidR="00BA5494">
        <w:rPr>
          <w:lang w:val="en-GB"/>
        </w:rPr>
        <w:t xml:space="preserve">. This </w:t>
      </w:r>
      <w:r w:rsidR="00237AC2">
        <w:rPr>
          <w:lang w:val="en-GB"/>
        </w:rPr>
        <w:t>is</w:t>
      </w:r>
      <w:r w:rsidR="00BA5494">
        <w:rPr>
          <w:lang w:val="en-GB"/>
        </w:rPr>
        <w:t xml:space="preserve"> because</w:t>
      </w:r>
      <w:r w:rsidR="00796696">
        <w:rPr>
          <w:lang w:val="en-GB"/>
        </w:rPr>
        <w:t>,</w:t>
      </w:r>
      <w:r w:rsidR="00BA5494">
        <w:rPr>
          <w:lang w:val="en-GB"/>
        </w:rPr>
        <w:t xml:space="preserve"> in some people</w:t>
      </w:r>
      <w:r w:rsidR="00796696">
        <w:rPr>
          <w:lang w:val="en-GB"/>
        </w:rPr>
        <w:t>,</w:t>
      </w:r>
      <w:r w:rsidR="00BA5494">
        <w:rPr>
          <w:lang w:val="en-GB"/>
        </w:rPr>
        <w:t xml:space="preserve"> the lymphoma will not have responded </w:t>
      </w:r>
      <w:r w:rsidR="009659D3">
        <w:rPr>
          <w:lang w:val="en-GB"/>
        </w:rPr>
        <w:t xml:space="preserve">well enough </w:t>
      </w:r>
      <w:r w:rsidR="00BA5494">
        <w:rPr>
          <w:lang w:val="en-GB"/>
        </w:rPr>
        <w:t>to chemotherapy to allow a stem cell transplant and these people</w:t>
      </w:r>
      <w:r w:rsidR="009659D3">
        <w:rPr>
          <w:lang w:val="en-GB"/>
        </w:rPr>
        <w:t xml:space="preserve">’s </w:t>
      </w:r>
      <w:r w:rsidR="00F53B17">
        <w:rPr>
          <w:lang w:val="en-GB"/>
        </w:rPr>
        <w:t>condition</w:t>
      </w:r>
      <w:r w:rsidR="00BA5494">
        <w:rPr>
          <w:lang w:val="en-GB"/>
        </w:rPr>
        <w:t xml:space="preserve"> may have a poorer response to </w:t>
      </w:r>
      <w:r w:rsidR="00CC355D">
        <w:rPr>
          <w:lang w:val="en-GB"/>
        </w:rPr>
        <w:t xml:space="preserve">further </w:t>
      </w:r>
      <w:r w:rsidR="00BA5494">
        <w:rPr>
          <w:lang w:val="en-GB"/>
        </w:rPr>
        <w:t>chemotherapy</w:t>
      </w:r>
      <w:r w:rsidR="00BC5DBE">
        <w:rPr>
          <w:lang w:val="en-GB"/>
        </w:rPr>
        <w:t>, including</w:t>
      </w:r>
      <w:r w:rsidR="00BA5494">
        <w:rPr>
          <w:lang w:val="en-GB"/>
        </w:rPr>
        <w:t xml:space="preserve"> brentuximab</w:t>
      </w:r>
      <w:r w:rsidR="00796696">
        <w:rPr>
          <w:lang w:val="en-GB"/>
        </w:rPr>
        <w:t xml:space="preserve"> </w:t>
      </w:r>
      <w:proofErr w:type="spellStart"/>
      <w:r w:rsidR="00796696">
        <w:rPr>
          <w:lang w:val="en-GB"/>
        </w:rPr>
        <w:t>vedotin</w:t>
      </w:r>
      <w:proofErr w:type="spellEnd"/>
      <w:r w:rsidR="00BA5494">
        <w:rPr>
          <w:lang w:val="en-GB"/>
        </w:rPr>
        <w:t>. Pembrolizumab is an immunotherapy and</w:t>
      </w:r>
      <w:r w:rsidR="00796696">
        <w:rPr>
          <w:lang w:val="en-GB"/>
        </w:rPr>
        <w:t xml:space="preserve"> is not expected to be affected by previous response to chemotherapy</w:t>
      </w:r>
      <w:r w:rsidR="00434613">
        <w:rPr>
          <w:lang w:val="en-GB"/>
        </w:rPr>
        <w:t>.</w:t>
      </w:r>
      <w:r w:rsidR="00BA5494">
        <w:rPr>
          <w:lang w:val="en-GB"/>
        </w:rPr>
        <w:t xml:space="preserve"> </w:t>
      </w:r>
      <w:r w:rsidR="000B362B" w:rsidRPr="000B362B">
        <w:rPr>
          <w:lang w:val="en-GB"/>
        </w:rPr>
        <w:t xml:space="preserve">The data also suggested that overall prognosis </w:t>
      </w:r>
      <w:r w:rsidR="00CC355D">
        <w:rPr>
          <w:lang w:val="en-GB"/>
        </w:rPr>
        <w:t>is</w:t>
      </w:r>
      <w:r w:rsidR="000B362B" w:rsidRPr="000B362B">
        <w:rPr>
          <w:lang w:val="en-GB"/>
        </w:rPr>
        <w:t xml:space="preserve"> poorer for people who ha</w:t>
      </w:r>
      <w:r w:rsidR="00FC7437">
        <w:rPr>
          <w:lang w:val="en-GB"/>
        </w:rPr>
        <w:t>ve</w:t>
      </w:r>
      <w:r w:rsidR="000B362B" w:rsidRPr="000B362B">
        <w:rPr>
          <w:lang w:val="en-GB"/>
        </w:rPr>
        <w:t xml:space="preserve"> not had a previous stem cell transplant compared with those who had, with a shorter progression</w:t>
      </w:r>
      <w:r w:rsidR="00F2496A">
        <w:rPr>
          <w:lang w:val="en-GB"/>
        </w:rPr>
        <w:t>-</w:t>
      </w:r>
      <w:r w:rsidR="000B362B" w:rsidRPr="000B362B">
        <w:rPr>
          <w:lang w:val="en-GB"/>
        </w:rPr>
        <w:t xml:space="preserve">free survival in both the pembrolizumab and brentuximab </w:t>
      </w:r>
      <w:proofErr w:type="spellStart"/>
      <w:r w:rsidR="000B362B" w:rsidRPr="000B362B">
        <w:rPr>
          <w:lang w:val="en-GB"/>
        </w:rPr>
        <w:t>vedotin</w:t>
      </w:r>
      <w:proofErr w:type="spellEnd"/>
      <w:r w:rsidR="000B362B" w:rsidRPr="000B362B">
        <w:rPr>
          <w:lang w:val="en-GB"/>
        </w:rPr>
        <w:t xml:space="preserve"> arms</w:t>
      </w:r>
      <w:r w:rsidR="00CC355D">
        <w:rPr>
          <w:lang w:val="en-GB"/>
        </w:rPr>
        <w:t>.</w:t>
      </w:r>
      <w:r w:rsidR="00F2496A">
        <w:rPr>
          <w:lang w:val="en-GB"/>
        </w:rPr>
        <w:t xml:space="preserve"> </w:t>
      </w:r>
      <w:r w:rsidR="00D7777E">
        <w:t xml:space="preserve">The committee concluded that for people who </w:t>
      </w:r>
      <w:r w:rsidR="00241CF7">
        <w:rPr>
          <w:lang w:val="en-GB"/>
        </w:rPr>
        <w:t xml:space="preserve">had </w:t>
      </w:r>
      <w:r w:rsidR="00E4079E">
        <w:rPr>
          <w:lang w:val="en-GB"/>
        </w:rPr>
        <w:t xml:space="preserve">had </w:t>
      </w:r>
      <w:r w:rsidR="00241CF7">
        <w:rPr>
          <w:lang w:val="en-GB"/>
        </w:rPr>
        <w:t>at least 2</w:t>
      </w:r>
      <w:r w:rsidR="00E4079E">
        <w:rPr>
          <w:lang w:val="en-GB"/>
        </w:rPr>
        <w:t> </w:t>
      </w:r>
      <w:r w:rsidR="00241CF7">
        <w:rPr>
          <w:lang w:val="en-GB"/>
        </w:rPr>
        <w:t>previous treatments</w:t>
      </w:r>
      <w:r w:rsidR="00D7777E">
        <w:t xml:space="preserve"> with or without previous stem cell transplant, pembrolizumab improves progression-free survival</w:t>
      </w:r>
      <w:r w:rsidR="00796696">
        <w:rPr>
          <w:lang w:val="en-GB"/>
        </w:rPr>
        <w:t>.</w:t>
      </w:r>
    </w:p>
    <w:p w14:paraId="323E7C0F" w14:textId="01490873" w:rsidR="00B2469A" w:rsidRDefault="00B2469A" w:rsidP="00B2469A">
      <w:pPr>
        <w:pStyle w:val="Heading3"/>
      </w:pPr>
      <w:bookmarkStart w:id="5" w:name="_KEYNOTE-204_overall_survival"/>
      <w:bookmarkEnd w:id="5"/>
      <w:r>
        <w:t>KEYNOTE-204 o</w:t>
      </w:r>
      <w:r w:rsidR="00C83B87">
        <w:t xml:space="preserve">verall survival data </w:t>
      </w:r>
      <w:r>
        <w:t>are</w:t>
      </w:r>
      <w:r w:rsidR="00C83B87">
        <w:t xml:space="preserve"> not </w:t>
      </w:r>
      <w:r w:rsidR="00D34C34">
        <w:t xml:space="preserve">currently </w:t>
      </w:r>
      <w:r w:rsidR="00C83B87">
        <w:t>available</w:t>
      </w:r>
      <w:r>
        <w:t xml:space="preserve"> and time to second progression data are immature</w:t>
      </w:r>
    </w:p>
    <w:p w14:paraId="0C753D1C" w14:textId="4B4C5241" w:rsidR="00B2469A" w:rsidRDefault="00B2469A" w:rsidP="002E7BAE">
      <w:pPr>
        <w:pStyle w:val="Numberedlevel2text"/>
      </w:pPr>
      <w:r>
        <w:t xml:space="preserve">Overall survival </w:t>
      </w:r>
      <w:r w:rsidR="00D34C34">
        <w:t>data from KEYNOTE-204 are immature and not currently available.</w:t>
      </w:r>
      <w:r w:rsidR="006D4300">
        <w:t xml:space="preserve"> </w:t>
      </w:r>
      <w:r w:rsidR="000776B6">
        <w:rPr>
          <w:lang w:val="en-GB"/>
        </w:rPr>
        <w:t>Data from KEYNOTE-204 show that time</w:t>
      </w:r>
      <w:r w:rsidR="006D4300">
        <w:t xml:space="preserve"> to second progression</w:t>
      </w:r>
      <w:r w:rsidR="000776B6">
        <w:rPr>
          <w:lang w:val="en-GB"/>
        </w:rPr>
        <w:t xml:space="preserve"> </w:t>
      </w:r>
      <w:r w:rsidR="000776B6">
        <w:t xml:space="preserve">(time to </w:t>
      </w:r>
      <w:r w:rsidR="00E4079E">
        <w:rPr>
          <w:lang w:val="en-GB"/>
        </w:rPr>
        <w:t xml:space="preserve">disease </w:t>
      </w:r>
      <w:r w:rsidR="000776B6">
        <w:t xml:space="preserve">progression </w:t>
      </w:r>
      <w:r w:rsidR="00E4079E">
        <w:rPr>
          <w:lang w:val="en-GB"/>
        </w:rPr>
        <w:t>while having</w:t>
      </w:r>
      <w:r w:rsidR="00E4079E" w:rsidRPr="006F1A77">
        <w:rPr>
          <w:lang w:val="en-GB"/>
        </w:rPr>
        <w:t xml:space="preserve"> </w:t>
      </w:r>
      <w:r w:rsidR="000776B6">
        <w:t>the next anti</w:t>
      </w:r>
      <w:r w:rsidR="005C2380">
        <w:t>cancer</w:t>
      </w:r>
      <w:r w:rsidR="000776B6">
        <w:t xml:space="preserve"> treatment)</w:t>
      </w:r>
      <w:r w:rsidR="000776B6">
        <w:rPr>
          <w:lang w:val="en-GB"/>
        </w:rPr>
        <w:t xml:space="preserve"> </w:t>
      </w:r>
      <w:r w:rsidR="006D4300">
        <w:lastRenderedPageBreak/>
        <w:t xml:space="preserve">is </w:t>
      </w:r>
      <w:r w:rsidR="00F13AB4">
        <w:rPr>
          <w:lang w:val="en-US"/>
        </w:rPr>
        <w:t>l</w:t>
      </w:r>
      <w:r w:rsidR="005A53B6">
        <w:rPr>
          <w:lang w:val="en-US"/>
        </w:rPr>
        <w:t>onger</w:t>
      </w:r>
      <w:r w:rsidR="00F13AB4">
        <w:t xml:space="preserve"> </w:t>
      </w:r>
      <w:r w:rsidR="006D4300">
        <w:t xml:space="preserve">for people </w:t>
      </w:r>
      <w:r w:rsidR="00E4079E">
        <w:rPr>
          <w:lang w:val="en-GB"/>
        </w:rPr>
        <w:t>having</w:t>
      </w:r>
      <w:r w:rsidR="00E4079E">
        <w:t xml:space="preserve"> </w:t>
      </w:r>
      <w:r w:rsidR="006D4300">
        <w:t xml:space="preserve">pembrolizumab compared with brentuximab </w:t>
      </w:r>
      <w:proofErr w:type="spellStart"/>
      <w:r w:rsidR="006D4300">
        <w:t>vedotin</w:t>
      </w:r>
      <w:proofErr w:type="spellEnd"/>
      <w:r w:rsidR="006D4300">
        <w:t xml:space="preserve"> after 24</w:t>
      </w:r>
      <w:r w:rsidR="00E4079E">
        <w:rPr>
          <w:lang w:val="en-GB"/>
        </w:rPr>
        <w:t> </w:t>
      </w:r>
      <w:r w:rsidR="006D4300">
        <w:t>months</w:t>
      </w:r>
      <w:r w:rsidR="00120901">
        <w:rPr>
          <w:lang w:val="en-GB"/>
        </w:rPr>
        <w:t xml:space="preserve"> follow</w:t>
      </w:r>
      <w:r w:rsidR="00D64CBE">
        <w:rPr>
          <w:lang w:val="en-GB"/>
        </w:rPr>
        <w:t xml:space="preserve"> </w:t>
      </w:r>
      <w:r w:rsidR="00120901">
        <w:rPr>
          <w:lang w:val="en-GB"/>
        </w:rPr>
        <w:t>up</w:t>
      </w:r>
      <w:r w:rsidR="006D4300">
        <w:t xml:space="preserve">. These data are academic in confidence and cannot be reported here. However, </w:t>
      </w:r>
      <w:r w:rsidR="00726A9D">
        <w:rPr>
          <w:lang w:val="en-US"/>
        </w:rPr>
        <w:t xml:space="preserve">the </w:t>
      </w:r>
      <w:r w:rsidR="006D4300">
        <w:t xml:space="preserve">time to second progression data are immature and the ERG explained that this was a substantial limitation for its use as an </w:t>
      </w:r>
      <w:r w:rsidR="00B46106">
        <w:rPr>
          <w:lang w:val="en-US"/>
        </w:rPr>
        <w:t>indicato</w:t>
      </w:r>
      <w:r w:rsidR="008830F7">
        <w:rPr>
          <w:lang w:val="en-US"/>
        </w:rPr>
        <w:t>r of</w:t>
      </w:r>
      <w:r w:rsidR="000776B6">
        <w:rPr>
          <w:lang w:val="en-GB"/>
        </w:rPr>
        <w:t xml:space="preserve"> overall </w:t>
      </w:r>
      <w:r w:rsidR="008830F7">
        <w:rPr>
          <w:lang w:val="en-GB"/>
        </w:rPr>
        <w:t>survival</w:t>
      </w:r>
      <w:r w:rsidR="005A53B6">
        <w:rPr>
          <w:lang w:val="en-GB"/>
        </w:rPr>
        <w:t xml:space="preserve"> benefit</w:t>
      </w:r>
      <w:r w:rsidR="006D4300">
        <w:t xml:space="preserve">. </w:t>
      </w:r>
      <w:r w:rsidR="002E7BAE">
        <w:t xml:space="preserve">The company highlighted that overall survival is a primary outcome in KEYNOTE-204 and that data will be available in the future. The committee concluded that overall survival could not be estimated from the currently available data in KEYNOTE-204 and other evidence sources would be necessary </w:t>
      </w:r>
      <w:r w:rsidR="00791774">
        <w:rPr>
          <w:lang w:val="en-US"/>
        </w:rPr>
        <w:t>to estimate</w:t>
      </w:r>
      <w:r w:rsidR="002E7BAE">
        <w:t xml:space="preserve"> overall survival.</w:t>
      </w:r>
    </w:p>
    <w:p w14:paraId="7024470E" w14:textId="430F49D2" w:rsidR="0052247D" w:rsidRDefault="0052247D" w:rsidP="0052247D">
      <w:pPr>
        <w:pStyle w:val="Heading3"/>
      </w:pPr>
      <w:bookmarkStart w:id="6" w:name="_Pembrolizumab_may_increase"/>
      <w:bookmarkEnd w:id="6"/>
      <w:r>
        <w:t xml:space="preserve">Pembrolizumab may increase the number of people </w:t>
      </w:r>
      <w:r w:rsidR="002C4054">
        <w:t>who might be able to have a</w:t>
      </w:r>
      <w:r>
        <w:t xml:space="preserve"> stem cell transplant compared with brentuximab </w:t>
      </w:r>
      <w:proofErr w:type="spellStart"/>
      <w:r>
        <w:t>vedotin</w:t>
      </w:r>
      <w:proofErr w:type="spellEnd"/>
      <w:r w:rsidR="00BA0E0C">
        <w:t xml:space="preserve">, but data </w:t>
      </w:r>
      <w:r w:rsidR="00434613">
        <w:t>are</w:t>
      </w:r>
      <w:r w:rsidR="00BA0E0C">
        <w:t xml:space="preserve"> limited</w:t>
      </w:r>
    </w:p>
    <w:p w14:paraId="4DC09516" w14:textId="296F41E2" w:rsidR="0052247D" w:rsidRPr="00117991" w:rsidRDefault="00BA0E0C" w:rsidP="00B74BBA">
      <w:pPr>
        <w:pStyle w:val="Numberedlevel2text"/>
      </w:pPr>
      <w:r>
        <w:rPr>
          <w:lang w:val="en-GB"/>
        </w:rPr>
        <w:t xml:space="preserve">The committee </w:t>
      </w:r>
      <w:r w:rsidR="00434613">
        <w:rPr>
          <w:lang w:val="en-GB"/>
        </w:rPr>
        <w:t xml:space="preserve">was </w:t>
      </w:r>
      <w:r>
        <w:rPr>
          <w:lang w:val="en-GB"/>
        </w:rPr>
        <w:t xml:space="preserve">aware that KEYNOTE-204 did not assess </w:t>
      </w:r>
      <w:r w:rsidR="002C4054">
        <w:rPr>
          <w:lang w:val="en-GB"/>
        </w:rPr>
        <w:t xml:space="preserve">if </w:t>
      </w:r>
      <w:r>
        <w:rPr>
          <w:lang w:val="en-GB"/>
        </w:rPr>
        <w:t xml:space="preserve">pembrolizumab would increase the number of people who </w:t>
      </w:r>
      <w:r w:rsidR="002C4054">
        <w:rPr>
          <w:lang w:val="en-GB"/>
        </w:rPr>
        <w:t>may be able to have</w:t>
      </w:r>
      <w:r w:rsidR="002C4054" w:rsidRPr="006F1A77">
        <w:rPr>
          <w:lang w:val="en-GB"/>
        </w:rPr>
        <w:t xml:space="preserve"> </w:t>
      </w:r>
      <w:r w:rsidR="0052247D">
        <w:t>an autologous or allogenic stem cell transplant</w:t>
      </w:r>
      <w:r>
        <w:rPr>
          <w:lang w:val="en-GB"/>
        </w:rPr>
        <w:t xml:space="preserve"> after their third</w:t>
      </w:r>
      <w:r w:rsidR="00434613">
        <w:rPr>
          <w:lang w:val="en-GB"/>
        </w:rPr>
        <w:t>-</w:t>
      </w:r>
      <w:r>
        <w:rPr>
          <w:lang w:val="en-GB"/>
        </w:rPr>
        <w:t>line treatment. P</w:t>
      </w:r>
      <w:r w:rsidR="0052247D">
        <w:rPr>
          <w:lang w:val="en-GB"/>
        </w:rPr>
        <w:t xml:space="preserve">eople who had previously not been offered a stem cell transplant </w:t>
      </w:r>
      <w:r w:rsidR="002C4054">
        <w:rPr>
          <w:lang w:val="en-GB"/>
        </w:rPr>
        <w:t xml:space="preserve">because </w:t>
      </w:r>
      <w:r w:rsidR="00F53B17">
        <w:rPr>
          <w:lang w:val="en-GB"/>
        </w:rPr>
        <w:t>their condition has not responded well to</w:t>
      </w:r>
      <w:r w:rsidR="0052247D">
        <w:rPr>
          <w:lang w:val="en-GB"/>
        </w:rPr>
        <w:t xml:space="preserve"> chemotherapy may show improved </w:t>
      </w:r>
      <w:r w:rsidR="002C4054">
        <w:rPr>
          <w:lang w:val="en-GB"/>
        </w:rPr>
        <w:t xml:space="preserve">disease </w:t>
      </w:r>
      <w:r w:rsidR="0052247D">
        <w:rPr>
          <w:lang w:val="en-GB"/>
        </w:rPr>
        <w:t xml:space="preserve">response with third-line treatment and therefore </w:t>
      </w:r>
      <w:r w:rsidR="002C4054">
        <w:rPr>
          <w:lang w:val="en-GB"/>
        </w:rPr>
        <w:t>be able to have a</w:t>
      </w:r>
      <w:r w:rsidR="0052247D">
        <w:rPr>
          <w:lang w:val="en-GB"/>
        </w:rPr>
        <w:t xml:space="preserve"> </w:t>
      </w:r>
      <w:r w:rsidR="0052247D" w:rsidRPr="001149AC">
        <w:rPr>
          <w:lang w:val="en-GB"/>
        </w:rPr>
        <w:t>stem cell transplant</w:t>
      </w:r>
      <w:r>
        <w:rPr>
          <w:lang w:val="en-GB"/>
        </w:rPr>
        <w:t xml:space="preserve"> (</w:t>
      </w:r>
      <w:hyperlink w:anchor="_Pembrolizumab_would_offer" w:history="1">
        <w:r w:rsidRPr="00B65C37">
          <w:rPr>
            <w:rStyle w:val="Hyperlink"/>
            <w:lang w:val="en-GB"/>
          </w:rPr>
          <w:t>see section</w:t>
        </w:r>
        <w:r w:rsidR="002C4054" w:rsidRPr="00B65C37">
          <w:rPr>
            <w:rStyle w:val="Hyperlink"/>
            <w:lang w:val="en-GB"/>
          </w:rPr>
          <w:t> </w:t>
        </w:r>
        <w:r w:rsidRPr="00B65C37">
          <w:rPr>
            <w:rStyle w:val="Hyperlink"/>
            <w:lang w:val="en-GB"/>
          </w:rPr>
          <w:t>3.2)</w:t>
        </w:r>
        <w:r w:rsidR="0052247D" w:rsidRPr="00B65C37">
          <w:rPr>
            <w:rStyle w:val="Hyperlink"/>
            <w:lang w:val="en-GB"/>
          </w:rPr>
          <w:t>.</w:t>
        </w:r>
      </w:hyperlink>
      <w:r w:rsidR="0052247D">
        <w:rPr>
          <w:lang w:val="en-GB"/>
        </w:rPr>
        <w:t xml:space="preserve"> </w:t>
      </w:r>
      <w:r>
        <w:rPr>
          <w:lang w:val="en-GB"/>
        </w:rPr>
        <w:t>The clinical experts stated that although there were limited data</w:t>
      </w:r>
      <w:r w:rsidR="00434613">
        <w:rPr>
          <w:lang w:val="en-GB"/>
        </w:rPr>
        <w:t>,</w:t>
      </w:r>
      <w:r>
        <w:rPr>
          <w:lang w:val="en-GB"/>
        </w:rPr>
        <w:t xml:space="preserve"> it was plausible that the proportions of people having a stem cell transplant after pembrolizumab </w:t>
      </w:r>
      <w:r w:rsidR="00B74BBA">
        <w:rPr>
          <w:lang w:val="en-GB"/>
        </w:rPr>
        <w:t>will</w:t>
      </w:r>
      <w:r w:rsidR="00434613">
        <w:rPr>
          <w:lang w:val="en-GB"/>
        </w:rPr>
        <w:t xml:space="preserve"> be greater than after brentuximab </w:t>
      </w:r>
      <w:proofErr w:type="spellStart"/>
      <w:r w:rsidR="00434613">
        <w:rPr>
          <w:lang w:val="en-GB"/>
        </w:rPr>
        <w:t>vedotin</w:t>
      </w:r>
      <w:proofErr w:type="spellEnd"/>
      <w:r>
        <w:rPr>
          <w:lang w:val="en-GB"/>
        </w:rPr>
        <w:t xml:space="preserve">. </w:t>
      </w:r>
      <w:r w:rsidR="0052247D">
        <w:rPr>
          <w:lang w:val="en-GB"/>
        </w:rPr>
        <w:t xml:space="preserve">The clinical experts explained that complete remission rates with brentuximab </w:t>
      </w:r>
      <w:proofErr w:type="spellStart"/>
      <w:r w:rsidR="0052247D">
        <w:rPr>
          <w:lang w:val="en-GB"/>
        </w:rPr>
        <w:t>vedotin</w:t>
      </w:r>
      <w:proofErr w:type="spellEnd"/>
      <w:r w:rsidR="0052247D">
        <w:rPr>
          <w:lang w:val="en-GB"/>
        </w:rPr>
        <w:t xml:space="preserve"> are around 25</w:t>
      </w:r>
      <w:r w:rsidR="002C4054">
        <w:rPr>
          <w:lang w:val="en-GB"/>
        </w:rPr>
        <w:t>%</w:t>
      </w:r>
      <w:r w:rsidR="0052247D">
        <w:rPr>
          <w:lang w:val="en-GB"/>
        </w:rPr>
        <w:t xml:space="preserve"> to 30%, which is the population who would be </w:t>
      </w:r>
      <w:r w:rsidR="002C4054">
        <w:rPr>
          <w:lang w:val="en-GB"/>
        </w:rPr>
        <w:t>able to have</w:t>
      </w:r>
      <w:r w:rsidR="0052247D">
        <w:rPr>
          <w:lang w:val="en-GB"/>
        </w:rPr>
        <w:t xml:space="preserve"> stem cell transplant.</w:t>
      </w:r>
      <w:r w:rsidR="00D93CCB">
        <w:rPr>
          <w:lang w:val="en-GB"/>
        </w:rPr>
        <w:t xml:space="preserve"> The rates of complete remission for pembrolizumab are comparable to those of </w:t>
      </w:r>
      <w:r w:rsidR="00D93CCB" w:rsidRPr="00D93CCB">
        <w:rPr>
          <w:lang w:val="en-GB"/>
        </w:rPr>
        <w:t xml:space="preserve">brentuximab </w:t>
      </w:r>
      <w:proofErr w:type="spellStart"/>
      <w:r w:rsidR="00D93CCB" w:rsidRPr="00D93CCB">
        <w:rPr>
          <w:lang w:val="en-GB"/>
        </w:rPr>
        <w:t>vedotin</w:t>
      </w:r>
      <w:proofErr w:type="spellEnd"/>
      <w:r w:rsidR="001362D3">
        <w:rPr>
          <w:lang w:val="en-GB"/>
        </w:rPr>
        <w:t>.</w:t>
      </w:r>
      <w:r w:rsidR="00D93CCB">
        <w:rPr>
          <w:lang w:val="en-GB"/>
        </w:rPr>
        <w:t xml:space="preserve"> However</w:t>
      </w:r>
      <w:r w:rsidR="00CF0A9C">
        <w:rPr>
          <w:lang w:val="en-GB"/>
        </w:rPr>
        <w:t xml:space="preserve"> p</w:t>
      </w:r>
      <w:r w:rsidR="0052247D">
        <w:rPr>
          <w:lang w:val="en-GB"/>
        </w:rPr>
        <w:t xml:space="preserve">artial remission rates are higher </w:t>
      </w:r>
      <w:r w:rsidR="0052247D" w:rsidRPr="009F212F">
        <w:rPr>
          <w:lang w:val="en-GB"/>
        </w:rPr>
        <w:t xml:space="preserve">and partial remission duration is usually longer </w:t>
      </w:r>
      <w:r w:rsidR="0052247D">
        <w:rPr>
          <w:lang w:val="en-GB"/>
        </w:rPr>
        <w:t xml:space="preserve">with pembrolizumab, which </w:t>
      </w:r>
      <w:r w:rsidR="00D93CCB">
        <w:rPr>
          <w:lang w:val="en-GB"/>
        </w:rPr>
        <w:t>may allow more</w:t>
      </w:r>
      <w:r w:rsidR="0052247D">
        <w:rPr>
          <w:lang w:val="en-GB"/>
        </w:rPr>
        <w:t xml:space="preserve"> stem cell transplant</w:t>
      </w:r>
      <w:r w:rsidR="00D93CCB">
        <w:rPr>
          <w:lang w:val="en-GB"/>
        </w:rPr>
        <w:t>s</w:t>
      </w:r>
      <w:r w:rsidR="0052247D">
        <w:rPr>
          <w:lang w:val="en-GB"/>
        </w:rPr>
        <w:t xml:space="preserve">. The clinical experts also highlighted the possibility that pembrolizumab treatment increases toxicity to allogenic stem cell </w:t>
      </w:r>
      <w:r w:rsidR="0052247D">
        <w:rPr>
          <w:lang w:val="en-GB"/>
        </w:rPr>
        <w:lastRenderedPageBreak/>
        <w:t>transplant and may reduce the effectiveness of autologous stem cell transplant</w:t>
      </w:r>
      <w:r w:rsidR="00120901">
        <w:rPr>
          <w:lang w:val="en-GB"/>
        </w:rPr>
        <w:t xml:space="preserve"> but evidence on this is still emerging</w:t>
      </w:r>
      <w:r w:rsidR="0052247D">
        <w:rPr>
          <w:lang w:val="en-GB"/>
        </w:rPr>
        <w:t xml:space="preserve">. </w:t>
      </w:r>
      <w:r w:rsidR="00120901">
        <w:rPr>
          <w:lang w:val="en-GB"/>
        </w:rPr>
        <w:t xml:space="preserve">Despite this, the clinical experts </w:t>
      </w:r>
      <w:r w:rsidR="0052247D">
        <w:rPr>
          <w:lang w:val="en-GB"/>
        </w:rPr>
        <w:t>suggest</w:t>
      </w:r>
      <w:r w:rsidR="00120901">
        <w:rPr>
          <w:lang w:val="en-GB"/>
        </w:rPr>
        <w:t>ed</w:t>
      </w:r>
      <w:r w:rsidR="0052247D">
        <w:rPr>
          <w:lang w:val="en-GB"/>
        </w:rPr>
        <w:t xml:space="preserve"> that</w:t>
      </w:r>
      <w:r w:rsidR="00CF0A9C">
        <w:rPr>
          <w:lang w:val="en-GB"/>
        </w:rPr>
        <w:t xml:space="preserve"> stem cell transplant would be an option for some people after</w:t>
      </w:r>
      <w:r w:rsidR="0052247D">
        <w:rPr>
          <w:lang w:val="en-GB"/>
        </w:rPr>
        <w:t xml:space="preserve"> pembrolizumab </w:t>
      </w:r>
      <w:r w:rsidR="00CF0A9C">
        <w:rPr>
          <w:lang w:val="en-GB"/>
        </w:rPr>
        <w:t>in clinical practice</w:t>
      </w:r>
      <w:r w:rsidR="0052247D">
        <w:rPr>
          <w:lang w:val="en-GB"/>
        </w:rPr>
        <w:t xml:space="preserve">. The committee concluded that in practice, pembrolizumab </w:t>
      </w:r>
      <w:r w:rsidR="00CF0A9C">
        <w:rPr>
          <w:lang w:val="en-GB"/>
        </w:rPr>
        <w:t>may</w:t>
      </w:r>
      <w:r w:rsidR="0052247D">
        <w:rPr>
          <w:lang w:val="en-GB"/>
        </w:rPr>
        <w:t xml:space="preserve"> increase the number of people who are </w:t>
      </w:r>
      <w:r w:rsidR="002C4054">
        <w:rPr>
          <w:lang w:val="en-GB"/>
        </w:rPr>
        <w:t xml:space="preserve">able </w:t>
      </w:r>
      <w:r w:rsidR="0052247D">
        <w:rPr>
          <w:lang w:val="en-GB"/>
        </w:rPr>
        <w:t xml:space="preserve">to </w:t>
      </w:r>
      <w:r w:rsidR="002C4054">
        <w:rPr>
          <w:lang w:val="en-GB"/>
        </w:rPr>
        <w:t>have</w:t>
      </w:r>
      <w:r w:rsidR="0052247D">
        <w:rPr>
          <w:lang w:val="en-GB"/>
        </w:rPr>
        <w:t xml:space="preserve"> a stem cell transplant compared with brentuximab </w:t>
      </w:r>
      <w:proofErr w:type="spellStart"/>
      <w:r w:rsidR="0052247D">
        <w:rPr>
          <w:lang w:val="en-GB"/>
        </w:rPr>
        <w:t>vedotin</w:t>
      </w:r>
      <w:proofErr w:type="spellEnd"/>
      <w:r w:rsidR="00CF0A9C">
        <w:rPr>
          <w:lang w:val="en-GB"/>
        </w:rPr>
        <w:t>, but data are limited</w:t>
      </w:r>
      <w:r w:rsidR="0052247D">
        <w:rPr>
          <w:lang w:val="en-GB"/>
        </w:rPr>
        <w:t>.</w:t>
      </w:r>
    </w:p>
    <w:p w14:paraId="22EEB9F7" w14:textId="5DF97D15" w:rsidR="007D12B1" w:rsidRPr="007D12B1" w:rsidRDefault="007D12B1" w:rsidP="00117991">
      <w:pPr>
        <w:pStyle w:val="Heading3"/>
      </w:pPr>
      <w:r>
        <w:t>NHS England policy is to fund medicines for children within a specialised service when NICE recommends a technology for adults</w:t>
      </w:r>
    </w:p>
    <w:p w14:paraId="4C69DE10" w14:textId="7C375FAA" w:rsidR="000A3958" w:rsidRPr="000A3958" w:rsidRDefault="000A3958" w:rsidP="000A3958">
      <w:pPr>
        <w:pStyle w:val="Numberedlevel2text"/>
      </w:pPr>
      <w:r>
        <w:t>The committee was aware that the marketing authorisation for this indication includes children aged 3</w:t>
      </w:r>
      <w:r w:rsidR="00D64CBE">
        <w:rPr>
          <w:lang w:val="en-GB"/>
        </w:rPr>
        <w:t> </w:t>
      </w:r>
      <w:r>
        <w:t>and older</w:t>
      </w:r>
      <w:r>
        <w:rPr>
          <w:lang w:val="en-GB"/>
        </w:rPr>
        <w:t>, but that KEYNOTE</w:t>
      </w:r>
      <w:r w:rsidR="00117991">
        <w:rPr>
          <w:lang w:val="en-GB"/>
        </w:rPr>
        <w:noBreakHyphen/>
      </w:r>
      <w:r>
        <w:rPr>
          <w:lang w:val="en-GB"/>
        </w:rPr>
        <w:t xml:space="preserve">204 </w:t>
      </w:r>
      <w:r w:rsidR="00117991">
        <w:rPr>
          <w:lang w:val="en-GB"/>
        </w:rPr>
        <w:t>only included adults</w:t>
      </w:r>
      <w:r>
        <w:rPr>
          <w:lang w:val="en-GB"/>
        </w:rPr>
        <w:t>. The single</w:t>
      </w:r>
      <w:r w:rsidR="00766F5E">
        <w:rPr>
          <w:lang w:val="en-GB"/>
        </w:rPr>
        <w:t>-</w:t>
      </w:r>
      <w:r>
        <w:rPr>
          <w:lang w:val="en-GB"/>
        </w:rPr>
        <w:t>arm study KEYNOTE</w:t>
      </w:r>
      <w:r w:rsidR="00117991">
        <w:rPr>
          <w:lang w:val="en-GB"/>
        </w:rPr>
        <w:noBreakHyphen/>
      </w:r>
      <w:r>
        <w:rPr>
          <w:lang w:val="en-GB"/>
        </w:rPr>
        <w:t>015 assessed the safety and efficacy of pembrolizumab in children</w:t>
      </w:r>
      <w:r w:rsidR="00B65C37">
        <w:rPr>
          <w:lang w:val="en-GB"/>
        </w:rPr>
        <w:t xml:space="preserve"> but </w:t>
      </w:r>
      <w:proofErr w:type="spellStart"/>
      <w:r w:rsidR="00B65C37">
        <w:rPr>
          <w:lang w:val="en-GB"/>
        </w:rPr>
        <w:t>t</w:t>
      </w:r>
      <w:r>
        <w:t>he</w:t>
      </w:r>
      <w:proofErr w:type="spellEnd"/>
      <w:r>
        <w:t xml:space="preserve"> company did not include </w:t>
      </w:r>
      <w:r w:rsidR="00D64CBE">
        <w:rPr>
          <w:lang w:val="en-GB"/>
        </w:rPr>
        <w:t>this data</w:t>
      </w:r>
      <w:r>
        <w:t xml:space="preserve"> in its model. </w:t>
      </w:r>
      <w:r w:rsidR="00D64CBE">
        <w:rPr>
          <w:lang w:val="en-GB"/>
        </w:rPr>
        <w:t>The company</w:t>
      </w:r>
      <w:r w:rsidR="00D64CBE">
        <w:t xml:space="preserve"> </w:t>
      </w:r>
      <w:r>
        <w:t xml:space="preserve">stated that this was because </w:t>
      </w:r>
      <w:hyperlink r:id="rId13" w:history="1">
        <w:r w:rsidRPr="00477C38">
          <w:rPr>
            <w:rStyle w:val="Hyperlink"/>
          </w:rPr>
          <w:t>NHS England policy</w:t>
        </w:r>
      </w:hyperlink>
      <w:r>
        <w:t xml:space="preserve"> is to fund medicines for children within a specialised service </w:t>
      </w:r>
      <w:r w:rsidR="00D64CBE">
        <w:rPr>
          <w:lang w:val="en-GB"/>
        </w:rPr>
        <w:t>if it is recommended for use in</w:t>
      </w:r>
      <w:r>
        <w:t xml:space="preserve"> adults by a NICE technology appraisal </w:t>
      </w:r>
      <w:r w:rsidR="00D64CBE">
        <w:rPr>
          <w:lang w:val="en-GB"/>
        </w:rPr>
        <w:t>(</w:t>
      </w:r>
      <w:r>
        <w:t>when the medicine has a licence for use in children and both the indication for use and the age of the child fall within those specified in the adult licence</w:t>
      </w:r>
      <w:r w:rsidR="00D64CBE">
        <w:rPr>
          <w:lang w:val="en-GB"/>
        </w:rPr>
        <w:t>)</w:t>
      </w:r>
      <w:r>
        <w:t>.</w:t>
      </w:r>
      <w:r w:rsidR="00120901">
        <w:rPr>
          <w:lang w:val="en-GB"/>
        </w:rPr>
        <w:t xml:space="preserve"> The committee concluded that children should not be excluded from the recommendations in line with the marketing authorisation for this indication.</w:t>
      </w:r>
    </w:p>
    <w:p w14:paraId="36386B21" w14:textId="6A6003F1" w:rsidR="00D0135D" w:rsidRDefault="00D0135D" w:rsidP="00D0135D">
      <w:pPr>
        <w:pStyle w:val="Heading2"/>
      </w:pPr>
      <w:r>
        <w:t>Company’s economic model</w:t>
      </w:r>
    </w:p>
    <w:p w14:paraId="0A4C5E9B" w14:textId="550CC61F" w:rsidR="00D0135D" w:rsidRDefault="00D0135D" w:rsidP="00D0135D">
      <w:pPr>
        <w:pStyle w:val="Heading3"/>
      </w:pPr>
      <w:r>
        <w:t>The company’s model structure is appropriate</w:t>
      </w:r>
      <w:r w:rsidR="002E7BAE">
        <w:t xml:space="preserve"> for decision making</w:t>
      </w:r>
    </w:p>
    <w:p w14:paraId="66197DCF" w14:textId="48D6D7E0" w:rsidR="002E7BAE" w:rsidRPr="003941C4" w:rsidRDefault="000F38BA" w:rsidP="002E7BAE">
      <w:pPr>
        <w:pStyle w:val="Numberedlevel2text"/>
      </w:pPr>
      <w:r>
        <w:rPr>
          <w:lang w:val="en-GB"/>
        </w:rPr>
        <w:t xml:space="preserve">The company presented a 3-state partitioned survival model to estimate the cost effectiveness of pembrolizumab compared with brentuximab </w:t>
      </w:r>
      <w:proofErr w:type="spellStart"/>
      <w:r>
        <w:rPr>
          <w:lang w:val="en-GB"/>
        </w:rPr>
        <w:t>vedotin</w:t>
      </w:r>
      <w:proofErr w:type="spellEnd"/>
      <w:r>
        <w:rPr>
          <w:lang w:val="en-GB"/>
        </w:rPr>
        <w:t>. The 3 health states were progression-free survival, progressed disease and death</w:t>
      </w:r>
      <w:r w:rsidR="00663B83">
        <w:rPr>
          <w:lang w:val="en-GB"/>
        </w:rPr>
        <w:t xml:space="preserve">. The committee discussed that previous appraisals for classical Hodgkin lymphoma had used a 4-state model and included stem cell transplant as a health state. The company highlighted that </w:t>
      </w:r>
      <w:r w:rsidR="00663B83">
        <w:rPr>
          <w:lang w:val="en-GB"/>
        </w:rPr>
        <w:lastRenderedPageBreak/>
        <w:t>pembrolizumab was not positioned as a ‘bridge to transplant’</w:t>
      </w:r>
      <w:r w:rsidR="00502EC4">
        <w:rPr>
          <w:lang w:val="en-GB"/>
        </w:rPr>
        <w:t xml:space="preserve"> and therefore used a 3-state model</w:t>
      </w:r>
      <w:r w:rsidR="00663B83">
        <w:rPr>
          <w:lang w:val="en-GB"/>
        </w:rPr>
        <w:t>. The company</w:t>
      </w:r>
      <w:r w:rsidR="00502EC4">
        <w:rPr>
          <w:lang w:val="en-GB"/>
        </w:rPr>
        <w:t xml:space="preserve"> </w:t>
      </w:r>
      <w:r w:rsidR="00663B83">
        <w:rPr>
          <w:lang w:val="en-GB"/>
        </w:rPr>
        <w:t xml:space="preserve">assumed equal rates of stem cell transplant in both the pembrolizumab and brentuximab </w:t>
      </w:r>
      <w:proofErr w:type="spellStart"/>
      <w:r w:rsidR="00663B83">
        <w:rPr>
          <w:lang w:val="en-GB"/>
        </w:rPr>
        <w:t>vedotin</w:t>
      </w:r>
      <w:proofErr w:type="spellEnd"/>
      <w:r w:rsidR="00663B83">
        <w:rPr>
          <w:lang w:val="en-GB"/>
        </w:rPr>
        <w:t xml:space="preserve"> arms</w:t>
      </w:r>
      <w:r w:rsidR="00502EC4">
        <w:rPr>
          <w:lang w:val="en-GB"/>
        </w:rPr>
        <w:t xml:space="preserve"> in its model</w:t>
      </w:r>
      <w:r w:rsidR="00663B83">
        <w:rPr>
          <w:lang w:val="en-GB"/>
        </w:rPr>
        <w:t xml:space="preserve">, including the costs of stem cell transplant but not the impact of stem cell transplant on survival or quality of life. The committee discussed that pembrolizumab may increase the number of people who are </w:t>
      </w:r>
      <w:r w:rsidR="002C4054">
        <w:rPr>
          <w:lang w:val="en-GB"/>
        </w:rPr>
        <w:t xml:space="preserve">able </w:t>
      </w:r>
      <w:r w:rsidR="00663B83">
        <w:rPr>
          <w:lang w:val="en-GB"/>
        </w:rPr>
        <w:t xml:space="preserve">to </w:t>
      </w:r>
      <w:r w:rsidR="002C4054">
        <w:rPr>
          <w:lang w:val="en-GB"/>
        </w:rPr>
        <w:t xml:space="preserve">have a </w:t>
      </w:r>
      <w:r w:rsidR="00663B83">
        <w:rPr>
          <w:lang w:val="en-GB"/>
        </w:rPr>
        <w:t>stem cell transplant (</w:t>
      </w:r>
      <w:hyperlink w:anchor="_Pembrolizumab_may_increase" w:history="1">
        <w:r w:rsidR="00663B83" w:rsidRPr="00B65C37">
          <w:rPr>
            <w:rStyle w:val="Hyperlink"/>
            <w:lang w:val="en-GB"/>
          </w:rPr>
          <w:t>see section</w:t>
        </w:r>
        <w:r w:rsidR="002C4054" w:rsidRPr="00B65C37">
          <w:rPr>
            <w:rStyle w:val="Hyperlink"/>
            <w:lang w:val="en-GB"/>
          </w:rPr>
          <w:t> </w:t>
        </w:r>
        <w:r w:rsidR="00663B83" w:rsidRPr="00B65C37">
          <w:rPr>
            <w:rStyle w:val="Hyperlink"/>
            <w:lang w:val="en-GB"/>
          </w:rPr>
          <w:t>3.</w:t>
        </w:r>
        <w:r w:rsidR="00CF0A9C" w:rsidRPr="00B65C37">
          <w:rPr>
            <w:rStyle w:val="Hyperlink"/>
            <w:lang w:val="en-GB"/>
          </w:rPr>
          <w:t>6</w:t>
        </w:r>
      </w:hyperlink>
      <w:r w:rsidR="00663B83">
        <w:rPr>
          <w:lang w:val="en-GB"/>
        </w:rPr>
        <w:t>)</w:t>
      </w:r>
      <w:r w:rsidR="00502EC4">
        <w:rPr>
          <w:lang w:val="en-GB"/>
        </w:rPr>
        <w:t xml:space="preserve"> and therefore may be considered a ‘bridge to transplant’</w:t>
      </w:r>
      <w:r w:rsidR="002C24E7">
        <w:rPr>
          <w:lang w:val="en-GB"/>
        </w:rPr>
        <w:t xml:space="preserve"> in practice</w:t>
      </w:r>
      <w:r w:rsidR="00663B83">
        <w:rPr>
          <w:lang w:val="en-GB"/>
        </w:rPr>
        <w:t xml:space="preserve">. However, it concluded that the </w:t>
      </w:r>
      <w:r w:rsidR="00502EC4">
        <w:rPr>
          <w:lang w:val="en-GB"/>
        </w:rPr>
        <w:t>company’s model was adequate for decision making.</w:t>
      </w:r>
    </w:p>
    <w:p w14:paraId="4DCAB7C4" w14:textId="2B2B156A" w:rsidR="003941C4" w:rsidRDefault="003941C4" w:rsidP="003941C4">
      <w:pPr>
        <w:pStyle w:val="Heading3"/>
      </w:pPr>
      <w:bookmarkStart w:id="7" w:name="_It_is_appropriate"/>
      <w:bookmarkEnd w:id="7"/>
      <w:r>
        <w:t xml:space="preserve">It is appropriate to consider people who </w:t>
      </w:r>
      <w:r w:rsidR="000776B6">
        <w:t xml:space="preserve">have </w:t>
      </w:r>
      <w:r w:rsidR="002C4054">
        <w:t xml:space="preserve">had </w:t>
      </w:r>
      <w:r w:rsidR="000776B6">
        <w:t>2</w:t>
      </w:r>
      <w:r w:rsidR="002C4054">
        <w:t> </w:t>
      </w:r>
      <w:r w:rsidR="000776B6">
        <w:t xml:space="preserve">previous treatments </w:t>
      </w:r>
      <w:r w:rsidR="00994490">
        <w:t>with and without</w:t>
      </w:r>
      <w:r>
        <w:t xml:space="preserve"> previous stem cell transplant </w:t>
      </w:r>
      <w:r w:rsidR="00994490">
        <w:t>separately</w:t>
      </w:r>
    </w:p>
    <w:p w14:paraId="30D948F1" w14:textId="14EBB4DD" w:rsidR="00994490" w:rsidRPr="00AF2120" w:rsidRDefault="00003841" w:rsidP="00994490">
      <w:pPr>
        <w:pStyle w:val="Numberedlevel2text"/>
      </w:pPr>
      <w:r>
        <w:rPr>
          <w:lang w:val="en-GB"/>
        </w:rPr>
        <w:t>In its original submission</w:t>
      </w:r>
      <w:r w:rsidR="00DB3C9E">
        <w:rPr>
          <w:lang w:val="en-GB"/>
        </w:rPr>
        <w:t>,</w:t>
      </w:r>
      <w:r>
        <w:rPr>
          <w:lang w:val="en-GB"/>
        </w:rPr>
        <w:t xml:space="preserve"> the company presented cost</w:t>
      </w:r>
      <w:r w:rsidR="00D64CBE">
        <w:rPr>
          <w:lang w:val="en-GB"/>
        </w:rPr>
        <w:t>-</w:t>
      </w:r>
      <w:r>
        <w:rPr>
          <w:lang w:val="en-GB"/>
        </w:rPr>
        <w:t>effectiveness estimates for a pooled population of people who had and had not had a stem cell transplant</w:t>
      </w:r>
      <w:r w:rsidR="00D64CBE">
        <w:rPr>
          <w:lang w:val="en-GB"/>
        </w:rPr>
        <w:t>,</w:t>
      </w:r>
      <w:r>
        <w:rPr>
          <w:lang w:val="en-GB"/>
        </w:rPr>
        <w:t xml:space="preserve"> as well as estimates for people who had and who had not </w:t>
      </w:r>
      <w:r w:rsidR="00DB3C9E">
        <w:rPr>
          <w:lang w:val="en-GB"/>
        </w:rPr>
        <w:t xml:space="preserve">had </w:t>
      </w:r>
      <w:r>
        <w:rPr>
          <w:lang w:val="en-GB"/>
        </w:rPr>
        <w:t xml:space="preserve">a stem cell transplant separately. </w:t>
      </w:r>
      <w:r w:rsidR="00994490">
        <w:rPr>
          <w:lang w:val="en-GB"/>
        </w:rPr>
        <w:t xml:space="preserve">The company presented </w:t>
      </w:r>
      <w:r w:rsidR="005F3CC1">
        <w:rPr>
          <w:lang w:val="en-GB"/>
        </w:rPr>
        <w:t>a model</w:t>
      </w:r>
      <w:r w:rsidR="00994490">
        <w:rPr>
          <w:lang w:val="en-GB"/>
        </w:rPr>
        <w:t xml:space="preserve"> </w:t>
      </w:r>
      <w:r w:rsidR="007F003C">
        <w:rPr>
          <w:lang w:val="en-GB"/>
        </w:rPr>
        <w:t xml:space="preserve">at technical engagement </w:t>
      </w:r>
      <w:r w:rsidR="00994490">
        <w:rPr>
          <w:lang w:val="en-GB"/>
        </w:rPr>
        <w:t xml:space="preserve">which </w:t>
      </w:r>
      <w:r>
        <w:rPr>
          <w:lang w:val="en-GB"/>
        </w:rPr>
        <w:t xml:space="preserve">only </w:t>
      </w:r>
      <w:r w:rsidR="00994490">
        <w:rPr>
          <w:lang w:val="en-GB"/>
        </w:rPr>
        <w:t xml:space="preserve">included a pooled population of people who </w:t>
      </w:r>
      <w:r w:rsidR="000776B6">
        <w:rPr>
          <w:lang w:val="en-GB"/>
        </w:rPr>
        <w:t xml:space="preserve">have </w:t>
      </w:r>
      <w:r w:rsidR="002C4054">
        <w:rPr>
          <w:lang w:val="en-GB"/>
        </w:rPr>
        <w:t xml:space="preserve">had </w:t>
      </w:r>
      <w:r w:rsidR="000776B6">
        <w:rPr>
          <w:lang w:val="en-GB"/>
        </w:rPr>
        <w:t>2</w:t>
      </w:r>
      <w:r w:rsidR="002C4054">
        <w:rPr>
          <w:lang w:val="en-GB"/>
        </w:rPr>
        <w:t> </w:t>
      </w:r>
      <w:r w:rsidR="000776B6">
        <w:rPr>
          <w:lang w:val="en-GB"/>
        </w:rPr>
        <w:t>previous treatments</w:t>
      </w:r>
      <w:r w:rsidR="00994490">
        <w:rPr>
          <w:lang w:val="en-GB"/>
        </w:rPr>
        <w:t xml:space="preserve"> either with or without previous stem cell transplant</w:t>
      </w:r>
      <w:r w:rsidR="002C24E7">
        <w:rPr>
          <w:lang w:val="en-GB"/>
        </w:rPr>
        <w:t>. The committee discussed that this was the population of interest from KEYNOTE-204 (</w:t>
      </w:r>
      <w:hyperlink w:anchor="_KEYNOTE-204_subgroup_data" w:history="1">
        <w:r w:rsidR="002C24E7" w:rsidRPr="00B65C37">
          <w:rPr>
            <w:rStyle w:val="Hyperlink"/>
            <w:lang w:val="en-GB"/>
          </w:rPr>
          <w:t>see section</w:t>
        </w:r>
        <w:r w:rsidR="002C4054" w:rsidRPr="00B65C37">
          <w:rPr>
            <w:rStyle w:val="Hyperlink"/>
            <w:lang w:val="en-GB"/>
          </w:rPr>
          <w:t> 3.3</w:t>
        </w:r>
      </w:hyperlink>
      <w:r w:rsidR="002C24E7">
        <w:rPr>
          <w:lang w:val="en-GB"/>
        </w:rPr>
        <w:t xml:space="preserve">). However, the ERG suggested that people who </w:t>
      </w:r>
      <w:r w:rsidR="000776B6">
        <w:rPr>
          <w:lang w:val="en-GB"/>
        </w:rPr>
        <w:t xml:space="preserve">have </w:t>
      </w:r>
      <w:r w:rsidR="002C4054">
        <w:rPr>
          <w:lang w:val="en-GB"/>
        </w:rPr>
        <w:t xml:space="preserve">had </w:t>
      </w:r>
      <w:r w:rsidR="000776B6">
        <w:rPr>
          <w:lang w:val="en-GB"/>
        </w:rPr>
        <w:t>2</w:t>
      </w:r>
      <w:r w:rsidR="002C4054">
        <w:rPr>
          <w:lang w:val="en-GB"/>
        </w:rPr>
        <w:t> </w:t>
      </w:r>
      <w:r w:rsidR="000776B6">
        <w:rPr>
          <w:lang w:val="en-GB"/>
        </w:rPr>
        <w:t>previous treatments</w:t>
      </w:r>
      <w:r w:rsidR="002C24E7">
        <w:rPr>
          <w:lang w:val="en-GB"/>
        </w:rPr>
        <w:t xml:space="preserve"> with previous stem cell transplant and people who </w:t>
      </w:r>
      <w:r w:rsidR="000776B6">
        <w:rPr>
          <w:lang w:val="en-GB"/>
        </w:rPr>
        <w:t xml:space="preserve">have </w:t>
      </w:r>
      <w:r w:rsidR="002C4054">
        <w:rPr>
          <w:lang w:val="en-GB"/>
        </w:rPr>
        <w:t xml:space="preserve">had </w:t>
      </w:r>
      <w:r w:rsidR="000776B6">
        <w:rPr>
          <w:lang w:val="en-GB"/>
        </w:rPr>
        <w:t>2 previous treatments</w:t>
      </w:r>
      <w:r w:rsidR="002C24E7">
        <w:rPr>
          <w:lang w:val="en-GB"/>
        </w:rPr>
        <w:t xml:space="preserve"> without previous stem cell transplant should be considered separately in the model. This is because the </w:t>
      </w:r>
      <w:r w:rsidR="007D3CC2">
        <w:rPr>
          <w:lang w:val="en-GB"/>
        </w:rPr>
        <w:t>treatment pathway is different for these groups and the prognosis of these groups is also</w:t>
      </w:r>
      <w:r w:rsidR="000776B6">
        <w:rPr>
          <w:lang w:val="en-GB"/>
        </w:rPr>
        <w:t xml:space="preserve"> </w:t>
      </w:r>
      <w:r w:rsidR="007D3CC2">
        <w:rPr>
          <w:lang w:val="en-GB"/>
        </w:rPr>
        <w:t xml:space="preserve">expected to be different. </w:t>
      </w:r>
      <w:r w:rsidR="00577F1D">
        <w:rPr>
          <w:lang w:val="en-GB"/>
        </w:rPr>
        <w:t xml:space="preserve">The ERG </w:t>
      </w:r>
      <w:r w:rsidR="00577F1D" w:rsidRPr="00577F1D">
        <w:rPr>
          <w:lang w:val="en-GB"/>
        </w:rPr>
        <w:t>presented a</w:t>
      </w:r>
      <w:r w:rsidR="00C94D6B">
        <w:rPr>
          <w:lang w:val="en-GB"/>
        </w:rPr>
        <w:t>n</w:t>
      </w:r>
      <w:r w:rsidR="00577F1D" w:rsidRPr="00577F1D">
        <w:rPr>
          <w:lang w:val="en-GB"/>
        </w:rPr>
        <w:t xml:space="preserve"> </w:t>
      </w:r>
      <w:r w:rsidR="00C94D6B">
        <w:rPr>
          <w:lang w:val="en-GB"/>
        </w:rPr>
        <w:t>economic analysis</w:t>
      </w:r>
      <w:r w:rsidR="00577F1D" w:rsidRPr="00577F1D">
        <w:rPr>
          <w:lang w:val="en-GB"/>
        </w:rPr>
        <w:t xml:space="preserve"> based on these subgroups</w:t>
      </w:r>
      <w:r w:rsidR="00577F1D">
        <w:rPr>
          <w:lang w:val="en-GB"/>
        </w:rPr>
        <w:t>.</w:t>
      </w:r>
      <w:r w:rsidR="00577F1D" w:rsidRPr="00577F1D">
        <w:rPr>
          <w:lang w:val="en-GB"/>
        </w:rPr>
        <w:t xml:space="preserve"> </w:t>
      </w:r>
      <w:r w:rsidR="007D3CC2">
        <w:rPr>
          <w:lang w:val="en-GB"/>
        </w:rPr>
        <w:t xml:space="preserve">The clinical experts agreed that prognosis for people with a previous stem cell transplant may be expected to be better than for people without a previous stem cell transplant </w:t>
      </w:r>
      <w:r w:rsidR="00FA0F25">
        <w:rPr>
          <w:lang w:val="en-GB"/>
        </w:rPr>
        <w:t xml:space="preserve">and that the subsequent treatment options for these subgroups </w:t>
      </w:r>
      <w:r w:rsidR="00144232">
        <w:rPr>
          <w:lang w:val="en-GB"/>
        </w:rPr>
        <w:t>also differ</w:t>
      </w:r>
      <w:r w:rsidR="007D3CC2">
        <w:rPr>
          <w:lang w:val="en-GB"/>
        </w:rPr>
        <w:t xml:space="preserve">. The committee discussed that the estimates of </w:t>
      </w:r>
      <w:r w:rsidR="00FA0F25">
        <w:rPr>
          <w:lang w:val="en-GB"/>
        </w:rPr>
        <w:t>costs included in the model</w:t>
      </w:r>
      <w:r w:rsidR="007D3CC2">
        <w:rPr>
          <w:lang w:val="en-GB"/>
        </w:rPr>
        <w:t xml:space="preserve"> may be </w:t>
      </w:r>
      <w:r w:rsidR="002C4054">
        <w:rPr>
          <w:lang w:val="en-GB"/>
        </w:rPr>
        <w:t xml:space="preserve">affected </w:t>
      </w:r>
      <w:r w:rsidR="007D3CC2">
        <w:rPr>
          <w:lang w:val="en-GB"/>
        </w:rPr>
        <w:t xml:space="preserve">by the different </w:t>
      </w:r>
      <w:r w:rsidR="00FA0F25">
        <w:rPr>
          <w:lang w:val="en-GB"/>
        </w:rPr>
        <w:t>subsequent treatments</w:t>
      </w:r>
      <w:r w:rsidR="007D3CC2">
        <w:rPr>
          <w:lang w:val="en-GB"/>
        </w:rPr>
        <w:t xml:space="preserve"> for each subgroup and </w:t>
      </w:r>
      <w:r w:rsidR="007D3CC2">
        <w:rPr>
          <w:lang w:val="en-GB"/>
        </w:rPr>
        <w:lastRenderedPageBreak/>
        <w:t>that these groups may also have different prognosis</w:t>
      </w:r>
      <w:r w:rsidR="00FA0F25">
        <w:rPr>
          <w:lang w:val="en-GB"/>
        </w:rPr>
        <w:t xml:space="preserve">, </w:t>
      </w:r>
      <w:r w:rsidR="002C4054">
        <w:rPr>
          <w:lang w:val="en-GB"/>
        </w:rPr>
        <w:t xml:space="preserve">affecting </w:t>
      </w:r>
      <w:r w:rsidR="00FA0F25">
        <w:rPr>
          <w:lang w:val="en-GB"/>
        </w:rPr>
        <w:t xml:space="preserve">the survival outcomes included in the model. Therefore, it concluded that it was appropriate to consider the subgroups of people who </w:t>
      </w:r>
      <w:r w:rsidR="00AA4073">
        <w:rPr>
          <w:lang w:val="en-GB"/>
        </w:rPr>
        <w:t xml:space="preserve">have </w:t>
      </w:r>
      <w:r w:rsidR="002C4054">
        <w:rPr>
          <w:lang w:val="en-GB"/>
        </w:rPr>
        <w:t xml:space="preserve">had </w:t>
      </w:r>
      <w:r w:rsidR="00AA4073">
        <w:rPr>
          <w:lang w:val="en-GB"/>
        </w:rPr>
        <w:t>2</w:t>
      </w:r>
      <w:r w:rsidR="002C4054">
        <w:rPr>
          <w:lang w:val="en-GB"/>
        </w:rPr>
        <w:t> </w:t>
      </w:r>
      <w:r w:rsidR="00AA4073">
        <w:rPr>
          <w:lang w:val="en-GB"/>
        </w:rPr>
        <w:t>previous treatments</w:t>
      </w:r>
      <w:r w:rsidR="00FA0F25">
        <w:rPr>
          <w:lang w:val="en-GB"/>
        </w:rPr>
        <w:t xml:space="preserve"> with and without previous stem cell transplant </w:t>
      </w:r>
      <w:r w:rsidR="00EE65F1">
        <w:rPr>
          <w:lang w:val="en-GB"/>
        </w:rPr>
        <w:t>separately.</w:t>
      </w:r>
    </w:p>
    <w:p w14:paraId="79283489" w14:textId="5DEDA62F" w:rsidR="00AF2120" w:rsidRDefault="00AF2120" w:rsidP="00AF2120">
      <w:pPr>
        <w:pStyle w:val="Heading2"/>
      </w:pPr>
      <w:r>
        <w:t>Assumptions in the economic model</w:t>
      </w:r>
    </w:p>
    <w:p w14:paraId="31BA1B65" w14:textId="5EB56F19" w:rsidR="00AF2120" w:rsidRDefault="00805B9F" w:rsidP="00AF2120">
      <w:pPr>
        <w:pStyle w:val="Heading3"/>
      </w:pPr>
      <w:bookmarkStart w:id="8" w:name="_For_people_who"/>
      <w:bookmarkEnd w:id="8"/>
      <w:r>
        <w:t xml:space="preserve">For people </w:t>
      </w:r>
      <w:r w:rsidR="00AF2120">
        <w:t xml:space="preserve">who </w:t>
      </w:r>
      <w:r w:rsidR="00AA4073">
        <w:t xml:space="preserve">have </w:t>
      </w:r>
      <w:r w:rsidR="002C4054">
        <w:t xml:space="preserve">had </w:t>
      </w:r>
      <w:r w:rsidR="00AA4073">
        <w:t>2</w:t>
      </w:r>
      <w:r w:rsidR="002C4054">
        <w:t> </w:t>
      </w:r>
      <w:r w:rsidR="00AA4073">
        <w:t>previous treatments</w:t>
      </w:r>
      <w:r w:rsidR="00805671">
        <w:t xml:space="preserve"> </w:t>
      </w:r>
      <w:r w:rsidR="00AF2120">
        <w:t>without previous stem cell transplant</w:t>
      </w:r>
      <w:r>
        <w:t>, the ro</w:t>
      </w:r>
      <w:r w:rsidR="001F7AFC">
        <w:t xml:space="preserve">utinely available treatment </w:t>
      </w:r>
      <w:r w:rsidR="001F7AFC" w:rsidRPr="001F7AFC">
        <w:t xml:space="preserve">after brentuximab </w:t>
      </w:r>
      <w:proofErr w:type="spellStart"/>
      <w:r w:rsidR="001F7AFC" w:rsidRPr="001F7AFC">
        <w:t>vedotin</w:t>
      </w:r>
      <w:proofErr w:type="spellEnd"/>
      <w:r w:rsidR="001F7AFC" w:rsidRPr="001F7AFC">
        <w:t xml:space="preserve"> </w:t>
      </w:r>
      <w:r w:rsidR="001F7AFC">
        <w:t>is</w:t>
      </w:r>
      <w:r w:rsidR="00A754C1">
        <w:t xml:space="preserve"> multi-agent chemotherapy</w:t>
      </w:r>
    </w:p>
    <w:p w14:paraId="1FFD0562" w14:textId="07122964" w:rsidR="00A754C1" w:rsidRPr="00B74BBA" w:rsidRDefault="009228EE" w:rsidP="00490FBC">
      <w:pPr>
        <w:pStyle w:val="Numberedlevel2text"/>
      </w:pPr>
      <w:r>
        <w:rPr>
          <w:lang w:val="en-GB"/>
        </w:rPr>
        <w:t xml:space="preserve">The ERG highlighted that different subsequent treatments </w:t>
      </w:r>
      <w:r w:rsidR="00FC367E">
        <w:rPr>
          <w:lang w:val="en-GB"/>
        </w:rPr>
        <w:t>are</w:t>
      </w:r>
      <w:r>
        <w:rPr>
          <w:lang w:val="en-GB"/>
        </w:rPr>
        <w:t xml:space="preserve"> offered </w:t>
      </w:r>
      <w:r w:rsidR="002C4054">
        <w:rPr>
          <w:lang w:val="en-GB"/>
        </w:rPr>
        <w:t xml:space="preserve">after </w:t>
      </w:r>
      <w:r>
        <w:rPr>
          <w:lang w:val="en-GB"/>
        </w:rPr>
        <w:t>third-line treatment</w:t>
      </w:r>
      <w:r w:rsidR="002C4054">
        <w:rPr>
          <w:lang w:val="en-GB"/>
        </w:rPr>
        <w:t xml:space="preserve"> has not worked</w:t>
      </w:r>
      <w:r w:rsidR="003C23BB">
        <w:rPr>
          <w:lang w:val="en-GB"/>
        </w:rPr>
        <w:t>,</w:t>
      </w:r>
      <w:r>
        <w:rPr>
          <w:lang w:val="en-GB"/>
        </w:rPr>
        <w:t xml:space="preserve"> depending on </w:t>
      </w:r>
      <w:r w:rsidR="002C4054">
        <w:rPr>
          <w:lang w:val="en-GB"/>
        </w:rPr>
        <w:t xml:space="preserve">if </w:t>
      </w:r>
      <w:r>
        <w:rPr>
          <w:lang w:val="en-GB"/>
        </w:rPr>
        <w:t>a</w:t>
      </w:r>
      <w:r w:rsidR="00A754C1">
        <w:rPr>
          <w:lang w:val="en-GB"/>
        </w:rPr>
        <w:t xml:space="preserve"> person has had a previous</w:t>
      </w:r>
      <w:r>
        <w:rPr>
          <w:lang w:val="en-GB"/>
        </w:rPr>
        <w:t xml:space="preserve"> stem cell transplant (</w:t>
      </w:r>
      <w:hyperlink w:anchor="_It_is_appropriate" w:history="1">
        <w:r w:rsidR="00F20348">
          <w:rPr>
            <w:rStyle w:val="Hyperlink"/>
            <w:lang w:val="en-GB"/>
          </w:rPr>
          <w:t>see section 3.9</w:t>
        </w:r>
      </w:hyperlink>
      <w:r>
        <w:rPr>
          <w:lang w:val="en-GB"/>
        </w:rPr>
        <w:t>). The clinical experts explained that</w:t>
      </w:r>
      <w:r w:rsidR="001B6741">
        <w:rPr>
          <w:lang w:val="en-GB"/>
        </w:rPr>
        <w:t>:</w:t>
      </w:r>
    </w:p>
    <w:p w14:paraId="622EB2EA" w14:textId="71414221" w:rsidR="00A754C1" w:rsidRDefault="00020CFA" w:rsidP="00A754C1">
      <w:pPr>
        <w:pStyle w:val="Bulletindent1"/>
      </w:pPr>
      <w:r>
        <w:t>p</w:t>
      </w:r>
      <w:r w:rsidR="001B6741">
        <w:t xml:space="preserve">eople </w:t>
      </w:r>
      <w:r w:rsidR="009228EE">
        <w:t xml:space="preserve">who have previously </w:t>
      </w:r>
      <w:r w:rsidR="00A754C1">
        <w:t>had</w:t>
      </w:r>
      <w:r w:rsidR="009228EE">
        <w:t xml:space="preserve"> a stem cell transplant and </w:t>
      </w:r>
      <w:r>
        <w:t xml:space="preserve">had </w:t>
      </w:r>
      <w:r w:rsidR="009228EE">
        <w:t xml:space="preserve">brentuximab </w:t>
      </w:r>
      <w:proofErr w:type="spellStart"/>
      <w:r w:rsidR="009228EE">
        <w:t>vedotin</w:t>
      </w:r>
      <w:proofErr w:type="spellEnd"/>
      <w:r w:rsidR="009228EE">
        <w:t xml:space="preserve"> as third-line treatment would </w:t>
      </w:r>
      <w:r w:rsidR="00EE0893">
        <w:t xml:space="preserve">usually </w:t>
      </w:r>
      <w:r w:rsidR="009228EE">
        <w:t>be offered nivolumab</w:t>
      </w:r>
      <w:r w:rsidR="001B6741">
        <w:t>.</w:t>
      </w:r>
    </w:p>
    <w:p w14:paraId="4AB94C6B" w14:textId="06554A3B" w:rsidR="00570B1A" w:rsidRDefault="00020CFA" w:rsidP="00A754C1">
      <w:pPr>
        <w:pStyle w:val="Bulletindent1"/>
      </w:pPr>
      <w:r>
        <w:t>p</w:t>
      </w:r>
      <w:r w:rsidR="001B6741">
        <w:t xml:space="preserve">eople </w:t>
      </w:r>
      <w:r w:rsidR="007A151B">
        <w:t xml:space="preserve">who have not previously </w:t>
      </w:r>
      <w:r>
        <w:t xml:space="preserve">had </w:t>
      </w:r>
      <w:r w:rsidR="007A151B">
        <w:t xml:space="preserve">a stem cell transplant and </w:t>
      </w:r>
      <w:r w:rsidR="00AA0220">
        <w:t xml:space="preserve">had </w:t>
      </w:r>
      <w:r w:rsidR="007A151B">
        <w:t xml:space="preserve">brentuximab </w:t>
      </w:r>
      <w:proofErr w:type="spellStart"/>
      <w:r w:rsidR="007A151B">
        <w:t>vedotin</w:t>
      </w:r>
      <w:proofErr w:type="spellEnd"/>
      <w:r w:rsidR="007A151B">
        <w:t xml:space="preserve"> as third-line treatment </w:t>
      </w:r>
      <w:r w:rsidR="001B6741">
        <w:t xml:space="preserve">would </w:t>
      </w:r>
      <w:r w:rsidR="00AA0220">
        <w:t xml:space="preserve">currently </w:t>
      </w:r>
      <w:r w:rsidR="001B6741">
        <w:t xml:space="preserve">be offered pembrolizumab, which is available through the Cancer Drugs Fund. </w:t>
      </w:r>
      <w:r w:rsidR="00A754C1">
        <w:t xml:space="preserve">The committee </w:t>
      </w:r>
      <w:r w:rsidR="001B6741">
        <w:t>was</w:t>
      </w:r>
      <w:r w:rsidR="00A754C1">
        <w:t xml:space="preserve"> aware </w:t>
      </w:r>
      <w:r w:rsidR="001B6741">
        <w:t>of</w:t>
      </w:r>
      <w:r w:rsidR="00A754C1">
        <w:t xml:space="preserve"> </w:t>
      </w:r>
      <w:hyperlink r:id="rId14" w:history="1">
        <w:r w:rsidR="00A754C1" w:rsidRPr="00F41B08">
          <w:rPr>
            <w:rStyle w:val="Hyperlink"/>
          </w:rPr>
          <w:t>NICE’s position statement</w:t>
        </w:r>
      </w:hyperlink>
      <w:r w:rsidR="00A754C1">
        <w:t xml:space="preserve"> that drugs available through the </w:t>
      </w:r>
      <w:r w:rsidR="001B6741">
        <w:t>Cancer Drugs Fund</w:t>
      </w:r>
      <w:r w:rsidR="00A754C1">
        <w:t xml:space="preserve"> should not be included in </w:t>
      </w:r>
      <w:r w:rsidR="00570B1A">
        <w:t>economic models</w:t>
      </w:r>
      <w:r w:rsidR="00EE0893">
        <w:t xml:space="preserve">. </w:t>
      </w:r>
      <w:r w:rsidR="00570B1A">
        <w:t xml:space="preserve">The </w:t>
      </w:r>
      <w:r w:rsidR="00EE0893" w:rsidRPr="00EE0893">
        <w:t>clinical experts</w:t>
      </w:r>
      <w:r w:rsidR="001B6741">
        <w:t xml:space="preserve"> explained</w:t>
      </w:r>
      <w:r w:rsidR="00570B1A">
        <w:t xml:space="preserve"> that in the absence of pembrolizumab</w:t>
      </w:r>
      <w:r w:rsidR="001B6741">
        <w:t>,</w:t>
      </w:r>
      <w:r w:rsidR="00570B1A">
        <w:t xml:space="preserve"> multi-agent chemotherapy is the only option for subsequent treatment in routine commissioning. The</w:t>
      </w:r>
      <w:r w:rsidR="001B6741">
        <w:t xml:space="preserve">y </w:t>
      </w:r>
      <w:r w:rsidR="00EE0893" w:rsidRPr="00EE0893">
        <w:t>highlighted tha</w:t>
      </w:r>
      <w:r w:rsidR="00490FBC">
        <w:t xml:space="preserve">t the choice </w:t>
      </w:r>
      <w:r w:rsidR="00AA4073">
        <w:t xml:space="preserve">for type </w:t>
      </w:r>
      <w:r w:rsidR="00490FBC">
        <w:t>of multi-agent chemotherapy differs</w:t>
      </w:r>
      <w:r w:rsidR="00362856">
        <w:t>,</w:t>
      </w:r>
      <w:r w:rsidR="00490FBC">
        <w:t xml:space="preserve"> but that </w:t>
      </w:r>
      <w:r w:rsidR="00490FBC" w:rsidRPr="00490FBC">
        <w:t>single</w:t>
      </w:r>
      <w:r w:rsidR="00735C39">
        <w:t xml:space="preserve"> </w:t>
      </w:r>
      <w:r w:rsidR="00490FBC" w:rsidRPr="00490FBC">
        <w:t xml:space="preserve">agent </w:t>
      </w:r>
      <w:proofErr w:type="spellStart"/>
      <w:r w:rsidR="00490FBC" w:rsidRPr="00490FBC">
        <w:t>bendamustine</w:t>
      </w:r>
      <w:proofErr w:type="spellEnd"/>
      <w:r w:rsidR="00490FBC" w:rsidRPr="00490FBC">
        <w:t xml:space="preserve"> is </w:t>
      </w:r>
      <w:r w:rsidR="00841101">
        <w:t>no longer considered suitable</w:t>
      </w:r>
      <w:r w:rsidR="00EE0893" w:rsidRPr="00EE0893">
        <w:t>.</w:t>
      </w:r>
    </w:p>
    <w:p w14:paraId="15439C95" w14:textId="34A6A06B" w:rsidR="00570B1A" w:rsidRDefault="00020CFA" w:rsidP="00B74BBA">
      <w:pPr>
        <w:pStyle w:val="Bulletindent1last"/>
      </w:pPr>
      <w:r>
        <w:t>f</w:t>
      </w:r>
      <w:r w:rsidR="00570B1A">
        <w:t xml:space="preserve">or people who </w:t>
      </w:r>
      <w:r w:rsidR="0053289F">
        <w:t xml:space="preserve">would </w:t>
      </w:r>
      <w:r>
        <w:t xml:space="preserve">have </w:t>
      </w:r>
      <w:r w:rsidR="00570B1A">
        <w:t>pembrolizumab as a third</w:t>
      </w:r>
      <w:r w:rsidR="001B6741">
        <w:t>-</w:t>
      </w:r>
      <w:r w:rsidR="00570B1A">
        <w:t>line treatment</w:t>
      </w:r>
      <w:r w:rsidR="00735C39">
        <w:t>,</w:t>
      </w:r>
      <w:r w:rsidR="00570B1A">
        <w:t xml:space="preserve"> </w:t>
      </w:r>
      <w:r w:rsidR="00EE0893">
        <w:t xml:space="preserve">brentuximab </w:t>
      </w:r>
      <w:proofErr w:type="spellStart"/>
      <w:r w:rsidR="00EE0893">
        <w:t>vedotin</w:t>
      </w:r>
      <w:proofErr w:type="spellEnd"/>
      <w:r w:rsidR="00EE0893">
        <w:t xml:space="preserve"> </w:t>
      </w:r>
      <w:r w:rsidR="0053289F">
        <w:t>is</w:t>
      </w:r>
      <w:r w:rsidR="00E87C3F">
        <w:t xml:space="preserve"> </w:t>
      </w:r>
      <w:r w:rsidR="001B6741">
        <w:t xml:space="preserve">likely </w:t>
      </w:r>
      <w:r w:rsidR="00E87C3F">
        <w:t xml:space="preserve">to </w:t>
      </w:r>
      <w:r w:rsidR="00EE0893">
        <w:t xml:space="preserve">be given as the next treatment, </w:t>
      </w:r>
      <w:r w:rsidR="00E87C3F">
        <w:t xml:space="preserve">both </w:t>
      </w:r>
      <w:r w:rsidR="00EE0893">
        <w:t xml:space="preserve">for people </w:t>
      </w:r>
      <w:r w:rsidR="00E87C3F">
        <w:t>who ha</w:t>
      </w:r>
      <w:r w:rsidR="0053289F">
        <w:t>ve</w:t>
      </w:r>
      <w:r w:rsidR="00E87C3F">
        <w:t>, and ha</w:t>
      </w:r>
      <w:r w:rsidR="0053289F">
        <w:t>ve</w:t>
      </w:r>
      <w:r w:rsidR="00E87C3F">
        <w:t xml:space="preserve"> not had a</w:t>
      </w:r>
      <w:r w:rsidR="00EE0893">
        <w:t xml:space="preserve"> previous stem cell transplant.</w:t>
      </w:r>
    </w:p>
    <w:p w14:paraId="69AEA3B7" w14:textId="38BDE24A" w:rsidR="00490FBC" w:rsidRPr="00490FBC" w:rsidRDefault="00FC367E" w:rsidP="00B74BBA">
      <w:pPr>
        <w:pStyle w:val="Numberedlevel2text"/>
        <w:numPr>
          <w:ilvl w:val="0"/>
          <w:numId w:val="0"/>
        </w:numPr>
        <w:ind w:left="1134"/>
      </w:pPr>
      <w:r>
        <w:lastRenderedPageBreak/>
        <w:t xml:space="preserve">The committee concluded that </w:t>
      </w:r>
      <w:r w:rsidR="00805671">
        <w:t xml:space="preserve">the most appropriate subsequent treatments to include in the model were likely to be those described by the clinical experts, which included multi-agent chemotherapy, and not </w:t>
      </w:r>
      <w:proofErr w:type="spellStart"/>
      <w:r w:rsidR="00805671">
        <w:t>bendamustine</w:t>
      </w:r>
      <w:proofErr w:type="spellEnd"/>
      <w:r w:rsidR="00805671">
        <w:t xml:space="preserve">, </w:t>
      </w:r>
      <w:r w:rsidR="00020CFA">
        <w:rPr>
          <w:lang w:val="en-GB"/>
        </w:rPr>
        <w:t>after</w:t>
      </w:r>
      <w:r w:rsidR="00020CFA">
        <w:t xml:space="preserve"> </w:t>
      </w:r>
      <w:r w:rsidR="00805671">
        <w:t xml:space="preserve">brentuximab </w:t>
      </w:r>
      <w:proofErr w:type="spellStart"/>
      <w:r w:rsidR="00805671">
        <w:t>vedotin</w:t>
      </w:r>
      <w:proofErr w:type="spellEnd"/>
      <w:r w:rsidR="00805671">
        <w:t xml:space="preserve"> for people who </w:t>
      </w:r>
      <w:r w:rsidR="004026F8">
        <w:t xml:space="preserve">have </w:t>
      </w:r>
      <w:r w:rsidR="00020CFA">
        <w:rPr>
          <w:lang w:val="en-GB"/>
        </w:rPr>
        <w:t>had</w:t>
      </w:r>
      <w:r w:rsidR="00020CFA">
        <w:t xml:space="preserve"> </w:t>
      </w:r>
      <w:r w:rsidR="004026F8">
        <w:t>2</w:t>
      </w:r>
      <w:r w:rsidR="00020CFA">
        <w:rPr>
          <w:lang w:val="en-GB"/>
        </w:rPr>
        <w:t> </w:t>
      </w:r>
      <w:r w:rsidR="004026F8">
        <w:t>previous treatments</w:t>
      </w:r>
      <w:r w:rsidR="00805671">
        <w:t xml:space="preserve"> without previous stem cell transplant.</w:t>
      </w:r>
    </w:p>
    <w:p w14:paraId="04294342" w14:textId="58644630" w:rsidR="002E7BAE" w:rsidRDefault="0077744C" w:rsidP="00490FBC">
      <w:pPr>
        <w:pStyle w:val="Heading3"/>
      </w:pPr>
      <w:bookmarkStart w:id="9" w:name="_Estimates_of_overall"/>
      <w:bookmarkEnd w:id="9"/>
      <w:r>
        <w:t>Estimates of overall survival are highly uncertain</w:t>
      </w:r>
      <w:r w:rsidR="002D3684">
        <w:t>, pa</w:t>
      </w:r>
      <w:r w:rsidR="00141B88">
        <w:t>r</w:t>
      </w:r>
      <w:r w:rsidR="002D3684">
        <w:t>ticularly for people</w:t>
      </w:r>
      <w:r>
        <w:t xml:space="preserve"> </w:t>
      </w:r>
      <w:r w:rsidR="002D3684">
        <w:t>who have not had a stem cell transplant</w:t>
      </w:r>
    </w:p>
    <w:p w14:paraId="75795AB5" w14:textId="43904B4E" w:rsidR="00490FBC" w:rsidRPr="008303B1" w:rsidRDefault="00527713" w:rsidP="00490FBC">
      <w:pPr>
        <w:pStyle w:val="Numberedlevel2text"/>
      </w:pPr>
      <w:r>
        <w:rPr>
          <w:lang w:val="en-GB"/>
        </w:rPr>
        <w:t>Overall survival data from KEYNOTE-204 are not available (</w:t>
      </w:r>
      <w:hyperlink w:anchor="_KEYNOTE-204_overall_survival" w:history="1">
        <w:r w:rsidRPr="00020CFA">
          <w:rPr>
            <w:rStyle w:val="Hyperlink"/>
            <w:lang w:val="en-GB"/>
          </w:rPr>
          <w:t>see section</w:t>
        </w:r>
        <w:r w:rsidR="00020CFA" w:rsidRPr="00020CFA">
          <w:rPr>
            <w:rStyle w:val="Hyperlink"/>
            <w:lang w:val="en-GB"/>
          </w:rPr>
          <w:t> </w:t>
        </w:r>
        <w:r w:rsidRPr="00020CFA">
          <w:rPr>
            <w:rStyle w:val="Hyperlink"/>
            <w:lang w:val="en-GB"/>
          </w:rPr>
          <w:t>3.</w:t>
        </w:r>
        <w:r w:rsidR="00682691" w:rsidRPr="00020CFA">
          <w:rPr>
            <w:rStyle w:val="Hyperlink"/>
            <w:lang w:val="en-GB"/>
          </w:rPr>
          <w:t>5</w:t>
        </w:r>
      </w:hyperlink>
      <w:r>
        <w:rPr>
          <w:lang w:val="en-GB"/>
        </w:rPr>
        <w:t xml:space="preserve">). Therefore, the company </w:t>
      </w:r>
      <w:r w:rsidR="00307020">
        <w:rPr>
          <w:lang w:val="en-GB"/>
        </w:rPr>
        <w:t>used</w:t>
      </w:r>
      <w:r>
        <w:rPr>
          <w:lang w:val="en-GB"/>
        </w:rPr>
        <w:t xml:space="preserve"> overall survival </w:t>
      </w:r>
      <w:r w:rsidR="00307020">
        <w:rPr>
          <w:lang w:val="en-GB"/>
        </w:rPr>
        <w:t xml:space="preserve">data </w:t>
      </w:r>
      <w:r w:rsidR="00174E81">
        <w:rPr>
          <w:lang w:val="en-GB"/>
        </w:rPr>
        <w:t xml:space="preserve">in its model from </w:t>
      </w:r>
      <w:r>
        <w:rPr>
          <w:lang w:val="en-GB"/>
        </w:rPr>
        <w:t>Gopal et al. 2015</w:t>
      </w:r>
      <w:r w:rsidR="00174E81">
        <w:rPr>
          <w:lang w:val="en-GB"/>
        </w:rPr>
        <w:t xml:space="preserve">, a single-arm trial of brentuximab </w:t>
      </w:r>
      <w:proofErr w:type="spellStart"/>
      <w:r w:rsidR="00174E81">
        <w:rPr>
          <w:lang w:val="en-GB"/>
        </w:rPr>
        <w:t>vedotin</w:t>
      </w:r>
      <w:proofErr w:type="spellEnd"/>
      <w:r w:rsidR="00174E81">
        <w:rPr>
          <w:lang w:val="en-GB"/>
        </w:rPr>
        <w:t xml:space="preserve"> in people with a previous stem cell transplant</w:t>
      </w:r>
      <w:r w:rsidR="005F3CC1">
        <w:rPr>
          <w:lang w:val="en-GB"/>
        </w:rPr>
        <w:t xml:space="preserve">. The company applied the overall survival data from Gopal et al. to the pembrolizumab and brentuximab </w:t>
      </w:r>
      <w:proofErr w:type="spellStart"/>
      <w:r w:rsidR="005F3CC1">
        <w:rPr>
          <w:lang w:val="en-GB"/>
        </w:rPr>
        <w:t>vedotin</w:t>
      </w:r>
      <w:proofErr w:type="spellEnd"/>
      <w:r w:rsidR="005F3CC1">
        <w:rPr>
          <w:lang w:val="en-GB"/>
        </w:rPr>
        <w:t xml:space="preserve"> arms in the model, assuming equal overall survival with both treatments. </w:t>
      </w:r>
      <w:r w:rsidR="00A33482">
        <w:rPr>
          <w:lang w:val="en-GB"/>
        </w:rPr>
        <w:t xml:space="preserve">The company suggested </w:t>
      </w:r>
      <w:r w:rsidR="00590930">
        <w:rPr>
          <w:lang w:val="en-GB"/>
        </w:rPr>
        <w:t xml:space="preserve">that </w:t>
      </w:r>
      <w:r w:rsidR="00A33482">
        <w:rPr>
          <w:lang w:val="en-GB"/>
        </w:rPr>
        <w:t xml:space="preserve">this was a conservative approach to modelling overall survival. The clinical experts explained that pembrolizumab may lead to increased overall survival compared with brentuximab </w:t>
      </w:r>
      <w:proofErr w:type="spellStart"/>
      <w:r w:rsidR="00A33482">
        <w:rPr>
          <w:lang w:val="en-GB"/>
        </w:rPr>
        <w:t>vedotin</w:t>
      </w:r>
      <w:proofErr w:type="spellEnd"/>
      <w:r w:rsidR="00A33482">
        <w:rPr>
          <w:lang w:val="en-GB"/>
        </w:rPr>
        <w:t xml:space="preserve"> when </w:t>
      </w:r>
      <w:r w:rsidR="00020CFA">
        <w:rPr>
          <w:lang w:val="en-GB"/>
        </w:rPr>
        <w:t xml:space="preserve">offered </w:t>
      </w:r>
      <w:r w:rsidR="004026F8">
        <w:rPr>
          <w:lang w:val="en-GB"/>
        </w:rPr>
        <w:t xml:space="preserve">to people who have </w:t>
      </w:r>
      <w:r w:rsidR="00020CFA">
        <w:rPr>
          <w:lang w:val="en-GB"/>
        </w:rPr>
        <w:t xml:space="preserve">had </w:t>
      </w:r>
      <w:r w:rsidR="004026F8">
        <w:rPr>
          <w:lang w:val="en-GB"/>
        </w:rPr>
        <w:t>2 previous treatments</w:t>
      </w:r>
      <w:r w:rsidR="00A33482">
        <w:rPr>
          <w:lang w:val="en-GB"/>
        </w:rPr>
        <w:t xml:space="preserve">, based on their experience of using immunotherapies and the data from KEYNOTE-204 which indicates durable remission is achieved with pembrolizumab. </w:t>
      </w:r>
      <w:r w:rsidR="005F3CC1">
        <w:rPr>
          <w:lang w:val="en-GB"/>
        </w:rPr>
        <w:t xml:space="preserve">The ERG agreed that Gopal et al. was appropriate to estimate overall survival for people who </w:t>
      </w:r>
      <w:r w:rsidR="004026F8">
        <w:rPr>
          <w:lang w:val="en-GB"/>
        </w:rPr>
        <w:t xml:space="preserve">have </w:t>
      </w:r>
      <w:r w:rsidR="00020CFA">
        <w:rPr>
          <w:lang w:val="en-GB"/>
        </w:rPr>
        <w:t xml:space="preserve">had </w:t>
      </w:r>
      <w:r w:rsidR="004026F8">
        <w:rPr>
          <w:lang w:val="en-GB"/>
        </w:rPr>
        <w:t>2</w:t>
      </w:r>
      <w:r w:rsidR="00020CFA">
        <w:rPr>
          <w:lang w:val="en-GB"/>
        </w:rPr>
        <w:t> </w:t>
      </w:r>
      <w:r w:rsidR="004026F8">
        <w:rPr>
          <w:lang w:val="en-GB"/>
        </w:rPr>
        <w:t>previous treatments</w:t>
      </w:r>
      <w:r w:rsidR="005F3CC1">
        <w:rPr>
          <w:lang w:val="en-GB"/>
        </w:rPr>
        <w:t xml:space="preserve"> with previous stem cell transplant, but </w:t>
      </w:r>
      <w:r w:rsidR="00A33482">
        <w:rPr>
          <w:lang w:val="en-GB"/>
        </w:rPr>
        <w:t>that it</w:t>
      </w:r>
      <w:r w:rsidR="005F3CC1">
        <w:rPr>
          <w:lang w:val="en-GB"/>
        </w:rPr>
        <w:t xml:space="preserve"> was not appropriate for people who </w:t>
      </w:r>
      <w:r w:rsidR="004026F8">
        <w:rPr>
          <w:lang w:val="en-GB"/>
        </w:rPr>
        <w:t xml:space="preserve">have </w:t>
      </w:r>
      <w:r w:rsidR="00020CFA">
        <w:rPr>
          <w:lang w:val="en-GB"/>
        </w:rPr>
        <w:t xml:space="preserve">had </w:t>
      </w:r>
      <w:r w:rsidR="004026F8">
        <w:rPr>
          <w:lang w:val="en-GB"/>
        </w:rPr>
        <w:t>2</w:t>
      </w:r>
      <w:r w:rsidR="00020CFA">
        <w:rPr>
          <w:lang w:val="en-GB"/>
        </w:rPr>
        <w:t> </w:t>
      </w:r>
      <w:r w:rsidR="004026F8">
        <w:rPr>
          <w:lang w:val="en-GB"/>
        </w:rPr>
        <w:t>previous treatments</w:t>
      </w:r>
      <w:r w:rsidR="005F3CC1">
        <w:rPr>
          <w:lang w:val="en-GB"/>
        </w:rPr>
        <w:t xml:space="preserve"> without previous stem cell transplant. It preferred to estimate overall survival for this </w:t>
      </w:r>
      <w:r w:rsidR="004B4901">
        <w:rPr>
          <w:lang w:val="en-GB"/>
        </w:rPr>
        <w:t>population</w:t>
      </w:r>
      <w:r w:rsidR="005F3CC1">
        <w:rPr>
          <w:lang w:val="en-GB"/>
        </w:rPr>
        <w:t xml:space="preserve"> </w:t>
      </w:r>
      <w:r w:rsidR="00765488">
        <w:rPr>
          <w:lang w:val="en-GB"/>
        </w:rPr>
        <w:t xml:space="preserve">using </w:t>
      </w:r>
      <w:r w:rsidR="005F3CC1">
        <w:rPr>
          <w:lang w:val="en-GB"/>
        </w:rPr>
        <w:t xml:space="preserve">data </w:t>
      </w:r>
      <w:r w:rsidR="00765488">
        <w:rPr>
          <w:lang w:val="en-GB"/>
        </w:rPr>
        <w:t xml:space="preserve">from </w:t>
      </w:r>
      <w:proofErr w:type="spellStart"/>
      <w:r w:rsidR="004B4901">
        <w:rPr>
          <w:lang w:val="en-GB"/>
        </w:rPr>
        <w:t>Balzarotti</w:t>
      </w:r>
      <w:proofErr w:type="spellEnd"/>
      <w:r w:rsidR="004B4901">
        <w:rPr>
          <w:lang w:val="en-GB"/>
        </w:rPr>
        <w:t xml:space="preserve"> et al. 2016,</w:t>
      </w:r>
      <w:r w:rsidR="005F3CC1">
        <w:rPr>
          <w:lang w:val="en-GB"/>
        </w:rPr>
        <w:t xml:space="preserve"> a randomised controlled trial </w:t>
      </w:r>
      <w:r w:rsidR="004B4901">
        <w:rPr>
          <w:lang w:val="en-GB"/>
        </w:rPr>
        <w:t xml:space="preserve">of </w:t>
      </w:r>
      <w:r w:rsidR="00B959E3">
        <w:rPr>
          <w:lang w:val="en-GB"/>
        </w:rPr>
        <w:t xml:space="preserve">chemotherapy in </w:t>
      </w:r>
      <w:r w:rsidR="004B4901">
        <w:rPr>
          <w:lang w:val="en-GB"/>
        </w:rPr>
        <w:t xml:space="preserve">people who had </w:t>
      </w:r>
      <w:r w:rsidR="00020CFA">
        <w:rPr>
          <w:lang w:val="en-GB"/>
        </w:rPr>
        <w:t xml:space="preserve">had </w:t>
      </w:r>
      <w:r w:rsidR="004B4901">
        <w:rPr>
          <w:lang w:val="en-GB"/>
        </w:rPr>
        <w:t>1</w:t>
      </w:r>
      <w:r w:rsidR="00020CFA">
        <w:rPr>
          <w:lang w:val="en-GB"/>
        </w:rPr>
        <w:t> </w:t>
      </w:r>
      <w:r w:rsidR="004B4901">
        <w:rPr>
          <w:lang w:val="en-GB"/>
        </w:rPr>
        <w:t xml:space="preserve">previous line of treatment without stem cell transplant, which included </w:t>
      </w:r>
      <w:r w:rsidR="005F3CC1">
        <w:rPr>
          <w:lang w:val="en-GB"/>
        </w:rPr>
        <w:t xml:space="preserve">an </w:t>
      </w:r>
      <w:proofErr w:type="spellStart"/>
      <w:r w:rsidR="005F3CC1">
        <w:rPr>
          <w:lang w:val="en-GB"/>
        </w:rPr>
        <w:t>ifosfamide</w:t>
      </w:r>
      <w:proofErr w:type="spellEnd"/>
      <w:r w:rsidR="005F3CC1">
        <w:rPr>
          <w:lang w:val="en-GB"/>
        </w:rPr>
        <w:t xml:space="preserve">, gemcitabine and vinorelbine </w:t>
      </w:r>
      <w:r w:rsidR="004B4901">
        <w:rPr>
          <w:lang w:val="en-GB"/>
        </w:rPr>
        <w:t>(IGEV)</w:t>
      </w:r>
      <w:r w:rsidR="005F3CC1">
        <w:rPr>
          <w:lang w:val="en-GB"/>
        </w:rPr>
        <w:t xml:space="preserve"> regimen</w:t>
      </w:r>
      <w:r w:rsidR="004B4901">
        <w:rPr>
          <w:lang w:val="en-GB"/>
        </w:rPr>
        <w:t xml:space="preserve"> treatment arm</w:t>
      </w:r>
      <w:r w:rsidR="005F3CC1">
        <w:rPr>
          <w:lang w:val="en-GB"/>
        </w:rPr>
        <w:t xml:space="preserve">. The ERG </w:t>
      </w:r>
      <w:r w:rsidR="004B4901">
        <w:rPr>
          <w:lang w:val="en-GB"/>
        </w:rPr>
        <w:t xml:space="preserve">used data from the IGEV arm in </w:t>
      </w:r>
      <w:proofErr w:type="spellStart"/>
      <w:r w:rsidR="004B4901">
        <w:rPr>
          <w:lang w:val="en-GB"/>
        </w:rPr>
        <w:t>Balzarotti</w:t>
      </w:r>
      <w:proofErr w:type="spellEnd"/>
      <w:r w:rsidR="004B4901">
        <w:rPr>
          <w:lang w:val="en-GB"/>
        </w:rPr>
        <w:t xml:space="preserve"> et al. to estimate overall survival and </w:t>
      </w:r>
      <w:r w:rsidR="005F3CC1">
        <w:rPr>
          <w:lang w:val="en-GB"/>
        </w:rPr>
        <w:t xml:space="preserve">also assumed equal overall survival </w:t>
      </w:r>
      <w:r w:rsidR="00B27AE8">
        <w:rPr>
          <w:lang w:val="en-GB"/>
        </w:rPr>
        <w:t xml:space="preserve">in </w:t>
      </w:r>
      <w:r w:rsidR="005F3CC1">
        <w:rPr>
          <w:lang w:val="en-GB"/>
        </w:rPr>
        <w:t xml:space="preserve">the pembrolizumab and brentuximab </w:t>
      </w:r>
      <w:proofErr w:type="spellStart"/>
      <w:r w:rsidR="005F3CC1">
        <w:rPr>
          <w:lang w:val="en-GB"/>
        </w:rPr>
        <w:t>vedotin</w:t>
      </w:r>
      <w:proofErr w:type="spellEnd"/>
      <w:r w:rsidR="00B959E3">
        <w:rPr>
          <w:lang w:val="en-GB"/>
        </w:rPr>
        <w:t xml:space="preserve"> arms</w:t>
      </w:r>
      <w:r w:rsidR="005F3CC1">
        <w:rPr>
          <w:lang w:val="en-GB"/>
        </w:rPr>
        <w:t xml:space="preserve"> </w:t>
      </w:r>
      <w:r w:rsidR="00A33482">
        <w:rPr>
          <w:lang w:val="en-GB"/>
        </w:rPr>
        <w:t>in its mode</w:t>
      </w:r>
      <w:r w:rsidR="004B4901">
        <w:rPr>
          <w:lang w:val="en-GB"/>
        </w:rPr>
        <w:t xml:space="preserve">l. </w:t>
      </w:r>
      <w:r w:rsidR="00A33482">
        <w:rPr>
          <w:lang w:val="en-GB"/>
        </w:rPr>
        <w:t xml:space="preserve">The </w:t>
      </w:r>
      <w:r w:rsidR="00A33482">
        <w:rPr>
          <w:lang w:val="en-GB"/>
        </w:rPr>
        <w:lastRenderedPageBreak/>
        <w:t xml:space="preserve">committee </w:t>
      </w:r>
      <w:r w:rsidR="008D1328">
        <w:rPr>
          <w:lang w:val="en-GB"/>
        </w:rPr>
        <w:t xml:space="preserve">considered </w:t>
      </w:r>
      <w:r w:rsidR="00A33482">
        <w:rPr>
          <w:lang w:val="en-GB"/>
        </w:rPr>
        <w:t xml:space="preserve">that </w:t>
      </w:r>
      <w:r w:rsidR="004B4901">
        <w:rPr>
          <w:lang w:val="en-GB"/>
        </w:rPr>
        <w:t xml:space="preserve">KEYNOTE-204 </w:t>
      </w:r>
      <w:r w:rsidR="00C1757B">
        <w:rPr>
          <w:lang w:val="en-GB"/>
        </w:rPr>
        <w:t xml:space="preserve">overall survival </w:t>
      </w:r>
      <w:r w:rsidR="004B4901">
        <w:rPr>
          <w:lang w:val="en-GB"/>
        </w:rPr>
        <w:t xml:space="preserve">data would </w:t>
      </w:r>
      <w:r w:rsidR="00C1757B">
        <w:rPr>
          <w:lang w:val="en-GB"/>
        </w:rPr>
        <w:t>be preferable</w:t>
      </w:r>
      <w:r w:rsidR="004B4901">
        <w:rPr>
          <w:lang w:val="en-GB"/>
        </w:rPr>
        <w:t xml:space="preserve"> to </w:t>
      </w:r>
      <w:r w:rsidR="00C1757B">
        <w:rPr>
          <w:lang w:val="en-GB"/>
        </w:rPr>
        <w:t xml:space="preserve">using </w:t>
      </w:r>
      <w:r w:rsidR="004B4901">
        <w:rPr>
          <w:lang w:val="en-GB"/>
        </w:rPr>
        <w:t>external data sources</w:t>
      </w:r>
      <w:r w:rsidR="00C1757B">
        <w:rPr>
          <w:lang w:val="en-GB"/>
        </w:rPr>
        <w:t>, but this was not yet available</w:t>
      </w:r>
      <w:r w:rsidR="004B4901">
        <w:rPr>
          <w:lang w:val="en-GB"/>
        </w:rPr>
        <w:t xml:space="preserve">. </w:t>
      </w:r>
      <w:r w:rsidR="0077744C">
        <w:rPr>
          <w:lang w:val="en-GB"/>
        </w:rPr>
        <w:t xml:space="preserve">In the absence of overall survival data from KEYNOTE-204, the committee agreed that it was </w:t>
      </w:r>
      <w:r w:rsidR="00936354">
        <w:rPr>
          <w:lang w:val="en-GB"/>
        </w:rPr>
        <w:t>not known what estimate of overall survival was appropriate to use for the cost</w:t>
      </w:r>
      <w:r w:rsidR="0062664E">
        <w:rPr>
          <w:lang w:val="en-GB"/>
        </w:rPr>
        <w:t>-</w:t>
      </w:r>
      <w:r w:rsidR="00936354">
        <w:rPr>
          <w:lang w:val="en-GB"/>
        </w:rPr>
        <w:t xml:space="preserve">effectiveness estimate. </w:t>
      </w:r>
      <w:r w:rsidR="00ED561C">
        <w:rPr>
          <w:lang w:val="en-GB"/>
        </w:rPr>
        <w:t xml:space="preserve">The committee agreed that assuming equal effectiveness with another treatment may be conservative, but there were no available overall survival data to determine if this was the case. </w:t>
      </w:r>
      <w:r w:rsidR="00936354">
        <w:rPr>
          <w:lang w:val="en-GB"/>
        </w:rPr>
        <w:t xml:space="preserve">Even if </w:t>
      </w:r>
      <w:r w:rsidR="00ED561C">
        <w:rPr>
          <w:lang w:val="en-GB"/>
        </w:rPr>
        <w:t xml:space="preserve">this </w:t>
      </w:r>
      <w:r w:rsidR="00936354">
        <w:rPr>
          <w:lang w:val="en-GB"/>
        </w:rPr>
        <w:t xml:space="preserve">assumption </w:t>
      </w:r>
      <w:r w:rsidR="00471FF1">
        <w:rPr>
          <w:lang w:val="en-GB"/>
        </w:rPr>
        <w:t>were</w:t>
      </w:r>
      <w:r w:rsidR="00936354">
        <w:rPr>
          <w:lang w:val="en-GB"/>
        </w:rPr>
        <w:t xml:space="preserve"> accepted, it is </w:t>
      </w:r>
      <w:r w:rsidR="00ED561C">
        <w:rPr>
          <w:lang w:val="en-GB"/>
        </w:rPr>
        <w:t xml:space="preserve">also </w:t>
      </w:r>
      <w:r w:rsidR="0077744C">
        <w:rPr>
          <w:lang w:val="en-GB"/>
        </w:rPr>
        <w:t xml:space="preserve">uncertain </w:t>
      </w:r>
      <w:r w:rsidR="0062664E">
        <w:rPr>
          <w:lang w:val="en-GB"/>
        </w:rPr>
        <w:t xml:space="preserve">if </w:t>
      </w:r>
      <w:r w:rsidR="00936354">
        <w:rPr>
          <w:lang w:val="en-GB"/>
        </w:rPr>
        <w:t xml:space="preserve">for the </w:t>
      </w:r>
      <w:r w:rsidR="00471FF1">
        <w:rPr>
          <w:lang w:val="en-GB"/>
        </w:rPr>
        <w:t>people</w:t>
      </w:r>
      <w:r w:rsidR="00936354">
        <w:rPr>
          <w:lang w:val="en-GB"/>
        </w:rPr>
        <w:t xml:space="preserve"> who had not </w:t>
      </w:r>
      <w:r w:rsidR="00471FF1">
        <w:rPr>
          <w:lang w:val="en-GB"/>
        </w:rPr>
        <w:t>had</w:t>
      </w:r>
      <w:r w:rsidR="00936354">
        <w:rPr>
          <w:lang w:val="en-GB"/>
        </w:rPr>
        <w:t xml:space="preserve"> a stem cell transplant,</w:t>
      </w:r>
      <w:r w:rsidR="00020CFA">
        <w:rPr>
          <w:lang w:val="en-GB"/>
        </w:rPr>
        <w:t xml:space="preserve"> </w:t>
      </w:r>
      <w:r w:rsidR="0077744C">
        <w:rPr>
          <w:lang w:val="en-GB"/>
        </w:rPr>
        <w:t xml:space="preserve">data from Gopal et al. or from </w:t>
      </w:r>
      <w:proofErr w:type="spellStart"/>
      <w:r w:rsidR="0077744C">
        <w:rPr>
          <w:lang w:val="en-GB"/>
        </w:rPr>
        <w:t>Balzarotti</w:t>
      </w:r>
      <w:proofErr w:type="spellEnd"/>
      <w:r w:rsidR="0077744C">
        <w:rPr>
          <w:lang w:val="en-GB"/>
        </w:rPr>
        <w:t xml:space="preserve"> et al. </w:t>
      </w:r>
      <w:r w:rsidR="00936354">
        <w:rPr>
          <w:lang w:val="en-GB"/>
        </w:rPr>
        <w:t>would be</w:t>
      </w:r>
      <w:r w:rsidR="0077744C">
        <w:rPr>
          <w:lang w:val="en-GB"/>
        </w:rPr>
        <w:t xml:space="preserve"> more appropriate. </w:t>
      </w:r>
      <w:r w:rsidR="004B4901">
        <w:rPr>
          <w:lang w:val="en-GB"/>
        </w:rPr>
        <w:t xml:space="preserve">It concluded that </w:t>
      </w:r>
      <w:r w:rsidR="00307020">
        <w:rPr>
          <w:lang w:val="en-GB"/>
        </w:rPr>
        <w:t xml:space="preserve">the </w:t>
      </w:r>
      <w:r w:rsidR="004B4901">
        <w:rPr>
          <w:lang w:val="en-GB"/>
        </w:rPr>
        <w:t xml:space="preserve">overall survival </w:t>
      </w:r>
      <w:r w:rsidR="008303B1">
        <w:rPr>
          <w:lang w:val="en-GB"/>
        </w:rPr>
        <w:t>estimates used in the model are</w:t>
      </w:r>
      <w:r w:rsidR="004B4901">
        <w:rPr>
          <w:lang w:val="en-GB"/>
        </w:rPr>
        <w:t xml:space="preserve"> highly uncertain</w:t>
      </w:r>
      <w:r w:rsidR="0062664E">
        <w:rPr>
          <w:lang w:val="en-GB"/>
        </w:rPr>
        <w:t>,</w:t>
      </w:r>
      <w:r w:rsidR="00936354">
        <w:rPr>
          <w:lang w:val="en-GB"/>
        </w:rPr>
        <w:t xml:space="preserve"> </w:t>
      </w:r>
      <w:r w:rsidR="00967C4C">
        <w:rPr>
          <w:lang w:val="en-GB"/>
        </w:rPr>
        <w:t xml:space="preserve">particularly </w:t>
      </w:r>
      <w:r w:rsidR="00936354">
        <w:rPr>
          <w:lang w:val="en-GB"/>
        </w:rPr>
        <w:t>for people who ha</w:t>
      </w:r>
      <w:r w:rsidR="00471FF1">
        <w:rPr>
          <w:lang w:val="en-GB"/>
        </w:rPr>
        <w:t>ve</w:t>
      </w:r>
      <w:r w:rsidR="00936354">
        <w:rPr>
          <w:lang w:val="en-GB"/>
        </w:rPr>
        <w:t xml:space="preserve"> not </w:t>
      </w:r>
      <w:r w:rsidR="00471FF1">
        <w:rPr>
          <w:lang w:val="en-GB"/>
        </w:rPr>
        <w:t>had</w:t>
      </w:r>
      <w:r w:rsidR="00936354">
        <w:rPr>
          <w:lang w:val="en-GB"/>
        </w:rPr>
        <w:t xml:space="preserve"> a stem cell transplant</w:t>
      </w:r>
      <w:r w:rsidR="008303B1">
        <w:rPr>
          <w:lang w:val="en-GB"/>
        </w:rPr>
        <w:t>.</w:t>
      </w:r>
    </w:p>
    <w:p w14:paraId="7C1394C9" w14:textId="11A5CAD4" w:rsidR="008303B1" w:rsidRDefault="000B683A" w:rsidP="008303B1">
      <w:pPr>
        <w:pStyle w:val="Heading3"/>
      </w:pPr>
      <w:bookmarkStart w:id="10" w:name="_Post-progression_health_state"/>
      <w:bookmarkEnd w:id="10"/>
      <w:r>
        <w:t>P</w:t>
      </w:r>
      <w:r w:rsidR="008303B1">
        <w:t>ost-progression health</w:t>
      </w:r>
      <w:r w:rsidR="00766F5E">
        <w:t>-</w:t>
      </w:r>
      <w:r w:rsidR="008303B1">
        <w:t>state</w:t>
      </w:r>
      <w:r>
        <w:t xml:space="preserve"> utility values</w:t>
      </w:r>
      <w:r w:rsidR="008303B1">
        <w:t xml:space="preserve"> are uncertain</w:t>
      </w:r>
    </w:p>
    <w:p w14:paraId="4DD7F8E4" w14:textId="56FD9082" w:rsidR="00566C11" w:rsidRPr="00117991" w:rsidRDefault="008303B1" w:rsidP="00CF30EB">
      <w:pPr>
        <w:pStyle w:val="Numberedlevel2text"/>
      </w:pPr>
      <w:r>
        <w:rPr>
          <w:lang w:val="en-GB"/>
        </w:rPr>
        <w:t xml:space="preserve">The company presented health-related quality of life data from KEYNOTE-204 for the pooled population </w:t>
      </w:r>
      <w:r w:rsidR="007B43EB">
        <w:rPr>
          <w:lang w:val="en-GB"/>
        </w:rPr>
        <w:t xml:space="preserve">who </w:t>
      </w:r>
      <w:r w:rsidR="0006125F">
        <w:rPr>
          <w:lang w:val="en-GB"/>
        </w:rPr>
        <w:t>had had</w:t>
      </w:r>
      <w:r w:rsidR="007B43EB">
        <w:rPr>
          <w:lang w:val="en-GB"/>
        </w:rPr>
        <w:t xml:space="preserve"> at least 2</w:t>
      </w:r>
      <w:r w:rsidR="0006125F">
        <w:rPr>
          <w:lang w:val="en-GB"/>
        </w:rPr>
        <w:t> </w:t>
      </w:r>
      <w:r w:rsidR="007B43EB">
        <w:rPr>
          <w:lang w:val="en-GB"/>
        </w:rPr>
        <w:t xml:space="preserve">previous treatments </w:t>
      </w:r>
      <w:r>
        <w:rPr>
          <w:lang w:val="en-GB"/>
        </w:rPr>
        <w:t>with and without previous stem cell transplant. This indicated that health-related quality of life in people who</w:t>
      </w:r>
      <w:r w:rsidR="0006125F">
        <w:rPr>
          <w:lang w:val="en-GB"/>
        </w:rPr>
        <w:t xml:space="preserve">se </w:t>
      </w:r>
      <w:r w:rsidR="00F53B17">
        <w:rPr>
          <w:lang w:val="en-GB"/>
        </w:rPr>
        <w:t>condition</w:t>
      </w:r>
      <w:r>
        <w:rPr>
          <w:lang w:val="en-GB"/>
        </w:rPr>
        <w:t xml:space="preserve"> progress</w:t>
      </w:r>
      <w:r w:rsidR="0006125F">
        <w:rPr>
          <w:lang w:val="en-GB"/>
        </w:rPr>
        <w:t>ed</w:t>
      </w:r>
      <w:r>
        <w:rPr>
          <w:lang w:val="en-GB"/>
        </w:rPr>
        <w:t xml:space="preserve"> after </w:t>
      </w:r>
      <w:r w:rsidR="0006125F">
        <w:rPr>
          <w:lang w:val="en-GB"/>
        </w:rPr>
        <w:t xml:space="preserve">having </w:t>
      </w:r>
      <w:r>
        <w:rPr>
          <w:lang w:val="en-GB"/>
        </w:rPr>
        <w:t xml:space="preserve">pembrolizumab </w:t>
      </w:r>
      <w:r w:rsidR="00910337">
        <w:rPr>
          <w:lang w:val="en-GB"/>
        </w:rPr>
        <w:t>i</w:t>
      </w:r>
      <w:r>
        <w:rPr>
          <w:lang w:val="en-GB"/>
        </w:rPr>
        <w:t xml:space="preserve">s </w:t>
      </w:r>
      <w:r w:rsidR="00E91884">
        <w:rPr>
          <w:lang w:val="en-GB"/>
        </w:rPr>
        <w:t>better</w:t>
      </w:r>
      <w:r>
        <w:rPr>
          <w:lang w:val="en-GB"/>
        </w:rPr>
        <w:t xml:space="preserve"> than for people who</w:t>
      </w:r>
      <w:r w:rsidR="0006125F">
        <w:rPr>
          <w:lang w:val="en-GB"/>
        </w:rPr>
        <w:t xml:space="preserve">se </w:t>
      </w:r>
      <w:r w:rsidR="00F53B17">
        <w:rPr>
          <w:lang w:val="en-GB"/>
        </w:rPr>
        <w:t>condition</w:t>
      </w:r>
      <w:r>
        <w:rPr>
          <w:lang w:val="en-GB"/>
        </w:rPr>
        <w:t xml:space="preserve"> progress</w:t>
      </w:r>
      <w:r w:rsidR="0006125F">
        <w:rPr>
          <w:lang w:val="en-GB"/>
        </w:rPr>
        <w:t>ed</w:t>
      </w:r>
      <w:r>
        <w:rPr>
          <w:lang w:val="en-GB"/>
        </w:rPr>
        <w:t xml:space="preserve"> after </w:t>
      </w:r>
      <w:r w:rsidR="0006125F">
        <w:rPr>
          <w:lang w:val="en-GB"/>
        </w:rPr>
        <w:t xml:space="preserve">having </w:t>
      </w:r>
      <w:r>
        <w:rPr>
          <w:lang w:val="en-GB"/>
        </w:rPr>
        <w:t xml:space="preserve">brentuximab </w:t>
      </w:r>
      <w:proofErr w:type="spellStart"/>
      <w:r>
        <w:rPr>
          <w:lang w:val="en-GB"/>
        </w:rPr>
        <w:t>vedotin</w:t>
      </w:r>
      <w:proofErr w:type="spellEnd"/>
      <w:r>
        <w:rPr>
          <w:lang w:val="en-GB"/>
        </w:rPr>
        <w:t xml:space="preserve">. </w:t>
      </w:r>
      <w:r w:rsidR="00910337">
        <w:rPr>
          <w:lang w:val="en-GB"/>
        </w:rPr>
        <w:t xml:space="preserve">The ERG noted that this was uncertain, </w:t>
      </w:r>
      <w:r w:rsidR="0006125F">
        <w:rPr>
          <w:lang w:val="en-GB"/>
        </w:rPr>
        <w:t>because of</w:t>
      </w:r>
      <w:r w:rsidR="00910337">
        <w:rPr>
          <w:lang w:val="en-GB"/>
        </w:rPr>
        <w:t xml:space="preserve"> small </w:t>
      </w:r>
      <w:r w:rsidR="0006125F">
        <w:rPr>
          <w:lang w:val="en-GB"/>
        </w:rPr>
        <w:t xml:space="preserve">patient </w:t>
      </w:r>
      <w:r w:rsidR="00910337">
        <w:rPr>
          <w:lang w:val="en-GB"/>
        </w:rPr>
        <w:t>numbers and the data being collected over a short follow up of 30</w:t>
      </w:r>
      <w:r w:rsidR="0006125F">
        <w:rPr>
          <w:lang w:val="en-GB"/>
        </w:rPr>
        <w:t> </w:t>
      </w:r>
      <w:r w:rsidR="00910337">
        <w:rPr>
          <w:lang w:val="en-GB"/>
        </w:rPr>
        <w:t xml:space="preserve">days after </w:t>
      </w:r>
      <w:r w:rsidR="0006125F">
        <w:rPr>
          <w:lang w:val="en-GB"/>
        </w:rPr>
        <w:t xml:space="preserve">stopping </w:t>
      </w:r>
      <w:r w:rsidR="00910337">
        <w:rPr>
          <w:lang w:val="en-GB"/>
        </w:rPr>
        <w:t xml:space="preserve">treatment. It highlighted that this </w:t>
      </w:r>
      <w:r w:rsidR="0006125F">
        <w:rPr>
          <w:lang w:val="en-GB"/>
        </w:rPr>
        <w:t>time</w:t>
      </w:r>
      <w:r w:rsidR="00910337">
        <w:rPr>
          <w:lang w:val="en-GB"/>
        </w:rPr>
        <w:t xml:space="preserve"> may not be long enough to capture the true progressed disease state utility values. </w:t>
      </w:r>
      <w:r w:rsidR="00954ED4">
        <w:rPr>
          <w:lang w:val="en-GB"/>
        </w:rPr>
        <w:t>Therefore, the ERG</w:t>
      </w:r>
      <w:r w:rsidR="00B22A7F">
        <w:rPr>
          <w:lang w:val="en-GB"/>
        </w:rPr>
        <w:t>’s</w:t>
      </w:r>
      <w:r w:rsidR="00954ED4">
        <w:rPr>
          <w:lang w:val="en-GB"/>
        </w:rPr>
        <w:t xml:space="preserve"> </w:t>
      </w:r>
      <w:r w:rsidR="008B4AD6">
        <w:rPr>
          <w:lang w:val="en-GB"/>
        </w:rPr>
        <w:t xml:space="preserve">preferred </w:t>
      </w:r>
      <w:r w:rsidR="007B43EB">
        <w:rPr>
          <w:lang w:val="en-GB"/>
        </w:rPr>
        <w:t>assum</w:t>
      </w:r>
      <w:r w:rsidR="008B4AD6">
        <w:rPr>
          <w:lang w:val="en-GB"/>
        </w:rPr>
        <w:t>ptions included</w:t>
      </w:r>
      <w:r w:rsidR="00954ED4">
        <w:rPr>
          <w:lang w:val="en-GB"/>
        </w:rPr>
        <w:t xml:space="preserve"> equal post-progression utilities for both arms, based on the values reported for brentuximab </w:t>
      </w:r>
      <w:proofErr w:type="spellStart"/>
      <w:r w:rsidR="00954ED4">
        <w:rPr>
          <w:lang w:val="en-GB"/>
        </w:rPr>
        <w:t>vedotin</w:t>
      </w:r>
      <w:proofErr w:type="spellEnd"/>
      <w:r w:rsidR="00954ED4">
        <w:rPr>
          <w:lang w:val="en-GB"/>
        </w:rPr>
        <w:t xml:space="preserve"> in the pooled population</w:t>
      </w:r>
      <w:r w:rsidR="007B43EB">
        <w:rPr>
          <w:lang w:val="en-GB"/>
        </w:rPr>
        <w:t xml:space="preserve"> who have </w:t>
      </w:r>
      <w:r w:rsidR="0006125F">
        <w:rPr>
          <w:lang w:val="en-GB"/>
        </w:rPr>
        <w:t xml:space="preserve">had </w:t>
      </w:r>
      <w:r w:rsidR="007B43EB">
        <w:rPr>
          <w:lang w:val="en-GB"/>
        </w:rPr>
        <w:t>at least 2</w:t>
      </w:r>
      <w:r w:rsidR="0006125F">
        <w:rPr>
          <w:lang w:val="en-GB"/>
        </w:rPr>
        <w:t> </w:t>
      </w:r>
      <w:r w:rsidR="007B43EB">
        <w:rPr>
          <w:lang w:val="en-GB"/>
        </w:rPr>
        <w:t>previous treatments</w:t>
      </w:r>
      <w:r w:rsidR="00954ED4">
        <w:rPr>
          <w:lang w:val="en-GB"/>
        </w:rPr>
        <w:t xml:space="preserve"> with and without previous stem cell transplant. </w:t>
      </w:r>
      <w:r w:rsidR="00910337">
        <w:rPr>
          <w:lang w:val="en-GB"/>
        </w:rPr>
        <w:t xml:space="preserve">The clinical experts explained that they </w:t>
      </w:r>
      <w:r w:rsidR="00E91884">
        <w:rPr>
          <w:lang w:val="en-GB"/>
        </w:rPr>
        <w:t>may</w:t>
      </w:r>
      <w:r w:rsidR="00910337">
        <w:rPr>
          <w:lang w:val="en-GB"/>
        </w:rPr>
        <w:t xml:space="preserve"> expect </w:t>
      </w:r>
      <w:r w:rsidR="00E91884">
        <w:rPr>
          <w:lang w:val="en-GB"/>
        </w:rPr>
        <w:t>health-related quality of life to be better in people who</w:t>
      </w:r>
      <w:r w:rsidR="0006125F">
        <w:rPr>
          <w:lang w:val="en-GB"/>
        </w:rPr>
        <w:t xml:space="preserve">se </w:t>
      </w:r>
      <w:r w:rsidR="00F53B17">
        <w:rPr>
          <w:lang w:val="en-GB"/>
        </w:rPr>
        <w:t>condition</w:t>
      </w:r>
      <w:r w:rsidR="00E91884">
        <w:rPr>
          <w:lang w:val="en-GB"/>
        </w:rPr>
        <w:t xml:space="preserve"> progress</w:t>
      </w:r>
      <w:r w:rsidR="0006125F">
        <w:rPr>
          <w:lang w:val="en-GB"/>
        </w:rPr>
        <w:t>ed</w:t>
      </w:r>
      <w:r w:rsidR="00E91884">
        <w:rPr>
          <w:lang w:val="en-GB"/>
        </w:rPr>
        <w:t xml:space="preserve"> after </w:t>
      </w:r>
      <w:r w:rsidR="0006125F">
        <w:rPr>
          <w:lang w:val="en-GB"/>
        </w:rPr>
        <w:t xml:space="preserve">having </w:t>
      </w:r>
      <w:r w:rsidR="00E91884">
        <w:rPr>
          <w:lang w:val="en-GB"/>
        </w:rPr>
        <w:t>pembrolizumab compared with people who</w:t>
      </w:r>
      <w:r w:rsidR="0006125F">
        <w:rPr>
          <w:lang w:val="en-GB"/>
        </w:rPr>
        <w:t xml:space="preserve">se </w:t>
      </w:r>
      <w:r w:rsidR="00F53B17">
        <w:rPr>
          <w:lang w:val="en-GB"/>
        </w:rPr>
        <w:t>condition</w:t>
      </w:r>
      <w:r w:rsidR="00E91884">
        <w:rPr>
          <w:lang w:val="en-GB"/>
        </w:rPr>
        <w:t xml:space="preserve"> progress</w:t>
      </w:r>
      <w:r w:rsidR="0006125F">
        <w:rPr>
          <w:lang w:val="en-GB"/>
        </w:rPr>
        <w:t>ed</w:t>
      </w:r>
      <w:r w:rsidR="00E91884">
        <w:rPr>
          <w:lang w:val="en-GB"/>
        </w:rPr>
        <w:t xml:space="preserve"> after </w:t>
      </w:r>
      <w:r w:rsidR="0006125F">
        <w:rPr>
          <w:lang w:val="en-GB"/>
        </w:rPr>
        <w:t xml:space="preserve">having </w:t>
      </w:r>
      <w:r w:rsidR="00E91884">
        <w:rPr>
          <w:lang w:val="en-GB"/>
        </w:rPr>
        <w:t xml:space="preserve">brentuximab </w:t>
      </w:r>
      <w:proofErr w:type="spellStart"/>
      <w:r w:rsidR="00E91884">
        <w:rPr>
          <w:lang w:val="en-GB"/>
        </w:rPr>
        <w:t>vedotin</w:t>
      </w:r>
      <w:proofErr w:type="spellEnd"/>
      <w:r w:rsidR="00E91884">
        <w:rPr>
          <w:lang w:val="en-GB"/>
        </w:rPr>
        <w:t xml:space="preserve">. This is because </w:t>
      </w:r>
      <w:r w:rsidR="00E91884">
        <w:rPr>
          <w:lang w:val="en-GB"/>
        </w:rPr>
        <w:lastRenderedPageBreak/>
        <w:t xml:space="preserve">brentuximab </w:t>
      </w:r>
      <w:proofErr w:type="spellStart"/>
      <w:r w:rsidR="00E91884">
        <w:rPr>
          <w:lang w:val="en-GB"/>
        </w:rPr>
        <w:t>vedotin</w:t>
      </w:r>
      <w:proofErr w:type="spellEnd"/>
      <w:r w:rsidR="00E91884">
        <w:rPr>
          <w:lang w:val="en-GB"/>
        </w:rPr>
        <w:t xml:space="preserve"> is associated with higher rates of side effects, including neuropathy, which can be debilitating and persist for several months. The committee</w:t>
      </w:r>
      <w:r w:rsidR="00B600AF">
        <w:rPr>
          <w:lang w:val="en-GB"/>
        </w:rPr>
        <w:t xml:space="preserve"> agreed that some side effects of brentuximab </w:t>
      </w:r>
      <w:proofErr w:type="spellStart"/>
      <w:r w:rsidR="00B600AF">
        <w:rPr>
          <w:lang w:val="en-GB"/>
        </w:rPr>
        <w:t>vedotin</w:t>
      </w:r>
      <w:proofErr w:type="spellEnd"/>
      <w:r w:rsidR="00B600AF">
        <w:rPr>
          <w:lang w:val="en-GB"/>
        </w:rPr>
        <w:t xml:space="preserve"> may persist after stopping treatment, but </w:t>
      </w:r>
      <w:r w:rsidR="00E91884">
        <w:rPr>
          <w:lang w:val="en-GB"/>
        </w:rPr>
        <w:t xml:space="preserve">it was difficult to quantify the </w:t>
      </w:r>
      <w:r w:rsidR="000B683A">
        <w:rPr>
          <w:lang w:val="en-GB"/>
        </w:rPr>
        <w:t>expected difference in health-related quality of life between the treatment arms</w:t>
      </w:r>
      <w:r w:rsidR="00B600AF">
        <w:rPr>
          <w:lang w:val="en-GB"/>
        </w:rPr>
        <w:t xml:space="preserve"> over the long</w:t>
      </w:r>
      <w:r w:rsidR="0006125F">
        <w:rPr>
          <w:lang w:val="en-GB"/>
        </w:rPr>
        <w:t xml:space="preserve"> </w:t>
      </w:r>
      <w:r w:rsidR="00B600AF">
        <w:rPr>
          <w:lang w:val="en-GB"/>
        </w:rPr>
        <w:t>term</w:t>
      </w:r>
      <w:r w:rsidR="000B683A">
        <w:rPr>
          <w:lang w:val="en-GB"/>
        </w:rPr>
        <w:t xml:space="preserve"> </w:t>
      </w:r>
      <w:r w:rsidR="0006125F">
        <w:rPr>
          <w:lang w:val="en-GB"/>
        </w:rPr>
        <w:t xml:space="preserve">because of </w:t>
      </w:r>
      <w:r w:rsidR="007B43EB">
        <w:rPr>
          <w:lang w:val="en-GB"/>
        </w:rPr>
        <w:t xml:space="preserve">the </w:t>
      </w:r>
      <w:r w:rsidR="00E91884">
        <w:rPr>
          <w:lang w:val="en-GB"/>
        </w:rPr>
        <w:t>method</w:t>
      </w:r>
      <w:r w:rsidR="000B683A">
        <w:rPr>
          <w:lang w:val="en-GB"/>
        </w:rPr>
        <w:t>s</w:t>
      </w:r>
      <w:r w:rsidR="00E91884">
        <w:rPr>
          <w:lang w:val="en-GB"/>
        </w:rPr>
        <w:t xml:space="preserve"> used to collect </w:t>
      </w:r>
      <w:r w:rsidR="000B683A">
        <w:rPr>
          <w:lang w:val="en-GB"/>
        </w:rPr>
        <w:t>utility</w:t>
      </w:r>
      <w:r w:rsidR="00E91884">
        <w:rPr>
          <w:lang w:val="en-GB"/>
        </w:rPr>
        <w:t xml:space="preserve"> data </w:t>
      </w:r>
      <w:r w:rsidR="000B683A">
        <w:rPr>
          <w:lang w:val="en-GB"/>
        </w:rPr>
        <w:t>in</w:t>
      </w:r>
      <w:r w:rsidR="00E91884">
        <w:rPr>
          <w:lang w:val="en-GB"/>
        </w:rPr>
        <w:t xml:space="preserve"> KEYNOTE-204</w:t>
      </w:r>
      <w:r w:rsidR="000B683A">
        <w:rPr>
          <w:lang w:val="en-GB"/>
        </w:rPr>
        <w:t xml:space="preserve">. </w:t>
      </w:r>
      <w:r w:rsidR="00BE36E2">
        <w:rPr>
          <w:lang w:val="en-GB"/>
        </w:rPr>
        <w:t>It agreed that</w:t>
      </w:r>
      <w:r w:rsidR="00551F03">
        <w:rPr>
          <w:lang w:val="en-GB"/>
        </w:rPr>
        <w:t xml:space="preserve"> </w:t>
      </w:r>
      <w:r w:rsidR="00424DD6">
        <w:rPr>
          <w:lang w:val="en-GB"/>
        </w:rPr>
        <w:t>a better long</w:t>
      </w:r>
      <w:r w:rsidR="00126960">
        <w:rPr>
          <w:lang w:val="en-GB"/>
        </w:rPr>
        <w:t>-</w:t>
      </w:r>
      <w:r w:rsidR="00424DD6">
        <w:rPr>
          <w:lang w:val="en-GB"/>
        </w:rPr>
        <w:t xml:space="preserve">term utility in the </w:t>
      </w:r>
      <w:r w:rsidR="00DA5C60">
        <w:rPr>
          <w:lang w:val="en-GB"/>
        </w:rPr>
        <w:t xml:space="preserve">progressed state for pembrolizumab compared with </w:t>
      </w:r>
      <w:r w:rsidR="00DA5C60" w:rsidRPr="00DA5C60">
        <w:rPr>
          <w:lang w:val="en-GB"/>
        </w:rPr>
        <w:t xml:space="preserve">brentuximab </w:t>
      </w:r>
      <w:proofErr w:type="spellStart"/>
      <w:r w:rsidR="00DA5C60" w:rsidRPr="00DA5C60">
        <w:rPr>
          <w:lang w:val="en-GB"/>
        </w:rPr>
        <w:t>vedotin</w:t>
      </w:r>
      <w:proofErr w:type="spellEnd"/>
      <w:r w:rsidR="007B242D">
        <w:rPr>
          <w:lang w:val="en-GB"/>
        </w:rPr>
        <w:t xml:space="preserve"> was unproven</w:t>
      </w:r>
      <w:r w:rsidR="00E91884">
        <w:rPr>
          <w:lang w:val="en-GB"/>
        </w:rPr>
        <w:t>.</w:t>
      </w:r>
      <w:r w:rsidR="00BE36E2">
        <w:rPr>
          <w:lang w:val="en-GB"/>
        </w:rPr>
        <w:t xml:space="preserve"> </w:t>
      </w:r>
      <w:r w:rsidR="000B683A">
        <w:rPr>
          <w:lang w:val="en-GB"/>
        </w:rPr>
        <w:t>It concluded that</w:t>
      </w:r>
      <w:r w:rsidR="00E91884">
        <w:rPr>
          <w:lang w:val="en-GB"/>
        </w:rPr>
        <w:t xml:space="preserve"> the post-progression </w:t>
      </w:r>
      <w:r w:rsidR="000B683A">
        <w:rPr>
          <w:lang w:val="en-GB"/>
        </w:rPr>
        <w:t xml:space="preserve">health-state </w:t>
      </w:r>
      <w:r w:rsidR="00E91884">
        <w:rPr>
          <w:lang w:val="en-GB"/>
        </w:rPr>
        <w:t xml:space="preserve">utility values </w:t>
      </w:r>
      <w:r w:rsidR="00BE36E2">
        <w:rPr>
          <w:lang w:val="en-GB"/>
        </w:rPr>
        <w:t xml:space="preserve">for pembrolizumab </w:t>
      </w:r>
      <w:r w:rsidR="000B683A">
        <w:rPr>
          <w:lang w:val="en-GB"/>
        </w:rPr>
        <w:t>are</w:t>
      </w:r>
      <w:r w:rsidR="00E91884">
        <w:rPr>
          <w:lang w:val="en-GB"/>
        </w:rPr>
        <w:t xml:space="preserve"> uncertain</w:t>
      </w:r>
      <w:r w:rsidR="00CF30EB">
        <w:rPr>
          <w:lang w:val="en-GB"/>
        </w:rPr>
        <w:t xml:space="preserve"> but that it was unlikely that the </w:t>
      </w:r>
      <w:r w:rsidR="00D67FBF">
        <w:rPr>
          <w:lang w:val="en-GB"/>
        </w:rPr>
        <w:t xml:space="preserve">health-state utility values estimated in KEYNOTE-204 would persist for the whole period of progression. Therefore, the committee preferred the ERG’s assumption of equal </w:t>
      </w:r>
      <w:r w:rsidR="00BE36E2">
        <w:rPr>
          <w:lang w:val="en-GB"/>
        </w:rPr>
        <w:t xml:space="preserve">pembrolizumab and brentuximab </w:t>
      </w:r>
      <w:proofErr w:type="spellStart"/>
      <w:r w:rsidR="00BE36E2">
        <w:rPr>
          <w:lang w:val="en-GB"/>
        </w:rPr>
        <w:t>vedotin</w:t>
      </w:r>
      <w:proofErr w:type="spellEnd"/>
      <w:r w:rsidR="00BE36E2">
        <w:rPr>
          <w:lang w:val="en-GB"/>
        </w:rPr>
        <w:t xml:space="preserve"> post-progression utilities</w:t>
      </w:r>
      <w:r w:rsidR="00D67FBF">
        <w:rPr>
          <w:lang w:val="en-GB"/>
        </w:rPr>
        <w:t>, although it recognised this may be conservative</w:t>
      </w:r>
      <w:r w:rsidR="00BE36E2">
        <w:rPr>
          <w:lang w:val="en-GB"/>
        </w:rPr>
        <w:t>.</w:t>
      </w:r>
      <w:bookmarkStart w:id="11" w:name="_The_appropriate_data"/>
      <w:bookmarkEnd w:id="11"/>
    </w:p>
    <w:p w14:paraId="321C3A7F" w14:textId="0F1FB10D" w:rsidR="00F362F9" w:rsidRDefault="00F362F9" w:rsidP="00566C11">
      <w:pPr>
        <w:pStyle w:val="Heading3"/>
      </w:pPr>
      <w:bookmarkStart w:id="12" w:name="_The_ERG_and"/>
      <w:bookmarkEnd w:id="12"/>
      <w:r w:rsidRPr="00CF30EB">
        <w:t>The</w:t>
      </w:r>
      <w:r>
        <w:t xml:space="preserve"> </w:t>
      </w:r>
      <w:r w:rsidR="002B6ACB">
        <w:t xml:space="preserve">ERG and company used different </w:t>
      </w:r>
      <w:r>
        <w:t>data cut-points for extrapolation of progression-free survival and time on treatment</w:t>
      </w:r>
    </w:p>
    <w:p w14:paraId="5DEFCE58" w14:textId="75EE30EF" w:rsidR="00F362F9" w:rsidRPr="00F362F9" w:rsidRDefault="0062664E" w:rsidP="00CF30EB">
      <w:pPr>
        <w:pStyle w:val="Numberedlevel2text"/>
      </w:pPr>
      <w:r>
        <w:rPr>
          <w:lang w:val="en-GB"/>
        </w:rPr>
        <w:t>T</w:t>
      </w:r>
      <w:r w:rsidR="00F362F9">
        <w:rPr>
          <w:lang w:val="en-GB"/>
        </w:rPr>
        <w:t xml:space="preserve">o </w:t>
      </w:r>
      <w:r w:rsidR="00E416DC">
        <w:rPr>
          <w:lang w:val="en-GB"/>
        </w:rPr>
        <w:t xml:space="preserve">estimate progression-free survival from data in KEYNOTE-204, the company </w:t>
      </w:r>
      <w:r w:rsidR="00F362F9">
        <w:rPr>
          <w:lang w:val="en-GB"/>
        </w:rPr>
        <w:t>extrapolate</w:t>
      </w:r>
      <w:r w:rsidR="00E416DC">
        <w:rPr>
          <w:lang w:val="en-GB"/>
        </w:rPr>
        <w:t>d</w:t>
      </w:r>
      <w:r w:rsidR="00F362F9">
        <w:rPr>
          <w:lang w:val="en-GB"/>
        </w:rPr>
        <w:t xml:space="preserve"> </w:t>
      </w:r>
      <w:r w:rsidR="00E416DC">
        <w:rPr>
          <w:lang w:val="en-GB"/>
        </w:rPr>
        <w:t>Kaplan</w:t>
      </w:r>
      <w:r>
        <w:rPr>
          <w:rFonts w:cs="Arial"/>
          <w:lang w:val="en-GB"/>
        </w:rPr>
        <w:t>–</w:t>
      </w:r>
      <w:r w:rsidR="00E416DC">
        <w:rPr>
          <w:lang w:val="en-GB"/>
        </w:rPr>
        <w:t xml:space="preserve">Meier data from </w:t>
      </w:r>
      <w:r w:rsidR="00F362F9">
        <w:rPr>
          <w:lang w:val="en-GB"/>
        </w:rPr>
        <w:t>a 52-week cut-point</w:t>
      </w:r>
      <w:r w:rsidR="00E416DC">
        <w:rPr>
          <w:lang w:val="en-GB"/>
        </w:rPr>
        <w:t>. The ERG suggested that a 26-week cut</w:t>
      </w:r>
      <w:r w:rsidR="00766F5E">
        <w:rPr>
          <w:lang w:val="en-GB"/>
        </w:rPr>
        <w:t>-</w:t>
      </w:r>
      <w:r w:rsidR="00E416DC">
        <w:rPr>
          <w:lang w:val="en-GB"/>
        </w:rPr>
        <w:t>point was more appropriate, based on the break in the hazards in the data at this point</w:t>
      </w:r>
      <w:r w:rsidR="00D0117C">
        <w:rPr>
          <w:lang w:val="en-GB"/>
        </w:rPr>
        <w:t xml:space="preserve">, and included this cut-point in its </w:t>
      </w:r>
      <w:r w:rsidR="008B4AD6">
        <w:rPr>
          <w:lang w:val="en-GB"/>
        </w:rPr>
        <w:t>exploratory</w:t>
      </w:r>
      <w:r w:rsidR="001F74FE">
        <w:rPr>
          <w:lang w:val="en-GB"/>
        </w:rPr>
        <w:t xml:space="preserve"> analysis</w:t>
      </w:r>
      <w:r w:rsidR="00D0117C">
        <w:rPr>
          <w:lang w:val="en-GB"/>
        </w:rPr>
        <w:t xml:space="preserve">. The company also used a piecewise model to extrapolate time on treatment from KEYNOTE-204 data, using an 80-week cut-point. The ERG noted that time on treatment should be largely similar to progression-free survival, </w:t>
      </w:r>
      <w:r>
        <w:rPr>
          <w:lang w:val="en-GB"/>
        </w:rPr>
        <w:t xml:space="preserve">because </w:t>
      </w:r>
      <w:r w:rsidR="00D0117C">
        <w:rPr>
          <w:lang w:val="en-GB"/>
        </w:rPr>
        <w:t xml:space="preserve">progression often triggers a change in treatment. Therefore, </w:t>
      </w:r>
      <w:r w:rsidR="00CF5831">
        <w:rPr>
          <w:lang w:val="en-GB"/>
        </w:rPr>
        <w:t>it suggested it</w:t>
      </w:r>
      <w:r w:rsidR="00781CE8">
        <w:rPr>
          <w:lang w:val="en-GB"/>
        </w:rPr>
        <w:t xml:space="preserve"> is appropriate to use the same cut-point for time o</w:t>
      </w:r>
      <w:r w:rsidR="00983C70">
        <w:rPr>
          <w:lang w:val="en-GB"/>
        </w:rPr>
        <w:t>n</w:t>
      </w:r>
      <w:r w:rsidR="00781CE8">
        <w:rPr>
          <w:lang w:val="en-GB"/>
        </w:rPr>
        <w:t xml:space="preserve"> treatment and progression-free survival extrapolation and </w:t>
      </w:r>
      <w:r w:rsidR="00D0117C">
        <w:rPr>
          <w:lang w:val="en-GB"/>
        </w:rPr>
        <w:t>included a 26-week cut</w:t>
      </w:r>
      <w:r w:rsidR="00766F5E">
        <w:rPr>
          <w:lang w:val="en-GB"/>
        </w:rPr>
        <w:t>-</w:t>
      </w:r>
      <w:r w:rsidR="00D0117C">
        <w:rPr>
          <w:lang w:val="en-GB"/>
        </w:rPr>
        <w:t xml:space="preserve">point for time on treatment in its </w:t>
      </w:r>
      <w:r w:rsidR="008B4AD6">
        <w:rPr>
          <w:lang w:val="en-GB"/>
        </w:rPr>
        <w:t>exploratory</w:t>
      </w:r>
      <w:r w:rsidR="001F74FE">
        <w:rPr>
          <w:lang w:val="en-GB"/>
        </w:rPr>
        <w:t xml:space="preserve"> analysis</w:t>
      </w:r>
      <w:r w:rsidR="00D0117C">
        <w:rPr>
          <w:lang w:val="en-GB"/>
        </w:rPr>
        <w:t xml:space="preserve">. The committee noted the different assumptions </w:t>
      </w:r>
      <w:r w:rsidR="008B4AD6">
        <w:rPr>
          <w:lang w:val="en-GB"/>
        </w:rPr>
        <w:t>preferred</w:t>
      </w:r>
      <w:r w:rsidR="00D0117C">
        <w:rPr>
          <w:lang w:val="en-GB"/>
        </w:rPr>
        <w:t xml:space="preserve"> by the company and the ERG for extrapolating progression-free survival and time on treatment data and concluded that </w:t>
      </w:r>
      <w:r>
        <w:rPr>
          <w:lang w:val="en-GB"/>
        </w:rPr>
        <w:t>using</w:t>
      </w:r>
      <w:r w:rsidR="00F03BF4">
        <w:rPr>
          <w:lang w:val="en-GB"/>
        </w:rPr>
        <w:t xml:space="preserve"> </w:t>
      </w:r>
      <w:r w:rsidR="002B6ACB">
        <w:rPr>
          <w:lang w:val="en-GB"/>
        </w:rPr>
        <w:t xml:space="preserve">different cut-points </w:t>
      </w:r>
      <w:r>
        <w:rPr>
          <w:lang w:val="en-GB"/>
        </w:rPr>
        <w:t>affected</w:t>
      </w:r>
      <w:r w:rsidR="002B6ACB">
        <w:rPr>
          <w:lang w:val="en-GB"/>
        </w:rPr>
        <w:t xml:space="preserve"> the </w:t>
      </w:r>
      <w:r w:rsidR="007D12B1">
        <w:rPr>
          <w:lang w:val="en-GB"/>
        </w:rPr>
        <w:t>cost</w:t>
      </w:r>
      <w:r w:rsidR="00766F5E">
        <w:rPr>
          <w:lang w:val="en-GB"/>
        </w:rPr>
        <w:t>-</w:t>
      </w:r>
      <w:r w:rsidR="007D12B1">
        <w:rPr>
          <w:lang w:val="en-GB"/>
        </w:rPr>
        <w:t>effectiveness estimates</w:t>
      </w:r>
      <w:r w:rsidR="00CF30EB">
        <w:rPr>
          <w:lang w:val="en-GB"/>
        </w:rPr>
        <w:t>.</w:t>
      </w:r>
    </w:p>
    <w:p w14:paraId="7409375E" w14:textId="2B1EF6B5" w:rsidR="000B683A" w:rsidRDefault="000B683A" w:rsidP="000B683A">
      <w:pPr>
        <w:pStyle w:val="Heading2"/>
      </w:pPr>
      <w:r>
        <w:lastRenderedPageBreak/>
        <w:t>Cost</w:t>
      </w:r>
      <w:r w:rsidR="0006125F">
        <w:t>-</w:t>
      </w:r>
      <w:r>
        <w:t>effectiveness estimate</w:t>
      </w:r>
    </w:p>
    <w:p w14:paraId="191B6B60" w14:textId="4DF82089" w:rsidR="00B82A82" w:rsidRDefault="00954ED4" w:rsidP="00B82A82">
      <w:pPr>
        <w:pStyle w:val="Heading3"/>
      </w:pPr>
      <w:bookmarkStart w:id="13" w:name="_Pembrolizumab_dominates_is"/>
      <w:bookmarkStart w:id="14" w:name="_Pembrolizumab_is_less"/>
      <w:bookmarkStart w:id="15" w:name="_Hlk24556768"/>
      <w:bookmarkEnd w:id="13"/>
      <w:bookmarkEnd w:id="14"/>
      <w:r>
        <w:t xml:space="preserve">Pembrolizumab </w:t>
      </w:r>
      <w:r w:rsidR="0006125F">
        <w:t xml:space="preserve">is less costly and more effective than </w:t>
      </w:r>
      <w:r>
        <w:t xml:space="preserve">brentuximab </w:t>
      </w:r>
      <w:proofErr w:type="spellStart"/>
      <w:r>
        <w:t>vedotin</w:t>
      </w:r>
      <w:proofErr w:type="spellEnd"/>
      <w:r>
        <w:t xml:space="preserve"> in the subgroup of people </w:t>
      </w:r>
      <w:r w:rsidR="007B43EB">
        <w:t xml:space="preserve">who have </w:t>
      </w:r>
      <w:r w:rsidR="0006125F">
        <w:t xml:space="preserve">had </w:t>
      </w:r>
      <w:r w:rsidR="007B43EB">
        <w:t>2</w:t>
      </w:r>
      <w:r w:rsidR="0006125F">
        <w:t> </w:t>
      </w:r>
      <w:r w:rsidR="007B43EB">
        <w:t>previous</w:t>
      </w:r>
      <w:r>
        <w:t xml:space="preserve"> treatment</w:t>
      </w:r>
      <w:r w:rsidR="007B43EB">
        <w:t>s</w:t>
      </w:r>
      <w:r>
        <w:t xml:space="preserve"> with previous stem cell transplant</w:t>
      </w:r>
    </w:p>
    <w:p w14:paraId="0AEC1AD8" w14:textId="5A0BC31C" w:rsidR="00345E3B" w:rsidRPr="00954ED4" w:rsidRDefault="00FD649F" w:rsidP="00B82A82">
      <w:pPr>
        <w:pStyle w:val="Numberedlevel2text"/>
        <w:numPr>
          <w:ilvl w:val="1"/>
          <w:numId w:val="1"/>
        </w:numPr>
      </w:pPr>
      <w:r>
        <w:rPr>
          <w:lang w:val="en-GB"/>
        </w:rPr>
        <w:t xml:space="preserve">The committee agreed that its preferred approach </w:t>
      </w:r>
      <w:r w:rsidR="00137815">
        <w:rPr>
          <w:lang w:val="en-GB"/>
        </w:rPr>
        <w:t>was to</w:t>
      </w:r>
      <w:r w:rsidR="00345E3B">
        <w:rPr>
          <w:lang w:val="en-GB"/>
        </w:rPr>
        <w:t xml:space="preserve"> </w:t>
      </w:r>
      <w:r>
        <w:t xml:space="preserve">consider people who </w:t>
      </w:r>
      <w:r w:rsidR="007B43EB">
        <w:rPr>
          <w:lang w:val="en-GB"/>
        </w:rPr>
        <w:t xml:space="preserve">have </w:t>
      </w:r>
      <w:r w:rsidR="0006125F">
        <w:rPr>
          <w:lang w:val="en-GB"/>
        </w:rPr>
        <w:t xml:space="preserve">had </w:t>
      </w:r>
      <w:r w:rsidR="007B43EB">
        <w:rPr>
          <w:lang w:val="en-GB"/>
        </w:rPr>
        <w:t>2</w:t>
      </w:r>
      <w:r w:rsidR="0006125F">
        <w:rPr>
          <w:lang w:val="en-GB"/>
        </w:rPr>
        <w:t> </w:t>
      </w:r>
      <w:r w:rsidR="007B43EB">
        <w:rPr>
          <w:lang w:val="en-GB"/>
        </w:rPr>
        <w:t>previous treatments</w:t>
      </w:r>
      <w:r>
        <w:t xml:space="preserve"> with and without previous stem cell transplant separately (</w:t>
      </w:r>
      <w:hyperlink w:anchor="_It_is_appropriate" w:history="1">
        <w:r w:rsidR="00B478E8">
          <w:rPr>
            <w:rStyle w:val="Hyperlink"/>
            <w:lang w:val="en-GB"/>
          </w:rPr>
          <w:t>see section 3.9</w:t>
        </w:r>
      </w:hyperlink>
      <w:r>
        <w:t>)</w:t>
      </w:r>
      <w:r w:rsidR="00345E3B">
        <w:rPr>
          <w:lang w:val="en-GB"/>
        </w:rPr>
        <w:t>.</w:t>
      </w:r>
      <w:r w:rsidR="00B600AF">
        <w:rPr>
          <w:lang w:val="en-GB"/>
        </w:rPr>
        <w:t xml:space="preserve"> </w:t>
      </w:r>
      <w:r w:rsidR="009E3121">
        <w:rPr>
          <w:lang w:val="en-GB"/>
        </w:rPr>
        <w:t>The company presented separate analyses for this subgroup in its</w:t>
      </w:r>
      <w:r w:rsidR="00DE60C2">
        <w:rPr>
          <w:lang w:val="en-GB"/>
        </w:rPr>
        <w:t xml:space="preserve"> original</w:t>
      </w:r>
      <w:r w:rsidR="009E3121">
        <w:rPr>
          <w:lang w:val="en-GB"/>
        </w:rPr>
        <w:t xml:space="preserve"> submission</w:t>
      </w:r>
      <w:r w:rsidR="0062664E">
        <w:rPr>
          <w:lang w:val="en-GB"/>
        </w:rPr>
        <w:t>.</w:t>
      </w:r>
      <w:r w:rsidR="009E3121">
        <w:rPr>
          <w:lang w:val="en-GB"/>
        </w:rPr>
        <w:t xml:space="preserve"> </w:t>
      </w:r>
      <w:r w:rsidR="0062664E">
        <w:rPr>
          <w:lang w:val="en-GB"/>
        </w:rPr>
        <w:t>H</w:t>
      </w:r>
      <w:r w:rsidR="009E3121">
        <w:rPr>
          <w:lang w:val="en-GB"/>
        </w:rPr>
        <w:t xml:space="preserve">owever, at technical engagement the company only presented cost-effectiveness estimates for the pooled population of people with or without </w:t>
      </w:r>
      <w:r w:rsidR="00DB3C9E">
        <w:rPr>
          <w:lang w:val="en-GB"/>
        </w:rPr>
        <w:t xml:space="preserve">previous </w:t>
      </w:r>
      <w:r w:rsidR="009E3121">
        <w:rPr>
          <w:lang w:val="en-GB"/>
        </w:rPr>
        <w:t xml:space="preserve">stem cell transplant. </w:t>
      </w:r>
      <w:r w:rsidR="00306DD7">
        <w:rPr>
          <w:lang w:val="en-GB"/>
        </w:rPr>
        <w:t>For people with previous</w:t>
      </w:r>
      <w:r w:rsidR="001C4227">
        <w:rPr>
          <w:lang w:val="en-GB"/>
        </w:rPr>
        <w:t xml:space="preserve"> stem cell transplant,</w:t>
      </w:r>
      <w:r w:rsidR="00345E3B">
        <w:rPr>
          <w:lang w:val="en-GB"/>
        </w:rPr>
        <w:t xml:space="preserve"> the ERG </w:t>
      </w:r>
      <w:r w:rsidR="00B37D6E">
        <w:rPr>
          <w:lang w:val="en-GB"/>
        </w:rPr>
        <w:t>exploratory</w:t>
      </w:r>
      <w:r w:rsidR="00996FE8">
        <w:rPr>
          <w:lang w:val="en-GB"/>
        </w:rPr>
        <w:t xml:space="preserve"> analysis</w:t>
      </w:r>
      <w:r w:rsidR="00345E3B">
        <w:rPr>
          <w:lang w:val="en-GB"/>
        </w:rPr>
        <w:t xml:space="preserve"> </w:t>
      </w:r>
      <w:r w:rsidR="00D05F62">
        <w:rPr>
          <w:lang w:val="en-GB"/>
        </w:rPr>
        <w:t>(</w:t>
      </w:r>
      <w:r w:rsidR="00345E3B">
        <w:rPr>
          <w:lang w:val="en-GB"/>
        </w:rPr>
        <w:t xml:space="preserve">and the analyses provided by the ERG using the </w:t>
      </w:r>
      <w:r w:rsidR="00B600AF">
        <w:rPr>
          <w:lang w:val="en-GB"/>
        </w:rPr>
        <w:t xml:space="preserve">relevant </w:t>
      </w:r>
      <w:r w:rsidR="00345E3B">
        <w:rPr>
          <w:lang w:val="en-GB"/>
        </w:rPr>
        <w:t>company assumptions</w:t>
      </w:r>
      <w:r w:rsidR="00B600AF">
        <w:rPr>
          <w:lang w:val="en-GB"/>
        </w:rPr>
        <w:t xml:space="preserve"> from the </w:t>
      </w:r>
      <w:r w:rsidR="00E03149">
        <w:rPr>
          <w:lang w:val="en-GB"/>
        </w:rPr>
        <w:t>original submission where these differed to the ERG’s</w:t>
      </w:r>
      <w:r w:rsidR="001C4227">
        <w:rPr>
          <w:lang w:val="en-GB"/>
        </w:rPr>
        <w:t xml:space="preserve">) </w:t>
      </w:r>
      <w:r w:rsidR="00306DD7">
        <w:rPr>
          <w:lang w:val="en-GB"/>
        </w:rPr>
        <w:t xml:space="preserve">indicated that </w:t>
      </w:r>
      <w:r w:rsidR="00345E3B">
        <w:rPr>
          <w:lang w:val="en-GB"/>
        </w:rPr>
        <w:t xml:space="preserve">pembrolizumab dominated brentuximab </w:t>
      </w:r>
      <w:proofErr w:type="spellStart"/>
      <w:r w:rsidR="00345E3B">
        <w:rPr>
          <w:lang w:val="en-GB"/>
        </w:rPr>
        <w:t>vedotin</w:t>
      </w:r>
      <w:proofErr w:type="spellEnd"/>
      <w:r w:rsidR="000B2676">
        <w:rPr>
          <w:lang w:val="en-GB"/>
        </w:rPr>
        <w:t xml:space="preserve">, that is </w:t>
      </w:r>
      <w:r w:rsidR="00345E3B">
        <w:rPr>
          <w:lang w:val="en-GB"/>
        </w:rPr>
        <w:t xml:space="preserve">pembrolizumab was cost saving and was associated with a </w:t>
      </w:r>
      <w:r w:rsidR="000B2676">
        <w:rPr>
          <w:lang w:val="en-GB"/>
        </w:rPr>
        <w:t xml:space="preserve">greater </w:t>
      </w:r>
      <w:r w:rsidR="0006125F">
        <w:rPr>
          <w:lang w:val="en-GB"/>
        </w:rPr>
        <w:t>quality-adjusted life year</w:t>
      </w:r>
      <w:r w:rsidR="00345E3B">
        <w:rPr>
          <w:lang w:val="en-GB"/>
        </w:rPr>
        <w:t xml:space="preserve"> gain </w:t>
      </w:r>
      <w:r w:rsidR="000B2676">
        <w:rPr>
          <w:lang w:val="en-GB"/>
        </w:rPr>
        <w:t>than</w:t>
      </w:r>
      <w:r w:rsidR="00345E3B">
        <w:rPr>
          <w:lang w:val="en-GB"/>
        </w:rPr>
        <w:t xml:space="preserve"> brentuximab </w:t>
      </w:r>
      <w:proofErr w:type="spellStart"/>
      <w:r w:rsidR="00345E3B">
        <w:rPr>
          <w:lang w:val="en-GB"/>
        </w:rPr>
        <w:t>vedotin</w:t>
      </w:r>
      <w:proofErr w:type="spellEnd"/>
      <w:r w:rsidR="00345E3B">
        <w:rPr>
          <w:lang w:val="en-GB"/>
        </w:rPr>
        <w:t xml:space="preserve">. Pembrolizumab dominated </w:t>
      </w:r>
      <w:r w:rsidR="00BF25C2">
        <w:rPr>
          <w:lang w:val="en-GB"/>
        </w:rPr>
        <w:t xml:space="preserve">brentuximab </w:t>
      </w:r>
      <w:proofErr w:type="spellStart"/>
      <w:r w:rsidR="00BF25C2">
        <w:rPr>
          <w:lang w:val="en-GB"/>
        </w:rPr>
        <w:t>vedotin</w:t>
      </w:r>
      <w:proofErr w:type="spellEnd"/>
      <w:r w:rsidR="00BF25C2">
        <w:rPr>
          <w:lang w:val="en-GB"/>
        </w:rPr>
        <w:t xml:space="preserve"> in all scenario analyses presented by the ERG for this subgroup.</w:t>
      </w:r>
    </w:p>
    <w:p w14:paraId="43C0D99B" w14:textId="60F71E21" w:rsidR="00384931" w:rsidRPr="00384931" w:rsidRDefault="00384931" w:rsidP="00384931">
      <w:pPr>
        <w:pStyle w:val="Heading3"/>
      </w:pPr>
      <w:r>
        <w:t xml:space="preserve">The </w:t>
      </w:r>
      <w:r w:rsidR="004438E2">
        <w:t>cost effectiveness</w:t>
      </w:r>
      <w:r w:rsidR="007B663D">
        <w:t xml:space="preserve"> for </w:t>
      </w:r>
      <w:r>
        <w:t xml:space="preserve">the subgroup of people who have </w:t>
      </w:r>
      <w:r w:rsidR="0006125F">
        <w:t xml:space="preserve">had </w:t>
      </w:r>
      <w:r>
        <w:t>2</w:t>
      </w:r>
      <w:r w:rsidR="0006125F">
        <w:t> </w:t>
      </w:r>
      <w:r>
        <w:t xml:space="preserve">previous treatments without stem cell transplant </w:t>
      </w:r>
      <w:r w:rsidR="00E72866">
        <w:t xml:space="preserve">is </w:t>
      </w:r>
      <w:r>
        <w:t>highly uncertain</w:t>
      </w:r>
    </w:p>
    <w:p w14:paraId="65FFEDF0" w14:textId="08233CE5" w:rsidR="00954ED4" w:rsidRPr="00954ED4" w:rsidRDefault="00B22A7F" w:rsidP="00B82A82">
      <w:pPr>
        <w:pStyle w:val="Numberedlevel2text"/>
        <w:numPr>
          <w:ilvl w:val="1"/>
          <w:numId w:val="1"/>
        </w:numPr>
      </w:pPr>
      <w:r>
        <w:rPr>
          <w:lang w:val="en-GB"/>
        </w:rPr>
        <w:t>The company presented separate cost</w:t>
      </w:r>
      <w:r w:rsidR="0062664E">
        <w:rPr>
          <w:lang w:val="en-GB"/>
        </w:rPr>
        <w:t>-</w:t>
      </w:r>
      <w:r>
        <w:rPr>
          <w:lang w:val="en-GB"/>
        </w:rPr>
        <w:t>effectiveness analyses for the subgroup of people who have had 2</w:t>
      </w:r>
      <w:r w:rsidR="0062664E">
        <w:rPr>
          <w:lang w:val="en-GB"/>
        </w:rPr>
        <w:t> </w:t>
      </w:r>
      <w:r>
        <w:rPr>
          <w:lang w:val="en-GB"/>
        </w:rPr>
        <w:t>previous treatments without previous stem cell transplant in its</w:t>
      </w:r>
      <w:r w:rsidR="00B37D6E">
        <w:rPr>
          <w:lang w:val="en-GB"/>
        </w:rPr>
        <w:t xml:space="preserve"> original</w:t>
      </w:r>
      <w:r>
        <w:rPr>
          <w:lang w:val="en-GB"/>
        </w:rPr>
        <w:t xml:space="preserve"> submission. However, it </w:t>
      </w:r>
      <w:r w:rsidR="00B600AF">
        <w:rPr>
          <w:lang w:val="en-GB"/>
        </w:rPr>
        <w:t>did not provide</w:t>
      </w:r>
      <w:r>
        <w:rPr>
          <w:lang w:val="en-GB"/>
        </w:rPr>
        <w:t xml:space="preserve"> th</w:t>
      </w:r>
      <w:r w:rsidR="004317A0">
        <w:rPr>
          <w:lang w:val="en-GB"/>
        </w:rPr>
        <w:t>ese</w:t>
      </w:r>
      <w:r>
        <w:rPr>
          <w:lang w:val="en-GB"/>
        </w:rPr>
        <w:t xml:space="preserve"> subgroup analyses at technical engagement</w:t>
      </w:r>
      <w:r w:rsidR="00B600AF">
        <w:rPr>
          <w:lang w:val="en-GB"/>
        </w:rPr>
        <w:t>.</w:t>
      </w:r>
      <w:r w:rsidR="0091162A">
        <w:rPr>
          <w:lang w:val="en-GB"/>
        </w:rPr>
        <w:t xml:space="preserve"> The committee considered results for this subgroup in which the ERG had implemented the company assumptions from the company’s original</w:t>
      </w:r>
      <w:r w:rsidR="007F64EB">
        <w:rPr>
          <w:lang w:val="en-GB"/>
        </w:rPr>
        <w:t xml:space="preserve"> submission</w:t>
      </w:r>
      <w:r w:rsidR="0091162A">
        <w:rPr>
          <w:lang w:val="en-GB"/>
        </w:rPr>
        <w:t>, updated with changes the company had made to the model during technical engagement for the pooled population of people who have had 2 previous treatments either with or without previous stem cell transplant.</w:t>
      </w:r>
      <w:r w:rsidR="00B600AF">
        <w:rPr>
          <w:lang w:val="en-GB"/>
        </w:rPr>
        <w:t xml:space="preserve"> </w:t>
      </w:r>
      <w:r w:rsidR="00413A9E">
        <w:rPr>
          <w:lang w:val="en-GB"/>
        </w:rPr>
        <w:t xml:space="preserve"> The </w:t>
      </w:r>
      <w:r w:rsidR="0063173E">
        <w:rPr>
          <w:lang w:val="en-GB"/>
        </w:rPr>
        <w:t>assumptions for this subgroup were</w:t>
      </w:r>
      <w:r w:rsidR="004F45FB">
        <w:rPr>
          <w:lang w:val="en-GB"/>
        </w:rPr>
        <w:t>:</w:t>
      </w:r>
    </w:p>
    <w:p w14:paraId="63287C1A" w14:textId="086BB5EC" w:rsidR="00A343C9" w:rsidRDefault="0063173E" w:rsidP="00A343C9">
      <w:pPr>
        <w:pStyle w:val="Bulletindent1"/>
      </w:pPr>
      <w:r>
        <w:lastRenderedPageBreak/>
        <w:t xml:space="preserve">Both the company and ERG assumed </w:t>
      </w:r>
      <w:proofErr w:type="spellStart"/>
      <w:r w:rsidR="00A343C9">
        <w:t>bendamustine</w:t>
      </w:r>
      <w:proofErr w:type="spellEnd"/>
      <w:r w:rsidR="00A343C9">
        <w:t xml:space="preserve"> </w:t>
      </w:r>
      <w:r>
        <w:t>would be the next</w:t>
      </w:r>
      <w:r w:rsidR="00A343C9">
        <w:t xml:space="preserve"> treatment </w:t>
      </w:r>
      <w:r w:rsidR="0006125F">
        <w:t xml:space="preserve">after </w:t>
      </w:r>
      <w:r w:rsidR="00A343C9">
        <w:t xml:space="preserve">brentuximab </w:t>
      </w:r>
      <w:proofErr w:type="spellStart"/>
      <w:r w:rsidR="00A343C9">
        <w:t>vedotin</w:t>
      </w:r>
      <w:proofErr w:type="spellEnd"/>
      <w:r w:rsidR="004317A0">
        <w:t>.</w:t>
      </w:r>
      <w:r w:rsidR="00494441">
        <w:t xml:space="preserve"> </w:t>
      </w:r>
    </w:p>
    <w:p w14:paraId="32C9A6AE" w14:textId="0A5D4FE5" w:rsidR="00954ED4" w:rsidRDefault="0063173E" w:rsidP="00954ED4">
      <w:pPr>
        <w:pStyle w:val="Bulletindent1"/>
      </w:pPr>
      <w:r>
        <w:t>The company preferred data from Gopal et al. 2015 to estimate overall survival</w:t>
      </w:r>
      <w:r w:rsidR="004317A0">
        <w:t>;</w:t>
      </w:r>
      <w:r>
        <w:t xml:space="preserve"> the ERG preferred </w:t>
      </w:r>
      <w:r w:rsidR="00413A9E">
        <w:t xml:space="preserve">data from </w:t>
      </w:r>
      <w:proofErr w:type="spellStart"/>
      <w:r w:rsidR="00413A9E">
        <w:t>Balzarotti</w:t>
      </w:r>
      <w:proofErr w:type="spellEnd"/>
      <w:r w:rsidR="00413A9E">
        <w:t xml:space="preserve"> et al. 2016 </w:t>
      </w:r>
      <w:r w:rsidR="001A7F71">
        <w:t>(</w:t>
      </w:r>
      <w:hyperlink w:anchor="_Estimates_of_overall" w:history="1">
        <w:r w:rsidR="00B478E8">
          <w:rPr>
            <w:rStyle w:val="Hyperlink"/>
          </w:rPr>
          <w:t>see section 3.11</w:t>
        </w:r>
      </w:hyperlink>
      <w:r w:rsidR="001A7F71">
        <w:t>)</w:t>
      </w:r>
      <w:r w:rsidR="004317A0">
        <w:t>.</w:t>
      </w:r>
    </w:p>
    <w:p w14:paraId="2F07F50F" w14:textId="6C0D1C70" w:rsidR="00954ED4" w:rsidRDefault="0063173E" w:rsidP="00954ED4">
      <w:pPr>
        <w:pStyle w:val="Bulletindent1"/>
      </w:pPr>
      <w:r>
        <w:t>The company used post-progression utility data from KEYNOTE-204 for both arms</w:t>
      </w:r>
      <w:r w:rsidR="004317A0">
        <w:t>;</w:t>
      </w:r>
      <w:r>
        <w:t xml:space="preserve"> the ERG used </w:t>
      </w:r>
      <w:r w:rsidR="00954ED4">
        <w:t>the same post-progression utilities in both treatment arms</w:t>
      </w:r>
      <w:r w:rsidR="004317A0">
        <w:t xml:space="preserve"> </w:t>
      </w:r>
      <w:r w:rsidR="00954ED4">
        <w:t>(</w:t>
      </w:r>
      <w:hyperlink w:anchor="_Post-progression_health_state" w:history="1">
        <w:r w:rsidR="00B478E8">
          <w:rPr>
            <w:rStyle w:val="Hyperlink"/>
          </w:rPr>
          <w:t>see section 3.12</w:t>
        </w:r>
      </w:hyperlink>
      <w:r w:rsidR="00954ED4">
        <w:t>)</w:t>
      </w:r>
    </w:p>
    <w:p w14:paraId="49934B59" w14:textId="48938168" w:rsidR="00566C11" w:rsidRDefault="0063173E" w:rsidP="00566C11">
      <w:pPr>
        <w:pStyle w:val="Bulletindent1"/>
      </w:pPr>
      <w:r>
        <w:t>T</w:t>
      </w:r>
      <w:r w:rsidR="00566C11">
        <w:t>he company used a 52-week cut-point</w:t>
      </w:r>
      <w:r>
        <w:t xml:space="preserve"> for extrapolating data on progression free survival</w:t>
      </w:r>
      <w:r w:rsidR="004317A0">
        <w:t>;</w:t>
      </w:r>
      <w:r>
        <w:t xml:space="preserve"> the ERG used a 26</w:t>
      </w:r>
      <w:r w:rsidR="00942FA7">
        <w:t>-</w:t>
      </w:r>
      <w:r>
        <w:t>week cut point</w:t>
      </w:r>
      <w:r w:rsidR="00B478E8">
        <w:t xml:space="preserve"> (</w:t>
      </w:r>
      <w:hyperlink w:anchor="_The_ERG_and" w:history="1">
        <w:r w:rsidR="00B478E8" w:rsidRPr="00B478E8">
          <w:rPr>
            <w:rStyle w:val="Hyperlink"/>
          </w:rPr>
          <w:t>see section 3.13</w:t>
        </w:r>
      </w:hyperlink>
      <w:r w:rsidR="00B478E8">
        <w:t>)</w:t>
      </w:r>
      <w:r w:rsidR="004317A0">
        <w:t>.</w:t>
      </w:r>
    </w:p>
    <w:p w14:paraId="49B11353" w14:textId="30461542" w:rsidR="00BF525D" w:rsidRDefault="0063173E" w:rsidP="00954ED4">
      <w:pPr>
        <w:pStyle w:val="Bulletindent1"/>
      </w:pPr>
      <w:r>
        <w:t>T</w:t>
      </w:r>
      <w:r w:rsidR="001A7F71">
        <w:t>he company used an 80-week cut-point</w:t>
      </w:r>
      <w:r>
        <w:t xml:space="preserve"> for extrapolating time on treatment</w:t>
      </w:r>
      <w:r w:rsidR="004317A0">
        <w:t>;</w:t>
      </w:r>
      <w:r>
        <w:t xml:space="preserve"> the ERG used a 26</w:t>
      </w:r>
      <w:r w:rsidR="00942FA7">
        <w:t>-</w:t>
      </w:r>
      <w:r>
        <w:t>week cut point</w:t>
      </w:r>
      <w:r w:rsidR="00B478E8">
        <w:t xml:space="preserve"> (</w:t>
      </w:r>
      <w:hyperlink w:anchor="_The_ERG_and" w:history="1">
        <w:r w:rsidR="00B478E8" w:rsidRPr="00B478E8">
          <w:rPr>
            <w:rStyle w:val="Hyperlink"/>
          </w:rPr>
          <w:t>see section 3.13</w:t>
        </w:r>
      </w:hyperlink>
      <w:r w:rsidR="00B478E8">
        <w:t>)</w:t>
      </w:r>
      <w:r w:rsidR="004317A0">
        <w:t>.</w:t>
      </w:r>
    </w:p>
    <w:p w14:paraId="7AA01256" w14:textId="1E8EF16F" w:rsidR="008829C6" w:rsidRDefault="00942FA7" w:rsidP="008829C6">
      <w:pPr>
        <w:pStyle w:val="Bulletindent1last"/>
      </w:pPr>
      <w:r>
        <w:t>T</w:t>
      </w:r>
      <w:r w:rsidR="00317A47">
        <w:t>he company assum</w:t>
      </w:r>
      <w:r w:rsidR="0063173E">
        <w:t>ed</w:t>
      </w:r>
      <w:r w:rsidR="00317A47">
        <w:t xml:space="preserve"> 98% dose intensity</w:t>
      </w:r>
      <w:r w:rsidR="0063173E">
        <w:t xml:space="preserve"> in both treatment arms</w:t>
      </w:r>
      <w:r w:rsidR="004317A0">
        <w:t>;</w:t>
      </w:r>
      <w:r w:rsidR="0063173E">
        <w:t xml:space="preserve"> the ERG assumed 100% dose intensity</w:t>
      </w:r>
      <w:r w:rsidR="00954ED4">
        <w:t>.</w:t>
      </w:r>
    </w:p>
    <w:p w14:paraId="715F017C" w14:textId="502E35D3" w:rsidR="002D4F97" w:rsidRDefault="002D4F97" w:rsidP="008829C6">
      <w:pPr>
        <w:pStyle w:val="Numberedlevel2text"/>
        <w:numPr>
          <w:ilvl w:val="0"/>
          <w:numId w:val="0"/>
        </w:numPr>
        <w:ind w:left="1134"/>
        <w:rPr>
          <w:lang w:val="en-GB"/>
        </w:rPr>
      </w:pPr>
      <w:r>
        <w:rPr>
          <w:lang w:val="en-GB"/>
        </w:rPr>
        <w:t xml:space="preserve">The committee </w:t>
      </w:r>
      <w:r w:rsidR="001075EB">
        <w:rPr>
          <w:lang w:val="en-GB"/>
        </w:rPr>
        <w:t xml:space="preserve">concluded </w:t>
      </w:r>
      <w:r>
        <w:rPr>
          <w:lang w:val="en-GB"/>
        </w:rPr>
        <w:t xml:space="preserve">that the assumption of </w:t>
      </w:r>
      <w:proofErr w:type="spellStart"/>
      <w:r>
        <w:rPr>
          <w:lang w:val="en-GB"/>
        </w:rPr>
        <w:t>bendamustine</w:t>
      </w:r>
      <w:proofErr w:type="spellEnd"/>
      <w:r>
        <w:rPr>
          <w:lang w:val="en-GB"/>
        </w:rPr>
        <w:t xml:space="preserve"> as a subsequent treatment </w:t>
      </w:r>
      <w:r w:rsidR="008F2896">
        <w:rPr>
          <w:lang w:val="en-GB"/>
        </w:rPr>
        <w:t xml:space="preserve">after </w:t>
      </w:r>
      <w:r>
        <w:rPr>
          <w:lang w:val="en-GB"/>
        </w:rPr>
        <w:t xml:space="preserve">brentuximab </w:t>
      </w:r>
      <w:proofErr w:type="spellStart"/>
      <w:r>
        <w:rPr>
          <w:lang w:val="en-GB"/>
        </w:rPr>
        <w:t>vedotin</w:t>
      </w:r>
      <w:proofErr w:type="spellEnd"/>
      <w:r>
        <w:rPr>
          <w:lang w:val="en-GB"/>
        </w:rPr>
        <w:t xml:space="preserve"> was not appropriate, and multi-agent chemotherapy was more appropriate (</w:t>
      </w:r>
      <w:hyperlink w:anchor="_For_people_who" w:history="1">
        <w:r w:rsidR="00B478E8">
          <w:rPr>
            <w:rStyle w:val="Hyperlink"/>
            <w:lang w:val="en-GB"/>
          </w:rPr>
          <w:t>see section 3.10</w:t>
        </w:r>
      </w:hyperlink>
      <w:r>
        <w:rPr>
          <w:lang w:val="en-GB"/>
        </w:rPr>
        <w:t>).</w:t>
      </w:r>
      <w:r w:rsidR="00317A47">
        <w:rPr>
          <w:lang w:val="en-GB"/>
        </w:rPr>
        <w:t xml:space="preserve"> </w:t>
      </w:r>
      <w:r w:rsidR="00C226D5">
        <w:rPr>
          <w:lang w:val="en-GB"/>
        </w:rPr>
        <w:t xml:space="preserve">However, it agreed that assuming multi-agent chemotherapy instead of </w:t>
      </w:r>
      <w:proofErr w:type="spellStart"/>
      <w:r w:rsidR="00C226D5">
        <w:rPr>
          <w:lang w:val="en-GB"/>
        </w:rPr>
        <w:t>bendamustine</w:t>
      </w:r>
      <w:proofErr w:type="spellEnd"/>
      <w:r w:rsidR="00C226D5">
        <w:rPr>
          <w:lang w:val="en-GB"/>
        </w:rPr>
        <w:t xml:space="preserve"> was unlikely to have a significant </w:t>
      </w:r>
      <w:r w:rsidR="00075964">
        <w:rPr>
          <w:lang w:val="en-GB"/>
        </w:rPr>
        <w:t>effect on</w:t>
      </w:r>
      <w:r w:rsidR="00C226D5">
        <w:rPr>
          <w:lang w:val="en-GB"/>
        </w:rPr>
        <w:t xml:space="preserve"> the</w:t>
      </w:r>
      <w:r w:rsidR="00324AC3">
        <w:rPr>
          <w:lang w:val="en-GB"/>
        </w:rPr>
        <w:t xml:space="preserve"> </w:t>
      </w:r>
      <w:r w:rsidR="004317A0">
        <w:rPr>
          <w:lang w:val="en-GB"/>
        </w:rPr>
        <w:t>cost-effectiveness estimates</w:t>
      </w:r>
      <w:r w:rsidR="00C226D5">
        <w:rPr>
          <w:lang w:val="en-GB"/>
        </w:rPr>
        <w:t>.</w:t>
      </w:r>
      <w:r>
        <w:rPr>
          <w:lang w:val="en-GB"/>
        </w:rPr>
        <w:t xml:space="preserve"> It also agreed that the assumptions on overall survival </w:t>
      </w:r>
      <w:r w:rsidR="002F3D6F">
        <w:rPr>
          <w:lang w:val="en-GB"/>
        </w:rPr>
        <w:t xml:space="preserve">were </w:t>
      </w:r>
      <w:r w:rsidR="005F5A1F">
        <w:rPr>
          <w:lang w:val="en-GB"/>
        </w:rPr>
        <w:t xml:space="preserve">highly </w:t>
      </w:r>
      <w:r w:rsidR="002F3D6F">
        <w:rPr>
          <w:lang w:val="en-GB"/>
        </w:rPr>
        <w:t>uncertain</w:t>
      </w:r>
      <w:r w:rsidR="00CB02F1">
        <w:rPr>
          <w:lang w:val="en-GB"/>
        </w:rPr>
        <w:t xml:space="preserve"> </w:t>
      </w:r>
      <w:r>
        <w:rPr>
          <w:lang w:val="en-GB"/>
        </w:rPr>
        <w:t>(</w:t>
      </w:r>
      <w:hyperlink w:anchor="_Estimates_of_overall" w:history="1">
        <w:r w:rsidR="00B478E8">
          <w:rPr>
            <w:rStyle w:val="Hyperlink"/>
            <w:lang w:val="en-GB"/>
          </w:rPr>
          <w:t>see section 3.11</w:t>
        </w:r>
      </w:hyperlink>
      <w:r>
        <w:rPr>
          <w:lang w:val="en-GB"/>
        </w:rPr>
        <w:t>)</w:t>
      </w:r>
      <w:r w:rsidR="00CF30EB">
        <w:rPr>
          <w:lang w:val="en-GB"/>
        </w:rPr>
        <w:t xml:space="preserve">, </w:t>
      </w:r>
      <w:r w:rsidR="005F5A1F">
        <w:rPr>
          <w:lang w:val="en-GB"/>
        </w:rPr>
        <w:t>that</w:t>
      </w:r>
      <w:r>
        <w:rPr>
          <w:lang w:val="en-GB"/>
        </w:rPr>
        <w:t xml:space="preserve"> post-progression utility estimates </w:t>
      </w:r>
      <w:r w:rsidR="00CB02F1" w:rsidRPr="00CB02F1">
        <w:rPr>
          <w:lang w:val="en-GB"/>
        </w:rPr>
        <w:t xml:space="preserve">were uncertain </w:t>
      </w:r>
      <w:r>
        <w:rPr>
          <w:lang w:val="en-GB"/>
        </w:rPr>
        <w:t>(</w:t>
      </w:r>
      <w:hyperlink w:anchor="_Post-progression_health_state" w:history="1">
        <w:r w:rsidR="00B478E8">
          <w:rPr>
            <w:rStyle w:val="Hyperlink"/>
            <w:lang w:val="en-GB"/>
          </w:rPr>
          <w:t>see section 3.12</w:t>
        </w:r>
      </w:hyperlink>
      <w:r>
        <w:rPr>
          <w:lang w:val="en-GB"/>
        </w:rPr>
        <w:t>)</w:t>
      </w:r>
      <w:r w:rsidR="00CF30EB">
        <w:rPr>
          <w:lang w:val="en-GB"/>
        </w:rPr>
        <w:t xml:space="preserve"> and that </w:t>
      </w:r>
      <w:r w:rsidR="00566C11">
        <w:rPr>
          <w:lang w:val="en-GB"/>
        </w:rPr>
        <w:t>there were different options for</w:t>
      </w:r>
      <w:r w:rsidR="00CF30EB">
        <w:rPr>
          <w:lang w:val="en-GB"/>
        </w:rPr>
        <w:t xml:space="preserve"> cut-points </w:t>
      </w:r>
      <w:r w:rsidR="00566C11">
        <w:rPr>
          <w:lang w:val="en-GB"/>
        </w:rPr>
        <w:t xml:space="preserve">to </w:t>
      </w:r>
      <w:r w:rsidR="00CF30EB">
        <w:rPr>
          <w:lang w:val="en-GB"/>
        </w:rPr>
        <w:t>extrapolat</w:t>
      </w:r>
      <w:r w:rsidR="00566C11">
        <w:rPr>
          <w:lang w:val="en-GB"/>
        </w:rPr>
        <w:t>e</w:t>
      </w:r>
      <w:r w:rsidR="00CF30EB">
        <w:rPr>
          <w:lang w:val="en-GB"/>
        </w:rPr>
        <w:t xml:space="preserve"> data on progression-free survival</w:t>
      </w:r>
      <w:r w:rsidR="00566C11">
        <w:rPr>
          <w:lang w:val="en-GB"/>
        </w:rPr>
        <w:t xml:space="preserve"> and</w:t>
      </w:r>
      <w:r w:rsidR="00CF30EB">
        <w:rPr>
          <w:lang w:val="en-GB"/>
        </w:rPr>
        <w:t xml:space="preserve"> </w:t>
      </w:r>
      <w:r w:rsidR="00566C11">
        <w:rPr>
          <w:lang w:val="en-GB"/>
        </w:rPr>
        <w:t xml:space="preserve">time on treatment </w:t>
      </w:r>
      <w:r w:rsidR="00CF30EB">
        <w:rPr>
          <w:lang w:val="en-GB"/>
        </w:rPr>
        <w:t>(</w:t>
      </w:r>
      <w:hyperlink w:anchor="_The_ERG_and" w:history="1">
        <w:r w:rsidR="00B478E8">
          <w:rPr>
            <w:rStyle w:val="Hyperlink"/>
            <w:lang w:val="en-GB"/>
          </w:rPr>
          <w:t>see section 3.13</w:t>
        </w:r>
      </w:hyperlink>
      <w:r w:rsidR="00CF30EB">
        <w:rPr>
          <w:lang w:val="en-GB"/>
        </w:rPr>
        <w:t>)</w:t>
      </w:r>
      <w:r w:rsidR="005F5A1F">
        <w:rPr>
          <w:lang w:val="en-GB"/>
        </w:rPr>
        <w:t xml:space="preserve">. The committee agreed that it was </w:t>
      </w:r>
      <w:r w:rsidR="00781121">
        <w:rPr>
          <w:lang w:val="en-GB"/>
        </w:rPr>
        <w:t>not possible to be confident that either</w:t>
      </w:r>
      <w:r w:rsidR="005F5A1F">
        <w:rPr>
          <w:lang w:val="en-GB"/>
        </w:rPr>
        <w:t xml:space="preserve"> the ERG’s</w:t>
      </w:r>
      <w:r w:rsidR="00BF525D">
        <w:rPr>
          <w:lang w:val="en-GB"/>
        </w:rPr>
        <w:t xml:space="preserve"> </w:t>
      </w:r>
      <w:r w:rsidR="005F5A1F">
        <w:rPr>
          <w:lang w:val="en-GB"/>
        </w:rPr>
        <w:t xml:space="preserve">or the </w:t>
      </w:r>
      <w:r w:rsidR="00BF525D">
        <w:rPr>
          <w:lang w:val="en-GB"/>
        </w:rPr>
        <w:t>company</w:t>
      </w:r>
      <w:r w:rsidR="00996FE8">
        <w:rPr>
          <w:lang w:val="en-GB"/>
        </w:rPr>
        <w:t>’s</w:t>
      </w:r>
      <w:r w:rsidR="005F5A1F">
        <w:rPr>
          <w:lang w:val="en-GB"/>
        </w:rPr>
        <w:t xml:space="preserve"> assumptions </w:t>
      </w:r>
      <w:r w:rsidR="00BF525D">
        <w:rPr>
          <w:lang w:val="en-GB"/>
        </w:rPr>
        <w:t>in this subgroup</w:t>
      </w:r>
      <w:r w:rsidR="00781121">
        <w:rPr>
          <w:lang w:val="en-GB"/>
        </w:rPr>
        <w:t xml:space="preserve"> </w:t>
      </w:r>
      <w:r w:rsidR="005F5A1F">
        <w:rPr>
          <w:lang w:val="en-GB"/>
        </w:rPr>
        <w:t xml:space="preserve">were </w:t>
      </w:r>
      <w:r w:rsidR="00781121">
        <w:rPr>
          <w:lang w:val="en-GB"/>
        </w:rPr>
        <w:t>accurate.</w:t>
      </w:r>
      <w:r w:rsidR="00384931">
        <w:rPr>
          <w:lang w:val="en-GB"/>
        </w:rPr>
        <w:t xml:space="preserve"> It concluded the </w:t>
      </w:r>
      <w:r w:rsidR="00CB02F1">
        <w:rPr>
          <w:lang w:val="en-GB"/>
        </w:rPr>
        <w:t>cost ef</w:t>
      </w:r>
      <w:r w:rsidR="0072005E">
        <w:rPr>
          <w:lang w:val="en-GB"/>
        </w:rPr>
        <w:t>fectiveness of pembrolizumab</w:t>
      </w:r>
      <w:r w:rsidR="00384931">
        <w:rPr>
          <w:lang w:val="en-GB"/>
        </w:rPr>
        <w:t xml:space="preserve"> </w:t>
      </w:r>
      <w:r w:rsidR="00840958" w:rsidRPr="00840958">
        <w:rPr>
          <w:lang w:val="en-GB"/>
        </w:rPr>
        <w:t xml:space="preserve">for the subgroup of people who have </w:t>
      </w:r>
      <w:r w:rsidR="008F2896">
        <w:rPr>
          <w:lang w:val="en-GB"/>
        </w:rPr>
        <w:t>had</w:t>
      </w:r>
      <w:r w:rsidR="008F2896" w:rsidRPr="00840958">
        <w:rPr>
          <w:lang w:val="en-GB"/>
        </w:rPr>
        <w:t xml:space="preserve"> </w:t>
      </w:r>
      <w:r w:rsidR="00840958" w:rsidRPr="00840958">
        <w:rPr>
          <w:lang w:val="en-GB"/>
        </w:rPr>
        <w:t>2</w:t>
      </w:r>
      <w:r w:rsidR="008F2896">
        <w:rPr>
          <w:lang w:val="en-GB"/>
        </w:rPr>
        <w:t> </w:t>
      </w:r>
      <w:r w:rsidR="00840958" w:rsidRPr="00840958">
        <w:rPr>
          <w:lang w:val="en-GB"/>
        </w:rPr>
        <w:t xml:space="preserve">previous treatments without stem cell transplant </w:t>
      </w:r>
      <w:r w:rsidR="00BF525D">
        <w:rPr>
          <w:lang w:val="en-GB"/>
        </w:rPr>
        <w:t>is</w:t>
      </w:r>
      <w:r w:rsidR="00384931">
        <w:rPr>
          <w:lang w:val="en-GB"/>
        </w:rPr>
        <w:t xml:space="preserve"> highly </w:t>
      </w:r>
      <w:r w:rsidR="006C15EC">
        <w:rPr>
          <w:lang w:val="en-GB"/>
        </w:rPr>
        <w:t>uncertain.</w:t>
      </w:r>
    </w:p>
    <w:p w14:paraId="0DD72F57" w14:textId="62158528" w:rsidR="003F33D1" w:rsidRDefault="003F33D1" w:rsidP="003F33D1">
      <w:pPr>
        <w:pStyle w:val="Heading3"/>
      </w:pPr>
      <w:bookmarkStart w:id="16" w:name="_Using_the_company’s"/>
      <w:bookmarkEnd w:id="16"/>
      <w:r>
        <w:lastRenderedPageBreak/>
        <w:t>The most plausible ICER for the subgroup of people who have had 2 previous treatments without previous stem cell transplant may fall within the range usually considered cost effective, or be much higher</w:t>
      </w:r>
    </w:p>
    <w:p w14:paraId="7D5FCECB" w14:textId="210765EB" w:rsidR="00384931" w:rsidRPr="00384931" w:rsidRDefault="0063173E" w:rsidP="00840958">
      <w:pPr>
        <w:pStyle w:val="Numberedlevel2text"/>
        <w:rPr>
          <w:lang w:val="en-GB"/>
        </w:rPr>
      </w:pPr>
      <w:r>
        <w:rPr>
          <w:lang w:val="en-GB"/>
        </w:rPr>
        <w:t>The</w:t>
      </w:r>
      <w:r w:rsidR="00384931">
        <w:rPr>
          <w:lang w:val="en-GB"/>
        </w:rPr>
        <w:t xml:space="preserve"> </w:t>
      </w:r>
      <w:r w:rsidR="0036293A" w:rsidRPr="008829C6">
        <w:t xml:space="preserve">analysis provided by the ERG </w:t>
      </w:r>
      <w:r w:rsidR="00A343C9">
        <w:rPr>
          <w:lang w:val="en-GB"/>
        </w:rPr>
        <w:t>using</w:t>
      </w:r>
      <w:r w:rsidR="0036293A" w:rsidRPr="008829C6">
        <w:t xml:space="preserve"> the company’s assumptions in the subgroup of people without previous stem cell transplant </w:t>
      </w:r>
      <w:r w:rsidR="00147168">
        <w:rPr>
          <w:lang w:val="en-GB"/>
        </w:rPr>
        <w:t xml:space="preserve">resulted in </w:t>
      </w:r>
      <w:r w:rsidR="00287760">
        <w:rPr>
          <w:lang w:val="en-GB"/>
        </w:rPr>
        <w:t>a</w:t>
      </w:r>
      <w:r w:rsidR="00CF5831">
        <w:rPr>
          <w:lang w:val="en-GB"/>
        </w:rPr>
        <w:t xml:space="preserve">n </w:t>
      </w:r>
      <w:r w:rsidR="005415BC">
        <w:rPr>
          <w:lang w:val="en-GB"/>
        </w:rPr>
        <w:t>incremental cost-effectiveness ratio (</w:t>
      </w:r>
      <w:r w:rsidR="00CF5831">
        <w:rPr>
          <w:lang w:val="en-GB"/>
        </w:rPr>
        <w:t>ICER</w:t>
      </w:r>
      <w:r w:rsidR="005415BC">
        <w:rPr>
          <w:lang w:val="en-GB"/>
        </w:rPr>
        <w:t>)</w:t>
      </w:r>
      <w:r w:rsidR="00287760">
        <w:rPr>
          <w:lang w:val="en-GB"/>
        </w:rPr>
        <w:t xml:space="preserve"> </w:t>
      </w:r>
      <w:r w:rsidR="00147168">
        <w:rPr>
          <w:lang w:val="en-GB"/>
        </w:rPr>
        <w:t xml:space="preserve">which </w:t>
      </w:r>
      <w:r w:rsidR="00287760">
        <w:rPr>
          <w:lang w:val="en-GB"/>
        </w:rPr>
        <w:t>was</w:t>
      </w:r>
      <w:r w:rsidR="00147168">
        <w:rPr>
          <w:lang w:val="en-GB"/>
        </w:rPr>
        <w:t xml:space="preserve"> within the range usually considered cost effective. </w:t>
      </w:r>
      <w:r w:rsidR="00942FA7">
        <w:rPr>
          <w:lang w:val="en-GB"/>
        </w:rPr>
        <w:t>T</w:t>
      </w:r>
      <w:r w:rsidR="003F33D1">
        <w:rPr>
          <w:lang w:val="en-GB"/>
        </w:rPr>
        <w:t xml:space="preserve">he ERG’s preferred assumptions resulted in an ICER </w:t>
      </w:r>
      <w:r w:rsidR="00324AC3">
        <w:rPr>
          <w:lang w:val="en-GB"/>
        </w:rPr>
        <w:t xml:space="preserve">well </w:t>
      </w:r>
      <w:r w:rsidR="003F33D1">
        <w:rPr>
          <w:lang w:val="en-GB"/>
        </w:rPr>
        <w:t xml:space="preserve">above the range usually considered cost effective. </w:t>
      </w:r>
      <w:r w:rsidR="00324AC3">
        <w:rPr>
          <w:lang w:val="en-GB"/>
        </w:rPr>
        <w:t xml:space="preserve">The ICERs cannot be reported here because of confidential commercial arrangements for brentuximab </w:t>
      </w:r>
      <w:proofErr w:type="spellStart"/>
      <w:r w:rsidR="00324AC3">
        <w:rPr>
          <w:lang w:val="en-GB"/>
        </w:rPr>
        <w:t>vedotin</w:t>
      </w:r>
      <w:proofErr w:type="spellEnd"/>
      <w:r w:rsidR="00324AC3">
        <w:rPr>
          <w:lang w:val="en-GB"/>
        </w:rPr>
        <w:t xml:space="preserve">. </w:t>
      </w:r>
      <w:r w:rsidR="003F33D1">
        <w:rPr>
          <w:lang w:val="en-GB"/>
        </w:rPr>
        <w:t xml:space="preserve">The committee appreciated that it was highly uncertain which assumptions were most appropriate, particularly those related to overall survival and post-progression health-related quality of life estimates. </w:t>
      </w:r>
      <w:r w:rsidR="003F33D1" w:rsidRPr="00840958">
        <w:t>The</w:t>
      </w:r>
      <w:r w:rsidR="003F33D1" w:rsidRPr="008829C6">
        <w:t xml:space="preserve"> committee concluded that the most plausible ICER for the subgroup of people who </w:t>
      </w:r>
      <w:r w:rsidR="003F33D1">
        <w:rPr>
          <w:lang w:val="en-GB"/>
        </w:rPr>
        <w:t>have had 2 previous treatments</w:t>
      </w:r>
      <w:r w:rsidR="003F33D1" w:rsidRPr="008829C6">
        <w:t xml:space="preserve"> without previous stem cell transplant is likely to be between the ICER for the analysis presented by the ERG based on the company’s assumptions in this subgroup</w:t>
      </w:r>
      <w:r w:rsidR="003F33D1">
        <w:rPr>
          <w:lang w:val="en-GB"/>
        </w:rPr>
        <w:t xml:space="preserve"> </w:t>
      </w:r>
      <w:r w:rsidR="003F33D1" w:rsidRPr="008829C6">
        <w:t xml:space="preserve">and the ERG’s </w:t>
      </w:r>
      <w:r w:rsidR="003F33D1">
        <w:rPr>
          <w:lang w:val="en-GB"/>
        </w:rPr>
        <w:t>preferred exploratory analysis</w:t>
      </w:r>
      <w:r w:rsidR="003F33D1" w:rsidRPr="008829C6">
        <w:t xml:space="preserve"> for this subgroup.</w:t>
      </w:r>
      <w:r w:rsidR="003F33D1" w:rsidRPr="008829C6" w:rsidDel="00147168">
        <w:t xml:space="preserve"> </w:t>
      </w:r>
    </w:p>
    <w:p w14:paraId="4DA52275" w14:textId="11884C08" w:rsidR="00B82A82" w:rsidRDefault="008829C6" w:rsidP="008829C6">
      <w:pPr>
        <w:pStyle w:val="Heading3"/>
      </w:pPr>
      <w:bookmarkStart w:id="17" w:name="_The_most_plausible"/>
      <w:bookmarkEnd w:id="17"/>
      <w:r>
        <w:t>Pembrolizumab is recommended for routine use in the NHS for</w:t>
      </w:r>
      <w:r w:rsidR="005551FF">
        <w:t xml:space="preserve"> </w:t>
      </w:r>
      <w:r w:rsidR="009B5DC6">
        <w:t>treating</w:t>
      </w:r>
      <w:r w:rsidR="005551FF">
        <w:t xml:space="preserve"> classical Hodgkin lymphoma in</w:t>
      </w:r>
      <w:r>
        <w:t xml:space="preserve"> people with previous stem cell transplant</w:t>
      </w:r>
      <w:r w:rsidR="00205FD2">
        <w:t xml:space="preserve"> who have not </w:t>
      </w:r>
      <w:r w:rsidR="009B5DC6">
        <w:t xml:space="preserve">had </w:t>
      </w:r>
      <w:r w:rsidR="00205FD2">
        <w:t xml:space="preserve">brentuximab </w:t>
      </w:r>
      <w:proofErr w:type="spellStart"/>
      <w:r w:rsidR="00205FD2">
        <w:t>vedotin</w:t>
      </w:r>
      <w:proofErr w:type="spellEnd"/>
    </w:p>
    <w:p w14:paraId="411A2520" w14:textId="6A59D632" w:rsidR="008829C6" w:rsidRPr="004A31F6" w:rsidRDefault="008829C6" w:rsidP="008829C6">
      <w:pPr>
        <w:pStyle w:val="Numberedlevel2text"/>
      </w:pPr>
      <w:r>
        <w:rPr>
          <w:lang w:val="en-GB"/>
        </w:rPr>
        <w:t xml:space="preserve">The committee </w:t>
      </w:r>
      <w:r w:rsidR="006979FA">
        <w:rPr>
          <w:lang w:val="en-GB"/>
        </w:rPr>
        <w:t xml:space="preserve">noted </w:t>
      </w:r>
      <w:r>
        <w:rPr>
          <w:lang w:val="en-GB"/>
        </w:rPr>
        <w:t xml:space="preserve">that all relevant analyses for the subgroup of people who </w:t>
      </w:r>
      <w:r w:rsidR="00840958">
        <w:rPr>
          <w:lang w:val="en-GB"/>
        </w:rPr>
        <w:t xml:space="preserve">have </w:t>
      </w:r>
      <w:r w:rsidR="009B5DC6">
        <w:rPr>
          <w:lang w:val="en-GB"/>
        </w:rPr>
        <w:t xml:space="preserve">had </w:t>
      </w:r>
      <w:r w:rsidR="00840958">
        <w:rPr>
          <w:lang w:val="en-GB"/>
        </w:rPr>
        <w:t>2 previous treatments</w:t>
      </w:r>
      <w:r>
        <w:rPr>
          <w:lang w:val="en-GB"/>
        </w:rPr>
        <w:t xml:space="preserve"> with previous stem cell transplant showed that pembrolizumab dominated brentu</w:t>
      </w:r>
      <w:r w:rsidR="00CB15D0">
        <w:rPr>
          <w:lang w:val="en-GB"/>
        </w:rPr>
        <w:t xml:space="preserve">ximab </w:t>
      </w:r>
      <w:proofErr w:type="spellStart"/>
      <w:r w:rsidR="00CB15D0">
        <w:rPr>
          <w:lang w:val="en-GB"/>
        </w:rPr>
        <w:t>vedotin</w:t>
      </w:r>
      <w:proofErr w:type="spellEnd"/>
      <w:r w:rsidR="00A24618">
        <w:rPr>
          <w:lang w:val="en-GB"/>
        </w:rPr>
        <w:t xml:space="preserve"> (</w:t>
      </w:r>
      <w:hyperlink w:anchor="_Pembrolizumab_is_less" w:history="1">
        <w:r w:rsidR="00F944E7">
          <w:rPr>
            <w:rStyle w:val="Hyperlink"/>
            <w:lang w:val="en-GB"/>
          </w:rPr>
          <w:t>see section 3.14</w:t>
        </w:r>
      </w:hyperlink>
      <w:r w:rsidR="00A24618">
        <w:rPr>
          <w:lang w:val="en-GB"/>
        </w:rPr>
        <w:t>).</w:t>
      </w:r>
      <w:r w:rsidR="00FA567A" w:rsidDel="00FA567A">
        <w:rPr>
          <w:lang w:val="en-GB"/>
        </w:rPr>
        <w:t xml:space="preserve"> </w:t>
      </w:r>
      <w:r w:rsidR="00A24618">
        <w:rPr>
          <w:lang w:val="en-GB"/>
        </w:rPr>
        <w:t>The</w:t>
      </w:r>
      <w:r w:rsidR="00205FD2">
        <w:rPr>
          <w:lang w:val="en-GB"/>
        </w:rPr>
        <w:t xml:space="preserve"> committee </w:t>
      </w:r>
      <w:r w:rsidR="00A24618">
        <w:rPr>
          <w:lang w:val="en-GB"/>
        </w:rPr>
        <w:t>concluded that</w:t>
      </w:r>
      <w:r w:rsidR="008338C1">
        <w:rPr>
          <w:lang w:val="en-GB"/>
        </w:rPr>
        <w:t xml:space="preserve"> pembrolizumab was a cost-effective use of NHS resources in this population and</w:t>
      </w:r>
      <w:r w:rsidR="004A31F6">
        <w:rPr>
          <w:lang w:val="en-GB"/>
        </w:rPr>
        <w:t xml:space="preserve"> it recommend</w:t>
      </w:r>
      <w:r w:rsidR="005551FF">
        <w:rPr>
          <w:lang w:val="en-GB"/>
        </w:rPr>
        <w:t>ed</w:t>
      </w:r>
      <w:r w:rsidR="004A31F6">
        <w:rPr>
          <w:lang w:val="en-GB"/>
        </w:rPr>
        <w:t xml:space="preserve"> pembrolizumab</w:t>
      </w:r>
      <w:r w:rsidR="005551FF">
        <w:rPr>
          <w:lang w:val="en-GB"/>
        </w:rPr>
        <w:t xml:space="preserve"> as an option</w:t>
      </w:r>
      <w:r w:rsidR="00A24618">
        <w:rPr>
          <w:lang w:val="en-GB"/>
        </w:rPr>
        <w:t xml:space="preserve"> for </w:t>
      </w:r>
      <w:r w:rsidR="005551FF">
        <w:rPr>
          <w:lang w:val="en-GB"/>
        </w:rPr>
        <w:t xml:space="preserve">treating relapsed or refractory classical Hodgkin lymphoma in </w:t>
      </w:r>
      <w:r w:rsidR="002C24DE">
        <w:rPr>
          <w:lang w:val="en-GB"/>
        </w:rPr>
        <w:t>people</w:t>
      </w:r>
      <w:r w:rsidR="00B5012B">
        <w:rPr>
          <w:lang w:val="en-GB"/>
        </w:rPr>
        <w:t xml:space="preserve"> </w:t>
      </w:r>
      <w:r w:rsidR="009B5DC6">
        <w:rPr>
          <w:lang w:val="en-GB"/>
        </w:rPr>
        <w:t xml:space="preserve">whose </w:t>
      </w:r>
      <w:r w:rsidR="00F53B17">
        <w:rPr>
          <w:lang w:val="en-GB"/>
        </w:rPr>
        <w:t>condition</w:t>
      </w:r>
      <w:r w:rsidR="009B5DC6">
        <w:rPr>
          <w:lang w:val="en-GB"/>
        </w:rPr>
        <w:t xml:space="preserve"> has </w:t>
      </w:r>
      <w:r w:rsidR="00B5012B">
        <w:rPr>
          <w:lang w:val="en-GB"/>
        </w:rPr>
        <w:t xml:space="preserve">relapsed after or </w:t>
      </w:r>
      <w:r w:rsidR="009B5DC6">
        <w:rPr>
          <w:lang w:val="en-GB"/>
        </w:rPr>
        <w:t xml:space="preserve">is </w:t>
      </w:r>
      <w:r w:rsidR="00B5012B">
        <w:rPr>
          <w:lang w:val="en-GB"/>
        </w:rPr>
        <w:t xml:space="preserve">refractory to </w:t>
      </w:r>
      <w:r w:rsidR="004A31F6">
        <w:rPr>
          <w:lang w:val="en-GB"/>
        </w:rPr>
        <w:t>autologous</w:t>
      </w:r>
      <w:r w:rsidR="00205FD2">
        <w:rPr>
          <w:lang w:val="en-GB"/>
        </w:rPr>
        <w:t xml:space="preserve"> stem cell transplant and have not </w:t>
      </w:r>
      <w:r w:rsidR="009B5DC6">
        <w:rPr>
          <w:lang w:val="en-GB"/>
        </w:rPr>
        <w:t xml:space="preserve">had </w:t>
      </w:r>
      <w:r w:rsidR="00205FD2">
        <w:rPr>
          <w:lang w:val="en-GB"/>
        </w:rPr>
        <w:lastRenderedPageBreak/>
        <w:t xml:space="preserve">brentuximab </w:t>
      </w:r>
      <w:proofErr w:type="spellStart"/>
      <w:r w:rsidR="00205FD2">
        <w:rPr>
          <w:lang w:val="en-GB"/>
        </w:rPr>
        <w:t>vedotin</w:t>
      </w:r>
      <w:proofErr w:type="spellEnd"/>
      <w:r w:rsidR="005551FF">
        <w:rPr>
          <w:lang w:val="en-GB"/>
        </w:rPr>
        <w:t>, only if the company provides pembrolizumab according to the commercial arrangement.</w:t>
      </w:r>
    </w:p>
    <w:p w14:paraId="2DB7DFDE" w14:textId="76CDC529" w:rsidR="004A31F6" w:rsidRDefault="004A31F6" w:rsidP="004A31F6">
      <w:pPr>
        <w:pStyle w:val="Heading3"/>
      </w:pPr>
      <w:r>
        <w:t>Pembrolizumab is not recommended for routine use in the NHS for</w:t>
      </w:r>
      <w:r w:rsidR="005551FF">
        <w:t xml:space="preserve"> </w:t>
      </w:r>
      <w:r w:rsidR="00B0174C">
        <w:t>treating</w:t>
      </w:r>
      <w:r w:rsidR="005551FF">
        <w:t xml:space="preserve"> classical Hodgkin lymphoma in</w:t>
      </w:r>
      <w:r>
        <w:t xml:space="preserve"> people who </w:t>
      </w:r>
      <w:r w:rsidR="00840958">
        <w:t xml:space="preserve">have </w:t>
      </w:r>
      <w:r w:rsidR="00B0174C">
        <w:t xml:space="preserve">had </w:t>
      </w:r>
      <w:r w:rsidR="00840958">
        <w:t>2</w:t>
      </w:r>
      <w:r w:rsidR="00B0174C">
        <w:t> </w:t>
      </w:r>
      <w:r w:rsidR="00840958">
        <w:t xml:space="preserve">previous treatments </w:t>
      </w:r>
      <w:r>
        <w:t>without previous stem cell transplant</w:t>
      </w:r>
    </w:p>
    <w:p w14:paraId="4DA259D3" w14:textId="2BF985B8" w:rsidR="004A31F6" w:rsidRPr="004A31F6" w:rsidRDefault="004A31F6" w:rsidP="004A31F6">
      <w:pPr>
        <w:pStyle w:val="Numberedlevel2text"/>
      </w:pPr>
      <w:r>
        <w:rPr>
          <w:lang w:val="en-GB"/>
        </w:rPr>
        <w:t xml:space="preserve">The committee </w:t>
      </w:r>
      <w:r w:rsidR="00FA567A">
        <w:rPr>
          <w:lang w:val="en-GB"/>
        </w:rPr>
        <w:t xml:space="preserve">noted that the </w:t>
      </w:r>
      <w:r>
        <w:rPr>
          <w:lang w:val="en-GB"/>
        </w:rPr>
        <w:t xml:space="preserve">ICER range for people who </w:t>
      </w:r>
      <w:r w:rsidR="00840958">
        <w:rPr>
          <w:lang w:val="en-GB"/>
        </w:rPr>
        <w:t xml:space="preserve">have </w:t>
      </w:r>
      <w:r w:rsidR="00B0174C">
        <w:rPr>
          <w:lang w:val="en-GB"/>
        </w:rPr>
        <w:t xml:space="preserve">had </w:t>
      </w:r>
      <w:r w:rsidR="00840958">
        <w:rPr>
          <w:lang w:val="en-GB"/>
        </w:rPr>
        <w:t>2</w:t>
      </w:r>
      <w:r w:rsidR="00B0174C">
        <w:rPr>
          <w:lang w:val="en-GB"/>
        </w:rPr>
        <w:t> </w:t>
      </w:r>
      <w:r w:rsidR="00840958">
        <w:rPr>
          <w:lang w:val="en-GB"/>
        </w:rPr>
        <w:t xml:space="preserve">previous treatments </w:t>
      </w:r>
      <w:r>
        <w:rPr>
          <w:lang w:val="en-GB"/>
        </w:rPr>
        <w:t>without previous stem cell transplant</w:t>
      </w:r>
      <w:r w:rsidR="00FA567A">
        <w:rPr>
          <w:lang w:val="en-GB"/>
        </w:rPr>
        <w:t xml:space="preserve"> </w:t>
      </w:r>
      <w:r w:rsidR="0054329E">
        <w:rPr>
          <w:lang w:val="en-GB"/>
        </w:rPr>
        <w:t>w</w:t>
      </w:r>
      <w:r w:rsidR="00F944E7">
        <w:rPr>
          <w:lang w:val="en-GB"/>
        </w:rPr>
        <w:t>as</w:t>
      </w:r>
      <w:r w:rsidR="0054329E">
        <w:rPr>
          <w:lang w:val="en-GB"/>
        </w:rPr>
        <w:t xml:space="preserve"> highly uncertain</w:t>
      </w:r>
      <w:r w:rsidR="00B44766">
        <w:rPr>
          <w:lang w:val="en-GB"/>
        </w:rPr>
        <w:t xml:space="preserve"> and </w:t>
      </w:r>
      <w:r w:rsidR="00FA567A">
        <w:rPr>
          <w:lang w:val="en-GB"/>
        </w:rPr>
        <w:t>included cost</w:t>
      </w:r>
      <w:r w:rsidR="00B0174C">
        <w:rPr>
          <w:lang w:val="en-GB"/>
        </w:rPr>
        <w:t>-</w:t>
      </w:r>
      <w:r w:rsidR="00FA567A">
        <w:rPr>
          <w:lang w:val="en-GB"/>
        </w:rPr>
        <w:t>effectiveness estimates which were</w:t>
      </w:r>
      <w:r>
        <w:rPr>
          <w:lang w:val="en-GB"/>
        </w:rPr>
        <w:t xml:space="preserve"> not within the range usually considered a cost-effective use of NHS resources. </w:t>
      </w:r>
      <w:r w:rsidR="008A6A84">
        <w:rPr>
          <w:lang w:val="en-GB"/>
        </w:rPr>
        <w:t xml:space="preserve">It noted that the lowest ICER within the plausible ICER range was </w:t>
      </w:r>
      <w:r w:rsidR="00683EB8">
        <w:rPr>
          <w:lang w:val="en-GB"/>
        </w:rPr>
        <w:t>within the range which is usually considered cost effective</w:t>
      </w:r>
      <w:r w:rsidR="008A6A84">
        <w:rPr>
          <w:lang w:val="en-GB"/>
        </w:rPr>
        <w:t>, but this was highly uncertain (</w:t>
      </w:r>
      <w:hyperlink w:anchor="_The_most_plausible" w:history="1">
        <w:r w:rsidR="00F944E7" w:rsidRPr="00324AC3">
          <w:rPr>
            <w:rStyle w:val="Hyperlink"/>
            <w:lang w:val="en-GB"/>
          </w:rPr>
          <w:t>see section 3.1</w:t>
        </w:r>
        <w:r w:rsidR="00324AC3" w:rsidRPr="00324AC3">
          <w:rPr>
            <w:rStyle w:val="Hyperlink"/>
            <w:lang w:val="en-GB"/>
          </w:rPr>
          <w:t>6</w:t>
        </w:r>
      </w:hyperlink>
      <w:r w:rsidR="008A6A84">
        <w:rPr>
          <w:lang w:val="en-GB"/>
        </w:rPr>
        <w:t xml:space="preserve">). </w:t>
      </w:r>
      <w:r>
        <w:rPr>
          <w:lang w:val="en-GB"/>
        </w:rPr>
        <w:t xml:space="preserve">Therefore, the committee concluded that it could not recommend pembrolizumab for routine NHS use </w:t>
      </w:r>
      <w:r w:rsidR="005551FF">
        <w:rPr>
          <w:lang w:val="en-GB"/>
        </w:rPr>
        <w:t xml:space="preserve">for </w:t>
      </w:r>
      <w:r w:rsidR="00B0174C">
        <w:rPr>
          <w:lang w:val="en-GB"/>
        </w:rPr>
        <w:t>treating</w:t>
      </w:r>
      <w:r>
        <w:rPr>
          <w:lang w:val="en-GB"/>
        </w:rPr>
        <w:t xml:space="preserve"> classical Hodgkin lymphoma</w:t>
      </w:r>
      <w:r w:rsidR="005551FF">
        <w:rPr>
          <w:lang w:val="en-GB"/>
        </w:rPr>
        <w:t xml:space="preserve"> in </w:t>
      </w:r>
      <w:r w:rsidR="002C24DE">
        <w:rPr>
          <w:lang w:val="en-GB"/>
        </w:rPr>
        <w:t>people</w:t>
      </w:r>
      <w:r>
        <w:rPr>
          <w:lang w:val="en-GB"/>
        </w:rPr>
        <w:t xml:space="preserve"> who have had </w:t>
      </w:r>
      <w:r w:rsidR="00B5012B">
        <w:rPr>
          <w:lang w:val="en-GB"/>
        </w:rPr>
        <w:t xml:space="preserve">at least </w:t>
      </w:r>
      <w:r>
        <w:rPr>
          <w:lang w:val="en-GB"/>
        </w:rPr>
        <w:t xml:space="preserve">2 </w:t>
      </w:r>
      <w:r w:rsidR="00B0174C">
        <w:rPr>
          <w:lang w:val="en-GB"/>
        </w:rPr>
        <w:t xml:space="preserve">previous </w:t>
      </w:r>
      <w:r w:rsidR="008A6A84">
        <w:rPr>
          <w:lang w:val="en-GB"/>
        </w:rPr>
        <w:t>therapies</w:t>
      </w:r>
      <w:r w:rsidR="008338C1">
        <w:rPr>
          <w:lang w:val="en-GB"/>
        </w:rPr>
        <w:t xml:space="preserve"> and have not </w:t>
      </w:r>
      <w:r w:rsidR="00B5012B">
        <w:rPr>
          <w:lang w:val="en-GB"/>
        </w:rPr>
        <w:t>had a</w:t>
      </w:r>
      <w:r w:rsidR="00F80467">
        <w:rPr>
          <w:lang w:val="en-GB"/>
        </w:rPr>
        <w:t>utologous</w:t>
      </w:r>
      <w:r w:rsidR="00B5012B">
        <w:rPr>
          <w:lang w:val="en-GB"/>
        </w:rPr>
        <w:t xml:space="preserve"> stem cell transplant or </w:t>
      </w:r>
      <w:r w:rsidR="008338C1">
        <w:rPr>
          <w:lang w:val="en-GB"/>
        </w:rPr>
        <w:t xml:space="preserve">brentuximab </w:t>
      </w:r>
      <w:proofErr w:type="spellStart"/>
      <w:r w:rsidR="008338C1">
        <w:rPr>
          <w:lang w:val="en-GB"/>
        </w:rPr>
        <w:t>vedotin</w:t>
      </w:r>
      <w:proofErr w:type="spellEnd"/>
      <w:r>
        <w:rPr>
          <w:lang w:val="en-GB"/>
        </w:rPr>
        <w:t>.</w:t>
      </w:r>
    </w:p>
    <w:p w14:paraId="5327B945" w14:textId="396B4AFA" w:rsidR="00B82A82" w:rsidRDefault="008338C1" w:rsidP="008338C1">
      <w:pPr>
        <w:pStyle w:val="Heading2"/>
      </w:pPr>
      <w:r>
        <w:t>Cancer Drugs Fund</w:t>
      </w:r>
    </w:p>
    <w:p w14:paraId="64282A57" w14:textId="3A192ADA" w:rsidR="008338C1" w:rsidRDefault="008338C1" w:rsidP="008338C1">
      <w:pPr>
        <w:pStyle w:val="Heading3"/>
      </w:pPr>
      <w:r>
        <w:t xml:space="preserve">Pembrolizumab for people who </w:t>
      </w:r>
      <w:r w:rsidR="008A6A84">
        <w:t xml:space="preserve">have </w:t>
      </w:r>
      <w:r w:rsidR="00B0174C">
        <w:t xml:space="preserve">had </w:t>
      </w:r>
      <w:r w:rsidR="008A6A84">
        <w:t>2</w:t>
      </w:r>
      <w:r w:rsidR="00B0174C">
        <w:t> </w:t>
      </w:r>
      <w:r w:rsidR="008A6A84">
        <w:t>previous</w:t>
      </w:r>
      <w:r>
        <w:t xml:space="preserve"> treatment</w:t>
      </w:r>
      <w:r w:rsidR="008A6A84">
        <w:t>s</w:t>
      </w:r>
      <w:r>
        <w:t xml:space="preserve"> without previous stem cell transplant meets the Cancer Drugs Fund criteria</w:t>
      </w:r>
      <w:r w:rsidR="00FB7ABA">
        <w:t xml:space="preserve">, but a managed access agreement </w:t>
      </w:r>
      <w:r w:rsidR="0085620C">
        <w:t>was not</w:t>
      </w:r>
      <w:r w:rsidR="00FB7ABA">
        <w:t xml:space="preserve"> agreed</w:t>
      </w:r>
    </w:p>
    <w:p w14:paraId="667331C4" w14:textId="05E80226" w:rsidR="008338C1" w:rsidRPr="008338C1" w:rsidRDefault="008338C1" w:rsidP="008338C1">
      <w:pPr>
        <w:pStyle w:val="Numberedlevel2text"/>
      </w:pPr>
      <w:r>
        <w:rPr>
          <w:lang w:val="en-GB"/>
        </w:rPr>
        <w:t xml:space="preserve">Having concluded that pembrolizumab could not be recommended for routine use for people who have </w:t>
      </w:r>
      <w:r w:rsidR="00B0174C">
        <w:rPr>
          <w:lang w:val="en-GB"/>
        </w:rPr>
        <w:t xml:space="preserve">had </w:t>
      </w:r>
      <w:r>
        <w:rPr>
          <w:lang w:val="en-GB"/>
        </w:rPr>
        <w:t xml:space="preserve">2 </w:t>
      </w:r>
      <w:r w:rsidR="00B0174C">
        <w:rPr>
          <w:lang w:val="en-GB"/>
        </w:rPr>
        <w:t xml:space="preserve">previous </w:t>
      </w:r>
      <w:r w:rsidR="008A6A84">
        <w:rPr>
          <w:lang w:val="en-GB"/>
        </w:rPr>
        <w:t>therapies</w:t>
      </w:r>
      <w:r>
        <w:rPr>
          <w:lang w:val="en-GB"/>
        </w:rPr>
        <w:t xml:space="preserve"> and have not </w:t>
      </w:r>
      <w:r w:rsidR="00B0174C">
        <w:rPr>
          <w:lang w:val="en-GB"/>
        </w:rPr>
        <w:t xml:space="preserve">had </w:t>
      </w:r>
      <w:r>
        <w:rPr>
          <w:lang w:val="en-GB"/>
        </w:rPr>
        <w:t xml:space="preserve">brentuximab </w:t>
      </w:r>
      <w:proofErr w:type="spellStart"/>
      <w:r>
        <w:rPr>
          <w:lang w:val="en-GB"/>
        </w:rPr>
        <w:t>vedotin</w:t>
      </w:r>
      <w:proofErr w:type="spellEnd"/>
      <w:r>
        <w:rPr>
          <w:lang w:val="en-GB"/>
        </w:rPr>
        <w:t xml:space="preserve">, the committee then considered if it could be recommended as treatment for this population within the Cancer Drugs Fund. </w:t>
      </w:r>
      <w:r w:rsidRPr="00EE4D8F">
        <w:rPr>
          <w:lang w:val="en-GB"/>
        </w:rPr>
        <w:t xml:space="preserve">The committee discussed the arrangements for the Cancer Drugs Fund agreed by NICE and NHS England in 2016, noting </w:t>
      </w:r>
      <w:hyperlink r:id="rId15" w:history="1">
        <w:r w:rsidRPr="00EE4D8F">
          <w:rPr>
            <w:rStyle w:val="Hyperlink"/>
            <w:lang w:val="en-GB"/>
          </w:rPr>
          <w:t>NICE’s Cancer Drugs Fund methods guide (addendum)</w:t>
        </w:r>
      </w:hyperlink>
      <w:r w:rsidRPr="00EE4D8F">
        <w:rPr>
          <w:lang w:val="en-GB"/>
        </w:rPr>
        <w:t>. It noted that:</w:t>
      </w:r>
    </w:p>
    <w:p w14:paraId="64059B57" w14:textId="2030483C" w:rsidR="008338C1" w:rsidRDefault="00B0174C" w:rsidP="008338C1">
      <w:pPr>
        <w:pStyle w:val="Bulletindent1"/>
      </w:pPr>
      <w:r>
        <w:lastRenderedPageBreak/>
        <w:t>o</w:t>
      </w:r>
      <w:r w:rsidR="008338C1">
        <w:t xml:space="preserve">verall survival data used in the economic model was highly uncertain, </w:t>
      </w:r>
      <w:r w:rsidR="006D1299">
        <w:t>based on external data</w:t>
      </w:r>
      <w:r w:rsidR="008338C1">
        <w:t xml:space="preserve"> and may have been a conservative estimate.</w:t>
      </w:r>
    </w:p>
    <w:p w14:paraId="774FF0F2" w14:textId="132E887B" w:rsidR="00566C11" w:rsidRDefault="00566C11" w:rsidP="008338C1">
      <w:pPr>
        <w:pStyle w:val="Bulletindent1"/>
      </w:pPr>
      <w:r>
        <w:t xml:space="preserve">different data cut-points for progression-free survival and time on treatment </w:t>
      </w:r>
      <w:r w:rsidR="00683EB8">
        <w:t>were preferred</w:t>
      </w:r>
      <w:r>
        <w:t xml:space="preserve"> by the company and the ERG.</w:t>
      </w:r>
    </w:p>
    <w:p w14:paraId="69D9C81E" w14:textId="638895F0" w:rsidR="008338C1" w:rsidRDefault="008338C1" w:rsidP="008338C1">
      <w:pPr>
        <w:pStyle w:val="Bulletindent1"/>
      </w:pPr>
      <w:r>
        <w:t xml:space="preserve">KEYNOTE-204 is still ongoing and </w:t>
      </w:r>
      <w:r w:rsidR="006D1299">
        <w:t>direct trial</w:t>
      </w:r>
      <w:r>
        <w:t xml:space="preserve"> data could help reduce uncertainties about overall survival</w:t>
      </w:r>
      <w:r w:rsidR="00566C11">
        <w:t xml:space="preserve"> </w:t>
      </w:r>
      <w:r w:rsidR="00E56DA6">
        <w:t xml:space="preserve">and extrapolation of </w:t>
      </w:r>
      <w:r w:rsidR="00566C11">
        <w:t>progression-free survival and time on treatment</w:t>
      </w:r>
      <w:r>
        <w:t>.</w:t>
      </w:r>
    </w:p>
    <w:p w14:paraId="0266CC84" w14:textId="2FEC5F3C" w:rsidR="00770D93" w:rsidRDefault="00B0174C" w:rsidP="008338C1">
      <w:pPr>
        <w:pStyle w:val="Bulletindent1"/>
      </w:pPr>
      <w:r>
        <w:t>t</w:t>
      </w:r>
      <w:r w:rsidR="00770D93" w:rsidRPr="00EE4D8F">
        <w:t xml:space="preserve">he </w:t>
      </w:r>
      <w:hyperlink r:id="rId16" w:history="1">
        <w:r w:rsidR="00770D93" w:rsidRPr="00EE4D8F">
          <w:rPr>
            <w:rStyle w:val="Hyperlink"/>
          </w:rPr>
          <w:t>Systemic Anti-Cancer Therapy dataset</w:t>
        </w:r>
      </w:hyperlink>
      <w:r w:rsidR="00770D93" w:rsidRPr="00EE4D8F">
        <w:t xml:space="preserve"> could provide</w:t>
      </w:r>
      <w:r w:rsidR="00770D93">
        <w:t xml:space="preserve"> additional survival data.</w:t>
      </w:r>
    </w:p>
    <w:p w14:paraId="69BB4794" w14:textId="566FE75F" w:rsidR="00CB25C8" w:rsidRDefault="00B0174C" w:rsidP="00CB25C8">
      <w:pPr>
        <w:pStyle w:val="Bulletindent1last"/>
      </w:pPr>
      <w:r>
        <w:t>t</w:t>
      </w:r>
      <w:r w:rsidR="005551FF">
        <w:t>he committees preferred ICER</w:t>
      </w:r>
      <w:r w:rsidR="00AE188C">
        <w:t xml:space="preserve"> may</w:t>
      </w:r>
      <w:r w:rsidR="005551FF">
        <w:t xml:space="preserve"> </w:t>
      </w:r>
      <w:r w:rsidR="00683EB8">
        <w:t xml:space="preserve">fall within a range which </w:t>
      </w:r>
      <w:r w:rsidR="00AE188C">
        <w:t>is</w:t>
      </w:r>
      <w:r w:rsidR="00683EB8">
        <w:t xml:space="preserve"> usually</w:t>
      </w:r>
      <w:r w:rsidR="00AE188C">
        <w:t xml:space="preserve"> </w:t>
      </w:r>
      <w:r w:rsidR="00683EB8">
        <w:t xml:space="preserve">considered cost effective </w:t>
      </w:r>
      <w:r w:rsidR="00AE188C">
        <w:t>or may be much higher</w:t>
      </w:r>
      <w:r w:rsidR="005551FF">
        <w:t xml:space="preserve">. </w:t>
      </w:r>
      <w:r w:rsidR="00770D93">
        <w:t>The</w:t>
      </w:r>
      <w:r w:rsidR="005551FF">
        <w:t xml:space="preserve"> high levels of uncertainty </w:t>
      </w:r>
      <w:r w:rsidR="00770D93">
        <w:t>in estimates of overall survival</w:t>
      </w:r>
      <w:r w:rsidR="00CB25C8">
        <w:t xml:space="preserve"> means that </w:t>
      </w:r>
      <w:r w:rsidR="00770D93">
        <w:t>pembrolizumab</w:t>
      </w:r>
      <w:r w:rsidR="00CB25C8">
        <w:t xml:space="preserve"> has plausible potential to be cost effective.</w:t>
      </w:r>
    </w:p>
    <w:p w14:paraId="4E14C572" w14:textId="6333C821" w:rsidR="00643582" w:rsidRDefault="006D1299" w:rsidP="007F64EB">
      <w:pPr>
        <w:pStyle w:val="Numberedlevel2text"/>
        <w:numPr>
          <w:ilvl w:val="0"/>
          <w:numId w:val="0"/>
        </w:numPr>
        <w:ind w:left="1134"/>
      </w:pPr>
      <w:r>
        <w:rPr>
          <w:lang w:val="en-GB"/>
        </w:rPr>
        <w:t xml:space="preserve">The committee concluded that pembrolizumab met the criteria to be considered for inclusion in the Cancer Drugs Fund for </w:t>
      </w:r>
      <w:r w:rsidR="005F3254">
        <w:rPr>
          <w:lang w:val="en-GB"/>
        </w:rPr>
        <w:t xml:space="preserve">this population. </w:t>
      </w:r>
      <w:r w:rsidR="00FB7ABA">
        <w:rPr>
          <w:lang w:val="en-GB"/>
        </w:rPr>
        <w:t>However,</w:t>
      </w:r>
      <w:r w:rsidR="00395DC8">
        <w:rPr>
          <w:lang w:val="en-GB"/>
        </w:rPr>
        <w:t xml:space="preserve"> following the committee meeting</w:t>
      </w:r>
      <w:r w:rsidR="00FB7ABA">
        <w:rPr>
          <w:lang w:val="en-GB"/>
        </w:rPr>
        <w:t xml:space="preserve"> a managed access agreement could not be agreed </w:t>
      </w:r>
      <w:r w:rsidR="007C0709">
        <w:rPr>
          <w:lang w:val="en-GB"/>
        </w:rPr>
        <w:t>between</w:t>
      </w:r>
      <w:r w:rsidR="00FB7ABA">
        <w:rPr>
          <w:lang w:val="en-GB"/>
        </w:rPr>
        <w:t xml:space="preserve"> the company</w:t>
      </w:r>
      <w:r w:rsidR="007C0709">
        <w:rPr>
          <w:lang w:val="en-GB"/>
        </w:rPr>
        <w:t xml:space="preserve"> and NHS England</w:t>
      </w:r>
      <w:r w:rsidR="00FB7ABA">
        <w:rPr>
          <w:lang w:val="en-GB"/>
        </w:rPr>
        <w:t xml:space="preserve"> for access to pembrolizumab for the time it would be offered within the Cancer Drugs Fund.</w:t>
      </w:r>
      <w:r w:rsidR="00395DC8">
        <w:rPr>
          <w:lang w:val="en-GB"/>
        </w:rPr>
        <w:t xml:space="preserve"> Without this agreement</w:t>
      </w:r>
      <w:r w:rsidR="009F4F0C">
        <w:rPr>
          <w:lang w:val="en-GB"/>
        </w:rPr>
        <w:t xml:space="preserve">, </w:t>
      </w:r>
      <w:r w:rsidR="00395DC8">
        <w:rPr>
          <w:lang w:val="en-GB"/>
        </w:rPr>
        <w:t xml:space="preserve">it was not possible to recommend </w:t>
      </w:r>
      <w:r w:rsidR="001C5B93">
        <w:rPr>
          <w:lang w:val="en-GB"/>
        </w:rPr>
        <w:t>pembrolizumab within the Cancer Drugs Fund.</w:t>
      </w:r>
      <w:r w:rsidR="00FB7ABA">
        <w:rPr>
          <w:lang w:val="en-GB"/>
        </w:rPr>
        <w:t xml:space="preserve"> </w:t>
      </w:r>
      <w:r w:rsidR="005F3254">
        <w:rPr>
          <w:lang w:val="en-GB"/>
        </w:rPr>
        <w:t xml:space="preserve"> </w:t>
      </w:r>
      <w:bookmarkEnd w:id="15"/>
    </w:p>
    <w:p w14:paraId="251505A1" w14:textId="5192907D" w:rsidR="00643582" w:rsidRDefault="00770D93" w:rsidP="00770D93">
      <w:pPr>
        <w:pStyle w:val="Heading2"/>
      </w:pPr>
      <w:r>
        <w:t>Innovation</w:t>
      </w:r>
    </w:p>
    <w:p w14:paraId="7EBDF13C" w14:textId="32ECB11C" w:rsidR="00770D93" w:rsidRDefault="00770D93" w:rsidP="00770D93">
      <w:pPr>
        <w:pStyle w:val="Heading3"/>
      </w:pPr>
      <w:r>
        <w:t>The model is adequate to capture the benefits of pembrolizumab</w:t>
      </w:r>
    </w:p>
    <w:p w14:paraId="3D5347DA" w14:textId="009F531C" w:rsidR="00770D93" w:rsidRPr="004041FA" w:rsidRDefault="00770D93" w:rsidP="00770D93">
      <w:pPr>
        <w:pStyle w:val="Numberedlevel2text"/>
      </w:pPr>
      <w:r>
        <w:rPr>
          <w:lang w:val="en-GB"/>
        </w:rPr>
        <w:t>The company considers pembrolizumab to be innovative. It suggested that pembrolizumab use as a third-line treatment is a step-change in the management of classical Hodgkin lymphoma. The clinical experts agreed that PD</w:t>
      </w:r>
      <w:r w:rsidR="00B0174C">
        <w:rPr>
          <w:lang w:val="en-GB"/>
        </w:rPr>
        <w:t>-</w:t>
      </w:r>
      <w:r>
        <w:rPr>
          <w:lang w:val="en-GB"/>
        </w:rPr>
        <w:t>L1 inhibitors such as pembrolizumab are innovative medicines</w:t>
      </w:r>
      <w:r w:rsidR="00B0174C">
        <w:rPr>
          <w:lang w:val="en-GB"/>
        </w:rPr>
        <w:t>.</w:t>
      </w:r>
      <w:r>
        <w:rPr>
          <w:lang w:val="en-GB"/>
        </w:rPr>
        <w:t xml:space="preserve"> </w:t>
      </w:r>
      <w:r w:rsidR="00B0174C">
        <w:rPr>
          <w:lang w:val="en-GB"/>
        </w:rPr>
        <w:t>H</w:t>
      </w:r>
      <w:r>
        <w:rPr>
          <w:lang w:val="en-GB"/>
        </w:rPr>
        <w:t>owever</w:t>
      </w:r>
      <w:r w:rsidR="004041FA">
        <w:rPr>
          <w:lang w:val="en-GB"/>
        </w:rPr>
        <w:t>, they highlighted that pembrolizumab and other PD</w:t>
      </w:r>
      <w:r w:rsidR="00B0174C">
        <w:rPr>
          <w:lang w:val="en-GB"/>
        </w:rPr>
        <w:t>-</w:t>
      </w:r>
      <w:r w:rsidR="004041FA">
        <w:rPr>
          <w:lang w:val="en-GB"/>
        </w:rPr>
        <w:t xml:space="preserve">L1 inhibitors are currently available at other stages in the treatment pathway. The committee considered that the model included all health-related quality of </w:t>
      </w:r>
      <w:r w:rsidR="004041FA">
        <w:rPr>
          <w:lang w:val="en-GB"/>
        </w:rPr>
        <w:lastRenderedPageBreak/>
        <w:t>life benefits. It concluded that it had not been presented with evidence of any additional benefits from pembrolizumab as third-line treatment that had not already been included.</w:t>
      </w:r>
    </w:p>
    <w:p w14:paraId="3DCDDC50" w14:textId="77777777" w:rsidR="004041FA" w:rsidRPr="00EE4D8F" w:rsidRDefault="004041FA" w:rsidP="004041FA">
      <w:pPr>
        <w:pStyle w:val="Heading2"/>
      </w:pPr>
      <w:r w:rsidRPr="00EE4D8F">
        <w:t>Other factors</w:t>
      </w:r>
    </w:p>
    <w:p w14:paraId="1D89CF7E" w14:textId="77777777" w:rsidR="004041FA" w:rsidRPr="00EE4D8F" w:rsidRDefault="004041FA" w:rsidP="004041FA">
      <w:pPr>
        <w:pStyle w:val="Numberedlevel2text"/>
        <w:numPr>
          <w:ilvl w:val="1"/>
          <w:numId w:val="1"/>
        </w:numPr>
        <w:rPr>
          <w:lang w:val="en-GB"/>
        </w:rPr>
      </w:pPr>
      <w:r w:rsidRPr="00EE4D8F">
        <w:rPr>
          <w:lang w:val="en-GB"/>
        </w:rPr>
        <w:t>No equality or social value judgements issues were identified.</w:t>
      </w:r>
    </w:p>
    <w:p w14:paraId="4231026B" w14:textId="77777777" w:rsidR="000F48EC" w:rsidRPr="00232061" w:rsidRDefault="000F48EC" w:rsidP="00F130AD">
      <w:pPr>
        <w:pStyle w:val="Numberedheading1"/>
      </w:pPr>
      <w:r w:rsidRPr="00232061">
        <w:t>Implementation</w:t>
      </w:r>
    </w:p>
    <w:p w14:paraId="600A879C" w14:textId="325E78AC" w:rsidR="002A686F" w:rsidRDefault="0013099E" w:rsidP="004041FA">
      <w:pPr>
        <w:pStyle w:val="Numberedlevel2text"/>
      </w:pPr>
      <w:hyperlink r:id="rId17" w:history="1">
        <w:r w:rsidR="002A686F" w:rsidRPr="00D019BA">
          <w:rPr>
            <w:rStyle w:val="Hyperlink"/>
          </w:rPr>
          <w:t>Section 7 of the National Institute for Health and Care Excellence (Constitution and Functions) and the Health and Social Care Information Centre (Functions) Regulations 2013</w:t>
        </w:r>
      </w:hyperlink>
      <w:r w:rsidR="002A686F" w:rsidRPr="00EE2914">
        <w:t xml:space="preserve"> requires clinical commissioning groups, NHS England and, with respect to their public health functions, local authorities to comply with the recommendations in this appraisal within 3 months of its date of publication.</w:t>
      </w:r>
    </w:p>
    <w:p w14:paraId="0F016223" w14:textId="5B6D5263" w:rsidR="002A686F" w:rsidRDefault="0013099E" w:rsidP="002A686F">
      <w:pPr>
        <w:pStyle w:val="Numberedlevel2text"/>
      </w:pPr>
      <w:hyperlink r:id="rId18" w:history="1">
        <w:r w:rsidR="002A686F" w:rsidRPr="00D019BA">
          <w:rPr>
            <w:rStyle w:val="Hyperlink"/>
          </w:rPr>
          <w:t>Chapter 2 of Appraisal and funding of cancer drugs from July 2016 (including the new Cancer Drugs Fund) – A new deal for patients, taxpayers and industry</w:t>
        </w:r>
      </w:hyperlink>
      <w:r w:rsidR="002A686F">
        <w:t xml:space="preserve"> states </w:t>
      </w:r>
      <w:r w:rsidR="002A686F" w:rsidRPr="00C51325">
        <w:rPr>
          <w:lang w:val="en-US"/>
        </w:rPr>
        <w:t xml:space="preserve">that </w:t>
      </w:r>
      <w:r w:rsidR="002A686F">
        <w:t xml:space="preserve">for those drugs </w:t>
      </w:r>
      <w:r w:rsidR="002A686F" w:rsidRPr="00C51325">
        <w:rPr>
          <w:lang w:val="en-US"/>
        </w:rPr>
        <w:t>with</w:t>
      </w:r>
      <w:r w:rsidR="002A686F">
        <w:t xml:space="preserve"> a draft recommendation for routine commissioning, interim funding will be available (from the overall C</w:t>
      </w:r>
      <w:r w:rsidR="002A686F" w:rsidRPr="00C51325">
        <w:rPr>
          <w:lang w:val="en-US"/>
        </w:rPr>
        <w:t xml:space="preserve">ancer </w:t>
      </w:r>
      <w:r w:rsidR="002A686F">
        <w:t>D</w:t>
      </w:r>
      <w:r w:rsidR="002A686F" w:rsidRPr="00C51325">
        <w:rPr>
          <w:lang w:val="en-US"/>
        </w:rPr>
        <w:t xml:space="preserve">rugs </w:t>
      </w:r>
      <w:r w:rsidR="002A686F">
        <w:t>F</w:t>
      </w:r>
      <w:r w:rsidR="002A686F" w:rsidRPr="00C51325">
        <w:rPr>
          <w:lang w:val="en-US"/>
        </w:rPr>
        <w:t>und</w:t>
      </w:r>
      <w:r w:rsidR="002A686F">
        <w:t xml:space="preserve"> budget) from the point of marketing authorisation, or from release of positive draft guidance, whichever is later. Interim funding will end 90 days after positive </w:t>
      </w:r>
      <w:r w:rsidR="002A686F" w:rsidRPr="00C51325">
        <w:rPr>
          <w:lang w:val="en-US"/>
        </w:rPr>
        <w:t>f</w:t>
      </w:r>
      <w:proofErr w:type="spellStart"/>
      <w:r w:rsidR="002A686F">
        <w:t>inal</w:t>
      </w:r>
      <w:proofErr w:type="spellEnd"/>
      <w:r w:rsidR="002A686F">
        <w:t xml:space="preserve"> </w:t>
      </w:r>
      <w:r w:rsidR="002A686F" w:rsidRPr="00C51325">
        <w:rPr>
          <w:lang w:val="en-US"/>
        </w:rPr>
        <w:t>g</w:t>
      </w:r>
      <w:proofErr w:type="spellStart"/>
      <w:r w:rsidR="002A686F">
        <w:t>uidance</w:t>
      </w:r>
      <w:proofErr w:type="spellEnd"/>
      <w:r w:rsidR="002A686F">
        <w:t xml:space="preserve"> is published (or 30 days in the case of drugs with an Early Access to Medicines Scheme designation or fast track appraisal), at which point funding will switch to routine commissioning budgets.</w:t>
      </w:r>
      <w:r w:rsidR="002A686F" w:rsidRPr="00C51325">
        <w:rPr>
          <w:lang w:val="en-US"/>
        </w:rPr>
        <w:t xml:space="preserve"> </w:t>
      </w:r>
      <w:r w:rsidR="002A686F">
        <w:t xml:space="preserve">The </w:t>
      </w:r>
      <w:hyperlink r:id="rId19" w:history="1">
        <w:r w:rsidR="002A686F" w:rsidRPr="00A97C46">
          <w:rPr>
            <w:rStyle w:val="Hyperlink"/>
          </w:rPr>
          <w:t>NHS England and NHS Improvement Cancer Drugs Fund list</w:t>
        </w:r>
      </w:hyperlink>
      <w:r w:rsidR="002A686F">
        <w:t xml:space="preserve"> provides up</w:t>
      </w:r>
      <w:r w:rsidR="002A686F" w:rsidRPr="00C51325">
        <w:rPr>
          <w:lang w:val="en-US"/>
        </w:rPr>
        <w:t>-</w:t>
      </w:r>
      <w:r w:rsidR="002A686F">
        <w:t>to</w:t>
      </w:r>
      <w:r w:rsidR="002A686F" w:rsidRPr="00C51325">
        <w:rPr>
          <w:lang w:val="en-US"/>
        </w:rPr>
        <w:t>-</w:t>
      </w:r>
      <w:r w:rsidR="002A686F">
        <w:t>date information on all cancer treatments recommended by NICE since 2016</w:t>
      </w:r>
      <w:r w:rsidR="002A686F" w:rsidRPr="00C51325">
        <w:rPr>
          <w:lang w:val="en-US"/>
        </w:rPr>
        <w:t>. This includes whether they</w:t>
      </w:r>
      <w:r w:rsidR="002A686F">
        <w:t xml:space="preserve"> have received a marketing authorisation and </w:t>
      </w:r>
      <w:r w:rsidR="002A686F" w:rsidRPr="00C51325">
        <w:rPr>
          <w:lang w:val="en-US"/>
        </w:rPr>
        <w:t xml:space="preserve">been </w:t>
      </w:r>
      <w:r w:rsidR="002A686F">
        <w:t>launched in the UK.</w:t>
      </w:r>
    </w:p>
    <w:p w14:paraId="431E92DC" w14:textId="3EF50A17" w:rsidR="002A686F" w:rsidRDefault="002A686F" w:rsidP="002A686F">
      <w:pPr>
        <w:pStyle w:val="Numberedlevel2text"/>
      </w:pPr>
      <w:r>
        <w:t xml:space="preserve">The Welsh ministers have issued directions to the NHS in Wales on implementing NICE technology appraisal guidance. When a NICE </w:t>
      </w:r>
      <w:r>
        <w:lastRenderedPageBreak/>
        <w:t>technology appraisal recommends the use of a drug or treatment, or other technology, the NHS in Wales must usually provide funding and resources for it within 2 months of the first publication of the final appraisal document.</w:t>
      </w:r>
    </w:p>
    <w:p w14:paraId="06F4D9F7" w14:textId="3DCFCF5F" w:rsidR="002A686F" w:rsidRDefault="002A686F" w:rsidP="002A686F">
      <w:pPr>
        <w:pStyle w:val="Numberedlevel2text"/>
      </w:pPr>
      <w:r w:rsidRPr="00EE2914">
        <w:t>When NICE recommends a treatment ‘as an option’, the NHS must make sure it is available within the period set out in the paragraph</w:t>
      </w:r>
      <w:r>
        <w:t>s</w:t>
      </w:r>
      <w:r w:rsidRPr="00EE2914">
        <w:t xml:space="preserve"> above. This means that, if a patient has </w:t>
      </w:r>
      <w:r w:rsidR="004041FA">
        <w:rPr>
          <w:lang w:val="en-GB"/>
        </w:rPr>
        <w:t>classical Hodgkin lymphoma</w:t>
      </w:r>
      <w:r w:rsidRPr="00EE2914">
        <w:t xml:space="preserve"> and the doctor responsible for their care thinks that </w:t>
      </w:r>
      <w:r w:rsidR="004041FA">
        <w:rPr>
          <w:lang w:val="en-GB"/>
        </w:rPr>
        <w:t>pembrolizumab</w:t>
      </w:r>
      <w:r w:rsidRPr="00EE2914">
        <w:t xml:space="preserve"> is the right treatment, it should be available for use, in l</w:t>
      </w:r>
      <w:r>
        <w:t>ine with NICE’s recommendations</w:t>
      </w:r>
      <w:r w:rsidRPr="00EE2914">
        <w:t>.</w:t>
      </w:r>
    </w:p>
    <w:p w14:paraId="638D28D7" w14:textId="4E4C3139" w:rsidR="000F48EC" w:rsidRPr="000F48EC" w:rsidRDefault="00630786" w:rsidP="002E73E7">
      <w:pPr>
        <w:pStyle w:val="Numberedheading1"/>
      </w:pPr>
      <w:r>
        <w:t>Proposed date for r</w:t>
      </w:r>
      <w:r w:rsidR="000F48EC" w:rsidRPr="000F48EC">
        <w:t>eview of guidance</w:t>
      </w:r>
    </w:p>
    <w:p w14:paraId="1481B67D" w14:textId="529153AF" w:rsidR="00B60138" w:rsidRPr="003548C4" w:rsidRDefault="00630786" w:rsidP="00EF1495">
      <w:pPr>
        <w:pStyle w:val="Numberedlevel2text"/>
      </w:pPr>
      <w:r>
        <w:rPr>
          <w:lang w:val="en-GB"/>
        </w:rPr>
        <w:t xml:space="preserve">NICE proposes that the guidance on this technology is considered for review by the guidance executive 3 years after publication of the guidance. NICE welcomes comment on this proposed date. </w:t>
      </w:r>
      <w:r w:rsidRPr="00630786">
        <w:rPr>
          <w:lang w:val="en-GB"/>
        </w:rPr>
        <w:t>The guidance executive will decide whether the technology should be reviewed based on information gathered by NICE, and in consultation with consultees and commentators.</w:t>
      </w:r>
    </w:p>
    <w:p w14:paraId="2C44359F" w14:textId="5B2E6E1A" w:rsidR="00A971D0" w:rsidRPr="00000441" w:rsidRDefault="00A971D0" w:rsidP="00EF1495">
      <w:pPr>
        <w:pStyle w:val="Numberedlevel2text"/>
      </w:pPr>
      <w:r>
        <w:rPr>
          <w:lang w:val="en-GB"/>
        </w:rPr>
        <w:t>If the evidence allows, consideration may be given to a</w:t>
      </w:r>
      <w:r w:rsidR="00FD2D3A">
        <w:rPr>
          <w:lang w:val="en-GB"/>
        </w:rPr>
        <w:t>n early</w:t>
      </w:r>
      <w:r>
        <w:rPr>
          <w:lang w:val="en-GB"/>
        </w:rPr>
        <w:t xml:space="preserve"> partial review of this guidance </w:t>
      </w:r>
      <w:r w:rsidR="00FD2D3A">
        <w:rPr>
          <w:lang w:val="en-GB"/>
        </w:rPr>
        <w:t>for</w:t>
      </w:r>
      <w:r w:rsidR="00FD2D3A">
        <w:t xml:space="preserve"> people who have </w:t>
      </w:r>
      <w:r w:rsidR="00503815">
        <w:rPr>
          <w:lang w:val="en-GB"/>
        </w:rPr>
        <w:t xml:space="preserve">had 2 previous treatments without previous </w:t>
      </w:r>
      <w:r w:rsidR="00FD2D3A">
        <w:t>stem cell transplant</w:t>
      </w:r>
      <w:r w:rsidR="00FD2D3A">
        <w:rPr>
          <w:lang w:val="en-US"/>
        </w:rPr>
        <w:t xml:space="preserve">. This may be combined with the </w:t>
      </w:r>
      <w:r w:rsidR="00793D99">
        <w:rPr>
          <w:lang w:val="en-US"/>
        </w:rPr>
        <w:t>review</w:t>
      </w:r>
      <w:r w:rsidR="00FD2D3A">
        <w:rPr>
          <w:lang w:val="en-US"/>
        </w:rPr>
        <w:t xml:space="preserve"> of the NICE recommendation for </w:t>
      </w:r>
      <w:r w:rsidR="00FD2D3A">
        <w:t xml:space="preserve">pembrolizumab within the Cancer Drugs Fund </w:t>
      </w:r>
      <w:r w:rsidR="00793D99">
        <w:rPr>
          <w:lang w:val="en-US"/>
        </w:rPr>
        <w:t xml:space="preserve">in </w:t>
      </w:r>
      <w:hyperlink r:id="rId20" w:history="1">
        <w:r w:rsidR="00FD2D3A" w:rsidRPr="001D74F4">
          <w:rPr>
            <w:rStyle w:val="Hyperlink"/>
          </w:rPr>
          <w:t>NICE</w:t>
        </w:r>
        <w:r w:rsidR="00FD2D3A">
          <w:rPr>
            <w:rStyle w:val="Hyperlink"/>
          </w:rPr>
          <w:t>’s</w:t>
        </w:r>
        <w:r w:rsidR="00FD2D3A" w:rsidRPr="001D74F4">
          <w:rPr>
            <w:rStyle w:val="Hyperlink"/>
          </w:rPr>
          <w:t xml:space="preserve"> technology appraisal</w:t>
        </w:r>
        <w:r w:rsidR="00FD2D3A">
          <w:rPr>
            <w:rStyle w:val="Hyperlink"/>
          </w:rPr>
          <w:t xml:space="preserve"> on p</w:t>
        </w:r>
        <w:r w:rsidR="00FD2D3A" w:rsidRPr="009659D3">
          <w:rPr>
            <w:rStyle w:val="Hyperlink"/>
          </w:rPr>
          <w:t>embrolizumab for treating relapsed or refractory classical Hodgkin lymphoma</w:t>
        </w:r>
      </w:hyperlink>
      <w:r w:rsidR="00FD2D3A">
        <w:t xml:space="preserve"> </w:t>
      </w:r>
      <w:r w:rsidR="00793D99">
        <w:rPr>
          <w:lang w:val="en-US"/>
        </w:rPr>
        <w:t>which would be conducted as a single technology appraisal of both lines of therapy. NICE welcomes comment on this proposal.</w:t>
      </w:r>
    </w:p>
    <w:p w14:paraId="58116D1E" w14:textId="1F42D4D5" w:rsidR="004845D0" w:rsidRDefault="004041FA" w:rsidP="00ED5F88">
      <w:pPr>
        <w:pStyle w:val="NICEnormal"/>
      </w:pPr>
      <w:r>
        <w:t>Jane Adam</w:t>
      </w:r>
      <w:r w:rsidR="004845D0">
        <w:br/>
      </w:r>
      <w:r w:rsidR="004845D0" w:rsidRPr="000F2D8A">
        <w:t xml:space="preserve">Chair, </w:t>
      </w:r>
      <w:r w:rsidR="003847B9">
        <w:t>a</w:t>
      </w:r>
      <w:r w:rsidR="004845D0" w:rsidRPr="000F2D8A">
        <w:t xml:space="preserve">ppraisal </w:t>
      </w:r>
      <w:r w:rsidR="003847B9">
        <w:t>c</w:t>
      </w:r>
      <w:r w:rsidR="004845D0" w:rsidRPr="000F2D8A">
        <w:t>ommittee</w:t>
      </w:r>
      <w:r>
        <w:t xml:space="preserve"> A</w:t>
      </w:r>
      <w:r w:rsidR="004845D0">
        <w:br/>
      </w:r>
      <w:r w:rsidR="00793D99">
        <w:t xml:space="preserve">September </w:t>
      </w:r>
      <w:r>
        <w:t>2021</w:t>
      </w:r>
    </w:p>
    <w:p w14:paraId="2F93EC45" w14:textId="77777777" w:rsidR="00B16431" w:rsidRPr="007D7F83" w:rsidRDefault="00B16431" w:rsidP="00B16431">
      <w:pPr>
        <w:pStyle w:val="Numberedheading1"/>
        <w:numPr>
          <w:ilvl w:val="0"/>
          <w:numId w:val="1"/>
        </w:numPr>
      </w:pPr>
      <w:r w:rsidRPr="007D7F83">
        <w:lastRenderedPageBreak/>
        <w:t xml:space="preserve">Appraisal </w:t>
      </w:r>
      <w:r w:rsidR="00343B53">
        <w:t>c</w:t>
      </w:r>
      <w:r w:rsidRPr="007D7F83">
        <w:t>ommittee members and NICE project team</w:t>
      </w:r>
    </w:p>
    <w:p w14:paraId="58DBDAC6" w14:textId="77777777" w:rsidR="00B16431" w:rsidRPr="007D7F83" w:rsidRDefault="00B16431" w:rsidP="00B16431">
      <w:pPr>
        <w:pStyle w:val="Heading2"/>
      </w:pPr>
      <w:bookmarkStart w:id="18" w:name="_Appraisal_committee_members"/>
      <w:bookmarkEnd w:id="18"/>
      <w:r w:rsidRPr="007D7F83">
        <w:t xml:space="preserve">Appraisal </w:t>
      </w:r>
      <w:r w:rsidR="00343B53">
        <w:t>c</w:t>
      </w:r>
      <w:r w:rsidRPr="007D7F83">
        <w:t>ommittee members</w:t>
      </w:r>
    </w:p>
    <w:p w14:paraId="0564B141" w14:textId="17FAF139" w:rsidR="002F2583" w:rsidRPr="00742089" w:rsidRDefault="002F2583" w:rsidP="002F2583">
      <w:pPr>
        <w:pStyle w:val="NICEnormal"/>
        <w:rPr>
          <w:rFonts w:eastAsia="Calibri"/>
        </w:rPr>
      </w:pPr>
      <w:r>
        <w:t xml:space="preserve">The 4 technology appraisal committees are standing advisory committees of NICE. This topic was considered by </w:t>
      </w:r>
      <w:hyperlink r:id="rId21" w:history="1">
        <w:r>
          <w:rPr>
            <w:rStyle w:val="Hyperlink"/>
            <w:rFonts w:eastAsia="Calibri"/>
          </w:rPr>
          <w:t xml:space="preserve">committee </w:t>
        </w:r>
        <w:r w:rsidR="004041FA">
          <w:rPr>
            <w:rStyle w:val="Hyperlink"/>
            <w:rFonts w:eastAsia="Calibri"/>
          </w:rPr>
          <w:t>A</w:t>
        </w:r>
      </w:hyperlink>
      <w:r>
        <w:t>.</w:t>
      </w:r>
    </w:p>
    <w:p w14:paraId="02F0BD7E" w14:textId="07B3CDAC" w:rsidR="002F2583" w:rsidRDefault="002F2583" w:rsidP="002F2583">
      <w:pPr>
        <w:pStyle w:val="NICEnormal"/>
      </w:pPr>
      <w:r>
        <w:t>Committee members are asked to declare any interests in the technology to be appraised. If it is considered there is a conflict of interest, the member is excluded from participating further in that appraisal.</w:t>
      </w:r>
    </w:p>
    <w:p w14:paraId="68A24B0F" w14:textId="77777777" w:rsidR="002F2583" w:rsidRDefault="002F2583" w:rsidP="002F2583">
      <w:pPr>
        <w:pStyle w:val="NICEnormal"/>
      </w:pPr>
      <w:r>
        <w:t xml:space="preserve">The </w:t>
      </w:r>
      <w:hyperlink r:id="rId22"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352678CF" w14:textId="77777777" w:rsidR="00B16431" w:rsidRPr="007D7F83" w:rsidRDefault="00B16431" w:rsidP="00B16431">
      <w:pPr>
        <w:pStyle w:val="Heading2"/>
      </w:pPr>
      <w:r w:rsidRPr="007D7F83">
        <w:t>NICE project team</w:t>
      </w:r>
    </w:p>
    <w:p w14:paraId="1FF57F6F" w14:textId="4422149D" w:rsidR="00B16431" w:rsidRPr="000F2D8A" w:rsidRDefault="00B16431" w:rsidP="00B16431">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28267DD2" w14:textId="705E999F" w:rsidR="00B16431" w:rsidRPr="000F2D8A" w:rsidRDefault="00BC3331" w:rsidP="00B16431">
      <w:pPr>
        <w:pStyle w:val="NICEnormal"/>
      </w:pPr>
      <w:bookmarkStart w:id="19" w:name="Text45"/>
      <w:r>
        <w:rPr>
          <w:b/>
        </w:rPr>
        <w:t>Albany Meikle</w:t>
      </w:r>
      <w:r w:rsidR="00B16431">
        <w:br/>
      </w:r>
      <w:r w:rsidR="00B16431" w:rsidRPr="000F2D8A">
        <w:t xml:space="preserve">Technical </w:t>
      </w:r>
      <w:r w:rsidR="00E65C76">
        <w:t>l</w:t>
      </w:r>
      <w:r w:rsidR="00B16431" w:rsidRPr="000F2D8A">
        <w:t>ead</w:t>
      </w:r>
    </w:p>
    <w:p w14:paraId="67B5B97A" w14:textId="79EEDB7E" w:rsidR="00B16431" w:rsidRPr="000F2D8A" w:rsidRDefault="00BC3331" w:rsidP="00B16431">
      <w:pPr>
        <w:pStyle w:val="NICEnormal"/>
      </w:pPr>
      <w:r>
        <w:rPr>
          <w:b/>
        </w:rPr>
        <w:t>Mary Hughes</w:t>
      </w:r>
      <w:r w:rsidR="00B16431">
        <w:br/>
      </w:r>
      <w:r w:rsidR="00B16431" w:rsidRPr="00AF59A2">
        <w:t xml:space="preserve">Technical </w:t>
      </w:r>
      <w:r w:rsidR="00E65C76">
        <w:t>a</w:t>
      </w:r>
      <w:r w:rsidR="00B16431" w:rsidRPr="00AF59A2">
        <w:t>dviser</w:t>
      </w:r>
    </w:p>
    <w:p w14:paraId="41997581" w14:textId="0D5C9809" w:rsidR="00B16431" w:rsidRPr="000F2D8A" w:rsidRDefault="00BC3331" w:rsidP="005D3FD9">
      <w:pPr>
        <w:pStyle w:val="NICEnormal"/>
      </w:pPr>
      <w:r>
        <w:rPr>
          <w:b/>
        </w:rPr>
        <w:t>Thomas Feist</w:t>
      </w:r>
      <w:r w:rsidR="00B16431">
        <w:br/>
      </w:r>
      <w:r w:rsidR="00B16431" w:rsidRPr="000F2D8A">
        <w:t xml:space="preserve">Project </w:t>
      </w:r>
      <w:r w:rsidR="00E65C76">
        <w:t>m</w:t>
      </w:r>
      <w:r w:rsidR="00B16431" w:rsidRPr="000F2D8A">
        <w:t>anager</w:t>
      </w:r>
      <w:bookmarkEnd w:id="19"/>
    </w:p>
    <w:p w14:paraId="373DBD31" w14:textId="77777777" w:rsidR="006E7647" w:rsidRPr="000F48EC" w:rsidRDefault="006E7647" w:rsidP="00F05E37">
      <w:pPr>
        <w:pStyle w:val="NICEnormal"/>
      </w:pPr>
      <w:r>
        <w:t xml:space="preserve">ISBN: </w:t>
      </w:r>
      <w:r w:rsidRPr="004D7C92">
        <w:rPr>
          <w:highlight w:val="green"/>
        </w:rPr>
        <w:t>[to be added at publication]</w:t>
      </w:r>
    </w:p>
    <w:sectPr w:rsidR="006E7647" w:rsidRPr="000F48EC" w:rsidSect="00C76DDA">
      <w:headerReference w:type="default" r:id="rId23"/>
      <w:footerReference w:type="default" r:id="rId2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7975" w14:textId="77777777" w:rsidR="00235FD6" w:rsidRDefault="00235FD6">
      <w:r>
        <w:separator/>
      </w:r>
    </w:p>
  </w:endnote>
  <w:endnote w:type="continuationSeparator" w:id="0">
    <w:p w14:paraId="59A75744" w14:textId="77777777" w:rsidR="00235FD6" w:rsidRDefault="00235FD6">
      <w:r>
        <w:continuationSeparator/>
      </w:r>
    </w:p>
  </w:endnote>
  <w:endnote w:type="continuationNotice" w:id="1">
    <w:p w14:paraId="36473AEB" w14:textId="77777777" w:rsidR="00235FD6" w:rsidRDefault="00235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BF9A" w14:textId="325A5ADD" w:rsidR="006F1A77" w:rsidRPr="00D341D7" w:rsidRDefault="00B12F5D" w:rsidP="00D341D7">
    <w:pPr>
      <w:pStyle w:val="NICEnormalsinglespacing"/>
      <w:spacing w:after="120"/>
      <w:rPr>
        <w:b/>
        <w:bCs/>
        <w:sz w:val="18"/>
        <w:szCs w:val="18"/>
      </w:rPr>
    </w:pPr>
    <w:r>
      <w:rPr>
        <w:sz w:val="18"/>
        <w:szCs w:val="18"/>
      </w:rPr>
      <w:t>A</w:t>
    </w:r>
    <w:r w:rsidR="006F1A77">
      <w:rPr>
        <w:sz w:val="18"/>
        <w:szCs w:val="18"/>
      </w:rPr>
      <w:t xml:space="preserve">ppraisal </w:t>
    </w:r>
    <w:r>
      <w:rPr>
        <w:sz w:val="18"/>
        <w:szCs w:val="18"/>
      </w:rPr>
      <w:t xml:space="preserve">consultation </w:t>
    </w:r>
    <w:r w:rsidR="006F1A77">
      <w:rPr>
        <w:sz w:val="18"/>
        <w:szCs w:val="18"/>
      </w:rPr>
      <w:t>document</w:t>
    </w:r>
    <w:r w:rsidR="006F1A77" w:rsidRPr="003D33FB">
      <w:rPr>
        <w:sz w:val="18"/>
        <w:szCs w:val="18"/>
      </w:rPr>
      <w:t xml:space="preserve"> –</w:t>
    </w:r>
    <w:r w:rsidR="006F1A77">
      <w:rPr>
        <w:sz w:val="18"/>
        <w:szCs w:val="18"/>
      </w:rPr>
      <w:t xml:space="preserve"> </w:t>
    </w:r>
    <w:r w:rsidR="006F1A77" w:rsidRPr="00D341D7">
      <w:rPr>
        <w:sz w:val="18"/>
        <w:szCs w:val="18"/>
      </w:rPr>
      <w:t xml:space="preserve">Pembrolizumab for treating relapsed or refractory classical Hodgkin lymphoma after stem cell transplant or at least </w:t>
    </w:r>
    <w:r w:rsidR="00117991">
      <w:rPr>
        <w:sz w:val="18"/>
        <w:szCs w:val="18"/>
      </w:rPr>
      <w:t>2</w:t>
    </w:r>
    <w:r w:rsidR="006F1A77" w:rsidRPr="00D341D7">
      <w:rPr>
        <w:sz w:val="18"/>
        <w:szCs w:val="18"/>
      </w:rPr>
      <w:t xml:space="preserve"> </w:t>
    </w:r>
    <w:r w:rsidR="006F1A77">
      <w:rPr>
        <w:sz w:val="18"/>
        <w:szCs w:val="18"/>
      </w:rPr>
      <w:t>previous</w:t>
    </w:r>
    <w:r w:rsidR="006F1A77" w:rsidRPr="00D341D7">
      <w:rPr>
        <w:sz w:val="18"/>
        <w:szCs w:val="18"/>
      </w:rPr>
      <w:t xml:space="preserve"> therap</w:t>
    </w:r>
    <w:r w:rsidR="00117991">
      <w:rPr>
        <w:sz w:val="18"/>
        <w:szCs w:val="18"/>
      </w:rPr>
      <w:t>ies</w:t>
    </w:r>
  </w:p>
  <w:p w14:paraId="23D66691" w14:textId="41D3311E" w:rsidR="006F1A77" w:rsidRPr="003D33FB" w:rsidRDefault="006F1A77" w:rsidP="00D341D7">
    <w:pPr>
      <w:pStyle w:val="NICEnormalsinglespacing"/>
      <w:spacing w:after="120"/>
      <w:jc w:val="center"/>
      <w:rPr>
        <w:sz w:val="18"/>
        <w:szCs w:val="18"/>
      </w:rPr>
    </w:pP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73298836" w14:textId="7C1F0960" w:rsidR="006F1A77" w:rsidRDefault="006F1A77" w:rsidP="007A7EC8">
    <w:pPr>
      <w:pStyle w:val="NICEnormalsinglespacing"/>
      <w:spacing w:after="120"/>
      <w:rPr>
        <w:sz w:val="18"/>
        <w:szCs w:val="18"/>
      </w:rPr>
    </w:pPr>
    <w:r w:rsidRPr="003D33FB">
      <w:rPr>
        <w:sz w:val="18"/>
        <w:szCs w:val="18"/>
      </w:rPr>
      <w:t xml:space="preserve">Issue date: </w:t>
    </w:r>
    <w:r w:rsidR="00682015">
      <w:rPr>
        <w:sz w:val="18"/>
        <w:szCs w:val="18"/>
      </w:rPr>
      <w:t>September</w:t>
    </w:r>
    <w:r>
      <w:rPr>
        <w:sz w:val="18"/>
        <w:szCs w:val="18"/>
      </w:rPr>
      <w:t xml:space="preserve"> 2021</w:t>
    </w:r>
  </w:p>
  <w:p w14:paraId="1B5B8105" w14:textId="0F7976E7" w:rsidR="006F1A77" w:rsidRPr="007A7EC8" w:rsidRDefault="006F1A77" w:rsidP="007A7EC8">
    <w:pPr>
      <w:pStyle w:val="NICEnormalsinglespacing"/>
      <w:spacing w:after="120"/>
    </w:pPr>
    <w:r>
      <w:rPr>
        <w:sz w:val="18"/>
        <w:szCs w:val="18"/>
      </w:rPr>
      <w:t xml:space="preserve">© NICE 2021.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ADD9" w14:textId="77777777" w:rsidR="00235FD6" w:rsidRDefault="00235FD6">
      <w:r>
        <w:separator/>
      </w:r>
    </w:p>
  </w:footnote>
  <w:footnote w:type="continuationSeparator" w:id="0">
    <w:p w14:paraId="7954B25C" w14:textId="77777777" w:rsidR="00235FD6" w:rsidRDefault="00235FD6">
      <w:r>
        <w:continuationSeparator/>
      </w:r>
    </w:p>
  </w:footnote>
  <w:footnote w:type="continuationNotice" w:id="1">
    <w:p w14:paraId="079C877F" w14:textId="77777777" w:rsidR="00235FD6" w:rsidRDefault="00235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C223" w14:textId="77777777" w:rsidR="006F1A77" w:rsidRPr="004E6427" w:rsidRDefault="006F1A77"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88CC656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D160EFC"/>
    <w:multiLevelType w:val="hybridMultilevel"/>
    <w:tmpl w:val="CEF0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24F8CBCE"/>
    <w:lvl w:ilvl="0" w:tplc="35960CCE">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0" w15:restartNumberingAfterBreak="0">
    <w:nsid w:val="6E5E5EF8"/>
    <w:multiLevelType w:val="multilevel"/>
    <w:tmpl w:val="28F6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6"/>
  </w:num>
  <w:num w:numId="4">
    <w:abstractNumId w:val="9"/>
  </w:num>
  <w:num w:numId="5">
    <w:abstractNumId w:val="10"/>
  </w:num>
  <w:num w:numId="6">
    <w:abstractNumId w:val="0"/>
  </w:num>
  <w:num w:numId="7">
    <w:abstractNumId w:val="2"/>
  </w:num>
  <w:num w:numId="8">
    <w:abstractNumId w:val="4"/>
  </w:num>
  <w:num w:numId="9">
    <w:abstractNumId w:val="5"/>
  </w:num>
  <w:num w:numId="10">
    <w:abstractNumId w:val="6"/>
  </w:num>
  <w:num w:numId="11">
    <w:abstractNumId w:val="8"/>
  </w:num>
  <w:num w:numId="12">
    <w:abstractNumId w:val="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num>
  <w:num w:numId="1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num>
  <w:num w:numId="21">
    <w:abstractNumId w:val="6"/>
  </w:num>
  <w:num w:numId="22">
    <w:abstractNumId w:val="14"/>
  </w:num>
  <w:num w:numId="23">
    <w:abstractNumId w:val="15"/>
  </w:num>
  <w:num w:numId="24">
    <w:abstractNumId w:val="6"/>
  </w:num>
  <w:num w:numId="25">
    <w:abstractNumId w:val="14"/>
  </w:num>
  <w:num w:numId="26">
    <w:abstractNumId w:val="12"/>
  </w:num>
  <w:num w:numId="27">
    <w:abstractNumId w:val="17"/>
  </w:num>
  <w:num w:numId="28">
    <w:abstractNumId w:val="17"/>
    <w:lvlOverride w:ilvl="0">
      <w:startOverride w:val="1"/>
    </w:lvlOverride>
  </w:num>
  <w:num w:numId="2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BB"/>
    <w:rsid w:val="000000BB"/>
    <w:rsid w:val="00000441"/>
    <w:rsid w:val="00000D96"/>
    <w:rsid w:val="00001D25"/>
    <w:rsid w:val="00003841"/>
    <w:rsid w:val="00006590"/>
    <w:rsid w:val="00006953"/>
    <w:rsid w:val="000069A4"/>
    <w:rsid w:val="000069F9"/>
    <w:rsid w:val="0000706B"/>
    <w:rsid w:val="0000727D"/>
    <w:rsid w:val="00007B15"/>
    <w:rsid w:val="000119FB"/>
    <w:rsid w:val="00014990"/>
    <w:rsid w:val="00016A22"/>
    <w:rsid w:val="00016E5E"/>
    <w:rsid w:val="00017610"/>
    <w:rsid w:val="00017B34"/>
    <w:rsid w:val="000205C6"/>
    <w:rsid w:val="00020CFA"/>
    <w:rsid w:val="00021FB0"/>
    <w:rsid w:val="000221AA"/>
    <w:rsid w:val="0002331F"/>
    <w:rsid w:val="00023F26"/>
    <w:rsid w:val="000249F8"/>
    <w:rsid w:val="00026E82"/>
    <w:rsid w:val="00030676"/>
    <w:rsid w:val="00030714"/>
    <w:rsid w:val="0003322C"/>
    <w:rsid w:val="00034110"/>
    <w:rsid w:val="00035AC1"/>
    <w:rsid w:val="000368FC"/>
    <w:rsid w:val="000376EE"/>
    <w:rsid w:val="000421F8"/>
    <w:rsid w:val="00043262"/>
    <w:rsid w:val="00045528"/>
    <w:rsid w:val="00051F80"/>
    <w:rsid w:val="00052063"/>
    <w:rsid w:val="00055DDF"/>
    <w:rsid w:val="00057724"/>
    <w:rsid w:val="00060F26"/>
    <w:rsid w:val="0006125F"/>
    <w:rsid w:val="00061C83"/>
    <w:rsid w:val="00062F1F"/>
    <w:rsid w:val="00064394"/>
    <w:rsid w:val="0006624B"/>
    <w:rsid w:val="000711F1"/>
    <w:rsid w:val="00073DA8"/>
    <w:rsid w:val="000755E6"/>
    <w:rsid w:val="00075964"/>
    <w:rsid w:val="00075EEF"/>
    <w:rsid w:val="000764D3"/>
    <w:rsid w:val="000776B6"/>
    <w:rsid w:val="00080061"/>
    <w:rsid w:val="00080A47"/>
    <w:rsid w:val="00082F77"/>
    <w:rsid w:val="0008451F"/>
    <w:rsid w:val="00085C5A"/>
    <w:rsid w:val="000862FC"/>
    <w:rsid w:val="00087323"/>
    <w:rsid w:val="000879ED"/>
    <w:rsid w:val="00090108"/>
    <w:rsid w:val="0009040B"/>
    <w:rsid w:val="00090EE9"/>
    <w:rsid w:val="0009337D"/>
    <w:rsid w:val="00093649"/>
    <w:rsid w:val="000941CE"/>
    <w:rsid w:val="00096246"/>
    <w:rsid w:val="000A01CE"/>
    <w:rsid w:val="000A0A6E"/>
    <w:rsid w:val="000A3958"/>
    <w:rsid w:val="000A4016"/>
    <w:rsid w:val="000A6C40"/>
    <w:rsid w:val="000B1027"/>
    <w:rsid w:val="000B2676"/>
    <w:rsid w:val="000B362B"/>
    <w:rsid w:val="000B683A"/>
    <w:rsid w:val="000B6BE6"/>
    <w:rsid w:val="000B70D6"/>
    <w:rsid w:val="000B7F7A"/>
    <w:rsid w:val="000C04A1"/>
    <w:rsid w:val="000C194F"/>
    <w:rsid w:val="000C2222"/>
    <w:rsid w:val="000C477F"/>
    <w:rsid w:val="000D09ED"/>
    <w:rsid w:val="000D0A87"/>
    <w:rsid w:val="000D0FB1"/>
    <w:rsid w:val="000D11B8"/>
    <w:rsid w:val="000D145B"/>
    <w:rsid w:val="000D325D"/>
    <w:rsid w:val="000D6016"/>
    <w:rsid w:val="000D7185"/>
    <w:rsid w:val="000D72C0"/>
    <w:rsid w:val="000E1B86"/>
    <w:rsid w:val="000E1CED"/>
    <w:rsid w:val="000E24BD"/>
    <w:rsid w:val="000E29D1"/>
    <w:rsid w:val="000E6F19"/>
    <w:rsid w:val="000F1B3B"/>
    <w:rsid w:val="000F1E3F"/>
    <w:rsid w:val="000F283A"/>
    <w:rsid w:val="000F38BA"/>
    <w:rsid w:val="000F3DBC"/>
    <w:rsid w:val="000F48EC"/>
    <w:rsid w:val="000F5D8D"/>
    <w:rsid w:val="001017A9"/>
    <w:rsid w:val="00101F34"/>
    <w:rsid w:val="001030E1"/>
    <w:rsid w:val="001033D5"/>
    <w:rsid w:val="001039F7"/>
    <w:rsid w:val="00105409"/>
    <w:rsid w:val="00106215"/>
    <w:rsid w:val="001075EB"/>
    <w:rsid w:val="0010797A"/>
    <w:rsid w:val="00107B49"/>
    <w:rsid w:val="00107DBD"/>
    <w:rsid w:val="00113666"/>
    <w:rsid w:val="001149AC"/>
    <w:rsid w:val="001169FE"/>
    <w:rsid w:val="00116D19"/>
    <w:rsid w:val="00117513"/>
    <w:rsid w:val="00117991"/>
    <w:rsid w:val="00120901"/>
    <w:rsid w:val="001209CD"/>
    <w:rsid w:val="00121E78"/>
    <w:rsid w:val="001230AC"/>
    <w:rsid w:val="001232F6"/>
    <w:rsid w:val="00123F4B"/>
    <w:rsid w:val="00124604"/>
    <w:rsid w:val="001265C0"/>
    <w:rsid w:val="00126960"/>
    <w:rsid w:val="0013099E"/>
    <w:rsid w:val="001337B7"/>
    <w:rsid w:val="00133921"/>
    <w:rsid w:val="001344B3"/>
    <w:rsid w:val="001362D3"/>
    <w:rsid w:val="00137278"/>
    <w:rsid w:val="0013747E"/>
    <w:rsid w:val="00137815"/>
    <w:rsid w:val="00137B1F"/>
    <w:rsid w:val="00140C93"/>
    <w:rsid w:val="00141B88"/>
    <w:rsid w:val="00143536"/>
    <w:rsid w:val="00144232"/>
    <w:rsid w:val="00145B2F"/>
    <w:rsid w:val="001464B2"/>
    <w:rsid w:val="00146A06"/>
    <w:rsid w:val="00147168"/>
    <w:rsid w:val="0014726F"/>
    <w:rsid w:val="00150440"/>
    <w:rsid w:val="00151D8E"/>
    <w:rsid w:val="001552D3"/>
    <w:rsid w:val="00156411"/>
    <w:rsid w:val="001570BC"/>
    <w:rsid w:val="001579BF"/>
    <w:rsid w:val="00161AA0"/>
    <w:rsid w:val="00162348"/>
    <w:rsid w:val="00165A93"/>
    <w:rsid w:val="001662A7"/>
    <w:rsid w:val="001662BC"/>
    <w:rsid w:val="00167CF4"/>
    <w:rsid w:val="0017072D"/>
    <w:rsid w:val="00170B60"/>
    <w:rsid w:val="00171A2B"/>
    <w:rsid w:val="00172122"/>
    <w:rsid w:val="001721E3"/>
    <w:rsid w:val="00174E81"/>
    <w:rsid w:val="00176FB2"/>
    <w:rsid w:val="001823EB"/>
    <w:rsid w:val="001825B7"/>
    <w:rsid w:val="00184A64"/>
    <w:rsid w:val="0018716E"/>
    <w:rsid w:val="001873CB"/>
    <w:rsid w:val="00191341"/>
    <w:rsid w:val="00191B56"/>
    <w:rsid w:val="00193945"/>
    <w:rsid w:val="001956FC"/>
    <w:rsid w:val="00196FE1"/>
    <w:rsid w:val="0019718A"/>
    <w:rsid w:val="001A1AE2"/>
    <w:rsid w:val="001A5561"/>
    <w:rsid w:val="001A7F71"/>
    <w:rsid w:val="001B1D5C"/>
    <w:rsid w:val="001B2DD8"/>
    <w:rsid w:val="001B3FF6"/>
    <w:rsid w:val="001B6741"/>
    <w:rsid w:val="001B7E00"/>
    <w:rsid w:val="001C0EF4"/>
    <w:rsid w:val="001C4227"/>
    <w:rsid w:val="001C59E4"/>
    <w:rsid w:val="001C5B93"/>
    <w:rsid w:val="001D011E"/>
    <w:rsid w:val="001D1D43"/>
    <w:rsid w:val="001D74F4"/>
    <w:rsid w:val="001E27E5"/>
    <w:rsid w:val="001E2CAF"/>
    <w:rsid w:val="001E3B0C"/>
    <w:rsid w:val="001E3BCA"/>
    <w:rsid w:val="001E4D37"/>
    <w:rsid w:val="001F1400"/>
    <w:rsid w:val="001F2AA8"/>
    <w:rsid w:val="001F52FF"/>
    <w:rsid w:val="001F6078"/>
    <w:rsid w:val="001F7251"/>
    <w:rsid w:val="001F74FE"/>
    <w:rsid w:val="001F7AFC"/>
    <w:rsid w:val="002025D3"/>
    <w:rsid w:val="00202731"/>
    <w:rsid w:val="00204B18"/>
    <w:rsid w:val="00204F82"/>
    <w:rsid w:val="00205FD2"/>
    <w:rsid w:val="00207748"/>
    <w:rsid w:val="0021081C"/>
    <w:rsid w:val="002119CD"/>
    <w:rsid w:val="002159C9"/>
    <w:rsid w:val="00217FB0"/>
    <w:rsid w:val="00220406"/>
    <w:rsid w:val="002218BC"/>
    <w:rsid w:val="00222BEA"/>
    <w:rsid w:val="002232F1"/>
    <w:rsid w:val="00225439"/>
    <w:rsid w:val="00225F9B"/>
    <w:rsid w:val="0023052F"/>
    <w:rsid w:val="00232061"/>
    <w:rsid w:val="00235945"/>
    <w:rsid w:val="00235CAB"/>
    <w:rsid w:val="00235FD6"/>
    <w:rsid w:val="002360A9"/>
    <w:rsid w:val="00237AC2"/>
    <w:rsid w:val="00240870"/>
    <w:rsid w:val="00241CF7"/>
    <w:rsid w:val="0024316A"/>
    <w:rsid w:val="002447F0"/>
    <w:rsid w:val="00253EB9"/>
    <w:rsid w:val="002555BE"/>
    <w:rsid w:val="00255679"/>
    <w:rsid w:val="00257B1C"/>
    <w:rsid w:val="002614EA"/>
    <w:rsid w:val="002659F1"/>
    <w:rsid w:val="00265B0E"/>
    <w:rsid w:val="0027054B"/>
    <w:rsid w:val="00271476"/>
    <w:rsid w:val="0027476D"/>
    <w:rsid w:val="00282C30"/>
    <w:rsid w:val="00282D7E"/>
    <w:rsid w:val="00287760"/>
    <w:rsid w:val="00290445"/>
    <w:rsid w:val="002918BE"/>
    <w:rsid w:val="00292044"/>
    <w:rsid w:val="00293811"/>
    <w:rsid w:val="00295444"/>
    <w:rsid w:val="002973A4"/>
    <w:rsid w:val="002A151A"/>
    <w:rsid w:val="002A2687"/>
    <w:rsid w:val="002A5C23"/>
    <w:rsid w:val="002A686F"/>
    <w:rsid w:val="002B0C89"/>
    <w:rsid w:val="002B2B6A"/>
    <w:rsid w:val="002B2BBC"/>
    <w:rsid w:val="002B3340"/>
    <w:rsid w:val="002B5772"/>
    <w:rsid w:val="002B6ACB"/>
    <w:rsid w:val="002B6D1D"/>
    <w:rsid w:val="002C0551"/>
    <w:rsid w:val="002C24DE"/>
    <w:rsid w:val="002C24E7"/>
    <w:rsid w:val="002C257D"/>
    <w:rsid w:val="002C2774"/>
    <w:rsid w:val="002C381D"/>
    <w:rsid w:val="002C4054"/>
    <w:rsid w:val="002D3684"/>
    <w:rsid w:val="002D4F97"/>
    <w:rsid w:val="002D79A7"/>
    <w:rsid w:val="002E01E0"/>
    <w:rsid w:val="002E3BFE"/>
    <w:rsid w:val="002E3F68"/>
    <w:rsid w:val="002E5C16"/>
    <w:rsid w:val="002E73E7"/>
    <w:rsid w:val="002E7467"/>
    <w:rsid w:val="002E7BAE"/>
    <w:rsid w:val="002F0AA7"/>
    <w:rsid w:val="002F1398"/>
    <w:rsid w:val="002F1B28"/>
    <w:rsid w:val="002F2583"/>
    <w:rsid w:val="002F279A"/>
    <w:rsid w:val="002F2C1A"/>
    <w:rsid w:val="002F3D6F"/>
    <w:rsid w:val="002F4F5B"/>
    <w:rsid w:val="002F68FE"/>
    <w:rsid w:val="00300DF8"/>
    <w:rsid w:val="00303156"/>
    <w:rsid w:val="00306DD7"/>
    <w:rsid w:val="00307020"/>
    <w:rsid w:val="003107AB"/>
    <w:rsid w:val="0031127A"/>
    <w:rsid w:val="00311A01"/>
    <w:rsid w:val="003154E8"/>
    <w:rsid w:val="00315C29"/>
    <w:rsid w:val="0031664C"/>
    <w:rsid w:val="00317A3F"/>
    <w:rsid w:val="00317A47"/>
    <w:rsid w:val="00324997"/>
    <w:rsid w:val="00324AC3"/>
    <w:rsid w:val="0032548E"/>
    <w:rsid w:val="003256B1"/>
    <w:rsid w:val="00327E13"/>
    <w:rsid w:val="00330A3F"/>
    <w:rsid w:val="00331545"/>
    <w:rsid w:val="003330E6"/>
    <w:rsid w:val="0033333E"/>
    <w:rsid w:val="003345B0"/>
    <w:rsid w:val="003368C0"/>
    <w:rsid w:val="00343439"/>
    <w:rsid w:val="00343B53"/>
    <w:rsid w:val="003459E9"/>
    <w:rsid w:val="00345E3B"/>
    <w:rsid w:val="00346BA7"/>
    <w:rsid w:val="003548C4"/>
    <w:rsid w:val="00354915"/>
    <w:rsid w:val="003566DD"/>
    <w:rsid w:val="00362856"/>
    <w:rsid w:val="0036293A"/>
    <w:rsid w:val="00364E30"/>
    <w:rsid w:val="00372031"/>
    <w:rsid w:val="003738C2"/>
    <w:rsid w:val="003762D7"/>
    <w:rsid w:val="0037687D"/>
    <w:rsid w:val="00383594"/>
    <w:rsid w:val="003847B9"/>
    <w:rsid w:val="00384931"/>
    <w:rsid w:val="00385E85"/>
    <w:rsid w:val="0039118D"/>
    <w:rsid w:val="00391AC8"/>
    <w:rsid w:val="00392FB4"/>
    <w:rsid w:val="003941C4"/>
    <w:rsid w:val="00394DFF"/>
    <w:rsid w:val="00395C05"/>
    <w:rsid w:val="00395DC8"/>
    <w:rsid w:val="003961B5"/>
    <w:rsid w:val="003A0250"/>
    <w:rsid w:val="003A04CD"/>
    <w:rsid w:val="003A11AB"/>
    <w:rsid w:val="003A1F14"/>
    <w:rsid w:val="003A3974"/>
    <w:rsid w:val="003A5838"/>
    <w:rsid w:val="003B0BC2"/>
    <w:rsid w:val="003B26FA"/>
    <w:rsid w:val="003B37BB"/>
    <w:rsid w:val="003B4B4D"/>
    <w:rsid w:val="003B79B0"/>
    <w:rsid w:val="003C23BB"/>
    <w:rsid w:val="003C36AC"/>
    <w:rsid w:val="003C7EF9"/>
    <w:rsid w:val="003D58B6"/>
    <w:rsid w:val="003D68D5"/>
    <w:rsid w:val="003D7050"/>
    <w:rsid w:val="003E14CF"/>
    <w:rsid w:val="003E2976"/>
    <w:rsid w:val="003E362C"/>
    <w:rsid w:val="003E684C"/>
    <w:rsid w:val="003E69F9"/>
    <w:rsid w:val="003F168A"/>
    <w:rsid w:val="003F33D1"/>
    <w:rsid w:val="003F66AE"/>
    <w:rsid w:val="004026F8"/>
    <w:rsid w:val="00404146"/>
    <w:rsid w:val="004041FA"/>
    <w:rsid w:val="00407D59"/>
    <w:rsid w:val="00413A9E"/>
    <w:rsid w:val="0041525E"/>
    <w:rsid w:val="00415939"/>
    <w:rsid w:val="00420742"/>
    <w:rsid w:val="00421005"/>
    <w:rsid w:val="00424DD6"/>
    <w:rsid w:val="00431372"/>
    <w:rsid w:val="004317A0"/>
    <w:rsid w:val="00433564"/>
    <w:rsid w:val="00434613"/>
    <w:rsid w:val="00437732"/>
    <w:rsid w:val="00437CA3"/>
    <w:rsid w:val="0044027B"/>
    <w:rsid w:val="004408F8"/>
    <w:rsid w:val="00442F8E"/>
    <w:rsid w:val="004438E2"/>
    <w:rsid w:val="00444333"/>
    <w:rsid w:val="0044574A"/>
    <w:rsid w:val="0044648F"/>
    <w:rsid w:val="00446DA2"/>
    <w:rsid w:val="00453B8A"/>
    <w:rsid w:val="00454BE9"/>
    <w:rsid w:val="004576A5"/>
    <w:rsid w:val="00457843"/>
    <w:rsid w:val="00460458"/>
    <w:rsid w:val="00461BFD"/>
    <w:rsid w:val="00462002"/>
    <w:rsid w:val="0046212F"/>
    <w:rsid w:val="00462733"/>
    <w:rsid w:val="00463227"/>
    <w:rsid w:val="00463973"/>
    <w:rsid w:val="00466674"/>
    <w:rsid w:val="00471113"/>
    <w:rsid w:val="00471200"/>
    <w:rsid w:val="00471FF1"/>
    <w:rsid w:val="00472FF8"/>
    <w:rsid w:val="00473108"/>
    <w:rsid w:val="00475F03"/>
    <w:rsid w:val="00477C38"/>
    <w:rsid w:val="004804B3"/>
    <w:rsid w:val="00481E06"/>
    <w:rsid w:val="004820E9"/>
    <w:rsid w:val="00483119"/>
    <w:rsid w:val="0048361F"/>
    <w:rsid w:val="004845D0"/>
    <w:rsid w:val="004852FF"/>
    <w:rsid w:val="00490FBC"/>
    <w:rsid w:val="004921C3"/>
    <w:rsid w:val="0049290A"/>
    <w:rsid w:val="0049296B"/>
    <w:rsid w:val="00492FDA"/>
    <w:rsid w:val="0049335B"/>
    <w:rsid w:val="00494441"/>
    <w:rsid w:val="00494E73"/>
    <w:rsid w:val="004A2830"/>
    <w:rsid w:val="004A2FC0"/>
    <w:rsid w:val="004A31F6"/>
    <w:rsid w:val="004A4C8C"/>
    <w:rsid w:val="004A6EE3"/>
    <w:rsid w:val="004B063F"/>
    <w:rsid w:val="004B4901"/>
    <w:rsid w:val="004B514C"/>
    <w:rsid w:val="004B670B"/>
    <w:rsid w:val="004B69AA"/>
    <w:rsid w:val="004B7D57"/>
    <w:rsid w:val="004C00D8"/>
    <w:rsid w:val="004C3D2D"/>
    <w:rsid w:val="004C3DAD"/>
    <w:rsid w:val="004C5923"/>
    <w:rsid w:val="004C6116"/>
    <w:rsid w:val="004C7C61"/>
    <w:rsid w:val="004D0DFD"/>
    <w:rsid w:val="004D1FBE"/>
    <w:rsid w:val="004D45BE"/>
    <w:rsid w:val="004D4A86"/>
    <w:rsid w:val="004D7664"/>
    <w:rsid w:val="004E074F"/>
    <w:rsid w:val="004E6427"/>
    <w:rsid w:val="004E7625"/>
    <w:rsid w:val="004E7E43"/>
    <w:rsid w:val="004F1956"/>
    <w:rsid w:val="004F45FB"/>
    <w:rsid w:val="004F53DB"/>
    <w:rsid w:val="004F5FC6"/>
    <w:rsid w:val="004F69FA"/>
    <w:rsid w:val="00500B99"/>
    <w:rsid w:val="00502EC4"/>
    <w:rsid w:val="005037B2"/>
    <w:rsid w:val="00503815"/>
    <w:rsid w:val="0050455E"/>
    <w:rsid w:val="005047AD"/>
    <w:rsid w:val="0050626E"/>
    <w:rsid w:val="0050683B"/>
    <w:rsid w:val="00507693"/>
    <w:rsid w:val="00510B1D"/>
    <w:rsid w:val="0051107D"/>
    <w:rsid w:val="00511167"/>
    <w:rsid w:val="0051408F"/>
    <w:rsid w:val="00517E72"/>
    <w:rsid w:val="00521A52"/>
    <w:rsid w:val="0052247D"/>
    <w:rsid w:val="00522C0C"/>
    <w:rsid w:val="005247CF"/>
    <w:rsid w:val="00526C07"/>
    <w:rsid w:val="005273A6"/>
    <w:rsid w:val="00527533"/>
    <w:rsid w:val="00527713"/>
    <w:rsid w:val="00527E88"/>
    <w:rsid w:val="00531185"/>
    <w:rsid w:val="0053289F"/>
    <w:rsid w:val="0053387C"/>
    <w:rsid w:val="00534F74"/>
    <w:rsid w:val="00536789"/>
    <w:rsid w:val="00536D2F"/>
    <w:rsid w:val="00540052"/>
    <w:rsid w:val="0054146B"/>
    <w:rsid w:val="005415BC"/>
    <w:rsid w:val="00541812"/>
    <w:rsid w:val="0054329E"/>
    <w:rsid w:val="00543585"/>
    <w:rsid w:val="00543DB4"/>
    <w:rsid w:val="00543E08"/>
    <w:rsid w:val="005449AD"/>
    <w:rsid w:val="005505ED"/>
    <w:rsid w:val="00551F03"/>
    <w:rsid w:val="005549E8"/>
    <w:rsid w:val="005551FF"/>
    <w:rsid w:val="005555D6"/>
    <w:rsid w:val="00564B04"/>
    <w:rsid w:val="00566C11"/>
    <w:rsid w:val="00570524"/>
    <w:rsid w:val="00570B1A"/>
    <w:rsid w:val="00571C4E"/>
    <w:rsid w:val="00573059"/>
    <w:rsid w:val="0057621E"/>
    <w:rsid w:val="005773FB"/>
    <w:rsid w:val="00577B05"/>
    <w:rsid w:val="00577F1D"/>
    <w:rsid w:val="00580D6F"/>
    <w:rsid w:val="005812C6"/>
    <w:rsid w:val="0058200C"/>
    <w:rsid w:val="0058382A"/>
    <w:rsid w:val="00590930"/>
    <w:rsid w:val="00594292"/>
    <w:rsid w:val="005948FA"/>
    <w:rsid w:val="005959BE"/>
    <w:rsid w:val="00596210"/>
    <w:rsid w:val="00596286"/>
    <w:rsid w:val="00596999"/>
    <w:rsid w:val="005A0F31"/>
    <w:rsid w:val="005A28A1"/>
    <w:rsid w:val="005A46D0"/>
    <w:rsid w:val="005A53B6"/>
    <w:rsid w:val="005A6FB5"/>
    <w:rsid w:val="005B09F0"/>
    <w:rsid w:val="005B25E4"/>
    <w:rsid w:val="005B2769"/>
    <w:rsid w:val="005B30C8"/>
    <w:rsid w:val="005B7778"/>
    <w:rsid w:val="005C051F"/>
    <w:rsid w:val="005C2380"/>
    <w:rsid w:val="005C3F61"/>
    <w:rsid w:val="005C6E7B"/>
    <w:rsid w:val="005C762E"/>
    <w:rsid w:val="005D098C"/>
    <w:rsid w:val="005D1ABA"/>
    <w:rsid w:val="005D311B"/>
    <w:rsid w:val="005D3FD9"/>
    <w:rsid w:val="005E2139"/>
    <w:rsid w:val="005E34FB"/>
    <w:rsid w:val="005E46BB"/>
    <w:rsid w:val="005E5A63"/>
    <w:rsid w:val="005E7605"/>
    <w:rsid w:val="005F31F9"/>
    <w:rsid w:val="005F3254"/>
    <w:rsid w:val="005F3CC1"/>
    <w:rsid w:val="005F5A1F"/>
    <w:rsid w:val="005F7856"/>
    <w:rsid w:val="006001CC"/>
    <w:rsid w:val="00602B4D"/>
    <w:rsid w:val="00603C94"/>
    <w:rsid w:val="006048E0"/>
    <w:rsid w:val="00604FAD"/>
    <w:rsid w:val="0060662A"/>
    <w:rsid w:val="0060741A"/>
    <w:rsid w:val="006106E3"/>
    <w:rsid w:val="00612789"/>
    <w:rsid w:val="00613D24"/>
    <w:rsid w:val="00614BDA"/>
    <w:rsid w:val="00616046"/>
    <w:rsid w:val="00621AFB"/>
    <w:rsid w:val="0062589A"/>
    <w:rsid w:val="0062664E"/>
    <w:rsid w:val="00630786"/>
    <w:rsid w:val="006307C7"/>
    <w:rsid w:val="0063173E"/>
    <w:rsid w:val="00632B82"/>
    <w:rsid w:val="006331B4"/>
    <w:rsid w:val="006343F3"/>
    <w:rsid w:val="00640125"/>
    <w:rsid w:val="00640CF2"/>
    <w:rsid w:val="006417D6"/>
    <w:rsid w:val="00642906"/>
    <w:rsid w:val="00643582"/>
    <w:rsid w:val="00643B75"/>
    <w:rsid w:val="006457EF"/>
    <w:rsid w:val="006469AD"/>
    <w:rsid w:val="00647C20"/>
    <w:rsid w:val="00650F96"/>
    <w:rsid w:val="006512B7"/>
    <w:rsid w:val="00651C22"/>
    <w:rsid w:val="00655679"/>
    <w:rsid w:val="00655B4D"/>
    <w:rsid w:val="00655ED5"/>
    <w:rsid w:val="00663B83"/>
    <w:rsid w:val="00665734"/>
    <w:rsid w:val="00666ECA"/>
    <w:rsid w:val="00671003"/>
    <w:rsid w:val="00671977"/>
    <w:rsid w:val="00671D80"/>
    <w:rsid w:val="00672121"/>
    <w:rsid w:val="00672EFB"/>
    <w:rsid w:val="006739CF"/>
    <w:rsid w:val="00675F84"/>
    <w:rsid w:val="0067752C"/>
    <w:rsid w:val="006776A2"/>
    <w:rsid w:val="006801A6"/>
    <w:rsid w:val="0068124B"/>
    <w:rsid w:val="00681610"/>
    <w:rsid w:val="00682015"/>
    <w:rsid w:val="00682533"/>
    <w:rsid w:val="00682691"/>
    <w:rsid w:val="00683EB8"/>
    <w:rsid w:val="00684AD6"/>
    <w:rsid w:val="00685A16"/>
    <w:rsid w:val="00685D36"/>
    <w:rsid w:val="00687304"/>
    <w:rsid w:val="00690D0B"/>
    <w:rsid w:val="00692C71"/>
    <w:rsid w:val="006931A0"/>
    <w:rsid w:val="006935BC"/>
    <w:rsid w:val="00696E55"/>
    <w:rsid w:val="006979FA"/>
    <w:rsid w:val="006A0B0E"/>
    <w:rsid w:val="006A3A9C"/>
    <w:rsid w:val="006A3CC5"/>
    <w:rsid w:val="006A6EDA"/>
    <w:rsid w:val="006A721F"/>
    <w:rsid w:val="006A74B5"/>
    <w:rsid w:val="006A7CCF"/>
    <w:rsid w:val="006B0581"/>
    <w:rsid w:val="006B0F36"/>
    <w:rsid w:val="006B30FD"/>
    <w:rsid w:val="006B4254"/>
    <w:rsid w:val="006B5CB4"/>
    <w:rsid w:val="006B6DCF"/>
    <w:rsid w:val="006B791B"/>
    <w:rsid w:val="006C0B06"/>
    <w:rsid w:val="006C15EC"/>
    <w:rsid w:val="006C3656"/>
    <w:rsid w:val="006C4793"/>
    <w:rsid w:val="006D0EDD"/>
    <w:rsid w:val="006D1299"/>
    <w:rsid w:val="006D1586"/>
    <w:rsid w:val="006D36FB"/>
    <w:rsid w:val="006D3F45"/>
    <w:rsid w:val="006D42ED"/>
    <w:rsid w:val="006D4300"/>
    <w:rsid w:val="006D4D1A"/>
    <w:rsid w:val="006D5982"/>
    <w:rsid w:val="006D73F1"/>
    <w:rsid w:val="006E2A29"/>
    <w:rsid w:val="006E3514"/>
    <w:rsid w:val="006E45AF"/>
    <w:rsid w:val="006E7421"/>
    <w:rsid w:val="006E7647"/>
    <w:rsid w:val="006E7ADD"/>
    <w:rsid w:val="006F11C1"/>
    <w:rsid w:val="006F162C"/>
    <w:rsid w:val="006F1A77"/>
    <w:rsid w:val="006F1DA8"/>
    <w:rsid w:val="006F22E9"/>
    <w:rsid w:val="006F4CFA"/>
    <w:rsid w:val="006F5310"/>
    <w:rsid w:val="006F696E"/>
    <w:rsid w:val="006F6B91"/>
    <w:rsid w:val="007040CB"/>
    <w:rsid w:val="0070523B"/>
    <w:rsid w:val="00707D16"/>
    <w:rsid w:val="00711D5D"/>
    <w:rsid w:val="00714041"/>
    <w:rsid w:val="00715E8A"/>
    <w:rsid w:val="00717226"/>
    <w:rsid w:val="0072005E"/>
    <w:rsid w:val="00720FDD"/>
    <w:rsid w:val="007213F6"/>
    <w:rsid w:val="00721A2A"/>
    <w:rsid w:val="00722883"/>
    <w:rsid w:val="00723AF0"/>
    <w:rsid w:val="00724B77"/>
    <w:rsid w:val="00724CC2"/>
    <w:rsid w:val="00725197"/>
    <w:rsid w:val="00726A9D"/>
    <w:rsid w:val="00727911"/>
    <w:rsid w:val="0073007E"/>
    <w:rsid w:val="007311E2"/>
    <w:rsid w:val="00732519"/>
    <w:rsid w:val="0073365B"/>
    <w:rsid w:val="00734F5A"/>
    <w:rsid w:val="00735179"/>
    <w:rsid w:val="0073579D"/>
    <w:rsid w:val="00735C39"/>
    <w:rsid w:val="00736D97"/>
    <w:rsid w:val="00737CEF"/>
    <w:rsid w:val="00737DDA"/>
    <w:rsid w:val="00746B57"/>
    <w:rsid w:val="00747D90"/>
    <w:rsid w:val="007501B9"/>
    <w:rsid w:val="00751CB9"/>
    <w:rsid w:val="0075624F"/>
    <w:rsid w:val="00756580"/>
    <w:rsid w:val="00756D96"/>
    <w:rsid w:val="00761258"/>
    <w:rsid w:val="007620C2"/>
    <w:rsid w:val="007628E8"/>
    <w:rsid w:val="00763641"/>
    <w:rsid w:val="00765488"/>
    <w:rsid w:val="007668BA"/>
    <w:rsid w:val="00766EA2"/>
    <w:rsid w:val="00766F5E"/>
    <w:rsid w:val="0076797A"/>
    <w:rsid w:val="00770596"/>
    <w:rsid w:val="00770D93"/>
    <w:rsid w:val="0077277D"/>
    <w:rsid w:val="007747D4"/>
    <w:rsid w:val="00774963"/>
    <w:rsid w:val="0077744C"/>
    <w:rsid w:val="007805C1"/>
    <w:rsid w:val="00781121"/>
    <w:rsid w:val="00781196"/>
    <w:rsid w:val="007815E8"/>
    <w:rsid w:val="00781B7F"/>
    <w:rsid w:val="00781CE8"/>
    <w:rsid w:val="00782DCB"/>
    <w:rsid w:val="00784156"/>
    <w:rsid w:val="00784169"/>
    <w:rsid w:val="0078531D"/>
    <w:rsid w:val="00791280"/>
    <w:rsid w:val="00791774"/>
    <w:rsid w:val="007928B2"/>
    <w:rsid w:val="007933B3"/>
    <w:rsid w:val="00793D99"/>
    <w:rsid w:val="00794193"/>
    <w:rsid w:val="00794C40"/>
    <w:rsid w:val="00794D72"/>
    <w:rsid w:val="00796696"/>
    <w:rsid w:val="00797624"/>
    <w:rsid w:val="007A048E"/>
    <w:rsid w:val="007A151B"/>
    <w:rsid w:val="007A19AF"/>
    <w:rsid w:val="007A1E9D"/>
    <w:rsid w:val="007A2801"/>
    <w:rsid w:val="007A4EEE"/>
    <w:rsid w:val="007A6DAA"/>
    <w:rsid w:val="007A6F6A"/>
    <w:rsid w:val="007A7EC8"/>
    <w:rsid w:val="007B032C"/>
    <w:rsid w:val="007B1AA2"/>
    <w:rsid w:val="007B1AF8"/>
    <w:rsid w:val="007B242D"/>
    <w:rsid w:val="007B2A16"/>
    <w:rsid w:val="007B43EB"/>
    <w:rsid w:val="007B4B3F"/>
    <w:rsid w:val="007B5E5C"/>
    <w:rsid w:val="007B663D"/>
    <w:rsid w:val="007B787D"/>
    <w:rsid w:val="007B79CB"/>
    <w:rsid w:val="007B7B7B"/>
    <w:rsid w:val="007C0709"/>
    <w:rsid w:val="007C305A"/>
    <w:rsid w:val="007C3165"/>
    <w:rsid w:val="007C58D6"/>
    <w:rsid w:val="007C732D"/>
    <w:rsid w:val="007D1008"/>
    <w:rsid w:val="007D12B1"/>
    <w:rsid w:val="007D2C8C"/>
    <w:rsid w:val="007D33AD"/>
    <w:rsid w:val="007D3CC2"/>
    <w:rsid w:val="007D5B27"/>
    <w:rsid w:val="007D5C80"/>
    <w:rsid w:val="007D62AE"/>
    <w:rsid w:val="007E013D"/>
    <w:rsid w:val="007E1546"/>
    <w:rsid w:val="007E2754"/>
    <w:rsid w:val="007E5818"/>
    <w:rsid w:val="007E61A7"/>
    <w:rsid w:val="007E65D7"/>
    <w:rsid w:val="007E67FC"/>
    <w:rsid w:val="007F003C"/>
    <w:rsid w:val="007F05C6"/>
    <w:rsid w:val="007F227E"/>
    <w:rsid w:val="007F51F4"/>
    <w:rsid w:val="007F6249"/>
    <w:rsid w:val="007F64EB"/>
    <w:rsid w:val="0080089C"/>
    <w:rsid w:val="00803318"/>
    <w:rsid w:val="00803456"/>
    <w:rsid w:val="0080390A"/>
    <w:rsid w:val="00805671"/>
    <w:rsid w:val="00805B9F"/>
    <w:rsid w:val="00811BBD"/>
    <w:rsid w:val="00812976"/>
    <w:rsid w:val="00814DEF"/>
    <w:rsid w:val="0081637B"/>
    <w:rsid w:val="0081739D"/>
    <w:rsid w:val="00820022"/>
    <w:rsid w:val="00820154"/>
    <w:rsid w:val="00821A4E"/>
    <w:rsid w:val="0082239E"/>
    <w:rsid w:val="00822813"/>
    <w:rsid w:val="008232DF"/>
    <w:rsid w:val="00825A87"/>
    <w:rsid w:val="00827F06"/>
    <w:rsid w:val="008303B1"/>
    <w:rsid w:val="00831B9B"/>
    <w:rsid w:val="00832381"/>
    <w:rsid w:val="008338C1"/>
    <w:rsid w:val="00835008"/>
    <w:rsid w:val="00840958"/>
    <w:rsid w:val="00841101"/>
    <w:rsid w:val="00841379"/>
    <w:rsid w:val="0084252A"/>
    <w:rsid w:val="00842A7E"/>
    <w:rsid w:val="00844D3D"/>
    <w:rsid w:val="0084532E"/>
    <w:rsid w:val="00845810"/>
    <w:rsid w:val="00845F3C"/>
    <w:rsid w:val="00846159"/>
    <w:rsid w:val="008505C3"/>
    <w:rsid w:val="00851677"/>
    <w:rsid w:val="008522C6"/>
    <w:rsid w:val="00852E40"/>
    <w:rsid w:val="0085620C"/>
    <w:rsid w:val="00857A90"/>
    <w:rsid w:val="00857CDD"/>
    <w:rsid w:val="00860B55"/>
    <w:rsid w:val="00860EA8"/>
    <w:rsid w:val="00862252"/>
    <w:rsid w:val="0086472B"/>
    <w:rsid w:val="00865B83"/>
    <w:rsid w:val="00866494"/>
    <w:rsid w:val="00866CC6"/>
    <w:rsid w:val="00870EA4"/>
    <w:rsid w:val="0087368E"/>
    <w:rsid w:val="00877BB3"/>
    <w:rsid w:val="008802D9"/>
    <w:rsid w:val="00880B98"/>
    <w:rsid w:val="00881F26"/>
    <w:rsid w:val="008829C6"/>
    <w:rsid w:val="008830F7"/>
    <w:rsid w:val="008838A1"/>
    <w:rsid w:val="0088685E"/>
    <w:rsid w:val="0088689E"/>
    <w:rsid w:val="00891794"/>
    <w:rsid w:val="00891929"/>
    <w:rsid w:val="00893176"/>
    <w:rsid w:val="00895446"/>
    <w:rsid w:val="008A05E4"/>
    <w:rsid w:val="008A1E69"/>
    <w:rsid w:val="008A2098"/>
    <w:rsid w:val="008A32D1"/>
    <w:rsid w:val="008A6A84"/>
    <w:rsid w:val="008A7B50"/>
    <w:rsid w:val="008B03D8"/>
    <w:rsid w:val="008B4290"/>
    <w:rsid w:val="008B4AD6"/>
    <w:rsid w:val="008B61CD"/>
    <w:rsid w:val="008C0C17"/>
    <w:rsid w:val="008C1773"/>
    <w:rsid w:val="008C4A61"/>
    <w:rsid w:val="008C4CB3"/>
    <w:rsid w:val="008C4F0F"/>
    <w:rsid w:val="008C5C06"/>
    <w:rsid w:val="008C6CFD"/>
    <w:rsid w:val="008C7D07"/>
    <w:rsid w:val="008C7F38"/>
    <w:rsid w:val="008D1328"/>
    <w:rsid w:val="008D13A4"/>
    <w:rsid w:val="008D3817"/>
    <w:rsid w:val="008D3B9E"/>
    <w:rsid w:val="008D55C9"/>
    <w:rsid w:val="008D7580"/>
    <w:rsid w:val="008E2960"/>
    <w:rsid w:val="008E5493"/>
    <w:rsid w:val="008E7460"/>
    <w:rsid w:val="008E7585"/>
    <w:rsid w:val="008F2896"/>
    <w:rsid w:val="008F2E5C"/>
    <w:rsid w:val="008F646F"/>
    <w:rsid w:val="0090679C"/>
    <w:rsid w:val="00906982"/>
    <w:rsid w:val="009076D0"/>
    <w:rsid w:val="00910337"/>
    <w:rsid w:val="0091162A"/>
    <w:rsid w:val="00913F5E"/>
    <w:rsid w:val="00914F38"/>
    <w:rsid w:val="0091776B"/>
    <w:rsid w:val="00920396"/>
    <w:rsid w:val="009228EE"/>
    <w:rsid w:val="0092657D"/>
    <w:rsid w:val="00931E1D"/>
    <w:rsid w:val="00932B67"/>
    <w:rsid w:val="00935018"/>
    <w:rsid w:val="00936354"/>
    <w:rsid w:val="0093671F"/>
    <w:rsid w:val="00937D0C"/>
    <w:rsid w:val="00937F0D"/>
    <w:rsid w:val="00941D1F"/>
    <w:rsid w:val="00942CEF"/>
    <w:rsid w:val="00942FA7"/>
    <w:rsid w:val="0094366C"/>
    <w:rsid w:val="0094666B"/>
    <w:rsid w:val="009479C0"/>
    <w:rsid w:val="00950914"/>
    <w:rsid w:val="00950C51"/>
    <w:rsid w:val="00951973"/>
    <w:rsid w:val="0095252E"/>
    <w:rsid w:val="00952591"/>
    <w:rsid w:val="00952C90"/>
    <w:rsid w:val="00953ADF"/>
    <w:rsid w:val="00953B55"/>
    <w:rsid w:val="00954ED4"/>
    <w:rsid w:val="0095579B"/>
    <w:rsid w:val="00955E8C"/>
    <w:rsid w:val="00957E73"/>
    <w:rsid w:val="0096135C"/>
    <w:rsid w:val="009659D3"/>
    <w:rsid w:val="00967C4C"/>
    <w:rsid w:val="009746D7"/>
    <w:rsid w:val="009808B4"/>
    <w:rsid w:val="00983391"/>
    <w:rsid w:val="0098343A"/>
    <w:rsid w:val="00983C70"/>
    <w:rsid w:val="00984821"/>
    <w:rsid w:val="00994490"/>
    <w:rsid w:val="009961A7"/>
    <w:rsid w:val="0099641E"/>
    <w:rsid w:val="00996FE8"/>
    <w:rsid w:val="0099716A"/>
    <w:rsid w:val="009A0593"/>
    <w:rsid w:val="009A2797"/>
    <w:rsid w:val="009A2C14"/>
    <w:rsid w:val="009A3D97"/>
    <w:rsid w:val="009A3ED6"/>
    <w:rsid w:val="009A598B"/>
    <w:rsid w:val="009A698B"/>
    <w:rsid w:val="009B0799"/>
    <w:rsid w:val="009B1A18"/>
    <w:rsid w:val="009B2D86"/>
    <w:rsid w:val="009B3F94"/>
    <w:rsid w:val="009B5DC6"/>
    <w:rsid w:val="009B5E70"/>
    <w:rsid w:val="009B621A"/>
    <w:rsid w:val="009B672F"/>
    <w:rsid w:val="009B6EAB"/>
    <w:rsid w:val="009B718D"/>
    <w:rsid w:val="009B7408"/>
    <w:rsid w:val="009B7CCE"/>
    <w:rsid w:val="009C0BCC"/>
    <w:rsid w:val="009C3275"/>
    <w:rsid w:val="009C37E2"/>
    <w:rsid w:val="009C3FA3"/>
    <w:rsid w:val="009C45D9"/>
    <w:rsid w:val="009C6530"/>
    <w:rsid w:val="009C6F32"/>
    <w:rsid w:val="009D0F6B"/>
    <w:rsid w:val="009D20B2"/>
    <w:rsid w:val="009D2707"/>
    <w:rsid w:val="009D2BEF"/>
    <w:rsid w:val="009D358E"/>
    <w:rsid w:val="009D59F5"/>
    <w:rsid w:val="009D7187"/>
    <w:rsid w:val="009D783B"/>
    <w:rsid w:val="009E01DD"/>
    <w:rsid w:val="009E0607"/>
    <w:rsid w:val="009E06FB"/>
    <w:rsid w:val="009E3121"/>
    <w:rsid w:val="009E3151"/>
    <w:rsid w:val="009E547A"/>
    <w:rsid w:val="009E7519"/>
    <w:rsid w:val="009F1890"/>
    <w:rsid w:val="009F212F"/>
    <w:rsid w:val="009F30C8"/>
    <w:rsid w:val="009F4054"/>
    <w:rsid w:val="009F4E51"/>
    <w:rsid w:val="009F4F0C"/>
    <w:rsid w:val="009F58D8"/>
    <w:rsid w:val="00A02F7D"/>
    <w:rsid w:val="00A03791"/>
    <w:rsid w:val="00A06657"/>
    <w:rsid w:val="00A06BE6"/>
    <w:rsid w:val="00A10AB6"/>
    <w:rsid w:val="00A12303"/>
    <w:rsid w:val="00A12DA0"/>
    <w:rsid w:val="00A16DFA"/>
    <w:rsid w:val="00A17C0A"/>
    <w:rsid w:val="00A22FA7"/>
    <w:rsid w:val="00A238D0"/>
    <w:rsid w:val="00A24618"/>
    <w:rsid w:val="00A33482"/>
    <w:rsid w:val="00A33919"/>
    <w:rsid w:val="00A33BDB"/>
    <w:rsid w:val="00A343C9"/>
    <w:rsid w:val="00A346B2"/>
    <w:rsid w:val="00A3601F"/>
    <w:rsid w:val="00A36968"/>
    <w:rsid w:val="00A36EC5"/>
    <w:rsid w:val="00A41149"/>
    <w:rsid w:val="00A43885"/>
    <w:rsid w:val="00A44745"/>
    <w:rsid w:val="00A447ED"/>
    <w:rsid w:val="00A44F15"/>
    <w:rsid w:val="00A47B7B"/>
    <w:rsid w:val="00A50621"/>
    <w:rsid w:val="00A54175"/>
    <w:rsid w:val="00A54EB2"/>
    <w:rsid w:val="00A56809"/>
    <w:rsid w:val="00A60D9A"/>
    <w:rsid w:val="00A63A07"/>
    <w:rsid w:val="00A654A2"/>
    <w:rsid w:val="00A664A4"/>
    <w:rsid w:val="00A67183"/>
    <w:rsid w:val="00A70079"/>
    <w:rsid w:val="00A754C1"/>
    <w:rsid w:val="00A76391"/>
    <w:rsid w:val="00A76452"/>
    <w:rsid w:val="00A83F5F"/>
    <w:rsid w:val="00A84C8D"/>
    <w:rsid w:val="00A84DF8"/>
    <w:rsid w:val="00A86245"/>
    <w:rsid w:val="00A86D3D"/>
    <w:rsid w:val="00A9013E"/>
    <w:rsid w:val="00A915F3"/>
    <w:rsid w:val="00A93085"/>
    <w:rsid w:val="00A93E07"/>
    <w:rsid w:val="00A94B17"/>
    <w:rsid w:val="00A94F1F"/>
    <w:rsid w:val="00A95347"/>
    <w:rsid w:val="00A971D0"/>
    <w:rsid w:val="00AA0220"/>
    <w:rsid w:val="00AA2C86"/>
    <w:rsid w:val="00AA349C"/>
    <w:rsid w:val="00AA3BEC"/>
    <w:rsid w:val="00AA4073"/>
    <w:rsid w:val="00AA471D"/>
    <w:rsid w:val="00AA4B1C"/>
    <w:rsid w:val="00AA6188"/>
    <w:rsid w:val="00AA7E33"/>
    <w:rsid w:val="00AB265E"/>
    <w:rsid w:val="00AB2948"/>
    <w:rsid w:val="00AB39FA"/>
    <w:rsid w:val="00AB3B30"/>
    <w:rsid w:val="00AB426C"/>
    <w:rsid w:val="00AB451C"/>
    <w:rsid w:val="00AB59F2"/>
    <w:rsid w:val="00AC3E62"/>
    <w:rsid w:val="00AC5620"/>
    <w:rsid w:val="00AC5AF9"/>
    <w:rsid w:val="00AC6192"/>
    <w:rsid w:val="00AC6405"/>
    <w:rsid w:val="00AD2F03"/>
    <w:rsid w:val="00AD57FE"/>
    <w:rsid w:val="00AD6933"/>
    <w:rsid w:val="00AD6B7B"/>
    <w:rsid w:val="00AD7CAB"/>
    <w:rsid w:val="00AE04A6"/>
    <w:rsid w:val="00AE0A23"/>
    <w:rsid w:val="00AE0D6A"/>
    <w:rsid w:val="00AE10BE"/>
    <w:rsid w:val="00AE16C9"/>
    <w:rsid w:val="00AE188C"/>
    <w:rsid w:val="00AE3EF5"/>
    <w:rsid w:val="00AE423A"/>
    <w:rsid w:val="00AE471D"/>
    <w:rsid w:val="00AE4F2A"/>
    <w:rsid w:val="00AE5F33"/>
    <w:rsid w:val="00AE7D90"/>
    <w:rsid w:val="00AF0AD5"/>
    <w:rsid w:val="00AF15E6"/>
    <w:rsid w:val="00AF2120"/>
    <w:rsid w:val="00AF51E7"/>
    <w:rsid w:val="00AF6744"/>
    <w:rsid w:val="00AF6A88"/>
    <w:rsid w:val="00B0174C"/>
    <w:rsid w:val="00B02E45"/>
    <w:rsid w:val="00B05620"/>
    <w:rsid w:val="00B05AA9"/>
    <w:rsid w:val="00B102B9"/>
    <w:rsid w:val="00B12E05"/>
    <w:rsid w:val="00B12EBE"/>
    <w:rsid w:val="00B12F5D"/>
    <w:rsid w:val="00B155F4"/>
    <w:rsid w:val="00B16431"/>
    <w:rsid w:val="00B166A4"/>
    <w:rsid w:val="00B219B7"/>
    <w:rsid w:val="00B22A7F"/>
    <w:rsid w:val="00B23AB0"/>
    <w:rsid w:val="00B2469A"/>
    <w:rsid w:val="00B25038"/>
    <w:rsid w:val="00B268E2"/>
    <w:rsid w:val="00B27AE8"/>
    <w:rsid w:val="00B27FF1"/>
    <w:rsid w:val="00B3159A"/>
    <w:rsid w:val="00B33465"/>
    <w:rsid w:val="00B35C09"/>
    <w:rsid w:val="00B379C5"/>
    <w:rsid w:val="00B37D6E"/>
    <w:rsid w:val="00B4183F"/>
    <w:rsid w:val="00B42198"/>
    <w:rsid w:val="00B433B3"/>
    <w:rsid w:val="00B44766"/>
    <w:rsid w:val="00B46106"/>
    <w:rsid w:val="00B46AD2"/>
    <w:rsid w:val="00B478E8"/>
    <w:rsid w:val="00B5012B"/>
    <w:rsid w:val="00B52FE9"/>
    <w:rsid w:val="00B600AF"/>
    <w:rsid w:val="00B60138"/>
    <w:rsid w:val="00B60309"/>
    <w:rsid w:val="00B614D0"/>
    <w:rsid w:val="00B64BBE"/>
    <w:rsid w:val="00B65C37"/>
    <w:rsid w:val="00B65D17"/>
    <w:rsid w:val="00B67DE1"/>
    <w:rsid w:val="00B706D4"/>
    <w:rsid w:val="00B70CC6"/>
    <w:rsid w:val="00B73894"/>
    <w:rsid w:val="00B74BBA"/>
    <w:rsid w:val="00B776B5"/>
    <w:rsid w:val="00B8193F"/>
    <w:rsid w:val="00B82A82"/>
    <w:rsid w:val="00B8464A"/>
    <w:rsid w:val="00B8473D"/>
    <w:rsid w:val="00B90410"/>
    <w:rsid w:val="00B90E10"/>
    <w:rsid w:val="00B94AA2"/>
    <w:rsid w:val="00B959E3"/>
    <w:rsid w:val="00B964CA"/>
    <w:rsid w:val="00B969D7"/>
    <w:rsid w:val="00B97B24"/>
    <w:rsid w:val="00BA0E0C"/>
    <w:rsid w:val="00BA31C4"/>
    <w:rsid w:val="00BA42AD"/>
    <w:rsid w:val="00BA4655"/>
    <w:rsid w:val="00BA5494"/>
    <w:rsid w:val="00BA6B21"/>
    <w:rsid w:val="00BA78B6"/>
    <w:rsid w:val="00BA7935"/>
    <w:rsid w:val="00BB047B"/>
    <w:rsid w:val="00BB4818"/>
    <w:rsid w:val="00BB4AF3"/>
    <w:rsid w:val="00BB6398"/>
    <w:rsid w:val="00BC1011"/>
    <w:rsid w:val="00BC25EF"/>
    <w:rsid w:val="00BC2DAF"/>
    <w:rsid w:val="00BC3331"/>
    <w:rsid w:val="00BC34D2"/>
    <w:rsid w:val="00BC4FD3"/>
    <w:rsid w:val="00BC5DBE"/>
    <w:rsid w:val="00BC674D"/>
    <w:rsid w:val="00BC6827"/>
    <w:rsid w:val="00BC6C7A"/>
    <w:rsid w:val="00BC7D9E"/>
    <w:rsid w:val="00BD0372"/>
    <w:rsid w:val="00BD44F5"/>
    <w:rsid w:val="00BD77B8"/>
    <w:rsid w:val="00BE36E2"/>
    <w:rsid w:val="00BE4340"/>
    <w:rsid w:val="00BE5C41"/>
    <w:rsid w:val="00BE79FF"/>
    <w:rsid w:val="00BF0646"/>
    <w:rsid w:val="00BF1C32"/>
    <w:rsid w:val="00BF25C2"/>
    <w:rsid w:val="00BF2BA5"/>
    <w:rsid w:val="00BF325A"/>
    <w:rsid w:val="00BF47C6"/>
    <w:rsid w:val="00BF525D"/>
    <w:rsid w:val="00BF76A6"/>
    <w:rsid w:val="00C0068D"/>
    <w:rsid w:val="00C01B39"/>
    <w:rsid w:val="00C01F23"/>
    <w:rsid w:val="00C044BE"/>
    <w:rsid w:val="00C04BAB"/>
    <w:rsid w:val="00C04D5F"/>
    <w:rsid w:val="00C0607B"/>
    <w:rsid w:val="00C063F5"/>
    <w:rsid w:val="00C06836"/>
    <w:rsid w:val="00C06DEF"/>
    <w:rsid w:val="00C075A2"/>
    <w:rsid w:val="00C107CB"/>
    <w:rsid w:val="00C1116E"/>
    <w:rsid w:val="00C118C4"/>
    <w:rsid w:val="00C11F58"/>
    <w:rsid w:val="00C120D7"/>
    <w:rsid w:val="00C13271"/>
    <w:rsid w:val="00C132D1"/>
    <w:rsid w:val="00C139CA"/>
    <w:rsid w:val="00C13A7D"/>
    <w:rsid w:val="00C16986"/>
    <w:rsid w:val="00C1757B"/>
    <w:rsid w:val="00C226D5"/>
    <w:rsid w:val="00C241A8"/>
    <w:rsid w:val="00C24ABA"/>
    <w:rsid w:val="00C2641C"/>
    <w:rsid w:val="00C264CB"/>
    <w:rsid w:val="00C2657C"/>
    <w:rsid w:val="00C2795D"/>
    <w:rsid w:val="00C31253"/>
    <w:rsid w:val="00C33756"/>
    <w:rsid w:val="00C35129"/>
    <w:rsid w:val="00C35D2F"/>
    <w:rsid w:val="00C37648"/>
    <w:rsid w:val="00C41197"/>
    <w:rsid w:val="00C419DB"/>
    <w:rsid w:val="00C461AE"/>
    <w:rsid w:val="00C476F1"/>
    <w:rsid w:val="00C51429"/>
    <w:rsid w:val="00C51E8F"/>
    <w:rsid w:val="00C52CE9"/>
    <w:rsid w:val="00C52FC0"/>
    <w:rsid w:val="00C53F9E"/>
    <w:rsid w:val="00C55873"/>
    <w:rsid w:val="00C559E9"/>
    <w:rsid w:val="00C608C1"/>
    <w:rsid w:val="00C61360"/>
    <w:rsid w:val="00C63D4E"/>
    <w:rsid w:val="00C63EA9"/>
    <w:rsid w:val="00C652AE"/>
    <w:rsid w:val="00C65A8D"/>
    <w:rsid w:val="00C665A0"/>
    <w:rsid w:val="00C67725"/>
    <w:rsid w:val="00C700F3"/>
    <w:rsid w:val="00C7092F"/>
    <w:rsid w:val="00C737B8"/>
    <w:rsid w:val="00C738FF"/>
    <w:rsid w:val="00C7539F"/>
    <w:rsid w:val="00C76DDA"/>
    <w:rsid w:val="00C807B3"/>
    <w:rsid w:val="00C825C9"/>
    <w:rsid w:val="00C83B87"/>
    <w:rsid w:val="00C86548"/>
    <w:rsid w:val="00C86CC3"/>
    <w:rsid w:val="00C86E37"/>
    <w:rsid w:val="00C901B1"/>
    <w:rsid w:val="00C90EBC"/>
    <w:rsid w:val="00C91B69"/>
    <w:rsid w:val="00C933EB"/>
    <w:rsid w:val="00C94745"/>
    <w:rsid w:val="00C94D6B"/>
    <w:rsid w:val="00C95AD3"/>
    <w:rsid w:val="00C97FC7"/>
    <w:rsid w:val="00CA3856"/>
    <w:rsid w:val="00CA5A3F"/>
    <w:rsid w:val="00CA67E0"/>
    <w:rsid w:val="00CB0122"/>
    <w:rsid w:val="00CB0269"/>
    <w:rsid w:val="00CB02F1"/>
    <w:rsid w:val="00CB0833"/>
    <w:rsid w:val="00CB15D0"/>
    <w:rsid w:val="00CB18F5"/>
    <w:rsid w:val="00CB2303"/>
    <w:rsid w:val="00CB25C8"/>
    <w:rsid w:val="00CB2CCE"/>
    <w:rsid w:val="00CB2F37"/>
    <w:rsid w:val="00CB3148"/>
    <w:rsid w:val="00CC008E"/>
    <w:rsid w:val="00CC02ED"/>
    <w:rsid w:val="00CC0CD0"/>
    <w:rsid w:val="00CC355D"/>
    <w:rsid w:val="00CC63EB"/>
    <w:rsid w:val="00CD022A"/>
    <w:rsid w:val="00CD03BE"/>
    <w:rsid w:val="00CD0707"/>
    <w:rsid w:val="00CD1A25"/>
    <w:rsid w:val="00CD2E16"/>
    <w:rsid w:val="00CD3131"/>
    <w:rsid w:val="00CD3BD5"/>
    <w:rsid w:val="00CD65E7"/>
    <w:rsid w:val="00CD7BFC"/>
    <w:rsid w:val="00CE2B95"/>
    <w:rsid w:val="00CE2D91"/>
    <w:rsid w:val="00CE2F1A"/>
    <w:rsid w:val="00CE5364"/>
    <w:rsid w:val="00CF0A9C"/>
    <w:rsid w:val="00CF1A11"/>
    <w:rsid w:val="00CF2563"/>
    <w:rsid w:val="00CF30EB"/>
    <w:rsid w:val="00CF30FC"/>
    <w:rsid w:val="00CF4286"/>
    <w:rsid w:val="00CF5831"/>
    <w:rsid w:val="00CF5CB2"/>
    <w:rsid w:val="00D0117C"/>
    <w:rsid w:val="00D0135D"/>
    <w:rsid w:val="00D019BA"/>
    <w:rsid w:val="00D01B9F"/>
    <w:rsid w:val="00D03B38"/>
    <w:rsid w:val="00D03F87"/>
    <w:rsid w:val="00D0486C"/>
    <w:rsid w:val="00D04CD4"/>
    <w:rsid w:val="00D05F62"/>
    <w:rsid w:val="00D07174"/>
    <w:rsid w:val="00D07DB1"/>
    <w:rsid w:val="00D12095"/>
    <w:rsid w:val="00D130E0"/>
    <w:rsid w:val="00D17381"/>
    <w:rsid w:val="00D20A55"/>
    <w:rsid w:val="00D21AEC"/>
    <w:rsid w:val="00D22D06"/>
    <w:rsid w:val="00D24772"/>
    <w:rsid w:val="00D26E91"/>
    <w:rsid w:val="00D272A6"/>
    <w:rsid w:val="00D3017F"/>
    <w:rsid w:val="00D341D7"/>
    <w:rsid w:val="00D3441D"/>
    <w:rsid w:val="00D34C34"/>
    <w:rsid w:val="00D355C4"/>
    <w:rsid w:val="00D3612A"/>
    <w:rsid w:val="00D37703"/>
    <w:rsid w:val="00D37DBF"/>
    <w:rsid w:val="00D37F25"/>
    <w:rsid w:val="00D42F4F"/>
    <w:rsid w:val="00D44141"/>
    <w:rsid w:val="00D4738E"/>
    <w:rsid w:val="00D524BC"/>
    <w:rsid w:val="00D56A53"/>
    <w:rsid w:val="00D628C8"/>
    <w:rsid w:val="00D6324F"/>
    <w:rsid w:val="00D63458"/>
    <w:rsid w:val="00D64CBE"/>
    <w:rsid w:val="00D66D37"/>
    <w:rsid w:val="00D67FBF"/>
    <w:rsid w:val="00D7061B"/>
    <w:rsid w:val="00D726A7"/>
    <w:rsid w:val="00D741D0"/>
    <w:rsid w:val="00D750CC"/>
    <w:rsid w:val="00D758DC"/>
    <w:rsid w:val="00D7777E"/>
    <w:rsid w:val="00D84369"/>
    <w:rsid w:val="00D84C8F"/>
    <w:rsid w:val="00D873AD"/>
    <w:rsid w:val="00D87A31"/>
    <w:rsid w:val="00D90BEE"/>
    <w:rsid w:val="00D91094"/>
    <w:rsid w:val="00D91AAC"/>
    <w:rsid w:val="00D91C06"/>
    <w:rsid w:val="00D91C9F"/>
    <w:rsid w:val="00D923BC"/>
    <w:rsid w:val="00D93CCB"/>
    <w:rsid w:val="00D93FD1"/>
    <w:rsid w:val="00D978F6"/>
    <w:rsid w:val="00DA08F5"/>
    <w:rsid w:val="00DA2ADC"/>
    <w:rsid w:val="00DA3BCC"/>
    <w:rsid w:val="00DA5C60"/>
    <w:rsid w:val="00DB01E2"/>
    <w:rsid w:val="00DB0764"/>
    <w:rsid w:val="00DB3506"/>
    <w:rsid w:val="00DB3C9E"/>
    <w:rsid w:val="00DB44F9"/>
    <w:rsid w:val="00DB7A9A"/>
    <w:rsid w:val="00DB7B39"/>
    <w:rsid w:val="00DC21E4"/>
    <w:rsid w:val="00DC3177"/>
    <w:rsid w:val="00DC3276"/>
    <w:rsid w:val="00DC42C4"/>
    <w:rsid w:val="00DC6389"/>
    <w:rsid w:val="00DD08F8"/>
    <w:rsid w:val="00DD13AB"/>
    <w:rsid w:val="00DD2841"/>
    <w:rsid w:val="00DD323F"/>
    <w:rsid w:val="00DD37D8"/>
    <w:rsid w:val="00DD4EB5"/>
    <w:rsid w:val="00DD5647"/>
    <w:rsid w:val="00DD5902"/>
    <w:rsid w:val="00DE01A4"/>
    <w:rsid w:val="00DE3E40"/>
    <w:rsid w:val="00DE4597"/>
    <w:rsid w:val="00DE60C2"/>
    <w:rsid w:val="00DE643F"/>
    <w:rsid w:val="00DE6E68"/>
    <w:rsid w:val="00DF6840"/>
    <w:rsid w:val="00E010AB"/>
    <w:rsid w:val="00E015AD"/>
    <w:rsid w:val="00E0233F"/>
    <w:rsid w:val="00E02678"/>
    <w:rsid w:val="00E03149"/>
    <w:rsid w:val="00E039AF"/>
    <w:rsid w:val="00E050EC"/>
    <w:rsid w:val="00E06262"/>
    <w:rsid w:val="00E0748A"/>
    <w:rsid w:val="00E128A9"/>
    <w:rsid w:val="00E143DA"/>
    <w:rsid w:val="00E14BA3"/>
    <w:rsid w:val="00E14F9C"/>
    <w:rsid w:val="00E15864"/>
    <w:rsid w:val="00E16744"/>
    <w:rsid w:val="00E2038B"/>
    <w:rsid w:val="00E211BB"/>
    <w:rsid w:val="00E23081"/>
    <w:rsid w:val="00E24CDE"/>
    <w:rsid w:val="00E25953"/>
    <w:rsid w:val="00E27F5A"/>
    <w:rsid w:val="00E27F96"/>
    <w:rsid w:val="00E317A7"/>
    <w:rsid w:val="00E32BEA"/>
    <w:rsid w:val="00E32F5B"/>
    <w:rsid w:val="00E3799F"/>
    <w:rsid w:val="00E37DA2"/>
    <w:rsid w:val="00E4079E"/>
    <w:rsid w:val="00E4121B"/>
    <w:rsid w:val="00E416DC"/>
    <w:rsid w:val="00E42FA4"/>
    <w:rsid w:val="00E43ACF"/>
    <w:rsid w:val="00E43B5E"/>
    <w:rsid w:val="00E449C2"/>
    <w:rsid w:val="00E45864"/>
    <w:rsid w:val="00E4622C"/>
    <w:rsid w:val="00E47F40"/>
    <w:rsid w:val="00E51FFB"/>
    <w:rsid w:val="00E52DD3"/>
    <w:rsid w:val="00E5471E"/>
    <w:rsid w:val="00E558A4"/>
    <w:rsid w:val="00E56DA6"/>
    <w:rsid w:val="00E576D9"/>
    <w:rsid w:val="00E64A55"/>
    <w:rsid w:val="00E65C76"/>
    <w:rsid w:val="00E65EA1"/>
    <w:rsid w:val="00E6605D"/>
    <w:rsid w:val="00E6611F"/>
    <w:rsid w:val="00E67921"/>
    <w:rsid w:val="00E71676"/>
    <w:rsid w:val="00E72866"/>
    <w:rsid w:val="00E87C3F"/>
    <w:rsid w:val="00E9168B"/>
    <w:rsid w:val="00E91884"/>
    <w:rsid w:val="00E91A28"/>
    <w:rsid w:val="00E923A0"/>
    <w:rsid w:val="00E9265B"/>
    <w:rsid w:val="00E95253"/>
    <w:rsid w:val="00E95569"/>
    <w:rsid w:val="00E978F3"/>
    <w:rsid w:val="00E97F8B"/>
    <w:rsid w:val="00EA15FC"/>
    <w:rsid w:val="00EA1CB1"/>
    <w:rsid w:val="00EA6125"/>
    <w:rsid w:val="00EB01D7"/>
    <w:rsid w:val="00EB0528"/>
    <w:rsid w:val="00EB2947"/>
    <w:rsid w:val="00EB2A70"/>
    <w:rsid w:val="00EC0435"/>
    <w:rsid w:val="00EC4EF1"/>
    <w:rsid w:val="00EC7180"/>
    <w:rsid w:val="00ED10C4"/>
    <w:rsid w:val="00ED209D"/>
    <w:rsid w:val="00ED418D"/>
    <w:rsid w:val="00ED46C4"/>
    <w:rsid w:val="00ED561C"/>
    <w:rsid w:val="00ED5F88"/>
    <w:rsid w:val="00ED664B"/>
    <w:rsid w:val="00ED7359"/>
    <w:rsid w:val="00ED7C2E"/>
    <w:rsid w:val="00EE05C0"/>
    <w:rsid w:val="00EE0893"/>
    <w:rsid w:val="00EE5111"/>
    <w:rsid w:val="00EE65AC"/>
    <w:rsid w:val="00EE65F1"/>
    <w:rsid w:val="00EF1495"/>
    <w:rsid w:val="00EF157F"/>
    <w:rsid w:val="00EF2730"/>
    <w:rsid w:val="00EF28D7"/>
    <w:rsid w:val="00EF5550"/>
    <w:rsid w:val="00EF73CF"/>
    <w:rsid w:val="00F01D63"/>
    <w:rsid w:val="00F03786"/>
    <w:rsid w:val="00F03AB8"/>
    <w:rsid w:val="00F03BF4"/>
    <w:rsid w:val="00F05D09"/>
    <w:rsid w:val="00F05E37"/>
    <w:rsid w:val="00F07897"/>
    <w:rsid w:val="00F07EF7"/>
    <w:rsid w:val="00F112AC"/>
    <w:rsid w:val="00F123BB"/>
    <w:rsid w:val="00F130AD"/>
    <w:rsid w:val="00F13AB4"/>
    <w:rsid w:val="00F14FEA"/>
    <w:rsid w:val="00F1592C"/>
    <w:rsid w:val="00F2002D"/>
    <w:rsid w:val="00F20348"/>
    <w:rsid w:val="00F2207C"/>
    <w:rsid w:val="00F22093"/>
    <w:rsid w:val="00F227E8"/>
    <w:rsid w:val="00F24647"/>
    <w:rsid w:val="00F2496A"/>
    <w:rsid w:val="00F26374"/>
    <w:rsid w:val="00F26A9F"/>
    <w:rsid w:val="00F30DE4"/>
    <w:rsid w:val="00F31CE2"/>
    <w:rsid w:val="00F331B5"/>
    <w:rsid w:val="00F34AF9"/>
    <w:rsid w:val="00F362F9"/>
    <w:rsid w:val="00F41B08"/>
    <w:rsid w:val="00F41E62"/>
    <w:rsid w:val="00F44BCD"/>
    <w:rsid w:val="00F45725"/>
    <w:rsid w:val="00F4645D"/>
    <w:rsid w:val="00F47B58"/>
    <w:rsid w:val="00F47BED"/>
    <w:rsid w:val="00F53521"/>
    <w:rsid w:val="00F53991"/>
    <w:rsid w:val="00F53B17"/>
    <w:rsid w:val="00F61722"/>
    <w:rsid w:val="00F617C6"/>
    <w:rsid w:val="00F6208E"/>
    <w:rsid w:val="00F66A33"/>
    <w:rsid w:val="00F66F7C"/>
    <w:rsid w:val="00F67569"/>
    <w:rsid w:val="00F70767"/>
    <w:rsid w:val="00F70BA5"/>
    <w:rsid w:val="00F71818"/>
    <w:rsid w:val="00F73842"/>
    <w:rsid w:val="00F73B39"/>
    <w:rsid w:val="00F74819"/>
    <w:rsid w:val="00F74981"/>
    <w:rsid w:val="00F75C04"/>
    <w:rsid w:val="00F80467"/>
    <w:rsid w:val="00F81200"/>
    <w:rsid w:val="00F81F50"/>
    <w:rsid w:val="00F90692"/>
    <w:rsid w:val="00F944E7"/>
    <w:rsid w:val="00F95772"/>
    <w:rsid w:val="00FA0127"/>
    <w:rsid w:val="00FA0846"/>
    <w:rsid w:val="00FA0F25"/>
    <w:rsid w:val="00FA0F48"/>
    <w:rsid w:val="00FA27ED"/>
    <w:rsid w:val="00FA567A"/>
    <w:rsid w:val="00FB2CA2"/>
    <w:rsid w:val="00FB4289"/>
    <w:rsid w:val="00FB5140"/>
    <w:rsid w:val="00FB7ABA"/>
    <w:rsid w:val="00FC0149"/>
    <w:rsid w:val="00FC03D9"/>
    <w:rsid w:val="00FC1824"/>
    <w:rsid w:val="00FC2985"/>
    <w:rsid w:val="00FC367E"/>
    <w:rsid w:val="00FC55DF"/>
    <w:rsid w:val="00FC6827"/>
    <w:rsid w:val="00FC7254"/>
    <w:rsid w:val="00FC7437"/>
    <w:rsid w:val="00FD008B"/>
    <w:rsid w:val="00FD0A8D"/>
    <w:rsid w:val="00FD0E0E"/>
    <w:rsid w:val="00FD103A"/>
    <w:rsid w:val="00FD12A2"/>
    <w:rsid w:val="00FD2D3A"/>
    <w:rsid w:val="00FD424D"/>
    <w:rsid w:val="00FD5803"/>
    <w:rsid w:val="00FD603A"/>
    <w:rsid w:val="00FD649F"/>
    <w:rsid w:val="00FE2CE3"/>
    <w:rsid w:val="00FE2CF0"/>
    <w:rsid w:val="00FE7F11"/>
    <w:rsid w:val="00FF20D4"/>
    <w:rsid w:val="00FF2AF6"/>
    <w:rsid w:val="00FF3F44"/>
    <w:rsid w:val="00FF491C"/>
    <w:rsid w:val="00FF56CC"/>
    <w:rsid w:val="00FF6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70EED40"/>
  <w15:chartTrackingRefBased/>
  <w15:docId w15:val="{5EE189C9-4759-4326-8B65-2AF8750C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qFormat/>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paragraph" w:customStyle="1" w:styleId="numbered-paragraph">
    <w:name w:val="numbered-paragraph"/>
    <w:basedOn w:val="Normal"/>
    <w:rsid w:val="00075EEF"/>
    <w:pPr>
      <w:spacing w:before="100" w:beforeAutospacing="1" w:after="100" w:afterAutospacing="1"/>
    </w:pPr>
    <w:rPr>
      <w:lang w:eastAsia="en-GB"/>
    </w:rPr>
  </w:style>
  <w:style w:type="character" w:customStyle="1" w:styleId="paragraph-number">
    <w:name w:val="paragraph-number"/>
    <w:basedOn w:val="DefaultParagraphFont"/>
    <w:rsid w:val="00075EEF"/>
  </w:style>
  <w:style w:type="paragraph" w:styleId="NormalWeb">
    <w:name w:val="Normal (Web)"/>
    <w:basedOn w:val="Normal"/>
    <w:uiPriority w:val="99"/>
    <w:unhideWhenUsed/>
    <w:rsid w:val="00075EE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178663877">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1987271985">
      <w:bodyDiv w:val="1"/>
      <w:marLeft w:val="0"/>
      <w:marRight w:val="0"/>
      <w:marTop w:val="0"/>
      <w:marBottom w:val="0"/>
      <w:divBdr>
        <w:top w:val="none" w:sz="0" w:space="0" w:color="auto"/>
        <w:left w:val="none" w:sz="0" w:space="0" w:color="auto"/>
        <w:bottom w:val="none" w:sz="0" w:space="0" w:color="auto"/>
        <w:right w:val="none" w:sz="0" w:space="0" w:color="auto"/>
      </w:divBdr>
      <w:divsChild>
        <w:div w:id="1621764482">
          <w:marLeft w:val="960"/>
          <w:marRight w:val="0"/>
          <w:marTop w:val="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product-information/keytruda-epar-product-information_en.pdf" TargetMode="External"/><Relationship Id="rId13" Type="http://schemas.openxmlformats.org/officeDocument/2006/relationships/hyperlink" Target="https://www.england.nhs.uk/publication/commissioning-medicines-for-children-specialised-services/" TargetMode="External"/><Relationship Id="rId18" Type="http://schemas.openxmlformats.org/officeDocument/2006/relationships/hyperlink" Target="https://www.england.nhs.uk/cancer/c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ice.org.uk/Get-Involved/Meetings-in-public/Technology-appraisal-Committee/Committee-A-Members" TargetMode="External"/><Relationship Id="rId7" Type="http://schemas.openxmlformats.org/officeDocument/2006/relationships/endnotes" Target="endnotes.xml"/><Relationship Id="rId12" Type="http://schemas.openxmlformats.org/officeDocument/2006/relationships/hyperlink" Target="https://www.nice.org.uk/guidance/ta540" TargetMode="External"/><Relationship Id="rId17" Type="http://schemas.openxmlformats.org/officeDocument/2006/relationships/hyperlink" Target="http://www.legislation.gov.uk/uksi/2013/259/contents/ma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hemodataset.nhs.uk/home" TargetMode="External"/><Relationship Id="rId20" Type="http://schemas.openxmlformats.org/officeDocument/2006/relationships/hyperlink" Target="https://www.nice.org.uk/guidance/ta5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46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about/what-we-do/our-programmes/nice-guidance/nice-technology-appraisal-guidance/cancer-drugs-fund" TargetMode="External"/><Relationship Id="rId23" Type="http://schemas.openxmlformats.org/officeDocument/2006/relationships/header" Target="header1.xml"/><Relationship Id="rId10" Type="http://schemas.openxmlformats.org/officeDocument/2006/relationships/hyperlink" Target="https://www.nice.org.uk/guidance/ta524" TargetMode="External"/><Relationship Id="rId19" Type="http://schemas.openxmlformats.org/officeDocument/2006/relationships/hyperlink" Target="https://www.england.nhs.uk/cancer/cdf/cancer-drugs-fund-list/" TargetMode="External"/><Relationship Id="rId4" Type="http://schemas.openxmlformats.org/officeDocument/2006/relationships/settings" Target="settings.xml"/><Relationship Id="rId9" Type="http://schemas.openxmlformats.org/officeDocument/2006/relationships/hyperlink" Target="https://www.nice.org.uk/guidance/indevelopment/gid-ta10485/documents" TargetMode="External"/><Relationship Id="rId14" Type="http://schemas.openxmlformats.org/officeDocument/2006/relationships/hyperlink" Target="https://www.nice.org.uk/Media/Default/About/what-we-do/NICE-guidance/NICE-technology-appraisal-guidance/cancer-drugs-fund/CDF-comparator-position-statement.pdf" TargetMode="External"/><Relationship Id="rId22"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5726</Words>
  <Characters>34438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40084</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NICE</dc:creator>
  <cp:keywords/>
  <cp:lastModifiedBy>Thomas Feist</cp:lastModifiedBy>
  <cp:revision>3</cp:revision>
  <cp:lastPrinted>2021-09-13T12:45:00Z</cp:lastPrinted>
  <dcterms:created xsi:type="dcterms:W3CDTF">2021-09-14T14:19:00Z</dcterms:created>
  <dcterms:modified xsi:type="dcterms:W3CDTF">2021-09-14T14:20:00Z</dcterms:modified>
</cp:coreProperties>
</file>