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8E6BD" w14:textId="77777777" w:rsidR="000F48EC" w:rsidRPr="007E3C0F" w:rsidRDefault="000F48EC" w:rsidP="0093671F">
      <w:pPr>
        <w:pStyle w:val="Title2"/>
      </w:pPr>
      <w:r w:rsidRPr="007E3C0F">
        <w:t>NATIONAL INSTITUTE FOR HEALTH AND C</w:t>
      </w:r>
      <w:r w:rsidR="00CC63EB" w:rsidRPr="007E3C0F">
        <w:t>ARE</w:t>
      </w:r>
      <w:r w:rsidRPr="007E3C0F">
        <w:t xml:space="preserve"> EXCELLENCE</w:t>
      </w:r>
    </w:p>
    <w:p w14:paraId="39A8933D" w14:textId="770C498A" w:rsidR="000F48EC" w:rsidRPr="007E3C0F" w:rsidRDefault="007A2801" w:rsidP="000069F9">
      <w:pPr>
        <w:pStyle w:val="Title2"/>
      </w:pPr>
      <w:r w:rsidRPr="007E3C0F">
        <w:t>Appraisal consultation document</w:t>
      </w:r>
    </w:p>
    <w:p w14:paraId="132555F1" w14:textId="6EC7C82B" w:rsidR="000F48EC" w:rsidRPr="007E3C0F" w:rsidRDefault="00020559" w:rsidP="00034110">
      <w:pPr>
        <w:pStyle w:val="Title1"/>
      </w:pPr>
      <w:r w:rsidRPr="007E3C0F">
        <w:t xml:space="preserve">Solriamfetol for treating excessive </w:t>
      </w:r>
      <w:r w:rsidR="003338AB" w:rsidRPr="007E3C0F">
        <w:t xml:space="preserve">daytime </w:t>
      </w:r>
      <w:r w:rsidRPr="007E3C0F">
        <w:t xml:space="preserve">sleepiness caused by </w:t>
      </w:r>
      <w:r w:rsidR="00FD7BB1" w:rsidRPr="007E3C0F">
        <w:t xml:space="preserve">obstructive sleep </w:t>
      </w:r>
      <w:proofErr w:type="gramStart"/>
      <w:r w:rsidR="00FD7BB1" w:rsidRPr="007E3C0F">
        <w:t>apnoea</w:t>
      </w:r>
      <w:proofErr w:type="gramEnd"/>
    </w:p>
    <w:p w14:paraId="1A5EBCAB" w14:textId="77777777" w:rsidR="004921C3" w:rsidRPr="007E3C0F" w:rsidRDefault="00FB5140" w:rsidP="004921C3">
      <w:pPr>
        <w:pStyle w:val="NICEnormal"/>
      </w:pPr>
      <w:r w:rsidRPr="007E3C0F">
        <w:rPr>
          <w:noProof/>
        </w:rPr>
        <mc:AlternateContent>
          <mc:Choice Requires="wps">
            <w:drawing>
              <wp:anchor distT="0" distB="0" distL="114300" distR="114300" simplePos="0" relativeHeight="251659264" behindDoc="0" locked="0" layoutInCell="1" allowOverlap="1" wp14:anchorId="6BA66608" wp14:editId="69A541A1">
                <wp:simplePos x="0" y="0"/>
                <wp:positionH relativeFrom="margin">
                  <wp:posOffset>19050</wp:posOffset>
                </wp:positionH>
                <wp:positionV relativeFrom="paragraph">
                  <wp:posOffset>202580</wp:posOffset>
                </wp:positionV>
                <wp:extent cx="5456717" cy="4797499"/>
                <wp:effectExtent l="19050" t="19050" r="10795" b="22225"/>
                <wp:wrapNone/>
                <wp:docPr id="7" name="Text Box 7" descr="Panel explaining the consultation process. "/>
                <wp:cNvGraphicFramePr/>
                <a:graphic xmlns:a="http://schemas.openxmlformats.org/drawingml/2006/main">
                  <a:graphicData uri="http://schemas.microsoft.com/office/word/2010/wordprocessingShape">
                    <wps:wsp>
                      <wps:cNvSpPr txBox="1"/>
                      <wps:spPr>
                        <a:xfrm>
                          <a:off x="0" y="0"/>
                          <a:ext cx="5456717" cy="4797499"/>
                        </a:xfrm>
                        <a:prstGeom prst="rect">
                          <a:avLst/>
                        </a:prstGeom>
                        <a:solidFill>
                          <a:schemeClr val="bg1"/>
                        </a:solidFill>
                        <a:ln w="38100">
                          <a:solidFill>
                            <a:srgbClr val="A2BDC1"/>
                          </a:solidFill>
                        </a:ln>
                      </wps:spPr>
                      <wps:txbx>
                        <w:txbxContent>
                          <w:p w14:paraId="470CA06D" w14:textId="13BB3449" w:rsidR="0017396F" w:rsidRDefault="0017396F" w:rsidP="00FB5140">
                            <w:pPr>
                              <w:pStyle w:val="NICEnormalsinglespacing"/>
                            </w:pPr>
                            <w:r>
                              <w:t>The Department of Health and Social Care has asked the National Institute for Health and Care Excellence (NICE) to produce guidance on using solriamfetol in the NHS in England.</w:t>
                            </w:r>
                            <w:r w:rsidRPr="00FB5140">
                              <w:t xml:space="preserve"> </w:t>
                            </w:r>
                            <w:r>
                              <w:t xml:space="preserve">The appraisal committee has considered the evidence submitted by the company and the views of non-company consultees and commentators, clinical experts, and patient experts. </w:t>
                            </w:r>
                          </w:p>
                          <w:p w14:paraId="4A734A1E" w14:textId="2F5C4795" w:rsidR="0017396F" w:rsidRDefault="0017396F" w:rsidP="00FB5140">
                            <w:pPr>
                              <w:pStyle w:val="NICEnormalsinglespacing"/>
                            </w:pPr>
                            <w:r w:rsidRPr="00791280">
                              <w:rPr>
                                <w:rStyle w:val="NICEnormalChar"/>
                                <w:b/>
                                <w:bCs/>
                              </w:rPr>
                              <w:t>This document has been prepared for consultation with the consultees.</w:t>
                            </w:r>
                            <w: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w:t>
                            </w:r>
                            <w:r w:rsidRPr="00884D49">
                              <w:t xml:space="preserve">see the </w:t>
                            </w:r>
                            <w:hyperlink r:id="rId8" w:history="1">
                              <w:r w:rsidRPr="00884D49">
                                <w:rPr>
                                  <w:rStyle w:val="Hyperlink"/>
                                </w:rPr>
                                <w:t>committee papers</w:t>
                              </w:r>
                            </w:hyperlink>
                            <w:r w:rsidRPr="00884D49">
                              <w:t>).</w:t>
                            </w:r>
                          </w:p>
                          <w:p w14:paraId="43EF368B" w14:textId="77777777" w:rsidR="0017396F" w:rsidRDefault="0017396F" w:rsidP="00FB5140">
                            <w:pPr>
                              <w:pStyle w:val="NICEnormalsinglespacing"/>
                            </w:pPr>
                            <w:r>
                              <w:t>The appraisal committee is interested in receiving comments on the following:</w:t>
                            </w:r>
                          </w:p>
                          <w:p w14:paraId="4B0C3D93" w14:textId="77777777" w:rsidR="0017396F" w:rsidRDefault="0017396F" w:rsidP="00FB5140">
                            <w:pPr>
                              <w:pStyle w:val="Bulletleft1"/>
                              <w:spacing w:line="240" w:lineRule="auto"/>
                            </w:pPr>
                            <w:r>
                              <w:t xml:space="preserve">Has </w:t>
                            </w:r>
                            <w:proofErr w:type="gramStart"/>
                            <w:r>
                              <w:t>all of</w:t>
                            </w:r>
                            <w:proofErr w:type="gramEnd"/>
                            <w:r>
                              <w:t xml:space="preserve"> the relevant evidence been taken into account?</w:t>
                            </w:r>
                          </w:p>
                          <w:p w14:paraId="2FA30A64" w14:textId="77777777" w:rsidR="0017396F" w:rsidRDefault="0017396F" w:rsidP="00FB5140">
                            <w:pPr>
                              <w:pStyle w:val="Bulletleft1"/>
                              <w:spacing w:line="240" w:lineRule="auto"/>
                            </w:pPr>
                            <w:r>
                              <w:t>Are the summaries of clinical and cost effectiveness reasonable interpretations of the evidence?</w:t>
                            </w:r>
                          </w:p>
                          <w:p w14:paraId="1CD27DF0" w14:textId="77777777" w:rsidR="0017396F" w:rsidRDefault="0017396F" w:rsidP="00FB5140">
                            <w:pPr>
                              <w:pStyle w:val="Bulletleft1"/>
                              <w:spacing w:line="240" w:lineRule="auto"/>
                            </w:pPr>
                            <w:r>
                              <w:t>Are the recommendations sound and a suitable basis for guidance to the NHS?</w:t>
                            </w:r>
                          </w:p>
                          <w:p w14:paraId="52363156" w14:textId="77777777" w:rsidR="0017396F" w:rsidRDefault="0017396F" w:rsidP="00FB5140">
                            <w:pPr>
                              <w:pStyle w:val="Bulletleft1"/>
                              <w:spacing w:line="240" w:lineRule="auto"/>
                            </w:pPr>
                            <w:r>
                              <w:t xml:space="preserve">Are there any aspects of the recommendations that need </w:t>
                            </w:r>
                            <w:proofErr w:type="gramStart"/>
                            <w:r>
                              <w:t>particular consideration</w:t>
                            </w:r>
                            <w:proofErr w:type="gramEnd"/>
                            <w:r>
                              <w:t xml:space="preserve"> to ensure we avoid unlawful discrimination against any group of people on the grounds of race, gender, disability, religion or belief, sexual orientation, age, gender reassignment, pregnancy and maternity?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66608" id="_x0000_t202" coordsize="21600,21600" o:spt="202" path="m,l,21600r21600,l21600,xe">
                <v:stroke joinstyle="miter"/>
                <v:path gradientshapeok="t" o:connecttype="rect"/>
              </v:shapetype>
              <v:shape id="Text Box 7" o:spid="_x0000_s1026" type="#_x0000_t202" alt="Panel explaining the consultation process. " style="position:absolute;margin-left:1.5pt;margin-top:15.95pt;width:429.65pt;height:37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" fillcolor="white [3212]" strokecolor="#a2bdc1" strokeweight="3pt">
                <v:textbox>
                  <w:txbxContent>
                    <w:p w14:paraId="470CA06D" w14:textId="13BB3449" w:rsidR="0017396F" w:rsidRDefault="0017396F" w:rsidP="00FB5140">
                      <w:pPr>
                        <w:pStyle w:val="NICEnormalsinglespacing"/>
                      </w:pPr>
                      <w:r>
                        <w:t>The Department of Health and Social Care has asked the National Institute for Health and Care Excellence (NICE) to produce guidance on using solriamfetol in the NHS in England.</w:t>
                      </w:r>
                      <w:r w:rsidRPr="00FB5140">
                        <w:t xml:space="preserve"> </w:t>
                      </w:r>
                      <w:r>
                        <w:t xml:space="preserve">The appraisal committee has considered the evidence submitted by the company and the views of non-company consultees and commentators, clinical experts, and patient experts. </w:t>
                      </w:r>
                    </w:p>
                    <w:p w14:paraId="4A734A1E" w14:textId="2F5C4795" w:rsidR="0017396F" w:rsidRDefault="0017396F" w:rsidP="00FB5140">
                      <w:pPr>
                        <w:pStyle w:val="NICEnormalsinglespacing"/>
                      </w:pPr>
                      <w:r w:rsidRPr="00791280">
                        <w:rPr>
                          <w:rStyle w:val="NICEnormalChar"/>
                          <w:b/>
                          <w:bCs/>
                        </w:rPr>
                        <w:t>This document has been prepared for consultation with the consultees.</w:t>
                      </w:r>
                      <w:r>
                        <w:t xml:space="preserve"> It summarises the evidence and views that have been considered and sets out the recommendations made by the committee. NICE invites comments from the consultees and commentators for this appraisal and the public. This document should be read along with the evidence (</w:t>
                      </w:r>
                      <w:r w:rsidRPr="00884D49">
                        <w:t xml:space="preserve">see the </w:t>
                      </w:r>
                      <w:hyperlink r:id="rId9" w:history="1">
                        <w:r w:rsidRPr="00884D49">
                          <w:rPr>
                            <w:rStyle w:val="Hyperlink"/>
                          </w:rPr>
                          <w:t>committee papers</w:t>
                        </w:r>
                      </w:hyperlink>
                      <w:r w:rsidRPr="00884D49">
                        <w:t>).</w:t>
                      </w:r>
                    </w:p>
                    <w:p w14:paraId="43EF368B" w14:textId="77777777" w:rsidR="0017396F" w:rsidRDefault="0017396F" w:rsidP="00FB5140">
                      <w:pPr>
                        <w:pStyle w:val="NICEnormalsinglespacing"/>
                      </w:pPr>
                      <w:r>
                        <w:t>The appraisal committee is interested in receiving comments on the following:</w:t>
                      </w:r>
                    </w:p>
                    <w:p w14:paraId="4B0C3D93" w14:textId="77777777" w:rsidR="0017396F" w:rsidRDefault="0017396F" w:rsidP="00FB5140">
                      <w:pPr>
                        <w:pStyle w:val="Bulletleft1"/>
                        <w:spacing w:line="240" w:lineRule="auto"/>
                      </w:pPr>
                      <w:r>
                        <w:t xml:space="preserve">Has </w:t>
                      </w:r>
                      <w:proofErr w:type="gramStart"/>
                      <w:r>
                        <w:t>all of</w:t>
                      </w:r>
                      <w:proofErr w:type="gramEnd"/>
                      <w:r>
                        <w:t xml:space="preserve"> the relevant evidence been taken into account?</w:t>
                      </w:r>
                    </w:p>
                    <w:p w14:paraId="2FA30A64" w14:textId="77777777" w:rsidR="0017396F" w:rsidRDefault="0017396F" w:rsidP="00FB5140">
                      <w:pPr>
                        <w:pStyle w:val="Bulletleft1"/>
                        <w:spacing w:line="240" w:lineRule="auto"/>
                      </w:pPr>
                      <w:r>
                        <w:t>Are the summaries of clinical and cost effectiveness reasonable interpretations of the evidence?</w:t>
                      </w:r>
                    </w:p>
                    <w:p w14:paraId="1CD27DF0" w14:textId="77777777" w:rsidR="0017396F" w:rsidRDefault="0017396F" w:rsidP="00FB5140">
                      <w:pPr>
                        <w:pStyle w:val="Bulletleft1"/>
                        <w:spacing w:line="240" w:lineRule="auto"/>
                      </w:pPr>
                      <w:r>
                        <w:t>Are the recommendations sound and a suitable basis for guidance to the NHS?</w:t>
                      </w:r>
                    </w:p>
                    <w:p w14:paraId="52363156" w14:textId="77777777" w:rsidR="0017396F" w:rsidRDefault="0017396F" w:rsidP="00FB5140">
                      <w:pPr>
                        <w:pStyle w:val="Bulletleft1"/>
                        <w:spacing w:line="240" w:lineRule="auto"/>
                      </w:pPr>
                      <w:r>
                        <w:t xml:space="preserve">Are there any aspects of the recommendations that need </w:t>
                      </w:r>
                      <w:proofErr w:type="gramStart"/>
                      <w:r>
                        <w:t>particular consideration</w:t>
                      </w:r>
                      <w:proofErr w:type="gramEnd"/>
                      <w:r>
                        <w:t xml:space="preserve"> to ensure we avoid unlawful discrimination against any group of people on the grounds of race, gender, disability, religion or belief, sexual orientation, age, gender reassignment, pregnancy and maternity?</w:t>
                      </w:r>
                    </w:p>
                  </w:txbxContent>
                </v:textbox>
                <w10:wrap anchorx="margin"/>
              </v:shape>
            </w:pict>
          </mc:Fallback>
        </mc:AlternateContent>
      </w:r>
    </w:p>
    <w:p w14:paraId="3F78B5DA" w14:textId="77777777" w:rsidR="004921C3" w:rsidRPr="007E3C0F" w:rsidRDefault="004921C3" w:rsidP="004921C3">
      <w:pPr>
        <w:pStyle w:val="NICEnormal"/>
      </w:pPr>
      <w:r w:rsidRPr="007E3C0F">
        <w:br w:type="page"/>
      </w:r>
    </w:p>
    <w:p w14:paraId="14E53BD9" w14:textId="77777777" w:rsidR="007A2801" w:rsidRPr="007E3C0F" w:rsidRDefault="00FB5140" w:rsidP="00C76DDA">
      <w:pPr>
        <w:pStyle w:val="NICEnormal"/>
      </w:pPr>
      <w:r w:rsidRPr="007E3C0F">
        <w:rPr>
          <w:noProof/>
        </w:rPr>
        <w:lastRenderedPageBreak/>
        <mc:AlternateContent>
          <mc:Choice Requires="wps">
            <w:drawing>
              <wp:anchor distT="0" distB="0" distL="114300" distR="114300" simplePos="0" relativeHeight="251661312" behindDoc="0" locked="0" layoutInCell="1" allowOverlap="1" wp14:anchorId="03D3C018" wp14:editId="6D7CFCD5">
                <wp:simplePos x="0" y="0"/>
                <wp:positionH relativeFrom="margin">
                  <wp:posOffset>-55378</wp:posOffset>
                </wp:positionH>
                <wp:positionV relativeFrom="paragraph">
                  <wp:posOffset>242334</wp:posOffset>
                </wp:positionV>
                <wp:extent cx="5456717" cy="4723071"/>
                <wp:effectExtent l="19050" t="19050" r="10795" b="20955"/>
                <wp:wrapNone/>
                <wp:docPr id="1" name="Text Box 1" descr="Panel explaining the consultation process. "/>
                <wp:cNvGraphicFramePr/>
                <a:graphic xmlns:a="http://schemas.openxmlformats.org/drawingml/2006/main">
                  <a:graphicData uri="http://schemas.microsoft.com/office/word/2010/wordprocessingShape">
                    <wps:wsp>
                      <wps:cNvSpPr txBox="1"/>
                      <wps:spPr>
                        <a:xfrm>
                          <a:off x="0" y="0"/>
                          <a:ext cx="5456717" cy="4723071"/>
                        </a:xfrm>
                        <a:prstGeom prst="rect">
                          <a:avLst/>
                        </a:prstGeom>
                        <a:solidFill>
                          <a:schemeClr val="bg1"/>
                        </a:solidFill>
                        <a:ln w="38100">
                          <a:solidFill>
                            <a:srgbClr val="A2BDC1"/>
                          </a:solidFill>
                        </a:ln>
                      </wps:spPr>
                      <wps:txbx>
                        <w:txbxContent>
                          <w:p w14:paraId="61904C0D" w14:textId="77777777" w:rsidR="0017396F" w:rsidRPr="004921C3" w:rsidRDefault="0017396F" w:rsidP="00FB5140">
                            <w:pPr>
                              <w:pStyle w:val="NICEnormalsinglespacing"/>
                              <w:rPr>
                                <w:b/>
                                <w:bCs/>
                              </w:rPr>
                            </w:pPr>
                            <w:r w:rsidRPr="004921C3">
                              <w:rPr>
                                <w:b/>
                                <w:bCs/>
                              </w:rPr>
                              <w:t>Note that this document is not NICE's final guidance on this technology. The recommendations in section 1 may change after consultation.</w:t>
                            </w:r>
                          </w:p>
                          <w:p w14:paraId="77C27E36" w14:textId="77777777" w:rsidR="0017396F" w:rsidRDefault="0017396F" w:rsidP="00FB5140">
                            <w:pPr>
                              <w:pStyle w:val="NICEnormalsinglespacing"/>
                            </w:pPr>
                            <w:r>
                              <w:t>After consultation:</w:t>
                            </w:r>
                          </w:p>
                          <w:p w14:paraId="7B70E89B" w14:textId="2B1AD963" w:rsidR="0017396F" w:rsidRDefault="0017396F" w:rsidP="00FB5140">
                            <w:pPr>
                              <w:pStyle w:val="Bulletleft1"/>
                              <w:spacing w:line="240" w:lineRule="auto"/>
                            </w:pPr>
                            <w:r>
                              <w:t>The appraisal committee will meet again to consider the evidence, this appraisal consultation document, and comments from the consultees.</w:t>
                            </w:r>
                          </w:p>
                          <w:p w14:paraId="3598806A" w14:textId="77777777" w:rsidR="0017396F" w:rsidRDefault="0017396F" w:rsidP="00FB5140">
                            <w:pPr>
                              <w:pStyle w:val="Bulletleft1"/>
                              <w:spacing w:line="240" w:lineRule="auto"/>
                            </w:pPr>
                            <w:r>
                              <w:t>At that meeting, the committee will also consider comments made by people who are not consultees.</w:t>
                            </w:r>
                          </w:p>
                          <w:p w14:paraId="368330F5" w14:textId="77777777" w:rsidR="0017396F" w:rsidRDefault="0017396F" w:rsidP="00FB5140">
                            <w:pPr>
                              <w:pStyle w:val="Bulletleft1"/>
                              <w:spacing w:line="240" w:lineRule="auto"/>
                            </w:pPr>
                            <w:r>
                              <w:t>After considering these comments, the committee will prepare the final appraisal document.</w:t>
                            </w:r>
                          </w:p>
                          <w:p w14:paraId="61FA07A9" w14:textId="6EF68209" w:rsidR="0017396F" w:rsidRDefault="0017396F" w:rsidP="00FB5140">
                            <w:pPr>
                              <w:pStyle w:val="Bulletleft1last"/>
                              <w:spacing w:line="240" w:lineRule="auto"/>
                            </w:pPr>
                            <w:r>
                              <w:t>Subject to any appeal by consultees, the final appraisal document may be used as the basis for NICE's guidance on using solriamfetol</w:t>
                            </w:r>
                            <w:r w:rsidRPr="00FB5140">
                              <w:t xml:space="preserve"> </w:t>
                            </w:r>
                            <w:r>
                              <w:t xml:space="preserve">in the NHS in England. </w:t>
                            </w:r>
                          </w:p>
                          <w:p w14:paraId="5004C45F" w14:textId="77777777" w:rsidR="0017396F" w:rsidRDefault="0017396F" w:rsidP="00FB5140">
                            <w:pPr>
                              <w:pStyle w:val="NICEnormalsinglespacing"/>
                            </w:pPr>
                            <w:r>
                              <w:t>For further details, see NICE's guide to the processes of technology appraisal.</w:t>
                            </w:r>
                          </w:p>
                          <w:p w14:paraId="61EE5284" w14:textId="77777777" w:rsidR="0017396F" w:rsidRDefault="0017396F" w:rsidP="00FB5140">
                            <w:pPr>
                              <w:pStyle w:val="NICEnormalsinglespacing"/>
                            </w:pPr>
                            <w:r>
                              <w:t>The key dates for this appraisal are:</w:t>
                            </w:r>
                          </w:p>
                          <w:p w14:paraId="0EE08246" w14:textId="25EF259D" w:rsidR="0017396F" w:rsidRDefault="0017396F" w:rsidP="00FB5140">
                            <w:pPr>
                              <w:pStyle w:val="NICEnormalsinglespacing"/>
                            </w:pPr>
                            <w:r>
                              <w:t xml:space="preserve">Closing date for comments: </w:t>
                            </w:r>
                            <w:r w:rsidR="003F41A3" w:rsidRPr="003F41A3">
                              <w:t>Wednesday 28</w:t>
                            </w:r>
                            <w:r w:rsidR="003F41A3" w:rsidRPr="003F41A3">
                              <w:rPr>
                                <w:vertAlign w:val="superscript"/>
                              </w:rPr>
                              <w:t>th</w:t>
                            </w:r>
                            <w:r w:rsidR="003F41A3" w:rsidRPr="003F41A3">
                              <w:t xml:space="preserve"> of April</w:t>
                            </w:r>
                            <w:r w:rsidRPr="003F41A3">
                              <w:t xml:space="preserve"> 2021</w:t>
                            </w:r>
                          </w:p>
                          <w:p w14:paraId="55F2759F" w14:textId="55B1CAE9" w:rsidR="0017396F" w:rsidRDefault="0017396F" w:rsidP="00FB5140">
                            <w:pPr>
                              <w:pStyle w:val="NICEnormalsinglespacing"/>
                            </w:pPr>
                            <w:r>
                              <w:t xml:space="preserve">Second appraisal committee meeting: To be </w:t>
                            </w:r>
                            <w:proofErr w:type="gramStart"/>
                            <w:r>
                              <w:t>confirmed</w:t>
                            </w:r>
                            <w:proofErr w:type="gramEnd"/>
                          </w:p>
                          <w:p w14:paraId="51972575" w14:textId="012D03BF" w:rsidR="0017396F" w:rsidRDefault="0017396F" w:rsidP="00FB5140">
                            <w:pPr>
                              <w:pStyle w:val="Bulletleft1"/>
                              <w:numPr>
                                <w:ilvl w:val="0"/>
                                <w:numId w:val="0"/>
                              </w:numPr>
                              <w:spacing w:line="240" w:lineRule="auto"/>
                              <w:ind w:left="284" w:hanging="284"/>
                            </w:pPr>
                            <w:r>
                              <w:t xml:space="preserve">Details of membership of the appraisal committee are given in section </w:t>
                            </w:r>
                            <w:proofErr w:type="gramStart"/>
                            <w:r>
                              <w:t>5</w:t>
                            </w:r>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3C018" id="_x0000_t202" coordsize="21600,21600" o:spt="202" path="m,l,21600r21600,l21600,xe">
                <v:stroke joinstyle="miter"/>
                <v:path gradientshapeok="t" o:connecttype="rect"/>
              </v:shapetype>
              <v:shape id="Text Box 1" o:spid="_x0000_s1027" type="#_x0000_t202" alt="Panel explaining the consultation process. " style="position:absolute;margin-left:-4.35pt;margin-top:19.1pt;width:429.65pt;height:371.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" fillcolor="white [3212]" strokecolor="#a2bdc1" strokeweight="3pt">
                <v:textbox>
                  <w:txbxContent>
                    <w:p w14:paraId="61904C0D" w14:textId="77777777" w:rsidR="0017396F" w:rsidRPr="004921C3" w:rsidRDefault="0017396F" w:rsidP="00FB5140">
                      <w:pPr>
                        <w:pStyle w:val="NICEnormalsinglespacing"/>
                        <w:rPr>
                          <w:b/>
                          <w:bCs/>
                        </w:rPr>
                      </w:pPr>
                      <w:r w:rsidRPr="004921C3">
                        <w:rPr>
                          <w:b/>
                          <w:bCs/>
                        </w:rPr>
                        <w:t>Note that this document is not NICE's final guidance on this technology. The recommendations in section 1 may change after consultation.</w:t>
                      </w:r>
                    </w:p>
                    <w:p w14:paraId="77C27E36" w14:textId="77777777" w:rsidR="0017396F" w:rsidRDefault="0017396F" w:rsidP="00FB5140">
                      <w:pPr>
                        <w:pStyle w:val="NICEnormalsinglespacing"/>
                      </w:pPr>
                      <w:r>
                        <w:t>After consultation:</w:t>
                      </w:r>
                    </w:p>
                    <w:p w14:paraId="7B70E89B" w14:textId="2B1AD963" w:rsidR="0017396F" w:rsidRDefault="0017396F" w:rsidP="00FB5140">
                      <w:pPr>
                        <w:pStyle w:val="Bulletleft1"/>
                        <w:spacing w:line="240" w:lineRule="auto"/>
                      </w:pPr>
                      <w:r>
                        <w:t>The appraisal committee will meet again to consider the evidence, this appraisal consultation document, and comments from the consultees.</w:t>
                      </w:r>
                    </w:p>
                    <w:p w14:paraId="3598806A" w14:textId="77777777" w:rsidR="0017396F" w:rsidRDefault="0017396F" w:rsidP="00FB5140">
                      <w:pPr>
                        <w:pStyle w:val="Bulletleft1"/>
                        <w:spacing w:line="240" w:lineRule="auto"/>
                      </w:pPr>
                      <w:r>
                        <w:t>At that meeting, the committee will also consider comments made by people who are not consultees.</w:t>
                      </w:r>
                    </w:p>
                    <w:p w14:paraId="368330F5" w14:textId="77777777" w:rsidR="0017396F" w:rsidRDefault="0017396F" w:rsidP="00FB5140">
                      <w:pPr>
                        <w:pStyle w:val="Bulletleft1"/>
                        <w:spacing w:line="240" w:lineRule="auto"/>
                      </w:pPr>
                      <w:r>
                        <w:t>After considering these comments, the committee will prepare the final appraisal document.</w:t>
                      </w:r>
                    </w:p>
                    <w:p w14:paraId="61FA07A9" w14:textId="6EF68209" w:rsidR="0017396F" w:rsidRDefault="0017396F" w:rsidP="00FB5140">
                      <w:pPr>
                        <w:pStyle w:val="Bulletleft1last"/>
                        <w:spacing w:line="240" w:lineRule="auto"/>
                      </w:pPr>
                      <w:r>
                        <w:t>Subject to any appeal by consultees, the final appraisal document may be used as the basis for NICE's guidance on using solriamfetol</w:t>
                      </w:r>
                      <w:r w:rsidRPr="00FB5140">
                        <w:t xml:space="preserve"> </w:t>
                      </w:r>
                      <w:r>
                        <w:t xml:space="preserve">in the NHS in England. </w:t>
                      </w:r>
                    </w:p>
                    <w:p w14:paraId="5004C45F" w14:textId="77777777" w:rsidR="0017396F" w:rsidRDefault="0017396F" w:rsidP="00FB5140">
                      <w:pPr>
                        <w:pStyle w:val="NICEnormalsinglespacing"/>
                      </w:pPr>
                      <w:r>
                        <w:t>For further details, see NICE's guide to the processes of technology appraisal.</w:t>
                      </w:r>
                    </w:p>
                    <w:p w14:paraId="61EE5284" w14:textId="77777777" w:rsidR="0017396F" w:rsidRDefault="0017396F" w:rsidP="00FB5140">
                      <w:pPr>
                        <w:pStyle w:val="NICEnormalsinglespacing"/>
                      </w:pPr>
                      <w:r>
                        <w:t>The key dates for this appraisal are:</w:t>
                      </w:r>
                    </w:p>
                    <w:p w14:paraId="0EE08246" w14:textId="25EF259D" w:rsidR="0017396F" w:rsidRDefault="0017396F" w:rsidP="00FB5140">
                      <w:pPr>
                        <w:pStyle w:val="NICEnormalsinglespacing"/>
                      </w:pPr>
                      <w:r>
                        <w:t xml:space="preserve">Closing date for comments: </w:t>
                      </w:r>
                      <w:r w:rsidR="003F41A3" w:rsidRPr="003F41A3">
                        <w:t>Wednesday 28</w:t>
                      </w:r>
                      <w:r w:rsidR="003F41A3" w:rsidRPr="003F41A3">
                        <w:rPr>
                          <w:vertAlign w:val="superscript"/>
                        </w:rPr>
                        <w:t>th</w:t>
                      </w:r>
                      <w:r w:rsidR="003F41A3" w:rsidRPr="003F41A3">
                        <w:t xml:space="preserve"> of April</w:t>
                      </w:r>
                      <w:r w:rsidRPr="003F41A3">
                        <w:t xml:space="preserve"> 2021</w:t>
                      </w:r>
                    </w:p>
                    <w:p w14:paraId="55F2759F" w14:textId="55B1CAE9" w:rsidR="0017396F" w:rsidRDefault="0017396F" w:rsidP="00FB5140">
                      <w:pPr>
                        <w:pStyle w:val="NICEnormalsinglespacing"/>
                      </w:pPr>
                      <w:r>
                        <w:t xml:space="preserve">Second appraisal committee meeting: To be </w:t>
                      </w:r>
                      <w:proofErr w:type="gramStart"/>
                      <w:r>
                        <w:t>confirmed</w:t>
                      </w:r>
                      <w:proofErr w:type="gramEnd"/>
                    </w:p>
                    <w:p w14:paraId="51972575" w14:textId="012D03BF" w:rsidR="0017396F" w:rsidRDefault="0017396F" w:rsidP="00FB5140">
                      <w:pPr>
                        <w:pStyle w:val="Bulletleft1"/>
                        <w:numPr>
                          <w:ilvl w:val="0"/>
                          <w:numId w:val="0"/>
                        </w:numPr>
                        <w:spacing w:line="240" w:lineRule="auto"/>
                        <w:ind w:left="284" w:hanging="284"/>
                      </w:pPr>
                      <w:r>
                        <w:t xml:space="preserve">Details of membership of the appraisal committee are given in section </w:t>
                      </w:r>
                      <w:proofErr w:type="gramStart"/>
                      <w:r>
                        <w:t>5</w:t>
                      </w:r>
                      <w:proofErr w:type="gramEnd"/>
                      <w:r>
                        <w:t xml:space="preserve"> </w:t>
                      </w:r>
                    </w:p>
                  </w:txbxContent>
                </v:textbox>
                <w10:wrap anchorx="margin"/>
              </v:shape>
            </w:pict>
          </mc:Fallback>
        </mc:AlternateContent>
      </w:r>
    </w:p>
    <w:p w14:paraId="3935AA88" w14:textId="77777777" w:rsidR="007A2801" w:rsidRPr="007E3C0F" w:rsidRDefault="007A2801">
      <w:pPr>
        <w:rPr>
          <w:rFonts w:ascii="Arial" w:hAnsi="Arial"/>
        </w:rPr>
      </w:pPr>
      <w:r w:rsidRPr="007E3C0F">
        <w:br w:type="page"/>
      </w:r>
    </w:p>
    <w:p w14:paraId="5ADBEDCF" w14:textId="77777777" w:rsidR="000F48EC" w:rsidRPr="007E3C0F" w:rsidRDefault="00B379C5" w:rsidP="00F130AD">
      <w:pPr>
        <w:pStyle w:val="Numberedheading1"/>
      </w:pPr>
      <w:r w:rsidRPr="007E3C0F">
        <w:lastRenderedPageBreak/>
        <w:t>Recommendations</w:t>
      </w:r>
    </w:p>
    <w:p w14:paraId="2EEC95A5" w14:textId="1CBA2D79" w:rsidR="00CC02ED" w:rsidRPr="007E3C0F" w:rsidRDefault="007C195A" w:rsidP="00393A6C">
      <w:pPr>
        <w:pStyle w:val="Numberedlevel2text"/>
        <w:rPr>
          <w:lang w:val="en-GB"/>
        </w:rPr>
      </w:pPr>
      <w:r w:rsidRPr="007E3C0F">
        <w:rPr>
          <w:lang w:val="en-GB"/>
        </w:rPr>
        <w:t xml:space="preserve">Solriamfetol </w:t>
      </w:r>
      <w:r w:rsidR="007A2801" w:rsidRPr="007E3C0F">
        <w:rPr>
          <w:lang w:val="en-GB"/>
        </w:rPr>
        <w:t xml:space="preserve">is not recommended, within its marketing authorisation, </w:t>
      </w:r>
      <w:r w:rsidR="00013E43" w:rsidRPr="007E3C0F">
        <w:rPr>
          <w:lang w:val="en-GB"/>
        </w:rPr>
        <w:t xml:space="preserve">to </w:t>
      </w:r>
      <w:r w:rsidR="00D6271D" w:rsidRPr="007E3C0F">
        <w:rPr>
          <w:lang w:val="en-GB"/>
        </w:rPr>
        <w:t>improv</w:t>
      </w:r>
      <w:r w:rsidR="00013E43" w:rsidRPr="007E3C0F">
        <w:rPr>
          <w:lang w:val="en-GB"/>
        </w:rPr>
        <w:t>e</w:t>
      </w:r>
      <w:r w:rsidR="00D6271D" w:rsidRPr="007E3C0F">
        <w:rPr>
          <w:lang w:val="en-GB"/>
        </w:rPr>
        <w:t xml:space="preserve"> wakefulness</w:t>
      </w:r>
      <w:r w:rsidR="00013E43" w:rsidRPr="007E3C0F">
        <w:rPr>
          <w:lang w:val="en-GB"/>
        </w:rPr>
        <w:t xml:space="preserve"> and reduce excessive daytime sleepiness </w:t>
      </w:r>
      <w:r w:rsidR="007A2801" w:rsidRPr="007E3C0F">
        <w:rPr>
          <w:lang w:val="en-GB"/>
        </w:rPr>
        <w:t xml:space="preserve">in </w:t>
      </w:r>
      <w:r w:rsidRPr="007E3C0F">
        <w:rPr>
          <w:lang w:val="en-GB"/>
        </w:rPr>
        <w:t>adults</w:t>
      </w:r>
      <w:r w:rsidR="00EC18E7" w:rsidRPr="007E3C0F">
        <w:rPr>
          <w:lang w:val="en-GB"/>
        </w:rPr>
        <w:t xml:space="preserve"> with </w:t>
      </w:r>
      <w:r w:rsidR="00434544" w:rsidRPr="007E3C0F">
        <w:rPr>
          <w:lang w:val="en-GB"/>
        </w:rPr>
        <w:t>obstructive sleep apnoea</w:t>
      </w:r>
      <w:r w:rsidR="002031C3" w:rsidRPr="007E3C0F">
        <w:rPr>
          <w:lang w:val="en-GB"/>
        </w:rPr>
        <w:t xml:space="preserve"> </w:t>
      </w:r>
      <w:r w:rsidR="00A1543E" w:rsidRPr="007E3C0F">
        <w:rPr>
          <w:rStyle w:val="NICEnormalChar"/>
          <w:szCs w:val="28"/>
        </w:rPr>
        <w:t xml:space="preserve">whose </w:t>
      </w:r>
      <w:r w:rsidR="00761656" w:rsidRPr="007E3C0F">
        <w:rPr>
          <w:rStyle w:val="NICEnormalChar"/>
          <w:szCs w:val="28"/>
        </w:rPr>
        <w:t>sleepiness</w:t>
      </w:r>
      <w:r w:rsidR="00A1543E" w:rsidRPr="007E3C0F">
        <w:rPr>
          <w:rStyle w:val="NICEnormalChar"/>
          <w:szCs w:val="28"/>
        </w:rPr>
        <w:t xml:space="preserve"> has not been satisfactorily treated by primary obstructive sleep apnoea therapy</w:t>
      </w:r>
      <w:r w:rsidR="004440FF" w:rsidRPr="007E3C0F">
        <w:rPr>
          <w:rStyle w:val="NICEnormalChar"/>
          <w:szCs w:val="28"/>
        </w:rPr>
        <w:t>,</w:t>
      </w:r>
      <w:r w:rsidR="00A1543E" w:rsidRPr="007E3C0F">
        <w:rPr>
          <w:rStyle w:val="NICEnormalChar"/>
          <w:szCs w:val="28"/>
        </w:rPr>
        <w:t xml:space="preserve"> such as continuous positive airway pressure</w:t>
      </w:r>
      <w:r w:rsidR="006C184E" w:rsidRPr="007E3C0F">
        <w:rPr>
          <w:rStyle w:val="NICEnormalChar"/>
          <w:szCs w:val="28"/>
        </w:rPr>
        <w:t xml:space="preserve"> (CPAP)</w:t>
      </w:r>
      <w:r w:rsidR="00A1543E" w:rsidRPr="007E3C0F">
        <w:rPr>
          <w:rStyle w:val="NICEnormalChar"/>
          <w:szCs w:val="28"/>
        </w:rPr>
        <w:t>.</w:t>
      </w:r>
    </w:p>
    <w:p w14:paraId="3566F5D9" w14:textId="6749E6AE" w:rsidR="00393A6C" w:rsidRPr="007E3C0F" w:rsidRDefault="002F2C1A" w:rsidP="00393A6C">
      <w:pPr>
        <w:pStyle w:val="Numberedlevel2text"/>
        <w:rPr>
          <w:lang w:val="en-GB"/>
        </w:rPr>
      </w:pPr>
      <w:r w:rsidRPr="007E3C0F">
        <w:rPr>
          <w:lang w:val="en-GB"/>
        </w:rPr>
        <w:t xml:space="preserve">This recommendation is not intended to affect treatment with </w:t>
      </w:r>
      <w:r w:rsidR="00765EB5" w:rsidRPr="007E3C0F">
        <w:rPr>
          <w:lang w:val="en-GB"/>
        </w:rPr>
        <w:t xml:space="preserve">solriamfetol </w:t>
      </w:r>
      <w:r w:rsidRPr="007E3C0F">
        <w:rPr>
          <w:lang w:val="en-GB"/>
        </w:rPr>
        <w:t>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w:t>
      </w:r>
    </w:p>
    <w:p w14:paraId="69F29DFD" w14:textId="274E7484" w:rsidR="00C11F58" w:rsidRPr="007E3C0F" w:rsidRDefault="00C11F58" w:rsidP="0000635E">
      <w:pPr>
        <w:pStyle w:val="NICEnormal"/>
        <w:rPr>
          <w:b/>
          <w:bCs/>
        </w:rPr>
      </w:pPr>
      <w:r w:rsidRPr="007E3C0F">
        <w:rPr>
          <w:b/>
          <w:bCs/>
        </w:rPr>
        <w:t xml:space="preserve">Why the committee made these </w:t>
      </w:r>
      <w:proofErr w:type="gramStart"/>
      <w:r w:rsidR="00A91B48" w:rsidRPr="007E3C0F">
        <w:rPr>
          <w:b/>
          <w:bCs/>
        </w:rPr>
        <w:t>recommendations</w:t>
      </w:r>
      <w:proofErr w:type="gramEnd"/>
    </w:p>
    <w:p w14:paraId="7DDA159F" w14:textId="2B7D8160" w:rsidR="00534CC9" w:rsidRPr="007E3C0F" w:rsidRDefault="00534CC9" w:rsidP="00534CC9">
      <w:pPr>
        <w:pStyle w:val="NICEnormal"/>
        <w:rPr>
          <w:bCs/>
        </w:rPr>
      </w:pPr>
      <w:r w:rsidRPr="007E3C0F">
        <w:rPr>
          <w:bCs/>
        </w:rPr>
        <w:t xml:space="preserve">Excessive daytime sleepiness caused by </w:t>
      </w:r>
      <w:r w:rsidR="00720977" w:rsidRPr="007E3C0F">
        <w:rPr>
          <w:bCs/>
        </w:rPr>
        <w:t>obstructive sleep apnoea</w:t>
      </w:r>
      <w:r w:rsidR="006B7505" w:rsidRPr="007E3C0F">
        <w:rPr>
          <w:bCs/>
        </w:rPr>
        <w:t xml:space="preserve"> is</w:t>
      </w:r>
      <w:r w:rsidR="00AC50D9" w:rsidRPr="007E3C0F">
        <w:rPr>
          <w:bCs/>
        </w:rPr>
        <w:t xml:space="preserve"> </w:t>
      </w:r>
      <w:r w:rsidR="00DD640F" w:rsidRPr="007E3C0F">
        <w:rPr>
          <w:bCs/>
        </w:rPr>
        <w:t xml:space="preserve">usually </w:t>
      </w:r>
      <w:r w:rsidR="00AC50D9" w:rsidRPr="007E3C0F">
        <w:rPr>
          <w:bCs/>
        </w:rPr>
        <w:t>first</w:t>
      </w:r>
      <w:r w:rsidRPr="007E3C0F">
        <w:rPr>
          <w:bCs/>
        </w:rPr>
        <w:t xml:space="preserve"> treated with </w:t>
      </w:r>
      <w:r w:rsidR="00FA24B3" w:rsidRPr="007E3C0F">
        <w:rPr>
          <w:bCs/>
        </w:rPr>
        <w:t xml:space="preserve">a primary obstructive sleep apnoea therapy such as </w:t>
      </w:r>
      <w:r w:rsidR="006C184E" w:rsidRPr="007E3C0F">
        <w:rPr>
          <w:bCs/>
        </w:rPr>
        <w:t>CPAP</w:t>
      </w:r>
      <w:r w:rsidR="00AC50D9" w:rsidRPr="007E3C0F">
        <w:rPr>
          <w:bCs/>
        </w:rPr>
        <w:t>.</w:t>
      </w:r>
    </w:p>
    <w:p w14:paraId="348B44FD" w14:textId="3ACDF467" w:rsidR="00E62DCF" w:rsidRPr="007E3C0F" w:rsidRDefault="00B01C56" w:rsidP="004E76EE">
      <w:pPr>
        <w:pStyle w:val="NICEnormal"/>
        <w:rPr>
          <w:bCs/>
        </w:rPr>
      </w:pPr>
      <w:r w:rsidRPr="007E3C0F">
        <w:rPr>
          <w:bCs/>
        </w:rPr>
        <w:t xml:space="preserve">Clinical trial evidence shows that </w:t>
      </w:r>
      <w:r w:rsidR="0011520A" w:rsidRPr="007E3C0F">
        <w:rPr>
          <w:bCs/>
        </w:rPr>
        <w:t>solriamfetol</w:t>
      </w:r>
      <w:r w:rsidR="008C5BC3" w:rsidRPr="007E3C0F">
        <w:rPr>
          <w:bCs/>
        </w:rPr>
        <w:t xml:space="preserve"> added to </w:t>
      </w:r>
      <w:r w:rsidR="00837996" w:rsidRPr="007E3C0F">
        <w:rPr>
          <w:bCs/>
        </w:rPr>
        <w:t xml:space="preserve">a primary obstructive sleep apnoea therapy </w:t>
      </w:r>
      <w:r w:rsidR="00E9472F" w:rsidRPr="007E3C0F">
        <w:rPr>
          <w:bCs/>
        </w:rPr>
        <w:t xml:space="preserve">(standard care) </w:t>
      </w:r>
      <w:r w:rsidR="0011520A" w:rsidRPr="007E3C0F">
        <w:rPr>
          <w:bCs/>
        </w:rPr>
        <w:t xml:space="preserve">reduces </w:t>
      </w:r>
      <w:r w:rsidR="00373C13" w:rsidRPr="007E3C0F">
        <w:rPr>
          <w:bCs/>
        </w:rPr>
        <w:t xml:space="preserve">excessive daytime sleepiness </w:t>
      </w:r>
      <w:r w:rsidR="0011520A" w:rsidRPr="007E3C0F">
        <w:rPr>
          <w:bCs/>
        </w:rPr>
        <w:t xml:space="preserve">compared </w:t>
      </w:r>
      <w:r w:rsidR="00534CC9" w:rsidRPr="007E3C0F">
        <w:rPr>
          <w:bCs/>
        </w:rPr>
        <w:t xml:space="preserve">with </w:t>
      </w:r>
      <w:r w:rsidR="00E9472F" w:rsidRPr="007E3C0F">
        <w:rPr>
          <w:bCs/>
        </w:rPr>
        <w:t>standard care</w:t>
      </w:r>
      <w:r w:rsidR="00837996" w:rsidRPr="007E3C0F">
        <w:rPr>
          <w:bCs/>
        </w:rPr>
        <w:t xml:space="preserve"> alone</w:t>
      </w:r>
      <w:r w:rsidR="0011520A" w:rsidRPr="007E3C0F">
        <w:rPr>
          <w:bCs/>
        </w:rPr>
        <w:t xml:space="preserve">. </w:t>
      </w:r>
      <w:r w:rsidR="002F661C" w:rsidRPr="007E3C0F">
        <w:rPr>
          <w:bCs/>
        </w:rPr>
        <w:t xml:space="preserve">The </w:t>
      </w:r>
      <w:r w:rsidR="00D35E17" w:rsidRPr="007E3C0F">
        <w:rPr>
          <w:bCs/>
        </w:rPr>
        <w:t xml:space="preserve">evidence </w:t>
      </w:r>
      <w:r w:rsidR="00DB49AF" w:rsidRPr="007E3C0F">
        <w:rPr>
          <w:bCs/>
        </w:rPr>
        <w:t xml:space="preserve">does not show a difference in quality of </w:t>
      </w:r>
      <w:r w:rsidR="00536094" w:rsidRPr="007E3C0F">
        <w:rPr>
          <w:bCs/>
        </w:rPr>
        <w:t>life,</w:t>
      </w:r>
      <w:r w:rsidR="00DB49AF" w:rsidRPr="007E3C0F">
        <w:rPr>
          <w:bCs/>
        </w:rPr>
        <w:t xml:space="preserve"> but this is </w:t>
      </w:r>
      <w:r w:rsidR="000A0D3C" w:rsidRPr="007E3C0F">
        <w:rPr>
          <w:bCs/>
        </w:rPr>
        <w:t>uncertain</w:t>
      </w:r>
      <w:r w:rsidR="00DB49AF" w:rsidRPr="007E3C0F">
        <w:rPr>
          <w:bCs/>
        </w:rPr>
        <w:t xml:space="preserve"> because of the way that quality of life was assessed in the trial</w:t>
      </w:r>
      <w:r w:rsidR="00534CC9" w:rsidRPr="007E3C0F">
        <w:rPr>
          <w:bCs/>
        </w:rPr>
        <w:t>.</w:t>
      </w:r>
      <w:r w:rsidR="00644A16" w:rsidRPr="007E3C0F">
        <w:rPr>
          <w:bCs/>
        </w:rPr>
        <w:t xml:space="preserve"> </w:t>
      </w:r>
      <w:r w:rsidR="002F661C" w:rsidRPr="007E3C0F">
        <w:rPr>
          <w:bCs/>
        </w:rPr>
        <w:t>No</w:t>
      </w:r>
      <w:r w:rsidR="001554E7" w:rsidRPr="007E3C0F">
        <w:rPr>
          <w:bCs/>
        </w:rPr>
        <w:t xml:space="preserve"> evidence has been present</w:t>
      </w:r>
      <w:r w:rsidR="00BA7E32" w:rsidRPr="007E3C0F">
        <w:rPr>
          <w:bCs/>
        </w:rPr>
        <w:t>ed</w:t>
      </w:r>
      <w:r w:rsidR="001554E7" w:rsidRPr="007E3C0F">
        <w:rPr>
          <w:bCs/>
        </w:rPr>
        <w:t xml:space="preserve"> </w:t>
      </w:r>
      <w:r w:rsidR="00DC0F9B" w:rsidRPr="007E3C0F">
        <w:rPr>
          <w:bCs/>
        </w:rPr>
        <w:t xml:space="preserve">on solriamfetol alone, </w:t>
      </w:r>
      <w:r w:rsidR="00150BC6" w:rsidRPr="007E3C0F">
        <w:rPr>
          <w:bCs/>
        </w:rPr>
        <w:t>although it</w:t>
      </w:r>
      <w:r w:rsidR="00DC0F9B" w:rsidRPr="007E3C0F">
        <w:rPr>
          <w:bCs/>
        </w:rPr>
        <w:t xml:space="preserve"> is an option in the </w:t>
      </w:r>
      <w:r w:rsidR="00BA7E32" w:rsidRPr="007E3C0F">
        <w:rPr>
          <w:bCs/>
        </w:rPr>
        <w:t xml:space="preserve">full marketing authorisation </w:t>
      </w:r>
      <w:r w:rsidR="00204220" w:rsidRPr="007E3C0F">
        <w:rPr>
          <w:bCs/>
        </w:rPr>
        <w:t>for people who cannot use CPAP</w:t>
      </w:r>
      <w:r w:rsidR="00BA7E32" w:rsidRPr="007E3C0F">
        <w:rPr>
          <w:bCs/>
        </w:rPr>
        <w:t xml:space="preserve">. </w:t>
      </w:r>
    </w:p>
    <w:p w14:paraId="4DEB6037" w14:textId="0A25DF79" w:rsidR="00FE2C95" w:rsidRPr="007E3C0F" w:rsidRDefault="001B0A08" w:rsidP="004E76EE">
      <w:pPr>
        <w:pStyle w:val="NICEnormal"/>
        <w:rPr>
          <w:bCs/>
        </w:rPr>
      </w:pPr>
      <w:r w:rsidRPr="007E3C0F">
        <w:rPr>
          <w:bCs/>
        </w:rPr>
        <w:t xml:space="preserve">There are </w:t>
      </w:r>
      <w:r w:rsidR="00BB46D6" w:rsidRPr="007E3C0F">
        <w:rPr>
          <w:bCs/>
        </w:rPr>
        <w:t xml:space="preserve">concerns about </w:t>
      </w:r>
      <w:r w:rsidR="00EB0891" w:rsidRPr="007E3C0F">
        <w:rPr>
          <w:bCs/>
        </w:rPr>
        <w:t xml:space="preserve">how the </w:t>
      </w:r>
      <w:r w:rsidR="00720977" w:rsidRPr="007E3C0F">
        <w:rPr>
          <w:bCs/>
        </w:rPr>
        <w:t>trial data ha</w:t>
      </w:r>
      <w:r w:rsidR="000A0D3C" w:rsidRPr="007E3C0F">
        <w:rPr>
          <w:bCs/>
        </w:rPr>
        <w:t>ve</w:t>
      </w:r>
      <w:r w:rsidR="00720977" w:rsidRPr="007E3C0F">
        <w:rPr>
          <w:bCs/>
        </w:rPr>
        <w:t xml:space="preserve"> been </w:t>
      </w:r>
      <w:r w:rsidR="0084365A" w:rsidRPr="007E3C0F">
        <w:rPr>
          <w:bCs/>
        </w:rPr>
        <w:t xml:space="preserve">modelled </w:t>
      </w:r>
      <w:r w:rsidR="007279BB" w:rsidRPr="007E3C0F">
        <w:rPr>
          <w:bCs/>
        </w:rPr>
        <w:t xml:space="preserve">to take account of </w:t>
      </w:r>
      <w:r w:rsidR="001E1B5A" w:rsidRPr="007E3C0F">
        <w:rPr>
          <w:bCs/>
        </w:rPr>
        <w:t xml:space="preserve">a </w:t>
      </w:r>
      <w:r w:rsidR="00427E0D" w:rsidRPr="007E3C0F">
        <w:rPr>
          <w:bCs/>
        </w:rPr>
        <w:t xml:space="preserve">potential </w:t>
      </w:r>
      <w:r w:rsidR="007279BB" w:rsidRPr="007E3C0F">
        <w:rPr>
          <w:bCs/>
        </w:rPr>
        <w:t>placebo effect</w:t>
      </w:r>
      <w:r w:rsidR="001E1B5A" w:rsidRPr="007E3C0F">
        <w:rPr>
          <w:bCs/>
        </w:rPr>
        <w:t xml:space="preserve"> in the</w:t>
      </w:r>
      <w:r w:rsidR="00427E0D" w:rsidRPr="007E3C0F">
        <w:rPr>
          <w:bCs/>
        </w:rPr>
        <w:t xml:space="preserve"> standard care group</w:t>
      </w:r>
      <w:r w:rsidR="00814C15" w:rsidRPr="007E3C0F">
        <w:rPr>
          <w:bCs/>
        </w:rPr>
        <w:t>,</w:t>
      </w:r>
      <w:r w:rsidR="000B340D" w:rsidRPr="007E3C0F">
        <w:rPr>
          <w:bCs/>
        </w:rPr>
        <w:t xml:space="preserve"> </w:t>
      </w:r>
      <w:r w:rsidR="00BB46D6" w:rsidRPr="007E3C0F">
        <w:rPr>
          <w:bCs/>
        </w:rPr>
        <w:t xml:space="preserve">and uncertainty </w:t>
      </w:r>
      <w:r w:rsidR="00F33D63" w:rsidRPr="007E3C0F">
        <w:rPr>
          <w:bCs/>
        </w:rPr>
        <w:t>about the assumptions</w:t>
      </w:r>
      <w:r w:rsidRPr="007E3C0F">
        <w:rPr>
          <w:bCs/>
        </w:rPr>
        <w:t xml:space="preserve"> around </w:t>
      </w:r>
      <w:r w:rsidR="003C0E71" w:rsidRPr="007E3C0F">
        <w:rPr>
          <w:bCs/>
        </w:rPr>
        <w:t>the</w:t>
      </w:r>
      <w:r w:rsidR="00F33D63" w:rsidRPr="007E3C0F">
        <w:rPr>
          <w:bCs/>
        </w:rPr>
        <w:t xml:space="preserve"> </w:t>
      </w:r>
      <w:r w:rsidR="00BD380E" w:rsidRPr="007E3C0F">
        <w:rPr>
          <w:bCs/>
        </w:rPr>
        <w:t>dos</w:t>
      </w:r>
      <w:r w:rsidR="00A7733A" w:rsidRPr="007E3C0F">
        <w:rPr>
          <w:bCs/>
        </w:rPr>
        <w:t>e</w:t>
      </w:r>
      <w:r w:rsidR="00257E77" w:rsidRPr="007E3C0F">
        <w:rPr>
          <w:bCs/>
        </w:rPr>
        <w:t>s used</w:t>
      </w:r>
      <w:r w:rsidR="003C0E71" w:rsidRPr="007E3C0F">
        <w:rPr>
          <w:bCs/>
        </w:rPr>
        <w:t xml:space="preserve"> in clinical practice</w:t>
      </w:r>
      <w:r w:rsidRPr="007E3C0F">
        <w:rPr>
          <w:bCs/>
        </w:rPr>
        <w:t xml:space="preserve">. </w:t>
      </w:r>
      <w:r w:rsidR="00720977" w:rsidRPr="007E3C0F">
        <w:rPr>
          <w:bCs/>
        </w:rPr>
        <w:t>Therefore,</w:t>
      </w:r>
      <w:r w:rsidR="00F33D63" w:rsidRPr="007E3C0F">
        <w:rPr>
          <w:bCs/>
        </w:rPr>
        <w:t xml:space="preserve"> the cost</w:t>
      </w:r>
      <w:r w:rsidRPr="007E3C0F">
        <w:rPr>
          <w:bCs/>
        </w:rPr>
        <w:t>-</w:t>
      </w:r>
      <w:r w:rsidR="00F33D63" w:rsidRPr="007E3C0F">
        <w:rPr>
          <w:bCs/>
        </w:rPr>
        <w:t xml:space="preserve">effectiveness estimates for solriamfetol </w:t>
      </w:r>
      <w:r w:rsidR="003C0E71" w:rsidRPr="007E3C0F">
        <w:rPr>
          <w:bCs/>
        </w:rPr>
        <w:t xml:space="preserve">with standard care </w:t>
      </w:r>
      <w:r w:rsidR="00F33D63" w:rsidRPr="007E3C0F">
        <w:rPr>
          <w:bCs/>
        </w:rPr>
        <w:t xml:space="preserve">compared with </w:t>
      </w:r>
      <w:r w:rsidR="003C0E71" w:rsidRPr="007E3C0F">
        <w:rPr>
          <w:bCs/>
        </w:rPr>
        <w:t>standard care alone</w:t>
      </w:r>
      <w:r w:rsidR="00720977" w:rsidRPr="007E3C0F">
        <w:rPr>
          <w:bCs/>
        </w:rPr>
        <w:t xml:space="preserve"> </w:t>
      </w:r>
      <w:r w:rsidR="00F33D63" w:rsidRPr="007E3C0F">
        <w:rPr>
          <w:bCs/>
        </w:rPr>
        <w:t>are uncertain. They are</w:t>
      </w:r>
      <w:r w:rsidR="00BB4159" w:rsidRPr="007E3C0F">
        <w:rPr>
          <w:bCs/>
        </w:rPr>
        <w:t xml:space="preserve"> also</w:t>
      </w:r>
      <w:r w:rsidR="00ED5E7F" w:rsidRPr="007E3C0F">
        <w:rPr>
          <w:bCs/>
        </w:rPr>
        <w:t xml:space="preserve"> likely to be</w:t>
      </w:r>
      <w:r w:rsidR="00F33D63" w:rsidRPr="007E3C0F">
        <w:rPr>
          <w:bCs/>
        </w:rPr>
        <w:t xml:space="preserve"> higher than what NICE normally considers an acceptable use of NHS resources</w:t>
      </w:r>
      <w:r w:rsidR="00BB4159" w:rsidRPr="007E3C0F">
        <w:rPr>
          <w:bCs/>
        </w:rPr>
        <w:t>.</w:t>
      </w:r>
      <w:r w:rsidR="00F33D63" w:rsidRPr="007E3C0F">
        <w:rPr>
          <w:bCs/>
        </w:rPr>
        <w:t xml:space="preserve"> </w:t>
      </w:r>
      <w:r w:rsidR="00BB4159" w:rsidRPr="007E3C0F">
        <w:rPr>
          <w:bCs/>
        </w:rPr>
        <w:t>S</w:t>
      </w:r>
      <w:r w:rsidR="00F33D63" w:rsidRPr="007E3C0F">
        <w:rPr>
          <w:bCs/>
        </w:rPr>
        <w:t xml:space="preserve">o </w:t>
      </w:r>
      <w:r w:rsidRPr="007E3C0F">
        <w:rPr>
          <w:bCs/>
        </w:rPr>
        <w:t>solriamfetol</w:t>
      </w:r>
      <w:r w:rsidR="00F33D63" w:rsidRPr="007E3C0F">
        <w:rPr>
          <w:bCs/>
        </w:rPr>
        <w:t xml:space="preserve"> is not recommended.</w:t>
      </w:r>
    </w:p>
    <w:p w14:paraId="77C17E99" w14:textId="590CDC73" w:rsidR="00EA1CB1" w:rsidRPr="007E3C0F" w:rsidRDefault="00EA1CB1" w:rsidP="00EA1CB1">
      <w:pPr>
        <w:pStyle w:val="Numberedheading1"/>
        <w:keepLines/>
      </w:pPr>
      <w:r w:rsidRPr="007E3C0F">
        <w:lastRenderedPageBreak/>
        <w:t xml:space="preserve">Information about </w:t>
      </w:r>
      <w:r w:rsidR="00020559" w:rsidRPr="007E3C0F">
        <w:t>solriamfetol</w:t>
      </w:r>
    </w:p>
    <w:p w14:paraId="5522A805" w14:textId="73BF3A99" w:rsidR="00B82A82" w:rsidRPr="007E3C0F" w:rsidRDefault="00B82A82" w:rsidP="00B82A82">
      <w:pPr>
        <w:pStyle w:val="Heading2"/>
      </w:pPr>
      <w:r w:rsidRPr="007E3C0F">
        <w:t>Marketing authorisation indication</w:t>
      </w:r>
    </w:p>
    <w:p w14:paraId="2D94AC26" w14:textId="02098B92" w:rsidR="00B82A82" w:rsidRPr="007E3C0F" w:rsidRDefault="0068576A" w:rsidP="00B82A82">
      <w:pPr>
        <w:pStyle w:val="Numberedlevel2text"/>
        <w:rPr>
          <w:lang w:val="en-GB"/>
        </w:rPr>
      </w:pPr>
      <w:r w:rsidRPr="007E3C0F">
        <w:rPr>
          <w:rStyle w:val="NICEnormalChar"/>
          <w:szCs w:val="28"/>
        </w:rPr>
        <w:t xml:space="preserve">Solriamfetol (Sunosi, Jazz Pharmaceuticals) has a marketing authorisation to improve wakefulness and reduce excessive daytime sleepiness in adult patients with </w:t>
      </w:r>
      <w:r w:rsidR="00720977" w:rsidRPr="007E3C0F">
        <w:rPr>
          <w:rStyle w:val="NICEnormalChar"/>
          <w:szCs w:val="28"/>
        </w:rPr>
        <w:t>obstructive sleep apnoea</w:t>
      </w:r>
      <w:r w:rsidR="00ED128C" w:rsidRPr="007E3C0F">
        <w:rPr>
          <w:rStyle w:val="NICEnormalChar"/>
          <w:szCs w:val="28"/>
        </w:rPr>
        <w:t xml:space="preserve"> whose excessive daytime sleepiness has not been satisfactorily treated by primary obstructive sleep apnoea therapy such as continuous positive airway pressure</w:t>
      </w:r>
      <w:r w:rsidR="002031C3" w:rsidRPr="007E3C0F">
        <w:rPr>
          <w:rStyle w:val="NICEnormalChar"/>
          <w:szCs w:val="28"/>
        </w:rPr>
        <w:t xml:space="preserve"> (CPAP)</w:t>
      </w:r>
      <w:r w:rsidR="00ED128C" w:rsidRPr="007E3C0F">
        <w:rPr>
          <w:rStyle w:val="NICEnormalChar"/>
          <w:szCs w:val="28"/>
        </w:rPr>
        <w:t>.</w:t>
      </w:r>
    </w:p>
    <w:p w14:paraId="43938045" w14:textId="77777777" w:rsidR="00B82A82" w:rsidRPr="007E3C0F" w:rsidRDefault="00B82A82" w:rsidP="00B82A82">
      <w:pPr>
        <w:pStyle w:val="Heading2"/>
      </w:pPr>
      <w:r w:rsidRPr="007E3C0F">
        <w:t>Dosage in the marketing authorisation</w:t>
      </w:r>
    </w:p>
    <w:p w14:paraId="0CACA884" w14:textId="18C41ABB" w:rsidR="00B82A82" w:rsidRPr="007E3C0F" w:rsidRDefault="00FE2CE3" w:rsidP="001A5561">
      <w:pPr>
        <w:pStyle w:val="Numberedlevel2text"/>
        <w:rPr>
          <w:rStyle w:val="Numberedlevel2textChar"/>
          <w:lang w:val="en-GB"/>
        </w:rPr>
      </w:pPr>
      <w:r w:rsidRPr="007E3C0F">
        <w:rPr>
          <w:lang w:val="en-GB"/>
        </w:rPr>
        <w:t xml:space="preserve">The dosage schedule is </w:t>
      </w:r>
      <w:r w:rsidR="00570524" w:rsidRPr="007E3C0F">
        <w:rPr>
          <w:lang w:val="en-GB"/>
        </w:rPr>
        <w:t xml:space="preserve">available in the </w:t>
      </w:r>
      <w:hyperlink r:id="rId10" w:history="1">
        <w:r w:rsidR="00570524" w:rsidRPr="007E3C0F">
          <w:rPr>
            <w:rStyle w:val="Hyperlink"/>
            <w:lang w:val="en-GB"/>
          </w:rPr>
          <w:t>summary of product characteristics</w:t>
        </w:r>
      </w:hyperlink>
      <w:r w:rsidR="0093160F" w:rsidRPr="007E3C0F">
        <w:rPr>
          <w:rStyle w:val="NICEnormalChar"/>
        </w:rPr>
        <w:t>.</w:t>
      </w:r>
    </w:p>
    <w:p w14:paraId="56C99470" w14:textId="77777777" w:rsidR="00B82A82" w:rsidRPr="007E3C0F" w:rsidRDefault="00B82A82" w:rsidP="00B82A82">
      <w:pPr>
        <w:pStyle w:val="Heading2"/>
      </w:pPr>
      <w:r w:rsidRPr="007E3C0F">
        <w:t>Price</w:t>
      </w:r>
    </w:p>
    <w:p w14:paraId="5DAEFC48" w14:textId="70D2C894" w:rsidR="00B67112" w:rsidRPr="007E3C0F" w:rsidRDefault="009E1C8B" w:rsidP="00B67112">
      <w:pPr>
        <w:pStyle w:val="Numberedlevel2text"/>
        <w:rPr>
          <w:lang w:val="en-GB"/>
        </w:rPr>
      </w:pPr>
      <w:r w:rsidRPr="007E3C0F">
        <w:rPr>
          <w:rStyle w:val="NICEnormalChar"/>
          <w:szCs w:val="28"/>
        </w:rPr>
        <w:t>The list price for solriamfetol is £</w:t>
      </w:r>
      <w:r w:rsidR="0096538F" w:rsidRPr="007E3C0F">
        <w:rPr>
          <w:rStyle w:val="NICEnormalChar"/>
          <w:szCs w:val="28"/>
        </w:rPr>
        <w:t>177</w:t>
      </w:r>
      <w:r w:rsidRPr="007E3C0F">
        <w:rPr>
          <w:rStyle w:val="NICEnormalChar"/>
          <w:szCs w:val="28"/>
        </w:rPr>
        <w:t>.</w:t>
      </w:r>
      <w:r w:rsidR="0096538F" w:rsidRPr="007E3C0F">
        <w:rPr>
          <w:rStyle w:val="NICEnormalChar"/>
          <w:szCs w:val="28"/>
        </w:rPr>
        <w:t>52</w:t>
      </w:r>
      <w:r w:rsidRPr="007E3C0F">
        <w:rPr>
          <w:rStyle w:val="NICEnormalChar"/>
          <w:szCs w:val="28"/>
        </w:rPr>
        <w:t xml:space="preserve"> for a 75</w:t>
      </w:r>
      <w:r w:rsidR="009F12ED">
        <w:rPr>
          <w:rStyle w:val="NICEnormalChar"/>
          <w:szCs w:val="28"/>
        </w:rPr>
        <w:noBreakHyphen/>
      </w:r>
      <w:r w:rsidR="0017396F" w:rsidRPr="007E3C0F">
        <w:rPr>
          <w:rStyle w:val="NICEnormalChar"/>
          <w:szCs w:val="28"/>
        </w:rPr>
        <w:t>mg</w:t>
      </w:r>
      <w:r w:rsidR="0096538F" w:rsidRPr="007E3C0F">
        <w:rPr>
          <w:rStyle w:val="NICEnormalChar"/>
          <w:szCs w:val="28"/>
        </w:rPr>
        <w:t xml:space="preserve"> 28</w:t>
      </w:r>
      <w:r w:rsidR="0017396F" w:rsidRPr="007E3C0F">
        <w:rPr>
          <w:rStyle w:val="NICEnormalChar"/>
          <w:szCs w:val="28"/>
        </w:rPr>
        <w:noBreakHyphen/>
        <w:t>day</w:t>
      </w:r>
      <w:r w:rsidR="0096538F" w:rsidRPr="007E3C0F">
        <w:rPr>
          <w:rStyle w:val="NICEnormalChar"/>
          <w:szCs w:val="28"/>
        </w:rPr>
        <w:t xml:space="preserve"> pack and £248.64 for a </w:t>
      </w:r>
      <w:r w:rsidR="009F12ED" w:rsidRPr="007E3C0F">
        <w:rPr>
          <w:rStyle w:val="NICEnormalChar"/>
          <w:szCs w:val="28"/>
        </w:rPr>
        <w:t>150</w:t>
      </w:r>
      <w:r w:rsidR="009F12ED">
        <w:rPr>
          <w:rStyle w:val="NICEnormalChar"/>
          <w:szCs w:val="28"/>
        </w:rPr>
        <w:noBreakHyphen/>
      </w:r>
      <w:r w:rsidR="0017396F" w:rsidRPr="007E3C0F">
        <w:rPr>
          <w:rStyle w:val="NICEnormalChar"/>
          <w:szCs w:val="28"/>
        </w:rPr>
        <w:t>mg</w:t>
      </w:r>
      <w:r w:rsidR="0096538F" w:rsidRPr="007E3C0F">
        <w:rPr>
          <w:rStyle w:val="NICEnormalChar"/>
          <w:szCs w:val="28"/>
        </w:rPr>
        <w:t xml:space="preserve"> 28</w:t>
      </w:r>
      <w:r w:rsidR="0017396F" w:rsidRPr="007E3C0F">
        <w:rPr>
          <w:rStyle w:val="NICEnormalChar"/>
          <w:szCs w:val="28"/>
        </w:rPr>
        <w:noBreakHyphen/>
        <w:t>day</w:t>
      </w:r>
      <w:r w:rsidR="0096538F" w:rsidRPr="007E3C0F">
        <w:rPr>
          <w:rStyle w:val="NICEnormalChar"/>
          <w:szCs w:val="28"/>
        </w:rPr>
        <w:t xml:space="preserve"> pack (</w:t>
      </w:r>
      <w:r w:rsidR="002166F9" w:rsidRPr="007E3C0F">
        <w:rPr>
          <w:rStyle w:val="NICEnormalChar"/>
          <w:szCs w:val="28"/>
        </w:rPr>
        <w:t>BNF</w:t>
      </w:r>
      <w:r w:rsidR="00B74EF1" w:rsidRPr="007E3C0F">
        <w:rPr>
          <w:rStyle w:val="NICEnormalChar"/>
          <w:szCs w:val="28"/>
        </w:rPr>
        <w:t xml:space="preserve"> online accessed </w:t>
      </w:r>
      <w:r w:rsidR="00C6402D" w:rsidRPr="007E3C0F">
        <w:rPr>
          <w:rStyle w:val="NICEnormalChar"/>
          <w:szCs w:val="28"/>
        </w:rPr>
        <w:t>February 2021)</w:t>
      </w:r>
      <w:r w:rsidRPr="007E3C0F">
        <w:rPr>
          <w:lang w:val="en-GB"/>
        </w:rPr>
        <w:t>.</w:t>
      </w:r>
      <w:r w:rsidR="0096538F" w:rsidRPr="007E3C0F">
        <w:rPr>
          <w:lang w:val="en-GB"/>
        </w:rPr>
        <w:t xml:space="preserve"> </w:t>
      </w:r>
      <w:r w:rsidR="00B82A82" w:rsidRPr="007E3C0F">
        <w:rPr>
          <w:lang w:val="en-GB"/>
        </w:rPr>
        <w:t>Costs may vary in different settings because of negotiated procurement discounts.</w:t>
      </w:r>
    </w:p>
    <w:p w14:paraId="2BECF98F" w14:textId="32ECECAC" w:rsidR="008368D3" w:rsidRPr="007E3C0F" w:rsidRDefault="008368D3" w:rsidP="008368D3">
      <w:pPr>
        <w:pStyle w:val="Numberedheading1"/>
      </w:pPr>
      <w:r w:rsidRPr="007E3C0F">
        <w:t>Committee discussion</w:t>
      </w:r>
    </w:p>
    <w:p w14:paraId="36B0012D" w14:textId="6D5EC06D" w:rsidR="002B5772" w:rsidRPr="007E3C0F" w:rsidRDefault="00BC7D9E" w:rsidP="002B5772">
      <w:pPr>
        <w:pStyle w:val="NICEnormal"/>
      </w:pPr>
      <w:r w:rsidRPr="007E3C0F">
        <w:t xml:space="preserve">The </w:t>
      </w:r>
      <w:hyperlink w:anchor="_Appraisal_committee_members" w:history="1">
        <w:r w:rsidR="00343B53" w:rsidRPr="007E3C0F">
          <w:rPr>
            <w:rStyle w:val="Hyperlink"/>
          </w:rPr>
          <w:t>a</w:t>
        </w:r>
        <w:r w:rsidRPr="007E3C0F">
          <w:rPr>
            <w:rStyle w:val="Hyperlink"/>
          </w:rPr>
          <w:t xml:space="preserve">ppraisal </w:t>
        </w:r>
        <w:r w:rsidR="00343B53" w:rsidRPr="007E3C0F">
          <w:rPr>
            <w:rStyle w:val="Hyperlink"/>
          </w:rPr>
          <w:t>c</w:t>
        </w:r>
        <w:r w:rsidRPr="007E3C0F">
          <w:rPr>
            <w:rStyle w:val="Hyperlink"/>
          </w:rPr>
          <w:t>ommittee</w:t>
        </w:r>
      </w:hyperlink>
      <w:r w:rsidRPr="007E3C0F">
        <w:t xml:space="preserve"> considered evidence submitted by</w:t>
      </w:r>
      <w:r w:rsidR="00AF5B3A" w:rsidRPr="007E3C0F">
        <w:t xml:space="preserve"> Jazz Pharmaceuticals</w:t>
      </w:r>
      <w:r w:rsidR="002B5772" w:rsidRPr="007E3C0F">
        <w:t>,</w:t>
      </w:r>
      <w:r w:rsidRPr="007E3C0F">
        <w:t xml:space="preserve"> a review of this submission by the</w:t>
      </w:r>
      <w:r w:rsidR="00C16B7D" w:rsidRPr="007E3C0F">
        <w:t xml:space="preserve"> evidence review group</w:t>
      </w:r>
      <w:r w:rsidRPr="007E3C0F">
        <w:t xml:space="preserve"> </w:t>
      </w:r>
      <w:r w:rsidR="00C16B7D" w:rsidRPr="007E3C0F">
        <w:t>(</w:t>
      </w:r>
      <w:r w:rsidR="002031C3" w:rsidRPr="007E3C0F">
        <w:t>ERG</w:t>
      </w:r>
      <w:r w:rsidR="00C16B7D" w:rsidRPr="007E3C0F">
        <w:t>)</w:t>
      </w:r>
      <w:r w:rsidR="002B5772" w:rsidRPr="007E3C0F">
        <w:t xml:space="preserve">, </w:t>
      </w:r>
      <w:r w:rsidR="00E24CDE" w:rsidRPr="007E3C0F">
        <w:t>NICE’s</w:t>
      </w:r>
      <w:r w:rsidR="002B5772" w:rsidRPr="007E3C0F">
        <w:t xml:space="preserve"> technical </w:t>
      </w:r>
      <w:r w:rsidR="00E9265B" w:rsidRPr="007E3C0F">
        <w:t>report</w:t>
      </w:r>
      <w:r w:rsidR="000B1027" w:rsidRPr="007E3C0F">
        <w:t>, and responses from</w:t>
      </w:r>
      <w:r w:rsidR="00E9265B" w:rsidRPr="007E3C0F">
        <w:t xml:space="preserve"> stakeholders</w:t>
      </w:r>
      <w:r w:rsidRPr="007E3C0F">
        <w:t>.</w:t>
      </w:r>
      <w:r w:rsidR="00C63D4E" w:rsidRPr="007E3C0F">
        <w:t xml:space="preserve"> </w:t>
      </w:r>
      <w:r w:rsidR="002B5772" w:rsidRPr="007E3C0F">
        <w:t xml:space="preserve">See the </w:t>
      </w:r>
      <w:hyperlink r:id="rId11" w:history="1">
        <w:r w:rsidR="002B5772" w:rsidRPr="007E3C0F">
          <w:rPr>
            <w:rStyle w:val="Hyperlink"/>
          </w:rPr>
          <w:t>committee papers</w:t>
        </w:r>
      </w:hyperlink>
      <w:r w:rsidR="002B5772" w:rsidRPr="007E3C0F">
        <w:t xml:space="preserve"> for full details of the evidence.</w:t>
      </w:r>
    </w:p>
    <w:p w14:paraId="11948CDD" w14:textId="07BE284E" w:rsidR="00BA1386" w:rsidRPr="007E3C0F" w:rsidRDefault="00BA1386" w:rsidP="00CC6439">
      <w:pPr>
        <w:pStyle w:val="NICEnormal"/>
      </w:pPr>
      <w:r w:rsidRPr="007E3C0F">
        <w:t>The appraisal committee was aware that</w:t>
      </w:r>
      <w:r w:rsidR="00CC6439" w:rsidRPr="007E3C0F">
        <w:t xml:space="preserve"> 1</w:t>
      </w:r>
      <w:r w:rsidRPr="007E3C0F">
        <w:t xml:space="preserve"> issue was resolved during the technical engagement stage</w:t>
      </w:r>
      <w:r w:rsidR="00CC6439" w:rsidRPr="007E3C0F">
        <w:t xml:space="preserve">. It </w:t>
      </w:r>
      <w:r w:rsidRPr="007E3C0F">
        <w:t>agreed that</w:t>
      </w:r>
      <w:r w:rsidR="00E22358" w:rsidRPr="007E3C0F">
        <w:t xml:space="preserve"> </w:t>
      </w:r>
      <w:r w:rsidR="00CC6439" w:rsidRPr="007E3C0F">
        <w:t>a</w:t>
      </w:r>
      <w:r w:rsidR="0001078B" w:rsidRPr="007E3C0F">
        <w:t xml:space="preserve"> subgroup of people with a baseline Epworth </w:t>
      </w:r>
      <w:r w:rsidR="00D16017" w:rsidRPr="007E3C0F">
        <w:t>S</w:t>
      </w:r>
      <w:r w:rsidR="0001078B" w:rsidRPr="007E3C0F">
        <w:t xml:space="preserve">leepiness </w:t>
      </w:r>
      <w:r w:rsidR="00D16017" w:rsidRPr="007E3C0F">
        <w:t>S</w:t>
      </w:r>
      <w:r w:rsidR="0001078B" w:rsidRPr="007E3C0F">
        <w:t xml:space="preserve">cale (ESS) score of </w:t>
      </w:r>
      <w:r w:rsidR="00671150" w:rsidRPr="007E3C0F">
        <w:t xml:space="preserve">12 </w:t>
      </w:r>
      <w:r w:rsidR="00CC6439" w:rsidRPr="007E3C0F">
        <w:t xml:space="preserve">should </w:t>
      </w:r>
      <w:r w:rsidR="0001078B" w:rsidRPr="007E3C0F">
        <w:t xml:space="preserve">be </w:t>
      </w:r>
      <w:r w:rsidR="007702F9" w:rsidRPr="007E3C0F">
        <w:t>used</w:t>
      </w:r>
      <w:r w:rsidR="00D312C5" w:rsidRPr="007E3C0F">
        <w:t xml:space="preserve"> in the modelling</w:t>
      </w:r>
      <w:r w:rsidR="001B2C33" w:rsidRPr="007E3C0F">
        <w:t xml:space="preserve"> (see technical report issue</w:t>
      </w:r>
      <w:r w:rsidR="0017396F" w:rsidRPr="007E3C0F">
        <w:t> </w:t>
      </w:r>
      <w:r w:rsidR="001B2C33" w:rsidRPr="007E3C0F">
        <w:t>2)</w:t>
      </w:r>
      <w:r w:rsidR="007702F9" w:rsidRPr="007E3C0F">
        <w:t>.</w:t>
      </w:r>
    </w:p>
    <w:p w14:paraId="0A7A87D8" w14:textId="1EE1742F" w:rsidR="0095579B" w:rsidRPr="007E3C0F" w:rsidRDefault="00E4498A" w:rsidP="002B736D">
      <w:pPr>
        <w:pStyle w:val="NICEnormal"/>
      </w:pPr>
      <w:r w:rsidRPr="007E3C0F">
        <w:t xml:space="preserve">The </w:t>
      </w:r>
      <w:r w:rsidR="00F9457D" w:rsidRPr="007E3C0F">
        <w:t>committee</w:t>
      </w:r>
      <w:r w:rsidR="002B5772" w:rsidRPr="007E3C0F">
        <w:t xml:space="preserve"> recognised that there were remaining areas of uncertainty associated with the analyses presented and took these into account in its decision making. It </w:t>
      </w:r>
      <w:r w:rsidR="002B5772" w:rsidRPr="007E3C0F">
        <w:lastRenderedPageBreak/>
        <w:t>discussed the following issues</w:t>
      </w:r>
      <w:r w:rsidR="00CD4B4B" w:rsidRPr="007E3C0F">
        <w:t>:</w:t>
      </w:r>
      <w:r w:rsidRPr="007E3C0F">
        <w:t xml:space="preserve"> </w:t>
      </w:r>
      <w:r w:rsidR="006A37DB" w:rsidRPr="007E3C0F">
        <w:t>p</w:t>
      </w:r>
      <w:r w:rsidRPr="007E3C0F">
        <w:t xml:space="preserve">rimary therapy </w:t>
      </w:r>
      <w:r w:rsidR="00D16017" w:rsidRPr="007E3C0F">
        <w:t>adherence</w:t>
      </w:r>
      <w:r w:rsidR="00CD4B4B" w:rsidRPr="007E3C0F">
        <w:t>,</w:t>
      </w:r>
      <w:r w:rsidRPr="007E3C0F">
        <w:t xml:space="preserve"> treatment response, placebo effect adjustment,</w:t>
      </w:r>
      <w:r w:rsidR="00F9457D" w:rsidRPr="007E3C0F">
        <w:t xml:space="preserve"> health utility values, partner utilities,</w:t>
      </w:r>
      <w:r w:rsidR="00CD4B4B" w:rsidRPr="007E3C0F">
        <w:t xml:space="preserve"> </w:t>
      </w:r>
      <w:r w:rsidR="00F9457D" w:rsidRPr="007E3C0F">
        <w:t xml:space="preserve">treatment discontinuation, adverse </w:t>
      </w:r>
      <w:r w:rsidR="003052A3" w:rsidRPr="007E3C0F">
        <w:t>events,</w:t>
      </w:r>
      <w:r w:rsidR="00F9457D" w:rsidRPr="007E3C0F">
        <w:t xml:space="preserve"> and </w:t>
      </w:r>
      <w:r w:rsidR="00CD4B4B" w:rsidRPr="007E3C0F">
        <w:t xml:space="preserve">dosing splits (see </w:t>
      </w:r>
      <w:r w:rsidR="00540300" w:rsidRPr="007E3C0F">
        <w:t xml:space="preserve">the </w:t>
      </w:r>
      <w:r w:rsidR="00CD4B4B" w:rsidRPr="007E3C0F">
        <w:t xml:space="preserve">technical report </w:t>
      </w:r>
      <w:r w:rsidR="008D29A2" w:rsidRPr="007E3C0F">
        <w:t>issues </w:t>
      </w:r>
      <w:r w:rsidR="00CD4B4B" w:rsidRPr="007E3C0F">
        <w:t>1</w:t>
      </w:r>
      <w:r w:rsidR="00540300" w:rsidRPr="007E3C0F">
        <w:t xml:space="preserve"> </w:t>
      </w:r>
      <w:r w:rsidR="008D29A2" w:rsidRPr="007E3C0F">
        <w:t>to </w:t>
      </w:r>
      <w:r w:rsidR="00CD4B4B" w:rsidRPr="007E3C0F">
        <w:t xml:space="preserve">9), </w:t>
      </w:r>
      <w:r w:rsidR="002B5772" w:rsidRPr="007E3C0F">
        <w:t xml:space="preserve">which were outstanding </w:t>
      </w:r>
      <w:r w:rsidR="00E95253" w:rsidRPr="007E3C0F">
        <w:t>after</w:t>
      </w:r>
      <w:r w:rsidR="002B5772" w:rsidRPr="007E3C0F">
        <w:t xml:space="preserve"> </w:t>
      </w:r>
      <w:r w:rsidR="000205C6" w:rsidRPr="007E3C0F">
        <w:t xml:space="preserve">the </w:t>
      </w:r>
      <w:r w:rsidR="002B5772" w:rsidRPr="007E3C0F">
        <w:t>technical engagement</w:t>
      </w:r>
      <w:r w:rsidR="000205C6" w:rsidRPr="007E3C0F">
        <w:t xml:space="preserve"> stage</w:t>
      </w:r>
      <w:r w:rsidR="002B5772" w:rsidRPr="007E3C0F">
        <w:t>.</w:t>
      </w:r>
    </w:p>
    <w:p w14:paraId="6D3358F4" w14:textId="347D1BEE" w:rsidR="00511636" w:rsidRPr="007E3C0F" w:rsidRDefault="008C282F" w:rsidP="006A37DB">
      <w:pPr>
        <w:pStyle w:val="Heading2"/>
      </w:pPr>
      <w:r w:rsidRPr="007E3C0F">
        <w:t>The condition</w:t>
      </w:r>
    </w:p>
    <w:p w14:paraId="43374457" w14:textId="3F989550" w:rsidR="00511636" w:rsidRPr="007E3C0F" w:rsidRDefault="00820789" w:rsidP="00410973">
      <w:pPr>
        <w:pStyle w:val="Heading3"/>
      </w:pPr>
      <w:r w:rsidRPr="007E3C0F">
        <w:t>Excessive daytime sleepiness caused by o</w:t>
      </w:r>
      <w:r w:rsidR="00D16017" w:rsidRPr="007E3C0F">
        <w:t>bstructive sleep apnoea</w:t>
      </w:r>
      <w:r w:rsidR="00511636" w:rsidRPr="007E3C0F">
        <w:t xml:space="preserve"> </w:t>
      </w:r>
      <w:r w:rsidR="008C282F" w:rsidRPr="007E3C0F">
        <w:t xml:space="preserve">affects </w:t>
      </w:r>
      <w:r w:rsidR="008E7A7C" w:rsidRPr="007E3C0F">
        <w:t xml:space="preserve">quality of </w:t>
      </w:r>
      <w:proofErr w:type="gramStart"/>
      <w:r w:rsidR="008E7A7C" w:rsidRPr="007E3C0F">
        <w:t>life</w:t>
      </w:r>
      <w:proofErr w:type="gramEnd"/>
    </w:p>
    <w:p w14:paraId="073012FE" w14:textId="2EBE4FDE" w:rsidR="00F2256F" w:rsidRPr="007E3C0F" w:rsidRDefault="002D2D11" w:rsidP="00F2256F">
      <w:pPr>
        <w:pStyle w:val="Numberedlevel2text"/>
        <w:rPr>
          <w:lang w:val="en-GB"/>
        </w:rPr>
      </w:pPr>
      <w:r w:rsidRPr="007E3C0F">
        <w:rPr>
          <w:lang w:val="en-GB"/>
        </w:rPr>
        <w:t>The patient expert</w:t>
      </w:r>
      <w:r w:rsidR="005F339A" w:rsidRPr="007E3C0F">
        <w:rPr>
          <w:lang w:val="en-GB"/>
        </w:rPr>
        <w:t xml:space="preserve"> explained</w:t>
      </w:r>
      <w:r w:rsidRPr="007E3C0F">
        <w:rPr>
          <w:lang w:val="en-GB"/>
        </w:rPr>
        <w:t xml:space="preserve"> th</w:t>
      </w:r>
      <w:r w:rsidR="005F339A" w:rsidRPr="007E3C0F">
        <w:rPr>
          <w:lang w:val="en-GB"/>
        </w:rPr>
        <w:t>at</w:t>
      </w:r>
      <w:r w:rsidRPr="007E3C0F">
        <w:rPr>
          <w:lang w:val="en-GB"/>
        </w:rPr>
        <w:t xml:space="preserve"> </w:t>
      </w:r>
      <w:r w:rsidR="00D16017" w:rsidRPr="007E3C0F">
        <w:rPr>
          <w:lang w:val="en-GB"/>
        </w:rPr>
        <w:t>obstructive sleep apnoea</w:t>
      </w:r>
      <w:r w:rsidR="00B303FE" w:rsidRPr="007E3C0F">
        <w:rPr>
          <w:lang w:val="en-GB"/>
        </w:rPr>
        <w:t xml:space="preserve"> can negatively affect </w:t>
      </w:r>
      <w:r w:rsidR="0001078B" w:rsidRPr="007E3C0F">
        <w:rPr>
          <w:lang w:val="en-GB"/>
        </w:rPr>
        <w:t>people’s</w:t>
      </w:r>
      <w:r w:rsidR="00CB6704" w:rsidRPr="007E3C0F">
        <w:rPr>
          <w:lang w:val="en-GB"/>
        </w:rPr>
        <w:t xml:space="preserve"> </w:t>
      </w:r>
      <w:r w:rsidRPr="007E3C0F">
        <w:rPr>
          <w:lang w:val="en-GB"/>
        </w:rPr>
        <w:t>physical and mental wellbeing</w:t>
      </w:r>
      <w:r w:rsidR="00B303FE" w:rsidRPr="007E3C0F">
        <w:rPr>
          <w:lang w:val="en-GB"/>
        </w:rPr>
        <w:t xml:space="preserve">. </w:t>
      </w:r>
      <w:r w:rsidR="00DC6C2E" w:rsidRPr="007E3C0F">
        <w:rPr>
          <w:lang w:val="en-GB"/>
        </w:rPr>
        <w:t>B</w:t>
      </w:r>
      <w:r w:rsidR="00B303FE" w:rsidRPr="007E3C0F">
        <w:rPr>
          <w:lang w:val="en-GB"/>
        </w:rPr>
        <w:t xml:space="preserve">ecause of </w:t>
      </w:r>
      <w:r w:rsidR="00D16017" w:rsidRPr="007E3C0F">
        <w:rPr>
          <w:lang w:val="en-GB"/>
        </w:rPr>
        <w:t>excessive daytime sleepiness</w:t>
      </w:r>
      <w:r w:rsidR="00B303FE" w:rsidRPr="007E3C0F">
        <w:rPr>
          <w:lang w:val="en-GB"/>
        </w:rPr>
        <w:t xml:space="preserve"> </w:t>
      </w:r>
      <w:r w:rsidRPr="007E3C0F">
        <w:rPr>
          <w:lang w:val="en-GB"/>
        </w:rPr>
        <w:t>aspect</w:t>
      </w:r>
      <w:r w:rsidR="00B303FE" w:rsidRPr="007E3C0F">
        <w:rPr>
          <w:lang w:val="en-GB"/>
        </w:rPr>
        <w:t>s</w:t>
      </w:r>
      <w:r w:rsidRPr="007E3C0F">
        <w:rPr>
          <w:lang w:val="en-GB"/>
        </w:rPr>
        <w:t xml:space="preserve"> of daily life</w:t>
      </w:r>
      <w:r w:rsidR="00EC1B56">
        <w:rPr>
          <w:lang w:val="en-GB"/>
        </w:rPr>
        <w:t>,</w:t>
      </w:r>
      <w:r w:rsidR="00DC2B2C" w:rsidRPr="007E3C0F">
        <w:rPr>
          <w:lang w:val="en-GB"/>
        </w:rPr>
        <w:t xml:space="preserve"> such as</w:t>
      </w:r>
      <w:r w:rsidRPr="007E3C0F">
        <w:rPr>
          <w:lang w:val="en-GB"/>
        </w:rPr>
        <w:t xml:space="preserve"> education, employment, maintaining a social life</w:t>
      </w:r>
      <w:r w:rsidR="009E16BC" w:rsidRPr="007E3C0F">
        <w:rPr>
          <w:lang w:val="en-GB"/>
        </w:rPr>
        <w:t xml:space="preserve"> </w:t>
      </w:r>
      <w:r w:rsidR="007702F9" w:rsidRPr="007E3C0F">
        <w:rPr>
          <w:lang w:val="en-GB"/>
        </w:rPr>
        <w:t xml:space="preserve">and </w:t>
      </w:r>
      <w:r w:rsidRPr="007E3C0F">
        <w:rPr>
          <w:lang w:val="en-GB"/>
        </w:rPr>
        <w:t>the ability to drive</w:t>
      </w:r>
      <w:r w:rsidR="00EC1B56">
        <w:rPr>
          <w:lang w:val="en-GB"/>
        </w:rPr>
        <w:t>,</w:t>
      </w:r>
      <w:r w:rsidR="009A6C5E" w:rsidRPr="007E3C0F">
        <w:rPr>
          <w:lang w:val="en-GB"/>
        </w:rPr>
        <w:t xml:space="preserve"> are all negatively affected</w:t>
      </w:r>
      <w:r w:rsidRPr="007E3C0F">
        <w:rPr>
          <w:lang w:val="en-GB"/>
        </w:rPr>
        <w:t>.</w:t>
      </w:r>
      <w:r w:rsidR="00A244F0" w:rsidRPr="007E3C0F">
        <w:rPr>
          <w:lang w:val="en-GB"/>
        </w:rPr>
        <w:t xml:space="preserve"> </w:t>
      </w:r>
      <w:r w:rsidR="004633A8" w:rsidRPr="007E3C0F">
        <w:rPr>
          <w:lang w:val="en-GB"/>
        </w:rPr>
        <w:t>Symptoms of sleep apnoea such as snoring can</w:t>
      </w:r>
      <w:r w:rsidR="00E9349A" w:rsidRPr="007E3C0F">
        <w:rPr>
          <w:lang w:val="en-GB"/>
        </w:rPr>
        <w:t xml:space="preserve"> </w:t>
      </w:r>
      <w:r w:rsidR="00761221" w:rsidRPr="007E3C0F">
        <w:rPr>
          <w:lang w:val="en-GB"/>
        </w:rPr>
        <w:t xml:space="preserve">disrupt </w:t>
      </w:r>
      <w:r w:rsidR="00F95855" w:rsidRPr="007E3C0F">
        <w:rPr>
          <w:lang w:val="en-GB"/>
        </w:rPr>
        <w:t xml:space="preserve">partners’ </w:t>
      </w:r>
      <w:r w:rsidR="00761221" w:rsidRPr="007E3C0F">
        <w:rPr>
          <w:lang w:val="en-GB"/>
        </w:rPr>
        <w:t>sleep</w:t>
      </w:r>
      <w:r w:rsidR="00F95855" w:rsidRPr="007E3C0F">
        <w:rPr>
          <w:lang w:val="en-GB"/>
        </w:rPr>
        <w:t>,</w:t>
      </w:r>
      <w:r w:rsidRPr="007E3C0F">
        <w:rPr>
          <w:lang w:val="en-GB"/>
        </w:rPr>
        <w:t xml:space="preserve"> </w:t>
      </w:r>
      <w:r w:rsidR="004633A8" w:rsidRPr="007E3C0F">
        <w:rPr>
          <w:lang w:val="en-GB"/>
        </w:rPr>
        <w:t xml:space="preserve">which can </w:t>
      </w:r>
      <w:r w:rsidR="00820789" w:rsidRPr="007E3C0F">
        <w:rPr>
          <w:lang w:val="en-GB"/>
        </w:rPr>
        <w:t>affect</w:t>
      </w:r>
      <w:r w:rsidR="004633A8" w:rsidRPr="007E3C0F">
        <w:rPr>
          <w:lang w:val="en-GB"/>
        </w:rPr>
        <w:t xml:space="preserve"> their </w:t>
      </w:r>
      <w:r w:rsidR="00E9552A" w:rsidRPr="007E3C0F">
        <w:rPr>
          <w:lang w:val="en-GB"/>
        </w:rPr>
        <w:t>quality of life</w:t>
      </w:r>
      <w:r w:rsidR="004633A8" w:rsidRPr="007E3C0F">
        <w:rPr>
          <w:lang w:val="en-GB"/>
        </w:rPr>
        <w:t xml:space="preserve"> as well. </w:t>
      </w:r>
      <w:r w:rsidR="008C64E3" w:rsidRPr="007E3C0F">
        <w:rPr>
          <w:lang w:val="en-GB"/>
        </w:rPr>
        <w:t>The</w:t>
      </w:r>
      <w:r w:rsidR="00A244F0" w:rsidRPr="007E3C0F">
        <w:rPr>
          <w:lang w:val="en-GB"/>
        </w:rPr>
        <w:t xml:space="preserve"> clinical experts noted that </w:t>
      </w:r>
      <w:r w:rsidR="00D16017" w:rsidRPr="007E3C0F">
        <w:rPr>
          <w:lang w:val="en-GB"/>
        </w:rPr>
        <w:t>obstructive sleep apnoea</w:t>
      </w:r>
      <w:r w:rsidR="00A244F0" w:rsidRPr="007E3C0F">
        <w:rPr>
          <w:lang w:val="en-GB"/>
        </w:rPr>
        <w:t xml:space="preserve"> </w:t>
      </w:r>
      <w:r w:rsidR="008028AE" w:rsidRPr="007E3C0F">
        <w:rPr>
          <w:lang w:val="en-GB"/>
        </w:rPr>
        <w:t>can also be</w:t>
      </w:r>
      <w:r w:rsidR="00A244F0" w:rsidRPr="007E3C0F">
        <w:rPr>
          <w:lang w:val="en-GB"/>
        </w:rPr>
        <w:t xml:space="preserve"> </w:t>
      </w:r>
      <w:r w:rsidR="008028AE" w:rsidRPr="007E3C0F">
        <w:rPr>
          <w:lang w:val="en-GB"/>
        </w:rPr>
        <w:t>associated</w:t>
      </w:r>
      <w:r w:rsidR="00A244F0" w:rsidRPr="007E3C0F">
        <w:rPr>
          <w:lang w:val="en-GB"/>
        </w:rPr>
        <w:t xml:space="preserve"> with</w:t>
      </w:r>
      <w:r w:rsidR="004F31AB" w:rsidRPr="007E3C0F">
        <w:rPr>
          <w:lang w:val="en-GB"/>
        </w:rPr>
        <w:t xml:space="preserve"> an</w:t>
      </w:r>
      <w:r w:rsidR="008028AE" w:rsidRPr="007E3C0F">
        <w:rPr>
          <w:lang w:val="en-GB"/>
        </w:rPr>
        <w:t xml:space="preserve"> </w:t>
      </w:r>
      <w:r w:rsidR="004F31AB" w:rsidRPr="007E3C0F">
        <w:rPr>
          <w:lang w:val="en-GB"/>
        </w:rPr>
        <w:t>increased risk of high blood pressure or stroke</w:t>
      </w:r>
      <w:r w:rsidR="008028AE" w:rsidRPr="007E3C0F">
        <w:rPr>
          <w:lang w:val="en-GB"/>
        </w:rPr>
        <w:t>.</w:t>
      </w:r>
      <w:r w:rsidR="0001078B" w:rsidRPr="007E3C0F">
        <w:rPr>
          <w:lang w:val="en-GB"/>
        </w:rPr>
        <w:t xml:space="preserve"> </w:t>
      </w:r>
      <w:r w:rsidR="0001304D" w:rsidRPr="007E3C0F">
        <w:rPr>
          <w:lang w:val="en-GB"/>
        </w:rPr>
        <w:t>The committee concluded th</w:t>
      </w:r>
      <w:r w:rsidR="001A594B" w:rsidRPr="007E3C0F">
        <w:rPr>
          <w:lang w:val="en-GB"/>
        </w:rPr>
        <w:t>at</w:t>
      </w:r>
      <w:r w:rsidR="0001304D" w:rsidRPr="007E3C0F">
        <w:rPr>
          <w:lang w:val="en-GB"/>
        </w:rPr>
        <w:t xml:space="preserve"> </w:t>
      </w:r>
      <w:r w:rsidR="00820789" w:rsidRPr="007E3C0F">
        <w:rPr>
          <w:lang w:val="en-GB"/>
        </w:rPr>
        <w:t>excessive daytime sleepiness caused by obstructive sleep apnoea affects quality of life</w:t>
      </w:r>
      <w:r w:rsidR="008C282F" w:rsidRPr="007E3C0F">
        <w:rPr>
          <w:lang w:val="en-GB"/>
        </w:rPr>
        <w:t>.</w:t>
      </w:r>
    </w:p>
    <w:p w14:paraId="6163E67B" w14:textId="280CD64C" w:rsidR="002B181D" w:rsidRPr="007E3C0F" w:rsidRDefault="000D2056" w:rsidP="002B181D">
      <w:pPr>
        <w:pStyle w:val="Heading3"/>
      </w:pPr>
      <w:r w:rsidRPr="007E3C0F">
        <w:t xml:space="preserve">CPAP is an appropriate </w:t>
      </w:r>
      <w:r w:rsidR="00581E19" w:rsidRPr="007E3C0F">
        <w:t>comparator</w:t>
      </w:r>
      <w:r w:rsidR="00C9540B">
        <w:t>,</w:t>
      </w:r>
      <w:r w:rsidR="00581E19" w:rsidRPr="007E3C0F">
        <w:t xml:space="preserve"> but some people cannot tolerate </w:t>
      </w:r>
      <w:proofErr w:type="gramStart"/>
      <w:r w:rsidR="00581E19" w:rsidRPr="007E3C0F">
        <w:t>it</w:t>
      </w:r>
      <w:proofErr w:type="gramEnd"/>
    </w:p>
    <w:p w14:paraId="06F31F3A" w14:textId="1C8150FE" w:rsidR="005044A7" w:rsidRPr="007E3C0F" w:rsidRDefault="004009D2" w:rsidP="00F2256F">
      <w:pPr>
        <w:pStyle w:val="Numberedlevel2text"/>
        <w:rPr>
          <w:lang w:val="en-GB"/>
        </w:rPr>
      </w:pPr>
      <w:r w:rsidRPr="007E3C0F">
        <w:rPr>
          <w:lang w:val="en-GB"/>
        </w:rPr>
        <w:t>T</w:t>
      </w:r>
      <w:r w:rsidR="005044A7" w:rsidRPr="007E3C0F">
        <w:rPr>
          <w:lang w:val="en-GB"/>
        </w:rPr>
        <w:t xml:space="preserve">he </w:t>
      </w:r>
      <w:r w:rsidR="00E81F62" w:rsidRPr="007E3C0F">
        <w:rPr>
          <w:lang w:val="en-GB"/>
        </w:rPr>
        <w:t xml:space="preserve">clinical </w:t>
      </w:r>
      <w:r w:rsidR="005044A7" w:rsidRPr="007E3C0F">
        <w:rPr>
          <w:lang w:val="en-GB"/>
        </w:rPr>
        <w:t>expert</w:t>
      </w:r>
      <w:r w:rsidR="00E81F62" w:rsidRPr="007E3C0F">
        <w:rPr>
          <w:lang w:val="en-GB"/>
        </w:rPr>
        <w:t>s</w:t>
      </w:r>
      <w:r w:rsidRPr="007E3C0F">
        <w:rPr>
          <w:lang w:val="en-GB"/>
        </w:rPr>
        <w:t xml:space="preserve"> said</w:t>
      </w:r>
      <w:r w:rsidR="005044A7" w:rsidRPr="007E3C0F">
        <w:rPr>
          <w:lang w:val="en-GB"/>
        </w:rPr>
        <w:t xml:space="preserve"> that</w:t>
      </w:r>
      <w:r w:rsidR="00E81F62" w:rsidRPr="007E3C0F">
        <w:rPr>
          <w:lang w:val="en-GB"/>
        </w:rPr>
        <w:t xml:space="preserve"> most </w:t>
      </w:r>
      <w:r w:rsidRPr="007E3C0F">
        <w:rPr>
          <w:lang w:val="en-GB"/>
        </w:rPr>
        <w:t xml:space="preserve">people </w:t>
      </w:r>
      <w:r w:rsidR="00E81F62" w:rsidRPr="007E3C0F">
        <w:rPr>
          <w:lang w:val="en-GB"/>
        </w:rPr>
        <w:t>with</w:t>
      </w:r>
      <w:r w:rsidR="00864668" w:rsidRPr="007E3C0F">
        <w:rPr>
          <w:lang w:val="en-GB"/>
        </w:rPr>
        <w:t xml:space="preserve"> </w:t>
      </w:r>
      <w:r w:rsidR="00D16017" w:rsidRPr="007E3C0F">
        <w:rPr>
          <w:lang w:val="en-GB"/>
        </w:rPr>
        <w:t>excessive daytime sleepiness</w:t>
      </w:r>
      <w:r w:rsidR="00864668" w:rsidRPr="007E3C0F">
        <w:rPr>
          <w:lang w:val="en-GB"/>
        </w:rPr>
        <w:t xml:space="preserve"> caused by </w:t>
      </w:r>
      <w:r w:rsidR="00D16017" w:rsidRPr="007E3C0F">
        <w:rPr>
          <w:lang w:val="en-GB"/>
        </w:rPr>
        <w:t>obstructive sleep apnoea</w:t>
      </w:r>
      <w:r w:rsidR="00864668" w:rsidRPr="007E3C0F">
        <w:rPr>
          <w:lang w:val="en-GB"/>
        </w:rPr>
        <w:t xml:space="preserve"> </w:t>
      </w:r>
      <w:r w:rsidR="00AF2C2F" w:rsidRPr="007E3C0F">
        <w:rPr>
          <w:lang w:val="en-GB"/>
        </w:rPr>
        <w:t xml:space="preserve">are </w:t>
      </w:r>
      <w:r w:rsidR="004921D0" w:rsidRPr="007E3C0F">
        <w:rPr>
          <w:lang w:val="en-GB"/>
        </w:rPr>
        <w:t>referred to</w:t>
      </w:r>
      <w:r w:rsidR="00AF2C2F" w:rsidRPr="007E3C0F">
        <w:rPr>
          <w:lang w:val="en-GB"/>
        </w:rPr>
        <w:t xml:space="preserve"> sleep clinics. </w:t>
      </w:r>
      <w:r w:rsidR="00F077B0" w:rsidRPr="007E3C0F">
        <w:rPr>
          <w:lang w:val="en-GB"/>
        </w:rPr>
        <w:t>I</w:t>
      </w:r>
      <w:r w:rsidR="0061597B" w:rsidRPr="007E3C0F">
        <w:rPr>
          <w:lang w:val="en-GB"/>
        </w:rPr>
        <w:t>nitial treatment includes</w:t>
      </w:r>
      <w:r w:rsidR="00F077B0" w:rsidRPr="007E3C0F">
        <w:rPr>
          <w:lang w:val="en-GB"/>
        </w:rPr>
        <w:t xml:space="preserve"> lifestyle advice </w:t>
      </w:r>
      <w:r w:rsidR="001D5000" w:rsidRPr="007E3C0F">
        <w:rPr>
          <w:lang w:val="en-GB"/>
        </w:rPr>
        <w:t>about</w:t>
      </w:r>
      <w:r w:rsidR="00F077B0" w:rsidRPr="007E3C0F">
        <w:rPr>
          <w:lang w:val="en-GB"/>
        </w:rPr>
        <w:t xml:space="preserve"> weight loss</w:t>
      </w:r>
      <w:r w:rsidR="0061597B" w:rsidRPr="007E3C0F">
        <w:rPr>
          <w:lang w:val="en-GB"/>
        </w:rPr>
        <w:t>. For people</w:t>
      </w:r>
      <w:r w:rsidR="009735E5" w:rsidRPr="007E3C0F">
        <w:rPr>
          <w:lang w:val="en-GB"/>
        </w:rPr>
        <w:t xml:space="preserve"> with mild </w:t>
      </w:r>
      <w:r w:rsidR="0056494E" w:rsidRPr="007E3C0F">
        <w:rPr>
          <w:lang w:val="en-GB"/>
        </w:rPr>
        <w:t xml:space="preserve">symptomatic obstructive sleep </w:t>
      </w:r>
      <w:r w:rsidR="00581E19" w:rsidRPr="007E3C0F">
        <w:rPr>
          <w:lang w:val="en-GB"/>
        </w:rPr>
        <w:t>apnoea</w:t>
      </w:r>
      <w:r w:rsidR="009735E5" w:rsidRPr="007E3C0F">
        <w:rPr>
          <w:lang w:val="en-GB"/>
        </w:rPr>
        <w:t xml:space="preserve"> mandibular devices are considered. </w:t>
      </w:r>
      <w:hyperlink r:id="rId12" w:history="1">
        <w:r w:rsidR="00F95855" w:rsidRPr="007E3C0F">
          <w:rPr>
            <w:rStyle w:val="Hyperlink"/>
            <w:lang w:val="en-GB"/>
          </w:rPr>
          <w:t xml:space="preserve">NICE's guidance on </w:t>
        </w:r>
        <w:r w:rsidR="00FC60A4">
          <w:rPr>
            <w:rStyle w:val="Hyperlink"/>
            <w:lang w:val="en-GB"/>
          </w:rPr>
          <w:t>continuous positive airway pressure (</w:t>
        </w:r>
        <w:r w:rsidR="00F95855" w:rsidRPr="007E3C0F">
          <w:rPr>
            <w:rStyle w:val="Hyperlink"/>
            <w:lang w:val="en-GB"/>
          </w:rPr>
          <w:t>CPAP</w:t>
        </w:r>
        <w:r w:rsidR="00FC60A4">
          <w:rPr>
            <w:rStyle w:val="Hyperlink"/>
            <w:lang w:val="en-GB"/>
          </w:rPr>
          <w:t>)</w:t>
        </w:r>
        <w:r w:rsidR="00F95855" w:rsidRPr="007E3C0F">
          <w:rPr>
            <w:rStyle w:val="Hyperlink"/>
            <w:lang w:val="en-GB"/>
          </w:rPr>
          <w:t xml:space="preserve"> for obstructive sleep apnoea/hypopnoea syndrome</w:t>
        </w:r>
      </w:hyperlink>
      <w:r w:rsidR="00D47201" w:rsidRPr="007E3C0F">
        <w:rPr>
          <w:lang w:val="en-GB"/>
        </w:rPr>
        <w:t xml:space="preserve"> recommends CPAP for adults with moderate or severe obstructive sleep apnoea. </w:t>
      </w:r>
      <w:r w:rsidR="00D33020" w:rsidRPr="007E3C0F">
        <w:rPr>
          <w:lang w:val="en-GB"/>
        </w:rPr>
        <w:t>The patient expert explained that CPAP is usually well tolerated</w:t>
      </w:r>
      <w:r w:rsidR="00AD7DF8" w:rsidRPr="007E3C0F">
        <w:rPr>
          <w:lang w:val="en-GB"/>
        </w:rPr>
        <w:t>, although</w:t>
      </w:r>
      <w:r w:rsidR="00D33020" w:rsidRPr="007E3C0F">
        <w:rPr>
          <w:lang w:val="en-GB"/>
        </w:rPr>
        <w:t xml:space="preserve"> </w:t>
      </w:r>
      <w:r w:rsidR="009C6007" w:rsidRPr="007E3C0F">
        <w:rPr>
          <w:lang w:val="en-GB"/>
        </w:rPr>
        <w:t>some people struggle to use it regular</w:t>
      </w:r>
      <w:r w:rsidR="00AD7DF8" w:rsidRPr="007E3C0F">
        <w:rPr>
          <w:lang w:val="en-GB"/>
        </w:rPr>
        <w:t>ly because of its</w:t>
      </w:r>
      <w:r w:rsidR="009C6007" w:rsidRPr="007E3C0F">
        <w:rPr>
          <w:lang w:val="en-GB"/>
        </w:rPr>
        <w:t xml:space="preserve"> size, </w:t>
      </w:r>
      <w:r w:rsidR="00AD7DF8" w:rsidRPr="007E3C0F">
        <w:rPr>
          <w:lang w:val="en-GB"/>
        </w:rPr>
        <w:t xml:space="preserve">the amount of </w:t>
      </w:r>
      <w:r w:rsidR="00CB255E" w:rsidRPr="007E3C0F">
        <w:rPr>
          <w:lang w:val="en-GB"/>
        </w:rPr>
        <w:t>noise</w:t>
      </w:r>
      <w:r w:rsidR="00AD7DF8" w:rsidRPr="007E3C0F">
        <w:rPr>
          <w:lang w:val="en-GB"/>
        </w:rPr>
        <w:t xml:space="preserve"> it makes</w:t>
      </w:r>
      <w:r w:rsidR="00CB255E" w:rsidRPr="007E3C0F">
        <w:rPr>
          <w:lang w:val="en-GB"/>
        </w:rPr>
        <w:t>,</w:t>
      </w:r>
      <w:r w:rsidR="009C6007" w:rsidRPr="007E3C0F">
        <w:rPr>
          <w:lang w:val="en-GB"/>
        </w:rPr>
        <w:t xml:space="preserve"> and</w:t>
      </w:r>
      <w:r w:rsidR="00AD7DF8" w:rsidRPr="007E3C0F">
        <w:rPr>
          <w:lang w:val="en-GB"/>
        </w:rPr>
        <w:t xml:space="preserve"> because it can affect</w:t>
      </w:r>
      <w:r w:rsidR="009C6007" w:rsidRPr="007E3C0F">
        <w:rPr>
          <w:lang w:val="en-GB"/>
        </w:rPr>
        <w:t xml:space="preserve"> sleep. </w:t>
      </w:r>
      <w:r w:rsidR="00CE1C3A" w:rsidRPr="007E3C0F">
        <w:rPr>
          <w:lang w:val="en-GB"/>
        </w:rPr>
        <w:t>The</w:t>
      </w:r>
      <w:r w:rsidR="00787151" w:rsidRPr="007E3C0F">
        <w:rPr>
          <w:lang w:val="en-GB"/>
        </w:rPr>
        <w:t xml:space="preserve"> clinical experts also said CPAP is not well tolerated by </w:t>
      </w:r>
      <w:r w:rsidR="00CE1C3A" w:rsidRPr="007E3C0F">
        <w:rPr>
          <w:lang w:val="en-GB"/>
        </w:rPr>
        <w:t xml:space="preserve">some </w:t>
      </w:r>
      <w:r w:rsidR="00787151" w:rsidRPr="007E3C0F">
        <w:rPr>
          <w:lang w:val="en-GB"/>
        </w:rPr>
        <w:t xml:space="preserve">people </w:t>
      </w:r>
      <w:r w:rsidR="00CE1C3A" w:rsidRPr="007E3C0F">
        <w:rPr>
          <w:lang w:val="en-GB"/>
        </w:rPr>
        <w:t>with mental health issues</w:t>
      </w:r>
      <w:r w:rsidR="00787151" w:rsidRPr="007E3C0F">
        <w:rPr>
          <w:lang w:val="en-GB"/>
        </w:rPr>
        <w:t xml:space="preserve"> because </w:t>
      </w:r>
      <w:r w:rsidR="00A16FD1" w:rsidRPr="007E3C0F">
        <w:rPr>
          <w:lang w:val="en-GB"/>
        </w:rPr>
        <w:t xml:space="preserve">they can feel claustrophobic wearing a mask. </w:t>
      </w:r>
      <w:r w:rsidR="00F95855" w:rsidRPr="007E3C0F">
        <w:rPr>
          <w:lang w:val="en-GB"/>
        </w:rPr>
        <w:lastRenderedPageBreak/>
        <w:t xml:space="preserve">People with neurodegenerative conditions may also </w:t>
      </w:r>
      <w:r w:rsidR="00A16FD1" w:rsidRPr="007E3C0F">
        <w:rPr>
          <w:lang w:val="en-GB"/>
        </w:rPr>
        <w:t>not tolerate CPAP</w:t>
      </w:r>
      <w:r w:rsidR="00CE1C3A" w:rsidRPr="007E3C0F">
        <w:rPr>
          <w:lang w:val="en-GB"/>
        </w:rPr>
        <w:t>.</w:t>
      </w:r>
      <w:r w:rsidR="00C4480F" w:rsidRPr="007E3C0F">
        <w:rPr>
          <w:lang w:val="en-GB"/>
        </w:rPr>
        <w:t xml:space="preserve"> </w:t>
      </w:r>
      <w:r w:rsidR="00E40094" w:rsidRPr="007E3C0F">
        <w:rPr>
          <w:lang w:val="en-GB"/>
        </w:rPr>
        <w:t xml:space="preserve">The </w:t>
      </w:r>
      <w:r w:rsidR="00AE0E87" w:rsidRPr="007E3C0F">
        <w:rPr>
          <w:lang w:val="en-GB"/>
        </w:rPr>
        <w:t>clinical</w:t>
      </w:r>
      <w:r w:rsidR="00E40094" w:rsidRPr="007E3C0F">
        <w:rPr>
          <w:lang w:val="en-GB"/>
        </w:rPr>
        <w:t xml:space="preserve"> and patient experts </w:t>
      </w:r>
      <w:r w:rsidR="00FD23C7" w:rsidRPr="007E3C0F">
        <w:rPr>
          <w:lang w:val="en-GB"/>
        </w:rPr>
        <w:t xml:space="preserve">said </w:t>
      </w:r>
      <w:r w:rsidR="00AE0E87" w:rsidRPr="007E3C0F">
        <w:rPr>
          <w:lang w:val="en-GB"/>
        </w:rPr>
        <w:t xml:space="preserve">some </w:t>
      </w:r>
      <w:r w:rsidR="001E333F" w:rsidRPr="007E3C0F">
        <w:rPr>
          <w:lang w:val="en-GB"/>
        </w:rPr>
        <w:t xml:space="preserve">people using </w:t>
      </w:r>
      <w:r w:rsidR="00AE0E87" w:rsidRPr="007E3C0F">
        <w:rPr>
          <w:lang w:val="en-GB"/>
        </w:rPr>
        <w:t xml:space="preserve">CPAP </w:t>
      </w:r>
      <w:r w:rsidR="001E333F" w:rsidRPr="007E3C0F">
        <w:rPr>
          <w:lang w:val="en-GB"/>
        </w:rPr>
        <w:t xml:space="preserve">will still have </w:t>
      </w:r>
      <w:r w:rsidR="00AE0E87" w:rsidRPr="007E3C0F">
        <w:rPr>
          <w:lang w:val="en-GB"/>
        </w:rPr>
        <w:t xml:space="preserve">residual </w:t>
      </w:r>
      <w:r w:rsidR="00D16017" w:rsidRPr="007E3C0F">
        <w:rPr>
          <w:lang w:val="en-GB"/>
        </w:rPr>
        <w:t>excessive daytime sleepiness</w:t>
      </w:r>
      <w:r w:rsidR="00AE0E87" w:rsidRPr="007E3C0F">
        <w:rPr>
          <w:lang w:val="en-GB"/>
        </w:rPr>
        <w:t xml:space="preserve">. They noted that </w:t>
      </w:r>
      <w:r w:rsidR="00E40094" w:rsidRPr="007E3C0F">
        <w:rPr>
          <w:lang w:val="en-GB"/>
        </w:rPr>
        <w:t xml:space="preserve">solriamfetol as </w:t>
      </w:r>
      <w:r w:rsidR="00FD23C7" w:rsidRPr="007E3C0F">
        <w:rPr>
          <w:lang w:val="en-GB"/>
        </w:rPr>
        <w:t>another</w:t>
      </w:r>
      <w:r w:rsidR="00E40094" w:rsidRPr="007E3C0F">
        <w:rPr>
          <w:lang w:val="en-GB"/>
        </w:rPr>
        <w:t xml:space="preserve"> potential treatment option </w:t>
      </w:r>
      <w:r w:rsidR="00AE0E87" w:rsidRPr="007E3C0F">
        <w:rPr>
          <w:lang w:val="en-GB"/>
        </w:rPr>
        <w:t xml:space="preserve">for this group would be welcome. The committee concluded </w:t>
      </w:r>
      <w:r w:rsidR="00144109" w:rsidRPr="007E3C0F">
        <w:rPr>
          <w:lang w:val="en-GB"/>
        </w:rPr>
        <w:t xml:space="preserve">CPAP is an appropriate </w:t>
      </w:r>
      <w:r w:rsidR="00C9540B" w:rsidRPr="007E3C0F">
        <w:rPr>
          <w:lang w:val="en-GB"/>
        </w:rPr>
        <w:t>comparator,</w:t>
      </w:r>
      <w:r w:rsidR="00581E19" w:rsidRPr="007E3C0F">
        <w:rPr>
          <w:lang w:val="en-GB"/>
        </w:rPr>
        <w:t xml:space="preserve"> but some people cannot tolerate it</w:t>
      </w:r>
      <w:r w:rsidR="00495783" w:rsidRPr="007E3C0F">
        <w:rPr>
          <w:lang w:val="en-GB"/>
        </w:rPr>
        <w:t>.</w:t>
      </w:r>
    </w:p>
    <w:p w14:paraId="0209BB5E" w14:textId="6A707B1E" w:rsidR="001072AA" w:rsidRPr="007E3C0F" w:rsidRDefault="00CE00E9" w:rsidP="00CE00E9">
      <w:pPr>
        <w:pStyle w:val="Heading3"/>
        <w:rPr>
          <w:iCs/>
        </w:rPr>
      </w:pPr>
      <w:r w:rsidRPr="007E3C0F">
        <w:t>The clinical and cost</w:t>
      </w:r>
      <w:r w:rsidR="00FC60A4">
        <w:t>-</w:t>
      </w:r>
      <w:r w:rsidRPr="007E3C0F">
        <w:t xml:space="preserve">effectiveness evidence submitted by the company </w:t>
      </w:r>
      <w:r w:rsidR="00186AA3" w:rsidRPr="007E3C0F">
        <w:t xml:space="preserve">does not cover the full marketing </w:t>
      </w:r>
      <w:proofErr w:type="gramStart"/>
      <w:r w:rsidR="00186AA3" w:rsidRPr="007E3C0F">
        <w:t>authorisation</w:t>
      </w:r>
      <w:proofErr w:type="gramEnd"/>
      <w:r w:rsidR="00186AA3" w:rsidRPr="007E3C0F">
        <w:t xml:space="preserve"> </w:t>
      </w:r>
    </w:p>
    <w:p w14:paraId="4A65AC7C" w14:textId="11291297" w:rsidR="001072AA" w:rsidRPr="007E3C0F" w:rsidRDefault="00CE00E9" w:rsidP="001072AA">
      <w:pPr>
        <w:pStyle w:val="Numberedlevel2text"/>
        <w:rPr>
          <w:lang w:val="en-GB"/>
        </w:rPr>
      </w:pPr>
      <w:r w:rsidRPr="007E3C0F">
        <w:rPr>
          <w:lang w:val="en-GB"/>
        </w:rPr>
        <w:t xml:space="preserve">According to the marketing authorisation (see </w:t>
      </w:r>
      <w:r w:rsidR="0017396F" w:rsidRPr="007E3C0F">
        <w:rPr>
          <w:lang w:val="en-GB"/>
        </w:rPr>
        <w:t>section </w:t>
      </w:r>
      <w:r w:rsidRPr="007E3C0F">
        <w:rPr>
          <w:lang w:val="en-GB"/>
        </w:rPr>
        <w:t xml:space="preserve">2.1), solriamfetol </w:t>
      </w:r>
      <w:r w:rsidR="00864E54" w:rsidRPr="007E3C0F">
        <w:rPr>
          <w:lang w:val="en-GB"/>
        </w:rPr>
        <w:t>can</w:t>
      </w:r>
      <w:r w:rsidRPr="007E3C0F">
        <w:rPr>
          <w:lang w:val="en-GB"/>
        </w:rPr>
        <w:t xml:space="preserve"> be</w:t>
      </w:r>
      <w:r w:rsidR="00864E54" w:rsidRPr="007E3C0F">
        <w:rPr>
          <w:lang w:val="en-GB"/>
        </w:rPr>
        <w:t xml:space="preserve"> offered</w:t>
      </w:r>
      <w:r w:rsidRPr="007E3C0F">
        <w:rPr>
          <w:lang w:val="en-GB"/>
        </w:rPr>
        <w:t xml:space="preserve"> alone or in combination with a primary obstructive sleep apnoea therapy. However, the company positioned solriamfetol as an add-on to primary therapy</w:t>
      </w:r>
      <w:r w:rsidR="00186AA3" w:rsidRPr="007E3C0F">
        <w:rPr>
          <w:lang w:val="en-GB"/>
        </w:rPr>
        <w:t xml:space="preserve"> such as CPAP</w:t>
      </w:r>
      <w:r w:rsidRPr="007E3C0F">
        <w:rPr>
          <w:lang w:val="en-GB"/>
        </w:rPr>
        <w:t xml:space="preserve"> for obstructive sleep apnoea (defined by the company as standard care)</w:t>
      </w:r>
      <w:r w:rsidR="00186AA3" w:rsidRPr="007E3C0F">
        <w:rPr>
          <w:lang w:val="en-GB"/>
        </w:rPr>
        <w:t xml:space="preserve">. This </w:t>
      </w:r>
      <w:r w:rsidRPr="007E3C0F">
        <w:rPr>
          <w:lang w:val="en-GB"/>
        </w:rPr>
        <w:t>is a smaller population than specified in the marketing authorisation. The committee concluded that the clinical and cost</w:t>
      </w:r>
      <w:r w:rsidR="00FC60A4">
        <w:rPr>
          <w:lang w:val="en-GB"/>
        </w:rPr>
        <w:t>-</w:t>
      </w:r>
      <w:r w:rsidRPr="007E3C0F">
        <w:rPr>
          <w:lang w:val="en-GB"/>
        </w:rPr>
        <w:t xml:space="preserve">effectiveness evidence submitted by the company </w:t>
      </w:r>
      <w:r w:rsidR="00186AA3" w:rsidRPr="007E3C0F">
        <w:rPr>
          <w:lang w:val="en-GB"/>
        </w:rPr>
        <w:t>does not cover the full marketing authorisation</w:t>
      </w:r>
      <w:r w:rsidR="001072AA" w:rsidRPr="007E3C0F">
        <w:rPr>
          <w:lang w:val="en-GB"/>
        </w:rPr>
        <w:t>.</w:t>
      </w:r>
    </w:p>
    <w:p w14:paraId="577C873B" w14:textId="6FBAF688" w:rsidR="00400A16" w:rsidRPr="007E3C0F" w:rsidRDefault="00400A16" w:rsidP="000F33E1">
      <w:pPr>
        <w:pStyle w:val="Heading3"/>
      </w:pPr>
      <w:r w:rsidRPr="007E3C0F">
        <w:t xml:space="preserve">Solriamfetol </w:t>
      </w:r>
      <w:r w:rsidR="000F4713" w:rsidRPr="007E3C0F">
        <w:t xml:space="preserve">treatment </w:t>
      </w:r>
      <w:r w:rsidRPr="007E3C0F">
        <w:t xml:space="preserve">is </w:t>
      </w:r>
      <w:r w:rsidR="00A320BE" w:rsidRPr="007E3C0F">
        <w:t xml:space="preserve">likely to be </w:t>
      </w:r>
      <w:r w:rsidRPr="007E3C0F">
        <w:t>limited to secondary care</w:t>
      </w:r>
      <w:r w:rsidR="00DC0F9B" w:rsidRPr="007E3C0F">
        <w:t xml:space="preserve"> but </w:t>
      </w:r>
      <w:r w:rsidR="00416D4F" w:rsidRPr="007E3C0F">
        <w:t xml:space="preserve">more information is </w:t>
      </w:r>
      <w:proofErr w:type="gramStart"/>
      <w:r w:rsidR="00416D4F" w:rsidRPr="007E3C0F">
        <w:t>needed</w:t>
      </w:r>
      <w:proofErr w:type="gramEnd"/>
    </w:p>
    <w:p w14:paraId="5F5CC03E" w14:textId="5F9E7AB1" w:rsidR="00400A16" w:rsidRPr="007E3C0F" w:rsidDel="001072AA" w:rsidRDefault="00DC0F9B" w:rsidP="00400A16">
      <w:pPr>
        <w:pStyle w:val="Numberedlevel2text"/>
        <w:rPr>
          <w:lang w:val="en-GB"/>
        </w:rPr>
      </w:pPr>
      <w:r w:rsidRPr="007E3C0F">
        <w:rPr>
          <w:lang w:val="en-GB"/>
        </w:rPr>
        <w:t>O</w:t>
      </w:r>
      <w:r w:rsidR="00400A16" w:rsidRPr="007E3C0F">
        <w:rPr>
          <w:lang w:val="en-GB"/>
        </w:rPr>
        <w:t xml:space="preserve">bstructive sleep apnoea </w:t>
      </w:r>
      <w:r w:rsidRPr="007E3C0F">
        <w:rPr>
          <w:lang w:val="en-GB"/>
        </w:rPr>
        <w:t xml:space="preserve">is </w:t>
      </w:r>
      <w:r w:rsidR="00400A16" w:rsidRPr="007E3C0F">
        <w:rPr>
          <w:lang w:val="en-GB"/>
        </w:rPr>
        <w:t>currently</w:t>
      </w:r>
      <w:r w:rsidRPr="007E3C0F">
        <w:rPr>
          <w:lang w:val="en-GB"/>
        </w:rPr>
        <w:t xml:space="preserve"> treated in</w:t>
      </w:r>
      <w:r w:rsidR="00400A16" w:rsidRPr="007E3C0F">
        <w:rPr>
          <w:lang w:val="en-GB"/>
        </w:rPr>
        <w:t xml:space="preserve"> sleep services commissioned by the relevant clinical commissioning group. The </w:t>
      </w:r>
      <w:r w:rsidR="00BD0F24" w:rsidRPr="007E3C0F">
        <w:rPr>
          <w:lang w:val="en-GB"/>
        </w:rPr>
        <w:t>clinical</w:t>
      </w:r>
      <w:r w:rsidR="000F4713" w:rsidRPr="007E3C0F">
        <w:rPr>
          <w:lang w:val="en-GB"/>
        </w:rPr>
        <w:t xml:space="preserve"> experts noted that</w:t>
      </w:r>
      <w:r w:rsidRPr="007E3C0F">
        <w:rPr>
          <w:lang w:val="en-GB"/>
        </w:rPr>
        <w:t>, if</w:t>
      </w:r>
      <w:r w:rsidR="00400A16" w:rsidRPr="007E3C0F">
        <w:rPr>
          <w:lang w:val="en-GB"/>
        </w:rPr>
        <w:t xml:space="preserve"> solriamfetol</w:t>
      </w:r>
      <w:r w:rsidRPr="007E3C0F">
        <w:rPr>
          <w:lang w:val="en-GB"/>
        </w:rPr>
        <w:t xml:space="preserve"> was recommended, the likely requirement for more monitoring of adherence to CPAP (see </w:t>
      </w:r>
      <w:r w:rsidR="0017396F" w:rsidRPr="007E3C0F">
        <w:rPr>
          <w:lang w:val="en-GB"/>
        </w:rPr>
        <w:t>section </w:t>
      </w:r>
      <w:r w:rsidRPr="007E3C0F">
        <w:rPr>
          <w:lang w:val="en-GB"/>
        </w:rPr>
        <w:t xml:space="preserve">3.6) </w:t>
      </w:r>
      <w:r w:rsidR="000F4713" w:rsidRPr="007E3C0F">
        <w:rPr>
          <w:lang w:val="en-GB"/>
        </w:rPr>
        <w:t xml:space="preserve">could </w:t>
      </w:r>
      <w:r w:rsidR="00400A16" w:rsidRPr="007E3C0F">
        <w:rPr>
          <w:lang w:val="en-GB"/>
        </w:rPr>
        <w:t xml:space="preserve">put </w:t>
      </w:r>
      <w:r w:rsidRPr="007E3C0F">
        <w:rPr>
          <w:lang w:val="en-GB"/>
        </w:rPr>
        <w:t xml:space="preserve">pressure </w:t>
      </w:r>
      <w:r w:rsidR="00400A16" w:rsidRPr="007E3C0F">
        <w:rPr>
          <w:lang w:val="en-GB"/>
        </w:rPr>
        <w:t xml:space="preserve">on these services. </w:t>
      </w:r>
      <w:r w:rsidRPr="007E3C0F">
        <w:rPr>
          <w:lang w:val="en-GB"/>
        </w:rPr>
        <w:t>I</w:t>
      </w:r>
      <w:r w:rsidR="00AE6350" w:rsidRPr="007E3C0F">
        <w:rPr>
          <w:lang w:val="en-GB"/>
        </w:rPr>
        <w:t>n its evidence submission</w:t>
      </w:r>
      <w:r w:rsidR="001F5065" w:rsidRPr="007E3C0F">
        <w:rPr>
          <w:lang w:val="en-GB"/>
        </w:rPr>
        <w:t xml:space="preserve"> and economic </w:t>
      </w:r>
      <w:r w:rsidR="00844789" w:rsidRPr="007E3C0F">
        <w:rPr>
          <w:lang w:val="en-GB"/>
        </w:rPr>
        <w:t>model,</w:t>
      </w:r>
      <w:r w:rsidR="00AE6350" w:rsidRPr="007E3C0F">
        <w:rPr>
          <w:lang w:val="en-GB"/>
        </w:rPr>
        <w:t xml:space="preserve"> </w:t>
      </w:r>
      <w:r w:rsidRPr="007E3C0F">
        <w:rPr>
          <w:lang w:val="en-GB"/>
        </w:rPr>
        <w:t xml:space="preserve">the company </w:t>
      </w:r>
      <w:r w:rsidR="00AE6350" w:rsidRPr="007E3C0F">
        <w:rPr>
          <w:lang w:val="en-GB"/>
        </w:rPr>
        <w:t xml:space="preserve">assumed that solriamfetol would be administered in specialist sleep services only. </w:t>
      </w:r>
      <w:r w:rsidR="00610372" w:rsidRPr="007E3C0F">
        <w:rPr>
          <w:lang w:val="en-GB"/>
        </w:rPr>
        <w:t>The</w:t>
      </w:r>
      <w:r w:rsidR="00AE6350" w:rsidRPr="007E3C0F">
        <w:rPr>
          <w:lang w:val="en-GB"/>
        </w:rPr>
        <w:t xml:space="preserve"> </w:t>
      </w:r>
      <w:r w:rsidR="00610372" w:rsidRPr="007E3C0F">
        <w:rPr>
          <w:lang w:val="en-GB"/>
        </w:rPr>
        <w:t xml:space="preserve">committee asked the clinical experts if </w:t>
      </w:r>
      <w:r w:rsidR="00093388" w:rsidRPr="007E3C0F">
        <w:rPr>
          <w:lang w:val="en-GB"/>
        </w:rPr>
        <w:t xml:space="preserve">there </w:t>
      </w:r>
      <w:r w:rsidR="00B5606D" w:rsidRPr="007E3C0F">
        <w:rPr>
          <w:lang w:val="en-GB"/>
        </w:rPr>
        <w:t>was</w:t>
      </w:r>
      <w:r w:rsidR="00093388" w:rsidRPr="007E3C0F">
        <w:rPr>
          <w:lang w:val="en-GB"/>
        </w:rPr>
        <w:t xml:space="preserve"> a possibility </w:t>
      </w:r>
      <w:r w:rsidR="00B5606D" w:rsidRPr="007E3C0F">
        <w:rPr>
          <w:lang w:val="en-GB"/>
        </w:rPr>
        <w:t xml:space="preserve">that </w:t>
      </w:r>
      <w:r w:rsidR="00610372" w:rsidRPr="007E3C0F">
        <w:rPr>
          <w:lang w:val="en-GB"/>
        </w:rPr>
        <w:t xml:space="preserve">solriamfetol </w:t>
      </w:r>
      <w:r w:rsidR="00093388" w:rsidRPr="007E3C0F">
        <w:rPr>
          <w:lang w:val="en-GB"/>
        </w:rPr>
        <w:t>could be</w:t>
      </w:r>
      <w:r w:rsidR="00610372" w:rsidRPr="007E3C0F">
        <w:rPr>
          <w:lang w:val="en-GB"/>
        </w:rPr>
        <w:t xml:space="preserve"> prescribed </w:t>
      </w:r>
      <w:r w:rsidR="00093388" w:rsidRPr="007E3C0F">
        <w:rPr>
          <w:lang w:val="en-GB"/>
        </w:rPr>
        <w:t>in</w:t>
      </w:r>
      <w:r w:rsidR="00610372" w:rsidRPr="007E3C0F">
        <w:rPr>
          <w:lang w:val="en-GB"/>
        </w:rPr>
        <w:t xml:space="preserve"> primary care. The experts suggested that </w:t>
      </w:r>
      <w:r w:rsidR="00093388" w:rsidRPr="007E3C0F">
        <w:rPr>
          <w:lang w:val="en-GB"/>
        </w:rPr>
        <w:t xml:space="preserve">treatment would have to be </w:t>
      </w:r>
      <w:r w:rsidRPr="007E3C0F">
        <w:rPr>
          <w:lang w:val="en-GB"/>
        </w:rPr>
        <w:t xml:space="preserve">started </w:t>
      </w:r>
      <w:r w:rsidR="00093388" w:rsidRPr="007E3C0F">
        <w:rPr>
          <w:lang w:val="en-GB"/>
        </w:rPr>
        <w:t xml:space="preserve">in </w:t>
      </w:r>
      <w:r w:rsidR="00B5606D" w:rsidRPr="007E3C0F">
        <w:rPr>
          <w:lang w:val="en-GB"/>
        </w:rPr>
        <w:t xml:space="preserve">the specialist sleep </w:t>
      </w:r>
      <w:r w:rsidR="00CE7503" w:rsidRPr="007E3C0F">
        <w:rPr>
          <w:lang w:val="en-GB"/>
        </w:rPr>
        <w:t>clinics</w:t>
      </w:r>
      <w:r w:rsidR="00B5606D" w:rsidRPr="007E3C0F">
        <w:rPr>
          <w:lang w:val="en-GB"/>
        </w:rPr>
        <w:t xml:space="preserve"> b</w:t>
      </w:r>
      <w:r w:rsidR="00CE7503" w:rsidRPr="007E3C0F">
        <w:rPr>
          <w:lang w:val="en-GB"/>
        </w:rPr>
        <w:t>ut</w:t>
      </w:r>
      <w:r w:rsidR="00093388" w:rsidRPr="007E3C0F">
        <w:rPr>
          <w:lang w:val="en-GB"/>
        </w:rPr>
        <w:t xml:space="preserve"> were uncertain if </w:t>
      </w:r>
      <w:r w:rsidR="00CF2A59" w:rsidRPr="007E3C0F">
        <w:rPr>
          <w:lang w:val="en-GB"/>
        </w:rPr>
        <w:t>longer</w:t>
      </w:r>
      <w:r w:rsidRPr="007E3C0F">
        <w:rPr>
          <w:lang w:val="en-GB"/>
        </w:rPr>
        <w:t>-</w:t>
      </w:r>
      <w:r w:rsidR="00CF2A59" w:rsidRPr="007E3C0F">
        <w:rPr>
          <w:lang w:val="en-GB"/>
        </w:rPr>
        <w:t xml:space="preserve">term </w:t>
      </w:r>
      <w:r w:rsidR="00CE7503" w:rsidRPr="007E3C0F">
        <w:rPr>
          <w:lang w:val="en-GB"/>
        </w:rPr>
        <w:t xml:space="preserve">prescribing could </w:t>
      </w:r>
      <w:r w:rsidR="00093388" w:rsidRPr="007E3C0F">
        <w:rPr>
          <w:lang w:val="en-GB"/>
        </w:rPr>
        <w:t>move to primary care</w:t>
      </w:r>
      <w:r w:rsidR="00610372" w:rsidRPr="007E3C0F">
        <w:rPr>
          <w:lang w:val="en-GB"/>
        </w:rPr>
        <w:t xml:space="preserve">. </w:t>
      </w:r>
      <w:r w:rsidR="00E0556D" w:rsidRPr="007E3C0F">
        <w:rPr>
          <w:lang w:val="en-GB"/>
        </w:rPr>
        <w:t xml:space="preserve">The committee </w:t>
      </w:r>
      <w:r w:rsidR="009064E3" w:rsidRPr="007E3C0F">
        <w:rPr>
          <w:lang w:val="en-GB"/>
        </w:rPr>
        <w:t>concluded that</w:t>
      </w:r>
      <w:r w:rsidR="001D054A" w:rsidRPr="007E3C0F">
        <w:rPr>
          <w:lang w:val="en-GB"/>
        </w:rPr>
        <w:t xml:space="preserve"> solriamfetol treatment is likely to be limited to secondary </w:t>
      </w:r>
      <w:r w:rsidR="00C9540B" w:rsidRPr="007E3C0F">
        <w:rPr>
          <w:lang w:val="en-GB"/>
        </w:rPr>
        <w:t>care,</w:t>
      </w:r>
      <w:r w:rsidRPr="007E3C0F">
        <w:rPr>
          <w:lang w:val="en-GB"/>
        </w:rPr>
        <w:t xml:space="preserve"> but</w:t>
      </w:r>
      <w:r w:rsidR="001D054A" w:rsidRPr="007E3C0F">
        <w:rPr>
          <w:lang w:val="en-GB"/>
        </w:rPr>
        <w:t xml:space="preserve"> more information is needed</w:t>
      </w:r>
      <w:r w:rsidR="00400A16" w:rsidRPr="007E3C0F">
        <w:rPr>
          <w:lang w:val="en-GB"/>
        </w:rPr>
        <w:t>.</w:t>
      </w:r>
    </w:p>
    <w:p w14:paraId="0E7A9B3C" w14:textId="47113B99" w:rsidR="003023D3" w:rsidRPr="007E3C0F" w:rsidRDefault="00B03B98" w:rsidP="003023D3">
      <w:pPr>
        <w:pStyle w:val="Heading2"/>
      </w:pPr>
      <w:r w:rsidRPr="007E3C0F">
        <w:lastRenderedPageBreak/>
        <w:t xml:space="preserve">Clinical </w:t>
      </w:r>
      <w:r w:rsidR="00410973" w:rsidRPr="007E3C0F">
        <w:t>e</w:t>
      </w:r>
      <w:r w:rsidRPr="007E3C0F">
        <w:t>vidence</w:t>
      </w:r>
    </w:p>
    <w:p w14:paraId="57B6883C" w14:textId="6A78B673" w:rsidR="00946E68" w:rsidRPr="007E3C0F" w:rsidRDefault="00946E68" w:rsidP="005B307C">
      <w:pPr>
        <w:pStyle w:val="Heading3"/>
      </w:pPr>
      <w:r w:rsidRPr="007E3C0F">
        <w:t>S</w:t>
      </w:r>
      <w:r w:rsidR="00114680" w:rsidRPr="007E3C0F">
        <w:t>olriamfetol</w:t>
      </w:r>
      <w:r w:rsidR="007F5EE4" w:rsidRPr="007E3C0F">
        <w:t xml:space="preserve"> with standard care</w:t>
      </w:r>
      <w:r w:rsidR="00114680" w:rsidRPr="007E3C0F">
        <w:t xml:space="preserve"> improves excessive daytime </w:t>
      </w:r>
      <w:proofErr w:type="gramStart"/>
      <w:r w:rsidR="00114680" w:rsidRPr="007E3C0F">
        <w:t>sleepiness</w:t>
      </w:r>
      <w:proofErr w:type="gramEnd"/>
      <w:r w:rsidR="00114680" w:rsidRPr="007E3C0F" w:rsidDel="00114680">
        <w:t xml:space="preserve"> </w:t>
      </w:r>
    </w:p>
    <w:p w14:paraId="57C16527" w14:textId="3E84D1C0" w:rsidR="00C305A5" w:rsidRPr="007E3C0F" w:rsidRDefault="0017396F" w:rsidP="00925795">
      <w:pPr>
        <w:pStyle w:val="Numberedlevel2text"/>
        <w:rPr>
          <w:lang w:val="en-GB"/>
        </w:rPr>
      </w:pPr>
      <w:r w:rsidRPr="007E3C0F">
        <w:rPr>
          <w:lang w:val="en-GB"/>
        </w:rPr>
        <w:t>TONES 3</w:t>
      </w:r>
      <w:r w:rsidR="00946E68" w:rsidRPr="007E3C0F">
        <w:rPr>
          <w:lang w:val="en-GB"/>
        </w:rPr>
        <w:t xml:space="preserve"> </w:t>
      </w:r>
      <w:r w:rsidR="00950330" w:rsidRPr="007E3C0F">
        <w:rPr>
          <w:lang w:val="en-GB"/>
        </w:rPr>
        <w:t>was a 12</w:t>
      </w:r>
      <w:r w:rsidRPr="007E3C0F">
        <w:rPr>
          <w:lang w:val="en-GB"/>
        </w:rPr>
        <w:noBreakHyphen/>
        <w:t>week</w:t>
      </w:r>
      <w:r w:rsidR="00950330" w:rsidRPr="007E3C0F">
        <w:rPr>
          <w:lang w:val="en-GB"/>
        </w:rPr>
        <w:t>, randomi</w:t>
      </w:r>
      <w:r w:rsidR="00946E68" w:rsidRPr="007E3C0F">
        <w:rPr>
          <w:lang w:val="en-GB"/>
        </w:rPr>
        <w:t>s</w:t>
      </w:r>
      <w:r w:rsidR="00950330" w:rsidRPr="007E3C0F">
        <w:rPr>
          <w:lang w:val="en-GB"/>
        </w:rPr>
        <w:t xml:space="preserve">ed, double-blind, </w:t>
      </w:r>
      <w:r w:rsidR="00612B68" w:rsidRPr="007E3C0F">
        <w:rPr>
          <w:lang w:val="en-GB"/>
        </w:rPr>
        <w:t>placebo-controlled</w:t>
      </w:r>
      <w:r w:rsidR="00950330" w:rsidRPr="007E3C0F">
        <w:rPr>
          <w:lang w:val="en-GB"/>
        </w:rPr>
        <w:t xml:space="preserve"> trial </w:t>
      </w:r>
      <w:r w:rsidR="00FD5D4B" w:rsidRPr="007E3C0F">
        <w:rPr>
          <w:lang w:val="en-GB"/>
        </w:rPr>
        <w:t xml:space="preserve">done </w:t>
      </w:r>
      <w:r w:rsidR="00950330" w:rsidRPr="007E3C0F">
        <w:rPr>
          <w:lang w:val="en-GB"/>
        </w:rPr>
        <w:t>in multiple centres.</w:t>
      </w:r>
      <w:r w:rsidR="00C305A5" w:rsidRPr="007E3C0F">
        <w:rPr>
          <w:lang w:val="en-GB"/>
        </w:rPr>
        <w:t xml:space="preserve"> </w:t>
      </w:r>
      <w:r w:rsidR="00376210" w:rsidRPr="007E3C0F">
        <w:rPr>
          <w:lang w:val="en-GB"/>
        </w:rPr>
        <w:t xml:space="preserve">The intervention was solriamfetol given in </w:t>
      </w:r>
      <w:r w:rsidR="00C305A5" w:rsidRPr="007E3C0F">
        <w:rPr>
          <w:lang w:val="en-GB"/>
        </w:rPr>
        <w:t>doses of 37.5</w:t>
      </w:r>
      <w:r w:rsidRPr="007E3C0F">
        <w:rPr>
          <w:lang w:val="en-GB"/>
        </w:rPr>
        <w:t> mg</w:t>
      </w:r>
      <w:r w:rsidR="00C305A5" w:rsidRPr="007E3C0F">
        <w:rPr>
          <w:lang w:val="en-GB"/>
        </w:rPr>
        <w:t>, 75</w:t>
      </w:r>
      <w:r w:rsidRPr="007E3C0F">
        <w:rPr>
          <w:lang w:val="en-GB"/>
        </w:rPr>
        <w:t> </w:t>
      </w:r>
      <w:r w:rsidR="00844789" w:rsidRPr="007E3C0F">
        <w:rPr>
          <w:lang w:val="en-GB"/>
        </w:rPr>
        <w:t>mg,</w:t>
      </w:r>
      <w:r w:rsidR="00C305A5" w:rsidRPr="007E3C0F">
        <w:rPr>
          <w:lang w:val="en-GB"/>
        </w:rPr>
        <w:t xml:space="preserve"> and 150</w:t>
      </w:r>
      <w:r w:rsidRPr="007E3C0F">
        <w:rPr>
          <w:lang w:val="en-GB"/>
        </w:rPr>
        <w:t> mg</w:t>
      </w:r>
      <w:r w:rsidR="00C305A5" w:rsidRPr="007E3C0F">
        <w:rPr>
          <w:lang w:val="en-GB"/>
        </w:rPr>
        <w:t xml:space="preserve"> (also a 300</w:t>
      </w:r>
      <w:r w:rsidRPr="007E3C0F">
        <w:rPr>
          <w:lang w:val="en-GB"/>
        </w:rPr>
        <w:t> mg</w:t>
      </w:r>
      <w:r w:rsidR="00C305A5" w:rsidRPr="007E3C0F">
        <w:rPr>
          <w:lang w:val="en-GB"/>
        </w:rPr>
        <w:t xml:space="preserve"> dose but this was unlicen</w:t>
      </w:r>
      <w:r w:rsidR="00FD5D4B" w:rsidRPr="007E3C0F">
        <w:rPr>
          <w:lang w:val="en-GB"/>
        </w:rPr>
        <w:t>s</w:t>
      </w:r>
      <w:r w:rsidR="00C305A5" w:rsidRPr="007E3C0F">
        <w:rPr>
          <w:lang w:val="en-GB"/>
        </w:rPr>
        <w:t xml:space="preserve">ed). </w:t>
      </w:r>
      <w:r w:rsidR="00950330" w:rsidRPr="007E3C0F">
        <w:rPr>
          <w:lang w:val="en-GB"/>
        </w:rPr>
        <w:t xml:space="preserve">The </w:t>
      </w:r>
      <w:r w:rsidR="003819CD" w:rsidRPr="007E3C0F">
        <w:rPr>
          <w:lang w:val="en-GB"/>
        </w:rPr>
        <w:t>comparator</w:t>
      </w:r>
      <w:r w:rsidR="00376210" w:rsidRPr="007E3C0F">
        <w:rPr>
          <w:lang w:val="en-GB"/>
        </w:rPr>
        <w:t xml:space="preserve"> in the trial was </w:t>
      </w:r>
      <w:r w:rsidR="00950330" w:rsidRPr="007E3C0F">
        <w:rPr>
          <w:lang w:val="en-GB"/>
        </w:rPr>
        <w:t>placebo</w:t>
      </w:r>
      <w:r w:rsidR="00376210" w:rsidRPr="007E3C0F">
        <w:rPr>
          <w:lang w:val="en-GB"/>
        </w:rPr>
        <w:t>.</w:t>
      </w:r>
      <w:r w:rsidR="00950330" w:rsidRPr="007E3C0F">
        <w:rPr>
          <w:lang w:val="en-GB"/>
        </w:rPr>
        <w:t xml:space="preserve"> </w:t>
      </w:r>
      <w:r w:rsidR="003819CD" w:rsidRPr="007E3C0F">
        <w:rPr>
          <w:lang w:val="en-GB"/>
        </w:rPr>
        <w:t>In both the intervention and comparator groups</w:t>
      </w:r>
      <w:r w:rsidR="00322C83" w:rsidRPr="007E3C0F">
        <w:rPr>
          <w:lang w:val="en-GB"/>
        </w:rPr>
        <w:t xml:space="preserve"> approximately 70%</w:t>
      </w:r>
      <w:r w:rsidR="003819CD" w:rsidRPr="007E3C0F">
        <w:rPr>
          <w:lang w:val="en-GB"/>
        </w:rPr>
        <w:t xml:space="preserve"> of patients </w:t>
      </w:r>
      <w:r w:rsidR="00D010B1" w:rsidRPr="007E3C0F">
        <w:rPr>
          <w:lang w:val="en-GB"/>
        </w:rPr>
        <w:t>adhered to a</w:t>
      </w:r>
      <w:r w:rsidR="003819CD" w:rsidRPr="007E3C0F">
        <w:rPr>
          <w:lang w:val="en-GB"/>
        </w:rPr>
        <w:t xml:space="preserve"> primary obstructive sleep apnoea therapy</w:t>
      </w:r>
      <w:r w:rsidR="00950330" w:rsidRPr="007E3C0F">
        <w:rPr>
          <w:lang w:val="en-GB"/>
        </w:rPr>
        <w:t>.</w:t>
      </w:r>
      <w:r w:rsidR="003819CD" w:rsidRPr="007E3C0F">
        <w:rPr>
          <w:lang w:val="en-GB"/>
        </w:rPr>
        <w:t xml:space="preserve"> </w:t>
      </w:r>
      <w:r w:rsidR="00D010B1" w:rsidRPr="007E3C0F">
        <w:rPr>
          <w:lang w:val="en-GB"/>
        </w:rPr>
        <w:t xml:space="preserve">This was defined as </w:t>
      </w:r>
      <w:r w:rsidR="00331BBE" w:rsidRPr="007E3C0F">
        <w:rPr>
          <w:lang w:val="en-GB"/>
        </w:rPr>
        <w:t xml:space="preserve">prior effective surgical intervention or CPAP use. </w:t>
      </w:r>
      <w:r w:rsidR="0096046B" w:rsidRPr="007E3C0F">
        <w:rPr>
          <w:lang w:val="en-GB"/>
        </w:rPr>
        <w:t>The co-primary outcome of the trial was reduction in the E</w:t>
      </w:r>
      <w:r w:rsidR="00FC60A4">
        <w:rPr>
          <w:lang w:val="en-GB"/>
        </w:rPr>
        <w:t>SS</w:t>
      </w:r>
      <w:r w:rsidR="0096046B" w:rsidRPr="007E3C0F">
        <w:rPr>
          <w:lang w:val="en-GB"/>
        </w:rPr>
        <w:t xml:space="preserve"> from baseline to </w:t>
      </w:r>
      <w:r w:rsidRPr="007E3C0F">
        <w:rPr>
          <w:lang w:val="en-GB"/>
        </w:rPr>
        <w:t>week </w:t>
      </w:r>
      <w:r w:rsidR="0096046B" w:rsidRPr="007E3C0F">
        <w:rPr>
          <w:lang w:val="en-GB"/>
        </w:rPr>
        <w:t xml:space="preserve">12. </w:t>
      </w:r>
      <w:r w:rsidR="00950330" w:rsidRPr="007E3C0F">
        <w:rPr>
          <w:lang w:val="en-GB"/>
        </w:rPr>
        <w:t xml:space="preserve">The results </w:t>
      </w:r>
      <w:r w:rsidR="0024133C" w:rsidRPr="007E3C0F">
        <w:rPr>
          <w:lang w:val="en-GB"/>
        </w:rPr>
        <w:t>show</w:t>
      </w:r>
      <w:r w:rsidR="002C1306" w:rsidRPr="007E3C0F">
        <w:rPr>
          <w:lang w:val="en-GB"/>
        </w:rPr>
        <w:t>ed</w:t>
      </w:r>
      <w:r w:rsidR="0024133C" w:rsidRPr="007E3C0F">
        <w:rPr>
          <w:lang w:val="en-GB"/>
        </w:rPr>
        <w:t xml:space="preserve"> </w:t>
      </w:r>
      <w:r w:rsidR="002C1306" w:rsidRPr="007E3C0F">
        <w:rPr>
          <w:lang w:val="en-GB"/>
        </w:rPr>
        <w:t xml:space="preserve">a </w:t>
      </w:r>
      <w:r w:rsidR="00950330" w:rsidRPr="007E3C0F">
        <w:rPr>
          <w:lang w:val="en-GB"/>
        </w:rPr>
        <w:t xml:space="preserve">significant reduction in ESS </w:t>
      </w:r>
      <w:r w:rsidR="004223F3" w:rsidRPr="007E3C0F">
        <w:rPr>
          <w:lang w:val="en-GB"/>
        </w:rPr>
        <w:t>from baseline to</w:t>
      </w:r>
      <w:r w:rsidR="00950330" w:rsidRPr="007E3C0F">
        <w:rPr>
          <w:lang w:val="en-GB"/>
        </w:rPr>
        <w:t xml:space="preserve"> </w:t>
      </w:r>
      <w:r w:rsidRPr="007E3C0F">
        <w:rPr>
          <w:lang w:val="en-GB"/>
        </w:rPr>
        <w:t>week </w:t>
      </w:r>
      <w:r w:rsidR="00950330" w:rsidRPr="007E3C0F">
        <w:rPr>
          <w:lang w:val="en-GB"/>
        </w:rPr>
        <w:t xml:space="preserve">12 </w:t>
      </w:r>
      <w:r w:rsidR="004223F3" w:rsidRPr="007E3C0F">
        <w:rPr>
          <w:lang w:val="en-GB"/>
        </w:rPr>
        <w:t>across all 3</w:t>
      </w:r>
      <w:r w:rsidR="00993E81" w:rsidRPr="007E3C0F">
        <w:rPr>
          <w:lang w:val="en-GB"/>
        </w:rPr>
        <w:t xml:space="preserve"> </w:t>
      </w:r>
      <w:r w:rsidR="00993179" w:rsidRPr="007E3C0F">
        <w:rPr>
          <w:lang w:val="en-GB"/>
        </w:rPr>
        <w:t>solriamfetol</w:t>
      </w:r>
      <w:r w:rsidR="002C1306" w:rsidRPr="007E3C0F">
        <w:rPr>
          <w:lang w:val="en-GB"/>
        </w:rPr>
        <w:t xml:space="preserve"> </w:t>
      </w:r>
      <w:r w:rsidR="00993E81" w:rsidRPr="007E3C0F">
        <w:rPr>
          <w:lang w:val="en-GB"/>
        </w:rPr>
        <w:t>doses</w:t>
      </w:r>
      <w:r w:rsidR="00F92E19" w:rsidRPr="007E3C0F">
        <w:rPr>
          <w:lang w:val="en-GB"/>
        </w:rPr>
        <w:t xml:space="preserve">. There was no improvement in </w:t>
      </w:r>
      <w:r w:rsidR="00950330" w:rsidRPr="007E3C0F">
        <w:rPr>
          <w:lang w:val="en-GB"/>
        </w:rPr>
        <w:t>quality of life</w:t>
      </w:r>
      <w:r w:rsidR="00F92E19" w:rsidRPr="007E3C0F">
        <w:rPr>
          <w:lang w:val="en-GB"/>
        </w:rPr>
        <w:t xml:space="preserve"> using </w:t>
      </w:r>
      <w:r w:rsidR="00F00415" w:rsidRPr="007E3C0F">
        <w:rPr>
          <w:lang w:val="en-GB"/>
        </w:rPr>
        <w:t xml:space="preserve">the </w:t>
      </w:r>
      <w:r w:rsidRPr="007E3C0F">
        <w:rPr>
          <w:lang w:val="en-GB"/>
        </w:rPr>
        <w:t>EQ</w:t>
      </w:r>
      <w:r w:rsidRPr="007E3C0F">
        <w:rPr>
          <w:lang w:val="en-GB"/>
        </w:rPr>
        <w:noBreakHyphen/>
        <w:t>5D</w:t>
      </w:r>
      <w:r w:rsidRPr="007E3C0F">
        <w:rPr>
          <w:lang w:val="en-GB"/>
        </w:rPr>
        <w:noBreakHyphen/>
        <w:t>5L</w:t>
      </w:r>
      <w:r w:rsidR="00950330" w:rsidRPr="007E3C0F">
        <w:rPr>
          <w:lang w:val="en-GB"/>
        </w:rPr>
        <w:t xml:space="preserve"> </w:t>
      </w:r>
      <w:r w:rsidR="0024133C" w:rsidRPr="007E3C0F">
        <w:rPr>
          <w:lang w:val="en-GB"/>
        </w:rPr>
        <w:t xml:space="preserve">from baseline to </w:t>
      </w:r>
      <w:r w:rsidRPr="007E3C0F">
        <w:rPr>
          <w:lang w:val="en-GB"/>
        </w:rPr>
        <w:t>week </w:t>
      </w:r>
      <w:r w:rsidR="00612B68" w:rsidRPr="007E3C0F">
        <w:rPr>
          <w:lang w:val="en-GB"/>
        </w:rPr>
        <w:t xml:space="preserve">12. </w:t>
      </w:r>
      <w:r w:rsidR="00114680" w:rsidRPr="007E3C0F">
        <w:rPr>
          <w:lang w:val="en-GB"/>
        </w:rPr>
        <w:t xml:space="preserve">The committee concluded that solriamfetol </w:t>
      </w:r>
      <w:r w:rsidR="00F00415" w:rsidRPr="007E3C0F">
        <w:rPr>
          <w:lang w:val="en-GB"/>
        </w:rPr>
        <w:t xml:space="preserve">with standard care </w:t>
      </w:r>
      <w:r w:rsidR="00114680" w:rsidRPr="007E3C0F">
        <w:rPr>
          <w:lang w:val="en-GB"/>
        </w:rPr>
        <w:t>improves excessive daytime sleepiness.</w:t>
      </w:r>
    </w:p>
    <w:p w14:paraId="22A22216" w14:textId="208027C0" w:rsidR="003B1EC3" w:rsidRPr="007E3C0F" w:rsidRDefault="00B15452" w:rsidP="00925795">
      <w:pPr>
        <w:pStyle w:val="Heading3"/>
        <w:rPr>
          <w:iCs/>
        </w:rPr>
      </w:pPr>
      <w:r w:rsidRPr="007E3C0F">
        <w:rPr>
          <w:iCs/>
        </w:rPr>
        <w:t>Adherence to</w:t>
      </w:r>
      <w:r w:rsidR="00541FFE" w:rsidRPr="007E3C0F">
        <w:rPr>
          <w:iCs/>
        </w:rPr>
        <w:t xml:space="preserve"> a primary </w:t>
      </w:r>
      <w:r w:rsidR="00D16017" w:rsidRPr="007E3C0F">
        <w:rPr>
          <w:iCs/>
        </w:rPr>
        <w:t>obstructive sleep apnoea</w:t>
      </w:r>
      <w:r w:rsidR="001C439A" w:rsidRPr="007E3C0F">
        <w:rPr>
          <w:iCs/>
        </w:rPr>
        <w:t xml:space="preserve"> </w:t>
      </w:r>
      <w:r w:rsidR="00541FFE" w:rsidRPr="007E3C0F">
        <w:rPr>
          <w:iCs/>
        </w:rPr>
        <w:t>therapy</w:t>
      </w:r>
      <w:r w:rsidR="00D35E17" w:rsidRPr="007E3C0F">
        <w:rPr>
          <w:iCs/>
        </w:rPr>
        <w:t xml:space="preserve"> like CPAP</w:t>
      </w:r>
      <w:r w:rsidR="00541FFE" w:rsidRPr="007E3C0F">
        <w:rPr>
          <w:iCs/>
        </w:rPr>
        <w:t xml:space="preserve"> is unlikely to be affected by </w:t>
      </w:r>
      <w:r w:rsidR="00836096" w:rsidRPr="007E3C0F">
        <w:rPr>
          <w:iCs/>
        </w:rPr>
        <w:t xml:space="preserve">solriamfetol </w:t>
      </w:r>
      <w:r w:rsidR="00DE4C42" w:rsidRPr="007E3C0F">
        <w:rPr>
          <w:iCs/>
        </w:rPr>
        <w:t xml:space="preserve">treatment, </w:t>
      </w:r>
      <w:r w:rsidR="00C97D82" w:rsidRPr="007E3C0F">
        <w:rPr>
          <w:iCs/>
        </w:rPr>
        <w:t xml:space="preserve">but more data are </w:t>
      </w:r>
      <w:proofErr w:type="gramStart"/>
      <w:r w:rsidR="00CB255E" w:rsidRPr="007E3C0F">
        <w:rPr>
          <w:iCs/>
        </w:rPr>
        <w:t>needed</w:t>
      </w:r>
      <w:proofErr w:type="gramEnd"/>
    </w:p>
    <w:p w14:paraId="5E104C7E" w14:textId="6E21269E" w:rsidR="008D7856" w:rsidRPr="007E3C0F" w:rsidRDefault="00FC3F33" w:rsidP="00C16B7D">
      <w:pPr>
        <w:pStyle w:val="Numberedlevel2text"/>
        <w:rPr>
          <w:lang w:val="en-GB"/>
        </w:rPr>
      </w:pPr>
      <w:r w:rsidRPr="007E3C0F">
        <w:rPr>
          <w:lang w:val="en-GB"/>
        </w:rPr>
        <w:t>The</w:t>
      </w:r>
      <w:r w:rsidR="00836096" w:rsidRPr="007E3C0F">
        <w:rPr>
          <w:lang w:val="en-GB"/>
        </w:rPr>
        <w:t xml:space="preserve"> </w:t>
      </w:r>
      <w:r w:rsidR="00901E31" w:rsidRPr="007E3C0F">
        <w:rPr>
          <w:lang w:val="en-GB"/>
        </w:rPr>
        <w:t>patient expert and ERG</w:t>
      </w:r>
      <w:r w:rsidR="00DE4C42" w:rsidRPr="007E3C0F">
        <w:rPr>
          <w:lang w:val="en-GB"/>
        </w:rPr>
        <w:t xml:space="preserve"> said</w:t>
      </w:r>
      <w:r w:rsidR="00836096" w:rsidRPr="007E3C0F">
        <w:rPr>
          <w:lang w:val="en-GB"/>
        </w:rPr>
        <w:t xml:space="preserve"> </w:t>
      </w:r>
      <w:r w:rsidR="003D6273" w:rsidRPr="007E3C0F">
        <w:rPr>
          <w:lang w:val="en-GB"/>
        </w:rPr>
        <w:t>some</w:t>
      </w:r>
      <w:r w:rsidR="00DE4C42" w:rsidRPr="007E3C0F">
        <w:rPr>
          <w:lang w:val="en-GB"/>
        </w:rPr>
        <w:t xml:space="preserve"> people</w:t>
      </w:r>
      <w:r w:rsidR="003D6273" w:rsidRPr="007E3C0F">
        <w:rPr>
          <w:lang w:val="en-GB"/>
        </w:rPr>
        <w:t xml:space="preserve"> with </w:t>
      </w:r>
      <w:r w:rsidR="00D16017" w:rsidRPr="007E3C0F">
        <w:rPr>
          <w:lang w:val="en-GB"/>
        </w:rPr>
        <w:t>excessive daytime sleepiness</w:t>
      </w:r>
      <w:r w:rsidR="003D6273" w:rsidRPr="007E3C0F">
        <w:rPr>
          <w:lang w:val="en-GB"/>
        </w:rPr>
        <w:t xml:space="preserve"> may prefer </w:t>
      </w:r>
      <w:r w:rsidR="00DE4C42" w:rsidRPr="007E3C0F">
        <w:rPr>
          <w:lang w:val="en-GB"/>
        </w:rPr>
        <w:t xml:space="preserve">to manage their symptoms with </w:t>
      </w:r>
      <w:r w:rsidR="003D6273" w:rsidRPr="007E3C0F">
        <w:rPr>
          <w:lang w:val="en-GB"/>
        </w:rPr>
        <w:t xml:space="preserve">a drug treatment </w:t>
      </w:r>
      <w:r w:rsidR="00DE4C42" w:rsidRPr="007E3C0F">
        <w:rPr>
          <w:lang w:val="en-GB"/>
        </w:rPr>
        <w:t>than with</w:t>
      </w:r>
      <w:r w:rsidR="003D6273" w:rsidRPr="007E3C0F">
        <w:rPr>
          <w:lang w:val="en-GB"/>
        </w:rPr>
        <w:t xml:space="preserve"> </w:t>
      </w:r>
      <w:r w:rsidR="00D838DD" w:rsidRPr="007E3C0F">
        <w:rPr>
          <w:lang w:val="en-GB"/>
        </w:rPr>
        <w:t xml:space="preserve">a </w:t>
      </w:r>
      <w:r w:rsidR="003D6273" w:rsidRPr="007E3C0F">
        <w:rPr>
          <w:lang w:val="en-GB"/>
        </w:rPr>
        <w:t xml:space="preserve">primary therapy such as CPAP. This could lead to </w:t>
      </w:r>
      <w:r w:rsidR="003669F4" w:rsidRPr="007E3C0F">
        <w:rPr>
          <w:lang w:val="en-GB"/>
        </w:rPr>
        <w:t xml:space="preserve">them using their </w:t>
      </w:r>
      <w:r w:rsidR="00241D28" w:rsidRPr="007E3C0F">
        <w:rPr>
          <w:lang w:val="en-GB"/>
        </w:rPr>
        <w:t>CPAP</w:t>
      </w:r>
      <w:r w:rsidR="00CD073C" w:rsidRPr="007E3C0F">
        <w:rPr>
          <w:lang w:val="en-GB"/>
        </w:rPr>
        <w:t xml:space="preserve"> less</w:t>
      </w:r>
      <w:r w:rsidR="003669F4" w:rsidRPr="007E3C0F">
        <w:rPr>
          <w:lang w:val="en-GB"/>
        </w:rPr>
        <w:t xml:space="preserve"> and therefore a reduction in </w:t>
      </w:r>
      <w:r w:rsidR="00CD073C" w:rsidRPr="007E3C0F">
        <w:rPr>
          <w:lang w:val="en-GB"/>
        </w:rPr>
        <w:t xml:space="preserve">the combined </w:t>
      </w:r>
      <w:r w:rsidR="003D6273" w:rsidRPr="007E3C0F">
        <w:rPr>
          <w:lang w:val="en-GB"/>
        </w:rPr>
        <w:t>benefits</w:t>
      </w:r>
      <w:r w:rsidR="00CD073C" w:rsidRPr="007E3C0F">
        <w:rPr>
          <w:lang w:val="en-GB"/>
        </w:rPr>
        <w:t xml:space="preserve"> with CPAP and solriamfetol</w:t>
      </w:r>
      <w:r w:rsidR="003D6273" w:rsidRPr="007E3C0F">
        <w:rPr>
          <w:lang w:val="en-GB"/>
        </w:rPr>
        <w:t xml:space="preserve">. </w:t>
      </w:r>
      <w:r w:rsidR="002C214C" w:rsidRPr="007E3C0F">
        <w:rPr>
          <w:lang w:val="en-GB"/>
        </w:rPr>
        <w:t xml:space="preserve">The company included patient </w:t>
      </w:r>
      <w:r w:rsidR="003669F4" w:rsidRPr="007E3C0F">
        <w:rPr>
          <w:lang w:val="en-GB"/>
        </w:rPr>
        <w:t xml:space="preserve">adherence </w:t>
      </w:r>
      <w:r w:rsidR="002C214C" w:rsidRPr="007E3C0F">
        <w:rPr>
          <w:lang w:val="en-GB"/>
        </w:rPr>
        <w:t xml:space="preserve">to a primary </w:t>
      </w:r>
      <w:r w:rsidR="00D16017" w:rsidRPr="007E3C0F">
        <w:rPr>
          <w:lang w:val="en-GB"/>
        </w:rPr>
        <w:t>obstructive sleep apnoea</w:t>
      </w:r>
      <w:r w:rsidR="002C214C" w:rsidRPr="007E3C0F">
        <w:rPr>
          <w:lang w:val="en-GB"/>
        </w:rPr>
        <w:t xml:space="preserve"> therapy </w:t>
      </w:r>
      <w:r w:rsidR="003669F4" w:rsidRPr="007E3C0F">
        <w:rPr>
          <w:lang w:val="en-GB"/>
        </w:rPr>
        <w:t>in</w:t>
      </w:r>
      <w:r w:rsidR="002C214C" w:rsidRPr="007E3C0F">
        <w:rPr>
          <w:lang w:val="en-GB"/>
        </w:rPr>
        <w:t xml:space="preserve"> its </w:t>
      </w:r>
      <w:r w:rsidR="00C76303" w:rsidRPr="007E3C0F">
        <w:rPr>
          <w:lang w:val="en-GB"/>
        </w:rPr>
        <w:t>3</w:t>
      </w:r>
      <w:r w:rsidR="002C214C" w:rsidRPr="007E3C0F">
        <w:rPr>
          <w:lang w:val="en-GB"/>
        </w:rPr>
        <w:t xml:space="preserve"> trials</w:t>
      </w:r>
      <w:r w:rsidR="00C76303" w:rsidRPr="007E3C0F">
        <w:rPr>
          <w:lang w:val="en-GB"/>
        </w:rPr>
        <w:t xml:space="preserve"> as an exploratory end</w:t>
      </w:r>
      <w:r w:rsidR="00373C13" w:rsidRPr="007E3C0F">
        <w:rPr>
          <w:lang w:val="en-GB"/>
        </w:rPr>
        <w:t xml:space="preserve"> point</w:t>
      </w:r>
      <w:r w:rsidR="003669F4" w:rsidRPr="007E3C0F">
        <w:rPr>
          <w:lang w:val="en-GB"/>
        </w:rPr>
        <w:t>. It also</w:t>
      </w:r>
      <w:r w:rsidRPr="007E3C0F">
        <w:rPr>
          <w:lang w:val="en-GB"/>
        </w:rPr>
        <w:t xml:space="preserve"> provided </w:t>
      </w:r>
      <w:r w:rsidR="00956DA8" w:rsidRPr="007E3C0F">
        <w:rPr>
          <w:lang w:val="en-GB"/>
        </w:rPr>
        <w:t>results from a peer</w:t>
      </w:r>
      <w:r w:rsidR="003669F4" w:rsidRPr="007E3C0F">
        <w:rPr>
          <w:lang w:val="en-GB"/>
        </w:rPr>
        <w:t>-</w:t>
      </w:r>
      <w:r w:rsidR="00956DA8" w:rsidRPr="007E3C0F">
        <w:rPr>
          <w:lang w:val="en-GB"/>
        </w:rPr>
        <w:t xml:space="preserve">reviewed </w:t>
      </w:r>
      <w:r w:rsidR="003669F4" w:rsidRPr="007E3C0F">
        <w:rPr>
          <w:lang w:val="en-GB"/>
        </w:rPr>
        <w:t>paper</w:t>
      </w:r>
      <w:r w:rsidR="00956DA8" w:rsidRPr="007E3C0F">
        <w:rPr>
          <w:lang w:val="en-GB"/>
        </w:rPr>
        <w:t xml:space="preserve"> by Schweitzer et al</w:t>
      </w:r>
      <w:r w:rsidR="003669F4" w:rsidRPr="007E3C0F">
        <w:rPr>
          <w:lang w:val="en-GB"/>
        </w:rPr>
        <w:t>.</w:t>
      </w:r>
      <w:r w:rsidR="00956DA8" w:rsidRPr="007E3C0F">
        <w:rPr>
          <w:lang w:val="en-GB"/>
        </w:rPr>
        <w:t xml:space="preserve"> (</w:t>
      </w:r>
      <w:r w:rsidR="00F7373D" w:rsidRPr="007E3C0F">
        <w:rPr>
          <w:lang w:val="en-GB"/>
        </w:rPr>
        <w:t>2020</w:t>
      </w:r>
      <w:r w:rsidR="00956DA8" w:rsidRPr="007E3C0F">
        <w:rPr>
          <w:lang w:val="en-GB"/>
        </w:rPr>
        <w:t>)</w:t>
      </w:r>
      <w:r w:rsidR="00CB255E" w:rsidRPr="007E3C0F">
        <w:rPr>
          <w:lang w:val="en-GB"/>
        </w:rPr>
        <w:t>,</w:t>
      </w:r>
      <w:r w:rsidR="00901E31" w:rsidRPr="007E3C0F">
        <w:rPr>
          <w:lang w:val="en-GB"/>
        </w:rPr>
        <w:t xml:space="preserve"> which showed no effect on </w:t>
      </w:r>
      <w:r w:rsidR="003669F4" w:rsidRPr="007E3C0F">
        <w:rPr>
          <w:lang w:val="en-GB"/>
        </w:rPr>
        <w:t xml:space="preserve">adherence </w:t>
      </w:r>
      <w:r w:rsidR="00AE7E8D" w:rsidRPr="007E3C0F">
        <w:rPr>
          <w:lang w:val="en-GB"/>
        </w:rPr>
        <w:t>across the 3 trials</w:t>
      </w:r>
      <w:r w:rsidR="00203FF7" w:rsidRPr="007E3C0F">
        <w:rPr>
          <w:lang w:val="en-GB"/>
        </w:rPr>
        <w:t xml:space="preserve"> from baseline up to </w:t>
      </w:r>
      <w:r w:rsidR="0017396F" w:rsidRPr="007E3C0F">
        <w:rPr>
          <w:lang w:val="en-GB"/>
        </w:rPr>
        <w:t>week </w:t>
      </w:r>
      <w:r w:rsidR="00203FF7" w:rsidRPr="007E3C0F">
        <w:rPr>
          <w:lang w:val="en-GB"/>
        </w:rPr>
        <w:t>40</w:t>
      </w:r>
      <w:r w:rsidR="00F2256F" w:rsidRPr="007E3C0F">
        <w:rPr>
          <w:lang w:val="en-GB"/>
        </w:rPr>
        <w:t xml:space="preserve">. </w:t>
      </w:r>
      <w:r w:rsidR="008374E2" w:rsidRPr="007E3C0F">
        <w:rPr>
          <w:lang w:val="en-GB"/>
        </w:rPr>
        <w:t xml:space="preserve">The ERG noted that </w:t>
      </w:r>
      <w:r w:rsidR="009641C7" w:rsidRPr="007E3C0F">
        <w:rPr>
          <w:lang w:val="en-GB"/>
        </w:rPr>
        <w:t xml:space="preserve">the </w:t>
      </w:r>
      <w:r w:rsidR="00343DB6" w:rsidRPr="007E3C0F">
        <w:rPr>
          <w:lang w:val="en-GB"/>
        </w:rPr>
        <w:t xml:space="preserve">results of these analyses </w:t>
      </w:r>
      <w:r w:rsidR="00F93E1D" w:rsidRPr="007E3C0F">
        <w:rPr>
          <w:lang w:val="en-GB"/>
        </w:rPr>
        <w:t xml:space="preserve">were highly uncertain </w:t>
      </w:r>
      <w:r w:rsidR="009641C7" w:rsidRPr="007E3C0F">
        <w:rPr>
          <w:lang w:val="en-GB"/>
        </w:rPr>
        <w:t>because of</w:t>
      </w:r>
      <w:r w:rsidR="00F93E1D" w:rsidRPr="007E3C0F">
        <w:rPr>
          <w:lang w:val="en-GB"/>
        </w:rPr>
        <w:t xml:space="preserve"> missing data and poor reporting</w:t>
      </w:r>
      <w:r w:rsidR="00B24F12" w:rsidRPr="007E3C0F">
        <w:rPr>
          <w:lang w:val="en-GB"/>
        </w:rPr>
        <w:t xml:space="preserve">. </w:t>
      </w:r>
      <w:r w:rsidR="009641C7" w:rsidRPr="007E3C0F">
        <w:rPr>
          <w:lang w:val="en-GB"/>
        </w:rPr>
        <w:t>It said</w:t>
      </w:r>
      <w:r w:rsidR="00B24F12" w:rsidRPr="007E3C0F">
        <w:rPr>
          <w:lang w:val="en-GB"/>
        </w:rPr>
        <w:t xml:space="preserve"> that the estimates were not reported separately for </w:t>
      </w:r>
      <w:r w:rsidR="00286D89" w:rsidRPr="007E3C0F">
        <w:rPr>
          <w:lang w:val="en-GB"/>
        </w:rPr>
        <w:t xml:space="preserve">people </w:t>
      </w:r>
      <w:r w:rsidR="00B24F12" w:rsidRPr="007E3C0F">
        <w:rPr>
          <w:lang w:val="en-GB"/>
        </w:rPr>
        <w:t xml:space="preserve">classified as </w:t>
      </w:r>
      <w:r w:rsidR="009641C7" w:rsidRPr="007E3C0F">
        <w:rPr>
          <w:lang w:val="en-GB"/>
        </w:rPr>
        <w:t>‘</w:t>
      </w:r>
      <w:r w:rsidR="00B24F12" w:rsidRPr="007E3C0F">
        <w:rPr>
          <w:lang w:val="en-GB"/>
        </w:rPr>
        <w:t>compliant</w:t>
      </w:r>
      <w:r w:rsidR="009641C7" w:rsidRPr="007E3C0F">
        <w:rPr>
          <w:lang w:val="en-GB"/>
        </w:rPr>
        <w:t>’</w:t>
      </w:r>
      <w:r w:rsidR="00BA730E" w:rsidRPr="007E3C0F">
        <w:rPr>
          <w:lang w:val="en-GB"/>
        </w:rPr>
        <w:t xml:space="preserve"> (adherent)</w:t>
      </w:r>
      <w:r w:rsidR="00B24F12" w:rsidRPr="007E3C0F">
        <w:rPr>
          <w:lang w:val="en-GB"/>
        </w:rPr>
        <w:t xml:space="preserve"> or </w:t>
      </w:r>
      <w:r w:rsidR="009641C7" w:rsidRPr="007E3C0F">
        <w:rPr>
          <w:lang w:val="en-GB"/>
        </w:rPr>
        <w:t>‘</w:t>
      </w:r>
      <w:r w:rsidR="00B24F12" w:rsidRPr="007E3C0F">
        <w:rPr>
          <w:lang w:val="en-GB"/>
        </w:rPr>
        <w:t>non-compliant</w:t>
      </w:r>
      <w:r w:rsidR="009641C7" w:rsidRPr="007E3C0F">
        <w:rPr>
          <w:lang w:val="en-GB"/>
        </w:rPr>
        <w:t>’</w:t>
      </w:r>
      <w:r w:rsidR="00B24F12" w:rsidRPr="007E3C0F">
        <w:rPr>
          <w:lang w:val="en-GB"/>
        </w:rPr>
        <w:t xml:space="preserve"> at baseline</w:t>
      </w:r>
      <w:r w:rsidR="00203FF7" w:rsidRPr="007E3C0F">
        <w:rPr>
          <w:lang w:val="en-GB"/>
        </w:rPr>
        <w:t xml:space="preserve">. </w:t>
      </w:r>
      <w:r w:rsidR="00AE7E8D" w:rsidRPr="007E3C0F">
        <w:rPr>
          <w:lang w:val="en-GB"/>
        </w:rPr>
        <w:t>The clinical experts</w:t>
      </w:r>
      <w:r w:rsidR="00A6300F" w:rsidRPr="007E3C0F">
        <w:rPr>
          <w:lang w:val="en-GB"/>
        </w:rPr>
        <w:t xml:space="preserve"> said</w:t>
      </w:r>
      <w:r w:rsidR="00AE7E8D" w:rsidRPr="007E3C0F">
        <w:rPr>
          <w:lang w:val="en-GB"/>
        </w:rPr>
        <w:t xml:space="preserve"> that in </w:t>
      </w:r>
      <w:r w:rsidR="00A6300F" w:rsidRPr="007E3C0F">
        <w:rPr>
          <w:lang w:val="en-GB"/>
        </w:rPr>
        <w:t>most</w:t>
      </w:r>
      <w:r w:rsidR="00AE7E8D" w:rsidRPr="007E3C0F">
        <w:rPr>
          <w:lang w:val="en-GB"/>
        </w:rPr>
        <w:t xml:space="preserve"> sleep clinics </w:t>
      </w:r>
      <w:r w:rsidR="0080014B" w:rsidRPr="007E3C0F">
        <w:rPr>
          <w:lang w:val="en-GB"/>
        </w:rPr>
        <w:t xml:space="preserve">CPAP machines can be </w:t>
      </w:r>
      <w:r w:rsidR="0080014B" w:rsidRPr="007E3C0F">
        <w:rPr>
          <w:lang w:val="en-GB"/>
        </w:rPr>
        <w:lastRenderedPageBreak/>
        <w:t xml:space="preserve">monitored </w:t>
      </w:r>
      <w:r w:rsidR="00E6052C" w:rsidRPr="007E3C0F">
        <w:rPr>
          <w:lang w:val="en-GB"/>
        </w:rPr>
        <w:t>remotely</w:t>
      </w:r>
      <w:r w:rsidR="008A6BC8" w:rsidRPr="007E3C0F">
        <w:rPr>
          <w:lang w:val="en-GB"/>
        </w:rPr>
        <w:t xml:space="preserve"> and</w:t>
      </w:r>
      <w:r w:rsidR="00EF6CDF" w:rsidRPr="007E3C0F">
        <w:rPr>
          <w:lang w:val="en-GB"/>
        </w:rPr>
        <w:t xml:space="preserve"> that</w:t>
      </w:r>
      <w:r w:rsidR="00E6052C" w:rsidRPr="007E3C0F">
        <w:rPr>
          <w:lang w:val="en-GB"/>
        </w:rPr>
        <w:t xml:space="preserve"> </w:t>
      </w:r>
      <w:r w:rsidR="00EF6CDF" w:rsidRPr="007E3C0F">
        <w:rPr>
          <w:lang w:val="en-GB"/>
        </w:rPr>
        <w:t>some people,</w:t>
      </w:r>
      <w:r w:rsidR="00E6052C" w:rsidRPr="007E3C0F">
        <w:rPr>
          <w:lang w:val="en-GB"/>
        </w:rPr>
        <w:t xml:space="preserve"> such as heavy goods vehicle drivers</w:t>
      </w:r>
      <w:r w:rsidR="00EF6CDF" w:rsidRPr="007E3C0F">
        <w:rPr>
          <w:lang w:val="en-GB"/>
        </w:rPr>
        <w:t>, have their</w:t>
      </w:r>
      <w:r w:rsidR="00E6052C" w:rsidRPr="007E3C0F">
        <w:rPr>
          <w:lang w:val="en-GB"/>
        </w:rPr>
        <w:t xml:space="preserve"> CPAP </w:t>
      </w:r>
      <w:r w:rsidR="00EF6CDF" w:rsidRPr="007E3C0F">
        <w:rPr>
          <w:lang w:val="en-GB"/>
        </w:rPr>
        <w:t>use</w:t>
      </w:r>
      <w:r w:rsidR="00E6052C" w:rsidRPr="007E3C0F">
        <w:rPr>
          <w:lang w:val="en-GB"/>
        </w:rPr>
        <w:t xml:space="preserve"> monitored</w:t>
      </w:r>
      <w:r w:rsidR="00AB1962" w:rsidRPr="007E3C0F">
        <w:rPr>
          <w:lang w:val="en-GB"/>
        </w:rPr>
        <w:t xml:space="preserve"> remotely</w:t>
      </w:r>
      <w:r w:rsidR="00E6052C" w:rsidRPr="007E3C0F">
        <w:rPr>
          <w:lang w:val="en-GB"/>
        </w:rPr>
        <w:t xml:space="preserve"> </w:t>
      </w:r>
      <w:r w:rsidR="008A6BC8" w:rsidRPr="007E3C0F">
        <w:rPr>
          <w:lang w:val="en-GB"/>
        </w:rPr>
        <w:t>regularly</w:t>
      </w:r>
      <w:r w:rsidR="00AB1962" w:rsidRPr="007E3C0F">
        <w:rPr>
          <w:lang w:val="en-GB"/>
        </w:rPr>
        <w:t>.</w:t>
      </w:r>
      <w:r w:rsidR="00CB255E" w:rsidRPr="007E3C0F">
        <w:rPr>
          <w:lang w:val="en-GB"/>
        </w:rPr>
        <w:t xml:space="preserve"> </w:t>
      </w:r>
      <w:r w:rsidR="001F4806" w:rsidRPr="007E3C0F">
        <w:rPr>
          <w:lang w:val="en-GB"/>
        </w:rPr>
        <w:t xml:space="preserve">The </w:t>
      </w:r>
      <w:r w:rsidR="004F397B" w:rsidRPr="007E3C0F">
        <w:rPr>
          <w:lang w:val="en-GB"/>
        </w:rPr>
        <w:t>clinical</w:t>
      </w:r>
      <w:r w:rsidR="001F4806" w:rsidRPr="007E3C0F">
        <w:rPr>
          <w:lang w:val="en-GB"/>
        </w:rPr>
        <w:t xml:space="preserve"> experts </w:t>
      </w:r>
      <w:r w:rsidR="00EF6CDF" w:rsidRPr="007E3C0F">
        <w:rPr>
          <w:lang w:val="en-GB"/>
        </w:rPr>
        <w:t xml:space="preserve">acknowledged that, although people having </w:t>
      </w:r>
      <w:r w:rsidR="001F4806" w:rsidRPr="007E3C0F">
        <w:rPr>
          <w:lang w:val="en-GB"/>
        </w:rPr>
        <w:t>solriamfetol alongside a primary therapy such as CPAP</w:t>
      </w:r>
      <w:r w:rsidR="006E6ADA" w:rsidRPr="007E3C0F">
        <w:rPr>
          <w:lang w:val="en-GB"/>
        </w:rPr>
        <w:t xml:space="preserve"> would have their use monitored, it</w:t>
      </w:r>
      <w:r w:rsidR="004F397B" w:rsidRPr="007E3C0F">
        <w:rPr>
          <w:lang w:val="en-GB"/>
        </w:rPr>
        <w:t xml:space="preserve"> may have to be more frequent. </w:t>
      </w:r>
      <w:r w:rsidR="00162A37" w:rsidRPr="007E3C0F">
        <w:rPr>
          <w:lang w:val="en-GB"/>
        </w:rPr>
        <w:t xml:space="preserve">The committee noted the uncertainty in the </w:t>
      </w:r>
      <w:r w:rsidR="004245D0" w:rsidRPr="007E3C0F">
        <w:rPr>
          <w:lang w:val="en-GB"/>
        </w:rPr>
        <w:t>t</w:t>
      </w:r>
      <w:r w:rsidR="00162A37" w:rsidRPr="007E3C0F">
        <w:rPr>
          <w:lang w:val="en-GB"/>
        </w:rPr>
        <w:t xml:space="preserve">rial data around </w:t>
      </w:r>
      <w:r w:rsidR="00A27E28" w:rsidRPr="007E3C0F">
        <w:rPr>
          <w:lang w:val="en-GB"/>
        </w:rPr>
        <w:t>adherence</w:t>
      </w:r>
      <w:r w:rsidR="006725C6" w:rsidRPr="007E3C0F">
        <w:rPr>
          <w:lang w:val="en-GB"/>
        </w:rPr>
        <w:t xml:space="preserve">. It </w:t>
      </w:r>
      <w:r w:rsidR="00AC37E6" w:rsidRPr="007E3C0F">
        <w:rPr>
          <w:lang w:val="en-GB"/>
        </w:rPr>
        <w:t xml:space="preserve">noted it would have </w:t>
      </w:r>
      <w:r w:rsidR="00CB255E" w:rsidRPr="007E3C0F">
        <w:rPr>
          <w:lang w:val="en-GB"/>
        </w:rPr>
        <w:t>preferred</w:t>
      </w:r>
      <w:r w:rsidR="00AC37E6" w:rsidRPr="007E3C0F">
        <w:rPr>
          <w:lang w:val="en-GB"/>
        </w:rPr>
        <w:t xml:space="preserve"> to</w:t>
      </w:r>
      <w:r w:rsidR="00A27E28" w:rsidRPr="007E3C0F">
        <w:rPr>
          <w:lang w:val="en-GB"/>
        </w:rPr>
        <w:t xml:space="preserve"> see</w:t>
      </w:r>
      <w:r w:rsidR="00AC37E6" w:rsidRPr="007E3C0F">
        <w:rPr>
          <w:lang w:val="en-GB"/>
        </w:rPr>
        <w:t xml:space="preserve"> </w:t>
      </w:r>
      <w:r w:rsidR="00427C32" w:rsidRPr="007E3C0F">
        <w:rPr>
          <w:lang w:val="en-GB"/>
        </w:rPr>
        <w:t xml:space="preserve">more </w:t>
      </w:r>
      <w:r w:rsidR="006725C6" w:rsidRPr="007E3C0F">
        <w:rPr>
          <w:lang w:val="en-GB"/>
        </w:rPr>
        <w:t>sensitivity analysis</w:t>
      </w:r>
      <w:r w:rsidR="00A27E28" w:rsidRPr="007E3C0F">
        <w:rPr>
          <w:lang w:val="en-GB"/>
        </w:rPr>
        <w:t xml:space="preserve"> of</w:t>
      </w:r>
      <w:r w:rsidR="006725C6" w:rsidRPr="007E3C0F">
        <w:rPr>
          <w:lang w:val="en-GB"/>
        </w:rPr>
        <w:t xml:space="preserve"> the impact of missing data</w:t>
      </w:r>
      <w:r w:rsidR="00DB4BA7" w:rsidRPr="007E3C0F">
        <w:rPr>
          <w:lang w:val="en-GB"/>
        </w:rPr>
        <w:t xml:space="preserve"> across the 3 trials</w:t>
      </w:r>
      <w:r w:rsidR="00A27E28" w:rsidRPr="007E3C0F">
        <w:rPr>
          <w:lang w:val="en-GB"/>
        </w:rPr>
        <w:t>,</w:t>
      </w:r>
      <w:r w:rsidR="00581DBA" w:rsidRPr="007E3C0F">
        <w:rPr>
          <w:lang w:val="en-GB"/>
        </w:rPr>
        <w:t xml:space="preserve"> and a s</w:t>
      </w:r>
      <w:r w:rsidR="006725C6" w:rsidRPr="007E3C0F">
        <w:rPr>
          <w:lang w:val="en-GB"/>
        </w:rPr>
        <w:t xml:space="preserve">ubgroup analysis stratified by </w:t>
      </w:r>
      <w:r w:rsidR="00A27E28" w:rsidRPr="007E3C0F">
        <w:rPr>
          <w:lang w:val="en-GB"/>
        </w:rPr>
        <w:t xml:space="preserve">adherence </w:t>
      </w:r>
      <w:r w:rsidR="006725C6" w:rsidRPr="007E3C0F">
        <w:rPr>
          <w:lang w:val="en-GB"/>
        </w:rPr>
        <w:t>at baseline</w:t>
      </w:r>
      <w:r w:rsidR="00360311" w:rsidRPr="007E3C0F">
        <w:rPr>
          <w:lang w:val="en-GB"/>
        </w:rPr>
        <w:t>.</w:t>
      </w:r>
      <w:r w:rsidR="00581DBA" w:rsidRPr="007E3C0F">
        <w:rPr>
          <w:lang w:val="en-GB"/>
        </w:rPr>
        <w:t xml:space="preserve"> The committee concluded that </w:t>
      </w:r>
      <w:r w:rsidR="00A27E28" w:rsidRPr="007E3C0F">
        <w:rPr>
          <w:lang w:val="en-GB"/>
        </w:rPr>
        <w:t>adherence to</w:t>
      </w:r>
      <w:r w:rsidR="00581DBA" w:rsidRPr="007E3C0F">
        <w:rPr>
          <w:lang w:val="en-GB"/>
        </w:rPr>
        <w:t xml:space="preserve"> a primary therapy</w:t>
      </w:r>
      <w:r w:rsidR="00D35E17" w:rsidRPr="007E3C0F">
        <w:rPr>
          <w:lang w:val="en-GB"/>
        </w:rPr>
        <w:t xml:space="preserve"> like CPAP</w:t>
      </w:r>
      <w:r w:rsidR="00581DBA" w:rsidRPr="007E3C0F">
        <w:rPr>
          <w:lang w:val="en-GB"/>
        </w:rPr>
        <w:t xml:space="preserve"> is unlikely to be affected by treatment with </w:t>
      </w:r>
      <w:r w:rsidR="00CB255E" w:rsidRPr="007E3C0F">
        <w:rPr>
          <w:lang w:val="en-GB"/>
        </w:rPr>
        <w:t>solriamfetol,</w:t>
      </w:r>
      <w:r w:rsidR="00581DBA" w:rsidRPr="007E3C0F">
        <w:rPr>
          <w:lang w:val="en-GB"/>
        </w:rPr>
        <w:t xml:space="preserve"> but more data are </w:t>
      </w:r>
      <w:r w:rsidR="00CB255E" w:rsidRPr="007E3C0F">
        <w:rPr>
          <w:lang w:val="en-GB"/>
        </w:rPr>
        <w:t>needed.</w:t>
      </w:r>
    </w:p>
    <w:p w14:paraId="4539591C" w14:textId="77777777" w:rsidR="008D7856" w:rsidRPr="007E3C0F" w:rsidRDefault="008D7856" w:rsidP="008D7856">
      <w:pPr>
        <w:pStyle w:val="Heading2"/>
      </w:pPr>
      <w:r w:rsidRPr="007E3C0F">
        <w:t>The economic model</w:t>
      </w:r>
    </w:p>
    <w:p w14:paraId="75D70299" w14:textId="772A8FFC" w:rsidR="00C732DC" w:rsidRPr="007E3C0F" w:rsidRDefault="00214B96" w:rsidP="00581DBA">
      <w:pPr>
        <w:pStyle w:val="Heading3"/>
      </w:pPr>
      <w:bookmarkStart w:id="0" w:name="_Hlk65056429"/>
      <w:r w:rsidRPr="007E3C0F">
        <w:t>More e</w:t>
      </w:r>
      <w:r w:rsidR="00C5291A" w:rsidRPr="007E3C0F">
        <w:t xml:space="preserve">vidence </w:t>
      </w:r>
      <w:r w:rsidRPr="007E3C0F">
        <w:t xml:space="preserve">is </w:t>
      </w:r>
      <w:r w:rsidR="00FD5D4B" w:rsidRPr="007E3C0F">
        <w:t xml:space="preserve">needed </w:t>
      </w:r>
      <w:r w:rsidRPr="007E3C0F">
        <w:t>to establish the clinical and cost</w:t>
      </w:r>
      <w:r w:rsidR="003356FC" w:rsidRPr="007E3C0F">
        <w:t>-</w:t>
      </w:r>
      <w:r w:rsidRPr="007E3C0F">
        <w:t xml:space="preserve">effectiveness evidence of solriamfetol without standard </w:t>
      </w:r>
      <w:proofErr w:type="gramStart"/>
      <w:r w:rsidRPr="007E3C0F">
        <w:t>care</w:t>
      </w:r>
      <w:proofErr w:type="gramEnd"/>
      <w:r w:rsidR="00C5291A" w:rsidRPr="007E3C0F">
        <w:t xml:space="preserve"> </w:t>
      </w:r>
    </w:p>
    <w:p w14:paraId="121546D6" w14:textId="3A714E87" w:rsidR="001E0628" w:rsidRPr="007E3C0F" w:rsidRDefault="00C732DC" w:rsidP="00C732DC">
      <w:pPr>
        <w:pStyle w:val="Numberedlevel2text"/>
        <w:rPr>
          <w:lang w:val="en-GB"/>
        </w:rPr>
      </w:pPr>
      <w:r w:rsidRPr="007E3C0F">
        <w:rPr>
          <w:lang w:val="en-GB"/>
        </w:rPr>
        <w:t xml:space="preserve">The </w:t>
      </w:r>
      <w:r w:rsidR="0017396F" w:rsidRPr="007E3C0F">
        <w:rPr>
          <w:lang w:val="en-GB"/>
        </w:rPr>
        <w:t>TONES 3</w:t>
      </w:r>
      <w:r w:rsidR="001E00A6" w:rsidRPr="007E3C0F">
        <w:rPr>
          <w:lang w:val="en-GB"/>
        </w:rPr>
        <w:t xml:space="preserve"> </w:t>
      </w:r>
      <w:r w:rsidRPr="007E3C0F">
        <w:rPr>
          <w:lang w:val="en-GB"/>
        </w:rPr>
        <w:t xml:space="preserve">trial included </w:t>
      </w:r>
      <w:r w:rsidR="007B4DCF" w:rsidRPr="007E3C0F">
        <w:rPr>
          <w:lang w:val="en-GB"/>
        </w:rPr>
        <w:t xml:space="preserve">people </w:t>
      </w:r>
      <w:r w:rsidRPr="007E3C0F">
        <w:rPr>
          <w:lang w:val="en-GB"/>
        </w:rPr>
        <w:t xml:space="preserve">who </w:t>
      </w:r>
      <w:r w:rsidR="007B4DCF" w:rsidRPr="007E3C0F">
        <w:rPr>
          <w:lang w:val="en-GB"/>
        </w:rPr>
        <w:t>adhered</w:t>
      </w:r>
      <w:r w:rsidR="008A4864" w:rsidRPr="007E3C0F">
        <w:rPr>
          <w:lang w:val="en-GB"/>
        </w:rPr>
        <w:t xml:space="preserve"> </w:t>
      </w:r>
      <w:r w:rsidRPr="007E3C0F">
        <w:rPr>
          <w:lang w:val="en-GB"/>
        </w:rPr>
        <w:t xml:space="preserve">to a primary </w:t>
      </w:r>
      <w:r w:rsidR="00D16017" w:rsidRPr="007E3C0F">
        <w:rPr>
          <w:lang w:val="en-GB"/>
        </w:rPr>
        <w:t>obstructive sleep apnoea</w:t>
      </w:r>
      <w:r w:rsidRPr="007E3C0F">
        <w:rPr>
          <w:lang w:val="en-GB"/>
        </w:rPr>
        <w:t xml:space="preserve"> therapy</w:t>
      </w:r>
      <w:r w:rsidR="007B4DCF" w:rsidRPr="007E3C0F">
        <w:rPr>
          <w:lang w:val="en-GB"/>
        </w:rPr>
        <w:t xml:space="preserve"> </w:t>
      </w:r>
      <w:r w:rsidR="00214B96" w:rsidRPr="007E3C0F">
        <w:rPr>
          <w:lang w:val="en-GB"/>
        </w:rPr>
        <w:t xml:space="preserve">(standard care) </w:t>
      </w:r>
      <w:r w:rsidR="007B4DCF" w:rsidRPr="007E3C0F">
        <w:rPr>
          <w:lang w:val="en-GB"/>
        </w:rPr>
        <w:t>and people who did not</w:t>
      </w:r>
      <w:r w:rsidR="008C75F3" w:rsidRPr="007E3C0F">
        <w:rPr>
          <w:lang w:val="en-GB"/>
        </w:rPr>
        <w:t xml:space="preserve"> (see </w:t>
      </w:r>
      <w:r w:rsidR="0017396F" w:rsidRPr="007E3C0F">
        <w:rPr>
          <w:lang w:val="en-GB"/>
        </w:rPr>
        <w:t>section </w:t>
      </w:r>
      <w:r w:rsidR="008C75F3" w:rsidRPr="007E3C0F">
        <w:rPr>
          <w:lang w:val="en-GB"/>
        </w:rPr>
        <w:t>3.</w:t>
      </w:r>
      <w:r w:rsidR="00AB10A3">
        <w:rPr>
          <w:lang w:val="en-GB"/>
        </w:rPr>
        <w:t>6</w:t>
      </w:r>
      <w:r w:rsidR="008A4864" w:rsidRPr="007E3C0F">
        <w:rPr>
          <w:lang w:val="en-GB"/>
        </w:rPr>
        <w:t xml:space="preserve">. </w:t>
      </w:r>
      <w:r w:rsidR="00A743C3" w:rsidRPr="007E3C0F">
        <w:rPr>
          <w:lang w:val="en-GB"/>
        </w:rPr>
        <w:t>The</w:t>
      </w:r>
      <w:r w:rsidR="006F4429" w:rsidRPr="007E3C0F">
        <w:rPr>
          <w:lang w:val="en-GB"/>
        </w:rPr>
        <w:t xml:space="preserve"> company’s economic </w:t>
      </w:r>
      <w:r w:rsidR="00CB255E" w:rsidRPr="007E3C0F">
        <w:rPr>
          <w:lang w:val="en-GB"/>
        </w:rPr>
        <w:t>model</w:t>
      </w:r>
      <w:r w:rsidR="002630BD" w:rsidRPr="007E3C0F">
        <w:rPr>
          <w:lang w:val="en-GB"/>
        </w:rPr>
        <w:t xml:space="preserve"> assumed that</w:t>
      </w:r>
      <w:r w:rsidR="00A503EB" w:rsidRPr="007E3C0F">
        <w:rPr>
          <w:lang w:val="en-GB"/>
        </w:rPr>
        <w:t xml:space="preserve"> everyone</w:t>
      </w:r>
      <w:r w:rsidR="002630BD" w:rsidRPr="007E3C0F">
        <w:rPr>
          <w:lang w:val="en-GB"/>
        </w:rPr>
        <w:t xml:space="preserve"> enter</w:t>
      </w:r>
      <w:r w:rsidR="00B95181" w:rsidRPr="007E3C0F">
        <w:rPr>
          <w:lang w:val="en-GB"/>
        </w:rPr>
        <w:t>ing the</w:t>
      </w:r>
      <w:r w:rsidR="002630BD" w:rsidRPr="007E3C0F">
        <w:rPr>
          <w:lang w:val="en-GB"/>
        </w:rPr>
        <w:t xml:space="preserve"> model</w:t>
      </w:r>
      <w:r w:rsidR="00A743C3" w:rsidRPr="007E3C0F">
        <w:rPr>
          <w:lang w:val="en-GB"/>
        </w:rPr>
        <w:t xml:space="preserve"> </w:t>
      </w:r>
      <w:r w:rsidR="00125FF5" w:rsidRPr="007E3C0F">
        <w:rPr>
          <w:lang w:val="en-GB"/>
        </w:rPr>
        <w:t xml:space="preserve">had </w:t>
      </w:r>
      <w:r w:rsidR="0005281A" w:rsidRPr="007E3C0F">
        <w:rPr>
          <w:lang w:val="en-GB"/>
        </w:rPr>
        <w:t>solriamfetol</w:t>
      </w:r>
      <w:r w:rsidR="00125FF5" w:rsidRPr="007E3C0F">
        <w:rPr>
          <w:lang w:val="en-GB"/>
        </w:rPr>
        <w:t xml:space="preserve"> with standard care</w:t>
      </w:r>
      <w:r w:rsidR="00427C32" w:rsidRPr="007E3C0F">
        <w:rPr>
          <w:lang w:val="en-GB"/>
        </w:rPr>
        <w:t xml:space="preserve"> (</w:t>
      </w:r>
      <w:r w:rsidR="00C87D14" w:rsidRPr="007E3C0F">
        <w:rPr>
          <w:lang w:val="en-GB"/>
        </w:rPr>
        <w:t>for example</w:t>
      </w:r>
      <w:r w:rsidR="00427C32" w:rsidRPr="007E3C0F">
        <w:rPr>
          <w:lang w:val="en-GB"/>
        </w:rPr>
        <w:t xml:space="preserve"> CPAP)</w:t>
      </w:r>
      <w:r w:rsidR="0005281A" w:rsidRPr="007E3C0F">
        <w:rPr>
          <w:lang w:val="en-GB"/>
        </w:rPr>
        <w:t xml:space="preserve"> or </w:t>
      </w:r>
      <w:r w:rsidR="00C87D14" w:rsidRPr="007E3C0F">
        <w:rPr>
          <w:lang w:val="en-GB"/>
        </w:rPr>
        <w:t xml:space="preserve">placebo with </w:t>
      </w:r>
      <w:r w:rsidR="00125FF5" w:rsidRPr="007E3C0F">
        <w:rPr>
          <w:lang w:val="en-GB"/>
        </w:rPr>
        <w:t>standard care</w:t>
      </w:r>
      <w:r w:rsidR="0005281A" w:rsidRPr="007E3C0F">
        <w:rPr>
          <w:lang w:val="en-GB"/>
        </w:rPr>
        <w:t xml:space="preserve">. </w:t>
      </w:r>
      <w:r w:rsidR="00C87D14" w:rsidRPr="007E3C0F">
        <w:rPr>
          <w:lang w:val="en-GB"/>
        </w:rPr>
        <w:t>It</w:t>
      </w:r>
      <w:r w:rsidR="0005281A" w:rsidRPr="007E3C0F">
        <w:rPr>
          <w:lang w:val="en-GB"/>
        </w:rPr>
        <w:t xml:space="preserve"> presented a</w:t>
      </w:r>
      <w:r w:rsidR="00BA324C" w:rsidRPr="007E3C0F">
        <w:rPr>
          <w:lang w:val="en-GB"/>
        </w:rPr>
        <w:t xml:space="preserve"> cost</w:t>
      </w:r>
      <w:r w:rsidR="00FC60A4">
        <w:rPr>
          <w:lang w:val="en-GB"/>
        </w:rPr>
        <w:t xml:space="preserve"> </w:t>
      </w:r>
      <w:r w:rsidR="00BA324C" w:rsidRPr="007E3C0F">
        <w:rPr>
          <w:lang w:val="en-GB"/>
        </w:rPr>
        <w:t>effectiveness</w:t>
      </w:r>
      <w:r w:rsidR="0005281A" w:rsidRPr="007E3C0F">
        <w:rPr>
          <w:lang w:val="en-GB"/>
        </w:rPr>
        <w:t xml:space="preserve"> scenario analys</w:t>
      </w:r>
      <w:r w:rsidR="00B95181" w:rsidRPr="007E3C0F">
        <w:rPr>
          <w:lang w:val="en-GB"/>
        </w:rPr>
        <w:t>i</w:t>
      </w:r>
      <w:r w:rsidR="0005281A" w:rsidRPr="007E3C0F">
        <w:rPr>
          <w:lang w:val="en-GB"/>
        </w:rPr>
        <w:t xml:space="preserve">s </w:t>
      </w:r>
      <w:r w:rsidR="00B95181" w:rsidRPr="007E3C0F">
        <w:rPr>
          <w:lang w:val="en-GB"/>
        </w:rPr>
        <w:t>that</w:t>
      </w:r>
      <w:r w:rsidR="00523840" w:rsidRPr="007E3C0F">
        <w:rPr>
          <w:lang w:val="en-GB"/>
        </w:rPr>
        <w:t xml:space="preserve"> included </w:t>
      </w:r>
      <w:r w:rsidR="00A503EB" w:rsidRPr="007E3C0F">
        <w:rPr>
          <w:lang w:val="en-GB"/>
        </w:rPr>
        <w:t>people</w:t>
      </w:r>
      <w:r w:rsidR="00523840" w:rsidRPr="007E3C0F">
        <w:rPr>
          <w:lang w:val="en-GB"/>
        </w:rPr>
        <w:t xml:space="preserve"> from </w:t>
      </w:r>
      <w:r w:rsidR="0017396F" w:rsidRPr="007E3C0F">
        <w:rPr>
          <w:lang w:val="en-GB"/>
        </w:rPr>
        <w:t>TONES 3</w:t>
      </w:r>
      <w:r w:rsidR="00523840" w:rsidRPr="007E3C0F">
        <w:rPr>
          <w:lang w:val="en-GB"/>
        </w:rPr>
        <w:t xml:space="preserve"> who</w:t>
      </w:r>
      <w:r w:rsidR="00B95181" w:rsidRPr="007E3C0F">
        <w:rPr>
          <w:lang w:val="en-GB"/>
        </w:rPr>
        <w:t xml:space="preserve"> did not adhere to</w:t>
      </w:r>
      <w:r w:rsidR="00523840" w:rsidRPr="007E3C0F">
        <w:rPr>
          <w:lang w:val="en-GB"/>
        </w:rPr>
        <w:t xml:space="preserve"> </w:t>
      </w:r>
      <w:r w:rsidR="00214B96" w:rsidRPr="007E3C0F">
        <w:rPr>
          <w:lang w:val="en-GB"/>
        </w:rPr>
        <w:t>standard care</w:t>
      </w:r>
      <w:r w:rsidR="00523840" w:rsidRPr="007E3C0F">
        <w:rPr>
          <w:lang w:val="en-GB"/>
        </w:rPr>
        <w:t>.</w:t>
      </w:r>
      <w:r w:rsidR="00E2522C" w:rsidRPr="007E3C0F">
        <w:rPr>
          <w:lang w:val="en-GB"/>
        </w:rPr>
        <w:t xml:space="preserve"> </w:t>
      </w:r>
      <w:r w:rsidR="00C87D14" w:rsidRPr="007E3C0F">
        <w:rPr>
          <w:lang w:val="en-GB"/>
        </w:rPr>
        <w:t xml:space="preserve">The company defined this as only </w:t>
      </w:r>
      <w:r w:rsidR="00E2522C" w:rsidRPr="007E3C0F">
        <w:rPr>
          <w:lang w:val="en-GB"/>
        </w:rPr>
        <w:t xml:space="preserve">using CPAP </w:t>
      </w:r>
      <w:r w:rsidR="00C87D14" w:rsidRPr="007E3C0F">
        <w:rPr>
          <w:lang w:val="en-GB"/>
        </w:rPr>
        <w:t>a little or not using a</w:t>
      </w:r>
      <w:r w:rsidR="00E2522C" w:rsidRPr="007E3C0F">
        <w:rPr>
          <w:lang w:val="en-GB"/>
        </w:rPr>
        <w:t xml:space="preserve"> device at all</w:t>
      </w:r>
      <w:r w:rsidR="00C87D14" w:rsidRPr="007E3C0F">
        <w:rPr>
          <w:lang w:val="en-GB"/>
        </w:rPr>
        <w:t xml:space="preserve">. Also defined as non-adherent were people who had </w:t>
      </w:r>
      <w:r w:rsidR="00E2522C" w:rsidRPr="007E3C0F">
        <w:rPr>
          <w:lang w:val="en-GB"/>
        </w:rPr>
        <w:t xml:space="preserve">a surgical intervention </w:t>
      </w:r>
      <w:r w:rsidR="00C87D14" w:rsidRPr="007E3C0F">
        <w:rPr>
          <w:lang w:val="en-GB"/>
        </w:rPr>
        <w:t xml:space="preserve">that was </w:t>
      </w:r>
      <w:r w:rsidR="00E2522C" w:rsidRPr="007E3C0F">
        <w:rPr>
          <w:lang w:val="en-GB"/>
        </w:rPr>
        <w:t>no longer effective</w:t>
      </w:r>
      <w:r w:rsidR="00C87D14" w:rsidRPr="007E3C0F">
        <w:rPr>
          <w:lang w:val="en-GB"/>
        </w:rPr>
        <w:t xml:space="preserve"> and who were not using</w:t>
      </w:r>
      <w:r w:rsidR="00E2522C" w:rsidRPr="007E3C0F">
        <w:rPr>
          <w:lang w:val="en-GB"/>
        </w:rPr>
        <w:t xml:space="preserve"> CPAP. </w:t>
      </w:r>
      <w:r w:rsidR="000B5550" w:rsidRPr="007E3C0F">
        <w:rPr>
          <w:lang w:val="en-GB"/>
        </w:rPr>
        <w:t xml:space="preserve">The ERG noted that the baseline ESS </w:t>
      </w:r>
      <w:r w:rsidR="00AF1429" w:rsidRPr="007E3C0F">
        <w:rPr>
          <w:lang w:val="en-GB"/>
        </w:rPr>
        <w:t xml:space="preserve">score </w:t>
      </w:r>
      <w:r w:rsidR="000B5550" w:rsidRPr="007E3C0F">
        <w:rPr>
          <w:lang w:val="en-GB"/>
        </w:rPr>
        <w:t xml:space="preserve">was </w:t>
      </w:r>
      <w:r w:rsidR="00FA093A" w:rsidRPr="007E3C0F">
        <w:rPr>
          <w:lang w:val="en-GB"/>
        </w:rPr>
        <w:t xml:space="preserve">worse </w:t>
      </w:r>
      <w:r w:rsidR="006D2B0D" w:rsidRPr="007E3C0F">
        <w:rPr>
          <w:lang w:val="en-GB"/>
        </w:rPr>
        <w:t xml:space="preserve">for the non-adherent </w:t>
      </w:r>
      <w:r w:rsidR="00FA093A" w:rsidRPr="007E3C0F">
        <w:rPr>
          <w:lang w:val="en-GB"/>
        </w:rPr>
        <w:t xml:space="preserve">than </w:t>
      </w:r>
      <w:r w:rsidR="00AF1429" w:rsidRPr="007E3C0F">
        <w:rPr>
          <w:lang w:val="en-GB"/>
        </w:rPr>
        <w:t xml:space="preserve">the </w:t>
      </w:r>
      <w:r w:rsidR="006D2B0D" w:rsidRPr="007E3C0F">
        <w:rPr>
          <w:lang w:val="en-GB"/>
        </w:rPr>
        <w:t xml:space="preserve">adherent </w:t>
      </w:r>
      <w:r w:rsidR="00AF1429" w:rsidRPr="007E3C0F">
        <w:rPr>
          <w:lang w:val="en-GB"/>
        </w:rPr>
        <w:t>group</w:t>
      </w:r>
      <w:r w:rsidR="006D2B0D" w:rsidRPr="007E3C0F">
        <w:rPr>
          <w:lang w:val="en-GB"/>
        </w:rPr>
        <w:t>. This meant that</w:t>
      </w:r>
      <w:r w:rsidR="00245F24" w:rsidRPr="007E3C0F">
        <w:rPr>
          <w:lang w:val="en-GB"/>
        </w:rPr>
        <w:t xml:space="preserve"> </w:t>
      </w:r>
      <w:r w:rsidR="006D2B0D" w:rsidRPr="007E3C0F">
        <w:rPr>
          <w:lang w:val="en-GB"/>
        </w:rPr>
        <w:t xml:space="preserve">the </w:t>
      </w:r>
      <w:r w:rsidR="00245F24" w:rsidRPr="007E3C0F">
        <w:rPr>
          <w:lang w:val="en-GB"/>
        </w:rPr>
        <w:t xml:space="preserve">improvement in ESS </w:t>
      </w:r>
      <w:r w:rsidR="006D2B0D" w:rsidRPr="007E3C0F">
        <w:rPr>
          <w:lang w:val="en-GB"/>
        </w:rPr>
        <w:t>because of</w:t>
      </w:r>
      <w:r w:rsidR="00245F24" w:rsidRPr="007E3C0F">
        <w:rPr>
          <w:lang w:val="en-GB"/>
        </w:rPr>
        <w:t xml:space="preserve"> solriamfetol</w:t>
      </w:r>
      <w:r w:rsidR="006D2B0D" w:rsidRPr="007E3C0F">
        <w:rPr>
          <w:lang w:val="en-GB"/>
        </w:rPr>
        <w:t xml:space="preserve"> treatment</w:t>
      </w:r>
      <w:r w:rsidR="00245F24" w:rsidRPr="007E3C0F">
        <w:rPr>
          <w:lang w:val="en-GB"/>
        </w:rPr>
        <w:t xml:space="preserve"> was greater</w:t>
      </w:r>
      <w:r w:rsidR="006D2B0D" w:rsidRPr="007E3C0F">
        <w:rPr>
          <w:lang w:val="en-GB"/>
        </w:rPr>
        <w:t>, resulting</w:t>
      </w:r>
      <w:r w:rsidR="00245F24" w:rsidRPr="007E3C0F">
        <w:rPr>
          <w:lang w:val="en-GB"/>
        </w:rPr>
        <w:t xml:space="preserve"> in a </w:t>
      </w:r>
      <w:r w:rsidR="006D2B0D" w:rsidRPr="007E3C0F">
        <w:rPr>
          <w:lang w:val="en-GB"/>
        </w:rPr>
        <w:t xml:space="preserve">smaller </w:t>
      </w:r>
      <w:r w:rsidR="00245F24" w:rsidRPr="007E3C0F">
        <w:rPr>
          <w:lang w:val="en-GB"/>
        </w:rPr>
        <w:t>incremental cost-effectiveness ratio (ICER)</w:t>
      </w:r>
      <w:r w:rsidR="00FA093A" w:rsidRPr="007E3C0F">
        <w:rPr>
          <w:lang w:val="en-GB"/>
        </w:rPr>
        <w:t xml:space="preserve"> </w:t>
      </w:r>
      <w:r w:rsidR="006D2B0D" w:rsidRPr="007E3C0F">
        <w:rPr>
          <w:lang w:val="en-GB"/>
        </w:rPr>
        <w:t>if</w:t>
      </w:r>
      <w:r w:rsidR="00FA093A" w:rsidRPr="007E3C0F">
        <w:rPr>
          <w:lang w:val="en-GB"/>
        </w:rPr>
        <w:t xml:space="preserve"> the non-</w:t>
      </w:r>
      <w:r w:rsidR="00BA730E" w:rsidRPr="007E3C0F">
        <w:rPr>
          <w:lang w:val="en-GB"/>
        </w:rPr>
        <w:t>adherent</w:t>
      </w:r>
      <w:r w:rsidR="00FA093A" w:rsidRPr="007E3C0F">
        <w:rPr>
          <w:lang w:val="en-GB"/>
        </w:rPr>
        <w:t xml:space="preserve"> </w:t>
      </w:r>
      <w:r w:rsidR="00BA2331" w:rsidRPr="007E3C0F">
        <w:rPr>
          <w:lang w:val="en-GB"/>
        </w:rPr>
        <w:t>group data</w:t>
      </w:r>
      <w:r w:rsidR="006D2B0D" w:rsidRPr="007E3C0F">
        <w:rPr>
          <w:lang w:val="en-GB"/>
        </w:rPr>
        <w:t xml:space="preserve"> were used</w:t>
      </w:r>
      <w:r w:rsidR="00FA093A" w:rsidRPr="007E3C0F">
        <w:rPr>
          <w:lang w:val="en-GB"/>
        </w:rPr>
        <w:t xml:space="preserve">. </w:t>
      </w:r>
      <w:r w:rsidR="005964FF" w:rsidRPr="007E3C0F">
        <w:rPr>
          <w:lang w:val="en-GB"/>
        </w:rPr>
        <w:t xml:space="preserve">The committee </w:t>
      </w:r>
      <w:r w:rsidR="000E1B23" w:rsidRPr="007E3C0F">
        <w:rPr>
          <w:lang w:val="en-GB"/>
        </w:rPr>
        <w:t>felt</w:t>
      </w:r>
      <w:r w:rsidR="005964FF" w:rsidRPr="007E3C0F">
        <w:rPr>
          <w:lang w:val="en-GB"/>
        </w:rPr>
        <w:t xml:space="preserve"> that the company had not </w:t>
      </w:r>
      <w:r w:rsidR="000E1B23" w:rsidRPr="007E3C0F">
        <w:rPr>
          <w:lang w:val="en-GB"/>
        </w:rPr>
        <w:t xml:space="preserve">properly explained </w:t>
      </w:r>
      <w:r w:rsidR="005964FF" w:rsidRPr="007E3C0F">
        <w:rPr>
          <w:lang w:val="en-GB"/>
        </w:rPr>
        <w:t>its methods</w:t>
      </w:r>
      <w:r w:rsidR="000E1B23" w:rsidRPr="007E3C0F">
        <w:rPr>
          <w:lang w:val="en-GB"/>
        </w:rPr>
        <w:t xml:space="preserve"> for</w:t>
      </w:r>
      <w:r w:rsidR="005964FF" w:rsidRPr="007E3C0F">
        <w:rPr>
          <w:lang w:val="en-GB"/>
        </w:rPr>
        <w:t xml:space="preserve"> </w:t>
      </w:r>
      <w:r w:rsidR="001235C3" w:rsidRPr="007E3C0F">
        <w:rPr>
          <w:lang w:val="en-GB"/>
        </w:rPr>
        <w:t xml:space="preserve">modelling </w:t>
      </w:r>
      <w:r w:rsidR="005964FF" w:rsidRPr="007E3C0F">
        <w:rPr>
          <w:lang w:val="en-GB"/>
        </w:rPr>
        <w:t>the non-</w:t>
      </w:r>
      <w:r w:rsidR="00BA730E" w:rsidRPr="007E3C0F">
        <w:rPr>
          <w:lang w:val="en-GB"/>
        </w:rPr>
        <w:t xml:space="preserve">adherent </w:t>
      </w:r>
      <w:r w:rsidR="005964FF" w:rsidRPr="007E3C0F">
        <w:rPr>
          <w:lang w:val="en-GB"/>
        </w:rPr>
        <w:t>group</w:t>
      </w:r>
      <w:r w:rsidR="00F7033E" w:rsidRPr="007E3C0F">
        <w:rPr>
          <w:lang w:val="en-GB"/>
        </w:rPr>
        <w:t xml:space="preserve">. </w:t>
      </w:r>
      <w:r w:rsidR="000E1B23" w:rsidRPr="007E3C0F">
        <w:rPr>
          <w:lang w:val="en-GB"/>
        </w:rPr>
        <w:t>It</w:t>
      </w:r>
      <w:r w:rsidR="00F7033E" w:rsidRPr="007E3C0F">
        <w:rPr>
          <w:lang w:val="en-GB"/>
        </w:rPr>
        <w:t xml:space="preserve"> </w:t>
      </w:r>
      <w:r w:rsidR="007244F1" w:rsidRPr="007E3C0F">
        <w:rPr>
          <w:lang w:val="en-GB"/>
        </w:rPr>
        <w:t xml:space="preserve">also noted that the company had not </w:t>
      </w:r>
      <w:r w:rsidR="001235C3" w:rsidRPr="007E3C0F">
        <w:rPr>
          <w:lang w:val="en-GB"/>
        </w:rPr>
        <w:t xml:space="preserve">properly </w:t>
      </w:r>
      <w:r w:rsidR="000E1B23" w:rsidRPr="007E3C0F">
        <w:rPr>
          <w:lang w:val="en-GB"/>
        </w:rPr>
        <w:t>explained</w:t>
      </w:r>
      <w:r w:rsidR="007244F1" w:rsidRPr="007E3C0F">
        <w:rPr>
          <w:lang w:val="en-GB"/>
        </w:rPr>
        <w:t xml:space="preserve"> why </w:t>
      </w:r>
      <w:r w:rsidR="00A503EB" w:rsidRPr="007E3C0F">
        <w:rPr>
          <w:lang w:val="en-GB"/>
        </w:rPr>
        <w:t>people</w:t>
      </w:r>
      <w:r w:rsidR="007244F1" w:rsidRPr="007E3C0F">
        <w:rPr>
          <w:lang w:val="en-GB"/>
        </w:rPr>
        <w:t xml:space="preserve"> were</w:t>
      </w:r>
      <w:r w:rsidR="00BA730E" w:rsidRPr="007E3C0F">
        <w:rPr>
          <w:lang w:val="en-GB"/>
        </w:rPr>
        <w:t xml:space="preserve"> not using their primary therapy</w:t>
      </w:r>
      <w:r w:rsidR="007244F1" w:rsidRPr="007E3C0F">
        <w:rPr>
          <w:lang w:val="en-GB"/>
        </w:rPr>
        <w:t xml:space="preserve">. </w:t>
      </w:r>
      <w:r w:rsidR="00B84B6B" w:rsidRPr="007E3C0F">
        <w:rPr>
          <w:lang w:val="en-GB"/>
        </w:rPr>
        <w:t xml:space="preserve">The committee recalled that the </w:t>
      </w:r>
      <w:r w:rsidR="00C600AC" w:rsidRPr="007E3C0F">
        <w:rPr>
          <w:lang w:val="en-GB"/>
        </w:rPr>
        <w:t>marketing authorisation</w:t>
      </w:r>
      <w:r w:rsidR="00B84B6B" w:rsidRPr="007E3C0F">
        <w:rPr>
          <w:lang w:val="en-GB"/>
        </w:rPr>
        <w:t xml:space="preserve"> for solriamfetol </w:t>
      </w:r>
      <w:r w:rsidR="000F1822" w:rsidRPr="007E3C0F">
        <w:rPr>
          <w:lang w:val="en-GB"/>
        </w:rPr>
        <w:t xml:space="preserve">includes people </w:t>
      </w:r>
      <w:r w:rsidR="004979DB" w:rsidRPr="007E3C0F">
        <w:rPr>
          <w:lang w:val="en-GB"/>
        </w:rPr>
        <w:t xml:space="preserve">who may not </w:t>
      </w:r>
      <w:r w:rsidR="004979DB" w:rsidRPr="007E3C0F">
        <w:rPr>
          <w:lang w:val="en-GB"/>
        </w:rPr>
        <w:lastRenderedPageBreak/>
        <w:t>be using a primary obstructive sleep apnoea therapy</w:t>
      </w:r>
      <w:r w:rsidR="00EC1B56">
        <w:rPr>
          <w:lang w:val="en-GB"/>
        </w:rPr>
        <w:t xml:space="preserve"> </w:t>
      </w:r>
      <w:r w:rsidR="00844789">
        <w:rPr>
          <w:lang w:val="en-GB"/>
        </w:rPr>
        <w:t>anymore</w:t>
      </w:r>
      <w:r w:rsidR="00C5291A" w:rsidRPr="007E3C0F">
        <w:rPr>
          <w:lang w:val="en-GB"/>
        </w:rPr>
        <w:t>.</w:t>
      </w:r>
      <w:r w:rsidR="004979DB" w:rsidRPr="007E3C0F">
        <w:rPr>
          <w:lang w:val="en-GB"/>
        </w:rPr>
        <w:t xml:space="preserve"> </w:t>
      </w:r>
      <w:r w:rsidR="00C5291A" w:rsidRPr="007E3C0F">
        <w:rPr>
          <w:lang w:val="en-GB"/>
        </w:rPr>
        <w:t xml:space="preserve">It </w:t>
      </w:r>
      <w:r w:rsidR="004979DB" w:rsidRPr="007E3C0F">
        <w:rPr>
          <w:lang w:val="en-GB"/>
        </w:rPr>
        <w:t xml:space="preserve">concluded that </w:t>
      </w:r>
      <w:r w:rsidR="00C5291A" w:rsidRPr="007E3C0F">
        <w:rPr>
          <w:lang w:val="en-GB"/>
        </w:rPr>
        <w:t>it would like to see clinical and cost</w:t>
      </w:r>
      <w:r w:rsidR="00C87D14" w:rsidRPr="007E3C0F">
        <w:rPr>
          <w:lang w:val="en-GB"/>
        </w:rPr>
        <w:t>-</w:t>
      </w:r>
      <w:r w:rsidR="00C5291A" w:rsidRPr="007E3C0F">
        <w:rPr>
          <w:lang w:val="en-GB"/>
        </w:rPr>
        <w:t>effectiveness evidence for this group</w:t>
      </w:r>
      <w:r w:rsidR="001E081F" w:rsidRPr="007E3C0F">
        <w:rPr>
          <w:lang w:val="en-GB"/>
        </w:rPr>
        <w:t xml:space="preserve">. </w:t>
      </w:r>
    </w:p>
    <w:p w14:paraId="5557855A" w14:textId="05664CF3" w:rsidR="00130D19" w:rsidRPr="007E3C0F" w:rsidRDefault="003356FC" w:rsidP="00581DBA">
      <w:pPr>
        <w:pStyle w:val="Heading3"/>
      </w:pPr>
      <w:r w:rsidRPr="007E3C0F">
        <w:t>Treatment response defined as a</w:t>
      </w:r>
      <w:r w:rsidR="00130D19" w:rsidRPr="007E3C0F">
        <w:t xml:space="preserve">n </w:t>
      </w:r>
      <w:r w:rsidR="002031C3" w:rsidRPr="007E3C0F">
        <w:t>ESS</w:t>
      </w:r>
      <w:r w:rsidR="00130D19" w:rsidRPr="007E3C0F">
        <w:t xml:space="preserve"> score reduction of </w:t>
      </w:r>
      <w:r w:rsidR="004807A8" w:rsidRPr="007E3C0F">
        <w:t xml:space="preserve">2 </w:t>
      </w:r>
      <w:proofErr w:type="gramStart"/>
      <w:r w:rsidR="00130D19" w:rsidRPr="007E3C0F">
        <w:t>points</w:t>
      </w:r>
      <w:proofErr w:type="gramEnd"/>
      <w:r w:rsidR="009D6D0A" w:rsidRPr="007E3C0F">
        <w:t xml:space="preserve"> or more</w:t>
      </w:r>
      <w:r w:rsidR="00130D19" w:rsidRPr="007E3C0F">
        <w:t xml:space="preserve"> </w:t>
      </w:r>
      <w:r w:rsidR="009D6D0A" w:rsidRPr="007E3C0F">
        <w:t>is</w:t>
      </w:r>
      <w:r w:rsidR="00130D19" w:rsidRPr="007E3C0F">
        <w:t xml:space="preserve"> appropriate </w:t>
      </w:r>
    </w:p>
    <w:p w14:paraId="10324F23" w14:textId="6D990B2B" w:rsidR="00360311" w:rsidRPr="007E3C0F" w:rsidRDefault="00360311" w:rsidP="003052A3">
      <w:pPr>
        <w:pStyle w:val="Numberedlevel2text"/>
        <w:rPr>
          <w:lang w:val="en-GB"/>
        </w:rPr>
      </w:pPr>
      <w:bookmarkStart w:id="1" w:name="_Ref67036020"/>
      <w:bookmarkEnd w:id="0"/>
      <w:r w:rsidRPr="007E3C0F">
        <w:rPr>
          <w:lang w:val="en-GB"/>
        </w:rPr>
        <w:t xml:space="preserve">The </w:t>
      </w:r>
      <w:r w:rsidR="00A53D77" w:rsidRPr="007E3C0F">
        <w:rPr>
          <w:lang w:val="en-GB"/>
        </w:rPr>
        <w:t xml:space="preserve">clinical experts </w:t>
      </w:r>
      <w:r w:rsidR="00EB1450" w:rsidRPr="007E3C0F">
        <w:rPr>
          <w:lang w:val="en-GB"/>
        </w:rPr>
        <w:t xml:space="preserve">said </w:t>
      </w:r>
      <w:r w:rsidR="00A53D77" w:rsidRPr="007E3C0F">
        <w:rPr>
          <w:lang w:val="en-GB"/>
        </w:rPr>
        <w:t>that</w:t>
      </w:r>
      <w:r w:rsidRPr="007E3C0F">
        <w:rPr>
          <w:lang w:val="en-GB"/>
        </w:rPr>
        <w:t xml:space="preserve"> the definition of treatment response for </w:t>
      </w:r>
      <w:r w:rsidR="00D16017" w:rsidRPr="007E3C0F">
        <w:rPr>
          <w:lang w:val="en-GB"/>
        </w:rPr>
        <w:t>obstructive sleep apnoea</w:t>
      </w:r>
      <w:r w:rsidR="00EB1450" w:rsidRPr="007E3C0F">
        <w:rPr>
          <w:lang w:val="en-GB"/>
        </w:rPr>
        <w:t xml:space="preserve"> varies considerably</w:t>
      </w:r>
      <w:r w:rsidRPr="007E3C0F">
        <w:rPr>
          <w:lang w:val="en-GB"/>
        </w:rPr>
        <w:t xml:space="preserve"> in clinical practice. </w:t>
      </w:r>
      <w:r w:rsidR="00A53D77" w:rsidRPr="007E3C0F">
        <w:rPr>
          <w:lang w:val="en-GB"/>
        </w:rPr>
        <w:t xml:space="preserve">The company </w:t>
      </w:r>
      <w:r w:rsidR="00EB1450" w:rsidRPr="007E3C0F">
        <w:rPr>
          <w:lang w:val="en-GB"/>
        </w:rPr>
        <w:t xml:space="preserve">used the ESS </w:t>
      </w:r>
      <w:r w:rsidR="00A53D77" w:rsidRPr="007E3C0F">
        <w:rPr>
          <w:lang w:val="en-GB"/>
        </w:rPr>
        <w:t xml:space="preserve">in its </w:t>
      </w:r>
      <w:r w:rsidR="004A4CF4" w:rsidRPr="007E3C0F">
        <w:rPr>
          <w:lang w:val="en-GB"/>
        </w:rPr>
        <w:t>clinical</w:t>
      </w:r>
      <w:r w:rsidR="00A53D77" w:rsidRPr="007E3C0F">
        <w:rPr>
          <w:lang w:val="en-GB"/>
        </w:rPr>
        <w:t xml:space="preserve"> trial</w:t>
      </w:r>
      <w:r w:rsidR="008D7856" w:rsidRPr="007E3C0F">
        <w:rPr>
          <w:lang w:val="en-GB"/>
        </w:rPr>
        <w:t>s</w:t>
      </w:r>
      <w:r w:rsidR="00A53D77" w:rsidRPr="007E3C0F">
        <w:rPr>
          <w:lang w:val="en-GB"/>
        </w:rPr>
        <w:t xml:space="preserve"> </w:t>
      </w:r>
      <w:r w:rsidR="004A4CF4" w:rsidRPr="007E3C0F">
        <w:rPr>
          <w:lang w:val="en-GB"/>
        </w:rPr>
        <w:t>as its primary end</w:t>
      </w:r>
      <w:r w:rsidR="00373C13" w:rsidRPr="007E3C0F">
        <w:rPr>
          <w:lang w:val="en-GB"/>
        </w:rPr>
        <w:t xml:space="preserve"> point</w:t>
      </w:r>
      <w:r w:rsidR="004A4CF4" w:rsidRPr="007E3C0F">
        <w:rPr>
          <w:lang w:val="en-GB"/>
        </w:rPr>
        <w:t xml:space="preserve"> to measure response to treatment</w:t>
      </w:r>
      <w:r w:rsidR="00BC525C" w:rsidRPr="007E3C0F">
        <w:rPr>
          <w:lang w:val="en-GB"/>
        </w:rPr>
        <w:t xml:space="preserve"> (see </w:t>
      </w:r>
      <w:r w:rsidR="0017396F" w:rsidRPr="007E3C0F">
        <w:rPr>
          <w:lang w:val="en-GB"/>
        </w:rPr>
        <w:t>section </w:t>
      </w:r>
      <w:r w:rsidR="00370969" w:rsidRPr="007E3C0F">
        <w:rPr>
          <w:lang w:val="en-GB"/>
        </w:rPr>
        <w:t>3.</w:t>
      </w:r>
      <w:r w:rsidR="00AB10A3">
        <w:rPr>
          <w:lang w:val="en-GB"/>
        </w:rPr>
        <w:t>5</w:t>
      </w:r>
      <w:r w:rsidR="00BC525C" w:rsidRPr="007E3C0F">
        <w:rPr>
          <w:lang w:val="en-GB"/>
        </w:rPr>
        <w:t>)</w:t>
      </w:r>
      <w:r w:rsidR="004A4CF4" w:rsidRPr="007E3C0F">
        <w:rPr>
          <w:lang w:val="en-GB"/>
        </w:rPr>
        <w:t xml:space="preserve">. </w:t>
      </w:r>
      <w:r w:rsidR="00EB1450" w:rsidRPr="007E3C0F">
        <w:rPr>
          <w:lang w:val="en-GB"/>
        </w:rPr>
        <w:t>Its</w:t>
      </w:r>
      <w:r w:rsidR="00130D19" w:rsidRPr="007E3C0F">
        <w:rPr>
          <w:lang w:val="en-GB"/>
        </w:rPr>
        <w:t xml:space="preserve"> model defined a treatment response as an </w:t>
      </w:r>
      <w:r w:rsidR="002031C3" w:rsidRPr="007E3C0F">
        <w:rPr>
          <w:lang w:val="en-GB"/>
        </w:rPr>
        <w:t>ESS</w:t>
      </w:r>
      <w:r w:rsidR="00130D19" w:rsidRPr="007E3C0F">
        <w:rPr>
          <w:lang w:val="en-GB"/>
        </w:rPr>
        <w:t xml:space="preserve"> score reduction of 3</w:t>
      </w:r>
      <w:r w:rsidR="009D6D0A" w:rsidRPr="007E3C0F">
        <w:rPr>
          <w:lang w:val="en-GB"/>
        </w:rPr>
        <w:t xml:space="preserve"> or more</w:t>
      </w:r>
      <w:r w:rsidR="00130D19" w:rsidRPr="007E3C0F">
        <w:rPr>
          <w:lang w:val="en-GB"/>
        </w:rPr>
        <w:t xml:space="preserve"> points, based on clinical opinion. </w:t>
      </w:r>
      <w:r w:rsidRPr="007E3C0F">
        <w:rPr>
          <w:lang w:val="en-GB"/>
        </w:rPr>
        <w:t xml:space="preserve">Advice to the </w:t>
      </w:r>
      <w:r w:rsidR="002031C3" w:rsidRPr="007E3C0F">
        <w:rPr>
          <w:bCs w:val="0"/>
          <w:lang w:val="en-GB"/>
        </w:rPr>
        <w:t>ERG</w:t>
      </w:r>
      <w:r w:rsidRPr="007E3C0F">
        <w:rPr>
          <w:lang w:val="en-GB"/>
        </w:rPr>
        <w:t xml:space="preserve"> </w:t>
      </w:r>
      <w:r w:rsidR="009D6D0A" w:rsidRPr="007E3C0F">
        <w:rPr>
          <w:lang w:val="en-GB"/>
        </w:rPr>
        <w:t xml:space="preserve">was </w:t>
      </w:r>
      <w:r w:rsidRPr="007E3C0F">
        <w:rPr>
          <w:lang w:val="en-GB"/>
        </w:rPr>
        <w:t xml:space="preserve">that </w:t>
      </w:r>
      <w:r w:rsidR="009D6D0A" w:rsidRPr="007E3C0F">
        <w:rPr>
          <w:lang w:val="en-GB"/>
        </w:rPr>
        <w:t xml:space="preserve">a </w:t>
      </w:r>
      <w:r w:rsidRPr="007E3C0F">
        <w:rPr>
          <w:lang w:val="en-GB"/>
        </w:rPr>
        <w:t xml:space="preserve">reduction </w:t>
      </w:r>
      <w:r w:rsidR="009D6D0A" w:rsidRPr="007E3C0F">
        <w:rPr>
          <w:lang w:val="en-GB"/>
        </w:rPr>
        <w:t xml:space="preserve">in ESS of </w:t>
      </w:r>
      <w:r w:rsidRPr="007E3C0F">
        <w:rPr>
          <w:lang w:val="en-GB"/>
        </w:rPr>
        <w:t>2</w:t>
      </w:r>
      <w:r w:rsidR="009D6D0A" w:rsidRPr="007E3C0F">
        <w:rPr>
          <w:lang w:val="en-GB"/>
        </w:rPr>
        <w:t xml:space="preserve"> or more</w:t>
      </w:r>
      <w:r w:rsidRPr="007E3C0F">
        <w:rPr>
          <w:lang w:val="en-GB"/>
        </w:rPr>
        <w:t xml:space="preserve"> points was appropriate</w:t>
      </w:r>
      <w:r w:rsidR="009D6D0A" w:rsidRPr="007E3C0F">
        <w:rPr>
          <w:lang w:val="en-GB"/>
        </w:rPr>
        <w:t xml:space="preserve"> but</w:t>
      </w:r>
      <w:r w:rsidRPr="007E3C0F">
        <w:rPr>
          <w:lang w:val="en-GB"/>
        </w:rPr>
        <w:t xml:space="preserve"> clinicians would consider other factors when assessing treatment effectiveness. </w:t>
      </w:r>
      <w:r w:rsidR="00EC2248" w:rsidRPr="007E3C0F">
        <w:rPr>
          <w:lang w:val="en-GB"/>
        </w:rPr>
        <w:t>T</w:t>
      </w:r>
      <w:r w:rsidR="00971D87" w:rsidRPr="007E3C0F">
        <w:rPr>
          <w:lang w:val="en-GB"/>
        </w:rPr>
        <w:t>he clinical experts</w:t>
      </w:r>
      <w:r w:rsidR="00EC2248" w:rsidRPr="007E3C0F">
        <w:rPr>
          <w:lang w:val="en-GB"/>
        </w:rPr>
        <w:t xml:space="preserve"> </w:t>
      </w:r>
      <w:r w:rsidR="003F230C" w:rsidRPr="007E3C0F">
        <w:rPr>
          <w:lang w:val="en-GB"/>
        </w:rPr>
        <w:t xml:space="preserve">said that, while an ESS reduction of </w:t>
      </w:r>
      <w:r w:rsidR="00B341BB" w:rsidRPr="007E3C0F">
        <w:rPr>
          <w:lang w:val="en-GB"/>
        </w:rPr>
        <w:t>2 or more points</w:t>
      </w:r>
      <w:r w:rsidR="003F230C" w:rsidRPr="007E3C0F">
        <w:rPr>
          <w:lang w:val="en-GB"/>
        </w:rPr>
        <w:t xml:space="preserve"> may be appropriate, there is no consensus on what can be considered a clinically relevant ESS reduction and that it varies by individual. The </w:t>
      </w:r>
      <w:r w:rsidR="00EB1450" w:rsidRPr="007E3C0F">
        <w:rPr>
          <w:lang w:val="en-GB"/>
        </w:rPr>
        <w:t xml:space="preserve">ERG tested the </w:t>
      </w:r>
      <w:r w:rsidR="003F230C" w:rsidRPr="007E3C0F">
        <w:rPr>
          <w:lang w:val="en-GB"/>
        </w:rPr>
        <w:t>ESS reduction threshold in a scenario analysis, which</w:t>
      </w:r>
      <w:r w:rsidR="00EB1450" w:rsidRPr="007E3C0F">
        <w:rPr>
          <w:lang w:val="en-GB"/>
        </w:rPr>
        <w:t xml:space="preserve"> showed</w:t>
      </w:r>
      <w:r w:rsidR="003F230C" w:rsidRPr="007E3C0F">
        <w:rPr>
          <w:lang w:val="en-GB"/>
        </w:rPr>
        <w:t xml:space="preserve"> that </w:t>
      </w:r>
      <w:r w:rsidR="00EB1450" w:rsidRPr="007E3C0F">
        <w:rPr>
          <w:lang w:val="en-GB"/>
        </w:rPr>
        <w:t>changing the</w:t>
      </w:r>
      <w:r w:rsidR="003F230C" w:rsidRPr="007E3C0F">
        <w:rPr>
          <w:lang w:val="en-GB"/>
        </w:rPr>
        <w:t xml:space="preserve"> threshold did not significantly affect cost</w:t>
      </w:r>
      <w:r w:rsidR="00FC60A4">
        <w:rPr>
          <w:lang w:val="en-GB"/>
        </w:rPr>
        <w:t>-effectiveness</w:t>
      </w:r>
      <w:r w:rsidR="003F230C" w:rsidRPr="007E3C0F">
        <w:rPr>
          <w:lang w:val="en-GB"/>
        </w:rPr>
        <w:t xml:space="preserve"> results</w:t>
      </w:r>
      <w:r w:rsidR="00214744" w:rsidRPr="007E3C0F">
        <w:rPr>
          <w:lang w:val="en-GB"/>
        </w:rPr>
        <w:t>.</w:t>
      </w:r>
      <w:r w:rsidR="00EC2248" w:rsidRPr="007E3C0F">
        <w:rPr>
          <w:lang w:val="en-GB"/>
        </w:rPr>
        <w:t xml:space="preserve"> </w:t>
      </w:r>
      <w:r w:rsidRPr="007E3C0F">
        <w:rPr>
          <w:lang w:val="en-GB"/>
        </w:rPr>
        <w:t xml:space="preserve">The committee </w:t>
      </w:r>
      <w:r w:rsidR="00C224ED" w:rsidRPr="007E3C0F">
        <w:rPr>
          <w:lang w:val="en-GB"/>
        </w:rPr>
        <w:t xml:space="preserve">acknowledged the uncertainty </w:t>
      </w:r>
      <w:r w:rsidR="00EB1450" w:rsidRPr="007E3C0F">
        <w:rPr>
          <w:lang w:val="en-GB"/>
        </w:rPr>
        <w:t xml:space="preserve">about </w:t>
      </w:r>
      <w:r w:rsidR="00B341BB" w:rsidRPr="007E3C0F">
        <w:rPr>
          <w:lang w:val="en-GB"/>
        </w:rPr>
        <w:t>the</w:t>
      </w:r>
      <w:r w:rsidR="00C224ED" w:rsidRPr="007E3C0F">
        <w:rPr>
          <w:lang w:val="en-GB"/>
        </w:rPr>
        <w:t xml:space="preserve"> ESS</w:t>
      </w:r>
      <w:r w:rsidR="00B341BB" w:rsidRPr="007E3C0F">
        <w:rPr>
          <w:lang w:val="en-GB"/>
        </w:rPr>
        <w:t xml:space="preserve"> </w:t>
      </w:r>
      <w:r w:rsidR="00140D8C" w:rsidRPr="007E3C0F">
        <w:rPr>
          <w:lang w:val="en-GB"/>
        </w:rPr>
        <w:t xml:space="preserve">but concluded that an ESS score reduction of 2 or more points </w:t>
      </w:r>
      <w:r w:rsidR="00EB1450" w:rsidRPr="007E3C0F">
        <w:rPr>
          <w:lang w:val="en-GB"/>
        </w:rPr>
        <w:t xml:space="preserve">was </w:t>
      </w:r>
      <w:r w:rsidR="00427C32" w:rsidRPr="007E3C0F">
        <w:rPr>
          <w:lang w:val="en-GB"/>
        </w:rPr>
        <w:t xml:space="preserve">an </w:t>
      </w:r>
      <w:r w:rsidR="00140D8C" w:rsidRPr="007E3C0F">
        <w:rPr>
          <w:lang w:val="en-GB"/>
        </w:rPr>
        <w:t>appropriate</w:t>
      </w:r>
      <w:r w:rsidR="00427C32" w:rsidRPr="007E3C0F">
        <w:rPr>
          <w:lang w:val="en-GB"/>
        </w:rPr>
        <w:t xml:space="preserve"> criterion for treatment response</w:t>
      </w:r>
      <w:r w:rsidRPr="007E3C0F">
        <w:rPr>
          <w:lang w:val="en-GB"/>
        </w:rPr>
        <w:t>.</w:t>
      </w:r>
      <w:bookmarkEnd w:id="1"/>
    </w:p>
    <w:p w14:paraId="6CC6339C" w14:textId="47D70AFD" w:rsidR="003300DB" w:rsidRPr="007E3C0F" w:rsidRDefault="003300DB" w:rsidP="003678BC">
      <w:pPr>
        <w:pStyle w:val="Heading3"/>
      </w:pPr>
      <w:bookmarkStart w:id="2" w:name="_The_company’s_adjustment"/>
      <w:bookmarkStart w:id="3" w:name="_Hlk63933487"/>
      <w:bookmarkEnd w:id="2"/>
      <w:r w:rsidRPr="007E3C0F">
        <w:t xml:space="preserve">The </w:t>
      </w:r>
      <w:r w:rsidR="009C2CA1" w:rsidRPr="007E3C0F">
        <w:t>company’s</w:t>
      </w:r>
      <w:r w:rsidRPr="007E3C0F">
        <w:t xml:space="preserve"> </w:t>
      </w:r>
      <w:r w:rsidR="00D2651E" w:rsidRPr="007E3C0F">
        <w:t xml:space="preserve">adjustment for </w:t>
      </w:r>
      <w:r w:rsidR="007D4BE0" w:rsidRPr="007E3C0F">
        <w:t>observation bias</w:t>
      </w:r>
      <w:r w:rsidR="00D33F3A" w:rsidRPr="007E3C0F">
        <w:t xml:space="preserve"> in the model </w:t>
      </w:r>
      <w:r w:rsidR="00834203" w:rsidRPr="007E3C0F">
        <w:t>is</w:t>
      </w:r>
      <w:r w:rsidRPr="007E3C0F">
        <w:t xml:space="preserve"> </w:t>
      </w:r>
      <w:r w:rsidR="000A0D3C" w:rsidRPr="007E3C0F">
        <w:t>plausible</w:t>
      </w:r>
      <w:r w:rsidRPr="007E3C0F">
        <w:t xml:space="preserve"> </w:t>
      </w:r>
      <w:r w:rsidR="006556F4" w:rsidRPr="007E3C0F">
        <w:t xml:space="preserve">but </w:t>
      </w:r>
      <w:r w:rsidR="0051145E" w:rsidRPr="007E3C0F">
        <w:t xml:space="preserve">considerable </w:t>
      </w:r>
      <w:r w:rsidRPr="007E3C0F">
        <w:t xml:space="preserve">uncertainty </w:t>
      </w:r>
      <w:proofErr w:type="gramStart"/>
      <w:r w:rsidR="00D2651E" w:rsidRPr="007E3C0F">
        <w:t>remains</w:t>
      </w:r>
      <w:proofErr w:type="gramEnd"/>
    </w:p>
    <w:p w14:paraId="0CE1F79E" w14:textId="6F7D7D61" w:rsidR="00E94495" w:rsidRPr="007E3C0F" w:rsidRDefault="003300DB" w:rsidP="00E94495">
      <w:pPr>
        <w:pStyle w:val="Numberedlevel2text"/>
        <w:rPr>
          <w:lang w:val="en-GB"/>
        </w:rPr>
      </w:pPr>
      <w:r w:rsidRPr="007E3C0F">
        <w:rPr>
          <w:lang w:val="en-GB"/>
        </w:rPr>
        <w:t xml:space="preserve">The </w:t>
      </w:r>
      <w:r w:rsidR="00D2651E" w:rsidRPr="007E3C0F">
        <w:rPr>
          <w:lang w:val="en-GB"/>
        </w:rPr>
        <w:t xml:space="preserve">company </w:t>
      </w:r>
      <w:r w:rsidR="00691589" w:rsidRPr="007E3C0F">
        <w:rPr>
          <w:lang w:val="en-GB"/>
        </w:rPr>
        <w:t>noted that</w:t>
      </w:r>
      <w:r w:rsidR="006556F4" w:rsidRPr="007E3C0F">
        <w:rPr>
          <w:lang w:val="en-GB"/>
        </w:rPr>
        <w:t xml:space="preserve"> </w:t>
      </w:r>
      <w:r w:rsidR="00A145C0" w:rsidRPr="007E3C0F">
        <w:rPr>
          <w:lang w:val="en-GB"/>
        </w:rPr>
        <w:t xml:space="preserve">in </w:t>
      </w:r>
      <w:r w:rsidR="0017396F" w:rsidRPr="007E3C0F">
        <w:rPr>
          <w:lang w:val="en-GB"/>
        </w:rPr>
        <w:t>TONES 3</w:t>
      </w:r>
      <w:r w:rsidR="00A145C0" w:rsidRPr="007E3C0F">
        <w:rPr>
          <w:lang w:val="en-GB"/>
        </w:rPr>
        <w:t xml:space="preserve"> </w:t>
      </w:r>
      <w:r w:rsidR="006556F4" w:rsidRPr="007E3C0F">
        <w:rPr>
          <w:lang w:val="en-GB"/>
        </w:rPr>
        <w:t>the</w:t>
      </w:r>
      <w:r w:rsidR="00657B02" w:rsidRPr="007E3C0F">
        <w:rPr>
          <w:lang w:val="en-GB"/>
        </w:rPr>
        <w:t>re was an improvement in</w:t>
      </w:r>
      <w:r w:rsidR="006556F4" w:rsidRPr="007E3C0F">
        <w:rPr>
          <w:lang w:val="en-GB"/>
        </w:rPr>
        <w:t xml:space="preserve"> ESS </w:t>
      </w:r>
      <w:r w:rsidR="00945002" w:rsidRPr="007E3C0F">
        <w:rPr>
          <w:lang w:val="en-GB"/>
        </w:rPr>
        <w:t xml:space="preserve">score from baseline to </w:t>
      </w:r>
      <w:r w:rsidR="0017396F" w:rsidRPr="007E3C0F">
        <w:rPr>
          <w:lang w:val="en-GB"/>
        </w:rPr>
        <w:t>week </w:t>
      </w:r>
      <w:r w:rsidR="00945002" w:rsidRPr="007E3C0F">
        <w:rPr>
          <w:lang w:val="en-GB"/>
        </w:rPr>
        <w:t>12</w:t>
      </w:r>
      <w:r w:rsidR="006556F4" w:rsidRPr="007E3C0F">
        <w:rPr>
          <w:lang w:val="en-GB"/>
        </w:rPr>
        <w:t xml:space="preserve"> </w:t>
      </w:r>
      <w:r w:rsidR="00657B02" w:rsidRPr="007E3C0F">
        <w:rPr>
          <w:lang w:val="en-GB"/>
        </w:rPr>
        <w:t>in the</w:t>
      </w:r>
      <w:r w:rsidR="00691589" w:rsidRPr="007E3C0F">
        <w:rPr>
          <w:lang w:val="en-GB"/>
        </w:rPr>
        <w:t xml:space="preserve"> </w:t>
      </w:r>
      <w:r w:rsidR="00945002" w:rsidRPr="007E3C0F">
        <w:rPr>
          <w:lang w:val="en-GB"/>
        </w:rPr>
        <w:t xml:space="preserve">placebo plus </w:t>
      </w:r>
      <w:r w:rsidR="00A145C0" w:rsidRPr="007E3C0F">
        <w:rPr>
          <w:lang w:val="en-GB"/>
        </w:rPr>
        <w:t xml:space="preserve">standard care </w:t>
      </w:r>
      <w:r w:rsidR="00691589" w:rsidRPr="007E3C0F">
        <w:rPr>
          <w:lang w:val="en-GB"/>
        </w:rPr>
        <w:t>group</w:t>
      </w:r>
      <w:r w:rsidR="005E3516" w:rsidRPr="007E3C0F">
        <w:rPr>
          <w:lang w:val="en-GB"/>
        </w:rPr>
        <w:t>.</w:t>
      </w:r>
      <w:r w:rsidR="00C600AC" w:rsidRPr="007E3C0F">
        <w:rPr>
          <w:lang w:val="en-GB"/>
        </w:rPr>
        <w:t xml:space="preserve"> </w:t>
      </w:r>
      <w:r w:rsidR="005E3516" w:rsidRPr="007E3C0F">
        <w:rPr>
          <w:lang w:val="en-GB"/>
        </w:rPr>
        <w:t xml:space="preserve">The company suggested this was due to </w:t>
      </w:r>
      <w:r w:rsidR="005E3516" w:rsidRPr="00625F2B">
        <w:rPr>
          <w:lang w:val="en-GB"/>
        </w:rPr>
        <w:t xml:space="preserve">an observation bias </w:t>
      </w:r>
      <w:r w:rsidR="00625F2B">
        <w:rPr>
          <w:lang w:val="en-GB"/>
        </w:rPr>
        <w:t>–</w:t>
      </w:r>
      <w:r w:rsidR="005E3516" w:rsidRPr="007E3C0F">
        <w:rPr>
          <w:lang w:val="en-GB"/>
        </w:rPr>
        <w:t xml:space="preserve"> </w:t>
      </w:r>
      <w:r w:rsidR="00E0158E">
        <w:rPr>
          <w:lang w:val="en-GB"/>
        </w:rPr>
        <w:t xml:space="preserve">the </w:t>
      </w:r>
      <w:r w:rsidR="006E0683" w:rsidRPr="007E3C0F">
        <w:rPr>
          <w:lang w:val="en-GB"/>
        </w:rPr>
        <w:t>Hawthorne effect</w:t>
      </w:r>
      <w:r w:rsidR="00D24F3B" w:rsidRPr="007E3C0F">
        <w:rPr>
          <w:lang w:val="en-GB"/>
        </w:rPr>
        <w:t xml:space="preserve"> </w:t>
      </w:r>
      <w:r w:rsidR="006556F4" w:rsidRPr="007E3C0F">
        <w:rPr>
          <w:lang w:val="en-GB"/>
        </w:rPr>
        <w:t>(</w:t>
      </w:r>
      <w:r w:rsidR="0033552F">
        <w:rPr>
          <w:lang w:val="en-GB"/>
        </w:rPr>
        <w:t xml:space="preserve">that is, </w:t>
      </w:r>
      <w:r w:rsidR="00D24F3B" w:rsidRPr="007E3C0F">
        <w:rPr>
          <w:lang w:val="en-GB"/>
        </w:rPr>
        <w:t xml:space="preserve">patients reported an improvement in ESS </w:t>
      </w:r>
      <w:r w:rsidR="006556F4" w:rsidRPr="007E3C0F">
        <w:rPr>
          <w:lang w:val="en-GB"/>
        </w:rPr>
        <w:t xml:space="preserve">because they were </w:t>
      </w:r>
      <w:r w:rsidR="00D24F3B" w:rsidRPr="007E3C0F">
        <w:rPr>
          <w:lang w:val="en-GB"/>
        </w:rPr>
        <w:t>being observed</w:t>
      </w:r>
      <w:r w:rsidR="006556F4" w:rsidRPr="007E3C0F">
        <w:rPr>
          <w:lang w:val="en-GB"/>
        </w:rPr>
        <w:t>)</w:t>
      </w:r>
      <w:r w:rsidR="006E0683" w:rsidRPr="007E3C0F">
        <w:rPr>
          <w:lang w:val="en-GB"/>
        </w:rPr>
        <w:t xml:space="preserve">. The company attempted to adjust for this effect in its economic model by </w:t>
      </w:r>
      <w:r w:rsidRPr="007E3C0F">
        <w:rPr>
          <w:lang w:val="en-GB"/>
        </w:rPr>
        <w:t>remov</w:t>
      </w:r>
      <w:r w:rsidR="006E0683" w:rsidRPr="007E3C0F">
        <w:rPr>
          <w:lang w:val="en-GB"/>
        </w:rPr>
        <w:t>ing</w:t>
      </w:r>
      <w:r w:rsidRPr="007E3C0F">
        <w:rPr>
          <w:lang w:val="en-GB"/>
        </w:rPr>
        <w:t xml:space="preserve"> the </w:t>
      </w:r>
      <w:r w:rsidR="00945002" w:rsidRPr="007E3C0F">
        <w:rPr>
          <w:lang w:val="en-GB"/>
        </w:rPr>
        <w:t xml:space="preserve">improvement in ESS observed in the </w:t>
      </w:r>
      <w:r w:rsidR="00C17DF9" w:rsidRPr="007E3C0F">
        <w:rPr>
          <w:lang w:val="en-GB"/>
        </w:rPr>
        <w:t>placebo</w:t>
      </w:r>
      <w:r w:rsidR="00945002" w:rsidRPr="007E3C0F">
        <w:rPr>
          <w:lang w:val="en-GB"/>
        </w:rPr>
        <w:t xml:space="preserve"> arm</w:t>
      </w:r>
      <w:r w:rsidRPr="007E3C0F">
        <w:rPr>
          <w:lang w:val="en-GB"/>
        </w:rPr>
        <w:t xml:space="preserve"> from both the placebo and</w:t>
      </w:r>
      <w:r w:rsidR="00220A79" w:rsidRPr="007E3C0F">
        <w:rPr>
          <w:lang w:val="en-GB"/>
        </w:rPr>
        <w:t xml:space="preserve"> </w:t>
      </w:r>
      <w:r w:rsidRPr="007E3C0F">
        <w:rPr>
          <w:lang w:val="en-GB"/>
        </w:rPr>
        <w:t>solriamfetol groups</w:t>
      </w:r>
      <w:r w:rsidR="00C17DF9" w:rsidRPr="007E3C0F">
        <w:rPr>
          <w:lang w:val="en-GB"/>
        </w:rPr>
        <w:t xml:space="preserve"> in the model</w:t>
      </w:r>
      <w:r w:rsidRPr="007E3C0F">
        <w:rPr>
          <w:lang w:val="en-GB"/>
        </w:rPr>
        <w:t xml:space="preserve">. </w:t>
      </w:r>
      <w:r w:rsidR="00220A79" w:rsidRPr="007E3C0F">
        <w:rPr>
          <w:lang w:val="en-GB"/>
        </w:rPr>
        <w:t xml:space="preserve">The </w:t>
      </w:r>
      <w:r w:rsidR="00C16B7D" w:rsidRPr="007E3C0F">
        <w:rPr>
          <w:lang w:val="en-GB"/>
        </w:rPr>
        <w:t>ERG favoured</w:t>
      </w:r>
      <w:r w:rsidR="00E94495" w:rsidRPr="007E3C0F">
        <w:rPr>
          <w:lang w:val="en-GB"/>
        </w:rPr>
        <w:t xml:space="preserve"> </w:t>
      </w:r>
      <w:r w:rsidR="00371A70" w:rsidRPr="007E3C0F">
        <w:rPr>
          <w:lang w:val="en-GB"/>
        </w:rPr>
        <w:t xml:space="preserve">a </w:t>
      </w:r>
      <w:r w:rsidR="00E94495" w:rsidRPr="007E3C0F">
        <w:rPr>
          <w:lang w:val="en-GB"/>
        </w:rPr>
        <w:t xml:space="preserve">regression to the mean </w:t>
      </w:r>
      <w:r w:rsidR="00E94495" w:rsidRPr="007E3C0F">
        <w:rPr>
          <w:lang w:val="en-GB"/>
        </w:rPr>
        <w:lastRenderedPageBreak/>
        <w:t>approach</w:t>
      </w:r>
      <w:r w:rsidR="00C87D14" w:rsidRPr="007E3C0F">
        <w:rPr>
          <w:lang w:val="en-GB"/>
        </w:rPr>
        <w:t>, in which</w:t>
      </w:r>
      <w:r w:rsidR="00427C32" w:rsidRPr="007E3C0F">
        <w:rPr>
          <w:lang w:val="en-GB"/>
        </w:rPr>
        <w:t xml:space="preserve"> there is a tendency for extreme values to move closer to the mean when measures are repeated over time</w:t>
      </w:r>
      <w:r w:rsidRPr="007E3C0F">
        <w:rPr>
          <w:lang w:val="en-GB"/>
        </w:rPr>
        <w:t>.</w:t>
      </w:r>
      <w:r w:rsidR="00C16B7D" w:rsidRPr="007E3C0F">
        <w:rPr>
          <w:lang w:val="en-GB"/>
        </w:rPr>
        <w:t xml:space="preserve"> </w:t>
      </w:r>
      <w:r w:rsidR="00427C32" w:rsidRPr="007E3C0F">
        <w:rPr>
          <w:lang w:val="en-GB"/>
        </w:rPr>
        <w:t xml:space="preserve">The ERG </w:t>
      </w:r>
      <w:r w:rsidR="00555041" w:rsidRPr="007E3C0F">
        <w:rPr>
          <w:lang w:val="en-GB"/>
        </w:rPr>
        <w:t>assume</w:t>
      </w:r>
      <w:r w:rsidR="006842AB" w:rsidRPr="007E3C0F">
        <w:rPr>
          <w:lang w:val="en-GB"/>
        </w:rPr>
        <w:t>d</w:t>
      </w:r>
      <w:r w:rsidR="00555041" w:rsidRPr="007E3C0F">
        <w:rPr>
          <w:lang w:val="en-GB"/>
        </w:rPr>
        <w:t xml:space="preserve"> that the response</w:t>
      </w:r>
      <w:r w:rsidR="003E3064" w:rsidRPr="007E3C0F">
        <w:rPr>
          <w:lang w:val="en-GB"/>
        </w:rPr>
        <w:t xml:space="preserve"> to treatment in the placebo</w:t>
      </w:r>
      <w:r w:rsidR="0051145E" w:rsidRPr="007E3C0F">
        <w:rPr>
          <w:lang w:val="en-GB"/>
        </w:rPr>
        <w:t xml:space="preserve"> and </w:t>
      </w:r>
      <w:r w:rsidR="008D54F3" w:rsidRPr="007E3C0F">
        <w:rPr>
          <w:lang w:val="en-GB"/>
        </w:rPr>
        <w:t>solriamfetol</w:t>
      </w:r>
      <w:r w:rsidR="003E3064" w:rsidRPr="007E3C0F">
        <w:rPr>
          <w:lang w:val="en-GB"/>
        </w:rPr>
        <w:t xml:space="preserve"> group</w:t>
      </w:r>
      <w:r w:rsidR="0051145E" w:rsidRPr="007E3C0F">
        <w:rPr>
          <w:lang w:val="en-GB"/>
        </w:rPr>
        <w:t xml:space="preserve">s reported in </w:t>
      </w:r>
      <w:r w:rsidR="0017396F" w:rsidRPr="007E3C0F">
        <w:rPr>
          <w:lang w:val="en-GB"/>
        </w:rPr>
        <w:t>TONES 3</w:t>
      </w:r>
      <w:r w:rsidR="00555041" w:rsidRPr="007E3C0F">
        <w:rPr>
          <w:lang w:val="en-GB"/>
        </w:rPr>
        <w:t xml:space="preserve"> would be </w:t>
      </w:r>
      <w:r w:rsidR="00C87D14" w:rsidRPr="007E3C0F">
        <w:rPr>
          <w:lang w:val="en-GB"/>
        </w:rPr>
        <w:t>the same</w:t>
      </w:r>
      <w:r w:rsidR="00555041" w:rsidRPr="007E3C0F">
        <w:rPr>
          <w:lang w:val="en-GB"/>
        </w:rPr>
        <w:t xml:space="preserve"> in routine practice</w:t>
      </w:r>
      <w:r w:rsidR="00C87D14" w:rsidRPr="007E3C0F">
        <w:rPr>
          <w:lang w:val="en-GB"/>
        </w:rPr>
        <w:t>. It</w:t>
      </w:r>
      <w:r w:rsidR="003E3064" w:rsidRPr="007E3C0F">
        <w:rPr>
          <w:lang w:val="en-GB"/>
        </w:rPr>
        <w:t xml:space="preserve"> </w:t>
      </w:r>
      <w:r w:rsidR="00190565" w:rsidRPr="007E3C0F">
        <w:rPr>
          <w:lang w:val="en-GB"/>
        </w:rPr>
        <w:t>use</w:t>
      </w:r>
      <w:r w:rsidR="00943A80" w:rsidRPr="007E3C0F">
        <w:rPr>
          <w:lang w:val="en-GB"/>
        </w:rPr>
        <w:t>d</w:t>
      </w:r>
      <w:r w:rsidR="00190565" w:rsidRPr="007E3C0F">
        <w:rPr>
          <w:lang w:val="en-GB"/>
        </w:rPr>
        <w:t xml:space="preserve"> the raw unadjusted trial data for the </w:t>
      </w:r>
      <w:r w:rsidR="00C87D14" w:rsidRPr="007E3C0F">
        <w:rPr>
          <w:lang w:val="en-GB"/>
        </w:rPr>
        <w:t xml:space="preserve">placebo with </w:t>
      </w:r>
      <w:r w:rsidR="00E770EA" w:rsidRPr="007E3C0F">
        <w:rPr>
          <w:lang w:val="en-GB"/>
        </w:rPr>
        <w:t xml:space="preserve">standard care </w:t>
      </w:r>
      <w:r w:rsidR="00B3425E" w:rsidRPr="007E3C0F">
        <w:rPr>
          <w:lang w:val="en-GB"/>
        </w:rPr>
        <w:t xml:space="preserve">and solriamfetol </w:t>
      </w:r>
      <w:r w:rsidR="00E770EA" w:rsidRPr="007E3C0F">
        <w:rPr>
          <w:lang w:val="en-GB"/>
        </w:rPr>
        <w:t xml:space="preserve">with standard care </w:t>
      </w:r>
      <w:r w:rsidR="00190565" w:rsidRPr="007E3C0F">
        <w:rPr>
          <w:lang w:val="en-GB"/>
        </w:rPr>
        <w:t>group</w:t>
      </w:r>
      <w:r w:rsidR="00B3425E" w:rsidRPr="007E3C0F">
        <w:rPr>
          <w:lang w:val="en-GB"/>
        </w:rPr>
        <w:t>s</w:t>
      </w:r>
      <w:r w:rsidR="00190565" w:rsidRPr="007E3C0F">
        <w:rPr>
          <w:lang w:val="en-GB"/>
        </w:rPr>
        <w:t xml:space="preserve">. </w:t>
      </w:r>
      <w:r w:rsidR="00F95A44" w:rsidRPr="007E3C0F">
        <w:rPr>
          <w:lang w:val="en-GB"/>
        </w:rPr>
        <w:t xml:space="preserve">During technical </w:t>
      </w:r>
      <w:r w:rsidR="00A77A07" w:rsidRPr="007E3C0F">
        <w:rPr>
          <w:lang w:val="en-GB"/>
        </w:rPr>
        <w:t>engagement,</w:t>
      </w:r>
      <w:r w:rsidR="00F95A44" w:rsidRPr="007E3C0F">
        <w:rPr>
          <w:lang w:val="en-GB"/>
        </w:rPr>
        <w:t xml:space="preserve"> t</w:t>
      </w:r>
      <w:r w:rsidR="00190565" w:rsidRPr="007E3C0F">
        <w:rPr>
          <w:lang w:val="en-GB"/>
        </w:rPr>
        <w:t>he company</w:t>
      </w:r>
      <w:r w:rsidR="00C65242" w:rsidRPr="007E3C0F">
        <w:rPr>
          <w:lang w:val="en-GB"/>
        </w:rPr>
        <w:t xml:space="preserve"> </w:t>
      </w:r>
      <w:r w:rsidR="00190565" w:rsidRPr="007E3C0F">
        <w:rPr>
          <w:lang w:val="en-GB"/>
        </w:rPr>
        <w:t xml:space="preserve">presented </w:t>
      </w:r>
      <w:r w:rsidR="00C65242" w:rsidRPr="007E3C0F">
        <w:rPr>
          <w:lang w:val="en-GB"/>
        </w:rPr>
        <w:t>evidence to suggest there was no</w:t>
      </w:r>
      <w:r w:rsidR="00190565" w:rsidRPr="007E3C0F">
        <w:rPr>
          <w:lang w:val="en-GB"/>
        </w:rPr>
        <w:t xml:space="preserve"> regression to the mean</w:t>
      </w:r>
      <w:r w:rsidR="00C65242" w:rsidRPr="007E3C0F">
        <w:rPr>
          <w:lang w:val="en-GB"/>
        </w:rPr>
        <w:t xml:space="preserve">. </w:t>
      </w:r>
      <w:r w:rsidR="000C10B9" w:rsidRPr="007E3C0F">
        <w:rPr>
          <w:lang w:val="en-GB"/>
        </w:rPr>
        <w:t xml:space="preserve">This included evidence from </w:t>
      </w:r>
      <w:r w:rsidR="00EB7BF5" w:rsidRPr="007E3C0F">
        <w:rPr>
          <w:lang w:val="en-GB"/>
        </w:rPr>
        <w:t xml:space="preserve">people </w:t>
      </w:r>
      <w:r w:rsidR="000C10B9" w:rsidRPr="007E3C0F">
        <w:rPr>
          <w:lang w:val="en-GB"/>
        </w:rPr>
        <w:t xml:space="preserve">transitioning from </w:t>
      </w:r>
      <w:r w:rsidR="0017396F" w:rsidRPr="007E3C0F">
        <w:rPr>
          <w:lang w:val="en-GB"/>
        </w:rPr>
        <w:t>TONES 3</w:t>
      </w:r>
      <w:r w:rsidR="000C10B9" w:rsidRPr="007E3C0F">
        <w:rPr>
          <w:lang w:val="en-GB"/>
        </w:rPr>
        <w:t xml:space="preserve"> to </w:t>
      </w:r>
      <w:r w:rsidR="0017396F" w:rsidRPr="007E3C0F">
        <w:rPr>
          <w:lang w:val="en-GB"/>
        </w:rPr>
        <w:t>TONES 5</w:t>
      </w:r>
      <w:r w:rsidR="007967E7" w:rsidRPr="007E3C0F">
        <w:rPr>
          <w:lang w:val="en-GB"/>
        </w:rPr>
        <w:t>,</w:t>
      </w:r>
      <w:r w:rsidR="006C0EA2" w:rsidRPr="007E3C0F">
        <w:rPr>
          <w:lang w:val="en-GB"/>
        </w:rPr>
        <w:t xml:space="preserve"> a </w:t>
      </w:r>
      <w:r w:rsidR="002B0C48" w:rsidRPr="007E3C0F">
        <w:rPr>
          <w:lang w:val="en-GB"/>
        </w:rPr>
        <w:t>52</w:t>
      </w:r>
      <w:r w:rsidR="0017396F" w:rsidRPr="007E3C0F">
        <w:rPr>
          <w:lang w:val="en-GB"/>
        </w:rPr>
        <w:noBreakHyphen/>
        <w:t>week</w:t>
      </w:r>
      <w:r w:rsidR="006C0EA2" w:rsidRPr="007E3C0F">
        <w:rPr>
          <w:lang w:val="en-GB"/>
        </w:rPr>
        <w:t xml:space="preserve"> open-label </w:t>
      </w:r>
      <w:r w:rsidR="002B0C48" w:rsidRPr="007E3C0F">
        <w:rPr>
          <w:lang w:val="en-GB"/>
        </w:rPr>
        <w:t>trial assessing solriamfetol</w:t>
      </w:r>
      <w:r w:rsidR="009C157B" w:rsidRPr="007E3C0F">
        <w:rPr>
          <w:lang w:val="en-GB"/>
        </w:rPr>
        <w:t>’s long-term</w:t>
      </w:r>
      <w:r w:rsidR="002B0C48" w:rsidRPr="007E3C0F">
        <w:rPr>
          <w:lang w:val="en-GB"/>
        </w:rPr>
        <w:t xml:space="preserve"> effectiveness</w:t>
      </w:r>
      <w:r w:rsidR="006C0EA2" w:rsidRPr="007E3C0F">
        <w:rPr>
          <w:lang w:val="en-GB"/>
        </w:rPr>
        <w:t xml:space="preserve">. </w:t>
      </w:r>
      <w:r w:rsidR="007967E7" w:rsidRPr="007E3C0F">
        <w:rPr>
          <w:lang w:val="en-GB"/>
        </w:rPr>
        <w:t>It included a 2</w:t>
      </w:r>
      <w:r w:rsidR="0017396F" w:rsidRPr="007E3C0F">
        <w:rPr>
          <w:lang w:val="en-GB"/>
        </w:rPr>
        <w:noBreakHyphen/>
        <w:t>week</w:t>
      </w:r>
      <w:r w:rsidR="007967E7" w:rsidRPr="007E3C0F">
        <w:rPr>
          <w:lang w:val="en-GB"/>
        </w:rPr>
        <w:t xml:space="preserve"> placebo-controlled randomised withdrawal phase</w:t>
      </w:r>
      <w:r w:rsidR="002D46FB" w:rsidRPr="007E3C0F">
        <w:rPr>
          <w:lang w:val="en-GB"/>
        </w:rPr>
        <w:t xml:space="preserve"> for patients moving from other TONES trials </w:t>
      </w:r>
      <w:r w:rsidR="00153881" w:rsidRPr="007E3C0F">
        <w:rPr>
          <w:lang w:val="en-GB"/>
        </w:rPr>
        <w:t xml:space="preserve">into </w:t>
      </w:r>
      <w:r w:rsidR="0017396F" w:rsidRPr="007E3C0F">
        <w:rPr>
          <w:lang w:val="en-GB"/>
        </w:rPr>
        <w:t>TONES 5</w:t>
      </w:r>
      <w:r w:rsidR="007967E7" w:rsidRPr="007E3C0F">
        <w:rPr>
          <w:lang w:val="en-GB"/>
        </w:rPr>
        <w:t xml:space="preserve">. </w:t>
      </w:r>
      <w:r w:rsidR="0033552F">
        <w:rPr>
          <w:lang w:val="en-GB"/>
        </w:rPr>
        <w:t>T</w:t>
      </w:r>
      <w:r w:rsidR="006C0EA2" w:rsidRPr="007E3C0F">
        <w:rPr>
          <w:lang w:val="en-GB"/>
        </w:rPr>
        <w:t>ransitioning patients</w:t>
      </w:r>
      <w:r w:rsidR="000C10B9" w:rsidRPr="007E3C0F">
        <w:rPr>
          <w:lang w:val="en-GB"/>
        </w:rPr>
        <w:t xml:space="preserve"> </w:t>
      </w:r>
      <w:r w:rsidR="003E3064" w:rsidRPr="007E3C0F">
        <w:rPr>
          <w:lang w:val="en-GB"/>
        </w:rPr>
        <w:t xml:space="preserve">already </w:t>
      </w:r>
      <w:r w:rsidR="000C10B9" w:rsidRPr="007E3C0F">
        <w:rPr>
          <w:lang w:val="en-GB"/>
        </w:rPr>
        <w:t>being treated with solriamfetol show</w:t>
      </w:r>
      <w:r w:rsidR="006C0880" w:rsidRPr="007E3C0F">
        <w:rPr>
          <w:lang w:val="en-GB"/>
        </w:rPr>
        <w:t>ed</w:t>
      </w:r>
      <w:r w:rsidR="000C10B9" w:rsidRPr="007E3C0F">
        <w:rPr>
          <w:lang w:val="en-GB"/>
        </w:rPr>
        <w:t xml:space="preserve"> a greater improvement in ESS when treatment </w:t>
      </w:r>
      <w:r w:rsidR="006C0880" w:rsidRPr="007E3C0F">
        <w:rPr>
          <w:lang w:val="en-GB"/>
        </w:rPr>
        <w:t>with solriamfetol was</w:t>
      </w:r>
      <w:r w:rsidR="000C10B9" w:rsidRPr="007E3C0F">
        <w:rPr>
          <w:lang w:val="en-GB"/>
        </w:rPr>
        <w:t xml:space="preserve"> unblinded. </w:t>
      </w:r>
      <w:r w:rsidR="0011111E" w:rsidRPr="007E3C0F">
        <w:rPr>
          <w:lang w:val="en-GB"/>
        </w:rPr>
        <w:t>The ERG noted that</w:t>
      </w:r>
      <w:r w:rsidR="002864CF" w:rsidRPr="007E3C0F">
        <w:rPr>
          <w:lang w:val="en-GB"/>
        </w:rPr>
        <w:t xml:space="preserve"> these </w:t>
      </w:r>
      <w:r w:rsidR="00EB7BF5" w:rsidRPr="007E3C0F">
        <w:rPr>
          <w:lang w:val="en-GB"/>
        </w:rPr>
        <w:t xml:space="preserve">people </w:t>
      </w:r>
      <w:r w:rsidR="002864CF" w:rsidRPr="007E3C0F">
        <w:rPr>
          <w:lang w:val="en-GB"/>
        </w:rPr>
        <w:t xml:space="preserve">could be susceptible to selection bias and not fully representative of a typical </w:t>
      </w:r>
      <w:r w:rsidR="00EB7BF5" w:rsidRPr="007E3C0F">
        <w:rPr>
          <w:lang w:val="en-GB"/>
        </w:rPr>
        <w:t>person with obstructive sleep apnoea</w:t>
      </w:r>
      <w:r w:rsidR="002864CF" w:rsidRPr="007E3C0F">
        <w:rPr>
          <w:lang w:val="en-GB"/>
        </w:rPr>
        <w:t xml:space="preserve">. </w:t>
      </w:r>
      <w:r w:rsidR="009C2CA1" w:rsidRPr="007E3C0F">
        <w:rPr>
          <w:lang w:val="en-GB"/>
        </w:rPr>
        <w:t xml:space="preserve">The </w:t>
      </w:r>
      <w:r w:rsidR="00B3425E" w:rsidRPr="007E3C0F">
        <w:rPr>
          <w:lang w:val="en-GB"/>
        </w:rPr>
        <w:t xml:space="preserve">clinical experts </w:t>
      </w:r>
      <w:r w:rsidR="009C2CA1" w:rsidRPr="007E3C0F">
        <w:rPr>
          <w:lang w:val="en-GB"/>
        </w:rPr>
        <w:t>advised that</w:t>
      </w:r>
      <w:r w:rsidR="00F16F86" w:rsidRPr="007E3C0F">
        <w:rPr>
          <w:lang w:val="en-GB"/>
        </w:rPr>
        <w:t xml:space="preserve"> a</w:t>
      </w:r>
      <w:r w:rsidR="00B3425E" w:rsidRPr="007E3C0F">
        <w:rPr>
          <w:lang w:val="en-GB"/>
        </w:rPr>
        <w:t xml:space="preserve"> </w:t>
      </w:r>
      <w:r w:rsidR="009C2CA1" w:rsidRPr="007E3C0F">
        <w:rPr>
          <w:lang w:val="en-GB"/>
        </w:rPr>
        <w:t>placebo effect</w:t>
      </w:r>
      <w:r w:rsidR="0051145E" w:rsidRPr="007E3C0F">
        <w:rPr>
          <w:lang w:val="en-GB"/>
        </w:rPr>
        <w:t xml:space="preserve"> is common</w:t>
      </w:r>
      <w:r w:rsidR="009C2CA1" w:rsidRPr="007E3C0F">
        <w:rPr>
          <w:lang w:val="en-GB"/>
        </w:rPr>
        <w:t xml:space="preserve"> in trials in this disease area </w:t>
      </w:r>
      <w:r w:rsidR="00653106" w:rsidRPr="007E3C0F">
        <w:rPr>
          <w:lang w:val="en-GB"/>
        </w:rPr>
        <w:t>and suggest</w:t>
      </w:r>
      <w:r w:rsidR="002524B5" w:rsidRPr="007E3C0F">
        <w:rPr>
          <w:lang w:val="en-GB"/>
        </w:rPr>
        <w:t>ed</w:t>
      </w:r>
      <w:r w:rsidR="00653106" w:rsidRPr="007E3C0F">
        <w:rPr>
          <w:lang w:val="en-GB"/>
        </w:rPr>
        <w:t xml:space="preserve"> </w:t>
      </w:r>
      <w:r w:rsidR="002524B5" w:rsidRPr="007E3C0F">
        <w:rPr>
          <w:lang w:val="en-GB"/>
        </w:rPr>
        <w:t xml:space="preserve">it could have occurred </w:t>
      </w:r>
      <w:r w:rsidR="00653106" w:rsidRPr="007E3C0F">
        <w:rPr>
          <w:lang w:val="en-GB"/>
        </w:rPr>
        <w:t xml:space="preserve">in the </w:t>
      </w:r>
      <w:r w:rsidR="0017396F" w:rsidRPr="007E3C0F">
        <w:rPr>
          <w:lang w:val="en-GB"/>
        </w:rPr>
        <w:t>TONES 3</w:t>
      </w:r>
      <w:r w:rsidR="00653106" w:rsidRPr="007E3C0F">
        <w:rPr>
          <w:lang w:val="en-GB"/>
        </w:rPr>
        <w:t xml:space="preserve"> </w:t>
      </w:r>
      <w:r w:rsidR="009C157B" w:rsidRPr="007E3C0F">
        <w:rPr>
          <w:lang w:val="en-GB"/>
        </w:rPr>
        <w:t xml:space="preserve">placebo with </w:t>
      </w:r>
      <w:r w:rsidR="00930315" w:rsidRPr="007E3C0F">
        <w:rPr>
          <w:lang w:val="en-GB"/>
        </w:rPr>
        <w:t xml:space="preserve">standard care </w:t>
      </w:r>
      <w:r w:rsidR="00653106" w:rsidRPr="007E3C0F">
        <w:rPr>
          <w:lang w:val="en-GB"/>
        </w:rPr>
        <w:t>group</w:t>
      </w:r>
      <w:r w:rsidR="009C2CA1" w:rsidRPr="007E3C0F">
        <w:rPr>
          <w:lang w:val="en-GB"/>
        </w:rPr>
        <w:t xml:space="preserve">. The </w:t>
      </w:r>
      <w:r w:rsidR="002031C3" w:rsidRPr="007E3C0F">
        <w:rPr>
          <w:lang w:val="en-GB"/>
        </w:rPr>
        <w:t>ERG</w:t>
      </w:r>
      <w:r w:rsidR="009C2CA1" w:rsidRPr="007E3C0F">
        <w:rPr>
          <w:lang w:val="en-GB"/>
        </w:rPr>
        <w:t xml:space="preserve"> </w:t>
      </w:r>
      <w:r w:rsidR="00653106" w:rsidRPr="007E3C0F">
        <w:rPr>
          <w:lang w:val="en-GB"/>
        </w:rPr>
        <w:t xml:space="preserve">advised that </w:t>
      </w:r>
      <w:r w:rsidR="00BE5D55" w:rsidRPr="007E3C0F">
        <w:rPr>
          <w:lang w:val="en-GB"/>
        </w:rPr>
        <w:t xml:space="preserve">natural history data on how </w:t>
      </w:r>
      <w:r w:rsidR="002031C3" w:rsidRPr="007E3C0F">
        <w:rPr>
          <w:lang w:val="en-GB"/>
        </w:rPr>
        <w:t>ESS</w:t>
      </w:r>
      <w:r w:rsidR="009C2CA1" w:rsidRPr="007E3C0F">
        <w:rPr>
          <w:lang w:val="en-GB"/>
        </w:rPr>
        <w:t xml:space="preserve"> </w:t>
      </w:r>
      <w:r w:rsidR="00BE5D55" w:rsidRPr="007E3C0F">
        <w:rPr>
          <w:lang w:val="en-GB"/>
        </w:rPr>
        <w:t xml:space="preserve">changes over time would be useful to determine the type of </w:t>
      </w:r>
      <w:r w:rsidR="0051145E" w:rsidRPr="007E3C0F">
        <w:rPr>
          <w:lang w:val="en-GB"/>
        </w:rPr>
        <w:t xml:space="preserve">adjustment </w:t>
      </w:r>
      <w:r w:rsidR="00FC60A4">
        <w:rPr>
          <w:lang w:val="en-GB"/>
        </w:rPr>
        <w:t>needed</w:t>
      </w:r>
      <w:r w:rsidR="00BE5D55" w:rsidRPr="007E3C0F">
        <w:rPr>
          <w:lang w:val="en-GB"/>
        </w:rPr>
        <w:t xml:space="preserve">. </w:t>
      </w:r>
      <w:r w:rsidR="00F95A44" w:rsidRPr="007E3C0F">
        <w:rPr>
          <w:lang w:val="en-GB"/>
        </w:rPr>
        <w:t>But t</w:t>
      </w:r>
      <w:r w:rsidR="002524B5" w:rsidRPr="007E3C0F">
        <w:rPr>
          <w:lang w:val="en-GB"/>
        </w:rPr>
        <w:t xml:space="preserve">he clinical experts suggested </w:t>
      </w:r>
      <w:r w:rsidR="00F95A44" w:rsidRPr="007E3C0F">
        <w:rPr>
          <w:lang w:val="en-GB"/>
        </w:rPr>
        <w:t xml:space="preserve">these </w:t>
      </w:r>
      <w:r w:rsidR="002524B5" w:rsidRPr="007E3C0F">
        <w:rPr>
          <w:lang w:val="en-GB"/>
        </w:rPr>
        <w:t xml:space="preserve">data do not exist. </w:t>
      </w:r>
      <w:r w:rsidR="00E94495" w:rsidRPr="007E3C0F">
        <w:rPr>
          <w:lang w:val="en-GB"/>
        </w:rPr>
        <w:t xml:space="preserve">The committee </w:t>
      </w:r>
      <w:r w:rsidR="00EA70F0" w:rsidRPr="007E3C0F">
        <w:rPr>
          <w:lang w:val="en-GB"/>
        </w:rPr>
        <w:t xml:space="preserve">accepted </w:t>
      </w:r>
      <w:r w:rsidR="001F2DCB" w:rsidRPr="007E3C0F">
        <w:rPr>
          <w:lang w:val="en-GB"/>
        </w:rPr>
        <w:t xml:space="preserve">that </w:t>
      </w:r>
      <w:r w:rsidR="00F95A44" w:rsidRPr="007E3C0F">
        <w:rPr>
          <w:lang w:val="en-GB"/>
        </w:rPr>
        <w:t xml:space="preserve">there was likely to have been </w:t>
      </w:r>
      <w:r w:rsidR="001F2DCB" w:rsidRPr="007E3C0F">
        <w:rPr>
          <w:lang w:val="en-GB"/>
        </w:rPr>
        <w:t>some observation bias in the trial</w:t>
      </w:r>
      <w:r w:rsidR="003B1EBE" w:rsidRPr="007E3C0F">
        <w:rPr>
          <w:lang w:val="en-GB"/>
        </w:rPr>
        <w:t xml:space="preserve">. </w:t>
      </w:r>
      <w:r w:rsidR="0051145E" w:rsidRPr="007E3C0F">
        <w:rPr>
          <w:lang w:val="en-GB"/>
        </w:rPr>
        <w:t xml:space="preserve">It acknowledged that there may be some </w:t>
      </w:r>
      <w:r w:rsidR="00F16F86" w:rsidRPr="007E3C0F">
        <w:rPr>
          <w:lang w:val="en-GB"/>
        </w:rPr>
        <w:t>regression to the mean</w:t>
      </w:r>
      <w:r w:rsidR="0051145E" w:rsidRPr="007E3C0F">
        <w:rPr>
          <w:lang w:val="en-GB"/>
        </w:rPr>
        <w:t>, so there was a need to understand its potential impact in sensitivity analys</w:t>
      </w:r>
      <w:r w:rsidR="00F16F86" w:rsidRPr="007E3C0F">
        <w:rPr>
          <w:lang w:val="en-GB"/>
        </w:rPr>
        <w:t>e</w:t>
      </w:r>
      <w:r w:rsidR="0051145E" w:rsidRPr="007E3C0F">
        <w:rPr>
          <w:lang w:val="en-GB"/>
        </w:rPr>
        <w:t>s. T</w:t>
      </w:r>
      <w:r w:rsidR="003B1EBE" w:rsidRPr="007E3C0F">
        <w:rPr>
          <w:lang w:val="en-GB"/>
        </w:rPr>
        <w:t xml:space="preserve">he company’s method for adjusting for </w:t>
      </w:r>
      <w:r w:rsidR="004A3719">
        <w:rPr>
          <w:lang w:val="en-GB"/>
        </w:rPr>
        <w:t>observation bias</w:t>
      </w:r>
      <w:r w:rsidR="0033552F" w:rsidRPr="007E3C0F">
        <w:rPr>
          <w:lang w:val="en-GB"/>
        </w:rPr>
        <w:t xml:space="preserve"> </w:t>
      </w:r>
      <w:r w:rsidR="003B1EBE" w:rsidRPr="007E3C0F">
        <w:rPr>
          <w:lang w:val="en-GB"/>
        </w:rPr>
        <w:t>in the economic model</w:t>
      </w:r>
      <w:r w:rsidR="0051145E" w:rsidRPr="007E3C0F">
        <w:rPr>
          <w:lang w:val="en-GB"/>
        </w:rPr>
        <w:t xml:space="preserve"> was plausible</w:t>
      </w:r>
      <w:r w:rsidR="009C157B" w:rsidRPr="007E3C0F">
        <w:rPr>
          <w:lang w:val="en-GB"/>
        </w:rPr>
        <w:t>.</w:t>
      </w:r>
      <w:r w:rsidR="003B1EBE" w:rsidRPr="007E3C0F">
        <w:rPr>
          <w:lang w:val="en-GB"/>
        </w:rPr>
        <w:t xml:space="preserve"> </w:t>
      </w:r>
      <w:r w:rsidR="009C157B" w:rsidRPr="007E3C0F">
        <w:rPr>
          <w:lang w:val="en-GB"/>
        </w:rPr>
        <w:t>B</w:t>
      </w:r>
      <w:r w:rsidR="003B1EBE" w:rsidRPr="007E3C0F">
        <w:rPr>
          <w:lang w:val="en-GB"/>
        </w:rPr>
        <w:t>ut</w:t>
      </w:r>
      <w:r w:rsidR="0051145E" w:rsidRPr="007E3C0F">
        <w:rPr>
          <w:lang w:val="en-GB"/>
        </w:rPr>
        <w:t xml:space="preserve"> the committee</w:t>
      </w:r>
      <w:r w:rsidR="003B1EBE" w:rsidRPr="007E3C0F">
        <w:rPr>
          <w:lang w:val="en-GB"/>
        </w:rPr>
        <w:t xml:space="preserve"> would have preferred to </w:t>
      </w:r>
      <w:r w:rsidR="00F95A44" w:rsidRPr="007E3C0F">
        <w:rPr>
          <w:lang w:val="en-GB"/>
        </w:rPr>
        <w:t>see</w:t>
      </w:r>
      <w:r w:rsidR="003B1EBE" w:rsidRPr="007E3C0F">
        <w:rPr>
          <w:lang w:val="en-GB"/>
        </w:rPr>
        <w:t xml:space="preserve"> some </w:t>
      </w:r>
      <w:r w:rsidR="007D4BE0" w:rsidRPr="007E3C0F">
        <w:rPr>
          <w:lang w:val="en-GB"/>
        </w:rPr>
        <w:t>threshold analysis assuming a regression to the mean effect</w:t>
      </w:r>
      <w:r w:rsidR="002C72D6" w:rsidRPr="007E3C0F">
        <w:rPr>
          <w:lang w:val="en-GB"/>
        </w:rPr>
        <w:t xml:space="preserve"> or external data to better understand variations in ESS over time, had this existed</w:t>
      </w:r>
      <w:r w:rsidR="007D4BE0" w:rsidRPr="007E3C0F">
        <w:rPr>
          <w:lang w:val="en-GB"/>
        </w:rPr>
        <w:t>. The committee concluded that the company’s adjustment for observation bias effect in its model was</w:t>
      </w:r>
      <w:r w:rsidR="002C72D6" w:rsidRPr="007E3C0F">
        <w:rPr>
          <w:lang w:val="en-GB"/>
        </w:rPr>
        <w:t xml:space="preserve"> </w:t>
      </w:r>
      <w:r w:rsidR="00F03D95" w:rsidRPr="007E3C0F">
        <w:rPr>
          <w:lang w:val="en-GB"/>
        </w:rPr>
        <w:t xml:space="preserve">plausible </w:t>
      </w:r>
      <w:r w:rsidR="00F95A44" w:rsidRPr="007E3C0F">
        <w:rPr>
          <w:lang w:val="en-GB"/>
        </w:rPr>
        <w:t xml:space="preserve">although </w:t>
      </w:r>
      <w:r w:rsidR="0051145E" w:rsidRPr="007E3C0F">
        <w:rPr>
          <w:lang w:val="en-GB"/>
        </w:rPr>
        <w:t xml:space="preserve">considerable </w:t>
      </w:r>
      <w:r w:rsidR="007D4BE0" w:rsidRPr="007E3C0F">
        <w:rPr>
          <w:lang w:val="en-GB"/>
        </w:rPr>
        <w:t>uncertainty remains</w:t>
      </w:r>
      <w:r w:rsidR="00E94495" w:rsidRPr="007E3C0F">
        <w:rPr>
          <w:lang w:val="en-GB"/>
        </w:rPr>
        <w:t>.</w:t>
      </w:r>
    </w:p>
    <w:p w14:paraId="343089A6" w14:textId="3C3FF2E4" w:rsidR="003300DB" w:rsidRPr="007E3C0F" w:rsidRDefault="00390838" w:rsidP="00390838">
      <w:pPr>
        <w:pStyle w:val="Heading3"/>
      </w:pPr>
      <w:r w:rsidRPr="007E3C0F">
        <w:lastRenderedPageBreak/>
        <w:t xml:space="preserve">The </w:t>
      </w:r>
      <w:r w:rsidR="003363E2" w:rsidRPr="007E3C0F">
        <w:t xml:space="preserve">ERG’s </w:t>
      </w:r>
      <w:r w:rsidRPr="007E3C0F">
        <w:t xml:space="preserve">model </w:t>
      </w:r>
      <w:r w:rsidR="0011116F" w:rsidRPr="007E3C0F">
        <w:t xml:space="preserve">structure </w:t>
      </w:r>
      <w:r w:rsidR="00C0687D" w:rsidRPr="007E3C0F">
        <w:t xml:space="preserve">is </w:t>
      </w:r>
      <w:r w:rsidR="009E7760" w:rsidRPr="007E3C0F">
        <w:t xml:space="preserve">suitable </w:t>
      </w:r>
      <w:r w:rsidR="000168D7" w:rsidRPr="007E3C0F">
        <w:t xml:space="preserve">but </w:t>
      </w:r>
      <w:r w:rsidR="00625F2B">
        <w:t xml:space="preserve">has </w:t>
      </w:r>
      <w:r w:rsidR="000168D7" w:rsidRPr="007E3C0F">
        <w:t xml:space="preserve">some </w:t>
      </w:r>
      <w:proofErr w:type="gramStart"/>
      <w:r w:rsidR="000168D7" w:rsidRPr="007E3C0F">
        <w:t>limitations</w:t>
      </w:r>
      <w:proofErr w:type="gramEnd"/>
    </w:p>
    <w:p w14:paraId="18DFB1E4" w14:textId="6186F197" w:rsidR="003300DB" w:rsidRPr="007E3C0F" w:rsidRDefault="00390838" w:rsidP="00390838">
      <w:pPr>
        <w:pStyle w:val="Numberedlevel2text"/>
        <w:rPr>
          <w:lang w:val="en-GB"/>
        </w:rPr>
      </w:pPr>
      <w:r w:rsidRPr="007E3C0F">
        <w:rPr>
          <w:lang w:val="en-GB"/>
        </w:rPr>
        <w:t xml:space="preserve">The </w:t>
      </w:r>
      <w:r w:rsidR="002031C3" w:rsidRPr="007E3C0F">
        <w:rPr>
          <w:lang w:val="en-GB"/>
        </w:rPr>
        <w:t>ERG</w:t>
      </w:r>
      <w:r w:rsidRPr="007E3C0F">
        <w:rPr>
          <w:lang w:val="en-GB"/>
        </w:rPr>
        <w:t xml:space="preserve"> </w:t>
      </w:r>
      <w:r w:rsidR="00CE2DE8" w:rsidRPr="007E3C0F">
        <w:rPr>
          <w:lang w:val="en-GB"/>
        </w:rPr>
        <w:t>added</w:t>
      </w:r>
      <w:r w:rsidRPr="007E3C0F">
        <w:rPr>
          <w:lang w:val="en-GB"/>
        </w:rPr>
        <w:t xml:space="preserve"> </w:t>
      </w:r>
      <w:r w:rsidR="00CE2DE8" w:rsidRPr="007E3C0F">
        <w:rPr>
          <w:lang w:val="en-GB"/>
        </w:rPr>
        <w:t>a new</w:t>
      </w:r>
      <w:r w:rsidR="0051145E" w:rsidRPr="007E3C0F">
        <w:rPr>
          <w:lang w:val="en-GB"/>
        </w:rPr>
        <w:t xml:space="preserve"> health</w:t>
      </w:r>
      <w:r w:rsidR="00CE2DE8" w:rsidRPr="007E3C0F">
        <w:rPr>
          <w:lang w:val="en-GB"/>
        </w:rPr>
        <w:t xml:space="preserve"> state</w:t>
      </w:r>
      <w:r w:rsidRPr="007E3C0F">
        <w:rPr>
          <w:lang w:val="en-GB"/>
        </w:rPr>
        <w:t xml:space="preserve"> to the company’s model to </w:t>
      </w:r>
      <w:r w:rsidR="00470626" w:rsidRPr="007E3C0F">
        <w:rPr>
          <w:lang w:val="en-GB"/>
        </w:rPr>
        <w:t>allow</w:t>
      </w:r>
      <w:r w:rsidR="002A2342" w:rsidRPr="007E3C0F">
        <w:rPr>
          <w:lang w:val="en-GB"/>
        </w:rPr>
        <w:t xml:space="preserve"> for a response to treatment in the </w:t>
      </w:r>
      <w:r w:rsidR="006A2BC5" w:rsidRPr="007E3C0F">
        <w:rPr>
          <w:lang w:val="en-GB"/>
        </w:rPr>
        <w:t>standard care alone</w:t>
      </w:r>
      <w:r w:rsidR="00E45A35" w:rsidRPr="007E3C0F">
        <w:rPr>
          <w:lang w:val="en-GB"/>
        </w:rPr>
        <w:t xml:space="preserve"> </w:t>
      </w:r>
      <w:r w:rsidR="0051145E" w:rsidRPr="007E3C0F">
        <w:rPr>
          <w:lang w:val="en-GB"/>
        </w:rPr>
        <w:t>group</w:t>
      </w:r>
      <w:r w:rsidRPr="007E3C0F">
        <w:rPr>
          <w:lang w:val="en-GB"/>
        </w:rPr>
        <w:t>. The company’s model</w:t>
      </w:r>
      <w:r w:rsidR="00CE2DE8" w:rsidRPr="007E3C0F">
        <w:rPr>
          <w:lang w:val="en-GB"/>
        </w:rPr>
        <w:t xml:space="preserve"> did </w:t>
      </w:r>
      <w:r w:rsidRPr="007E3C0F">
        <w:rPr>
          <w:lang w:val="en-GB"/>
        </w:rPr>
        <w:t xml:space="preserve">not </w:t>
      </w:r>
      <w:r w:rsidR="00CE2DE8" w:rsidRPr="007E3C0F">
        <w:rPr>
          <w:lang w:val="en-GB"/>
        </w:rPr>
        <w:t xml:space="preserve">include a response to treatment in the </w:t>
      </w:r>
      <w:r w:rsidR="0051145E" w:rsidRPr="007E3C0F">
        <w:rPr>
          <w:lang w:val="en-GB"/>
        </w:rPr>
        <w:t xml:space="preserve">standard care </w:t>
      </w:r>
      <w:r w:rsidR="006A2BC5" w:rsidRPr="007E3C0F">
        <w:rPr>
          <w:lang w:val="en-GB"/>
        </w:rPr>
        <w:t>alone</w:t>
      </w:r>
      <w:r w:rsidR="00CE2DE8" w:rsidRPr="007E3C0F">
        <w:rPr>
          <w:lang w:val="en-GB"/>
        </w:rPr>
        <w:t xml:space="preserve"> group</w:t>
      </w:r>
      <w:r w:rsidR="00743AAB" w:rsidRPr="007E3C0F">
        <w:rPr>
          <w:lang w:val="en-GB"/>
        </w:rPr>
        <w:t xml:space="preserve">, assuming any response was caused by </w:t>
      </w:r>
      <w:r w:rsidR="007400B1" w:rsidRPr="007E3C0F">
        <w:rPr>
          <w:lang w:val="en-GB"/>
        </w:rPr>
        <w:t>a</w:t>
      </w:r>
      <w:r w:rsidR="00CE2DE8" w:rsidRPr="007E3C0F">
        <w:rPr>
          <w:lang w:val="en-GB"/>
        </w:rPr>
        <w:t xml:space="preserve"> </w:t>
      </w:r>
      <w:r w:rsidR="00470626" w:rsidRPr="007E3C0F">
        <w:rPr>
          <w:lang w:val="en-GB"/>
        </w:rPr>
        <w:t>Hawthorne</w:t>
      </w:r>
      <w:r w:rsidR="007400B1" w:rsidRPr="007E3C0F">
        <w:rPr>
          <w:lang w:val="en-GB"/>
        </w:rPr>
        <w:t xml:space="preserve"> effect (see </w:t>
      </w:r>
      <w:r w:rsidR="0017396F" w:rsidRPr="007E3C0F">
        <w:rPr>
          <w:lang w:val="en-GB"/>
        </w:rPr>
        <w:t>section </w:t>
      </w:r>
      <w:r w:rsidR="007400B1" w:rsidRPr="007E3C0F">
        <w:rPr>
          <w:lang w:val="en-GB"/>
        </w:rPr>
        <w:t>3.</w:t>
      </w:r>
      <w:r w:rsidR="00835772" w:rsidRPr="007E3C0F">
        <w:rPr>
          <w:lang w:val="en-GB"/>
        </w:rPr>
        <w:t>9</w:t>
      </w:r>
      <w:r w:rsidR="007400B1" w:rsidRPr="007E3C0F">
        <w:rPr>
          <w:lang w:val="en-GB"/>
        </w:rPr>
        <w:t>)</w:t>
      </w:r>
      <w:r w:rsidR="00470626" w:rsidRPr="007E3C0F">
        <w:rPr>
          <w:lang w:val="en-GB"/>
        </w:rPr>
        <w:t>.</w:t>
      </w:r>
      <w:r w:rsidR="00CE2DE8" w:rsidRPr="007E3C0F">
        <w:rPr>
          <w:lang w:val="en-GB"/>
        </w:rPr>
        <w:t xml:space="preserve"> </w:t>
      </w:r>
      <w:r w:rsidR="00470626" w:rsidRPr="007E3C0F">
        <w:rPr>
          <w:lang w:val="en-GB"/>
        </w:rPr>
        <w:t xml:space="preserve">The committee </w:t>
      </w:r>
      <w:r w:rsidR="00743AAB" w:rsidRPr="007E3C0F">
        <w:rPr>
          <w:lang w:val="en-GB"/>
        </w:rPr>
        <w:t>was</w:t>
      </w:r>
      <w:r w:rsidR="00470626" w:rsidRPr="007E3C0F">
        <w:rPr>
          <w:lang w:val="en-GB"/>
        </w:rPr>
        <w:t xml:space="preserve"> concerned about the</w:t>
      </w:r>
      <w:r w:rsidR="00C72767" w:rsidRPr="007E3C0F">
        <w:rPr>
          <w:lang w:val="en-GB"/>
        </w:rPr>
        <w:t xml:space="preserve"> validity of </w:t>
      </w:r>
      <w:r w:rsidR="008A0024" w:rsidRPr="007E3C0F">
        <w:rPr>
          <w:lang w:val="en-GB"/>
        </w:rPr>
        <w:t xml:space="preserve">some outputs </w:t>
      </w:r>
      <w:r w:rsidR="00C72767" w:rsidRPr="007E3C0F">
        <w:rPr>
          <w:lang w:val="en-GB"/>
        </w:rPr>
        <w:t>generated</w:t>
      </w:r>
      <w:r w:rsidR="00143E9F" w:rsidRPr="007E3C0F">
        <w:rPr>
          <w:lang w:val="en-GB"/>
        </w:rPr>
        <w:t xml:space="preserve"> by the ERG</w:t>
      </w:r>
      <w:r w:rsidR="00CB1FD0" w:rsidRPr="007E3C0F">
        <w:rPr>
          <w:lang w:val="en-GB"/>
        </w:rPr>
        <w:t>’</w:t>
      </w:r>
      <w:r w:rsidR="00143E9F" w:rsidRPr="007E3C0F">
        <w:rPr>
          <w:lang w:val="en-GB"/>
        </w:rPr>
        <w:t xml:space="preserve">s model, </w:t>
      </w:r>
      <w:r w:rsidR="00155A96" w:rsidRPr="007E3C0F">
        <w:rPr>
          <w:lang w:val="en-GB"/>
        </w:rPr>
        <w:t>including</w:t>
      </w:r>
      <w:r w:rsidR="00743AAB" w:rsidRPr="007E3C0F">
        <w:rPr>
          <w:lang w:val="en-GB"/>
        </w:rPr>
        <w:t xml:space="preserve"> </w:t>
      </w:r>
      <w:r w:rsidR="00CB1FD0" w:rsidRPr="007E3C0F">
        <w:rPr>
          <w:lang w:val="en-GB"/>
        </w:rPr>
        <w:t xml:space="preserve">the </w:t>
      </w:r>
      <w:r w:rsidR="00C54080" w:rsidRPr="007E3C0F">
        <w:rPr>
          <w:lang w:val="en-GB"/>
        </w:rPr>
        <w:t>percentage</w:t>
      </w:r>
      <w:r w:rsidR="00EB0B6A" w:rsidRPr="007E3C0F">
        <w:rPr>
          <w:lang w:val="en-GB"/>
        </w:rPr>
        <w:t xml:space="preserve"> </w:t>
      </w:r>
      <w:r w:rsidR="003517D4" w:rsidRPr="007E3C0F">
        <w:rPr>
          <w:lang w:val="en-GB"/>
        </w:rPr>
        <w:t xml:space="preserve">of people </w:t>
      </w:r>
      <w:r w:rsidR="007631AF" w:rsidRPr="007E3C0F">
        <w:rPr>
          <w:lang w:val="en-GB"/>
        </w:rPr>
        <w:t xml:space="preserve">in the </w:t>
      </w:r>
      <w:r w:rsidR="00E45A35" w:rsidRPr="007E3C0F">
        <w:rPr>
          <w:lang w:val="en-GB"/>
        </w:rPr>
        <w:t>standard care</w:t>
      </w:r>
      <w:r w:rsidR="007631AF" w:rsidRPr="007E3C0F">
        <w:rPr>
          <w:lang w:val="en-GB"/>
        </w:rPr>
        <w:t xml:space="preserve"> group</w:t>
      </w:r>
      <w:r w:rsidR="003517D4" w:rsidRPr="007E3C0F">
        <w:rPr>
          <w:lang w:val="en-GB"/>
        </w:rPr>
        <w:t xml:space="preserve"> </w:t>
      </w:r>
      <w:r w:rsidR="00C54080" w:rsidRPr="007E3C0F">
        <w:rPr>
          <w:lang w:val="en-GB"/>
        </w:rPr>
        <w:t xml:space="preserve">who </w:t>
      </w:r>
      <w:r w:rsidR="00F047D3" w:rsidRPr="007E3C0F">
        <w:rPr>
          <w:lang w:val="en-GB"/>
        </w:rPr>
        <w:t>still hav</w:t>
      </w:r>
      <w:r w:rsidR="007631AF" w:rsidRPr="007E3C0F">
        <w:rPr>
          <w:lang w:val="en-GB"/>
        </w:rPr>
        <w:t>e</w:t>
      </w:r>
      <w:r w:rsidR="00F047D3" w:rsidRPr="007E3C0F">
        <w:rPr>
          <w:lang w:val="en-GB"/>
        </w:rPr>
        <w:t xml:space="preserve"> a</w:t>
      </w:r>
      <w:r w:rsidR="003517D4" w:rsidRPr="007E3C0F">
        <w:rPr>
          <w:lang w:val="en-GB"/>
        </w:rPr>
        <w:t xml:space="preserve"> response</w:t>
      </w:r>
      <w:r w:rsidR="00E45A35" w:rsidRPr="007E3C0F">
        <w:rPr>
          <w:lang w:val="en-GB"/>
        </w:rPr>
        <w:t xml:space="preserve"> to treatment</w:t>
      </w:r>
      <w:r w:rsidR="00F047D3" w:rsidRPr="007E3C0F">
        <w:rPr>
          <w:lang w:val="en-GB"/>
        </w:rPr>
        <w:t xml:space="preserve"> at </w:t>
      </w:r>
      <w:r w:rsidR="00143E9F" w:rsidRPr="007E3C0F">
        <w:rPr>
          <w:lang w:val="en-GB"/>
        </w:rPr>
        <w:t>3</w:t>
      </w:r>
      <w:r w:rsidR="0017396F" w:rsidRPr="007E3C0F">
        <w:rPr>
          <w:lang w:val="en-GB"/>
        </w:rPr>
        <w:t> years</w:t>
      </w:r>
      <w:r w:rsidR="00143E9F" w:rsidRPr="007E3C0F">
        <w:rPr>
          <w:lang w:val="en-GB"/>
        </w:rPr>
        <w:t xml:space="preserve"> and </w:t>
      </w:r>
      <w:r w:rsidR="00F047D3" w:rsidRPr="007E3C0F">
        <w:rPr>
          <w:lang w:val="en-GB"/>
        </w:rPr>
        <w:t>10</w:t>
      </w:r>
      <w:r w:rsidR="0017396F" w:rsidRPr="007E3C0F">
        <w:rPr>
          <w:lang w:val="en-GB"/>
        </w:rPr>
        <w:t> years</w:t>
      </w:r>
      <w:r w:rsidR="00C54080" w:rsidRPr="007E3C0F">
        <w:rPr>
          <w:lang w:val="en-GB"/>
        </w:rPr>
        <w:t xml:space="preserve"> (the figures are commercial in confidence and cannot be reported here)</w:t>
      </w:r>
      <w:r w:rsidR="00C316B1" w:rsidRPr="007E3C0F">
        <w:rPr>
          <w:lang w:val="en-GB"/>
        </w:rPr>
        <w:t>.</w:t>
      </w:r>
      <w:r w:rsidR="00BD28EE" w:rsidRPr="007E3C0F">
        <w:rPr>
          <w:lang w:val="en-GB"/>
        </w:rPr>
        <w:t xml:space="preserve"> They noted that the level of response in the standard care alone group and the difference between the </w:t>
      </w:r>
      <w:r w:rsidR="00205893" w:rsidRPr="007E3C0F">
        <w:rPr>
          <w:lang w:val="en-GB"/>
        </w:rPr>
        <w:t xml:space="preserve">2 </w:t>
      </w:r>
      <w:r w:rsidR="00BD28EE" w:rsidRPr="007E3C0F">
        <w:rPr>
          <w:lang w:val="en-GB"/>
        </w:rPr>
        <w:t>groups was implausible.</w:t>
      </w:r>
      <w:r w:rsidR="003C1647" w:rsidRPr="007E3C0F">
        <w:rPr>
          <w:lang w:val="en-GB"/>
        </w:rPr>
        <w:t xml:space="preserve"> The committee</w:t>
      </w:r>
      <w:r w:rsidR="004B39C4" w:rsidRPr="007E3C0F">
        <w:rPr>
          <w:lang w:val="en-GB"/>
        </w:rPr>
        <w:t xml:space="preserve"> asked the company to explore </w:t>
      </w:r>
      <w:r w:rsidR="004F74B3">
        <w:rPr>
          <w:lang w:val="en-GB"/>
        </w:rPr>
        <w:t>the</w:t>
      </w:r>
      <w:r w:rsidR="004415A9" w:rsidRPr="007E3C0F">
        <w:rPr>
          <w:lang w:val="en-GB"/>
        </w:rPr>
        <w:t xml:space="preserve"> </w:t>
      </w:r>
      <w:r w:rsidR="003C1647" w:rsidRPr="007E3C0F">
        <w:rPr>
          <w:lang w:val="en-GB"/>
        </w:rPr>
        <w:t>regression to the mean effect</w:t>
      </w:r>
      <w:r w:rsidR="004B39C4" w:rsidRPr="007E3C0F">
        <w:rPr>
          <w:lang w:val="en-GB"/>
        </w:rPr>
        <w:t>, as modelled in the ERG’s 4</w:t>
      </w:r>
      <w:r w:rsidR="0017396F" w:rsidRPr="007E3C0F">
        <w:rPr>
          <w:lang w:val="en-GB"/>
        </w:rPr>
        <w:noBreakHyphen/>
      </w:r>
      <w:r w:rsidR="004B39C4" w:rsidRPr="007E3C0F">
        <w:rPr>
          <w:lang w:val="en-GB"/>
        </w:rPr>
        <w:t>state model</w:t>
      </w:r>
      <w:r w:rsidR="00D46CE9" w:rsidRPr="007E3C0F">
        <w:rPr>
          <w:lang w:val="en-GB"/>
        </w:rPr>
        <w:t xml:space="preserve"> (see </w:t>
      </w:r>
      <w:r w:rsidR="0017396F" w:rsidRPr="007E3C0F">
        <w:rPr>
          <w:lang w:val="en-GB"/>
        </w:rPr>
        <w:t>section </w:t>
      </w:r>
      <w:r w:rsidR="00D46CE9" w:rsidRPr="007E3C0F">
        <w:rPr>
          <w:lang w:val="en-GB"/>
        </w:rPr>
        <w:t>3.9)</w:t>
      </w:r>
      <w:r w:rsidR="004B39C4" w:rsidRPr="007E3C0F">
        <w:rPr>
          <w:lang w:val="en-GB"/>
        </w:rPr>
        <w:t>,</w:t>
      </w:r>
      <w:r w:rsidR="008A2C0E" w:rsidRPr="007E3C0F">
        <w:rPr>
          <w:lang w:val="en-GB"/>
        </w:rPr>
        <w:t xml:space="preserve"> in threshold analyses</w:t>
      </w:r>
      <w:r w:rsidR="003C1647" w:rsidRPr="007E3C0F">
        <w:rPr>
          <w:lang w:val="en-GB"/>
        </w:rPr>
        <w:t>.</w:t>
      </w:r>
      <w:r w:rsidR="008A2C0E" w:rsidRPr="007E3C0F">
        <w:rPr>
          <w:lang w:val="en-GB"/>
        </w:rPr>
        <w:t xml:space="preserve"> </w:t>
      </w:r>
      <w:r w:rsidRPr="007E3C0F">
        <w:rPr>
          <w:lang w:val="en-GB"/>
        </w:rPr>
        <w:t xml:space="preserve">The committee concluded that </w:t>
      </w:r>
      <w:r w:rsidR="003517D4" w:rsidRPr="007E3C0F">
        <w:rPr>
          <w:lang w:val="en-GB"/>
        </w:rPr>
        <w:t>the ERG’</w:t>
      </w:r>
      <w:r w:rsidR="00F047D3" w:rsidRPr="007E3C0F">
        <w:rPr>
          <w:lang w:val="en-GB"/>
        </w:rPr>
        <w:t xml:space="preserve">s </w:t>
      </w:r>
      <w:r w:rsidRPr="007E3C0F">
        <w:rPr>
          <w:lang w:val="en-GB"/>
        </w:rPr>
        <w:t>model</w:t>
      </w:r>
      <w:r w:rsidR="00D62B22" w:rsidRPr="007E3C0F">
        <w:rPr>
          <w:lang w:val="en-GB"/>
        </w:rPr>
        <w:t xml:space="preserve"> structure</w:t>
      </w:r>
      <w:r w:rsidRPr="007E3C0F">
        <w:rPr>
          <w:lang w:val="en-GB"/>
        </w:rPr>
        <w:t xml:space="preserve"> </w:t>
      </w:r>
      <w:r w:rsidR="004B39C4" w:rsidRPr="007E3C0F">
        <w:rPr>
          <w:lang w:val="en-GB"/>
        </w:rPr>
        <w:t xml:space="preserve">was </w:t>
      </w:r>
      <w:r w:rsidR="00D62B22" w:rsidRPr="007E3C0F">
        <w:rPr>
          <w:lang w:val="en-GB"/>
        </w:rPr>
        <w:t>suitable</w:t>
      </w:r>
      <w:r w:rsidR="005143A7" w:rsidRPr="007E3C0F">
        <w:rPr>
          <w:lang w:val="en-GB"/>
        </w:rPr>
        <w:t xml:space="preserve"> </w:t>
      </w:r>
      <w:r w:rsidR="00D62B22" w:rsidRPr="007E3C0F">
        <w:rPr>
          <w:lang w:val="en-GB"/>
        </w:rPr>
        <w:t xml:space="preserve">but </w:t>
      </w:r>
      <w:r w:rsidR="004B39C4" w:rsidRPr="007E3C0F">
        <w:rPr>
          <w:lang w:val="en-GB"/>
        </w:rPr>
        <w:t xml:space="preserve">with </w:t>
      </w:r>
      <w:r w:rsidR="00D62B22" w:rsidRPr="007E3C0F">
        <w:rPr>
          <w:lang w:val="en-GB"/>
        </w:rPr>
        <w:t>some limitations</w:t>
      </w:r>
      <w:r w:rsidRPr="007E3C0F">
        <w:rPr>
          <w:lang w:val="en-GB"/>
        </w:rPr>
        <w:t>.</w:t>
      </w:r>
    </w:p>
    <w:p w14:paraId="37062E3A" w14:textId="23697825" w:rsidR="001A5EA6" w:rsidRPr="007E3C0F" w:rsidRDefault="001A1B44" w:rsidP="001A1B44">
      <w:pPr>
        <w:pStyle w:val="Heading3"/>
      </w:pPr>
      <w:r w:rsidRPr="007E3C0F">
        <w:t xml:space="preserve">Changes in quality of life may not be adequately captured by mapping the </w:t>
      </w:r>
      <w:r w:rsidR="00C600AC" w:rsidRPr="007E3C0F">
        <w:t>ESS</w:t>
      </w:r>
      <w:r w:rsidRPr="007E3C0F">
        <w:t xml:space="preserve"> to the </w:t>
      </w:r>
      <w:r w:rsidR="0017396F" w:rsidRPr="007E3C0F">
        <w:t>EQ</w:t>
      </w:r>
      <w:r w:rsidR="0017396F" w:rsidRPr="007E3C0F">
        <w:noBreakHyphen/>
      </w:r>
      <w:proofErr w:type="gramStart"/>
      <w:r w:rsidRPr="007E3C0F">
        <w:t>5D</w:t>
      </w:r>
      <w:proofErr w:type="gramEnd"/>
    </w:p>
    <w:bookmarkEnd w:id="3"/>
    <w:p w14:paraId="6D9CBD14" w14:textId="306AC38B" w:rsidR="001A5083" w:rsidRPr="007E3C0F" w:rsidRDefault="00B95871" w:rsidP="0024047B">
      <w:pPr>
        <w:pStyle w:val="Numberedlevel2text"/>
        <w:rPr>
          <w:lang w:val="en-GB"/>
        </w:rPr>
      </w:pPr>
      <w:r w:rsidRPr="007E3C0F">
        <w:rPr>
          <w:lang w:val="en-GB"/>
        </w:rPr>
        <w:t>The company explained that</w:t>
      </w:r>
      <w:r w:rsidR="00560B58" w:rsidRPr="007E3C0F">
        <w:rPr>
          <w:lang w:val="en-GB"/>
        </w:rPr>
        <w:t>, because</w:t>
      </w:r>
      <w:r w:rsidRPr="007E3C0F">
        <w:rPr>
          <w:lang w:val="en-GB"/>
        </w:rPr>
        <w:t xml:space="preserve"> the </w:t>
      </w:r>
      <w:r w:rsidR="0017396F" w:rsidRPr="007E3C0F">
        <w:rPr>
          <w:lang w:val="en-GB"/>
        </w:rPr>
        <w:t>EQ</w:t>
      </w:r>
      <w:r w:rsidR="0017396F" w:rsidRPr="007E3C0F">
        <w:rPr>
          <w:lang w:val="en-GB"/>
        </w:rPr>
        <w:noBreakHyphen/>
      </w:r>
      <w:r w:rsidRPr="007E3C0F">
        <w:rPr>
          <w:lang w:val="en-GB"/>
        </w:rPr>
        <w:t xml:space="preserve">5D </w:t>
      </w:r>
      <w:r w:rsidR="00560B58" w:rsidRPr="007E3C0F">
        <w:rPr>
          <w:lang w:val="en-GB"/>
        </w:rPr>
        <w:t xml:space="preserve">does not include a sleep domain, it </w:t>
      </w:r>
      <w:r w:rsidRPr="007E3C0F">
        <w:rPr>
          <w:lang w:val="en-GB"/>
        </w:rPr>
        <w:t>was not sensitive to changes in quality of life</w:t>
      </w:r>
      <w:r w:rsidR="00995085" w:rsidRPr="007E3C0F">
        <w:rPr>
          <w:lang w:val="en-GB"/>
        </w:rPr>
        <w:t xml:space="preserve"> </w:t>
      </w:r>
      <w:r w:rsidR="00560B58" w:rsidRPr="007E3C0F">
        <w:rPr>
          <w:lang w:val="en-GB"/>
        </w:rPr>
        <w:t xml:space="preserve">for </w:t>
      </w:r>
      <w:r w:rsidR="00995085" w:rsidRPr="007E3C0F">
        <w:rPr>
          <w:lang w:val="en-GB"/>
        </w:rPr>
        <w:t xml:space="preserve">people with </w:t>
      </w:r>
      <w:r w:rsidR="00D16017" w:rsidRPr="007E3C0F">
        <w:rPr>
          <w:lang w:val="en-GB"/>
        </w:rPr>
        <w:t>excessive daytime sleepiness</w:t>
      </w:r>
      <w:r w:rsidR="00995085" w:rsidRPr="007E3C0F">
        <w:rPr>
          <w:lang w:val="en-GB"/>
        </w:rPr>
        <w:t xml:space="preserve"> caused by </w:t>
      </w:r>
      <w:r w:rsidR="00D16017" w:rsidRPr="007E3C0F">
        <w:rPr>
          <w:lang w:val="en-GB"/>
        </w:rPr>
        <w:t>obstructive sleep apnoea</w:t>
      </w:r>
      <w:r w:rsidR="00995085" w:rsidRPr="007E3C0F">
        <w:rPr>
          <w:lang w:val="en-GB"/>
        </w:rPr>
        <w:t xml:space="preserve">. </w:t>
      </w:r>
      <w:r w:rsidR="00560B58" w:rsidRPr="007E3C0F">
        <w:rPr>
          <w:lang w:val="en-GB"/>
        </w:rPr>
        <w:t xml:space="preserve">The company </w:t>
      </w:r>
      <w:r w:rsidR="00995085" w:rsidRPr="007E3C0F">
        <w:rPr>
          <w:lang w:val="en-GB"/>
        </w:rPr>
        <w:t>also</w:t>
      </w:r>
      <w:r w:rsidRPr="007E3C0F">
        <w:rPr>
          <w:lang w:val="en-GB"/>
        </w:rPr>
        <w:t xml:space="preserve"> noted that </w:t>
      </w:r>
      <w:r w:rsidR="009764B2" w:rsidRPr="007E3C0F">
        <w:rPr>
          <w:lang w:val="en-GB"/>
        </w:rPr>
        <w:t>the</w:t>
      </w:r>
      <w:r w:rsidR="00D17B0E" w:rsidRPr="007E3C0F">
        <w:rPr>
          <w:lang w:val="en-GB"/>
        </w:rPr>
        <w:t xml:space="preserve"> trial</w:t>
      </w:r>
      <w:r w:rsidRPr="007E3C0F">
        <w:rPr>
          <w:lang w:val="en-GB"/>
        </w:rPr>
        <w:t xml:space="preserve"> was </w:t>
      </w:r>
      <w:r w:rsidR="005F0239" w:rsidRPr="007E3C0F">
        <w:rPr>
          <w:lang w:val="en-GB"/>
        </w:rPr>
        <w:t>not long enough</w:t>
      </w:r>
      <w:r w:rsidRPr="007E3C0F">
        <w:rPr>
          <w:lang w:val="en-GB"/>
        </w:rPr>
        <w:t xml:space="preserve"> to </w:t>
      </w:r>
      <w:r w:rsidR="005F0239" w:rsidRPr="007E3C0F">
        <w:rPr>
          <w:lang w:val="en-GB"/>
        </w:rPr>
        <w:t xml:space="preserve">capture changes in quality of life. </w:t>
      </w:r>
      <w:r w:rsidR="00560B58" w:rsidRPr="007E3C0F">
        <w:rPr>
          <w:lang w:val="en-GB"/>
        </w:rPr>
        <w:t>It</w:t>
      </w:r>
      <w:r w:rsidR="005F0239" w:rsidRPr="007E3C0F">
        <w:rPr>
          <w:lang w:val="en-GB"/>
        </w:rPr>
        <w:t xml:space="preserve"> therefore </w:t>
      </w:r>
      <w:r w:rsidR="00560B58" w:rsidRPr="007E3C0F">
        <w:rPr>
          <w:lang w:val="en-GB"/>
        </w:rPr>
        <w:t xml:space="preserve">used </w:t>
      </w:r>
      <w:r w:rsidR="005F0239" w:rsidRPr="007E3C0F">
        <w:rPr>
          <w:lang w:val="en-GB"/>
        </w:rPr>
        <w:t xml:space="preserve">a mapping algorithm </w:t>
      </w:r>
      <w:r w:rsidR="00560B58" w:rsidRPr="007E3C0F">
        <w:rPr>
          <w:lang w:val="en-GB"/>
        </w:rPr>
        <w:t>to estimate</w:t>
      </w:r>
      <w:r w:rsidR="005F0239" w:rsidRPr="007E3C0F">
        <w:rPr>
          <w:lang w:val="en-GB"/>
        </w:rPr>
        <w:t xml:space="preserve"> </w:t>
      </w:r>
      <w:r w:rsidR="0017396F" w:rsidRPr="007E3C0F">
        <w:rPr>
          <w:lang w:val="en-GB"/>
        </w:rPr>
        <w:t>EQ</w:t>
      </w:r>
      <w:r w:rsidR="0017396F" w:rsidRPr="007E3C0F">
        <w:rPr>
          <w:lang w:val="en-GB"/>
        </w:rPr>
        <w:noBreakHyphen/>
      </w:r>
      <w:r w:rsidR="005F0239" w:rsidRPr="007E3C0F">
        <w:rPr>
          <w:lang w:val="en-GB"/>
        </w:rPr>
        <w:t>5D values based on E</w:t>
      </w:r>
      <w:r w:rsidR="0095677C" w:rsidRPr="007E3C0F">
        <w:rPr>
          <w:lang w:val="en-GB"/>
        </w:rPr>
        <w:t>SS</w:t>
      </w:r>
      <w:r w:rsidR="005F0239" w:rsidRPr="007E3C0F">
        <w:rPr>
          <w:lang w:val="en-GB"/>
        </w:rPr>
        <w:t xml:space="preserve"> scores using data from the National</w:t>
      </w:r>
      <w:r w:rsidR="00E77D0A" w:rsidRPr="007E3C0F">
        <w:rPr>
          <w:lang w:val="en-GB"/>
        </w:rPr>
        <w:t xml:space="preserve"> Health and Wellness Survey</w:t>
      </w:r>
      <w:r w:rsidR="005F0239" w:rsidRPr="007E3C0F">
        <w:rPr>
          <w:lang w:val="en-GB"/>
        </w:rPr>
        <w:t xml:space="preserve">. </w:t>
      </w:r>
      <w:r w:rsidR="005814DB" w:rsidRPr="007E3C0F">
        <w:rPr>
          <w:lang w:val="en-GB"/>
        </w:rPr>
        <w:t>The ERG considered that the company’s approach was appropriate given the lack of alternative data</w:t>
      </w:r>
      <w:r w:rsidR="00D17B0E" w:rsidRPr="007E3C0F">
        <w:rPr>
          <w:lang w:val="en-GB"/>
        </w:rPr>
        <w:t>.</w:t>
      </w:r>
      <w:r w:rsidR="001F7FE2" w:rsidRPr="007E3C0F">
        <w:rPr>
          <w:lang w:val="en-GB"/>
        </w:rPr>
        <w:t xml:space="preserve"> But it </w:t>
      </w:r>
      <w:r w:rsidR="005814DB" w:rsidRPr="007E3C0F">
        <w:rPr>
          <w:lang w:val="en-GB"/>
        </w:rPr>
        <w:t>highlighted that</w:t>
      </w:r>
      <w:r w:rsidR="001F7FE2" w:rsidRPr="007E3C0F">
        <w:rPr>
          <w:lang w:val="en-GB"/>
        </w:rPr>
        <w:t xml:space="preserve"> it</w:t>
      </w:r>
      <w:r w:rsidR="005814DB" w:rsidRPr="007E3C0F">
        <w:rPr>
          <w:lang w:val="en-GB"/>
        </w:rPr>
        <w:t xml:space="preserve"> may underestimate the impact of treatments on quality of life in this condition.</w:t>
      </w:r>
      <w:r w:rsidR="00137E4B" w:rsidRPr="007E3C0F">
        <w:rPr>
          <w:lang w:val="en-GB"/>
        </w:rPr>
        <w:t xml:space="preserve"> </w:t>
      </w:r>
      <w:r w:rsidR="00995085" w:rsidRPr="007E3C0F">
        <w:rPr>
          <w:lang w:val="en-GB"/>
        </w:rPr>
        <w:t xml:space="preserve">The committee </w:t>
      </w:r>
      <w:r w:rsidR="001F7FE2" w:rsidRPr="007E3C0F">
        <w:rPr>
          <w:lang w:val="en-GB"/>
        </w:rPr>
        <w:t xml:space="preserve">noted </w:t>
      </w:r>
      <w:r w:rsidR="00995085" w:rsidRPr="007E3C0F">
        <w:rPr>
          <w:lang w:val="en-GB"/>
        </w:rPr>
        <w:t>that the results from the mapping algorithm estimated a high quality of life</w:t>
      </w:r>
      <w:r w:rsidR="001F7FE2" w:rsidRPr="007E3C0F">
        <w:rPr>
          <w:lang w:val="en-GB"/>
        </w:rPr>
        <w:t xml:space="preserve"> value</w:t>
      </w:r>
      <w:r w:rsidR="00995085" w:rsidRPr="007E3C0F">
        <w:rPr>
          <w:lang w:val="en-GB"/>
        </w:rPr>
        <w:t xml:space="preserve"> even at </w:t>
      </w:r>
      <w:r w:rsidR="00F85A2D" w:rsidRPr="007E3C0F">
        <w:rPr>
          <w:lang w:val="en-GB"/>
        </w:rPr>
        <w:t>extremely high</w:t>
      </w:r>
      <w:r w:rsidR="00995085" w:rsidRPr="007E3C0F">
        <w:rPr>
          <w:lang w:val="en-GB"/>
        </w:rPr>
        <w:t xml:space="preserve"> ESS </w:t>
      </w:r>
      <w:r w:rsidR="002362E0" w:rsidRPr="007E3C0F">
        <w:rPr>
          <w:lang w:val="en-GB"/>
        </w:rPr>
        <w:t>scores</w:t>
      </w:r>
      <w:r w:rsidR="001F7FE2" w:rsidRPr="007E3C0F">
        <w:rPr>
          <w:lang w:val="en-GB"/>
        </w:rPr>
        <w:t>,</w:t>
      </w:r>
      <w:r w:rsidR="00995085" w:rsidRPr="007E3C0F">
        <w:rPr>
          <w:lang w:val="en-GB"/>
        </w:rPr>
        <w:t xml:space="preserve"> which did not appear to be </w:t>
      </w:r>
      <w:r w:rsidR="00EA46FB" w:rsidRPr="007E3C0F">
        <w:rPr>
          <w:lang w:val="en-GB"/>
        </w:rPr>
        <w:t>plausible</w:t>
      </w:r>
      <w:r w:rsidR="004D30A1" w:rsidRPr="007E3C0F">
        <w:rPr>
          <w:lang w:val="en-GB"/>
        </w:rPr>
        <w:t>.</w:t>
      </w:r>
      <w:r w:rsidR="00802E76" w:rsidRPr="007E3C0F">
        <w:rPr>
          <w:lang w:val="en-GB"/>
        </w:rPr>
        <w:t xml:space="preserve"> </w:t>
      </w:r>
      <w:r w:rsidR="001F7FE2" w:rsidRPr="007E3C0F">
        <w:rPr>
          <w:lang w:val="en-GB"/>
        </w:rPr>
        <w:t>Higher ESS scores mean more excessive daytime sleepiness (the data for the mapping algorithm are academic in confidence and cannot be reported here).</w:t>
      </w:r>
      <w:r w:rsidR="00137E4B" w:rsidRPr="007E3C0F">
        <w:rPr>
          <w:lang w:val="en-GB"/>
        </w:rPr>
        <w:t xml:space="preserve"> </w:t>
      </w:r>
      <w:r w:rsidR="002E66DC" w:rsidRPr="007E3C0F">
        <w:rPr>
          <w:lang w:val="en-GB"/>
        </w:rPr>
        <w:t xml:space="preserve">The committee </w:t>
      </w:r>
      <w:r w:rsidR="006A758F" w:rsidRPr="007E3C0F">
        <w:rPr>
          <w:lang w:val="en-GB"/>
        </w:rPr>
        <w:t xml:space="preserve">was </w:t>
      </w:r>
      <w:r w:rsidR="002E66DC" w:rsidRPr="007E3C0F">
        <w:rPr>
          <w:lang w:val="en-GB"/>
        </w:rPr>
        <w:t>concerned that</w:t>
      </w:r>
      <w:r w:rsidR="006A758F" w:rsidRPr="007E3C0F">
        <w:rPr>
          <w:lang w:val="en-GB"/>
        </w:rPr>
        <w:t>,</w:t>
      </w:r>
      <w:r w:rsidR="002E66DC" w:rsidRPr="007E3C0F">
        <w:rPr>
          <w:lang w:val="en-GB"/>
        </w:rPr>
        <w:t xml:space="preserve"> if</w:t>
      </w:r>
      <w:r w:rsidR="00D16B4D" w:rsidRPr="007E3C0F">
        <w:rPr>
          <w:lang w:val="en-GB"/>
        </w:rPr>
        <w:t xml:space="preserve"> </w:t>
      </w:r>
      <w:r w:rsidR="0017396F" w:rsidRPr="007E3C0F">
        <w:rPr>
          <w:lang w:val="en-GB"/>
        </w:rPr>
        <w:t>EQ</w:t>
      </w:r>
      <w:r w:rsidR="0017396F" w:rsidRPr="007E3C0F">
        <w:rPr>
          <w:lang w:val="en-GB"/>
        </w:rPr>
        <w:noBreakHyphen/>
      </w:r>
      <w:r w:rsidR="00D16B4D" w:rsidRPr="007E3C0F">
        <w:rPr>
          <w:lang w:val="en-GB"/>
        </w:rPr>
        <w:t xml:space="preserve">5D is truly insensitive </w:t>
      </w:r>
      <w:r w:rsidR="002E66DC" w:rsidRPr="007E3C0F">
        <w:rPr>
          <w:lang w:val="en-GB"/>
        </w:rPr>
        <w:t xml:space="preserve">to </w:t>
      </w:r>
      <w:r w:rsidR="002E66DC" w:rsidRPr="007E3C0F">
        <w:rPr>
          <w:lang w:val="en-GB"/>
        </w:rPr>
        <w:lastRenderedPageBreak/>
        <w:t xml:space="preserve">changes in quality of life for people with </w:t>
      </w:r>
      <w:r w:rsidR="003E316E" w:rsidRPr="007E3C0F">
        <w:rPr>
          <w:lang w:val="en-GB"/>
        </w:rPr>
        <w:t>this condition</w:t>
      </w:r>
      <w:r w:rsidR="006A758F" w:rsidRPr="007E3C0F">
        <w:rPr>
          <w:lang w:val="en-GB"/>
        </w:rPr>
        <w:t>,</w:t>
      </w:r>
      <w:r w:rsidR="002E66DC" w:rsidRPr="007E3C0F">
        <w:rPr>
          <w:lang w:val="en-GB"/>
        </w:rPr>
        <w:t xml:space="preserve"> </w:t>
      </w:r>
      <w:r w:rsidR="00D16B4D" w:rsidRPr="007E3C0F">
        <w:rPr>
          <w:lang w:val="en-GB"/>
        </w:rPr>
        <w:t>then mapping</w:t>
      </w:r>
      <w:r w:rsidR="002E66DC" w:rsidRPr="007E3C0F">
        <w:rPr>
          <w:lang w:val="en-GB"/>
        </w:rPr>
        <w:t xml:space="preserve"> </w:t>
      </w:r>
      <w:r w:rsidR="006A758F" w:rsidRPr="007E3C0F">
        <w:rPr>
          <w:lang w:val="en-GB"/>
        </w:rPr>
        <w:t xml:space="preserve">ESS scores </w:t>
      </w:r>
      <w:r w:rsidR="002E66DC" w:rsidRPr="007E3C0F">
        <w:rPr>
          <w:lang w:val="en-GB"/>
        </w:rPr>
        <w:t>to</w:t>
      </w:r>
      <w:r w:rsidR="00D16B4D" w:rsidRPr="007E3C0F">
        <w:rPr>
          <w:lang w:val="en-GB"/>
        </w:rPr>
        <w:t xml:space="preserve"> </w:t>
      </w:r>
      <w:r w:rsidR="006A758F" w:rsidRPr="007E3C0F">
        <w:rPr>
          <w:lang w:val="en-GB"/>
        </w:rPr>
        <w:t>it</w:t>
      </w:r>
      <w:r w:rsidR="00D16B4D" w:rsidRPr="007E3C0F">
        <w:rPr>
          <w:lang w:val="en-GB"/>
        </w:rPr>
        <w:t xml:space="preserve"> </w:t>
      </w:r>
      <w:r w:rsidR="003E316E" w:rsidRPr="007E3C0F">
        <w:rPr>
          <w:lang w:val="en-GB"/>
        </w:rPr>
        <w:t xml:space="preserve">may </w:t>
      </w:r>
      <w:r w:rsidR="00D16B4D" w:rsidRPr="007E3C0F">
        <w:rPr>
          <w:lang w:val="en-GB"/>
        </w:rPr>
        <w:t>not</w:t>
      </w:r>
      <w:r w:rsidR="006A758F" w:rsidRPr="007E3C0F">
        <w:rPr>
          <w:lang w:val="en-GB"/>
        </w:rPr>
        <w:t xml:space="preserve"> be</w:t>
      </w:r>
      <w:r w:rsidR="00D16B4D" w:rsidRPr="007E3C0F">
        <w:rPr>
          <w:lang w:val="en-GB"/>
        </w:rPr>
        <w:t xml:space="preserve"> appropriate.</w:t>
      </w:r>
      <w:r w:rsidR="00407F54" w:rsidRPr="007E3C0F">
        <w:rPr>
          <w:lang w:val="en-GB"/>
        </w:rPr>
        <w:t xml:space="preserve"> </w:t>
      </w:r>
      <w:r w:rsidR="0017396F" w:rsidRPr="007E3C0F">
        <w:rPr>
          <w:lang w:val="en-GB"/>
        </w:rPr>
        <w:t>SF</w:t>
      </w:r>
      <w:r w:rsidR="0017396F" w:rsidRPr="007E3C0F">
        <w:rPr>
          <w:lang w:val="en-GB"/>
        </w:rPr>
        <w:noBreakHyphen/>
      </w:r>
      <w:r w:rsidR="00155A96" w:rsidRPr="007E3C0F">
        <w:rPr>
          <w:lang w:val="en-GB"/>
        </w:rPr>
        <w:t>3</w:t>
      </w:r>
      <w:r w:rsidR="003E316E" w:rsidRPr="007E3C0F">
        <w:rPr>
          <w:lang w:val="en-GB"/>
        </w:rPr>
        <w:t>6 data w</w:t>
      </w:r>
      <w:r w:rsidR="00155A96" w:rsidRPr="007E3C0F">
        <w:rPr>
          <w:lang w:val="en-GB"/>
        </w:rPr>
        <w:t>ere</w:t>
      </w:r>
      <w:r w:rsidR="003E316E" w:rsidRPr="007E3C0F">
        <w:rPr>
          <w:lang w:val="en-GB"/>
        </w:rPr>
        <w:t xml:space="preserve"> collected by the company </w:t>
      </w:r>
      <w:r w:rsidR="00155A96" w:rsidRPr="007E3C0F">
        <w:rPr>
          <w:lang w:val="en-GB"/>
        </w:rPr>
        <w:t>in</w:t>
      </w:r>
      <w:r w:rsidR="003E316E" w:rsidRPr="007E3C0F">
        <w:rPr>
          <w:lang w:val="en-GB"/>
        </w:rPr>
        <w:t xml:space="preserve"> </w:t>
      </w:r>
      <w:r w:rsidR="0017396F" w:rsidRPr="007E3C0F">
        <w:rPr>
          <w:lang w:val="en-GB"/>
        </w:rPr>
        <w:t>TONES 3</w:t>
      </w:r>
      <w:r w:rsidR="00155A96" w:rsidRPr="007E3C0F">
        <w:rPr>
          <w:lang w:val="en-GB"/>
        </w:rPr>
        <w:t xml:space="preserve">, from which </w:t>
      </w:r>
      <w:r w:rsidR="0017396F" w:rsidRPr="007E3C0F">
        <w:rPr>
          <w:lang w:val="en-GB"/>
        </w:rPr>
        <w:t>SF</w:t>
      </w:r>
      <w:r w:rsidR="0017396F" w:rsidRPr="007E3C0F">
        <w:rPr>
          <w:lang w:val="en-GB"/>
        </w:rPr>
        <w:noBreakHyphen/>
      </w:r>
      <w:r w:rsidR="00155A96" w:rsidRPr="007E3C0F">
        <w:rPr>
          <w:lang w:val="en-GB"/>
        </w:rPr>
        <w:t>6D values can be derived</w:t>
      </w:r>
      <w:r w:rsidR="00790D98" w:rsidRPr="007E3C0F">
        <w:rPr>
          <w:lang w:val="en-GB"/>
        </w:rPr>
        <w:t>. This</w:t>
      </w:r>
      <w:r w:rsidR="003E316E" w:rsidRPr="007E3C0F">
        <w:rPr>
          <w:lang w:val="en-GB"/>
        </w:rPr>
        <w:t xml:space="preserve"> can be more sensitive to this condition and potentially provide some insight into the utility valuation in this disease. The company did not provide these data to the committee.</w:t>
      </w:r>
      <w:r w:rsidR="00CB1181" w:rsidRPr="007E3C0F">
        <w:rPr>
          <w:lang w:val="en-GB"/>
        </w:rPr>
        <w:t xml:space="preserve"> </w:t>
      </w:r>
      <w:r w:rsidR="001A5083" w:rsidRPr="007E3C0F">
        <w:rPr>
          <w:lang w:val="en-GB"/>
        </w:rPr>
        <w:t>The committee</w:t>
      </w:r>
      <w:r w:rsidR="003C1647" w:rsidRPr="007E3C0F">
        <w:rPr>
          <w:lang w:val="en-GB"/>
        </w:rPr>
        <w:t xml:space="preserve"> </w:t>
      </w:r>
      <w:r w:rsidR="00AB5D6F">
        <w:rPr>
          <w:lang w:val="en-GB"/>
        </w:rPr>
        <w:t>wanted</w:t>
      </w:r>
      <w:r w:rsidR="00AB5D6F" w:rsidRPr="007E3C0F">
        <w:rPr>
          <w:lang w:val="en-GB"/>
        </w:rPr>
        <w:t xml:space="preserve"> </w:t>
      </w:r>
      <w:r w:rsidR="003C1647" w:rsidRPr="007E3C0F">
        <w:rPr>
          <w:lang w:val="en-GB"/>
        </w:rPr>
        <w:t xml:space="preserve">to see the </w:t>
      </w:r>
      <w:r w:rsidR="0017396F" w:rsidRPr="007E3C0F">
        <w:rPr>
          <w:lang w:val="en-GB"/>
        </w:rPr>
        <w:t>SF</w:t>
      </w:r>
      <w:r w:rsidR="0017396F" w:rsidRPr="007E3C0F">
        <w:rPr>
          <w:lang w:val="en-GB"/>
        </w:rPr>
        <w:noBreakHyphen/>
      </w:r>
      <w:r w:rsidR="003C1647" w:rsidRPr="007E3C0F">
        <w:rPr>
          <w:lang w:val="en-GB"/>
        </w:rPr>
        <w:t xml:space="preserve">6D in the </w:t>
      </w:r>
      <w:r w:rsidR="00C9540B" w:rsidRPr="007E3C0F">
        <w:rPr>
          <w:lang w:val="en-GB"/>
        </w:rPr>
        <w:t>analysis</w:t>
      </w:r>
      <w:r w:rsidR="00C9540B">
        <w:rPr>
          <w:lang w:val="en-GB"/>
        </w:rPr>
        <w:t xml:space="preserve"> and</w:t>
      </w:r>
      <w:r w:rsidR="001A5083" w:rsidRPr="007E3C0F">
        <w:rPr>
          <w:lang w:val="en-GB"/>
        </w:rPr>
        <w:t xml:space="preserve"> concluded that mapping from the ESS to the </w:t>
      </w:r>
      <w:r w:rsidR="0017396F" w:rsidRPr="007E3C0F">
        <w:rPr>
          <w:lang w:val="en-GB"/>
        </w:rPr>
        <w:t>EQ</w:t>
      </w:r>
      <w:r w:rsidR="0017396F" w:rsidRPr="007E3C0F">
        <w:rPr>
          <w:lang w:val="en-GB"/>
        </w:rPr>
        <w:noBreakHyphen/>
      </w:r>
      <w:r w:rsidR="001A5083" w:rsidRPr="007E3C0F">
        <w:rPr>
          <w:lang w:val="en-GB"/>
        </w:rPr>
        <w:t>5D may not adequately capture changes in quality of life.</w:t>
      </w:r>
    </w:p>
    <w:p w14:paraId="15F94114" w14:textId="274F6066" w:rsidR="00802E76" w:rsidRPr="007E3C0F" w:rsidRDefault="00802E76" w:rsidP="00DC22A6">
      <w:pPr>
        <w:pStyle w:val="Heading3"/>
      </w:pPr>
      <w:r w:rsidRPr="007E3C0F">
        <w:t xml:space="preserve">Partner </w:t>
      </w:r>
      <w:r w:rsidR="00834203" w:rsidRPr="007E3C0F">
        <w:t xml:space="preserve">utility values </w:t>
      </w:r>
      <w:r w:rsidRPr="007E3C0F">
        <w:t>are an important consideration but</w:t>
      </w:r>
      <w:r w:rsidR="001F7FE2" w:rsidRPr="007E3C0F">
        <w:t xml:space="preserve"> there are not enough</w:t>
      </w:r>
      <w:r w:rsidRPr="007E3C0F">
        <w:t xml:space="preserve"> data to </w:t>
      </w:r>
      <w:r w:rsidR="001F7FE2" w:rsidRPr="007E3C0F">
        <w:t>include them</w:t>
      </w:r>
      <w:r w:rsidRPr="007E3C0F">
        <w:t xml:space="preserve"> in </w:t>
      </w:r>
      <w:r w:rsidR="00834203" w:rsidRPr="007E3C0F">
        <w:t xml:space="preserve">the </w:t>
      </w:r>
      <w:proofErr w:type="gramStart"/>
      <w:r w:rsidR="00834203" w:rsidRPr="007E3C0F">
        <w:t>modelling</w:t>
      </w:r>
      <w:proofErr w:type="gramEnd"/>
    </w:p>
    <w:p w14:paraId="78E2A178" w14:textId="74DEB76E" w:rsidR="00022245" w:rsidRPr="007E3C0F" w:rsidRDefault="00844789" w:rsidP="00022245">
      <w:pPr>
        <w:pStyle w:val="Numberedlevel2text"/>
        <w:rPr>
          <w:lang w:val="en-GB"/>
        </w:rPr>
      </w:pPr>
      <w:hyperlink r:id="rId13" w:anchor="framework-for-estimating-clinical-and-cost-effectiveness" w:history="1">
        <w:r w:rsidR="00790D98" w:rsidRPr="007E3C0F">
          <w:rPr>
            <w:rStyle w:val="Hyperlink"/>
            <w:lang w:val="en-GB"/>
          </w:rPr>
          <w:t>NICE’s guide to the methods of technology appraisal</w:t>
        </w:r>
      </w:hyperlink>
      <w:r w:rsidR="00790D98" w:rsidRPr="007E3C0F">
        <w:rPr>
          <w:lang w:val="en-GB"/>
        </w:rPr>
        <w:t xml:space="preserve"> </w:t>
      </w:r>
      <w:r w:rsidR="003C1647" w:rsidRPr="007E3C0F">
        <w:rPr>
          <w:lang w:val="en-GB"/>
        </w:rPr>
        <w:t>paragraph</w:t>
      </w:r>
      <w:r w:rsidR="0017396F" w:rsidRPr="007E3C0F">
        <w:rPr>
          <w:lang w:val="en-GB"/>
        </w:rPr>
        <w:t> </w:t>
      </w:r>
      <w:r w:rsidR="003C1647" w:rsidRPr="007E3C0F">
        <w:rPr>
          <w:lang w:val="en-GB"/>
        </w:rPr>
        <w:t xml:space="preserve">5.1.7 </w:t>
      </w:r>
      <w:r w:rsidR="00701199" w:rsidRPr="007E3C0F">
        <w:rPr>
          <w:lang w:val="en-GB"/>
        </w:rPr>
        <w:t>notes</w:t>
      </w:r>
      <w:r w:rsidR="003C1647" w:rsidRPr="007E3C0F">
        <w:rPr>
          <w:lang w:val="en-GB"/>
        </w:rPr>
        <w:t xml:space="preserve"> that the perspective on outcomes should include all direct health effects, whether for patients or for other people. </w:t>
      </w:r>
      <w:r w:rsidR="00802E76" w:rsidRPr="007E3C0F">
        <w:rPr>
          <w:lang w:val="en-GB"/>
        </w:rPr>
        <w:t xml:space="preserve">The company included partner </w:t>
      </w:r>
      <w:r w:rsidR="00834203" w:rsidRPr="007E3C0F">
        <w:rPr>
          <w:lang w:val="en-GB"/>
        </w:rPr>
        <w:t xml:space="preserve">utility values </w:t>
      </w:r>
      <w:r w:rsidR="00802E76" w:rsidRPr="007E3C0F">
        <w:rPr>
          <w:lang w:val="en-GB"/>
        </w:rPr>
        <w:t xml:space="preserve">as a scenario in </w:t>
      </w:r>
      <w:r w:rsidR="001F24A4" w:rsidRPr="007E3C0F">
        <w:rPr>
          <w:lang w:val="en-GB"/>
        </w:rPr>
        <w:t xml:space="preserve">its </w:t>
      </w:r>
      <w:r w:rsidR="005C4B3A" w:rsidRPr="007E3C0F">
        <w:rPr>
          <w:lang w:val="en-GB"/>
        </w:rPr>
        <w:t>modelling</w:t>
      </w:r>
      <w:r w:rsidR="00802E76" w:rsidRPr="007E3C0F">
        <w:rPr>
          <w:lang w:val="en-GB"/>
        </w:rPr>
        <w:t xml:space="preserve">. This was </w:t>
      </w:r>
      <w:r w:rsidR="001F7FE2" w:rsidRPr="007E3C0F">
        <w:rPr>
          <w:lang w:val="en-GB"/>
        </w:rPr>
        <w:t>because of</w:t>
      </w:r>
      <w:r w:rsidR="00802E76" w:rsidRPr="007E3C0F">
        <w:rPr>
          <w:lang w:val="en-GB"/>
        </w:rPr>
        <w:t xml:space="preserve"> the substantial impact that </w:t>
      </w:r>
      <w:r w:rsidR="00701199" w:rsidRPr="007E3C0F">
        <w:rPr>
          <w:lang w:val="en-GB"/>
        </w:rPr>
        <w:t xml:space="preserve">symptoms of obstructive sleep apnoea </w:t>
      </w:r>
      <w:r w:rsidR="00802E76" w:rsidRPr="007E3C0F">
        <w:rPr>
          <w:lang w:val="en-GB"/>
        </w:rPr>
        <w:t xml:space="preserve">and its treatment can have on partners. The </w:t>
      </w:r>
      <w:r w:rsidR="009E5F9D" w:rsidRPr="007E3C0F">
        <w:rPr>
          <w:lang w:val="en-GB"/>
        </w:rPr>
        <w:t>clinical expert</w:t>
      </w:r>
      <w:r w:rsidR="00802E76" w:rsidRPr="007E3C0F">
        <w:rPr>
          <w:lang w:val="en-GB"/>
        </w:rPr>
        <w:t xml:space="preserve"> </w:t>
      </w:r>
      <w:r w:rsidR="007407EB" w:rsidRPr="007E3C0F">
        <w:rPr>
          <w:lang w:val="en-GB"/>
        </w:rPr>
        <w:t xml:space="preserve">agreed that </w:t>
      </w:r>
      <w:r w:rsidR="009E5F9D" w:rsidRPr="007E3C0F">
        <w:rPr>
          <w:lang w:val="en-GB"/>
        </w:rPr>
        <w:t xml:space="preserve">partner utility values should be considered </w:t>
      </w:r>
      <w:r w:rsidR="007407EB" w:rsidRPr="007E3C0F">
        <w:rPr>
          <w:lang w:val="en-GB"/>
        </w:rPr>
        <w:t xml:space="preserve">because of the </w:t>
      </w:r>
      <w:r w:rsidR="008C27BF" w:rsidRPr="007E3C0F">
        <w:rPr>
          <w:lang w:val="en-GB"/>
        </w:rPr>
        <w:t>substantial impact on family members</w:t>
      </w:r>
      <w:r w:rsidR="007432CF" w:rsidRPr="007E3C0F">
        <w:rPr>
          <w:lang w:val="en-GB"/>
        </w:rPr>
        <w:t xml:space="preserve"> (see </w:t>
      </w:r>
      <w:r w:rsidR="0017396F" w:rsidRPr="007E3C0F">
        <w:rPr>
          <w:lang w:val="en-GB"/>
        </w:rPr>
        <w:t>section </w:t>
      </w:r>
      <w:r w:rsidR="007432CF" w:rsidRPr="007E3C0F">
        <w:rPr>
          <w:lang w:val="en-GB"/>
        </w:rPr>
        <w:t>3.1)</w:t>
      </w:r>
      <w:r w:rsidR="00802E76" w:rsidRPr="007E3C0F">
        <w:rPr>
          <w:lang w:val="en-GB"/>
        </w:rPr>
        <w:t xml:space="preserve">. </w:t>
      </w:r>
      <w:r w:rsidR="00763F6E" w:rsidRPr="007E3C0F">
        <w:rPr>
          <w:lang w:val="en-GB"/>
        </w:rPr>
        <w:t>But t</w:t>
      </w:r>
      <w:r w:rsidR="00802E76" w:rsidRPr="007E3C0F">
        <w:rPr>
          <w:lang w:val="en-GB"/>
        </w:rPr>
        <w:t xml:space="preserve">he </w:t>
      </w:r>
      <w:r w:rsidR="00D7618B" w:rsidRPr="007E3C0F">
        <w:rPr>
          <w:lang w:val="en-GB"/>
        </w:rPr>
        <w:t xml:space="preserve">ERG </w:t>
      </w:r>
      <w:r w:rsidR="008918D5" w:rsidRPr="007E3C0F">
        <w:rPr>
          <w:lang w:val="en-GB"/>
        </w:rPr>
        <w:t xml:space="preserve">was concerned </w:t>
      </w:r>
      <w:r w:rsidR="00763F6E" w:rsidRPr="007E3C0F">
        <w:rPr>
          <w:lang w:val="en-GB"/>
        </w:rPr>
        <w:t>about</w:t>
      </w:r>
      <w:r w:rsidR="008918D5" w:rsidRPr="007E3C0F">
        <w:rPr>
          <w:lang w:val="en-GB"/>
        </w:rPr>
        <w:t xml:space="preserve"> the methods the company used to estimate partner utility values </w:t>
      </w:r>
      <w:r w:rsidR="00763F6E" w:rsidRPr="007E3C0F">
        <w:rPr>
          <w:lang w:val="en-GB"/>
        </w:rPr>
        <w:t>because</w:t>
      </w:r>
      <w:r w:rsidR="000729C2" w:rsidRPr="007E3C0F">
        <w:rPr>
          <w:lang w:val="en-GB"/>
        </w:rPr>
        <w:t xml:space="preserve"> the time trade</w:t>
      </w:r>
      <w:r w:rsidR="00AB5D6F">
        <w:rPr>
          <w:lang w:val="en-GB"/>
        </w:rPr>
        <w:t>-</w:t>
      </w:r>
      <w:r w:rsidR="000729C2" w:rsidRPr="007E3C0F">
        <w:rPr>
          <w:lang w:val="en-GB"/>
        </w:rPr>
        <w:t>off</w:t>
      </w:r>
      <w:r w:rsidR="00DE157D" w:rsidRPr="007E3C0F">
        <w:rPr>
          <w:lang w:val="en-GB"/>
        </w:rPr>
        <w:t xml:space="preserve"> </w:t>
      </w:r>
      <w:r w:rsidR="000729C2" w:rsidRPr="007E3C0F">
        <w:rPr>
          <w:lang w:val="en-GB"/>
        </w:rPr>
        <w:t xml:space="preserve">utility estimates may not be </w:t>
      </w:r>
      <w:r w:rsidR="00D7618B" w:rsidRPr="007E3C0F">
        <w:rPr>
          <w:lang w:val="en-GB"/>
        </w:rPr>
        <w:t>comparable</w:t>
      </w:r>
      <w:r w:rsidR="000729C2" w:rsidRPr="007E3C0F">
        <w:rPr>
          <w:lang w:val="en-GB"/>
        </w:rPr>
        <w:t xml:space="preserve"> </w:t>
      </w:r>
      <w:r w:rsidR="00763F6E" w:rsidRPr="007E3C0F">
        <w:rPr>
          <w:lang w:val="en-GB"/>
        </w:rPr>
        <w:t>to</w:t>
      </w:r>
      <w:r w:rsidR="000729C2" w:rsidRPr="007E3C0F">
        <w:rPr>
          <w:lang w:val="en-GB"/>
        </w:rPr>
        <w:t xml:space="preserve"> those from the </w:t>
      </w:r>
      <w:r w:rsidR="0017396F" w:rsidRPr="007E3C0F">
        <w:rPr>
          <w:lang w:val="en-GB"/>
        </w:rPr>
        <w:t>EQ</w:t>
      </w:r>
      <w:r w:rsidR="0017396F" w:rsidRPr="007E3C0F">
        <w:rPr>
          <w:lang w:val="en-GB"/>
        </w:rPr>
        <w:noBreakHyphen/>
      </w:r>
      <w:r w:rsidR="000729C2" w:rsidRPr="007E3C0F">
        <w:rPr>
          <w:lang w:val="en-GB"/>
        </w:rPr>
        <w:t>5D.</w:t>
      </w:r>
      <w:r w:rsidR="00D16B4D" w:rsidRPr="007E3C0F">
        <w:rPr>
          <w:lang w:val="en-GB"/>
        </w:rPr>
        <w:t xml:space="preserve"> </w:t>
      </w:r>
      <w:r w:rsidR="00252C6F" w:rsidRPr="007E3C0F">
        <w:rPr>
          <w:lang w:val="en-GB"/>
        </w:rPr>
        <w:t xml:space="preserve">The </w:t>
      </w:r>
      <w:r w:rsidR="00D16B4D" w:rsidRPr="007E3C0F">
        <w:rPr>
          <w:lang w:val="en-GB"/>
        </w:rPr>
        <w:t xml:space="preserve">impact on partner utilities </w:t>
      </w:r>
      <w:r w:rsidR="00252C6F" w:rsidRPr="007E3C0F">
        <w:rPr>
          <w:lang w:val="en-GB"/>
        </w:rPr>
        <w:t>of displacing treatments such as CPAP was also uncertain</w:t>
      </w:r>
      <w:r w:rsidR="00D16B4D" w:rsidRPr="007E3C0F">
        <w:rPr>
          <w:lang w:val="en-GB"/>
        </w:rPr>
        <w:t>. The</w:t>
      </w:r>
      <w:r w:rsidR="007105D1" w:rsidRPr="007E3C0F">
        <w:rPr>
          <w:lang w:val="en-GB"/>
        </w:rPr>
        <w:t xml:space="preserve"> committee concluded</w:t>
      </w:r>
      <w:r w:rsidR="00802E76" w:rsidRPr="007E3C0F">
        <w:rPr>
          <w:lang w:val="en-GB"/>
        </w:rPr>
        <w:t xml:space="preserve"> </w:t>
      </w:r>
      <w:r w:rsidR="007105D1" w:rsidRPr="007E3C0F">
        <w:rPr>
          <w:lang w:val="en-GB"/>
        </w:rPr>
        <w:t xml:space="preserve">that partner </w:t>
      </w:r>
      <w:r w:rsidR="00D7618B" w:rsidRPr="007E3C0F">
        <w:rPr>
          <w:lang w:val="en-GB"/>
        </w:rPr>
        <w:t xml:space="preserve">utility values </w:t>
      </w:r>
      <w:r w:rsidR="007105D1" w:rsidRPr="007E3C0F">
        <w:rPr>
          <w:lang w:val="en-GB"/>
        </w:rPr>
        <w:t xml:space="preserve">are important </w:t>
      </w:r>
      <w:r w:rsidR="00D7618B" w:rsidRPr="007E3C0F">
        <w:rPr>
          <w:lang w:val="en-GB"/>
        </w:rPr>
        <w:t xml:space="preserve">to consider but it had not been presented with </w:t>
      </w:r>
      <w:r w:rsidR="00763F6E" w:rsidRPr="007E3C0F">
        <w:rPr>
          <w:lang w:val="en-GB"/>
        </w:rPr>
        <w:t xml:space="preserve">enough </w:t>
      </w:r>
      <w:r w:rsidR="00D7618B" w:rsidRPr="007E3C0F">
        <w:rPr>
          <w:lang w:val="en-GB"/>
        </w:rPr>
        <w:t xml:space="preserve">evidence to support its inclusion </w:t>
      </w:r>
      <w:r w:rsidR="009536F5" w:rsidRPr="007E3C0F">
        <w:rPr>
          <w:lang w:val="en-GB"/>
        </w:rPr>
        <w:t xml:space="preserve">in the </w:t>
      </w:r>
      <w:r w:rsidR="00DE157D" w:rsidRPr="007E3C0F">
        <w:rPr>
          <w:lang w:val="en-GB"/>
        </w:rPr>
        <w:t>modelling.</w:t>
      </w:r>
    </w:p>
    <w:p w14:paraId="253B8CCA" w14:textId="27B4FCA9" w:rsidR="00022245" w:rsidRPr="007E3C0F" w:rsidRDefault="00AD0BC2" w:rsidP="00022245">
      <w:pPr>
        <w:pStyle w:val="Heading3"/>
      </w:pPr>
      <w:r w:rsidRPr="007E3C0F">
        <w:t>Hospitalisation c</w:t>
      </w:r>
      <w:r w:rsidR="00022245" w:rsidRPr="007E3C0F">
        <w:t xml:space="preserve">osts for </w:t>
      </w:r>
      <w:r w:rsidR="00763F6E" w:rsidRPr="007E3C0F">
        <w:t xml:space="preserve">serious adverse events </w:t>
      </w:r>
      <w:r w:rsidR="00022245" w:rsidRPr="007E3C0F">
        <w:t xml:space="preserve">should be included in the </w:t>
      </w:r>
      <w:proofErr w:type="gramStart"/>
      <w:r w:rsidR="00022245" w:rsidRPr="007E3C0F">
        <w:t>modelling</w:t>
      </w:r>
      <w:proofErr w:type="gramEnd"/>
    </w:p>
    <w:p w14:paraId="5D7735A4" w14:textId="22578DFA" w:rsidR="00802E76" w:rsidRPr="007E3C0F" w:rsidRDefault="00F937EE" w:rsidP="00022245">
      <w:pPr>
        <w:pStyle w:val="Numberedlevel2text"/>
        <w:rPr>
          <w:lang w:val="en-GB"/>
        </w:rPr>
      </w:pPr>
      <w:r w:rsidRPr="007E3C0F">
        <w:rPr>
          <w:lang w:val="en-GB"/>
        </w:rPr>
        <w:t xml:space="preserve">The company </w:t>
      </w:r>
      <w:r w:rsidR="009A54E0" w:rsidRPr="007E3C0F">
        <w:rPr>
          <w:lang w:val="en-GB"/>
        </w:rPr>
        <w:t xml:space="preserve">model </w:t>
      </w:r>
      <w:r w:rsidRPr="007E3C0F">
        <w:rPr>
          <w:lang w:val="en-GB"/>
        </w:rPr>
        <w:t>did not include any costs for serious adverse events</w:t>
      </w:r>
      <w:r w:rsidR="00CB0B37" w:rsidRPr="007E3C0F">
        <w:rPr>
          <w:lang w:val="en-GB"/>
        </w:rPr>
        <w:t xml:space="preserve">. </w:t>
      </w:r>
      <w:r w:rsidR="00670C30" w:rsidRPr="007E3C0F">
        <w:rPr>
          <w:lang w:val="en-GB"/>
        </w:rPr>
        <w:t>It said this</w:t>
      </w:r>
      <w:r w:rsidR="00CB0B37" w:rsidRPr="007E3C0F">
        <w:rPr>
          <w:lang w:val="en-GB"/>
        </w:rPr>
        <w:t xml:space="preserve"> was </w:t>
      </w:r>
      <w:r w:rsidR="00191FE1" w:rsidRPr="007E3C0F">
        <w:rPr>
          <w:lang w:val="en-GB"/>
        </w:rPr>
        <w:t>because</w:t>
      </w:r>
      <w:r w:rsidR="00CB0B37" w:rsidRPr="007E3C0F">
        <w:rPr>
          <w:lang w:val="en-GB"/>
        </w:rPr>
        <w:t xml:space="preserve"> most adverse events in </w:t>
      </w:r>
      <w:r w:rsidR="0017396F" w:rsidRPr="007E3C0F">
        <w:rPr>
          <w:lang w:val="en-GB"/>
        </w:rPr>
        <w:t>TONES 3</w:t>
      </w:r>
      <w:r w:rsidR="00CB0B37" w:rsidRPr="007E3C0F">
        <w:rPr>
          <w:lang w:val="en-GB"/>
        </w:rPr>
        <w:t xml:space="preserve"> were mild or moderate in severity. For adverse events that led to treatment discontinuation, the </w:t>
      </w:r>
      <w:r w:rsidR="00670C30" w:rsidRPr="007E3C0F">
        <w:rPr>
          <w:lang w:val="en-GB"/>
        </w:rPr>
        <w:t xml:space="preserve">company’s </w:t>
      </w:r>
      <w:r w:rsidR="00CB0B37" w:rsidRPr="007E3C0F">
        <w:rPr>
          <w:lang w:val="en-GB"/>
        </w:rPr>
        <w:t>model include</w:t>
      </w:r>
      <w:r w:rsidR="00191FE1" w:rsidRPr="007E3C0F">
        <w:rPr>
          <w:lang w:val="en-GB"/>
        </w:rPr>
        <w:t>d</w:t>
      </w:r>
      <w:r w:rsidR="00CB0B37" w:rsidRPr="007E3C0F">
        <w:rPr>
          <w:lang w:val="en-GB"/>
        </w:rPr>
        <w:t xml:space="preserve"> the cost of </w:t>
      </w:r>
      <w:r w:rsidR="004F74B3">
        <w:rPr>
          <w:lang w:val="en-GB"/>
        </w:rPr>
        <w:t xml:space="preserve">1 </w:t>
      </w:r>
      <w:r w:rsidR="00191FE1" w:rsidRPr="007E3C0F">
        <w:rPr>
          <w:lang w:val="en-GB"/>
        </w:rPr>
        <w:t>GP</w:t>
      </w:r>
      <w:r w:rsidR="00CB0B37" w:rsidRPr="007E3C0F">
        <w:rPr>
          <w:lang w:val="en-GB"/>
        </w:rPr>
        <w:t xml:space="preserve"> consultation. </w:t>
      </w:r>
      <w:r w:rsidR="00670C30" w:rsidRPr="007E3C0F">
        <w:rPr>
          <w:lang w:val="en-GB"/>
        </w:rPr>
        <w:t xml:space="preserve">The ERG highlighted that </w:t>
      </w:r>
      <w:r w:rsidR="004D58DF" w:rsidRPr="007E3C0F">
        <w:rPr>
          <w:lang w:val="en-GB"/>
        </w:rPr>
        <w:t>some of the</w:t>
      </w:r>
      <w:r w:rsidR="00CB0B37" w:rsidRPr="007E3C0F">
        <w:rPr>
          <w:lang w:val="en-GB"/>
        </w:rPr>
        <w:t xml:space="preserve"> serious adverse </w:t>
      </w:r>
      <w:r w:rsidR="00CB0B37" w:rsidRPr="007E3C0F">
        <w:rPr>
          <w:lang w:val="en-GB"/>
        </w:rPr>
        <w:lastRenderedPageBreak/>
        <w:t xml:space="preserve">events </w:t>
      </w:r>
      <w:r w:rsidR="000461E5" w:rsidRPr="007E3C0F">
        <w:rPr>
          <w:lang w:val="en-GB"/>
        </w:rPr>
        <w:t xml:space="preserve">related to solriamfetol </w:t>
      </w:r>
      <w:r w:rsidR="00CB0B37" w:rsidRPr="007E3C0F">
        <w:rPr>
          <w:lang w:val="en-GB"/>
        </w:rPr>
        <w:t>in the 150</w:t>
      </w:r>
      <w:r w:rsidR="0017396F" w:rsidRPr="007E3C0F">
        <w:rPr>
          <w:lang w:val="en-GB"/>
        </w:rPr>
        <w:t> mg</w:t>
      </w:r>
      <w:r w:rsidR="00CB0B37" w:rsidRPr="007E3C0F">
        <w:rPr>
          <w:lang w:val="en-GB"/>
        </w:rPr>
        <w:t xml:space="preserve"> arm of </w:t>
      </w:r>
      <w:r w:rsidR="0017396F" w:rsidRPr="007E3C0F">
        <w:rPr>
          <w:lang w:val="en-GB"/>
        </w:rPr>
        <w:t>TONES 5</w:t>
      </w:r>
      <w:r w:rsidR="00CB0B37" w:rsidRPr="007E3C0F">
        <w:rPr>
          <w:lang w:val="en-GB"/>
        </w:rPr>
        <w:t xml:space="preserve"> led to hospitalisation</w:t>
      </w:r>
      <w:r w:rsidR="00670C30" w:rsidRPr="007E3C0F">
        <w:rPr>
          <w:lang w:val="en-GB"/>
        </w:rPr>
        <w:t xml:space="preserve">. </w:t>
      </w:r>
      <w:r w:rsidR="00E3261C" w:rsidRPr="007E3C0F">
        <w:rPr>
          <w:lang w:val="en-GB"/>
        </w:rPr>
        <w:t xml:space="preserve">This included </w:t>
      </w:r>
      <w:r w:rsidR="00131975" w:rsidRPr="007E3C0F">
        <w:rPr>
          <w:lang w:val="en-GB"/>
        </w:rPr>
        <w:t>1</w:t>
      </w:r>
      <w:r w:rsidR="00E3261C" w:rsidRPr="007E3C0F">
        <w:rPr>
          <w:lang w:val="en-GB"/>
        </w:rPr>
        <w:t xml:space="preserve"> </w:t>
      </w:r>
      <w:r w:rsidR="006422F1" w:rsidRPr="007E3C0F">
        <w:rPr>
          <w:lang w:val="en-GB"/>
        </w:rPr>
        <w:t>cerebrovascular</w:t>
      </w:r>
      <w:r w:rsidR="00FA5CB6" w:rsidRPr="007E3C0F">
        <w:rPr>
          <w:lang w:val="en-GB"/>
        </w:rPr>
        <w:t xml:space="preserve"> (stroke)</w:t>
      </w:r>
      <w:r w:rsidR="00E3261C" w:rsidRPr="007E3C0F">
        <w:rPr>
          <w:lang w:val="en-GB"/>
        </w:rPr>
        <w:t xml:space="preserve"> episode. The company argued that to include the cost of </w:t>
      </w:r>
      <w:r w:rsidR="00FA5CB6" w:rsidRPr="007E3C0F">
        <w:rPr>
          <w:lang w:val="en-GB"/>
        </w:rPr>
        <w:t>stroke</w:t>
      </w:r>
      <w:r w:rsidR="006422F1" w:rsidRPr="007E3C0F">
        <w:rPr>
          <w:lang w:val="en-GB"/>
        </w:rPr>
        <w:t xml:space="preserve"> </w:t>
      </w:r>
      <w:r w:rsidR="00E3261C" w:rsidRPr="007E3C0F">
        <w:rPr>
          <w:lang w:val="en-GB"/>
        </w:rPr>
        <w:t xml:space="preserve">would not be appropriate </w:t>
      </w:r>
      <w:r w:rsidR="004D58DF" w:rsidRPr="007E3C0F">
        <w:rPr>
          <w:lang w:val="en-GB"/>
        </w:rPr>
        <w:t xml:space="preserve">because </w:t>
      </w:r>
      <w:r w:rsidR="00E3261C" w:rsidRPr="007E3C0F">
        <w:rPr>
          <w:lang w:val="en-GB"/>
        </w:rPr>
        <w:t xml:space="preserve">it </w:t>
      </w:r>
      <w:r w:rsidR="006422F1" w:rsidRPr="007E3C0F">
        <w:rPr>
          <w:lang w:val="en-GB"/>
        </w:rPr>
        <w:t xml:space="preserve">can </w:t>
      </w:r>
      <w:r w:rsidR="00E3261C" w:rsidRPr="007E3C0F">
        <w:rPr>
          <w:lang w:val="en-GB"/>
        </w:rPr>
        <w:t>occur</w:t>
      </w:r>
      <w:r w:rsidR="006422F1" w:rsidRPr="007E3C0F">
        <w:rPr>
          <w:lang w:val="en-GB"/>
        </w:rPr>
        <w:t xml:space="preserve"> in the target patient population in the ‘real world’. </w:t>
      </w:r>
      <w:r w:rsidR="00670C30" w:rsidRPr="007E3C0F">
        <w:rPr>
          <w:lang w:val="en-GB"/>
        </w:rPr>
        <w:t xml:space="preserve">In its base case the ERG included </w:t>
      </w:r>
      <w:r w:rsidR="00C916DF" w:rsidRPr="007E3C0F">
        <w:rPr>
          <w:lang w:val="en-GB"/>
        </w:rPr>
        <w:t>hospitalisation costs for serious adverse events</w:t>
      </w:r>
      <w:r w:rsidR="009744F4" w:rsidRPr="007E3C0F">
        <w:rPr>
          <w:lang w:val="en-GB"/>
        </w:rPr>
        <w:t xml:space="preserve"> in patients taking solriamfetol</w:t>
      </w:r>
      <w:r w:rsidR="006422F1" w:rsidRPr="007E3C0F">
        <w:rPr>
          <w:lang w:val="en-GB"/>
        </w:rPr>
        <w:t xml:space="preserve"> (including stroke)</w:t>
      </w:r>
      <w:r w:rsidR="009744F4" w:rsidRPr="007E3C0F">
        <w:rPr>
          <w:lang w:val="en-GB"/>
        </w:rPr>
        <w:t xml:space="preserve">. </w:t>
      </w:r>
      <w:r w:rsidRPr="007E3C0F">
        <w:rPr>
          <w:lang w:val="en-GB"/>
        </w:rPr>
        <w:t xml:space="preserve">The committee concluded that </w:t>
      </w:r>
      <w:r w:rsidR="00AD0BC2" w:rsidRPr="007E3C0F">
        <w:rPr>
          <w:lang w:val="en-GB"/>
        </w:rPr>
        <w:t>hospitalisation costs for serious adverse events</w:t>
      </w:r>
      <w:r w:rsidRPr="007E3C0F">
        <w:rPr>
          <w:lang w:val="en-GB"/>
        </w:rPr>
        <w:t xml:space="preserve"> should be included in the modelling.</w:t>
      </w:r>
    </w:p>
    <w:p w14:paraId="7C10CFD5" w14:textId="52DF5420" w:rsidR="00DC7132" w:rsidRPr="007E3C0F" w:rsidRDefault="00DC7132" w:rsidP="00DC7132">
      <w:pPr>
        <w:pStyle w:val="Heading3"/>
      </w:pPr>
      <w:bookmarkStart w:id="4" w:name="_Hlk64232145"/>
      <w:r w:rsidRPr="007E3C0F">
        <w:t xml:space="preserve">A range of dose split assumptions in the analysis is appropriate to account for the variability in clinical </w:t>
      </w:r>
      <w:proofErr w:type="gramStart"/>
      <w:r w:rsidRPr="007E3C0F">
        <w:t>practice</w:t>
      </w:r>
      <w:proofErr w:type="gramEnd"/>
    </w:p>
    <w:bookmarkEnd w:id="4"/>
    <w:p w14:paraId="4585A12D" w14:textId="43B9EE9E" w:rsidR="003C07B5" w:rsidRPr="007E3C0F" w:rsidRDefault="00E17067" w:rsidP="00DE157D">
      <w:pPr>
        <w:pStyle w:val="Numberedlevel2text"/>
        <w:rPr>
          <w:lang w:val="en-GB"/>
        </w:rPr>
      </w:pPr>
      <w:r w:rsidRPr="007E3C0F">
        <w:rPr>
          <w:lang w:val="en-GB"/>
        </w:rPr>
        <w:t>Solriamfetol is</w:t>
      </w:r>
      <w:r w:rsidR="001C7168" w:rsidRPr="007E3C0F">
        <w:rPr>
          <w:lang w:val="en-GB"/>
        </w:rPr>
        <w:t xml:space="preserve"> available in different doses</w:t>
      </w:r>
      <w:r w:rsidR="00507739" w:rsidRPr="007E3C0F">
        <w:rPr>
          <w:lang w:val="en-GB"/>
        </w:rPr>
        <w:t>,</w:t>
      </w:r>
      <w:r w:rsidR="001C7168" w:rsidRPr="007E3C0F">
        <w:rPr>
          <w:lang w:val="en-GB"/>
        </w:rPr>
        <w:t xml:space="preserve"> which vary in cost and effectiveness</w:t>
      </w:r>
      <w:r w:rsidR="00626BDC" w:rsidRPr="007E3C0F">
        <w:rPr>
          <w:lang w:val="en-GB"/>
        </w:rPr>
        <w:t xml:space="preserve">. </w:t>
      </w:r>
      <w:r w:rsidR="00155A96" w:rsidRPr="007E3C0F">
        <w:rPr>
          <w:lang w:val="en-GB"/>
        </w:rPr>
        <w:t>Results for t</w:t>
      </w:r>
      <w:r w:rsidR="00626BDC" w:rsidRPr="007E3C0F">
        <w:rPr>
          <w:lang w:val="en-GB"/>
        </w:rPr>
        <w:t xml:space="preserve">hese different treatment dose options were weighted, based on </w:t>
      </w:r>
      <w:r w:rsidR="00155A96" w:rsidRPr="007E3C0F">
        <w:rPr>
          <w:lang w:val="en-GB"/>
        </w:rPr>
        <w:t xml:space="preserve">dose-splitting </w:t>
      </w:r>
      <w:r w:rsidR="00626BDC" w:rsidRPr="007E3C0F">
        <w:rPr>
          <w:lang w:val="en-GB"/>
        </w:rPr>
        <w:t xml:space="preserve">assumptions, to inform cost-effectiveness comparisons between solriamfetol and </w:t>
      </w:r>
      <w:r w:rsidR="003A41A6" w:rsidRPr="007E3C0F">
        <w:rPr>
          <w:lang w:val="en-GB"/>
        </w:rPr>
        <w:t>standard care</w:t>
      </w:r>
      <w:r w:rsidR="00626BDC" w:rsidRPr="007E3C0F">
        <w:rPr>
          <w:lang w:val="en-GB"/>
        </w:rPr>
        <w:t xml:space="preserve">. </w:t>
      </w:r>
      <w:r w:rsidR="00B03B98" w:rsidRPr="007E3C0F">
        <w:rPr>
          <w:lang w:val="en-GB"/>
        </w:rPr>
        <w:t>In t</w:t>
      </w:r>
      <w:r w:rsidR="00523A2E" w:rsidRPr="007E3C0F">
        <w:rPr>
          <w:lang w:val="en-GB"/>
        </w:rPr>
        <w:t>he company</w:t>
      </w:r>
      <w:r w:rsidR="00B03B98" w:rsidRPr="007E3C0F">
        <w:rPr>
          <w:lang w:val="en-GB"/>
        </w:rPr>
        <w:t>’s base</w:t>
      </w:r>
      <w:r w:rsidR="00AF5308" w:rsidRPr="007E3C0F">
        <w:rPr>
          <w:lang w:val="en-GB"/>
        </w:rPr>
        <w:t xml:space="preserve"> case</w:t>
      </w:r>
      <w:r w:rsidR="00B03B98" w:rsidRPr="007E3C0F">
        <w:rPr>
          <w:lang w:val="en-GB"/>
        </w:rPr>
        <w:t xml:space="preserve">, it was </w:t>
      </w:r>
      <w:r w:rsidR="00523A2E" w:rsidRPr="007E3C0F">
        <w:rPr>
          <w:lang w:val="en-GB"/>
        </w:rPr>
        <w:t xml:space="preserve">assumed </w:t>
      </w:r>
      <w:r w:rsidR="00AF53BD" w:rsidRPr="007E3C0F">
        <w:rPr>
          <w:lang w:val="en-GB"/>
        </w:rPr>
        <w:t xml:space="preserve">that </w:t>
      </w:r>
      <w:r w:rsidR="00155A96" w:rsidRPr="007E3C0F">
        <w:rPr>
          <w:lang w:val="en-GB"/>
        </w:rPr>
        <w:t xml:space="preserve">the dose splits were </w:t>
      </w:r>
      <w:r w:rsidR="00AF53BD" w:rsidRPr="007E3C0F">
        <w:rPr>
          <w:lang w:val="en-GB"/>
        </w:rPr>
        <w:t>40%</w:t>
      </w:r>
      <w:r w:rsidR="00F243D4" w:rsidRPr="007E3C0F">
        <w:rPr>
          <w:lang w:val="en-GB"/>
        </w:rPr>
        <w:t>,</w:t>
      </w:r>
      <w:r w:rsidR="00AF53BD" w:rsidRPr="007E3C0F">
        <w:rPr>
          <w:lang w:val="en-GB"/>
        </w:rPr>
        <w:t xml:space="preserve"> 40% </w:t>
      </w:r>
      <w:r w:rsidR="00F243D4" w:rsidRPr="007E3C0F">
        <w:rPr>
          <w:lang w:val="en-GB"/>
        </w:rPr>
        <w:t xml:space="preserve">and </w:t>
      </w:r>
      <w:r w:rsidR="00AF53BD" w:rsidRPr="007E3C0F">
        <w:rPr>
          <w:lang w:val="en-GB"/>
        </w:rPr>
        <w:t>20%</w:t>
      </w:r>
      <w:r w:rsidR="00155A96" w:rsidRPr="007E3C0F">
        <w:rPr>
          <w:lang w:val="en-GB"/>
        </w:rPr>
        <w:t xml:space="preserve"> respectively for 37.5</w:t>
      </w:r>
      <w:r w:rsidR="0017396F" w:rsidRPr="007E3C0F">
        <w:rPr>
          <w:lang w:val="en-GB"/>
        </w:rPr>
        <w:t> mg</w:t>
      </w:r>
      <w:r w:rsidR="00155A96" w:rsidRPr="007E3C0F">
        <w:rPr>
          <w:lang w:val="en-GB"/>
        </w:rPr>
        <w:t>, 75</w:t>
      </w:r>
      <w:r w:rsidR="0017396F" w:rsidRPr="007E3C0F">
        <w:rPr>
          <w:lang w:val="en-GB"/>
        </w:rPr>
        <w:t> </w:t>
      </w:r>
      <w:proofErr w:type="gramStart"/>
      <w:r w:rsidR="0017396F" w:rsidRPr="007E3C0F">
        <w:rPr>
          <w:lang w:val="en-GB"/>
        </w:rPr>
        <w:t>mg</w:t>
      </w:r>
      <w:proofErr w:type="gramEnd"/>
      <w:r w:rsidR="00155A96" w:rsidRPr="007E3C0F">
        <w:rPr>
          <w:lang w:val="en-GB"/>
        </w:rPr>
        <w:t xml:space="preserve"> and 150</w:t>
      </w:r>
      <w:r w:rsidR="0017396F" w:rsidRPr="007E3C0F">
        <w:rPr>
          <w:lang w:val="en-GB"/>
        </w:rPr>
        <w:t> mg</w:t>
      </w:r>
      <w:r w:rsidR="00155A96" w:rsidRPr="007E3C0F">
        <w:rPr>
          <w:lang w:val="en-GB"/>
        </w:rPr>
        <w:t xml:space="preserve"> doses of solriamfetol</w:t>
      </w:r>
      <w:r w:rsidR="00AF53BD" w:rsidRPr="007E3C0F">
        <w:rPr>
          <w:lang w:val="en-GB"/>
        </w:rPr>
        <w:t xml:space="preserve">. The ERG noted that </w:t>
      </w:r>
      <w:r w:rsidR="00155A96" w:rsidRPr="007E3C0F">
        <w:rPr>
          <w:lang w:val="en-GB"/>
        </w:rPr>
        <w:t xml:space="preserve">this dose split was </w:t>
      </w:r>
      <w:r w:rsidR="003A41A6" w:rsidRPr="007E3C0F">
        <w:rPr>
          <w:lang w:val="en-GB"/>
        </w:rPr>
        <w:t xml:space="preserve">different to </w:t>
      </w:r>
      <w:r w:rsidR="00155A96" w:rsidRPr="007E3C0F">
        <w:rPr>
          <w:lang w:val="en-GB"/>
        </w:rPr>
        <w:t xml:space="preserve">that reported </w:t>
      </w:r>
      <w:r w:rsidR="003A41A6" w:rsidRPr="007E3C0F">
        <w:rPr>
          <w:lang w:val="en-GB"/>
        </w:rPr>
        <w:t>in a US study</w:t>
      </w:r>
      <w:r w:rsidR="009B6443" w:rsidRPr="007E3C0F">
        <w:rPr>
          <w:lang w:val="en-GB"/>
        </w:rPr>
        <w:t xml:space="preserve"> of prescribing data</w:t>
      </w:r>
      <w:r w:rsidR="0063517D" w:rsidRPr="007E3C0F">
        <w:rPr>
          <w:lang w:val="en-GB"/>
        </w:rPr>
        <w:t>,</w:t>
      </w:r>
      <w:r w:rsidR="009B6443" w:rsidRPr="007E3C0F">
        <w:rPr>
          <w:lang w:val="en-GB"/>
        </w:rPr>
        <w:t xml:space="preserve"> </w:t>
      </w:r>
      <w:r w:rsidR="000A0EBA" w:rsidRPr="007E3C0F">
        <w:rPr>
          <w:lang w:val="en-GB"/>
        </w:rPr>
        <w:t xml:space="preserve">in which </w:t>
      </w:r>
      <w:r w:rsidR="00B20873" w:rsidRPr="007E3C0F">
        <w:rPr>
          <w:lang w:val="en-GB"/>
        </w:rPr>
        <w:t>a greater proportion of patients</w:t>
      </w:r>
      <w:r w:rsidR="00A47531" w:rsidRPr="007E3C0F">
        <w:rPr>
          <w:lang w:val="en-GB"/>
        </w:rPr>
        <w:t xml:space="preserve"> </w:t>
      </w:r>
      <w:r w:rsidR="000A0EBA" w:rsidRPr="007E3C0F">
        <w:rPr>
          <w:lang w:val="en-GB"/>
        </w:rPr>
        <w:t>are</w:t>
      </w:r>
      <w:r w:rsidR="009B6443" w:rsidRPr="007E3C0F">
        <w:rPr>
          <w:lang w:val="en-GB"/>
        </w:rPr>
        <w:t xml:space="preserve"> on the 75</w:t>
      </w:r>
      <w:r w:rsidR="0017396F" w:rsidRPr="007E3C0F">
        <w:rPr>
          <w:lang w:val="en-GB"/>
        </w:rPr>
        <w:t> mg</w:t>
      </w:r>
      <w:r w:rsidR="009B6443" w:rsidRPr="007E3C0F">
        <w:rPr>
          <w:lang w:val="en-GB"/>
        </w:rPr>
        <w:t xml:space="preserve"> dose</w:t>
      </w:r>
      <w:r w:rsidR="003A41A6" w:rsidRPr="007E3C0F">
        <w:rPr>
          <w:lang w:val="en-GB"/>
        </w:rPr>
        <w:t xml:space="preserve"> </w:t>
      </w:r>
      <w:r w:rsidR="00523A2E" w:rsidRPr="007E3C0F">
        <w:rPr>
          <w:lang w:val="en-GB"/>
        </w:rPr>
        <w:t>(the figures are commercial</w:t>
      </w:r>
      <w:r w:rsidR="000B52B9" w:rsidRPr="007E3C0F">
        <w:rPr>
          <w:lang w:val="en-GB"/>
        </w:rPr>
        <w:t xml:space="preserve"> </w:t>
      </w:r>
      <w:r w:rsidR="00523A2E" w:rsidRPr="007E3C0F">
        <w:rPr>
          <w:lang w:val="en-GB"/>
        </w:rPr>
        <w:t>in</w:t>
      </w:r>
      <w:r w:rsidR="000B52B9" w:rsidRPr="007E3C0F">
        <w:rPr>
          <w:lang w:val="en-GB"/>
        </w:rPr>
        <w:t xml:space="preserve"> </w:t>
      </w:r>
      <w:r w:rsidR="00523A2E" w:rsidRPr="007E3C0F">
        <w:rPr>
          <w:lang w:val="en-GB"/>
        </w:rPr>
        <w:t xml:space="preserve">confidence and cannot be reported here). </w:t>
      </w:r>
      <w:r w:rsidR="00AF5308" w:rsidRPr="007E3C0F">
        <w:rPr>
          <w:lang w:val="en-GB"/>
        </w:rPr>
        <w:t xml:space="preserve">In the ERG’s </w:t>
      </w:r>
      <w:r w:rsidR="00BA6687" w:rsidRPr="007E3C0F">
        <w:rPr>
          <w:lang w:val="en-GB"/>
        </w:rPr>
        <w:t xml:space="preserve">base case </w:t>
      </w:r>
      <w:r w:rsidR="00AF5308" w:rsidRPr="007E3C0F">
        <w:rPr>
          <w:lang w:val="en-GB"/>
        </w:rPr>
        <w:t xml:space="preserve">it was </w:t>
      </w:r>
      <w:r w:rsidR="00BA6687" w:rsidRPr="007E3C0F">
        <w:rPr>
          <w:lang w:val="en-GB"/>
        </w:rPr>
        <w:t xml:space="preserve">assumed that </w:t>
      </w:r>
      <w:r w:rsidR="003A41A6" w:rsidRPr="007E3C0F">
        <w:rPr>
          <w:lang w:val="en-GB"/>
        </w:rPr>
        <w:t>5</w:t>
      </w:r>
      <w:r w:rsidR="00BA6687" w:rsidRPr="007E3C0F">
        <w:rPr>
          <w:lang w:val="en-GB"/>
        </w:rPr>
        <w:t xml:space="preserve">0% of people </w:t>
      </w:r>
      <w:r w:rsidR="00D33E66" w:rsidRPr="007E3C0F">
        <w:rPr>
          <w:lang w:val="en-GB"/>
        </w:rPr>
        <w:t>were</w:t>
      </w:r>
      <w:r w:rsidR="00BA6687" w:rsidRPr="007E3C0F">
        <w:rPr>
          <w:lang w:val="en-GB"/>
        </w:rPr>
        <w:t xml:space="preserve"> on the </w:t>
      </w:r>
      <w:r w:rsidR="003A41A6" w:rsidRPr="007E3C0F">
        <w:rPr>
          <w:lang w:val="en-GB"/>
        </w:rPr>
        <w:t>75</w:t>
      </w:r>
      <w:r w:rsidR="0017396F" w:rsidRPr="007E3C0F">
        <w:rPr>
          <w:lang w:val="en-GB"/>
        </w:rPr>
        <w:t> mg</w:t>
      </w:r>
      <w:r w:rsidR="00BA6687" w:rsidRPr="007E3C0F">
        <w:rPr>
          <w:lang w:val="en-GB"/>
        </w:rPr>
        <w:t xml:space="preserve"> dose of solriamfetol</w:t>
      </w:r>
      <w:r w:rsidR="00507739" w:rsidRPr="007E3C0F">
        <w:rPr>
          <w:lang w:val="en-GB"/>
        </w:rPr>
        <w:t>.</w:t>
      </w:r>
      <w:r w:rsidR="00BA6687" w:rsidRPr="007E3C0F">
        <w:rPr>
          <w:lang w:val="en-GB"/>
        </w:rPr>
        <w:t xml:space="preserve"> </w:t>
      </w:r>
      <w:r w:rsidR="00507739" w:rsidRPr="007E3C0F">
        <w:rPr>
          <w:lang w:val="en-GB"/>
        </w:rPr>
        <w:t>T</w:t>
      </w:r>
      <w:r w:rsidR="00AF5308" w:rsidRPr="007E3C0F">
        <w:rPr>
          <w:lang w:val="en-GB"/>
        </w:rPr>
        <w:t xml:space="preserve">he ERG </w:t>
      </w:r>
      <w:r w:rsidR="00BA6687" w:rsidRPr="007E3C0F">
        <w:rPr>
          <w:lang w:val="en-GB"/>
        </w:rPr>
        <w:t xml:space="preserve">tested </w:t>
      </w:r>
      <w:r w:rsidR="003A41A6" w:rsidRPr="007E3C0F">
        <w:rPr>
          <w:lang w:val="en-GB"/>
        </w:rPr>
        <w:t>different</w:t>
      </w:r>
      <w:r w:rsidR="00BA6687" w:rsidRPr="007E3C0F">
        <w:rPr>
          <w:lang w:val="en-GB"/>
        </w:rPr>
        <w:t xml:space="preserve"> dosing splits in</w:t>
      </w:r>
      <w:r w:rsidR="00507739" w:rsidRPr="007E3C0F">
        <w:rPr>
          <w:lang w:val="en-GB"/>
        </w:rPr>
        <w:t xml:space="preserve"> a</w:t>
      </w:r>
      <w:r w:rsidR="00BA6687" w:rsidRPr="007E3C0F">
        <w:rPr>
          <w:lang w:val="en-GB"/>
        </w:rPr>
        <w:t xml:space="preserve"> sensitivity analysis</w:t>
      </w:r>
      <w:r w:rsidR="00AF5308" w:rsidRPr="007E3C0F">
        <w:rPr>
          <w:lang w:val="en-GB"/>
        </w:rPr>
        <w:t xml:space="preserve">. </w:t>
      </w:r>
      <w:r w:rsidR="00CC43C0" w:rsidRPr="007E3C0F">
        <w:rPr>
          <w:lang w:val="en-GB"/>
        </w:rPr>
        <w:t xml:space="preserve">The clinical experts explained that it is difficult to estimate the most likely dose split in NHS clinical practice. </w:t>
      </w:r>
      <w:r w:rsidR="00BA6687" w:rsidRPr="007E3C0F">
        <w:rPr>
          <w:lang w:val="en-GB"/>
        </w:rPr>
        <w:t>The ERG highlighted that the cost-effectiveness conclusions were not</w:t>
      </w:r>
      <w:r w:rsidR="0053704A" w:rsidRPr="007E3C0F">
        <w:rPr>
          <w:lang w:val="en-GB"/>
        </w:rPr>
        <w:t xml:space="preserve"> sensitive to</w:t>
      </w:r>
      <w:r w:rsidR="00BA6687" w:rsidRPr="007E3C0F">
        <w:rPr>
          <w:lang w:val="en-GB"/>
        </w:rPr>
        <w:t xml:space="preserve"> dose split as</w:t>
      </w:r>
      <w:r w:rsidR="0053704A" w:rsidRPr="007E3C0F">
        <w:rPr>
          <w:lang w:val="en-GB"/>
        </w:rPr>
        <w:t>s</w:t>
      </w:r>
      <w:r w:rsidR="00BA6687" w:rsidRPr="007E3C0F">
        <w:rPr>
          <w:lang w:val="en-GB"/>
        </w:rPr>
        <w:t>umptions.</w:t>
      </w:r>
      <w:r w:rsidR="0056692B" w:rsidRPr="007E3C0F">
        <w:rPr>
          <w:lang w:val="en-GB"/>
        </w:rPr>
        <w:t xml:space="preserve"> </w:t>
      </w:r>
      <w:r w:rsidR="003510CC" w:rsidRPr="007E3C0F">
        <w:rPr>
          <w:lang w:val="en-GB"/>
        </w:rPr>
        <w:t xml:space="preserve">The committee </w:t>
      </w:r>
      <w:r w:rsidR="00802157" w:rsidRPr="007E3C0F">
        <w:rPr>
          <w:lang w:val="en-GB"/>
        </w:rPr>
        <w:t xml:space="preserve">concluded that </w:t>
      </w:r>
      <w:r w:rsidR="00B20873" w:rsidRPr="007E3C0F">
        <w:rPr>
          <w:lang w:val="en-GB"/>
        </w:rPr>
        <w:t>the</w:t>
      </w:r>
      <w:r w:rsidR="00EF77D9" w:rsidRPr="007E3C0F">
        <w:rPr>
          <w:lang w:val="en-GB"/>
        </w:rPr>
        <w:t xml:space="preserve"> range of dose split assumptions</w:t>
      </w:r>
      <w:r w:rsidR="00B20873" w:rsidRPr="007E3C0F">
        <w:rPr>
          <w:lang w:val="en-GB"/>
        </w:rPr>
        <w:t xml:space="preserve"> </w:t>
      </w:r>
      <w:r w:rsidR="0085223C" w:rsidRPr="007E3C0F">
        <w:rPr>
          <w:lang w:val="en-GB"/>
        </w:rPr>
        <w:t>included</w:t>
      </w:r>
      <w:r w:rsidR="00EF77D9" w:rsidRPr="007E3C0F">
        <w:rPr>
          <w:lang w:val="en-GB"/>
        </w:rPr>
        <w:t xml:space="preserve"> in the </w:t>
      </w:r>
      <w:r w:rsidR="00576F00" w:rsidRPr="007E3C0F">
        <w:rPr>
          <w:lang w:val="en-GB"/>
        </w:rPr>
        <w:t xml:space="preserve">company’s and ERG’s </w:t>
      </w:r>
      <w:r w:rsidR="00EF77D9" w:rsidRPr="007E3C0F">
        <w:rPr>
          <w:lang w:val="en-GB"/>
        </w:rPr>
        <w:t>analysis is appropriate to account for the variability in clinical practice</w:t>
      </w:r>
      <w:r w:rsidR="003A41A6" w:rsidRPr="007E3C0F">
        <w:rPr>
          <w:lang w:val="en-GB"/>
        </w:rPr>
        <w:t>.</w:t>
      </w:r>
    </w:p>
    <w:p w14:paraId="0B611306" w14:textId="5FE36DF0" w:rsidR="00B82A82" w:rsidRPr="007E3C0F" w:rsidRDefault="0068450A" w:rsidP="00B82A82">
      <w:pPr>
        <w:pStyle w:val="Heading2"/>
      </w:pPr>
      <w:r w:rsidRPr="007E3C0F">
        <w:lastRenderedPageBreak/>
        <w:t>Cost-effectiveness estimates</w:t>
      </w:r>
    </w:p>
    <w:p w14:paraId="1320E5C3" w14:textId="688E5343" w:rsidR="00CF14DB" w:rsidRPr="007E3C0F" w:rsidRDefault="00542C73" w:rsidP="00CF14DB">
      <w:pPr>
        <w:pStyle w:val="Heading3"/>
      </w:pPr>
      <w:r w:rsidRPr="007E3C0F">
        <w:t>B</w:t>
      </w:r>
      <w:r w:rsidR="00CF14DB" w:rsidRPr="007E3C0F">
        <w:t xml:space="preserve">ecause of the uncertainty, an acceptable ICER is below £20,000 per QALY </w:t>
      </w:r>
      <w:proofErr w:type="gramStart"/>
      <w:r w:rsidR="00CF14DB" w:rsidRPr="007E3C0F">
        <w:t>gained</w:t>
      </w:r>
      <w:proofErr w:type="gramEnd"/>
    </w:p>
    <w:p w14:paraId="6CC19187" w14:textId="50417CF1" w:rsidR="008B2CEA" w:rsidRPr="007E3C0F" w:rsidRDefault="00844789" w:rsidP="000F78A5">
      <w:pPr>
        <w:pStyle w:val="Numberedlevel2text"/>
        <w:rPr>
          <w:lang w:val="en-GB"/>
        </w:rPr>
      </w:pPr>
      <w:hyperlink r:id="rId14" w:history="1">
        <w:r w:rsidR="008B2CEA" w:rsidRPr="007E3C0F">
          <w:rPr>
            <w:rStyle w:val="Hyperlink"/>
            <w:lang w:val="en-GB"/>
          </w:rPr>
          <w:t>NICE’s guide to the methods of technology appraisal</w:t>
        </w:r>
      </w:hyperlink>
      <w:r w:rsidR="008B2CEA" w:rsidRPr="007E3C0F">
        <w:rPr>
          <w:lang w:val="en-GB"/>
        </w:rPr>
        <w:t xml:space="preserve"> notes that judgements about the acceptability of a technology as an effective use of NHS resources will </w:t>
      </w:r>
      <w:proofErr w:type="gramStart"/>
      <w:r w:rsidR="008B2CEA" w:rsidRPr="007E3C0F">
        <w:rPr>
          <w:lang w:val="en-GB"/>
        </w:rPr>
        <w:t>take into account</w:t>
      </w:r>
      <w:proofErr w:type="gramEnd"/>
      <w:r w:rsidR="008B2CEA" w:rsidRPr="007E3C0F">
        <w:rPr>
          <w:lang w:val="en-GB"/>
        </w:rPr>
        <w:t xml:space="preserve"> the degree of certainty around the ICER. The committee will be more cautious about recommending a technology if it </w:t>
      </w:r>
      <w:r w:rsidR="00C11721" w:rsidRPr="007E3C0F">
        <w:rPr>
          <w:lang w:val="en-GB"/>
        </w:rPr>
        <w:t>is</w:t>
      </w:r>
      <w:r w:rsidR="008B2CEA" w:rsidRPr="007E3C0F">
        <w:rPr>
          <w:lang w:val="en-GB"/>
        </w:rPr>
        <w:t xml:space="preserve"> less certain about the ICERs presented.</w:t>
      </w:r>
      <w:r w:rsidR="000F78A5" w:rsidRPr="007E3C0F">
        <w:rPr>
          <w:lang w:val="en-GB"/>
        </w:rPr>
        <w:t xml:space="preserve"> </w:t>
      </w:r>
      <w:r w:rsidR="008B2CEA" w:rsidRPr="007E3C0F">
        <w:rPr>
          <w:lang w:val="en-GB"/>
        </w:rPr>
        <w:t xml:space="preserve">The committee noted the high level of uncertainty. </w:t>
      </w:r>
      <w:proofErr w:type="gramStart"/>
      <w:r w:rsidR="008B2CEA" w:rsidRPr="007E3C0F">
        <w:rPr>
          <w:lang w:val="en-GB"/>
        </w:rPr>
        <w:t>In particular</w:t>
      </w:r>
      <w:r w:rsidR="000A0EBA" w:rsidRPr="007E3C0F">
        <w:rPr>
          <w:lang w:val="en-GB"/>
        </w:rPr>
        <w:t xml:space="preserve"> uncertainties</w:t>
      </w:r>
      <w:proofErr w:type="gramEnd"/>
      <w:r w:rsidR="000A0EBA" w:rsidRPr="007E3C0F">
        <w:rPr>
          <w:lang w:val="en-GB"/>
        </w:rPr>
        <w:t xml:space="preserve"> around</w:t>
      </w:r>
      <w:r w:rsidR="008B2CEA" w:rsidRPr="007E3C0F">
        <w:rPr>
          <w:lang w:val="en-GB"/>
        </w:rPr>
        <w:t>:</w:t>
      </w:r>
    </w:p>
    <w:p w14:paraId="5E678BFF" w14:textId="4F03FA51" w:rsidR="00AC0300" w:rsidRPr="007E3C0F" w:rsidRDefault="000A0EBA" w:rsidP="00C11721">
      <w:pPr>
        <w:pStyle w:val="Bulletindent1"/>
      </w:pPr>
      <w:r w:rsidRPr="007E3C0F">
        <w:t>t</w:t>
      </w:r>
      <w:r w:rsidR="0085223C" w:rsidRPr="007E3C0F">
        <w:t>he effect of</w:t>
      </w:r>
      <w:r w:rsidR="00AC0300" w:rsidRPr="007E3C0F">
        <w:t xml:space="preserve"> solriamfetol </w:t>
      </w:r>
      <w:r w:rsidR="0085223C" w:rsidRPr="007E3C0F">
        <w:t>on</w:t>
      </w:r>
      <w:r w:rsidR="00AC0300" w:rsidRPr="007E3C0F">
        <w:t xml:space="preserve"> adherence to primary obstructive sleep </w:t>
      </w:r>
      <w:r w:rsidR="00743AF8" w:rsidRPr="007E3C0F">
        <w:t>apnoea</w:t>
      </w:r>
      <w:r w:rsidR="00AC0300" w:rsidRPr="007E3C0F">
        <w:t xml:space="preserve"> therapy</w:t>
      </w:r>
      <w:r w:rsidR="00743AF8" w:rsidRPr="007E3C0F">
        <w:t xml:space="preserve"> (see </w:t>
      </w:r>
      <w:r w:rsidR="0017396F" w:rsidRPr="007E3C0F">
        <w:t>section </w:t>
      </w:r>
      <w:r w:rsidR="00277412" w:rsidRPr="007E3C0F">
        <w:t>3.</w:t>
      </w:r>
      <w:r w:rsidR="00EF2014" w:rsidRPr="007E3C0F">
        <w:t>6</w:t>
      </w:r>
      <w:r w:rsidR="00743AF8" w:rsidRPr="007E3C0F">
        <w:t>)</w:t>
      </w:r>
    </w:p>
    <w:p w14:paraId="28DD2BA1" w14:textId="13BF9DE3" w:rsidR="008B2CEA" w:rsidRPr="007E3C0F" w:rsidRDefault="000A0EBA" w:rsidP="00C11721">
      <w:pPr>
        <w:pStyle w:val="Bulletindent1"/>
      </w:pPr>
      <w:r w:rsidRPr="007E3C0F">
        <w:t>whether c</w:t>
      </w:r>
      <w:r w:rsidR="00AD4D80" w:rsidRPr="007E3C0F">
        <w:t xml:space="preserve">hanges in quality of life </w:t>
      </w:r>
      <w:r w:rsidRPr="007E3C0F">
        <w:t xml:space="preserve">were </w:t>
      </w:r>
      <w:r w:rsidR="00AD4D80" w:rsidRPr="007E3C0F">
        <w:t xml:space="preserve">adequately captured by mapping the ESS to the </w:t>
      </w:r>
      <w:r w:rsidR="0017396F" w:rsidRPr="007E3C0F">
        <w:t>EQ</w:t>
      </w:r>
      <w:r w:rsidR="0017396F" w:rsidRPr="007E3C0F">
        <w:noBreakHyphen/>
      </w:r>
      <w:r w:rsidR="00AD4D80" w:rsidRPr="007E3C0F">
        <w:t>5D</w:t>
      </w:r>
      <w:r w:rsidR="00C11721" w:rsidRPr="007E3C0F">
        <w:t xml:space="preserve"> (see </w:t>
      </w:r>
      <w:r w:rsidR="0017396F" w:rsidRPr="007E3C0F">
        <w:t>section </w:t>
      </w:r>
      <w:r w:rsidR="00C11721" w:rsidRPr="007E3C0F">
        <w:t>3.</w:t>
      </w:r>
      <w:r w:rsidR="00515B80" w:rsidRPr="007E3C0F">
        <w:t>1</w:t>
      </w:r>
      <w:r w:rsidR="00EF2014" w:rsidRPr="007E3C0F">
        <w:t>1</w:t>
      </w:r>
      <w:r w:rsidR="00C11721" w:rsidRPr="007E3C0F">
        <w:t>)</w:t>
      </w:r>
    </w:p>
    <w:p w14:paraId="3AEC1357" w14:textId="06E80121" w:rsidR="001F47E9" w:rsidRPr="007E3C0F" w:rsidRDefault="000A0EBA" w:rsidP="008B2CEA">
      <w:pPr>
        <w:pStyle w:val="Bulletindent1"/>
      </w:pPr>
      <w:r w:rsidRPr="007E3C0F">
        <w:t>the a</w:t>
      </w:r>
      <w:r w:rsidR="001F47E9" w:rsidRPr="007E3C0F">
        <w:t>djustment for</w:t>
      </w:r>
      <w:r w:rsidRPr="007E3C0F">
        <w:t xml:space="preserve"> the</w:t>
      </w:r>
      <w:r w:rsidR="001F47E9" w:rsidRPr="007E3C0F">
        <w:t xml:space="preserve"> placebo effect</w:t>
      </w:r>
      <w:r w:rsidR="00C11721" w:rsidRPr="007E3C0F">
        <w:t xml:space="preserve"> (see </w:t>
      </w:r>
      <w:r w:rsidR="0017396F" w:rsidRPr="007E3C0F">
        <w:t>section </w:t>
      </w:r>
      <w:r w:rsidR="00C11721" w:rsidRPr="007E3C0F">
        <w:t>3.</w:t>
      </w:r>
      <w:r w:rsidR="00EF2014" w:rsidRPr="007E3C0F">
        <w:t>9</w:t>
      </w:r>
      <w:r w:rsidR="00C11721" w:rsidRPr="007E3C0F">
        <w:t>)</w:t>
      </w:r>
    </w:p>
    <w:p w14:paraId="5579D2D3" w14:textId="0F500CEC" w:rsidR="00CF14DB" w:rsidRPr="007E3C0F" w:rsidRDefault="000A0EBA" w:rsidP="00802157">
      <w:pPr>
        <w:pStyle w:val="Bulletindent1last"/>
      </w:pPr>
      <w:r w:rsidRPr="007E3C0F">
        <w:t>t</w:t>
      </w:r>
      <w:r w:rsidR="001F47E9" w:rsidRPr="007E3C0F">
        <w:t xml:space="preserve">he dose splits that will be used in clinical practice </w:t>
      </w:r>
      <w:r w:rsidR="00C11721" w:rsidRPr="007E3C0F">
        <w:t xml:space="preserve">(see </w:t>
      </w:r>
      <w:r w:rsidR="0017396F" w:rsidRPr="007E3C0F">
        <w:t>section </w:t>
      </w:r>
      <w:r w:rsidR="00C11721" w:rsidRPr="007E3C0F">
        <w:t>3.</w:t>
      </w:r>
      <w:r w:rsidR="0085223C" w:rsidRPr="007E3C0F">
        <w:t>1</w:t>
      </w:r>
      <w:r w:rsidR="00AB10A3">
        <w:t>4</w:t>
      </w:r>
      <w:r w:rsidR="00C11721" w:rsidRPr="007E3C0F">
        <w:t>)</w:t>
      </w:r>
      <w:r w:rsidR="001F47E9" w:rsidRPr="007E3C0F">
        <w:t>.</w:t>
      </w:r>
      <w:r w:rsidR="00802157" w:rsidRPr="007E3C0F">
        <w:br/>
      </w:r>
      <w:r w:rsidR="00802157" w:rsidRPr="007E3C0F">
        <w:br/>
      </w:r>
      <w:r w:rsidR="008B2CEA" w:rsidRPr="007E3C0F">
        <w:t>Therefore the committee agreed</w:t>
      </w:r>
      <w:r w:rsidR="00EA0D4B" w:rsidRPr="007E3C0F">
        <w:t xml:space="preserve"> that</w:t>
      </w:r>
      <w:r w:rsidR="00AB5D6F">
        <w:t>,</w:t>
      </w:r>
      <w:r w:rsidR="00B20873" w:rsidRPr="007E3C0F">
        <w:t xml:space="preserve"> </w:t>
      </w:r>
      <w:r w:rsidR="0047749E" w:rsidRPr="007E3C0F">
        <w:t>because of</w:t>
      </w:r>
      <w:r w:rsidR="00B20873" w:rsidRPr="007E3C0F">
        <w:t xml:space="preserve"> </w:t>
      </w:r>
      <w:r w:rsidR="008B2CEA" w:rsidRPr="007E3C0F">
        <w:t>the high level of uncertainty in the analyses</w:t>
      </w:r>
      <w:r w:rsidR="00EA0D4B" w:rsidRPr="007E3C0F">
        <w:t>,</w:t>
      </w:r>
      <w:r w:rsidR="008B2CEA" w:rsidRPr="007E3C0F">
        <w:t xml:space="preserve"> an acceptable ICER would be below £20,000 per </w:t>
      </w:r>
      <w:r w:rsidR="00FC60A4">
        <w:t>quality-adjusted life year (</w:t>
      </w:r>
      <w:r w:rsidR="008B2CEA" w:rsidRPr="007E3C0F">
        <w:t>QALY</w:t>
      </w:r>
      <w:r w:rsidR="00FC60A4">
        <w:t>)</w:t>
      </w:r>
      <w:r w:rsidR="008B2CEA" w:rsidRPr="007E3C0F">
        <w:t xml:space="preserve"> gained</w:t>
      </w:r>
      <w:r w:rsidR="002029BC" w:rsidRPr="007E3C0F">
        <w:t>.</w:t>
      </w:r>
    </w:p>
    <w:p w14:paraId="6F33F419" w14:textId="0B794002" w:rsidR="00B82A82" w:rsidRPr="007E3C0F" w:rsidRDefault="00495A70" w:rsidP="00410973">
      <w:pPr>
        <w:pStyle w:val="Heading3"/>
      </w:pPr>
      <w:bookmarkStart w:id="5" w:name="_Hlk24556768"/>
      <w:r w:rsidRPr="007E3C0F">
        <w:t>S</w:t>
      </w:r>
      <w:r w:rsidR="00A73270" w:rsidRPr="007E3C0F">
        <w:t>olriamfetol</w:t>
      </w:r>
      <w:r w:rsidR="00D01262" w:rsidRPr="007E3C0F">
        <w:t xml:space="preserve"> with standard care</w:t>
      </w:r>
      <w:r w:rsidR="00A73270" w:rsidRPr="007E3C0F">
        <w:t xml:space="preserve"> is</w:t>
      </w:r>
      <w:r w:rsidRPr="007E3C0F">
        <w:t xml:space="preserve"> not</w:t>
      </w:r>
      <w:r w:rsidR="00A73270" w:rsidRPr="007E3C0F">
        <w:t xml:space="preserve"> a cost-effective </w:t>
      </w:r>
      <w:r w:rsidRPr="007E3C0F">
        <w:t xml:space="preserve">use of NHS </w:t>
      </w:r>
      <w:proofErr w:type="gramStart"/>
      <w:r w:rsidRPr="007E3C0F">
        <w:t>resources</w:t>
      </w:r>
      <w:proofErr w:type="gramEnd"/>
    </w:p>
    <w:p w14:paraId="1A8BFD09" w14:textId="0D0C809F" w:rsidR="004D2716" w:rsidRPr="007E3C0F" w:rsidRDefault="002D7843" w:rsidP="005475A1">
      <w:pPr>
        <w:pStyle w:val="Numberedlevel2text"/>
        <w:rPr>
          <w:lang w:val="en-GB"/>
        </w:rPr>
      </w:pPr>
      <w:r w:rsidRPr="007E3C0F">
        <w:rPr>
          <w:lang w:val="en-GB"/>
        </w:rPr>
        <w:t>The committee considered the cost-effectiveness estimate</w:t>
      </w:r>
      <w:r w:rsidR="00853AFD" w:rsidRPr="007E3C0F">
        <w:rPr>
          <w:lang w:val="en-GB"/>
        </w:rPr>
        <w:t>s</w:t>
      </w:r>
      <w:r w:rsidRPr="007E3C0F">
        <w:rPr>
          <w:lang w:val="en-GB"/>
        </w:rPr>
        <w:t xml:space="preserve"> for solriamfetol </w:t>
      </w:r>
      <w:r w:rsidR="000275FF" w:rsidRPr="007E3C0F">
        <w:rPr>
          <w:lang w:val="en-GB"/>
        </w:rPr>
        <w:t xml:space="preserve">plus </w:t>
      </w:r>
      <w:r w:rsidRPr="007E3C0F">
        <w:rPr>
          <w:lang w:val="en-GB"/>
        </w:rPr>
        <w:t xml:space="preserve">standard care compared with standard care alone. </w:t>
      </w:r>
      <w:r w:rsidR="00D61545" w:rsidRPr="007E3C0F">
        <w:rPr>
          <w:lang w:val="en-GB"/>
        </w:rPr>
        <w:t xml:space="preserve">The committee preferred to use </w:t>
      </w:r>
      <w:r w:rsidR="00325BCE" w:rsidRPr="007E3C0F">
        <w:rPr>
          <w:lang w:val="en-GB"/>
        </w:rPr>
        <w:t xml:space="preserve">the </w:t>
      </w:r>
      <w:r w:rsidR="00D84209" w:rsidRPr="007E3C0F">
        <w:rPr>
          <w:lang w:val="en-GB"/>
        </w:rPr>
        <w:t xml:space="preserve">ERG’s </w:t>
      </w:r>
      <w:r w:rsidR="00D61545" w:rsidRPr="007E3C0F">
        <w:rPr>
          <w:lang w:val="en-GB"/>
        </w:rPr>
        <w:t xml:space="preserve">base case </w:t>
      </w:r>
      <w:r w:rsidR="003601F3" w:rsidRPr="007E3C0F">
        <w:rPr>
          <w:lang w:val="en-GB"/>
        </w:rPr>
        <w:t>with the following assumptions</w:t>
      </w:r>
      <w:r w:rsidR="004D2716" w:rsidRPr="007E3C0F">
        <w:rPr>
          <w:lang w:val="en-GB"/>
        </w:rPr>
        <w:t>:</w:t>
      </w:r>
    </w:p>
    <w:p w14:paraId="2589DF92" w14:textId="1F6464A3" w:rsidR="004D2716" w:rsidRPr="007E3C0F" w:rsidRDefault="005002FA" w:rsidP="004D2716">
      <w:pPr>
        <w:pStyle w:val="Bulletindent1"/>
      </w:pPr>
      <w:r w:rsidRPr="007E3C0F">
        <w:t xml:space="preserve">treatment response defined as an </w:t>
      </w:r>
      <w:r w:rsidR="004D2716" w:rsidRPr="007E3C0F">
        <w:t>ESS score reduction of 2 or more points</w:t>
      </w:r>
      <w:r w:rsidR="00853AFD" w:rsidRPr="007E3C0F">
        <w:t xml:space="preserve"> (see </w:t>
      </w:r>
      <w:r w:rsidR="0017396F" w:rsidRPr="007E3C0F">
        <w:t>section </w:t>
      </w:r>
      <w:r w:rsidR="00853AFD" w:rsidRPr="007E3C0F">
        <w:t>3.</w:t>
      </w:r>
      <w:r w:rsidR="00C0507F" w:rsidRPr="007E3C0F">
        <w:t>8</w:t>
      </w:r>
      <w:r w:rsidR="003A2260" w:rsidRPr="007E3C0F">
        <w:t>)</w:t>
      </w:r>
    </w:p>
    <w:p w14:paraId="7E15D900" w14:textId="5BBE4BF4" w:rsidR="007B3B00" w:rsidRPr="007E3C0F" w:rsidRDefault="00CF2ACE" w:rsidP="004D2716">
      <w:pPr>
        <w:pStyle w:val="Bulletindent1"/>
      </w:pPr>
      <w:r w:rsidRPr="007E3C0F">
        <w:t>o</w:t>
      </w:r>
      <w:r w:rsidR="0085603B" w:rsidRPr="007E3C0F">
        <w:t xml:space="preserve">bservation bias </w:t>
      </w:r>
      <w:r w:rsidR="00E5163F" w:rsidRPr="007E3C0F">
        <w:t xml:space="preserve">(see </w:t>
      </w:r>
      <w:r w:rsidR="0017396F" w:rsidRPr="007E3C0F">
        <w:t>section </w:t>
      </w:r>
      <w:r w:rsidR="00E5163F" w:rsidRPr="007E3C0F">
        <w:t>3.</w:t>
      </w:r>
      <w:r w:rsidR="00C0507F" w:rsidRPr="007E3C0F">
        <w:t>9</w:t>
      </w:r>
      <w:r w:rsidR="00E5163F" w:rsidRPr="007E3C0F">
        <w:t>)</w:t>
      </w:r>
    </w:p>
    <w:p w14:paraId="1C4D059D" w14:textId="55D1FA86" w:rsidR="007B3B00" w:rsidRPr="007E3C0F" w:rsidRDefault="002C31C7" w:rsidP="004D2716">
      <w:pPr>
        <w:pStyle w:val="Bulletindent1"/>
      </w:pPr>
      <w:r w:rsidRPr="007E3C0F">
        <w:t xml:space="preserve">ESS </w:t>
      </w:r>
      <w:r w:rsidR="007B3B00" w:rsidRPr="007E3C0F">
        <w:t xml:space="preserve">mapped to </w:t>
      </w:r>
      <w:r w:rsidRPr="007E3C0F">
        <w:t>EQ</w:t>
      </w:r>
      <w:r w:rsidRPr="007E3C0F">
        <w:noBreakHyphen/>
        <w:t xml:space="preserve">5D </w:t>
      </w:r>
      <w:r w:rsidR="00E5163F" w:rsidRPr="007E3C0F">
        <w:t xml:space="preserve">(see </w:t>
      </w:r>
      <w:r w:rsidR="0017396F" w:rsidRPr="007E3C0F">
        <w:t>section </w:t>
      </w:r>
      <w:r w:rsidR="00E5163F" w:rsidRPr="007E3C0F">
        <w:t>3.1</w:t>
      </w:r>
      <w:r w:rsidR="00C0507F" w:rsidRPr="007E3C0F">
        <w:t>1</w:t>
      </w:r>
      <w:r w:rsidR="00E5163F" w:rsidRPr="007E3C0F">
        <w:t>)</w:t>
      </w:r>
    </w:p>
    <w:p w14:paraId="4960279B" w14:textId="46C38106" w:rsidR="001965A1" w:rsidRPr="007E3C0F" w:rsidRDefault="0075514E" w:rsidP="004D2716">
      <w:pPr>
        <w:pStyle w:val="Bulletindent1"/>
      </w:pPr>
      <w:r w:rsidRPr="007E3C0F">
        <w:lastRenderedPageBreak/>
        <w:t>hospitalisation</w:t>
      </w:r>
      <w:r w:rsidR="001965A1" w:rsidRPr="007E3C0F">
        <w:t xml:space="preserve"> costs</w:t>
      </w:r>
      <w:r w:rsidR="00AB5D6F">
        <w:t xml:space="preserve"> included</w:t>
      </w:r>
      <w:r w:rsidR="001965A1" w:rsidRPr="007E3C0F">
        <w:t xml:space="preserve"> for severe adverse eve</w:t>
      </w:r>
      <w:r w:rsidRPr="007E3C0F">
        <w:t>n</w:t>
      </w:r>
      <w:r w:rsidR="001965A1" w:rsidRPr="007E3C0F">
        <w:t>ts</w:t>
      </w:r>
      <w:r w:rsidR="00E5163F" w:rsidRPr="007E3C0F">
        <w:t xml:space="preserve"> (see </w:t>
      </w:r>
      <w:r w:rsidR="0017396F" w:rsidRPr="007E3C0F">
        <w:t>section </w:t>
      </w:r>
      <w:r w:rsidR="00E5163F" w:rsidRPr="007E3C0F">
        <w:t>3.1</w:t>
      </w:r>
      <w:r w:rsidR="00AB10A3">
        <w:t>3</w:t>
      </w:r>
      <w:r w:rsidR="00E5163F" w:rsidRPr="007E3C0F">
        <w:t>)</w:t>
      </w:r>
    </w:p>
    <w:p w14:paraId="53C79E0A" w14:textId="130C21BF" w:rsidR="001965A1" w:rsidRPr="007E3C0F" w:rsidRDefault="00F72D77" w:rsidP="00792588">
      <w:pPr>
        <w:pStyle w:val="Bulletindent1last"/>
      </w:pPr>
      <w:r w:rsidRPr="007E3C0F">
        <w:t xml:space="preserve">the </w:t>
      </w:r>
      <w:r w:rsidR="001965A1" w:rsidRPr="007E3C0F">
        <w:t>ERG’s preferred dose split</w:t>
      </w:r>
      <w:r w:rsidRPr="007E3C0F">
        <w:t>:</w:t>
      </w:r>
      <w:r w:rsidR="00792588" w:rsidRPr="007E3C0F">
        <w:t xml:space="preserve"> 50% </w:t>
      </w:r>
      <w:r w:rsidRPr="007E3C0F">
        <w:t>of people having</w:t>
      </w:r>
      <w:r w:rsidR="00792588" w:rsidRPr="007E3C0F">
        <w:t xml:space="preserve"> 75</w:t>
      </w:r>
      <w:r w:rsidR="0017396F" w:rsidRPr="007E3C0F">
        <w:t> mg</w:t>
      </w:r>
      <w:r w:rsidR="00792588" w:rsidRPr="007E3C0F">
        <w:t xml:space="preserve"> solriamfetol</w:t>
      </w:r>
      <w:r w:rsidR="00E5163F" w:rsidRPr="007E3C0F">
        <w:t xml:space="preserve"> (see </w:t>
      </w:r>
      <w:r w:rsidR="0017396F" w:rsidRPr="007E3C0F">
        <w:t>section </w:t>
      </w:r>
      <w:r w:rsidR="00E5163F" w:rsidRPr="007E3C0F">
        <w:t>3.1</w:t>
      </w:r>
      <w:r w:rsidR="00AB10A3">
        <w:t>4)</w:t>
      </w:r>
      <w:r w:rsidR="009F12ED">
        <w:t>.</w:t>
      </w:r>
    </w:p>
    <w:p w14:paraId="7FE6DB8E" w14:textId="537761FF" w:rsidR="005475A1" w:rsidRPr="007E3C0F" w:rsidRDefault="00792588" w:rsidP="00792588">
      <w:pPr>
        <w:pStyle w:val="NICEnormalindented"/>
      </w:pPr>
      <w:r w:rsidRPr="007E3C0F">
        <w:t>T</w:t>
      </w:r>
      <w:r w:rsidR="009864F7" w:rsidRPr="007E3C0F">
        <w:t>he</w:t>
      </w:r>
      <w:r w:rsidR="00C11721" w:rsidRPr="007E3C0F">
        <w:t xml:space="preserve"> </w:t>
      </w:r>
      <w:r w:rsidR="00974A64" w:rsidRPr="007E3C0F">
        <w:t>ICE</w:t>
      </w:r>
      <w:r w:rsidR="00C11721" w:rsidRPr="007E3C0F">
        <w:t>R</w:t>
      </w:r>
      <w:r w:rsidR="00974A64" w:rsidRPr="007E3C0F">
        <w:t xml:space="preserve"> </w:t>
      </w:r>
      <w:r w:rsidR="00B65BAD" w:rsidRPr="007E3C0F">
        <w:t>for solriamfetol</w:t>
      </w:r>
      <w:r w:rsidR="00534EA3" w:rsidRPr="007E3C0F">
        <w:t xml:space="preserve"> </w:t>
      </w:r>
      <w:r w:rsidR="001A68D8" w:rsidRPr="007E3C0F">
        <w:t>with</w:t>
      </w:r>
      <w:r w:rsidR="00B65BAD" w:rsidRPr="007E3C0F">
        <w:t xml:space="preserve"> standard care compared with standard care alone </w:t>
      </w:r>
      <w:r w:rsidR="009864F7" w:rsidRPr="007E3C0F">
        <w:t xml:space="preserve">was </w:t>
      </w:r>
      <w:r w:rsidR="00974A64" w:rsidRPr="007E3C0F">
        <w:t>£</w:t>
      </w:r>
      <w:r w:rsidR="00986BCA" w:rsidRPr="007E3C0F">
        <w:t>32</w:t>
      </w:r>
      <w:r w:rsidR="00511595" w:rsidRPr="007E3C0F">
        <w:t>,</w:t>
      </w:r>
      <w:r w:rsidR="00986BCA" w:rsidRPr="007E3C0F">
        <w:t>465</w:t>
      </w:r>
      <w:r w:rsidR="0045266A" w:rsidRPr="007E3C0F">
        <w:t xml:space="preserve"> per QALY gained</w:t>
      </w:r>
      <w:r w:rsidR="0063094E" w:rsidRPr="007E3C0F">
        <w:t xml:space="preserve">. </w:t>
      </w:r>
      <w:r w:rsidR="00AB5D6F">
        <w:t>The committee</w:t>
      </w:r>
      <w:r w:rsidR="00AB5D6F" w:rsidRPr="007E3C0F">
        <w:t xml:space="preserve"> </w:t>
      </w:r>
      <w:r w:rsidR="0082020B" w:rsidRPr="007E3C0F">
        <w:t>concluded that</w:t>
      </w:r>
      <w:r w:rsidR="00132AD0" w:rsidRPr="007E3C0F">
        <w:t xml:space="preserve"> the </w:t>
      </w:r>
      <w:r w:rsidR="008A0FB3" w:rsidRPr="007E3C0F">
        <w:t xml:space="preserve">cost-effectiveness </w:t>
      </w:r>
      <w:r w:rsidR="00132AD0" w:rsidRPr="007E3C0F">
        <w:t>analysis presented was highly uncertain but the most plausible</w:t>
      </w:r>
      <w:r w:rsidR="00591013" w:rsidRPr="007E3C0F">
        <w:t xml:space="preserve"> </w:t>
      </w:r>
      <w:r w:rsidR="00132AD0" w:rsidRPr="007E3C0F">
        <w:t>ICER estimate was likely to be above what NICE considers a cost-effective use of NHS resources.</w:t>
      </w:r>
    </w:p>
    <w:bookmarkEnd w:id="5"/>
    <w:p w14:paraId="171689A5" w14:textId="39B37EE0" w:rsidR="00643582" w:rsidRPr="007E3C0F" w:rsidRDefault="00FB0B5C" w:rsidP="00FB0B5C">
      <w:pPr>
        <w:pStyle w:val="Heading2"/>
      </w:pPr>
      <w:r w:rsidRPr="007E3C0F">
        <w:t>Other factors</w:t>
      </w:r>
    </w:p>
    <w:p w14:paraId="56AB4440" w14:textId="36CEEA14" w:rsidR="00643582" w:rsidRPr="007E3C0F" w:rsidRDefault="008E6660" w:rsidP="006A62FF">
      <w:pPr>
        <w:pStyle w:val="Numberedlevel2text"/>
        <w:rPr>
          <w:rFonts w:cs="Arial"/>
          <w:lang w:val="en-GB"/>
        </w:rPr>
      </w:pPr>
      <w:r w:rsidRPr="007E3C0F">
        <w:rPr>
          <w:rFonts w:cs="Arial"/>
          <w:lang w:val="en-GB"/>
        </w:rPr>
        <w:t xml:space="preserve">The clinical expert noted that people with mental health </w:t>
      </w:r>
      <w:r w:rsidR="007F2F00" w:rsidRPr="007E3C0F">
        <w:rPr>
          <w:rFonts w:cs="Arial"/>
          <w:lang w:val="en-GB"/>
        </w:rPr>
        <w:t xml:space="preserve">or neurodegenerative conditions </w:t>
      </w:r>
      <w:r w:rsidR="00D103AF" w:rsidRPr="007E3C0F">
        <w:rPr>
          <w:rFonts w:cs="Arial"/>
          <w:lang w:val="en-GB"/>
        </w:rPr>
        <w:t xml:space="preserve">struggle to adequately use CPAP </w:t>
      </w:r>
      <w:r w:rsidR="00346DA8" w:rsidRPr="007E3C0F">
        <w:rPr>
          <w:rFonts w:cs="Arial"/>
          <w:lang w:val="en-GB"/>
        </w:rPr>
        <w:t>regularly,</w:t>
      </w:r>
      <w:r w:rsidR="00D103AF" w:rsidRPr="007E3C0F">
        <w:rPr>
          <w:rFonts w:cs="Arial"/>
          <w:lang w:val="en-GB"/>
        </w:rPr>
        <w:t xml:space="preserve"> making it difficult to control their </w:t>
      </w:r>
      <w:r w:rsidR="00D16017" w:rsidRPr="007E3C0F">
        <w:rPr>
          <w:rFonts w:cs="Arial"/>
          <w:lang w:val="en-GB"/>
        </w:rPr>
        <w:t>excessive daytime sleepiness</w:t>
      </w:r>
      <w:r w:rsidR="00346DA8" w:rsidRPr="007E3C0F">
        <w:rPr>
          <w:rFonts w:cs="Arial"/>
          <w:lang w:val="en-GB"/>
        </w:rPr>
        <w:t xml:space="preserve"> from</w:t>
      </w:r>
      <w:r w:rsidR="00D103AF" w:rsidRPr="007E3C0F">
        <w:rPr>
          <w:rFonts w:cs="Arial"/>
          <w:lang w:val="en-GB"/>
        </w:rPr>
        <w:t xml:space="preserve"> </w:t>
      </w:r>
      <w:r w:rsidR="00D16017" w:rsidRPr="007E3C0F">
        <w:rPr>
          <w:rFonts w:cs="Arial"/>
          <w:lang w:val="en-GB"/>
        </w:rPr>
        <w:t>obstructive sleep apnoea</w:t>
      </w:r>
      <w:r w:rsidR="00D103AF" w:rsidRPr="007E3C0F">
        <w:rPr>
          <w:rFonts w:cs="Arial"/>
          <w:lang w:val="en-GB"/>
        </w:rPr>
        <w:t xml:space="preserve">. </w:t>
      </w:r>
      <w:r w:rsidR="00346DA8" w:rsidRPr="007E3C0F">
        <w:rPr>
          <w:rFonts w:cs="Arial"/>
          <w:lang w:val="en-GB"/>
        </w:rPr>
        <w:t>T</w:t>
      </w:r>
      <w:r w:rsidR="004B6264" w:rsidRPr="007E3C0F">
        <w:rPr>
          <w:rFonts w:cs="Arial"/>
          <w:lang w:val="en-GB"/>
        </w:rPr>
        <w:t>he</w:t>
      </w:r>
      <w:r w:rsidR="00D103AF" w:rsidRPr="007E3C0F">
        <w:rPr>
          <w:rFonts w:cs="Arial"/>
          <w:lang w:val="en-GB"/>
        </w:rPr>
        <w:t xml:space="preserve"> </w:t>
      </w:r>
      <w:r w:rsidR="003023D3" w:rsidRPr="007E3C0F">
        <w:rPr>
          <w:rFonts w:cs="Arial"/>
          <w:lang w:val="en-GB"/>
        </w:rPr>
        <w:t>marketing</w:t>
      </w:r>
      <w:r w:rsidR="006A62FF" w:rsidRPr="007E3C0F">
        <w:rPr>
          <w:rFonts w:cs="Arial"/>
          <w:lang w:val="en-GB"/>
        </w:rPr>
        <w:t xml:space="preserve"> authorisation </w:t>
      </w:r>
      <w:r w:rsidR="004B6264" w:rsidRPr="007E3C0F">
        <w:rPr>
          <w:rFonts w:cs="Arial"/>
          <w:lang w:val="en-GB"/>
        </w:rPr>
        <w:t xml:space="preserve">for solriamfetol </w:t>
      </w:r>
      <w:r w:rsidR="00D103AF" w:rsidRPr="007E3C0F">
        <w:rPr>
          <w:rFonts w:cs="Arial"/>
          <w:lang w:val="en-GB"/>
        </w:rPr>
        <w:t xml:space="preserve">includes people </w:t>
      </w:r>
      <w:r w:rsidR="006A62FF" w:rsidRPr="007E3C0F">
        <w:rPr>
          <w:rFonts w:cs="Arial"/>
          <w:lang w:val="en-GB"/>
        </w:rPr>
        <w:t xml:space="preserve">with </w:t>
      </w:r>
      <w:r w:rsidR="00D16017" w:rsidRPr="007E3C0F">
        <w:rPr>
          <w:rFonts w:cs="Arial"/>
          <w:lang w:val="en-GB"/>
        </w:rPr>
        <w:t>obstructive sleep apnoea</w:t>
      </w:r>
      <w:r w:rsidR="00C11721" w:rsidRPr="007E3C0F">
        <w:rPr>
          <w:rFonts w:cs="Arial"/>
          <w:lang w:val="en-GB"/>
        </w:rPr>
        <w:t xml:space="preserve"> </w:t>
      </w:r>
      <w:r w:rsidR="006A62FF" w:rsidRPr="007E3C0F">
        <w:rPr>
          <w:rFonts w:cs="Arial"/>
          <w:lang w:val="en-GB"/>
        </w:rPr>
        <w:t xml:space="preserve">whose </w:t>
      </w:r>
      <w:r w:rsidR="00D16017" w:rsidRPr="007E3C0F">
        <w:rPr>
          <w:rFonts w:cs="Arial"/>
          <w:lang w:val="en-GB"/>
        </w:rPr>
        <w:t>excessive daytime sleepiness</w:t>
      </w:r>
      <w:r w:rsidR="00792C73" w:rsidRPr="007E3C0F">
        <w:rPr>
          <w:rFonts w:cs="Arial"/>
          <w:lang w:val="en-GB"/>
        </w:rPr>
        <w:t xml:space="preserve"> </w:t>
      </w:r>
      <w:r w:rsidR="006A62FF" w:rsidRPr="007E3C0F">
        <w:rPr>
          <w:rFonts w:cs="Arial"/>
          <w:lang w:val="en-GB"/>
        </w:rPr>
        <w:t xml:space="preserve">has not been satisfactorily treated by primary </w:t>
      </w:r>
      <w:r w:rsidR="00D16017" w:rsidRPr="007E3C0F">
        <w:rPr>
          <w:rFonts w:cs="Arial"/>
          <w:lang w:val="en-GB"/>
        </w:rPr>
        <w:t>obstructive sleep apnoea</w:t>
      </w:r>
      <w:r w:rsidR="00C11721" w:rsidRPr="007E3C0F">
        <w:rPr>
          <w:rFonts w:cs="Arial"/>
          <w:lang w:val="en-GB"/>
        </w:rPr>
        <w:t xml:space="preserve"> </w:t>
      </w:r>
      <w:r w:rsidR="006A62FF" w:rsidRPr="007E3C0F">
        <w:rPr>
          <w:rFonts w:cs="Arial"/>
          <w:lang w:val="en-GB"/>
        </w:rPr>
        <w:t xml:space="preserve">therapy, such as </w:t>
      </w:r>
      <w:r w:rsidR="00C11721" w:rsidRPr="007E3C0F">
        <w:rPr>
          <w:rFonts w:cs="Arial"/>
          <w:lang w:val="en-GB"/>
        </w:rPr>
        <w:t>CPAP</w:t>
      </w:r>
      <w:r w:rsidR="006A62FF" w:rsidRPr="007E3C0F">
        <w:rPr>
          <w:rFonts w:cs="Arial"/>
          <w:lang w:val="en-GB"/>
        </w:rPr>
        <w:t>.</w:t>
      </w:r>
      <w:r w:rsidR="000B00F1" w:rsidRPr="007E3C0F">
        <w:rPr>
          <w:rFonts w:cs="Arial"/>
          <w:lang w:val="en-GB"/>
        </w:rPr>
        <w:t xml:space="preserve"> The</w:t>
      </w:r>
      <w:r w:rsidR="00534EA3" w:rsidRPr="007E3C0F">
        <w:rPr>
          <w:rFonts w:cs="Arial"/>
          <w:lang w:val="en-GB"/>
        </w:rPr>
        <w:t xml:space="preserve"> committee agreed with</w:t>
      </w:r>
      <w:r w:rsidR="000B00F1" w:rsidRPr="007E3C0F">
        <w:rPr>
          <w:rFonts w:cs="Arial"/>
          <w:lang w:val="en-GB"/>
        </w:rPr>
        <w:t xml:space="preserve"> </w:t>
      </w:r>
      <w:r w:rsidR="00FD7842" w:rsidRPr="007E3C0F">
        <w:rPr>
          <w:rFonts w:cs="Arial"/>
          <w:lang w:val="en-GB"/>
        </w:rPr>
        <w:t>clinical</w:t>
      </w:r>
      <w:r w:rsidR="006A62FF" w:rsidRPr="007E3C0F">
        <w:rPr>
          <w:rFonts w:cs="Arial"/>
          <w:lang w:val="en-GB"/>
        </w:rPr>
        <w:t xml:space="preserve"> expert</w:t>
      </w:r>
      <w:r w:rsidR="00534EA3" w:rsidRPr="007E3C0F">
        <w:rPr>
          <w:rFonts w:cs="Arial"/>
          <w:lang w:val="en-GB"/>
        </w:rPr>
        <w:t>s who</w:t>
      </w:r>
      <w:r w:rsidR="006A62FF" w:rsidRPr="007E3C0F">
        <w:rPr>
          <w:rFonts w:cs="Arial"/>
          <w:lang w:val="en-GB"/>
        </w:rPr>
        <w:t xml:space="preserve"> suggest</w:t>
      </w:r>
      <w:r w:rsidR="000B00F1" w:rsidRPr="007E3C0F">
        <w:rPr>
          <w:rFonts w:cs="Arial"/>
          <w:lang w:val="en-GB"/>
        </w:rPr>
        <w:t>ed</w:t>
      </w:r>
      <w:r w:rsidR="006A62FF" w:rsidRPr="007E3C0F">
        <w:rPr>
          <w:rFonts w:cs="Arial"/>
          <w:lang w:val="en-GB"/>
        </w:rPr>
        <w:t xml:space="preserve"> that </w:t>
      </w:r>
      <w:r w:rsidR="00346DA8" w:rsidRPr="007E3C0F">
        <w:rPr>
          <w:rFonts w:cs="Arial"/>
          <w:lang w:val="en-GB"/>
        </w:rPr>
        <w:t>people</w:t>
      </w:r>
      <w:r w:rsidR="006A62FF" w:rsidRPr="007E3C0F">
        <w:rPr>
          <w:rFonts w:cs="Arial"/>
          <w:lang w:val="en-GB"/>
        </w:rPr>
        <w:t xml:space="preserve"> with </w:t>
      </w:r>
      <w:r w:rsidR="003A2260" w:rsidRPr="007E3C0F">
        <w:rPr>
          <w:rFonts w:cs="Arial"/>
          <w:lang w:val="en-GB"/>
        </w:rPr>
        <w:t xml:space="preserve">neurodegenerative conditions or </w:t>
      </w:r>
      <w:r w:rsidR="006A62FF" w:rsidRPr="007E3C0F">
        <w:rPr>
          <w:rFonts w:cs="Arial"/>
          <w:lang w:val="en-GB"/>
        </w:rPr>
        <w:t xml:space="preserve">mental health issues </w:t>
      </w:r>
      <w:r w:rsidR="00945E92" w:rsidRPr="007E3C0F">
        <w:rPr>
          <w:rFonts w:cs="Arial"/>
          <w:lang w:val="en-GB"/>
        </w:rPr>
        <w:t xml:space="preserve">with residual </w:t>
      </w:r>
      <w:r w:rsidR="00D16017" w:rsidRPr="007E3C0F">
        <w:rPr>
          <w:rFonts w:cs="Arial"/>
          <w:lang w:val="en-GB"/>
        </w:rPr>
        <w:t>excessive daytime sleepiness</w:t>
      </w:r>
      <w:r w:rsidR="00945E92" w:rsidRPr="007E3C0F">
        <w:rPr>
          <w:rFonts w:cs="Arial"/>
          <w:lang w:val="en-GB"/>
        </w:rPr>
        <w:t xml:space="preserve"> </w:t>
      </w:r>
      <w:r w:rsidR="004C479B" w:rsidRPr="007E3C0F">
        <w:rPr>
          <w:rFonts w:cs="Arial"/>
          <w:lang w:val="en-GB"/>
        </w:rPr>
        <w:t xml:space="preserve">could be discriminated against if </w:t>
      </w:r>
      <w:r w:rsidR="00346DA8" w:rsidRPr="007E3C0F">
        <w:rPr>
          <w:rFonts w:cs="Arial"/>
          <w:lang w:val="en-GB"/>
        </w:rPr>
        <w:t xml:space="preserve">NICE’s </w:t>
      </w:r>
      <w:r w:rsidR="004C479B" w:rsidRPr="007E3C0F">
        <w:rPr>
          <w:rFonts w:cs="Arial"/>
          <w:lang w:val="en-GB"/>
        </w:rPr>
        <w:t xml:space="preserve">recommendations </w:t>
      </w:r>
      <w:r w:rsidR="004B6264" w:rsidRPr="007E3C0F">
        <w:rPr>
          <w:rFonts w:cs="Arial"/>
          <w:lang w:val="en-GB"/>
        </w:rPr>
        <w:t>restrict</w:t>
      </w:r>
      <w:r w:rsidR="00346DA8" w:rsidRPr="007E3C0F">
        <w:rPr>
          <w:rFonts w:cs="Arial"/>
          <w:lang w:val="en-GB"/>
        </w:rPr>
        <w:t>ed</w:t>
      </w:r>
      <w:r w:rsidR="004C479B" w:rsidRPr="007E3C0F">
        <w:rPr>
          <w:rFonts w:cs="Arial"/>
          <w:lang w:val="en-GB"/>
        </w:rPr>
        <w:t xml:space="preserve"> solriamfetol </w:t>
      </w:r>
      <w:r w:rsidR="00945E92" w:rsidRPr="007E3C0F">
        <w:rPr>
          <w:rFonts w:cs="Arial"/>
          <w:lang w:val="en-GB"/>
        </w:rPr>
        <w:t xml:space="preserve">for use with </w:t>
      </w:r>
      <w:r w:rsidR="004B6264" w:rsidRPr="007E3C0F">
        <w:rPr>
          <w:rFonts w:cs="Arial"/>
          <w:lang w:val="en-GB"/>
        </w:rPr>
        <w:t>CPAP</w:t>
      </w:r>
      <w:r w:rsidR="00945E92" w:rsidRPr="007E3C0F">
        <w:rPr>
          <w:rFonts w:cs="Arial"/>
          <w:lang w:val="en-GB"/>
        </w:rPr>
        <w:t xml:space="preserve"> only</w:t>
      </w:r>
      <w:r w:rsidR="004B6264" w:rsidRPr="007E3C0F">
        <w:rPr>
          <w:rFonts w:cs="Arial"/>
          <w:lang w:val="en-GB"/>
        </w:rPr>
        <w:t>.</w:t>
      </w:r>
      <w:r w:rsidR="00534EA3" w:rsidRPr="007E3C0F">
        <w:rPr>
          <w:rFonts w:cs="Arial"/>
          <w:lang w:val="en-GB"/>
        </w:rPr>
        <w:t xml:space="preserve"> </w:t>
      </w:r>
      <w:r w:rsidR="004E0F32" w:rsidRPr="007E3C0F">
        <w:rPr>
          <w:rFonts w:cs="Arial"/>
          <w:lang w:val="en-GB"/>
        </w:rPr>
        <w:t xml:space="preserve">The committee </w:t>
      </w:r>
      <w:r w:rsidR="00400E89" w:rsidRPr="007E3C0F">
        <w:rPr>
          <w:rFonts w:cs="Arial"/>
          <w:lang w:val="en-GB"/>
        </w:rPr>
        <w:t>has asked</w:t>
      </w:r>
      <w:r w:rsidR="004E0F32" w:rsidRPr="007E3C0F">
        <w:rPr>
          <w:rFonts w:cs="Arial"/>
          <w:lang w:val="en-GB"/>
        </w:rPr>
        <w:t xml:space="preserve"> the company</w:t>
      </w:r>
      <w:r w:rsidR="00400E89" w:rsidRPr="007E3C0F">
        <w:rPr>
          <w:rFonts w:cs="Arial"/>
          <w:lang w:val="en-GB"/>
        </w:rPr>
        <w:t xml:space="preserve"> to</w:t>
      </w:r>
      <w:r w:rsidR="004E0F32" w:rsidRPr="007E3C0F">
        <w:rPr>
          <w:rFonts w:cs="Arial"/>
          <w:lang w:val="en-GB"/>
        </w:rPr>
        <w:t xml:space="preserve"> provide clinical and cost</w:t>
      </w:r>
      <w:r w:rsidR="00400E89" w:rsidRPr="007E3C0F">
        <w:rPr>
          <w:rFonts w:cs="Arial"/>
          <w:lang w:val="en-GB"/>
        </w:rPr>
        <w:t>-</w:t>
      </w:r>
      <w:r w:rsidR="004E0F32" w:rsidRPr="007E3C0F">
        <w:rPr>
          <w:rFonts w:cs="Arial"/>
          <w:lang w:val="en-GB"/>
        </w:rPr>
        <w:t>effectiveness results for people who cannot tolerate CPAP.</w:t>
      </w:r>
    </w:p>
    <w:p w14:paraId="61DD2AAD" w14:textId="3C72AE01" w:rsidR="005D6F4E" w:rsidRPr="007E3C0F" w:rsidRDefault="00F25FFA" w:rsidP="00F25FFA">
      <w:pPr>
        <w:pStyle w:val="Numberedlevel2text"/>
        <w:rPr>
          <w:lang w:val="en-GB"/>
        </w:rPr>
      </w:pPr>
      <w:r w:rsidRPr="007E3C0F">
        <w:rPr>
          <w:lang w:val="en-GB"/>
        </w:rPr>
        <w:t xml:space="preserve">The </w:t>
      </w:r>
      <w:r w:rsidR="00B20873" w:rsidRPr="007E3C0F">
        <w:rPr>
          <w:lang w:val="en-GB"/>
        </w:rPr>
        <w:t>model</w:t>
      </w:r>
      <w:r w:rsidR="00542A78" w:rsidRPr="007E3C0F">
        <w:rPr>
          <w:lang w:val="en-GB"/>
        </w:rPr>
        <w:t>-</w:t>
      </w:r>
      <w:r w:rsidR="00B20873" w:rsidRPr="007E3C0F">
        <w:rPr>
          <w:lang w:val="en-GB"/>
        </w:rPr>
        <w:t xml:space="preserve">based </w:t>
      </w:r>
      <w:r w:rsidRPr="007E3C0F">
        <w:rPr>
          <w:lang w:val="en-GB"/>
        </w:rPr>
        <w:t>QALY</w:t>
      </w:r>
      <w:r w:rsidR="00B20873" w:rsidRPr="007E3C0F">
        <w:rPr>
          <w:lang w:val="en-GB"/>
        </w:rPr>
        <w:t xml:space="preserve"> estimates</w:t>
      </w:r>
      <w:r w:rsidRPr="007E3C0F">
        <w:rPr>
          <w:lang w:val="en-GB"/>
        </w:rPr>
        <w:t xml:space="preserve"> may not have</w:t>
      </w:r>
      <w:r w:rsidR="00B20873" w:rsidRPr="007E3C0F">
        <w:rPr>
          <w:lang w:val="en-GB"/>
        </w:rPr>
        <w:t xml:space="preserve"> fully</w:t>
      </w:r>
      <w:r w:rsidRPr="007E3C0F">
        <w:rPr>
          <w:lang w:val="en-GB"/>
        </w:rPr>
        <w:t xml:space="preserve"> captured changes in health-related quality of life (see sections 3.</w:t>
      </w:r>
      <w:r w:rsidR="00277412" w:rsidRPr="007E3C0F">
        <w:rPr>
          <w:lang w:val="en-GB"/>
        </w:rPr>
        <w:t>1</w:t>
      </w:r>
      <w:r w:rsidR="00EF2014" w:rsidRPr="007E3C0F">
        <w:rPr>
          <w:lang w:val="en-GB"/>
        </w:rPr>
        <w:t>1</w:t>
      </w:r>
      <w:r w:rsidR="009D5E4E" w:rsidRPr="007E3C0F">
        <w:rPr>
          <w:lang w:val="en-GB"/>
        </w:rPr>
        <w:t xml:space="preserve"> </w:t>
      </w:r>
      <w:r w:rsidR="00483725" w:rsidRPr="007E3C0F">
        <w:rPr>
          <w:lang w:val="en-GB"/>
        </w:rPr>
        <w:t>and 3.</w:t>
      </w:r>
      <w:r w:rsidR="00277412" w:rsidRPr="007E3C0F">
        <w:rPr>
          <w:lang w:val="en-GB"/>
        </w:rPr>
        <w:t>1</w:t>
      </w:r>
      <w:r w:rsidR="00EF2014" w:rsidRPr="007E3C0F">
        <w:rPr>
          <w:lang w:val="en-GB"/>
        </w:rPr>
        <w:t>2</w:t>
      </w:r>
      <w:r w:rsidRPr="007E3C0F">
        <w:rPr>
          <w:lang w:val="en-GB"/>
        </w:rPr>
        <w:t>)</w:t>
      </w:r>
      <w:r w:rsidR="000E3C56" w:rsidRPr="007E3C0F">
        <w:rPr>
          <w:lang w:val="en-GB"/>
        </w:rPr>
        <w:t xml:space="preserve"> and the committee took this into account in </w:t>
      </w:r>
      <w:r w:rsidR="00542A78" w:rsidRPr="007E3C0F">
        <w:rPr>
          <w:lang w:val="en-GB"/>
        </w:rPr>
        <w:t xml:space="preserve">its </w:t>
      </w:r>
      <w:r w:rsidR="000E3C56" w:rsidRPr="007E3C0F">
        <w:rPr>
          <w:lang w:val="en-GB"/>
        </w:rPr>
        <w:t>decision</w:t>
      </w:r>
      <w:r w:rsidR="00542A78" w:rsidRPr="007E3C0F">
        <w:rPr>
          <w:lang w:val="en-GB"/>
        </w:rPr>
        <w:t xml:space="preserve"> </w:t>
      </w:r>
      <w:r w:rsidR="000E3C56" w:rsidRPr="007E3C0F">
        <w:rPr>
          <w:lang w:val="en-GB"/>
        </w:rPr>
        <w:t>making</w:t>
      </w:r>
      <w:r w:rsidR="003A2260" w:rsidRPr="007E3C0F">
        <w:rPr>
          <w:lang w:val="en-GB"/>
        </w:rPr>
        <w:t>.</w:t>
      </w:r>
    </w:p>
    <w:p w14:paraId="6BAC469C" w14:textId="2AC116A1" w:rsidR="008978BD" w:rsidRPr="007E3C0F" w:rsidRDefault="008978BD" w:rsidP="008978BD">
      <w:pPr>
        <w:pStyle w:val="Heading2"/>
      </w:pPr>
      <w:r w:rsidRPr="007E3C0F">
        <w:lastRenderedPageBreak/>
        <w:t>Conclusion</w:t>
      </w:r>
    </w:p>
    <w:p w14:paraId="77C9BEDF" w14:textId="06B076C6" w:rsidR="00DC3177" w:rsidRPr="007E3C0F" w:rsidRDefault="008978BD" w:rsidP="008978BD">
      <w:pPr>
        <w:pStyle w:val="Heading3"/>
      </w:pPr>
      <w:r w:rsidRPr="007E3C0F">
        <w:t xml:space="preserve">Solriamfetol is not recommended for treating </w:t>
      </w:r>
      <w:r w:rsidR="00D16017" w:rsidRPr="007E3C0F">
        <w:t>excessive daytime sleepiness</w:t>
      </w:r>
      <w:r w:rsidRPr="007E3C0F">
        <w:t xml:space="preserve"> caused by </w:t>
      </w:r>
      <w:r w:rsidR="00D16017" w:rsidRPr="007E3C0F">
        <w:t xml:space="preserve">obstructive sleep </w:t>
      </w:r>
      <w:proofErr w:type="gramStart"/>
      <w:r w:rsidR="00D16017" w:rsidRPr="007E3C0F">
        <w:t>apnoea</w:t>
      </w:r>
      <w:proofErr w:type="gramEnd"/>
    </w:p>
    <w:p w14:paraId="4E71A180" w14:textId="2600C4E8" w:rsidR="00F369E8" w:rsidRPr="007E3C0F" w:rsidRDefault="0039239D" w:rsidP="00F81F50">
      <w:pPr>
        <w:pStyle w:val="Numberedlevel2text"/>
        <w:rPr>
          <w:lang w:val="en-GB"/>
        </w:rPr>
      </w:pPr>
      <w:r w:rsidRPr="007E3C0F">
        <w:rPr>
          <w:lang w:val="en-GB"/>
        </w:rPr>
        <w:t xml:space="preserve">The committee recognised that </w:t>
      </w:r>
      <w:r w:rsidR="00D16017" w:rsidRPr="007E3C0F">
        <w:rPr>
          <w:lang w:val="en-GB"/>
        </w:rPr>
        <w:t>excessive daytime sleepiness</w:t>
      </w:r>
      <w:r w:rsidRPr="007E3C0F">
        <w:rPr>
          <w:lang w:val="en-GB"/>
        </w:rPr>
        <w:t xml:space="preserve"> caused by </w:t>
      </w:r>
      <w:r w:rsidR="00D16017" w:rsidRPr="007E3C0F">
        <w:rPr>
          <w:lang w:val="en-GB"/>
        </w:rPr>
        <w:t>obstructive sleep apnoea</w:t>
      </w:r>
      <w:r w:rsidRPr="007E3C0F">
        <w:rPr>
          <w:lang w:val="en-GB"/>
        </w:rPr>
        <w:t xml:space="preserve"> is a debilitating condition </w:t>
      </w:r>
      <w:r w:rsidR="00F369E8" w:rsidRPr="007E3C0F">
        <w:rPr>
          <w:lang w:val="en-GB"/>
        </w:rPr>
        <w:t xml:space="preserve">that </w:t>
      </w:r>
      <w:r w:rsidRPr="007E3C0F">
        <w:rPr>
          <w:lang w:val="en-GB"/>
        </w:rPr>
        <w:t xml:space="preserve">negatively </w:t>
      </w:r>
      <w:r w:rsidR="001F24A4" w:rsidRPr="007E3C0F">
        <w:rPr>
          <w:lang w:val="en-GB"/>
        </w:rPr>
        <w:t xml:space="preserve">affects </w:t>
      </w:r>
      <w:r w:rsidRPr="007E3C0F">
        <w:rPr>
          <w:lang w:val="en-GB"/>
        </w:rPr>
        <w:t xml:space="preserve">many aspects of daily life (see </w:t>
      </w:r>
      <w:r w:rsidR="0017396F" w:rsidRPr="007E3C0F">
        <w:rPr>
          <w:lang w:val="en-GB"/>
        </w:rPr>
        <w:t>section </w:t>
      </w:r>
      <w:r w:rsidRPr="007E3C0F">
        <w:rPr>
          <w:lang w:val="en-GB"/>
        </w:rPr>
        <w:t xml:space="preserve">3.1). </w:t>
      </w:r>
      <w:r w:rsidR="00852A53" w:rsidRPr="007E3C0F">
        <w:rPr>
          <w:lang w:val="en-GB"/>
        </w:rPr>
        <w:t>It</w:t>
      </w:r>
      <w:r w:rsidR="001B3C2B" w:rsidRPr="007E3C0F">
        <w:rPr>
          <w:lang w:val="en-GB"/>
        </w:rPr>
        <w:t xml:space="preserve"> </w:t>
      </w:r>
      <w:r w:rsidR="008051C7" w:rsidRPr="007E3C0F">
        <w:rPr>
          <w:lang w:val="en-GB"/>
        </w:rPr>
        <w:t xml:space="preserve">acknowledged that </w:t>
      </w:r>
      <w:r w:rsidR="00453FF5" w:rsidRPr="007E3C0F">
        <w:rPr>
          <w:lang w:val="en-GB"/>
        </w:rPr>
        <w:t>solriamfetol</w:t>
      </w:r>
      <w:r w:rsidR="008051C7" w:rsidRPr="007E3C0F">
        <w:rPr>
          <w:lang w:val="en-GB"/>
        </w:rPr>
        <w:t xml:space="preserve"> </w:t>
      </w:r>
      <w:r w:rsidR="009D5E4E" w:rsidRPr="007E3C0F">
        <w:rPr>
          <w:lang w:val="en-GB"/>
        </w:rPr>
        <w:t xml:space="preserve">with standard care </w:t>
      </w:r>
      <w:r w:rsidR="001B3C2B" w:rsidRPr="007E3C0F">
        <w:rPr>
          <w:lang w:val="en-GB"/>
        </w:rPr>
        <w:t xml:space="preserve">was more effective than </w:t>
      </w:r>
      <w:r w:rsidR="009D5E4E" w:rsidRPr="007E3C0F">
        <w:rPr>
          <w:lang w:val="en-GB"/>
        </w:rPr>
        <w:t xml:space="preserve">standard care alone </w:t>
      </w:r>
      <w:r w:rsidR="001B3C2B" w:rsidRPr="007E3C0F">
        <w:rPr>
          <w:lang w:val="en-GB"/>
        </w:rPr>
        <w:t xml:space="preserve">in </w:t>
      </w:r>
      <w:r w:rsidR="00FA2703" w:rsidRPr="007E3C0F">
        <w:rPr>
          <w:lang w:val="en-GB"/>
        </w:rPr>
        <w:t xml:space="preserve">reducing </w:t>
      </w:r>
      <w:r w:rsidR="00D16017" w:rsidRPr="007E3C0F">
        <w:rPr>
          <w:lang w:val="en-GB"/>
        </w:rPr>
        <w:t>excessive daytime sleepiness</w:t>
      </w:r>
      <w:r w:rsidR="001B3C2B" w:rsidRPr="007E3C0F">
        <w:rPr>
          <w:lang w:val="en-GB"/>
        </w:rPr>
        <w:t xml:space="preserve"> as measured by the E</w:t>
      </w:r>
      <w:r w:rsidR="00765B63" w:rsidRPr="007E3C0F">
        <w:rPr>
          <w:lang w:val="en-GB"/>
        </w:rPr>
        <w:t>SS</w:t>
      </w:r>
      <w:r w:rsidR="00C448DB" w:rsidRPr="007E3C0F">
        <w:rPr>
          <w:lang w:val="en-GB"/>
        </w:rPr>
        <w:t xml:space="preserve"> (see </w:t>
      </w:r>
      <w:r w:rsidR="0017396F" w:rsidRPr="007E3C0F">
        <w:rPr>
          <w:lang w:val="en-GB"/>
        </w:rPr>
        <w:t>section </w:t>
      </w:r>
      <w:r w:rsidR="00C448DB" w:rsidRPr="007E3C0F">
        <w:rPr>
          <w:lang w:val="en-GB"/>
        </w:rPr>
        <w:t>3.</w:t>
      </w:r>
      <w:r w:rsidR="00AB10A3">
        <w:rPr>
          <w:lang w:val="en-GB"/>
        </w:rPr>
        <w:t>5)</w:t>
      </w:r>
      <w:r w:rsidR="006B009C" w:rsidRPr="007E3C0F">
        <w:rPr>
          <w:lang w:val="en-GB"/>
        </w:rPr>
        <w:t xml:space="preserve">. </w:t>
      </w:r>
      <w:r w:rsidR="00FF63C4" w:rsidRPr="007E3C0F">
        <w:rPr>
          <w:lang w:val="en-GB"/>
        </w:rPr>
        <w:t xml:space="preserve">The committee </w:t>
      </w:r>
      <w:r w:rsidR="00852A53" w:rsidRPr="007E3C0F">
        <w:rPr>
          <w:lang w:val="en-GB"/>
        </w:rPr>
        <w:t xml:space="preserve">was </w:t>
      </w:r>
      <w:r w:rsidR="00335B83" w:rsidRPr="007E3C0F">
        <w:rPr>
          <w:lang w:val="en-GB"/>
        </w:rPr>
        <w:t>not presented with the clinical and cost effectiveness of solriamfetol alone</w:t>
      </w:r>
      <w:r w:rsidR="00FF63C4" w:rsidRPr="007E3C0F">
        <w:rPr>
          <w:lang w:val="en-GB"/>
        </w:rPr>
        <w:t xml:space="preserve"> for people who cannot tolerate CPAP</w:t>
      </w:r>
      <w:r w:rsidR="00335B83" w:rsidRPr="007E3C0F">
        <w:rPr>
          <w:lang w:val="en-GB"/>
        </w:rPr>
        <w:t xml:space="preserve">. </w:t>
      </w:r>
      <w:r w:rsidR="00852A53" w:rsidRPr="007E3C0F">
        <w:rPr>
          <w:lang w:val="en-GB"/>
        </w:rPr>
        <w:t>It</w:t>
      </w:r>
      <w:r w:rsidR="006F19E8" w:rsidRPr="007E3C0F">
        <w:rPr>
          <w:lang w:val="en-GB"/>
        </w:rPr>
        <w:t xml:space="preserve"> believed there </w:t>
      </w:r>
      <w:r w:rsidR="00F4539F" w:rsidRPr="007E3C0F">
        <w:rPr>
          <w:lang w:val="en-GB"/>
        </w:rPr>
        <w:t>was</w:t>
      </w:r>
      <w:r w:rsidR="006F19E8" w:rsidRPr="007E3C0F">
        <w:rPr>
          <w:lang w:val="en-GB"/>
        </w:rPr>
        <w:t xml:space="preserve"> </w:t>
      </w:r>
      <w:r w:rsidR="00912EE6" w:rsidRPr="007E3C0F">
        <w:rPr>
          <w:lang w:val="en-GB"/>
        </w:rPr>
        <w:t>substantial</w:t>
      </w:r>
      <w:r w:rsidR="006F19E8" w:rsidRPr="007E3C0F">
        <w:rPr>
          <w:lang w:val="en-GB"/>
        </w:rPr>
        <w:t xml:space="preserve"> uncertainty in the </w:t>
      </w:r>
      <w:r w:rsidR="00942EB2" w:rsidRPr="007E3C0F">
        <w:rPr>
          <w:lang w:val="en-GB"/>
        </w:rPr>
        <w:t xml:space="preserve">company’s </w:t>
      </w:r>
      <w:r w:rsidR="006F19E8" w:rsidRPr="007E3C0F">
        <w:rPr>
          <w:lang w:val="en-GB"/>
        </w:rPr>
        <w:t>analysis</w:t>
      </w:r>
      <w:r w:rsidR="00DD4DF4" w:rsidRPr="007E3C0F">
        <w:rPr>
          <w:lang w:val="en-GB"/>
        </w:rPr>
        <w:t>, including</w:t>
      </w:r>
      <w:r w:rsidR="006F19E8" w:rsidRPr="007E3C0F">
        <w:rPr>
          <w:lang w:val="en-GB"/>
        </w:rPr>
        <w:t xml:space="preserve"> </w:t>
      </w:r>
      <w:r w:rsidR="00DD4DF4" w:rsidRPr="007E3C0F">
        <w:rPr>
          <w:lang w:val="en-GB"/>
        </w:rPr>
        <w:t>about</w:t>
      </w:r>
      <w:r w:rsidR="00F369E8" w:rsidRPr="007E3C0F">
        <w:rPr>
          <w:lang w:val="en-GB"/>
        </w:rPr>
        <w:t>:</w:t>
      </w:r>
    </w:p>
    <w:p w14:paraId="56947572" w14:textId="0EA8156A" w:rsidR="00880347" w:rsidRPr="007E3C0F" w:rsidRDefault="00852A53" w:rsidP="00D0526B">
      <w:pPr>
        <w:pStyle w:val="Bulletindent1"/>
      </w:pPr>
      <w:bookmarkStart w:id="6" w:name="_Hlk65054279"/>
      <w:r w:rsidRPr="007E3C0F">
        <w:t>a</w:t>
      </w:r>
      <w:r w:rsidR="00880347" w:rsidRPr="007E3C0F">
        <w:t>dherence to a primary sleep apn</w:t>
      </w:r>
      <w:r w:rsidR="00277412" w:rsidRPr="007E3C0F">
        <w:t>o</w:t>
      </w:r>
      <w:r w:rsidR="00880347" w:rsidRPr="007E3C0F">
        <w:t xml:space="preserve">ea therapy (see </w:t>
      </w:r>
      <w:r w:rsidR="0017396F" w:rsidRPr="007E3C0F">
        <w:t>section </w:t>
      </w:r>
      <w:r w:rsidR="00277412" w:rsidRPr="007E3C0F">
        <w:t>3.</w:t>
      </w:r>
      <w:r w:rsidR="00AB10A3">
        <w:t>6)</w:t>
      </w:r>
    </w:p>
    <w:p w14:paraId="0919CD49" w14:textId="3F850CB4" w:rsidR="00F369E8" w:rsidRPr="007E3C0F" w:rsidRDefault="00A91B48" w:rsidP="00D0526B">
      <w:pPr>
        <w:pStyle w:val="Bulletindent1"/>
      </w:pPr>
      <w:r w:rsidRPr="007E3C0F">
        <w:t xml:space="preserve">how quality of life was measured (see </w:t>
      </w:r>
      <w:r w:rsidR="0017396F" w:rsidRPr="007E3C0F">
        <w:t>section </w:t>
      </w:r>
      <w:r w:rsidRPr="007E3C0F">
        <w:t>3.</w:t>
      </w:r>
      <w:r w:rsidR="00B77067" w:rsidRPr="007E3C0F">
        <w:t>1</w:t>
      </w:r>
      <w:r w:rsidR="00EF2014" w:rsidRPr="007E3C0F">
        <w:t>1</w:t>
      </w:r>
      <w:r w:rsidRPr="007E3C0F">
        <w:t>)</w:t>
      </w:r>
    </w:p>
    <w:p w14:paraId="5238B6F5" w14:textId="6D4ED1D4" w:rsidR="00F369E8" w:rsidRPr="007E3C0F" w:rsidRDefault="00A91B48" w:rsidP="00D0526B">
      <w:pPr>
        <w:pStyle w:val="Bulletindent1"/>
      </w:pPr>
      <w:r w:rsidRPr="007E3C0F">
        <w:t>the placebo effect adjustment</w:t>
      </w:r>
      <w:r w:rsidR="006B009C" w:rsidRPr="007E3C0F">
        <w:t xml:space="preserve"> (see </w:t>
      </w:r>
      <w:r w:rsidR="0017396F" w:rsidRPr="007E3C0F">
        <w:t>section </w:t>
      </w:r>
      <w:r w:rsidR="00277412" w:rsidRPr="007E3C0F">
        <w:t>3.</w:t>
      </w:r>
      <w:r w:rsidR="00EF2014" w:rsidRPr="007E3C0F">
        <w:t>9</w:t>
      </w:r>
      <w:r w:rsidR="006B009C" w:rsidRPr="007E3C0F">
        <w:t>)</w:t>
      </w:r>
    </w:p>
    <w:p w14:paraId="3C5DB76B" w14:textId="64AE74AB" w:rsidR="00E73724" w:rsidRPr="007E3C0F" w:rsidRDefault="00DD4DF4" w:rsidP="000275FF">
      <w:pPr>
        <w:pStyle w:val="Bulletindent1last"/>
      </w:pPr>
      <w:r w:rsidRPr="007E3C0F">
        <w:t>what an accurate d</w:t>
      </w:r>
      <w:r w:rsidR="00C27188" w:rsidRPr="007E3C0F">
        <w:t>ose split</w:t>
      </w:r>
      <w:r w:rsidRPr="007E3C0F">
        <w:t xml:space="preserve"> is</w:t>
      </w:r>
      <w:r w:rsidR="00C27188" w:rsidRPr="007E3C0F">
        <w:t xml:space="preserve"> (see </w:t>
      </w:r>
      <w:r w:rsidR="0017396F" w:rsidRPr="007E3C0F">
        <w:t>section </w:t>
      </w:r>
      <w:r w:rsidR="00277412" w:rsidRPr="007E3C0F">
        <w:t>3.1</w:t>
      </w:r>
      <w:r w:rsidR="00EF2014" w:rsidRPr="007E3C0F">
        <w:t>4</w:t>
      </w:r>
      <w:r w:rsidR="00C27188" w:rsidRPr="007E3C0F">
        <w:t>)</w:t>
      </w:r>
      <w:bookmarkEnd w:id="6"/>
      <w:r w:rsidR="000275FF" w:rsidRPr="007E3C0F">
        <w:rPr>
          <w:rStyle w:val="NICEnormalChar"/>
        </w:rPr>
        <w:t>.</w:t>
      </w:r>
      <w:r w:rsidR="000275FF" w:rsidRPr="007E3C0F">
        <w:br/>
      </w:r>
      <w:r w:rsidR="000275FF" w:rsidRPr="007E3C0F">
        <w:br/>
      </w:r>
      <w:r w:rsidR="00E73724" w:rsidRPr="007E3C0F">
        <w:t xml:space="preserve">The committee agreed that it would </w:t>
      </w:r>
      <w:r w:rsidR="00DA7F84" w:rsidRPr="007E3C0F">
        <w:t>like to see analys</w:t>
      </w:r>
      <w:r w:rsidR="00335B83" w:rsidRPr="007E3C0F">
        <w:t>e</w:t>
      </w:r>
      <w:r w:rsidR="00DA7F84" w:rsidRPr="007E3C0F">
        <w:t xml:space="preserve">s </w:t>
      </w:r>
      <w:r w:rsidR="00EC7540" w:rsidRPr="007E3C0F">
        <w:t xml:space="preserve">that </w:t>
      </w:r>
      <w:r w:rsidR="00DA7F84" w:rsidRPr="007E3C0F">
        <w:t xml:space="preserve">include the </w:t>
      </w:r>
      <w:r w:rsidR="00E73724" w:rsidRPr="007E3C0F">
        <w:t>following</w:t>
      </w:r>
      <w:r w:rsidR="00E73724" w:rsidRPr="007E3C0F">
        <w:rPr>
          <w:bCs/>
          <w:iCs/>
          <w:szCs w:val="28"/>
        </w:rPr>
        <w:t>:</w:t>
      </w:r>
    </w:p>
    <w:p w14:paraId="0C5BD626" w14:textId="61FA69EB" w:rsidR="00365FAD" w:rsidRPr="007E3C0F" w:rsidRDefault="00FA4821" w:rsidP="00E73724">
      <w:pPr>
        <w:pStyle w:val="Bulletindent1"/>
      </w:pPr>
      <w:r w:rsidRPr="007E3C0F">
        <w:t>sensitivity analysis to assess the impact of missing data</w:t>
      </w:r>
      <w:r w:rsidR="00D3018E" w:rsidRPr="007E3C0F">
        <w:t xml:space="preserve"> on</w:t>
      </w:r>
      <w:r w:rsidRPr="007E3C0F">
        <w:t xml:space="preserve"> </w:t>
      </w:r>
      <w:r w:rsidR="00BA730E" w:rsidRPr="007E3C0F">
        <w:t>adherence</w:t>
      </w:r>
      <w:r w:rsidRPr="007E3C0F">
        <w:t xml:space="preserve"> </w:t>
      </w:r>
      <w:r w:rsidR="00BA730E" w:rsidRPr="007E3C0F">
        <w:t xml:space="preserve">to primary therapy </w:t>
      </w:r>
      <w:r w:rsidRPr="007E3C0F">
        <w:t xml:space="preserve">at </w:t>
      </w:r>
      <w:proofErr w:type="gramStart"/>
      <w:r w:rsidR="00FC733A" w:rsidRPr="007E3C0F">
        <w:t>baseline</w:t>
      </w:r>
      <w:proofErr w:type="gramEnd"/>
    </w:p>
    <w:p w14:paraId="1206A105" w14:textId="4893E7F1" w:rsidR="00E73724" w:rsidRPr="007E3C0F" w:rsidRDefault="00DD4DF4" w:rsidP="00E73724">
      <w:pPr>
        <w:pStyle w:val="Bulletindent1"/>
      </w:pPr>
      <w:r w:rsidRPr="007E3C0F">
        <w:t>u</w:t>
      </w:r>
      <w:r w:rsidR="00AD6B14" w:rsidRPr="007E3C0F">
        <w:t xml:space="preserve">se of </w:t>
      </w:r>
      <w:r w:rsidR="0017396F" w:rsidRPr="007E3C0F">
        <w:t>SF</w:t>
      </w:r>
      <w:r w:rsidR="0017396F" w:rsidRPr="007E3C0F">
        <w:noBreakHyphen/>
      </w:r>
      <w:r w:rsidR="00FC733A" w:rsidRPr="007E3C0F">
        <w:t>6D</w:t>
      </w:r>
      <w:r w:rsidR="00AD6B14" w:rsidRPr="007E3C0F">
        <w:t xml:space="preserve"> data from the company’s trials to assess quality of life </w:t>
      </w:r>
      <w:proofErr w:type="gramStart"/>
      <w:r w:rsidR="00FC733A" w:rsidRPr="007E3C0F">
        <w:t>measures</w:t>
      </w:r>
      <w:proofErr w:type="gramEnd"/>
    </w:p>
    <w:p w14:paraId="31426AB2" w14:textId="593E4CD3" w:rsidR="00AD6B14" w:rsidRPr="007E3C0F" w:rsidRDefault="00DD4DF4" w:rsidP="00E73724">
      <w:pPr>
        <w:pStyle w:val="Bulletindent1"/>
      </w:pPr>
      <w:r w:rsidRPr="007E3C0F">
        <w:t>s</w:t>
      </w:r>
      <w:r w:rsidR="00AD6B14" w:rsidRPr="007E3C0F">
        <w:t xml:space="preserve">ensitivity analysis to explore </w:t>
      </w:r>
      <w:r w:rsidRPr="007E3C0F">
        <w:t xml:space="preserve">the </w:t>
      </w:r>
      <w:r w:rsidR="00AD6B14" w:rsidRPr="007E3C0F">
        <w:t xml:space="preserve">impact of partner utilities using </w:t>
      </w:r>
      <w:r w:rsidR="0017396F" w:rsidRPr="007E3C0F">
        <w:t>EQ</w:t>
      </w:r>
      <w:r w:rsidR="0017396F" w:rsidRPr="007E3C0F">
        <w:noBreakHyphen/>
      </w:r>
      <w:proofErr w:type="gramStart"/>
      <w:r w:rsidR="00FC733A" w:rsidRPr="007E3C0F">
        <w:t>5D</w:t>
      </w:r>
      <w:proofErr w:type="gramEnd"/>
    </w:p>
    <w:p w14:paraId="0AB8C34C" w14:textId="5A166270" w:rsidR="006B009C" w:rsidRPr="007E3C0F" w:rsidRDefault="00DD4DF4" w:rsidP="00E73724">
      <w:pPr>
        <w:pStyle w:val="Bulletindent1"/>
      </w:pPr>
      <w:r w:rsidRPr="007E3C0F">
        <w:t>a</w:t>
      </w:r>
      <w:r w:rsidR="006D32B4" w:rsidRPr="007E3C0F">
        <w:t xml:space="preserve"> </w:t>
      </w:r>
      <w:r w:rsidR="00A674E2" w:rsidRPr="007E3C0F">
        <w:t>threshold analysis</w:t>
      </w:r>
      <w:r w:rsidR="006D32B4" w:rsidRPr="007E3C0F">
        <w:t xml:space="preserve"> </w:t>
      </w:r>
      <w:r w:rsidR="00365FAD" w:rsidRPr="007E3C0F">
        <w:t xml:space="preserve">to assess </w:t>
      </w:r>
      <w:r w:rsidR="00821011" w:rsidRPr="007E3C0F">
        <w:t xml:space="preserve">the potential impact of </w:t>
      </w:r>
      <w:r w:rsidR="006D32B4" w:rsidRPr="007E3C0F">
        <w:t xml:space="preserve">regression to the </w:t>
      </w:r>
      <w:proofErr w:type="gramStart"/>
      <w:r w:rsidR="00FC733A" w:rsidRPr="007E3C0F">
        <w:t>mean</w:t>
      </w:r>
      <w:proofErr w:type="gramEnd"/>
    </w:p>
    <w:p w14:paraId="11AC7543" w14:textId="6A6A4FB9" w:rsidR="00F81F50" w:rsidRPr="007E3C0F" w:rsidRDefault="00CA1CD8" w:rsidP="0024047B">
      <w:pPr>
        <w:pStyle w:val="Bulletindent1last"/>
      </w:pPr>
      <w:r w:rsidRPr="007E3C0F">
        <w:t>clinical and cost</w:t>
      </w:r>
      <w:r w:rsidR="00852A53" w:rsidRPr="007E3C0F">
        <w:t xml:space="preserve"> </w:t>
      </w:r>
      <w:r w:rsidRPr="007E3C0F">
        <w:t>effectiveness of solriamfetol alone compared with standard care</w:t>
      </w:r>
      <w:r w:rsidR="00DD4DF4" w:rsidRPr="007E3C0F">
        <w:t>.</w:t>
      </w:r>
      <w:r w:rsidR="00E05167" w:rsidRPr="007E3C0F">
        <w:t xml:space="preserve"> </w:t>
      </w:r>
      <w:r w:rsidR="00DD4DF4" w:rsidRPr="007E3C0F">
        <w:br/>
      </w:r>
      <w:r w:rsidR="00EC7540" w:rsidRPr="007E3C0F">
        <w:br/>
      </w:r>
      <w:r w:rsidR="004719C2" w:rsidRPr="007E3C0F">
        <w:t>T</w:t>
      </w:r>
      <w:r w:rsidR="00076AC9" w:rsidRPr="007E3C0F">
        <w:t xml:space="preserve">he </w:t>
      </w:r>
      <w:r w:rsidR="00835CF6" w:rsidRPr="007E3C0F">
        <w:t xml:space="preserve">committee considered that the </w:t>
      </w:r>
      <w:r w:rsidR="00076AC9" w:rsidRPr="007E3C0F">
        <w:t xml:space="preserve">most plausible </w:t>
      </w:r>
      <w:r w:rsidR="00835CF6" w:rsidRPr="007E3C0F">
        <w:t xml:space="preserve">cost-effectiveness </w:t>
      </w:r>
      <w:proofErr w:type="gramStart"/>
      <w:r w:rsidR="00835CF6" w:rsidRPr="007E3C0F">
        <w:lastRenderedPageBreak/>
        <w:t>estimate</w:t>
      </w:r>
      <w:proofErr w:type="gramEnd"/>
      <w:r w:rsidR="00835CF6" w:rsidRPr="007E3C0F">
        <w:t xml:space="preserve"> </w:t>
      </w:r>
      <w:r w:rsidR="00435CAB" w:rsidRPr="007E3C0F">
        <w:t>for solr</w:t>
      </w:r>
      <w:r w:rsidR="00BF046F" w:rsidRPr="007E3C0F">
        <w:t>ia</w:t>
      </w:r>
      <w:r w:rsidR="00435CAB" w:rsidRPr="007E3C0F">
        <w:t xml:space="preserve">mfetol </w:t>
      </w:r>
      <w:r w:rsidR="004719C2" w:rsidRPr="007E3C0F">
        <w:t xml:space="preserve">with standard care </w:t>
      </w:r>
      <w:r w:rsidR="00435CAB" w:rsidRPr="007E3C0F">
        <w:t xml:space="preserve">compared with </w:t>
      </w:r>
      <w:r w:rsidR="00511595" w:rsidRPr="007E3C0F">
        <w:t xml:space="preserve">standard care </w:t>
      </w:r>
      <w:r w:rsidR="004719C2" w:rsidRPr="007E3C0F">
        <w:t>alone</w:t>
      </w:r>
      <w:r w:rsidR="00F369E8" w:rsidRPr="007E3C0F">
        <w:t xml:space="preserve"> </w:t>
      </w:r>
      <w:r w:rsidR="00E91B44">
        <w:t>was</w:t>
      </w:r>
      <w:r w:rsidR="00852A53" w:rsidRPr="007E3C0F">
        <w:t xml:space="preserve"> </w:t>
      </w:r>
      <w:r w:rsidR="00F369E8" w:rsidRPr="007E3C0F">
        <w:t>above the range that NICE usually considers an acceptable use of NHS resources</w:t>
      </w:r>
      <w:r w:rsidR="00AC401A" w:rsidRPr="007E3C0F">
        <w:t>. Therefore, it</w:t>
      </w:r>
      <w:r w:rsidR="00992648" w:rsidRPr="007E3C0F">
        <w:t xml:space="preserve"> did not recommend solriamfetol for routine commissioning</w:t>
      </w:r>
      <w:r w:rsidR="00076AC9" w:rsidRPr="007E3C0F">
        <w:t xml:space="preserve"> </w:t>
      </w:r>
      <w:r w:rsidR="00992648" w:rsidRPr="007E3C0F">
        <w:t>in the NHS</w:t>
      </w:r>
      <w:r w:rsidR="00076AC9" w:rsidRPr="007E3C0F">
        <w:t>.</w:t>
      </w:r>
    </w:p>
    <w:p w14:paraId="10360D8B" w14:textId="77777777" w:rsidR="000F48EC" w:rsidRPr="007E3C0F" w:rsidRDefault="007A2801" w:rsidP="002E73E7">
      <w:pPr>
        <w:pStyle w:val="Numberedheading1"/>
      </w:pPr>
      <w:r w:rsidRPr="007E3C0F">
        <w:t xml:space="preserve">Proposed date for </w:t>
      </w:r>
      <w:r w:rsidR="00000441" w:rsidRPr="007E3C0F">
        <w:t>r</w:t>
      </w:r>
      <w:r w:rsidR="000F48EC" w:rsidRPr="007E3C0F">
        <w:t>eview of guidance</w:t>
      </w:r>
    </w:p>
    <w:p w14:paraId="04B2514F" w14:textId="01BEB33F" w:rsidR="001823EB" w:rsidRPr="007E3C0F" w:rsidRDefault="001823EB" w:rsidP="001823EB">
      <w:pPr>
        <w:pStyle w:val="Numberedlevel2text"/>
        <w:rPr>
          <w:lang w:val="en-GB"/>
        </w:rPr>
      </w:pPr>
      <w:r w:rsidRPr="007E3C0F">
        <w:rPr>
          <w:lang w:val="en-GB"/>
        </w:rPr>
        <w:t>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w:t>
      </w:r>
    </w:p>
    <w:p w14:paraId="730E523B" w14:textId="0FA7E1F2" w:rsidR="004845D0" w:rsidRPr="007E3C0F" w:rsidRDefault="00F61933" w:rsidP="00ED5F88">
      <w:pPr>
        <w:pStyle w:val="NICEnormal"/>
      </w:pPr>
      <w:r w:rsidRPr="007E3C0F">
        <w:t xml:space="preserve">Stephen O’Brien </w:t>
      </w:r>
      <w:r w:rsidR="004845D0" w:rsidRPr="007E3C0F">
        <w:br/>
        <w:t xml:space="preserve">Chair, </w:t>
      </w:r>
      <w:r w:rsidR="003847B9" w:rsidRPr="007E3C0F">
        <w:t>a</w:t>
      </w:r>
      <w:r w:rsidR="004845D0" w:rsidRPr="007E3C0F">
        <w:t xml:space="preserve">ppraisal </w:t>
      </w:r>
      <w:r w:rsidR="003847B9" w:rsidRPr="007E3C0F">
        <w:t>c</w:t>
      </w:r>
      <w:r w:rsidR="004845D0" w:rsidRPr="007E3C0F">
        <w:t>ommittee</w:t>
      </w:r>
      <w:r w:rsidR="004845D0" w:rsidRPr="007E3C0F">
        <w:br/>
      </w:r>
      <w:r w:rsidR="000F3931" w:rsidRPr="007E3C0F">
        <w:t xml:space="preserve">March </w:t>
      </w:r>
      <w:r w:rsidRPr="007E3C0F">
        <w:t>2021</w:t>
      </w:r>
    </w:p>
    <w:p w14:paraId="07759A12" w14:textId="77777777" w:rsidR="00B16431" w:rsidRPr="007E3C0F" w:rsidRDefault="00B16431" w:rsidP="00B16431">
      <w:pPr>
        <w:pStyle w:val="Numberedheading1"/>
      </w:pPr>
      <w:r w:rsidRPr="007E3C0F">
        <w:t xml:space="preserve">Appraisal </w:t>
      </w:r>
      <w:r w:rsidR="00343B53" w:rsidRPr="007E3C0F">
        <w:t>c</w:t>
      </w:r>
      <w:r w:rsidRPr="007E3C0F">
        <w:t>ommittee members and NICE project team</w:t>
      </w:r>
    </w:p>
    <w:p w14:paraId="45A46919" w14:textId="77777777" w:rsidR="00B16431" w:rsidRPr="007E3C0F" w:rsidRDefault="00B16431" w:rsidP="00B16431">
      <w:pPr>
        <w:pStyle w:val="Heading2"/>
      </w:pPr>
      <w:bookmarkStart w:id="7" w:name="_Appraisal_committee_members"/>
      <w:bookmarkEnd w:id="7"/>
      <w:r w:rsidRPr="007E3C0F">
        <w:t xml:space="preserve">Appraisal </w:t>
      </w:r>
      <w:r w:rsidR="00343B53" w:rsidRPr="007E3C0F">
        <w:t>c</w:t>
      </w:r>
      <w:r w:rsidRPr="007E3C0F">
        <w:t>ommittee members</w:t>
      </w:r>
    </w:p>
    <w:p w14:paraId="4F60C5A3" w14:textId="29A96341" w:rsidR="002F2583" w:rsidRPr="007E3C0F" w:rsidRDefault="002F2583" w:rsidP="002F2583">
      <w:pPr>
        <w:pStyle w:val="NICEnormal"/>
        <w:rPr>
          <w:rFonts w:eastAsia="Calibri"/>
        </w:rPr>
      </w:pPr>
      <w:r w:rsidRPr="007E3C0F">
        <w:t xml:space="preserve">The 4 technology appraisal committees are standing advisory committees of NICE. This topic was considered by </w:t>
      </w:r>
      <w:hyperlink r:id="rId15" w:history="1">
        <w:r w:rsidR="00ED1684" w:rsidRPr="007E3C0F">
          <w:rPr>
            <w:rStyle w:val="Hyperlink"/>
            <w:rFonts w:eastAsia="Calibri"/>
          </w:rPr>
          <w:t>committee C</w:t>
        </w:r>
      </w:hyperlink>
      <w:r w:rsidRPr="007E3C0F">
        <w:t>.</w:t>
      </w:r>
    </w:p>
    <w:p w14:paraId="4E8AEB16" w14:textId="625188E8" w:rsidR="002F2583" w:rsidRPr="007E3C0F" w:rsidRDefault="002F2583" w:rsidP="002F2583">
      <w:pPr>
        <w:pStyle w:val="NICEnormal"/>
      </w:pPr>
      <w:r w:rsidRPr="007E3C0F">
        <w:t>Committee members are asked to declare any interests in the technology to be appraised. If it is considered there is a conflict of interest, the member is excluded from participating further in that appraisal.</w:t>
      </w:r>
    </w:p>
    <w:p w14:paraId="426981E9" w14:textId="77777777" w:rsidR="002F2583" w:rsidRPr="007E3C0F" w:rsidRDefault="002F2583" w:rsidP="002F2583">
      <w:pPr>
        <w:pStyle w:val="NICEnormal"/>
      </w:pPr>
      <w:r w:rsidRPr="007E3C0F">
        <w:t xml:space="preserve">The </w:t>
      </w:r>
      <w:hyperlink r:id="rId16" w:history="1">
        <w:r w:rsidRPr="007E3C0F">
          <w:rPr>
            <w:rStyle w:val="Hyperlink"/>
            <w:rFonts w:eastAsia="Calibri"/>
          </w:rPr>
          <w:t>minutes</w:t>
        </w:r>
        <w:r w:rsidRPr="007E3C0F">
          <w:rPr>
            <w:rStyle w:val="Hyperlink"/>
          </w:rPr>
          <w:t xml:space="preserve"> of each appraisal committee meeting</w:t>
        </w:r>
      </w:hyperlink>
      <w:r w:rsidRPr="007E3C0F">
        <w:t>, which include the names of the members who attended and their declarations of interests, are posted on the NICE website.</w:t>
      </w:r>
    </w:p>
    <w:p w14:paraId="478AA434" w14:textId="77777777" w:rsidR="00B16431" w:rsidRPr="007E3C0F" w:rsidRDefault="00B16431" w:rsidP="00B16431">
      <w:pPr>
        <w:pStyle w:val="Heading2"/>
      </w:pPr>
      <w:r w:rsidRPr="007E3C0F">
        <w:lastRenderedPageBreak/>
        <w:t>NICE project team</w:t>
      </w:r>
    </w:p>
    <w:p w14:paraId="2CCA28D9" w14:textId="6CFE1361" w:rsidR="00B16431" w:rsidRPr="007E3C0F" w:rsidRDefault="00B16431" w:rsidP="00B16431">
      <w:pPr>
        <w:pStyle w:val="NICEnormal"/>
      </w:pPr>
      <w:r w:rsidRPr="007E3C0F">
        <w:t>Each technology appraisal is assigned to a team consisting of 1 or more health technology analysts (who act as technical leads for the appraisal), a technical adviser and a project manager.</w:t>
      </w:r>
    </w:p>
    <w:p w14:paraId="628DCB05" w14:textId="5B067CA7" w:rsidR="00B16431" w:rsidRPr="007E3C0F" w:rsidRDefault="00B97839" w:rsidP="00B16431">
      <w:pPr>
        <w:pStyle w:val="NICEnormal"/>
      </w:pPr>
      <w:bookmarkStart w:id="8" w:name="Text45"/>
      <w:r w:rsidRPr="007E3C0F">
        <w:rPr>
          <w:b/>
        </w:rPr>
        <w:t>Tomas Keating</w:t>
      </w:r>
      <w:r w:rsidR="00B16431" w:rsidRPr="007E3C0F">
        <w:br/>
        <w:t xml:space="preserve">Technical </w:t>
      </w:r>
      <w:r w:rsidR="00E65C76" w:rsidRPr="007E3C0F">
        <w:t>l</w:t>
      </w:r>
      <w:r w:rsidR="00B16431" w:rsidRPr="007E3C0F">
        <w:t>ead</w:t>
      </w:r>
    </w:p>
    <w:p w14:paraId="74B275E0" w14:textId="77DB8176" w:rsidR="00B16431" w:rsidRPr="007E3C0F" w:rsidRDefault="00B97839" w:rsidP="00B16431">
      <w:pPr>
        <w:pStyle w:val="NICEnormal"/>
      </w:pPr>
      <w:r w:rsidRPr="007E3C0F">
        <w:rPr>
          <w:b/>
        </w:rPr>
        <w:t>Victoria Kelly</w:t>
      </w:r>
      <w:r w:rsidR="00B16431" w:rsidRPr="007E3C0F">
        <w:br/>
        <w:t xml:space="preserve">Technical </w:t>
      </w:r>
      <w:r w:rsidR="00E65C76" w:rsidRPr="007E3C0F">
        <w:t>a</w:t>
      </w:r>
      <w:r w:rsidR="00B16431" w:rsidRPr="007E3C0F">
        <w:t>dviser</w:t>
      </w:r>
    </w:p>
    <w:p w14:paraId="7D610443" w14:textId="027006E1" w:rsidR="00B16431" w:rsidRPr="007E3C0F" w:rsidRDefault="001B5279" w:rsidP="005D3FD9">
      <w:pPr>
        <w:pStyle w:val="NICEnormal"/>
      </w:pPr>
      <w:r w:rsidRPr="007E3C0F">
        <w:rPr>
          <w:b/>
        </w:rPr>
        <w:t>Gavin Kenny</w:t>
      </w:r>
      <w:r w:rsidR="00B16431" w:rsidRPr="007E3C0F">
        <w:br/>
        <w:t xml:space="preserve">Project </w:t>
      </w:r>
      <w:r w:rsidR="00E65C76" w:rsidRPr="007E3C0F">
        <w:t>m</w:t>
      </w:r>
      <w:r w:rsidR="00B16431" w:rsidRPr="007E3C0F">
        <w:t>anager</w:t>
      </w:r>
      <w:bookmarkEnd w:id="8"/>
    </w:p>
    <w:p w14:paraId="0DED8224" w14:textId="77777777" w:rsidR="006E7647" w:rsidRPr="007E3C0F" w:rsidRDefault="006E7647" w:rsidP="00F05E37">
      <w:pPr>
        <w:pStyle w:val="NICEnormal"/>
      </w:pPr>
      <w:r w:rsidRPr="007E3C0F">
        <w:t xml:space="preserve">ISBN: </w:t>
      </w:r>
      <w:r w:rsidRPr="007E3C0F">
        <w:rPr>
          <w:highlight w:val="green"/>
        </w:rPr>
        <w:t>[to be added at publication]</w:t>
      </w:r>
    </w:p>
    <w:sectPr w:rsidR="006E7647" w:rsidRPr="007E3C0F" w:rsidSect="00C76DDA">
      <w:headerReference w:type="default"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28388" w14:textId="77777777" w:rsidR="0017396F" w:rsidRDefault="0017396F">
      <w:r>
        <w:separator/>
      </w:r>
    </w:p>
  </w:endnote>
  <w:endnote w:type="continuationSeparator" w:id="0">
    <w:p w14:paraId="14F62700" w14:textId="77777777" w:rsidR="0017396F" w:rsidRDefault="0017396F">
      <w:r>
        <w:continuationSeparator/>
      </w:r>
    </w:p>
  </w:endnote>
  <w:endnote w:type="continuationNotice" w:id="1">
    <w:p w14:paraId="1C7D078D" w14:textId="77777777" w:rsidR="0017396F" w:rsidRDefault="00173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B3BAE" w14:textId="3F86B65A" w:rsidR="0017396F" w:rsidRDefault="0017396F"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Pr>
        <w:sz w:val="18"/>
        <w:szCs w:val="18"/>
      </w:rPr>
      <w:t>s</w:t>
    </w:r>
    <w:r w:rsidRPr="001B5279">
      <w:rPr>
        <w:sz w:val="18"/>
        <w:szCs w:val="18"/>
      </w:rPr>
      <w:t xml:space="preserve">olriamfetol for treating excessive </w:t>
    </w:r>
    <w:r>
      <w:rPr>
        <w:sz w:val="18"/>
        <w:szCs w:val="18"/>
      </w:rPr>
      <w:t>daytime</w:t>
    </w:r>
    <w:r w:rsidRPr="001B5279">
      <w:rPr>
        <w:sz w:val="18"/>
        <w:szCs w:val="18"/>
      </w:rPr>
      <w:t xml:space="preserve"> sleepiness caused by </w:t>
    </w:r>
    <w:r>
      <w:rPr>
        <w:sz w:val="18"/>
        <w:szCs w:val="18"/>
      </w:rPr>
      <w:t>obstructive sleep apnoea</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Pr>
        <w:sz w:val="18"/>
        <w:szCs w:val="18"/>
      </w:rPr>
      <w:tab/>
    </w:r>
    <w:r>
      <w:rPr>
        <w:sz w:val="18"/>
        <w:szCs w:val="18"/>
      </w:rPr>
      <w:tab/>
      <w:t xml:space="preserve">              </w:t>
    </w:r>
    <w:r w:rsidRPr="001B5279">
      <w:rPr>
        <w:rStyle w:val="PageNumber"/>
        <w:sz w:val="18"/>
        <w:szCs w:val="18"/>
      </w:rPr>
      <w:t xml:space="preserve">Page </w:t>
    </w:r>
    <w:r w:rsidRPr="001B5279">
      <w:rPr>
        <w:rStyle w:val="PageNumber"/>
        <w:sz w:val="18"/>
        <w:szCs w:val="18"/>
      </w:rPr>
      <w:fldChar w:fldCharType="begin"/>
    </w:r>
    <w:r w:rsidRPr="001B5279">
      <w:rPr>
        <w:rStyle w:val="PageNumber"/>
        <w:sz w:val="18"/>
        <w:szCs w:val="18"/>
      </w:rPr>
      <w:instrText xml:space="preserve"> PAGE </w:instrText>
    </w:r>
    <w:r w:rsidRPr="001B5279">
      <w:rPr>
        <w:rStyle w:val="PageNumber"/>
        <w:sz w:val="18"/>
        <w:szCs w:val="18"/>
      </w:rPr>
      <w:fldChar w:fldCharType="separate"/>
    </w:r>
    <w:r w:rsidRPr="001B5279">
      <w:rPr>
        <w:rStyle w:val="PageNumber"/>
        <w:noProof/>
        <w:sz w:val="18"/>
        <w:szCs w:val="18"/>
      </w:rPr>
      <w:t>20</w:t>
    </w:r>
    <w:r w:rsidRPr="001B5279">
      <w:rPr>
        <w:rStyle w:val="PageNumber"/>
        <w:sz w:val="18"/>
        <w:szCs w:val="18"/>
      </w:rPr>
      <w:fldChar w:fldCharType="end"/>
    </w:r>
    <w:r w:rsidRPr="001B5279">
      <w:rPr>
        <w:rStyle w:val="PageNumber"/>
        <w:sz w:val="18"/>
        <w:szCs w:val="18"/>
      </w:rPr>
      <w:t xml:space="preserve"> of </w:t>
    </w:r>
    <w:r w:rsidRPr="001B5279">
      <w:rPr>
        <w:rStyle w:val="PageNumber"/>
        <w:sz w:val="18"/>
        <w:szCs w:val="18"/>
      </w:rPr>
      <w:fldChar w:fldCharType="begin"/>
    </w:r>
    <w:r w:rsidRPr="001B5279">
      <w:rPr>
        <w:rStyle w:val="PageNumber"/>
        <w:sz w:val="18"/>
        <w:szCs w:val="18"/>
      </w:rPr>
      <w:instrText xml:space="preserve"> NUMPAGES </w:instrText>
    </w:r>
    <w:r w:rsidRPr="001B5279">
      <w:rPr>
        <w:rStyle w:val="PageNumber"/>
        <w:sz w:val="18"/>
        <w:szCs w:val="18"/>
      </w:rPr>
      <w:fldChar w:fldCharType="separate"/>
    </w:r>
    <w:r w:rsidRPr="001B5279">
      <w:rPr>
        <w:rStyle w:val="PageNumber"/>
        <w:noProof/>
        <w:sz w:val="18"/>
        <w:szCs w:val="18"/>
      </w:rPr>
      <w:t>20</w:t>
    </w:r>
    <w:r w:rsidRPr="001B5279">
      <w:rPr>
        <w:rStyle w:val="PageNumber"/>
        <w:sz w:val="18"/>
        <w:szCs w:val="18"/>
      </w:rPr>
      <w:fldChar w:fldCharType="end"/>
    </w:r>
    <w:r>
      <w:rPr>
        <w:rStyle w:val="PageNumber"/>
        <w:sz w:val="18"/>
        <w:szCs w:val="18"/>
      </w:rPr>
      <w:t xml:space="preserve">   </w:t>
    </w:r>
    <w:r w:rsidRPr="003D33FB">
      <w:rPr>
        <w:sz w:val="18"/>
        <w:szCs w:val="18"/>
      </w:rPr>
      <w:t xml:space="preserve">Issue date: </w:t>
    </w:r>
    <w:r>
      <w:rPr>
        <w:sz w:val="18"/>
        <w:szCs w:val="18"/>
      </w:rPr>
      <w:t xml:space="preserve">March </w:t>
    </w:r>
    <w:proofErr w:type="gramStart"/>
    <w:r>
      <w:rPr>
        <w:sz w:val="18"/>
        <w:szCs w:val="18"/>
      </w:rPr>
      <w:t>2021</w:t>
    </w:r>
    <w:proofErr w:type="gramEnd"/>
  </w:p>
  <w:p w14:paraId="677D506F" w14:textId="62A29699" w:rsidR="0017396F" w:rsidRPr="007A7EC8" w:rsidRDefault="0017396F"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E1CF6" w14:textId="77777777" w:rsidR="0017396F" w:rsidRDefault="0017396F">
      <w:r>
        <w:separator/>
      </w:r>
    </w:p>
  </w:footnote>
  <w:footnote w:type="continuationSeparator" w:id="0">
    <w:p w14:paraId="05E1FBEE" w14:textId="77777777" w:rsidR="0017396F" w:rsidRDefault="0017396F">
      <w:r>
        <w:continuationSeparator/>
      </w:r>
    </w:p>
  </w:footnote>
  <w:footnote w:type="continuationNotice" w:id="1">
    <w:p w14:paraId="610BDEDA" w14:textId="77777777" w:rsidR="0017396F" w:rsidRDefault="00173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B9D34" w14:textId="77777777" w:rsidR="0017396F" w:rsidRPr="004E6427" w:rsidRDefault="0017396F"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446EAB3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o"/>
      <w:lvlJc w:val="left"/>
      <w:pPr>
        <w:tabs>
          <w:tab w:val="num" w:pos="1701"/>
        </w:tabs>
        <w:ind w:left="1701" w:hanging="283"/>
      </w:pPr>
      <w:rPr>
        <w:rFonts w:ascii="Courier New" w:hAnsi="Courier New" w:cs="Courier New"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60F54"/>
    <w:multiLevelType w:val="hybridMultilevel"/>
    <w:tmpl w:val="7B5AA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22BA8"/>
    <w:multiLevelType w:val="hybridMultilevel"/>
    <w:tmpl w:val="B344B1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5234F70C"/>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color w:val="auto"/>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337843BA"/>
    <w:multiLevelType w:val="hybridMultilevel"/>
    <w:tmpl w:val="DD98B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533504"/>
    <w:multiLevelType w:val="hybridMultilevel"/>
    <w:tmpl w:val="161224E0"/>
    <w:lvl w:ilvl="0" w:tplc="00C26E96">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503AFD"/>
    <w:multiLevelType w:val="hybridMultilevel"/>
    <w:tmpl w:val="7590AB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768F245D"/>
    <w:multiLevelType w:val="hybridMultilevel"/>
    <w:tmpl w:val="68F60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6"/>
  </w:num>
  <w:num w:numId="4">
    <w:abstractNumId w:val="8"/>
  </w:num>
  <w:num w:numId="5">
    <w:abstractNumId w:val="9"/>
  </w:num>
  <w:num w:numId="6">
    <w:abstractNumId w:val="0"/>
  </w:num>
  <w:num w:numId="7">
    <w:abstractNumId w:val="2"/>
  </w:num>
  <w:num w:numId="8">
    <w:abstractNumId w:val="3"/>
  </w:num>
  <w:num w:numId="9">
    <w:abstractNumId w:val="5"/>
  </w:num>
  <w:num w:numId="10">
    <w:abstractNumId w:val="15"/>
  </w:num>
  <w:num w:numId="11">
    <w:abstractNumId w:val="13"/>
  </w:num>
  <w:num w:numId="12">
    <w:abstractNumId w:val="10"/>
  </w:num>
  <w:num w:numId="13">
    <w:abstractNumId w:val="12"/>
  </w:num>
  <w:num w:numId="14">
    <w:abstractNumId w:val="14"/>
  </w:num>
  <w:num w:numId="15">
    <w:abstractNumId w:val="6"/>
  </w:num>
  <w:num w:numId="16">
    <w:abstractNumId w:val="0"/>
  </w:num>
  <w:num w:numId="17">
    <w:abstractNumId w:val="17"/>
  </w:num>
  <w:num w:numId="18">
    <w:abstractNumId w:val="4"/>
  </w:num>
  <w:num w:numId="19">
    <w:abstractNumId w:val="7"/>
  </w:num>
  <w:num w:numId="20">
    <w:abstractNumId w:val="6"/>
  </w:num>
  <w:num w:numId="21">
    <w:abstractNumId w:val="6"/>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56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C0"/>
    <w:rsid w:val="00000441"/>
    <w:rsid w:val="0000552D"/>
    <w:rsid w:val="00005FBE"/>
    <w:rsid w:val="00006201"/>
    <w:rsid w:val="0000635E"/>
    <w:rsid w:val="00006590"/>
    <w:rsid w:val="000067F1"/>
    <w:rsid w:val="000069A4"/>
    <w:rsid w:val="000069F9"/>
    <w:rsid w:val="0000727D"/>
    <w:rsid w:val="0001078B"/>
    <w:rsid w:val="0001147D"/>
    <w:rsid w:val="000119FB"/>
    <w:rsid w:val="00012B94"/>
    <w:rsid w:val="0001304D"/>
    <w:rsid w:val="00013E43"/>
    <w:rsid w:val="00014990"/>
    <w:rsid w:val="00014B30"/>
    <w:rsid w:val="0001626A"/>
    <w:rsid w:val="000168D7"/>
    <w:rsid w:val="00016A22"/>
    <w:rsid w:val="00016E5E"/>
    <w:rsid w:val="00017610"/>
    <w:rsid w:val="000179DA"/>
    <w:rsid w:val="00020559"/>
    <w:rsid w:val="000205C6"/>
    <w:rsid w:val="00021FB0"/>
    <w:rsid w:val="000221AA"/>
    <w:rsid w:val="00022245"/>
    <w:rsid w:val="0002331F"/>
    <w:rsid w:val="00023F26"/>
    <w:rsid w:val="000249F8"/>
    <w:rsid w:val="00025E2A"/>
    <w:rsid w:val="00026E82"/>
    <w:rsid w:val="000275FF"/>
    <w:rsid w:val="00030676"/>
    <w:rsid w:val="00030714"/>
    <w:rsid w:val="00031B1D"/>
    <w:rsid w:val="0003322C"/>
    <w:rsid w:val="00034110"/>
    <w:rsid w:val="00035AC1"/>
    <w:rsid w:val="00035C29"/>
    <w:rsid w:val="00035E9E"/>
    <w:rsid w:val="00036866"/>
    <w:rsid w:val="000368FC"/>
    <w:rsid w:val="000376EE"/>
    <w:rsid w:val="000377B7"/>
    <w:rsid w:val="00037F8E"/>
    <w:rsid w:val="00040267"/>
    <w:rsid w:val="00040E16"/>
    <w:rsid w:val="000421F8"/>
    <w:rsid w:val="00043262"/>
    <w:rsid w:val="00045528"/>
    <w:rsid w:val="000461E5"/>
    <w:rsid w:val="000463FE"/>
    <w:rsid w:val="00047285"/>
    <w:rsid w:val="00052063"/>
    <w:rsid w:val="0005281A"/>
    <w:rsid w:val="000544E1"/>
    <w:rsid w:val="00054D3A"/>
    <w:rsid w:val="00055588"/>
    <w:rsid w:val="00055C9F"/>
    <w:rsid w:val="00055DDF"/>
    <w:rsid w:val="00056168"/>
    <w:rsid w:val="00057724"/>
    <w:rsid w:val="000578D9"/>
    <w:rsid w:val="00060D1D"/>
    <w:rsid w:val="00061199"/>
    <w:rsid w:val="00061C83"/>
    <w:rsid w:val="00062A2E"/>
    <w:rsid w:val="00063CB7"/>
    <w:rsid w:val="0006568B"/>
    <w:rsid w:val="0006624B"/>
    <w:rsid w:val="000711F1"/>
    <w:rsid w:val="00071A10"/>
    <w:rsid w:val="000729C2"/>
    <w:rsid w:val="00073DA8"/>
    <w:rsid w:val="000743FC"/>
    <w:rsid w:val="000755E6"/>
    <w:rsid w:val="000764D3"/>
    <w:rsid w:val="00076AC9"/>
    <w:rsid w:val="000803F3"/>
    <w:rsid w:val="00080A47"/>
    <w:rsid w:val="000813CF"/>
    <w:rsid w:val="0008164A"/>
    <w:rsid w:val="00081663"/>
    <w:rsid w:val="00082F77"/>
    <w:rsid w:val="0008311B"/>
    <w:rsid w:val="000831BD"/>
    <w:rsid w:val="0008532E"/>
    <w:rsid w:val="00085C5A"/>
    <w:rsid w:val="000862FC"/>
    <w:rsid w:val="00087323"/>
    <w:rsid w:val="000879ED"/>
    <w:rsid w:val="0009041A"/>
    <w:rsid w:val="00090604"/>
    <w:rsid w:val="0009330A"/>
    <w:rsid w:val="00093388"/>
    <w:rsid w:val="00093649"/>
    <w:rsid w:val="00095CBE"/>
    <w:rsid w:val="00096246"/>
    <w:rsid w:val="00096909"/>
    <w:rsid w:val="000A00C9"/>
    <w:rsid w:val="000A0A6E"/>
    <w:rsid w:val="000A0CB5"/>
    <w:rsid w:val="000A0D3C"/>
    <w:rsid w:val="000A0EBA"/>
    <w:rsid w:val="000A12ED"/>
    <w:rsid w:val="000A3042"/>
    <w:rsid w:val="000A4016"/>
    <w:rsid w:val="000A6A1B"/>
    <w:rsid w:val="000A6C40"/>
    <w:rsid w:val="000B00F1"/>
    <w:rsid w:val="000B1027"/>
    <w:rsid w:val="000B1651"/>
    <w:rsid w:val="000B340D"/>
    <w:rsid w:val="000B43C3"/>
    <w:rsid w:val="000B486D"/>
    <w:rsid w:val="000B52B9"/>
    <w:rsid w:val="000B5550"/>
    <w:rsid w:val="000B70D6"/>
    <w:rsid w:val="000B7F7A"/>
    <w:rsid w:val="000C04A1"/>
    <w:rsid w:val="000C10B9"/>
    <w:rsid w:val="000C194F"/>
    <w:rsid w:val="000C2222"/>
    <w:rsid w:val="000C22B1"/>
    <w:rsid w:val="000C60D2"/>
    <w:rsid w:val="000D09ED"/>
    <w:rsid w:val="000D0A87"/>
    <w:rsid w:val="000D0FB1"/>
    <w:rsid w:val="000D11B8"/>
    <w:rsid w:val="000D145B"/>
    <w:rsid w:val="000D2056"/>
    <w:rsid w:val="000D20E0"/>
    <w:rsid w:val="000D2CCD"/>
    <w:rsid w:val="000D4208"/>
    <w:rsid w:val="000D4760"/>
    <w:rsid w:val="000D50B2"/>
    <w:rsid w:val="000D5A25"/>
    <w:rsid w:val="000D6016"/>
    <w:rsid w:val="000D7185"/>
    <w:rsid w:val="000D771A"/>
    <w:rsid w:val="000E1B23"/>
    <w:rsid w:val="000E1CED"/>
    <w:rsid w:val="000E24BD"/>
    <w:rsid w:val="000E273B"/>
    <w:rsid w:val="000E29D1"/>
    <w:rsid w:val="000E2D29"/>
    <w:rsid w:val="000E2ED2"/>
    <w:rsid w:val="000E328C"/>
    <w:rsid w:val="000E3C56"/>
    <w:rsid w:val="000E409F"/>
    <w:rsid w:val="000E5445"/>
    <w:rsid w:val="000E6F19"/>
    <w:rsid w:val="000E70FE"/>
    <w:rsid w:val="000F1822"/>
    <w:rsid w:val="000F1B3B"/>
    <w:rsid w:val="000F1E3F"/>
    <w:rsid w:val="000F1EAE"/>
    <w:rsid w:val="000F29F4"/>
    <w:rsid w:val="000F335D"/>
    <w:rsid w:val="000F33E1"/>
    <w:rsid w:val="000F3931"/>
    <w:rsid w:val="000F3DBC"/>
    <w:rsid w:val="000F4382"/>
    <w:rsid w:val="000F4712"/>
    <w:rsid w:val="000F4713"/>
    <w:rsid w:val="000F48EC"/>
    <w:rsid w:val="000F4EFE"/>
    <w:rsid w:val="000F5171"/>
    <w:rsid w:val="000F53FB"/>
    <w:rsid w:val="000F5D8D"/>
    <w:rsid w:val="000F78A5"/>
    <w:rsid w:val="001017A9"/>
    <w:rsid w:val="0010181A"/>
    <w:rsid w:val="00101F34"/>
    <w:rsid w:val="001030E1"/>
    <w:rsid w:val="00103145"/>
    <w:rsid w:val="001033D5"/>
    <w:rsid w:val="001039F7"/>
    <w:rsid w:val="00104112"/>
    <w:rsid w:val="00104E2D"/>
    <w:rsid w:val="00105409"/>
    <w:rsid w:val="001059BB"/>
    <w:rsid w:val="00105F9B"/>
    <w:rsid w:val="001072AA"/>
    <w:rsid w:val="00107DBD"/>
    <w:rsid w:val="0011111E"/>
    <w:rsid w:val="0011116F"/>
    <w:rsid w:val="0011205A"/>
    <w:rsid w:val="00113666"/>
    <w:rsid w:val="00114680"/>
    <w:rsid w:val="0011520A"/>
    <w:rsid w:val="001169FE"/>
    <w:rsid w:val="00116D19"/>
    <w:rsid w:val="00117513"/>
    <w:rsid w:val="001209CD"/>
    <w:rsid w:val="00121B80"/>
    <w:rsid w:val="00121E78"/>
    <w:rsid w:val="00122574"/>
    <w:rsid w:val="001230AC"/>
    <w:rsid w:val="001235C3"/>
    <w:rsid w:val="00123F4B"/>
    <w:rsid w:val="00124604"/>
    <w:rsid w:val="00124AE0"/>
    <w:rsid w:val="00124F57"/>
    <w:rsid w:val="00125100"/>
    <w:rsid w:val="00125FF5"/>
    <w:rsid w:val="001265C0"/>
    <w:rsid w:val="00126701"/>
    <w:rsid w:val="00127E29"/>
    <w:rsid w:val="00130944"/>
    <w:rsid w:val="00130A15"/>
    <w:rsid w:val="00130D19"/>
    <w:rsid w:val="00130EEE"/>
    <w:rsid w:val="001312BA"/>
    <w:rsid w:val="00131975"/>
    <w:rsid w:val="00132AD0"/>
    <w:rsid w:val="001333FA"/>
    <w:rsid w:val="001334B9"/>
    <w:rsid w:val="001337B7"/>
    <w:rsid w:val="00133921"/>
    <w:rsid w:val="001344B3"/>
    <w:rsid w:val="00135260"/>
    <w:rsid w:val="00135D49"/>
    <w:rsid w:val="00136526"/>
    <w:rsid w:val="00137E4B"/>
    <w:rsid w:val="00137E60"/>
    <w:rsid w:val="00140C93"/>
    <w:rsid w:val="00140D8C"/>
    <w:rsid w:val="00142DB5"/>
    <w:rsid w:val="001432E6"/>
    <w:rsid w:val="00143536"/>
    <w:rsid w:val="00143E9F"/>
    <w:rsid w:val="00144109"/>
    <w:rsid w:val="00145B2F"/>
    <w:rsid w:val="001464B2"/>
    <w:rsid w:val="001472FD"/>
    <w:rsid w:val="001473AA"/>
    <w:rsid w:val="00147ABB"/>
    <w:rsid w:val="00150440"/>
    <w:rsid w:val="00150BC6"/>
    <w:rsid w:val="001515E3"/>
    <w:rsid w:val="00151D8E"/>
    <w:rsid w:val="001527F9"/>
    <w:rsid w:val="00153881"/>
    <w:rsid w:val="001554E7"/>
    <w:rsid w:val="00155A96"/>
    <w:rsid w:val="00156B2C"/>
    <w:rsid w:val="001570BC"/>
    <w:rsid w:val="001579BF"/>
    <w:rsid w:val="00160F0C"/>
    <w:rsid w:val="00161AA0"/>
    <w:rsid w:val="00161BB2"/>
    <w:rsid w:val="00162A37"/>
    <w:rsid w:val="00166042"/>
    <w:rsid w:val="001662BC"/>
    <w:rsid w:val="00167C1D"/>
    <w:rsid w:val="0017072D"/>
    <w:rsid w:val="00170AF7"/>
    <w:rsid w:val="00170B60"/>
    <w:rsid w:val="00171A2B"/>
    <w:rsid w:val="00171A87"/>
    <w:rsid w:val="00171F74"/>
    <w:rsid w:val="0017396F"/>
    <w:rsid w:val="00175D4C"/>
    <w:rsid w:val="001761FE"/>
    <w:rsid w:val="00176330"/>
    <w:rsid w:val="00176FB2"/>
    <w:rsid w:val="00177233"/>
    <w:rsid w:val="00180358"/>
    <w:rsid w:val="00180421"/>
    <w:rsid w:val="00181DE0"/>
    <w:rsid w:val="001823EB"/>
    <w:rsid w:val="00182408"/>
    <w:rsid w:val="00184A64"/>
    <w:rsid w:val="00185086"/>
    <w:rsid w:val="001866C0"/>
    <w:rsid w:val="00186AA3"/>
    <w:rsid w:val="0018716E"/>
    <w:rsid w:val="001872B5"/>
    <w:rsid w:val="001873CB"/>
    <w:rsid w:val="001879CE"/>
    <w:rsid w:val="00190565"/>
    <w:rsid w:val="00190D5B"/>
    <w:rsid w:val="00190FA0"/>
    <w:rsid w:val="001914C3"/>
    <w:rsid w:val="00191530"/>
    <w:rsid w:val="00191B56"/>
    <w:rsid w:val="00191FE1"/>
    <w:rsid w:val="0019214B"/>
    <w:rsid w:val="001925AC"/>
    <w:rsid w:val="00192961"/>
    <w:rsid w:val="00193945"/>
    <w:rsid w:val="0019403F"/>
    <w:rsid w:val="0019493D"/>
    <w:rsid w:val="001956FC"/>
    <w:rsid w:val="00195806"/>
    <w:rsid w:val="00196222"/>
    <w:rsid w:val="001965A1"/>
    <w:rsid w:val="001967E2"/>
    <w:rsid w:val="00196D12"/>
    <w:rsid w:val="00196FE1"/>
    <w:rsid w:val="0019718A"/>
    <w:rsid w:val="001A0082"/>
    <w:rsid w:val="001A11A4"/>
    <w:rsid w:val="001A1261"/>
    <w:rsid w:val="001A18E1"/>
    <w:rsid w:val="001A1AE2"/>
    <w:rsid w:val="001A1AFC"/>
    <w:rsid w:val="001A1B44"/>
    <w:rsid w:val="001A3A22"/>
    <w:rsid w:val="001A42DC"/>
    <w:rsid w:val="001A4EA4"/>
    <w:rsid w:val="001A5083"/>
    <w:rsid w:val="001A5561"/>
    <w:rsid w:val="001A594B"/>
    <w:rsid w:val="001A5E0C"/>
    <w:rsid w:val="001A5EA6"/>
    <w:rsid w:val="001A68D8"/>
    <w:rsid w:val="001B0A08"/>
    <w:rsid w:val="001B2AE3"/>
    <w:rsid w:val="001B2C33"/>
    <w:rsid w:val="001B2C9F"/>
    <w:rsid w:val="001B2DD8"/>
    <w:rsid w:val="001B347F"/>
    <w:rsid w:val="001B3AC9"/>
    <w:rsid w:val="001B3C2B"/>
    <w:rsid w:val="001B5279"/>
    <w:rsid w:val="001B7E00"/>
    <w:rsid w:val="001C0EF4"/>
    <w:rsid w:val="001C0FF7"/>
    <w:rsid w:val="001C14F2"/>
    <w:rsid w:val="001C1914"/>
    <w:rsid w:val="001C439A"/>
    <w:rsid w:val="001C4E28"/>
    <w:rsid w:val="001C4FE4"/>
    <w:rsid w:val="001C55FC"/>
    <w:rsid w:val="001C59E4"/>
    <w:rsid w:val="001C64CA"/>
    <w:rsid w:val="001C7168"/>
    <w:rsid w:val="001D054A"/>
    <w:rsid w:val="001D1D43"/>
    <w:rsid w:val="001D39EA"/>
    <w:rsid w:val="001D4FFE"/>
    <w:rsid w:val="001D5000"/>
    <w:rsid w:val="001D6961"/>
    <w:rsid w:val="001D6AB0"/>
    <w:rsid w:val="001E00A6"/>
    <w:rsid w:val="001E0628"/>
    <w:rsid w:val="001E081F"/>
    <w:rsid w:val="001E0E20"/>
    <w:rsid w:val="001E1B5A"/>
    <w:rsid w:val="001E27E5"/>
    <w:rsid w:val="001E2CAF"/>
    <w:rsid w:val="001E333F"/>
    <w:rsid w:val="001E4D37"/>
    <w:rsid w:val="001E52A4"/>
    <w:rsid w:val="001E6658"/>
    <w:rsid w:val="001E6987"/>
    <w:rsid w:val="001F1400"/>
    <w:rsid w:val="001F24A4"/>
    <w:rsid w:val="001F2DCB"/>
    <w:rsid w:val="001F335F"/>
    <w:rsid w:val="001F47E9"/>
    <w:rsid w:val="001F4806"/>
    <w:rsid w:val="001F5065"/>
    <w:rsid w:val="001F6078"/>
    <w:rsid w:val="001F7251"/>
    <w:rsid w:val="001F7FE2"/>
    <w:rsid w:val="0020251B"/>
    <w:rsid w:val="00202577"/>
    <w:rsid w:val="002029BC"/>
    <w:rsid w:val="002031C3"/>
    <w:rsid w:val="00203FF7"/>
    <w:rsid w:val="00204220"/>
    <w:rsid w:val="00204F82"/>
    <w:rsid w:val="00205893"/>
    <w:rsid w:val="0021081C"/>
    <w:rsid w:val="002119CD"/>
    <w:rsid w:val="00214744"/>
    <w:rsid w:val="00214B96"/>
    <w:rsid w:val="00215844"/>
    <w:rsid w:val="002159C9"/>
    <w:rsid w:val="002166F9"/>
    <w:rsid w:val="00217B68"/>
    <w:rsid w:val="00217FB0"/>
    <w:rsid w:val="00220A79"/>
    <w:rsid w:val="002218BC"/>
    <w:rsid w:val="00221ED9"/>
    <w:rsid w:val="0022265E"/>
    <w:rsid w:val="00222BEA"/>
    <w:rsid w:val="00222EBD"/>
    <w:rsid w:val="00224B1A"/>
    <w:rsid w:val="00225439"/>
    <w:rsid w:val="002256D9"/>
    <w:rsid w:val="00225F9B"/>
    <w:rsid w:val="00227053"/>
    <w:rsid w:val="00231DB7"/>
    <w:rsid w:val="00232061"/>
    <w:rsid w:val="00233E0C"/>
    <w:rsid w:val="002341FE"/>
    <w:rsid w:val="002349FA"/>
    <w:rsid w:val="00235945"/>
    <w:rsid w:val="00235CAB"/>
    <w:rsid w:val="002362E0"/>
    <w:rsid w:val="00236A92"/>
    <w:rsid w:val="0024047B"/>
    <w:rsid w:val="00240EAE"/>
    <w:rsid w:val="0024133C"/>
    <w:rsid w:val="00241D28"/>
    <w:rsid w:val="00245F24"/>
    <w:rsid w:val="00245F5F"/>
    <w:rsid w:val="00246421"/>
    <w:rsid w:val="00246744"/>
    <w:rsid w:val="00247C98"/>
    <w:rsid w:val="002524B5"/>
    <w:rsid w:val="00252C6F"/>
    <w:rsid w:val="00253EB9"/>
    <w:rsid w:val="00254481"/>
    <w:rsid w:val="002545A9"/>
    <w:rsid w:val="002555BE"/>
    <w:rsid w:val="00255679"/>
    <w:rsid w:val="00257B1C"/>
    <w:rsid w:val="00257C3E"/>
    <w:rsid w:val="00257E77"/>
    <w:rsid w:val="0026016F"/>
    <w:rsid w:val="002614EA"/>
    <w:rsid w:val="002630BD"/>
    <w:rsid w:val="00263A35"/>
    <w:rsid w:val="00264994"/>
    <w:rsid w:val="00265B0E"/>
    <w:rsid w:val="0026676A"/>
    <w:rsid w:val="002674BE"/>
    <w:rsid w:val="00271D15"/>
    <w:rsid w:val="002722F6"/>
    <w:rsid w:val="00275A1A"/>
    <w:rsid w:val="00276803"/>
    <w:rsid w:val="00277412"/>
    <w:rsid w:val="00280A63"/>
    <w:rsid w:val="002817AE"/>
    <w:rsid w:val="002818D0"/>
    <w:rsid w:val="00281E25"/>
    <w:rsid w:val="00281E7B"/>
    <w:rsid w:val="00282C30"/>
    <w:rsid w:val="00282D7E"/>
    <w:rsid w:val="00284609"/>
    <w:rsid w:val="0028513B"/>
    <w:rsid w:val="00286191"/>
    <w:rsid w:val="002864CF"/>
    <w:rsid w:val="00286D89"/>
    <w:rsid w:val="00287B02"/>
    <w:rsid w:val="00290445"/>
    <w:rsid w:val="00290B5A"/>
    <w:rsid w:val="00290CC1"/>
    <w:rsid w:val="00291C10"/>
    <w:rsid w:val="00292044"/>
    <w:rsid w:val="002922BD"/>
    <w:rsid w:val="00293811"/>
    <w:rsid w:val="00294819"/>
    <w:rsid w:val="0029490E"/>
    <w:rsid w:val="002977E0"/>
    <w:rsid w:val="00297BBB"/>
    <w:rsid w:val="002A0299"/>
    <w:rsid w:val="002A151A"/>
    <w:rsid w:val="002A2342"/>
    <w:rsid w:val="002A2687"/>
    <w:rsid w:val="002A330C"/>
    <w:rsid w:val="002A5781"/>
    <w:rsid w:val="002A5C23"/>
    <w:rsid w:val="002A686F"/>
    <w:rsid w:val="002B09FC"/>
    <w:rsid w:val="002B0C48"/>
    <w:rsid w:val="002B181D"/>
    <w:rsid w:val="002B1911"/>
    <w:rsid w:val="002B1CD0"/>
    <w:rsid w:val="002B2ED8"/>
    <w:rsid w:val="002B3340"/>
    <w:rsid w:val="002B4AA7"/>
    <w:rsid w:val="002B5698"/>
    <w:rsid w:val="002B5772"/>
    <w:rsid w:val="002B6D1D"/>
    <w:rsid w:val="002B736D"/>
    <w:rsid w:val="002B7A62"/>
    <w:rsid w:val="002C0551"/>
    <w:rsid w:val="002C1306"/>
    <w:rsid w:val="002C214C"/>
    <w:rsid w:val="002C257D"/>
    <w:rsid w:val="002C2774"/>
    <w:rsid w:val="002C31C7"/>
    <w:rsid w:val="002C381D"/>
    <w:rsid w:val="002C3879"/>
    <w:rsid w:val="002C468B"/>
    <w:rsid w:val="002C4E83"/>
    <w:rsid w:val="002C60AE"/>
    <w:rsid w:val="002C60B9"/>
    <w:rsid w:val="002C6443"/>
    <w:rsid w:val="002C6747"/>
    <w:rsid w:val="002C72D6"/>
    <w:rsid w:val="002D2D11"/>
    <w:rsid w:val="002D33DB"/>
    <w:rsid w:val="002D46FB"/>
    <w:rsid w:val="002D61AD"/>
    <w:rsid w:val="002D689E"/>
    <w:rsid w:val="002D6D8B"/>
    <w:rsid w:val="002D757F"/>
    <w:rsid w:val="002D7843"/>
    <w:rsid w:val="002D79A7"/>
    <w:rsid w:val="002E0D03"/>
    <w:rsid w:val="002E3F68"/>
    <w:rsid w:val="002E5C16"/>
    <w:rsid w:val="002E5DCC"/>
    <w:rsid w:val="002E66DC"/>
    <w:rsid w:val="002E6AA7"/>
    <w:rsid w:val="002E73E7"/>
    <w:rsid w:val="002E7925"/>
    <w:rsid w:val="002F0AA7"/>
    <w:rsid w:val="002F1B28"/>
    <w:rsid w:val="002F1DE4"/>
    <w:rsid w:val="002F2583"/>
    <w:rsid w:val="002F279A"/>
    <w:rsid w:val="002F2C1A"/>
    <w:rsid w:val="002F44EA"/>
    <w:rsid w:val="002F47F7"/>
    <w:rsid w:val="002F4F5B"/>
    <w:rsid w:val="002F5477"/>
    <w:rsid w:val="002F661C"/>
    <w:rsid w:val="002F68FE"/>
    <w:rsid w:val="002F77EE"/>
    <w:rsid w:val="002F78BD"/>
    <w:rsid w:val="002F7A38"/>
    <w:rsid w:val="00300060"/>
    <w:rsid w:val="0030038C"/>
    <w:rsid w:val="00300DF8"/>
    <w:rsid w:val="003012F7"/>
    <w:rsid w:val="003016FF"/>
    <w:rsid w:val="003023D3"/>
    <w:rsid w:val="00302EFD"/>
    <w:rsid w:val="00303156"/>
    <w:rsid w:val="00304145"/>
    <w:rsid w:val="003052A3"/>
    <w:rsid w:val="00306C59"/>
    <w:rsid w:val="00307008"/>
    <w:rsid w:val="003107AB"/>
    <w:rsid w:val="00310D6B"/>
    <w:rsid w:val="0031127A"/>
    <w:rsid w:val="00311A01"/>
    <w:rsid w:val="00313450"/>
    <w:rsid w:val="0031535C"/>
    <w:rsid w:val="003154E8"/>
    <w:rsid w:val="00315C29"/>
    <w:rsid w:val="0031664C"/>
    <w:rsid w:val="00322C83"/>
    <w:rsid w:val="00324997"/>
    <w:rsid w:val="003256B1"/>
    <w:rsid w:val="0032599E"/>
    <w:rsid w:val="00325BCE"/>
    <w:rsid w:val="00326073"/>
    <w:rsid w:val="003300DB"/>
    <w:rsid w:val="00330D1F"/>
    <w:rsid w:val="00331545"/>
    <w:rsid w:val="00331692"/>
    <w:rsid w:val="00331BBE"/>
    <w:rsid w:val="00332403"/>
    <w:rsid w:val="003330E6"/>
    <w:rsid w:val="0033333E"/>
    <w:rsid w:val="003338AB"/>
    <w:rsid w:val="00334B54"/>
    <w:rsid w:val="003353C1"/>
    <w:rsid w:val="0033552F"/>
    <w:rsid w:val="003356FC"/>
    <w:rsid w:val="00335B83"/>
    <w:rsid w:val="00335EDA"/>
    <w:rsid w:val="003363E2"/>
    <w:rsid w:val="003367C2"/>
    <w:rsid w:val="003368C0"/>
    <w:rsid w:val="00336B32"/>
    <w:rsid w:val="0033741A"/>
    <w:rsid w:val="00340227"/>
    <w:rsid w:val="00341497"/>
    <w:rsid w:val="00342068"/>
    <w:rsid w:val="003423BB"/>
    <w:rsid w:val="00342FDE"/>
    <w:rsid w:val="00343439"/>
    <w:rsid w:val="00343B53"/>
    <w:rsid w:val="00343DB6"/>
    <w:rsid w:val="00344B91"/>
    <w:rsid w:val="003459E9"/>
    <w:rsid w:val="00346BA7"/>
    <w:rsid w:val="00346DA8"/>
    <w:rsid w:val="00346E84"/>
    <w:rsid w:val="003510CC"/>
    <w:rsid w:val="003517D4"/>
    <w:rsid w:val="00354915"/>
    <w:rsid w:val="0035572E"/>
    <w:rsid w:val="003601F3"/>
    <w:rsid w:val="00360311"/>
    <w:rsid w:val="00360465"/>
    <w:rsid w:val="00360AF5"/>
    <w:rsid w:val="00361D0F"/>
    <w:rsid w:val="0036220C"/>
    <w:rsid w:val="00363BDA"/>
    <w:rsid w:val="00363ED4"/>
    <w:rsid w:val="00364E30"/>
    <w:rsid w:val="00365FAD"/>
    <w:rsid w:val="003665E0"/>
    <w:rsid w:val="003669F4"/>
    <w:rsid w:val="003678BC"/>
    <w:rsid w:val="00367BF9"/>
    <w:rsid w:val="00370969"/>
    <w:rsid w:val="00370ABC"/>
    <w:rsid w:val="00371084"/>
    <w:rsid w:val="00371A70"/>
    <w:rsid w:val="00372031"/>
    <w:rsid w:val="003738C2"/>
    <w:rsid w:val="00373C13"/>
    <w:rsid w:val="003750E5"/>
    <w:rsid w:val="00375736"/>
    <w:rsid w:val="00376210"/>
    <w:rsid w:val="00376D09"/>
    <w:rsid w:val="003807EF"/>
    <w:rsid w:val="003813E3"/>
    <w:rsid w:val="003819CD"/>
    <w:rsid w:val="003826C7"/>
    <w:rsid w:val="0038297B"/>
    <w:rsid w:val="00383594"/>
    <w:rsid w:val="003847B9"/>
    <w:rsid w:val="0038547D"/>
    <w:rsid w:val="0038583D"/>
    <w:rsid w:val="00385E34"/>
    <w:rsid w:val="00385E85"/>
    <w:rsid w:val="00386993"/>
    <w:rsid w:val="00390838"/>
    <w:rsid w:val="0039118D"/>
    <w:rsid w:val="00391AC8"/>
    <w:rsid w:val="0039239D"/>
    <w:rsid w:val="003929FB"/>
    <w:rsid w:val="00392FB4"/>
    <w:rsid w:val="00393672"/>
    <w:rsid w:val="00393A6C"/>
    <w:rsid w:val="0039412A"/>
    <w:rsid w:val="0039433E"/>
    <w:rsid w:val="003943BD"/>
    <w:rsid w:val="003947E5"/>
    <w:rsid w:val="00394DFF"/>
    <w:rsid w:val="00395C05"/>
    <w:rsid w:val="003970D4"/>
    <w:rsid w:val="003A0250"/>
    <w:rsid w:val="003A04CD"/>
    <w:rsid w:val="003A11AB"/>
    <w:rsid w:val="003A1D47"/>
    <w:rsid w:val="003A1E72"/>
    <w:rsid w:val="003A1F14"/>
    <w:rsid w:val="003A2260"/>
    <w:rsid w:val="003A2DC4"/>
    <w:rsid w:val="003A3974"/>
    <w:rsid w:val="003A3BF3"/>
    <w:rsid w:val="003A41A6"/>
    <w:rsid w:val="003A5838"/>
    <w:rsid w:val="003A58A6"/>
    <w:rsid w:val="003A7840"/>
    <w:rsid w:val="003B0BC2"/>
    <w:rsid w:val="003B0BDD"/>
    <w:rsid w:val="003B0BE9"/>
    <w:rsid w:val="003B1EBE"/>
    <w:rsid w:val="003B1EC3"/>
    <w:rsid w:val="003B377D"/>
    <w:rsid w:val="003B37BB"/>
    <w:rsid w:val="003C07B5"/>
    <w:rsid w:val="003C0BC0"/>
    <w:rsid w:val="003C0E71"/>
    <w:rsid w:val="003C0FD9"/>
    <w:rsid w:val="003C1647"/>
    <w:rsid w:val="003C1A0C"/>
    <w:rsid w:val="003C2325"/>
    <w:rsid w:val="003C36AC"/>
    <w:rsid w:val="003C4A97"/>
    <w:rsid w:val="003C4E1D"/>
    <w:rsid w:val="003C7EF9"/>
    <w:rsid w:val="003D01C9"/>
    <w:rsid w:val="003D6273"/>
    <w:rsid w:val="003D68D5"/>
    <w:rsid w:val="003D7050"/>
    <w:rsid w:val="003E14CF"/>
    <w:rsid w:val="003E1611"/>
    <w:rsid w:val="003E275D"/>
    <w:rsid w:val="003E2D14"/>
    <w:rsid w:val="003E3064"/>
    <w:rsid w:val="003E316E"/>
    <w:rsid w:val="003E3C40"/>
    <w:rsid w:val="003E684C"/>
    <w:rsid w:val="003E769B"/>
    <w:rsid w:val="003F168A"/>
    <w:rsid w:val="003F230C"/>
    <w:rsid w:val="003F337B"/>
    <w:rsid w:val="003F3C31"/>
    <w:rsid w:val="003F41A3"/>
    <w:rsid w:val="003F59FC"/>
    <w:rsid w:val="003F620D"/>
    <w:rsid w:val="003F78C1"/>
    <w:rsid w:val="004009D2"/>
    <w:rsid w:val="00400A16"/>
    <w:rsid w:val="00400E89"/>
    <w:rsid w:val="004028AC"/>
    <w:rsid w:val="004038B1"/>
    <w:rsid w:val="00403EB5"/>
    <w:rsid w:val="0040475D"/>
    <w:rsid w:val="00407360"/>
    <w:rsid w:val="00407A42"/>
    <w:rsid w:val="00407D59"/>
    <w:rsid w:val="00407F54"/>
    <w:rsid w:val="00410973"/>
    <w:rsid w:val="0041116C"/>
    <w:rsid w:val="004120B7"/>
    <w:rsid w:val="00414C3D"/>
    <w:rsid w:val="0041525E"/>
    <w:rsid w:val="00415939"/>
    <w:rsid w:val="004160FF"/>
    <w:rsid w:val="00416D4F"/>
    <w:rsid w:val="0042018B"/>
    <w:rsid w:val="00420742"/>
    <w:rsid w:val="00421005"/>
    <w:rsid w:val="004223F3"/>
    <w:rsid w:val="00424227"/>
    <w:rsid w:val="00424459"/>
    <w:rsid w:val="004245D0"/>
    <w:rsid w:val="00424DEF"/>
    <w:rsid w:val="00426558"/>
    <w:rsid w:val="004278AE"/>
    <w:rsid w:val="00427C32"/>
    <w:rsid w:val="00427E0D"/>
    <w:rsid w:val="00430E49"/>
    <w:rsid w:val="00431329"/>
    <w:rsid w:val="00431372"/>
    <w:rsid w:val="00432087"/>
    <w:rsid w:val="00433564"/>
    <w:rsid w:val="00434544"/>
    <w:rsid w:val="00435943"/>
    <w:rsid w:val="00435CAB"/>
    <w:rsid w:val="00437CA3"/>
    <w:rsid w:val="0044013A"/>
    <w:rsid w:val="0044027B"/>
    <w:rsid w:val="004408F8"/>
    <w:rsid w:val="004415A9"/>
    <w:rsid w:val="004433E5"/>
    <w:rsid w:val="004440FF"/>
    <w:rsid w:val="00445935"/>
    <w:rsid w:val="00445E35"/>
    <w:rsid w:val="0044648F"/>
    <w:rsid w:val="00446DA2"/>
    <w:rsid w:val="00446EDA"/>
    <w:rsid w:val="00447B10"/>
    <w:rsid w:val="004507CB"/>
    <w:rsid w:val="004508BB"/>
    <w:rsid w:val="00451810"/>
    <w:rsid w:val="00451E87"/>
    <w:rsid w:val="0045266A"/>
    <w:rsid w:val="00452C91"/>
    <w:rsid w:val="00453FF5"/>
    <w:rsid w:val="004546C3"/>
    <w:rsid w:val="004547EC"/>
    <w:rsid w:val="004569ED"/>
    <w:rsid w:val="00456AEC"/>
    <w:rsid w:val="00456D71"/>
    <w:rsid w:val="00457843"/>
    <w:rsid w:val="004579F7"/>
    <w:rsid w:val="0046132C"/>
    <w:rsid w:val="00461A80"/>
    <w:rsid w:val="00462002"/>
    <w:rsid w:val="0046212F"/>
    <w:rsid w:val="004624D0"/>
    <w:rsid w:val="00462733"/>
    <w:rsid w:val="00463227"/>
    <w:rsid w:val="004633A8"/>
    <w:rsid w:val="00463420"/>
    <w:rsid w:val="0046367F"/>
    <w:rsid w:val="00463973"/>
    <w:rsid w:val="00463B76"/>
    <w:rsid w:val="00466674"/>
    <w:rsid w:val="0047050E"/>
    <w:rsid w:val="00470626"/>
    <w:rsid w:val="00471113"/>
    <w:rsid w:val="00471200"/>
    <w:rsid w:val="004719C2"/>
    <w:rsid w:val="00472FF8"/>
    <w:rsid w:val="004730E7"/>
    <w:rsid w:val="004734EA"/>
    <w:rsid w:val="00474233"/>
    <w:rsid w:val="00474A95"/>
    <w:rsid w:val="00475F03"/>
    <w:rsid w:val="0047749E"/>
    <w:rsid w:val="00477B29"/>
    <w:rsid w:val="004804B3"/>
    <w:rsid w:val="004807A8"/>
    <w:rsid w:val="00480AFC"/>
    <w:rsid w:val="00480F6A"/>
    <w:rsid w:val="00481E06"/>
    <w:rsid w:val="004820E9"/>
    <w:rsid w:val="00483119"/>
    <w:rsid w:val="0048361F"/>
    <w:rsid w:val="00483725"/>
    <w:rsid w:val="004842FB"/>
    <w:rsid w:val="004845D0"/>
    <w:rsid w:val="004852FF"/>
    <w:rsid w:val="00491A3D"/>
    <w:rsid w:val="004921C3"/>
    <w:rsid w:val="004921CC"/>
    <w:rsid w:val="004921D0"/>
    <w:rsid w:val="004922A8"/>
    <w:rsid w:val="004929C3"/>
    <w:rsid w:val="00492FDA"/>
    <w:rsid w:val="00494E73"/>
    <w:rsid w:val="00495783"/>
    <w:rsid w:val="00495A70"/>
    <w:rsid w:val="00495B1D"/>
    <w:rsid w:val="004979DB"/>
    <w:rsid w:val="00497FEA"/>
    <w:rsid w:val="004A0D77"/>
    <w:rsid w:val="004A2830"/>
    <w:rsid w:val="004A33AA"/>
    <w:rsid w:val="004A3419"/>
    <w:rsid w:val="004A3719"/>
    <w:rsid w:val="004A401A"/>
    <w:rsid w:val="004A4C4E"/>
    <w:rsid w:val="004A4CF4"/>
    <w:rsid w:val="004A5002"/>
    <w:rsid w:val="004A51CC"/>
    <w:rsid w:val="004A62BF"/>
    <w:rsid w:val="004A6432"/>
    <w:rsid w:val="004A76AE"/>
    <w:rsid w:val="004A7B0D"/>
    <w:rsid w:val="004A7CCA"/>
    <w:rsid w:val="004B1D94"/>
    <w:rsid w:val="004B304D"/>
    <w:rsid w:val="004B39C4"/>
    <w:rsid w:val="004B4AC7"/>
    <w:rsid w:val="004B514C"/>
    <w:rsid w:val="004B6264"/>
    <w:rsid w:val="004B6DD8"/>
    <w:rsid w:val="004B7053"/>
    <w:rsid w:val="004B7D57"/>
    <w:rsid w:val="004C00D8"/>
    <w:rsid w:val="004C3DAD"/>
    <w:rsid w:val="004C479B"/>
    <w:rsid w:val="004C500F"/>
    <w:rsid w:val="004C5923"/>
    <w:rsid w:val="004C5B4F"/>
    <w:rsid w:val="004C6116"/>
    <w:rsid w:val="004C6B04"/>
    <w:rsid w:val="004C72A4"/>
    <w:rsid w:val="004C7C61"/>
    <w:rsid w:val="004D02B8"/>
    <w:rsid w:val="004D02DE"/>
    <w:rsid w:val="004D0DFD"/>
    <w:rsid w:val="004D11AB"/>
    <w:rsid w:val="004D1FBE"/>
    <w:rsid w:val="004D2716"/>
    <w:rsid w:val="004D30A1"/>
    <w:rsid w:val="004D4A86"/>
    <w:rsid w:val="004D58DF"/>
    <w:rsid w:val="004D7664"/>
    <w:rsid w:val="004D7973"/>
    <w:rsid w:val="004E074F"/>
    <w:rsid w:val="004E0F32"/>
    <w:rsid w:val="004E1811"/>
    <w:rsid w:val="004E2340"/>
    <w:rsid w:val="004E478E"/>
    <w:rsid w:val="004E593B"/>
    <w:rsid w:val="004E6413"/>
    <w:rsid w:val="004E6427"/>
    <w:rsid w:val="004E7625"/>
    <w:rsid w:val="004E76EE"/>
    <w:rsid w:val="004E7E43"/>
    <w:rsid w:val="004F1245"/>
    <w:rsid w:val="004F1956"/>
    <w:rsid w:val="004F19BF"/>
    <w:rsid w:val="004F31AB"/>
    <w:rsid w:val="004F3972"/>
    <w:rsid w:val="004F397B"/>
    <w:rsid w:val="004F5FC6"/>
    <w:rsid w:val="004F69FA"/>
    <w:rsid w:val="004F74B3"/>
    <w:rsid w:val="005002FA"/>
    <w:rsid w:val="0050123A"/>
    <w:rsid w:val="005037B2"/>
    <w:rsid w:val="005044A7"/>
    <w:rsid w:val="0050455E"/>
    <w:rsid w:val="00504672"/>
    <w:rsid w:val="005047AD"/>
    <w:rsid w:val="00506684"/>
    <w:rsid w:val="00507739"/>
    <w:rsid w:val="00510B1D"/>
    <w:rsid w:val="0051107D"/>
    <w:rsid w:val="00511167"/>
    <w:rsid w:val="0051145E"/>
    <w:rsid w:val="00511542"/>
    <w:rsid w:val="00511595"/>
    <w:rsid w:val="00511636"/>
    <w:rsid w:val="005117EF"/>
    <w:rsid w:val="005143A7"/>
    <w:rsid w:val="005147D9"/>
    <w:rsid w:val="00515B80"/>
    <w:rsid w:val="00515F22"/>
    <w:rsid w:val="00521038"/>
    <w:rsid w:val="005212BE"/>
    <w:rsid w:val="005220BB"/>
    <w:rsid w:val="005231E2"/>
    <w:rsid w:val="005234D4"/>
    <w:rsid w:val="00523840"/>
    <w:rsid w:val="00523A2E"/>
    <w:rsid w:val="00523EB0"/>
    <w:rsid w:val="005246FD"/>
    <w:rsid w:val="0052579A"/>
    <w:rsid w:val="00525D4E"/>
    <w:rsid w:val="0052687A"/>
    <w:rsid w:val="00526C07"/>
    <w:rsid w:val="005273A6"/>
    <w:rsid w:val="00527533"/>
    <w:rsid w:val="00527E88"/>
    <w:rsid w:val="0053074F"/>
    <w:rsid w:val="00530EBD"/>
    <w:rsid w:val="0053124E"/>
    <w:rsid w:val="0053387C"/>
    <w:rsid w:val="00534950"/>
    <w:rsid w:val="00534CC9"/>
    <w:rsid w:val="00534E9F"/>
    <w:rsid w:val="00534EA3"/>
    <w:rsid w:val="00534F74"/>
    <w:rsid w:val="0053568F"/>
    <w:rsid w:val="00536094"/>
    <w:rsid w:val="00536789"/>
    <w:rsid w:val="00536BF5"/>
    <w:rsid w:val="00536D2F"/>
    <w:rsid w:val="0053704A"/>
    <w:rsid w:val="00540052"/>
    <w:rsid w:val="00540300"/>
    <w:rsid w:val="0054146B"/>
    <w:rsid w:val="0054194C"/>
    <w:rsid w:val="00541D93"/>
    <w:rsid w:val="00541FFE"/>
    <w:rsid w:val="00542A78"/>
    <w:rsid w:val="00542C73"/>
    <w:rsid w:val="005432FF"/>
    <w:rsid w:val="00543DB4"/>
    <w:rsid w:val="00543E08"/>
    <w:rsid w:val="0054420C"/>
    <w:rsid w:val="005449AD"/>
    <w:rsid w:val="005475A1"/>
    <w:rsid w:val="00547A84"/>
    <w:rsid w:val="005505ED"/>
    <w:rsid w:val="00551030"/>
    <w:rsid w:val="005519CA"/>
    <w:rsid w:val="00551D21"/>
    <w:rsid w:val="00555041"/>
    <w:rsid w:val="0055722B"/>
    <w:rsid w:val="005576E1"/>
    <w:rsid w:val="00560B58"/>
    <w:rsid w:val="005615E7"/>
    <w:rsid w:val="0056264A"/>
    <w:rsid w:val="0056494E"/>
    <w:rsid w:val="00564B04"/>
    <w:rsid w:val="00565A23"/>
    <w:rsid w:val="0056692B"/>
    <w:rsid w:val="0056692C"/>
    <w:rsid w:val="00566D82"/>
    <w:rsid w:val="0056793D"/>
    <w:rsid w:val="00570524"/>
    <w:rsid w:val="00571074"/>
    <w:rsid w:val="00572E07"/>
    <w:rsid w:val="00573059"/>
    <w:rsid w:val="0057343D"/>
    <w:rsid w:val="0057621E"/>
    <w:rsid w:val="00576F00"/>
    <w:rsid w:val="00577B05"/>
    <w:rsid w:val="00580B6D"/>
    <w:rsid w:val="00580D6F"/>
    <w:rsid w:val="005812C6"/>
    <w:rsid w:val="005814DB"/>
    <w:rsid w:val="00581DBA"/>
    <w:rsid w:val="00581E19"/>
    <w:rsid w:val="0058382A"/>
    <w:rsid w:val="00591013"/>
    <w:rsid w:val="00593104"/>
    <w:rsid w:val="00594839"/>
    <w:rsid w:val="005948FA"/>
    <w:rsid w:val="0059551E"/>
    <w:rsid w:val="005959BE"/>
    <w:rsid w:val="00595F3F"/>
    <w:rsid w:val="00596210"/>
    <w:rsid w:val="00596286"/>
    <w:rsid w:val="005964FF"/>
    <w:rsid w:val="00596999"/>
    <w:rsid w:val="005A04DC"/>
    <w:rsid w:val="005A0F31"/>
    <w:rsid w:val="005A1C4C"/>
    <w:rsid w:val="005A28A1"/>
    <w:rsid w:val="005A3A8C"/>
    <w:rsid w:val="005A46D0"/>
    <w:rsid w:val="005A6FB5"/>
    <w:rsid w:val="005B20B9"/>
    <w:rsid w:val="005B25E4"/>
    <w:rsid w:val="005B2C91"/>
    <w:rsid w:val="005B307C"/>
    <w:rsid w:val="005B30C8"/>
    <w:rsid w:val="005B4060"/>
    <w:rsid w:val="005B762A"/>
    <w:rsid w:val="005B7778"/>
    <w:rsid w:val="005C051F"/>
    <w:rsid w:val="005C34D9"/>
    <w:rsid w:val="005C4B3A"/>
    <w:rsid w:val="005C6E7B"/>
    <w:rsid w:val="005C7092"/>
    <w:rsid w:val="005C762E"/>
    <w:rsid w:val="005D098C"/>
    <w:rsid w:val="005D2BA6"/>
    <w:rsid w:val="005D311B"/>
    <w:rsid w:val="005D3FD9"/>
    <w:rsid w:val="005D5877"/>
    <w:rsid w:val="005D5FB9"/>
    <w:rsid w:val="005D6F4E"/>
    <w:rsid w:val="005E2139"/>
    <w:rsid w:val="005E3516"/>
    <w:rsid w:val="005E46BB"/>
    <w:rsid w:val="005E4AC6"/>
    <w:rsid w:val="005E5EE3"/>
    <w:rsid w:val="005E6B93"/>
    <w:rsid w:val="005E7605"/>
    <w:rsid w:val="005F0239"/>
    <w:rsid w:val="005F339A"/>
    <w:rsid w:val="005F4B44"/>
    <w:rsid w:val="005F79EA"/>
    <w:rsid w:val="006001CC"/>
    <w:rsid w:val="00601119"/>
    <w:rsid w:val="006012BE"/>
    <w:rsid w:val="00601E87"/>
    <w:rsid w:val="00602B4D"/>
    <w:rsid w:val="00603A3D"/>
    <w:rsid w:val="00603C94"/>
    <w:rsid w:val="006048E0"/>
    <w:rsid w:val="00604FAD"/>
    <w:rsid w:val="006052C9"/>
    <w:rsid w:val="00605B09"/>
    <w:rsid w:val="00606395"/>
    <w:rsid w:val="0060662A"/>
    <w:rsid w:val="00606CC2"/>
    <w:rsid w:val="00607BCE"/>
    <w:rsid w:val="00607FB7"/>
    <w:rsid w:val="00610247"/>
    <w:rsid w:val="00610372"/>
    <w:rsid w:val="00612789"/>
    <w:rsid w:val="00612B68"/>
    <w:rsid w:val="00613D24"/>
    <w:rsid w:val="00613F0C"/>
    <w:rsid w:val="00614BDA"/>
    <w:rsid w:val="00614CE3"/>
    <w:rsid w:val="006154DC"/>
    <w:rsid w:val="0061597B"/>
    <w:rsid w:val="0061749A"/>
    <w:rsid w:val="00617EE5"/>
    <w:rsid w:val="00621789"/>
    <w:rsid w:val="00621AA9"/>
    <w:rsid w:val="00621AFB"/>
    <w:rsid w:val="00621E61"/>
    <w:rsid w:val="00623493"/>
    <w:rsid w:val="0062589A"/>
    <w:rsid w:val="00625F2B"/>
    <w:rsid w:val="00626583"/>
    <w:rsid w:val="00626BDC"/>
    <w:rsid w:val="006274C8"/>
    <w:rsid w:val="006307C7"/>
    <w:rsid w:val="0063094E"/>
    <w:rsid w:val="00632B58"/>
    <w:rsid w:val="00632B82"/>
    <w:rsid w:val="006331B4"/>
    <w:rsid w:val="006343F3"/>
    <w:rsid w:val="0063517D"/>
    <w:rsid w:val="006351AF"/>
    <w:rsid w:val="0063527F"/>
    <w:rsid w:val="0063776E"/>
    <w:rsid w:val="00640CF2"/>
    <w:rsid w:val="006417D6"/>
    <w:rsid w:val="006422F1"/>
    <w:rsid w:val="0064263B"/>
    <w:rsid w:val="006427D7"/>
    <w:rsid w:val="00642906"/>
    <w:rsid w:val="006429FF"/>
    <w:rsid w:val="00642CF6"/>
    <w:rsid w:val="00643582"/>
    <w:rsid w:val="00643B75"/>
    <w:rsid w:val="00644915"/>
    <w:rsid w:val="00644A16"/>
    <w:rsid w:val="00645315"/>
    <w:rsid w:val="006457EF"/>
    <w:rsid w:val="00646935"/>
    <w:rsid w:val="00650F96"/>
    <w:rsid w:val="006512B7"/>
    <w:rsid w:val="00651C22"/>
    <w:rsid w:val="00653106"/>
    <w:rsid w:val="00653A7F"/>
    <w:rsid w:val="00654AE9"/>
    <w:rsid w:val="00654E20"/>
    <w:rsid w:val="00655679"/>
    <w:rsid w:val="006556F4"/>
    <w:rsid w:val="00655848"/>
    <w:rsid w:val="00655B4D"/>
    <w:rsid w:val="00655ED5"/>
    <w:rsid w:val="00656936"/>
    <w:rsid w:val="00657B02"/>
    <w:rsid w:val="006654B4"/>
    <w:rsid w:val="00665734"/>
    <w:rsid w:val="006679F9"/>
    <w:rsid w:val="00667CF1"/>
    <w:rsid w:val="00670C30"/>
    <w:rsid w:val="00671150"/>
    <w:rsid w:val="00671977"/>
    <w:rsid w:val="00671D80"/>
    <w:rsid w:val="006725C6"/>
    <w:rsid w:val="00672EFB"/>
    <w:rsid w:val="006739CF"/>
    <w:rsid w:val="00674D3D"/>
    <w:rsid w:val="00675909"/>
    <w:rsid w:val="0067752C"/>
    <w:rsid w:val="006776A2"/>
    <w:rsid w:val="006801A6"/>
    <w:rsid w:val="0068124B"/>
    <w:rsid w:val="00681610"/>
    <w:rsid w:val="0068217A"/>
    <w:rsid w:val="00682BB3"/>
    <w:rsid w:val="00682C5A"/>
    <w:rsid w:val="006842AB"/>
    <w:rsid w:val="0068450A"/>
    <w:rsid w:val="00684AD6"/>
    <w:rsid w:val="0068564E"/>
    <w:rsid w:val="0068576A"/>
    <w:rsid w:val="00685D36"/>
    <w:rsid w:val="0068667A"/>
    <w:rsid w:val="00687304"/>
    <w:rsid w:val="00687CB9"/>
    <w:rsid w:val="0069157A"/>
    <w:rsid w:val="00691589"/>
    <w:rsid w:val="00692C71"/>
    <w:rsid w:val="006931A0"/>
    <w:rsid w:val="006931EB"/>
    <w:rsid w:val="006935BC"/>
    <w:rsid w:val="00695B1B"/>
    <w:rsid w:val="006967C1"/>
    <w:rsid w:val="00696E55"/>
    <w:rsid w:val="006971E3"/>
    <w:rsid w:val="00697F90"/>
    <w:rsid w:val="006A0B0E"/>
    <w:rsid w:val="006A130D"/>
    <w:rsid w:val="006A1B5A"/>
    <w:rsid w:val="006A1E60"/>
    <w:rsid w:val="006A273C"/>
    <w:rsid w:val="006A285E"/>
    <w:rsid w:val="006A2BC5"/>
    <w:rsid w:val="006A37DB"/>
    <w:rsid w:val="006A3A9C"/>
    <w:rsid w:val="006A3CC5"/>
    <w:rsid w:val="006A4C7F"/>
    <w:rsid w:val="006A57C3"/>
    <w:rsid w:val="006A62FF"/>
    <w:rsid w:val="006A7128"/>
    <w:rsid w:val="006A721F"/>
    <w:rsid w:val="006A758F"/>
    <w:rsid w:val="006A7926"/>
    <w:rsid w:val="006A7A59"/>
    <w:rsid w:val="006A7CCF"/>
    <w:rsid w:val="006B009C"/>
    <w:rsid w:val="006B0581"/>
    <w:rsid w:val="006B0F36"/>
    <w:rsid w:val="006B29E0"/>
    <w:rsid w:val="006B2B08"/>
    <w:rsid w:val="006B30FD"/>
    <w:rsid w:val="006B4254"/>
    <w:rsid w:val="006B435B"/>
    <w:rsid w:val="006B45F3"/>
    <w:rsid w:val="006B5CB4"/>
    <w:rsid w:val="006B6DCF"/>
    <w:rsid w:val="006B7505"/>
    <w:rsid w:val="006B791B"/>
    <w:rsid w:val="006C0880"/>
    <w:rsid w:val="006C0913"/>
    <w:rsid w:val="006C0D2A"/>
    <w:rsid w:val="006C0EA2"/>
    <w:rsid w:val="006C184E"/>
    <w:rsid w:val="006C1C5D"/>
    <w:rsid w:val="006C4793"/>
    <w:rsid w:val="006C7272"/>
    <w:rsid w:val="006C7476"/>
    <w:rsid w:val="006D002C"/>
    <w:rsid w:val="006D1238"/>
    <w:rsid w:val="006D2B0D"/>
    <w:rsid w:val="006D32B4"/>
    <w:rsid w:val="006D36FB"/>
    <w:rsid w:val="006D42ED"/>
    <w:rsid w:val="006D4A8C"/>
    <w:rsid w:val="006D4D1A"/>
    <w:rsid w:val="006D73F1"/>
    <w:rsid w:val="006E0683"/>
    <w:rsid w:val="006E2A29"/>
    <w:rsid w:val="006E3514"/>
    <w:rsid w:val="006E6ADA"/>
    <w:rsid w:val="006E7421"/>
    <w:rsid w:val="006E7424"/>
    <w:rsid w:val="006E7647"/>
    <w:rsid w:val="006E7CF9"/>
    <w:rsid w:val="006F0E2C"/>
    <w:rsid w:val="006F162C"/>
    <w:rsid w:val="006F19E8"/>
    <w:rsid w:val="006F1DA8"/>
    <w:rsid w:val="006F20D6"/>
    <w:rsid w:val="006F22E9"/>
    <w:rsid w:val="006F3C00"/>
    <w:rsid w:val="006F4429"/>
    <w:rsid w:val="006F4CFA"/>
    <w:rsid w:val="006F5310"/>
    <w:rsid w:val="006F696E"/>
    <w:rsid w:val="006F6B91"/>
    <w:rsid w:val="00701199"/>
    <w:rsid w:val="00701AB7"/>
    <w:rsid w:val="0070294C"/>
    <w:rsid w:val="007040CB"/>
    <w:rsid w:val="0070523B"/>
    <w:rsid w:val="0070528E"/>
    <w:rsid w:val="007057AC"/>
    <w:rsid w:val="00706621"/>
    <w:rsid w:val="00707D16"/>
    <w:rsid w:val="007105D1"/>
    <w:rsid w:val="007109A5"/>
    <w:rsid w:val="00715E8A"/>
    <w:rsid w:val="00717226"/>
    <w:rsid w:val="00720977"/>
    <w:rsid w:val="00720FDD"/>
    <w:rsid w:val="00722883"/>
    <w:rsid w:val="00723AF0"/>
    <w:rsid w:val="00723C09"/>
    <w:rsid w:val="007244F1"/>
    <w:rsid w:val="00724ABA"/>
    <w:rsid w:val="00724DD7"/>
    <w:rsid w:val="00724EA7"/>
    <w:rsid w:val="00727911"/>
    <w:rsid w:val="007279BB"/>
    <w:rsid w:val="00727A6E"/>
    <w:rsid w:val="0073007E"/>
    <w:rsid w:val="007311E2"/>
    <w:rsid w:val="00732519"/>
    <w:rsid w:val="007325D9"/>
    <w:rsid w:val="0073365B"/>
    <w:rsid w:val="00734F5A"/>
    <w:rsid w:val="0073579D"/>
    <w:rsid w:val="0073647D"/>
    <w:rsid w:val="007367A3"/>
    <w:rsid w:val="00736D97"/>
    <w:rsid w:val="00737CEF"/>
    <w:rsid w:val="00737DDA"/>
    <w:rsid w:val="007400B1"/>
    <w:rsid w:val="007407EB"/>
    <w:rsid w:val="00740DEC"/>
    <w:rsid w:val="00740E86"/>
    <w:rsid w:val="00742559"/>
    <w:rsid w:val="00742B5E"/>
    <w:rsid w:val="007432CF"/>
    <w:rsid w:val="00743AAB"/>
    <w:rsid w:val="00743AF8"/>
    <w:rsid w:val="00744E17"/>
    <w:rsid w:val="00746B57"/>
    <w:rsid w:val="00747D90"/>
    <w:rsid w:val="007501B9"/>
    <w:rsid w:val="00751CB9"/>
    <w:rsid w:val="007529AF"/>
    <w:rsid w:val="007532E4"/>
    <w:rsid w:val="00753310"/>
    <w:rsid w:val="0075514E"/>
    <w:rsid w:val="00756041"/>
    <w:rsid w:val="0075624F"/>
    <w:rsid w:val="00756580"/>
    <w:rsid w:val="00756D96"/>
    <w:rsid w:val="00757573"/>
    <w:rsid w:val="0075796D"/>
    <w:rsid w:val="00761221"/>
    <w:rsid w:val="00761656"/>
    <w:rsid w:val="007620C2"/>
    <w:rsid w:val="007631AF"/>
    <w:rsid w:val="0076329B"/>
    <w:rsid w:val="00763641"/>
    <w:rsid w:val="00763F6E"/>
    <w:rsid w:val="00764161"/>
    <w:rsid w:val="00765B63"/>
    <w:rsid w:val="00765EB5"/>
    <w:rsid w:val="007668BA"/>
    <w:rsid w:val="00767E0F"/>
    <w:rsid w:val="007702F9"/>
    <w:rsid w:val="00770596"/>
    <w:rsid w:val="007720FF"/>
    <w:rsid w:val="007722C4"/>
    <w:rsid w:val="0077277D"/>
    <w:rsid w:val="0077419A"/>
    <w:rsid w:val="00774668"/>
    <w:rsid w:val="007747D4"/>
    <w:rsid w:val="00774963"/>
    <w:rsid w:val="00776C07"/>
    <w:rsid w:val="00780081"/>
    <w:rsid w:val="00781824"/>
    <w:rsid w:val="00781AE3"/>
    <w:rsid w:val="00781B7F"/>
    <w:rsid w:val="00782DCB"/>
    <w:rsid w:val="00783707"/>
    <w:rsid w:val="00784156"/>
    <w:rsid w:val="007841F7"/>
    <w:rsid w:val="007853C7"/>
    <w:rsid w:val="00787151"/>
    <w:rsid w:val="00787CD0"/>
    <w:rsid w:val="00790D98"/>
    <w:rsid w:val="00791280"/>
    <w:rsid w:val="0079230B"/>
    <w:rsid w:val="00792588"/>
    <w:rsid w:val="00792C73"/>
    <w:rsid w:val="007933B3"/>
    <w:rsid w:val="00794D72"/>
    <w:rsid w:val="0079594E"/>
    <w:rsid w:val="007967E7"/>
    <w:rsid w:val="00796916"/>
    <w:rsid w:val="007A048E"/>
    <w:rsid w:val="007A19AF"/>
    <w:rsid w:val="007A1C33"/>
    <w:rsid w:val="007A1E9D"/>
    <w:rsid w:val="007A2801"/>
    <w:rsid w:val="007A3102"/>
    <w:rsid w:val="007A4EEE"/>
    <w:rsid w:val="007A6DAA"/>
    <w:rsid w:val="007A6EF9"/>
    <w:rsid w:val="007A6FF5"/>
    <w:rsid w:val="007A7EC8"/>
    <w:rsid w:val="007B032C"/>
    <w:rsid w:val="007B1AF8"/>
    <w:rsid w:val="007B2034"/>
    <w:rsid w:val="007B26EB"/>
    <w:rsid w:val="007B28BC"/>
    <w:rsid w:val="007B2A16"/>
    <w:rsid w:val="007B3AC3"/>
    <w:rsid w:val="007B3B00"/>
    <w:rsid w:val="007B4709"/>
    <w:rsid w:val="007B49B5"/>
    <w:rsid w:val="007B4B3F"/>
    <w:rsid w:val="007B4DCF"/>
    <w:rsid w:val="007B56EF"/>
    <w:rsid w:val="007B787D"/>
    <w:rsid w:val="007B7B7B"/>
    <w:rsid w:val="007C0D6B"/>
    <w:rsid w:val="007C10B9"/>
    <w:rsid w:val="007C1558"/>
    <w:rsid w:val="007C195A"/>
    <w:rsid w:val="007C3165"/>
    <w:rsid w:val="007C3878"/>
    <w:rsid w:val="007C3D6E"/>
    <w:rsid w:val="007C4C22"/>
    <w:rsid w:val="007C50AE"/>
    <w:rsid w:val="007C58D6"/>
    <w:rsid w:val="007C65DB"/>
    <w:rsid w:val="007C732D"/>
    <w:rsid w:val="007D1008"/>
    <w:rsid w:val="007D1783"/>
    <w:rsid w:val="007D4360"/>
    <w:rsid w:val="007D4BE0"/>
    <w:rsid w:val="007D5766"/>
    <w:rsid w:val="007D5B27"/>
    <w:rsid w:val="007D5C80"/>
    <w:rsid w:val="007D62AE"/>
    <w:rsid w:val="007E013D"/>
    <w:rsid w:val="007E168F"/>
    <w:rsid w:val="007E2711"/>
    <w:rsid w:val="007E2754"/>
    <w:rsid w:val="007E3C0F"/>
    <w:rsid w:val="007E40ED"/>
    <w:rsid w:val="007E52B8"/>
    <w:rsid w:val="007E5818"/>
    <w:rsid w:val="007E61A7"/>
    <w:rsid w:val="007E65D7"/>
    <w:rsid w:val="007E6A21"/>
    <w:rsid w:val="007F0D2C"/>
    <w:rsid w:val="007F227E"/>
    <w:rsid w:val="007F2C5A"/>
    <w:rsid w:val="007F2F00"/>
    <w:rsid w:val="007F3489"/>
    <w:rsid w:val="007F3847"/>
    <w:rsid w:val="007F5EE4"/>
    <w:rsid w:val="0080014B"/>
    <w:rsid w:val="008004A9"/>
    <w:rsid w:val="0080089C"/>
    <w:rsid w:val="008009B4"/>
    <w:rsid w:val="00801310"/>
    <w:rsid w:val="00802157"/>
    <w:rsid w:val="008028AE"/>
    <w:rsid w:val="00802A79"/>
    <w:rsid w:val="00802E76"/>
    <w:rsid w:val="00803318"/>
    <w:rsid w:val="00803456"/>
    <w:rsid w:val="0080390A"/>
    <w:rsid w:val="008051C7"/>
    <w:rsid w:val="00806A0D"/>
    <w:rsid w:val="00806CE1"/>
    <w:rsid w:val="008108F0"/>
    <w:rsid w:val="00811BBD"/>
    <w:rsid w:val="00812976"/>
    <w:rsid w:val="0081340D"/>
    <w:rsid w:val="00813EFE"/>
    <w:rsid w:val="00814C15"/>
    <w:rsid w:val="00814DEF"/>
    <w:rsid w:val="008151E7"/>
    <w:rsid w:val="00815FE5"/>
    <w:rsid w:val="008163BE"/>
    <w:rsid w:val="0082020B"/>
    <w:rsid w:val="00820789"/>
    <w:rsid w:val="00821011"/>
    <w:rsid w:val="0082107E"/>
    <w:rsid w:val="0082239E"/>
    <w:rsid w:val="00825A87"/>
    <w:rsid w:val="00825AAA"/>
    <w:rsid w:val="00827BE2"/>
    <w:rsid w:val="008303A3"/>
    <w:rsid w:val="00830F3A"/>
    <w:rsid w:val="00831464"/>
    <w:rsid w:val="00831B9B"/>
    <w:rsid w:val="008328C9"/>
    <w:rsid w:val="00832D75"/>
    <w:rsid w:val="00834203"/>
    <w:rsid w:val="0083435B"/>
    <w:rsid w:val="00835008"/>
    <w:rsid w:val="00835772"/>
    <w:rsid w:val="00835CF6"/>
    <w:rsid w:val="00836096"/>
    <w:rsid w:val="008368D3"/>
    <w:rsid w:val="008374E2"/>
    <w:rsid w:val="00837996"/>
    <w:rsid w:val="00837E3F"/>
    <w:rsid w:val="00842A7E"/>
    <w:rsid w:val="00842C83"/>
    <w:rsid w:val="0084365A"/>
    <w:rsid w:val="00844789"/>
    <w:rsid w:val="00844D3D"/>
    <w:rsid w:val="0084532E"/>
    <w:rsid w:val="008456C3"/>
    <w:rsid w:val="00845810"/>
    <w:rsid w:val="00845F3C"/>
    <w:rsid w:val="00846159"/>
    <w:rsid w:val="008505C3"/>
    <w:rsid w:val="00851677"/>
    <w:rsid w:val="0085223C"/>
    <w:rsid w:val="008522C6"/>
    <w:rsid w:val="0085253E"/>
    <w:rsid w:val="00852A53"/>
    <w:rsid w:val="00852E40"/>
    <w:rsid w:val="00853AFD"/>
    <w:rsid w:val="008544E8"/>
    <w:rsid w:val="00854E1F"/>
    <w:rsid w:val="00855E03"/>
    <w:rsid w:val="0085603B"/>
    <w:rsid w:val="00857A90"/>
    <w:rsid w:val="00857CDD"/>
    <w:rsid w:val="00860EA8"/>
    <w:rsid w:val="00862BF5"/>
    <w:rsid w:val="00863F6A"/>
    <w:rsid w:val="00864668"/>
    <w:rsid w:val="0086472B"/>
    <w:rsid w:val="00864937"/>
    <w:rsid w:val="00864E54"/>
    <w:rsid w:val="00866CC6"/>
    <w:rsid w:val="00867F70"/>
    <w:rsid w:val="0087368E"/>
    <w:rsid w:val="008748BF"/>
    <w:rsid w:val="0087512C"/>
    <w:rsid w:val="00875791"/>
    <w:rsid w:val="008802D9"/>
    <w:rsid w:val="00880347"/>
    <w:rsid w:val="00880B98"/>
    <w:rsid w:val="00881F26"/>
    <w:rsid w:val="008838A1"/>
    <w:rsid w:val="00884488"/>
    <w:rsid w:val="00884D49"/>
    <w:rsid w:val="0088685E"/>
    <w:rsid w:val="0088689E"/>
    <w:rsid w:val="00891392"/>
    <w:rsid w:val="00891794"/>
    <w:rsid w:val="008918D5"/>
    <w:rsid w:val="00891929"/>
    <w:rsid w:val="00893176"/>
    <w:rsid w:val="00894352"/>
    <w:rsid w:val="00894D3B"/>
    <w:rsid w:val="00895446"/>
    <w:rsid w:val="00896F61"/>
    <w:rsid w:val="008978BD"/>
    <w:rsid w:val="008A0024"/>
    <w:rsid w:val="008A05E4"/>
    <w:rsid w:val="008A0FB3"/>
    <w:rsid w:val="008A2098"/>
    <w:rsid w:val="008A26F6"/>
    <w:rsid w:val="008A2C0E"/>
    <w:rsid w:val="008A32D1"/>
    <w:rsid w:val="008A3656"/>
    <w:rsid w:val="008A4864"/>
    <w:rsid w:val="008A6005"/>
    <w:rsid w:val="008A688D"/>
    <w:rsid w:val="008A6BC8"/>
    <w:rsid w:val="008B03D8"/>
    <w:rsid w:val="008B075E"/>
    <w:rsid w:val="008B13C4"/>
    <w:rsid w:val="008B2CEA"/>
    <w:rsid w:val="008B4290"/>
    <w:rsid w:val="008B464F"/>
    <w:rsid w:val="008B61CD"/>
    <w:rsid w:val="008C1597"/>
    <w:rsid w:val="008C27BF"/>
    <w:rsid w:val="008C282F"/>
    <w:rsid w:val="008C3498"/>
    <w:rsid w:val="008C4A61"/>
    <w:rsid w:val="008C4B2E"/>
    <w:rsid w:val="008C4CB3"/>
    <w:rsid w:val="008C4F0F"/>
    <w:rsid w:val="008C543F"/>
    <w:rsid w:val="008C5BC3"/>
    <w:rsid w:val="008C5C1E"/>
    <w:rsid w:val="008C64E3"/>
    <w:rsid w:val="008C66FF"/>
    <w:rsid w:val="008C6CFD"/>
    <w:rsid w:val="008C75F3"/>
    <w:rsid w:val="008C7D07"/>
    <w:rsid w:val="008C7F38"/>
    <w:rsid w:val="008D0AED"/>
    <w:rsid w:val="008D29A2"/>
    <w:rsid w:val="008D2B0D"/>
    <w:rsid w:val="008D3A97"/>
    <w:rsid w:val="008D3B9E"/>
    <w:rsid w:val="008D3C54"/>
    <w:rsid w:val="008D4748"/>
    <w:rsid w:val="008D54F3"/>
    <w:rsid w:val="008D55C9"/>
    <w:rsid w:val="008D56A8"/>
    <w:rsid w:val="008D7856"/>
    <w:rsid w:val="008E2563"/>
    <w:rsid w:val="008E2FE9"/>
    <w:rsid w:val="008E6660"/>
    <w:rsid w:val="008E7277"/>
    <w:rsid w:val="008E7460"/>
    <w:rsid w:val="008E7585"/>
    <w:rsid w:val="008E7A7C"/>
    <w:rsid w:val="008F1F69"/>
    <w:rsid w:val="008F2E5C"/>
    <w:rsid w:val="008F46B5"/>
    <w:rsid w:val="008F4B37"/>
    <w:rsid w:val="008F5425"/>
    <w:rsid w:val="008F646F"/>
    <w:rsid w:val="00901E31"/>
    <w:rsid w:val="00905019"/>
    <w:rsid w:val="009064E3"/>
    <w:rsid w:val="00906982"/>
    <w:rsid w:val="009076D0"/>
    <w:rsid w:val="0091121D"/>
    <w:rsid w:val="009125A6"/>
    <w:rsid w:val="00912EE6"/>
    <w:rsid w:val="00914F38"/>
    <w:rsid w:val="00915070"/>
    <w:rsid w:val="00916B88"/>
    <w:rsid w:val="0091776B"/>
    <w:rsid w:val="00920173"/>
    <w:rsid w:val="00920396"/>
    <w:rsid w:val="009239BC"/>
    <w:rsid w:val="00924573"/>
    <w:rsid w:val="00925795"/>
    <w:rsid w:val="0092657D"/>
    <w:rsid w:val="00927DC8"/>
    <w:rsid w:val="00930092"/>
    <w:rsid w:val="00930315"/>
    <w:rsid w:val="00930593"/>
    <w:rsid w:val="00930779"/>
    <w:rsid w:val="0093160F"/>
    <w:rsid w:val="00931E1D"/>
    <w:rsid w:val="00932B67"/>
    <w:rsid w:val="00933135"/>
    <w:rsid w:val="00934496"/>
    <w:rsid w:val="00934F6D"/>
    <w:rsid w:val="00935018"/>
    <w:rsid w:val="0093671F"/>
    <w:rsid w:val="00937D0C"/>
    <w:rsid w:val="00937F0D"/>
    <w:rsid w:val="00940170"/>
    <w:rsid w:val="00940416"/>
    <w:rsid w:val="00941D1F"/>
    <w:rsid w:val="009427FD"/>
    <w:rsid w:val="00942EB2"/>
    <w:rsid w:val="0094366C"/>
    <w:rsid w:val="00943A80"/>
    <w:rsid w:val="00945002"/>
    <w:rsid w:val="00945E92"/>
    <w:rsid w:val="0094666B"/>
    <w:rsid w:val="00946E68"/>
    <w:rsid w:val="00946FD3"/>
    <w:rsid w:val="00947260"/>
    <w:rsid w:val="0094764B"/>
    <w:rsid w:val="009479C0"/>
    <w:rsid w:val="00950330"/>
    <w:rsid w:val="00950914"/>
    <w:rsid w:val="00950A0F"/>
    <w:rsid w:val="00950C51"/>
    <w:rsid w:val="00951973"/>
    <w:rsid w:val="00951D7B"/>
    <w:rsid w:val="0095252E"/>
    <w:rsid w:val="00952591"/>
    <w:rsid w:val="00952B40"/>
    <w:rsid w:val="00952C90"/>
    <w:rsid w:val="009536F5"/>
    <w:rsid w:val="00953ADF"/>
    <w:rsid w:val="00953B55"/>
    <w:rsid w:val="00953D9B"/>
    <w:rsid w:val="0095579B"/>
    <w:rsid w:val="00955EAB"/>
    <w:rsid w:val="0095677C"/>
    <w:rsid w:val="00956DA8"/>
    <w:rsid w:val="00957E73"/>
    <w:rsid w:val="0096046B"/>
    <w:rsid w:val="0096135C"/>
    <w:rsid w:val="00961734"/>
    <w:rsid w:val="009641C7"/>
    <w:rsid w:val="00965298"/>
    <w:rsid w:val="0096538F"/>
    <w:rsid w:val="00965A61"/>
    <w:rsid w:val="00966670"/>
    <w:rsid w:val="009717D6"/>
    <w:rsid w:val="00971D87"/>
    <w:rsid w:val="009735E5"/>
    <w:rsid w:val="009744F4"/>
    <w:rsid w:val="009746D7"/>
    <w:rsid w:val="00974A64"/>
    <w:rsid w:val="009764B2"/>
    <w:rsid w:val="009774DA"/>
    <w:rsid w:val="00980824"/>
    <w:rsid w:val="009808B4"/>
    <w:rsid w:val="00983391"/>
    <w:rsid w:val="00984821"/>
    <w:rsid w:val="009864F7"/>
    <w:rsid w:val="00986BCA"/>
    <w:rsid w:val="009871A9"/>
    <w:rsid w:val="0099045E"/>
    <w:rsid w:val="00992648"/>
    <w:rsid w:val="0099291B"/>
    <w:rsid w:val="00993179"/>
    <w:rsid w:val="00993E81"/>
    <w:rsid w:val="00995085"/>
    <w:rsid w:val="009961A7"/>
    <w:rsid w:val="0099716A"/>
    <w:rsid w:val="00997C5C"/>
    <w:rsid w:val="009A0593"/>
    <w:rsid w:val="009A10FC"/>
    <w:rsid w:val="009A2797"/>
    <w:rsid w:val="009A2BE2"/>
    <w:rsid w:val="009A2C14"/>
    <w:rsid w:val="009A3D97"/>
    <w:rsid w:val="009A3ED6"/>
    <w:rsid w:val="009A54E0"/>
    <w:rsid w:val="009A598B"/>
    <w:rsid w:val="009A5C87"/>
    <w:rsid w:val="009A6888"/>
    <w:rsid w:val="009A698B"/>
    <w:rsid w:val="009A6C5E"/>
    <w:rsid w:val="009A781F"/>
    <w:rsid w:val="009B2D86"/>
    <w:rsid w:val="009B313D"/>
    <w:rsid w:val="009B3F94"/>
    <w:rsid w:val="009B5E70"/>
    <w:rsid w:val="009B621A"/>
    <w:rsid w:val="009B6443"/>
    <w:rsid w:val="009B672F"/>
    <w:rsid w:val="009B6EAB"/>
    <w:rsid w:val="009B718D"/>
    <w:rsid w:val="009C0BCC"/>
    <w:rsid w:val="009C157B"/>
    <w:rsid w:val="009C2CA1"/>
    <w:rsid w:val="009C3FA3"/>
    <w:rsid w:val="009C3FB2"/>
    <w:rsid w:val="009C45D9"/>
    <w:rsid w:val="009C5AF0"/>
    <w:rsid w:val="009C5CCB"/>
    <w:rsid w:val="009C6007"/>
    <w:rsid w:val="009C6530"/>
    <w:rsid w:val="009C6670"/>
    <w:rsid w:val="009C6F32"/>
    <w:rsid w:val="009C7FD4"/>
    <w:rsid w:val="009D2AB8"/>
    <w:rsid w:val="009D2BEF"/>
    <w:rsid w:val="009D358E"/>
    <w:rsid w:val="009D3728"/>
    <w:rsid w:val="009D38BC"/>
    <w:rsid w:val="009D45B8"/>
    <w:rsid w:val="009D5E4E"/>
    <w:rsid w:val="009D6D0A"/>
    <w:rsid w:val="009D7187"/>
    <w:rsid w:val="009D73FF"/>
    <w:rsid w:val="009D783B"/>
    <w:rsid w:val="009E01DD"/>
    <w:rsid w:val="009E021C"/>
    <w:rsid w:val="009E11DA"/>
    <w:rsid w:val="009E12F5"/>
    <w:rsid w:val="009E16BC"/>
    <w:rsid w:val="009E1C8B"/>
    <w:rsid w:val="009E313E"/>
    <w:rsid w:val="009E3FA1"/>
    <w:rsid w:val="009E547A"/>
    <w:rsid w:val="009E5F9D"/>
    <w:rsid w:val="009E7760"/>
    <w:rsid w:val="009F1112"/>
    <w:rsid w:val="009F12ED"/>
    <w:rsid w:val="009F2BEA"/>
    <w:rsid w:val="009F30C8"/>
    <w:rsid w:val="009F4054"/>
    <w:rsid w:val="009F45D4"/>
    <w:rsid w:val="009F4BB8"/>
    <w:rsid w:val="009F4BED"/>
    <w:rsid w:val="009F58D8"/>
    <w:rsid w:val="00A0105D"/>
    <w:rsid w:val="00A01148"/>
    <w:rsid w:val="00A0293D"/>
    <w:rsid w:val="00A02F7D"/>
    <w:rsid w:val="00A03791"/>
    <w:rsid w:val="00A03CCE"/>
    <w:rsid w:val="00A06657"/>
    <w:rsid w:val="00A11497"/>
    <w:rsid w:val="00A12B6E"/>
    <w:rsid w:val="00A12D69"/>
    <w:rsid w:val="00A12DA0"/>
    <w:rsid w:val="00A12E68"/>
    <w:rsid w:val="00A13DD3"/>
    <w:rsid w:val="00A145C0"/>
    <w:rsid w:val="00A14A14"/>
    <w:rsid w:val="00A14B2A"/>
    <w:rsid w:val="00A1543E"/>
    <w:rsid w:val="00A15CDE"/>
    <w:rsid w:val="00A16DFA"/>
    <w:rsid w:val="00A16FD1"/>
    <w:rsid w:val="00A17C0A"/>
    <w:rsid w:val="00A22FA7"/>
    <w:rsid w:val="00A23404"/>
    <w:rsid w:val="00A238D0"/>
    <w:rsid w:val="00A244F0"/>
    <w:rsid w:val="00A27E28"/>
    <w:rsid w:val="00A30C29"/>
    <w:rsid w:val="00A320BE"/>
    <w:rsid w:val="00A33919"/>
    <w:rsid w:val="00A3401D"/>
    <w:rsid w:val="00A346B2"/>
    <w:rsid w:val="00A34E81"/>
    <w:rsid w:val="00A3601F"/>
    <w:rsid w:val="00A364D3"/>
    <w:rsid w:val="00A36968"/>
    <w:rsid w:val="00A36EC5"/>
    <w:rsid w:val="00A3764C"/>
    <w:rsid w:val="00A40EB2"/>
    <w:rsid w:val="00A41149"/>
    <w:rsid w:val="00A418A6"/>
    <w:rsid w:val="00A44745"/>
    <w:rsid w:val="00A44F15"/>
    <w:rsid w:val="00A47531"/>
    <w:rsid w:val="00A47B7B"/>
    <w:rsid w:val="00A47BAE"/>
    <w:rsid w:val="00A503EB"/>
    <w:rsid w:val="00A50621"/>
    <w:rsid w:val="00A5067F"/>
    <w:rsid w:val="00A51557"/>
    <w:rsid w:val="00A53D77"/>
    <w:rsid w:val="00A54111"/>
    <w:rsid w:val="00A54175"/>
    <w:rsid w:val="00A55643"/>
    <w:rsid w:val="00A55CD3"/>
    <w:rsid w:val="00A56809"/>
    <w:rsid w:val="00A578BA"/>
    <w:rsid w:val="00A6051E"/>
    <w:rsid w:val="00A60D9A"/>
    <w:rsid w:val="00A614FB"/>
    <w:rsid w:val="00A62328"/>
    <w:rsid w:val="00A62912"/>
    <w:rsid w:val="00A6300F"/>
    <w:rsid w:val="00A63A07"/>
    <w:rsid w:val="00A6404A"/>
    <w:rsid w:val="00A653AF"/>
    <w:rsid w:val="00A654A2"/>
    <w:rsid w:val="00A6666C"/>
    <w:rsid w:val="00A67183"/>
    <w:rsid w:val="00A674E2"/>
    <w:rsid w:val="00A67A89"/>
    <w:rsid w:val="00A70079"/>
    <w:rsid w:val="00A70A62"/>
    <w:rsid w:val="00A7204F"/>
    <w:rsid w:val="00A72FA7"/>
    <w:rsid w:val="00A73270"/>
    <w:rsid w:val="00A743C3"/>
    <w:rsid w:val="00A76391"/>
    <w:rsid w:val="00A76452"/>
    <w:rsid w:val="00A77284"/>
    <w:rsid w:val="00A7733A"/>
    <w:rsid w:val="00A77A07"/>
    <w:rsid w:val="00A80C34"/>
    <w:rsid w:val="00A83F5F"/>
    <w:rsid w:val="00A84DF8"/>
    <w:rsid w:val="00A86CE6"/>
    <w:rsid w:val="00A86D3D"/>
    <w:rsid w:val="00A876BD"/>
    <w:rsid w:val="00A9013E"/>
    <w:rsid w:val="00A9092E"/>
    <w:rsid w:val="00A90F1D"/>
    <w:rsid w:val="00A915F3"/>
    <w:rsid w:val="00A918AF"/>
    <w:rsid w:val="00A91B48"/>
    <w:rsid w:val="00A91C99"/>
    <w:rsid w:val="00A931DE"/>
    <w:rsid w:val="00A93392"/>
    <w:rsid w:val="00A94B17"/>
    <w:rsid w:val="00A94F1F"/>
    <w:rsid w:val="00A95040"/>
    <w:rsid w:val="00A95347"/>
    <w:rsid w:val="00A961FD"/>
    <w:rsid w:val="00A96EB8"/>
    <w:rsid w:val="00A97A66"/>
    <w:rsid w:val="00AA0912"/>
    <w:rsid w:val="00AA349C"/>
    <w:rsid w:val="00AA471D"/>
    <w:rsid w:val="00AA4B1C"/>
    <w:rsid w:val="00AA4DA3"/>
    <w:rsid w:val="00AA57AC"/>
    <w:rsid w:val="00AA6188"/>
    <w:rsid w:val="00AA7ACF"/>
    <w:rsid w:val="00AA7AF3"/>
    <w:rsid w:val="00AA7E33"/>
    <w:rsid w:val="00AB10A3"/>
    <w:rsid w:val="00AB1962"/>
    <w:rsid w:val="00AB265E"/>
    <w:rsid w:val="00AB2948"/>
    <w:rsid w:val="00AB39FA"/>
    <w:rsid w:val="00AB3B30"/>
    <w:rsid w:val="00AB426C"/>
    <w:rsid w:val="00AB451C"/>
    <w:rsid w:val="00AB4F34"/>
    <w:rsid w:val="00AB59F2"/>
    <w:rsid w:val="00AB5D6F"/>
    <w:rsid w:val="00AB7A0D"/>
    <w:rsid w:val="00AC0300"/>
    <w:rsid w:val="00AC2718"/>
    <w:rsid w:val="00AC3673"/>
    <w:rsid w:val="00AC37E6"/>
    <w:rsid w:val="00AC3E62"/>
    <w:rsid w:val="00AC401A"/>
    <w:rsid w:val="00AC50D9"/>
    <w:rsid w:val="00AC5620"/>
    <w:rsid w:val="00AC5AF9"/>
    <w:rsid w:val="00AC6192"/>
    <w:rsid w:val="00AD0BC2"/>
    <w:rsid w:val="00AD13EA"/>
    <w:rsid w:val="00AD1749"/>
    <w:rsid w:val="00AD2EE3"/>
    <w:rsid w:val="00AD2F03"/>
    <w:rsid w:val="00AD4C9D"/>
    <w:rsid w:val="00AD4CBF"/>
    <w:rsid w:val="00AD4D80"/>
    <w:rsid w:val="00AD57FE"/>
    <w:rsid w:val="00AD6933"/>
    <w:rsid w:val="00AD69F0"/>
    <w:rsid w:val="00AD6A15"/>
    <w:rsid w:val="00AD6B14"/>
    <w:rsid w:val="00AD6B7B"/>
    <w:rsid w:val="00AD7BA2"/>
    <w:rsid w:val="00AD7CAB"/>
    <w:rsid w:val="00AD7DF8"/>
    <w:rsid w:val="00AE0D6A"/>
    <w:rsid w:val="00AE0E87"/>
    <w:rsid w:val="00AE10BE"/>
    <w:rsid w:val="00AE16C9"/>
    <w:rsid w:val="00AE20A0"/>
    <w:rsid w:val="00AE3EF5"/>
    <w:rsid w:val="00AE4F2A"/>
    <w:rsid w:val="00AE5F33"/>
    <w:rsid w:val="00AE6350"/>
    <w:rsid w:val="00AE702F"/>
    <w:rsid w:val="00AE7E8D"/>
    <w:rsid w:val="00AF0AD5"/>
    <w:rsid w:val="00AF1429"/>
    <w:rsid w:val="00AF15E6"/>
    <w:rsid w:val="00AF2001"/>
    <w:rsid w:val="00AF267F"/>
    <w:rsid w:val="00AF2C2F"/>
    <w:rsid w:val="00AF2DC9"/>
    <w:rsid w:val="00AF51E7"/>
    <w:rsid w:val="00AF5308"/>
    <w:rsid w:val="00AF53BD"/>
    <w:rsid w:val="00AF5B3A"/>
    <w:rsid w:val="00AF6744"/>
    <w:rsid w:val="00B0001D"/>
    <w:rsid w:val="00B01C56"/>
    <w:rsid w:val="00B03B98"/>
    <w:rsid w:val="00B044AD"/>
    <w:rsid w:val="00B04E65"/>
    <w:rsid w:val="00B05620"/>
    <w:rsid w:val="00B10FAE"/>
    <w:rsid w:val="00B11FB6"/>
    <w:rsid w:val="00B1210D"/>
    <w:rsid w:val="00B1270F"/>
    <w:rsid w:val="00B12E05"/>
    <w:rsid w:val="00B12EBE"/>
    <w:rsid w:val="00B13C0B"/>
    <w:rsid w:val="00B14560"/>
    <w:rsid w:val="00B15452"/>
    <w:rsid w:val="00B16431"/>
    <w:rsid w:val="00B166A4"/>
    <w:rsid w:val="00B20873"/>
    <w:rsid w:val="00B2198D"/>
    <w:rsid w:val="00B219B7"/>
    <w:rsid w:val="00B2307B"/>
    <w:rsid w:val="00B24F12"/>
    <w:rsid w:val="00B25038"/>
    <w:rsid w:val="00B27FF1"/>
    <w:rsid w:val="00B303FE"/>
    <w:rsid w:val="00B3159A"/>
    <w:rsid w:val="00B32294"/>
    <w:rsid w:val="00B330D7"/>
    <w:rsid w:val="00B33465"/>
    <w:rsid w:val="00B341BB"/>
    <w:rsid w:val="00B3425E"/>
    <w:rsid w:val="00B3515D"/>
    <w:rsid w:val="00B355C9"/>
    <w:rsid w:val="00B35C09"/>
    <w:rsid w:val="00B361FB"/>
    <w:rsid w:val="00B379C5"/>
    <w:rsid w:val="00B37AB1"/>
    <w:rsid w:val="00B401DC"/>
    <w:rsid w:val="00B4183F"/>
    <w:rsid w:val="00B41E03"/>
    <w:rsid w:val="00B42198"/>
    <w:rsid w:val="00B42CF3"/>
    <w:rsid w:val="00B455B3"/>
    <w:rsid w:val="00B46269"/>
    <w:rsid w:val="00B46AD2"/>
    <w:rsid w:val="00B53037"/>
    <w:rsid w:val="00B53B4C"/>
    <w:rsid w:val="00B53C01"/>
    <w:rsid w:val="00B54409"/>
    <w:rsid w:val="00B54578"/>
    <w:rsid w:val="00B54C29"/>
    <w:rsid w:val="00B5512A"/>
    <w:rsid w:val="00B5606D"/>
    <w:rsid w:val="00B56D89"/>
    <w:rsid w:val="00B61679"/>
    <w:rsid w:val="00B63F0E"/>
    <w:rsid w:val="00B64BBE"/>
    <w:rsid w:val="00B65BAD"/>
    <w:rsid w:val="00B67112"/>
    <w:rsid w:val="00B673DA"/>
    <w:rsid w:val="00B67DE1"/>
    <w:rsid w:val="00B70CC6"/>
    <w:rsid w:val="00B73894"/>
    <w:rsid w:val="00B744A3"/>
    <w:rsid w:val="00B74EF1"/>
    <w:rsid w:val="00B77067"/>
    <w:rsid w:val="00B776B5"/>
    <w:rsid w:val="00B80D28"/>
    <w:rsid w:val="00B8193F"/>
    <w:rsid w:val="00B81BBB"/>
    <w:rsid w:val="00B82A82"/>
    <w:rsid w:val="00B833CA"/>
    <w:rsid w:val="00B8464A"/>
    <w:rsid w:val="00B8473D"/>
    <w:rsid w:val="00B84B6B"/>
    <w:rsid w:val="00B85896"/>
    <w:rsid w:val="00B90410"/>
    <w:rsid w:val="00B90BDB"/>
    <w:rsid w:val="00B90E10"/>
    <w:rsid w:val="00B95181"/>
    <w:rsid w:val="00B95871"/>
    <w:rsid w:val="00B96184"/>
    <w:rsid w:val="00B964CA"/>
    <w:rsid w:val="00B969D7"/>
    <w:rsid w:val="00B97839"/>
    <w:rsid w:val="00BA1386"/>
    <w:rsid w:val="00BA2331"/>
    <w:rsid w:val="00BA31C4"/>
    <w:rsid w:val="00BA324C"/>
    <w:rsid w:val="00BA42C8"/>
    <w:rsid w:val="00BA4655"/>
    <w:rsid w:val="00BA6687"/>
    <w:rsid w:val="00BA730E"/>
    <w:rsid w:val="00BA7660"/>
    <w:rsid w:val="00BA78B6"/>
    <w:rsid w:val="00BA7935"/>
    <w:rsid w:val="00BA7E32"/>
    <w:rsid w:val="00BB047B"/>
    <w:rsid w:val="00BB23D9"/>
    <w:rsid w:val="00BB3838"/>
    <w:rsid w:val="00BB3C1C"/>
    <w:rsid w:val="00BB4159"/>
    <w:rsid w:val="00BB46D6"/>
    <w:rsid w:val="00BB4818"/>
    <w:rsid w:val="00BB4AF3"/>
    <w:rsid w:val="00BB6398"/>
    <w:rsid w:val="00BB75D2"/>
    <w:rsid w:val="00BC0080"/>
    <w:rsid w:val="00BC0572"/>
    <w:rsid w:val="00BC25EF"/>
    <w:rsid w:val="00BC26AF"/>
    <w:rsid w:val="00BC2DAF"/>
    <w:rsid w:val="00BC2E3D"/>
    <w:rsid w:val="00BC30CD"/>
    <w:rsid w:val="00BC3E72"/>
    <w:rsid w:val="00BC457B"/>
    <w:rsid w:val="00BC4FD3"/>
    <w:rsid w:val="00BC525C"/>
    <w:rsid w:val="00BC5F51"/>
    <w:rsid w:val="00BC6827"/>
    <w:rsid w:val="00BC6C7A"/>
    <w:rsid w:val="00BC746F"/>
    <w:rsid w:val="00BC7D9E"/>
    <w:rsid w:val="00BD0372"/>
    <w:rsid w:val="00BD05EE"/>
    <w:rsid w:val="00BD0981"/>
    <w:rsid w:val="00BD0F24"/>
    <w:rsid w:val="00BD28EE"/>
    <w:rsid w:val="00BD30B2"/>
    <w:rsid w:val="00BD380E"/>
    <w:rsid w:val="00BD44F5"/>
    <w:rsid w:val="00BE0C9A"/>
    <w:rsid w:val="00BE1939"/>
    <w:rsid w:val="00BE2B18"/>
    <w:rsid w:val="00BE41AA"/>
    <w:rsid w:val="00BE4340"/>
    <w:rsid w:val="00BE5C41"/>
    <w:rsid w:val="00BE5D55"/>
    <w:rsid w:val="00BE60C7"/>
    <w:rsid w:val="00BE7B6F"/>
    <w:rsid w:val="00BE7F6F"/>
    <w:rsid w:val="00BF046F"/>
    <w:rsid w:val="00BF0543"/>
    <w:rsid w:val="00BF0646"/>
    <w:rsid w:val="00BF1AC2"/>
    <w:rsid w:val="00BF1C32"/>
    <w:rsid w:val="00BF21A9"/>
    <w:rsid w:val="00BF543B"/>
    <w:rsid w:val="00BF6FAB"/>
    <w:rsid w:val="00BF76A6"/>
    <w:rsid w:val="00C0068D"/>
    <w:rsid w:val="00C00BE8"/>
    <w:rsid w:val="00C01A11"/>
    <w:rsid w:val="00C01F23"/>
    <w:rsid w:val="00C023E3"/>
    <w:rsid w:val="00C044BE"/>
    <w:rsid w:val="00C04BAB"/>
    <w:rsid w:val="00C04F93"/>
    <w:rsid w:val="00C0507F"/>
    <w:rsid w:val="00C0607B"/>
    <w:rsid w:val="00C0687D"/>
    <w:rsid w:val="00C06DEF"/>
    <w:rsid w:val="00C075A2"/>
    <w:rsid w:val="00C107CB"/>
    <w:rsid w:val="00C11721"/>
    <w:rsid w:val="00C118C4"/>
    <w:rsid w:val="00C11F58"/>
    <w:rsid w:val="00C120D7"/>
    <w:rsid w:val="00C132D1"/>
    <w:rsid w:val="00C135D9"/>
    <w:rsid w:val="00C139CA"/>
    <w:rsid w:val="00C13A7D"/>
    <w:rsid w:val="00C13F54"/>
    <w:rsid w:val="00C16B7D"/>
    <w:rsid w:val="00C17DF9"/>
    <w:rsid w:val="00C224ED"/>
    <w:rsid w:val="00C227B3"/>
    <w:rsid w:val="00C22B92"/>
    <w:rsid w:val="00C23CF7"/>
    <w:rsid w:val="00C241A8"/>
    <w:rsid w:val="00C2478E"/>
    <w:rsid w:val="00C24ABA"/>
    <w:rsid w:val="00C264CB"/>
    <w:rsid w:val="00C27188"/>
    <w:rsid w:val="00C27467"/>
    <w:rsid w:val="00C305A5"/>
    <w:rsid w:val="00C31253"/>
    <w:rsid w:val="00C316B1"/>
    <w:rsid w:val="00C32EB9"/>
    <w:rsid w:val="00C3394B"/>
    <w:rsid w:val="00C35129"/>
    <w:rsid w:val="00C354BE"/>
    <w:rsid w:val="00C37924"/>
    <w:rsid w:val="00C41197"/>
    <w:rsid w:val="00C419DB"/>
    <w:rsid w:val="00C41DB8"/>
    <w:rsid w:val="00C4250C"/>
    <w:rsid w:val="00C430B4"/>
    <w:rsid w:val="00C4480F"/>
    <w:rsid w:val="00C448DB"/>
    <w:rsid w:val="00C468C0"/>
    <w:rsid w:val="00C476F1"/>
    <w:rsid w:val="00C51429"/>
    <w:rsid w:val="00C51E8F"/>
    <w:rsid w:val="00C52692"/>
    <w:rsid w:val="00C5291A"/>
    <w:rsid w:val="00C52C3C"/>
    <w:rsid w:val="00C52CE9"/>
    <w:rsid w:val="00C52FC0"/>
    <w:rsid w:val="00C53963"/>
    <w:rsid w:val="00C53F9E"/>
    <w:rsid w:val="00C54080"/>
    <w:rsid w:val="00C557BC"/>
    <w:rsid w:val="00C559E9"/>
    <w:rsid w:val="00C562E6"/>
    <w:rsid w:val="00C5757A"/>
    <w:rsid w:val="00C600AC"/>
    <w:rsid w:val="00C608C1"/>
    <w:rsid w:val="00C61360"/>
    <w:rsid w:val="00C61EB8"/>
    <w:rsid w:val="00C63965"/>
    <w:rsid w:val="00C63D4E"/>
    <w:rsid w:val="00C63EA9"/>
    <w:rsid w:val="00C6402D"/>
    <w:rsid w:val="00C64715"/>
    <w:rsid w:val="00C647D4"/>
    <w:rsid w:val="00C65242"/>
    <w:rsid w:val="00C6623B"/>
    <w:rsid w:val="00C665A0"/>
    <w:rsid w:val="00C66A6F"/>
    <w:rsid w:val="00C67725"/>
    <w:rsid w:val="00C700F3"/>
    <w:rsid w:val="00C701C7"/>
    <w:rsid w:val="00C7092F"/>
    <w:rsid w:val="00C72767"/>
    <w:rsid w:val="00C72AA7"/>
    <w:rsid w:val="00C732DC"/>
    <w:rsid w:val="00C76303"/>
    <w:rsid w:val="00C76DDA"/>
    <w:rsid w:val="00C778C8"/>
    <w:rsid w:val="00C807B3"/>
    <w:rsid w:val="00C822F5"/>
    <w:rsid w:val="00C825C9"/>
    <w:rsid w:val="00C83499"/>
    <w:rsid w:val="00C83530"/>
    <w:rsid w:val="00C86465"/>
    <w:rsid w:val="00C86CC3"/>
    <w:rsid w:val="00C86E37"/>
    <w:rsid w:val="00C87D14"/>
    <w:rsid w:val="00C901B1"/>
    <w:rsid w:val="00C90518"/>
    <w:rsid w:val="00C90B29"/>
    <w:rsid w:val="00C90EBC"/>
    <w:rsid w:val="00C9153C"/>
    <w:rsid w:val="00C916DF"/>
    <w:rsid w:val="00C918AF"/>
    <w:rsid w:val="00C91B69"/>
    <w:rsid w:val="00C942D8"/>
    <w:rsid w:val="00C94B30"/>
    <w:rsid w:val="00C9540B"/>
    <w:rsid w:val="00C974FE"/>
    <w:rsid w:val="00C9785E"/>
    <w:rsid w:val="00C97D82"/>
    <w:rsid w:val="00CA100D"/>
    <w:rsid w:val="00CA1AA3"/>
    <w:rsid w:val="00CA1CD8"/>
    <w:rsid w:val="00CA3856"/>
    <w:rsid w:val="00CA40E8"/>
    <w:rsid w:val="00CA56C5"/>
    <w:rsid w:val="00CA5A3F"/>
    <w:rsid w:val="00CA6638"/>
    <w:rsid w:val="00CA67E0"/>
    <w:rsid w:val="00CA685E"/>
    <w:rsid w:val="00CA7199"/>
    <w:rsid w:val="00CA7BC0"/>
    <w:rsid w:val="00CB0122"/>
    <w:rsid w:val="00CB0269"/>
    <w:rsid w:val="00CB0833"/>
    <w:rsid w:val="00CB0B37"/>
    <w:rsid w:val="00CB0CD2"/>
    <w:rsid w:val="00CB0F2A"/>
    <w:rsid w:val="00CB108A"/>
    <w:rsid w:val="00CB1181"/>
    <w:rsid w:val="00CB18F5"/>
    <w:rsid w:val="00CB1FD0"/>
    <w:rsid w:val="00CB24A4"/>
    <w:rsid w:val="00CB255E"/>
    <w:rsid w:val="00CB5E63"/>
    <w:rsid w:val="00CB6704"/>
    <w:rsid w:val="00CC008E"/>
    <w:rsid w:val="00CC02ED"/>
    <w:rsid w:val="00CC14CB"/>
    <w:rsid w:val="00CC2A0B"/>
    <w:rsid w:val="00CC2B8D"/>
    <w:rsid w:val="00CC43C0"/>
    <w:rsid w:val="00CC53D9"/>
    <w:rsid w:val="00CC5CF8"/>
    <w:rsid w:val="00CC63EB"/>
    <w:rsid w:val="00CC6439"/>
    <w:rsid w:val="00CC761B"/>
    <w:rsid w:val="00CC78AD"/>
    <w:rsid w:val="00CD022A"/>
    <w:rsid w:val="00CD03BE"/>
    <w:rsid w:val="00CD0707"/>
    <w:rsid w:val="00CD073C"/>
    <w:rsid w:val="00CD0E0D"/>
    <w:rsid w:val="00CD19FE"/>
    <w:rsid w:val="00CD1A25"/>
    <w:rsid w:val="00CD2207"/>
    <w:rsid w:val="00CD2E16"/>
    <w:rsid w:val="00CD4B4B"/>
    <w:rsid w:val="00CD65E7"/>
    <w:rsid w:val="00CD6C5C"/>
    <w:rsid w:val="00CD6E7E"/>
    <w:rsid w:val="00CD7BFC"/>
    <w:rsid w:val="00CE00E9"/>
    <w:rsid w:val="00CE01DB"/>
    <w:rsid w:val="00CE1C3A"/>
    <w:rsid w:val="00CE2B95"/>
    <w:rsid w:val="00CE2DE8"/>
    <w:rsid w:val="00CE2F1A"/>
    <w:rsid w:val="00CE4454"/>
    <w:rsid w:val="00CE4B9C"/>
    <w:rsid w:val="00CE6613"/>
    <w:rsid w:val="00CE7503"/>
    <w:rsid w:val="00CF14DB"/>
    <w:rsid w:val="00CF1A11"/>
    <w:rsid w:val="00CF241F"/>
    <w:rsid w:val="00CF2A59"/>
    <w:rsid w:val="00CF2ACE"/>
    <w:rsid w:val="00CF30FC"/>
    <w:rsid w:val="00CF325A"/>
    <w:rsid w:val="00CF4286"/>
    <w:rsid w:val="00CF5B8C"/>
    <w:rsid w:val="00CF5CB2"/>
    <w:rsid w:val="00CF65EB"/>
    <w:rsid w:val="00CF660B"/>
    <w:rsid w:val="00D010B1"/>
    <w:rsid w:val="00D010FB"/>
    <w:rsid w:val="00D01262"/>
    <w:rsid w:val="00D0193E"/>
    <w:rsid w:val="00D019BA"/>
    <w:rsid w:val="00D01B9F"/>
    <w:rsid w:val="00D01E5C"/>
    <w:rsid w:val="00D02572"/>
    <w:rsid w:val="00D03AE1"/>
    <w:rsid w:val="00D03B38"/>
    <w:rsid w:val="00D03F87"/>
    <w:rsid w:val="00D0408D"/>
    <w:rsid w:val="00D04CD4"/>
    <w:rsid w:val="00D0526B"/>
    <w:rsid w:val="00D054AC"/>
    <w:rsid w:val="00D058AC"/>
    <w:rsid w:val="00D05DF4"/>
    <w:rsid w:val="00D062E7"/>
    <w:rsid w:val="00D064B6"/>
    <w:rsid w:val="00D0678C"/>
    <w:rsid w:val="00D06BE7"/>
    <w:rsid w:val="00D07174"/>
    <w:rsid w:val="00D07731"/>
    <w:rsid w:val="00D103AF"/>
    <w:rsid w:val="00D115D9"/>
    <w:rsid w:val="00D12095"/>
    <w:rsid w:val="00D1241E"/>
    <w:rsid w:val="00D16017"/>
    <w:rsid w:val="00D16B4D"/>
    <w:rsid w:val="00D17B0E"/>
    <w:rsid w:val="00D17C13"/>
    <w:rsid w:val="00D2065D"/>
    <w:rsid w:val="00D2093B"/>
    <w:rsid w:val="00D21AEC"/>
    <w:rsid w:val="00D22D06"/>
    <w:rsid w:val="00D24772"/>
    <w:rsid w:val="00D24934"/>
    <w:rsid w:val="00D24ECC"/>
    <w:rsid w:val="00D24F3B"/>
    <w:rsid w:val="00D251B4"/>
    <w:rsid w:val="00D259D9"/>
    <w:rsid w:val="00D25ECE"/>
    <w:rsid w:val="00D2631B"/>
    <w:rsid w:val="00D2651E"/>
    <w:rsid w:val="00D26E91"/>
    <w:rsid w:val="00D272A6"/>
    <w:rsid w:val="00D3018E"/>
    <w:rsid w:val="00D30C64"/>
    <w:rsid w:val="00D312C5"/>
    <w:rsid w:val="00D32782"/>
    <w:rsid w:val="00D3283C"/>
    <w:rsid w:val="00D33020"/>
    <w:rsid w:val="00D336C5"/>
    <w:rsid w:val="00D33E66"/>
    <w:rsid w:val="00D33F3A"/>
    <w:rsid w:val="00D3441D"/>
    <w:rsid w:val="00D355C4"/>
    <w:rsid w:val="00D35E17"/>
    <w:rsid w:val="00D3612A"/>
    <w:rsid w:val="00D37703"/>
    <w:rsid w:val="00D37DBF"/>
    <w:rsid w:val="00D37F25"/>
    <w:rsid w:val="00D41069"/>
    <w:rsid w:val="00D4148C"/>
    <w:rsid w:val="00D42EDA"/>
    <w:rsid w:val="00D42F4F"/>
    <w:rsid w:val="00D44141"/>
    <w:rsid w:val="00D446EF"/>
    <w:rsid w:val="00D46CE9"/>
    <w:rsid w:val="00D47201"/>
    <w:rsid w:val="00D56A53"/>
    <w:rsid w:val="00D57D72"/>
    <w:rsid w:val="00D6121D"/>
    <w:rsid w:val="00D61545"/>
    <w:rsid w:val="00D61C92"/>
    <w:rsid w:val="00D6271D"/>
    <w:rsid w:val="00D62B22"/>
    <w:rsid w:val="00D6324F"/>
    <w:rsid w:val="00D63458"/>
    <w:rsid w:val="00D63BCE"/>
    <w:rsid w:val="00D64E38"/>
    <w:rsid w:val="00D66178"/>
    <w:rsid w:val="00D66D37"/>
    <w:rsid w:val="00D720CC"/>
    <w:rsid w:val="00D72E62"/>
    <w:rsid w:val="00D750CC"/>
    <w:rsid w:val="00D758DC"/>
    <w:rsid w:val="00D75EDD"/>
    <w:rsid w:val="00D7618B"/>
    <w:rsid w:val="00D76284"/>
    <w:rsid w:val="00D76597"/>
    <w:rsid w:val="00D81FAD"/>
    <w:rsid w:val="00D838DD"/>
    <w:rsid w:val="00D84209"/>
    <w:rsid w:val="00D84369"/>
    <w:rsid w:val="00D846F1"/>
    <w:rsid w:val="00D84B30"/>
    <w:rsid w:val="00D84C8F"/>
    <w:rsid w:val="00D85538"/>
    <w:rsid w:val="00D8621B"/>
    <w:rsid w:val="00D873AD"/>
    <w:rsid w:val="00D87D0C"/>
    <w:rsid w:val="00D90500"/>
    <w:rsid w:val="00D90927"/>
    <w:rsid w:val="00D90BEE"/>
    <w:rsid w:val="00D910F3"/>
    <w:rsid w:val="00D91AAC"/>
    <w:rsid w:val="00D91C06"/>
    <w:rsid w:val="00D91C9F"/>
    <w:rsid w:val="00D93FD1"/>
    <w:rsid w:val="00DA08F5"/>
    <w:rsid w:val="00DA2ADC"/>
    <w:rsid w:val="00DA5C2B"/>
    <w:rsid w:val="00DA5F30"/>
    <w:rsid w:val="00DA7A79"/>
    <w:rsid w:val="00DA7F84"/>
    <w:rsid w:val="00DB01E2"/>
    <w:rsid w:val="00DB0764"/>
    <w:rsid w:val="00DB0BF6"/>
    <w:rsid w:val="00DB302B"/>
    <w:rsid w:val="00DB319E"/>
    <w:rsid w:val="00DB3506"/>
    <w:rsid w:val="00DB49AF"/>
    <w:rsid w:val="00DB4BA7"/>
    <w:rsid w:val="00DB61FE"/>
    <w:rsid w:val="00DB7A9A"/>
    <w:rsid w:val="00DC046F"/>
    <w:rsid w:val="00DC0F9B"/>
    <w:rsid w:val="00DC22A6"/>
    <w:rsid w:val="00DC2B2C"/>
    <w:rsid w:val="00DC2F3A"/>
    <w:rsid w:val="00DC3177"/>
    <w:rsid w:val="00DC3276"/>
    <w:rsid w:val="00DC6304"/>
    <w:rsid w:val="00DC6C2E"/>
    <w:rsid w:val="00DC7132"/>
    <w:rsid w:val="00DD13AB"/>
    <w:rsid w:val="00DD1756"/>
    <w:rsid w:val="00DD2841"/>
    <w:rsid w:val="00DD323F"/>
    <w:rsid w:val="00DD37D8"/>
    <w:rsid w:val="00DD4DF4"/>
    <w:rsid w:val="00DD4EB5"/>
    <w:rsid w:val="00DD5902"/>
    <w:rsid w:val="00DD5C2B"/>
    <w:rsid w:val="00DD61ED"/>
    <w:rsid w:val="00DD640F"/>
    <w:rsid w:val="00DD685B"/>
    <w:rsid w:val="00DE01A4"/>
    <w:rsid w:val="00DE102B"/>
    <w:rsid w:val="00DE11CC"/>
    <w:rsid w:val="00DE157D"/>
    <w:rsid w:val="00DE3043"/>
    <w:rsid w:val="00DE327B"/>
    <w:rsid w:val="00DE36C5"/>
    <w:rsid w:val="00DE3E40"/>
    <w:rsid w:val="00DE4597"/>
    <w:rsid w:val="00DE4C42"/>
    <w:rsid w:val="00DE5D7C"/>
    <w:rsid w:val="00DE643F"/>
    <w:rsid w:val="00DE7296"/>
    <w:rsid w:val="00DE7C40"/>
    <w:rsid w:val="00DF6840"/>
    <w:rsid w:val="00DF6AD8"/>
    <w:rsid w:val="00DF72C9"/>
    <w:rsid w:val="00DF75E3"/>
    <w:rsid w:val="00E010AB"/>
    <w:rsid w:val="00E0158E"/>
    <w:rsid w:val="00E015AD"/>
    <w:rsid w:val="00E0233F"/>
    <w:rsid w:val="00E02678"/>
    <w:rsid w:val="00E0327E"/>
    <w:rsid w:val="00E04552"/>
    <w:rsid w:val="00E050EC"/>
    <w:rsid w:val="00E05167"/>
    <w:rsid w:val="00E0556D"/>
    <w:rsid w:val="00E05C53"/>
    <w:rsid w:val="00E06262"/>
    <w:rsid w:val="00E06959"/>
    <w:rsid w:val="00E0748A"/>
    <w:rsid w:val="00E107BD"/>
    <w:rsid w:val="00E122E1"/>
    <w:rsid w:val="00E128A9"/>
    <w:rsid w:val="00E13E9E"/>
    <w:rsid w:val="00E143DA"/>
    <w:rsid w:val="00E14BA3"/>
    <w:rsid w:val="00E16744"/>
    <w:rsid w:val="00E17067"/>
    <w:rsid w:val="00E174ED"/>
    <w:rsid w:val="00E22358"/>
    <w:rsid w:val="00E24CDE"/>
    <w:rsid w:val="00E2522C"/>
    <w:rsid w:val="00E25953"/>
    <w:rsid w:val="00E27F5A"/>
    <w:rsid w:val="00E303C8"/>
    <w:rsid w:val="00E3261C"/>
    <w:rsid w:val="00E32B25"/>
    <w:rsid w:val="00E32BEA"/>
    <w:rsid w:val="00E32F5B"/>
    <w:rsid w:val="00E33EB2"/>
    <w:rsid w:val="00E37117"/>
    <w:rsid w:val="00E3799F"/>
    <w:rsid w:val="00E37DA2"/>
    <w:rsid w:val="00E40094"/>
    <w:rsid w:val="00E4121B"/>
    <w:rsid w:val="00E4133E"/>
    <w:rsid w:val="00E42FA4"/>
    <w:rsid w:val="00E43ACF"/>
    <w:rsid w:val="00E43B5E"/>
    <w:rsid w:val="00E44689"/>
    <w:rsid w:val="00E4498A"/>
    <w:rsid w:val="00E45864"/>
    <w:rsid w:val="00E458A2"/>
    <w:rsid w:val="00E45A35"/>
    <w:rsid w:val="00E4622C"/>
    <w:rsid w:val="00E46764"/>
    <w:rsid w:val="00E47F40"/>
    <w:rsid w:val="00E5163F"/>
    <w:rsid w:val="00E51FFB"/>
    <w:rsid w:val="00E523D7"/>
    <w:rsid w:val="00E52DD3"/>
    <w:rsid w:val="00E52E7F"/>
    <w:rsid w:val="00E5471E"/>
    <w:rsid w:val="00E555C1"/>
    <w:rsid w:val="00E558A4"/>
    <w:rsid w:val="00E576D9"/>
    <w:rsid w:val="00E57D58"/>
    <w:rsid w:val="00E6052C"/>
    <w:rsid w:val="00E60C61"/>
    <w:rsid w:val="00E61C83"/>
    <w:rsid w:val="00E62DCF"/>
    <w:rsid w:val="00E652D3"/>
    <w:rsid w:val="00E65C76"/>
    <w:rsid w:val="00E65EA1"/>
    <w:rsid w:val="00E6605D"/>
    <w:rsid w:val="00E6611F"/>
    <w:rsid w:val="00E72563"/>
    <w:rsid w:val="00E73724"/>
    <w:rsid w:val="00E75DD4"/>
    <w:rsid w:val="00E762E5"/>
    <w:rsid w:val="00E770EA"/>
    <w:rsid w:val="00E77D0A"/>
    <w:rsid w:val="00E80E3A"/>
    <w:rsid w:val="00E8142A"/>
    <w:rsid w:val="00E81F62"/>
    <w:rsid w:val="00E82D28"/>
    <w:rsid w:val="00E836BE"/>
    <w:rsid w:val="00E863CD"/>
    <w:rsid w:val="00E9168B"/>
    <w:rsid w:val="00E91A28"/>
    <w:rsid w:val="00E91B44"/>
    <w:rsid w:val="00E923A0"/>
    <w:rsid w:val="00E9265B"/>
    <w:rsid w:val="00E92998"/>
    <w:rsid w:val="00E93015"/>
    <w:rsid w:val="00E930CD"/>
    <w:rsid w:val="00E9349A"/>
    <w:rsid w:val="00E9414A"/>
    <w:rsid w:val="00E94495"/>
    <w:rsid w:val="00E9472F"/>
    <w:rsid w:val="00E95253"/>
    <w:rsid w:val="00E9552A"/>
    <w:rsid w:val="00E95569"/>
    <w:rsid w:val="00E95C03"/>
    <w:rsid w:val="00E96379"/>
    <w:rsid w:val="00E972D5"/>
    <w:rsid w:val="00E97380"/>
    <w:rsid w:val="00E973D8"/>
    <w:rsid w:val="00E978F3"/>
    <w:rsid w:val="00E97D72"/>
    <w:rsid w:val="00EA0D4B"/>
    <w:rsid w:val="00EA1CB1"/>
    <w:rsid w:val="00EA46FB"/>
    <w:rsid w:val="00EA5F52"/>
    <w:rsid w:val="00EA6125"/>
    <w:rsid w:val="00EA70F0"/>
    <w:rsid w:val="00EB0891"/>
    <w:rsid w:val="00EB0B6A"/>
    <w:rsid w:val="00EB1450"/>
    <w:rsid w:val="00EB2410"/>
    <w:rsid w:val="00EB7795"/>
    <w:rsid w:val="00EB7B0E"/>
    <w:rsid w:val="00EB7BF5"/>
    <w:rsid w:val="00EC0435"/>
    <w:rsid w:val="00EC18E7"/>
    <w:rsid w:val="00EC1B56"/>
    <w:rsid w:val="00EC2248"/>
    <w:rsid w:val="00EC31D7"/>
    <w:rsid w:val="00EC38D0"/>
    <w:rsid w:val="00EC48C3"/>
    <w:rsid w:val="00EC58DA"/>
    <w:rsid w:val="00EC7180"/>
    <w:rsid w:val="00EC7540"/>
    <w:rsid w:val="00EC78F1"/>
    <w:rsid w:val="00ED0E31"/>
    <w:rsid w:val="00ED128C"/>
    <w:rsid w:val="00ED1684"/>
    <w:rsid w:val="00ED209D"/>
    <w:rsid w:val="00ED418D"/>
    <w:rsid w:val="00ED46C4"/>
    <w:rsid w:val="00ED4E3E"/>
    <w:rsid w:val="00ED5393"/>
    <w:rsid w:val="00ED5E7F"/>
    <w:rsid w:val="00ED5F88"/>
    <w:rsid w:val="00ED664B"/>
    <w:rsid w:val="00ED7359"/>
    <w:rsid w:val="00ED7C2E"/>
    <w:rsid w:val="00EE5111"/>
    <w:rsid w:val="00EE571A"/>
    <w:rsid w:val="00EE5CA6"/>
    <w:rsid w:val="00EF157F"/>
    <w:rsid w:val="00EF15D2"/>
    <w:rsid w:val="00EF2014"/>
    <w:rsid w:val="00EF258C"/>
    <w:rsid w:val="00EF2730"/>
    <w:rsid w:val="00EF28D7"/>
    <w:rsid w:val="00EF4585"/>
    <w:rsid w:val="00EF4FE1"/>
    <w:rsid w:val="00EF5550"/>
    <w:rsid w:val="00EF6403"/>
    <w:rsid w:val="00EF6CDF"/>
    <w:rsid w:val="00EF77D9"/>
    <w:rsid w:val="00F002B7"/>
    <w:rsid w:val="00F00415"/>
    <w:rsid w:val="00F01D63"/>
    <w:rsid w:val="00F02158"/>
    <w:rsid w:val="00F03786"/>
    <w:rsid w:val="00F03AB8"/>
    <w:rsid w:val="00F03D95"/>
    <w:rsid w:val="00F047A1"/>
    <w:rsid w:val="00F047D3"/>
    <w:rsid w:val="00F0577E"/>
    <w:rsid w:val="00F05E37"/>
    <w:rsid w:val="00F066ED"/>
    <w:rsid w:val="00F077B0"/>
    <w:rsid w:val="00F07897"/>
    <w:rsid w:val="00F07EF7"/>
    <w:rsid w:val="00F112AC"/>
    <w:rsid w:val="00F130AD"/>
    <w:rsid w:val="00F13C48"/>
    <w:rsid w:val="00F15218"/>
    <w:rsid w:val="00F16F86"/>
    <w:rsid w:val="00F17164"/>
    <w:rsid w:val="00F17E9B"/>
    <w:rsid w:val="00F17FCE"/>
    <w:rsid w:val="00F2002D"/>
    <w:rsid w:val="00F204EE"/>
    <w:rsid w:val="00F2115E"/>
    <w:rsid w:val="00F21200"/>
    <w:rsid w:val="00F21C71"/>
    <w:rsid w:val="00F22093"/>
    <w:rsid w:val="00F2256F"/>
    <w:rsid w:val="00F227E8"/>
    <w:rsid w:val="00F23438"/>
    <w:rsid w:val="00F243D4"/>
    <w:rsid w:val="00F24647"/>
    <w:rsid w:val="00F25FFA"/>
    <w:rsid w:val="00F26374"/>
    <w:rsid w:val="00F26A9F"/>
    <w:rsid w:val="00F27BAC"/>
    <w:rsid w:val="00F30DE4"/>
    <w:rsid w:val="00F317A4"/>
    <w:rsid w:val="00F31CE2"/>
    <w:rsid w:val="00F31F3F"/>
    <w:rsid w:val="00F331B5"/>
    <w:rsid w:val="00F33D63"/>
    <w:rsid w:val="00F34AF9"/>
    <w:rsid w:val="00F369E8"/>
    <w:rsid w:val="00F375D9"/>
    <w:rsid w:val="00F4141A"/>
    <w:rsid w:val="00F41B90"/>
    <w:rsid w:val="00F41E62"/>
    <w:rsid w:val="00F4348D"/>
    <w:rsid w:val="00F43BAA"/>
    <w:rsid w:val="00F450BD"/>
    <w:rsid w:val="00F4539F"/>
    <w:rsid w:val="00F45725"/>
    <w:rsid w:val="00F47652"/>
    <w:rsid w:val="00F47B58"/>
    <w:rsid w:val="00F47BED"/>
    <w:rsid w:val="00F53521"/>
    <w:rsid w:val="00F53991"/>
    <w:rsid w:val="00F53B8C"/>
    <w:rsid w:val="00F5477D"/>
    <w:rsid w:val="00F56BD9"/>
    <w:rsid w:val="00F56E9F"/>
    <w:rsid w:val="00F61722"/>
    <w:rsid w:val="00F617C6"/>
    <w:rsid w:val="00F61933"/>
    <w:rsid w:val="00F6208E"/>
    <w:rsid w:val="00F62B6D"/>
    <w:rsid w:val="00F62E69"/>
    <w:rsid w:val="00F64241"/>
    <w:rsid w:val="00F65787"/>
    <w:rsid w:val="00F66A33"/>
    <w:rsid w:val="00F66F7C"/>
    <w:rsid w:val="00F7033E"/>
    <w:rsid w:val="00F70BA5"/>
    <w:rsid w:val="00F716CB"/>
    <w:rsid w:val="00F71818"/>
    <w:rsid w:val="00F71FB8"/>
    <w:rsid w:val="00F72D77"/>
    <w:rsid w:val="00F7373D"/>
    <w:rsid w:val="00F73842"/>
    <w:rsid w:val="00F73ABF"/>
    <w:rsid w:val="00F73B39"/>
    <w:rsid w:val="00F7409C"/>
    <w:rsid w:val="00F74981"/>
    <w:rsid w:val="00F75C04"/>
    <w:rsid w:val="00F7661F"/>
    <w:rsid w:val="00F80B0A"/>
    <w:rsid w:val="00F81F50"/>
    <w:rsid w:val="00F83441"/>
    <w:rsid w:val="00F85A2D"/>
    <w:rsid w:val="00F90692"/>
    <w:rsid w:val="00F90797"/>
    <w:rsid w:val="00F92E19"/>
    <w:rsid w:val="00F937EE"/>
    <w:rsid w:val="00F939E9"/>
    <w:rsid w:val="00F93E1D"/>
    <w:rsid w:val="00F9457D"/>
    <w:rsid w:val="00F95772"/>
    <w:rsid w:val="00F95855"/>
    <w:rsid w:val="00F95A44"/>
    <w:rsid w:val="00FA0846"/>
    <w:rsid w:val="00FA093A"/>
    <w:rsid w:val="00FA24B3"/>
    <w:rsid w:val="00FA2703"/>
    <w:rsid w:val="00FA27ED"/>
    <w:rsid w:val="00FA3768"/>
    <w:rsid w:val="00FA4821"/>
    <w:rsid w:val="00FA5CB6"/>
    <w:rsid w:val="00FA6175"/>
    <w:rsid w:val="00FB0B5C"/>
    <w:rsid w:val="00FB0EEE"/>
    <w:rsid w:val="00FB2CA2"/>
    <w:rsid w:val="00FB334F"/>
    <w:rsid w:val="00FB4289"/>
    <w:rsid w:val="00FB5140"/>
    <w:rsid w:val="00FB758C"/>
    <w:rsid w:val="00FC0149"/>
    <w:rsid w:val="00FC1824"/>
    <w:rsid w:val="00FC20A9"/>
    <w:rsid w:val="00FC2985"/>
    <w:rsid w:val="00FC3F33"/>
    <w:rsid w:val="00FC4C1E"/>
    <w:rsid w:val="00FC60A4"/>
    <w:rsid w:val="00FC7254"/>
    <w:rsid w:val="00FC733A"/>
    <w:rsid w:val="00FD008B"/>
    <w:rsid w:val="00FD0E0E"/>
    <w:rsid w:val="00FD11DB"/>
    <w:rsid w:val="00FD12A2"/>
    <w:rsid w:val="00FD1965"/>
    <w:rsid w:val="00FD21AC"/>
    <w:rsid w:val="00FD23C7"/>
    <w:rsid w:val="00FD41A6"/>
    <w:rsid w:val="00FD424D"/>
    <w:rsid w:val="00FD45D9"/>
    <w:rsid w:val="00FD5803"/>
    <w:rsid w:val="00FD5D4B"/>
    <w:rsid w:val="00FD63EE"/>
    <w:rsid w:val="00FD7032"/>
    <w:rsid w:val="00FD7842"/>
    <w:rsid w:val="00FD7BB1"/>
    <w:rsid w:val="00FD7C94"/>
    <w:rsid w:val="00FE17BB"/>
    <w:rsid w:val="00FE2C95"/>
    <w:rsid w:val="00FE2CE3"/>
    <w:rsid w:val="00FE2CF0"/>
    <w:rsid w:val="00FE6B57"/>
    <w:rsid w:val="00FE7F11"/>
    <w:rsid w:val="00FF20D4"/>
    <w:rsid w:val="00FF2ABE"/>
    <w:rsid w:val="00FF2AF6"/>
    <w:rsid w:val="00FF3F44"/>
    <w:rsid w:val="00FF491C"/>
    <w:rsid w:val="00FF616F"/>
    <w:rsid w:val="00FF6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81AAD67"/>
  <w15:chartTrackingRefBased/>
  <w15:docId w15:val="{5D41DA8C-3A93-4434-A4AB-0DDECA82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F81F50"/>
    <w:pPr>
      <w:numPr>
        <w:numId w:val="1"/>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1"/>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1"/>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0"/>
      </w:numPr>
    </w:pPr>
  </w:style>
  <w:style w:type="paragraph" w:customStyle="1" w:styleId="Section412paragraphs">
    <w:name w:val="Section 4.1.2 paragraphs"/>
    <w:basedOn w:val="NICEnormal"/>
    <w:rsid w:val="00FB5140"/>
    <w:pPr>
      <w:numPr>
        <w:numId w:val="12"/>
      </w:numPr>
    </w:pPr>
  </w:style>
  <w:style w:type="paragraph" w:customStyle="1" w:styleId="Paragraph">
    <w:name w:val="Paragraph"/>
    <w:basedOn w:val="Normal"/>
    <w:uiPriority w:val="4"/>
    <w:qFormat/>
    <w:rsid w:val="004D30A1"/>
    <w:pPr>
      <w:numPr>
        <w:numId w:val="13"/>
      </w:numPr>
      <w:spacing w:before="240" w:after="240" w:line="360" w:lineRule="auto"/>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04149294">
      <w:bodyDiv w:val="1"/>
      <w:marLeft w:val="0"/>
      <w:marRight w:val="0"/>
      <w:marTop w:val="0"/>
      <w:marBottom w:val="0"/>
      <w:divBdr>
        <w:top w:val="none" w:sz="0" w:space="0" w:color="auto"/>
        <w:left w:val="none" w:sz="0" w:space="0" w:color="auto"/>
        <w:bottom w:val="none" w:sz="0" w:space="0" w:color="auto"/>
        <w:right w:val="none" w:sz="0" w:space="0" w:color="auto"/>
      </w:divBdr>
      <w:divsChild>
        <w:div w:id="882593574">
          <w:marLeft w:val="446"/>
          <w:marRight w:val="0"/>
          <w:marTop w:val="0"/>
          <w:marBottom w:val="0"/>
          <w:divBdr>
            <w:top w:val="none" w:sz="0" w:space="0" w:color="auto"/>
            <w:left w:val="none" w:sz="0" w:space="0" w:color="auto"/>
            <w:bottom w:val="none" w:sz="0" w:space="0" w:color="auto"/>
            <w:right w:val="none" w:sz="0" w:space="0" w:color="auto"/>
          </w:divBdr>
        </w:div>
      </w:divsChild>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890963721">
      <w:bodyDiv w:val="1"/>
      <w:marLeft w:val="0"/>
      <w:marRight w:val="0"/>
      <w:marTop w:val="0"/>
      <w:marBottom w:val="0"/>
      <w:divBdr>
        <w:top w:val="none" w:sz="0" w:space="0" w:color="auto"/>
        <w:left w:val="none" w:sz="0" w:space="0" w:color="auto"/>
        <w:bottom w:val="none" w:sz="0" w:space="0" w:color="auto"/>
        <w:right w:val="none" w:sz="0" w:space="0" w:color="auto"/>
      </w:divBdr>
      <w:divsChild>
        <w:div w:id="893472675">
          <w:marLeft w:val="0"/>
          <w:marRight w:val="0"/>
          <w:marTop w:val="0"/>
          <w:marBottom w:val="0"/>
          <w:divBdr>
            <w:top w:val="none" w:sz="0" w:space="0" w:color="auto"/>
            <w:left w:val="none" w:sz="0" w:space="0" w:color="auto"/>
            <w:bottom w:val="none" w:sz="0" w:space="0" w:color="auto"/>
            <w:right w:val="none" w:sz="0" w:space="0" w:color="auto"/>
          </w:divBdr>
          <w:divsChild>
            <w:div w:id="257713543">
              <w:marLeft w:val="0"/>
              <w:marRight w:val="0"/>
              <w:marTop w:val="0"/>
              <w:marBottom w:val="0"/>
              <w:divBdr>
                <w:top w:val="none" w:sz="0" w:space="0" w:color="auto"/>
                <w:left w:val="none" w:sz="0" w:space="0" w:color="auto"/>
                <w:bottom w:val="none" w:sz="0" w:space="0" w:color="auto"/>
                <w:right w:val="none" w:sz="0" w:space="0" w:color="auto"/>
              </w:divBdr>
              <w:divsChild>
                <w:div w:id="149562608">
                  <w:marLeft w:val="0"/>
                  <w:marRight w:val="0"/>
                  <w:marTop w:val="0"/>
                  <w:marBottom w:val="0"/>
                  <w:divBdr>
                    <w:top w:val="none" w:sz="0" w:space="0" w:color="auto"/>
                    <w:left w:val="none" w:sz="0" w:space="0" w:color="auto"/>
                    <w:bottom w:val="none" w:sz="0" w:space="0" w:color="auto"/>
                    <w:right w:val="none" w:sz="0" w:space="0" w:color="auto"/>
                  </w:divBdr>
                </w:div>
                <w:div w:id="344400428">
                  <w:marLeft w:val="0"/>
                  <w:marRight w:val="0"/>
                  <w:marTop w:val="0"/>
                  <w:marBottom w:val="0"/>
                  <w:divBdr>
                    <w:top w:val="none" w:sz="0" w:space="0" w:color="auto"/>
                    <w:left w:val="none" w:sz="0" w:space="0" w:color="auto"/>
                    <w:bottom w:val="none" w:sz="0" w:space="0" w:color="auto"/>
                    <w:right w:val="none" w:sz="0" w:space="0" w:color="auto"/>
                  </w:divBdr>
                  <w:divsChild>
                    <w:div w:id="1499147821">
                      <w:marLeft w:val="0"/>
                      <w:marRight w:val="0"/>
                      <w:marTop w:val="0"/>
                      <w:marBottom w:val="0"/>
                      <w:divBdr>
                        <w:top w:val="none" w:sz="0" w:space="0" w:color="auto"/>
                        <w:left w:val="none" w:sz="0" w:space="0" w:color="auto"/>
                        <w:bottom w:val="none" w:sz="0" w:space="0" w:color="auto"/>
                        <w:right w:val="none" w:sz="0" w:space="0" w:color="auto"/>
                      </w:divBdr>
                      <w:divsChild>
                        <w:div w:id="814107992">
                          <w:marLeft w:val="0"/>
                          <w:marRight w:val="0"/>
                          <w:marTop w:val="0"/>
                          <w:marBottom w:val="0"/>
                          <w:divBdr>
                            <w:top w:val="none" w:sz="0" w:space="0" w:color="auto"/>
                            <w:left w:val="none" w:sz="0" w:space="0" w:color="auto"/>
                            <w:bottom w:val="none" w:sz="0" w:space="0" w:color="auto"/>
                            <w:right w:val="none" w:sz="0" w:space="0" w:color="auto"/>
                          </w:divBdr>
                          <w:divsChild>
                            <w:div w:id="1606112900">
                              <w:marLeft w:val="0"/>
                              <w:marRight w:val="0"/>
                              <w:marTop w:val="0"/>
                              <w:marBottom w:val="0"/>
                              <w:divBdr>
                                <w:top w:val="none" w:sz="0" w:space="0" w:color="auto"/>
                                <w:left w:val="none" w:sz="0" w:space="0" w:color="auto"/>
                                <w:bottom w:val="none" w:sz="0" w:space="0" w:color="auto"/>
                                <w:right w:val="none" w:sz="0" w:space="0" w:color="auto"/>
                              </w:divBdr>
                              <w:divsChild>
                                <w:div w:id="1006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43350">
              <w:marLeft w:val="0"/>
              <w:marRight w:val="0"/>
              <w:marTop w:val="0"/>
              <w:marBottom w:val="0"/>
              <w:divBdr>
                <w:top w:val="none" w:sz="0" w:space="0" w:color="auto"/>
                <w:left w:val="none" w:sz="0" w:space="0" w:color="auto"/>
                <w:bottom w:val="none" w:sz="0" w:space="0" w:color="auto"/>
                <w:right w:val="none" w:sz="0" w:space="0" w:color="auto"/>
              </w:divBdr>
            </w:div>
            <w:div w:id="1036198255">
              <w:marLeft w:val="0"/>
              <w:marRight w:val="0"/>
              <w:marTop w:val="0"/>
              <w:marBottom w:val="0"/>
              <w:divBdr>
                <w:top w:val="none" w:sz="0" w:space="0" w:color="auto"/>
                <w:left w:val="none" w:sz="0" w:space="0" w:color="auto"/>
                <w:bottom w:val="none" w:sz="0" w:space="0" w:color="auto"/>
                <w:right w:val="none" w:sz="0" w:space="0" w:color="auto"/>
              </w:divBdr>
              <w:divsChild>
                <w:div w:id="256789037">
                  <w:marLeft w:val="0"/>
                  <w:marRight w:val="0"/>
                  <w:marTop w:val="0"/>
                  <w:marBottom w:val="0"/>
                  <w:divBdr>
                    <w:top w:val="none" w:sz="0" w:space="0" w:color="auto"/>
                    <w:left w:val="none" w:sz="0" w:space="0" w:color="auto"/>
                    <w:bottom w:val="none" w:sz="0" w:space="0" w:color="auto"/>
                    <w:right w:val="none" w:sz="0" w:space="0" w:color="auto"/>
                  </w:divBdr>
                  <w:divsChild>
                    <w:div w:id="1416245061">
                      <w:marLeft w:val="0"/>
                      <w:marRight w:val="0"/>
                      <w:marTop w:val="0"/>
                      <w:marBottom w:val="0"/>
                      <w:divBdr>
                        <w:top w:val="none" w:sz="0" w:space="0" w:color="auto"/>
                        <w:left w:val="none" w:sz="0" w:space="0" w:color="auto"/>
                        <w:bottom w:val="none" w:sz="0" w:space="0" w:color="auto"/>
                        <w:right w:val="none" w:sz="0" w:space="0" w:color="auto"/>
                      </w:divBdr>
                      <w:divsChild>
                        <w:div w:id="14142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304386306">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430/documents" TargetMode="External"/><Relationship Id="rId13" Type="http://schemas.openxmlformats.org/officeDocument/2006/relationships/hyperlink" Target="https://www.nice.org.uk/process/pmg9/chapter/the-reference-cas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13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430/documents"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C-Members" TargetMode="External"/><Relationship Id="rId10" Type="http://schemas.openxmlformats.org/officeDocument/2006/relationships/hyperlink" Target="https://www.medicines.org.uk/emc/product/11017/smp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ta10430/documents" TargetMode="External"/><Relationship Id="rId14" Type="http://schemas.openxmlformats.org/officeDocument/2006/relationships/hyperlink" Target="https://www.nice.org.uk/process/pmg9/chapter/the-appraisal-of-the-evidence-and-structured-decision-mak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18</Pages>
  <Words>4350</Words>
  <Characters>24430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28723</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Alan Moore</dc:creator>
  <cp:keywords/>
  <dc:description/>
  <cp:lastModifiedBy>Tomas Keating</cp:lastModifiedBy>
  <cp:revision>7</cp:revision>
  <cp:lastPrinted>2012-11-14T14:34:00Z</cp:lastPrinted>
  <dcterms:created xsi:type="dcterms:W3CDTF">2021-03-24T08:45:00Z</dcterms:created>
  <dcterms:modified xsi:type="dcterms:W3CDTF">2021-03-24T12:31:00Z</dcterms:modified>
</cp:coreProperties>
</file>