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A98" w14:textId="6EAF87A4" w:rsidR="000F48EC" w:rsidRPr="000F48EC" w:rsidRDefault="000F48EC" w:rsidP="00037CF4">
      <w:pPr>
        <w:pStyle w:val="Title2"/>
      </w:pPr>
      <w:r w:rsidRPr="000F48EC">
        <w:t>NATIONAL INSTITUTE FOR HEALTH AND C</w:t>
      </w:r>
      <w:r w:rsidR="00CC63EB">
        <w:t>ARE</w:t>
      </w:r>
      <w:r w:rsidRPr="000F48EC">
        <w:t xml:space="preserve"> EXCELLENCE</w:t>
      </w:r>
    </w:p>
    <w:p w14:paraId="592A2E90" w14:textId="3AD12C7D" w:rsidR="000F48EC" w:rsidRPr="000F48EC" w:rsidRDefault="007A2801" w:rsidP="000069F9">
      <w:pPr>
        <w:pStyle w:val="Title2"/>
      </w:pPr>
      <w:r>
        <w:t>Appraisal consultation document</w:t>
      </w:r>
    </w:p>
    <w:p w14:paraId="0A58E537" w14:textId="3C4C95E9" w:rsidR="00C7539F" w:rsidRDefault="004D6271" w:rsidP="004D6271">
      <w:pPr>
        <w:pStyle w:val="Title1"/>
      </w:pPr>
      <w:r w:rsidRPr="004D6271">
        <w:t xml:space="preserve">Niraparib for maintenance treatment of relapsed, platinum-sensitive ovarian, fallopian tube and peritoneal cancer </w:t>
      </w:r>
    </w:p>
    <w:p w14:paraId="1C2B2168" w14:textId="77777777" w:rsidR="00C7539F" w:rsidRDefault="00C7539F">
      <w:pPr>
        <w:rPr>
          <w:rFonts w:ascii="Arial" w:hAnsi="Arial"/>
          <w:highlight w:val="darkGray"/>
        </w:rPr>
      </w:pPr>
      <w:r>
        <w:rPr>
          <w:highlight w:val="darkGray"/>
        </w:rPr>
        <w:br w:type="page"/>
      </w:r>
    </w:p>
    <w:p w14:paraId="3DAD44AF" w14:textId="3499C5C5" w:rsidR="000F48EC" w:rsidRDefault="00B379C5" w:rsidP="00F130AD">
      <w:pPr>
        <w:pStyle w:val="Numberedheading1"/>
      </w:pPr>
      <w:r>
        <w:lastRenderedPageBreak/>
        <w:t>Recommendations</w:t>
      </w:r>
    </w:p>
    <w:p w14:paraId="0191776B" w14:textId="20286594" w:rsidR="00771881" w:rsidRPr="001C6E2B" w:rsidRDefault="00484AFB" w:rsidP="00484AFB">
      <w:pPr>
        <w:pStyle w:val="Numberedlevel2text"/>
        <w:numPr>
          <w:ilvl w:val="1"/>
          <w:numId w:val="1"/>
        </w:numPr>
      </w:pPr>
      <w:r w:rsidRPr="004C1A3F">
        <w:t>Niraparib is recommended as an option for treating relapsed, platinum-sensitive high-grade serous epithelial ovarian, fallopian tube or primary peritoneal cancer in adults</w:t>
      </w:r>
      <w:r w:rsidR="00771881">
        <w:rPr>
          <w:lang w:val="en-GB"/>
        </w:rPr>
        <w:t>. It is recommended</w:t>
      </w:r>
      <w:r w:rsidRPr="004C1A3F">
        <w:t xml:space="preserve"> only if</w:t>
      </w:r>
      <w:r w:rsidR="00771881">
        <w:rPr>
          <w:lang w:val="en-GB"/>
        </w:rPr>
        <w:t>:</w:t>
      </w:r>
    </w:p>
    <w:p w14:paraId="7369193B" w14:textId="0F89ADA7" w:rsidR="00B05A34" w:rsidRDefault="00484AFB" w:rsidP="00771881">
      <w:pPr>
        <w:pStyle w:val="Bulletindent1"/>
      </w:pPr>
      <w:r w:rsidRPr="004C1A3F">
        <w:t xml:space="preserve">they have a BRCA mutation and </w:t>
      </w:r>
    </w:p>
    <w:p w14:paraId="0C65C00F" w14:textId="6F5A6166" w:rsidR="00771881" w:rsidRDefault="00484AFB" w:rsidP="00771881">
      <w:pPr>
        <w:pStyle w:val="Bulletindent1"/>
      </w:pPr>
      <w:r w:rsidRPr="004C1A3F">
        <w:t>have had 2</w:t>
      </w:r>
      <w:r w:rsidR="00EC44BC">
        <w:t> </w:t>
      </w:r>
      <w:r w:rsidRPr="004C1A3F">
        <w:t>courses of platinum-based chemotherapy</w:t>
      </w:r>
      <w:r w:rsidR="00771881">
        <w:t xml:space="preserve"> and</w:t>
      </w:r>
      <w:r w:rsidR="00B05A34">
        <w:t xml:space="preserve"> their disease has responded to the most recent one and</w:t>
      </w:r>
    </w:p>
    <w:p w14:paraId="0DE50434" w14:textId="24E1FAF8" w:rsidR="00484AFB" w:rsidRDefault="00484AFB" w:rsidP="00F05C6E">
      <w:pPr>
        <w:pStyle w:val="Bulletindent1last"/>
      </w:pPr>
      <w:r>
        <w:t>the company provides it according to the</w:t>
      </w:r>
      <w:r>
        <w:rPr>
          <w:lang w:val="en-US"/>
        </w:rPr>
        <w:t xml:space="preserve"> </w:t>
      </w:r>
      <w:r w:rsidRPr="004C1A3F">
        <w:t>commercial arrangement</w:t>
      </w:r>
      <w:r w:rsidRPr="00293CA2">
        <w:t>.</w:t>
      </w:r>
    </w:p>
    <w:p w14:paraId="75EAC779" w14:textId="77777777" w:rsidR="00484AFB" w:rsidRDefault="00484AFB" w:rsidP="00484AFB">
      <w:pPr>
        <w:pStyle w:val="Numberedlevel2text"/>
        <w:numPr>
          <w:ilvl w:val="1"/>
          <w:numId w:val="1"/>
        </w:numPr>
      </w:pPr>
      <w:r w:rsidRPr="008B4290">
        <w:t xml:space="preserve">This recommendation is not intended to affect treatment with </w:t>
      </w:r>
      <w:r>
        <w:rPr>
          <w:lang w:val="en-GB"/>
        </w:rPr>
        <w:t>niraparib</w:t>
      </w:r>
      <w:r w:rsidRPr="008B4290">
        <w:t xml:space="preserve"> that was </w:t>
      </w:r>
      <w:r>
        <w:rPr>
          <w:lang w:val="en-GB"/>
        </w:rPr>
        <w:t>funded by</w:t>
      </w:r>
      <w:r w:rsidRPr="008B4290">
        <w:t xml:space="preserve"> the Cancer Drugs Fund before </w:t>
      </w:r>
      <w:r>
        <w:t xml:space="preserve">final </w:t>
      </w:r>
      <w:r w:rsidRPr="008B4290">
        <w:t xml:space="preserve">guidance was published. </w:t>
      </w:r>
      <w:r>
        <w:rPr>
          <w:lang w:val="en-GB"/>
        </w:rPr>
        <w:t>If this applies</w:t>
      </w:r>
      <w:r w:rsidRPr="008B4290">
        <w:t xml:space="preserve">, </w:t>
      </w:r>
      <w:r>
        <w:rPr>
          <w:lang w:val="en-GB"/>
        </w:rPr>
        <w:t>when that funding ends niraparib</w:t>
      </w:r>
      <w:r w:rsidRPr="008B4290">
        <w:t xml:space="preserve"> will be funded by the company until the</w:t>
      </w:r>
      <w:r>
        <w:rPr>
          <w:lang w:val="en-GB"/>
        </w:rPr>
        <w:t xml:space="preserve"> patient</w:t>
      </w:r>
      <w:r w:rsidRPr="008B4290">
        <w:t xml:space="preserve"> and their NHS clinician consider it appropriate to stop.</w:t>
      </w:r>
    </w:p>
    <w:p w14:paraId="4AF355EE" w14:textId="77777777" w:rsidR="00484AFB" w:rsidRPr="008522C6" w:rsidRDefault="00484AFB" w:rsidP="00484AFB">
      <w:pPr>
        <w:pStyle w:val="NICEnormal"/>
        <w:rPr>
          <w:b/>
        </w:rPr>
      </w:pPr>
      <w:r w:rsidRPr="008522C6">
        <w:rPr>
          <w:b/>
        </w:rPr>
        <w:t>Why the committee made these recommendations</w:t>
      </w:r>
    </w:p>
    <w:p w14:paraId="743477BB" w14:textId="688DABE8" w:rsidR="00484AFB" w:rsidRDefault="00484AFB" w:rsidP="00692B48">
      <w:pPr>
        <w:pStyle w:val="NICEnormal"/>
      </w:pPr>
      <w:r>
        <w:t xml:space="preserve">This appraisal reviews the additional evidence collected as part of the Cancer Drugs Fund managed access agreement for niraparib for </w:t>
      </w:r>
      <w:r w:rsidRPr="00037CF4">
        <w:rPr>
          <w:rStyle w:val="Numberedlevel2textChar"/>
          <w:bCs w:val="0"/>
          <w:iCs w:val="0"/>
        </w:rPr>
        <w:t xml:space="preserve">maintenance treatment of relapsed, platinum-sensitive ovarian, fallopian tube and peritoneal cancer </w:t>
      </w:r>
      <w:r w:rsidRPr="00080061">
        <w:t>(</w:t>
      </w:r>
      <w:hyperlink r:id="rId8" w:history="1">
        <w:r w:rsidRPr="00037CF4">
          <w:rPr>
            <w:rStyle w:val="Hyperlink"/>
          </w:rPr>
          <w:t>NICE technology appraisal guidance 528</w:t>
        </w:r>
      </w:hyperlink>
      <w:r>
        <w:t>)</w:t>
      </w:r>
      <w:r w:rsidR="005A45BF">
        <w:t>.</w:t>
      </w:r>
    </w:p>
    <w:p w14:paraId="4DAD92AC" w14:textId="5A5B0343" w:rsidR="00BA4035" w:rsidRDefault="0031677F" w:rsidP="00692B48">
      <w:pPr>
        <w:pStyle w:val="NICEnormal"/>
      </w:pPr>
      <w:r>
        <w:t xml:space="preserve">Niraparib </w:t>
      </w:r>
      <w:r w:rsidRPr="00BA4035">
        <w:t>improves how long people</w:t>
      </w:r>
      <w:r w:rsidRPr="0049285D">
        <w:t xml:space="preserve"> </w:t>
      </w:r>
      <w:r>
        <w:t>with a BRCA mutation</w:t>
      </w:r>
      <w:r w:rsidRPr="00BA4035">
        <w:t xml:space="preserve"> </w:t>
      </w:r>
      <w:r>
        <w:t>live before their</w:t>
      </w:r>
      <w:r w:rsidRPr="00BA4035">
        <w:t xml:space="preserve"> disease progresses</w:t>
      </w:r>
      <w:r>
        <w:t xml:space="preserve"> and n</w:t>
      </w:r>
      <w:r w:rsidR="0049285D">
        <w:t xml:space="preserve">ew </w:t>
      </w:r>
      <w:r w:rsidR="006E6181">
        <w:t xml:space="preserve">evidence </w:t>
      </w:r>
      <w:r w:rsidR="00EC44BC">
        <w:t xml:space="preserve">suggests </w:t>
      </w:r>
      <w:r w:rsidR="000344A3">
        <w:t xml:space="preserve">it </w:t>
      </w:r>
      <w:r>
        <w:t>may</w:t>
      </w:r>
      <w:r w:rsidR="00252961">
        <w:t xml:space="preserve"> </w:t>
      </w:r>
      <w:r>
        <w:t xml:space="preserve">also extend </w:t>
      </w:r>
      <w:r w:rsidR="00BA4035">
        <w:t xml:space="preserve">how long </w:t>
      </w:r>
      <w:r w:rsidR="000344A3">
        <w:t xml:space="preserve">these </w:t>
      </w:r>
      <w:r w:rsidR="00BA4035">
        <w:t xml:space="preserve">people </w:t>
      </w:r>
      <w:r w:rsidR="00252961">
        <w:t>live</w:t>
      </w:r>
      <w:r w:rsidR="00A119B7">
        <w:t>.</w:t>
      </w:r>
    </w:p>
    <w:p w14:paraId="0D140A96" w14:textId="709909F0" w:rsidR="00252961" w:rsidRDefault="00252961" w:rsidP="00692B48">
      <w:pPr>
        <w:pStyle w:val="NICEnormal"/>
      </w:pPr>
      <w:r w:rsidRPr="00252961">
        <w:t xml:space="preserve">Cost-effectiveness estimates for </w:t>
      </w:r>
      <w:r w:rsidR="00165F1A">
        <w:t>niraparib in this po</w:t>
      </w:r>
      <w:r w:rsidR="0031677F">
        <w:t>p</w:t>
      </w:r>
      <w:r w:rsidR="00165F1A">
        <w:t>ulation</w:t>
      </w:r>
      <w:r>
        <w:t xml:space="preserve"> </w:t>
      </w:r>
      <w:r w:rsidRPr="00252961">
        <w:t xml:space="preserve">are in the range usually considered a </w:t>
      </w:r>
      <w:r w:rsidR="007C2A15">
        <w:t>cost-effective</w:t>
      </w:r>
      <w:r w:rsidR="007C2A15" w:rsidRPr="00252961">
        <w:t xml:space="preserve"> </w:t>
      </w:r>
      <w:r w:rsidRPr="00252961">
        <w:t xml:space="preserve">use of NHS resources. Therefore, </w:t>
      </w:r>
      <w:r>
        <w:t>niraparib</w:t>
      </w:r>
      <w:r w:rsidRPr="00252961">
        <w:t xml:space="preserve"> is recommende</w:t>
      </w:r>
      <w:r w:rsidR="00300C8A">
        <w:t xml:space="preserve">d for </w:t>
      </w:r>
      <w:r w:rsidR="00A119B7">
        <w:t>people with a BRCA mutation</w:t>
      </w:r>
      <w:r w:rsidR="0031677F">
        <w:t xml:space="preserve"> who</w:t>
      </w:r>
      <w:r w:rsidR="000344A3">
        <w:t>se disease has</w:t>
      </w:r>
      <w:r w:rsidR="0031677F">
        <w:t xml:space="preserve"> responded to </w:t>
      </w:r>
      <w:r w:rsidR="0031677F" w:rsidRPr="004C1A3F">
        <w:t>2 courses of platinum-based chemotherapy</w:t>
      </w:r>
      <w:r w:rsidR="00300C8A">
        <w:t>.</w:t>
      </w:r>
    </w:p>
    <w:p w14:paraId="07B583A0" w14:textId="44E8178E" w:rsidR="00A119B7" w:rsidRDefault="0031677F" w:rsidP="00A119B7">
      <w:pPr>
        <w:pStyle w:val="NICEnormal"/>
      </w:pPr>
      <w:r>
        <w:t xml:space="preserve">Although niraparib also </w:t>
      </w:r>
      <w:r w:rsidRPr="00BA4035">
        <w:t>improves how long people</w:t>
      </w:r>
      <w:r w:rsidRPr="0049285D">
        <w:t xml:space="preserve"> </w:t>
      </w:r>
      <w:r>
        <w:t>without a BRCA mutation</w:t>
      </w:r>
      <w:r w:rsidRPr="00BA4035">
        <w:t xml:space="preserve"> </w:t>
      </w:r>
      <w:r>
        <w:t>live before their</w:t>
      </w:r>
      <w:r w:rsidRPr="00BA4035">
        <w:t xml:space="preserve"> disease progresses</w:t>
      </w:r>
      <w:r>
        <w:t xml:space="preserve">, </w:t>
      </w:r>
      <w:r w:rsidR="00AE3406">
        <w:t xml:space="preserve">it </w:t>
      </w:r>
      <w:r w:rsidR="00442437">
        <w:t>is uncertain</w:t>
      </w:r>
      <w:r w:rsidR="00AE3406">
        <w:t xml:space="preserve"> </w:t>
      </w:r>
      <w:r w:rsidR="00A119B7">
        <w:t xml:space="preserve">if niraparib </w:t>
      </w:r>
      <w:r w:rsidR="000344A3">
        <w:t>increases how long people live</w:t>
      </w:r>
      <w:r w:rsidR="00A119B7">
        <w:t xml:space="preserve"> </w:t>
      </w:r>
      <w:r w:rsidR="00AE3406">
        <w:t xml:space="preserve">in this population. </w:t>
      </w:r>
      <w:r w:rsidR="000344A3">
        <w:t xml:space="preserve">Because </w:t>
      </w:r>
      <w:r w:rsidR="00462867">
        <w:t xml:space="preserve">it is uncertain if people without a BRCA mutation live </w:t>
      </w:r>
      <w:r w:rsidR="00A119B7">
        <w:lastRenderedPageBreak/>
        <w:t>longer than 3</w:t>
      </w:r>
      <w:r w:rsidR="00AD073C">
        <w:t> </w:t>
      </w:r>
      <w:r w:rsidR="00A119B7">
        <w:t>months,</w:t>
      </w:r>
      <w:r w:rsidR="00B61081">
        <w:t xml:space="preserve"> </w:t>
      </w:r>
      <w:r w:rsidR="00A119B7">
        <w:t xml:space="preserve">niraparib </w:t>
      </w:r>
      <w:r w:rsidR="00AD073C">
        <w:t xml:space="preserve">does not meet </w:t>
      </w:r>
      <w:r w:rsidR="00165F1A">
        <w:t>NICE’s</w:t>
      </w:r>
      <w:r w:rsidR="00AD073C">
        <w:t xml:space="preserve"> criteria </w:t>
      </w:r>
      <w:r w:rsidR="00165F1A">
        <w:t>for</w:t>
      </w:r>
      <w:r w:rsidR="00AD073C">
        <w:t xml:space="preserve"> a life-extending treatment</w:t>
      </w:r>
      <w:r w:rsidR="00165F1A">
        <w:t xml:space="preserve"> at the end of life</w:t>
      </w:r>
      <w:r w:rsidR="00AD073C">
        <w:t>.</w:t>
      </w:r>
    </w:p>
    <w:p w14:paraId="22A02F06" w14:textId="58D11064" w:rsidR="00A119B7" w:rsidRDefault="00A119B7" w:rsidP="00A119B7">
      <w:pPr>
        <w:pStyle w:val="NICEnormal"/>
      </w:pPr>
      <w:r>
        <w:t xml:space="preserve">Cost-effectiveness estimates </w:t>
      </w:r>
      <w:r w:rsidRPr="00300C8A">
        <w:t xml:space="preserve">for people without </w:t>
      </w:r>
      <w:r>
        <w:t xml:space="preserve">a </w:t>
      </w:r>
      <w:r w:rsidRPr="00300C8A">
        <w:t>BRCA mutation</w:t>
      </w:r>
      <w:r>
        <w:t xml:space="preserve"> </w:t>
      </w:r>
      <w:r w:rsidR="00AD073C">
        <w:t>are</w:t>
      </w:r>
      <w:r>
        <w:t xml:space="preserve"> highly uncertain and </w:t>
      </w:r>
      <w:r w:rsidR="00165F1A">
        <w:t>are higher than what NICE considers cost effective</w:t>
      </w:r>
      <w:r>
        <w:t xml:space="preserve">. </w:t>
      </w:r>
      <w:r w:rsidR="00165F1A">
        <w:t>So</w:t>
      </w:r>
      <w:r>
        <w:t>, niraparib is not recommended for people without a BRCA mutation.</w:t>
      </w:r>
    </w:p>
    <w:p w14:paraId="4EDEB06F" w14:textId="77777777" w:rsidR="00484AFB" w:rsidRDefault="00484AFB" w:rsidP="00484AFB">
      <w:pPr>
        <w:pStyle w:val="Numberedheading1"/>
        <w:keepLines/>
        <w:numPr>
          <w:ilvl w:val="0"/>
          <w:numId w:val="1"/>
        </w:numPr>
      </w:pPr>
      <w:r>
        <w:t>Information about niraparib</w:t>
      </w:r>
    </w:p>
    <w:p w14:paraId="50236FFC" w14:textId="77777777" w:rsidR="00484AFB" w:rsidRDefault="00484AFB" w:rsidP="00484AFB">
      <w:pPr>
        <w:pStyle w:val="Heading2"/>
      </w:pPr>
      <w:r w:rsidRPr="00A76391">
        <w:t>Marketing authorisation indication</w:t>
      </w:r>
    </w:p>
    <w:p w14:paraId="7A8BF255" w14:textId="77777777" w:rsidR="00484AFB" w:rsidRPr="00B84674" w:rsidRDefault="00484AFB" w:rsidP="00484AFB">
      <w:pPr>
        <w:pStyle w:val="Numberedlevel2text"/>
        <w:numPr>
          <w:ilvl w:val="1"/>
          <w:numId w:val="1"/>
        </w:numPr>
      </w:pPr>
      <w:r>
        <w:t>Niraparib (</w:t>
      </w:r>
      <w:proofErr w:type="spellStart"/>
      <w:r>
        <w:t>Zejula</w:t>
      </w:r>
      <w:proofErr w:type="spellEnd"/>
      <w:r>
        <w:t xml:space="preserve">, </w:t>
      </w:r>
      <w:r>
        <w:rPr>
          <w:lang w:val="en-GB"/>
        </w:rPr>
        <w:t>GSK</w:t>
      </w:r>
      <w:r>
        <w:t>) has a marketing authorisation for ‘the maintenance treatment of adult patients with platinum-sensitive relapsed high grade serous epithelial ovarian, fallopian tube, or primary peritoneal cancer who are in response (complete or partial) to platinum-based chemotherapy’.</w:t>
      </w:r>
    </w:p>
    <w:p w14:paraId="65DC9446" w14:textId="77777777" w:rsidR="00484AFB" w:rsidRDefault="00484AFB" w:rsidP="00484AFB">
      <w:pPr>
        <w:pStyle w:val="Heading2"/>
      </w:pPr>
      <w:r>
        <w:t>Dosage in the marketing authorisation</w:t>
      </w:r>
    </w:p>
    <w:p w14:paraId="5A3122C3" w14:textId="1840D587" w:rsidR="00484AFB" w:rsidRPr="00570524" w:rsidRDefault="00484AFB" w:rsidP="00484AFB">
      <w:pPr>
        <w:pStyle w:val="Numberedlevel2text"/>
        <w:numPr>
          <w:ilvl w:val="1"/>
          <w:numId w:val="1"/>
        </w:numPr>
        <w:rPr>
          <w:rStyle w:val="Numberedlevel2textChar"/>
        </w:rPr>
      </w:pPr>
      <w:r w:rsidRPr="00570524">
        <w:t xml:space="preserve">The dosage schedule is available in </w:t>
      </w:r>
      <w:r>
        <w:t xml:space="preserve">the </w:t>
      </w:r>
      <w:hyperlink r:id="rId9" w:history="1">
        <w:r w:rsidR="00A36EE3" w:rsidRPr="00A36EE3">
          <w:rPr>
            <w:rStyle w:val="Hyperlink"/>
          </w:rPr>
          <w:t>summary of product characteristics</w:t>
        </w:r>
      </w:hyperlink>
      <w:r w:rsidR="00A36EE3">
        <w:rPr>
          <w:lang w:val="en-GB"/>
        </w:rPr>
        <w:t>.</w:t>
      </w:r>
    </w:p>
    <w:p w14:paraId="2A0F6ACF" w14:textId="77777777" w:rsidR="00484AFB" w:rsidRDefault="00484AFB" w:rsidP="00484AFB">
      <w:pPr>
        <w:pStyle w:val="Heading2"/>
      </w:pPr>
      <w:r>
        <w:t>Price</w:t>
      </w:r>
    </w:p>
    <w:p w14:paraId="2C81441E" w14:textId="76A7EC05" w:rsidR="00484AFB" w:rsidRDefault="00A36EE3" w:rsidP="00484AFB">
      <w:pPr>
        <w:pStyle w:val="Numberedlevel2text"/>
        <w:numPr>
          <w:ilvl w:val="1"/>
          <w:numId w:val="1"/>
        </w:numPr>
      </w:pPr>
      <w:r>
        <w:rPr>
          <w:lang w:val="en-GB"/>
        </w:rPr>
        <w:t xml:space="preserve">The list price for niraparib is </w:t>
      </w:r>
      <w:r w:rsidR="00484AFB" w:rsidRPr="003D5EF2">
        <w:t>£4,500 for a 58</w:t>
      </w:r>
      <w:r>
        <w:rPr>
          <w:lang w:val="en-GB"/>
        </w:rPr>
        <w:t>-</w:t>
      </w:r>
      <w:r w:rsidR="00484AFB" w:rsidRPr="003D5EF2">
        <w:t>capsule pack of 100</w:t>
      </w:r>
      <w:r>
        <w:rPr>
          <w:lang w:val="en-GB"/>
        </w:rPr>
        <w:t> </w:t>
      </w:r>
      <w:r w:rsidR="00484AFB" w:rsidRPr="003D5EF2">
        <w:t>mg capsules; £6,750 for an 84</w:t>
      </w:r>
      <w:r>
        <w:rPr>
          <w:lang w:val="en-GB"/>
        </w:rPr>
        <w:t>-</w:t>
      </w:r>
      <w:r w:rsidR="00484AFB" w:rsidRPr="003D5EF2">
        <w:t>capsule pack of 100</w:t>
      </w:r>
      <w:r>
        <w:rPr>
          <w:lang w:val="en-GB"/>
        </w:rPr>
        <w:t> </w:t>
      </w:r>
      <w:r w:rsidR="00484AFB" w:rsidRPr="003D5EF2">
        <w:t>mg capsules (excluding VAT; British national formulary online, accessed</w:t>
      </w:r>
      <w:r w:rsidR="00484AFB">
        <w:rPr>
          <w:lang w:val="en-GB"/>
        </w:rPr>
        <w:t xml:space="preserve"> August 2021</w:t>
      </w:r>
      <w:r w:rsidR="00484AFB" w:rsidRPr="003D5EF2">
        <w:t>)</w:t>
      </w:r>
    </w:p>
    <w:p w14:paraId="761F0039" w14:textId="7B3A4213" w:rsidR="00484AFB" w:rsidRDefault="00484AFB" w:rsidP="00484AFB">
      <w:pPr>
        <w:pStyle w:val="Numberedlevel2text"/>
        <w:numPr>
          <w:ilvl w:val="1"/>
          <w:numId w:val="1"/>
        </w:numPr>
        <w:rPr>
          <w:lang w:val="en-GB"/>
        </w:rPr>
      </w:pPr>
      <w:r w:rsidRPr="00293CA2">
        <w:rPr>
          <w:lang w:val="en-GB"/>
        </w:rPr>
        <w:t xml:space="preserve">The company has a commercial arrangement (simple discount patient access scheme). This makes </w:t>
      </w:r>
      <w:r>
        <w:rPr>
          <w:lang w:val="en-GB"/>
        </w:rPr>
        <w:t xml:space="preserve">niraparib </w:t>
      </w:r>
      <w:r w:rsidRPr="00293CA2">
        <w:rPr>
          <w:lang w:val="en-GB"/>
        </w:rPr>
        <w:t>available to the NHS with a discount. The size of the discount is commercial in confidence. It is the company’s responsibility to let relevant NHS organisations know details of the discount.</w:t>
      </w:r>
    </w:p>
    <w:p w14:paraId="4C2CFCCC" w14:textId="77777777" w:rsidR="00876212" w:rsidRDefault="00876212" w:rsidP="00876212">
      <w:pPr>
        <w:pStyle w:val="Numberedheading1"/>
        <w:numPr>
          <w:ilvl w:val="0"/>
          <w:numId w:val="1"/>
        </w:numPr>
      </w:pPr>
      <w:r w:rsidRPr="000F48EC">
        <w:lastRenderedPageBreak/>
        <w:t>Co</w:t>
      </w:r>
      <w:r>
        <w:t>mmittee discussion</w:t>
      </w:r>
    </w:p>
    <w:p w14:paraId="74EAED61" w14:textId="5F8C8A34" w:rsidR="00876212" w:rsidRPr="00C63D4E" w:rsidRDefault="00876212" w:rsidP="00876212">
      <w:pPr>
        <w:pStyle w:val="NICEnormal"/>
      </w:pPr>
      <w:r w:rsidRPr="007D7F83">
        <w:t xml:space="preserve">The </w:t>
      </w:r>
      <w:hyperlink w:anchor="_Appraisal_committee_members" w:history="1">
        <w:r w:rsidRPr="00866CC6">
          <w:rPr>
            <w:rStyle w:val="Hyperlink"/>
          </w:rPr>
          <w:t>appraisal committee</w:t>
        </w:r>
      </w:hyperlink>
      <w:r w:rsidRPr="007D7F83">
        <w:t xml:space="preserve"> considered evidence submitted by</w:t>
      </w:r>
      <w:r>
        <w:t xml:space="preserve"> GSK,</w:t>
      </w:r>
      <w:r w:rsidRPr="00981B9F">
        <w:t xml:space="preserve"> </w:t>
      </w:r>
      <w:r w:rsidRPr="007D7F83">
        <w:t xml:space="preserve">a review of this submission by the </w:t>
      </w:r>
      <w:r>
        <w:t>e</w:t>
      </w:r>
      <w:r w:rsidRPr="007D7F83">
        <w:t xml:space="preserve">vidence </w:t>
      </w:r>
      <w:r>
        <w:t>r</w:t>
      </w:r>
      <w:r w:rsidRPr="007D7F83">
        <w:t xml:space="preserve">eview </w:t>
      </w:r>
      <w:r>
        <w:t>g</w:t>
      </w:r>
      <w:r w:rsidRPr="007D7F83">
        <w:t>roup (ERG)</w:t>
      </w:r>
      <w:r>
        <w:t>, and responses from stakeholders</w:t>
      </w:r>
      <w:r w:rsidRPr="007D7F83">
        <w:t>.</w:t>
      </w:r>
      <w:r>
        <w:t xml:space="preserve"> See the </w:t>
      </w:r>
      <w:hyperlink r:id="rId10" w:history="1">
        <w:r>
          <w:rPr>
            <w:rStyle w:val="Hyperlink"/>
          </w:rPr>
          <w:t>committee papers</w:t>
        </w:r>
      </w:hyperlink>
      <w:r>
        <w:t xml:space="preserve"> for full details of the evidence</w:t>
      </w:r>
      <w:r w:rsidRPr="000F2D8A">
        <w:t>.</w:t>
      </w:r>
    </w:p>
    <w:p w14:paraId="73A1A92E" w14:textId="22F2DFF1" w:rsidR="00876212" w:rsidRDefault="00876212" w:rsidP="00876212">
      <w:pPr>
        <w:pStyle w:val="NICEnormal"/>
        <w:rPr>
          <w:highlight w:val="yellow"/>
        </w:rPr>
      </w:pPr>
      <w:r w:rsidRPr="00293CA2">
        <w:t>The appraisal committee was aware that it had not been possible to resolve some key issues during the technical engagement stage</w:t>
      </w:r>
      <w:r>
        <w:t>.</w:t>
      </w:r>
      <w:r w:rsidRPr="003060BA">
        <w:t xml:space="preserve"> </w:t>
      </w:r>
      <w:r>
        <w:t>It recognised that there were remaining areas of uncertainty associated with the analyses presented and took these into account in its decision making</w:t>
      </w:r>
    </w:p>
    <w:p w14:paraId="1BE44F29" w14:textId="77777777" w:rsidR="00876212" w:rsidRPr="00293CA2" w:rsidRDefault="00876212" w:rsidP="00876212">
      <w:pPr>
        <w:pStyle w:val="Heading2"/>
      </w:pPr>
      <w:r w:rsidRPr="00293CA2">
        <w:t>Treatment pathway and clinical need</w:t>
      </w:r>
    </w:p>
    <w:p w14:paraId="20BD9EB4" w14:textId="5C245142" w:rsidR="00876212" w:rsidRDefault="00876212" w:rsidP="00876212">
      <w:pPr>
        <w:pStyle w:val="Heading3"/>
        <w:rPr>
          <w:highlight w:val="yellow"/>
        </w:rPr>
      </w:pPr>
      <w:r>
        <w:t>T</w:t>
      </w:r>
      <w:r w:rsidRPr="00771BC2">
        <w:t xml:space="preserve">here is an unmet </w:t>
      </w:r>
      <w:r>
        <w:t xml:space="preserve">clinical </w:t>
      </w:r>
      <w:r w:rsidRPr="00771BC2">
        <w:t>need for maintenance treatments in clinical practice, especially for people without a</w:t>
      </w:r>
      <w:r w:rsidR="00F237E6">
        <w:t xml:space="preserve"> </w:t>
      </w:r>
      <w:r w:rsidRPr="00771BC2">
        <w:t>BRCA mutation</w:t>
      </w:r>
    </w:p>
    <w:p w14:paraId="257E2BD2" w14:textId="34A97868" w:rsidR="00876212" w:rsidRPr="00302416" w:rsidRDefault="00876212" w:rsidP="00302416">
      <w:pPr>
        <w:pStyle w:val="Numberedlevel2text"/>
        <w:numPr>
          <w:ilvl w:val="1"/>
          <w:numId w:val="1"/>
        </w:numPr>
        <w:rPr>
          <w:lang w:val="en-GB"/>
        </w:rPr>
      </w:pPr>
      <w:r>
        <w:rPr>
          <w:lang w:val="en-GB"/>
        </w:rPr>
        <w:t>R</w:t>
      </w:r>
      <w:r w:rsidRPr="0081690E">
        <w:t>elapsed ovarian, fallopian tube or</w:t>
      </w:r>
      <w:r>
        <w:t xml:space="preserve"> </w:t>
      </w:r>
      <w:r w:rsidRPr="009B61D9">
        <w:t xml:space="preserve">peritoneal </w:t>
      </w:r>
      <w:r w:rsidRPr="00AC2345">
        <w:t>cancer</w:t>
      </w:r>
      <w:r>
        <w:t xml:space="preserve"> is</w:t>
      </w:r>
      <w:r w:rsidRPr="00AC2345">
        <w:t xml:space="preserve"> </w:t>
      </w:r>
      <w:r>
        <w:t xml:space="preserve">a </w:t>
      </w:r>
      <w:r w:rsidRPr="00AC2345">
        <w:t>devastating condition</w:t>
      </w:r>
      <w:r>
        <w:rPr>
          <w:lang w:val="en-GB"/>
        </w:rPr>
        <w:t xml:space="preserve"> with</w:t>
      </w:r>
      <w:r w:rsidRPr="00AC2345">
        <w:t xml:space="preserve"> </w:t>
      </w:r>
      <w:r>
        <w:rPr>
          <w:lang w:val="en-GB"/>
        </w:rPr>
        <w:t>limited treatment options</w:t>
      </w:r>
      <w:r w:rsidRPr="00AC2345">
        <w:t>.</w:t>
      </w:r>
      <w:r w:rsidRPr="00F8137C">
        <w:t xml:space="preserve"> </w:t>
      </w:r>
      <w:r w:rsidRPr="00771BC2">
        <w:t xml:space="preserve">For </w:t>
      </w:r>
      <w:r w:rsidRPr="00771BC2">
        <w:rPr>
          <w:lang w:val="en-GB"/>
        </w:rPr>
        <w:t xml:space="preserve">people </w:t>
      </w:r>
      <w:r w:rsidRPr="00771BC2">
        <w:t>who have had fewer than 3</w:t>
      </w:r>
      <w:r w:rsidRPr="00771BC2">
        <w:rPr>
          <w:lang w:val="en-GB"/>
        </w:rPr>
        <w:t> </w:t>
      </w:r>
      <w:r w:rsidRPr="00771BC2">
        <w:t>courses of platinum-based chemotherapy</w:t>
      </w:r>
      <w:r w:rsidRPr="00771BC2">
        <w:rPr>
          <w:lang w:val="en-GB"/>
        </w:rPr>
        <w:t>,</w:t>
      </w:r>
      <w:r w:rsidR="00B61081">
        <w:rPr>
          <w:lang w:val="en-GB"/>
        </w:rPr>
        <w:t xml:space="preserve"> there are no maintenance treatment available</w:t>
      </w:r>
      <w:r w:rsidRPr="00295069">
        <w:rPr>
          <w:lang w:val="en-GB"/>
        </w:rPr>
        <w:t xml:space="preserve">. </w:t>
      </w:r>
      <w:r w:rsidR="00295069">
        <w:rPr>
          <w:lang w:val="en-GB"/>
        </w:rPr>
        <w:t>People have</w:t>
      </w:r>
      <w:r w:rsidR="00BE12DD">
        <w:rPr>
          <w:lang w:val="en-GB"/>
        </w:rPr>
        <w:t xml:space="preserve"> </w:t>
      </w:r>
      <w:r w:rsidRPr="0039520A">
        <w:t>m</w:t>
      </w:r>
      <w:r w:rsidRPr="00771BC2">
        <w:t xml:space="preserve">ultiple </w:t>
      </w:r>
      <w:r w:rsidRPr="00295069">
        <w:rPr>
          <w:lang w:val="en-GB"/>
        </w:rPr>
        <w:t>cycles of chemotherapy</w:t>
      </w:r>
      <w:r w:rsidRPr="00771BC2">
        <w:t xml:space="preserve"> as the disease responds and relapses</w:t>
      </w:r>
      <w:r w:rsidRPr="00295069">
        <w:rPr>
          <w:lang w:val="en-GB"/>
        </w:rPr>
        <w:t>.</w:t>
      </w:r>
      <w:r w:rsidR="00295069" w:rsidRPr="00295069">
        <w:t xml:space="preserve"> </w:t>
      </w:r>
      <w:r w:rsidR="00295069" w:rsidRPr="00F8137C">
        <w:t xml:space="preserve">The patient expert explained that chemotherapy side effects can substantially reduce </w:t>
      </w:r>
      <w:r w:rsidR="00EC44BC">
        <w:rPr>
          <w:lang w:val="en-GB"/>
        </w:rPr>
        <w:t xml:space="preserve">a </w:t>
      </w:r>
      <w:r w:rsidR="001F3C54">
        <w:rPr>
          <w:lang w:val="en-GB"/>
        </w:rPr>
        <w:t xml:space="preserve">patient’s </w:t>
      </w:r>
      <w:r w:rsidR="00295069" w:rsidRPr="00F8137C">
        <w:t>quality of life</w:t>
      </w:r>
      <w:r w:rsidR="00295069" w:rsidRPr="00295069">
        <w:rPr>
          <w:lang w:val="en-GB"/>
        </w:rPr>
        <w:t xml:space="preserve"> and concern</w:t>
      </w:r>
      <w:r w:rsidR="001F3C54">
        <w:rPr>
          <w:lang w:val="en-GB"/>
        </w:rPr>
        <w:t>s</w:t>
      </w:r>
      <w:r w:rsidR="00295069" w:rsidRPr="00295069">
        <w:rPr>
          <w:lang w:val="en-GB"/>
        </w:rPr>
        <w:t xml:space="preserve"> abou</w:t>
      </w:r>
      <w:r w:rsidR="00295069" w:rsidRPr="005222FB">
        <w:rPr>
          <w:lang w:val="en-GB"/>
        </w:rPr>
        <w:t xml:space="preserve">t relapse and the need for repeated courses of treatment is physically and psychologically challenging. </w:t>
      </w:r>
      <w:r w:rsidR="001F3C54">
        <w:rPr>
          <w:lang w:val="en-GB"/>
        </w:rPr>
        <w:t xml:space="preserve">NICE recommends </w:t>
      </w:r>
      <w:hyperlink r:id="rId11" w:history="1">
        <w:proofErr w:type="spellStart"/>
        <w:r w:rsidR="001F3C54" w:rsidRPr="001F3C54">
          <w:rPr>
            <w:rStyle w:val="Hyperlink"/>
            <w:lang w:val="en-GB"/>
          </w:rPr>
          <w:t>olaparib</w:t>
        </w:r>
        <w:proofErr w:type="spellEnd"/>
        <w:r w:rsidR="001F3C54" w:rsidRPr="001F3C54">
          <w:rPr>
            <w:rStyle w:val="Hyperlink"/>
            <w:lang w:val="en-GB"/>
          </w:rPr>
          <w:t xml:space="preserve"> for maintenance treatment of relapsed platinum-sensitive ovarian, fallopian or peritoneal cancer</w:t>
        </w:r>
      </w:hyperlink>
      <w:r w:rsidR="001F3C54">
        <w:rPr>
          <w:lang w:val="en-GB"/>
        </w:rPr>
        <w:t xml:space="preserve"> for people with </w:t>
      </w:r>
      <w:r w:rsidR="00C36C33">
        <w:rPr>
          <w:lang w:val="en-GB"/>
        </w:rPr>
        <w:t xml:space="preserve">a </w:t>
      </w:r>
      <w:r w:rsidR="001F3C54">
        <w:rPr>
          <w:lang w:val="en-GB"/>
        </w:rPr>
        <w:t xml:space="preserve">BRCA1 or BRCA2 mutation who have had 3 or more courses of platinum-based chemotherapy. Niraparib and </w:t>
      </w:r>
      <w:proofErr w:type="spellStart"/>
      <w:r w:rsidR="00FC75E8">
        <w:rPr>
          <w:lang w:val="en-GB"/>
        </w:rPr>
        <w:t>o</w:t>
      </w:r>
      <w:r w:rsidR="001F3C54">
        <w:rPr>
          <w:lang w:val="en-GB"/>
        </w:rPr>
        <w:t>laparib</w:t>
      </w:r>
      <w:proofErr w:type="spellEnd"/>
      <w:r w:rsidR="001F3C54">
        <w:rPr>
          <w:lang w:val="en-GB"/>
        </w:rPr>
        <w:t xml:space="preserve"> are both </w:t>
      </w:r>
      <w:r w:rsidRPr="00295069">
        <w:rPr>
          <w:lang w:val="en-GB"/>
        </w:rPr>
        <w:t>poly</w:t>
      </w:r>
      <w:r w:rsidRPr="00295069">
        <w:rPr>
          <w:lang w:val="en-GB"/>
        </w:rPr>
        <w:noBreakHyphen/>
        <w:t>ADP</w:t>
      </w:r>
      <w:r w:rsidRPr="00295069">
        <w:rPr>
          <w:lang w:val="en-GB"/>
        </w:rPr>
        <w:noBreakHyphen/>
        <w:t>ribose polymerase</w:t>
      </w:r>
      <w:r>
        <w:t xml:space="preserve"> </w:t>
      </w:r>
      <w:r w:rsidRPr="00295069">
        <w:rPr>
          <w:lang w:val="en-GB"/>
        </w:rPr>
        <w:t>(</w:t>
      </w:r>
      <w:r w:rsidRPr="00AC2345">
        <w:t>PARP</w:t>
      </w:r>
      <w:r w:rsidRPr="00295069">
        <w:rPr>
          <w:lang w:val="en-GB"/>
        </w:rPr>
        <w:t>)</w:t>
      </w:r>
      <w:r w:rsidRPr="00AC2345">
        <w:t xml:space="preserve"> inhibitor</w:t>
      </w:r>
      <w:r w:rsidR="001F3C54">
        <w:rPr>
          <w:lang w:val="en-GB"/>
        </w:rPr>
        <w:t>s.</w:t>
      </w:r>
      <w:r w:rsidR="000344A3" w:rsidRPr="00927D82">
        <w:rPr>
          <w:rStyle w:val="Hyperlink"/>
          <w:u w:val="none"/>
          <w:lang w:val="en-GB"/>
        </w:rPr>
        <w:t xml:space="preserve"> </w:t>
      </w:r>
      <w:r w:rsidR="00295069" w:rsidRPr="00295069">
        <w:rPr>
          <w:lang w:val="en-GB"/>
        </w:rPr>
        <w:t xml:space="preserve">The clinical expert explained that maintenance therapy with </w:t>
      </w:r>
      <w:r w:rsidR="00295069" w:rsidRPr="00AC2345">
        <w:t xml:space="preserve">PARP inhibitors </w:t>
      </w:r>
      <w:r w:rsidR="00295069" w:rsidRPr="00295069">
        <w:rPr>
          <w:lang w:val="en-GB"/>
        </w:rPr>
        <w:t>can delay disease progression and extend the time between platinum-based chemotherapies</w:t>
      </w:r>
      <w:r w:rsidR="00295069">
        <w:rPr>
          <w:lang w:val="en-GB"/>
        </w:rPr>
        <w:t>. D</w:t>
      </w:r>
      <w:proofErr w:type="spellStart"/>
      <w:r w:rsidRPr="00F8137C">
        <w:t>elay</w:t>
      </w:r>
      <w:r w:rsidR="00295069">
        <w:rPr>
          <w:lang w:val="en-GB"/>
        </w:rPr>
        <w:t>ing</w:t>
      </w:r>
      <w:proofErr w:type="spellEnd"/>
      <w:r w:rsidRPr="00F8137C">
        <w:t xml:space="preserve"> disease progression</w:t>
      </w:r>
      <w:r w:rsidRPr="00295069">
        <w:rPr>
          <w:lang w:val="en-GB"/>
        </w:rPr>
        <w:t xml:space="preserve"> </w:t>
      </w:r>
      <w:r w:rsidR="00295069">
        <w:rPr>
          <w:lang w:val="en-GB"/>
        </w:rPr>
        <w:t xml:space="preserve">may therefore </w:t>
      </w:r>
      <w:r w:rsidRPr="00295069">
        <w:rPr>
          <w:lang w:val="en-GB"/>
        </w:rPr>
        <w:t>delay the onset of platinum drug resistance</w:t>
      </w:r>
      <w:r w:rsidR="00295069">
        <w:rPr>
          <w:lang w:val="en-GB"/>
        </w:rPr>
        <w:t xml:space="preserve">. </w:t>
      </w:r>
      <w:r w:rsidR="00295069" w:rsidRPr="0018472D">
        <w:t>People w</w:t>
      </w:r>
      <w:r w:rsidR="00295069" w:rsidRPr="00295069">
        <w:rPr>
          <w:lang w:val="en-GB"/>
        </w:rPr>
        <w:t xml:space="preserve">ith </w:t>
      </w:r>
      <w:r w:rsidR="00295069" w:rsidRPr="0018472D">
        <w:t xml:space="preserve">ovarian cancer that </w:t>
      </w:r>
      <w:r w:rsidR="00295069" w:rsidRPr="00295069">
        <w:rPr>
          <w:lang w:val="en-GB"/>
        </w:rPr>
        <w:t>becomes</w:t>
      </w:r>
      <w:r w:rsidR="00295069" w:rsidRPr="0018472D">
        <w:t xml:space="preserve"> platinum</w:t>
      </w:r>
      <w:r w:rsidR="001F3C54">
        <w:rPr>
          <w:lang w:val="en-GB"/>
        </w:rPr>
        <w:t xml:space="preserve"> </w:t>
      </w:r>
      <w:r w:rsidR="00295069" w:rsidRPr="00295069">
        <w:rPr>
          <w:lang w:val="en-GB"/>
        </w:rPr>
        <w:t xml:space="preserve">resistant have fewer chemotherapy regimen options available when the disease relapses and </w:t>
      </w:r>
      <w:r w:rsidR="00C74692">
        <w:rPr>
          <w:lang w:val="en-GB"/>
        </w:rPr>
        <w:t xml:space="preserve">therefore have </w:t>
      </w:r>
      <w:r w:rsidR="00295069" w:rsidRPr="00295069">
        <w:rPr>
          <w:lang w:val="en-GB"/>
        </w:rPr>
        <w:t>a poor prognosis</w:t>
      </w:r>
      <w:r w:rsidR="00295069">
        <w:rPr>
          <w:lang w:val="en-GB"/>
        </w:rPr>
        <w:t xml:space="preserve">. </w:t>
      </w:r>
      <w:r w:rsidR="00295069">
        <w:rPr>
          <w:lang w:val="en-GB"/>
        </w:rPr>
        <w:lastRenderedPageBreak/>
        <w:t>So</w:t>
      </w:r>
      <w:r w:rsidR="006205C9">
        <w:rPr>
          <w:lang w:val="en-GB"/>
        </w:rPr>
        <w:t>,</w:t>
      </w:r>
      <w:r w:rsidR="00295069">
        <w:rPr>
          <w:lang w:val="en-GB"/>
        </w:rPr>
        <w:t xml:space="preserve"> treatments that </w:t>
      </w:r>
      <w:r w:rsidRPr="00295069">
        <w:rPr>
          <w:lang w:val="en-GB"/>
        </w:rPr>
        <w:t>a</w:t>
      </w:r>
      <w:r w:rsidRPr="00F8137C">
        <w:t>void the need for chemotherapy are highly valued by patients and their families</w:t>
      </w:r>
      <w:r>
        <w:t>.</w:t>
      </w:r>
      <w:r w:rsidRPr="00295069">
        <w:rPr>
          <w:lang w:val="en-GB"/>
        </w:rPr>
        <w:t xml:space="preserve"> Extending survival, even by only a few months can give people valuable extra time with family and friends. </w:t>
      </w:r>
      <w:r w:rsidR="00EA1509" w:rsidRPr="00EA1509">
        <w:rPr>
          <w:lang w:val="en-GB"/>
        </w:rPr>
        <w:t xml:space="preserve">The clinical experts explained that several PARP inhibitors are currently available for first-line use through the Cancer Drugs Fund (see </w:t>
      </w:r>
      <w:hyperlink r:id="rId12" w:history="1">
        <w:r w:rsidR="00EA1509" w:rsidRPr="003A4D1E">
          <w:rPr>
            <w:rStyle w:val="Hyperlink"/>
            <w:lang w:val="en-GB"/>
          </w:rPr>
          <w:t>technology appraisal guidance</w:t>
        </w:r>
        <w:r w:rsidR="003A4D1E" w:rsidRPr="003A4D1E">
          <w:rPr>
            <w:rStyle w:val="Hyperlink"/>
            <w:lang w:val="en-GB"/>
          </w:rPr>
          <w:t> </w:t>
        </w:r>
        <w:r w:rsidR="00EA1509" w:rsidRPr="003A4D1E">
          <w:rPr>
            <w:rStyle w:val="Hyperlink"/>
            <w:lang w:val="en-GB"/>
          </w:rPr>
          <w:t>598</w:t>
        </w:r>
      </w:hyperlink>
      <w:r w:rsidR="00EA1509" w:rsidRPr="00EA1509">
        <w:rPr>
          <w:lang w:val="en-GB"/>
        </w:rPr>
        <w:t xml:space="preserve">, </w:t>
      </w:r>
      <w:hyperlink r:id="rId13" w:history="1">
        <w:r w:rsidR="003A4D1E" w:rsidRPr="003A4D1E">
          <w:rPr>
            <w:rStyle w:val="Hyperlink"/>
            <w:lang w:val="en-GB"/>
          </w:rPr>
          <w:t>technology appraisal guidance </w:t>
        </w:r>
        <w:r w:rsidR="00EA1509" w:rsidRPr="003A4D1E">
          <w:rPr>
            <w:rStyle w:val="Hyperlink"/>
            <w:lang w:val="en-GB"/>
          </w:rPr>
          <w:t>693</w:t>
        </w:r>
      </w:hyperlink>
      <w:r w:rsidR="00EA1509" w:rsidRPr="00EA1509">
        <w:rPr>
          <w:lang w:val="en-GB"/>
        </w:rPr>
        <w:t xml:space="preserve"> and </w:t>
      </w:r>
      <w:hyperlink r:id="rId14" w:history="1">
        <w:r w:rsidR="003A4D1E" w:rsidRPr="003A4D1E">
          <w:rPr>
            <w:rStyle w:val="Hyperlink"/>
            <w:lang w:val="en-GB"/>
          </w:rPr>
          <w:t>technology appraisal guidance </w:t>
        </w:r>
        <w:r w:rsidR="00EA1509" w:rsidRPr="003A4D1E">
          <w:rPr>
            <w:rStyle w:val="Hyperlink"/>
            <w:lang w:val="en-GB"/>
          </w:rPr>
          <w:t>673</w:t>
        </w:r>
      </w:hyperlink>
      <w:r w:rsidR="00EA1509" w:rsidRPr="00EA1509">
        <w:rPr>
          <w:lang w:val="en-GB"/>
        </w:rPr>
        <w:t xml:space="preserve">) for people with and without </w:t>
      </w:r>
      <w:r w:rsidR="00C36C33">
        <w:rPr>
          <w:lang w:val="en-GB"/>
        </w:rPr>
        <w:t xml:space="preserve">a </w:t>
      </w:r>
      <w:r w:rsidR="00EA1509" w:rsidRPr="00EA1509">
        <w:rPr>
          <w:lang w:val="en-GB"/>
        </w:rPr>
        <w:t xml:space="preserve">BRCA mutation, but are limited to only niraparib in people without a BRCA mutation. </w:t>
      </w:r>
      <w:r w:rsidR="00C74692">
        <w:rPr>
          <w:lang w:val="en-GB"/>
        </w:rPr>
        <w:t>Because</w:t>
      </w:r>
      <w:r w:rsidR="00C74692" w:rsidRPr="00EA1509">
        <w:rPr>
          <w:lang w:val="en-GB"/>
        </w:rPr>
        <w:t xml:space="preserve"> </w:t>
      </w:r>
      <w:r w:rsidR="00EA1509" w:rsidRPr="00EA1509">
        <w:rPr>
          <w:lang w:val="en-GB"/>
        </w:rPr>
        <w:t xml:space="preserve">PARP inhibitors would not be used more than once in the treatment pathway, the number of people who </w:t>
      </w:r>
      <w:r w:rsidR="00955ED6">
        <w:rPr>
          <w:lang w:val="en-GB"/>
        </w:rPr>
        <w:t>would have treatment</w:t>
      </w:r>
      <w:r w:rsidR="00EA1509" w:rsidRPr="00EA1509">
        <w:rPr>
          <w:lang w:val="en-GB"/>
        </w:rPr>
        <w:t xml:space="preserve"> in a relapsed disease setting may be smaller in future clinical practice (subject to the outcome of future C</w:t>
      </w:r>
      <w:r w:rsidR="00C74692">
        <w:rPr>
          <w:lang w:val="en-GB"/>
        </w:rPr>
        <w:t xml:space="preserve">ancer </w:t>
      </w:r>
      <w:r w:rsidR="00EA1509" w:rsidRPr="00EA1509">
        <w:rPr>
          <w:lang w:val="en-GB"/>
        </w:rPr>
        <w:t>D</w:t>
      </w:r>
      <w:r w:rsidR="00C74692">
        <w:rPr>
          <w:lang w:val="en-GB"/>
        </w:rPr>
        <w:t xml:space="preserve">rug </w:t>
      </w:r>
      <w:r w:rsidR="00EA1509" w:rsidRPr="00EA1509">
        <w:rPr>
          <w:lang w:val="en-GB"/>
        </w:rPr>
        <w:t>F</w:t>
      </w:r>
      <w:r w:rsidR="00C74692">
        <w:rPr>
          <w:lang w:val="en-GB"/>
        </w:rPr>
        <w:t>und</w:t>
      </w:r>
      <w:r w:rsidR="00EA1509" w:rsidRPr="00EA1509">
        <w:rPr>
          <w:lang w:val="en-GB"/>
        </w:rPr>
        <w:t xml:space="preserve"> reviews).</w:t>
      </w:r>
      <w:r w:rsidR="0004241C">
        <w:rPr>
          <w:lang w:val="en-GB"/>
        </w:rPr>
        <w:t xml:space="preserve"> </w:t>
      </w:r>
      <w:r w:rsidRPr="00302416">
        <w:rPr>
          <w:lang w:val="en-GB"/>
        </w:rPr>
        <w:t>The committee concluded that there is an unmet need for maintenance treatments in clinical practice, especially for people without a BRCA mutation.</w:t>
      </w:r>
    </w:p>
    <w:p w14:paraId="7463D540" w14:textId="77777777" w:rsidR="00876212" w:rsidRPr="0002619C" w:rsidRDefault="00876212" w:rsidP="00876212">
      <w:pPr>
        <w:pStyle w:val="Heading2"/>
      </w:pPr>
      <w:r>
        <w:t>Clinical evidence</w:t>
      </w:r>
    </w:p>
    <w:p w14:paraId="34F900C5" w14:textId="02D70F3F" w:rsidR="00876212" w:rsidRPr="00BA17EA" w:rsidRDefault="00876212" w:rsidP="00876212">
      <w:pPr>
        <w:pStyle w:val="Heading3"/>
      </w:pPr>
      <w:r w:rsidRPr="00BA17EA">
        <w:t>Niraparib improves progression-free survival compared with placebo</w:t>
      </w:r>
      <w:r>
        <w:t xml:space="preserve"> regardless of </w:t>
      </w:r>
      <w:r w:rsidR="00807045">
        <w:t xml:space="preserve">how it is </w:t>
      </w:r>
      <w:r>
        <w:t>assess</w:t>
      </w:r>
      <w:r w:rsidR="00807045">
        <w:t>ed</w:t>
      </w:r>
      <w:r>
        <w:t xml:space="preserve"> </w:t>
      </w:r>
    </w:p>
    <w:p w14:paraId="4F9F5D9B" w14:textId="39FB6069" w:rsidR="00876212" w:rsidRPr="0000409D" w:rsidRDefault="00876212" w:rsidP="00876212">
      <w:pPr>
        <w:pStyle w:val="Numberedlevel2text"/>
        <w:numPr>
          <w:ilvl w:val="1"/>
          <w:numId w:val="1"/>
        </w:numPr>
      </w:pPr>
      <w:r w:rsidRPr="0000409D">
        <w:t>The clinical</w:t>
      </w:r>
      <w:r w:rsidR="00AD6E3B">
        <w:rPr>
          <w:lang w:val="en-GB"/>
        </w:rPr>
        <w:t>-</w:t>
      </w:r>
      <w:r w:rsidRPr="0000409D">
        <w:t>effectiveness evidence came from NOVA, a double-blind</w:t>
      </w:r>
      <w:r w:rsidR="00AD6E3B">
        <w:rPr>
          <w:lang w:val="en-GB"/>
        </w:rPr>
        <w:t>,</w:t>
      </w:r>
      <w:r w:rsidRPr="0000409D">
        <w:t xml:space="preserve"> randomised</w:t>
      </w:r>
      <w:r w:rsidR="00AD6E3B">
        <w:rPr>
          <w:lang w:val="en-GB"/>
        </w:rPr>
        <w:t>,</w:t>
      </w:r>
      <w:r w:rsidRPr="0000409D">
        <w:t xml:space="preserve"> placebo-controlled trial. NOVA assessed the clinical effectiveness of niraparib in people </w:t>
      </w:r>
      <w:r w:rsidR="00AD6E3B">
        <w:rPr>
          <w:lang w:val="en-GB"/>
        </w:rPr>
        <w:t>with</w:t>
      </w:r>
      <w:r w:rsidRPr="0000409D">
        <w:t xml:space="preserve"> relapsed, platinum-sensitive ovarian cancer, with and without a BRCA mutation. Patients had previously had 2 or more platinum-based chemotherapy regimens and their cancer had responded to the last regimen. In the original </w:t>
      </w:r>
      <w:hyperlink r:id="rId15" w:history="1">
        <w:r w:rsidRPr="006205C9">
          <w:rPr>
            <w:rStyle w:val="Hyperlink"/>
          </w:rPr>
          <w:t>NICE technology appraisal guidance</w:t>
        </w:r>
      </w:hyperlink>
      <w:r w:rsidRPr="0000409D">
        <w:t xml:space="preserve">, niraparib </w:t>
      </w:r>
      <w:r w:rsidR="00AD6E3B">
        <w:rPr>
          <w:lang w:val="en-GB"/>
        </w:rPr>
        <w:t>showed</w:t>
      </w:r>
      <w:r w:rsidR="00AD6E3B" w:rsidRPr="0000409D">
        <w:t xml:space="preserve"> </w:t>
      </w:r>
      <w:r w:rsidRPr="0000409D">
        <w:t xml:space="preserve">statistically significantly improved progression-free survival compared with placebo for both subgroups (with and without a BRCA mutation). </w:t>
      </w:r>
      <w:r w:rsidR="00F858A0">
        <w:rPr>
          <w:lang w:val="en-GB"/>
        </w:rPr>
        <w:t xml:space="preserve">However, </w:t>
      </w:r>
      <w:proofErr w:type="spellStart"/>
      <w:r w:rsidR="00F858A0">
        <w:rPr>
          <w:lang w:val="en-GB"/>
        </w:rPr>
        <w:t>t</w:t>
      </w:r>
      <w:r w:rsidRPr="0000409D">
        <w:t>he</w:t>
      </w:r>
      <w:proofErr w:type="spellEnd"/>
      <w:r w:rsidRPr="0000409D">
        <w:t xml:space="preserve"> effect of niraparib on overall survival was uncertain. It was concluded that more mature data from NOVA could resolve this uncertainty and provide more evidence on the relative treatment effect. More data from NOVA </w:t>
      </w:r>
      <w:r w:rsidR="0090614E">
        <w:rPr>
          <w:lang w:val="en-US"/>
        </w:rPr>
        <w:t>has</w:t>
      </w:r>
      <w:r w:rsidR="0090614E" w:rsidRPr="0000409D">
        <w:t xml:space="preserve"> </w:t>
      </w:r>
      <w:r w:rsidRPr="0000409D">
        <w:t xml:space="preserve">now been collected, and </w:t>
      </w:r>
      <w:r w:rsidR="0090614E">
        <w:rPr>
          <w:lang w:val="en-US"/>
        </w:rPr>
        <w:t>was</w:t>
      </w:r>
      <w:r w:rsidR="0090614E" w:rsidRPr="0000409D">
        <w:t xml:space="preserve"> </w:t>
      </w:r>
      <w:r w:rsidRPr="0000409D">
        <w:t xml:space="preserve">analysed in </w:t>
      </w:r>
      <w:r>
        <w:rPr>
          <w:lang w:val="en-GB"/>
        </w:rPr>
        <w:t>October</w:t>
      </w:r>
      <w:r w:rsidR="00AD6E3B">
        <w:rPr>
          <w:lang w:val="en-GB"/>
        </w:rPr>
        <w:t> </w:t>
      </w:r>
      <w:r w:rsidRPr="0000409D">
        <w:t xml:space="preserve">2020. This analysis included an additional 53 months of data compared with the original appraisal. </w:t>
      </w:r>
      <w:r w:rsidRPr="0000409D">
        <w:lastRenderedPageBreak/>
        <w:t xml:space="preserve">There was no updated data on progression-free survival </w:t>
      </w:r>
      <w:r w:rsidR="00AD6E3B">
        <w:rPr>
          <w:lang w:val="en-GB"/>
        </w:rPr>
        <w:t>because</w:t>
      </w:r>
      <w:r w:rsidR="00AD6E3B" w:rsidRPr="0000409D">
        <w:t xml:space="preserve"> </w:t>
      </w:r>
      <w:r w:rsidRPr="0000409D">
        <w:t xml:space="preserve">it was not assessed after the primary analysis. The committee recalled: </w:t>
      </w:r>
    </w:p>
    <w:p w14:paraId="2FD6ED8F" w14:textId="647CFD6E" w:rsidR="00876212" w:rsidRDefault="00876212" w:rsidP="00B61081">
      <w:pPr>
        <w:pStyle w:val="Bulletindent1"/>
      </w:pPr>
      <w:r w:rsidRPr="001A45F4">
        <w:t>The median progression-free survival in people without a BRCA mutation (that is, the mutation-negative group) was 9.3 months with niraparib and 3.9 months with placebo. The difference in median progression-free survival between niraparib and placebo was 5.4 months (hazard ratio [HR] 0.45, 95% confidence interval [CI] 0.34 to 0.61; p&lt;0.001).</w:t>
      </w:r>
    </w:p>
    <w:p w14:paraId="63645027" w14:textId="2A134206" w:rsidR="00876212" w:rsidRDefault="00876212" w:rsidP="00B61081">
      <w:pPr>
        <w:pStyle w:val="Bulletindent1last"/>
      </w:pPr>
      <w:r w:rsidRPr="001A45F4">
        <w:t>For patients with a BRCA mutation (that is, the mutation-positive group), median progression-free survival was 21 months with niraparib and 5.5 months with placebo. The difference in median progression-free survival was 15.5 months (HR 0.27, 95% CI 0.17 to 0.41; p&lt;0.001).</w:t>
      </w:r>
    </w:p>
    <w:p w14:paraId="1A63D3C5" w14:textId="6DADB97B" w:rsidR="00876212" w:rsidRPr="001A45F4" w:rsidRDefault="00876212" w:rsidP="00876212">
      <w:pPr>
        <w:pStyle w:val="Numberedlevel2text"/>
        <w:numPr>
          <w:ilvl w:val="0"/>
          <w:numId w:val="0"/>
        </w:numPr>
        <w:ind w:left="1134"/>
      </w:pPr>
      <w:r w:rsidRPr="000E7ADA">
        <w:t>The</w:t>
      </w:r>
      <w:r w:rsidRPr="001A45F4">
        <w:t xml:space="preserve"> committee noted that progression-free survival results differed based on </w:t>
      </w:r>
      <w:r w:rsidR="00B53D52">
        <w:rPr>
          <w:lang w:val="en-GB"/>
        </w:rPr>
        <w:t>how they were assessed</w:t>
      </w:r>
      <w:r w:rsidRPr="001A45F4">
        <w:t xml:space="preserve">. The committee were aware that the company model used progression free survival results assessed by an Independent Review Committee (IRC). The committee noted that any difference in benefit </w:t>
      </w:r>
      <w:proofErr w:type="spellStart"/>
      <w:r w:rsidR="0049285D" w:rsidRPr="001A45F4">
        <w:t>ac</w:t>
      </w:r>
      <w:r w:rsidR="0049285D">
        <w:rPr>
          <w:lang w:val="en-GB"/>
        </w:rPr>
        <w:t>cr</w:t>
      </w:r>
      <w:r w:rsidR="0049285D" w:rsidRPr="001A45F4">
        <w:t>ued</w:t>
      </w:r>
      <w:proofErr w:type="spellEnd"/>
      <w:r w:rsidRPr="001A45F4">
        <w:t xml:space="preserve"> could have a significant impact on the cost effectiveness results because time on treatment (and so the related cost) was based on investigator assessment (IA</w:t>
      </w:r>
      <w:r>
        <w:rPr>
          <w:lang w:val="en-GB"/>
        </w:rPr>
        <w:t>), the</w:t>
      </w:r>
      <w:r w:rsidRPr="001A45F4">
        <w:t xml:space="preserve"> preferred assumption from the</w:t>
      </w:r>
      <w:r>
        <w:rPr>
          <w:lang w:val="en-GB"/>
        </w:rPr>
        <w:t xml:space="preserve"> </w:t>
      </w:r>
      <w:hyperlink r:id="rId16" w:history="1">
        <w:r w:rsidRPr="003873D8">
          <w:rPr>
            <w:rStyle w:val="Hyperlink"/>
            <w:bCs w:val="0"/>
            <w:lang w:val="en-GB"/>
          </w:rPr>
          <w:t>original appraisal of niraparib</w:t>
        </w:r>
      </w:hyperlink>
      <w:r w:rsidRPr="001A45F4">
        <w:t xml:space="preserve">. The ERG explained that this could result in costs and benefit not being aligned in the economic modelling. </w:t>
      </w:r>
      <w:r>
        <w:rPr>
          <w:lang w:val="en-GB"/>
        </w:rPr>
        <w:t xml:space="preserve">The committee considered </w:t>
      </w:r>
      <w:r w:rsidRPr="004B175A">
        <w:rPr>
          <w:lang w:val="en-GB"/>
        </w:rPr>
        <w:t xml:space="preserve">the results of </w:t>
      </w:r>
      <w:r>
        <w:rPr>
          <w:lang w:val="en-GB"/>
        </w:rPr>
        <w:t xml:space="preserve">the </w:t>
      </w:r>
      <w:r w:rsidR="00AD6E3B">
        <w:rPr>
          <w:lang w:val="en-GB"/>
        </w:rPr>
        <w:t xml:space="preserve">2 </w:t>
      </w:r>
      <w:r w:rsidRPr="004B175A">
        <w:rPr>
          <w:lang w:val="en-GB"/>
        </w:rPr>
        <w:t xml:space="preserve">alternative methods of assessing </w:t>
      </w:r>
      <w:r>
        <w:rPr>
          <w:lang w:val="en-GB"/>
        </w:rPr>
        <w:t>progression free survival (IA or</w:t>
      </w:r>
      <w:r w:rsidR="005C6661">
        <w:rPr>
          <w:lang w:val="en-GB"/>
        </w:rPr>
        <w:t xml:space="preserve"> </w:t>
      </w:r>
      <w:r>
        <w:t>IRC</w:t>
      </w:r>
      <w:r w:rsidR="00F858A0">
        <w:rPr>
          <w:lang w:val="en-GB"/>
        </w:rPr>
        <w:t>)</w:t>
      </w:r>
      <w:r w:rsidR="00315F99">
        <w:rPr>
          <w:lang w:val="en-GB"/>
        </w:rPr>
        <w:t>. Result</w:t>
      </w:r>
      <w:r w:rsidR="005C6661">
        <w:rPr>
          <w:lang w:val="en-GB"/>
        </w:rPr>
        <w:t>s</w:t>
      </w:r>
      <w:r w:rsidR="00315F99">
        <w:rPr>
          <w:lang w:val="en-GB"/>
        </w:rPr>
        <w:t xml:space="preserve"> are considered </w:t>
      </w:r>
      <w:r>
        <w:rPr>
          <w:lang w:val="en-GB"/>
        </w:rPr>
        <w:t>confidential and cannot be reported here</w:t>
      </w:r>
      <w:r w:rsidRPr="001A45F4">
        <w:t>. The</w:t>
      </w:r>
      <w:r w:rsidR="00315F99">
        <w:rPr>
          <w:lang w:val="en-GB"/>
        </w:rPr>
        <w:t xml:space="preserve"> committee</w:t>
      </w:r>
      <w:r w:rsidRPr="001A45F4">
        <w:t xml:space="preserve"> noted niraparib increased progression-free survival compared with placebo in both treatment groups using both assessment</w:t>
      </w:r>
      <w:r w:rsidR="00F959EB">
        <w:rPr>
          <w:lang w:val="en-GB"/>
        </w:rPr>
        <w:t>s</w:t>
      </w:r>
      <w:r w:rsidRPr="001A45F4">
        <w:t>. Both</w:t>
      </w:r>
      <w:r>
        <w:rPr>
          <w:lang w:val="en-GB"/>
        </w:rPr>
        <w:t xml:space="preserve"> </w:t>
      </w:r>
      <w:r w:rsidRPr="001A45F4">
        <w:t>assessment</w:t>
      </w:r>
      <w:r w:rsidR="00B53D52">
        <w:rPr>
          <w:lang w:val="en-GB"/>
        </w:rPr>
        <w:t>s</w:t>
      </w:r>
      <w:r w:rsidRPr="001A45F4">
        <w:t xml:space="preserve"> showed greate</w:t>
      </w:r>
      <w:r w:rsidR="005C6661">
        <w:rPr>
          <w:lang w:val="en-US"/>
        </w:rPr>
        <w:t>r</w:t>
      </w:r>
      <w:r w:rsidRPr="001A45F4">
        <w:t xml:space="preserve"> clinical benefit in the mutation-positive group although the </w:t>
      </w:r>
      <w:r w:rsidR="00AD6E3B">
        <w:rPr>
          <w:lang w:val="en-GB"/>
        </w:rPr>
        <w:t>size</w:t>
      </w:r>
      <w:r w:rsidR="00AD6E3B" w:rsidRPr="001A45F4">
        <w:t xml:space="preserve"> </w:t>
      </w:r>
      <w:r w:rsidRPr="001A45F4">
        <w:t>of benefit was smaller for progression-free survival assessed by IA.</w:t>
      </w:r>
      <w:r>
        <w:rPr>
          <w:lang w:val="en-GB"/>
        </w:rPr>
        <w:t xml:space="preserve"> </w:t>
      </w:r>
      <w:r w:rsidRPr="001A45F4">
        <w:t>The clinical expert and</w:t>
      </w:r>
      <w:r w:rsidRPr="00876212">
        <w:t xml:space="preserve"> Cancer Drugs Fund</w:t>
      </w:r>
      <w:r w:rsidRPr="001A45F4">
        <w:t xml:space="preserve"> </w:t>
      </w:r>
      <w:r>
        <w:rPr>
          <w:lang w:val="en-GB"/>
        </w:rPr>
        <w:t xml:space="preserve">clinical lead </w:t>
      </w:r>
      <w:r w:rsidRPr="001A45F4">
        <w:t xml:space="preserve">cautioned focusing only on the median results and explained that the hazard ratios of both IA </w:t>
      </w:r>
      <w:r w:rsidRPr="001A45F4">
        <w:lastRenderedPageBreak/>
        <w:t xml:space="preserve">and IRC assessed progression-free survival were similar. The committee </w:t>
      </w:r>
      <w:r w:rsidR="00315F99">
        <w:rPr>
          <w:lang w:val="en-GB"/>
        </w:rPr>
        <w:t>agreed</w:t>
      </w:r>
      <w:r w:rsidR="00315F99" w:rsidRPr="001A45F4">
        <w:t xml:space="preserve"> </w:t>
      </w:r>
      <w:r w:rsidRPr="001A45F4">
        <w:t>that</w:t>
      </w:r>
      <w:r w:rsidR="005C6661">
        <w:rPr>
          <w:lang w:val="en-US"/>
        </w:rPr>
        <w:t>,</w:t>
      </w:r>
      <w:r w:rsidRPr="001A45F4">
        <w:t xml:space="preserve"> because hazards were similar regardless of</w:t>
      </w:r>
      <w:r w:rsidR="00B53D52">
        <w:rPr>
          <w:lang w:val="en-GB"/>
        </w:rPr>
        <w:t xml:space="preserve"> who assessed</w:t>
      </w:r>
      <w:r w:rsidRPr="001A45F4">
        <w:t xml:space="preserve">, the </w:t>
      </w:r>
      <w:r w:rsidR="004005D0">
        <w:rPr>
          <w:lang w:val="en-US"/>
        </w:rPr>
        <w:t>method</w:t>
      </w:r>
      <w:r w:rsidR="004005D0" w:rsidRPr="001A45F4">
        <w:t xml:space="preserve"> </w:t>
      </w:r>
      <w:r w:rsidRPr="001A45F4">
        <w:t xml:space="preserve">of assessment was </w:t>
      </w:r>
      <w:r w:rsidR="00315F99">
        <w:rPr>
          <w:lang w:val="en-GB"/>
        </w:rPr>
        <w:t>unlikely to be</w:t>
      </w:r>
      <w:r w:rsidRPr="001A45F4">
        <w:t xml:space="preserve"> critical to decision making</w:t>
      </w:r>
      <w:r w:rsidR="00315F99">
        <w:rPr>
          <w:lang w:val="en-GB"/>
        </w:rPr>
        <w:t xml:space="preserve">. However, </w:t>
      </w:r>
      <w:r w:rsidR="005C6661">
        <w:rPr>
          <w:lang w:val="en-GB"/>
        </w:rPr>
        <w:t xml:space="preserve">the </w:t>
      </w:r>
      <w:r w:rsidR="00315F99">
        <w:rPr>
          <w:lang w:val="en-GB"/>
        </w:rPr>
        <w:t>committee concluded that</w:t>
      </w:r>
      <w:r w:rsidR="005C6661">
        <w:rPr>
          <w:lang w:val="en-GB"/>
        </w:rPr>
        <w:t>,</w:t>
      </w:r>
      <w:r w:rsidR="00315F99">
        <w:rPr>
          <w:lang w:val="en-GB"/>
        </w:rPr>
        <w:t xml:space="preserve"> </w:t>
      </w:r>
      <w:r w:rsidR="00AD6E3B">
        <w:rPr>
          <w:lang w:val="en-GB"/>
        </w:rPr>
        <w:t xml:space="preserve">because </w:t>
      </w:r>
      <w:r w:rsidR="00315F99">
        <w:rPr>
          <w:lang w:val="en-GB"/>
        </w:rPr>
        <w:t>investigator assessment is more relevant to clinical practice</w:t>
      </w:r>
      <w:r w:rsidR="00847F89">
        <w:rPr>
          <w:lang w:val="en-GB"/>
        </w:rPr>
        <w:t>,</w:t>
      </w:r>
      <w:r w:rsidR="00315F99">
        <w:rPr>
          <w:lang w:val="en-GB"/>
        </w:rPr>
        <w:t xml:space="preserve"> scenario analyses should explore the </w:t>
      </w:r>
      <w:r w:rsidR="00AD6E3B">
        <w:rPr>
          <w:lang w:val="en-GB"/>
        </w:rPr>
        <w:t xml:space="preserve">effect </w:t>
      </w:r>
      <w:r w:rsidR="00847F89">
        <w:rPr>
          <w:lang w:val="en-GB"/>
        </w:rPr>
        <w:t xml:space="preserve">of using </w:t>
      </w:r>
      <w:r w:rsidR="00807045">
        <w:rPr>
          <w:lang w:val="en-GB"/>
        </w:rPr>
        <w:t>progression free survival assessed by IA</w:t>
      </w:r>
      <w:r w:rsidR="00847F89">
        <w:rPr>
          <w:lang w:val="en-GB"/>
        </w:rPr>
        <w:t xml:space="preserve"> </w:t>
      </w:r>
      <w:r w:rsidR="00315F99">
        <w:rPr>
          <w:lang w:val="en-GB"/>
        </w:rPr>
        <w:t>on cost</w:t>
      </w:r>
      <w:r w:rsidR="00AD6E3B">
        <w:rPr>
          <w:lang w:val="en-GB"/>
        </w:rPr>
        <w:t>-</w:t>
      </w:r>
      <w:r w:rsidR="00315F99">
        <w:rPr>
          <w:lang w:val="en-GB"/>
        </w:rPr>
        <w:t>effectiveness results</w:t>
      </w:r>
      <w:r w:rsidRPr="001A45F4">
        <w:t>.</w:t>
      </w:r>
    </w:p>
    <w:p w14:paraId="02BFD9C1" w14:textId="3D96AA2A" w:rsidR="00876212" w:rsidRPr="00BA17EA" w:rsidRDefault="00876212" w:rsidP="00876212">
      <w:pPr>
        <w:pStyle w:val="Heading3"/>
      </w:pPr>
      <w:r>
        <w:t xml:space="preserve">Niraparib </w:t>
      </w:r>
      <w:r w:rsidR="005C6661">
        <w:t xml:space="preserve">may </w:t>
      </w:r>
      <w:r>
        <w:t xml:space="preserve">improve overall survival </w:t>
      </w:r>
      <w:r w:rsidRPr="00BA17EA">
        <w:t xml:space="preserve">compared with placebo </w:t>
      </w:r>
      <w:r>
        <w:t xml:space="preserve">for </w:t>
      </w:r>
      <w:r w:rsidRPr="00BA17EA">
        <w:t>people with a BRCA mutation</w:t>
      </w:r>
      <w:r>
        <w:t xml:space="preserve"> but survival benefit with niraparib for people without</w:t>
      </w:r>
      <w:r w:rsidR="00F237E6">
        <w:t xml:space="preserve"> a</w:t>
      </w:r>
      <w:r>
        <w:t xml:space="preserve"> BRCA mutation is highly uncertain </w:t>
      </w:r>
    </w:p>
    <w:p w14:paraId="15116289" w14:textId="77777777" w:rsidR="00876212" w:rsidRPr="001011FD" w:rsidRDefault="00876212" w:rsidP="00876212">
      <w:pPr>
        <w:pStyle w:val="Numberedlevel2text"/>
        <w:numPr>
          <w:ilvl w:val="1"/>
          <w:numId w:val="1"/>
        </w:numPr>
      </w:pPr>
      <w:r>
        <w:rPr>
          <w:lang w:val="en-GB"/>
        </w:rPr>
        <w:t xml:space="preserve">The committee recalled that </w:t>
      </w:r>
      <w:r w:rsidRPr="00D12779">
        <w:t>median overall survival had not been reached</w:t>
      </w:r>
      <w:r>
        <w:rPr>
          <w:lang w:val="en-GB"/>
        </w:rPr>
        <w:t xml:space="preserve"> in the </w:t>
      </w:r>
      <w:hyperlink r:id="rId17" w:history="1">
        <w:r w:rsidRPr="003873D8">
          <w:rPr>
            <w:rStyle w:val="Hyperlink"/>
            <w:bCs w:val="0"/>
            <w:lang w:val="en-GB"/>
          </w:rPr>
          <w:t>original appraisal of niraparib</w:t>
        </w:r>
      </w:hyperlink>
      <w:r>
        <w:rPr>
          <w:lang w:val="en-GB"/>
        </w:rPr>
        <w:t xml:space="preserve"> and that survival benefit with niraparib was the main clinical uncertainty. Updated data from NOVA showed: </w:t>
      </w:r>
    </w:p>
    <w:p w14:paraId="56FDD5B2" w14:textId="580AE55F" w:rsidR="00876212" w:rsidRPr="001011FD" w:rsidRDefault="00876212" w:rsidP="00F959EB">
      <w:pPr>
        <w:pStyle w:val="Bulletindent1"/>
      </w:pPr>
      <w:r>
        <w:t>M</w:t>
      </w:r>
      <w:r w:rsidRPr="00D12779">
        <w:t xml:space="preserve">edian </w:t>
      </w:r>
      <w:r>
        <w:t>overall survival</w:t>
      </w:r>
      <w:r w:rsidRPr="00D12779">
        <w:t xml:space="preserve"> in people without a BRCA mutation was </w:t>
      </w:r>
      <w:r>
        <w:t>31.1</w:t>
      </w:r>
      <w:r w:rsidR="008101C3">
        <w:t> </w:t>
      </w:r>
      <w:r w:rsidRPr="00D12779">
        <w:t>months with niraparib and 3</w:t>
      </w:r>
      <w:r>
        <w:t>6.5</w:t>
      </w:r>
      <w:r w:rsidR="008101C3">
        <w:t> </w:t>
      </w:r>
      <w:r w:rsidRPr="00D12779">
        <w:t xml:space="preserve">months with placebo. The difference in median </w:t>
      </w:r>
      <w:r>
        <w:t>overall survival</w:t>
      </w:r>
      <w:r w:rsidRPr="00D12779">
        <w:t xml:space="preserve"> between niraparib and placebo was 5.4</w:t>
      </w:r>
      <w:r w:rsidR="008101C3">
        <w:t> </w:t>
      </w:r>
      <w:r w:rsidRPr="00D12779">
        <w:t xml:space="preserve">months (HR </w:t>
      </w:r>
      <w:r>
        <w:t>1.1</w:t>
      </w:r>
      <w:r w:rsidRPr="00D12779">
        <w:t>, 95% CI 0.</w:t>
      </w:r>
      <w:r>
        <w:t>83</w:t>
      </w:r>
      <w:r w:rsidRPr="00D12779">
        <w:t xml:space="preserve"> to </w:t>
      </w:r>
      <w:r>
        <w:t>1.46)</w:t>
      </w:r>
      <w:r w:rsidRPr="00D12779">
        <w:t xml:space="preserve">. </w:t>
      </w:r>
    </w:p>
    <w:p w14:paraId="62FBF9C9" w14:textId="350E5EBB" w:rsidR="00876212" w:rsidRPr="001011FD" w:rsidRDefault="006D640F" w:rsidP="00F959EB">
      <w:pPr>
        <w:pStyle w:val="Bulletindent1last"/>
      </w:pPr>
      <w:r>
        <w:t>Results for people with a BRCA mutation are confidential and cannot be reported</w:t>
      </w:r>
      <w:r w:rsidR="00290332">
        <w:t>.</w:t>
      </w:r>
      <w:r>
        <w:t xml:space="preserve"> </w:t>
      </w:r>
    </w:p>
    <w:p w14:paraId="77AA71FA" w14:textId="113CFE4E" w:rsidR="00876212" w:rsidRDefault="00876212" w:rsidP="00876212">
      <w:pPr>
        <w:pStyle w:val="Numberedlevel2text"/>
        <w:numPr>
          <w:ilvl w:val="0"/>
          <w:numId w:val="0"/>
        </w:numPr>
        <w:ind w:left="1134"/>
      </w:pPr>
      <w:r>
        <w:t xml:space="preserve">The committee noted that NOVA was not powered to test for statistical significance for overall survival and the company and ERG </w:t>
      </w:r>
      <w:r w:rsidR="00E67E3A">
        <w:rPr>
          <w:lang w:val="en-GB"/>
        </w:rPr>
        <w:t xml:space="preserve">explained </w:t>
      </w:r>
      <w:r>
        <w:t xml:space="preserve">that the results for the placebo arm are confounded by a high rate of crossover and missing data. Discontinuation from the trial was more than 80% in both niraparib and placebo arms with </w:t>
      </w:r>
      <w:r w:rsidR="00EA1509">
        <w:rPr>
          <w:lang w:val="en-GB"/>
        </w:rPr>
        <w:t>at least 14%</w:t>
      </w:r>
      <w:r w:rsidR="004202B8">
        <w:rPr>
          <w:lang w:val="en-GB"/>
        </w:rPr>
        <w:t xml:space="preserve"> </w:t>
      </w:r>
      <w:r>
        <w:t>missing data</w:t>
      </w:r>
      <w:r w:rsidRPr="00716712">
        <w:t>.</w:t>
      </w:r>
      <w:r>
        <w:t xml:space="preserve"> As a result</w:t>
      </w:r>
      <w:r w:rsidR="00F858A0">
        <w:rPr>
          <w:lang w:val="en-GB"/>
        </w:rPr>
        <w:t>,</w:t>
      </w:r>
      <w:r>
        <w:rPr>
          <w:lang w:val="en-GB"/>
        </w:rPr>
        <w:t xml:space="preserve"> </w:t>
      </w:r>
      <w:r w:rsidRPr="0071733E">
        <w:t>only</w:t>
      </w:r>
      <w:r>
        <w:t xml:space="preserve"> updated survival</w:t>
      </w:r>
      <w:r w:rsidRPr="0071733E">
        <w:t xml:space="preserve"> data from the </w:t>
      </w:r>
      <w:r>
        <w:t>n</w:t>
      </w:r>
      <w:r w:rsidRPr="0071733E">
        <w:t>iraparib arm</w:t>
      </w:r>
      <w:r>
        <w:t xml:space="preserve"> of NOVA</w:t>
      </w:r>
      <w:r w:rsidRPr="0071733E">
        <w:t xml:space="preserve"> </w:t>
      </w:r>
      <w:r>
        <w:t>was</w:t>
      </w:r>
      <w:r w:rsidRPr="0071733E">
        <w:t xml:space="preserve"> used for assessment of relative effectiveness</w:t>
      </w:r>
      <w:r>
        <w:t>. The committee noted that</w:t>
      </w:r>
      <w:r w:rsidR="00F858A0">
        <w:rPr>
          <w:lang w:val="en-GB"/>
        </w:rPr>
        <w:t xml:space="preserve"> despite high levels of subsequent PARP inhibitor use in NOVA</w:t>
      </w:r>
      <w:r>
        <w:t xml:space="preserve"> the company had not attempted to adjust for</w:t>
      </w:r>
      <w:r w:rsidR="00F858A0">
        <w:rPr>
          <w:lang w:val="en-GB"/>
        </w:rPr>
        <w:t xml:space="preserve"> this</w:t>
      </w:r>
      <w:r>
        <w:t xml:space="preserve"> in their submission</w:t>
      </w:r>
      <w:r>
        <w:rPr>
          <w:lang w:val="en-GB"/>
        </w:rPr>
        <w:t xml:space="preserve"> </w:t>
      </w:r>
      <w:r>
        <w:t xml:space="preserve">using </w:t>
      </w:r>
      <w:r w:rsidR="00F858A0">
        <w:rPr>
          <w:lang w:val="en-GB"/>
        </w:rPr>
        <w:t xml:space="preserve">methods such as </w:t>
      </w:r>
      <w:r>
        <w:t xml:space="preserve">the inverse probability of censoring weighting adjustment (IPCW). The committee </w:t>
      </w:r>
      <w:r w:rsidR="005D030C">
        <w:rPr>
          <w:lang w:val="en-GB"/>
        </w:rPr>
        <w:t>was</w:t>
      </w:r>
      <w:r w:rsidR="005D030C">
        <w:t xml:space="preserve"> </w:t>
      </w:r>
      <w:r>
        <w:t xml:space="preserve">aware that a recent commentary </w:t>
      </w:r>
      <w:r>
        <w:lastRenderedPageBreak/>
        <w:t xml:space="preserve">from a presentation at </w:t>
      </w:r>
      <w:r>
        <w:rPr>
          <w:lang w:val="en-GB"/>
        </w:rPr>
        <w:t xml:space="preserve">the American Society of Clinical Oncology </w:t>
      </w:r>
      <w:r>
        <w:t>showed this analysis was available for a previous data cut from the NOVA trial. Whil</w:t>
      </w:r>
      <w:r w:rsidR="005D030C">
        <w:rPr>
          <w:lang w:val="en-GB"/>
        </w:rPr>
        <w:t>e</w:t>
      </w:r>
      <w:r>
        <w:t xml:space="preserve"> acknowledging the uncertainty that may be associated with this analysis </w:t>
      </w:r>
      <w:r w:rsidR="005D030C">
        <w:rPr>
          <w:lang w:val="en-GB"/>
        </w:rPr>
        <w:t>because of the</w:t>
      </w:r>
      <w:r>
        <w:t xml:space="preserve"> small sample size and </w:t>
      </w:r>
      <w:r w:rsidR="005C6661">
        <w:rPr>
          <w:lang w:val="en-US"/>
        </w:rPr>
        <w:t xml:space="preserve">a </w:t>
      </w:r>
      <w:r>
        <w:t xml:space="preserve">high </w:t>
      </w:r>
      <w:r w:rsidR="005C6661">
        <w:rPr>
          <w:lang w:val="en-US"/>
        </w:rPr>
        <w:t xml:space="preserve">proportion of </w:t>
      </w:r>
      <w:r>
        <w:t xml:space="preserve">missing data, the committee agreed that additional information about the relative improvement in overall survival which accounted for subsequent PARP use in both subgroups (with and without a BRCA mutation) would be helpful to </w:t>
      </w:r>
      <w:r w:rsidR="00F80C01">
        <w:rPr>
          <w:lang w:val="en-US"/>
        </w:rPr>
        <w:t>estimate</w:t>
      </w:r>
      <w:r w:rsidR="00F80C01">
        <w:t xml:space="preserve"> </w:t>
      </w:r>
      <w:r>
        <w:t>the survival benefit with niraparib</w:t>
      </w:r>
      <w:r w:rsidR="00F858A0">
        <w:rPr>
          <w:lang w:val="en-GB"/>
        </w:rPr>
        <w:t xml:space="preserve"> compared </w:t>
      </w:r>
      <w:r w:rsidR="005D030C">
        <w:rPr>
          <w:lang w:val="en-GB"/>
        </w:rPr>
        <w:t xml:space="preserve">with </w:t>
      </w:r>
      <w:r w:rsidR="00F858A0">
        <w:rPr>
          <w:lang w:val="en-GB"/>
        </w:rPr>
        <w:t>placebo</w:t>
      </w:r>
      <w:r>
        <w:t xml:space="preserve">. The clinical expert and Cancer Drugs Fund clinical lead both agreed that the progression-free survival benefit shown for niraparib is likely to translate into an overall survival benefit for people with </w:t>
      </w:r>
      <w:r w:rsidR="00F237E6">
        <w:rPr>
          <w:lang w:val="en-US"/>
        </w:rPr>
        <w:t xml:space="preserve">a </w:t>
      </w:r>
      <w:r>
        <w:t xml:space="preserve">BRCA mutation. The evidence was less certain for those without a BRCA </w:t>
      </w:r>
      <w:r w:rsidR="00315F99">
        <w:t>mutation</w:t>
      </w:r>
      <w:r>
        <w:t xml:space="preserve">. The committee concluded that niraparib </w:t>
      </w:r>
      <w:r w:rsidR="005C6661">
        <w:rPr>
          <w:lang w:val="en-US"/>
        </w:rPr>
        <w:t xml:space="preserve">may </w:t>
      </w:r>
      <w:r>
        <w:t xml:space="preserve">improve overall survival for people with </w:t>
      </w:r>
      <w:r w:rsidRPr="006140F4">
        <w:t xml:space="preserve">a BRCA mutation but survival benefit with niraparib for people without </w:t>
      </w:r>
      <w:r w:rsidR="00F237E6">
        <w:rPr>
          <w:lang w:val="en-US"/>
        </w:rPr>
        <w:t xml:space="preserve">a </w:t>
      </w:r>
      <w:r w:rsidRPr="006140F4">
        <w:t>BRCA mutation is highly uncertain</w:t>
      </w:r>
      <w:r>
        <w:t>. Further analyses are needed to show survival results adjusting for cross-over</w:t>
      </w:r>
      <w:r w:rsidR="00315F99">
        <w:rPr>
          <w:lang w:val="en-GB"/>
        </w:rPr>
        <w:t xml:space="preserve"> to subsequent treatments</w:t>
      </w:r>
      <w:r>
        <w:t>.</w:t>
      </w:r>
    </w:p>
    <w:p w14:paraId="60E37B7B" w14:textId="4ECC087B" w:rsidR="00876212" w:rsidRDefault="00876212" w:rsidP="00876212">
      <w:pPr>
        <w:pStyle w:val="Heading3"/>
      </w:pPr>
      <w:r>
        <w:t>E</w:t>
      </w:r>
      <w:r w:rsidRPr="00555CD6">
        <w:t>stimat</w:t>
      </w:r>
      <w:r>
        <w:t xml:space="preserve">ing </w:t>
      </w:r>
      <w:r w:rsidRPr="00555CD6">
        <w:t>relative effectiveness of niraparib</w:t>
      </w:r>
      <w:r>
        <w:t xml:space="preserve"> compared </w:t>
      </w:r>
      <w:r w:rsidR="00A97A51">
        <w:t xml:space="preserve">with </w:t>
      </w:r>
      <w:r w:rsidRPr="00555CD6">
        <w:t>routine surveillanc</w:t>
      </w:r>
      <w:r>
        <w:t xml:space="preserve">e </w:t>
      </w:r>
      <w:r w:rsidRPr="00CC1587">
        <w:t xml:space="preserve">based on </w:t>
      </w:r>
      <w:r>
        <w:t xml:space="preserve">a </w:t>
      </w:r>
      <w:r w:rsidRPr="00CC1587">
        <w:t>na</w:t>
      </w:r>
      <w:r w:rsidR="00A97A51">
        <w:t>i</w:t>
      </w:r>
      <w:r w:rsidRPr="00CC1587">
        <w:t xml:space="preserve">ve comparison </w:t>
      </w:r>
      <w:r>
        <w:t>using</w:t>
      </w:r>
      <w:r w:rsidRPr="00CC1587">
        <w:t xml:space="preserve"> </w:t>
      </w:r>
      <w:r w:rsidR="00CF0208" w:rsidRPr="00CC1587">
        <w:t>Study</w:t>
      </w:r>
      <w:r w:rsidR="00A97A51">
        <w:t> </w:t>
      </w:r>
      <w:r>
        <w:t>19 data</w:t>
      </w:r>
      <w:r w:rsidRPr="00CC1587">
        <w:t xml:space="preserve"> </w:t>
      </w:r>
      <w:r>
        <w:t>is highly</w:t>
      </w:r>
      <w:r w:rsidRPr="00CC1587">
        <w:t xml:space="preserve"> uncertain</w:t>
      </w:r>
    </w:p>
    <w:p w14:paraId="1204FAAC" w14:textId="1F400BCD" w:rsidR="00876212" w:rsidRPr="00555E53" w:rsidRDefault="00CF0208" w:rsidP="00555E53">
      <w:pPr>
        <w:pStyle w:val="Numberedlevel2text"/>
        <w:rPr>
          <w:lang w:val="en-GB"/>
        </w:rPr>
      </w:pPr>
      <w:r>
        <w:t xml:space="preserve">Because of </w:t>
      </w:r>
      <w:r w:rsidR="00876212" w:rsidRPr="001D11FF">
        <w:t xml:space="preserve">limitations in the survival data from </w:t>
      </w:r>
      <w:r w:rsidR="00C36C33">
        <w:rPr>
          <w:lang w:val="en-GB"/>
        </w:rPr>
        <w:t xml:space="preserve">the </w:t>
      </w:r>
      <w:r w:rsidR="00876212" w:rsidRPr="001D11FF">
        <w:t>placebo arm of NOVA, the company used alternative data sources to estimate the relative</w:t>
      </w:r>
      <w:r w:rsidR="00876212">
        <w:t xml:space="preserve"> </w:t>
      </w:r>
      <w:r w:rsidR="00876212" w:rsidRPr="001D11FF">
        <w:t xml:space="preserve">effectiveness of niraparib compared </w:t>
      </w:r>
      <w:r w:rsidR="00087301">
        <w:rPr>
          <w:lang w:val="en-GB"/>
        </w:rPr>
        <w:t>with</w:t>
      </w:r>
      <w:r w:rsidR="00087301" w:rsidRPr="001D11FF">
        <w:t xml:space="preserve"> </w:t>
      </w:r>
      <w:r w:rsidR="00876212" w:rsidRPr="001D11FF">
        <w:t xml:space="preserve">routine surveillance. </w:t>
      </w:r>
      <w:r w:rsidR="00876212" w:rsidRPr="001C568D">
        <w:t xml:space="preserve">In their original </w:t>
      </w:r>
      <w:r w:rsidR="00087301">
        <w:rPr>
          <w:lang w:val="en-GB"/>
        </w:rPr>
        <w:t>Cancer Drug Fund</w:t>
      </w:r>
      <w:r w:rsidR="00087301" w:rsidRPr="001C568D">
        <w:t xml:space="preserve"> </w:t>
      </w:r>
      <w:r w:rsidR="00876212" w:rsidRPr="001C568D">
        <w:t xml:space="preserve">review </w:t>
      </w:r>
      <w:r w:rsidR="00315F99" w:rsidRPr="001C568D">
        <w:t>submission,</w:t>
      </w:r>
      <w:r w:rsidR="00876212" w:rsidRPr="001C568D">
        <w:t xml:space="preserve"> </w:t>
      </w:r>
      <w:r w:rsidR="00876212">
        <w:t xml:space="preserve">the company </w:t>
      </w:r>
      <w:r w:rsidR="00876212" w:rsidRPr="001D11FF">
        <w:t>us</w:t>
      </w:r>
      <w:r w:rsidR="00876212">
        <w:t>ed</w:t>
      </w:r>
      <w:r w:rsidR="00876212" w:rsidRPr="001D11FF">
        <w:t xml:space="preserve"> a</w:t>
      </w:r>
      <w:r w:rsidR="00876212">
        <w:t xml:space="preserve">n assumption of a progression-free survival </w:t>
      </w:r>
      <w:r w:rsidR="00876212" w:rsidRPr="001D11FF">
        <w:t xml:space="preserve">to </w:t>
      </w:r>
      <w:r w:rsidR="00876212">
        <w:t xml:space="preserve">overall survival </w:t>
      </w:r>
      <w:r w:rsidR="00876212" w:rsidRPr="001D11FF">
        <w:t>benefit ratio of 1:1</w:t>
      </w:r>
      <w:r w:rsidR="00876212">
        <w:t xml:space="preserve"> to </w:t>
      </w:r>
      <w:r w:rsidR="00876212" w:rsidRPr="001D11FF">
        <w:t>estimate</w:t>
      </w:r>
      <w:r w:rsidR="00876212">
        <w:t xml:space="preserve"> overall survival</w:t>
      </w:r>
      <w:r w:rsidR="00876212" w:rsidRPr="001D11FF">
        <w:t xml:space="preserve"> for</w:t>
      </w:r>
      <w:r w:rsidR="00876212">
        <w:t xml:space="preserve"> people on routine surveillance</w:t>
      </w:r>
      <w:r w:rsidR="00B53D52">
        <w:rPr>
          <w:lang w:val="en-GB"/>
        </w:rPr>
        <w:t xml:space="preserve"> as their base case </w:t>
      </w:r>
      <w:r w:rsidR="00876212" w:rsidRPr="001D11FF">
        <w:t xml:space="preserve">. </w:t>
      </w:r>
      <w:r>
        <w:t xml:space="preserve">For this appraisal, they </w:t>
      </w:r>
      <w:r w:rsidR="00F858A0">
        <w:t xml:space="preserve">also presented </w:t>
      </w:r>
      <w:r w:rsidR="00087301">
        <w:rPr>
          <w:lang w:val="en-GB"/>
        </w:rPr>
        <w:t>2</w:t>
      </w:r>
      <w:r w:rsidR="00087301">
        <w:t xml:space="preserve"> </w:t>
      </w:r>
      <w:r w:rsidR="00F858A0">
        <w:t>a</w:t>
      </w:r>
      <w:r w:rsidR="00876212">
        <w:t xml:space="preserve">lternative </w:t>
      </w:r>
      <w:r w:rsidR="00876212" w:rsidRPr="001D11FF">
        <w:t>scenario analyses</w:t>
      </w:r>
      <w:r w:rsidR="00F858A0">
        <w:t>, one</w:t>
      </w:r>
      <w:r w:rsidR="00876212" w:rsidRPr="001D11FF">
        <w:t xml:space="preserve"> </w:t>
      </w:r>
      <w:r w:rsidR="00876212">
        <w:t xml:space="preserve">using </w:t>
      </w:r>
      <w:r w:rsidR="00876212" w:rsidRPr="001D11FF">
        <w:t xml:space="preserve">placebo data from the </w:t>
      </w:r>
      <w:proofErr w:type="spellStart"/>
      <w:r w:rsidR="00876212">
        <w:t>olaparib</w:t>
      </w:r>
      <w:proofErr w:type="spellEnd"/>
      <w:r w:rsidR="00876212">
        <w:t xml:space="preserve"> trial</w:t>
      </w:r>
      <w:r w:rsidR="00876212" w:rsidRPr="001D11FF">
        <w:t>, Study</w:t>
      </w:r>
      <w:r w:rsidR="00087301">
        <w:rPr>
          <w:lang w:val="en-GB"/>
        </w:rPr>
        <w:t> </w:t>
      </w:r>
      <w:r w:rsidR="00876212" w:rsidRPr="001D11FF">
        <w:t>19, and</w:t>
      </w:r>
      <w:r w:rsidR="00F858A0">
        <w:t xml:space="preserve"> a second using</w:t>
      </w:r>
      <w:r w:rsidR="00876212" w:rsidRPr="001D11FF">
        <w:t xml:space="preserve"> routine surveillance data from U</w:t>
      </w:r>
      <w:r w:rsidR="00876212">
        <w:t>K real world evidence</w:t>
      </w:r>
      <w:r w:rsidR="00876212" w:rsidRPr="001D11FF">
        <w:t xml:space="preserve"> published by Lord et al. 2020</w:t>
      </w:r>
      <w:r w:rsidR="00876212">
        <w:t>. The ERG preference was to use</w:t>
      </w:r>
      <w:r w:rsidR="00315F99">
        <w:t xml:space="preserve"> a </w:t>
      </w:r>
      <w:proofErr w:type="spellStart"/>
      <w:r w:rsidR="00315F99">
        <w:t>na</w:t>
      </w:r>
      <w:r w:rsidR="00087301">
        <w:rPr>
          <w:lang w:val="en-GB"/>
        </w:rPr>
        <w:t>i</w:t>
      </w:r>
      <w:r w:rsidR="00315F99">
        <w:t>ve</w:t>
      </w:r>
      <w:proofErr w:type="spellEnd"/>
      <w:r w:rsidR="00315F99">
        <w:t xml:space="preserve"> comparison</w:t>
      </w:r>
      <w:r w:rsidR="008370BB">
        <w:t xml:space="preserve"> of niraparib data from NOVA</w:t>
      </w:r>
      <w:r w:rsidR="00315F99">
        <w:t xml:space="preserve"> </w:t>
      </w:r>
      <w:r w:rsidR="00087301">
        <w:rPr>
          <w:lang w:val="en-GB"/>
        </w:rPr>
        <w:t>with</w:t>
      </w:r>
      <w:r w:rsidR="00087301">
        <w:t xml:space="preserve"> </w:t>
      </w:r>
      <w:r w:rsidR="00876212">
        <w:t>data from Study</w:t>
      </w:r>
      <w:r w:rsidR="00087301">
        <w:rPr>
          <w:lang w:val="en-GB"/>
        </w:rPr>
        <w:t> </w:t>
      </w:r>
      <w:r w:rsidR="00876212">
        <w:t xml:space="preserve">19 </w:t>
      </w:r>
      <w:r w:rsidR="00876212">
        <w:lastRenderedPageBreak/>
        <w:t>for the routine surveillance arm. Study</w:t>
      </w:r>
      <w:r w:rsidR="00087301">
        <w:rPr>
          <w:lang w:val="en-GB"/>
        </w:rPr>
        <w:t> </w:t>
      </w:r>
      <w:r w:rsidR="00876212">
        <w:t xml:space="preserve">19 is a double-blind, placebo-controlled, international multicentre </w:t>
      </w:r>
      <w:r w:rsidR="00087301">
        <w:rPr>
          <w:lang w:val="en-GB"/>
        </w:rPr>
        <w:t>randomised controlled trial</w:t>
      </w:r>
      <w:r w:rsidR="00087301">
        <w:t xml:space="preserve"> </w:t>
      </w:r>
      <w:r w:rsidR="00876212">
        <w:t xml:space="preserve">designed to assess the safety and efficacy of </w:t>
      </w:r>
      <w:proofErr w:type="spellStart"/>
      <w:r w:rsidR="00876212">
        <w:t>olaparib</w:t>
      </w:r>
      <w:proofErr w:type="spellEnd"/>
      <w:r w:rsidR="00876212">
        <w:t xml:space="preserve"> in </w:t>
      </w:r>
      <w:r w:rsidR="00087301">
        <w:rPr>
          <w:lang w:val="en-GB"/>
        </w:rPr>
        <w:t>people</w:t>
      </w:r>
      <w:r w:rsidR="00087301">
        <w:t xml:space="preserve"> </w:t>
      </w:r>
      <w:r w:rsidR="00876212">
        <w:t>with platinum-sensitive recurrent ovarian or fallopian tube cancer or primary peritoneal cancer with high grade serous features or a serous component. After technical engagement, the company revised</w:t>
      </w:r>
      <w:r>
        <w:rPr>
          <w:lang w:val="en-US"/>
        </w:rPr>
        <w:t xml:space="preserve"> its</w:t>
      </w:r>
      <w:r w:rsidR="00876212">
        <w:t xml:space="preserve"> base case to use Study</w:t>
      </w:r>
      <w:r w:rsidR="008B1284">
        <w:rPr>
          <w:lang w:val="en-GB"/>
        </w:rPr>
        <w:t> </w:t>
      </w:r>
      <w:r w:rsidR="00876212">
        <w:t>19 data</w:t>
      </w:r>
      <w:r w:rsidR="008370BB">
        <w:t xml:space="preserve"> in alignment with the ERG</w:t>
      </w:r>
      <w:r w:rsidR="00876212">
        <w:t>. The committee noted there were differences in the patient characteristics between the subgroups in NOVA and Study</w:t>
      </w:r>
      <w:r w:rsidR="008B1284">
        <w:rPr>
          <w:lang w:val="en-GB"/>
        </w:rPr>
        <w:t> </w:t>
      </w:r>
      <w:r w:rsidR="00876212">
        <w:t xml:space="preserve">19 and that no adjustments had been attempted by the company to account for these differences. The committee concluded that the results of the </w:t>
      </w:r>
      <w:proofErr w:type="spellStart"/>
      <w:r w:rsidR="00876212">
        <w:t>na</w:t>
      </w:r>
      <w:r w:rsidR="008B1284">
        <w:rPr>
          <w:lang w:val="en-GB"/>
        </w:rPr>
        <w:t>i</w:t>
      </w:r>
      <w:r w:rsidR="00876212">
        <w:t>ve</w:t>
      </w:r>
      <w:proofErr w:type="spellEnd"/>
      <w:r w:rsidR="00876212">
        <w:t xml:space="preserve"> comparison with </w:t>
      </w:r>
      <w:r w:rsidR="008B1284">
        <w:rPr>
          <w:lang w:val="en-GB"/>
        </w:rPr>
        <w:t>S</w:t>
      </w:r>
      <w:proofErr w:type="spellStart"/>
      <w:r w:rsidR="00876212">
        <w:t>tudy</w:t>
      </w:r>
      <w:proofErr w:type="spellEnd"/>
      <w:r w:rsidR="008B1284">
        <w:rPr>
          <w:lang w:val="en-GB"/>
        </w:rPr>
        <w:t> </w:t>
      </w:r>
      <w:r w:rsidR="00876212">
        <w:t>19 to estimate relative effectiveness</w:t>
      </w:r>
      <w:r w:rsidR="00876212" w:rsidRPr="009F756F">
        <w:t xml:space="preserve"> </w:t>
      </w:r>
      <w:r w:rsidR="00876212" w:rsidRPr="00555CD6">
        <w:t>of niraparib</w:t>
      </w:r>
      <w:r w:rsidR="00876212">
        <w:t xml:space="preserve"> compared </w:t>
      </w:r>
      <w:r w:rsidR="008B1284">
        <w:rPr>
          <w:lang w:val="en-GB"/>
        </w:rPr>
        <w:t>with</w:t>
      </w:r>
      <w:r w:rsidR="008B1284">
        <w:t xml:space="preserve"> </w:t>
      </w:r>
      <w:r w:rsidR="00876212" w:rsidRPr="00555CD6">
        <w:t>routine surveillanc</w:t>
      </w:r>
      <w:r w:rsidR="00876212">
        <w:t xml:space="preserve">e were highly uncertain and </w:t>
      </w:r>
      <w:r w:rsidR="00876212" w:rsidRPr="00D27C28">
        <w:t>agreed they would like</w:t>
      </w:r>
      <w:r w:rsidR="00876212">
        <w:t xml:space="preserve"> to see </w:t>
      </w:r>
      <w:r w:rsidR="00876212" w:rsidRPr="00D27C28">
        <w:t xml:space="preserve">the results </w:t>
      </w:r>
      <w:r w:rsidR="00BF2876" w:rsidRPr="00BF2876">
        <w:t xml:space="preserve">adjusting for differences in baseline characteristics conducted for the subgroups (with and without a BRCA mutation) for the NOVA and </w:t>
      </w:r>
      <w:r w:rsidR="008B1284">
        <w:rPr>
          <w:lang w:val="en-GB"/>
        </w:rPr>
        <w:t>S</w:t>
      </w:r>
      <w:proofErr w:type="spellStart"/>
      <w:r w:rsidR="00BF2876" w:rsidRPr="00BF2876">
        <w:t>tudy</w:t>
      </w:r>
      <w:proofErr w:type="spellEnd"/>
      <w:r w:rsidR="008B1284">
        <w:rPr>
          <w:lang w:val="en-GB"/>
        </w:rPr>
        <w:t> </w:t>
      </w:r>
      <w:r w:rsidR="00BF2876" w:rsidRPr="00BF2876">
        <w:t>19 populations. This analysis could be a matched adjusted indirect treatment comparison or an alternative method. The choice of method should be justified and follow guidance in the</w:t>
      </w:r>
      <w:r w:rsidR="00555E53">
        <w:t xml:space="preserve"> </w:t>
      </w:r>
      <w:hyperlink r:id="rId18" w:history="1">
        <w:r w:rsidR="00555E53" w:rsidRPr="00555E53">
          <w:rPr>
            <w:rStyle w:val="Hyperlink"/>
            <w:lang w:val="en-GB"/>
          </w:rPr>
          <w:t>NICE decision support u</w:t>
        </w:r>
        <w:r w:rsidR="00290332">
          <w:rPr>
            <w:rStyle w:val="Hyperlink"/>
            <w:lang w:val="en-GB"/>
          </w:rPr>
          <w:t>n</w:t>
        </w:r>
        <w:r w:rsidR="00555E53" w:rsidRPr="00555E53">
          <w:rPr>
            <w:rStyle w:val="Hyperlink"/>
            <w:lang w:val="en-GB"/>
          </w:rPr>
          <w:t>it technical support document 18</w:t>
        </w:r>
      </w:hyperlink>
      <w:r w:rsidR="00555E53">
        <w:rPr>
          <w:lang w:val="en-GB"/>
        </w:rPr>
        <w:t>.</w:t>
      </w:r>
      <w:r w:rsidR="00555E53" w:rsidRPr="00555E53">
        <w:rPr>
          <w:lang w:val="en-GB"/>
        </w:rPr>
        <w:t xml:space="preserve"> </w:t>
      </w:r>
    </w:p>
    <w:p w14:paraId="64115BEB" w14:textId="2C2801E1" w:rsidR="00876212" w:rsidRDefault="00876212" w:rsidP="00876212">
      <w:pPr>
        <w:pStyle w:val="Heading3"/>
      </w:pPr>
      <w:r>
        <w:t>The overall trial population in NOVA is not suitable for decision</w:t>
      </w:r>
      <w:r w:rsidR="008B1284">
        <w:t xml:space="preserve"> </w:t>
      </w:r>
      <w:r>
        <w:t>making</w:t>
      </w:r>
    </w:p>
    <w:p w14:paraId="0900327F" w14:textId="7DB8F2CB" w:rsidR="00876212" w:rsidRPr="00D44DAD" w:rsidRDefault="00876212" w:rsidP="00876212">
      <w:pPr>
        <w:pStyle w:val="Numberedlevel2text"/>
        <w:numPr>
          <w:ilvl w:val="1"/>
          <w:numId w:val="1"/>
        </w:numPr>
      </w:pPr>
      <w:r>
        <w:rPr>
          <w:lang w:val="en-GB"/>
        </w:rPr>
        <w:t>The ERG noted that the company reported results for the overall trial population, t</w:t>
      </w:r>
      <w:r w:rsidRPr="003060BA">
        <w:rPr>
          <w:lang w:val="en-GB"/>
        </w:rPr>
        <w:t>hat is,</w:t>
      </w:r>
      <w:r>
        <w:rPr>
          <w:lang w:val="en-GB"/>
        </w:rPr>
        <w:t xml:space="preserve"> presented</w:t>
      </w:r>
      <w:r w:rsidRPr="003060BA">
        <w:rPr>
          <w:lang w:val="en-GB"/>
        </w:rPr>
        <w:t xml:space="preserve"> </w:t>
      </w:r>
      <w:r>
        <w:rPr>
          <w:lang w:val="en-GB"/>
        </w:rPr>
        <w:t xml:space="preserve">combined </w:t>
      </w:r>
      <w:r w:rsidRPr="003060BA">
        <w:rPr>
          <w:lang w:val="en-GB"/>
        </w:rPr>
        <w:t>data for</w:t>
      </w:r>
      <w:r>
        <w:rPr>
          <w:lang w:val="en-GB"/>
        </w:rPr>
        <w:t xml:space="preserve"> BRCA positive and negative subgroups from </w:t>
      </w:r>
      <w:r w:rsidRPr="003060BA">
        <w:rPr>
          <w:lang w:val="en-GB"/>
        </w:rPr>
        <w:t>NOVA</w:t>
      </w:r>
      <w:r>
        <w:rPr>
          <w:lang w:val="en-GB"/>
        </w:rPr>
        <w:t xml:space="preserve">. </w:t>
      </w:r>
      <w:r w:rsidRPr="003060BA">
        <w:rPr>
          <w:lang w:val="en-GB"/>
        </w:rPr>
        <w:t xml:space="preserve">The company </w:t>
      </w:r>
      <w:r>
        <w:rPr>
          <w:lang w:val="en-GB"/>
        </w:rPr>
        <w:t xml:space="preserve">highlighted </w:t>
      </w:r>
      <w:r w:rsidRPr="003060BA">
        <w:rPr>
          <w:lang w:val="en-GB"/>
        </w:rPr>
        <w:t>that the pooled population is aligned with the marketing authorisation for niraparib and that it allows</w:t>
      </w:r>
      <w:r>
        <w:rPr>
          <w:lang w:val="en-GB"/>
        </w:rPr>
        <w:t xml:space="preserve"> survival</w:t>
      </w:r>
      <w:r w:rsidRPr="003060BA">
        <w:rPr>
          <w:lang w:val="en-GB"/>
        </w:rPr>
        <w:t xml:space="preserve"> outcomes of patients treated with niraparib to be compared with the UK-based, </w:t>
      </w:r>
      <w:r>
        <w:rPr>
          <w:lang w:val="en-GB"/>
        </w:rPr>
        <w:t xml:space="preserve">real-world evidence. Lord et al. 2020 published survival </w:t>
      </w:r>
      <w:r w:rsidRPr="003060BA">
        <w:rPr>
          <w:lang w:val="en-GB"/>
        </w:rPr>
        <w:t>outcomes of p</w:t>
      </w:r>
      <w:r>
        <w:rPr>
          <w:lang w:val="en-GB"/>
        </w:rPr>
        <w:t>eople</w:t>
      </w:r>
      <w:r w:rsidRPr="003060BA">
        <w:rPr>
          <w:lang w:val="en-GB"/>
        </w:rPr>
        <w:t xml:space="preserve"> treated with </w:t>
      </w:r>
      <w:r>
        <w:rPr>
          <w:lang w:val="en-GB"/>
        </w:rPr>
        <w:t xml:space="preserve">standard care across 13 National Health Service </w:t>
      </w:r>
      <w:r w:rsidR="008B1284">
        <w:rPr>
          <w:lang w:val="en-GB"/>
        </w:rPr>
        <w:t>t</w:t>
      </w:r>
      <w:r>
        <w:rPr>
          <w:lang w:val="en-GB"/>
        </w:rPr>
        <w:t>rusts</w:t>
      </w:r>
      <w:r w:rsidRPr="003060BA">
        <w:rPr>
          <w:lang w:val="en-GB"/>
        </w:rPr>
        <w:t>.</w:t>
      </w:r>
      <w:r>
        <w:rPr>
          <w:lang w:val="en-GB"/>
        </w:rPr>
        <w:t xml:space="preserve"> </w:t>
      </w:r>
      <w:r w:rsidRPr="00003BBC">
        <w:rPr>
          <w:lang w:val="en-GB"/>
        </w:rPr>
        <w:t>Th</w:t>
      </w:r>
      <w:r>
        <w:rPr>
          <w:lang w:val="en-GB"/>
        </w:rPr>
        <w:t xml:space="preserve">is </w:t>
      </w:r>
      <w:r w:rsidRPr="00003BBC">
        <w:rPr>
          <w:lang w:val="en-GB"/>
        </w:rPr>
        <w:t>study included patients who had completed</w:t>
      </w:r>
      <w:r>
        <w:rPr>
          <w:lang w:val="en-GB"/>
        </w:rPr>
        <w:t xml:space="preserve"> at least</w:t>
      </w:r>
      <w:r w:rsidRPr="00003BBC">
        <w:rPr>
          <w:lang w:val="en-GB"/>
        </w:rPr>
        <w:t xml:space="preserve"> </w:t>
      </w:r>
      <w:r w:rsidR="008B1284">
        <w:rPr>
          <w:lang w:val="en-GB"/>
        </w:rPr>
        <w:t>2</w:t>
      </w:r>
      <w:r w:rsidR="008B1284" w:rsidRPr="00003BBC">
        <w:rPr>
          <w:lang w:val="en-GB"/>
        </w:rPr>
        <w:t xml:space="preserve"> </w:t>
      </w:r>
      <w:r w:rsidRPr="00003BBC">
        <w:rPr>
          <w:lang w:val="en-GB"/>
        </w:rPr>
        <w:t xml:space="preserve">lines of platinum-based chemotherapy with evidence of an objective </w:t>
      </w:r>
      <w:r w:rsidR="008B1284">
        <w:rPr>
          <w:lang w:val="en-GB"/>
        </w:rPr>
        <w:t xml:space="preserve">disease </w:t>
      </w:r>
      <w:r w:rsidRPr="00003BBC">
        <w:rPr>
          <w:lang w:val="en-GB"/>
        </w:rPr>
        <w:t xml:space="preserve">response (complete or partial response), similar to </w:t>
      </w:r>
      <w:r w:rsidR="008B1284">
        <w:rPr>
          <w:lang w:val="en-GB"/>
        </w:rPr>
        <w:t>people</w:t>
      </w:r>
      <w:r w:rsidR="008B1284" w:rsidRPr="00003BBC">
        <w:rPr>
          <w:lang w:val="en-GB"/>
        </w:rPr>
        <w:t xml:space="preserve"> </w:t>
      </w:r>
      <w:r w:rsidRPr="00003BBC">
        <w:rPr>
          <w:lang w:val="en-GB"/>
        </w:rPr>
        <w:t>enrolled in NOVA.</w:t>
      </w:r>
      <w:r>
        <w:rPr>
          <w:lang w:val="en-GB"/>
        </w:rPr>
        <w:t xml:space="preserve"> </w:t>
      </w:r>
      <w:r w:rsidRPr="00003BBC">
        <w:rPr>
          <w:lang w:val="en-GB"/>
        </w:rPr>
        <w:t>BRCA</w:t>
      </w:r>
      <w:r>
        <w:rPr>
          <w:lang w:val="en-GB"/>
        </w:rPr>
        <w:t xml:space="preserve"> mutation</w:t>
      </w:r>
      <w:r w:rsidRPr="00003BBC">
        <w:rPr>
          <w:lang w:val="en-GB"/>
        </w:rPr>
        <w:t xml:space="preserve"> status was unknown for </w:t>
      </w:r>
      <w:r w:rsidR="00CF0208">
        <w:rPr>
          <w:lang w:val="en-GB"/>
        </w:rPr>
        <w:t>most</w:t>
      </w:r>
      <w:r>
        <w:rPr>
          <w:lang w:val="en-GB"/>
        </w:rPr>
        <w:t xml:space="preserve"> </w:t>
      </w:r>
      <w:r w:rsidR="008B1284">
        <w:rPr>
          <w:lang w:val="en-GB"/>
        </w:rPr>
        <w:t>people in the study</w:t>
      </w:r>
      <w:r>
        <w:rPr>
          <w:lang w:val="en-GB"/>
        </w:rPr>
        <w:t xml:space="preserve"> </w:t>
      </w:r>
      <w:r w:rsidRPr="00003BBC">
        <w:rPr>
          <w:lang w:val="en-GB"/>
        </w:rPr>
        <w:t>(84.5%)</w:t>
      </w:r>
      <w:r w:rsidR="00CF0208">
        <w:rPr>
          <w:lang w:val="en-GB"/>
        </w:rPr>
        <w:t>,</w:t>
      </w:r>
      <w:r w:rsidRPr="00003BBC">
        <w:rPr>
          <w:lang w:val="en-GB"/>
        </w:rPr>
        <w:t xml:space="preserve"> </w:t>
      </w:r>
      <w:r>
        <w:rPr>
          <w:lang w:val="en-GB"/>
        </w:rPr>
        <w:t>so</w:t>
      </w:r>
      <w:r w:rsidRPr="00003BBC">
        <w:rPr>
          <w:lang w:val="en-GB"/>
        </w:rPr>
        <w:t xml:space="preserve"> </w:t>
      </w:r>
      <w:r>
        <w:rPr>
          <w:lang w:val="en-GB"/>
        </w:rPr>
        <w:t>r</w:t>
      </w:r>
      <w:r w:rsidRPr="00003BBC">
        <w:rPr>
          <w:lang w:val="en-GB"/>
        </w:rPr>
        <w:t xml:space="preserve">esults were not available by BRCA </w:t>
      </w:r>
      <w:r w:rsidRPr="00003BBC">
        <w:rPr>
          <w:lang w:val="en-GB"/>
        </w:rPr>
        <w:lastRenderedPageBreak/>
        <w:t>status.</w:t>
      </w:r>
      <w:r>
        <w:rPr>
          <w:lang w:val="en-GB"/>
        </w:rPr>
        <w:t xml:space="preserve"> The</w:t>
      </w:r>
      <w:r w:rsidR="006C4BE2">
        <w:rPr>
          <w:lang w:val="en-GB"/>
        </w:rPr>
        <w:t xml:space="preserve"> commit</w:t>
      </w:r>
      <w:r w:rsidR="008370BB">
        <w:rPr>
          <w:lang w:val="en-GB"/>
        </w:rPr>
        <w:t>t</w:t>
      </w:r>
      <w:r w:rsidR="006C4BE2">
        <w:rPr>
          <w:lang w:val="en-GB"/>
        </w:rPr>
        <w:t>ee</w:t>
      </w:r>
      <w:r>
        <w:rPr>
          <w:lang w:val="en-GB"/>
        </w:rPr>
        <w:t xml:space="preserve"> </w:t>
      </w:r>
      <w:r w:rsidR="006A1C29">
        <w:rPr>
          <w:lang w:val="en-GB"/>
        </w:rPr>
        <w:t xml:space="preserve">noted this was a post-hoc analysis and </w:t>
      </w:r>
      <w:r>
        <w:rPr>
          <w:lang w:val="en-GB"/>
        </w:rPr>
        <w:t xml:space="preserve">recalled the population included in the scope of the </w:t>
      </w:r>
      <w:r w:rsidR="008B1284">
        <w:rPr>
          <w:lang w:val="en-GB"/>
        </w:rPr>
        <w:t xml:space="preserve">Cancer Drug Fund </w:t>
      </w:r>
      <w:r>
        <w:rPr>
          <w:lang w:val="en-GB"/>
        </w:rPr>
        <w:t xml:space="preserve">review included only people </w:t>
      </w:r>
      <w:r w:rsidR="008B1284">
        <w:rPr>
          <w:lang w:val="en-GB"/>
        </w:rPr>
        <w:t>with</w:t>
      </w:r>
      <w:r w:rsidR="00F237E6">
        <w:rPr>
          <w:lang w:val="en-GB"/>
        </w:rPr>
        <w:t xml:space="preserve"> a</w:t>
      </w:r>
      <w:r>
        <w:rPr>
          <w:lang w:val="en-GB"/>
        </w:rPr>
        <w:t xml:space="preserve"> </w:t>
      </w:r>
      <w:r w:rsidRPr="00D97757">
        <w:rPr>
          <w:lang w:val="en-GB"/>
        </w:rPr>
        <w:t>BRCA mutation who have had 2</w:t>
      </w:r>
      <w:r w:rsidR="008B1284">
        <w:rPr>
          <w:lang w:val="en-GB"/>
        </w:rPr>
        <w:t> </w:t>
      </w:r>
      <w:r w:rsidRPr="00D97757">
        <w:rPr>
          <w:lang w:val="en-GB"/>
        </w:rPr>
        <w:t>lines of platinum-based chemotherapy</w:t>
      </w:r>
      <w:r>
        <w:rPr>
          <w:lang w:val="en-GB"/>
        </w:rPr>
        <w:t xml:space="preserve"> and </w:t>
      </w:r>
      <w:r w:rsidRPr="00D97757">
        <w:rPr>
          <w:lang w:val="en-GB"/>
        </w:rPr>
        <w:t>people without a BRCA mutation who have had 2 or more lines of platinum-based chemotherapy</w:t>
      </w:r>
      <w:r>
        <w:rPr>
          <w:lang w:val="en-GB"/>
        </w:rPr>
        <w:t>.</w:t>
      </w:r>
      <w:r w:rsidRPr="00D97757">
        <w:rPr>
          <w:lang w:val="en-GB"/>
        </w:rPr>
        <w:t xml:space="preserve"> </w:t>
      </w:r>
      <w:r>
        <w:rPr>
          <w:lang w:val="en-GB"/>
        </w:rPr>
        <w:t xml:space="preserve">The ERG explained that the median </w:t>
      </w:r>
      <w:r w:rsidR="00CF0208">
        <w:rPr>
          <w:lang w:val="en-GB"/>
        </w:rPr>
        <w:t xml:space="preserve">number of </w:t>
      </w:r>
      <w:r w:rsidR="008B1284">
        <w:rPr>
          <w:lang w:val="en-GB"/>
        </w:rPr>
        <w:t xml:space="preserve">previous </w:t>
      </w:r>
      <w:r>
        <w:rPr>
          <w:lang w:val="en-GB"/>
        </w:rPr>
        <w:t>lines of therapy in Lord et al</w:t>
      </w:r>
      <w:r w:rsidR="00E55281">
        <w:rPr>
          <w:lang w:val="en-GB"/>
        </w:rPr>
        <w:t>.</w:t>
      </w:r>
      <w:r>
        <w:rPr>
          <w:lang w:val="en-GB"/>
        </w:rPr>
        <w:t xml:space="preserve"> 2020 was 3. Including people with a </w:t>
      </w:r>
      <w:r w:rsidRPr="00003BBC">
        <w:rPr>
          <w:lang w:val="en-GB"/>
        </w:rPr>
        <w:t>BRCA mutation who had 3 or more courses of chemotherapy</w:t>
      </w:r>
      <w:r>
        <w:rPr>
          <w:lang w:val="en-GB"/>
        </w:rPr>
        <w:t xml:space="preserve"> (a population outside the scope of this appraisal) in the routine surveillance arm could overestimate the </w:t>
      </w:r>
      <w:r w:rsidRPr="00003BBC">
        <w:rPr>
          <w:lang w:val="en-GB"/>
        </w:rPr>
        <w:t>efficacy of niraparib</w:t>
      </w:r>
      <w:r>
        <w:rPr>
          <w:lang w:val="en-GB"/>
        </w:rPr>
        <w:t>. The clinical expert explained that although</w:t>
      </w:r>
      <w:r w:rsidR="00897A5C">
        <w:rPr>
          <w:lang w:val="en-GB"/>
        </w:rPr>
        <w:t xml:space="preserve"> both people with and without</w:t>
      </w:r>
      <w:r w:rsidR="00BB3C34">
        <w:rPr>
          <w:lang w:val="en-GB"/>
        </w:rPr>
        <w:t xml:space="preserve"> a</w:t>
      </w:r>
      <w:r w:rsidR="00897A5C">
        <w:rPr>
          <w:lang w:val="en-GB"/>
        </w:rPr>
        <w:t xml:space="preserve"> BRCA mutation</w:t>
      </w:r>
      <w:r w:rsidR="00BB3C34">
        <w:rPr>
          <w:lang w:val="en-GB"/>
        </w:rPr>
        <w:t xml:space="preserve"> could</w:t>
      </w:r>
      <w:r w:rsidR="00897A5C">
        <w:rPr>
          <w:lang w:val="en-GB"/>
        </w:rPr>
        <w:t xml:space="preserve"> </w:t>
      </w:r>
      <w:r w:rsidR="00807045">
        <w:rPr>
          <w:lang w:val="en-GB"/>
        </w:rPr>
        <w:t>have</w:t>
      </w:r>
      <w:r w:rsidR="000344A3">
        <w:rPr>
          <w:lang w:val="en-GB"/>
        </w:rPr>
        <w:t xml:space="preserve"> </w:t>
      </w:r>
      <w:r w:rsidR="00897A5C">
        <w:rPr>
          <w:lang w:val="en-GB"/>
        </w:rPr>
        <w:t>niraparib,</w:t>
      </w:r>
      <w:r w:rsidR="00BB3C34">
        <w:rPr>
          <w:lang w:val="en-GB"/>
        </w:rPr>
        <w:t xml:space="preserve"> </w:t>
      </w:r>
      <w:r w:rsidR="00897A5C">
        <w:rPr>
          <w:lang w:val="en-GB"/>
        </w:rPr>
        <w:t>clinical trial evidence suggests considering the</w:t>
      </w:r>
      <w:r w:rsidR="00807045">
        <w:rPr>
          <w:lang w:val="en-GB"/>
        </w:rPr>
        <w:t>se</w:t>
      </w:r>
      <w:r w:rsidR="00897A5C">
        <w:rPr>
          <w:lang w:val="en-GB"/>
        </w:rPr>
        <w:t xml:space="preserve"> groups separately because prognosis is different for each subgroup</w:t>
      </w:r>
      <w:r w:rsidR="00BB3C34">
        <w:rPr>
          <w:lang w:val="en-GB"/>
        </w:rPr>
        <w:t>.</w:t>
      </w:r>
      <w:r>
        <w:rPr>
          <w:lang w:val="en-GB"/>
        </w:rPr>
        <w:t xml:space="preserve"> The committee concluded that the </w:t>
      </w:r>
      <w:r w:rsidRPr="00B7108D">
        <w:rPr>
          <w:lang w:val="en-GB"/>
        </w:rPr>
        <w:t>overall trial population is not suitable for decision</w:t>
      </w:r>
      <w:r w:rsidR="00F815E0">
        <w:rPr>
          <w:lang w:val="en-GB"/>
        </w:rPr>
        <w:t xml:space="preserve"> </w:t>
      </w:r>
      <w:r w:rsidRPr="00B7108D">
        <w:rPr>
          <w:lang w:val="en-GB"/>
        </w:rPr>
        <w:t>making</w:t>
      </w:r>
      <w:r>
        <w:rPr>
          <w:lang w:val="en-GB"/>
        </w:rPr>
        <w:t xml:space="preserve"> and that the subgroups of interest in this appraisal are</w:t>
      </w:r>
      <w:r w:rsidRPr="00D97757">
        <w:rPr>
          <w:lang w:val="en-GB"/>
        </w:rPr>
        <w:t xml:space="preserve"> people with a BRCA mutation who have had 2</w:t>
      </w:r>
      <w:r w:rsidR="00F815E0">
        <w:rPr>
          <w:lang w:val="en-GB"/>
        </w:rPr>
        <w:t> </w:t>
      </w:r>
      <w:r w:rsidRPr="00D97757">
        <w:rPr>
          <w:lang w:val="en-GB"/>
        </w:rPr>
        <w:t>lines of platinum-based chemotherapy or people without a BRCA mutation who have had 2 or more lines of platinum-based chemotherapy.</w:t>
      </w:r>
    </w:p>
    <w:p w14:paraId="679DE9BB" w14:textId="3FD8AA95" w:rsidR="00876212" w:rsidRDefault="00876212" w:rsidP="00876212">
      <w:pPr>
        <w:pStyle w:val="Heading3"/>
        <w:rPr>
          <w:bCs w:val="0"/>
        </w:rPr>
      </w:pPr>
      <w:r>
        <w:t>Data from t</w:t>
      </w:r>
      <w:r w:rsidRPr="00293CA2">
        <w:t>he s</w:t>
      </w:r>
      <w:r w:rsidRPr="00293CA2">
        <w:rPr>
          <w:bCs w:val="0"/>
        </w:rPr>
        <w:t>ystemic anti-cancer therapy (SACT)</w:t>
      </w:r>
      <w:r w:rsidR="00493352">
        <w:rPr>
          <w:bCs w:val="0"/>
        </w:rPr>
        <w:t xml:space="preserve"> database</w:t>
      </w:r>
      <w:r w:rsidRPr="00293CA2">
        <w:rPr>
          <w:bCs w:val="0"/>
        </w:rPr>
        <w:t xml:space="preserve"> </w:t>
      </w:r>
      <w:r w:rsidR="00C36C33">
        <w:rPr>
          <w:bCs w:val="0"/>
        </w:rPr>
        <w:t xml:space="preserve">is </w:t>
      </w:r>
      <w:r>
        <w:rPr>
          <w:bCs w:val="0"/>
        </w:rPr>
        <w:t xml:space="preserve">less relevant than updated data from NOVA </w:t>
      </w:r>
    </w:p>
    <w:p w14:paraId="0505D79B" w14:textId="1853F31F" w:rsidR="00876212" w:rsidRPr="00876212" w:rsidRDefault="00876212" w:rsidP="00876212">
      <w:pPr>
        <w:pStyle w:val="Numberedlevel2text"/>
        <w:numPr>
          <w:ilvl w:val="1"/>
          <w:numId w:val="1"/>
        </w:numPr>
      </w:pPr>
      <w:r w:rsidRPr="00293CA2">
        <w:rPr>
          <w:lang w:val="en-GB"/>
        </w:rPr>
        <w:t xml:space="preserve">Observational data for patients in the Cancer Drugs Fund from the SACT dataset </w:t>
      </w:r>
      <w:r w:rsidR="00C36C33">
        <w:rPr>
          <w:lang w:val="en-GB"/>
        </w:rPr>
        <w:t>was</w:t>
      </w:r>
      <w:r w:rsidR="00C36C33" w:rsidRPr="00293CA2">
        <w:rPr>
          <w:lang w:val="en-GB"/>
        </w:rPr>
        <w:t xml:space="preserve"> </w:t>
      </w:r>
      <w:r w:rsidRPr="00293CA2">
        <w:rPr>
          <w:lang w:val="en-GB"/>
        </w:rPr>
        <w:t>presented by the company</w:t>
      </w:r>
      <w:r>
        <w:rPr>
          <w:lang w:val="en-GB"/>
        </w:rPr>
        <w:t xml:space="preserve"> </w:t>
      </w:r>
      <w:r w:rsidRPr="00293CA2">
        <w:rPr>
          <w:lang w:val="en-GB"/>
        </w:rPr>
        <w:t xml:space="preserve">but </w:t>
      </w:r>
      <w:r w:rsidR="00CF0208">
        <w:rPr>
          <w:lang w:val="en-GB"/>
        </w:rPr>
        <w:t xml:space="preserve">were </w:t>
      </w:r>
      <w:r w:rsidRPr="00293CA2">
        <w:rPr>
          <w:lang w:val="en-GB"/>
        </w:rPr>
        <w:t>not</w:t>
      </w:r>
      <w:r>
        <w:rPr>
          <w:lang w:val="en-GB"/>
        </w:rPr>
        <w:t xml:space="preserve"> originally</w:t>
      </w:r>
      <w:r w:rsidRPr="00293CA2">
        <w:rPr>
          <w:lang w:val="en-GB"/>
        </w:rPr>
        <w:t xml:space="preserve"> included in its economic analysis</w:t>
      </w:r>
      <w:r>
        <w:rPr>
          <w:lang w:val="en-GB"/>
        </w:rPr>
        <w:t xml:space="preserve">. The </w:t>
      </w:r>
      <w:r w:rsidRPr="00AA4A51">
        <w:rPr>
          <w:lang w:val="en-GB"/>
        </w:rPr>
        <w:t>December 2019 data cut</w:t>
      </w:r>
      <w:r>
        <w:rPr>
          <w:lang w:val="en-GB"/>
        </w:rPr>
        <w:t xml:space="preserve"> found</w:t>
      </w:r>
      <w:r w:rsidRPr="00AA4A51">
        <w:rPr>
          <w:lang w:val="en-GB"/>
        </w:rPr>
        <w:t xml:space="preserve"> </w:t>
      </w:r>
      <w:r w:rsidR="00CF0208">
        <w:rPr>
          <w:lang w:val="en-GB"/>
        </w:rPr>
        <w:t xml:space="preserve">that </w:t>
      </w:r>
      <w:r w:rsidRPr="00AA4A51">
        <w:rPr>
          <w:lang w:val="en-GB"/>
        </w:rPr>
        <w:t>43% (</w:t>
      </w:r>
      <w:r w:rsidR="008C6E79">
        <w:rPr>
          <w:lang w:val="en-GB"/>
        </w:rPr>
        <w:t>n</w:t>
      </w:r>
      <w:r w:rsidRPr="00AA4A51">
        <w:rPr>
          <w:lang w:val="en-GB"/>
        </w:rPr>
        <w:t xml:space="preserve">=68) of </w:t>
      </w:r>
      <w:r>
        <w:rPr>
          <w:lang w:val="en-GB"/>
        </w:rPr>
        <w:t>people with</w:t>
      </w:r>
      <w:r w:rsidR="00C35DC8">
        <w:rPr>
          <w:lang w:val="en-GB"/>
        </w:rPr>
        <w:t xml:space="preserve"> a</w:t>
      </w:r>
      <w:r>
        <w:rPr>
          <w:lang w:val="en-GB"/>
        </w:rPr>
        <w:t xml:space="preserve"> BRCA mutation</w:t>
      </w:r>
      <w:r w:rsidRPr="00AA4A51">
        <w:rPr>
          <w:lang w:val="en-GB"/>
        </w:rPr>
        <w:t xml:space="preserve"> and 59% (</w:t>
      </w:r>
      <w:r w:rsidR="008C6E79">
        <w:rPr>
          <w:lang w:val="en-GB"/>
        </w:rPr>
        <w:t>n</w:t>
      </w:r>
      <w:r w:rsidRPr="00AA4A51">
        <w:rPr>
          <w:lang w:val="en-GB"/>
        </w:rPr>
        <w:t xml:space="preserve">=509) </w:t>
      </w:r>
      <w:r>
        <w:rPr>
          <w:lang w:val="en-GB"/>
        </w:rPr>
        <w:t>of people without a BRCA mutation</w:t>
      </w:r>
      <w:r w:rsidRPr="00AA4A51">
        <w:rPr>
          <w:lang w:val="en-GB"/>
        </w:rPr>
        <w:t xml:space="preserve"> had completed treatment, that is, patients had stopped treatment </w:t>
      </w:r>
      <w:r w:rsidR="00CF0208">
        <w:rPr>
          <w:lang w:val="en-GB"/>
        </w:rPr>
        <w:t xml:space="preserve">because of </w:t>
      </w:r>
      <w:r w:rsidRPr="00AA4A51">
        <w:rPr>
          <w:lang w:val="en-GB"/>
        </w:rPr>
        <w:t xml:space="preserve">progression, acute toxicity, patient choice, </w:t>
      </w:r>
      <w:r w:rsidR="00CF0208">
        <w:rPr>
          <w:lang w:val="en-GB"/>
        </w:rPr>
        <w:t xml:space="preserve">or </w:t>
      </w:r>
      <w:r>
        <w:rPr>
          <w:lang w:val="en-GB"/>
        </w:rPr>
        <w:t>death</w:t>
      </w:r>
      <w:r w:rsidRPr="00AA4A51">
        <w:rPr>
          <w:lang w:val="en-GB"/>
        </w:rPr>
        <w:t xml:space="preserve">, or </w:t>
      </w:r>
      <w:r w:rsidR="00CF0208">
        <w:rPr>
          <w:lang w:val="en-GB"/>
        </w:rPr>
        <w:t xml:space="preserve">because </w:t>
      </w:r>
      <w:r w:rsidRPr="00AA4A51">
        <w:rPr>
          <w:lang w:val="en-GB"/>
        </w:rPr>
        <w:t>the patient did not have a treatment record</w:t>
      </w:r>
      <w:r w:rsidR="0078403D">
        <w:rPr>
          <w:lang w:val="en-GB"/>
        </w:rPr>
        <w:t xml:space="preserve"> entered</w:t>
      </w:r>
      <w:r w:rsidRPr="00AA4A51">
        <w:rPr>
          <w:lang w:val="en-GB"/>
        </w:rPr>
        <w:t xml:space="preserve"> in SACT in at least </w:t>
      </w:r>
      <w:r w:rsidR="008C6E79">
        <w:rPr>
          <w:lang w:val="en-GB"/>
        </w:rPr>
        <w:t>3 </w:t>
      </w:r>
      <w:r w:rsidRPr="00AA4A51">
        <w:rPr>
          <w:lang w:val="en-GB"/>
        </w:rPr>
        <w:t>months. Median follow</w:t>
      </w:r>
      <w:r w:rsidR="008C6E79">
        <w:rPr>
          <w:lang w:val="en-GB"/>
        </w:rPr>
        <w:t xml:space="preserve"> </w:t>
      </w:r>
      <w:r w:rsidRPr="00AA4A51">
        <w:rPr>
          <w:lang w:val="en-GB"/>
        </w:rPr>
        <w:t xml:space="preserve">up for </w:t>
      </w:r>
      <w:r>
        <w:rPr>
          <w:lang w:val="en-GB"/>
        </w:rPr>
        <w:t>overall survival</w:t>
      </w:r>
      <w:r w:rsidRPr="00AA4A51">
        <w:rPr>
          <w:lang w:val="en-GB"/>
        </w:rPr>
        <w:t xml:space="preserve"> was 20.3</w:t>
      </w:r>
      <w:r w:rsidR="008C6E79">
        <w:rPr>
          <w:lang w:val="en-GB"/>
        </w:rPr>
        <w:t> </w:t>
      </w:r>
      <w:r w:rsidRPr="00AA4A51">
        <w:rPr>
          <w:lang w:val="en-GB"/>
        </w:rPr>
        <w:t>months and 17.5</w:t>
      </w:r>
      <w:r w:rsidR="008C6E79">
        <w:rPr>
          <w:lang w:val="en-GB"/>
        </w:rPr>
        <w:t> </w:t>
      </w:r>
      <w:r w:rsidRPr="00AA4A51">
        <w:rPr>
          <w:lang w:val="en-GB"/>
        </w:rPr>
        <w:t xml:space="preserve">months for the </w:t>
      </w:r>
      <w:r>
        <w:rPr>
          <w:lang w:val="en-GB"/>
        </w:rPr>
        <w:t>BRCA mutation positive</w:t>
      </w:r>
      <w:r w:rsidRPr="00AA4A51">
        <w:rPr>
          <w:lang w:val="en-GB"/>
        </w:rPr>
        <w:t xml:space="preserve"> and</w:t>
      </w:r>
      <w:r>
        <w:rPr>
          <w:lang w:val="en-GB"/>
        </w:rPr>
        <w:t xml:space="preserve"> BRCA mutation negative subgroups</w:t>
      </w:r>
      <w:r w:rsidRPr="00AA4A51">
        <w:rPr>
          <w:lang w:val="en-GB"/>
        </w:rPr>
        <w:t xml:space="preserve"> respectively. Median </w:t>
      </w:r>
      <w:r>
        <w:rPr>
          <w:lang w:val="en-GB"/>
        </w:rPr>
        <w:t>overall survival</w:t>
      </w:r>
      <w:r w:rsidRPr="00AA4A51">
        <w:rPr>
          <w:lang w:val="en-GB"/>
        </w:rPr>
        <w:t xml:space="preserve"> was not reached for the </w:t>
      </w:r>
      <w:r>
        <w:rPr>
          <w:lang w:val="en-GB"/>
        </w:rPr>
        <w:t>BRCA mutation positive</w:t>
      </w:r>
      <w:r w:rsidRPr="00AA4A51">
        <w:rPr>
          <w:lang w:val="en-GB"/>
        </w:rPr>
        <w:t xml:space="preserve"> </w:t>
      </w:r>
      <w:r w:rsidR="00290332">
        <w:rPr>
          <w:lang w:val="en-GB"/>
        </w:rPr>
        <w:t>subgroup,</w:t>
      </w:r>
      <w:r>
        <w:rPr>
          <w:lang w:val="en-GB"/>
        </w:rPr>
        <w:t xml:space="preserve"> </w:t>
      </w:r>
      <w:r w:rsidRPr="00AA4A51">
        <w:rPr>
          <w:lang w:val="en-GB"/>
        </w:rPr>
        <w:t>but the survival rates show that 87% were alive at 12</w:t>
      </w:r>
      <w:r w:rsidR="00827826">
        <w:rPr>
          <w:lang w:val="en-GB"/>
        </w:rPr>
        <w:t> </w:t>
      </w:r>
      <w:r w:rsidRPr="00AA4A51">
        <w:rPr>
          <w:lang w:val="en-GB"/>
        </w:rPr>
        <w:t xml:space="preserve">months, </w:t>
      </w:r>
      <w:r w:rsidR="00CF0208">
        <w:rPr>
          <w:lang w:val="en-GB"/>
        </w:rPr>
        <w:t xml:space="preserve">and </w:t>
      </w:r>
      <w:r w:rsidRPr="00AA4A51">
        <w:rPr>
          <w:lang w:val="en-GB"/>
        </w:rPr>
        <w:t>64% at 24</w:t>
      </w:r>
      <w:r w:rsidR="00827826">
        <w:rPr>
          <w:lang w:val="en-GB"/>
        </w:rPr>
        <w:t> </w:t>
      </w:r>
      <w:r w:rsidRPr="00AA4A51">
        <w:rPr>
          <w:lang w:val="en-GB"/>
        </w:rPr>
        <w:t xml:space="preserve">months. For the </w:t>
      </w:r>
      <w:r>
        <w:rPr>
          <w:lang w:val="en-GB"/>
        </w:rPr>
        <w:t>BRCA mutation negative subgroup,</w:t>
      </w:r>
      <w:r w:rsidRPr="00AA4A51">
        <w:rPr>
          <w:lang w:val="en-GB"/>
        </w:rPr>
        <w:t xml:space="preserve"> median </w:t>
      </w:r>
      <w:r>
        <w:rPr>
          <w:lang w:val="en-GB"/>
        </w:rPr>
        <w:t>overall survival</w:t>
      </w:r>
      <w:r w:rsidRPr="00AA4A51">
        <w:rPr>
          <w:lang w:val="en-GB"/>
        </w:rPr>
        <w:t xml:space="preserve"> was </w:t>
      </w:r>
      <w:r w:rsidRPr="00AA4A51">
        <w:rPr>
          <w:lang w:val="en-GB"/>
        </w:rPr>
        <w:lastRenderedPageBreak/>
        <w:t>22.6</w:t>
      </w:r>
      <w:r w:rsidR="00827826">
        <w:rPr>
          <w:lang w:val="en-GB"/>
        </w:rPr>
        <w:t> </w:t>
      </w:r>
      <w:r w:rsidRPr="00AA4A51">
        <w:rPr>
          <w:lang w:val="en-GB"/>
        </w:rPr>
        <w:t>months.</w:t>
      </w:r>
      <w:r>
        <w:rPr>
          <w:lang w:val="en-GB"/>
        </w:rPr>
        <w:t xml:space="preserve"> The ERG highlighted that </w:t>
      </w:r>
      <w:r w:rsidRPr="00464EA3">
        <w:rPr>
          <w:lang w:val="en-GB"/>
        </w:rPr>
        <w:t xml:space="preserve">differences </w:t>
      </w:r>
      <w:r w:rsidR="0078403D">
        <w:rPr>
          <w:lang w:val="en-GB"/>
        </w:rPr>
        <w:t xml:space="preserve">seen </w:t>
      </w:r>
      <w:r w:rsidRPr="00464EA3">
        <w:rPr>
          <w:lang w:val="en-GB"/>
        </w:rPr>
        <w:t xml:space="preserve">between SACT and NOVA </w:t>
      </w:r>
      <w:r>
        <w:rPr>
          <w:lang w:val="en-GB"/>
        </w:rPr>
        <w:t xml:space="preserve">results </w:t>
      </w:r>
      <w:r w:rsidRPr="00464EA3">
        <w:rPr>
          <w:lang w:val="en-GB"/>
        </w:rPr>
        <w:t xml:space="preserve">are likely to be </w:t>
      </w:r>
      <w:r w:rsidR="0078403D">
        <w:rPr>
          <w:lang w:val="en-GB"/>
        </w:rPr>
        <w:t>because of</w:t>
      </w:r>
      <w:r>
        <w:rPr>
          <w:lang w:val="en-GB"/>
        </w:rPr>
        <w:t xml:space="preserve"> </w:t>
      </w:r>
      <w:r w:rsidRPr="00464EA3">
        <w:rPr>
          <w:lang w:val="en-GB"/>
        </w:rPr>
        <w:t>differences between patient populations</w:t>
      </w:r>
      <w:r>
        <w:rPr>
          <w:lang w:val="en-GB"/>
        </w:rPr>
        <w:t xml:space="preserve">. The committee </w:t>
      </w:r>
      <w:r w:rsidR="0078403D">
        <w:rPr>
          <w:lang w:val="en-GB"/>
        </w:rPr>
        <w:t xml:space="preserve">was </w:t>
      </w:r>
      <w:r>
        <w:rPr>
          <w:lang w:val="en-GB"/>
        </w:rPr>
        <w:t xml:space="preserve">aware that no comparator data </w:t>
      </w:r>
      <w:r w:rsidR="00C36C33">
        <w:rPr>
          <w:lang w:val="en-GB"/>
        </w:rPr>
        <w:t xml:space="preserve">is </w:t>
      </w:r>
      <w:r>
        <w:rPr>
          <w:lang w:val="en-GB"/>
        </w:rPr>
        <w:t xml:space="preserve">available from the SACT dataset. It considered </w:t>
      </w:r>
      <w:r>
        <w:t>alternative data sources for the comparator treatment arm</w:t>
      </w:r>
      <w:r>
        <w:rPr>
          <w:lang w:val="en-GB"/>
        </w:rPr>
        <w:t xml:space="preserve"> such as </w:t>
      </w:r>
      <w:r w:rsidR="0078403D">
        <w:rPr>
          <w:lang w:val="en-GB"/>
        </w:rPr>
        <w:t xml:space="preserve">the </w:t>
      </w:r>
      <w:r>
        <w:rPr>
          <w:lang w:val="en-GB"/>
        </w:rPr>
        <w:t>Study</w:t>
      </w:r>
      <w:r w:rsidR="0078403D">
        <w:rPr>
          <w:lang w:val="en-GB"/>
        </w:rPr>
        <w:t> </w:t>
      </w:r>
      <w:r>
        <w:rPr>
          <w:lang w:val="en-GB"/>
        </w:rPr>
        <w:t>19 placebo arm and Lord et al</w:t>
      </w:r>
      <w:r w:rsidR="00E55281">
        <w:rPr>
          <w:lang w:val="en-GB"/>
        </w:rPr>
        <w:t>.</w:t>
      </w:r>
      <w:r>
        <w:rPr>
          <w:lang w:val="en-GB"/>
        </w:rPr>
        <w:t xml:space="preserve"> 2020. The committee recalled that the</w:t>
      </w:r>
      <w:r w:rsidR="00897A5C">
        <w:rPr>
          <w:lang w:val="en-GB"/>
        </w:rPr>
        <w:t xml:space="preserve"> observational data is not split by</w:t>
      </w:r>
      <w:r w:rsidR="00BB3C34">
        <w:rPr>
          <w:lang w:val="en-GB"/>
        </w:rPr>
        <w:t xml:space="preserve"> </w:t>
      </w:r>
      <w:r w:rsidR="00897A5C">
        <w:rPr>
          <w:lang w:val="en-GB"/>
        </w:rPr>
        <w:t xml:space="preserve">BRCA </w:t>
      </w:r>
      <w:r w:rsidR="00807045">
        <w:rPr>
          <w:lang w:val="en-GB"/>
        </w:rPr>
        <w:t>status</w:t>
      </w:r>
      <w:r w:rsidR="00C36C33">
        <w:rPr>
          <w:lang w:val="en-GB"/>
        </w:rPr>
        <w:t xml:space="preserve"> </w:t>
      </w:r>
      <w:r>
        <w:rPr>
          <w:lang w:val="en-GB"/>
        </w:rPr>
        <w:t>(see section</w:t>
      </w:r>
      <w:r w:rsidR="00013057">
        <w:rPr>
          <w:lang w:val="en-GB"/>
        </w:rPr>
        <w:t> </w:t>
      </w:r>
      <w:r>
        <w:rPr>
          <w:lang w:val="en-GB"/>
        </w:rPr>
        <w:t>3.6)</w:t>
      </w:r>
      <w:r w:rsidR="00BB3C34">
        <w:rPr>
          <w:lang w:val="en-GB"/>
        </w:rPr>
        <w:t xml:space="preserve"> and </w:t>
      </w:r>
      <w:r w:rsidR="00807045">
        <w:rPr>
          <w:lang w:val="en-GB"/>
        </w:rPr>
        <w:t xml:space="preserve">so </w:t>
      </w:r>
      <w:r w:rsidR="00BB3C34">
        <w:rPr>
          <w:lang w:val="en-GB"/>
        </w:rPr>
        <w:t xml:space="preserve">did not consider it </w:t>
      </w:r>
      <w:r>
        <w:rPr>
          <w:lang w:val="en-GB"/>
        </w:rPr>
        <w:t>suitable for decision</w:t>
      </w:r>
      <w:r w:rsidR="00013057">
        <w:rPr>
          <w:lang w:val="en-GB"/>
        </w:rPr>
        <w:t xml:space="preserve"> </w:t>
      </w:r>
      <w:r>
        <w:rPr>
          <w:lang w:val="en-GB"/>
        </w:rPr>
        <w:t>making</w:t>
      </w:r>
      <w:r>
        <w:t xml:space="preserve">. </w:t>
      </w:r>
      <w:r>
        <w:rPr>
          <w:lang w:val="en-GB"/>
        </w:rPr>
        <w:t>The ERG explained that using Study</w:t>
      </w:r>
      <w:r w:rsidR="00013057">
        <w:rPr>
          <w:lang w:val="en-GB"/>
        </w:rPr>
        <w:t> </w:t>
      </w:r>
      <w:r>
        <w:rPr>
          <w:lang w:val="en-GB"/>
        </w:rPr>
        <w:t xml:space="preserve">19 placebo arm data would be comparing RCT data with </w:t>
      </w:r>
      <w:r w:rsidR="00897A5C">
        <w:rPr>
          <w:lang w:val="en-GB"/>
        </w:rPr>
        <w:t xml:space="preserve">non-randomised data </w:t>
      </w:r>
      <w:r w:rsidR="00807045">
        <w:rPr>
          <w:lang w:val="en-GB"/>
        </w:rPr>
        <w:t>which</w:t>
      </w:r>
      <w:r>
        <w:rPr>
          <w:lang w:val="en-GB"/>
        </w:rPr>
        <w:t xml:space="preserve"> </w:t>
      </w:r>
      <w:r w:rsidR="00897A5C">
        <w:rPr>
          <w:lang w:val="en-GB"/>
        </w:rPr>
        <w:t>may</w:t>
      </w:r>
      <w:r>
        <w:rPr>
          <w:lang w:val="en-GB"/>
        </w:rPr>
        <w:t xml:space="preserve"> underestimate the relative efficacy of niraparib </w:t>
      </w:r>
      <w:r w:rsidR="00013057">
        <w:rPr>
          <w:lang w:val="en-GB"/>
        </w:rPr>
        <w:t>because of</w:t>
      </w:r>
      <w:r>
        <w:rPr>
          <w:lang w:val="en-GB"/>
        </w:rPr>
        <w:t xml:space="preserve"> the high heterogeneity in the patient populations. The committee agreed that although subgroup data from NOVA may not be fully reflective of NHS clinical practice, it </w:t>
      </w:r>
      <w:r w:rsidR="00013057">
        <w:rPr>
          <w:lang w:val="en-GB"/>
        </w:rPr>
        <w:t>is still</w:t>
      </w:r>
      <w:r w:rsidR="00013057" w:rsidRPr="00F133C7">
        <w:rPr>
          <w:lang w:val="en-GB"/>
        </w:rPr>
        <w:t xml:space="preserve"> </w:t>
      </w:r>
      <w:r w:rsidRPr="00F133C7">
        <w:rPr>
          <w:lang w:val="en-GB"/>
        </w:rPr>
        <w:t>the</w:t>
      </w:r>
      <w:r>
        <w:rPr>
          <w:lang w:val="en-GB"/>
        </w:rPr>
        <w:t xml:space="preserve"> source of the</w:t>
      </w:r>
      <w:r w:rsidRPr="00F133C7">
        <w:rPr>
          <w:lang w:val="en-GB"/>
        </w:rPr>
        <w:t xml:space="preserve"> most mature and robust </w:t>
      </w:r>
      <w:r>
        <w:rPr>
          <w:lang w:val="en-GB"/>
        </w:rPr>
        <w:t xml:space="preserve">data for </w:t>
      </w:r>
      <w:r w:rsidRPr="00F133C7">
        <w:rPr>
          <w:lang w:val="en-GB"/>
        </w:rPr>
        <w:t>niraparib</w:t>
      </w:r>
      <w:r>
        <w:rPr>
          <w:lang w:val="en-GB"/>
        </w:rPr>
        <w:t xml:space="preserve">. The committee concluded that data from </w:t>
      </w:r>
      <w:r w:rsidR="00013057">
        <w:rPr>
          <w:lang w:val="en-GB"/>
        </w:rPr>
        <w:t xml:space="preserve">the </w:t>
      </w:r>
      <w:r w:rsidRPr="00F133C7">
        <w:rPr>
          <w:lang w:val="en-GB"/>
        </w:rPr>
        <w:t xml:space="preserve">SACT </w:t>
      </w:r>
      <w:r w:rsidR="00013057">
        <w:rPr>
          <w:lang w:val="en-GB"/>
        </w:rPr>
        <w:t xml:space="preserve">database </w:t>
      </w:r>
      <w:r w:rsidR="00C36C33">
        <w:rPr>
          <w:lang w:val="en-GB"/>
        </w:rPr>
        <w:t>is</w:t>
      </w:r>
      <w:r w:rsidR="00C36C33" w:rsidRPr="00F133C7">
        <w:rPr>
          <w:lang w:val="en-GB"/>
        </w:rPr>
        <w:t xml:space="preserve"> </w:t>
      </w:r>
      <w:r w:rsidRPr="00F133C7">
        <w:rPr>
          <w:lang w:val="en-GB"/>
        </w:rPr>
        <w:t xml:space="preserve">less </w:t>
      </w:r>
      <w:r w:rsidR="00897A5C">
        <w:rPr>
          <w:lang w:val="en-GB"/>
        </w:rPr>
        <w:t>useful for decision</w:t>
      </w:r>
      <w:r w:rsidR="00C36C33">
        <w:rPr>
          <w:lang w:val="en-GB"/>
        </w:rPr>
        <w:t xml:space="preserve"> </w:t>
      </w:r>
      <w:r w:rsidR="00897A5C">
        <w:rPr>
          <w:lang w:val="en-GB"/>
        </w:rPr>
        <w:t>making</w:t>
      </w:r>
      <w:r w:rsidRPr="00F133C7">
        <w:rPr>
          <w:lang w:val="en-GB"/>
        </w:rPr>
        <w:t xml:space="preserve"> than updated data from NOVA</w:t>
      </w:r>
      <w:r>
        <w:rPr>
          <w:lang w:val="en-GB"/>
        </w:rPr>
        <w:t>.</w:t>
      </w:r>
    </w:p>
    <w:p w14:paraId="2939F7FD" w14:textId="77777777" w:rsidR="002F6E86" w:rsidRPr="00293CA2" w:rsidRDefault="002F6E86" w:rsidP="002F6E86">
      <w:pPr>
        <w:pStyle w:val="Heading2"/>
      </w:pPr>
      <w:r w:rsidRPr="00293CA2">
        <w:t>Cost effectiveness</w:t>
      </w:r>
    </w:p>
    <w:p w14:paraId="2FEB5CA8" w14:textId="7101F601" w:rsidR="002F6E86" w:rsidRPr="00FA5D70" w:rsidRDefault="002F6E86" w:rsidP="002F6E86">
      <w:pPr>
        <w:pStyle w:val="Heading3"/>
        <w:rPr>
          <w:sz w:val="24"/>
          <w:szCs w:val="24"/>
        </w:rPr>
      </w:pPr>
      <w:r w:rsidRPr="00FA5D70">
        <w:rPr>
          <w:sz w:val="24"/>
          <w:szCs w:val="24"/>
        </w:rPr>
        <w:t xml:space="preserve">The company’s updated model </w:t>
      </w:r>
      <w:r w:rsidR="00C92B44">
        <w:rPr>
          <w:sz w:val="24"/>
          <w:szCs w:val="24"/>
        </w:rPr>
        <w:t>is suitable for decision</w:t>
      </w:r>
      <w:r w:rsidR="006242A0">
        <w:rPr>
          <w:sz w:val="24"/>
          <w:szCs w:val="24"/>
        </w:rPr>
        <w:t xml:space="preserve"> </w:t>
      </w:r>
      <w:r w:rsidR="00C92B44">
        <w:rPr>
          <w:sz w:val="24"/>
          <w:szCs w:val="24"/>
        </w:rPr>
        <w:t>making</w:t>
      </w:r>
    </w:p>
    <w:p w14:paraId="077E9545" w14:textId="49415FFB" w:rsidR="00526BE7" w:rsidRPr="00526BE7" w:rsidRDefault="00526BE7" w:rsidP="00C92B44">
      <w:pPr>
        <w:pStyle w:val="Numberedlevel2text"/>
      </w:pPr>
      <w:r w:rsidRPr="00526BE7">
        <w:t xml:space="preserve">The committee considered the preferred committee assumptions from the </w:t>
      </w:r>
      <w:hyperlink r:id="rId19" w:history="1">
        <w:r w:rsidR="0063075B" w:rsidRPr="003873D8">
          <w:rPr>
            <w:rStyle w:val="Hyperlink"/>
            <w:bCs w:val="0"/>
            <w:lang w:val="en-GB"/>
          </w:rPr>
          <w:t>original appraisal of niraparib</w:t>
        </w:r>
      </w:hyperlink>
      <w:r w:rsidRPr="00526BE7">
        <w:t>. It recalled that variation in the cost-effectiveness estimates was largely dependent</w:t>
      </w:r>
      <w:r w:rsidR="006861FA">
        <w:rPr>
          <w:lang w:val="en-GB"/>
        </w:rPr>
        <w:t xml:space="preserve"> o</w:t>
      </w:r>
      <w:r w:rsidR="006861FA" w:rsidRPr="006861FA">
        <w:rPr>
          <w:lang w:val="en-GB"/>
        </w:rPr>
        <w:t xml:space="preserve">n choice of survival curves to model </w:t>
      </w:r>
      <w:r w:rsidR="006861FA">
        <w:rPr>
          <w:lang w:val="en-GB"/>
        </w:rPr>
        <w:t>progression</w:t>
      </w:r>
      <w:r w:rsidR="0098663D">
        <w:rPr>
          <w:lang w:val="en-GB"/>
        </w:rPr>
        <w:t>-</w:t>
      </w:r>
      <w:r w:rsidR="006861FA">
        <w:rPr>
          <w:lang w:val="en-GB"/>
        </w:rPr>
        <w:t>free survival</w:t>
      </w:r>
      <w:r w:rsidR="00B85438">
        <w:rPr>
          <w:lang w:val="en-GB"/>
        </w:rPr>
        <w:t xml:space="preserve"> and ratio of the progression-free survival to overall survival benefit used to estimate overall survival</w:t>
      </w:r>
      <w:r w:rsidRPr="00526BE7">
        <w:t xml:space="preserve">. The committee </w:t>
      </w:r>
      <w:r w:rsidR="0063075B">
        <w:rPr>
          <w:lang w:val="en-GB"/>
        </w:rPr>
        <w:t>in the original appraisal</w:t>
      </w:r>
      <w:r w:rsidR="00C92B44">
        <w:rPr>
          <w:lang w:val="en-GB"/>
        </w:rPr>
        <w:t xml:space="preserve"> of niraparib</w:t>
      </w:r>
      <w:r w:rsidR="0063075B">
        <w:rPr>
          <w:lang w:val="en-GB"/>
        </w:rPr>
        <w:t xml:space="preserve"> </w:t>
      </w:r>
      <w:r w:rsidRPr="00526BE7">
        <w:t xml:space="preserve">had concluded that there was a plausible potential for </w:t>
      </w:r>
      <w:r w:rsidR="00B85438">
        <w:rPr>
          <w:lang w:val="en-GB"/>
        </w:rPr>
        <w:t xml:space="preserve">niraparib </w:t>
      </w:r>
      <w:r w:rsidRPr="00526BE7">
        <w:t xml:space="preserve">to be cost effective, and that updated survival data </w:t>
      </w:r>
      <w:r w:rsidR="0063075B">
        <w:rPr>
          <w:lang w:val="en-GB"/>
        </w:rPr>
        <w:t xml:space="preserve">from NOVA </w:t>
      </w:r>
      <w:r w:rsidRPr="00526BE7">
        <w:t>could reduce the uncertainty and produce more reliable cost-effectiveness estimates using the original economic model.</w:t>
      </w:r>
      <w:r w:rsidR="00742A3A">
        <w:rPr>
          <w:lang w:val="en-GB"/>
        </w:rPr>
        <w:t xml:space="preserve"> </w:t>
      </w:r>
      <w:r w:rsidR="00C92B44">
        <w:rPr>
          <w:lang w:val="en-GB"/>
        </w:rPr>
        <w:t>It</w:t>
      </w:r>
      <w:r w:rsidR="00742A3A">
        <w:rPr>
          <w:lang w:val="en-GB"/>
        </w:rPr>
        <w:t xml:space="preserve"> had accepted </w:t>
      </w:r>
      <w:r w:rsidR="00C92B44">
        <w:rPr>
          <w:lang w:val="en-GB"/>
        </w:rPr>
        <w:t>the company’s means-based model, noting that</w:t>
      </w:r>
      <w:r w:rsidR="00742A3A" w:rsidRPr="00C92B44">
        <w:rPr>
          <w:lang w:val="en-GB"/>
        </w:rPr>
        <w:t xml:space="preserve"> the choice of model structure was not critical to decision</w:t>
      </w:r>
      <w:r w:rsidR="0098663D">
        <w:rPr>
          <w:lang w:val="en-GB"/>
        </w:rPr>
        <w:t xml:space="preserve"> </w:t>
      </w:r>
      <w:r w:rsidR="00742A3A" w:rsidRPr="00C92B44">
        <w:rPr>
          <w:lang w:val="en-GB"/>
        </w:rPr>
        <w:t>making</w:t>
      </w:r>
      <w:r w:rsidR="00B018D4">
        <w:rPr>
          <w:lang w:val="en-GB"/>
        </w:rPr>
        <w:t>,</w:t>
      </w:r>
      <w:r w:rsidR="00742A3A" w:rsidRPr="00C92B44">
        <w:rPr>
          <w:lang w:val="en-GB"/>
        </w:rPr>
        <w:t xml:space="preserve"> </w:t>
      </w:r>
      <w:r w:rsidR="0098663D">
        <w:rPr>
          <w:lang w:val="en-GB"/>
        </w:rPr>
        <w:t xml:space="preserve">because </w:t>
      </w:r>
      <w:r w:rsidR="00742A3A" w:rsidRPr="00C92B44">
        <w:rPr>
          <w:lang w:val="en-GB"/>
        </w:rPr>
        <w:t xml:space="preserve">the company had explored other model structures such as the partitioned survival model and </w:t>
      </w:r>
      <w:r w:rsidR="00D1519F">
        <w:rPr>
          <w:lang w:val="en-GB"/>
        </w:rPr>
        <w:t>stated</w:t>
      </w:r>
      <w:r w:rsidR="00FA3EA7">
        <w:rPr>
          <w:lang w:val="en-GB"/>
        </w:rPr>
        <w:t xml:space="preserve"> </w:t>
      </w:r>
      <w:r w:rsidR="00742A3A" w:rsidRPr="00C92B44">
        <w:rPr>
          <w:lang w:val="en-GB"/>
        </w:rPr>
        <w:t xml:space="preserve">that results did not </w:t>
      </w:r>
      <w:r w:rsidR="007124FC" w:rsidRPr="00C92B44">
        <w:rPr>
          <w:lang w:val="en-GB"/>
        </w:rPr>
        <w:t>differ by much</w:t>
      </w:r>
      <w:r w:rsidR="00742A3A" w:rsidRPr="00C92B44">
        <w:rPr>
          <w:lang w:val="en-GB"/>
        </w:rPr>
        <w:t xml:space="preserve">. The ERG considered the </w:t>
      </w:r>
      <w:r w:rsidR="008117B2" w:rsidRPr="00C92B44">
        <w:rPr>
          <w:lang w:val="en-GB"/>
        </w:rPr>
        <w:t xml:space="preserve">company’s </w:t>
      </w:r>
      <w:r w:rsidR="00742A3A" w:rsidRPr="00C92B44">
        <w:rPr>
          <w:lang w:val="en-GB"/>
        </w:rPr>
        <w:t xml:space="preserve">means-based model structure </w:t>
      </w:r>
      <w:r w:rsidR="00742A3A" w:rsidRPr="00C92B44">
        <w:rPr>
          <w:lang w:val="en-GB"/>
        </w:rPr>
        <w:lastRenderedPageBreak/>
        <w:t xml:space="preserve">to be inappropriate now that mature survival data from NOVA </w:t>
      </w:r>
      <w:r w:rsidR="00C36C33">
        <w:rPr>
          <w:lang w:val="en-GB"/>
        </w:rPr>
        <w:t>is</w:t>
      </w:r>
      <w:r w:rsidR="00C36C33" w:rsidRPr="00C92B44">
        <w:rPr>
          <w:lang w:val="en-GB"/>
        </w:rPr>
        <w:t xml:space="preserve"> </w:t>
      </w:r>
      <w:r w:rsidR="00742A3A" w:rsidRPr="00C92B44">
        <w:rPr>
          <w:lang w:val="en-GB"/>
        </w:rPr>
        <w:t>available and considered</w:t>
      </w:r>
      <w:r w:rsidR="007124FC" w:rsidRPr="00C92B44">
        <w:rPr>
          <w:lang w:val="en-GB"/>
        </w:rPr>
        <w:t xml:space="preserve"> that </w:t>
      </w:r>
      <w:r w:rsidR="00C92B44">
        <w:rPr>
          <w:lang w:val="en-GB"/>
        </w:rPr>
        <w:t>a</w:t>
      </w:r>
      <w:r w:rsidR="007124FC" w:rsidRPr="00C92B44">
        <w:rPr>
          <w:lang w:val="en-GB"/>
        </w:rPr>
        <w:t xml:space="preserve"> partitioned survival model should be used to validate results </w:t>
      </w:r>
      <w:r w:rsidR="008117B2" w:rsidRPr="00C92B44">
        <w:rPr>
          <w:lang w:val="en-GB"/>
        </w:rPr>
        <w:t>of</w:t>
      </w:r>
      <w:r w:rsidR="007124FC" w:rsidRPr="00C92B44">
        <w:rPr>
          <w:lang w:val="en-GB"/>
        </w:rPr>
        <w:t xml:space="preserve"> the company model. The </w:t>
      </w:r>
      <w:r w:rsidR="007124FC">
        <w:t>committee</w:t>
      </w:r>
      <w:r w:rsidR="007124FC" w:rsidRPr="00C92B44">
        <w:rPr>
          <w:lang w:val="en-GB"/>
        </w:rPr>
        <w:t xml:space="preserve"> </w:t>
      </w:r>
      <w:r w:rsidR="006A1C29">
        <w:rPr>
          <w:lang w:val="en-GB"/>
        </w:rPr>
        <w:t>agreed that a partitioned survival model would be more suitable</w:t>
      </w:r>
      <w:r w:rsidR="00CE151C">
        <w:rPr>
          <w:lang w:val="en-GB"/>
        </w:rPr>
        <w:t xml:space="preserve"> considering</w:t>
      </w:r>
      <w:r w:rsidR="006A1C29">
        <w:rPr>
          <w:lang w:val="en-GB"/>
        </w:rPr>
        <w:t xml:space="preserve"> mature </w:t>
      </w:r>
      <w:r w:rsidR="00CE151C">
        <w:rPr>
          <w:lang w:val="en-GB"/>
        </w:rPr>
        <w:t xml:space="preserve">overall survival </w:t>
      </w:r>
      <w:r w:rsidR="004F31E2">
        <w:rPr>
          <w:lang w:val="en-GB"/>
        </w:rPr>
        <w:t>data</w:t>
      </w:r>
      <w:r w:rsidR="00CE151C">
        <w:rPr>
          <w:lang w:val="en-GB"/>
        </w:rPr>
        <w:t xml:space="preserve"> </w:t>
      </w:r>
      <w:r w:rsidR="00C36C33">
        <w:rPr>
          <w:lang w:val="en-GB"/>
        </w:rPr>
        <w:t xml:space="preserve">is </w:t>
      </w:r>
      <w:r w:rsidR="00CE151C">
        <w:rPr>
          <w:lang w:val="en-GB"/>
        </w:rPr>
        <w:t>available</w:t>
      </w:r>
      <w:r w:rsidR="006000DC">
        <w:rPr>
          <w:lang w:val="en-GB"/>
        </w:rPr>
        <w:t xml:space="preserve">. It would have preferred that the company’s original partitioned survival model was validated by the ERG and the impact of model structure on the updated results explored. </w:t>
      </w:r>
      <w:r w:rsidR="004F31E2">
        <w:rPr>
          <w:lang w:val="en-GB"/>
        </w:rPr>
        <w:t xml:space="preserve">However, on balance the committee </w:t>
      </w:r>
      <w:r w:rsidR="006A1C29">
        <w:rPr>
          <w:lang w:val="en-GB"/>
        </w:rPr>
        <w:t xml:space="preserve">concluded that </w:t>
      </w:r>
      <w:r w:rsidR="00E44191" w:rsidRPr="00C92B44">
        <w:rPr>
          <w:lang w:val="en-GB"/>
        </w:rPr>
        <w:t>that the company</w:t>
      </w:r>
      <w:r w:rsidR="00C92B44">
        <w:rPr>
          <w:lang w:val="en-GB"/>
        </w:rPr>
        <w:t xml:space="preserve">’s updated </w:t>
      </w:r>
      <w:r w:rsidR="006A1C29">
        <w:rPr>
          <w:lang w:val="en-GB"/>
        </w:rPr>
        <w:t xml:space="preserve">means-based </w:t>
      </w:r>
      <w:r w:rsidR="00C92B44">
        <w:rPr>
          <w:lang w:val="en-GB"/>
        </w:rPr>
        <w:t>model was suitable for decision</w:t>
      </w:r>
      <w:r w:rsidR="0098663D">
        <w:rPr>
          <w:lang w:val="en-GB"/>
        </w:rPr>
        <w:t xml:space="preserve"> </w:t>
      </w:r>
      <w:r w:rsidR="00C92B44">
        <w:rPr>
          <w:lang w:val="en-GB"/>
        </w:rPr>
        <w:t>making</w:t>
      </w:r>
      <w:r w:rsidR="00B85438" w:rsidRPr="00C92B44">
        <w:rPr>
          <w:lang w:val="en-GB"/>
        </w:rPr>
        <w:t>.</w:t>
      </w:r>
    </w:p>
    <w:p w14:paraId="07ACE6BB" w14:textId="7302819C" w:rsidR="00307170" w:rsidRPr="00307170" w:rsidRDefault="00E44191" w:rsidP="00307170">
      <w:pPr>
        <w:pStyle w:val="Heading3"/>
        <w:rPr>
          <w:sz w:val="24"/>
          <w:szCs w:val="24"/>
        </w:rPr>
      </w:pPr>
      <w:r w:rsidRPr="00E44191">
        <w:rPr>
          <w:sz w:val="24"/>
          <w:szCs w:val="24"/>
        </w:rPr>
        <w:t xml:space="preserve">The </w:t>
      </w:r>
      <w:r w:rsidR="00307170">
        <w:rPr>
          <w:sz w:val="24"/>
          <w:szCs w:val="24"/>
        </w:rPr>
        <w:t>company’s approach to modelling survival</w:t>
      </w:r>
      <w:r w:rsidRPr="00E44191">
        <w:rPr>
          <w:sz w:val="24"/>
          <w:szCs w:val="24"/>
        </w:rPr>
        <w:t xml:space="preserve"> is suitable for </w:t>
      </w:r>
      <w:r w:rsidR="00307170">
        <w:rPr>
          <w:sz w:val="24"/>
          <w:szCs w:val="24"/>
        </w:rPr>
        <w:t xml:space="preserve">people with </w:t>
      </w:r>
      <w:r w:rsidR="00125145">
        <w:rPr>
          <w:sz w:val="24"/>
          <w:szCs w:val="24"/>
        </w:rPr>
        <w:t xml:space="preserve">a </w:t>
      </w:r>
      <w:r w:rsidRPr="00E44191">
        <w:rPr>
          <w:sz w:val="24"/>
          <w:szCs w:val="24"/>
        </w:rPr>
        <w:t>BRCA</w:t>
      </w:r>
      <w:r w:rsidR="00307170">
        <w:rPr>
          <w:sz w:val="24"/>
          <w:szCs w:val="24"/>
        </w:rPr>
        <w:t xml:space="preserve"> mutation</w:t>
      </w:r>
      <w:r w:rsidRPr="00E44191">
        <w:rPr>
          <w:sz w:val="24"/>
          <w:szCs w:val="24"/>
        </w:rPr>
        <w:t xml:space="preserve"> </w:t>
      </w:r>
    </w:p>
    <w:p w14:paraId="268B3CD7" w14:textId="2013C5EB" w:rsidR="00307170" w:rsidRPr="00492A2F" w:rsidRDefault="004F31E2" w:rsidP="00A90EC5">
      <w:pPr>
        <w:pStyle w:val="Numberedlevel2text"/>
      </w:pPr>
      <w:r>
        <w:rPr>
          <w:lang w:val="en-GB"/>
        </w:rPr>
        <w:t xml:space="preserve">The committee </w:t>
      </w:r>
      <w:r w:rsidR="00F5153C">
        <w:rPr>
          <w:lang w:val="en-GB"/>
        </w:rPr>
        <w:t xml:space="preserve">recalled </w:t>
      </w:r>
      <w:r>
        <w:rPr>
          <w:lang w:val="en-GB"/>
        </w:rPr>
        <w:t>that the progression-free survival</w:t>
      </w:r>
      <w:r w:rsidRPr="004F31E2">
        <w:rPr>
          <w:lang w:val="en-GB"/>
        </w:rPr>
        <w:t xml:space="preserve"> data </w:t>
      </w:r>
      <w:r w:rsidR="00C36C33">
        <w:rPr>
          <w:lang w:val="en-GB"/>
        </w:rPr>
        <w:t xml:space="preserve">was </w:t>
      </w:r>
      <w:r w:rsidRPr="004F31E2">
        <w:rPr>
          <w:lang w:val="en-GB"/>
        </w:rPr>
        <w:t xml:space="preserve">unchanged </w:t>
      </w:r>
      <w:r w:rsidR="00F5153C">
        <w:rPr>
          <w:lang w:val="en-GB"/>
        </w:rPr>
        <w:t xml:space="preserve">for this </w:t>
      </w:r>
      <w:r w:rsidR="0098663D">
        <w:rPr>
          <w:lang w:val="en-GB"/>
        </w:rPr>
        <w:t xml:space="preserve">Cancer Drug Fund </w:t>
      </w:r>
      <w:r w:rsidR="00F5153C">
        <w:rPr>
          <w:lang w:val="en-GB"/>
        </w:rPr>
        <w:t xml:space="preserve">review but that the terms of engagement outline that survival modelling should consider both statistical and visual fit of parametric and flexible spline models for modelling progression-free survival data and for the company to </w:t>
      </w:r>
      <w:r w:rsidR="00F5153C" w:rsidRPr="00F5153C">
        <w:rPr>
          <w:lang w:val="en-GB"/>
        </w:rPr>
        <w:t xml:space="preserve">fully investigate the most appropriate </w:t>
      </w:r>
      <w:r w:rsidR="00F5153C">
        <w:rPr>
          <w:lang w:val="en-GB"/>
        </w:rPr>
        <w:t>overall survival</w:t>
      </w:r>
      <w:r w:rsidR="00F5153C" w:rsidRPr="00F5153C">
        <w:rPr>
          <w:lang w:val="en-GB"/>
        </w:rPr>
        <w:t xml:space="preserve"> modelling using updated clinical trial data.</w:t>
      </w:r>
      <w:r w:rsidR="00F5153C">
        <w:rPr>
          <w:lang w:val="en-GB"/>
        </w:rPr>
        <w:t xml:space="preserve"> </w:t>
      </w:r>
      <w:r w:rsidR="00307170">
        <w:t>After technical engagement</w:t>
      </w:r>
      <w:r w:rsidR="00307170">
        <w:rPr>
          <w:lang w:val="en-GB"/>
        </w:rPr>
        <w:t>,</w:t>
      </w:r>
      <w:r w:rsidR="00C92B44">
        <w:rPr>
          <w:lang w:val="en-GB"/>
        </w:rPr>
        <w:t xml:space="preserve"> </w:t>
      </w:r>
      <w:r w:rsidR="00125145">
        <w:rPr>
          <w:lang w:val="en-GB"/>
        </w:rPr>
        <w:t xml:space="preserve">for </w:t>
      </w:r>
      <w:r w:rsidR="00125145" w:rsidRPr="00125145">
        <w:rPr>
          <w:lang w:val="en-GB"/>
        </w:rPr>
        <w:t>people with</w:t>
      </w:r>
      <w:r w:rsidR="00125145">
        <w:rPr>
          <w:lang w:val="en-GB"/>
        </w:rPr>
        <w:t xml:space="preserve"> a</w:t>
      </w:r>
      <w:r w:rsidR="00125145" w:rsidRPr="00125145">
        <w:rPr>
          <w:lang w:val="en-GB"/>
        </w:rPr>
        <w:t xml:space="preserve"> BRCA mutation</w:t>
      </w:r>
      <w:r w:rsidR="00125145">
        <w:rPr>
          <w:lang w:val="en-GB"/>
        </w:rPr>
        <w:t xml:space="preserve"> </w:t>
      </w:r>
      <w:r w:rsidR="00307170">
        <w:t xml:space="preserve">the ERG and company </w:t>
      </w:r>
      <w:r w:rsidR="00B018D4">
        <w:rPr>
          <w:lang w:val="en-US"/>
        </w:rPr>
        <w:t>agreed</w:t>
      </w:r>
      <w:r w:rsidR="00307170">
        <w:t xml:space="preserve"> on </w:t>
      </w:r>
      <w:r w:rsidR="007775EA">
        <w:rPr>
          <w:lang w:val="en-GB"/>
        </w:rPr>
        <w:t xml:space="preserve">using the same survival </w:t>
      </w:r>
      <w:r w:rsidR="005D4D0B">
        <w:rPr>
          <w:lang w:val="en-GB"/>
        </w:rPr>
        <w:t xml:space="preserve">curves </w:t>
      </w:r>
      <w:r w:rsidR="007775EA">
        <w:rPr>
          <w:lang w:val="en-GB"/>
        </w:rPr>
        <w:t>to extrapolate</w:t>
      </w:r>
      <w:r w:rsidR="005D4D0B">
        <w:rPr>
          <w:lang w:val="en-GB"/>
        </w:rPr>
        <w:t xml:space="preserve"> progression-free</w:t>
      </w:r>
      <w:r w:rsidR="00125145">
        <w:rPr>
          <w:lang w:val="en-GB"/>
        </w:rPr>
        <w:t xml:space="preserve"> (a flexible </w:t>
      </w:r>
      <w:r w:rsidR="00125145" w:rsidRPr="00125145">
        <w:rPr>
          <w:lang w:val="en-GB"/>
        </w:rPr>
        <w:t xml:space="preserve">hazard </w:t>
      </w:r>
      <w:r w:rsidR="00125145">
        <w:rPr>
          <w:lang w:val="en-GB"/>
        </w:rPr>
        <w:t>k=1 curve)</w:t>
      </w:r>
      <w:r w:rsidR="00125145" w:rsidRPr="00125145">
        <w:rPr>
          <w:lang w:val="en-GB"/>
        </w:rPr>
        <w:t xml:space="preserve"> </w:t>
      </w:r>
      <w:r w:rsidR="00125145">
        <w:rPr>
          <w:lang w:val="en-GB"/>
        </w:rPr>
        <w:t>and overall</w:t>
      </w:r>
      <w:r w:rsidR="005D4D0B">
        <w:rPr>
          <w:lang w:val="en-GB"/>
        </w:rPr>
        <w:t xml:space="preserve"> survival</w:t>
      </w:r>
      <w:r w:rsidR="007775EA">
        <w:rPr>
          <w:lang w:val="en-GB"/>
        </w:rPr>
        <w:t xml:space="preserve"> </w:t>
      </w:r>
      <w:r w:rsidR="00125145">
        <w:rPr>
          <w:lang w:val="en-GB"/>
        </w:rPr>
        <w:t>(</w:t>
      </w:r>
      <w:r w:rsidR="00125145" w:rsidRPr="00125145">
        <w:rPr>
          <w:lang w:val="en-GB"/>
        </w:rPr>
        <w:t>lognormal distribution</w:t>
      </w:r>
      <w:r w:rsidR="00125145">
        <w:rPr>
          <w:lang w:val="en-GB"/>
        </w:rPr>
        <w:t>s)</w:t>
      </w:r>
      <w:r w:rsidR="00125145" w:rsidRPr="00125145">
        <w:rPr>
          <w:lang w:val="en-GB"/>
        </w:rPr>
        <w:t xml:space="preserve"> </w:t>
      </w:r>
      <w:r w:rsidR="00B018D4">
        <w:rPr>
          <w:lang w:val="en-GB"/>
        </w:rPr>
        <w:t xml:space="preserve">to </w:t>
      </w:r>
      <w:r w:rsidR="00125145">
        <w:rPr>
          <w:lang w:val="en-GB"/>
        </w:rPr>
        <w:t>extrapolat</w:t>
      </w:r>
      <w:r w:rsidR="00B018D4">
        <w:rPr>
          <w:lang w:val="en-GB"/>
        </w:rPr>
        <w:t>e</w:t>
      </w:r>
      <w:r w:rsidR="00125145">
        <w:rPr>
          <w:lang w:val="en-GB"/>
        </w:rPr>
        <w:t xml:space="preserve"> </w:t>
      </w:r>
      <w:r w:rsidR="00A90EC5">
        <w:rPr>
          <w:lang w:val="en-GB"/>
        </w:rPr>
        <w:t>data</w:t>
      </w:r>
      <w:r w:rsidR="00A90EC5" w:rsidRPr="00A90EC5">
        <w:rPr>
          <w:lang w:val="en-GB"/>
        </w:rPr>
        <w:t xml:space="preserve"> from Study 19 for</w:t>
      </w:r>
      <w:r w:rsidR="00492A2F">
        <w:rPr>
          <w:lang w:val="en-GB"/>
        </w:rPr>
        <w:t xml:space="preserve"> the</w:t>
      </w:r>
      <w:r w:rsidR="00A90EC5" w:rsidRPr="00A90EC5">
        <w:rPr>
          <w:lang w:val="en-GB"/>
        </w:rPr>
        <w:t xml:space="preserve"> routine surveillance arm </w:t>
      </w:r>
      <w:r w:rsidR="00D4230B">
        <w:rPr>
          <w:lang w:val="en-GB"/>
        </w:rPr>
        <w:t>and u</w:t>
      </w:r>
      <w:r w:rsidR="00492A2F">
        <w:rPr>
          <w:lang w:val="en-GB"/>
        </w:rPr>
        <w:t>pdated overall survival data from NOVA for the niraparib arm</w:t>
      </w:r>
      <w:r w:rsidR="00F51742">
        <w:rPr>
          <w:lang w:val="en-GB"/>
        </w:rPr>
        <w:t>.</w:t>
      </w:r>
      <w:r w:rsidR="00307170">
        <w:t>The committee recalled their conclusion that there was progression free survival benefit</w:t>
      </w:r>
      <w:r w:rsidR="00F51742">
        <w:rPr>
          <w:lang w:val="en-GB"/>
        </w:rPr>
        <w:t xml:space="preserve"> with niraparib in this subgroup </w:t>
      </w:r>
      <w:r w:rsidR="005D4D0B" w:rsidRPr="00A90EC5">
        <w:rPr>
          <w:lang w:val="en-GB"/>
        </w:rPr>
        <w:t>(see section</w:t>
      </w:r>
      <w:r w:rsidR="00AF0131">
        <w:rPr>
          <w:lang w:val="en-GB"/>
        </w:rPr>
        <w:t> </w:t>
      </w:r>
      <w:r w:rsidR="005D4D0B" w:rsidRPr="00A90EC5">
        <w:rPr>
          <w:lang w:val="en-GB"/>
        </w:rPr>
        <w:t>3.</w:t>
      </w:r>
      <w:r w:rsidR="00D4230B">
        <w:rPr>
          <w:lang w:val="en-GB"/>
        </w:rPr>
        <w:t>2</w:t>
      </w:r>
      <w:r w:rsidR="005D4D0B" w:rsidRPr="00A90EC5">
        <w:rPr>
          <w:lang w:val="en-GB"/>
        </w:rPr>
        <w:t xml:space="preserve">) </w:t>
      </w:r>
      <w:r w:rsidR="00F51742" w:rsidRPr="00F51742">
        <w:rPr>
          <w:lang w:val="en-GB"/>
        </w:rPr>
        <w:t>and a</w:t>
      </w:r>
      <w:r w:rsidR="00F51742">
        <w:rPr>
          <w:lang w:val="en-GB"/>
        </w:rPr>
        <w:t xml:space="preserve"> </w:t>
      </w:r>
      <w:r w:rsidR="00555E53">
        <w:rPr>
          <w:lang w:val="en-GB"/>
        </w:rPr>
        <w:t>possible</w:t>
      </w:r>
      <w:r w:rsidR="00F51742" w:rsidRPr="00F51742">
        <w:rPr>
          <w:lang w:val="en-GB"/>
        </w:rPr>
        <w:t xml:space="preserve"> benefit in overall survival</w:t>
      </w:r>
      <w:r w:rsidR="00F51742">
        <w:rPr>
          <w:lang w:val="en-GB"/>
        </w:rPr>
        <w:t xml:space="preserve"> (see section</w:t>
      </w:r>
      <w:r w:rsidR="00AF0131">
        <w:rPr>
          <w:lang w:val="en-GB"/>
        </w:rPr>
        <w:t> </w:t>
      </w:r>
      <w:r w:rsidR="00F51742">
        <w:rPr>
          <w:lang w:val="en-GB"/>
        </w:rPr>
        <w:t>3.3). It</w:t>
      </w:r>
      <w:r w:rsidR="005D4D0B" w:rsidRPr="00A90EC5">
        <w:rPr>
          <w:lang w:val="en-GB"/>
        </w:rPr>
        <w:t xml:space="preserve"> agreed that </w:t>
      </w:r>
      <w:r w:rsidR="00307170">
        <w:t xml:space="preserve">the approach used by </w:t>
      </w:r>
      <w:r w:rsidR="00B018D4">
        <w:rPr>
          <w:lang w:val="en-US"/>
        </w:rPr>
        <w:t xml:space="preserve">the </w:t>
      </w:r>
      <w:r w:rsidR="00307170">
        <w:t xml:space="preserve">ERG and company </w:t>
      </w:r>
      <w:r w:rsidR="00F51742">
        <w:rPr>
          <w:lang w:val="en-GB"/>
        </w:rPr>
        <w:t xml:space="preserve">to model survival </w:t>
      </w:r>
      <w:r w:rsidR="00307170">
        <w:t>was suitable</w:t>
      </w:r>
      <w:r w:rsidR="00492A2F">
        <w:rPr>
          <w:lang w:val="en-GB"/>
        </w:rPr>
        <w:t>.</w:t>
      </w:r>
      <w:r w:rsidR="00307170">
        <w:t xml:space="preserve"> </w:t>
      </w:r>
      <w:r w:rsidR="00F5153C">
        <w:rPr>
          <w:lang w:val="en-GB"/>
        </w:rPr>
        <w:t>T</w:t>
      </w:r>
      <w:r w:rsidR="00F51742">
        <w:rPr>
          <w:lang w:val="en-GB"/>
        </w:rPr>
        <w:t xml:space="preserve">he </w:t>
      </w:r>
      <w:r w:rsidR="008C7680">
        <w:rPr>
          <w:lang w:val="en-GB"/>
        </w:rPr>
        <w:t xml:space="preserve">committee </w:t>
      </w:r>
      <w:r w:rsidR="00F5153C">
        <w:rPr>
          <w:lang w:val="en-GB"/>
        </w:rPr>
        <w:t xml:space="preserve">noted it </w:t>
      </w:r>
      <w:r w:rsidR="00307170">
        <w:t>would have preferred to see adjustments for cross over and baseline characteristics</w:t>
      </w:r>
      <w:r w:rsidR="00125145">
        <w:rPr>
          <w:lang w:val="en-GB"/>
        </w:rPr>
        <w:t xml:space="preserve"> for </w:t>
      </w:r>
      <w:r w:rsidR="00125145" w:rsidRPr="00125145">
        <w:rPr>
          <w:lang w:val="en-GB"/>
        </w:rPr>
        <w:t>people with</w:t>
      </w:r>
      <w:r w:rsidR="00125145">
        <w:rPr>
          <w:lang w:val="en-GB"/>
        </w:rPr>
        <w:t xml:space="preserve"> a</w:t>
      </w:r>
      <w:r w:rsidR="00125145" w:rsidRPr="00125145">
        <w:rPr>
          <w:lang w:val="en-GB"/>
        </w:rPr>
        <w:t xml:space="preserve"> BRCA mutation</w:t>
      </w:r>
      <w:r w:rsidR="00492A2F">
        <w:rPr>
          <w:lang w:val="en-GB"/>
        </w:rPr>
        <w:t xml:space="preserve"> but</w:t>
      </w:r>
      <w:r w:rsidR="00307170">
        <w:t xml:space="preserve"> that these analyses were unlikely to </w:t>
      </w:r>
      <w:r w:rsidR="00AF0131">
        <w:rPr>
          <w:lang w:val="en-GB"/>
        </w:rPr>
        <w:t>affect</w:t>
      </w:r>
      <w:r w:rsidR="00AF0131">
        <w:t xml:space="preserve"> </w:t>
      </w:r>
      <w:r w:rsidR="00307170">
        <w:t>the cost effectiveness results</w:t>
      </w:r>
      <w:r w:rsidR="00B018D4" w:rsidRPr="00B018D4">
        <w:t xml:space="preserve"> </w:t>
      </w:r>
      <w:r w:rsidR="00B018D4">
        <w:t>significantly</w:t>
      </w:r>
      <w:r w:rsidR="00492A2F">
        <w:rPr>
          <w:lang w:val="en-GB"/>
        </w:rPr>
        <w:t>. The committee concluded that t</w:t>
      </w:r>
      <w:r w:rsidR="00492A2F" w:rsidRPr="00492A2F">
        <w:rPr>
          <w:lang w:val="en-GB"/>
        </w:rPr>
        <w:t>he company’s approach to modelling survival is suitable for people with</w:t>
      </w:r>
      <w:r w:rsidR="00492A2F">
        <w:rPr>
          <w:lang w:val="en-GB"/>
        </w:rPr>
        <w:t xml:space="preserve"> </w:t>
      </w:r>
      <w:r w:rsidR="00125145">
        <w:rPr>
          <w:lang w:val="en-GB"/>
        </w:rPr>
        <w:t xml:space="preserve">a </w:t>
      </w:r>
      <w:r w:rsidR="00492A2F" w:rsidRPr="00492A2F">
        <w:rPr>
          <w:lang w:val="en-GB"/>
        </w:rPr>
        <w:t>BRCA mutation</w:t>
      </w:r>
      <w:r w:rsidR="00623E08">
        <w:rPr>
          <w:lang w:val="en-GB"/>
        </w:rPr>
        <w:t>.</w:t>
      </w:r>
    </w:p>
    <w:p w14:paraId="3B7B9E62" w14:textId="4F623D8D" w:rsidR="00492A2F" w:rsidRPr="002C56CF" w:rsidRDefault="002C56CF" w:rsidP="002C56CF">
      <w:pPr>
        <w:pStyle w:val="Heading3"/>
        <w:rPr>
          <w:sz w:val="24"/>
          <w:szCs w:val="24"/>
        </w:rPr>
      </w:pPr>
      <w:r w:rsidRPr="00E44191">
        <w:rPr>
          <w:sz w:val="24"/>
          <w:szCs w:val="24"/>
        </w:rPr>
        <w:lastRenderedPageBreak/>
        <w:t xml:space="preserve">The </w:t>
      </w:r>
      <w:r w:rsidR="00417710">
        <w:rPr>
          <w:sz w:val="24"/>
          <w:szCs w:val="24"/>
        </w:rPr>
        <w:t>extrapolation of progression</w:t>
      </w:r>
      <w:r w:rsidR="00AF0131">
        <w:rPr>
          <w:sz w:val="24"/>
          <w:szCs w:val="24"/>
        </w:rPr>
        <w:t>-</w:t>
      </w:r>
      <w:r w:rsidR="00417710">
        <w:rPr>
          <w:sz w:val="24"/>
          <w:szCs w:val="24"/>
        </w:rPr>
        <w:t xml:space="preserve">free survival for people without a BRCA mutation is not critical to decision making </w:t>
      </w:r>
    </w:p>
    <w:p w14:paraId="54010C81" w14:textId="45606237" w:rsidR="00417710" w:rsidRPr="00721124" w:rsidRDefault="00FE7AFC" w:rsidP="00262EF3">
      <w:pPr>
        <w:pStyle w:val="Numberedlevel2text"/>
      </w:pPr>
      <w:r>
        <w:rPr>
          <w:lang w:val="en-GB"/>
        </w:rPr>
        <w:t xml:space="preserve">The company used a </w:t>
      </w:r>
      <w:r w:rsidR="00125145">
        <w:rPr>
          <w:lang w:val="en-GB"/>
        </w:rPr>
        <w:t xml:space="preserve">flexible normal k=1 curve to </w:t>
      </w:r>
      <w:r>
        <w:rPr>
          <w:lang w:val="en-GB"/>
        </w:rPr>
        <w:t>estimate progression-free survival beyond the trial period</w:t>
      </w:r>
      <w:r w:rsidR="00417710">
        <w:rPr>
          <w:lang w:val="en-GB"/>
        </w:rPr>
        <w:t xml:space="preserve"> for </w:t>
      </w:r>
      <w:r w:rsidR="00417710">
        <w:rPr>
          <w:szCs w:val="24"/>
        </w:rPr>
        <w:t xml:space="preserve">people without </w:t>
      </w:r>
      <w:r w:rsidR="00C35DC8">
        <w:rPr>
          <w:szCs w:val="24"/>
          <w:lang w:val="en-US"/>
        </w:rPr>
        <w:t xml:space="preserve">a </w:t>
      </w:r>
      <w:r w:rsidR="00417710">
        <w:rPr>
          <w:szCs w:val="24"/>
        </w:rPr>
        <w:t>BRCA mutation</w:t>
      </w:r>
      <w:r w:rsidR="00417710">
        <w:rPr>
          <w:szCs w:val="24"/>
          <w:lang w:val="en-GB"/>
        </w:rPr>
        <w:t xml:space="preserve">. </w:t>
      </w:r>
      <w:r w:rsidR="00492A2F">
        <w:t>The ERG preferred a more conservative curve</w:t>
      </w:r>
      <w:r w:rsidR="00417710">
        <w:rPr>
          <w:lang w:val="en-GB"/>
        </w:rPr>
        <w:t xml:space="preserve"> (flexible hazard k=1)</w:t>
      </w:r>
      <w:r w:rsidR="00492A2F">
        <w:rPr>
          <w:lang w:val="en-GB"/>
        </w:rPr>
        <w:t xml:space="preserve"> </w:t>
      </w:r>
      <w:r w:rsidR="002C56CF">
        <w:rPr>
          <w:lang w:val="en-GB"/>
        </w:rPr>
        <w:t>which</w:t>
      </w:r>
      <w:r w:rsidR="00BC790C">
        <w:rPr>
          <w:lang w:val="en-GB"/>
        </w:rPr>
        <w:t xml:space="preserve"> was</w:t>
      </w:r>
      <w:r w:rsidR="002C56CF">
        <w:rPr>
          <w:lang w:val="en-GB"/>
        </w:rPr>
        <w:t xml:space="preserve"> considered more clinically plausible. </w:t>
      </w:r>
      <w:r w:rsidR="00847F89">
        <w:rPr>
          <w:lang w:val="en-GB"/>
        </w:rPr>
        <w:t>T</w:t>
      </w:r>
      <w:r w:rsidR="002C56CF">
        <w:rPr>
          <w:lang w:val="en-GB"/>
        </w:rPr>
        <w:t xml:space="preserve">he committee noted that the </w:t>
      </w:r>
      <w:r w:rsidR="00417710">
        <w:rPr>
          <w:lang w:val="en-GB"/>
        </w:rPr>
        <w:t xml:space="preserve">estimates from the two curves were almost identical but that the company’s normal k=1 had a better statistical fit. The committee also noted that the </w:t>
      </w:r>
      <w:r w:rsidR="00290332">
        <w:rPr>
          <w:lang w:val="en-GB"/>
        </w:rPr>
        <w:t>long-term</w:t>
      </w:r>
      <w:r w:rsidR="00417710">
        <w:rPr>
          <w:lang w:val="en-GB"/>
        </w:rPr>
        <w:t xml:space="preserve"> estimates from the hazard k=1 curve were more aligned with </w:t>
      </w:r>
      <w:r w:rsidR="00721124">
        <w:rPr>
          <w:lang w:val="en-GB"/>
        </w:rPr>
        <w:t xml:space="preserve">the </w:t>
      </w:r>
      <w:r w:rsidR="00417710">
        <w:rPr>
          <w:lang w:val="en-GB"/>
        </w:rPr>
        <w:t>BRCA mut</w:t>
      </w:r>
      <w:r w:rsidR="00721124">
        <w:rPr>
          <w:lang w:val="en-GB"/>
        </w:rPr>
        <w:t>ation positive</w:t>
      </w:r>
      <w:r w:rsidR="00417710">
        <w:rPr>
          <w:lang w:val="en-GB"/>
        </w:rPr>
        <w:t xml:space="preserve"> </w:t>
      </w:r>
      <w:r w:rsidR="00721124">
        <w:rPr>
          <w:lang w:val="en-GB"/>
        </w:rPr>
        <w:t>sub</w:t>
      </w:r>
      <w:r w:rsidR="00417710">
        <w:rPr>
          <w:lang w:val="en-GB"/>
        </w:rPr>
        <w:t xml:space="preserve">group from </w:t>
      </w:r>
      <w:r w:rsidR="00417710" w:rsidRPr="00417710">
        <w:rPr>
          <w:lang w:val="en-GB"/>
        </w:rPr>
        <w:t>15</w:t>
      </w:r>
      <w:r w:rsidR="00AF0131">
        <w:rPr>
          <w:lang w:val="en-GB"/>
        </w:rPr>
        <w:t> </w:t>
      </w:r>
      <w:r w:rsidR="00417710" w:rsidRPr="00417710">
        <w:rPr>
          <w:lang w:val="en-GB"/>
        </w:rPr>
        <w:t>years onwards</w:t>
      </w:r>
      <w:r w:rsidR="00417710">
        <w:rPr>
          <w:lang w:val="en-GB"/>
        </w:rPr>
        <w:t>. The committee concluded that the</w:t>
      </w:r>
      <w:r w:rsidR="00C35DC8">
        <w:rPr>
          <w:lang w:val="en-GB"/>
        </w:rPr>
        <w:t xml:space="preserve"> choice between these</w:t>
      </w:r>
      <w:r w:rsidR="00417710">
        <w:rPr>
          <w:lang w:val="en-GB"/>
        </w:rPr>
        <w:t xml:space="preserve"> </w:t>
      </w:r>
      <w:r w:rsidR="00417710">
        <w:rPr>
          <w:szCs w:val="24"/>
        </w:rPr>
        <w:t>extrapolation</w:t>
      </w:r>
      <w:r w:rsidR="00C35DC8">
        <w:rPr>
          <w:szCs w:val="24"/>
          <w:lang w:val="en-US"/>
        </w:rPr>
        <w:t>s</w:t>
      </w:r>
      <w:r w:rsidR="00417710">
        <w:rPr>
          <w:szCs w:val="24"/>
        </w:rPr>
        <w:t xml:space="preserve"> of progression</w:t>
      </w:r>
      <w:r w:rsidR="00AF0131">
        <w:rPr>
          <w:szCs w:val="24"/>
          <w:lang w:val="en-GB"/>
        </w:rPr>
        <w:t>-</w:t>
      </w:r>
      <w:r w:rsidR="00417710">
        <w:rPr>
          <w:szCs w:val="24"/>
        </w:rPr>
        <w:t>free survival for people without a BRCA mutation is not critical to decision making</w:t>
      </w:r>
      <w:r w:rsidR="00417710">
        <w:rPr>
          <w:szCs w:val="24"/>
          <w:lang w:val="en-GB"/>
        </w:rPr>
        <w:t xml:space="preserve">. </w:t>
      </w:r>
    </w:p>
    <w:p w14:paraId="5E00AF24" w14:textId="362F5063" w:rsidR="00417710" w:rsidRPr="007E6107" w:rsidRDefault="00B018D4" w:rsidP="00721124">
      <w:pPr>
        <w:pStyle w:val="Heading3"/>
        <w:rPr>
          <w:szCs w:val="24"/>
        </w:rPr>
      </w:pPr>
      <w:r>
        <w:rPr>
          <w:sz w:val="24"/>
          <w:szCs w:val="24"/>
        </w:rPr>
        <w:t xml:space="preserve">Estimating overall </w:t>
      </w:r>
      <w:r w:rsidR="00417710">
        <w:rPr>
          <w:sz w:val="24"/>
          <w:szCs w:val="24"/>
        </w:rPr>
        <w:t xml:space="preserve">survival for people without </w:t>
      </w:r>
      <w:r w:rsidR="00C36C33">
        <w:rPr>
          <w:sz w:val="24"/>
          <w:szCs w:val="24"/>
        </w:rPr>
        <w:t xml:space="preserve">a </w:t>
      </w:r>
      <w:r w:rsidR="00417710">
        <w:rPr>
          <w:sz w:val="24"/>
          <w:szCs w:val="24"/>
        </w:rPr>
        <w:t>BRCA mutation will depend on updated data adjusted for cross-over and baseline differences</w:t>
      </w:r>
    </w:p>
    <w:p w14:paraId="58E2E296" w14:textId="36641E59" w:rsidR="00E44191" w:rsidRPr="00E44191" w:rsidRDefault="00417710" w:rsidP="00262EF3">
      <w:pPr>
        <w:pStyle w:val="Numberedlevel2text"/>
      </w:pPr>
      <w:r>
        <w:rPr>
          <w:lang w:val="en-GB"/>
        </w:rPr>
        <w:t>T</w:t>
      </w:r>
      <w:r w:rsidR="00DC62CC">
        <w:rPr>
          <w:lang w:val="en-GB"/>
        </w:rPr>
        <w:t xml:space="preserve">he </w:t>
      </w:r>
      <w:r w:rsidR="00BE0451">
        <w:rPr>
          <w:lang w:val="en-GB"/>
        </w:rPr>
        <w:t xml:space="preserve">company had </w:t>
      </w:r>
      <w:r w:rsidR="00B018D4">
        <w:rPr>
          <w:lang w:val="en-GB"/>
        </w:rPr>
        <w:t xml:space="preserve">agreed </w:t>
      </w:r>
      <w:r w:rsidR="00BE0451">
        <w:rPr>
          <w:lang w:val="en-GB"/>
        </w:rPr>
        <w:t>with the ERG</w:t>
      </w:r>
      <w:r w:rsidR="00B018D4">
        <w:rPr>
          <w:lang w:val="en-GB"/>
        </w:rPr>
        <w:t>’s</w:t>
      </w:r>
      <w:r w:rsidR="008C7680">
        <w:rPr>
          <w:lang w:val="en-GB"/>
        </w:rPr>
        <w:t xml:space="preserve"> preferred</w:t>
      </w:r>
      <w:r w:rsidR="00BE0451">
        <w:rPr>
          <w:lang w:val="en-GB"/>
        </w:rPr>
        <w:t xml:space="preserve"> approach</w:t>
      </w:r>
      <w:r w:rsidR="00847F89">
        <w:rPr>
          <w:lang w:val="en-GB"/>
        </w:rPr>
        <w:t xml:space="preserve"> to estimate overall survival for routine surveillance</w:t>
      </w:r>
      <w:r w:rsidR="00FE7AFC">
        <w:rPr>
          <w:lang w:val="en-GB"/>
        </w:rPr>
        <w:t xml:space="preserve"> after technical engagement</w:t>
      </w:r>
      <w:r w:rsidR="00DC62CC">
        <w:rPr>
          <w:lang w:val="en-GB"/>
        </w:rPr>
        <w:t>. They agreed to use</w:t>
      </w:r>
      <w:r w:rsidR="008C7680" w:rsidRPr="008C7680">
        <w:rPr>
          <w:lang w:val="en-GB"/>
        </w:rPr>
        <w:t xml:space="preserve"> overall survival data from Study</w:t>
      </w:r>
      <w:r w:rsidR="00853F80">
        <w:rPr>
          <w:lang w:val="en-GB"/>
        </w:rPr>
        <w:t> </w:t>
      </w:r>
      <w:r w:rsidR="008C7680" w:rsidRPr="008C7680">
        <w:rPr>
          <w:lang w:val="en-GB"/>
        </w:rPr>
        <w:t>19 for the routine surveillance arm and updated overall survival data from NOVA for the niraparib arm</w:t>
      </w:r>
      <w:r w:rsidR="008C7680">
        <w:rPr>
          <w:lang w:val="en-GB"/>
        </w:rPr>
        <w:t xml:space="preserve">. </w:t>
      </w:r>
      <w:r w:rsidR="00847F89">
        <w:rPr>
          <w:lang w:val="en-GB"/>
        </w:rPr>
        <w:t>However, the committee</w:t>
      </w:r>
      <w:r w:rsidR="00BE0451" w:rsidRPr="008C7680">
        <w:rPr>
          <w:lang w:val="en-GB"/>
        </w:rPr>
        <w:t xml:space="preserve"> recalled</w:t>
      </w:r>
      <w:r w:rsidR="00FB2629" w:rsidRPr="008C7680">
        <w:rPr>
          <w:lang w:val="en-GB"/>
        </w:rPr>
        <w:t xml:space="preserve"> </w:t>
      </w:r>
      <w:r w:rsidR="00847F89">
        <w:rPr>
          <w:lang w:val="en-GB"/>
        </w:rPr>
        <w:t xml:space="preserve">that the </w:t>
      </w:r>
      <w:r w:rsidR="008719B1">
        <w:rPr>
          <w:lang w:val="en-GB"/>
        </w:rPr>
        <w:t>survival benefit in the BRCA negative group was uncertain and</w:t>
      </w:r>
      <w:r w:rsidR="00FB2629" w:rsidRPr="008C7680">
        <w:rPr>
          <w:lang w:val="en-GB"/>
        </w:rPr>
        <w:t xml:space="preserve"> that it would like to see the results of a</w:t>
      </w:r>
      <w:r w:rsidR="003B79EB">
        <w:rPr>
          <w:lang w:val="en-GB"/>
        </w:rPr>
        <w:t>djusting for differences in baseline characteristics</w:t>
      </w:r>
      <w:r w:rsidR="00FB2629" w:rsidRPr="008C7680">
        <w:rPr>
          <w:lang w:val="en-GB"/>
        </w:rPr>
        <w:t xml:space="preserve"> (see section</w:t>
      </w:r>
      <w:r w:rsidR="00853F80">
        <w:rPr>
          <w:lang w:val="en-GB"/>
        </w:rPr>
        <w:t> </w:t>
      </w:r>
      <w:r w:rsidR="00FB2629" w:rsidRPr="008C7680">
        <w:rPr>
          <w:lang w:val="en-GB"/>
        </w:rPr>
        <w:t>3.</w:t>
      </w:r>
      <w:r w:rsidR="008C7680">
        <w:rPr>
          <w:lang w:val="en-GB"/>
        </w:rPr>
        <w:t>4</w:t>
      </w:r>
      <w:r w:rsidR="00FB2629" w:rsidRPr="008C7680">
        <w:rPr>
          <w:lang w:val="en-GB"/>
        </w:rPr>
        <w:t>)</w:t>
      </w:r>
      <w:r w:rsidR="008719B1">
        <w:rPr>
          <w:lang w:val="en-GB"/>
        </w:rPr>
        <w:t xml:space="preserve"> and analyses</w:t>
      </w:r>
      <w:r w:rsidR="00FB2629" w:rsidRPr="008C7680">
        <w:rPr>
          <w:lang w:val="en-GB"/>
        </w:rPr>
        <w:t xml:space="preserve"> to account for crossover to PARP inhibitors</w:t>
      </w:r>
      <w:r w:rsidR="008719B1">
        <w:rPr>
          <w:lang w:val="en-GB"/>
        </w:rPr>
        <w:t>.</w:t>
      </w:r>
      <w:r w:rsidR="00623E08" w:rsidRPr="008C7680">
        <w:rPr>
          <w:lang w:val="en-GB"/>
        </w:rPr>
        <w:t xml:space="preserve"> </w:t>
      </w:r>
      <w:r w:rsidR="008719B1">
        <w:rPr>
          <w:lang w:val="en-GB"/>
        </w:rPr>
        <w:t>The c</w:t>
      </w:r>
      <w:r w:rsidR="008719B1" w:rsidRPr="008719B1">
        <w:rPr>
          <w:lang w:val="en-GB"/>
        </w:rPr>
        <w:t>ommittee</w:t>
      </w:r>
      <w:r w:rsidR="008719B1">
        <w:rPr>
          <w:lang w:val="en-GB"/>
        </w:rPr>
        <w:t xml:space="preserve"> also noted that</w:t>
      </w:r>
      <w:r w:rsidR="00B018D4">
        <w:rPr>
          <w:lang w:val="en-GB"/>
        </w:rPr>
        <w:t>,</w:t>
      </w:r>
      <w:r w:rsidR="008719B1">
        <w:rPr>
          <w:lang w:val="en-GB"/>
        </w:rPr>
        <w:t xml:space="preserve"> given the uncertainty around survival, a </w:t>
      </w:r>
      <w:r w:rsidR="008719B1" w:rsidRPr="008719B1">
        <w:rPr>
          <w:lang w:val="en-GB"/>
        </w:rPr>
        <w:t xml:space="preserve">conservative scenario </w:t>
      </w:r>
      <w:r w:rsidR="008719B1">
        <w:rPr>
          <w:lang w:val="en-GB"/>
        </w:rPr>
        <w:t xml:space="preserve">should be presented </w:t>
      </w:r>
      <w:r w:rsidR="008719B1" w:rsidRPr="008719B1">
        <w:rPr>
          <w:lang w:val="en-GB"/>
        </w:rPr>
        <w:t xml:space="preserve">which </w:t>
      </w:r>
      <w:r w:rsidR="008719B1">
        <w:rPr>
          <w:lang w:val="en-GB"/>
        </w:rPr>
        <w:t>assumes</w:t>
      </w:r>
      <w:r w:rsidR="008719B1" w:rsidRPr="008719B1">
        <w:rPr>
          <w:lang w:val="en-GB"/>
        </w:rPr>
        <w:t xml:space="preserve"> no overall survival benefit for those without a BRCA mutation</w:t>
      </w:r>
      <w:r w:rsidR="008719B1">
        <w:rPr>
          <w:lang w:val="en-GB"/>
        </w:rPr>
        <w:t xml:space="preserve">. The committee agreed this would </w:t>
      </w:r>
      <w:r w:rsidR="008719B1" w:rsidRPr="008719B1">
        <w:rPr>
          <w:lang w:val="en-GB"/>
        </w:rPr>
        <w:t xml:space="preserve">show the </w:t>
      </w:r>
      <w:r w:rsidR="008719B1">
        <w:rPr>
          <w:lang w:val="en-GB"/>
        </w:rPr>
        <w:t xml:space="preserve">highest </w:t>
      </w:r>
      <w:r w:rsidR="008719B1" w:rsidRPr="008719B1">
        <w:rPr>
          <w:lang w:val="en-GB"/>
        </w:rPr>
        <w:t>cost</w:t>
      </w:r>
      <w:r w:rsidR="00DE115B">
        <w:rPr>
          <w:lang w:val="en-GB"/>
        </w:rPr>
        <w:t>-</w:t>
      </w:r>
      <w:r w:rsidR="008719B1" w:rsidRPr="008719B1">
        <w:rPr>
          <w:lang w:val="en-GB"/>
        </w:rPr>
        <w:t>effectiveness estimate</w:t>
      </w:r>
      <w:r w:rsidR="008719B1">
        <w:rPr>
          <w:lang w:val="en-GB"/>
        </w:rPr>
        <w:t xml:space="preserve"> and allow </w:t>
      </w:r>
      <w:r w:rsidR="00E472EF">
        <w:rPr>
          <w:lang w:val="en-GB"/>
        </w:rPr>
        <w:t>it</w:t>
      </w:r>
      <w:r w:rsidR="008719B1">
        <w:rPr>
          <w:lang w:val="en-GB"/>
        </w:rPr>
        <w:t xml:space="preserve"> to understand the range of possible results.</w:t>
      </w:r>
      <w:r w:rsidR="008719B1" w:rsidRPr="008C7680">
        <w:rPr>
          <w:lang w:val="en-GB"/>
        </w:rPr>
        <w:t xml:space="preserve"> </w:t>
      </w:r>
      <w:r w:rsidR="00165654" w:rsidRPr="00262EF3">
        <w:rPr>
          <w:lang w:val="en-GB"/>
        </w:rPr>
        <w:t xml:space="preserve">The committee concluded that the correct approach to model survival for people without </w:t>
      </w:r>
      <w:r w:rsidR="00C36C33">
        <w:rPr>
          <w:lang w:val="en-GB"/>
        </w:rPr>
        <w:t xml:space="preserve">a </w:t>
      </w:r>
      <w:r w:rsidR="00165654" w:rsidRPr="00262EF3">
        <w:rPr>
          <w:lang w:val="en-GB"/>
        </w:rPr>
        <w:t xml:space="preserve">BRCA mutation </w:t>
      </w:r>
      <w:r w:rsidR="00E472EF">
        <w:rPr>
          <w:lang w:val="en-GB"/>
        </w:rPr>
        <w:t>w</w:t>
      </w:r>
      <w:r w:rsidR="00165654" w:rsidRPr="00262EF3">
        <w:rPr>
          <w:lang w:val="en-GB"/>
        </w:rPr>
        <w:t>ill depend on updated data</w:t>
      </w:r>
      <w:r w:rsidR="00E472EF">
        <w:rPr>
          <w:lang w:val="en-GB"/>
        </w:rPr>
        <w:t>,</w:t>
      </w:r>
      <w:r w:rsidR="00847F89">
        <w:rPr>
          <w:lang w:val="en-GB"/>
        </w:rPr>
        <w:t xml:space="preserve"> and that</w:t>
      </w:r>
      <w:r w:rsidR="00E472EF">
        <w:rPr>
          <w:lang w:val="en-GB"/>
        </w:rPr>
        <w:t xml:space="preserve"> the company should </w:t>
      </w:r>
      <w:r w:rsidR="00E472EF" w:rsidRPr="00F5153C">
        <w:rPr>
          <w:lang w:val="en-GB"/>
        </w:rPr>
        <w:t xml:space="preserve">fully investigate the most appropriate </w:t>
      </w:r>
      <w:r w:rsidR="00E472EF">
        <w:rPr>
          <w:lang w:val="en-GB"/>
        </w:rPr>
        <w:t>overall survival</w:t>
      </w:r>
      <w:r w:rsidR="00E472EF" w:rsidRPr="00F5153C">
        <w:rPr>
          <w:lang w:val="en-GB"/>
        </w:rPr>
        <w:t xml:space="preserve"> modelling using </w:t>
      </w:r>
      <w:r w:rsidR="00E472EF">
        <w:rPr>
          <w:lang w:val="en-GB"/>
        </w:rPr>
        <w:t xml:space="preserve">the </w:t>
      </w:r>
      <w:r w:rsidR="00E472EF" w:rsidRPr="00F5153C">
        <w:rPr>
          <w:lang w:val="en-GB"/>
        </w:rPr>
        <w:t xml:space="preserve">updated </w:t>
      </w:r>
      <w:r w:rsidR="00E472EF">
        <w:rPr>
          <w:lang w:val="en-GB"/>
        </w:rPr>
        <w:t>analyses which</w:t>
      </w:r>
      <w:r w:rsidR="00165654" w:rsidRPr="00262EF3">
        <w:rPr>
          <w:lang w:val="en-GB"/>
        </w:rPr>
        <w:t xml:space="preserve"> adjust for cross-over and baseline differences.</w:t>
      </w:r>
    </w:p>
    <w:p w14:paraId="3EAE2625" w14:textId="671D53D9" w:rsidR="00FE2750" w:rsidRDefault="00FE2750" w:rsidP="00FE2750">
      <w:pPr>
        <w:pStyle w:val="Heading3"/>
        <w:rPr>
          <w:sz w:val="24"/>
          <w:szCs w:val="24"/>
        </w:rPr>
      </w:pPr>
      <w:r w:rsidRPr="00FE2750">
        <w:rPr>
          <w:sz w:val="24"/>
          <w:szCs w:val="24"/>
        </w:rPr>
        <w:lastRenderedPageBreak/>
        <w:t>Both treatment specific and healt</w:t>
      </w:r>
      <w:r w:rsidR="00D0245C">
        <w:rPr>
          <w:sz w:val="24"/>
          <w:szCs w:val="24"/>
        </w:rPr>
        <w:t>h-</w:t>
      </w:r>
      <w:r w:rsidRPr="00FE2750">
        <w:rPr>
          <w:sz w:val="24"/>
          <w:szCs w:val="24"/>
        </w:rPr>
        <w:t>state based utility values would be consider</w:t>
      </w:r>
      <w:r w:rsidR="00B018D4">
        <w:rPr>
          <w:sz w:val="24"/>
          <w:szCs w:val="24"/>
        </w:rPr>
        <w:t>ed</w:t>
      </w:r>
      <w:r w:rsidRPr="00FE2750">
        <w:rPr>
          <w:sz w:val="24"/>
          <w:szCs w:val="24"/>
        </w:rPr>
        <w:t xml:space="preserve"> by committee </w:t>
      </w:r>
    </w:p>
    <w:p w14:paraId="368E5207" w14:textId="423F4F65" w:rsidR="00FE2750" w:rsidRPr="00FE2750" w:rsidRDefault="009E1A2E" w:rsidP="00832C5F">
      <w:pPr>
        <w:pStyle w:val="Numberedlevel2text"/>
      </w:pPr>
      <w:r>
        <w:rPr>
          <w:lang w:val="en-GB"/>
        </w:rPr>
        <w:t>The c</w:t>
      </w:r>
      <w:r w:rsidRPr="009E1A2E">
        <w:rPr>
          <w:lang w:val="en-GB"/>
        </w:rPr>
        <w:t xml:space="preserve">ompany </w:t>
      </w:r>
      <w:r>
        <w:rPr>
          <w:lang w:val="en-GB"/>
        </w:rPr>
        <w:t>used</w:t>
      </w:r>
      <w:r w:rsidRPr="009E1A2E">
        <w:rPr>
          <w:lang w:val="en-GB"/>
        </w:rPr>
        <w:t xml:space="preserve"> treatment-specific</w:t>
      </w:r>
      <w:r>
        <w:rPr>
          <w:lang w:val="en-GB"/>
        </w:rPr>
        <w:t xml:space="preserve"> utility</w:t>
      </w:r>
      <w:r w:rsidRPr="009E1A2E">
        <w:rPr>
          <w:lang w:val="en-GB"/>
        </w:rPr>
        <w:t xml:space="preserve"> values based on mapped EQ-5D-3L data from NOVA</w:t>
      </w:r>
      <w:r>
        <w:rPr>
          <w:lang w:val="en-GB"/>
        </w:rPr>
        <w:t xml:space="preserve"> in its original submission for niraparib.</w:t>
      </w:r>
      <w:r w:rsidRPr="009E1A2E">
        <w:rPr>
          <w:lang w:val="en-GB"/>
        </w:rPr>
        <w:t xml:space="preserve"> For the </w:t>
      </w:r>
      <w:r w:rsidR="00BD5D23">
        <w:rPr>
          <w:lang w:val="en-GB"/>
        </w:rPr>
        <w:t>Cancer Drug Fund</w:t>
      </w:r>
      <w:r w:rsidR="00BD5D23" w:rsidRPr="009E1A2E">
        <w:rPr>
          <w:lang w:val="en-GB"/>
        </w:rPr>
        <w:t xml:space="preserve"> </w:t>
      </w:r>
      <w:r w:rsidRPr="009E1A2E">
        <w:rPr>
          <w:lang w:val="en-GB"/>
        </w:rPr>
        <w:t>submission, the company updated the treatment-specific</w:t>
      </w:r>
      <w:r>
        <w:rPr>
          <w:lang w:val="en-GB"/>
        </w:rPr>
        <w:t xml:space="preserve"> utility value</w:t>
      </w:r>
      <w:r w:rsidR="00341F00">
        <w:rPr>
          <w:lang w:val="en-GB"/>
        </w:rPr>
        <w:t xml:space="preserve">s </w:t>
      </w:r>
      <w:r w:rsidRPr="009E1A2E">
        <w:rPr>
          <w:lang w:val="en-GB"/>
        </w:rPr>
        <w:t>using the later 2020 data cut from NOVA</w:t>
      </w:r>
      <w:r w:rsidR="00BE4CBE">
        <w:rPr>
          <w:lang w:val="en-GB"/>
        </w:rPr>
        <w:t xml:space="preserve">. The company </w:t>
      </w:r>
      <w:r w:rsidR="00D0245C">
        <w:rPr>
          <w:lang w:val="en-GB"/>
        </w:rPr>
        <w:t>noted that these</w:t>
      </w:r>
      <w:r w:rsidR="00BE4CBE">
        <w:rPr>
          <w:lang w:val="en-GB"/>
        </w:rPr>
        <w:t xml:space="preserve"> </w:t>
      </w:r>
      <w:r w:rsidR="00F76CEB">
        <w:rPr>
          <w:lang w:val="en-GB"/>
        </w:rPr>
        <w:t>utilities</w:t>
      </w:r>
      <w:r w:rsidR="00D0245C">
        <w:rPr>
          <w:lang w:val="en-GB"/>
        </w:rPr>
        <w:t xml:space="preserve"> reflected </w:t>
      </w:r>
      <w:r w:rsidR="00D0245C" w:rsidRPr="00D0245C">
        <w:rPr>
          <w:lang w:val="en-GB"/>
        </w:rPr>
        <w:t>a higher quality of life</w:t>
      </w:r>
      <w:r w:rsidR="00847F89">
        <w:rPr>
          <w:lang w:val="en-GB"/>
        </w:rPr>
        <w:t xml:space="preserve"> on niraparib</w:t>
      </w:r>
      <w:r w:rsidR="00D0245C" w:rsidRPr="00D0245C">
        <w:rPr>
          <w:lang w:val="en-GB"/>
        </w:rPr>
        <w:t xml:space="preserve"> compared </w:t>
      </w:r>
      <w:r w:rsidR="00BD5D23">
        <w:rPr>
          <w:lang w:val="en-GB"/>
        </w:rPr>
        <w:t>with</w:t>
      </w:r>
      <w:r w:rsidR="00BD5D23" w:rsidRPr="00D0245C">
        <w:rPr>
          <w:lang w:val="en-GB"/>
        </w:rPr>
        <w:t xml:space="preserve"> </w:t>
      </w:r>
      <w:r w:rsidR="00D0245C" w:rsidRPr="00D0245C">
        <w:rPr>
          <w:lang w:val="en-GB"/>
        </w:rPr>
        <w:t>routine surveillance</w:t>
      </w:r>
      <w:r w:rsidR="00847F89">
        <w:rPr>
          <w:lang w:val="en-GB"/>
        </w:rPr>
        <w:t xml:space="preserve">. The higher utility values may reflect lower </w:t>
      </w:r>
      <w:r w:rsidR="00295069">
        <w:rPr>
          <w:lang w:val="en-GB"/>
        </w:rPr>
        <w:t xml:space="preserve">symptom burden from </w:t>
      </w:r>
      <w:r w:rsidR="00BD5D23">
        <w:rPr>
          <w:lang w:val="en-GB"/>
        </w:rPr>
        <w:t xml:space="preserve">previous </w:t>
      </w:r>
      <w:r w:rsidR="00295069">
        <w:rPr>
          <w:lang w:val="en-GB"/>
        </w:rPr>
        <w:t xml:space="preserve">chemotherapy. </w:t>
      </w:r>
      <w:r w:rsidR="00D0245C" w:rsidRPr="00D0245C">
        <w:rPr>
          <w:lang w:val="en-GB"/>
        </w:rPr>
        <w:t xml:space="preserve">The ERG preferred health-state utilities based on progression status </w:t>
      </w:r>
      <w:r w:rsidR="00BD5D23">
        <w:rPr>
          <w:lang w:val="en-GB"/>
        </w:rPr>
        <w:t>because</w:t>
      </w:r>
      <w:r w:rsidR="00BD5D23" w:rsidRPr="00D0245C">
        <w:rPr>
          <w:lang w:val="en-GB"/>
        </w:rPr>
        <w:t xml:space="preserve"> </w:t>
      </w:r>
      <w:r w:rsidR="00F76CEB">
        <w:rPr>
          <w:lang w:val="en-GB"/>
        </w:rPr>
        <w:t xml:space="preserve">it </w:t>
      </w:r>
      <w:r w:rsidR="00D0245C" w:rsidRPr="00D0245C">
        <w:rPr>
          <w:lang w:val="en-GB"/>
        </w:rPr>
        <w:t xml:space="preserve">did not think that niraparib would be associated with </w:t>
      </w:r>
      <w:r w:rsidR="00B67297">
        <w:rPr>
          <w:lang w:val="en-GB"/>
        </w:rPr>
        <w:t>better</w:t>
      </w:r>
      <w:r w:rsidR="00B67297" w:rsidRPr="00D0245C">
        <w:rPr>
          <w:lang w:val="en-GB"/>
        </w:rPr>
        <w:t xml:space="preserve"> </w:t>
      </w:r>
      <w:r w:rsidR="00D0245C" w:rsidRPr="00D0245C">
        <w:rPr>
          <w:lang w:val="en-GB"/>
        </w:rPr>
        <w:t xml:space="preserve">health-related quality of life </w:t>
      </w:r>
      <w:r w:rsidR="00BD5D23">
        <w:rPr>
          <w:lang w:val="en-GB"/>
        </w:rPr>
        <w:t xml:space="preserve">because </w:t>
      </w:r>
      <w:r w:rsidR="00E472EF">
        <w:rPr>
          <w:lang w:val="en-GB"/>
        </w:rPr>
        <w:t xml:space="preserve">the </w:t>
      </w:r>
      <w:r w:rsidR="00D0245C" w:rsidRPr="00D0245C">
        <w:rPr>
          <w:lang w:val="en-GB"/>
        </w:rPr>
        <w:t xml:space="preserve">adverse event rate was higher </w:t>
      </w:r>
      <w:r w:rsidR="00E472EF">
        <w:rPr>
          <w:lang w:val="en-GB"/>
        </w:rPr>
        <w:t xml:space="preserve">for niraparib </w:t>
      </w:r>
      <w:r w:rsidR="00D0245C" w:rsidRPr="00D0245C">
        <w:rPr>
          <w:lang w:val="en-GB"/>
        </w:rPr>
        <w:t xml:space="preserve">compared with placebo. </w:t>
      </w:r>
      <w:r w:rsidR="00BE4CBE">
        <w:rPr>
          <w:lang w:val="en-GB"/>
        </w:rPr>
        <w:t>The c</w:t>
      </w:r>
      <w:proofErr w:type="spellStart"/>
      <w:r w:rsidR="00FE2750">
        <w:t>linical</w:t>
      </w:r>
      <w:proofErr w:type="spellEnd"/>
      <w:r w:rsidR="00FE2750">
        <w:t xml:space="preserve"> expert and </w:t>
      </w:r>
      <w:r w:rsidR="00BE4CBE">
        <w:rPr>
          <w:lang w:val="en-GB"/>
        </w:rPr>
        <w:t xml:space="preserve">Cancer Drugs Fund clinical lead </w:t>
      </w:r>
      <w:r w:rsidR="00FE2750">
        <w:t xml:space="preserve">noted that utilities may improve on niraparib as it may improve </w:t>
      </w:r>
      <w:r w:rsidR="00832C5F">
        <w:rPr>
          <w:lang w:val="en-GB"/>
        </w:rPr>
        <w:t xml:space="preserve">clinical </w:t>
      </w:r>
      <w:r w:rsidR="00FE2750">
        <w:t>response for</w:t>
      </w:r>
      <w:r w:rsidR="00BE4CBE">
        <w:rPr>
          <w:lang w:val="en-GB"/>
        </w:rPr>
        <w:t xml:space="preserve"> people with</w:t>
      </w:r>
      <w:r w:rsidR="00FE2750">
        <w:t xml:space="preserve"> partial response</w:t>
      </w:r>
      <w:r w:rsidR="00BE4CBE">
        <w:rPr>
          <w:lang w:val="en-GB"/>
        </w:rPr>
        <w:t xml:space="preserve"> to treatment.</w:t>
      </w:r>
      <w:r w:rsidR="007F2A8E">
        <w:rPr>
          <w:lang w:val="en-GB"/>
        </w:rPr>
        <w:t xml:space="preserve"> The company explained that nir</w:t>
      </w:r>
      <w:r w:rsidR="00B018D4">
        <w:rPr>
          <w:lang w:val="en-GB"/>
        </w:rPr>
        <w:t>a</w:t>
      </w:r>
      <w:r w:rsidR="007F2A8E">
        <w:rPr>
          <w:lang w:val="en-GB"/>
        </w:rPr>
        <w:t xml:space="preserve">parib has a positive </w:t>
      </w:r>
      <w:r w:rsidR="00BD5D23">
        <w:rPr>
          <w:lang w:val="en-GB"/>
        </w:rPr>
        <w:t xml:space="preserve">effect </w:t>
      </w:r>
      <w:r w:rsidR="007F2A8E">
        <w:rPr>
          <w:lang w:val="en-GB"/>
        </w:rPr>
        <w:t xml:space="preserve">on the mental health of patients </w:t>
      </w:r>
      <w:r w:rsidR="00BD5D23">
        <w:rPr>
          <w:lang w:val="en-GB"/>
        </w:rPr>
        <w:t xml:space="preserve">having </w:t>
      </w:r>
      <w:r w:rsidR="007F2A8E">
        <w:rPr>
          <w:lang w:val="en-GB"/>
        </w:rPr>
        <w:t xml:space="preserve">an active treatment that delays progression of disease instead of </w:t>
      </w:r>
      <w:r w:rsidR="00D16D24">
        <w:rPr>
          <w:lang w:val="en-GB"/>
        </w:rPr>
        <w:t>a</w:t>
      </w:r>
      <w:r w:rsidR="007F2A8E">
        <w:rPr>
          <w:lang w:val="en-GB"/>
        </w:rPr>
        <w:t xml:space="preserve"> “wait and watch” approach. They noted that this benefit was not captured in the</w:t>
      </w:r>
      <w:r w:rsidR="00D16D24">
        <w:rPr>
          <w:lang w:val="en-GB"/>
        </w:rPr>
        <w:t xml:space="preserve"> trial data </w:t>
      </w:r>
      <w:r w:rsidR="00B018D4">
        <w:rPr>
          <w:lang w:val="en-GB"/>
        </w:rPr>
        <w:t xml:space="preserve">because of </w:t>
      </w:r>
      <w:r w:rsidR="00D16D24" w:rsidRPr="00D16D24">
        <w:rPr>
          <w:lang w:val="en-GB"/>
        </w:rPr>
        <w:t>the double-blind nature of NOVA</w:t>
      </w:r>
      <w:r w:rsidR="00D16D24">
        <w:rPr>
          <w:lang w:val="en-GB"/>
        </w:rPr>
        <w:t xml:space="preserve"> and was not incorporated in the utilities and </w:t>
      </w:r>
      <w:r w:rsidR="007F2A8E">
        <w:rPr>
          <w:lang w:val="en-GB"/>
        </w:rPr>
        <w:t>economic model</w:t>
      </w:r>
      <w:r w:rsidR="00D16D24">
        <w:rPr>
          <w:lang w:val="en-GB"/>
        </w:rPr>
        <w:t xml:space="preserve">. </w:t>
      </w:r>
      <w:r w:rsidR="00E472EF">
        <w:rPr>
          <w:lang w:val="en-GB"/>
        </w:rPr>
        <w:t xml:space="preserve">The committee were aware the company had completed a </w:t>
      </w:r>
      <w:r w:rsidR="00341F00">
        <w:rPr>
          <w:lang w:val="en-GB"/>
        </w:rPr>
        <w:t>mixed linear regression analysis</w:t>
      </w:r>
      <w:r w:rsidR="00E472EF">
        <w:rPr>
          <w:lang w:val="en-GB"/>
        </w:rPr>
        <w:t xml:space="preserve"> to explore if niraparib was associated with improved quality of life </w:t>
      </w:r>
      <w:r w:rsidR="00074D90">
        <w:rPr>
          <w:lang w:val="en-GB"/>
        </w:rPr>
        <w:t>but had not seen these analyses.</w:t>
      </w:r>
      <w:r w:rsidR="00832C5F">
        <w:rPr>
          <w:lang w:val="en-GB"/>
        </w:rPr>
        <w:t xml:space="preserve"> Consequently, the committee was unable to take this into account in its decision</w:t>
      </w:r>
      <w:r w:rsidR="00BD5D23">
        <w:rPr>
          <w:lang w:val="en-GB"/>
        </w:rPr>
        <w:t xml:space="preserve"> </w:t>
      </w:r>
      <w:r w:rsidR="00832C5F">
        <w:rPr>
          <w:lang w:val="en-GB"/>
        </w:rPr>
        <w:t>making</w:t>
      </w:r>
      <w:r w:rsidR="00FE2750">
        <w:t xml:space="preserve"> </w:t>
      </w:r>
      <w:r w:rsidR="00832C5F">
        <w:rPr>
          <w:lang w:val="en-GB"/>
        </w:rPr>
        <w:t>and concluded that it would</w:t>
      </w:r>
      <w:r w:rsidR="00FE2750">
        <w:t xml:space="preserve"> continue to consider both treatment specific and health</w:t>
      </w:r>
      <w:r w:rsidR="00832C5F">
        <w:rPr>
          <w:lang w:val="en-GB"/>
        </w:rPr>
        <w:t>-</w:t>
      </w:r>
      <w:r w:rsidR="00FE2750">
        <w:t>state based utility values for the cost</w:t>
      </w:r>
      <w:r w:rsidR="00832C5F">
        <w:rPr>
          <w:lang w:val="en-GB"/>
        </w:rPr>
        <w:t>-</w:t>
      </w:r>
      <w:r w:rsidR="00FE2750">
        <w:t>effectiveness analyses.</w:t>
      </w:r>
    </w:p>
    <w:p w14:paraId="6727C026" w14:textId="0661594D" w:rsidR="0031785C" w:rsidRDefault="00264013" w:rsidP="0031785C">
      <w:pPr>
        <w:pStyle w:val="Heading3"/>
        <w:rPr>
          <w:sz w:val="24"/>
          <w:szCs w:val="24"/>
        </w:rPr>
      </w:pPr>
      <w:r>
        <w:rPr>
          <w:sz w:val="24"/>
          <w:szCs w:val="24"/>
        </w:rPr>
        <w:t xml:space="preserve">Niraparib dose in the economic model should reflect prescribed dose </w:t>
      </w:r>
    </w:p>
    <w:p w14:paraId="11C2EF80" w14:textId="65868410" w:rsidR="00074D90" w:rsidRDefault="002C7200" w:rsidP="002C7200">
      <w:pPr>
        <w:pStyle w:val="Numberedlevel2text"/>
        <w:rPr>
          <w:lang w:val="en-GB"/>
        </w:rPr>
      </w:pPr>
      <w:r>
        <w:rPr>
          <w:lang w:val="en-GB"/>
        </w:rPr>
        <w:t>The company a</w:t>
      </w:r>
      <w:r w:rsidRPr="002C7200">
        <w:rPr>
          <w:lang w:val="en-GB"/>
        </w:rPr>
        <w:t xml:space="preserve">mended </w:t>
      </w:r>
      <w:r w:rsidR="00D6079A">
        <w:rPr>
          <w:lang w:val="en-GB"/>
        </w:rPr>
        <w:t xml:space="preserve">the </w:t>
      </w:r>
      <w:r w:rsidRPr="002C7200">
        <w:rPr>
          <w:lang w:val="en-GB"/>
        </w:rPr>
        <w:t>mean cost for niraparib based on updated dose data from</w:t>
      </w:r>
      <w:r w:rsidR="00341F00">
        <w:rPr>
          <w:lang w:val="en-GB"/>
        </w:rPr>
        <w:t xml:space="preserve"> the</w:t>
      </w:r>
      <w:r w:rsidRPr="002C7200">
        <w:rPr>
          <w:lang w:val="en-GB"/>
        </w:rPr>
        <w:t xml:space="preserve"> </w:t>
      </w:r>
      <w:r>
        <w:rPr>
          <w:lang w:val="en-GB"/>
        </w:rPr>
        <w:t xml:space="preserve">latest </w:t>
      </w:r>
      <w:r w:rsidRPr="002C7200">
        <w:rPr>
          <w:lang w:val="en-GB"/>
        </w:rPr>
        <w:t>NOVA data-cut</w:t>
      </w:r>
      <w:r w:rsidR="00074D90">
        <w:rPr>
          <w:lang w:val="en-GB"/>
        </w:rPr>
        <w:t xml:space="preserve"> </w:t>
      </w:r>
      <w:r w:rsidR="00341F00">
        <w:rPr>
          <w:lang w:val="en-GB"/>
        </w:rPr>
        <w:t xml:space="preserve">(the company used </w:t>
      </w:r>
      <w:r w:rsidR="00D6079A">
        <w:rPr>
          <w:lang w:val="en-GB"/>
        </w:rPr>
        <w:t xml:space="preserve">the </w:t>
      </w:r>
      <w:r w:rsidR="00341F00">
        <w:rPr>
          <w:lang w:val="en-GB"/>
        </w:rPr>
        <w:t xml:space="preserve">prescribed dose </w:t>
      </w:r>
      <w:r w:rsidR="00074D90">
        <w:rPr>
          <w:lang w:val="en-GB"/>
        </w:rPr>
        <w:t>in the original appraisal of niraparib</w:t>
      </w:r>
      <w:r w:rsidR="00341F00">
        <w:rPr>
          <w:lang w:val="en-GB"/>
        </w:rPr>
        <w:t>).</w:t>
      </w:r>
      <w:r w:rsidR="006D640F">
        <w:rPr>
          <w:lang w:val="en-GB"/>
        </w:rPr>
        <w:t xml:space="preserve"> </w:t>
      </w:r>
      <w:r w:rsidR="00074D90">
        <w:rPr>
          <w:lang w:val="en-GB"/>
        </w:rPr>
        <w:t xml:space="preserve">The </w:t>
      </w:r>
      <w:r w:rsidRPr="002C7200">
        <w:rPr>
          <w:lang w:val="en-GB"/>
        </w:rPr>
        <w:t xml:space="preserve">dose </w:t>
      </w:r>
      <w:r w:rsidR="00074D90">
        <w:rPr>
          <w:lang w:val="en-GB"/>
        </w:rPr>
        <w:t xml:space="preserve">used by the company in the </w:t>
      </w:r>
      <w:r w:rsidR="00BC7B8B">
        <w:rPr>
          <w:lang w:val="en-GB"/>
        </w:rPr>
        <w:t xml:space="preserve">Cancer Drug Fund </w:t>
      </w:r>
      <w:r w:rsidR="00074D90">
        <w:rPr>
          <w:lang w:val="en-GB"/>
        </w:rPr>
        <w:t xml:space="preserve">review </w:t>
      </w:r>
      <w:r>
        <w:rPr>
          <w:lang w:val="en-GB"/>
        </w:rPr>
        <w:t>was</w:t>
      </w:r>
      <w:r w:rsidRPr="002C7200">
        <w:rPr>
          <w:lang w:val="en-GB"/>
        </w:rPr>
        <w:t xml:space="preserve"> based on actual dose consumed</w:t>
      </w:r>
      <w:r>
        <w:rPr>
          <w:lang w:val="en-GB"/>
        </w:rPr>
        <w:t xml:space="preserve"> </w:t>
      </w:r>
      <w:r w:rsidRPr="002C7200">
        <w:rPr>
          <w:lang w:val="en-GB"/>
        </w:rPr>
        <w:t>(dispensed dose minus returned dose per cycle)</w:t>
      </w:r>
      <w:r>
        <w:rPr>
          <w:lang w:val="en-GB"/>
        </w:rPr>
        <w:t xml:space="preserve"> and reflected</w:t>
      </w:r>
      <w:r w:rsidRPr="002C7200">
        <w:rPr>
          <w:lang w:val="en-GB"/>
        </w:rPr>
        <w:t xml:space="preserve"> </w:t>
      </w:r>
      <w:r>
        <w:rPr>
          <w:lang w:val="en-GB"/>
        </w:rPr>
        <w:lastRenderedPageBreak/>
        <w:t>treatment doses</w:t>
      </w:r>
      <w:r w:rsidRPr="002C7200">
        <w:rPr>
          <w:lang w:val="en-GB"/>
        </w:rPr>
        <w:t xml:space="preserve"> returned by patients to the investigator during the tria</w:t>
      </w:r>
      <w:r>
        <w:rPr>
          <w:lang w:val="en-GB"/>
        </w:rPr>
        <w:t xml:space="preserve">l. </w:t>
      </w:r>
      <w:r w:rsidR="00D6079A">
        <w:rPr>
          <w:lang w:val="en-GB"/>
        </w:rPr>
        <w:t xml:space="preserve">In its original appraisal, the committee </w:t>
      </w:r>
      <w:r>
        <w:rPr>
          <w:lang w:val="en-GB"/>
        </w:rPr>
        <w:t>prefer</w:t>
      </w:r>
      <w:r w:rsidR="00D6079A">
        <w:rPr>
          <w:lang w:val="en-GB"/>
        </w:rPr>
        <w:t>red</w:t>
      </w:r>
      <w:r>
        <w:rPr>
          <w:lang w:val="en-GB"/>
        </w:rPr>
        <w:t xml:space="preserve"> to use the </w:t>
      </w:r>
      <w:r w:rsidRPr="002C7200">
        <w:rPr>
          <w:lang w:val="en-GB"/>
        </w:rPr>
        <w:t xml:space="preserve">prescribed dose as </w:t>
      </w:r>
      <w:r>
        <w:rPr>
          <w:lang w:val="en-GB"/>
        </w:rPr>
        <w:t xml:space="preserve">a </w:t>
      </w:r>
      <w:r w:rsidRPr="002C7200">
        <w:rPr>
          <w:lang w:val="en-GB"/>
        </w:rPr>
        <w:t>weighted average</w:t>
      </w:r>
      <w:r>
        <w:rPr>
          <w:lang w:val="en-GB"/>
        </w:rPr>
        <w:t xml:space="preserve">. The </w:t>
      </w:r>
      <w:r w:rsidR="00074D90">
        <w:rPr>
          <w:lang w:val="en-GB"/>
        </w:rPr>
        <w:t>committee</w:t>
      </w:r>
      <w:r w:rsidR="00074D90" w:rsidRPr="002C7200">
        <w:rPr>
          <w:lang w:val="en-GB"/>
        </w:rPr>
        <w:t xml:space="preserve"> </w:t>
      </w:r>
      <w:r w:rsidRPr="002C7200">
        <w:rPr>
          <w:lang w:val="en-GB"/>
        </w:rPr>
        <w:t>consider</w:t>
      </w:r>
      <w:r>
        <w:rPr>
          <w:lang w:val="en-GB"/>
        </w:rPr>
        <w:t xml:space="preserve">ed that </w:t>
      </w:r>
      <w:r w:rsidR="00F76CEB">
        <w:rPr>
          <w:lang w:val="en-GB"/>
        </w:rPr>
        <w:t xml:space="preserve">prescribed </w:t>
      </w:r>
      <w:r w:rsidRPr="002C7200">
        <w:rPr>
          <w:lang w:val="en-GB"/>
        </w:rPr>
        <w:t>niraparib doses are unlikely to be returned to the NHS and reused</w:t>
      </w:r>
      <w:r w:rsidR="00D6079A">
        <w:rPr>
          <w:lang w:val="en-GB"/>
        </w:rPr>
        <w:t>.</w:t>
      </w:r>
      <w:r w:rsidR="006D640F">
        <w:rPr>
          <w:lang w:val="en-GB"/>
        </w:rPr>
        <w:t xml:space="preserve"> </w:t>
      </w:r>
      <w:r w:rsidR="00D6079A">
        <w:rPr>
          <w:lang w:val="en-GB"/>
        </w:rPr>
        <w:t xml:space="preserve">This view </w:t>
      </w:r>
      <w:r>
        <w:rPr>
          <w:lang w:val="en-GB"/>
        </w:rPr>
        <w:t>was supported by the Cancer Drugs Fund clinical lead</w:t>
      </w:r>
      <w:r w:rsidR="00074D90">
        <w:rPr>
          <w:lang w:val="en-GB"/>
        </w:rPr>
        <w:t xml:space="preserve">, and </w:t>
      </w:r>
      <w:r w:rsidR="00D6079A">
        <w:rPr>
          <w:lang w:val="en-GB"/>
        </w:rPr>
        <w:t xml:space="preserve">the committee </w:t>
      </w:r>
      <w:r w:rsidR="00074D90">
        <w:rPr>
          <w:lang w:val="en-GB"/>
        </w:rPr>
        <w:t xml:space="preserve">concluded that </w:t>
      </w:r>
      <w:r w:rsidR="009B7A37">
        <w:rPr>
          <w:lang w:val="en-GB"/>
        </w:rPr>
        <w:t xml:space="preserve">using </w:t>
      </w:r>
      <w:r w:rsidR="00074D90">
        <w:rPr>
          <w:lang w:val="en-GB"/>
        </w:rPr>
        <w:t>prescribed dose (as used in the ERG preferred base case)</w:t>
      </w:r>
      <w:r w:rsidR="009B7A37">
        <w:rPr>
          <w:lang w:val="en-GB"/>
        </w:rPr>
        <w:t xml:space="preserve"> </w:t>
      </w:r>
      <w:r w:rsidR="009B7A37" w:rsidRPr="00801025">
        <w:rPr>
          <w:lang w:val="en-GB"/>
        </w:rPr>
        <w:t xml:space="preserve">reflects natural wastage that will </w:t>
      </w:r>
      <w:r w:rsidR="00BC7B8B">
        <w:rPr>
          <w:lang w:val="en-GB"/>
        </w:rPr>
        <w:t>happen</w:t>
      </w:r>
      <w:r w:rsidR="00BC7B8B" w:rsidRPr="00801025">
        <w:rPr>
          <w:lang w:val="en-GB"/>
        </w:rPr>
        <w:t xml:space="preserve"> </w:t>
      </w:r>
      <w:r w:rsidR="009B7A37" w:rsidRPr="00801025">
        <w:rPr>
          <w:lang w:val="en-GB"/>
        </w:rPr>
        <w:t xml:space="preserve">in clinical practice </w:t>
      </w:r>
      <w:r w:rsidR="009B7A37">
        <w:rPr>
          <w:lang w:val="en-GB"/>
        </w:rPr>
        <w:t xml:space="preserve">and </w:t>
      </w:r>
      <w:r w:rsidR="00074D90">
        <w:rPr>
          <w:lang w:val="en-GB"/>
        </w:rPr>
        <w:t>should be used to calculate the cost of niraparib treatment</w:t>
      </w:r>
      <w:r>
        <w:rPr>
          <w:lang w:val="en-GB"/>
        </w:rPr>
        <w:t>.</w:t>
      </w:r>
      <w:r w:rsidRPr="002C7200">
        <w:rPr>
          <w:lang w:val="en-GB"/>
        </w:rPr>
        <w:t xml:space="preserve"> </w:t>
      </w:r>
    </w:p>
    <w:p w14:paraId="33C44617" w14:textId="5F1CB075" w:rsidR="00074D90" w:rsidRPr="00341F00" w:rsidRDefault="007E00CD" w:rsidP="00341F00">
      <w:pPr>
        <w:pStyle w:val="Heading3"/>
        <w:rPr>
          <w:sz w:val="24"/>
          <w:szCs w:val="24"/>
        </w:rPr>
      </w:pPr>
      <w:r>
        <w:rPr>
          <w:sz w:val="24"/>
          <w:szCs w:val="24"/>
        </w:rPr>
        <w:t>Dose used in the model</w:t>
      </w:r>
      <w:r w:rsidR="00074D90" w:rsidRPr="00341F00">
        <w:rPr>
          <w:sz w:val="24"/>
          <w:szCs w:val="24"/>
        </w:rPr>
        <w:t xml:space="preserve"> should reflect the dose of niraparib in the </w:t>
      </w:r>
      <w:r w:rsidR="00341F00" w:rsidRPr="00341F00">
        <w:rPr>
          <w:sz w:val="24"/>
          <w:szCs w:val="24"/>
        </w:rPr>
        <w:t>summary of product characteristic</w:t>
      </w:r>
      <w:r w:rsidR="00DC62CC">
        <w:rPr>
          <w:sz w:val="24"/>
          <w:szCs w:val="24"/>
        </w:rPr>
        <w:t xml:space="preserve"> </w:t>
      </w:r>
      <w:r w:rsidR="00341F00" w:rsidRPr="00341F00">
        <w:rPr>
          <w:sz w:val="24"/>
          <w:szCs w:val="24"/>
        </w:rPr>
        <w:t>(</w:t>
      </w:r>
      <w:r w:rsidR="00074D90" w:rsidRPr="00341F00">
        <w:rPr>
          <w:sz w:val="24"/>
          <w:szCs w:val="24"/>
        </w:rPr>
        <w:t>SmPC</w:t>
      </w:r>
      <w:r w:rsidR="00341F00" w:rsidRPr="00341F00">
        <w:rPr>
          <w:sz w:val="24"/>
          <w:szCs w:val="24"/>
        </w:rPr>
        <w:t>)</w:t>
      </w:r>
      <w:r w:rsidR="00074D90" w:rsidRPr="00341F00">
        <w:rPr>
          <w:sz w:val="24"/>
          <w:szCs w:val="24"/>
        </w:rPr>
        <w:t xml:space="preserve"> and </w:t>
      </w:r>
      <w:r w:rsidR="00341F00" w:rsidRPr="00341F00">
        <w:rPr>
          <w:sz w:val="24"/>
          <w:szCs w:val="24"/>
        </w:rPr>
        <w:t>NOVA</w:t>
      </w:r>
      <w:r w:rsidR="00074D90" w:rsidRPr="00341F00">
        <w:rPr>
          <w:sz w:val="24"/>
          <w:szCs w:val="24"/>
        </w:rPr>
        <w:t xml:space="preserve"> </w:t>
      </w:r>
    </w:p>
    <w:p w14:paraId="231EBA5F" w14:textId="33838F00" w:rsidR="0031785C" w:rsidRPr="00801025" w:rsidRDefault="003E0911" w:rsidP="00801025">
      <w:pPr>
        <w:pStyle w:val="Numberedlevel2text"/>
        <w:rPr>
          <w:lang w:val="en-GB"/>
        </w:rPr>
      </w:pPr>
      <w:r>
        <w:rPr>
          <w:lang w:val="en-GB"/>
        </w:rPr>
        <w:t>The prescribed dose used in NOVA as specified in the SmPC for niraparib is 300</w:t>
      </w:r>
      <w:r w:rsidR="009A7D13">
        <w:rPr>
          <w:lang w:val="en-GB"/>
        </w:rPr>
        <w:t> </w:t>
      </w:r>
      <w:r>
        <w:rPr>
          <w:lang w:val="en-GB"/>
        </w:rPr>
        <w:t xml:space="preserve">mg. </w:t>
      </w:r>
      <w:r w:rsidR="002C7200">
        <w:rPr>
          <w:lang w:val="en-GB"/>
        </w:rPr>
        <w:t>The clinical expert explained that some clinicians</w:t>
      </w:r>
      <w:r w:rsidR="00F76CEB">
        <w:rPr>
          <w:lang w:val="en-GB"/>
        </w:rPr>
        <w:t xml:space="preserve"> favour starting</w:t>
      </w:r>
      <w:r w:rsidR="002C7200">
        <w:rPr>
          <w:lang w:val="en-GB"/>
        </w:rPr>
        <w:t xml:space="preserve"> treatment with a lower 200</w:t>
      </w:r>
      <w:r w:rsidR="009A7D13">
        <w:rPr>
          <w:lang w:val="en-GB"/>
        </w:rPr>
        <w:t> </w:t>
      </w:r>
      <w:r w:rsidR="002C7200">
        <w:rPr>
          <w:lang w:val="en-GB"/>
        </w:rPr>
        <w:t xml:space="preserve">mg dose of niraparib in clinical practice </w:t>
      </w:r>
      <w:r w:rsidR="009A7D13">
        <w:rPr>
          <w:lang w:val="en-GB"/>
        </w:rPr>
        <w:t xml:space="preserve">because </w:t>
      </w:r>
      <w:r w:rsidR="002C7200">
        <w:rPr>
          <w:lang w:val="en-GB"/>
        </w:rPr>
        <w:t xml:space="preserve">it </w:t>
      </w:r>
      <w:r w:rsidR="00264013">
        <w:rPr>
          <w:lang w:val="en-GB"/>
        </w:rPr>
        <w:t xml:space="preserve">is associated with </w:t>
      </w:r>
      <w:r>
        <w:rPr>
          <w:lang w:val="en-GB"/>
        </w:rPr>
        <w:t xml:space="preserve">reduced </w:t>
      </w:r>
      <w:r w:rsidR="00264013">
        <w:rPr>
          <w:lang w:val="en-GB"/>
        </w:rPr>
        <w:t xml:space="preserve">toxicity </w:t>
      </w:r>
      <w:r>
        <w:rPr>
          <w:lang w:val="en-GB"/>
        </w:rPr>
        <w:t xml:space="preserve">and treatment </w:t>
      </w:r>
      <w:r w:rsidR="009A7D13">
        <w:rPr>
          <w:lang w:val="en-GB"/>
        </w:rPr>
        <w:t xml:space="preserve">stopping </w:t>
      </w:r>
      <w:r>
        <w:rPr>
          <w:lang w:val="en-GB"/>
        </w:rPr>
        <w:t>rates.</w:t>
      </w:r>
      <w:r w:rsidR="00801025">
        <w:rPr>
          <w:lang w:val="en-GB"/>
        </w:rPr>
        <w:t xml:space="preserve"> The response to the lower dose is</w:t>
      </w:r>
      <w:r w:rsidR="00417710">
        <w:rPr>
          <w:lang w:val="en-GB"/>
        </w:rPr>
        <w:t xml:space="preserve"> expected to be</w:t>
      </w:r>
      <w:r w:rsidR="00801025">
        <w:rPr>
          <w:lang w:val="en-GB"/>
        </w:rPr>
        <w:t xml:space="preserve"> </w:t>
      </w:r>
      <w:r w:rsidR="00F76CEB" w:rsidRPr="00801025">
        <w:rPr>
          <w:lang w:val="en-GB"/>
        </w:rPr>
        <w:t>sustained</w:t>
      </w:r>
      <w:r w:rsidRPr="00801025">
        <w:rPr>
          <w:lang w:val="en-GB"/>
        </w:rPr>
        <w:t xml:space="preserve"> </w:t>
      </w:r>
      <w:r w:rsidR="00801025">
        <w:rPr>
          <w:lang w:val="en-GB"/>
        </w:rPr>
        <w:t xml:space="preserve">and </w:t>
      </w:r>
      <w:r w:rsidRPr="00801025">
        <w:rPr>
          <w:lang w:val="en-GB"/>
        </w:rPr>
        <w:t>similar</w:t>
      </w:r>
      <w:r w:rsidR="00F76CEB" w:rsidRPr="00801025">
        <w:rPr>
          <w:lang w:val="en-GB"/>
        </w:rPr>
        <w:t xml:space="preserve"> </w:t>
      </w:r>
      <w:r w:rsidR="00801025">
        <w:rPr>
          <w:lang w:val="en-GB"/>
        </w:rPr>
        <w:t xml:space="preserve">to the </w:t>
      </w:r>
      <w:r w:rsidRPr="00801025">
        <w:rPr>
          <w:lang w:val="en-GB"/>
        </w:rPr>
        <w:t>300</w:t>
      </w:r>
      <w:r w:rsidR="009A7D13">
        <w:rPr>
          <w:lang w:val="en-GB"/>
        </w:rPr>
        <w:t> </w:t>
      </w:r>
      <w:r w:rsidRPr="00801025">
        <w:rPr>
          <w:lang w:val="en-GB"/>
        </w:rPr>
        <w:t>mg</w:t>
      </w:r>
      <w:r w:rsidR="00264013" w:rsidRPr="00801025">
        <w:rPr>
          <w:lang w:val="en-GB"/>
        </w:rPr>
        <w:t xml:space="preserve"> higher dose.</w:t>
      </w:r>
      <w:r w:rsidR="002C7200" w:rsidRPr="00801025">
        <w:rPr>
          <w:lang w:val="en-GB"/>
        </w:rPr>
        <w:t xml:space="preserve"> </w:t>
      </w:r>
      <w:r w:rsidRPr="00801025">
        <w:rPr>
          <w:lang w:val="en-GB"/>
        </w:rPr>
        <w:t>The committee noted that the company produces 100</w:t>
      </w:r>
      <w:r w:rsidR="009A7D13">
        <w:rPr>
          <w:lang w:val="en-GB"/>
        </w:rPr>
        <w:t> </w:t>
      </w:r>
      <w:r w:rsidRPr="00801025">
        <w:rPr>
          <w:lang w:val="en-GB"/>
        </w:rPr>
        <w:t>mg capsules to account for this change in clinical practice</w:t>
      </w:r>
      <w:r w:rsidR="00801025" w:rsidRPr="00801025">
        <w:rPr>
          <w:lang w:val="en-GB"/>
        </w:rPr>
        <w:t xml:space="preserve"> but</w:t>
      </w:r>
      <w:r w:rsidR="00DB4044">
        <w:rPr>
          <w:lang w:val="en-GB"/>
        </w:rPr>
        <w:t xml:space="preserve"> </w:t>
      </w:r>
      <w:r w:rsidR="009A7D13">
        <w:rPr>
          <w:lang w:val="en-GB"/>
        </w:rPr>
        <w:t>also</w:t>
      </w:r>
      <w:r w:rsidR="00801025" w:rsidRPr="00801025">
        <w:rPr>
          <w:lang w:val="en-GB"/>
        </w:rPr>
        <w:t xml:space="preserve"> </w:t>
      </w:r>
      <w:r w:rsidR="009B7A37">
        <w:rPr>
          <w:lang w:val="en-GB"/>
        </w:rPr>
        <w:t xml:space="preserve">noted that the benefits accrued from niraparib should align with the treatment costs from NOVA. It </w:t>
      </w:r>
      <w:r w:rsidR="00801025" w:rsidRPr="00801025">
        <w:rPr>
          <w:lang w:val="en-GB"/>
        </w:rPr>
        <w:t>concluded that the dose</w:t>
      </w:r>
      <w:r w:rsidR="00801025" w:rsidRPr="007E00CD">
        <w:rPr>
          <w:lang w:val="en-GB"/>
        </w:rPr>
        <w:t xml:space="preserve"> used in</w:t>
      </w:r>
      <w:r w:rsidR="00801025">
        <w:rPr>
          <w:lang w:val="en-GB"/>
        </w:rPr>
        <w:t xml:space="preserve"> economic model</w:t>
      </w:r>
      <w:r w:rsidR="00801025" w:rsidRPr="00801025">
        <w:rPr>
          <w:lang w:val="en-GB"/>
        </w:rPr>
        <w:t xml:space="preserve"> should reflect the dose of niraparib in th</w:t>
      </w:r>
      <w:r w:rsidR="00801025">
        <w:rPr>
          <w:lang w:val="en-GB"/>
        </w:rPr>
        <w:t xml:space="preserve">e </w:t>
      </w:r>
      <w:r w:rsidR="00801025" w:rsidRPr="00801025">
        <w:rPr>
          <w:lang w:val="en-GB"/>
        </w:rPr>
        <w:t>SmPC and NOVA</w:t>
      </w:r>
      <w:r w:rsidR="007E00CD">
        <w:rPr>
          <w:lang w:val="en-GB"/>
        </w:rPr>
        <w:t>.</w:t>
      </w:r>
    </w:p>
    <w:p w14:paraId="3563ABA4" w14:textId="77777777" w:rsidR="007D03DA" w:rsidRPr="00175678" w:rsidRDefault="007D03DA" w:rsidP="007D03DA">
      <w:pPr>
        <w:pStyle w:val="Heading2"/>
      </w:pPr>
      <w:r w:rsidRPr="00175678">
        <w:t>End of life</w:t>
      </w:r>
    </w:p>
    <w:p w14:paraId="2283F4E9" w14:textId="375FB7D3" w:rsidR="00387C62" w:rsidRPr="00175678" w:rsidRDefault="00387C62" w:rsidP="00387C62">
      <w:pPr>
        <w:pStyle w:val="Heading3"/>
      </w:pPr>
      <w:r w:rsidRPr="00175678">
        <w:t>Life expectancy for</w:t>
      </w:r>
      <w:r>
        <w:t xml:space="preserve"> people </w:t>
      </w:r>
      <w:r w:rsidRPr="00387C62">
        <w:t>without a BRCA mutation</w:t>
      </w:r>
      <w:r w:rsidRPr="00175678">
        <w:t xml:space="preserve"> </w:t>
      </w:r>
      <w:r>
        <w:t>is uncertain</w:t>
      </w:r>
      <w:r w:rsidR="005F71EE">
        <w:t xml:space="preserve"> and not shown to be </w:t>
      </w:r>
      <w:r w:rsidR="005F71EE" w:rsidRPr="005F71EE">
        <w:t>less than 24</w:t>
      </w:r>
      <w:r w:rsidR="00A959A9">
        <w:t> </w:t>
      </w:r>
      <w:r w:rsidR="005F71EE" w:rsidRPr="005F71EE">
        <w:t xml:space="preserve">months without niraparib </w:t>
      </w:r>
    </w:p>
    <w:p w14:paraId="0EEBC6EA" w14:textId="6977C617" w:rsidR="007D03DA" w:rsidRDefault="007D03DA" w:rsidP="00D039A0">
      <w:pPr>
        <w:pStyle w:val="Numberedlevel2text"/>
      </w:pPr>
      <w:r w:rsidRPr="00011D3B">
        <w:t xml:space="preserve">The committee considered the advice about life-extending treatments for people with a short life expectancy in NICE’s </w:t>
      </w:r>
      <w:hyperlink r:id="rId20" w:history="1">
        <w:r w:rsidRPr="00011D3B">
          <w:rPr>
            <w:rStyle w:val="Hyperlink"/>
          </w:rPr>
          <w:t>Cancer Drugs Fund technology appraisal process and methods</w:t>
        </w:r>
      </w:hyperlink>
      <w:r w:rsidRPr="00011D3B">
        <w:t>.</w:t>
      </w:r>
      <w:r>
        <w:rPr>
          <w:lang w:val="en-GB"/>
        </w:rPr>
        <w:t xml:space="preserve"> It noted that the company had made a case for applying the end-of-life criteria to the subgroup of </w:t>
      </w:r>
      <w:r>
        <w:t>people without a BRCA mutation</w:t>
      </w:r>
      <w:r w:rsidR="00D039A0" w:rsidRPr="00D039A0">
        <w:t xml:space="preserve"> who have had 2 or more lines of platinum-based chemotherapy</w:t>
      </w:r>
      <w:r w:rsidR="00D039A0">
        <w:rPr>
          <w:lang w:val="en-GB"/>
        </w:rPr>
        <w:t xml:space="preserve"> </w:t>
      </w:r>
      <w:r w:rsidR="007174D2" w:rsidRPr="00D039A0">
        <w:rPr>
          <w:lang w:val="en-GB"/>
        </w:rPr>
        <w:t>for people with</w:t>
      </w:r>
      <w:r w:rsidR="007174D2" w:rsidRPr="007174D2">
        <w:t xml:space="preserve"> </w:t>
      </w:r>
      <w:r w:rsidR="007174D2">
        <w:t>short life expectancy</w:t>
      </w:r>
      <w:r w:rsidR="007174D2" w:rsidRPr="00D039A0">
        <w:rPr>
          <w:lang w:val="en-GB"/>
        </w:rPr>
        <w:t xml:space="preserve"> (</w:t>
      </w:r>
      <w:r w:rsidR="007174D2">
        <w:t xml:space="preserve">normally less than </w:t>
      </w:r>
      <w:r w:rsidR="007174D2">
        <w:lastRenderedPageBreak/>
        <w:t>24</w:t>
      </w:r>
      <w:r w:rsidR="007174D2" w:rsidRPr="00D039A0">
        <w:rPr>
          <w:lang w:val="en-GB"/>
        </w:rPr>
        <w:t> </w:t>
      </w:r>
      <w:r w:rsidR="007174D2">
        <w:t>months</w:t>
      </w:r>
      <w:r w:rsidR="007174D2" w:rsidRPr="00D039A0">
        <w:rPr>
          <w:lang w:val="en-GB"/>
        </w:rPr>
        <w:t>)</w:t>
      </w:r>
      <w:r w:rsidRPr="00D039A0">
        <w:rPr>
          <w:lang w:val="en-GB"/>
        </w:rPr>
        <w:t>. The committee</w:t>
      </w:r>
      <w:r>
        <w:t xml:space="preserve"> </w:t>
      </w:r>
      <w:r w:rsidR="007174D2" w:rsidRPr="00D039A0">
        <w:rPr>
          <w:lang w:val="en-GB"/>
        </w:rPr>
        <w:t xml:space="preserve">considered the alternative </w:t>
      </w:r>
      <w:r>
        <w:t xml:space="preserve">sources of evidence </w:t>
      </w:r>
      <w:r w:rsidR="007174D2" w:rsidRPr="00D039A0">
        <w:rPr>
          <w:lang w:val="en-GB"/>
        </w:rPr>
        <w:t>which provided</w:t>
      </w:r>
      <w:r>
        <w:t xml:space="preserve"> estimates for life expectancy without niraparib for</w:t>
      </w:r>
      <w:r w:rsidRPr="00D039A0">
        <w:rPr>
          <w:lang w:val="en-GB"/>
        </w:rPr>
        <w:t xml:space="preserve"> people without a BRCA mutation</w:t>
      </w:r>
      <w:r w:rsidR="007174D2" w:rsidRPr="00D039A0">
        <w:rPr>
          <w:lang w:val="en-GB"/>
        </w:rPr>
        <w:t>. It</w:t>
      </w:r>
      <w:r w:rsidR="00387C62" w:rsidRPr="00D039A0">
        <w:rPr>
          <w:lang w:val="en-GB"/>
        </w:rPr>
        <w:t xml:space="preserve"> considered that</w:t>
      </w:r>
      <w:r w:rsidR="00221B2B" w:rsidRPr="00D039A0">
        <w:rPr>
          <w:lang w:val="en-GB"/>
        </w:rPr>
        <w:t xml:space="preserve"> the </w:t>
      </w:r>
      <w:r w:rsidR="00387C62" w:rsidRPr="00D039A0">
        <w:rPr>
          <w:lang w:val="en-GB"/>
        </w:rPr>
        <w:t>results from these</w:t>
      </w:r>
      <w:r w:rsidR="00221B2B" w:rsidRPr="00D039A0">
        <w:rPr>
          <w:lang w:val="en-GB"/>
        </w:rPr>
        <w:t xml:space="preserve"> sources were</w:t>
      </w:r>
      <w:r w:rsidR="00387C62" w:rsidRPr="00D039A0">
        <w:rPr>
          <w:lang w:val="en-GB"/>
        </w:rPr>
        <w:t xml:space="preserve"> highly uncertain</w:t>
      </w:r>
      <w:r w:rsidR="007174D2" w:rsidRPr="00D039A0">
        <w:rPr>
          <w:lang w:val="en-GB"/>
        </w:rPr>
        <w:t xml:space="preserve"> as they contained populations which were heterogenous</w:t>
      </w:r>
      <w:r w:rsidRPr="00D039A0">
        <w:rPr>
          <w:lang w:val="en-GB"/>
        </w:rPr>
        <w:t>.</w:t>
      </w:r>
      <w:r w:rsidR="00D039A0">
        <w:rPr>
          <w:lang w:val="en-GB"/>
        </w:rPr>
        <w:t xml:space="preserve"> The committee recalled that Lord et. al</w:t>
      </w:r>
      <w:r w:rsidR="00D039A0" w:rsidRPr="00D039A0">
        <w:rPr>
          <w:lang w:val="en-GB"/>
        </w:rPr>
        <w:t>.</w:t>
      </w:r>
      <w:r w:rsidR="00D039A0">
        <w:rPr>
          <w:lang w:val="en-GB"/>
        </w:rPr>
        <w:t xml:space="preserve"> i</w:t>
      </w:r>
      <w:r w:rsidR="00D039A0" w:rsidRPr="00D039A0">
        <w:rPr>
          <w:lang w:val="en-GB"/>
        </w:rPr>
        <w:t>nclud</w:t>
      </w:r>
      <w:r w:rsidR="00D039A0">
        <w:rPr>
          <w:lang w:val="en-GB"/>
        </w:rPr>
        <w:t xml:space="preserve">ed </w:t>
      </w:r>
      <w:r w:rsidR="00D039A0" w:rsidRPr="00D039A0">
        <w:rPr>
          <w:lang w:val="en-GB"/>
        </w:rPr>
        <w:t>people with a BRCA mutation who had 3 or more courses of chemotherapy</w:t>
      </w:r>
      <w:r w:rsidR="00D039A0">
        <w:rPr>
          <w:lang w:val="en-GB"/>
        </w:rPr>
        <w:t xml:space="preserve"> (</w:t>
      </w:r>
      <w:r w:rsidR="00A959A9">
        <w:rPr>
          <w:lang w:val="en-GB"/>
        </w:rPr>
        <w:t xml:space="preserve">see </w:t>
      </w:r>
      <w:r w:rsidR="00D039A0">
        <w:rPr>
          <w:lang w:val="en-GB"/>
        </w:rPr>
        <w:t>section</w:t>
      </w:r>
      <w:r w:rsidR="00A959A9">
        <w:rPr>
          <w:lang w:val="en-GB"/>
        </w:rPr>
        <w:t> </w:t>
      </w:r>
      <w:r w:rsidR="00D039A0">
        <w:rPr>
          <w:lang w:val="en-GB"/>
        </w:rPr>
        <w:t xml:space="preserve">3.5) </w:t>
      </w:r>
      <w:r w:rsidR="00D04408">
        <w:rPr>
          <w:lang w:val="en-GB"/>
        </w:rPr>
        <w:t>and were</w:t>
      </w:r>
      <w:r w:rsidR="00D04408" w:rsidRPr="00D04408">
        <w:rPr>
          <w:lang w:val="en-GB"/>
        </w:rPr>
        <w:t xml:space="preserve"> likely t</w:t>
      </w:r>
      <w:r w:rsidR="00D04408">
        <w:rPr>
          <w:lang w:val="en-GB"/>
        </w:rPr>
        <w:t>o</w:t>
      </w:r>
      <w:r w:rsidR="00D04408" w:rsidRPr="00D04408">
        <w:rPr>
          <w:lang w:val="en-GB"/>
        </w:rPr>
        <w:t xml:space="preserve"> have a poorer prognosis </w:t>
      </w:r>
      <w:r w:rsidR="00D6079A">
        <w:rPr>
          <w:lang w:val="en-GB"/>
        </w:rPr>
        <w:t xml:space="preserve">than </w:t>
      </w:r>
      <w:r w:rsidR="00D04408">
        <w:rPr>
          <w:lang w:val="en-GB"/>
        </w:rPr>
        <w:t xml:space="preserve">people </w:t>
      </w:r>
      <w:r w:rsidR="00D6079A">
        <w:rPr>
          <w:lang w:val="en-GB"/>
        </w:rPr>
        <w:t xml:space="preserve">in </w:t>
      </w:r>
      <w:r w:rsidR="00D04408">
        <w:rPr>
          <w:lang w:val="en-GB"/>
        </w:rPr>
        <w:t xml:space="preserve">earlier </w:t>
      </w:r>
      <w:r w:rsidR="00D6079A">
        <w:rPr>
          <w:lang w:val="en-GB"/>
        </w:rPr>
        <w:t xml:space="preserve">stages </w:t>
      </w:r>
      <w:r w:rsidR="00D04408">
        <w:rPr>
          <w:lang w:val="en-GB"/>
        </w:rPr>
        <w:t>of treatment</w:t>
      </w:r>
      <w:r w:rsidR="00D04408" w:rsidRPr="00D04408">
        <w:rPr>
          <w:lang w:val="en-GB"/>
        </w:rPr>
        <w:t>.</w:t>
      </w:r>
      <w:r w:rsidR="00D04408">
        <w:rPr>
          <w:lang w:val="en-GB"/>
        </w:rPr>
        <w:t xml:space="preserve"> </w:t>
      </w:r>
      <w:r w:rsidRPr="00D039A0">
        <w:rPr>
          <w:lang w:val="en-GB"/>
        </w:rPr>
        <w:t>The committee accepted that the company’s model was suitable for decision</w:t>
      </w:r>
      <w:r w:rsidR="00A959A9">
        <w:rPr>
          <w:lang w:val="en-GB"/>
        </w:rPr>
        <w:t> </w:t>
      </w:r>
      <w:r w:rsidRPr="00D039A0">
        <w:rPr>
          <w:lang w:val="en-GB"/>
        </w:rPr>
        <w:t>making (see section 3</w:t>
      </w:r>
      <w:r w:rsidR="00387C62" w:rsidRPr="00D039A0">
        <w:rPr>
          <w:lang w:val="en-GB"/>
        </w:rPr>
        <w:t>.</w:t>
      </w:r>
      <w:r w:rsidR="00221B2B" w:rsidRPr="00D039A0">
        <w:rPr>
          <w:lang w:val="en-GB"/>
        </w:rPr>
        <w:t>7</w:t>
      </w:r>
      <w:r w:rsidRPr="00D039A0">
        <w:rPr>
          <w:lang w:val="en-GB"/>
        </w:rPr>
        <w:t>)</w:t>
      </w:r>
      <w:r w:rsidR="005F71EE" w:rsidRPr="00D039A0">
        <w:rPr>
          <w:lang w:val="en-GB"/>
        </w:rPr>
        <w:t xml:space="preserve"> </w:t>
      </w:r>
      <w:r w:rsidRPr="00D039A0">
        <w:rPr>
          <w:lang w:val="en-GB"/>
        </w:rPr>
        <w:t xml:space="preserve">and </w:t>
      </w:r>
      <w:r>
        <w:t xml:space="preserve">noted that the estimated life expectancy with routine surveillance </w:t>
      </w:r>
      <w:r w:rsidRPr="00D039A0">
        <w:rPr>
          <w:lang w:val="en-GB"/>
        </w:rPr>
        <w:t>in</w:t>
      </w:r>
      <w:r>
        <w:t xml:space="preserve"> the</w:t>
      </w:r>
      <w:r w:rsidR="005A591D" w:rsidRPr="00D039A0">
        <w:rPr>
          <w:lang w:val="en-GB"/>
        </w:rPr>
        <w:t xml:space="preserve"> company</w:t>
      </w:r>
      <w:r w:rsidR="00221B2B" w:rsidRPr="00D039A0">
        <w:rPr>
          <w:lang w:val="en-GB"/>
        </w:rPr>
        <w:t>’s</w:t>
      </w:r>
      <w:r w:rsidR="005A591D" w:rsidRPr="00D039A0">
        <w:rPr>
          <w:lang w:val="en-GB"/>
        </w:rPr>
        <w:t xml:space="preserve"> base-case analysis</w:t>
      </w:r>
      <w:r w:rsidRPr="00D039A0">
        <w:rPr>
          <w:lang w:val="en-GB"/>
        </w:rPr>
        <w:t xml:space="preserve"> </w:t>
      </w:r>
      <w:r>
        <w:t xml:space="preserve">was </w:t>
      </w:r>
      <w:r w:rsidR="00923AF4" w:rsidRPr="00D039A0">
        <w:rPr>
          <w:lang w:val="en-GB"/>
        </w:rPr>
        <w:t>greater than 2</w:t>
      </w:r>
      <w:r w:rsidRPr="00D039A0">
        <w:rPr>
          <w:lang w:val="en-GB"/>
        </w:rPr>
        <w:t> </w:t>
      </w:r>
      <w:r>
        <w:t>years.</w:t>
      </w:r>
      <w:r w:rsidRPr="00D039A0">
        <w:rPr>
          <w:lang w:val="en-GB"/>
        </w:rPr>
        <w:t xml:space="preserve"> </w:t>
      </w:r>
      <w:r>
        <w:t>The c</w:t>
      </w:r>
      <w:r w:rsidRPr="001F27CC">
        <w:t>ommittee</w:t>
      </w:r>
      <w:r w:rsidR="005A591D" w:rsidRPr="00D039A0">
        <w:rPr>
          <w:lang w:val="en-GB"/>
        </w:rPr>
        <w:t xml:space="preserve"> was</w:t>
      </w:r>
      <w:r w:rsidRPr="001F27CC">
        <w:t xml:space="preserve"> not persuad</w:t>
      </w:r>
      <w:r>
        <w:t>ed that the</w:t>
      </w:r>
      <w:r w:rsidRPr="00D039A0">
        <w:rPr>
          <w:lang w:val="en-GB"/>
        </w:rPr>
        <w:t xml:space="preserve"> average</w:t>
      </w:r>
      <w:r>
        <w:t xml:space="preserve"> life expectancy for people without a BRCA mutation h</w:t>
      </w:r>
      <w:r w:rsidRPr="001F27CC">
        <w:t>ad been shown to be less than 24</w:t>
      </w:r>
      <w:r>
        <w:t> </w:t>
      </w:r>
      <w:r w:rsidRPr="001F27CC">
        <w:t xml:space="preserve">months without </w:t>
      </w:r>
      <w:r>
        <w:t>niraparib</w:t>
      </w:r>
      <w:r w:rsidRPr="001F27CC">
        <w:t xml:space="preserve"> treatment</w:t>
      </w:r>
      <w:r w:rsidR="005F71EE" w:rsidRPr="00D039A0">
        <w:rPr>
          <w:lang w:val="en-GB"/>
        </w:rPr>
        <w:t xml:space="preserve">. </w:t>
      </w:r>
      <w:r w:rsidR="00923AF4" w:rsidRPr="00D039A0">
        <w:rPr>
          <w:lang w:val="en-GB"/>
        </w:rPr>
        <w:t>I</w:t>
      </w:r>
      <w:r w:rsidRPr="00D039A0">
        <w:rPr>
          <w:lang w:val="en-GB"/>
        </w:rPr>
        <w:t xml:space="preserve">t </w:t>
      </w:r>
      <w:r>
        <w:t>concluded that</w:t>
      </w:r>
      <w:r w:rsidR="00017736" w:rsidRPr="00D039A0">
        <w:rPr>
          <w:lang w:val="en-GB"/>
        </w:rPr>
        <w:t xml:space="preserve"> </w:t>
      </w:r>
      <w:r w:rsidRPr="00D039A0">
        <w:rPr>
          <w:lang w:val="en-GB"/>
        </w:rPr>
        <w:t>the</w:t>
      </w:r>
      <w:r w:rsidR="00017736" w:rsidRPr="00D039A0">
        <w:rPr>
          <w:lang w:val="en-GB"/>
        </w:rPr>
        <w:t xml:space="preserve"> criteri</w:t>
      </w:r>
      <w:r w:rsidR="00D6079A">
        <w:rPr>
          <w:lang w:val="en-GB"/>
        </w:rPr>
        <w:t>on</w:t>
      </w:r>
      <w:r w:rsidR="00017736" w:rsidRPr="00D039A0">
        <w:rPr>
          <w:lang w:val="en-GB"/>
        </w:rPr>
        <w:t xml:space="preserve"> for</w:t>
      </w:r>
      <w:r w:rsidR="00017736" w:rsidRPr="00017736">
        <w:t xml:space="preserve"> </w:t>
      </w:r>
      <w:r w:rsidR="00017736">
        <w:t xml:space="preserve">short life </w:t>
      </w:r>
      <w:r w:rsidR="00017736" w:rsidRPr="00D039A0">
        <w:rPr>
          <w:lang w:val="en-GB"/>
        </w:rPr>
        <w:t>was</w:t>
      </w:r>
      <w:r w:rsidR="00923AF4" w:rsidRPr="00D039A0">
        <w:rPr>
          <w:lang w:val="en-GB"/>
        </w:rPr>
        <w:t xml:space="preserve"> </w:t>
      </w:r>
      <w:r>
        <w:t>not met.</w:t>
      </w:r>
    </w:p>
    <w:p w14:paraId="558B0296" w14:textId="32F7576B" w:rsidR="007D03DA" w:rsidRPr="00175678" w:rsidRDefault="005A591D" w:rsidP="007D03DA">
      <w:pPr>
        <w:pStyle w:val="Heading3"/>
      </w:pPr>
      <w:r>
        <w:t>Extension to life</w:t>
      </w:r>
      <w:r w:rsidR="005F71EE">
        <w:t xml:space="preserve"> </w:t>
      </w:r>
      <w:r w:rsidR="005F71EE" w:rsidRPr="00175678">
        <w:t>by more than 3 months</w:t>
      </w:r>
      <w:r>
        <w:t xml:space="preserve"> with niraparib for people </w:t>
      </w:r>
      <w:r w:rsidRPr="00387C62">
        <w:t>without a BRCA mutation</w:t>
      </w:r>
      <w:r w:rsidRPr="00175678">
        <w:t xml:space="preserve"> </w:t>
      </w:r>
      <w:r>
        <w:t>is uncertain</w:t>
      </w:r>
    </w:p>
    <w:p w14:paraId="3AE93C6B" w14:textId="55E16F66" w:rsidR="00D44DAD" w:rsidRPr="007D03DA" w:rsidRDefault="005A591D" w:rsidP="007D03DA">
      <w:pPr>
        <w:pStyle w:val="Numberedlevel2text"/>
        <w:numPr>
          <w:ilvl w:val="1"/>
          <w:numId w:val="1"/>
        </w:numPr>
        <w:rPr>
          <w:lang w:val="en-GB"/>
        </w:rPr>
      </w:pPr>
      <w:bookmarkStart w:id="0" w:name="_Ref58180456"/>
      <w:r>
        <w:rPr>
          <w:lang w:val="en-GB"/>
        </w:rPr>
        <w:t>The committee recalled that</w:t>
      </w:r>
      <w:r w:rsidR="00017736">
        <w:rPr>
          <w:lang w:val="en-GB"/>
        </w:rPr>
        <w:t xml:space="preserve"> the survival benefit for people without a BRCA mutation </w:t>
      </w:r>
      <w:r w:rsidR="00D6079A">
        <w:rPr>
          <w:lang w:val="en-GB"/>
        </w:rPr>
        <w:t xml:space="preserve">was </w:t>
      </w:r>
      <w:r w:rsidR="00017736">
        <w:rPr>
          <w:lang w:val="en-GB"/>
        </w:rPr>
        <w:t>uncertain</w:t>
      </w:r>
      <w:r w:rsidR="00923AF4">
        <w:rPr>
          <w:lang w:val="en-GB"/>
        </w:rPr>
        <w:t xml:space="preserve"> </w:t>
      </w:r>
      <w:r>
        <w:rPr>
          <w:lang w:val="en-GB"/>
        </w:rPr>
        <w:t>(see section</w:t>
      </w:r>
      <w:r w:rsidR="00A959A9">
        <w:rPr>
          <w:lang w:val="en-GB"/>
        </w:rPr>
        <w:t> </w:t>
      </w:r>
      <w:r>
        <w:rPr>
          <w:lang w:val="en-GB"/>
        </w:rPr>
        <w:t>3.</w:t>
      </w:r>
      <w:r w:rsidR="005F71EE">
        <w:rPr>
          <w:lang w:val="en-GB"/>
        </w:rPr>
        <w:t>4</w:t>
      </w:r>
      <w:r>
        <w:rPr>
          <w:lang w:val="en-GB"/>
        </w:rPr>
        <w:t>).</w:t>
      </w:r>
      <w:r w:rsidR="007D03DA" w:rsidRPr="00175678">
        <w:rPr>
          <w:lang w:val="en-GB"/>
        </w:rPr>
        <w:t xml:space="preserve"> </w:t>
      </w:r>
      <w:r w:rsidR="00133711">
        <w:rPr>
          <w:lang w:val="en-GB"/>
        </w:rPr>
        <w:t>A</w:t>
      </w:r>
      <w:r w:rsidR="00017736">
        <w:rPr>
          <w:lang w:val="en-GB"/>
        </w:rPr>
        <w:t xml:space="preserve">dditional analyses were </w:t>
      </w:r>
      <w:r w:rsidR="00A959A9">
        <w:rPr>
          <w:lang w:val="en-GB"/>
        </w:rPr>
        <w:t xml:space="preserve">needed </w:t>
      </w:r>
      <w:r w:rsidR="00017736">
        <w:rPr>
          <w:lang w:val="en-GB"/>
        </w:rPr>
        <w:t>to adjust for subsequent treatment use and differences in base line characteristics</w:t>
      </w:r>
      <w:r w:rsidR="00923AF4">
        <w:rPr>
          <w:lang w:val="en-GB"/>
        </w:rPr>
        <w:t>.</w:t>
      </w:r>
      <w:r w:rsidR="00133711">
        <w:rPr>
          <w:lang w:val="en-GB"/>
        </w:rPr>
        <w:t xml:space="preserve"> </w:t>
      </w:r>
      <w:r w:rsidR="00923AF4">
        <w:rPr>
          <w:lang w:val="en-GB"/>
        </w:rPr>
        <w:t>T</w:t>
      </w:r>
      <w:r w:rsidR="007D03DA" w:rsidRPr="00175678">
        <w:rPr>
          <w:lang w:val="en-GB"/>
        </w:rPr>
        <w:t xml:space="preserve">he committee concluded that it is uncertain </w:t>
      </w:r>
      <w:r w:rsidR="00A959A9">
        <w:rPr>
          <w:lang w:val="en-GB"/>
        </w:rPr>
        <w:t>if</w:t>
      </w:r>
      <w:r w:rsidR="00A959A9" w:rsidRPr="00175678">
        <w:rPr>
          <w:lang w:val="en-GB"/>
        </w:rPr>
        <w:t xml:space="preserve"> </w:t>
      </w:r>
      <w:r w:rsidR="007D03DA" w:rsidRPr="00175678">
        <w:rPr>
          <w:lang w:val="en-GB"/>
        </w:rPr>
        <w:t>ni</w:t>
      </w:r>
      <w:r w:rsidR="00133711">
        <w:rPr>
          <w:lang w:val="en-GB"/>
        </w:rPr>
        <w:t>raparib</w:t>
      </w:r>
      <w:r w:rsidR="007D03DA" w:rsidRPr="00175678">
        <w:rPr>
          <w:lang w:val="en-GB"/>
        </w:rPr>
        <w:t xml:space="preserve"> would extend life by </w:t>
      </w:r>
      <w:r w:rsidR="00923AF4">
        <w:rPr>
          <w:lang w:val="en-GB"/>
        </w:rPr>
        <w:t>more</w:t>
      </w:r>
      <w:r w:rsidR="007D03DA" w:rsidRPr="00175678">
        <w:rPr>
          <w:lang w:val="en-GB"/>
        </w:rPr>
        <w:t xml:space="preserve"> than 3 months compared with</w:t>
      </w:r>
      <w:r w:rsidR="00133711">
        <w:rPr>
          <w:lang w:val="en-GB"/>
        </w:rPr>
        <w:t xml:space="preserve"> routine surveillance</w:t>
      </w:r>
      <w:r w:rsidR="007D03DA" w:rsidRPr="00175678">
        <w:rPr>
          <w:lang w:val="en-GB"/>
        </w:rPr>
        <w:t xml:space="preserve">. </w:t>
      </w:r>
      <w:r w:rsidR="00923AF4">
        <w:rPr>
          <w:lang w:val="en-GB"/>
        </w:rPr>
        <w:t>S</w:t>
      </w:r>
      <w:r w:rsidR="00017736">
        <w:rPr>
          <w:lang w:val="en-GB"/>
        </w:rPr>
        <w:t>o</w:t>
      </w:r>
      <w:r w:rsidR="00923AF4">
        <w:rPr>
          <w:lang w:val="en-GB"/>
        </w:rPr>
        <w:t xml:space="preserve">, </w:t>
      </w:r>
      <w:r w:rsidR="007D03DA" w:rsidRPr="00175678">
        <w:rPr>
          <w:lang w:val="en-GB"/>
        </w:rPr>
        <w:t>it is currently uncertain if ni</w:t>
      </w:r>
      <w:r w:rsidR="00133711">
        <w:rPr>
          <w:lang w:val="en-GB"/>
        </w:rPr>
        <w:t>raparib</w:t>
      </w:r>
      <w:r w:rsidR="007D03DA" w:rsidRPr="00175678">
        <w:rPr>
          <w:lang w:val="en-GB"/>
        </w:rPr>
        <w:t xml:space="preserve"> meets th</w:t>
      </w:r>
      <w:r w:rsidR="00017736">
        <w:rPr>
          <w:lang w:val="en-GB"/>
        </w:rPr>
        <w:t xml:space="preserve">e </w:t>
      </w:r>
      <w:r w:rsidR="00017736">
        <w:t>extension to life</w:t>
      </w:r>
      <w:r w:rsidR="00017736">
        <w:rPr>
          <w:lang w:val="en-GB"/>
        </w:rPr>
        <w:t xml:space="preserve"> </w:t>
      </w:r>
      <w:r w:rsidR="007D03DA" w:rsidRPr="00175678">
        <w:rPr>
          <w:lang w:val="en-GB"/>
        </w:rPr>
        <w:t>criteri</w:t>
      </w:r>
      <w:r w:rsidR="00D6079A">
        <w:rPr>
          <w:lang w:val="en-GB"/>
        </w:rPr>
        <w:t>a</w:t>
      </w:r>
      <w:bookmarkEnd w:id="0"/>
      <w:r w:rsidR="00133711">
        <w:rPr>
          <w:lang w:val="en-GB"/>
        </w:rPr>
        <w:t>.</w:t>
      </w:r>
    </w:p>
    <w:p w14:paraId="096DD2F7" w14:textId="679AEAB7" w:rsidR="00090108" w:rsidRDefault="007D03DA" w:rsidP="00090108">
      <w:pPr>
        <w:pStyle w:val="Heading2"/>
      </w:pPr>
      <w:r>
        <w:t>Cost</w:t>
      </w:r>
      <w:r w:rsidR="00A959A9">
        <w:t>-</w:t>
      </w:r>
      <w:r>
        <w:t>effectiveness results</w:t>
      </w:r>
    </w:p>
    <w:p w14:paraId="3E42645A" w14:textId="638E9D64" w:rsidR="004B7D57" w:rsidRPr="00FA2CF8" w:rsidRDefault="00D0753F" w:rsidP="004B7D57">
      <w:pPr>
        <w:pStyle w:val="Heading3"/>
        <w:rPr>
          <w:sz w:val="24"/>
          <w:szCs w:val="24"/>
        </w:rPr>
      </w:pPr>
      <w:r w:rsidRPr="00FA2CF8">
        <w:rPr>
          <w:sz w:val="24"/>
          <w:szCs w:val="24"/>
        </w:rPr>
        <w:t>The estimates for people with</w:t>
      </w:r>
      <w:r w:rsidR="007952B9">
        <w:rPr>
          <w:sz w:val="24"/>
          <w:szCs w:val="24"/>
        </w:rPr>
        <w:t xml:space="preserve"> a</w:t>
      </w:r>
      <w:r w:rsidRPr="00FA2CF8">
        <w:rPr>
          <w:sz w:val="24"/>
          <w:szCs w:val="24"/>
        </w:rPr>
        <w:t xml:space="preserve"> BRCA mutation are within the range considered a cost-effective use of NHS resources</w:t>
      </w:r>
    </w:p>
    <w:p w14:paraId="73F79899" w14:textId="782DAF79" w:rsidR="00D0753F" w:rsidRPr="00D0753F" w:rsidRDefault="00D0753F" w:rsidP="00D0753F">
      <w:pPr>
        <w:pStyle w:val="Numberedlevel2text"/>
        <w:rPr>
          <w:lang w:val="en-GB"/>
        </w:rPr>
      </w:pPr>
      <w:r w:rsidRPr="00293CA2">
        <w:t xml:space="preserve">The company’s incremental cost-effectiveness ratios (ICERs) </w:t>
      </w:r>
      <w:r>
        <w:t xml:space="preserve">for people with </w:t>
      </w:r>
      <w:r w:rsidR="007952B9">
        <w:rPr>
          <w:lang w:val="en-US"/>
        </w:rPr>
        <w:t xml:space="preserve">a </w:t>
      </w:r>
      <w:r>
        <w:t>BRCA mutation</w:t>
      </w:r>
      <w:r w:rsidRPr="00293CA2">
        <w:t xml:space="preserve"> </w:t>
      </w:r>
      <w:r>
        <w:t>was</w:t>
      </w:r>
      <w:r w:rsidRPr="00293CA2">
        <w:t xml:space="preserve"> £</w:t>
      </w:r>
      <w:r>
        <w:t>22,185</w:t>
      </w:r>
      <w:r w:rsidRPr="00293CA2">
        <w:t xml:space="preserve"> per quality-adjusted life year (QALY) gained</w:t>
      </w:r>
      <w:r>
        <w:t xml:space="preserve">. Taking </w:t>
      </w:r>
      <w:r>
        <w:rPr>
          <w:lang w:val="en-GB"/>
        </w:rPr>
        <w:t>the ERG</w:t>
      </w:r>
      <w:r w:rsidR="009C3506">
        <w:rPr>
          <w:lang w:val="en-GB"/>
        </w:rPr>
        <w:t>’s</w:t>
      </w:r>
      <w:r>
        <w:rPr>
          <w:lang w:val="en-GB"/>
        </w:rPr>
        <w:t xml:space="preserve"> preference for health-state utilities and use of </w:t>
      </w:r>
      <w:r>
        <w:rPr>
          <w:lang w:val="en-GB"/>
        </w:rPr>
        <w:lastRenderedPageBreak/>
        <w:t xml:space="preserve">prescribed dose of niraparib into account, </w:t>
      </w:r>
      <w:r w:rsidRPr="00D0753F">
        <w:rPr>
          <w:lang w:val="en-GB"/>
        </w:rPr>
        <w:t>the ICER was £</w:t>
      </w:r>
      <w:r>
        <w:rPr>
          <w:lang w:val="en-GB"/>
        </w:rPr>
        <w:t>27</w:t>
      </w:r>
      <w:r w:rsidRPr="00D0753F">
        <w:rPr>
          <w:lang w:val="en-GB"/>
        </w:rPr>
        <w:t>,</w:t>
      </w:r>
      <w:r>
        <w:rPr>
          <w:lang w:val="en-GB"/>
        </w:rPr>
        <w:t>339</w:t>
      </w:r>
      <w:r w:rsidRPr="00D0753F">
        <w:rPr>
          <w:lang w:val="en-GB"/>
        </w:rPr>
        <w:t xml:space="preserve"> per QALY gained. These ICERs are within the range normally considered to be a cost-effective use of NHS resources (£20,000 to £30,000 per QALY gained). The committee concluded that</w:t>
      </w:r>
      <w:r w:rsidR="00D6079A">
        <w:rPr>
          <w:lang w:val="en-GB"/>
        </w:rPr>
        <w:t>,</w:t>
      </w:r>
      <w:r>
        <w:rPr>
          <w:lang w:val="en-GB"/>
        </w:rPr>
        <w:t xml:space="preserve"> </w:t>
      </w:r>
      <w:r>
        <w:t>for people with</w:t>
      </w:r>
      <w:r w:rsidR="007952B9">
        <w:rPr>
          <w:lang w:val="en-US"/>
        </w:rPr>
        <w:t xml:space="preserve"> a</w:t>
      </w:r>
      <w:r>
        <w:t xml:space="preserve"> BRCA mutatio</w:t>
      </w:r>
      <w:r>
        <w:rPr>
          <w:lang w:val="en-GB"/>
        </w:rPr>
        <w:t xml:space="preserve">n, niraparib </w:t>
      </w:r>
      <w:r w:rsidRPr="00D0753F">
        <w:rPr>
          <w:lang w:val="en-GB"/>
        </w:rPr>
        <w:t>could be recommended for routine commissioning for</w:t>
      </w:r>
      <w:r>
        <w:rPr>
          <w:lang w:val="en-GB"/>
        </w:rPr>
        <w:t xml:space="preserve"> </w:t>
      </w:r>
      <w:r w:rsidRPr="00D0753F">
        <w:rPr>
          <w:lang w:val="en-GB"/>
        </w:rPr>
        <w:t>maintenance treatment of relapsed, platinum-sensitive ovarian, fallopian tube and peritoneal cance</w:t>
      </w:r>
      <w:r>
        <w:rPr>
          <w:lang w:val="en-GB"/>
        </w:rPr>
        <w:t>r</w:t>
      </w:r>
      <w:r w:rsidRPr="00D0753F">
        <w:rPr>
          <w:lang w:val="en-GB"/>
        </w:rPr>
        <w:t>.</w:t>
      </w:r>
    </w:p>
    <w:p w14:paraId="21AAACA7" w14:textId="4E4FC9C5" w:rsidR="00F8549C" w:rsidRDefault="00F8549C" w:rsidP="00F8549C">
      <w:pPr>
        <w:pStyle w:val="Heading3"/>
        <w:rPr>
          <w:sz w:val="24"/>
          <w:szCs w:val="24"/>
        </w:rPr>
      </w:pPr>
      <w:r w:rsidRPr="00FA2CF8">
        <w:rPr>
          <w:sz w:val="24"/>
          <w:szCs w:val="24"/>
        </w:rPr>
        <w:t xml:space="preserve">The estimates for people without </w:t>
      </w:r>
      <w:r w:rsidR="007952B9">
        <w:rPr>
          <w:sz w:val="24"/>
          <w:szCs w:val="24"/>
        </w:rPr>
        <w:t>a</w:t>
      </w:r>
      <w:r w:rsidRPr="00FA2CF8">
        <w:rPr>
          <w:sz w:val="24"/>
          <w:szCs w:val="24"/>
        </w:rPr>
        <w:t xml:space="preserve"> BRCA mutation are uncertain and currently outside the range considered a cost-effective use of NHS resources</w:t>
      </w:r>
    </w:p>
    <w:p w14:paraId="1627F83B" w14:textId="57392A80" w:rsidR="00FA2CF8" w:rsidRPr="00D25683" w:rsidRDefault="009C3506" w:rsidP="00D25683">
      <w:pPr>
        <w:pStyle w:val="Numberedlevel2text"/>
        <w:numPr>
          <w:ilvl w:val="1"/>
          <w:numId w:val="1"/>
        </w:numPr>
        <w:rPr>
          <w:lang w:val="en-GB"/>
        </w:rPr>
      </w:pPr>
      <w:r w:rsidRPr="00293CA2">
        <w:t xml:space="preserve">The company’s </w:t>
      </w:r>
      <w:r>
        <w:rPr>
          <w:lang w:val="en-GB"/>
        </w:rPr>
        <w:t xml:space="preserve">ICER </w:t>
      </w:r>
      <w:r>
        <w:t>for people with</w:t>
      </w:r>
      <w:r w:rsidR="007952B9">
        <w:rPr>
          <w:lang w:val="en-US"/>
        </w:rPr>
        <w:t xml:space="preserve"> a</w:t>
      </w:r>
      <w:r>
        <w:t xml:space="preserve"> BRCA mutation</w:t>
      </w:r>
      <w:r w:rsidRPr="00293CA2">
        <w:t xml:space="preserve"> </w:t>
      </w:r>
      <w:r>
        <w:t>was</w:t>
      </w:r>
      <w:r w:rsidRPr="00293CA2">
        <w:t xml:space="preserve"> £</w:t>
      </w:r>
      <w:r>
        <w:rPr>
          <w:lang w:val="en-GB"/>
        </w:rPr>
        <w:t>39</w:t>
      </w:r>
      <w:r>
        <w:t>,</w:t>
      </w:r>
      <w:r>
        <w:rPr>
          <w:lang w:val="en-GB"/>
        </w:rPr>
        <w:t>608</w:t>
      </w:r>
      <w:r w:rsidRPr="00293CA2">
        <w:t xml:space="preserve"> per QALY gained</w:t>
      </w:r>
      <w:r>
        <w:t xml:space="preserve">. </w:t>
      </w:r>
      <w:r w:rsidR="00EC7CEC">
        <w:rPr>
          <w:lang w:val="en-GB"/>
        </w:rPr>
        <w:t>The ERG’s base</w:t>
      </w:r>
      <w:r w:rsidR="00A959A9">
        <w:rPr>
          <w:lang w:val="en-GB"/>
        </w:rPr>
        <w:t>-</w:t>
      </w:r>
      <w:r w:rsidR="00EC7CEC">
        <w:rPr>
          <w:lang w:val="en-GB"/>
        </w:rPr>
        <w:t>case ICER considering its</w:t>
      </w:r>
      <w:r>
        <w:rPr>
          <w:lang w:val="en-GB"/>
        </w:rPr>
        <w:t xml:space="preserve"> </w:t>
      </w:r>
      <w:r w:rsidR="00D6079A">
        <w:rPr>
          <w:lang w:val="en-GB"/>
        </w:rPr>
        <w:t>preferred</w:t>
      </w:r>
      <w:r>
        <w:rPr>
          <w:lang w:val="en-GB"/>
        </w:rPr>
        <w:t xml:space="preserve"> choice of different survival curves to estimate progression-free survival and time to treatment discontinuation, preference for health-state utilities and use of prescribed dose of niraparib </w:t>
      </w:r>
      <w:r w:rsidRPr="00D0753F">
        <w:rPr>
          <w:lang w:val="en-GB"/>
        </w:rPr>
        <w:t>was £</w:t>
      </w:r>
      <w:r w:rsidR="00EC7CEC">
        <w:rPr>
          <w:lang w:val="en-GB"/>
        </w:rPr>
        <w:t>51</w:t>
      </w:r>
      <w:r w:rsidRPr="00D0753F">
        <w:rPr>
          <w:lang w:val="en-GB"/>
        </w:rPr>
        <w:t>,</w:t>
      </w:r>
      <w:r w:rsidR="00EC7CEC">
        <w:rPr>
          <w:lang w:val="en-GB"/>
        </w:rPr>
        <w:t>684</w:t>
      </w:r>
      <w:r w:rsidRPr="00D0753F">
        <w:rPr>
          <w:lang w:val="en-GB"/>
        </w:rPr>
        <w:t xml:space="preserve"> per QALY gained</w:t>
      </w:r>
      <w:r w:rsidR="00EC7CEC">
        <w:rPr>
          <w:lang w:val="en-GB"/>
        </w:rPr>
        <w:t xml:space="preserve">. </w:t>
      </w:r>
      <w:hyperlink r:id="rId21" w:history="1">
        <w:r w:rsidR="00FA2CF8" w:rsidRPr="00175678">
          <w:rPr>
            <w:rStyle w:val="Hyperlink"/>
            <w:lang w:val="en-GB"/>
          </w:rPr>
          <w:t>NICE’s guide to the methods of technology appraisal</w:t>
        </w:r>
      </w:hyperlink>
      <w:r w:rsidR="00FA2CF8" w:rsidRPr="00175678">
        <w:t xml:space="preserve"> notes that above a most plausible</w:t>
      </w:r>
      <w:r w:rsidR="00D4003C">
        <w:rPr>
          <w:lang w:val="en-GB"/>
        </w:rPr>
        <w:t xml:space="preserve"> ICER</w:t>
      </w:r>
      <w:r w:rsidR="00FA2CF8" w:rsidRPr="00175678">
        <w:t xml:space="preserve"> of £20,000 per QALY gained, judgements about the acceptability of a technology as an effective use of NHS resources will </w:t>
      </w:r>
      <w:r w:rsidR="00EC7CEC" w:rsidRPr="00175678">
        <w:t>consider</w:t>
      </w:r>
      <w:r w:rsidR="00FA2CF8" w:rsidRPr="00175678">
        <w:t xml:space="preserve"> the degree of certainty around the ICER and whether the technology meets the criteria for special consideration as a 'life-extending treatment at the end of life'. The committee will be more cautious about recommending a technology if it is less certain about the ICERs presented. The committee noted the high level of uncertainty for</w:t>
      </w:r>
      <w:r w:rsidR="00EC7CEC">
        <w:rPr>
          <w:lang w:val="en-GB"/>
        </w:rPr>
        <w:t xml:space="preserve"> </w:t>
      </w:r>
      <w:r w:rsidR="00EC7CEC" w:rsidRPr="00FA2CF8">
        <w:rPr>
          <w:szCs w:val="24"/>
        </w:rPr>
        <w:t xml:space="preserve">people without </w:t>
      </w:r>
      <w:r w:rsidR="007952B9">
        <w:rPr>
          <w:szCs w:val="24"/>
          <w:lang w:val="en-US"/>
        </w:rPr>
        <w:t xml:space="preserve">a </w:t>
      </w:r>
      <w:r w:rsidR="00EC7CEC" w:rsidRPr="00FA2CF8">
        <w:rPr>
          <w:szCs w:val="24"/>
        </w:rPr>
        <w:t>BRCA mutation</w:t>
      </w:r>
      <w:r w:rsidR="00FA2CF8" w:rsidRPr="00175678">
        <w:t xml:space="preserve"> specifically regarding the clinical effectiveness (see</w:t>
      </w:r>
      <w:r w:rsidR="00FA2CF8">
        <w:t> </w:t>
      </w:r>
      <w:r w:rsidR="00EC7CEC">
        <w:rPr>
          <w:lang w:val="en-GB"/>
        </w:rPr>
        <w:t>section</w:t>
      </w:r>
      <w:r w:rsidR="00A959A9">
        <w:rPr>
          <w:lang w:val="en-GB"/>
        </w:rPr>
        <w:t> </w:t>
      </w:r>
      <w:r w:rsidR="00EC7CEC">
        <w:rPr>
          <w:lang w:val="en-GB"/>
        </w:rPr>
        <w:t>3.4</w:t>
      </w:r>
      <w:r w:rsidR="00FA2CF8" w:rsidRPr="00175678">
        <w:t>)</w:t>
      </w:r>
      <w:r w:rsidR="007174D2">
        <w:rPr>
          <w:lang w:val="en-GB"/>
        </w:rPr>
        <w:t xml:space="preserve"> and</w:t>
      </w:r>
      <w:r w:rsidR="00FA2CF8" w:rsidRPr="00175678">
        <w:t xml:space="preserve"> appropriate </w:t>
      </w:r>
      <w:r w:rsidR="00EC7CEC">
        <w:rPr>
          <w:lang w:val="en-GB"/>
        </w:rPr>
        <w:t>survival modelling</w:t>
      </w:r>
      <w:r w:rsidR="00FA2CF8" w:rsidRPr="00175678">
        <w:t xml:space="preserve"> </w:t>
      </w:r>
      <w:r w:rsidR="00EC7CEC">
        <w:rPr>
          <w:lang w:val="en-GB"/>
        </w:rPr>
        <w:t>approach</w:t>
      </w:r>
      <w:r w:rsidR="00FA2CF8" w:rsidRPr="00175678">
        <w:t xml:space="preserve"> (see</w:t>
      </w:r>
      <w:r w:rsidR="00FA2CF8">
        <w:t> </w:t>
      </w:r>
      <w:r w:rsidR="00EC7CEC">
        <w:rPr>
          <w:lang w:val="en-GB"/>
        </w:rPr>
        <w:t>section</w:t>
      </w:r>
      <w:r w:rsidR="00A959A9">
        <w:rPr>
          <w:lang w:val="en-GB"/>
        </w:rPr>
        <w:t> </w:t>
      </w:r>
      <w:r w:rsidR="00EC7CEC">
        <w:rPr>
          <w:lang w:val="en-GB"/>
        </w:rPr>
        <w:t xml:space="preserve">3.10). As the </w:t>
      </w:r>
      <w:r w:rsidR="00EC7CEC" w:rsidRPr="00175678">
        <w:t>end</w:t>
      </w:r>
      <w:r w:rsidR="00EC7CEC">
        <w:t>-</w:t>
      </w:r>
      <w:r w:rsidR="00EC7CEC" w:rsidRPr="00175678">
        <w:t>of</w:t>
      </w:r>
      <w:r w:rsidR="00EC7CEC">
        <w:t>-</w:t>
      </w:r>
      <w:r w:rsidR="00EC7CEC" w:rsidRPr="00175678">
        <w:t>life criteria</w:t>
      </w:r>
      <w:r w:rsidR="00EC7CEC">
        <w:rPr>
          <w:lang w:val="en-GB"/>
        </w:rPr>
        <w:t xml:space="preserve"> </w:t>
      </w:r>
      <w:r w:rsidR="00D6079A">
        <w:rPr>
          <w:lang w:val="en-GB"/>
        </w:rPr>
        <w:t xml:space="preserve">were </w:t>
      </w:r>
      <w:r w:rsidR="00D4003C">
        <w:rPr>
          <w:lang w:val="en-GB"/>
        </w:rPr>
        <w:t>not</w:t>
      </w:r>
      <w:r w:rsidR="00EC7CEC">
        <w:rPr>
          <w:lang w:val="en-GB"/>
        </w:rPr>
        <w:t xml:space="preserve"> met for </w:t>
      </w:r>
      <w:r w:rsidR="00EC7CEC" w:rsidRPr="00FA2CF8">
        <w:rPr>
          <w:szCs w:val="24"/>
        </w:rPr>
        <w:t xml:space="preserve">people without </w:t>
      </w:r>
      <w:r w:rsidR="00C36C33">
        <w:rPr>
          <w:szCs w:val="24"/>
          <w:lang w:val="en-GB"/>
        </w:rPr>
        <w:t xml:space="preserve">a </w:t>
      </w:r>
      <w:r w:rsidR="00EC7CEC" w:rsidRPr="00FA2CF8">
        <w:rPr>
          <w:szCs w:val="24"/>
        </w:rPr>
        <w:t xml:space="preserve">BRCA mutation </w:t>
      </w:r>
      <w:r w:rsidR="00EC7CEC">
        <w:rPr>
          <w:lang w:val="en-GB"/>
        </w:rPr>
        <w:t xml:space="preserve">and </w:t>
      </w:r>
      <w:r w:rsidR="00EC7CEC" w:rsidRPr="00175678">
        <w:rPr>
          <w:lang w:val="en-GB"/>
        </w:rPr>
        <w:t>t</w:t>
      </w:r>
      <w:r w:rsidR="00EC7CEC">
        <w:rPr>
          <w:lang w:val="en-GB"/>
        </w:rPr>
        <w:t xml:space="preserve">he </w:t>
      </w:r>
      <w:r w:rsidR="00EC7CEC" w:rsidRPr="00175678">
        <w:rPr>
          <w:lang w:val="en-GB"/>
        </w:rPr>
        <w:t>ICER</w:t>
      </w:r>
      <w:r w:rsidR="00EC7CEC">
        <w:rPr>
          <w:lang w:val="en-GB"/>
        </w:rPr>
        <w:t>s presented</w:t>
      </w:r>
      <w:r w:rsidR="00D6079A">
        <w:rPr>
          <w:lang w:val="en-GB"/>
        </w:rPr>
        <w:t xml:space="preserve"> were highly uncertain</w:t>
      </w:r>
      <w:r w:rsidR="00EC7CEC">
        <w:rPr>
          <w:lang w:val="en-GB"/>
        </w:rPr>
        <w:t xml:space="preserve">, </w:t>
      </w:r>
      <w:r w:rsidR="00D25683">
        <w:rPr>
          <w:lang w:val="en-GB"/>
        </w:rPr>
        <w:t xml:space="preserve">the committee </w:t>
      </w:r>
      <w:r w:rsidR="00EC7CEC" w:rsidRPr="00175678">
        <w:rPr>
          <w:lang w:val="en-GB"/>
        </w:rPr>
        <w:t xml:space="preserve">concluded that it could not recommend </w:t>
      </w:r>
      <w:r w:rsidR="00EC7CEC">
        <w:rPr>
          <w:lang w:val="en-GB"/>
        </w:rPr>
        <w:t>niraparib</w:t>
      </w:r>
      <w:r w:rsidR="00D25683">
        <w:rPr>
          <w:lang w:val="en-GB"/>
        </w:rPr>
        <w:t xml:space="preserve"> </w:t>
      </w:r>
      <w:r w:rsidR="00EC7CEC" w:rsidRPr="00175678">
        <w:rPr>
          <w:lang w:val="en-GB"/>
        </w:rPr>
        <w:t>for routine use in the NHS</w:t>
      </w:r>
      <w:r w:rsidR="00D25683">
        <w:rPr>
          <w:lang w:val="en-GB"/>
        </w:rPr>
        <w:t xml:space="preserve"> for p</w:t>
      </w:r>
      <w:proofErr w:type="spellStart"/>
      <w:r w:rsidR="00D25683" w:rsidRPr="00FA2CF8">
        <w:rPr>
          <w:szCs w:val="24"/>
        </w:rPr>
        <w:t>eople</w:t>
      </w:r>
      <w:proofErr w:type="spellEnd"/>
      <w:r w:rsidR="00D25683" w:rsidRPr="00FA2CF8">
        <w:rPr>
          <w:szCs w:val="24"/>
        </w:rPr>
        <w:t xml:space="preserve"> without </w:t>
      </w:r>
      <w:r w:rsidR="00D6079A">
        <w:rPr>
          <w:szCs w:val="24"/>
          <w:lang w:val="en-US"/>
        </w:rPr>
        <w:t xml:space="preserve">a </w:t>
      </w:r>
      <w:r w:rsidR="00D25683" w:rsidRPr="00FA2CF8">
        <w:rPr>
          <w:szCs w:val="24"/>
        </w:rPr>
        <w:t>BRCA mutation</w:t>
      </w:r>
      <w:r w:rsidR="00EC7CEC" w:rsidRPr="00175678">
        <w:rPr>
          <w:lang w:val="en-GB"/>
        </w:rPr>
        <w:t xml:space="preserve"> because it was not presented with evidence </w:t>
      </w:r>
      <w:r w:rsidR="007952B9">
        <w:rPr>
          <w:lang w:val="en-GB"/>
        </w:rPr>
        <w:t>that showed</w:t>
      </w:r>
      <w:r w:rsidR="00EC7CEC" w:rsidRPr="00175678">
        <w:rPr>
          <w:lang w:val="en-GB"/>
        </w:rPr>
        <w:t xml:space="preserve"> that ni</w:t>
      </w:r>
      <w:r w:rsidR="00D25683">
        <w:rPr>
          <w:lang w:val="en-GB"/>
        </w:rPr>
        <w:t>raparib</w:t>
      </w:r>
      <w:r w:rsidR="00EC7CEC" w:rsidRPr="00175678">
        <w:rPr>
          <w:lang w:val="en-GB"/>
        </w:rPr>
        <w:t xml:space="preserve"> was a cost-effective use of NHS resources.</w:t>
      </w:r>
    </w:p>
    <w:p w14:paraId="25F045E8" w14:textId="77777777" w:rsidR="00FA2CF8" w:rsidRPr="00175678" w:rsidRDefault="00FA2CF8" w:rsidP="00FA2CF8">
      <w:pPr>
        <w:pStyle w:val="Heading2"/>
      </w:pPr>
      <w:r w:rsidRPr="00175678">
        <w:lastRenderedPageBreak/>
        <w:t>Cancer Drugs Fund</w:t>
      </w:r>
    </w:p>
    <w:p w14:paraId="0DB6AA54" w14:textId="0C9519A6" w:rsidR="00FA2CF8" w:rsidRPr="00175678" w:rsidRDefault="00FA2CF8" w:rsidP="00FA2CF8">
      <w:pPr>
        <w:pStyle w:val="Heading3"/>
      </w:pPr>
      <w:r w:rsidRPr="00175678">
        <w:t>Ni</w:t>
      </w:r>
      <w:r>
        <w:t>raparib</w:t>
      </w:r>
      <w:r w:rsidRPr="00175678">
        <w:t xml:space="preserve"> cannot be recommended in the Cancer Drugs Fund</w:t>
      </w:r>
    </w:p>
    <w:p w14:paraId="6AB23C47" w14:textId="111E03A1" w:rsidR="00D0753F" w:rsidRPr="00FA2CF8" w:rsidRDefault="00FA2CF8" w:rsidP="00FA2CF8">
      <w:pPr>
        <w:pStyle w:val="Numberedlevel2text"/>
        <w:numPr>
          <w:ilvl w:val="1"/>
          <w:numId w:val="1"/>
        </w:numPr>
        <w:rPr>
          <w:lang w:val="en-GB"/>
        </w:rPr>
      </w:pPr>
      <w:r w:rsidRPr="00175678">
        <w:rPr>
          <w:lang w:val="en-GB"/>
        </w:rPr>
        <w:t xml:space="preserve">The aim of a Cancer Drugs Fund guidance review is to decide </w:t>
      </w:r>
      <w:r w:rsidR="00A959A9">
        <w:rPr>
          <w:lang w:val="en-GB"/>
        </w:rPr>
        <w:t>if</w:t>
      </w:r>
      <w:r w:rsidR="00A959A9" w:rsidRPr="00175678">
        <w:rPr>
          <w:lang w:val="en-GB"/>
        </w:rPr>
        <w:t xml:space="preserve"> </w:t>
      </w:r>
      <w:r w:rsidRPr="00175678">
        <w:rPr>
          <w:lang w:val="en-GB"/>
        </w:rPr>
        <w:t>the drug can be recommended for routine use. Ni</w:t>
      </w:r>
      <w:r>
        <w:rPr>
          <w:lang w:val="en-GB"/>
        </w:rPr>
        <w:t xml:space="preserve">raparib for </w:t>
      </w:r>
      <w:r w:rsidRPr="00D0753F">
        <w:rPr>
          <w:lang w:val="en-GB"/>
        </w:rPr>
        <w:t>maintenance treatment of relapsed, platinum-sensitive ovarian, fallopian tube and peritoneal cance</w:t>
      </w:r>
      <w:r>
        <w:rPr>
          <w:lang w:val="en-GB"/>
        </w:rPr>
        <w:t>r</w:t>
      </w:r>
      <w:r w:rsidRPr="00175678">
        <w:rPr>
          <w:lang w:val="en-GB"/>
        </w:rPr>
        <w:t xml:space="preserve"> may not remain in the Cancer Drugs Fund once the guidance review has been completed (see section 6.19 of the </w:t>
      </w:r>
      <w:hyperlink r:id="rId22" w:history="1">
        <w:r w:rsidRPr="00175678">
          <w:rPr>
            <w:rStyle w:val="Hyperlink"/>
            <w:lang w:val="en-GB"/>
          </w:rPr>
          <w:t>guide to the processes of technology appraisal</w:t>
        </w:r>
      </w:hyperlink>
      <w:r w:rsidRPr="00175678">
        <w:rPr>
          <w:lang w:val="en-GB"/>
        </w:rPr>
        <w:t>).</w:t>
      </w:r>
    </w:p>
    <w:p w14:paraId="66938E8B" w14:textId="77777777" w:rsidR="00FA2CF8" w:rsidRPr="00175678" w:rsidRDefault="00FA2CF8" w:rsidP="00FA2CF8">
      <w:pPr>
        <w:pStyle w:val="Heading2"/>
      </w:pPr>
      <w:r w:rsidRPr="00175678">
        <w:t>Other factors</w:t>
      </w:r>
    </w:p>
    <w:p w14:paraId="672E90FB" w14:textId="79B0B9BA" w:rsidR="00F4623B" w:rsidRDefault="00F4623B" w:rsidP="00FA2CF8">
      <w:pPr>
        <w:pStyle w:val="Numberedlevel2text"/>
        <w:numPr>
          <w:ilvl w:val="1"/>
          <w:numId w:val="1"/>
        </w:numPr>
        <w:rPr>
          <w:lang w:val="en-GB"/>
        </w:rPr>
      </w:pPr>
      <w:r>
        <w:rPr>
          <w:lang w:val="en-GB"/>
        </w:rPr>
        <w:t>The following analyses would help to resolve the uncertainty around the survival benefit of niraparib for people without a BRCA mutation:</w:t>
      </w:r>
    </w:p>
    <w:p w14:paraId="36F9AF74" w14:textId="77B80C10" w:rsidR="00F4623B" w:rsidRDefault="00290332" w:rsidP="00663166">
      <w:pPr>
        <w:pStyle w:val="Bulletindent1"/>
      </w:pPr>
      <w:r>
        <w:t>E</w:t>
      </w:r>
      <w:r w:rsidR="00F4623B">
        <w:t>xploring</w:t>
      </w:r>
      <w:r w:rsidR="00A01752">
        <w:t xml:space="preserve"> progression-free survival assessed by investigator</w:t>
      </w:r>
      <w:r w:rsidR="00F4623B" w:rsidRPr="00F4623B">
        <w:t xml:space="preserve"> </w:t>
      </w:r>
      <w:r w:rsidR="00A01752">
        <w:t xml:space="preserve">and its </w:t>
      </w:r>
      <w:r w:rsidR="00A959A9">
        <w:t xml:space="preserve">effect </w:t>
      </w:r>
      <w:r w:rsidR="00F4623B" w:rsidRPr="00F4623B">
        <w:t>on cost effectiveness results</w:t>
      </w:r>
    </w:p>
    <w:p w14:paraId="38E521CF" w14:textId="6ADDFBD5" w:rsidR="00DB4044" w:rsidRPr="00DB4044" w:rsidRDefault="00787DB6" w:rsidP="00663166">
      <w:pPr>
        <w:pStyle w:val="Bulletindent1"/>
      </w:pPr>
      <w:r>
        <w:t>A</w:t>
      </w:r>
      <w:r w:rsidR="00A01752">
        <w:t>djusting for the high levels of subsequent PARP inhibitor use in NOVA using methods such as the IPCW</w:t>
      </w:r>
    </w:p>
    <w:p w14:paraId="4A3C3375" w14:textId="7C2744C1" w:rsidR="00DB4044" w:rsidRDefault="003B79EB" w:rsidP="00663166">
      <w:pPr>
        <w:pStyle w:val="Bulletindent1"/>
      </w:pPr>
      <w:r>
        <w:t xml:space="preserve">Adjusting for baseline differences in the </w:t>
      </w:r>
      <w:r w:rsidR="00DB4044" w:rsidRPr="00A01752">
        <w:t xml:space="preserve">NOVA and </w:t>
      </w:r>
      <w:r w:rsidR="00A959A9">
        <w:t>S</w:t>
      </w:r>
      <w:r w:rsidR="00DB4044" w:rsidRPr="00A01752">
        <w:t>tudy</w:t>
      </w:r>
      <w:r w:rsidR="00A959A9">
        <w:t> </w:t>
      </w:r>
      <w:r w:rsidR="00DB4044" w:rsidRPr="00A01752">
        <w:t>19</w:t>
      </w:r>
      <w:r>
        <w:t xml:space="preserve"> populations using methods outlined in </w:t>
      </w:r>
      <w:hyperlink r:id="rId23" w:history="1">
        <w:r w:rsidR="00A959A9" w:rsidRPr="00555E53">
          <w:rPr>
            <w:rStyle w:val="Hyperlink"/>
          </w:rPr>
          <w:t>NICE decision support u</w:t>
        </w:r>
        <w:r w:rsidR="00A959A9">
          <w:rPr>
            <w:rStyle w:val="Hyperlink"/>
          </w:rPr>
          <w:t>n</w:t>
        </w:r>
        <w:r w:rsidR="00A959A9" w:rsidRPr="00555E53">
          <w:rPr>
            <w:rStyle w:val="Hyperlink"/>
          </w:rPr>
          <w:t>it technical support document 18</w:t>
        </w:r>
      </w:hyperlink>
      <w:r>
        <w:t xml:space="preserve">, such as an </w:t>
      </w:r>
      <w:r w:rsidR="00A959A9">
        <w:t>matching-adjusted indirect comparison</w:t>
      </w:r>
    </w:p>
    <w:p w14:paraId="45A372CC" w14:textId="6EA4FEB2" w:rsidR="00A01752" w:rsidRPr="00DB4044" w:rsidRDefault="00787DB6" w:rsidP="00663166">
      <w:pPr>
        <w:pStyle w:val="Bulletindent1"/>
      </w:pPr>
      <w:r>
        <w:t>I</w:t>
      </w:r>
      <w:r w:rsidR="00DB4044" w:rsidRPr="00DB4044">
        <w:t>nvestigating the most appropriate overall survival modelling using updated analyses adjust</w:t>
      </w:r>
      <w:r w:rsidR="00DB4044">
        <w:t>ing</w:t>
      </w:r>
      <w:r w:rsidR="00DB4044" w:rsidRPr="00DB4044">
        <w:t xml:space="preserve"> for cross-over and baseline differences</w:t>
      </w:r>
    </w:p>
    <w:p w14:paraId="687D0866" w14:textId="0985AA96" w:rsidR="00DB4044" w:rsidRPr="00DB4044" w:rsidRDefault="003B79EB" w:rsidP="00663166">
      <w:pPr>
        <w:pStyle w:val="Bulletindent1last"/>
      </w:pPr>
      <w:r>
        <w:t>Modelling the niraparib arm a</w:t>
      </w:r>
      <w:r w:rsidR="00DB4044">
        <w:t>ssuming</w:t>
      </w:r>
      <w:r w:rsidR="00DB4044" w:rsidRPr="008719B1">
        <w:t xml:space="preserve"> no overall survival benefit</w:t>
      </w:r>
      <w:r>
        <w:t xml:space="preserve"> compared to routine surveillance.</w:t>
      </w:r>
      <w:r w:rsidR="00DB4044" w:rsidRPr="008719B1">
        <w:t xml:space="preserve"> </w:t>
      </w:r>
    </w:p>
    <w:p w14:paraId="6CB50628" w14:textId="77777777" w:rsidR="000F48EC" w:rsidRPr="00232061" w:rsidRDefault="000F48EC" w:rsidP="00F130AD">
      <w:pPr>
        <w:pStyle w:val="Numberedheading1"/>
      </w:pPr>
      <w:r w:rsidRPr="00232061">
        <w:t>Implementation</w:t>
      </w:r>
    </w:p>
    <w:p w14:paraId="3A2DF2AC" w14:textId="53945B69" w:rsidR="002A686F" w:rsidRDefault="006A7ADE" w:rsidP="00DB213F">
      <w:pPr>
        <w:pStyle w:val="Numberedlevel2text"/>
      </w:pPr>
      <w:hyperlink r:id="rId24" w:history="1">
        <w:r w:rsidR="002A686F" w:rsidRPr="00D019BA">
          <w:rPr>
            <w:rStyle w:val="Hyperlink"/>
          </w:rPr>
          <w:t>Section 7 of the National Institute for Health and Care Excellence (Constitution and Functions) and the Health and Social Care Information Centre (Functions) Regulations 2013</w:t>
        </w:r>
      </w:hyperlink>
      <w:r w:rsidR="002A686F" w:rsidRPr="00EE2914">
        <w:t xml:space="preserve"> requires clinical commissioning groups, NHS England and, with respect to their public health functions, </w:t>
      </w:r>
      <w:r w:rsidR="002A686F" w:rsidRPr="00EE2914">
        <w:lastRenderedPageBreak/>
        <w:t xml:space="preserve">local authorities to comply with the recommendations in this appraisal within 3 months of its date of publication. </w:t>
      </w:r>
    </w:p>
    <w:p w14:paraId="0FC37772" w14:textId="7D83AB6D" w:rsidR="002A686F" w:rsidRDefault="006A7ADE" w:rsidP="002A686F">
      <w:pPr>
        <w:pStyle w:val="Numberedlevel2text"/>
      </w:pPr>
      <w:hyperlink r:id="rId25" w:history="1">
        <w:r w:rsidR="002A686F" w:rsidRPr="00D019BA">
          <w:rPr>
            <w:rStyle w:val="Hyperlink"/>
          </w:rPr>
          <w:t>Chapter 2 of Appraisal and funding of cancer drugs from July 2016 (including the new Cancer Drugs Fund) – A new deal for patients, taxpayers and industry</w:t>
        </w:r>
      </w:hyperlink>
      <w:r w:rsidR="002A686F">
        <w:t xml:space="preserve"> states </w:t>
      </w:r>
      <w:r w:rsidR="002A686F" w:rsidRPr="00C51325">
        <w:rPr>
          <w:lang w:val="en-US"/>
        </w:rPr>
        <w:t xml:space="preserve">that </w:t>
      </w:r>
      <w:r w:rsidR="002A686F">
        <w:t xml:space="preserve">for those drugs </w:t>
      </w:r>
      <w:r w:rsidR="002A686F" w:rsidRPr="00C51325">
        <w:rPr>
          <w:lang w:val="en-US"/>
        </w:rPr>
        <w:t>with</w:t>
      </w:r>
      <w:r w:rsidR="002A686F">
        <w:t xml:space="preserve"> a draft recommendation for routine commissioning, interim funding will be available (from the overall C</w:t>
      </w:r>
      <w:r w:rsidR="002A686F" w:rsidRPr="00C51325">
        <w:rPr>
          <w:lang w:val="en-US"/>
        </w:rPr>
        <w:t xml:space="preserve">ancer </w:t>
      </w:r>
      <w:r w:rsidR="002A686F">
        <w:t>D</w:t>
      </w:r>
      <w:r w:rsidR="002A686F" w:rsidRPr="00C51325">
        <w:rPr>
          <w:lang w:val="en-US"/>
        </w:rPr>
        <w:t xml:space="preserve">rugs </w:t>
      </w:r>
      <w:r w:rsidR="002A686F">
        <w:t>F</w:t>
      </w:r>
      <w:r w:rsidR="002A686F" w:rsidRPr="00C51325">
        <w:rPr>
          <w:lang w:val="en-US"/>
        </w:rPr>
        <w:t>und</w:t>
      </w:r>
      <w:r w:rsidR="002A686F">
        <w:t xml:space="preserve"> budget) from the point of marketing authorisation, or from release of positive draft guidance, whichever is later. Interim funding will end 90 days after positive </w:t>
      </w:r>
      <w:r w:rsidR="002A686F" w:rsidRPr="00C51325">
        <w:rPr>
          <w:lang w:val="en-US"/>
        </w:rPr>
        <w:t>f</w:t>
      </w:r>
      <w:proofErr w:type="spellStart"/>
      <w:r w:rsidR="002A686F">
        <w:t>inal</w:t>
      </w:r>
      <w:proofErr w:type="spellEnd"/>
      <w:r w:rsidR="002A686F">
        <w:t xml:space="preserve"> </w:t>
      </w:r>
      <w:r w:rsidR="002A686F" w:rsidRPr="00C51325">
        <w:rPr>
          <w:lang w:val="en-US"/>
        </w:rPr>
        <w:t>g</w:t>
      </w:r>
      <w:proofErr w:type="spellStart"/>
      <w:r w:rsidR="002A686F">
        <w:t>uidance</w:t>
      </w:r>
      <w:proofErr w:type="spellEnd"/>
      <w:r w:rsidR="002A686F">
        <w:t xml:space="preserve"> is published (or 30 days in the case of drugs with an Early Access to Medicines Scheme designation or fast track appraisal), at which point funding will switch to routine commissioning budgets.</w:t>
      </w:r>
      <w:r w:rsidR="002A686F" w:rsidRPr="00C51325">
        <w:rPr>
          <w:lang w:val="en-US"/>
        </w:rPr>
        <w:t xml:space="preserve"> </w:t>
      </w:r>
      <w:r w:rsidR="002A686F">
        <w:t xml:space="preserve">The </w:t>
      </w:r>
      <w:hyperlink r:id="rId26" w:history="1">
        <w:r w:rsidR="002A686F" w:rsidRPr="00A97C46">
          <w:rPr>
            <w:rStyle w:val="Hyperlink"/>
          </w:rPr>
          <w:t>NHS England and NHS Improvement Cancer Drugs Fund list</w:t>
        </w:r>
      </w:hyperlink>
      <w:r w:rsidR="002A686F">
        <w:t xml:space="preserve"> provides up</w:t>
      </w:r>
      <w:r w:rsidR="002A686F" w:rsidRPr="00C51325">
        <w:rPr>
          <w:lang w:val="en-US"/>
        </w:rPr>
        <w:t>-</w:t>
      </w:r>
      <w:r w:rsidR="002A686F">
        <w:t>to</w:t>
      </w:r>
      <w:r w:rsidR="002A686F" w:rsidRPr="00C51325">
        <w:rPr>
          <w:lang w:val="en-US"/>
        </w:rPr>
        <w:t>-</w:t>
      </w:r>
      <w:r w:rsidR="002A686F">
        <w:t>date information on all cancer treatments recommended by NICE since 2016</w:t>
      </w:r>
      <w:r w:rsidR="002A686F" w:rsidRPr="00C51325">
        <w:rPr>
          <w:lang w:val="en-US"/>
        </w:rPr>
        <w:t>. This includes whether they</w:t>
      </w:r>
      <w:r w:rsidR="002A686F">
        <w:t xml:space="preserve"> have received a marketing authorisation and </w:t>
      </w:r>
      <w:r w:rsidR="002A686F" w:rsidRPr="00C51325">
        <w:rPr>
          <w:lang w:val="en-US"/>
        </w:rPr>
        <w:t xml:space="preserve">been </w:t>
      </w:r>
      <w:r w:rsidR="002A686F">
        <w:t>launched in the UK.</w:t>
      </w:r>
    </w:p>
    <w:p w14:paraId="58CA046A" w14:textId="3F545E19" w:rsidR="002A686F" w:rsidRDefault="002A686F" w:rsidP="002A686F">
      <w:pPr>
        <w:pStyle w:val="Numberedlevel2text"/>
      </w:pPr>
      <w:r>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59183298" w14:textId="3E52F5B9" w:rsidR="002A686F" w:rsidRDefault="002A686F" w:rsidP="002A686F">
      <w:pPr>
        <w:pStyle w:val="Numberedlevel2text"/>
      </w:pPr>
      <w:r w:rsidRPr="00EE2914">
        <w:t>When NICE recommends a treatment ‘as an option’, the NHS must make sure it is available within the period set out in the paragraph</w:t>
      </w:r>
      <w:r>
        <w:t>s</w:t>
      </w:r>
      <w:r w:rsidRPr="00EE2914">
        <w:t xml:space="preserve"> above. This means that, if a patient has </w:t>
      </w:r>
      <w:r w:rsidR="00DB213F" w:rsidRPr="00DB213F">
        <w:t xml:space="preserve">relapsed, platinum-sensitive ovarian, fallopian tube and peritoneal cancer </w:t>
      </w:r>
      <w:r w:rsidRPr="00EE2914">
        <w:t xml:space="preserve">and the doctor responsible for their care thinks that </w:t>
      </w:r>
      <w:r w:rsidR="00DB213F">
        <w:rPr>
          <w:lang w:val="en-GB"/>
        </w:rPr>
        <w:t>niraparib</w:t>
      </w:r>
      <w:r w:rsidRPr="00EE2914">
        <w:t xml:space="preserve"> is the right treatment, it should be available for use, in l</w:t>
      </w:r>
      <w:r>
        <w:t>ine with NICE’s recommendations</w:t>
      </w:r>
      <w:r w:rsidRPr="00EE2914">
        <w:t>.</w:t>
      </w:r>
    </w:p>
    <w:p w14:paraId="4FE0327B" w14:textId="77777777" w:rsidR="000F48EC" w:rsidRPr="000F48EC" w:rsidRDefault="007A2801" w:rsidP="002E73E7">
      <w:pPr>
        <w:pStyle w:val="Numberedheading1"/>
      </w:pPr>
      <w:r>
        <w:lastRenderedPageBreak/>
        <w:t xml:space="preserve">Proposed date for </w:t>
      </w:r>
      <w:r w:rsidR="00000441">
        <w:t>r</w:t>
      </w:r>
      <w:r w:rsidR="000F48EC" w:rsidRPr="000F48EC">
        <w:t>eview of guidance</w:t>
      </w:r>
    </w:p>
    <w:p w14:paraId="0917E590" w14:textId="5BD1E439" w:rsidR="00C52FC0" w:rsidRPr="000F48EC" w:rsidRDefault="001823EB" w:rsidP="00DB213F">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 xml:space="preserve">xecutive will decide whether the technology should be reviewed based on information gathered by NICE, and in consultation with consultees and commentators. </w:t>
      </w:r>
    </w:p>
    <w:p w14:paraId="74CE6F45" w14:textId="5F9E3056" w:rsidR="004845D0" w:rsidRDefault="00DB213F" w:rsidP="00ED5F88">
      <w:pPr>
        <w:pStyle w:val="NICEnormal"/>
      </w:pPr>
      <w:r>
        <w:t>Brian Shine</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t>August 2021</w:t>
      </w:r>
    </w:p>
    <w:p w14:paraId="2E8F9F7B"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56E5FD6F" w14:textId="77777777" w:rsidR="00B16431" w:rsidRPr="007D7F83" w:rsidRDefault="00B16431" w:rsidP="00B16431">
      <w:pPr>
        <w:pStyle w:val="Heading2"/>
      </w:pPr>
      <w:bookmarkStart w:id="1" w:name="_Appraisal_committee_members"/>
      <w:bookmarkEnd w:id="1"/>
      <w:r w:rsidRPr="007D7F83">
        <w:t xml:space="preserve">Appraisal </w:t>
      </w:r>
      <w:r w:rsidR="00343B53">
        <w:t>c</w:t>
      </w:r>
      <w:r w:rsidRPr="007D7F83">
        <w:t>ommittee members</w:t>
      </w:r>
    </w:p>
    <w:p w14:paraId="50387DAA" w14:textId="5D485880" w:rsidR="002F2583" w:rsidRPr="00742089" w:rsidRDefault="002F2583" w:rsidP="002F2583">
      <w:pPr>
        <w:pStyle w:val="NICEnormal"/>
        <w:rPr>
          <w:rFonts w:eastAsia="Calibri"/>
        </w:rPr>
      </w:pPr>
      <w:r>
        <w:t>The 4 technology appraisal committees are standing advisory committees of NICE. This topic was considered by</w:t>
      </w:r>
      <w:r w:rsidR="00DB213F">
        <w:t xml:space="preserve"> </w:t>
      </w:r>
      <w:hyperlink r:id="rId27" w:history="1">
        <w:r w:rsidR="00DB213F" w:rsidRPr="00293CA2">
          <w:rPr>
            <w:rStyle w:val="Hyperlink"/>
            <w:rFonts w:eastAsia="Calibri"/>
          </w:rPr>
          <w:t>committee A</w:t>
        </w:r>
      </w:hyperlink>
      <w:r>
        <w:t xml:space="preserve">. </w:t>
      </w:r>
    </w:p>
    <w:p w14:paraId="2239C3A4" w14:textId="77777777" w:rsidR="002F2583" w:rsidRDefault="002F2583" w:rsidP="002F2583">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1D133F1A" w14:textId="77777777" w:rsidR="002F2583" w:rsidRDefault="002F2583" w:rsidP="002F2583">
      <w:pPr>
        <w:pStyle w:val="NICEnormal"/>
      </w:pPr>
      <w:r>
        <w:t xml:space="preserve">The </w:t>
      </w:r>
      <w:hyperlink r:id="rId28"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066877BB" w14:textId="77777777" w:rsidR="00B16431" w:rsidRPr="007D7F83" w:rsidRDefault="00B16431" w:rsidP="00B16431">
      <w:pPr>
        <w:pStyle w:val="Heading2"/>
      </w:pPr>
      <w:r w:rsidRPr="007D7F83">
        <w:t>NICE project team</w:t>
      </w:r>
    </w:p>
    <w:p w14:paraId="70C5E5A5" w14:textId="3CA7D9CC"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w:t>
      </w:r>
      <w:r w:rsidR="009D2C53">
        <w:t xml:space="preserve"> </w:t>
      </w:r>
      <w:r w:rsidRPr="0058413D">
        <w:t xml:space="preserve">and a project manager. </w:t>
      </w:r>
    </w:p>
    <w:p w14:paraId="7307EB4A" w14:textId="6389B0D3" w:rsidR="00B16431" w:rsidRPr="000F2D8A" w:rsidRDefault="009D2C53" w:rsidP="00B16431">
      <w:pPr>
        <w:pStyle w:val="NICEnormal"/>
      </w:pPr>
      <w:bookmarkStart w:id="2" w:name="Text45"/>
      <w:r>
        <w:rPr>
          <w:b/>
        </w:rPr>
        <w:lastRenderedPageBreak/>
        <w:t>Sana Khan</w:t>
      </w:r>
      <w:r w:rsidR="00B16431">
        <w:br/>
      </w:r>
      <w:r w:rsidR="00B16431" w:rsidRPr="000F2D8A">
        <w:t xml:space="preserve">Technical </w:t>
      </w:r>
      <w:r w:rsidR="00E65C76">
        <w:t>l</w:t>
      </w:r>
      <w:r w:rsidR="00B16431" w:rsidRPr="000F2D8A">
        <w:t>ead</w:t>
      </w:r>
    </w:p>
    <w:p w14:paraId="11DA7BEF" w14:textId="3A33A859" w:rsidR="00B16431" w:rsidRPr="000F2D8A" w:rsidRDefault="009D2C53" w:rsidP="00B16431">
      <w:pPr>
        <w:pStyle w:val="NICEnormal"/>
      </w:pPr>
      <w:r>
        <w:rPr>
          <w:b/>
        </w:rPr>
        <w:t>Lorna Dunning</w:t>
      </w:r>
      <w:r w:rsidR="00B16431">
        <w:br/>
      </w:r>
      <w:r w:rsidR="00B16431" w:rsidRPr="00AF59A2">
        <w:t xml:space="preserve">Technical </w:t>
      </w:r>
      <w:r w:rsidR="00E65C76">
        <w:t>a</w:t>
      </w:r>
      <w:r w:rsidR="00B16431" w:rsidRPr="00AF59A2">
        <w:t>dviser</w:t>
      </w:r>
    </w:p>
    <w:p w14:paraId="05D131A8" w14:textId="7214133E" w:rsidR="00B16431" w:rsidRPr="000F2D8A" w:rsidRDefault="009D2C53" w:rsidP="005D3FD9">
      <w:pPr>
        <w:pStyle w:val="NICEnormal"/>
      </w:pPr>
      <w:r>
        <w:rPr>
          <w:b/>
        </w:rPr>
        <w:t>Thomas Feist</w:t>
      </w:r>
      <w:r w:rsidR="00B16431">
        <w:br/>
      </w:r>
      <w:r w:rsidR="00B16431" w:rsidRPr="000F2D8A">
        <w:t xml:space="preserve">Project </w:t>
      </w:r>
      <w:r w:rsidR="00E65C76">
        <w:t>m</w:t>
      </w:r>
      <w:r w:rsidR="00B16431" w:rsidRPr="000F2D8A">
        <w:t>anager</w:t>
      </w:r>
      <w:bookmarkEnd w:id="2"/>
    </w:p>
    <w:p w14:paraId="456AA57D"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29"/>
      <w:footerReference w:type="default" r:id="rId3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8BE9" w14:textId="77777777" w:rsidR="00415E91" w:rsidRDefault="00415E91">
      <w:r>
        <w:separator/>
      </w:r>
    </w:p>
  </w:endnote>
  <w:endnote w:type="continuationSeparator" w:id="0">
    <w:p w14:paraId="151F2C98" w14:textId="77777777" w:rsidR="00415E91" w:rsidRDefault="0041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28EF" w14:textId="4FE96C13" w:rsidR="00832381" w:rsidRPr="003D33FB" w:rsidRDefault="00832381" w:rsidP="007A7EC8">
    <w:pPr>
      <w:pStyle w:val="NICEnormalsinglespacing"/>
      <w:spacing w:after="120"/>
      <w:rPr>
        <w:sz w:val="18"/>
        <w:szCs w:val="18"/>
      </w:rPr>
    </w:pPr>
    <w:r>
      <w:rPr>
        <w:sz w:val="18"/>
        <w:szCs w:val="18"/>
      </w:rPr>
      <w:t>Appraisal consultation document/Final appraisal document</w:t>
    </w:r>
    <w:r w:rsidRPr="003D33FB">
      <w:rPr>
        <w:sz w:val="18"/>
        <w:szCs w:val="18"/>
      </w:rPr>
      <w:t xml:space="preserve"> – </w:t>
    </w:r>
    <w:r w:rsidR="00BF5361" w:rsidRPr="00BF5361">
      <w:rPr>
        <w:sz w:val="18"/>
        <w:szCs w:val="18"/>
      </w:rPr>
      <w:t>Niraparib for maintenance treatment of relapsed, platinum-sensitive ovarian, fallopian tube and peritoneal cancer</w:t>
    </w:r>
    <w:r>
      <w:rPr>
        <w:sz w:val="18"/>
        <w:szCs w:val="18"/>
      </w:rPr>
      <w:tab/>
    </w:r>
    <w:r>
      <w:rPr>
        <w:sz w:val="18"/>
        <w:szCs w:val="18"/>
      </w:rPr>
      <w:tab/>
    </w:r>
    <w:r w:rsidR="00BF5361">
      <w:rPr>
        <w:sz w:val="18"/>
        <w:szCs w:val="18"/>
      </w:rPr>
      <w:t xml:space="preserve">                                        </w:t>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8A941A7" w14:textId="4FC3A1D2" w:rsidR="00832381" w:rsidRDefault="00832381" w:rsidP="007A7EC8">
    <w:pPr>
      <w:pStyle w:val="NICEnormalsinglespacing"/>
      <w:spacing w:after="120"/>
      <w:rPr>
        <w:sz w:val="18"/>
        <w:szCs w:val="18"/>
      </w:rPr>
    </w:pPr>
    <w:r w:rsidRPr="003D33FB">
      <w:rPr>
        <w:sz w:val="18"/>
        <w:szCs w:val="18"/>
      </w:rPr>
      <w:t xml:space="preserve">Issue date: </w:t>
    </w:r>
    <w:r w:rsidR="00BF5361">
      <w:rPr>
        <w:sz w:val="18"/>
        <w:szCs w:val="18"/>
      </w:rPr>
      <w:t>August 2021</w:t>
    </w:r>
  </w:p>
  <w:p w14:paraId="60485B90" w14:textId="5A611A33" w:rsidR="00832381" w:rsidRPr="007A7EC8" w:rsidRDefault="00832381" w:rsidP="007A7EC8">
    <w:pPr>
      <w:pStyle w:val="NICEnormalsinglespacing"/>
      <w:spacing w:after="120"/>
    </w:pPr>
    <w:r>
      <w:rPr>
        <w:sz w:val="18"/>
        <w:szCs w:val="18"/>
      </w:rPr>
      <w:t xml:space="preserve">© NICE </w:t>
    </w:r>
    <w:r w:rsidR="00BF5361">
      <w:rPr>
        <w:sz w:val="18"/>
        <w:szCs w:val="18"/>
      </w:rPr>
      <w:t>2021</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208E" w14:textId="77777777" w:rsidR="00415E91" w:rsidRDefault="00415E91">
      <w:r>
        <w:separator/>
      </w:r>
    </w:p>
  </w:footnote>
  <w:footnote w:type="continuationSeparator" w:id="0">
    <w:p w14:paraId="7A4200CA" w14:textId="77777777" w:rsidR="00415E91" w:rsidRDefault="0041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C20D" w14:textId="77777777" w:rsidR="00832381" w:rsidRPr="004E6427" w:rsidRDefault="0083238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88CC656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7E6D97"/>
    <w:multiLevelType w:val="hybridMultilevel"/>
    <w:tmpl w:val="60A64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5173DBE"/>
    <w:multiLevelType w:val="hybridMultilevel"/>
    <w:tmpl w:val="ED4047E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2CF16A5"/>
    <w:multiLevelType w:val="hybridMultilevel"/>
    <w:tmpl w:val="E2C2D094"/>
    <w:lvl w:ilvl="0" w:tplc="36AA985C">
      <w:start w:val="1"/>
      <w:numFmt w:val="bullet"/>
      <w:lvlText w:val="•"/>
      <w:lvlJc w:val="left"/>
      <w:pPr>
        <w:tabs>
          <w:tab w:val="num" w:pos="720"/>
        </w:tabs>
        <w:ind w:left="720" w:hanging="360"/>
      </w:pPr>
      <w:rPr>
        <w:rFonts w:ascii="Arial" w:hAnsi="Arial" w:hint="default"/>
      </w:rPr>
    </w:lvl>
    <w:lvl w:ilvl="1" w:tplc="6B74C24A" w:tentative="1">
      <w:start w:val="1"/>
      <w:numFmt w:val="bullet"/>
      <w:lvlText w:val="•"/>
      <w:lvlJc w:val="left"/>
      <w:pPr>
        <w:tabs>
          <w:tab w:val="num" w:pos="1440"/>
        </w:tabs>
        <w:ind w:left="1440" w:hanging="360"/>
      </w:pPr>
      <w:rPr>
        <w:rFonts w:ascii="Arial" w:hAnsi="Arial" w:hint="default"/>
      </w:rPr>
    </w:lvl>
    <w:lvl w:ilvl="2" w:tplc="12743F54" w:tentative="1">
      <w:start w:val="1"/>
      <w:numFmt w:val="bullet"/>
      <w:lvlText w:val="•"/>
      <w:lvlJc w:val="left"/>
      <w:pPr>
        <w:tabs>
          <w:tab w:val="num" w:pos="2160"/>
        </w:tabs>
        <w:ind w:left="2160" w:hanging="360"/>
      </w:pPr>
      <w:rPr>
        <w:rFonts w:ascii="Arial" w:hAnsi="Arial" w:hint="default"/>
      </w:rPr>
    </w:lvl>
    <w:lvl w:ilvl="3" w:tplc="C9FC5FA0" w:tentative="1">
      <w:start w:val="1"/>
      <w:numFmt w:val="bullet"/>
      <w:lvlText w:val="•"/>
      <w:lvlJc w:val="left"/>
      <w:pPr>
        <w:tabs>
          <w:tab w:val="num" w:pos="2880"/>
        </w:tabs>
        <w:ind w:left="2880" w:hanging="360"/>
      </w:pPr>
      <w:rPr>
        <w:rFonts w:ascii="Arial" w:hAnsi="Arial" w:hint="default"/>
      </w:rPr>
    </w:lvl>
    <w:lvl w:ilvl="4" w:tplc="D586F39C" w:tentative="1">
      <w:start w:val="1"/>
      <w:numFmt w:val="bullet"/>
      <w:lvlText w:val="•"/>
      <w:lvlJc w:val="left"/>
      <w:pPr>
        <w:tabs>
          <w:tab w:val="num" w:pos="3600"/>
        </w:tabs>
        <w:ind w:left="3600" w:hanging="360"/>
      </w:pPr>
      <w:rPr>
        <w:rFonts w:ascii="Arial" w:hAnsi="Arial" w:hint="default"/>
      </w:rPr>
    </w:lvl>
    <w:lvl w:ilvl="5" w:tplc="6DCE09C0" w:tentative="1">
      <w:start w:val="1"/>
      <w:numFmt w:val="bullet"/>
      <w:lvlText w:val="•"/>
      <w:lvlJc w:val="left"/>
      <w:pPr>
        <w:tabs>
          <w:tab w:val="num" w:pos="4320"/>
        </w:tabs>
        <w:ind w:left="4320" w:hanging="360"/>
      </w:pPr>
      <w:rPr>
        <w:rFonts w:ascii="Arial" w:hAnsi="Arial" w:hint="default"/>
      </w:rPr>
    </w:lvl>
    <w:lvl w:ilvl="6" w:tplc="81E84AA4" w:tentative="1">
      <w:start w:val="1"/>
      <w:numFmt w:val="bullet"/>
      <w:lvlText w:val="•"/>
      <w:lvlJc w:val="left"/>
      <w:pPr>
        <w:tabs>
          <w:tab w:val="num" w:pos="5040"/>
        </w:tabs>
        <w:ind w:left="5040" w:hanging="360"/>
      </w:pPr>
      <w:rPr>
        <w:rFonts w:ascii="Arial" w:hAnsi="Arial" w:hint="default"/>
      </w:rPr>
    </w:lvl>
    <w:lvl w:ilvl="7" w:tplc="D47E6F2C" w:tentative="1">
      <w:start w:val="1"/>
      <w:numFmt w:val="bullet"/>
      <w:lvlText w:val="•"/>
      <w:lvlJc w:val="left"/>
      <w:pPr>
        <w:tabs>
          <w:tab w:val="num" w:pos="5760"/>
        </w:tabs>
        <w:ind w:left="5760" w:hanging="360"/>
      </w:pPr>
      <w:rPr>
        <w:rFonts w:ascii="Arial" w:hAnsi="Arial" w:hint="default"/>
      </w:rPr>
    </w:lvl>
    <w:lvl w:ilvl="8" w:tplc="5BBC96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37CC3"/>
    <w:multiLevelType w:val="hybridMultilevel"/>
    <w:tmpl w:val="0F1E387C"/>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9"/>
  </w:num>
  <w:num w:numId="4">
    <w:abstractNumId w:val="10"/>
  </w:num>
  <w:num w:numId="5">
    <w:abstractNumId w:val="12"/>
  </w:num>
  <w:num w:numId="6">
    <w:abstractNumId w:val="0"/>
  </w:num>
  <w:num w:numId="7">
    <w:abstractNumId w:val="2"/>
  </w:num>
  <w:num w:numId="8">
    <w:abstractNumId w:val="4"/>
  </w:num>
  <w:num w:numId="9">
    <w:abstractNumId w:val="5"/>
  </w:num>
  <w:num w:numId="10">
    <w:abstractNumId w:val="6"/>
  </w:num>
  <w:num w:numId="11">
    <w:abstractNumId w:val="9"/>
  </w:num>
  <w:num w:numId="12">
    <w:abstractNumId w:va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1"/>
  </w:num>
  <w:num w:numId="18">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num>
  <w:num w:numId="21">
    <w:abstractNumId w:val="6"/>
  </w:num>
  <w:num w:numId="22">
    <w:abstractNumId w:val="16"/>
  </w:num>
  <w:num w:numId="23">
    <w:abstractNumId w:val="18"/>
  </w:num>
  <w:num w:numId="24">
    <w:abstractNumId w:val="6"/>
  </w:num>
  <w:num w:numId="25">
    <w:abstractNumId w:val="16"/>
  </w:num>
  <w:num w:numId="26">
    <w:abstractNumId w:val="13"/>
  </w:num>
  <w:num w:numId="27">
    <w:abstractNumId w:val="20"/>
  </w:num>
  <w:num w:numId="28">
    <w:abstractNumId w:val="20"/>
    <w:lvlOverride w:ilvl="0">
      <w:startOverride w:val="1"/>
    </w:lvlOverride>
  </w:num>
  <w:num w:numId="2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num>
  <w:num w:numId="32">
    <w:abstractNumId w:val="11"/>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A3"/>
    <w:rsid w:val="00000441"/>
    <w:rsid w:val="00000D96"/>
    <w:rsid w:val="00003BBC"/>
    <w:rsid w:val="000048A3"/>
    <w:rsid w:val="00006590"/>
    <w:rsid w:val="000069A4"/>
    <w:rsid w:val="000069F9"/>
    <w:rsid w:val="0000727D"/>
    <w:rsid w:val="000119FB"/>
    <w:rsid w:val="00013057"/>
    <w:rsid w:val="00014990"/>
    <w:rsid w:val="00016A22"/>
    <w:rsid w:val="00016E5E"/>
    <w:rsid w:val="00017610"/>
    <w:rsid w:val="00017736"/>
    <w:rsid w:val="000205C6"/>
    <w:rsid w:val="00021FB0"/>
    <w:rsid w:val="000221AA"/>
    <w:rsid w:val="0002331F"/>
    <w:rsid w:val="00023F26"/>
    <w:rsid w:val="000249F8"/>
    <w:rsid w:val="00026E82"/>
    <w:rsid w:val="00030676"/>
    <w:rsid w:val="00030714"/>
    <w:rsid w:val="0003322C"/>
    <w:rsid w:val="00034110"/>
    <w:rsid w:val="000344A3"/>
    <w:rsid w:val="00035AC1"/>
    <w:rsid w:val="000368FC"/>
    <w:rsid w:val="000376EE"/>
    <w:rsid w:val="00037CF4"/>
    <w:rsid w:val="00041B69"/>
    <w:rsid w:val="000421F8"/>
    <w:rsid w:val="0004241C"/>
    <w:rsid w:val="00043262"/>
    <w:rsid w:val="00045528"/>
    <w:rsid w:val="00052063"/>
    <w:rsid w:val="00055DDF"/>
    <w:rsid w:val="00057724"/>
    <w:rsid w:val="00061C83"/>
    <w:rsid w:val="0006624B"/>
    <w:rsid w:val="000711F1"/>
    <w:rsid w:val="00073DA8"/>
    <w:rsid w:val="00074D90"/>
    <w:rsid w:val="000755E6"/>
    <w:rsid w:val="00076154"/>
    <w:rsid w:val="000764D3"/>
    <w:rsid w:val="000766E9"/>
    <w:rsid w:val="00076CF9"/>
    <w:rsid w:val="00080061"/>
    <w:rsid w:val="000804C8"/>
    <w:rsid w:val="00080A47"/>
    <w:rsid w:val="00082F77"/>
    <w:rsid w:val="00085C5A"/>
    <w:rsid w:val="000862FC"/>
    <w:rsid w:val="00087301"/>
    <w:rsid w:val="00087323"/>
    <w:rsid w:val="000879ED"/>
    <w:rsid w:val="00090108"/>
    <w:rsid w:val="00093649"/>
    <w:rsid w:val="00094FE5"/>
    <w:rsid w:val="00096246"/>
    <w:rsid w:val="00096D42"/>
    <w:rsid w:val="000A0A6E"/>
    <w:rsid w:val="000A4016"/>
    <w:rsid w:val="000A4E32"/>
    <w:rsid w:val="000A6C40"/>
    <w:rsid w:val="000B1027"/>
    <w:rsid w:val="000B70D6"/>
    <w:rsid w:val="000B7F7A"/>
    <w:rsid w:val="000C04A1"/>
    <w:rsid w:val="000C194F"/>
    <w:rsid w:val="000C2222"/>
    <w:rsid w:val="000D09ED"/>
    <w:rsid w:val="000D0A87"/>
    <w:rsid w:val="000D0E0E"/>
    <w:rsid w:val="000D0FB1"/>
    <w:rsid w:val="000D11B8"/>
    <w:rsid w:val="000D145B"/>
    <w:rsid w:val="000D6016"/>
    <w:rsid w:val="000D7185"/>
    <w:rsid w:val="000E1CED"/>
    <w:rsid w:val="000E24BD"/>
    <w:rsid w:val="000E29D1"/>
    <w:rsid w:val="000E6F19"/>
    <w:rsid w:val="000E7A12"/>
    <w:rsid w:val="000F1B3B"/>
    <w:rsid w:val="000F1E3F"/>
    <w:rsid w:val="000F2D01"/>
    <w:rsid w:val="000F3DBC"/>
    <w:rsid w:val="000F48EC"/>
    <w:rsid w:val="000F5D8D"/>
    <w:rsid w:val="001017A9"/>
    <w:rsid w:val="00101F34"/>
    <w:rsid w:val="001030E1"/>
    <w:rsid w:val="001033D5"/>
    <w:rsid w:val="001039F7"/>
    <w:rsid w:val="00105409"/>
    <w:rsid w:val="00107DBD"/>
    <w:rsid w:val="00113666"/>
    <w:rsid w:val="001169FE"/>
    <w:rsid w:val="00116D19"/>
    <w:rsid w:val="00117513"/>
    <w:rsid w:val="001209CD"/>
    <w:rsid w:val="00121E78"/>
    <w:rsid w:val="00121F82"/>
    <w:rsid w:val="001230AC"/>
    <w:rsid w:val="00123F4B"/>
    <w:rsid w:val="00124604"/>
    <w:rsid w:val="00125145"/>
    <w:rsid w:val="001265C0"/>
    <w:rsid w:val="00133711"/>
    <w:rsid w:val="001337B7"/>
    <w:rsid w:val="00133921"/>
    <w:rsid w:val="001344B3"/>
    <w:rsid w:val="0013747E"/>
    <w:rsid w:val="00140C93"/>
    <w:rsid w:val="00143536"/>
    <w:rsid w:val="00145B2F"/>
    <w:rsid w:val="001464B2"/>
    <w:rsid w:val="00150440"/>
    <w:rsid w:val="00151D8E"/>
    <w:rsid w:val="001552D3"/>
    <w:rsid w:val="001570BC"/>
    <w:rsid w:val="001579BF"/>
    <w:rsid w:val="00161AA0"/>
    <w:rsid w:val="00165654"/>
    <w:rsid w:val="00165F1A"/>
    <w:rsid w:val="001662BC"/>
    <w:rsid w:val="0017072D"/>
    <w:rsid w:val="00170B60"/>
    <w:rsid w:val="00170F6F"/>
    <w:rsid w:val="00171A2B"/>
    <w:rsid w:val="00176FB2"/>
    <w:rsid w:val="001823EB"/>
    <w:rsid w:val="0018472D"/>
    <w:rsid w:val="00184A64"/>
    <w:rsid w:val="0018716E"/>
    <w:rsid w:val="001873CB"/>
    <w:rsid w:val="00191B56"/>
    <w:rsid w:val="00193945"/>
    <w:rsid w:val="001956FC"/>
    <w:rsid w:val="00196FE1"/>
    <w:rsid w:val="0019718A"/>
    <w:rsid w:val="001A01DB"/>
    <w:rsid w:val="001A1AE2"/>
    <w:rsid w:val="001A5561"/>
    <w:rsid w:val="001A5680"/>
    <w:rsid w:val="001B2DD8"/>
    <w:rsid w:val="001B7E00"/>
    <w:rsid w:val="001C0EF4"/>
    <w:rsid w:val="001C59E4"/>
    <w:rsid w:val="001C6E2B"/>
    <w:rsid w:val="001D011E"/>
    <w:rsid w:val="001D11FF"/>
    <w:rsid w:val="001D1D43"/>
    <w:rsid w:val="001D3520"/>
    <w:rsid w:val="001E27E5"/>
    <w:rsid w:val="001E2CAF"/>
    <w:rsid w:val="001E3B0C"/>
    <w:rsid w:val="001E4D37"/>
    <w:rsid w:val="001E57FA"/>
    <w:rsid w:val="001F1400"/>
    <w:rsid w:val="001F2AA8"/>
    <w:rsid w:val="001F3C54"/>
    <w:rsid w:val="001F6078"/>
    <w:rsid w:val="001F7251"/>
    <w:rsid w:val="00204B18"/>
    <w:rsid w:val="00204F82"/>
    <w:rsid w:val="0021081C"/>
    <w:rsid w:val="002119CD"/>
    <w:rsid w:val="002159C9"/>
    <w:rsid w:val="00217FB0"/>
    <w:rsid w:val="002218BC"/>
    <w:rsid w:val="00221B2B"/>
    <w:rsid w:val="00222BEA"/>
    <w:rsid w:val="00225439"/>
    <w:rsid w:val="00225F9B"/>
    <w:rsid w:val="002308A5"/>
    <w:rsid w:val="00232061"/>
    <w:rsid w:val="00235945"/>
    <w:rsid w:val="00235CAB"/>
    <w:rsid w:val="00240870"/>
    <w:rsid w:val="00252961"/>
    <w:rsid w:val="00253EB9"/>
    <w:rsid w:val="002555BE"/>
    <w:rsid w:val="00255679"/>
    <w:rsid w:val="00257B1C"/>
    <w:rsid w:val="002614EA"/>
    <w:rsid w:val="00262EF3"/>
    <w:rsid w:val="00264013"/>
    <w:rsid w:val="00265B0E"/>
    <w:rsid w:val="002702D4"/>
    <w:rsid w:val="00282C30"/>
    <w:rsid w:val="00282D7E"/>
    <w:rsid w:val="00290332"/>
    <w:rsid w:val="00290445"/>
    <w:rsid w:val="00292044"/>
    <w:rsid w:val="00293811"/>
    <w:rsid w:val="00295069"/>
    <w:rsid w:val="002A151A"/>
    <w:rsid w:val="002A19C1"/>
    <w:rsid w:val="002A2687"/>
    <w:rsid w:val="002A5C23"/>
    <w:rsid w:val="002A686F"/>
    <w:rsid w:val="002B3340"/>
    <w:rsid w:val="002B5772"/>
    <w:rsid w:val="002B6D1D"/>
    <w:rsid w:val="002C0551"/>
    <w:rsid w:val="002C257D"/>
    <w:rsid w:val="002C2774"/>
    <w:rsid w:val="002C381D"/>
    <w:rsid w:val="002C56CF"/>
    <w:rsid w:val="002C6DFC"/>
    <w:rsid w:val="002C7200"/>
    <w:rsid w:val="002D69CD"/>
    <w:rsid w:val="002D79A7"/>
    <w:rsid w:val="002E3F68"/>
    <w:rsid w:val="002E5C16"/>
    <w:rsid w:val="002E73E7"/>
    <w:rsid w:val="002F0AA7"/>
    <w:rsid w:val="002F1B28"/>
    <w:rsid w:val="002F2583"/>
    <w:rsid w:val="002F279A"/>
    <w:rsid w:val="002F2C1A"/>
    <w:rsid w:val="002F4F5B"/>
    <w:rsid w:val="002F68FE"/>
    <w:rsid w:val="002F6E86"/>
    <w:rsid w:val="003007C6"/>
    <w:rsid w:val="00300C8A"/>
    <w:rsid w:val="00300DF8"/>
    <w:rsid w:val="00302416"/>
    <w:rsid w:val="00303156"/>
    <w:rsid w:val="003060BA"/>
    <w:rsid w:val="00306149"/>
    <w:rsid w:val="00307170"/>
    <w:rsid w:val="003107AB"/>
    <w:rsid w:val="0031127A"/>
    <w:rsid w:val="00311A01"/>
    <w:rsid w:val="003154E8"/>
    <w:rsid w:val="00315C29"/>
    <w:rsid w:val="00315F99"/>
    <w:rsid w:val="0031664C"/>
    <w:rsid w:val="0031677F"/>
    <w:rsid w:val="0031785C"/>
    <w:rsid w:val="00324997"/>
    <w:rsid w:val="003256B1"/>
    <w:rsid w:val="00331545"/>
    <w:rsid w:val="003330E6"/>
    <w:rsid w:val="0033333E"/>
    <w:rsid w:val="003368C0"/>
    <w:rsid w:val="00341F00"/>
    <w:rsid w:val="00343439"/>
    <w:rsid w:val="00343B53"/>
    <w:rsid w:val="003459E9"/>
    <w:rsid w:val="00346BA7"/>
    <w:rsid w:val="00354915"/>
    <w:rsid w:val="003603B5"/>
    <w:rsid w:val="00364E30"/>
    <w:rsid w:val="00372031"/>
    <w:rsid w:val="003738C2"/>
    <w:rsid w:val="00383594"/>
    <w:rsid w:val="003847B9"/>
    <w:rsid w:val="00385E85"/>
    <w:rsid w:val="003873D8"/>
    <w:rsid w:val="00387C62"/>
    <w:rsid w:val="0039118D"/>
    <w:rsid w:val="0039186E"/>
    <w:rsid w:val="00391AC8"/>
    <w:rsid w:val="00392FB4"/>
    <w:rsid w:val="00394DFF"/>
    <w:rsid w:val="0039520A"/>
    <w:rsid w:val="00395C05"/>
    <w:rsid w:val="003A0250"/>
    <w:rsid w:val="003A04CD"/>
    <w:rsid w:val="003A11AB"/>
    <w:rsid w:val="003A1F14"/>
    <w:rsid w:val="003A3974"/>
    <w:rsid w:val="003A4D1E"/>
    <w:rsid w:val="003A5838"/>
    <w:rsid w:val="003B0BC2"/>
    <w:rsid w:val="003B37BB"/>
    <w:rsid w:val="003B3C9E"/>
    <w:rsid w:val="003B6D9A"/>
    <w:rsid w:val="003B79EB"/>
    <w:rsid w:val="003C145B"/>
    <w:rsid w:val="003C16DA"/>
    <w:rsid w:val="003C36AC"/>
    <w:rsid w:val="003C7EF9"/>
    <w:rsid w:val="003D3951"/>
    <w:rsid w:val="003D5EF2"/>
    <w:rsid w:val="003D68D5"/>
    <w:rsid w:val="003D7050"/>
    <w:rsid w:val="003E009B"/>
    <w:rsid w:val="003E0911"/>
    <w:rsid w:val="003E14CF"/>
    <w:rsid w:val="003E684C"/>
    <w:rsid w:val="003F168A"/>
    <w:rsid w:val="004005D0"/>
    <w:rsid w:val="00400A15"/>
    <w:rsid w:val="0040454F"/>
    <w:rsid w:val="00407D59"/>
    <w:rsid w:val="0041525E"/>
    <w:rsid w:val="00415939"/>
    <w:rsid w:val="00415E91"/>
    <w:rsid w:val="00417710"/>
    <w:rsid w:val="004202B8"/>
    <w:rsid w:val="00420742"/>
    <w:rsid w:val="00421005"/>
    <w:rsid w:val="0042149D"/>
    <w:rsid w:val="00431372"/>
    <w:rsid w:val="00433564"/>
    <w:rsid w:val="00437732"/>
    <w:rsid w:val="00437CA3"/>
    <w:rsid w:val="0044027B"/>
    <w:rsid w:val="004408F8"/>
    <w:rsid w:val="00442437"/>
    <w:rsid w:val="0044648F"/>
    <w:rsid w:val="00446DA2"/>
    <w:rsid w:val="00457843"/>
    <w:rsid w:val="00460458"/>
    <w:rsid w:val="00462002"/>
    <w:rsid w:val="0046212F"/>
    <w:rsid w:val="00462733"/>
    <w:rsid w:val="00462867"/>
    <w:rsid w:val="00463227"/>
    <w:rsid w:val="00463973"/>
    <w:rsid w:val="00464EA3"/>
    <w:rsid w:val="00465816"/>
    <w:rsid w:val="00466674"/>
    <w:rsid w:val="00471113"/>
    <w:rsid w:val="00471200"/>
    <w:rsid w:val="00472FF8"/>
    <w:rsid w:val="00475F03"/>
    <w:rsid w:val="004778B8"/>
    <w:rsid w:val="004804B3"/>
    <w:rsid w:val="00481E06"/>
    <w:rsid w:val="004820E9"/>
    <w:rsid w:val="00483119"/>
    <w:rsid w:val="0048361F"/>
    <w:rsid w:val="004845D0"/>
    <w:rsid w:val="00484AFB"/>
    <w:rsid w:val="004852FF"/>
    <w:rsid w:val="004921C3"/>
    <w:rsid w:val="0049285D"/>
    <w:rsid w:val="0049290A"/>
    <w:rsid w:val="00492A2F"/>
    <w:rsid w:val="00492FDA"/>
    <w:rsid w:val="00493352"/>
    <w:rsid w:val="00494E73"/>
    <w:rsid w:val="004A20C8"/>
    <w:rsid w:val="004A2830"/>
    <w:rsid w:val="004B063F"/>
    <w:rsid w:val="004B0994"/>
    <w:rsid w:val="004B514C"/>
    <w:rsid w:val="004B7D57"/>
    <w:rsid w:val="004C00D8"/>
    <w:rsid w:val="004C1938"/>
    <w:rsid w:val="004C1A3F"/>
    <w:rsid w:val="004C3DAD"/>
    <w:rsid w:val="004C5923"/>
    <w:rsid w:val="004C6116"/>
    <w:rsid w:val="004C7C61"/>
    <w:rsid w:val="004D0DFD"/>
    <w:rsid w:val="004D1FBE"/>
    <w:rsid w:val="004D45BE"/>
    <w:rsid w:val="004D4A86"/>
    <w:rsid w:val="004D6271"/>
    <w:rsid w:val="004D7664"/>
    <w:rsid w:val="004E074F"/>
    <w:rsid w:val="004E6427"/>
    <w:rsid w:val="004E7625"/>
    <w:rsid w:val="004E7E43"/>
    <w:rsid w:val="004F1956"/>
    <w:rsid w:val="004F31E2"/>
    <w:rsid w:val="004F5FC6"/>
    <w:rsid w:val="004F69FA"/>
    <w:rsid w:val="005037B2"/>
    <w:rsid w:val="0050455E"/>
    <w:rsid w:val="005047AD"/>
    <w:rsid w:val="0050683B"/>
    <w:rsid w:val="00510B1D"/>
    <w:rsid w:val="0051107D"/>
    <w:rsid w:val="00511167"/>
    <w:rsid w:val="00521A52"/>
    <w:rsid w:val="00526BE7"/>
    <w:rsid w:val="00526C07"/>
    <w:rsid w:val="005273A6"/>
    <w:rsid w:val="00527533"/>
    <w:rsid w:val="00527E88"/>
    <w:rsid w:val="005334CB"/>
    <w:rsid w:val="0053387C"/>
    <w:rsid w:val="00534F74"/>
    <w:rsid w:val="00536789"/>
    <w:rsid w:val="00536D2F"/>
    <w:rsid w:val="00540052"/>
    <w:rsid w:val="0054146B"/>
    <w:rsid w:val="00541812"/>
    <w:rsid w:val="00543DB4"/>
    <w:rsid w:val="00543E08"/>
    <w:rsid w:val="005449AD"/>
    <w:rsid w:val="00545477"/>
    <w:rsid w:val="005505ED"/>
    <w:rsid w:val="00552DD0"/>
    <w:rsid w:val="00555CD6"/>
    <w:rsid w:val="00555E53"/>
    <w:rsid w:val="00564B04"/>
    <w:rsid w:val="00570524"/>
    <w:rsid w:val="00573059"/>
    <w:rsid w:val="00574BFC"/>
    <w:rsid w:val="0057621E"/>
    <w:rsid w:val="00577B05"/>
    <w:rsid w:val="00580D6F"/>
    <w:rsid w:val="005812C6"/>
    <w:rsid w:val="0058382A"/>
    <w:rsid w:val="0058401A"/>
    <w:rsid w:val="0059245C"/>
    <w:rsid w:val="005948FA"/>
    <w:rsid w:val="005959BE"/>
    <w:rsid w:val="00596210"/>
    <w:rsid w:val="00596286"/>
    <w:rsid w:val="00596999"/>
    <w:rsid w:val="005A0F31"/>
    <w:rsid w:val="005A28A1"/>
    <w:rsid w:val="005A45BF"/>
    <w:rsid w:val="005A46D0"/>
    <w:rsid w:val="005A591D"/>
    <w:rsid w:val="005A6C15"/>
    <w:rsid w:val="005A6FB5"/>
    <w:rsid w:val="005B25E4"/>
    <w:rsid w:val="005B30C8"/>
    <w:rsid w:val="005B7778"/>
    <w:rsid w:val="005C051F"/>
    <w:rsid w:val="005C6661"/>
    <w:rsid w:val="005C6E7B"/>
    <w:rsid w:val="005C762E"/>
    <w:rsid w:val="005D030C"/>
    <w:rsid w:val="005D098C"/>
    <w:rsid w:val="005D311B"/>
    <w:rsid w:val="005D3FD9"/>
    <w:rsid w:val="005D4D0B"/>
    <w:rsid w:val="005E2139"/>
    <w:rsid w:val="005E46BB"/>
    <w:rsid w:val="005E7605"/>
    <w:rsid w:val="005F31F9"/>
    <w:rsid w:val="005F71EE"/>
    <w:rsid w:val="006000DC"/>
    <w:rsid w:val="006001CC"/>
    <w:rsid w:val="00600828"/>
    <w:rsid w:val="00602B4D"/>
    <w:rsid w:val="00603C94"/>
    <w:rsid w:val="006048E0"/>
    <w:rsid w:val="00604FAD"/>
    <w:rsid w:val="0060662A"/>
    <w:rsid w:val="0060741A"/>
    <w:rsid w:val="00612789"/>
    <w:rsid w:val="00613D24"/>
    <w:rsid w:val="006140F4"/>
    <w:rsid w:val="00614BDA"/>
    <w:rsid w:val="006205C9"/>
    <w:rsid w:val="00621AFB"/>
    <w:rsid w:val="00623E08"/>
    <w:rsid w:val="006242A0"/>
    <w:rsid w:val="0062589A"/>
    <w:rsid w:val="0063075B"/>
    <w:rsid w:val="006307C7"/>
    <w:rsid w:val="00632B82"/>
    <w:rsid w:val="006331B4"/>
    <w:rsid w:val="006343F3"/>
    <w:rsid w:val="00640CF2"/>
    <w:rsid w:val="006417D6"/>
    <w:rsid w:val="00642906"/>
    <w:rsid w:val="00643582"/>
    <w:rsid w:val="00643B75"/>
    <w:rsid w:val="006457EF"/>
    <w:rsid w:val="006469AD"/>
    <w:rsid w:val="00650F96"/>
    <w:rsid w:val="006512B7"/>
    <w:rsid w:val="00651C22"/>
    <w:rsid w:val="00655679"/>
    <w:rsid w:val="00655B4D"/>
    <w:rsid w:val="00655ED5"/>
    <w:rsid w:val="00663166"/>
    <w:rsid w:val="00665734"/>
    <w:rsid w:val="00671977"/>
    <w:rsid w:val="00671D80"/>
    <w:rsid w:val="00672EFB"/>
    <w:rsid w:val="006739CF"/>
    <w:rsid w:val="0067752C"/>
    <w:rsid w:val="006776A2"/>
    <w:rsid w:val="006801A6"/>
    <w:rsid w:val="00680CE0"/>
    <w:rsid w:val="0068124B"/>
    <w:rsid w:val="00681610"/>
    <w:rsid w:val="00684AD6"/>
    <w:rsid w:val="00685A16"/>
    <w:rsid w:val="00685D36"/>
    <w:rsid w:val="006861FA"/>
    <w:rsid w:val="00687304"/>
    <w:rsid w:val="00690708"/>
    <w:rsid w:val="00692B48"/>
    <w:rsid w:val="00692C71"/>
    <w:rsid w:val="006931A0"/>
    <w:rsid w:val="006935BC"/>
    <w:rsid w:val="00695D69"/>
    <w:rsid w:val="00696E55"/>
    <w:rsid w:val="006A0B0E"/>
    <w:rsid w:val="006A1C29"/>
    <w:rsid w:val="006A3A9C"/>
    <w:rsid w:val="006A3CC5"/>
    <w:rsid w:val="006A721F"/>
    <w:rsid w:val="006A7ADE"/>
    <w:rsid w:val="006A7CCF"/>
    <w:rsid w:val="006B0581"/>
    <w:rsid w:val="006B0F36"/>
    <w:rsid w:val="006B2ADE"/>
    <w:rsid w:val="006B30FD"/>
    <w:rsid w:val="006B4254"/>
    <w:rsid w:val="006B5CB4"/>
    <w:rsid w:val="006B6DCF"/>
    <w:rsid w:val="006B791B"/>
    <w:rsid w:val="006C0F56"/>
    <w:rsid w:val="006C3656"/>
    <w:rsid w:val="006C4793"/>
    <w:rsid w:val="006C4BE2"/>
    <w:rsid w:val="006C6BEE"/>
    <w:rsid w:val="006D0EDD"/>
    <w:rsid w:val="006D36FB"/>
    <w:rsid w:val="006D42ED"/>
    <w:rsid w:val="006D4D1A"/>
    <w:rsid w:val="006D5982"/>
    <w:rsid w:val="006D640F"/>
    <w:rsid w:val="006D73F1"/>
    <w:rsid w:val="006E2A29"/>
    <w:rsid w:val="006E3514"/>
    <w:rsid w:val="006E6181"/>
    <w:rsid w:val="006E7421"/>
    <w:rsid w:val="006E7647"/>
    <w:rsid w:val="006F162C"/>
    <w:rsid w:val="006F1DA8"/>
    <w:rsid w:val="006F22E9"/>
    <w:rsid w:val="006F4CFA"/>
    <w:rsid w:val="006F5310"/>
    <w:rsid w:val="006F696E"/>
    <w:rsid w:val="006F6B91"/>
    <w:rsid w:val="007010F8"/>
    <w:rsid w:val="007040CB"/>
    <w:rsid w:val="0070523B"/>
    <w:rsid w:val="00707D16"/>
    <w:rsid w:val="007124FC"/>
    <w:rsid w:val="0071335A"/>
    <w:rsid w:val="007149A5"/>
    <w:rsid w:val="00715E8A"/>
    <w:rsid w:val="00717226"/>
    <w:rsid w:val="0071733E"/>
    <w:rsid w:val="007174D2"/>
    <w:rsid w:val="007205C8"/>
    <w:rsid w:val="00720FDD"/>
    <w:rsid w:val="00721124"/>
    <w:rsid w:val="007213F6"/>
    <w:rsid w:val="00721A2A"/>
    <w:rsid w:val="00722883"/>
    <w:rsid w:val="00723AF0"/>
    <w:rsid w:val="00727911"/>
    <w:rsid w:val="0073007E"/>
    <w:rsid w:val="007311E2"/>
    <w:rsid w:val="00732519"/>
    <w:rsid w:val="0073365B"/>
    <w:rsid w:val="00734F5A"/>
    <w:rsid w:val="0073579D"/>
    <w:rsid w:val="00736D97"/>
    <w:rsid w:val="00737CEF"/>
    <w:rsid w:val="00737DDA"/>
    <w:rsid w:val="00742A3A"/>
    <w:rsid w:val="00746B57"/>
    <w:rsid w:val="00747D90"/>
    <w:rsid w:val="007501B9"/>
    <w:rsid w:val="0075020B"/>
    <w:rsid w:val="00751CB9"/>
    <w:rsid w:val="0075536C"/>
    <w:rsid w:val="00755454"/>
    <w:rsid w:val="0075624F"/>
    <w:rsid w:val="00756580"/>
    <w:rsid w:val="00756D96"/>
    <w:rsid w:val="007620C2"/>
    <w:rsid w:val="00763641"/>
    <w:rsid w:val="007668BA"/>
    <w:rsid w:val="00766EA2"/>
    <w:rsid w:val="00770596"/>
    <w:rsid w:val="00771881"/>
    <w:rsid w:val="0077277D"/>
    <w:rsid w:val="007747D4"/>
    <w:rsid w:val="00774963"/>
    <w:rsid w:val="007775EA"/>
    <w:rsid w:val="00780DBE"/>
    <w:rsid w:val="00781B7F"/>
    <w:rsid w:val="00782DCB"/>
    <w:rsid w:val="007832A2"/>
    <w:rsid w:val="0078403D"/>
    <w:rsid w:val="00784156"/>
    <w:rsid w:val="00785E9F"/>
    <w:rsid w:val="00787DB6"/>
    <w:rsid w:val="00791280"/>
    <w:rsid w:val="007933B3"/>
    <w:rsid w:val="00794D72"/>
    <w:rsid w:val="007952B9"/>
    <w:rsid w:val="007A048E"/>
    <w:rsid w:val="007A19AF"/>
    <w:rsid w:val="007A1E9D"/>
    <w:rsid w:val="007A2801"/>
    <w:rsid w:val="007A4228"/>
    <w:rsid w:val="007A4EEE"/>
    <w:rsid w:val="007A6DAA"/>
    <w:rsid w:val="007A7EC8"/>
    <w:rsid w:val="007B032C"/>
    <w:rsid w:val="007B1AF8"/>
    <w:rsid w:val="007B2A16"/>
    <w:rsid w:val="007B4B3F"/>
    <w:rsid w:val="007B578A"/>
    <w:rsid w:val="007B787D"/>
    <w:rsid w:val="007B7B7B"/>
    <w:rsid w:val="007C2A15"/>
    <w:rsid w:val="007C3165"/>
    <w:rsid w:val="007C58D6"/>
    <w:rsid w:val="007C732D"/>
    <w:rsid w:val="007D03DA"/>
    <w:rsid w:val="007D1008"/>
    <w:rsid w:val="007D33AD"/>
    <w:rsid w:val="007D5B27"/>
    <w:rsid w:val="007D5C80"/>
    <w:rsid w:val="007D62AE"/>
    <w:rsid w:val="007E00CD"/>
    <w:rsid w:val="007E013D"/>
    <w:rsid w:val="007E2754"/>
    <w:rsid w:val="007E5818"/>
    <w:rsid w:val="007E6107"/>
    <w:rsid w:val="007E61A7"/>
    <w:rsid w:val="007E65D7"/>
    <w:rsid w:val="007E67FC"/>
    <w:rsid w:val="007F227E"/>
    <w:rsid w:val="007F2A8E"/>
    <w:rsid w:val="007F6249"/>
    <w:rsid w:val="0080089C"/>
    <w:rsid w:val="00801025"/>
    <w:rsid w:val="00803318"/>
    <w:rsid w:val="00803456"/>
    <w:rsid w:val="0080390A"/>
    <w:rsid w:val="00807045"/>
    <w:rsid w:val="008101C3"/>
    <w:rsid w:val="008117B2"/>
    <w:rsid w:val="00811BBD"/>
    <w:rsid w:val="00812976"/>
    <w:rsid w:val="00814DEF"/>
    <w:rsid w:val="00815CD5"/>
    <w:rsid w:val="0081690E"/>
    <w:rsid w:val="0082239E"/>
    <w:rsid w:val="00825A87"/>
    <w:rsid w:val="00827826"/>
    <w:rsid w:val="00831B9B"/>
    <w:rsid w:val="00832381"/>
    <w:rsid w:val="00832C5F"/>
    <w:rsid w:val="00835008"/>
    <w:rsid w:val="008370BB"/>
    <w:rsid w:val="00842A7E"/>
    <w:rsid w:val="00844D3D"/>
    <w:rsid w:val="0084532E"/>
    <w:rsid w:val="00845810"/>
    <w:rsid w:val="00845F3C"/>
    <w:rsid w:val="00846159"/>
    <w:rsid w:val="00847F89"/>
    <w:rsid w:val="008505C3"/>
    <w:rsid w:val="00851677"/>
    <w:rsid w:val="008522C6"/>
    <w:rsid w:val="00852E40"/>
    <w:rsid w:val="00853F80"/>
    <w:rsid w:val="00857A90"/>
    <w:rsid w:val="00857CDD"/>
    <w:rsid w:val="00860EA8"/>
    <w:rsid w:val="0086472B"/>
    <w:rsid w:val="00865B83"/>
    <w:rsid w:val="00866494"/>
    <w:rsid w:val="00866CC6"/>
    <w:rsid w:val="008719B1"/>
    <w:rsid w:val="0087368E"/>
    <w:rsid w:val="00876212"/>
    <w:rsid w:val="00877C31"/>
    <w:rsid w:val="00877DED"/>
    <w:rsid w:val="008802D9"/>
    <w:rsid w:val="00880B98"/>
    <w:rsid w:val="00881F26"/>
    <w:rsid w:val="008838A1"/>
    <w:rsid w:val="0088685E"/>
    <w:rsid w:val="0088689E"/>
    <w:rsid w:val="00891794"/>
    <w:rsid w:val="00891929"/>
    <w:rsid w:val="00893176"/>
    <w:rsid w:val="00895446"/>
    <w:rsid w:val="00895DDB"/>
    <w:rsid w:val="00897A5C"/>
    <w:rsid w:val="008A05E4"/>
    <w:rsid w:val="008A2098"/>
    <w:rsid w:val="008A32D1"/>
    <w:rsid w:val="008A7B50"/>
    <w:rsid w:val="008B03D8"/>
    <w:rsid w:val="008B1284"/>
    <w:rsid w:val="008B4290"/>
    <w:rsid w:val="008B61CD"/>
    <w:rsid w:val="008C4A61"/>
    <w:rsid w:val="008C4CB3"/>
    <w:rsid w:val="008C4F0F"/>
    <w:rsid w:val="008C6CFD"/>
    <w:rsid w:val="008C6E79"/>
    <w:rsid w:val="008C7680"/>
    <w:rsid w:val="008C7D07"/>
    <w:rsid w:val="008C7F38"/>
    <w:rsid w:val="008D13A4"/>
    <w:rsid w:val="008D2787"/>
    <w:rsid w:val="008D3B9E"/>
    <w:rsid w:val="008D55C9"/>
    <w:rsid w:val="008E5493"/>
    <w:rsid w:val="008E7460"/>
    <w:rsid w:val="008E7585"/>
    <w:rsid w:val="008F2E5C"/>
    <w:rsid w:val="008F646F"/>
    <w:rsid w:val="0090614E"/>
    <w:rsid w:val="00906982"/>
    <w:rsid w:val="009076D0"/>
    <w:rsid w:val="00914F38"/>
    <w:rsid w:val="0091776B"/>
    <w:rsid w:val="00920396"/>
    <w:rsid w:val="00923AF4"/>
    <w:rsid w:val="009243B8"/>
    <w:rsid w:val="0092657D"/>
    <w:rsid w:val="00926825"/>
    <w:rsid w:val="00927D82"/>
    <w:rsid w:val="00931E1D"/>
    <w:rsid w:val="00932B67"/>
    <w:rsid w:val="009336A6"/>
    <w:rsid w:val="00935018"/>
    <w:rsid w:val="0093671F"/>
    <w:rsid w:val="00937D0C"/>
    <w:rsid w:val="00937F0D"/>
    <w:rsid w:val="00941D1F"/>
    <w:rsid w:val="00942CEF"/>
    <w:rsid w:val="0094366C"/>
    <w:rsid w:val="0094666B"/>
    <w:rsid w:val="009479C0"/>
    <w:rsid w:val="00950914"/>
    <w:rsid w:val="00950C51"/>
    <w:rsid w:val="00951973"/>
    <w:rsid w:val="0095252E"/>
    <w:rsid w:val="00952591"/>
    <w:rsid w:val="00952C90"/>
    <w:rsid w:val="00953ADF"/>
    <w:rsid w:val="00953B55"/>
    <w:rsid w:val="0095579B"/>
    <w:rsid w:val="009557B4"/>
    <w:rsid w:val="00955ED6"/>
    <w:rsid w:val="00957E73"/>
    <w:rsid w:val="0096135C"/>
    <w:rsid w:val="00964C23"/>
    <w:rsid w:val="00964F45"/>
    <w:rsid w:val="009746D7"/>
    <w:rsid w:val="009808B4"/>
    <w:rsid w:val="00983391"/>
    <w:rsid w:val="00984821"/>
    <w:rsid w:val="0098663D"/>
    <w:rsid w:val="009961A7"/>
    <w:rsid w:val="0099716A"/>
    <w:rsid w:val="009A0593"/>
    <w:rsid w:val="009A2797"/>
    <w:rsid w:val="009A2C14"/>
    <w:rsid w:val="009A3D97"/>
    <w:rsid w:val="009A3ED6"/>
    <w:rsid w:val="009A598B"/>
    <w:rsid w:val="009A698B"/>
    <w:rsid w:val="009A7D13"/>
    <w:rsid w:val="009B2595"/>
    <w:rsid w:val="009B2D86"/>
    <w:rsid w:val="009B3F94"/>
    <w:rsid w:val="009B5E70"/>
    <w:rsid w:val="009B621A"/>
    <w:rsid w:val="009B672F"/>
    <w:rsid w:val="009B6EAB"/>
    <w:rsid w:val="009B718D"/>
    <w:rsid w:val="009B7A37"/>
    <w:rsid w:val="009B7CCE"/>
    <w:rsid w:val="009C0BCC"/>
    <w:rsid w:val="009C3506"/>
    <w:rsid w:val="009C3FA3"/>
    <w:rsid w:val="009C45D9"/>
    <w:rsid w:val="009C6530"/>
    <w:rsid w:val="009C6F32"/>
    <w:rsid w:val="009D2707"/>
    <w:rsid w:val="009D2BEF"/>
    <w:rsid w:val="009D2C53"/>
    <w:rsid w:val="009D358E"/>
    <w:rsid w:val="009D7187"/>
    <w:rsid w:val="009D783B"/>
    <w:rsid w:val="009E01DD"/>
    <w:rsid w:val="009E1A2E"/>
    <w:rsid w:val="009E3892"/>
    <w:rsid w:val="009E547A"/>
    <w:rsid w:val="009F1ABD"/>
    <w:rsid w:val="009F30C8"/>
    <w:rsid w:val="009F4054"/>
    <w:rsid w:val="009F4E51"/>
    <w:rsid w:val="009F58D8"/>
    <w:rsid w:val="009F756F"/>
    <w:rsid w:val="00A01752"/>
    <w:rsid w:val="00A02F7D"/>
    <w:rsid w:val="00A03791"/>
    <w:rsid w:val="00A06657"/>
    <w:rsid w:val="00A119B7"/>
    <w:rsid w:val="00A12DA0"/>
    <w:rsid w:val="00A14793"/>
    <w:rsid w:val="00A16DFA"/>
    <w:rsid w:val="00A17C0A"/>
    <w:rsid w:val="00A22FA7"/>
    <w:rsid w:val="00A238D0"/>
    <w:rsid w:val="00A33919"/>
    <w:rsid w:val="00A346B2"/>
    <w:rsid w:val="00A3601F"/>
    <w:rsid w:val="00A36968"/>
    <w:rsid w:val="00A36EC5"/>
    <w:rsid w:val="00A36EE3"/>
    <w:rsid w:val="00A41149"/>
    <w:rsid w:val="00A44745"/>
    <w:rsid w:val="00A44F15"/>
    <w:rsid w:val="00A47B7B"/>
    <w:rsid w:val="00A50621"/>
    <w:rsid w:val="00A54175"/>
    <w:rsid w:val="00A56809"/>
    <w:rsid w:val="00A60D9A"/>
    <w:rsid w:val="00A63A07"/>
    <w:rsid w:val="00A654A2"/>
    <w:rsid w:val="00A662F4"/>
    <w:rsid w:val="00A67183"/>
    <w:rsid w:val="00A70079"/>
    <w:rsid w:val="00A757EB"/>
    <w:rsid w:val="00A76391"/>
    <w:rsid w:val="00A76452"/>
    <w:rsid w:val="00A83F5F"/>
    <w:rsid w:val="00A84DF8"/>
    <w:rsid w:val="00A86245"/>
    <w:rsid w:val="00A86D3D"/>
    <w:rsid w:val="00A9013E"/>
    <w:rsid w:val="00A90EC5"/>
    <w:rsid w:val="00A915F3"/>
    <w:rsid w:val="00A94B17"/>
    <w:rsid w:val="00A94F1F"/>
    <w:rsid w:val="00A95347"/>
    <w:rsid w:val="00A959A9"/>
    <w:rsid w:val="00A97A51"/>
    <w:rsid w:val="00AA349C"/>
    <w:rsid w:val="00AA471D"/>
    <w:rsid w:val="00AA4A51"/>
    <w:rsid w:val="00AA4B1C"/>
    <w:rsid w:val="00AA6188"/>
    <w:rsid w:val="00AA7E33"/>
    <w:rsid w:val="00AB265E"/>
    <w:rsid w:val="00AB2948"/>
    <w:rsid w:val="00AB39FA"/>
    <w:rsid w:val="00AB3B30"/>
    <w:rsid w:val="00AB426C"/>
    <w:rsid w:val="00AB451C"/>
    <w:rsid w:val="00AB59F2"/>
    <w:rsid w:val="00AC3E62"/>
    <w:rsid w:val="00AC5620"/>
    <w:rsid w:val="00AC5AF9"/>
    <w:rsid w:val="00AC6192"/>
    <w:rsid w:val="00AC6405"/>
    <w:rsid w:val="00AD073C"/>
    <w:rsid w:val="00AD2F03"/>
    <w:rsid w:val="00AD352F"/>
    <w:rsid w:val="00AD57FE"/>
    <w:rsid w:val="00AD6933"/>
    <w:rsid w:val="00AD6B7B"/>
    <w:rsid w:val="00AD6E3B"/>
    <w:rsid w:val="00AD7CAB"/>
    <w:rsid w:val="00AE04A6"/>
    <w:rsid w:val="00AE0D6A"/>
    <w:rsid w:val="00AE10BE"/>
    <w:rsid w:val="00AE16C9"/>
    <w:rsid w:val="00AE3406"/>
    <w:rsid w:val="00AE3EF5"/>
    <w:rsid w:val="00AE423A"/>
    <w:rsid w:val="00AE471D"/>
    <w:rsid w:val="00AE4F2A"/>
    <w:rsid w:val="00AE5F33"/>
    <w:rsid w:val="00AF0131"/>
    <w:rsid w:val="00AF0AD5"/>
    <w:rsid w:val="00AF15E6"/>
    <w:rsid w:val="00AF51E7"/>
    <w:rsid w:val="00AF6744"/>
    <w:rsid w:val="00B018D4"/>
    <w:rsid w:val="00B0384A"/>
    <w:rsid w:val="00B04E75"/>
    <w:rsid w:val="00B05620"/>
    <w:rsid w:val="00B05A34"/>
    <w:rsid w:val="00B06B53"/>
    <w:rsid w:val="00B11781"/>
    <w:rsid w:val="00B12E05"/>
    <w:rsid w:val="00B12EBE"/>
    <w:rsid w:val="00B16431"/>
    <w:rsid w:val="00B166A4"/>
    <w:rsid w:val="00B219B7"/>
    <w:rsid w:val="00B23AB0"/>
    <w:rsid w:val="00B25038"/>
    <w:rsid w:val="00B27FF1"/>
    <w:rsid w:val="00B3159A"/>
    <w:rsid w:val="00B33465"/>
    <w:rsid w:val="00B35C09"/>
    <w:rsid w:val="00B379C5"/>
    <w:rsid w:val="00B4183F"/>
    <w:rsid w:val="00B42198"/>
    <w:rsid w:val="00B46AD2"/>
    <w:rsid w:val="00B53D52"/>
    <w:rsid w:val="00B54985"/>
    <w:rsid w:val="00B56A3B"/>
    <w:rsid w:val="00B60E5C"/>
    <w:rsid w:val="00B60EF8"/>
    <w:rsid w:val="00B61081"/>
    <w:rsid w:val="00B614D0"/>
    <w:rsid w:val="00B64BBE"/>
    <w:rsid w:val="00B65D17"/>
    <w:rsid w:val="00B67297"/>
    <w:rsid w:val="00B67DE1"/>
    <w:rsid w:val="00B706D4"/>
    <w:rsid w:val="00B70CC6"/>
    <w:rsid w:val="00B7108D"/>
    <w:rsid w:val="00B73894"/>
    <w:rsid w:val="00B76A3B"/>
    <w:rsid w:val="00B776B5"/>
    <w:rsid w:val="00B8193F"/>
    <w:rsid w:val="00B82A82"/>
    <w:rsid w:val="00B8464A"/>
    <w:rsid w:val="00B8473D"/>
    <w:rsid w:val="00B85438"/>
    <w:rsid w:val="00B90410"/>
    <w:rsid w:val="00B90E10"/>
    <w:rsid w:val="00B964CA"/>
    <w:rsid w:val="00B969D7"/>
    <w:rsid w:val="00BA17EA"/>
    <w:rsid w:val="00BA31C4"/>
    <w:rsid w:val="00BA4035"/>
    <w:rsid w:val="00BA4655"/>
    <w:rsid w:val="00BA78B6"/>
    <w:rsid w:val="00BA7935"/>
    <w:rsid w:val="00BB047B"/>
    <w:rsid w:val="00BB3C34"/>
    <w:rsid w:val="00BB4818"/>
    <w:rsid w:val="00BB4AF3"/>
    <w:rsid w:val="00BB6398"/>
    <w:rsid w:val="00BC1011"/>
    <w:rsid w:val="00BC25EF"/>
    <w:rsid w:val="00BC2DAF"/>
    <w:rsid w:val="00BC4FD3"/>
    <w:rsid w:val="00BC6827"/>
    <w:rsid w:val="00BC6C7A"/>
    <w:rsid w:val="00BC790C"/>
    <w:rsid w:val="00BC7B8B"/>
    <w:rsid w:val="00BC7D9E"/>
    <w:rsid w:val="00BD0372"/>
    <w:rsid w:val="00BD44F5"/>
    <w:rsid w:val="00BD5D23"/>
    <w:rsid w:val="00BE0451"/>
    <w:rsid w:val="00BE12DD"/>
    <w:rsid w:val="00BE4340"/>
    <w:rsid w:val="00BE4CBE"/>
    <w:rsid w:val="00BE5574"/>
    <w:rsid w:val="00BE5C41"/>
    <w:rsid w:val="00BF0646"/>
    <w:rsid w:val="00BF1C32"/>
    <w:rsid w:val="00BF2876"/>
    <w:rsid w:val="00BF2BA5"/>
    <w:rsid w:val="00BF5361"/>
    <w:rsid w:val="00BF5482"/>
    <w:rsid w:val="00BF76A6"/>
    <w:rsid w:val="00C0068D"/>
    <w:rsid w:val="00C01F23"/>
    <w:rsid w:val="00C0404A"/>
    <w:rsid w:val="00C044BE"/>
    <w:rsid w:val="00C04BAB"/>
    <w:rsid w:val="00C0607B"/>
    <w:rsid w:val="00C06836"/>
    <w:rsid w:val="00C06DEF"/>
    <w:rsid w:val="00C075A2"/>
    <w:rsid w:val="00C107CB"/>
    <w:rsid w:val="00C118A3"/>
    <w:rsid w:val="00C118C4"/>
    <w:rsid w:val="00C11F58"/>
    <w:rsid w:val="00C120D7"/>
    <w:rsid w:val="00C132D1"/>
    <w:rsid w:val="00C139CA"/>
    <w:rsid w:val="00C13A7D"/>
    <w:rsid w:val="00C241A8"/>
    <w:rsid w:val="00C24ABA"/>
    <w:rsid w:val="00C2641C"/>
    <w:rsid w:val="00C264CB"/>
    <w:rsid w:val="00C31253"/>
    <w:rsid w:val="00C35129"/>
    <w:rsid w:val="00C35DC8"/>
    <w:rsid w:val="00C36C33"/>
    <w:rsid w:val="00C41197"/>
    <w:rsid w:val="00C419DB"/>
    <w:rsid w:val="00C461AE"/>
    <w:rsid w:val="00C476F1"/>
    <w:rsid w:val="00C51429"/>
    <w:rsid w:val="00C51E8F"/>
    <w:rsid w:val="00C52CE9"/>
    <w:rsid w:val="00C52FC0"/>
    <w:rsid w:val="00C53F9E"/>
    <w:rsid w:val="00C55873"/>
    <w:rsid w:val="00C559E9"/>
    <w:rsid w:val="00C608C1"/>
    <w:rsid w:val="00C61360"/>
    <w:rsid w:val="00C63D4E"/>
    <w:rsid w:val="00C63EA9"/>
    <w:rsid w:val="00C665A0"/>
    <w:rsid w:val="00C67725"/>
    <w:rsid w:val="00C700F3"/>
    <w:rsid w:val="00C7092F"/>
    <w:rsid w:val="00C74692"/>
    <w:rsid w:val="00C7539F"/>
    <w:rsid w:val="00C76DDA"/>
    <w:rsid w:val="00C807B3"/>
    <w:rsid w:val="00C81F36"/>
    <w:rsid w:val="00C825C9"/>
    <w:rsid w:val="00C86548"/>
    <w:rsid w:val="00C86CC3"/>
    <w:rsid w:val="00C86E37"/>
    <w:rsid w:val="00C901B1"/>
    <w:rsid w:val="00C90EBC"/>
    <w:rsid w:val="00C91B69"/>
    <w:rsid w:val="00C92B44"/>
    <w:rsid w:val="00CA3856"/>
    <w:rsid w:val="00CA5A3F"/>
    <w:rsid w:val="00CA67E0"/>
    <w:rsid w:val="00CA6CBF"/>
    <w:rsid w:val="00CB0122"/>
    <w:rsid w:val="00CB0269"/>
    <w:rsid w:val="00CB0833"/>
    <w:rsid w:val="00CB0E4D"/>
    <w:rsid w:val="00CB18F5"/>
    <w:rsid w:val="00CC008E"/>
    <w:rsid w:val="00CC02ED"/>
    <w:rsid w:val="00CC1587"/>
    <w:rsid w:val="00CC63EB"/>
    <w:rsid w:val="00CD022A"/>
    <w:rsid w:val="00CD03BE"/>
    <w:rsid w:val="00CD0707"/>
    <w:rsid w:val="00CD1A25"/>
    <w:rsid w:val="00CD2E16"/>
    <w:rsid w:val="00CD65E7"/>
    <w:rsid w:val="00CD7BFC"/>
    <w:rsid w:val="00CE151C"/>
    <w:rsid w:val="00CE2B95"/>
    <w:rsid w:val="00CE2F1A"/>
    <w:rsid w:val="00CE5364"/>
    <w:rsid w:val="00CF0208"/>
    <w:rsid w:val="00CF1A11"/>
    <w:rsid w:val="00CF2DCB"/>
    <w:rsid w:val="00CF30FC"/>
    <w:rsid w:val="00CF4286"/>
    <w:rsid w:val="00CF5CB2"/>
    <w:rsid w:val="00CF734D"/>
    <w:rsid w:val="00D00B20"/>
    <w:rsid w:val="00D019BA"/>
    <w:rsid w:val="00D01B9F"/>
    <w:rsid w:val="00D0245C"/>
    <w:rsid w:val="00D039A0"/>
    <w:rsid w:val="00D03B38"/>
    <w:rsid w:val="00D03F87"/>
    <w:rsid w:val="00D03FFD"/>
    <w:rsid w:val="00D04408"/>
    <w:rsid w:val="00D0486C"/>
    <w:rsid w:val="00D04CD4"/>
    <w:rsid w:val="00D07174"/>
    <w:rsid w:val="00D0753F"/>
    <w:rsid w:val="00D07DB1"/>
    <w:rsid w:val="00D12095"/>
    <w:rsid w:val="00D12779"/>
    <w:rsid w:val="00D1519F"/>
    <w:rsid w:val="00D16D24"/>
    <w:rsid w:val="00D17381"/>
    <w:rsid w:val="00D21AEC"/>
    <w:rsid w:val="00D22D06"/>
    <w:rsid w:val="00D24772"/>
    <w:rsid w:val="00D25683"/>
    <w:rsid w:val="00D25F53"/>
    <w:rsid w:val="00D26E91"/>
    <w:rsid w:val="00D272A6"/>
    <w:rsid w:val="00D27C28"/>
    <w:rsid w:val="00D3441D"/>
    <w:rsid w:val="00D355C4"/>
    <w:rsid w:val="00D3612A"/>
    <w:rsid w:val="00D37703"/>
    <w:rsid w:val="00D37DBF"/>
    <w:rsid w:val="00D37F25"/>
    <w:rsid w:val="00D4003C"/>
    <w:rsid w:val="00D4230B"/>
    <w:rsid w:val="00D42F4F"/>
    <w:rsid w:val="00D44141"/>
    <w:rsid w:val="00D44DAD"/>
    <w:rsid w:val="00D50AF0"/>
    <w:rsid w:val="00D56A53"/>
    <w:rsid w:val="00D6079A"/>
    <w:rsid w:val="00D6324F"/>
    <w:rsid w:val="00D63458"/>
    <w:rsid w:val="00D66D37"/>
    <w:rsid w:val="00D750CC"/>
    <w:rsid w:val="00D758DC"/>
    <w:rsid w:val="00D82D72"/>
    <w:rsid w:val="00D84369"/>
    <w:rsid w:val="00D84C8F"/>
    <w:rsid w:val="00D873AD"/>
    <w:rsid w:val="00D90BEE"/>
    <w:rsid w:val="00D91AAC"/>
    <w:rsid w:val="00D91C06"/>
    <w:rsid w:val="00D91C9F"/>
    <w:rsid w:val="00D93383"/>
    <w:rsid w:val="00D93FD1"/>
    <w:rsid w:val="00D97757"/>
    <w:rsid w:val="00DA08F5"/>
    <w:rsid w:val="00DA2ADC"/>
    <w:rsid w:val="00DB01E2"/>
    <w:rsid w:val="00DB0764"/>
    <w:rsid w:val="00DB213F"/>
    <w:rsid w:val="00DB3506"/>
    <w:rsid w:val="00DB4044"/>
    <w:rsid w:val="00DB7A9A"/>
    <w:rsid w:val="00DC0D0B"/>
    <w:rsid w:val="00DC3177"/>
    <w:rsid w:val="00DC3276"/>
    <w:rsid w:val="00DC62CC"/>
    <w:rsid w:val="00DD08F8"/>
    <w:rsid w:val="00DD13AB"/>
    <w:rsid w:val="00DD2841"/>
    <w:rsid w:val="00DD323F"/>
    <w:rsid w:val="00DD37D8"/>
    <w:rsid w:val="00DD4EB5"/>
    <w:rsid w:val="00DD5902"/>
    <w:rsid w:val="00DE01A4"/>
    <w:rsid w:val="00DE115B"/>
    <w:rsid w:val="00DE3E40"/>
    <w:rsid w:val="00DE4597"/>
    <w:rsid w:val="00DE643F"/>
    <w:rsid w:val="00DF535D"/>
    <w:rsid w:val="00DF6840"/>
    <w:rsid w:val="00E010AB"/>
    <w:rsid w:val="00E015AD"/>
    <w:rsid w:val="00E0233F"/>
    <w:rsid w:val="00E02678"/>
    <w:rsid w:val="00E050EC"/>
    <w:rsid w:val="00E05291"/>
    <w:rsid w:val="00E06262"/>
    <w:rsid w:val="00E0681F"/>
    <w:rsid w:val="00E0748A"/>
    <w:rsid w:val="00E07B10"/>
    <w:rsid w:val="00E10AA9"/>
    <w:rsid w:val="00E128A9"/>
    <w:rsid w:val="00E143DA"/>
    <w:rsid w:val="00E14BA3"/>
    <w:rsid w:val="00E14F9C"/>
    <w:rsid w:val="00E15864"/>
    <w:rsid w:val="00E16744"/>
    <w:rsid w:val="00E23081"/>
    <w:rsid w:val="00E24CDE"/>
    <w:rsid w:val="00E25953"/>
    <w:rsid w:val="00E265DE"/>
    <w:rsid w:val="00E27F5A"/>
    <w:rsid w:val="00E32BEA"/>
    <w:rsid w:val="00E32F5B"/>
    <w:rsid w:val="00E3368A"/>
    <w:rsid w:val="00E37401"/>
    <w:rsid w:val="00E3799F"/>
    <w:rsid w:val="00E37DA2"/>
    <w:rsid w:val="00E4121B"/>
    <w:rsid w:val="00E42FA4"/>
    <w:rsid w:val="00E43ACF"/>
    <w:rsid w:val="00E43B5E"/>
    <w:rsid w:val="00E44191"/>
    <w:rsid w:val="00E449C2"/>
    <w:rsid w:val="00E45864"/>
    <w:rsid w:val="00E4622C"/>
    <w:rsid w:val="00E46612"/>
    <w:rsid w:val="00E472EF"/>
    <w:rsid w:val="00E47F40"/>
    <w:rsid w:val="00E516D2"/>
    <w:rsid w:val="00E51FFB"/>
    <w:rsid w:val="00E52DD3"/>
    <w:rsid w:val="00E5471E"/>
    <w:rsid w:val="00E55281"/>
    <w:rsid w:val="00E558A4"/>
    <w:rsid w:val="00E576D9"/>
    <w:rsid w:val="00E60972"/>
    <w:rsid w:val="00E65C76"/>
    <w:rsid w:val="00E65EA1"/>
    <w:rsid w:val="00E6605D"/>
    <w:rsid w:val="00E6611F"/>
    <w:rsid w:val="00E67E3A"/>
    <w:rsid w:val="00E7078B"/>
    <w:rsid w:val="00E83D9D"/>
    <w:rsid w:val="00E90B0F"/>
    <w:rsid w:val="00E9168B"/>
    <w:rsid w:val="00E91A28"/>
    <w:rsid w:val="00E923A0"/>
    <w:rsid w:val="00E9265B"/>
    <w:rsid w:val="00E95253"/>
    <w:rsid w:val="00E952E6"/>
    <w:rsid w:val="00E95569"/>
    <w:rsid w:val="00E978F3"/>
    <w:rsid w:val="00E97F8B"/>
    <w:rsid w:val="00EA1509"/>
    <w:rsid w:val="00EA1CB1"/>
    <w:rsid w:val="00EA6125"/>
    <w:rsid w:val="00EC0435"/>
    <w:rsid w:val="00EC36D2"/>
    <w:rsid w:val="00EC44BC"/>
    <w:rsid w:val="00EC7180"/>
    <w:rsid w:val="00EC7CEC"/>
    <w:rsid w:val="00ED10C4"/>
    <w:rsid w:val="00ED209D"/>
    <w:rsid w:val="00ED418D"/>
    <w:rsid w:val="00ED46C4"/>
    <w:rsid w:val="00ED5F88"/>
    <w:rsid w:val="00ED664B"/>
    <w:rsid w:val="00ED7359"/>
    <w:rsid w:val="00ED7C2E"/>
    <w:rsid w:val="00EE5111"/>
    <w:rsid w:val="00EF157F"/>
    <w:rsid w:val="00EF2730"/>
    <w:rsid w:val="00EF28D7"/>
    <w:rsid w:val="00EF5550"/>
    <w:rsid w:val="00EF5EE2"/>
    <w:rsid w:val="00F01D63"/>
    <w:rsid w:val="00F03786"/>
    <w:rsid w:val="00F03AB8"/>
    <w:rsid w:val="00F05C6E"/>
    <w:rsid w:val="00F05D09"/>
    <w:rsid w:val="00F05E37"/>
    <w:rsid w:val="00F07897"/>
    <w:rsid w:val="00F07EF7"/>
    <w:rsid w:val="00F112AC"/>
    <w:rsid w:val="00F130AD"/>
    <w:rsid w:val="00F133C7"/>
    <w:rsid w:val="00F14FEA"/>
    <w:rsid w:val="00F2002D"/>
    <w:rsid w:val="00F22093"/>
    <w:rsid w:val="00F227E8"/>
    <w:rsid w:val="00F237E6"/>
    <w:rsid w:val="00F24647"/>
    <w:rsid w:val="00F24C1D"/>
    <w:rsid w:val="00F26374"/>
    <w:rsid w:val="00F26A9F"/>
    <w:rsid w:val="00F30DE4"/>
    <w:rsid w:val="00F31CE2"/>
    <w:rsid w:val="00F331B5"/>
    <w:rsid w:val="00F34AF9"/>
    <w:rsid w:val="00F41E62"/>
    <w:rsid w:val="00F45725"/>
    <w:rsid w:val="00F4623B"/>
    <w:rsid w:val="00F47B58"/>
    <w:rsid w:val="00F47BED"/>
    <w:rsid w:val="00F5153C"/>
    <w:rsid w:val="00F51742"/>
    <w:rsid w:val="00F53521"/>
    <w:rsid w:val="00F53991"/>
    <w:rsid w:val="00F61722"/>
    <w:rsid w:val="00F617C6"/>
    <w:rsid w:val="00F6208E"/>
    <w:rsid w:val="00F66A33"/>
    <w:rsid w:val="00F66F7C"/>
    <w:rsid w:val="00F67569"/>
    <w:rsid w:val="00F70BA5"/>
    <w:rsid w:val="00F71818"/>
    <w:rsid w:val="00F73842"/>
    <w:rsid w:val="00F73B39"/>
    <w:rsid w:val="00F74981"/>
    <w:rsid w:val="00F75C04"/>
    <w:rsid w:val="00F76CEB"/>
    <w:rsid w:val="00F80C01"/>
    <w:rsid w:val="00F815E0"/>
    <w:rsid w:val="00F81F50"/>
    <w:rsid w:val="00F8549C"/>
    <w:rsid w:val="00F858A0"/>
    <w:rsid w:val="00F85A8D"/>
    <w:rsid w:val="00F90692"/>
    <w:rsid w:val="00F95772"/>
    <w:rsid w:val="00F959EB"/>
    <w:rsid w:val="00FA0846"/>
    <w:rsid w:val="00FA27ED"/>
    <w:rsid w:val="00FA2CF8"/>
    <w:rsid w:val="00FA3EA7"/>
    <w:rsid w:val="00FA5D70"/>
    <w:rsid w:val="00FB2629"/>
    <w:rsid w:val="00FB2CA2"/>
    <w:rsid w:val="00FB4289"/>
    <w:rsid w:val="00FB5140"/>
    <w:rsid w:val="00FC0149"/>
    <w:rsid w:val="00FC1824"/>
    <w:rsid w:val="00FC2985"/>
    <w:rsid w:val="00FC7254"/>
    <w:rsid w:val="00FC75E8"/>
    <w:rsid w:val="00FD008B"/>
    <w:rsid w:val="00FD0E0E"/>
    <w:rsid w:val="00FD103A"/>
    <w:rsid w:val="00FD12A2"/>
    <w:rsid w:val="00FD1BB0"/>
    <w:rsid w:val="00FD424D"/>
    <w:rsid w:val="00FD5803"/>
    <w:rsid w:val="00FE2750"/>
    <w:rsid w:val="00FE2CE3"/>
    <w:rsid w:val="00FE2CF0"/>
    <w:rsid w:val="00FE7AFC"/>
    <w:rsid w:val="00FE7F11"/>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CA4F9C0"/>
  <w15:docId w15:val="{D618D852-F74B-497D-9A2E-F75626F8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character" w:styleId="Strong">
    <w:name w:val="Strong"/>
    <w:basedOn w:val="DefaultParagraphFont"/>
    <w:uiPriority w:val="22"/>
    <w:qFormat/>
    <w:rsid w:val="00165F1A"/>
    <w:rPr>
      <w:b/>
      <w:bCs/>
    </w:rPr>
  </w:style>
  <w:style w:type="character" w:styleId="Emphasis">
    <w:name w:val="Emphasis"/>
    <w:basedOn w:val="DefaultParagraphFont"/>
    <w:uiPriority w:val="20"/>
    <w:qFormat/>
    <w:rsid w:val="00165F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37713735">
      <w:bodyDiv w:val="1"/>
      <w:marLeft w:val="0"/>
      <w:marRight w:val="0"/>
      <w:marTop w:val="0"/>
      <w:marBottom w:val="0"/>
      <w:divBdr>
        <w:top w:val="none" w:sz="0" w:space="0" w:color="auto"/>
        <w:left w:val="none" w:sz="0" w:space="0" w:color="auto"/>
        <w:bottom w:val="none" w:sz="0" w:space="0" w:color="auto"/>
        <w:right w:val="none" w:sz="0" w:space="0" w:color="auto"/>
      </w:divBdr>
      <w:divsChild>
        <w:div w:id="1294411192">
          <w:marLeft w:val="0"/>
          <w:marRight w:val="0"/>
          <w:marTop w:val="0"/>
          <w:marBottom w:val="0"/>
          <w:divBdr>
            <w:top w:val="none" w:sz="0" w:space="0" w:color="auto"/>
            <w:left w:val="none" w:sz="0" w:space="0" w:color="auto"/>
            <w:bottom w:val="none" w:sz="0" w:space="0" w:color="auto"/>
            <w:right w:val="none" w:sz="0" w:space="0" w:color="auto"/>
          </w:divBdr>
        </w:div>
      </w:divsChild>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291181025">
      <w:bodyDiv w:val="1"/>
      <w:marLeft w:val="0"/>
      <w:marRight w:val="0"/>
      <w:marTop w:val="0"/>
      <w:marBottom w:val="0"/>
      <w:divBdr>
        <w:top w:val="none" w:sz="0" w:space="0" w:color="auto"/>
        <w:left w:val="none" w:sz="0" w:space="0" w:color="auto"/>
        <w:bottom w:val="none" w:sz="0" w:space="0" w:color="auto"/>
        <w:right w:val="none" w:sz="0" w:space="0" w:color="auto"/>
      </w:divBdr>
      <w:divsChild>
        <w:div w:id="239608735">
          <w:marLeft w:val="0"/>
          <w:marRight w:val="0"/>
          <w:marTop w:val="0"/>
          <w:marBottom w:val="0"/>
          <w:divBdr>
            <w:top w:val="none" w:sz="0" w:space="0" w:color="auto"/>
            <w:left w:val="none" w:sz="0" w:space="0" w:color="auto"/>
            <w:bottom w:val="none" w:sz="0" w:space="0" w:color="auto"/>
            <w:right w:val="none" w:sz="0" w:space="0" w:color="auto"/>
          </w:divBdr>
          <w:divsChild>
            <w:div w:id="607810806">
              <w:marLeft w:val="0"/>
              <w:marRight w:val="0"/>
              <w:marTop w:val="0"/>
              <w:marBottom w:val="0"/>
              <w:divBdr>
                <w:top w:val="none" w:sz="0" w:space="0" w:color="auto"/>
                <w:left w:val="none" w:sz="0" w:space="0" w:color="auto"/>
                <w:bottom w:val="none" w:sz="0" w:space="0" w:color="auto"/>
                <w:right w:val="none" w:sz="0" w:space="0" w:color="auto"/>
              </w:divBdr>
              <w:divsChild>
                <w:div w:id="111438209">
                  <w:marLeft w:val="0"/>
                  <w:marRight w:val="0"/>
                  <w:marTop w:val="0"/>
                  <w:marBottom w:val="0"/>
                  <w:divBdr>
                    <w:top w:val="none" w:sz="0" w:space="0" w:color="auto"/>
                    <w:left w:val="none" w:sz="0" w:space="0" w:color="auto"/>
                    <w:bottom w:val="none" w:sz="0" w:space="0" w:color="auto"/>
                    <w:right w:val="none" w:sz="0" w:space="0" w:color="auto"/>
                  </w:divBdr>
                  <w:divsChild>
                    <w:div w:id="1441489443">
                      <w:marLeft w:val="0"/>
                      <w:marRight w:val="0"/>
                      <w:marTop w:val="0"/>
                      <w:marBottom w:val="0"/>
                      <w:divBdr>
                        <w:top w:val="none" w:sz="0" w:space="0" w:color="auto"/>
                        <w:left w:val="none" w:sz="0" w:space="0" w:color="auto"/>
                        <w:bottom w:val="none" w:sz="0" w:space="0" w:color="auto"/>
                        <w:right w:val="none" w:sz="0" w:space="0" w:color="auto"/>
                      </w:divBdr>
                      <w:divsChild>
                        <w:div w:id="925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09380">
              <w:marLeft w:val="0"/>
              <w:marRight w:val="0"/>
              <w:marTop w:val="0"/>
              <w:marBottom w:val="0"/>
              <w:divBdr>
                <w:top w:val="none" w:sz="0" w:space="0" w:color="auto"/>
                <w:left w:val="none" w:sz="0" w:space="0" w:color="auto"/>
                <w:bottom w:val="none" w:sz="0" w:space="0" w:color="auto"/>
                <w:right w:val="none" w:sz="0" w:space="0" w:color="auto"/>
              </w:divBdr>
            </w:div>
            <w:div w:id="1690764043">
              <w:marLeft w:val="0"/>
              <w:marRight w:val="0"/>
              <w:marTop w:val="0"/>
              <w:marBottom w:val="0"/>
              <w:divBdr>
                <w:top w:val="none" w:sz="0" w:space="0" w:color="auto"/>
                <w:left w:val="none" w:sz="0" w:space="0" w:color="auto"/>
                <w:bottom w:val="none" w:sz="0" w:space="0" w:color="auto"/>
                <w:right w:val="none" w:sz="0" w:space="0" w:color="auto"/>
              </w:divBdr>
              <w:divsChild>
                <w:div w:id="768507137">
                  <w:marLeft w:val="0"/>
                  <w:marRight w:val="0"/>
                  <w:marTop w:val="0"/>
                  <w:marBottom w:val="0"/>
                  <w:divBdr>
                    <w:top w:val="none" w:sz="0" w:space="0" w:color="auto"/>
                    <w:left w:val="none" w:sz="0" w:space="0" w:color="auto"/>
                    <w:bottom w:val="none" w:sz="0" w:space="0" w:color="auto"/>
                    <w:right w:val="none" w:sz="0" w:space="0" w:color="auto"/>
                  </w:divBdr>
                  <w:divsChild>
                    <w:div w:id="1879778564">
                      <w:marLeft w:val="0"/>
                      <w:marRight w:val="0"/>
                      <w:marTop w:val="0"/>
                      <w:marBottom w:val="0"/>
                      <w:divBdr>
                        <w:top w:val="none" w:sz="0" w:space="0" w:color="auto"/>
                        <w:left w:val="none" w:sz="0" w:space="0" w:color="auto"/>
                        <w:bottom w:val="none" w:sz="0" w:space="0" w:color="auto"/>
                        <w:right w:val="none" w:sz="0" w:space="0" w:color="auto"/>
                      </w:divBdr>
                      <w:divsChild>
                        <w:div w:id="15547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9448">
                  <w:marLeft w:val="0"/>
                  <w:marRight w:val="0"/>
                  <w:marTop w:val="0"/>
                  <w:marBottom w:val="0"/>
                  <w:divBdr>
                    <w:top w:val="none" w:sz="0" w:space="0" w:color="auto"/>
                    <w:left w:val="none" w:sz="0" w:space="0" w:color="auto"/>
                    <w:bottom w:val="none" w:sz="0" w:space="0" w:color="auto"/>
                    <w:right w:val="none" w:sz="0" w:space="0" w:color="auto"/>
                  </w:divBdr>
                </w:div>
              </w:divsChild>
            </w:div>
            <w:div w:id="10101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6024">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70839954">
      <w:bodyDiv w:val="1"/>
      <w:marLeft w:val="0"/>
      <w:marRight w:val="0"/>
      <w:marTop w:val="0"/>
      <w:marBottom w:val="0"/>
      <w:divBdr>
        <w:top w:val="none" w:sz="0" w:space="0" w:color="auto"/>
        <w:left w:val="none" w:sz="0" w:space="0" w:color="auto"/>
        <w:bottom w:val="none" w:sz="0" w:space="0" w:color="auto"/>
        <w:right w:val="none" w:sz="0" w:space="0" w:color="auto"/>
      </w:divBdr>
      <w:divsChild>
        <w:div w:id="1715083807">
          <w:marLeft w:val="0"/>
          <w:marRight w:val="0"/>
          <w:marTop w:val="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17009629">
      <w:bodyDiv w:val="1"/>
      <w:marLeft w:val="0"/>
      <w:marRight w:val="0"/>
      <w:marTop w:val="0"/>
      <w:marBottom w:val="0"/>
      <w:divBdr>
        <w:top w:val="none" w:sz="0" w:space="0" w:color="auto"/>
        <w:left w:val="none" w:sz="0" w:space="0" w:color="auto"/>
        <w:bottom w:val="none" w:sz="0" w:space="0" w:color="auto"/>
        <w:right w:val="none" w:sz="0" w:space="0" w:color="auto"/>
      </w:divBdr>
      <w:divsChild>
        <w:div w:id="759061973">
          <w:marLeft w:val="0"/>
          <w:marRight w:val="0"/>
          <w:marTop w:val="0"/>
          <w:marBottom w:val="0"/>
          <w:divBdr>
            <w:top w:val="none" w:sz="0" w:space="0" w:color="auto"/>
            <w:left w:val="none" w:sz="0" w:space="0" w:color="auto"/>
            <w:bottom w:val="none" w:sz="0" w:space="0" w:color="auto"/>
            <w:right w:val="none" w:sz="0" w:space="0" w:color="auto"/>
          </w:divBdr>
        </w:div>
      </w:divsChild>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89774986">
      <w:bodyDiv w:val="1"/>
      <w:marLeft w:val="0"/>
      <w:marRight w:val="0"/>
      <w:marTop w:val="0"/>
      <w:marBottom w:val="0"/>
      <w:divBdr>
        <w:top w:val="none" w:sz="0" w:space="0" w:color="auto"/>
        <w:left w:val="none" w:sz="0" w:space="0" w:color="auto"/>
        <w:bottom w:val="none" w:sz="0" w:space="0" w:color="auto"/>
        <w:right w:val="none" w:sz="0" w:space="0" w:color="auto"/>
      </w:divBdr>
      <w:divsChild>
        <w:div w:id="822745330">
          <w:marLeft w:val="446"/>
          <w:marRight w:val="0"/>
          <w:marTop w:val="0"/>
          <w:marBottom w:val="0"/>
          <w:divBdr>
            <w:top w:val="none" w:sz="0" w:space="0" w:color="auto"/>
            <w:left w:val="none" w:sz="0" w:space="0" w:color="auto"/>
            <w:bottom w:val="none" w:sz="0" w:space="0" w:color="auto"/>
            <w:right w:val="none" w:sz="0" w:space="0" w:color="auto"/>
          </w:divBdr>
        </w:div>
        <w:div w:id="842358040">
          <w:marLeft w:val="446"/>
          <w:marRight w:val="0"/>
          <w:marTop w:val="0"/>
          <w:marBottom w:val="0"/>
          <w:divBdr>
            <w:top w:val="none" w:sz="0" w:space="0" w:color="auto"/>
            <w:left w:val="none" w:sz="0" w:space="0" w:color="auto"/>
            <w:bottom w:val="none" w:sz="0" w:space="0" w:color="auto"/>
            <w:right w:val="none" w:sz="0" w:space="0" w:color="auto"/>
          </w:divBdr>
        </w:div>
        <w:div w:id="1339893314">
          <w:marLeft w:val="446"/>
          <w:marRight w:val="0"/>
          <w:marTop w:val="0"/>
          <w:marBottom w:val="0"/>
          <w:divBdr>
            <w:top w:val="none" w:sz="0" w:space="0" w:color="auto"/>
            <w:left w:val="none" w:sz="0" w:space="0" w:color="auto"/>
            <w:bottom w:val="none" w:sz="0" w:space="0" w:color="auto"/>
            <w:right w:val="none" w:sz="0" w:space="0" w:color="auto"/>
          </w:divBdr>
        </w:div>
      </w:divsChild>
    </w:div>
    <w:div w:id="1600797345">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931232434">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528" TargetMode="External"/><Relationship Id="rId13" Type="http://schemas.openxmlformats.org/officeDocument/2006/relationships/hyperlink" Target="https://www.nice.org.uk/guidance/ta693" TargetMode="External"/><Relationship Id="rId18" Type="http://schemas.openxmlformats.org/officeDocument/2006/relationships/hyperlink" Target="http://nicedsu.org.uk/wp-content/uploads/2017/05/Population-adjustment-TSD-FINAL.pdf" TargetMode="External"/><Relationship Id="rId26" Type="http://schemas.openxmlformats.org/officeDocument/2006/relationships/hyperlink" Target="https://www.england.nhs.uk/cancer/cdf/cancer-drugs-fund-list/" TargetMode="External"/><Relationship Id="rId3" Type="http://schemas.openxmlformats.org/officeDocument/2006/relationships/styles" Target="styles.xml"/><Relationship Id="rId21" Type="http://schemas.openxmlformats.org/officeDocument/2006/relationships/hyperlink" Target="https://www.nice.org.uk/process/pmg9/chapter/the-appraisal-of-the-evidence-and-structured-decision-making" TargetMode="External"/><Relationship Id="rId7" Type="http://schemas.openxmlformats.org/officeDocument/2006/relationships/endnotes" Target="endnotes.xml"/><Relationship Id="rId12" Type="http://schemas.openxmlformats.org/officeDocument/2006/relationships/hyperlink" Target="https://www.nice.org.uk/guidance/ta598" TargetMode="External"/><Relationship Id="rId17" Type="http://schemas.openxmlformats.org/officeDocument/2006/relationships/hyperlink" Target="https://www.nice.org.uk/guidance/TA528" TargetMode="External"/><Relationship Id="rId25" Type="http://schemas.openxmlformats.org/officeDocument/2006/relationships/hyperlink" Target="https://www.england.nhs.uk/cancer/cdf/" TargetMode="External"/><Relationship Id="rId2" Type="http://schemas.openxmlformats.org/officeDocument/2006/relationships/numbering" Target="numbering.xml"/><Relationship Id="rId16" Type="http://schemas.openxmlformats.org/officeDocument/2006/relationships/hyperlink" Target="https://www.nice.org.uk/guidance/TA528" TargetMode="External"/><Relationship Id="rId20" Type="http://schemas.openxmlformats.org/officeDocument/2006/relationships/hyperlink" Target="https://www.nice.org.uk/about/what-we-do/our-programmes/nice-guidance/nice-technology-appraisal-guidance/cancer-drugs-fu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620/chapter/1-Recommendations" TargetMode="External"/><Relationship Id="rId24" Type="http://schemas.openxmlformats.org/officeDocument/2006/relationships/hyperlink" Target="http://www.legislation.gov.uk/uksi/2013/259/contents/ma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TA528" TargetMode="External"/><Relationship Id="rId23" Type="http://schemas.openxmlformats.org/officeDocument/2006/relationships/hyperlink" Target="http://nicedsu.org.uk/wp-content/uploads/2017/05/Population-adjustment-TSD-FINAL.pdf" TargetMode="External"/><Relationship Id="rId28"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indevelopment/gid-ta10782/documents" TargetMode="External"/><Relationship Id="rId19" Type="http://schemas.openxmlformats.org/officeDocument/2006/relationships/hyperlink" Target="https://www.nice.org.uk/guidance/TA52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dicines.org.uk/emc/product/8828" TargetMode="External"/><Relationship Id="rId14" Type="http://schemas.openxmlformats.org/officeDocument/2006/relationships/hyperlink" Target="https://www.nice.org.uk/guidance/ta673" TargetMode="External"/><Relationship Id="rId22" Type="http://schemas.openxmlformats.org/officeDocument/2006/relationships/hyperlink" Target="https://www.nice.org.uk/process/pmg19/chapter/reviews" TargetMode="External"/><Relationship Id="rId27" Type="http://schemas.openxmlformats.org/officeDocument/2006/relationships/hyperlink" Target="https://www.nice.org.uk/get-involved/meetings-in-public/technology-appraisal-committee/committee-a-members"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5769</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38581</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Sana Khan</dc:creator>
  <cp:keywords/>
  <dc:description/>
  <cp:lastModifiedBy>Thomas Feist</cp:lastModifiedBy>
  <cp:revision>6</cp:revision>
  <cp:lastPrinted>2021-08-19T14:43:00Z</cp:lastPrinted>
  <dcterms:created xsi:type="dcterms:W3CDTF">2021-08-17T14:42:00Z</dcterms:created>
  <dcterms:modified xsi:type="dcterms:W3CDTF">2021-08-20T18:01:00Z</dcterms:modified>
</cp:coreProperties>
</file>