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1258F" w14:textId="77777777" w:rsidR="000F48EC" w:rsidRPr="00FC1C6F" w:rsidRDefault="00B379C5" w:rsidP="00F130AD">
      <w:pPr>
        <w:pStyle w:val="Numberedheading1"/>
      </w:pPr>
      <w:r w:rsidRPr="00FC1C6F">
        <w:t>Recommendations</w:t>
      </w:r>
    </w:p>
    <w:p w14:paraId="10BCEBB3" w14:textId="008A2DF1" w:rsidR="00500FD2" w:rsidRPr="00FC1C6F" w:rsidRDefault="00500FD2" w:rsidP="00500FD2">
      <w:pPr>
        <w:pStyle w:val="Numberedlevel2text"/>
        <w:rPr>
          <w:b/>
          <w:lang w:val="en-GB"/>
        </w:rPr>
      </w:pPr>
      <w:bookmarkStart w:id="0" w:name="Text2"/>
      <w:r w:rsidRPr="00FC1C6F">
        <w:rPr>
          <w:bCs w:val="0"/>
          <w:iCs w:val="0"/>
          <w:lang w:val="en-GB" w:eastAsia="en-GB"/>
        </w:rPr>
        <w:t>Tucatinib with trastuzumab and capecitabine</w:t>
      </w:r>
      <w:r w:rsidRPr="00FC1C6F">
        <w:rPr>
          <w:lang w:val="en-GB"/>
        </w:rPr>
        <w:t xml:space="preserve"> is not recommended, within its marketing authorisation, for </w:t>
      </w:r>
      <w:bookmarkEnd w:id="0"/>
      <w:r w:rsidR="00AE4408" w:rsidRPr="00FC1C6F">
        <w:rPr>
          <w:lang w:val="en-GB"/>
        </w:rPr>
        <w:t xml:space="preserve">treating </w:t>
      </w:r>
      <w:r w:rsidRPr="00FC1C6F">
        <w:rPr>
          <w:lang w:val="en-GB"/>
        </w:rPr>
        <w:t xml:space="preserve">HER2-positive locally advanced or metastatic breast cancer </w:t>
      </w:r>
      <w:r w:rsidR="00EA2EBC" w:rsidRPr="00FC1C6F">
        <w:rPr>
          <w:lang w:val="en-GB"/>
        </w:rPr>
        <w:t>in adults after</w:t>
      </w:r>
      <w:r w:rsidR="00F41B8F" w:rsidRPr="00FC1C6F">
        <w:rPr>
          <w:lang w:val="en-GB"/>
        </w:rPr>
        <w:t xml:space="preserve"> </w:t>
      </w:r>
      <w:r w:rsidRPr="00FC1C6F">
        <w:rPr>
          <w:lang w:val="en-GB"/>
        </w:rPr>
        <w:t xml:space="preserve">at least </w:t>
      </w:r>
      <w:r w:rsidR="00AE4408" w:rsidRPr="00FC1C6F">
        <w:rPr>
          <w:lang w:val="en-GB"/>
        </w:rPr>
        <w:t xml:space="preserve">2 </w:t>
      </w:r>
      <w:r w:rsidRPr="00FC1C6F">
        <w:rPr>
          <w:lang w:val="en-GB"/>
        </w:rPr>
        <w:t>prior anti-HER2 treatment regimens</w:t>
      </w:r>
      <w:r w:rsidR="00DB4B65" w:rsidRPr="00FC1C6F">
        <w:rPr>
          <w:lang w:val="en-GB"/>
        </w:rPr>
        <w:t>.</w:t>
      </w:r>
    </w:p>
    <w:p w14:paraId="515B1226" w14:textId="50112801" w:rsidR="00500FD2" w:rsidRPr="00FC1C6F" w:rsidRDefault="002F2C1A" w:rsidP="00621A6F">
      <w:pPr>
        <w:pStyle w:val="Numberedlevel2text"/>
        <w:rPr>
          <w:b/>
          <w:lang w:val="en-GB"/>
        </w:rPr>
      </w:pPr>
      <w:r w:rsidRPr="00FC1C6F">
        <w:rPr>
          <w:lang w:val="en-GB"/>
        </w:rPr>
        <w:t xml:space="preserve">This recommendation is not intended to affect treatment with </w:t>
      </w:r>
      <w:r w:rsidR="001601D2" w:rsidRPr="00FC1C6F">
        <w:rPr>
          <w:bCs w:val="0"/>
          <w:iCs w:val="0"/>
          <w:lang w:val="en-GB" w:eastAsia="en-GB"/>
        </w:rPr>
        <w:t>tucatinib</w:t>
      </w:r>
      <w:r w:rsidR="00500FD2" w:rsidRPr="00FC1C6F">
        <w:rPr>
          <w:bCs w:val="0"/>
          <w:iCs w:val="0"/>
          <w:lang w:val="en-GB" w:eastAsia="en-GB"/>
        </w:rPr>
        <w:t xml:space="preserve"> with trastuzumab and capecitabine</w:t>
      </w:r>
      <w:r w:rsidRPr="00FC1C6F">
        <w:rPr>
          <w:lang w:val="en-GB"/>
        </w:rPr>
        <w:t xml:space="preserve">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p>
    <w:p w14:paraId="6C6D0F86" w14:textId="77777777" w:rsidR="00C11F58" w:rsidRPr="00FC1C6F" w:rsidRDefault="00C11F58" w:rsidP="008522C6">
      <w:pPr>
        <w:pStyle w:val="NICEnormal"/>
        <w:rPr>
          <w:b/>
        </w:rPr>
      </w:pPr>
      <w:r w:rsidRPr="00FC1C6F">
        <w:rPr>
          <w:b/>
        </w:rPr>
        <w:t>Why the committee made these recommendations</w:t>
      </w:r>
    </w:p>
    <w:p w14:paraId="5A8FA016" w14:textId="25172886" w:rsidR="003B0B96" w:rsidRPr="00FC1C6F" w:rsidRDefault="003B0B96" w:rsidP="003B0B96">
      <w:pPr>
        <w:pStyle w:val="NICEnormal"/>
      </w:pPr>
      <w:r w:rsidRPr="00FC1C6F">
        <w:t>Current treatment for HER2</w:t>
      </w:r>
      <w:r w:rsidRPr="00FC1C6F">
        <w:noBreakHyphen/>
        <w:t xml:space="preserve">positive </w:t>
      </w:r>
      <w:r w:rsidR="007F3D6E" w:rsidRPr="00FC1C6F">
        <w:t xml:space="preserve">locally </w:t>
      </w:r>
      <w:r w:rsidR="00BC2307" w:rsidRPr="00FC1C6F">
        <w:t>advanced</w:t>
      </w:r>
      <w:r w:rsidRPr="00FC1C6F">
        <w:t xml:space="preserve"> or metastatic breast cancer </w:t>
      </w:r>
      <w:r w:rsidR="00EA2EBC" w:rsidRPr="00FC1C6F">
        <w:t>after 2 or more anti</w:t>
      </w:r>
      <w:r w:rsidR="00EA2EBC" w:rsidRPr="00FC1C6F">
        <w:noBreakHyphen/>
        <w:t xml:space="preserve">HER2 regimens </w:t>
      </w:r>
      <w:r w:rsidRPr="00FC1C6F">
        <w:t>includes chemotherapy</w:t>
      </w:r>
      <w:r w:rsidR="0020695A" w:rsidRPr="00FC1C6F">
        <w:t>,</w:t>
      </w:r>
      <w:r w:rsidRPr="00FC1C6F">
        <w:t xml:space="preserve"> such as capecitabine, vinorelbine or eribulin. Tucatinib with trastuzumab and capecitabine</w:t>
      </w:r>
      <w:r w:rsidR="00AE4408" w:rsidRPr="00FC1C6F">
        <w:t xml:space="preserve"> (</w:t>
      </w:r>
      <w:r w:rsidR="008728F6" w:rsidRPr="00FC1C6F">
        <w:t xml:space="preserve">from now, </w:t>
      </w:r>
      <w:r w:rsidR="00AE4408" w:rsidRPr="00FC1C6F">
        <w:t>tucatinib combination)</w:t>
      </w:r>
      <w:r w:rsidRPr="00FC1C6F">
        <w:t xml:space="preserve"> is an</w:t>
      </w:r>
      <w:r w:rsidR="00EA2EBC" w:rsidRPr="00FC1C6F">
        <w:t>other</w:t>
      </w:r>
      <w:r w:rsidRPr="00FC1C6F">
        <w:t xml:space="preserve"> anti</w:t>
      </w:r>
      <w:r w:rsidRPr="00FC1C6F">
        <w:noBreakHyphen/>
        <w:t xml:space="preserve">HER2 therapy that </w:t>
      </w:r>
      <w:r w:rsidR="00AE4408" w:rsidRPr="00FC1C6F">
        <w:t xml:space="preserve">could </w:t>
      </w:r>
      <w:r w:rsidRPr="00FC1C6F">
        <w:t>be used after 2 or more anti</w:t>
      </w:r>
      <w:r w:rsidRPr="00FC1C6F">
        <w:noBreakHyphen/>
        <w:t xml:space="preserve">HER2 </w:t>
      </w:r>
      <w:r w:rsidR="0020695A" w:rsidRPr="00FC1C6F">
        <w:t>regimens</w:t>
      </w:r>
      <w:r w:rsidRPr="00FC1C6F">
        <w:t>.</w:t>
      </w:r>
    </w:p>
    <w:p w14:paraId="2FF30888" w14:textId="53A88ED1" w:rsidR="00D47B26" w:rsidRPr="00FC1C6F" w:rsidRDefault="00AE4408" w:rsidP="006B5696">
      <w:pPr>
        <w:pStyle w:val="NICEnormal"/>
      </w:pPr>
      <w:r w:rsidRPr="00FC1C6F">
        <w:t xml:space="preserve">Clinical trial evidence </w:t>
      </w:r>
      <w:r w:rsidR="00B959E3" w:rsidRPr="00FC1C6F">
        <w:t>shows</w:t>
      </w:r>
      <w:r w:rsidRPr="00FC1C6F">
        <w:t xml:space="preserve"> that tucatinib combination </w:t>
      </w:r>
      <w:r w:rsidR="00EA2EBC" w:rsidRPr="00FC1C6F">
        <w:t xml:space="preserve">increases the time people have before their cancer gets worse and how long they live compared </w:t>
      </w:r>
      <w:r w:rsidR="005237B2" w:rsidRPr="00FC1C6F">
        <w:t>with trastuzumab</w:t>
      </w:r>
      <w:r w:rsidR="00F84FD1" w:rsidRPr="00FC1C6F">
        <w:t xml:space="preserve"> </w:t>
      </w:r>
      <w:r w:rsidR="00EA2EBC" w:rsidRPr="00FC1C6F">
        <w:t xml:space="preserve">with </w:t>
      </w:r>
      <w:r w:rsidR="00F84FD1" w:rsidRPr="00FC1C6F">
        <w:t>capecitabine</w:t>
      </w:r>
      <w:r w:rsidRPr="00FC1C6F">
        <w:t>. However,</w:t>
      </w:r>
      <w:r w:rsidR="00BB0354" w:rsidRPr="00FC1C6F">
        <w:t xml:space="preserve"> </w:t>
      </w:r>
      <w:r w:rsidRPr="00FC1C6F">
        <w:t>t</w:t>
      </w:r>
      <w:r w:rsidR="006B5696" w:rsidRPr="00FC1C6F">
        <w:t xml:space="preserve">rastuzumab </w:t>
      </w:r>
      <w:r w:rsidR="00F84FD1" w:rsidRPr="00FC1C6F">
        <w:t xml:space="preserve">with </w:t>
      </w:r>
      <w:r w:rsidR="006B5696" w:rsidRPr="00FC1C6F">
        <w:t xml:space="preserve">capecitabine </w:t>
      </w:r>
      <w:r w:rsidR="00F84FD1" w:rsidRPr="00FC1C6F">
        <w:t xml:space="preserve">is </w:t>
      </w:r>
      <w:r w:rsidR="006B5696" w:rsidRPr="00FC1C6F">
        <w:t xml:space="preserve">not standard care in the NHS. </w:t>
      </w:r>
      <w:r w:rsidR="00F41B8F" w:rsidRPr="00FC1C6F">
        <w:t xml:space="preserve">Comparing </w:t>
      </w:r>
      <w:r w:rsidR="00486063" w:rsidRPr="00FC1C6F">
        <w:t>tucatinib combination</w:t>
      </w:r>
      <w:r w:rsidR="006B5696" w:rsidRPr="00FC1C6F">
        <w:t xml:space="preserve"> </w:t>
      </w:r>
      <w:r w:rsidR="00F41B8F" w:rsidRPr="00FC1C6F">
        <w:t xml:space="preserve">indirectly </w:t>
      </w:r>
      <w:r w:rsidR="006B5696" w:rsidRPr="00FC1C6F">
        <w:t>with chemotherapy suggest</w:t>
      </w:r>
      <w:r w:rsidR="00D47B26" w:rsidRPr="00FC1C6F">
        <w:t>s</w:t>
      </w:r>
      <w:r w:rsidR="006B5696" w:rsidRPr="00FC1C6F">
        <w:t xml:space="preserve"> </w:t>
      </w:r>
      <w:r w:rsidR="00EA2EBC" w:rsidRPr="00FC1C6F">
        <w:t xml:space="preserve">it may increase the time people have before their cancer gets worse and </w:t>
      </w:r>
      <w:r w:rsidR="006B5696" w:rsidRPr="00FC1C6F">
        <w:t xml:space="preserve">how long </w:t>
      </w:r>
      <w:r w:rsidR="00534A72" w:rsidRPr="00FC1C6F">
        <w:t xml:space="preserve">they </w:t>
      </w:r>
      <w:r w:rsidR="006B5696" w:rsidRPr="00FC1C6F">
        <w:t xml:space="preserve">live. </w:t>
      </w:r>
      <w:r w:rsidR="00534A72" w:rsidRPr="00FC1C6F">
        <w:t>But</w:t>
      </w:r>
      <w:r w:rsidR="006B5696" w:rsidRPr="00FC1C6F">
        <w:t xml:space="preserve"> </w:t>
      </w:r>
      <w:r w:rsidR="003A32FC" w:rsidRPr="00FC1C6F">
        <w:t xml:space="preserve">the extent of benefit </w:t>
      </w:r>
      <w:r w:rsidR="006B5696" w:rsidRPr="00FC1C6F">
        <w:t xml:space="preserve">is uncertain because </w:t>
      </w:r>
      <w:r w:rsidR="00F41B8F" w:rsidRPr="00FC1C6F">
        <w:t xml:space="preserve">of </w:t>
      </w:r>
      <w:r w:rsidR="006B5696" w:rsidRPr="00FC1C6F">
        <w:t xml:space="preserve">differences between </w:t>
      </w:r>
      <w:r w:rsidR="00F41B8F" w:rsidRPr="00FC1C6F">
        <w:t xml:space="preserve">the </w:t>
      </w:r>
      <w:r w:rsidR="006B5696" w:rsidRPr="00FC1C6F">
        <w:t>trials.</w:t>
      </w:r>
    </w:p>
    <w:p w14:paraId="1440A83F" w14:textId="0E8F4D43" w:rsidR="006B5696" w:rsidRPr="00FC1C6F" w:rsidRDefault="00D47B26" w:rsidP="006B5696">
      <w:pPr>
        <w:pStyle w:val="NICEnormal"/>
      </w:pPr>
      <w:r w:rsidRPr="00FC1C6F">
        <w:t xml:space="preserve">The cost-effectiveness estimates for tucatinib combination are higher than what NICE normally considers an acceptable use of NHS resources. Therefore, </w:t>
      </w:r>
      <w:r w:rsidR="003D4B8A" w:rsidRPr="00FC1C6F">
        <w:t>it</w:t>
      </w:r>
      <w:r w:rsidRPr="00FC1C6F">
        <w:t xml:space="preserve"> is not recommended</w:t>
      </w:r>
      <w:r w:rsidR="006B5696" w:rsidRPr="00FC1C6F">
        <w:t>.</w:t>
      </w:r>
    </w:p>
    <w:p w14:paraId="0B441A9B" w14:textId="082D97C9" w:rsidR="00EA1CB1" w:rsidRPr="00FC1C6F" w:rsidRDefault="00EA1CB1" w:rsidP="00EA1CB1">
      <w:pPr>
        <w:pStyle w:val="Numberedheading1"/>
        <w:keepLines/>
      </w:pPr>
      <w:r w:rsidRPr="00FC1C6F">
        <w:lastRenderedPageBreak/>
        <w:t xml:space="preserve">Information about </w:t>
      </w:r>
      <w:r w:rsidR="00756DD3" w:rsidRPr="00FC1C6F">
        <w:t>tucatinib</w:t>
      </w:r>
    </w:p>
    <w:p w14:paraId="4EBD6E78" w14:textId="26701E04" w:rsidR="00B82A82" w:rsidRPr="00FC1C6F" w:rsidRDefault="00B82A82" w:rsidP="00B82A82">
      <w:pPr>
        <w:pStyle w:val="Heading2"/>
      </w:pPr>
      <w:r w:rsidRPr="00FC1C6F">
        <w:t>Marketing authorisation indication</w:t>
      </w:r>
    </w:p>
    <w:p w14:paraId="1BB64466" w14:textId="3936B06F" w:rsidR="00C40F82" w:rsidRPr="00FC1C6F" w:rsidRDefault="00C40F82" w:rsidP="005855E1">
      <w:pPr>
        <w:pStyle w:val="Numberedlevel2text"/>
        <w:numPr>
          <w:ilvl w:val="1"/>
          <w:numId w:val="1"/>
        </w:numPr>
        <w:rPr>
          <w:lang w:val="en-GB"/>
        </w:rPr>
      </w:pPr>
      <w:r w:rsidRPr="00FC1C6F">
        <w:rPr>
          <w:lang w:val="en-GB"/>
        </w:rPr>
        <w:t xml:space="preserve">Tucatinib (TUKYSA, </w:t>
      </w:r>
      <w:proofErr w:type="spellStart"/>
      <w:r w:rsidRPr="00FC1C6F">
        <w:rPr>
          <w:lang w:val="en-GB"/>
        </w:rPr>
        <w:t>Seagen</w:t>
      </w:r>
      <w:proofErr w:type="spellEnd"/>
      <w:r w:rsidR="00406A32" w:rsidRPr="00FC1C6F">
        <w:rPr>
          <w:lang w:val="en-GB"/>
        </w:rPr>
        <w:t xml:space="preserve"> Inc.</w:t>
      </w:r>
      <w:r w:rsidRPr="00FC1C6F">
        <w:rPr>
          <w:lang w:val="en-GB"/>
        </w:rPr>
        <w:t>) has a marketing authorisation</w:t>
      </w:r>
      <w:r w:rsidR="00B0723C" w:rsidRPr="00FC1C6F">
        <w:rPr>
          <w:lang w:val="en-GB"/>
        </w:rPr>
        <w:t xml:space="preserve"> for use</w:t>
      </w:r>
      <w:r w:rsidRPr="00FC1C6F">
        <w:rPr>
          <w:lang w:val="en-GB"/>
        </w:rPr>
        <w:t xml:space="preserve"> ‘in combination with trastuzumab and capecitabine for the treatment of adult patients with HER2-positive locally advanced or metastatic breast cancer who have received at least two prior anti-HER2 treatment </w:t>
      </w:r>
      <w:proofErr w:type="gramStart"/>
      <w:r w:rsidRPr="00FC1C6F">
        <w:rPr>
          <w:lang w:val="en-GB"/>
        </w:rPr>
        <w:t>regimens’</w:t>
      </w:r>
      <w:proofErr w:type="gramEnd"/>
      <w:r w:rsidRPr="00FC1C6F">
        <w:rPr>
          <w:lang w:val="en-GB"/>
        </w:rPr>
        <w:t>.</w:t>
      </w:r>
    </w:p>
    <w:p w14:paraId="633E451E" w14:textId="043260BF" w:rsidR="00B82A82" w:rsidRPr="00FC1C6F" w:rsidRDefault="00B82A82" w:rsidP="00C40F82">
      <w:pPr>
        <w:pStyle w:val="Heading2"/>
      </w:pPr>
      <w:r w:rsidRPr="00FC1C6F">
        <w:t>Dosage in the marketing authorisation</w:t>
      </w:r>
    </w:p>
    <w:p w14:paraId="66EE77BF" w14:textId="18373EC7" w:rsidR="00B82A82" w:rsidRPr="00FC1C6F" w:rsidRDefault="00FE2CE3" w:rsidP="001A5561">
      <w:pPr>
        <w:pStyle w:val="Numberedlevel2text"/>
        <w:numPr>
          <w:ilvl w:val="1"/>
          <w:numId w:val="1"/>
        </w:numPr>
        <w:rPr>
          <w:rStyle w:val="Numberedlevel2textChar"/>
          <w:lang w:val="en-GB"/>
        </w:rPr>
      </w:pPr>
      <w:r w:rsidRPr="00FC1C6F">
        <w:rPr>
          <w:lang w:val="en-GB"/>
        </w:rPr>
        <w:t>The dosage schedule is</w:t>
      </w:r>
      <w:r w:rsidR="00570524" w:rsidRPr="00FC1C6F">
        <w:rPr>
          <w:lang w:val="en-GB"/>
        </w:rPr>
        <w:t xml:space="preserve"> available in the </w:t>
      </w:r>
      <w:hyperlink r:id="rId8" w:history="1">
        <w:r w:rsidR="00570524" w:rsidRPr="00FC1C6F">
          <w:rPr>
            <w:rStyle w:val="Hyperlink"/>
            <w:lang w:val="en-GB"/>
          </w:rPr>
          <w:t>summary of product characteristics</w:t>
        </w:r>
      </w:hyperlink>
      <w:r w:rsidR="00C40F82" w:rsidRPr="00FC1C6F">
        <w:rPr>
          <w:lang w:val="en-GB"/>
        </w:rPr>
        <w:t>.</w:t>
      </w:r>
    </w:p>
    <w:p w14:paraId="6574D125" w14:textId="77777777" w:rsidR="00B82A82" w:rsidRPr="00FC1C6F" w:rsidRDefault="00B82A82" w:rsidP="00B82A82">
      <w:pPr>
        <w:pStyle w:val="Heading2"/>
      </w:pPr>
      <w:r w:rsidRPr="00FC1C6F">
        <w:t>Price</w:t>
      </w:r>
    </w:p>
    <w:p w14:paraId="4D8874D2" w14:textId="5FA0286D" w:rsidR="00B82A82" w:rsidRPr="00FC1C6F" w:rsidRDefault="007221F4" w:rsidP="00B82A82">
      <w:pPr>
        <w:pStyle w:val="Numberedlevel2text"/>
        <w:numPr>
          <w:ilvl w:val="1"/>
          <w:numId w:val="1"/>
        </w:numPr>
        <w:rPr>
          <w:lang w:val="en-GB"/>
        </w:rPr>
      </w:pPr>
      <w:bookmarkStart w:id="1" w:name="_Hlk66279497"/>
      <w:r w:rsidRPr="00FC1C6F">
        <w:rPr>
          <w:rStyle w:val="NICEnormalChar"/>
        </w:rPr>
        <w:t>The company’s list price is £</w:t>
      </w:r>
      <w:r w:rsidRPr="00FC1C6F">
        <w:rPr>
          <w:rFonts w:cs="Arial"/>
          <w:lang w:val="en-GB"/>
        </w:rPr>
        <w:t>5,636.</w:t>
      </w:r>
      <w:r w:rsidRPr="00FC1C6F">
        <w:rPr>
          <w:rStyle w:val="NICEnormalChar"/>
        </w:rPr>
        <w:t>84 per pack of 84, 150</w:t>
      </w:r>
      <w:r w:rsidR="00B0723C" w:rsidRPr="00FC1C6F">
        <w:rPr>
          <w:rStyle w:val="NICEnormalChar"/>
        </w:rPr>
        <w:t> </w:t>
      </w:r>
      <w:r w:rsidRPr="00FC1C6F">
        <w:rPr>
          <w:rStyle w:val="NICEnormalChar"/>
        </w:rPr>
        <w:t xml:space="preserve">mg film-coated tablets (company’s submission). </w:t>
      </w:r>
      <w:r w:rsidR="00797FE1" w:rsidRPr="00FC1C6F">
        <w:rPr>
          <w:rStyle w:val="NICEnormalChar"/>
        </w:rPr>
        <w:t xml:space="preserve">The average cost of a course of </w:t>
      </w:r>
      <w:r w:rsidR="005852CF" w:rsidRPr="00FC1C6F">
        <w:rPr>
          <w:rStyle w:val="NICEnormalChar"/>
        </w:rPr>
        <w:t xml:space="preserve">combination </w:t>
      </w:r>
      <w:r w:rsidR="00797FE1" w:rsidRPr="00FC1C6F">
        <w:rPr>
          <w:rStyle w:val="NICEnormalChar"/>
        </w:rPr>
        <w:t>treatment at list price</w:t>
      </w:r>
      <w:r w:rsidR="005852CF" w:rsidRPr="00FC1C6F">
        <w:rPr>
          <w:rStyle w:val="NICEnormalChar"/>
        </w:rPr>
        <w:t>s</w:t>
      </w:r>
      <w:r w:rsidR="00797FE1" w:rsidRPr="00FC1C6F">
        <w:rPr>
          <w:rStyle w:val="NICEnormalChar"/>
        </w:rPr>
        <w:t xml:space="preserve"> is </w:t>
      </w:r>
      <w:r w:rsidR="00797FE1" w:rsidRPr="00FC1C6F">
        <w:rPr>
          <w:rFonts w:eastAsia="Arial" w:cs="Arial"/>
          <w:szCs w:val="24"/>
          <w:lang w:val="en-GB"/>
        </w:rPr>
        <w:t xml:space="preserve">£7,016.91 for the loading dose and £6,677.14 for </w:t>
      </w:r>
      <w:r w:rsidR="00B0723C" w:rsidRPr="00FC1C6F">
        <w:rPr>
          <w:rFonts w:eastAsia="Arial" w:cs="Arial"/>
          <w:szCs w:val="24"/>
          <w:lang w:val="en-GB"/>
        </w:rPr>
        <w:t xml:space="preserve">the </w:t>
      </w:r>
      <w:r w:rsidR="00797FE1" w:rsidRPr="00FC1C6F">
        <w:rPr>
          <w:rFonts w:eastAsia="Arial" w:cs="Arial"/>
          <w:szCs w:val="24"/>
          <w:lang w:val="en-GB"/>
        </w:rPr>
        <w:t>following cycles.</w:t>
      </w:r>
      <w:bookmarkEnd w:id="1"/>
    </w:p>
    <w:p w14:paraId="7BE3847A" w14:textId="79BEF9C8" w:rsidR="00B82A82" w:rsidRPr="00FC1C6F" w:rsidRDefault="00B82A82" w:rsidP="00B82A82">
      <w:pPr>
        <w:pStyle w:val="NICEnormalindented"/>
        <w:rPr>
          <w:highlight w:val="cyan"/>
        </w:rPr>
      </w:pPr>
      <w:bookmarkStart w:id="2" w:name="_Hlk24530292"/>
      <w:r w:rsidRPr="00FC1C6F">
        <w:t>The company has a commercial arrangement, which would have applied if the technology had been recommended.</w:t>
      </w:r>
    </w:p>
    <w:bookmarkEnd w:id="2"/>
    <w:p w14:paraId="1EBD8ADD" w14:textId="77777777" w:rsidR="00F130AD" w:rsidRPr="00FC1C6F" w:rsidRDefault="00222BEA" w:rsidP="00F130AD">
      <w:pPr>
        <w:pStyle w:val="Numberedheading1"/>
      </w:pPr>
      <w:r w:rsidRPr="00FC1C6F">
        <w:t>Committee discussion</w:t>
      </w:r>
    </w:p>
    <w:p w14:paraId="6E8568C1" w14:textId="56A8BFF0" w:rsidR="00EC7A2C" w:rsidRPr="00FC1C6F" w:rsidRDefault="00BC7D9E" w:rsidP="00BE7D5B">
      <w:pPr>
        <w:pStyle w:val="NICEnormal"/>
      </w:pPr>
      <w:r w:rsidRPr="00FC1C6F">
        <w:t xml:space="preserve">The </w:t>
      </w:r>
      <w:hyperlink w:anchor="_Appraisal_committee_members" w:history="1">
        <w:r w:rsidR="00343B53" w:rsidRPr="00FC1C6F">
          <w:rPr>
            <w:rStyle w:val="Hyperlink"/>
          </w:rPr>
          <w:t>a</w:t>
        </w:r>
        <w:r w:rsidRPr="00FC1C6F">
          <w:rPr>
            <w:rStyle w:val="Hyperlink"/>
          </w:rPr>
          <w:t xml:space="preserve">ppraisal </w:t>
        </w:r>
        <w:r w:rsidR="00343B53" w:rsidRPr="00FC1C6F">
          <w:rPr>
            <w:rStyle w:val="Hyperlink"/>
          </w:rPr>
          <w:t>c</w:t>
        </w:r>
        <w:r w:rsidRPr="00FC1C6F">
          <w:rPr>
            <w:rStyle w:val="Hyperlink"/>
          </w:rPr>
          <w:t>ommittee</w:t>
        </w:r>
      </w:hyperlink>
      <w:r w:rsidRPr="00FC1C6F">
        <w:t xml:space="preserve"> considered evidence submitted by </w:t>
      </w:r>
      <w:proofErr w:type="spellStart"/>
      <w:r w:rsidR="00406A32" w:rsidRPr="00FC1C6F">
        <w:t>Seagen</w:t>
      </w:r>
      <w:proofErr w:type="spellEnd"/>
      <w:r w:rsidR="00406A32" w:rsidRPr="00FC1C6F">
        <w:t xml:space="preserve"> Inc.</w:t>
      </w:r>
      <w:r w:rsidR="002B5772" w:rsidRPr="00FC1C6F">
        <w:t>,</w:t>
      </w:r>
      <w:r w:rsidRPr="00FC1C6F">
        <w:t xml:space="preserve"> a review of this submission by the </w:t>
      </w:r>
      <w:r w:rsidR="00343B53" w:rsidRPr="00FC1C6F">
        <w:t>e</w:t>
      </w:r>
      <w:r w:rsidRPr="00FC1C6F">
        <w:t xml:space="preserve">vidence </w:t>
      </w:r>
      <w:r w:rsidR="00343B53" w:rsidRPr="00FC1C6F">
        <w:t>r</w:t>
      </w:r>
      <w:r w:rsidRPr="00FC1C6F">
        <w:t xml:space="preserve">eview </w:t>
      </w:r>
      <w:r w:rsidR="00343B53" w:rsidRPr="00FC1C6F">
        <w:t>g</w:t>
      </w:r>
      <w:r w:rsidRPr="00FC1C6F">
        <w:t>roup (ERG)</w:t>
      </w:r>
      <w:r w:rsidR="002B5772" w:rsidRPr="00FC1C6F">
        <w:t xml:space="preserve">, </w:t>
      </w:r>
      <w:r w:rsidR="000B1027" w:rsidRPr="00FC1C6F">
        <w:t>and responses from</w:t>
      </w:r>
      <w:r w:rsidR="00E9265B" w:rsidRPr="00FC1C6F">
        <w:t xml:space="preserve"> stakeholders</w:t>
      </w:r>
      <w:r w:rsidRPr="00FC1C6F">
        <w:t>.</w:t>
      </w:r>
      <w:r w:rsidR="00C63D4E" w:rsidRPr="00FC1C6F">
        <w:t xml:space="preserve"> </w:t>
      </w:r>
      <w:r w:rsidR="002B5772" w:rsidRPr="00FC1C6F">
        <w:t xml:space="preserve">See the </w:t>
      </w:r>
      <w:hyperlink r:id="rId9" w:history="1">
        <w:r w:rsidR="002B5772" w:rsidRPr="00FC1C6F">
          <w:rPr>
            <w:rStyle w:val="Hyperlink"/>
          </w:rPr>
          <w:t>committee papers</w:t>
        </w:r>
      </w:hyperlink>
      <w:r w:rsidR="002B5772" w:rsidRPr="00FC1C6F">
        <w:t xml:space="preserve"> for full details of the evidence.</w:t>
      </w:r>
    </w:p>
    <w:p w14:paraId="65626A39" w14:textId="3675F268" w:rsidR="002B5772" w:rsidRPr="00FC1C6F" w:rsidRDefault="00445964" w:rsidP="006B0F36">
      <w:pPr>
        <w:pStyle w:val="NICEnormal"/>
        <w:ind w:left="60"/>
      </w:pPr>
      <w:r w:rsidRPr="00FC1C6F">
        <w:t>The committee</w:t>
      </w:r>
      <w:r w:rsidR="002B5772" w:rsidRPr="00FC1C6F">
        <w:t xml:space="preserve"> discussed the following issues.</w:t>
      </w:r>
    </w:p>
    <w:p w14:paraId="4ACBD74E" w14:textId="5D18759B" w:rsidR="003D4D47" w:rsidRPr="00FC1C6F" w:rsidRDefault="003D4D47" w:rsidP="003D4D47">
      <w:pPr>
        <w:pStyle w:val="Heading2"/>
      </w:pPr>
      <w:r w:rsidRPr="00FC1C6F">
        <w:lastRenderedPageBreak/>
        <w:t>Clinical need and treatment pathway</w:t>
      </w:r>
    </w:p>
    <w:p w14:paraId="0E649B85" w14:textId="51338652" w:rsidR="003D4D47" w:rsidRPr="00FC1C6F" w:rsidRDefault="003D4D47" w:rsidP="003D4D47">
      <w:pPr>
        <w:pStyle w:val="Heading3"/>
      </w:pPr>
      <w:r w:rsidRPr="00FC1C6F">
        <w:t>HER2-positive breast cancer has a high disease burden</w:t>
      </w:r>
    </w:p>
    <w:p w14:paraId="6F5041E5" w14:textId="581C30E8" w:rsidR="000A2567" w:rsidRPr="00FC1C6F" w:rsidRDefault="000A2567" w:rsidP="000A2567">
      <w:pPr>
        <w:pStyle w:val="Numberedlevel2text"/>
        <w:rPr>
          <w:lang w:val="en-GB"/>
        </w:rPr>
      </w:pPr>
      <w:r w:rsidRPr="00FC1C6F">
        <w:rPr>
          <w:lang w:val="en-GB"/>
        </w:rPr>
        <w:t>Some breast cancer cells have higher levels of a protein called HER2 on their surface, which stimulates them to grow. This is known as HER2</w:t>
      </w:r>
      <w:r w:rsidRPr="00FC1C6F">
        <w:rPr>
          <w:lang w:val="en-GB"/>
        </w:rPr>
        <w:noBreakHyphen/>
        <w:t>positive breast cancer and around 1 in 5 breast cancers are HER2</w:t>
      </w:r>
      <w:r w:rsidRPr="00FC1C6F">
        <w:rPr>
          <w:lang w:val="en-GB"/>
        </w:rPr>
        <w:noBreakHyphen/>
        <w:t xml:space="preserve">positive. Patient experts explained that being diagnosed with </w:t>
      </w:r>
      <w:r w:rsidR="00B13113" w:rsidRPr="00FC1C6F">
        <w:rPr>
          <w:lang w:val="en-GB"/>
        </w:rPr>
        <w:t>locally advanced</w:t>
      </w:r>
      <w:r w:rsidRPr="00FC1C6F">
        <w:rPr>
          <w:lang w:val="en-GB"/>
        </w:rPr>
        <w:t xml:space="preserve"> or metastatic breast cancer is extremely difficult for people and their family and friends. It can cause considerable anxiety and fear, with the uncertainty being the hardest part for many people. These feelings can negatively affect mental health. People with metastatic breast cancer must organise their lives around hospital appointments, which constrain their everyday activities. </w:t>
      </w:r>
      <w:r w:rsidR="005852CF" w:rsidRPr="00FC1C6F">
        <w:rPr>
          <w:lang w:val="en-GB"/>
        </w:rPr>
        <w:t>Brain metastases may develop in up to half of people with HER2-positive cancer</w:t>
      </w:r>
      <w:r w:rsidR="001E4E5A" w:rsidRPr="00FC1C6F">
        <w:rPr>
          <w:lang w:val="en-GB"/>
        </w:rPr>
        <w:t xml:space="preserve">, which </w:t>
      </w:r>
      <w:r w:rsidR="00AA5CFC" w:rsidRPr="00FC1C6F">
        <w:rPr>
          <w:rFonts w:eastAsiaTheme="majorEastAsia" w:cstheme="majorBidi"/>
          <w:szCs w:val="24"/>
          <w:lang w:val="en-GB"/>
        </w:rPr>
        <w:t>negatively affect</w:t>
      </w:r>
      <w:r w:rsidR="001E4E5A" w:rsidRPr="00FC1C6F">
        <w:rPr>
          <w:rFonts w:eastAsiaTheme="majorEastAsia" w:cstheme="majorBidi"/>
          <w:szCs w:val="24"/>
          <w:lang w:val="en-GB"/>
        </w:rPr>
        <w:t>s</w:t>
      </w:r>
      <w:r w:rsidR="00AA5CFC" w:rsidRPr="00FC1C6F">
        <w:rPr>
          <w:rFonts w:eastAsiaTheme="majorEastAsia" w:cstheme="majorBidi"/>
          <w:szCs w:val="24"/>
          <w:lang w:val="en-GB"/>
        </w:rPr>
        <w:t xml:space="preserve"> people’s prognosis and quality of life. </w:t>
      </w:r>
      <w:r w:rsidR="005852CF" w:rsidRPr="00FC1C6F">
        <w:rPr>
          <w:lang w:val="en-GB"/>
        </w:rPr>
        <w:t xml:space="preserve">Patient experts explained </w:t>
      </w:r>
      <w:r w:rsidR="00D95C0A" w:rsidRPr="00FC1C6F">
        <w:rPr>
          <w:lang w:val="en-GB"/>
        </w:rPr>
        <w:t xml:space="preserve">they were not able to drive </w:t>
      </w:r>
      <w:r w:rsidR="000130CA" w:rsidRPr="00FC1C6F">
        <w:rPr>
          <w:lang w:val="en-GB"/>
        </w:rPr>
        <w:t xml:space="preserve">or </w:t>
      </w:r>
      <w:proofErr w:type="gramStart"/>
      <w:r w:rsidR="000130CA" w:rsidRPr="00FC1C6F">
        <w:rPr>
          <w:lang w:val="en-GB"/>
        </w:rPr>
        <w:t>work, a</w:t>
      </w:r>
      <w:r w:rsidR="00D95C0A" w:rsidRPr="00FC1C6F">
        <w:rPr>
          <w:lang w:val="en-GB"/>
        </w:rPr>
        <w:t>nd</w:t>
      </w:r>
      <w:proofErr w:type="gramEnd"/>
      <w:r w:rsidR="00D95C0A" w:rsidRPr="00FC1C6F">
        <w:rPr>
          <w:lang w:val="en-GB"/>
        </w:rPr>
        <w:t xml:space="preserve"> lost their</w:t>
      </w:r>
      <w:r w:rsidR="000130CA" w:rsidRPr="00FC1C6F">
        <w:rPr>
          <w:lang w:val="en-GB"/>
        </w:rPr>
        <w:t xml:space="preserve"> </w:t>
      </w:r>
      <w:r w:rsidR="00D95C0A" w:rsidRPr="00FC1C6F">
        <w:rPr>
          <w:lang w:val="en-GB"/>
        </w:rPr>
        <w:t>independence.</w:t>
      </w:r>
      <w:r w:rsidR="005852CF" w:rsidRPr="00FC1C6F">
        <w:rPr>
          <w:lang w:val="en-GB"/>
        </w:rPr>
        <w:t xml:space="preserve"> </w:t>
      </w:r>
      <w:r w:rsidRPr="00FC1C6F">
        <w:rPr>
          <w:lang w:val="en-GB"/>
        </w:rPr>
        <w:t>There is no cure for metastatic breast cancer. Treatment aims to stop progression of the disease, extend life, and maintain or improve quality of life for as long as possible. Treatment is continued for as long as it works. The committee concluded that there is a high disease burden for people with HER2</w:t>
      </w:r>
      <w:r w:rsidRPr="00FC1C6F">
        <w:rPr>
          <w:lang w:val="en-GB"/>
        </w:rPr>
        <w:noBreakHyphen/>
        <w:t>positive metastatic breast cancer</w:t>
      </w:r>
      <w:r w:rsidR="005852CF" w:rsidRPr="00FC1C6F">
        <w:rPr>
          <w:lang w:val="en-GB"/>
        </w:rPr>
        <w:t xml:space="preserve">, especially for those with </w:t>
      </w:r>
      <w:r w:rsidR="000130CA" w:rsidRPr="00FC1C6F">
        <w:rPr>
          <w:lang w:val="en-GB"/>
        </w:rPr>
        <w:t>brain metastases.</w:t>
      </w:r>
    </w:p>
    <w:p w14:paraId="4E873667" w14:textId="3FDA6292" w:rsidR="000A2567" w:rsidRPr="00FC1C6F" w:rsidRDefault="000A2567" w:rsidP="000A2567">
      <w:pPr>
        <w:pStyle w:val="Heading3"/>
      </w:pPr>
      <w:r w:rsidRPr="00FC1C6F">
        <w:t>There is a need for anti-HER2 therapies after second-line treatment</w:t>
      </w:r>
      <w:r w:rsidR="00AA71FF" w:rsidRPr="00FC1C6F">
        <w:t xml:space="preserve">, especially for people with </w:t>
      </w:r>
      <w:r w:rsidR="000130CA" w:rsidRPr="00FC1C6F">
        <w:t>brain metastases</w:t>
      </w:r>
    </w:p>
    <w:p w14:paraId="1484BEF0" w14:textId="1AF06BF0" w:rsidR="00343010" w:rsidRPr="00FC1C6F" w:rsidRDefault="00343010" w:rsidP="00350A88">
      <w:pPr>
        <w:pStyle w:val="Numberedlevel2text"/>
        <w:numPr>
          <w:ilvl w:val="1"/>
          <w:numId w:val="1"/>
        </w:numPr>
        <w:rPr>
          <w:lang w:val="en-GB"/>
        </w:rPr>
      </w:pPr>
      <w:r w:rsidRPr="00FC1C6F">
        <w:rPr>
          <w:lang w:val="en-GB"/>
        </w:rPr>
        <w:t>Clinical experts explained that people with HER2</w:t>
      </w:r>
      <w:r w:rsidRPr="00FC1C6F">
        <w:rPr>
          <w:lang w:val="en-GB"/>
        </w:rPr>
        <w:noBreakHyphen/>
        <w:t>positive metastatic breast cancer that has progressed after 2 or more anti</w:t>
      </w:r>
      <w:r w:rsidRPr="00FC1C6F">
        <w:rPr>
          <w:lang w:val="en-GB"/>
        </w:rPr>
        <w:noBreakHyphen/>
        <w:t xml:space="preserve">HER2 </w:t>
      </w:r>
      <w:r w:rsidR="001E4E5A" w:rsidRPr="00FC1C6F">
        <w:rPr>
          <w:lang w:val="en-GB"/>
        </w:rPr>
        <w:t xml:space="preserve">regimens </w:t>
      </w:r>
      <w:r w:rsidRPr="00FC1C6F">
        <w:rPr>
          <w:lang w:val="en-GB"/>
        </w:rPr>
        <w:t xml:space="preserve">have a high symptom </w:t>
      </w:r>
      <w:r w:rsidR="001601D2" w:rsidRPr="00FC1C6F">
        <w:rPr>
          <w:lang w:val="en-GB"/>
        </w:rPr>
        <w:t>burden,</w:t>
      </w:r>
      <w:r w:rsidRPr="00FC1C6F">
        <w:rPr>
          <w:lang w:val="en-GB"/>
        </w:rPr>
        <w:t xml:space="preserve"> and their disease is resistant to the previous lines of therapy. First-line treatment of HER2</w:t>
      </w:r>
      <w:r w:rsidRPr="00FC1C6F">
        <w:rPr>
          <w:lang w:val="en-GB"/>
        </w:rPr>
        <w:noBreakHyphen/>
        <w:t xml:space="preserve">positive metastatic breast cancer includes </w:t>
      </w:r>
      <w:r w:rsidR="001E4E5A" w:rsidRPr="00FC1C6F">
        <w:rPr>
          <w:lang w:val="en-GB"/>
        </w:rPr>
        <w:t xml:space="preserve">the </w:t>
      </w:r>
      <w:r w:rsidRPr="00FC1C6F">
        <w:rPr>
          <w:lang w:val="en-GB"/>
        </w:rPr>
        <w:t>anti</w:t>
      </w:r>
      <w:r w:rsidRPr="00FC1C6F">
        <w:rPr>
          <w:lang w:val="en-GB"/>
        </w:rPr>
        <w:noBreakHyphen/>
        <w:t xml:space="preserve">HER2 therapies pertuzumab with trastuzumab and docetaxel, or trastuzumab with paclitaxel (see </w:t>
      </w:r>
      <w:hyperlink r:id="rId10" w:history="1">
        <w:r w:rsidRPr="00FC1C6F">
          <w:rPr>
            <w:rStyle w:val="Hyperlink"/>
            <w:lang w:val="en-GB"/>
          </w:rPr>
          <w:t xml:space="preserve">NICE’s technology appraisal guidance on pertuzumab with trastuzumab and </w:t>
        </w:r>
        <w:r w:rsidRPr="00FC1C6F">
          <w:rPr>
            <w:rStyle w:val="Hyperlink"/>
            <w:lang w:val="en-GB"/>
          </w:rPr>
          <w:lastRenderedPageBreak/>
          <w:t>docetaxel for treating HER2-positive breast cancer</w:t>
        </w:r>
      </w:hyperlink>
      <w:r w:rsidRPr="00FC1C6F">
        <w:rPr>
          <w:lang w:val="en-GB"/>
        </w:rPr>
        <w:t xml:space="preserve"> and </w:t>
      </w:r>
      <w:hyperlink r:id="rId11" w:history="1">
        <w:r w:rsidR="00672C77" w:rsidRPr="00FC1C6F">
          <w:rPr>
            <w:rStyle w:val="Hyperlink"/>
            <w:lang w:val="en-GB"/>
          </w:rPr>
          <w:t>NICE's guidance on trastuzumab for the treatment of advanced breast cancer</w:t>
        </w:r>
      </w:hyperlink>
      <w:r w:rsidRPr="00FC1C6F">
        <w:rPr>
          <w:lang w:val="en-GB"/>
        </w:rPr>
        <w:t>). Trastuzumab emtansine is an anti</w:t>
      </w:r>
      <w:r w:rsidRPr="00FC1C6F">
        <w:rPr>
          <w:lang w:val="en-GB"/>
        </w:rPr>
        <w:noBreakHyphen/>
        <w:t xml:space="preserve">HER2 therapy used </w:t>
      </w:r>
      <w:r w:rsidR="006F49DB" w:rsidRPr="00FC1C6F">
        <w:rPr>
          <w:lang w:val="en-GB"/>
        </w:rPr>
        <w:t xml:space="preserve">at </w:t>
      </w:r>
      <w:r w:rsidRPr="00FC1C6F">
        <w:rPr>
          <w:lang w:val="en-GB"/>
        </w:rPr>
        <w:t xml:space="preserve">second line (see </w:t>
      </w:r>
      <w:hyperlink r:id="rId12" w:history="1">
        <w:r w:rsidRPr="00FC1C6F">
          <w:rPr>
            <w:rStyle w:val="Hyperlink"/>
            <w:lang w:val="en-GB"/>
          </w:rPr>
          <w:t>NICE’s technology appraisal guidance on trastuzumab emtansine for treating HER2-positive advanced breast cancer after trastuzumab and a taxane</w:t>
        </w:r>
      </w:hyperlink>
      <w:r w:rsidR="00D42149" w:rsidRPr="00FC1C6F">
        <w:rPr>
          <w:lang w:val="en-GB"/>
        </w:rPr>
        <w:t>, TA458</w:t>
      </w:r>
      <w:r w:rsidRPr="00FC1C6F">
        <w:rPr>
          <w:lang w:val="en-GB"/>
        </w:rPr>
        <w:t>).</w:t>
      </w:r>
      <w:r w:rsidR="00350A88" w:rsidRPr="00FC1C6F">
        <w:rPr>
          <w:lang w:val="en-GB"/>
        </w:rPr>
        <w:t xml:space="preserve"> The committee noted that,</w:t>
      </w:r>
      <w:r w:rsidR="00350A88" w:rsidRPr="00FC1C6F">
        <w:rPr>
          <w:color w:val="000000" w:themeColor="text1"/>
          <w:kern w:val="24"/>
          <w:lang w:val="en-GB" w:eastAsia="en-GB"/>
        </w:rPr>
        <w:t xml:space="preserve"> although some trusts may offer third-line </w:t>
      </w:r>
      <w:r w:rsidR="00350A88" w:rsidRPr="00FC1C6F">
        <w:rPr>
          <w:lang w:val="en-GB"/>
        </w:rPr>
        <w:t>anti</w:t>
      </w:r>
      <w:r w:rsidR="00350A88" w:rsidRPr="00FC1C6F">
        <w:rPr>
          <w:lang w:val="en-GB"/>
        </w:rPr>
        <w:noBreakHyphen/>
        <w:t xml:space="preserve">HER2 therapy, </w:t>
      </w:r>
      <w:r w:rsidR="00D35F5F" w:rsidRPr="00FC1C6F">
        <w:rPr>
          <w:lang w:val="en-GB"/>
        </w:rPr>
        <w:t xml:space="preserve">it </w:t>
      </w:r>
      <w:r w:rsidR="00350A88" w:rsidRPr="00FC1C6F">
        <w:rPr>
          <w:lang w:val="en-GB"/>
        </w:rPr>
        <w:t>is not available across the NHS and cannot be considered standard care.</w:t>
      </w:r>
      <w:r w:rsidR="00350A88" w:rsidRPr="00FC1C6F">
        <w:rPr>
          <w:color w:val="000000" w:themeColor="text1"/>
          <w:kern w:val="24"/>
          <w:lang w:val="en-GB" w:eastAsia="en-GB"/>
        </w:rPr>
        <w:t xml:space="preserve"> </w:t>
      </w:r>
      <w:r w:rsidR="002723DE" w:rsidRPr="00FC1C6F">
        <w:rPr>
          <w:color w:val="000000" w:themeColor="text1"/>
          <w:kern w:val="24"/>
          <w:lang w:val="en-GB" w:eastAsia="en-GB"/>
        </w:rPr>
        <w:t xml:space="preserve">Trastuzumab deruxtecan is available </w:t>
      </w:r>
      <w:r w:rsidR="006F49DB" w:rsidRPr="00FC1C6F">
        <w:rPr>
          <w:color w:val="000000" w:themeColor="text1"/>
          <w:kern w:val="24"/>
          <w:lang w:val="en-GB" w:eastAsia="en-GB"/>
        </w:rPr>
        <w:t xml:space="preserve">through </w:t>
      </w:r>
      <w:r w:rsidR="002723DE" w:rsidRPr="00FC1C6F">
        <w:rPr>
          <w:color w:val="000000" w:themeColor="text1"/>
          <w:kern w:val="24"/>
          <w:lang w:val="en-GB" w:eastAsia="en-GB"/>
        </w:rPr>
        <w:t xml:space="preserve">the Cancer Drugs Fund </w:t>
      </w:r>
      <w:r w:rsidR="00AA5CFC" w:rsidRPr="00FC1C6F">
        <w:rPr>
          <w:color w:val="000000" w:themeColor="text1"/>
          <w:kern w:val="24"/>
          <w:lang w:val="en-GB" w:eastAsia="en-GB"/>
        </w:rPr>
        <w:t xml:space="preserve">only so </w:t>
      </w:r>
      <w:r w:rsidR="002723DE" w:rsidRPr="00FC1C6F">
        <w:rPr>
          <w:color w:val="000000" w:themeColor="text1"/>
          <w:kern w:val="24"/>
          <w:lang w:val="en-GB" w:eastAsia="en-GB"/>
        </w:rPr>
        <w:t xml:space="preserve">is not considered standard </w:t>
      </w:r>
      <w:r w:rsidR="00097511" w:rsidRPr="00FC1C6F">
        <w:rPr>
          <w:color w:val="000000" w:themeColor="text1"/>
          <w:kern w:val="24"/>
          <w:lang w:val="en-GB" w:eastAsia="en-GB"/>
        </w:rPr>
        <w:t>c</w:t>
      </w:r>
      <w:r w:rsidR="002723DE" w:rsidRPr="00FC1C6F">
        <w:rPr>
          <w:color w:val="000000" w:themeColor="text1"/>
          <w:kern w:val="24"/>
          <w:lang w:val="en-GB" w:eastAsia="en-GB"/>
        </w:rPr>
        <w:t xml:space="preserve">are (see </w:t>
      </w:r>
      <w:hyperlink r:id="rId13" w:history="1">
        <w:r w:rsidR="002723DE" w:rsidRPr="00FC1C6F">
          <w:rPr>
            <w:rStyle w:val="Hyperlink"/>
            <w:kern w:val="24"/>
            <w:lang w:val="en-GB" w:eastAsia="en-GB"/>
          </w:rPr>
          <w:t>NICE’s technology appraisal guidance on trastuzumab deruxtecan for treating HER2-positive unresectable or metastatic breast cancer after 2 or more anti-HER2 therapies</w:t>
        </w:r>
      </w:hyperlink>
      <w:r w:rsidR="00D42149" w:rsidRPr="00FC1C6F">
        <w:rPr>
          <w:lang w:val="en-GB"/>
        </w:rPr>
        <w:t>, TA704</w:t>
      </w:r>
      <w:r w:rsidR="002723DE" w:rsidRPr="00FC1C6F">
        <w:rPr>
          <w:lang w:val="en-GB"/>
        </w:rPr>
        <w:t xml:space="preserve">). </w:t>
      </w:r>
      <w:r w:rsidR="00350A88" w:rsidRPr="00FC1C6F">
        <w:rPr>
          <w:lang w:val="en-GB"/>
        </w:rPr>
        <w:t>Instead, standard care for people whose disease has progressed on or after 2 anti</w:t>
      </w:r>
      <w:r w:rsidR="00350A88" w:rsidRPr="00FC1C6F">
        <w:rPr>
          <w:lang w:val="en-GB"/>
        </w:rPr>
        <w:noBreakHyphen/>
        <w:t xml:space="preserve">HER2 therapies is non-targeted chemotherapy, including capecitabine, vinorelbine or eribulin (see </w:t>
      </w:r>
      <w:hyperlink r:id="rId14" w:history="1">
        <w:r w:rsidR="00350A88" w:rsidRPr="00FC1C6F">
          <w:rPr>
            <w:rStyle w:val="Hyperlink"/>
            <w:lang w:val="en-GB"/>
          </w:rPr>
          <w:t>NICE’s clinical guideline on breast cancer: diagnosis and management</w:t>
        </w:r>
      </w:hyperlink>
      <w:r w:rsidR="00350A88" w:rsidRPr="00FC1C6F">
        <w:rPr>
          <w:lang w:val="en-GB"/>
        </w:rPr>
        <w:t xml:space="preserve"> </w:t>
      </w:r>
      <w:r w:rsidR="0058680B" w:rsidRPr="00FC1C6F">
        <w:rPr>
          <w:lang w:val="en-GB"/>
        </w:rPr>
        <w:t xml:space="preserve">[CG81] </w:t>
      </w:r>
      <w:r w:rsidR="00350A88" w:rsidRPr="00FC1C6F">
        <w:rPr>
          <w:lang w:val="en-GB"/>
        </w:rPr>
        <w:t xml:space="preserve">and </w:t>
      </w:r>
      <w:hyperlink r:id="rId15" w:history="1">
        <w:r w:rsidR="00350A88" w:rsidRPr="00FC1C6F">
          <w:rPr>
            <w:rStyle w:val="Hyperlink"/>
            <w:lang w:val="en-GB"/>
          </w:rPr>
          <w:t>NICE’s technology appraisal guidance on eribulin for treating locally advanced or metastatic breast cancer after 2 or more chemotherapy regimens</w:t>
        </w:r>
      </w:hyperlink>
      <w:r w:rsidR="00884671" w:rsidRPr="00FC1C6F">
        <w:rPr>
          <w:lang w:val="en-GB"/>
        </w:rPr>
        <w:t>, TA423</w:t>
      </w:r>
      <w:r w:rsidR="00350A88" w:rsidRPr="00FC1C6F">
        <w:rPr>
          <w:lang w:val="en-GB"/>
        </w:rPr>
        <w:t>).</w:t>
      </w:r>
      <w:r w:rsidR="002723DE" w:rsidRPr="00FC1C6F">
        <w:rPr>
          <w:lang w:val="en-GB"/>
        </w:rPr>
        <w:t xml:space="preserve"> </w:t>
      </w:r>
      <w:r w:rsidR="00084988" w:rsidRPr="00FC1C6F">
        <w:rPr>
          <w:lang w:val="en-GB"/>
        </w:rPr>
        <w:t>Treatment options for people with brain metastases are stereotactic radiosurgery or radiotherapy</w:t>
      </w:r>
      <w:r w:rsidR="002723DE" w:rsidRPr="00FC1C6F">
        <w:rPr>
          <w:lang w:val="en-GB"/>
        </w:rPr>
        <w:t xml:space="preserve"> </w:t>
      </w:r>
      <w:r w:rsidR="00084988" w:rsidRPr="00FC1C6F">
        <w:rPr>
          <w:lang w:val="en-GB"/>
        </w:rPr>
        <w:t xml:space="preserve">(see </w:t>
      </w:r>
      <w:hyperlink r:id="rId16" w:history="1">
        <w:r w:rsidR="003D1A08" w:rsidRPr="00FC1C6F">
          <w:rPr>
            <w:rStyle w:val="Hyperlink"/>
            <w:lang w:val="en-GB"/>
          </w:rPr>
          <w:t>NICE’s clinical guideline on brain tumours and metastases</w:t>
        </w:r>
      </w:hyperlink>
      <w:r w:rsidR="00222192" w:rsidRPr="00FC1C6F">
        <w:rPr>
          <w:lang w:val="en-GB"/>
        </w:rPr>
        <w:t>)</w:t>
      </w:r>
      <w:r w:rsidR="00987030" w:rsidRPr="00FC1C6F">
        <w:rPr>
          <w:lang w:val="en-GB"/>
        </w:rPr>
        <w:t xml:space="preserve">. </w:t>
      </w:r>
      <w:r w:rsidR="00753C02" w:rsidRPr="00FC1C6F">
        <w:rPr>
          <w:lang w:val="en-GB"/>
        </w:rPr>
        <w:t>The c</w:t>
      </w:r>
      <w:r w:rsidR="00987030" w:rsidRPr="00FC1C6F">
        <w:rPr>
          <w:lang w:val="en-GB"/>
        </w:rPr>
        <w:t xml:space="preserve">linical experts explained that these treatments usually stop working after some time and most patients cannot have more than 2 courses of radiotherapy because of its neurological toxicity. Currently there are no </w:t>
      </w:r>
      <w:r w:rsidR="000130CA" w:rsidRPr="00FC1C6F">
        <w:rPr>
          <w:lang w:val="en-GB"/>
        </w:rPr>
        <w:t xml:space="preserve">further </w:t>
      </w:r>
      <w:r w:rsidR="00987030" w:rsidRPr="00FC1C6F">
        <w:rPr>
          <w:lang w:val="en-GB"/>
        </w:rPr>
        <w:t>treatment options for these patients.</w:t>
      </w:r>
      <w:r w:rsidR="00350A88" w:rsidRPr="00FC1C6F">
        <w:rPr>
          <w:lang w:val="en-GB"/>
        </w:rPr>
        <w:t xml:space="preserve"> The committee concluded that there is an unmet need for anti</w:t>
      </w:r>
      <w:r w:rsidR="00350A88" w:rsidRPr="00FC1C6F">
        <w:rPr>
          <w:lang w:val="en-GB"/>
        </w:rPr>
        <w:noBreakHyphen/>
        <w:t xml:space="preserve">HER2 treatment after </w:t>
      </w:r>
      <w:proofErr w:type="gramStart"/>
      <w:r w:rsidR="00350A88" w:rsidRPr="00FC1C6F">
        <w:rPr>
          <w:lang w:val="en-GB"/>
        </w:rPr>
        <w:t>second-line</w:t>
      </w:r>
      <w:proofErr w:type="gramEnd"/>
      <w:r w:rsidR="00350A88" w:rsidRPr="00FC1C6F">
        <w:rPr>
          <w:lang w:val="en-GB"/>
        </w:rPr>
        <w:t xml:space="preserve"> </w:t>
      </w:r>
      <w:r w:rsidR="00030056" w:rsidRPr="00FC1C6F">
        <w:rPr>
          <w:lang w:val="en-GB"/>
        </w:rPr>
        <w:t xml:space="preserve">HER2 </w:t>
      </w:r>
      <w:r w:rsidR="00350A88" w:rsidRPr="00FC1C6F">
        <w:rPr>
          <w:lang w:val="en-GB"/>
        </w:rPr>
        <w:t>treatment</w:t>
      </w:r>
      <w:r w:rsidR="00A32EE3" w:rsidRPr="00FC1C6F">
        <w:rPr>
          <w:lang w:val="en-GB"/>
        </w:rPr>
        <w:t xml:space="preserve">. This is particularly </w:t>
      </w:r>
      <w:r w:rsidR="00030056" w:rsidRPr="00FC1C6F">
        <w:rPr>
          <w:lang w:val="en-GB"/>
        </w:rPr>
        <w:t>important</w:t>
      </w:r>
      <w:r w:rsidR="00A32EE3" w:rsidRPr="00FC1C6F">
        <w:rPr>
          <w:lang w:val="en-GB"/>
        </w:rPr>
        <w:t xml:space="preserve"> for </w:t>
      </w:r>
      <w:r w:rsidR="00030056" w:rsidRPr="00FC1C6F">
        <w:rPr>
          <w:lang w:val="en-GB"/>
        </w:rPr>
        <w:t>the significant</w:t>
      </w:r>
      <w:r w:rsidR="00A32EE3" w:rsidRPr="00FC1C6F">
        <w:rPr>
          <w:lang w:val="en-GB"/>
        </w:rPr>
        <w:t xml:space="preserve"> </w:t>
      </w:r>
      <w:r w:rsidR="00030056" w:rsidRPr="00FC1C6F">
        <w:rPr>
          <w:lang w:val="en-GB"/>
        </w:rPr>
        <w:t>proportion</w:t>
      </w:r>
      <w:r w:rsidR="00A32EE3" w:rsidRPr="00FC1C6F">
        <w:rPr>
          <w:lang w:val="en-GB"/>
        </w:rPr>
        <w:t xml:space="preserve"> of </w:t>
      </w:r>
      <w:r w:rsidR="00030056" w:rsidRPr="00FC1C6F">
        <w:rPr>
          <w:lang w:val="en-GB"/>
        </w:rPr>
        <w:t xml:space="preserve">people who have </w:t>
      </w:r>
      <w:r w:rsidR="00A32EE3" w:rsidRPr="00FC1C6F">
        <w:rPr>
          <w:lang w:val="en-GB"/>
        </w:rPr>
        <w:t>brain metastases because all th</w:t>
      </w:r>
      <w:r w:rsidR="00030056" w:rsidRPr="00FC1C6F">
        <w:rPr>
          <w:lang w:val="en-GB"/>
        </w:rPr>
        <w:t>e</w:t>
      </w:r>
      <w:r w:rsidR="00A32EE3" w:rsidRPr="00FC1C6F">
        <w:rPr>
          <w:lang w:val="en-GB"/>
        </w:rPr>
        <w:t xml:space="preserve"> existing HER2 and chemotherapy treatments have limited penetration through the blood</w:t>
      </w:r>
      <w:r w:rsidR="003140C1" w:rsidRPr="00FC1C6F">
        <w:rPr>
          <w:lang w:val="en-GB"/>
        </w:rPr>
        <w:t>-</w:t>
      </w:r>
      <w:r w:rsidR="00A32EE3" w:rsidRPr="00FC1C6F">
        <w:rPr>
          <w:lang w:val="en-GB"/>
        </w:rPr>
        <w:t xml:space="preserve">brain </w:t>
      </w:r>
      <w:r w:rsidR="00030056" w:rsidRPr="00FC1C6F">
        <w:rPr>
          <w:lang w:val="en-GB"/>
        </w:rPr>
        <w:t>barrier and</w:t>
      </w:r>
      <w:r w:rsidR="00A32EE3" w:rsidRPr="00FC1C6F">
        <w:rPr>
          <w:lang w:val="en-GB"/>
        </w:rPr>
        <w:t xml:space="preserve"> are not</w:t>
      </w:r>
      <w:r w:rsidR="00030056" w:rsidRPr="00FC1C6F">
        <w:rPr>
          <w:lang w:val="en-GB"/>
        </w:rPr>
        <w:t xml:space="preserve"> </w:t>
      </w:r>
      <w:r w:rsidR="00A32EE3" w:rsidRPr="00FC1C6F">
        <w:rPr>
          <w:lang w:val="en-GB"/>
        </w:rPr>
        <w:t xml:space="preserve">of proven benefit for </w:t>
      </w:r>
      <w:r w:rsidR="00030056" w:rsidRPr="00FC1C6F">
        <w:rPr>
          <w:lang w:val="en-GB"/>
        </w:rPr>
        <w:t>brain metastases.</w:t>
      </w:r>
    </w:p>
    <w:p w14:paraId="79B46A44" w14:textId="66D0E06C" w:rsidR="00343010" w:rsidRPr="00FC1C6F" w:rsidRDefault="005249B9" w:rsidP="00343010">
      <w:pPr>
        <w:pStyle w:val="Heading3"/>
      </w:pPr>
      <w:r w:rsidRPr="00FC1C6F">
        <w:lastRenderedPageBreak/>
        <w:t>The r</w:t>
      </w:r>
      <w:r w:rsidR="00343010" w:rsidRPr="00FC1C6F">
        <w:t xml:space="preserve">elevant comparators </w:t>
      </w:r>
      <w:r w:rsidR="00756DD3" w:rsidRPr="00FC1C6F">
        <w:t>are</w:t>
      </w:r>
      <w:r w:rsidR="00343010" w:rsidRPr="00FC1C6F">
        <w:t xml:space="preserve"> capecitabine, vinorelbine and eribulin</w:t>
      </w:r>
    </w:p>
    <w:p w14:paraId="3F0648EA" w14:textId="723FFA3F" w:rsidR="00343010" w:rsidRPr="00FC1C6F" w:rsidRDefault="00AC0E55" w:rsidP="00B94F4A">
      <w:pPr>
        <w:pStyle w:val="Numberedlevel2text"/>
        <w:rPr>
          <w:lang w:val="en-GB"/>
        </w:rPr>
      </w:pPr>
      <w:bookmarkStart w:id="3" w:name="_Ref83884808"/>
      <w:r w:rsidRPr="00FC1C6F">
        <w:rPr>
          <w:lang w:val="en-GB"/>
        </w:rPr>
        <w:t xml:space="preserve">The </w:t>
      </w:r>
      <w:r w:rsidR="007E58B3" w:rsidRPr="00FC1C6F">
        <w:rPr>
          <w:lang w:val="en-GB"/>
        </w:rPr>
        <w:t xml:space="preserve">company used eribulin as its base-case comparator and stated </w:t>
      </w:r>
      <w:r w:rsidR="0058680B" w:rsidRPr="00FC1C6F">
        <w:rPr>
          <w:lang w:val="en-GB"/>
        </w:rPr>
        <w:t xml:space="preserve">that </w:t>
      </w:r>
      <w:r w:rsidR="007E58B3" w:rsidRPr="00FC1C6F">
        <w:rPr>
          <w:lang w:val="en-GB"/>
        </w:rPr>
        <w:t xml:space="preserve">eribulin is the only treatment approved by NICE in the </w:t>
      </w:r>
      <w:proofErr w:type="gramStart"/>
      <w:r w:rsidR="007E58B3" w:rsidRPr="00FC1C6F">
        <w:rPr>
          <w:lang w:val="en-GB"/>
        </w:rPr>
        <w:t>third-line</w:t>
      </w:r>
      <w:proofErr w:type="gramEnd"/>
      <w:r w:rsidR="007E58B3" w:rsidRPr="00FC1C6F">
        <w:rPr>
          <w:lang w:val="en-GB"/>
        </w:rPr>
        <w:t xml:space="preserve"> setting </w:t>
      </w:r>
      <w:r w:rsidR="00CD6E77" w:rsidRPr="00FC1C6F">
        <w:rPr>
          <w:lang w:val="en-GB"/>
        </w:rPr>
        <w:t>for HER2</w:t>
      </w:r>
      <w:r w:rsidR="00CD6E77" w:rsidRPr="00FC1C6F">
        <w:rPr>
          <w:lang w:val="en-GB"/>
        </w:rPr>
        <w:noBreakHyphen/>
        <w:t xml:space="preserve">positive locally advanced or metastatic breast cancer </w:t>
      </w:r>
      <w:r w:rsidR="007E58B3" w:rsidRPr="00FC1C6F">
        <w:rPr>
          <w:lang w:val="en-GB"/>
        </w:rPr>
        <w:t>and has clinical equivalence to capecitabine and vinorelbine. The ERG note</w:t>
      </w:r>
      <w:r w:rsidR="0058680B" w:rsidRPr="00FC1C6F">
        <w:rPr>
          <w:lang w:val="en-GB"/>
        </w:rPr>
        <w:t>d</w:t>
      </w:r>
      <w:r w:rsidR="007E58B3" w:rsidRPr="00FC1C6F">
        <w:rPr>
          <w:lang w:val="en-GB"/>
        </w:rPr>
        <w:t xml:space="preserve"> that CG81 recommends that patients may </w:t>
      </w:r>
      <w:r w:rsidR="00CD6E77" w:rsidRPr="00FC1C6F">
        <w:rPr>
          <w:lang w:val="en-GB"/>
        </w:rPr>
        <w:t xml:space="preserve">also </w:t>
      </w:r>
      <w:r w:rsidR="007E58B3" w:rsidRPr="00FC1C6F">
        <w:rPr>
          <w:lang w:val="en-GB"/>
        </w:rPr>
        <w:t xml:space="preserve">receive treatment with </w:t>
      </w:r>
      <w:r w:rsidR="00CD6E77" w:rsidRPr="00FC1C6F">
        <w:rPr>
          <w:lang w:val="en-GB"/>
        </w:rPr>
        <w:t xml:space="preserve">other </w:t>
      </w:r>
      <w:r w:rsidR="007E58B3" w:rsidRPr="00FC1C6F">
        <w:rPr>
          <w:lang w:val="en-GB"/>
        </w:rPr>
        <w:t>non</w:t>
      </w:r>
      <w:r w:rsidR="0058680B" w:rsidRPr="00FC1C6F">
        <w:rPr>
          <w:lang w:val="en-GB"/>
        </w:rPr>
        <w:t>-</w:t>
      </w:r>
      <w:r w:rsidR="00196CAC" w:rsidRPr="00FC1C6F">
        <w:rPr>
          <w:lang w:val="en-GB"/>
        </w:rPr>
        <w:t>HER2</w:t>
      </w:r>
      <w:r w:rsidR="007E58B3" w:rsidRPr="00FC1C6F">
        <w:rPr>
          <w:lang w:val="en-GB"/>
        </w:rPr>
        <w:t xml:space="preserve">-targeted chemotherapies such as capecitabine or vinorelbine. </w:t>
      </w:r>
      <w:r w:rsidR="0058680B" w:rsidRPr="00FC1C6F">
        <w:rPr>
          <w:lang w:val="en-GB"/>
        </w:rPr>
        <w:t>The c</w:t>
      </w:r>
      <w:r w:rsidR="00CF0E75" w:rsidRPr="00FC1C6F">
        <w:rPr>
          <w:lang w:val="en-GB"/>
        </w:rPr>
        <w:t>linical experts confirmed</w:t>
      </w:r>
      <w:r w:rsidR="005259D7" w:rsidRPr="00FC1C6F">
        <w:rPr>
          <w:lang w:val="en-GB"/>
        </w:rPr>
        <w:t xml:space="preserve"> that c</w:t>
      </w:r>
      <w:r w:rsidR="00343010" w:rsidRPr="00FC1C6F">
        <w:rPr>
          <w:lang w:val="en-GB"/>
        </w:rPr>
        <w:t>urrent standard care</w:t>
      </w:r>
      <w:r w:rsidR="00CD6E77" w:rsidRPr="00FC1C6F">
        <w:rPr>
          <w:lang w:val="en-GB"/>
        </w:rPr>
        <w:t xml:space="preserve"> in </w:t>
      </w:r>
      <w:r w:rsidR="0058680B" w:rsidRPr="00FC1C6F">
        <w:rPr>
          <w:lang w:val="en-GB"/>
        </w:rPr>
        <w:t xml:space="preserve">the </w:t>
      </w:r>
      <w:proofErr w:type="gramStart"/>
      <w:r w:rsidR="00CD6E77" w:rsidRPr="00FC1C6F">
        <w:rPr>
          <w:lang w:val="en-GB"/>
        </w:rPr>
        <w:t>third-line</w:t>
      </w:r>
      <w:proofErr w:type="gramEnd"/>
      <w:r w:rsidR="00CD6E77" w:rsidRPr="00FC1C6F">
        <w:rPr>
          <w:lang w:val="en-GB"/>
        </w:rPr>
        <w:t xml:space="preserve"> setting</w:t>
      </w:r>
      <w:r w:rsidR="00343010" w:rsidRPr="00FC1C6F">
        <w:rPr>
          <w:lang w:val="en-GB"/>
        </w:rPr>
        <w:t xml:space="preserve"> in the NHS is non-targeted chemotherapy, including capecitabine, vinorelbine or eribulin. </w:t>
      </w:r>
      <w:bookmarkStart w:id="4" w:name="_Hlk41908214"/>
      <w:bookmarkStart w:id="5" w:name="_Hlk41908139"/>
      <w:r w:rsidR="00343010" w:rsidRPr="00FC1C6F">
        <w:rPr>
          <w:lang w:val="en-GB"/>
        </w:rPr>
        <w:t xml:space="preserve">The clinical experts explained that although some patients receive trastuzumab </w:t>
      </w:r>
      <w:r w:rsidR="0058680B" w:rsidRPr="00FC1C6F">
        <w:rPr>
          <w:lang w:val="en-GB"/>
        </w:rPr>
        <w:t xml:space="preserve">with </w:t>
      </w:r>
      <w:r w:rsidR="00343010" w:rsidRPr="00FC1C6F">
        <w:rPr>
          <w:lang w:val="en-GB"/>
        </w:rPr>
        <w:t>capecitabine,</w:t>
      </w:r>
      <w:r w:rsidR="00B65915" w:rsidRPr="00FC1C6F">
        <w:rPr>
          <w:lang w:val="en-GB"/>
        </w:rPr>
        <w:t xml:space="preserve"> there was wide regional variation i</w:t>
      </w:r>
      <w:r w:rsidR="00D35F5F" w:rsidRPr="00FC1C6F">
        <w:rPr>
          <w:lang w:val="en-GB"/>
        </w:rPr>
        <w:t>n</w:t>
      </w:r>
      <w:r w:rsidR="00B65915" w:rsidRPr="00FC1C6F">
        <w:rPr>
          <w:lang w:val="en-GB"/>
        </w:rPr>
        <w:t xml:space="preserve"> its availability. As</w:t>
      </w:r>
      <w:r w:rsidR="00343010" w:rsidRPr="00FC1C6F">
        <w:rPr>
          <w:lang w:val="en-GB"/>
        </w:rPr>
        <w:t xml:space="preserve"> it is not available to all patients on the NHS</w:t>
      </w:r>
      <w:r w:rsidR="00DC3B40" w:rsidRPr="00FC1C6F">
        <w:rPr>
          <w:lang w:val="en-GB"/>
        </w:rPr>
        <w:t>,</w:t>
      </w:r>
      <w:r w:rsidR="00343010" w:rsidRPr="00FC1C6F">
        <w:rPr>
          <w:lang w:val="en-GB"/>
        </w:rPr>
        <w:t xml:space="preserve"> </w:t>
      </w:r>
      <w:r w:rsidR="00DC3B40" w:rsidRPr="00FC1C6F">
        <w:rPr>
          <w:lang w:val="en-GB"/>
        </w:rPr>
        <w:t>t</w:t>
      </w:r>
      <w:r w:rsidR="00343010" w:rsidRPr="00FC1C6F">
        <w:rPr>
          <w:lang w:val="en-GB"/>
        </w:rPr>
        <w:t xml:space="preserve">he committee agreed that trastuzumab </w:t>
      </w:r>
      <w:r w:rsidR="00AA71FF" w:rsidRPr="00FC1C6F">
        <w:rPr>
          <w:lang w:val="en-GB"/>
        </w:rPr>
        <w:t xml:space="preserve">with </w:t>
      </w:r>
      <w:r w:rsidR="00343010" w:rsidRPr="00FC1C6F">
        <w:rPr>
          <w:lang w:val="en-GB"/>
        </w:rPr>
        <w:t xml:space="preserve">capecitabine is not a relevant comparator. The committee concluded that </w:t>
      </w:r>
      <w:r w:rsidR="0058680B" w:rsidRPr="00FC1C6F">
        <w:rPr>
          <w:lang w:val="en-GB"/>
        </w:rPr>
        <w:t xml:space="preserve">the </w:t>
      </w:r>
      <w:r w:rsidR="00756DD3" w:rsidRPr="00FC1C6F">
        <w:rPr>
          <w:lang w:val="en-GB"/>
        </w:rPr>
        <w:t xml:space="preserve">relevant comparators for </w:t>
      </w:r>
      <w:r w:rsidR="00267D9B" w:rsidRPr="00FC1C6F">
        <w:rPr>
          <w:lang w:val="en-GB"/>
        </w:rPr>
        <w:t xml:space="preserve">tucatinib with trastuzumab and capecitabine (from now, </w:t>
      </w:r>
      <w:r w:rsidR="00486063" w:rsidRPr="00FC1C6F">
        <w:rPr>
          <w:lang w:val="en-GB"/>
        </w:rPr>
        <w:t>tucatinib combination</w:t>
      </w:r>
      <w:r w:rsidR="00267D9B" w:rsidRPr="00FC1C6F">
        <w:rPr>
          <w:lang w:val="en-GB"/>
        </w:rPr>
        <w:t>)</w:t>
      </w:r>
      <w:r w:rsidR="00756DD3" w:rsidRPr="00FC1C6F">
        <w:rPr>
          <w:lang w:val="en-GB"/>
        </w:rPr>
        <w:t xml:space="preserve"> are capecitabine, vinorelbine and eribulin.</w:t>
      </w:r>
      <w:bookmarkEnd w:id="3"/>
    </w:p>
    <w:p w14:paraId="044AE07C" w14:textId="77777777" w:rsidR="00926329" w:rsidRPr="00FC1C6F" w:rsidRDefault="00926329" w:rsidP="00926329">
      <w:pPr>
        <w:pStyle w:val="Heading2"/>
      </w:pPr>
      <w:r w:rsidRPr="00FC1C6F">
        <w:t>Clinical evidence</w:t>
      </w:r>
    </w:p>
    <w:p w14:paraId="5B9D5C3B" w14:textId="736CEE71" w:rsidR="00756DD3" w:rsidRPr="00FC1C6F" w:rsidRDefault="00756DD3" w:rsidP="00926329">
      <w:pPr>
        <w:pStyle w:val="Heading3"/>
      </w:pPr>
      <w:r w:rsidRPr="00FC1C6F">
        <w:t>HER2CLIMB is generalisable to UK clinical practice</w:t>
      </w:r>
    </w:p>
    <w:p w14:paraId="35045718" w14:textId="130EA23A" w:rsidR="00756DD3" w:rsidRPr="00FC1C6F" w:rsidRDefault="00756DD3" w:rsidP="00756DD3">
      <w:pPr>
        <w:pStyle w:val="Numberedlevel2text"/>
        <w:rPr>
          <w:lang w:val="en-GB"/>
        </w:rPr>
      </w:pPr>
      <w:bookmarkStart w:id="6" w:name="_Ref84839278"/>
      <w:r w:rsidRPr="00FC1C6F">
        <w:rPr>
          <w:lang w:val="en-GB"/>
        </w:rPr>
        <w:t>The clinical evidence was based on HER2CLIMB, a randomised, double-blind, placebo controlled, active comparator trial for people with HER2</w:t>
      </w:r>
      <w:r w:rsidR="00235FC8" w:rsidRPr="00FC1C6F">
        <w:rPr>
          <w:lang w:val="en-GB"/>
        </w:rPr>
        <w:t>-</w:t>
      </w:r>
      <w:r w:rsidRPr="00FC1C6F">
        <w:rPr>
          <w:lang w:val="en-GB"/>
        </w:rPr>
        <w:t xml:space="preserve">positive </w:t>
      </w:r>
      <w:r w:rsidR="007F3D6E" w:rsidRPr="00FC1C6F">
        <w:rPr>
          <w:lang w:val="en-GB"/>
        </w:rPr>
        <w:t>locally advanced</w:t>
      </w:r>
      <w:r w:rsidRPr="00FC1C6F">
        <w:rPr>
          <w:lang w:val="en-GB"/>
        </w:rPr>
        <w:t xml:space="preserve"> or metastatic breast cancer previously treated with trastuzumab</w:t>
      </w:r>
      <w:r w:rsidR="00A200C1" w:rsidRPr="00FC1C6F">
        <w:rPr>
          <w:lang w:val="en-GB"/>
        </w:rPr>
        <w:t>,</w:t>
      </w:r>
      <w:r w:rsidRPr="00FC1C6F">
        <w:rPr>
          <w:lang w:val="en-GB"/>
        </w:rPr>
        <w:t xml:space="preserve"> pertuzumab and </w:t>
      </w:r>
      <w:r w:rsidR="00AE79C1" w:rsidRPr="00FC1C6F">
        <w:rPr>
          <w:lang w:val="en-GB"/>
        </w:rPr>
        <w:t>trastuzumab emtansine</w:t>
      </w:r>
      <w:r w:rsidRPr="00FC1C6F">
        <w:rPr>
          <w:lang w:val="en-GB"/>
        </w:rPr>
        <w:t xml:space="preserve">. </w:t>
      </w:r>
      <w:r w:rsidR="00864EEA" w:rsidRPr="00FC1C6F">
        <w:rPr>
          <w:lang w:val="en-GB"/>
        </w:rPr>
        <w:t xml:space="preserve">Approximately 50% of people in HER2CLIMB had brain metastases. </w:t>
      </w:r>
      <w:r w:rsidR="0058680B" w:rsidRPr="00FC1C6F">
        <w:rPr>
          <w:lang w:val="en-GB"/>
        </w:rPr>
        <w:t>The c</w:t>
      </w:r>
      <w:r w:rsidRPr="00FC1C6F">
        <w:rPr>
          <w:lang w:val="en-GB"/>
        </w:rPr>
        <w:t xml:space="preserve">linical experts explained that HER2CLIMB </w:t>
      </w:r>
      <w:r w:rsidR="0058680B" w:rsidRPr="00FC1C6F">
        <w:rPr>
          <w:lang w:val="en-GB"/>
        </w:rPr>
        <w:t xml:space="preserve">represents </w:t>
      </w:r>
      <w:r w:rsidRPr="00FC1C6F">
        <w:rPr>
          <w:lang w:val="en-GB"/>
        </w:rPr>
        <w:t>patients in the NHS in terms of characteristics and previous treatment</w:t>
      </w:r>
      <w:r w:rsidR="00864EEA" w:rsidRPr="00FC1C6F">
        <w:rPr>
          <w:lang w:val="en-GB"/>
        </w:rPr>
        <w:t xml:space="preserve">, including </w:t>
      </w:r>
      <w:r w:rsidR="00196CAC" w:rsidRPr="00FC1C6F">
        <w:rPr>
          <w:lang w:val="en-GB"/>
        </w:rPr>
        <w:t xml:space="preserve">the </w:t>
      </w:r>
      <w:r w:rsidR="00864EEA" w:rsidRPr="00FC1C6F">
        <w:rPr>
          <w:lang w:val="en-GB"/>
        </w:rPr>
        <w:t>proportion of people with brain metastases</w:t>
      </w:r>
      <w:r w:rsidRPr="00FC1C6F">
        <w:rPr>
          <w:lang w:val="en-GB"/>
        </w:rPr>
        <w:t xml:space="preserve">. The committee concluded that </w:t>
      </w:r>
      <w:r w:rsidR="001A35A6" w:rsidRPr="00FC1C6F">
        <w:rPr>
          <w:lang w:val="en-GB"/>
        </w:rPr>
        <w:t>HER2CLIMB</w:t>
      </w:r>
      <w:r w:rsidRPr="00FC1C6F">
        <w:rPr>
          <w:lang w:val="en-GB"/>
        </w:rPr>
        <w:t xml:space="preserve"> is generalisable to </w:t>
      </w:r>
      <w:r w:rsidR="00196CAC" w:rsidRPr="00FC1C6F">
        <w:rPr>
          <w:lang w:val="en-GB"/>
        </w:rPr>
        <w:t xml:space="preserve">the eligible population in </w:t>
      </w:r>
      <w:r w:rsidRPr="00FC1C6F">
        <w:rPr>
          <w:lang w:val="en-GB"/>
        </w:rPr>
        <w:t>clinical practice in the UK.</w:t>
      </w:r>
      <w:bookmarkEnd w:id="6"/>
    </w:p>
    <w:p w14:paraId="0ABBB957" w14:textId="55873E31" w:rsidR="006D44C0" w:rsidRPr="00FC1C6F" w:rsidRDefault="006D44C0" w:rsidP="005259D7">
      <w:pPr>
        <w:pStyle w:val="Heading3"/>
      </w:pPr>
      <w:r w:rsidRPr="00FC1C6F">
        <w:lastRenderedPageBreak/>
        <w:t xml:space="preserve">Tucatinib combination is more </w:t>
      </w:r>
      <w:bookmarkStart w:id="7" w:name="_Hlk83973146"/>
      <w:r w:rsidRPr="00FC1C6F">
        <w:t>effective than trastuzumab with capecitabine, but this comparison does not reflect NHS practice</w:t>
      </w:r>
      <w:bookmarkEnd w:id="7"/>
    </w:p>
    <w:p w14:paraId="29613341" w14:textId="3A6376C7" w:rsidR="00FB580C" w:rsidRPr="00FC1C6F" w:rsidRDefault="005259D7" w:rsidP="00053614">
      <w:pPr>
        <w:pStyle w:val="Numberedlevel2text"/>
        <w:rPr>
          <w:lang w:val="en-GB"/>
        </w:rPr>
      </w:pPr>
      <w:bookmarkStart w:id="8" w:name="_Hlk84502035"/>
      <w:r w:rsidRPr="00FC1C6F">
        <w:rPr>
          <w:lang w:val="en-GB"/>
        </w:rPr>
        <w:t xml:space="preserve">HER2CLIMB </w:t>
      </w:r>
      <w:r w:rsidR="007D088D" w:rsidRPr="00FC1C6F">
        <w:rPr>
          <w:lang w:val="en-GB"/>
        </w:rPr>
        <w:t xml:space="preserve">assessed </w:t>
      </w:r>
      <w:r w:rsidR="007D088D" w:rsidRPr="00FC1C6F">
        <w:rPr>
          <w:rFonts w:cs="Arial"/>
          <w:lang w:val="en-GB"/>
        </w:rPr>
        <w:t xml:space="preserve">tucatinib </w:t>
      </w:r>
      <w:r w:rsidR="00CD4D2F" w:rsidRPr="00FC1C6F">
        <w:rPr>
          <w:rFonts w:cs="Arial"/>
          <w:lang w:val="en-GB"/>
        </w:rPr>
        <w:t>combination</w:t>
      </w:r>
      <w:r w:rsidR="007D088D" w:rsidRPr="00FC1C6F">
        <w:rPr>
          <w:rFonts w:cs="Arial"/>
          <w:lang w:val="en-GB"/>
        </w:rPr>
        <w:t xml:space="preserve"> versus placebo with trastuzumab and capecitabine</w:t>
      </w:r>
      <w:r w:rsidR="00EB1E40" w:rsidRPr="00FC1C6F">
        <w:rPr>
          <w:rFonts w:cs="Arial"/>
          <w:lang w:val="en-GB"/>
        </w:rPr>
        <w:t xml:space="preserve"> (</w:t>
      </w:r>
      <w:r w:rsidR="00F84FD1" w:rsidRPr="00FC1C6F">
        <w:rPr>
          <w:rFonts w:cs="Arial"/>
          <w:lang w:val="en-GB"/>
        </w:rPr>
        <w:t xml:space="preserve">from now, </w:t>
      </w:r>
      <w:r w:rsidR="00EB1E40" w:rsidRPr="00FC1C6F">
        <w:rPr>
          <w:rFonts w:cs="Arial"/>
          <w:lang w:val="en-GB"/>
        </w:rPr>
        <w:t xml:space="preserve">placebo </w:t>
      </w:r>
      <w:r w:rsidR="00C954AC" w:rsidRPr="00FC1C6F">
        <w:rPr>
          <w:rFonts w:cs="Arial"/>
          <w:lang w:val="en-GB"/>
        </w:rPr>
        <w:t>combination</w:t>
      </w:r>
      <w:r w:rsidR="00EB1E40" w:rsidRPr="00FC1C6F">
        <w:rPr>
          <w:rFonts w:cs="Arial"/>
          <w:lang w:val="en-GB"/>
        </w:rPr>
        <w:t>)</w:t>
      </w:r>
      <w:r w:rsidR="007D088D" w:rsidRPr="00FC1C6F">
        <w:rPr>
          <w:lang w:val="en-GB"/>
        </w:rPr>
        <w:t xml:space="preserve">. </w:t>
      </w:r>
      <w:bookmarkEnd w:id="8"/>
      <w:r w:rsidR="005521DC" w:rsidRPr="00FC1C6F">
        <w:rPr>
          <w:lang w:val="en-GB"/>
        </w:rPr>
        <w:t xml:space="preserve">However, trastuzumab with capecitabine is not used in NHS practice (see section </w:t>
      </w:r>
      <w:r w:rsidR="005521DC" w:rsidRPr="00FC1C6F">
        <w:rPr>
          <w:lang w:val="en-GB"/>
        </w:rPr>
        <w:fldChar w:fldCharType="begin"/>
      </w:r>
      <w:r w:rsidR="005521DC" w:rsidRPr="00FC1C6F">
        <w:rPr>
          <w:lang w:val="en-GB"/>
        </w:rPr>
        <w:instrText xml:space="preserve"> REF _Ref83884808 \r \h </w:instrText>
      </w:r>
      <w:r w:rsidR="005521DC" w:rsidRPr="00FC1C6F">
        <w:rPr>
          <w:lang w:val="en-GB"/>
        </w:rPr>
      </w:r>
      <w:r w:rsidR="005521DC" w:rsidRPr="00FC1C6F">
        <w:rPr>
          <w:lang w:val="en-GB"/>
        </w:rPr>
        <w:fldChar w:fldCharType="separate"/>
      </w:r>
      <w:r w:rsidR="001054DD" w:rsidRPr="00FC1C6F">
        <w:rPr>
          <w:lang w:val="en-GB"/>
        </w:rPr>
        <w:t>3.3</w:t>
      </w:r>
      <w:r w:rsidR="005521DC" w:rsidRPr="00FC1C6F">
        <w:rPr>
          <w:lang w:val="en-GB"/>
        </w:rPr>
        <w:fldChar w:fldCharType="end"/>
      </w:r>
      <w:r w:rsidR="005521DC" w:rsidRPr="00FC1C6F">
        <w:rPr>
          <w:lang w:val="en-GB"/>
        </w:rPr>
        <w:t>).</w:t>
      </w:r>
      <w:r w:rsidR="00191C26" w:rsidRPr="00FC1C6F">
        <w:rPr>
          <w:lang w:val="en-GB"/>
        </w:rPr>
        <w:t xml:space="preserve"> </w:t>
      </w:r>
      <w:bookmarkStart w:id="9" w:name="_Hlk84493149"/>
      <w:r w:rsidR="00191C26" w:rsidRPr="00FC1C6F">
        <w:rPr>
          <w:lang w:val="en-GB"/>
        </w:rPr>
        <w:t>Patients receiving tucatinib combination had a median progression-free survival of 7.8 months versus 5.6 months for patients receiving placebo</w:t>
      </w:r>
      <w:r w:rsidR="00DF1B48" w:rsidRPr="00FC1C6F">
        <w:rPr>
          <w:lang w:val="en-GB"/>
        </w:rPr>
        <w:t xml:space="preserve"> combination</w:t>
      </w:r>
      <w:r w:rsidR="00191C26" w:rsidRPr="00FC1C6F">
        <w:rPr>
          <w:lang w:val="en-GB"/>
        </w:rPr>
        <w:t>.</w:t>
      </w:r>
      <w:bookmarkEnd w:id="9"/>
      <w:r w:rsidR="00191C26" w:rsidRPr="00FC1C6F">
        <w:rPr>
          <w:lang w:val="en-GB"/>
        </w:rPr>
        <w:t xml:space="preserve"> </w:t>
      </w:r>
      <w:bookmarkStart w:id="10" w:name="_Hlk84493539"/>
      <w:r w:rsidR="00DF1B48" w:rsidRPr="00FC1C6F">
        <w:rPr>
          <w:lang w:val="en-GB"/>
        </w:rPr>
        <w:t>The hazard ratio for progression-free survival was 0.54</w:t>
      </w:r>
      <w:bookmarkEnd w:id="10"/>
      <w:r w:rsidR="00EB1E40" w:rsidRPr="00FC1C6F">
        <w:rPr>
          <w:lang w:val="en-GB"/>
        </w:rPr>
        <w:t xml:space="preserve"> (95% confidence interval [CI], 0.42 to 0.71; p&lt;0.001)</w:t>
      </w:r>
      <w:r w:rsidR="00DF1B48" w:rsidRPr="00FC1C6F">
        <w:rPr>
          <w:lang w:val="en-GB"/>
        </w:rPr>
        <w:t>.</w:t>
      </w:r>
      <w:r w:rsidR="00191C26" w:rsidRPr="00FC1C6F">
        <w:rPr>
          <w:lang w:val="en-GB"/>
        </w:rPr>
        <w:t xml:space="preserve"> </w:t>
      </w:r>
      <w:r w:rsidR="00DF1B48" w:rsidRPr="00FC1C6F">
        <w:rPr>
          <w:lang w:val="en-GB"/>
        </w:rPr>
        <w:t>Patients receiving tucatinib combination had a median overall survival of 21.9 months versus 17.4 months for patients receiving placebo combination. The hazard ratio for overall survival was 0.66</w:t>
      </w:r>
      <w:r w:rsidR="00EB1E40" w:rsidRPr="00FC1C6F">
        <w:rPr>
          <w:lang w:val="en-GB"/>
        </w:rPr>
        <w:t xml:space="preserve"> (95% CI, 0.50 to 0.88; p=0.005)</w:t>
      </w:r>
      <w:r w:rsidR="00DF1B48" w:rsidRPr="00FC1C6F">
        <w:rPr>
          <w:lang w:val="en-GB"/>
        </w:rPr>
        <w:t>.</w:t>
      </w:r>
      <w:r w:rsidR="005521DC" w:rsidRPr="00FC1C6F">
        <w:rPr>
          <w:lang w:val="en-GB"/>
        </w:rPr>
        <w:t xml:space="preserve"> </w:t>
      </w:r>
      <w:r w:rsidR="00FB580C" w:rsidRPr="00FC1C6F">
        <w:rPr>
          <w:lang w:val="en-GB"/>
        </w:rPr>
        <w:t xml:space="preserve">An improvement in progression-free </w:t>
      </w:r>
      <w:r w:rsidR="00CF293D" w:rsidRPr="00FC1C6F">
        <w:rPr>
          <w:lang w:val="en-GB"/>
        </w:rPr>
        <w:t xml:space="preserve">and overall </w:t>
      </w:r>
      <w:r w:rsidR="00FB580C" w:rsidRPr="00FC1C6F">
        <w:rPr>
          <w:lang w:val="en-GB"/>
        </w:rPr>
        <w:t xml:space="preserve">survival </w:t>
      </w:r>
      <w:r w:rsidR="005521DC" w:rsidRPr="00FC1C6F">
        <w:rPr>
          <w:lang w:val="en-GB"/>
        </w:rPr>
        <w:t>was observed in people with and without brain metastases</w:t>
      </w:r>
      <w:r w:rsidR="00FB580C" w:rsidRPr="00FC1C6F">
        <w:rPr>
          <w:lang w:val="en-GB"/>
        </w:rPr>
        <w:t xml:space="preserve">. </w:t>
      </w:r>
      <w:r w:rsidR="00F010C6" w:rsidRPr="00FC1C6F">
        <w:rPr>
          <w:lang w:val="en-GB"/>
        </w:rPr>
        <w:t>The c</w:t>
      </w:r>
      <w:r w:rsidR="004B4596" w:rsidRPr="00FC1C6F">
        <w:rPr>
          <w:lang w:val="en-GB"/>
        </w:rPr>
        <w:t xml:space="preserve">linical experts explained </w:t>
      </w:r>
      <w:r w:rsidR="00CF293D" w:rsidRPr="00FC1C6F">
        <w:rPr>
          <w:lang w:val="en-GB"/>
        </w:rPr>
        <w:t>that this is because, unlik</w:t>
      </w:r>
      <w:r w:rsidR="00DC4911" w:rsidRPr="00FC1C6F">
        <w:rPr>
          <w:lang w:val="en-GB"/>
        </w:rPr>
        <w:t>e</w:t>
      </w:r>
      <w:r w:rsidR="00CF293D" w:rsidRPr="00FC1C6F">
        <w:rPr>
          <w:lang w:val="en-GB"/>
        </w:rPr>
        <w:t xml:space="preserve"> existing treatments, </w:t>
      </w:r>
      <w:r w:rsidR="004B4596" w:rsidRPr="00FC1C6F">
        <w:rPr>
          <w:lang w:val="en-GB"/>
        </w:rPr>
        <w:t xml:space="preserve">tucatinib is a small molecule </w:t>
      </w:r>
      <w:r w:rsidR="00F010C6" w:rsidRPr="00FC1C6F">
        <w:rPr>
          <w:lang w:val="en-GB"/>
        </w:rPr>
        <w:t xml:space="preserve">that </w:t>
      </w:r>
      <w:r w:rsidR="004B4596" w:rsidRPr="00FC1C6F">
        <w:rPr>
          <w:lang w:val="en-GB"/>
        </w:rPr>
        <w:t xml:space="preserve">can </w:t>
      </w:r>
      <w:r w:rsidR="00CF293D" w:rsidRPr="00FC1C6F">
        <w:rPr>
          <w:lang w:val="en-GB"/>
        </w:rPr>
        <w:t xml:space="preserve">readily </w:t>
      </w:r>
      <w:r w:rsidR="004B4596" w:rsidRPr="00FC1C6F">
        <w:rPr>
          <w:lang w:val="en-GB"/>
        </w:rPr>
        <w:t>pass through the blood</w:t>
      </w:r>
      <w:r w:rsidR="00B91375" w:rsidRPr="00FC1C6F">
        <w:rPr>
          <w:lang w:val="en-GB"/>
        </w:rPr>
        <w:t>-</w:t>
      </w:r>
      <w:r w:rsidR="004B4596" w:rsidRPr="00FC1C6F">
        <w:rPr>
          <w:lang w:val="en-GB"/>
        </w:rPr>
        <w:t>brain barrier</w:t>
      </w:r>
      <w:r w:rsidR="00CF293D" w:rsidRPr="00FC1C6F">
        <w:rPr>
          <w:lang w:val="en-GB"/>
        </w:rPr>
        <w:t>.</w:t>
      </w:r>
      <w:r w:rsidR="005521DC" w:rsidRPr="00FC1C6F">
        <w:rPr>
          <w:lang w:val="en-GB"/>
        </w:rPr>
        <w:t xml:space="preserve"> The clinical experts also explained that </w:t>
      </w:r>
      <w:r w:rsidR="00CF293D" w:rsidRPr="00FC1C6F">
        <w:rPr>
          <w:lang w:val="en-GB"/>
        </w:rPr>
        <w:t xml:space="preserve">the </w:t>
      </w:r>
      <w:r w:rsidR="005521DC" w:rsidRPr="00FC1C6F">
        <w:rPr>
          <w:lang w:val="en-GB"/>
        </w:rPr>
        <w:t xml:space="preserve">clinical data </w:t>
      </w:r>
      <w:r w:rsidR="00CF293D" w:rsidRPr="00FC1C6F">
        <w:rPr>
          <w:lang w:val="en-GB"/>
        </w:rPr>
        <w:t>in the</w:t>
      </w:r>
      <w:r w:rsidR="005521DC" w:rsidRPr="00FC1C6F">
        <w:rPr>
          <w:lang w:val="en-GB"/>
        </w:rPr>
        <w:t xml:space="preserve"> company </w:t>
      </w:r>
      <w:r w:rsidR="00CF293D" w:rsidRPr="00FC1C6F">
        <w:rPr>
          <w:lang w:val="en-GB"/>
        </w:rPr>
        <w:t xml:space="preserve">submission </w:t>
      </w:r>
      <w:r w:rsidR="005521DC" w:rsidRPr="00FC1C6F">
        <w:rPr>
          <w:lang w:val="en-GB"/>
        </w:rPr>
        <w:t xml:space="preserve">is </w:t>
      </w:r>
      <w:r w:rsidR="00CF293D" w:rsidRPr="00FC1C6F">
        <w:rPr>
          <w:lang w:val="en-GB"/>
        </w:rPr>
        <w:t xml:space="preserve">supported by some </w:t>
      </w:r>
      <w:r w:rsidR="005521DC" w:rsidRPr="00FC1C6F">
        <w:rPr>
          <w:lang w:val="en-GB"/>
        </w:rPr>
        <w:t xml:space="preserve">longer follow-up data </w:t>
      </w:r>
      <w:r w:rsidR="00CF293D" w:rsidRPr="00FC1C6F">
        <w:rPr>
          <w:lang w:val="en-GB"/>
        </w:rPr>
        <w:t xml:space="preserve">from the trial </w:t>
      </w:r>
      <w:r w:rsidR="005521DC" w:rsidRPr="00FC1C6F">
        <w:rPr>
          <w:lang w:val="en-GB"/>
        </w:rPr>
        <w:t xml:space="preserve">presented at </w:t>
      </w:r>
      <w:r w:rsidR="00F010C6" w:rsidRPr="00FC1C6F">
        <w:rPr>
          <w:lang w:val="en-GB"/>
        </w:rPr>
        <w:t>the American Society of Clinical Oncology annual meeting</w:t>
      </w:r>
      <w:r w:rsidR="005521DC" w:rsidRPr="00FC1C6F">
        <w:rPr>
          <w:lang w:val="en-GB"/>
        </w:rPr>
        <w:t xml:space="preserve">. </w:t>
      </w:r>
      <w:r w:rsidR="008D4F74" w:rsidRPr="00FC1C6F">
        <w:rPr>
          <w:lang w:val="en-GB"/>
        </w:rPr>
        <w:t xml:space="preserve">The committee concluded that tucatinib combination is more effective than trastuzumab with capecitabine, but </w:t>
      </w:r>
      <w:r w:rsidR="00F010C6" w:rsidRPr="00FC1C6F">
        <w:rPr>
          <w:lang w:val="en-GB"/>
        </w:rPr>
        <w:t xml:space="preserve">that </w:t>
      </w:r>
      <w:r w:rsidR="008D4F74" w:rsidRPr="00FC1C6F">
        <w:rPr>
          <w:lang w:val="en-GB"/>
        </w:rPr>
        <w:t>this comparison does not reflect NHS practice.</w:t>
      </w:r>
    </w:p>
    <w:p w14:paraId="2D20F0AA" w14:textId="4AB3BECA" w:rsidR="00745969" w:rsidRPr="00FC1C6F" w:rsidRDefault="00745969" w:rsidP="00745969">
      <w:pPr>
        <w:pStyle w:val="Heading2"/>
      </w:pPr>
      <w:r w:rsidRPr="00FC1C6F">
        <w:t>Indirect treatment comparison</w:t>
      </w:r>
    </w:p>
    <w:p w14:paraId="7033F752" w14:textId="713BBA07" w:rsidR="00343010" w:rsidRPr="00FC1C6F" w:rsidRDefault="00926329" w:rsidP="00926329">
      <w:pPr>
        <w:pStyle w:val="Heading3"/>
      </w:pPr>
      <w:r w:rsidRPr="00FC1C6F">
        <w:t>Results of the network meta-analysis are uncertain</w:t>
      </w:r>
      <w:r w:rsidR="00DA79A4" w:rsidRPr="00FC1C6F">
        <w:t xml:space="preserve"> </w:t>
      </w:r>
      <w:r w:rsidR="00B959E3" w:rsidRPr="00FC1C6F">
        <w:t>because of</w:t>
      </w:r>
      <w:r w:rsidR="00DA79A4" w:rsidRPr="00FC1C6F">
        <w:t xml:space="preserve"> heterogeneity across trials</w:t>
      </w:r>
    </w:p>
    <w:p w14:paraId="473B3BA8" w14:textId="2038E18D" w:rsidR="00A22B58" w:rsidRPr="00FC1C6F" w:rsidRDefault="00E7632E" w:rsidP="00FA531E">
      <w:pPr>
        <w:pStyle w:val="Numberedlevel2text"/>
        <w:rPr>
          <w:lang w:val="en-GB"/>
        </w:rPr>
      </w:pPr>
      <w:bookmarkStart w:id="11" w:name="_Ref84494842"/>
      <w:r w:rsidRPr="00FC1C6F">
        <w:rPr>
          <w:lang w:val="en-GB"/>
        </w:rPr>
        <w:t xml:space="preserve">There is </w:t>
      </w:r>
      <w:r w:rsidR="00985144" w:rsidRPr="00FC1C6F">
        <w:rPr>
          <w:lang w:val="en-GB"/>
        </w:rPr>
        <w:t>no</w:t>
      </w:r>
      <w:r w:rsidRPr="00FC1C6F">
        <w:rPr>
          <w:lang w:val="en-GB"/>
        </w:rPr>
        <w:t xml:space="preserve"> head-to-head evidence </w:t>
      </w:r>
      <w:r w:rsidR="00310F66" w:rsidRPr="00FC1C6F">
        <w:rPr>
          <w:lang w:val="en-GB"/>
        </w:rPr>
        <w:t xml:space="preserve">comparing </w:t>
      </w:r>
      <w:r w:rsidRPr="00FC1C6F">
        <w:rPr>
          <w:lang w:val="en-GB"/>
        </w:rPr>
        <w:t xml:space="preserve">tucatinib combination </w:t>
      </w:r>
      <w:r w:rsidR="00985144" w:rsidRPr="00FC1C6F">
        <w:rPr>
          <w:lang w:val="en-GB"/>
        </w:rPr>
        <w:t xml:space="preserve">against </w:t>
      </w:r>
      <w:r w:rsidR="00310F66" w:rsidRPr="00FC1C6F">
        <w:rPr>
          <w:lang w:val="en-GB"/>
        </w:rPr>
        <w:t xml:space="preserve">the </w:t>
      </w:r>
      <w:r w:rsidR="00985144" w:rsidRPr="00FC1C6F">
        <w:rPr>
          <w:lang w:val="en-GB"/>
        </w:rPr>
        <w:t xml:space="preserve">relevant </w:t>
      </w:r>
      <w:r w:rsidRPr="00FC1C6F">
        <w:rPr>
          <w:lang w:val="en-GB"/>
        </w:rPr>
        <w:t>comparators</w:t>
      </w:r>
      <w:r w:rsidR="00985144" w:rsidRPr="00FC1C6F">
        <w:rPr>
          <w:lang w:val="en-GB"/>
        </w:rPr>
        <w:t xml:space="preserve">, capecitabine, vinorelbine or </w:t>
      </w:r>
      <w:proofErr w:type="spellStart"/>
      <w:r w:rsidR="00985144" w:rsidRPr="00FC1C6F">
        <w:rPr>
          <w:lang w:val="en-GB"/>
        </w:rPr>
        <w:t>eribulin</w:t>
      </w:r>
      <w:proofErr w:type="spellEnd"/>
      <w:r w:rsidR="00985144" w:rsidRPr="00FC1C6F">
        <w:rPr>
          <w:lang w:val="en-GB"/>
        </w:rPr>
        <w:t xml:space="preserve"> (see section </w:t>
      </w:r>
      <w:r w:rsidR="00985144" w:rsidRPr="00FC1C6F">
        <w:rPr>
          <w:lang w:val="en-GB"/>
        </w:rPr>
        <w:fldChar w:fldCharType="begin"/>
      </w:r>
      <w:r w:rsidR="00985144" w:rsidRPr="00FC1C6F">
        <w:rPr>
          <w:lang w:val="en-GB"/>
        </w:rPr>
        <w:instrText xml:space="preserve"> REF _Ref83884808 \r \h </w:instrText>
      </w:r>
      <w:r w:rsidR="00985144" w:rsidRPr="00FC1C6F">
        <w:rPr>
          <w:lang w:val="en-GB"/>
        </w:rPr>
      </w:r>
      <w:r w:rsidR="00985144" w:rsidRPr="00FC1C6F">
        <w:rPr>
          <w:lang w:val="en-GB"/>
        </w:rPr>
        <w:fldChar w:fldCharType="separate"/>
      </w:r>
      <w:r w:rsidR="001054DD" w:rsidRPr="00FC1C6F">
        <w:rPr>
          <w:lang w:val="en-GB"/>
        </w:rPr>
        <w:t>3.3</w:t>
      </w:r>
      <w:r w:rsidR="00985144" w:rsidRPr="00FC1C6F">
        <w:rPr>
          <w:lang w:val="en-GB"/>
        </w:rPr>
        <w:fldChar w:fldCharType="end"/>
      </w:r>
      <w:r w:rsidR="00985144" w:rsidRPr="00FC1C6F">
        <w:rPr>
          <w:lang w:val="en-GB"/>
        </w:rPr>
        <w:t>)</w:t>
      </w:r>
      <w:r w:rsidRPr="00FC1C6F">
        <w:rPr>
          <w:lang w:val="en-GB"/>
        </w:rPr>
        <w:t xml:space="preserve">. </w:t>
      </w:r>
      <w:r w:rsidR="009D68BB" w:rsidRPr="00FC1C6F">
        <w:rPr>
          <w:lang w:val="en-GB"/>
        </w:rPr>
        <w:t>Therefore</w:t>
      </w:r>
      <w:r w:rsidR="00DF1B48" w:rsidRPr="00FC1C6F">
        <w:rPr>
          <w:lang w:val="en-GB"/>
        </w:rPr>
        <w:t>,</w:t>
      </w:r>
      <w:r w:rsidR="009D68BB" w:rsidRPr="00FC1C6F">
        <w:rPr>
          <w:lang w:val="en-GB"/>
        </w:rPr>
        <w:t xml:space="preserve"> the company did a</w:t>
      </w:r>
      <w:r w:rsidRPr="00FC1C6F">
        <w:rPr>
          <w:lang w:val="en-GB"/>
        </w:rPr>
        <w:t xml:space="preserve"> network</w:t>
      </w:r>
      <w:r w:rsidR="00704102" w:rsidRPr="00FC1C6F">
        <w:rPr>
          <w:lang w:val="en-GB"/>
        </w:rPr>
        <w:t xml:space="preserve"> meta-analysis</w:t>
      </w:r>
      <w:r w:rsidRPr="00FC1C6F">
        <w:rPr>
          <w:lang w:val="en-GB"/>
        </w:rPr>
        <w:t xml:space="preserve"> to </w:t>
      </w:r>
      <w:r w:rsidR="00985144" w:rsidRPr="00FC1C6F">
        <w:rPr>
          <w:lang w:val="en-GB"/>
        </w:rPr>
        <w:t xml:space="preserve">allow for </w:t>
      </w:r>
      <w:r w:rsidRPr="00FC1C6F">
        <w:rPr>
          <w:lang w:val="en-GB"/>
        </w:rPr>
        <w:t>an indirect treatment comparison.</w:t>
      </w:r>
      <w:r w:rsidR="00704102" w:rsidRPr="00FC1C6F">
        <w:rPr>
          <w:lang w:val="en-GB"/>
        </w:rPr>
        <w:t xml:space="preserve"> </w:t>
      </w:r>
      <w:r w:rsidR="001054DD" w:rsidRPr="00FC1C6F">
        <w:rPr>
          <w:lang w:val="en-GB"/>
        </w:rPr>
        <w:t>The r</w:t>
      </w:r>
      <w:r w:rsidR="00045307" w:rsidRPr="00FC1C6F">
        <w:rPr>
          <w:lang w:val="en-GB"/>
        </w:rPr>
        <w:t xml:space="preserve">esults showed increased </w:t>
      </w:r>
      <w:r w:rsidR="006B77ED" w:rsidRPr="00FC1C6F">
        <w:rPr>
          <w:lang w:val="en-GB"/>
        </w:rPr>
        <w:t xml:space="preserve">progression-free and overall survival </w:t>
      </w:r>
      <w:r w:rsidR="00045307" w:rsidRPr="00FC1C6F">
        <w:rPr>
          <w:lang w:val="en-GB"/>
        </w:rPr>
        <w:t xml:space="preserve">for tucatinib combination compared </w:t>
      </w:r>
      <w:r w:rsidR="001054DD" w:rsidRPr="00FC1C6F">
        <w:rPr>
          <w:lang w:val="en-GB"/>
        </w:rPr>
        <w:lastRenderedPageBreak/>
        <w:t>with</w:t>
      </w:r>
      <w:r w:rsidR="00045307" w:rsidRPr="00FC1C6F">
        <w:rPr>
          <w:lang w:val="en-GB"/>
        </w:rPr>
        <w:t xml:space="preserve"> other treatments</w:t>
      </w:r>
      <w:r w:rsidR="00AC3A39" w:rsidRPr="00FC1C6F">
        <w:rPr>
          <w:lang w:val="en-GB"/>
        </w:rPr>
        <w:t xml:space="preserve"> (</w:t>
      </w:r>
      <w:r w:rsidR="001054DD" w:rsidRPr="00FC1C6F">
        <w:rPr>
          <w:lang w:val="en-GB"/>
        </w:rPr>
        <w:t xml:space="preserve">the </w:t>
      </w:r>
      <w:r w:rsidR="00AC3A39" w:rsidRPr="00FC1C6F">
        <w:rPr>
          <w:lang w:val="en-GB"/>
        </w:rPr>
        <w:t>exact numbers are academic in confidence and cannot be reported here)</w:t>
      </w:r>
      <w:r w:rsidR="00045307" w:rsidRPr="00FC1C6F">
        <w:rPr>
          <w:lang w:val="en-GB"/>
        </w:rPr>
        <w:t xml:space="preserve">. </w:t>
      </w:r>
      <w:r w:rsidR="006B77ED" w:rsidRPr="00FC1C6F">
        <w:rPr>
          <w:lang w:val="en-GB"/>
        </w:rPr>
        <w:t>However, the ERG explained that these results are uncertain because t</w:t>
      </w:r>
      <w:r w:rsidR="00704102" w:rsidRPr="00FC1C6F">
        <w:rPr>
          <w:lang w:val="en-GB"/>
        </w:rPr>
        <w:t xml:space="preserve">here </w:t>
      </w:r>
      <w:r w:rsidR="00310F66" w:rsidRPr="00FC1C6F">
        <w:rPr>
          <w:lang w:val="en-GB"/>
        </w:rPr>
        <w:t xml:space="preserve">were </w:t>
      </w:r>
      <w:r w:rsidR="00704102" w:rsidRPr="00FC1C6F">
        <w:rPr>
          <w:lang w:val="en-GB"/>
        </w:rPr>
        <w:t xml:space="preserve">differences between patient populations in </w:t>
      </w:r>
      <w:r w:rsidR="005C03CC" w:rsidRPr="00FC1C6F">
        <w:rPr>
          <w:lang w:val="en-GB"/>
        </w:rPr>
        <w:t xml:space="preserve">the </w:t>
      </w:r>
      <w:r w:rsidR="00704102" w:rsidRPr="00FC1C6F">
        <w:rPr>
          <w:lang w:val="en-GB"/>
        </w:rPr>
        <w:t>trials included. The</w:t>
      </w:r>
      <w:r w:rsidR="00C729AF" w:rsidRPr="00FC1C6F">
        <w:rPr>
          <w:lang w:val="en-GB"/>
        </w:rPr>
        <w:t xml:space="preserve"> </w:t>
      </w:r>
      <w:r w:rsidR="00704102" w:rsidRPr="00FC1C6F">
        <w:rPr>
          <w:lang w:val="en-GB"/>
        </w:rPr>
        <w:t xml:space="preserve">HER2CLIMB trial </w:t>
      </w:r>
      <w:r w:rsidR="005C03CC" w:rsidRPr="00FC1C6F">
        <w:rPr>
          <w:lang w:val="en-GB"/>
        </w:rPr>
        <w:t xml:space="preserve">included </w:t>
      </w:r>
      <w:r w:rsidR="00704102" w:rsidRPr="00FC1C6F">
        <w:rPr>
          <w:lang w:val="en-GB"/>
        </w:rPr>
        <w:t>patients with and without brain metastases</w:t>
      </w:r>
      <w:r w:rsidR="00DC5DF2" w:rsidRPr="00FC1C6F">
        <w:rPr>
          <w:lang w:val="en-GB"/>
        </w:rPr>
        <w:t>; a</w:t>
      </w:r>
      <w:r w:rsidR="00BB6117" w:rsidRPr="00FC1C6F">
        <w:rPr>
          <w:lang w:val="en-GB"/>
        </w:rPr>
        <w:t>pproximately 28% had active brain metastases (</w:t>
      </w:r>
      <w:r w:rsidR="00310F66" w:rsidRPr="00FC1C6F">
        <w:rPr>
          <w:rFonts w:cs="Arial"/>
          <w:lang w:val="en-GB"/>
        </w:rPr>
        <w:t>that is,</w:t>
      </w:r>
      <w:r w:rsidR="00BB6117" w:rsidRPr="00FC1C6F">
        <w:rPr>
          <w:rFonts w:cs="Arial"/>
          <w:lang w:val="en-GB"/>
        </w:rPr>
        <w:t xml:space="preserve"> either treated and progressing</w:t>
      </w:r>
      <w:r w:rsidR="00310F66" w:rsidRPr="00FC1C6F">
        <w:rPr>
          <w:rFonts w:cs="Arial"/>
          <w:lang w:val="en-GB"/>
        </w:rPr>
        <w:t>,</w:t>
      </w:r>
      <w:r w:rsidR="00BB6117" w:rsidRPr="00FC1C6F">
        <w:rPr>
          <w:rFonts w:cs="Arial"/>
          <w:lang w:val="en-GB"/>
        </w:rPr>
        <w:t xml:space="preserve"> or untreated) and </w:t>
      </w:r>
      <w:r w:rsidR="00BB6117" w:rsidRPr="00FC1C6F">
        <w:rPr>
          <w:lang w:val="en-GB"/>
        </w:rPr>
        <w:t>19% had stable brain metastases</w:t>
      </w:r>
      <w:r w:rsidR="00BB6117" w:rsidRPr="00FC1C6F">
        <w:rPr>
          <w:rFonts w:cs="Arial"/>
          <w:lang w:val="en-GB"/>
        </w:rPr>
        <w:t xml:space="preserve">. </w:t>
      </w:r>
      <w:r w:rsidR="00AC3A39" w:rsidRPr="00FC1C6F">
        <w:rPr>
          <w:lang w:val="en-GB"/>
        </w:rPr>
        <w:t xml:space="preserve">None of </w:t>
      </w:r>
      <w:r w:rsidR="001054DD" w:rsidRPr="00FC1C6F">
        <w:rPr>
          <w:lang w:val="en-GB"/>
        </w:rPr>
        <w:t xml:space="preserve">the </w:t>
      </w:r>
      <w:r w:rsidR="00AC3A39" w:rsidRPr="00FC1C6F">
        <w:rPr>
          <w:lang w:val="en-GB"/>
        </w:rPr>
        <w:t>comparator trials included people with active brain metastases. All but one included people with stable or inactive brain metastases, but the proportion was usually not reported.</w:t>
      </w:r>
      <w:r w:rsidR="00704102" w:rsidRPr="00FC1C6F">
        <w:rPr>
          <w:lang w:val="en-GB"/>
        </w:rPr>
        <w:t xml:space="preserve"> </w:t>
      </w:r>
      <w:r w:rsidR="00C729AF" w:rsidRPr="00FC1C6F">
        <w:rPr>
          <w:lang w:val="en-GB"/>
        </w:rPr>
        <w:t>Other differences between patient</w:t>
      </w:r>
      <w:r w:rsidR="00DC4911" w:rsidRPr="00FC1C6F">
        <w:rPr>
          <w:lang w:val="en-GB"/>
        </w:rPr>
        <w:t xml:space="preserve"> </w:t>
      </w:r>
      <w:r w:rsidR="00C729AF" w:rsidRPr="00FC1C6F">
        <w:rPr>
          <w:lang w:val="en-GB"/>
        </w:rPr>
        <w:t xml:space="preserve">populations </w:t>
      </w:r>
      <w:r w:rsidR="00FA489A" w:rsidRPr="00FC1C6F">
        <w:rPr>
          <w:lang w:val="en-GB"/>
        </w:rPr>
        <w:t xml:space="preserve">were </w:t>
      </w:r>
      <w:r w:rsidR="00CB23C4" w:rsidRPr="00FC1C6F">
        <w:rPr>
          <w:lang w:val="en-GB"/>
        </w:rPr>
        <w:t xml:space="preserve">the </w:t>
      </w:r>
      <w:r w:rsidR="00C729AF" w:rsidRPr="00FC1C6F">
        <w:rPr>
          <w:lang w:val="en-GB"/>
        </w:rPr>
        <w:t xml:space="preserve">number of prior lines of therapy, </w:t>
      </w:r>
      <w:r w:rsidR="006D44C0" w:rsidRPr="00FC1C6F">
        <w:rPr>
          <w:lang w:val="en-GB"/>
        </w:rPr>
        <w:t xml:space="preserve">prior </w:t>
      </w:r>
      <w:r w:rsidR="00C729AF" w:rsidRPr="00FC1C6F">
        <w:rPr>
          <w:lang w:val="en-GB"/>
        </w:rPr>
        <w:t xml:space="preserve">anti-HER2 treatment, HER2 </w:t>
      </w:r>
      <w:r w:rsidR="006D44C0" w:rsidRPr="00FC1C6F">
        <w:rPr>
          <w:lang w:val="en-GB"/>
        </w:rPr>
        <w:t xml:space="preserve">positivity </w:t>
      </w:r>
      <w:r w:rsidR="00C729AF" w:rsidRPr="00FC1C6F">
        <w:rPr>
          <w:lang w:val="en-GB"/>
        </w:rPr>
        <w:t xml:space="preserve">status, performance status and </w:t>
      </w:r>
      <w:r w:rsidR="00CB23C4" w:rsidRPr="00FC1C6F">
        <w:rPr>
          <w:lang w:val="en-GB"/>
        </w:rPr>
        <w:t>family background</w:t>
      </w:r>
      <w:r w:rsidR="00C729AF" w:rsidRPr="00FC1C6F">
        <w:rPr>
          <w:lang w:val="en-GB"/>
        </w:rPr>
        <w:t xml:space="preserve">. </w:t>
      </w:r>
      <w:r w:rsidR="00CB23C4" w:rsidRPr="00FC1C6F">
        <w:rPr>
          <w:lang w:val="en-GB"/>
        </w:rPr>
        <w:t>The c</w:t>
      </w:r>
      <w:r w:rsidR="00704102" w:rsidRPr="00FC1C6F">
        <w:rPr>
          <w:lang w:val="en-GB"/>
        </w:rPr>
        <w:t xml:space="preserve">linical experts explained that people with brain metastases </w:t>
      </w:r>
      <w:r w:rsidR="00C729AF" w:rsidRPr="00FC1C6F">
        <w:rPr>
          <w:lang w:val="en-GB"/>
        </w:rPr>
        <w:t xml:space="preserve">have a poorer prognosis </w:t>
      </w:r>
      <w:r w:rsidR="00CB23C4" w:rsidRPr="00FC1C6F">
        <w:rPr>
          <w:lang w:val="en-GB"/>
        </w:rPr>
        <w:t xml:space="preserve">than </w:t>
      </w:r>
      <w:r w:rsidR="00C729AF" w:rsidRPr="00FC1C6F">
        <w:rPr>
          <w:lang w:val="en-GB"/>
        </w:rPr>
        <w:t>those without.</w:t>
      </w:r>
      <w:r w:rsidR="0030323D" w:rsidRPr="00FC1C6F">
        <w:rPr>
          <w:lang w:val="en-GB"/>
        </w:rPr>
        <w:t xml:space="preserve"> The committee noted that </w:t>
      </w:r>
      <w:r w:rsidR="00CB23C4" w:rsidRPr="00FC1C6F">
        <w:rPr>
          <w:lang w:val="en-GB"/>
        </w:rPr>
        <w:t xml:space="preserve">an </w:t>
      </w:r>
      <w:r w:rsidR="0030323D" w:rsidRPr="00FC1C6F">
        <w:rPr>
          <w:lang w:val="en-GB"/>
        </w:rPr>
        <w:t>anchored indirect treatment comparison can account for differences in prognostic factors between trials</w:t>
      </w:r>
      <w:r w:rsidR="003140C1" w:rsidRPr="00FC1C6F">
        <w:rPr>
          <w:lang w:val="en-GB"/>
        </w:rPr>
        <w:t xml:space="preserve">. However, </w:t>
      </w:r>
      <w:r w:rsidR="00E67A01" w:rsidRPr="00FC1C6F">
        <w:rPr>
          <w:lang w:val="en-GB"/>
        </w:rPr>
        <w:t>if tucatinib or its comparators</w:t>
      </w:r>
      <w:r w:rsidR="00CB23C4" w:rsidRPr="00FC1C6F">
        <w:rPr>
          <w:lang w:val="en-GB"/>
        </w:rPr>
        <w:t xml:space="preserve"> </w:t>
      </w:r>
      <w:r w:rsidR="00E67A01" w:rsidRPr="00FC1C6F">
        <w:rPr>
          <w:lang w:val="en-GB"/>
        </w:rPr>
        <w:t>ha</w:t>
      </w:r>
      <w:r w:rsidR="00CB23C4" w:rsidRPr="00FC1C6F">
        <w:rPr>
          <w:lang w:val="en-GB"/>
        </w:rPr>
        <w:t>d</w:t>
      </w:r>
      <w:r w:rsidR="00E67A01" w:rsidRPr="00FC1C6F">
        <w:rPr>
          <w:lang w:val="en-GB"/>
        </w:rPr>
        <w:t xml:space="preserve"> different effectiveness in people with and without brain metastases,</w:t>
      </w:r>
      <w:r w:rsidR="0030323D" w:rsidRPr="00FC1C6F">
        <w:rPr>
          <w:lang w:val="en-GB"/>
        </w:rPr>
        <w:t xml:space="preserve"> this uncertainty </w:t>
      </w:r>
      <w:r w:rsidR="00CB23C4" w:rsidRPr="00FC1C6F">
        <w:rPr>
          <w:lang w:val="en-GB"/>
        </w:rPr>
        <w:t xml:space="preserve">would be </w:t>
      </w:r>
      <w:r w:rsidR="0030323D" w:rsidRPr="00FC1C6F">
        <w:rPr>
          <w:lang w:val="en-GB"/>
        </w:rPr>
        <w:t xml:space="preserve">much more difficult to resolve. </w:t>
      </w:r>
      <w:r w:rsidR="00CB23C4" w:rsidRPr="00FC1C6F">
        <w:rPr>
          <w:lang w:val="en-GB"/>
        </w:rPr>
        <w:t>The c</w:t>
      </w:r>
      <w:r w:rsidR="00FA489A" w:rsidRPr="00FC1C6F">
        <w:rPr>
          <w:lang w:val="en-GB"/>
        </w:rPr>
        <w:t xml:space="preserve">linical experts explained </w:t>
      </w:r>
      <w:r w:rsidR="00312C70" w:rsidRPr="00FC1C6F">
        <w:rPr>
          <w:lang w:val="en-GB"/>
        </w:rPr>
        <w:t xml:space="preserve">that tucatinib is the only treatment </w:t>
      </w:r>
      <w:r w:rsidR="0030323D" w:rsidRPr="00FC1C6F">
        <w:rPr>
          <w:lang w:val="en-GB"/>
        </w:rPr>
        <w:t xml:space="preserve">shown </w:t>
      </w:r>
      <w:r w:rsidR="00312C70" w:rsidRPr="00FC1C6F">
        <w:rPr>
          <w:lang w:val="en-GB"/>
        </w:rPr>
        <w:t xml:space="preserve">to cross </w:t>
      </w:r>
      <w:r w:rsidR="00DC4911" w:rsidRPr="00FC1C6F">
        <w:rPr>
          <w:lang w:val="en-GB"/>
        </w:rPr>
        <w:t xml:space="preserve">the </w:t>
      </w:r>
      <w:r w:rsidR="00312C70" w:rsidRPr="00FC1C6F">
        <w:rPr>
          <w:lang w:val="en-GB"/>
        </w:rPr>
        <w:t xml:space="preserve">blood-brain barrier </w:t>
      </w:r>
      <w:r w:rsidR="00AC3A39" w:rsidRPr="00FC1C6F">
        <w:rPr>
          <w:lang w:val="en-GB"/>
        </w:rPr>
        <w:t xml:space="preserve">with </w:t>
      </w:r>
      <w:r w:rsidR="00312C70" w:rsidRPr="00FC1C6F">
        <w:rPr>
          <w:lang w:val="en-GB"/>
        </w:rPr>
        <w:t>demonstrate</w:t>
      </w:r>
      <w:r w:rsidR="00AC3A39" w:rsidRPr="00FC1C6F">
        <w:rPr>
          <w:lang w:val="en-GB"/>
        </w:rPr>
        <w:t>d</w:t>
      </w:r>
      <w:r w:rsidR="00312C70" w:rsidRPr="00FC1C6F">
        <w:rPr>
          <w:lang w:val="en-GB"/>
        </w:rPr>
        <w:t xml:space="preserve"> activity in people with brain metastases. But they highlighted </w:t>
      </w:r>
      <w:r w:rsidR="00DC4911" w:rsidRPr="00FC1C6F">
        <w:rPr>
          <w:lang w:val="en-GB"/>
        </w:rPr>
        <w:t xml:space="preserve">that the </w:t>
      </w:r>
      <w:r w:rsidR="00312C70" w:rsidRPr="00FC1C6F">
        <w:rPr>
          <w:lang w:val="en-GB"/>
        </w:rPr>
        <w:t xml:space="preserve">impact of other treatment options </w:t>
      </w:r>
      <w:r w:rsidR="000B6070" w:rsidRPr="00FC1C6F">
        <w:rPr>
          <w:lang w:val="en-GB"/>
        </w:rPr>
        <w:t xml:space="preserve">on brain metastases </w:t>
      </w:r>
      <w:r w:rsidR="00312C70" w:rsidRPr="00FC1C6F">
        <w:rPr>
          <w:lang w:val="en-GB"/>
        </w:rPr>
        <w:t>is complex. A</w:t>
      </w:r>
      <w:r w:rsidR="00962BC7" w:rsidRPr="00FC1C6F">
        <w:rPr>
          <w:lang w:val="en-GB"/>
        </w:rPr>
        <w:t xml:space="preserve">lthough </w:t>
      </w:r>
      <w:r w:rsidR="000B6070" w:rsidRPr="00FC1C6F">
        <w:rPr>
          <w:lang w:val="en-GB"/>
        </w:rPr>
        <w:t>comparator drugs</w:t>
      </w:r>
      <w:r w:rsidR="00947CFE" w:rsidRPr="00FC1C6F">
        <w:rPr>
          <w:lang w:val="en-GB"/>
        </w:rPr>
        <w:t xml:space="preserve"> generally cannot cross </w:t>
      </w:r>
      <w:r w:rsidR="0055457E" w:rsidRPr="00FC1C6F">
        <w:rPr>
          <w:lang w:val="en-GB"/>
        </w:rPr>
        <w:t xml:space="preserve">an </w:t>
      </w:r>
      <w:r w:rsidR="00947CFE" w:rsidRPr="00FC1C6F">
        <w:rPr>
          <w:lang w:val="en-GB"/>
        </w:rPr>
        <w:t>intact blood-brain barrier</w:t>
      </w:r>
      <w:r w:rsidR="00312C70" w:rsidRPr="00FC1C6F">
        <w:rPr>
          <w:lang w:val="en-GB"/>
        </w:rPr>
        <w:t xml:space="preserve">, </w:t>
      </w:r>
      <w:r w:rsidR="000B6070" w:rsidRPr="00FC1C6F">
        <w:rPr>
          <w:lang w:val="en-GB"/>
        </w:rPr>
        <w:t xml:space="preserve">small amounts can cross </w:t>
      </w:r>
      <w:r w:rsidR="00E27F1B" w:rsidRPr="00FC1C6F">
        <w:rPr>
          <w:lang w:val="en-GB"/>
        </w:rPr>
        <w:t>whe</w:t>
      </w:r>
      <w:r w:rsidR="000730EA" w:rsidRPr="00FC1C6F">
        <w:rPr>
          <w:lang w:val="en-GB"/>
        </w:rPr>
        <w:t>n</w:t>
      </w:r>
      <w:r w:rsidR="0055457E" w:rsidRPr="00FC1C6F">
        <w:rPr>
          <w:lang w:val="en-GB"/>
        </w:rPr>
        <w:t xml:space="preserve"> the</w:t>
      </w:r>
      <w:r w:rsidR="000B6070" w:rsidRPr="00FC1C6F">
        <w:rPr>
          <w:lang w:val="en-GB"/>
        </w:rPr>
        <w:t xml:space="preserve"> barrier is compromised, for example after whole-brain radiation therapy</w:t>
      </w:r>
      <w:r w:rsidR="00947CFE" w:rsidRPr="00FC1C6F">
        <w:rPr>
          <w:lang w:val="en-GB"/>
        </w:rPr>
        <w:t xml:space="preserve">. </w:t>
      </w:r>
      <w:r w:rsidR="00E27F1B" w:rsidRPr="00FC1C6F">
        <w:rPr>
          <w:lang w:val="en-GB"/>
        </w:rPr>
        <w:t>The clinical experts a</w:t>
      </w:r>
      <w:r w:rsidR="000B6070" w:rsidRPr="00FC1C6F">
        <w:rPr>
          <w:lang w:val="en-GB"/>
        </w:rPr>
        <w:t>lso</w:t>
      </w:r>
      <w:r w:rsidR="00E27F1B" w:rsidRPr="00FC1C6F">
        <w:rPr>
          <w:lang w:val="en-GB"/>
        </w:rPr>
        <w:t xml:space="preserve"> </w:t>
      </w:r>
      <w:r w:rsidR="00947CFE" w:rsidRPr="00FC1C6F">
        <w:rPr>
          <w:lang w:val="en-GB"/>
        </w:rPr>
        <w:t xml:space="preserve">noted that good control of disease and metastases in other parts of the body </w:t>
      </w:r>
      <w:r w:rsidR="00DC4911" w:rsidRPr="00FC1C6F">
        <w:rPr>
          <w:lang w:val="en-GB"/>
        </w:rPr>
        <w:t xml:space="preserve">may </w:t>
      </w:r>
      <w:r w:rsidR="00947CFE" w:rsidRPr="00FC1C6F">
        <w:rPr>
          <w:lang w:val="en-GB"/>
        </w:rPr>
        <w:t>delay brain metastases</w:t>
      </w:r>
      <w:r w:rsidR="00E27F1B" w:rsidRPr="00FC1C6F">
        <w:rPr>
          <w:lang w:val="en-GB"/>
        </w:rPr>
        <w:t xml:space="preserve"> development and progression</w:t>
      </w:r>
      <w:r w:rsidR="00947CFE" w:rsidRPr="00FC1C6F">
        <w:rPr>
          <w:lang w:val="en-GB"/>
        </w:rPr>
        <w:t xml:space="preserve">, so treatments that are more effective </w:t>
      </w:r>
      <w:r w:rsidR="000B6070" w:rsidRPr="00FC1C6F">
        <w:rPr>
          <w:lang w:val="en-GB"/>
        </w:rPr>
        <w:t>in controlling other metastases</w:t>
      </w:r>
      <w:r w:rsidR="00A12B03" w:rsidRPr="00FC1C6F">
        <w:rPr>
          <w:lang w:val="en-GB"/>
        </w:rPr>
        <w:t xml:space="preserve"> </w:t>
      </w:r>
      <w:r w:rsidR="00947CFE" w:rsidRPr="00FC1C6F">
        <w:rPr>
          <w:lang w:val="en-GB"/>
        </w:rPr>
        <w:t xml:space="preserve">are also believed to be more effective for people with brain metastases. </w:t>
      </w:r>
      <w:r w:rsidR="002F5AEC" w:rsidRPr="00FC1C6F">
        <w:rPr>
          <w:lang w:val="en-GB"/>
        </w:rPr>
        <w:t xml:space="preserve">They also noted that </w:t>
      </w:r>
      <w:r w:rsidR="001C1360" w:rsidRPr="00FC1C6F">
        <w:rPr>
          <w:lang w:val="en-GB"/>
        </w:rPr>
        <w:t xml:space="preserve">lapatinib with </w:t>
      </w:r>
      <w:r w:rsidR="002F5AEC" w:rsidRPr="00FC1C6F">
        <w:rPr>
          <w:lang w:val="en-GB"/>
        </w:rPr>
        <w:t>capecitabine</w:t>
      </w:r>
      <w:r w:rsidR="0089589C" w:rsidRPr="00FC1C6F">
        <w:rPr>
          <w:lang w:val="en-GB"/>
        </w:rPr>
        <w:t xml:space="preserve"> (</w:t>
      </w:r>
      <w:r w:rsidR="001C1360" w:rsidRPr="00FC1C6F">
        <w:rPr>
          <w:lang w:val="en-GB"/>
        </w:rPr>
        <w:t xml:space="preserve">not a relevant </w:t>
      </w:r>
      <w:proofErr w:type="gramStart"/>
      <w:r w:rsidR="001C1360" w:rsidRPr="00FC1C6F">
        <w:rPr>
          <w:lang w:val="en-GB"/>
        </w:rPr>
        <w:t>comparator, but</w:t>
      </w:r>
      <w:proofErr w:type="gramEnd"/>
      <w:r w:rsidR="001C1360" w:rsidRPr="00FC1C6F">
        <w:rPr>
          <w:lang w:val="en-GB"/>
        </w:rPr>
        <w:t xml:space="preserve"> was included in the network)</w:t>
      </w:r>
      <w:r w:rsidR="002F5AEC" w:rsidRPr="00FC1C6F">
        <w:rPr>
          <w:lang w:val="en-GB"/>
        </w:rPr>
        <w:t xml:space="preserve"> w</w:t>
      </w:r>
      <w:r w:rsidR="001C1360" w:rsidRPr="00FC1C6F">
        <w:rPr>
          <w:lang w:val="en-GB"/>
        </w:rPr>
        <w:t>as</w:t>
      </w:r>
      <w:r w:rsidR="002F5AEC" w:rsidRPr="00FC1C6F">
        <w:rPr>
          <w:lang w:val="en-GB"/>
        </w:rPr>
        <w:t xml:space="preserve"> shown to have </w:t>
      </w:r>
      <w:r w:rsidR="0030323D" w:rsidRPr="00FC1C6F">
        <w:rPr>
          <w:lang w:val="en-GB"/>
        </w:rPr>
        <w:t xml:space="preserve">at least </w:t>
      </w:r>
      <w:r w:rsidR="002F5AEC" w:rsidRPr="00FC1C6F">
        <w:rPr>
          <w:lang w:val="en-GB"/>
        </w:rPr>
        <w:t xml:space="preserve">some activity for brain metastases. </w:t>
      </w:r>
      <w:r w:rsidR="00DB4B65" w:rsidRPr="00FC1C6F">
        <w:rPr>
          <w:lang w:val="en-GB"/>
        </w:rPr>
        <w:t>The committee understood that</w:t>
      </w:r>
      <w:r w:rsidR="000B6070" w:rsidRPr="00FC1C6F">
        <w:rPr>
          <w:lang w:val="en-GB"/>
        </w:rPr>
        <w:t xml:space="preserve"> differences in </w:t>
      </w:r>
      <w:r w:rsidR="00DC4911" w:rsidRPr="00FC1C6F">
        <w:rPr>
          <w:lang w:val="en-GB"/>
        </w:rPr>
        <w:t xml:space="preserve">the </w:t>
      </w:r>
      <w:r w:rsidR="000B6070" w:rsidRPr="00FC1C6F">
        <w:rPr>
          <w:lang w:val="en-GB"/>
        </w:rPr>
        <w:t>proportion</w:t>
      </w:r>
      <w:r w:rsidR="00E27F1B" w:rsidRPr="00FC1C6F">
        <w:rPr>
          <w:lang w:val="en-GB"/>
        </w:rPr>
        <w:t>s</w:t>
      </w:r>
      <w:r w:rsidR="000B6070" w:rsidRPr="00FC1C6F">
        <w:rPr>
          <w:lang w:val="en-GB"/>
        </w:rPr>
        <w:t xml:space="preserve"> of people </w:t>
      </w:r>
      <w:r w:rsidR="00672E18" w:rsidRPr="00FC1C6F">
        <w:rPr>
          <w:lang w:val="en-GB"/>
        </w:rPr>
        <w:t xml:space="preserve">with brain metastases across </w:t>
      </w:r>
      <w:r w:rsidR="00672E18" w:rsidRPr="00FC1C6F">
        <w:rPr>
          <w:lang w:val="en-GB"/>
        </w:rPr>
        <w:lastRenderedPageBreak/>
        <w:t>trials</w:t>
      </w:r>
      <w:r w:rsidR="00DB4B65" w:rsidRPr="00FC1C6F">
        <w:rPr>
          <w:lang w:val="en-GB"/>
        </w:rPr>
        <w:t xml:space="preserve"> may bias </w:t>
      </w:r>
      <w:r w:rsidR="00206E5D" w:rsidRPr="00FC1C6F">
        <w:rPr>
          <w:lang w:val="en-GB"/>
        </w:rPr>
        <w:t xml:space="preserve">the </w:t>
      </w:r>
      <w:r w:rsidR="00672E18" w:rsidRPr="00FC1C6F">
        <w:rPr>
          <w:lang w:val="en-GB"/>
        </w:rPr>
        <w:t xml:space="preserve">results of </w:t>
      </w:r>
      <w:r w:rsidR="00E27F1B" w:rsidRPr="00FC1C6F">
        <w:rPr>
          <w:lang w:val="en-GB"/>
        </w:rPr>
        <w:t xml:space="preserve">the </w:t>
      </w:r>
      <w:r w:rsidR="00672E18" w:rsidRPr="00FC1C6F">
        <w:rPr>
          <w:lang w:val="en-GB"/>
        </w:rPr>
        <w:t>network met</w:t>
      </w:r>
      <w:r w:rsidR="00DF1B48" w:rsidRPr="00FC1C6F">
        <w:rPr>
          <w:lang w:val="en-GB"/>
        </w:rPr>
        <w:t>a-</w:t>
      </w:r>
      <w:r w:rsidR="00672E18" w:rsidRPr="00FC1C6F">
        <w:rPr>
          <w:lang w:val="en-GB"/>
        </w:rPr>
        <w:t>analysis</w:t>
      </w:r>
      <w:r w:rsidR="0030323D" w:rsidRPr="00FC1C6F">
        <w:rPr>
          <w:lang w:val="en-GB"/>
        </w:rPr>
        <w:t xml:space="preserve"> if these patients ha</w:t>
      </w:r>
      <w:r w:rsidR="00E27F1B" w:rsidRPr="00FC1C6F">
        <w:rPr>
          <w:lang w:val="en-GB"/>
        </w:rPr>
        <w:t>d</w:t>
      </w:r>
      <w:r w:rsidR="0030323D" w:rsidRPr="00FC1C6F">
        <w:rPr>
          <w:lang w:val="en-GB"/>
        </w:rPr>
        <w:t xml:space="preserve"> a worse prognosis than those in comparator trials, </w:t>
      </w:r>
      <w:proofErr w:type="gramStart"/>
      <w:r w:rsidR="0030323D" w:rsidRPr="00FC1C6F">
        <w:rPr>
          <w:lang w:val="en-GB"/>
        </w:rPr>
        <w:t>and also</w:t>
      </w:r>
      <w:proofErr w:type="gramEnd"/>
      <w:r w:rsidR="0030323D" w:rsidRPr="00FC1C6F">
        <w:rPr>
          <w:lang w:val="en-GB"/>
        </w:rPr>
        <w:t xml:space="preserve"> an</w:t>
      </w:r>
      <w:r w:rsidR="00DC4911" w:rsidRPr="00FC1C6F">
        <w:rPr>
          <w:lang w:val="en-GB"/>
        </w:rPr>
        <w:t xml:space="preserve"> </w:t>
      </w:r>
      <w:r w:rsidR="0030323D" w:rsidRPr="00FC1C6F">
        <w:rPr>
          <w:lang w:val="en-GB"/>
        </w:rPr>
        <w:t>enhanced benefit</w:t>
      </w:r>
      <w:r w:rsidR="00DC4911" w:rsidRPr="00FC1C6F">
        <w:rPr>
          <w:lang w:val="en-GB"/>
        </w:rPr>
        <w:t xml:space="preserve"> </w:t>
      </w:r>
      <w:r w:rsidR="00E67A01" w:rsidRPr="00FC1C6F">
        <w:rPr>
          <w:lang w:val="en-GB"/>
        </w:rPr>
        <w:t xml:space="preserve">of treatment </w:t>
      </w:r>
      <w:r w:rsidR="00DC4911" w:rsidRPr="00FC1C6F">
        <w:rPr>
          <w:lang w:val="en-GB"/>
        </w:rPr>
        <w:t>b</w:t>
      </w:r>
      <w:r w:rsidR="0030323D" w:rsidRPr="00FC1C6F">
        <w:rPr>
          <w:lang w:val="en-GB"/>
        </w:rPr>
        <w:t>ecause of the ability of tucatinib to cross the blood</w:t>
      </w:r>
      <w:r w:rsidR="003140C1" w:rsidRPr="00FC1C6F">
        <w:rPr>
          <w:lang w:val="en-GB"/>
        </w:rPr>
        <w:t>-</w:t>
      </w:r>
      <w:r w:rsidR="0030323D" w:rsidRPr="00FC1C6F">
        <w:rPr>
          <w:lang w:val="en-GB"/>
        </w:rPr>
        <w:t>brain barrier</w:t>
      </w:r>
      <w:r w:rsidR="006E628E" w:rsidRPr="00FC1C6F">
        <w:rPr>
          <w:lang w:val="en-GB"/>
        </w:rPr>
        <w:t>.</w:t>
      </w:r>
      <w:r w:rsidR="0030323D" w:rsidRPr="00FC1C6F">
        <w:rPr>
          <w:lang w:val="en-GB"/>
        </w:rPr>
        <w:t xml:space="preserve"> </w:t>
      </w:r>
      <w:r w:rsidR="00E27F1B" w:rsidRPr="00FC1C6F">
        <w:rPr>
          <w:lang w:val="en-GB"/>
        </w:rPr>
        <w:t>T</w:t>
      </w:r>
      <w:r w:rsidR="00EA22C6" w:rsidRPr="00FC1C6F">
        <w:rPr>
          <w:lang w:val="en-GB"/>
        </w:rPr>
        <w:t>he</w:t>
      </w:r>
      <w:r w:rsidR="00BB0192" w:rsidRPr="00FC1C6F">
        <w:rPr>
          <w:lang w:val="en-GB"/>
        </w:rPr>
        <w:t xml:space="preserve"> committee agreed that the network </w:t>
      </w:r>
      <w:r w:rsidR="00FA489A" w:rsidRPr="00FC1C6F">
        <w:rPr>
          <w:lang w:val="en-GB"/>
        </w:rPr>
        <w:t xml:space="preserve">may be </w:t>
      </w:r>
      <w:r w:rsidR="00BB0192" w:rsidRPr="00FC1C6F">
        <w:rPr>
          <w:lang w:val="en-GB"/>
        </w:rPr>
        <w:t>biased against tucatinib</w:t>
      </w:r>
      <w:r w:rsidR="006E628E" w:rsidRPr="00FC1C6F">
        <w:rPr>
          <w:lang w:val="en-GB"/>
        </w:rPr>
        <w:t xml:space="preserve"> because</w:t>
      </w:r>
      <w:r w:rsidR="00EA3F76" w:rsidRPr="00FC1C6F">
        <w:rPr>
          <w:lang w:val="en-GB"/>
        </w:rPr>
        <w:t xml:space="preserve"> </w:t>
      </w:r>
      <w:r w:rsidR="006E628E" w:rsidRPr="00FC1C6F">
        <w:rPr>
          <w:lang w:val="en-GB"/>
        </w:rPr>
        <w:t>if</w:t>
      </w:r>
      <w:r w:rsidR="0030323D" w:rsidRPr="00FC1C6F">
        <w:rPr>
          <w:lang w:val="en-GB"/>
        </w:rPr>
        <w:t xml:space="preserve"> more patients with </w:t>
      </w:r>
      <w:r w:rsidR="00DC4911" w:rsidRPr="00FC1C6F">
        <w:rPr>
          <w:lang w:val="en-GB"/>
        </w:rPr>
        <w:t>brain metastases</w:t>
      </w:r>
      <w:r w:rsidR="00610C09" w:rsidRPr="00FC1C6F">
        <w:rPr>
          <w:lang w:val="en-GB"/>
        </w:rPr>
        <w:t>,</w:t>
      </w:r>
      <w:r w:rsidR="006E628E" w:rsidRPr="00FC1C6F">
        <w:rPr>
          <w:lang w:val="en-GB"/>
        </w:rPr>
        <w:t xml:space="preserve"> </w:t>
      </w:r>
      <w:r w:rsidR="00610C09" w:rsidRPr="00FC1C6F">
        <w:rPr>
          <w:lang w:val="en-GB"/>
        </w:rPr>
        <w:t>particularly</w:t>
      </w:r>
      <w:r w:rsidR="00EA3F76" w:rsidRPr="00FC1C6F">
        <w:rPr>
          <w:lang w:val="en-GB"/>
        </w:rPr>
        <w:t xml:space="preserve"> </w:t>
      </w:r>
      <w:r w:rsidR="00A64A5D" w:rsidRPr="00FC1C6F">
        <w:rPr>
          <w:lang w:val="en-GB"/>
        </w:rPr>
        <w:t>active metastases</w:t>
      </w:r>
      <w:r w:rsidR="006E628E" w:rsidRPr="00FC1C6F">
        <w:rPr>
          <w:lang w:val="en-GB"/>
        </w:rPr>
        <w:t>,</w:t>
      </w:r>
      <w:r w:rsidR="00DC4911" w:rsidRPr="00FC1C6F">
        <w:rPr>
          <w:lang w:val="en-GB"/>
        </w:rPr>
        <w:t xml:space="preserve"> </w:t>
      </w:r>
      <w:r w:rsidR="006E628E" w:rsidRPr="00FC1C6F">
        <w:rPr>
          <w:lang w:val="en-GB"/>
        </w:rPr>
        <w:t>had been</w:t>
      </w:r>
      <w:r w:rsidR="00DC4911" w:rsidRPr="00FC1C6F">
        <w:rPr>
          <w:lang w:val="en-GB"/>
        </w:rPr>
        <w:t xml:space="preserve"> </w:t>
      </w:r>
      <w:r w:rsidR="00DC3B40" w:rsidRPr="00FC1C6F">
        <w:rPr>
          <w:lang w:val="en-GB"/>
        </w:rPr>
        <w:t>included</w:t>
      </w:r>
      <w:r w:rsidR="00DC4911" w:rsidRPr="00FC1C6F">
        <w:rPr>
          <w:lang w:val="en-GB"/>
        </w:rPr>
        <w:t xml:space="preserve"> in the comparator trials, the outcomes in those trials may have been worse. The committee would like the</w:t>
      </w:r>
      <w:r w:rsidR="00EA22C6" w:rsidRPr="00FC1C6F">
        <w:rPr>
          <w:lang w:val="en-GB"/>
        </w:rPr>
        <w:t xml:space="preserve"> company to explore this further</w:t>
      </w:r>
      <w:r w:rsidR="00512362" w:rsidRPr="00FC1C6F">
        <w:rPr>
          <w:lang w:val="en-GB"/>
        </w:rPr>
        <w:t xml:space="preserve"> (see section </w:t>
      </w:r>
      <w:r w:rsidR="00512362" w:rsidRPr="00FC1C6F">
        <w:rPr>
          <w:lang w:val="en-GB"/>
        </w:rPr>
        <w:fldChar w:fldCharType="begin"/>
      </w:r>
      <w:r w:rsidR="00512362" w:rsidRPr="00FC1C6F">
        <w:rPr>
          <w:lang w:val="en-GB"/>
        </w:rPr>
        <w:instrText xml:space="preserve"> REF _Ref84511334 \r \h </w:instrText>
      </w:r>
      <w:r w:rsidR="00512362" w:rsidRPr="00FC1C6F">
        <w:rPr>
          <w:lang w:val="en-GB"/>
        </w:rPr>
      </w:r>
      <w:r w:rsidR="00512362" w:rsidRPr="00FC1C6F">
        <w:rPr>
          <w:lang w:val="en-GB"/>
        </w:rPr>
        <w:fldChar w:fldCharType="separate"/>
      </w:r>
      <w:r w:rsidR="001054DD" w:rsidRPr="00FC1C6F">
        <w:rPr>
          <w:lang w:val="en-GB"/>
        </w:rPr>
        <w:t>3.8</w:t>
      </w:r>
      <w:r w:rsidR="00512362" w:rsidRPr="00FC1C6F">
        <w:rPr>
          <w:lang w:val="en-GB"/>
        </w:rPr>
        <w:fldChar w:fldCharType="end"/>
      </w:r>
      <w:r w:rsidR="00512362" w:rsidRPr="00FC1C6F">
        <w:rPr>
          <w:lang w:val="en-GB"/>
        </w:rPr>
        <w:t>)</w:t>
      </w:r>
      <w:r w:rsidR="00646474" w:rsidRPr="00FC1C6F">
        <w:rPr>
          <w:lang w:val="en-GB"/>
        </w:rPr>
        <w:t>.</w:t>
      </w:r>
      <w:r w:rsidR="00374B36" w:rsidRPr="00FC1C6F">
        <w:rPr>
          <w:lang w:val="en-GB"/>
        </w:rPr>
        <w:t xml:space="preserve"> </w:t>
      </w:r>
      <w:r w:rsidR="00EB0F99" w:rsidRPr="00FC1C6F">
        <w:rPr>
          <w:lang w:val="en-GB"/>
        </w:rPr>
        <w:t>It</w:t>
      </w:r>
      <w:r w:rsidR="00BB0192" w:rsidRPr="00FC1C6F">
        <w:rPr>
          <w:lang w:val="en-GB"/>
        </w:rPr>
        <w:t xml:space="preserve"> concluded that </w:t>
      </w:r>
      <w:r w:rsidR="00EA22C6" w:rsidRPr="00FC1C6F">
        <w:rPr>
          <w:lang w:val="en-GB"/>
        </w:rPr>
        <w:t xml:space="preserve">tucatinib is likely to improve clinical outcomes relative to </w:t>
      </w:r>
      <w:r w:rsidR="00DC4911" w:rsidRPr="00FC1C6F">
        <w:rPr>
          <w:lang w:val="en-GB"/>
        </w:rPr>
        <w:t xml:space="preserve">eribulin, capecitabine and vinorelbine, </w:t>
      </w:r>
      <w:r w:rsidR="00EA22C6" w:rsidRPr="00FC1C6F">
        <w:rPr>
          <w:lang w:val="en-GB"/>
        </w:rPr>
        <w:t xml:space="preserve">but the size of effect is uncertain </w:t>
      </w:r>
      <w:r w:rsidR="00B959E3" w:rsidRPr="00FC1C6F">
        <w:rPr>
          <w:lang w:val="en-GB"/>
        </w:rPr>
        <w:t>because of</w:t>
      </w:r>
      <w:r w:rsidR="00BB0192" w:rsidRPr="00FC1C6F">
        <w:rPr>
          <w:lang w:val="en-GB"/>
        </w:rPr>
        <w:t xml:space="preserve"> clinical</w:t>
      </w:r>
      <w:r w:rsidR="00143357" w:rsidRPr="00FC1C6F">
        <w:rPr>
          <w:lang w:val="en-GB"/>
        </w:rPr>
        <w:t xml:space="preserve"> heterogeneity</w:t>
      </w:r>
      <w:r w:rsidR="00DC4911" w:rsidRPr="00FC1C6F">
        <w:rPr>
          <w:lang w:val="en-GB"/>
        </w:rPr>
        <w:t xml:space="preserve"> in several areas, particularly the inclusion of people with brain metastases in the HER2CLIMB trial</w:t>
      </w:r>
      <w:r w:rsidR="00BB0192" w:rsidRPr="00FC1C6F">
        <w:rPr>
          <w:lang w:val="en-GB"/>
        </w:rPr>
        <w:t>.</w:t>
      </w:r>
      <w:bookmarkEnd w:id="11"/>
    </w:p>
    <w:p w14:paraId="1A6A66E1" w14:textId="67278C68" w:rsidR="00A22B58" w:rsidRPr="00FC1C6F" w:rsidRDefault="00542955" w:rsidP="00A22B58">
      <w:pPr>
        <w:pStyle w:val="Heading3"/>
      </w:pPr>
      <w:r w:rsidRPr="00FC1C6F">
        <w:t>A r</w:t>
      </w:r>
      <w:r w:rsidR="00A22B58" w:rsidRPr="00FC1C6F">
        <w:t xml:space="preserve">andom effects </w:t>
      </w:r>
      <w:r w:rsidR="001D5E91" w:rsidRPr="00FC1C6F">
        <w:t xml:space="preserve">model </w:t>
      </w:r>
      <w:r w:rsidR="00BB0192" w:rsidRPr="00FC1C6F">
        <w:t>is</w:t>
      </w:r>
      <w:r w:rsidR="00A22B58" w:rsidRPr="00FC1C6F">
        <w:t xml:space="preserve"> appropriate</w:t>
      </w:r>
      <w:r w:rsidR="009349A8" w:rsidRPr="00FC1C6F">
        <w:t xml:space="preserve"> because of heterogeneity in the network</w:t>
      </w:r>
      <w:r w:rsidR="002B634A" w:rsidRPr="00FC1C6F">
        <w:t>, but does not account for syste</w:t>
      </w:r>
      <w:r w:rsidR="00512362" w:rsidRPr="00FC1C6F">
        <w:t>mati</w:t>
      </w:r>
      <w:r w:rsidR="002B634A" w:rsidRPr="00FC1C6F">
        <w:t>c differences between trials</w:t>
      </w:r>
    </w:p>
    <w:p w14:paraId="46912C4B" w14:textId="23DC94DA" w:rsidR="00926329" w:rsidRPr="00FC1C6F" w:rsidRDefault="00CD1457" w:rsidP="00FA531E">
      <w:pPr>
        <w:pStyle w:val="Numberedlevel2text"/>
        <w:rPr>
          <w:lang w:val="en-GB"/>
        </w:rPr>
      </w:pPr>
      <w:bookmarkStart w:id="12" w:name="_Ref84495575"/>
      <w:r w:rsidRPr="00FC1C6F">
        <w:rPr>
          <w:lang w:val="en-GB"/>
        </w:rPr>
        <w:t>The company use</w:t>
      </w:r>
      <w:r w:rsidR="00374B36" w:rsidRPr="00FC1C6F">
        <w:rPr>
          <w:lang w:val="en-GB"/>
        </w:rPr>
        <w:t>d</w:t>
      </w:r>
      <w:r w:rsidRPr="00FC1C6F">
        <w:rPr>
          <w:lang w:val="en-GB"/>
        </w:rPr>
        <w:t xml:space="preserve"> a fixed-effects model </w:t>
      </w:r>
      <w:r w:rsidR="00FD79D1" w:rsidRPr="00FC1C6F">
        <w:rPr>
          <w:lang w:val="en-GB"/>
        </w:rPr>
        <w:t>for the network meta-analysis</w:t>
      </w:r>
      <w:r w:rsidR="00374B36" w:rsidRPr="00FC1C6F">
        <w:rPr>
          <w:lang w:val="en-GB"/>
        </w:rPr>
        <w:t>. This was because</w:t>
      </w:r>
      <w:r w:rsidR="00FD79D1" w:rsidRPr="00FC1C6F">
        <w:rPr>
          <w:lang w:val="en-GB"/>
        </w:rPr>
        <w:t xml:space="preserve"> </w:t>
      </w:r>
      <w:r w:rsidR="00AE79C1" w:rsidRPr="00FC1C6F">
        <w:rPr>
          <w:lang w:val="en-GB"/>
        </w:rPr>
        <w:t>random effects model</w:t>
      </w:r>
      <w:r w:rsidR="00B65D80" w:rsidRPr="00FC1C6F">
        <w:rPr>
          <w:lang w:val="en-GB"/>
        </w:rPr>
        <w:t>ling</w:t>
      </w:r>
      <w:r w:rsidR="00374B36" w:rsidRPr="00FC1C6F">
        <w:rPr>
          <w:lang w:val="en-GB"/>
        </w:rPr>
        <w:t xml:space="preserve"> had limitations such as </w:t>
      </w:r>
      <w:r w:rsidR="00AE79C1" w:rsidRPr="00FC1C6F">
        <w:rPr>
          <w:lang w:val="en-GB"/>
        </w:rPr>
        <w:t>convergence issues and a higher degree of uncertainty.</w:t>
      </w:r>
      <w:r w:rsidR="006F5279" w:rsidRPr="00FC1C6F">
        <w:rPr>
          <w:lang w:val="en-GB"/>
        </w:rPr>
        <w:t xml:space="preserve"> The ERG </w:t>
      </w:r>
      <w:r w:rsidR="00B65D80" w:rsidRPr="00FC1C6F">
        <w:rPr>
          <w:lang w:val="en-GB"/>
        </w:rPr>
        <w:t xml:space="preserve">used a </w:t>
      </w:r>
      <w:r w:rsidR="006F5279" w:rsidRPr="00FC1C6F">
        <w:rPr>
          <w:lang w:val="en-GB"/>
        </w:rPr>
        <w:t>random effects model</w:t>
      </w:r>
      <w:r w:rsidR="00B65D80" w:rsidRPr="00FC1C6F">
        <w:rPr>
          <w:lang w:val="en-GB"/>
        </w:rPr>
        <w:t>, explaining that it</w:t>
      </w:r>
      <w:r w:rsidR="006F5279" w:rsidRPr="00FC1C6F">
        <w:rPr>
          <w:lang w:val="en-GB"/>
        </w:rPr>
        <w:t xml:space="preserve"> </w:t>
      </w:r>
      <w:r w:rsidR="00374B36" w:rsidRPr="00FC1C6F">
        <w:rPr>
          <w:lang w:val="en-GB"/>
        </w:rPr>
        <w:t>better account</w:t>
      </w:r>
      <w:r w:rsidR="00B65D80" w:rsidRPr="00FC1C6F">
        <w:rPr>
          <w:lang w:val="en-GB"/>
        </w:rPr>
        <w:t>ed</w:t>
      </w:r>
      <w:r w:rsidR="00374B36" w:rsidRPr="00FC1C6F">
        <w:rPr>
          <w:lang w:val="en-GB"/>
        </w:rPr>
        <w:t xml:space="preserve"> for</w:t>
      </w:r>
      <w:r w:rsidR="006F5279" w:rsidRPr="00FC1C6F">
        <w:rPr>
          <w:lang w:val="en-GB"/>
        </w:rPr>
        <w:t xml:space="preserve"> heterogeneity in the network meta-</w:t>
      </w:r>
      <w:r w:rsidR="00646474" w:rsidRPr="00FC1C6F">
        <w:rPr>
          <w:lang w:val="en-GB"/>
        </w:rPr>
        <w:t>analysis and</w:t>
      </w:r>
      <w:r w:rsidR="00374B36" w:rsidRPr="00FC1C6F">
        <w:rPr>
          <w:lang w:val="en-GB"/>
        </w:rPr>
        <w:t xml:space="preserve"> is preferred to </w:t>
      </w:r>
      <w:proofErr w:type="gramStart"/>
      <w:r w:rsidR="00374B36" w:rsidRPr="00FC1C6F">
        <w:rPr>
          <w:lang w:val="en-GB"/>
        </w:rPr>
        <w:t>fixed-effects</w:t>
      </w:r>
      <w:proofErr w:type="gramEnd"/>
      <w:r w:rsidR="00374B36" w:rsidRPr="00FC1C6F">
        <w:rPr>
          <w:lang w:val="en-GB"/>
        </w:rPr>
        <w:t xml:space="preserve"> model</w:t>
      </w:r>
      <w:r w:rsidR="00B65D80" w:rsidRPr="00FC1C6F">
        <w:rPr>
          <w:lang w:val="en-GB"/>
        </w:rPr>
        <w:t>ling</w:t>
      </w:r>
      <w:r w:rsidR="00374B36" w:rsidRPr="00FC1C6F">
        <w:rPr>
          <w:lang w:val="en-GB"/>
        </w:rPr>
        <w:t xml:space="preserve"> </w:t>
      </w:r>
      <w:r w:rsidR="006F5279" w:rsidRPr="00FC1C6F">
        <w:rPr>
          <w:lang w:val="en-GB"/>
        </w:rPr>
        <w:t xml:space="preserve">despite </w:t>
      </w:r>
      <w:r w:rsidR="00374B36" w:rsidRPr="00FC1C6F">
        <w:rPr>
          <w:lang w:val="en-GB"/>
        </w:rPr>
        <w:t xml:space="preserve">its </w:t>
      </w:r>
      <w:r w:rsidR="006F5279" w:rsidRPr="00FC1C6F">
        <w:rPr>
          <w:lang w:val="en-GB"/>
        </w:rPr>
        <w:t>limitations.</w:t>
      </w:r>
      <w:r w:rsidR="00BB0192" w:rsidRPr="00FC1C6F">
        <w:rPr>
          <w:lang w:val="en-GB"/>
        </w:rPr>
        <w:t xml:space="preserve"> </w:t>
      </w:r>
      <w:r w:rsidR="00EA22C6" w:rsidRPr="00FC1C6F">
        <w:rPr>
          <w:lang w:val="en-GB"/>
        </w:rPr>
        <w:t xml:space="preserve">The committee noted </w:t>
      </w:r>
      <w:r w:rsidR="00206E5D" w:rsidRPr="00FC1C6F">
        <w:rPr>
          <w:lang w:val="en-GB"/>
        </w:rPr>
        <w:t xml:space="preserve">that the </w:t>
      </w:r>
      <w:r w:rsidR="00EA22C6" w:rsidRPr="00FC1C6F">
        <w:rPr>
          <w:lang w:val="en-GB"/>
        </w:rPr>
        <w:t>r</w:t>
      </w:r>
      <w:r w:rsidR="00BB0192" w:rsidRPr="00FC1C6F">
        <w:rPr>
          <w:lang w:val="en-GB"/>
        </w:rPr>
        <w:t xml:space="preserve">esults from using the </w:t>
      </w:r>
      <w:r w:rsidR="006E628E" w:rsidRPr="00FC1C6F">
        <w:rPr>
          <w:lang w:val="en-GB"/>
        </w:rPr>
        <w:t xml:space="preserve">2 </w:t>
      </w:r>
      <w:r w:rsidR="00BB0192" w:rsidRPr="00FC1C6F">
        <w:rPr>
          <w:lang w:val="en-GB"/>
        </w:rPr>
        <w:t>methods were similar</w:t>
      </w:r>
      <w:r w:rsidR="00B65D80" w:rsidRPr="00FC1C6F">
        <w:rPr>
          <w:lang w:val="en-GB"/>
        </w:rPr>
        <w:t>,</w:t>
      </w:r>
      <w:r w:rsidR="00BB0192" w:rsidRPr="00FC1C6F">
        <w:rPr>
          <w:lang w:val="en-GB"/>
        </w:rPr>
        <w:t xml:space="preserve"> although the random effects </w:t>
      </w:r>
      <w:r w:rsidR="00EA22C6" w:rsidRPr="00FC1C6F">
        <w:rPr>
          <w:lang w:val="en-GB"/>
        </w:rPr>
        <w:t xml:space="preserve">model gave </w:t>
      </w:r>
      <w:r w:rsidR="005B2813" w:rsidRPr="00FC1C6F">
        <w:rPr>
          <w:lang w:val="en-GB"/>
        </w:rPr>
        <w:t>wider confidence intervals.</w:t>
      </w:r>
      <w:r w:rsidR="00A668FA" w:rsidRPr="00FC1C6F">
        <w:rPr>
          <w:lang w:val="en-GB"/>
        </w:rPr>
        <w:t xml:space="preserve"> </w:t>
      </w:r>
      <w:r w:rsidR="00BB0192" w:rsidRPr="00FC1C6F">
        <w:rPr>
          <w:lang w:val="en-GB"/>
        </w:rPr>
        <w:t xml:space="preserve">The committee concluded that the random effects methodology </w:t>
      </w:r>
      <w:r w:rsidR="00B65D80" w:rsidRPr="00FC1C6F">
        <w:rPr>
          <w:lang w:val="en-GB"/>
        </w:rPr>
        <w:t>was</w:t>
      </w:r>
      <w:r w:rsidR="00BB0192" w:rsidRPr="00FC1C6F">
        <w:rPr>
          <w:lang w:val="en-GB"/>
        </w:rPr>
        <w:t xml:space="preserve"> more appropriate</w:t>
      </w:r>
      <w:r w:rsidR="009349A8" w:rsidRPr="00FC1C6F">
        <w:rPr>
          <w:lang w:val="en-GB"/>
        </w:rPr>
        <w:t xml:space="preserve"> because of heterogeneity in the network</w:t>
      </w:r>
      <w:r w:rsidR="00B65D80" w:rsidRPr="00FC1C6F">
        <w:rPr>
          <w:lang w:val="en-GB"/>
        </w:rPr>
        <w:t>,</w:t>
      </w:r>
      <w:r w:rsidR="002B634A" w:rsidRPr="00FC1C6F">
        <w:rPr>
          <w:lang w:val="en-GB"/>
        </w:rPr>
        <w:t xml:space="preserve"> </w:t>
      </w:r>
      <w:r w:rsidR="00EA22C6" w:rsidRPr="00FC1C6F">
        <w:rPr>
          <w:lang w:val="en-GB"/>
        </w:rPr>
        <w:t xml:space="preserve">but it noted that using </w:t>
      </w:r>
      <w:r w:rsidR="00B65D80" w:rsidRPr="00FC1C6F">
        <w:rPr>
          <w:lang w:val="en-GB"/>
        </w:rPr>
        <w:t xml:space="preserve">a </w:t>
      </w:r>
      <w:r w:rsidR="00EA22C6" w:rsidRPr="00FC1C6F">
        <w:rPr>
          <w:lang w:val="en-GB"/>
        </w:rPr>
        <w:t xml:space="preserve">random effects model </w:t>
      </w:r>
      <w:r w:rsidR="00B65D80" w:rsidRPr="00FC1C6F">
        <w:rPr>
          <w:lang w:val="en-GB"/>
        </w:rPr>
        <w:t xml:space="preserve">did </w:t>
      </w:r>
      <w:r w:rsidR="00EA22C6" w:rsidRPr="00FC1C6F">
        <w:rPr>
          <w:lang w:val="en-GB"/>
        </w:rPr>
        <w:t xml:space="preserve">not account for </w:t>
      </w:r>
      <w:r w:rsidR="00206E5D" w:rsidRPr="00FC1C6F">
        <w:rPr>
          <w:lang w:val="en-GB"/>
        </w:rPr>
        <w:t xml:space="preserve">any </w:t>
      </w:r>
      <w:r w:rsidR="00EA22C6" w:rsidRPr="00FC1C6F">
        <w:rPr>
          <w:lang w:val="en-GB"/>
        </w:rPr>
        <w:t>system</w:t>
      </w:r>
      <w:r w:rsidR="00512362" w:rsidRPr="00FC1C6F">
        <w:rPr>
          <w:lang w:val="en-GB"/>
        </w:rPr>
        <w:t>at</w:t>
      </w:r>
      <w:r w:rsidR="00EA22C6" w:rsidRPr="00FC1C6F">
        <w:rPr>
          <w:lang w:val="en-GB"/>
        </w:rPr>
        <w:t xml:space="preserve">ic bias in the network related to </w:t>
      </w:r>
      <w:r w:rsidR="002B634A" w:rsidRPr="00FC1C6F">
        <w:rPr>
          <w:lang w:val="en-GB"/>
        </w:rPr>
        <w:t xml:space="preserve">differences in </w:t>
      </w:r>
      <w:r w:rsidR="00512362" w:rsidRPr="00FC1C6F">
        <w:rPr>
          <w:lang w:val="en-GB"/>
        </w:rPr>
        <w:t xml:space="preserve">the </w:t>
      </w:r>
      <w:r w:rsidR="002B634A" w:rsidRPr="00FC1C6F">
        <w:rPr>
          <w:lang w:val="en-GB"/>
        </w:rPr>
        <w:t>proportion</w:t>
      </w:r>
      <w:r w:rsidR="00B65D80" w:rsidRPr="00FC1C6F">
        <w:rPr>
          <w:lang w:val="en-GB"/>
        </w:rPr>
        <w:t>s</w:t>
      </w:r>
      <w:r w:rsidR="002B634A" w:rsidRPr="00FC1C6F">
        <w:rPr>
          <w:lang w:val="en-GB"/>
        </w:rPr>
        <w:t xml:space="preserve"> of people with brain metastases</w:t>
      </w:r>
      <w:r w:rsidR="00BB0192" w:rsidRPr="00FC1C6F">
        <w:rPr>
          <w:lang w:val="en-GB"/>
        </w:rPr>
        <w:t>.</w:t>
      </w:r>
      <w:bookmarkEnd w:id="12"/>
    </w:p>
    <w:bookmarkEnd w:id="4"/>
    <w:bookmarkEnd w:id="5"/>
    <w:p w14:paraId="0104DAD0" w14:textId="4DB670B8" w:rsidR="00512362" w:rsidRPr="00FC1C6F" w:rsidRDefault="00512362" w:rsidP="00512362">
      <w:pPr>
        <w:pStyle w:val="Heading3"/>
      </w:pPr>
      <w:r w:rsidRPr="00FC1C6F">
        <w:t xml:space="preserve">The company should further explore </w:t>
      </w:r>
      <w:r w:rsidR="00A5152A" w:rsidRPr="00FC1C6F">
        <w:t xml:space="preserve">the </w:t>
      </w:r>
      <w:r w:rsidRPr="00FC1C6F">
        <w:t xml:space="preserve">relative efficacy of tucatinib </w:t>
      </w:r>
      <w:r w:rsidR="00A5152A" w:rsidRPr="00FC1C6F">
        <w:t xml:space="preserve">combination </w:t>
      </w:r>
      <w:r w:rsidRPr="00FC1C6F">
        <w:t>in people with and without brain metastases</w:t>
      </w:r>
    </w:p>
    <w:p w14:paraId="324B07E6" w14:textId="3DFF9709" w:rsidR="00512362" w:rsidRPr="00FC1C6F" w:rsidRDefault="00512362" w:rsidP="00512362">
      <w:pPr>
        <w:pStyle w:val="Numberedlevel2text"/>
        <w:rPr>
          <w:lang w:val="en-GB"/>
        </w:rPr>
      </w:pPr>
      <w:bookmarkStart w:id="13" w:name="_Ref84511334"/>
      <w:r w:rsidRPr="00FC1C6F">
        <w:rPr>
          <w:lang w:val="en-GB"/>
        </w:rPr>
        <w:t>The committee noted that</w:t>
      </w:r>
      <w:r w:rsidR="00A5152A" w:rsidRPr="00FC1C6F">
        <w:rPr>
          <w:lang w:val="en-GB"/>
        </w:rPr>
        <w:t xml:space="preserve"> the</w:t>
      </w:r>
      <w:r w:rsidRPr="00FC1C6F">
        <w:rPr>
          <w:lang w:val="en-GB"/>
        </w:rPr>
        <w:t xml:space="preserve"> subgroup of people without brain metastases from HER2CLIMB better correspond</w:t>
      </w:r>
      <w:r w:rsidR="001E26FB" w:rsidRPr="00FC1C6F">
        <w:rPr>
          <w:lang w:val="en-GB"/>
        </w:rPr>
        <w:t>s</w:t>
      </w:r>
      <w:r w:rsidRPr="00FC1C6F">
        <w:rPr>
          <w:lang w:val="en-GB"/>
        </w:rPr>
        <w:t xml:space="preserve"> to </w:t>
      </w:r>
      <w:r w:rsidR="009C45A3" w:rsidRPr="00FC1C6F">
        <w:rPr>
          <w:lang w:val="en-GB"/>
        </w:rPr>
        <w:t xml:space="preserve">the </w:t>
      </w:r>
      <w:r w:rsidRPr="00FC1C6F">
        <w:rPr>
          <w:lang w:val="en-GB"/>
        </w:rPr>
        <w:t xml:space="preserve">patient </w:t>
      </w:r>
      <w:r w:rsidRPr="00FC1C6F">
        <w:rPr>
          <w:lang w:val="en-GB"/>
        </w:rPr>
        <w:lastRenderedPageBreak/>
        <w:t>population</w:t>
      </w:r>
      <w:r w:rsidR="00594C9B" w:rsidRPr="00FC1C6F">
        <w:rPr>
          <w:lang w:val="en-GB"/>
        </w:rPr>
        <w:t>s</w:t>
      </w:r>
      <w:r w:rsidRPr="00FC1C6F">
        <w:rPr>
          <w:lang w:val="en-GB"/>
        </w:rPr>
        <w:t xml:space="preserve"> in other trials included in the network. Therefore, </w:t>
      </w:r>
      <w:r w:rsidR="00594C9B" w:rsidRPr="00FC1C6F">
        <w:rPr>
          <w:lang w:val="en-GB"/>
        </w:rPr>
        <w:t xml:space="preserve">the </w:t>
      </w:r>
      <w:r w:rsidRPr="00FC1C6F">
        <w:rPr>
          <w:lang w:val="en-GB"/>
        </w:rPr>
        <w:t xml:space="preserve">meta-analysis results </w:t>
      </w:r>
      <w:r w:rsidR="001E26FB" w:rsidRPr="00FC1C6F">
        <w:rPr>
          <w:lang w:val="en-GB"/>
        </w:rPr>
        <w:t>better reflect</w:t>
      </w:r>
      <w:r w:rsidRPr="00FC1C6F">
        <w:rPr>
          <w:lang w:val="en-GB"/>
        </w:rPr>
        <w:t xml:space="preserve"> the relative efficacy of tucatinib in this subgroup</w:t>
      </w:r>
      <w:r w:rsidR="001E26FB" w:rsidRPr="00FC1C6F">
        <w:rPr>
          <w:lang w:val="en-GB"/>
        </w:rPr>
        <w:t xml:space="preserve"> than </w:t>
      </w:r>
      <w:r w:rsidR="00594C9B" w:rsidRPr="00FC1C6F">
        <w:rPr>
          <w:lang w:val="en-GB"/>
        </w:rPr>
        <w:t>they do</w:t>
      </w:r>
      <w:r w:rsidR="001E26FB" w:rsidRPr="00FC1C6F">
        <w:rPr>
          <w:lang w:val="en-GB"/>
        </w:rPr>
        <w:t xml:space="preserve"> </w:t>
      </w:r>
      <w:r w:rsidR="00CA434D">
        <w:rPr>
          <w:lang w:val="en-GB"/>
        </w:rPr>
        <w:t xml:space="preserve">in </w:t>
      </w:r>
      <w:r w:rsidR="001E26FB" w:rsidRPr="00FC1C6F">
        <w:rPr>
          <w:lang w:val="en-GB"/>
        </w:rPr>
        <w:t>the overall population</w:t>
      </w:r>
      <w:r w:rsidRPr="00FC1C6F">
        <w:rPr>
          <w:lang w:val="en-GB"/>
        </w:rPr>
        <w:t xml:space="preserve">. The committee further noted that an effect modifier, reflecting how much </w:t>
      </w:r>
      <w:r w:rsidR="00247A62" w:rsidRPr="00FC1C6F">
        <w:rPr>
          <w:lang w:val="en-GB"/>
        </w:rPr>
        <w:t>less effective</w:t>
      </w:r>
      <w:r w:rsidRPr="00FC1C6F">
        <w:rPr>
          <w:lang w:val="en-GB"/>
        </w:rPr>
        <w:t xml:space="preserve"> the comparator treatments would be in people with brain metastases, could be estimated either from HER2CLIMB data or from literature. Such </w:t>
      </w:r>
      <w:r w:rsidR="001113D8" w:rsidRPr="00FC1C6F">
        <w:rPr>
          <w:lang w:val="en-GB"/>
        </w:rPr>
        <w:t xml:space="preserve">a </w:t>
      </w:r>
      <w:r w:rsidRPr="00FC1C6F">
        <w:rPr>
          <w:lang w:val="en-GB"/>
        </w:rPr>
        <w:t xml:space="preserve">modifier could then be applied to </w:t>
      </w:r>
      <w:r w:rsidR="00BF70A8" w:rsidRPr="00FC1C6F">
        <w:rPr>
          <w:lang w:val="en-GB"/>
        </w:rPr>
        <w:t xml:space="preserve">the </w:t>
      </w:r>
      <w:r w:rsidRPr="00FC1C6F">
        <w:rPr>
          <w:lang w:val="en-GB"/>
        </w:rPr>
        <w:t xml:space="preserve">network meta-analysis results to estimate the relative efficacy of tucatinib </w:t>
      </w:r>
      <w:r w:rsidR="001113D8" w:rsidRPr="00FC1C6F">
        <w:rPr>
          <w:lang w:val="en-GB"/>
        </w:rPr>
        <w:t xml:space="preserve">combination </w:t>
      </w:r>
      <w:r w:rsidRPr="00FC1C6F">
        <w:rPr>
          <w:lang w:val="en-GB"/>
        </w:rPr>
        <w:t xml:space="preserve">in people with brain metastases. The committee recalled </w:t>
      </w:r>
      <w:r w:rsidR="001113D8" w:rsidRPr="00FC1C6F">
        <w:rPr>
          <w:lang w:val="en-GB"/>
        </w:rPr>
        <w:t xml:space="preserve">the </w:t>
      </w:r>
      <w:r w:rsidRPr="00FC1C6F">
        <w:rPr>
          <w:lang w:val="en-GB"/>
        </w:rPr>
        <w:t xml:space="preserve">complexities of </w:t>
      </w:r>
      <w:r w:rsidR="009E609C" w:rsidRPr="00FC1C6F">
        <w:rPr>
          <w:lang w:val="en-GB"/>
        </w:rPr>
        <w:t xml:space="preserve">estimating </w:t>
      </w:r>
      <w:r w:rsidRPr="00FC1C6F">
        <w:rPr>
          <w:lang w:val="en-GB"/>
        </w:rPr>
        <w:t xml:space="preserve">treatment effects in people with brain metastases (see section </w:t>
      </w:r>
      <w:r w:rsidRPr="00FC1C6F">
        <w:rPr>
          <w:lang w:val="en-GB"/>
        </w:rPr>
        <w:fldChar w:fldCharType="begin"/>
      </w:r>
      <w:r w:rsidRPr="00FC1C6F">
        <w:rPr>
          <w:lang w:val="en-GB"/>
        </w:rPr>
        <w:instrText xml:space="preserve"> REF _Ref84494842 \r \h </w:instrText>
      </w:r>
      <w:r w:rsidRPr="00FC1C6F">
        <w:rPr>
          <w:lang w:val="en-GB"/>
        </w:rPr>
      </w:r>
      <w:r w:rsidRPr="00FC1C6F">
        <w:rPr>
          <w:lang w:val="en-GB"/>
        </w:rPr>
        <w:fldChar w:fldCharType="separate"/>
      </w:r>
      <w:r w:rsidR="001054DD" w:rsidRPr="00FC1C6F">
        <w:rPr>
          <w:lang w:val="en-GB"/>
        </w:rPr>
        <w:t>3.6</w:t>
      </w:r>
      <w:r w:rsidRPr="00FC1C6F">
        <w:rPr>
          <w:lang w:val="en-GB"/>
        </w:rPr>
        <w:fldChar w:fldCharType="end"/>
      </w:r>
      <w:r w:rsidRPr="00FC1C6F">
        <w:rPr>
          <w:lang w:val="en-GB"/>
        </w:rPr>
        <w:t xml:space="preserve">) and acknowledged </w:t>
      </w:r>
      <w:r w:rsidR="001113D8" w:rsidRPr="00FC1C6F">
        <w:rPr>
          <w:lang w:val="en-GB"/>
        </w:rPr>
        <w:t xml:space="preserve">that </w:t>
      </w:r>
      <w:r w:rsidRPr="00FC1C6F">
        <w:rPr>
          <w:lang w:val="en-GB"/>
        </w:rPr>
        <w:t>such analyses would be highly exploratory</w:t>
      </w:r>
      <w:r w:rsidR="009E609C" w:rsidRPr="00FC1C6F">
        <w:rPr>
          <w:lang w:val="en-GB"/>
        </w:rPr>
        <w:t>, but nevertheless useful to its decision-making</w:t>
      </w:r>
      <w:r w:rsidRPr="00FC1C6F">
        <w:rPr>
          <w:lang w:val="en-GB"/>
        </w:rPr>
        <w:t xml:space="preserve">. The committee concluded that the company should further explore </w:t>
      </w:r>
      <w:r w:rsidR="001113D8" w:rsidRPr="00FC1C6F">
        <w:rPr>
          <w:lang w:val="en-GB"/>
        </w:rPr>
        <w:t xml:space="preserve">the </w:t>
      </w:r>
      <w:r w:rsidRPr="00FC1C6F">
        <w:rPr>
          <w:lang w:val="en-GB"/>
        </w:rPr>
        <w:t xml:space="preserve">relative efficacy of tucatinib </w:t>
      </w:r>
      <w:r w:rsidR="001113D8" w:rsidRPr="00FC1C6F">
        <w:rPr>
          <w:lang w:val="en-GB"/>
        </w:rPr>
        <w:t xml:space="preserve">combination </w:t>
      </w:r>
      <w:r w:rsidRPr="00FC1C6F">
        <w:rPr>
          <w:lang w:val="en-GB"/>
        </w:rPr>
        <w:t>in people with</w:t>
      </w:r>
      <w:r w:rsidR="0089589C" w:rsidRPr="00FC1C6F">
        <w:rPr>
          <w:lang w:val="en-GB"/>
        </w:rPr>
        <w:t xml:space="preserve"> brain metastases. A</w:t>
      </w:r>
      <w:r w:rsidR="00BF70A8" w:rsidRPr="00FC1C6F">
        <w:rPr>
          <w:lang w:val="en-GB"/>
        </w:rPr>
        <w:t xml:space="preserve"> subgroup</w:t>
      </w:r>
      <w:r w:rsidR="0089589C" w:rsidRPr="00FC1C6F">
        <w:rPr>
          <w:lang w:val="en-GB"/>
        </w:rPr>
        <w:t xml:space="preserve"> analysis </w:t>
      </w:r>
      <w:r w:rsidR="00BF70A8" w:rsidRPr="00FC1C6F">
        <w:rPr>
          <w:lang w:val="en-GB"/>
        </w:rPr>
        <w:t xml:space="preserve">of people </w:t>
      </w:r>
      <w:r w:rsidR="000D5BD1" w:rsidRPr="00FC1C6F">
        <w:rPr>
          <w:lang w:val="en-GB"/>
        </w:rPr>
        <w:t>in</w:t>
      </w:r>
      <w:r w:rsidR="0089589C" w:rsidRPr="00FC1C6F">
        <w:rPr>
          <w:lang w:val="en-GB"/>
        </w:rPr>
        <w:t xml:space="preserve"> </w:t>
      </w:r>
      <w:r w:rsidR="00BF70A8" w:rsidRPr="00FC1C6F">
        <w:rPr>
          <w:lang w:val="en-GB"/>
        </w:rPr>
        <w:t xml:space="preserve">HER2CLIMB </w:t>
      </w:r>
      <w:r w:rsidR="0089589C" w:rsidRPr="00FC1C6F">
        <w:rPr>
          <w:lang w:val="en-GB"/>
        </w:rPr>
        <w:t>without brain metastases would also be useful for decision</w:t>
      </w:r>
      <w:r w:rsidR="00AD1212" w:rsidRPr="00FC1C6F">
        <w:rPr>
          <w:lang w:val="en-GB"/>
        </w:rPr>
        <w:t xml:space="preserve"> </w:t>
      </w:r>
      <w:r w:rsidR="0089589C" w:rsidRPr="00FC1C6F">
        <w:rPr>
          <w:lang w:val="en-GB"/>
        </w:rPr>
        <w:t xml:space="preserve">making, as </w:t>
      </w:r>
      <w:r w:rsidR="00BF70A8" w:rsidRPr="00FC1C6F">
        <w:rPr>
          <w:lang w:val="en-GB"/>
        </w:rPr>
        <w:t xml:space="preserve">this subgroup </w:t>
      </w:r>
      <w:r w:rsidR="00CA434D">
        <w:rPr>
          <w:lang w:val="en-GB"/>
        </w:rPr>
        <w:t>is</w:t>
      </w:r>
      <w:r w:rsidR="00BF70A8" w:rsidRPr="00FC1C6F">
        <w:rPr>
          <w:lang w:val="en-GB"/>
        </w:rPr>
        <w:t xml:space="preserve"> more comparable </w:t>
      </w:r>
      <w:r w:rsidR="0089589C" w:rsidRPr="00FC1C6F">
        <w:rPr>
          <w:lang w:val="en-GB"/>
        </w:rPr>
        <w:t xml:space="preserve">to </w:t>
      </w:r>
      <w:r w:rsidR="00BF70A8" w:rsidRPr="00FC1C6F">
        <w:rPr>
          <w:lang w:val="en-GB"/>
        </w:rPr>
        <w:t xml:space="preserve">the populations in the </w:t>
      </w:r>
      <w:r w:rsidR="0089589C" w:rsidRPr="00FC1C6F">
        <w:rPr>
          <w:lang w:val="en-GB"/>
        </w:rPr>
        <w:t>other trials in the network, making the indirect comparison more valid.</w:t>
      </w:r>
      <w:bookmarkEnd w:id="13"/>
    </w:p>
    <w:p w14:paraId="64BA2252" w14:textId="77777777" w:rsidR="00EF7044" w:rsidRPr="00FC1C6F" w:rsidRDefault="00EF7044" w:rsidP="00EF7044">
      <w:pPr>
        <w:pStyle w:val="Heading2"/>
      </w:pPr>
      <w:r w:rsidRPr="00FC1C6F">
        <w:t>Cost-effectiveness evidence</w:t>
      </w:r>
    </w:p>
    <w:p w14:paraId="5D55AFDD" w14:textId="5B084D2E" w:rsidR="00643582" w:rsidRPr="00FC1C6F" w:rsidRDefault="00EF7044" w:rsidP="00EF7044">
      <w:pPr>
        <w:pStyle w:val="Heading3"/>
      </w:pPr>
      <w:r w:rsidRPr="00FC1C6F">
        <w:t>The company’s economic model is suitable for decision making</w:t>
      </w:r>
    </w:p>
    <w:p w14:paraId="6885BC0B" w14:textId="71833329" w:rsidR="00EF7044" w:rsidRPr="00FC1C6F" w:rsidRDefault="00EF7044" w:rsidP="00EF7044">
      <w:pPr>
        <w:pStyle w:val="Numberedlevel2text"/>
        <w:numPr>
          <w:ilvl w:val="1"/>
          <w:numId w:val="1"/>
        </w:numPr>
        <w:rPr>
          <w:lang w:val="en-GB"/>
        </w:rPr>
      </w:pPr>
      <w:bookmarkStart w:id="14" w:name="_Ref83802697"/>
      <w:r w:rsidRPr="00FC1C6F">
        <w:rPr>
          <w:lang w:val="en-GB"/>
        </w:rPr>
        <w:t xml:space="preserve">The company submitted a partitioned survival model to estimate the cost effectiveness of </w:t>
      </w:r>
      <w:r w:rsidR="00486063" w:rsidRPr="00FC1C6F">
        <w:rPr>
          <w:lang w:val="en-GB"/>
        </w:rPr>
        <w:t>tucatinib combination</w:t>
      </w:r>
      <w:r w:rsidRPr="00FC1C6F">
        <w:rPr>
          <w:lang w:val="en-GB"/>
        </w:rPr>
        <w:t xml:space="preserve"> compared with eribulin, capecitabine and vinorelbine. </w:t>
      </w:r>
      <w:r w:rsidR="009E61E4" w:rsidRPr="00FC1C6F">
        <w:rPr>
          <w:lang w:val="en-GB"/>
        </w:rPr>
        <w:t xml:space="preserve">It </w:t>
      </w:r>
      <w:r w:rsidRPr="00FC1C6F">
        <w:rPr>
          <w:lang w:val="en-GB"/>
        </w:rPr>
        <w:t>had 3 health states: progression-free, progressed, and death. The committee considered that the partitioned survival model is a standard approach to estimate the cost effectiveness of cancer drugs and is suitable for decision making.</w:t>
      </w:r>
      <w:bookmarkEnd w:id="14"/>
    </w:p>
    <w:p w14:paraId="641B810D" w14:textId="6E18E118" w:rsidR="00F25A4F" w:rsidRPr="00FC1C6F" w:rsidRDefault="00020E7A" w:rsidP="00F25A4F">
      <w:pPr>
        <w:pStyle w:val="Heading3"/>
      </w:pPr>
      <w:r w:rsidRPr="00FC1C6F">
        <w:lastRenderedPageBreak/>
        <w:t xml:space="preserve">Directly extrapolating </w:t>
      </w:r>
      <w:r w:rsidR="00F25A4F" w:rsidRPr="00FC1C6F">
        <w:t>HER2CLIMB data</w:t>
      </w:r>
      <w:r w:rsidR="006F5279" w:rsidRPr="00FC1C6F">
        <w:t xml:space="preserve"> </w:t>
      </w:r>
      <w:r w:rsidR="00F25A4F" w:rsidRPr="00FC1C6F">
        <w:t>is most appropriate</w:t>
      </w:r>
      <w:r w:rsidR="00660642" w:rsidRPr="00FC1C6F">
        <w:t xml:space="preserve"> to estimate progression-free and overall survival for tucatinib</w:t>
      </w:r>
    </w:p>
    <w:p w14:paraId="4687D0A7" w14:textId="244CE759" w:rsidR="00A668FA" w:rsidRPr="00FC1C6F" w:rsidRDefault="00C7039B" w:rsidP="00A668FA">
      <w:pPr>
        <w:pStyle w:val="Numberedlevel2text"/>
        <w:rPr>
          <w:lang w:val="en-GB"/>
        </w:rPr>
      </w:pPr>
      <w:bookmarkStart w:id="15" w:name="_Ref84512548"/>
      <w:r w:rsidRPr="00FC1C6F">
        <w:rPr>
          <w:lang w:val="en-GB"/>
        </w:rPr>
        <w:t xml:space="preserve">The company chose lapatinib with capecitabine as a reference treatment to model progression-free and overall survival because </w:t>
      </w:r>
      <w:r w:rsidR="005E439E" w:rsidRPr="00FC1C6F">
        <w:rPr>
          <w:lang w:val="en-GB"/>
        </w:rPr>
        <w:t xml:space="preserve">this was the </w:t>
      </w:r>
      <w:proofErr w:type="gramStart"/>
      <w:r w:rsidR="005E439E" w:rsidRPr="00FC1C6F">
        <w:rPr>
          <w:lang w:val="en-GB"/>
        </w:rPr>
        <w:t>most commonly used</w:t>
      </w:r>
      <w:proofErr w:type="gramEnd"/>
      <w:r w:rsidR="005E439E" w:rsidRPr="00FC1C6F">
        <w:rPr>
          <w:lang w:val="en-GB"/>
        </w:rPr>
        <w:t xml:space="preserve"> treatment in the network meta-analysis</w:t>
      </w:r>
      <w:r w:rsidRPr="00FC1C6F">
        <w:rPr>
          <w:lang w:val="en-GB"/>
        </w:rPr>
        <w:t>.</w:t>
      </w:r>
      <w:r w:rsidR="0043760F" w:rsidRPr="00FC1C6F">
        <w:rPr>
          <w:lang w:val="en-GB"/>
        </w:rPr>
        <w:t xml:space="preserve"> </w:t>
      </w:r>
      <w:r w:rsidR="00790173" w:rsidRPr="00FC1C6F">
        <w:rPr>
          <w:lang w:val="en-GB"/>
        </w:rPr>
        <w:t xml:space="preserve">It explained that </w:t>
      </w:r>
      <w:r w:rsidR="0043760F" w:rsidRPr="00FC1C6F">
        <w:rPr>
          <w:lang w:val="en-GB"/>
        </w:rPr>
        <w:t>lapatinib with capecitabine data was generated using an average of the evidence in the network.</w:t>
      </w:r>
      <w:r w:rsidRPr="00FC1C6F">
        <w:rPr>
          <w:lang w:val="en-GB"/>
        </w:rPr>
        <w:t xml:space="preserve"> It used</w:t>
      </w:r>
      <w:r w:rsidR="003D6289" w:rsidRPr="00FC1C6F">
        <w:rPr>
          <w:lang w:val="en-GB"/>
        </w:rPr>
        <w:t xml:space="preserve"> fractional polynomial curves </w:t>
      </w:r>
      <w:r w:rsidRPr="00FC1C6F">
        <w:rPr>
          <w:lang w:val="en-GB"/>
        </w:rPr>
        <w:t xml:space="preserve">to extrapolate survival data </w:t>
      </w:r>
      <w:r w:rsidR="00660642" w:rsidRPr="00FC1C6F">
        <w:rPr>
          <w:lang w:val="en-GB"/>
        </w:rPr>
        <w:t>for the reference arm</w:t>
      </w:r>
      <w:r w:rsidRPr="00FC1C6F">
        <w:rPr>
          <w:lang w:val="en-GB"/>
        </w:rPr>
        <w:t>.</w:t>
      </w:r>
      <w:r w:rsidR="00660642" w:rsidRPr="00FC1C6F">
        <w:rPr>
          <w:lang w:val="en-GB"/>
        </w:rPr>
        <w:t xml:space="preserve"> It then used hazard ratios from its network meta-analysis to estimate survival for other treatments</w:t>
      </w:r>
      <w:r w:rsidR="003D6289" w:rsidRPr="00FC1C6F">
        <w:rPr>
          <w:lang w:val="en-GB"/>
        </w:rPr>
        <w:t xml:space="preserve">. </w:t>
      </w:r>
      <w:r w:rsidR="00790173" w:rsidRPr="00FC1C6F">
        <w:rPr>
          <w:lang w:val="en-GB"/>
        </w:rPr>
        <w:t>The ERG explained that</w:t>
      </w:r>
      <w:r w:rsidR="007A4BE9" w:rsidRPr="00FC1C6F">
        <w:rPr>
          <w:lang w:val="en-GB"/>
        </w:rPr>
        <w:t xml:space="preserve"> the</w:t>
      </w:r>
      <w:r w:rsidR="00790173" w:rsidRPr="00FC1C6F">
        <w:rPr>
          <w:lang w:val="en-GB"/>
        </w:rPr>
        <w:t xml:space="preserve"> company approach</w:t>
      </w:r>
      <w:r w:rsidR="003D6289" w:rsidRPr="00FC1C6F">
        <w:rPr>
          <w:lang w:val="en-GB"/>
        </w:rPr>
        <w:t xml:space="preserve"> </w:t>
      </w:r>
      <w:r w:rsidR="00660642" w:rsidRPr="00FC1C6F">
        <w:rPr>
          <w:lang w:val="en-GB"/>
        </w:rPr>
        <w:t xml:space="preserve">resulted in estimated survival </w:t>
      </w:r>
      <w:r w:rsidR="00114466" w:rsidRPr="00FC1C6F">
        <w:rPr>
          <w:lang w:val="en-GB"/>
        </w:rPr>
        <w:t xml:space="preserve">data </w:t>
      </w:r>
      <w:r w:rsidR="00660642" w:rsidRPr="00FC1C6F">
        <w:rPr>
          <w:lang w:val="en-GB"/>
        </w:rPr>
        <w:t xml:space="preserve">for tucatinib combination that had </w:t>
      </w:r>
      <w:r w:rsidR="003D6289" w:rsidRPr="00FC1C6F">
        <w:rPr>
          <w:lang w:val="en-GB"/>
        </w:rPr>
        <w:t>a poor</w:t>
      </w:r>
      <w:r w:rsidR="00DC3B40" w:rsidRPr="00FC1C6F">
        <w:rPr>
          <w:lang w:val="en-GB"/>
        </w:rPr>
        <w:t xml:space="preserve"> visual</w:t>
      </w:r>
      <w:r w:rsidR="003D6289" w:rsidRPr="00FC1C6F">
        <w:rPr>
          <w:lang w:val="en-GB"/>
        </w:rPr>
        <w:t xml:space="preserve"> fit to data from the HER2CLIMB trial, particularly for overall survival. </w:t>
      </w:r>
      <w:r w:rsidR="00790173" w:rsidRPr="00FC1C6F">
        <w:rPr>
          <w:lang w:val="en-GB"/>
        </w:rPr>
        <w:t xml:space="preserve">Instead, it </w:t>
      </w:r>
      <w:r w:rsidR="003D6289" w:rsidRPr="00FC1C6F">
        <w:rPr>
          <w:lang w:val="en-GB"/>
        </w:rPr>
        <w:t>prefer</w:t>
      </w:r>
      <w:r w:rsidR="00660642" w:rsidRPr="00FC1C6F">
        <w:rPr>
          <w:lang w:val="en-GB"/>
        </w:rPr>
        <w:t>red</w:t>
      </w:r>
      <w:r w:rsidR="003D6289" w:rsidRPr="00FC1C6F">
        <w:rPr>
          <w:lang w:val="en-GB"/>
        </w:rPr>
        <w:t xml:space="preserve"> to fit survival curves </w:t>
      </w:r>
      <w:r w:rsidR="00660642" w:rsidRPr="00FC1C6F">
        <w:rPr>
          <w:lang w:val="en-GB"/>
        </w:rPr>
        <w:t xml:space="preserve">directly </w:t>
      </w:r>
      <w:r w:rsidR="003D6289" w:rsidRPr="00FC1C6F">
        <w:rPr>
          <w:lang w:val="en-GB"/>
        </w:rPr>
        <w:t>to the HER2CLIMB data</w:t>
      </w:r>
      <w:r w:rsidR="005E439E" w:rsidRPr="00FC1C6F">
        <w:rPr>
          <w:lang w:val="en-GB"/>
        </w:rPr>
        <w:t xml:space="preserve"> using trastuzumab with capecitabine as the reference treatment</w:t>
      </w:r>
      <w:r w:rsidR="00382F2E" w:rsidRPr="00FC1C6F">
        <w:rPr>
          <w:lang w:val="en-GB"/>
        </w:rPr>
        <w:t>.</w:t>
      </w:r>
      <w:r w:rsidR="003D6289" w:rsidRPr="00FC1C6F">
        <w:rPr>
          <w:lang w:val="en-GB"/>
        </w:rPr>
        <w:t xml:space="preserve"> </w:t>
      </w:r>
      <w:r w:rsidR="00382F2E" w:rsidRPr="00FC1C6F">
        <w:rPr>
          <w:lang w:val="en-GB"/>
        </w:rPr>
        <w:t>It chose</w:t>
      </w:r>
      <w:r w:rsidR="003D6289" w:rsidRPr="00FC1C6F">
        <w:rPr>
          <w:lang w:val="en-GB"/>
        </w:rPr>
        <w:t xml:space="preserve"> </w:t>
      </w:r>
      <w:r w:rsidR="003532F8" w:rsidRPr="00FC1C6F">
        <w:rPr>
          <w:lang w:val="en-GB"/>
        </w:rPr>
        <w:t xml:space="preserve">the </w:t>
      </w:r>
      <w:r w:rsidR="003D6289" w:rsidRPr="00FC1C6F">
        <w:rPr>
          <w:lang w:val="en-GB"/>
        </w:rPr>
        <w:t>Weibull curve</w:t>
      </w:r>
      <w:r w:rsidR="00382F2E" w:rsidRPr="00FC1C6F">
        <w:rPr>
          <w:lang w:val="en-GB"/>
        </w:rPr>
        <w:t xml:space="preserve"> because it provided </w:t>
      </w:r>
      <w:r w:rsidR="00DC3B40" w:rsidRPr="00FC1C6F">
        <w:rPr>
          <w:lang w:val="en-GB"/>
        </w:rPr>
        <w:t>better visual fit and the best statistical fit</w:t>
      </w:r>
      <w:r w:rsidR="0028222D" w:rsidRPr="00FC1C6F">
        <w:rPr>
          <w:lang w:val="en-GB"/>
        </w:rPr>
        <w:t xml:space="preserve">. </w:t>
      </w:r>
      <w:r w:rsidR="00DB1A8D" w:rsidRPr="00FC1C6F">
        <w:rPr>
          <w:lang w:val="en-GB"/>
        </w:rPr>
        <w:t>The company explained</w:t>
      </w:r>
      <w:r w:rsidR="00D955E5" w:rsidRPr="00FC1C6F">
        <w:rPr>
          <w:lang w:val="en-GB"/>
        </w:rPr>
        <w:t xml:space="preserve"> the</w:t>
      </w:r>
      <w:r w:rsidR="00DB1A8D" w:rsidRPr="00FC1C6F">
        <w:rPr>
          <w:lang w:val="en-GB"/>
        </w:rPr>
        <w:t xml:space="preserve"> </w:t>
      </w:r>
      <w:r w:rsidR="00382F2E" w:rsidRPr="00FC1C6F">
        <w:rPr>
          <w:lang w:val="en-GB"/>
        </w:rPr>
        <w:t>ERG’s approach</w:t>
      </w:r>
      <w:r w:rsidR="00DB1A8D" w:rsidRPr="00FC1C6F">
        <w:rPr>
          <w:rFonts w:cs="Arial"/>
          <w:lang w:val="en-GB"/>
        </w:rPr>
        <w:t xml:space="preserve"> create</w:t>
      </w:r>
      <w:r w:rsidR="00114466" w:rsidRPr="00FC1C6F">
        <w:rPr>
          <w:rFonts w:cs="Arial"/>
          <w:lang w:val="en-GB"/>
        </w:rPr>
        <w:t>d</w:t>
      </w:r>
      <w:r w:rsidR="00DB1A8D" w:rsidRPr="00FC1C6F">
        <w:rPr>
          <w:rFonts w:cs="Arial"/>
          <w:lang w:val="en-GB"/>
        </w:rPr>
        <w:t xml:space="preserve"> bias against tucatinib </w:t>
      </w:r>
      <w:r w:rsidR="00382F2E" w:rsidRPr="00FC1C6F">
        <w:rPr>
          <w:rFonts w:cs="Arial"/>
          <w:lang w:val="en-GB"/>
        </w:rPr>
        <w:t>because</w:t>
      </w:r>
      <w:r w:rsidR="00DB1A8D" w:rsidRPr="00FC1C6F">
        <w:rPr>
          <w:rFonts w:cs="Arial"/>
          <w:lang w:val="en-GB"/>
        </w:rPr>
        <w:t xml:space="preserve"> </w:t>
      </w:r>
      <w:r w:rsidR="00382F2E" w:rsidRPr="00FC1C6F">
        <w:rPr>
          <w:rFonts w:cs="Arial"/>
          <w:lang w:val="en-GB"/>
        </w:rPr>
        <w:t xml:space="preserve">HER2CLIMB included people with brain metastases who </w:t>
      </w:r>
      <w:r w:rsidR="00DB1A8D" w:rsidRPr="00FC1C6F">
        <w:rPr>
          <w:rFonts w:cs="Arial"/>
          <w:lang w:val="en-GB"/>
        </w:rPr>
        <w:t>have poorer outcomes than people without brain metastases.</w:t>
      </w:r>
      <w:r w:rsidR="00DB1A8D" w:rsidRPr="00FC1C6F">
        <w:rPr>
          <w:lang w:val="en-GB"/>
        </w:rPr>
        <w:t xml:space="preserve"> </w:t>
      </w:r>
      <w:r w:rsidR="00790173" w:rsidRPr="00FC1C6F">
        <w:rPr>
          <w:lang w:val="en-GB"/>
        </w:rPr>
        <w:t xml:space="preserve">The committee noted that because HER2CLIMB was representative of clinical practice, while other trials were not (see section </w:t>
      </w:r>
      <w:r w:rsidR="00235FC8" w:rsidRPr="00FC1C6F">
        <w:rPr>
          <w:lang w:val="en-GB"/>
        </w:rPr>
        <w:fldChar w:fldCharType="begin"/>
      </w:r>
      <w:r w:rsidR="00235FC8" w:rsidRPr="00FC1C6F">
        <w:rPr>
          <w:lang w:val="en-GB"/>
        </w:rPr>
        <w:instrText xml:space="preserve"> REF _Ref84839278 \r \h </w:instrText>
      </w:r>
      <w:r w:rsidR="00235FC8" w:rsidRPr="00FC1C6F">
        <w:rPr>
          <w:lang w:val="en-GB"/>
        </w:rPr>
      </w:r>
      <w:r w:rsidR="00235FC8" w:rsidRPr="00FC1C6F">
        <w:rPr>
          <w:lang w:val="en-GB"/>
        </w:rPr>
        <w:fldChar w:fldCharType="separate"/>
      </w:r>
      <w:r w:rsidR="001054DD" w:rsidRPr="00FC1C6F">
        <w:rPr>
          <w:lang w:val="en-GB"/>
        </w:rPr>
        <w:t>3.4</w:t>
      </w:r>
      <w:r w:rsidR="00235FC8" w:rsidRPr="00FC1C6F">
        <w:rPr>
          <w:lang w:val="en-GB"/>
        </w:rPr>
        <w:fldChar w:fldCharType="end"/>
      </w:r>
      <w:r w:rsidR="00235FC8" w:rsidRPr="00FC1C6F">
        <w:rPr>
          <w:lang w:val="en-GB"/>
        </w:rPr>
        <w:t xml:space="preserve"> and </w:t>
      </w:r>
      <w:r w:rsidR="00114466" w:rsidRPr="00FC1C6F">
        <w:rPr>
          <w:lang w:val="en-GB"/>
        </w:rPr>
        <w:t xml:space="preserve">section </w:t>
      </w:r>
      <w:r w:rsidR="00F54105" w:rsidRPr="00FC1C6F">
        <w:rPr>
          <w:lang w:val="en-GB"/>
        </w:rPr>
        <w:fldChar w:fldCharType="begin"/>
      </w:r>
      <w:r w:rsidR="00F54105" w:rsidRPr="00FC1C6F">
        <w:rPr>
          <w:lang w:val="en-GB"/>
        </w:rPr>
        <w:instrText xml:space="preserve"> REF _Ref84494842 \r \h </w:instrText>
      </w:r>
      <w:r w:rsidR="00F54105" w:rsidRPr="00FC1C6F">
        <w:rPr>
          <w:lang w:val="en-GB"/>
        </w:rPr>
      </w:r>
      <w:r w:rsidR="00F54105" w:rsidRPr="00FC1C6F">
        <w:rPr>
          <w:lang w:val="en-GB"/>
        </w:rPr>
        <w:fldChar w:fldCharType="separate"/>
      </w:r>
      <w:r w:rsidR="001054DD" w:rsidRPr="00FC1C6F">
        <w:rPr>
          <w:lang w:val="en-GB"/>
        </w:rPr>
        <w:t>3.6</w:t>
      </w:r>
      <w:r w:rsidR="00F54105" w:rsidRPr="00FC1C6F">
        <w:rPr>
          <w:lang w:val="en-GB"/>
        </w:rPr>
        <w:fldChar w:fldCharType="end"/>
      </w:r>
      <w:r w:rsidR="00790173" w:rsidRPr="00FC1C6F">
        <w:rPr>
          <w:lang w:val="en-GB"/>
        </w:rPr>
        <w:t xml:space="preserve">), it should be used to model survival expected in NHS practice. It also noted that lapatinib with capecitabine </w:t>
      </w:r>
      <w:r w:rsidR="001E26FB" w:rsidRPr="00FC1C6F">
        <w:rPr>
          <w:lang w:val="en-GB"/>
        </w:rPr>
        <w:t>is not a relevant comparator in this appraisal (see section 3.3)</w:t>
      </w:r>
      <w:r w:rsidR="00790173" w:rsidRPr="00FC1C6F">
        <w:rPr>
          <w:lang w:val="en-GB"/>
        </w:rPr>
        <w:t xml:space="preserve">. </w:t>
      </w:r>
      <w:r w:rsidR="0043760F" w:rsidRPr="00FC1C6F">
        <w:rPr>
          <w:lang w:val="en-GB"/>
        </w:rPr>
        <w:t>The committee agreed that the curves fitted to the HER2CLIMB data better fit</w:t>
      </w:r>
      <w:r w:rsidR="005521DC" w:rsidRPr="00FC1C6F">
        <w:rPr>
          <w:lang w:val="en-GB"/>
        </w:rPr>
        <w:t>ted</w:t>
      </w:r>
      <w:r w:rsidR="0028222D" w:rsidRPr="00FC1C6F">
        <w:rPr>
          <w:lang w:val="en-GB"/>
        </w:rPr>
        <w:t xml:space="preserve"> </w:t>
      </w:r>
      <w:r w:rsidR="00F2587D" w:rsidRPr="00FC1C6F">
        <w:rPr>
          <w:lang w:val="en-GB"/>
        </w:rPr>
        <w:t>outcomes observed in the trial and m</w:t>
      </w:r>
      <w:r w:rsidR="003E1DD4" w:rsidRPr="00FC1C6F">
        <w:rPr>
          <w:lang w:val="en-GB"/>
        </w:rPr>
        <w:t>ore closely matched the</w:t>
      </w:r>
      <w:r w:rsidR="0028222D" w:rsidRPr="00FC1C6F">
        <w:rPr>
          <w:lang w:val="en-GB"/>
        </w:rPr>
        <w:t xml:space="preserve"> clinical expert estimates of progression-free survival and overall survival. </w:t>
      </w:r>
      <w:r w:rsidR="00A668FA" w:rsidRPr="00FC1C6F">
        <w:rPr>
          <w:lang w:val="en-GB"/>
        </w:rPr>
        <w:t>The committee concluded that fitting survival curves to HER2CLIMB data</w:t>
      </w:r>
      <w:r w:rsidR="006F5279" w:rsidRPr="00FC1C6F">
        <w:rPr>
          <w:lang w:val="en-GB"/>
        </w:rPr>
        <w:t xml:space="preserve"> </w:t>
      </w:r>
      <w:r w:rsidR="00A668FA" w:rsidRPr="00FC1C6F">
        <w:rPr>
          <w:lang w:val="en-GB"/>
        </w:rPr>
        <w:t xml:space="preserve">is most </w:t>
      </w:r>
      <w:r w:rsidR="00F54105" w:rsidRPr="00FC1C6F">
        <w:rPr>
          <w:lang w:val="en-GB"/>
        </w:rPr>
        <w:t>appropriate but</w:t>
      </w:r>
      <w:r w:rsidR="00382F2E" w:rsidRPr="00FC1C6F">
        <w:rPr>
          <w:lang w:val="en-GB"/>
        </w:rPr>
        <w:t xml:space="preserve"> acknowledged</w:t>
      </w:r>
      <w:r w:rsidR="001D5E91" w:rsidRPr="00FC1C6F">
        <w:rPr>
          <w:lang w:val="en-GB"/>
        </w:rPr>
        <w:t xml:space="preserve"> </w:t>
      </w:r>
      <w:r w:rsidR="00206E5D" w:rsidRPr="00FC1C6F">
        <w:rPr>
          <w:lang w:val="en-GB"/>
        </w:rPr>
        <w:t xml:space="preserve">that this did not address the underlying </w:t>
      </w:r>
      <w:r w:rsidR="001D5E91" w:rsidRPr="00FC1C6F">
        <w:rPr>
          <w:lang w:val="en-GB"/>
        </w:rPr>
        <w:t xml:space="preserve">issues with network meta-analysis (see section </w:t>
      </w:r>
      <w:r w:rsidR="00F54105" w:rsidRPr="00FC1C6F">
        <w:rPr>
          <w:lang w:val="en-GB"/>
        </w:rPr>
        <w:fldChar w:fldCharType="begin"/>
      </w:r>
      <w:r w:rsidR="00F54105" w:rsidRPr="00FC1C6F">
        <w:rPr>
          <w:lang w:val="en-GB"/>
        </w:rPr>
        <w:instrText xml:space="preserve"> REF _Ref84494842 \r \h </w:instrText>
      </w:r>
      <w:r w:rsidR="00F54105" w:rsidRPr="00FC1C6F">
        <w:rPr>
          <w:lang w:val="en-GB"/>
        </w:rPr>
      </w:r>
      <w:r w:rsidR="00F54105" w:rsidRPr="00FC1C6F">
        <w:rPr>
          <w:lang w:val="en-GB"/>
        </w:rPr>
        <w:fldChar w:fldCharType="separate"/>
      </w:r>
      <w:r w:rsidR="001054DD" w:rsidRPr="00FC1C6F">
        <w:rPr>
          <w:lang w:val="en-GB"/>
        </w:rPr>
        <w:t>3.6</w:t>
      </w:r>
      <w:r w:rsidR="00F54105" w:rsidRPr="00FC1C6F">
        <w:rPr>
          <w:lang w:val="en-GB"/>
        </w:rPr>
        <w:fldChar w:fldCharType="end"/>
      </w:r>
      <w:r w:rsidR="0011527B" w:rsidRPr="00FC1C6F">
        <w:rPr>
          <w:lang w:val="en-GB"/>
        </w:rPr>
        <w:t xml:space="preserve"> and</w:t>
      </w:r>
      <w:r w:rsidR="000D5BD1" w:rsidRPr="00FC1C6F">
        <w:rPr>
          <w:lang w:val="en-GB"/>
        </w:rPr>
        <w:t xml:space="preserve"> </w:t>
      </w:r>
      <w:r w:rsidR="00AD1212" w:rsidRPr="00FC1C6F">
        <w:rPr>
          <w:lang w:val="en-GB"/>
        </w:rPr>
        <w:t xml:space="preserve">section </w:t>
      </w:r>
      <w:r w:rsidR="000D5BD1" w:rsidRPr="00FC1C6F">
        <w:rPr>
          <w:lang w:val="en-GB"/>
        </w:rPr>
        <w:fldChar w:fldCharType="begin"/>
      </w:r>
      <w:r w:rsidR="000D5BD1" w:rsidRPr="00FC1C6F">
        <w:rPr>
          <w:lang w:val="en-GB"/>
        </w:rPr>
        <w:instrText xml:space="preserve"> REF _Ref84511334 \r \h </w:instrText>
      </w:r>
      <w:r w:rsidR="000D5BD1" w:rsidRPr="00FC1C6F">
        <w:rPr>
          <w:lang w:val="en-GB"/>
        </w:rPr>
      </w:r>
      <w:r w:rsidR="000D5BD1" w:rsidRPr="00FC1C6F">
        <w:rPr>
          <w:lang w:val="en-GB"/>
        </w:rPr>
        <w:fldChar w:fldCharType="separate"/>
      </w:r>
      <w:r w:rsidR="001054DD" w:rsidRPr="00FC1C6F">
        <w:rPr>
          <w:lang w:val="en-GB"/>
        </w:rPr>
        <w:t>3.8</w:t>
      </w:r>
      <w:r w:rsidR="000D5BD1" w:rsidRPr="00FC1C6F">
        <w:rPr>
          <w:lang w:val="en-GB"/>
        </w:rPr>
        <w:fldChar w:fldCharType="end"/>
      </w:r>
      <w:r w:rsidR="001E26FB" w:rsidRPr="00FC1C6F">
        <w:rPr>
          <w:lang w:val="en-GB"/>
        </w:rPr>
        <w:t>)</w:t>
      </w:r>
      <w:r w:rsidR="0011527B" w:rsidRPr="00FC1C6F">
        <w:rPr>
          <w:lang w:val="en-GB"/>
        </w:rPr>
        <w:t>.</w:t>
      </w:r>
      <w:bookmarkEnd w:id="15"/>
    </w:p>
    <w:p w14:paraId="584CC0D4" w14:textId="0AF1F345" w:rsidR="00382F2E" w:rsidRPr="00FC1C6F" w:rsidRDefault="0043760F" w:rsidP="00302744">
      <w:pPr>
        <w:pStyle w:val="Heading3"/>
      </w:pPr>
      <w:r w:rsidRPr="00FC1C6F">
        <w:lastRenderedPageBreak/>
        <w:t xml:space="preserve">Subgroup </w:t>
      </w:r>
      <w:r w:rsidR="003F74E4" w:rsidRPr="00FC1C6F">
        <w:t xml:space="preserve">and threshold analyses </w:t>
      </w:r>
      <w:r w:rsidRPr="00FC1C6F">
        <w:t xml:space="preserve">could help </w:t>
      </w:r>
      <w:r w:rsidR="003F74E4" w:rsidRPr="00FC1C6F">
        <w:t xml:space="preserve">better understand </w:t>
      </w:r>
      <w:r w:rsidRPr="00FC1C6F">
        <w:t>uncertainty</w:t>
      </w:r>
      <w:r w:rsidR="003F74E4" w:rsidRPr="00FC1C6F">
        <w:t xml:space="preserve"> </w:t>
      </w:r>
      <w:r w:rsidR="007D729D" w:rsidRPr="00FC1C6F">
        <w:t xml:space="preserve">around </w:t>
      </w:r>
      <w:r w:rsidR="006F4AE5" w:rsidRPr="00FC1C6F">
        <w:t xml:space="preserve">the effectiveness </w:t>
      </w:r>
      <w:r w:rsidR="00896683" w:rsidRPr="00FC1C6F">
        <w:t>of tucatinib in people with and without</w:t>
      </w:r>
      <w:r w:rsidR="006F4AE5" w:rsidRPr="00FC1C6F">
        <w:t xml:space="preserve"> </w:t>
      </w:r>
      <w:r w:rsidR="007D729D" w:rsidRPr="00FC1C6F">
        <w:t>brain metastases</w:t>
      </w:r>
    </w:p>
    <w:p w14:paraId="555BA4AD" w14:textId="5B86CB4E" w:rsidR="005E439E" w:rsidRPr="00FC1C6F" w:rsidRDefault="005E439E" w:rsidP="005E439E">
      <w:pPr>
        <w:pStyle w:val="Numberedlevel2text"/>
        <w:rPr>
          <w:lang w:val="en-GB"/>
        </w:rPr>
      </w:pPr>
      <w:bookmarkStart w:id="16" w:name="_Ref84496414"/>
      <w:r w:rsidRPr="00FC1C6F">
        <w:rPr>
          <w:lang w:val="en-GB"/>
        </w:rPr>
        <w:t xml:space="preserve">The company did not </w:t>
      </w:r>
      <w:r w:rsidR="00896683" w:rsidRPr="00FC1C6F">
        <w:rPr>
          <w:lang w:val="en-GB"/>
        </w:rPr>
        <w:t xml:space="preserve">model </w:t>
      </w:r>
      <w:r w:rsidR="001C1360" w:rsidRPr="00FC1C6F">
        <w:rPr>
          <w:lang w:val="en-GB"/>
        </w:rPr>
        <w:t xml:space="preserve">the </w:t>
      </w:r>
      <w:r w:rsidR="00896683" w:rsidRPr="00FC1C6F">
        <w:rPr>
          <w:lang w:val="en-GB"/>
        </w:rPr>
        <w:t xml:space="preserve">cost-effectiveness of tucatinib </w:t>
      </w:r>
      <w:r w:rsidR="001C1360" w:rsidRPr="00FC1C6F">
        <w:rPr>
          <w:lang w:val="en-GB"/>
        </w:rPr>
        <w:t xml:space="preserve">combination </w:t>
      </w:r>
      <w:r w:rsidR="00896683" w:rsidRPr="00FC1C6F">
        <w:rPr>
          <w:lang w:val="en-GB"/>
        </w:rPr>
        <w:t>relative to its comparators separately</w:t>
      </w:r>
      <w:r w:rsidRPr="00FC1C6F">
        <w:rPr>
          <w:lang w:val="en-GB"/>
        </w:rPr>
        <w:t xml:space="preserve"> </w:t>
      </w:r>
      <w:r w:rsidR="00974D47" w:rsidRPr="00FC1C6F">
        <w:rPr>
          <w:lang w:val="en-GB"/>
        </w:rPr>
        <w:t>for</w:t>
      </w:r>
      <w:r w:rsidRPr="00FC1C6F">
        <w:rPr>
          <w:lang w:val="en-GB"/>
        </w:rPr>
        <w:t xml:space="preserve"> p</w:t>
      </w:r>
      <w:r w:rsidR="003A4E43" w:rsidRPr="00FC1C6F">
        <w:rPr>
          <w:lang w:val="en-GB"/>
        </w:rPr>
        <w:t>eople</w:t>
      </w:r>
      <w:r w:rsidRPr="00FC1C6F">
        <w:rPr>
          <w:lang w:val="en-GB"/>
        </w:rPr>
        <w:t xml:space="preserve"> with </w:t>
      </w:r>
      <w:r w:rsidR="00A97A0C" w:rsidRPr="00FC1C6F">
        <w:rPr>
          <w:lang w:val="en-GB"/>
        </w:rPr>
        <w:t xml:space="preserve">and without </w:t>
      </w:r>
      <w:r w:rsidRPr="00FC1C6F">
        <w:rPr>
          <w:lang w:val="en-GB"/>
        </w:rPr>
        <w:t xml:space="preserve">brain metastases </w:t>
      </w:r>
      <w:r w:rsidR="00FC6C51" w:rsidRPr="00FC1C6F">
        <w:rPr>
          <w:lang w:val="en-GB"/>
        </w:rPr>
        <w:t>because</w:t>
      </w:r>
      <w:r w:rsidRPr="00FC1C6F">
        <w:rPr>
          <w:lang w:val="en-GB"/>
        </w:rPr>
        <w:t xml:space="preserve"> there </w:t>
      </w:r>
      <w:r w:rsidR="00FC6C51" w:rsidRPr="00FC1C6F">
        <w:rPr>
          <w:lang w:val="en-GB"/>
        </w:rPr>
        <w:t>is</w:t>
      </w:r>
      <w:r w:rsidRPr="00FC1C6F">
        <w:rPr>
          <w:lang w:val="en-GB"/>
        </w:rPr>
        <w:t xml:space="preserve"> limited evidence on the efficacy of comparators in </w:t>
      </w:r>
      <w:r w:rsidR="00896683" w:rsidRPr="00FC1C6F">
        <w:rPr>
          <w:lang w:val="en-GB"/>
        </w:rPr>
        <w:t>people with brain metastases</w:t>
      </w:r>
      <w:r w:rsidRPr="00FC1C6F">
        <w:rPr>
          <w:lang w:val="en-GB"/>
        </w:rPr>
        <w:t>.</w:t>
      </w:r>
      <w:r w:rsidR="0043760F" w:rsidRPr="00FC1C6F">
        <w:rPr>
          <w:lang w:val="en-GB"/>
        </w:rPr>
        <w:t xml:space="preserve"> The ERG agreed that there is a lack of evidence </w:t>
      </w:r>
      <w:r w:rsidR="00896683" w:rsidRPr="00FC1C6F">
        <w:rPr>
          <w:lang w:val="en-GB"/>
        </w:rPr>
        <w:t xml:space="preserve">for the comparators </w:t>
      </w:r>
      <w:r w:rsidR="00AD1212" w:rsidRPr="00FC1C6F">
        <w:rPr>
          <w:lang w:val="en-GB"/>
        </w:rPr>
        <w:t xml:space="preserve">in </w:t>
      </w:r>
      <w:r w:rsidR="0043760F" w:rsidRPr="00FC1C6F">
        <w:rPr>
          <w:lang w:val="en-GB"/>
        </w:rPr>
        <w:t>people with brain metastases.</w:t>
      </w:r>
      <w:r w:rsidR="00DB1738" w:rsidRPr="00FC1C6F">
        <w:rPr>
          <w:lang w:val="en-GB"/>
        </w:rPr>
        <w:t xml:space="preserve"> </w:t>
      </w:r>
      <w:r w:rsidR="00992B7C" w:rsidRPr="00FC1C6F">
        <w:rPr>
          <w:lang w:val="en-GB"/>
        </w:rPr>
        <w:t xml:space="preserve">The committee noted that </w:t>
      </w:r>
      <w:r w:rsidR="003F74E4" w:rsidRPr="00FC1C6F">
        <w:rPr>
          <w:lang w:val="en-GB"/>
        </w:rPr>
        <w:t xml:space="preserve">despite these limitations, </w:t>
      </w:r>
      <w:r w:rsidR="00992B7C" w:rsidRPr="00FC1C6F">
        <w:rPr>
          <w:lang w:val="en-GB"/>
        </w:rPr>
        <w:t xml:space="preserve">the company </w:t>
      </w:r>
      <w:r w:rsidR="003F74E4" w:rsidRPr="00FC1C6F">
        <w:rPr>
          <w:lang w:val="en-GB"/>
        </w:rPr>
        <w:t>should</w:t>
      </w:r>
      <w:r w:rsidR="00992B7C" w:rsidRPr="00FC1C6F">
        <w:rPr>
          <w:lang w:val="en-GB"/>
        </w:rPr>
        <w:t xml:space="preserve"> have explored this further.</w:t>
      </w:r>
      <w:r w:rsidR="00333F88" w:rsidRPr="00FC1C6F">
        <w:rPr>
          <w:lang w:val="en-GB"/>
        </w:rPr>
        <w:t xml:space="preserve"> It </w:t>
      </w:r>
      <w:r w:rsidR="00206E5D" w:rsidRPr="00FC1C6F">
        <w:rPr>
          <w:lang w:val="en-GB"/>
        </w:rPr>
        <w:t xml:space="preserve">considered </w:t>
      </w:r>
      <w:r w:rsidR="00333F88" w:rsidRPr="00FC1C6F">
        <w:rPr>
          <w:lang w:val="en-GB"/>
        </w:rPr>
        <w:t xml:space="preserve">that modelling survival for tucatinib </w:t>
      </w:r>
      <w:r w:rsidR="00AD1212" w:rsidRPr="00FC1C6F">
        <w:rPr>
          <w:lang w:val="en-GB"/>
        </w:rPr>
        <w:t xml:space="preserve">combination </w:t>
      </w:r>
      <w:r w:rsidR="00333F88" w:rsidRPr="00FC1C6F">
        <w:rPr>
          <w:lang w:val="en-GB"/>
        </w:rPr>
        <w:t xml:space="preserve">and its comparators separately </w:t>
      </w:r>
      <w:r w:rsidR="00336478" w:rsidRPr="00FC1C6F">
        <w:rPr>
          <w:lang w:val="en-GB"/>
        </w:rPr>
        <w:t xml:space="preserve">for </w:t>
      </w:r>
      <w:r w:rsidR="00AD1212" w:rsidRPr="00FC1C6F">
        <w:rPr>
          <w:lang w:val="en-GB"/>
        </w:rPr>
        <w:t xml:space="preserve">people </w:t>
      </w:r>
      <w:r w:rsidR="00336478" w:rsidRPr="00FC1C6F">
        <w:rPr>
          <w:lang w:val="en-GB"/>
        </w:rPr>
        <w:t xml:space="preserve">with and without brain </w:t>
      </w:r>
      <w:r w:rsidR="00BE3489" w:rsidRPr="00FC1C6F">
        <w:rPr>
          <w:lang w:val="en-GB"/>
        </w:rPr>
        <w:t>metastases could</w:t>
      </w:r>
      <w:r w:rsidR="00333F88" w:rsidRPr="00FC1C6F">
        <w:rPr>
          <w:lang w:val="en-GB"/>
        </w:rPr>
        <w:t xml:space="preserve"> help</w:t>
      </w:r>
      <w:r w:rsidR="002B6D0A">
        <w:rPr>
          <w:lang w:val="en-GB"/>
        </w:rPr>
        <w:t xml:space="preserve"> </w:t>
      </w:r>
      <w:r w:rsidR="002914FD">
        <w:rPr>
          <w:lang w:val="en-GB"/>
        </w:rPr>
        <w:t xml:space="preserve">better </w:t>
      </w:r>
      <w:r w:rsidR="002B6D0A">
        <w:rPr>
          <w:lang w:val="en-GB"/>
        </w:rPr>
        <w:t>understand the u</w:t>
      </w:r>
      <w:r w:rsidR="00333F88" w:rsidRPr="00FC1C6F">
        <w:rPr>
          <w:lang w:val="en-GB"/>
        </w:rPr>
        <w:t>ncertain</w:t>
      </w:r>
      <w:r w:rsidR="002B6D0A">
        <w:rPr>
          <w:lang w:val="en-GB"/>
        </w:rPr>
        <w:t>ty</w:t>
      </w:r>
      <w:r w:rsidR="00333F88" w:rsidRPr="00FC1C6F">
        <w:rPr>
          <w:lang w:val="en-GB"/>
        </w:rPr>
        <w:t xml:space="preserve"> in </w:t>
      </w:r>
      <w:r w:rsidR="00206E5D" w:rsidRPr="00FC1C6F">
        <w:rPr>
          <w:lang w:val="en-GB"/>
        </w:rPr>
        <w:t xml:space="preserve">the </w:t>
      </w:r>
      <w:r w:rsidR="00333F88" w:rsidRPr="00FC1C6F">
        <w:rPr>
          <w:lang w:val="en-GB"/>
        </w:rPr>
        <w:t>cost</w:t>
      </w:r>
      <w:r w:rsidR="00CD66DF" w:rsidRPr="00FC1C6F">
        <w:rPr>
          <w:lang w:val="en-GB"/>
        </w:rPr>
        <w:t xml:space="preserve"> </w:t>
      </w:r>
      <w:r w:rsidR="00333F88" w:rsidRPr="00FC1C6F">
        <w:rPr>
          <w:lang w:val="en-GB"/>
        </w:rPr>
        <w:t>effectiveness of tucatini</w:t>
      </w:r>
      <w:r w:rsidR="00336478" w:rsidRPr="00FC1C6F">
        <w:rPr>
          <w:lang w:val="en-GB"/>
        </w:rPr>
        <w:t>b.</w:t>
      </w:r>
      <w:r w:rsidR="00333F88" w:rsidRPr="00FC1C6F">
        <w:rPr>
          <w:lang w:val="en-GB"/>
        </w:rPr>
        <w:t xml:space="preserve"> </w:t>
      </w:r>
      <w:r w:rsidR="00BA29F6" w:rsidRPr="00FC1C6F">
        <w:rPr>
          <w:lang w:val="en-GB"/>
        </w:rPr>
        <w:t>This is because presence of brain metastases is a prognostic factor</w:t>
      </w:r>
      <w:r w:rsidR="00896683" w:rsidRPr="00FC1C6F">
        <w:rPr>
          <w:lang w:val="en-GB"/>
        </w:rPr>
        <w:t>, and therefore</w:t>
      </w:r>
      <w:r w:rsidR="00BA29F6" w:rsidRPr="00FC1C6F">
        <w:rPr>
          <w:lang w:val="en-GB"/>
        </w:rPr>
        <w:t xml:space="preserve"> the shape </w:t>
      </w:r>
      <w:r w:rsidR="00AD1212" w:rsidRPr="00FC1C6F">
        <w:rPr>
          <w:lang w:val="en-GB"/>
        </w:rPr>
        <w:t xml:space="preserve">and extrapolation </w:t>
      </w:r>
      <w:r w:rsidR="00BA29F6" w:rsidRPr="00FC1C6F">
        <w:rPr>
          <w:lang w:val="en-GB"/>
        </w:rPr>
        <w:t>of survival curve</w:t>
      </w:r>
      <w:r w:rsidR="00896683" w:rsidRPr="00FC1C6F">
        <w:rPr>
          <w:lang w:val="en-GB"/>
        </w:rPr>
        <w:t>s</w:t>
      </w:r>
      <w:r w:rsidR="00BA29F6" w:rsidRPr="00FC1C6F">
        <w:rPr>
          <w:lang w:val="en-GB"/>
        </w:rPr>
        <w:t xml:space="preserve"> </w:t>
      </w:r>
      <w:r w:rsidR="00896683" w:rsidRPr="00FC1C6F">
        <w:rPr>
          <w:lang w:val="en-GB"/>
        </w:rPr>
        <w:t>are</w:t>
      </w:r>
      <w:r w:rsidR="00BA29F6" w:rsidRPr="00FC1C6F">
        <w:rPr>
          <w:lang w:val="en-GB"/>
        </w:rPr>
        <w:t xml:space="preserve"> likely </w:t>
      </w:r>
      <w:r w:rsidR="00896683" w:rsidRPr="00FC1C6F">
        <w:rPr>
          <w:lang w:val="en-GB"/>
        </w:rPr>
        <w:t>to differ</w:t>
      </w:r>
      <w:r w:rsidR="00BA29F6" w:rsidRPr="00FC1C6F">
        <w:rPr>
          <w:lang w:val="en-GB"/>
        </w:rPr>
        <w:t xml:space="preserve"> </w:t>
      </w:r>
      <w:r w:rsidR="00896683" w:rsidRPr="00FC1C6F">
        <w:rPr>
          <w:lang w:val="en-GB"/>
        </w:rPr>
        <w:t>for people with and without brain metastases</w:t>
      </w:r>
      <w:r w:rsidR="00BA29F6" w:rsidRPr="00FC1C6F">
        <w:rPr>
          <w:lang w:val="en-GB"/>
        </w:rPr>
        <w:t xml:space="preserve">. </w:t>
      </w:r>
      <w:r w:rsidR="00AD1212" w:rsidRPr="00FC1C6F">
        <w:rPr>
          <w:lang w:val="en-GB"/>
        </w:rPr>
        <w:t>The committee</w:t>
      </w:r>
      <w:r w:rsidR="00BA29F6" w:rsidRPr="00FC1C6F">
        <w:rPr>
          <w:lang w:val="en-GB"/>
        </w:rPr>
        <w:t xml:space="preserve"> also recalled</w:t>
      </w:r>
      <w:r w:rsidR="00333F88" w:rsidRPr="00FC1C6F">
        <w:rPr>
          <w:lang w:val="en-GB"/>
        </w:rPr>
        <w:t xml:space="preserve"> </w:t>
      </w:r>
      <w:r w:rsidR="00336478" w:rsidRPr="00FC1C6F">
        <w:rPr>
          <w:lang w:val="en-GB"/>
        </w:rPr>
        <w:t xml:space="preserve">that the relative </w:t>
      </w:r>
      <w:r w:rsidR="00BA29F6" w:rsidRPr="00FC1C6F">
        <w:rPr>
          <w:lang w:val="en-GB"/>
        </w:rPr>
        <w:t xml:space="preserve">benefit of tucatinib </w:t>
      </w:r>
      <w:r w:rsidR="00BE3489" w:rsidRPr="00FC1C6F">
        <w:rPr>
          <w:lang w:val="en-GB"/>
        </w:rPr>
        <w:t xml:space="preserve">compared with existing treatments </w:t>
      </w:r>
      <w:r w:rsidR="00336478" w:rsidRPr="00FC1C6F">
        <w:rPr>
          <w:lang w:val="en-GB"/>
        </w:rPr>
        <w:t xml:space="preserve">might well be different for </w:t>
      </w:r>
      <w:r w:rsidR="00AD1212" w:rsidRPr="00FC1C6F">
        <w:rPr>
          <w:lang w:val="en-GB"/>
        </w:rPr>
        <w:t xml:space="preserve">the </w:t>
      </w:r>
      <w:r w:rsidR="00896683" w:rsidRPr="00FC1C6F">
        <w:rPr>
          <w:lang w:val="en-GB"/>
        </w:rPr>
        <w:t>2 groups</w:t>
      </w:r>
      <w:r w:rsidR="00CA434D">
        <w:rPr>
          <w:lang w:val="en-GB"/>
        </w:rPr>
        <w:t xml:space="preserve"> </w:t>
      </w:r>
      <w:r w:rsidR="00CA434D" w:rsidRPr="00FC1C6F">
        <w:rPr>
          <w:lang w:val="en-GB"/>
        </w:rPr>
        <w:t xml:space="preserve">(see sections 3.6 and </w:t>
      </w:r>
      <w:r w:rsidR="00CA434D" w:rsidRPr="00FC1C6F">
        <w:rPr>
          <w:lang w:val="en-GB"/>
        </w:rPr>
        <w:fldChar w:fldCharType="begin"/>
      </w:r>
      <w:r w:rsidR="00CA434D" w:rsidRPr="00FC1C6F">
        <w:rPr>
          <w:lang w:val="en-GB"/>
        </w:rPr>
        <w:instrText xml:space="preserve"> REF _Ref84511334 \r \h </w:instrText>
      </w:r>
      <w:r w:rsidR="00CA434D" w:rsidRPr="00FC1C6F">
        <w:rPr>
          <w:lang w:val="en-GB"/>
        </w:rPr>
      </w:r>
      <w:r w:rsidR="00CA434D" w:rsidRPr="00FC1C6F">
        <w:rPr>
          <w:lang w:val="en-GB"/>
        </w:rPr>
        <w:fldChar w:fldCharType="separate"/>
      </w:r>
      <w:r w:rsidR="00CA434D" w:rsidRPr="00FC1C6F">
        <w:rPr>
          <w:lang w:val="en-GB"/>
        </w:rPr>
        <w:t>3.8</w:t>
      </w:r>
      <w:r w:rsidR="00CA434D" w:rsidRPr="00FC1C6F">
        <w:rPr>
          <w:lang w:val="en-GB"/>
        </w:rPr>
        <w:fldChar w:fldCharType="end"/>
      </w:r>
      <w:r w:rsidR="00CA434D" w:rsidRPr="00FC1C6F">
        <w:rPr>
          <w:lang w:val="en-GB"/>
        </w:rPr>
        <w:t>)</w:t>
      </w:r>
      <w:r w:rsidR="00333F88" w:rsidRPr="00FC1C6F">
        <w:rPr>
          <w:lang w:val="en-GB"/>
        </w:rPr>
        <w:t>.</w:t>
      </w:r>
      <w:r w:rsidR="00992B7C" w:rsidRPr="00FC1C6F">
        <w:rPr>
          <w:lang w:val="en-GB"/>
        </w:rPr>
        <w:t xml:space="preserve"> </w:t>
      </w:r>
      <w:r w:rsidR="00AD1212" w:rsidRPr="00FC1C6F">
        <w:rPr>
          <w:lang w:val="en-GB"/>
        </w:rPr>
        <w:t>It</w:t>
      </w:r>
      <w:r w:rsidR="00BA29F6" w:rsidRPr="00FC1C6F">
        <w:rPr>
          <w:lang w:val="en-GB"/>
        </w:rPr>
        <w:t xml:space="preserve"> </w:t>
      </w:r>
      <w:r w:rsidR="00512362" w:rsidRPr="00FC1C6F">
        <w:rPr>
          <w:lang w:val="en-GB"/>
        </w:rPr>
        <w:t>agreed that a</w:t>
      </w:r>
      <w:r w:rsidR="00333F88" w:rsidRPr="00FC1C6F">
        <w:rPr>
          <w:lang w:val="en-GB"/>
        </w:rPr>
        <w:t xml:space="preserve"> threshold analysis</w:t>
      </w:r>
      <w:r w:rsidR="00027D01" w:rsidRPr="00FC1C6F">
        <w:rPr>
          <w:lang w:val="en-GB"/>
        </w:rPr>
        <w:t xml:space="preserve">, showing </w:t>
      </w:r>
      <w:r w:rsidR="00333F88" w:rsidRPr="00FC1C6F">
        <w:rPr>
          <w:lang w:val="en-GB"/>
        </w:rPr>
        <w:t xml:space="preserve">how much worse the outcomes for the comparators would have to be </w:t>
      </w:r>
      <w:r w:rsidR="00027D01" w:rsidRPr="00FC1C6F">
        <w:rPr>
          <w:lang w:val="en-GB"/>
        </w:rPr>
        <w:t xml:space="preserve">for tucatinib combination to be considered </w:t>
      </w:r>
      <w:r w:rsidR="00333F88" w:rsidRPr="00FC1C6F">
        <w:rPr>
          <w:lang w:val="en-GB"/>
        </w:rPr>
        <w:t>cost effective</w:t>
      </w:r>
      <w:r w:rsidR="00027D01" w:rsidRPr="00FC1C6F">
        <w:rPr>
          <w:lang w:val="en-GB"/>
        </w:rPr>
        <w:t>, would be helpful</w:t>
      </w:r>
      <w:r w:rsidR="00333F88" w:rsidRPr="00FC1C6F">
        <w:rPr>
          <w:lang w:val="en-GB"/>
        </w:rPr>
        <w:t>.</w:t>
      </w:r>
      <w:r w:rsidR="00333F88" w:rsidRPr="00FC1C6F" w:rsidDel="00333F88">
        <w:rPr>
          <w:lang w:val="en-GB"/>
        </w:rPr>
        <w:t xml:space="preserve"> </w:t>
      </w:r>
      <w:r w:rsidR="00DB1738" w:rsidRPr="00FC1C6F">
        <w:rPr>
          <w:lang w:val="en-GB"/>
        </w:rPr>
        <w:t xml:space="preserve">The committee concluded that subgroup </w:t>
      </w:r>
      <w:r w:rsidR="00992B7C" w:rsidRPr="00FC1C6F">
        <w:rPr>
          <w:lang w:val="en-GB"/>
        </w:rPr>
        <w:t xml:space="preserve">and threshold analyses </w:t>
      </w:r>
      <w:r w:rsidR="00DB1738" w:rsidRPr="00FC1C6F">
        <w:rPr>
          <w:lang w:val="en-GB"/>
        </w:rPr>
        <w:t>could help</w:t>
      </w:r>
      <w:r w:rsidR="002914FD">
        <w:rPr>
          <w:lang w:val="en-GB"/>
        </w:rPr>
        <w:t xml:space="preserve"> better</w:t>
      </w:r>
      <w:r w:rsidR="00DB1738" w:rsidRPr="00FC1C6F">
        <w:rPr>
          <w:lang w:val="en-GB"/>
        </w:rPr>
        <w:t xml:space="preserve"> </w:t>
      </w:r>
      <w:r w:rsidR="002B6D0A">
        <w:rPr>
          <w:lang w:val="en-GB"/>
        </w:rPr>
        <w:t>understand the</w:t>
      </w:r>
      <w:r w:rsidR="00992B7C" w:rsidRPr="00FC1C6F">
        <w:rPr>
          <w:lang w:val="en-GB"/>
        </w:rPr>
        <w:t xml:space="preserve"> </w:t>
      </w:r>
      <w:r w:rsidR="00DB1738" w:rsidRPr="00FC1C6F">
        <w:rPr>
          <w:lang w:val="en-GB"/>
        </w:rPr>
        <w:t>uncertainty</w:t>
      </w:r>
      <w:r w:rsidR="00992B7C" w:rsidRPr="00FC1C6F">
        <w:rPr>
          <w:lang w:val="en-GB"/>
        </w:rPr>
        <w:t xml:space="preserve"> around </w:t>
      </w:r>
      <w:r w:rsidR="00896683" w:rsidRPr="00FC1C6F">
        <w:rPr>
          <w:lang w:val="en-GB"/>
        </w:rPr>
        <w:t>the effectiveness of tucatinib</w:t>
      </w:r>
      <w:r w:rsidR="001C1360" w:rsidRPr="00FC1C6F">
        <w:rPr>
          <w:lang w:val="en-GB"/>
        </w:rPr>
        <w:t xml:space="preserve"> combination</w:t>
      </w:r>
      <w:r w:rsidR="00896683" w:rsidRPr="00FC1C6F">
        <w:rPr>
          <w:lang w:val="en-GB"/>
        </w:rPr>
        <w:t xml:space="preserve"> in people with and without brain metastases</w:t>
      </w:r>
      <w:r w:rsidR="00DB1738" w:rsidRPr="00FC1C6F">
        <w:rPr>
          <w:lang w:val="en-GB"/>
        </w:rPr>
        <w:t>.</w:t>
      </w:r>
      <w:bookmarkEnd w:id="16"/>
    </w:p>
    <w:p w14:paraId="1BD1BB34" w14:textId="61D8B4AA" w:rsidR="00302744" w:rsidRPr="00FC1C6F" w:rsidRDefault="004551C3" w:rsidP="00302744">
      <w:pPr>
        <w:pStyle w:val="Heading3"/>
        <w:rPr>
          <w:strike/>
        </w:rPr>
      </w:pPr>
      <w:r w:rsidRPr="00FC1C6F">
        <w:t xml:space="preserve">Some differences in </w:t>
      </w:r>
      <w:r w:rsidR="007B4159" w:rsidRPr="00FC1C6F">
        <w:t>pre-progression</w:t>
      </w:r>
      <w:r w:rsidR="00213ED9" w:rsidRPr="00FC1C6F">
        <w:t xml:space="preserve"> </w:t>
      </w:r>
      <w:r w:rsidR="007B4159" w:rsidRPr="00FC1C6F">
        <w:t xml:space="preserve">health state utilities </w:t>
      </w:r>
      <w:r w:rsidRPr="00FC1C6F">
        <w:t>are plausible, but post</w:t>
      </w:r>
      <w:r w:rsidR="00CD66DF" w:rsidRPr="00FC1C6F">
        <w:t>-</w:t>
      </w:r>
      <w:r w:rsidRPr="00FC1C6F">
        <w:t xml:space="preserve">progression utility differences </w:t>
      </w:r>
      <w:r w:rsidR="00884671" w:rsidRPr="00FC1C6F">
        <w:t>are not</w:t>
      </w:r>
      <w:r w:rsidRPr="00FC1C6F">
        <w:t xml:space="preserve"> justified</w:t>
      </w:r>
    </w:p>
    <w:p w14:paraId="7F941AB5" w14:textId="703F7771" w:rsidR="008C2906" w:rsidRPr="00FC1C6F" w:rsidRDefault="006C5AFC" w:rsidP="007B4159">
      <w:pPr>
        <w:pStyle w:val="Numberedlevel2text"/>
        <w:rPr>
          <w:lang w:val="en-GB"/>
        </w:rPr>
      </w:pPr>
      <w:bookmarkStart w:id="17" w:name="_Ref84495598"/>
      <w:r w:rsidRPr="00FC1C6F">
        <w:rPr>
          <w:lang w:val="en-GB"/>
        </w:rPr>
        <w:t>For tucatinib combination, t</w:t>
      </w:r>
      <w:r w:rsidR="00302744" w:rsidRPr="00FC1C6F">
        <w:rPr>
          <w:lang w:val="en-GB"/>
        </w:rPr>
        <w:t xml:space="preserve">he company </w:t>
      </w:r>
      <w:r w:rsidR="000807AF" w:rsidRPr="00FC1C6F">
        <w:rPr>
          <w:lang w:val="en-GB"/>
        </w:rPr>
        <w:t>used EQ-5D-5L</w:t>
      </w:r>
      <w:r w:rsidRPr="00FC1C6F">
        <w:rPr>
          <w:lang w:val="en-GB"/>
        </w:rPr>
        <w:t xml:space="preserve"> health-related quality of life data collected in </w:t>
      </w:r>
      <w:r w:rsidR="008C2906" w:rsidRPr="00FC1C6F">
        <w:rPr>
          <w:lang w:val="en-GB"/>
        </w:rPr>
        <w:t>HER2CLIMB, mapped to</w:t>
      </w:r>
      <w:r w:rsidR="00884671" w:rsidRPr="00FC1C6F">
        <w:rPr>
          <w:lang w:val="en-GB"/>
        </w:rPr>
        <w:t xml:space="preserve"> the</w:t>
      </w:r>
      <w:r w:rsidR="008C2906" w:rsidRPr="00FC1C6F">
        <w:rPr>
          <w:lang w:val="en-GB"/>
        </w:rPr>
        <w:t xml:space="preserve"> EQ-5D-3L</w:t>
      </w:r>
      <w:r w:rsidRPr="00FC1C6F">
        <w:rPr>
          <w:lang w:val="en-GB"/>
        </w:rPr>
        <w:t xml:space="preserve"> with UK preference weighting</w:t>
      </w:r>
      <w:r w:rsidR="008C2906" w:rsidRPr="00FC1C6F">
        <w:rPr>
          <w:lang w:val="en-GB"/>
        </w:rPr>
        <w:t xml:space="preserve">. Utilities for the comparator therapies </w:t>
      </w:r>
      <w:r w:rsidR="00FC6C51" w:rsidRPr="00FC1C6F">
        <w:rPr>
          <w:lang w:val="en-GB"/>
        </w:rPr>
        <w:t>were</w:t>
      </w:r>
      <w:r w:rsidR="008C2906" w:rsidRPr="00FC1C6F">
        <w:rPr>
          <w:lang w:val="en-GB"/>
        </w:rPr>
        <w:t xml:space="preserve"> from TA423. </w:t>
      </w:r>
      <w:r w:rsidR="00B4619F" w:rsidRPr="00FC1C6F">
        <w:rPr>
          <w:lang w:val="en-GB"/>
        </w:rPr>
        <w:t>This resulted in</w:t>
      </w:r>
      <w:r w:rsidR="008C2906" w:rsidRPr="00FC1C6F">
        <w:rPr>
          <w:lang w:val="en-GB"/>
        </w:rPr>
        <w:t xml:space="preserve"> </w:t>
      </w:r>
      <w:r w:rsidR="00302744" w:rsidRPr="00FC1C6F">
        <w:rPr>
          <w:lang w:val="en-GB"/>
        </w:rPr>
        <w:t>higher utility values for</w:t>
      </w:r>
      <w:r w:rsidR="00884671" w:rsidRPr="00FC1C6F">
        <w:rPr>
          <w:lang w:val="en-GB"/>
        </w:rPr>
        <w:t xml:space="preserve"> </w:t>
      </w:r>
      <w:r w:rsidR="00302744" w:rsidRPr="00FC1C6F">
        <w:rPr>
          <w:lang w:val="en-GB"/>
        </w:rPr>
        <w:t xml:space="preserve">tucatinib combination compared </w:t>
      </w:r>
      <w:r w:rsidR="00F14E6B" w:rsidRPr="00FC1C6F">
        <w:rPr>
          <w:lang w:val="en-GB"/>
        </w:rPr>
        <w:t>with</w:t>
      </w:r>
      <w:r w:rsidR="00302744" w:rsidRPr="00FC1C6F">
        <w:rPr>
          <w:lang w:val="en-GB"/>
        </w:rPr>
        <w:t xml:space="preserve"> comparators in </w:t>
      </w:r>
      <w:r w:rsidR="00B4619F" w:rsidRPr="00FC1C6F">
        <w:rPr>
          <w:lang w:val="en-GB"/>
        </w:rPr>
        <w:t xml:space="preserve">both </w:t>
      </w:r>
      <w:r w:rsidR="00302744" w:rsidRPr="00FC1C6F">
        <w:rPr>
          <w:lang w:val="en-GB"/>
        </w:rPr>
        <w:t xml:space="preserve">pre- and post-progression health </w:t>
      </w:r>
      <w:r w:rsidR="00302744" w:rsidRPr="00FC1C6F">
        <w:rPr>
          <w:lang w:val="en-GB"/>
        </w:rPr>
        <w:lastRenderedPageBreak/>
        <w:t>state</w:t>
      </w:r>
      <w:r w:rsidR="00B4619F" w:rsidRPr="00FC1C6F">
        <w:rPr>
          <w:lang w:val="en-GB"/>
        </w:rPr>
        <w:t>s</w:t>
      </w:r>
      <w:r w:rsidR="00302744" w:rsidRPr="00FC1C6F">
        <w:rPr>
          <w:lang w:val="en-GB"/>
        </w:rPr>
        <w:t xml:space="preserve">. </w:t>
      </w:r>
      <w:r w:rsidR="001451B4" w:rsidRPr="00FC1C6F">
        <w:rPr>
          <w:lang w:val="en-GB"/>
        </w:rPr>
        <w:t>The company explained</w:t>
      </w:r>
      <w:r w:rsidR="00302744" w:rsidRPr="00FC1C6F">
        <w:rPr>
          <w:lang w:val="en-GB"/>
        </w:rPr>
        <w:t xml:space="preserve"> tucatinib has better efficacy and safety profile</w:t>
      </w:r>
      <w:r w:rsidR="00884671" w:rsidRPr="00FC1C6F">
        <w:rPr>
          <w:lang w:val="en-GB"/>
        </w:rPr>
        <w:t>s</w:t>
      </w:r>
      <w:r w:rsidR="00302744" w:rsidRPr="00FC1C6F">
        <w:rPr>
          <w:lang w:val="en-GB"/>
        </w:rPr>
        <w:t xml:space="preserve">. </w:t>
      </w:r>
      <w:r w:rsidR="00B4619F" w:rsidRPr="00FC1C6F">
        <w:rPr>
          <w:lang w:val="en-GB"/>
        </w:rPr>
        <w:t xml:space="preserve">It noted that in </w:t>
      </w:r>
      <w:r w:rsidR="00302744" w:rsidRPr="00FC1C6F">
        <w:rPr>
          <w:lang w:val="en-GB"/>
        </w:rPr>
        <w:t>TA423</w:t>
      </w:r>
      <w:r w:rsidR="00B4619F" w:rsidRPr="00FC1C6F">
        <w:rPr>
          <w:lang w:val="en-GB"/>
        </w:rPr>
        <w:t>,</w:t>
      </w:r>
      <w:r w:rsidR="00302744" w:rsidRPr="00FC1C6F">
        <w:rPr>
          <w:lang w:val="en-GB"/>
        </w:rPr>
        <w:t xml:space="preserve"> eribulin had higher pre-progression utilities </w:t>
      </w:r>
      <w:r w:rsidR="00884671" w:rsidRPr="00FC1C6F">
        <w:rPr>
          <w:lang w:val="en-GB"/>
        </w:rPr>
        <w:t>than</w:t>
      </w:r>
      <w:r w:rsidR="00302744" w:rsidRPr="00FC1C6F">
        <w:rPr>
          <w:lang w:val="en-GB"/>
        </w:rPr>
        <w:t xml:space="preserve"> other single agent chemotherapies. The ERG explained</w:t>
      </w:r>
      <w:r w:rsidR="003532F8" w:rsidRPr="00FC1C6F">
        <w:rPr>
          <w:lang w:val="en-GB"/>
        </w:rPr>
        <w:t xml:space="preserve"> the</w:t>
      </w:r>
      <w:r w:rsidR="00B4619F" w:rsidRPr="00FC1C6F">
        <w:rPr>
          <w:lang w:val="en-GB"/>
        </w:rPr>
        <w:t xml:space="preserve"> company approach is inappropriate because differences in utilities between tucatinib and comparators are not based on comparative evidence.</w:t>
      </w:r>
      <w:r w:rsidR="00302744" w:rsidRPr="00FC1C6F">
        <w:rPr>
          <w:lang w:val="en-GB"/>
        </w:rPr>
        <w:t xml:space="preserve"> </w:t>
      </w:r>
      <w:r w:rsidR="00B4619F" w:rsidRPr="00FC1C6F">
        <w:rPr>
          <w:lang w:val="en-GB"/>
        </w:rPr>
        <w:t xml:space="preserve">It </w:t>
      </w:r>
      <w:r w:rsidR="00302744" w:rsidRPr="00FC1C6F">
        <w:rPr>
          <w:lang w:val="en-GB"/>
        </w:rPr>
        <w:t>prefer</w:t>
      </w:r>
      <w:r w:rsidR="00B4619F" w:rsidRPr="00FC1C6F">
        <w:rPr>
          <w:lang w:val="en-GB"/>
        </w:rPr>
        <w:t>red</w:t>
      </w:r>
      <w:r w:rsidR="00302744" w:rsidRPr="00FC1C6F">
        <w:rPr>
          <w:lang w:val="en-GB"/>
        </w:rPr>
        <w:t xml:space="preserve"> </w:t>
      </w:r>
      <w:r w:rsidR="00B4619F" w:rsidRPr="00FC1C6F">
        <w:rPr>
          <w:lang w:val="en-GB"/>
        </w:rPr>
        <w:t xml:space="preserve">to use the same utility values for all treatments for each health state, and </w:t>
      </w:r>
      <w:r w:rsidR="0029552D" w:rsidRPr="00FC1C6F">
        <w:rPr>
          <w:lang w:val="en-GB"/>
        </w:rPr>
        <w:t xml:space="preserve">to derive </w:t>
      </w:r>
      <w:r w:rsidR="00884671" w:rsidRPr="00FC1C6F">
        <w:rPr>
          <w:lang w:val="en-GB"/>
        </w:rPr>
        <w:t xml:space="preserve">them </w:t>
      </w:r>
      <w:r w:rsidR="0029552D" w:rsidRPr="00FC1C6F">
        <w:rPr>
          <w:lang w:val="en-GB"/>
        </w:rPr>
        <w:t>all</w:t>
      </w:r>
      <w:r w:rsidR="00B4619F" w:rsidRPr="00FC1C6F">
        <w:rPr>
          <w:lang w:val="en-GB"/>
        </w:rPr>
        <w:t xml:space="preserve"> </w:t>
      </w:r>
      <w:r w:rsidR="008C2906" w:rsidRPr="00FC1C6F">
        <w:rPr>
          <w:lang w:val="en-GB"/>
        </w:rPr>
        <w:t xml:space="preserve">from HER2CLIMB </w:t>
      </w:r>
      <w:r w:rsidR="00B4619F" w:rsidRPr="00FC1C6F">
        <w:rPr>
          <w:lang w:val="en-GB"/>
        </w:rPr>
        <w:t>data</w:t>
      </w:r>
      <w:r w:rsidR="00302744" w:rsidRPr="00FC1C6F">
        <w:rPr>
          <w:lang w:val="en-GB"/>
        </w:rPr>
        <w:t>.</w:t>
      </w:r>
      <w:r w:rsidR="0029552D" w:rsidRPr="00FC1C6F">
        <w:rPr>
          <w:lang w:val="en-GB"/>
        </w:rPr>
        <w:t xml:space="preserve"> </w:t>
      </w:r>
      <w:r w:rsidR="00D470C6" w:rsidRPr="00FC1C6F">
        <w:rPr>
          <w:lang w:val="en-GB"/>
        </w:rPr>
        <w:t xml:space="preserve">The ERG noted that in the HER2CLIMB trial, </w:t>
      </w:r>
      <w:r w:rsidR="00027D01" w:rsidRPr="00FC1C6F">
        <w:rPr>
          <w:lang w:val="en-GB"/>
        </w:rPr>
        <w:t xml:space="preserve">there was no </w:t>
      </w:r>
      <w:r w:rsidR="00D470C6" w:rsidRPr="00FC1C6F">
        <w:rPr>
          <w:lang w:val="en-GB"/>
        </w:rPr>
        <w:t xml:space="preserve">difference </w:t>
      </w:r>
      <w:r w:rsidR="00027D01" w:rsidRPr="00FC1C6F">
        <w:rPr>
          <w:lang w:val="en-GB"/>
        </w:rPr>
        <w:t xml:space="preserve">in utility values </w:t>
      </w:r>
      <w:r w:rsidR="00D470C6" w:rsidRPr="00FC1C6F">
        <w:rPr>
          <w:lang w:val="en-GB"/>
        </w:rPr>
        <w:t xml:space="preserve">between the </w:t>
      </w:r>
      <w:r w:rsidR="00027D01" w:rsidRPr="00FC1C6F">
        <w:rPr>
          <w:lang w:val="en-GB"/>
        </w:rPr>
        <w:t>2</w:t>
      </w:r>
      <w:r w:rsidR="00D470C6" w:rsidRPr="00FC1C6F">
        <w:rPr>
          <w:lang w:val="en-GB"/>
        </w:rPr>
        <w:t xml:space="preserve"> trial arms. </w:t>
      </w:r>
      <w:r w:rsidR="0029552D" w:rsidRPr="00FC1C6F">
        <w:rPr>
          <w:lang w:val="en-GB"/>
        </w:rPr>
        <w:t>It also explained that TA423 used different post-progression utility values tha</w:t>
      </w:r>
      <w:r w:rsidR="003532F8" w:rsidRPr="00FC1C6F">
        <w:rPr>
          <w:lang w:val="en-GB"/>
        </w:rPr>
        <w:t>n</w:t>
      </w:r>
      <w:r w:rsidR="0029552D" w:rsidRPr="00FC1C6F">
        <w:rPr>
          <w:lang w:val="en-GB"/>
        </w:rPr>
        <w:t xml:space="preserve"> those used by the company, making </w:t>
      </w:r>
      <w:r w:rsidR="003532F8" w:rsidRPr="00FC1C6F">
        <w:rPr>
          <w:lang w:val="en-GB"/>
        </w:rPr>
        <w:t xml:space="preserve">the </w:t>
      </w:r>
      <w:r w:rsidR="0029552D" w:rsidRPr="00FC1C6F">
        <w:rPr>
          <w:lang w:val="en-GB"/>
        </w:rPr>
        <w:t>company approach inconsistent.</w:t>
      </w:r>
      <w:r w:rsidR="00302744" w:rsidRPr="00FC1C6F">
        <w:rPr>
          <w:lang w:val="en-GB"/>
        </w:rPr>
        <w:t xml:space="preserve"> </w:t>
      </w:r>
      <w:r w:rsidR="00027D01" w:rsidRPr="00FC1C6F">
        <w:rPr>
          <w:lang w:val="en-GB"/>
        </w:rPr>
        <w:t>In that appraisal, the c</w:t>
      </w:r>
      <w:r w:rsidR="00D470C6" w:rsidRPr="00FC1C6F">
        <w:rPr>
          <w:lang w:val="en-GB"/>
        </w:rPr>
        <w:t>ommittee did not agree with the company value because it was too low.</w:t>
      </w:r>
      <w:r w:rsidR="00884671" w:rsidRPr="00FC1C6F">
        <w:rPr>
          <w:lang w:val="en-GB"/>
        </w:rPr>
        <w:t xml:space="preserve"> The</w:t>
      </w:r>
      <w:r w:rsidR="00D470C6" w:rsidRPr="00FC1C6F">
        <w:rPr>
          <w:lang w:val="en-GB"/>
        </w:rPr>
        <w:t xml:space="preserve"> </w:t>
      </w:r>
      <w:r w:rsidR="00884671" w:rsidRPr="00FC1C6F">
        <w:rPr>
          <w:lang w:val="en-GB"/>
        </w:rPr>
        <w:t>c</w:t>
      </w:r>
      <w:r w:rsidR="008C2906" w:rsidRPr="00FC1C6F">
        <w:rPr>
          <w:lang w:val="en-GB"/>
        </w:rPr>
        <w:t xml:space="preserve">linical experts explained that </w:t>
      </w:r>
      <w:r w:rsidR="003532F8" w:rsidRPr="00FC1C6F">
        <w:rPr>
          <w:lang w:val="en-GB"/>
        </w:rPr>
        <w:t xml:space="preserve">the </w:t>
      </w:r>
      <w:r w:rsidR="0029552D" w:rsidRPr="00FC1C6F">
        <w:rPr>
          <w:lang w:val="en-GB"/>
        </w:rPr>
        <w:t xml:space="preserve">safety profile of </w:t>
      </w:r>
      <w:r w:rsidR="008C2906" w:rsidRPr="00FC1C6F">
        <w:rPr>
          <w:lang w:val="en-GB"/>
        </w:rPr>
        <w:t xml:space="preserve">tucatinib is </w:t>
      </w:r>
      <w:r w:rsidR="001601D2" w:rsidRPr="00FC1C6F">
        <w:rPr>
          <w:lang w:val="en-GB"/>
        </w:rPr>
        <w:t>good,</w:t>
      </w:r>
      <w:r w:rsidR="008C2906" w:rsidRPr="00FC1C6F">
        <w:rPr>
          <w:lang w:val="en-GB"/>
        </w:rPr>
        <w:t xml:space="preserve"> but it is difficult to s</w:t>
      </w:r>
      <w:r w:rsidR="003532F8" w:rsidRPr="00FC1C6F">
        <w:rPr>
          <w:lang w:val="en-GB"/>
        </w:rPr>
        <w:t>epa</w:t>
      </w:r>
      <w:r w:rsidR="008C2906" w:rsidRPr="00FC1C6F">
        <w:rPr>
          <w:lang w:val="en-GB"/>
        </w:rPr>
        <w:t xml:space="preserve">rate out </w:t>
      </w:r>
      <w:r w:rsidR="00884671" w:rsidRPr="00FC1C6F">
        <w:rPr>
          <w:lang w:val="en-GB"/>
        </w:rPr>
        <w:t xml:space="preserve">the effects of </w:t>
      </w:r>
      <w:r w:rsidR="008C2906" w:rsidRPr="00FC1C6F">
        <w:rPr>
          <w:lang w:val="en-GB"/>
        </w:rPr>
        <w:t>disease progression and toxicity on quality of life.</w:t>
      </w:r>
      <w:r w:rsidR="007B4159" w:rsidRPr="00FC1C6F">
        <w:rPr>
          <w:lang w:val="en-GB"/>
        </w:rPr>
        <w:t xml:space="preserve"> </w:t>
      </w:r>
      <w:r w:rsidR="00884671" w:rsidRPr="00FC1C6F">
        <w:rPr>
          <w:lang w:val="en-GB"/>
        </w:rPr>
        <w:t>The c</w:t>
      </w:r>
      <w:r w:rsidR="007B4159" w:rsidRPr="00FC1C6F">
        <w:rPr>
          <w:lang w:val="en-GB"/>
        </w:rPr>
        <w:t xml:space="preserve">linical experts also noted </w:t>
      </w:r>
      <w:r w:rsidR="00884671" w:rsidRPr="00FC1C6F">
        <w:rPr>
          <w:lang w:val="en-GB"/>
        </w:rPr>
        <w:t xml:space="preserve">that </w:t>
      </w:r>
      <w:r w:rsidR="007B4159" w:rsidRPr="00FC1C6F">
        <w:rPr>
          <w:lang w:val="en-GB"/>
        </w:rPr>
        <w:t xml:space="preserve">disease control could support different pre-progression utility values because treatments offer different levels of overall response rate. The committee agreed </w:t>
      </w:r>
      <w:r w:rsidR="00884671" w:rsidRPr="00FC1C6F">
        <w:rPr>
          <w:lang w:val="en-GB"/>
        </w:rPr>
        <w:t xml:space="preserve">that </w:t>
      </w:r>
      <w:r w:rsidR="007B4159" w:rsidRPr="00FC1C6F">
        <w:rPr>
          <w:lang w:val="en-GB"/>
        </w:rPr>
        <w:t xml:space="preserve">different pre-progression utility values </w:t>
      </w:r>
      <w:r w:rsidR="00CF0FF0" w:rsidRPr="00FC1C6F">
        <w:rPr>
          <w:lang w:val="en-GB"/>
        </w:rPr>
        <w:t xml:space="preserve">are plausible, but noted the values used by the company </w:t>
      </w:r>
      <w:r w:rsidR="00536A72" w:rsidRPr="00FC1C6F">
        <w:rPr>
          <w:lang w:val="en-GB"/>
        </w:rPr>
        <w:t xml:space="preserve">were </w:t>
      </w:r>
      <w:r w:rsidR="00CF0FF0" w:rsidRPr="00FC1C6F">
        <w:rPr>
          <w:lang w:val="en-GB"/>
        </w:rPr>
        <w:t>not evidence</w:t>
      </w:r>
      <w:r w:rsidR="00536A72" w:rsidRPr="00FC1C6F">
        <w:rPr>
          <w:lang w:val="en-GB"/>
        </w:rPr>
        <w:t xml:space="preserve"> </w:t>
      </w:r>
      <w:r w:rsidR="00CF0FF0" w:rsidRPr="00FC1C6F">
        <w:rPr>
          <w:lang w:val="en-GB"/>
        </w:rPr>
        <w:t xml:space="preserve">based, so </w:t>
      </w:r>
      <w:r w:rsidR="00536A72" w:rsidRPr="00FC1C6F">
        <w:rPr>
          <w:lang w:val="en-GB"/>
        </w:rPr>
        <w:t xml:space="preserve">were </w:t>
      </w:r>
      <w:r w:rsidR="00CF0FF0" w:rsidRPr="00FC1C6F">
        <w:rPr>
          <w:lang w:val="en-GB"/>
        </w:rPr>
        <w:t>uncertain</w:t>
      </w:r>
      <w:r w:rsidR="007B4159" w:rsidRPr="00FC1C6F">
        <w:rPr>
          <w:lang w:val="en-GB"/>
        </w:rPr>
        <w:t xml:space="preserve">. </w:t>
      </w:r>
      <w:r w:rsidR="00884671" w:rsidRPr="00FC1C6F">
        <w:rPr>
          <w:lang w:val="en-GB"/>
        </w:rPr>
        <w:t>T</w:t>
      </w:r>
      <w:r w:rsidR="007B4159" w:rsidRPr="00FC1C6F">
        <w:rPr>
          <w:lang w:val="en-GB"/>
        </w:rPr>
        <w:t>he committee agreed with the ERG</w:t>
      </w:r>
      <w:r w:rsidR="00EB2A35" w:rsidRPr="00FC1C6F">
        <w:rPr>
          <w:lang w:val="en-GB"/>
        </w:rPr>
        <w:t>’s concerns</w:t>
      </w:r>
      <w:r w:rsidR="007B4159" w:rsidRPr="00FC1C6F">
        <w:rPr>
          <w:lang w:val="en-GB"/>
        </w:rPr>
        <w:t xml:space="preserve"> </w:t>
      </w:r>
      <w:r w:rsidR="00CF0FF0" w:rsidRPr="00FC1C6F">
        <w:rPr>
          <w:lang w:val="en-GB"/>
        </w:rPr>
        <w:t>that</w:t>
      </w:r>
      <w:r w:rsidR="00884671" w:rsidRPr="00FC1C6F">
        <w:rPr>
          <w:lang w:val="en-GB"/>
        </w:rPr>
        <w:t xml:space="preserve"> the</w:t>
      </w:r>
      <w:r w:rsidR="00CF0FF0" w:rsidRPr="00FC1C6F">
        <w:rPr>
          <w:lang w:val="en-GB"/>
        </w:rPr>
        <w:t xml:space="preserve"> company did</w:t>
      </w:r>
      <w:r w:rsidR="001F1DAA" w:rsidRPr="00FC1C6F">
        <w:rPr>
          <w:lang w:val="en-GB"/>
        </w:rPr>
        <w:t xml:space="preserve"> not</w:t>
      </w:r>
      <w:r w:rsidR="00CF0FF0" w:rsidRPr="00FC1C6F">
        <w:rPr>
          <w:lang w:val="en-GB"/>
        </w:rPr>
        <w:t xml:space="preserve"> </w:t>
      </w:r>
      <w:r w:rsidR="00884671" w:rsidRPr="00FC1C6F">
        <w:rPr>
          <w:lang w:val="en-GB"/>
        </w:rPr>
        <w:t xml:space="preserve">justify </w:t>
      </w:r>
      <w:r w:rsidR="007B4159" w:rsidRPr="00FC1C6F">
        <w:rPr>
          <w:lang w:val="en-GB"/>
        </w:rPr>
        <w:t>a large difference in post-progression utilities</w:t>
      </w:r>
      <w:r w:rsidR="003A7372" w:rsidRPr="00FC1C6F">
        <w:rPr>
          <w:lang w:val="en-GB"/>
        </w:rPr>
        <w:t xml:space="preserve"> once people had stopped treatment</w:t>
      </w:r>
      <w:r w:rsidR="007B4159" w:rsidRPr="00FC1C6F">
        <w:rPr>
          <w:lang w:val="en-GB"/>
        </w:rPr>
        <w:t>.</w:t>
      </w:r>
      <w:r w:rsidR="00CF0FF0" w:rsidRPr="00FC1C6F">
        <w:rPr>
          <w:lang w:val="en-GB"/>
        </w:rPr>
        <w:t xml:space="preserve"> </w:t>
      </w:r>
      <w:r w:rsidR="00884671" w:rsidRPr="00FC1C6F">
        <w:rPr>
          <w:lang w:val="en-GB"/>
        </w:rPr>
        <w:t>The c</w:t>
      </w:r>
      <w:r w:rsidR="00CF0FF0" w:rsidRPr="00FC1C6F">
        <w:rPr>
          <w:lang w:val="en-GB"/>
        </w:rPr>
        <w:t xml:space="preserve">linical experts explained that some toxic effects of chemotherapy can </w:t>
      </w:r>
      <w:r w:rsidR="003A7372" w:rsidRPr="00FC1C6F">
        <w:rPr>
          <w:lang w:val="en-GB"/>
        </w:rPr>
        <w:t xml:space="preserve">be </w:t>
      </w:r>
      <w:r w:rsidR="004551C3" w:rsidRPr="00FC1C6F">
        <w:rPr>
          <w:lang w:val="en-GB"/>
        </w:rPr>
        <w:t>long</w:t>
      </w:r>
      <w:r w:rsidR="00884671" w:rsidRPr="00FC1C6F">
        <w:rPr>
          <w:lang w:val="en-GB"/>
        </w:rPr>
        <w:t xml:space="preserve"> </w:t>
      </w:r>
      <w:r w:rsidR="004551C3" w:rsidRPr="00FC1C6F">
        <w:rPr>
          <w:lang w:val="en-GB"/>
        </w:rPr>
        <w:t>lasting and</w:t>
      </w:r>
      <w:r w:rsidR="00CF0FF0" w:rsidRPr="00FC1C6F">
        <w:rPr>
          <w:lang w:val="en-GB"/>
        </w:rPr>
        <w:t xml:space="preserve"> affect </w:t>
      </w:r>
      <w:r w:rsidR="00536A72" w:rsidRPr="00FC1C6F">
        <w:rPr>
          <w:lang w:val="en-GB"/>
        </w:rPr>
        <w:t>a person’s</w:t>
      </w:r>
      <w:r w:rsidR="00CF0FF0" w:rsidRPr="00FC1C6F">
        <w:rPr>
          <w:lang w:val="en-GB"/>
        </w:rPr>
        <w:t xml:space="preserve"> quality of life after progression. Also, they noted that duration of disease control could affect </w:t>
      </w:r>
      <w:r w:rsidR="00536A72" w:rsidRPr="00FC1C6F">
        <w:rPr>
          <w:lang w:val="en-GB"/>
        </w:rPr>
        <w:t xml:space="preserve">people’s </w:t>
      </w:r>
      <w:r w:rsidR="00CF0FF0" w:rsidRPr="00FC1C6F">
        <w:rPr>
          <w:lang w:val="en-GB"/>
        </w:rPr>
        <w:t>quality of life.</w:t>
      </w:r>
      <w:r w:rsidR="007B4159" w:rsidRPr="00FC1C6F">
        <w:rPr>
          <w:lang w:val="en-GB"/>
        </w:rPr>
        <w:t xml:space="preserve"> </w:t>
      </w:r>
      <w:r w:rsidR="00CF0FF0" w:rsidRPr="00FC1C6F">
        <w:rPr>
          <w:lang w:val="en-GB"/>
        </w:rPr>
        <w:t xml:space="preserve">However, the committee noted that </w:t>
      </w:r>
      <w:r w:rsidR="00536A72" w:rsidRPr="00FC1C6F">
        <w:rPr>
          <w:lang w:val="en-GB"/>
        </w:rPr>
        <w:t xml:space="preserve">the </w:t>
      </w:r>
      <w:r w:rsidR="00CF0FF0" w:rsidRPr="00FC1C6F">
        <w:rPr>
          <w:lang w:val="en-GB"/>
        </w:rPr>
        <w:t xml:space="preserve">toxicity of capecitabine on its own is expected to be similar or lower </w:t>
      </w:r>
      <w:r w:rsidR="004551C3" w:rsidRPr="00FC1C6F">
        <w:rPr>
          <w:lang w:val="en-GB"/>
        </w:rPr>
        <w:t xml:space="preserve">than the </w:t>
      </w:r>
      <w:r w:rsidR="00CF0FF0" w:rsidRPr="00FC1C6F">
        <w:rPr>
          <w:lang w:val="en-GB"/>
        </w:rPr>
        <w:t xml:space="preserve">toxicity of tucatinib </w:t>
      </w:r>
      <w:r w:rsidR="00884671" w:rsidRPr="00FC1C6F">
        <w:rPr>
          <w:lang w:val="en-GB"/>
        </w:rPr>
        <w:t>combination</w:t>
      </w:r>
      <w:r w:rsidR="00CF0FF0" w:rsidRPr="00FC1C6F">
        <w:rPr>
          <w:lang w:val="en-GB"/>
        </w:rPr>
        <w:t xml:space="preserve">. </w:t>
      </w:r>
      <w:r w:rsidR="00D470C6" w:rsidRPr="00FC1C6F">
        <w:rPr>
          <w:lang w:val="en-GB"/>
        </w:rPr>
        <w:t>Therefore,</w:t>
      </w:r>
      <w:r w:rsidR="00CF0FF0" w:rsidRPr="00FC1C6F">
        <w:rPr>
          <w:lang w:val="en-GB"/>
        </w:rPr>
        <w:t xml:space="preserve"> it noted that differences in toxicity cannot explain the large difference in utilities after disease </w:t>
      </w:r>
      <w:r w:rsidR="003A7372" w:rsidRPr="00FC1C6F">
        <w:rPr>
          <w:lang w:val="en-GB"/>
        </w:rPr>
        <w:t xml:space="preserve">progression </w:t>
      </w:r>
      <w:r w:rsidR="00CF0FF0" w:rsidRPr="00FC1C6F">
        <w:rPr>
          <w:lang w:val="en-GB"/>
        </w:rPr>
        <w:t>between capecitabine and tucatinib combination.</w:t>
      </w:r>
      <w:r w:rsidR="00213ED9" w:rsidRPr="00FC1C6F">
        <w:rPr>
          <w:lang w:val="en-GB"/>
        </w:rPr>
        <w:t xml:space="preserve"> It also noted that disease </w:t>
      </w:r>
      <w:r w:rsidR="00DA750B" w:rsidRPr="00FC1C6F">
        <w:rPr>
          <w:lang w:val="en-GB"/>
        </w:rPr>
        <w:t xml:space="preserve">being </w:t>
      </w:r>
      <w:r w:rsidR="00213ED9" w:rsidRPr="00FC1C6F">
        <w:rPr>
          <w:lang w:val="en-GB"/>
        </w:rPr>
        <w:t>control</w:t>
      </w:r>
      <w:r w:rsidR="00DA750B" w:rsidRPr="00FC1C6F">
        <w:rPr>
          <w:lang w:val="en-GB"/>
        </w:rPr>
        <w:t>led for longer</w:t>
      </w:r>
      <w:r w:rsidR="00213ED9" w:rsidRPr="00FC1C6F">
        <w:rPr>
          <w:lang w:val="en-GB"/>
        </w:rPr>
        <w:t xml:space="preserve"> result</w:t>
      </w:r>
      <w:r w:rsidR="00D334D9" w:rsidRPr="00FC1C6F">
        <w:rPr>
          <w:lang w:val="en-GB"/>
        </w:rPr>
        <w:t>s</w:t>
      </w:r>
      <w:r w:rsidR="00213ED9" w:rsidRPr="00FC1C6F">
        <w:rPr>
          <w:lang w:val="en-GB"/>
        </w:rPr>
        <w:t xml:space="preserve"> in </w:t>
      </w:r>
      <w:r w:rsidR="00DA750B" w:rsidRPr="00FC1C6F">
        <w:rPr>
          <w:lang w:val="en-GB"/>
        </w:rPr>
        <w:t xml:space="preserve">a </w:t>
      </w:r>
      <w:r w:rsidR="00213ED9" w:rsidRPr="00FC1C6F">
        <w:rPr>
          <w:lang w:val="en-GB"/>
        </w:rPr>
        <w:t xml:space="preserve">longer time </w:t>
      </w:r>
      <w:r w:rsidR="00DA750B" w:rsidRPr="00FC1C6F">
        <w:rPr>
          <w:lang w:val="en-GB"/>
        </w:rPr>
        <w:t xml:space="preserve">with </w:t>
      </w:r>
      <w:r w:rsidR="00D334D9" w:rsidRPr="00FC1C6F">
        <w:rPr>
          <w:lang w:val="en-GB"/>
        </w:rPr>
        <w:t xml:space="preserve">better quality of life </w:t>
      </w:r>
      <w:r w:rsidR="00213ED9" w:rsidRPr="00FC1C6F">
        <w:rPr>
          <w:lang w:val="en-GB"/>
        </w:rPr>
        <w:t xml:space="preserve">before progression, </w:t>
      </w:r>
      <w:r w:rsidR="00DA750B" w:rsidRPr="00FC1C6F">
        <w:rPr>
          <w:lang w:val="en-GB"/>
        </w:rPr>
        <w:t xml:space="preserve">which </w:t>
      </w:r>
      <w:r w:rsidR="00213ED9" w:rsidRPr="00FC1C6F">
        <w:rPr>
          <w:lang w:val="en-GB"/>
        </w:rPr>
        <w:t xml:space="preserve">would be accounted for in the model. This is because the model considers both duration of time in each </w:t>
      </w:r>
      <w:r w:rsidR="00213ED9" w:rsidRPr="00FC1C6F">
        <w:rPr>
          <w:lang w:val="en-GB"/>
        </w:rPr>
        <w:lastRenderedPageBreak/>
        <w:t xml:space="preserve">health state (before and after progression), </w:t>
      </w:r>
      <w:r w:rsidR="00DA750B" w:rsidRPr="00FC1C6F">
        <w:rPr>
          <w:lang w:val="en-GB"/>
        </w:rPr>
        <w:t>and</w:t>
      </w:r>
      <w:r w:rsidR="00213ED9" w:rsidRPr="00FC1C6F">
        <w:rPr>
          <w:lang w:val="en-GB"/>
        </w:rPr>
        <w:t xml:space="preserve"> quality of life in each health state.</w:t>
      </w:r>
      <w:r w:rsidR="00D470C6" w:rsidRPr="00FC1C6F">
        <w:rPr>
          <w:lang w:val="en-GB"/>
        </w:rPr>
        <w:t xml:space="preserve"> </w:t>
      </w:r>
      <w:r w:rsidR="00E7290E" w:rsidRPr="00FC1C6F">
        <w:rPr>
          <w:lang w:val="en-GB"/>
        </w:rPr>
        <w:t xml:space="preserve">The committee also noted that health state utilities should be adjusted for </w:t>
      </w:r>
      <w:r w:rsidR="003A7372" w:rsidRPr="00FC1C6F">
        <w:rPr>
          <w:lang w:val="en-GB"/>
        </w:rPr>
        <w:t>age</w:t>
      </w:r>
      <w:r w:rsidR="00E7290E" w:rsidRPr="00FC1C6F">
        <w:rPr>
          <w:lang w:val="en-GB"/>
        </w:rPr>
        <w:t xml:space="preserve">, to reflect </w:t>
      </w:r>
      <w:r w:rsidR="003A7372" w:rsidRPr="00FC1C6F">
        <w:rPr>
          <w:lang w:val="en-GB"/>
        </w:rPr>
        <w:t xml:space="preserve">a </w:t>
      </w:r>
      <w:r w:rsidR="00E7290E" w:rsidRPr="00FC1C6F">
        <w:rPr>
          <w:lang w:val="en-GB"/>
        </w:rPr>
        <w:t xml:space="preserve">natural decline in utility values as people age. This was done by the ERG but not </w:t>
      </w:r>
      <w:r w:rsidR="00D470C6" w:rsidRPr="00FC1C6F">
        <w:rPr>
          <w:lang w:val="en-GB"/>
        </w:rPr>
        <w:t>b</w:t>
      </w:r>
      <w:r w:rsidR="00E7290E" w:rsidRPr="00FC1C6F">
        <w:rPr>
          <w:lang w:val="en-GB"/>
        </w:rPr>
        <w:t xml:space="preserve">y the company. </w:t>
      </w:r>
      <w:r w:rsidR="007B4159" w:rsidRPr="00FC1C6F">
        <w:rPr>
          <w:lang w:val="en-GB"/>
        </w:rPr>
        <w:t xml:space="preserve">The committee concluded that different pre-progression health state utilities are </w:t>
      </w:r>
      <w:r w:rsidR="00213ED9" w:rsidRPr="00FC1C6F">
        <w:rPr>
          <w:lang w:val="en-GB"/>
        </w:rPr>
        <w:t>plausible</w:t>
      </w:r>
      <w:r w:rsidR="009A21CA" w:rsidRPr="00FC1C6F">
        <w:rPr>
          <w:lang w:val="en-GB"/>
        </w:rPr>
        <w:t>,</w:t>
      </w:r>
      <w:r w:rsidR="007B4159" w:rsidRPr="00FC1C6F">
        <w:rPr>
          <w:lang w:val="en-GB"/>
        </w:rPr>
        <w:t xml:space="preserve"> </w:t>
      </w:r>
      <w:r w:rsidR="00213ED9" w:rsidRPr="00FC1C6F">
        <w:rPr>
          <w:lang w:val="en-GB"/>
        </w:rPr>
        <w:t>although the exact values are not evidence</w:t>
      </w:r>
      <w:r w:rsidR="00DA750B" w:rsidRPr="00FC1C6F">
        <w:rPr>
          <w:lang w:val="en-GB"/>
        </w:rPr>
        <w:t xml:space="preserve"> </w:t>
      </w:r>
      <w:r w:rsidR="00213ED9" w:rsidRPr="00FC1C6F">
        <w:rPr>
          <w:lang w:val="en-GB"/>
        </w:rPr>
        <w:t>based and therefore uncertain. It also concluded that large differences in post-progression utility values are not plausible</w:t>
      </w:r>
      <w:r w:rsidR="00536A72" w:rsidRPr="00FC1C6F">
        <w:rPr>
          <w:lang w:val="en-GB"/>
        </w:rPr>
        <w:t>,</w:t>
      </w:r>
      <w:r w:rsidR="00213ED9" w:rsidRPr="00FC1C6F">
        <w:rPr>
          <w:lang w:val="en-GB"/>
        </w:rPr>
        <w:t xml:space="preserve"> and </w:t>
      </w:r>
      <w:r w:rsidR="00536A72" w:rsidRPr="00FC1C6F">
        <w:rPr>
          <w:lang w:val="en-GB"/>
        </w:rPr>
        <w:t xml:space="preserve">that </w:t>
      </w:r>
      <w:r w:rsidR="007B4159" w:rsidRPr="00FC1C6F">
        <w:rPr>
          <w:lang w:val="en-GB"/>
        </w:rPr>
        <w:t xml:space="preserve">more </w:t>
      </w:r>
      <w:r w:rsidR="00213ED9" w:rsidRPr="00FC1C6F">
        <w:rPr>
          <w:lang w:val="en-GB"/>
        </w:rPr>
        <w:t xml:space="preserve">evidence is needed to justify differences in </w:t>
      </w:r>
      <w:r w:rsidR="007B4159" w:rsidRPr="00FC1C6F">
        <w:rPr>
          <w:lang w:val="en-GB"/>
        </w:rPr>
        <w:t>po</w:t>
      </w:r>
      <w:r w:rsidR="003E1DD4" w:rsidRPr="00FC1C6F">
        <w:rPr>
          <w:lang w:val="en-GB"/>
        </w:rPr>
        <w:t>s</w:t>
      </w:r>
      <w:r w:rsidR="007B4159" w:rsidRPr="00FC1C6F">
        <w:rPr>
          <w:lang w:val="en-GB"/>
        </w:rPr>
        <w:t>t-progression utilities.</w:t>
      </w:r>
      <w:bookmarkEnd w:id="17"/>
    </w:p>
    <w:p w14:paraId="165EBB5E" w14:textId="77777777" w:rsidR="00863A08" w:rsidRPr="00FC1C6F" w:rsidRDefault="00863A08" w:rsidP="00EB2A35">
      <w:pPr>
        <w:pStyle w:val="Heading3"/>
      </w:pPr>
      <w:r w:rsidRPr="00FC1C6F">
        <w:t>Trastuzumab can be given subcutaneously or intravenously and both administration routes need to be considered</w:t>
      </w:r>
    </w:p>
    <w:p w14:paraId="4B46B03B" w14:textId="2DCE36AD" w:rsidR="00863A08" w:rsidRPr="00FC1C6F" w:rsidRDefault="00EB2A35" w:rsidP="00863A08">
      <w:pPr>
        <w:pStyle w:val="Numberedlevel2text"/>
        <w:rPr>
          <w:lang w:val="en-GB"/>
        </w:rPr>
      </w:pPr>
      <w:bookmarkStart w:id="18" w:name="_Ref84496506"/>
      <w:r w:rsidRPr="00FC1C6F">
        <w:rPr>
          <w:lang w:val="en-GB"/>
        </w:rPr>
        <w:t xml:space="preserve">HER2CLIMB assessed </w:t>
      </w:r>
      <w:r w:rsidRPr="00FC1C6F">
        <w:rPr>
          <w:rFonts w:cs="Arial"/>
          <w:lang w:val="en-GB"/>
        </w:rPr>
        <w:t xml:space="preserve">tucatinib combination </w:t>
      </w:r>
      <w:r w:rsidR="00CD66DF" w:rsidRPr="00FC1C6F">
        <w:rPr>
          <w:rFonts w:cs="Arial"/>
          <w:lang w:val="en-GB"/>
        </w:rPr>
        <w:t xml:space="preserve">compared with </w:t>
      </w:r>
      <w:r w:rsidRPr="00FC1C6F">
        <w:rPr>
          <w:rFonts w:cs="Arial"/>
          <w:lang w:val="en-GB"/>
        </w:rPr>
        <w:t>placebo combination</w:t>
      </w:r>
      <w:r w:rsidRPr="00FC1C6F">
        <w:rPr>
          <w:lang w:val="en-GB"/>
        </w:rPr>
        <w:t xml:space="preserve">. </w:t>
      </w:r>
      <w:r w:rsidR="00863A08" w:rsidRPr="00FC1C6F">
        <w:rPr>
          <w:lang w:val="en-GB"/>
        </w:rPr>
        <w:t>In</w:t>
      </w:r>
      <w:r w:rsidRPr="00FC1C6F">
        <w:rPr>
          <w:lang w:val="en-GB"/>
        </w:rPr>
        <w:t xml:space="preserve"> </w:t>
      </w:r>
      <w:r w:rsidR="00CC79AC" w:rsidRPr="00FC1C6F">
        <w:rPr>
          <w:lang w:val="en-GB"/>
        </w:rPr>
        <w:t>the trial</w:t>
      </w:r>
      <w:r w:rsidR="00863A08" w:rsidRPr="00FC1C6F">
        <w:rPr>
          <w:lang w:val="en-GB"/>
        </w:rPr>
        <w:t>, trastuzumab (as part of tucatinib combination) was administered either intravenously or subcutaneously</w:t>
      </w:r>
      <w:r w:rsidR="00CC79AC" w:rsidRPr="00FC1C6F">
        <w:rPr>
          <w:lang w:val="en-GB"/>
        </w:rPr>
        <w:t xml:space="preserve">, and this is allowed in </w:t>
      </w:r>
      <w:hyperlink r:id="rId17" w:history="1">
        <w:r w:rsidR="00CC79AC" w:rsidRPr="00FC1C6F">
          <w:rPr>
            <w:rStyle w:val="Hyperlink"/>
            <w:lang w:val="en-GB"/>
          </w:rPr>
          <w:t>tucatinib's summary of product characteristics</w:t>
        </w:r>
      </w:hyperlink>
      <w:r w:rsidR="00863A08" w:rsidRPr="00FC1C6F">
        <w:rPr>
          <w:lang w:val="en-GB"/>
        </w:rPr>
        <w:t xml:space="preserve">. </w:t>
      </w:r>
      <w:r w:rsidR="00FD4144" w:rsidRPr="00FC1C6F">
        <w:rPr>
          <w:lang w:val="en-GB"/>
        </w:rPr>
        <w:t>But</w:t>
      </w:r>
      <w:r w:rsidR="00863A08" w:rsidRPr="00FC1C6F">
        <w:rPr>
          <w:lang w:val="en-GB"/>
        </w:rPr>
        <w:t xml:space="preserve"> the company model assumed only intravenous administration of trastuzumab. </w:t>
      </w:r>
      <w:r w:rsidR="00FD4144" w:rsidRPr="00FC1C6F">
        <w:rPr>
          <w:lang w:val="en-GB"/>
        </w:rPr>
        <w:t>The c</w:t>
      </w:r>
      <w:r w:rsidR="00863A08" w:rsidRPr="00FC1C6F">
        <w:rPr>
          <w:lang w:val="en-GB"/>
        </w:rPr>
        <w:t>linical experts explained that intravenous trastuzumab is no</w:t>
      </w:r>
      <w:r w:rsidR="00027D01" w:rsidRPr="00FC1C6F">
        <w:rPr>
          <w:lang w:val="en-GB"/>
        </w:rPr>
        <w:t xml:space="preserve"> longer</w:t>
      </w:r>
      <w:r w:rsidR="00863A08" w:rsidRPr="00FC1C6F">
        <w:rPr>
          <w:lang w:val="en-GB"/>
        </w:rPr>
        <w:t xml:space="preserve"> standard NHS practice. </w:t>
      </w:r>
      <w:r w:rsidR="00FD4144" w:rsidRPr="00FC1C6F">
        <w:rPr>
          <w:lang w:val="en-GB"/>
        </w:rPr>
        <w:t>The c</w:t>
      </w:r>
      <w:r w:rsidR="00863A08" w:rsidRPr="00FC1C6F">
        <w:rPr>
          <w:lang w:val="en-GB"/>
        </w:rPr>
        <w:t xml:space="preserve">linical and patient experts explained that subcutaneous administration is preferred because patients </w:t>
      </w:r>
      <w:proofErr w:type="gramStart"/>
      <w:r w:rsidR="00863A08" w:rsidRPr="00FC1C6F">
        <w:rPr>
          <w:lang w:val="en-GB"/>
        </w:rPr>
        <w:t>are able to</w:t>
      </w:r>
      <w:proofErr w:type="gramEnd"/>
      <w:r w:rsidR="00863A08" w:rsidRPr="00FC1C6F">
        <w:rPr>
          <w:lang w:val="en-GB"/>
        </w:rPr>
        <w:t xml:space="preserve"> self-administer</w:t>
      </w:r>
      <w:r w:rsidR="0080676F" w:rsidRPr="00FC1C6F">
        <w:rPr>
          <w:lang w:val="en-GB"/>
        </w:rPr>
        <w:t>, avoiding unnecessary hospital visits</w:t>
      </w:r>
      <w:r w:rsidR="00863A08" w:rsidRPr="00FC1C6F">
        <w:rPr>
          <w:lang w:val="en-GB"/>
        </w:rPr>
        <w:t xml:space="preserve">. Although biosimilar intravenous trastuzumab </w:t>
      </w:r>
      <w:r w:rsidR="00027D01" w:rsidRPr="00FC1C6F">
        <w:rPr>
          <w:lang w:val="en-GB"/>
        </w:rPr>
        <w:t xml:space="preserve">products </w:t>
      </w:r>
      <w:r w:rsidR="00863A08" w:rsidRPr="00FC1C6F">
        <w:rPr>
          <w:lang w:val="en-GB"/>
        </w:rPr>
        <w:t>exist,</w:t>
      </w:r>
      <w:r w:rsidR="00027D01" w:rsidRPr="00FC1C6F">
        <w:rPr>
          <w:lang w:val="en-GB"/>
        </w:rPr>
        <w:t xml:space="preserve"> </w:t>
      </w:r>
      <w:r w:rsidR="00863A08" w:rsidRPr="00FC1C6F">
        <w:rPr>
          <w:lang w:val="en-GB"/>
        </w:rPr>
        <w:t xml:space="preserve">subcutaneous trastuzumab is only </w:t>
      </w:r>
      <w:r w:rsidR="00027D01" w:rsidRPr="00FC1C6F">
        <w:rPr>
          <w:lang w:val="en-GB"/>
        </w:rPr>
        <w:t xml:space="preserve">available as a </w:t>
      </w:r>
      <w:r w:rsidR="00863A08" w:rsidRPr="00FC1C6F">
        <w:rPr>
          <w:lang w:val="en-GB"/>
        </w:rPr>
        <w:t xml:space="preserve">branded </w:t>
      </w:r>
      <w:r w:rsidR="00027D01" w:rsidRPr="00FC1C6F">
        <w:rPr>
          <w:lang w:val="en-GB"/>
        </w:rPr>
        <w:t xml:space="preserve">product, </w:t>
      </w:r>
      <w:r w:rsidR="00863A08" w:rsidRPr="00FC1C6F">
        <w:rPr>
          <w:lang w:val="en-GB"/>
        </w:rPr>
        <w:t>and</w:t>
      </w:r>
      <w:r w:rsidR="00027D01" w:rsidRPr="00FC1C6F">
        <w:rPr>
          <w:lang w:val="en-GB"/>
        </w:rPr>
        <w:t xml:space="preserve"> therefore is</w:t>
      </w:r>
      <w:r w:rsidR="00863A08" w:rsidRPr="00FC1C6F">
        <w:rPr>
          <w:lang w:val="en-GB"/>
        </w:rPr>
        <w:t xml:space="preserve"> more expensive. T</w:t>
      </w:r>
      <w:r w:rsidR="00235FC8" w:rsidRPr="00FC1C6F">
        <w:rPr>
          <w:lang w:val="en-GB"/>
        </w:rPr>
        <w:t>herefore</w:t>
      </w:r>
      <w:r w:rsidR="00610C09" w:rsidRPr="00FC1C6F">
        <w:rPr>
          <w:lang w:val="en-GB"/>
        </w:rPr>
        <w:t>,</w:t>
      </w:r>
      <w:r w:rsidR="00235FC8" w:rsidRPr="00FC1C6F">
        <w:rPr>
          <w:lang w:val="en-GB"/>
        </w:rPr>
        <w:t xml:space="preserve"> t</w:t>
      </w:r>
      <w:r w:rsidR="00863A08" w:rsidRPr="00FC1C6F">
        <w:rPr>
          <w:lang w:val="en-GB"/>
        </w:rPr>
        <w:t xml:space="preserve">he choice of administration method for trastuzumab as part of tucatinib combination has considerable cost implications. Both </w:t>
      </w:r>
      <w:r w:rsidR="00FD4144" w:rsidRPr="00FC1C6F">
        <w:rPr>
          <w:lang w:val="en-GB"/>
        </w:rPr>
        <w:t xml:space="preserve">the </w:t>
      </w:r>
      <w:r w:rsidR="00863A08" w:rsidRPr="00FC1C6F">
        <w:rPr>
          <w:lang w:val="en-GB"/>
        </w:rPr>
        <w:t>clinical and patient experts explained that if subcutaneous administration was not possible</w:t>
      </w:r>
      <w:r w:rsidR="00235FC8" w:rsidRPr="00FC1C6F">
        <w:rPr>
          <w:lang w:val="en-GB"/>
        </w:rPr>
        <w:t>,</w:t>
      </w:r>
      <w:r w:rsidR="00863A08" w:rsidRPr="00FC1C6F">
        <w:rPr>
          <w:lang w:val="en-GB"/>
        </w:rPr>
        <w:t xml:space="preserve"> they would accept intravenous administration if it allowed people to receive tucatinib combination. The committee concluded that because trastuzumab can be administered intravenously and subcutaneously in NHS practice, it would like to see analyses for both routes of administration.</w:t>
      </w:r>
      <w:bookmarkEnd w:id="18"/>
    </w:p>
    <w:p w14:paraId="5E16218E" w14:textId="4E238CDA" w:rsidR="003E1DD4" w:rsidRPr="00FC1C6F" w:rsidRDefault="003E1DD4" w:rsidP="003E1DD4">
      <w:pPr>
        <w:pStyle w:val="Heading3"/>
      </w:pPr>
      <w:r w:rsidRPr="00FC1C6F">
        <w:lastRenderedPageBreak/>
        <w:t>Drug wastage should be included in the analysis</w:t>
      </w:r>
    </w:p>
    <w:p w14:paraId="44DF5C77" w14:textId="28E9B659" w:rsidR="003E1DD4" w:rsidRPr="00FC1C6F" w:rsidRDefault="003E1DD4" w:rsidP="003E1DD4">
      <w:pPr>
        <w:pStyle w:val="Numberedlevel2text"/>
        <w:rPr>
          <w:lang w:val="en-GB"/>
        </w:rPr>
      </w:pPr>
      <w:bookmarkStart w:id="19" w:name="_Ref84495823"/>
      <w:r w:rsidRPr="00FC1C6F">
        <w:rPr>
          <w:lang w:val="en-GB"/>
        </w:rPr>
        <w:t>The company d</w:t>
      </w:r>
      <w:r w:rsidR="00FC6C51" w:rsidRPr="00FC1C6F">
        <w:rPr>
          <w:lang w:val="en-GB"/>
        </w:rPr>
        <w:t>id</w:t>
      </w:r>
      <w:r w:rsidRPr="00FC1C6F">
        <w:rPr>
          <w:lang w:val="en-GB"/>
        </w:rPr>
        <w:t xml:space="preserve"> not include drug wastage for intravenous trastuzumab in </w:t>
      </w:r>
      <w:r w:rsidR="009C5EB3" w:rsidRPr="00FC1C6F">
        <w:rPr>
          <w:lang w:val="en-GB"/>
        </w:rPr>
        <w:t xml:space="preserve">its </w:t>
      </w:r>
      <w:r w:rsidRPr="00FC1C6F">
        <w:rPr>
          <w:lang w:val="en-GB"/>
        </w:rPr>
        <w:t xml:space="preserve">base case because </w:t>
      </w:r>
      <w:r w:rsidR="002043D4" w:rsidRPr="00FC1C6F">
        <w:rPr>
          <w:lang w:val="en-GB"/>
        </w:rPr>
        <w:t>it is</w:t>
      </w:r>
      <w:r w:rsidRPr="00FC1C6F">
        <w:rPr>
          <w:lang w:val="en-GB"/>
        </w:rPr>
        <w:t xml:space="preserve"> packaged in multi-use vials. The ERG prefer</w:t>
      </w:r>
      <w:r w:rsidR="009C5EB3" w:rsidRPr="00FC1C6F">
        <w:rPr>
          <w:lang w:val="en-GB"/>
        </w:rPr>
        <w:t>red</w:t>
      </w:r>
      <w:r w:rsidRPr="00FC1C6F">
        <w:rPr>
          <w:lang w:val="en-GB"/>
        </w:rPr>
        <w:t xml:space="preserve"> including the cost of drug wastage</w:t>
      </w:r>
      <w:r w:rsidR="00EA3F76" w:rsidRPr="00FC1C6F">
        <w:rPr>
          <w:lang w:val="en-GB"/>
        </w:rPr>
        <w:t xml:space="preserve"> for trastuzumab</w:t>
      </w:r>
      <w:r w:rsidRPr="00FC1C6F">
        <w:rPr>
          <w:lang w:val="en-GB"/>
        </w:rPr>
        <w:t xml:space="preserve"> in the model</w:t>
      </w:r>
      <w:r w:rsidR="00185448" w:rsidRPr="00FC1C6F">
        <w:rPr>
          <w:lang w:val="en-GB"/>
        </w:rPr>
        <w:t xml:space="preserve"> because some wastage is expected in clinical practice.</w:t>
      </w:r>
      <w:r w:rsidR="006B0E59" w:rsidRPr="00FC1C6F">
        <w:rPr>
          <w:lang w:val="en-GB"/>
        </w:rPr>
        <w:t xml:space="preserve"> It noted this has</w:t>
      </w:r>
      <w:r w:rsidR="00536A72" w:rsidRPr="00FC1C6F">
        <w:rPr>
          <w:lang w:val="en-GB"/>
        </w:rPr>
        <w:t xml:space="preserve"> a</w:t>
      </w:r>
      <w:r w:rsidR="006B0E59" w:rsidRPr="00FC1C6F">
        <w:rPr>
          <w:lang w:val="en-GB"/>
        </w:rPr>
        <w:t xml:space="preserve"> very small effect on overall costs </w:t>
      </w:r>
      <w:r w:rsidR="009C5EB3" w:rsidRPr="00FC1C6F">
        <w:rPr>
          <w:lang w:val="en-GB"/>
        </w:rPr>
        <w:t xml:space="preserve">and the </w:t>
      </w:r>
      <w:r w:rsidR="006B0E59" w:rsidRPr="00FC1C6F">
        <w:rPr>
          <w:lang w:val="en-GB"/>
        </w:rPr>
        <w:t>cost-effectiveness estimates</w:t>
      </w:r>
      <w:r w:rsidRPr="00FC1C6F">
        <w:rPr>
          <w:lang w:val="en-GB"/>
        </w:rPr>
        <w:t xml:space="preserve">. </w:t>
      </w:r>
      <w:r w:rsidR="00EA3F76" w:rsidRPr="00FC1C6F">
        <w:rPr>
          <w:lang w:val="en-GB"/>
        </w:rPr>
        <w:t xml:space="preserve">It also noted this </w:t>
      </w:r>
      <w:r w:rsidR="00235FC8" w:rsidRPr="00FC1C6F">
        <w:rPr>
          <w:lang w:val="en-GB"/>
        </w:rPr>
        <w:t>applie</w:t>
      </w:r>
      <w:r w:rsidR="00536A72" w:rsidRPr="00FC1C6F">
        <w:rPr>
          <w:lang w:val="en-GB"/>
        </w:rPr>
        <w:t>d</w:t>
      </w:r>
      <w:r w:rsidR="00235FC8" w:rsidRPr="00FC1C6F">
        <w:rPr>
          <w:lang w:val="en-GB"/>
        </w:rPr>
        <w:t xml:space="preserve"> to intravenous administration </w:t>
      </w:r>
      <w:r w:rsidR="00610C09" w:rsidRPr="00FC1C6F">
        <w:rPr>
          <w:lang w:val="en-GB"/>
        </w:rPr>
        <w:t>only and</w:t>
      </w:r>
      <w:r w:rsidR="00235FC8" w:rsidRPr="00FC1C6F">
        <w:rPr>
          <w:lang w:val="en-GB"/>
        </w:rPr>
        <w:t xml:space="preserve"> </w:t>
      </w:r>
      <w:r w:rsidR="00536A72" w:rsidRPr="00FC1C6F">
        <w:rPr>
          <w:lang w:val="en-GB"/>
        </w:rPr>
        <w:t xml:space="preserve">was </w:t>
      </w:r>
      <w:r w:rsidR="00235FC8" w:rsidRPr="00FC1C6F">
        <w:rPr>
          <w:lang w:val="en-GB"/>
        </w:rPr>
        <w:t xml:space="preserve">not </w:t>
      </w:r>
      <w:r w:rsidR="00EA3F76" w:rsidRPr="00FC1C6F">
        <w:rPr>
          <w:lang w:val="en-GB"/>
        </w:rPr>
        <w:t xml:space="preserve">relevant </w:t>
      </w:r>
      <w:r w:rsidR="00235FC8" w:rsidRPr="00FC1C6F">
        <w:rPr>
          <w:lang w:val="en-GB"/>
        </w:rPr>
        <w:t xml:space="preserve">for analyses </w:t>
      </w:r>
      <w:r w:rsidR="00A72CAF" w:rsidRPr="00FC1C6F">
        <w:rPr>
          <w:lang w:val="en-GB"/>
        </w:rPr>
        <w:t>assuming subcutaneous</w:t>
      </w:r>
      <w:r w:rsidR="00EA3F76" w:rsidRPr="00FC1C6F">
        <w:rPr>
          <w:lang w:val="en-GB"/>
        </w:rPr>
        <w:t xml:space="preserve"> </w:t>
      </w:r>
      <w:r w:rsidR="00235FC8" w:rsidRPr="00FC1C6F">
        <w:rPr>
          <w:lang w:val="en-GB"/>
        </w:rPr>
        <w:t>administration of trastuzumab</w:t>
      </w:r>
      <w:r w:rsidR="00EA3F76" w:rsidRPr="00FC1C6F">
        <w:rPr>
          <w:lang w:val="en-GB"/>
        </w:rPr>
        <w:t xml:space="preserve">. </w:t>
      </w:r>
      <w:r w:rsidRPr="00FC1C6F">
        <w:rPr>
          <w:lang w:val="en-GB"/>
        </w:rPr>
        <w:t xml:space="preserve">The committee </w:t>
      </w:r>
      <w:r w:rsidR="008B6820" w:rsidRPr="00FC1C6F">
        <w:rPr>
          <w:lang w:val="en-GB"/>
        </w:rPr>
        <w:t>concluded</w:t>
      </w:r>
      <w:r w:rsidRPr="00FC1C6F">
        <w:rPr>
          <w:lang w:val="en-GB"/>
        </w:rPr>
        <w:t xml:space="preserve"> that drug wastage should be included in the analysis</w:t>
      </w:r>
      <w:r w:rsidR="00532E1B" w:rsidRPr="00FC1C6F">
        <w:rPr>
          <w:lang w:val="en-GB"/>
        </w:rPr>
        <w:t xml:space="preserve"> </w:t>
      </w:r>
      <w:r w:rsidR="009C5EB3" w:rsidRPr="00FC1C6F">
        <w:rPr>
          <w:lang w:val="en-GB"/>
        </w:rPr>
        <w:t xml:space="preserve">but </w:t>
      </w:r>
      <w:r w:rsidR="00532E1B" w:rsidRPr="00FC1C6F">
        <w:rPr>
          <w:lang w:val="en-GB"/>
        </w:rPr>
        <w:t>noted that this did not have a significant effect on the cost</w:t>
      </w:r>
      <w:r w:rsidR="009C5EB3" w:rsidRPr="00FC1C6F">
        <w:rPr>
          <w:lang w:val="en-GB"/>
        </w:rPr>
        <w:t>-</w:t>
      </w:r>
      <w:r w:rsidR="00532E1B" w:rsidRPr="00FC1C6F">
        <w:rPr>
          <w:lang w:val="en-GB"/>
        </w:rPr>
        <w:t>effectiveness results</w:t>
      </w:r>
      <w:r w:rsidRPr="00FC1C6F">
        <w:rPr>
          <w:lang w:val="en-GB"/>
        </w:rPr>
        <w:t>.</w:t>
      </w:r>
      <w:bookmarkEnd w:id="19"/>
    </w:p>
    <w:p w14:paraId="346B232D" w14:textId="77777777" w:rsidR="00E92C98" w:rsidRPr="00FC1C6F" w:rsidRDefault="00E92C98" w:rsidP="00E92C98">
      <w:pPr>
        <w:pStyle w:val="Heading2"/>
      </w:pPr>
      <w:r w:rsidRPr="00FC1C6F">
        <w:t>End of life</w:t>
      </w:r>
    </w:p>
    <w:p w14:paraId="0D3157F5" w14:textId="44878670" w:rsidR="00E92C98" w:rsidRPr="00FC1C6F" w:rsidRDefault="00486063" w:rsidP="00E92C98">
      <w:pPr>
        <w:pStyle w:val="Heading3"/>
      </w:pPr>
      <w:r w:rsidRPr="00FC1C6F">
        <w:t>Tucatinib combination</w:t>
      </w:r>
      <w:r w:rsidR="00E92C98" w:rsidRPr="00FC1C6F">
        <w:t xml:space="preserve"> meets the </w:t>
      </w:r>
      <w:proofErr w:type="gramStart"/>
      <w:r w:rsidR="00E92C98" w:rsidRPr="00FC1C6F">
        <w:t>end</w:t>
      </w:r>
      <w:r w:rsidR="00D65B6A" w:rsidRPr="00FC1C6F">
        <w:t xml:space="preserve"> </w:t>
      </w:r>
      <w:r w:rsidR="00E92C98" w:rsidRPr="00FC1C6F">
        <w:t>of</w:t>
      </w:r>
      <w:r w:rsidR="00D65B6A" w:rsidRPr="00FC1C6F">
        <w:t xml:space="preserve"> </w:t>
      </w:r>
      <w:r w:rsidR="00E92C98" w:rsidRPr="00FC1C6F">
        <w:t>life</w:t>
      </w:r>
      <w:proofErr w:type="gramEnd"/>
      <w:r w:rsidR="00E92C98" w:rsidRPr="00FC1C6F">
        <w:t xml:space="preserve"> criteria</w:t>
      </w:r>
    </w:p>
    <w:p w14:paraId="390806FB" w14:textId="07FC5A64" w:rsidR="00E92C98" w:rsidRPr="00FC1C6F" w:rsidRDefault="00E92C98" w:rsidP="00E92C98">
      <w:pPr>
        <w:pStyle w:val="Numberedlevel2text"/>
        <w:rPr>
          <w:lang w:val="en-GB"/>
        </w:rPr>
      </w:pPr>
      <w:r w:rsidRPr="00FC1C6F">
        <w:rPr>
          <w:lang w:val="en-GB"/>
        </w:rPr>
        <w:t xml:space="preserve">The committee considered the advice about life-extending treatments for people with a short life expectancy in </w:t>
      </w:r>
      <w:hyperlink r:id="rId18" w:history="1">
        <w:r w:rsidRPr="00FC1C6F">
          <w:rPr>
            <w:rStyle w:val="Hyperlink"/>
            <w:lang w:val="en-GB"/>
          </w:rPr>
          <w:t>NICE’s guide to the methods of technology appraisal</w:t>
        </w:r>
      </w:hyperlink>
      <w:r w:rsidRPr="00FC1C6F">
        <w:rPr>
          <w:lang w:val="en-GB"/>
        </w:rPr>
        <w:t xml:space="preserve">. </w:t>
      </w:r>
      <w:r w:rsidR="00D42149" w:rsidRPr="00FC1C6F">
        <w:rPr>
          <w:lang w:val="en-GB"/>
        </w:rPr>
        <w:t xml:space="preserve">The </w:t>
      </w:r>
      <w:r w:rsidR="00D42149" w:rsidRPr="00FC1C6F">
        <w:rPr>
          <w:color w:val="000000" w:themeColor="text1"/>
          <w:lang w:val="en-GB"/>
        </w:rPr>
        <w:t>c</w:t>
      </w:r>
      <w:r w:rsidRPr="00FC1C6F">
        <w:rPr>
          <w:color w:val="000000" w:themeColor="text1"/>
          <w:lang w:val="en-GB"/>
        </w:rPr>
        <w:t xml:space="preserve">linical experts and the ERG agreed that </w:t>
      </w:r>
      <w:r w:rsidR="00532E1B" w:rsidRPr="00FC1C6F">
        <w:rPr>
          <w:color w:val="000000" w:themeColor="text1"/>
          <w:lang w:val="en-GB"/>
        </w:rPr>
        <w:t>the life</w:t>
      </w:r>
      <w:r w:rsidRPr="00FC1C6F">
        <w:rPr>
          <w:color w:val="000000" w:themeColor="text1"/>
          <w:lang w:val="en-GB"/>
        </w:rPr>
        <w:t xml:space="preserve"> </w:t>
      </w:r>
      <w:r w:rsidRPr="00FC1C6F">
        <w:rPr>
          <w:lang w:val="en-GB"/>
        </w:rPr>
        <w:t xml:space="preserve">expectancy for people with </w:t>
      </w:r>
      <w:r w:rsidR="00596CA2" w:rsidRPr="00FC1C6F">
        <w:rPr>
          <w:lang w:val="en-GB"/>
        </w:rPr>
        <w:t xml:space="preserve">HER2-positive locally advanced or metastatic breast cancer </w:t>
      </w:r>
      <w:r w:rsidRPr="00FC1C6F">
        <w:rPr>
          <w:lang w:val="en-GB"/>
        </w:rPr>
        <w:t>receiving third</w:t>
      </w:r>
      <w:r w:rsidR="00D42149" w:rsidRPr="00FC1C6F">
        <w:rPr>
          <w:lang w:val="en-GB"/>
        </w:rPr>
        <w:t>-</w:t>
      </w:r>
      <w:r w:rsidRPr="00FC1C6F">
        <w:rPr>
          <w:lang w:val="en-GB"/>
        </w:rPr>
        <w:t>line treatment is less than 24</w:t>
      </w:r>
      <w:r w:rsidR="00D42149" w:rsidRPr="00FC1C6F">
        <w:rPr>
          <w:lang w:val="en-GB"/>
        </w:rPr>
        <w:t> </w:t>
      </w:r>
      <w:r w:rsidRPr="00FC1C6F">
        <w:rPr>
          <w:lang w:val="en-GB"/>
        </w:rPr>
        <w:t>months. They also agreed that the gain in life extension with tucatinib combination is expected to be greater than 3 months</w:t>
      </w:r>
      <w:r w:rsidRPr="00FC1C6F">
        <w:rPr>
          <w:color w:val="000000" w:themeColor="text1"/>
          <w:lang w:val="en-GB"/>
        </w:rPr>
        <w:t>.</w:t>
      </w:r>
      <w:r w:rsidRPr="00FC1C6F">
        <w:rPr>
          <w:color w:val="FF0000"/>
          <w:lang w:val="en-GB"/>
        </w:rPr>
        <w:t xml:space="preserve"> </w:t>
      </w:r>
      <w:r w:rsidRPr="00FC1C6F">
        <w:rPr>
          <w:lang w:val="en-GB"/>
        </w:rPr>
        <w:t xml:space="preserve">The committee also noted that the </w:t>
      </w:r>
      <w:proofErr w:type="gramStart"/>
      <w:r w:rsidRPr="00FC1C6F">
        <w:rPr>
          <w:lang w:val="en-GB"/>
        </w:rPr>
        <w:t>end of life</w:t>
      </w:r>
      <w:proofErr w:type="gramEnd"/>
      <w:r w:rsidRPr="00FC1C6F">
        <w:rPr>
          <w:lang w:val="en-GB"/>
        </w:rPr>
        <w:t xml:space="preserve"> criteria were accepted in</w:t>
      </w:r>
      <w:r w:rsidR="00D42149" w:rsidRPr="00FC1C6F">
        <w:rPr>
          <w:lang w:val="en-GB"/>
        </w:rPr>
        <w:t xml:space="preserve"> TA423 </w:t>
      </w:r>
      <w:r w:rsidRPr="00FC1C6F">
        <w:rPr>
          <w:lang w:val="en-GB"/>
        </w:rPr>
        <w:t>and</w:t>
      </w:r>
      <w:r w:rsidR="00D42149" w:rsidRPr="00FC1C6F">
        <w:rPr>
          <w:lang w:val="en-GB"/>
        </w:rPr>
        <w:t xml:space="preserve"> TA704</w:t>
      </w:r>
      <w:r w:rsidR="00596CA2" w:rsidRPr="00FC1C6F">
        <w:rPr>
          <w:lang w:val="en-GB"/>
        </w:rPr>
        <w:t xml:space="preserve"> </w:t>
      </w:r>
      <w:r w:rsidRPr="00FC1C6F">
        <w:rPr>
          <w:lang w:val="en-GB"/>
        </w:rPr>
        <w:t xml:space="preserve">in </w:t>
      </w:r>
      <w:r w:rsidR="00D42149" w:rsidRPr="00FC1C6F">
        <w:rPr>
          <w:lang w:val="en-GB"/>
        </w:rPr>
        <w:t xml:space="preserve">the </w:t>
      </w:r>
      <w:r w:rsidRPr="00FC1C6F">
        <w:rPr>
          <w:lang w:val="en-GB"/>
        </w:rPr>
        <w:t xml:space="preserve">third-line setting, </w:t>
      </w:r>
      <w:r w:rsidR="00D42149" w:rsidRPr="00FC1C6F">
        <w:rPr>
          <w:lang w:val="en-GB"/>
        </w:rPr>
        <w:t xml:space="preserve">and in TA485 </w:t>
      </w:r>
      <w:r w:rsidRPr="00FC1C6F">
        <w:rPr>
          <w:lang w:val="en-GB"/>
        </w:rPr>
        <w:t xml:space="preserve">in </w:t>
      </w:r>
      <w:r w:rsidR="00D42149" w:rsidRPr="00FC1C6F">
        <w:rPr>
          <w:lang w:val="en-GB"/>
        </w:rPr>
        <w:t xml:space="preserve">the </w:t>
      </w:r>
      <w:r w:rsidRPr="00FC1C6F">
        <w:rPr>
          <w:lang w:val="en-GB"/>
        </w:rPr>
        <w:t xml:space="preserve">second-line setting. </w:t>
      </w:r>
      <w:r w:rsidR="006B0E59" w:rsidRPr="00FC1C6F">
        <w:rPr>
          <w:lang w:val="en-GB"/>
        </w:rPr>
        <w:t xml:space="preserve">The committee concluded that tucatinib meets </w:t>
      </w:r>
      <w:r w:rsidR="00D42149" w:rsidRPr="00FC1C6F">
        <w:rPr>
          <w:lang w:val="en-GB"/>
        </w:rPr>
        <w:t xml:space="preserve">the </w:t>
      </w:r>
      <w:proofErr w:type="gramStart"/>
      <w:r w:rsidR="006B0E59" w:rsidRPr="00FC1C6F">
        <w:rPr>
          <w:lang w:val="en-GB"/>
        </w:rPr>
        <w:t>end of life</w:t>
      </w:r>
      <w:proofErr w:type="gramEnd"/>
      <w:r w:rsidR="006B0E59" w:rsidRPr="00FC1C6F">
        <w:rPr>
          <w:lang w:val="en-GB"/>
        </w:rPr>
        <w:t xml:space="preserve"> criteria.</w:t>
      </w:r>
    </w:p>
    <w:p w14:paraId="58B8CC93" w14:textId="673B0EF5" w:rsidR="00B82A82" w:rsidRPr="00FC1C6F" w:rsidRDefault="00745969" w:rsidP="00B82A82">
      <w:pPr>
        <w:pStyle w:val="Heading2"/>
      </w:pPr>
      <w:r w:rsidRPr="00FC1C6F">
        <w:t>Cost</w:t>
      </w:r>
      <w:r w:rsidR="00C87889" w:rsidRPr="00FC1C6F">
        <w:t>-</w:t>
      </w:r>
      <w:r w:rsidRPr="00FC1C6F">
        <w:t>effectiveness results</w:t>
      </w:r>
    </w:p>
    <w:p w14:paraId="187B9477" w14:textId="1B43A05B" w:rsidR="00745969" w:rsidRPr="00FC1C6F" w:rsidRDefault="00745969" w:rsidP="00745969">
      <w:pPr>
        <w:pStyle w:val="Heading3"/>
      </w:pPr>
      <w:r w:rsidRPr="00FC1C6F">
        <w:t>The cost-effectiveness</w:t>
      </w:r>
      <w:r w:rsidR="008D4F50" w:rsidRPr="00FC1C6F">
        <w:t xml:space="preserve"> estimates</w:t>
      </w:r>
      <w:r w:rsidRPr="00FC1C6F">
        <w:t xml:space="preserve"> are higher than what NICE considers </w:t>
      </w:r>
      <w:r w:rsidR="00965ED3" w:rsidRPr="00FC1C6F">
        <w:t xml:space="preserve">a </w:t>
      </w:r>
      <w:r w:rsidRPr="00FC1C6F">
        <w:t>cost</w:t>
      </w:r>
      <w:r w:rsidR="00965ED3" w:rsidRPr="00FC1C6F">
        <w:t>-</w:t>
      </w:r>
      <w:r w:rsidRPr="00FC1C6F">
        <w:t>effective</w:t>
      </w:r>
      <w:r w:rsidR="002F5AEC" w:rsidRPr="00FC1C6F">
        <w:t xml:space="preserve"> use of NHS resources</w:t>
      </w:r>
    </w:p>
    <w:p w14:paraId="57FB595E" w14:textId="5D326858" w:rsidR="00745969" w:rsidRPr="00FC1C6F" w:rsidRDefault="0029552D" w:rsidP="00745969">
      <w:pPr>
        <w:pStyle w:val="Numberedlevel2text"/>
        <w:numPr>
          <w:ilvl w:val="1"/>
          <w:numId w:val="1"/>
        </w:numPr>
        <w:rPr>
          <w:lang w:val="en-GB"/>
        </w:rPr>
      </w:pPr>
      <w:r w:rsidRPr="00FC1C6F">
        <w:rPr>
          <w:lang w:val="en-GB"/>
        </w:rPr>
        <w:t xml:space="preserve">Because of confidential commercial arrangements for tucatinib, </w:t>
      </w:r>
      <w:r w:rsidR="00113400" w:rsidRPr="00FC1C6F">
        <w:rPr>
          <w:lang w:val="en-GB"/>
        </w:rPr>
        <w:t xml:space="preserve">trastuzumab, </w:t>
      </w:r>
      <w:r w:rsidRPr="00FC1C6F">
        <w:rPr>
          <w:lang w:val="en-GB"/>
        </w:rPr>
        <w:t xml:space="preserve">eribulin and </w:t>
      </w:r>
      <w:r w:rsidR="008D4F50" w:rsidRPr="00FC1C6F">
        <w:rPr>
          <w:lang w:val="en-GB"/>
        </w:rPr>
        <w:t>post</w:t>
      </w:r>
      <w:r w:rsidR="00DC4890" w:rsidRPr="00FC1C6F">
        <w:rPr>
          <w:lang w:val="en-GB"/>
        </w:rPr>
        <w:t>-</w:t>
      </w:r>
      <w:r w:rsidR="008D4F50" w:rsidRPr="00FC1C6F">
        <w:rPr>
          <w:lang w:val="en-GB"/>
        </w:rPr>
        <w:t>progression</w:t>
      </w:r>
      <w:r w:rsidRPr="00FC1C6F">
        <w:rPr>
          <w:lang w:val="en-GB"/>
        </w:rPr>
        <w:t xml:space="preserve"> therapies, the </w:t>
      </w:r>
      <w:r w:rsidR="005D4595">
        <w:rPr>
          <w:lang w:val="en-GB"/>
        </w:rPr>
        <w:t xml:space="preserve">incremental </w:t>
      </w:r>
      <w:r w:rsidRPr="00FC1C6F">
        <w:rPr>
          <w:lang w:val="en-GB"/>
        </w:rPr>
        <w:lastRenderedPageBreak/>
        <w:t xml:space="preserve">cost-effectiveness </w:t>
      </w:r>
      <w:r w:rsidR="005D4595">
        <w:rPr>
          <w:lang w:val="en-GB"/>
        </w:rPr>
        <w:t>ratios (ICERs)</w:t>
      </w:r>
      <w:r w:rsidRPr="00FC1C6F">
        <w:rPr>
          <w:lang w:val="en-GB"/>
        </w:rPr>
        <w:t xml:space="preserve"> cannot be reported here</w:t>
      </w:r>
      <w:r w:rsidR="00113400" w:rsidRPr="00FC1C6F">
        <w:rPr>
          <w:lang w:val="en-GB"/>
        </w:rPr>
        <w:t>.</w:t>
      </w:r>
      <w:r w:rsidR="003532F8" w:rsidRPr="00FC1C6F">
        <w:rPr>
          <w:lang w:val="en-GB"/>
        </w:rPr>
        <w:t xml:space="preserve"> </w:t>
      </w:r>
      <w:r w:rsidR="00AA7DAD" w:rsidRPr="00FC1C6F">
        <w:rPr>
          <w:lang w:val="en-GB"/>
        </w:rPr>
        <w:t xml:space="preserve">The committee </w:t>
      </w:r>
      <w:r w:rsidR="00DB3D85" w:rsidRPr="00FC1C6F">
        <w:rPr>
          <w:lang w:val="en-GB"/>
        </w:rPr>
        <w:t>noted that neither</w:t>
      </w:r>
      <w:r w:rsidR="00532E1B" w:rsidRPr="00FC1C6F">
        <w:rPr>
          <w:lang w:val="en-GB"/>
        </w:rPr>
        <w:t xml:space="preserve"> the</w:t>
      </w:r>
      <w:r w:rsidR="00DB3D85" w:rsidRPr="00FC1C6F">
        <w:rPr>
          <w:lang w:val="en-GB"/>
        </w:rPr>
        <w:t xml:space="preserve"> company nor ERG base cases fully met</w:t>
      </w:r>
      <w:r w:rsidR="00532E1B" w:rsidRPr="00FC1C6F">
        <w:rPr>
          <w:lang w:val="en-GB"/>
        </w:rPr>
        <w:t xml:space="preserve"> the </w:t>
      </w:r>
      <w:r w:rsidR="00DB3D85" w:rsidRPr="00FC1C6F">
        <w:rPr>
          <w:lang w:val="en-GB"/>
        </w:rPr>
        <w:t>committee preferences</w:t>
      </w:r>
      <w:r w:rsidR="00E7290E" w:rsidRPr="00FC1C6F">
        <w:rPr>
          <w:lang w:val="en-GB"/>
        </w:rPr>
        <w:t xml:space="preserve"> of</w:t>
      </w:r>
      <w:r w:rsidR="00AA7DAD" w:rsidRPr="00FC1C6F">
        <w:rPr>
          <w:lang w:val="en-GB"/>
        </w:rPr>
        <w:t>:</w:t>
      </w:r>
    </w:p>
    <w:p w14:paraId="38B882B5" w14:textId="29054A0D" w:rsidR="00DB3D85" w:rsidRPr="00FC1C6F" w:rsidRDefault="00A204EF" w:rsidP="00B50239">
      <w:pPr>
        <w:pStyle w:val="Bulletindent1"/>
      </w:pPr>
      <w:r w:rsidRPr="00FC1C6F">
        <w:t>u</w:t>
      </w:r>
      <w:r w:rsidR="00DB3D85" w:rsidRPr="00FC1C6F">
        <w:t xml:space="preserve">sing random effects network meta-analysis </w:t>
      </w:r>
      <w:r w:rsidR="00E7290E" w:rsidRPr="00FC1C6F">
        <w:t xml:space="preserve">(see section </w:t>
      </w:r>
      <w:r w:rsidR="00546344" w:rsidRPr="00FC1C6F">
        <w:fldChar w:fldCharType="begin"/>
      </w:r>
      <w:r w:rsidR="00546344" w:rsidRPr="00FC1C6F">
        <w:instrText xml:space="preserve"> REF _Ref84495575 \r \h </w:instrText>
      </w:r>
      <w:r w:rsidR="00546344" w:rsidRPr="00FC1C6F">
        <w:fldChar w:fldCharType="separate"/>
      </w:r>
      <w:r w:rsidR="001054DD" w:rsidRPr="00FC1C6F">
        <w:t>3.7</w:t>
      </w:r>
      <w:r w:rsidR="00546344" w:rsidRPr="00FC1C6F">
        <w:fldChar w:fldCharType="end"/>
      </w:r>
      <w:r w:rsidR="00E7290E" w:rsidRPr="00FC1C6F">
        <w:t>)</w:t>
      </w:r>
    </w:p>
    <w:p w14:paraId="55A85EF8" w14:textId="4AF6A6C5" w:rsidR="00DB3D85" w:rsidRPr="00FC1C6F" w:rsidRDefault="00A204EF" w:rsidP="00B50239">
      <w:pPr>
        <w:pStyle w:val="Bulletindent1"/>
      </w:pPr>
      <w:r w:rsidRPr="00FC1C6F">
        <w:t>e</w:t>
      </w:r>
      <w:r w:rsidR="00DB3D85" w:rsidRPr="00FC1C6F">
        <w:t>xtrapolating progression-free and overall survival directly from HER2CLIMB data (‘within-trial’ approach)</w:t>
      </w:r>
      <w:r w:rsidR="0080676F" w:rsidRPr="00FC1C6F">
        <w:t xml:space="preserve"> (see section </w:t>
      </w:r>
      <w:r w:rsidR="0080676F" w:rsidRPr="00FC1C6F">
        <w:fldChar w:fldCharType="begin"/>
      </w:r>
      <w:r w:rsidR="0080676F" w:rsidRPr="00FC1C6F">
        <w:instrText xml:space="preserve"> REF _Ref84512548 \r \h </w:instrText>
      </w:r>
      <w:r w:rsidR="0080676F" w:rsidRPr="00FC1C6F">
        <w:fldChar w:fldCharType="separate"/>
      </w:r>
      <w:r w:rsidR="001054DD" w:rsidRPr="00FC1C6F">
        <w:t>3.10</w:t>
      </w:r>
      <w:r w:rsidR="0080676F" w:rsidRPr="00FC1C6F">
        <w:fldChar w:fldCharType="end"/>
      </w:r>
      <w:r w:rsidR="0080676F" w:rsidRPr="00FC1C6F">
        <w:t>)</w:t>
      </w:r>
    </w:p>
    <w:p w14:paraId="7B472283" w14:textId="7368A96E" w:rsidR="00E7290E" w:rsidRPr="00FC1C6F" w:rsidRDefault="00A204EF" w:rsidP="00B50239">
      <w:pPr>
        <w:pStyle w:val="Bulletindent1"/>
      </w:pPr>
      <w:r w:rsidRPr="00FC1C6F">
        <w:t>a</w:t>
      </w:r>
      <w:r w:rsidR="00DB3D85" w:rsidRPr="00FC1C6F">
        <w:t>ssuming different pre-progression utility values</w:t>
      </w:r>
      <w:r w:rsidR="0080676F" w:rsidRPr="00FC1C6F">
        <w:t xml:space="preserve"> for tucatinib and its comparators</w:t>
      </w:r>
      <w:r w:rsidR="00DB3D85" w:rsidRPr="00FC1C6F">
        <w:t xml:space="preserve"> (see section </w:t>
      </w:r>
      <w:r w:rsidR="00546344" w:rsidRPr="00FC1C6F">
        <w:fldChar w:fldCharType="begin"/>
      </w:r>
      <w:r w:rsidR="00546344" w:rsidRPr="00FC1C6F">
        <w:instrText xml:space="preserve"> REF _Ref84495598 \r \h </w:instrText>
      </w:r>
      <w:r w:rsidR="00546344" w:rsidRPr="00FC1C6F">
        <w:fldChar w:fldCharType="separate"/>
      </w:r>
      <w:r w:rsidR="001054DD" w:rsidRPr="00FC1C6F">
        <w:t>3.12</w:t>
      </w:r>
      <w:r w:rsidR="00546344" w:rsidRPr="00FC1C6F">
        <w:fldChar w:fldCharType="end"/>
      </w:r>
      <w:r w:rsidR="00E7290E" w:rsidRPr="00FC1C6F">
        <w:t>)</w:t>
      </w:r>
    </w:p>
    <w:p w14:paraId="77F69FAE" w14:textId="1138E750" w:rsidR="00E7290E" w:rsidRPr="00FC1C6F" w:rsidRDefault="00A204EF" w:rsidP="00B50239">
      <w:pPr>
        <w:pStyle w:val="Bulletindent1"/>
      </w:pPr>
      <w:r w:rsidRPr="00FC1C6F">
        <w:t>a</w:t>
      </w:r>
      <w:r w:rsidR="00E7290E" w:rsidRPr="00FC1C6F">
        <w:t>ssuming the same post-progression utility values</w:t>
      </w:r>
      <w:r w:rsidR="0080676F" w:rsidRPr="00FC1C6F">
        <w:t xml:space="preserve"> for tucatinib and its comparators</w:t>
      </w:r>
      <w:r w:rsidR="00E7290E" w:rsidRPr="00FC1C6F">
        <w:t xml:space="preserve">, or providing evidence to justify differences in post-progression values (see section </w:t>
      </w:r>
      <w:r w:rsidR="00546344" w:rsidRPr="00FC1C6F">
        <w:fldChar w:fldCharType="begin"/>
      </w:r>
      <w:r w:rsidR="00546344" w:rsidRPr="00FC1C6F">
        <w:instrText xml:space="preserve"> REF _Ref84495598 \r \h </w:instrText>
      </w:r>
      <w:r w:rsidR="00546344" w:rsidRPr="00FC1C6F">
        <w:fldChar w:fldCharType="separate"/>
      </w:r>
      <w:r w:rsidR="001054DD" w:rsidRPr="00FC1C6F">
        <w:t>3.12</w:t>
      </w:r>
      <w:r w:rsidR="00546344" w:rsidRPr="00FC1C6F">
        <w:fldChar w:fldCharType="end"/>
      </w:r>
      <w:r w:rsidR="00E7290E" w:rsidRPr="00FC1C6F">
        <w:t>)</w:t>
      </w:r>
    </w:p>
    <w:p w14:paraId="69276BC8" w14:textId="4F0E8F66" w:rsidR="00E7290E" w:rsidRPr="00FC1C6F" w:rsidRDefault="00A204EF" w:rsidP="00B50239">
      <w:pPr>
        <w:pStyle w:val="Bulletindent1"/>
      </w:pPr>
      <w:r w:rsidRPr="00FC1C6F">
        <w:t>a</w:t>
      </w:r>
      <w:r w:rsidR="00E7290E" w:rsidRPr="00FC1C6F">
        <w:t>djusting utility values for ag</w:t>
      </w:r>
      <w:r w:rsidR="00CD66DF" w:rsidRPr="00FC1C6F">
        <w:t>eing</w:t>
      </w:r>
      <w:r w:rsidR="00D470C6" w:rsidRPr="00FC1C6F">
        <w:t xml:space="preserve"> (see section </w:t>
      </w:r>
      <w:r w:rsidR="00D470C6" w:rsidRPr="00FC1C6F">
        <w:fldChar w:fldCharType="begin"/>
      </w:r>
      <w:r w:rsidR="00D470C6" w:rsidRPr="00FC1C6F">
        <w:instrText xml:space="preserve"> REF _Ref84495598 \r \h </w:instrText>
      </w:r>
      <w:r w:rsidR="00D470C6" w:rsidRPr="00FC1C6F">
        <w:fldChar w:fldCharType="separate"/>
      </w:r>
      <w:r w:rsidR="001054DD" w:rsidRPr="00FC1C6F">
        <w:t>3.12</w:t>
      </w:r>
      <w:r w:rsidR="00D470C6" w:rsidRPr="00FC1C6F">
        <w:fldChar w:fldCharType="end"/>
      </w:r>
      <w:r w:rsidR="00D470C6" w:rsidRPr="00FC1C6F">
        <w:t>)</w:t>
      </w:r>
    </w:p>
    <w:p w14:paraId="70C2BC64" w14:textId="7CA023C1" w:rsidR="00DB3D85" w:rsidRPr="00FC1C6F" w:rsidRDefault="00A204EF" w:rsidP="00DB3D85">
      <w:pPr>
        <w:pStyle w:val="Bulletindent1last"/>
      </w:pPr>
      <w:r w:rsidRPr="00FC1C6F">
        <w:t>i</w:t>
      </w:r>
      <w:r w:rsidR="00DB3D85" w:rsidRPr="00FC1C6F">
        <w:t>ncluding drug wastage</w:t>
      </w:r>
      <w:r w:rsidR="0080676F" w:rsidRPr="00FC1C6F">
        <w:t xml:space="preserve"> for trastuzumab and capecitabine</w:t>
      </w:r>
      <w:r w:rsidR="00DB3D85" w:rsidRPr="00FC1C6F">
        <w:t xml:space="preserve"> (see section </w:t>
      </w:r>
      <w:r w:rsidR="00546344" w:rsidRPr="00FC1C6F">
        <w:fldChar w:fldCharType="begin"/>
      </w:r>
      <w:r w:rsidR="00546344" w:rsidRPr="00FC1C6F">
        <w:instrText xml:space="preserve"> REF _Ref84495823 \r \h </w:instrText>
      </w:r>
      <w:r w:rsidR="00546344" w:rsidRPr="00FC1C6F">
        <w:fldChar w:fldCharType="separate"/>
      </w:r>
      <w:r w:rsidR="001054DD" w:rsidRPr="00FC1C6F">
        <w:t>3.14</w:t>
      </w:r>
      <w:r w:rsidR="00546344" w:rsidRPr="00FC1C6F">
        <w:fldChar w:fldCharType="end"/>
      </w:r>
      <w:r w:rsidR="00DB3D85" w:rsidRPr="00FC1C6F">
        <w:t>)</w:t>
      </w:r>
      <w:r w:rsidRPr="00FC1C6F">
        <w:t>.</w:t>
      </w:r>
    </w:p>
    <w:p w14:paraId="429B9F89" w14:textId="113DA89E" w:rsidR="00DB3D85" w:rsidRPr="00FC1C6F" w:rsidRDefault="00DB3D85" w:rsidP="00B50239">
      <w:pPr>
        <w:pStyle w:val="Numberedlevel2text"/>
        <w:keepNext/>
        <w:numPr>
          <w:ilvl w:val="0"/>
          <w:numId w:val="0"/>
        </w:numPr>
        <w:ind w:left="1134"/>
        <w:rPr>
          <w:lang w:val="en-GB"/>
        </w:rPr>
      </w:pPr>
      <w:r w:rsidRPr="00FC1C6F">
        <w:rPr>
          <w:lang w:val="en-GB"/>
        </w:rPr>
        <w:t>The committee would also like to see:</w:t>
      </w:r>
    </w:p>
    <w:p w14:paraId="1ACEDAAB" w14:textId="343BD154" w:rsidR="00E7290E" w:rsidRPr="00FC1C6F" w:rsidRDefault="00A204EF" w:rsidP="00B50239">
      <w:pPr>
        <w:pStyle w:val="Bulletindent1"/>
      </w:pPr>
      <w:r w:rsidRPr="00FC1C6F">
        <w:t>e</w:t>
      </w:r>
      <w:r w:rsidR="00E7290E" w:rsidRPr="00FC1C6F">
        <w:t xml:space="preserve">xploration of </w:t>
      </w:r>
      <w:r w:rsidRPr="00FC1C6F">
        <w:t xml:space="preserve">a </w:t>
      </w:r>
      <w:r w:rsidR="00B91375" w:rsidRPr="00FC1C6F">
        <w:t>treatment effect modifier</w:t>
      </w:r>
      <w:r w:rsidR="00E7290E" w:rsidRPr="00FC1C6F">
        <w:t xml:space="preserve"> </w:t>
      </w:r>
      <w:r w:rsidRPr="00FC1C6F">
        <w:t xml:space="preserve">for </w:t>
      </w:r>
      <w:r w:rsidR="00E7290E" w:rsidRPr="00FC1C6F">
        <w:t>brain metastases (see section</w:t>
      </w:r>
      <w:r w:rsidR="00DC4890" w:rsidRPr="00FC1C6F">
        <w:t xml:space="preserve"> </w:t>
      </w:r>
      <w:r w:rsidR="00DC4890" w:rsidRPr="00FC1C6F">
        <w:fldChar w:fldCharType="begin"/>
      </w:r>
      <w:r w:rsidR="00DC4890" w:rsidRPr="00FC1C6F">
        <w:instrText xml:space="preserve"> REF _Ref84511334 \r \h </w:instrText>
      </w:r>
      <w:r w:rsidR="00DC4890" w:rsidRPr="00FC1C6F">
        <w:fldChar w:fldCharType="separate"/>
      </w:r>
      <w:r w:rsidR="001054DD" w:rsidRPr="00FC1C6F">
        <w:t>3.8</w:t>
      </w:r>
      <w:r w:rsidR="00DC4890" w:rsidRPr="00FC1C6F">
        <w:fldChar w:fldCharType="end"/>
      </w:r>
      <w:r w:rsidR="00E7290E" w:rsidRPr="00FC1C6F">
        <w:t>)</w:t>
      </w:r>
    </w:p>
    <w:p w14:paraId="3E513810" w14:textId="75DA4573" w:rsidR="004551C3" w:rsidRPr="00FC1C6F" w:rsidRDefault="00A204EF" w:rsidP="00B50239">
      <w:pPr>
        <w:pStyle w:val="Bulletindent1"/>
      </w:pPr>
      <w:r w:rsidRPr="00FC1C6F">
        <w:t>s</w:t>
      </w:r>
      <w:r w:rsidR="00646474" w:rsidRPr="00FC1C6F">
        <w:t>ubgroup</w:t>
      </w:r>
      <w:r w:rsidR="00B91375" w:rsidRPr="00FC1C6F">
        <w:t xml:space="preserve"> and threshold</w:t>
      </w:r>
      <w:r w:rsidR="00646474" w:rsidRPr="00FC1C6F">
        <w:t xml:space="preserve"> </w:t>
      </w:r>
      <w:r w:rsidR="00DB3D85" w:rsidRPr="00FC1C6F">
        <w:t>analyses for people with and without brain metastases (see section</w:t>
      </w:r>
      <w:r w:rsidR="00EB2A35" w:rsidRPr="00FC1C6F">
        <w:t xml:space="preserve"> </w:t>
      </w:r>
      <w:r w:rsidR="00185448" w:rsidRPr="00FC1C6F">
        <w:fldChar w:fldCharType="begin"/>
      </w:r>
      <w:r w:rsidR="00185448" w:rsidRPr="00FC1C6F">
        <w:instrText xml:space="preserve"> REF _Ref84496414 \r \h </w:instrText>
      </w:r>
      <w:r w:rsidR="00185448" w:rsidRPr="00FC1C6F">
        <w:fldChar w:fldCharType="separate"/>
      </w:r>
      <w:r w:rsidR="001054DD" w:rsidRPr="00FC1C6F">
        <w:t>3.11</w:t>
      </w:r>
      <w:r w:rsidR="00185448" w:rsidRPr="00FC1C6F">
        <w:fldChar w:fldCharType="end"/>
      </w:r>
      <w:r w:rsidR="00DB3D85" w:rsidRPr="00FC1C6F">
        <w:t>)</w:t>
      </w:r>
    </w:p>
    <w:p w14:paraId="029241AE" w14:textId="51A746FC" w:rsidR="004551C3" w:rsidRPr="00FC1C6F" w:rsidRDefault="00A204EF" w:rsidP="00B50239">
      <w:pPr>
        <w:pStyle w:val="Bulletindent1"/>
      </w:pPr>
      <w:r w:rsidRPr="00FC1C6F">
        <w:t>j</w:t>
      </w:r>
      <w:r w:rsidR="004551C3" w:rsidRPr="00FC1C6F">
        <w:t>ustification for any differences in post</w:t>
      </w:r>
      <w:r w:rsidR="00CD66DF" w:rsidRPr="00FC1C6F">
        <w:t>-progression</w:t>
      </w:r>
      <w:r w:rsidR="004551C3" w:rsidRPr="00FC1C6F">
        <w:t xml:space="preserve"> utility values</w:t>
      </w:r>
      <w:r w:rsidR="00852EAB" w:rsidRPr="00FC1C6F">
        <w:t xml:space="preserve"> for tucatinib </w:t>
      </w:r>
      <w:r w:rsidR="001C1360" w:rsidRPr="00FC1C6F">
        <w:t xml:space="preserve">combination </w:t>
      </w:r>
      <w:r w:rsidR="00852EAB" w:rsidRPr="00FC1C6F">
        <w:t>and its comparators</w:t>
      </w:r>
      <w:r w:rsidR="002043D4" w:rsidRPr="00FC1C6F">
        <w:t xml:space="preserve"> (see section </w:t>
      </w:r>
      <w:r w:rsidR="002043D4" w:rsidRPr="00FC1C6F">
        <w:fldChar w:fldCharType="begin"/>
      </w:r>
      <w:r w:rsidR="002043D4" w:rsidRPr="00FC1C6F">
        <w:instrText xml:space="preserve"> REF _Ref84495598 \r \h </w:instrText>
      </w:r>
      <w:r w:rsidR="002043D4" w:rsidRPr="00FC1C6F">
        <w:fldChar w:fldCharType="separate"/>
      </w:r>
      <w:r w:rsidR="001054DD" w:rsidRPr="00FC1C6F">
        <w:t>3.12</w:t>
      </w:r>
      <w:r w:rsidR="002043D4" w:rsidRPr="00FC1C6F">
        <w:fldChar w:fldCharType="end"/>
      </w:r>
      <w:r w:rsidR="002043D4" w:rsidRPr="00FC1C6F">
        <w:t>)</w:t>
      </w:r>
    </w:p>
    <w:p w14:paraId="18DC9977" w14:textId="195B1547" w:rsidR="00F9660C" w:rsidRPr="00FC1C6F" w:rsidRDefault="00A204EF" w:rsidP="00185448">
      <w:pPr>
        <w:pStyle w:val="Bulletindent1last"/>
      </w:pPr>
      <w:r w:rsidRPr="00FC1C6F">
        <w:t>a</w:t>
      </w:r>
      <w:r w:rsidR="008B262D" w:rsidRPr="00FC1C6F">
        <w:t xml:space="preserve">dditional </w:t>
      </w:r>
      <w:r w:rsidR="002043D4" w:rsidRPr="00FC1C6F">
        <w:t xml:space="preserve">analyses </w:t>
      </w:r>
      <w:r w:rsidR="008B262D" w:rsidRPr="00FC1C6F">
        <w:t xml:space="preserve">using subcutaneous trastuzumab </w:t>
      </w:r>
      <w:r w:rsidR="00DB3D85" w:rsidRPr="00FC1C6F">
        <w:t xml:space="preserve">(see section </w:t>
      </w:r>
      <w:r w:rsidR="00185448" w:rsidRPr="00FC1C6F">
        <w:fldChar w:fldCharType="begin"/>
      </w:r>
      <w:r w:rsidR="00185448" w:rsidRPr="00FC1C6F">
        <w:instrText xml:space="preserve"> REF _Ref84496506 \r \h </w:instrText>
      </w:r>
      <w:r w:rsidR="00185448" w:rsidRPr="00FC1C6F">
        <w:fldChar w:fldCharType="separate"/>
      </w:r>
      <w:r w:rsidR="001054DD" w:rsidRPr="00FC1C6F">
        <w:t>3.13</w:t>
      </w:r>
      <w:r w:rsidR="00185448" w:rsidRPr="00FC1C6F">
        <w:fldChar w:fldCharType="end"/>
      </w:r>
      <w:r w:rsidR="00DB3D85" w:rsidRPr="00FC1C6F">
        <w:t>)</w:t>
      </w:r>
      <w:r w:rsidR="008B262D" w:rsidRPr="00FC1C6F">
        <w:t>.</w:t>
      </w:r>
    </w:p>
    <w:p w14:paraId="6489BB34" w14:textId="50AFE2A2" w:rsidR="00745969" w:rsidRPr="00FC1C6F" w:rsidRDefault="00745969" w:rsidP="00F9660C">
      <w:pPr>
        <w:pStyle w:val="NICEnormalindented"/>
      </w:pPr>
      <w:proofErr w:type="gramStart"/>
      <w:r w:rsidRPr="00FC1C6F">
        <w:t>Taking into account</w:t>
      </w:r>
      <w:proofErr w:type="gramEnd"/>
      <w:r w:rsidRPr="00FC1C6F">
        <w:t xml:space="preserve"> </w:t>
      </w:r>
      <w:r w:rsidR="00AA7DAD" w:rsidRPr="00FC1C6F">
        <w:t xml:space="preserve">all </w:t>
      </w:r>
      <w:r w:rsidRPr="00FC1C6F">
        <w:t>confidential discounts</w:t>
      </w:r>
      <w:r w:rsidR="00B34B24" w:rsidRPr="00FC1C6F">
        <w:t xml:space="preserve">, the committee noted </w:t>
      </w:r>
      <w:r w:rsidR="00185448" w:rsidRPr="00FC1C6F">
        <w:t>the</w:t>
      </w:r>
      <w:r w:rsidR="00B34B24" w:rsidRPr="00FC1C6F">
        <w:t xml:space="preserve"> company</w:t>
      </w:r>
      <w:r w:rsidR="00DC4890" w:rsidRPr="00FC1C6F">
        <w:t>’s</w:t>
      </w:r>
      <w:r w:rsidR="00B34B24" w:rsidRPr="00FC1C6F">
        <w:t xml:space="preserve"> base</w:t>
      </w:r>
      <w:r w:rsidR="00DC4890" w:rsidRPr="00FC1C6F">
        <w:t>-</w:t>
      </w:r>
      <w:r w:rsidR="00B34B24" w:rsidRPr="00FC1C6F">
        <w:t>case</w:t>
      </w:r>
      <w:r w:rsidR="005D4595">
        <w:t xml:space="preserve"> </w:t>
      </w:r>
      <w:r w:rsidR="00B34B24" w:rsidRPr="00FC1C6F">
        <w:t xml:space="preserve">ICER was above £50,000 per </w:t>
      </w:r>
      <w:r w:rsidR="00DC4890" w:rsidRPr="00FC1C6F">
        <w:t>quality-adjusted life year (</w:t>
      </w:r>
      <w:r w:rsidR="00B34B24" w:rsidRPr="00FC1C6F">
        <w:t>QALY</w:t>
      </w:r>
      <w:r w:rsidR="00DC4890" w:rsidRPr="00FC1C6F">
        <w:t>)</w:t>
      </w:r>
      <w:r w:rsidR="00B34B24" w:rsidRPr="00FC1C6F">
        <w:t xml:space="preserve"> gained.</w:t>
      </w:r>
      <w:r w:rsidRPr="00FC1C6F">
        <w:t xml:space="preserve"> </w:t>
      </w:r>
      <w:r w:rsidR="00DC4890" w:rsidRPr="00FC1C6F">
        <w:t>W</w:t>
      </w:r>
      <w:r w:rsidR="00B34B24" w:rsidRPr="00FC1C6F">
        <w:t>hen</w:t>
      </w:r>
      <w:r w:rsidRPr="00FC1C6F">
        <w:t xml:space="preserve"> </w:t>
      </w:r>
      <w:r w:rsidR="00B34B24" w:rsidRPr="00FC1C6F">
        <w:t xml:space="preserve">applying </w:t>
      </w:r>
      <w:proofErr w:type="gramStart"/>
      <w:r w:rsidR="00B34B24" w:rsidRPr="00FC1C6F">
        <w:t xml:space="preserve">all </w:t>
      </w:r>
      <w:r w:rsidR="00DC4890" w:rsidRPr="00FC1C6F">
        <w:t>of</w:t>
      </w:r>
      <w:proofErr w:type="gramEnd"/>
      <w:r w:rsidR="00DC4890" w:rsidRPr="00FC1C6F">
        <w:t xml:space="preserve"> the </w:t>
      </w:r>
      <w:r w:rsidRPr="00FC1C6F">
        <w:t>committee’s preference</w:t>
      </w:r>
      <w:r w:rsidR="00AA7DAD" w:rsidRPr="00FC1C6F">
        <w:t>s</w:t>
      </w:r>
      <w:r w:rsidR="00E7290E" w:rsidRPr="00FC1C6F">
        <w:t>,</w:t>
      </w:r>
      <w:r w:rsidRPr="00FC1C6F">
        <w:t xml:space="preserve"> the</w:t>
      </w:r>
      <w:r w:rsidR="00AA7DAD" w:rsidRPr="00FC1C6F">
        <w:t xml:space="preserve"> </w:t>
      </w:r>
      <w:r w:rsidRPr="00FC1C6F">
        <w:t>ICER</w:t>
      </w:r>
      <w:r w:rsidR="00B34B24" w:rsidRPr="00FC1C6F">
        <w:t>s</w:t>
      </w:r>
      <w:r w:rsidRPr="00FC1C6F">
        <w:t xml:space="preserve"> </w:t>
      </w:r>
      <w:r w:rsidR="00B34B24" w:rsidRPr="00FC1C6F">
        <w:t xml:space="preserve">would be even higher. </w:t>
      </w:r>
      <w:r w:rsidRPr="00FC1C6F">
        <w:t xml:space="preserve">The committee concluded that </w:t>
      </w:r>
      <w:r w:rsidR="002F5AEC" w:rsidRPr="00FC1C6F">
        <w:t xml:space="preserve">the cost-effectiveness estimates for tucatinib compared with chemotherapy </w:t>
      </w:r>
      <w:r w:rsidRPr="00FC1C6F">
        <w:t>were higher than what NICE considers a cost-effective use of NHS resources</w:t>
      </w:r>
      <w:r w:rsidR="00B34B24" w:rsidRPr="00FC1C6F">
        <w:t xml:space="preserve">, </w:t>
      </w:r>
      <w:r w:rsidR="00B34B24" w:rsidRPr="00FC1C6F">
        <w:lastRenderedPageBreak/>
        <w:t xml:space="preserve">even when </w:t>
      </w:r>
      <w:r w:rsidR="00852EAB" w:rsidRPr="00FC1C6F">
        <w:t xml:space="preserve">applying </w:t>
      </w:r>
      <w:r w:rsidR="00FC1C6F" w:rsidRPr="00FC1C6F">
        <w:t xml:space="preserve">the </w:t>
      </w:r>
      <w:proofErr w:type="gramStart"/>
      <w:r w:rsidR="00B34B24" w:rsidRPr="00FC1C6F">
        <w:t>end of life</w:t>
      </w:r>
      <w:proofErr w:type="gramEnd"/>
      <w:r w:rsidR="00B34B24" w:rsidRPr="00FC1C6F">
        <w:t xml:space="preserve"> criteria</w:t>
      </w:r>
      <w:r w:rsidRPr="00FC1C6F">
        <w:t>.</w:t>
      </w:r>
      <w:r w:rsidR="002F5AEC" w:rsidRPr="00FC1C6F">
        <w:t xml:space="preserve"> Therefore, the committee could not recommend </w:t>
      </w:r>
      <w:r w:rsidR="00185448" w:rsidRPr="00FC1C6F">
        <w:t xml:space="preserve">tucatinib combination </w:t>
      </w:r>
      <w:r w:rsidR="002F5AEC" w:rsidRPr="00FC1C6F">
        <w:t>for use in the NHS.</w:t>
      </w:r>
    </w:p>
    <w:p w14:paraId="55AFB3FA" w14:textId="74C72BB2" w:rsidR="00643582" w:rsidRPr="00FC1C6F" w:rsidRDefault="00753438" w:rsidP="00643582">
      <w:pPr>
        <w:pStyle w:val="Heading2"/>
      </w:pPr>
      <w:r w:rsidRPr="00FC1C6F">
        <w:t>Innovation</w:t>
      </w:r>
    </w:p>
    <w:p w14:paraId="6218E179" w14:textId="4B4A9BE6" w:rsidR="002F5AEC" w:rsidRPr="00FC1C6F" w:rsidRDefault="002F5AEC" w:rsidP="00185448">
      <w:pPr>
        <w:pStyle w:val="Heading3"/>
      </w:pPr>
      <w:r w:rsidRPr="00FC1C6F">
        <w:t xml:space="preserve">Tucatinib has a novel mechanism of action, </w:t>
      </w:r>
      <w:r w:rsidR="003F09EC" w:rsidRPr="00FC1C6F">
        <w:t xml:space="preserve">and </w:t>
      </w:r>
      <w:proofErr w:type="gramStart"/>
      <w:r w:rsidRPr="00FC1C6F">
        <w:t xml:space="preserve">all </w:t>
      </w:r>
      <w:r w:rsidR="00DC4890" w:rsidRPr="00FC1C6F">
        <w:t>of</w:t>
      </w:r>
      <w:proofErr w:type="gramEnd"/>
      <w:r w:rsidR="00DC4890" w:rsidRPr="00FC1C6F">
        <w:t xml:space="preserve"> </w:t>
      </w:r>
      <w:r w:rsidR="003F09EC" w:rsidRPr="00FC1C6F">
        <w:t xml:space="preserve">the benefits </w:t>
      </w:r>
      <w:r w:rsidR="00DC4890" w:rsidRPr="00FC1C6F">
        <w:t xml:space="preserve">may </w:t>
      </w:r>
      <w:r w:rsidR="003F09EC" w:rsidRPr="00FC1C6F">
        <w:t xml:space="preserve">not </w:t>
      </w:r>
      <w:r w:rsidR="00DC4890" w:rsidRPr="00FC1C6F">
        <w:t xml:space="preserve">have </w:t>
      </w:r>
      <w:r w:rsidR="003F09EC" w:rsidRPr="00FC1C6F">
        <w:t>been fully captured</w:t>
      </w:r>
      <w:r w:rsidRPr="00FC1C6F">
        <w:t xml:space="preserve"> </w:t>
      </w:r>
      <w:r w:rsidR="003F09EC" w:rsidRPr="00FC1C6F">
        <w:t xml:space="preserve">in the </w:t>
      </w:r>
      <w:r w:rsidRPr="00FC1C6F">
        <w:t>model</w:t>
      </w:r>
    </w:p>
    <w:p w14:paraId="09A40E19" w14:textId="07580F1B" w:rsidR="00753438" w:rsidRPr="00FC1C6F" w:rsidRDefault="00753438" w:rsidP="00643582">
      <w:pPr>
        <w:pStyle w:val="Numberedlevel2text"/>
        <w:numPr>
          <w:ilvl w:val="1"/>
          <w:numId w:val="1"/>
        </w:numPr>
        <w:rPr>
          <w:lang w:val="en-GB"/>
        </w:rPr>
      </w:pPr>
      <w:r w:rsidRPr="00FC1C6F">
        <w:rPr>
          <w:lang w:val="en-GB"/>
        </w:rPr>
        <w:t>The company</w:t>
      </w:r>
      <w:r w:rsidR="00DC4890" w:rsidRPr="00FC1C6F">
        <w:rPr>
          <w:lang w:val="en-GB"/>
        </w:rPr>
        <w:t xml:space="preserve"> and the clinical and</w:t>
      </w:r>
      <w:r w:rsidRPr="00FC1C6F">
        <w:rPr>
          <w:lang w:val="en-GB"/>
        </w:rPr>
        <w:t xml:space="preserve"> patient experts considered </w:t>
      </w:r>
      <w:r w:rsidR="00486063" w:rsidRPr="00FC1C6F">
        <w:rPr>
          <w:lang w:val="en-GB"/>
        </w:rPr>
        <w:t>tucatinib combination</w:t>
      </w:r>
      <w:r w:rsidRPr="00FC1C6F">
        <w:rPr>
          <w:lang w:val="en-GB"/>
        </w:rPr>
        <w:t xml:space="preserve"> to be innovative. </w:t>
      </w:r>
      <w:r w:rsidR="00A5698D" w:rsidRPr="00FC1C6F">
        <w:rPr>
          <w:lang w:val="en-GB"/>
        </w:rPr>
        <w:t xml:space="preserve">They explained this </w:t>
      </w:r>
      <w:r w:rsidR="00AE07F5" w:rsidRPr="00FC1C6F">
        <w:rPr>
          <w:lang w:val="en-GB"/>
        </w:rPr>
        <w:t xml:space="preserve">is </w:t>
      </w:r>
      <w:r w:rsidR="00B959E3" w:rsidRPr="00FC1C6F">
        <w:rPr>
          <w:lang w:val="en-GB"/>
        </w:rPr>
        <w:t>because of</w:t>
      </w:r>
      <w:r w:rsidR="00A5698D" w:rsidRPr="00FC1C6F">
        <w:rPr>
          <w:lang w:val="en-GB"/>
        </w:rPr>
        <w:t xml:space="preserve"> its improved efficacy and tolerability in patients with HER2-positive metastatic breast cancer, including those with brain metastases. The committee </w:t>
      </w:r>
      <w:r w:rsidR="00144E8B" w:rsidRPr="00FC1C6F">
        <w:rPr>
          <w:lang w:val="en-GB"/>
        </w:rPr>
        <w:t xml:space="preserve">agreed </w:t>
      </w:r>
      <w:r w:rsidR="00A5698D" w:rsidRPr="00FC1C6F">
        <w:rPr>
          <w:lang w:val="en-GB"/>
        </w:rPr>
        <w:t xml:space="preserve">that </w:t>
      </w:r>
      <w:r w:rsidR="00486063" w:rsidRPr="00FC1C6F">
        <w:rPr>
          <w:lang w:val="en-GB"/>
        </w:rPr>
        <w:t>tucatinib combination</w:t>
      </w:r>
      <w:r w:rsidR="00A5698D" w:rsidRPr="00FC1C6F">
        <w:rPr>
          <w:lang w:val="en-GB"/>
        </w:rPr>
        <w:t xml:space="preserve"> had </w:t>
      </w:r>
      <w:r w:rsidR="00DC4890" w:rsidRPr="00FC1C6F">
        <w:rPr>
          <w:lang w:val="en-GB"/>
        </w:rPr>
        <w:t xml:space="preserve">significant </w:t>
      </w:r>
      <w:r w:rsidR="00A5698D" w:rsidRPr="00FC1C6F">
        <w:rPr>
          <w:lang w:val="en-GB"/>
        </w:rPr>
        <w:t xml:space="preserve">potential benefits for </w:t>
      </w:r>
      <w:proofErr w:type="gramStart"/>
      <w:r w:rsidR="00A5698D" w:rsidRPr="00FC1C6F">
        <w:rPr>
          <w:lang w:val="en-GB"/>
        </w:rPr>
        <w:t xml:space="preserve">patients, </w:t>
      </w:r>
      <w:r w:rsidR="00532E1B" w:rsidRPr="00FC1C6F">
        <w:rPr>
          <w:lang w:val="en-GB"/>
        </w:rPr>
        <w:t>and</w:t>
      </w:r>
      <w:proofErr w:type="gramEnd"/>
      <w:r w:rsidR="00532E1B" w:rsidRPr="00FC1C6F">
        <w:rPr>
          <w:lang w:val="en-GB"/>
        </w:rPr>
        <w:t xml:space="preserve"> considered that it could not be confident that all the potential benefit</w:t>
      </w:r>
      <w:r w:rsidR="00235FC8" w:rsidRPr="00FC1C6F">
        <w:rPr>
          <w:lang w:val="en-GB"/>
        </w:rPr>
        <w:t>s</w:t>
      </w:r>
      <w:r w:rsidR="00532E1B" w:rsidRPr="00FC1C6F">
        <w:rPr>
          <w:lang w:val="en-GB"/>
        </w:rPr>
        <w:t xml:space="preserve"> in relation to the effect on brain metastases had been explored or captured in the analyses</w:t>
      </w:r>
      <w:r w:rsidR="00A5698D" w:rsidRPr="00FC1C6F">
        <w:rPr>
          <w:lang w:val="en-GB"/>
        </w:rPr>
        <w:t>.</w:t>
      </w:r>
    </w:p>
    <w:p w14:paraId="63E8FAFC" w14:textId="1AE72EB8" w:rsidR="000F48EC" w:rsidRPr="00FC1C6F" w:rsidRDefault="007A2801" w:rsidP="002E73E7">
      <w:pPr>
        <w:pStyle w:val="Numberedheading1"/>
      </w:pPr>
      <w:r w:rsidRPr="00FC1C6F">
        <w:t xml:space="preserve">Proposed date for </w:t>
      </w:r>
      <w:r w:rsidR="00000441" w:rsidRPr="00FC1C6F">
        <w:t>r</w:t>
      </w:r>
      <w:r w:rsidR="000F48EC" w:rsidRPr="00FC1C6F">
        <w:t>eview of guidance</w:t>
      </w:r>
    </w:p>
    <w:p w14:paraId="423DC431" w14:textId="58483BCD" w:rsidR="00C52FC0" w:rsidRPr="00FC1C6F" w:rsidRDefault="001823EB" w:rsidP="005464F4">
      <w:pPr>
        <w:pStyle w:val="Numberedlevel2text"/>
        <w:rPr>
          <w:lang w:val="en-GB"/>
        </w:rPr>
      </w:pPr>
      <w:r w:rsidRPr="00FC1C6F">
        <w:rPr>
          <w:lang w:val="en-GB"/>
        </w:rPr>
        <w:t>NICE proposes that the guidance on this technology is considered for review by the guidance executive 3 years after publication of the guidance. NICE welcomes comment</w:t>
      </w:r>
      <w:r w:rsidR="00E520E0" w:rsidRPr="00FC1C6F">
        <w:rPr>
          <w:lang w:val="en-GB"/>
        </w:rPr>
        <w:t>s</w:t>
      </w:r>
      <w:r w:rsidRPr="00FC1C6F">
        <w:rPr>
          <w:lang w:val="en-GB"/>
        </w:rPr>
        <w:t xml:space="preserve"> on this proposed date. The guidance executive will decide whether the technology should be reviewed based on information gathered by NICE, and in consultation with consultees and commentators.</w:t>
      </w:r>
    </w:p>
    <w:p w14:paraId="569C5BD3" w14:textId="6247EB27" w:rsidR="004845D0" w:rsidRPr="00FC1C6F" w:rsidRDefault="00557AAA" w:rsidP="00ED5F88">
      <w:pPr>
        <w:pStyle w:val="NICEnormal"/>
      </w:pPr>
      <w:r w:rsidRPr="00FC1C6F">
        <w:t>Jane Adam</w:t>
      </w:r>
      <w:r w:rsidR="004845D0" w:rsidRPr="00FC1C6F">
        <w:br/>
        <w:t xml:space="preserve">Chair, </w:t>
      </w:r>
      <w:r w:rsidR="003847B9" w:rsidRPr="00FC1C6F">
        <w:t>a</w:t>
      </w:r>
      <w:r w:rsidR="004845D0" w:rsidRPr="00FC1C6F">
        <w:t xml:space="preserve">ppraisal </w:t>
      </w:r>
      <w:r w:rsidR="003847B9" w:rsidRPr="00FC1C6F">
        <w:t>c</w:t>
      </w:r>
      <w:r w:rsidR="004845D0" w:rsidRPr="00FC1C6F">
        <w:t>ommittee</w:t>
      </w:r>
      <w:r w:rsidRPr="00FC1C6F">
        <w:t xml:space="preserve"> A</w:t>
      </w:r>
      <w:r w:rsidR="004845D0" w:rsidRPr="00FC1C6F">
        <w:br/>
      </w:r>
      <w:r w:rsidRPr="00FC1C6F">
        <w:t>October 2021</w:t>
      </w:r>
    </w:p>
    <w:p w14:paraId="477B8731" w14:textId="77777777" w:rsidR="00B16431" w:rsidRPr="00FC1C6F" w:rsidRDefault="00B16431" w:rsidP="00B16431">
      <w:pPr>
        <w:pStyle w:val="Numberedheading1"/>
        <w:numPr>
          <w:ilvl w:val="0"/>
          <w:numId w:val="1"/>
        </w:numPr>
      </w:pPr>
      <w:bookmarkStart w:id="20" w:name="_Ref82161289"/>
      <w:r w:rsidRPr="00FC1C6F">
        <w:lastRenderedPageBreak/>
        <w:t xml:space="preserve">Appraisal </w:t>
      </w:r>
      <w:r w:rsidR="00343B53" w:rsidRPr="00FC1C6F">
        <w:t>c</w:t>
      </w:r>
      <w:r w:rsidRPr="00FC1C6F">
        <w:t>ommittee members and NICE project team</w:t>
      </w:r>
      <w:bookmarkEnd w:id="20"/>
    </w:p>
    <w:p w14:paraId="68FE3EF6" w14:textId="77777777" w:rsidR="00B16431" w:rsidRPr="00FC1C6F" w:rsidRDefault="00B16431" w:rsidP="00B16431">
      <w:pPr>
        <w:pStyle w:val="Heading2"/>
      </w:pPr>
      <w:bookmarkStart w:id="21" w:name="_Appraisal_committee_members"/>
      <w:bookmarkEnd w:id="21"/>
      <w:r w:rsidRPr="00FC1C6F">
        <w:t xml:space="preserve">Appraisal </w:t>
      </w:r>
      <w:r w:rsidR="00343B53" w:rsidRPr="00FC1C6F">
        <w:t>c</w:t>
      </w:r>
      <w:r w:rsidRPr="00FC1C6F">
        <w:t>ommittee members</w:t>
      </w:r>
    </w:p>
    <w:p w14:paraId="7CC24D3D" w14:textId="739213CA" w:rsidR="002F2583" w:rsidRPr="00FC1C6F" w:rsidRDefault="002F2583" w:rsidP="002F2583">
      <w:pPr>
        <w:pStyle w:val="NICEnormal"/>
        <w:rPr>
          <w:rFonts w:eastAsia="Calibri"/>
        </w:rPr>
      </w:pPr>
      <w:r w:rsidRPr="00FC1C6F">
        <w:t xml:space="preserve">The 4 technology appraisal committees are standing advisory committees of NICE. This topic was considered by </w:t>
      </w:r>
      <w:hyperlink r:id="rId19" w:history="1">
        <w:r w:rsidRPr="00FC1C6F">
          <w:rPr>
            <w:rStyle w:val="Hyperlink"/>
            <w:rFonts w:eastAsia="Calibri"/>
          </w:rPr>
          <w:t xml:space="preserve">committee </w:t>
        </w:r>
      </w:hyperlink>
      <w:r w:rsidR="00557AAA" w:rsidRPr="00FC1C6F">
        <w:rPr>
          <w:rStyle w:val="Hyperlink"/>
          <w:rFonts w:eastAsia="Calibri"/>
        </w:rPr>
        <w:t>A</w:t>
      </w:r>
      <w:r w:rsidRPr="00FC1C6F">
        <w:t>.</w:t>
      </w:r>
    </w:p>
    <w:p w14:paraId="451A1040" w14:textId="662AFBC4" w:rsidR="002F2583" w:rsidRPr="00FC1C6F" w:rsidRDefault="002F2583" w:rsidP="002F2583">
      <w:pPr>
        <w:pStyle w:val="NICEnormal"/>
      </w:pPr>
      <w:r w:rsidRPr="00FC1C6F">
        <w:t>Committee members are asked to declare any interests in the technology to be appraised. If it is considered there is a conflict of interest, the member is excluded from participating further in that appraisal.</w:t>
      </w:r>
    </w:p>
    <w:p w14:paraId="13EE4118" w14:textId="460E3055" w:rsidR="002F2583" w:rsidRPr="00FC1C6F" w:rsidRDefault="002F2583" w:rsidP="002F2583">
      <w:pPr>
        <w:pStyle w:val="NICEnormal"/>
      </w:pPr>
      <w:r w:rsidRPr="00FC1C6F">
        <w:t xml:space="preserve">The </w:t>
      </w:r>
      <w:hyperlink r:id="rId20" w:history="1">
        <w:r w:rsidRPr="00FC1C6F">
          <w:rPr>
            <w:rStyle w:val="Hyperlink"/>
            <w:rFonts w:eastAsia="Calibri"/>
          </w:rPr>
          <w:t>minutes</w:t>
        </w:r>
        <w:r w:rsidRPr="00FC1C6F">
          <w:rPr>
            <w:rStyle w:val="Hyperlink"/>
          </w:rPr>
          <w:t xml:space="preserve"> of each appraisal committee meeting</w:t>
        </w:r>
      </w:hyperlink>
      <w:r w:rsidRPr="00FC1C6F">
        <w:t>, which include the names of the members who attended and their declarations of interests, are posted on the NICE website.</w:t>
      </w:r>
    </w:p>
    <w:p w14:paraId="3643E107" w14:textId="77777777" w:rsidR="00B16431" w:rsidRPr="00FC1C6F" w:rsidRDefault="00B16431" w:rsidP="00B16431">
      <w:pPr>
        <w:pStyle w:val="Heading2"/>
      </w:pPr>
      <w:r w:rsidRPr="00FC1C6F">
        <w:t>NICE project team</w:t>
      </w:r>
    </w:p>
    <w:p w14:paraId="651CA2EE" w14:textId="6419A94D" w:rsidR="00B16431" w:rsidRPr="00FC1C6F" w:rsidRDefault="00B16431" w:rsidP="00B16431">
      <w:pPr>
        <w:pStyle w:val="NICEnormal"/>
      </w:pPr>
      <w:r w:rsidRPr="00FC1C6F">
        <w:t>Each technology appraisal is assigned to a team consisting of 1 or more health technology analysts (who act as technical leads for the appraisal), a technical adviser and a project manager.</w:t>
      </w:r>
    </w:p>
    <w:p w14:paraId="16A3790D" w14:textId="189AC052" w:rsidR="00B16431" w:rsidRPr="00FC1C6F" w:rsidRDefault="00557AAA" w:rsidP="00B16431">
      <w:pPr>
        <w:pStyle w:val="NICEnormal"/>
      </w:pPr>
      <w:bookmarkStart w:id="22" w:name="Text45"/>
      <w:r w:rsidRPr="00FC1C6F">
        <w:rPr>
          <w:b/>
        </w:rPr>
        <w:t>Sarah Wilkes</w:t>
      </w:r>
      <w:r w:rsidR="00B16431" w:rsidRPr="00FC1C6F">
        <w:br/>
        <w:t xml:space="preserve">Technical </w:t>
      </w:r>
      <w:r w:rsidR="00E65C76" w:rsidRPr="00FC1C6F">
        <w:t>l</w:t>
      </w:r>
      <w:r w:rsidR="00B16431" w:rsidRPr="00FC1C6F">
        <w:t>ea</w:t>
      </w:r>
      <w:r w:rsidRPr="00FC1C6F">
        <w:t>d</w:t>
      </w:r>
    </w:p>
    <w:p w14:paraId="1867B37A" w14:textId="0006C4A1" w:rsidR="00B16431" w:rsidRPr="00FC1C6F" w:rsidRDefault="00557AAA" w:rsidP="00B16431">
      <w:pPr>
        <w:pStyle w:val="NICEnormal"/>
      </w:pPr>
      <w:r w:rsidRPr="00FC1C6F">
        <w:rPr>
          <w:b/>
        </w:rPr>
        <w:t>Ewa Rupniewska</w:t>
      </w:r>
      <w:r w:rsidR="00B16431" w:rsidRPr="00FC1C6F">
        <w:br/>
        <w:t xml:space="preserve">Technical </w:t>
      </w:r>
      <w:r w:rsidR="00E65C76" w:rsidRPr="00FC1C6F">
        <w:t>a</w:t>
      </w:r>
      <w:r w:rsidR="00B16431" w:rsidRPr="00FC1C6F">
        <w:t>dviser</w:t>
      </w:r>
    </w:p>
    <w:p w14:paraId="5D5D1B4C" w14:textId="497DCA56" w:rsidR="00B16431" w:rsidRPr="00FC1C6F" w:rsidRDefault="00557AAA" w:rsidP="005D3FD9">
      <w:pPr>
        <w:pStyle w:val="NICEnormal"/>
      </w:pPr>
      <w:r w:rsidRPr="00FC1C6F">
        <w:rPr>
          <w:b/>
        </w:rPr>
        <w:t>Shonagh D’Sylva</w:t>
      </w:r>
      <w:r w:rsidR="00B16431" w:rsidRPr="00FC1C6F">
        <w:br/>
        <w:t xml:space="preserve">Project </w:t>
      </w:r>
      <w:r w:rsidR="00E65C76" w:rsidRPr="00FC1C6F">
        <w:t>m</w:t>
      </w:r>
      <w:r w:rsidR="00B16431" w:rsidRPr="00FC1C6F">
        <w:t>anager</w:t>
      </w:r>
      <w:bookmarkEnd w:id="22"/>
    </w:p>
    <w:p w14:paraId="57ED137E" w14:textId="77777777" w:rsidR="006E7647" w:rsidRPr="00FC1C6F" w:rsidRDefault="006E7647" w:rsidP="00F05E37">
      <w:pPr>
        <w:pStyle w:val="NICEnormal"/>
      </w:pPr>
      <w:r w:rsidRPr="00FC1C6F">
        <w:t xml:space="preserve">ISBN: </w:t>
      </w:r>
      <w:r w:rsidRPr="00FC1C6F">
        <w:rPr>
          <w:highlight w:val="green"/>
        </w:rPr>
        <w:t>[to be added at publication]</w:t>
      </w:r>
    </w:p>
    <w:sectPr w:rsidR="006E7647" w:rsidRPr="00FC1C6F" w:rsidSect="00C76DDA">
      <w:headerReference w:type="default" r:id="rId21"/>
      <w:footerReference w:type="default" r:id="rId2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9D22" w14:textId="77777777" w:rsidR="0083733E" w:rsidRDefault="0083733E">
      <w:r>
        <w:separator/>
      </w:r>
    </w:p>
  </w:endnote>
  <w:endnote w:type="continuationSeparator" w:id="0">
    <w:p w14:paraId="29290157" w14:textId="77777777" w:rsidR="0083733E" w:rsidRDefault="0083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9A0E" w14:textId="2DE12B59" w:rsidR="00832381" w:rsidRPr="003D33FB" w:rsidRDefault="00832381" w:rsidP="007A7EC8">
    <w:pPr>
      <w:pStyle w:val="NICEnormalsinglespacing"/>
      <w:spacing w:after="120"/>
      <w:rPr>
        <w:sz w:val="18"/>
        <w:szCs w:val="18"/>
      </w:rPr>
    </w:pPr>
    <w:r w:rsidRPr="004D5CD9">
      <w:rPr>
        <w:sz w:val="18"/>
        <w:szCs w:val="18"/>
      </w:rPr>
      <w:t xml:space="preserve">Appraisal consultation document– </w:t>
    </w:r>
    <w:r w:rsidR="00FA1E23" w:rsidRPr="004D5CD9">
      <w:rPr>
        <w:sz w:val="18"/>
        <w:szCs w:val="18"/>
      </w:rPr>
      <w:t>Tucatinib</w:t>
    </w:r>
    <w:r w:rsidR="00FA1E23" w:rsidRPr="00FA1E23">
      <w:rPr>
        <w:sz w:val="18"/>
        <w:szCs w:val="18"/>
      </w:rPr>
      <w:t xml:space="preserve"> with trastuzumab and capecitabine for treating </w:t>
    </w:r>
    <w:bookmarkStart w:id="23" w:name="_Hlk83980650"/>
    <w:r w:rsidR="00FA1E23" w:rsidRPr="00FA1E23">
      <w:rPr>
        <w:sz w:val="18"/>
        <w:szCs w:val="18"/>
      </w:rPr>
      <w:t>HER2-positive advanced breast cancer after 2 or more anti-HER2 therapies</w:t>
    </w:r>
    <w:bookmarkEnd w:id="23"/>
    <w:r w:rsidR="00FA1E23">
      <w:rPr>
        <w:sz w:val="18"/>
        <w:szCs w:val="18"/>
        <w:lang w:val="en-US"/>
      </w:rPr>
      <w:tab/>
    </w:r>
    <w:r w:rsidR="00FA1E23">
      <w:rPr>
        <w:sz w:val="18"/>
        <w:szCs w:val="18"/>
        <w:lang w:val="en-US"/>
      </w:rPr>
      <w:tab/>
    </w:r>
    <w:r w:rsidR="00FA1E23">
      <w:rPr>
        <w:sz w:val="18"/>
        <w:szCs w:val="18"/>
        <w:lang w:val="en-US"/>
      </w:rPr>
      <w:tab/>
    </w:r>
    <w:r w:rsidR="00FA1E23">
      <w:rPr>
        <w:sz w:val="18"/>
        <w:szCs w:val="18"/>
        <w:lang w:val="en-US"/>
      </w:rPr>
      <w:tab/>
    </w:r>
    <w:r w:rsidR="00FA1E23">
      <w:rPr>
        <w:sz w:val="18"/>
        <w:szCs w:val="18"/>
        <w:lang w:val="en-US"/>
      </w:rPr>
      <w:tab/>
    </w:r>
    <w:r w:rsidR="00FA1E23">
      <w:rPr>
        <w:sz w:val="18"/>
        <w:szCs w:val="18"/>
        <w:lang w:val="en-US"/>
      </w:rPr>
      <w:tab/>
    </w:r>
    <w:r w:rsidR="00FA1E23">
      <w:rPr>
        <w:sz w:val="18"/>
        <w:szCs w:val="18"/>
        <w:lang w:val="en-US"/>
      </w:rPr>
      <w:tab/>
    </w:r>
    <w:r w:rsidR="00FA1E23">
      <w:rPr>
        <w:sz w:val="18"/>
        <w:szCs w:val="18"/>
        <w:lang w:val="en-US"/>
      </w:rPr>
      <w:tab/>
    </w:r>
    <w:r>
      <w:rPr>
        <w:sz w:val="18"/>
        <w:szCs w:val="18"/>
      </w:rPr>
      <w:tab/>
    </w:r>
    <w:r w:rsidR="00E766FB">
      <w:rPr>
        <w:sz w:val="18"/>
        <w:szCs w:val="18"/>
      </w:rPr>
      <w:tab/>
    </w:r>
    <w:r w:rsidR="00E766FB">
      <w:rPr>
        <w:sz w:val="18"/>
        <w:szCs w:val="18"/>
      </w:rPr>
      <w:tab/>
    </w:r>
    <w:r w:rsidR="00E766FB">
      <w:rPr>
        <w:sz w:val="18"/>
        <w:szCs w:val="18"/>
      </w:rPr>
      <w:tab/>
    </w:r>
    <w:r w:rsidR="00E766FB">
      <w:rPr>
        <w:sz w:val="18"/>
        <w:szCs w:val="18"/>
      </w:rPr>
      <w:tab/>
    </w:r>
    <w:r w:rsidR="00E766FB">
      <w:rPr>
        <w:sz w:val="18"/>
        <w:szCs w:val="18"/>
      </w:rPr>
      <w:tab/>
    </w:r>
    <w:r w:rsidR="00F24875">
      <w:rPr>
        <w:sz w:val="18"/>
        <w:szCs w:val="18"/>
      </w:rPr>
      <w:tab/>
    </w:r>
    <w:r w:rsidR="00F24875">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4414B619" w14:textId="62A85FAF" w:rsidR="00832381" w:rsidRDefault="00832381" w:rsidP="007A7EC8">
    <w:pPr>
      <w:pStyle w:val="NICEnormalsinglespacing"/>
      <w:spacing w:after="120"/>
      <w:rPr>
        <w:sz w:val="18"/>
        <w:szCs w:val="18"/>
      </w:rPr>
    </w:pPr>
    <w:r w:rsidRPr="003D33FB">
      <w:rPr>
        <w:sz w:val="18"/>
        <w:szCs w:val="18"/>
      </w:rPr>
      <w:t xml:space="preserve">Issue date: </w:t>
    </w:r>
    <w:r w:rsidR="00FA1E23">
      <w:rPr>
        <w:sz w:val="18"/>
        <w:szCs w:val="18"/>
      </w:rPr>
      <w:t>October 2021</w:t>
    </w:r>
  </w:p>
  <w:p w14:paraId="699AB199" w14:textId="4699A2D9" w:rsidR="00832381" w:rsidRPr="007A7EC8" w:rsidRDefault="00832381" w:rsidP="007A7EC8">
    <w:pPr>
      <w:pStyle w:val="NICEnormalsinglespacing"/>
      <w:spacing w:after="120"/>
    </w:pPr>
    <w:r>
      <w:rPr>
        <w:sz w:val="18"/>
        <w:szCs w:val="18"/>
      </w:rPr>
      <w:t xml:space="preserve">© NICE </w:t>
    </w:r>
    <w:r w:rsidR="00FA1E23">
      <w:rPr>
        <w:sz w:val="18"/>
        <w:szCs w:val="18"/>
      </w:rPr>
      <w:t>2021</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C8F8" w14:textId="77777777" w:rsidR="0083733E" w:rsidRDefault="0083733E">
      <w:r>
        <w:separator/>
      </w:r>
    </w:p>
  </w:footnote>
  <w:footnote w:type="continuationSeparator" w:id="0">
    <w:p w14:paraId="38F48FD6" w14:textId="77777777" w:rsidR="0083733E" w:rsidRDefault="00837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EBAC" w14:textId="77777777" w:rsidR="00832381" w:rsidRPr="004E6427" w:rsidRDefault="00832381"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642D7"/>
    <w:multiLevelType w:val="hybridMultilevel"/>
    <w:tmpl w:val="05EA1B86"/>
    <w:lvl w:ilvl="0" w:tplc="257C5FCA">
      <w:start w:val="1"/>
      <w:numFmt w:val="bullet"/>
      <w:lvlText w:val="•"/>
      <w:lvlJc w:val="left"/>
      <w:pPr>
        <w:tabs>
          <w:tab w:val="num" w:pos="720"/>
        </w:tabs>
        <w:ind w:left="720" w:hanging="360"/>
      </w:pPr>
      <w:rPr>
        <w:rFonts w:ascii="Arial" w:hAnsi="Arial" w:hint="default"/>
      </w:rPr>
    </w:lvl>
    <w:lvl w:ilvl="1" w:tplc="40741C62" w:tentative="1">
      <w:start w:val="1"/>
      <w:numFmt w:val="bullet"/>
      <w:lvlText w:val="•"/>
      <w:lvlJc w:val="left"/>
      <w:pPr>
        <w:tabs>
          <w:tab w:val="num" w:pos="1440"/>
        </w:tabs>
        <w:ind w:left="1440" w:hanging="360"/>
      </w:pPr>
      <w:rPr>
        <w:rFonts w:ascii="Arial" w:hAnsi="Arial" w:hint="default"/>
      </w:rPr>
    </w:lvl>
    <w:lvl w:ilvl="2" w:tplc="1D408DBA" w:tentative="1">
      <w:start w:val="1"/>
      <w:numFmt w:val="bullet"/>
      <w:lvlText w:val="•"/>
      <w:lvlJc w:val="left"/>
      <w:pPr>
        <w:tabs>
          <w:tab w:val="num" w:pos="2160"/>
        </w:tabs>
        <w:ind w:left="2160" w:hanging="360"/>
      </w:pPr>
      <w:rPr>
        <w:rFonts w:ascii="Arial" w:hAnsi="Arial" w:hint="default"/>
      </w:rPr>
    </w:lvl>
    <w:lvl w:ilvl="3" w:tplc="BF84D1C8" w:tentative="1">
      <w:start w:val="1"/>
      <w:numFmt w:val="bullet"/>
      <w:lvlText w:val="•"/>
      <w:lvlJc w:val="left"/>
      <w:pPr>
        <w:tabs>
          <w:tab w:val="num" w:pos="2880"/>
        </w:tabs>
        <w:ind w:left="2880" w:hanging="360"/>
      </w:pPr>
      <w:rPr>
        <w:rFonts w:ascii="Arial" w:hAnsi="Arial" w:hint="default"/>
      </w:rPr>
    </w:lvl>
    <w:lvl w:ilvl="4" w:tplc="9C4CAC1C" w:tentative="1">
      <w:start w:val="1"/>
      <w:numFmt w:val="bullet"/>
      <w:lvlText w:val="•"/>
      <w:lvlJc w:val="left"/>
      <w:pPr>
        <w:tabs>
          <w:tab w:val="num" w:pos="3600"/>
        </w:tabs>
        <w:ind w:left="3600" w:hanging="360"/>
      </w:pPr>
      <w:rPr>
        <w:rFonts w:ascii="Arial" w:hAnsi="Arial" w:hint="default"/>
      </w:rPr>
    </w:lvl>
    <w:lvl w:ilvl="5" w:tplc="3B3845C4" w:tentative="1">
      <w:start w:val="1"/>
      <w:numFmt w:val="bullet"/>
      <w:lvlText w:val="•"/>
      <w:lvlJc w:val="left"/>
      <w:pPr>
        <w:tabs>
          <w:tab w:val="num" w:pos="4320"/>
        </w:tabs>
        <w:ind w:left="4320" w:hanging="360"/>
      </w:pPr>
      <w:rPr>
        <w:rFonts w:ascii="Arial" w:hAnsi="Arial" w:hint="default"/>
      </w:rPr>
    </w:lvl>
    <w:lvl w:ilvl="6" w:tplc="F53CC8C0" w:tentative="1">
      <w:start w:val="1"/>
      <w:numFmt w:val="bullet"/>
      <w:lvlText w:val="•"/>
      <w:lvlJc w:val="left"/>
      <w:pPr>
        <w:tabs>
          <w:tab w:val="num" w:pos="5040"/>
        </w:tabs>
        <w:ind w:left="5040" w:hanging="360"/>
      </w:pPr>
      <w:rPr>
        <w:rFonts w:ascii="Arial" w:hAnsi="Arial" w:hint="default"/>
      </w:rPr>
    </w:lvl>
    <w:lvl w:ilvl="7" w:tplc="24D2E8C8" w:tentative="1">
      <w:start w:val="1"/>
      <w:numFmt w:val="bullet"/>
      <w:lvlText w:val="•"/>
      <w:lvlJc w:val="left"/>
      <w:pPr>
        <w:tabs>
          <w:tab w:val="num" w:pos="5760"/>
        </w:tabs>
        <w:ind w:left="5760" w:hanging="360"/>
      </w:pPr>
      <w:rPr>
        <w:rFonts w:ascii="Arial" w:hAnsi="Arial" w:hint="default"/>
      </w:rPr>
    </w:lvl>
    <w:lvl w:ilvl="8" w:tplc="FE6C16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CC3584"/>
    <w:multiLevelType w:val="multilevel"/>
    <w:tmpl w:val="051085F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1730B"/>
    <w:multiLevelType w:val="hybridMultilevel"/>
    <w:tmpl w:val="CAA83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696F2189"/>
    <w:multiLevelType w:val="hybridMultilevel"/>
    <w:tmpl w:val="24F8CBCE"/>
    <w:lvl w:ilvl="0" w:tplc="35960CCE">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1" w15:restartNumberingAfterBreak="0">
    <w:nsid w:val="6E700C00"/>
    <w:multiLevelType w:val="hybridMultilevel"/>
    <w:tmpl w:val="25C447D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7C2A182D"/>
    <w:multiLevelType w:val="hybridMultilevel"/>
    <w:tmpl w:val="35962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
  </w:num>
  <w:num w:numId="3">
    <w:abstractNumId w:val="17"/>
  </w:num>
  <w:num w:numId="4">
    <w:abstractNumId w:val="10"/>
  </w:num>
  <w:num w:numId="5">
    <w:abstractNumId w:val="11"/>
  </w:num>
  <w:num w:numId="6">
    <w:abstractNumId w:val="0"/>
  </w:num>
  <w:num w:numId="7">
    <w:abstractNumId w:val="2"/>
  </w:num>
  <w:num w:numId="8">
    <w:abstractNumId w:val="4"/>
  </w:num>
  <w:num w:numId="9">
    <w:abstractNumId w:val="5"/>
  </w:num>
  <w:num w:numId="10">
    <w:abstractNumId w:val="7"/>
  </w:num>
  <w:num w:numId="11">
    <w:abstractNumId w:val="9"/>
  </w:num>
  <w:num w:numId="12">
    <w:abstractNumId w:val="8"/>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9"/>
  </w:num>
  <w:num w:numId="18">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num>
  <w:num w:numId="21">
    <w:abstractNumId w:val="7"/>
  </w:num>
  <w:num w:numId="22">
    <w:abstractNumId w:val="14"/>
  </w:num>
  <w:num w:numId="23">
    <w:abstractNumId w:val="16"/>
  </w:num>
  <w:num w:numId="24">
    <w:abstractNumId w:val="7"/>
  </w:num>
  <w:num w:numId="25">
    <w:abstractNumId w:val="14"/>
  </w:num>
  <w:num w:numId="26">
    <w:abstractNumId w:val="12"/>
  </w:num>
  <w:num w:numId="27">
    <w:abstractNumId w:val="18"/>
  </w:num>
  <w:num w:numId="28">
    <w:abstractNumId w:val="18"/>
    <w:lvlOverride w:ilvl="0">
      <w:startOverride w:val="1"/>
    </w:lvlOverride>
  </w:num>
  <w:num w:numId="2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5"/>
  </w:num>
  <w:num w:numId="32">
    <w:abstractNumId w:val="21"/>
  </w:num>
  <w:num w:numId="33">
    <w:abstractNumId w:val="15"/>
  </w:num>
  <w:num w:numId="34">
    <w:abstractNumId w:val="6"/>
  </w:num>
  <w:num w:numId="35">
    <w:abstractNumId w:val="22"/>
  </w:num>
  <w:num w:numId="36">
    <w:abstractNumId w:val="5"/>
  </w:num>
  <w:num w:numId="37">
    <w:abstractNumId w:val="5"/>
  </w:num>
  <w:num w:numId="38">
    <w:abstractNumId w:val="5"/>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E3"/>
    <w:rsid w:val="00000441"/>
    <w:rsid w:val="00000D96"/>
    <w:rsid w:val="00000F6A"/>
    <w:rsid w:val="00006590"/>
    <w:rsid w:val="000069A4"/>
    <w:rsid w:val="000069F9"/>
    <w:rsid w:val="0000727D"/>
    <w:rsid w:val="000119FB"/>
    <w:rsid w:val="000130CA"/>
    <w:rsid w:val="00014990"/>
    <w:rsid w:val="00016A22"/>
    <w:rsid w:val="00016E5E"/>
    <w:rsid w:val="00017610"/>
    <w:rsid w:val="000205C6"/>
    <w:rsid w:val="00020E7A"/>
    <w:rsid w:val="00021FB0"/>
    <w:rsid w:val="000221AA"/>
    <w:rsid w:val="0002331F"/>
    <w:rsid w:val="00023F26"/>
    <w:rsid w:val="000249F8"/>
    <w:rsid w:val="00026E82"/>
    <w:rsid w:val="00027D01"/>
    <w:rsid w:val="00030056"/>
    <w:rsid w:val="00030676"/>
    <w:rsid w:val="00030714"/>
    <w:rsid w:val="0003322C"/>
    <w:rsid w:val="00034110"/>
    <w:rsid w:val="00035AC1"/>
    <w:rsid w:val="000368FC"/>
    <w:rsid w:val="00036F68"/>
    <w:rsid w:val="000376EE"/>
    <w:rsid w:val="000421F8"/>
    <w:rsid w:val="00043262"/>
    <w:rsid w:val="00045307"/>
    <w:rsid w:val="00045528"/>
    <w:rsid w:val="00045716"/>
    <w:rsid w:val="0005204D"/>
    <w:rsid w:val="00052063"/>
    <w:rsid w:val="00055DDF"/>
    <w:rsid w:val="00057724"/>
    <w:rsid w:val="00061C83"/>
    <w:rsid w:val="0006624B"/>
    <w:rsid w:val="0007107C"/>
    <w:rsid w:val="000711F1"/>
    <w:rsid w:val="000730EA"/>
    <w:rsid w:val="00073DA8"/>
    <w:rsid w:val="00073F63"/>
    <w:rsid w:val="00074C28"/>
    <w:rsid w:val="000755E6"/>
    <w:rsid w:val="000764D3"/>
    <w:rsid w:val="00080061"/>
    <w:rsid w:val="000807AF"/>
    <w:rsid w:val="00080A47"/>
    <w:rsid w:val="0008177C"/>
    <w:rsid w:val="00082F77"/>
    <w:rsid w:val="0008367B"/>
    <w:rsid w:val="00084988"/>
    <w:rsid w:val="00085C5A"/>
    <w:rsid w:val="000862FC"/>
    <w:rsid w:val="00086D76"/>
    <w:rsid w:val="00087323"/>
    <w:rsid w:val="000879ED"/>
    <w:rsid w:val="00090108"/>
    <w:rsid w:val="00090DFD"/>
    <w:rsid w:val="000914F9"/>
    <w:rsid w:val="000924A4"/>
    <w:rsid w:val="00093649"/>
    <w:rsid w:val="00096246"/>
    <w:rsid w:val="00097511"/>
    <w:rsid w:val="000A08E2"/>
    <w:rsid w:val="000A0A6E"/>
    <w:rsid w:val="000A2567"/>
    <w:rsid w:val="000A4016"/>
    <w:rsid w:val="000A6C40"/>
    <w:rsid w:val="000B1027"/>
    <w:rsid w:val="000B18BD"/>
    <w:rsid w:val="000B6070"/>
    <w:rsid w:val="000B70D6"/>
    <w:rsid w:val="000B7F7A"/>
    <w:rsid w:val="000C04A1"/>
    <w:rsid w:val="000C194F"/>
    <w:rsid w:val="000C2222"/>
    <w:rsid w:val="000D09ED"/>
    <w:rsid w:val="000D0A87"/>
    <w:rsid w:val="000D0FB1"/>
    <w:rsid w:val="000D11B8"/>
    <w:rsid w:val="000D145B"/>
    <w:rsid w:val="000D5BD1"/>
    <w:rsid w:val="000D6016"/>
    <w:rsid w:val="000D7185"/>
    <w:rsid w:val="000E1CED"/>
    <w:rsid w:val="000E24BD"/>
    <w:rsid w:val="000E29D1"/>
    <w:rsid w:val="000E6F19"/>
    <w:rsid w:val="000F1B3B"/>
    <w:rsid w:val="000F1E3F"/>
    <w:rsid w:val="000F3DBC"/>
    <w:rsid w:val="000F48EC"/>
    <w:rsid w:val="000F5D8D"/>
    <w:rsid w:val="000F6129"/>
    <w:rsid w:val="001017A9"/>
    <w:rsid w:val="00101F34"/>
    <w:rsid w:val="001030E1"/>
    <w:rsid w:val="001033D5"/>
    <w:rsid w:val="001039F7"/>
    <w:rsid w:val="00105409"/>
    <w:rsid w:val="001054DD"/>
    <w:rsid w:val="00107DBD"/>
    <w:rsid w:val="001113D8"/>
    <w:rsid w:val="00113400"/>
    <w:rsid w:val="00113666"/>
    <w:rsid w:val="00114466"/>
    <w:rsid w:val="0011527B"/>
    <w:rsid w:val="001169FE"/>
    <w:rsid w:val="00116D19"/>
    <w:rsid w:val="00117513"/>
    <w:rsid w:val="001206F8"/>
    <w:rsid w:val="001209CD"/>
    <w:rsid w:val="00121E78"/>
    <w:rsid w:val="001230AC"/>
    <w:rsid w:val="001233E9"/>
    <w:rsid w:val="00123F4B"/>
    <w:rsid w:val="00124604"/>
    <w:rsid w:val="001265C0"/>
    <w:rsid w:val="00131481"/>
    <w:rsid w:val="001337B7"/>
    <w:rsid w:val="00133921"/>
    <w:rsid w:val="001344B3"/>
    <w:rsid w:val="0013747E"/>
    <w:rsid w:val="00140C93"/>
    <w:rsid w:val="00143357"/>
    <w:rsid w:val="00143536"/>
    <w:rsid w:val="00144E8B"/>
    <w:rsid w:val="001451B4"/>
    <w:rsid w:val="00145B2F"/>
    <w:rsid w:val="001464B2"/>
    <w:rsid w:val="00150440"/>
    <w:rsid w:val="00151D8E"/>
    <w:rsid w:val="00152E31"/>
    <w:rsid w:val="001552D3"/>
    <w:rsid w:val="001570BC"/>
    <w:rsid w:val="001579BF"/>
    <w:rsid w:val="001601D2"/>
    <w:rsid w:val="00161AA0"/>
    <w:rsid w:val="001644E0"/>
    <w:rsid w:val="001662BC"/>
    <w:rsid w:val="0017072D"/>
    <w:rsid w:val="00170B60"/>
    <w:rsid w:val="00171A2B"/>
    <w:rsid w:val="00176FB2"/>
    <w:rsid w:val="00181403"/>
    <w:rsid w:val="001823EB"/>
    <w:rsid w:val="00184A64"/>
    <w:rsid w:val="00185448"/>
    <w:rsid w:val="00186F9A"/>
    <w:rsid w:val="0018716E"/>
    <w:rsid w:val="001873CB"/>
    <w:rsid w:val="001875B9"/>
    <w:rsid w:val="00190474"/>
    <w:rsid w:val="00191B56"/>
    <w:rsid w:val="00191C26"/>
    <w:rsid w:val="00193945"/>
    <w:rsid w:val="00195008"/>
    <w:rsid w:val="001956FC"/>
    <w:rsid w:val="00196CAC"/>
    <w:rsid w:val="00196FE1"/>
    <w:rsid w:val="0019718A"/>
    <w:rsid w:val="001A1AE2"/>
    <w:rsid w:val="001A35A6"/>
    <w:rsid w:val="001A5561"/>
    <w:rsid w:val="001A65CA"/>
    <w:rsid w:val="001B2DD8"/>
    <w:rsid w:val="001B7E00"/>
    <w:rsid w:val="001C0EF4"/>
    <w:rsid w:val="001C1360"/>
    <w:rsid w:val="001C59E4"/>
    <w:rsid w:val="001D011E"/>
    <w:rsid w:val="001D1918"/>
    <w:rsid w:val="001D1D43"/>
    <w:rsid w:val="001D362B"/>
    <w:rsid w:val="001D5E91"/>
    <w:rsid w:val="001E26FB"/>
    <w:rsid w:val="001E27E5"/>
    <w:rsid w:val="001E2CAF"/>
    <w:rsid w:val="001E3B0C"/>
    <w:rsid w:val="001E4D37"/>
    <w:rsid w:val="001E4E5A"/>
    <w:rsid w:val="001F0C8A"/>
    <w:rsid w:val="001F1400"/>
    <w:rsid w:val="001F1DAA"/>
    <w:rsid w:val="001F2AA8"/>
    <w:rsid w:val="001F6078"/>
    <w:rsid w:val="001F7251"/>
    <w:rsid w:val="002043D4"/>
    <w:rsid w:val="00204B18"/>
    <w:rsid w:val="00204F82"/>
    <w:rsid w:val="0020695A"/>
    <w:rsid w:val="00206E5D"/>
    <w:rsid w:val="0020739A"/>
    <w:rsid w:val="0021081C"/>
    <w:rsid w:val="002119CD"/>
    <w:rsid w:val="00213ED9"/>
    <w:rsid w:val="002152FB"/>
    <w:rsid w:val="002159C9"/>
    <w:rsid w:val="002162BD"/>
    <w:rsid w:val="00217FB0"/>
    <w:rsid w:val="002218BC"/>
    <w:rsid w:val="00222192"/>
    <w:rsid w:val="00222BEA"/>
    <w:rsid w:val="00225439"/>
    <w:rsid w:val="00225F9B"/>
    <w:rsid w:val="00230225"/>
    <w:rsid w:val="00232061"/>
    <w:rsid w:val="00235945"/>
    <w:rsid w:val="00235CAB"/>
    <w:rsid w:val="00235FC8"/>
    <w:rsid w:val="00240870"/>
    <w:rsid w:val="00243920"/>
    <w:rsid w:val="00244A76"/>
    <w:rsid w:val="002470D1"/>
    <w:rsid w:val="00247A62"/>
    <w:rsid w:val="00253EB9"/>
    <w:rsid w:val="002555BE"/>
    <w:rsid w:val="00255679"/>
    <w:rsid w:val="00257B1C"/>
    <w:rsid w:val="002614EA"/>
    <w:rsid w:val="00265B0E"/>
    <w:rsid w:val="00267D9B"/>
    <w:rsid w:val="00270C3B"/>
    <w:rsid w:val="002723DE"/>
    <w:rsid w:val="0028222D"/>
    <w:rsid w:val="00282842"/>
    <w:rsid w:val="00282C30"/>
    <w:rsid w:val="00282D7E"/>
    <w:rsid w:val="00290445"/>
    <w:rsid w:val="002914FD"/>
    <w:rsid w:val="00292044"/>
    <w:rsid w:val="00293811"/>
    <w:rsid w:val="0029552D"/>
    <w:rsid w:val="002961E0"/>
    <w:rsid w:val="002A098B"/>
    <w:rsid w:val="002A151A"/>
    <w:rsid w:val="002A2687"/>
    <w:rsid w:val="002A5C23"/>
    <w:rsid w:val="002A686F"/>
    <w:rsid w:val="002B3340"/>
    <w:rsid w:val="002B5772"/>
    <w:rsid w:val="002B5FCF"/>
    <w:rsid w:val="002B634A"/>
    <w:rsid w:val="002B6D0A"/>
    <w:rsid w:val="002B6D1D"/>
    <w:rsid w:val="002C0551"/>
    <w:rsid w:val="002C257D"/>
    <w:rsid w:val="002C2774"/>
    <w:rsid w:val="002C381D"/>
    <w:rsid w:val="002C481D"/>
    <w:rsid w:val="002D65A7"/>
    <w:rsid w:val="002D79A7"/>
    <w:rsid w:val="002E3F68"/>
    <w:rsid w:val="002E5C16"/>
    <w:rsid w:val="002E73E7"/>
    <w:rsid w:val="002F0AA7"/>
    <w:rsid w:val="002F1B28"/>
    <w:rsid w:val="002F2583"/>
    <w:rsid w:val="002F279A"/>
    <w:rsid w:val="002F2C1A"/>
    <w:rsid w:val="002F4F5B"/>
    <w:rsid w:val="002F5AEC"/>
    <w:rsid w:val="002F68FE"/>
    <w:rsid w:val="00300DF8"/>
    <w:rsid w:val="00302744"/>
    <w:rsid w:val="00303156"/>
    <w:rsid w:val="0030323D"/>
    <w:rsid w:val="003107AB"/>
    <w:rsid w:val="00310F66"/>
    <w:rsid w:val="0031127A"/>
    <w:rsid w:val="00311A01"/>
    <w:rsid w:val="00312C70"/>
    <w:rsid w:val="003140C1"/>
    <w:rsid w:val="003154E8"/>
    <w:rsid w:val="00315C29"/>
    <w:rsid w:val="0031664C"/>
    <w:rsid w:val="00322075"/>
    <w:rsid w:val="00324997"/>
    <w:rsid w:val="003256B1"/>
    <w:rsid w:val="00331545"/>
    <w:rsid w:val="003330E6"/>
    <w:rsid w:val="0033333E"/>
    <w:rsid w:val="00333F88"/>
    <w:rsid w:val="00336478"/>
    <w:rsid w:val="003368C0"/>
    <w:rsid w:val="00343010"/>
    <w:rsid w:val="00343439"/>
    <w:rsid w:val="00343B53"/>
    <w:rsid w:val="003459E9"/>
    <w:rsid w:val="00345E4C"/>
    <w:rsid w:val="003460FC"/>
    <w:rsid w:val="00346BA7"/>
    <w:rsid w:val="00350A88"/>
    <w:rsid w:val="003532F8"/>
    <w:rsid w:val="00354915"/>
    <w:rsid w:val="00364E30"/>
    <w:rsid w:val="00372031"/>
    <w:rsid w:val="003738C2"/>
    <w:rsid w:val="00374B36"/>
    <w:rsid w:val="00382F2E"/>
    <w:rsid w:val="00383594"/>
    <w:rsid w:val="003847B9"/>
    <w:rsid w:val="00385E85"/>
    <w:rsid w:val="0039118D"/>
    <w:rsid w:val="00391AC8"/>
    <w:rsid w:val="00392FB4"/>
    <w:rsid w:val="00394DFF"/>
    <w:rsid w:val="00395C05"/>
    <w:rsid w:val="003A0250"/>
    <w:rsid w:val="003A04CD"/>
    <w:rsid w:val="003A11AB"/>
    <w:rsid w:val="003A18FA"/>
    <w:rsid w:val="003A1F14"/>
    <w:rsid w:val="003A2FC9"/>
    <w:rsid w:val="003A32FC"/>
    <w:rsid w:val="003A3974"/>
    <w:rsid w:val="003A4E43"/>
    <w:rsid w:val="003A5838"/>
    <w:rsid w:val="003A7372"/>
    <w:rsid w:val="003B0B96"/>
    <w:rsid w:val="003B0BC2"/>
    <w:rsid w:val="003B37BB"/>
    <w:rsid w:val="003C36AC"/>
    <w:rsid w:val="003C386C"/>
    <w:rsid w:val="003C7EF9"/>
    <w:rsid w:val="003D1A08"/>
    <w:rsid w:val="003D4B8A"/>
    <w:rsid w:val="003D4D47"/>
    <w:rsid w:val="003D6289"/>
    <w:rsid w:val="003D68D5"/>
    <w:rsid w:val="003D7050"/>
    <w:rsid w:val="003E14CF"/>
    <w:rsid w:val="003E1DD4"/>
    <w:rsid w:val="003E684C"/>
    <w:rsid w:val="003F09EC"/>
    <w:rsid w:val="003F168A"/>
    <w:rsid w:val="003F16B0"/>
    <w:rsid w:val="003F74E4"/>
    <w:rsid w:val="00400C63"/>
    <w:rsid w:val="00406A32"/>
    <w:rsid w:val="00407D59"/>
    <w:rsid w:val="0041525E"/>
    <w:rsid w:val="00415831"/>
    <w:rsid w:val="00415939"/>
    <w:rsid w:val="00417348"/>
    <w:rsid w:val="004204D6"/>
    <w:rsid w:val="00420742"/>
    <w:rsid w:val="00421005"/>
    <w:rsid w:val="004251D9"/>
    <w:rsid w:val="00431372"/>
    <w:rsid w:val="0043281F"/>
    <w:rsid w:val="00433564"/>
    <w:rsid w:val="0043760F"/>
    <w:rsid w:val="00437732"/>
    <w:rsid w:val="00437CA3"/>
    <w:rsid w:val="0044027B"/>
    <w:rsid w:val="0044083E"/>
    <w:rsid w:val="004408F8"/>
    <w:rsid w:val="004422A9"/>
    <w:rsid w:val="004426B2"/>
    <w:rsid w:val="00445964"/>
    <w:rsid w:val="0044648F"/>
    <w:rsid w:val="00446DA2"/>
    <w:rsid w:val="0044787A"/>
    <w:rsid w:val="00451BC3"/>
    <w:rsid w:val="004551C3"/>
    <w:rsid w:val="00457843"/>
    <w:rsid w:val="00460458"/>
    <w:rsid w:val="00462002"/>
    <w:rsid w:val="0046212F"/>
    <w:rsid w:val="00462733"/>
    <w:rsid w:val="00463227"/>
    <w:rsid w:val="00463973"/>
    <w:rsid w:val="00466674"/>
    <w:rsid w:val="00470DDD"/>
    <w:rsid w:val="00471113"/>
    <w:rsid w:val="00471200"/>
    <w:rsid w:val="00472FF8"/>
    <w:rsid w:val="00475F03"/>
    <w:rsid w:val="00477E8E"/>
    <w:rsid w:val="004804B3"/>
    <w:rsid w:val="00481E06"/>
    <w:rsid w:val="004820E9"/>
    <w:rsid w:val="00483119"/>
    <w:rsid w:val="0048361F"/>
    <w:rsid w:val="004845D0"/>
    <w:rsid w:val="004852FF"/>
    <w:rsid w:val="00486063"/>
    <w:rsid w:val="004921C3"/>
    <w:rsid w:val="0049290A"/>
    <w:rsid w:val="00492FDA"/>
    <w:rsid w:val="00494E73"/>
    <w:rsid w:val="00496A07"/>
    <w:rsid w:val="00496AED"/>
    <w:rsid w:val="004A2830"/>
    <w:rsid w:val="004B063F"/>
    <w:rsid w:val="004B4596"/>
    <w:rsid w:val="004B514C"/>
    <w:rsid w:val="004B7D57"/>
    <w:rsid w:val="004C00D8"/>
    <w:rsid w:val="004C3DAD"/>
    <w:rsid w:val="004C5742"/>
    <w:rsid w:val="004C5923"/>
    <w:rsid w:val="004C6116"/>
    <w:rsid w:val="004C7C61"/>
    <w:rsid w:val="004D0DFD"/>
    <w:rsid w:val="004D1FBE"/>
    <w:rsid w:val="004D45BE"/>
    <w:rsid w:val="004D4A86"/>
    <w:rsid w:val="004D5CD9"/>
    <w:rsid w:val="004D6828"/>
    <w:rsid w:val="004D7664"/>
    <w:rsid w:val="004E074F"/>
    <w:rsid w:val="004E6427"/>
    <w:rsid w:val="004E7625"/>
    <w:rsid w:val="004E7E43"/>
    <w:rsid w:val="004F1956"/>
    <w:rsid w:val="004F5FC6"/>
    <w:rsid w:val="004F69FA"/>
    <w:rsid w:val="00500FD2"/>
    <w:rsid w:val="005037B2"/>
    <w:rsid w:val="0050455E"/>
    <w:rsid w:val="005047AD"/>
    <w:rsid w:val="0050683B"/>
    <w:rsid w:val="00510B1D"/>
    <w:rsid w:val="0051107D"/>
    <w:rsid w:val="00511167"/>
    <w:rsid w:val="00512362"/>
    <w:rsid w:val="00513E59"/>
    <w:rsid w:val="00515263"/>
    <w:rsid w:val="005203DB"/>
    <w:rsid w:val="00521A52"/>
    <w:rsid w:val="005237B2"/>
    <w:rsid w:val="005249B9"/>
    <w:rsid w:val="005259D7"/>
    <w:rsid w:val="00526C07"/>
    <w:rsid w:val="005273A6"/>
    <w:rsid w:val="00527533"/>
    <w:rsid w:val="0052779F"/>
    <w:rsid w:val="00527E88"/>
    <w:rsid w:val="00532E1B"/>
    <w:rsid w:val="0053387C"/>
    <w:rsid w:val="00533FB5"/>
    <w:rsid w:val="00534A72"/>
    <w:rsid w:val="00534F74"/>
    <w:rsid w:val="00536789"/>
    <w:rsid w:val="00536A72"/>
    <w:rsid w:val="00536D2F"/>
    <w:rsid w:val="00540052"/>
    <w:rsid w:val="0054146B"/>
    <w:rsid w:val="00541812"/>
    <w:rsid w:val="00542955"/>
    <w:rsid w:val="00543DB4"/>
    <w:rsid w:val="00543E08"/>
    <w:rsid w:val="005449AD"/>
    <w:rsid w:val="00546344"/>
    <w:rsid w:val="005464F4"/>
    <w:rsid w:val="005505ED"/>
    <w:rsid w:val="0055118C"/>
    <w:rsid w:val="005521DC"/>
    <w:rsid w:val="00553862"/>
    <w:rsid w:val="0055457E"/>
    <w:rsid w:val="00557977"/>
    <w:rsid w:val="00557AAA"/>
    <w:rsid w:val="00563C02"/>
    <w:rsid w:val="00564B04"/>
    <w:rsid w:val="00570524"/>
    <w:rsid w:val="005711F2"/>
    <w:rsid w:val="00573059"/>
    <w:rsid w:val="0057621E"/>
    <w:rsid w:val="005766A4"/>
    <w:rsid w:val="00577B05"/>
    <w:rsid w:val="00580D6F"/>
    <w:rsid w:val="005812C6"/>
    <w:rsid w:val="0058382A"/>
    <w:rsid w:val="00583A49"/>
    <w:rsid w:val="005852CF"/>
    <w:rsid w:val="0058680B"/>
    <w:rsid w:val="005948FA"/>
    <w:rsid w:val="00594C9B"/>
    <w:rsid w:val="005959BE"/>
    <w:rsid w:val="00596210"/>
    <w:rsid w:val="00596286"/>
    <w:rsid w:val="00596999"/>
    <w:rsid w:val="00596CA2"/>
    <w:rsid w:val="005A0F31"/>
    <w:rsid w:val="005A28A1"/>
    <w:rsid w:val="005A46D0"/>
    <w:rsid w:val="005A6FB5"/>
    <w:rsid w:val="005B25E4"/>
    <w:rsid w:val="005B2813"/>
    <w:rsid w:val="005B30C8"/>
    <w:rsid w:val="005B7778"/>
    <w:rsid w:val="005C03CC"/>
    <w:rsid w:val="005C051F"/>
    <w:rsid w:val="005C2F45"/>
    <w:rsid w:val="005C6E7B"/>
    <w:rsid w:val="005C762E"/>
    <w:rsid w:val="005D098C"/>
    <w:rsid w:val="005D24F7"/>
    <w:rsid w:val="005D311B"/>
    <w:rsid w:val="005D3FD9"/>
    <w:rsid w:val="005D4595"/>
    <w:rsid w:val="005D5D2C"/>
    <w:rsid w:val="005D7FB3"/>
    <w:rsid w:val="005E2139"/>
    <w:rsid w:val="005E439E"/>
    <w:rsid w:val="005E46BB"/>
    <w:rsid w:val="005E7605"/>
    <w:rsid w:val="005F31F9"/>
    <w:rsid w:val="005F4FE7"/>
    <w:rsid w:val="005F547A"/>
    <w:rsid w:val="005F5F4C"/>
    <w:rsid w:val="006001CC"/>
    <w:rsid w:val="00602B4D"/>
    <w:rsid w:val="00603C94"/>
    <w:rsid w:val="006048E0"/>
    <w:rsid w:val="00604FAD"/>
    <w:rsid w:val="0060662A"/>
    <w:rsid w:val="0060741A"/>
    <w:rsid w:val="00610C09"/>
    <w:rsid w:val="00612789"/>
    <w:rsid w:val="00613D24"/>
    <w:rsid w:val="00614BDA"/>
    <w:rsid w:val="00621AFB"/>
    <w:rsid w:val="0062589A"/>
    <w:rsid w:val="006307C7"/>
    <w:rsid w:val="00632B82"/>
    <w:rsid w:val="006331B4"/>
    <w:rsid w:val="006343F3"/>
    <w:rsid w:val="00640CF2"/>
    <w:rsid w:val="006417D6"/>
    <w:rsid w:val="00642906"/>
    <w:rsid w:val="00643582"/>
    <w:rsid w:val="00643B75"/>
    <w:rsid w:val="006457EF"/>
    <w:rsid w:val="00646474"/>
    <w:rsid w:val="006469AD"/>
    <w:rsid w:val="00650F96"/>
    <w:rsid w:val="006512B7"/>
    <w:rsid w:val="00651C22"/>
    <w:rsid w:val="00655679"/>
    <w:rsid w:val="00655B4D"/>
    <w:rsid w:val="00655ED5"/>
    <w:rsid w:val="00660642"/>
    <w:rsid w:val="00665734"/>
    <w:rsid w:val="0066755D"/>
    <w:rsid w:val="00671977"/>
    <w:rsid w:val="00671D80"/>
    <w:rsid w:val="00672C77"/>
    <w:rsid w:val="00672E18"/>
    <w:rsid w:val="00672EFB"/>
    <w:rsid w:val="006739CF"/>
    <w:rsid w:val="0067752C"/>
    <w:rsid w:val="006776A2"/>
    <w:rsid w:val="006801A6"/>
    <w:rsid w:val="0068124B"/>
    <w:rsid w:val="00681610"/>
    <w:rsid w:val="00684AD6"/>
    <w:rsid w:val="00685A16"/>
    <w:rsid w:val="00685D36"/>
    <w:rsid w:val="00687304"/>
    <w:rsid w:val="00690C74"/>
    <w:rsid w:val="00692C71"/>
    <w:rsid w:val="006931A0"/>
    <w:rsid w:val="006935BC"/>
    <w:rsid w:val="00696C30"/>
    <w:rsid w:val="00696E55"/>
    <w:rsid w:val="006A0B0E"/>
    <w:rsid w:val="006A3A9C"/>
    <w:rsid w:val="006A3CC5"/>
    <w:rsid w:val="006A721F"/>
    <w:rsid w:val="006A7CCF"/>
    <w:rsid w:val="006B0581"/>
    <w:rsid w:val="006B0E59"/>
    <w:rsid w:val="006B0F36"/>
    <w:rsid w:val="006B30FD"/>
    <w:rsid w:val="006B4254"/>
    <w:rsid w:val="006B5692"/>
    <w:rsid w:val="006B5696"/>
    <w:rsid w:val="006B5CB4"/>
    <w:rsid w:val="006B6DCF"/>
    <w:rsid w:val="006B77ED"/>
    <w:rsid w:val="006B791B"/>
    <w:rsid w:val="006C3656"/>
    <w:rsid w:val="006C4793"/>
    <w:rsid w:val="006C5AFC"/>
    <w:rsid w:val="006C6B73"/>
    <w:rsid w:val="006D0EDD"/>
    <w:rsid w:val="006D36FB"/>
    <w:rsid w:val="006D42ED"/>
    <w:rsid w:val="006D44C0"/>
    <w:rsid w:val="006D4D1A"/>
    <w:rsid w:val="006D5982"/>
    <w:rsid w:val="006D73F1"/>
    <w:rsid w:val="006E2A29"/>
    <w:rsid w:val="006E3514"/>
    <w:rsid w:val="006E628E"/>
    <w:rsid w:val="006E7421"/>
    <w:rsid w:val="006E7647"/>
    <w:rsid w:val="006F162C"/>
    <w:rsid w:val="006F1DA8"/>
    <w:rsid w:val="006F22E9"/>
    <w:rsid w:val="006F49DB"/>
    <w:rsid w:val="006F4AE5"/>
    <w:rsid w:val="006F4CFA"/>
    <w:rsid w:val="006F5279"/>
    <w:rsid w:val="006F52B4"/>
    <w:rsid w:val="006F5310"/>
    <w:rsid w:val="006F696E"/>
    <w:rsid w:val="006F6B91"/>
    <w:rsid w:val="007040CB"/>
    <w:rsid w:val="00704102"/>
    <w:rsid w:val="007048E3"/>
    <w:rsid w:val="0070523B"/>
    <w:rsid w:val="00707D16"/>
    <w:rsid w:val="00715E8A"/>
    <w:rsid w:val="00717226"/>
    <w:rsid w:val="00720FDD"/>
    <w:rsid w:val="007213F6"/>
    <w:rsid w:val="00721A2A"/>
    <w:rsid w:val="007221F4"/>
    <w:rsid w:val="00722883"/>
    <w:rsid w:val="00723AF0"/>
    <w:rsid w:val="00727911"/>
    <w:rsid w:val="0073007E"/>
    <w:rsid w:val="007311E2"/>
    <w:rsid w:val="00732519"/>
    <w:rsid w:val="0073365B"/>
    <w:rsid w:val="00734F5A"/>
    <w:rsid w:val="0073579D"/>
    <w:rsid w:val="00736D97"/>
    <w:rsid w:val="00737CEF"/>
    <w:rsid w:val="00737DDA"/>
    <w:rsid w:val="007410FD"/>
    <w:rsid w:val="00745969"/>
    <w:rsid w:val="00746B57"/>
    <w:rsid w:val="00747D90"/>
    <w:rsid w:val="007501B9"/>
    <w:rsid w:val="00751CB9"/>
    <w:rsid w:val="00753438"/>
    <w:rsid w:val="00753C02"/>
    <w:rsid w:val="0075624F"/>
    <w:rsid w:val="00756580"/>
    <w:rsid w:val="00756D96"/>
    <w:rsid w:val="00756DD3"/>
    <w:rsid w:val="007576ED"/>
    <w:rsid w:val="007620C2"/>
    <w:rsid w:val="00763641"/>
    <w:rsid w:val="007668BA"/>
    <w:rsid w:val="00766EA2"/>
    <w:rsid w:val="00767C13"/>
    <w:rsid w:val="00770596"/>
    <w:rsid w:val="0077277D"/>
    <w:rsid w:val="007747D4"/>
    <w:rsid w:val="00774963"/>
    <w:rsid w:val="00774AA2"/>
    <w:rsid w:val="00781B7F"/>
    <w:rsid w:val="00782DCB"/>
    <w:rsid w:val="00784156"/>
    <w:rsid w:val="00790173"/>
    <w:rsid w:val="00791280"/>
    <w:rsid w:val="007933B3"/>
    <w:rsid w:val="00794D72"/>
    <w:rsid w:val="00797FE1"/>
    <w:rsid w:val="007A048E"/>
    <w:rsid w:val="007A19AF"/>
    <w:rsid w:val="007A1E9D"/>
    <w:rsid w:val="007A2801"/>
    <w:rsid w:val="007A4BE9"/>
    <w:rsid w:val="007A4EEE"/>
    <w:rsid w:val="007A6DAA"/>
    <w:rsid w:val="007A7EC8"/>
    <w:rsid w:val="007B032C"/>
    <w:rsid w:val="007B1AF8"/>
    <w:rsid w:val="007B2A16"/>
    <w:rsid w:val="007B4159"/>
    <w:rsid w:val="007B4B3F"/>
    <w:rsid w:val="007B54B0"/>
    <w:rsid w:val="007B787D"/>
    <w:rsid w:val="007B7B7B"/>
    <w:rsid w:val="007C3165"/>
    <w:rsid w:val="007C58D6"/>
    <w:rsid w:val="007C732D"/>
    <w:rsid w:val="007C78CF"/>
    <w:rsid w:val="007D088D"/>
    <w:rsid w:val="007D1008"/>
    <w:rsid w:val="007D3137"/>
    <w:rsid w:val="007D33AD"/>
    <w:rsid w:val="007D5B27"/>
    <w:rsid w:val="007D5C80"/>
    <w:rsid w:val="007D62AE"/>
    <w:rsid w:val="007D729D"/>
    <w:rsid w:val="007E013D"/>
    <w:rsid w:val="007E2754"/>
    <w:rsid w:val="007E5818"/>
    <w:rsid w:val="007E58B3"/>
    <w:rsid w:val="007E61A7"/>
    <w:rsid w:val="007E65D7"/>
    <w:rsid w:val="007E67FC"/>
    <w:rsid w:val="007F227E"/>
    <w:rsid w:val="007F3D6E"/>
    <w:rsid w:val="007F6249"/>
    <w:rsid w:val="0080089C"/>
    <w:rsid w:val="008028C8"/>
    <w:rsid w:val="00803318"/>
    <w:rsid w:val="00803456"/>
    <w:rsid w:val="0080390A"/>
    <w:rsid w:val="0080676F"/>
    <w:rsid w:val="00811BBD"/>
    <w:rsid w:val="00812976"/>
    <w:rsid w:val="00814DEF"/>
    <w:rsid w:val="008165E3"/>
    <w:rsid w:val="0082239E"/>
    <w:rsid w:val="00825A87"/>
    <w:rsid w:val="00831B9B"/>
    <w:rsid w:val="00832381"/>
    <w:rsid w:val="00835008"/>
    <w:rsid w:val="0083733E"/>
    <w:rsid w:val="00842A7E"/>
    <w:rsid w:val="00844D3D"/>
    <w:rsid w:val="0084532E"/>
    <w:rsid w:val="00845810"/>
    <w:rsid w:val="00845F3C"/>
    <w:rsid w:val="00846159"/>
    <w:rsid w:val="008505C3"/>
    <w:rsid w:val="00851677"/>
    <w:rsid w:val="008522C6"/>
    <w:rsid w:val="00852E40"/>
    <w:rsid w:val="00852EAB"/>
    <w:rsid w:val="00857A90"/>
    <w:rsid w:val="00857CDD"/>
    <w:rsid w:val="00860EA8"/>
    <w:rsid w:val="00863A08"/>
    <w:rsid w:val="0086472B"/>
    <w:rsid w:val="00864EEA"/>
    <w:rsid w:val="00865B83"/>
    <w:rsid w:val="00866494"/>
    <w:rsid w:val="00866CC6"/>
    <w:rsid w:val="008728F6"/>
    <w:rsid w:val="0087368E"/>
    <w:rsid w:val="00876B4D"/>
    <w:rsid w:val="008802D9"/>
    <w:rsid w:val="00880B98"/>
    <w:rsid w:val="00881F26"/>
    <w:rsid w:val="008838A1"/>
    <w:rsid w:val="00884671"/>
    <w:rsid w:val="00884ED4"/>
    <w:rsid w:val="0088685E"/>
    <w:rsid w:val="0088689E"/>
    <w:rsid w:val="00891794"/>
    <w:rsid w:val="00891929"/>
    <w:rsid w:val="00893176"/>
    <w:rsid w:val="00895446"/>
    <w:rsid w:val="0089589C"/>
    <w:rsid w:val="00896683"/>
    <w:rsid w:val="008A05E4"/>
    <w:rsid w:val="008A10A5"/>
    <w:rsid w:val="008A2098"/>
    <w:rsid w:val="008A32D1"/>
    <w:rsid w:val="008A6E16"/>
    <w:rsid w:val="008A7B50"/>
    <w:rsid w:val="008B03D8"/>
    <w:rsid w:val="008B262D"/>
    <w:rsid w:val="008B4108"/>
    <w:rsid w:val="008B4290"/>
    <w:rsid w:val="008B59B9"/>
    <w:rsid w:val="008B61CD"/>
    <w:rsid w:val="008B6820"/>
    <w:rsid w:val="008C2906"/>
    <w:rsid w:val="008C4A61"/>
    <w:rsid w:val="008C4CB3"/>
    <w:rsid w:val="008C4F0F"/>
    <w:rsid w:val="008C6CFD"/>
    <w:rsid w:val="008C7D07"/>
    <w:rsid w:val="008C7F38"/>
    <w:rsid w:val="008D13A4"/>
    <w:rsid w:val="008D3B9E"/>
    <w:rsid w:val="008D4F50"/>
    <w:rsid w:val="008D4F74"/>
    <w:rsid w:val="008D55C9"/>
    <w:rsid w:val="008E5493"/>
    <w:rsid w:val="008E7460"/>
    <w:rsid w:val="008E7585"/>
    <w:rsid w:val="008F2E5C"/>
    <w:rsid w:val="008F646F"/>
    <w:rsid w:val="00906982"/>
    <w:rsid w:val="009076D0"/>
    <w:rsid w:val="00914F38"/>
    <w:rsid w:val="0091776B"/>
    <w:rsid w:val="00920396"/>
    <w:rsid w:val="00926329"/>
    <w:rsid w:val="0092657D"/>
    <w:rsid w:val="00931E1D"/>
    <w:rsid w:val="00932B67"/>
    <w:rsid w:val="009349A8"/>
    <w:rsid w:val="00935018"/>
    <w:rsid w:val="0093671F"/>
    <w:rsid w:val="00937D0C"/>
    <w:rsid w:val="00937F0D"/>
    <w:rsid w:val="00941D1F"/>
    <w:rsid w:val="00942CEF"/>
    <w:rsid w:val="0094366C"/>
    <w:rsid w:val="0094666B"/>
    <w:rsid w:val="009479C0"/>
    <w:rsid w:val="00947CFE"/>
    <w:rsid w:val="00950914"/>
    <w:rsid w:val="00950C51"/>
    <w:rsid w:val="00951973"/>
    <w:rsid w:val="0095252E"/>
    <w:rsid w:val="00952591"/>
    <w:rsid w:val="00952C90"/>
    <w:rsid w:val="00953ADF"/>
    <w:rsid w:val="00953B55"/>
    <w:rsid w:val="00955449"/>
    <w:rsid w:val="0095579B"/>
    <w:rsid w:val="00957E73"/>
    <w:rsid w:val="00960328"/>
    <w:rsid w:val="0096135C"/>
    <w:rsid w:val="00962BC7"/>
    <w:rsid w:val="00965ED3"/>
    <w:rsid w:val="009746D7"/>
    <w:rsid w:val="00974D47"/>
    <w:rsid w:val="009808B4"/>
    <w:rsid w:val="00983391"/>
    <w:rsid w:val="00984821"/>
    <w:rsid w:val="00985144"/>
    <w:rsid w:val="00987030"/>
    <w:rsid w:val="00992604"/>
    <w:rsid w:val="00992B7C"/>
    <w:rsid w:val="009961A7"/>
    <w:rsid w:val="0099716A"/>
    <w:rsid w:val="009A0593"/>
    <w:rsid w:val="009A21CA"/>
    <w:rsid w:val="009A2797"/>
    <w:rsid w:val="009A2C14"/>
    <w:rsid w:val="009A3D97"/>
    <w:rsid w:val="009A3ED6"/>
    <w:rsid w:val="009A598B"/>
    <w:rsid w:val="009A698B"/>
    <w:rsid w:val="009B2D86"/>
    <w:rsid w:val="009B3F94"/>
    <w:rsid w:val="009B5E70"/>
    <w:rsid w:val="009B621A"/>
    <w:rsid w:val="009B672F"/>
    <w:rsid w:val="009B6EAB"/>
    <w:rsid w:val="009B718D"/>
    <w:rsid w:val="009B7CCE"/>
    <w:rsid w:val="009C0BCC"/>
    <w:rsid w:val="009C3FA3"/>
    <w:rsid w:val="009C45A3"/>
    <w:rsid w:val="009C45D9"/>
    <w:rsid w:val="009C5EB3"/>
    <w:rsid w:val="009C6530"/>
    <w:rsid w:val="009C6F32"/>
    <w:rsid w:val="009C75DD"/>
    <w:rsid w:val="009D0714"/>
    <w:rsid w:val="009D2707"/>
    <w:rsid w:val="009D2BEF"/>
    <w:rsid w:val="009D358E"/>
    <w:rsid w:val="009D68BB"/>
    <w:rsid w:val="009D7187"/>
    <w:rsid w:val="009D783B"/>
    <w:rsid w:val="009E01DD"/>
    <w:rsid w:val="009E0AD9"/>
    <w:rsid w:val="009E547A"/>
    <w:rsid w:val="009E609C"/>
    <w:rsid w:val="009E61E4"/>
    <w:rsid w:val="009F30C8"/>
    <w:rsid w:val="009F4054"/>
    <w:rsid w:val="009F4E51"/>
    <w:rsid w:val="009F58D8"/>
    <w:rsid w:val="00A02F7D"/>
    <w:rsid w:val="00A03791"/>
    <w:rsid w:val="00A06657"/>
    <w:rsid w:val="00A12B03"/>
    <w:rsid w:val="00A12DA0"/>
    <w:rsid w:val="00A16DFA"/>
    <w:rsid w:val="00A17C0A"/>
    <w:rsid w:val="00A200C1"/>
    <w:rsid w:val="00A204EF"/>
    <w:rsid w:val="00A22B58"/>
    <w:rsid w:val="00A22FA7"/>
    <w:rsid w:val="00A238D0"/>
    <w:rsid w:val="00A30034"/>
    <w:rsid w:val="00A32EE3"/>
    <w:rsid w:val="00A33919"/>
    <w:rsid w:val="00A346B2"/>
    <w:rsid w:val="00A3601F"/>
    <w:rsid w:val="00A36968"/>
    <w:rsid w:val="00A36EC5"/>
    <w:rsid w:val="00A41149"/>
    <w:rsid w:val="00A44745"/>
    <w:rsid w:val="00A44903"/>
    <w:rsid w:val="00A44F15"/>
    <w:rsid w:val="00A47959"/>
    <w:rsid w:val="00A47B7B"/>
    <w:rsid w:val="00A50621"/>
    <w:rsid w:val="00A5152A"/>
    <w:rsid w:val="00A54175"/>
    <w:rsid w:val="00A56809"/>
    <w:rsid w:val="00A5698D"/>
    <w:rsid w:val="00A60D9A"/>
    <w:rsid w:val="00A63A07"/>
    <w:rsid w:val="00A64A5D"/>
    <w:rsid w:val="00A654A2"/>
    <w:rsid w:val="00A668FA"/>
    <w:rsid w:val="00A67183"/>
    <w:rsid w:val="00A70079"/>
    <w:rsid w:val="00A72CAF"/>
    <w:rsid w:val="00A76391"/>
    <w:rsid w:val="00A76452"/>
    <w:rsid w:val="00A83F5F"/>
    <w:rsid w:val="00A84DF8"/>
    <w:rsid w:val="00A86245"/>
    <w:rsid w:val="00A86D3D"/>
    <w:rsid w:val="00A9013E"/>
    <w:rsid w:val="00A915F3"/>
    <w:rsid w:val="00A94B17"/>
    <w:rsid w:val="00A94F1F"/>
    <w:rsid w:val="00A95347"/>
    <w:rsid w:val="00A97A0C"/>
    <w:rsid w:val="00AA349C"/>
    <w:rsid w:val="00AA471D"/>
    <w:rsid w:val="00AA4B1C"/>
    <w:rsid w:val="00AA5CFC"/>
    <w:rsid w:val="00AA6188"/>
    <w:rsid w:val="00AA61B2"/>
    <w:rsid w:val="00AA71FF"/>
    <w:rsid w:val="00AA7DAD"/>
    <w:rsid w:val="00AA7E33"/>
    <w:rsid w:val="00AB265E"/>
    <w:rsid w:val="00AB2948"/>
    <w:rsid w:val="00AB39FA"/>
    <w:rsid w:val="00AB3B30"/>
    <w:rsid w:val="00AB426C"/>
    <w:rsid w:val="00AB451C"/>
    <w:rsid w:val="00AB463A"/>
    <w:rsid w:val="00AB59F2"/>
    <w:rsid w:val="00AC0E55"/>
    <w:rsid w:val="00AC101D"/>
    <w:rsid w:val="00AC3A39"/>
    <w:rsid w:val="00AC3E62"/>
    <w:rsid w:val="00AC5620"/>
    <w:rsid w:val="00AC5AF9"/>
    <w:rsid w:val="00AC6192"/>
    <w:rsid w:val="00AC6405"/>
    <w:rsid w:val="00AD1212"/>
    <w:rsid w:val="00AD1B81"/>
    <w:rsid w:val="00AD2F03"/>
    <w:rsid w:val="00AD57FE"/>
    <w:rsid w:val="00AD6079"/>
    <w:rsid w:val="00AD6933"/>
    <w:rsid w:val="00AD6B7B"/>
    <w:rsid w:val="00AD7CAB"/>
    <w:rsid w:val="00AE04A6"/>
    <w:rsid w:val="00AE07F5"/>
    <w:rsid w:val="00AE0D6A"/>
    <w:rsid w:val="00AE10BE"/>
    <w:rsid w:val="00AE16C9"/>
    <w:rsid w:val="00AE25A2"/>
    <w:rsid w:val="00AE3EF5"/>
    <w:rsid w:val="00AE423A"/>
    <w:rsid w:val="00AE4408"/>
    <w:rsid w:val="00AE471D"/>
    <w:rsid w:val="00AE4F2A"/>
    <w:rsid w:val="00AE5F33"/>
    <w:rsid w:val="00AE79C1"/>
    <w:rsid w:val="00AF0AD5"/>
    <w:rsid w:val="00AF15E6"/>
    <w:rsid w:val="00AF51E7"/>
    <w:rsid w:val="00AF6744"/>
    <w:rsid w:val="00B05620"/>
    <w:rsid w:val="00B0723C"/>
    <w:rsid w:val="00B12E05"/>
    <w:rsid w:val="00B12EBE"/>
    <w:rsid w:val="00B13113"/>
    <w:rsid w:val="00B139E9"/>
    <w:rsid w:val="00B16431"/>
    <w:rsid w:val="00B166A4"/>
    <w:rsid w:val="00B219B7"/>
    <w:rsid w:val="00B2215D"/>
    <w:rsid w:val="00B23AB0"/>
    <w:rsid w:val="00B25038"/>
    <w:rsid w:val="00B27FF1"/>
    <w:rsid w:val="00B3159A"/>
    <w:rsid w:val="00B31FB8"/>
    <w:rsid w:val="00B33465"/>
    <w:rsid w:val="00B34B24"/>
    <w:rsid w:val="00B35C09"/>
    <w:rsid w:val="00B379C5"/>
    <w:rsid w:val="00B4183F"/>
    <w:rsid w:val="00B42198"/>
    <w:rsid w:val="00B4619F"/>
    <w:rsid w:val="00B46AD2"/>
    <w:rsid w:val="00B46C7F"/>
    <w:rsid w:val="00B50239"/>
    <w:rsid w:val="00B614D0"/>
    <w:rsid w:val="00B64BBE"/>
    <w:rsid w:val="00B65915"/>
    <w:rsid w:val="00B65D17"/>
    <w:rsid w:val="00B65D80"/>
    <w:rsid w:val="00B67DE1"/>
    <w:rsid w:val="00B706D4"/>
    <w:rsid w:val="00B70CC6"/>
    <w:rsid w:val="00B73894"/>
    <w:rsid w:val="00B776B5"/>
    <w:rsid w:val="00B8193F"/>
    <w:rsid w:val="00B82A82"/>
    <w:rsid w:val="00B8464A"/>
    <w:rsid w:val="00B8473D"/>
    <w:rsid w:val="00B85EBF"/>
    <w:rsid w:val="00B90410"/>
    <w:rsid w:val="00B90E10"/>
    <w:rsid w:val="00B91375"/>
    <w:rsid w:val="00B959E3"/>
    <w:rsid w:val="00B964CA"/>
    <w:rsid w:val="00B969D7"/>
    <w:rsid w:val="00BA29F6"/>
    <w:rsid w:val="00BA31C4"/>
    <w:rsid w:val="00BA43E6"/>
    <w:rsid w:val="00BA4655"/>
    <w:rsid w:val="00BA78B6"/>
    <w:rsid w:val="00BA7935"/>
    <w:rsid w:val="00BB0192"/>
    <w:rsid w:val="00BB0354"/>
    <w:rsid w:val="00BB047B"/>
    <w:rsid w:val="00BB4818"/>
    <w:rsid w:val="00BB4AF3"/>
    <w:rsid w:val="00BB6117"/>
    <w:rsid w:val="00BB6398"/>
    <w:rsid w:val="00BC1011"/>
    <w:rsid w:val="00BC2307"/>
    <w:rsid w:val="00BC25EF"/>
    <w:rsid w:val="00BC2DAF"/>
    <w:rsid w:val="00BC2EC9"/>
    <w:rsid w:val="00BC4FD3"/>
    <w:rsid w:val="00BC6827"/>
    <w:rsid w:val="00BC6C7A"/>
    <w:rsid w:val="00BC7D9E"/>
    <w:rsid w:val="00BD0372"/>
    <w:rsid w:val="00BD44F5"/>
    <w:rsid w:val="00BD4854"/>
    <w:rsid w:val="00BE0076"/>
    <w:rsid w:val="00BE3489"/>
    <w:rsid w:val="00BE4340"/>
    <w:rsid w:val="00BE5C41"/>
    <w:rsid w:val="00BE7D5B"/>
    <w:rsid w:val="00BF0646"/>
    <w:rsid w:val="00BF188E"/>
    <w:rsid w:val="00BF1C32"/>
    <w:rsid w:val="00BF2BA5"/>
    <w:rsid w:val="00BF70A8"/>
    <w:rsid w:val="00BF76A6"/>
    <w:rsid w:val="00C0068D"/>
    <w:rsid w:val="00C01F23"/>
    <w:rsid w:val="00C044BE"/>
    <w:rsid w:val="00C04BAB"/>
    <w:rsid w:val="00C0607B"/>
    <w:rsid w:val="00C06836"/>
    <w:rsid w:val="00C06DEF"/>
    <w:rsid w:val="00C075A2"/>
    <w:rsid w:val="00C107CB"/>
    <w:rsid w:val="00C118C4"/>
    <w:rsid w:val="00C11F58"/>
    <w:rsid w:val="00C120D7"/>
    <w:rsid w:val="00C132D1"/>
    <w:rsid w:val="00C139CA"/>
    <w:rsid w:val="00C13A7D"/>
    <w:rsid w:val="00C241A8"/>
    <w:rsid w:val="00C24ABA"/>
    <w:rsid w:val="00C2641C"/>
    <w:rsid w:val="00C264CB"/>
    <w:rsid w:val="00C31253"/>
    <w:rsid w:val="00C35129"/>
    <w:rsid w:val="00C40F82"/>
    <w:rsid w:val="00C41197"/>
    <w:rsid w:val="00C419DB"/>
    <w:rsid w:val="00C45330"/>
    <w:rsid w:val="00C461AE"/>
    <w:rsid w:val="00C473BA"/>
    <w:rsid w:val="00C476F1"/>
    <w:rsid w:val="00C51429"/>
    <w:rsid w:val="00C51E8F"/>
    <w:rsid w:val="00C52CE9"/>
    <w:rsid w:val="00C52FC0"/>
    <w:rsid w:val="00C53F9E"/>
    <w:rsid w:val="00C55873"/>
    <w:rsid w:val="00C559E9"/>
    <w:rsid w:val="00C608C1"/>
    <w:rsid w:val="00C61360"/>
    <w:rsid w:val="00C63D4E"/>
    <w:rsid w:val="00C63EA9"/>
    <w:rsid w:val="00C6598A"/>
    <w:rsid w:val="00C665A0"/>
    <w:rsid w:val="00C67025"/>
    <w:rsid w:val="00C67725"/>
    <w:rsid w:val="00C700F3"/>
    <w:rsid w:val="00C7039B"/>
    <w:rsid w:val="00C7092F"/>
    <w:rsid w:val="00C71490"/>
    <w:rsid w:val="00C729AF"/>
    <w:rsid w:val="00C7539F"/>
    <w:rsid w:val="00C76DDA"/>
    <w:rsid w:val="00C807B3"/>
    <w:rsid w:val="00C8243B"/>
    <w:rsid w:val="00C825C9"/>
    <w:rsid w:val="00C86548"/>
    <w:rsid w:val="00C86CC3"/>
    <w:rsid w:val="00C86E37"/>
    <w:rsid w:val="00C87889"/>
    <w:rsid w:val="00C901B1"/>
    <w:rsid w:val="00C90EBC"/>
    <w:rsid w:val="00C91B26"/>
    <w:rsid w:val="00C91B69"/>
    <w:rsid w:val="00C954AC"/>
    <w:rsid w:val="00CA2ACD"/>
    <w:rsid w:val="00CA3856"/>
    <w:rsid w:val="00CA434D"/>
    <w:rsid w:val="00CA5A3F"/>
    <w:rsid w:val="00CA67E0"/>
    <w:rsid w:val="00CB0122"/>
    <w:rsid w:val="00CB0269"/>
    <w:rsid w:val="00CB0833"/>
    <w:rsid w:val="00CB18F5"/>
    <w:rsid w:val="00CB23C4"/>
    <w:rsid w:val="00CB7AD8"/>
    <w:rsid w:val="00CC008E"/>
    <w:rsid w:val="00CC02ED"/>
    <w:rsid w:val="00CC25D0"/>
    <w:rsid w:val="00CC63EB"/>
    <w:rsid w:val="00CC79AC"/>
    <w:rsid w:val="00CC7C60"/>
    <w:rsid w:val="00CD022A"/>
    <w:rsid w:val="00CD03BE"/>
    <w:rsid w:val="00CD0707"/>
    <w:rsid w:val="00CD1457"/>
    <w:rsid w:val="00CD1A25"/>
    <w:rsid w:val="00CD21D9"/>
    <w:rsid w:val="00CD2E16"/>
    <w:rsid w:val="00CD2E27"/>
    <w:rsid w:val="00CD4D2F"/>
    <w:rsid w:val="00CD65E7"/>
    <w:rsid w:val="00CD66DF"/>
    <w:rsid w:val="00CD6E77"/>
    <w:rsid w:val="00CD7BFC"/>
    <w:rsid w:val="00CE07FB"/>
    <w:rsid w:val="00CE2B95"/>
    <w:rsid w:val="00CE2F1A"/>
    <w:rsid w:val="00CE5364"/>
    <w:rsid w:val="00CF0E75"/>
    <w:rsid w:val="00CF0FF0"/>
    <w:rsid w:val="00CF1A11"/>
    <w:rsid w:val="00CF293D"/>
    <w:rsid w:val="00CF30FC"/>
    <w:rsid w:val="00CF4286"/>
    <w:rsid w:val="00CF5941"/>
    <w:rsid w:val="00CF5CB2"/>
    <w:rsid w:val="00D019BA"/>
    <w:rsid w:val="00D01B9F"/>
    <w:rsid w:val="00D03B38"/>
    <w:rsid w:val="00D03F87"/>
    <w:rsid w:val="00D0486C"/>
    <w:rsid w:val="00D04CD4"/>
    <w:rsid w:val="00D07174"/>
    <w:rsid w:val="00D07DB1"/>
    <w:rsid w:val="00D12095"/>
    <w:rsid w:val="00D17381"/>
    <w:rsid w:val="00D21AEC"/>
    <w:rsid w:val="00D22D06"/>
    <w:rsid w:val="00D23E0C"/>
    <w:rsid w:val="00D24772"/>
    <w:rsid w:val="00D26E91"/>
    <w:rsid w:val="00D272A6"/>
    <w:rsid w:val="00D27695"/>
    <w:rsid w:val="00D334D9"/>
    <w:rsid w:val="00D3441D"/>
    <w:rsid w:val="00D355C4"/>
    <w:rsid w:val="00D35F5F"/>
    <w:rsid w:val="00D3612A"/>
    <w:rsid w:val="00D37703"/>
    <w:rsid w:val="00D37DBF"/>
    <w:rsid w:val="00D37F25"/>
    <w:rsid w:val="00D42149"/>
    <w:rsid w:val="00D42F4F"/>
    <w:rsid w:val="00D44141"/>
    <w:rsid w:val="00D46AF5"/>
    <w:rsid w:val="00D470C6"/>
    <w:rsid w:val="00D47B26"/>
    <w:rsid w:val="00D5196A"/>
    <w:rsid w:val="00D56A53"/>
    <w:rsid w:val="00D6324F"/>
    <w:rsid w:val="00D63458"/>
    <w:rsid w:val="00D65B6A"/>
    <w:rsid w:val="00D66D37"/>
    <w:rsid w:val="00D750CC"/>
    <w:rsid w:val="00D758DC"/>
    <w:rsid w:val="00D84369"/>
    <w:rsid w:val="00D84C8F"/>
    <w:rsid w:val="00D873AD"/>
    <w:rsid w:val="00D90BEE"/>
    <w:rsid w:val="00D91AAC"/>
    <w:rsid w:val="00D91C06"/>
    <w:rsid w:val="00D91C9F"/>
    <w:rsid w:val="00D93FD1"/>
    <w:rsid w:val="00D955E5"/>
    <w:rsid w:val="00D95C0A"/>
    <w:rsid w:val="00DA08F5"/>
    <w:rsid w:val="00DA2ADC"/>
    <w:rsid w:val="00DA750B"/>
    <w:rsid w:val="00DA79A4"/>
    <w:rsid w:val="00DB01E2"/>
    <w:rsid w:val="00DB0764"/>
    <w:rsid w:val="00DB1738"/>
    <w:rsid w:val="00DB1A8D"/>
    <w:rsid w:val="00DB3506"/>
    <w:rsid w:val="00DB3D85"/>
    <w:rsid w:val="00DB4B65"/>
    <w:rsid w:val="00DB5A40"/>
    <w:rsid w:val="00DB7A9A"/>
    <w:rsid w:val="00DC3177"/>
    <w:rsid w:val="00DC3276"/>
    <w:rsid w:val="00DC3B40"/>
    <w:rsid w:val="00DC3DD5"/>
    <w:rsid w:val="00DC4890"/>
    <w:rsid w:val="00DC4911"/>
    <w:rsid w:val="00DC5DF2"/>
    <w:rsid w:val="00DD08F8"/>
    <w:rsid w:val="00DD13AB"/>
    <w:rsid w:val="00DD2841"/>
    <w:rsid w:val="00DD323F"/>
    <w:rsid w:val="00DD37D8"/>
    <w:rsid w:val="00DD4EB5"/>
    <w:rsid w:val="00DD5902"/>
    <w:rsid w:val="00DE01A4"/>
    <w:rsid w:val="00DE3E40"/>
    <w:rsid w:val="00DE4597"/>
    <w:rsid w:val="00DE643F"/>
    <w:rsid w:val="00DF1B48"/>
    <w:rsid w:val="00DF49D3"/>
    <w:rsid w:val="00DF6840"/>
    <w:rsid w:val="00E010AB"/>
    <w:rsid w:val="00E015AD"/>
    <w:rsid w:val="00E0233F"/>
    <w:rsid w:val="00E02678"/>
    <w:rsid w:val="00E050EC"/>
    <w:rsid w:val="00E05FA4"/>
    <w:rsid w:val="00E06262"/>
    <w:rsid w:val="00E0748A"/>
    <w:rsid w:val="00E103B7"/>
    <w:rsid w:val="00E128A9"/>
    <w:rsid w:val="00E143DA"/>
    <w:rsid w:val="00E14BA3"/>
    <w:rsid w:val="00E14F9C"/>
    <w:rsid w:val="00E15864"/>
    <w:rsid w:val="00E16744"/>
    <w:rsid w:val="00E174B2"/>
    <w:rsid w:val="00E23081"/>
    <w:rsid w:val="00E2463E"/>
    <w:rsid w:val="00E24CDE"/>
    <w:rsid w:val="00E25953"/>
    <w:rsid w:val="00E27F1B"/>
    <w:rsid w:val="00E27F5A"/>
    <w:rsid w:val="00E324D8"/>
    <w:rsid w:val="00E32BEA"/>
    <w:rsid w:val="00E32F5B"/>
    <w:rsid w:val="00E35E94"/>
    <w:rsid w:val="00E3799F"/>
    <w:rsid w:val="00E37DA2"/>
    <w:rsid w:val="00E4121B"/>
    <w:rsid w:val="00E42FA4"/>
    <w:rsid w:val="00E43ACF"/>
    <w:rsid w:val="00E43B5E"/>
    <w:rsid w:val="00E449C2"/>
    <w:rsid w:val="00E45864"/>
    <w:rsid w:val="00E45F63"/>
    <w:rsid w:val="00E4622C"/>
    <w:rsid w:val="00E47F40"/>
    <w:rsid w:val="00E51FFB"/>
    <w:rsid w:val="00E520E0"/>
    <w:rsid w:val="00E52DD3"/>
    <w:rsid w:val="00E5471E"/>
    <w:rsid w:val="00E558A4"/>
    <w:rsid w:val="00E576D9"/>
    <w:rsid w:val="00E65C33"/>
    <w:rsid w:val="00E65C76"/>
    <w:rsid w:val="00E65EA1"/>
    <w:rsid w:val="00E6605D"/>
    <w:rsid w:val="00E6611F"/>
    <w:rsid w:val="00E67A01"/>
    <w:rsid w:val="00E7290E"/>
    <w:rsid w:val="00E7632E"/>
    <w:rsid w:val="00E766FB"/>
    <w:rsid w:val="00E80344"/>
    <w:rsid w:val="00E9168B"/>
    <w:rsid w:val="00E91A28"/>
    <w:rsid w:val="00E923A0"/>
    <w:rsid w:val="00E9265B"/>
    <w:rsid w:val="00E92C98"/>
    <w:rsid w:val="00E95253"/>
    <w:rsid w:val="00E95569"/>
    <w:rsid w:val="00E978F3"/>
    <w:rsid w:val="00E97F8B"/>
    <w:rsid w:val="00EA1CB1"/>
    <w:rsid w:val="00EA22C6"/>
    <w:rsid w:val="00EA2EBC"/>
    <w:rsid w:val="00EA3E78"/>
    <w:rsid w:val="00EA3F76"/>
    <w:rsid w:val="00EA6125"/>
    <w:rsid w:val="00EA7659"/>
    <w:rsid w:val="00EB0F99"/>
    <w:rsid w:val="00EB1E40"/>
    <w:rsid w:val="00EB2A35"/>
    <w:rsid w:val="00EC0435"/>
    <w:rsid w:val="00EC70D9"/>
    <w:rsid w:val="00EC7180"/>
    <w:rsid w:val="00EC7A2C"/>
    <w:rsid w:val="00ED10C4"/>
    <w:rsid w:val="00ED209D"/>
    <w:rsid w:val="00ED418D"/>
    <w:rsid w:val="00ED46C4"/>
    <w:rsid w:val="00ED5F88"/>
    <w:rsid w:val="00ED664B"/>
    <w:rsid w:val="00ED7359"/>
    <w:rsid w:val="00ED7C2E"/>
    <w:rsid w:val="00EE3D92"/>
    <w:rsid w:val="00EE5111"/>
    <w:rsid w:val="00EF157F"/>
    <w:rsid w:val="00EF2730"/>
    <w:rsid w:val="00EF28D7"/>
    <w:rsid w:val="00EF5550"/>
    <w:rsid w:val="00EF7044"/>
    <w:rsid w:val="00F010C6"/>
    <w:rsid w:val="00F01D63"/>
    <w:rsid w:val="00F03786"/>
    <w:rsid w:val="00F03AB8"/>
    <w:rsid w:val="00F05D09"/>
    <w:rsid w:val="00F05E37"/>
    <w:rsid w:val="00F07897"/>
    <w:rsid w:val="00F07EF7"/>
    <w:rsid w:val="00F112AC"/>
    <w:rsid w:val="00F130AD"/>
    <w:rsid w:val="00F14E6B"/>
    <w:rsid w:val="00F14FEA"/>
    <w:rsid w:val="00F2002D"/>
    <w:rsid w:val="00F22093"/>
    <w:rsid w:val="00F227E8"/>
    <w:rsid w:val="00F24647"/>
    <w:rsid w:val="00F24875"/>
    <w:rsid w:val="00F2587D"/>
    <w:rsid w:val="00F25A4F"/>
    <w:rsid w:val="00F26374"/>
    <w:rsid w:val="00F26A9F"/>
    <w:rsid w:val="00F30DE4"/>
    <w:rsid w:val="00F31CE2"/>
    <w:rsid w:val="00F331B5"/>
    <w:rsid w:val="00F34AF9"/>
    <w:rsid w:val="00F41B8F"/>
    <w:rsid w:val="00F41E62"/>
    <w:rsid w:val="00F45725"/>
    <w:rsid w:val="00F47B58"/>
    <w:rsid w:val="00F47BED"/>
    <w:rsid w:val="00F53521"/>
    <w:rsid w:val="00F53991"/>
    <w:rsid w:val="00F54105"/>
    <w:rsid w:val="00F61722"/>
    <w:rsid w:val="00F617C6"/>
    <w:rsid w:val="00F6208E"/>
    <w:rsid w:val="00F66A33"/>
    <w:rsid w:val="00F66F7C"/>
    <w:rsid w:val="00F67569"/>
    <w:rsid w:val="00F70BA5"/>
    <w:rsid w:val="00F71818"/>
    <w:rsid w:val="00F73842"/>
    <w:rsid w:val="00F73B39"/>
    <w:rsid w:val="00F74981"/>
    <w:rsid w:val="00F75C04"/>
    <w:rsid w:val="00F81F50"/>
    <w:rsid w:val="00F84B49"/>
    <w:rsid w:val="00F84FD1"/>
    <w:rsid w:val="00F869DA"/>
    <w:rsid w:val="00F90692"/>
    <w:rsid w:val="00F95772"/>
    <w:rsid w:val="00F9660C"/>
    <w:rsid w:val="00FA0168"/>
    <w:rsid w:val="00FA0846"/>
    <w:rsid w:val="00FA1E23"/>
    <w:rsid w:val="00FA27ED"/>
    <w:rsid w:val="00FA489A"/>
    <w:rsid w:val="00FB272F"/>
    <w:rsid w:val="00FB2CA2"/>
    <w:rsid w:val="00FB3236"/>
    <w:rsid w:val="00FB4289"/>
    <w:rsid w:val="00FB5140"/>
    <w:rsid w:val="00FB580C"/>
    <w:rsid w:val="00FC0149"/>
    <w:rsid w:val="00FC1824"/>
    <w:rsid w:val="00FC1C6F"/>
    <w:rsid w:val="00FC2985"/>
    <w:rsid w:val="00FC6C51"/>
    <w:rsid w:val="00FC7254"/>
    <w:rsid w:val="00FD008B"/>
    <w:rsid w:val="00FD0E0E"/>
    <w:rsid w:val="00FD103A"/>
    <w:rsid w:val="00FD12A2"/>
    <w:rsid w:val="00FD4144"/>
    <w:rsid w:val="00FD424D"/>
    <w:rsid w:val="00FD5803"/>
    <w:rsid w:val="00FD79D1"/>
    <w:rsid w:val="00FE2CE3"/>
    <w:rsid w:val="00FE2CF0"/>
    <w:rsid w:val="00FE7F11"/>
    <w:rsid w:val="00FF20D4"/>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69DFD"/>
  <w15:chartTrackingRefBased/>
  <w15:docId w15:val="{A8802DE4-34E8-41AA-AD63-04CD2C6A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qFormat/>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paragraph" w:customStyle="1" w:styleId="Bullets">
    <w:name w:val="Bullets"/>
    <w:basedOn w:val="Normal"/>
    <w:uiPriority w:val="5"/>
    <w:qFormat/>
    <w:rsid w:val="004B063F"/>
    <w:pPr>
      <w:spacing w:after="120" w:line="276" w:lineRule="auto"/>
      <w:ind w:left="1134" w:hanging="454"/>
    </w:pPr>
    <w:rPr>
      <w:rFonts w:ascii="Arial" w:hAnsi="Arial"/>
      <w:lang w:eastAsia="en-GB"/>
    </w:rPr>
  </w:style>
  <w:style w:type="paragraph" w:customStyle="1" w:styleId="Paragraphnonumbers">
    <w:name w:val="Paragraph no numbers"/>
    <w:basedOn w:val="Normal"/>
    <w:uiPriority w:val="99"/>
    <w:qFormat/>
    <w:rsid w:val="004B063F"/>
    <w:pPr>
      <w:spacing w:after="240" w:line="276" w:lineRule="auto"/>
    </w:pPr>
    <w:rPr>
      <w:rFonts w:ascii="Arial" w:hAnsi="Arial"/>
      <w:lang w:eastAsia="en-GB"/>
    </w:rPr>
  </w:style>
  <w:style w:type="paragraph" w:styleId="NormalWeb">
    <w:name w:val="Normal (Web)"/>
    <w:basedOn w:val="Normal"/>
    <w:uiPriority w:val="99"/>
    <w:unhideWhenUsed/>
    <w:rsid w:val="00FA1E2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495">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894193930">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39250364">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358264944">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41265903">
      <w:bodyDiv w:val="1"/>
      <w:marLeft w:val="0"/>
      <w:marRight w:val="0"/>
      <w:marTop w:val="0"/>
      <w:marBottom w:val="0"/>
      <w:divBdr>
        <w:top w:val="none" w:sz="0" w:space="0" w:color="auto"/>
        <w:left w:val="none" w:sz="0" w:space="0" w:color="auto"/>
        <w:bottom w:val="none" w:sz="0" w:space="0" w:color="auto"/>
        <w:right w:val="none" w:sz="0" w:space="0" w:color="auto"/>
      </w:divBdr>
    </w:div>
    <w:div w:id="1843010961">
      <w:bodyDiv w:val="1"/>
      <w:marLeft w:val="0"/>
      <w:marRight w:val="0"/>
      <w:marTop w:val="0"/>
      <w:marBottom w:val="0"/>
      <w:divBdr>
        <w:top w:val="none" w:sz="0" w:space="0" w:color="auto"/>
        <w:left w:val="none" w:sz="0" w:space="0" w:color="auto"/>
        <w:bottom w:val="none" w:sz="0" w:space="0" w:color="auto"/>
        <w:right w:val="none" w:sz="0" w:space="0" w:color="auto"/>
      </w:divBdr>
      <w:divsChild>
        <w:div w:id="942154751">
          <w:marLeft w:val="547"/>
          <w:marRight w:val="0"/>
          <w:marTop w:val="60"/>
          <w:marBottom w:val="40"/>
          <w:divBdr>
            <w:top w:val="none" w:sz="0" w:space="0" w:color="auto"/>
            <w:left w:val="none" w:sz="0" w:space="0" w:color="auto"/>
            <w:bottom w:val="none" w:sz="0" w:space="0" w:color="auto"/>
            <w:right w:val="none" w:sz="0" w:space="0" w:color="auto"/>
          </w:divBdr>
        </w:div>
      </w:divsChild>
    </w:div>
    <w:div w:id="1872263196">
      <w:bodyDiv w:val="1"/>
      <w:marLeft w:val="0"/>
      <w:marRight w:val="0"/>
      <w:marTop w:val="0"/>
      <w:marBottom w:val="0"/>
      <w:divBdr>
        <w:top w:val="none" w:sz="0" w:space="0" w:color="auto"/>
        <w:left w:val="none" w:sz="0" w:space="0" w:color="auto"/>
        <w:bottom w:val="none" w:sz="0" w:space="0" w:color="auto"/>
        <w:right w:val="none" w:sz="0" w:space="0" w:color="auto"/>
      </w:divBdr>
    </w:div>
    <w:div w:id="1994992332">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product-information/tukysa-epar-product-information_en.pdf" TargetMode="External"/><Relationship Id="rId13" Type="http://schemas.openxmlformats.org/officeDocument/2006/relationships/hyperlink" Target="https://www.nice.org.uk/guidance/ta704" TargetMode="External"/><Relationship Id="rId18" Type="http://schemas.openxmlformats.org/officeDocument/2006/relationships/hyperlink" Target="https://www.nice.org.uk/process/pmg9/chapter/the-appraisal-of-the-evidence-and-structured-decision-makin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ice.org.uk/Guidance/TA458" TargetMode="External"/><Relationship Id="rId17" Type="http://schemas.openxmlformats.org/officeDocument/2006/relationships/hyperlink" Target="https://www.ema.europa.eu/en/documents/product-information/tukysa-epar-product-information_en.pdf" TargetMode="External"/><Relationship Id="rId2" Type="http://schemas.openxmlformats.org/officeDocument/2006/relationships/numbering" Target="numbering.xml"/><Relationship Id="rId16" Type="http://schemas.openxmlformats.org/officeDocument/2006/relationships/hyperlink" Target="https://www.nice.org.uk/guidance/ng99" TargetMode="External"/><Relationship Id="rId20" Type="http://schemas.openxmlformats.org/officeDocument/2006/relationships/hyperlink" Target="https://www.nice.org.uk/get-involved/meetings-in-public/technology-appraisal-committ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3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guidance/ta423" TargetMode="External"/><Relationship Id="rId23" Type="http://schemas.openxmlformats.org/officeDocument/2006/relationships/fontTable" Target="fontTable.xml"/><Relationship Id="rId10" Type="http://schemas.openxmlformats.org/officeDocument/2006/relationships/hyperlink" Target="https://www.nice.org.uk/guidance/ta509" TargetMode="External"/><Relationship Id="rId19" Type="http://schemas.openxmlformats.org/officeDocument/2006/relationships/hyperlink" Target="https://www.nice.org.uk/Get-Involved/Meetings-in-public/Technology-appraisal-Committee/Committee-A-Members" TargetMode="External"/><Relationship Id="rId4" Type="http://schemas.openxmlformats.org/officeDocument/2006/relationships/settings" Target="settings.xml"/><Relationship Id="rId9" Type="http://schemas.openxmlformats.org/officeDocument/2006/relationships/hyperlink" Target="https://www.nice.org.uk/guidance/indevelopment/gid-ta10708/documents" TargetMode="External"/><Relationship Id="rId14" Type="http://schemas.openxmlformats.org/officeDocument/2006/relationships/hyperlink" Target="https://www.nice.org.uk/guidance/cg81"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Appraisals\0%20-%20CNS\ID1603%20Pain%20(chronic,%20osteo)%20-%20tanezumab\13%20-%20ACD\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ACD and FAD template</Template>
  <TotalTime>94</TotalTime>
  <Pages>17</Pages>
  <Words>4457</Words>
  <Characters>27784</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32177</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Sarah Wilkes</dc:creator>
  <cp:keywords/>
  <cp:lastModifiedBy>Gavin Kenny</cp:lastModifiedBy>
  <cp:revision>5</cp:revision>
  <cp:lastPrinted>2012-11-14T14:34:00Z</cp:lastPrinted>
  <dcterms:created xsi:type="dcterms:W3CDTF">2021-10-19T09:45:00Z</dcterms:created>
  <dcterms:modified xsi:type="dcterms:W3CDTF">2021-10-26T08:20:00Z</dcterms:modified>
</cp:coreProperties>
</file>