
<file path=[Content_Types].xml><?xml version="1.0" encoding="utf-8"?>
<Types xmlns="http://schemas.openxmlformats.org/package/2006/content-types">
  <Default Extension="png" ContentType="image/pn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946608" w14:textId="2B0D1B1E" w:rsidR="0065435C" w:rsidRPr="00531318" w:rsidRDefault="0065435C" w:rsidP="0065435C">
      <w:pPr>
        <w:pStyle w:val="Heading1"/>
        <w:spacing w:before="120" w:line="276" w:lineRule="auto"/>
        <w:jc w:val="both"/>
        <w:rPr>
          <w:rFonts w:ascii="Times New Roman" w:hAnsi="Times New Roman" w:cstheme="minorHAnsi"/>
          <w:sz w:val="24"/>
        </w:rPr>
      </w:pPr>
      <w:r w:rsidRPr="00531318">
        <w:rPr>
          <w:rFonts w:ascii="Times New Roman" w:hAnsi="Times New Roman" w:cstheme="minorHAnsi"/>
          <w:sz w:val="24"/>
        </w:rPr>
        <w:br/>
      </w:r>
    </w:p>
    <w:p w14:paraId="211B1E7E" w14:textId="77777777" w:rsidR="0065435C" w:rsidRPr="00531318" w:rsidRDefault="0065435C" w:rsidP="0065435C">
      <w:pPr>
        <w:pStyle w:val="Paragraph"/>
        <w:numPr>
          <w:ilvl w:val="0"/>
          <w:numId w:val="0"/>
        </w:numPr>
        <w:spacing w:before="120" w:after="0"/>
        <w:jc w:val="both"/>
        <w:rPr>
          <w:rFonts w:ascii="Times New Roman" w:hAnsi="Times New Roman" w:cstheme="minorHAnsi"/>
        </w:rPr>
      </w:pPr>
      <w:r w:rsidRPr="00531318">
        <w:rPr>
          <w:rFonts w:ascii="Times New Roman" w:hAnsi="Times New Roman" w:cstheme="minorHAnsi"/>
        </w:rPr>
        <w:t>6</w:t>
      </w:r>
      <w:r w:rsidRPr="00531318">
        <w:rPr>
          <w:rFonts w:ascii="Times New Roman" w:hAnsi="Times New Roman" w:cstheme="minorHAnsi"/>
          <w:vertAlign w:val="superscript"/>
        </w:rPr>
        <w:t>th</w:t>
      </w:r>
      <w:r w:rsidRPr="00531318">
        <w:rPr>
          <w:rFonts w:ascii="Times New Roman" w:hAnsi="Times New Roman" w:cstheme="minorHAnsi"/>
        </w:rPr>
        <w:t xml:space="preserve"> August 2021</w:t>
      </w:r>
    </w:p>
    <w:p w14:paraId="286D9C98" w14:textId="77777777" w:rsidR="0065435C" w:rsidRPr="00531318" w:rsidRDefault="0065435C" w:rsidP="0065435C">
      <w:pPr>
        <w:pStyle w:val="Paragraph"/>
        <w:numPr>
          <w:ilvl w:val="0"/>
          <w:numId w:val="0"/>
        </w:numPr>
        <w:spacing w:before="120" w:after="0"/>
        <w:jc w:val="both"/>
        <w:rPr>
          <w:rFonts w:ascii="Times New Roman" w:hAnsi="Times New Roman" w:cstheme="minorHAnsi"/>
        </w:rPr>
      </w:pPr>
    </w:p>
    <w:p w14:paraId="101D3E60" w14:textId="77777777" w:rsidR="0065435C" w:rsidRPr="00531318" w:rsidRDefault="0065435C" w:rsidP="0065435C">
      <w:pPr>
        <w:pStyle w:val="Paragraph"/>
        <w:numPr>
          <w:ilvl w:val="0"/>
          <w:numId w:val="0"/>
        </w:numPr>
        <w:spacing w:before="120" w:after="0"/>
        <w:jc w:val="both"/>
        <w:rPr>
          <w:rFonts w:ascii="Times New Roman" w:hAnsi="Times New Roman" w:cstheme="minorHAnsi"/>
        </w:rPr>
      </w:pPr>
      <w:r w:rsidRPr="00531318">
        <w:rPr>
          <w:rFonts w:ascii="Times New Roman" w:hAnsi="Times New Roman" w:cstheme="minorHAnsi"/>
        </w:rPr>
        <w:t>Mr Tim Irish</w:t>
      </w:r>
    </w:p>
    <w:p w14:paraId="4CEEA378" w14:textId="77777777" w:rsidR="0065435C" w:rsidRPr="00531318" w:rsidRDefault="0065435C" w:rsidP="0065435C">
      <w:pPr>
        <w:pStyle w:val="Paragraph"/>
        <w:numPr>
          <w:ilvl w:val="0"/>
          <w:numId w:val="0"/>
        </w:numPr>
        <w:spacing w:before="120" w:after="0"/>
        <w:jc w:val="both"/>
        <w:rPr>
          <w:rFonts w:ascii="Times New Roman" w:hAnsi="Times New Roman" w:cstheme="minorHAnsi"/>
        </w:rPr>
      </w:pPr>
      <w:r w:rsidRPr="00531318">
        <w:rPr>
          <w:rFonts w:ascii="Times New Roman" w:hAnsi="Times New Roman" w:cstheme="minorHAnsi"/>
        </w:rPr>
        <w:t>Vice chair</w:t>
      </w:r>
    </w:p>
    <w:p w14:paraId="7A020E14" w14:textId="77777777" w:rsidR="0065435C" w:rsidRPr="00531318" w:rsidRDefault="0065435C" w:rsidP="0065435C">
      <w:pPr>
        <w:pStyle w:val="Paragraph"/>
        <w:numPr>
          <w:ilvl w:val="0"/>
          <w:numId w:val="0"/>
        </w:numPr>
        <w:spacing w:before="120" w:after="0"/>
        <w:jc w:val="both"/>
        <w:rPr>
          <w:rFonts w:ascii="Times New Roman" w:hAnsi="Times New Roman" w:cstheme="minorHAnsi"/>
        </w:rPr>
      </w:pPr>
      <w:r w:rsidRPr="00531318">
        <w:rPr>
          <w:rFonts w:ascii="Times New Roman" w:hAnsi="Times New Roman" w:cstheme="minorHAnsi"/>
        </w:rPr>
        <w:t>National Institute for Health and Care Excellence</w:t>
      </w:r>
    </w:p>
    <w:p w14:paraId="3BE30D27" w14:textId="77777777" w:rsidR="0065435C" w:rsidRPr="00531318" w:rsidRDefault="0065435C" w:rsidP="0065435C">
      <w:pPr>
        <w:pStyle w:val="Paragraph"/>
        <w:numPr>
          <w:ilvl w:val="0"/>
          <w:numId w:val="0"/>
        </w:numPr>
        <w:spacing w:before="120" w:after="0"/>
        <w:jc w:val="both"/>
        <w:rPr>
          <w:rFonts w:ascii="Times New Roman" w:hAnsi="Times New Roman" w:cstheme="minorHAnsi"/>
        </w:rPr>
      </w:pPr>
      <w:r w:rsidRPr="00531318">
        <w:rPr>
          <w:rFonts w:ascii="Times New Roman" w:hAnsi="Times New Roman" w:cstheme="minorHAnsi"/>
        </w:rPr>
        <w:t>2</w:t>
      </w:r>
      <w:r w:rsidRPr="00531318">
        <w:rPr>
          <w:rFonts w:ascii="Times New Roman" w:hAnsi="Times New Roman" w:cstheme="minorHAnsi"/>
          <w:vertAlign w:val="superscript"/>
        </w:rPr>
        <w:t>nd</w:t>
      </w:r>
      <w:r w:rsidRPr="00531318">
        <w:rPr>
          <w:rFonts w:ascii="Times New Roman" w:hAnsi="Times New Roman" w:cstheme="minorHAnsi"/>
        </w:rPr>
        <w:t xml:space="preserve"> Floor</w:t>
      </w:r>
    </w:p>
    <w:p w14:paraId="107C5CA0" w14:textId="77777777" w:rsidR="0065435C" w:rsidRPr="00531318" w:rsidRDefault="0065435C" w:rsidP="0065435C">
      <w:pPr>
        <w:pStyle w:val="Paragraph"/>
        <w:numPr>
          <w:ilvl w:val="0"/>
          <w:numId w:val="0"/>
        </w:numPr>
        <w:spacing w:before="120" w:after="0"/>
        <w:jc w:val="both"/>
        <w:rPr>
          <w:rFonts w:ascii="Times New Roman" w:hAnsi="Times New Roman" w:cstheme="minorHAnsi"/>
        </w:rPr>
      </w:pPr>
      <w:r w:rsidRPr="00531318">
        <w:rPr>
          <w:rFonts w:ascii="Times New Roman" w:hAnsi="Times New Roman" w:cstheme="minorHAnsi"/>
        </w:rPr>
        <w:t>2 Redman Place</w:t>
      </w:r>
    </w:p>
    <w:p w14:paraId="0DFA163B" w14:textId="77777777" w:rsidR="0065435C" w:rsidRPr="00531318" w:rsidRDefault="0065435C" w:rsidP="0065435C">
      <w:pPr>
        <w:pStyle w:val="Paragraph"/>
        <w:numPr>
          <w:ilvl w:val="0"/>
          <w:numId w:val="0"/>
        </w:numPr>
        <w:spacing w:before="120" w:after="0"/>
        <w:jc w:val="both"/>
        <w:rPr>
          <w:rFonts w:ascii="Times New Roman" w:hAnsi="Times New Roman" w:cstheme="minorHAnsi"/>
        </w:rPr>
      </w:pPr>
      <w:r w:rsidRPr="00531318">
        <w:rPr>
          <w:rFonts w:ascii="Times New Roman" w:hAnsi="Times New Roman" w:cstheme="minorHAnsi"/>
        </w:rPr>
        <w:t>London E20 1JQ</w:t>
      </w:r>
    </w:p>
    <w:p w14:paraId="4E33A070" w14:textId="77777777" w:rsidR="0065435C" w:rsidRPr="00531318" w:rsidRDefault="0065435C" w:rsidP="0065435C">
      <w:pPr>
        <w:pStyle w:val="Paragraph"/>
        <w:numPr>
          <w:ilvl w:val="0"/>
          <w:numId w:val="0"/>
        </w:numPr>
        <w:spacing w:before="120" w:after="0"/>
        <w:jc w:val="both"/>
        <w:rPr>
          <w:rFonts w:ascii="Times New Roman" w:hAnsi="Times New Roman" w:cstheme="minorHAnsi"/>
        </w:rPr>
      </w:pPr>
    </w:p>
    <w:p w14:paraId="2D9EBBB6" w14:textId="77777777" w:rsidR="0065435C" w:rsidRPr="00531318" w:rsidRDefault="0065435C" w:rsidP="0065435C">
      <w:pPr>
        <w:pStyle w:val="Paragraph"/>
        <w:numPr>
          <w:ilvl w:val="0"/>
          <w:numId w:val="0"/>
        </w:numPr>
        <w:spacing w:before="120" w:after="0"/>
        <w:jc w:val="both"/>
        <w:rPr>
          <w:rFonts w:ascii="Times New Roman" w:hAnsi="Times New Roman" w:cstheme="minorHAnsi"/>
        </w:rPr>
      </w:pPr>
      <w:r w:rsidRPr="00531318">
        <w:rPr>
          <w:rFonts w:ascii="Times New Roman" w:hAnsi="Times New Roman" w:cstheme="minorHAnsi"/>
        </w:rPr>
        <w:t>Dear Mr Irish,</w:t>
      </w:r>
    </w:p>
    <w:p w14:paraId="3D93F27C" w14:textId="77777777" w:rsidR="0065435C" w:rsidRPr="00531318" w:rsidRDefault="0065435C" w:rsidP="0065435C">
      <w:pPr>
        <w:pStyle w:val="Paragraph"/>
        <w:numPr>
          <w:ilvl w:val="0"/>
          <w:numId w:val="0"/>
        </w:numPr>
        <w:spacing w:before="120" w:after="0"/>
        <w:jc w:val="both"/>
        <w:rPr>
          <w:rFonts w:ascii="Times New Roman" w:hAnsi="Times New Roman" w:cstheme="minorHAnsi"/>
        </w:rPr>
      </w:pPr>
    </w:p>
    <w:p w14:paraId="6FCA4FD1" w14:textId="77777777" w:rsidR="0065435C" w:rsidRPr="00531318" w:rsidRDefault="0065435C" w:rsidP="0065435C">
      <w:pPr>
        <w:pStyle w:val="Paragraph"/>
        <w:numPr>
          <w:ilvl w:val="0"/>
          <w:numId w:val="0"/>
        </w:numPr>
        <w:spacing w:before="120" w:after="0"/>
        <w:jc w:val="both"/>
        <w:rPr>
          <w:rFonts w:ascii="Times New Roman" w:hAnsi="Times New Roman" w:cstheme="minorBidi"/>
          <w:b/>
          <w:bCs/>
        </w:rPr>
      </w:pPr>
      <w:r w:rsidRPr="00531318">
        <w:rPr>
          <w:rFonts w:ascii="Times New Roman" w:hAnsi="Times New Roman" w:cstheme="minorBidi"/>
          <w:b/>
          <w:bCs/>
        </w:rPr>
        <w:t>APPEAL AGAINST THE FINAL APPRAISAL DOCUMENT FOR AVELUMAB FOR MAINTENANCE TREATMENT OF LOCALLY ADVANCED OR METASTATIC UROTHELIAL CANCER AFTER PLATINUM-BASED CHEMOTHERAPY [ID3735]</w:t>
      </w:r>
    </w:p>
    <w:p w14:paraId="3F64FDC9" w14:textId="77777777" w:rsidR="0065435C" w:rsidRPr="00531318" w:rsidRDefault="0065435C" w:rsidP="0065435C">
      <w:pPr>
        <w:pStyle w:val="Paragraph"/>
        <w:numPr>
          <w:ilvl w:val="0"/>
          <w:numId w:val="0"/>
        </w:numPr>
        <w:spacing w:before="120" w:after="0"/>
        <w:jc w:val="both"/>
        <w:rPr>
          <w:rFonts w:ascii="Times New Roman" w:hAnsi="Times New Roman" w:cstheme="minorHAnsi"/>
          <w:b/>
        </w:rPr>
      </w:pPr>
    </w:p>
    <w:p w14:paraId="2068E169" w14:textId="77777777" w:rsidR="0065435C" w:rsidRPr="00531318" w:rsidRDefault="0065435C" w:rsidP="0065435C">
      <w:pPr>
        <w:pStyle w:val="Paragraph"/>
        <w:numPr>
          <w:ilvl w:val="0"/>
          <w:numId w:val="0"/>
        </w:numPr>
        <w:spacing w:before="120" w:after="0"/>
        <w:jc w:val="both"/>
        <w:rPr>
          <w:rFonts w:ascii="Times New Roman" w:hAnsi="Times New Roman" w:cstheme="minorHAnsi"/>
          <w:b/>
        </w:rPr>
      </w:pPr>
      <w:r w:rsidRPr="00531318">
        <w:rPr>
          <w:rFonts w:ascii="Times New Roman" w:hAnsi="Times New Roman" w:cstheme="minorHAnsi"/>
          <w:b/>
          <w:u w:val="single"/>
        </w:rPr>
        <w:t>Executive Summary</w:t>
      </w:r>
    </w:p>
    <w:p w14:paraId="729C475E" w14:textId="77777777" w:rsidR="0065435C" w:rsidRPr="00531318" w:rsidRDefault="0065435C" w:rsidP="0065435C">
      <w:pPr>
        <w:pStyle w:val="Paragraph"/>
        <w:numPr>
          <w:ilvl w:val="0"/>
          <w:numId w:val="0"/>
        </w:numPr>
        <w:spacing w:before="120" w:after="0"/>
        <w:jc w:val="both"/>
        <w:rPr>
          <w:rFonts w:ascii="Times New Roman" w:hAnsi="Times New Roman" w:cstheme="minorBidi"/>
        </w:rPr>
      </w:pPr>
      <w:r w:rsidRPr="00531318">
        <w:rPr>
          <w:rFonts w:ascii="Times New Roman" w:hAnsi="Times New Roman" w:cstheme="minorBidi"/>
        </w:rPr>
        <w:t>Merck</w:t>
      </w:r>
      <w:r w:rsidRPr="00531318">
        <w:rPr>
          <w:rFonts w:ascii="Times New Roman" w:hAnsi="Times New Roman" w:cstheme="minorBidi"/>
          <w:i/>
          <w:iCs/>
        </w:rPr>
        <w:t xml:space="preserve"> </w:t>
      </w:r>
      <w:r w:rsidRPr="00531318">
        <w:rPr>
          <w:rFonts w:ascii="Times New Roman" w:hAnsi="Times New Roman" w:cstheme="minorBidi"/>
        </w:rPr>
        <w:t>Serono and Pfizer (Merck/Pfizer alliance) wish to appeal the above Final Appraisal Document (“FAD”)</w:t>
      </w:r>
      <w:r>
        <w:rPr>
          <w:rFonts w:ascii="Times New Roman" w:hAnsi="Times New Roman" w:cstheme="minorBidi"/>
        </w:rPr>
        <w:t>, in which avelumab is not recommended for routine funding. The Merck/Pfizer alliance are disappointed by the Appraisal Committee’s decision and disagree with the various judgements and assumptions the Committee made on key aspects of the evidence-base. Considering the evidence submitted during the appraisal process and the input of experts, the Committee has reached a conclusion based on the most conservative assumptions available. The Merck/Pfizer alliance therefore wishes to appeal this decision</w:t>
      </w:r>
      <w:r w:rsidRPr="00531318">
        <w:rPr>
          <w:rFonts w:ascii="Times New Roman" w:hAnsi="Times New Roman" w:cstheme="minorBidi"/>
        </w:rPr>
        <w:t xml:space="preserve"> on the following grounds:</w:t>
      </w:r>
    </w:p>
    <w:p w14:paraId="706AD343" w14:textId="77777777" w:rsidR="0065435C" w:rsidRPr="00531318" w:rsidRDefault="0065435C" w:rsidP="0065435C">
      <w:pPr>
        <w:pStyle w:val="Numberedlevel3text"/>
        <w:numPr>
          <w:ilvl w:val="0"/>
          <w:numId w:val="0"/>
        </w:numPr>
        <w:spacing w:before="120" w:after="0" w:line="276" w:lineRule="auto"/>
        <w:jc w:val="both"/>
        <w:rPr>
          <w:rFonts w:ascii="Times New Roman" w:hAnsi="Times New Roman" w:cstheme="minorHAnsi"/>
          <w:b/>
          <w:bCs w:val="0"/>
          <w:lang w:val="en-GB"/>
        </w:rPr>
      </w:pPr>
      <w:r w:rsidRPr="00531318">
        <w:rPr>
          <w:rFonts w:ascii="Times New Roman" w:hAnsi="Times New Roman" w:cstheme="minorHAnsi"/>
          <w:b/>
          <w:bCs w:val="0"/>
        </w:rPr>
        <w:t xml:space="preserve">Ground </w:t>
      </w:r>
      <w:r w:rsidRPr="00531318">
        <w:rPr>
          <w:rFonts w:ascii="Times New Roman" w:hAnsi="Times New Roman" w:cstheme="minorHAnsi"/>
          <w:b/>
          <w:bCs w:val="0"/>
          <w:lang w:val="en-GB"/>
        </w:rPr>
        <w:t>1a</w:t>
      </w:r>
    </w:p>
    <w:p w14:paraId="4D37A3C1" w14:textId="77777777" w:rsidR="0065435C" w:rsidRPr="00A60D52" w:rsidRDefault="0065435C" w:rsidP="00A60D52">
      <w:pPr>
        <w:pStyle w:val="Numberedlevel3text"/>
        <w:numPr>
          <w:ilvl w:val="2"/>
          <w:numId w:val="10"/>
        </w:numPr>
        <w:spacing w:before="120" w:after="0" w:line="276" w:lineRule="auto"/>
        <w:jc w:val="both"/>
        <w:rPr>
          <w:rFonts w:ascii="Times New Roman" w:hAnsi="Times New Roman" w:cstheme="minorBidi"/>
          <w:lang w:val="en-GB"/>
        </w:rPr>
      </w:pPr>
      <w:r w:rsidRPr="00A60D52">
        <w:rPr>
          <w:rFonts w:ascii="Times New Roman" w:hAnsi="Times New Roman" w:cstheme="minorBidi"/>
        </w:rPr>
        <w:t xml:space="preserve">The Committee’s conclusion that </w:t>
      </w:r>
      <w:r w:rsidRPr="00A60D52">
        <w:rPr>
          <w:rFonts w:ascii="Times New Roman" w:hAnsi="Times New Roman" w:cstheme="minorBidi"/>
          <w:lang w:val="en-GB"/>
        </w:rPr>
        <w:t>a stopping rule is inappropriate for avelumab is inconsistent with previous appraisals for immunotherapies (IOs) in metastatic urothelial cancer (mUC).</w:t>
      </w:r>
    </w:p>
    <w:p w14:paraId="6A920B09" w14:textId="77777777" w:rsidR="0065435C" w:rsidRPr="00A60D52" w:rsidRDefault="0065435C" w:rsidP="00A60D52">
      <w:pPr>
        <w:pStyle w:val="Numberedlevel3text"/>
        <w:numPr>
          <w:ilvl w:val="2"/>
          <w:numId w:val="10"/>
        </w:numPr>
        <w:spacing w:before="120" w:after="0" w:line="276" w:lineRule="auto"/>
        <w:jc w:val="both"/>
        <w:rPr>
          <w:rFonts w:ascii="Times New Roman" w:hAnsi="Times New Roman" w:cstheme="minorHAnsi"/>
          <w:lang w:val="en-GB"/>
        </w:rPr>
      </w:pPr>
      <w:bookmarkStart w:id="0" w:name="_Hlk77924816"/>
      <w:r w:rsidRPr="00A60D52">
        <w:rPr>
          <w:rFonts w:ascii="Times New Roman" w:hAnsi="Times New Roman" w:cstheme="minorBidi"/>
          <w:iCs/>
        </w:rPr>
        <w:t>The Committee has relied upon irrelevant considerations in deciding that it would not implement a stopping rule for avelumab</w:t>
      </w:r>
      <w:r w:rsidRPr="00A60D52">
        <w:rPr>
          <w:rFonts w:ascii="Times New Roman" w:hAnsi="Times New Roman" w:cstheme="minorHAnsi"/>
        </w:rPr>
        <w:t xml:space="preserve"> </w:t>
      </w:r>
      <w:bookmarkEnd w:id="0"/>
    </w:p>
    <w:p w14:paraId="7FBE55FF" w14:textId="77777777" w:rsidR="0065435C" w:rsidRPr="00A60D52" w:rsidRDefault="0065435C" w:rsidP="00A60D52">
      <w:pPr>
        <w:pStyle w:val="Numberedlevel3text"/>
        <w:numPr>
          <w:ilvl w:val="2"/>
          <w:numId w:val="10"/>
        </w:numPr>
        <w:spacing w:before="120" w:after="0" w:line="276" w:lineRule="auto"/>
        <w:jc w:val="both"/>
        <w:rPr>
          <w:rFonts w:ascii="Times New Roman" w:hAnsi="Times New Roman" w:cstheme="minorHAnsi"/>
          <w:lang w:val="en-GB"/>
        </w:rPr>
      </w:pPr>
      <w:r w:rsidRPr="00A60D52">
        <w:rPr>
          <w:rFonts w:ascii="Times New Roman" w:hAnsi="Times New Roman" w:cstheme="minorBidi"/>
        </w:rPr>
        <w:t>The Committee has provided no explanation for its concern that it would be difficult for patients to accept discontinuance of treatment after 2 years and for rejecting the evidence of the clinical and patient experts and patient organisations</w:t>
      </w:r>
    </w:p>
    <w:p w14:paraId="43F60FE6" w14:textId="77777777" w:rsidR="0065435C" w:rsidRPr="00A60D52" w:rsidRDefault="0065435C" w:rsidP="00A60D52">
      <w:pPr>
        <w:pStyle w:val="Numberedlevel3text"/>
        <w:numPr>
          <w:ilvl w:val="2"/>
          <w:numId w:val="10"/>
        </w:numPr>
        <w:spacing w:before="120" w:after="0" w:line="276" w:lineRule="auto"/>
        <w:jc w:val="both"/>
        <w:rPr>
          <w:rFonts w:ascii="Times New Roman" w:hAnsi="Times New Roman" w:cstheme="minorHAnsi"/>
          <w:lang w:val="en-GB"/>
        </w:rPr>
      </w:pPr>
      <w:r w:rsidRPr="00A60D52">
        <w:rPr>
          <w:rFonts w:ascii="Times New Roman" w:hAnsi="Times New Roman" w:cstheme="minorBidi"/>
          <w:iCs/>
        </w:rPr>
        <w:lastRenderedPageBreak/>
        <w:t>In view of the Committee’s view that it would be difficult for patients to accept a stopping rule for avelumab at 2 years, despite substantial evidence to the contrary, the clinical and patient experts should have been invited to attend the second meeting of the Appraisal Committee</w:t>
      </w:r>
    </w:p>
    <w:p w14:paraId="51CCB28F" w14:textId="77777777" w:rsidR="0065435C" w:rsidRPr="00A60D52" w:rsidRDefault="0065435C" w:rsidP="00A60D52">
      <w:pPr>
        <w:pStyle w:val="Numberedlevel3text"/>
        <w:numPr>
          <w:ilvl w:val="2"/>
          <w:numId w:val="10"/>
        </w:numPr>
        <w:spacing w:before="120" w:after="0" w:line="276" w:lineRule="auto"/>
        <w:jc w:val="both"/>
        <w:rPr>
          <w:rFonts w:ascii="Times New Roman" w:hAnsi="Times New Roman" w:cstheme="minorHAnsi"/>
          <w:lang w:val="en-GB"/>
        </w:rPr>
      </w:pPr>
      <w:r w:rsidRPr="00A60D52">
        <w:rPr>
          <w:rFonts w:ascii="Times New Roman" w:hAnsi="Times New Roman" w:cstheme="minorHAnsi"/>
        </w:rPr>
        <w:t>In questioning whether the evidence of clinical experts regarding life expectancy corresponded to the population eligible for maintenance treatment with avelumab despite evidence to the contrary, the clinical and patient experts should have been invited to attend the second meeting of the Appraisal Committee (17th June 2021)</w:t>
      </w:r>
    </w:p>
    <w:p w14:paraId="34EB0725" w14:textId="77777777" w:rsidR="0065435C" w:rsidRPr="00A60D52" w:rsidRDefault="0065435C" w:rsidP="00A60D52">
      <w:pPr>
        <w:pStyle w:val="Numberedlevel3text"/>
        <w:numPr>
          <w:ilvl w:val="2"/>
          <w:numId w:val="10"/>
        </w:numPr>
        <w:spacing w:before="120" w:after="0" w:line="276" w:lineRule="auto"/>
        <w:jc w:val="both"/>
        <w:rPr>
          <w:rFonts w:ascii="Times New Roman" w:hAnsi="Times New Roman" w:cstheme="minorHAnsi"/>
        </w:rPr>
      </w:pPr>
      <w:r w:rsidRPr="00A60D52">
        <w:rPr>
          <w:rFonts w:ascii="Times New Roman" w:hAnsi="Times New Roman" w:cstheme="minorHAnsi"/>
        </w:rPr>
        <w:t>The Committee’s conclusion that it is not appropriate to pool health-state utilities across treatment arms is inconsistent with previous appraisals for immunotherapies (IOs) in metastatic urothelial cancer (mUC).</w:t>
      </w:r>
    </w:p>
    <w:p w14:paraId="377DDF33" w14:textId="77777777" w:rsidR="0065435C" w:rsidRPr="00531318" w:rsidRDefault="0065435C" w:rsidP="0065435C">
      <w:pPr>
        <w:pStyle w:val="Numberedlevel3text"/>
        <w:numPr>
          <w:ilvl w:val="2"/>
          <w:numId w:val="0"/>
        </w:numPr>
        <w:spacing w:before="120" w:after="0" w:line="276" w:lineRule="auto"/>
        <w:ind w:left="1134" w:hanging="1134"/>
        <w:jc w:val="both"/>
        <w:rPr>
          <w:rFonts w:ascii="Times New Roman" w:hAnsi="Times New Roman" w:cstheme="minorHAnsi"/>
          <w:b/>
          <w:bCs w:val="0"/>
          <w:lang w:val="en-GB"/>
        </w:rPr>
      </w:pPr>
      <w:r w:rsidRPr="00531318">
        <w:rPr>
          <w:rFonts w:ascii="Times New Roman" w:hAnsi="Times New Roman" w:cstheme="minorBidi"/>
          <w:b/>
          <w:lang w:val="en-GB"/>
        </w:rPr>
        <w:t>Ground 2</w:t>
      </w:r>
    </w:p>
    <w:p w14:paraId="72E86950" w14:textId="77777777" w:rsidR="0065435C" w:rsidRDefault="0065435C" w:rsidP="0065435C">
      <w:pPr>
        <w:pStyle w:val="Numberedlevel3text"/>
        <w:numPr>
          <w:ilvl w:val="2"/>
          <w:numId w:val="0"/>
        </w:numPr>
        <w:spacing w:before="120" w:after="0" w:line="276" w:lineRule="auto"/>
        <w:ind w:left="720" w:hanging="720"/>
        <w:jc w:val="both"/>
        <w:rPr>
          <w:rFonts w:ascii="Times New Roman" w:hAnsi="Times New Roman" w:cstheme="minorBidi"/>
          <w:lang w:val="en-GB"/>
        </w:rPr>
      </w:pPr>
      <w:r w:rsidRPr="00531318">
        <w:rPr>
          <w:rFonts w:ascii="Times New Roman" w:hAnsi="Times New Roman" w:cstheme="minorBidi"/>
        </w:rPr>
        <w:t xml:space="preserve">2.1 </w:t>
      </w:r>
      <w:r w:rsidRPr="00531318">
        <w:rPr>
          <w:rFonts w:ascii="Times New Roman" w:hAnsi="Times New Roman"/>
        </w:rPr>
        <w:tab/>
      </w:r>
      <w:r w:rsidRPr="00531318">
        <w:rPr>
          <w:rFonts w:ascii="Times New Roman" w:hAnsi="Times New Roman"/>
          <w:lang w:val="en-GB"/>
        </w:rPr>
        <w:t xml:space="preserve">In considering </w:t>
      </w:r>
      <w:r w:rsidRPr="00531318">
        <w:rPr>
          <w:rFonts w:ascii="Times New Roman" w:hAnsi="Times New Roman" w:cstheme="minorBidi"/>
          <w:lang w:val="en-GB"/>
        </w:rPr>
        <w:t xml:space="preserve">the application of the end of life criteria, the </w:t>
      </w:r>
      <w:r w:rsidRPr="00531318">
        <w:rPr>
          <w:rFonts w:ascii="Times New Roman" w:hAnsi="Times New Roman" w:cstheme="minorBidi"/>
        </w:rPr>
        <w:t xml:space="preserve">Committee has misapplied the relevant test and reached a conclusion which does not reflect the </w:t>
      </w:r>
      <w:r w:rsidRPr="00531318">
        <w:rPr>
          <w:rFonts w:ascii="Times New Roman" w:hAnsi="Times New Roman" w:cstheme="minorBidi"/>
          <w:lang w:val="en-GB"/>
        </w:rPr>
        <w:t>balance of the evidence</w:t>
      </w:r>
      <w:r>
        <w:rPr>
          <w:rFonts w:ascii="Times New Roman" w:hAnsi="Times New Roman" w:cstheme="minorBidi"/>
          <w:lang w:val="en-GB"/>
        </w:rPr>
        <w:t xml:space="preserve">. </w:t>
      </w:r>
    </w:p>
    <w:p w14:paraId="591D0E55" w14:textId="77777777" w:rsidR="0065435C" w:rsidRPr="00531318" w:rsidRDefault="0065435C" w:rsidP="0065435C">
      <w:pPr>
        <w:pStyle w:val="Numberedlevel3text"/>
        <w:numPr>
          <w:ilvl w:val="2"/>
          <w:numId w:val="0"/>
        </w:numPr>
        <w:spacing w:before="120" w:after="0" w:line="276" w:lineRule="auto"/>
        <w:ind w:left="720" w:hanging="720"/>
        <w:jc w:val="both"/>
        <w:rPr>
          <w:rFonts w:ascii="Times New Roman" w:hAnsi="Times New Roman" w:cstheme="minorBidi"/>
        </w:rPr>
      </w:pPr>
      <w:r>
        <w:rPr>
          <w:rFonts w:ascii="Times New Roman" w:hAnsi="Times New Roman" w:cstheme="minorBidi"/>
          <w:lang w:val="en-GB"/>
        </w:rPr>
        <w:t xml:space="preserve">2.2 </w:t>
      </w:r>
      <w:r>
        <w:rPr>
          <w:rFonts w:ascii="Times New Roman" w:hAnsi="Times New Roman" w:cstheme="minorBidi"/>
          <w:lang w:val="en-GB"/>
        </w:rPr>
        <w:tab/>
      </w:r>
      <w:r w:rsidRPr="00F2471E">
        <w:rPr>
          <w:rFonts w:ascii="Times New Roman" w:hAnsi="Times New Roman" w:cstheme="minorBidi"/>
        </w:rPr>
        <w:t>The Committee’s conclusion that it is not appropriate to pool health-state utilities across treatment arms may have been impacted by a misunderstanding of the impact this has on the ICER</w:t>
      </w:r>
    </w:p>
    <w:p w14:paraId="4ABBBEDA" w14:textId="77777777" w:rsidR="0065435C" w:rsidRPr="00531318" w:rsidRDefault="0065435C" w:rsidP="0065435C">
      <w:pPr>
        <w:pStyle w:val="Numberedlevel3text"/>
        <w:numPr>
          <w:ilvl w:val="2"/>
          <w:numId w:val="0"/>
        </w:numPr>
        <w:spacing w:before="120" w:after="0" w:line="276" w:lineRule="auto"/>
        <w:ind w:left="720" w:hanging="720"/>
        <w:jc w:val="both"/>
        <w:rPr>
          <w:rFonts w:ascii="Times New Roman" w:hAnsi="Times New Roman" w:cstheme="minorHAnsi"/>
          <w:b/>
          <w:u w:val="single"/>
        </w:rPr>
      </w:pPr>
    </w:p>
    <w:p w14:paraId="1F958139" w14:textId="77777777" w:rsidR="0065435C" w:rsidRPr="00531318" w:rsidRDefault="0065435C" w:rsidP="0065435C">
      <w:pPr>
        <w:pStyle w:val="Numberedlevel3text"/>
        <w:numPr>
          <w:ilvl w:val="2"/>
          <w:numId w:val="0"/>
        </w:numPr>
        <w:spacing w:before="120" w:after="0" w:line="276" w:lineRule="auto"/>
        <w:ind w:left="720" w:hanging="720"/>
        <w:jc w:val="both"/>
        <w:rPr>
          <w:rFonts w:ascii="Times New Roman" w:hAnsi="Times New Roman" w:cstheme="minorHAnsi"/>
          <w:b/>
          <w:bCs w:val="0"/>
          <w:u w:val="single"/>
        </w:rPr>
      </w:pPr>
      <w:r w:rsidRPr="00531318">
        <w:rPr>
          <w:rFonts w:ascii="Times New Roman" w:hAnsi="Times New Roman" w:cstheme="minorHAnsi"/>
          <w:b/>
          <w:u w:val="single"/>
        </w:rPr>
        <w:t>Introduction</w:t>
      </w:r>
    </w:p>
    <w:p w14:paraId="458B1AE2" w14:textId="77777777" w:rsidR="0065435C" w:rsidRPr="00531318" w:rsidRDefault="0065435C" w:rsidP="0065435C">
      <w:pPr>
        <w:pStyle w:val="Paragraph"/>
        <w:numPr>
          <w:ilvl w:val="0"/>
          <w:numId w:val="0"/>
        </w:numPr>
        <w:spacing w:before="120" w:after="0"/>
        <w:jc w:val="both"/>
        <w:rPr>
          <w:rFonts w:ascii="Times New Roman" w:hAnsi="Times New Roman" w:cstheme="minorBidi"/>
        </w:rPr>
      </w:pPr>
      <w:r>
        <w:rPr>
          <w:rFonts w:ascii="Times New Roman" w:hAnsi="Times New Roman" w:cstheme="minorBidi"/>
        </w:rPr>
        <w:t xml:space="preserve">A summary of the original </w:t>
      </w:r>
      <w:r w:rsidRPr="00531318">
        <w:rPr>
          <w:rFonts w:ascii="Times New Roman" w:hAnsi="Times New Roman" w:cstheme="minorBidi"/>
        </w:rPr>
        <w:t>Merck</w:t>
      </w:r>
      <w:r>
        <w:rPr>
          <w:rFonts w:ascii="Times New Roman" w:hAnsi="Times New Roman" w:cstheme="minorBidi"/>
        </w:rPr>
        <w:t>/</w:t>
      </w:r>
      <w:r w:rsidRPr="00531318">
        <w:rPr>
          <w:rFonts w:ascii="Times New Roman" w:hAnsi="Times New Roman" w:cstheme="minorBidi"/>
        </w:rPr>
        <w:t>Pfizer Alliance</w:t>
      </w:r>
      <w:r>
        <w:rPr>
          <w:rFonts w:ascii="Times New Roman" w:hAnsi="Times New Roman" w:cstheme="minorBidi"/>
        </w:rPr>
        <w:t xml:space="preserve">’s submission is provided here. It </w:t>
      </w:r>
      <w:r w:rsidRPr="00531318">
        <w:rPr>
          <w:rFonts w:ascii="Times New Roman" w:hAnsi="Times New Roman" w:cstheme="minorBidi"/>
        </w:rPr>
        <w:t>is not intended to replace the details originally supplied to NICE.</w:t>
      </w:r>
    </w:p>
    <w:p w14:paraId="04932C44" w14:textId="77777777" w:rsidR="0065435C" w:rsidRPr="00531318" w:rsidRDefault="0065435C" w:rsidP="0065435C">
      <w:pPr>
        <w:pStyle w:val="Paragraph"/>
        <w:numPr>
          <w:ilvl w:val="0"/>
          <w:numId w:val="0"/>
        </w:numPr>
        <w:spacing w:before="120"/>
        <w:jc w:val="both"/>
        <w:rPr>
          <w:rFonts w:ascii="Times New Roman" w:hAnsi="Times New Roman" w:cstheme="minorBidi"/>
        </w:rPr>
      </w:pPr>
      <w:r w:rsidRPr="00531318">
        <w:rPr>
          <w:rFonts w:ascii="Times New Roman" w:hAnsi="Times New Roman" w:cstheme="minorBidi"/>
        </w:rPr>
        <w:t>Urothelial carcinoma (UC) is the most common type of bladder cancer</w:t>
      </w:r>
      <w:r>
        <w:rPr>
          <w:rFonts w:ascii="Times New Roman" w:hAnsi="Times New Roman" w:cstheme="minorBidi"/>
        </w:rPr>
        <w:t xml:space="preserve"> in the UK</w:t>
      </w:r>
      <w:r w:rsidRPr="00531318">
        <w:rPr>
          <w:rFonts w:ascii="Times New Roman" w:hAnsi="Times New Roman" w:cstheme="minorBidi"/>
        </w:rPr>
        <w:t>, accounting for over 90% of cases</w:t>
      </w:r>
      <w:r>
        <w:rPr>
          <w:rFonts w:ascii="Times New Roman" w:hAnsi="Times New Roman" w:cstheme="minorBidi"/>
        </w:rPr>
        <w:t xml:space="preserve"> (1)</w:t>
      </w:r>
      <w:r w:rsidRPr="00531318">
        <w:rPr>
          <w:rFonts w:ascii="Times New Roman" w:hAnsi="Times New Roman" w:cstheme="minorBidi"/>
        </w:rPr>
        <w:t xml:space="preserve">. In England, the National Cancer Registration and Analysis Service reported 8,686 bladder cancer cases in 2017, of which 1,464 (16.9%) </w:t>
      </w:r>
      <w:r>
        <w:rPr>
          <w:rFonts w:ascii="Times New Roman" w:hAnsi="Times New Roman" w:cstheme="minorBidi"/>
        </w:rPr>
        <w:t xml:space="preserve">(2) </w:t>
      </w:r>
      <w:r w:rsidRPr="00531318">
        <w:rPr>
          <w:rFonts w:ascii="Times New Roman" w:hAnsi="Times New Roman" w:cstheme="minorBidi"/>
        </w:rPr>
        <w:t>were Stage IV (disease that has invaded the pelvic or abdominal wall [T4b], has spread to one or more lymph nodes [N1–N3], or has metastasised to distant sites [M1])</w:t>
      </w:r>
      <w:r>
        <w:rPr>
          <w:rFonts w:ascii="Times New Roman" w:hAnsi="Times New Roman" w:cstheme="minorBidi"/>
        </w:rPr>
        <w:t xml:space="preserve"> (3-5)</w:t>
      </w:r>
      <w:r w:rsidRPr="00531318">
        <w:rPr>
          <w:rFonts w:ascii="Times New Roman" w:hAnsi="Times New Roman" w:cstheme="minorBidi"/>
        </w:rPr>
        <w:t>. In addition, approximately 10–15% and 50% of patients diagnosed at Stage I and Stages II–III, respectively are estimated to progress to Stage IV disease.</w:t>
      </w:r>
      <w:r>
        <w:rPr>
          <w:rFonts w:ascii="Times New Roman" w:hAnsi="Times New Roman" w:cstheme="minorBidi"/>
        </w:rPr>
        <w:t xml:space="preserve"> (6, 7)</w:t>
      </w:r>
    </w:p>
    <w:p w14:paraId="1D15F037" w14:textId="77777777" w:rsidR="0065435C" w:rsidRPr="00531318" w:rsidRDefault="0065435C" w:rsidP="0065435C">
      <w:pPr>
        <w:pStyle w:val="Paragraph"/>
        <w:numPr>
          <w:ilvl w:val="0"/>
          <w:numId w:val="0"/>
        </w:numPr>
        <w:spacing w:before="120" w:after="0"/>
        <w:jc w:val="both"/>
        <w:rPr>
          <w:rFonts w:ascii="Times New Roman" w:hAnsi="Times New Roman" w:cstheme="minorBidi"/>
        </w:rPr>
      </w:pPr>
      <w:r w:rsidRPr="00531318">
        <w:rPr>
          <w:rFonts w:ascii="Times New Roman" w:hAnsi="Times New Roman" w:cstheme="minorBidi"/>
        </w:rPr>
        <w:t>The estimated age-standardised mortality rates in 2018 for bladder cancer were 14.0 and 4.7 per 100,000 population for men and women respectively</w:t>
      </w:r>
      <w:r>
        <w:rPr>
          <w:rFonts w:ascii="Times New Roman" w:hAnsi="Times New Roman" w:cstheme="minorBidi"/>
        </w:rPr>
        <w:t xml:space="preserve"> (8)</w:t>
      </w:r>
      <w:r w:rsidRPr="00531318">
        <w:rPr>
          <w:rFonts w:ascii="Times New Roman" w:hAnsi="Times New Roman" w:cstheme="minorBidi"/>
        </w:rPr>
        <w:t>. Survival is especially poor in patients with locally advanced or metastatic bladder cancer; one- and five-year survival rates for Stage IV disease are 35.7% and &lt;5%, respectively</w:t>
      </w:r>
      <w:r>
        <w:rPr>
          <w:rFonts w:ascii="Times New Roman" w:hAnsi="Times New Roman" w:cstheme="minorBidi"/>
        </w:rPr>
        <w:t xml:space="preserve"> (9-12)</w:t>
      </w:r>
      <w:r w:rsidRPr="00531318">
        <w:rPr>
          <w:rFonts w:ascii="Times New Roman" w:hAnsi="Times New Roman" w:cstheme="minorBidi"/>
        </w:rPr>
        <w:t xml:space="preserve">, with median survival for patients with Stage III–IV UC </w:t>
      </w:r>
      <w:r>
        <w:rPr>
          <w:rFonts w:ascii="Times New Roman" w:hAnsi="Times New Roman" w:cstheme="minorBidi"/>
        </w:rPr>
        <w:t xml:space="preserve">of </w:t>
      </w:r>
      <w:r w:rsidRPr="00531318">
        <w:rPr>
          <w:rFonts w:ascii="Times New Roman" w:hAnsi="Times New Roman" w:cstheme="minorBidi"/>
        </w:rPr>
        <w:t>just 9.47 months</w:t>
      </w:r>
      <w:r>
        <w:rPr>
          <w:rFonts w:ascii="Times New Roman" w:hAnsi="Times New Roman" w:cstheme="minorBidi"/>
        </w:rPr>
        <w:t xml:space="preserve"> (13)</w:t>
      </w:r>
      <w:r w:rsidRPr="00531318">
        <w:rPr>
          <w:rFonts w:ascii="Times New Roman" w:hAnsi="Times New Roman" w:cstheme="minorBidi"/>
        </w:rPr>
        <w:t>.</w:t>
      </w:r>
    </w:p>
    <w:p w14:paraId="6DAD3AB4" w14:textId="77777777" w:rsidR="0065435C" w:rsidRPr="00531318" w:rsidRDefault="0065435C" w:rsidP="0065435C">
      <w:pPr>
        <w:pStyle w:val="Paragraph"/>
        <w:numPr>
          <w:ilvl w:val="0"/>
          <w:numId w:val="0"/>
        </w:numPr>
        <w:spacing w:before="120"/>
        <w:jc w:val="both"/>
        <w:rPr>
          <w:rFonts w:ascii="Times New Roman" w:hAnsi="Times New Roman" w:cstheme="minorBidi"/>
        </w:rPr>
      </w:pPr>
      <w:r w:rsidRPr="00531318">
        <w:rPr>
          <w:rFonts w:ascii="Times New Roman" w:hAnsi="Times New Roman" w:cstheme="minorBidi"/>
        </w:rPr>
        <w:t>Systemic platinum-based chemotherapy regimens are the current standard of care (SoC) for UC in the UK. The majority of patients with locally advanced or metastatic UC respond to first-line platinum-based chemotherapy, with reported objective response rates of 24–70%</w:t>
      </w:r>
      <w:r>
        <w:rPr>
          <w:rFonts w:ascii="Times New Roman" w:hAnsi="Times New Roman" w:cstheme="minorBidi"/>
        </w:rPr>
        <w:t xml:space="preserve"> (14-38)</w:t>
      </w:r>
      <w:r w:rsidRPr="00531318">
        <w:rPr>
          <w:rFonts w:ascii="Times New Roman" w:hAnsi="Times New Roman" w:cstheme="minorBidi"/>
        </w:rPr>
        <w:t>. However, durable responses following first-line chemotherapy are uncommon, while complicated treatment regimens and severe side effects limit their long-term use</w:t>
      </w:r>
      <w:r>
        <w:rPr>
          <w:rFonts w:ascii="Times New Roman" w:hAnsi="Times New Roman" w:cstheme="minorBidi"/>
        </w:rPr>
        <w:t xml:space="preserve"> (39, 40)</w:t>
      </w:r>
      <w:r w:rsidRPr="00531318">
        <w:rPr>
          <w:rFonts w:ascii="Times New Roman" w:hAnsi="Times New Roman" w:cstheme="minorBidi"/>
        </w:rPr>
        <w:t>.</w:t>
      </w:r>
    </w:p>
    <w:p w14:paraId="29B20B98" w14:textId="77777777" w:rsidR="0065435C" w:rsidRPr="00531318" w:rsidRDefault="0065435C" w:rsidP="0065435C">
      <w:pPr>
        <w:pStyle w:val="Paragraph"/>
        <w:numPr>
          <w:ilvl w:val="0"/>
          <w:numId w:val="0"/>
        </w:numPr>
        <w:spacing w:before="120"/>
        <w:jc w:val="both"/>
        <w:rPr>
          <w:rFonts w:ascii="Times New Roman" w:hAnsi="Times New Roman" w:cstheme="minorBidi"/>
        </w:rPr>
      </w:pPr>
      <w:r w:rsidRPr="00531318">
        <w:rPr>
          <w:rFonts w:ascii="Times New Roman" w:hAnsi="Times New Roman" w:cstheme="minorBidi"/>
        </w:rPr>
        <w:lastRenderedPageBreak/>
        <w:t>The short response duration and poor survival of locally advanced or metastatic UC patients on first-line chemotherapy demonstrates a clear unmet need for new treatment approaches. Maintenance therapy following first-line induction chemotherapy is already effective in multiple cancer types, including lung, colorectal, ovarian, lymphomas, and squamous cell carcinoma of the head and neck</w:t>
      </w:r>
      <w:r>
        <w:rPr>
          <w:rFonts w:ascii="Times New Roman" w:hAnsi="Times New Roman" w:cstheme="minorBidi"/>
        </w:rPr>
        <w:t xml:space="preserve"> (41-47)</w:t>
      </w:r>
      <w:r w:rsidRPr="00531318">
        <w:rPr>
          <w:rFonts w:ascii="Times New Roman" w:hAnsi="Times New Roman" w:cstheme="minorBidi"/>
        </w:rPr>
        <w:t>. Given that response to first-line therapy is a predictor of long-term outcomes in a number of cancers, including UC</w:t>
      </w:r>
      <w:r>
        <w:rPr>
          <w:rFonts w:ascii="Times New Roman" w:hAnsi="Times New Roman" w:cstheme="minorBidi"/>
        </w:rPr>
        <w:t xml:space="preserve"> (48-53)</w:t>
      </w:r>
      <w:r w:rsidRPr="00531318">
        <w:rPr>
          <w:rFonts w:ascii="Times New Roman" w:hAnsi="Times New Roman" w:cstheme="minorBidi"/>
        </w:rPr>
        <w:t>, a maintenance therapy that sustains and/or improves response to first-line treatment may significantly improve survival outcomes for patients with locally advanced or metastatic UC. This is particularly relevant when considering that the advanced UC population is typically older and with a high rate of comorbidities and may therefore be unlikely to tolerate second-line therapy</w:t>
      </w:r>
      <w:r>
        <w:rPr>
          <w:rFonts w:ascii="Times New Roman" w:hAnsi="Times New Roman" w:cstheme="minorBidi"/>
        </w:rPr>
        <w:t xml:space="preserve">. </w:t>
      </w:r>
      <w:r w:rsidRPr="00531318">
        <w:rPr>
          <w:rFonts w:ascii="Times New Roman" w:hAnsi="Times New Roman" w:cstheme="minorBidi"/>
        </w:rPr>
        <w:t xml:space="preserve"> –  clinical experts estimate that 60–85% of patients who receive first-line treatment are eligible for second-line therapy</w:t>
      </w:r>
      <w:r>
        <w:rPr>
          <w:rFonts w:ascii="Times New Roman" w:hAnsi="Times New Roman" w:cstheme="minorBidi"/>
        </w:rPr>
        <w:t xml:space="preserve"> (54)</w:t>
      </w:r>
      <w:r w:rsidRPr="00531318">
        <w:rPr>
          <w:rFonts w:ascii="Times New Roman" w:hAnsi="Times New Roman" w:cstheme="minorBidi"/>
        </w:rPr>
        <w:t>.</w:t>
      </w:r>
    </w:p>
    <w:p w14:paraId="2E7397F8" w14:textId="77777777" w:rsidR="0065435C" w:rsidRDefault="0065435C" w:rsidP="0065435C">
      <w:pPr>
        <w:pStyle w:val="Paragraph"/>
        <w:numPr>
          <w:ilvl w:val="0"/>
          <w:numId w:val="0"/>
        </w:numPr>
        <w:spacing w:before="120" w:after="0"/>
        <w:jc w:val="both"/>
        <w:rPr>
          <w:rFonts w:ascii="Times New Roman" w:hAnsi="Times New Roman" w:cstheme="minorBidi"/>
        </w:rPr>
      </w:pPr>
      <w:r w:rsidRPr="00531318">
        <w:rPr>
          <w:rFonts w:ascii="Times New Roman" w:hAnsi="Times New Roman" w:cstheme="minorBidi"/>
        </w:rPr>
        <w:t>As the first and only maintenance therapy to demonstrate efficacy in locally advanced or metastatic UC</w:t>
      </w:r>
      <w:r>
        <w:rPr>
          <w:rFonts w:ascii="Times New Roman" w:hAnsi="Times New Roman" w:cstheme="minorBidi"/>
        </w:rPr>
        <w:t xml:space="preserve"> (55, 56)</w:t>
      </w:r>
      <w:r w:rsidRPr="00531318">
        <w:rPr>
          <w:rFonts w:ascii="Times New Roman" w:hAnsi="Times New Roman" w:cstheme="minorBidi"/>
        </w:rPr>
        <w:t>, avelumab offers an important and efficient new targeted treatment option for patients whose disease has not progressed following first-line platinum-based chemotherapy, as an alternative to watchful waiting. Therefore, the use of avelumab as a maintenance therapy to sustain the benefit of first-line platinum chemotherapy will contribute to addressing the critical unmet need for patients with locally advanced or metastatic UC.</w:t>
      </w:r>
    </w:p>
    <w:p w14:paraId="2399BF17" w14:textId="77777777" w:rsidR="0065435C" w:rsidRPr="00531318" w:rsidRDefault="0065435C" w:rsidP="0065435C">
      <w:pPr>
        <w:pStyle w:val="Paragraph"/>
        <w:numPr>
          <w:ilvl w:val="0"/>
          <w:numId w:val="0"/>
        </w:numPr>
        <w:spacing w:before="120" w:after="0"/>
        <w:jc w:val="both"/>
        <w:rPr>
          <w:rFonts w:ascii="Times New Roman" w:hAnsi="Times New Roman" w:cstheme="minorHAnsi"/>
        </w:rPr>
      </w:pPr>
    </w:p>
    <w:p w14:paraId="5C449F75" w14:textId="77777777" w:rsidR="0065435C" w:rsidRPr="00531318" w:rsidRDefault="0065435C" w:rsidP="0065435C">
      <w:pPr>
        <w:pStyle w:val="Paragraph"/>
        <w:numPr>
          <w:ilvl w:val="0"/>
          <w:numId w:val="0"/>
        </w:numPr>
        <w:spacing w:before="120" w:after="0"/>
        <w:jc w:val="both"/>
        <w:rPr>
          <w:rFonts w:ascii="Times New Roman" w:hAnsi="Times New Roman" w:cstheme="minorHAnsi"/>
          <w:b/>
          <w:bCs/>
          <w:u w:val="single"/>
        </w:rPr>
      </w:pPr>
      <w:r w:rsidRPr="00531318">
        <w:rPr>
          <w:rFonts w:ascii="Times New Roman" w:hAnsi="Times New Roman" w:cstheme="minorHAnsi"/>
          <w:b/>
          <w:bCs/>
          <w:u w:val="single"/>
        </w:rPr>
        <w:t>Procedural history of the appraisal</w:t>
      </w:r>
    </w:p>
    <w:p w14:paraId="4FA63DFE" w14:textId="77777777" w:rsidR="0065435C" w:rsidRPr="00531318" w:rsidRDefault="0065435C" w:rsidP="0065435C">
      <w:pPr>
        <w:pStyle w:val="Paragraph"/>
        <w:numPr>
          <w:ilvl w:val="0"/>
          <w:numId w:val="0"/>
        </w:numPr>
        <w:spacing w:before="120" w:after="0"/>
        <w:jc w:val="both"/>
        <w:rPr>
          <w:rFonts w:ascii="Times New Roman" w:hAnsi="Times New Roman" w:cstheme="minorHAnsi"/>
          <w:b/>
          <w:bCs/>
          <w:u w:val="single"/>
        </w:rPr>
      </w:pPr>
    </w:p>
    <w:tbl>
      <w:tblPr>
        <w:tblStyle w:val="TableGrid"/>
        <w:tblW w:w="0" w:type="auto"/>
        <w:tblLook w:val="04A0" w:firstRow="1" w:lastRow="0" w:firstColumn="1" w:lastColumn="0" w:noHBand="0" w:noVBand="1"/>
      </w:tblPr>
      <w:tblGrid>
        <w:gridCol w:w="2263"/>
        <w:gridCol w:w="6033"/>
      </w:tblGrid>
      <w:tr w:rsidR="0065435C" w:rsidRPr="00531318" w14:paraId="5633C907" w14:textId="77777777" w:rsidTr="0065435C">
        <w:tc>
          <w:tcPr>
            <w:tcW w:w="2263" w:type="dxa"/>
          </w:tcPr>
          <w:p w14:paraId="37A52818" w14:textId="77777777" w:rsidR="0065435C" w:rsidRPr="00531318" w:rsidRDefault="0065435C" w:rsidP="0065435C">
            <w:pPr>
              <w:pStyle w:val="Paragraph"/>
              <w:numPr>
                <w:ilvl w:val="0"/>
                <w:numId w:val="0"/>
              </w:numPr>
              <w:spacing w:before="120" w:after="0"/>
              <w:jc w:val="both"/>
              <w:rPr>
                <w:rFonts w:ascii="Times New Roman" w:hAnsi="Times New Roman" w:cstheme="minorHAnsi"/>
                <w:b/>
                <w:bCs/>
                <w:szCs w:val="22"/>
              </w:rPr>
            </w:pPr>
            <w:r w:rsidRPr="00531318">
              <w:rPr>
                <w:rFonts w:ascii="Times New Roman" w:hAnsi="Times New Roman" w:cstheme="minorHAnsi"/>
                <w:b/>
                <w:bCs/>
                <w:szCs w:val="22"/>
              </w:rPr>
              <w:t>Date</w:t>
            </w:r>
          </w:p>
        </w:tc>
        <w:tc>
          <w:tcPr>
            <w:tcW w:w="6033" w:type="dxa"/>
          </w:tcPr>
          <w:p w14:paraId="55FFECFF" w14:textId="77777777" w:rsidR="0065435C" w:rsidRPr="00531318" w:rsidRDefault="0065435C" w:rsidP="0065435C">
            <w:pPr>
              <w:pStyle w:val="Paragraph"/>
              <w:numPr>
                <w:ilvl w:val="0"/>
                <w:numId w:val="0"/>
              </w:numPr>
              <w:spacing w:before="120" w:after="0"/>
              <w:jc w:val="both"/>
              <w:rPr>
                <w:rFonts w:ascii="Times New Roman" w:hAnsi="Times New Roman" w:cstheme="minorHAnsi"/>
                <w:b/>
                <w:bCs/>
                <w:szCs w:val="22"/>
              </w:rPr>
            </w:pPr>
            <w:r w:rsidRPr="00531318">
              <w:rPr>
                <w:rFonts w:ascii="Times New Roman" w:hAnsi="Times New Roman" w:cstheme="minorHAnsi"/>
                <w:b/>
                <w:bCs/>
                <w:szCs w:val="22"/>
              </w:rPr>
              <w:t>Event</w:t>
            </w:r>
          </w:p>
        </w:tc>
      </w:tr>
      <w:tr w:rsidR="0065435C" w:rsidRPr="00531318" w14:paraId="25C720A8" w14:textId="77777777" w:rsidTr="0065435C">
        <w:tc>
          <w:tcPr>
            <w:tcW w:w="2263" w:type="dxa"/>
          </w:tcPr>
          <w:p w14:paraId="1BB3FBF2" w14:textId="77777777" w:rsidR="0065435C" w:rsidRPr="00531318" w:rsidRDefault="0065435C" w:rsidP="0065435C">
            <w:pPr>
              <w:pStyle w:val="Paragraph"/>
              <w:numPr>
                <w:ilvl w:val="0"/>
                <w:numId w:val="0"/>
              </w:numPr>
              <w:spacing w:before="120" w:after="0"/>
              <w:jc w:val="both"/>
              <w:rPr>
                <w:rFonts w:ascii="Times New Roman" w:hAnsi="Times New Roman" w:cstheme="minorHAnsi"/>
                <w:szCs w:val="22"/>
              </w:rPr>
            </w:pPr>
            <w:r w:rsidRPr="00531318">
              <w:rPr>
                <w:rFonts w:ascii="Times New Roman" w:hAnsi="Times New Roman" w:cstheme="minorHAnsi"/>
                <w:szCs w:val="22"/>
              </w:rPr>
              <w:t>6</w:t>
            </w:r>
            <w:r w:rsidRPr="00531318">
              <w:rPr>
                <w:rFonts w:ascii="Times New Roman" w:hAnsi="Times New Roman" w:cstheme="minorHAnsi"/>
                <w:szCs w:val="22"/>
                <w:vertAlign w:val="superscript"/>
              </w:rPr>
              <w:t>th</w:t>
            </w:r>
            <w:r w:rsidRPr="00531318">
              <w:rPr>
                <w:rFonts w:ascii="Times New Roman" w:hAnsi="Times New Roman" w:cstheme="minorHAnsi"/>
                <w:szCs w:val="22"/>
              </w:rPr>
              <w:t xml:space="preserve"> February 2020</w:t>
            </w:r>
          </w:p>
        </w:tc>
        <w:tc>
          <w:tcPr>
            <w:tcW w:w="6033" w:type="dxa"/>
          </w:tcPr>
          <w:p w14:paraId="62D523B1" w14:textId="77777777" w:rsidR="0065435C" w:rsidRPr="00531318" w:rsidRDefault="0065435C" w:rsidP="0065435C">
            <w:pPr>
              <w:pStyle w:val="Paragraph"/>
              <w:numPr>
                <w:ilvl w:val="0"/>
                <w:numId w:val="0"/>
              </w:numPr>
              <w:spacing w:before="120" w:after="0"/>
              <w:jc w:val="both"/>
              <w:rPr>
                <w:rFonts w:ascii="Times New Roman" w:hAnsi="Times New Roman" w:cstheme="minorHAnsi"/>
                <w:szCs w:val="22"/>
              </w:rPr>
            </w:pPr>
            <w:r w:rsidRPr="00531318">
              <w:rPr>
                <w:rFonts w:ascii="Times New Roman" w:hAnsi="Times New Roman" w:cstheme="minorHAnsi"/>
                <w:szCs w:val="22"/>
              </w:rPr>
              <w:t>Referral to NICE</w:t>
            </w:r>
          </w:p>
        </w:tc>
      </w:tr>
      <w:tr w:rsidR="0065435C" w:rsidRPr="00531318" w14:paraId="02AC990F" w14:textId="77777777" w:rsidTr="0065435C">
        <w:tc>
          <w:tcPr>
            <w:tcW w:w="2263" w:type="dxa"/>
          </w:tcPr>
          <w:p w14:paraId="633CA153" w14:textId="77777777" w:rsidR="0065435C" w:rsidRPr="00531318" w:rsidRDefault="0065435C" w:rsidP="0065435C">
            <w:pPr>
              <w:pStyle w:val="Paragraph"/>
              <w:numPr>
                <w:ilvl w:val="0"/>
                <w:numId w:val="0"/>
              </w:numPr>
              <w:spacing w:before="120" w:after="0"/>
              <w:jc w:val="both"/>
              <w:rPr>
                <w:rFonts w:ascii="Times New Roman" w:hAnsi="Times New Roman" w:cstheme="minorHAnsi"/>
                <w:szCs w:val="22"/>
              </w:rPr>
            </w:pPr>
            <w:r w:rsidRPr="00531318">
              <w:rPr>
                <w:rFonts w:ascii="Times New Roman" w:hAnsi="Times New Roman" w:cstheme="minorHAnsi"/>
                <w:szCs w:val="22"/>
              </w:rPr>
              <w:t>3</w:t>
            </w:r>
            <w:r w:rsidRPr="00531318">
              <w:rPr>
                <w:rFonts w:ascii="Times New Roman" w:hAnsi="Times New Roman" w:cstheme="minorHAnsi"/>
                <w:szCs w:val="22"/>
                <w:vertAlign w:val="superscript"/>
              </w:rPr>
              <w:t>rd</w:t>
            </w:r>
            <w:r w:rsidRPr="00531318">
              <w:rPr>
                <w:rFonts w:ascii="Times New Roman" w:hAnsi="Times New Roman" w:cstheme="minorHAnsi"/>
                <w:szCs w:val="22"/>
              </w:rPr>
              <w:t xml:space="preserve"> August 2020</w:t>
            </w:r>
          </w:p>
        </w:tc>
        <w:tc>
          <w:tcPr>
            <w:tcW w:w="6033" w:type="dxa"/>
          </w:tcPr>
          <w:p w14:paraId="2805D441" w14:textId="77777777" w:rsidR="0065435C" w:rsidRPr="00531318" w:rsidRDefault="0065435C" w:rsidP="0065435C">
            <w:pPr>
              <w:pStyle w:val="Paragraph"/>
              <w:numPr>
                <w:ilvl w:val="0"/>
                <w:numId w:val="0"/>
              </w:numPr>
              <w:spacing w:before="120" w:after="0"/>
              <w:jc w:val="both"/>
              <w:rPr>
                <w:rFonts w:ascii="Times New Roman" w:hAnsi="Times New Roman" w:cstheme="minorHAnsi"/>
                <w:szCs w:val="22"/>
              </w:rPr>
            </w:pPr>
            <w:r w:rsidRPr="00531318">
              <w:rPr>
                <w:rFonts w:ascii="Times New Roman" w:hAnsi="Times New Roman" w:cstheme="minorHAnsi"/>
                <w:szCs w:val="22"/>
              </w:rPr>
              <w:t>Final scope for appraisal</w:t>
            </w:r>
          </w:p>
        </w:tc>
      </w:tr>
      <w:tr w:rsidR="0065435C" w:rsidRPr="00531318" w14:paraId="6410F561" w14:textId="77777777" w:rsidTr="0065435C">
        <w:tc>
          <w:tcPr>
            <w:tcW w:w="2263" w:type="dxa"/>
          </w:tcPr>
          <w:p w14:paraId="327886F4" w14:textId="77777777" w:rsidR="0065435C" w:rsidRPr="00531318" w:rsidRDefault="0065435C" w:rsidP="0065435C">
            <w:pPr>
              <w:pStyle w:val="Paragraph"/>
              <w:numPr>
                <w:ilvl w:val="0"/>
                <w:numId w:val="0"/>
              </w:numPr>
              <w:spacing w:before="120" w:after="0"/>
              <w:jc w:val="both"/>
              <w:rPr>
                <w:rFonts w:ascii="Times New Roman" w:hAnsi="Times New Roman" w:cstheme="minorHAnsi"/>
                <w:szCs w:val="22"/>
              </w:rPr>
            </w:pPr>
            <w:r w:rsidRPr="00531318">
              <w:rPr>
                <w:rFonts w:ascii="Times New Roman" w:hAnsi="Times New Roman" w:cstheme="minorHAnsi"/>
                <w:szCs w:val="22"/>
              </w:rPr>
              <w:t>6</w:t>
            </w:r>
            <w:r w:rsidRPr="00531318">
              <w:rPr>
                <w:rFonts w:ascii="Times New Roman" w:hAnsi="Times New Roman" w:cstheme="minorHAnsi"/>
                <w:szCs w:val="22"/>
                <w:vertAlign w:val="superscript"/>
              </w:rPr>
              <w:t>th</w:t>
            </w:r>
            <w:r w:rsidRPr="00531318">
              <w:rPr>
                <w:rFonts w:ascii="Times New Roman" w:hAnsi="Times New Roman" w:cstheme="minorHAnsi"/>
                <w:szCs w:val="22"/>
              </w:rPr>
              <w:t xml:space="preserve"> October 2020</w:t>
            </w:r>
          </w:p>
        </w:tc>
        <w:tc>
          <w:tcPr>
            <w:tcW w:w="6033" w:type="dxa"/>
          </w:tcPr>
          <w:p w14:paraId="54DE0274" w14:textId="77777777" w:rsidR="0065435C" w:rsidRPr="00531318" w:rsidRDefault="0065435C" w:rsidP="0065435C">
            <w:pPr>
              <w:pStyle w:val="Paragraph"/>
              <w:numPr>
                <w:ilvl w:val="0"/>
                <w:numId w:val="0"/>
              </w:numPr>
              <w:spacing w:before="120" w:after="0"/>
              <w:jc w:val="both"/>
              <w:rPr>
                <w:rFonts w:ascii="Times New Roman" w:hAnsi="Times New Roman" w:cstheme="minorHAnsi"/>
                <w:szCs w:val="22"/>
              </w:rPr>
            </w:pPr>
            <w:r w:rsidRPr="00531318">
              <w:rPr>
                <w:rFonts w:ascii="Times New Roman" w:hAnsi="Times New Roman" w:cstheme="minorHAnsi"/>
                <w:szCs w:val="22"/>
              </w:rPr>
              <w:t>Merck/Pfizer Alliance submission to NICE</w:t>
            </w:r>
          </w:p>
        </w:tc>
      </w:tr>
      <w:tr w:rsidR="0065435C" w:rsidRPr="00531318" w14:paraId="722C9FF4" w14:textId="77777777" w:rsidTr="0065435C">
        <w:tc>
          <w:tcPr>
            <w:tcW w:w="2263" w:type="dxa"/>
          </w:tcPr>
          <w:p w14:paraId="79A270E3" w14:textId="77777777" w:rsidR="0065435C" w:rsidRPr="00531318" w:rsidRDefault="0065435C" w:rsidP="0065435C">
            <w:pPr>
              <w:pStyle w:val="Paragraph"/>
              <w:numPr>
                <w:ilvl w:val="0"/>
                <w:numId w:val="0"/>
              </w:numPr>
              <w:spacing w:before="120" w:after="0"/>
              <w:jc w:val="both"/>
              <w:rPr>
                <w:rFonts w:ascii="Times New Roman" w:hAnsi="Times New Roman" w:cstheme="minorHAnsi"/>
                <w:szCs w:val="22"/>
              </w:rPr>
            </w:pPr>
            <w:r>
              <w:rPr>
                <w:rFonts w:ascii="Times New Roman" w:hAnsi="Times New Roman" w:cstheme="minorHAnsi"/>
                <w:szCs w:val="22"/>
              </w:rPr>
              <w:t>15</w:t>
            </w:r>
            <w:r w:rsidRPr="0089742D">
              <w:rPr>
                <w:rFonts w:ascii="Times New Roman" w:hAnsi="Times New Roman" w:cstheme="minorHAnsi"/>
                <w:szCs w:val="22"/>
                <w:vertAlign w:val="superscript"/>
              </w:rPr>
              <w:t>th</w:t>
            </w:r>
            <w:r>
              <w:rPr>
                <w:rFonts w:ascii="Times New Roman" w:hAnsi="Times New Roman" w:cstheme="minorHAnsi"/>
                <w:szCs w:val="22"/>
              </w:rPr>
              <w:t xml:space="preserve"> January – 12</w:t>
            </w:r>
            <w:r w:rsidRPr="0089742D">
              <w:rPr>
                <w:rFonts w:ascii="Times New Roman" w:hAnsi="Times New Roman" w:cstheme="minorHAnsi"/>
                <w:szCs w:val="22"/>
                <w:vertAlign w:val="superscript"/>
              </w:rPr>
              <w:t>th</w:t>
            </w:r>
            <w:r>
              <w:rPr>
                <w:rFonts w:ascii="Times New Roman" w:hAnsi="Times New Roman" w:cstheme="minorHAnsi"/>
                <w:szCs w:val="22"/>
              </w:rPr>
              <w:t xml:space="preserve"> February 2021</w:t>
            </w:r>
          </w:p>
        </w:tc>
        <w:tc>
          <w:tcPr>
            <w:tcW w:w="6033" w:type="dxa"/>
          </w:tcPr>
          <w:p w14:paraId="67D1AED2" w14:textId="77777777" w:rsidR="0065435C" w:rsidRPr="00531318" w:rsidRDefault="0065435C" w:rsidP="0065435C">
            <w:pPr>
              <w:pStyle w:val="Paragraph"/>
              <w:numPr>
                <w:ilvl w:val="0"/>
                <w:numId w:val="0"/>
              </w:numPr>
              <w:spacing w:before="120" w:after="0"/>
              <w:jc w:val="both"/>
              <w:rPr>
                <w:rFonts w:ascii="Times New Roman" w:hAnsi="Times New Roman" w:cstheme="minorHAnsi"/>
                <w:szCs w:val="22"/>
              </w:rPr>
            </w:pPr>
            <w:r>
              <w:rPr>
                <w:rFonts w:ascii="Times New Roman" w:hAnsi="Times New Roman" w:cstheme="minorHAnsi"/>
                <w:szCs w:val="22"/>
              </w:rPr>
              <w:t>Technical engagement</w:t>
            </w:r>
          </w:p>
        </w:tc>
      </w:tr>
      <w:tr w:rsidR="0065435C" w:rsidRPr="00531318" w14:paraId="29E03FFB" w14:textId="77777777" w:rsidTr="0065435C">
        <w:tc>
          <w:tcPr>
            <w:tcW w:w="2263" w:type="dxa"/>
          </w:tcPr>
          <w:p w14:paraId="35014289" w14:textId="77777777" w:rsidR="0065435C" w:rsidRPr="00531318" w:rsidRDefault="0065435C" w:rsidP="0065435C">
            <w:pPr>
              <w:pStyle w:val="Paragraph"/>
              <w:numPr>
                <w:ilvl w:val="0"/>
                <w:numId w:val="0"/>
              </w:numPr>
              <w:spacing w:before="120" w:after="0"/>
              <w:jc w:val="both"/>
              <w:rPr>
                <w:rFonts w:ascii="Times New Roman" w:hAnsi="Times New Roman" w:cstheme="minorHAnsi"/>
                <w:szCs w:val="22"/>
              </w:rPr>
            </w:pPr>
            <w:r w:rsidRPr="00531318">
              <w:rPr>
                <w:rFonts w:ascii="Times New Roman" w:hAnsi="Times New Roman" w:cstheme="minorHAnsi"/>
                <w:szCs w:val="22"/>
              </w:rPr>
              <w:t>21</w:t>
            </w:r>
            <w:r w:rsidRPr="00531318">
              <w:rPr>
                <w:rFonts w:ascii="Times New Roman" w:hAnsi="Times New Roman" w:cstheme="minorHAnsi"/>
                <w:szCs w:val="22"/>
                <w:vertAlign w:val="superscript"/>
              </w:rPr>
              <w:t>st</w:t>
            </w:r>
            <w:r w:rsidRPr="00531318">
              <w:rPr>
                <w:rFonts w:ascii="Times New Roman" w:hAnsi="Times New Roman" w:cstheme="minorHAnsi"/>
                <w:szCs w:val="22"/>
              </w:rPr>
              <w:t xml:space="preserve"> January 2021</w:t>
            </w:r>
          </w:p>
        </w:tc>
        <w:tc>
          <w:tcPr>
            <w:tcW w:w="6033" w:type="dxa"/>
          </w:tcPr>
          <w:p w14:paraId="0C625505" w14:textId="77777777" w:rsidR="0065435C" w:rsidRPr="00531318" w:rsidRDefault="0065435C" w:rsidP="0065435C">
            <w:pPr>
              <w:pStyle w:val="Default"/>
              <w:jc w:val="both"/>
              <w:rPr>
                <w:rFonts w:ascii="Times New Roman" w:hAnsi="Times New Roman" w:cstheme="minorHAnsi"/>
                <w:color w:val="auto"/>
                <w:szCs w:val="22"/>
              </w:rPr>
            </w:pPr>
            <w:r w:rsidRPr="00531318">
              <w:rPr>
                <w:rFonts w:ascii="Times New Roman" w:hAnsi="Times New Roman" w:cstheme="minorHAnsi"/>
                <w:color w:val="auto"/>
                <w:szCs w:val="22"/>
              </w:rPr>
              <w:t xml:space="preserve">Approval of extension to authorised indication to include </w:t>
            </w:r>
          </w:p>
          <w:p w14:paraId="33644CBA" w14:textId="77777777" w:rsidR="0065435C" w:rsidRPr="00531318" w:rsidRDefault="0065435C" w:rsidP="0065435C">
            <w:pPr>
              <w:pStyle w:val="Default"/>
              <w:jc w:val="both"/>
              <w:rPr>
                <w:rFonts w:ascii="Times New Roman" w:hAnsi="Times New Roman" w:cstheme="minorHAnsi"/>
                <w:color w:val="auto"/>
                <w:szCs w:val="22"/>
              </w:rPr>
            </w:pPr>
            <w:r w:rsidRPr="00531318">
              <w:rPr>
                <w:rFonts w:ascii="Times New Roman" w:hAnsi="Times New Roman"/>
                <w:color w:val="auto"/>
              </w:rPr>
              <w:t>“…first line maintenance of adult patients with locally advanced or metastatic urothelial carcinoma (UC) who are progression-free following platinum</w:t>
            </w:r>
            <w:r>
              <w:rPr>
                <w:rFonts w:ascii="Times New Roman" w:hAnsi="Times New Roman"/>
                <w:color w:val="auto"/>
              </w:rPr>
              <w:t>-</w:t>
            </w:r>
            <w:r w:rsidRPr="00531318">
              <w:rPr>
                <w:rFonts w:ascii="Times New Roman" w:hAnsi="Times New Roman"/>
                <w:color w:val="auto"/>
              </w:rPr>
              <w:t xml:space="preserve">based chemotherapy.” </w:t>
            </w:r>
          </w:p>
        </w:tc>
      </w:tr>
      <w:tr w:rsidR="0065435C" w:rsidRPr="00531318" w14:paraId="0C9254AA" w14:textId="77777777" w:rsidTr="0065435C">
        <w:tc>
          <w:tcPr>
            <w:tcW w:w="2263" w:type="dxa"/>
          </w:tcPr>
          <w:p w14:paraId="1B0353CE" w14:textId="77777777" w:rsidR="0065435C" w:rsidRPr="00531318" w:rsidRDefault="0065435C" w:rsidP="0065435C">
            <w:pPr>
              <w:pStyle w:val="Paragraph"/>
              <w:numPr>
                <w:ilvl w:val="0"/>
                <w:numId w:val="0"/>
              </w:numPr>
              <w:spacing w:before="120" w:after="0"/>
              <w:jc w:val="both"/>
              <w:rPr>
                <w:rFonts w:ascii="Times New Roman" w:hAnsi="Times New Roman" w:cstheme="minorHAnsi"/>
                <w:szCs w:val="22"/>
              </w:rPr>
            </w:pPr>
            <w:r w:rsidRPr="00531318">
              <w:rPr>
                <w:rFonts w:ascii="Times New Roman" w:hAnsi="Times New Roman" w:cstheme="minorHAnsi"/>
                <w:szCs w:val="22"/>
              </w:rPr>
              <w:t>14</w:t>
            </w:r>
            <w:r w:rsidRPr="00531318">
              <w:rPr>
                <w:rFonts w:ascii="Times New Roman" w:hAnsi="Times New Roman" w:cstheme="minorHAnsi"/>
                <w:szCs w:val="22"/>
                <w:vertAlign w:val="superscript"/>
              </w:rPr>
              <w:t>th</w:t>
            </w:r>
            <w:r w:rsidRPr="00531318">
              <w:rPr>
                <w:rFonts w:ascii="Times New Roman" w:hAnsi="Times New Roman" w:cstheme="minorHAnsi"/>
                <w:szCs w:val="22"/>
              </w:rPr>
              <w:t xml:space="preserve"> April 2021</w:t>
            </w:r>
          </w:p>
        </w:tc>
        <w:tc>
          <w:tcPr>
            <w:tcW w:w="6033" w:type="dxa"/>
          </w:tcPr>
          <w:p w14:paraId="69B2D495" w14:textId="77777777" w:rsidR="0065435C" w:rsidRPr="00531318" w:rsidRDefault="0065435C" w:rsidP="0065435C">
            <w:pPr>
              <w:pStyle w:val="Paragraph"/>
              <w:numPr>
                <w:ilvl w:val="0"/>
                <w:numId w:val="0"/>
              </w:numPr>
              <w:spacing w:before="120" w:after="0"/>
              <w:jc w:val="both"/>
              <w:rPr>
                <w:rFonts w:ascii="Times New Roman" w:hAnsi="Times New Roman" w:cstheme="minorHAnsi"/>
                <w:szCs w:val="22"/>
              </w:rPr>
            </w:pPr>
            <w:r w:rsidRPr="00531318">
              <w:rPr>
                <w:rFonts w:ascii="Times New Roman" w:hAnsi="Times New Roman" w:cstheme="minorHAnsi"/>
                <w:szCs w:val="22"/>
              </w:rPr>
              <w:t>First meeting of the Appraisal Committee</w:t>
            </w:r>
          </w:p>
        </w:tc>
      </w:tr>
      <w:tr w:rsidR="0065435C" w:rsidRPr="00531318" w14:paraId="2DAF6603" w14:textId="77777777" w:rsidTr="0065435C">
        <w:tc>
          <w:tcPr>
            <w:tcW w:w="2263" w:type="dxa"/>
          </w:tcPr>
          <w:p w14:paraId="64C6ACE3" w14:textId="77777777" w:rsidR="0065435C" w:rsidRPr="00531318" w:rsidRDefault="0065435C" w:rsidP="0065435C">
            <w:pPr>
              <w:pStyle w:val="Paragraph"/>
              <w:numPr>
                <w:ilvl w:val="0"/>
                <w:numId w:val="0"/>
              </w:numPr>
              <w:spacing w:before="120" w:after="0"/>
              <w:jc w:val="both"/>
              <w:rPr>
                <w:rFonts w:ascii="Times New Roman" w:hAnsi="Times New Roman" w:cstheme="minorHAnsi"/>
                <w:szCs w:val="22"/>
              </w:rPr>
            </w:pPr>
            <w:r w:rsidRPr="00531318">
              <w:rPr>
                <w:rFonts w:ascii="Times New Roman" w:hAnsi="Times New Roman" w:cstheme="minorHAnsi"/>
                <w:szCs w:val="22"/>
              </w:rPr>
              <w:t>6</w:t>
            </w:r>
            <w:r w:rsidRPr="00531318">
              <w:rPr>
                <w:rFonts w:ascii="Times New Roman" w:hAnsi="Times New Roman" w:cstheme="minorHAnsi"/>
                <w:szCs w:val="22"/>
                <w:vertAlign w:val="superscript"/>
              </w:rPr>
              <w:t>th</w:t>
            </w:r>
            <w:r w:rsidRPr="00531318">
              <w:rPr>
                <w:rFonts w:ascii="Times New Roman" w:hAnsi="Times New Roman" w:cstheme="minorHAnsi"/>
                <w:szCs w:val="22"/>
              </w:rPr>
              <w:t xml:space="preserve"> May 2021</w:t>
            </w:r>
          </w:p>
        </w:tc>
        <w:tc>
          <w:tcPr>
            <w:tcW w:w="6033" w:type="dxa"/>
          </w:tcPr>
          <w:p w14:paraId="34E363F8" w14:textId="77777777" w:rsidR="0065435C" w:rsidRPr="00531318" w:rsidRDefault="0065435C" w:rsidP="0065435C">
            <w:pPr>
              <w:pStyle w:val="Paragraph"/>
              <w:numPr>
                <w:ilvl w:val="0"/>
                <w:numId w:val="0"/>
              </w:numPr>
              <w:spacing w:before="120" w:after="0"/>
              <w:jc w:val="both"/>
              <w:rPr>
                <w:rFonts w:ascii="Times New Roman" w:hAnsi="Times New Roman" w:cstheme="minorHAnsi"/>
                <w:szCs w:val="22"/>
              </w:rPr>
            </w:pPr>
            <w:r w:rsidRPr="00531318">
              <w:rPr>
                <w:rFonts w:ascii="Times New Roman" w:hAnsi="Times New Roman" w:cstheme="minorHAnsi"/>
                <w:szCs w:val="22"/>
              </w:rPr>
              <w:t>Appraisal Consultation Document issued:</w:t>
            </w:r>
          </w:p>
          <w:p w14:paraId="127F0354" w14:textId="77777777" w:rsidR="0065435C" w:rsidRPr="00531318" w:rsidRDefault="0065435C" w:rsidP="0065435C">
            <w:pPr>
              <w:pStyle w:val="Paragraph"/>
              <w:numPr>
                <w:ilvl w:val="0"/>
                <w:numId w:val="0"/>
              </w:numPr>
              <w:spacing w:before="120" w:after="0"/>
              <w:jc w:val="both"/>
              <w:rPr>
                <w:rFonts w:ascii="Times New Roman" w:hAnsi="Times New Roman" w:cstheme="minorHAnsi"/>
                <w:szCs w:val="22"/>
              </w:rPr>
            </w:pPr>
            <w:r w:rsidRPr="00531318">
              <w:rPr>
                <w:rFonts w:ascii="Times New Roman" w:hAnsi="Times New Roman" w:cstheme="minorHAnsi"/>
                <w:szCs w:val="22"/>
              </w:rPr>
              <w:t>“Avelumab is not recommended, within its marketing authorisation, for maintenance treatment of locally advanced or metastatic urothelial cancer that has not progressed after platinum-based chemotherapy in adults”</w:t>
            </w:r>
          </w:p>
        </w:tc>
      </w:tr>
      <w:tr w:rsidR="0065435C" w:rsidRPr="00531318" w14:paraId="74B38E25" w14:textId="77777777" w:rsidTr="0065435C">
        <w:tc>
          <w:tcPr>
            <w:tcW w:w="2263" w:type="dxa"/>
          </w:tcPr>
          <w:p w14:paraId="3CE95948" w14:textId="77777777" w:rsidR="0065435C" w:rsidRPr="00531318" w:rsidRDefault="0065435C" w:rsidP="0065435C">
            <w:pPr>
              <w:pStyle w:val="Paragraph"/>
              <w:numPr>
                <w:ilvl w:val="0"/>
                <w:numId w:val="0"/>
              </w:numPr>
              <w:spacing w:before="120" w:after="0"/>
              <w:jc w:val="both"/>
              <w:rPr>
                <w:rFonts w:ascii="Times New Roman" w:hAnsi="Times New Roman" w:cstheme="minorHAnsi"/>
                <w:szCs w:val="22"/>
              </w:rPr>
            </w:pPr>
            <w:r w:rsidRPr="00531318">
              <w:rPr>
                <w:rFonts w:ascii="Times New Roman" w:hAnsi="Times New Roman" w:cstheme="minorHAnsi"/>
                <w:szCs w:val="22"/>
              </w:rPr>
              <w:t>27</w:t>
            </w:r>
            <w:r w:rsidRPr="00531318">
              <w:rPr>
                <w:rFonts w:ascii="Times New Roman" w:hAnsi="Times New Roman" w:cstheme="minorHAnsi"/>
                <w:szCs w:val="22"/>
                <w:vertAlign w:val="superscript"/>
              </w:rPr>
              <w:t>th</w:t>
            </w:r>
            <w:r w:rsidRPr="00531318">
              <w:rPr>
                <w:rFonts w:ascii="Times New Roman" w:hAnsi="Times New Roman" w:cstheme="minorHAnsi"/>
                <w:szCs w:val="22"/>
              </w:rPr>
              <w:t xml:space="preserve"> May 2021</w:t>
            </w:r>
          </w:p>
        </w:tc>
        <w:tc>
          <w:tcPr>
            <w:tcW w:w="6033" w:type="dxa"/>
          </w:tcPr>
          <w:p w14:paraId="5F12F0FA" w14:textId="77777777" w:rsidR="0065435C" w:rsidRPr="00531318" w:rsidRDefault="0065435C" w:rsidP="0065435C">
            <w:pPr>
              <w:pStyle w:val="Paragraph"/>
              <w:numPr>
                <w:ilvl w:val="0"/>
                <w:numId w:val="0"/>
              </w:numPr>
              <w:spacing w:before="120" w:after="0"/>
              <w:jc w:val="both"/>
              <w:rPr>
                <w:rFonts w:ascii="Times New Roman" w:hAnsi="Times New Roman" w:cstheme="minorBidi"/>
                <w:szCs w:val="22"/>
              </w:rPr>
            </w:pPr>
            <w:r w:rsidRPr="00531318">
              <w:rPr>
                <w:rFonts w:ascii="Times New Roman" w:hAnsi="Times New Roman" w:cstheme="minorBidi"/>
                <w:szCs w:val="22"/>
              </w:rPr>
              <w:t>Merck/Pfizer Alliance and other consultees and commentators submit responses to consultation on ACD.</w:t>
            </w:r>
          </w:p>
        </w:tc>
      </w:tr>
      <w:tr w:rsidR="0065435C" w:rsidRPr="00531318" w14:paraId="232BEB24" w14:textId="77777777" w:rsidTr="0065435C">
        <w:tc>
          <w:tcPr>
            <w:tcW w:w="2263" w:type="dxa"/>
          </w:tcPr>
          <w:p w14:paraId="27610DCA" w14:textId="77777777" w:rsidR="0065435C" w:rsidRPr="00531318" w:rsidRDefault="0065435C" w:rsidP="0065435C">
            <w:pPr>
              <w:pStyle w:val="Paragraph"/>
              <w:numPr>
                <w:ilvl w:val="0"/>
                <w:numId w:val="0"/>
              </w:numPr>
              <w:spacing w:before="120" w:after="0"/>
              <w:jc w:val="both"/>
              <w:rPr>
                <w:rFonts w:ascii="Times New Roman" w:hAnsi="Times New Roman" w:cstheme="minorHAnsi"/>
                <w:szCs w:val="22"/>
              </w:rPr>
            </w:pPr>
            <w:r w:rsidRPr="00531318">
              <w:rPr>
                <w:rFonts w:ascii="Times New Roman" w:hAnsi="Times New Roman" w:cstheme="minorHAnsi"/>
                <w:szCs w:val="22"/>
              </w:rPr>
              <w:t>17</w:t>
            </w:r>
            <w:r w:rsidRPr="00531318">
              <w:rPr>
                <w:rFonts w:ascii="Times New Roman" w:hAnsi="Times New Roman" w:cstheme="minorHAnsi"/>
                <w:szCs w:val="22"/>
                <w:vertAlign w:val="superscript"/>
              </w:rPr>
              <w:t>th</w:t>
            </w:r>
            <w:r w:rsidRPr="00531318">
              <w:rPr>
                <w:rFonts w:ascii="Times New Roman" w:hAnsi="Times New Roman" w:cstheme="minorHAnsi"/>
                <w:szCs w:val="22"/>
              </w:rPr>
              <w:t xml:space="preserve"> June 2021</w:t>
            </w:r>
          </w:p>
        </w:tc>
        <w:tc>
          <w:tcPr>
            <w:tcW w:w="6033" w:type="dxa"/>
          </w:tcPr>
          <w:p w14:paraId="515ACB09" w14:textId="77777777" w:rsidR="0065435C" w:rsidRPr="00531318" w:rsidRDefault="0065435C" w:rsidP="0065435C">
            <w:pPr>
              <w:pStyle w:val="Paragraph"/>
              <w:numPr>
                <w:ilvl w:val="0"/>
                <w:numId w:val="0"/>
              </w:numPr>
              <w:spacing w:before="120" w:after="0"/>
              <w:jc w:val="both"/>
              <w:rPr>
                <w:rFonts w:ascii="Times New Roman" w:hAnsi="Times New Roman" w:cstheme="minorHAnsi"/>
                <w:szCs w:val="22"/>
              </w:rPr>
            </w:pPr>
            <w:r w:rsidRPr="00531318">
              <w:rPr>
                <w:rFonts w:ascii="Times New Roman" w:hAnsi="Times New Roman" w:cstheme="minorHAnsi"/>
                <w:szCs w:val="22"/>
              </w:rPr>
              <w:t>Second meeting of the Appraisal Committee</w:t>
            </w:r>
          </w:p>
        </w:tc>
      </w:tr>
      <w:tr w:rsidR="0065435C" w:rsidRPr="00531318" w14:paraId="0EAFFE3E" w14:textId="77777777" w:rsidTr="0065435C">
        <w:tc>
          <w:tcPr>
            <w:tcW w:w="2263" w:type="dxa"/>
          </w:tcPr>
          <w:p w14:paraId="66E899DE" w14:textId="77777777" w:rsidR="0065435C" w:rsidRPr="00531318" w:rsidRDefault="0065435C" w:rsidP="0065435C">
            <w:pPr>
              <w:pStyle w:val="Paragraph"/>
              <w:numPr>
                <w:ilvl w:val="0"/>
                <w:numId w:val="0"/>
              </w:numPr>
              <w:spacing w:before="120" w:after="0"/>
              <w:jc w:val="both"/>
              <w:rPr>
                <w:rFonts w:ascii="Times New Roman" w:hAnsi="Times New Roman" w:cstheme="minorBidi"/>
                <w:szCs w:val="22"/>
              </w:rPr>
            </w:pPr>
            <w:r w:rsidRPr="00531318">
              <w:rPr>
                <w:rFonts w:ascii="Times New Roman" w:hAnsi="Times New Roman" w:cstheme="minorBidi"/>
                <w:szCs w:val="22"/>
              </w:rPr>
              <w:t>23</w:t>
            </w:r>
            <w:r w:rsidRPr="00531318">
              <w:rPr>
                <w:rFonts w:ascii="Times New Roman" w:hAnsi="Times New Roman" w:cstheme="minorBidi"/>
                <w:szCs w:val="22"/>
                <w:vertAlign w:val="superscript"/>
              </w:rPr>
              <w:t>rd</w:t>
            </w:r>
            <w:r w:rsidRPr="00531318">
              <w:rPr>
                <w:rFonts w:ascii="Times New Roman" w:hAnsi="Times New Roman" w:cstheme="minorBidi"/>
                <w:szCs w:val="22"/>
              </w:rPr>
              <w:t xml:space="preserve"> July 2021</w:t>
            </w:r>
          </w:p>
        </w:tc>
        <w:tc>
          <w:tcPr>
            <w:tcW w:w="6033" w:type="dxa"/>
          </w:tcPr>
          <w:p w14:paraId="0463D908" w14:textId="77777777" w:rsidR="0065435C" w:rsidRPr="00531318" w:rsidRDefault="0065435C" w:rsidP="0065435C">
            <w:pPr>
              <w:pStyle w:val="Paragraph"/>
              <w:numPr>
                <w:ilvl w:val="0"/>
                <w:numId w:val="0"/>
              </w:numPr>
              <w:spacing w:before="120" w:after="0"/>
              <w:jc w:val="both"/>
              <w:rPr>
                <w:rFonts w:ascii="Times New Roman" w:hAnsi="Times New Roman" w:cstheme="minorHAnsi"/>
                <w:szCs w:val="22"/>
              </w:rPr>
            </w:pPr>
            <w:r w:rsidRPr="00531318">
              <w:rPr>
                <w:rFonts w:ascii="Times New Roman" w:hAnsi="Times New Roman" w:cstheme="minorHAnsi"/>
                <w:szCs w:val="22"/>
              </w:rPr>
              <w:t>Final Appraisal Document issued</w:t>
            </w:r>
          </w:p>
          <w:p w14:paraId="0589B34B" w14:textId="77777777" w:rsidR="0065435C" w:rsidRPr="00531318" w:rsidRDefault="0065435C" w:rsidP="0065435C">
            <w:pPr>
              <w:pStyle w:val="Paragraph"/>
              <w:numPr>
                <w:ilvl w:val="0"/>
                <w:numId w:val="0"/>
              </w:numPr>
              <w:spacing w:before="120" w:after="0"/>
              <w:jc w:val="both"/>
              <w:rPr>
                <w:rFonts w:ascii="Times New Roman" w:hAnsi="Times New Roman" w:cstheme="minorHAnsi"/>
                <w:szCs w:val="22"/>
              </w:rPr>
            </w:pPr>
            <w:r w:rsidRPr="00531318">
              <w:rPr>
                <w:rFonts w:ascii="Times New Roman" w:hAnsi="Times New Roman" w:cstheme="minorHAnsi"/>
                <w:szCs w:val="22"/>
              </w:rPr>
              <w:t>Recommendations unchanged from those in ACD</w:t>
            </w:r>
          </w:p>
        </w:tc>
      </w:tr>
      <w:tr w:rsidR="0065435C" w:rsidRPr="00531318" w14:paraId="118FDBDB" w14:textId="77777777" w:rsidTr="0065435C">
        <w:tc>
          <w:tcPr>
            <w:tcW w:w="2263" w:type="dxa"/>
          </w:tcPr>
          <w:p w14:paraId="10B95AA1" w14:textId="77777777" w:rsidR="0065435C" w:rsidRPr="00531318" w:rsidRDefault="0065435C" w:rsidP="0065435C">
            <w:pPr>
              <w:pStyle w:val="Paragraph"/>
              <w:numPr>
                <w:ilvl w:val="0"/>
                <w:numId w:val="0"/>
              </w:numPr>
              <w:spacing w:before="120" w:after="0"/>
              <w:jc w:val="both"/>
              <w:rPr>
                <w:rFonts w:ascii="Times New Roman" w:hAnsi="Times New Roman" w:cstheme="minorHAnsi"/>
                <w:szCs w:val="22"/>
              </w:rPr>
            </w:pPr>
            <w:r w:rsidRPr="00531318">
              <w:rPr>
                <w:rFonts w:ascii="Times New Roman" w:hAnsi="Times New Roman" w:cstheme="minorHAnsi"/>
                <w:szCs w:val="22"/>
              </w:rPr>
              <w:t>6</w:t>
            </w:r>
            <w:r w:rsidRPr="00531318">
              <w:rPr>
                <w:rFonts w:ascii="Times New Roman" w:hAnsi="Times New Roman" w:cstheme="minorHAnsi"/>
                <w:szCs w:val="22"/>
                <w:vertAlign w:val="superscript"/>
              </w:rPr>
              <w:t>th</w:t>
            </w:r>
            <w:r w:rsidRPr="00531318">
              <w:rPr>
                <w:rFonts w:ascii="Times New Roman" w:hAnsi="Times New Roman" w:cstheme="minorHAnsi"/>
                <w:szCs w:val="22"/>
              </w:rPr>
              <w:t xml:space="preserve"> August 2021</w:t>
            </w:r>
          </w:p>
        </w:tc>
        <w:tc>
          <w:tcPr>
            <w:tcW w:w="6033" w:type="dxa"/>
          </w:tcPr>
          <w:p w14:paraId="31D69E9E" w14:textId="77777777" w:rsidR="0065435C" w:rsidRPr="00531318" w:rsidRDefault="0065435C" w:rsidP="0065435C">
            <w:pPr>
              <w:pStyle w:val="Paragraph"/>
              <w:numPr>
                <w:ilvl w:val="0"/>
                <w:numId w:val="0"/>
              </w:numPr>
              <w:spacing w:before="120" w:after="0"/>
              <w:jc w:val="both"/>
              <w:rPr>
                <w:rFonts w:ascii="Times New Roman" w:hAnsi="Times New Roman" w:cstheme="minorHAnsi"/>
                <w:szCs w:val="22"/>
              </w:rPr>
            </w:pPr>
            <w:r w:rsidRPr="00531318">
              <w:rPr>
                <w:rFonts w:ascii="Times New Roman" w:hAnsi="Times New Roman" w:cstheme="minorHAnsi"/>
                <w:szCs w:val="22"/>
              </w:rPr>
              <w:t>Deadline for submission of appeal</w:t>
            </w:r>
          </w:p>
        </w:tc>
      </w:tr>
    </w:tbl>
    <w:p w14:paraId="56F22CD6" w14:textId="77777777" w:rsidR="0065435C" w:rsidRPr="00531318" w:rsidRDefault="0065435C" w:rsidP="0065435C">
      <w:pPr>
        <w:pStyle w:val="Paragraph"/>
        <w:numPr>
          <w:ilvl w:val="0"/>
          <w:numId w:val="0"/>
        </w:numPr>
        <w:spacing w:before="120" w:after="0"/>
        <w:jc w:val="both"/>
        <w:rPr>
          <w:rFonts w:ascii="Times New Roman" w:hAnsi="Times New Roman" w:cstheme="minorHAnsi"/>
        </w:rPr>
      </w:pPr>
    </w:p>
    <w:p w14:paraId="23AEE423" w14:textId="77777777" w:rsidR="0065435C" w:rsidRPr="00A60D52" w:rsidRDefault="0065435C" w:rsidP="0065435C">
      <w:pPr>
        <w:pStyle w:val="Heading2"/>
        <w:spacing w:before="120" w:line="276" w:lineRule="auto"/>
        <w:jc w:val="both"/>
        <w:rPr>
          <w:rFonts w:ascii="Times New Roman" w:hAnsi="Times New Roman" w:cstheme="minorHAnsi"/>
          <w:b/>
          <w:bCs/>
          <w:i/>
          <w:iCs/>
          <w:color w:val="auto"/>
          <w:sz w:val="24"/>
          <w:u w:val="single"/>
        </w:rPr>
      </w:pPr>
      <w:r w:rsidRPr="00A60D52">
        <w:rPr>
          <w:rFonts w:ascii="Times New Roman" w:hAnsi="Times New Roman" w:cstheme="minorHAnsi"/>
          <w:b/>
          <w:bCs/>
          <w:color w:val="auto"/>
          <w:sz w:val="24"/>
          <w:u w:val="single"/>
        </w:rPr>
        <w:t>Grounds of appeal</w:t>
      </w:r>
    </w:p>
    <w:p w14:paraId="0772D6C1" w14:textId="77777777" w:rsidR="0065435C" w:rsidRPr="00A60D52" w:rsidRDefault="0065435C" w:rsidP="00A60D52">
      <w:pPr>
        <w:pStyle w:val="Heading2"/>
        <w:numPr>
          <w:ilvl w:val="0"/>
          <w:numId w:val="4"/>
        </w:numPr>
        <w:spacing w:before="120" w:line="276" w:lineRule="auto"/>
        <w:jc w:val="both"/>
        <w:rPr>
          <w:rFonts w:ascii="Times New Roman" w:hAnsi="Times New Roman" w:cstheme="minorHAnsi"/>
          <w:b/>
          <w:bCs/>
          <w:color w:val="auto"/>
          <w:sz w:val="24"/>
          <w:u w:val="single"/>
        </w:rPr>
      </w:pPr>
      <w:r w:rsidRPr="00A60D52">
        <w:rPr>
          <w:rFonts w:ascii="Times New Roman" w:hAnsi="Times New Roman" w:cstheme="minorHAnsi"/>
          <w:b/>
          <w:bCs/>
          <w:color w:val="auto"/>
          <w:sz w:val="24"/>
          <w:u w:val="single"/>
        </w:rPr>
        <w:t>Ground 1: In making the assessment that preceded the recommendation, NICE has a) failed to act fairly or b) exceeded its powers</w:t>
      </w:r>
    </w:p>
    <w:p w14:paraId="5BA55AE4" w14:textId="77777777" w:rsidR="0065435C" w:rsidRPr="00A60D52" w:rsidRDefault="0065435C" w:rsidP="00A60D52">
      <w:pPr>
        <w:pStyle w:val="ListParagraph"/>
        <w:numPr>
          <w:ilvl w:val="1"/>
          <w:numId w:val="4"/>
        </w:numPr>
        <w:spacing w:before="120" w:line="276" w:lineRule="auto"/>
        <w:ind w:left="426"/>
        <w:contextualSpacing/>
        <w:jc w:val="both"/>
        <w:rPr>
          <w:rFonts w:cstheme="minorBidi"/>
          <w:b/>
          <w:sz w:val="24"/>
          <w:szCs w:val="24"/>
          <w:lang w:eastAsia="x-none"/>
        </w:rPr>
      </w:pPr>
      <w:r w:rsidRPr="00A60D52">
        <w:rPr>
          <w:rFonts w:cstheme="minorBidi"/>
          <w:b/>
          <w:sz w:val="24"/>
          <w:szCs w:val="24"/>
        </w:rPr>
        <w:t>The Committee’s conclusion that a stopping rule is inappropriate for avelumab is inconsistent with previous appraisals for immunotherapies (IOs) in mUC</w:t>
      </w:r>
    </w:p>
    <w:p w14:paraId="719CC02E" w14:textId="77777777" w:rsidR="0065435C" w:rsidRPr="00531318" w:rsidRDefault="0065435C" w:rsidP="0065435C">
      <w:pPr>
        <w:pStyle w:val="Paragraph"/>
        <w:numPr>
          <w:ilvl w:val="0"/>
          <w:numId w:val="0"/>
        </w:numPr>
        <w:spacing w:before="120"/>
        <w:jc w:val="both"/>
        <w:rPr>
          <w:rFonts w:ascii="Times New Roman" w:hAnsi="Times New Roman" w:cstheme="minorBidi"/>
        </w:rPr>
      </w:pPr>
      <w:r w:rsidRPr="00531318">
        <w:rPr>
          <w:rFonts w:ascii="Times New Roman" w:hAnsi="Times New Roman" w:cstheme="minorBidi"/>
        </w:rPr>
        <w:t>At paragraph 3.8 of the FAD, the Appraisal Committee considers whether a stopping rule should be implemented for avelumab and states:</w:t>
      </w:r>
    </w:p>
    <w:p w14:paraId="25859F5F" w14:textId="77777777" w:rsidR="0065435C" w:rsidRPr="00531318" w:rsidRDefault="0065435C" w:rsidP="0065435C">
      <w:pPr>
        <w:pStyle w:val="Paragraph"/>
        <w:numPr>
          <w:ilvl w:val="0"/>
          <w:numId w:val="0"/>
        </w:numPr>
        <w:spacing w:before="120"/>
        <w:ind w:left="720"/>
        <w:jc w:val="both"/>
        <w:rPr>
          <w:rFonts w:ascii="Times New Roman" w:hAnsi="Times New Roman" w:cstheme="minorBidi"/>
        </w:rPr>
      </w:pPr>
      <w:r w:rsidRPr="00531318">
        <w:rPr>
          <w:rFonts w:ascii="Times New Roman" w:hAnsi="Times New Roman" w:cstheme="minorBidi"/>
        </w:rPr>
        <w:t>“</w:t>
      </w:r>
      <w:r w:rsidRPr="00531318">
        <w:rPr>
          <w:rFonts w:ascii="Times New Roman" w:hAnsi="Times New Roman" w:cstheme="minorBidi"/>
          <w:i/>
          <w:iCs/>
        </w:rPr>
        <w:t>The committee concluded that time to stopping treatment should reflect the trial evidence and a stopping rule should not be included in the model</w:t>
      </w:r>
      <w:r w:rsidRPr="00531318">
        <w:rPr>
          <w:rFonts w:ascii="Times New Roman" w:hAnsi="Times New Roman" w:cstheme="minorBidi"/>
        </w:rPr>
        <w:t>”.</w:t>
      </w:r>
    </w:p>
    <w:p w14:paraId="123FC054" w14:textId="77777777" w:rsidR="0065435C" w:rsidRPr="00531318" w:rsidRDefault="0065435C" w:rsidP="0065435C">
      <w:pPr>
        <w:pStyle w:val="Paragraph"/>
        <w:numPr>
          <w:ilvl w:val="0"/>
          <w:numId w:val="0"/>
        </w:numPr>
        <w:spacing w:before="120" w:after="0"/>
        <w:jc w:val="both"/>
        <w:rPr>
          <w:rFonts w:ascii="Times New Roman" w:hAnsi="Times New Roman" w:cstheme="minorBidi"/>
        </w:rPr>
      </w:pPr>
      <w:r w:rsidRPr="00531318">
        <w:rPr>
          <w:rFonts w:ascii="Times New Roman" w:hAnsi="Times New Roman" w:cstheme="minorBidi"/>
        </w:rPr>
        <w:t xml:space="preserve">The Committee recognises that stopping rules have been implemented in previous appraisals for IOs in UC, but states: </w:t>
      </w:r>
    </w:p>
    <w:p w14:paraId="32C20E90" w14:textId="77777777" w:rsidR="0065435C" w:rsidRPr="00531318" w:rsidRDefault="0065435C" w:rsidP="0065435C">
      <w:pPr>
        <w:pStyle w:val="Paragraph"/>
        <w:numPr>
          <w:ilvl w:val="0"/>
          <w:numId w:val="0"/>
        </w:numPr>
        <w:spacing w:before="120"/>
        <w:ind w:left="720"/>
        <w:jc w:val="both"/>
        <w:rPr>
          <w:rFonts w:ascii="Times New Roman" w:hAnsi="Times New Roman" w:cstheme="minorHAnsi"/>
          <w:i/>
          <w:iCs/>
        </w:rPr>
      </w:pPr>
      <w:r w:rsidRPr="00531318">
        <w:rPr>
          <w:rFonts w:ascii="Times New Roman" w:hAnsi="Times New Roman" w:cstheme="minorHAnsi"/>
          <w:i/>
          <w:iCs/>
        </w:rPr>
        <w:t>“The committee was aware of other examples when decisions about including or excluding stopping rules had been applied for immunotherapies after platinum-based chemotherapy in urothelial cancer. In these technology appraisals, a stopping rule was included in the trial, or the committee was able to generalise these results to other treatments in the same class used in the same populations and settings. It considered that there was no similar evidence here to support a stopping rule, since JAVELIN Bladder 100 did not include one and the setting and population in this technology appraisal was different to others in this disease area. The committee concluded that time to stopping treatment should reflect the trial evidence and a stopping rule should not be included in the model.”</w:t>
      </w:r>
    </w:p>
    <w:p w14:paraId="59B57F0E" w14:textId="77777777" w:rsidR="0065435C" w:rsidRPr="00531318" w:rsidRDefault="0065435C" w:rsidP="0065435C">
      <w:pPr>
        <w:pStyle w:val="Paragraph"/>
        <w:numPr>
          <w:ilvl w:val="0"/>
          <w:numId w:val="0"/>
        </w:numPr>
        <w:spacing w:before="120"/>
        <w:jc w:val="both"/>
        <w:rPr>
          <w:rFonts w:ascii="Times New Roman" w:hAnsi="Times New Roman" w:cstheme="minorHAnsi"/>
        </w:rPr>
      </w:pPr>
      <w:r w:rsidRPr="00531318">
        <w:rPr>
          <w:rFonts w:ascii="Times New Roman" w:hAnsi="Times New Roman" w:cstheme="minorBidi"/>
        </w:rPr>
        <w:t>However a</w:t>
      </w:r>
      <w:r w:rsidRPr="00531318">
        <w:rPr>
          <w:rFonts w:ascii="Times New Roman" w:hAnsi="Times New Roman" w:cstheme="minorHAnsi"/>
        </w:rPr>
        <w:t xml:space="preserve"> stopping rule was previously accepted by Committee D for atezolizumab for </w:t>
      </w:r>
      <w:r w:rsidRPr="00531318">
        <w:rPr>
          <w:rFonts w:ascii="Times New Roman" w:hAnsi="Times New Roman"/>
        </w:rPr>
        <w:t>treating locally advanced or metastatic urothelial carcinoma after platinum-containing chemotherapy</w:t>
      </w:r>
      <w:r w:rsidRPr="00531318">
        <w:rPr>
          <w:rFonts w:ascii="Times New Roman" w:hAnsi="Times New Roman" w:cstheme="minorHAnsi"/>
        </w:rPr>
        <w:t xml:space="preserve"> (TA525) based on the following rationale: </w:t>
      </w:r>
    </w:p>
    <w:p w14:paraId="22D826A3" w14:textId="168592E0" w:rsidR="0065435C" w:rsidRPr="00531318" w:rsidRDefault="0065435C" w:rsidP="0065435C">
      <w:pPr>
        <w:pStyle w:val="Paragraph"/>
        <w:numPr>
          <w:ilvl w:val="0"/>
          <w:numId w:val="0"/>
        </w:numPr>
        <w:spacing w:before="120" w:after="0"/>
        <w:ind w:left="720"/>
        <w:jc w:val="both"/>
        <w:rPr>
          <w:rFonts w:ascii="Times New Roman" w:hAnsi="Times New Roman" w:cstheme="minorBidi"/>
          <w:i/>
          <w:iCs/>
        </w:rPr>
      </w:pPr>
      <w:r w:rsidRPr="00531318">
        <w:rPr>
          <w:rFonts w:ascii="Times New Roman" w:hAnsi="Times New Roman" w:cstheme="minorBidi"/>
        </w:rPr>
        <w:t>“</w:t>
      </w:r>
      <w:r w:rsidRPr="00531318">
        <w:rPr>
          <w:rFonts w:ascii="Times New Roman" w:hAnsi="Times New Roman" w:cstheme="minorBidi"/>
          <w:i/>
        </w:rPr>
        <w:t>The committee understood that for other immunotherapies in the same class as atezolizumab, consideration has been given to stopping treatment after a defined period of time (a 'stopping rule'). In its additional evidence, the company included a 2</w:t>
      </w:r>
      <w:r w:rsidRPr="00531318">
        <w:rPr>
          <w:rFonts w:ascii="Times New Roman" w:hAnsi="Times New Roman" w:cs="Cambria Math"/>
          <w:i/>
          <w:iCs/>
        </w:rPr>
        <w:t>‑</w:t>
      </w:r>
      <w:r w:rsidRPr="00531318">
        <w:rPr>
          <w:rFonts w:ascii="Times New Roman" w:hAnsi="Times New Roman" w:cstheme="minorBidi"/>
          <w:i/>
        </w:rPr>
        <w:t>year treatment stopping rule in its revised economic analysis. The committee noted that the evidence for atezolizumab and its summary of product characteristics did not include a stopping rule. The company considered that there is a lack of clinical evidence to show that imposing a stopping rule is of benefit to patients in the long term. However, the committee recognised that in previous NICE technology appraisals clinicians have highlighted growing concern about using immunotherapies beyond 2 years. The Cancer Drugs Fund clinical lead clarified that a 2-year stopping rule is acceptable to both patients and clinicians,</w:t>
      </w:r>
      <w:r w:rsidR="001D358E">
        <w:rPr>
          <w:rFonts w:ascii="Times New Roman" w:hAnsi="Times New Roman" w:cstheme="minorBidi"/>
          <w:i/>
        </w:rPr>
        <w:t xml:space="preserve"> </w:t>
      </w:r>
      <w:r w:rsidRPr="00531318">
        <w:rPr>
          <w:rFonts w:ascii="Times New Roman" w:hAnsi="Times New Roman" w:cstheme="minorBidi"/>
          <w:i/>
        </w:rPr>
        <w:t xml:space="preserve">and would be implementable. </w:t>
      </w:r>
      <w:r w:rsidRPr="00531318">
        <w:rPr>
          <w:rFonts w:ascii="Times New Roman" w:hAnsi="Times New Roman"/>
          <w:i/>
          <w:iCs/>
        </w:rPr>
        <w:t>The committee also recognised that NICE guidance for other immunotherapies for metastatic urothelial carcinoma and other cancers include 2-year stopping rules. The committee concluded that it is appropriate to include a 2-year stopping rule in the economic model.</w:t>
      </w:r>
      <w:r w:rsidRPr="00531318">
        <w:rPr>
          <w:rFonts w:ascii="Times New Roman" w:hAnsi="Times New Roman" w:cstheme="minorBidi"/>
          <w:i/>
          <w:iCs/>
        </w:rPr>
        <w:t xml:space="preserve">” </w:t>
      </w:r>
    </w:p>
    <w:p w14:paraId="594EF9EE" w14:textId="77777777" w:rsidR="0065435C" w:rsidRPr="00531318" w:rsidRDefault="0065435C" w:rsidP="0065435C">
      <w:pPr>
        <w:pStyle w:val="Paragraph"/>
        <w:numPr>
          <w:ilvl w:val="0"/>
          <w:numId w:val="0"/>
        </w:numPr>
        <w:spacing w:before="120"/>
        <w:jc w:val="both"/>
        <w:rPr>
          <w:rFonts w:ascii="Times New Roman" w:hAnsi="Times New Roman" w:cstheme="minorBidi"/>
        </w:rPr>
      </w:pPr>
      <w:r w:rsidRPr="00531318">
        <w:rPr>
          <w:rFonts w:ascii="Times New Roman" w:hAnsi="Times New Roman" w:cstheme="minorBidi"/>
        </w:rPr>
        <w:t>In that appraisal therefore, the same Appraisal Committee considering an IO therapy for the same cancer approved a stopping rule in circumstances where:</w:t>
      </w:r>
    </w:p>
    <w:p w14:paraId="45D6FA93" w14:textId="77777777" w:rsidR="0065435C" w:rsidRPr="00531318" w:rsidRDefault="0065435C" w:rsidP="00A60D52">
      <w:pPr>
        <w:pStyle w:val="Paragraph"/>
        <w:numPr>
          <w:ilvl w:val="0"/>
          <w:numId w:val="5"/>
        </w:numPr>
        <w:spacing w:before="120"/>
        <w:jc w:val="both"/>
        <w:rPr>
          <w:rFonts w:ascii="Times New Roman" w:hAnsi="Times New Roman" w:cstheme="minorBidi"/>
        </w:rPr>
      </w:pPr>
      <w:r w:rsidRPr="00531318">
        <w:rPr>
          <w:rFonts w:ascii="Times New Roman" w:hAnsi="Times New Roman" w:cstheme="minorBidi"/>
        </w:rPr>
        <w:t>As with avelumab, the evidence for atezolizumab did not include a stopping rule;</w:t>
      </w:r>
    </w:p>
    <w:p w14:paraId="6357AE72" w14:textId="77777777" w:rsidR="0065435C" w:rsidRPr="00531318" w:rsidRDefault="0065435C" w:rsidP="00A60D52">
      <w:pPr>
        <w:pStyle w:val="Paragraph"/>
        <w:numPr>
          <w:ilvl w:val="0"/>
          <w:numId w:val="5"/>
        </w:numPr>
        <w:spacing w:before="120"/>
        <w:jc w:val="both"/>
        <w:rPr>
          <w:rFonts w:ascii="Times New Roman" w:hAnsi="Times New Roman" w:cstheme="minorBidi"/>
        </w:rPr>
      </w:pPr>
      <w:r w:rsidRPr="00531318">
        <w:rPr>
          <w:rFonts w:ascii="Times New Roman" w:hAnsi="Times New Roman" w:cstheme="minorBidi"/>
        </w:rPr>
        <w:t xml:space="preserve">However </w:t>
      </w:r>
    </w:p>
    <w:p w14:paraId="35CC2B79" w14:textId="77777777" w:rsidR="0065435C" w:rsidRPr="00531318" w:rsidRDefault="0065435C" w:rsidP="00A60D52">
      <w:pPr>
        <w:pStyle w:val="Paragraph"/>
        <w:numPr>
          <w:ilvl w:val="1"/>
          <w:numId w:val="5"/>
        </w:numPr>
        <w:spacing w:before="120"/>
        <w:jc w:val="both"/>
        <w:rPr>
          <w:rFonts w:ascii="Times New Roman" w:hAnsi="Times New Roman" w:cstheme="minorBidi"/>
        </w:rPr>
      </w:pPr>
      <w:r w:rsidRPr="00531318">
        <w:rPr>
          <w:rFonts w:ascii="Times New Roman" w:hAnsi="Times New Roman" w:cstheme="minorBidi"/>
        </w:rPr>
        <w:t xml:space="preserve">Growing clinical concerns regarding use of IOs beyond two years were referenced; </w:t>
      </w:r>
    </w:p>
    <w:p w14:paraId="74AC958C" w14:textId="77777777" w:rsidR="0065435C" w:rsidRPr="00531318" w:rsidRDefault="0065435C" w:rsidP="00A60D52">
      <w:pPr>
        <w:pStyle w:val="Paragraph"/>
        <w:numPr>
          <w:ilvl w:val="1"/>
          <w:numId w:val="5"/>
        </w:numPr>
        <w:spacing w:before="120"/>
        <w:jc w:val="both"/>
        <w:rPr>
          <w:rFonts w:ascii="Times New Roman" w:hAnsi="Times New Roman" w:cstheme="minorBidi"/>
        </w:rPr>
      </w:pPr>
      <w:r w:rsidRPr="00531318">
        <w:rPr>
          <w:rFonts w:ascii="Times New Roman" w:hAnsi="Times New Roman" w:cstheme="minorBidi"/>
        </w:rPr>
        <w:t>As with avelumab, clinicians and patients supported use of a stopping rule; and</w:t>
      </w:r>
    </w:p>
    <w:p w14:paraId="1BF21ED6" w14:textId="77777777" w:rsidR="0065435C" w:rsidRPr="00531318" w:rsidRDefault="0065435C" w:rsidP="00A60D52">
      <w:pPr>
        <w:pStyle w:val="Paragraph"/>
        <w:numPr>
          <w:ilvl w:val="1"/>
          <w:numId w:val="5"/>
        </w:numPr>
        <w:spacing w:before="120"/>
        <w:jc w:val="both"/>
        <w:rPr>
          <w:rFonts w:ascii="Times New Roman" w:hAnsi="Times New Roman" w:cstheme="minorBidi"/>
        </w:rPr>
      </w:pPr>
      <w:r w:rsidRPr="00531318">
        <w:rPr>
          <w:rFonts w:ascii="Times New Roman" w:hAnsi="Times New Roman" w:cstheme="minorBidi"/>
        </w:rPr>
        <w:t>The Committee recognised that NICE guidance for UC and other cancers include 2-year stopping rules.</w:t>
      </w:r>
    </w:p>
    <w:p w14:paraId="3295BEB3" w14:textId="77777777" w:rsidR="0065435C" w:rsidRPr="001D358E" w:rsidRDefault="0065435C" w:rsidP="0065435C">
      <w:pPr>
        <w:autoSpaceDE w:val="0"/>
        <w:autoSpaceDN w:val="0"/>
        <w:adjustRightInd w:val="0"/>
        <w:jc w:val="both"/>
        <w:rPr>
          <w:rFonts w:ascii="Times New Roman" w:eastAsia="Times New Roman" w:hAnsi="Times New Roman" w:cstheme="minorHAnsi"/>
          <w:sz w:val="24"/>
          <w:szCs w:val="24"/>
          <w:lang w:eastAsia="en-GB"/>
        </w:rPr>
      </w:pPr>
      <w:r w:rsidRPr="001D358E">
        <w:rPr>
          <w:rFonts w:ascii="Times New Roman" w:eastAsia="Times New Roman" w:hAnsi="Times New Roman" w:cstheme="minorHAnsi"/>
          <w:sz w:val="24"/>
          <w:szCs w:val="24"/>
          <w:lang w:eastAsia="en-GB"/>
        </w:rPr>
        <w:t>In particular, in contrast to the approach followed in the current appraisal the conclusions of the Committee in relation to atezolizumab did not impose the barrier that results for atezolizumab should be generalisable to other treatments in the same class, used in the same populations and settings and the reference to other cancers further confirms that such an approach was not followed. In fact, the wording of the Committee’s conclusions for atezolizumab indicates that it was concerned to adopt a similar approach to that followed in other appraisals for reasons of consistency and fairness.</w:t>
      </w:r>
    </w:p>
    <w:p w14:paraId="35C1B364" w14:textId="77777777" w:rsidR="0065435C" w:rsidRPr="001D358E" w:rsidRDefault="0065435C" w:rsidP="0065435C">
      <w:pPr>
        <w:autoSpaceDE w:val="0"/>
        <w:autoSpaceDN w:val="0"/>
        <w:adjustRightInd w:val="0"/>
        <w:jc w:val="both"/>
        <w:rPr>
          <w:rFonts w:ascii="Times New Roman" w:eastAsia="Times New Roman" w:hAnsi="Times New Roman" w:cstheme="minorHAnsi"/>
          <w:sz w:val="24"/>
          <w:szCs w:val="24"/>
          <w:lang w:eastAsia="en-GB"/>
        </w:rPr>
      </w:pPr>
    </w:p>
    <w:p w14:paraId="630BDF6A" w14:textId="77777777" w:rsidR="0065435C" w:rsidRPr="001D358E" w:rsidRDefault="0065435C" w:rsidP="0065435C">
      <w:pPr>
        <w:autoSpaceDE w:val="0"/>
        <w:autoSpaceDN w:val="0"/>
        <w:adjustRightInd w:val="0"/>
        <w:jc w:val="both"/>
        <w:rPr>
          <w:rFonts w:ascii="Times New Roman" w:eastAsia="Times New Roman" w:hAnsi="Times New Roman" w:cstheme="minorHAnsi"/>
          <w:sz w:val="24"/>
          <w:szCs w:val="24"/>
          <w:lang w:eastAsia="en-GB"/>
        </w:rPr>
      </w:pPr>
      <w:r w:rsidRPr="001D358E">
        <w:rPr>
          <w:rFonts w:ascii="Times New Roman" w:eastAsia="Times New Roman" w:hAnsi="Times New Roman" w:cstheme="minorHAnsi"/>
          <w:sz w:val="24"/>
          <w:szCs w:val="24"/>
          <w:lang w:eastAsia="en-GB"/>
        </w:rPr>
        <w:t>The approach followed in relation to atezolizumab reflects general principles of procedural fairness and the requirements of NICE’s Guide to the Methods of Technology Appraisal as stated for example at:</w:t>
      </w:r>
    </w:p>
    <w:p w14:paraId="5986C869" w14:textId="77777777" w:rsidR="0065435C" w:rsidRPr="001D358E" w:rsidRDefault="0065435C" w:rsidP="00A60D52">
      <w:pPr>
        <w:pStyle w:val="ListParagraph"/>
        <w:numPr>
          <w:ilvl w:val="0"/>
          <w:numId w:val="6"/>
        </w:numPr>
        <w:autoSpaceDE w:val="0"/>
        <w:autoSpaceDN w:val="0"/>
        <w:adjustRightInd w:val="0"/>
        <w:contextualSpacing/>
        <w:jc w:val="both"/>
        <w:rPr>
          <w:rFonts w:ascii="Times New Roman" w:hAnsi="Times New Roman" w:cs="Times New Roman"/>
          <w:sz w:val="24"/>
          <w:szCs w:val="24"/>
        </w:rPr>
      </w:pPr>
      <w:r w:rsidRPr="001D358E">
        <w:rPr>
          <w:rFonts w:ascii="Times New Roman" w:hAnsi="Times New Roman" w:cs="Times New Roman"/>
          <w:sz w:val="24"/>
          <w:szCs w:val="24"/>
        </w:rPr>
        <w:t>Section 5: “</w:t>
      </w:r>
      <w:r w:rsidRPr="001D358E">
        <w:rPr>
          <w:rFonts w:ascii="Times New Roman" w:hAnsi="Times New Roman" w:cs="Times New Roman"/>
          <w:i/>
          <w:iCs/>
          <w:sz w:val="24"/>
          <w:szCs w:val="24"/>
        </w:rPr>
        <w:t>The Institute seeks to promote high-quality analysis and to encourage consistency in analytical approaches”</w:t>
      </w:r>
      <w:r w:rsidRPr="001D358E">
        <w:rPr>
          <w:rFonts w:ascii="Times New Roman" w:hAnsi="Times New Roman" w:cs="Times New Roman"/>
          <w:sz w:val="24"/>
          <w:szCs w:val="24"/>
        </w:rPr>
        <w:t xml:space="preserve"> </w:t>
      </w:r>
    </w:p>
    <w:p w14:paraId="22C35B5C" w14:textId="77777777" w:rsidR="0065435C" w:rsidRPr="001D358E" w:rsidRDefault="0065435C" w:rsidP="00A60D52">
      <w:pPr>
        <w:pStyle w:val="ListParagraph"/>
        <w:numPr>
          <w:ilvl w:val="0"/>
          <w:numId w:val="6"/>
        </w:numPr>
        <w:autoSpaceDE w:val="0"/>
        <w:autoSpaceDN w:val="0"/>
        <w:adjustRightInd w:val="0"/>
        <w:contextualSpacing/>
        <w:jc w:val="both"/>
        <w:rPr>
          <w:rFonts w:ascii="Times New Roman" w:hAnsi="Times New Roman" w:cs="Times New Roman"/>
          <w:sz w:val="24"/>
          <w:szCs w:val="24"/>
        </w:rPr>
      </w:pPr>
      <w:r w:rsidRPr="001D358E">
        <w:rPr>
          <w:rFonts w:ascii="Times New Roman" w:hAnsi="Times New Roman" w:cs="Times New Roman"/>
          <w:sz w:val="24"/>
          <w:szCs w:val="24"/>
        </w:rPr>
        <w:t>Section 5.1.1: “</w:t>
      </w:r>
      <w:r w:rsidRPr="001D358E">
        <w:rPr>
          <w:rFonts w:ascii="Times New Roman" w:hAnsi="Times New Roman" w:cs="Times New Roman"/>
          <w:i/>
          <w:iCs/>
          <w:sz w:val="24"/>
          <w:szCs w:val="24"/>
        </w:rPr>
        <w:t xml:space="preserve">It is, therefore, crucial that analyses of clinical and cost effectiveness undertaken to inform the appraisal adopt a consistent approach” </w:t>
      </w:r>
    </w:p>
    <w:p w14:paraId="3B948B86" w14:textId="77777777" w:rsidR="0065435C" w:rsidRPr="001D358E" w:rsidRDefault="0065435C" w:rsidP="00A60D52">
      <w:pPr>
        <w:pStyle w:val="ListParagraph"/>
        <w:numPr>
          <w:ilvl w:val="0"/>
          <w:numId w:val="6"/>
        </w:numPr>
        <w:autoSpaceDE w:val="0"/>
        <w:autoSpaceDN w:val="0"/>
        <w:adjustRightInd w:val="0"/>
        <w:contextualSpacing/>
        <w:jc w:val="both"/>
        <w:rPr>
          <w:rFonts w:ascii="Times New Roman" w:hAnsi="Times New Roman" w:cs="Times New Roman"/>
          <w:sz w:val="24"/>
          <w:szCs w:val="24"/>
        </w:rPr>
      </w:pPr>
      <w:r w:rsidRPr="001D358E">
        <w:rPr>
          <w:rFonts w:ascii="Times New Roman" w:hAnsi="Times New Roman" w:cs="Times New Roman"/>
          <w:sz w:val="24"/>
          <w:szCs w:val="24"/>
        </w:rPr>
        <w:t>Section 6.2.15: “</w:t>
      </w:r>
      <w:r w:rsidRPr="001D358E">
        <w:rPr>
          <w:rFonts w:ascii="Times New Roman" w:hAnsi="Times New Roman" w:cs="Times New Roman"/>
          <w:i/>
          <w:sz w:val="24"/>
          <w:szCs w:val="24"/>
        </w:rPr>
        <w:t>the Appraisal Committee takes account of how the incremental cost effectiveness of the technology being appraised relates to other interventions or technologies currently or potentially applied in the NHS. In addition, as far as possible, the Committee will want to ensure that their judgements regarding the cost-effective use of NHS resources are consistently applied between appraisals”</w:t>
      </w:r>
      <w:r w:rsidRPr="001D358E">
        <w:rPr>
          <w:rFonts w:ascii="Times New Roman" w:hAnsi="Times New Roman" w:cs="Times New Roman"/>
          <w:sz w:val="24"/>
          <w:szCs w:val="24"/>
        </w:rPr>
        <w:t>.</w:t>
      </w:r>
    </w:p>
    <w:p w14:paraId="4CB968DF" w14:textId="77777777" w:rsidR="0065435C" w:rsidRPr="00531318" w:rsidRDefault="0065435C" w:rsidP="0065435C">
      <w:pPr>
        <w:pStyle w:val="Paragraph"/>
        <w:numPr>
          <w:ilvl w:val="0"/>
          <w:numId w:val="0"/>
        </w:numPr>
        <w:spacing w:before="120" w:after="0"/>
        <w:jc w:val="both"/>
        <w:rPr>
          <w:rFonts w:ascii="Times New Roman" w:hAnsi="Times New Roman" w:cstheme="minorBidi"/>
          <w:iCs/>
        </w:rPr>
      </w:pPr>
      <w:r w:rsidRPr="00531318">
        <w:rPr>
          <w:rFonts w:ascii="Times New Roman" w:hAnsi="Times New Roman" w:cstheme="minorBidi"/>
          <w:iCs/>
        </w:rPr>
        <w:t>Merck/Pfizer Alliance are aware that the Appraisal Committee is not bound to follow exactly the same approach in different appraisals. However</w:t>
      </w:r>
      <w:r>
        <w:rPr>
          <w:rFonts w:ascii="Times New Roman" w:hAnsi="Times New Roman" w:cstheme="minorBidi"/>
          <w:iCs/>
        </w:rPr>
        <w:t>,</w:t>
      </w:r>
      <w:r w:rsidRPr="00531318">
        <w:rPr>
          <w:rFonts w:ascii="Times New Roman" w:hAnsi="Times New Roman" w:cstheme="minorBidi"/>
          <w:iCs/>
        </w:rPr>
        <w:t xml:space="preserve"> where it proposes to reach conclusions which are inconsistent it is necessary that adequate reasons are provide</w:t>
      </w:r>
      <w:r>
        <w:rPr>
          <w:rFonts w:ascii="Times New Roman" w:hAnsi="Times New Roman" w:cstheme="minorBidi"/>
          <w:iCs/>
        </w:rPr>
        <w:t>d</w:t>
      </w:r>
      <w:r w:rsidRPr="00531318">
        <w:rPr>
          <w:rFonts w:ascii="Times New Roman" w:hAnsi="Times New Roman" w:cstheme="minorBidi"/>
          <w:iCs/>
        </w:rPr>
        <w:t xml:space="preserve"> to justify that decision. In this case, the same Committee considering two IOs used in very similar patient populations with the same cancer has reached opposite conclusions. No explanation has been given </w:t>
      </w:r>
      <w:r>
        <w:rPr>
          <w:rFonts w:ascii="Times New Roman" w:hAnsi="Times New Roman" w:cstheme="minorBidi"/>
          <w:iCs/>
        </w:rPr>
        <w:t xml:space="preserve">as to </w:t>
      </w:r>
      <w:r w:rsidRPr="00531318">
        <w:rPr>
          <w:rFonts w:ascii="Times New Roman" w:hAnsi="Times New Roman" w:cstheme="minorBidi"/>
          <w:iCs/>
        </w:rPr>
        <w:t xml:space="preserve">why the reasons given by Committee D in considering a stopping rule for </w:t>
      </w:r>
      <w:r w:rsidRPr="00531318">
        <w:rPr>
          <w:rFonts w:ascii="Times New Roman" w:hAnsi="Times New Roman" w:cstheme="minorHAnsi"/>
        </w:rPr>
        <w:t>atezolizumab would not apply with equal force to avelumab and this inconsistency does not reflect a fair procedure or the requirements of NICE’s Guide to the Methods of Technology Appraisal.</w:t>
      </w:r>
    </w:p>
    <w:p w14:paraId="7FF92101" w14:textId="77777777" w:rsidR="0065435C" w:rsidRPr="00A60D52" w:rsidRDefault="0065435C" w:rsidP="0065435C">
      <w:pPr>
        <w:spacing w:before="120" w:line="276" w:lineRule="auto"/>
        <w:jc w:val="both"/>
        <w:rPr>
          <w:rFonts w:cstheme="minorBidi"/>
          <w:b/>
          <w:bCs/>
          <w:iCs/>
          <w:sz w:val="24"/>
          <w:szCs w:val="24"/>
        </w:rPr>
      </w:pPr>
      <w:r w:rsidRPr="00A60D52">
        <w:rPr>
          <w:rFonts w:cstheme="minorBidi"/>
          <w:b/>
          <w:bCs/>
          <w:iCs/>
          <w:sz w:val="24"/>
          <w:szCs w:val="24"/>
        </w:rPr>
        <w:t>1.2</w:t>
      </w:r>
      <w:r w:rsidRPr="00A60D52">
        <w:rPr>
          <w:rFonts w:cstheme="minorBidi"/>
          <w:b/>
          <w:bCs/>
          <w:iCs/>
          <w:sz w:val="24"/>
          <w:szCs w:val="24"/>
        </w:rPr>
        <w:tab/>
        <w:t>The Committee has relied upon irrelevant considerations in deciding that it would not implement a stopping rule for avelumab</w:t>
      </w:r>
    </w:p>
    <w:p w14:paraId="13741615" w14:textId="77777777" w:rsidR="0065435C" w:rsidRPr="00531318" w:rsidRDefault="0065435C" w:rsidP="0065435C">
      <w:pPr>
        <w:pStyle w:val="Paragraph"/>
        <w:numPr>
          <w:ilvl w:val="0"/>
          <w:numId w:val="0"/>
        </w:numPr>
        <w:spacing w:before="120" w:after="0"/>
        <w:jc w:val="both"/>
        <w:rPr>
          <w:rFonts w:ascii="Times New Roman" w:hAnsi="Times New Roman" w:cstheme="minorBidi"/>
        </w:rPr>
      </w:pPr>
      <w:r w:rsidRPr="00531318">
        <w:rPr>
          <w:rFonts w:ascii="Times New Roman" w:hAnsi="Times New Roman" w:cstheme="minorBidi"/>
        </w:rPr>
        <w:t xml:space="preserve">The Committee’s conclusion at paragraph 3.8 of the FAD that it would not implement a stopping rule for avelumab relies on the fact that the JAVELIN Bladder 100 trial did not include a stopping rule and accordingly, the SmPC does not include one. These are irrelevant considerations. </w:t>
      </w:r>
    </w:p>
    <w:p w14:paraId="677FDAB3" w14:textId="77777777" w:rsidR="0065435C" w:rsidRPr="00531318" w:rsidRDefault="0065435C" w:rsidP="0065435C">
      <w:pPr>
        <w:pStyle w:val="Paragraph"/>
        <w:numPr>
          <w:ilvl w:val="0"/>
          <w:numId w:val="0"/>
        </w:numPr>
        <w:spacing w:before="120" w:after="0"/>
        <w:jc w:val="both"/>
        <w:rPr>
          <w:rFonts w:ascii="Times New Roman" w:hAnsi="Times New Roman" w:cstheme="minorBidi"/>
        </w:rPr>
      </w:pPr>
      <w:r w:rsidRPr="00531318">
        <w:rPr>
          <w:rFonts w:ascii="Times New Roman" w:hAnsi="Times New Roman" w:cstheme="minorHAnsi"/>
        </w:rPr>
        <w:t>These two facts are closely linked, because whether the trial includes a stopping rule is likely to determine the inclusion of such a rule in the SmPC. However</w:t>
      </w:r>
      <w:r>
        <w:rPr>
          <w:rFonts w:ascii="Times New Roman" w:hAnsi="Times New Roman" w:cstheme="minorHAnsi"/>
        </w:rPr>
        <w:t>,</w:t>
      </w:r>
      <w:r w:rsidRPr="00531318">
        <w:rPr>
          <w:rFonts w:ascii="Times New Roman" w:hAnsi="Times New Roman" w:cstheme="minorHAnsi"/>
        </w:rPr>
        <w:t xml:space="preserve"> the inclusion of a stopping rule in the design of a clinical trial and/or in the SmPC is wholly distinct from whether such a rule should be included in NICE’s recommendations. A stopping rule is likely to be included in a clinical trial or SmPC for reasons related to the safety of the medicinal product, whereas NICE includes stopping rules principally for reasons related to cost</w:t>
      </w:r>
      <w:r>
        <w:rPr>
          <w:rFonts w:ascii="Times New Roman" w:hAnsi="Times New Roman" w:cstheme="minorHAnsi"/>
        </w:rPr>
        <w:t>-</w:t>
      </w:r>
      <w:r w:rsidRPr="00531318">
        <w:rPr>
          <w:rFonts w:ascii="Times New Roman" w:hAnsi="Times New Roman" w:cstheme="minorHAnsi"/>
        </w:rPr>
        <w:t xml:space="preserve">effectiveness. This was recognised by the NICE Appeal Panel that considered the recent appeal </w:t>
      </w:r>
      <w:r w:rsidRPr="00531318">
        <w:rPr>
          <w:rFonts w:ascii="Times New Roman" w:hAnsi="Times New Roman"/>
        </w:rPr>
        <w:t>against the FAD for tafamidis for treating transthyretin amyloidosis with cardiomyopathy.</w:t>
      </w:r>
      <w:r>
        <w:rPr>
          <w:rFonts w:ascii="Times New Roman" w:hAnsi="Times New Roman"/>
        </w:rPr>
        <w:t xml:space="preserve"> </w:t>
      </w:r>
      <w:r w:rsidRPr="00531318">
        <w:rPr>
          <w:rFonts w:ascii="Times New Roman" w:hAnsi="Times New Roman"/>
        </w:rPr>
        <w:t>The Appeal P</w:t>
      </w:r>
      <w:r>
        <w:rPr>
          <w:rFonts w:ascii="Times New Roman" w:hAnsi="Times New Roman"/>
        </w:rPr>
        <w:t>a</w:t>
      </w:r>
      <w:r w:rsidRPr="00531318">
        <w:rPr>
          <w:rFonts w:ascii="Times New Roman" w:hAnsi="Times New Roman"/>
        </w:rPr>
        <w:t>nel</w:t>
      </w:r>
      <w:r w:rsidRPr="00531318">
        <w:rPr>
          <w:rFonts w:ascii="Times New Roman" w:hAnsi="Times New Roman" w:cstheme="minorHAnsi"/>
        </w:rPr>
        <w:t xml:space="preserve"> </w:t>
      </w:r>
      <w:r w:rsidRPr="00531318">
        <w:rPr>
          <w:rFonts w:ascii="Times New Roman" w:hAnsi="Times New Roman" w:cstheme="minorBidi"/>
        </w:rPr>
        <w:t xml:space="preserve">stated in paragraph 37 of its decision: </w:t>
      </w:r>
    </w:p>
    <w:p w14:paraId="2EF5F246" w14:textId="77777777" w:rsidR="0065435C" w:rsidRPr="00531318" w:rsidRDefault="0065435C" w:rsidP="0065435C">
      <w:pPr>
        <w:pStyle w:val="Paragraph"/>
        <w:numPr>
          <w:ilvl w:val="0"/>
          <w:numId w:val="0"/>
        </w:numPr>
        <w:spacing w:before="120" w:after="0"/>
        <w:ind w:left="720"/>
        <w:jc w:val="both"/>
        <w:rPr>
          <w:rFonts w:ascii="Times New Roman" w:hAnsi="Times New Roman" w:cstheme="minorHAnsi"/>
        </w:rPr>
      </w:pPr>
      <w:r w:rsidRPr="00531318">
        <w:rPr>
          <w:rFonts w:ascii="Times New Roman" w:hAnsi="Times New Roman" w:cstheme="minorHAnsi"/>
          <w:i/>
          <w:iCs/>
        </w:rPr>
        <w:t>“The panel accept Pfizer’s reasoning that the decision to adopt or reject stopping rules for a medication should not be driven on the content of the marketing authorisation. It is possible (indeed usual) to have a stopping rule for health economic reasons that is not to be found in the marketing authorisation.”</w:t>
      </w:r>
      <w:r w:rsidRPr="00531318">
        <w:rPr>
          <w:rFonts w:ascii="Times New Roman" w:hAnsi="Times New Roman" w:cstheme="minorHAnsi"/>
        </w:rPr>
        <w:t xml:space="preserve"> </w:t>
      </w:r>
    </w:p>
    <w:p w14:paraId="2C5C3AD4" w14:textId="77777777" w:rsidR="0065435C" w:rsidRPr="00531318" w:rsidRDefault="0065435C" w:rsidP="0065435C">
      <w:pPr>
        <w:pStyle w:val="Paragraph"/>
        <w:numPr>
          <w:ilvl w:val="0"/>
          <w:numId w:val="0"/>
        </w:numPr>
        <w:spacing w:before="120" w:after="0"/>
        <w:jc w:val="both"/>
        <w:rPr>
          <w:rFonts w:ascii="Times New Roman" w:hAnsi="Times New Roman" w:cstheme="minorBidi"/>
        </w:rPr>
      </w:pPr>
      <w:r w:rsidRPr="00531318">
        <w:rPr>
          <w:rFonts w:ascii="Times New Roman" w:hAnsi="Times New Roman" w:cstheme="minorBidi"/>
        </w:rPr>
        <w:t>The reliance on the JAVELIN Bladder 100 trial and the SmPC for avelumab as reasons not to implement a stopping rule in the context of the current appraisal</w:t>
      </w:r>
      <w:r>
        <w:rPr>
          <w:rFonts w:ascii="Times New Roman" w:hAnsi="Times New Roman" w:cstheme="minorBidi"/>
        </w:rPr>
        <w:t xml:space="preserve">, clinical expert opinion and anticipated real-world use </w:t>
      </w:r>
      <w:r w:rsidRPr="00531318">
        <w:rPr>
          <w:rFonts w:ascii="Times New Roman" w:hAnsi="Times New Roman" w:cstheme="minorBidi"/>
        </w:rPr>
        <w:t xml:space="preserve">is unfair and conflicts with NICE’s procedures, as confirmed by the Appeal Panel. </w:t>
      </w:r>
    </w:p>
    <w:p w14:paraId="694990DC" w14:textId="77777777" w:rsidR="0065435C" w:rsidRPr="001D358E" w:rsidRDefault="0065435C" w:rsidP="0065435C">
      <w:pPr>
        <w:pStyle w:val="Paragraph"/>
        <w:numPr>
          <w:ilvl w:val="0"/>
          <w:numId w:val="0"/>
        </w:numPr>
        <w:spacing w:before="120" w:after="0"/>
        <w:jc w:val="both"/>
        <w:rPr>
          <w:rFonts w:ascii="Calibri" w:eastAsiaTheme="minorHAnsi" w:hAnsi="Calibri" w:cstheme="minorBidi"/>
          <w:b/>
          <w:bCs/>
          <w:iCs/>
          <w:lang w:eastAsia="en-US"/>
        </w:rPr>
      </w:pPr>
      <w:r w:rsidRPr="00846F0E">
        <w:rPr>
          <w:rFonts w:ascii="Times New Roman" w:hAnsi="Times New Roman" w:cstheme="minorBidi"/>
          <w:b/>
          <w:bCs/>
        </w:rPr>
        <w:t xml:space="preserve">1.3 </w:t>
      </w:r>
      <w:r>
        <w:rPr>
          <w:rFonts w:ascii="Times New Roman" w:hAnsi="Times New Roman" w:cstheme="minorBidi"/>
          <w:b/>
          <w:bCs/>
        </w:rPr>
        <w:tab/>
      </w:r>
      <w:r w:rsidRPr="001D358E">
        <w:rPr>
          <w:rFonts w:ascii="Calibri" w:eastAsiaTheme="minorHAnsi" w:hAnsi="Calibri" w:cstheme="minorBidi"/>
          <w:b/>
          <w:bCs/>
          <w:iCs/>
          <w:lang w:eastAsia="en-US"/>
        </w:rPr>
        <w:t>The Committee has provided no explanation for its concern that it would be difficult for patients to accept discontinuance of treatment after 2 years and for rejecting the evidence of the clinical and patient experts and patient organisations</w:t>
      </w:r>
    </w:p>
    <w:p w14:paraId="46472A74" w14:textId="77777777" w:rsidR="0065435C" w:rsidRPr="00531318" w:rsidRDefault="0065435C" w:rsidP="0065435C">
      <w:pPr>
        <w:pStyle w:val="Paragraph"/>
        <w:numPr>
          <w:ilvl w:val="0"/>
          <w:numId w:val="0"/>
        </w:numPr>
        <w:spacing w:before="120" w:after="0"/>
        <w:jc w:val="both"/>
        <w:rPr>
          <w:rFonts w:ascii="Times New Roman" w:hAnsi="Times New Roman" w:cstheme="minorBidi"/>
        </w:rPr>
      </w:pPr>
      <w:r w:rsidRPr="00531318">
        <w:rPr>
          <w:rFonts w:ascii="Times New Roman" w:hAnsi="Times New Roman" w:cstheme="minorBidi"/>
        </w:rPr>
        <w:t>At paragraph 3.8 of the FAD, the Committee also refers to its concern “</w:t>
      </w:r>
      <w:r w:rsidRPr="00531318">
        <w:rPr>
          <w:rFonts w:ascii="Times New Roman" w:hAnsi="Times New Roman" w:cstheme="minorBidi"/>
          <w:i/>
          <w:iCs/>
        </w:rPr>
        <w:t>that it would be difficult for patients to accept that they would no longer be able to have treatment after 2 years if they were free from disease and they may fear losing treatment benefit</w:t>
      </w:r>
      <w:r w:rsidRPr="00531318">
        <w:rPr>
          <w:rFonts w:ascii="Times New Roman" w:hAnsi="Times New Roman" w:cstheme="minorBidi"/>
        </w:rPr>
        <w:t>” and also stated that “</w:t>
      </w:r>
      <w:r w:rsidRPr="00531318">
        <w:rPr>
          <w:rFonts w:ascii="Times New Roman" w:hAnsi="Times New Roman" w:cstheme="minorBidi"/>
          <w:i/>
          <w:iCs/>
        </w:rPr>
        <w:t>people whose disease had not progressed before needing to stop avelumab would not be able to have another immunotherapy in the NHS”</w:t>
      </w:r>
      <w:r w:rsidRPr="00531318">
        <w:rPr>
          <w:rFonts w:ascii="Times New Roman" w:hAnsi="Times New Roman" w:cstheme="minorBidi"/>
        </w:rPr>
        <w:t>.</w:t>
      </w:r>
    </w:p>
    <w:p w14:paraId="33347883" w14:textId="77777777" w:rsidR="0065435C" w:rsidRPr="00531318" w:rsidRDefault="0065435C" w:rsidP="0065435C">
      <w:pPr>
        <w:pStyle w:val="Paragraph"/>
        <w:numPr>
          <w:ilvl w:val="0"/>
          <w:numId w:val="0"/>
        </w:numPr>
        <w:spacing w:before="120" w:after="0"/>
        <w:jc w:val="both"/>
        <w:rPr>
          <w:rFonts w:ascii="Times New Roman" w:hAnsi="Times New Roman" w:cstheme="minorBidi"/>
        </w:rPr>
      </w:pPr>
      <w:r w:rsidRPr="00531318">
        <w:rPr>
          <w:rFonts w:ascii="Times New Roman" w:hAnsi="Times New Roman" w:cstheme="minorBidi"/>
        </w:rPr>
        <w:t>No adequate reasons for the Committee’s concerns has been provided even though:</w:t>
      </w:r>
    </w:p>
    <w:p w14:paraId="7F00014B" w14:textId="77777777" w:rsidR="0065435C" w:rsidRPr="00531318" w:rsidRDefault="0065435C" w:rsidP="00A60D52">
      <w:pPr>
        <w:pStyle w:val="Paragraph"/>
        <w:numPr>
          <w:ilvl w:val="0"/>
          <w:numId w:val="7"/>
        </w:numPr>
        <w:spacing w:before="120" w:after="0"/>
        <w:jc w:val="both"/>
        <w:rPr>
          <w:rFonts w:ascii="Times New Roman" w:hAnsi="Times New Roman" w:cstheme="minorBidi"/>
        </w:rPr>
      </w:pPr>
      <w:r w:rsidRPr="00531318">
        <w:rPr>
          <w:rFonts w:ascii="Times New Roman" w:hAnsi="Times New Roman" w:cstheme="minorBidi"/>
        </w:rPr>
        <w:t>The Committee’s views conflict with the evidence given by the clinical and patient experts, who stated “</w:t>
      </w:r>
      <w:r w:rsidRPr="00531318">
        <w:rPr>
          <w:rFonts w:ascii="Times New Roman" w:hAnsi="Times New Roman" w:cstheme="minorBidi"/>
          <w:i/>
          <w:iCs/>
        </w:rPr>
        <w:t>that they would accept a similar stopping rule if this would enable access to avelumab</w:t>
      </w:r>
      <w:r w:rsidRPr="00531318">
        <w:rPr>
          <w:rFonts w:ascii="Times New Roman" w:hAnsi="Times New Roman" w:cstheme="minorBidi"/>
        </w:rPr>
        <w:t>”, a position confirmed by two patient organisations.</w:t>
      </w:r>
    </w:p>
    <w:p w14:paraId="3E3E93EE" w14:textId="77777777" w:rsidR="0065435C" w:rsidRPr="00531318" w:rsidRDefault="0065435C" w:rsidP="00A60D52">
      <w:pPr>
        <w:pStyle w:val="Paragraph"/>
        <w:numPr>
          <w:ilvl w:val="0"/>
          <w:numId w:val="7"/>
        </w:numPr>
        <w:spacing w:before="120" w:after="0"/>
        <w:jc w:val="both"/>
        <w:rPr>
          <w:rFonts w:ascii="Times New Roman" w:hAnsi="Times New Roman" w:cstheme="minorBidi"/>
        </w:rPr>
      </w:pPr>
      <w:r w:rsidRPr="00531318">
        <w:rPr>
          <w:rFonts w:ascii="Times New Roman" w:hAnsi="Times New Roman" w:cstheme="minorBidi"/>
        </w:rPr>
        <w:t>The Committee recognises that stopping rules have been implemented for other IOs, including those used for the treatment of urothelial cancer after platinum-based chemotherapy; it is unclear why it would be difficult for patients to discontinue avelumab after 2 years but would not be difficult for them to discontinue treatment with these other IOs.</w:t>
      </w:r>
    </w:p>
    <w:p w14:paraId="01BDEAB4" w14:textId="77777777" w:rsidR="0065435C" w:rsidRPr="00531318" w:rsidRDefault="0065435C" w:rsidP="00A60D52">
      <w:pPr>
        <w:pStyle w:val="Paragraph"/>
        <w:numPr>
          <w:ilvl w:val="0"/>
          <w:numId w:val="7"/>
        </w:numPr>
        <w:spacing w:before="120" w:after="0"/>
        <w:jc w:val="both"/>
        <w:rPr>
          <w:rFonts w:ascii="Times New Roman" w:hAnsi="Times New Roman" w:cstheme="minorBidi"/>
        </w:rPr>
      </w:pPr>
      <w:r>
        <w:rPr>
          <w:rFonts w:ascii="Times New Roman" w:hAnsi="Times New Roman" w:cstheme="minorBidi"/>
        </w:rPr>
        <w:t>T</w:t>
      </w:r>
      <w:r w:rsidRPr="00531318">
        <w:rPr>
          <w:rFonts w:ascii="Times New Roman" w:hAnsi="Times New Roman" w:cstheme="minorBidi"/>
        </w:rPr>
        <w:t>he clinical lead for the Cancer Drugs Fund accepted that “</w:t>
      </w:r>
      <w:r w:rsidRPr="00531318">
        <w:rPr>
          <w:rFonts w:ascii="Times New Roman" w:hAnsi="Times New Roman" w:cstheme="minorBidi"/>
          <w:i/>
          <w:iCs/>
        </w:rPr>
        <w:t>for other immunotherapies a rule to stop treatment at 2 years has been implemented in the NHS</w:t>
      </w:r>
      <w:r w:rsidRPr="00531318">
        <w:rPr>
          <w:rFonts w:ascii="Times New Roman" w:hAnsi="Times New Roman" w:cstheme="minorBidi"/>
        </w:rPr>
        <w:t>”.</w:t>
      </w:r>
    </w:p>
    <w:p w14:paraId="6DE1BBAD" w14:textId="77777777" w:rsidR="0065435C" w:rsidRPr="00531318" w:rsidRDefault="0065435C" w:rsidP="00A60D52">
      <w:pPr>
        <w:pStyle w:val="Paragraph"/>
        <w:numPr>
          <w:ilvl w:val="0"/>
          <w:numId w:val="7"/>
        </w:numPr>
        <w:spacing w:before="120" w:after="0"/>
        <w:jc w:val="both"/>
        <w:rPr>
          <w:rFonts w:ascii="Times New Roman" w:hAnsi="Times New Roman" w:cstheme="minorBidi"/>
        </w:rPr>
      </w:pPr>
      <w:r w:rsidRPr="00531318">
        <w:rPr>
          <w:rFonts w:ascii="Times New Roman" w:hAnsi="Times New Roman" w:cstheme="minorBidi"/>
        </w:rPr>
        <w:t>The statement at paragraph 3.8 of the FAD that “…</w:t>
      </w:r>
      <w:r w:rsidRPr="00531318">
        <w:rPr>
          <w:rFonts w:ascii="Times New Roman" w:hAnsi="Times New Roman" w:cstheme="minorBidi"/>
          <w:i/>
          <w:iCs/>
        </w:rPr>
        <w:t>people whose disease had not progressed before needing to stop avelumab would not be able to have another immunotherapy in the NHS</w:t>
      </w:r>
      <w:r w:rsidRPr="00531318">
        <w:rPr>
          <w:rFonts w:ascii="Times New Roman" w:hAnsi="Times New Roman" w:cstheme="minorBidi"/>
        </w:rPr>
        <w:t xml:space="preserve">”, applies equally to patients receiving </w:t>
      </w:r>
      <w:r>
        <w:rPr>
          <w:rFonts w:ascii="Times New Roman" w:hAnsi="Times New Roman" w:cstheme="minorBidi"/>
        </w:rPr>
        <w:t>second-line</w:t>
      </w:r>
      <w:r w:rsidRPr="00531318">
        <w:rPr>
          <w:rFonts w:ascii="Times New Roman" w:hAnsi="Times New Roman" w:cstheme="minorBidi"/>
        </w:rPr>
        <w:t xml:space="preserve"> IO treatment (with atezolizumab) for which the Committee have previously decided to implement a 2-year stopping rule.</w:t>
      </w:r>
    </w:p>
    <w:p w14:paraId="07E9D636" w14:textId="77777777" w:rsidR="0065435C" w:rsidRPr="00531318" w:rsidRDefault="0065435C" w:rsidP="0065435C">
      <w:pPr>
        <w:pStyle w:val="Paragraph"/>
        <w:numPr>
          <w:ilvl w:val="0"/>
          <w:numId w:val="0"/>
        </w:numPr>
        <w:spacing w:before="120" w:after="0"/>
        <w:jc w:val="both"/>
        <w:rPr>
          <w:rFonts w:ascii="Times New Roman" w:hAnsi="Times New Roman"/>
        </w:rPr>
      </w:pPr>
      <w:r w:rsidRPr="00531318">
        <w:rPr>
          <w:rFonts w:ascii="Times New Roman" w:hAnsi="Times New Roman"/>
        </w:rPr>
        <w:t xml:space="preserve">In summary therefore, the Committee has rejected the submissions of the clinical and patient experts and the patient organisations that a stopping rule would be accepted if this enabled access to avelumab, without adequate reasons. Such lack of transparency, which does not permit a comprehensive response to the Committee’s conclusions prejudices Merck/Pfizer Alliance and is inconsistent with standards of procedural fairness. </w:t>
      </w:r>
    </w:p>
    <w:p w14:paraId="30CB917C" w14:textId="77777777" w:rsidR="0065435C" w:rsidRPr="001D358E" w:rsidRDefault="0065435C" w:rsidP="0065435C">
      <w:pPr>
        <w:pStyle w:val="ListParagraph"/>
        <w:spacing w:before="120" w:line="276" w:lineRule="auto"/>
        <w:ind w:left="0"/>
        <w:jc w:val="both"/>
        <w:rPr>
          <w:rFonts w:ascii="Times New Roman" w:hAnsi="Times New Roman" w:cs="Times New Roman"/>
          <w:b/>
          <w:iCs/>
          <w:sz w:val="24"/>
          <w:szCs w:val="24"/>
          <w:lang w:eastAsia="x-none"/>
        </w:rPr>
      </w:pPr>
      <w:r w:rsidRPr="001D358E">
        <w:rPr>
          <w:rFonts w:ascii="Times New Roman" w:hAnsi="Times New Roman" w:cs="Times New Roman"/>
          <w:b/>
          <w:iCs/>
          <w:sz w:val="24"/>
          <w:szCs w:val="24"/>
        </w:rPr>
        <w:t>1.4</w:t>
      </w:r>
      <w:r w:rsidRPr="001D358E">
        <w:rPr>
          <w:rFonts w:ascii="Times New Roman" w:hAnsi="Times New Roman" w:cs="Times New Roman"/>
          <w:b/>
          <w:iCs/>
          <w:sz w:val="24"/>
          <w:szCs w:val="24"/>
        </w:rPr>
        <w:tab/>
      </w:r>
      <w:r w:rsidRPr="001D358E">
        <w:rPr>
          <w:rFonts w:cstheme="minorBidi"/>
          <w:b/>
          <w:bCs/>
          <w:iCs/>
          <w:sz w:val="24"/>
          <w:szCs w:val="24"/>
        </w:rPr>
        <w:t xml:space="preserve"> In view of the Committee’s view that it would be difficult for patients to accept a stopping rule for avelumab at 2 years, despite substantial evidence to the contrary, the clinical and patient experts should have been invited to attend the second meeting of the Appraisal Committee (17th June 2021)</w:t>
      </w:r>
    </w:p>
    <w:p w14:paraId="0C9920E9" w14:textId="77777777" w:rsidR="0065435C" w:rsidRPr="00531318" w:rsidRDefault="0065435C" w:rsidP="0065435C">
      <w:pPr>
        <w:pStyle w:val="Paragraph"/>
        <w:numPr>
          <w:ilvl w:val="0"/>
          <w:numId w:val="0"/>
        </w:numPr>
        <w:spacing w:before="120" w:after="0"/>
        <w:jc w:val="both"/>
        <w:rPr>
          <w:rFonts w:ascii="Times New Roman" w:hAnsi="Times New Roman" w:cstheme="minorBidi"/>
        </w:rPr>
      </w:pPr>
      <w:r w:rsidRPr="00531318">
        <w:rPr>
          <w:rFonts w:ascii="Times New Roman" w:hAnsi="Times New Roman" w:cstheme="minorBidi"/>
        </w:rPr>
        <w:t xml:space="preserve">The implementation of a stopping rule to improve cost effectiveness is a central issue in this appraisal. </w:t>
      </w:r>
      <w:r>
        <w:rPr>
          <w:rFonts w:ascii="Times New Roman" w:hAnsi="Times New Roman" w:cstheme="minorBidi"/>
        </w:rPr>
        <w:t>H</w:t>
      </w:r>
      <w:r w:rsidRPr="00531318">
        <w:rPr>
          <w:rFonts w:ascii="Times New Roman" w:hAnsi="Times New Roman" w:cstheme="minorBidi"/>
        </w:rPr>
        <w:t>owever:</w:t>
      </w:r>
    </w:p>
    <w:p w14:paraId="69903C78" w14:textId="77777777" w:rsidR="0065435C" w:rsidRPr="00531318" w:rsidRDefault="0065435C" w:rsidP="00A60D52">
      <w:pPr>
        <w:pStyle w:val="Paragraph"/>
        <w:numPr>
          <w:ilvl w:val="0"/>
          <w:numId w:val="8"/>
        </w:numPr>
        <w:spacing w:before="120" w:after="0"/>
        <w:jc w:val="both"/>
        <w:rPr>
          <w:rFonts w:ascii="Times New Roman" w:hAnsi="Times New Roman" w:cstheme="minorBidi"/>
        </w:rPr>
      </w:pPr>
      <w:r w:rsidRPr="00531318">
        <w:rPr>
          <w:rFonts w:ascii="Times New Roman" w:hAnsi="Times New Roman" w:cstheme="minorBidi"/>
        </w:rPr>
        <w:t xml:space="preserve">The Appraisal Committee rejected the submissions of the clinical and patient experts and the patient organisations that a stopping rule would be accepted if it enabled access to avelumab; and </w:t>
      </w:r>
    </w:p>
    <w:p w14:paraId="5D6CBFC7" w14:textId="77777777" w:rsidR="0065435C" w:rsidRPr="00531318" w:rsidRDefault="0065435C" w:rsidP="00A60D52">
      <w:pPr>
        <w:pStyle w:val="Paragraph"/>
        <w:numPr>
          <w:ilvl w:val="0"/>
          <w:numId w:val="8"/>
        </w:numPr>
        <w:spacing w:before="120" w:after="0"/>
        <w:jc w:val="both"/>
        <w:rPr>
          <w:rFonts w:ascii="Times New Roman" w:hAnsi="Times New Roman" w:cstheme="minorBidi"/>
        </w:rPr>
      </w:pPr>
      <w:r w:rsidRPr="00531318">
        <w:rPr>
          <w:rFonts w:ascii="Times New Roman" w:hAnsi="Times New Roman" w:cstheme="minorBidi"/>
        </w:rPr>
        <w:t xml:space="preserve">While it accepted the evidence of the clinical experts </w:t>
      </w:r>
    </w:p>
    <w:p w14:paraId="30061C9F" w14:textId="77777777" w:rsidR="0065435C" w:rsidRPr="00531318" w:rsidRDefault="0065435C" w:rsidP="0065435C">
      <w:pPr>
        <w:pStyle w:val="Paragraph"/>
        <w:numPr>
          <w:ilvl w:val="0"/>
          <w:numId w:val="0"/>
        </w:numPr>
        <w:spacing w:before="120" w:after="0"/>
        <w:ind w:left="720"/>
        <w:jc w:val="both"/>
        <w:rPr>
          <w:rFonts w:ascii="Times New Roman" w:hAnsi="Times New Roman" w:cstheme="minorBidi"/>
          <w:i/>
          <w:iCs/>
        </w:rPr>
      </w:pPr>
      <w:r w:rsidRPr="00531318">
        <w:rPr>
          <w:rFonts w:ascii="Times New Roman" w:hAnsi="Times New Roman" w:cstheme="minorBidi"/>
          <w:i/>
          <w:iCs/>
        </w:rPr>
        <w:t>“…that stopping treatment after 2 years might be reasonable for some people for reasons such as fatigue from fortnightly hospital visits or the adverse effects of the treatment”,</w:t>
      </w:r>
      <w:r w:rsidRPr="00531318">
        <w:rPr>
          <w:rFonts w:ascii="Times New Roman" w:hAnsi="Times New Roman" w:cstheme="minorBidi"/>
        </w:rPr>
        <w:t xml:space="preserve"> it stated that</w:t>
      </w:r>
      <w:r w:rsidRPr="00531318">
        <w:rPr>
          <w:rFonts w:ascii="Times New Roman" w:hAnsi="Times New Roman" w:cstheme="minorBidi"/>
          <w:i/>
          <w:iCs/>
        </w:rPr>
        <w:t xml:space="preserve"> “it was not clear whether this would apply to people with urothelial cancer in general, or the population considered here of people whose disease has responded to chemotherapy and is continuing to respond to maintenance treatment.” </w:t>
      </w:r>
    </w:p>
    <w:p w14:paraId="7584C5BE" w14:textId="77777777" w:rsidR="0065435C" w:rsidRPr="00531318" w:rsidRDefault="0065435C" w:rsidP="0065435C">
      <w:pPr>
        <w:pStyle w:val="Paragraph"/>
        <w:numPr>
          <w:ilvl w:val="0"/>
          <w:numId w:val="0"/>
        </w:numPr>
        <w:spacing w:before="120" w:after="0"/>
        <w:jc w:val="both"/>
        <w:rPr>
          <w:rFonts w:ascii="Times New Roman" w:hAnsi="Times New Roman" w:cstheme="minorBidi"/>
        </w:rPr>
      </w:pPr>
      <w:r w:rsidRPr="00531318">
        <w:rPr>
          <w:rFonts w:ascii="Times New Roman" w:hAnsi="Times New Roman" w:cstheme="minorBidi"/>
        </w:rPr>
        <w:t xml:space="preserve">While therefore the stopping rule was of substantial importance in this appraisal, the Committee was concerned about whether such a rule could be implemented and questioned clinical evidence that certain patients would elect to discontinue treatment. Nevertheless and despite these areas of uncertainty for the Committee, the stopping rule and patient discontinuance was barely mentioned during the public part of the second </w:t>
      </w:r>
      <w:r>
        <w:rPr>
          <w:rFonts w:ascii="Times New Roman" w:hAnsi="Times New Roman" w:cstheme="minorBidi"/>
        </w:rPr>
        <w:t xml:space="preserve">Appraisal Committee </w:t>
      </w:r>
      <w:r w:rsidRPr="00531318">
        <w:rPr>
          <w:rFonts w:ascii="Times New Roman" w:hAnsi="Times New Roman" w:cstheme="minorBidi"/>
        </w:rPr>
        <w:t>meeting</w:t>
      </w:r>
      <w:r>
        <w:rPr>
          <w:rFonts w:ascii="Times New Roman" w:hAnsi="Times New Roman" w:cstheme="minorBidi"/>
        </w:rPr>
        <w:t>.</w:t>
      </w:r>
      <w:r w:rsidRPr="00531318">
        <w:rPr>
          <w:rFonts w:ascii="Times New Roman" w:hAnsi="Times New Roman" w:cstheme="minorBidi"/>
        </w:rPr>
        <w:t xml:space="preserve"> The unfairness resulting from the limited consideration given to this issue was substantially increased as a result of the absence of the clinical and patient experts from that meeting, with the result that the Committee was unable to test its concerns regarding implementation of a stopping rule or clarify whether patients eligible for avelumab maintenance therapy would voluntarily discontinue treatment after two years.</w:t>
      </w:r>
    </w:p>
    <w:p w14:paraId="01A2FCE5" w14:textId="77777777" w:rsidR="0065435C" w:rsidRPr="00531318" w:rsidRDefault="0065435C" w:rsidP="0065435C">
      <w:pPr>
        <w:pStyle w:val="Paragraph"/>
        <w:numPr>
          <w:ilvl w:val="0"/>
          <w:numId w:val="0"/>
        </w:numPr>
        <w:spacing w:before="120" w:after="0"/>
        <w:jc w:val="both"/>
        <w:rPr>
          <w:rFonts w:ascii="Times New Roman" w:hAnsi="Times New Roman" w:cstheme="minorBidi"/>
        </w:rPr>
      </w:pPr>
      <w:r w:rsidRPr="00531318">
        <w:rPr>
          <w:rFonts w:ascii="Times New Roman" w:hAnsi="Times New Roman" w:cstheme="minorBidi"/>
        </w:rPr>
        <w:t>The Appraisal Committee has a discretion to invite the clinical and patient experts to attend its second meeting. It is unclear whether any consideration was given to issuing such invitations in this case or, if so, why the clinical and patient experts were not in fact invited. In particular, if the Committee considered that any of the statements made during the first meeting or the ACD consultation by the clinical experts were unclear, these should have been clarified at the second Committee meeting had such experts been invited to attend.</w:t>
      </w:r>
      <w:r>
        <w:rPr>
          <w:rFonts w:ascii="Times New Roman" w:hAnsi="Times New Roman" w:cstheme="minorBidi"/>
        </w:rPr>
        <w:t xml:space="preserve"> </w:t>
      </w:r>
      <w:r w:rsidRPr="00531318">
        <w:rPr>
          <w:rFonts w:ascii="Times New Roman" w:hAnsi="Times New Roman" w:cstheme="minorBidi"/>
        </w:rPr>
        <w:t xml:space="preserve">Therefore, based on the uncertainties expressed in the FAD and the Committee’s rejection of the clinical and patient evidence, we believe that the Committee should have exercised its discretion to invite the clinical and patient experts to the second meeting and that its failure to do so resulted in procedural unfairness. </w:t>
      </w:r>
    </w:p>
    <w:p w14:paraId="64CC7BD6" w14:textId="77777777" w:rsidR="0065435C" w:rsidRPr="00531318" w:rsidRDefault="0065435C" w:rsidP="0065435C">
      <w:pPr>
        <w:pStyle w:val="Paragraph"/>
        <w:numPr>
          <w:ilvl w:val="0"/>
          <w:numId w:val="0"/>
        </w:numPr>
        <w:spacing w:before="120" w:after="0"/>
        <w:jc w:val="both"/>
        <w:rPr>
          <w:rFonts w:ascii="Times New Roman" w:hAnsi="Times New Roman" w:cstheme="minorHAnsi"/>
          <w:bCs/>
        </w:rPr>
      </w:pPr>
    </w:p>
    <w:p w14:paraId="13B7A5C0" w14:textId="77777777" w:rsidR="0065435C" w:rsidRPr="001D358E" w:rsidRDefault="0065435C" w:rsidP="0065435C">
      <w:pPr>
        <w:pStyle w:val="Paragraph"/>
        <w:numPr>
          <w:ilvl w:val="0"/>
          <w:numId w:val="0"/>
        </w:numPr>
        <w:spacing w:before="120" w:after="0"/>
        <w:jc w:val="both"/>
        <w:rPr>
          <w:rFonts w:ascii="Calibri" w:eastAsiaTheme="minorHAnsi" w:hAnsi="Calibri" w:cstheme="minorBidi"/>
          <w:b/>
          <w:bCs/>
          <w:iCs/>
          <w:lang w:eastAsia="en-US"/>
        </w:rPr>
      </w:pPr>
      <w:r w:rsidRPr="00846F0E">
        <w:rPr>
          <w:rFonts w:ascii="Times New Roman" w:hAnsi="Times New Roman" w:cstheme="minorHAnsi"/>
          <w:b/>
        </w:rPr>
        <w:t>1.5</w:t>
      </w:r>
      <w:r w:rsidRPr="00846F0E">
        <w:rPr>
          <w:rFonts w:ascii="Times New Roman" w:hAnsi="Times New Roman" w:cstheme="minorHAnsi"/>
          <w:b/>
        </w:rPr>
        <w:tab/>
      </w:r>
      <w:r w:rsidRPr="001D358E">
        <w:rPr>
          <w:rFonts w:ascii="Calibri" w:eastAsiaTheme="minorHAnsi" w:hAnsi="Calibri" w:cstheme="minorBidi"/>
          <w:b/>
          <w:bCs/>
          <w:iCs/>
          <w:lang w:eastAsia="en-US"/>
        </w:rPr>
        <w:t>In questioning whether the evidence of clinical experts regarding life expectancy corresponded to the population eligible for maintenance treatment with avelumab despite evidence to the contrary, the clinical and patient experts should have been invited to attend the second meeting of the Appraisal Committee (17th June 2021)</w:t>
      </w:r>
    </w:p>
    <w:p w14:paraId="075E7000" w14:textId="77777777" w:rsidR="0065435C" w:rsidRPr="00531318" w:rsidRDefault="0065435C" w:rsidP="0065435C">
      <w:pPr>
        <w:pStyle w:val="Paragraph"/>
        <w:numPr>
          <w:ilvl w:val="0"/>
          <w:numId w:val="0"/>
        </w:numPr>
        <w:spacing w:before="120" w:after="0"/>
        <w:jc w:val="both"/>
        <w:rPr>
          <w:rFonts w:ascii="Times New Roman" w:hAnsi="Times New Roman" w:cstheme="minorHAnsi"/>
          <w:bCs/>
        </w:rPr>
      </w:pPr>
      <w:r w:rsidRPr="00531318">
        <w:rPr>
          <w:rFonts w:ascii="Times New Roman" w:hAnsi="Times New Roman" w:cstheme="minorHAnsi"/>
          <w:bCs/>
        </w:rPr>
        <w:t>At paragraph 3.</w:t>
      </w:r>
      <w:r>
        <w:rPr>
          <w:rFonts w:ascii="Times New Roman" w:hAnsi="Times New Roman" w:cstheme="minorHAnsi"/>
          <w:bCs/>
        </w:rPr>
        <w:t>14</w:t>
      </w:r>
      <w:r w:rsidRPr="00531318">
        <w:rPr>
          <w:rFonts w:ascii="Times New Roman" w:hAnsi="Times New Roman" w:cstheme="minorHAnsi"/>
          <w:bCs/>
        </w:rPr>
        <w:t xml:space="preserve">, the FAD refers to the evidence of the clinical experts </w:t>
      </w:r>
      <w:r>
        <w:rPr>
          <w:rFonts w:ascii="Times New Roman" w:hAnsi="Times New Roman" w:cstheme="minorHAnsi"/>
          <w:bCs/>
        </w:rPr>
        <w:t xml:space="preserve">at the first committee meeting regarding life expectancy and the Committee concern that this evidence might not apply to patients eligible for maintenance treatment with avelumab. </w:t>
      </w:r>
    </w:p>
    <w:p w14:paraId="4CFB5AC9" w14:textId="77777777" w:rsidR="0065435C" w:rsidRPr="00531318" w:rsidRDefault="0065435C" w:rsidP="0065435C">
      <w:pPr>
        <w:pStyle w:val="Paragraph"/>
        <w:numPr>
          <w:ilvl w:val="0"/>
          <w:numId w:val="0"/>
        </w:numPr>
        <w:spacing w:before="120" w:after="0"/>
        <w:ind w:left="720"/>
        <w:jc w:val="both"/>
        <w:rPr>
          <w:rFonts w:ascii="Times New Roman" w:hAnsi="Times New Roman" w:cstheme="minorBidi"/>
          <w:i/>
          <w:iCs/>
        </w:rPr>
      </w:pPr>
      <w:r w:rsidRPr="00531318">
        <w:rPr>
          <w:rFonts w:ascii="Times New Roman" w:hAnsi="Times New Roman" w:cstheme="minorHAnsi"/>
          <w:bCs/>
        </w:rPr>
        <w:t xml:space="preserve"> </w:t>
      </w:r>
      <w:r w:rsidRPr="00531318">
        <w:rPr>
          <w:rFonts w:ascii="Times New Roman" w:hAnsi="Times New Roman" w:cstheme="minorBidi"/>
          <w:i/>
          <w:iCs/>
        </w:rPr>
        <w:t>“</w:t>
      </w:r>
      <w:r w:rsidRPr="00846F0E">
        <w:rPr>
          <w:rFonts w:ascii="Times New Roman" w:hAnsi="Times New Roman" w:cstheme="minorBidi"/>
          <w:i/>
          <w:iCs/>
        </w:rPr>
        <w:t>At the first meeting, the committee was concerned that the overall survival values from existing clinical trials and estimates provided by the clinical experts may not accurately reflect people who are eligible for maintenance treatment with avelumab. It considered that these estimates might include people whose cancer had not responded well to chemotherapy and so have a short prognosis and therefore would not be eligible for maintenance treatment.</w:t>
      </w:r>
      <w:r w:rsidRPr="00531318">
        <w:rPr>
          <w:rFonts w:ascii="Times New Roman" w:hAnsi="Times New Roman" w:cstheme="minorBidi"/>
          <w:i/>
          <w:iCs/>
        </w:rPr>
        <w:t xml:space="preserve">” </w:t>
      </w:r>
    </w:p>
    <w:p w14:paraId="61D69FFE" w14:textId="77777777" w:rsidR="0065435C" w:rsidRPr="00531318" w:rsidRDefault="0065435C" w:rsidP="0065435C">
      <w:pPr>
        <w:pStyle w:val="Paragraph"/>
        <w:numPr>
          <w:ilvl w:val="0"/>
          <w:numId w:val="0"/>
        </w:numPr>
        <w:spacing w:before="120" w:after="0"/>
        <w:jc w:val="both"/>
        <w:rPr>
          <w:rFonts w:ascii="Times New Roman" w:hAnsi="Times New Roman" w:cstheme="minorHAnsi"/>
          <w:bCs/>
        </w:rPr>
      </w:pPr>
      <w:r w:rsidRPr="00531318">
        <w:rPr>
          <w:rFonts w:ascii="Times New Roman" w:hAnsi="Times New Roman" w:cstheme="minorHAnsi"/>
          <w:bCs/>
        </w:rPr>
        <w:t>However the concerns of the Committee disregard evidence given by the clinical experts during the first Committee meeting</w:t>
      </w:r>
      <w:r>
        <w:rPr>
          <w:rFonts w:ascii="Times New Roman" w:hAnsi="Times New Roman" w:cstheme="minorHAnsi"/>
          <w:bCs/>
        </w:rPr>
        <w:t xml:space="preserve"> (14</w:t>
      </w:r>
      <w:r w:rsidRPr="00F459B1">
        <w:rPr>
          <w:rFonts w:ascii="Times New Roman" w:hAnsi="Times New Roman" w:cstheme="minorHAnsi"/>
          <w:bCs/>
          <w:vertAlign w:val="superscript"/>
        </w:rPr>
        <w:t>th</w:t>
      </w:r>
      <w:r>
        <w:rPr>
          <w:rFonts w:ascii="Times New Roman" w:hAnsi="Times New Roman" w:cstheme="minorHAnsi"/>
          <w:bCs/>
        </w:rPr>
        <w:t xml:space="preserve"> April) who confirmed they were considering the correct patient population and referenced the LaMB study </w:t>
      </w:r>
      <w:r w:rsidRPr="00531318">
        <w:rPr>
          <w:rFonts w:ascii="Times New Roman" w:hAnsi="Times New Roman" w:cstheme="minorHAnsi"/>
          <w:bCs/>
        </w:rPr>
        <w:t xml:space="preserve">which also only included patients who had responded to first-line chemotherapy. </w:t>
      </w:r>
      <w:r w:rsidRPr="00660FB2">
        <w:rPr>
          <w:rFonts w:ascii="Times New Roman" w:hAnsi="Times New Roman" w:cstheme="minorHAnsi"/>
          <w:bCs/>
        </w:rPr>
        <w:t>Therefore, based on the uncertainties expressed in the FAD and the Committee’s rejection of the clinical and patient evidence, we believe that the Committee should have exercised its discretion to invite the clinical and patient experts to the second meeting and that its failure to do so resulted in procedural unfairness.</w:t>
      </w:r>
    </w:p>
    <w:p w14:paraId="01C4BE5A" w14:textId="77777777" w:rsidR="0065435C" w:rsidRPr="00531318" w:rsidRDefault="0065435C" w:rsidP="0065435C">
      <w:pPr>
        <w:pStyle w:val="Paragraph"/>
        <w:numPr>
          <w:ilvl w:val="0"/>
          <w:numId w:val="0"/>
        </w:numPr>
        <w:spacing w:before="120" w:after="0"/>
        <w:jc w:val="both"/>
        <w:rPr>
          <w:rFonts w:ascii="Times New Roman" w:hAnsi="Times New Roman" w:cstheme="minorHAnsi"/>
          <w:b/>
        </w:rPr>
      </w:pPr>
    </w:p>
    <w:p w14:paraId="73C72576" w14:textId="77777777" w:rsidR="0065435C" w:rsidRPr="001D358E" w:rsidRDefault="0065435C" w:rsidP="0065435C">
      <w:pPr>
        <w:pStyle w:val="Paragraph"/>
        <w:numPr>
          <w:ilvl w:val="0"/>
          <w:numId w:val="0"/>
        </w:numPr>
        <w:spacing w:before="120" w:after="0"/>
        <w:jc w:val="both"/>
        <w:rPr>
          <w:rFonts w:ascii="Calibri" w:eastAsiaTheme="minorHAnsi" w:hAnsi="Calibri" w:cstheme="minorBidi"/>
          <w:b/>
          <w:bCs/>
          <w:iCs/>
          <w:lang w:eastAsia="en-US"/>
        </w:rPr>
      </w:pPr>
      <w:r w:rsidRPr="00846F0E">
        <w:rPr>
          <w:rFonts w:ascii="Times New Roman" w:hAnsi="Times New Roman" w:cstheme="minorBidi"/>
          <w:b/>
          <w:iCs/>
        </w:rPr>
        <w:t>1.6</w:t>
      </w:r>
      <w:r w:rsidRPr="00846F0E">
        <w:rPr>
          <w:rFonts w:ascii="Times New Roman" w:hAnsi="Times New Roman" w:cstheme="minorBidi"/>
          <w:b/>
          <w:iCs/>
        </w:rPr>
        <w:tab/>
      </w:r>
      <w:r w:rsidRPr="001D358E">
        <w:rPr>
          <w:rFonts w:ascii="Calibri" w:eastAsiaTheme="minorHAnsi" w:hAnsi="Calibri" w:cstheme="minorBidi"/>
          <w:b/>
          <w:bCs/>
          <w:iCs/>
          <w:lang w:eastAsia="en-US"/>
        </w:rPr>
        <w:t>The Committee’s conclusion that it is not appropriate to pool health-state utilities across treatment arms is inconsistent with previous appraisals for immunotherapies (IOs) in metastatic urothelial cancer (mUC).</w:t>
      </w:r>
    </w:p>
    <w:p w14:paraId="39F50480" w14:textId="77777777" w:rsidR="0065435C" w:rsidRPr="00531318" w:rsidRDefault="0065435C" w:rsidP="0065435C">
      <w:pPr>
        <w:pStyle w:val="Paragraph"/>
        <w:numPr>
          <w:ilvl w:val="0"/>
          <w:numId w:val="0"/>
        </w:numPr>
        <w:spacing w:before="120" w:after="0"/>
        <w:jc w:val="both"/>
        <w:rPr>
          <w:rFonts w:ascii="Times New Roman" w:hAnsi="Times New Roman" w:cstheme="minorHAnsi"/>
          <w:bCs/>
        </w:rPr>
      </w:pPr>
      <w:r w:rsidRPr="00531318">
        <w:rPr>
          <w:rFonts w:ascii="Times New Roman" w:hAnsi="Times New Roman" w:cstheme="minorHAnsi"/>
          <w:bCs/>
        </w:rPr>
        <w:t>At paragraph 3.12 of the FAD, the Committee concludes:</w:t>
      </w:r>
    </w:p>
    <w:p w14:paraId="07BA6ACF" w14:textId="77777777" w:rsidR="0065435C" w:rsidRPr="00531318" w:rsidRDefault="0065435C" w:rsidP="0065435C">
      <w:pPr>
        <w:pStyle w:val="Paragraph"/>
        <w:numPr>
          <w:ilvl w:val="0"/>
          <w:numId w:val="0"/>
        </w:numPr>
        <w:spacing w:before="120" w:after="0"/>
        <w:jc w:val="both"/>
        <w:rPr>
          <w:rFonts w:ascii="Times New Roman" w:hAnsi="Times New Roman" w:cstheme="minorHAnsi"/>
          <w:bCs/>
          <w:i/>
          <w:iCs/>
        </w:rPr>
      </w:pPr>
      <w:r w:rsidRPr="00531318">
        <w:rPr>
          <w:rFonts w:ascii="Times New Roman" w:hAnsi="Times New Roman" w:cstheme="minorHAnsi"/>
          <w:bCs/>
          <w:i/>
          <w:iCs/>
        </w:rPr>
        <w:t>“It was not appropriate to pool health-state utilities across treatment arms”.</w:t>
      </w:r>
    </w:p>
    <w:p w14:paraId="15A0458B" w14:textId="77777777" w:rsidR="0065435C" w:rsidRPr="00531318" w:rsidRDefault="0065435C" w:rsidP="0065435C">
      <w:pPr>
        <w:pStyle w:val="Paragraph"/>
        <w:numPr>
          <w:ilvl w:val="0"/>
          <w:numId w:val="0"/>
        </w:numPr>
        <w:spacing w:before="120" w:after="0"/>
        <w:jc w:val="both"/>
        <w:rPr>
          <w:rFonts w:ascii="Times New Roman" w:hAnsi="Times New Roman" w:cstheme="minorHAnsi"/>
          <w:bCs/>
          <w:i/>
          <w:iCs/>
        </w:rPr>
      </w:pPr>
      <w:r w:rsidRPr="00531318">
        <w:rPr>
          <w:rFonts w:ascii="Times New Roman" w:hAnsi="Times New Roman" w:cstheme="minorHAnsi"/>
          <w:bCs/>
        </w:rPr>
        <w:t xml:space="preserve">The explanation provided by the Committee </w:t>
      </w:r>
      <w:r w:rsidRPr="00531318">
        <w:rPr>
          <w:rFonts w:ascii="Times New Roman" w:hAnsi="Times New Roman" w:cstheme="minorHAnsi"/>
          <w:bCs/>
          <w:i/>
          <w:iCs/>
        </w:rPr>
        <w:t xml:space="preserve">is </w:t>
      </w:r>
    </w:p>
    <w:p w14:paraId="40989DC4" w14:textId="77777777" w:rsidR="0065435C" w:rsidRPr="00531318" w:rsidRDefault="0065435C" w:rsidP="0065435C">
      <w:pPr>
        <w:pStyle w:val="Paragraph"/>
        <w:numPr>
          <w:ilvl w:val="0"/>
          <w:numId w:val="0"/>
        </w:numPr>
        <w:spacing w:before="120" w:after="0"/>
        <w:jc w:val="both"/>
        <w:rPr>
          <w:rFonts w:ascii="Times New Roman" w:hAnsi="Times New Roman" w:cstheme="minorHAnsi"/>
          <w:bCs/>
          <w:i/>
          <w:iCs/>
        </w:rPr>
      </w:pPr>
      <w:r w:rsidRPr="00531318">
        <w:rPr>
          <w:rFonts w:ascii="Times New Roman" w:hAnsi="Times New Roman" w:cstheme="minorHAnsi"/>
          <w:bCs/>
          <w:i/>
          <w:iCs/>
        </w:rPr>
        <w:t>“The ERG noted utilities before progression were slightly higher in the avelumab with best supportive care arm compared with best supportive care alone. But values after progression were lower for avelumab with best supportive care compared with best supportive care alone. The committee noted people who had best supportive care in JAVELIN Bladder 100 would also have immunotherapies or chemotherapy if their disease progressed. The committee considered that this might explain the difference in utility values for people who had avelumab with best supportive care or best supportive care alone.”</w:t>
      </w:r>
    </w:p>
    <w:p w14:paraId="39E951DA" w14:textId="77777777" w:rsidR="0065435C" w:rsidRPr="00531318" w:rsidRDefault="0065435C" w:rsidP="0065435C">
      <w:pPr>
        <w:pStyle w:val="Paragraph"/>
        <w:numPr>
          <w:ilvl w:val="0"/>
          <w:numId w:val="0"/>
        </w:numPr>
        <w:spacing w:before="120" w:after="0"/>
        <w:jc w:val="both"/>
        <w:rPr>
          <w:rFonts w:ascii="Times New Roman" w:hAnsi="Times New Roman" w:cstheme="minorHAnsi"/>
          <w:bCs/>
        </w:rPr>
      </w:pPr>
      <w:r w:rsidRPr="00531318">
        <w:rPr>
          <w:rFonts w:ascii="Times New Roman" w:hAnsi="Times New Roman" w:cstheme="minorHAnsi"/>
          <w:bCs/>
        </w:rPr>
        <w:t>The FAD goes on to state that:</w:t>
      </w:r>
    </w:p>
    <w:p w14:paraId="46F5F661" w14:textId="77777777" w:rsidR="0065435C" w:rsidRPr="00531318" w:rsidRDefault="0065435C" w:rsidP="0065435C">
      <w:pPr>
        <w:pStyle w:val="Paragraph"/>
        <w:numPr>
          <w:ilvl w:val="0"/>
          <w:numId w:val="0"/>
        </w:numPr>
        <w:spacing w:before="120" w:after="0"/>
        <w:jc w:val="both"/>
        <w:rPr>
          <w:rFonts w:ascii="Times New Roman" w:hAnsi="Times New Roman" w:cstheme="minorHAnsi"/>
          <w:bCs/>
          <w:i/>
          <w:iCs/>
        </w:rPr>
      </w:pPr>
      <w:r w:rsidRPr="00531318">
        <w:rPr>
          <w:rFonts w:ascii="Times New Roman" w:hAnsi="Times New Roman" w:cstheme="minorHAnsi"/>
          <w:bCs/>
          <w:i/>
          <w:iCs/>
        </w:rPr>
        <w:t>“After consultation, the company maintained its preference for using pooled health-state utilities. It noted that pooled values have previously been accepted in NICE’s technology appraisal guidance on pembrolizumab for treating locally advanced or metastatic urothelial carcinoma after platinum-containing chemotherapy. However, the committee noted in that appraisal, the same treatments were available to people in both study groups whose disease progressed”</w:t>
      </w:r>
    </w:p>
    <w:p w14:paraId="64F9CD70" w14:textId="77777777" w:rsidR="0065435C" w:rsidRPr="00531318" w:rsidRDefault="0065435C" w:rsidP="0065435C">
      <w:pPr>
        <w:pStyle w:val="Paragraph"/>
        <w:numPr>
          <w:ilvl w:val="0"/>
          <w:numId w:val="0"/>
        </w:numPr>
        <w:spacing w:before="120" w:after="0"/>
        <w:jc w:val="both"/>
        <w:rPr>
          <w:rFonts w:ascii="Times New Roman" w:hAnsi="Times New Roman" w:cstheme="minorHAnsi"/>
          <w:bCs/>
        </w:rPr>
      </w:pPr>
      <w:r>
        <w:rPr>
          <w:rFonts w:ascii="Times New Roman" w:hAnsi="Times New Roman" w:cstheme="minorHAnsi"/>
          <w:bCs/>
        </w:rPr>
        <w:t xml:space="preserve">The Committee refers to the NICE’s </w:t>
      </w:r>
      <w:r w:rsidRPr="00660FB2">
        <w:rPr>
          <w:rFonts w:ascii="Times New Roman" w:hAnsi="Times New Roman" w:cstheme="minorHAnsi"/>
          <w:bCs/>
        </w:rPr>
        <w:t xml:space="preserve">technology appraisal guidance on pembrolizumab for treating locally advanced or metastatic urothelial carcinoma after platinum-containing chemotherapy </w:t>
      </w:r>
      <w:r>
        <w:rPr>
          <w:rFonts w:ascii="Times New Roman" w:hAnsi="Times New Roman" w:cstheme="minorHAnsi"/>
          <w:bCs/>
        </w:rPr>
        <w:t xml:space="preserve">which accepted pooled utility values. In this pembrolizumab appraisal, the pre-progression health state (second-line treatment) compared treatment with pembrolizumab and standard of care. By accepting pooled utility values for this health-state the Committee have inferred that there is no utility benefit for treatment with a second-line immunotherapy versus standard of care treatments. This is contrary to the rationale the Committee has given in the FAD whereby they suggest the small difference in utilities in the post-progression health state (second-line treatment) could be explained by use of subsequent immunotherapies in the best supportive care arm. This explanation was hypothesised by the committee and not substantiated by the empirical data.  </w:t>
      </w:r>
    </w:p>
    <w:p w14:paraId="5E4B3899" w14:textId="77777777" w:rsidR="0065435C" w:rsidRPr="00531318" w:rsidRDefault="0065435C" w:rsidP="0065435C">
      <w:pPr>
        <w:pStyle w:val="Paragraph"/>
        <w:numPr>
          <w:ilvl w:val="0"/>
          <w:numId w:val="0"/>
        </w:numPr>
        <w:spacing w:before="120" w:after="0"/>
        <w:jc w:val="both"/>
        <w:rPr>
          <w:rFonts w:ascii="Times New Roman" w:hAnsi="Times New Roman" w:cstheme="minorHAnsi"/>
          <w:bCs/>
        </w:rPr>
      </w:pPr>
      <w:r w:rsidRPr="00531318">
        <w:rPr>
          <w:rFonts w:ascii="Times New Roman" w:hAnsi="Times New Roman" w:cstheme="minorHAnsi"/>
          <w:bCs/>
        </w:rPr>
        <w:t>Additionally, the FAD states that:</w:t>
      </w:r>
    </w:p>
    <w:p w14:paraId="06C7298A" w14:textId="77777777" w:rsidR="0065435C" w:rsidRPr="00531318" w:rsidRDefault="0065435C" w:rsidP="0065435C">
      <w:pPr>
        <w:pStyle w:val="Paragraph"/>
        <w:numPr>
          <w:ilvl w:val="0"/>
          <w:numId w:val="0"/>
        </w:numPr>
        <w:spacing w:before="120" w:after="0"/>
        <w:jc w:val="both"/>
        <w:rPr>
          <w:rFonts w:ascii="Times New Roman" w:hAnsi="Times New Roman" w:cstheme="minorHAnsi"/>
          <w:bCs/>
          <w:i/>
          <w:iCs/>
        </w:rPr>
      </w:pPr>
      <w:r w:rsidRPr="00531318">
        <w:rPr>
          <w:rFonts w:ascii="Times New Roman" w:hAnsi="Times New Roman" w:cstheme="minorHAnsi"/>
          <w:bCs/>
          <w:i/>
          <w:iCs/>
        </w:rPr>
        <w:t>“The ERG noted it was reasonable to consider the effect of treatment-specific utilities on cost-effectiveness estimates, if any uncertainty might be introduced by combining health-state utilities across treatment arms. “</w:t>
      </w:r>
    </w:p>
    <w:p w14:paraId="21915273" w14:textId="77777777" w:rsidR="0065435C" w:rsidRPr="00531318" w:rsidRDefault="0065435C" w:rsidP="0065435C">
      <w:pPr>
        <w:pStyle w:val="Paragraph"/>
        <w:numPr>
          <w:ilvl w:val="0"/>
          <w:numId w:val="0"/>
        </w:numPr>
        <w:spacing w:before="120" w:after="0"/>
        <w:jc w:val="both"/>
        <w:rPr>
          <w:rFonts w:ascii="Times New Roman" w:hAnsi="Times New Roman" w:cstheme="minorHAnsi"/>
          <w:bCs/>
        </w:rPr>
      </w:pPr>
      <w:r w:rsidRPr="00531318">
        <w:rPr>
          <w:rFonts w:ascii="Times New Roman" w:hAnsi="Times New Roman" w:cstheme="minorHAnsi"/>
          <w:bCs/>
        </w:rPr>
        <w:t xml:space="preserve">And </w:t>
      </w:r>
    </w:p>
    <w:p w14:paraId="5F14CBE9" w14:textId="77777777" w:rsidR="0065435C" w:rsidRPr="00531318" w:rsidRDefault="0065435C" w:rsidP="0065435C">
      <w:pPr>
        <w:pStyle w:val="Paragraph"/>
        <w:numPr>
          <w:ilvl w:val="0"/>
          <w:numId w:val="0"/>
        </w:numPr>
        <w:spacing w:before="120" w:after="0"/>
        <w:jc w:val="both"/>
        <w:rPr>
          <w:rFonts w:ascii="Times New Roman" w:hAnsi="Times New Roman" w:cstheme="minorHAnsi"/>
          <w:bCs/>
          <w:i/>
          <w:iCs/>
        </w:rPr>
      </w:pPr>
      <w:r w:rsidRPr="00531318">
        <w:rPr>
          <w:rFonts w:ascii="Times New Roman" w:hAnsi="Times New Roman" w:cstheme="minorHAnsi"/>
          <w:bCs/>
          <w:i/>
          <w:iCs/>
        </w:rPr>
        <w:t>“The committee considered the views of the company and clinical experts and the ERG and concluded, on balance, it was not appropriate to pool health-state utilities across treatment arms.”</w:t>
      </w:r>
    </w:p>
    <w:p w14:paraId="3BDF8415" w14:textId="77777777" w:rsidR="0065435C" w:rsidRPr="00531318" w:rsidRDefault="0065435C" w:rsidP="0065435C">
      <w:pPr>
        <w:pStyle w:val="Paragraph"/>
        <w:numPr>
          <w:ilvl w:val="0"/>
          <w:numId w:val="0"/>
        </w:numPr>
        <w:spacing w:before="120" w:after="0"/>
        <w:jc w:val="both"/>
        <w:rPr>
          <w:rFonts w:ascii="Times New Roman" w:hAnsi="Times New Roman" w:cstheme="minorHAnsi"/>
          <w:bCs/>
        </w:rPr>
      </w:pPr>
      <w:r w:rsidRPr="00531318">
        <w:rPr>
          <w:rFonts w:ascii="Times New Roman" w:hAnsi="Times New Roman" w:cstheme="minorHAnsi"/>
          <w:bCs/>
        </w:rPr>
        <w:t>However, in the ERG critique of the company’s response to Technical Engagement found in the committee papers for the first committee meeting, it is stated:</w:t>
      </w:r>
    </w:p>
    <w:p w14:paraId="08DAFCB0" w14:textId="77777777" w:rsidR="0065435C" w:rsidRPr="00531318" w:rsidRDefault="0065435C" w:rsidP="0065435C">
      <w:pPr>
        <w:pStyle w:val="Paragraph"/>
        <w:numPr>
          <w:ilvl w:val="0"/>
          <w:numId w:val="0"/>
        </w:numPr>
        <w:spacing w:before="120" w:after="0"/>
        <w:jc w:val="both"/>
        <w:rPr>
          <w:rFonts w:ascii="Times New Roman" w:hAnsi="Times New Roman" w:cstheme="minorHAnsi"/>
          <w:bCs/>
          <w:i/>
          <w:iCs/>
        </w:rPr>
      </w:pPr>
      <w:r w:rsidRPr="00531318">
        <w:rPr>
          <w:rFonts w:ascii="Times New Roman" w:hAnsi="Times New Roman" w:cstheme="minorHAnsi"/>
          <w:bCs/>
          <w:i/>
          <w:iCs/>
        </w:rPr>
        <w:t>“The ERG notes that the ICER is not particularly sensitive to the post-progression utilities and, on balance, the ERG agrees with the company’s view that it is appropriate to pool health state utilities across the treatment arms for use in the economic model.”</w:t>
      </w:r>
    </w:p>
    <w:p w14:paraId="541CA45C" w14:textId="77777777" w:rsidR="0065435C" w:rsidRDefault="0065435C" w:rsidP="0065435C">
      <w:pPr>
        <w:pStyle w:val="Paragraph"/>
        <w:numPr>
          <w:ilvl w:val="0"/>
          <w:numId w:val="0"/>
        </w:numPr>
        <w:spacing w:before="120" w:after="0"/>
        <w:jc w:val="both"/>
        <w:rPr>
          <w:rFonts w:ascii="Times New Roman" w:hAnsi="Times New Roman" w:cstheme="minorHAnsi"/>
          <w:bCs/>
        </w:rPr>
      </w:pPr>
      <w:r w:rsidRPr="00531318">
        <w:rPr>
          <w:rFonts w:ascii="Times New Roman" w:hAnsi="Times New Roman" w:cstheme="minorHAnsi"/>
          <w:bCs/>
        </w:rPr>
        <w:t>Consequently, the Committee conclusion is in conflict with both the opinion of the Expert Review Group as well as the prior appraisal in mUC.</w:t>
      </w:r>
      <w:r>
        <w:rPr>
          <w:rFonts w:ascii="Times New Roman" w:hAnsi="Times New Roman" w:cstheme="minorHAnsi"/>
          <w:bCs/>
        </w:rPr>
        <w:t xml:space="preserve"> </w:t>
      </w:r>
    </w:p>
    <w:p w14:paraId="69DA2EA4" w14:textId="77777777" w:rsidR="0065435C" w:rsidRPr="00531318" w:rsidRDefault="0065435C" w:rsidP="0065435C">
      <w:pPr>
        <w:pStyle w:val="Paragraph"/>
        <w:numPr>
          <w:ilvl w:val="0"/>
          <w:numId w:val="0"/>
        </w:numPr>
        <w:spacing w:before="120" w:after="0"/>
        <w:jc w:val="both"/>
        <w:rPr>
          <w:rFonts w:ascii="Times New Roman" w:hAnsi="Times New Roman" w:cstheme="minorHAnsi"/>
          <w:bCs/>
        </w:rPr>
      </w:pPr>
      <w:r>
        <w:rPr>
          <w:rFonts w:ascii="Times New Roman" w:hAnsi="Times New Roman" w:cstheme="minorHAnsi"/>
          <w:bCs/>
        </w:rPr>
        <w:t>I</w:t>
      </w:r>
      <w:r w:rsidRPr="003077B8">
        <w:rPr>
          <w:rFonts w:ascii="Times New Roman" w:hAnsi="Times New Roman" w:cstheme="minorHAnsi"/>
          <w:bCs/>
        </w:rPr>
        <w:t xml:space="preserve">n </w:t>
      </w:r>
      <w:r>
        <w:rPr>
          <w:rFonts w:ascii="Times New Roman" w:hAnsi="Times New Roman" w:cstheme="minorHAnsi"/>
          <w:bCs/>
        </w:rPr>
        <w:t>summary</w:t>
      </w:r>
      <w:r w:rsidRPr="003077B8">
        <w:rPr>
          <w:rFonts w:ascii="Times New Roman" w:hAnsi="Times New Roman" w:cstheme="minorHAnsi"/>
          <w:bCs/>
        </w:rPr>
        <w:t xml:space="preserve">, the same Committee </w:t>
      </w:r>
      <w:r>
        <w:rPr>
          <w:rFonts w:ascii="Times New Roman" w:hAnsi="Times New Roman" w:cstheme="minorHAnsi"/>
          <w:bCs/>
        </w:rPr>
        <w:t>have considered that second-line immunotherapies provide no utility benefit versus standard of care in previous metastatic urothelial cancer appraisals which conflicts with the FAD for avelumab. T</w:t>
      </w:r>
      <w:r w:rsidRPr="003077B8">
        <w:rPr>
          <w:rFonts w:ascii="Times New Roman" w:hAnsi="Times New Roman" w:cstheme="minorHAnsi"/>
          <w:bCs/>
        </w:rPr>
        <w:t>his inconsistency does not reflect a fair procedure or the requirements of NICE’s Guide to the Methods of Technology Appraisal.</w:t>
      </w:r>
    </w:p>
    <w:p w14:paraId="723C45E2" w14:textId="7793BCA9" w:rsidR="0065435C" w:rsidRPr="00A60D52" w:rsidRDefault="0065435C" w:rsidP="00A60D52">
      <w:pPr>
        <w:pStyle w:val="Heading2"/>
        <w:numPr>
          <w:ilvl w:val="0"/>
          <w:numId w:val="4"/>
        </w:numPr>
        <w:spacing w:before="120" w:line="276" w:lineRule="auto"/>
        <w:jc w:val="both"/>
        <w:rPr>
          <w:rFonts w:ascii="Times New Roman" w:hAnsi="Times New Roman" w:cstheme="minorHAnsi"/>
          <w:b/>
          <w:bCs/>
          <w:color w:val="auto"/>
          <w:sz w:val="24"/>
          <w:u w:val="single"/>
        </w:rPr>
      </w:pPr>
      <w:r w:rsidRPr="00A60D52">
        <w:rPr>
          <w:rFonts w:ascii="Times New Roman" w:hAnsi="Times New Roman" w:cstheme="minorHAnsi"/>
          <w:b/>
          <w:bCs/>
          <w:color w:val="auto"/>
          <w:sz w:val="24"/>
          <w:u w:val="single"/>
        </w:rPr>
        <w:t>Ground 2: The recommendation is unreasonable in the light of the evidence submitted to NICE</w:t>
      </w:r>
    </w:p>
    <w:p w14:paraId="0D51D60E" w14:textId="77777777" w:rsidR="0065435C" w:rsidRPr="00531318" w:rsidRDefault="0065435C" w:rsidP="0065435C">
      <w:pPr>
        <w:spacing w:before="120" w:line="276" w:lineRule="auto"/>
        <w:jc w:val="both"/>
        <w:rPr>
          <w:rFonts w:cstheme="minorBidi"/>
        </w:rPr>
      </w:pPr>
      <w:r w:rsidRPr="00846F0E">
        <w:rPr>
          <w:rFonts w:cstheme="minorBidi"/>
          <w:b/>
          <w:bCs/>
        </w:rPr>
        <w:t>2.1</w:t>
      </w:r>
      <w:r w:rsidRPr="00846F0E">
        <w:rPr>
          <w:b/>
          <w:bCs/>
        </w:rPr>
        <w:tab/>
      </w:r>
      <w:r w:rsidRPr="001D358E">
        <w:rPr>
          <w:rFonts w:cstheme="minorBidi"/>
          <w:b/>
          <w:bCs/>
          <w:iCs/>
          <w:sz w:val="24"/>
          <w:szCs w:val="24"/>
        </w:rPr>
        <w:t>In considering the application of the end of life criteria, the Committee has misapplied the relevant test and reached a conclusion which does not reflect the balance of the evidence</w:t>
      </w:r>
      <w:r w:rsidRPr="001D358E">
        <w:rPr>
          <w:rFonts w:cstheme="minorBidi"/>
          <w:b/>
          <w:bCs/>
          <w:iCs/>
          <w:sz w:val="24"/>
          <w:szCs w:val="24"/>
        </w:rPr>
        <w:br/>
      </w:r>
    </w:p>
    <w:p w14:paraId="178DA0BE" w14:textId="77777777" w:rsidR="0065435C" w:rsidRPr="001D358E" w:rsidRDefault="0065435C" w:rsidP="0065435C">
      <w:pPr>
        <w:spacing w:before="120" w:line="276" w:lineRule="auto"/>
        <w:jc w:val="both"/>
        <w:rPr>
          <w:rFonts w:ascii="Times New Roman" w:eastAsia="Times New Roman" w:hAnsi="Times New Roman" w:cstheme="minorHAnsi"/>
          <w:bCs/>
          <w:sz w:val="24"/>
          <w:szCs w:val="24"/>
          <w:lang w:eastAsia="en-GB"/>
        </w:rPr>
      </w:pPr>
      <w:r w:rsidRPr="001D358E">
        <w:rPr>
          <w:rFonts w:ascii="Times New Roman" w:eastAsia="Times New Roman" w:hAnsi="Times New Roman" w:cstheme="minorHAnsi"/>
          <w:bCs/>
          <w:sz w:val="24"/>
          <w:szCs w:val="24"/>
          <w:lang w:eastAsia="en-GB"/>
        </w:rPr>
        <w:t>Paragraph 6.2.10 of NICE’s Guide to the Methods of Technology Appraisal defines the first end of life criterion as:</w:t>
      </w:r>
    </w:p>
    <w:p w14:paraId="2F5C61B5" w14:textId="77777777" w:rsidR="0065435C" w:rsidRPr="00531318" w:rsidRDefault="0065435C" w:rsidP="0065435C">
      <w:pPr>
        <w:spacing w:before="120" w:line="276" w:lineRule="auto"/>
        <w:ind w:left="720"/>
        <w:jc w:val="both"/>
        <w:rPr>
          <w:rFonts w:cstheme="minorBidi"/>
        </w:rPr>
      </w:pPr>
      <w:r w:rsidRPr="00531318">
        <w:rPr>
          <w:rFonts w:cstheme="minorBidi"/>
          <w:i/>
        </w:rPr>
        <w:t>“the treatment is indicated for patients with a short life expectancy, normally less than 24 months"</w:t>
      </w:r>
      <w:r w:rsidRPr="00531318">
        <w:rPr>
          <w:rFonts w:cstheme="minorBidi"/>
        </w:rPr>
        <w:t xml:space="preserve">. </w:t>
      </w:r>
    </w:p>
    <w:p w14:paraId="061D1794" w14:textId="77777777" w:rsidR="0065435C" w:rsidRPr="001D358E" w:rsidRDefault="0065435C" w:rsidP="0065435C">
      <w:pPr>
        <w:spacing w:before="120" w:line="276" w:lineRule="auto"/>
        <w:jc w:val="both"/>
        <w:rPr>
          <w:rFonts w:ascii="Times New Roman" w:eastAsia="Times New Roman" w:hAnsi="Times New Roman" w:cstheme="minorHAnsi"/>
          <w:bCs/>
          <w:sz w:val="24"/>
          <w:szCs w:val="24"/>
          <w:lang w:eastAsia="en-GB"/>
        </w:rPr>
      </w:pPr>
      <w:r w:rsidRPr="001D358E">
        <w:rPr>
          <w:rFonts w:ascii="Times New Roman" w:eastAsia="Times New Roman" w:hAnsi="Times New Roman" w:cstheme="minorHAnsi"/>
          <w:bCs/>
          <w:sz w:val="24"/>
          <w:szCs w:val="24"/>
          <w:lang w:eastAsia="en-GB"/>
        </w:rPr>
        <w:t xml:space="preserve">However in considering avelumab, the Appraisal Committee’s application of the first criterion is not reasonable. Our reasons for this conclusion are set out below. </w:t>
      </w:r>
    </w:p>
    <w:p w14:paraId="251E2C6F" w14:textId="77777777" w:rsidR="0065435C" w:rsidRPr="00A60D52" w:rsidRDefault="0065435C" w:rsidP="0065435C">
      <w:pPr>
        <w:pStyle w:val="Heading3"/>
        <w:spacing w:before="120" w:line="276" w:lineRule="auto"/>
        <w:jc w:val="both"/>
        <w:rPr>
          <w:rFonts w:ascii="Times New Roman" w:hAnsi="Times New Roman" w:cstheme="minorBidi"/>
          <w:b/>
          <w:bCs/>
          <w:color w:val="auto"/>
          <w:u w:val="single"/>
        </w:rPr>
      </w:pPr>
      <w:r w:rsidRPr="00A60D52">
        <w:rPr>
          <w:rFonts w:ascii="Times New Roman" w:hAnsi="Times New Roman" w:cstheme="minorBidi"/>
          <w:color w:val="auto"/>
          <w:u w:val="single"/>
        </w:rPr>
        <w:t>(a) NICE’s procedures do not determine how a short life expectancy is to be measured</w:t>
      </w:r>
    </w:p>
    <w:p w14:paraId="119B637C" w14:textId="77777777" w:rsidR="0065435C" w:rsidRPr="001D358E" w:rsidRDefault="0065435C" w:rsidP="0065435C">
      <w:pPr>
        <w:spacing w:before="120" w:line="276" w:lineRule="auto"/>
        <w:jc w:val="both"/>
        <w:rPr>
          <w:rFonts w:ascii="Times New Roman" w:eastAsia="Times New Roman" w:hAnsi="Times New Roman" w:cstheme="minorHAnsi"/>
          <w:bCs/>
          <w:sz w:val="24"/>
          <w:szCs w:val="24"/>
          <w:lang w:eastAsia="en-GB"/>
        </w:rPr>
      </w:pPr>
      <w:r w:rsidRPr="001D358E">
        <w:rPr>
          <w:rFonts w:ascii="Times New Roman" w:eastAsia="Times New Roman" w:hAnsi="Times New Roman" w:cstheme="minorHAnsi"/>
          <w:bCs/>
          <w:sz w:val="24"/>
          <w:szCs w:val="24"/>
          <w:lang w:eastAsia="en-GB"/>
        </w:rPr>
        <w:t>NICE’s procedures do not define the approach to be followed by the Committee. In particular the procedures do not specify whether any determination should be based on mean versus median data and there is a lack of clarity in relation to the weight to be attached to real world evidence and clinical expert opinion as well as data from clinical trials. However the overall assessment procedure must be reasonable in the context of what this is required to achieve.</w:t>
      </w:r>
    </w:p>
    <w:p w14:paraId="114458A0" w14:textId="77777777" w:rsidR="0065435C" w:rsidRPr="001D358E" w:rsidRDefault="0065435C" w:rsidP="0065435C">
      <w:pPr>
        <w:spacing w:before="120" w:line="276" w:lineRule="auto"/>
        <w:jc w:val="both"/>
        <w:rPr>
          <w:rFonts w:ascii="Times New Roman" w:eastAsia="Times New Roman" w:hAnsi="Times New Roman" w:cstheme="minorHAnsi"/>
          <w:bCs/>
          <w:sz w:val="24"/>
          <w:szCs w:val="24"/>
          <w:lang w:eastAsia="en-GB"/>
        </w:rPr>
      </w:pPr>
      <w:r w:rsidRPr="001D358E">
        <w:rPr>
          <w:rFonts w:ascii="Times New Roman" w:eastAsia="Times New Roman" w:hAnsi="Times New Roman" w:cstheme="minorHAnsi"/>
          <w:bCs/>
          <w:sz w:val="24"/>
          <w:szCs w:val="24"/>
          <w:lang w:eastAsia="en-GB"/>
        </w:rPr>
        <w:t>Although we are unable to fully evaluate all prior End of Life decisions by NICE due to the limited information available in redacted submissions and Final Appraisal Documents.</w:t>
      </w:r>
      <w:r w:rsidRPr="001D358E">
        <w:rPr>
          <w:rFonts w:ascii="Times New Roman" w:eastAsia="Times New Roman" w:hAnsi="Times New Roman" w:cstheme="minorHAnsi"/>
          <w:bCs/>
          <w:szCs w:val="24"/>
          <w:lang w:eastAsia="en-GB"/>
        </w:rPr>
        <w:t xml:space="preserve"> </w:t>
      </w:r>
      <w:r w:rsidRPr="001D358E">
        <w:rPr>
          <w:rFonts w:ascii="Times New Roman" w:eastAsia="Times New Roman" w:hAnsi="Times New Roman" w:cstheme="minorHAnsi"/>
          <w:bCs/>
          <w:sz w:val="24"/>
          <w:szCs w:val="24"/>
          <w:lang w:eastAsia="en-GB"/>
        </w:rPr>
        <w:t xml:space="preserve">The publicly available study (Bovenberg et al., 2021) has systematically reviewed how end of life guidance was implemented over the past 10 years at NICE. The findings of the study suggest that for the life expectancy criterion median overall survival data from the trial was applied in 46 cases whereas mean estimations from the economic modelled were applied in 39 cases, followed by estimates from clinical experts (in 14 cases). </w:t>
      </w:r>
    </w:p>
    <w:p w14:paraId="0608BE08" w14:textId="77777777" w:rsidR="0065435C" w:rsidRPr="001D358E" w:rsidRDefault="0065435C" w:rsidP="0065435C">
      <w:pPr>
        <w:spacing w:before="120" w:line="276" w:lineRule="auto"/>
        <w:jc w:val="both"/>
        <w:rPr>
          <w:rFonts w:ascii="Times New Roman" w:eastAsia="Times New Roman" w:hAnsi="Times New Roman" w:cstheme="minorHAnsi"/>
          <w:bCs/>
          <w:sz w:val="24"/>
          <w:szCs w:val="24"/>
          <w:lang w:eastAsia="en-GB"/>
        </w:rPr>
      </w:pPr>
      <w:r w:rsidRPr="001D358E">
        <w:rPr>
          <w:rFonts w:ascii="Times New Roman" w:eastAsia="Times New Roman" w:hAnsi="Times New Roman" w:cstheme="minorHAnsi"/>
          <w:bCs/>
          <w:sz w:val="24"/>
          <w:szCs w:val="24"/>
          <w:lang w:eastAsia="en-GB"/>
        </w:rPr>
        <w:t>Based on these findings, it is clearly incorrect that mean data are necessarily the most appropriate approach, this is not required by NICE’s procedures and the fact that alternative methods have been used in the majority of cases where the end of life criteria have been implemented should have been taken into account by the Appraisal Committee considering avelumab.</w:t>
      </w:r>
    </w:p>
    <w:p w14:paraId="186EEC76" w14:textId="77777777" w:rsidR="0065435C" w:rsidRPr="00A60D52" w:rsidRDefault="0065435C" w:rsidP="0065435C">
      <w:pPr>
        <w:pStyle w:val="Heading3"/>
        <w:spacing w:before="120" w:line="276" w:lineRule="auto"/>
        <w:jc w:val="both"/>
        <w:rPr>
          <w:rFonts w:ascii="Times New Roman" w:hAnsi="Times New Roman" w:cstheme="minorBidi"/>
          <w:b/>
          <w:bCs/>
          <w:color w:val="auto"/>
          <w:u w:val="single"/>
        </w:rPr>
      </w:pPr>
      <w:r w:rsidRPr="00A60D52">
        <w:rPr>
          <w:rFonts w:ascii="Times New Roman" w:hAnsi="Times New Roman" w:cstheme="minorBidi"/>
          <w:color w:val="auto"/>
          <w:u w:val="single"/>
        </w:rPr>
        <w:t>(b) The Committee’s conclusion that it should base its decision on mean life expectancy because the cost-effectiveness results are based on mean QALYs is unreasonable</w:t>
      </w:r>
    </w:p>
    <w:p w14:paraId="72721D24" w14:textId="77777777" w:rsidR="0065435C" w:rsidRPr="001D358E" w:rsidRDefault="0065435C" w:rsidP="0065435C">
      <w:pPr>
        <w:spacing w:before="120" w:line="276" w:lineRule="auto"/>
        <w:jc w:val="both"/>
        <w:rPr>
          <w:rFonts w:ascii="Times New Roman" w:eastAsia="Times New Roman" w:hAnsi="Times New Roman" w:cstheme="minorHAnsi"/>
          <w:bCs/>
          <w:sz w:val="24"/>
          <w:szCs w:val="24"/>
          <w:lang w:eastAsia="en-GB"/>
        </w:rPr>
      </w:pPr>
      <w:r w:rsidRPr="001D358E">
        <w:rPr>
          <w:rFonts w:ascii="Times New Roman" w:eastAsia="Times New Roman" w:hAnsi="Times New Roman" w:cstheme="minorHAnsi"/>
          <w:bCs/>
          <w:sz w:val="24"/>
          <w:szCs w:val="24"/>
          <w:lang w:eastAsia="en-GB"/>
        </w:rPr>
        <w:t>At paragraph 3.14 of the FAD, the Committee states:</w:t>
      </w:r>
    </w:p>
    <w:p w14:paraId="1ED4E9B6" w14:textId="77777777" w:rsidR="0065435C" w:rsidRPr="00531318" w:rsidRDefault="0065435C" w:rsidP="0065435C">
      <w:pPr>
        <w:spacing w:before="120" w:line="276" w:lineRule="auto"/>
        <w:ind w:left="720"/>
        <w:jc w:val="both"/>
        <w:rPr>
          <w:rFonts w:cstheme="minorBidi"/>
        </w:rPr>
      </w:pPr>
      <w:r w:rsidRPr="00531318">
        <w:rPr>
          <w:rFonts w:cstheme="minorBidi"/>
        </w:rPr>
        <w:t>“</w:t>
      </w:r>
      <w:r w:rsidRPr="00531318">
        <w:rPr>
          <w:rFonts w:cstheme="minorBidi"/>
          <w:i/>
          <w:iCs/>
        </w:rPr>
        <w:t>It considered that the best estimate of expected survival came from modelling mean life-expectancy based on the trial, because the cost-effectiveness results are based on mean quality adjusted life years and costs”</w:t>
      </w:r>
      <w:r w:rsidRPr="00531318">
        <w:rPr>
          <w:rFonts w:cstheme="minorBidi"/>
        </w:rPr>
        <w:t>.</w:t>
      </w:r>
    </w:p>
    <w:p w14:paraId="6916B9DD" w14:textId="77777777" w:rsidR="0065435C" w:rsidRPr="001D358E" w:rsidRDefault="0065435C" w:rsidP="0065435C">
      <w:pPr>
        <w:spacing w:before="120" w:line="276" w:lineRule="auto"/>
        <w:jc w:val="both"/>
        <w:rPr>
          <w:rFonts w:ascii="Times New Roman" w:eastAsia="Times New Roman" w:hAnsi="Times New Roman" w:cstheme="minorHAnsi"/>
          <w:bCs/>
          <w:sz w:val="24"/>
          <w:szCs w:val="24"/>
          <w:lang w:eastAsia="en-GB"/>
        </w:rPr>
      </w:pPr>
      <w:r w:rsidRPr="001D358E">
        <w:rPr>
          <w:rFonts w:ascii="Times New Roman" w:eastAsia="Times New Roman" w:hAnsi="Times New Roman" w:cstheme="minorHAnsi"/>
          <w:bCs/>
          <w:sz w:val="24"/>
          <w:szCs w:val="24"/>
          <w:lang w:eastAsia="en-GB"/>
        </w:rPr>
        <w:t>The End of life modifier reflects societal preference for treatments for patients who are close to the end of their life and this determination should be based on the current life expectancy of patients in UK clinical practice. The assessment of cost effectiveness has very substantial differences from the determination of eligibility for the end of life criteria:</w:t>
      </w:r>
    </w:p>
    <w:p w14:paraId="27E54FD1" w14:textId="23A5D6E6" w:rsidR="0065435C" w:rsidRPr="001D358E" w:rsidRDefault="0065435C" w:rsidP="00A60D52">
      <w:pPr>
        <w:pStyle w:val="ListParagraph"/>
        <w:numPr>
          <w:ilvl w:val="0"/>
          <w:numId w:val="8"/>
        </w:numPr>
        <w:spacing w:before="120" w:line="276" w:lineRule="auto"/>
        <w:contextualSpacing/>
        <w:jc w:val="both"/>
        <w:rPr>
          <w:rFonts w:ascii="Times New Roman" w:hAnsi="Times New Roman" w:cs="Times New Roman"/>
          <w:sz w:val="24"/>
          <w:szCs w:val="24"/>
        </w:rPr>
      </w:pPr>
      <w:r w:rsidRPr="001D358E">
        <w:rPr>
          <w:rFonts w:ascii="Times New Roman" w:hAnsi="Times New Roman" w:cs="Times New Roman"/>
          <w:sz w:val="24"/>
          <w:szCs w:val="24"/>
        </w:rPr>
        <w:t xml:space="preserve">The assessment of cost effectiveness involves a determination of the comparative effectiveness of the technology under consideration; we accept that such comparisons should be based on clinical trial data obtained using the same type of analysis (i.e. both mean or both median); </w:t>
      </w:r>
    </w:p>
    <w:p w14:paraId="2333DA6C" w14:textId="77777777" w:rsidR="0065435C" w:rsidRPr="001D358E" w:rsidRDefault="0065435C" w:rsidP="00A60D52">
      <w:pPr>
        <w:pStyle w:val="ListParagraph"/>
        <w:numPr>
          <w:ilvl w:val="0"/>
          <w:numId w:val="8"/>
        </w:numPr>
        <w:spacing w:before="120" w:line="276" w:lineRule="auto"/>
        <w:contextualSpacing/>
        <w:jc w:val="both"/>
        <w:rPr>
          <w:rFonts w:ascii="Times New Roman" w:hAnsi="Times New Roman" w:cs="Times New Roman"/>
          <w:sz w:val="24"/>
          <w:szCs w:val="24"/>
        </w:rPr>
      </w:pPr>
      <w:r w:rsidRPr="001D358E">
        <w:rPr>
          <w:rFonts w:ascii="Times New Roman" w:hAnsi="Times New Roman" w:cs="Times New Roman"/>
          <w:sz w:val="24"/>
          <w:szCs w:val="24"/>
        </w:rPr>
        <w:t xml:space="preserve">Determination of whether a technology satisfies the end of life criteria involves different considerations to the assessment of cost effectiveness including </w:t>
      </w:r>
    </w:p>
    <w:p w14:paraId="174F1E61" w14:textId="77777777" w:rsidR="0065435C" w:rsidRPr="001D358E" w:rsidRDefault="0065435C" w:rsidP="00A60D52">
      <w:pPr>
        <w:pStyle w:val="ListParagraph"/>
        <w:numPr>
          <w:ilvl w:val="1"/>
          <w:numId w:val="8"/>
        </w:numPr>
        <w:spacing w:before="120" w:line="276" w:lineRule="auto"/>
        <w:contextualSpacing/>
        <w:jc w:val="both"/>
        <w:rPr>
          <w:rFonts w:ascii="Times New Roman" w:hAnsi="Times New Roman" w:cs="Times New Roman"/>
          <w:sz w:val="24"/>
          <w:szCs w:val="24"/>
        </w:rPr>
      </w:pPr>
      <w:r w:rsidRPr="001D358E">
        <w:rPr>
          <w:rFonts w:ascii="Times New Roman" w:hAnsi="Times New Roman" w:cs="Times New Roman"/>
          <w:sz w:val="24"/>
          <w:szCs w:val="24"/>
        </w:rPr>
        <w:t>That, in contrast, median data from clinical trials or real-world evidence will reflect more realistic life expectancy for most patients receiving treatment in clinical practice in England.</w:t>
      </w:r>
    </w:p>
    <w:p w14:paraId="514D2B1B" w14:textId="77777777" w:rsidR="0065435C" w:rsidRPr="001D358E" w:rsidRDefault="0065435C" w:rsidP="00A60D52">
      <w:pPr>
        <w:pStyle w:val="ListParagraph"/>
        <w:numPr>
          <w:ilvl w:val="1"/>
          <w:numId w:val="8"/>
        </w:numPr>
        <w:spacing w:before="120" w:line="276" w:lineRule="auto"/>
        <w:contextualSpacing/>
        <w:jc w:val="both"/>
        <w:rPr>
          <w:rFonts w:ascii="Times New Roman" w:hAnsi="Times New Roman" w:cs="Times New Roman"/>
          <w:sz w:val="24"/>
          <w:szCs w:val="24"/>
        </w:rPr>
      </w:pPr>
      <w:r w:rsidRPr="001D358E">
        <w:rPr>
          <w:rFonts w:ascii="Times New Roman" w:hAnsi="Times New Roman" w:cs="Times New Roman"/>
          <w:sz w:val="24"/>
          <w:szCs w:val="24"/>
        </w:rPr>
        <w:t>The fact that mean estimations, which include data from outliers, which skew the overall results, do not reflect life expectancy for most patients with the condition under consideration in the real world in England.</w:t>
      </w:r>
    </w:p>
    <w:p w14:paraId="187B89AC" w14:textId="77777777" w:rsidR="0065435C" w:rsidRPr="001D358E" w:rsidRDefault="0065435C" w:rsidP="00A60D52">
      <w:pPr>
        <w:pStyle w:val="ListParagraph"/>
        <w:numPr>
          <w:ilvl w:val="1"/>
          <w:numId w:val="8"/>
        </w:numPr>
        <w:spacing w:before="120" w:line="276" w:lineRule="auto"/>
        <w:contextualSpacing/>
        <w:jc w:val="both"/>
        <w:rPr>
          <w:rFonts w:ascii="Times New Roman" w:hAnsi="Times New Roman" w:cs="Times New Roman"/>
          <w:sz w:val="24"/>
          <w:szCs w:val="24"/>
        </w:rPr>
      </w:pPr>
      <w:r w:rsidRPr="001D358E">
        <w:rPr>
          <w:rFonts w:ascii="Times New Roman" w:hAnsi="Times New Roman" w:cs="Times New Roman"/>
          <w:sz w:val="24"/>
          <w:szCs w:val="24"/>
        </w:rPr>
        <w:t>That participants in clinical trials are likely to be fitter than patients eligible for treatment in clinical practice in England and that using real-world evidence is more likely to reflect the experience of such patients.</w:t>
      </w:r>
    </w:p>
    <w:p w14:paraId="565D3D50" w14:textId="77777777" w:rsidR="0065435C" w:rsidRPr="001D358E" w:rsidRDefault="0065435C" w:rsidP="0065435C">
      <w:pPr>
        <w:spacing w:before="120" w:line="276" w:lineRule="auto"/>
        <w:jc w:val="both"/>
        <w:rPr>
          <w:rFonts w:ascii="Times New Roman" w:eastAsia="Times New Roman" w:hAnsi="Times New Roman" w:cstheme="minorHAnsi"/>
          <w:bCs/>
          <w:sz w:val="24"/>
          <w:szCs w:val="24"/>
          <w:lang w:eastAsia="en-GB"/>
        </w:rPr>
      </w:pPr>
      <w:r w:rsidRPr="001D358E">
        <w:rPr>
          <w:rFonts w:ascii="Times New Roman" w:eastAsia="Times New Roman" w:hAnsi="Times New Roman" w:cstheme="minorHAnsi"/>
          <w:bCs/>
          <w:sz w:val="24"/>
          <w:szCs w:val="24"/>
          <w:lang w:eastAsia="en-GB"/>
        </w:rPr>
        <w:t xml:space="preserve">In these circumstances, a decision to base eligibility under the end of life criteria solely on mean data from the clinical trial, without taking into account evidence from other sources more relevant to the experience of English patients eligible for maintenance treatment with avelumab is unreasonable. </w:t>
      </w:r>
    </w:p>
    <w:p w14:paraId="5205F7E2" w14:textId="77777777" w:rsidR="0065435C" w:rsidRPr="00A60D52" w:rsidRDefault="0065435C" w:rsidP="0065435C">
      <w:pPr>
        <w:pStyle w:val="Heading3"/>
        <w:spacing w:before="120" w:line="276" w:lineRule="auto"/>
        <w:jc w:val="both"/>
        <w:rPr>
          <w:rFonts w:ascii="Times New Roman" w:hAnsi="Times New Roman" w:cstheme="minorHAnsi"/>
          <w:b/>
          <w:bCs/>
          <w:color w:val="auto"/>
          <w:u w:val="single"/>
        </w:rPr>
      </w:pPr>
      <w:r w:rsidRPr="00A60D52">
        <w:rPr>
          <w:rFonts w:ascii="Times New Roman" w:hAnsi="Times New Roman" w:cstheme="minorBidi"/>
          <w:color w:val="auto"/>
          <w:u w:val="single"/>
        </w:rPr>
        <w:t xml:space="preserve">(c) It is necessary to </w:t>
      </w:r>
      <w:r w:rsidRPr="00A60D52">
        <w:rPr>
          <w:rFonts w:ascii="Times New Roman" w:hAnsi="Times New Roman" w:cstheme="minorBidi"/>
          <w:b/>
          <w:bCs/>
          <w:color w:val="auto"/>
          <w:u w:val="single"/>
        </w:rPr>
        <w:t>consider</w:t>
      </w:r>
      <w:r w:rsidRPr="00A60D52">
        <w:rPr>
          <w:rFonts w:ascii="Times New Roman" w:hAnsi="Times New Roman" w:cstheme="minorBidi"/>
          <w:color w:val="auto"/>
          <w:u w:val="single"/>
        </w:rPr>
        <w:t xml:space="preserve"> the totality of the available evid</w:t>
      </w:r>
      <w:r w:rsidRPr="00A60D52">
        <w:rPr>
          <w:rFonts w:ascii="Times New Roman" w:hAnsi="Times New Roman" w:cstheme="minorHAnsi"/>
          <w:color w:val="auto"/>
          <w:u w:val="single"/>
        </w:rPr>
        <w:t>ence</w:t>
      </w:r>
    </w:p>
    <w:p w14:paraId="4A03806D" w14:textId="77777777" w:rsidR="0065435C" w:rsidRPr="001D358E" w:rsidRDefault="0065435C" w:rsidP="0065435C">
      <w:pPr>
        <w:spacing w:before="120" w:line="276" w:lineRule="auto"/>
        <w:jc w:val="both"/>
        <w:rPr>
          <w:rFonts w:ascii="Times New Roman" w:eastAsia="Times New Roman" w:hAnsi="Times New Roman" w:cstheme="minorHAnsi"/>
          <w:bCs/>
          <w:sz w:val="24"/>
          <w:szCs w:val="24"/>
          <w:lang w:eastAsia="en-GB"/>
        </w:rPr>
      </w:pPr>
      <w:r w:rsidRPr="001D358E">
        <w:rPr>
          <w:rFonts w:ascii="Times New Roman" w:eastAsia="Times New Roman" w:hAnsi="Times New Roman" w:cstheme="minorHAnsi"/>
          <w:bCs/>
          <w:sz w:val="24"/>
          <w:szCs w:val="24"/>
          <w:lang w:eastAsia="en-GB"/>
        </w:rPr>
        <w:t>When the totality of the evidence from clinical trials and real-world experience are taken into account, the overwhelming majority of the estimates indicate that the life expectancy of patients eligible for avelumab maintenance treatment is less than 24 months. The evidence available to the Committee on life expectancy in people eligible for maintenance treatment with avelumab are summarised in the table below</w:t>
      </w:r>
    </w:p>
    <w:p w14:paraId="0362C1F3" w14:textId="77777777" w:rsidR="0065435C" w:rsidRPr="00531318" w:rsidRDefault="0065435C" w:rsidP="0065435C">
      <w:pPr>
        <w:spacing w:before="120" w:line="276" w:lineRule="auto"/>
        <w:jc w:val="both"/>
        <w:rPr>
          <w:rFonts w:cstheme="minorBidi"/>
        </w:rPr>
      </w:pPr>
    </w:p>
    <w:tbl>
      <w:tblPr>
        <w:tblStyle w:val="TableGrid"/>
        <w:tblW w:w="0" w:type="auto"/>
        <w:tblLook w:val="04A0" w:firstRow="1" w:lastRow="0" w:firstColumn="1" w:lastColumn="0" w:noHBand="0" w:noVBand="1"/>
      </w:tblPr>
      <w:tblGrid>
        <w:gridCol w:w="1980"/>
        <w:gridCol w:w="3402"/>
        <w:gridCol w:w="2914"/>
      </w:tblGrid>
      <w:tr w:rsidR="0065435C" w:rsidRPr="00531318" w14:paraId="23AB6548" w14:textId="77777777" w:rsidTr="0065435C">
        <w:tc>
          <w:tcPr>
            <w:tcW w:w="1980" w:type="dxa"/>
            <w:shd w:val="clear" w:color="auto" w:fill="D9D9D9" w:themeFill="background1" w:themeFillShade="D9"/>
          </w:tcPr>
          <w:p w14:paraId="7EB72D6A" w14:textId="77777777" w:rsidR="0065435C" w:rsidRPr="00531318" w:rsidRDefault="0065435C" w:rsidP="0065435C">
            <w:pPr>
              <w:spacing w:before="120" w:line="276" w:lineRule="auto"/>
              <w:jc w:val="both"/>
              <w:rPr>
                <w:rFonts w:cstheme="minorBidi"/>
                <w:b/>
                <w:bCs/>
              </w:rPr>
            </w:pPr>
            <w:r w:rsidRPr="00531318">
              <w:rPr>
                <w:rFonts w:cstheme="minorBidi"/>
                <w:b/>
                <w:bCs/>
              </w:rPr>
              <w:t>Source</w:t>
            </w:r>
          </w:p>
        </w:tc>
        <w:tc>
          <w:tcPr>
            <w:tcW w:w="3402" w:type="dxa"/>
            <w:shd w:val="clear" w:color="auto" w:fill="D9D9D9" w:themeFill="background1" w:themeFillShade="D9"/>
          </w:tcPr>
          <w:p w14:paraId="545626CE" w14:textId="77777777" w:rsidR="0065435C" w:rsidRPr="00531318" w:rsidRDefault="0065435C" w:rsidP="0065435C">
            <w:pPr>
              <w:spacing w:before="120" w:line="276" w:lineRule="auto"/>
              <w:jc w:val="both"/>
              <w:rPr>
                <w:rFonts w:cstheme="minorBidi"/>
                <w:b/>
                <w:bCs/>
              </w:rPr>
            </w:pPr>
            <w:r>
              <w:rPr>
                <w:rFonts w:cstheme="minorBidi"/>
                <w:b/>
                <w:bCs/>
              </w:rPr>
              <w:t>Population</w:t>
            </w:r>
          </w:p>
        </w:tc>
        <w:tc>
          <w:tcPr>
            <w:tcW w:w="2914" w:type="dxa"/>
            <w:shd w:val="clear" w:color="auto" w:fill="D9D9D9" w:themeFill="background1" w:themeFillShade="D9"/>
          </w:tcPr>
          <w:p w14:paraId="081B8AE0" w14:textId="77777777" w:rsidR="0065435C" w:rsidRPr="00531318" w:rsidRDefault="0065435C" w:rsidP="0065435C">
            <w:pPr>
              <w:spacing w:before="120" w:line="276" w:lineRule="auto"/>
              <w:jc w:val="both"/>
              <w:rPr>
                <w:rFonts w:cstheme="minorBidi"/>
                <w:b/>
                <w:bCs/>
              </w:rPr>
            </w:pPr>
            <w:r>
              <w:rPr>
                <w:rFonts w:cstheme="minorBidi"/>
                <w:b/>
                <w:bCs/>
              </w:rPr>
              <w:t>Life Expectancy</w:t>
            </w:r>
          </w:p>
        </w:tc>
      </w:tr>
      <w:tr w:rsidR="0065435C" w:rsidRPr="00531318" w14:paraId="62B35D63" w14:textId="77777777" w:rsidTr="0065435C">
        <w:tc>
          <w:tcPr>
            <w:tcW w:w="1980" w:type="dxa"/>
          </w:tcPr>
          <w:p w14:paraId="01592D96" w14:textId="77777777" w:rsidR="0065435C" w:rsidRPr="00531318" w:rsidRDefault="0065435C" w:rsidP="0065435C">
            <w:pPr>
              <w:spacing w:before="120" w:line="276" w:lineRule="auto"/>
              <w:jc w:val="both"/>
              <w:rPr>
                <w:rFonts w:cstheme="minorBidi"/>
              </w:rPr>
            </w:pPr>
            <w:r>
              <w:rPr>
                <w:rFonts w:cstheme="minorBidi"/>
              </w:rPr>
              <w:t>JAVELIN Bladder 100 trial (55)</w:t>
            </w:r>
          </w:p>
        </w:tc>
        <w:tc>
          <w:tcPr>
            <w:tcW w:w="3402" w:type="dxa"/>
          </w:tcPr>
          <w:p w14:paraId="55369055" w14:textId="77777777" w:rsidR="0065435C" w:rsidRPr="00A6047A" w:rsidRDefault="0065435C" w:rsidP="0065435C">
            <w:pPr>
              <w:spacing w:before="120" w:line="276" w:lineRule="auto"/>
              <w:jc w:val="both"/>
              <w:rPr>
                <w:rFonts w:cstheme="minorBidi"/>
              </w:rPr>
            </w:pPr>
            <w:r w:rsidRPr="00A6047A">
              <w:rPr>
                <w:rFonts w:cstheme="minorBidi"/>
              </w:rPr>
              <w:t>Adults with locally advanced or metastatic urothelial cancer whose disease did not progress while on or after completion of first-line platinum-based chemotherapy</w:t>
            </w:r>
          </w:p>
        </w:tc>
        <w:tc>
          <w:tcPr>
            <w:tcW w:w="2914" w:type="dxa"/>
          </w:tcPr>
          <w:p w14:paraId="294BF99A" w14:textId="77777777" w:rsidR="0065435C" w:rsidRDefault="0065435C" w:rsidP="0065435C">
            <w:pPr>
              <w:spacing w:before="120" w:line="276" w:lineRule="auto"/>
              <w:jc w:val="both"/>
              <w:rPr>
                <w:rFonts w:cstheme="minorBidi"/>
              </w:rPr>
            </w:pPr>
            <w:r>
              <w:rPr>
                <w:rFonts w:cstheme="minorBidi"/>
              </w:rPr>
              <w:t>Median = 14.3 months</w:t>
            </w:r>
          </w:p>
        </w:tc>
      </w:tr>
      <w:tr w:rsidR="0065435C" w:rsidRPr="00531318" w14:paraId="4AD533D3" w14:textId="77777777" w:rsidTr="0065435C">
        <w:tc>
          <w:tcPr>
            <w:tcW w:w="1980" w:type="dxa"/>
          </w:tcPr>
          <w:p w14:paraId="16129401" w14:textId="77777777" w:rsidR="0065435C" w:rsidRPr="00531318" w:rsidRDefault="0065435C" w:rsidP="0065435C">
            <w:pPr>
              <w:spacing w:before="120" w:line="276" w:lineRule="auto"/>
              <w:jc w:val="both"/>
              <w:rPr>
                <w:rFonts w:cstheme="minorBidi"/>
              </w:rPr>
            </w:pPr>
            <w:r>
              <w:rPr>
                <w:rFonts w:cstheme="minorBidi"/>
              </w:rPr>
              <w:t xml:space="preserve">Committee preferred </w:t>
            </w:r>
            <w:r w:rsidRPr="00531318">
              <w:rPr>
                <w:rFonts w:cstheme="minorBidi"/>
              </w:rPr>
              <w:t>ERG</w:t>
            </w:r>
            <w:r>
              <w:rPr>
                <w:rFonts w:cstheme="minorBidi"/>
              </w:rPr>
              <w:t>/Company aligned</w:t>
            </w:r>
            <w:r w:rsidRPr="00531318">
              <w:rPr>
                <w:rFonts w:cstheme="minorBidi"/>
              </w:rPr>
              <w:t xml:space="preserve"> </w:t>
            </w:r>
            <w:r>
              <w:rPr>
                <w:rFonts w:cstheme="minorBidi"/>
              </w:rPr>
              <w:t xml:space="preserve">CEM </w:t>
            </w:r>
            <w:r w:rsidRPr="00531318">
              <w:rPr>
                <w:rFonts w:cstheme="minorBidi"/>
              </w:rPr>
              <w:t>Base Case</w:t>
            </w:r>
            <w:r>
              <w:rPr>
                <w:rFonts w:cstheme="minorBidi"/>
              </w:rPr>
              <w:t xml:space="preserve"> using log-normal</w:t>
            </w:r>
          </w:p>
        </w:tc>
        <w:tc>
          <w:tcPr>
            <w:tcW w:w="3402" w:type="dxa"/>
          </w:tcPr>
          <w:p w14:paraId="61C4B990" w14:textId="77777777" w:rsidR="0065435C" w:rsidRPr="00531318" w:rsidRDefault="0065435C" w:rsidP="0065435C">
            <w:pPr>
              <w:spacing w:before="120" w:line="276" w:lineRule="auto"/>
              <w:jc w:val="both"/>
              <w:rPr>
                <w:rFonts w:cstheme="minorBidi"/>
              </w:rPr>
            </w:pPr>
            <w:r w:rsidRPr="00A6047A">
              <w:rPr>
                <w:rFonts w:cstheme="minorBidi"/>
              </w:rPr>
              <w:t>Adults with locally advanced or metastatic urothelial cancer whose disease did not progress while on or after completion of first-line platinum-based chemotherapy</w:t>
            </w:r>
          </w:p>
        </w:tc>
        <w:tc>
          <w:tcPr>
            <w:tcW w:w="2914" w:type="dxa"/>
          </w:tcPr>
          <w:p w14:paraId="530FA2ED" w14:textId="77777777" w:rsidR="0065435C" w:rsidRDefault="0065435C" w:rsidP="0065435C">
            <w:pPr>
              <w:spacing w:before="120" w:line="276" w:lineRule="auto"/>
              <w:jc w:val="both"/>
              <w:rPr>
                <w:rFonts w:cstheme="minorBidi"/>
              </w:rPr>
            </w:pPr>
            <w:r>
              <w:rPr>
                <w:rFonts w:cstheme="minorBidi"/>
              </w:rPr>
              <w:t xml:space="preserve">Median = </w:t>
            </w:r>
            <w:r w:rsidRPr="00531318">
              <w:rPr>
                <w:rFonts w:cstheme="minorBidi"/>
              </w:rPr>
              <w:t>15.6</w:t>
            </w:r>
            <w:r>
              <w:rPr>
                <w:rFonts w:cstheme="minorBidi"/>
              </w:rPr>
              <w:t xml:space="preserve"> months</w:t>
            </w:r>
          </w:p>
          <w:p w14:paraId="19EA413B" w14:textId="77777777" w:rsidR="0065435C" w:rsidRPr="00531318" w:rsidRDefault="0065435C" w:rsidP="0065435C">
            <w:pPr>
              <w:spacing w:before="120" w:line="276" w:lineRule="auto"/>
              <w:jc w:val="both"/>
              <w:rPr>
                <w:rFonts w:cstheme="minorBidi"/>
              </w:rPr>
            </w:pPr>
            <w:r>
              <w:rPr>
                <w:rFonts w:cstheme="minorBidi"/>
              </w:rPr>
              <w:t xml:space="preserve">Mean = </w:t>
            </w:r>
            <w:r w:rsidRPr="00531318">
              <w:rPr>
                <w:rFonts w:cstheme="minorBidi"/>
              </w:rPr>
              <w:t>27.82</w:t>
            </w:r>
            <w:r>
              <w:rPr>
                <w:rFonts w:cstheme="minorBidi"/>
              </w:rPr>
              <w:t xml:space="preserve"> months</w:t>
            </w:r>
          </w:p>
        </w:tc>
      </w:tr>
      <w:tr w:rsidR="0065435C" w:rsidRPr="00531318" w14:paraId="473AAC6E" w14:textId="77777777" w:rsidTr="00A60D52">
        <w:tc>
          <w:tcPr>
            <w:tcW w:w="8296" w:type="dxa"/>
            <w:gridSpan w:val="3"/>
            <w:shd w:val="clear" w:color="auto" w:fill="F2F2F2" w:themeFill="background1" w:themeFillShade="F2"/>
          </w:tcPr>
          <w:p w14:paraId="7031F2C0" w14:textId="77777777" w:rsidR="0065435C" w:rsidRPr="00846F0E" w:rsidRDefault="0065435C" w:rsidP="0065435C">
            <w:pPr>
              <w:spacing w:before="120" w:line="276" w:lineRule="auto"/>
              <w:jc w:val="both"/>
              <w:rPr>
                <w:rFonts w:cstheme="minorBidi"/>
                <w:b/>
                <w:bCs/>
              </w:rPr>
            </w:pPr>
            <w:r w:rsidRPr="00846F0E">
              <w:rPr>
                <w:rFonts w:cstheme="minorBidi"/>
                <w:b/>
                <w:bCs/>
              </w:rPr>
              <w:t>Real world evidence from NHS England Systemic Anti-Cancer Therapy Database (SACT)</w:t>
            </w:r>
          </w:p>
        </w:tc>
      </w:tr>
      <w:tr w:rsidR="0065435C" w:rsidRPr="00531318" w14:paraId="05019690" w14:textId="77777777" w:rsidTr="0065435C">
        <w:tc>
          <w:tcPr>
            <w:tcW w:w="1980" w:type="dxa"/>
          </w:tcPr>
          <w:p w14:paraId="30F5DB64" w14:textId="77777777" w:rsidR="0065435C" w:rsidRPr="00531318" w:rsidRDefault="0065435C" w:rsidP="0065435C">
            <w:pPr>
              <w:spacing w:before="120" w:line="276" w:lineRule="auto"/>
              <w:jc w:val="both"/>
              <w:rPr>
                <w:rFonts w:cstheme="minorBidi"/>
              </w:rPr>
            </w:pPr>
            <w:r>
              <w:rPr>
                <w:rFonts w:cs="Arial"/>
                <w:szCs w:val="22"/>
              </w:rPr>
              <w:t xml:space="preserve">England </w:t>
            </w:r>
            <w:r w:rsidRPr="00FE039E">
              <w:rPr>
                <w:rFonts w:cs="Arial"/>
                <w:szCs w:val="22"/>
              </w:rPr>
              <w:t xml:space="preserve">Standing </w:t>
            </w:r>
            <w:r>
              <w:rPr>
                <w:rFonts w:cs="Arial"/>
                <w:szCs w:val="22"/>
              </w:rPr>
              <w:t>C</w:t>
            </w:r>
            <w:r w:rsidRPr="00FE039E">
              <w:rPr>
                <w:rFonts w:cs="Arial"/>
                <w:szCs w:val="22"/>
              </w:rPr>
              <w:t>ohort</w:t>
            </w:r>
            <w:r>
              <w:rPr>
                <w:rFonts w:cs="Arial"/>
                <w:szCs w:val="22"/>
              </w:rPr>
              <w:t xml:space="preserve"> Study (13)</w:t>
            </w:r>
          </w:p>
        </w:tc>
        <w:tc>
          <w:tcPr>
            <w:tcW w:w="3402" w:type="dxa"/>
          </w:tcPr>
          <w:p w14:paraId="62EE6697" w14:textId="77777777" w:rsidR="0065435C" w:rsidRPr="00531318" w:rsidRDefault="0065435C" w:rsidP="0065435C">
            <w:pPr>
              <w:spacing w:before="120" w:line="276" w:lineRule="auto"/>
              <w:jc w:val="both"/>
              <w:rPr>
                <w:rFonts w:cstheme="minorBidi"/>
              </w:rPr>
            </w:pPr>
            <w:r w:rsidRPr="00914405">
              <w:rPr>
                <w:rFonts w:cs="Arial"/>
                <w:szCs w:val="22"/>
              </w:rPr>
              <w:t>Adult patients in England diagnosed with Stage III–IV UC between 2013 and 2017</w:t>
            </w:r>
            <w:r>
              <w:rPr>
                <w:rFonts w:cs="Arial"/>
                <w:szCs w:val="22"/>
              </w:rPr>
              <w:t xml:space="preserve">.  </w:t>
            </w:r>
          </w:p>
        </w:tc>
        <w:tc>
          <w:tcPr>
            <w:tcW w:w="2914" w:type="dxa"/>
          </w:tcPr>
          <w:p w14:paraId="6EE291D5" w14:textId="77777777" w:rsidR="0065435C" w:rsidRPr="00531318" w:rsidRDefault="0065435C" w:rsidP="0065435C">
            <w:pPr>
              <w:spacing w:before="120" w:line="276" w:lineRule="auto"/>
              <w:jc w:val="both"/>
              <w:rPr>
                <w:rFonts w:cstheme="minorBidi"/>
              </w:rPr>
            </w:pPr>
            <w:r>
              <w:rPr>
                <w:rFonts w:cs="Arial"/>
                <w:szCs w:val="22"/>
              </w:rPr>
              <w:t xml:space="preserve">Median OS = </w:t>
            </w:r>
            <w:r w:rsidRPr="00FE039E">
              <w:rPr>
                <w:rFonts w:cs="Arial"/>
                <w:szCs w:val="22"/>
              </w:rPr>
              <w:t>9.5 months</w:t>
            </w:r>
          </w:p>
        </w:tc>
      </w:tr>
      <w:tr w:rsidR="0065435C" w:rsidRPr="00531318" w14:paraId="10792FD1" w14:textId="77777777" w:rsidTr="00A60D52">
        <w:tc>
          <w:tcPr>
            <w:tcW w:w="8296" w:type="dxa"/>
            <w:gridSpan w:val="3"/>
            <w:shd w:val="clear" w:color="auto" w:fill="F2F2F2" w:themeFill="background1" w:themeFillShade="F2"/>
          </w:tcPr>
          <w:p w14:paraId="28F9C14B" w14:textId="77777777" w:rsidR="0065435C" w:rsidRPr="00846F0E" w:rsidRDefault="0065435C" w:rsidP="0065435C">
            <w:pPr>
              <w:spacing w:before="120" w:line="276" w:lineRule="auto"/>
              <w:jc w:val="both"/>
              <w:rPr>
                <w:rFonts w:cs="Arial"/>
                <w:b/>
                <w:bCs/>
                <w:szCs w:val="22"/>
              </w:rPr>
            </w:pPr>
            <w:r w:rsidRPr="00846F0E">
              <w:rPr>
                <w:rFonts w:cs="Arial"/>
                <w:b/>
                <w:bCs/>
                <w:szCs w:val="22"/>
              </w:rPr>
              <w:t xml:space="preserve">Published literature </w:t>
            </w:r>
          </w:p>
        </w:tc>
      </w:tr>
      <w:tr w:rsidR="0065435C" w:rsidRPr="00531318" w14:paraId="7E034F92" w14:textId="77777777" w:rsidTr="0065435C">
        <w:tc>
          <w:tcPr>
            <w:tcW w:w="1980" w:type="dxa"/>
          </w:tcPr>
          <w:p w14:paraId="142C290A" w14:textId="77777777" w:rsidR="0065435C" w:rsidRPr="00FE039E" w:rsidRDefault="0065435C" w:rsidP="0065435C">
            <w:pPr>
              <w:rPr>
                <w:rFonts w:cs="Arial"/>
                <w:szCs w:val="22"/>
              </w:rPr>
            </w:pPr>
            <w:r w:rsidRPr="00FE039E">
              <w:rPr>
                <w:rFonts w:cs="Arial"/>
                <w:szCs w:val="22"/>
              </w:rPr>
              <w:t xml:space="preserve">LaMB - Powles </w:t>
            </w:r>
            <w:r w:rsidRPr="00846F0E">
              <w:rPr>
                <w:rFonts w:cs="Arial"/>
                <w:i/>
                <w:iCs/>
                <w:szCs w:val="22"/>
              </w:rPr>
              <w:t>et al</w:t>
            </w:r>
            <w:r w:rsidRPr="00FE039E">
              <w:rPr>
                <w:rFonts w:cs="Arial"/>
                <w:szCs w:val="22"/>
              </w:rPr>
              <w:t>. 201</w:t>
            </w:r>
            <w:r>
              <w:rPr>
                <w:rFonts w:cs="Arial"/>
                <w:szCs w:val="22"/>
              </w:rPr>
              <w:t>7 (57)</w:t>
            </w:r>
          </w:p>
          <w:p w14:paraId="7D2F1C60" w14:textId="77777777" w:rsidR="0065435C" w:rsidRPr="00531318" w:rsidRDefault="0065435C" w:rsidP="0065435C">
            <w:pPr>
              <w:spacing w:before="120" w:line="276" w:lineRule="auto"/>
              <w:jc w:val="both"/>
              <w:rPr>
                <w:rFonts w:cstheme="minorBidi"/>
              </w:rPr>
            </w:pPr>
          </w:p>
        </w:tc>
        <w:tc>
          <w:tcPr>
            <w:tcW w:w="3402" w:type="dxa"/>
          </w:tcPr>
          <w:p w14:paraId="1360947A" w14:textId="77777777" w:rsidR="0065435C" w:rsidRPr="00531318" w:rsidRDefault="0065435C" w:rsidP="0065435C">
            <w:pPr>
              <w:spacing w:before="120" w:line="276" w:lineRule="auto"/>
              <w:jc w:val="both"/>
              <w:rPr>
                <w:rFonts w:cstheme="minorBidi"/>
              </w:rPr>
            </w:pPr>
            <w:r w:rsidRPr="00FE039E">
              <w:rPr>
                <w:rFonts w:cs="Arial"/>
                <w:szCs w:val="22"/>
              </w:rPr>
              <w:t>Patients with metastatic urothelial bladder cancer - patients with radiologic progression of disease during chemotherapy were excluded</w:t>
            </w:r>
          </w:p>
        </w:tc>
        <w:tc>
          <w:tcPr>
            <w:tcW w:w="2914" w:type="dxa"/>
          </w:tcPr>
          <w:p w14:paraId="7B2CBAB3" w14:textId="77777777" w:rsidR="0065435C" w:rsidRPr="00531318" w:rsidRDefault="0065435C" w:rsidP="0065435C">
            <w:pPr>
              <w:spacing w:before="120" w:line="276" w:lineRule="auto"/>
              <w:jc w:val="both"/>
              <w:rPr>
                <w:rFonts w:cstheme="minorBidi"/>
              </w:rPr>
            </w:pPr>
            <w:r w:rsidRPr="00FE039E">
              <w:rPr>
                <w:rFonts w:cs="Arial"/>
                <w:szCs w:val="22"/>
              </w:rPr>
              <w:t>Median OS = 11.8 months</w:t>
            </w:r>
          </w:p>
        </w:tc>
      </w:tr>
      <w:tr w:rsidR="0065435C" w:rsidRPr="00531318" w14:paraId="599C1F55" w14:textId="77777777" w:rsidTr="0065435C">
        <w:tc>
          <w:tcPr>
            <w:tcW w:w="1980" w:type="dxa"/>
          </w:tcPr>
          <w:p w14:paraId="60109FA1" w14:textId="77777777" w:rsidR="0065435C" w:rsidRPr="00531318" w:rsidRDefault="0065435C" w:rsidP="0065435C">
            <w:pPr>
              <w:spacing w:before="120" w:line="276" w:lineRule="auto"/>
              <w:jc w:val="both"/>
              <w:rPr>
                <w:rFonts w:cstheme="minorBidi"/>
              </w:rPr>
            </w:pPr>
            <w:r w:rsidRPr="00FE039E">
              <w:rPr>
                <w:rFonts w:cs="Arial"/>
                <w:szCs w:val="22"/>
              </w:rPr>
              <w:t xml:space="preserve">Bamias </w:t>
            </w:r>
            <w:r w:rsidRPr="00846F0E">
              <w:rPr>
                <w:rFonts w:cs="Arial"/>
                <w:i/>
                <w:iCs/>
                <w:szCs w:val="22"/>
              </w:rPr>
              <w:t>et al</w:t>
            </w:r>
            <w:r w:rsidRPr="00FE039E">
              <w:rPr>
                <w:rFonts w:cs="Arial"/>
                <w:szCs w:val="22"/>
              </w:rPr>
              <w:t>.</w:t>
            </w:r>
            <w:r>
              <w:rPr>
                <w:rFonts w:cs="Arial"/>
                <w:szCs w:val="22"/>
              </w:rPr>
              <w:t xml:space="preserve"> 2013 (16)</w:t>
            </w:r>
          </w:p>
        </w:tc>
        <w:tc>
          <w:tcPr>
            <w:tcW w:w="3402" w:type="dxa"/>
          </w:tcPr>
          <w:p w14:paraId="78C8CC9C" w14:textId="77777777" w:rsidR="0065435C" w:rsidRPr="00531318" w:rsidRDefault="0065435C" w:rsidP="0065435C">
            <w:pPr>
              <w:spacing w:before="120" w:line="276" w:lineRule="auto"/>
              <w:jc w:val="both"/>
              <w:rPr>
                <w:rFonts w:cstheme="minorBidi"/>
              </w:rPr>
            </w:pPr>
            <w:r w:rsidRPr="00FE039E">
              <w:rPr>
                <w:rFonts w:cs="Arial"/>
                <w:szCs w:val="22"/>
              </w:rPr>
              <w:t>Patients with inoperable, metastatic or relapsed urothelial cancer</w:t>
            </w:r>
          </w:p>
        </w:tc>
        <w:tc>
          <w:tcPr>
            <w:tcW w:w="2914" w:type="dxa"/>
          </w:tcPr>
          <w:p w14:paraId="4A5E76CE" w14:textId="77777777" w:rsidR="0065435C" w:rsidRPr="00FE039E" w:rsidRDefault="0065435C" w:rsidP="0065435C">
            <w:pPr>
              <w:rPr>
                <w:rFonts w:cs="Arial"/>
                <w:szCs w:val="22"/>
              </w:rPr>
            </w:pPr>
            <w:r w:rsidRPr="00FE039E">
              <w:rPr>
                <w:rFonts w:cs="Arial"/>
                <w:szCs w:val="22"/>
              </w:rPr>
              <w:t>Median OS DD-MVAC = 19 months</w:t>
            </w:r>
          </w:p>
          <w:p w14:paraId="250099AD" w14:textId="77777777" w:rsidR="0065435C" w:rsidRDefault="0065435C" w:rsidP="0065435C">
            <w:pPr>
              <w:rPr>
                <w:rFonts w:cs="Arial"/>
                <w:szCs w:val="22"/>
              </w:rPr>
            </w:pPr>
          </w:p>
          <w:p w14:paraId="23143759" w14:textId="77777777" w:rsidR="0065435C" w:rsidRPr="00531318" w:rsidRDefault="0065435C" w:rsidP="0065435C">
            <w:pPr>
              <w:spacing w:before="120" w:line="276" w:lineRule="auto"/>
              <w:jc w:val="both"/>
              <w:rPr>
                <w:rFonts w:cstheme="minorBidi"/>
              </w:rPr>
            </w:pPr>
            <w:r w:rsidRPr="00FE039E">
              <w:rPr>
                <w:rFonts w:cs="Arial"/>
                <w:szCs w:val="22"/>
              </w:rPr>
              <w:t>Median OS DD-GC = 18 months</w:t>
            </w:r>
          </w:p>
        </w:tc>
      </w:tr>
      <w:tr w:rsidR="0065435C" w:rsidRPr="00531318" w14:paraId="226D5578" w14:textId="77777777" w:rsidTr="0065435C">
        <w:tc>
          <w:tcPr>
            <w:tcW w:w="1980" w:type="dxa"/>
          </w:tcPr>
          <w:p w14:paraId="556ADD17" w14:textId="77777777" w:rsidR="0065435C" w:rsidRPr="00531318" w:rsidRDefault="0065435C" w:rsidP="0065435C">
            <w:pPr>
              <w:spacing w:before="120" w:line="276" w:lineRule="auto"/>
              <w:jc w:val="both"/>
              <w:rPr>
                <w:rFonts w:cstheme="minorBidi"/>
              </w:rPr>
            </w:pPr>
            <w:r w:rsidRPr="00FE039E">
              <w:rPr>
                <w:rFonts w:cs="Arial"/>
                <w:szCs w:val="22"/>
              </w:rPr>
              <w:t xml:space="preserve">EORTC Intergroup study 30987 - Bellmunt </w:t>
            </w:r>
            <w:r w:rsidRPr="00846F0E">
              <w:rPr>
                <w:rFonts w:cs="Arial"/>
                <w:i/>
                <w:iCs/>
                <w:szCs w:val="22"/>
              </w:rPr>
              <w:t>et al.</w:t>
            </w:r>
            <w:r w:rsidRPr="00FE039E">
              <w:rPr>
                <w:rFonts w:cs="Arial"/>
                <w:szCs w:val="22"/>
              </w:rPr>
              <w:t xml:space="preserve"> 2012</w:t>
            </w:r>
            <w:r>
              <w:rPr>
                <w:rFonts w:cs="Arial"/>
                <w:szCs w:val="22"/>
              </w:rPr>
              <w:t xml:space="preserve"> (20)</w:t>
            </w:r>
          </w:p>
        </w:tc>
        <w:tc>
          <w:tcPr>
            <w:tcW w:w="3402" w:type="dxa"/>
          </w:tcPr>
          <w:p w14:paraId="7FB093B1" w14:textId="77777777" w:rsidR="0065435C" w:rsidRPr="00531318" w:rsidRDefault="0065435C" w:rsidP="0065435C">
            <w:pPr>
              <w:spacing w:before="120" w:line="276" w:lineRule="auto"/>
              <w:jc w:val="both"/>
              <w:rPr>
                <w:rFonts w:cstheme="minorBidi"/>
              </w:rPr>
            </w:pPr>
            <w:r w:rsidRPr="00FE039E">
              <w:rPr>
                <w:rFonts w:cs="Arial"/>
                <w:szCs w:val="22"/>
              </w:rPr>
              <w:t>Gemcitabine plus cisplatin in patients with locally advanced or metastatic urothelial cancer without prior systemic therapy</w:t>
            </w:r>
          </w:p>
        </w:tc>
        <w:tc>
          <w:tcPr>
            <w:tcW w:w="2914" w:type="dxa"/>
          </w:tcPr>
          <w:p w14:paraId="341EF36C" w14:textId="77777777" w:rsidR="0065435C" w:rsidRPr="00531318" w:rsidRDefault="0065435C" w:rsidP="0065435C">
            <w:pPr>
              <w:spacing w:before="120" w:line="276" w:lineRule="auto"/>
              <w:jc w:val="both"/>
              <w:rPr>
                <w:rFonts w:cstheme="minorBidi"/>
              </w:rPr>
            </w:pPr>
            <w:r w:rsidRPr="00FE039E">
              <w:rPr>
                <w:rFonts w:cs="Arial"/>
                <w:szCs w:val="22"/>
              </w:rPr>
              <w:t>Median OS = 12.7 months</w:t>
            </w:r>
          </w:p>
        </w:tc>
      </w:tr>
      <w:tr w:rsidR="0065435C" w:rsidRPr="00531318" w14:paraId="67E6E5C6" w14:textId="77777777" w:rsidTr="0065435C">
        <w:tc>
          <w:tcPr>
            <w:tcW w:w="1980" w:type="dxa"/>
          </w:tcPr>
          <w:p w14:paraId="5774B143" w14:textId="77777777" w:rsidR="0065435C" w:rsidRPr="00531318" w:rsidRDefault="0065435C" w:rsidP="0065435C">
            <w:pPr>
              <w:spacing w:before="120" w:line="276" w:lineRule="auto"/>
              <w:jc w:val="both"/>
              <w:rPr>
                <w:rFonts w:cstheme="minorBidi"/>
              </w:rPr>
            </w:pPr>
            <w:r w:rsidRPr="00FE039E">
              <w:rPr>
                <w:rFonts w:cs="Arial"/>
                <w:szCs w:val="22"/>
              </w:rPr>
              <w:t xml:space="preserve">Sterberg </w:t>
            </w:r>
            <w:r w:rsidRPr="00846F0E">
              <w:rPr>
                <w:rFonts w:cs="Arial"/>
                <w:i/>
                <w:iCs/>
                <w:szCs w:val="22"/>
              </w:rPr>
              <w:t>et al.</w:t>
            </w:r>
            <w:r w:rsidRPr="00FE039E">
              <w:rPr>
                <w:rFonts w:cs="Arial"/>
                <w:szCs w:val="22"/>
              </w:rPr>
              <w:t xml:space="preserve"> 2001</w:t>
            </w:r>
            <w:r>
              <w:rPr>
                <w:rFonts w:cs="Arial"/>
                <w:szCs w:val="22"/>
              </w:rPr>
              <w:t xml:space="preserve"> (22)</w:t>
            </w:r>
          </w:p>
        </w:tc>
        <w:tc>
          <w:tcPr>
            <w:tcW w:w="3402" w:type="dxa"/>
          </w:tcPr>
          <w:p w14:paraId="32C13AEC" w14:textId="77777777" w:rsidR="0065435C" w:rsidRPr="00531318" w:rsidRDefault="0065435C" w:rsidP="0065435C">
            <w:pPr>
              <w:spacing w:before="120" w:line="276" w:lineRule="auto"/>
              <w:jc w:val="both"/>
              <w:rPr>
                <w:rFonts w:cstheme="minorBidi"/>
              </w:rPr>
            </w:pPr>
            <w:r w:rsidRPr="00FE039E">
              <w:rPr>
                <w:rFonts w:cs="Arial"/>
                <w:szCs w:val="22"/>
              </w:rPr>
              <w:t>MVAC in Advanced Urothelial Tract Tumors</w:t>
            </w:r>
          </w:p>
        </w:tc>
        <w:tc>
          <w:tcPr>
            <w:tcW w:w="2914" w:type="dxa"/>
          </w:tcPr>
          <w:p w14:paraId="39FE3292" w14:textId="77777777" w:rsidR="0065435C" w:rsidRPr="00531318" w:rsidRDefault="0065435C" w:rsidP="0065435C">
            <w:pPr>
              <w:spacing w:before="120" w:line="276" w:lineRule="auto"/>
              <w:jc w:val="both"/>
              <w:rPr>
                <w:rFonts w:cstheme="minorBidi"/>
              </w:rPr>
            </w:pPr>
            <w:r w:rsidRPr="00FE039E">
              <w:rPr>
                <w:rFonts w:cs="Arial"/>
                <w:szCs w:val="22"/>
              </w:rPr>
              <w:t>Median OS = 14.1 months</w:t>
            </w:r>
          </w:p>
        </w:tc>
      </w:tr>
      <w:tr w:rsidR="0065435C" w:rsidRPr="00531318" w14:paraId="4E15C9D1" w14:textId="77777777" w:rsidTr="0065435C">
        <w:tc>
          <w:tcPr>
            <w:tcW w:w="1980" w:type="dxa"/>
          </w:tcPr>
          <w:p w14:paraId="2009DBDC" w14:textId="77777777" w:rsidR="0065435C" w:rsidRPr="00531318" w:rsidRDefault="0065435C" w:rsidP="0065435C">
            <w:pPr>
              <w:spacing w:before="120" w:line="276" w:lineRule="auto"/>
              <w:jc w:val="both"/>
              <w:rPr>
                <w:rFonts w:cstheme="minorBidi"/>
              </w:rPr>
            </w:pPr>
            <w:r w:rsidRPr="00FE039E">
              <w:rPr>
                <w:rFonts w:cs="Arial"/>
                <w:szCs w:val="22"/>
              </w:rPr>
              <w:t xml:space="preserve">Dreicer </w:t>
            </w:r>
            <w:r w:rsidRPr="00846F0E">
              <w:rPr>
                <w:rFonts w:cs="Arial"/>
                <w:i/>
                <w:iCs/>
                <w:szCs w:val="22"/>
              </w:rPr>
              <w:t>et al.</w:t>
            </w:r>
            <w:r w:rsidRPr="00FE039E">
              <w:rPr>
                <w:rFonts w:cs="Arial"/>
                <w:szCs w:val="22"/>
              </w:rPr>
              <w:t xml:space="preserve"> 2004</w:t>
            </w:r>
            <w:r>
              <w:rPr>
                <w:rFonts w:cs="Arial"/>
                <w:szCs w:val="22"/>
              </w:rPr>
              <w:t xml:space="preserve"> (23)</w:t>
            </w:r>
          </w:p>
        </w:tc>
        <w:tc>
          <w:tcPr>
            <w:tcW w:w="3402" w:type="dxa"/>
          </w:tcPr>
          <w:p w14:paraId="35445539" w14:textId="77777777" w:rsidR="0065435C" w:rsidRPr="00531318" w:rsidRDefault="0065435C" w:rsidP="0065435C">
            <w:pPr>
              <w:spacing w:before="120" w:line="276" w:lineRule="auto"/>
              <w:jc w:val="both"/>
              <w:rPr>
                <w:rFonts w:cstheme="minorBidi"/>
              </w:rPr>
            </w:pPr>
            <w:r w:rsidRPr="00FE039E">
              <w:rPr>
                <w:rFonts w:cs="Arial"/>
                <w:szCs w:val="22"/>
              </w:rPr>
              <w:t>M-VAC in patients with advanced carcinoma of the urothelium</w:t>
            </w:r>
          </w:p>
        </w:tc>
        <w:tc>
          <w:tcPr>
            <w:tcW w:w="2914" w:type="dxa"/>
          </w:tcPr>
          <w:p w14:paraId="19863E6E" w14:textId="77777777" w:rsidR="0065435C" w:rsidRPr="00531318" w:rsidRDefault="0065435C" w:rsidP="0065435C">
            <w:pPr>
              <w:spacing w:before="120" w:line="276" w:lineRule="auto"/>
              <w:jc w:val="both"/>
              <w:rPr>
                <w:rFonts w:cstheme="minorBidi"/>
              </w:rPr>
            </w:pPr>
            <w:r w:rsidRPr="00FE039E">
              <w:rPr>
                <w:rFonts w:cs="Arial"/>
                <w:szCs w:val="22"/>
              </w:rPr>
              <w:t>Median OS = 15.4 months</w:t>
            </w:r>
          </w:p>
        </w:tc>
      </w:tr>
      <w:tr w:rsidR="0065435C" w:rsidRPr="00531318" w14:paraId="0CF25381" w14:textId="77777777" w:rsidTr="0065435C">
        <w:tc>
          <w:tcPr>
            <w:tcW w:w="1980" w:type="dxa"/>
          </w:tcPr>
          <w:p w14:paraId="34EC382F" w14:textId="77777777" w:rsidR="0065435C" w:rsidRPr="00531318" w:rsidRDefault="0065435C" w:rsidP="0065435C">
            <w:pPr>
              <w:spacing w:before="120" w:line="276" w:lineRule="auto"/>
              <w:jc w:val="both"/>
              <w:rPr>
                <w:rFonts w:cstheme="minorBidi"/>
              </w:rPr>
            </w:pPr>
            <w:r w:rsidRPr="00FE039E">
              <w:rPr>
                <w:rFonts w:cs="Arial"/>
                <w:szCs w:val="22"/>
              </w:rPr>
              <w:t>Siefker-</w:t>
            </w:r>
            <w:r w:rsidRPr="00846F0E">
              <w:rPr>
                <w:rFonts w:cs="Arial"/>
                <w:i/>
                <w:iCs/>
                <w:szCs w:val="22"/>
              </w:rPr>
              <w:t>Radtke et al</w:t>
            </w:r>
            <w:r w:rsidRPr="00FE039E">
              <w:rPr>
                <w:rFonts w:cs="Arial"/>
                <w:szCs w:val="22"/>
              </w:rPr>
              <w:t>. 2002</w:t>
            </w:r>
            <w:r>
              <w:rPr>
                <w:rFonts w:cs="Arial"/>
                <w:szCs w:val="22"/>
              </w:rPr>
              <w:t xml:space="preserve"> (24)</w:t>
            </w:r>
          </w:p>
        </w:tc>
        <w:tc>
          <w:tcPr>
            <w:tcW w:w="3402" w:type="dxa"/>
          </w:tcPr>
          <w:p w14:paraId="65343412" w14:textId="77777777" w:rsidR="0065435C" w:rsidRPr="00531318" w:rsidRDefault="0065435C" w:rsidP="0065435C">
            <w:pPr>
              <w:spacing w:before="120" w:line="276" w:lineRule="auto"/>
              <w:jc w:val="both"/>
              <w:rPr>
                <w:rFonts w:cstheme="minorBidi"/>
              </w:rPr>
            </w:pPr>
            <w:r w:rsidRPr="00FE039E">
              <w:rPr>
                <w:rFonts w:cs="Arial"/>
                <w:szCs w:val="22"/>
              </w:rPr>
              <w:t xml:space="preserve">M-VAC in patients with </w:t>
            </w:r>
            <w:r>
              <w:t>Metastatic or Unresectable Urothelial Cancer</w:t>
            </w:r>
          </w:p>
        </w:tc>
        <w:tc>
          <w:tcPr>
            <w:tcW w:w="2914" w:type="dxa"/>
          </w:tcPr>
          <w:p w14:paraId="1EBE7DF1" w14:textId="77777777" w:rsidR="0065435C" w:rsidRPr="00531318" w:rsidRDefault="0065435C" w:rsidP="0065435C">
            <w:pPr>
              <w:spacing w:before="120" w:line="276" w:lineRule="auto"/>
              <w:jc w:val="both"/>
              <w:rPr>
                <w:rFonts w:cstheme="minorBidi"/>
              </w:rPr>
            </w:pPr>
            <w:r w:rsidRPr="00FE039E">
              <w:rPr>
                <w:rFonts w:cs="Arial"/>
                <w:szCs w:val="22"/>
              </w:rPr>
              <w:t>Median OS = 12.5 months</w:t>
            </w:r>
          </w:p>
        </w:tc>
      </w:tr>
      <w:tr w:rsidR="0065435C" w:rsidRPr="00531318" w14:paraId="616C88DF" w14:textId="77777777" w:rsidTr="0065435C">
        <w:tc>
          <w:tcPr>
            <w:tcW w:w="1980" w:type="dxa"/>
          </w:tcPr>
          <w:p w14:paraId="477A443E" w14:textId="77777777" w:rsidR="0065435C" w:rsidRPr="00531318" w:rsidRDefault="0065435C" w:rsidP="0065435C">
            <w:pPr>
              <w:spacing w:before="120" w:line="276" w:lineRule="auto"/>
              <w:jc w:val="both"/>
              <w:rPr>
                <w:rFonts w:cstheme="minorBidi"/>
              </w:rPr>
            </w:pPr>
            <w:r w:rsidRPr="00FE039E">
              <w:rPr>
                <w:rFonts w:cs="Arial"/>
                <w:szCs w:val="22"/>
              </w:rPr>
              <w:t xml:space="preserve">Bamias </w:t>
            </w:r>
            <w:r w:rsidRPr="00846F0E">
              <w:rPr>
                <w:rFonts w:cs="Arial"/>
                <w:i/>
                <w:iCs/>
                <w:szCs w:val="22"/>
              </w:rPr>
              <w:t>et al.</w:t>
            </w:r>
            <w:r w:rsidRPr="00FE039E">
              <w:rPr>
                <w:rFonts w:cs="Arial"/>
                <w:szCs w:val="22"/>
              </w:rPr>
              <w:t xml:space="preserve"> 2004</w:t>
            </w:r>
            <w:r>
              <w:rPr>
                <w:rFonts w:cs="Arial"/>
                <w:szCs w:val="22"/>
              </w:rPr>
              <w:t xml:space="preserve"> (34)</w:t>
            </w:r>
          </w:p>
        </w:tc>
        <w:tc>
          <w:tcPr>
            <w:tcW w:w="3402" w:type="dxa"/>
          </w:tcPr>
          <w:p w14:paraId="3898EA32" w14:textId="77777777" w:rsidR="0065435C" w:rsidRPr="00531318" w:rsidRDefault="0065435C" w:rsidP="0065435C">
            <w:pPr>
              <w:spacing w:before="120" w:line="276" w:lineRule="auto"/>
              <w:jc w:val="both"/>
              <w:rPr>
                <w:rFonts w:cstheme="minorBidi"/>
              </w:rPr>
            </w:pPr>
            <w:r w:rsidRPr="00FE039E">
              <w:rPr>
                <w:rFonts w:cs="Arial"/>
                <w:szCs w:val="22"/>
              </w:rPr>
              <w:t>MVAC With G-CSF in Advanced Urothelial Carcinoma</w:t>
            </w:r>
          </w:p>
        </w:tc>
        <w:tc>
          <w:tcPr>
            <w:tcW w:w="2914" w:type="dxa"/>
          </w:tcPr>
          <w:p w14:paraId="5D5D5AAD" w14:textId="77777777" w:rsidR="0065435C" w:rsidRPr="00531318" w:rsidRDefault="0065435C" w:rsidP="0065435C">
            <w:pPr>
              <w:spacing w:before="120" w:line="276" w:lineRule="auto"/>
              <w:jc w:val="both"/>
              <w:rPr>
                <w:rFonts w:cstheme="minorBidi"/>
              </w:rPr>
            </w:pPr>
            <w:r w:rsidRPr="00FE039E">
              <w:rPr>
                <w:rFonts w:cs="Arial"/>
                <w:szCs w:val="22"/>
              </w:rPr>
              <w:t>Median OS = 14.2 months</w:t>
            </w:r>
          </w:p>
        </w:tc>
      </w:tr>
      <w:tr w:rsidR="0065435C" w:rsidRPr="00531318" w14:paraId="1E6ED2AB" w14:textId="77777777" w:rsidTr="0065435C">
        <w:tc>
          <w:tcPr>
            <w:tcW w:w="1980" w:type="dxa"/>
          </w:tcPr>
          <w:p w14:paraId="1BCBADAD" w14:textId="77777777" w:rsidR="0065435C" w:rsidRPr="00531318" w:rsidRDefault="0065435C" w:rsidP="0065435C">
            <w:pPr>
              <w:spacing w:before="120" w:line="276" w:lineRule="auto"/>
              <w:jc w:val="both"/>
              <w:rPr>
                <w:rFonts w:cstheme="minorBidi"/>
              </w:rPr>
            </w:pPr>
            <w:r w:rsidRPr="00FE039E">
              <w:rPr>
                <w:rFonts w:cs="Arial"/>
                <w:szCs w:val="22"/>
              </w:rPr>
              <w:t xml:space="preserve">Von der Maase </w:t>
            </w:r>
            <w:r w:rsidRPr="00846F0E">
              <w:rPr>
                <w:rFonts w:cs="Arial"/>
                <w:i/>
                <w:iCs/>
                <w:szCs w:val="22"/>
              </w:rPr>
              <w:t>et al.</w:t>
            </w:r>
            <w:r w:rsidRPr="00FE039E">
              <w:rPr>
                <w:rFonts w:cs="Arial"/>
                <w:szCs w:val="22"/>
              </w:rPr>
              <w:t xml:space="preserve"> 2005</w:t>
            </w:r>
            <w:r>
              <w:rPr>
                <w:rFonts w:cs="Arial"/>
                <w:szCs w:val="22"/>
              </w:rPr>
              <w:t xml:space="preserve"> (39)</w:t>
            </w:r>
          </w:p>
        </w:tc>
        <w:tc>
          <w:tcPr>
            <w:tcW w:w="3402" w:type="dxa"/>
          </w:tcPr>
          <w:p w14:paraId="6FD29771" w14:textId="77777777" w:rsidR="0065435C" w:rsidRPr="00531318" w:rsidRDefault="0065435C" w:rsidP="0065435C">
            <w:pPr>
              <w:spacing w:before="120" w:line="276" w:lineRule="auto"/>
              <w:jc w:val="both"/>
              <w:rPr>
                <w:rFonts w:cstheme="minorBidi"/>
              </w:rPr>
            </w:pPr>
            <w:r w:rsidRPr="00FE039E">
              <w:rPr>
                <w:rFonts w:cs="Arial"/>
                <w:szCs w:val="22"/>
              </w:rPr>
              <w:t>GC vs MVAC in patients With Bladder Cancer</w:t>
            </w:r>
          </w:p>
        </w:tc>
        <w:tc>
          <w:tcPr>
            <w:tcW w:w="2914" w:type="dxa"/>
          </w:tcPr>
          <w:p w14:paraId="7D08C2D5" w14:textId="77777777" w:rsidR="0065435C" w:rsidRPr="00FE039E" w:rsidRDefault="0065435C" w:rsidP="0065435C">
            <w:pPr>
              <w:rPr>
                <w:rFonts w:cs="Arial"/>
                <w:szCs w:val="22"/>
              </w:rPr>
            </w:pPr>
            <w:r w:rsidRPr="00FE039E">
              <w:rPr>
                <w:rFonts w:cs="Arial"/>
                <w:szCs w:val="22"/>
              </w:rPr>
              <w:t>Median OS GC = 14.0 months</w:t>
            </w:r>
          </w:p>
          <w:p w14:paraId="54275E16" w14:textId="77777777" w:rsidR="0065435C" w:rsidRDefault="0065435C" w:rsidP="0065435C">
            <w:pPr>
              <w:rPr>
                <w:rFonts w:cs="Arial"/>
                <w:szCs w:val="22"/>
              </w:rPr>
            </w:pPr>
          </w:p>
          <w:p w14:paraId="055163D0" w14:textId="77777777" w:rsidR="0065435C" w:rsidRPr="00531318" w:rsidRDefault="0065435C" w:rsidP="0065435C">
            <w:pPr>
              <w:spacing w:before="120" w:line="276" w:lineRule="auto"/>
              <w:jc w:val="both"/>
              <w:rPr>
                <w:rFonts w:cstheme="minorBidi"/>
              </w:rPr>
            </w:pPr>
            <w:r w:rsidRPr="00FE039E">
              <w:rPr>
                <w:rFonts w:cs="Arial"/>
                <w:szCs w:val="22"/>
              </w:rPr>
              <w:t>Median MVAC = 15.2 months</w:t>
            </w:r>
          </w:p>
        </w:tc>
      </w:tr>
      <w:tr w:rsidR="0065435C" w:rsidRPr="00531318" w14:paraId="7A536CAF" w14:textId="77777777" w:rsidTr="0065435C">
        <w:tc>
          <w:tcPr>
            <w:tcW w:w="1980" w:type="dxa"/>
          </w:tcPr>
          <w:p w14:paraId="1C94B520" w14:textId="77777777" w:rsidR="0065435C" w:rsidRPr="00531318" w:rsidRDefault="0065435C" w:rsidP="0065435C">
            <w:pPr>
              <w:spacing w:before="120" w:line="276" w:lineRule="auto"/>
              <w:jc w:val="both"/>
              <w:rPr>
                <w:rFonts w:cstheme="minorBidi"/>
              </w:rPr>
            </w:pPr>
            <w:r w:rsidRPr="00FE039E">
              <w:rPr>
                <w:rFonts w:cs="Arial"/>
                <w:szCs w:val="22"/>
              </w:rPr>
              <w:t>De Santis 2012</w:t>
            </w:r>
            <w:r>
              <w:rPr>
                <w:rFonts w:cs="Arial"/>
                <w:szCs w:val="22"/>
              </w:rPr>
              <w:t xml:space="preserve"> (58)</w:t>
            </w:r>
          </w:p>
        </w:tc>
        <w:tc>
          <w:tcPr>
            <w:tcW w:w="3402" w:type="dxa"/>
          </w:tcPr>
          <w:p w14:paraId="0FF55FA6" w14:textId="77777777" w:rsidR="0065435C" w:rsidRPr="00FE039E" w:rsidRDefault="0065435C" w:rsidP="0065435C">
            <w:pPr>
              <w:rPr>
                <w:rFonts w:cs="Arial"/>
                <w:szCs w:val="22"/>
              </w:rPr>
            </w:pPr>
            <w:r w:rsidRPr="00FE039E">
              <w:rPr>
                <w:rFonts w:cs="Arial"/>
                <w:szCs w:val="22"/>
              </w:rPr>
              <w:t>GC vs M-CAVI in Patients With Advanced Urothelial Cancer</w:t>
            </w:r>
          </w:p>
          <w:p w14:paraId="536320AC" w14:textId="77777777" w:rsidR="0065435C" w:rsidRPr="00531318" w:rsidRDefault="0065435C" w:rsidP="0065435C">
            <w:pPr>
              <w:spacing w:before="120" w:line="276" w:lineRule="auto"/>
              <w:jc w:val="both"/>
              <w:rPr>
                <w:rFonts w:cstheme="minorBidi"/>
              </w:rPr>
            </w:pPr>
            <w:r w:rsidRPr="00FE039E">
              <w:rPr>
                <w:rFonts w:cs="Arial"/>
                <w:szCs w:val="22"/>
              </w:rPr>
              <w:t>Who Are Unfit for Cisplatin-Based Chemotherapy</w:t>
            </w:r>
          </w:p>
        </w:tc>
        <w:tc>
          <w:tcPr>
            <w:tcW w:w="2914" w:type="dxa"/>
          </w:tcPr>
          <w:p w14:paraId="1CE93742" w14:textId="77777777" w:rsidR="0065435C" w:rsidRPr="00FE039E" w:rsidRDefault="0065435C" w:rsidP="0065435C">
            <w:pPr>
              <w:rPr>
                <w:rFonts w:cs="Arial"/>
                <w:szCs w:val="22"/>
              </w:rPr>
            </w:pPr>
            <w:r w:rsidRPr="00FE039E">
              <w:rPr>
                <w:rFonts w:cs="Arial"/>
                <w:szCs w:val="22"/>
              </w:rPr>
              <w:t>Median OS GC = 9.3 months</w:t>
            </w:r>
          </w:p>
          <w:p w14:paraId="39F9B179" w14:textId="77777777" w:rsidR="0065435C" w:rsidRDefault="0065435C" w:rsidP="0065435C">
            <w:pPr>
              <w:rPr>
                <w:rFonts w:cs="Arial"/>
                <w:szCs w:val="22"/>
              </w:rPr>
            </w:pPr>
          </w:p>
          <w:p w14:paraId="3B1A4846" w14:textId="77777777" w:rsidR="0065435C" w:rsidRPr="00531318" w:rsidRDefault="0065435C" w:rsidP="0065435C">
            <w:pPr>
              <w:spacing w:before="120" w:line="276" w:lineRule="auto"/>
              <w:jc w:val="both"/>
              <w:rPr>
                <w:rFonts w:cstheme="minorBidi"/>
              </w:rPr>
            </w:pPr>
            <w:r w:rsidRPr="00FE039E">
              <w:rPr>
                <w:rFonts w:cs="Arial"/>
                <w:szCs w:val="22"/>
              </w:rPr>
              <w:t>Median M-CAVI = 8.1 months</w:t>
            </w:r>
          </w:p>
        </w:tc>
      </w:tr>
      <w:tr w:rsidR="0065435C" w:rsidRPr="00531318" w14:paraId="45D68D41" w14:textId="77777777" w:rsidTr="0065435C">
        <w:tc>
          <w:tcPr>
            <w:tcW w:w="1980" w:type="dxa"/>
          </w:tcPr>
          <w:p w14:paraId="6D7D6BCF" w14:textId="77777777" w:rsidR="0065435C" w:rsidRPr="00531318" w:rsidRDefault="0065435C" w:rsidP="0065435C">
            <w:pPr>
              <w:spacing w:before="120" w:line="276" w:lineRule="auto"/>
              <w:jc w:val="both"/>
              <w:rPr>
                <w:rFonts w:cstheme="minorBidi"/>
              </w:rPr>
            </w:pPr>
            <w:r w:rsidRPr="00FE039E">
              <w:rPr>
                <w:rFonts w:cs="Arial"/>
                <w:szCs w:val="22"/>
              </w:rPr>
              <w:t xml:space="preserve">Galsky </w:t>
            </w:r>
            <w:r w:rsidRPr="00846F0E">
              <w:rPr>
                <w:rFonts w:cs="Arial"/>
                <w:i/>
                <w:iCs/>
                <w:szCs w:val="22"/>
              </w:rPr>
              <w:t>et al.</w:t>
            </w:r>
            <w:r w:rsidRPr="00FE039E">
              <w:rPr>
                <w:rFonts w:cs="Arial"/>
                <w:szCs w:val="22"/>
              </w:rPr>
              <w:t xml:space="preserve"> 2013</w:t>
            </w:r>
            <w:r>
              <w:rPr>
                <w:rFonts w:cs="Arial"/>
                <w:szCs w:val="22"/>
              </w:rPr>
              <w:t xml:space="preserve"> (59)</w:t>
            </w:r>
          </w:p>
        </w:tc>
        <w:tc>
          <w:tcPr>
            <w:tcW w:w="3402" w:type="dxa"/>
          </w:tcPr>
          <w:p w14:paraId="7F9DD650" w14:textId="77777777" w:rsidR="0065435C" w:rsidRPr="00FE039E" w:rsidRDefault="0065435C" w:rsidP="0065435C">
            <w:pPr>
              <w:rPr>
                <w:rFonts w:cs="Arial"/>
                <w:szCs w:val="22"/>
              </w:rPr>
            </w:pPr>
            <w:r w:rsidRPr="00FE039E">
              <w:rPr>
                <w:rFonts w:cs="Arial"/>
                <w:szCs w:val="22"/>
              </w:rPr>
              <w:t>Patients With Metastatic</w:t>
            </w:r>
          </w:p>
          <w:p w14:paraId="6533AD7A" w14:textId="77777777" w:rsidR="0065435C" w:rsidRPr="00531318" w:rsidRDefault="0065435C" w:rsidP="0065435C">
            <w:pPr>
              <w:spacing w:before="120" w:line="276" w:lineRule="auto"/>
              <w:jc w:val="both"/>
              <w:rPr>
                <w:rFonts w:cstheme="minorBidi"/>
              </w:rPr>
            </w:pPr>
            <w:r w:rsidRPr="00FE039E">
              <w:rPr>
                <w:rFonts w:cs="Arial"/>
                <w:szCs w:val="22"/>
              </w:rPr>
              <w:t>Urothelial Cancer Treated With First-Line Cisplatin-Based Chemotherapy</w:t>
            </w:r>
          </w:p>
        </w:tc>
        <w:tc>
          <w:tcPr>
            <w:tcW w:w="2914" w:type="dxa"/>
          </w:tcPr>
          <w:p w14:paraId="0A930940" w14:textId="77777777" w:rsidR="0065435C" w:rsidRPr="00531318" w:rsidRDefault="0065435C" w:rsidP="0065435C">
            <w:pPr>
              <w:spacing w:before="120" w:line="276" w:lineRule="auto"/>
              <w:jc w:val="both"/>
              <w:rPr>
                <w:rFonts w:cstheme="minorBidi"/>
              </w:rPr>
            </w:pPr>
            <w:r w:rsidRPr="00FE039E">
              <w:rPr>
                <w:rFonts w:cs="Arial"/>
                <w:szCs w:val="22"/>
              </w:rPr>
              <w:t>Median OS = 13.5 mont</w:t>
            </w:r>
            <w:r>
              <w:rPr>
                <w:rFonts w:cs="Arial"/>
                <w:szCs w:val="22"/>
              </w:rPr>
              <w:t>hs</w:t>
            </w:r>
          </w:p>
        </w:tc>
      </w:tr>
      <w:tr w:rsidR="0065435C" w:rsidRPr="00531318" w14:paraId="44DF1334" w14:textId="77777777" w:rsidTr="0065435C">
        <w:tc>
          <w:tcPr>
            <w:tcW w:w="1980" w:type="dxa"/>
          </w:tcPr>
          <w:p w14:paraId="52F5C882" w14:textId="77777777" w:rsidR="0065435C" w:rsidRPr="00FE039E" w:rsidRDefault="0065435C" w:rsidP="0065435C">
            <w:pPr>
              <w:rPr>
                <w:rFonts w:cs="Arial"/>
                <w:szCs w:val="22"/>
              </w:rPr>
            </w:pPr>
            <w:r w:rsidRPr="00FE039E">
              <w:rPr>
                <w:rFonts w:cs="Arial"/>
                <w:szCs w:val="22"/>
              </w:rPr>
              <w:t xml:space="preserve">KEYNOTE-052 - Vuky </w:t>
            </w:r>
            <w:r w:rsidRPr="00846F0E">
              <w:rPr>
                <w:rFonts w:cs="Arial"/>
                <w:i/>
                <w:iCs/>
                <w:szCs w:val="22"/>
              </w:rPr>
              <w:t>et al.</w:t>
            </w:r>
            <w:r w:rsidRPr="00FE039E">
              <w:rPr>
                <w:rFonts w:cs="Arial"/>
                <w:szCs w:val="22"/>
              </w:rPr>
              <w:t xml:space="preserve"> 2020</w:t>
            </w:r>
            <w:r>
              <w:rPr>
                <w:rFonts w:cs="Arial"/>
                <w:szCs w:val="22"/>
              </w:rPr>
              <w:t xml:space="preserve"> (60)</w:t>
            </w:r>
          </w:p>
          <w:p w14:paraId="3A1A1186" w14:textId="77777777" w:rsidR="0065435C" w:rsidRPr="00531318" w:rsidRDefault="0065435C" w:rsidP="0065435C">
            <w:pPr>
              <w:spacing w:before="120" w:line="276" w:lineRule="auto"/>
              <w:jc w:val="both"/>
              <w:rPr>
                <w:rFonts w:cstheme="minorBidi"/>
              </w:rPr>
            </w:pPr>
          </w:p>
        </w:tc>
        <w:tc>
          <w:tcPr>
            <w:tcW w:w="3402" w:type="dxa"/>
          </w:tcPr>
          <w:p w14:paraId="151F038B" w14:textId="77777777" w:rsidR="0065435C" w:rsidRPr="00FE039E" w:rsidRDefault="0065435C" w:rsidP="0065435C">
            <w:pPr>
              <w:rPr>
                <w:rFonts w:cs="Arial"/>
                <w:szCs w:val="22"/>
              </w:rPr>
            </w:pPr>
            <w:r w:rsidRPr="00FE039E">
              <w:rPr>
                <w:rFonts w:cs="Arial"/>
                <w:szCs w:val="22"/>
              </w:rPr>
              <w:t xml:space="preserve">First-line pembrolizumab in cisplatin-ineligible patients </w:t>
            </w:r>
          </w:p>
          <w:p w14:paraId="61D7B85F" w14:textId="77777777" w:rsidR="0065435C" w:rsidRPr="00FE039E" w:rsidRDefault="0065435C" w:rsidP="0065435C">
            <w:pPr>
              <w:rPr>
                <w:rFonts w:cs="Arial"/>
                <w:szCs w:val="22"/>
              </w:rPr>
            </w:pPr>
            <w:r w:rsidRPr="00FE039E">
              <w:rPr>
                <w:rFonts w:cs="Arial"/>
                <w:szCs w:val="22"/>
              </w:rPr>
              <w:t xml:space="preserve">with locally advanced and unresectable or metastatic </w:t>
            </w:r>
          </w:p>
          <w:p w14:paraId="2BC8FC4A" w14:textId="77777777" w:rsidR="0065435C" w:rsidRPr="00531318" w:rsidRDefault="0065435C" w:rsidP="0065435C">
            <w:pPr>
              <w:spacing w:before="120" w:line="276" w:lineRule="auto"/>
              <w:jc w:val="both"/>
              <w:rPr>
                <w:rFonts w:cstheme="minorBidi"/>
              </w:rPr>
            </w:pPr>
            <w:r w:rsidRPr="00FE039E">
              <w:rPr>
                <w:rFonts w:cs="Arial"/>
                <w:szCs w:val="22"/>
              </w:rPr>
              <w:t>urothelial cancer</w:t>
            </w:r>
          </w:p>
        </w:tc>
        <w:tc>
          <w:tcPr>
            <w:tcW w:w="2914" w:type="dxa"/>
          </w:tcPr>
          <w:p w14:paraId="58836C50" w14:textId="77777777" w:rsidR="0065435C" w:rsidRPr="00531318" w:rsidRDefault="0065435C" w:rsidP="0065435C">
            <w:pPr>
              <w:spacing w:before="120" w:line="276" w:lineRule="auto"/>
              <w:jc w:val="both"/>
              <w:rPr>
                <w:rFonts w:cstheme="minorBidi"/>
              </w:rPr>
            </w:pPr>
            <w:r w:rsidRPr="00FE039E">
              <w:rPr>
                <w:rFonts w:cs="Arial"/>
                <w:szCs w:val="22"/>
              </w:rPr>
              <w:t>Median OS = 11.3 months</w:t>
            </w:r>
          </w:p>
        </w:tc>
      </w:tr>
      <w:tr w:rsidR="0065435C" w:rsidRPr="00531318" w14:paraId="135D2490" w14:textId="77777777" w:rsidTr="0065435C">
        <w:tc>
          <w:tcPr>
            <w:tcW w:w="1980" w:type="dxa"/>
          </w:tcPr>
          <w:p w14:paraId="3CF07913" w14:textId="77777777" w:rsidR="0065435C" w:rsidRPr="00FE039E" w:rsidRDefault="0065435C" w:rsidP="0065435C">
            <w:pPr>
              <w:rPr>
                <w:rFonts w:cs="Arial"/>
                <w:szCs w:val="22"/>
              </w:rPr>
            </w:pPr>
            <w:r w:rsidRPr="00FE039E">
              <w:rPr>
                <w:rFonts w:cs="Arial"/>
                <w:szCs w:val="22"/>
              </w:rPr>
              <w:t xml:space="preserve">IMvigor210 -Balar </w:t>
            </w:r>
            <w:r w:rsidRPr="00846F0E">
              <w:rPr>
                <w:rFonts w:cs="Arial"/>
                <w:i/>
                <w:iCs/>
                <w:szCs w:val="22"/>
              </w:rPr>
              <w:t>et al</w:t>
            </w:r>
            <w:r w:rsidRPr="00FE039E">
              <w:rPr>
                <w:rFonts w:cs="Arial"/>
                <w:szCs w:val="22"/>
              </w:rPr>
              <w:t>. 2018</w:t>
            </w:r>
            <w:r>
              <w:rPr>
                <w:rFonts w:cs="Arial"/>
                <w:szCs w:val="22"/>
              </w:rPr>
              <w:t xml:space="preserve"> (61)</w:t>
            </w:r>
          </w:p>
          <w:p w14:paraId="706196CE" w14:textId="77777777" w:rsidR="0065435C" w:rsidRPr="00531318" w:rsidRDefault="0065435C" w:rsidP="0065435C">
            <w:pPr>
              <w:spacing w:before="120" w:line="276" w:lineRule="auto"/>
              <w:jc w:val="both"/>
              <w:rPr>
                <w:rFonts w:cstheme="minorBidi"/>
              </w:rPr>
            </w:pPr>
          </w:p>
        </w:tc>
        <w:tc>
          <w:tcPr>
            <w:tcW w:w="3402" w:type="dxa"/>
          </w:tcPr>
          <w:p w14:paraId="6AE352EC" w14:textId="77777777" w:rsidR="0065435C" w:rsidRPr="00531318" w:rsidRDefault="0065435C" w:rsidP="0065435C">
            <w:pPr>
              <w:spacing w:before="120" w:line="276" w:lineRule="auto"/>
              <w:jc w:val="both"/>
              <w:rPr>
                <w:rFonts w:cstheme="minorBidi"/>
              </w:rPr>
            </w:pPr>
            <w:r w:rsidRPr="00FE039E">
              <w:rPr>
                <w:rFonts w:cs="Arial"/>
                <w:szCs w:val="22"/>
              </w:rPr>
              <w:t>Atezolizumab</w:t>
            </w:r>
            <w:r>
              <w:rPr>
                <w:rFonts w:cs="Arial"/>
                <w:szCs w:val="22"/>
              </w:rPr>
              <w:t xml:space="preserve"> </w:t>
            </w:r>
            <w:r w:rsidRPr="00FE039E">
              <w:rPr>
                <w:rFonts w:cs="Arial"/>
                <w:szCs w:val="22"/>
              </w:rPr>
              <w:t>in first-line cisplatin-ineligible or platinum-treated locally advanced or metastatic urothelial cancer</w:t>
            </w:r>
          </w:p>
        </w:tc>
        <w:tc>
          <w:tcPr>
            <w:tcW w:w="2914" w:type="dxa"/>
          </w:tcPr>
          <w:p w14:paraId="2DF10BC4" w14:textId="77777777" w:rsidR="0065435C" w:rsidRPr="00531318" w:rsidRDefault="0065435C" w:rsidP="0065435C">
            <w:pPr>
              <w:spacing w:before="120" w:line="276" w:lineRule="auto"/>
              <w:jc w:val="both"/>
              <w:rPr>
                <w:rFonts w:cstheme="minorBidi"/>
              </w:rPr>
            </w:pPr>
            <w:r w:rsidRPr="00FE039E">
              <w:rPr>
                <w:rFonts w:cs="Arial"/>
                <w:szCs w:val="22"/>
              </w:rPr>
              <w:t>Median OS = 16.3 months</w:t>
            </w:r>
          </w:p>
        </w:tc>
      </w:tr>
      <w:tr w:rsidR="0065435C" w:rsidRPr="00531318" w14:paraId="3166995D" w14:textId="77777777" w:rsidTr="0065435C">
        <w:tc>
          <w:tcPr>
            <w:tcW w:w="1980" w:type="dxa"/>
          </w:tcPr>
          <w:p w14:paraId="7750714A" w14:textId="77777777" w:rsidR="0065435C" w:rsidRPr="00531318" w:rsidRDefault="0065435C" w:rsidP="0065435C">
            <w:pPr>
              <w:spacing w:before="120" w:line="276" w:lineRule="auto"/>
              <w:jc w:val="both"/>
              <w:rPr>
                <w:rFonts w:cstheme="minorBidi"/>
              </w:rPr>
            </w:pPr>
            <w:r>
              <w:t xml:space="preserve">IMvigor130 - </w:t>
            </w:r>
            <w:r w:rsidRPr="00FE039E">
              <w:rPr>
                <w:rFonts w:cs="Arial"/>
                <w:szCs w:val="22"/>
              </w:rPr>
              <w:t xml:space="preserve">Galsky </w:t>
            </w:r>
            <w:r w:rsidRPr="00846F0E">
              <w:rPr>
                <w:rFonts w:cs="Arial"/>
                <w:i/>
                <w:iCs/>
                <w:szCs w:val="22"/>
              </w:rPr>
              <w:t>et al.</w:t>
            </w:r>
            <w:r w:rsidRPr="00FE039E">
              <w:rPr>
                <w:rFonts w:cs="Arial"/>
                <w:szCs w:val="22"/>
              </w:rPr>
              <w:t xml:space="preserve"> 2020</w:t>
            </w:r>
            <w:r>
              <w:rPr>
                <w:rFonts w:cs="Arial"/>
                <w:szCs w:val="22"/>
              </w:rPr>
              <w:t xml:space="preserve"> (62)</w:t>
            </w:r>
          </w:p>
        </w:tc>
        <w:tc>
          <w:tcPr>
            <w:tcW w:w="3402" w:type="dxa"/>
          </w:tcPr>
          <w:p w14:paraId="641720F0" w14:textId="77777777" w:rsidR="0065435C" w:rsidRPr="00531318" w:rsidRDefault="0065435C" w:rsidP="0065435C">
            <w:pPr>
              <w:spacing w:before="120" w:line="276" w:lineRule="auto"/>
              <w:jc w:val="both"/>
              <w:rPr>
                <w:rFonts w:cstheme="minorBidi"/>
              </w:rPr>
            </w:pPr>
            <w:r>
              <w:rPr>
                <w:rFonts w:cs="Arial"/>
                <w:szCs w:val="22"/>
              </w:rPr>
              <w:t>A</w:t>
            </w:r>
            <w:r w:rsidRPr="00FE039E">
              <w:rPr>
                <w:rFonts w:cs="Arial"/>
                <w:szCs w:val="22"/>
              </w:rPr>
              <w:t>tezolizumab with or without platinum-based chemotherapy versus placebo plus platinum-based chemotherapy in first-line metastatic urothelial carcinoma</w:t>
            </w:r>
          </w:p>
        </w:tc>
        <w:tc>
          <w:tcPr>
            <w:tcW w:w="2914" w:type="dxa"/>
          </w:tcPr>
          <w:p w14:paraId="6657772B" w14:textId="77777777" w:rsidR="0065435C" w:rsidRPr="00FE039E" w:rsidRDefault="0065435C" w:rsidP="0065435C">
            <w:pPr>
              <w:rPr>
                <w:rFonts w:cs="Arial"/>
                <w:szCs w:val="22"/>
              </w:rPr>
            </w:pPr>
            <w:r w:rsidRPr="00FE039E">
              <w:rPr>
                <w:rFonts w:cs="Arial"/>
                <w:szCs w:val="22"/>
              </w:rPr>
              <w:t>Median OS atezo + chemo = 16.0 months</w:t>
            </w:r>
          </w:p>
          <w:p w14:paraId="4483A09C" w14:textId="77777777" w:rsidR="0065435C" w:rsidRPr="00FE039E" w:rsidRDefault="0065435C" w:rsidP="0065435C">
            <w:pPr>
              <w:rPr>
                <w:rFonts w:cs="Arial"/>
                <w:szCs w:val="22"/>
              </w:rPr>
            </w:pPr>
          </w:p>
          <w:p w14:paraId="08B56168" w14:textId="77777777" w:rsidR="0065435C" w:rsidRPr="00531318" w:rsidRDefault="0065435C" w:rsidP="0065435C">
            <w:pPr>
              <w:spacing w:before="120" w:line="276" w:lineRule="auto"/>
              <w:jc w:val="both"/>
              <w:rPr>
                <w:rFonts w:cstheme="minorBidi"/>
              </w:rPr>
            </w:pPr>
            <w:r w:rsidRPr="00FE039E">
              <w:rPr>
                <w:rFonts w:cs="Arial"/>
                <w:szCs w:val="22"/>
              </w:rPr>
              <w:t>Median OS chemo = 13.4 months</w:t>
            </w:r>
          </w:p>
        </w:tc>
      </w:tr>
      <w:tr w:rsidR="0065435C" w:rsidRPr="00531318" w14:paraId="3DE6EBD2" w14:textId="77777777" w:rsidTr="0065435C">
        <w:tc>
          <w:tcPr>
            <w:tcW w:w="1980" w:type="dxa"/>
          </w:tcPr>
          <w:p w14:paraId="481662AC" w14:textId="77777777" w:rsidR="0065435C" w:rsidRPr="00531318" w:rsidRDefault="0065435C" w:rsidP="0065435C">
            <w:pPr>
              <w:spacing w:before="120" w:line="276" w:lineRule="auto"/>
              <w:jc w:val="both"/>
              <w:rPr>
                <w:rFonts w:cstheme="minorBidi"/>
              </w:rPr>
            </w:pPr>
            <w:r>
              <w:t xml:space="preserve">KEYNOTE-361 – Loriot </w:t>
            </w:r>
            <w:r w:rsidRPr="00846F0E">
              <w:rPr>
                <w:i/>
                <w:iCs/>
              </w:rPr>
              <w:t>et al.</w:t>
            </w:r>
            <w:r>
              <w:t xml:space="preserve"> 2021 (63)</w:t>
            </w:r>
          </w:p>
        </w:tc>
        <w:tc>
          <w:tcPr>
            <w:tcW w:w="3402" w:type="dxa"/>
          </w:tcPr>
          <w:p w14:paraId="1DD42AD1" w14:textId="77777777" w:rsidR="0065435C" w:rsidRPr="00531318" w:rsidRDefault="0065435C" w:rsidP="0065435C">
            <w:pPr>
              <w:spacing w:before="120" w:line="276" w:lineRule="auto"/>
              <w:jc w:val="both"/>
              <w:rPr>
                <w:rFonts w:cstheme="minorBidi"/>
              </w:rPr>
            </w:pPr>
            <w:r>
              <w:rPr>
                <w:rFonts w:cs="Arial"/>
                <w:szCs w:val="22"/>
              </w:rPr>
              <w:t>Post hoc analysis of long-term outcomes in patients with CR, PR, or SD to Pembrolizumab or platinum-based chemotherapy as first-line therapy for advanced urothelial carcinoma</w:t>
            </w:r>
          </w:p>
        </w:tc>
        <w:tc>
          <w:tcPr>
            <w:tcW w:w="2914" w:type="dxa"/>
          </w:tcPr>
          <w:p w14:paraId="6F7B4E98" w14:textId="77777777" w:rsidR="0065435C" w:rsidRDefault="0065435C" w:rsidP="0065435C">
            <w:pPr>
              <w:rPr>
                <w:rFonts w:cs="Arial"/>
                <w:szCs w:val="22"/>
              </w:rPr>
            </w:pPr>
            <w:r>
              <w:rPr>
                <w:rFonts w:cs="Arial"/>
                <w:szCs w:val="22"/>
              </w:rPr>
              <w:t>Median OS chemo CR/PR = 18.6 months</w:t>
            </w:r>
          </w:p>
          <w:p w14:paraId="6882FFAC" w14:textId="77777777" w:rsidR="0065435C" w:rsidRDefault="0065435C" w:rsidP="0065435C">
            <w:pPr>
              <w:rPr>
                <w:rFonts w:cs="Arial"/>
                <w:szCs w:val="22"/>
              </w:rPr>
            </w:pPr>
          </w:p>
          <w:p w14:paraId="04975D67" w14:textId="77777777" w:rsidR="0065435C" w:rsidRPr="00531318" w:rsidRDefault="0065435C" w:rsidP="0065435C">
            <w:pPr>
              <w:spacing w:before="120" w:line="276" w:lineRule="auto"/>
              <w:jc w:val="both"/>
              <w:rPr>
                <w:rFonts w:cstheme="minorBidi"/>
              </w:rPr>
            </w:pPr>
            <w:r>
              <w:rPr>
                <w:rFonts w:cs="Arial"/>
                <w:szCs w:val="22"/>
              </w:rPr>
              <w:t>Median OS chemo SD = 11.1 months</w:t>
            </w:r>
          </w:p>
        </w:tc>
      </w:tr>
      <w:tr w:rsidR="0065435C" w:rsidRPr="00531318" w14:paraId="76E06AC8" w14:textId="77777777" w:rsidTr="00A60D52">
        <w:trPr>
          <w:trHeight w:val="466"/>
        </w:trPr>
        <w:tc>
          <w:tcPr>
            <w:tcW w:w="8296" w:type="dxa"/>
            <w:gridSpan w:val="3"/>
            <w:shd w:val="clear" w:color="auto" w:fill="F2F2F2" w:themeFill="background1" w:themeFillShade="F2"/>
          </w:tcPr>
          <w:p w14:paraId="5EF1A1FE" w14:textId="77777777" w:rsidR="0065435C" w:rsidRPr="00846F0E" w:rsidRDefault="0065435C" w:rsidP="0065435C">
            <w:pPr>
              <w:rPr>
                <w:rFonts w:cs="Arial"/>
                <w:b/>
                <w:bCs/>
                <w:szCs w:val="22"/>
              </w:rPr>
            </w:pPr>
            <w:r w:rsidRPr="00846F0E">
              <w:rPr>
                <w:b/>
                <w:bCs/>
              </w:rPr>
              <w:t xml:space="preserve">Clinical experts and PAG feedback and estimates </w:t>
            </w:r>
          </w:p>
        </w:tc>
      </w:tr>
      <w:tr w:rsidR="0065435C" w:rsidRPr="00531318" w14:paraId="5434CB7E" w14:textId="77777777" w:rsidTr="0065435C">
        <w:tc>
          <w:tcPr>
            <w:tcW w:w="1980" w:type="dxa"/>
          </w:tcPr>
          <w:p w14:paraId="1A6D6EDF" w14:textId="77777777" w:rsidR="0065435C" w:rsidRPr="00531318" w:rsidRDefault="0065435C" w:rsidP="0065435C">
            <w:pPr>
              <w:spacing w:before="120" w:line="276" w:lineRule="auto"/>
              <w:jc w:val="both"/>
              <w:rPr>
                <w:rFonts w:cstheme="minorBidi"/>
              </w:rPr>
            </w:pPr>
            <w:r>
              <w:rPr>
                <w:rFonts w:cstheme="minorBidi"/>
              </w:rPr>
              <w:t>Interviews with eight UK-based clinicians</w:t>
            </w:r>
          </w:p>
        </w:tc>
        <w:tc>
          <w:tcPr>
            <w:tcW w:w="3402" w:type="dxa"/>
          </w:tcPr>
          <w:p w14:paraId="7343305C" w14:textId="77777777" w:rsidR="0065435C" w:rsidRPr="00531318" w:rsidRDefault="0065435C" w:rsidP="0065435C">
            <w:pPr>
              <w:spacing w:before="120" w:line="276" w:lineRule="auto"/>
              <w:jc w:val="both"/>
              <w:rPr>
                <w:rFonts w:cstheme="minorBidi"/>
              </w:rPr>
            </w:pPr>
            <w:r w:rsidRPr="00DC3AD5">
              <w:rPr>
                <w:rFonts w:cstheme="minorBidi"/>
              </w:rPr>
              <w:t>Adults with locally advanced or metastatic urothelial cancer whose disease did not progress while on or after completion of first-line platinum-based chemotherapy</w:t>
            </w:r>
          </w:p>
        </w:tc>
        <w:tc>
          <w:tcPr>
            <w:tcW w:w="2914" w:type="dxa"/>
          </w:tcPr>
          <w:p w14:paraId="73A320F8" w14:textId="77777777" w:rsidR="0065435C" w:rsidRPr="00531318" w:rsidRDefault="0065435C" w:rsidP="0065435C">
            <w:pPr>
              <w:spacing w:before="120" w:line="276" w:lineRule="auto"/>
              <w:jc w:val="both"/>
              <w:rPr>
                <w:rFonts w:cstheme="minorBidi"/>
              </w:rPr>
            </w:pPr>
            <w:r>
              <w:rPr>
                <w:rFonts w:cstheme="minorBidi"/>
              </w:rPr>
              <w:t>12-18 months</w:t>
            </w:r>
          </w:p>
        </w:tc>
      </w:tr>
      <w:tr w:rsidR="0065435C" w:rsidRPr="00531318" w14:paraId="19ABD0DB" w14:textId="77777777" w:rsidTr="0065435C">
        <w:tc>
          <w:tcPr>
            <w:tcW w:w="1980" w:type="dxa"/>
          </w:tcPr>
          <w:p w14:paraId="086F954A" w14:textId="77777777" w:rsidR="0065435C" w:rsidRPr="00531318" w:rsidRDefault="0065435C" w:rsidP="0065435C">
            <w:pPr>
              <w:spacing w:before="120" w:line="276" w:lineRule="auto"/>
              <w:jc w:val="both"/>
              <w:rPr>
                <w:rFonts w:cstheme="minorBidi"/>
              </w:rPr>
            </w:pPr>
            <w:r>
              <w:rPr>
                <w:rFonts w:cstheme="minorBidi"/>
              </w:rPr>
              <w:t>Clinician estimates from ACM1</w:t>
            </w:r>
          </w:p>
        </w:tc>
        <w:tc>
          <w:tcPr>
            <w:tcW w:w="3402" w:type="dxa"/>
          </w:tcPr>
          <w:p w14:paraId="3BBEFCAB" w14:textId="77777777" w:rsidR="0065435C" w:rsidRPr="00531318" w:rsidRDefault="0065435C" w:rsidP="0065435C">
            <w:pPr>
              <w:spacing w:before="120" w:line="276" w:lineRule="auto"/>
              <w:jc w:val="both"/>
              <w:rPr>
                <w:rFonts w:cstheme="minorBidi"/>
              </w:rPr>
            </w:pPr>
            <w:r w:rsidRPr="00DC3AD5">
              <w:rPr>
                <w:rFonts w:cstheme="minorBidi"/>
              </w:rPr>
              <w:t>Adults with locally advanced or metastatic urothelial cancer whose disease did not progress while on or after completion of first-line platinum-based chemotherapy</w:t>
            </w:r>
          </w:p>
        </w:tc>
        <w:tc>
          <w:tcPr>
            <w:tcW w:w="2914" w:type="dxa"/>
          </w:tcPr>
          <w:p w14:paraId="28EFFC39" w14:textId="77777777" w:rsidR="0065435C" w:rsidRPr="00531318" w:rsidRDefault="0065435C" w:rsidP="0065435C">
            <w:pPr>
              <w:spacing w:before="120" w:line="276" w:lineRule="auto"/>
              <w:jc w:val="both"/>
              <w:rPr>
                <w:rFonts w:cstheme="minorBidi"/>
              </w:rPr>
            </w:pPr>
            <w:r>
              <w:rPr>
                <w:rFonts w:cstheme="minorBidi"/>
              </w:rPr>
              <w:t>Life expectancy 11 – 16 months</w:t>
            </w:r>
          </w:p>
        </w:tc>
      </w:tr>
      <w:tr w:rsidR="0065435C" w:rsidRPr="00531318" w14:paraId="7F60CEE0" w14:textId="77777777" w:rsidTr="0065435C">
        <w:tc>
          <w:tcPr>
            <w:tcW w:w="1980" w:type="dxa"/>
          </w:tcPr>
          <w:p w14:paraId="6F78133C" w14:textId="77777777" w:rsidR="0065435C" w:rsidRPr="00531318" w:rsidRDefault="0065435C" w:rsidP="0065435C">
            <w:pPr>
              <w:spacing w:before="120" w:line="276" w:lineRule="auto"/>
              <w:jc w:val="both"/>
              <w:rPr>
                <w:rFonts w:cstheme="minorBidi"/>
              </w:rPr>
            </w:pPr>
            <w:r>
              <w:rPr>
                <w:rFonts w:cstheme="minorBidi"/>
              </w:rPr>
              <w:t>Clinician response to TE (64)</w:t>
            </w:r>
          </w:p>
        </w:tc>
        <w:tc>
          <w:tcPr>
            <w:tcW w:w="3402" w:type="dxa"/>
          </w:tcPr>
          <w:p w14:paraId="6C86CF0B" w14:textId="77777777" w:rsidR="0065435C" w:rsidRPr="00531318" w:rsidRDefault="0065435C" w:rsidP="0065435C">
            <w:pPr>
              <w:spacing w:before="120" w:line="276" w:lineRule="auto"/>
              <w:jc w:val="both"/>
              <w:rPr>
                <w:rFonts w:cstheme="minorBidi"/>
              </w:rPr>
            </w:pPr>
            <w:r w:rsidRPr="00DC3AD5">
              <w:rPr>
                <w:rFonts w:cstheme="minorBidi"/>
              </w:rPr>
              <w:t>Adults with locally advanced or metastatic urothelial cancer whose disease did not progress while on or after completion of first-line platinum-based chemotherapy</w:t>
            </w:r>
          </w:p>
        </w:tc>
        <w:tc>
          <w:tcPr>
            <w:tcW w:w="2914" w:type="dxa"/>
          </w:tcPr>
          <w:p w14:paraId="0AC1C8B8" w14:textId="77777777" w:rsidR="0065435C" w:rsidRDefault="0065435C" w:rsidP="0065435C">
            <w:pPr>
              <w:spacing w:before="120" w:line="276" w:lineRule="auto"/>
              <w:jc w:val="both"/>
              <w:rPr>
                <w:rFonts w:cstheme="minorBidi"/>
              </w:rPr>
            </w:pPr>
            <w:r>
              <w:rPr>
                <w:rFonts w:cstheme="minorBidi"/>
              </w:rPr>
              <w:t>Prof Alison J Birtle: Life expectancy = 12-14 months</w:t>
            </w:r>
          </w:p>
          <w:p w14:paraId="473DE7BA" w14:textId="77777777" w:rsidR="0065435C" w:rsidRDefault="0065435C" w:rsidP="0065435C">
            <w:pPr>
              <w:spacing w:before="120" w:line="276" w:lineRule="auto"/>
              <w:jc w:val="both"/>
              <w:rPr>
                <w:rFonts w:cstheme="minorBidi"/>
              </w:rPr>
            </w:pPr>
          </w:p>
          <w:p w14:paraId="2CEF9CD8" w14:textId="77777777" w:rsidR="0065435C" w:rsidRPr="00531318" w:rsidRDefault="0065435C" w:rsidP="0065435C">
            <w:pPr>
              <w:spacing w:before="120" w:line="276" w:lineRule="auto"/>
              <w:jc w:val="both"/>
              <w:rPr>
                <w:rFonts w:cstheme="minorBidi"/>
              </w:rPr>
            </w:pPr>
            <w:r>
              <w:rPr>
                <w:rFonts w:cstheme="minorBidi"/>
              </w:rPr>
              <w:t>Dr Syed A Hussain: Life expectancy = 14-15 months</w:t>
            </w:r>
          </w:p>
        </w:tc>
      </w:tr>
      <w:tr w:rsidR="0065435C" w:rsidRPr="00531318" w14:paraId="65A5D7C9" w14:textId="77777777" w:rsidTr="0065435C">
        <w:tc>
          <w:tcPr>
            <w:tcW w:w="1980" w:type="dxa"/>
          </w:tcPr>
          <w:p w14:paraId="3FED615C" w14:textId="77777777" w:rsidR="0065435C" w:rsidRPr="00531318" w:rsidRDefault="0065435C" w:rsidP="0065435C">
            <w:pPr>
              <w:spacing w:before="120" w:line="276" w:lineRule="auto"/>
              <w:jc w:val="both"/>
              <w:rPr>
                <w:rFonts w:cstheme="minorBidi"/>
              </w:rPr>
            </w:pPr>
            <w:r>
              <w:rPr>
                <w:rFonts w:cstheme="minorBidi"/>
              </w:rPr>
              <w:t>Fight Bladder Cancer response to ACD (65)</w:t>
            </w:r>
          </w:p>
        </w:tc>
        <w:tc>
          <w:tcPr>
            <w:tcW w:w="3402" w:type="dxa"/>
          </w:tcPr>
          <w:p w14:paraId="10BCD52D" w14:textId="77777777" w:rsidR="0065435C" w:rsidRPr="00531318" w:rsidRDefault="0065435C" w:rsidP="0065435C">
            <w:pPr>
              <w:spacing w:before="120" w:line="276" w:lineRule="auto"/>
              <w:jc w:val="both"/>
              <w:rPr>
                <w:rFonts w:cstheme="minorBidi"/>
              </w:rPr>
            </w:pPr>
            <w:r w:rsidRPr="00DC3AD5">
              <w:rPr>
                <w:rFonts w:cstheme="minorBidi"/>
              </w:rPr>
              <w:t>Adults with locally advanced or metastatic urothelial cancer whose disease did not progress while on or after completion of first-line platinum-based chemotherapy</w:t>
            </w:r>
          </w:p>
        </w:tc>
        <w:tc>
          <w:tcPr>
            <w:tcW w:w="2914" w:type="dxa"/>
          </w:tcPr>
          <w:p w14:paraId="374ACF27" w14:textId="77777777" w:rsidR="0065435C" w:rsidRDefault="0065435C" w:rsidP="0065435C">
            <w:pPr>
              <w:spacing w:before="120" w:line="276" w:lineRule="auto"/>
              <w:jc w:val="both"/>
              <w:rPr>
                <w:rFonts w:cstheme="minorBidi"/>
              </w:rPr>
            </w:pPr>
            <w:r>
              <w:rPr>
                <w:rFonts w:cstheme="minorBidi"/>
              </w:rPr>
              <w:t>Dr Simon Crabb: These patients live for a median of 12-18 months. Less than 20% longer than 2 years.</w:t>
            </w:r>
          </w:p>
          <w:p w14:paraId="4BF9E0A9" w14:textId="77777777" w:rsidR="0065435C" w:rsidRDefault="0065435C" w:rsidP="0065435C">
            <w:pPr>
              <w:spacing w:before="120" w:line="276" w:lineRule="auto"/>
              <w:jc w:val="both"/>
              <w:rPr>
                <w:rFonts w:cstheme="minorBidi"/>
              </w:rPr>
            </w:pPr>
            <w:r w:rsidRPr="000B5457">
              <w:rPr>
                <w:rFonts w:cstheme="minorBidi"/>
              </w:rPr>
              <w:t xml:space="preserve">Prof Alison J Birtle: </w:t>
            </w:r>
            <w:r>
              <w:rPr>
                <w:rFonts w:cstheme="minorBidi"/>
              </w:rPr>
              <w:t xml:space="preserve">These patients live for an average of around 14 </w:t>
            </w:r>
            <w:r w:rsidRPr="000B5457">
              <w:rPr>
                <w:rFonts w:cstheme="minorBidi"/>
              </w:rPr>
              <w:t>months</w:t>
            </w:r>
          </w:p>
          <w:p w14:paraId="4C2C96E6" w14:textId="77777777" w:rsidR="0065435C" w:rsidRPr="00531318" w:rsidRDefault="0065435C" w:rsidP="0065435C">
            <w:pPr>
              <w:spacing w:before="120" w:line="276" w:lineRule="auto"/>
              <w:jc w:val="both"/>
              <w:rPr>
                <w:rFonts w:cstheme="minorBidi"/>
              </w:rPr>
            </w:pPr>
          </w:p>
        </w:tc>
      </w:tr>
    </w:tbl>
    <w:p w14:paraId="265418E1" w14:textId="77777777" w:rsidR="0065435C" w:rsidRPr="00531318" w:rsidRDefault="0065435C" w:rsidP="0065435C">
      <w:pPr>
        <w:spacing w:before="120" w:line="276" w:lineRule="auto"/>
        <w:jc w:val="both"/>
        <w:rPr>
          <w:rFonts w:cstheme="minorBidi"/>
        </w:rPr>
      </w:pPr>
    </w:p>
    <w:p w14:paraId="034B47EF" w14:textId="77777777" w:rsidR="0065435C" w:rsidRPr="001D358E" w:rsidRDefault="0065435C" w:rsidP="0065435C">
      <w:pPr>
        <w:spacing w:before="120" w:line="276" w:lineRule="auto"/>
        <w:jc w:val="both"/>
        <w:rPr>
          <w:rFonts w:ascii="Times New Roman" w:eastAsia="Times New Roman" w:hAnsi="Times New Roman" w:cstheme="minorHAnsi"/>
          <w:bCs/>
          <w:sz w:val="24"/>
          <w:szCs w:val="24"/>
          <w:lang w:eastAsia="en-GB"/>
        </w:rPr>
      </w:pPr>
      <w:r w:rsidRPr="001D358E">
        <w:rPr>
          <w:rFonts w:ascii="Times New Roman" w:eastAsia="Times New Roman" w:hAnsi="Times New Roman" w:cstheme="minorHAnsi"/>
          <w:bCs/>
          <w:sz w:val="24"/>
          <w:szCs w:val="24"/>
          <w:lang w:eastAsia="en-GB"/>
        </w:rPr>
        <w:t>The real-world evidence, estimates from the literature, the median overall survival reported in the JAVELIN Bladder 100 trial as well as clinical expert opinion all suggest that life expectancy for the population under assessment is less than 24 months, with the only outlier being the modelled mean</w:t>
      </w:r>
      <w:r w:rsidRPr="00531318">
        <w:rPr>
          <w:rFonts w:cstheme="minorBidi"/>
        </w:rPr>
        <w:t xml:space="preserve"> </w:t>
      </w:r>
      <w:r w:rsidRPr="001D358E">
        <w:rPr>
          <w:rFonts w:ascii="Times New Roman" w:eastAsia="Times New Roman" w:hAnsi="Times New Roman" w:cstheme="minorHAnsi"/>
          <w:bCs/>
          <w:sz w:val="24"/>
          <w:szCs w:val="24"/>
          <w:lang w:eastAsia="en-GB"/>
        </w:rPr>
        <w:t>OS which is affected by a long survival tail, due to a small number of patients who have benefitted from an enduring response. Estimates of life expectancy should be based on the totality of the evidence relating to standard of care including the clinical trial, cost-effectiveness model, the clinical opinion from 10 experts (including 2 experts at NICE Committee) and real world evidence which has been presented in our original submission and in our response to the ACD.</w:t>
      </w:r>
    </w:p>
    <w:p w14:paraId="7A134748" w14:textId="77777777" w:rsidR="0065435C" w:rsidRPr="001D358E" w:rsidRDefault="0065435C" w:rsidP="0065435C">
      <w:pPr>
        <w:spacing w:before="120" w:line="276" w:lineRule="auto"/>
        <w:jc w:val="both"/>
        <w:rPr>
          <w:rFonts w:ascii="Times New Roman" w:eastAsia="Times New Roman" w:hAnsi="Times New Roman" w:cstheme="minorHAnsi"/>
          <w:bCs/>
          <w:sz w:val="24"/>
          <w:szCs w:val="24"/>
          <w:lang w:eastAsia="en-GB"/>
        </w:rPr>
      </w:pPr>
      <w:r w:rsidRPr="001D358E">
        <w:rPr>
          <w:rFonts w:ascii="Times New Roman" w:eastAsia="Times New Roman" w:hAnsi="Times New Roman" w:cstheme="minorHAnsi"/>
          <w:bCs/>
          <w:sz w:val="24"/>
          <w:szCs w:val="24"/>
          <w:lang w:eastAsia="en-GB"/>
        </w:rPr>
        <w:t xml:space="preserve"> The Committee states, at paragraph 3.14 of the FAD that it </w:t>
      </w:r>
    </w:p>
    <w:p w14:paraId="50A27C7C" w14:textId="77777777" w:rsidR="0065435C" w:rsidRPr="00531318" w:rsidRDefault="0065435C" w:rsidP="0065435C">
      <w:pPr>
        <w:spacing w:before="120" w:line="276" w:lineRule="auto"/>
        <w:ind w:left="720"/>
        <w:jc w:val="both"/>
        <w:rPr>
          <w:rFonts w:cstheme="minorBidi"/>
          <w:i/>
        </w:rPr>
      </w:pPr>
      <w:r w:rsidRPr="00531318">
        <w:rPr>
          <w:rFonts w:cstheme="minorBidi"/>
          <w:i/>
        </w:rPr>
        <w:t xml:space="preserve">“recognised that there was potential value in real-world evidence to help inform its decision making and noted that these corresponded with the median estimate from the trial. But it was concerned about the differences between median overall survival and the mean estimates produced in the model”. </w:t>
      </w:r>
    </w:p>
    <w:p w14:paraId="048E7E09" w14:textId="77777777" w:rsidR="0065435C" w:rsidRPr="001D358E" w:rsidRDefault="0065435C" w:rsidP="0065435C">
      <w:pPr>
        <w:spacing w:before="120" w:line="276" w:lineRule="auto"/>
        <w:jc w:val="both"/>
        <w:rPr>
          <w:rFonts w:ascii="Times New Roman" w:eastAsia="Times New Roman" w:hAnsi="Times New Roman" w:cstheme="minorHAnsi"/>
          <w:bCs/>
          <w:sz w:val="24"/>
          <w:szCs w:val="24"/>
          <w:lang w:eastAsia="en-GB"/>
        </w:rPr>
      </w:pPr>
      <w:r w:rsidRPr="001D358E">
        <w:rPr>
          <w:rFonts w:ascii="Times New Roman" w:eastAsia="Times New Roman" w:hAnsi="Times New Roman" w:cstheme="minorHAnsi"/>
          <w:bCs/>
          <w:sz w:val="24"/>
          <w:szCs w:val="24"/>
          <w:lang w:eastAsia="en-GB"/>
        </w:rPr>
        <w:t>However, the value of real-world evidence submitted and the fact that it corresponded with the median overall survival from JAVELIN Bladder 100 is not reflected in the Committee’s decision, which focusses on extrapolation from the clinical trial. The Committee’s reliance on the most extreme estimate of survival to inform its overall conclusion, in circumstances where this does not reflect the experience of the majority of patients with the condition under consideration is not reasonable.</w:t>
      </w:r>
    </w:p>
    <w:p w14:paraId="6985E2B4" w14:textId="77777777" w:rsidR="0065435C" w:rsidRPr="00A60D52" w:rsidRDefault="0065435C" w:rsidP="00A60D52">
      <w:pPr>
        <w:pStyle w:val="Heading3"/>
        <w:spacing w:before="120" w:line="276" w:lineRule="auto"/>
        <w:jc w:val="both"/>
        <w:rPr>
          <w:rFonts w:ascii="Times New Roman" w:hAnsi="Times New Roman" w:cstheme="minorBidi"/>
          <w:color w:val="auto"/>
          <w:u w:val="single"/>
        </w:rPr>
      </w:pPr>
      <w:r w:rsidRPr="00A60D52">
        <w:rPr>
          <w:rFonts w:ascii="Times New Roman" w:hAnsi="Times New Roman" w:cstheme="minorBidi"/>
          <w:color w:val="auto"/>
          <w:u w:val="single"/>
        </w:rPr>
        <w:t xml:space="preserve">(d) The Committee has unreasonably concluded that, in circumstances where more than a very small number of people are expected to survive more than 2 years, the first end of life criterion would not be met. </w:t>
      </w:r>
    </w:p>
    <w:p w14:paraId="5056FF83" w14:textId="77777777" w:rsidR="0065435C" w:rsidRPr="001D358E" w:rsidRDefault="0065435C" w:rsidP="0065435C">
      <w:pPr>
        <w:spacing w:before="120" w:line="276" w:lineRule="auto"/>
        <w:jc w:val="both"/>
        <w:rPr>
          <w:rFonts w:ascii="Times New Roman" w:eastAsia="Times New Roman" w:hAnsi="Times New Roman" w:cstheme="minorHAnsi"/>
          <w:bCs/>
          <w:sz w:val="24"/>
          <w:szCs w:val="24"/>
          <w:lang w:eastAsia="en-GB"/>
        </w:rPr>
      </w:pPr>
      <w:r w:rsidRPr="001D358E">
        <w:rPr>
          <w:rFonts w:ascii="Times New Roman" w:eastAsia="Times New Roman" w:hAnsi="Times New Roman" w:cstheme="minorHAnsi"/>
          <w:bCs/>
          <w:sz w:val="24"/>
          <w:szCs w:val="24"/>
          <w:lang w:eastAsia="en-GB"/>
        </w:rPr>
        <w:t>At paragraph 3.14 of the FAD, in the context of its consideration of criterion one of the end of life criteria, the Committee noted:</w:t>
      </w:r>
    </w:p>
    <w:p w14:paraId="3495228D" w14:textId="77777777" w:rsidR="0065435C" w:rsidRPr="00531318" w:rsidRDefault="0065435C" w:rsidP="0065435C">
      <w:pPr>
        <w:spacing w:before="120" w:line="276" w:lineRule="auto"/>
        <w:ind w:left="720"/>
        <w:jc w:val="both"/>
        <w:rPr>
          <w:rFonts w:cstheme="minorHAnsi"/>
          <w:i/>
          <w:iCs/>
        </w:rPr>
      </w:pPr>
      <w:r w:rsidRPr="00531318">
        <w:rPr>
          <w:rFonts w:cstheme="minorHAnsi"/>
          <w:i/>
          <w:iCs/>
        </w:rPr>
        <w:t xml:space="preserve">“…overall survival extrapolations from the economic model predicted 37% (generalised gamma) and 35% (log-normal) of people who did not have avelumab were likely to live longer than 2 years. It considered that this did not suggest that only a very small number of people are expected to survive beyond 2 years”. </w:t>
      </w:r>
    </w:p>
    <w:p w14:paraId="585B4C85" w14:textId="77777777" w:rsidR="0065435C" w:rsidRPr="001D358E" w:rsidRDefault="0065435C" w:rsidP="0065435C">
      <w:pPr>
        <w:spacing w:before="120" w:line="276" w:lineRule="auto"/>
        <w:jc w:val="both"/>
        <w:rPr>
          <w:rFonts w:ascii="Times New Roman" w:eastAsia="Times New Roman" w:hAnsi="Times New Roman" w:cstheme="minorHAnsi"/>
          <w:bCs/>
          <w:sz w:val="24"/>
          <w:szCs w:val="24"/>
          <w:lang w:eastAsia="en-GB"/>
        </w:rPr>
      </w:pPr>
      <w:r w:rsidRPr="001D358E">
        <w:rPr>
          <w:rFonts w:ascii="Times New Roman" w:eastAsia="Times New Roman" w:hAnsi="Times New Roman" w:cstheme="minorHAnsi"/>
          <w:bCs/>
          <w:sz w:val="24"/>
          <w:szCs w:val="24"/>
          <w:lang w:eastAsia="en-GB"/>
        </w:rPr>
        <w:t>However, the implications of the analysis referenced by the Committee is that the majority of patients (i.e. 65%) are expected to live less than two years and the fact that a minority of patients do well, does not in any way reduce the impact of the disease or the grim prognosis for the majority. The Committee’s reliance on these data to support its view that the first end of life criterion is not met is therefore unreasonable. In fact a proper interpretation of these data is that life expectancy reflects the experience of the majority - i.e. less than two years.</w:t>
      </w:r>
    </w:p>
    <w:p w14:paraId="4193673A" w14:textId="77777777" w:rsidR="0065435C" w:rsidRPr="00A60D52" w:rsidRDefault="0065435C" w:rsidP="00A60D52">
      <w:pPr>
        <w:pStyle w:val="Heading3"/>
        <w:spacing w:before="120" w:line="276" w:lineRule="auto"/>
        <w:jc w:val="both"/>
        <w:rPr>
          <w:rFonts w:ascii="Times New Roman" w:hAnsi="Times New Roman" w:cstheme="minorBidi"/>
          <w:color w:val="auto"/>
          <w:u w:val="single"/>
        </w:rPr>
      </w:pPr>
      <w:r w:rsidRPr="00A60D52">
        <w:rPr>
          <w:rFonts w:ascii="Times New Roman" w:hAnsi="Times New Roman" w:cstheme="minorBidi"/>
          <w:color w:val="auto"/>
          <w:u w:val="single"/>
        </w:rPr>
        <w:t>(e) The Committee has misinterpreted the first criterion as imposing a fixed threshold of 24 months and has then applied this to the most extreme estimate of survival</w:t>
      </w:r>
    </w:p>
    <w:p w14:paraId="4EEBFEE6" w14:textId="77777777" w:rsidR="0065435C" w:rsidRPr="001D358E" w:rsidRDefault="0065435C" w:rsidP="0065435C">
      <w:pPr>
        <w:spacing w:before="120" w:line="276" w:lineRule="auto"/>
        <w:jc w:val="both"/>
        <w:rPr>
          <w:rFonts w:ascii="Times New Roman" w:eastAsia="Times New Roman" w:hAnsi="Times New Roman" w:cstheme="minorHAnsi"/>
          <w:bCs/>
          <w:sz w:val="24"/>
          <w:szCs w:val="24"/>
          <w:lang w:eastAsia="en-GB"/>
        </w:rPr>
      </w:pPr>
      <w:r w:rsidRPr="001D358E">
        <w:rPr>
          <w:rFonts w:ascii="Times New Roman" w:eastAsia="Times New Roman" w:hAnsi="Times New Roman" w:cstheme="minorHAnsi"/>
          <w:bCs/>
          <w:sz w:val="24"/>
          <w:szCs w:val="24"/>
          <w:lang w:eastAsia="en-GB"/>
        </w:rPr>
        <w:t>The first end of life criterion requires that “the treatment is indicated for patients with a short life expectancy, normally less than 24 months”. This does not impose an absolute and inflexible limit of two years but simply states that life expectancy will “normally” be less than this. The Committee however has disregarded the word “normally” and treated the criterion as excluding any treatment indicated for patients with a life expectancy over the threshold. This is inconsistent with the wording of NICE’s procedures and therefore unreasonable.</w:t>
      </w:r>
    </w:p>
    <w:p w14:paraId="4E9EADCC" w14:textId="77777777" w:rsidR="0065435C" w:rsidRPr="001D358E" w:rsidRDefault="0065435C" w:rsidP="0065435C">
      <w:pPr>
        <w:spacing w:before="120" w:line="276" w:lineRule="auto"/>
        <w:jc w:val="both"/>
        <w:rPr>
          <w:rFonts w:ascii="Times New Roman" w:eastAsia="Times New Roman" w:hAnsi="Times New Roman" w:cstheme="minorHAnsi"/>
          <w:bCs/>
          <w:sz w:val="24"/>
          <w:szCs w:val="24"/>
          <w:lang w:eastAsia="en-GB"/>
        </w:rPr>
      </w:pPr>
      <w:r w:rsidRPr="001D358E">
        <w:rPr>
          <w:rFonts w:ascii="Times New Roman" w:eastAsia="Times New Roman" w:hAnsi="Times New Roman" w:cstheme="minorHAnsi"/>
          <w:bCs/>
          <w:sz w:val="24"/>
          <w:szCs w:val="24"/>
          <w:lang w:eastAsia="en-GB"/>
        </w:rPr>
        <w:t xml:space="preserve">The arbitrariness of the Committee’s approach is demonstrated by the fact that the majority of estimates of life expectancy fall below two years, as explained under (c) above. Furthermore, while it is Merck/Pfizer Alliance’s position that the Committee was not acting reasonably in choosing to rely on a mean estimation of overall survival derived from the clinical trial, the ERG’s estimation of overall survival in the best supportive care arm from the JAVELIN Bladder 100 trial was 27.82 months, which is close to the 24 months specified in the first end of life criterion. The fact that the Committee concluded that this estimation (applying the flexibility incorporated in the first criterion) together with all the other available evidence did not meet the first end of life criterion was unreasonable.  </w:t>
      </w:r>
    </w:p>
    <w:p w14:paraId="387E48B2" w14:textId="77777777" w:rsidR="0065435C" w:rsidRPr="001D358E" w:rsidRDefault="0065435C" w:rsidP="0065435C">
      <w:pPr>
        <w:spacing w:before="120" w:line="276" w:lineRule="auto"/>
        <w:jc w:val="both"/>
        <w:rPr>
          <w:b/>
          <w:bCs/>
          <w:sz w:val="24"/>
          <w:szCs w:val="24"/>
        </w:rPr>
      </w:pPr>
      <w:r>
        <w:rPr>
          <w:b/>
          <w:bCs/>
        </w:rPr>
        <w:t xml:space="preserve">2.2 </w:t>
      </w:r>
      <w:r>
        <w:rPr>
          <w:b/>
          <w:bCs/>
        </w:rPr>
        <w:tab/>
      </w:r>
      <w:r w:rsidRPr="001D358E">
        <w:rPr>
          <w:b/>
          <w:bCs/>
          <w:sz w:val="24"/>
          <w:szCs w:val="24"/>
        </w:rPr>
        <w:t>The Committee’s conclusion that it is not appropriate to pool health-state utilities across treatment arms may have been impacted by a misunderstanding of the impact this has on the ICER</w:t>
      </w:r>
    </w:p>
    <w:p w14:paraId="5FB7A97B" w14:textId="77777777" w:rsidR="0065435C" w:rsidRPr="001D358E" w:rsidRDefault="0065435C" w:rsidP="0065435C">
      <w:pPr>
        <w:spacing w:before="120" w:line="276" w:lineRule="auto"/>
        <w:jc w:val="both"/>
        <w:rPr>
          <w:rFonts w:ascii="Times New Roman" w:eastAsia="Times New Roman" w:hAnsi="Times New Roman" w:cstheme="minorHAnsi"/>
          <w:bCs/>
          <w:sz w:val="24"/>
          <w:szCs w:val="24"/>
          <w:lang w:eastAsia="en-GB"/>
        </w:rPr>
      </w:pPr>
      <w:r w:rsidRPr="001D358E">
        <w:rPr>
          <w:rFonts w:ascii="Times New Roman" w:eastAsia="Times New Roman" w:hAnsi="Times New Roman" w:cstheme="minorHAnsi"/>
          <w:bCs/>
          <w:sz w:val="24"/>
          <w:szCs w:val="24"/>
          <w:lang w:eastAsia="en-GB"/>
        </w:rPr>
        <w:t>The Committee states, at paragraph 3.12 of the FAD that:</w:t>
      </w:r>
    </w:p>
    <w:p w14:paraId="23EDC534" w14:textId="77777777" w:rsidR="0065435C" w:rsidRDefault="0065435C" w:rsidP="0065435C">
      <w:pPr>
        <w:spacing w:before="120" w:line="276" w:lineRule="auto"/>
        <w:ind w:left="720"/>
        <w:jc w:val="both"/>
        <w:rPr>
          <w:rFonts w:cstheme="minorHAnsi"/>
          <w:i/>
          <w:iCs/>
        </w:rPr>
      </w:pPr>
      <w:r>
        <w:rPr>
          <w:rFonts w:cstheme="minorHAnsi"/>
          <w:i/>
          <w:iCs/>
        </w:rPr>
        <w:t>“</w:t>
      </w:r>
      <w:r w:rsidRPr="00F2471E">
        <w:rPr>
          <w:rFonts w:cstheme="minorHAnsi"/>
          <w:i/>
          <w:iCs/>
        </w:rPr>
        <w:t>Using pooled data for the health-state utilities slightly increased the ICER for avelumab.</w:t>
      </w:r>
      <w:r>
        <w:rPr>
          <w:rFonts w:cstheme="minorHAnsi"/>
          <w:i/>
          <w:iCs/>
        </w:rPr>
        <w:t>”</w:t>
      </w:r>
    </w:p>
    <w:p w14:paraId="73B3167B" w14:textId="77777777" w:rsidR="0065435C" w:rsidRPr="001D358E" w:rsidRDefault="0065435C" w:rsidP="0065435C">
      <w:pPr>
        <w:spacing w:before="120" w:line="276" w:lineRule="auto"/>
        <w:jc w:val="both"/>
        <w:rPr>
          <w:rFonts w:ascii="Times New Roman" w:eastAsia="Times New Roman" w:hAnsi="Times New Roman" w:cstheme="minorHAnsi"/>
          <w:bCs/>
          <w:sz w:val="24"/>
          <w:szCs w:val="24"/>
          <w:lang w:eastAsia="en-GB"/>
        </w:rPr>
      </w:pPr>
      <w:r w:rsidRPr="001D358E">
        <w:rPr>
          <w:rFonts w:ascii="Times New Roman" w:eastAsia="Times New Roman" w:hAnsi="Times New Roman" w:cstheme="minorHAnsi"/>
          <w:bCs/>
          <w:sz w:val="24"/>
          <w:szCs w:val="24"/>
          <w:lang w:eastAsia="en-GB"/>
        </w:rPr>
        <w:t xml:space="preserve">However this is incorrect as the inclusion of pooled data for health-state utilities results in a slight decrease in the ICER for avelumab versus the use of treatment-specific utilities. This misunderstanding could have influenced the Committee decision who may have thought they were selecting the more optimistic scenario for avelumab when this wasn’t the case. This misunderstanding may have led to an inappropriate evaluation of the evidence presented. </w:t>
      </w:r>
    </w:p>
    <w:p w14:paraId="5D09524F" w14:textId="77777777" w:rsidR="00A60D52" w:rsidRPr="001D358E" w:rsidRDefault="00A60D52" w:rsidP="001D358E">
      <w:pPr>
        <w:spacing w:before="120" w:line="276" w:lineRule="auto"/>
        <w:jc w:val="both"/>
        <w:rPr>
          <w:rFonts w:ascii="Times New Roman" w:eastAsia="Times New Roman" w:hAnsi="Times New Roman" w:cstheme="minorHAnsi"/>
          <w:bCs/>
          <w:sz w:val="24"/>
          <w:szCs w:val="24"/>
          <w:lang w:eastAsia="en-GB"/>
        </w:rPr>
      </w:pPr>
    </w:p>
    <w:p w14:paraId="38726E89" w14:textId="61824120" w:rsidR="0065435C" w:rsidRPr="00A60D52" w:rsidRDefault="0065435C" w:rsidP="0065435C">
      <w:pPr>
        <w:pStyle w:val="Heading2"/>
        <w:spacing w:before="120" w:line="276" w:lineRule="auto"/>
        <w:jc w:val="both"/>
        <w:rPr>
          <w:rFonts w:ascii="Times New Roman" w:hAnsi="Times New Roman" w:cstheme="minorHAnsi"/>
          <w:b/>
          <w:bCs/>
          <w:i/>
          <w:iCs/>
          <w:color w:val="auto"/>
          <w:sz w:val="24"/>
        </w:rPr>
      </w:pPr>
      <w:r w:rsidRPr="00A60D52">
        <w:rPr>
          <w:rFonts w:ascii="Times New Roman" w:hAnsi="Times New Roman" w:cstheme="minorHAnsi"/>
          <w:b/>
          <w:bCs/>
          <w:color w:val="auto"/>
          <w:sz w:val="24"/>
        </w:rPr>
        <w:t>Conclusion</w:t>
      </w:r>
    </w:p>
    <w:p w14:paraId="19074F5F" w14:textId="77777777" w:rsidR="0065435C" w:rsidRPr="00531318" w:rsidRDefault="0065435C" w:rsidP="0065435C">
      <w:pPr>
        <w:pStyle w:val="BodyText"/>
        <w:jc w:val="both"/>
        <w:rPr>
          <w:rFonts w:ascii="Times New Roman" w:hAnsi="Times New Roman"/>
        </w:rPr>
      </w:pPr>
      <w:r w:rsidRPr="00531318">
        <w:rPr>
          <w:rFonts w:ascii="Times New Roman" w:hAnsi="Times New Roman"/>
        </w:rPr>
        <w:t xml:space="preserve">The Merck/Pfizer Alliance requests that this appeal should be determined at an oral hearing. </w:t>
      </w:r>
    </w:p>
    <w:p w14:paraId="5576D121" w14:textId="77777777" w:rsidR="001D358E" w:rsidRDefault="0065435C" w:rsidP="001D358E">
      <w:pPr>
        <w:spacing w:before="120" w:line="276" w:lineRule="auto"/>
        <w:jc w:val="both"/>
        <w:rPr>
          <w:rFonts w:ascii="Times New Roman" w:hAnsi="Times New Roman" w:cstheme="minorBidi"/>
          <w:sz w:val="24"/>
          <w:szCs w:val="24"/>
        </w:rPr>
      </w:pPr>
      <w:r w:rsidRPr="001D358E">
        <w:rPr>
          <w:rFonts w:ascii="Times New Roman" w:hAnsi="Times New Roman" w:cstheme="minorBidi"/>
          <w:sz w:val="24"/>
          <w:szCs w:val="24"/>
        </w:rPr>
        <w:t>We firmly believe that, in certain respects, the procedure followed in this appraisal has been unfair and that the conclusions are unreasonable in light of the evidence provided. We therefore respectfully request the Panel to uphold our appeal and to return this appraisal to the Appraisal Committee for further consideration of (i) the 2-year stopping rule, (ii) the End-of-Life criteria and specifically the full evidence provided on the overall survival of patients with urothelial cancer treated in England and (iii) the use of pooled health state utilities across treatment arms consistent with previous appraisals.</w:t>
      </w:r>
    </w:p>
    <w:p w14:paraId="4422F6ED" w14:textId="15F0E466" w:rsidR="001D358E" w:rsidRPr="001D358E" w:rsidRDefault="001D358E" w:rsidP="001D358E">
      <w:pPr>
        <w:spacing w:before="120" w:line="276" w:lineRule="auto"/>
        <w:jc w:val="both"/>
        <w:rPr>
          <w:rFonts w:ascii="Times New Roman" w:hAnsi="Times New Roman" w:cstheme="minorBidi"/>
          <w:sz w:val="24"/>
          <w:szCs w:val="24"/>
        </w:rPr>
      </w:pPr>
      <w:r w:rsidRPr="001D358E">
        <w:rPr>
          <w:rFonts w:ascii="Times New Roman" w:hAnsi="Times New Roman"/>
          <w:sz w:val="24"/>
          <w:szCs w:val="24"/>
        </w:rPr>
        <w:t>We thank you in advance for considering the company’s submissions in this appeal.  We are available to answer any questions you may have or provide further clarifications.</w:t>
      </w:r>
    </w:p>
    <w:p w14:paraId="5A04F13C" w14:textId="4A41C20B" w:rsidR="00F2471E" w:rsidRDefault="00F2471E" w:rsidP="0065435C">
      <w:pPr>
        <w:rPr>
          <w:rFonts w:ascii="Times New Roman" w:hAnsi="Times New Roman" w:cstheme="minorBidi"/>
          <w:sz w:val="24"/>
          <w:szCs w:val="24"/>
        </w:rPr>
      </w:pPr>
    </w:p>
    <w:p w14:paraId="57BDFEC7" w14:textId="77777777" w:rsidR="001D358E" w:rsidRPr="001D358E" w:rsidRDefault="001D358E" w:rsidP="0065435C">
      <w:pPr>
        <w:rPr>
          <w:rFonts w:ascii="Times New Roman" w:hAnsi="Times New Roman" w:cstheme="minorBidi"/>
          <w:sz w:val="24"/>
          <w:szCs w:val="24"/>
        </w:rPr>
      </w:pPr>
    </w:p>
    <w:p w14:paraId="31401A92" w14:textId="77777777" w:rsidR="00F2471E" w:rsidRPr="001D358E" w:rsidRDefault="00F2471E" w:rsidP="0065435C">
      <w:pPr>
        <w:rPr>
          <w:rFonts w:ascii="Times New Roman" w:hAnsi="Times New Roman" w:cstheme="minorBidi"/>
          <w:sz w:val="24"/>
          <w:szCs w:val="24"/>
        </w:rPr>
      </w:pPr>
      <w:r w:rsidRPr="001D358E">
        <w:rPr>
          <w:rFonts w:ascii="Times New Roman" w:hAnsi="Times New Roman" w:cstheme="minorBidi"/>
          <w:sz w:val="24"/>
          <w:szCs w:val="24"/>
        </w:rPr>
        <w:t>Yours sincerely,</w:t>
      </w:r>
    </w:p>
    <w:p w14:paraId="6F690262" w14:textId="7BDC1C8A" w:rsidR="0065435C" w:rsidRDefault="00F2471E" w:rsidP="0065435C">
      <w:pPr>
        <w:rPr>
          <w:rFonts w:cstheme="minorHAnsi"/>
        </w:rPr>
      </w:pPr>
      <w:r w:rsidRPr="001D358E">
        <w:rPr>
          <w:rFonts w:ascii="Times New Roman" w:hAnsi="Times New Roman" w:cstheme="minorBidi"/>
          <w:sz w:val="24"/>
          <w:szCs w:val="24"/>
        </w:rPr>
        <w:t>Merck/Pfizer Alliance</w:t>
      </w:r>
      <w:r w:rsidR="0065435C">
        <w:rPr>
          <w:rFonts w:ascii="Times New Roman" w:hAnsi="Times New Roman" w:cstheme="minorHAnsi"/>
        </w:rPr>
        <w:br w:type="page"/>
      </w:r>
    </w:p>
    <w:p w14:paraId="2A8D5B58" w14:textId="77777777" w:rsidR="0065435C" w:rsidRPr="007E0B91" w:rsidRDefault="0065435C" w:rsidP="0065435C">
      <w:pPr>
        <w:pStyle w:val="Paragraph"/>
        <w:numPr>
          <w:ilvl w:val="0"/>
          <w:numId w:val="0"/>
        </w:numPr>
        <w:spacing w:before="120" w:after="0"/>
        <w:jc w:val="both"/>
        <w:rPr>
          <w:rFonts w:ascii="Times New Roman" w:hAnsi="Times New Roman" w:cstheme="minorHAnsi"/>
          <w:b/>
          <w:bCs/>
          <w:sz w:val="28"/>
          <w:szCs w:val="28"/>
        </w:rPr>
      </w:pPr>
      <w:r w:rsidRPr="007E0B91">
        <w:rPr>
          <w:rFonts w:ascii="Times New Roman" w:hAnsi="Times New Roman" w:cstheme="minorHAnsi"/>
          <w:b/>
          <w:bCs/>
          <w:sz w:val="28"/>
          <w:szCs w:val="28"/>
        </w:rPr>
        <w:t>References</w:t>
      </w:r>
    </w:p>
    <w:p w14:paraId="0BF60E9F" w14:textId="77777777" w:rsidR="0065435C" w:rsidRDefault="0065435C" w:rsidP="00A60D52">
      <w:pPr>
        <w:pStyle w:val="EndNoteBibliography"/>
        <w:numPr>
          <w:ilvl w:val="0"/>
          <w:numId w:val="9"/>
        </w:numPr>
        <w:spacing w:after="0"/>
        <w:ind w:left="357" w:hanging="357"/>
      </w:pPr>
      <w:r>
        <w:t>Boustead GB, Fowler S, Swamy R, Kocklebergh R, Hounsome L. Stage, grade and pathological characteristics of bladder cancer in the UK: British Association of Urological Surgeons (BAUS) urological tumour registry. BJU Int. 2014;113(6):924-30.</w:t>
      </w:r>
    </w:p>
    <w:p w14:paraId="799BA075" w14:textId="77777777" w:rsidR="0065435C" w:rsidRDefault="0065435C" w:rsidP="00A60D52">
      <w:pPr>
        <w:pStyle w:val="EndNoteBibliography"/>
        <w:numPr>
          <w:ilvl w:val="0"/>
          <w:numId w:val="9"/>
        </w:numPr>
        <w:spacing w:after="0"/>
        <w:ind w:left="357" w:hanging="357"/>
      </w:pPr>
      <w:r>
        <w:t>National Cancer Registration and Analysis Service. TNM stage group by CCG by tumour type for 10+3 tumour types, 2012-2017. 2019.</w:t>
      </w:r>
    </w:p>
    <w:p w14:paraId="62679945" w14:textId="77777777" w:rsidR="0065435C" w:rsidRDefault="0065435C" w:rsidP="00A60D52">
      <w:pPr>
        <w:pStyle w:val="EndNoteBibliography"/>
        <w:numPr>
          <w:ilvl w:val="0"/>
          <w:numId w:val="9"/>
        </w:numPr>
        <w:spacing w:after="0"/>
        <w:ind w:left="357" w:hanging="357"/>
      </w:pPr>
      <w:r>
        <w:t xml:space="preserve">European Association of Urology. Non-muscle-invasive Bladder Cancer (TaT1 and CIS) 2018 [Available from: </w:t>
      </w:r>
      <w:hyperlink r:id="rId8" w:history="1">
        <w:r>
          <w:rPr>
            <w:rStyle w:val="Hyperlink"/>
          </w:rPr>
          <w:t>https://uroweb.org/wp-content/uploads/EAU-Guidelines-Non-muscle-invasive-Bladder-Cancer-TaT1-CIS-2018.pdf</w:t>
        </w:r>
      </w:hyperlink>
      <w:r>
        <w:t>.</w:t>
      </w:r>
    </w:p>
    <w:p w14:paraId="3B6FD424" w14:textId="77777777" w:rsidR="0065435C" w:rsidRDefault="0065435C" w:rsidP="00A60D52">
      <w:pPr>
        <w:pStyle w:val="EndNoteBibliography"/>
        <w:numPr>
          <w:ilvl w:val="0"/>
          <w:numId w:val="9"/>
        </w:numPr>
        <w:spacing w:after="0"/>
        <w:ind w:left="357" w:hanging="357"/>
      </w:pPr>
      <w:r>
        <w:t xml:space="preserve">European Association of Urology. Muscle-invasive and Metastatic Bladder Cancer 2018 [Available from: </w:t>
      </w:r>
      <w:hyperlink r:id="rId9" w:history="1">
        <w:r>
          <w:rPr>
            <w:rStyle w:val="Hyperlink"/>
          </w:rPr>
          <w:t>https://uroweb.org/wp-content/uploads/EAU-MIBC-Guidelines-2018V2.pdf</w:t>
        </w:r>
      </w:hyperlink>
      <w:r>
        <w:t>.</w:t>
      </w:r>
    </w:p>
    <w:p w14:paraId="4C2A4E61" w14:textId="77777777" w:rsidR="0065435C" w:rsidRDefault="0065435C" w:rsidP="00A60D52">
      <w:pPr>
        <w:pStyle w:val="EndNoteBibliography"/>
        <w:numPr>
          <w:ilvl w:val="0"/>
          <w:numId w:val="9"/>
        </w:numPr>
        <w:spacing w:after="0"/>
        <w:ind w:left="357" w:hanging="357"/>
      </w:pPr>
      <w:r>
        <w:t>Bellmunt J, Orsola A, Leow JJ, et al. Bladder cancer: ESMO Practice Guidelines for diagnosis, treatment and follow-up. Ann Oncol. 2014;25(Suppl 3):iii40-8.</w:t>
      </w:r>
    </w:p>
    <w:p w14:paraId="0E0DCF42" w14:textId="77777777" w:rsidR="0065435C" w:rsidRDefault="0065435C" w:rsidP="00A60D52">
      <w:pPr>
        <w:pStyle w:val="EndNoteBibliography"/>
        <w:numPr>
          <w:ilvl w:val="0"/>
          <w:numId w:val="9"/>
        </w:numPr>
        <w:spacing w:after="0"/>
        <w:ind w:left="357" w:hanging="357"/>
      </w:pPr>
      <w:r>
        <w:t>Park JC, Citrin DE, Agarwal PK, Apolo AB. Multimodal management of muscle-invasive bladder cancer. Curr Probl Cancer. 2014;38(3):80-108.</w:t>
      </w:r>
    </w:p>
    <w:p w14:paraId="42D4DFA8" w14:textId="77777777" w:rsidR="0065435C" w:rsidRDefault="0065435C" w:rsidP="00A60D52">
      <w:pPr>
        <w:pStyle w:val="EndNoteBibliography"/>
        <w:numPr>
          <w:ilvl w:val="0"/>
          <w:numId w:val="9"/>
        </w:numPr>
        <w:spacing w:after="0"/>
        <w:ind w:left="357" w:hanging="357"/>
      </w:pPr>
      <w:r>
        <w:t>Milowsky MI, Rumble RB, Booth CM, et al. Guideline on Muscle-Invasive and Metastatic Bladder Cancer (European Association of Urology Guideline): American Society of Clinical Oncology Clinical Practice Guideline Endorsement. J Clin Oncol. 2016;34(16):1945-52.</w:t>
      </w:r>
    </w:p>
    <w:p w14:paraId="7B951136" w14:textId="77777777" w:rsidR="0065435C" w:rsidRDefault="0065435C" w:rsidP="00A60D52">
      <w:pPr>
        <w:pStyle w:val="EndNoteBibliography"/>
        <w:numPr>
          <w:ilvl w:val="0"/>
          <w:numId w:val="9"/>
        </w:numPr>
        <w:spacing w:after="0"/>
        <w:ind w:left="357" w:hanging="357"/>
      </w:pPr>
      <w:r>
        <w:t>Office for National Statistics. Deaths registered in England and Wales (2018). 2019.</w:t>
      </w:r>
    </w:p>
    <w:p w14:paraId="20C23503" w14:textId="77777777" w:rsidR="0065435C" w:rsidRDefault="0065435C" w:rsidP="00A60D52">
      <w:pPr>
        <w:pStyle w:val="EndNoteBibliography"/>
        <w:numPr>
          <w:ilvl w:val="0"/>
          <w:numId w:val="9"/>
        </w:numPr>
        <w:spacing w:after="0"/>
        <w:ind w:left="357" w:hanging="357"/>
      </w:pPr>
      <w:r>
        <w:t>Queen's University Belfast. Cancer incidence, prevalence and survival statistics for Northern Ireland: 1993-2017. Bladder cancer (C67). 2019.</w:t>
      </w:r>
    </w:p>
    <w:p w14:paraId="5578793F" w14:textId="77777777" w:rsidR="0065435C" w:rsidRDefault="0065435C" w:rsidP="00A60D52">
      <w:pPr>
        <w:pStyle w:val="EndNoteBibliography"/>
        <w:numPr>
          <w:ilvl w:val="0"/>
          <w:numId w:val="9"/>
        </w:numPr>
        <w:spacing w:after="0"/>
        <w:ind w:left="357" w:hanging="357"/>
      </w:pPr>
      <w:r>
        <w:t>Office for National Statistics. Cancer Survival in England: adults diagnosed between 2013 and 2017 and followed up to 2018. 2019.</w:t>
      </w:r>
    </w:p>
    <w:p w14:paraId="09D058D5" w14:textId="77777777" w:rsidR="0065435C" w:rsidRDefault="0065435C" w:rsidP="00A60D52">
      <w:pPr>
        <w:pStyle w:val="EndNoteBibliography"/>
        <w:numPr>
          <w:ilvl w:val="0"/>
          <w:numId w:val="9"/>
        </w:numPr>
        <w:spacing w:after="0"/>
        <w:ind w:left="357" w:hanging="357"/>
      </w:pPr>
      <w:r>
        <w:t>Noone AM, Howlader N, Krapcho M, et al. SEER Cancer Statistics Review, 1975-2016. Bethesda, MD: National Cancer Institute; 2019.</w:t>
      </w:r>
    </w:p>
    <w:p w14:paraId="18EC88EC" w14:textId="77777777" w:rsidR="0065435C" w:rsidRDefault="0065435C" w:rsidP="00A60D52">
      <w:pPr>
        <w:pStyle w:val="EndNoteBibliography"/>
        <w:numPr>
          <w:ilvl w:val="0"/>
          <w:numId w:val="9"/>
        </w:numPr>
        <w:spacing w:after="0"/>
        <w:ind w:left="357" w:hanging="357"/>
      </w:pPr>
      <w:r>
        <w:t>Yu XQ, Baade PD, O'Connell DL. Conditional survival of cancer patients: an Australian perspective. BMC Cancer. 2012;12:460.</w:t>
      </w:r>
    </w:p>
    <w:p w14:paraId="454D7949" w14:textId="77777777" w:rsidR="0065435C" w:rsidRDefault="0065435C" w:rsidP="00A60D52">
      <w:pPr>
        <w:pStyle w:val="EndNoteBibliography"/>
        <w:numPr>
          <w:ilvl w:val="0"/>
          <w:numId w:val="9"/>
        </w:numPr>
        <w:spacing w:after="0"/>
        <w:ind w:left="357" w:hanging="357"/>
      </w:pPr>
      <w:r>
        <w:t>Knott C, Health Data Insight CIC. Observational cohorts of patients with advanced or metastatic cancer in England (MS100070-0027). 2019.</w:t>
      </w:r>
    </w:p>
    <w:p w14:paraId="4832BE29" w14:textId="77777777" w:rsidR="0065435C" w:rsidRDefault="0065435C" w:rsidP="00A60D52">
      <w:pPr>
        <w:pStyle w:val="EndNoteBibliography"/>
        <w:numPr>
          <w:ilvl w:val="0"/>
          <w:numId w:val="9"/>
        </w:numPr>
        <w:spacing w:after="0"/>
        <w:ind w:left="357" w:hanging="357"/>
      </w:pPr>
      <w:r>
        <w:t>Oudard S, Culine S, Vano Y, et al. Multicentre randomised phase II trial of gemcitabine+platinum, with or without trastuzumab, in advanced or metastatic urothelial carcinoma overexpressing Her2. Eur J Cancer. 2015;51(1):45-54.</w:t>
      </w:r>
    </w:p>
    <w:p w14:paraId="5DB60029" w14:textId="77777777" w:rsidR="0065435C" w:rsidRDefault="0065435C" w:rsidP="00A60D52">
      <w:pPr>
        <w:pStyle w:val="EndNoteBibliography"/>
        <w:numPr>
          <w:ilvl w:val="0"/>
          <w:numId w:val="9"/>
        </w:numPr>
        <w:spacing w:after="0"/>
        <w:ind w:left="357" w:hanging="357"/>
      </w:pPr>
      <w:r>
        <w:t>Dogliotti L, Carteni G, Siena S, et al. Gemcitabine plus cisplatin versus gemcitabine plus carboplatin as first-line chemotherapy in advanced transitional cell carcinoma of the urothelium: results of a randomized phase 2 trial. Eur Urol. 2007;52(1):134-41.</w:t>
      </w:r>
    </w:p>
    <w:p w14:paraId="2A3119DC" w14:textId="77777777" w:rsidR="0065435C" w:rsidRDefault="0065435C" w:rsidP="00A60D52">
      <w:pPr>
        <w:pStyle w:val="EndNoteBibliography"/>
        <w:numPr>
          <w:ilvl w:val="0"/>
          <w:numId w:val="9"/>
        </w:numPr>
        <w:spacing w:after="0"/>
        <w:ind w:left="357" w:hanging="357"/>
      </w:pPr>
      <w:r>
        <w:t>Bamias A, Dafni U, Karadimou A, et al. Prospective, open-label, randomized, phase III study of two dose-dense regimens MVAC versus gemcitabine/cisplatin in patients with inoperable, metastatic or relapsed urothelial cancer: a Hellenic Cooperative Oncology Group study (HE 16/03). Ann Oncol. 2013;24(4):1011-7.</w:t>
      </w:r>
    </w:p>
    <w:p w14:paraId="38B9D527" w14:textId="77777777" w:rsidR="0065435C" w:rsidRDefault="0065435C" w:rsidP="00A60D52">
      <w:pPr>
        <w:pStyle w:val="EndNoteBibliography"/>
        <w:numPr>
          <w:ilvl w:val="0"/>
          <w:numId w:val="9"/>
        </w:numPr>
        <w:spacing w:after="0"/>
        <w:ind w:left="357" w:hanging="357"/>
      </w:pPr>
      <w:r>
        <w:t>Krege S, Rexer H, vom Dorp F, et al. Prospective randomized double-blind multicentre phase II study comparing gemcitabine and cisplatin plus sorafenib chemotherapy with gemcitabine and cisplatin plus placebo in locally advanced and/or metastasized urothelial cancer: SUSE (AUO-AB 31/05). BJU Int. 2014;113(3):429-36.</w:t>
      </w:r>
    </w:p>
    <w:p w14:paraId="4C3316E7" w14:textId="77777777" w:rsidR="0065435C" w:rsidRDefault="0065435C" w:rsidP="00A60D52">
      <w:pPr>
        <w:pStyle w:val="EndNoteBibliography"/>
        <w:numPr>
          <w:ilvl w:val="0"/>
          <w:numId w:val="9"/>
        </w:numPr>
        <w:spacing w:after="0"/>
        <w:ind w:left="357" w:hanging="357"/>
      </w:pPr>
      <w:r>
        <w:t>Hussain M, Daignault S, Agarwal N, et al. A randomized phase 2 trial of gemcitabine/cisplatin with or without cetuximab in patients with advanced urothelial carcinoma. Cancer. 2014;120(17):2684-93.</w:t>
      </w:r>
    </w:p>
    <w:p w14:paraId="5F027EAC" w14:textId="77777777" w:rsidR="0065435C" w:rsidRDefault="0065435C" w:rsidP="00A60D52">
      <w:pPr>
        <w:pStyle w:val="EndNoteBibliography"/>
        <w:numPr>
          <w:ilvl w:val="0"/>
          <w:numId w:val="9"/>
        </w:numPr>
        <w:spacing w:after="0"/>
        <w:ind w:left="357" w:hanging="357"/>
      </w:pPr>
      <w:r>
        <w:t>Lorusso V, Crucitta E, Silvestris N, et al. Randomised, open-label, phase II trial of paclitaxel, gemcitabine and cisplatin versus gemcitabine and cisplatin as first-line chemotherapy in advanced transitional cell carcinoma of the urothelium. Oncol Rep. 2005;13(2):283-7.</w:t>
      </w:r>
    </w:p>
    <w:p w14:paraId="7DC275C1" w14:textId="77777777" w:rsidR="0065435C" w:rsidRDefault="0065435C" w:rsidP="00A60D52">
      <w:pPr>
        <w:pStyle w:val="EndNoteBibliography"/>
        <w:numPr>
          <w:ilvl w:val="0"/>
          <w:numId w:val="9"/>
        </w:numPr>
        <w:spacing w:after="0"/>
        <w:ind w:left="357" w:hanging="357"/>
      </w:pPr>
      <w:r>
        <w:t>Bellmunt J, von der Maase H, Mead GM, et al. Randomized phase III study comparing paclitaxel/cisplatin/gemcitabine and gemcitabine/cisplatin in patients with locally advanced or metastatic urothelial cancer without prior systemic therapy: EORTC Intergroup Study 30987. J Clin Oncol. 2012;30(10):1107-13.</w:t>
      </w:r>
    </w:p>
    <w:p w14:paraId="282C752F" w14:textId="77777777" w:rsidR="0065435C" w:rsidRDefault="0065435C" w:rsidP="00A60D52">
      <w:pPr>
        <w:pStyle w:val="EndNoteBibliography"/>
        <w:numPr>
          <w:ilvl w:val="0"/>
          <w:numId w:val="9"/>
        </w:numPr>
        <w:spacing w:after="0"/>
        <w:ind w:left="357" w:hanging="357"/>
      </w:pPr>
      <w:r>
        <w:t>Culine S, Flechon A, Gravis G, et al. Results of the GETUG-AFU 19 trial: A randomized phase II study of dose dense methotrexate, vinblastine, doxorubicin, and cisplatin (dd-MVAC) with or without anti-epidermal growth factor receptor (EGF-R) monoclonal antibody panitumumab (PANI) in advanced transitional cell carcinoma (ATCC). J Clin Oncol. 2017;35(Suppl 6):307.</w:t>
      </w:r>
    </w:p>
    <w:p w14:paraId="4C986085" w14:textId="77777777" w:rsidR="0065435C" w:rsidRDefault="0065435C" w:rsidP="00A60D52">
      <w:pPr>
        <w:pStyle w:val="EndNoteBibliography"/>
        <w:numPr>
          <w:ilvl w:val="0"/>
          <w:numId w:val="9"/>
        </w:numPr>
        <w:spacing w:after="0"/>
        <w:ind w:left="357" w:hanging="357"/>
      </w:pPr>
      <w:r>
        <w:t>Sternberg CN, de Mulder PH, Schornagel JH, et al. Randomized phase III trial of high-dose-intensity methotrexate, vinblastine, doxorubicin, and cisplatin (MVAC) chemotherapy and recombinant human granulocyte colony-stimulating factor versus classic MVAC in advanced urothelial tract tumors: European Organization for Research and Treatment of Cancer Protocol no. 30924. J Clin Oncol. 2001;19(10):2638-46.</w:t>
      </w:r>
    </w:p>
    <w:p w14:paraId="0CBB9CFF" w14:textId="77777777" w:rsidR="0065435C" w:rsidRDefault="0065435C" w:rsidP="00A60D52">
      <w:pPr>
        <w:pStyle w:val="EndNoteBibliography"/>
        <w:numPr>
          <w:ilvl w:val="0"/>
          <w:numId w:val="9"/>
        </w:numPr>
        <w:spacing w:after="0"/>
        <w:ind w:left="357" w:hanging="357"/>
      </w:pPr>
      <w:r>
        <w:t>Dreicer R, Manola J, Roth BJ, et al. Phase III trial of methotrexate, vinblastine, doxorubicin, and cisplatin versus carboplatin and paclitaxel in patients with advanced carcinoma of the urothelium. Cancer. 2004;100(8):1639-45.</w:t>
      </w:r>
    </w:p>
    <w:p w14:paraId="14828B7A" w14:textId="77777777" w:rsidR="0065435C" w:rsidRDefault="0065435C" w:rsidP="00A60D52">
      <w:pPr>
        <w:pStyle w:val="EndNoteBibliography"/>
        <w:numPr>
          <w:ilvl w:val="0"/>
          <w:numId w:val="9"/>
        </w:numPr>
        <w:spacing w:after="0"/>
        <w:ind w:left="357" w:hanging="357"/>
      </w:pPr>
      <w:r>
        <w:t>Siefker-Radtke AO, Millikan RE, Tu SM, et al. Phase III trial of fluorouracil, interferon alpha-2b, and cisplatin versus methotrexate, vinblastine, doxorubicin, and cisplatin in metastatic or unresectable urothelial cancer. J Clin Oncol. 2002;20(5):1361-7.</w:t>
      </w:r>
    </w:p>
    <w:p w14:paraId="6F2D7A92" w14:textId="77777777" w:rsidR="0065435C" w:rsidRDefault="0065435C" w:rsidP="00A60D52">
      <w:pPr>
        <w:pStyle w:val="EndNoteBibliography"/>
        <w:numPr>
          <w:ilvl w:val="0"/>
          <w:numId w:val="9"/>
        </w:numPr>
        <w:spacing w:after="0"/>
        <w:ind w:left="357" w:hanging="357"/>
      </w:pPr>
      <w:r>
        <w:t>Baitar A, De Vos M, Vandebroek A, Schrijvers D. Carboplatin and gemcitabine in patients with advanced and/or metastatic urothelial cancers: A phase II study. J Geriatric Oncol. 2011;2(1):31-5.</w:t>
      </w:r>
    </w:p>
    <w:p w14:paraId="3EC4162B" w14:textId="77777777" w:rsidR="0065435C" w:rsidRDefault="0065435C" w:rsidP="00A60D52">
      <w:pPr>
        <w:pStyle w:val="EndNoteBibliography"/>
        <w:numPr>
          <w:ilvl w:val="0"/>
          <w:numId w:val="9"/>
        </w:numPr>
        <w:spacing w:after="0"/>
        <w:ind w:left="357" w:hanging="357"/>
      </w:pPr>
      <w:r>
        <w:t>De Santis M, Wiechno PJ, Bellmunt J, et al. Vinflunine-gemcitabine versus vinflunine-carboplatin as first-line chemotherapy in cisplatin-unfit patients with advanced urothelial carcinoma: results of an international randomized phase II trial (JASINT1). Ann Oncol. 2016;27(3):449-54.</w:t>
      </w:r>
    </w:p>
    <w:p w14:paraId="03935574" w14:textId="77777777" w:rsidR="0065435C" w:rsidRDefault="0065435C" w:rsidP="00A60D52">
      <w:pPr>
        <w:pStyle w:val="EndNoteBibliography"/>
        <w:numPr>
          <w:ilvl w:val="0"/>
          <w:numId w:val="9"/>
        </w:numPr>
        <w:spacing w:after="0"/>
        <w:ind w:left="357" w:hanging="357"/>
      </w:pPr>
      <w:r>
        <w:t>Khaled H, Emara ME, Gaafar RM, et al. Primary chemotherapy with low-dose prolonged infusion gemcitabine and cisplatin in patients with bladder cancer: a Phase II trial. Urol Oncol. 2008;26(2):133-6.</w:t>
      </w:r>
    </w:p>
    <w:p w14:paraId="4641F0D9" w14:textId="77777777" w:rsidR="0065435C" w:rsidRDefault="0065435C" w:rsidP="00A60D52">
      <w:pPr>
        <w:pStyle w:val="EndNoteBibliography"/>
        <w:numPr>
          <w:ilvl w:val="0"/>
          <w:numId w:val="9"/>
        </w:numPr>
        <w:spacing w:after="0"/>
        <w:ind w:left="357" w:hanging="357"/>
      </w:pPr>
      <w:r>
        <w:t>Hsieh MC, Chiang PH, Rau KM, et al. The comparison of oncologic outcomes between metastatic upper tract urothelial carcinoma and urothelial carcinoma of the bladder after cisplatin-based chemotherapy. Urol Oncol. 2015;33(11):495 e9- e14.</w:t>
      </w:r>
    </w:p>
    <w:p w14:paraId="6AC18707" w14:textId="77777777" w:rsidR="0065435C" w:rsidRDefault="0065435C" w:rsidP="00A60D52">
      <w:pPr>
        <w:pStyle w:val="EndNoteBibliography"/>
        <w:numPr>
          <w:ilvl w:val="0"/>
          <w:numId w:val="9"/>
        </w:numPr>
        <w:spacing w:after="0"/>
        <w:ind w:left="357" w:hanging="357"/>
      </w:pPr>
      <w:r>
        <w:t>Locke JA, Pond GR, Sonpavde G, et al. Cisplatin- Versus Non-Cisplatin-based First-Line Chemotherapy for Advanced Urothelial Carcinoma Previously Treated With Perioperative Cisplatin. Clin Genitourin Cancer. 2016;14(4):331-40.</w:t>
      </w:r>
    </w:p>
    <w:p w14:paraId="1D65FB5A" w14:textId="77777777" w:rsidR="0065435C" w:rsidRDefault="0065435C" w:rsidP="00A60D52">
      <w:pPr>
        <w:pStyle w:val="EndNoteBibliography"/>
        <w:numPr>
          <w:ilvl w:val="0"/>
          <w:numId w:val="9"/>
        </w:numPr>
        <w:spacing w:after="0"/>
        <w:ind w:left="357" w:hanging="357"/>
      </w:pPr>
      <w:r>
        <w:t>Morales-Barrera R, Bellmunt J, Suarez C, et al. Cisplatin and gemcitabine administered every two weeks in patients with locally advanced or metastatic urothelial carcinoma and impaired renal function. Eur J Cancer. 2012;48(12):1816-21.</w:t>
      </w:r>
    </w:p>
    <w:p w14:paraId="6C685D12" w14:textId="77777777" w:rsidR="0065435C" w:rsidRDefault="0065435C" w:rsidP="00A60D52">
      <w:pPr>
        <w:pStyle w:val="EndNoteBibliography"/>
        <w:numPr>
          <w:ilvl w:val="0"/>
          <w:numId w:val="9"/>
        </w:numPr>
        <w:spacing w:after="0"/>
        <w:ind w:left="357" w:hanging="357"/>
      </w:pPr>
      <w:r>
        <w:t>Stadler WM, Hayden A, von der Maase H, et al. Long-term survival in phase II trials of gemcitabine plus cisplatin for advanced transitional cell cancer. Urol Oncol. 2002;7(4):153-7.</w:t>
      </w:r>
    </w:p>
    <w:p w14:paraId="7AC77046" w14:textId="77777777" w:rsidR="0065435C" w:rsidRDefault="0065435C" w:rsidP="00A60D52">
      <w:pPr>
        <w:pStyle w:val="EndNoteBibliography"/>
        <w:numPr>
          <w:ilvl w:val="0"/>
          <w:numId w:val="9"/>
        </w:numPr>
        <w:spacing w:after="0"/>
        <w:ind w:left="357" w:hanging="357"/>
      </w:pPr>
      <w:r>
        <w:t>Nogue-Aliguer M, Carles J, Arrivi A, et al. Gemcitabine and carboplatin in advanced transitional cell carcinoma of the urinary tract: an alternative therapy. Cancer. 2003;97(9):2180-6.</w:t>
      </w:r>
    </w:p>
    <w:p w14:paraId="502B2DA2" w14:textId="77777777" w:rsidR="0065435C" w:rsidRDefault="0065435C" w:rsidP="00A60D52">
      <w:pPr>
        <w:pStyle w:val="EndNoteBibliography"/>
        <w:numPr>
          <w:ilvl w:val="0"/>
          <w:numId w:val="9"/>
        </w:numPr>
        <w:spacing w:after="0"/>
        <w:ind w:left="357" w:hanging="357"/>
      </w:pPr>
      <w:r>
        <w:t>Bamias A, Lainakis G, Kastritis E, et al. Biweekly carboplatin/gemcitabine in patients with advanced urothelial cancer who are unfit for cisplatin-based chemotherapy: report of efficacy, quality of life and geriatric assessment. Oncology. 2007;73(5-6):290-7.</w:t>
      </w:r>
    </w:p>
    <w:p w14:paraId="2382719A" w14:textId="77777777" w:rsidR="0065435C" w:rsidRDefault="0065435C" w:rsidP="00A60D52">
      <w:pPr>
        <w:pStyle w:val="EndNoteBibliography"/>
        <w:numPr>
          <w:ilvl w:val="0"/>
          <w:numId w:val="9"/>
        </w:numPr>
        <w:spacing w:after="0"/>
        <w:ind w:left="357" w:hanging="357"/>
      </w:pPr>
      <w:r>
        <w:t>Bamias A, Aravantinos G, Deliveliotis C, et al. Docetaxel and cisplatin with granulocyte colony-stimulating factor (G-CSF) versus MVAC with G-CSF in advanced urothelial carcinoma: a multicenter, randomized, phase III study from the Hellenic Cooperative Oncology Group. J Clin Oncol. 2004;22(2):220-8.</w:t>
      </w:r>
    </w:p>
    <w:p w14:paraId="5E4CDAF0" w14:textId="77777777" w:rsidR="0065435C" w:rsidRDefault="0065435C" w:rsidP="00A60D52">
      <w:pPr>
        <w:pStyle w:val="EndNoteBibliography"/>
        <w:numPr>
          <w:ilvl w:val="0"/>
          <w:numId w:val="9"/>
        </w:numPr>
        <w:spacing w:after="0"/>
        <w:ind w:left="357" w:hanging="357"/>
      </w:pPr>
      <w:r>
        <w:t>Adamo V, Magno C, Spitaleri G, et al. Phase II study of gemcitabine and cisplatin in patients with advanced or metastatic bladder cancer: long-term follow-up of a 3-week regimen. Oncology. 2005;69(5):391-8.</w:t>
      </w:r>
    </w:p>
    <w:p w14:paraId="457819A8" w14:textId="77777777" w:rsidR="0065435C" w:rsidRDefault="0065435C" w:rsidP="00A60D52">
      <w:pPr>
        <w:pStyle w:val="EndNoteBibliography"/>
        <w:numPr>
          <w:ilvl w:val="0"/>
          <w:numId w:val="9"/>
        </w:numPr>
        <w:spacing w:after="0"/>
        <w:ind w:left="357" w:hanging="357"/>
      </w:pPr>
      <w:r>
        <w:t>Jones RJ, Crabb SJ, Chester JD, et al. TOUCAN: A randomised phase II trial of carboplatin and gemcitabine +/- vandetanib in first line treatment of advanced urothelial cell cancer in patients who are not suitable to receive cisplatin. J Clin Oncol. 2016.</w:t>
      </w:r>
    </w:p>
    <w:p w14:paraId="2B7D0E29" w14:textId="77777777" w:rsidR="0065435C" w:rsidRDefault="0065435C" w:rsidP="00A60D52">
      <w:pPr>
        <w:pStyle w:val="EndNoteBibliography"/>
        <w:numPr>
          <w:ilvl w:val="0"/>
          <w:numId w:val="9"/>
        </w:numPr>
        <w:spacing w:after="0"/>
        <w:ind w:left="357" w:hanging="357"/>
      </w:pPr>
      <w:r>
        <w:t>Bamias A, Moulopoulos LA, Koutras A, et al. The combination of gemcitabine and carboplatin as first-line treatment in patients with advanced urothelial carcinoma. A Phase II study of the Hellenic Cooperative Oncology Group. Cancer. 2006;106(2):297-303.</w:t>
      </w:r>
    </w:p>
    <w:p w14:paraId="77950359" w14:textId="77777777" w:rsidR="0065435C" w:rsidRDefault="0065435C" w:rsidP="00A60D52">
      <w:pPr>
        <w:pStyle w:val="EndNoteBibliography"/>
        <w:numPr>
          <w:ilvl w:val="0"/>
          <w:numId w:val="9"/>
        </w:numPr>
        <w:spacing w:after="0"/>
        <w:ind w:left="357" w:hanging="357"/>
      </w:pPr>
      <w:r>
        <w:t>von der Maase H, Hansen SW, Roberts JT, et al. Gemcitabine and cisplatin versus methotrexate, vinblastine, doxorubicin, and cisplatin in advanced or metastatic bladder cancer: results of a large, randomized, multinational, multicenter, phase III study. J Clin Oncol. 2000;18(17):3068-77.</w:t>
      </w:r>
    </w:p>
    <w:p w14:paraId="2AAE5FF9" w14:textId="77777777" w:rsidR="0065435C" w:rsidRDefault="0065435C" w:rsidP="00A60D52">
      <w:pPr>
        <w:pStyle w:val="EndNoteBibliography"/>
        <w:numPr>
          <w:ilvl w:val="0"/>
          <w:numId w:val="9"/>
        </w:numPr>
        <w:spacing w:after="0"/>
        <w:ind w:left="357" w:hanging="357"/>
      </w:pPr>
      <w:r>
        <w:t>von der Maase H, Sengelov L, Roberts JT, et al. Long-term survival results of a randomized trial comparing gemcitabine plus cisplatin, with methotrexate, vinblastine, doxorubicin, plus cisplatin in patients with bladder cancer. J Clin Oncol. 2005;23(21):4602-8.</w:t>
      </w:r>
    </w:p>
    <w:p w14:paraId="7EA4A9FF" w14:textId="77777777" w:rsidR="0065435C" w:rsidRDefault="0065435C" w:rsidP="00A60D52">
      <w:pPr>
        <w:pStyle w:val="EndNoteBibliography"/>
        <w:numPr>
          <w:ilvl w:val="0"/>
          <w:numId w:val="9"/>
        </w:numPr>
        <w:spacing w:after="0"/>
        <w:ind w:left="357" w:hanging="357"/>
      </w:pPr>
      <w:r>
        <w:t>Narayanan S, Harshman LC, Srinivas S. Second-line therapies in metastatic urothelial carcinoma. Hematol Oncol Clin North Am. 2015;29(2):341-59.</w:t>
      </w:r>
    </w:p>
    <w:p w14:paraId="0E1A93FA" w14:textId="77777777" w:rsidR="0065435C" w:rsidRPr="00086A37" w:rsidRDefault="0065435C" w:rsidP="00A60D52">
      <w:pPr>
        <w:pStyle w:val="EndNoteBibliography"/>
        <w:numPr>
          <w:ilvl w:val="0"/>
          <w:numId w:val="9"/>
        </w:numPr>
        <w:spacing w:after="0"/>
        <w:ind w:left="357" w:hanging="357"/>
      </w:pPr>
      <w:r w:rsidRPr="00B83086">
        <w:t>American Society of Clinical Oncology</w:t>
      </w:r>
      <w:r w:rsidRPr="00086A37">
        <w:t xml:space="preserve">. Understanding Maintenance Therapy 2019 [Available from: </w:t>
      </w:r>
      <w:hyperlink r:id="rId10" w:history="1">
        <w:r w:rsidRPr="00B83086">
          <w:t>https://www.cancer.net/navigating-cancer-care/how-cancer-treated/understanding-maintenance-therapy</w:t>
        </w:r>
      </w:hyperlink>
      <w:r w:rsidRPr="00086A37">
        <w:t>.</w:t>
      </w:r>
    </w:p>
    <w:p w14:paraId="2CAB8682" w14:textId="77777777" w:rsidR="0065435C" w:rsidRPr="00086A37" w:rsidRDefault="0065435C" w:rsidP="00A60D52">
      <w:pPr>
        <w:pStyle w:val="EndNoteBibliography"/>
        <w:numPr>
          <w:ilvl w:val="0"/>
          <w:numId w:val="9"/>
        </w:numPr>
        <w:spacing w:after="0"/>
        <w:ind w:left="357" w:hanging="357"/>
      </w:pPr>
      <w:r w:rsidRPr="00086A37">
        <w:t xml:space="preserve">Lympoma Action. Maintenance therapy (including rituximab maintenance)  [Available from: </w:t>
      </w:r>
      <w:hyperlink r:id="rId11" w:history="1">
        <w:r w:rsidRPr="00B83086">
          <w:t>https://lymphoma-action.org.uk/about-lymphoma-treatment-lymphoma/maintenance-therapy-including-rituximab-maintenance</w:t>
        </w:r>
      </w:hyperlink>
      <w:r w:rsidRPr="00086A37">
        <w:t>.</w:t>
      </w:r>
    </w:p>
    <w:p w14:paraId="4B53F4E7" w14:textId="77777777" w:rsidR="0065435C" w:rsidRPr="00086A37" w:rsidRDefault="0065435C" w:rsidP="00A60D52">
      <w:pPr>
        <w:pStyle w:val="EndNoteBibliography"/>
        <w:numPr>
          <w:ilvl w:val="0"/>
          <w:numId w:val="9"/>
        </w:numPr>
        <w:spacing w:after="0"/>
        <w:ind w:left="357" w:hanging="357"/>
      </w:pPr>
      <w:r w:rsidRPr="00086A37">
        <w:t>Yuan M, Huang LL, Chen JH, Wu J, Xu Q. The emerging treatment landscape of targeted therapy in non-small-cell lung cancer. Signal Transduct Target Ther. 2019;4:61.</w:t>
      </w:r>
    </w:p>
    <w:p w14:paraId="6EE72D4A" w14:textId="77777777" w:rsidR="0065435C" w:rsidRPr="00086A37" w:rsidRDefault="0065435C" w:rsidP="00A60D52">
      <w:pPr>
        <w:pStyle w:val="EndNoteBibliography"/>
        <w:numPr>
          <w:ilvl w:val="0"/>
          <w:numId w:val="9"/>
        </w:numPr>
        <w:spacing w:after="0"/>
        <w:ind w:left="357" w:hanging="357"/>
      </w:pPr>
      <w:r w:rsidRPr="00086A37">
        <w:t xml:space="preserve">National Institute for Health Research. Olaparib (Lynparza) for metastatic breast cancer with germline BRCA mutation – second line 2016 [Available from: </w:t>
      </w:r>
      <w:hyperlink r:id="rId12" w:history="1">
        <w:r w:rsidRPr="00B83086">
          <w:t>http://www.io.nihr.ac.uk/wp-content/uploads/migrated/Olaparib-Jan16.pdf</w:t>
        </w:r>
      </w:hyperlink>
      <w:r w:rsidRPr="00086A37">
        <w:t>.</w:t>
      </w:r>
    </w:p>
    <w:p w14:paraId="35C154E3" w14:textId="77777777" w:rsidR="0065435C" w:rsidRPr="00086A37" w:rsidRDefault="0065435C" w:rsidP="00A60D52">
      <w:pPr>
        <w:pStyle w:val="EndNoteBibliography"/>
        <w:numPr>
          <w:ilvl w:val="0"/>
          <w:numId w:val="9"/>
        </w:numPr>
        <w:spacing w:after="0"/>
        <w:ind w:left="357" w:hanging="357"/>
      </w:pPr>
      <w:r w:rsidRPr="00086A37">
        <w:t>Argiris A, Harrington KJ, Tahara M, et al. Evidence-Based Treatment Options in Recurrent and/or Metastatic Squamous Cell Carcinoma of the Head and Neck. Front Oncol. 2017;7:72.</w:t>
      </w:r>
    </w:p>
    <w:p w14:paraId="54E25C9C" w14:textId="77777777" w:rsidR="0065435C" w:rsidRPr="00086A37" w:rsidRDefault="0065435C" w:rsidP="00A60D52">
      <w:pPr>
        <w:pStyle w:val="EndNoteBibliography"/>
        <w:numPr>
          <w:ilvl w:val="0"/>
          <w:numId w:val="9"/>
        </w:numPr>
        <w:spacing w:after="0"/>
        <w:ind w:left="357" w:hanging="357"/>
      </w:pPr>
      <w:r w:rsidRPr="00086A37">
        <w:t>Antonia SJ, Villegas A, Daniel D, et al. Overall Survival with Durvalumab after Chemoradiotherapy in Stage III NSCLC. N Engl J Med. 2018;379(24):2342-50.</w:t>
      </w:r>
    </w:p>
    <w:p w14:paraId="0B07A5D7" w14:textId="77777777" w:rsidR="0065435C" w:rsidRPr="00086A37" w:rsidRDefault="0065435C" w:rsidP="00A60D52">
      <w:pPr>
        <w:pStyle w:val="EndNoteBibliography"/>
        <w:numPr>
          <w:ilvl w:val="0"/>
          <w:numId w:val="9"/>
        </w:numPr>
        <w:spacing w:after="0"/>
        <w:ind w:left="357" w:hanging="357"/>
      </w:pPr>
      <w:r w:rsidRPr="00086A37">
        <w:t>Moore K, Colombo N, Scambia G, et al. Maintenance Olaparib in Patients with Newly Diagnosed Advanced Ovarian Cancer. N Engl J Med. 2018;379(26):2495-505.</w:t>
      </w:r>
    </w:p>
    <w:p w14:paraId="3F71E26D" w14:textId="77777777" w:rsidR="0065435C" w:rsidRPr="00086A37" w:rsidRDefault="0065435C" w:rsidP="00A60D52">
      <w:pPr>
        <w:pStyle w:val="EndNoteBibliography"/>
        <w:numPr>
          <w:ilvl w:val="0"/>
          <w:numId w:val="9"/>
        </w:numPr>
        <w:spacing w:after="0"/>
        <w:ind w:left="357" w:hanging="357"/>
      </w:pPr>
      <w:r w:rsidRPr="00086A37">
        <w:t>Matsumoto R, Abe T, Ishizaki J, et al. Outcome and prognostic factors in metastatic urothelial carcinoma patients receiving second-line chemotherapy: an analysis of real-world clinical practice data in Japan. Jpn J Clin Oncol. 2018;48(8):771-6.</w:t>
      </w:r>
    </w:p>
    <w:p w14:paraId="0F0847B7" w14:textId="77777777" w:rsidR="0065435C" w:rsidRPr="00086A37" w:rsidRDefault="0065435C" w:rsidP="00A60D52">
      <w:pPr>
        <w:pStyle w:val="EndNoteBibliography"/>
        <w:numPr>
          <w:ilvl w:val="0"/>
          <w:numId w:val="9"/>
        </w:numPr>
        <w:spacing w:after="0"/>
        <w:ind w:left="357" w:hanging="357"/>
      </w:pPr>
      <w:r w:rsidRPr="00086A37">
        <w:t>Johnson KR, Ringland C, Stokes BJ, et al. Response rate or time to progression as predictors of survival in trials of metastatic colorectal cancer or non-small-cell lung cancer: a meta-analysis. Lancet Oncol. 2006;7(9):741-6.</w:t>
      </w:r>
    </w:p>
    <w:p w14:paraId="4BB40255" w14:textId="77777777" w:rsidR="0065435C" w:rsidRPr="00086A37" w:rsidRDefault="0065435C" w:rsidP="00A60D52">
      <w:pPr>
        <w:pStyle w:val="EndNoteBibliography"/>
        <w:numPr>
          <w:ilvl w:val="0"/>
          <w:numId w:val="9"/>
        </w:numPr>
        <w:spacing w:after="0"/>
        <w:ind w:left="357" w:hanging="357"/>
      </w:pPr>
      <w:r w:rsidRPr="00086A37">
        <w:t>Buyse M, Thirion P, Carlson RW, et al. Relation between tumour response to first-line chemotherapy and survival in advanced colorectal cancer: a meta-analysis. Meta-Analysis Group in Cancer. Lancet. 2000;356(9227):373-8.</w:t>
      </w:r>
    </w:p>
    <w:p w14:paraId="53CA6253" w14:textId="77777777" w:rsidR="0065435C" w:rsidRPr="00086A37" w:rsidRDefault="0065435C" w:rsidP="00A60D52">
      <w:pPr>
        <w:pStyle w:val="EndNoteBibliography"/>
        <w:numPr>
          <w:ilvl w:val="0"/>
          <w:numId w:val="9"/>
        </w:numPr>
        <w:spacing w:after="0"/>
        <w:ind w:left="357" w:hanging="357"/>
      </w:pPr>
      <w:r w:rsidRPr="00086A37">
        <w:t>Cremolini C, Loupakis F, Antoniotti C, et al. Early tumor shrinkage and depth of response predict long-term outcome in metastatic colorectal cancer patients treated with first-line chemotherapy plus bevacizumab: results from phase III TRIBE trial by the Gruppo Oncologico del Nord Ovest. Ann Oncol. 2015;26(6):1188-94.</w:t>
      </w:r>
    </w:p>
    <w:p w14:paraId="162AF620" w14:textId="77777777" w:rsidR="0065435C" w:rsidRPr="00086A37" w:rsidRDefault="0065435C" w:rsidP="00A60D52">
      <w:pPr>
        <w:pStyle w:val="EndNoteBibliography"/>
        <w:numPr>
          <w:ilvl w:val="0"/>
          <w:numId w:val="9"/>
        </w:numPr>
        <w:spacing w:after="0"/>
        <w:ind w:left="357" w:hanging="357"/>
      </w:pPr>
      <w:r w:rsidRPr="00086A37">
        <w:t>McCoach CE, Blumenthal GM, Zhang L, et al. Exploratory analysis of the association of depth of response and survival in patients with metastatic non-small-cell lung cancer treated with a targeted therapy or immunotherapy. Ann Oncol. 2017;28(11):2707-14.</w:t>
      </w:r>
    </w:p>
    <w:p w14:paraId="0930F9A7" w14:textId="77777777" w:rsidR="0065435C" w:rsidRPr="00086A37" w:rsidRDefault="0065435C" w:rsidP="00A60D52">
      <w:pPr>
        <w:pStyle w:val="EndNoteBibliography"/>
        <w:numPr>
          <w:ilvl w:val="0"/>
          <w:numId w:val="9"/>
        </w:numPr>
        <w:spacing w:after="0"/>
        <w:ind w:left="357" w:hanging="357"/>
      </w:pPr>
      <w:r w:rsidRPr="00086A37">
        <w:t>Morgensztern D, Ko A, O'Brien M, et al. Association between depth of response and survival in patients with advanced-stage non-small cell lung cancer treated with first-line chemotherapy. Cancer. 2019;125(14):2394-9.</w:t>
      </w:r>
    </w:p>
    <w:p w14:paraId="36E62ED8" w14:textId="77777777" w:rsidR="0065435C" w:rsidRPr="00086A37" w:rsidRDefault="0065435C" w:rsidP="00A60D52">
      <w:pPr>
        <w:pStyle w:val="EndNoteBibliography"/>
        <w:numPr>
          <w:ilvl w:val="0"/>
          <w:numId w:val="9"/>
        </w:numPr>
        <w:spacing w:after="0"/>
        <w:ind w:left="357" w:hanging="357"/>
      </w:pPr>
      <w:r w:rsidRPr="00086A37">
        <w:t>Merck–Pfizer Data on File. Merck–Pfizer Alliance urothelial cancer virtual UK advisory board (2 July 2020): Meeting report. 2020.</w:t>
      </w:r>
    </w:p>
    <w:p w14:paraId="379FF0A2" w14:textId="77777777" w:rsidR="0065435C" w:rsidRPr="00086A37" w:rsidRDefault="0065435C" w:rsidP="00A60D52">
      <w:pPr>
        <w:pStyle w:val="EndNoteBibliography"/>
        <w:numPr>
          <w:ilvl w:val="0"/>
          <w:numId w:val="9"/>
        </w:numPr>
        <w:spacing w:after="0"/>
        <w:ind w:left="357" w:hanging="357"/>
      </w:pPr>
      <w:r w:rsidRPr="00086A37">
        <w:t>Powles T, Park SH, Voog E, et al. Avelumab maintenance therapy for advanced or metastatic urothelial carcinoma. N Engl J Med. 2020;383(13):1218-30.</w:t>
      </w:r>
    </w:p>
    <w:p w14:paraId="0DDF3A5E" w14:textId="77777777" w:rsidR="0065435C" w:rsidRDefault="0065435C" w:rsidP="00A60D52">
      <w:pPr>
        <w:pStyle w:val="EndNoteBibliography"/>
        <w:numPr>
          <w:ilvl w:val="0"/>
          <w:numId w:val="9"/>
        </w:numPr>
        <w:spacing w:after="0"/>
        <w:ind w:left="357" w:hanging="357"/>
      </w:pPr>
      <w:r w:rsidRPr="00086A37">
        <w:t>Powles T, van der Heijden MS, Castellano D, et al. Durvalumab alone and durvalumab plus tremelimumab versus chemotherapy in previously untreated patients with unresectable, locally advanced or metastatic urothelial carcinoma (DANUBE): a randomised, open-label, multicentre, phase 3 trial. Lancet Oncol. 2020.</w:t>
      </w:r>
    </w:p>
    <w:p w14:paraId="47CECE83" w14:textId="77777777" w:rsidR="0065435C" w:rsidRPr="00B83086" w:rsidRDefault="0065435C" w:rsidP="00A60D52">
      <w:pPr>
        <w:pStyle w:val="EndNoteBibliography"/>
        <w:numPr>
          <w:ilvl w:val="0"/>
          <w:numId w:val="9"/>
        </w:numPr>
        <w:spacing w:after="0"/>
        <w:ind w:left="357" w:hanging="357"/>
      </w:pPr>
      <w:r w:rsidRPr="00B83086">
        <w:t>Powles T, Huddart RA, Elliot T, et al. Phase III, Double-Blind, Randomized Trial That Compared Maintenance Lapatinib Versus Placebo After First-Line Chemotherapy in Patients With Human Epidermal Growth Factor Receptor 1/2–Positive Metastatic Bladder Cancer. Journal of Clinical Oncology. 2017;35(1):48-55.</w:t>
      </w:r>
    </w:p>
    <w:p w14:paraId="63D5516D" w14:textId="77777777" w:rsidR="0065435C" w:rsidRPr="009B0F4B" w:rsidRDefault="0065435C" w:rsidP="00A60D52">
      <w:pPr>
        <w:pStyle w:val="EndNoteBibliography"/>
        <w:numPr>
          <w:ilvl w:val="0"/>
          <w:numId w:val="9"/>
        </w:numPr>
        <w:spacing w:after="0"/>
        <w:ind w:left="357" w:hanging="357"/>
      </w:pPr>
      <w:r w:rsidRPr="009B0F4B">
        <w:t>De Santis M, Bellmunt J, Mead G, et al. Randomized phase II/III trial assessing gemcitabine/carboplatin and methotrexate/carboplatin/vinblastine in patients with advanced urothelial cancer who are unfit for cisplatin-based chemotherapy: EORTC study 30986. J Clin Oncol. 2012;30(2):191-9.</w:t>
      </w:r>
    </w:p>
    <w:p w14:paraId="09A1BAA3" w14:textId="77777777" w:rsidR="0065435C" w:rsidRPr="005A4E73" w:rsidRDefault="0065435C" w:rsidP="00A60D52">
      <w:pPr>
        <w:pStyle w:val="EndNoteBibliography"/>
        <w:numPr>
          <w:ilvl w:val="0"/>
          <w:numId w:val="9"/>
        </w:numPr>
        <w:spacing w:after="0"/>
        <w:ind w:left="357" w:hanging="357"/>
      </w:pPr>
      <w:r w:rsidRPr="005A4E73">
        <w:t>Galsky MD, Krege S, Lin CC, et al. Relationship between 6- and 9-month progression-free survival and overall survival in patients with metastatic urothelial cancer treated with first-line cisplatin-based chemotherapy. Cancer. 2013;119(16):3020-6.</w:t>
      </w:r>
    </w:p>
    <w:p w14:paraId="1C81B23E" w14:textId="77777777" w:rsidR="0065435C" w:rsidRPr="00A26CC0" w:rsidRDefault="0065435C" w:rsidP="00A60D52">
      <w:pPr>
        <w:pStyle w:val="EndNoteBibliography"/>
        <w:numPr>
          <w:ilvl w:val="0"/>
          <w:numId w:val="9"/>
        </w:numPr>
        <w:spacing w:after="0"/>
        <w:ind w:left="357" w:hanging="357"/>
      </w:pPr>
      <w:r>
        <w:t xml:space="preserve">Vuky J, Balar A, Castellano D, et al. </w:t>
      </w:r>
      <w:r w:rsidRPr="005A4E73">
        <w:t>Long-Term Outcomes in KEYNOTE-052: Phase II Study Investigating First-Line Pembrolizumab in Cisplatin-Ineligible Patients With Locally Advanced or Metastatic Urothelial Cancer</w:t>
      </w:r>
      <w:r>
        <w:t xml:space="preserve">. </w:t>
      </w:r>
      <w:r w:rsidRPr="005A4E73">
        <w:t>Journal of Clinical Oncology</w:t>
      </w:r>
      <w:r>
        <w:t>. 2020;38(23):2658-2666.</w:t>
      </w:r>
    </w:p>
    <w:p w14:paraId="369FC2C0" w14:textId="77777777" w:rsidR="0065435C" w:rsidRDefault="0065435C" w:rsidP="00A60D52">
      <w:pPr>
        <w:pStyle w:val="EndNoteBibliography"/>
        <w:numPr>
          <w:ilvl w:val="0"/>
          <w:numId w:val="9"/>
        </w:numPr>
        <w:spacing w:after="0"/>
        <w:ind w:left="357" w:hanging="357"/>
      </w:pPr>
      <w:r>
        <w:t xml:space="preserve">Balar AV, Dreicer R, Loriot Y, et al. </w:t>
      </w:r>
      <w:r w:rsidRPr="005A4E73">
        <w:t>Atezolizumab (atezo) in first-line cisplatin-ineligible or platinum-treated locally advanced or metastatic urothelial cancer (mUC): Long-term efficacy from phase 2 study IMvigor210. Journal of Clinical Oncology</w:t>
      </w:r>
      <w:r>
        <w:t>. 2018;36(15):</w:t>
      </w:r>
      <w:r w:rsidRPr="000E5A3C">
        <w:t>4523-4523</w:t>
      </w:r>
    </w:p>
    <w:p w14:paraId="29FF0B81" w14:textId="77777777" w:rsidR="0065435C" w:rsidRDefault="0065435C" w:rsidP="00A60D52">
      <w:pPr>
        <w:pStyle w:val="EndNoteBibliography"/>
        <w:numPr>
          <w:ilvl w:val="0"/>
          <w:numId w:val="9"/>
        </w:numPr>
        <w:spacing w:after="0"/>
        <w:ind w:left="357" w:hanging="357"/>
      </w:pPr>
      <w:r>
        <w:t>Galsky MD, Arija JAA, Bamias A, et al. Atezolizumab with or without chemotherapy in metastatic urothelial cancer (IMvigor130): a multicentre, randomised, placebo-controlled phase 3 trial. Lancet. 2020;395(10236):1547-57.</w:t>
      </w:r>
    </w:p>
    <w:p w14:paraId="38691FD7" w14:textId="77777777" w:rsidR="0065435C" w:rsidRDefault="0065435C" w:rsidP="00A60D52">
      <w:pPr>
        <w:pStyle w:val="EndNoteBibliography"/>
        <w:numPr>
          <w:ilvl w:val="0"/>
          <w:numId w:val="9"/>
        </w:numPr>
        <w:spacing w:after="0"/>
        <w:ind w:left="357" w:hanging="357"/>
      </w:pPr>
      <w:r>
        <w:t>Loriot Y, Alva A, Csószi T, et al. P</w:t>
      </w:r>
      <w:r w:rsidRPr="00D527E9">
        <w:t>ost hoc analysis of long-term outcomes in patients with CR, PR, or SD to Pembrolizumab or platinum-based chemotherapy as first-line therapy for advanced urothelial carcinoma</w:t>
      </w:r>
      <w:r>
        <w:t xml:space="preserve"> in KEYNOTE-361. </w:t>
      </w:r>
      <w:r w:rsidRPr="00D527E9">
        <w:t>Genitourinary Cancers Symposium</w:t>
      </w:r>
      <w:r>
        <w:t>. 2021</w:t>
      </w:r>
    </w:p>
    <w:p w14:paraId="33F75BFD" w14:textId="77777777" w:rsidR="0065435C" w:rsidRDefault="0065435C" w:rsidP="00A60D52">
      <w:pPr>
        <w:pStyle w:val="EndNoteBibliography"/>
        <w:numPr>
          <w:ilvl w:val="0"/>
          <w:numId w:val="9"/>
        </w:numPr>
        <w:spacing w:after="0"/>
        <w:ind w:left="357" w:hanging="357"/>
      </w:pPr>
      <w:r w:rsidRPr="00B83086">
        <w:t>National Institute for Health and Care Excellence</w:t>
      </w:r>
      <w:r>
        <w:t xml:space="preserve">. </w:t>
      </w:r>
      <w:r w:rsidRPr="00B83086">
        <w:t>Avelumab for maintenance treatment of locally advanced or metastatic urothelial cancer after platinum-based chemotherapy [ID3735]</w:t>
      </w:r>
      <w:r>
        <w:t xml:space="preserve">. </w:t>
      </w:r>
      <w:hyperlink r:id="rId13" w:history="1">
        <w:r w:rsidRPr="0035243B">
          <w:rPr>
            <w:rStyle w:val="Hyperlink"/>
          </w:rPr>
          <w:t>https://www.nice.org.uk/guidance/gid-ta10624/documents/committee-papers</w:t>
        </w:r>
      </w:hyperlink>
    </w:p>
    <w:p w14:paraId="144B9517" w14:textId="36520081" w:rsidR="005767FE" w:rsidRPr="0065435C" w:rsidRDefault="0065435C" w:rsidP="00A60D52">
      <w:pPr>
        <w:pStyle w:val="EndNoteBibliography"/>
        <w:numPr>
          <w:ilvl w:val="0"/>
          <w:numId w:val="9"/>
        </w:numPr>
        <w:spacing w:after="0"/>
        <w:ind w:left="357" w:hanging="357"/>
      </w:pPr>
      <w:r w:rsidRPr="00B83086">
        <w:t>National Institute for Health and Care Excellence</w:t>
      </w:r>
      <w:r>
        <w:t xml:space="preserve">. </w:t>
      </w:r>
      <w:r w:rsidRPr="00B83086">
        <w:t>Avelumab for maintenance treatment of locally advanced or metastatic urothelial cancer after platinum-based chemotherapy [ID3735]</w:t>
      </w:r>
      <w:r>
        <w:t xml:space="preserve">. </w:t>
      </w:r>
      <w:r w:rsidRPr="00B83086">
        <w:t>https://www.nice.org.uk/guidance/gid-ta10624/documents/committee-papers-2</w:t>
      </w:r>
    </w:p>
    <w:sectPr w:rsidR="005767FE" w:rsidRPr="0065435C">
      <w:headerReference w:type="even" r:id="rId14"/>
      <w:headerReference w:type="default" r:id="rId15"/>
      <w:footerReference w:type="even" r:id="rId16"/>
      <w:footerReference w:type="default" r:id="rId17"/>
      <w:headerReference w:type="first" r:id="rId18"/>
      <w:footerReference w:type="first" r:id="rId19"/>
      <w:endnotePr>
        <w:numFmt w:val="decimal"/>
      </w:end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E91EE" w14:textId="77777777" w:rsidR="0065435C" w:rsidRDefault="0065435C" w:rsidP="00837945">
      <w:r>
        <w:separator/>
      </w:r>
    </w:p>
  </w:endnote>
  <w:endnote w:type="continuationSeparator" w:id="0">
    <w:p w14:paraId="778CE854" w14:textId="77777777" w:rsidR="0065435C" w:rsidRDefault="0065435C" w:rsidP="008379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9E6EA" w14:textId="77777777" w:rsidR="001D358E" w:rsidRDefault="001D35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D0078" w14:textId="4ADBAA75" w:rsidR="0065435C" w:rsidRDefault="0065435C">
    <w:pPr>
      <w:pStyle w:val="Footer"/>
    </w:pPr>
    <w:r>
      <w:t>Date of preparation: August 2021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F4148" w14:textId="77777777" w:rsidR="001D358E" w:rsidRDefault="001D35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7F9A1E" w14:textId="77777777" w:rsidR="0065435C" w:rsidRDefault="0065435C" w:rsidP="00837945">
      <w:r>
        <w:separator/>
      </w:r>
    </w:p>
  </w:footnote>
  <w:footnote w:type="continuationSeparator" w:id="0">
    <w:p w14:paraId="7C01900C" w14:textId="77777777" w:rsidR="0065435C" w:rsidRDefault="0065435C" w:rsidP="008379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200AD" w14:textId="77777777" w:rsidR="001D358E" w:rsidRDefault="001D35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B4B28" w14:textId="547C471C" w:rsidR="0065435C" w:rsidRDefault="0065435C">
    <w:pPr>
      <w:pStyle w:val="Header"/>
    </w:pPr>
    <w:r w:rsidRPr="002F6B51">
      <w:rPr>
        <w:noProof/>
      </w:rPr>
      <w:drawing>
        <wp:anchor distT="0" distB="0" distL="114300" distR="114300" simplePos="0" relativeHeight="251659264" behindDoc="1" locked="0" layoutInCell="1" allowOverlap="1" wp14:anchorId="1E0DABC9" wp14:editId="1A737721">
          <wp:simplePos x="0" y="0"/>
          <wp:positionH relativeFrom="margin">
            <wp:posOffset>3765550</wp:posOffset>
          </wp:positionH>
          <wp:positionV relativeFrom="paragraph">
            <wp:posOffset>-17780</wp:posOffset>
          </wp:positionV>
          <wp:extent cx="1212215" cy="191135"/>
          <wp:effectExtent l="0" t="0" r="6985" b="0"/>
          <wp:wrapTight wrapText="bothSides">
            <wp:wrapPolygon edited="0">
              <wp:start x="0" y="0"/>
              <wp:lineTo x="0" y="19375"/>
              <wp:lineTo x="21385" y="19375"/>
              <wp:lineTo x="21385"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RCK_LOGO_Purple.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12215" cy="191135"/>
                  </a:xfrm>
                  <a:prstGeom prst="rect">
                    <a:avLst/>
                  </a:prstGeom>
                </pic:spPr>
              </pic:pic>
            </a:graphicData>
          </a:graphic>
          <wp14:sizeRelH relativeFrom="page">
            <wp14:pctWidth>0</wp14:pctWidth>
          </wp14:sizeRelH>
          <wp14:sizeRelV relativeFrom="page">
            <wp14:pctHeight>0</wp14:pctHeight>
          </wp14:sizeRelV>
        </wp:anchor>
      </w:drawing>
    </w:r>
    <w:r w:rsidRPr="002F6B51">
      <w:rPr>
        <w:noProof/>
      </w:rPr>
      <w:drawing>
        <wp:anchor distT="0" distB="0" distL="114300" distR="114300" simplePos="0" relativeHeight="251660288" behindDoc="1" locked="0" layoutInCell="1" allowOverlap="1" wp14:anchorId="1E7EC113" wp14:editId="15FA3A0F">
          <wp:simplePos x="0" y="0"/>
          <wp:positionH relativeFrom="margin">
            <wp:posOffset>5204460</wp:posOffset>
          </wp:positionH>
          <wp:positionV relativeFrom="paragraph">
            <wp:posOffset>-162560</wp:posOffset>
          </wp:positionV>
          <wp:extent cx="1301750" cy="530225"/>
          <wp:effectExtent l="0" t="0" r="0" b="317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 cstate="print">
                    <a:extLst>
                      <a:ext uri="{28A0092B-C50C-407E-A947-70E740481C1C}">
                        <a14:useLocalDpi xmlns:a14="http://schemas.microsoft.com/office/drawing/2010/main" val="0"/>
                      </a:ext>
                    </a:extLst>
                  </a:blip>
                  <a:stretch>
                    <a:fillRect/>
                  </a:stretch>
                </pic:blipFill>
                <pic:spPr>
                  <a:xfrm>
                    <a:off x="0" y="0"/>
                    <a:ext cx="1301750" cy="53022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2AC20" w14:textId="77777777" w:rsidR="001D358E" w:rsidRDefault="001D35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220B2"/>
    <w:multiLevelType w:val="multilevel"/>
    <w:tmpl w:val="D9427086"/>
    <w:lvl w:ilvl="0">
      <w:start w:val="1"/>
      <w:numFmt w:val="decimal"/>
      <w:pStyle w:val="Numberedlevel3text"/>
      <w:lvlText w:val="%1"/>
      <w:lvlJc w:val="left"/>
      <w:pPr>
        <w:tabs>
          <w:tab w:val="num" w:pos="1134"/>
        </w:tabs>
        <w:ind w:left="1134" w:hanging="1134"/>
      </w:pPr>
      <w:rPr>
        <w:rFonts w:hint="default"/>
      </w:rPr>
    </w:lvl>
    <w:lvl w:ilvl="1">
      <w:start w:val="1"/>
      <w:numFmt w:val="decimal"/>
      <w:pStyle w:val="Numberedheading2"/>
      <w:lvlText w:val="%1.%2"/>
      <w:lvlJc w:val="left"/>
      <w:pPr>
        <w:tabs>
          <w:tab w:val="num" w:pos="1134"/>
        </w:tabs>
        <w:ind w:left="1134" w:hanging="1134"/>
      </w:pPr>
      <w:rPr>
        <w:rFonts w:hint="default"/>
      </w:rPr>
    </w:lvl>
    <w:lvl w:ilvl="2">
      <w:start w:val="1"/>
      <w:numFmt w:val="decimal"/>
      <w:pStyle w:val="Numberedheading3"/>
      <w:lvlText w:val="%1.%2.%3"/>
      <w:lvlJc w:val="left"/>
      <w:pPr>
        <w:tabs>
          <w:tab w:val="num" w:pos="1134"/>
        </w:tabs>
        <w:ind w:left="1134" w:hanging="1134"/>
      </w:pPr>
      <w:rPr>
        <w:rFonts w:hint="default"/>
        <w:b w:val="0"/>
        <w:i w:val="0"/>
        <w:sz w:val="24"/>
        <w:szCs w:val="24"/>
      </w:rPr>
    </w:lvl>
    <w:lvl w:ilvl="3">
      <w:start w:val="1"/>
      <w:numFmt w:val="decimal"/>
      <w:pStyle w:val="Numberedlevel4text"/>
      <w:lvlText w:val="%1.%2.%3.%4"/>
      <w:lvlJc w:val="left"/>
      <w:pPr>
        <w:tabs>
          <w:tab w:val="num" w:pos="1134"/>
        </w:tabs>
        <w:ind w:left="1134" w:hanging="113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 w15:restartNumberingAfterBreak="0">
    <w:nsid w:val="0BE62BBE"/>
    <w:multiLevelType w:val="hybridMultilevel"/>
    <w:tmpl w:val="951CCD68"/>
    <w:lvl w:ilvl="0" w:tplc="0809000F">
      <w:start w:val="1"/>
      <w:numFmt w:val="decimal"/>
      <w:lvlText w:val="%1."/>
      <w:lvlJc w:val="left"/>
      <w:pPr>
        <w:ind w:left="720" w:hanging="360"/>
      </w:pPr>
      <w:rPr>
        <w:rFonts w:hint="default"/>
      </w:rPr>
    </w:lvl>
    <w:lvl w:ilvl="1" w:tplc="4404B2CC">
      <w:start w:val="1"/>
      <w:numFmt w:val="decimal"/>
      <w:lvlText w:val="%2.1"/>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B6110CB"/>
    <w:multiLevelType w:val="hybridMultilevel"/>
    <w:tmpl w:val="35EACD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3B29DD"/>
    <w:multiLevelType w:val="hybridMultilevel"/>
    <w:tmpl w:val="9524F61E"/>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15:restartNumberingAfterBreak="0">
    <w:nsid w:val="20C72A74"/>
    <w:multiLevelType w:val="hybridMultilevel"/>
    <w:tmpl w:val="98CE9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E853F9"/>
    <w:multiLevelType w:val="hybridMultilevel"/>
    <w:tmpl w:val="D94A8EF0"/>
    <w:lvl w:ilvl="0" w:tplc="F47034B4">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543DFC"/>
    <w:multiLevelType w:val="hybridMultilevel"/>
    <w:tmpl w:val="46524E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66316E"/>
    <w:multiLevelType w:val="hybridMultilevel"/>
    <w:tmpl w:val="FAE6041A"/>
    <w:lvl w:ilvl="0" w:tplc="0809000F">
      <w:start w:val="1"/>
      <w:numFmt w:val="decimal"/>
      <w:lvlText w:val="%1."/>
      <w:lvlJc w:val="left"/>
      <w:pPr>
        <w:ind w:left="720" w:hanging="360"/>
      </w:pPr>
      <w:rPr>
        <w:rFonts w:hint="default"/>
      </w:rPr>
    </w:lvl>
    <w:lvl w:ilvl="1" w:tplc="4404B2CC">
      <w:start w:val="1"/>
      <w:numFmt w:val="decimal"/>
      <w:lvlText w:val="%2.1"/>
      <w:lvlJc w:val="left"/>
      <w:pPr>
        <w:ind w:left="1440" w:hanging="360"/>
      </w:pPr>
      <w:rPr>
        <w:rFonts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658084C"/>
    <w:multiLevelType w:val="multilevel"/>
    <w:tmpl w:val="FBD0E8B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3.1"/>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9C93D14"/>
    <w:multiLevelType w:val="hybridMultilevel"/>
    <w:tmpl w:val="4A20F9FA"/>
    <w:lvl w:ilvl="0" w:tplc="AA9A8AE4">
      <w:start w:val="1"/>
      <w:numFmt w:val="decimal"/>
      <w:pStyle w:val="Paragraph"/>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5"/>
  </w:num>
  <w:num w:numId="3">
    <w:abstractNumId w:val="0"/>
  </w:num>
  <w:num w:numId="4">
    <w:abstractNumId w:val="7"/>
  </w:num>
  <w:num w:numId="5">
    <w:abstractNumId w:val="3"/>
  </w:num>
  <w:num w:numId="6">
    <w:abstractNumId w:val="6"/>
  </w:num>
  <w:num w:numId="7">
    <w:abstractNumId w:val="4"/>
  </w:num>
  <w:num w:numId="8">
    <w:abstractNumId w:val="2"/>
  </w:num>
  <w:num w:numId="9">
    <w:abstractNumId w:val="1"/>
  </w:num>
  <w:num w:numId="10">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8193"/>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M2NjUyNzY3tzSyMDFS0lEKTi0uzszPAykwMqgFAJv32sktAAAA"/>
  </w:docVars>
  <w:rsids>
    <w:rsidRoot w:val="00E60606"/>
    <w:rsid w:val="0000794C"/>
    <w:rsid w:val="00011512"/>
    <w:rsid w:val="000119CA"/>
    <w:rsid w:val="0001431E"/>
    <w:rsid w:val="000172E5"/>
    <w:rsid w:val="0002488B"/>
    <w:rsid w:val="000250A9"/>
    <w:rsid w:val="000337F4"/>
    <w:rsid w:val="00035310"/>
    <w:rsid w:val="00037ED0"/>
    <w:rsid w:val="00050E25"/>
    <w:rsid w:val="00052C35"/>
    <w:rsid w:val="00054ACA"/>
    <w:rsid w:val="00055072"/>
    <w:rsid w:val="0005531B"/>
    <w:rsid w:val="00055DD4"/>
    <w:rsid w:val="000606D3"/>
    <w:rsid w:val="000626BF"/>
    <w:rsid w:val="000638EB"/>
    <w:rsid w:val="00073A6D"/>
    <w:rsid w:val="00081515"/>
    <w:rsid w:val="000826B5"/>
    <w:rsid w:val="000842B4"/>
    <w:rsid w:val="00085D42"/>
    <w:rsid w:val="000A234B"/>
    <w:rsid w:val="000A5545"/>
    <w:rsid w:val="000A68E6"/>
    <w:rsid w:val="000A72E0"/>
    <w:rsid w:val="000B7BD5"/>
    <w:rsid w:val="000C0283"/>
    <w:rsid w:val="000C4CD5"/>
    <w:rsid w:val="000C4F49"/>
    <w:rsid w:val="000C75C5"/>
    <w:rsid w:val="000C75FA"/>
    <w:rsid w:val="000D1269"/>
    <w:rsid w:val="000D33AD"/>
    <w:rsid w:val="000E22A5"/>
    <w:rsid w:val="000E3975"/>
    <w:rsid w:val="000F2807"/>
    <w:rsid w:val="000F444D"/>
    <w:rsid w:val="0010390C"/>
    <w:rsid w:val="001056B2"/>
    <w:rsid w:val="00122A72"/>
    <w:rsid w:val="00123AFF"/>
    <w:rsid w:val="001242C7"/>
    <w:rsid w:val="0012445B"/>
    <w:rsid w:val="00125B65"/>
    <w:rsid w:val="00133D68"/>
    <w:rsid w:val="001409DE"/>
    <w:rsid w:val="00142223"/>
    <w:rsid w:val="001460E8"/>
    <w:rsid w:val="00150F1A"/>
    <w:rsid w:val="00152001"/>
    <w:rsid w:val="001527F2"/>
    <w:rsid w:val="001577CD"/>
    <w:rsid w:val="001600AB"/>
    <w:rsid w:val="00160B65"/>
    <w:rsid w:val="00162857"/>
    <w:rsid w:val="00163316"/>
    <w:rsid w:val="00172D39"/>
    <w:rsid w:val="001730F8"/>
    <w:rsid w:val="0017484D"/>
    <w:rsid w:val="00175E05"/>
    <w:rsid w:val="001764A8"/>
    <w:rsid w:val="0019121F"/>
    <w:rsid w:val="00195977"/>
    <w:rsid w:val="00195A1D"/>
    <w:rsid w:val="001A21E9"/>
    <w:rsid w:val="001A4B4D"/>
    <w:rsid w:val="001A64F9"/>
    <w:rsid w:val="001B6184"/>
    <w:rsid w:val="001C0880"/>
    <w:rsid w:val="001C2419"/>
    <w:rsid w:val="001C2A91"/>
    <w:rsid w:val="001C70B4"/>
    <w:rsid w:val="001C7E38"/>
    <w:rsid w:val="001D2F0E"/>
    <w:rsid w:val="001D358E"/>
    <w:rsid w:val="001D6A10"/>
    <w:rsid w:val="001D7F7D"/>
    <w:rsid w:val="001E23D6"/>
    <w:rsid w:val="001E613B"/>
    <w:rsid w:val="001F14F9"/>
    <w:rsid w:val="001F2E35"/>
    <w:rsid w:val="00202BB1"/>
    <w:rsid w:val="0020477D"/>
    <w:rsid w:val="00205B9F"/>
    <w:rsid w:val="0022309A"/>
    <w:rsid w:val="00224E08"/>
    <w:rsid w:val="00231B7F"/>
    <w:rsid w:val="00234135"/>
    <w:rsid w:val="00250078"/>
    <w:rsid w:val="00250447"/>
    <w:rsid w:val="002508D1"/>
    <w:rsid w:val="00255D7B"/>
    <w:rsid w:val="00262CF0"/>
    <w:rsid w:val="00267FA5"/>
    <w:rsid w:val="002766AD"/>
    <w:rsid w:val="00282B8C"/>
    <w:rsid w:val="00293B05"/>
    <w:rsid w:val="00295FD4"/>
    <w:rsid w:val="002A4E18"/>
    <w:rsid w:val="002A6C0F"/>
    <w:rsid w:val="002A6CCD"/>
    <w:rsid w:val="002A7636"/>
    <w:rsid w:val="002B307E"/>
    <w:rsid w:val="002B5316"/>
    <w:rsid w:val="002B7AFC"/>
    <w:rsid w:val="002C12AA"/>
    <w:rsid w:val="002C4CA3"/>
    <w:rsid w:val="002C6BE5"/>
    <w:rsid w:val="002D0DEE"/>
    <w:rsid w:val="002D3CCE"/>
    <w:rsid w:val="002D4252"/>
    <w:rsid w:val="002D58EF"/>
    <w:rsid w:val="002D6BBE"/>
    <w:rsid w:val="002F0DF4"/>
    <w:rsid w:val="002F3641"/>
    <w:rsid w:val="002F6B51"/>
    <w:rsid w:val="00312337"/>
    <w:rsid w:val="00314153"/>
    <w:rsid w:val="00321D87"/>
    <w:rsid w:val="00333D92"/>
    <w:rsid w:val="00335168"/>
    <w:rsid w:val="00340A21"/>
    <w:rsid w:val="00343643"/>
    <w:rsid w:val="003436EF"/>
    <w:rsid w:val="00344E5D"/>
    <w:rsid w:val="0035032E"/>
    <w:rsid w:val="00351BDD"/>
    <w:rsid w:val="0035449E"/>
    <w:rsid w:val="00354FE9"/>
    <w:rsid w:val="00355602"/>
    <w:rsid w:val="00357B89"/>
    <w:rsid w:val="00362A21"/>
    <w:rsid w:val="00363E55"/>
    <w:rsid w:val="0036662E"/>
    <w:rsid w:val="0036673D"/>
    <w:rsid w:val="00370DB9"/>
    <w:rsid w:val="00372FD7"/>
    <w:rsid w:val="003730FA"/>
    <w:rsid w:val="0038207F"/>
    <w:rsid w:val="00382ED0"/>
    <w:rsid w:val="003849C7"/>
    <w:rsid w:val="0038773C"/>
    <w:rsid w:val="003A1C0A"/>
    <w:rsid w:val="003A20BC"/>
    <w:rsid w:val="003A6B22"/>
    <w:rsid w:val="003B2E3A"/>
    <w:rsid w:val="003B5022"/>
    <w:rsid w:val="003C02D3"/>
    <w:rsid w:val="003C0CCD"/>
    <w:rsid w:val="003C1AFB"/>
    <w:rsid w:val="003C378B"/>
    <w:rsid w:val="003C64F2"/>
    <w:rsid w:val="003D3F52"/>
    <w:rsid w:val="003D46F9"/>
    <w:rsid w:val="003E051B"/>
    <w:rsid w:val="003E56FF"/>
    <w:rsid w:val="003F5224"/>
    <w:rsid w:val="003F6808"/>
    <w:rsid w:val="004038AB"/>
    <w:rsid w:val="00411C9F"/>
    <w:rsid w:val="00420D10"/>
    <w:rsid w:val="00427349"/>
    <w:rsid w:val="00427E75"/>
    <w:rsid w:val="00431E23"/>
    <w:rsid w:val="00434D68"/>
    <w:rsid w:val="00437039"/>
    <w:rsid w:val="004379A8"/>
    <w:rsid w:val="004414FA"/>
    <w:rsid w:val="00442549"/>
    <w:rsid w:val="0044530A"/>
    <w:rsid w:val="0044566F"/>
    <w:rsid w:val="00450788"/>
    <w:rsid w:val="00451BFC"/>
    <w:rsid w:val="00457141"/>
    <w:rsid w:val="00463625"/>
    <w:rsid w:val="0046436C"/>
    <w:rsid w:val="0047299C"/>
    <w:rsid w:val="004746DA"/>
    <w:rsid w:val="00477B6C"/>
    <w:rsid w:val="0048796B"/>
    <w:rsid w:val="004904BE"/>
    <w:rsid w:val="0049448C"/>
    <w:rsid w:val="00494AFC"/>
    <w:rsid w:val="004A138D"/>
    <w:rsid w:val="004A43AF"/>
    <w:rsid w:val="004A4DB6"/>
    <w:rsid w:val="004A4DCB"/>
    <w:rsid w:val="004A6331"/>
    <w:rsid w:val="004A6919"/>
    <w:rsid w:val="004B4CCF"/>
    <w:rsid w:val="004C043B"/>
    <w:rsid w:val="004C521E"/>
    <w:rsid w:val="004D756A"/>
    <w:rsid w:val="004D7D97"/>
    <w:rsid w:val="004E0B4B"/>
    <w:rsid w:val="004E650A"/>
    <w:rsid w:val="004F387A"/>
    <w:rsid w:val="004F7C18"/>
    <w:rsid w:val="005008AA"/>
    <w:rsid w:val="00501EEB"/>
    <w:rsid w:val="005051A3"/>
    <w:rsid w:val="005163A3"/>
    <w:rsid w:val="00516678"/>
    <w:rsid w:val="00526EF6"/>
    <w:rsid w:val="00530AE6"/>
    <w:rsid w:val="005354D9"/>
    <w:rsid w:val="00543198"/>
    <w:rsid w:val="00556F00"/>
    <w:rsid w:val="00556FE4"/>
    <w:rsid w:val="00557A5C"/>
    <w:rsid w:val="00562DD8"/>
    <w:rsid w:val="00563231"/>
    <w:rsid w:val="00571DDE"/>
    <w:rsid w:val="00574B3F"/>
    <w:rsid w:val="00575914"/>
    <w:rsid w:val="005767FE"/>
    <w:rsid w:val="005924F0"/>
    <w:rsid w:val="00595009"/>
    <w:rsid w:val="00595C46"/>
    <w:rsid w:val="005A2F16"/>
    <w:rsid w:val="005A6ACF"/>
    <w:rsid w:val="005A6EFF"/>
    <w:rsid w:val="005B23BC"/>
    <w:rsid w:val="005B2834"/>
    <w:rsid w:val="005B5B29"/>
    <w:rsid w:val="005C2A19"/>
    <w:rsid w:val="005C4DBB"/>
    <w:rsid w:val="005C5094"/>
    <w:rsid w:val="005C6C84"/>
    <w:rsid w:val="005C7353"/>
    <w:rsid w:val="005D082E"/>
    <w:rsid w:val="005D3A29"/>
    <w:rsid w:val="005D433D"/>
    <w:rsid w:val="005D567B"/>
    <w:rsid w:val="005D78C7"/>
    <w:rsid w:val="005D7DF3"/>
    <w:rsid w:val="005E26F0"/>
    <w:rsid w:val="005E4A32"/>
    <w:rsid w:val="005F57A7"/>
    <w:rsid w:val="006001F6"/>
    <w:rsid w:val="00600ADC"/>
    <w:rsid w:val="0060293B"/>
    <w:rsid w:val="006078B8"/>
    <w:rsid w:val="00614F46"/>
    <w:rsid w:val="006170C8"/>
    <w:rsid w:val="00617FF8"/>
    <w:rsid w:val="006205A7"/>
    <w:rsid w:val="0062195F"/>
    <w:rsid w:val="00633245"/>
    <w:rsid w:val="00640910"/>
    <w:rsid w:val="00643DEF"/>
    <w:rsid w:val="00644551"/>
    <w:rsid w:val="00645D32"/>
    <w:rsid w:val="00651155"/>
    <w:rsid w:val="0065435C"/>
    <w:rsid w:val="0065666D"/>
    <w:rsid w:val="006567C2"/>
    <w:rsid w:val="00657297"/>
    <w:rsid w:val="00660EAA"/>
    <w:rsid w:val="006631F1"/>
    <w:rsid w:val="006634FD"/>
    <w:rsid w:val="00663915"/>
    <w:rsid w:val="0067519A"/>
    <w:rsid w:val="006836AA"/>
    <w:rsid w:val="00683EEF"/>
    <w:rsid w:val="0068776D"/>
    <w:rsid w:val="00690F7C"/>
    <w:rsid w:val="006A49F8"/>
    <w:rsid w:val="006A4BFE"/>
    <w:rsid w:val="006B10F3"/>
    <w:rsid w:val="006B1A2E"/>
    <w:rsid w:val="006B1E76"/>
    <w:rsid w:val="006B3514"/>
    <w:rsid w:val="006B5C1C"/>
    <w:rsid w:val="006C589F"/>
    <w:rsid w:val="006C5B87"/>
    <w:rsid w:val="006C61D8"/>
    <w:rsid w:val="006D0C5B"/>
    <w:rsid w:val="006E2EBE"/>
    <w:rsid w:val="006F63E9"/>
    <w:rsid w:val="006F642C"/>
    <w:rsid w:val="007021C9"/>
    <w:rsid w:val="0070288A"/>
    <w:rsid w:val="007058BB"/>
    <w:rsid w:val="00706ACD"/>
    <w:rsid w:val="00707E07"/>
    <w:rsid w:val="00711A58"/>
    <w:rsid w:val="00715810"/>
    <w:rsid w:val="00717CD4"/>
    <w:rsid w:val="00734DFE"/>
    <w:rsid w:val="00740280"/>
    <w:rsid w:val="007454C6"/>
    <w:rsid w:val="007511BA"/>
    <w:rsid w:val="0076293F"/>
    <w:rsid w:val="007721E4"/>
    <w:rsid w:val="00782232"/>
    <w:rsid w:val="007849B6"/>
    <w:rsid w:val="00784F8C"/>
    <w:rsid w:val="00790A43"/>
    <w:rsid w:val="00793787"/>
    <w:rsid w:val="007970BC"/>
    <w:rsid w:val="007A7149"/>
    <w:rsid w:val="007B0289"/>
    <w:rsid w:val="007B3BB0"/>
    <w:rsid w:val="007C5469"/>
    <w:rsid w:val="007C7781"/>
    <w:rsid w:val="007D2C37"/>
    <w:rsid w:val="007D330C"/>
    <w:rsid w:val="007D3EB0"/>
    <w:rsid w:val="007D7FEE"/>
    <w:rsid w:val="007E34DD"/>
    <w:rsid w:val="007E3EAF"/>
    <w:rsid w:val="007E5A97"/>
    <w:rsid w:val="008037B7"/>
    <w:rsid w:val="00810121"/>
    <w:rsid w:val="008208FE"/>
    <w:rsid w:val="00821079"/>
    <w:rsid w:val="00821789"/>
    <w:rsid w:val="00822011"/>
    <w:rsid w:val="008235FF"/>
    <w:rsid w:val="00823B9B"/>
    <w:rsid w:val="0082454E"/>
    <w:rsid w:val="0083240B"/>
    <w:rsid w:val="00833795"/>
    <w:rsid w:val="00835C0B"/>
    <w:rsid w:val="00837945"/>
    <w:rsid w:val="0084286D"/>
    <w:rsid w:val="00844074"/>
    <w:rsid w:val="008468B6"/>
    <w:rsid w:val="00851F36"/>
    <w:rsid w:val="00860E8A"/>
    <w:rsid w:val="0086565A"/>
    <w:rsid w:val="00875EDF"/>
    <w:rsid w:val="0087617B"/>
    <w:rsid w:val="008850EF"/>
    <w:rsid w:val="008924D0"/>
    <w:rsid w:val="008927C8"/>
    <w:rsid w:val="00894EFD"/>
    <w:rsid w:val="008B05DB"/>
    <w:rsid w:val="008B1B52"/>
    <w:rsid w:val="008B2659"/>
    <w:rsid w:val="008B312F"/>
    <w:rsid w:val="008B6A76"/>
    <w:rsid w:val="008B6F4E"/>
    <w:rsid w:val="008C72F7"/>
    <w:rsid w:val="008C7FEF"/>
    <w:rsid w:val="008D2C53"/>
    <w:rsid w:val="008D39B9"/>
    <w:rsid w:val="008E6225"/>
    <w:rsid w:val="008F25AB"/>
    <w:rsid w:val="00903291"/>
    <w:rsid w:val="009032F3"/>
    <w:rsid w:val="009055B5"/>
    <w:rsid w:val="009055BB"/>
    <w:rsid w:val="00910742"/>
    <w:rsid w:val="00911617"/>
    <w:rsid w:val="00912304"/>
    <w:rsid w:val="00923981"/>
    <w:rsid w:val="00925336"/>
    <w:rsid w:val="00925836"/>
    <w:rsid w:val="009304C2"/>
    <w:rsid w:val="00930AE6"/>
    <w:rsid w:val="00931831"/>
    <w:rsid w:val="009326D9"/>
    <w:rsid w:val="00936E84"/>
    <w:rsid w:val="009425FB"/>
    <w:rsid w:val="00947632"/>
    <w:rsid w:val="00951030"/>
    <w:rsid w:val="009545B5"/>
    <w:rsid w:val="0095469A"/>
    <w:rsid w:val="009564C6"/>
    <w:rsid w:val="00966B91"/>
    <w:rsid w:val="00984F7A"/>
    <w:rsid w:val="00991E45"/>
    <w:rsid w:val="0099359C"/>
    <w:rsid w:val="009A5260"/>
    <w:rsid w:val="009A7932"/>
    <w:rsid w:val="009C0A1F"/>
    <w:rsid w:val="009C112F"/>
    <w:rsid w:val="009C5947"/>
    <w:rsid w:val="009D70E9"/>
    <w:rsid w:val="009D7256"/>
    <w:rsid w:val="009D77AE"/>
    <w:rsid w:val="009E244E"/>
    <w:rsid w:val="009E7662"/>
    <w:rsid w:val="009F490A"/>
    <w:rsid w:val="009F4A6F"/>
    <w:rsid w:val="009F7514"/>
    <w:rsid w:val="00A12C52"/>
    <w:rsid w:val="00A14D64"/>
    <w:rsid w:val="00A17245"/>
    <w:rsid w:val="00A24684"/>
    <w:rsid w:val="00A26888"/>
    <w:rsid w:val="00A3082B"/>
    <w:rsid w:val="00A40B1D"/>
    <w:rsid w:val="00A40BF1"/>
    <w:rsid w:val="00A411EF"/>
    <w:rsid w:val="00A51A58"/>
    <w:rsid w:val="00A54044"/>
    <w:rsid w:val="00A54F2F"/>
    <w:rsid w:val="00A60D52"/>
    <w:rsid w:val="00A66589"/>
    <w:rsid w:val="00A70ADF"/>
    <w:rsid w:val="00A71137"/>
    <w:rsid w:val="00A724A6"/>
    <w:rsid w:val="00A745E4"/>
    <w:rsid w:val="00A84959"/>
    <w:rsid w:val="00A87A67"/>
    <w:rsid w:val="00A87C43"/>
    <w:rsid w:val="00A87F96"/>
    <w:rsid w:val="00A925F6"/>
    <w:rsid w:val="00A9655E"/>
    <w:rsid w:val="00AA0C12"/>
    <w:rsid w:val="00AA35FC"/>
    <w:rsid w:val="00AA4F0F"/>
    <w:rsid w:val="00AA5CAB"/>
    <w:rsid w:val="00AB3502"/>
    <w:rsid w:val="00AB4FBA"/>
    <w:rsid w:val="00AC295C"/>
    <w:rsid w:val="00AC382D"/>
    <w:rsid w:val="00AD15B4"/>
    <w:rsid w:val="00AD1DAF"/>
    <w:rsid w:val="00AD601D"/>
    <w:rsid w:val="00AD6814"/>
    <w:rsid w:val="00AF0505"/>
    <w:rsid w:val="00AF4D81"/>
    <w:rsid w:val="00B1274C"/>
    <w:rsid w:val="00B141C4"/>
    <w:rsid w:val="00B172FE"/>
    <w:rsid w:val="00B203ED"/>
    <w:rsid w:val="00B20837"/>
    <w:rsid w:val="00B2107A"/>
    <w:rsid w:val="00B226F3"/>
    <w:rsid w:val="00B278E9"/>
    <w:rsid w:val="00B30B44"/>
    <w:rsid w:val="00B36B54"/>
    <w:rsid w:val="00B43FE4"/>
    <w:rsid w:val="00B45DB0"/>
    <w:rsid w:val="00B50696"/>
    <w:rsid w:val="00B52BB4"/>
    <w:rsid w:val="00B54D35"/>
    <w:rsid w:val="00B66D3C"/>
    <w:rsid w:val="00B752CD"/>
    <w:rsid w:val="00B756EE"/>
    <w:rsid w:val="00B75CCA"/>
    <w:rsid w:val="00B801B3"/>
    <w:rsid w:val="00B8218E"/>
    <w:rsid w:val="00B84364"/>
    <w:rsid w:val="00B93AD7"/>
    <w:rsid w:val="00B971BE"/>
    <w:rsid w:val="00BA7619"/>
    <w:rsid w:val="00BB2B09"/>
    <w:rsid w:val="00BB4E40"/>
    <w:rsid w:val="00BB6F6C"/>
    <w:rsid w:val="00BB7A84"/>
    <w:rsid w:val="00BC2CB4"/>
    <w:rsid w:val="00BC723D"/>
    <w:rsid w:val="00BD5698"/>
    <w:rsid w:val="00BE4337"/>
    <w:rsid w:val="00BE7B75"/>
    <w:rsid w:val="00C0489B"/>
    <w:rsid w:val="00C07756"/>
    <w:rsid w:val="00C20F5F"/>
    <w:rsid w:val="00C22723"/>
    <w:rsid w:val="00C2677D"/>
    <w:rsid w:val="00C27AD1"/>
    <w:rsid w:val="00C30EE0"/>
    <w:rsid w:val="00C32161"/>
    <w:rsid w:val="00C422E9"/>
    <w:rsid w:val="00C53DC5"/>
    <w:rsid w:val="00C71FD2"/>
    <w:rsid w:val="00C824A7"/>
    <w:rsid w:val="00C84121"/>
    <w:rsid w:val="00C92E4F"/>
    <w:rsid w:val="00CA125D"/>
    <w:rsid w:val="00CB2638"/>
    <w:rsid w:val="00CB295A"/>
    <w:rsid w:val="00CB4D56"/>
    <w:rsid w:val="00CD338F"/>
    <w:rsid w:val="00CD6AA9"/>
    <w:rsid w:val="00CE0171"/>
    <w:rsid w:val="00CE13C5"/>
    <w:rsid w:val="00CE6CF6"/>
    <w:rsid w:val="00CF3E4C"/>
    <w:rsid w:val="00CF633E"/>
    <w:rsid w:val="00D003F3"/>
    <w:rsid w:val="00D00BC9"/>
    <w:rsid w:val="00D10547"/>
    <w:rsid w:val="00D151B1"/>
    <w:rsid w:val="00D159F3"/>
    <w:rsid w:val="00D21823"/>
    <w:rsid w:val="00D22ABD"/>
    <w:rsid w:val="00D26402"/>
    <w:rsid w:val="00D42637"/>
    <w:rsid w:val="00D445BB"/>
    <w:rsid w:val="00D45015"/>
    <w:rsid w:val="00D5095F"/>
    <w:rsid w:val="00D53792"/>
    <w:rsid w:val="00D54448"/>
    <w:rsid w:val="00D62770"/>
    <w:rsid w:val="00D63810"/>
    <w:rsid w:val="00D64644"/>
    <w:rsid w:val="00D7113E"/>
    <w:rsid w:val="00D75122"/>
    <w:rsid w:val="00D93250"/>
    <w:rsid w:val="00D95908"/>
    <w:rsid w:val="00DA0BF1"/>
    <w:rsid w:val="00DA46E9"/>
    <w:rsid w:val="00DA6BAD"/>
    <w:rsid w:val="00DA7645"/>
    <w:rsid w:val="00DB1059"/>
    <w:rsid w:val="00DB4C48"/>
    <w:rsid w:val="00DC3EA0"/>
    <w:rsid w:val="00DC428A"/>
    <w:rsid w:val="00DC56B5"/>
    <w:rsid w:val="00DC7DC2"/>
    <w:rsid w:val="00DD506D"/>
    <w:rsid w:val="00DD6DCA"/>
    <w:rsid w:val="00DE46BA"/>
    <w:rsid w:val="00DE4ECA"/>
    <w:rsid w:val="00DF2297"/>
    <w:rsid w:val="00DF2DF3"/>
    <w:rsid w:val="00DF6459"/>
    <w:rsid w:val="00E075CB"/>
    <w:rsid w:val="00E10D2D"/>
    <w:rsid w:val="00E12563"/>
    <w:rsid w:val="00E12702"/>
    <w:rsid w:val="00E20C8C"/>
    <w:rsid w:val="00E27BAB"/>
    <w:rsid w:val="00E27CC5"/>
    <w:rsid w:val="00E34222"/>
    <w:rsid w:val="00E34F99"/>
    <w:rsid w:val="00E36329"/>
    <w:rsid w:val="00E36414"/>
    <w:rsid w:val="00E3790C"/>
    <w:rsid w:val="00E4082B"/>
    <w:rsid w:val="00E46B38"/>
    <w:rsid w:val="00E531FC"/>
    <w:rsid w:val="00E56362"/>
    <w:rsid w:val="00E60606"/>
    <w:rsid w:val="00E606C6"/>
    <w:rsid w:val="00E66325"/>
    <w:rsid w:val="00E666B8"/>
    <w:rsid w:val="00E72098"/>
    <w:rsid w:val="00E73DE6"/>
    <w:rsid w:val="00E762EE"/>
    <w:rsid w:val="00E76AFB"/>
    <w:rsid w:val="00E92D7F"/>
    <w:rsid w:val="00E930B9"/>
    <w:rsid w:val="00E95B99"/>
    <w:rsid w:val="00EA02E1"/>
    <w:rsid w:val="00EA24EF"/>
    <w:rsid w:val="00EB0441"/>
    <w:rsid w:val="00EB061B"/>
    <w:rsid w:val="00EB2502"/>
    <w:rsid w:val="00EC1410"/>
    <w:rsid w:val="00ED3307"/>
    <w:rsid w:val="00ED3906"/>
    <w:rsid w:val="00EE73F4"/>
    <w:rsid w:val="00EF56DB"/>
    <w:rsid w:val="00EF5999"/>
    <w:rsid w:val="00EF6F6E"/>
    <w:rsid w:val="00EF7267"/>
    <w:rsid w:val="00F0013B"/>
    <w:rsid w:val="00F01130"/>
    <w:rsid w:val="00F037EC"/>
    <w:rsid w:val="00F1385B"/>
    <w:rsid w:val="00F202C1"/>
    <w:rsid w:val="00F206E4"/>
    <w:rsid w:val="00F21865"/>
    <w:rsid w:val="00F2471E"/>
    <w:rsid w:val="00F25725"/>
    <w:rsid w:val="00F27199"/>
    <w:rsid w:val="00F45933"/>
    <w:rsid w:val="00F46C9D"/>
    <w:rsid w:val="00F60204"/>
    <w:rsid w:val="00F60573"/>
    <w:rsid w:val="00F61E6D"/>
    <w:rsid w:val="00F63DD8"/>
    <w:rsid w:val="00F6598C"/>
    <w:rsid w:val="00F729BC"/>
    <w:rsid w:val="00F73F2B"/>
    <w:rsid w:val="00F748DE"/>
    <w:rsid w:val="00F757AE"/>
    <w:rsid w:val="00F80326"/>
    <w:rsid w:val="00F819AB"/>
    <w:rsid w:val="00F81A8D"/>
    <w:rsid w:val="00F820A5"/>
    <w:rsid w:val="00F874B8"/>
    <w:rsid w:val="00F970DC"/>
    <w:rsid w:val="00F97543"/>
    <w:rsid w:val="00F97DDE"/>
    <w:rsid w:val="00FA1238"/>
    <w:rsid w:val="00FA1F2B"/>
    <w:rsid w:val="00FB22AD"/>
    <w:rsid w:val="00FB35C0"/>
    <w:rsid w:val="00FB446C"/>
    <w:rsid w:val="00FC6607"/>
    <w:rsid w:val="00FC6841"/>
    <w:rsid w:val="00FD3513"/>
    <w:rsid w:val="00FD3C15"/>
    <w:rsid w:val="00FD5A69"/>
    <w:rsid w:val="00FD6078"/>
    <w:rsid w:val="00FD612A"/>
    <w:rsid w:val="00FD7596"/>
    <w:rsid w:val="00FE64CE"/>
    <w:rsid w:val="00FF209E"/>
    <w:rsid w:val="00FF3A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86ED757"/>
  <w15:docId w15:val="{9827F3C6-77C5-4471-9D47-D33E73E13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2" w:unhideWhenUsed="1" w:qFormat="1"/>
    <w:lsdException w:name="heading 3" w:semiHidden="1" w:uiPriority="3"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082B"/>
    <w:pPr>
      <w:spacing w:after="0" w:line="240" w:lineRule="auto"/>
    </w:pPr>
    <w:rPr>
      <w:rFonts w:ascii="Calibri" w:hAnsi="Calibri" w:cs="Calibri"/>
    </w:rPr>
  </w:style>
  <w:style w:type="paragraph" w:styleId="Heading1">
    <w:name w:val="heading 1"/>
    <w:basedOn w:val="Normal"/>
    <w:next w:val="Normal"/>
    <w:link w:val="Heading1Char"/>
    <w:uiPriority w:val="1"/>
    <w:qFormat/>
    <w:rsid w:val="0016285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2"/>
    <w:unhideWhenUsed/>
    <w:qFormat/>
    <w:rsid w:val="0065435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3"/>
    <w:unhideWhenUsed/>
    <w:qFormat/>
    <w:rsid w:val="0065435C"/>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qFormat/>
    <w:rsid w:val="0065435C"/>
    <w:pPr>
      <w:keepNext/>
      <w:spacing w:before="240" w:after="60"/>
      <w:outlineLvl w:val="3"/>
    </w:pPr>
    <w:rPr>
      <w:rFonts w:ascii="Arial" w:eastAsia="Times New Roman" w:hAnsi="Arial" w:cs="Times New Roman"/>
      <w:b/>
      <w:bCs/>
      <w:i/>
      <w:sz w:val="24"/>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16285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2"/>
    <w:rsid w:val="0065435C"/>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3"/>
    <w:rsid w:val="0065435C"/>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rsid w:val="0065435C"/>
    <w:rPr>
      <w:rFonts w:ascii="Arial" w:eastAsia="Times New Roman" w:hAnsi="Arial" w:cs="Times New Roman"/>
      <w:b/>
      <w:bCs/>
      <w:i/>
      <w:sz w:val="24"/>
      <w:szCs w:val="28"/>
      <w:lang w:val="x-none" w:eastAsia="x-none"/>
    </w:rPr>
  </w:style>
  <w:style w:type="paragraph" w:styleId="ListParagraph">
    <w:name w:val="List Paragraph"/>
    <w:aliases w:val="Bullets,Bullet List,FooterText,Colorful List Accent 1,Colorful List - Accent 111,Párrafo de lista,Colorful List - Accent 11,Dot pt,F5 List Paragraph,List Paragraph1,List Paragraph Char Char Char,Indicator Text,Numbered Para 1,Bullet 1,列出段"/>
    <w:basedOn w:val="Normal"/>
    <w:link w:val="ListParagraphChar"/>
    <w:uiPriority w:val="34"/>
    <w:qFormat/>
    <w:rsid w:val="00E60606"/>
    <w:pPr>
      <w:ind w:left="720"/>
    </w:pPr>
  </w:style>
  <w:style w:type="character" w:customStyle="1" w:styleId="ListParagraphChar">
    <w:name w:val="List Paragraph Char"/>
    <w:aliases w:val="Bullets Char,Bullet List Char,FooterText Char,Colorful List Accent 1 Char,Colorful List - Accent 111 Char,Párrafo de lista Char,Colorful List - Accent 11 Char,Dot pt Char,F5 List Paragraph Char,List Paragraph1 Char,Bullet 1 Char"/>
    <w:basedOn w:val="DefaultParagraphFont"/>
    <w:link w:val="ListParagraph"/>
    <w:uiPriority w:val="34"/>
    <w:locked/>
    <w:rsid w:val="00D42637"/>
    <w:rPr>
      <w:rFonts w:ascii="Calibri" w:hAnsi="Calibri" w:cs="Calibri"/>
    </w:rPr>
  </w:style>
  <w:style w:type="character" w:styleId="Hyperlink">
    <w:name w:val="Hyperlink"/>
    <w:basedOn w:val="DefaultParagraphFont"/>
    <w:uiPriority w:val="99"/>
    <w:unhideWhenUsed/>
    <w:rsid w:val="00D42637"/>
    <w:rPr>
      <w:color w:val="0000FF"/>
      <w:u w:val="single"/>
    </w:rPr>
  </w:style>
  <w:style w:type="character" w:customStyle="1" w:styleId="CommentTextChar">
    <w:name w:val="Comment Text Char"/>
    <w:aliases w:val="Annotationtext Char,Comment Text Char Char Char Char,Comment Text Char1 Char Char"/>
    <w:basedOn w:val="DefaultParagraphFont"/>
    <w:link w:val="CommentText"/>
    <w:locked/>
    <w:rsid w:val="00D42637"/>
    <w:rPr>
      <w:rFonts w:ascii="Verdana" w:hAnsi="Verdana"/>
    </w:rPr>
  </w:style>
  <w:style w:type="paragraph" w:styleId="CommentText">
    <w:name w:val="annotation text"/>
    <w:aliases w:val="Annotationtext,Comment Text Char Char Char,Comment Text Char1 Char"/>
    <w:basedOn w:val="Normal"/>
    <w:link w:val="CommentTextChar"/>
    <w:unhideWhenUsed/>
    <w:rsid w:val="00D42637"/>
    <w:pPr>
      <w:jc w:val="both"/>
    </w:pPr>
    <w:rPr>
      <w:rFonts w:ascii="Verdana" w:hAnsi="Verdana" w:cstheme="minorBidi"/>
    </w:rPr>
  </w:style>
  <w:style w:type="character" w:customStyle="1" w:styleId="CommentTextChar1">
    <w:name w:val="Comment Text Char1"/>
    <w:basedOn w:val="DefaultParagraphFont"/>
    <w:uiPriority w:val="99"/>
    <w:semiHidden/>
    <w:rsid w:val="00D42637"/>
    <w:rPr>
      <w:rFonts w:ascii="Calibri" w:hAnsi="Calibri" w:cs="Calibri"/>
      <w:sz w:val="20"/>
      <w:szCs w:val="20"/>
    </w:rPr>
  </w:style>
  <w:style w:type="paragraph" w:customStyle="1" w:styleId="Standardfett">
    <w:name w:val="Standard_fett"/>
    <w:basedOn w:val="Normal"/>
    <w:rsid w:val="00D42637"/>
    <w:pPr>
      <w:keepNext/>
      <w:spacing w:line="360" w:lineRule="exact"/>
      <w:jc w:val="both"/>
    </w:pPr>
    <w:rPr>
      <w:rFonts w:ascii="Verdana" w:hAnsi="Verdana" w:cs="Times New Roman"/>
      <w:b/>
      <w:bCs/>
      <w:sz w:val="20"/>
      <w:szCs w:val="20"/>
      <w:lang w:eastAsia="de-DE"/>
    </w:rPr>
  </w:style>
  <w:style w:type="character" w:styleId="CommentReference">
    <w:name w:val="annotation reference"/>
    <w:basedOn w:val="DefaultParagraphFont"/>
    <w:semiHidden/>
    <w:unhideWhenUsed/>
    <w:rsid w:val="00D53792"/>
    <w:rPr>
      <w:sz w:val="16"/>
      <w:szCs w:val="16"/>
    </w:rPr>
  </w:style>
  <w:style w:type="paragraph" w:styleId="CommentSubject">
    <w:name w:val="annotation subject"/>
    <w:basedOn w:val="CommentText"/>
    <w:next w:val="CommentText"/>
    <w:link w:val="CommentSubjectChar"/>
    <w:semiHidden/>
    <w:unhideWhenUsed/>
    <w:rsid w:val="00D53792"/>
    <w:pPr>
      <w:jc w:val="left"/>
    </w:pPr>
    <w:rPr>
      <w:rFonts w:ascii="Calibri" w:hAnsi="Calibri" w:cs="Calibri"/>
      <w:b/>
      <w:bCs/>
      <w:sz w:val="20"/>
      <w:szCs w:val="20"/>
    </w:rPr>
  </w:style>
  <w:style w:type="character" w:customStyle="1" w:styleId="CommentSubjectChar">
    <w:name w:val="Comment Subject Char"/>
    <w:basedOn w:val="CommentTextChar"/>
    <w:link w:val="CommentSubject"/>
    <w:uiPriority w:val="99"/>
    <w:semiHidden/>
    <w:rsid w:val="00D53792"/>
    <w:rPr>
      <w:rFonts w:ascii="Calibri" w:hAnsi="Calibri" w:cs="Calibri"/>
      <w:b/>
      <w:bCs/>
      <w:sz w:val="20"/>
      <w:szCs w:val="20"/>
    </w:rPr>
  </w:style>
  <w:style w:type="paragraph" w:styleId="BalloonText">
    <w:name w:val="Balloon Text"/>
    <w:basedOn w:val="Normal"/>
    <w:link w:val="BalloonTextChar"/>
    <w:semiHidden/>
    <w:unhideWhenUsed/>
    <w:rsid w:val="00D53792"/>
    <w:rPr>
      <w:rFonts w:ascii="Tahoma" w:hAnsi="Tahoma" w:cs="Tahoma"/>
      <w:sz w:val="16"/>
      <w:szCs w:val="16"/>
    </w:rPr>
  </w:style>
  <w:style w:type="character" w:customStyle="1" w:styleId="BalloonTextChar">
    <w:name w:val="Balloon Text Char"/>
    <w:basedOn w:val="DefaultParagraphFont"/>
    <w:link w:val="BalloonText"/>
    <w:semiHidden/>
    <w:rsid w:val="00D53792"/>
    <w:rPr>
      <w:rFonts w:ascii="Tahoma" w:hAnsi="Tahoma" w:cs="Tahoma"/>
      <w:sz w:val="16"/>
      <w:szCs w:val="16"/>
    </w:rPr>
  </w:style>
  <w:style w:type="paragraph" w:styleId="NormalWeb">
    <w:name w:val="Normal (Web)"/>
    <w:basedOn w:val="Normal"/>
    <w:uiPriority w:val="99"/>
    <w:unhideWhenUsed/>
    <w:rsid w:val="007D7FEE"/>
    <w:pPr>
      <w:spacing w:before="100" w:beforeAutospacing="1" w:after="100" w:afterAutospacing="1"/>
    </w:pPr>
    <w:rPr>
      <w:rFonts w:ascii="Times New Roman" w:eastAsia="Times New Roman" w:hAnsi="Times New Roman" w:cs="Times New Roman"/>
      <w:sz w:val="24"/>
      <w:szCs w:val="24"/>
      <w:lang w:eastAsia="en-GB"/>
    </w:rPr>
  </w:style>
  <w:style w:type="paragraph" w:styleId="EndnoteText">
    <w:name w:val="endnote text"/>
    <w:basedOn w:val="Normal"/>
    <w:link w:val="EndnoteTextChar"/>
    <w:uiPriority w:val="99"/>
    <w:unhideWhenUsed/>
    <w:rsid w:val="00837945"/>
    <w:rPr>
      <w:sz w:val="20"/>
      <w:szCs w:val="20"/>
    </w:rPr>
  </w:style>
  <w:style w:type="character" w:customStyle="1" w:styleId="EndnoteTextChar">
    <w:name w:val="Endnote Text Char"/>
    <w:basedOn w:val="DefaultParagraphFont"/>
    <w:link w:val="EndnoteText"/>
    <w:uiPriority w:val="99"/>
    <w:rsid w:val="00837945"/>
    <w:rPr>
      <w:rFonts w:ascii="Calibri" w:hAnsi="Calibri" w:cs="Calibri"/>
      <w:sz w:val="20"/>
      <w:szCs w:val="20"/>
    </w:rPr>
  </w:style>
  <w:style w:type="character" w:styleId="EndnoteReference">
    <w:name w:val="endnote reference"/>
    <w:basedOn w:val="DefaultParagraphFont"/>
    <w:uiPriority w:val="99"/>
    <w:unhideWhenUsed/>
    <w:rsid w:val="00837945"/>
    <w:rPr>
      <w:vertAlign w:val="superscript"/>
    </w:rPr>
  </w:style>
  <w:style w:type="paragraph" w:styleId="Footer">
    <w:name w:val="footer"/>
    <w:basedOn w:val="Normal"/>
    <w:link w:val="FooterChar"/>
    <w:uiPriority w:val="99"/>
    <w:unhideWhenUsed/>
    <w:rsid w:val="007021C9"/>
    <w:pPr>
      <w:tabs>
        <w:tab w:val="center" w:pos="4513"/>
        <w:tab w:val="right" w:pos="9026"/>
      </w:tabs>
    </w:pPr>
    <w:rPr>
      <w:rFonts w:asciiTheme="minorHAnsi" w:hAnsiTheme="minorHAnsi" w:cstheme="minorBidi"/>
    </w:rPr>
  </w:style>
  <w:style w:type="character" w:customStyle="1" w:styleId="FooterChar">
    <w:name w:val="Footer Char"/>
    <w:basedOn w:val="DefaultParagraphFont"/>
    <w:link w:val="Footer"/>
    <w:uiPriority w:val="99"/>
    <w:rsid w:val="007021C9"/>
  </w:style>
  <w:style w:type="paragraph" w:styleId="NoSpacing">
    <w:name w:val="No Spacing"/>
    <w:uiPriority w:val="1"/>
    <w:qFormat/>
    <w:rsid w:val="007021C9"/>
    <w:pPr>
      <w:spacing w:after="0" w:line="240" w:lineRule="auto"/>
    </w:pPr>
    <w:rPr>
      <w:rFonts w:ascii="Calibri" w:hAnsi="Calibri" w:cs="Calibri"/>
    </w:rPr>
  </w:style>
  <w:style w:type="paragraph" w:styleId="Header">
    <w:name w:val="header"/>
    <w:basedOn w:val="Normal"/>
    <w:link w:val="HeaderChar"/>
    <w:uiPriority w:val="99"/>
    <w:unhideWhenUsed/>
    <w:rsid w:val="00835C0B"/>
    <w:pPr>
      <w:tabs>
        <w:tab w:val="center" w:pos="4513"/>
        <w:tab w:val="right" w:pos="9026"/>
      </w:tabs>
    </w:pPr>
  </w:style>
  <w:style w:type="character" w:customStyle="1" w:styleId="HeaderChar">
    <w:name w:val="Header Char"/>
    <w:basedOn w:val="DefaultParagraphFont"/>
    <w:link w:val="Header"/>
    <w:uiPriority w:val="99"/>
    <w:rsid w:val="00835C0B"/>
    <w:rPr>
      <w:rFonts w:ascii="Calibri" w:hAnsi="Calibri" w:cs="Calibri"/>
    </w:rPr>
  </w:style>
  <w:style w:type="character" w:styleId="UnresolvedMention">
    <w:name w:val="Unresolved Mention"/>
    <w:basedOn w:val="DefaultParagraphFont"/>
    <w:uiPriority w:val="99"/>
    <w:semiHidden/>
    <w:unhideWhenUsed/>
    <w:rsid w:val="0035449E"/>
    <w:rPr>
      <w:color w:val="605E5C"/>
      <w:shd w:val="clear" w:color="auto" w:fill="E1DFDD"/>
    </w:rPr>
  </w:style>
  <w:style w:type="character" w:styleId="FollowedHyperlink">
    <w:name w:val="FollowedHyperlink"/>
    <w:basedOn w:val="DefaultParagraphFont"/>
    <w:uiPriority w:val="99"/>
    <w:semiHidden/>
    <w:unhideWhenUsed/>
    <w:rsid w:val="00224E08"/>
    <w:rPr>
      <w:color w:val="954F72" w:themeColor="followedHyperlink"/>
      <w:u w:val="single"/>
    </w:rPr>
  </w:style>
  <w:style w:type="paragraph" w:customStyle="1" w:styleId="numbered-paragraph">
    <w:name w:val="numbered-paragraph"/>
    <w:basedOn w:val="Normal"/>
    <w:rsid w:val="005C4DBB"/>
    <w:pPr>
      <w:spacing w:before="100" w:beforeAutospacing="1" w:after="100" w:afterAutospacing="1"/>
    </w:pPr>
    <w:rPr>
      <w:rFonts w:eastAsia="Times New Roman"/>
      <w:lang w:eastAsia="en-GB"/>
    </w:rPr>
  </w:style>
  <w:style w:type="paragraph" w:customStyle="1" w:styleId="Default">
    <w:name w:val="Default"/>
    <w:rsid w:val="00372FD7"/>
    <w:pPr>
      <w:autoSpaceDE w:val="0"/>
      <w:autoSpaceDN w:val="0"/>
      <w:adjustRightInd w:val="0"/>
      <w:spacing w:after="0" w:line="240" w:lineRule="auto"/>
    </w:pPr>
    <w:rPr>
      <w:rFonts w:ascii="Arial" w:hAnsi="Arial" w:cs="Arial"/>
      <w:color w:val="000000"/>
      <w:sz w:val="24"/>
      <w:szCs w:val="24"/>
    </w:rPr>
  </w:style>
  <w:style w:type="character" w:customStyle="1" w:styleId="normaltextrun">
    <w:name w:val="normaltextrun"/>
    <w:basedOn w:val="DefaultParagraphFont"/>
    <w:rsid w:val="0038207F"/>
  </w:style>
  <w:style w:type="character" w:customStyle="1" w:styleId="superscript">
    <w:name w:val="superscript"/>
    <w:basedOn w:val="DefaultParagraphFont"/>
    <w:rsid w:val="0038207F"/>
  </w:style>
  <w:style w:type="character" w:customStyle="1" w:styleId="eop">
    <w:name w:val="eop"/>
    <w:basedOn w:val="DefaultParagraphFont"/>
    <w:rsid w:val="0038207F"/>
  </w:style>
  <w:style w:type="paragraph" w:customStyle="1" w:styleId="paragraph0">
    <w:name w:val="paragraph"/>
    <w:basedOn w:val="Normal"/>
    <w:rsid w:val="006E2EBE"/>
    <w:pPr>
      <w:spacing w:before="100" w:beforeAutospacing="1" w:after="100" w:afterAutospacing="1"/>
    </w:pPr>
    <w:rPr>
      <w:rFonts w:ascii="Times New Roman" w:eastAsia="Times New Roman" w:hAnsi="Times New Roman" w:cs="Times New Roman"/>
      <w:sz w:val="24"/>
      <w:szCs w:val="24"/>
      <w:lang w:eastAsia="en-GB"/>
    </w:rPr>
  </w:style>
  <w:style w:type="paragraph" w:styleId="Revision">
    <w:name w:val="Revision"/>
    <w:hidden/>
    <w:uiPriority w:val="99"/>
    <w:semiHidden/>
    <w:rsid w:val="00293B05"/>
    <w:pPr>
      <w:spacing w:after="0" w:line="240" w:lineRule="auto"/>
    </w:pPr>
    <w:rPr>
      <w:rFonts w:ascii="Calibri" w:hAnsi="Calibri" w:cs="Calibri"/>
    </w:rPr>
  </w:style>
  <w:style w:type="paragraph" w:customStyle="1" w:styleId="Paragraph">
    <w:name w:val="Paragraph"/>
    <w:basedOn w:val="Normal"/>
    <w:uiPriority w:val="4"/>
    <w:qFormat/>
    <w:rsid w:val="0065435C"/>
    <w:pPr>
      <w:numPr>
        <w:numId w:val="1"/>
      </w:numPr>
      <w:spacing w:before="240" w:after="240" w:line="276" w:lineRule="auto"/>
    </w:pPr>
    <w:rPr>
      <w:rFonts w:ascii="Arial" w:eastAsia="Times New Roman" w:hAnsi="Arial" w:cs="Times New Roman"/>
      <w:sz w:val="24"/>
      <w:szCs w:val="24"/>
      <w:lang w:eastAsia="en-GB"/>
    </w:rPr>
  </w:style>
  <w:style w:type="paragraph" w:styleId="Title">
    <w:name w:val="Title"/>
    <w:basedOn w:val="Normal"/>
    <w:next w:val="Heading1"/>
    <w:link w:val="TitleChar"/>
    <w:qFormat/>
    <w:rsid w:val="0065435C"/>
    <w:pPr>
      <w:spacing w:before="240" w:after="240"/>
      <w:jc w:val="center"/>
      <w:outlineLvl w:val="0"/>
    </w:pPr>
    <w:rPr>
      <w:rFonts w:ascii="Arial" w:eastAsia="Times New Roman" w:hAnsi="Arial" w:cs="Times New Roman"/>
      <w:b/>
      <w:bCs/>
      <w:kern w:val="28"/>
      <w:sz w:val="32"/>
      <w:szCs w:val="32"/>
      <w:lang w:val="x-none" w:eastAsia="x-none"/>
    </w:rPr>
  </w:style>
  <w:style w:type="character" w:customStyle="1" w:styleId="TitleChar">
    <w:name w:val="Title Char"/>
    <w:basedOn w:val="DefaultParagraphFont"/>
    <w:link w:val="Title"/>
    <w:rsid w:val="0065435C"/>
    <w:rPr>
      <w:rFonts w:ascii="Arial" w:eastAsia="Times New Roman" w:hAnsi="Arial" w:cs="Times New Roman"/>
      <w:b/>
      <w:bCs/>
      <w:kern w:val="28"/>
      <w:sz w:val="32"/>
      <w:szCs w:val="32"/>
      <w:lang w:val="x-none" w:eastAsia="x-none"/>
    </w:rPr>
  </w:style>
  <w:style w:type="paragraph" w:customStyle="1" w:styleId="Subbullets">
    <w:name w:val="Sub bullets"/>
    <w:basedOn w:val="Normal"/>
    <w:uiPriority w:val="6"/>
    <w:qFormat/>
    <w:rsid w:val="0065435C"/>
    <w:pPr>
      <w:numPr>
        <w:numId w:val="2"/>
      </w:numPr>
      <w:spacing w:line="276" w:lineRule="auto"/>
      <w:ind w:left="1418" w:hanging="284"/>
    </w:pPr>
    <w:rPr>
      <w:rFonts w:ascii="Arial" w:eastAsia="Times New Roman" w:hAnsi="Arial" w:cs="Times New Roman"/>
      <w:sz w:val="24"/>
      <w:szCs w:val="24"/>
      <w:lang w:eastAsia="en-GB"/>
    </w:rPr>
  </w:style>
  <w:style w:type="paragraph" w:customStyle="1" w:styleId="Paragraphnonumbers">
    <w:name w:val="Paragraph no numbers"/>
    <w:basedOn w:val="Normal"/>
    <w:uiPriority w:val="99"/>
    <w:qFormat/>
    <w:rsid w:val="0065435C"/>
    <w:pPr>
      <w:spacing w:before="240" w:after="240" w:line="276" w:lineRule="auto"/>
    </w:pPr>
    <w:rPr>
      <w:rFonts w:ascii="Arial" w:eastAsia="Times New Roman" w:hAnsi="Arial" w:cs="Times New Roman"/>
      <w:sz w:val="24"/>
      <w:szCs w:val="24"/>
      <w:lang w:eastAsia="en-GB"/>
    </w:rPr>
  </w:style>
  <w:style w:type="table" w:styleId="TableGrid">
    <w:name w:val="Table Grid"/>
    <w:basedOn w:val="TableNormal"/>
    <w:rsid w:val="0065435C"/>
    <w:pPr>
      <w:spacing w:after="0" w:line="240" w:lineRule="auto"/>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AHeading">
    <w:name w:val="toa heading"/>
    <w:basedOn w:val="Normal"/>
    <w:next w:val="Normal"/>
    <w:semiHidden/>
    <w:rsid w:val="0065435C"/>
    <w:pPr>
      <w:spacing w:before="120"/>
    </w:pPr>
    <w:rPr>
      <w:rFonts w:ascii="Arial" w:eastAsia="Times New Roman" w:hAnsi="Arial" w:cs="Times New Roman"/>
      <w:b/>
      <w:bCs/>
      <w:sz w:val="24"/>
      <w:szCs w:val="24"/>
      <w:lang w:eastAsia="en-GB"/>
    </w:rPr>
  </w:style>
  <w:style w:type="paragraph" w:customStyle="1" w:styleId="NICEnormal">
    <w:name w:val="NICE normal"/>
    <w:link w:val="NICEnormalChar"/>
    <w:rsid w:val="0065435C"/>
    <w:pPr>
      <w:spacing w:after="240" w:line="360" w:lineRule="auto"/>
    </w:pPr>
    <w:rPr>
      <w:rFonts w:ascii="Arial" w:eastAsia="Times New Roman" w:hAnsi="Arial" w:cs="Times New Roman"/>
      <w:sz w:val="24"/>
      <w:szCs w:val="24"/>
    </w:rPr>
  </w:style>
  <w:style w:type="character" w:customStyle="1" w:styleId="NICEnormalChar">
    <w:name w:val="NICE normal Char"/>
    <w:link w:val="NICEnormal"/>
    <w:locked/>
    <w:rsid w:val="0065435C"/>
    <w:rPr>
      <w:rFonts w:ascii="Arial" w:eastAsia="Times New Roman" w:hAnsi="Arial" w:cs="Times New Roman"/>
      <w:sz w:val="24"/>
      <w:szCs w:val="24"/>
    </w:rPr>
  </w:style>
  <w:style w:type="paragraph" w:customStyle="1" w:styleId="NICEnormalindented">
    <w:name w:val="NICE normal indented"/>
    <w:basedOn w:val="NICEnormal"/>
    <w:rsid w:val="0065435C"/>
    <w:pPr>
      <w:tabs>
        <w:tab w:val="left" w:pos="1134"/>
      </w:tabs>
      <w:ind w:left="1134"/>
    </w:pPr>
  </w:style>
  <w:style w:type="paragraph" w:customStyle="1" w:styleId="Numberedheading1">
    <w:name w:val="Numbered heading 1"/>
    <w:basedOn w:val="Heading1"/>
    <w:rsid w:val="0065435C"/>
    <w:pPr>
      <w:keepLines w:val="0"/>
      <w:tabs>
        <w:tab w:val="num" w:pos="1134"/>
      </w:tabs>
      <w:spacing w:after="120" w:line="360" w:lineRule="auto"/>
      <w:ind w:left="1134" w:hanging="1134"/>
    </w:pPr>
    <w:rPr>
      <w:rFonts w:ascii="Arial" w:eastAsia="Times New Roman" w:hAnsi="Arial" w:cs="Arial"/>
      <w:b/>
      <w:bCs/>
      <w:color w:val="auto"/>
      <w:kern w:val="32"/>
      <w:szCs w:val="24"/>
      <w:lang w:val="x-none"/>
    </w:rPr>
  </w:style>
  <w:style w:type="paragraph" w:customStyle="1" w:styleId="Numberedheading2">
    <w:name w:val="Numbered heading 2"/>
    <w:basedOn w:val="Heading2"/>
    <w:next w:val="Normal"/>
    <w:rsid w:val="0065435C"/>
    <w:pPr>
      <w:keepLines w:val="0"/>
      <w:numPr>
        <w:ilvl w:val="1"/>
        <w:numId w:val="3"/>
      </w:numPr>
      <w:spacing w:before="240" w:after="60" w:line="360" w:lineRule="auto"/>
    </w:pPr>
    <w:rPr>
      <w:rFonts w:ascii="Arial" w:eastAsia="Times New Roman" w:hAnsi="Arial" w:cs="Arial"/>
      <w:b/>
      <w:bCs/>
      <w:i/>
      <w:iCs/>
      <w:color w:val="auto"/>
      <w:sz w:val="28"/>
      <w:szCs w:val="28"/>
      <w:lang w:val="x-none"/>
    </w:rPr>
  </w:style>
  <w:style w:type="paragraph" w:customStyle="1" w:styleId="Numberedheading3">
    <w:name w:val="Numbered heading 3"/>
    <w:basedOn w:val="Heading3"/>
    <w:next w:val="Normal"/>
    <w:rsid w:val="0065435C"/>
    <w:pPr>
      <w:keepLines w:val="0"/>
      <w:numPr>
        <w:ilvl w:val="2"/>
        <w:numId w:val="3"/>
      </w:numPr>
      <w:spacing w:before="240" w:after="60" w:line="360" w:lineRule="auto"/>
    </w:pPr>
    <w:rPr>
      <w:rFonts w:ascii="Arial" w:eastAsia="Times New Roman" w:hAnsi="Arial" w:cs="Arial"/>
      <w:b/>
      <w:bCs/>
      <w:color w:val="auto"/>
      <w:sz w:val="26"/>
      <w:lang w:val="x-none"/>
    </w:rPr>
  </w:style>
  <w:style w:type="paragraph" w:customStyle="1" w:styleId="Numberedlevel4text">
    <w:name w:val="Numbered level 4 text"/>
    <w:basedOn w:val="Normal"/>
    <w:next w:val="Normal"/>
    <w:rsid w:val="0065435C"/>
    <w:pPr>
      <w:numPr>
        <w:ilvl w:val="3"/>
        <w:numId w:val="3"/>
      </w:numPr>
      <w:spacing w:after="240" w:line="360" w:lineRule="auto"/>
    </w:pPr>
    <w:rPr>
      <w:rFonts w:ascii="Arial" w:eastAsia="Times New Roman" w:hAnsi="Arial" w:cs="Times New Roman"/>
      <w:sz w:val="24"/>
      <w:szCs w:val="24"/>
    </w:rPr>
  </w:style>
  <w:style w:type="paragraph" w:customStyle="1" w:styleId="Numberedlevel3text">
    <w:name w:val="Numbered level 3 text"/>
    <w:basedOn w:val="Numberedheading3"/>
    <w:qFormat/>
    <w:rsid w:val="0065435C"/>
    <w:pPr>
      <w:keepNext w:val="0"/>
      <w:spacing w:before="0" w:after="240"/>
    </w:pPr>
    <w:rPr>
      <w:b w:val="0"/>
      <w:sz w:val="24"/>
    </w:rPr>
  </w:style>
  <w:style w:type="paragraph" w:styleId="BodyText">
    <w:name w:val="Body Text"/>
    <w:basedOn w:val="Normal"/>
    <w:link w:val="BodyTextChar"/>
    <w:semiHidden/>
    <w:unhideWhenUsed/>
    <w:qFormat/>
    <w:rsid w:val="0065435C"/>
    <w:pPr>
      <w:spacing w:after="240"/>
    </w:pPr>
    <w:rPr>
      <w:rFonts w:asciiTheme="minorHAnsi" w:hAnsiTheme="minorHAnsi" w:cstheme="minorBidi"/>
      <w:sz w:val="24"/>
      <w:szCs w:val="24"/>
    </w:rPr>
  </w:style>
  <w:style w:type="character" w:customStyle="1" w:styleId="BodyTextChar">
    <w:name w:val="Body Text Char"/>
    <w:basedOn w:val="DefaultParagraphFont"/>
    <w:link w:val="BodyText"/>
    <w:semiHidden/>
    <w:rsid w:val="0065435C"/>
    <w:rPr>
      <w:sz w:val="24"/>
      <w:szCs w:val="24"/>
    </w:rPr>
  </w:style>
  <w:style w:type="character" w:customStyle="1" w:styleId="EndNoteBibliographyChar">
    <w:name w:val="EndNote Bibliography Char"/>
    <w:basedOn w:val="DefaultParagraphFont"/>
    <w:link w:val="EndNoteBibliography"/>
    <w:locked/>
    <w:rsid w:val="0065435C"/>
    <w:rPr>
      <w:rFonts w:ascii="Arial" w:hAnsi="Arial" w:cs="Arial"/>
      <w:noProof/>
      <w:szCs w:val="24"/>
      <w:lang w:val="en-US"/>
    </w:rPr>
  </w:style>
  <w:style w:type="paragraph" w:customStyle="1" w:styleId="EndNoteBibliography">
    <w:name w:val="EndNote Bibliography"/>
    <w:basedOn w:val="Normal"/>
    <w:link w:val="EndNoteBibliographyChar"/>
    <w:rsid w:val="0065435C"/>
    <w:pPr>
      <w:spacing w:after="120"/>
    </w:pPr>
    <w:rPr>
      <w:rFonts w:ascii="Arial" w:hAnsi="Arial" w:cs="Arial"/>
      <w:noProof/>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897625">
      <w:bodyDiv w:val="1"/>
      <w:marLeft w:val="0"/>
      <w:marRight w:val="0"/>
      <w:marTop w:val="0"/>
      <w:marBottom w:val="0"/>
      <w:divBdr>
        <w:top w:val="none" w:sz="0" w:space="0" w:color="auto"/>
        <w:left w:val="none" w:sz="0" w:space="0" w:color="auto"/>
        <w:bottom w:val="none" w:sz="0" w:space="0" w:color="auto"/>
        <w:right w:val="none" w:sz="0" w:space="0" w:color="auto"/>
      </w:divBdr>
      <w:divsChild>
        <w:div w:id="1622876826">
          <w:marLeft w:val="446"/>
          <w:marRight w:val="0"/>
          <w:marTop w:val="120"/>
          <w:marBottom w:val="0"/>
          <w:divBdr>
            <w:top w:val="none" w:sz="0" w:space="0" w:color="auto"/>
            <w:left w:val="none" w:sz="0" w:space="0" w:color="auto"/>
            <w:bottom w:val="none" w:sz="0" w:space="0" w:color="auto"/>
            <w:right w:val="none" w:sz="0" w:space="0" w:color="auto"/>
          </w:divBdr>
        </w:div>
      </w:divsChild>
    </w:div>
    <w:div w:id="202405722">
      <w:bodyDiv w:val="1"/>
      <w:marLeft w:val="0"/>
      <w:marRight w:val="0"/>
      <w:marTop w:val="0"/>
      <w:marBottom w:val="0"/>
      <w:divBdr>
        <w:top w:val="none" w:sz="0" w:space="0" w:color="auto"/>
        <w:left w:val="none" w:sz="0" w:space="0" w:color="auto"/>
        <w:bottom w:val="none" w:sz="0" w:space="0" w:color="auto"/>
        <w:right w:val="none" w:sz="0" w:space="0" w:color="auto"/>
      </w:divBdr>
    </w:div>
    <w:div w:id="205681250">
      <w:bodyDiv w:val="1"/>
      <w:marLeft w:val="0"/>
      <w:marRight w:val="0"/>
      <w:marTop w:val="0"/>
      <w:marBottom w:val="0"/>
      <w:divBdr>
        <w:top w:val="none" w:sz="0" w:space="0" w:color="auto"/>
        <w:left w:val="none" w:sz="0" w:space="0" w:color="auto"/>
        <w:bottom w:val="none" w:sz="0" w:space="0" w:color="auto"/>
        <w:right w:val="none" w:sz="0" w:space="0" w:color="auto"/>
      </w:divBdr>
      <w:divsChild>
        <w:div w:id="1998680779">
          <w:marLeft w:val="274"/>
          <w:marRight w:val="0"/>
          <w:marTop w:val="0"/>
          <w:marBottom w:val="0"/>
          <w:divBdr>
            <w:top w:val="none" w:sz="0" w:space="0" w:color="auto"/>
            <w:left w:val="none" w:sz="0" w:space="0" w:color="auto"/>
            <w:bottom w:val="none" w:sz="0" w:space="0" w:color="auto"/>
            <w:right w:val="none" w:sz="0" w:space="0" w:color="auto"/>
          </w:divBdr>
        </w:div>
      </w:divsChild>
    </w:div>
    <w:div w:id="281235066">
      <w:bodyDiv w:val="1"/>
      <w:marLeft w:val="0"/>
      <w:marRight w:val="0"/>
      <w:marTop w:val="0"/>
      <w:marBottom w:val="0"/>
      <w:divBdr>
        <w:top w:val="none" w:sz="0" w:space="0" w:color="auto"/>
        <w:left w:val="none" w:sz="0" w:space="0" w:color="auto"/>
        <w:bottom w:val="none" w:sz="0" w:space="0" w:color="auto"/>
        <w:right w:val="none" w:sz="0" w:space="0" w:color="auto"/>
      </w:divBdr>
    </w:div>
    <w:div w:id="409156231">
      <w:bodyDiv w:val="1"/>
      <w:marLeft w:val="0"/>
      <w:marRight w:val="0"/>
      <w:marTop w:val="0"/>
      <w:marBottom w:val="0"/>
      <w:divBdr>
        <w:top w:val="none" w:sz="0" w:space="0" w:color="auto"/>
        <w:left w:val="none" w:sz="0" w:space="0" w:color="auto"/>
        <w:bottom w:val="none" w:sz="0" w:space="0" w:color="auto"/>
        <w:right w:val="none" w:sz="0" w:space="0" w:color="auto"/>
      </w:divBdr>
    </w:div>
    <w:div w:id="507529128">
      <w:bodyDiv w:val="1"/>
      <w:marLeft w:val="0"/>
      <w:marRight w:val="0"/>
      <w:marTop w:val="0"/>
      <w:marBottom w:val="0"/>
      <w:divBdr>
        <w:top w:val="none" w:sz="0" w:space="0" w:color="auto"/>
        <w:left w:val="none" w:sz="0" w:space="0" w:color="auto"/>
        <w:bottom w:val="none" w:sz="0" w:space="0" w:color="auto"/>
        <w:right w:val="none" w:sz="0" w:space="0" w:color="auto"/>
      </w:divBdr>
    </w:div>
    <w:div w:id="720321409">
      <w:bodyDiv w:val="1"/>
      <w:marLeft w:val="0"/>
      <w:marRight w:val="0"/>
      <w:marTop w:val="0"/>
      <w:marBottom w:val="0"/>
      <w:divBdr>
        <w:top w:val="none" w:sz="0" w:space="0" w:color="auto"/>
        <w:left w:val="none" w:sz="0" w:space="0" w:color="auto"/>
        <w:bottom w:val="none" w:sz="0" w:space="0" w:color="auto"/>
        <w:right w:val="none" w:sz="0" w:space="0" w:color="auto"/>
      </w:divBdr>
    </w:div>
    <w:div w:id="738095058">
      <w:bodyDiv w:val="1"/>
      <w:marLeft w:val="0"/>
      <w:marRight w:val="0"/>
      <w:marTop w:val="0"/>
      <w:marBottom w:val="0"/>
      <w:divBdr>
        <w:top w:val="none" w:sz="0" w:space="0" w:color="auto"/>
        <w:left w:val="none" w:sz="0" w:space="0" w:color="auto"/>
        <w:bottom w:val="none" w:sz="0" w:space="0" w:color="auto"/>
        <w:right w:val="none" w:sz="0" w:space="0" w:color="auto"/>
      </w:divBdr>
    </w:div>
    <w:div w:id="786656524">
      <w:bodyDiv w:val="1"/>
      <w:marLeft w:val="0"/>
      <w:marRight w:val="0"/>
      <w:marTop w:val="0"/>
      <w:marBottom w:val="0"/>
      <w:divBdr>
        <w:top w:val="none" w:sz="0" w:space="0" w:color="auto"/>
        <w:left w:val="none" w:sz="0" w:space="0" w:color="auto"/>
        <w:bottom w:val="none" w:sz="0" w:space="0" w:color="auto"/>
        <w:right w:val="none" w:sz="0" w:space="0" w:color="auto"/>
      </w:divBdr>
    </w:div>
    <w:div w:id="799613667">
      <w:bodyDiv w:val="1"/>
      <w:marLeft w:val="0"/>
      <w:marRight w:val="0"/>
      <w:marTop w:val="0"/>
      <w:marBottom w:val="0"/>
      <w:divBdr>
        <w:top w:val="none" w:sz="0" w:space="0" w:color="auto"/>
        <w:left w:val="none" w:sz="0" w:space="0" w:color="auto"/>
        <w:bottom w:val="none" w:sz="0" w:space="0" w:color="auto"/>
        <w:right w:val="none" w:sz="0" w:space="0" w:color="auto"/>
      </w:divBdr>
    </w:div>
    <w:div w:id="944535547">
      <w:bodyDiv w:val="1"/>
      <w:marLeft w:val="0"/>
      <w:marRight w:val="0"/>
      <w:marTop w:val="0"/>
      <w:marBottom w:val="0"/>
      <w:divBdr>
        <w:top w:val="none" w:sz="0" w:space="0" w:color="auto"/>
        <w:left w:val="none" w:sz="0" w:space="0" w:color="auto"/>
        <w:bottom w:val="none" w:sz="0" w:space="0" w:color="auto"/>
        <w:right w:val="none" w:sz="0" w:space="0" w:color="auto"/>
      </w:divBdr>
      <w:divsChild>
        <w:div w:id="923338427">
          <w:marLeft w:val="0"/>
          <w:marRight w:val="0"/>
          <w:marTop w:val="0"/>
          <w:marBottom w:val="0"/>
          <w:divBdr>
            <w:top w:val="none" w:sz="0" w:space="0" w:color="auto"/>
            <w:left w:val="none" w:sz="0" w:space="0" w:color="auto"/>
            <w:bottom w:val="none" w:sz="0" w:space="0" w:color="auto"/>
            <w:right w:val="none" w:sz="0" w:space="0" w:color="auto"/>
          </w:divBdr>
          <w:divsChild>
            <w:div w:id="1594900876">
              <w:marLeft w:val="0"/>
              <w:marRight w:val="0"/>
              <w:marTop w:val="0"/>
              <w:marBottom w:val="0"/>
              <w:divBdr>
                <w:top w:val="none" w:sz="0" w:space="0" w:color="auto"/>
                <w:left w:val="none" w:sz="0" w:space="0" w:color="auto"/>
                <w:bottom w:val="none" w:sz="0" w:space="0" w:color="auto"/>
                <w:right w:val="none" w:sz="0" w:space="0" w:color="auto"/>
              </w:divBdr>
              <w:divsChild>
                <w:div w:id="1018892325">
                  <w:marLeft w:val="0"/>
                  <w:marRight w:val="0"/>
                  <w:marTop w:val="0"/>
                  <w:marBottom w:val="0"/>
                  <w:divBdr>
                    <w:top w:val="none" w:sz="0" w:space="0" w:color="auto"/>
                    <w:left w:val="none" w:sz="0" w:space="0" w:color="auto"/>
                    <w:bottom w:val="none" w:sz="0" w:space="0" w:color="auto"/>
                    <w:right w:val="none" w:sz="0" w:space="0" w:color="auto"/>
                  </w:divBdr>
                  <w:divsChild>
                    <w:div w:id="780421557">
                      <w:marLeft w:val="0"/>
                      <w:marRight w:val="0"/>
                      <w:marTop w:val="0"/>
                      <w:marBottom w:val="0"/>
                      <w:divBdr>
                        <w:top w:val="none" w:sz="0" w:space="0" w:color="auto"/>
                        <w:left w:val="none" w:sz="0" w:space="0" w:color="auto"/>
                        <w:bottom w:val="none" w:sz="0" w:space="0" w:color="auto"/>
                        <w:right w:val="none" w:sz="0" w:space="0" w:color="auto"/>
                      </w:divBdr>
                      <w:divsChild>
                        <w:div w:id="13915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7075515">
      <w:bodyDiv w:val="1"/>
      <w:marLeft w:val="0"/>
      <w:marRight w:val="0"/>
      <w:marTop w:val="0"/>
      <w:marBottom w:val="0"/>
      <w:divBdr>
        <w:top w:val="none" w:sz="0" w:space="0" w:color="auto"/>
        <w:left w:val="none" w:sz="0" w:space="0" w:color="auto"/>
        <w:bottom w:val="none" w:sz="0" w:space="0" w:color="auto"/>
        <w:right w:val="none" w:sz="0" w:space="0" w:color="auto"/>
      </w:divBdr>
    </w:div>
    <w:div w:id="1123645863">
      <w:bodyDiv w:val="1"/>
      <w:marLeft w:val="0"/>
      <w:marRight w:val="0"/>
      <w:marTop w:val="0"/>
      <w:marBottom w:val="0"/>
      <w:divBdr>
        <w:top w:val="none" w:sz="0" w:space="0" w:color="auto"/>
        <w:left w:val="none" w:sz="0" w:space="0" w:color="auto"/>
        <w:bottom w:val="none" w:sz="0" w:space="0" w:color="auto"/>
        <w:right w:val="none" w:sz="0" w:space="0" w:color="auto"/>
      </w:divBdr>
    </w:div>
    <w:div w:id="1416396275">
      <w:bodyDiv w:val="1"/>
      <w:marLeft w:val="0"/>
      <w:marRight w:val="0"/>
      <w:marTop w:val="0"/>
      <w:marBottom w:val="0"/>
      <w:divBdr>
        <w:top w:val="none" w:sz="0" w:space="0" w:color="auto"/>
        <w:left w:val="none" w:sz="0" w:space="0" w:color="auto"/>
        <w:bottom w:val="none" w:sz="0" w:space="0" w:color="auto"/>
        <w:right w:val="none" w:sz="0" w:space="0" w:color="auto"/>
      </w:divBdr>
    </w:div>
    <w:div w:id="1486782060">
      <w:bodyDiv w:val="1"/>
      <w:marLeft w:val="0"/>
      <w:marRight w:val="0"/>
      <w:marTop w:val="0"/>
      <w:marBottom w:val="0"/>
      <w:divBdr>
        <w:top w:val="none" w:sz="0" w:space="0" w:color="auto"/>
        <w:left w:val="none" w:sz="0" w:space="0" w:color="auto"/>
        <w:bottom w:val="none" w:sz="0" w:space="0" w:color="auto"/>
        <w:right w:val="none" w:sz="0" w:space="0" w:color="auto"/>
      </w:divBdr>
    </w:div>
    <w:div w:id="1519201605">
      <w:bodyDiv w:val="1"/>
      <w:marLeft w:val="0"/>
      <w:marRight w:val="0"/>
      <w:marTop w:val="0"/>
      <w:marBottom w:val="0"/>
      <w:divBdr>
        <w:top w:val="none" w:sz="0" w:space="0" w:color="auto"/>
        <w:left w:val="none" w:sz="0" w:space="0" w:color="auto"/>
        <w:bottom w:val="none" w:sz="0" w:space="0" w:color="auto"/>
        <w:right w:val="none" w:sz="0" w:space="0" w:color="auto"/>
      </w:divBdr>
      <w:divsChild>
        <w:div w:id="756946497">
          <w:marLeft w:val="0"/>
          <w:marRight w:val="0"/>
          <w:marTop w:val="0"/>
          <w:marBottom w:val="0"/>
          <w:divBdr>
            <w:top w:val="none" w:sz="0" w:space="0" w:color="auto"/>
            <w:left w:val="none" w:sz="0" w:space="0" w:color="auto"/>
            <w:bottom w:val="none" w:sz="0" w:space="0" w:color="auto"/>
            <w:right w:val="none" w:sz="0" w:space="0" w:color="auto"/>
          </w:divBdr>
        </w:div>
      </w:divsChild>
    </w:div>
    <w:div w:id="1556812023">
      <w:bodyDiv w:val="1"/>
      <w:marLeft w:val="0"/>
      <w:marRight w:val="0"/>
      <w:marTop w:val="0"/>
      <w:marBottom w:val="0"/>
      <w:divBdr>
        <w:top w:val="none" w:sz="0" w:space="0" w:color="auto"/>
        <w:left w:val="none" w:sz="0" w:space="0" w:color="auto"/>
        <w:bottom w:val="none" w:sz="0" w:space="0" w:color="auto"/>
        <w:right w:val="none" w:sz="0" w:space="0" w:color="auto"/>
      </w:divBdr>
    </w:div>
    <w:div w:id="1652370841">
      <w:bodyDiv w:val="1"/>
      <w:marLeft w:val="0"/>
      <w:marRight w:val="0"/>
      <w:marTop w:val="0"/>
      <w:marBottom w:val="0"/>
      <w:divBdr>
        <w:top w:val="none" w:sz="0" w:space="0" w:color="auto"/>
        <w:left w:val="none" w:sz="0" w:space="0" w:color="auto"/>
        <w:bottom w:val="none" w:sz="0" w:space="0" w:color="auto"/>
        <w:right w:val="none" w:sz="0" w:space="0" w:color="auto"/>
      </w:divBdr>
    </w:div>
    <w:div w:id="1686521765">
      <w:bodyDiv w:val="1"/>
      <w:marLeft w:val="0"/>
      <w:marRight w:val="0"/>
      <w:marTop w:val="0"/>
      <w:marBottom w:val="0"/>
      <w:divBdr>
        <w:top w:val="none" w:sz="0" w:space="0" w:color="auto"/>
        <w:left w:val="none" w:sz="0" w:space="0" w:color="auto"/>
        <w:bottom w:val="none" w:sz="0" w:space="0" w:color="auto"/>
        <w:right w:val="none" w:sz="0" w:space="0" w:color="auto"/>
      </w:divBdr>
      <w:divsChild>
        <w:div w:id="682435289">
          <w:marLeft w:val="274"/>
          <w:marRight w:val="0"/>
          <w:marTop w:val="0"/>
          <w:marBottom w:val="0"/>
          <w:divBdr>
            <w:top w:val="none" w:sz="0" w:space="0" w:color="auto"/>
            <w:left w:val="none" w:sz="0" w:space="0" w:color="auto"/>
            <w:bottom w:val="none" w:sz="0" w:space="0" w:color="auto"/>
            <w:right w:val="none" w:sz="0" w:space="0" w:color="auto"/>
          </w:divBdr>
        </w:div>
      </w:divsChild>
    </w:div>
    <w:div w:id="1703439741">
      <w:bodyDiv w:val="1"/>
      <w:marLeft w:val="0"/>
      <w:marRight w:val="0"/>
      <w:marTop w:val="0"/>
      <w:marBottom w:val="0"/>
      <w:divBdr>
        <w:top w:val="none" w:sz="0" w:space="0" w:color="auto"/>
        <w:left w:val="none" w:sz="0" w:space="0" w:color="auto"/>
        <w:bottom w:val="none" w:sz="0" w:space="0" w:color="auto"/>
        <w:right w:val="none" w:sz="0" w:space="0" w:color="auto"/>
      </w:divBdr>
    </w:div>
    <w:div w:id="1704089568">
      <w:bodyDiv w:val="1"/>
      <w:marLeft w:val="0"/>
      <w:marRight w:val="0"/>
      <w:marTop w:val="0"/>
      <w:marBottom w:val="0"/>
      <w:divBdr>
        <w:top w:val="none" w:sz="0" w:space="0" w:color="auto"/>
        <w:left w:val="none" w:sz="0" w:space="0" w:color="auto"/>
        <w:bottom w:val="none" w:sz="0" w:space="0" w:color="auto"/>
        <w:right w:val="none" w:sz="0" w:space="0" w:color="auto"/>
      </w:divBdr>
    </w:div>
    <w:div w:id="1765151988">
      <w:bodyDiv w:val="1"/>
      <w:marLeft w:val="0"/>
      <w:marRight w:val="0"/>
      <w:marTop w:val="0"/>
      <w:marBottom w:val="0"/>
      <w:divBdr>
        <w:top w:val="none" w:sz="0" w:space="0" w:color="auto"/>
        <w:left w:val="none" w:sz="0" w:space="0" w:color="auto"/>
        <w:bottom w:val="none" w:sz="0" w:space="0" w:color="auto"/>
        <w:right w:val="none" w:sz="0" w:space="0" w:color="auto"/>
      </w:divBdr>
      <w:divsChild>
        <w:div w:id="131750464">
          <w:marLeft w:val="0"/>
          <w:marRight w:val="0"/>
          <w:marTop w:val="0"/>
          <w:marBottom w:val="0"/>
          <w:divBdr>
            <w:top w:val="none" w:sz="0" w:space="0" w:color="auto"/>
            <w:left w:val="none" w:sz="0" w:space="0" w:color="auto"/>
            <w:bottom w:val="none" w:sz="0" w:space="0" w:color="auto"/>
            <w:right w:val="none" w:sz="0" w:space="0" w:color="auto"/>
          </w:divBdr>
          <w:divsChild>
            <w:div w:id="667635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232965">
      <w:bodyDiv w:val="1"/>
      <w:marLeft w:val="0"/>
      <w:marRight w:val="0"/>
      <w:marTop w:val="0"/>
      <w:marBottom w:val="0"/>
      <w:divBdr>
        <w:top w:val="none" w:sz="0" w:space="0" w:color="auto"/>
        <w:left w:val="none" w:sz="0" w:space="0" w:color="auto"/>
        <w:bottom w:val="none" w:sz="0" w:space="0" w:color="auto"/>
        <w:right w:val="none" w:sz="0" w:space="0" w:color="auto"/>
      </w:divBdr>
    </w:div>
    <w:div w:id="1937324067">
      <w:bodyDiv w:val="1"/>
      <w:marLeft w:val="0"/>
      <w:marRight w:val="0"/>
      <w:marTop w:val="0"/>
      <w:marBottom w:val="0"/>
      <w:divBdr>
        <w:top w:val="none" w:sz="0" w:space="0" w:color="auto"/>
        <w:left w:val="none" w:sz="0" w:space="0" w:color="auto"/>
        <w:bottom w:val="none" w:sz="0" w:space="0" w:color="auto"/>
        <w:right w:val="none" w:sz="0" w:space="0" w:color="auto"/>
      </w:divBdr>
    </w:div>
    <w:div w:id="1977027182">
      <w:bodyDiv w:val="1"/>
      <w:marLeft w:val="0"/>
      <w:marRight w:val="0"/>
      <w:marTop w:val="0"/>
      <w:marBottom w:val="0"/>
      <w:divBdr>
        <w:top w:val="none" w:sz="0" w:space="0" w:color="auto"/>
        <w:left w:val="none" w:sz="0" w:space="0" w:color="auto"/>
        <w:bottom w:val="none" w:sz="0" w:space="0" w:color="auto"/>
        <w:right w:val="none" w:sz="0" w:space="0" w:color="auto"/>
      </w:divBdr>
    </w:div>
    <w:div w:id="1996103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oweb.org/wp-content/uploads/EAU-Guidelines-Non-muscle-invasive-Bladder-Cancer-TaT1-CIS-2018.pdf" TargetMode="External"/><Relationship Id="rId13" Type="http://schemas.openxmlformats.org/officeDocument/2006/relationships/hyperlink" Target="https://www.nice.org.uk/guidance/gid-ta10624/documents/committee-papers"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io.nihr.ac.uk/wp-content/uploads/migrated/Olaparib-Jan16.pdf"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ymphoma-action.org.uk/about-lymphoma-treatment-lymphoma/maintenance-therapy-including-rituximab-maintenance"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cancer.net/navigating-cancer-care/how-cancer-treated/understanding-maintenance-therapy"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uroweb.org/wp-content/uploads/EAU-MIBC-Guidelines-2018V2.pdf"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t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FEBDDA-A6A7-45FA-995A-025145927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8304</Words>
  <Characters>47336</Characters>
  <Application>Microsoft Office Word</Application>
  <DocSecurity>4</DocSecurity>
  <Lines>394</Lines>
  <Paragraphs>111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55529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Claudia Singer</dc:creator>
  <cp:lastModifiedBy>Lucinda Evans</cp:lastModifiedBy>
  <cp:revision>2</cp:revision>
  <dcterms:created xsi:type="dcterms:W3CDTF">2021-09-21T09:46:00Z</dcterms:created>
  <dcterms:modified xsi:type="dcterms:W3CDTF">2021-09-21T09:46:00Z</dcterms:modified>
</cp:coreProperties>
</file>