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049364C0" w:rsidR="00593F3D" w:rsidRPr="007155D0" w:rsidRDefault="00593F3D" w:rsidP="00593F3D">
      <w:pPr>
        <w:rPr>
          <w:rStyle w:val="Hyperlink"/>
          <w:rFonts w:ascii="Arial" w:hAnsi="Arial" w:cs="Arial"/>
          <w:color w:val="auto"/>
          <w:sz w:val="20"/>
          <w:szCs w:val="20"/>
        </w:rPr>
      </w:pPr>
      <w:r w:rsidRPr="00593F3D">
        <w:rPr>
          <w:rFonts w:ascii="Arial" w:hAnsi="Arial" w:cs="Arial"/>
          <w:sz w:val="20"/>
          <w:szCs w:val="20"/>
        </w:rPr>
        <w:t xml:space="preserve">Sent by e-mail only: </w:t>
      </w:r>
      <w:hyperlink r:id="rId8" w:history="1">
        <w:r w:rsidR="00543A01" w:rsidRPr="007155D0">
          <w:rPr>
            <w:rStyle w:val="Hyperlink"/>
            <w:color w:val="auto"/>
            <w:highlight w:val="black"/>
          </w:rPr>
          <w:t>XXXXXXXXXXXXXXXXXXXXXXXXXXXXXXXX</w:t>
        </w:r>
      </w:hyperlink>
      <w:r w:rsidR="006628FF" w:rsidRPr="007155D0">
        <w:t xml:space="preserve"> </w:t>
      </w:r>
    </w:p>
    <w:p w14:paraId="57CD5A9B" w14:textId="5F101F97" w:rsidR="009F0476" w:rsidRDefault="00543A01" w:rsidP="009F0476">
      <w:pPr>
        <w:spacing w:after="0" w:line="240" w:lineRule="auto"/>
        <w:rPr>
          <w:rFonts w:ascii="Arial" w:hAnsi="Arial" w:cs="Arial"/>
          <w:sz w:val="20"/>
          <w:szCs w:val="20"/>
        </w:rPr>
      </w:pPr>
      <w:r w:rsidRPr="00543A01">
        <w:rPr>
          <w:rFonts w:ascii="Arial" w:hAnsi="Arial" w:cs="Arial"/>
          <w:sz w:val="20"/>
          <w:szCs w:val="20"/>
          <w:highlight w:val="black"/>
        </w:rPr>
        <w:t>XXXXX</w:t>
      </w:r>
      <w:r w:rsidR="00866617" w:rsidRPr="00543A01">
        <w:rPr>
          <w:rFonts w:ascii="Arial" w:hAnsi="Arial" w:cs="Arial"/>
          <w:sz w:val="20"/>
          <w:szCs w:val="20"/>
          <w:highlight w:val="black"/>
        </w:rPr>
        <w:t xml:space="preserve"> </w:t>
      </w:r>
      <w:r w:rsidRPr="00543A01">
        <w:rPr>
          <w:rFonts w:ascii="Arial" w:hAnsi="Arial" w:cs="Arial"/>
          <w:sz w:val="20"/>
          <w:szCs w:val="20"/>
          <w:highlight w:val="black"/>
        </w:rPr>
        <w:t>XXXXXX</w:t>
      </w:r>
    </w:p>
    <w:p w14:paraId="0F0E92CF" w14:textId="6EAF03AC" w:rsidR="00866617" w:rsidRPr="009F0476" w:rsidRDefault="00A078CC" w:rsidP="009F0476">
      <w:pPr>
        <w:spacing w:after="0" w:line="240" w:lineRule="auto"/>
        <w:rPr>
          <w:rFonts w:ascii="Arial" w:hAnsi="Arial" w:cs="Arial"/>
          <w:sz w:val="20"/>
          <w:szCs w:val="20"/>
        </w:rPr>
      </w:pPr>
      <w:r>
        <w:rPr>
          <w:rFonts w:ascii="Arial" w:hAnsi="Arial" w:cs="Arial"/>
          <w:sz w:val="20"/>
          <w:szCs w:val="20"/>
        </w:rPr>
        <w:t>Chair</w:t>
      </w:r>
    </w:p>
    <w:p w14:paraId="1B3F0C3A" w14:textId="77777777" w:rsidR="009F0476" w:rsidRDefault="009F0476" w:rsidP="009F0476">
      <w:pPr>
        <w:spacing w:after="0" w:line="240" w:lineRule="auto"/>
        <w:rPr>
          <w:rFonts w:ascii="Arial" w:hAnsi="Arial" w:cs="Arial"/>
          <w:sz w:val="20"/>
          <w:szCs w:val="20"/>
        </w:rPr>
      </w:pPr>
      <w:r w:rsidRPr="009F0476">
        <w:rPr>
          <w:rFonts w:ascii="Arial" w:hAnsi="Arial" w:cs="Arial"/>
          <w:sz w:val="20"/>
          <w:szCs w:val="20"/>
        </w:rPr>
        <w:t>Action Bladder Cancer UK</w:t>
      </w:r>
    </w:p>
    <w:p w14:paraId="77B12FF8" w14:textId="49C019F5" w:rsidR="009F0476" w:rsidRDefault="009F0476" w:rsidP="00593F3D">
      <w:pPr>
        <w:spacing w:after="0" w:line="240" w:lineRule="auto"/>
        <w:rPr>
          <w:rFonts w:ascii="Arial" w:hAnsi="Arial" w:cs="Arial"/>
          <w:sz w:val="20"/>
          <w:szCs w:val="20"/>
        </w:rPr>
      </w:pPr>
      <w:r w:rsidRPr="009F0476">
        <w:rPr>
          <w:rFonts w:ascii="Arial" w:hAnsi="Arial" w:cs="Arial"/>
          <w:sz w:val="20"/>
          <w:szCs w:val="20"/>
        </w:rPr>
        <w:t>6 Trull Farm Buildings</w:t>
      </w:r>
    </w:p>
    <w:p w14:paraId="270814B4" w14:textId="65F15E07" w:rsidR="009F0476" w:rsidRDefault="009F0476" w:rsidP="00593F3D">
      <w:pPr>
        <w:spacing w:after="0" w:line="240" w:lineRule="auto"/>
        <w:rPr>
          <w:rFonts w:ascii="Arial" w:hAnsi="Arial" w:cs="Arial"/>
          <w:sz w:val="20"/>
          <w:szCs w:val="20"/>
        </w:rPr>
      </w:pPr>
      <w:r w:rsidRPr="009F0476">
        <w:rPr>
          <w:rFonts w:ascii="Arial" w:hAnsi="Arial" w:cs="Arial"/>
          <w:sz w:val="20"/>
          <w:szCs w:val="20"/>
        </w:rPr>
        <w:t>Tetbury</w:t>
      </w:r>
    </w:p>
    <w:p w14:paraId="3BD0DEDF" w14:textId="77777777" w:rsidR="009F0476" w:rsidRDefault="009F0476" w:rsidP="00593F3D">
      <w:pPr>
        <w:spacing w:after="0" w:line="240" w:lineRule="auto"/>
        <w:rPr>
          <w:rFonts w:ascii="Arial" w:hAnsi="Arial" w:cs="Arial"/>
          <w:sz w:val="20"/>
          <w:szCs w:val="20"/>
        </w:rPr>
      </w:pPr>
      <w:r w:rsidRPr="009F0476">
        <w:rPr>
          <w:rFonts w:ascii="Arial" w:hAnsi="Arial" w:cs="Arial"/>
          <w:sz w:val="20"/>
          <w:szCs w:val="20"/>
        </w:rPr>
        <w:t xml:space="preserve">Gloucestershire </w:t>
      </w:r>
    </w:p>
    <w:p w14:paraId="0FB786CC" w14:textId="69B0B9B2" w:rsidR="00E70F23" w:rsidRPr="00593F3D" w:rsidRDefault="009F0476" w:rsidP="00593F3D">
      <w:pPr>
        <w:spacing w:after="0" w:line="240" w:lineRule="auto"/>
        <w:rPr>
          <w:rFonts w:ascii="Arial" w:hAnsi="Arial" w:cs="Arial"/>
          <w:sz w:val="20"/>
          <w:szCs w:val="20"/>
        </w:rPr>
      </w:pPr>
      <w:r w:rsidRPr="009F0476">
        <w:rPr>
          <w:rFonts w:ascii="Arial" w:hAnsi="Arial" w:cs="Arial"/>
          <w:sz w:val="20"/>
          <w:szCs w:val="20"/>
        </w:rPr>
        <w:t>GL8 8SQ</w:t>
      </w:r>
    </w:p>
    <w:p w14:paraId="09EACCD9" w14:textId="77777777" w:rsidR="00B737D4" w:rsidRPr="00593F3D" w:rsidRDefault="00B737D4" w:rsidP="00B737D4">
      <w:pPr>
        <w:spacing w:after="0" w:line="240" w:lineRule="auto"/>
        <w:rPr>
          <w:rFonts w:ascii="Arial" w:hAnsi="Arial" w:cs="Arial"/>
          <w:sz w:val="20"/>
          <w:szCs w:val="20"/>
        </w:rPr>
      </w:pPr>
    </w:p>
    <w:p w14:paraId="04E6623B" w14:textId="2CAED912" w:rsidR="00B737D4" w:rsidRPr="00593F3D" w:rsidRDefault="00DE0213" w:rsidP="00B737D4">
      <w:pPr>
        <w:rPr>
          <w:rFonts w:ascii="Arial" w:hAnsi="Arial" w:cs="Arial"/>
          <w:sz w:val="20"/>
          <w:szCs w:val="20"/>
        </w:rPr>
      </w:pPr>
      <w:r>
        <w:rPr>
          <w:rFonts w:ascii="Arial" w:hAnsi="Arial" w:cs="Arial"/>
          <w:sz w:val="20"/>
          <w:szCs w:val="20"/>
        </w:rPr>
        <w:t>6 September</w:t>
      </w:r>
      <w:r w:rsidR="00B737D4" w:rsidRPr="00593F3D">
        <w:rPr>
          <w:rFonts w:ascii="Arial" w:hAnsi="Arial" w:cs="Arial"/>
          <w:sz w:val="20"/>
          <w:szCs w:val="20"/>
        </w:rPr>
        <w:t xml:space="preserve"> 2021</w:t>
      </w:r>
      <w:bookmarkStart w:id="0" w:name="Text"/>
      <w:bookmarkEnd w:id="0"/>
    </w:p>
    <w:p w14:paraId="15532A62" w14:textId="77777777" w:rsidR="00B737D4" w:rsidRPr="00593F3D" w:rsidRDefault="00B737D4" w:rsidP="00B737D4">
      <w:pPr>
        <w:rPr>
          <w:rStyle w:val="Hyperlink"/>
          <w:rFonts w:ascii="Arial" w:hAnsi="Arial" w:cs="Arial"/>
          <w:sz w:val="20"/>
          <w:szCs w:val="20"/>
        </w:rPr>
      </w:pPr>
    </w:p>
    <w:p w14:paraId="62016538" w14:textId="394D365F" w:rsidR="009F0476" w:rsidRPr="009F0476" w:rsidRDefault="009F0476" w:rsidP="009F0476">
      <w:pPr>
        <w:spacing w:line="288" w:lineRule="auto"/>
        <w:jc w:val="both"/>
        <w:rPr>
          <w:rFonts w:ascii="Arial" w:eastAsia="Times New Roman" w:hAnsi="Arial" w:cs="Arial"/>
          <w:sz w:val="20"/>
          <w:szCs w:val="20"/>
        </w:rPr>
      </w:pPr>
      <w:bookmarkStart w:id="1" w:name="deartext"/>
      <w:r w:rsidRPr="009F0476">
        <w:rPr>
          <w:rFonts w:ascii="Arial" w:eastAsia="Times New Roman" w:hAnsi="Arial" w:cs="Arial"/>
          <w:sz w:val="20"/>
          <w:szCs w:val="20"/>
        </w:rPr>
        <w:t>Dear</w:t>
      </w:r>
      <w:bookmarkEnd w:id="1"/>
      <w:r w:rsidRPr="009F0476">
        <w:rPr>
          <w:rFonts w:ascii="Arial" w:eastAsia="Times New Roman" w:hAnsi="Arial" w:cs="Arial"/>
          <w:sz w:val="20"/>
          <w:szCs w:val="20"/>
        </w:rPr>
        <w:t xml:space="preserve"> </w:t>
      </w:r>
      <w:bookmarkStart w:id="2" w:name="Sal"/>
      <w:bookmarkEnd w:id="2"/>
      <w:r w:rsidR="00543A01" w:rsidRPr="00543A01">
        <w:rPr>
          <w:rFonts w:ascii="Arial" w:eastAsia="Times New Roman" w:hAnsi="Arial" w:cs="Arial"/>
          <w:sz w:val="20"/>
          <w:szCs w:val="20"/>
          <w:highlight w:val="black"/>
        </w:rPr>
        <w:t>XXXXX</w:t>
      </w:r>
      <w:r w:rsidRPr="00543A01">
        <w:rPr>
          <w:rFonts w:ascii="Arial" w:eastAsia="Times New Roman" w:hAnsi="Arial" w:cs="Arial"/>
          <w:sz w:val="20"/>
          <w:szCs w:val="20"/>
          <w:highlight w:val="black"/>
        </w:rPr>
        <w:t xml:space="preserve"> </w:t>
      </w:r>
      <w:r w:rsidR="00543A01" w:rsidRPr="00543A01">
        <w:rPr>
          <w:rFonts w:ascii="Arial" w:eastAsia="Times New Roman" w:hAnsi="Arial" w:cs="Arial"/>
          <w:sz w:val="20"/>
          <w:szCs w:val="20"/>
          <w:highlight w:val="black"/>
        </w:rPr>
        <w:t>XXXXXX</w:t>
      </w:r>
    </w:p>
    <w:bookmarkStart w:id="3" w:name="Heading"/>
    <w:bookmarkEnd w:id="3"/>
    <w:p w14:paraId="6A94EF8E" w14:textId="77777777" w:rsidR="009F0476" w:rsidRPr="009F0476" w:rsidRDefault="009F0476" w:rsidP="009F0476">
      <w:pPr>
        <w:spacing w:line="288" w:lineRule="auto"/>
        <w:ind w:left="426" w:right="468" w:hanging="426"/>
        <w:jc w:val="both"/>
        <w:rPr>
          <w:rFonts w:ascii="Arial" w:eastAsia="Times New Roman" w:hAnsi="Arial" w:cs="Arial"/>
          <w:sz w:val="20"/>
          <w:szCs w:val="20"/>
        </w:rPr>
      </w:pPr>
      <w:r w:rsidRPr="009F0476">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541062F7" wp14:editId="13B170E7">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809FAD"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9F0476">
        <w:rPr>
          <w:rFonts w:ascii="Arial" w:eastAsia="Times New Roman" w:hAnsi="Arial" w:cs="Arial"/>
          <w:b/>
          <w:spacing w:val="-3"/>
          <w:sz w:val="20"/>
          <w:szCs w:val="20"/>
        </w:rPr>
        <w:t xml:space="preserve">Re: </w:t>
      </w:r>
      <w:r w:rsidRPr="009F0476">
        <w:rPr>
          <w:rFonts w:ascii="Arial" w:eastAsia="Times New Roman" w:hAnsi="Arial" w:cs="Arial"/>
          <w:b/>
          <w:sz w:val="20"/>
          <w:szCs w:val="20"/>
        </w:rPr>
        <w:t>Final Appraisal Document –</w:t>
      </w:r>
      <w:r w:rsidRPr="009F0476">
        <w:rPr>
          <w:rFonts w:ascii="Arial" w:eastAsia="Times New Roman" w:hAnsi="Arial"/>
          <w:sz w:val="20"/>
          <w:szCs w:val="20"/>
        </w:rPr>
        <w:t xml:space="preserve"> </w:t>
      </w:r>
      <w:r w:rsidRPr="009F0476">
        <w:rPr>
          <w:rFonts w:ascii="Arial" w:eastAsia="Times New Roman" w:hAnsi="Arial" w:cs="Arial"/>
          <w:b/>
          <w:sz w:val="20"/>
          <w:szCs w:val="20"/>
        </w:rPr>
        <w:t>avelumab for maintenance treatment of locally advanced or metastatic urothelial cancer after platinum-based chemotherapy [ID3735]</w:t>
      </w:r>
    </w:p>
    <w:p w14:paraId="2A8F1E7F" w14:textId="77777777" w:rsidR="00DE0213" w:rsidRPr="00DE0213" w:rsidRDefault="00DE0213" w:rsidP="00DE0213">
      <w:pPr>
        <w:spacing w:line="288" w:lineRule="auto"/>
        <w:jc w:val="both"/>
        <w:rPr>
          <w:rFonts w:ascii="Arial" w:eastAsia="Times New Roman" w:hAnsi="Arial" w:cs="Arial"/>
          <w:sz w:val="20"/>
          <w:szCs w:val="20"/>
        </w:rPr>
      </w:pPr>
      <w:r w:rsidRPr="00DE0213">
        <w:rPr>
          <w:rFonts w:ascii="Arial" w:eastAsia="Times New Roman" w:hAnsi="Arial" w:cs="Arial"/>
          <w:sz w:val="20"/>
          <w:szCs w:val="20"/>
        </w:rPr>
        <w:t>Thank you for your letter of 26 August 2021.  This is my final decision on initial scrutiny.</w:t>
      </w:r>
    </w:p>
    <w:p w14:paraId="4F91BD7C" w14:textId="77777777" w:rsidR="00DE0213" w:rsidRPr="00DE0213" w:rsidRDefault="00DE0213" w:rsidP="00DE0213">
      <w:pPr>
        <w:spacing w:line="288" w:lineRule="auto"/>
        <w:jc w:val="both"/>
        <w:rPr>
          <w:rFonts w:ascii="Arial" w:eastAsia="Times New Roman" w:hAnsi="Arial" w:cs="Arial"/>
          <w:b/>
          <w:i/>
          <w:sz w:val="20"/>
          <w:szCs w:val="20"/>
        </w:rPr>
      </w:pPr>
      <w:r w:rsidRPr="00DE0213">
        <w:rPr>
          <w:rFonts w:ascii="Arial" w:eastAsia="Times New Roman" w:hAnsi="Arial" w:cs="Arial"/>
          <w:b/>
          <w:i/>
          <w:sz w:val="20"/>
          <w:szCs w:val="20"/>
        </w:rPr>
        <w:t>Ground 1(a): In making the assessment that preceded the recommendation, NICE has failed to act fairly</w:t>
      </w:r>
    </w:p>
    <w:p w14:paraId="36F23979" w14:textId="77777777" w:rsidR="00DE0213" w:rsidRPr="00DE0213" w:rsidRDefault="00DE0213" w:rsidP="00DE0213">
      <w:pPr>
        <w:numPr>
          <w:ilvl w:val="1"/>
          <w:numId w:val="2"/>
        </w:numPr>
        <w:spacing w:line="288" w:lineRule="auto"/>
        <w:jc w:val="both"/>
        <w:rPr>
          <w:rFonts w:ascii="Arial" w:eastAsia="Times New Roman" w:hAnsi="Arial" w:cs="Arial"/>
          <w:i/>
          <w:sz w:val="20"/>
          <w:szCs w:val="20"/>
        </w:rPr>
      </w:pPr>
      <w:r w:rsidRPr="00DE0213">
        <w:rPr>
          <w:rFonts w:ascii="Arial" w:eastAsia="Times New Roman" w:hAnsi="Arial" w:cs="Arial"/>
          <w:i/>
          <w:sz w:val="20"/>
          <w:szCs w:val="20"/>
        </w:rPr>
        <w:t xml:space="preserve">Rejection of a stopping rule was unfair </w:t>
      </w:r>
      <w:proofErr w:type="gramStart"/>
      <w:r w:rsidRPr="00DE0213">
        <w:rPr>
          <w:rFonts w:ascii="Arial" w:eastAsia="Times New Roman" w:hAnsi="Arial" w:cs="Arial"/>
          <w:i/>
          <w:sz w:val="20"/>
          <w:szCs w:val="20"/>
        </w:rPr>
        <w:t>in light of</w:t>
      </w:r>
      <w:proofErr w:type="gramEnd"/>
      <w:r w:rsidRPr="00DE0213">
        <w:rPr>
          <w:rFonts w:ascii="Arial" w:eastAsia="Times New Roman" w:hAnsi="Arial" w:cs="Arial"/>
          <w:i/>
          <w:sz w:val="20"/>
          <w:szCs w:val="20"/>
        </w:rPr>
        <w:t xml:space="preserve"> past practice and the evidence of patients and clinicians</w:t>
      </w:r>
    </w:p>
    <w:p w14:paraId="05939719" w14:textId="7BF16031" w:rsidR="00DE0213" w:rsidRPr="00DE0213" w:rsidRDefault="00DE0213" w:rsidP="00DE0213">
      <w:pPr>
        <w:spacing w:line="288" w:lineRule="auto"/>
        <w:jc w:val="both"/>
        <w:rPr>
          <w:rFonts w:ascii="Arial" w:eastAsia="Times New Roman" w:hAnsi="Arial" w:cs="Arial"/>
          <w:sz w:val="20"/>
          <w:szCs w:val="20"/>
        </w:rPr>
      </w:pPr>
      <w:r w:rsidRPr="00DE0213">
        <w:rPr>
          <w:rFonts w:ascii="Arial" w:eastAsia="Times New Roman" w:hAnsi="Arial" w:cs="Arial"/>
          <w:sz w:val="20"/>
          <w:szCs w:val="20"/>
        </w:rPr>
        <w:t>I note your concern that a committee’s decision on consistency may be beyond challenge provided they have noted the issue and given some reasons for departing from past practice.  I can reassure you that that is not the case.  Where NICE’s appeal grounds refer to something being “unfair”, they mean that the process NICE has followed to produce the guidance is defective in some way.  So</w:t>
      </w:r>
      <w:r>
        <w:rPr>
          <w:rFonts w:ascii="Arial" w:eastAsia="Times New Roman" w:hAnsi="Arial" w:cs="Arial"/>
          <w:sz w:val="20"/>
          <w:szCs w:val="20"/>
        </w:rPr>
        <w:t>,</w:t>
      </w:r>
      <w:r w:rsidRPr="00DE0213">
        <w:rPr>
          <w:rFonts w:ascii="Arial" w:eastAsia="Times New Roman" w:hAnsi="Arial" w:cs="Arial"/>
          <w:sz w:val="20"/>
          <w:szCs w:val="20"/>
        </w:rPr>
        <w:t xml:space="preserve"> for example acting inconsistently with a relevant past practice without explaining why is unfair because consultees cannot understand why the decision was taken and so cannot make a case as to why it was wrong. </w:t>
      </w:r>
    </w:p>
    <w:p w14:paraId="0A186025" w14:textId="76043E72" w:rsidR="00DE0213" w:rsidRPr="00DE0213" w:rsidRDefault="00DE0213" w:rsidP="00DE0213">
      <w:pPr>
        <w:spacing w:line="288" w:lineRule="auto"/>
        <w:jc w:val="both"/>
        <w:rPr>
          <w:rFonts w:ascii="Arial" w:eastAsia="Times New Roman" w:hAnsi="Arial" w:cs="Arial"/>
          <w:i/>
          <w:sz w:val="20"/>
          <w:szCs w:val="20"/>
        </w:rPr>
      </w:pPr>
      <w:r w:rsidRPr="00DE0213">
        <w:rPr>
          <w:rFonts w:ascii="Arial" w:eastAsia="Times New Roman" w:hAnsi="Arial" w:cs="Arial"/>
          <w:sz w:val="20"/>
          <w:szCs w:val="20"/>
        </w:rPr>
        <w:t>Your additional material makes clear that you know why the past practice was not followed but you disagree with that decision.  Such a challenge can be brought, but as a matter of reasonableness, because it looks not to how the committee acted but what it decided.  Therefore</w:t>
      </w:r>
      <w:r>
        <w:rPr>
          <w:rFonts w:ascii="Arial" w:eastAsia="Times New Roman" w:hAnsi="Arial" w:cs="Arial"/>
          <w:sz w:val="20"/>
          <w:szCs w:val="20"/>
        </w:rPr>
        <w:t>,</w:t>
      </w:r>
      <w:r w:rsidRPr="00DE0213">
        <w:rPr>
          <w:rFonts w:ascii="Arial" w:eastAsia="Times New Roman" w:hAnsi="Arial" w:cs="Arial"/>
          <w:sz w:val="20"/>
          <w:szCs w:val="20"/>
        </w:rPr>
        <w:t xml:space="preserve"> I will refer this point on, but </w:t>
      </w:r>
      <w:proofErr w:type="spellStart"/>
      <w:r w:rsidRPr="00DE0213">
        <w:rPr>
          <w:rFonts w:ascii="Arial" w:eastAsia="Times New Roman" w:hAnsi="Arial" w:cs="Arial"/>
          <w:sz w:val="20"/>
          <w:szCs w:val="20"/>
        </w:rPr>
        <w:t>under ground</w:t>
      </w:r>
      <w:proofErr w:type="spellEnd"/>
      <w:r w:rsidRPr="00DE0213">
        <w:rPr>
          <w:rFonts w:ascii="Arial" w:eastAsia="Times New Roman" w:hAnsi="Arial" w:cs="Arial"/>
          <w:sz w:val="20"/>
          <w:szCs w:val="20"/>
        </w:rPr>
        <w:t xml:space="preserve"> 2.</w:t>
      </w:r>
    </w:p>
    <w:p w14:paraId="642D188C" w14:textId="77777777" w:rsidR="00DE0213" w:rsidRPr="00DE0213" w:rsidRDefault="00DE0213" w:rsidP="00DE0213">
      <w:pPr>
        <w:numPr>
          <w:ilvl w:val="1"/>
          <w:numId w:val="2"/>
        </w:numPr>
        <w:spacing w:line="288" w:lineRule="auto"/>
        <w:jc w:val="both"/>
        <w:rPr>
          <w:rFonts w:ascii="Arial" w:eastAsia="Times New Roman" w:hAnsi="Arial" w:cs="Arial"/>
          <w:i/>
          <w:sz w:val="20"/>
          <w:szCs w:val="20"/>
        </w:rPr>
      </w:pPr>
      <w:r w:rsidRPr="00DE0213">
        <w:rPr>
          <w:rFonts w:ascii="Arial" w:eastAsia="Times New Roman" w:hAnsi="Arial" w:cs="Arial"/>
          <w:i/>
          <w:sz w:val="20"/>
          <w:szCs w:val="20"/>
        </w:rPr>
        <w:t>ABC’s evidence on a stopping rule was misrepresented</w:t>
      </w:r>
    </w:p>
    <w:p w14:paraId="31139A09" w14:textId="77777777" w:rsidR="00DE0213" w:rsidRPr="00DE0213" w:rsidRDefault="00DE0213" w:rsidP="00DE0213">
      <w:pPr>
        <w:spacing w:line="288" w:lineRule="auto"/>
        <w:jc w:val="both"/>
        <w:rPr>
          <w:rFonts w:ascii="Arial" w:eastAsia="Times New Roman" w:hAnsi="Arial" w:cs="Arial"/>
          <w:sz w:val="20"/>
          <w:szCs w:val="20"/>
        </w:rPr>
      </w:pPr>
      <w:r w:rsidRPr="00DE0213">
        <w:rPr>
          <w:rFonts w:ascii="Arial" w:eastAsia="Times New Roman" w:hAnsi="Arial" w:cs="Arial"/>
          <w:sz w:val="20"/>
          <w:szCs w:val="20"/>
        </w:rPr>
        <w:t>I understand your concern that your views are accurately represented in the FAD, and I trust the institute will engage with you to ensure that this is done.  I am still of the view that the disputed wording does not evidence any material misunderstanding on the committee’s part, and this that this is not a valid ground of appeal.</w:t>
      </w:r>
    </w:p>
    <w:p w14:paraId="580929AE" w14:textId="1BDC84FE" w:rsidR="00DE0213" w:rsidRDefault="00DE0213" w:rsidP="00DE0213">
      <w:pPr>
        <w:spacing w:line="288" w:lineRule="auto"/>
        <w:jc w:val="both"/>
        <w:rPr>
          <w:rFonts w:ascii="Arial" w:eastAsia="Times New Roman" w:hAnsi="Arial" w:cs="Arial"/>
          <w:b/>
          <w:i/>
          <w:sz w:val="20"/>
          <w:szCs w:val="20"/>
        </w:rPr>
      </w:pPr>
      <w:r w:rsidRPr="00DE0213">
        <w:rPr>
          <w:rFonts w:ascii="Arial" w:eastAsia="Times New Roman" w:hAnsi="Arial" w:cs="Arial"/>
          <w:b/>
          <w:i/>
          <w:sz w:val="20"/>
          <w:szCs w:val="20"/>
        </w:rPr>
        <w:t>Ground 2:</w:t>
      </w:r>
      <w:r w:rsidRPr="00DE0213">
        <w:rPr>
          <w:rFonts w:ascii="Arial" w:eastAsia="Times New Roman" w:hAnsi="Arial" w:cs="Arial"/>
          <w:i/>
          <w:sz w:val="20"/>
          <w:szCs w:val="20"/>
        </w:rPr>
        <w:t xml:space="preserve"> </w:t>
      </w:r>
      <w:r w:rsidRPr="00DE0213">
        <w:rPr>
          <w:rFonts w:ascii="Arial" w:eastAsia="Times New Roman" w:hAnsi="Arial" w:cs="Arial"/>
          <w:b/>
          <w:i/>
          <w:sz w:val="20"/>
          <w:szCs w:val="20"/>
        </w:rPr>
        <w:t>the recommendation is unreasonable in the light of the evidence submitted to NICE</w:t>
      </w:r>
    </w:p>
    <w:p w14:paraId="75E6B533" w14:textId="77777777" w:rsidR="00DE0213" w:rsidRPr="00DE0213" w:rsidRDefault="00DE0213" w:rsidP="00DE0213">
      <w:pPr>
        <w:spacing w:line="288" w:lineRule="auto"/>
        <w:jc w:val="both"/>
        <w:rPr>
          <w:rFonts w:ascii="Arial" w:eastAsia="Times New Roman" w:hAnsi="Arial" w:cs="Arial"/>
          <w:i/>
          <w:vanish/>
          <w:sz w:val="20"/>
          <w:szCs w:val="20"/>
        </w:rPr>
      </w:pPr>
    </w:p>
    <w:p w14:paraId="7290CCF4" w14:textId="77777777" w:rsidR="00DE0213" w:rsidRPr="00DE0213" w:rsidRDefault="00DE0213" w:rsidP="00DE0213">
      <w:pPr>
        <w:spacing w:line="288" w:lineRule="auto"/>
        <w:jc w:val="both"/>
        <w:rPr>
          <w:rFonts w:ascii="Arial" w:eastAsia="Times New Roman" w:hAnsi="Arial" w:cs="Arial"/>
          <w:bCs/>
          <w:i/>
          <w:sz w:val="20"/>
          <w:szCs w:val="20"/>
        </w:rPr>
      </w:pPr>
      <w:r w:rsidRPr="00DE0213">
        <w:rPr>
          <w:rFonts w:ascii="Arial" w:eastAsia="Times New Roman" w:hAnsi="Arial" w:cs="Arial"/>
          <w:i/>
          <w:sz w:val="20"/>
          <w:szCs w:val="20"/>
        </w:rPr>
        <w:t>2.1</w:t>
      </w:r>
      <w:r w:rsidRPr="00DE0213">
        <w:rPr>
          <w:rFonts w:ascii="Arial" w:eastAsia="Times New Roman" w:hAnsi="Arial" w:cs="Arial"/>
          <w:i/>
          <w:sz w:val="20"/>
          <w:szCs w:val="20"/>
        </w:rPr>
        <w:tab/>
        <w:t xml:space="preserve"> It is unreasonable to conclude that the short life expectancy criterion of the </w:t>
      </w:r>
      <w:proofErr w:type="gramStart"/>
      <w:r w:rsidRPr="00DE0213">
        <w:rPr>
          <w:rFonts w:ascii="Arial" w:eastAsia="Times New Roman" w:hAnsi="Arial" w:cs="Arial"/>
          <w:i/>
          <w:sz w:val="20"/>
          <w:szCs w:val="20"/>
        </w:rPr>
        <w:t>end of life</w:t>
      </w:r>
      <w:proofErr w:type="gramEnd"/>
      <w:r w:rsidRPr="00DE0213">
        <w:rPr>
          <w:rFonts w:ascii="Arial" w:eastAsia="Times New Roman" w:hAnsi="Arial" w:cs="Arial"/>
          <w:i/>
          <w:sz w:val="20"/>
          <w:szCs w:val="20"/>
        </w:rPr>
        <w:t xml:space="preserve"> policy is not met.</w:t>
      </w:r>
    </w:p>
    <w:p w14:paraId="38139731" w14:textId="77777777" w:rsidR="00DE0213" w:rsidRPr="00DE0213" w:rsidRDefault="00DE0213" w:rsidP="00DE0213">
      <w:pPr>
        <w:spacing w:line="288" w:lineRule="auto"/>
        <w:jc w:val="both"/>
        <w:rPr>
          <w:rFonts w:ascii="Arial" w:eastAsia="Times New Roman" w:hAnsi="Arial" w:cs="Arial"/>
          <w:sz w:val="20"/>
          <w:szCs w:val="20"/>
        </w:rPr>
      </w:pPr>
      <w:r w:rsidRPr="00DE0213">
        <w:rPr>
          <w:rFonts w:ascii="Arial" w:eastAsia="Times New Roman" w:hAnsi="Arial" w:cs="Arial"/>
          <w:sz w:val="20"/>
          <w:szCs w:val="20"/>
        </w:rPr>
        <w:lastRenderedPageBreak/>
        <w:t>Already agreed to be valid.</w:t>
      </w:r>
    </w:p>
    <w:p w14:paraId="5A3036E0" w14:textId="2EC256D2" w:rsidR="009A01FD" w:rsidRPr="009A01FD" w:rsidRDefault="00DE0213" w:rsidP="00DE0213">
      <w:pPr>
        <w:spacing w:line="288" w:lineRule="auto"/>
        <w:jc w:val="both"/>
        <w:rPr>
          <w:rFonts w:ascii="Arial" w:eastAsia="Times New Roman" w:hAnsi="Arial" w:cs="Arial"/>
          <w:sz w:val="20"/>
          <w:szCs w:val="20"/>
        </w:rPr>
      </w:pPr>
      <w:r w:rsidRPr="00DE0213">
        <w:rPr>
          <w:rFonts w:ascii="Arial" w:eastAsia="Times New Roman" w:hAnsi="Arial" w:cs="Arial"/>
          <w:sz w:val="20"/>
          <w:szCs w:val="20"/>
        </w:rPr>
        <w:t>Therefore</w:t>
      </w:r>
      <w:r>
        <w:rPr>
          <w:rFonts w:ascii="Arial" w:eastAsia="Times New Roman" w:hAnsi="Arial" w:cs="Arial"/>
          <w:sz w:val="20"/>
          <w:szCs w:val="20"/>
        </w:rPr>
        <w:t>,</w:t>
      </w:r>
      <w:r w:rsidRPr="00DE0213">
        <w:rPr>
          <w:rFonts w:ascii="Arial" w:eastAsia="Times New Roman" w:hAnsi="Arial" w:cs="Arial"/>
          <w:sz w:val="20"/>
          <w:szCs w:val="20"/>
        </w:rPr>
        <w:t xml:space="preserve"> the valid appeal points are 1.1 (</w:t>
      </w:r>
      <w:proofErr w:type="spellStart"/>
      <w:r w:rsidRPr="00DE0213">
        <w:rPr>
          <w:rFonts w:ascii="Arial" w:eastAsia="Times New Roman" w:hAnsi="Arial" w:cs="Arial"/>
          <w:sz w:val="20"/>
          <w:szCs w:val="20"/>
        </w:rPr>
        <w:t>under ground</w:t>
      </w:r>
      <w:proofErr w:type="spellEnd"/>
      <w:r w:rsidRPr="00DE0213">
        <w:rPr>
          <w:rFonts w:ascii="Arial" w:eastAsia="Times New Roman" w:hAnsi="Arial" w:cs="Arial"/>
          <w:sz w:val="20"/>
          <w:szCs w:val="20"/>
        </w:rPr>
        <w:t xml:space="preserve"> 2) and 2.1.</w:t>
      </w:r>
    </w:p>
    <w:p w14:paraId="06B6265D" w14:textId="77777777" w:rsidR="009A01FD" w:rsidRPr="009A01FD" w:rsidRDefault="009A01FD" w:rsidP="009A01FD">
      <w:pPr>
        <w:spacing w:line="288" w:lineRule="auto"/>
        <w:rPr>
          <w:rFonts w:ascii="Arial" w:eastAsia="Times New Roman" w:hAnsi="Arial" w:cs="Arial"/>
          <w:sz w:val="20"/>
          <w:szCs w:val="20"/>
        </w:rPr>
      </w:pP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6A359B05"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76AA4"/>
    <w:rsid w:val="001D5BD2"/>
    <w:rsid w:val="0022689E"/>
    <w:rsid w:val="00320722"/>
    <w:rsid w:val="00321B75"/>
    <w:rsid w:val="003A3E2E"/>
    <w:rsid w:val="003A79BD"/>
    <w:rsid w:val="003D614E"/>
    <w:rsid w:val="004215D9"/>
    <w:rsid w:val="00453774"/>
    <w:rsid w:val="00493D2F"/>
    <w:rsid w:val="004C2D22"/>
    <w:rsid w:val="004E4493"/>
    <w:rsid w:val="004F29D7"/>
    <w:rsid w:val="00543A01"/>
    <w:rsid w:val="00593F3D"/>
    <w:rsid w:val="005B078B"/>
    <w:rsid w:val="005E0434"/>
    <w:rsid w:val="006628FF"/>
    <w:rsid w:val="0069376C"/>
    <w:rsid w:val="006D0C62"/>
    <w:rsid w:val="006F031D"/>
    <w:rsid w:val="007155D0"/>
    <w:rsid w:val="00732227"/>
    <w:rsid w:val="00770D2E"/>
    <w:rsid w:val="00866617"/>
    <w:rsid w:val="009A01FD"/>
    <w:rsid w:val="009E2F15"/>
    <w:rsid w:val="009F0476"/>
    <w:rsid w:val="00A078CC"/>
    <w:rsid w:val="00AE303D"/>
    <w:rsid w:val="00B32B71"/>
    <w:rsid w:val="00B737D4"/>
    <w:rsid w:val="00C96687"/>
    <w:rsid w:val="00DE0213"/>
    <w:rsid w:val="00E03263"/>
    <w:rsid w:val="00E21D03"/>
    <w:rsid w:val="00E622D7"/>
    <w:rsid w:val="00E67BD1"/>
    <w:rsid w:val="00E70F23"/>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ie@actionbladdercanceru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2021-09-24T07:44:00Z</dcterms:created>
  <dcterms:modified xsi:type="dcterms:W3CDTF">2021-09-24T07:44:00Z</dcterms:modified>
</cp:coreProperties>
</file>