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1C9F2" w14:textId="78512828" w:rsidR="009A01FD" w:rsidRPr="004A7939" w:rsidRDefault="00453774" w:rsidP="009A01FD">
      <w:pPr>
        <w:rPr>
          <w:rFonts w:ascii="Arial" w:eastAsia="Times New Roman" w:hAnsi="Arial"/>
          <w:sz w:val="20"/>
          <w:szCs w:val="20"/>
        </w:rPr>
      </w:pPr>
      <w:r>
        <w:softHyphen/>
      </w:r>
      <w:r w:rsidR="009A01FD" w:rsidRPr="009A01FD">
        <w:rPr>
          <w:rFonts w:ascii="Arial" w:eastAsia="Times New Roman" w:hAnsi="Arial"/>
          <w:sz w:val="20"/>
          <w:szCs w:val="20"/>
        </w:rPr>
        <w:t xml:space="preserve">Sent by e-mail only: </w:t>
      </w:r>
      <w:hyperlink r:id="rId8" w:history="1">
        <w:r w:rsidR="00877BF6" w:rsidRPr="008A3E73">
          <w:rPr>
            <w:rStyle w:val="Hyperlink"/>
            <w:rFonts w:ascii="Arial" w:eastAsia="Times New Roman" w:hAnsi="Arial"/>
            <w:color w:val="auto"/>
            <w:sz w:val="20"/>
            <w:szCs w:val="20"/>
            <w:highlight w:val="black"/>
          </w:rPr>
          <w:t>XXXXXXXXXXXXXXXXXXXXXXXXXXXXXX</w:t>
        </w:r>
      </w:hyperlink>
      <w:r w:rsidR="00877BF6" w:rsidRPr="008A3E73">
        <w:rPr>
          <w:rStyle w:val="Hyperlink"/>
          <w:rFonts w:ascii="Arial" w:eastAsia="Times New Roman" w:hAnsi="Arial"/>
          <w:color w:val="auto"/>
          <w:sz w:val="20"/>
          <w:szCs w:val="20"/>
          <w:highlight w:val="black"/>
        </w:rPr>
        <w:t>X</w:t>
      </w:r>
      <w:r w:rsidR="004A7939">
        <w:rPr>
          <w:rFonts w:ascii="Arial" w:eastAsia="Times New Roman" w:hAnsi="Arial"/>
          <w:sz w:val="20"/>
          <w:szCs w:val="20"/>
        </w:rPr>
        <w:t xml:space="preserve"> </w:t>
      </w:r>
    </w:p>
    <w:p w14:paraId="2B432619" w14:textId="77777777" w:rsidR="009A01FD" w:rsidRPr="009A01FD" w:rsidRDefault="009A01FD" w:rsidP="009A01FD">
      <w:pPr>
        <w:spacing w:after="0" w:line="240" w:lineRule="auto"/>
        <w:rPr>
          <w:rFonts w:ascii="Arial" w:eastAsia="Times New Roman" w:hAnsi="Arial"/>
          <w:sz w:val="20"/>
          <w:szCs w:val="20"/>
        </w:rPr>
      </w:pPr>
      <w:r w:rsidRPr="009A01FD">
        <w:rPr>
          <w:rFonts w:ascii="Arial" w:eastAsia="Times New Roman" w:hAnsi="Arial"/>
          <w:sz w:val="20"/>
          <w:szCs w:val="20"/>
        </w:rPr>
        <w:t>Merck Serono Limited</w:t>
      </w:r>
    </w:p>
    <w:p w14:paraId="4A194787" w14:textId="77777777" w:rsidR="009A01FD" w:rsidRPr="009A01FD" w:rsidRDefault="009A01FD" w:rsidP="009A01FD">
      <w:pPr>
        <w:spacing w:after="0" w:line="240" w:lineRule="auto"/>
        <w:rPr>
          <w:rFonts w:ascii="Arial" w:eastAsia="Times New Roman" w:hAnsi="Arial"/>
          <w:sz w:val="20"/>
          <w:szCs w:val="20"/>
        </w:rPr>
      </w:pPr>
      <w:r w:rsidRPr="009A01FD">
        <w:rPr>
          <w:rFonts w:ascii="Arial" w:eastAsia="Times New Roman" w:hAnsi="Arial"/>
          <w:sz w:val="20"/>
          <w:szCs w:val="20"/>
        </w:rPr>
        <w:t>5 New Square</w:t>
      </w:r>
    </w:p>
    <w:p w14:paraId="46D9D398" w14:textId="77777777" w:rsidR="009A01FD" w:rsidRPr="009A01FD" w:rsidRDefault="009A01FD" w:rsidP="009A01FD">
      <w:pPr>
        <w:spacing w:after="0" w:line="240" w:lineRule="auto"/>
        <w:rPr>
          <w:rFonts w:ascii="Arial" w:eastAsia="Times New Roman" w:hAnsi="Arial"/>
          <w:sz w:val="20"/>
          <w:szCs w:val="20"/>
        </w:rPr>
      </w:pPr>
      <w:r w:rsidRPr="009A01FD">
        <w:rPr>
          <w:rFonts w:ascii="Arial" w:eastAsia="Times New Roman" w:hAnsi="Arial"/>
          <w:sz w:val="20"/>
          <w:szCs w:val="20"/>
        </w:rPr>
        <w:t>Bedfont Lakes Business Park</w:t>
      </w:r>
    </w:p>
    <w:p w14:paraId="2D9747FC" w14:textId="77777777" w:rsidR="009A01FD" w:rsidRPr="009A01FD" w:rsidRDefault="009A01FD" w:rsidP="009A01FD">
      <w:pPr>
        <w:spacing w:after="0" w:line="240" w:lineRule="auto"/>
        <w:rPr>
          <w:rFonts w:ascii="Arial" w:eastAsia="Times New Roman" w:hAnsi="Arial"/>
          <w:sz w:val="20"/>
          <w:szCs w:val="20"/>
        </w:rPr>
      </w:pPr>
      <w:r w:rsidRPr="009A01FD">
        <w:rPr>
          <w:rFonts w:ascii="Arial" w:eastAsia="Times New Roman" w:hAnsi="Arial"/>
          <w:sz w:val="20"/>
          <w:szCs w:val="20"/>
        </w:rPr>
        <w:t>Feltham</w:t>
      </w:r>
    </w:p>
    <w:p w14:paraId="1FB15941" w14:textId="77777777" w:rsidR="009A01FD" w:rsidRPr="009A01FD" w:rsidRDefault="009A01FD" w:rsidP="009A01FD">
      <w:pPr>
        <w:spacing w:after="0" w:line="240" w:lineRule="auto"/>
        <w:rPr>
          <w:rFonts w:ascii="Arial" w:eastAsia="Times New Roman" w:hAnsi="Arial"/>
          <w:sz w:val="20"/>
          <w:szCs w:val="20"/>
        </w:rPr>
      </w:pPr>
      <w:r w:rsidRPr="009A01FD">
        <w:rPr>
          <w:rFonts w:ascii="Arial" w:eastAsia="Times New Roman" w:hAnsi="Arial"/>
          <w:sz w:val="20"/>
          <w:szCs w:val="20"/>
        </w:rPr>
        <w:t>Middlesex</w:t>
      </w:r>
    </w:p>
    <w:p w14:paraId="71B9C9C2" w14:textId="77777777" w:rsidR="009A01FD" w:rsidRPr="009A01FD" w:rsidRDefault="009A01FD" w:rsidP="009A01FD">
      <w:pPr>
        <w:spacing w:after="0" w:line="240" w:lineRule="auto"/>
        <w:rPr>
          <w:rFonts w:ascii="Arial" w:eastAsia="Times New Roman" w:hAnsi="Arial"/>
          <w:sz w:val="20"/>
          <w:szCs w:val="20"/>
        </w:rPr>
      </w:pPr>
      <w:r w:rsidRPr="009A01FD">
        <w:rPr>
          <w:rFonts w:ascii="Arial" w:eastAsia="Times New Roman" w:hAnsi="Arial"/>
          <w:sz w:val="20"/>
          <w:szCs w:val="20"/>
        </w:rPr>
        <w:t>TW14 8HA</w:t>
      </w:r>
    </w:p>
    <w:p w14:paraId="7F7E0BB0" w14:textId="77777777" w:rsidR="009A01FD" w:rsidRPr="009A01FD" w:rsidRDefault="009A01FD" w:rsidP="009A01FD">
      <w:pPr>
        <w:spacing w:after="0" w:line="240" w:lineRule="auto"/>
        <w:rPr>
          <w:rFonts w:ascii="Arial" w:eastAsia="Times New Roman" w:hAnsi="Arial"/>
          <w:sz w:val="20"/>
          <w:szCs w:val="20"/>
        </w:rPr>
      </w:pPr>
    </w:p>
    <w:p w14:paraId="219354A7" w14:textId="77777777" w:rsidR="009A01FD" w:rsidRPr="009A01FD" w:rsidRDefault="009A01FD" w:rsidP="009A01FD">
      <w:pPr>
        <w:spacing w:after="0" w:line="240" w:lineRule="auto"/>
        <w:rPr>
          <w:rFonts w:ascii="Arial" w:eastAsia="Times New Roman" w:hAnsi="Arial"/>
          <w:sz w:val="20"/>
          <w:szCs w:val="20"/>
        </w:rPr>
      </w:pPr>
    </w:p>
    <w:p w14:paraId="2C234BEF" w14:textId="0AC305C0" w:rsidR="009A01FD" w:rsidRPr="009A01FD" w:rsidRDefault="00057895" w:rsidP="009A01FD">
      <w:pPr>
        <w:spacing w:line="288" w:lineRule="auto"/>
        <w:rPr>
          <w:rFonts w:ascii="Arial" w:eastAsia="Times New Roman" w:hAnsi="Arial"/>
          <w:sz w:val="20"/>
          <w:szCs w:val="20"/>
        </w:rPr>
      </w:pPr>
      <w:r>
        <w:rPr>
          <w:rFonts w:ascii="Arial" w:eastAsia="Times New Roman" w:hAnsi="Arial"/>
          <w:sz w:val="20"/>
          <w:szCs w:val="20"/>
        </w:rPr>
        <w:t>6 September</w:t>
      </w:r>
      <w:r w:rsidR="009A01FD" w:rsidRPr="009A01FD">
        <w:rPr>
          <w:rFonts w:ascii="Arial" w:eastAsia="Times New Roman" w:hAnsi="Arial"/>
          <w:sz w:val="20"/>
          <w:szCs w:val="20"/>
        </w:rPr>
        <w:t xml:space="preserve"> 2021</w:t>
      </w:r>
      <w:bookmarkStart w:id="0" w:name="Text"/>
      <w:bookmarkEnd w:id="0"/>
    </w:p>
    <w:p w14:paraId="6124CB51" w14:textId="77777777" w:rsidR="009A01FD" w:rsidRPr="009A01FD" w:rsidRDefault="009A01FD" w:rsidP="009A01FD">
      <w:pPr>
        <w:spacing w:line="288" w:lineRule="auto"/>
        <w:rPr>
          <w:rFonts w:ascii="Arial" w:eastAsia="Times New Roman" w:hAnsi="Arial"/>
          <w:sz w:val="20"/>
          <w:szCs w:val="20"/>
          <w:u w:val="single"/>
        </w:rPr>
      </w:pPr>
    </w:p>
    <w:p w14:paraId="5B98C4CE" w14:textId="46A21FBF" w:rsidR="009A01FD" w:rsidRPr="009A01FD" w:rsidRDefault="009A01FD" w:rsidP="009A01FD">
      <w:pPr>
        <w:spacing w:line="288" w:lineRule="auto"/>
        <w:jc w:val="both"/>
        <w:rPr>
          <w:rFonts w:ascii="Arial" w:eastAsia="Times New Roman" w:hAnsi="Arial" w:cs="Arial"/>
          <w:sz w:val="20"/>
          <w:szCs w:val="20"/>
        </w:rPr>
      </w:pPr>
      <w:bookmarkStart w:id="1" w:name="deartext"/>
      <w:r w:rsidRPr="009A01FD">
        <w:rPr>
          <w:rFonts w:ascii="Arial" w:eastAsia="Times New Roman" w:hAnsi="Arial" w:cs="Arial"/>
          <w:sz w:val="20"/>
          <w:szCs w:val="20"/>
        </w:rPr>
        <w:t>Dear</w:t>
      </w:r>
      <w:bookmarkEnd w:id="1"/>
      <w:r w:rsidRPr="009A01FD">
        <w:rPr>
          <w:rFonts w:ascii="Arial" w:eastAsia="Times New Roman" w:hAnsi="Arial" w:cs="Arial"/>
          <w:sz w:val="20"/>
          <w:szCs w:val="20"/>
        </w:rPr>
        <w:t xml:space="preserve"> </w:t>
      </w:r>
      <w:bookmarkStart w:id="2" w:name="Sal"/>
      <w:bookmarkEnd w:id="2"/>
      <w:r w:rsidR="004A7939">
        <w:rPr>
          <w:rFonts w:ascii="Arial" w:eastAsia="Times New Roman" w:hAnsi="Arial" w:cs="Arial"/>
          <w:sz w:val="20"/>
          <w:szCs w:val="20"/>
        </w:rPr>
        <w:t>Merck/Pfizer Alliance</w:t>
      </w:r>
    </w:p>
    <w:bookmarkStart w:id="3" w:name="Heading"/>
    <w:bookmarkEnd w:id="3"/>
    <w:p w14:paraId="0EC2FFA3" w14:textId="77777777" w:rsidR="009A01FD" w:rsidRPr="009A01FD" w:rsidRDefault="009A01FD" w:rsidP="009A01FD">
      <w:pPr>
        <w:spacing w:line="288" w:lineRule="auto"/>
        <w:ind w:left="426" w:right="468" w:hanging="426"/>
        <w:jc w:val="both"/>
        <w:rPr>
          <w:rFonts w:ascii="Arial" w:eastAsia="Times New Roman" w:hAnsi="Arial" w:cs="Arial"/>
          <w:sz w:val="20"/>
          <w:szCs w:val="20"/>
        </w:rPr>
      </w:pPr>
      <w:r w:rsidRPr="009A01FD">
        <w:rPr>
          <w:rFonts w:ascii="Arial" w:eastAsia="Times New Roman" w:hAnsi="Arial" w:cs="Arial"/>
          <w:noProof/>
          <w:spacing w:val="-3"/>
          <w:sz w:val="20"/>
          <w:szCs w:val="20"/>
          <w:lang w:eastAsia="en-GB"/>
        </w:rPr>
        <mc:AlternateContent>
          <mc:Choice Requires="wps">
            <w:drawing>
              <wp:anchor distT="4294967294" distB="4294967294" distL="114300" distR="114300" simplePos="0" relativeHeight="251659264" behindDoc="0" locked="0" layoutInCell="1" allowOverlap="1" wp14:anchorId="0D08AB02" wp14:editId="209532D6">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2FB2D9"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0AoOm8oBAACBAwAADgAA&#10;AAAAAAAAAAAAAAAuAgAAZHJzL2Uyb0RvYy54bWxQSwECLQAUAAYACAAAACEA2X1V2eAAAAALAQAA&#10;DwAAAAAAAAAAAAAAAAAkBAAAZHJzL2Rvd25yZXYueG1sUEsFBgAAAAAEAAQA8wAAADEFAAAAAA==&#10;" strokecolor="#505050" strokeweight=".25pt">
                <o:lock v:ext="edit" shapetype="f"/>
              </v:line>
            </w:pict>
          </mc:Fallback>
        </mc:AlternateContent>
      </w:r>
      <w:r w:rsidRPr="009A01FD">
        <w:rPr>
          <w:rFonts w:ascii="Arial" w:eastAsia="Times New Roman" w:hAnsi="Arial" w:cs="Arial"/>
          <w:b/>
          <w:spacing w:val="-3"/>
          <w:sz w:val="20"/>
          <w:szCs w:val="20"/>
        </w:rPr>
        <w:t xml:space="preserve">Re: </w:t>
      </w:r>
      <w:r w:rsidRPr="009A01FD">
        <w:rPr>
          <w:rFonts w:ascii="Arial" w:eastAsia="Times New Roman" w:hAnsi="Arial" w:cs="Arial"/>
          <w:b/>
          <w:sz w:val="20"/>
          <w:szCs w:val="20"/>
        </w:rPr>
        <w:t>Final Appraisal Document –</w:t>
      </w:r>
      <w:r w:rsidRPr="009A01FD">
        <w:rPr>
          <w:rFonts w:ascii="Arial" w:eastAsia="Times New Roman" w:hAnsi="Arial"/>
          <w:sz w:val="20"/>
          <w:szCs w:val="20"/>
        </w:rPr>
        <w:t xml:space="preserve"> </w:t>
      </w:r>
      <w:r w:rsidRPr="009A01FD">
        <w:rPr>
          <w:rFonts w:ascii="Arial" w:eastAsia="Times New Roman" w:hAnsi="Arial" w:cs="Arial"/>
          <w:b/>
          <w:sz w:val="20"/>
          <w:szCs w:val="20"/>
        </w:rPr>
        <w:t>avelumab for maintenance treatment of locally advanced or metastatic urothelial cancer after platinum-based chemotherapy [ID3735]</w:t>
      </w:r>
    </w:p>
    <w:p w14:paraId="76BEC331" w14:textId="77777777" w:rsidR="00057895" w:rsidRPr="00057895" w:rsidRDefault="00057895" w:rsidP="00057895">
      <w:pPr>
        <w:spacing w:line="288" w:lineRule="auto"/>
        <w:rPr>
          <w:rFonts w:ascii="Arial" w:eastAsia="Times New Roman" w:hAnsi="Arial" w:cs="Arial"/>
          <w:sz w:val="20"/>
          <w:szCs w:val="20"/>
        </w:rPr>
      </w:pPr>
      <w:r w:rsidRPr="00057895">
        <w:rPr>
          <w:rFonts w:ascii="Arial" w:eastAsia="Times New Roman" w:hAnsi="Arial" w:cs="Arial"/>
          <w:sz w:val="20"/>
          <w:szCs w:val="20"/>
        </w:rPr>
        <w:t>Thank you for your letter of 27 August 2021.  This letter is my final decision on initial scrutiny.</w:t>
      </w:r>
    </w:p>
    <w:p w14:paraId="0F5332C1" w14:textId="77777777" w:rsidR="00057895" w:rsidRPr="00057895" w:rsidRDefault="00057895" w:rsidP="00057895">
      <w:pPr>
        <w:spacing w:line="288" w:lineRule="auto"/>
        <w:rPr>
          <w:rFonts w:ascii="Arial" w:eastAsia="Times New Roman" w:hAnsi="Arial" w:cs="Arial"/>
          <w:b/>
          <w:i/>
          <w:sz w:val="20"/>
          <w:szCs w:val="20"/>
        </w:rPr>
      </w:pPr>
      <w:r w:rsidRPr="00057895">
        <w:rPr>
          <w:rFonts w:ascii="Arial" w:eastAsia="Times New Roman" w:hAnsi="Arial" w:cs="Arial"/>
          <w:b/>
          <w:i/>
          <w:sz w:val="20"/>
          <w:szCs w:val="20"/>
        </w:rPr>
        <w:t>Ground 1(a): In making the assessment that preceded the recommendation, NICE has failed to act fairly</w:t>
      </w:r>
    </w:p>
    <w:p w14:paraId="685AC010" w14:textId="77777777" w:rsidR="00057895" w:rsidRPr="00057895" w:rsidRDefault="00057895" w:rsidP="00057895">
      <w:pPr>
        <w:numPr>
          <w:ilvl w:val="1"/>
          <w:numId w:val="2"/>
        </w:numPr>
        <w:spacing w:line="288" w:lineRule="auto"/>
        <w:rPr>
          <w:rFonts w:ascii="Arial" w:eastAsia="Times New Roman" w:hAnsi="Arial" w:cs="Arial"/>
          <w:i/>
          <w:sz w:val="20"/>
          <w:szCs w:val="20"/>
        </w:rPr>
      </w:pPr>
      <w:r w:rsidRPr="00057895">
        <w:rPr>
          <w:rFonts w:ascii="Arial" w:eastAsia="Times New Roman" w:hAnsi="Arial" w:cs="Arial"/>
          <w:i/>
          <w:sz w:val="20"/>
          <w:szCs w:val="20"/>
        </w:rPr>
        <w:t>The Committee’s conclusion that a stopping rule is inappropriate for avelumab is inconsistent with previous appraisals for immunotherapies (IOs) in metastatic urothelial cancer (</w:t>
      </w:r>
      <w:proofErr w:type="spellStart"/>
      <w:r w:rsidRPr="00057895">
        <w:rPr>
          <w:rFonts w:ascii="Arial" w:eastAsia="Times New Roman" w:hAnsi="Arial" w:cs="Arial"/>
          <w:i/>
          <w:sz w:val="20"/>
          <w:szCs w:val="20"/>
        </w:rPr>
        <w:t>mUC</w:t>
      </w:r>
      <w:proofErr w:type="spellEnd"/>
      <w:r w:rsidRPr="00057895">
        <w:rPr>
          <w:rFonts w:ascii="Arial" w:eastAsia="Times New Roman" w:hAnsi="Arial" w:cs="Arial"/>
          <w:i/>
          <w:sz w:val="20"/>
          <w:szCs w:val="20"/>
        </w:rPr>
        <w:t>).</w:t>
      </w:r>
    </w:p>
    <w:p w14:paraId="7C8702A5" w14:textId="77777777" w:rsidR="00057895" w:rsidRPr="00057895" w:rsidRDefault="00057895" w:rsidP="00057895">
      <w:pPr>
        <w:spacing w:line="288" w:lineRule="auto"/>
        <w:rPr>
          <w:rFonts w:ascii="Arial" w:eastAsia="Times New Roman" w:hAnsi="Arial" w:cs="Arial"/>
          <w:sz w:val="20"/>
          <w:szCs w:val="20"/>
        </w:rPr>
      </w:pPr>
      <w:r w:rsidRPr="00057895">
        <w:rPr>
          <w:rFonts w:ascii="Arial" w:eastAsia="Times New Roman" w:hAnsi="Arial" w:cs="Arial"/>
          <w:sz w:val="20"/>
          <w:szCs w:val="20"/>
        </w:rPr>
        <w:t xml:space="preserve">I have considered your additional material carefully.  It still seems to me that it is impossible to argue that any inconsistency there may be between </w:t>
      </w:r>
      <w:proofErr w:type="gramStart"/>
      <w:r w:rsidRPr="00057895">
        <w:rPr>
          <w:rFonts w:ascii="Arial" w:eastAsia="Times New Roman" w:hAnsi="Arial" w:cs="Arial"/>
          <w:sz w:val="20"/>
          <w:szCs w:val="20"/>
        </w:rPr>
        <w:t>this</w:t>
      </w:r>
      <w:proofErr w:type="gramEnd"/>
      <w:r w:rsidRPr="00057895">
        <w:rPr>
          <w:rFonts w:ascii="Arial" w:eastAsia="Times New Roman" w:hAnsi="Arial" w:cs="Arial"/>
          <w:sz w:val="20"/>
          <w:szCs w:val="20"/>
        </w:rPr>
        <w:t xml:space="preserve"> and previous appraisals is unfair or a breach of any of NICE’s procedures.  I cannot agree that “the committee has provided no reasons for diverging from the stopping rule approach it accepted in TA525.”  They have done as you acknowledge.</w:t>
      </w:r>
    </w:p>
    <w:p w14:paraId="627D762A" w14:textId="16C7E68C" w:rsidR="00057895" w:rsidRPr="00057895" w:rsidRDefault="00057895" w:rsidP="00057895">
      <w:pPr>
        <w:spacing w:line="288" w:lineRule="auto"/>
        <w:rPr>
          <w:rFonts w:ascii="Arial" w:eastAsia="Times New Roman" w:hAnsi="Arial" w:cs="Arial"/>
          <w:sz w:val="20"/>
          <w:szCs w:val="20"/>
        </w:rPr>
      </w:pPr>
      <w:r w:rsidRPr="00057895">
        <w:rPr>
          <w:rFonts w:ascii="Arial" w:eastAsia="Times New Roman" w:hAnsi="Arial" w:cs="Arial"/>
          <w:sz w:val="20"/>
          <w:szCs w:val="20"/>
        </w:rPr>
        <w:t xml:space="preserve">I take your argument to be that the reasons given are flawed.  That is a valid appeal </w:t>
      </w:r>
      <w:proofErr w:type="gramStart"/>
      <w:r w:rsidRPr="00057895">
        <w:rPr>
          <w:rFonts w:ascii="Arial" w:eastAsia="Times New Roman" w:hAnsi="Arial" w:cs="Arial"/>
          <w:sz w:val="20"/>
          <w:szCs w:val="20"/>
        </w:rPr>
        <w:t>argument</w:t>
      </w:r>
      <w:proofErr w:type="gramEnd"/>
      <w:r w:rsidRPr="00057895">
        <w:rPr>
          <w:rFonts w:ascii="Arial" w:eastAsia="Times New Roman" w:hAnsi="Arial" w:cs="Arial"/>
          <w:sz w:val="20"/>
          <w:szCs w:val="20"/>
        </w:rPr>
        <w:t xml:space="preserve"> but it falls under ground 2, because you are challenging the substance of the committee’s decision.  (Put another way, </w:t>
      </w:r>
      <w:proofErr w:type="gramStart"/>
      <w:r w:rsidRPr="00057895">
        <w:rPr>
          <w:rFonts w:ascii="Arial" w:eastAsia="Times New Roman" w:hAnsi="Arial" w:cs="Arial"/>
          <w:sz w:val="20"/>
          <w:szCs w:val="20"/>
        </w:rPr>
        <w:t>in order to</w:t>
      </w:r>
      <w:proofErr w:type="gramEnd"/>
      <w:r w:rsidRPr="00057895">
        <w:rPr>
          <w:rFonts w:ascii="Arial" w:eastAsia="Times New Roman" w:hAnsi="Arial" w:cs="Arial"/>
          <w:sz w:val="20"/>
          <w:szCs w:val="20"/>
        </w:rPr>
        <w:t xml:space="preserve"> agree with you that “no reasons” have been given, the appeal panel would have to be persuaded that the reasons that have been given are essentially void.  In turn, to do so they would have to conclude that the committee had acted unreasonably. Once they had reached that conclusion it would add nothing to go on and say that there was also a failure to explain an inconsistency versus a previous appraisal.)</w:t>
      </w:r>
    </w:p>
    <w:p w14:paraId="022B1DC7" w14:textId="0DE456DE" w:rsidR="00057895" w:rsidRPr="00057895" w:rsidRDefault="00057895" w:rsidP="00057895">
      <w:pPr>
        <w:spacing w:line="288" w:lineRule="auto"/>
        <w:rPr>
          <w:rFonts w:ascii="Arial" w:eastAsia="Times New Roman" w:hAnsi="Arial" w:cs="Arial"/>
          <w:sz w:val="20"/>
          <w:szCs w:val="20"/>
        </w:rPr>
      </w:pPr>
      <w:r w:rsidRPr="00057895">
        <w:rPr>
          <w:rFonts w:ascii="Arial" w:eastAsia="Times New Roman" w:hAnsi="Arial" w:cs="Arial"/>
          <w:sz w:val="20"/>
          <w:szCs w:val="20"/>
        </w:rPr>
        <w:t>Therefore</w:t>
      </w:r>
      <w:r>
        <w:rPr>
          <w:rFonts w:ascii="Arial" w:eastAsia="Times New Roman" w:hAnsi="Arial" w:cs="Arial"/>
          <w:sz w:val="20"/>
          <w:szCs w:val="20"/>
        </w:rPr>
        <w:t>,</w:t>
      </w:r>
      <w:r w:rsidRPr="00057895">
        <w:rPr>
          <w:rFonts w:ascii="Arial" w:eastAsia="Times New Roman" w:hAnsi="Arial" w:cs="Arial"/>
          <w:sz w:val="20"/>
          <w:szCs w:val="20"/>
        </w:rPr>
        <w:t xml:space="preserve"> I will refer this point to an appeal panel but </w:t>
      </w:r>
      <w:proofErr w:type="spellStart"/>
      <w:r w:rsidRPr="00057895">
        <w:rPr>
          <w:rFonts w:ascii="Arial" w:eastAsia="Times New Roman" w:hAnsi="Arial" w:cs="Arial"/>
          <w:sz w:val="20"/>
          <w:szCs w:val="20"/>
        </w:rPr>
        <w:t>under ground</w:t>
      </w:r>
      <w:proofErr w:type="spellEnd"/>
      <w:r w:rsidRPr="00057895">
        <w:rPr>
          <w:rFonts w:ascii="Arial" w:eastAsia="Times New Roman" w:hAnsi="Arial" w:cs="Arial"/>
          <w:sz w:val="20"/>
          <w:szCs w:val="20"/>
        </w:rPr>
        <w:t xml:space="preserve"> 2. </w:t>
      </w:r>
    </w:p>
    <w:p w14:paraId="4B21F9B7" w14:textId="77777777" w:rsidR="00057895" w:rsidRPr="00057895" w:rsidRDefault="00057895" w:rsidP="00057895">
      <w:pPr>
        <w:numPr>
          <w:ilvl w:val="1"/>
          <w:numId w:val="2"/>
        </w:numPr>
        <w:spacing w:line="288" w:lineRule="auto"/>
        <w:rPr>
          <w:rFonts w:ascii="Arial" w:eastAsia="Times New Roman" w:hAnsi="Arial" w:cs="Arial"/>
          <w:i/>
          <w:sz w:val="20"/>
          <w:szCs w:val="20"/>
        </w:rPr>
      </w:pPr>
      <w:r w:rsidRPr="00057895">
        <w:rPr>
          <w:rFonts w:ascii="Arial" w:eastAsia="Times New Roman" w:hAnsi="Arial" w:cs="Arial"/>
          <w:i/>
          <w:sz w:val="20"/>
          <w:szCs w:val="20"/>
        </w:rPr>
        <w:t xml:space="preserve">The Committee has relied upon irrelevant considerations in deciding that it would not implement a stopping rule for avelumab </w:t>
      </w:r>
    </w:p>
    <w:p w14:paraId="7175B194" w14:textId="0BE52A24" w:rsidR="00057895" w:rsidRPr="00057895" w:rsidRDefault="00057895" w:rsidP="00057895">
      <w:pPr>
        <w:spacing w:line="288" w:lineRule="auto"/>
        <w:rPr>
          <w:rFonts w:ascii="Arial" w:eastAsia="Times New Roman" w:hAnsi="Arial" w:cs="Arial"/>
          <w:sz w:val="20"/>
          <w:szCs w:val="20"/>
        </w:rPr>
      </w:pPr>
      <w:r w:rsidRPr="00057895">
        <w:rPr>
          <w:rFonts w:ascii="Arial" w:eastAsia="Times New Roman" w:hAnsi="Arial" w:cs="Arial"/>
          <w:sz w:val="20"/>
          <w:szCs w:val="20"/>
        </w:rPr>
        <w:t xml:space="preserve">I am afraid I do not agree that the FAD wording you have quoted implies the committee felt bounded in the conclusion they could reach. Furthermore, if that were the case then there would have been no need for them to have discussed other considerations bearing on the possibility of a stopping rule, which they do extensively. </w:t>
      </w:r>
    </w:p>
    <w:p w14:paraId="4B2A7247" w14:textId="77777777" w:rsidR="00057895" w:rsidRPr="00057895" w:rsidRDefault="00057895" w:rsidP="00057895">
      <w:pPr>
        <w:spacing w:line="288" w:lineRule="auto"/>
        <w:rPr>
          <w:rFonts w:ascii="Arial" w:eastAsia="Times New Roman" w:hAnsi="Arial" w:cs="Arial"/>
          <w:sz w:val="20"/>
          <w:szCs w:val="20"/>
        </w:rPr>
      </w:pPr>
      <w:r w:rsidRPr="00057895">
        <w:rPr>
          <w:rFonts w:ascii="Arial" w:eastAsia="Times New Roman" w:hAnsi="Arial" w:cs="Arial"/>
          <w:sz w:val="20"/>
          <w:szCs w:val="20"/>
        </w:rPr>
        <w:t>I therefore conclude this is not a valid appeal point.</w:t>
      </w:r>
    </w:p>
    <w:p w14:paraId="366EDCD8" w14:textId="77777777" w:rsidR="00057895" w:rsidRPr="00057895" w:rsidRDefault="00057895" w:rsidP="00057895">
      <w:pPr>
        <w:numPr>
          <w:ilvl w:val="1"/>
          <w:numId w:val="2"/>
        </w:numPr>
        <w:spacing w:line="288" w:lineRule="auto"/>
        <w:rPr>
          <w:rFonts w:ascii="Arial" w:eastAsia="Times New Roman" w:hAnsi="Arial" w:cs="Arial"/>
          <w:i/>
          <w:sz w:val="20"/>
          <w:szCs w:val="20"/>
        </w:rPr>
      </w:pPr>
      <w:r w:rsidRPr="00057895">
        <w:rPr>
          <w:rFonts w:ascii="Arial" w:eastAsia="Times New Roman" w:hAnsi="Arial" w:cs="Arial"/>
          <w:i/>
          <w:sz w:val="20"/>
          <w:szCs w:val="20"/>
        </w:rPr>
        <w:lastRenderedPageBreak/>
        <w:t>The Committee has provided no explanation for its concern that it would be difficult for patients to accept discontinuance of treatment after 2 years and for rejecting the evidence of the clinical and patient experts and patient organisations</w:t>
      </w:r>
    </w:p>
    <w:p w14:paraId="561B1625" w14:textId="77777777" w:rsidR="00057895" w:rsidRPr="00057895" w:rsidRDefault="00057895" w:rsidP="00057895">
      <w:pPr>
        <w:spacing w:line="288" w:lineRule="auto"/>
        <w:rPr>
          <w:rFonts w:ascii="Arial" w:eastAsia="Times New Roman" w:hAnsi="Arial" w:cs="Arial"/>
          <w:sz w:val="20"/>
          <w:szCs w:val="20"/>
        </w:rPr>
      </w:pPr>
      <w:r w:rsidRPr="00057895">
        <w:rPr>
          <w:rFonts w:ascii="Arial" w:eastAsia="Times New Roman" w:hAnsi="Arial" w:cs="Arial"/>
          <w:sz w:val="20"/>
          <w:szCs w:val="20"/>
        </w:rPr>
        <w:t xml:space="preserve">I broadly agree that “Rigorous decision-making requires that the decision-maker explains its viewpoint with appropriate reasoning”, but the question is what is appropriate.  Here we can see that the committee are aware of the opinions of patients and experts, and we can see they disagree, or at any rate that those opinions do not carry the day.  I still take the view that this is the degree of reasoning that is required by fairness.  I do have to note that the committee expressed the same view in the </w:t>
      </w:r>
      <w:proofErr w:type="gramStart"/>
      <w:r w:rsidRPr="00057895">
        <w:rPr>
          <w:rFonts w:ascii="Arial" w:eastAsia="Times New Roman" w:hAnsi="Arial" w:cs="Arial"/>
          <w:sz w:val="20"/>
          <w:szCs w:val="20"/>
        </w:rPr>
        <w:t>ACD</w:t>
      </w:r>
      <w:proofErr w:type="gramEnd"/>
      <w:r w:rsidRPr="00057895">
        <w:rPr>
          <w:rFonts w:ascii="Arial" w:eastAsia="Times New Roman" w:hAnsi="Arial" w:cs="Arial"/>
          <w:sz w:val="20"/>
          <w:szCs w:val="20"/>
        </w:rPr>
        <w:t xml:space="preserve"> and you did not challenge it as unfair at that point, or say that you were prevented from engaging with the appraisal because of a lack of reasoning here.  I am also not sure how much more reasoning could be given on this point.  I assume it is obvious why the withdrawal of treatment from all patients after two years is potentially problematic, and it seems to me very much a matter of judgement how problematic it may be.  Patients and clinical experts took the view that if well managed it would not be very difficult, and the committee felt that might be overly optimistic.  I do not think much more can be said, so far as giving reasons is concerned.</w:t>
      </w:r>
    </w:p>
    <w:p w14:paraId="682D74D0" w14:textId="77777777" w:rsidR="00057895" w:rsidRPr="00057895" w:rsidRDefault="00057895" w:rsidP="00057895">
      <w:pPr>
        <w:spacing w:line="288" w:lineRule="auto"/>
        <w:rPr>
          <w:rFonts w:ascii="Arial" w:eastAsia="Times New Roman" w:hAnsi="Arial" w:cs="Arial"/>
          <w:sz w:val="20"/>
          <w:szCs w:val="20"/>
        </w:rPr>
      </w:pPr>
      <w:r w:rsidRPr="00057895">
        <w:rPr>
          <w:rFonts w:ascii="Arial" w:eastAsia="Times New Roman" w:hAnsi="Arial" w:cs="Arial"/>
          <w:sz w:val="20"/>
          <w:szCs w:val="20"/>
        </w:rPr>
        <w:t>I therefore conclude this is not a valid appeal point.</w:t>
      </w:r>
    </w:p>
    <w:p w14:paraId="32E73491" w14:textId="77777777" w:rsidR="00057895" w:rsidRPr="00057895" w:rsidRDefault="00057895" w:rsidP="00057895">
      <w:pPr>
        <w:numPr>
          <w:ilvl w:val="1"/>
          <w:numId w:val="2"/>
        </w:numPr>
        <w:spacing w:line="288" w:lineRule="auto"/>
        <w:rPr>
          <w:rFonts w:ascii="Arial" w:eastAsia="Times New Roman" w:hAnsi="Arial" w:cs="Arial"/>
          <w:i/>
          <w:sz w:val="20"/>
          <w:szCs w:val="20"/>
        </w:rPr>
      </w:pPr>
      <w:r w:rsidRPr="00057895">
        <w:rPr>
          <w:rFonts w:ascii="Arial" w:eastAsia="Times New Roman" w:hAnsi="Arial" w:cs="Arial"/>
          <w:i/>
          <w:sz w:val="20"/>
          <w:szCs w:val="20"/>
        </w:rPr>
        <w:t>In view of the Committee’s view that it would be difficult for patients to accept a stopping rule for avelumab at 2 years, despite substantial evidence to the contrary, the clinical and patient experts should have been invited to attend the second meeting of the Appraisal Committee</w:t>
      </w:r>
    </w:p>
    <w:p w14:paraId="6AD872D1" w14:textId="77777777" w:rsidR="00057895" w:rsidRPr="00057895" w:rsidRDefault="00057895" w:rsidP="00057895">
      <w:pPr>
        <w:spacing w:line="288" w:lineRule="auto"/>
        <w:rPr>
          <w:rFonts w:ascii="Arial" w:eastAsia="Times New Roman" w:hAnsi="Arial" w:cs="Arial"/>
          <w:sz w:val="20"/>
          <w:szCs w:val="20"/>
        </w:rPr>
      </w:pPr>
      <w:r w:rsidRPr="00057895">
        <w:rPr>
          <w:rFonts w:ascii="Arial" w:eastAsia="Times New Roman" w:hAnsi="Arial" w:cs="Arial"/>
          <w:sz w:val="20"/>
          <w:szCs w:val="20"/>
        </w:rPr>
        <w:t xml:space="preserve">I do not agree that the committee is required as a matter of fairness to hear from experts again simply because they propose to disagree with them.  That disagreement had been made clear in the ACD and was raised by at least one consultee (although not your company).  Consultees had a chance to challenge the disagreement in writing and the committee had </w:t>
      </w:r>
      <w:proofErr w:type="gramStart"/>
      <w:r w:rsidRPr="00057895">
        <w:rPr>
          <w:rFonts w:ascii="Arial" w:eastAsia="Times New Roman" w:hAnsi="Arial" w:cs="Arial"/>
          <w:sz w:val="20"/>
          <w:szCs w:val="20"/>
        </w:rPr>
        <w:t>all of</w:t>
      </w:r>
      <w:proofErr w:type="gramEnd"/>
      <w:r w:rsidRPr="00057895">
        <w:rPr>
          <w:rFonts w:ascii="Arial" w:eastAsia="Times New Roman" w:hAnsi="Arial" w:cs="Arial"/>
          <w:sz w:val="20"/>
          <w:szCs w:val="20"/>
        </w:rPr>
        <w:t xml:space="preserve"> the relevant material before them.  This is not a case where the experts views were unclear, but rather they were not agreed with.  So far as fairness is concerned it seems to me that the committee did all that they are required to do.</w:t>
      </w:r>
    </w:p>
    <w:p w14:paraId="0CB9BB75" w14:textId="77777777" w:rsidR="00057895" w:rsidRPr="00057895" w:rsidRDefault="00057895" w:rsidP="00057895">
      <w:pPr>
        <w:spacing w:line="288" w:lineRule="auto"/>
        <w:rPr>
          <w:rFonts w:ascii="Arial" w:eastAsia="Times New Roman" w:hAnsi="Arial" w:cs="Arial"/>
          <w:sz w:val="20"/>
          <w:szCs w:val="20"/>
        </w:rPr>
      </w:pPr>
      <w:r w:rsidRPr="00057895">
        <w:rPr>
          <w:rFonts w:ascii="Arial" w:eastAsia="Times New Roman" w:hAnsi="Arial" w:cs="Arial"/>
          <w:sz w:val="20"/>
          <w:szCs w:val="20"/>
        </w:rPr>
        <w:t>I therefore conclude this is not a valid appeal point.</w:t>
      </w:r>
    </w:p>
    <w:p w14:paraId="4C5930F9" w14:textId="77777777" w:rsidR="00057895" w:rsidRPr="00057895" w:rsidRDefault="00057895" w:rsidP="00057895">
      <w:pPr>
        <w:numPr>
          <w:ilvl w:val="1"/>
          <w:numId w:val="2"/>
        </w:numPr>
        <w:spacing w:line="288" w:lineRule="auto"/>
        <w:rPr>
          <w:rFonts w:ascii="Arial" w:eastAsia="Times New Roman" w:hAnsi="Arial" w:cs="Arial"/>
          <w:i/>
          <w:sz w:val="20"/>
          <w:szCs w:val="20"/>
        </w:rPr>
      </w:pPr>
      <w:r w:rsidRPr="00057895">
        <w:rPr>
          <w:rFonts w:ascii="Arial" w:eastAsia="Times New Roman" w:hAnsi="Arial" w:cs="Arial"/>
          <w:i/>
          <w:sz w:val="20"/>
          <w:szCs w:val="20"/>
        </w:rPr>
        <w:t>In questioning whether the evidence of clinical experts regarding life expectancy corresponded to the population eligible for maintenance treatment with avelumab despite evidence to the contrary, the clinical and patient experts should have been invited to attend the second meeting of the Appraisal Committee (17th June 2021)</w:t>
      </w:r>
    </w:p>
    <w:p w14:paraId="14B8A683" w14:textId="77777777" w:rsidR="00057895" w:rsidRPr="00057895" w:rsidRDefault="00057895" w:rsidP="00057895">
      <w:pPr>
        <w:spacing w:line="288" w:lineRule="auto"/>
        <w:rPr>
          <w:rFonts w:ascii="Arial" w:eastAsia="Times New Roman" w:hAnsi="Arial" w:cs="Arial"/>
          <w:sz w:val="20"/>
          <w:szCs w:val="20"/>
        </w:rPr>
      </w:pPr>
      <w:r w:rsidRPr="00057895">
        <w:rPr>
          <w:rFonts w:ascii="Arial" w:eastAsia="Times New Roman" w:hAnsi="Arial" w:cs="Arial"/>
          <w:sz w:val="20"/>
          <w:szCs w:val="20"/>
        </w:rPr>
        <w:t>Your comment is noted thank you.</w:t>
      </w:r>
    </w:p>
    <w:p w14:paraId="0AD8B234" w14:textId="77777777" w:rsidR="00057895" w:rsidRPr="00057895" w:rsidRDefault="00057895" w:rsidP="00057895">
      <w:pPr>
        <w:numPr>
          <w:ilvl w:val="1"/>
          <w:numId w:val="2"/>
        </w:numPr>
        <w:spacing w:line="288" w:lineRule="auto"/>
        <w:rPr>
          <w:rFonts w:ascii="Arial" w:eastAsia="Times New Roman" w:hAnsi="Arial" w:cs="Arial"/>
          <w:sz w:val="20"/>
          <w:szCs w:val="20"/>
        </w:rPr>
      </w:pPr>
      <w:r w:rsidRPr="00057895">
        <w:rPr>
          <w:rFonts w:ascii="Arial" w:eastAsia="Times New Roman" w:hAnsi="Arial" w:cs="Arial"/>
          <w:sz w:val="20"/>
          <w:szCs w:val="20"/>
        </w:rPr>
        <w:t>The Committee’s conclusion that it is not appropriate to pool health-state utilities across treatment arms is inconsistent with previous appraisals for immunotherapies (IOs) in metastatic urothelial cancer (</w:t>
      </w:r>
      <w:proofErr w:type="spellStart"/>
      <w:r w:rsidRPr="00057895">
        <w:rPr>
          <w:rFonts w:ascii="Arial" w:eastAsia="Times New Roman" w:hAnsi="Arial" w:cs="Arial"/>
          <w:sz w:val="20"/>
          <w:szCs w:val="20"/>
        </w:rPr>
        <w:t>mUC</w:t>
      </w:r>
      <w:proofErr w:type="spellEnd"/>
      <w:r w:rsidRPr="00057895">
        <w:rPr>
          <w:rFonts w:ascii="Arial" w:eastAsia="Times New Roman" w:hAnsi="Arial" w:cs="Arial"/>
          <w:sz w:val="20"/>
          <w:szCs w:val="20"/>
        </w:rPr>
        <w:t>).</w:t>
      </w:r>
    </w:p>
    <w:p w14:paraId="36393ABA" w14:textId="718E4FFC" w:rsidR="00057895" w:rsidRPr="00057895" w:rsidRDefault="00057895" w:rsidP="00057895">
      <w:pPr>
        <w:spacing w:line="288" w:lineRule="auto"/>
        <w:rPr>
          <w:rFonts w:ascii="Arial" w:eastAsia="Times New Roman" w:hAnsi="Arial" w:cs="Arial"/>
          <w:sz w:val="20"/>
          <w:szCs w:val="20"/>
        </w:rPr>
      </w:pPr>
      <w:r w:rsidRPr="00057895">
        <w:rPr>
          <w:rFonts w:ascii="Arial" w:eastAsia="Times New Roman" w:hAnsi="Arial" w:cs="Arial"/>
          <w:sz w:val="20"/>
          <w:szCs w:val="20"/>
        </w:rPr>
        <w:t xml:space="preserve">I note your position that there is no scientific basis for approaching this issue differently in the context of pembrolizumab (TA692) and avelumab but cannot agree this is arguable.  At FAD 3.12 the committee discuss this issue and note that in TA 692 patients on each arm of the trial went on to receive the same treatments, and that this was not the case here.  In any event, for an issue of technical judgement such as </w:t>
      </w:r>
      <w:proofErr w:type="gramStart"/>
      <w:r w:rsidRPr="00057895">
        <w:rPr>
          <w:rFonts w:ascii="Arial" w:eastAsia="Times New Roman" w:hAnsi="Arial" w:cs="Arial"/>
          <w:sz w:val="20"/>
          <w:szCs w:val="20"/>
        </w:rPr>
        <w:t>whether or not</w:t>
      </w:r>
      <w:proofErr w:type="gramEnd"/>
      <w:r w:rsidRPr="00057895">
        <w:rPr>
          <w:rFonts w:ascii="Arial" w:eastAsia="Times New Roman" w:hAnsi="Arial" w:cs="Arial"/>
          <w:sz w:val="20"/>
          <w:szCs w:val="20"/>
        </w:rPr>
        <w:t xml:space="preserve"> to pool health state utilities across treatment arms I am very wary of the danger of elevating a difference of judgement into a matter of fairness.  The greater the element of judgement the less there is to say about a difference in approach, and in my view the committee have said enough here. </w:t>
      </w:r>
    </w:p>
    <w:p w14:paraId="6257371D" w14:textId="26617F96" w:rsidR="00057895" w:rsidRPr="00057895" w:rsidRDefault="00057895" w:rsidP="00057895">
      <w:pPr>
        <w:spacing w:line="288" w:lineRule="auto"/>
        <w:rPr>
          <w:rFonts w:ascii="Arial" w:eastAsia="Times New Roman" w:hAnsi="Arial" w:cs="Arial"/>
          <w:sz w:val="20"/>
          <w:szCs w:val="20"/>
        </w:rPr>
      </w:pPr>
      <w:r w:rsidRPr="00057895">
        <w:rPr>
          <w:rFonts w:ascii="Arial" w:eastAsia="Times New Roman" w:hAnsi="Arial" w:cs="Arial"/>
          <w:sz w:val="20"/>
          <w:szCs w:val="20"/>
        </w:rPr>
        <w:t xml:space="preserve">I therefore conclude this is not a valid appeal point. </w:t>
      </w:r>
    </w:p>
    <w:p w14:paraId="46EA32D8" w14:textId="0568582A" w:rsidR="00057895" w:rsidRDefault="00057895" w:rsidP="00057895">
      <w:pPr>
        <w:spacing w:line="288" w:lineRule="auto"/>
        <w:rPr>
          <w:rFonts w:ascii="Arial" w:eastAsia="Times New Roman" w:hAnsi="Arial" w:cs="Arial"/>
          <w:b/>
          <w:i/>
          <w:sz w:val="20"/>
          <w:szCs w:val="20"/>
        </w:rPr>
      </w:pPr>
      <w:r w:rsidRPr="00057895">
        <w:rPr>
          <w:rFonts w:ascii="Arial" w:eastAsia="Times New Roman" w:hAnsi="Arial" w:cs="Arial"/>
          <w:b/>
          <w:i/>
          <w:sz w:val="20"/>
          <w:szCs w:val="20"/>
        </w:rPr>
        <w:lastRenderedPageBreak/>
        <w:t>Ground 2:</w:t>
      </w:r>
      <w:r w:rsidRPr="00057895">
        <w:rPr>
          <w:rFonts w:ascii="Arial" w:eastAsia="Times New Roman" w:hAnsi="Arial" w:cs="Arial"/>
          <w:i/>
          <w:sz w:val="20"/>
          <w:szCs w:val="20"/>
        </w:rPr>
        <w:t xml:space="preserve"> </w:t>
      </w:r>
      <w:r w:rsidRPr="00057895">
        <w:rPr>
          <w:rFonts w:ascii="Arial" w:eastAsia="Times New Roman" w:hAnsi="Arial" w:cs="Arial"/>
          <w:b/>
          <w:i/>
          <w:sz w:val="20"/>
          <w:szCs w:val="20"/>
        </w:rPr>
        <w:t>the recommendation is unreasonable in the light of the evidence submitted to NICE</w:t>
      </w:r>
    </w:p>
    <w:p w14:paraId="0F0AFF5B" w14:textId="77777777" w:rsidR="00057895" w:rsidRPr="00057895" w:rsidRDefault="00057895" w:rsidP="00057895">
      <w:pPr>
        <w:spacing w:line="288" w:lineRule="auto"/>
        <w:rPr>
          <w:rFonts w:ascii="Arial" w:eastAsia="Times New Roman" w:hAnsi="Arial" w:cs="Arial"/>
          <w:i/>
          <w:vanish/>
          <w:sz w:val="20"/>
          <w:szCs w:val="20"/>
        </w:rPr>
      </w:pPr>
    </w:p>
    <w:p w14:paraId="21AD641C" w14:textId="77777777" w:rsidR="00057895" w:rsidRPr="00057895" w:rsidRDefault="00057895" w:rsidP="00057895">
      <w:pPr>
        <w:spacing w:line="288" w:lineRule="auto"/>
        <w:rPr>
          <w:rFonts w:ascii="Arial" w:eastAsia="Times New Roman" w:hAnsi="Arial" w:cs="Arial"/>
          <w:i/>
          <w:vanish/>
          <w:sz w:val="20"/>
          <w:szCs w:val="20"/>
        </w:rPr>
      </w:pPr>
    </w:p>
    <w:p w14:paraId="13E63F45" w14:textId="77777777" w:rsidR="00057895" w:rsidRPr="00057895" w:rsidRDefault="00057895" w:rsidP="00057895">
      <w:pPr>
        <w:spacing w:line="288" w:lineRule="auto"/>
        <w:rPr>
          <w:rFonts w:ascii="Arial" w:eastAsia="Times New Roman" w:hAnsi="Arial" w:cs="Arial"/>
          <w:bCs/>
          <w:i/>
          <w:sz w:val="20"/>
          <w:szCs w:val="20"/>
        </w:rPr>
      </w:pPr>
      <w:r w:rsidRPr="00057895">
        <w:rPr>
          <w:rFonts w:ascii="Arial" w:eastAsia="Times New Roman" w:hAnsi="Arial" w:cs="Arial"/>
          <w:i/>
          <w:sz w:val="20"/>
          <w:szCs w:val="20"/>
        </w:rPr>
        <w:t>2.1</w:t>
      </w:r>
      <w:r w:rsidRPr="00057895">
        <w:rPr>
          <w:rFonts w:ascii="Arial" w:eastAsia="Times New Roman" w:hAnsi="Arial" w:cs="Arial"/>
          <w:i/>
          <w:sz w:val="20"/>
          <w:szCs w:val="20"/>
        </w:rPr>
        <w:tab/>
        <w:t xml:space="preserve"> In considering the application of the end of life criteria, the Committee has misapplied the relevant test and reached a conclusion which does not reflect the balance of the </w:t>
      </w:r>
      <w:proofErr w:type="gramStart"/>
      <w:r w:rsidRPr="00057895">
        <w:rPr>
          <w:rFonts w:ascii="Arial" w:eastAsia="Times New Roman" w:hAnsi="Arial" w:cs="Arial"/>
          <w:i/>
          <w:sz w:val="20"/>
          <w:szCs w:val="20"/>
        </w:rPr>
        <w:t>evidence.</w:t>
      </w:r>
      <w:r w:rsidRPr="00057895">
        <w:rPr>
          <w:rFonts w:ascii="Arial" w:eastAsia="Times New Roman" w:hAnsi="Arial" w:cs="Arial"/>
          <w:bCs/>
          <w:i/>
          <w:sz w:val="20"/>
          <w:szCs w:val="20"/>
        </w:rPr>
        <w:t>.</w:t>
      </w:r>
      <w:proofErr w:type="gramEnd"/>
      <w:r w:rsidRPr="00057895">
        <w:rPr>
          <w:rFonts w:ascii="Arial" w:eastAsia="Times New Roman" w:hAnsi="Arial" w:cs="Arial"/>
          <w:bCs/>
          <w:i/>
          <w:sz w:val="20"/>
          <w:szCs w:val="20"/>
        </w:rPr>
        <w:t>”</w:t>
      </w:r>
    </w:p>
    <w:p w14:paraId="0315FD48" w14:textId="33F2ED19" w:rsidR="00057895" w:rsidRPr="00057895" w:rsidRDefault="00057895" w:rsidP="00057895">
      <w:pPr>
        <w:spacing w:line="288" w:lineRule="auto"/>
        <w:rPr>
          <w:rFonts w:ascii="Arial" w:eastAsia="Times New Roman" w:hAnsi="Arial" w:cs="Arial"/>
          <w:sz w:val="20"/>
          <w:szCs w:val="20"/>
        </w:rPr>
      </w:pPr>
      <w:r w:rsidRPr="00057895">
        <w:rPr>
          <w:rFonts w:ascii="Arial" w:eastAsia="Times New Roman" w:hAnsi="Arial" w:cs="Arial"/>
          <w:sz w:val="20"/>
          <w:szCs w:val="20"/>
        </w:rPr>
        <w:t>Already agreed to be valid</w:t>
      </w:r>
      <w:r>
        <w:rPr>
          <w:rFonts w:ascii="Arial" w:eastAsia="Times New Roman" w:hAnsi="Arial" w:cs="Arial"/>
          <w:sz w:val="20"/>
          <w:szCs w:val="20"/>
        </w:rPr>
        <w:t>.</w:t>
      </w:r>
    </w:p>
    <w:p w14:paraId="7DA26402" w14:textId="77777777" w:rsidR="00057895" w:rsidRPr="00057895" w:rsidRDefault="00057895" w:rsidP="00057895">
      <w:pPr>
        <w:spacing w:line="288" w:lineRule="auto"/>
        <w:rPr>
          <w:rFonts w:ascii="Arial" w:eastAsia="Times New Roman" w:hAnsi="Arial" w:cs="Arial"/>
          <w:sz w:val="20"/>
          <w:szCs w:val="20"/>
        </w:rPr>
      </w:pPr>
      <w:r w:rsidRPr="00057895">
        <w:rPr>
          <w:rFonts w:ascii="Arial" w:eastAsia="Times New Roman" w:hAnsi="Arial" w:cs="Arial"/>
          <w:sz w:val="20"/>
          <w:szCs w:val="20"/>
        </w:rPr>
        <w:t xml:space="preserve">2.2 </w:t>
      </w:r>
      <w:r w:rsidRPr="00057895">
        <w:rPr>
          <w:rFonts w:ascii="Arial" w:eastAsia="Times New Roman" w:hAnsi="Arial" w:cs="Arial"/>
          <w:i/>
          <w:sz w:val="20"/>
          <w:szCs w:val="20"/>
        </w:rPr>
        <w:tab/>
        <w:t>The Committee’s conclusion that it is not appropriate to pool health-state utilities across treatment arms may have been impacted by a misunderstanding of the impact this has on the ICER</w:t>
      </w:r>
    </w:p>
    <w:p w14:paraId="59E38B0D" w14:textId="6D99C54E" w:rsidR="00057895" w:rsidRPr="00057895" w:rsidRDefault="00057895" w:rsidP="00057895">
      <w:pPr>
        <w:spacing w:line="288" w:lineRule="auto"/>
        <w:rPr>
          <w:rFonts w:ascii="Arial" w:eastAsia="Times New Roman" w:hAnsi="Arial" w:cs="Arial"/>
          <w:sz w:val="20"/>
          <w:szCs w:val="20"/>
        </w:rPr>
      </w:pPr>
      <w:r w:rsidRPr="00057895">
        <w:rPr>
          <w:rFonts w:ascii="Arial" w:eastAsia="Times New Roman" w:hAnsi="Arial" w:cs="Arial"/>
          <w:sz w:val="20"/>
          <w:szCs w:val="20"/>
        </w:rPr>
        <w:t>I have reviewed your comments and the ACD and FAD.  In the ACD the committee noted</w:t>
      </w:r>
      <w:r>
        <w:rPr>
          <w:rFonts w:ascii="Arial" w:eastAsia="Times New Roman" w:hAnsi="Arial" w:cs="Arial"/>
          <w:sz w:val="20"/>
          <w:szCs w:val="20"/>
        </w:rPr>
        <w:t>,</w:t>
      </w:r>
      <w:r w:rsidRPr="00057895">
        <w:rPr>
          <w:rFonts w:ascii="Arial" w:eastAsia="Times New Roman" w:hAnsi="Arial" w:cs="Arial"/>
          <w:sz w:val="20"/>
          <w:szCs w:val="20"/>
        </w:rPr>
        <w:t xml:space="preserve"> “Using treatment-specific utilities slightly increases the ICER”</w:t>
      </w:r>
      <w:r w:rsidR="008877F4">
        <w:rPr>
          <w:rFonts w:ascii="Arial" w:eastAsia="Times New Roman" w:hAnsi="Arial" w:cs="Arial"/>
          <w:sz w:val="20"/>
          <w:szCs w:val="20"/>
        </w:rPr>
        <w:t>,</w:t>
      </w:r>
      <w:r w:rsidRPr="00057895">
        <w:rPr>
          <w:rFonts w:ascii="Arial" w:eastAsia="Times New Roman" w:hAnsi="Arial" w:cs="Arial"/>
          <w:sz w:val="20"/>
          <w:szCs w:val="20"/>
        </w:rPr>
        <w:t xml:space="preserve"> in the FAD they say</w:t>
      </w:r>
      <w:r w:rsidR="008877F4">
        <w:rPr>
          <w:rFonts w:ascii="Arial" w:eastAsia="Times New Roman" w:hAnsi="Arial" w:cs="Arial"/>
          <w:sz w:val="20"/>
          <w:szCs w:val="20"/>
        </w:rPr>
        <w:t>,</w:t>
      </w:r>
      <w:r w:rsidRPr="00057895">
        <w:rPr>
          <w:rFonts w:ascii="Arial" w:eastAsia="Times New Roman" w:hAnsi="Arial" w:cs="Arial"/>
          <w:sz w:val="20"/>
          <w:szCs w:val="20"/>
        </w:rPr>
        <w:t xml:space="preserve"> “Using pooled data for the health-state utilities slightly increased the ICER for avelumab”.  There is no material or discussion that would suggest they intended to change their minds and no explanation for why they would have gone from a correct understanding to a misunderstanding.  I feel confident this is a drafting error, and the change from referring from treatment-specific to pooled data has not been carried through into changing “increases” into “decreases”.</w:t>
      </w:r>
    </w:p>
    <w:p w14:paraId="095A58E7" w14:textId="25C26D52" w:rsidR="00057895" w:rsidRPr="00057895" w:rsidRDefault="00057895" w:rsidP="00057895">
      <w:pPr>
        <w:spacing w:line="288" w:lineRule="auto"/>
        <w:rPr>
          <w:rFonts w:ascii="Arial" w:eastAsia="Times New Roman" w:hAnsi="Arial" w:cs="Arial"/>
          <w:sz w:val="20"/>
          <w:szCs w:val="20"/>
        </w:rPr>
      </w:pPr>
      <w:r w:rsidRPr="00057895">
        <w:rPr>
          <w:rFonts w:ascii="Arial" w:eastAsia="Times New Roman" w:hAnsi="Arial" w:cs="Arial"/>
          <w:sz w:val="20"/>
          <w:szCs w:val="20"/>
        </w:rPr>
        <w:t>Therefore</w:t>
      </w:r>
      <w:r w:rsidR="008877F4">
        <w:rPr>
          <w:rFonts w:ascii="Arial" w:eastAsia="Times New Roman" w:hAnsi="Arial" w:cs="Arial"/>
          <w:sz w:val="20"/>
          <w:szCs w:val="20"/>
        </w:rPr>
        <w:t>,</w:t>
      </w:r>
      <w:r w:rsidRPr="00057895">
        <w:rPr>
          <w:rFonts w:ascii="Arial" w:eastAsia="Times New Roman" w:hAnsi="Arial" w:cs="Arial"/>
          <w:sz w:val="20"/>
          <w:szCs w:val="20"/>
        </w:rPr>
        <w:t xml:space="preserve"> the final valid appeal points are 1.1 (</w:t>
      </w:r>
      <w:proofErr w:type="spellStart"/>
      <w:r w:rsidRPr="00057895">
        <w:rPr>
          <w:rFonts w:ascii="Arial" w:eastAsia="Times New Roman" w:hAnsi="Arial" w:cs="Arial"/>
          <w:sz w:val="20"/>
          <w:szCs w:val="20"/>
        </w:rPr>
        <w:t>under ground</w:t>
      </w:r>
      <w:proofErr w:type="spellEnd"/>
      <w:r w:rsidRPr="00057895">
        <w:rPr>
          <w:rFonts w:ascii="Arial" w:eastAsia="Times New Roman" w:hAnsi="Arial" w:cs="Arial"/>
          <w:sz w:val="20"/>
          <w:szCs w:val="20"/>
        </w:rPr>
        <w:t xml:space="preserve"> 2) and 2.1.</w:t>
      </w:r>
    </w:p>
    <w:p w14:paraId="2A6953D9" w14:textId="77777777" w:rsidR="008877F4" w:rsidRDefault="008877F4" w:rsidP="009A01FD">
      <w:pPr>
        <w:spacing w:line="288" w:lineRule="auto"/>
        <w:jc w:val="both"/>
        <w:rPr>
          <w:rFonts w:ascii="Arial" w:eastAsia="Times New Roman" w:hAnsi="Arial" w:cs="Arial"/>
          <w:sz w:val="20"/>
          <w:szCs w:val="20"/>
        </w:rPr>
      </w:pPr>
    </w:p>
    <w:p w14:paraId="14EA8259" w14:textId="3F333447" w:rsidR="009A01FD" w:rsidRPr="009A01FD" w:rsidRDefault="009A01FD" w:rsidP="009A01FD">
      <w:pPr>
        <w:spacing w:line="288" w:lineRule="auto"/>
        <w:jc w:val="both"/>
        <w:rPr>
          <w:rFonts w:ascii="Arial" w:eastAsia="Times New Roman" w:hAnsi="Arial" w:cs="Arial"/>
          <w:sz w:val="20"/>
          <w:szCs w:val="20"/>
        </w:rPr>
      </w:pPr>
      <w:r w:rsidRPr="009A01FD">
        <w:rPr>
          <w:rFonts w:ascii="Arial" w:eastAsia="Times New Roman" w:hAnsi="Arial" w:cs="Arial"/>
          <w:sz w:val="20"/>
          <w:szCs w:val="20"/>
        </w:rPr>
        <w:t>Yours sincerely</w:t>
      </w:r>
    </w:p>
    <w:p w14:paraId="03974B88" w14:textId="165A35EA" w:rsidR="009A01FD" w:rsidRPr="009A01FD" w:rsidRDefault="009A01FD" w:rsidP="009A01FD">
      <w:pPr>
        <w:spacing w:line="360" w:lineRule="auto"/>
        <w:rPr>
          <w:rFonts w:ascii="Arial" w:eastAsia="Times New Roman" w:hAnsi="Arial" w:cs="Arial"/>
          <w:sz w:val="20"/>
          <w:szCs w:val="20"/>
        </w:rPr>
      </w:pPr>
    </w:p>
    <w:p w14:paraId="5E39408D"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Dr Mark Chakravarty</w:t>
      </w:r>
    </w:p>
    <w:p w14:paraId="556E3823"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Lead Non-executive Director for Appeals</w:t>
      </w:r>
    </w:p>
    <w:p w14:paraId="03E7BAFA" w14:textId="35D6236A" w:rsidR="000B36E1" w:rsidRPr="00FE3296" w:rsidRDefault="009A01FD" w:rsidP="009A01FD">
      <w:pPr>
        <w:spacing w:after="0" w:line="360" w:lineRule="auto"/>
        <w:rPr>
          <w:rFonts w:ascii="Arial" w:hAnsi="Arial" w:cs="Arial"/>
          <w:sz w:val="24"/>
          <w:szCs w:val="24"/>
        </w:rPr>
      </w:pPr>
      <w:r w:rsidRPr="009A01FD">
        <w:rPr>
          <w:rFonts w:ascii="Arial" w:eastAsia="Times New Roman" w:hAnsi="Arial" w:cs="Arial"/>
          <w:sz w:val="20"/>
          <w:szCs w:val="20"/>
        </w:rPr>
        <w:t>National Institute for Health and Care Excellence</w:t>
      </w:r>
    </w:p>
    <w:sectPr w:rsidR="000B36E1" w:rsidRPr="00FE3296"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57895"/>
    <w:rsid w:val="00085181"/>
    <w:rsid w:val="000B352B"/>
    <w:rsid w:val="000B36E1"/>
    <w:rsid w:val="00176AA4"/>
    <w:rsid w:val="001D5BD2"/>
    <w:rsid w:val="0022689E"/>
    <w:rsid w:val="00320722"/>
    <w:rsid w:val="00321B75"/>
    <w:rsid w:val="003A3E2E"/>
    <w:rsid w:val="003A79BD"/>
    <w:rsid w:val="003D614E"/>
    <w:rsid w:val="004215D9"/>
    <w:rsid w:val="00453774"/>
    <w:rsid w:val="0048679E"/>
    <w:rsid w:val="00493D2F"/>
    <w:rsid w:val="004A7939"/>
    <w:rsid w:val="004C2D22"/>
    <w:rsid w:val="004E4493"/>
    <w:rsid w:val="004F29D7"/>
    <w:rsid w:val="005B078B"/>
    <w:rsid w:val="005E0434"/>
    <w:rsid w:val="006447E3"/>
    <w:rsid w:val="00664844"/>
    <w:rsid w:val="0069376C"/>
    <w:rsid w:val="006D0C62"/>
    <w:rsid w:val="006F031D"/>
    <w:rsid w:val="00732227"/>
    <w:rsid w:val="00877BF6"/>
    <w:rsid w:val="008800D0"/>
    <w:rsid w:val="008877F4"/>
    <w:rsid w:val="008A3E73"/>
    <w:rsid w:val="009A01FD"/>
    <w:rsid w:val="009E2F15"/>
    <w:rsid w:val="00AE303D"/>
    <w:rsid w:val="00B32B71"/>
    <w:rsid w:val="00C96687"/>
    <w:rsid w:val="00E03263"/>
    <w:rsid w:val="00E622D7"/>
    <w:rsid w:val="00E67BD1"/>
    <w:rsid w:val="00EA3919"/>
    <w:rsid w:val="00EE6553"/>
    <w:rsid w:val="00F1265E"/>
    <w:rsid w:val="00F233EA"/>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styleId="UnresolvedMention">
    <w:name w:val="Unresolved Mention"/>
    <w:basedOn w:val="DefaultParagraphFont"/>
    <w:uiPriority w:val="99"/>
    <w:semiHidden/>
    <w:unhideWhenUsed/>
    <w:rsid w:val="009A0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na.alexopoulos@merckgroup.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1</TotalTime>
  <Pages>3</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Maria Pitan</cp:lastModifiedBy>
  <cp:revision>3</cp:revision>
  <cp:lastPrinted>2021-08-13T10:06:00Z</cp:lastPrinted>
  <dcterms:created xsi:type="dcterms:W3CDTF">2021-09-21T10:19:00Z</dcterms:created>
  <dcterms:modified xsi:type="dcterms:W3CDTF">2021-09-22T15:22:00Z</dcterms:modified>
</cp:coreProperties>
</file>