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889F8" w14:textId="77777777" w:rsidR="00296931" w:rsidRDefault="006D5BFF">
      <w:pPr>
        <w:pStyle w:val="BodyText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487533568" behindDoc="1" locked="0" layoutInCell="1" allowOverlap="1" wp14:anchorId="6EFFF2B6" wp14:editId="6C0F1C9C">
            <wp:simplePos x="0" y="0"/>
            <wp:positionH relativeFrom="page">
              <wp:posOffset>1002016</wp:posOffset>
            </wp:positionH>
            <wp:positionV relativeFrom="page">
              <wp:posOffset>536239</wp:posOffset>
            </wp:positionV>
            <wp:extent cx="6036465" cy="10017892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6465" cy="100178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C21D0B9" w14:textId="77777777" w:rsidR="00296931" w:rsidRDefault="00296931">
      <w:pPr>
        <w:pStyle w:val="BodyText"/>
        <w:spacing w:before="6"/>
        <w:rPr>
          <w:rFonts w:ascii="Times New Roman"/>
          <w:sz w:val="26"/>
        </w:rPr>
      </w:pPr>
    </w:p>
    <w:p w14:paraId="38513D0C" w14:textId="77777777" w:rsidR="00296931" w:rsidRDefault="006D5BFF">
      <w:pPr>
        <w:pStyle w:val="Heading1"/>
        <w:spacing w:before="51"/>
      </w:pPr>
      <w:bookmarkStart w:id="0" w:name="210826_ABC_UK_letter_to_NICE_Appeal_Avel"/>
      <w:bookmarkEnd w:id="0"/>
      <w:r>
        <w:t>Appeals:</w:t>
      </w:r>
      <w:r>
        <w:rPr>
          <w:spacing w:val="-2"/>
        </w:rPr>
        <w:t xml:space="preserve"> </w:t>
      </w:r>
      <w:r>
        <w:t>NICE</w:t>
      </w:r>
    </w:p>
    <w:p w14:paraId="1F9FC84F" w14:textId="77777777" w:rsidR="00296931" w:rsidRDefault="00296931">
      <w:pPr>
        <w:pStyle w:val="BodyText"/>
        <w:spacing w:before="2"/>
        <w:rPr>
          <w:b/>
          <w:sz w:val="24"/>
        </w:rPr>
      </w:pPr>
    </w:p>
    <w:p w14:paraId="4FD43519" w14:textId="77777777" w:rsidR="00296931" w:rsidRDefault="006D5BFF">
      <w:pPr>
        <w:ind w:left="105"/>
        <w:rPr>
          <w:sz w:val="24"/>
        </w:rPr>
      </w:pPr>
      <w:r>
        <w:rPr>
          <w:sz w:val="24"/>
        </w:rPr>
        <w:t>Dr</w:t>
      </w:r>
      <w:r>
        <w:rPr>
          <w:spacing w:val="-1"/>
          <w:sz w:val="24"/>
        </w:rPr>
        <w:t xml:space="preserve"> </w:t>
      </w:r>
      <w:r>
        <w:rPr>
          <w:sz w:val="24"/>
        </w:rPr>
        <w:t>Chakravarty</w:t>
      </w:r>
    </w:p>
    <w:p w14:paraId="1B05D4FA" w14:textId="77777777" w:rsidR="00296931" w:rsidRDefault="006D5BFF">
      <w:pPr>
        <w:ind w:left="105" w:right="5506"/>
        <w:rPr>
          <w:sz w:val="24"/>
        </w:rPr>
      </w:pPr>
      <w:r>
        <w:rPr>
          <w:sz w:val="24"/>
        </w:rPr>
        <w:t>Lead Non-executive Director for Appeals</w:t>
      </w:r>
      <w:r>
        <w:rPr>
          <w:spacing w:val="-52"/>
          <w:sz w:val="24"/>
        </w:rPr>
        <w:t xml:space="preserve"> </w:t>
      </w:r>
      <w:r>
        <w:rPr>
          <w:sz w:val="24"/>
        </w:rPr>
        <w:t>NICE</w:t>
      </w:r>
    </w:p>
    <w:p w14:paraId="49C84CF1" w14:textId="77777777" w:rsidR="00296931" w:rsidRDefault="006D5BFF">
      <w:pPr>
        <w:ind w:left="105" w:right="7116"/>
        <w:rPr>
          <w:sz w:val="24"/>
        </w:rPr>
      </w:pPr>
      <w:r>
        <w:rPr>
          <w:sz w:val="24"/>
        </w:rPr>
        <w:t>2</w:t>
      </w:r>
      <w:r>
        <w:rPr>
          <w:sz w:val="24"/>
          <w:vertAlign w:val="superscript"/>
        </w:rPr>
        <w:t>nd</w:t>
      </w:r>
      <w:r>
        <w:rPr>
          <w:sz w:val="24"/>
        </w:rPr>
        <w:t xml:space="preserve"> Floor, Redman Place</w:t>
      </w:r>
      <w:r>
        <w:rPr>
          <w:spacing w:val="-52"/>
          <w:sz w:val="24"/>
        </w:rPr>
        <w:t xml:space="preserve"> </w:t>
      </w:r>
      <w:r>
        <w:rPr>
          <w:sz w:val="24"/>
        </w:rPr>
        <w:t>London</w:t>
      </w:r>
      <w:r>
        <w:rPr>
          <w:spacing w:val="54"/>
          <w:sz w:val="24"/>
        </w:rPr>
        <w:t xml:space="preserve"> </w:t>
      </w:r>
      <w:r>
        <w:rPr>
          <w:sz w:val="24"/>
        </w:rPr>
        <w:t>E20</w:t>
      </w:r>
      <w:r>
        <w:rPr>
          <w:spacing w:val="-1"/>
          <w:sz w:val="24"/>
        </w:rPr>
        <w:t xml:space="preserve"> </w:t>
      </w:r>
      <w:r>
        <w:rPr>
          <w:sz w:val="24"/>
        </w:rPr>
        <w:t>1JQ</w:t>
      </w:r>
    </w:p>
    <w:p w14:paraId="243C9664" w14:textId="77777777" w:rsidR="00296931" w:rsidRDefault="00296931">
      <w:pPr>
        <w:pStyle w:val="BodyText"/>
        <w:spacing w:before="11"/>
        <w:rPr>
          <w:sz w:val="23"/>
        </w:rPr>
      </w:pPr>
    </w:p>
    <w:p w14:paraId="43622FD4" w14:textId="77777777" w:rsidR="00296931" w:rsidRDefault="006D5BFF">
      <w:pPr>
        <w:spacing w:before="1" w:line="316" w:lineRule="auto"/>
        <w:ind w:left="105" w:right="7491"/>
        <w:rPr>
          <w:sz w:val="24"/>
        </w:rPr>
      </w:pPr>
      <w:r>
        <w:rPr>
          <w:sz w:val="24"/>
        </w:rPr>
        <w:t>26</w:t>
      </w:r>
      <w:r>
        <w:rPr>
          <w:spacing w:val="1"/>
          <w:sz w:val="24"/>
        </w:rPr>
        <w:t xml:space="preserve"> </w:t>
      </w:r>
      <w:r>
        <w:rPr>
          <w:sz w:val="24"/>
        </w:rPr>
        <w:t>August 2021</w:t>
      </w:r>
      <w:r>
        <w:rPr>
          <w:spacing w:val="1"/>
          <w:sz w:val="24"/>
        </w:rPr>
        <w:t xml:space="preserve"> </w:t>
      </w:r>
      <w:r>
        <w:rPr>
          <w:sz w:val="24"/>
        </w:rPr>
        <w:t>Dear</w:t>
      </w:r>
      <w:r>
        <w:rPr>
          <w:spacing w:val="-8"/>
          <w:sz w:val="24"/>
        </w:rPr>
        <w:t xml:space="preserve"> </w:t>
      </w:r>
      <w:r>
        <w:rPr>
          <w:sz w:val="24"/>
        </w:rPr>
        <w:t>Dr</w:t>
      </w:r>
      <w:r>
        <w:rPr>
          <w:spacing w:val="-5"/>
          <w:sz w:val="24"/>
        </w:rPr>
        <w:t xml:space="preserve"> </w:t>
      </w:r>
      <w:r>
        <w:rPr>
          <w:sz w:val="24"/>
        </w:rPr>
        <w:t>Chakravarty</w:t>
      </w:r>
    </w:p>
    <w:p w14:paraId="28D1A605" w14:textId="77777777" w:rsidR="00296931" w:rsidRDefault="006D5BFF">
      <w:pPr>
        <w:pStyle w:val="Heading1"/>
        <w:spacing w:before="198"/>
        <w:ind w:right="272"/>
      </w:pPr>
      <w:r>
        <w:t>Re: Final Appraisal Document – Avelumab for maintenance treatment of locally advanced or</w:t>
      </w:r>
      <w:r>
        <w:rPr>
          <w:spacing w:val="-52"/>
        </w:rPr>
        <w:t xml:space="preserve"> </w:t>
      </w:r>
      <w:r>
        <w:t>metastatic urothelial</w:t>
      </w:r>
      <w:r>
        <w:rPr>
          <w:spacing w:val="1"/>
        </w:rPr>
        <w:t xml:space="preserve"> </w:t>
      </w:r>
      <w:r>
        <w:t>cancer</w:t>
      </w:r>
      <w:r>
        <w:rPr>
          <w:spacing w:val="1"/>
        </w:rPr>
        <w:t xml:space="preserve"> </w:t>
      </w:r>
      <w:r>
        <w:t>after</w:t>
      </w:r>
      <w:r>
        <w:rPr>
          <w:spacing w:val="-2"/>
        </w:rPr>
        <w:t xml:space="preserve"> </w:t>
      </w:r>
      <w:r>
        <w:t>platinum-based</w:t>
      </w:r>
      <w:r>
        <w:rPr>
          <w:spacing w:val="1"/>
        </w:rPr>
        <w:t xml:space="preserve"> </w:t>
      </w:r>
      <w:r>
        <w:t>chemotherapy</w:t>
      </w:r>
      <w:r>
        <w:rPr>
          <w:spacing w:val="-4"/>
        </w:rPr>
        <w:t xml:space="preserve"> </w:t>
      </w:r>
      <w:r>
        <w:t>[ID3735]</w:t>
      </w:r>
    </w:p>
    <w:p w14:paraId="0DDAC4AB" w14:textId="77777777" w:rsidR="00296931" w:rsidRDefault="00296931">
      <w:pPr>
        <w:pStyle w:val="BodyText"/>
        <w:rPr>
          <w:b/>
          <w:sz w:val="24"/>
        </w:rPr>
      </w:pPr>
    </w:p>
    <w:p w14:paraId="1CB7861A" w14:textId="77777777" w:rsidR="00296931" w:rsidRDefault="006D5BFF">
      <w:pPr>
        <w:ind w:left="105"/>
        <w:rPr>
          <w:sz w:val="24"/>
        </w:rPr>
      </w:pPr>
      <w:r>
        <w:rPr>
          <w:sz w:val="24"/>
        </w:rPr>
        <w:t>Thank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for your</w:t>
      </w:r>
      <w:r>
        <w:rPr>
          <w:spacing w:val="-1"/>
          <w:sz w:val="24"/>
        </w:rPr>
        <w:t xml:space="preserve"> </w:t>
      </w:r>
      <w:r>
        <w:rPr>
          <w:sz w:val="24"/>
        </w:rPr>
        <w:t>letter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13</w:t>
      </w:r>
      <w:r>
        <w:rPr>
          <w:spacing w:val="-2"/>
          <w:sz w:val="24"/>
        </w:rPr>
        <w:t xml:space="preserve"> </w:t>
      </w:r>
      <w:r>
        <w:rPr>
          <w:sz w:val="24"/>
        </w:rPr>
        <w:t>August in</w:t>
      </w:r>
      <w:r>
        <w:rPr>
          <w:spacing w:val="-1"/>
          <w:sz w:val="24"/>
        </w:rPr>
        <w:t xml:space="preserve"> </w:t>
      </w:r>
      <w:r>
        <w:rPr>
          <w:sz w:val="24"/>
        </w:rPr>
        <w:t>response to</w:t>
      </w:r>
      <w:r>
        <w:rPr>
          <w:spacing w:val="-3"/>
          <w:sz w:val="24"/>
        </w:rPr>
        <w:t xml:space="preserve"> </w:t>
      </w:r>
      <w:r>
        <w:rPr>
          <w:sz w:val="24"/>
        </w:rPr>
        <w:t>our letter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05</w:t>
      </w:r>
      <w:r>
        <w:rPr>
          <w:spacing w:val="-1"/>
          <w:sz w:val="24"/>
        </w:rPr>
        <w:t xml:space="preserve"> </w:t>
      </w:r>
      <w:r>
        <w:rPr>
          <w:sz w:val="24"/>
        </w:rPr>
        <w:t>August,</w:t>
      </w:r>
      <w:r>
        <w:rPr>
          <w:spacing w:val="-3"/>
          <w:sz w:val="24"/>
        </w:rPr>
        <w:t xml:space="preserve"> </w:t>
      </w:r>
      <w:r>
        <w:rPr>
          <w:sz w:val="24"/>
        </w:rPr>
        <w:t>which</w:t>
      </w:r>
      <w:r>
        <w:rPr>
          <w:spacing w:val="-3"/>
          <w:sz w:val="24"/>
        </w:rPr>
        <w:t xml:space="preserve"> </w:t>
      </w:r>
      <w:r>
        <w:rPr>
          <w:sz w:val="24"/>
        </w:rPr>
        <w:t>lodged</w:t>
      </w:r>
      <w:r>
        <w:rPr>
          <w:spacing w:val="-3"/>
          <w:sz w:val="24"/>
        </w:rPr>
        <w:t xml:space="preserve"> </w:t>
      </w:r>
      <w:r>
        <w:rPr>
          <w:sz w:val="24"/>
        </w:rPr>
        <w:t>ABC</w:t>
      </w:r>
      <w:r>
        <w:rPr>
          <w:spacing w:val="-51"/>
          <w:sz w:val="24"/>
        </w:rPr>
        <w:t xml:space="preserve"> </w:t>
      </w:r>
      <w:r>
        <w:rPr>
          <w:sz w:val="24"/>
        </w:rPr>
        <w:t>UK’s</w:t>
      </w:r>
      <w:r>
        <w:rPr>
          <w:spacing w:val="-1"/>
          <w:sz w:val="24"/>
        </w:rPr>
        <w:t xml:space="preserve"> </w:t>
      </w:r>
      <w:r>
        <w:rPr>
          <w:sz w:val="24"/>
        </w:rPr>
        <w:t>appeal</w:t>
      </w:r>
      <w:r>
        <w:rPr>
          <w:spacing w:val="1"/>
          <w:sz w:val="24"/>
        </w:rPr>
        <w:t xml:space="preserve"> </w:t>
      </w:r>
      <w:r>
        <w:rPr>
          <w:sz w:val="24"/>
        </w:rPr>
        <w:t>against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decision</w:t>
      </w:r>
      <w:r>
        <w:rPr>
          <w:spacing w:val="-1"/>
          <w:sz w:val="24"/>
        </w:rPr>
        <w:t xml:space="preserve"> </w:t>
      </w:r>
      <w:r>
        <w:rPr>
          <w:sz w:val="24"/>
        </w:rPr>
        <w:t>given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above</w:t>
      </w:r>
      <w:r>
        <w:rPr>
          <w:spacing w:val="1"/>
          <w:sz w:val="24"/>
        </w:rPr>
        <w:t xml:space="preserve"> </w:t>
      </w:r>
      <w:r>
        <w:rPr>
          <w:sz w:val="24"/>
        </w:rPr>
        <w:t>FAD.</w:t>
      </w:r>
    </w:p>
    <w:p w14:paraId="47A04CD7" w14:textId="77777777" w:rsidR="00296931" w:rsidRDefault="00296931">
      <w:pPr>
        <w:pStyle w:val="BodyText"/>
        <w:spacing w:before="11"/>
        <w:rPr>
          <w:sz w:val="23"/>
        </w:rPr>
      </w:pPr>
    </w:p>
    <w:p w14:paraId="6BB0B330" w14:textId="77777777" w:rsidR="00296931" w:rsidRDefault="006D5BFF">
      <w:pPr>
        <w:spacing w:line="242" w:lineRule="auto"/>
        <w:ind w:left="105" w:right="311"/>
        <w:rPr>
          <w:sz w:val="24"/>
        </w:rPr>
      </w:pPr>
      <w:r>
        <w:rPr>
          <w:sz w:val="24"/>
        </w:rPr>
        <w:t>In response to your initial scrutiny, we would wish to make the following comments regarding</w:t>
      </w:r>
      <w:r>
        <w:rPr>
          <w:spacing w:val="-52"/>
          <w:sz w:val="24"/>
        </w:rPr>
        <w:t xml:space="preserve"> </w:t>
      </w:r>
      <w:r>
        <w:rPr>
          <w:sz w:val="24"/>
        </w:rPr>
        <w:t>whether each</w:t>
      </w:r>
      <w:r>
        <w:rPr>
          <w:spacing w:val="-1"/>
          <w:sz w:val="24"/>
        </w:rPr>
        <w:t xml:space="preserve"> </w:t>
      </w:r>
      <w:r>
        <w:rPr>
          <w:sz w:val="24"/>
        </w:rPr>
        <w:t>appeal</w:t>
      </w:r>
      <w:r>
        <w:rPr>
          <w:spacing w:val="-2"/>
          <w:sz w:val="24"/>
        </w:rPr>
        <w:t xml:space="preserve"> </w:t>
      </w:r>
      <w:r>
        <w:rPr>
          <w:sz w:val="24"/>
        </w:rPr>
        <w:t>point</w:t>
      </w:r>
      <w:r>
        <w:rPr>
          <w:spacing w:val="1"/>
          <w:sz w:val="24"/>
        </w:rPr>
        <w:t xml:space="preserve"> </w:t>
      </w:r>
      <w:r>
        <w:rPr>
          <w:sz w:val="24"/>
        </w:rPr>
        <w:t>should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referred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Appeal</w:t>
      </w:r>
      <w:r>
        <w:rPr>
          <w:spacing w:val="-2"/>
          <w:sz w:val="24"/>
        </w:rPr>
        <w:t xml:space="preserve"> </w:t>
      </w:r>
      <w:r>
        <w:rPr>
          <w:sz w:val="24"/>
        </w:rPr>
        <w:t>Panel.</w:t>
      </w:r>
    </w:p>
    <w:p w14:paraId="74D72588" w14:textId="77777777" w:rsidR="00296931" w:rsidRDefault="00296931">
      <w:pPr>
        <w:pStyle w:val="BodyText"/>
        <w:spacing w:before="8"/>
        <w:rPr>
          <w:sz w:val="23"/>
        </w:rPr>
      </w:pPr>
    </w:p>
    <w:p w14:paraId="7CC7BE3A" w14:textId="77777777" w:rsidR="00296931" w:rsidRDefault="006D5BFF">
      <w:pPr>
        <w:pStyle w:val="Heading1"/>
        <w:spacing w:before="1"/>
        <w:ind w:right="351"/>
      </w:pPr>
      <w:r>
        <w:t>Ground 1(a): In making the assessment that preceded the recommendation, NICE has failed</w:t>
      </w:r>
      <w:r>
        <w:rPr>
          <w:spacing w:val="-52"/>
        </w:rPr>
        <w:t xml:space="preserve"> </w:t>
      </w:r>
      <w:r>
        <w:t>to act</w:t>
      </w:r>
      <w:r>
        <w:rPr>
          <w:spacing w:val="-1"/>
        </w:rPr>
        <w:t xml:space="preserve"> </w:t>
      </w:r>
      <w:r>
        <w:t>fairly</w:t>
      </w:r>
    </w:p>
    <w:p w14:paraId="15D99F99" w14:textId="77777777" w:rsidR="00296931" w:rsidRDefault="00296931">
      <w:pPr>
        <w:pStyle w:val="BodyText"/>
        <w:spacing w:before="11"/>
        <w:rPr>
          <w:b/>
          <w:sz w:val="23"/>
        </w:rPr>
      </w:pPr>
    </w:p>
    <w:p w14:paraId="58CC730B" w14:textId="77777777" w:rsidR="00296931" w:rsidRDefault="006D5BFF">
      <w:pPr>
        <w:ind w:left="105" w:right="210"/>
        <w:rPr>
          <w:i/>
          <w:sz w:val="24"/>
        </w:rPr>
      </w:pPr>
      <w:r>
        <w:rPr>
          <w:i/>
          <w:sz w:val="24"/>
        </w:rPr>
        <w:t>Rejection of a stopping rule was unfair in light of past practice and the evidence of patients and</w:t>
      </w:r>
      <w:r>
        <w:rPr>
          <w:i/>
          <w:spacing w:val="-52"/>
          <w:sz w:val="24"/>
        </w:rPr>
        <w:t xml:space="preserve"> </w:t>
      </w:r>
      <w:r>
        <w:rPr>
          <w:i/>
          <w:sz w:val="24"/>
        </w:rPr>
        <w:t>clinicians</w:t>
      </w:r>
    </w:p>
    <w:p w14:paraId="36664B42" w14:textId="77777777" w:rsidR="00296931" w:rsidRDefault="006D5BFF">
      <w:pPr>
        <w:pStyle w:val="ListParagraph"/>
        <w:numPr>
          <w:ilvl w:val="0"/>
          <w:numId w:val="1"/>
        </w:numPr>
        <w:tabs>
          <w:tab w:val="left" w:pos="825"/>
          <w:tab w:val="left" w:pos="826"/>
        </w:tabs>
        <w:ind w:right="170"/>
        <w:rPr>
          <w:sz w:val="24"/>
        </w:rPr>
      </w:pPr>
      <w:r>
        <w:rPr>
          <w:sz w:val="24"/>
        </w:rPr>
        <w:t>We are of the view that the explanation offered by the Committee for not considering a</w:t>
      </w:r>
      <w:r>
        <w:rPr>
          <w:spacing w:val="-52"/>
          <w:sz w:val="24"/>
        </w:rPr>
        <w:t xml:space="preserve"> </w:t>
      </w:r>
      <w:r>
        <w:rPr>
          <w:sz w:val="24"/>
        </w:rPr>
        <w:t>stopping rule in this case, does not provide a convincing rationale for departing from</w:t>
      </w:r>
      <w:r>
        <w:rPr>
          <w:spacing w:val="1"/>
          <w:sz w:val="24"/>
        </w:rPr>
        <w:t xml:space="preserve"> </w:t>
      </w:r>
      <w:r>
        <w:rPr>
          <w:sz w:val="24"/>
        </w:rPr>
        <w:t>past practice.</w:t>
      </w:r>
      <w:r>
        <w:rPr>
          <w:spacing w:val="1"/>
          <w:sz w:val="24"/>
        </w:rPr>
        <w:t xml:space="preserve"> </w:t>
      </w:r>
      <w:r>
        <w:rPr>
          <w:sz w:val="24"/>
        </w:rPr>
        <w:t>Evidence given by both clinicians and patient groups is consistent, and in</w:t>
      </w:r>
      <w:r>
        <w:rPr>
          <w:spacing w:val="1"/>
          <w:sz w:val="24"/>
        </w:rPr>
        <w:t xml:space="preserve"> </w:t>
      </w:r>
      <w:r>
        <w:rPr>
          <w:sz w:val="24"/>
        </w:rPr>
        <w:t>favour of a stopping rule rather than no access.</w:t>
      </w:r>
      <w:r>
        <w:rPr>
          <w:spacing w:val="1"/>
          <w:sz w:val="24"/>
        </w:rPr>
        <w:t xml:space="preserve"> </w:t>
      </w:r>
      <w:r>
        <w:rPr>
          <w:sz w:val="24"/>
        </w:rPr>
        <w:t>We feel that there is a failure to explain</w:t>
      </w:r>
      <w:r>
        <w:rPr>
          <w:spacing w:val="-52"/>
          <w:sz w:val="24"/>
        </w:rPr>
        <w:t xml:space="preserve"> </w:t>
      </w:r>
      <w:r>
        <w:rPr>
          <w:sz w:val="24"/>
        </w:rPr>
        <w:t>sufficiently on what basis this evidence differs from past practice.</w:t>
      </w:r>
      <w:r>
        <w:rPr>
          <w:spacing w:val="1"/>
          <w:sz w:val="24"/>
        </w:rPr>
        <w:t xml:space="preserve"> </w:t>
      </w:r>
      <w:r>
        <w:rPr>
          <w:sz w:val="24"/>
        </w:rPr>
        <w:t>We refer you to the</w:t>
      </w:r>
      <w:r>
        <w:rPr>
          <w:spacing w:val="1"/>
          <w:sz w:val="24"/>
        </w:rPr>
        <w:t xml:space="preserve"> </w:t>
      </w:r>
      <w:r>
        <w:rPr>
          <w:sz w:val="24"/>
        </w:rPr>
        <w:t>example raised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our</w:t>
      </w:r>
      <w:r>
        <w:rPr>
          <w:spacing w:val="-2"/>
          <w:sz w:val="24"/>
        </w:rPr>
        <w:t xml:space="preserve"> </w:t>
      </w:r>
      <w:r>
        <w:rPr>
          <w:sz w:val="24"/>
        </w:rPr>
        <w:t>letter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05</w:t>
      </w:r>
      <w:r>
        <w:rPr>
          <w:spacing w:val="-1"/>
          <w:sz w:val="24"/>
        </w:rPr>
        <w:t xml:space="preserve"> </w:t>
      </w:r>
      <w:r>
        <w:rPr>
          <w:sz w:val="24"/>
        </w:rPr>
        <w:t>August</w:t>
      </w:r>
      <w:r>
        <w:rPr>
          <w:spacing w:val="2"/>
          <w:sz w:val="24"/>
        </w:rPr>
        <w:t xml:space="preserve"> </w:t>
      </w:r>
      <w:r>
        <w:rPr>
          <w:sz w:val="24"/>
        </w:rPr>
        <w:t>2021:</w:t>
      </w:r>
    </w:p>
    <w:p w14:paraId="0D61E9CA" w14:textId="77777777" w:rsidR="00296931" w:rsidRDefault="00296931">
      <w:pPr>
        <w:pStyle w:val="BodyText"/>
        <w:spacing w:before="1"/>
        <w:rPr>
          <w:sz w:val="24"/>
        </w:rPr>
      </w:pPr>
    </w:p>
    <w:p w14:paraId="00529073" w14:textId="77777777" w:rsidR="00296931" w:rsidRDefault="006D5BFF">
      <w:pPr>
        <w:ind w:left="825" w:right="418"/>
        <w:rPr>
          <w:b/>
          <w:i/>
          <w:sz w:val="24"/>
        </w:rPr>
      </w:pPr>
      <w:r>
        <w:rPr>
          <w:b/>
          <w:i/>
          <w:sz w:val="24"/>
        </w:rPr>
        <w:t>Extract from NICE Technology appraisal guidance Published: 13 June 2018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Atezolizumab for treating locally advanced or metastatic urothelial carcinoma after</w:t>
      </w:r>
      <w:r>
        <w:rPr>
          <w:b/>
          <w:i/>
          <w:spacing w:val="-52"/>
          <w:sz w:val="24"/>
        </w:rPr>
        <w:t xml:space="preserve"> </w:t>
      </w:r>
      <w:r>
        <w:rPr>
          <w:b/>
          <w:i/>
          <w:sz w:val="24"/>
        </w:rPr>
        <w:t>platinum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chemotherapy</w:t>
      </w:r>
    </w:p>
    <w:p w14:paraId="7A7C49BD" w14:textId="77777777" w:rsidR="00296931" w:rsidRDefault="006D5BFF">
      <w:pPr>
        <w:spacing w:line="292" w:lineRule="exact"/>
        <w:ind w:left="825"/>
        <w:rPr>
          <w:i/>
          <w:sz w:val="24"/>
        </w:rPr>
      </w:pPr>
      <w:r>
        <w:rPr>
          <w:b/>
          <w:i/>
          <w:sz w:val="24"/>
        </w:rPr>
        <w:t>Stopping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 xml:space="preserve">rule: </w:t>
      </w:r>
      <w:r>
        <w:rPr>
          <w:i/>
          <w:sz w:val="24"/>
        </w:rPr>
        <w:t>The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committee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prefers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2-year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stopping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rule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model</w:t>
      </w:r>
    </w:p>
    <w:p w14:paraId="0D25E02F" w14:textId="77777777" w:rsidR="00296931" w:rsidRDefault="006D5BFF">
      <w:pPr>
        <w:ind w:left="825" w:right="519"/>
        <w:rPr>
          <w:i/>
          <w:sz w:val="24"/>
        </w:rPr>
      </w:pPr>
      <w:r>
        <w:rPr>
          <w:i/>
          <w:sz w:val="24"/>
        </w:rPr>
        <w:t>3.11 The committee understood that for other immunotherapies in the same class as</w:t>
      </w:r>
      <w:r>
        <w:rPr>
          <w:i/>
          <w:spacing w:val="-52"/>
          <w:sz w:val="24"/>
        </w:rPr>
        <w:t xml:space="preserve"> </w:t>
      </w:r>
      <w:r>
        <w:rPr>
          <w:i/>
          <w:sz w:val="24"/>
        </w:rPr>
        <w:t>atezolizumab, consideration has been given to stopping treatment after a defined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period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time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'stopping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rule').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its additional evidence,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the company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included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</w:t>
      </w:r>
    </w:p>
    <w:p w14:paraId="01162AFE" w14:textId="77777777" w:rsidR="00296931" w:rsidRDefault="006D5BFF">
      <w:pPr>
        <w:ind w:left="825" w:right="279"/>
        <w:rPr>
          <w:i/>
          <w:sz w:val="24"/>
        </w:rPr>
      </w:pPr>
      <w:r>
        <w:rPr>
          <w:i/>
          <w:sz w:val="24"/>
        </w:rPr>
        <w:t>2-year treatment stopping rule in its revised economic analysis. The committee noted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that the evidence for atezolizumab and its summary of product characteristics did not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include a stopping rule. The company considered that there is a lack of clinical evidence</w:t>
      </w:r>
      <w:r>
        <w:rPr>
          <w:i/>
          <w:spacing w:val="-52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show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that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imposing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stopping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rule is of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benefit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patients in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long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term.</w:t>
      </w:r>
    </w:p>
    <w:p w14:paraId="4A7C036D" w14:textId="77777777" w:rsidR="00296931" w:rsidRDefault="006D5BFF">
      <w:pPr>
        <w:ind w:left="825" w:right="580"/>
        <w:rPr>
          <w:rFonts w:ascii="Cambria"/>
          <w:i/>
          <w:sz w:val="24"/>
        </w:rPr>
      </w:pPr>
      <w:r>
        <w:rPr>
          <w:i/>
          <w:sz w:val="24"/>
        </w:rPr>
        <w:t>However, the committee recognised that in previous NICE technology appraisals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clinicians have highlighted growing concern about using immunotherapies beyond 2</w:t>
      </w:r>
      <w:r>
        <w:rPr>
          <w:i/>
          <w:spacing w:val="-52"/>
          <w:sz w:val="24"/>
        </w:rPr>
        <w:t xml:space="preserve"> </w:t>
      </w:r>
      <w:r>
        <w:rPr>
          <w:i/>
          <w:sz w:val="24"/>
        </w:rPr>
        <w:t>years. The Cancer Drugs Fund clinical lead clarified that a 2-year stopping rule is</w:t>
      </w:r>
      <w:r>
        <w:rPr>
          <w:i/>
          <w:spacing w:val="1"/>
          <w:sz w:val="24"/>
        </w:rPr>
        <w:t xml:space="preserve"> </w:t>
      </w:r>
      <w:r>
        <w:rPr>
          <w:rFonts w:ascii="Cambria"/>
          <w:i/>
          <w:sz w:val="24"/>
        </w:rPr>
        <w:t>acceptable</w:t>
      </w:r>
      <w:r>
        <w:rPr>
          <w:rFonts w:ascii="Cambria"/>
          <w:i/>
          <w:spacing w:val="-2"/>
          <w:sz w:val="24"/>
        </w:rPr>
        <w:t xml:space="preserve"> </w:t>
      </w:r>
      <w:r>
        <w:rPr>
          <w:rFonts w:ascii="Cambria"/>
          <w:i/>
          <w:sz w:val="24"/>
        </w:rPr>
        <w:t>to</w:t>
      </w:r>
      <w:r>
        <w:rPr>
          <w:rFonts w:ascii="Cambria"/>
          <w:i/>
          <w:spacing w:val="-1"/>
          <w:sz w:val="24"/>
        </w:rPr>
        <w:t xml:space="preserve"> </w:t>
      </w:r>
      <w:r>
        <w:rPr>
          <w:rFonts w:ascii="Cambria"/>
          <w:i/>
          <w:sz w:val="24"/>
        </w:rPr>
        <w:t>both</w:t>
      </w:r>
      <w:r>
        <w:rPr>
          <w:rFonts w:ascii="Cambria"/>
          <w:i/>
          <w:spacing w:val="-2"/>
          <w:sz w:val="24"/>
        </w:rPr>
        <w:t xml:space="preserve"> </w:t>
      </w:r>
      <w:r>
        <w:rPr>
          <w:rFonts w:ascii="Cambria"/>
          <w:i/>
          <w:sz w:val="24"/>
        </w:rPr>
        <w:t>patients</w:t>
      </w:r>
      <w:r>
        <w:rPr>
          <w:rFonts w:ascii="Cambria"/>
          <w:i/>
          <w:spacing w:val="-3"/>
          <w:sz w:val="24"/>
        </w:rPr>
        <w:t xml:space="preserve"> </w:t>
      </w:r>
      <w:r>
        <w:rPr>
          <w:rFonts w:ascii="Cambria"/>
          <w:i/>
          <w:sz w:val="24"/>
        </w:rPr>
        <w:t>and</w:t>
      </w:r>
      <w:r>
        <w:rPr>
          <w:rFonts w:ascii="Cambria"/>
          <w:i/>
          <w:spacing w:val="-2"/>
          <w:sz w:val="24"/>
        </w:rPr>
        <w:t xml:space="preserve"> </w:t>
      </w:r>
      <w:r>
        <w:rPr>
          <w:rFonts w:ascii="Cambria"/>
          <w:i/>
          <w:sz w:val="24"/>
        </w:rPr>
        <w:t>clinicians,</w:t>
      </w:r>
      <w:r>
        <w:rPr>
          <w:rFonts w:ascii="Cambria"/>
          <w:i/>
          <w:spacing w:val="-1"/>
          <w:sz w:val="24"/>
        </w:rPr>
        <w:t xml:space="preserve"> </w:t>
      </w:r>
      <w:r>
        <w:rPr>
          <w:rFonts w:ascii="Cambria"/>
          <w:i/>
          <w:sz w:val="24"/>
        </w:rPr>
        <w:t>and</w:t>
      </w:r>
      <w:r>
        <w:rPr>
          <w:rFonts w:ascii="Cambria"/>
          <w:i/>
          <w:spacing w:val="-2"/>
          <w:sz w:val="24"/>
        </w:rPr>
        <w:t xml:space="preserve"> </w:t>
      </w:r>
      <w:r>
        <w:rPr>
          <w:rFonts w:ascii="Cambria"/>
          <w:i/>
          <w:sz w:val="24"/>
        </w:rPr>
        <w:t>would</w:t>
      </w:r>
      <w:r>
        <w:rPr>
          <w:rFonts w:ascii="Cambria"/>
          <w:i/>
          <w:spacing w:val="-3"/>
          <w:sz w:val="24"/>
        </w:rPr>
        <w:t xml:space="preserve"> </w:t>
      </w:r>
      <w:r>
        <w:rPr>
          <w:rFonts w:ascii="Cambria"/>
          <w:i/>
          <w:sz w:val="24"/>
        </w:rPr>
        <w:t>be</w:t>
      </w:r>
      <w:r>
        <w:rPr>
          <w:rFonts w:ascii="Cambria"/>
          <w:i/>
          <w:spacing w:val="-1"/>
          <w:sz w:val="24"/>
        </w:rPr>
        <w:t xml:space="preserve"> </w:t>
      </w:r>
      <w:r>
        <w:rPr>
          <w:rFonts w:ascii="Cambria"/>
          <w:i/>
          <w:sz w:val="24"/>
        </w:rPr>
        <w:t>implementable.</w:t>
      </w:r>
      <w:r>
        <w:rPr>
          <w:rFonts w:ascii="Cambria"/>
          <w:i/>
          <w:spacing w:val="-4"/>
          <w:sz w:val="24"/>
        </w:rPr>
        <w:t xml:space="preserve"> </w:t>
      </w:r>
      <w:r>
        <w:rPr>
          <w:rFonts w:ascii="Cambria"/>
          <w:i/>
          <w:sz w:val="24"/>
        </w:rPr>
        <w:t>The</w:t>
      </w:r>
    </w:p>
    <w:p w14:paraId="129C4C6F" w14:textId="77777777" w:rsidR="00296931" w:rsidRDefault="00296931">
      <w:pPr>
        <w:pStyle w:val="BodyText"/>
        <w:rPr>
          <w:rFonts w:ascii="Cambria"/>
          <w:i/>
          <w:sz w:val="25"/>
        </w:rPr>
      </w:pPr>
    </w:p>
    <w:p w14:paraId="112D097B" w14:textId="77777777" w:rsidR="00296931" w:rsidRDefault="006D5BFF">
      <w:pPr>
        <w:pStyle w:val="Heading1"/>
        <w:ind w:left="0" w:right="112"/>
        <w:jc w:val="right"/>
      </w:pPr>
      <w:r>
        <w:t>Page</w:t>
      </w:r>
      <w:r>
        <w:rPr>
          <w:spacing w:val="-1"/>
        </w:rPr>
        <w:t xml:space="preserve"> </w:t>
      </w:r>
      <w:r>
        <w:t>1 of 3</w:t>
      </w:r>
    </w:p>
    <w:p w14:paraId="07D16E48" w14:textId="77777777" w:rsidR="00296931" w:rsidRDefault="00296931">
      <w:pPr>
        <w:jc w:val="right"/>
        <w:sectPr w:rsidR="00296931">
          <w:type w:val="continuous"/>
          <w:pgSz w:w="11900" w:h="16850"/>
          <w:pgMar w:top="840" w:right="940" w:bottom="0" w:left="1380" w:header="720" w:footer="720" w:gutter="0"/>
          <w:cols w:space="720"/>
        </w:sectPr>
      </w:pPr>
    </w:p>
    <w:p w14:paraId="08807549" w14:textId="77777777" w:rsidR="00296931" w:rsidRDefault="006D5BFF">
      <w:pPr>
        <w:spacing w:before="41"/>
        <w:ind w:left="836" w:right="241"/>
        <w:rPr>
          <w:i/>
        </w:rPr>
      </w:pPr>
      <w:bookmarkStart w:id="1" w:name="26_Aug_page_2_and_3"/>
      <w:bookmarkEnd w:id="1"/>
      <w:r>
        <w:rPr>
          <w:i/>
        </w:rPr>
        <w:lastRenderedPageBreak/>
        <w:t>committee also recognised that NICE guidance for other immunotherapies for metastatic</w:t>
      </w:r>
      <w:r>
        <w:rPr>
          <w:i/>
          <w:spacing w:val="1"/>
        </w:rPr>
        <w:t xml:space="preserve"> </w:t>
      </w:r>
      <w:r>
        <w:rPr>
          <w:i/>
        </w:rPr>
        <w:t>urothelial carcinoma and other cancers include 2-year stopping rules. The committee concluded</w:t>
      </w:r>
      <w:r>
        <w:rPr>
          <w:i/>
          <w:spacing w:val="-47"/>
        </w:rPr>
        <w:t xml:space="preserve"> </w:t>
      </w:r>
      <w:r>
        <w:rPr>
          <w:i/>
        </w:rPr>
        <w:t>that it</w:t>
      </w:r>
      <w:r>
        <w:rPr>
          <w:i/>
          <w:spacing w:val="1"/>
        </w:rPr>
        <w:t xml:space="preserve"> </w:t>
      </w:r>
      <w:r>
        <w:rPr>
          <w:i/>
        </w:rPr>
        <w:t>is</w:t>
      </w:r>
      <w:r>
        <w:rPr>
          <w:i/>
          <w:spacing w:val="-3"/>
        </w:rPr>
        <w:t xml:space="preserve"> </w:t>
      </w:r>
      <w:r>
        <w:rPr>
          <w:i/>
        </w:rPr>
        <w:t>appropriate to include</w:t>
      </w:r>
      <w:r>
        <w:rPr>
          <w:i/>
          <w:spacing w:val="-1"/>
        </w:rPr>
        <w:t xml:space="preserve"> </w:t>
      </w:r>
      <w:r>
        <w:rPr>
          <w:i/>
        </w:rPr>
        <w:t>a</w:t>
      </w:r>
      <w:r>
        <w:rPr>
          <w:i/>
          <w:spacing w:val="-1"/>
        </w:rPr>
        <w:t xml:space="preserve"> </w:t>
      </w:r>
      <w:r>
        <w:rPr>
          <w:i/>
        </w:rPr>
        <w:t>2-year</w:t>
      </w:r>
      <w:r>
        <w:rPr>
          <w:i/>
          <w:spacing w:val="-1"/>
        </w:rPr>
        <w:t xml:space="preserve"> </w:t>
      </w:r>
      <w:r>
        <w:rPr>
          <w:i/>
        </w:rPr>
        <w:t>stopping</w:t>
      </w:r>
      <w:r>
        <w:rPr>
          <w:i/>
          <w:spacing w:val="-4"/>
        </w:rPr>
        <w:t xml:space="preserve"> </w:t>
      </w:r>
      <w:r>
        <w:rPr>
          <w:i/>
        </w:rPr>
        <w:t>rule in</w:t>
      </w:r>
      <w:r>
        <w:rPr>
          <w:i/>
          <w:spacing w:val="-1"/>
        </w:rPr>
        <w:t xml:space="preserve"> </w:t>
      </w:r>
      <w:r>
        <w:rPr>
          <w:i/>
        </w:rPr>
        <w:t>the</w:t>
      </w:r>
      <w:r>
        <w:rPr>
          <w:i/>
          <w:spacing w:val="-1"/>
        </w:rPr>
        <w:t xml:space="preserve"> </w:t>
      </w:r>
      <w:r>
        <w:rPr>
          <w:i/>
        </w:rPr>
        <w:t>economic</w:t>
      </w:r>
      <w:r>
        <w:rPr>
          <w:i/>
          <w:spacing w:val="-3"/>
        </w:rPr>
        <w:t xml:space="preserve"> </w:t>
      </w:r>
      <w:r>
        <w:rPr>
          <w:i/>
        </w:rPr>
        <w:t>model.</w:t>
      </w:r>
    </w:p>
    <w:p w14:paraId="43201CAE" w14:textId="77777777" w:rsidR="00296931" w:rsidRDefault="00296931">
      <w:pPr>
        <w:pStyle w:val="BodyText"/>
        <w:rPr>
          <w:i/>
        </w:rPr>
      </w:pPr>
    </w:p>
    <w:p w14:paraId="41F90AAA" w14:textId="77777777" w:rsidR="00296931" w:rsidRDefault="006D5BFF">
      <w:pPr>
        <w:pStyle w:val="ListParagraph"/>
        <w:numPr>
          <w:ilvl w:val="0"/>
          <w:numId w:val="1"/>
        </w:numPr>
        <w:tabs>
          <w:tab w:val="left" w:pos="836"/>
          <w:tab w:val="left" w:pos="837"/>
        </w:tabs>
        <w:spacing w:line="259" w:lineRule="auto"/>
        <w:ind w:left="836" w:right="258"/>
      </w:pPr>
      <w:r>
        <w:t>We would question whether merely noting a view makes any subsequent judgement 'fair',</w:t>
      </w:r>
      <w:r>
        <w:rPr>
          <w:spacing w:val="1"/>
        </w:rPr>
        <w:t xml:space="preserve"> </w:t>
      </w:r>
      <w:r>
        <w:t>particularly when it is very hard to see how that judgement can be reasonable in the light of</w:t>
      </w:r>
      <w:r>
        <w:rPr>
          <w:spacing w:val="1"/>
        </w:rPr>
        <w:t xml:space="preserve"> </w:t>
      </w:r>
      <w:r>
        <w:t>previous judgements in very similar circumstances.</w:t>
      </w:r>
      <w:r>
        <w:rPr>
          <w:spacing w:val="1"/>
        </w:rPr>
        <w:t xml:space="preserve"> </w:t>
      </w:r>
      <w:r>
        <w:t>We find it difficult therefore to understand</w:t>
      </w:r>
      <w:r>
        <w:rPr>
          <w:spacing w:val="-47"/>
        </w:rPr>
        <w:t xml:space="preserve"> </w:t>
      </w:r>
      <w:r>
        <w:t>whether this in fact means that the committee's judgement can never be deemed unfair and is</w:t>
      </w:r>
      <w:r>
        <w:rPr>
          <w:spacing w:val="-47"/>
        </w:rPr>
        <w:t xml:space="preserve"> </w:t>
      </w:r>
      <w:r>
        <w:t>beyond</w:t>
      </w:r>
      <w:r>
        <w:rPr>
          <w:spacing w:val="-3"/>
        </w:rPr>
        <w:t xml:space="preserve"> </w:t>
      </w:r>
      <w:r>
        <w:t>challenge.</w:t>
      </w:r>
    </w:p>
    <w:p w14:paraId="0A1AF23B" w14:textId="77777777" w:rsidR="00296931" w:rsidRDefault="006D5BFF">
      <w:pPr>
        <w:pStyle w:val="BodyText"/>
        <w:spacing w:before="158" w:line="259" w:lineRule="auto"/>
        <w:ind w:left="835" w:right="207"/>
      </w:pPr>
      <w:r>
        <w:t>We would question if the 'substantial paragraph' you refer to does in fact adequately explain</w:t>
      </w:r>
      <w:r>
        <w:rPr>
          <w:spacing w:val="1"/>
        </w:rPr>
        <w:t xml:space="preserve"> </w:t>
      </w:r>
      <w:r>
        <w:t>why the committee disregarded the evidence of both patient organisations and clinical experts.</w:t>
      </w:r>
      <w:r>
        <w:rPr>
          <w:spacing w:val="-47"/>
        </w:rPr>
        <w:t xml:space="preserve"> </w:t>
      </w:r>
      <w:r>
        <w:t>The committee does in essence disregard it and presents this without what we would regard as</w:t>
      </w:r>
      <w:r>
        <w:rPr>
          <w:spacing w:val="-47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acceptable explanation,</w:t>
      </w:r>
      <w:r>
        <w:rPr>
          <w:spacing w:val="-2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than</w:t>
      </w:r>
      <w:r>
        <w:rPr>
          <w:spacing w:val="-1"/>
        </w:rPr>
        <w:t xml:space="preserve"> </w:t>
      </w:r>
      <w:r>
        <w:t>stating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decision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taken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that effect.</w:t>
      </w:r>
    </w:p>
    <w:p w14:paraId="46CB6613" w14:textId="77777777" w:rsidR="00296931" w:rsidRDefault="006D5BFF">
      <w:pPr>
        <w:pStyle w:val="BodyText"/>
        <w:spacing w:line="259" w:lineRule="auto"/>
        <w:ind w:left="835" w:right="169"/>
      </w:pPr>
      <w:r>
        <w:t>The decision regarding a stopping rule therefore appears to be made on the trial data alone and</w:t>
      </w:r>
      <w:r>
        <w:rPr>
          <w:spacing w:val="-47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evidence,</w:t>
      </w:r>
      <w:r>
        <w:rPr>
          <w:spacing w:val="-3"/>
        </w:rPr>
        <w:t xml:space="preserve"> </w:t>
      </w:r>
      <w:r>
        <w:t>whether</w:t>
      </w:r>
      <w:r>
        <w:rPr>
          <w:spacing w:val="-1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clinical</w:t>
      </w:r>
      <w:r>
        <w:rPr>
          <w:spacing w:val="-1"/>
        </w:rPr>
        <w:t xml:space="preserve"> </w:t>
      </w:r>
      <w:r>
        <w:t>experts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patient</w:t>
      </w:r>
      <w:r>
        <w:rPr>
          <w:spacing w:val="-1"/>
        </w:rPr>
        <w:t xml:space="preserve"> </w:t>
      </w:r>
      <w:r>
        <w:t>groups,</w:t>
      </w:r>
      <w:r>
        <w:rPr>
          <w:spacing w:val="-1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disregarded.</w:t>
      </w:r>
    </w:p>
    <w:p w14:paraId="0417B9ED" w14:textId="77777777" w:rsidR="00296931" w:rsidRDefault="006D5BFF">
      <w:pPr>
        <w:pStyle w:val="ListParagraph"/>
        <w:numPr>
          <w:ilvl w:val="0"/>
          <w:numId w:val="1"/>
        </w:numPr>
        <w:tabs>
          <w:tab w:val="left" w:pos="835"/>
          <w:tab w:val="left" w:pos="836"/>
        </w:tabs>
        <w:spacing w:before="158" w:line="259" w:lineRule="auto"/>
        <w:ind w:left="835" w:right="625" w:hanging="721"/>
      </w:pPr>
      <w:r>
        <w:rPr>
          <w:i/>
        </w:rPr>
        <w:t>The committee noted that other NICE technology appraisals of avelumab have preferred no</w:t>
      </w:r>
      <w:r>
        <w:rPr>
          <w:i/>
          <w:spacing w:val="-47"/>
        </w:rPr>
        <w:t xml:space="preserve"> </w:t>
      </w:r>
      <w:r>
        <w:rPr>
          <w:i/>
        </w:rPr>
        <w:t>stopping</w:t>
      </w:r>
      <w:r>
        <w:rPr>
          <w:i/>
          <w:spacing w:val="-2"/>
        </w:rPr>
        <w:t xml:space="preserve"> </w:t>
      </w:r>
      <w:r>
        <w:rPr>
          <w:i/>
        </w:rPr>
        <w:t>rules.</w:t>
      </w:r>
    </w:p>
    <w:p w14:paraId="1D447677" w14:textId="77777777" w:rsidR="00296931" w:rsidRDefault="006D5BFF">
      <w:pPr>
        <w:pStyle w:val="BodyText"/>
        <w:spacing w:before="159" w:line="259" w:lineRule="auto"/>
        <w:ind w:left="835" w:right="257"/>
      </w:pPr>
      <w:r>
        <w:t>This is the first time that avelumab has been considered by NICE for treatment of urothelial</w:t>
      </w:r>
      <w:r>
        <w:rPr>
          <w:spacing w:val="1"/>
        </w:rPr>
        <w:t xml:space="preserve"> </w:t>
      </w:r>
      <w:r>
        <w:t>cancer.</w:t>
      </w:r>
      <w:r>
        <w:rPr>
          <w:spacing w:val="1"/>
        </w:rPr>
        <w:t xml:space="preserve"> </w:t>
      </w:r>
      <w:r>
        <w:t>Whilst understanding that it might prove of some use to refer to other appraisals of</w:t>
      </w:r>
      <w:r>
        <w:rPr>
          <w:spacing w:val="1"/>
        </w:rPr>
        <w:t xml:space="preserve"> </w:t>
      </w:r>
      <w:r>
        <w:t>avelumab for other conditions, the needs and requirements of those with urothelial cancer are</w:t>
      </w:r>
      <w:r>
        <w:rPr>
          <w:spacing w:val="-47"/>
        </w:rPr>
        <w:t xml:space="preserve"> </w:t>
      </w:r>
      <w:r>
        <w:t>unique and should therefore be approached as a discrete case.</w:t>
      </w:r>
      <w:r>
        <w:rPr>
          <w:spacing w:val="1"/>
        </w:rPr>
        <w:t xml:space="preserve"> </w:t>
      </w:r>
      <w:r>
        <w:t>Other available treatment</w:t>
      </w:r>
      <w:r>
        <w:rPr>
          <w:spacing w:val="1"/>
        </w:rPr>
        <w:t xml:space="preserve"> </w:t>
      </w:r>
      <w:r>
        <w:t>options for those with this type of cancer are severely limited, and there is an acute need.</w:t>
      </w:r>
      <w:r>
        <w:rPr>
          <w:spacing w:val="1"/>
        </w:rPr>
        <w:t xml:space="preserve"> </w:t>
      </w:r>
      <w:r>
        <w:t>This</w:t>
      </w:r>
      <w:r>
        <w:rPr>
          <w:spacing w:val="-47"/>
        </w:rPr>
        <w:t xml:space="preserve"> </w:t>
      </w:r>
      <w:r>
        <w:t>raises the question of the actual weight given within NICE appraisals to patient evidence and</w:t>
      </w:r>
      <w:r>
        <w:rPr>
          <w:spacing w:val="1"/>
        </w:rPr>
        <w:t xml:space="preserve"> </w:t>
      </w:r>
      <w:r>
        <w:t>need.</w:t>
      </w:r>
    </w:p>
    <w:p w14:paraId="66818400" w14:textId="77777777" w:rsidR="00296931" w:rsidRDefault="006D5BFF">
      <w:pPr>
        <w:pStyle w:val="ListParagraph"/>
        <w:numPr>
          <w:ilvl w:val="0"/>
          <w:numId w:val="1"/>
        </w:numPr>
        <w:tabs>
          <w:tab w:val="left" w:pos="835"/>
          <w:tab w:val="left" w:pos="836"/>
        </w:tabs>
        <w:spacing w:before="158"/>
        <w:ind w:left="835" w:hanging="721"/>
      </w:pPr>
      <w:r>
        <w:rPr>
          <w:i/>
        </w:rPr>
        <w:t>ABC</w:t>
      </w:r>
      <w:r>
        <w:rPr>
          <w:i/>
          <w:spacing w:val="-2"/>
        </w:rPr>
        <w:t xml:space="preserve"> </w:t>
      </w:r>
      <w:r>
        <w:rPr>
          <w:i/>
        </w:rPr>
        <w:t>UK’s</w:t>
      </w:r>
      <w:r>
        <w:rPr>
          <w:i/>
          <w:spacing w:val="-3"/>
        </w:rPr>
        <w:t xml:space="preserve"> </w:t>
      </w:r>
      <w:r>
        <w:rPr>
          <w:i/>
        </w:rPr>
        <w:t>evidence</w:t>
      </w:r>
      <w:r>
        <w:rPr>
          <w:i/>
          <w:spacing w:val="-1"/>
        </w:rPr>
        <w:t xml:space="preserve"> </w:t>
      </w:r>
      <w:r>
        <w:rPr>
          <w:i/>
        </w:rPr>
        <w:t>on</w:t>
      </w:r>
      <w:r>
        <w:rPr>
          <w:i/>
          <w:spacing w:val="-2"/>
        </w:rPr>
        <w:t xml:space="preserve"> </w:t>
      </w:r>
      <w:r>
        <w:rPr>
          <w:i/>
        </w:rPr>
        <w:t>a</w:t>
      </w:r>
      <w:r>
        <w:rPr>
          <w:i/>
          <w:spacing w:val="-4"/>
        </w:rPr>
        <w:t xml:space="preserve"> </w:t>
      </w:r>
      <w:r>
        <w:rPr>
          <w:i/>
        </w:rPr>
        <w:t>stopping</w:t>
      </w:r>
      <w:r>
        <w:rPr>
          <w:i/>
          <w:spacing w:val="-2"/>
        </w:rPr>
        <w:t xml:space="preserve"> </w:t>
      </w:r>
      <w:r>
        <w:rPr>
          <w:i/>
        </w:rPr>
        <w:t>rule</w:t>
      </w:r>
      <w:r>
        <w:rPr>
          <w:i/>
          <w:spacing w:val="-1"/>
        </w:rPr>
        <w:t xml:space="preserve"> </w:t>
      </w:r>
      <w:r>
        <w:rPr>
          <w:i/>
        </w:rPr>
        <w:t>was</w:t>
      </w:r>
      <w:r>
        <w:rPr>
          <w:i/>
          <w:spacing w:val="-3"/>
        </w:rPr>
        <w:t xml:space="preserve"> </w:t>
      </w:r>
      <w:r>
        <w:rPr>
          <w:i/>
        </w:rPr>
        <w:t>misrepresented</w:t>
      </w:r>
    </w:p>
    <w:p w14:paraId="11B1ECDD" w14:textId="77777777" w:rsidR="00296931" w:rsidRDefault="00296931">
      <w:pPr>
        <w:pStyle w:val="BodyText"/>
        <w:spacing w:before="1"/>
        <w:rPr>
          <w:i/>
        </w:rPr>
      </w:pPr>
    </w:p>
    <w:p w14:paraId="71D88D3C" w14:textId="77777777" w:rsidR="00296931" w:rsidRDefault="006D5BFF">
      <w:pPr>
        <w:pStyle w:val="BodyText"/>
        <w:ind w:left="835" w:right="276"/>
      </w:pPr>
      <w:r>
        <w:t>As you know, we feel that our views were not recorded accurately in the FAD and we have</w:t>
      </w:r>
      <w:r>
        <w:rPr>
          <w:spacing w:val="1"/>
        </w:rPr>
        <w:t xml:space="preserve"> </w:t>
      </w:r>
      <w:r>
        <w:t>separately also requested that these are amended to record our actual views as expressed (we</w:t>
      </w:r>
      <w:r>
        <w:rPr>
          <w:spacing w:val="-47"/>
        </w:rPr>
        <w:t xml:space="preserve"> </w:t>
      </w:r>
      <w:r>
        <w:t>have yet to receive notification that this has been resolved).</w:t>
      </w:r>
      <w:r>
        <w:rPr>
          <w:spacing w:val="1"/>
        </w:rPr>
        <w:t xml:space="preserve"> </w:t>
      </w:r>
      <w:r>
        <w:t>Your letter says: ‘Whether your</w:t>
      </w:r>
      <w:r>
        <w:rPr>
          <w:spacing w:val="1"/>
        </w:rPr>
        <w:t xml:space="preserve"> </w:t>
      </w:r>
      <w:r>
        <w:t>evidence is absolutely accurately précised or not, I think it is clear that the committee were</w:t>
      </w:r>
      <w:r>
        <w:rPr>
          <w:spacing w:val="1"/>
        </w:rPr>
        <w:t xml:space="preserve"> </w:t>
      </w:r>
      <w:r>
        <w:t>aware</w:t>
      </w:r>
      <w:r>
        <w:rPr>
          <w:spacing w:val="-3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patient</w:t>
      </w:r>
      <w:r>
        <w:rPr>
          <w:spacing w:val="-2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t>prefer the</w:t>
      </w:r>
      <w:r>
        <w:rPr>
          <w:spacing w:val="1"/>
        </w:rPr>
        <w:t xml:space="preserve"> </w:t>
      </w:r>
      <w:r>
        <w:t>treatment</w:t>
      </w:r>
      <w:r>
        <w:rPr>
          <w:spacing w:val="-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available.’</w:t>
      </w:r>
    </w:p>
    <w:p w14:paraId="1BAF246B" w14:textId="77777777" w:rsidR="00296931" w:rsidRDefault="00296931">
      <w:pPr>
        <w:pStyle w:val="BodyText"/>
        <w:spacing w:before="10"/>
        <w:rPr>
          <w:sz w:val="21"/>
        </w:rPr>
      </w:pPr>
    </w:p>
    <w:p w14:paraId="2914ECD2" w14:textId="77777777" w:rsidR="00296931" w:rsidRDefault="006D5BFF">
      <w:pPr>
        <w:pStyle w:val="BodyText"/>
        <w:spacing w:before="1"/>
        <w:ind w:left="835" w:right="169"/>
      </w:pPr>
      <w:r>
        <w:t>We have concerns about this and consider this to be an important point.</w:t>
      </w:r>
      <w:r>
        <w:rPr>
          <w:spacing w:val="49"/>
        </w:rPr>
        <w:t xml:space="preserve"> </w:t>
      </w:r>
      <w:r>
        <w:t>We do indeed feel</w:t>
      </w:r>
      <w:r>
        <w:rPr>
          <w:spacing w:val="1"/>
        </w:rPr>
        <w:t xml:space="preserve"> </w:t>
      </w:r>
      <w:r>
        <w:t xml:space="preserve">that it is an extremely important requirement that our evidence </w:t>
      </w:r>
      <w:r>
        <w:rPr>
          <w:b/>
        </w:rPr>
        <w:t xml:space="preserve">is </w:t>
      </w:r>
      <w:r>
        <w:t>accurately précised.</w:t>
      </w:r>
      <w:r>
        <w:rPr>
          <w:spacing w:val="1"/>
        </w:rPr>
        <w:t xml:space="preserve"> </w:t>
      </w:r>
      <w:r>
        <w:t>The FAD</w:t>
      </w:r>
      <w:r>
        <w:rPr>
          <w:spacing w:val="-47"/>
        </w:rPr>
        <w:t xml:space="preserve"> </w:t>
      </w:r>
      <w:r>
        <w:t>records</w:t>
      </w:r>
      <w:r>
        <w:rPr>
          <w:spacing w:val="-3"/>
        </w:rPr>
        <w:t xml:space="preserve"> </w:t>
      </w:r>
      <w:r>
        <w:t>as below:</w:t>
      </w:r>
    </w:p>
    <w:p w14:paraId="22CE06DD" w14:textId="77777777" w:rsidR="00296931" w:rsidRDefault="00296931">
      <w:pPr>
        <w:pStyle w:val="BodyText"/>
        <w:spacing w:before="2"/>
      </w:pPr>
    </w:p>
    <w:p w14:paraId="54EA0634" w14:textId="77777777" w:rsidR="00296931" w:rsidRDefault="006D5BFF">
      <w:pPr>
        <w:ind w:left="836" w:right="151"/>
        <w:rPr>
          <w:i/>
        </w:rPr>
      </w:pPr>
      <w:r>
        <w:rPr>
          <w:b/>
        </w:rPr>
        <w:t>Ref: FAD 3.8 p8/9 Extract</w:t>
      </w:r>
      <w:r>
        <w:t xml:space="preserve">: </w:t>
      </w:r>
      <w:r>
        <w:rPr>
          <w:i/>
        </w:rPr>
        <w:t>The clinical and patient experts stated that they would accept a</w:t>
      </w:r>
      <w:r>
        <w:rPr>
          <w:i/>
          <w:spacing w:val="1"/>
        </w:rPr>
        <w:t xml:space="preserve"> </w:t>
      </w:r>
      <w:r>
        <w:rPr>
          <w:i/>
        </w:rPr>
        <w:t>similar stopping rule if this would enable access to avelumab. This was confirmed by 2 patient</w:t>
      </w:r>
      <w:r>
        <w:rPr>
          <w:i/>
          <w:spacing w:val="1"/>
        </w:rPr>
        <w:t xml:space="preserve"> </w:t>
      </w:r>
      <w:r>
        <w:rPr>
          <w:i/>
        </w:rPr>
        <w:t xml:space="preserve">organisations in response to consultation, </w:t>
      </w:r>
      <w:r>
        <w:rPr>
          <w:i/>
          <w:u w:val="single"/>
        </w:rPr>
        <w:t>although 1 group noted that the people it represented</w:t>
      </w:r>
      <w:r>
        <w:rPr>
          <w:i/>
          <w:spacing w:val="-47"/>
        </w:rPr>
        <w:t xml:space="preserve"> </w:t>
      </w:r>
      <w:r>
        <w:rPr>
          <w:i/>
          <w:u w:val="single"/>
        </w:rPr>
        <w:t>would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prefer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avelumab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to</w:t>
      </w:r>
      <w:r>
        <w:rPr>
          <w:i/>
          <w:spacing w:val="-4"/>
          <w:u w:val="single"/>
        </w:rPr>
        <w:t xml:space="preserve"> </w:t>
      </w:r>
      <w:r>
        <w:rPr>
          <w:i/>
          <w:u w:val="single"/>
        </w:rPr>
        <w:t>be made available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without</w:t>
      </w:r>
      <w:r>
        <w:rPr>
          <w:i/>
          <w:spacing w:val="-3"/>
          <w:u w:val="single"/>
        </w:rPr>
        <w:t xml:space="preserve"> </w:t>
      </w:r>
      <w:r>
        <w:rPr>
          <w:i/>
          <w:u w:val="single"/>
        </w:rPr>
        <w:t>a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stopping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rule</w:t>
      </w:r>
      <w:r>
        <w:rPr>
          <w:i/>
        </w:rPr>
        <w:t>.</w:t>
      </w:r>
    </w:p>
    <w:p w14:paraId="30FCE264" w14:textId="77777777" w:rsidR="00296931" w:rsidRDefault="00296931">
      <w:pPr>
        <w:pStyle w:val="BodyText"/>
        <w:rPr>
          <w:i/>
          <w:sz w:val="20"/>
        </w:rPr>
      </w:pPr>
    </w:p>
    <w:p w14:paraId="7085E693" w14:textId="77777777" w:rsidR="00296931" w:rsidRDefault="00296931">
      <w:pPr>
        <w:pStyle w:val="BodyText"/>
        <w:spacing w:before="4"/>
        <w:rPr>
          <w:i/>
          <w:sz w:val="19"/>
        </w:rPr>
      </w:pPr>
    </w:p>
    <w:p w14:paraId="5BEB83D8" w14:textId="77777777" w:rsidR="00296931" w:rsidRDefault="006D5BFF">
      <w:pPr>
        <w:spacing w:before="56"/>
        <w:ind w:right="110"/>
        <w:jc w:val="right"/>
        <w:rPr>
          <w:b/>
        </w:rPr>
      </w:pPr>
      <w:r>
        <w:rPr>
          <w:b/>
        </w:rPr>
        <w:t>Page</w:t>
      </w:r>
      <w:r>
        <w:rPr>
          <w:b/>
          <w:spacing w:val="-1"/>
        </w:rPr>
        <w:t xml:space="preserve"> </w:t>
      </w:r>
      <w:r>
        <w:rPr>
          <w:b/>
        </w:rPr>
        <w:t>2</w:t>
      </w:r>
      <w:r>
        <w:rPr>
          <w:b/>
          <w:spacing w:val="1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</w:t>
      </w:r>
      <w:r>
        <w:rPr>
          <w:b/>
        </w:rPr>
        <w:t>3</w:t>
      </w:r>
    </w:p>
    <w:p w14:paraId="752DEBC7" w14:textId="77777777" w:rsidR="00296931" w:rsidRDefault="00296931">
      <w:pPr>
        <w:jc w:val="right"/>
        <w:sectPr w:rsidR="00296931">
          <w:pgSz w:w="11910" w:h="16840"/>
          <w:pgMar w:top="1380" w:right="1160" w:bottom="280" w:left="1160" w:header="720" w:footer="720" w:gutter="0"/>
          <w:cols w:space="720"/>
        </w:sectPr>
      </w:pPr>
    </w:p>
    <w:p w14:paraId="7DBB2A39" w14:textId="77777777" w:rsidR="00296931" w:rsidRDefault="006D5BFF">
      <w:pPr>
        <w:pStyle w:val="BodyText"/>
        <w:spacing w:before="41"/>
        <w:ind w:left="836" w:right="110"/>
      </w:pPr>
      <w:r>
        <w:lastRenderedPageBreak/>
        <w:t>This clearly gives the impression that no qualifying comment was made, which there was, (ie: we</w:t>
      </w:r>
      <w:r>
        <w:rPr>
          <w:spacing w:val="-47"/>
        </w:rPr>
        <w:t xml:space="preserve"> </w:t>
      </w:r>
      <w:r>
        <w:t>would</w:t>
      </w:r>
      <w:r>
        <w:rPr>
          <w:spacing w:val="2"/>
        </w:rPr>
        <w:t xml:space="preserve"> </w:t>
      </w:r>
      <w:r>
        <w:t>far</w:t>
      </w:r>
      <w:r>
        <w:rPr>
          <w:spacing w:val="4"/>
        </w:rPr>
        <w:t xml:space="preserve"> </w:t>
      </w:r>
      <w:r>
        <w:t>rather</w:t>
      </w:r>
      <w:r>
        <w:rPr>
          <w:spacing w:val="4"/>
        </w:rPr>
        <w:t xml:space="preserve"> </w:t>
      </w:r>
      <w:r>
        <w:t>prefer</w:t>
      </w:r>
      <w:r>
        <w:rPr>
          <w:spacing w:val="3"/>
        </w:rPr>
        <w:t xml:space="preserve"> </w:t>
      </w:r>
      <w:r>
        <w:t>avelumab</w:t>
      </w:r>
      <w:r>
        <w:rPr>
          <w:spacing w:val="3"/>
        </w:rPr>
        <w:t xml:space="preserve"> </w:t>
      </w:r>
      <w:r>
        <w:t>available</w:t>
      </w:r>
      <w:r>
        <w:rPr>
          <w:spacing w:val="4"/>
        </w:rPr>
        <w:t xml:space="preserve"> </w:t>
      </w:r>
      <w:r>
        <w:t>with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stopping</w:t>
      </w:r>
      <w:r>
        <w:rPr>
          <w:spacing w:val="3"/>
        </w:rPr>
        <w:t xml:space="preserve"> </w:t>
      </w:r>
      <w:r>
        <w:t>rule</w:t>
      </w:r>
      <w:r>
        <w:rPr>
          <w:spacing w:val="4"/>
        </w:rPr>
        <w:t xml:space="preserve"> </w:t>
      </w:r>
      <w:r>
        <w:t>than</w:t>
      </w:r>
      <w:r>
        <w:rPr>
          <w:spacing w:val="3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being</w:t>
      </w:r>
      <w:r>
        <w:rPr>
          <w:spacing w:val="1"/>
        </w:rPr>
        <w:t xml:space="preserve"> </w:t>
      </w:r>
      <w:r>
        <w:t>made</w:t>
      </w:r>
      <w:r>
        <w:rPr>
          <w:spacing w:val="5"/>
        </w:rPr>
        <w:t xml:space="preserve"> </w:t>
      </w:r>
      <w:r>
        <w:t>available</w:t>
      </w:r>
      <w:r>
        <w:rPr>
          <w:spacing w:val="1"/>
        </w:rPr>
        <w:t xml:space="preserve"> </w:t>
      </w:r>
      <w:r>
        <w:t>at all).</w:t>
      </w:r>
      <w:r>
        <w:rPr>
          <w:spacing w:val="1"/>
        </w:rPr>
        <w:t xml:space="preserve"> </w:t>
      </w:r>
      <w:r>
        <w:t>If the FAD records our views as above I feel we are being entirely reasonable in</w:t>
      </w:r>
      <w:r>
        <w:rPr>
          <w:spacing w:val="1"/>
        </w:rPr>
        <w:t xml:space="preserve"> </w:t>
      </w:r>
      <w:r>
        <w:t>considering this raises the question whether the Committee did in fact fully understand our</w:t>
      </w:r>
      <w:r>
        <w:rPr>
          <w:spacing w:val="1"/>
        </w:rPr>
        <w:t xml:space="preserve"> </w:t>
      </w:r>
      <w:r>
        <w:t>views as clearly stated, or if this qualifying statement has been ignored, or whether NICE had</w:t>
      </w:r>
      <w:r>
        <w:rPr>
          <w:spacing w:val="1"/>
        </w:rPr>
        <w:t xml:space="preserve"> </w:t>
      </w:r>
      <w:r>
        <w:t>selectively used</w:t>
      </w:r>
      <w:r>
        <w:rPr>
          <w:spacing w:val="-4"/>
        </w:rPr>
        <w:t xml:space="preserve"> </w:t>
      </w:r>
      <w:r>
        <w:t>only a small</w:t>
      </w:r>
      <w:r>
        <w:rPr>
          <w:spacing w:val="-1"/>
        </w:rPr>
        <w:t xml:space="preserve"> </w:t>
      </w:r>
      <w:r>
        <w:t>part of</w:t>
      </w:r>
      <w:r>
        <w:rPr>
          <w:spacing w:val="-2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statement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issue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FAD decision.</w:t>
      </w:r>
    </w:p>
    <w:p w14:paraId="104FD382" w14:textId="28CD74AC" w:rsidR="00296931" w:rsidRDefault="006D5BFF">
      <w:pPr>
        <w:pStyle w:val="BodyText"/>
        <w:tabs>
          <w:tab w:val="left" w:pos="6485"/>
        </w:tabs>
        <w:ind w:left="836" w:right="202" w:hanging="1"/>
      </w:pPr>
      <w:r>
        <w:t>As no patient group was allowed an opportunity at the 2</w:t>
      </w:r>
      <w:r>
        <w:rPr>
          <w:vertAlign w:val="superscript"/>
        </w:rPr>
        <w:t>nd</w:t>
      </w:r>
      <w:r>
        <w:t xml:space="preserve"> Committee meeting to present their</w:t>
      </w:r>
      <w:r>
        <w:rPr>
          <w:spacing w:val="1"/>
        </w:rPr>
        <w:t xml:space="preserve"> </w:t>
      </w:r>
      <w:r>
        <w:t>views on the use of a stopping rule there was no opportunity to ensure this clarity.</w:t>
      </w:r>
      <w:r>
        <w:rPr>
          <w:spacing w:val="1"/>
        </w:rPr>
        <w:t xml:space="preserve"> </w:t>
      </w:r>
      <w:r>
        <w:t>We feel this</w:t>
      </w:r>
      <w:r>
        <w:rPr>
          <w:spacing w:val="-47"/>
        </w:rPr>
        <w:t xml:space="preserve"> </w:t>
      </w:r>
      <w:r>
        <w:t>misrepresents the view clearly stated by ABC UK both in Committee and in our letters of 05 and</w:t>
      </w:r>
      <w:r>
        <w:rPr>
          <w:spacing w:val="-47"/>
        </w:rPr>
        <w:t xml:space="preserve"> </w:t>
      </w:r>
      <w:r>
        <w:t>12 July</w:t>
      </w:r>
      <w:r>
        <w:rPr>
          <w:spacing w:val="-2"/>
        </w:rPr>
        <w:t xml:space="preserve"> </w:t>
      </w:r>
      <w:r>
        <w:t>2021 to</w:t>
      </w:r>
      <w:r>
        <w:rPr>
          <w:spacing w:val="-2"/>
        </w:rPr>
        <w:t xml:space="preserve"> </w:t>
      </w:r>
      <w:r w:rsidR="00FD0F4A" w:rsidRPr="00FD0F4A">
        <w:rPr>
          <w:highlight w:val="black"/>
        </w:rPr>
        <w:t>XXXXXXXX XXXXXX</w:t>
      </w:r>
      <w:r w:rsidRPr="00FD0F4A">
        <w:rPr>
          <w:spacing w:val="-2"/>
          <w:highlight w:val="black"/>
        </w:rPr>
        <w:t xml:space="preserve"> </w:t>
      </w:r>
      <w:r w:rsidRPr="00FD0F4A">
        <w:rPr>
          <w:highlight w:val="black"/>
        </w:rPr>
        <w:t>and</w:t>
      </w:r>
      <w:r>
        <w:rPr>
          <w:spacing w:val="-2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letter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05</w:t>
      </w:r>
      <w:r>
        <w:rPr>
          <w:spacing w:val="-5"/>
        </w:rPr>
        <w:t xml:space="preserve"> </w:t>
      </w:r>
      <w:r>
        <w:t>August.</w:t>
      </w:r>
      <w:r>
        <w:tab/>
        <w:t>We have requested that this is</w:t>
      </w:r>
      <w:r>
        <w:rPr>
          <w:spacing w:val="1"/>
        </w:rPr>
        <w:t xml:space="preserve"> </w:t>
      </w:r>
      <w:r>
        <w:t>corrected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FAD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received</w:t>
      </w:r>
      <w:r>
        <w:rPr>
          <w:spacing w:val="-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response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request.</w:t>
      </w:r>
    </w:p>
    <w:p w14:paraId="6171CD02" w14:textId="77777777" w:rsidR="00296931" w:rsidRDefault="00296931">
      <w:pPr>
        <w:pStyle w:val="BodyText"/>
        <w:spacing w:before="12"/>
        <w:rPr>
          <w:sz w:val="21"/>
        </w:rPr>
      </w:pPr>
    </w:p>
    <w:p w14:paraId="65D2BB10" w14:textId="77777777" w:rsidR="00296931" w:rsidRDefault="006D5BFF">
      <w:pPr>
        <w:pStyle w:val="BodyText"/>
        <w:ind w:left="116" w:right="133"/>
      </w:pPr>
      <w:r>
        <w:t>We refer to your comment, in your initial scrutiny letter, that ‘The weight a committee gives to evidence</w:t>
      </w:r>
      <w:r>
        <w:rPr>
          <w:spacing w:val="-47"/>
        </w:rPr>
        <w:t xml:space="preserve"> </w:t>
      </w:r>
      <w:r>
        <w:t>is a question for its judgement, subject only to the requirement that the judgement is reasonable’.</w:t>
      </w:r>
      <w:r>
        <w:rPr>
          <w:spacing w:val="1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are increasingly becoming concerned about what ‘weight’ is in fact given to the evidence of patient</w:t>
      </w:r>
      <w:r>
        <w:rPr>
          <w:spacing w:val="1"/>
        </w:rPr>
        <w:t xml:space="preserve"> </w:t>
      </w:r>
      <w:r>
        <w:t>organisations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rationale used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NICE</w:t>
      </w:r>
      <w:r>
        <w:rPr>
          <w:spacing w:val="-1"/>
        </w:rPr>
        <w:t xml:space="preserve"> </w:t>
      </w:r>
      <w:r>
        <w:t>to assess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weight and</w:t>
      </w:r>
      <w:r>
        <w:rPr>
          <w:spacing w:val="-4"/>
        </w:rPr>
        <w:t xml:space="preserve"> </w:t>
      </w:r>
      <w:r>
        <w:t>value given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evidence.</w:t>
      </w:r>
    </w:p>
    <w:p w14:paraId="605F3FE2" w14:textId="77777777" w:rsidR="00296931" w:rsidRDefault="00296931">
      <w:pPr>
        <w:pStyle w:val="BodyText"/>
        <w:spacing w:before="10"/>
        <w:rPr>
          <w:sz w:val="21"/>
        </w:rPr>
      </w:pPr>
    </w:p>
    <w:p w14:paraId="4122B098" w14:textId="77777777" w:rsidR="00296931" w:rsidRDefault="006D5BFF">
      <w:pPr>
        <w:spacing w:before="1"/>
        <w:ind w:left="115" w:right="169"/>
        <w:rPr>
          <w:b/>
        </w:rPr>
      </w:pPr>
      <w:r>
        <w:rPr>
          <w:b/>
        </w:rPr>
        <w:t>We therefore consider the decision regarding the rejection of a stopping rule for Avelumab to be</w:t>
      </w:r>
      <w:r>
        <w:rPr>
          <w:b/>
          <w:spacing w:val="1"/>
        </w:rPr>
        <w:t xml:space="preserve"> </w:t>
      </w:r>
      <w:r>
        <w:rPr>
          <w:b/>
        </w:rPr>
        <w:t>unfair and would ask that your view of not being minded to refer this point to an appeal committee is</w:t>
      </w:r>
      <w:r>
        <w:rPr>
          <w:b/>
          <w:spacing w:val="-47"/>
        </w:rPr>
        <w:t xml:space="preserve"> </w:t>
      </w:r>
      <w:r>
        <w:rPr>
          <w:b/>
        </w:rPr>
        <w:t>reversed, and</w:t>
      </w:r>
      <w:r>
        <w:rPr>
          <w:b/>
          <w:spacing w:val="-1"/>
        </w:rPr>
        <w:t xml:space="preserve"> </w:t>
      </w:r>
      <w:r>
        <w:rPr>
          <w:b/>
        </w:rPr>
        <w:t>this</w:t>
      </w:r>
      <w:r>
        <w:rPr>
          <w:b/>
          <w:spacing w:val="-2"/>
        </w:rPr>
        <w:t xml:space="preserve"> </w:t>
      </w:r>
      <w:r>
        <w:rPr>
          <w:b/>
        </w:rPr>
        <w:t>point</w:t>
      </w:r>
      <w:r>
        <w:rPr>
          <w:b/>
          <w:spacing w:val="-2"/>
        </w:rPr>
        <w:t xml:space="preserve"> </w:t>
      </w:r>
      <w:r>
        <w:rPr>
          <w:b/>
        </w:rPr>
        <w:t>is</w:t>
      </w:r>
      <w:r>
        <w:rPr>
          <w:b/>
          <w:spacing w:val="-2"/>
        </w:rPr>
        <w:t xml:space="preserve"> </w:t>
      </w:r>
      <w:r>
        <w:rPr>
          <w:b/>
        </w:rPr>
        <w:t>now</w:t>
      </w:r>
      <w:r>
        <w:rPr>
          <w:b/>
          <w:spacing w:val="1"/>
        </w:rPr>
        <w:t xml:space="preserve"> </w:t>
      </w:r>
      <w:r>
        <w:rPr>
          <w:b/>
        </w:rPr>
        <w:t>referred</w:t>
      </w:r>
      <w:r>
        <w:rPr>
          <w:b/>
          <w:spacing w:val="-1"/>
        </w:rPr>
        <w:t xml:space="preserve"> </w:t>
      </w:r>
      <w:r>
        <w:rPr>
          <w:b/>
        </w:rPr>
        <w:t>for</w:t>
      </w:r>
      <w:r>
        <w:rPr>
          <w:b/>
          <w:spacing w:val="-2"/>
        </w:rPr>
        <w:t xml:space="preserve"> </w:t>
      </w:r>
      <w:r>
        <w:rPr>
          <w:b/>
        </w:rPr>
        <w:t>appeal.</w:t>
      </w:r>
    </w:p>
    <w:p w14:paraId="6ADD9BD8" w14:textId="77777777" w:rsidR="00296931" w:rsidRDefault="00296931">
      <w:pPr>
        <w:pStyle w:val="BodyText"/>
        <w:rPr>
          <w:b/>
        </w:rPr>
      </w:pPr>
    </w:p>
    <w:p w14:paraId="52B0AB7F" w14:textId="77777777" w:rsidR="00296931" w:rsidRDefault="006D5BFF">
      <w:pPr>
        <w:ind w:left="115"/>
        <w:rPr>
          <w:b/>
        </w:rPr>
      </w:pPr>
      <w:r>
        <w:rPr>
          <w:b/>
        </w:rPr>
        <w:t>Ground</w:t>
      </w:r>
      <w:r>
        <w:rPr>
          <w:b/>
          <w:spacing w:val="-3"/>
        </w:rPr>
        <w:t xml:space="preserve"> </w:t>
      </w:r>
      <w:r>
        <w:rPr>
          <w:b/>
        </w:rPr>
        <w:t>2:</w:t>
      </w:r>
      <w:r>
        <w:rPr>
          <w:b/>
          <w:spacing w:val="-2"/>
        </w:rPr>
        <w:t xml:space="preserve"> </w:t>
      </w:r>
      <w:r>
        <w:rPr>
          <w:b/>
        </w:rPr>
        <w:t>the</w:t>
      </w:r>
      <w:r>
        <w:rPr>
          <w:b/>
          <w:spacing w:val="-1"/>
        </w:rPr>
        <w:t xml:space="preserve"> </w:t>
      </w:r>
      <w:r>
        <w:rPr>
          <w:b/>
        </w:rPr>
        <w:t>recommendation</w:t>
      </w:r>
      <w:r>
        <w:rPr>
          <w:b/>
          <w:spacing w:val="-3"/>
        </w:rPr>
        <w:t xml:space="preserve"> </w:t>
      </w:r>
      <w:r>
        <w:rPr>
          <w:b/>
        </w:rPr>
        <w:t>is unreasonable</w:t>
      </w:r>
      <w:r>
        <w:rPr>
          <w:b/>
          <w:spacing w:val="-4"/>
        </w:rPr>
        <w:t xml:space="preserve"> </w:t>
      </w:r>
      <w:r>
        <w:rPr>
          <w:b/>
        </w:rPr>
        <w:t>in</w:t>
      </w:r>
      <w:r>
        <w:rPr>
          <w:b/>
          <w:spacing w:val="-3"/>
        </w:rPr>
        <w:t xml:space="preserve"> </w:t>
      </w:r>
      <w:r>
        <w:rPr>
          <w:b/>
        </w:rPr>
        <w:t>the</w:t>
      </w:r>
      <w:r>
        <w:rPr>
          <w:b/>
          <w:spacing w:val="-2"/>
        </w:rPr>
        <w:t xml:space="preserve"> </w:t>
      </w:r>
      <w:r>
        <w:rPr>
          <w:b/>
        </w:rPr>
        <w:t>light</w:t>
      </w:r>
      <w:r>
        <w:rPr>
          <w:b/>
          <w:spacing w:val="-1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</w:t>
      </w:r>
      <w:r>
        <w:rPr>
          <w:b/>
        </w:rPr>
        <w:t>the</w:t>
      </w:r>
      <w:r>
        <w:rPr>
          <w:b/>
          <w:spacing w:val="-1"/>
        </w:rPr>
        <w:t xml:space="preserve"> </w:t>
      </w:r>
      <w:r>
        <w:rPr>
          <w:b/>
        </w:rPr>
        <w:t>evidence</w:t>
      </w:r>
      <w:r>
        <w:rPr>
          <w:b/>
          <w:spacing w:val="-4"/>
        </w:rPr>
        <w:t xml:space="preserve"> </w:t>
      </w:r>
      <w:r>
        <w:rPr>
          <w:b/>
        </w:rPr>
        <w:t>submitted</w:t>
      </w:r>
      <w:r>
        <w:rPr>
          <w:b/>
          <w:spacing w:val="-3"/>
        </w:rPr>
        <w:t xml:space="preserve"> </w:t>
      </w:r>
      <w:r>
        <w:rPr>
          <w:b/>
        </w:rPr>
        <w:t>to</w:t>
      </w:r>
      <w:r>
        <w:rPr>
          <w:b/>
          <w:spacing w:val="-4"/>
        </w:rPr>
        <w:t xml:space="preserve"> </w:t>
      </w:r>
      <w:r>
        <w:rPr>
          <w:b/>
        </w:rPr>
        <w:t>NICE</w:t>
      </w:r>
    </w:p>
    <w:p w14:paraId="5EB0150E" w14:textId="77777777" w:rsidR="00296931" w:rsidRDefault="006D5BFF">
      <w:pPr>
        <w:ind w:left="115"/>
        <w:rPr>
          <w:i/>
        </w:rPr>
      </w:pPr>
      <w:r>
        <w:rPr>
          <w:i/>
        </w:rPr>
        <w:t>It</w:t>
      </w:r>
      <w:r>
        <w:rPr>
          <w:i/>
          <w:spacing w:val="-1"/>
        </w:rPr>
        <w:t xml:space="preserve"> </w:t>
      </w:r>
      <w:r>
        <w:rPr>
          <w:i/>
        </w:rPr>
        <w:t>is unreasonable</w:t>
      </w:r>
      <w:r>
        <w:rPr>
          <w:i/>
          <w:spacing w:val="-1"/>
        </w:rPr>
        <w:t xml:space="preserve"> </w:t>
      </w:r>
      <w:r>
        <w:rPr>
          <w:i/>
        </w:rPr>
        <w:t>to</w:t>
      </w:r>
      <w:r>
        <w:rPr>
          <w:i/>
          <w:spacing w:val="-2"/>
        </w:rPr>
        <w:t xml:space="preserve"> </w:t>
      </w:r>
      <w:r>
        <w:rPr>
          <w:i/>
        </w:rPr>
        <w:t>conclude</w:t>
      </w:r>
      <w:r>
        <w:rPr>
          <w:i/>
          <w:spacing w:val="-1"/>
        </w:rPr>
        <w:t xml:space="preserve"> </w:t>
      </w:r>
      <w:r>
        <w:rPr>
          <w:i/>
        </w:rPr>
        <w:t>that the</w:t>
      </w:r>
      <w:r>
        <w:rPr>
          <w:i/>
          <w:spacing w:val="-4"/>
        </w:rPr>
        <w:t xml:space="preserve"> </w:t>
      </w:r>
      <w:r>
        <w:rPr>
          <w:i/>
        </w:rPr>
        <w:t>short life</w:t>
      </w:r>
      <w:r>
        <w:rPr>
          <w:i/>
          <w:spacing w:val="-3"/>
        </w:rPr>
        <w:t xml:space="preserve"> </w:t>
      </w:r>
      <w:r>
        <w:rPr>
          <w:i/>
        </w:rPr>
        <w:t>expectancy</w:t>
      </w:r>
      <w:r>
        <w:rPr>
          <w:i/>
          <w:spacing w:val="-1"/>
        </w:rPr>
        <w:t xml:space="preserve"> </w:t>
      </w:r>
      <w:r>
        <w:rPr>
          <w:i/>
        </w:rPr>
        <w:t>criterion</w:t>
      </w:r>
      <w:r>
        <w:rPr>
          <w:i/>
          <w:spacing w:val="-3"/>
        </w:rPr>
        <w:t xml:space="preserve"> </w:t>
      </w:r>
      <w:r>
        <w:rPr>
          <w:i/>
        </w:rPr>
        <w:t>of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end</w:t>
      </w:r>
      <w:r>
        <w:rPr>
          <w:i/>
          <w:spacing w:val="-2"/>
        </w:rPr>
        <w:t xml:space="preserve"> </w:t>
      </w:r>
      <w:r>
        <w:rPr>
          <w:i/>
        </w:rPr>
        <w:t>of</w:t>
      </w:r>
      <w:r>
        <w:rPr>
          <w:i/>
          <w:spacing w:val="-4"/>
        </w:rPr>
        <w:t xml:space="preserve"> </w:t>
      </w:r>
      <w:r>
        <w:rPr>
          <w:i/>
        </w:rPr>
        <w:t>life</w:t>
      </w:r>
      <w:r>
        <w:rPr>
          <w:i/>
          <w:spacing w:val="-1"/>
        </w:rPr>
        <w:t xml:space="preserve"> </w:t>
      </w:r>
      <w:r>
        <w:rPr>
          <w:i/>
        </w:rPr>
        <w:t>policy</w:t>
      </w:r>
      <w:r>
        <w:rPr>
          <w:i/>
          <w:spacing w:val="-1"/>
        </w:rPr>
        <w:t xml:space="preserve"> </w:t>
      </w:r>
      <w:r>
        <w:rPr>
          <w:i/>
        </w:rPr>
        <w:t>is not</w:t>
      </w:r>
      <w:r>
        <w:rPr>
          <w:i/>
          <w:spacing w:val="-3"/>
        </w:rPr>
        <w:t xml:space="preserve"> </w:t>
      </w:r>
      <w:r>
        <w:rPr>
          <w:i/>
        </w:rPr>
        <w:t>met.</w:t>
      </w:r>
    </w:p>
    <w:p w14:paraId="2424A5D6" w14:textId="77777777" w:rsidR="00296931" w:rsidRDefault="00296931">
      <w:pPr>
        <w:pStyle w:val="BodyText"/>
        <w:spacing w:before="11"/>
        <w:rPr>
          <w:i/>
          <w:sz w:val="21"/>
        </w:rPr>
      </w:pPr>
    </w:p>
    <w:p w14:paraId="2CFABDDD" w14:textId="77777777" w:rsidR="00296931" w:rsidRDefault="006D5BFF">
      <w:pPr>
        <w:pStyle w:val="BodyText"/>
        <w:ind w:left="115"/>
      </w:pPr>
      <w:r>
        <w:t>We</w:t>
      </w:r>
      <w:r>
        <w:rPr>
          <w:spacing w:val="-1"/>
        </w:rPr>
        <w:t xml:space="preserve"> </w:t>
      </w:r>
      <w:r>
        <w:t>note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have recognised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valid</w:t>
      </w:r>
      <w:r>
        <w:rPr>
          <w:spacing w:val="-3"/>
        </w:rPr>
        <w:t xml:space="preserve"> </w:t>
      </w:r>
      <w:r>
        <w:t>appeal</w:t>
      </w:r>
      <w:r>
        <w:rPr>
          <w:spacing w:val="-1"/>
        </w:rPr>
        <w:t xml:space="preserve"> </w:t>
      </w:r>
      <w:r>
        <w:t>point and</w:t>
      </w:r>
      <w:r>
        <w:rPr>
          <w:spacing w:val="-3"/>
        </w:rPr>
        <w:t xml:space="preserve"> </w:t>
      </w:r>
      <w:r>
        <w:t>we look forward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Appeal.</w:t>
      </w:r>
    </w:p>
    <w:p w14:paraId="2A5286D3" w14:textId="77777777" w:rsidR="00296931" w:rsidRDefault="00296931">
      <w:pPr>
        <w:pStyle w:val="BodyText"/>
      </w:pPr>
    </w:p>
    <w:p w14:paraId="3B0B27B1" w14:textId="77777777" w:rsidR="00296931" w:rsidRDefault="006D5BFF">
      <w:pPr>
        <w:ind w:left="115"/>
        <w:rPr>
          <w:b/>
        </w:rPr>
      </w:pPr>
      <w:r>
        <w:rPr>
          <w:b/>
        </w:rPr>
        <w:t>Conclusion</w:t>
      </w:r>
    </w:p>
    <w:p w14:paraId="35FE7F61" w14:textId="77777777" w:rsidR="00296931" w:rsidRDefault="00296931">
      <w:pPr>
        <w:pStyle w:val="BodyText"/>
        <w:rPr>
          <w:b/>
        </w:rPr>
      </w:pPr>
    </w:p>
    <w:p w14:paraId="7F696A0D" w14:textId="77777777" w:rsidR="00296931" w:rsidRDefault="006D5BFF">
      <w:pPr>
        <w:ind w:left="114" w:right="246"/>
        <w:rPr>
          <w:b/>
        </w:rPr>
      </w:pPr>
      <w:r>
        <w:t>In conclusion, we would repeat again, that urothelial cancer is extremely badly served in terms of</w:t>
      </w:r>
      <w:r>
        <w:rPr>
          <w:spacing w:val="1"/>
        </w:rPr>
        <w:t xml:space="preserve"> </w:t>
      </w:r>
      <w:r>
        <w:t>available effective treatments.</w:t>
      </w:r>
      <w:r>
        <w:rPr>
          <w:spacing w:val="1"/>
        </w:rPr>
        <w:t xml:space="preserve"> </w:t>
      </w:r>
      <w:r>
        <w:t>Avelumab has shown in clinical trial to be of value in treating patients</w:t>
      </w:r>
      <w:r>
        <w:rPr>
          <w:spacing w:val="1"/>
        </w:rPr>
        <w:t xml:space="preserve"> </w:t>
      </w:r>
      <w:r>
        <w:t>with little other treatment options, and potentially of greater value if fully used in the wider clinical</w:t>
      </w:r>
      <w:r>
        <w:rPr>
          <w:spacing w:val="1"/>
        </w:rPr>
        <w:t xml:space="preserve"> </w:t>
      </w:r>
      <w:r>
        <w:t>setting.</w:t>
      </w:r>
      <w:r>
        <w:rPr>
          <w:spacing w:val="1"/>
        </w:rPr>
        <w:t xml:space="preserve"> </w:t>
      </w:r>
      <w:r>
        <w:rPr>
          <w:b/>
        </w:rPr>
        <w:t>It is vital these new therapies and, most importantly, more than one of these new therapies</w:t>
      </w:r>
      <w:r>
        <w:rPr>
          <w:b/>
          <w:spacing w:val="1"/>
        </w:rPr>
        <w:t xml:space="preserve"> </w:t>
      </w:r>
      <w:r>
        <w:rPr>
          <w:b/>
        </w:rPr>
        <w:t>(due to difference in trial data results, patient cohorts within trials, and the opportunity for vital</w:t>
      </w:r>
      <w:r>
        <w:rPr>
          <w:b/>
          <w:spacing w:val="1"/>
        </w:rPr>
        <w:t xml:space="preserve"> </w:t>
      </w:r>
      <w:r>
        <w:rPr>
          <w:b/>
        </w:rPr>
        <w:t>further evidence gathering arising from wider in clinic use), are now used in this wider clinical setting</w:t>
      </w:r>
      <w:r>
        <w:rPr>
          <w:b/>
          <w:spacing w:val="-47"/>
        </w:rPr>
        <w:t xml:space="preserve"> </w:t>
      </w:r>
      <w:r>
        <w:rPr>
          <w:b/>
        </w:rPr>
        <w:t>to</w:t>
      </w:r>
      <w:r>
        <w:rPr>
          <w:b/>
          <w:spacing w:val="-2"/>
        </w:rPr>
        <w:t xml:space="preserve"> </w:t>
      </w:r>
      <w:r>
        <w:rPr>
          <w:b/>
        </w:rPr>
        <w:t>provide benefit for</w:t>
      </w:r>
      <w:r>
        <w:rPr>
          <w:b/>
          <w:spacing w:val="1"/>
        </w:rPr>
        <w:t xml:space="preserve"> </w:t>
      </w:r>
      <w:r>
        <w:rPr>
          <w:b/>
        </w:rPr>
        <w:t>patients</w:t>
      </w:r>
      <w:r>
        <w:rPr>
          <w:b/>
          <w:spacing w:val="1"/>
        </w:rPr>
        <w:t xml:space="preserve"> </w:t>
      </w:r>
      <w:r>
        <w:rPr>
          <w:b/>
        </w:rPr>
        <w:t>in</w:t>
      </w:r>
      <w:r>
        <w:rPr>
          <w:b/>
          <w:spacing w:val="-1"/>
        </w:rPr>
        <w:t xml:space="preserve"> </w:t>
      </w:r>
      <w:r>
        <w:rPr>
          <w:b/>
        </w:rPr>
        <w:t>the UK.</w:t>
      </w:r>
    </w:p>
    <w:p w14:paraId="0A166F4F" w14:textId="77777777" w:rsidR="00296931" w:rsidRDefault="00296931">
      <w:pPr>
        <w:pStyle w:val="BodyText"/>
        <w:spacing w:before="11"/>
        <w:rPr>
          <w:b/>
          <w:sz w:val="21"/>
        </w:rPr>
      </w:pPr>
    </w:p>
    <w:p w14:paraId="19B8E379" w14:textId="77777777" w:rsidR="00296931" w:rsidRDefault="006D5BFF">
      <w:pPr>
        <w:spacing w:before="1"/>
        <w:ind w:left="114" w:right="201"/>
        <w:rPr>
          <w:b/>
        </w:rPr>
      </w:pPr>
      <w:r>
        <w:t>We would also like to note that we are delighted the Scottish Medical Consortium have, since our letter</w:t>
      </w:r>
      <w:r>
        <w:rPr>
          <w:spacing w:val="-47"/>
        </w:rPr>
        <w:t xml:space="preserve"> </w:t>
      </w:r>
      <w:r>
        <w:t xml:space="preserve">of the 05 August 2021, confirmed that the SMC </w:t>
      </w:r>
      <w:r>
        <w:rPr>
          <w:b/>
        </w:rPr>
        <w:t xml:space="preserve">will </w:t>
      </w:r>
      <w:r>
        <w:t>be making Avelumab accessible for patients in</w:t>
      </w:r>
      <w:r>
        <w:rPr>
          <w:spacing w:val="1"/>
        </w:rPr>
        <w:t xml:space="preserve"> </w:t>
      </w:r>
      <w:r>
        <w:t>Scotland.</w:t>
      </w:r>
      <w:r>
        <w:rPr>
          <w:spacing w:val="1"/>
        </w:rPr>
        <w:t xml:space="preserve"> </w:t>
      </w:r>
      <w:r>
        <w:t>This positive and welcome decision was made after considering the same evidence as</w:t>
      </w:r>
      <w:r>
        <w:rPr>
          <w:spacing w:val="1"/>
        </w:rPr>
        <w:t xml:space="preserve"> </w:t>
      </w:r>
      <w:r>
        <w:t>presented to NICE, and from a process to which we contributed.</w:t>
      </w:r>
      <w:r>
        <w:rPr>
          <w:spacing w:val="1"/>
        </w:rPr>
        <w:t xml:space="preserve"> </w:t>
      </w:r>
      <w:r>
        <w:rPr>
          <w:b/>
        </w:rPr>
        <w:t>We would find it of great concern if</w:t>
      </w:r>
      <w:r>
        <w:rPr>
          <w:b/>
          <w:spacing w:val="1"/>
        </w:rPr>
        <w:t xml:space="preserve"> </w:t>
      </w:r>
      <w:r>
        <w:rPr>
          <w:b/>
        </w:rPr>
        <w:t>there was now not to be an equity of access to much-needed new therapies for urothelial cancer</w:t>
      </w:r>
      <w:r>
        <w:rPr>
          <w:b/>
          <w:spacing w:val="1"/>
        </w:rPr>
        <w:t xml:space="preserve"> </w:t>
      </w:r>
      <w:r>
        <w:rPr>
          <w:b/>
        </w:rPr>
        <w:t>across</w:t>
      </w:r>
      <w:r>
        <w:rPr>
          <w:b/>
          <w:spacing w:val="-2"/>
        </w:rPr>
        <w:t xml:space="preserve"> </w:t>
      </w:r>
      <w:r>
        <w:rPr>
          <w:b/>
        </w:rPr>
        <w:t>the</w:t>
      </w:r>
      <w:r>
        <w:rPr>
          <w:b/>
          <w:spacing w:val="-1"/>
        </w:rPr>
        <w:t xml:space="preserve"> </w:t>
      </w:r>
      <w:r>
        <w:rPr>
          <w:b/>
        </w:rPr>
        <w:t>UK.</w:t>
      </w:r>
    </w:p>
    <w:p w14:paraId="64FB4E27" w14:textId="77777777" w:rsidR="00296931" w:rsidRDefault="00296931">
      <w:pPr>
        <w:pStyle w:val="BodyText"/>
        <w:spacing w:before="1"/>
        <w:rPr>
          <w:b/>
        </w:rPr>
      </w:pPr>
    </w:p>
    <w:p w14:paraId="17F22D06" w14:textId="77777777" w:rsidR="00296931" w:rsidRDefault="006D5BFF">
      <w:pPr>
        <w:pStyle w:val="BodyText"/>
        <w:spacing w:after="4"/>
        <w:ind w:left="114"/>
      </w:pPr>
      <w:r>
        <w:t>Yours</w:t>
      </w:r>
      <w:r>
        <w:rPr>
          <w:spacing w:val="-3"/>
        </w:rPr>
        <w:t xml:space="preserve"> </w:t>
      </w:r>
      <w:r>
        <w:t>sincerely</w:t>
      </w:r>
    </w:p>
    <w:p w14:paraId="40B60683" w14:textId="08AC1413" w:rsidR="00296931" w:rsidRDefault="00296931">
      <w:pPr>
        <w:pStyle w:val="BodyText"/>
        <w:ind w:left="116"/>
        <w:rPr>
          <w:sz w:val="20"/>
        </w:rPr>
      </w:pPr>
    </w:p>
    <w:p w14:paraId="2224A66F" w14:textId="645A8412" w:rsidR="00296931" w:rsidRDefault="00FD0F4A">
      <w:pPr>
        <w:spacing w:line="266" w:lineRule="exact"/>
        <w:ind w:left="114"/>
        <w:rPr>
          <w:b/>
        </w:rPr>
      </w:pPr>
      <w:r w:rsidRPr="00FD0F4A">
        <w:rPr>
          <w:b/>
          <w:bCs/>
          <w:highlight w:val="black"/>
        </w:rPr>
        <w:t>XXXXX</w:t>
      </w:r>
      <w:r w:rsidRPr="00FD0F4A">
        <w:rPr>
          <w:highlight w:val="black"/>
        </w:rPr>
        <w:t xml:space="preserve"> </w:t>
      </w:r>
      <w:r w:rsidRPr="00FD0F4A">
        <w:rPr>
          <w:b/>
          <w:highlight w:val="black"/>
        </w:rPr>
        <w:t>XXXXXX</w:t>
      </w:r>
    </w:p>
    <w:p w14:paraId="7311B7CE" w14:textId="0C8A4B37" w:rsidR="00296931" w:rsidRDefault="00DA042D">
      <w:pPr>
        <w:ind w:left="114"/>
        <w:rPr>
          <w:b/>
        </w:rPr>
      </w:pPr>
      <w:r>
        <w:rPr>
          <w:b/>
        </w:rPr>
        <w:t xml:space="preserve">Chair </w:t>
      </w:r>
      <w:r w:rsidR="006D5BFF">
        <w:rPr>
          <w:b/>
        </w:rPr>
        <w:t>-</w:t>
      </w:r>
      <w:r w:rsidR="006D5BFF">
        <w:rPr>
          <w:b/>
          <w:spacing w:val="-4"/>
        </w:rPr>
        <w:t xml:space="preserve"> </w:t>
      </w:r>
      <w:r w:rsidR="006D5BFF">
        <w:rPr>
          <w:b/>
        </w:rPr>
        <w:t>Action</w:t>
      </w:r>
      <w:r w:rsidR="006D5BFF">
        <w:rPr>
          <w:b/>
          <w:spacing w:val="-4"/>
        </w:rPr>
        <w:t xml:space="preserve"> </w:t>
      </w:r>
      <w:r w:rsidR="006D5BFF">
        <w:rPr>
          <w:b/>
        </w:rPr>
        <w:t>Bladder Cancer</w:t>
      </w:r>
      <w:r w:rsidR="006D5BFF">
        <w:rPr>
          <w:b/>
          <w:spacing w:val="1"/>
        </w:rPr>
        <w:t xml:space="preserve"> </w:t>
      </w:r>
      <w:r w:rsidR="006D5BFF">
        <w:rPr>
          <w:b/>
        </w:rPr>
        <w:t>UK</w:t>
      </w:r>
    </w:p>
    <w:p w14:paraId="09C53E9E" w14:textId="77777777" w:rsidR="00296931" w:rsidRDefault="006D5BFF">
      <w:pPr>
        <w:ind w:left="8469"/>
        <w:rPr>
          <w:b/>
        </w:rPr>
      </w:pPr>
      <w:r>
        <w:rPr>
          <w:b/>
        </w:rPr>
        <w:t>Page</w:t>
      </w:r>
      <w:r>
        <w:rPr>
          <w:b/>
          <w:spacing w:val="-1"/>
        </w:rPr>
        <w:t xml:space="preserve"> </w:t>
      </w:r>
      <w:r>
        <w:rPr>
          <w:b/>
        </w:rPr>
        <w:t>3</w:t>
      </w:r>
      <w:r>
        <w:rPr>
          <w:b/>
          <w:spacing w:val="1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</w:rPr>
        <w:t>3</w:t>
      </w:r>
    </w:p>
    <w:sectPr w:rsidR="00296931">
      <w:pgSz w:w="11910" w:h="16840"/>
      <w:pgMar w:top="1380" w:right="116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14372B"/>
    <w:multiLevelType w:val="hybridMultilevel"/>
    <w:tmpl w:val="6DE8D936"/>
    <w:lvl w:ilvl="0" w:tplc="B03A3F62">
      <w:start w:val="1"/>
      <w:numFmt w:val="decimal"/>
      <w:lvlText w:val="%1"/>
      <w:lvlJc w:val="left"/>
      <w:pPr>
        <w:ind w:left="825" w:hanging="720"/>
        <w:jc w:val="left"/>
      </w:pPr>
      <w:rPr>
        <w:rFonts w:hint="default"/>
        <w:w w:val="100"/>
      </w:rPr>
    </w:lvl>
    <w:lvl w:ilvl="1" w:tplc="E0EA1B76">
      <w:numFmt w:val="bullet"/>
      <w:lvlText w:val="•"/>
      <w:lvlJc w:val="left"/>
      <w:pPr>
        <w:ind w:left="1695" w:hanging="720"/>
      </w:pPr>
      <w:rPr>
        <w:rFonts w:hint="default"/>
      </w:rPr>
    </w:lvl>
    <w:lvl w:ilvl="2" w:tplc="C7FC9DFC">
      <w:numFmt w:val="bullet"/>
      <w:lvlText w:val="•"/>
      <w:lvlJc w:val="left"/>
      <w:pPr>
        <w:ind w:left="2571" w:hanging="720"/>
      </w:pPr>
      <w:rPr>
        <w:rFonts w:hint="default"/>
      </w:rPr>
    </w:lvl>
    <w:lvl w:ilvl="3" w:tplc="6A745EFE">
      <w:numFmt w:val="bullet"/>
      <w:lvlText w:val="•"/>
      <w:lvlJc w:val="left"/>
      <w:pPr>
        <w:ind w:left="3447" w:hanging="720"/>
      </w:pPr>
      <w:rPr>
        <w:rFonts w:hint="default"/>
      </w:rPr>
    </w:lvl>
    <w:lvl w:ilvl="4" w:tplc="CD864D60">
      <w:numFmt w:val="bullet"/>
      <w:lvlText w:val="•"/>
      <w:lvlJc w:val="left"/>
      <w:pPr>
        <w:ind w:left="4323" w:hanging="720"/>
      </w:pPr>
      <w:rPr>
        <w:rFonts w:hint="default"/>
      </w:rPr>
    </w:lvl>
    <w:lvl w:ilvl="5" w:tplc="DFE62424">
      <w:numFmt w:val="bullet"/>
      <w:lvlText w:val="•"/>
      <w:lvlJc w:val="left"/>
      <w:pPr>
        <w:ind w:left="5199" w:hanging="720"/>
      </w:pPr>
      <w:rPr>
        <w:rFonts w:hint="default"/>
      </w:rPr>
    </w:lvl>
    <w:lvl w:ilvl="6" w:tplc="F71A6CBA">
      <w:numFmt w:val="bullet"/>
      <w:lvlText w:val="•"/>
      <w:lvlJc w:val="left"/>
      <w:pPr>
        <w:ind w:left="6075" w:hanging="720"/>
      </w:pPr>
      <w:rPr>
        <w:rFonts w:hint="default"/>
      </w:rPr>
    </w:lvl>
    <w:lvl w:ilvl="7" w:tplc="AF62B7CA">
      <w:numFmt w:val="bullet"/>
      <w:lvlText w:val="•"/>
      <w:lvlJc w:val="left"/>
      <w:pPr>
        <w:ind w:left="6951" w:hanging="720"/>
      </w:pPr>
      <w:rPr>
        <w:rFonts w:hint="default"/>
      </w:rPr>
    </w:lvl>
    <w:lvl w:ilvl="8" w:tplc="39FCC636">
      <w:numFmt w:val="bullet"/>
      <w:lvlText w:val="•"/>
      <w:lvlJc w:val="left"/>
      <w:pPr>
        <w:ind w:left="7827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931"/>
    <w:rsid w:val="00296931"/>
    <w:rsid w:val="006D5BFF"/>
    <w:rsid w:val="00DA042D"/>
    <w:rsid w:val="00FD0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4E77C"/>
  <w15:docId w15:val="{93904DD6-E29D-4259-A00B-C8FB3255B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05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35" w:hanging="72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1297</Words>
  <Characters>7397</Characters>
  <Application>Microsoft Office Word</Application>
  <DocSecurity>0</DocSecurity>
  <Lines>61</Lines>
  <Paragraphs>17</Paragraphs>
  <ScaleCrop>false</ScaleCrop>
  <Company/>
  <LinksUpToDate>false</LinksUpToDate>
  <CharactersWithSpaces>8677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EVANS</dc:creator>
  <cp:lastModifiedBy>Maria Pitan</cp:lastModifiedBy>
  <cp:revision>3</cp:revision>
  <dcterms:created xsi:type="dcterms:W3CDTF">2021-09-22T15:11:00Z</dcterms:created>
  <dcterms:modified xsi:type="dcterms:W3CDTF">2021-09-22T15:32:00Z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2021-08-27T00:00:00Z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2021-09-22T00:00:00Z</vt:filetime>
  </property>
</Properties>
</file>