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CA76" w14:textId="19EF432A" w:rsidR="00C05E9A" w:rsidRDefault="00CB3F07" w:rsidP="00CB3F07">
      <w:pPr>
        <w:pStyle w:val="Default"/>
        <w:jc w:val="right"/>
        <w:rPr>
          <w:sz w:val="20"/>
          <w:szCs w:val="20"/>
        </w:rPr>
      </w:pPr>
      <w:r>
        <w:rPr>
          <w:noProof/>
        </w:rPr>
        <w:drawing>
          <wp:inline distT="0" distB="0" distL="0" distR="0" wp14:anchorId="16B42047" wp14:editId="1A3294F9">
            <wp:extent cx="1081405" cy="1009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1405" cy="1009650"/>
                    </a:xfrm>
                    <a:prstGeom prst="rect">
                      <a:avLst/>
                    </a:prstGeom>
                    <a:noFill/>
                    <a:ln>
                      <a:noFill/>
                    </a:ln>
                  </pic:spPr>
                </pic:pic>
              </a:graphicData>
            </a:graphic>
          </wp:inline>
        </w:drawing>
      </w:r>
    </w:p>
    <w:p w14:paraId="2B1FCEC2" w14:textId="77777777" w:rsidR="00C05E9A" w:rsidRPr="00CB3F07" w:rsidRDefault="00C05E9A" w:rsidP="00C05E9A">
      <w:pPr>
        <w:pStyle w:val="Default"/>
        <w:rPr>
          <w:rFonts w:asciiTheme="minorHAnsi" w:hAnsiTheme="minorHAnsi" w:cstheme="minorHAnsi"/>
          <w:sz w:val="20"/>
          <w:szCs w:val="20"/>
        </w:rPr>
      </w:pPr>
    </w:p>
    <w:p w14:paraId="7E4BC3A9" w14:textId="77777777" w:rsidR="00C05E9A" w:rsidRPr="00CB3F07" w:rsidRDefault="00C05E9A" w:rsidP="00C05E9A">
      <w:pPr>
        <w:pStyle w:val="Default"/>
        <w:rPr>
          <w:rFonts w:asciiTheme="minorHAnsi" w:hAnsiTheme="minorHAnsi" w:cstheme="minorHAnsi"/>
          <w:sz w:val="20"/>
          <w:szCs w:val="20"/>
        </w:rPr>
      </w:pPr>
      <w:r w:rsidRPr="00CB3F07">
        <w:rPr>
          <w:rFonts w:asciiTheme="minorHAnsi" w:hAnsiTheme="minorHAnsi" w:cstheme="minorHAnsi"/>
          <w:sz w:val="20"/>
          <w:szCs w:val="20"/>
        </w:rPr>
        <w:t xml:space="preserve">Dr Mark Chakravarty </w:t>
      </w:r>
    </w:p>
    <w:p w14:paraId="3B9E2CC5" w14:textId="77777777" w:rsidR="00C05E9A" w:rsidRPr="00CB3F07" w:rsidRDefault="00C05E9A" w:rsidP="00C05E9A">
      <w:pPr>
        <w:pStyle w:val="Default"/>
        <w:rPr>
          <w:rFonts w:asciiTheme="minorHAnsi" w:hAnsiTheme="minorHAnsi" w:cstheme="minorHAnsi"/>
          <w:sz w:val="20"/>
          <w:szCs w:val="20"/>
        </w:rPr>
      </w:pPr>
      <w:r w:rsidRPr="00CB3F07">
        <w:rPr>
          <w:rFonts w:asciiTheme="minorHAnsi" w:hAnsiTheme="minorHAnsi" w:cstheme="minorHAnsi"/>
          <w:sz w:val="20"/>
          <w:szCs w:val="20"/>
        </w:rPr>
        <w:t xml:space="preserve">Lead Non-executive Director for Appeals </w:t>
      </w:r>
    </w:p>
    <w:p w14:paraId="3E285D81" w14:textId="77777777" w:rsidR="00C05E9A" w:rsidRPr="00CB3F07" w:rsidRDefault="00C05E9A" w:rsidP="00C05E9A">
      <w:pPr>
        <w:rPr>
          <w:rFonts w:cstheme="minorHAnsi"/>
          <w:color w:val="000000"/>
          <w:sz w:val="20"/>
          <w:szCs w:val="20"/>
          <w:lang w:val="en-US"/>
        </w:rPr>
      </w:pPr>
      <w:r w:rsidRPr="00CB3F07">
        <w:rPr>
          <w:rFonts w:cstheme="minorHAnsi"/>
          <w:color w:val="000000"/>
          <w:sz w:val="20"/>
          <w:szCs w:val="20"/>
          <w:lang w:val="en-US"/>
        </w:rPr>
        <w:t xml:space="preserve">National Institute for Health and Care Excellence </w:t>
      </w:r>
    </w:p>
    <w:p w14:paraId="394BAE78" w14:textId="1EBAF017" w:rsidR="00C05E9A" w:rsidRPr="00CB3F07" w:rsidRDefault="00C05E9A" w:rsidP="00C05E9A">
      <w:pPr>
        <w:rPr>
          <w:rFonts w:cstheme="minorHAnsi"/>
          <w:color w:val="000000"/>
          <w:sz w:val="20"/>
          <w:szCs w:val="20"/>
          <w:lang w:val="en-US"/>
        </w:rPr>
      </w:pPr>
      <w:r w:rsidRPr="00CB3F07">
        <w:rPr>
          <w:rFonts w:cstheme="minorHAnsi"/>
          <w:color w:val="000000"/>
          <w:sz w:val="20"/>
          <w:szCs w:val="20"/>
          <w:lang w:val="en-US"/>
        </w:rPr>
        <w:t>2nd Floor</w:t>
      </w:r>
      <w:r w:rsidR="00CB3F07">
        <w:rPr>
          <w:rFonts w:cstheme="minorHAnsi"/>
          <w:color w:val="000000"/>
          <w:sz w:val="20"/>
          <w:szCs w:val="20"/>
          <w:lang w:val="en-US"/>
        </w:rPr>
        <w:t xml:space="preserve">, </w:t>
      </w:r>
      <w:r w:rsidRPr="00CB3F07">
        <w:rPr>
          <w:rFonts w:cstheme="minorHAnsi"/>
          <w:color w:val="000000"/>
          <w:sz w:val="20"/>
          <w:szCs w:val="20"/>
          <w:lang w:val="en-US"/>
        </w:rPr>
        <w:t xml:space="preserve">2 Redman Place </w:t>
      </w:r>
    </w:p>
    <w:p w14:paraId="5B5579BA" w14:textId="608C3355" w:rsidR="00C05E9A" w:rsidRPr="00CB3F07" w:rsidRDefault="00C05E9A" w:rsidP="00C05E9A">
      <w:pPr>
        <w:rPr>
          <w:rFonts w:cstheme="minorHAnsi"/>
          <w:color w:val="000000"/>
          <w:sz w:val="20"/>
          <w:szCs w:val="20"/>
          <w:lang w:val="en-US"/>
        </w:rPr>
      </w:pPr>
      <w:r w:rsidRPr="00CB3F07">
        <w:rPr>
          <w:rFonts w:cstheme="minorHAnsi"/>
          <w:color w:val="000000"/>
          <w:sz w:val="20"/>
          <w:szCs w:val="20"/>
          <w:lang w:val="en-US"/>
        </w:rPr>
        <w:t xml:space="preserve">London E20 1JQ </w:t>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Pr>
          <w:rFonts w:cstheme="minorHAnsi"/>
          <w:color w:val="000000"/>
          <w:sz w:val="20"/>
          <w:szCs w:val="20"/>
          <w:lang w:val="en-US"/>
        </w:rPr>
        <w:tab/>
      </w:r>
      <w:r w:rsidR="00CB3F07" w:rsidRPr="00CB3F07">
        <w:rPr>
          <w:rFonts w:cstheme="minorHAnsi"/>
          <w:color w:val="000000"/>
          <w:sz w:val="20"/>
          <w:szCs w:val="20"/>
          <w:lang w:val="en-US"/>
        </w:rPr>
        <w:t>28th September 2021</w:t>
      </w:r>
    </w:p>
    <w:p w14:paraId="792BAEDB" w14:textId="77777777" w:rsidR="00C05E9A" w:rsidRPr="00CB3F07" w:rsidRDefault="00C05E9A" w:rsidP="00C05E9A">
      <w:pPr>
        <w:rPr>
          <w:rFonts w:cstheme="minorHAnsi"/>
          <w:color w:val="0D0D0D"/>
          <w:sz w:val="20"/>
          <w:szCs w:val="20"/>
        </w:rPr>
      </w:pPr>
    </w:p>
    <w:p w14:paraId="7BE17DA8" w14:textId="77777777" w:rsidR="00C05E9A" w:rsidRPr="00CB3F07" w:rsidRDefault="00C05E9A" w:rsidP="00C05E9A">
      <w:pPr>
        <w:rPr>
          <w:rFonts w:cstheme="minorHAnsi"/>
          <w:color w:val="0D0D0D"/>
          <w:sz w:val="20"/>
          <w:szCs w:val="20"/>
        </w:rPr>
      </w:pPr>
      <w:r w:rsidRPr="00CB3F07">
        <w:rPr>
          <w:rFonts w:cstheme="minorHAnsi"/>
          <w:color w:val="0D0D0D"/>
          <w:sz w:val="20"/>
          <w:szCs w:val="20"/>
        </w:rPr>
        <w:t>Dear Dr Chakravarty</w:t>
      </w:r>
    </w:p>
    <w:p w14:paraId="218EFDC9" w14:textId="77777777" w:rsidR="00C05E9A" w:rsidRDefault="00C05E9A" w:rsidP="00C05E9A">
      <w:pPr>
        <w:pStyle w:val="Default"/>
      </w:pPr>
    </w:p>
    <w:p w14:paraId="05AAD965" w14:textId="77777777" w:rsidR="00C05E9A" w:rsidRDefault="00C05E9A" w:rsidP="00C05E9A">
      <w:pPr>
        <w:rPr>
          <w:b/>
          <w:bCs/>
          <w:sz w:val="20"/>
          <w:szCs w:val="20"/>
        </w:rPr>
      </w:pPr>
      <w:r>
        <w:rPr>
          <w:b/>
          <w:bCs/>
          <w:sz w:val="20"/>
          <w:szCs w:val="20"/>
        </w:rPr>
        <w:t xml:space="preserve">Re: Final Appraisal Document – avelumab for maintenance treatment of locally advanced or metastatic urothelial cancer after platinum-based chemotherapy [ID3735] </w:t>
      </w:r>
    </w:p>
    <w:p w14:paraId="0662B536" w14:textId="77777777" w:rsidR="00C05E9A" w:rsidRDefault="00C05E9A" w:rsidP="00C05E9A">
      <w:pPr>
        <w:rPr>
          <w:b/>
          <w:bCs/>
          <w:sz w:val="20"/>
          <w:szCs w:val="20"/>
        </w:rPr>
      </w:pPr>
    </w:p>
    <w:p w14:paraId="13CE90F7" w14:textId="20BE8D61" w:rsidR="00C05E9A" w:rsidRDefault="00C05E9A" w:rsidP="00C05E9A">
      <w:pPr>
        <w:rPr>
          <w:color w:val="0D0D0D"/>
          <w:sz w:val="20"/>
          <w:szCs w:val="20"/>
        </w:rPr>
      </w:pPr>
      <w:r>
        <w:rPr>
          <w:color w:val="0D0D0D"/>
          <w:sz w:val="20"/>
          <w:szCs w:val="20"/>
        </w:rPr>
        <w:t xml:space="preserve">Thank you for your letter dated 13 August 2021 addressed to our </w:t>
      </w:r>
      <w:r w:rsidR="006B585A">
        <w:rPr>
          <w:color w:val="0D0D0D"/>
          <w:sz w:val="20"/>
          <w:szCs w:val="20"/>
        </w:rPr>
        <w:t xml:space="preserve">secretary </w:t>
      </w:r>
      <w:r w:rsidR="006B585A" w:rsidRPr="006B585A">
        <w:rPr>
          <w:color w:val="0D0D0D"/>
          <w:sz w:val="20"/>
          <w:szCs w:val="20"/>
          <w:highlight w:val="black"/>
        </w:rPr>
        <w:t xml:space="preserve">XXXX XXXXXX </w:t>
      </w:r>
      <w:proofErr w:type="spellStart"/>
      <w:r w:rsidR="006B585A" w:rsidRPr="006B585A">
        <w:rPr>
          <w:color w:val="0D0D0D"/>
          <w:sz w:val="20"/>
          <w:szCs w:val="20"/>
          <w:highlight w:val="black"/>
        </w:rPr>
        <w:t>XXXXXX</w:t>
      </w:r>
      <w:proofErr w:type="spellEnd"/>
      <w:r>
        <w:rPr>
          <w:color w:val="0D0D0D"/>
          <w:sz w:val="20"/>
          <w:szCs w:val="20"/>
        </w:rPr>
        <w:t xml:space="preserve"> in response to </w:t>
      </w:r>
      <w:r w:rsidR="00A97056" w:rsidRPr="00A97056">
        <w:rPr>
          <w:color w:val="0D0D0D"/>
          <w:sz w:val="20"/>
          <w:szCs w:val="20"/>
          <w:highlight w:val="black"/>
        </w:rPr>
        <w:t>XXX</w:t>
      </w:r>
      <w:r>
        <w:rPr>
          <w:color w:val="0D0D0D"/>
          <w:sz w:val="20"/>
          <w:szCs w:val="20"/>
        </w:rPr>
        <w:t xml:space="preserve"> original letter of appeal sent on behalf of the British </w:t>
      </w:r>
      <w:proofErr w:type="spellStart"/>
      <w:r>
        <w:rPr>
          <w:color w:val="0D0D0D"/>
          <w:sz w:val="20"/>
          <w:szCs w:val="20"/>
        </w:rPr>
        <w:t>Uro</w:t>
      </w:r>
      <w:proofErr w:type="spellEnd"/>
      <w:r>
        <w:rPr>
          <w:color w:val="0D0D0D"/>
          <w:sz w:val="20"/>
          <w:szCs w:val="20"/>
        </w:rPr>
        <w:t>-</w:t>
      </w:r>
      <w:r w:rsidR="00CB3F07">
        <w:rPr>
          <w:color w:val="0D0D0D"/>
          <w:sz w:val="20"/>
          <w:szCs w:val="20"/>
        </w:rPr>
        <w:t>o</w:t>
      </w:r>
      <w:r>
        <w:rPr>
          <w:color w:val="0D0D0D"/>
          <w:sz w:val="20"/>
          <w:szCs w:val="20"/>
        </w:rPr>
        <w:t xml:space="preserve">ncology Group (BUG). I am responding on behalf of our group as </w:t>
      </w:r>
      <w:r w:rsidR="00A97056" w:rsidRPr="00A97056">
        <w:rPr>
          <w:color w:val="0D0D0D"/>
          <w:sz w:val="20"/>
          <w:szCs w:val="20"/>
          <w:highlight w:val="black"/>
        </w:rPr>
        <w:t>XXXX</w:t>
      </w:r>
      <w:r w:rsidRPr="00A97056">
        <w:rPr>
          <w:color w:val="0D0D0D"/>
          <w:sz w:val="20"/>
          <w:szCs w:val="20"/>
          <w:highlight w:val="black"/>
        </w:rPr>
        <w:t xml:space="preserve"> </w:t>
      </w:r>
      <w:r w:rsidR="00A97056" w:rsidRPr="00A97056">
        <w:rPr>
          <w:color w:val="0D0D0D"/>
          <w:sz w:val="20"/>
          <w:szCs w:val="20"/>
          <w:highlight w:val="black"/>
        </w:rPr>
        <w:t>XXXXXX</w:t>
      </w:r>
      <w:r w:rsidRPr="00A97056">
        <w:rPr>
          <w:color w:val="0D0D0D"/>
          <w:sz w:val="20"/>
          <w:szCs w:val="20"/>
          <w:highlight w:val="black"/>
        </w:rPr>
        <w:t xml:space="preserve"> is</w:t>
      </w:r>
      <w:r>
        <w:rPr>
          <w:color w:val="0D0D0D"/>
          <w:sz w:val="20"/>
          <w:szCs w:val="20"/>
        </w:rPr>
        <w:t xml:space="preserve"> </w:t>
      </w:r>
      <w:proofErr w:type="spellStart"/>
      <w:r w:rsidR="006B585A">
        <w:rPr>
          <w:color w:val="0D0D0D"/>
          <w:sz w:val="20"/>
          <w:szCs w:val="20"/>
        </w:rPr>
        <w:t>is</w:t>
      </w:r>
      <w:proofErr w:type="spellEnd"/>
      <w:r w:rsidR="006B585A">
        <w:rPr>
          <w:color w:val="0D0D0D"/>
          <w:sz w:val="20"/>
          <w:szCs w:val="20"/>
        </w:rPr>
        <w:t xml:space="preserve"> </w:t>
      </w:r>
      <w:r>
        <w:rPr>
          <w:color w:val="0D0D0D"/>
          <w:sz w:val="20"/>
          <w:szCs w:val="20"/>
        </w:rPr>
        <w:t xml:space="preserve">currently unavailable. </w:t>
      </w:r>
    </w:p>
    <w:p w14:paraId="769C1DFB" w14:textId="77777777" w:rsidR="00C05E9A" w:rsidRDefault="00C05E9A" w:rsidP="00C05E9A">
      <w:pPr>
        <w:rPr>
          <w:color w:val="0D0D0D"/>
          <w:sz w:val="20"/>
          <w:szCs w:val="20"/>
        </w:rPr>
      </w:pPr>
    </w:p>
    <w:p w14:paraId="5E37269C" w14:textId="127480A0" w:rsidR="00C05E9A" w:rsidRDefault="00C05E9A" w:rsidP="00C05E9A">
      <w:pPr>
        <w:rPr>
          <w:color w:val="0D0D0D"/>
          <w:sz w:val="20"/>
          <w:szCs w:val="20"/>
        </w:rPr>
      </w:pPr>
      <w:r>
        <w:rPr>
          <w:color w:val="0D0D0D"/>
          <w:sz w:val="20"/>
          <w:szCs w:val="20"/>
        </w:rPr>
        <w:t xml:space="preserve">For avoidance of any confusion, I am </w:t>
      </w:r>
      <w:r w:rsidR="001872BA">
        <w:rPr>
          <w:color w:val="0D0D0D"/>
          <w:sz w:val="20"/>
          <w:szCs w:val="20"/>
        </w:rPr>
        <w:t xml:space="preserve">also </w:t>
      </w:r>
      <w:r w:rsidR="00E32AE6">
        <w:rPr>
          <w:color w:val="0D0D0D"/>
          <w:sz w:val="20"/>
          <w:szCs w:val="20"/>
        </w:rPr>
        <w:t>chair</w:t>
      </w:r>
      <w:r>
        <w:rPr>
          <w:color w:val="0D0D0D"/>
          <w:sz w:val="20"/>
          <w:szCs w:val="20"/>
        </w:rPr>
        <w:t xml:space="preserve"> of the National Cancer Research Institute Clinical Research Bladder and Renal Studies Group which responds to NICE through the Royal College of Physicians as a stakeholder. To avoid unnecessary duplication (as our oncology membership largely overlaps), no specific appeal was made by the NCRI group via RCP and this response is on behalf of BUG.</w:t>
      </w:r>
    </w:p>
    <w:p w14:paraId="04D11567" w14:textId="77777777" w:rsidR="00C05E9A" w:rsidRDefault="00C05E9A" w:rsidP="00C05E9A">
      <w:pPr>
        <w:rPr>
          <w:color w:val="0D0D0D"/>
          <w:sz w:val="20"/>
          <w:szCs w:val="20"/>
        </w:rPr>
      </w:pPr>
    </w:p>
    <w:p w14:paraId="642EC504" w14:textId="2717779F" w:rsidR="00C05E9A" w:rsidRPr="00C05E9A" w:rsidRDefault="00C05E9A" w:rsidP="00C05E9A">
      <w:pPr>
        <w:rPr>
          <w:rFonts w:cstheme="minorHAnsi"/>
          <w:sz w:val="20"/>
          <w:szCs w:val="20"/>
        </w:rPr>
      </w:pPr>
      <w:r w:rsidRPr="00C05E9A">
        <w:rPr>
          <w:rFonts w:cstheme="minorHAnsi"/>
          <w:sz w:val="20"/>
          <w:szCs w:val="20"/>
        </w:rPr>
        <w:t xml:space="preserve">I can confirm that our group understands the grounds for which appeal can be made. Thank you for making this clear. However, we wish to clarify some areas prior to your making a final decision about which of our points of appeal may be considered valid for referral to the </w:t>
      </w:r>
      <w:r w:rsidR="00E32245">
        <w:rPr>
          <w:rFonts w:cstheme="minorHAnsi"/>
          <w:sz w:val="20"/>
          <w:szCs w:val="20"/>
        </w:rPr>
        <w:t>A</w:t>
      </w:r>
      <w:r w:rsidRPr="00C05E9A">
        <w:rPr>
          <w:rFonts w:cstheme="minorHAnsi"/>
          <w:sz w:val="20"/>
          <w:szCs w:val="20"/>
        </w:rPr>
        <w:t xml:space="preserve">ppeals </w:t>
      </w:r>
      <w:r w:rsidR="00E32245">
        <w:rPr>
          <w:rFonts w:cstheme="minorHAnsi"/>
          <w:sz w:val="20"/>
          <w:szCs w:val="20"/>
        </w:rPr>
        <w:t>P</w:t>
      </w:r>
      <w:r w:rsidRPr="00C05E9A">
        <w:rPr>
          <w:rFonts w:cstheme="minorHAnsi"/>
          <w:sz w:val="20"/>
          <w:szCs w:val="20"/>
        </w:rPr>
        <w:t>anel.</w:t>
      </w:r>
    </w:p>
    <w:p w14:paraId="714917EC" w14:textId="77777777" w:rsidR="00C05E9A" w:rsidRPr="00C05E9A" w:rsidRDefault="00C05E9A" w:rsidP="00C05E9A">
      <w:pPr>
        <w:rPr>
          <w:rFonts w:cstheme="minorHAnsi"/>
          <w:sz w:val="20"/>
          <w:szCs w:val="20"/>
        </w:rPr>
      </w:pPr>
    </w:p>
    <w:p w14:paraId="41C45F96" w14:textId="77777777" w:rsidR="00CB3F07" w:rsidRDefault="00C05E9A" w:rsidP="00CB3F07">
      <w:pPr>
        <w:rPr>
          <w:rFonts w:cstheme="minorHAnsi"/>
          <w:b/>
          <w:bCs/>
          <w:i/>
          <w:iCs/>
          <w:sz w:val="20"/>
          <w:szCs w:val="20"/>
        </w:rPr>
      </w:pPr>
      <w:r w:rsidRPr="00C05E9A">
        <w:rPr>
          <w:rFonts w:cstheme="minorHAnsi"/>
          <w:b/>
          <w:bCs/>
          <w:i/>
          <w:iCs/>
          <w:sz w:val="20"/>
          <w:szCs w:val="20"/>
        </w:rPr>
        <w:t>Ground 1(a): In making the assessment that preceded the recommendation, NICE has failed to act fairly</w:t>
      </w:r>
    </w:p>
    <w:p w14:paraId="32E11340" w14:textId="77777777" w:rsidR="00CB3F07" w:rsidRDefault="00CB3F07" w:rsidP="00CB3F07">
      <w:pPr>
        <w:rPr>
          <w:rFonts w:cstheme="minorHAnsi"/>
          <w:b/>
          <w:bCs/>
          <w:i/>
          <w:iCs/>
          <w:sz w:val="20"/>
          <w:szCs w:val="20"/>
        </w:rPr>
      </w:pPr>
    </w:p>
    <w:p w14:paraId="10D39C4E" w14:textId="66DD68FF" w:rsidR="00CB3F07" w:rsidRDefault="00C05E9A" w:rsidP="00CB3F07">
      <w:pPr>
        <w:rPr>
          <w:rFonts w:eastAsia="ArialMT" w:cstheme="minorHAnsi"/>
          <w:sz w:val="20"/>
          <w:szCs w:val="20"/>
        </w:rPr>
      </w:pPr>
      <w:r w:rsidRPr="00C05E9A">
        <w:rPr>
          <w:rFonts w:cstheme="minorHAnsi"/>
          <w:bCs/>
          <w:iCs/>
          <w:sz w:val="20"/>
          <w:szCs w:val="20"/>
        </w:rPr>
        <w:t xml:space="preserve">We agree that </w:t>
      </w:r>
      <w:proofErr w:type="gramStart"/>
      <w:r w:rsidRPr="00C05E9A">
        <w:rPr>
          <w:rFonts w:cstheme="minorHAnsi"/>
          <w:bCs/>
          <w:iCs/>
          <w:sz w:val="20"/>
          <w:szCs w:val="20"/>
        </w:rPr>
        <w:t>it is clear that the</w:t>
      </w:r>
      <w:proofErr w:type="gramEnd"/>
      <w:r w:rsidRPr="00C05E9A">
        <w:rPr>
          <w:rFonts w:cstheme="minorHAnsi"/>
          <w:bCs/>
          <w:iCs/>
          <w:sz w:val="20"/>
          <w:szCs w:val="20"/>
        </w:rPr>
        <w:t xml:space="preserve"> </w:t>
      </w:r>
      <w:r w:rsidR="00E32245">
        <w:rPr>
          <w:rFonts w:cstheme="minorHAnsi"/>
          <w:bCs/>
          <w:iCs/>
          <w:sz w:val="20"/>
          <w:szCs w:val="20"/>
        </w:rPr>
        <w:t>C</w:t>
      </w:r>
      <w:r w:rsidRPr="00C05E9A">
        <w:rPr>
          <w:rFonts w:cstheme="minorHAnsi"/>
          <w:bCs/>
          <w:iCs/>
          <w:sz w:val="20"/>
          <w:szCs w:val="20"/>
        </w:rPr>
        <w:t xml:space="preserve">ommittee did, broadly speaking, consider patient and clinician views that an early stopping rule would be accepted in reaching their negative conclusion. However, with regards to our specific point about inconsistency with regards to </w:t>
      </w:r>
      <w:r w:rsidRPr="00C05E9A">
        <w:rPr>
          <w:rFonts w:cstheme="minorHAnsi"/>
          <w:sz w:val="20"/>
          <w:szCs w:val="20"/>
        </w:rPr>
        <w:t>TA492 (</w:t>
      </w:r>
      <w:r w:rsidR="00E32245">
        <w:rPr>
          <w:rFonts w:cstheme="minorHAnsi"/>
          <w:sz w:val="20"/>
          <w:szCs w:val="20"/>
        </w:rPr>
        <w:t>a</w:t>
      </w:r>
      <w:r w:rsidRPr="00C05E9A">
        <w:rPr>
          <w:rFonts w:cstheme="minorHAnsi"/>
          <w:sz w:val="20"/>
          <w:szCs w:val="20"/>
        </w:rPr>
        <w:t xml:space="preserve">tezolizumab for untreated PDL-1 positive locally advanced or metastatic urothelial cancer when cisplatin is unsuitable), it does not appear that the </w:t>
      </w:r>
      <w:r w:rsidR="00E32245">
        <w:rPr>
          <w:rFonts w:cstheme="minorHAnsi"/>
          <w:sz w:val="20"/>
          <w:szCs w:val="20"/>
        </w:rPr>
        <w:t>C</w:t>
      </w:r>
      <w:r w:rsidRPr="00C05E9A">
        <w:rPr>
          <w:rFonts w:cstheme="minorHAnsi"/>
          <w:sz w:val="20"/>
          <w:szCs w:val="20"/>
        </w:rPr>
        <w:t xml:space="preserve">ommittee has acted fairly. Specifically, in section 3.8 of the FAD, the </w:t>
      </w:r>
      <w:r w:rsidR="00E32245">
        <w:rPr>
          <w:rFonts w:cstheme="minorHAnsi"/>
          <w:sz w:val="20"/>
          <w:szCs w:val="20"/>
        </w:rPr>
        <w:t>C</w:t>
      </w:r>
      <w:r w:rsidRPr="00C05E9A">
        <w:rPr>
          <w:rFonts w:cstheme="minorHAnsi"/>
          <w:sz w:val="20"/>
          <w:szCs w:val="20"/>
        </w:rPr>
        <w:t>ommittee appears to have preferred to consider previous appraisals of avelumab in other diseases (“</w:t>
      </w:r>
      <w:r w:rsidRPr="00C05E9A">
        <w:rPr>
          <w:rFonts w:eastAsia="ArialMT" w:cstheme="minorHAnsi"/>
          <w:sz w:val="20"/>
          <w:szCs w:val="20"/>
        </w:rPr>
        <w:t xml:space="preserve">The </w:t>
      </w:r>
      <w:r w:rsidR="00E32245">
        <w:rPr>
          <w:rFonts w:eastAsia="ArialMT" w:cstheme="minorHAnsi"/>
          <w:sz w:val="20"/>
          <w:szCs w:val="20"/>
        </w:rPr>
        <w:t>C</w:t>
      </w:r>
      <w:r w:rsidRPr="00C05E9A">
        <w:rPr>
          <w:rFonts w:eastAsia="ArialMT" w:cstheme="minorHAnsi"/>
          <w:sz w:val="20"/>
          <w:szCs w:val="20"/>
        </w:rPr>
        <w:t>ommittee noted that other NICE technology appraisals of avelumab have preferred no stopping rules”) over those of other drugs of the same class (anti-PD-L1) in the same disease, albeit in a subtly different setting (</w:t>
      </w:r>
      <w:proofErr w:type="spellStart"/>
      <w:r w:rsidRPr="00C05E9A">
        <w:rPr>
          <w:rFonts w:eastAsia="ArialMT" w:cstheme="minorHAnsi"/>
          <w:sz w:val="20"/>
          <w:szCs w:val="20"/>
        </w:rPr>
        <w:t>ie</w:t>
      </w:r>
      <w:proofErr w:type="spellEnd"/>
      <w:r w:rsidRPr="00C05E9A">
        <w:rPr>
          <w:rFonts w:eastAsia="ArialMT" w:cstheme="minorHAnsi"/>
          <w:sz w:val="20"/>
          <w:szCs w:val="20"/>
        </w:rPr>
        <w:t>. after, rather than before failure of first line platinum therapy). We note that the previously completed appraisals for avelumab are for Merkel cell skin cancer (TA691) and rena</w:t>
      </w:r>
      <w:r>
        <w:rPr>
          <w:rFonts w:eastAsia="ArialMT" w:cstheme="minorHAnsi"/>
          <w:sz w:val="20"/>
          <w:szCs w:val="20"/>
        </w:rPr>
        <w:t>l</w:t>
      </w:r>
      <w:r w:rsidRPr="00C05E9A">
        <w:rPr>
          <w:rFonts w:eastAsia="ArialMT" w:cstheme="minorHAnsi"/>
          <w:sz w:val="20"/>
          <w:szCs w:val="20"/>
        </w:rPr>
        <w:t xml:space="preserve"> cancer (TA645). These two tumours are biologically and clinically very different from urot</w:t>
      </w:r>
      <w:r>
        <w:rPr>
          <w:rFonts w:eastAsia="ArialMT" w:cstheme="minorHAnsi"/>
          <w:sz w:val="20"/>
          <w:szCs w:val="20"/>
        </w:rPr>
        <w:t>helial cancer to the extent that</w:t>
      </w:r>
      <w:r w:rsidRPr="00C05E9A">
        <w:rPr>
          <w:rFonts w:eastAsia="ArialMT" w:cstheme="minorHAnsi"/>
          <w:sz w:val="20"/>
          <w:szCs w:val="20"/>
        </w:rPr>
        <w:t xml:space="preserve"> it would be highly inappropriate to make any form of extrapolation from one disease to the other. In addition, the appraisal in renal cell cancer considered avelumab given in combination with a mechanistically unrelated drug (</w:t>
      </w:r>
      <w:proofErr w:type="spellStart"/>
      <w:r w:rsidRPr="00C05E9A">
        <w:rPr>
          <w:rFonts w:eastAsia="ArialMT" w:cstheme="minorHAnsi"/>
          <w:sz w:val="20"/>
          <w:szCs w:val="20"/>
        </w:rPr>
        <w:t>axitinib</w:t>
      </w:r>
      <w:proofErr w:type="spellEnd"/>
      <w:r w:rsidRPr="00C05E9A">
        <w:rPr>
          <w:rFonts w:eastAsia="ArialMT" w:cstheme="minorHAnsi"/>
          <w:sz w:val="20"/>
          <w:szCs w:val="20"/>
        </w:rPr>
        <w:t xml:space="preserve">). Conversely, TA492, although considering a different drug targeting the same antigen, does address a very similar question in a very similar population of patients as in ID3735. Whilst we acknowledge that some patients who would not be eligible for avelumab (namely those who progressed through platinum chemotherapy) might be considered for second line atezolizumab, and some patients eligible for avelumab might not have been included in the patient population </w:t>
      </w:r>
      <w:r w:rsidRPr="00C05E9A">
        <w:rPr>
          <w:rFonts w:eastAsia="ArialMT" w:cstheme="minorHAnsi"/>
          <w:sz w:val="20"/>
          <w:szCs w:val="20"/>
        </w:rPr>
        <w:lastRenderedPageBreak/>
        <w:t xml:space="preserve">for TA492 (including those who progressed too quickly to access it), we believe </w:t>
      </w:r>
      <w:r w:rsidR="00E32245">
        <w:rPr>
          <w:rFonts w:eastAsia="ArialMT" w:cstheme="minorHAnsi"/>
          <w:sz w:val="20"/>
          <w:szCs w:val="20"/>
        </w:rPr>
        <w:t>t</w:t>
      </w:r>
      <w:r w:rsidRPr="00C05E9A">
        <w:rPr>
          <w:rFonts w:eastAsia="ArialMT" w:cstheme="minorHAnsi"/>
          <w:sz w:val="20"/>
          <w:szCs w:val="20"/>
        </w:rPr>
        <w:t xml:space="preserve">he Committee </w:t>
      </w:r>
      <w:r w:rsidR="00E32245">
        <w:rPr>
          <w:rFonts w:eastAsia="ArialMT" w:cstheme="minorHAnsi"/>
          <w:sz w:val="20"/>
          <w:szCs w:val="20"/>
        </w:rPr>
        <w:t>has</w:t>
      </w:r>
      <w:r w:rsidRPr="00C05E9A">
        <w:rPr>
          <w:rFonts w:eastAsia="ArialMT" w:cstheme="minorHAnsi"/>
          <w:sz w:val="20"/>
          <w:szCs w:val="20"/>
        </w:rPr>
        <w:t xml:space="preserve"> acted unfairly in preferring to equate this population with Merkel cell and advanced renal cancers.</w:t>
      </w:r>
    </w:p>
    <w:p w14:paraId="5B7B659E" w14:textId="77777777" w:rsidR="00CB3F07" w:rsidRPr="00CB3F07" w:rsidRDefault="00CB3F07" w:rsidP="00CB3F07">
      <w:pPr>
        <w:rPr>
          <w:rFonts w:cstheme="minorHAnsi"/>
          <w:b/>
          <w:bCs/>
          <w:i/>
          <w:iCs/>
          <w:sz w:val="20"/>
          <w:szCs w:val="20"/>
        </w:rPr>
      </w:pPr>
    </w:p>
    <w:p w14:paraId="05DFFE32" w14:textId="00194BAF" w:rsidR="00C05E9A" w:rsidRDefault="00C05E9A" w:rsidP="00CB3F07">
      <w:pPr>
        <w:pStyle w:val="NormalWeb"/>
        <w:spacing w:before="0" w:beforeAutospacing="0" w:after="0" w:afterAutospacing="0"/>
        <w:rPr>
          <w:rFonts w:asciiTheme="minorHAnsi" w:eastAsia="ArialMT" w:hAnsiTheme="minorHAnsi" w:cstheme="minorHAnsi"/>
          <w:b/>
          <w:i/>
          <w:sz w:val="20"/>
          <w:szCs w:val="20"/>
        </w:rPr>
      </w:pPr>
      <w:r w:rsidRPr="00C05E9A">
        <w:rPr>
          <w:rFonts w:asciiTheme="minorHAnsi" w:eastAsia="ArialMT" w:hAnsiTheme="minorHAnsi" w:cstheme="minorHAnsi"/>
          <w:b/>
          <w:i/>
          <w:sz w:val="20"/>
          <w:szCs w:val="20"/>
        </w:rPr>
        <w:t xml:space="preserve">Ground 2: </w:t>
      </w:r>
      <w:r w:rsidR="00E32245">
        <w:rPr>
          <w:rFonts w:asciiTheme="minorHAnsi" w:eastAsia="ArialMT" w:hAnsiTheme="minorHAnsi" w:cstheme="minorHAnsi"/>
          <w:b/>
          <w:i/>
          <w:sz w:val="20"/>
          <w:szCs w:val="20"/>
        </w:rPr>
        <w:t>T</w:t>
      </w:r>
      <w:r w:rsidRPr="00C05E9A">
        <w:rPr>
          <w:rFonts w:asciiTheme="minorHAnsi" w:eastAsia="ArialMT" w:hAnsiTheme="minorHAnsi" w:cstheme="minorHAnsi"/>
          <w:b/>
          <w:i/>
          <w:sz w:val="20"/>
          <w:szCs w:val="20"/>
        </w:rPr>
        <w:t>he recommendation is unreasonable in the light of the evidence submitted to NICE</w:t>
      </w:r>
    </w:p>
    <w:p w14:paraId="308F9784" w14:textId="77777777" w:rsidR="00CB3F07" w:rsidRDefault="00CB3F07" w:rsidP="00CB3F07">
      <w:pPr>
        <w:pStyle w:val="NormalWeb"/>
        <w:spacing w:before="0" w:beforeAutospacing="0" w:after="0" w:afterAutospacing="0"/>
        <w:rPr>
          <w:rFonts w:asciiTheme="minorHAnsi" w:eastAsia="ArialMT" w:hAnsiTheme="minorHAnsi" w:cstheme="minorHAnsi"/>
          <w:b/>
          <w:i/>
          <w:sz w:val="20"/>
          <w:szCs w:val="20"/>
        </w:rPr>
      </w:pPr>
    </w:p>
    <w:p w14:paraId="7D27679A" w14:textId="0FB477DA" w:rsidR="00C05E9A" w:rsidRDefault="00C05E9A" w:rsidP="00CB3F07">
      <w:pPr>
        <w:pStyle w:val="NormalWeb"/>
        <w:spacing w:before="0" w:beforeAutospacing="0" w:after="0" w:afterAutospacing="0"/>
        <w:rPr>
          <w:rFonts w:asciiTheme="minorHAnsi" w:eastAsia="ArialMT" w:hAnsiTheme="minorHAnsi" w:cstheme="minorHAnsi"/>
          <w:sz w:val="20"/>
          <w:szCs w:val="20"/>
        </w:rPr>
      </w:pPr>
      <w:r>
        <w:rPr>
          <w:rFonts w:asciiTheme="minorHAnsi" w:eastAsia="ArialMT" w:hAnsiTheme="minorHAnsi" w:cstheme="minorHAnsi"/>
          <w:sz w:val="20"/>
          <w:szCs w:val="20"/>
        </w:rPr>
        <w:t xml:space="preserve">We are delighted that you agree about the validity of this point of appeal. With regards to the comparison with TA692, we fully accept that the populations differ in terms of prognosis (as ID3735 excludes those who primarily fail first line chemotherapy – a poor prognosis group). However, we believe that any difference in biological heterogeneity between these groups is likely to be small and there is no reason why this should result in a difference in relationship between the mean and the median overall survivals considered in the two appraisals. In other words, considering the great difficulties in accurately estimating mean overall survival, we believe that use of the median is just as valid in ID3735 as it was in TA692. </w:t>
      </w:r>
    </w:p>
    <w:p w14:paraId="196691F5" w14:textId="77777777" w:rsidR="00CB3F07" w:rsidRDefault="00CB3F07" w:rsidP="00CB3F07">
      <w:pPr>
        <w:pStyle w:val="NormalWeb"/>
        <w:spacing w:before="0" w:beforeAutospacing="0" w:after="0" w:afterAutospacing="0"/>
        <w:rPr>
          <w:rFonts w:asciiTheme="minorHAnsi" w:eastAsia="ArialMT" w:hAnsiTheme="minorHAnsi" w:cstheme="minorHAnsi"/>
          <w:sz w:val="20"/>
          <w:szCs w:val="20"/>
        </w:rPr>
      </w:pPr>
    </w:p>
    <w:p w14:paraId="6BBE7BEC" w14:textId="4EC7C7CD" w:rsidR="00C05E9A" w:rsidRDefault="00C05E9A" w:rsidP="00CB3F07">
      <w:pPr>
        <w:pStyle w:val="NormalWeb"/>
        <w:spacing w:before="0" w:beforeAutospacing="0" w:after="0" w:afterAutospacing="0"/>
        <w:rPr>
          <w:rFonts w:asciiTheme="minorHAnsi" w:eastAsia="ArialMT" w:hAnsiTheme="minorHAnsi" w:cstheme="minorHAnsi"/>
          <w:sz w:val="20"/>
          <w:szCs w:val="20"/>
        </w:rPr>
      </w:pPr>
      <w:r>
        <w:rPr>
          <w:rFonts w:asciiTheme="minorHAnsi" w:eastAsia="ArialMT" w:hAnsiTheme="minorHAnsi" w:cstheme="minorHAnsi"/>
          <w:sz w:val="20"/>
          <w:szCs w:val="20"/>
        </w:rPr>
        <w:t xml:space="preserve">We would also like to remind the </w:t>
      </w:r>
      <w:r w:rsidR="00E32245">
        <w:rPr>
          <w:rFonts w:asciiTheme="minorHAnsi" w:eastAsia="ArialMT" w:hAnsiTheme="minorHAnsi" w:cstheme="minorHAnsi"/>
          <w:sz w:val="20"/>
          <w:szCs w:val="20"/>
        </w:rPr>
        <w:t>C</w:t>
      </w:r>
      <w:r>
        <w:rPr>
          <w:rFonts w:asciiTheme="minorHAnsi" w:eastAsia="ArialMT" w:hAnsiTheme="minorHAnsi" w:cstheme="minorHAnsi"/>
          <w:sz w:val="20"/>
          <w:szCs w:val="20"/>
        </w:rPr>
        <w:t xml:space="preserve">ommittee that the single most relevant evidence referred to in 3.14 of the </w:t>
      </w:r>
      <w:proofErr w:type="gramStart"/>
      <w:r>
        <w:rPr>
          <w:rFonts w:asciiTheme="minorHAnsi" w:eastAsia="ArialMT" w:hAnsiTheme="minorHAnsi" w:cstheme="minorHAnsi"/>
          <w:sz w:val="20"/>
          <w:szCs w:val="20"/>
        </w:rPr>
        <w:t>FAD</w:t>
      </w:r>
      <w:proofErr w:type="gramEnd"/>
      <w:r>
        <w:rPr>
          <w:rFonts w:asciiTheme="minorHAnsi" w:eastAsia="ArialMT" w:hAnsiTheme="minorHAnsi" w:cstheme="minorHAnsi"/>
          <w:sz w:val="20"/>
          <w:szCs w:val="20"/>
        </w:rPr>
        <w:t xml:space="preserve"> (the LAMB trial, Powles et al. </w:t>
      </w:r>
      <w:r w:rsidRPr="00C05E9A">
        <w:rPr>
          <w:rFonts w:asciiTheme="minorHAnsi" w:eastAsia="ArialMT" w:hAnsiTheme="minorHAnsi" w:cstheme="minorHAnsi"/>
          <w:sz w:val="20"/>
          <w:szCs w:val="20"/>
        </w:rPr>
        <w:t>2017. J Clin Oncol. 35(1):48-55)</w:t>
      </w:r>
      <w:r>
        <w:rPr>
          <w:rFonts w:asciiTheme="minorHAnsi" w:eastAsia="ArialMT" w:hAnsiTheme="minorHAnsi" w:cstheme="minorHAnsi"/>
          <w:sz w:val="20"/>
          <w:szCs w:val="20"/>
        </w:rPr>
        <w:t xml:space="preserve"> included only UK patients, who were drawn from a broad cross-section of UK NHS clinical practice, and is, therefore, of </w:t>
      </w:r>
      <w:proofErr w:type="gramStart"/>
      <w:r>
        <w:rPr>
          <w:rFonts w:asciiTheme="minorHAnsi" w:eastAsia="ArialMT" w:hAnsiTheme="minorHAnsi" w:cstheme="minorHAnsi"/>
          <w:sz w:val="20"/>
          <w:szCs w:val="20"/>
        </w:rPr>
        <w:t>particular relevance</w:t>
      </w:r>
      <w:proofErr w:type="gramEnd"/>
      <w:r>
        <w:rPr>
          <w:rFonts w:asciiTheme="minorHAnsi" w:eastAsia="ArialMT" w:hAnsiTheme="minorHAnsi" w:cstheme="minorHAnsi"/>
          <w:sz w:val="20"/>
          <w:szCs w:val="20"/>
        </w:rPr>
        <w:t xml:space="preserve"> to this appraisal. </w:t>
      </w:r>
      <w:r w:rsidR="001872BA">
        <w:rPr>
          <w:rFonts w:asciiTheme="minorHAnsi" w:eastAsia="ArialMT" w:hAnsiTheme="minorHAnsi" w:cstheme="minorHAnsi"/>
          <w:sz w:val="20"/>
          <w:szCs w:val="20"/>
        </w:rPr>
        <w:t xml:space="preserve">Furthermore, the LAMB trial had almost identical eligibility criteria as the JAVELIN-100 trial. </w:t>
      </w:r>
      <w:r>
        <w:rPr>
          <w:rFonts w:asciiTheme="minorHAnsi" w:eastAsia="ArialMT" w:hAnsiTheme="minorHAnsi" w:cstheme="minorHAnsi"/>
          <w:sz w:val="20"/>
          <w:szCs w:val="20"/>
        </w:rPr>
        <w:t xml:space="preserve">It is not clear from the FAD </w:t>
      </w:r>
      <w:proofErr w:type="gramStart"/>
      <w:r>
        <w:rPr>
          <w:rFonts w:asciiTheme="minorHAnsi" w:eastAsia="ArialMT" w:hAnsiTheme="minorHAnsi" w:cstheme="minorHAnsi"/>
          <w:sz w:val="20"/>
          <w:szCs w:val="20"/>
        </w:rPr>
        <w:t>whether or not</w:t>
      </w:r>
      <w:proofErr w:type="gramEnd"/>
      <w:r>
        <w:rPr>
          <w:rFonts w:asciiTheme="minorHAnsi" w:eastAsia="ArialMT" w:hAnsiTheme="minorHAnsi" w:cstheme="minorHAnsi"/>
          <w:sz w:val="20"/>
          <w:szCs w:val="20"/>
        </w:rPr>
        <w:t xml:space="preserve"> the </w:t>
      </w:r>
      <w:r w:rsidR="00E32245">
        <w:rPr>
          <w:rFonts w:asciiTheme="minorHAnsi" w:eastAsia="ArialMT" w:hAnsiTheme="minorHAnsi" w:cstheme="minorHAnsi"/>
          <w:sz w:val="20"/>
          <w:szCs w:val="20"/>
        </w:rPr>
        <w:t>C</w:t>
      </w:r>
      <w:r>
        <w:rPr>
          <w:rFonts w:asciiTheme="minorHAnsi" w:eastAsia="ArialMT" w:hAnsiTheme="minorHAnsi" w:cstheme="minorHAnsi"/>
          <w:sz w:val="20"/>
          <w:szCs w:val="20"/>
        </w:rPr>
        <w:t xml:space="preserve">ommittee were aware of this. It is also worthy of note that our broader membership has reacted with significant consternation to </w:t>
      </w:r>
      <w:r w:rsidR="00E32245">
        <w:rPr>
          <w:rFonts w:asciiTheme="minorHAnsi" w:eastAsia="ArialMT" w:hAnsiTheme="minorHAnsi" w:cstheme="minorHAnsi"/>
          <w:sz w:val="20"/>
          <w:szCs w:val="20"/>
        </w:rPr>
        <w:t>t</w:t>
      </w:r>
      <w:r>
        <w:rPr>
          <w:rFonts w:asciiTheme="minorHAnsi" w:eastAsia="ArialMT" w:hAnsiTheme="minorHAnsi" w:cstheme="minorHAnsi"/>
          <w:sz w:val="20"/>
          <w:szCs w:val="20"/>
        </w:rPr>
        <w:t xml:space="preserve">he Committee’s conclusion that this group of patients does not meet the </w:t>
      </w:r>
      <w:proofErr w:type="gramStart"/>
      <w:r>
        <w:rPr>
          <w:rFonts w:asciiTheme="minorHAnsi" w:eastAsia="ArialMT" w:hAnsiTheme="minorHAnsi" w:cstheme="minorHAnsi"/>
          <w:sz w:val="20"/>
          <w:szCs w:val="20"/>
        </w:rPr>
        <w:t>End of Life</w:t>
      </w:r>
      <w:proofErr w:type="gramEnd"/>
      <w:r>
        <w:rPr>
          <w:rFonts w:asciiTheme="minorHAnsi" w:eastAsia="ArialMT" w:hAnsiTheme="minorHAnsi" w:cstheme="minorHAnsi"/>
          <w:sz w:val="20"/>
          <w:szCs w:val="20"/>
        </w:rPr>
        <w:t xml:space="preserve"> Criteria suggesting that the opinions of the 8 clinicians referred to in the FAD, and those of the patient support group, are widely shared among the UK </w:t>
      </w:r>
      <w:proofErr w:type="spellStart"/>
      <w:r>
        <w:rPr>
          <w:rFonts w:asciiTheme="minorHAnsi" w:eastAsia="ArialMT" w:hAnsiTheme="minorHAnsi" w:cstheme="minorHAnsi"/>
          <w:sz w:val="20"/>
          <w:szCs w:val="20"/>
        </w:rPr>
        <w:t>uro</w:t>
      </w:r>
      <w:proofErr w:type="spellEnd"/>
      <w:r>
        <w:rPr>
          <w:rFonts w:asciiTheme="minorHAnsi" w:eastAsia="ArialMT" w:hAnsiTheme="minorHAnsi" w:cstheme="minorHAnsi"/>
          <w:sz w:val="20"/>
          <w:szCs w:val="20"/>
        </w:rPr>
        <w:t>-oncology community.</w:t>
      </w:r>
    </w:p>
    <w:p w14:paraId="05A50C0B" w14:textId="42206BC7" w:rsidR="00C05E9A" w:rsidRDefault="00C05E9A" w:rsidP="00CB3F07">
      <w:pPr>
        <w:pStyle w:val="NormalWeb"/>
        <w:spacing w:before="0" w:beforeAutospacing="0" w:after="0" w:afterAutospacing="0"/>
        <w:rPr>
          <w:rFonts w:asciiTheme="minorHAnsi" w:eastAsia="ArialMT" w:hAnsiTheme="minorHAnsi" w:cstheme="minorHAnsi"/>
          <w:sz w:val="20"/>
          <w:szCs w:val="20"/>
        </w:rPr>
      </w:pPr>
      <w:r>
        <w:rPr>
          <w:rFonts w:asciiTheme="minorHAnsi" w:eastAsia="ArialMT" w:hAnsiTheme="minorHAnsi" w:cstheme="minorHAnsi"/>
          <w:sz w:val="20"/>
          <w:szCs w:val="20"/>
        </w:rPr>
        <w:t xml:space="preserve">Finally, I confirm that neither this letter nor the earlier letter written by </w:t>
      </w:r>
      <w:r w:rsidR="00A97056" w:rsidRPr="00A97056">
        <w:rPr>
          <w:rFonts w:asciiTheme="minorHAnsi" w:eastAsia="ArialMT" w:hAnsiTheme="minorHAnsi" w:cstheme="minorHAnsi"/>
          <w:sz w:val="20"/>
          <w:szCs w:val="20"/>
          <w:highlight w:val="black"/>
        </w:rPr>
        <w:t>XXXX</w:t>
      </w:r>
      <w:r w:rsidRPr="00A97056">
        <w:rPr>
          <w:rFonts w:asciiTheme="minorHAnsi" w:eastAsia="ArialMT" w:hAnsiTheme="minorHAnsi" w:cstheme="minorHAnsi"/>
          <w:sz w:val="20"/>
          <w:szCs w:val="20"/>
          <w:highlight w:val="black"/>
        </w:rPr>
        <w:t xml:space="preserve"> </w:t>
      </w:r>
      <w:r w:rsidR="00A97056" w:rsidRPr="00A97056">
        <w:rPr>
          <w:rFonts w:asciiTheme="minorHAnsi" w:eastAsia="ArialMT" w:hAnsiTheme="minorHAnsi" w:cstheme="minorHAnsi"/>
          <w:sz w:val="20"/>
          <w:szCs w:val="20"/>
          <w:highlight w:val="black"/>
        </w:rPr>
        <w:t>XXXXXX</w:t>
      </w:r>
      <w:r>
        <w:rPr>
          <w:rFonts w:asciiTheme="minorHAnsi" w:eastAsia="ArialMT" w:hAnsiTheme="minorHAnsi" w:cstheme="minorHAnsi"/>
          <w:sz w:val="20"/>
          <w:szCs w:val="20"/>
        </w:rPr>
        <w:t xml:space="preserve"> contains confidential information.</w:t>
      </w:r>
    </w:p>
    <w:p w14:paraId="27CBA67D" w14:textId="77777777" w:rsidR="00C05E9A" w:rsidRDefault="00C05E9A" w:rsidP="00C05E9A">
      <w:pPr>
        <w:pStyle w:val="NormalWeb"/>
        <w:rPr>
          <w:rFonts w:asciiTheme="minorHAnsi" w:eastAsia="ArialMT" w:hAnsiTheme="minorHAnsi" w:cstheme="minorHAnsi"/>
          <w:sz w:val="20"/>
          <w:szCs w:val="20"/>
        </w:rPr>
      </w:pPr>
      <w:r>
        <w:rPr>
          <w:rFonts w:asciiTheme="minorHAnsi" w:eastAsia="ArialMT" w:hAnsiTheme="minorHAnsi" w:cstheme="minorHAnsi"/>
          <w:sz w:val="20"/>
          <w:szCs w:val="20"/>
        </w:rPr>
        <w:t>Please do not hesitate to get in touch if I, or other members of our group, can be of further assistance in this matter.</w:t>
      </w:r>
    </w:p>
    <w:p w14:paraId="4ABECE7E" w14:textId="77777777" w:rsidR="00C05E9A" w:rsidRDefault="00C05E9A" w:rsidP="00C05E9A">
      <w:pPr>
        <w:pStyle w:val="NormalWeb"/>
        <w:rPr>
          <w:rFonts w:asciiTheme="minorHAnsi" w:eastAsia="ArialMT" w:hAnsiTheme="minorHAnsi" w:cstheme="minorHAnsi"/>
          <w:sz w:val="20"/>
          <w:szCs w:val="20"/>
        </w:rPr>
      </w:pPr>
      <w:r>
        <w:rPr>
          <w:rFonts w:asciiTheme="minorHAnsi" w:eastAsia="ArialMT" w:hAnsiTheme="minorHAnsi" w:cstheme="minorHAnsi"/>
          <w:sz w:val="20"/>
          <w:szCs w:val="20"/>
        </w:rPr>
        <w:t>Yours sincerely,</w:t>
      </w:r>
    </w:p>
    <w:p w14:paraId="1504A3C0" w14:textId="2B4AD63D" w:rsidR="00C05E9A" w:rsidRPr="00C05E9A" w:rsidRDefault="00C05E9A" w:rsidP="00C05E9A">
      <w:pPr>
        <w:pStyle w:val="NormalWeb"/>
        <w:rPr>
          <w:rFonts w:asciiTheme="minorHAnsi" w:eastAsia="ArialMT" w:hAnsiTheme="minorHAnsi" w:cstheme="minorHAnsi"/>
          <w:sz w:val="20"/>
          <w:szCs w:val="20"/>
        </w:rPr>
      </w:pPr>
    </w:p>
    <w:p w14:paraId="6E0AA668" w14:textId="2D550071" w:rsidR="00C05E9A" w:rsidRPr="00CB3F07" w:rsidRDefault="00A97056" w:rsidP="00C05E9A">
      <w:pPr>
        <w:rPr>
          <w:b/>
          <w:bCs/>
          <w:sz w:val="20"/>
          <w:szCs w:val="20"/>
        </w:rPr>
      </w:pPr>
      <w:r w:rsidRPr="00A97056">
        <w:rPr>
          <w:b/>
          <w:bCs/>
          <w:sz w:val="20"/>
          <w:szCs w:val="20"/>
          <w:highlight w:val="black"/>
        </w:rPr>
        <w:t>XXXXXXXXX</w:t>
      </w:r>
      <w:r w:rsidR="00C05E9A" w:rsidRPr="00A97056">
        <w:rPr>
          <w:b/>
          <w:bCs/>
          <w:sz w:val="20"/>
          <w:szCs w:val="20"/>
          <w:highlight w:val="black"/>
        </w:rPr>
        <w:t xml:space="preserve"> </w:t>
      </w:r>
      <w:r w:rsidRPr="00A97056">
        <w:rPr>
          <w:b/>
          <w:bCs/>
          <w:sz w:val="20"/>
          <w:szCs w:val="20"/>
          <w:highlight w:val="black"/>
        </w:rPr>
        <w:t>XXX X</w:t>
      </w:r>
      <w:r w:rsidR="00C05E9A" w:rsidRPr="00A97056">
        <w:rPr>
          <w:b/>
          <w:bCs/>
          <w:sz w:val="20"/>
          <w:szCs w:val="20"/>
          <w:highlight w:val="black"/>
        </w:rPr>
        <w:t xml:space="preserve"> </w:t>
      </w:r>
      <w:r w:rsidRPr="00A97056">
        <w:rPr>
          <w:b/>
          <w:bCs/>
          <w:sz w:val="20"/>
          <w:szCs w:val="20"/>
          <w:highlight w:val="black"/>
        </w:rPr>
        <w:t>XXXXX</w:t>
      </w:r>
    </w:p>
    <w:p w14:paraId="299EE3AF" w14:textId="2EA2C184" w:rsidR="00C05E9A" w:rsidRPr="00CB3F07" w:rsidRDefault="006B585A" w:rsidP="00C05E9A">
      <w:pPr>
        <w:rPr>
          <w:b/>
          <w:bCs/>
          <w:sz w:val="20"/>
          <w:szCs w:val="20"/>
        </w:rPr>
      </w:pPr>
      <w:r>
        <w:rPr>
          <w:b/>
          <w:bCs/>
          <w:sz w:val="20"/>
          <w:szCs w:val="20"/>
        </w:rPr>
        <w:t>Consultant Medical Oncologist</w:t>
      </w:r>
    </w:p>
    <w:p w14:paraId="4F918CCF" w14:textId="1134894B" w:rsidR="00C05E9A" w:rsidRPr="00CB3F07" w:rsidRDefault="00C05E9A" w:rsidP="00C05E9A">
      <w:pPr>
        <w:rPr>
          <w:b/>
          <w:bCs/>
          <w:sz w:val="20"/>
          <w:szCs w:val="20"/>
        </w:rPr>
      </w:pPr>
      <w:r w:rsidRPr="00CB3F07">
        <w:rPr>
          <w:b/>
          <w:bCs/>
          <w:sz w:val="20"/>
          <w:szCs w:val="20"/>
        </w:rPr>
        <w:t xml:space="preserve">On behalf of The British </w:t>
      </w:r>
      <w:proofErr w:type="spellStart"/>
      <w:r w:rsidRPr="00CB3F07">
        <w:rPr>
          <w:b/>
          <w:bCs/>
          <w:sz w:val="20"/>
          <w:szCs w:val="20"/>
        </w:rPr>
        <w:t>Uro</w:t>
      </w:r>
      <w:proofErr w:type="spellEnd"/>
      <w:r w:rsidRPr="00CB3F07">
        <w:rPr>
          <w:b/>
          <w:bCs/>
          <w:sz w:val="20"/>
          <w:szCs w:val="20"/>
        </w:rPr>
        <w:t>-</w:t>
      </w:r>
      <w:r w:rsidR="00CB3F07" w:rsidRPr="00CB3F07">
        <w:rPr>
          <w:b/>
          <w:bCs/>
          <w:sz w:val="20"/>
          <w:szCs w:val="20"/>
        </w:rPr>
        <w:t>o</w:t>
      </w:r>
      <w:r w:rsidRPr="00CB3F07">
        <w:rPr>
          <w:b/>
          <w:bCs/>
          <w:sz w:val="20"/>
          <w:szCs w:val="20"/>
        </w:rPr>
        <w:t>ncology Group</w:t>
      </w:r>
    </w:p>
    <w:sectPr w:rsidR="00C05E9A" w:rsidRPr="00CB3F07" w:rsidSect="00CB3F07">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FFB4" w14:textId="77777777" w:rsidR="00946394" w:rsidRDefault="00946394" w:rsidP="00CB3F07">
      <w:r>
        <w:separator/>
      </w:r>
    </w:p>
  </w:endnote>
  <w:endnote w:type="continuationSeparator" w:id="0">
    <w:p w14:paraId="72A69AA6" w14:textId="77777777" w:rsidR="00946394" w:rsidRDefault="00946394" w:rsidP="00CB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PMincho"/>
    <w:panose1 w:val="00000000000000000000"/>
    <w:charset w:val="80"/>
    <w:family w:val="auto"/>
    <w:notTrueType/>
    <w:pitch w:val="default"/>
    <w:sig w:usb0="00002A87" w:usb1="08070000" w:usb2="00000010" w:usb3="00000000" w:csb0="0002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F201" w14:textId="77777777" w:rsidR="00CB3F07" w:rsidRDefault="00CB3F07" w:rsidP="00CB3F07">
    <w:pPr>
      <w:rPr>
        <w:rFonts w:cs="Arial"/>
        <w:b/>
        <w:sz w:val="16"/>
        <w:szCs w:val="16"/>
      </w:rPr>
    </w:pPr>
  </w:p>
  <w:p w14:paraId="6F7F4848" w14:textId="3D1321E0" w:rsidR="00CB3F07" w:rsidRDefault="00CB3F07" w:rsidP="00CB3F07">
    <w:pPr>
      <w:rPr>
        <w:rFonts w:cs="Arial"/>
        <w:sz w:val="16"/>
        <w:szCs w:val="16"/>
      </w:rPr>
    </w:pPr>
    <w:r>
      <w:rPr>
        <w:rFonts w:cs="Arial"/>
        <w:b/>
        <w:sz w:val="16"/>
        <w:szCs w:val="16"/>
      </w:rPr>
      <w:t>BUG Executive Committee:</w:t>
    </w:r>
    <w:r>
      <w:rPr>
        <w:rFonts w:cs="Arial"/>
        <w:sz w:val="16"/>
        <w:szCs w:val="16"/>
      </w:rPr>
      <w:t xml:space="preserve"> </w:t>
    </w:r>
    <w:r>
      <w:rPr>
        <w:rFonts w:cs="Arial"/>
        <w:i/>
        <w:sz w:val="16"/>
        <w:szCs w:val="16"/>
      </w:rPr>
      <w:t>Officers/Trustees</w:t>
    </w:r>
    <w:r>
      <w:rPr>
        <w:rFonts w:cs="Arial"/>
        <w:sz w:val="16"/>
        <w:szCs w:val="16"/>
      </w:rPr>
      <w:t xml:space="preserve">: </w:t>
    </w:r>
    <w:r w:rsidR="00484B84" w:rsidRPr="00484B84">
      <w:rPr>
        <w:rFonts w:cs="Arial"/>
        <w:sz w:val="16"/>
        <w:szCs w:val="16"/>
        <w:highlight w:val="black"/>
      </w:rPr>
      <w:t>XXXX</w:t>
    </w:r>
    <w:r w:rsidRPr="00484B84">
      <w:rPr>
        <w:rFonts w:cs="Arial"/>
        <w:sz w:val="16"/>
        <w:szCs w:val="16"/>
        <w:highlight w:val="black"/>
      </w:rPr>
      <w:t xml:space="preserve"> </w:t>
    </w:r>
    <w:r w:rsidR="00484B84" w:rsidRPr="00484B84">
      <w:rPr>
        <w:rFonts w:cs="Arial"/>
        <w:sz w:val="16"/>
        <w:szCs w:val="16"/>
        <w:highlight w:val="black"/>
      </w:rPr>
      <w:t>XXXXXXX</w:t>
    </w:r>
    <w:r w:rsidRPr="00484B84">
      <w:rPr>
        <w:rFonts w:cs="Arial"/>
        <w:sz w:val="16"/>
        <w:szCs w:val="16"/>
        <w:highlight w:val="black"/>
      </w:rPr>
      <w:t xml:space="preserve"> </w:t>
    </w:r>
    <w:r w:rsidR="00484B84" w:rsidRPr="00484B84">
      <w:rPr>
        <w:rFonts w:cs="Arial"/>
        <w:sz w:val="16"/>
        <w:szCs w:val="16"/>
        <w:highlight w:val="black"/>
      </w:rPr>
      <w:t>XXXXX</w:t>
    </w:r>
    <w:r>
      <w:rPr>
        <w:rFonts w:cs="Arial"/>
        <w:sz w:val="16"/>
        <w:szCs w:val="16"/>
      </w:rPr>
      <w:t xml:space="preserve"> (Chair), </w:t>
    </w:r>
    <w:r w:rsidR="00484B84" w:rsidRPr="00484B84">
      <w:rPr>
        <w:rFonts w:cs="Arial"/>
        <w:sz w:val="16"/>
        <w:szCs w:val="16"/>
        <w:highlight w:val="black"/>
      </w:rPr>
      <w:t>XXXX</w:t>
    </w:r>
    <w:r w:rsidRPr="00484B84">
      <w:rPr>
        <w:rFonts w:cs="Arial"/>
        <w:sz w:val="16"/>
        <w:szCs w:val="16"/>
        <w:highlight w:val="black"/>
      </w:rPr>
      <w:t xml:space="preserve"> </w:t>
    </w:r>
    <w:proofErr w:type="spellStart"/>
    <w:r w:rsidR="00484B84" w:rsidRPr="00484B84">
      <w:rPr>
        <w:rFonts w:cs="Arial"/>
        <w:sz w:val="16"/>
        <w:szCs w:val="16"/>
        <w:highlight w:val="black"/>
      </w:rPr>
      <w:t>XXXX</w:t>
    </w:r>
    <w:proofErr w:type="spellEnd"/>
    <w:r w:rsidRPr="00484B84">
      <w:rPr>
        <w:rFonts w:cs="Arial"/>
        <w:sz w:val="16"/>
        <w:szCs w:val="16"/>
        <w:highlight w:val="black"/>
      </w:rPr>
      <w:t xml:space="preserve"> </w:t>
    </w:r>
    <w:proofErr w:type="spellStart"/>
    <w:r w:rsidR="00484B84" w:rsidRPr="00484B84">
      <w:rPr>
        <w:rFonts w:cs="Arial"/>
        <w:sz w:val="16"/>
        <w:szCs w:val="16"/>
        <w:highlight w:val="black"/>
      </w:rPr>
      <w:t>XXXX</w:t>
    </w:r>
    <w:proofErr w:type="spellEnd"/>
    <w:r>
      <w:rPr>
        <w:rFonts w:cs="Arial"/>
        <w:sz w:val="16"/>
        <w:szCs w:val="16"/>
      </w:rPr>
      <w:t xml:space="preserve"> (Treasurer), </w:t>
    </w:r>
    <w:r w:rsidR="00484B84" w:rsidRPr="00484B84">
      <w:rPr>
        <w:rFonts w:cs="Arial"/>
        <w:sz w:val="16"/>
        <w:szCs w:val="16"/>
        <w:highlight w:val="black"/>
      </w:rPr>
      <w:t>XX</w:t>
    </w:r>
    <w:r w:rsidRPr="00484B84">
      <w:rPr>
        <w:rFonts w:cs="Arial"/>
        <w:sz w:val="16"/>
        <w:szCs w:val="16"/>
        <w:highlight w:val="black"/>
      </w:rPr>
      <w:t xml:space="preserve"> </w:t>
    </w:r>
    <w:r w:rsidR="00484B84" w:rsidRPr="00484B84">
      <w:rPr>
        <w:rFonts w:cs="Arial"/>
        <w:sz w:val="16"/>
        <w:szCs w:val="16"/>
        <w:highlight w:val="black"/>
      </w:rPr>
      <w:t>XXXXXX</w:t>
    </w:r>
    <w:r w:rsidRPr="00484B84">
      <w:rPr>
        <w:rFonts w:cs="Arial"/>
        <w:sz w:val="16"/>
        <w:szCs w:val="16"/>
        <w:highlight w:val="black"/>
      </w:rPr>
      <w:t xml:space="preserve"> </w:t>
    </w:r>
    <w:proofErr w:type="spellStart"/>
    <w:r w:rsidR="00484B84" w:rsidRPr="00484B84">
      <w:rPr>
        <w:rFonts w:cs="Arial"/>
        <w:sz w:val="16"/>
        <w:szCs w:val="16"/>
        <w:highlight w:val="black"/>
      </w:rPr>
      <w:t>XXXXXX</w:t>
    </w:r>
    <w:proofErr w:type="spellEnd"/>
    <w:r>
      <w:rPr>
        <w:rFonts w:cs="Arial"/>
        <w:sz w:val="16"/>
        <w:szCs w:val="16"/>
      </w:rPr>
      <w:t xml:space="preserve"> (Secretary), </w:t>
    </w:r>
  </w:p>
  <w:p w14:paraId="6D760FA6" w14:textId="35B7471F" w:rsidR="00CB3F07" w:rsidRDefault="00484B84" w:rsidP="00CB3F07">
    <w:pPr>
      <w:rPr>
        <w:rFonts w:cs="Arial"/>
        <w:sz w:val="16"/>
        <w:szCs w:val="16"/>
      </w:rPr>
    </w:pPr>
    <w:r w:rsidRPr="00484B84">
      <w:rPr>
        <w:rFonts w:cs="Arial"/>
        <w:sz w:val="16"/>
        <w:szCs w:val="16"/>
        <w:highlight w:val="black"/>
      </w:rPr>
      <w:t>XXXX</w:t>
    </w:r>
    <w:r w:rsidR="00CB3F07" w:rsidRPr="00484B84">
      <w:rPr>
        <w:rFonts w:cs="Arial"/>
        <w:sz w:val="16"/>
        <w:szCs w:val="16"/>
        <w:highlight w:val="black"/>
      </w:rPr>
      <w:t xml:space="preserve"> </w:t>
    </w:r>
    <w:r w:rsidRPr="00484B84">
      <w:rPr>
        <w:rFonts w:cs="Arial"/>
        <w:sz w:val="16"/>
        <w:szCs w:val="16"/>
        <w:highlight w:val="black"/>
      </w:rPr>
      <w:t>XXXXXX</w:t>
    </w:r>
    <w:r w:rsidR="00CB3F07" w:rsidRPr="00484B84">
      <w:rPr>
        <w:rFonts w:cs="Arial"/>
        <w:sz w:val="16"/>
        <w:szCs w:val="16"/>
        <w:highlight w:val="black"/>
      </w:rPr>
      <w:t xml:space="preserve"> </w:t>
    </w:r>
    <w:r w:rsidRPr="00484B84">
      <w:rPr>
        <w:rFonts w:cs="Arial"/>
        <w:sz w:val="16"/>
        <w:szCs w:val="16"/>
        <w:highlight w:val="black"/>
      </w:rPr>
      <w:t>XXXXXXX</w:t>
    </w:r>
    <w:r w:rsidR="00CB3F07">
      <w:rPr>
        <w:rFonts w:cs="Arial"/>
        <w:sz w:val="16"/>
        <w:szCs w:val="16"/>
      </w:rPr>
      <w:t xml:space="preserve"> (Education Secretary). </w:t>
    </w:r>
    <w:r w:rsidR="00CB3F07">
      <w:rPr>
        <w:rFonts w:cs="Arial"/>
        <w:i/>
        <w:sz w:val="16"/>
        <w:szCs w:val="16"/>
      </w:rPr>
      <w:t>Trustees</w:t>
    </w:r>
    <w:r w:rsidR="00CB3F07">
      <w:rPr>
        <w:rFonts w:cs="Arial"/>
        <w:sz w:val="16"/>
        <w:szCs w:val="16"/>
      </w:rPr>
      <w:t xml:space="preserve">: </w:t>
    </w:r>
    <w:r w:rsidRPr="00484B84">
      <w:rPr>
        <w:rFonts w:cs="Arial"/>
        <w:sz w:val="16"/>
        <w:szCs w:val="16"/>
        <w:highlight w:val="black"/>
      </w:rPr>
      <w:t>XXXX</w:t>
    </w:r>
    <w:r w:rsidR="00CB3F07" w:rsidRPr="00484B84">
      <w:rPr>
        <w:rFonts w:cs="Arial"/>
        <w:sz w:val="16"/>
        <w:szCs w:val="16"/>
        <w:highlight w:val="black"/>
      </w:rPr>
      <w:t xml:space="preserve"> </w:t>
    </w:r>
    <w:proofErr w:type="spellStart"/>
    <w:r w:rsidRPr="00484B84">
      <w:rPr>
        <w:rFonts w:cs="Arial"/>
        <w:sz w:val="16"/>
        <w:szCs w:val="16"/>
        <w:highlight w:val="black"/>
      </w:rPr>
      <w:t>XXXX</w:t>
    </w:r>
    <w:proofErr w:type="spellEnd"/>
    <w:r w:rsidR="00CB3F07" w:rsidRPr="00484B84">
      <w:rPr>
        <w:rFonts w:cs="Arial"/>
        <w:sz w:val="16"/>
        <w:szCs w:val="16"/>
        <w:highlight w:val="black"/>
      </w:rPr>
      <w:t xml:space="preserve"> </w:t>
    </w:r>
    <w:r w:rsidRPr="00484B84">
      <w:rPr>
        <w:rFonts w:cs="Arial"/>
        <w:sz w:val="16"/>
        <w:szCs w:val="16"/>
        <w:highlight w:val="black"/>
      </w:rPr>
      <w:t>XXXXXXXXX</w:t>
    </w:r>
    <w:r w:rsidR="00CB3F07">
      <w:rPr>
        <w:rFonts w:cs="Arial"/>
        <w:sz w:val="16"/>
        <w:szCs w:val="16"/>
      </w:rPr>
      <w:t xml:space="preserve">, </w:t>
    </w:r>
    <w:r w:rsidRPr="00484B84">
      <w:rPr>
        <w:rFonts w:cs="Arial"/>
        <w:sz w:val="16"/>
        <w:szCs w:val="16"/>
        <w:highlight w:val="black"/>
      </w:rPr>
      <w:t>XXXX</w:t>
    </w:r>
    <w:r w:rsidR="00CB3F07" w:rsidRPr="00484B84">
      <w:rPr>
        <w:rFonts w:cs="Arial"/>
        <w:sz w:val="16"/>
        <w:szCs w:val="16"/>
        <w:highlight w:val="black"/>
      </w:rPr>
      <w:t xml:space="preserve"> </w:t>
    </w:r>
    <w:r w:rsidRPr="00484B84">
      <w:rPr>
        <w:rFonts w:cs="Arial"/>
        <w:sz w:val="16"/>
        <w:szCs w:val="16"/>
        <w:highlight w:val="black"/>
      </w:rPr>
      <w:t>XXXXXX</w:t>
    </w:r>
    <w:r w:rsidR="00CB3F07" w:rsidRPr="00484B84">
      <w:rPr>
        <w:rFonts w:cs="Arial"/>
        <w:sz w:val="16"/>
        <w:szCs w:val="16"/>
        <w:highlight w:val="black"/>
      </w:rPr>
      <w:t xml:space="preserve"> </w:t>
    </w:r>
    <w:r w:rsidRPr="00484B84">
      <w:rPr>
        <w:rFonts w:cs="Arial"/>
        <w:sz w:val="16"/>
        <w:szCs w:val="16"/>
        <w:highlight w:val="black"/>
      </w:rPr>
      <w:t>XXXXXXXXX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XXXXXXXXX</w:t>
    </w:r>
    <w:r w:rsidR="00CB3F07" w:rsidRPr="00484B84">
      <w:rPr>
        <w:rFonts w:cs="Arial"/>
        <w:sz w:val="16"/>
        <w:szCs w:val="16"/>
        <w:highlight w:val="black"/>
      </w:rPr>
      <w:t xml:space="preserve"> </w:t>
    </w:r>
    <w:r w:rsidRPr="00484B84">
      <w:rPr>
        <w:rFonts w:cs="Arial"/>
        <w:sz w:val="16"/>
        <w:szCs w:val="16"/>
        <w:highlight w:val="black"/>
      </w:rPr>
      <w:t>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 xml:space="preserve"> </w:t>
    </w:r>
    <w:r w:rsidRPr="00484B84">
      <w:rPr>
        <w:rFonts w:cs="Arial"/>
        <w:sz w:val="16"/>
        <w:szCs w:val="16"/>
        <w:highlight w:val="black"/>
      </w:rPr>
      <w:t>XXXXXX</w:t>
    </w:r>
    <w:r w:rsidR="00CB3F07" w:rsidRPr="00484B84">
      <w:rPr>
        <w:rFonts w:cs="Arial"/>
        <w:sz w:val="16"/>
        <w:szCs w:val="16"/>
        <w:highlight w:val="black"/>
      </w:rPr>
      <w:t>,</w:t>
    </w:r>
    <w:r w:rsidR="00CB3F07">
      <w:rPr>
        <w:rFonts w:cs="Arial"/>
        <w:sz w:val="16"/>
        <w:szCs w:val="16"/>
      </w:rPr>
      <w:t xml:space="preserve"> </w:t>
    </w:r>
    <w:r w:rsidRPr="00484B84">
      <w:rPr>
        <w:rFonts w:cs="Arial"/>
        <w:sz w:val="16"/>
        <w:szCs w:val="16"/>
        <w:highlight w:val="black"/>
      </w:rPr>
      <w:t>XXXX</w:t>
    </w:r>
    <w:r w:rsidR="00CB3F07" w:rsidRPr="00484B84">
      <w:rPr>
        <w:rFonts w:cs="Arial"/>
        <w:sz w:val="16"/>
        <w:szCs w:val="16"/>
        <w:highlight w:val="black"/>
      </w:rPr>
      <w:t xml:space="preserve"> </w:t>
    </w:r>
    <w:r w:rsidRPr="00484B84">
      <w:rPr>
        <w:rFonts w:cs="Arial"/>
        <w:sz w:val="16"/>
        <w:szCs w:val="16"/>
        <w:highlight w:val="black"/>
      </w:rPr>
      <w:t>XXX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w:t>
    </w:r>
    <w:r w:rsidR="00CB3F07">
      <w:rPr>
        <w:rFonts w:cs="Arial"/>
        <w:sz w:val="16"/>
        <w:szCs w:val="16"/>
      </w:rPr>
      <w:t xml:space="preserve"> </w:t>
    </w:r>
    <w:r w:rsidRPr="00484B84">
      <w:rPr>
        <w:rFonts w:cs="Arial"/>
        <w:sz w:val="16"/>
        <w:szCs w:val="16"/>
        <w:highlight w:val="black"/>
      </w:rPr>
      <w:t>XXXX</w:t>
    </w:r>
    <w:r w:rsidR="00CB3F07" w:rsidRPr="00484B84">
      <w:rPr>
        <w:rFonts w:cs="Arial"/>
        <w:sz w:val="16"/>
        <w:szCs w:val="16"/>
        <w:highlight w:val="black"/>
      </w:rPr>
      <w:t xml:space="preserve"> </w:t>
    </w:r>
    <w:proofErr w:type="spellStart"/>
    <w:r w:rsidRPr="00484B84">
      <w:rPr>
        <w:rFonts w:cs="Arial"/>
        <w:sz w:val="16"/>
        <w:szCs w:val="16"/>
        <w:highlight w:val="black"/>
      </w:rPr>
      <w:t>XXXX</w:t>
    </w:r>
    <w:proofErr w:type="spellEnd"/>
    <w:r w:rsidR="00CB3F07" w:rsidRPr="00484B84">
      <w:rPr>
        <w:rFonts w:cs="Arial"/>
        <w:sz w:val="16"/>
        <w:szCs w:val="16"/>
        <w:highlight w:val="black"/>
      </w:rPr>
      <w:t xml:space="preserve"> </w:t>
    </w:r>
    <w:r w:rsidRPr="00484B84">
      <w:rPr>
        <w:rFonts w:cs="Arial"/>
        <w:sz w:val="16"/>
        <w:szCs w:val="16"/>
        <w:highlight w:val="black"/>
      </w:rPr>
      <w:t>XXXXXX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 xml:space="preserve"> </w:t>
    </w:r>
    <w:r w:rsidRPr="00484B84">
      <w:rPr>
        <w:rFonts w:cs="Arial"/>
        <w:sz w:val="16"/>
        <w:szCs w:val="16"/>
        <w:highlight w:val="black"/>
      </w:rPr>
      <w:t>XXXXXXXXX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w:t>
    </w:r>
    <w:r w:rsidR="00CB3F07" w:rsidRPr="00484B84">
      <w:rPr>
        <w:rFonts w:cs="Arial"/>
        <w:sz w:val="16"/>
        <w:szCs w:val="16"/>
        <w:highlight w:val="black"/>
      </w:rPr>
      <w:t xml:space="preserve"> </w:t>
    </w:r>
    <w:r w:rsidRPr="00484B84">
      <w:rPr>
        <w:rFonts w:cs="Arial"/>
        <w:sz w:val="16"/>
        <w:szCs w:val="16"/>
        <w:highlight w:val="black"/>
      </w:rPr>
      <w:t>XXXXXX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 xml:space="preserve"> </w:t>
    </w:r>
    <w:r w:rsidRPr="00484B84">
      <w:rPr>
        <w:rFonts w:cs="Arial"/>
        <w:sz w:val="16"/>
        <w:szCs w:val="16"/>
        <w:highlight w:val="black"/>
      </w:rPr>
      <w:t>XXXXXX</w:t>
    </w:r>
    <w:r w:rsidR="00CB3F07" w:rsidRPr="00484B84">
      <w:rPr>
        <w:rFonts w:cs="Arial"/>
        <w:sz w:val="16"/>
        <w:szCs w:val="16"/>
        <w:highlight w:val="black"/>
      </w:rPr>
      <w:t>,</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 xml:space="preserve"> </w:t>
    </w:r>
    <w:r w:rsidRPr="00484B84">
      <w:rPr>
        <w:rFonts w:cs="Arial"/>
        <w:sz w:val="16"/>
        <w:szCs w:val="16"/>
        <w:highlight w:val="black"/>
      </w:rPr>
      <w:t>XXXXXXX</w:t>
    </w:r>
    <w:r w:rsidR="00CB3F07">
      <w:rPr>
        <w:rFonts w:cs="Arial"/>
        <w:sz w:val="16"/>
        <w:szCs w:val="16"/>
      </w:rPr>
      <w:t xml:space="preserve">, </w:t>
    </w:r>
    <w:r w:rsidRPr="00484B84">
      <w:rPr>
        <w:rFonts w:cs="Arial"/>
        <w:sz w:val="16"/>
        <w:szCs w:val="16"/>
        <w:highlight w:val="black"/>
      </w:rPr>
      <w:t>XX</w:t>
    </w:r>
    <w:r w:rsidR="00CB3F07" w:rsidRPr="00484B84">
      <w:rPr>
        <w:rFonts w:cs="Arial"/>
        <w:sz w:val="16"/>
        <w:szCs w:val="16"/>
        <w:highlight w:val="black"/>
      </w:rPr>
      <w:t xml:space="preserve"> </w:t>
    </w:r>
    <w:r w:rsidRPr="00484B84">
      <w:rPr>
        <w:rFonts w:cs="Arial"/>
        <w:sz w:val="16"/>
        <w:szCs w:val="16"/>
        <w:highlight w:val="black"/>
      </w:rPr>
      <w:t>XXXXX</w:t>
    </w:r>
    <w:r w:rsidR="00CB3F07" w:rsidRPr="00484B84">
      <w:rPr>
        <w:rFonts w:cs="Arial"/>
        <w:sz w:val="16"/>
        <w:szCs w:val="16"/>
        <w:highlight w:val="black"/>
      </w:rPr>
      <w:t xml:space="preserve"> </w:t>
    </w:r>
    <w:r w:rsidRPr="00484B84">
      <w:rPr>
        <w:rFonts w:cs="Arial"/>
        <w:sz w:val="16"/>
        <w:szCs w:val="16"/>
        <w:highlight w:val="black"/>
      </w:rPr>
      <w:t>XXXXXX</w:t>
    </w:r>
  </w:p>
  <w:p w14:paraId="68F83B40" w14:textId="071EA043" w:rsidR="00CB3F07" w:rsidRPr="00CB3F07" w:rsidRDefault="00CB3F07" w:rsidP="00CB3F07">
    <w:pPr>
      <w:rPr>
        <w:sz w:val="16"/>
        <w:szCs w:val="16"/>
      </w:rPr>
    </w:pPr>
    <w:r>
      <w:rPr>
        <w:b/>
        <w:sz w:val="16"/>
        <w:szCs w:val="16"/>
      </w:rPr>
      <w:t>Secretariat:</w:t>
    </w:r>
    <w:r>
      <w:rPr>
        <w:sz w:val="16"/>
        <w:szCs w:val="16"/>
      </w:rPr>
      <w:t xml:space="preserve"> </w:t>
    </w:r>
    <w:r w:rsidR="00484B84" w:rsidRPr="00484B84">
      <w:rPr>
        <w:sz w:val="16"/>
        <w:szCs w:val="16"/>
        <w:highlight w:val="black"/>
      </w:rPr>
      <w:t>XXXXX</w:t>
    </w:r>
    <w:r w:rsidRPr="00484B84">
      <w:rPr>
        <w:sz w:val="16"/>
        <w:szCs w:val="16"/>
        <w:highlight w:val="black"/>
      </w:rPr>
      <w:t xml:space="preserve"> </w:t>
    </w:r>
    <w:proofErr w:type="spellStart"/>
    <w:r w:rsidR="00484B84" w:rsidRPr="00484B84">
      <w:rPr>
        <w:sz w:val="16"/>
        <w:szCs w:val="16"/>
        <w:highlight w:val="black"/>
      </w:rPr>
      <w:t>XXXXX</w:t>
    </w:r>
    <w:proofErr w:type="spellEnd"/>
    <w:r w:rsidRPr="00484B84">
      <w:rPr>
        <w:sz w:val="16"/>
        <w:szCs w:val="16"/>
        <w:highlight w:val="black"/>
      </w:rPr>
      <w:t xml:space="preserve"> </w:t>
    </w:r>
    <w:r w:rsidR="00484B84" w:rsidRPr="00484B84">
      <w:rPr>
        <w:sz w:val="16"/>
        <w:szCs w:val="16"/>
        <w:highlight w:val="black"/>
      </w:rPr>
      <w:t>XXXXXXXXXXXXXX</w:t>
    </w:r>
    <w:r>
      <w:rPr>
        <w:sz w:val="16"/>
        <w:szCs w:val="16"/>
      </w:rPr>
      <w:t xml:space="preserve">. </w:t>
    </w:r>
    <w:r>
      <w:rPr>
        <w:sz w:val="16"/>
        <w:szCs w:val="16"/>
        <w:lang w:val="en-US"/>
      </w:rPr>
      <w:t xml:space="preserve">Email: </w:t>
    </w:r>
    <w:hyperlink r:id="rId1" w:history="1">
      <w:r w:rsidR="00484B84" w:rsidRPr="00484B84">
        <w:rPr>
          <w:rStyle w:val="Hyperlink"/>
          <w:color w:val="000000" w:themeColor="text1"/>
          <w:sz w:val="16"/>
          <w:szCs w:val="16"/>
          <w:highlight w:val="black"/>
          <w:lang w:val="en-US"/>
        </w:rPr>
        <w:t>XXXXXXXXXXXXXXXXXXX</w:t>
      </w:r>
    </w:hyperlink>
    <w:r>
      <w:rPr>
        <w:sz w:val="16"/>
        <w:szCs w:val="16"/>
      </w:rPr>
      <w:t xml:space="preserve">  Alternatively, </w:t>
    </w:r>
    <w:r w:rsidR="00484B84" w:rsidRPr="00484B84">
      <w:rPr>
        <w:sz w:val="16"/>
        <w:szCs w:val="16"/>
        <w:highlight w:val="black"/>
      </w:rPr>
      <w:t>XX</w:t>
    </w:r>
    <w:r w:rsidRPr="00484B84">
      <w:rPr>
        <w:sz w:val="16"/>
        <w:szCs w:val="16"/>
        <w:highlight w:val="black"/>
      </w:rPr>
      <w:t xml:space="preserve"> </w:t>
    </w:r>
    <w:r w:rsidR="00484B84" w:rsidRPr="00484B84">
      <w:rPr>
        <w:sz w:val="16"/>
        <w:szCs w:val="16"/>
        <w:highlight w:val="black"/>
      </w:rPr>
      <w:t>XXXXXXX</w:t>
    </w:r>
    <w:r w:rsidRPr="00484B84">
      <w:rPr>
        <w:sz w:val="16"/>
        <w:szCs w:val="16"/>
        <w:highlight w:val="black"/>
      </w:rPr>
      <w:t xml:space="preserve"> </w:t>
    </w:r>
    <w:r w:rsidR="00484B84" w:rsidRPr="00484B84">
      <w:rPr>
        <w:sz w:val="16"/>
        <w:szCs w:val="16"/>
        <w:highlight w:val="black"/>
      </w:rPr>
      <w:t>XXXXX</w:t>
    </w:r>
    <w:r>
      <w:rPr>
        <w:sz w:val="16"/>
        <w:szCs w:val="16"/>
      </w:rPr>
      <w:t xml:space="preserve"> on Email: </w:t>
    </w:r>
    <w:hyperlink r:id="rId2" w:history="1">
      <w:r w:rsidR="006B585A" w:rsidRPr="00484B84">
        <w:rPr>
          <w:rStyle w:val="Hyperlink"/>
          <w:color w:val="000000" w:themeColor="text1"/>
          <w:sz w:val="16"/>
          <w:szCs w:val="16"/>
          <w:highlight w:val="black"/>
          <w:lang w:val="en-US"/>
        </w:rPr>
        <w:t>XXXXXXXXXXXXXXXXXXXXXXXXXXXXXX</w:t>
      </w:r>
    </w:hyperlink>
    <w:r w:rsidR="006B585A" w:rsidRPr="00484B84">
      <w:rPr>
        <w:rStyle w:val="Hyperlink"/>
        <w:color w:val="000000" w:themeColor="text1"/>
        <w:sz w:val="16"/>
        <w:szCs w:val="16"/>
        <w:highlight w:val="black"/>
        <w:lang w:val="en-US"/>
      </w:rPr>
      <w:t>X</w:t>
    </w:r>
    <w:r w:rsidRPr="00484B84">
      <w:rPr>
        <w:rStyle w:val="Hyperlink"/>
        <w:color w:val="000000" w:themeColor="text1"/>
        <w:sz w:val="16"/>
        <w:szCs w:val="16"/>
        <w:u w:val="none"/>
      </w:rPr>
      <w:t xml:space="preserve"> </w:t>
    </w:r>
    <w:r>
      <w:rPr>
        <w:sz w:val="16"/>
        <w:szCs w:val="16"/>
      </w:rPr>
      <w:t>Web: www.bug.co.uk</w:t>
    </w:r>
  </w:p>
  <w:p w14:paraId="7D6981E2" w14:textId="77777777" w:rsidR="00CB3F07" w:rsidRDefault="00CB3F07" w:rsidP="00CB3F07">
    <w:pPr>
      <w:jc w:val="center"/>
      <w:rPr>
        <w:rFonts w:cs="Arial"/>
        <w:b/>
        <w:sz w:val="18"/>
        <w:szCs w:val="18"/>
      </w:rPr>
    </w:pPr>
    <w:r>
      <w:rPr>
        <w:rFonts w:cs="Arial"/>
        <w:sz w:val="16"/>
        <w:szCs w:val="16"/>
      </w:rPr>
      <w:t>BUG is a registered charity   Registered number 1116828</w:t>
    </w:r>
  </w:p>
  <w:p w14:paraId="0E1C94CE" w14:textId="5C9BD8CB" w:rsidR="00CB3F07" w:rsidRDefault="00CB3F07">
    <w:pPr>
      <w:pStyle w:val="Footer"/>
    </w:pPr>
  </w:p>
  <w:p w14:paraId="19AD23E7" w14:textId="77777777" w:rsidR="00CB3F07" w:rsidRDefault="00CB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520F" w14:textId="77777777" w:rsidR="00946394" w:rsidRDefault="00946394" w:rsidP="00CB3F07">
      <w:r>
        <w:separator/>
      </w:r>
    </w:p>
  </w:footnote>
  <w:footnote w:type="continuationSeparator" w:id="0">
    <w:p w14:paraId="057ED6F9" w14:textId="77777777" w:rsidR="00946394" w:rsidRDefault="00946394" w:rsidP="00CB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9A"/>
    <w:rsid w:val="000C4EF1"/>
    <w:rsid w:val="001872BA"/>
    <w:rsid w:val="00484B84"/>
    <w:rsid w:val="004A5705"/>
    <w:rsid w:val="006B585A"/>
    <w:rsid w:val="008A4B8D"/>
    <w:rsid w:val="00946394"/>
    <w:rsid w:val="00A97056"/>
    <w:rsid w:val="00B702AF"/>
    <w:rsid w:val="00C05E9A"/>
    <w:rsid w:val="00C67FE6"/>
    <w:rsid w:val="00CB3F07"/>
    <w:rsid w:val="00E32245"/>
    <w:rsid w:val="00E3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1E10B"/>
  <w15:chartTrackingRefBased/>
  <w15:docId w15:val="{BCBB9971-1BF4-A04D-A664-A0D0FF7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E9A"/>
    <w:pPr>
      <w:autoSpaceDE w:val="0"/>
      <w:autoSpaceDN w:val="0"/>
      <w:adjustRightInd w:val="0"/>
    </w:pPr>
    <w:rPr>
      <w:rFonts w:ascii="Arial" w:hAnsi="Arial" w:cs="Arial"/>
      <w:color w:val="000000"/>
      <w:lang w:val="en-US"/>
    </w:rPr>
  </w:style>
  <w:style w:type="paragraph" w:styleId="NormalWeb">
    <w:name w:val="Normal (Web)"/>
    <w:basedOn w:val="Normal"/>
    <w:uiPriority w:val="99"/>
    <w:unhideWhenUsed/>
    <w:rsid w:val="00C05E9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B3F07"/>
    <w:pPr>
      <w:tabs>
        <w:tab w:val="center" w:pos="4513"/>
        <w:tab w:val="right" w:pos="9026"/>
      </w:tabs>
    </w:pPr>
  </w:style>
  <w:style w:type="character" w:customStyle="1" w:styleId="HeaderChar">
    <w:name w:val="Header Char"/>
    <w:basedOn w:val="DefaultParagraphFont"/>
    <w:link w:val="Header"/>
    <w:uiPriority w:val="99"/>
    <w:rsid w:val="00CB3F07"/>
  </w:style>
  <w:style w:type="paragraph" w:styleId="Footer">
    <w:name w:val="footer"/>
    <w:basedOn w:val="Normal"/>
    <w:link w:val="FooterChar"/>
    <w:uiPriority w:val="99"/>
    <w:unhideWhenUsed/>
    <w:rsid w:val="00CB3F07"/>
    <w:pPr>
      <w:tabs>
        <w:tab w:val="center" w:pos="4513"/>
        <w:tab w:val="right" w:pos="9026"/>
      </w:tabs>
    </w:pPr>
  </w:style>
  <w:style w:type="character" w:customStyle="1" w:styleId="FooterChar">
    <w:name w:val="Footer Char"/>
    <w:basedOn w:val="DefaultParagraphFont"/>
    <w:link w:val="Footer"/>
    <w:uiPriority w:val="99"/>
    <w:rsid w:val="00CB3F07"/>
  </w:style>
  <w:style w:type="character" w:styleId="Hyperlink">
    <w:name w:val="Hyperlink"/>
    <w:rsid w:val="00CB3F07"/>
    <w:rPr>
      <w:color w:val="0000FF"/>
      <w:u w:val="single"/>
    </w:rPr>
  </w:style>
  <w:style w:type="character" w:styleId="UnresolvedMention">
    <w:name w:val="Unresolved Mention"/>
    <w:basedOn w:val="DefaultParagraphFont"/>
    <w:uiPriority w:val="99"/>
    <w:semiHidden/>
    <w:unhideWhenUsed/>
    <w:rsid w:val="006B5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9410">
      <w:bodyDiv w:val="1"/>
      <w:marLeft w:val="0"/>
      <w:marRight w:val="0"/>
      <w:marTop w:val="0"/>
      <w:marBottom w:val="0"/>
      <w:divBdr>
        <w:top w:val="none" w:sz="0" w:space="0" w:color="auto"/>
        <w:left w:val="none" w:sz="0" w:space="0" w:color="auto"/>
        <w:bottom w:val="none" w:sz="0" w:space="0" w:color="auto"/>
        <w:right w:val="none" w:sz="0" w:space="0" w:color="auto"/>
      </w:divBdr>
      <w:divsChild>
        <w:div w:id="2091735986">
          <w:marLeft w:val="0"/>
          <w:marRight w:val="0"/>
          <w:marTop w:val="0"/>
          <w:marBottom w:val="0"/>
          <w:divBdr>
            <w:top w:val="none" w:sz="0" w:space="0" w:color="auto"/>
            <w:left w:val="none" w:sz="0" w:space="0" w:color="auto"/>
            <w:bottom w:val="none" w:sz="0" w:space="0" w:color="auto"/>
            <w:right w:val="none" w:sz="0" w:space="0" w:color="auto"/>
          </w:divBdr>
          <w:divsChild>
            <w:div w:id="180555123">
              <w:marLeft w:val="0"/>
              <w:marRight w:val="0"/>
              <w:marTop w:val="0"/>
              <w:marBottom w:val="0"/>
              <w:divBdr>
                <w:top w:val="none" w:sz="0" w:space="0" w:color="auto"/>
                <w:left w:val="none" w:sz="0" w:space="0" w:color="auto"/>
                <w:bottom w:val="none" w:sz="0" w:space="0" w:color="auto"/>
                <w:right w:val="none" w:sz="0" w:space="0" w:color="auto"/>
              </w:divBdr>
              <w:divsChild>
                <w:div w:id="5621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81434">
      <w:bodyDiv w:val="1"/>
      <w:marLeft w:val="0"/>
      <w:marRight w:val="0"/>
      <w:marTop w:val="0"/>
      <w:marBottom w:val="0"/>
      <w:divBdr>
        <w:top w:val="none" w:sz="0" w:space="0" w:color="auto"/>
        <w:left w:val="none" w:sz="0" w:space="0" w:color="auto"/>
        <w:bottom w:val="none" w:sz="0" w:space="0" w:color="auto"/>
        <w:right w:val="none" w:sz="0" w:space="0" w:color="auto"/>
      </w:divBdr>
      <w:divsChild>
        <w:div w:id="1767917136">
          <w:marLeft w:val="0"/>
          <w:marRight w:val="0"/>
          <w:marTop w:val="0"/>
          <w:marBottom w:val="0"/>
          <w:divBdr>
            <w:top w:val="none" w:sz="0" w:space="0" w:color="auto"/>
            <w:left w:val="none" w:sz="0" w:space="0" w:color="auto"/>
            <w:bottom w:val="none" w:sz="0" w:space="0" w:color="auto"/>
            <w:right w:val="none" w:sz="0" w:space="0" w:color="auto"/>
          </w:divBdr>
          <w:divsChild>
            <w:div w:id="743601048">
              <w:marLeft w:val="0"/>
              <w:marRight w:val="0"/>
              <w:marTop w:val="0"/>
              <w:marBottom w:val="0"/>
              <w:divBdr>
                <w:top w:val="none" w:sz="0" w:space="0" w:color="auto"/>
                <w:left w:val="none" w:sz="0" w:space="0" w:color="auto"/>
                <w:bottom w:val="none" w:sz="0" w:space="0" w:color="auto"/>
                <w:right w:val="none" w:sz="0" w:space="0" w:color="auto"/>
              </w:divBdr>
              <w:divsChild>
                <w:div w:id="1841769736">
                  <w:marLeft w:val="0"/>
                  <w:marRight w:val="0"/>
                  <w:marTop w:val="0"/>
                  <w:marBottom w:val="0"/>
                  <w:divBdr>
                    <w:top w:val="none" w:sz="0" w:space="0" w:color="auto"/>
                    <w:left w:val="none" w:sz="0" w:space="0" w:color="auto"/>
                    <w:bottom w:val="none" w:sz="0" w:space="0" w:color="auto"/>
                    <w:right w:val="none" w:sz="0" w:space="0" w:color="auto"/>
                  </w:divBdr>
                </w:div>
              </w:divsChild>
            </w:div>
            <w:div w:id="667556468">
              <w:marLeft w:val="0"/>
              <w:marRight w:val="0"/>
              <w:marTop w:val="0"/>
              <w:marBottom w:val="0"/>
              <w:divBdr>
                <w:top w:val="none" w:sz="0" w:space="0" w:color="auto"/>
                <w:left w:val="none" w:sz="0" w:space="0" w:color="auto"/>
                <w:bottom w:val="none" w:sz="0" w:space="0" w:color="auto"/>
                <w:right w:val="none" w:sz="0" w:space="0" w:color="auto"/>
              </w:divBdr>
              <w:divsChild>
                <w:div w:id="999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6203">
          <w:marLeft w:val="0"/>
          <w:marRight w:val="0"/>
          <w:marTop w:val="0"/>
          <w:marBottom w:val="0"/>
          <w:divBdr>
            <w:top w:val="none" w:sz="0" w:space="0" w:color="auto"/>
            <w:left w:val="none" w:sz="0" w:space="0" w:color="auto"/>
            <w:bottom w:val="none" w:sz="0" w:space="0" w:color="auto"/>
            <w:right w:val="none" w:sz="0" w:space="0" w:color="auto"/>
          </w:divBdr>
          <w:divsChild>
            <w:div w:id="525752101">
              <w:marLeft w:val="0"/>
              <w:marRight w:val="0"/>
              <w:marTop w:val="0"/>
              <w:marBottom w:val="0"/>
              <w:divBdr>
                <w:top w:val="none" w:sz="0" w:space="0" w:color="auto"/>
                <w:left w:val="none" w:sz="0" w:space="0" w:color="auto"/>
                <w:bottom w:val="none" w:sz="0" w:space="0" w:color="auto"/>
                <w:right w:val="none" w:sz="0" w:space="0" w:color="auto"/>
              </w:divBdr>
              <w:divsChild>
                <w:div w:id="2008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XXXXXXXXXXXXXXXXXXXXXXXXXXXXXX" TargetMode="External"/><Relationship Id="rId1" Type="http://schemas.openxmlformats.org/officeDocument/2006/relationships/hyperlink" Target="http://XXXXXXXX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Jones</dc:creator>
  <cp:keywords/>
  <dc:description/>
  <cp:lastModifiedBy>Lucinda Evans</cp:lastModifiedBy>
  <cp:revision>2</cp:revision>
  <dcterms:created xsi:type="dcterms:W3CDTF">2021-09-24T08:34:00Z</dcterms:created>
  <dcterms:modified xsi:type="dcterms:W3CDTF">2021-09-24T08:34:00Z</dcterms:modified>
</cp:coreProperties>
</file>