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6608" w14:textId="2B0D1B1E" w:rsidR="0065435C" w:rsidRPr="007175DC" w:rsidRDefault="0065435C" w:rsidP="0065435C">
      <w:pPr>
        <w:pStyle w:val="Heading1"/>
        <w:spacing w:before="120" w:line="276" w:lineRule="auto"/>
        <w:jc w:val="both"/>
        <w:rPr>
          <w:rFonts w:asciiTheme="minorHAnsi" w:hAnsiTheme="minorHAnsi" w:cstheme="minorHAnsi"/>
          <w:sz w:val="24"/>
        </w:rPr>
      </w:pPr>
      <w:r w:rsidRPr="007175DC">
        <w:rPr>
          <w:rFonts w:asciiTheme="minorHAnsi" w:hAnsiTheme="minorHAnsi" w:cstheme="minorHAnsi"/>
          <w:sz w:val="24"/>
        </w:rPr>
        <w:br/>
      </w:r>
    </w:p>
    <w:p w14:paraId="211B1E7E" w14:textId="06300479" w:rsidR="0065435C" w:rsidRPr="007175DC" w:rsidRDefault="0019387E"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27</w:t>
      </w:r>
      <w:r w:rsidR="0065435C" w:rsidRPr="007175DC">
        <w:rPr>
          <w:rFonts w:asciiTheme="minorHAnsi" w:hAnsiTheme="minorHAnsi" w:cstheme="minorHAnsi"/>
          <w:vertAlign w:val="superscript"/>
        </w:rPr>
        <w:t>th</w:t>
      </w:r>
      <w:r w:rsidR="0065435C" w:rsidRPr="007175DC">
        <w:rPr>
          <w:rFonts w:asciiTheme="minorHAnsi" w:hAnsiTheme="minorHAnsi" w:cstheme="minorHAnsi"/>
        </w:rPr>
        <w:t xml:space="preserve"> August 2021</w:t>
      </w:r>
    </w:p>
    <w:p w14:paraId="286D9C98" w14:textId="77777777" w:rsidR="0065435C" w:rsidRPr="007175DC" w:rsidRDefault="0065435C" w:rsidP="0065435C">
      <w:pPr>
        <w:pStyle w:val="Paragraph"/>
        <w:numPr>
          <w:ilvl w:val="0"/>
          <w:numId w:val="0"/>
        </w:numPr>
        <w:spacing w:before="120" w:after="0"/>
        <w:jc w:val="both"/>
        <w:rPr>
          <w:rFonts w:asciiTheme="minorHAnsi" w:hAnsiTheme="minorHAnsi" w:cstheme="minorHAnsi"/>
        </w:rPr>
      </w:pPr>
    </w:p>
    <w:p w14:paraId="101D3E60" w14:textId="4A2F57A6" w:rsidR="0065435C" w:rsidRPr="007175DC" w:rsidRDefault="0019387E"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D</w:t>
      </w:r>
      <w:r w:rsidR="0065435C" w:rsidRPr="007175DC">
        <w:rPr>
          <w:rFonts w:asciiTheme="minorHAnsi" w:hAnsiTheme="minorHAnsi" w:cstheme="minorHAnsi"/>
        </w:rPr>
        <w:t xml:space="preserve">r </w:t>
      </w:r>
      <w:r w:rsidRPr="007175DC">
        <w:rPr>
          <w:rFonts w:asciiTheme="minorHAnsi" w:hAnsiTheme="minorHAnsi" w:cstheme="minorHAnsi"/>
        </w:rPr>
        <w:t>Mark Chakravarty</w:t>
      </w:r>
    </w:p>
    <w:p w14:paraId="4CEEA378" w14:textId="218872D5" w:rsidR="0065435C" w:rsidRPr="007175DC" w:rsidRDefault="0019387E"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Lead Non-Executive Director for Appeals</w:t>
      </w:r>
    </w:p>
    <w:p w14:paraId="7A020E14" w14:textId="77777777" w:rsidR="0065435C" w:rsidRPr="007175DC" w:rsidRDefault="0065435C"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National Institute for Health and Care Excellence</w:t>
      </w:r>
    </w:p>
    <w:p w14:paraId="3BE30D27" w14:textId="77777777" w:rsidR="0065435C" w:rsidRPr="007175DC" w:rsidRDefault="0065435C"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2</w:t>
      </w:r>
      <w:r w:rsidRPr="007175DC">
        <w:rPr>
          <w:rFonts w:asciiTheme="minorHAnsi" w:hAnsiTheme="minorHAnsi" w:cstheme="minorHAnsi"/>
          <w:vertAlign w:val="superscript"/>
        </w:rPr>
        <w:t>nd</w:t>
      </w:r>
      <w:r w:rsidRPr="007175DC">
        <w:rPr>
          <w:rFonts w:asciiTheme="minorHAnsi" w:hAnsiTheme="minorHAnsi" w:cstheme="minorHAnsi"/>
        </w:rPr>
        <w:t xml:space="preserve"> Floor</w:t>
      </w:r>
    </w:p>
    <w:p w14:paraId="107C5CA0" w14:textId="77777777" w:rsidR="0065435C" w:rsidRPr="007175DC" w:rsidRDefault="0065435C"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2 Redman Place</w:t>
      </w:r>
    </w:p>
    <w:p w14:paraId="0DFA163B" w14:textId="77777777" w:rsidR="0065435C" w:rsidRPr="007175DC" w:rsidRDefault="0065435C"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London E20 1JQ</w:t>
      </w:r>
    </w:p>
    <w:p w14:paraId="4E33A070" w14:textId="77777777" w:rsidR="0065435C" w:rsidRPr="007175DC" w:rsidRDefault="0065435C" w:rsidP="0065435C">
      <w:pPr>
        <w:pStyle w:val="Paragraph"/>
        <w:numPr>
          <w:ilvl w:val="0"/>
          <w:numId w:val="0"/>
        </w:numPr>
        <w:spacing w:before="120" w:after="0"/>
        <w:jc w:val="both"/>
        <w:rPr>
          <w:rFonts w:asciiTheme="minorHAnsi" w:hAnsiTheme="minorHAnsi" w:cstheme="minorHAnsi"/>
        </w:rPr>
      </w:pPr>
    </w:p>
    <w:p w14:paraId="2D9EBBB6" w14:textId="08DA853D" w:rsidR="0065435C" w:rsidRPr="007175DC" w:rsidRDefault="0065435C"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 xml:space="preserve">Dear </w:t>
      </w:r>
      <w:r w:rsidR="0019387E" w:rsidRPr="007175DC">
        <w:rPr>
          <w:rFonts w:asciiTheme="minorHAnsi" w:hAnsiTheme="minorHAnsi" w:cstheme="minorHAnsi"/>
        </w:rPr>
        <w:t>D</w:t>
      </w:r>
      <w:r w:rsidRPr="007175DC">
        <w:rPr>
          <w:rFonts w:asciiTheme="minorHAnsi" w:hAnsiTheme="minorHAnsi" w:cstheme="minorHAnsi"/>
        </w:rPr>
        <w:t>r</w:t>
      </w:r>
      <w:r w:rsidR="0019387E" w:rsidRPr="007175DC">
        <w:rPr>
          <w:rFonts w:asciiTheme="minorHAnsi" w:hAnsiTheme="minorHAnsi" w:cstheme="minorHAnsi"/>
        </w:rPr>
        <w:t xml:space="preserve"> Chakravarty</w:t>
      </w:r>
      <w:r w:rsidRPr="007175DC">
        <w:rPr>
          <w:rFonts w:asciiTheme="minorHAnsi" w:hAnsiTheme="minorHAnsi" w:cstheme="minorHAnsi"/>
        </w:rPr>
        <w:t>,</w:t>
      </w:r>
    </w:p>
    <w:p w14:paraId="3D93F27C"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p>
    <w:p w14:paraId="6FCA4FD1" w14:textId="77777777" w:rsidR="0065435C" w:rsidRPr="00531318" w:rsidRDefault="0065435C" w:rsidP="0065435C">
      <w:pPr>
        <w:pStyle w:val="Paragraph"/>
        <w:numPr>
          <w:ilvl w:val="0"/>
          <w:numId w:val="0"/>
        </w:numPr>
        <w:spacing w:before="120" w:after="0"/>
        <w:jc w:val="both"/>
        <w:rPr>
          <w:rFonts w:ascii="Times New Roman" w:hAnsi="Times New Roman" w:cstheme="minorBidi"/>
          <w:b/>
          <w:bCs/>
        </w:rPr>
      </w:pPr>
      <w:r w:rsidRPr="00531318">
        <w:rPr>
          <w:rFonts w:ascii="Times New Roman" w:hAnsi="Times New Roman" w:cstheme="minorBidi"/>
          <w:b/>
          <w:bCs/>
        </w:rPr>
        <w:t>APPEAL AGAINST THE FINAL APPRAISAL DOCUMENT FOR AVELUMAB FOR MAINTENANCE TREATMENT OF LOCALLY ADVANCED OR METASTATIC UROTHELIAL CANCER AFTER PLATINUM-BASED CHEMOTHERAPY [ID3735]</w:t>
      </w:r>
    </w:p>
    <w:p w14:paraId="34B31084" w14:textId="134E030C" w:rsidR="0019387E" w:rsidRPr="007175DC" w:rsidRDefault="0019387E"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 xml:space="preserve">Thank you for your letter dated 13 August 2021, in which you provide your preliminary view of the admissibility of the points of appeal set out in the Merck/Pfizer alliance appeal </w:t>
      </w:r>
      <w:r w:rsidR="00C74CF9">
        <w:rPr>
          <w:rFonts w:asciiTheme="minorHAnsi" w:hAnsiTheme="minorHAnsi" w:cstheme="minorHAnsi"/>
        </w:rPr>
        <w:t>letter</w:t>
      </w:r>
      <w:r w:rsidR="00C74CF9" w:rsidRPr="007175DC">
        <w:rPr>
          <w:rFonts w:asciiTheme="minorHAnsi" w:hAnsiTheme="minorHAnsi" w:cstheme="minorHAnsi"/>
        </w:rPr>
        <w:t xml:space="preserve"> </w:t>
      </w:r>
      <w:r w:rsidRPr="007175DC">
        <w:rPr>
          <w:rFonts w:asciiTheme="minorHAnsi" w:hAnsiTheme="minorHAnsi" w:cstheme="minorHAnsi"/>
        </w:rPr>
        <w:t xml:space="preserve">submitted on 6 August 2021. </w:t>
      </w:r>
    </w:p>
    <w:p w14:paraId="7381857F" w14:textId="3EBAEA29" w:rsidR="00B23B40" w:rsidRDefault="0019387E" w:rsidP="0065435C">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 xml:space="preserve">We now provide, as you suggest, additional </w:t>
      </w:r>
      <w:r w:rsidR="004D34A8" w:rsidRPr="007175DC">
        <w:rPr>
          <w:rFonts w:asciiTheme="minorHAnsi" w:hAnsiTheme="minorHAnsi" w:cstheme="minorHAnsi"/>
        </w:rPr>
        <w:t xml:space="preserve">detail </w:t>
      </w:r>
      <w:r w:rsidRPr="007175DC">
        <w:rPr>
          <w:rFonts w:asciiTheme="minorHAnsi" w:hAnsiTheme="minorHAnsi" w:cstheme="minorHAnsi"/>
        </w:rPr>
        <w:t>to elaborate</w:t>
      </w:r>
      <w:r w:rsidR="004D34A8" w:rsidRPr="007175DC">
        <w:rPr>
          <w:rFonts w:asciiTheme="minorHAnsi" w:hAnsiTheme="minorHAnsi" w:cstheme="minorHAnsi"/>
        </w:rPr>
        <w:t>, comment on</w:t>
      </w:r>
      <w:r w:rsidRPr="007175DC">
        <w:rPr>
          <w:rFonts w:asciiTheme="minorHAnsi" w:hAnsiTheme="minorHAnsi" w:cstheme="minorHAnsi"/>
        </w:rPr>
        <w:t xml:space="preserve"> or clarify those points of appeal </w:t>
      </w:r>
      <w:r w:rsidR="004D34A8" w:rsidRPr="007175DC">
        <w:rPr>
          <w:rFonts w:asciiTheme="minorHAnsi" w:hAnsiTheme="minorHAnsi" w:cstheme="minorHAnsi"/>
        </w:rPr>
        <w:t xml:space="preserve">(listed below) </w:t>
      </w:r>
      <w:r w:rsidRPr="007175DC">
        <w:rPr>
          <w:rFonts w:asciiTheme="minorHAnsi" w:hAnsiTheme="minorHAnsi" w:cstheme="minorHAnsi"/>
        </w:rPr>
        <w:t xml:space="preserve">where your preliminary view is that these should not </w:t>
      </w:r>
      <w:r w:rsidR="00B667AB" w:rsidRPr="007175DC">
        <w:rPr>
          <w:rFonts w:asciiTheme="minorHAnsi" w:hAnsiTheme="minorHAnsi" w:cstheme="minorHAnsi"/>
        </w:rPr>
        <w:t>be referred to the appeal panel</w:t>
      </w:r>
      <w:r w:rsidRPr="007175DC">
        <w:rPr>
          <w:rFonts w:asciiTheme="minorHAnsi" w:hAnsiTheme="minorHAnsi" w:cstheme="minorHAnsi"/>
        </w:rPr>
        <w:t>.</w:t>
      </w:r>
      <w:r w:rsidR="004D34A8" w:rsidRPr="007175DC">
        <w:rPr>
          <w:rFonts w:asciiTheme="minorHAnsi" w:hAnsiTheme="minorHAnsi" w:cstheme="minorHAnsi"/>
        </w:rPr>
        <w:t xml:space="preserve"> </w:t>
      </w:r>
    </w:p>
    <w:p w14:paraId="23B5EBE8" w14:textId="77777777" w:rsidR="00175DBE" w:rsidRPr="00175DBE" w:rsidRDefault="00175DBE" w:rsidP="0065435C">
      <w:pPr>
        <w:pStyle w:val="Paragraph"/>
        <w:numPr>
          <w:ilvl w:val="0"/>
          <w:numId w:val="0"/>
        </w:numPr>
        <w:spacing w:before="120" w:after="0"/>
        <w:jc w:val="both"/>
        <w:rPr>
          <w:rFonts w:asciiTheme="minorHAnsi" w:hAnsiTheme="minorHAnsi" w:cstheme="minorHAnsi"/>
        </w:rPr>
      </w:pPr>
    </w:p>
    <w:p w14:paraId="23AEE423" w14:textId="77777777" w:rsidR="0065435C" w:rsidRPr="00A60D52" w:rsidRDefault="0065435C" w:rsidP="0065435C">
      <w:pPr>
        <w:pStyle w:val="Heading2"/>
        <w:spacing w:before="120" w:line="276" w:lineRule="auto"/>
        <w:jc w:val="both"/>
        <w:rPr>
          <w:rFonts w:ascii="Times New Roman" w:hAnsi="Times New Roman" w:cstheme="minorHAnsi"/>
          <w:b/>
          <w:bCs/>
          <w:i/>
          <w:iCs/>
          <w:color w:val="auto"/>
          <w:sz w:val="24"/>
          <w:u w:val="single"/>
        </w:rPr>
      </w:pPr>
      <w:r w:rsidRPr="00A60D52">
        <w:rPr>
          <w:rFonts w:ascii="Times New Roman" w:hAnsi="Times New Roman" w:cstheme="minorHAnsi"/>
          <w:b/>
          <w:bCs/>
          <w:color w:val="auto"/>
          <w:sz w:val="24"/>
          <w:u w:val="single"/>
        </w:rPr>
        <w:t>Grounds of appeal</w:t>
      </w:r>
    </w:p>
    <w:p w14:paraId="0772D6C1" w14:textId="396656DB" w:rsidR="0065435C" w:rsidRPr="00A60D52" w:rsidRDefault="0065435C" w:rsidP="00A60D52">
      <w:pPr>
        <w:pStyle w:val="Heading2"/>
        <w:numPr>
          <w:ilvl w:val="0"/>
          <w:numId w:val="4"/>
        </w:numPr>
        <w:spacing w:before="120" w:line="276" w:lineRule="auto"/>
        <w:jc w:val="both"/>
        <w:rPr>
          <w:rFonts w:ascii="Times New Roman" w:hAnsi="Times New Roman" w:cstheme="minorHAnsi"/>
          <w:b/>
          <w:bCs/>
          <w:color w:val="auto"/>
          <w:sz w:val="24"/>
          <w:u w:val="single"/>
        </w:rPr>
      </w:pPr>
      <w:r w:rsidRPr="00A60D52">
        <w:rPr>
          <w:rFonts w:ascii="Times New Roman" w:hAnsi="Times New Roman" w:cstheme="minorHAnsi"/>
          <w:b/>
          <w:bCs/>
          <w:color w:val="auto"/>
          <w:sz w:val="24"/>
          <w:u w:val="single"/>
        </w:rPr>
        <w:t>Ground 1: In making the assessment that preceded the recommendation, NICE has a) failed to act fairly or b) exceeded its powers</w:t>
      </w:r>
    </w:p>
    <w:p w14:paraId="5BA55AE4" w14:textId="79DEB064" w:rsidR="0065435C" w:rsidRDefault="00DC4547" w:rsidP="00DC4547">
      <w:pPr>
        <w:spacing w:before="120" w:line="276" w:lineRule="auto"/>
        <w:jc w:val="both"/>
        <w:rPr>
          <w:rFonts w:cstheme="minorBidi"/>
          <w:b/>
          <w:bCs/>
          <w:iCs/>
          <w:sz w:val="24"/>
          <w:szCs w:val="24"/>
        </w:rPr>
      </w:pPr>
      <w:r>
        <w:rPr>
          <w:rFonts w:cstheme="minorBidi"/>
          <w:b/>
          <w:bCs/>
          <w:iCs/>
          <w:sz w:val="24"/>
          <w:szCs w:val="24"/>
        </w:rPr>
        <w:t>1.1</w:t>
      </w:r>
      <w:r>
        <w:rPr>
          <w:rFonts w:cstheme="minorBidi"/>
          <w:b/>
          <w:bCs/>
          <w:iCs/>
          <w:sz w:val="24"/>
          <w:szCs w:val="24"/>
        </w:rPr>
        <w:tab/>
      </w:r>
      <w:r w:rsidR="0065435C" w:rsidRPr="00DC4547">
        <w:rPr>
          <w:rFonts w:cstheme="minorBidi"/>
          <w:b/>
          <w:bCs/>
          <w:iCs/>
          <w:sz w:val="24"/>
          <w:szCs w:val="24"/>
        </w:rPr>
        <w:t>The Committee’s conclusion that a stopping rule is inappropriate for avelumab is inconsistent with previous appraisals for immunotherapies (IOs) in mUC</w:t>
      </w:r>
    </w:p>
    <w:p w14:paraId="4979657C" w14:textId="32D7926A" w:rsidR="00C74CF9" w:rsidRPr="00C74CF9" w:rsidRDefault="00811779" w:rsidP="00C74CF9">
      <w:pPr>
        <w:spacing w:before="120" w:line="276" w:lineRule="auto"/>
        <w:jc w:val="both"/>
        <w:rPr>
          <w:rFonts w:cstheme="minorBidi"/>
          <w:iCs/>
          <w:sz w:val="24"/>
          <w:szCs w:val="24"/>
        </w:rPr>
      </w:pPr>
      <w:r w:rsidRPr="00C74CF9">
        <w:rPr>
          <w:rFonts w:cstheme="minorBidi"/>
          <w:iCs/>
          <w:sz w:val="24"/>
          <w:szCs w:val="24"/>
        </w:rPr>
        <w:t>You express the preliminary view that this point should not be referred to the Appeal Panel on the basis that: (a) the Committee considered the question of a stopping rule in immunotherapies after platinum-based chemotherapy in urothelial cancer as sufficiently similar to warrant consideration; (b) have given their reasons for not doing so in this case in a substantial paragraph.</w:t>
      </w:r>
    </w:p>
    <w:p w14:paraId="2289C3A7" w14:textId="38E59159" w:rsidR="00E24E94" w:rsidRPr="00C74CF9" w:rsidRDefault="00260239" w:rsidP="00C74CF9">
      <w:pPr>
        <w:spacing w:before="120" w:line="276" w:lineRule="auto"/>
        <w:jc w:val="both"/>
        <w:rPr>
          <w:rFonts w:cstheme="minorBidi"/>
          <w:iCs/>
          <w:sz w:val="24"/>
          <w:szCs w:val="24"/>
        </w:rPr>
      </w:pPr>
      <w:r>
        <w:rPr>
          <w:rFonts w:cstheme="minorBidi"/>
          <w:iCs/>
          <w:sz w:val="24"/>
          <w:szCs w:val="24"/>
        </w:rPr>
        <w:lastRenderedPageBreak/>
        <w:t>While we recognise the committee is aware of past practice with regards to implementation of stopping rule</w:t>
      </w:r>
      <w:r w:rsidR="007A387B">
        <w:rPr>
          <w:rFonts w:cstheme="minorBidi"/>
          <w:iCs/>
          <w:sz w:val="24"/>
          <w:szCs w:val="24"/>
        </w:rPr>
        <w:t xml:space="preserve">s in immunotherapies after platinum-based chemotherapy in urothelial cancer, what </w:t>
      </w:r>
      <w:r>
        <w:rPr>
          <w:rFonts w:cstheme="minorBidi"/>
          <w:iCs/>
          <w:sz w:val="24"/>
          <w:szCs w:val="24"/>
        </w:rPr>
        <w:t>we contest strongly is the rationale the committee have provided for their decision to reject a stopping rule for avelumab.</w:t>
      </w:r>
    </w:p>
    <w:p w14:paraId="082CE44C" w14:textId="43ACFFF7" w:rsidR="0061097B" w:rsidRDefault="0061097B" w:rsidP="0061097B">
      <w:pPr>
        <w:spacing w:before="120" w:line="276" w:lineRule="auto"/>
        <w:jc w:val="both"/>
        <w:rPr>
          <w:rFonts w:cstheme="minorBidi"/>
          <w:iCs/>
          <w:sz w:val="24"/>
          <w:szCs w:val="24"/>
        </w:rPr>
      </w:pPr>
      <w:r>
        <w:rPr>
          <w:rFonts w:cstheme="minorBidi"/>
          <w:iCs/>
          <w:sz w:val="24"/>
          <w:szCs w:val="24"/>
        </w:rPr>
        <w:t xml:space="preserve">You state that, if two appraisals are “sufficiently similar” an obligation of consistency arises, and reasons for any apparent inconsistency </w:t>
      </w:r>
      <w:r w:rsidR="00E03703">
        <w:rPr>
          <w:rFonts w:cstheme="minorBidi"/>
          <w:iCs/>
          <w:sz w:val="24"/>
          <w:szCs w:val="24"/>
        </w:rPr>
        <w:t>must</w:t>
      </w:r>
      <w:r>
        <w:rPr>
          <w:rFonts w:cstheme="minorBidi"/>
          <w:iCs/>
          <w:sz w:val="24"/>
          <w:szCs w:val="24"/>
        </w:rPr>
        <w:t xml:space="preserve"> be stated. We agree with your conclusion, however in certain important respects the </w:t>
      </w:r>
      <w:r w:rsidR="00270D64">
        <w:rPr>
          <w:rFonts w:cstheme="minorBidi"/>
          <w:iCs/>
          <w:sz w:val="24"/>
          <w:szCs w:val="24"/>
        </w:rPr>
        <w:t>c</w:t>
      </w:r>
      <w:r>
        <w:rPr>
          <w:rFonts w:cstheme="minorBidi"/>
          <w:iCs/>
          <w:sz w:val="24"/>
          <w:szCs w:val="24"/>
        </w:rPr>
        <w:t xml:space="preserve">ommittee in this appraisal has failed to provide such reasoning. In particular, while the </w:t>
      </w:r>
      <w:r w:rsidR="00270D64">
        <w:rPr>
          <w:rFonts w:cstheme="minorBidi"/>
          <w:iCs/>
          <w:sz w:val="24"/>
          <w:szCs w:val="24"/>
        </w:rPr>
        <w:t>c</w:t>
      </w:r>
      <w:r>
        <w:rPr>
          <w:rFonts w:cstheme="minorBidi"/>
          <w:iCs/>
          <w:sz w:val="24"/>
          <w:szCs w:val="24"/>
        </w:rPr>
        <w:t>ommittee has provided lengthy reasons for its decision to depart from the stopping rules applied in certain IO technologies, the reasons given do not apply to TA525 (</w:t>
      </w:r>
      <w:r w:rsidR="00E03703">
        <w:rPr>
          <w:rFonts w:cstheme="minorBidi"/>
          <w:iCs/>
          <w:sz w:val="24"/>
          <w:szCs w:val="24"/>
        </w:rPr>
        <w:t>atezolizumab</w:t>
      </w:r>
      <w:r>
        <w:rPr>
          <w:rFonts w:cstheme="minorBidi"/>
          <w:iCs/>
          <w:sz w:val="24"/>
          <w:szCs w:val="24"/>
        </w:rPr>
        <w:t xml:space="preserve"> for treating locally advanced or metastatic urothelial carcinoma after platinum-containing chemotherapy). They have accordingly provided no explanation for the inconsistency in approach with TA525, despite the high level of similarity to the current appraisal of avelumab. </w:t>
      </w:r>
    </w:p>
    <w:p w14:paraId="5BCC5FEA" w14:textId="718EBCA5" w:rsidR="008A3DB3" w:rsidRDefault="007A387B" w:rsidP="008A3DB3">
      <w:pPr>
        <w:spacing w:before="120" w:line="276" w:lineRule="auto"/>
        <w:jc w:val="both"/>
        <w:rPr>
          <w:rFonts w:cstheme="minorBidi"/>
          <w:iCs/>
          <w:sz w:val="24"/>
          <w:szCs w:val="24"/>
        </w:rPr>
      </w:pPr>
      <w:r>
        <w:rPr>
          <w:rFonts w:cstheme="minorBidi"/>
          <w:iCs/>
          <w:sz w:val="24"/>
          <w:szCs w:val="24"/>
        </w:rPr>
        <w:t xml:space="preserve">We have outlined our argument in detail in our appeal letter. </w:t>
      </w:r>
      <w:r w:rsidR="00E03703">
        <w:rPr>
          <w:rFonts w:cstheme="minorBidi"/>
          <w:iCs/>
          <w:sz w:val="24"/>
          <w:szCs w:val="24"/>
        </w:rPr>
        <w:t>However,</w:t>
      </w:r>
      <w:r>
        <w:rPr>
          <w:rFonts w:cstheme="minorBidi"/>
          <w:iCs/>
          <w:sz w:val="24"/>
          <w:szCs w:val="24"/>
        </w:rPr>
        <w:t xml:space="preserve"> to </w:t>
      </w:r>
      <w:r w:rsidR="008A3DB3">
        <w:rPr>
          <w:rFonts w:cstheme="minorBidi"/>
          <w:iCs/>
          <w:sz w:val="24"/>
          <w:szCs w:val="24"/>
        </w:rPr>
        <w:t xml:space="preserve">briefly </w:t>
      </w:r>
      <w:r>
        <w:rPr>
          <w:rFonts w:cstheme="minorBidi"/>
          <w:iCs/>
          <w:sz w:val="24"/>
          <w:szCs w:val="24"/>
        </w:rPr>
        <w:t>reiterate the key inconsistencies with TA525:</w:t>
      </w:r>
    </w:p>
    <w:p w14:paraId="669C54BE" w14:textId="77777777" w:rsidR="0039611D" w:rsidRPr="0039611D" w:rsidRDefault="008A3DB3" w:rsidP="008A3DB3">
      <w:pPr>
        <w:pStyle w:val="ListParagraph"/>
        <w:numPr>
          <w:ilvl w:val="0"/>
          <w:numId w:val="26"/>
        </w:numPr>
        <w:spacing w:before="120" w:line="276" w:lineRule="auto"/>
        <w:jc w:val="both"/>
        <w:rPr>
          <w:rFonts w:cstheme="minorBidi"/>
          <w:iCs/>
          <w:sz w:val="24"/>
          <w:szCs w:val="24"/>
        </w:rPr>
      </w:pPr>
      <w:r>
        <w:rPr>
          <w:rFonts w:cstheme="minorBidi"/>
          <w:iCs/>
          <w:sz w:val="24"/>
          <w:szCs w:val="24"/>
        </w:rPr>
        <w:t xml:space="preserve">In paragraph 3.8 of the FAD, the committee </w:t>
      </w:r>
      <w:r w:rsidR="00E95537">
        <w:rPr>
          <w:rFonts w:cstheme="minorBidi"/>
          <w:iCs/>
          <w:sz w:val="24"/>
          <w:szCs w:val="24"/>
        </w:rPr>
        <w:t>“</w:t>
      </w:r>
      <w:r w:rsidR="00E95537" w:rsidRPr="00DC4547">
        <w:rPr>
          <w:rFonts w:ascii="Times New Roman" w:hAnsi="Times New Roman"/>
          <w:i/>
          <w:iCs/>
        </w:rPr>
        <w:t>was concerned that it would be difficult for patients to accept that they would no longer be able to have treatment after 2 years if they were free from disease, and they may fear losing treatment benefit”</w:t>
      </w:r>
      <w:r w:rsidR="00E95537">
        <w:rPr>
          <w:rFonts w:ascii="Times New Roman" w:hAnsi="Times New Roman"/>
          <w:i/>
          <w:iCs/>
        </w:rPr>
        <w:t xml:space="preserve">. </w:t>
      </w:r>
    </w:p>
    <w:p w14:paraId="651C82DE" w14:textId="4EEB4F2A" w:rsidR="0061097B" w:rsidRDefault="0061097B" w:rsidP="0061097B">
      <w:pPr>
        <w:pStyle w:val="ListParagraph"/>
        <w:spacing w:before="120" w:line="276" w:lineRule="auto"/>
        <w:jc w:val="both"/>
        <w:rPr>
          <w:rFonts w:cstheme="minorBidi"/>
          <w:iCs/>
          <w:sz w:val="24"/>
          <w:szCs w:val="24"/>
        </w:rPr>
      </w:pPr>
      <w:r>
        <w:rPr>
          <w:rFonts w:cstheme="minorBidi"/>
          <w:iCs/>
          <w:sz w:val="24"/>
          <w:szCs w:val="24"/>
        </w:rPr>
        <w:t xml:space="preserve">The </w:t>
      </w:r>
      <w:r w:rsidR="00270D64">
        <w:rPr>
          <w:rFonts w:cstheme="minorBidi"/>
          <w:iCs/>
          <w:sz w:val="24"/>
          <w:szCs w:val="24"/>
        </w:rPr>
        <w:t>c</w:t>
      </w:r>
      <w:r>
        <w:rPr>
          <w:rFonts w:cstheme="minorBidi"/>
          <w:iCs/>
          <w:sz w:val="24"/>
          <w:szCs w:val="24"/>
        </w:rPr>
        <w:t xml:space="preserve">ommittee provides no explanation </w:t>
      </w:r>
      <w:r w:rsidR="00270D64">
        <w:rPr>
          <w:rFonts w:cstheme="minorBidi"/>
          <w:iCs/>
          <w:sz w:val="24"/>
          <w:szCs w:val="24"/>
        </w:rPr>
        <w:t>as to why</w:t>
      </w:r>
      <w:r>
        <w:rPr>
          <w:rFonts w:cstheme="minorBidi"/>
          <w:iCs/>
          <w:sz w:val="24"/>
          <w:szCs w:val="24"/>
        </w:rPr>
        <w:t xml:space="preserve"> it would be difficult for patients to discontinue therapy with avelumab after two years (contrary to the evidence from clinicians and patient experts that this would be accepted if it enabled access to avelumab) </w:t>
      </w:r>
      <w:r w:rsidRPr="003520BC">
        <w:rPr>
          <w:rFonts w:cstheme="minorBidi"/>
          <w:iCs/>
          <w:sz w:val="24"/>
          <w:szCs w:val="24"/>
        </w:rPr>
        <w:t xml:space="preserve">despite accepting a stopping rule requiring patients to discontinue </w:t>
      </w:r>
      <w:r>
        <w:rPr>
          <w:rFonts w:cstheme="minorBidi"/>
          <w:iCs/>
          <w:sz w:val="24"/>
          <w:szCs w:val="24"/>
        </w:rPr>
        <w:t>atezolizumab, after a similar period in TA525</w:t>
      </w:r>
      <w:r w:rsidRPr="0039611D">
        <w:rPr>
          <w:rFonts w:cstheme="minorBidi"/>
          <w:iCs/>
          <w:sz w:val="24"/>
          <w:szCs w:val="24"/>
        </w:rPr>
        <w:t>.</w:t>
      </w:r>
    </w:p>
    <w:p w14:paraId="450E7380" w14:textId="77777777" w:rsidR="0039611D" w:rsidRDefault="007A387B" w:rsidP="00E95537">
      <w:pPr>
        <w:pStyle w:val="ListParagraph"/>
        <w:numPr>
          <w:ilvl w:val="0"/>
          <w:numId w:val="26"/>
        </w:numPr>
        <w:spacing w:before="120" w:line="276" w:lineRule="auto"/>
        <w:jc w:val="both"/>
        <w:rPr>
          <w:rFonts w:cstheme="minorBidi"/>
          <w:iCs/>
          <w:sz w:val="24"/>
          <w:szCs w:val="24"/>
        </w:rPr>
      </w:pPr>
      <w:r w:rsidRPr="00E95537">
        <w:rPr>
          <w:rFonts w:cstheme="minorBidi"/>
          <w:iCs/>
          <w:sz w:val="24"/>
          <w:szCs w:val="24"/>
        </w:rPr>
        <w:t>In paragraph 3.8 of the</w:t>
      </w:r>
      <w:r w:rsidRPr="00537BF8">
        <w:rPr>
          <w:rFonts w:cstheme="minorBidi"/>
          <w:iCs/>
          <w:sz w:val="24"/>
          <w:szCs w:val="24"/>
        </w:rPr>
        <w:t xml:space="preserve"> FAD</w:t>
      </w:r>
      <w:r w:rsidR="008A3DB3">
        <w:rPr>
          <w:rFonts w:cstheme="minorBidi"/>
          <w:iCs/>
          <w:sz w:val="24"/>
          <w:szCs w:val="24"/>
        </w:rPr>
        <w:t>,</w:t>
      </w:r>
      <w:r w:rsidRPr="00E95537">
        <w:rPr>
          <w:rFonts w:cstheme="minorBidi"/>
          <w:iCs/>
          <w:sz w:val="24"/>
          <w:szCs w:val="24"/>
        </w:rPr>
        <w:t xml:space="preserve"> the committee expressed concern</w:t>
      </w:r>
      <w:r w:rsidRPr="00537BF8">
        <w:rPr>
          <w:rFonts w:cstheme="minorBidi"/>
          <w:iCs/>
          <w:sz w:val="24"/>
          <w:szCs w:val="24"/>
        </w:rPr>
        <w:t xml:space="preserve"> that </w:t>
      </w:r>
      <w:r w:rsidR="00E95537">
        <w:rPr>
          <w:rFonts w:cstheme="minorBidi"/>
          <w:iCs/>
          <w:sz w:val="24"/>
          <w:szCs w:val="24"/>
        </w:rPr>
        <w:t>“</w:t>
      </w:r>
      <w:r w:rsidR="00E95537">
        <w:rPr>
          <w:rFonts w:ascii="Times New Roman" w:hAnsi="Times New Roman"/>
          <w:i/>
          <w:iCs/>
        </w:rPr>
        <w:t>P</w:t>
      </w:r>
      <w:r w:rsidR="00E95537" w:rsidRPr="00DC4547">
        <w:rPr>
          <w:rFonts w:ascii="Times New Roman" w:hAnsi="Times New Roman"/>
          <w:i/>
          <w:iCs/>
        </w:rPr>
        <w:t>eople whose disease had not progressed before needing to stop avelumab would not be able to have another immunotherapy in the NHS”</w:t>
      </w:r>
      <w:r w:rsidR="00E95537">
        <w:rPr>
          <w:rFonts w:ascii="Times New Roman" w:hAnsi="Times New Roman"/>
          <w:i/>
          <w:iCs/>
        </w:rPr>
        <w:t>.</w:t>
      </w:r>
    </w:p>
    <w:p w14:paraId="0986196C" w14:textId="012035B8" w:rsidR="00E95537" w:rsidRPr="005B2C00" w:rsidRDefault="00FF3773" w:rsidP="0039611D">
      <w:pPr>
        <w:pStyle w:val="ListParagraph"/>
        <w:spacing w:before="120" w:line="276" w:lineRule="auto"/>
        <w:jc w:val="both"/>
        <w:rPr>
          <w:rFonts w:cstheme="minorBidi"/>
          <w:iCs/>
          <w:sz w:val="24"/>
          <w:szCs w:val="24"/>
        </w:rPr>
      </w:pPr>
      <w:r>
        <w:rPr>
          <w:rFonts w:cstheme="minorBidi"/>
          <w:iCs/>
          <w:sz w:val="24"/>
          <w:szCs w:val="24"/>
        </w:rPr>
        <w:t>However,</w:t>
      </w:r>
      <w:r w:rsidR="00E95537">
        <w:rPr>
          <w:rFonts w:cstheme="minorBidi"/>
          <w:iCs/>
          <w:sz w:val="24"/>
          <w:szCs w:val="24"/>
        </w:rPr>
        <w:t xml:space="preserve"> this</w:t>
      </w:r>
      <w:r w:rsidR="008A3DB3">
        <w:rPr>
          <w:rFonts w:cstheme="minorBidi"/>
          <w:iCs/>
          <w:sz w:val="24"/>
          <w:szCs w:val="24"/>
        </w:rPr>
        <w:t xml:space="preserve"> </w:t>
      </w:r>
      <w:r w:rsidR="008A3DB3" w:rsidRPr="0039611D">
        <w:rPr>
          <w:rFonts w:cstheme="minorBidi"/>
          <w:iCs/>
          <w:sz w:val="24"/>
          <w:szCs w:val="24"/>
        </w:rPr>
        <w:t>is also true for patients receiving atezolizumab for treating locally advanced or metastatic urothelial carcinoma after platinum-containing chemotherapy</w:t>
      </w:r>
      <w:r>
        <w:rPr>
          <w:rFonts w:cstheme="minorBidi"/>
          <w:iCs/>
          <w:sz w:val="24"/>
          <w:szCs w:val="24"/>
        </w:rPr>
        <w:t>,</w:t>
      </w:r>
      <w:r w:rsidR="00E95537">
        <w:rPr>
          <w:rFonts w:cstheme="minorBidi"/>
          <w:iCs/>
          <w:sz w:val="24"/>
          <w:szCs w:val="24"/>
        </w:rPr>
        <w:t xml:space="preserve"> </w:t>
      </w:r>
      <w:r w:rsidR="0061097B">
        <w:rPr>
          <w:rFonts w:cstheme="minorBidi"/>
          <w:iCs/>
          <w:sz w:val="24"/>
          <w:szCs w:val="24"/>
        </w:rPr>
        <w:t>yet this did not preclude acceptance of a stopping rule in TA525</w:t>
      </w:r>
      <w:r>
        <w:rPr>
          <w:rFonts w:cstheme="minorBidi"/>
          <w:iCs/>
          <w:sz w:val="24"/>
          <w:szCs w:val="24"/>
        </w:rPr>
        <w:t>.</w:t>
      </w:r>
      <w:r w:rsidR="00E95537">
        <w:rPr>
          <w:rFonts w:cstheme="minorBidi"/>
          <w:iCs/>
          <w:sz w:val="24"/>
          <w:szCs w:val="24"/>
        </w:rPr>
        <w:t xml:space="preserve"> </w:t>
      </w:r>
    </w:p>
    <w:p w14:paraId="74E99538" w14:textId="77777777" w:rsidR="0039611D" w:rsidRDefault="00E95537" w:rsidP="000263D0">
      <w:pPr>
        <w:pStyle w:val="ListParagraph"/>
        <w:numPr>
          <w:ilvl w:val="0"/>
          <w:numId w:val="26"/>
        </w:numPr>
        <w:spacing w:before="120" w:line="276" w:lineRule="auto"/>
        <w:jc w:val="both"/>
        <w:rPr>
          <w:rFonts w:cstheme="minorBidi"/>
          <w:iCs/>
          <w:sz w:val="24"/>
          <w:szCs w:val="24"/>
        </w:rPr>
      </w:pPr>
      <w:r w:rsidRPr="00537BF8">
        <w:rPr>
          <w:rFonts w:cstheme="minorBidi"/>
          <w:iCs/>
        </w:rPr>
        <w:t>I</w:t>
      </w:r>
      <w:r w:rsidRPr="00537BF8">
        <w:rPr>
          <w:rFonts w:cstheme="minorBidi"/>
          <w:iCs/>
          <w:sz w:val="24"/>
          <w:szCs w:val="24"/>
        </w:rPr>
        <w:t>n paragraph 3.8 of the FAD, the committee stated that it</w:t>
      </w:r>
      <w:r w:rsidRPr="00435F0B">
        <w:rPr>
          <w:rFonts w:cstheme="minorBidi"/>
          <w:iCs/>
          <w:sz w:val="24"/>
          <w:szCs w:val="24"/>
        </w:rPr>
        <w:t xml:space="preserve"> </w:t>
      </w:r>
      <w:r w:rsidRPr="007221DE">
        <w:rPr>
          <w:rFonts w:ascii="Times New Roman" w:hAnsi="Times New Roman"/>
          <w:i/>
          <w:iCs/>
        </w:rPr>
        <w:t>“</w:t>
      </w:r>
      <w:r w:rsidRPr="00537BF8">
        <w:rPr>
          <w:rFonts w:ascii="Times New Roman" w:hAnsi="Times New Roman"/>
          <w:i/>
          <w:iCs/>
        </w:rPr>
        <w:t>I</w:t>
      </w:r>
      <w:r w:rsidR="00537BF8" w:rsidRPr="00537BF8">
        <w:rPr>
          <w:rFonts w:ascii="Times New Roman" w:hAnsi="Times New Roman"/>
          <w:i/>
          <w:iCs/>
        </w:rPr>
        <w:t>n</w:t>
      </w:r>
      <w:r w:rsidRPr="00537BF8">
        <w:rPr>
          <w:rFonts w:ascii="Times New Roman" w:hAnsi="Times New Roman"/>
          <w:i/>
          <w:iCs/>
        </w:rPr>
        <w:t xml:space="preserve"> these </w:t>
      </w:r>
      <w:r w:rsidR="00537BF8" w:rsidRPr="00537BF8">
        <w:rPr>
          <w:rFonts w:ascii="Times New Roman" w:hAnsi="Times New Roman"/>
          <w:i/>
          <w:iCs/>
        </w:rPr>
        <w:t xml:space="preserve">[prior] </w:t>
      </w:r>
      <w:r w:rsidRPr="00537BF8">
        <w:rPr>
          <w:rFonts w:ascii="Times New Roman" w:hAnsi="Times New Roman"/>
          <w:i/>
          <w:iCs/>
        </w:rPr>
        <w:t>technology appraisal</w:t>
      </w:r>
      <w:r w:rsidR="00537BF8" w:rsidRPr="00435F0B">
        <w:rPr>
          <w:rFonts w:ascii="Times New Roman" w:hAnsi="Times New Roman"/>
          <w:i/>
          <w:iCs/>
        </w:rPr>
        <w:t>s, a stopping rule was included in the trial</w:t>
      </w:r>
      <w:r w:rsidR="00537BF8" w:rsidRPr="00F64BD4">
        <w:rPr>
          <w:rFonts w:ascii="Times New Roman" w:hAnsi="Times New Roman"/>
          <w:i/>
          <w:iCs/>
        </w:rPr>
        <w:t>, or the committee</w:t>
      </w:r>
      <w:r w:rsidRPr="00537BF8">
        <w:rPr>
          <w:rFonts w:ascii="Times New Roman" w:hAnsi="Times New Roman"/>
          <w:i/>
          <w:iCs/>
        </w:rPr>
        <w:t xml:space="preserve"> </w:t>
      </w:r>
      <w:r w:rsidRPr="007221DE">
        <w:rPr>
          <w:rFonts w:ascii="Times New Roman" w:hAnsi="Times New Roman"/>
          <w:i/>
          <w:iCs/>
        </w:rPr>
        <w:t>was able to generalise these results to other treatments in the same class used in the same populations and settings. It considered that there was no similar evidence here to support a stopping rule, since JAVELIN Bladder 100 did not include one and the setting and population in this technology appraisal was different to others in this disease area</w:t>
      </w:r>
      <w:r w:rsidR="00537BF8" w:rsidRPr="007221DE">
        <w:rPr>
          <w:rFonts w:cstheme="minorBidi"/>
          <w:iCs/>
          <w:sz w:val="24"/>
          <w:szCs w:val="24"/>
        </w:rPr>
        <w:t xml:space="preserve">”. </w:t>
      </w:r>
    </w:p>
    <w:p w14:paraId="16660D3D" w14:textId="795271DE" w:rsidR="00FF3773" w:rsidRDefault="00537BF8" w:rsidP="0039611D">
      <w:pPr>
        <w:pStyle w:val="ListParagraph"/>
        <w:spacing w:before="120" w:line="276" w:lineRule="auto"/>
        <w:jc w:val="both"/>
        <w:rPr>
          <w:rFonts w:cstheme="minorBidi"/>
          <w:iCs/>
          <w:sz w:val="24"/>
          <w:szCs w:val="24"/>
        </w:rPr>
      </w:pPr>
      <w:r w:rsidRPr="00537BF8">
        <w:rPr>
          <w:rFonts w:cstheme="minorBidi"/>
          <w:iCs/>
          <w:sz w:val="24"/>
          <w:szCs w:val="24"/>
        </w:rPr>
        <w:t>W</w:t>
      </w:r>
      <w:r w:rsidRPr="007221DE">
        <w:rPr>
          <w:rFonts w:cstheme="minorBidi"/>
          <w:iCs/>
          <w:sz w:val="24"/>
          <w:szCs w:val="24"/>
        </w:rPr>
        <w:t xml:space="preserve">hile the patient population </w:t>
      </w:r>
      <w:r w:rsidR="00FF3773">
        <w:rPr>
          <w:rFonts w:cstheme="minorBidi"/>
          <w:iCs/>
          <w:sz w:val="24"/>
          <w:szCs w:val="24"/>
        </w:rPr>
        <w:t>considered in the context of the current appraisal</w:t>
      </w:r>
      <w:r w:rsidRPr="007221DE">
        <w:rPr>
          <w:rFonts w:cstheme="minorBidi"/>
          <w:iCs/>
          <w:sz w:val="24"/>
          <w:szCs w:val="24"/>
        </w:rPr>
        <w:t xml:space="preserve"> is not </w:t>
      </w:r>
      <w:r w:rsidR="00FF3773">
        <w:rPr>
          <w:rFonts w:cstheme="minorBidi"/>
          <w:iCs/>
          <w:sz w:val="24"/>
          <w:szCs w:val="24"/>
        </w:rPr>
        <w:t>identical to that in</w:t>
      </w:r>
      <w:r w:rsidRPr="007221DE">
        <w:rPr>
          <w:rFonts w:cstheme="minorBidi"/>
          <w:iCs/>
          <w:sz w:val="24"/>
          <w:szCs w:val="24"/>
        </w:rPr>
        <w:t xml:space="preserve"> TA525, </w:t>
      </w:r>
      <w:r w:rsidR="009B696B">
        <w:rPr>
          <w:rFonts w:cstheme="minorBidi"/>
          <w:iCs/>
          <w:sz w:val="24"/>
          <w:szCs w:val="24"/>
        </w:rPr>
        <w:t>both</w:t>
      </w:r>
      <w:r w:rsidRPr="007221DE">
        <w:rPr>
          <w:rFonts w:cstheme="minorBidi"/>
          <w:iCs/>
          <w:sz w:val="24"/>
          <w:szCs w:val="24"/>
        </w:rPr>
        <w:t xml:space="preserve"> represent </w:t>
      </w:r>
      <w:r w:rsidR="009B696B">
        <w:rPr>
          <w:rFonts w:cstheme="minorBidi"/>
          <w:iCs/>
          <w:sz w:val="24"/>
          <w:szCs w:val="24"/>
        </w:rPr>
        <w:t xml:space="preserve">patients with locally advanced or metastatic urothelial carcinoma after treatment with first-line platinum-containing chemotherapy. </w:t>
      </w:r>
    </w:p>
    <w:p w14:paraId="5B3854FF" w14:textId="7A75548D" w:rsidR="00430D83" w:rsidRDefault="00FF3773" w:rsidP="00430D83">
      <w:pPr>
        <w:pStyle w:val="ListParagraph"/>
        <w:numPr>
          <w:ilvl w:val="0"/>
          <w:numId w:val="29"/>
        </w:numPr>
        <w:spacing w:before="120" w:line="276" w:lineRule="auto"/>
        <w:jc w:val="both"/>
        <w:rPr>
          <w:rFonts w:cstheme="minorBidi"/>
          <w:iCs/>
          <w:sz w:val="24"/>
          <w:szCs w:val="24"/>
        </w:rPr>
      </w:pPr>
      <w:r w:rsidRPr="00430D83">
        <w:rPr>
          <w:rFonts w:cstheme="minorBidi"/>
          <w:iCs/>
          <w:sz w:val="24"/>
          <w:szCs w:val="24"/>
        </w:rPr>
        <w:lastRenderedPageBreak/>
        <w:t>The patient populations for atezoli</w:t>
      </w:r>
      <w:r w:rsidR="001D55CA" w:rsidRPr="00430D83">
        <w:rPr>
          <w:rFonts w:cstheme="minorBidi"/>
          <w:iCs/>
          <w:sz w:val="24"/>
          <w:szCs w:val="24"/>
        </w:rPr>
        <w:t>z</w:t>
      </w:r>
      <w:r w:rsidRPr="00430D83">
        <w:rPr>
          <w:rFonts w:cstheme="minorBidi"/>
          <w:iCs/>
          <w:sz w:val="24"/>
          <w:szCs w:val="24"/>
        </w:rPr>
        <w:t xml:space="preserve">umab and avelumab are so similar that it is more than reasonable to conclude the population eligible for avelumab is generalisable to the population in TA525 and the appraisal committee has provided no reasons for any different conclusion. </w:t>
      </w:r>
      <w:r w:rsidR="009B696B" w:rsidRPr="00430D83">
        <w:rPr>
          <w:rFonts w:cstheme="minorBidi"/>
          <w:iCs/>
          <w:sz w:val="24"/>
          <w:szCs w:val="24"/>
        </w:rPr>
        <w:t>The population eligible for first-line maintenance therapy with avelumab represents a sub-population of the patients eligible for atezolizumab</w:t>
      </w:r>
      <w:r w:rsidR="00A51532" w:rsidRPr="00430D83">
        <w:rPr>
          <w:rFonts w:cstheme="minorBidi"/>
          <w:iCs/>
          <w:sz w:val="24"/>
          <w:szCs w:val="24"/>
        </w:rPr>
        <w:t xml:space="preserve"> after platinum-containing chemotherapy</w:t>
      </w:r>
      <w:r w:rsidR="009B696B" w:rsidRPr="00430D83">
        <w:rPr>
          <w:rFonts w:cstheme="minorBidi"/>
          <w:iCs/>
          <w:sz w:val="24"/>
          <w:szCs w:val="24"/>
        </w:rPr>
        <w:t xml:space="preserve">. </w:t>
      </w:r>
    </w:p>
    <w:p w14:paraId="2EEDE143" w14:textId="58EBF9E9" w:rsidR="009B696B" w:rsidRPr="00430D83" w:rsidRDefault="00FF3773" w:rsidP="00430D83">
      <w:pPr>
        <w:pStyle w:val="ListParagraph"/>
        <w:numPr>
          <w:ilvl w:val="0"/>
          <w:numId w:val="29"/>
        </w:numPr>
        <w:spacing w:before="120" w:line="276" w:lineRule="auto"/>
        <w:jc w:val="both"/>
        <w:rPr>
          <w:rFonts w:cstheme="minorBidi"/>
          <w:iCs/>
          <w:sz w:val="24"/>
          <w:szCs w:val="24"/>
        </w:rPr>
      </w:pPr>
      <w:r w:rsidRPr="00430D83">
        <w:rPr>
          <w:rFonts w:cstheme="minorBidi"/>
          <w:iCs/>
          <w:sz w:val="24"/>
          <w:szCs w:val="24"/>
        </w:rPr>
        <w:t>Like JAVELIN Bladder 100</w:t>
      </w:r>
      <w:r w:rsidR="00695799" w:rsidRPr="00430D83">
        <w:rPr>
          <w:rFonts w:cstheme="minorBidi"/>
          <w:iCs/>
          <w:sz w:val="24"/>
          <w:szCs w:val="24"/>
        </w:rPr>
        <w:t>,</w:t>
      </w:r>
      <w:r w:rsidR="009B696B" w:rsidRPr="00430D83">
        <w:rPr>
          <w:rFonts w:cstheme="minorBidi"/>
          <w:iCs/>
          <w:sz w:val="24"/>
          <w:szCs w:val="24"/>
        </w:rPr>
        <w:t xml:space="preserve"> </w:t>
      </w:r>
      <w:r w:rsidR="001D55CA" w:rsidRPr="00430D83">
        <w:rPr>
          <w:rFonts w:cstheme="minorBidi"/>
          <w:iCs/>
          <w:sz w:val="24"/>
          <w:szCs w:val="24"/>
        </w:rPr>
        <w:t>t</w:t>
      </w:r>
      <w:r w:rsidR="00435F0B" w:rsidRPr="00430D83">
        <w:rPr>
          <w:rFonts w:cstheme="minorBidi"/>
          <w:iCs/>
          <w:sz w:val="24"/>
          <w:szCs w:val="24"/>
        </w:rPr>
        <w:t xml:space="preserve">he IMvigor trials for atezolizumab did not include a stopping rule and yet this was not a barrier </w:t>
      </w:r>
      <w:r w:rsidR="001D55CA" w:rsidRPr="00430D83">
        <w:rPr>
          <w:rFonts w:cstheme="minorBidi"/>
          <w:iCs/>
          <w:sz w:val="24"/>
          <w:szCs w:val="24"/>
        </w:rPr>
        <w:t>to</w:t>
      </w:r>
      <w:r w:rsidR="00435F0B" w:rsidRPr="00430D83">
        <w:rPr>
          <w:rFonts w:cstheme="minorBidi"/>
          <w:iCs/>
          <w:sz w:val="24"/>
          <w:szCs w:val="24"/>
        </w:rPr>
        <w:t xml:space="preserve"> the committee accepting a 2-year stopping rule in TA525.</w:t>
      </w:r>
    </w:p>
    <w:p w14:paraId="7C1532A7" w14:textId="71F34B2C" w:rsidR="00615BF5" w:rsidRPr="00270D64" w:rsidRDefault="006E3C70" w:rsidP="00537BF8">
      <w:pPr>
        <w:spacing w:before="120" w:line="276" w:lineRule="auto"/>
        <w:jc w:val="both"/>
        <w:rPr>
          <w:rFonts w:cstheme="minorBidi"/>
          <w:iCs/>
          <w:sz w:val="24"/>
          <w:szCs w:val="24"/>
        </w:rPr>
      </w:pPr>
      <w:r>
        <w:rPr>
          <w:rFonts w:cstheme="minorBidi"/>
          <w:iCs/>
          <w:sz w:val="24"/>
          <w:szCs w:val="24"/>
        </w:rPr>
        <w:t xml:space="preserve">To </w:t>
      </w:r>
      <w:r w:rsidR="008C30CA">
        <w:rPr>
          <w:rFonts w:cstheme="minorBidi"/>
          <w:iCs/>
          <w:sz w:val="24"/>
          <w:szCs w:val="24"/>
        </w:rPr>
        <w:t>summarise</w:t>
      </w:r>
      <w:r>
        <w:rPr>
          <w:rFonts w:cstheme="minorBidi"/>
          <w:iCs/>
          <w:sz w:val="24"/>
          <w:szCs w:val="24"/>
        </w:rPr>
        <w:t xml:space="preserve">, the </w:t>
      </w:r>
      <w:r w:rsidR="00270D64">
        <w:rPr>
          <w:rFonts w:cstheme="minorBidi"/>
          <w:iCs/>
          <w:sz w:val="24"/>
          <w:szCs w:val="24"/>
        </w:rPr>
        <w:t>c</w:t>
      </w:r>
      <w:r>
        <w:rPr>
          <w:rFonts w:cstheme="minorBidi"/>
          <w:iCs/>
          <w:sz w:val="24"/>
          <w:szCs w:val="24"/>
        </w:rPr>
        <w:t>ommittee</w:t>
      </w:r>
      <w:r w:rsidR="00615BF5">
        <w:rPr>
          <w:rFonts w:cstheme="minorBidi"/>
          <w:iCs/>
          <w:sz w:val="24"/>
          <w:szCs w:val="24"/>
        </w:rPr>
        <w:t>’s reasons</w:t>
      </w:r>
      <w:r>
        <w:rPr>
          <w:rFonts w:cstheme="minorBidi"/>
          <w:iCs/>
          <w:sz w:val="24"/>
          <w:szCs w:val="24"/>
        </w:rPr>
        <w:t xml:space="preserve"> for rejecting a stopping rule in this appraisal</w:t>
      </w:r>
      <w:r w:rsidR="00615BF5">
        <w:rPr>
          <w:rFonts w:cstheme="minorBidi"/>
          <w:iCs/>
          <w:sz w:val="24"/>
          <w:szCs w:val="24"/>
        </w:rPr>
        <w:t xml:space="preserve"> have disregarded</w:t>
      </w:r>
      <w:r>
        <w:rPr>
          <w:rFonts w:cstheme="minorBidi"/>
          <w:iCs/>
          <w:sz w:val="24"/>
          <w:szCs w:val="24"/>
        </w:rPr>
        <w:t xml:space="preserve"> the approach taken in TA525, despite the </w:t>
      </w:r>
      <w:r w:rsidR="00615BF5">
        <w:rPr>
          <w:rFonts w:cstheme="minorBidi"/>
          <w:iCs/>
          <w:sz w:val="24"/>
          <w:szCs w:val="24"/>
        </w:rPr>
        <w:t xml:space="preserve">very substantial </w:t>
      </w:r>
      <w:r>
        <w:rPr>
          <w:rFonts w:cstheme="minorBidi"/>
          <w:iCs/>
          <w:sz w:val="24"/>
          <w:szCs w:val="24"/>
        </w:rPr>
        <w:t>similarities in these two appraisals.</w:t>
      </w:r>
      <w:r w:rsidR="00695799" w:rsidRPr="00175DBE">
        <w:rPr>
          <w:rFonts w:cstheme="minorBidi"/>
          <w:iCs/>
          <w:sz w:val="24"/>
          <w:szCs w:val="24"/>
        </w:rPr>
        <w:t xml:space="preserve"> </w:t>
      </w:r>
      <w:r w:rsidR="00615BF5" w:rsidRPr="00175DBE">
        <w:rPr>
          <w:rFonts w:cstheme="minorBidi"/>
          <w:iCs/>
          <w:sz w:val="24"/>
          <w:szCs w:val="24"/>
        </w:rPr>
        <w:t>The fact that lengthy explanations have been given does not satisfy the requirement for procedural fairness if those explanations disregard relevant factors, including inconsistent decisions taken in other appraisals</w:t>
      </w:r>
      <w:r w:rsidR="00270D64">
        <w:rPr>
          <w:rFonts w:cstheme="minorBidi"/>
          <w:iCs/>
          <w:sz w:val="24"/>
          <w:szCs w:val="24"/>
        </w:rPr>
        <w:t>,</w:t>
      </w:r>
      <w:r w:rsidR="00615BF5" w:rsidRPr="00175DBE">
        <w:rPr>
          <w:rFonts w:cstheme="minorBidi"/>
          <w:iCs/>
          <w:sz w:val="24"/>
          <w:szCs w:val="24"/>
        </w:rPr>
        <w:t xml:space="preserve"> and are therefore inadequate.</w:t>
      </w:r>
    </w:p>
    <w:p w14:paraId="6EB06326" w14:textId="0F60848B" w:rsidR="00E24E94" w:rsidRPr="007221DE" w:rsidRDefault="00615BF5" w:rsidP="00537BF8">
      <w:pPr>
        <w:spacing w:before="120" w:line="276" w:lineRule="auto"/>
        <w:jc w:val="both"/>
        <w:rPr>
          <w:rFonts w:ascii="Times New Roman" w:hAnsi="Times New Roman" w:cstheme="minorBidi"/>
        </w:rPr>
      </w:pPr>
      <w:r w:rsidRPr="00615BF5">
        <w:rPr>
          <w:rFonts w:cstheme="minorBidi"/>
          <w:iCs/>
          <w:sz w:val="24"/>
          <w:szCs w:val="24"/>
        </w:rPr>
        <w:t xml:space="preserve">You say in your letter that we “imply that the approach taken in atezolizumab must also be taken here” but that “committees must have room to exercise those own judgment on the facts of each appraisal”. We do not disagree. However, where there is divergence from a prior decision taken in a similar situation, that must be explained, consistent with the requirements of NICE’s Guide to the Methods of Technology Appraisal set out in our appeal letter. Our point of appeal arose from the fact that the </w:t>
      </w:r>
      <w:r w:rsidR="00270D64">
        <w:rPr>
          <w:rFonts w:cstheme="minorBidi"/>
          <w:iCs/>
          <w:sz w:val="24"/>
          <w:szCs w:val="24"/>
        </w:rPr>
        <w:t>c</w:t>
      </w:r>
      <w:r w:rsidRPr="00615BF5">
        <w:rPr>
          <w:rFonts w:cstheme="minorBidi"/>
          <w:iCs/>
          <w:sz w:val="24"/>
          <w:szCs w:val="24"/>
        </w:rPr>
        <w:t>ommittee has provided no reasons for diverging from the stopping rule approach it accepted in TA525.</w:t>
      </w:r>
      <w:r>
        <w:rPr>
          <w:rFonts w:ascii="Times New Roman" w:hAnsi="Times New Roman" w:cstheme="minorBidi"/>
        </w:rPr>
        <w:t xml:space="preserve"> </w:t>
      </w:r>
    </w:p>
    <w:p w14:paraId="7FF92101" w14:textId="6ED8071B" w:rsidR="0065435C" w:rsidRDefault="0065435C" w:rsidP="0065435C">
      <w:pPr>
        <w:spacing w:before="120" w:line="276" w:lineRule="auto"/>
        <w:jc w:val="both"/>
        <w:rPr>
          <w:rFonts w:cstheme="minorBidi"/>
          <w:b/>
          <w:bCs/>
          <w:iCs/>
          <w:sz w:val="24"/>
          <w:szCs w:val="24"/>
        </w:rPr>
      </w:pPr>
      <w:r w:rsidRPr="00A60D52">
        <w:rPr>
          <w:rFonts w:cstheme="minorBidi"/>
          <w:b/>
          <w:bCs/>
          <w:iCs/>
          <w:sz w:val="24"/>
          <w:szCs w:val="24"/>
        </w:rPr>
        <w:t>1.2</w:t>
      </w:r>
      <w:r w:rsidRPr="00A60D52">
        <w:rPr>
          <w:rFonts w:cstheme="minorBidi"/>
          <w:b/>
          <w:bCs/>
          <w:iCs/>
          <w:sz w:val="24"/>
          <w:szCs w:val="24"/>
        </w:rPr>
        <w:tab/>
        <w:t>The Committee has relied upon irrelevant considerations in deciding that it would not implement a stopping rule for avelumab</w:t>
      </w:r>
    </w:p>
    <w:p w14:paraId="709579F0" w14:textId="29DE9F43" w:rsidR="00613F59" w:rsidRPr="00846FCF" w:rsidRDefault="00613F59" w:rsidP="00DC4547">
      <w:pPr>
        <w:pStyle w:val="Paragraph"/>
        <w:numPr>
          <w:ilvl w:val="0"/>
          <w:numId w:val="0"/>
        </w:numPr>
        <w:spacing w:before="120"/>
        <w:ind w:left="66"/>
        <w:jc w:val="both"/>
        <w:rPr>
          <w:rFonts w:asciiTheme="minorHAnsi" w:hAnsiTheme="minorHAnsi" w:cstheme="minorHAnsi"/>
        </w:rPr>
      </w:pPr>
      <w:r w:rsidRPr="005A102B">
        <w:rPr>
          <w:rFonts w:asciiTheme="minorHAnsi" w:hAnsiTheme="minorHAnsi" w:cstheme="minorHAnsi"/>
        </w:rPr>
        <w:t>You express the preliminary view that this point should not be referred to the Appeal Panel on the basis that</w:t>
      </w:r>
      <w:r w:rsidR="00165ED3" w:rsidRPr="005A102B">
        <w:rPr>
          <w:rFonts w:asciiTheme="minorHAnsi" w:hAnsiTheme="minorHAnsi" w:cstheme="minorHAnsi"/>
        </w:rPr>
        <w:t xml:space="preserve"> </w:t>
      </w:r>
      <w:r w:rsidR="004166A6" w:rsidRPr="005A102B">
        <w:rPr>
          <w:rFonts w:asciiTheme="minorHAnsi" w:hAnsiTheme="minorHAnsi" w:cstheme="minorHAnsi"/>
        </w:rPr>
        <w:t xml:space="preserve">you </w:t>
      </w:r>
      <w:r w:rsidR="00615BF5">
        <w:rPr>
          <w:rFonts w:asciiTheme="minorHAnsi" w:hAnsiTheme="minorHAnsi" w:cstheme="minorHAnsi"/>
        </w:rPr>
        <w:t xml:space="preserve">say that you </w:t>
      </w:r>
      <w:r w:rsidR="00165ED3" w:rsidRPr="005A102B">
        <w:rPr>
          <w:rFonts w:asciiTheme="minorHAnsi" w:hAnsiTheme="minorHAnsi" w:cstheme="minorHAnsi"/>
        </w:rPr>
        <w:t xml:space="preserve">cannot accept </w:t>
      </w:r>
      <w:r w:rsidR="00EC04CC" w:rsidRPr="005A102B">
        <w:rPr>
          <w:rFonts w:asciiTheme="minorHAnsi" w:hAnsiTheme="minorHAnsi" w:cstheme="minorHAnsi"/>
        </w:rPr>
        <w:t>that the lack of a stopping rule in the trial (and hence the SmPC)</w:t>
      </w:r>
      <w:r w:rsidR="00165ED3" w:rsidRPr="005A102B">
        <w:rPr>
          <w:rFonts w:asciiTheme="minorHAnsi" w:hAnsiTheme="minorHAnsi" w:cstheme="minorHAnsi"/>
        </w:rPr>
        <w:t xml:space="preserve"> is </w:t>
      </w:r>
      <w:r w:rsidR="00615BF5">
        <w:rPr>
          <w:rFonts w:asciiTheme="minorHAnsi" w:hAnsiTheme="minorHAnsi" w:cstheme="minorHAnsi"/>
        </w:rPr>
        <w:t>positively something which the committee must not take into account when considering</w:t>
      </w:r>
      <w:r w:rsidR="00615BF5" w:rsidRPr="005A102B" w:rsidDel="00615BF5">
        <w:rPr>
          <w:rFonts w:asciiTheme="minorHAnsi" w:hAnsiTheme="minorHAnsi" w:cstheme="minorHAnsi"/>
        </w:rPr>
        <w:t xml:space="preserve"> </w:t>
      </w:r>
      <w:r w:rsidR="00165ED3" w:rsidRPr="005A102B">
        <w:rPr>
          <w:rFonts w:asciiTheme="minorHAnsi" w:hAnsiTheme="minorHAnsi" w:cstheme="minorHAnsi"/>
        </w:rPr>
        <w:t xml:space="preserve">whether a stopping rule should be </w:t>
      </w:r>
      <w:r w:rsidR="00615BF5">
        <w:rPr>
          <w:rFonts w:asciiTheme="minorHAnsi" w:hAnsiTheme="minorHAnsi" w:cstheme="minorHAnsi"/>
        </w:rPr>
        <w:t>agreed</w:t>
      </w:r>
      <w:r w:rsidR="00615BF5" w:rsidRPr="005A102B">
        <w:rPr>
          <w:rFonts w:asciiTheme="minorHAnsi" w:hAnsiTheme="minorHAnsi" w:cstheme="minorHAnsi"/>
        </w:rPr>
        <w:t xml:space="preserve"> </w:t>
      </w:r>
      <w:r w:rsidR="00165ED3" w:rsidRPr="005A102B">
        <w:rPr>
          <w:rFonts w:asciiTheme="minorHAnsi" w:hAnsiTheme="minorHAnsi" w:cstheme="minorHAnsi"/>
        </w:rPr>
        <w:t>by NICE.</w:t>
      </w:r>
      <w:r w:rsidR="004166A6" w:rsidRPr="005A102B">
        <w:rPr>
          <w:rFonts w:asciiTheme="minorHAnsi" w:hAnsiTheme="minorHAnsi" w:cstheme="minorHAnsi"/>
        </w:rPr>
        <w:t xml:space="preserve"> </w:t>
      </w:r>
    </w:p>
    <w:p w14:paraId="01B94FE1" w14:textId="77777777" w:rsidR="00615BF5" w:rsidRDefault="00165ED3" w:rsidP="00DC4547">
      <w:pPr>
        <w:pStyle w:val="Paragraph"/>
        <w:numPr>
          <w:ilvl w:val="0"/>
          <w:numId w:val="0"/>
        </w:numPr>
        <w:spacing w:before="120"/>
        <w:ind w:left="66"/>
        <w:jc w:val="both"/>
        <w:rPr>
          <w:rFonts w:asciiTheme="minorHAnsi" w:hAnsiTheme="minorHAnsi" w:cstheme="minorHAnsi"/>
        </w:rPr>
      </w:pPr>
      <w:r w:rsidRPr="00846FCF">
        <w:rPr>
          <w:rFonts w:asciiTheme="minorHAnsi" w:hAnsiTheme="minorHAnsi" w:cstheme="minorHAnsi"/>
        </w:rPr>
        <w:t>In your letter you have given the example that if the SmPC did have a stopping rule then, unless NICE was to recommend off</w:t>
      </w:r>
      <w:r w:rsidR="008227D0">
        <w:rPr>
          <w:rFonts w:asciiTheme="minorHAnsi" w:hAnsiTheme="minorHAnsi" w:cstheme="minorHAnsi"/>
        </w:rPr>
        <w:t>-</w:t>
      </w:r>
      <w:r w:rsidRPr="00846FCF">
        <w:rPr>
          <w:rFonts w:asciiTheme="minorHAnsi" w:hAnsiTheme="minorHAnsi" w:cstheme="minorHAnsi"/>
        </w:rPr>
        <w:t xml:space="preserve">label use, its recommendation would also have a stopping rule. </w:t>
      </w:r>
    </w:p>
    <w:p w14:paraId="3BFAE46C" w14:textId="5C90A408" w:rsidR="00615BF5" w:rsidRDefault="00615BF5" w:rsidP="00615BF5">
      <w:pPr>
        <w:pStyle w:val="Paragraph"/>
        <w:numPr>
          <w:ilvl w:val="0"/>
          <w:numId w:val="0"/>
        </w:numPr>
        <w:spacing w:before="120"/>
        <w:ind w:left="66"/>
        <w:jc w:val="both"/>
        <w:rPr>
          <w:rFonts w:asciiTheme="minorHAnsi" w:hAnsiTheme="minorHAnsi" w:cstheme="minorHAnsi"/>
        </w:rPr>
      </w:pPr>
      <w:r>
        <w:rPr>
          <w:rFonts w:asciiTheme="minorHAnsi" w:hAnsiTheme="minorHAnsi" w:cstheme="minorHAnsi"/>
        </w:rPr>
        <w:t xml:space="preserve">However, the appraisal committee did not simply consider the trial data (and therefore the SmPC) in the way you suggest in your letter. Instead the appraisal committee appeared to consider that it was </w:t>
      </w:r>
      <w:r w:rsidRPr="00D7632A">
        <w:rPr>
          <w:rFonts w:asciiTheme="minorHAnsi" w:hAnsiTheme="minorHAnsi" w:cstheme="minorHAnsi"/>
          <w:u w:val="single"/>
        </w:rPr>
        <w:t>bound</w:t>
      </w:r>
      <w:r>
        <w:rPr>
          <w:rFonts w:asciiTheme="minorHAnsi" w:hAnsiTheme="minorHAnsi" w:cstheme="minorHAnsi"/>
        </w:rPr>
        <w:t xml:space="preserve"> to follow the design of the trial. The committee states at paragraph 3.8 of the FAD:</w:t>
      </w:r>
    </w:p>
    <w:p w14:paraId="2319D56F" w14:textId="77777777" w:rsidR="00615BF5" w:rsidRPr="00CA570C" w:rsidRDefault="00615BF5" w:rsidP="00615BF5">
      <w:pPr>
        <w:pStyle w:val="Paragraph"/>
        <w:numPr>
          <w:ilvl w:val="0"/>
          <w:numId w:val="0"/>
        </w:numPr>
        <w:spacing w:before="120"/>
        <w:ind w:left="720"/>
        <w:jc w:val="both"/>
        <w:rPr>
          <w:rFonts w:ascii="Times New Roman" w:eastAsiaTheme="minorHAnsi" w:hAnsi="Times New Roman" w:cs="Calibri"/>
          <w:i/>
          <w:iCs/>
          <w:sz w:val="22"/>
          <w:szCs w:val="22"/>
          <w:lang w:eastAsia="en-US"/>
        </w:rPr>
      </w:pPr>
      <w:r w:rsidRPr="00CA570C">
        <w:rPr>
          <w:rFonts w:ascii="Times New Roman" w:eastAsiaTheme="minorHAnsi" w:hAnsi="Times New Roman" w:cs="Calibri"/>
          <w:i/>
          <w:iCs/>
          <w:sz w:val="22"/>
          <w:szCs w:val="22"/>
          <w:lang w:eastAsia="en-US"/>
        </w:rPr>
        <w:t xml:space="preserve">“The committee concluded that the time to stopping treatment should reflect the trial evidence and a stopping rule should not be included in the model” </w:t>
      </w:r>
    </w:p>
    <w:p w14:paraId="62486BE8" w14:textId="77777777" w:rsidR="00270D64" w:rsidRDefault="00615BF5" w:rsidP="00270D64">
      <w:pPr>
        <w:pStyle w:val="Paragraph"/>
        <w:numPr>
          <w:ilvl w:val="0"/>
          <w:numId w:val="0"/>
        </w:numPr>
        <w:spacing w:before="120"/>
        <w:ind w:left="66"/>
        <w:jc w:val="both"/>
        <w:rPr>
          <w:rFonts w:asciiTheme="minorHAnsi" w:hAnsiTheme="minorHAnsi" w:cstheme="minorHAnsi"/>
        </w:rPr>
      </w:pPr>
      <w:r>
        <w:rPr>
          <w:rFonts w:asciiTheme="minorHAnsi" w:hAnsiTheme="minorHAnsi" w:cstheme="minorHAnsi"/>
        </w:rPr>
        <w:lastRenderedPageBreak/>
        <w:t>In other words, the fact that a stopping rule was not part of the JAVELIN Bladder 100 clinical trial, was not simply a factor taken into account by the committee. It was a fundamental reason for the decision, even though the design of the clinical trial (and SmPC) is not a relevant consideration.</w:t>
      </w:r>
      <w:r w:rsidR="00270D64">
        <w:rPr>
          <w:rFonts w:asciiTheme="minorHAnsi" w:hAnsiTheme="minorHAnsi" w:cstheme="minorHAnsi"/>
        </w:rPr>
        <w:t xml:space="preserve"> </w:t>
      </w:r>
    </w:p>
    <w:p w14:paraId="21ABA97C" w14:textId="71AFFA4F" w:rsidR="00165ED3" w:rsidRPr="00846FCF" w:rsidRDefault="00165ED3" w:rsidP="00270D64">
      <w:pPr>
        <w:pStyle w:val="Paragraph"/>
        <w:numPr>
          <w:ilvl w:val="0"/>
          <w:numId w:val="0"/>
        </w:numPr>
        <w:spacing w:before="120"/>
        <w:ind w:left="66"/>
        <w:jc w:val="both"/>
        <w:rPr>
          <w:rFonts w:asciiTheme="minorHAnsi" w:hAnsiTheme="minorHAnsi" w:cstheme="minorHAnsi"/>
        </w:rPr>
      </w:pPr>
      <w:r w:rsidRPr="00846FCF">
        <w:rPr>
          <w:rFonts w:asciiTheme="minorHAnsi" w:hAnsiTheme="minorHAnsi" w:cstheme="minorHAnsi"/>
        </w:rPr>
        <w:t>As detailed in the Merck/Pfizer Alliance appeal letter</w:t>
      </w:r>
      <w:r w:rsidR="008227D0">
        <w:rPr>
          <w:rFonts w:asciiTheme="minorHAnsi" w:hAnsiTheme="minorHAnsi" w:cstheme="minorHAnsi"/>
        </w:rPr>
        <w:t>,</w:t>
      </w:r>
      <w:r w:rsidRPr="00846FCF">
        <w:rPr>
          <w:rFonts w:asciiTheme="minorHAnsi" w:hAnsiTheme="minorHAnsi" w:cstheme="minorHAnsi"/>
        </w:rPr>
        <w:t xml:space="preserve"> NICE includes stopping rules principally for reasons related to cost-effectiveness and this can differ from the SmPC in the absence of safety concerns</w:t>
      </w:r>
      <w:r w:rsidR="00270D64">
        <w:rPr>
          <w:rFonts w:asciiTheme="minorHAnsi" w:hAnsiTheme="minorHAnsi" w:cstheme="minorHAnsi"/>
        </w:rPr>
        <w:t>.</w:t>
      </w:r>
      <w:r w:rsidR="006201D0">
        <w:rPr>
          <w:rFonts w:asciiTheme="minorHAnsi" w:hAnsiTheme="minorHAnsi" w:cstheme="minorHAnsi"/>
        </w:rPr>
        <w:t xml:space="preserve"> Furthermore, there is precedence in previous appraisals of NICE recommending a stopping rule when this is not included in the associated SmPC and trial (separately to TA525).</w:t>
      </w:r>
    </w:p>
    <w:p w14:paraId="7B4E409D" w14:textId="4021811A" w:rsidR="00165ED3" w:rsidRPr="00846FCF" w:rsidRDefault="00165ED3" w:rsidP="00DC4547">
      <w:pPr>
        <w:pStyle w:val="Paragraph"/>
        <w:numPr>
          <w:ilvl w:val="0"/>
          <w:numId w:val="0"/>
        </w:numPr>
        <w:spacing w:before="120"/>
        <w:ind w:left="66"/>
        <w:jc w:val="both"/>
        <w:rPr>
          <w:rFonts w:asciiTheme="minorHAnsi" w:hAnsiTheme="minorHAnsi" w:cstheme="minorHAnsi"/>
        </w:rPr>
      </w:pPr>
      <w:r w:rsidRPr="00846FCF">
        <w:rPr>
          <w:rFonts w:asciiTheme="minorHAnsi" w:hAnsiTheme="minorHAnsi" w:cstheme="minorHAnsi"/>
        </w:rPr>
        <w:t xml:space="preserve">Merck/Pfizer therefore believe that the reliance on the JAVELIN Bladder 100 trial and the SmPC for avelumab as reasons not to implement a stopping rule </w:t>
      </w:r>
      <w:r w:rsidR="00DA5AC4" w:rsidRPr="00846FCF">
        <w:rPr>
          <w:rFonts w:asciiTheme="minorHAnsi" w:hAnsiTheme="minorHAnsi" w:cstheme="minorHAnsi"/>
        </w:rPr>
        <w:t>is</w:t>
      </w:r>
      <w:r w:rsidRPr="00846FCF">
        <w:rPr>
          <w:rFonts w:asciiTheme="minorHAnsi" w:hAnsiTheme="minorHAnsi" w:cstheme="minorHAnsi"/>
        </w:rPr>
        <w:t xml:space="preserve"> unfair and inconsistent with prior appraisals and NICE’s procedures.</w:t>
      </w:r>
      <w:r w:rsidR="008227D0">
        <w:rPr>
          <w:rFonts w:asciiTheme="minorHAnsi" w:hAnsiTheme="minorHAnsi" w:cstheme="minorHAnsi"/>
        </w:rPr>
        <w:t xml:space="preserve"> </w:t>
      </w:r>
    </w:p>
    <w:p w14:paraId="694990DC" w14:textId="28190A57" w:rsidR="0065435C" w:rsidRDefault="0065435C" w:rsidP="0065435C">
      <w:pPr>
        <w:pStyle w:val="Paragraph"/>
        <w:numPr>
          <w:ilvl w:val="0"/>
          <w:numId w:val="0"/>
        </w:numPr>
        <w:spacing w:before="120" w:after="0"/>
        <w:jc w:val="both"/>
        <w:rPr>
          <w:rFonts w:ascii="Calibri" w:eastAsiaTheme="minorHAnsi" w:hAnsi="Calibri" w:cstheme="minorBidi"/>
          <w:b/>
          <w:bCs/>
          <w:iCs/>
          <w:lang w:eastAsia="en-US"/>
        </w:rPr>
      </w:pPr>
      <w:r w:rsidRPr="00846F0E">
        <w:rPr>
          <w:rFonts w:ascii="Times New Roman" w:hAnsi="Times New Roman" w:cstheme="minorBidi"/>
          <w:b/>
          <w:bCs/>
        </w:rPr>
        <w:t xml:space="preserve">1.3 </w:t>
      </w:r>
      <w:r>
        <w:rPr>
          <w:rFonts w:ascii="Times New Roman" w:hAnsi="Times New Roman" w:cstheme="minorBidi"/>
          <w:b/>
          <w:bCs/>
        </w:rPr>
        <w:tab/>
      </w:r>
      <w:r w:rsidRPr="001D358E">
        <w:rPr>
          <w:rFonts w:ascii="Calibri" w:eastAsiaTheme="minorHAnsi" w:hAnsi="Calibri" w:cstheme="minorBidi"/>
          <w:b/>
          <w:bCs/>
          <w:iCs/>
          <w:lang w:eastAsia="en-US"/>
        </w:rPr>
        <w:t>The Committee has provided no explanation for its concern that it would be difficult for patients to accept discontinuance of treatment after 2 years and for rejecting the evidence of the clinical and patient experts and patient organisations</w:t>
      </w:r>
    </w:p>
    <w:p w14:paraId="67EFEF69" w14:textId="56BCE2E4" w:rsidR="0008523B" w:rsidRDefault="00EC04CC" w:rsidP="00DC4547">
      <w:pPr>
        <w:pStyle w:val="Paragraph"/>
        <w:numPr>
          <w:ilvl w:val="0"/>
          <w:numId w:val="0"/>
        </w:numPr>
        <w:spacing w:before="120"/>
        <w:jc w:val="both"/>
        <w:rPr>
          <w:rFonts w:asciiTheme="minorHAnsi" w:hAnsiTheme="minorHAnsi" w:cstheme="minorHAnsi"/>
        </w:rPr>
      </w:pPr>
      <w:r w:rsidRPr="00846FCF">
        <w:rPr>
          <w:rFonts w:asciiTheme="minorHAnsi" w:hAnsiTheme="minorHAnsi" w:cstheme="minorHAnsi"/>
        </w:rPr>
        <w:t>In your</w:t>
      </w:r>
      <w:r w:rsidR="00615BF5">
        <w:rPr>
          <w:rFonts w:asciiTheme="minorHAnsi" w:hAnsiTheme="minorHAnsi" w:cstheme="minorHAnsi"/>
        </w:rPr>
        <w:t xml:space="preserve"> preliminary view</w:t>
      </w:r>
      <w:r w:rsidRPr="00846FCF">
        <w:rPr>
          <w:rFonts w:asciiTheme="minorHAnsi" w:hAnsiTheme="minorHAnsi" w:cstheme="minorHAnsi"/>
        </w:rPr>
        <w:t xml:space="preserve"> of this point, you state that you do not accept that an obligation</w:t>
      </w:r>
      <w:r w:rsidR="0008523B" w:rsidRPr="00846FCF">
        <w:rPr>
          <w:rFonts w:asciiTheme="minorHAnsi" w:hAnsiTheme="minorHAnsi" w:cstheme="minorHAnsi"/>
        </w:rPr>
        <w:t xml:space="preserve"> </w:t>
      </w:r>
      <w:r w:rsidRPr="00846FCF">
        <w:rPr>
          <w:rFonts w:asciiTheme="minorHAnsi" w:hAnsiTheme="minorHAnsi" w:cstheme="minorHAnsi"/>
        </w:rPr>
        <w:t xml:space="preserve">to give reasons </w:t>
      </w:r>
      <w:r w:rsidR="0008523B" w:rsidRPr="00846FCF">
        <w:rPr>
          <w:rFonts w:asciiTheme="minorHAnsi" w:hAnsiTheme="minorHAnsi" w:cstheme="minorHAnsi"/>
        </w:rPr>
        <w:t xml:space="preserve">extends </w:t>
      </w:r>
      <w:r w:rsidR="00615BF5">
        <w:rPr>
          <w:rFonts w:asciiTheme="minorHAnsi" w:hAnsiTheme="minorHAnsi" w:cstheme="minorHAnsi"/>
        </w:rPr>
        <w:t xml:space="preserve">not only to indicating a </w:t>
      </w:r>
      <w:r w:rsidR="00615BF5" w:rsidRPr="00846FCF">
        <w:rPr>
          <w:rFonts w:asciiTheme="minorHAnsi" w:hAnsiTheme="minorHAnsi" w:cstheme="minorHAnsi"/>
        </w:rPr>
        <w:t>disagree</w:t>
      </w:r>
      <w:r w:rsidR="00615BF5">
        <w:rPr>
          <w:rFonts w:asciiTheme="minorHAnsi" w:hAnsiTheme="minorHAnsi" w:cstheme="minorHAnsi"/>
        </w:rPr>
        <w:t xml:space="preserve">ment </w:t>
      </w:r>
      <w:r w:rsidR="00615BF5" w:rsidRPr="00846FCF">
        <w:rPr>
          <w:rFonts w:asciiTheme="minorHAnsi" w:hAnsiTheme="minorHAnsi" w:cstheme="minorHAnsi"/>
        </w:rPr>
        <w:t xml:space="preserve">with </w:t>
      </w:r>
      <w:r w:rsidR="00615BF5">
        <w:rPr>
          <w:rFonts w:asciiTheme="minorHAnsi" w:hAnsiTheme="minorHAnsi" w:cstheme="minorHAnsi"/>
        </w:rPr>
        <w:t xml:space="preserve">a certain piece of </w:t>
      </w:r>
      <w:r w:rsidR="00615BF5" w:rsidRPr="00846FCF">
        <w:rPr>
          <w:rFonts w:asciiTheme="minorHAnsi" w:hAnsiTheme="minorHAnsi" w:cstheme="minorHAnsi"/>
        </w:rPr>
        <w:t xml:space="preserve">evidence, </w:t>
      </w:r>
      <w:r w:rsidR="00615BF5">
        <w:rPr>
          <w:rFonts w:asciiTheme="minorHAnsi" w:hAnsiTheme="minorHAnsi" w:cstheme="minorHAnsi"/>
        </w:rPr>
        <w:t xml:space="preserve">but also to </w:t>
      </w:r>
      <w:r w:rsidR="00615BF5" w:rsidRPr="00846FCF">
        <w:rPr>
          <w:rFonts w:asciiTheme="minorHAnsi" w:hAnsiTheme="minorHAnsi" w:cstheme="minorHAnsi"/>
        </w:rPr>
        <w:t>giving reasons for that disagreement</w:t>
      </w:r>
      <w:r w:rsidR="00615BF5">
        <w:rPr>
          <w:rFonts w:asciiTheme="minorHAnsi" w:hAnsiTheme="minorHAnsi" w:cstheme="minorHAnsi"/>
        </w:rPr>
        <w:t>.</w:t>
      </w:r>
      <w:r w:rsidR="00BD18A1">
        <w:rPr>
          <w:rFonts w:asciiTheme="minorHAnsi" w:hAnsiTheme="minorHAnsi" w:cstheme="minorHAnsi"/>
        </w:rPr>
        <w:t xml:space="preserve"> </w:t>
      </w:r>
      <w:r w:rsidR="00615BF5">
        <w:rPr>
          <w:rFonts w:asciiTheme="minorHAnsi" w:hAnsiTheme="minorHAnsi" w:cstheme="minorHAnsi"/>
        </w:rPr>
        <w:t>We disagree</w:t>
      </w:r>
      <w:r w:rsidR="00BD18A1">
        <w:rPr>
          <w:rFonts w:asciiTheme="minorHAnsi" w:hAnsiTheme="minorHAnsi" w:cstheme="minorHAnsi"/>
        </w:rPr>
        <w:t>.</w:t>
      </w:r>
      <w:r w:rsidR="00615BF5">
        <w:rPr>
          <w:rFonts w:asciiTheme="minorHAnsi" w:hAnsiTheme="minorHAnsi" w:cstheme="minorHAnsi"/>
        </w:rPr>
        <w:t xml:space="preserve"> A fundamental part of the requirement to give reasons is to demonstrate that decisions are made for rational reasons and are not arbitrary. If reasons for disagreeing are not provided, it is not possible to test whether such disagreement is reasonable.</w:t>
      </w:r>
    </w:p>
    <w:p w14:paraId="058F2EC8" w14:textId="79AE4C2B" w:rsidR="008227D0" w:rsidRPr="00846FCF" w:rsidRDefault="00BD18A1" w:rsidP="00EC503B">
      <w:pPr>
        <w:pStyle w:val="Paragraph"/>
        <w:numPr>
          <w:ilvl w:val="0"/>
          <w:numId w:val="0"/>
        </w:numPr>
        <w:spacing w:before="120"/>
        <w:jc w:val="both"/>
        <w:rPr>
          <w:rFonts w:asciiTheme="minorHAnsi" w:hAnsiTheme="minorHAnsi" w:cstheme="minorHAnsi"/>
        </w:rPr>
      </w:pPr>
      <w:r w:rsidRPr="00846FCF">
        <w:rPr>
          <w:rFonts w:asciiTheme="minorHAnsi" w:hAnsiTheme="minorHAnsi" w:cstheme="minorHAnsi"/>
        </w:rPr>
        <w:t xml:space="preserve">In this particular example, we assume you are </w:t>
      </w:r>
      <w:r>
        <w:rPr>
          <w:rFonts w:asciiTheme="minorHAnsi" w:hAnsiTheme="minorHAnsi" w:cstheme="minorHAnsi"/>
        </w:rPr>
        <w:t xml:space="preserve">suggesting </w:t>
      </w:r>
      <w:r w:rsidRPr="00846FCF">
        <w:rPr>
          <w:rFonts w:asciiTheme="minorHAnsi" w:hAnsiTheme="minorHAnsi" w:cstheme="minorHAnsi"/>
        </w:rPr>
        <w:t xml:space="preserve">that the committee </w:t>
      </w:r>
      <w:r>
        <w:rPr>
          <w:rFonts w:asciiTheme="minorHAnsi" w:hAnsiTheme="minorHAnsi" w:cstheme="minorHAnsi"/>
        </w:rPr>
        <w:t xml:space="preserve">is </w:t>
      </w:r>
      <w:r w:rsidRPr="00846FCF">
        <w:rPr>
          <w:rFonts w:asciiTheme="minorHAnsi" w:hAnsiTheme="minorHAnsi" w:cstheme="minorHAnsi"/>
        </w:rPr>
        <w:t xml:space="preserve">not required to provide a rationale for disagreeing with the patient and clinical experts regarding the viewpoint that patients would find it difficult to accept that they would no longer be able to have treatment after 2 years. </w:t>
      </w:r>
      <w:r>
        <w:rPr>
          <w:rFonts w:asciiTheme="minorHAnsi" w:hAnsiTheme="minorHAnsi" w:cstheme="minorHAnsi"/>
        </w:rPr>
        <w:t>This cannot be correct. Rigorous decision-making requires that the decision-maker explains its</w:t>
      </w:r>
      <w:r w:rsidR="0008523B" w:rsidRPr="00846FCF">
        <w:rPr>
          <w:rFonts w:asciiTheme="minorHAnsi" w:hAnsiTheme="minorHAnsi" w:cstheme="minorHAnsi"/>
        </w:rPr>
        <w:t xml:space="preserve"> viewpoint with </w:t>
      </w:r>
      <w:r>
        <w:rPr>
          <w:rFonts w:asciiTheme="minorHAnsi" w:hAnsiTheme="minorHAnsi" w:cstheme="minorHAnsi"/>
        </w:rPr>
        <w:t>appropriate</w:t>
      </w:r>
      <w:r w:rsidR="0008523B" w:rsidRPr="00846FCF">
        <w:rPr>
          <w:rFonts w:asciiTheme="minorHAnsi" w:hAnsiTheme="minorHAnsi" w:cstheme="minorHAnsi"/>
        </w:rPr>
        <w:t xml:space="preserve"> </w:t>
      </w:r>
      <w:r w:rsidR="00510BAD" w:rsidRPr="00846FCF">
        <w:rPr>
          <w:rFonts w:asciiTheme="minorHAnsi" w:hAnsiTheme="minorHAnsi" w:cstheme="minorHAnsi"/>
        </w:rPr>
        <w:t>reasoning</w:t>
      </w:r>
      <w:r w:rsidR="0008523B" w:rsidRPr="00846FCF">
        <w:rPr>
          <w:rFonts w:asciiTheme="minorHAnsi" w:hAnsiTheme="minorHAnsi" w:cstheme="minorHAnsi"/>
        </w:rPr>
        <w:t xml:space="preserve">, particularly when this viewpoint is in direct contradiction to the patient and clinical experts who have extensive personal and professional experience in this area and have been invited to participate and shares these experiences in this appraisal. </w:t>
      </w:r>
      <w:r>
        <w:rPr>
          <w:rFonts w:asciiTheme="minorHAnsi" w:hAnsiTheme="minorHAnsi" w:cstheme="minorHAnsi"/>
        </w:rPr>
        <w:t>I</w:t>
      </w:r>
      <w:r w:rsidR="0008523B" w:rsidRPr="00846FCF">
        <w:rPr>
          <w:rFonts w:asciiTheme="minorHAnsi" w:hAnsiTheme="minorHAnsi" w:cstheme="minorHAnsi"/>
        </w:rPr>
        <w:t xml:space="preserve">t </w:t>
      </w:r>
      <w:r>
        <w:rPr>
          <w:rFonts w:asciiTheme="minorHAnsi" w:hAnsiTheme="minorHAnsi" w:cstheme="minorHAnsi"/>
        </w:rPr>
        <w:t xml:space="preserve">is patently unfair that </w:t>
      </w:r>
      <w:r w:rsidR="0008523B" w:rsidRPr="00846FCF">
        <w:rPr>
          <w:rFonts w:asciiTheme="minorHAnsi" w:hAnsiTheme="minorHAnsi" w:cstheme="minorHAnsi"/>
        </w:rPr>
        <w:t>the viewpoint of a committee on whether patients would be concerned about a treatment stopping rule should</w:t>
      </w:r>
      <w:r>
        <w:rPr>
          <w:rFonts w:asciiTheme="minorHAnsi" w:hAnsiTheme="minorHAnsi" w:cstheme="minorHAnsi"/>
        </w:rPr>
        <w:t>, without reason,</w:t>
      </w:r>
      <w:r w:rsidR="0008523B" w:rsidRPr="00846FCF">
        <w:rPr>
          <w:rFonts w:asciiTheme="minorHAnsi" w:hAnsiTheme="minorHAnsi" w:cstheme="minorHAnsi"/>
        </w:rPr>
        <w:t xml:space="preserve"> overrule the viewpoint of the very patients who would be taking this drug </w:t>
      </w:r>
      <w:r w:rsidR="00510BAD" w:rsidRPr="00846FCF">
        <w:rPr>
          <w:rFonts w:asciiTheme="minorHAnsi" w:hAnsiTheme="minorHAnsi" w:cstheme="minorHAnsi"/>
        </w:rPr>
        <w:t xml:space="preserve">(and who </w:t>
      </w:r>
      <w:r w:rsidR="0008523B" w:rsidRPr="00846FCF">
        <w:rPr>
          <w:rFonts w:asciiTheme="minorHAnsi" w:hAnsiTheme="minorHAnsi" w:cstheme="minorHAnsi"/>
        </w:rPr>
        <w:t xml:space="preserve">have clearly stated they would accept a stopping rule if it meant they could </w:t>
      </w:r>
      <w:r w:rsidR="00510BAD" w:rsidRPr="00846FCF">
        <w:rPr>
          <w:rFonts w:asciiTheme="minorHAnsi" w:hAnsiTheme="minorHAnsi" w:cstheme="minorHAnsi"/>
        </w:rPr>
        <w:t>have access to avelumab)</w:t>
      </w:r>
      <w:r>
        <w:rPr>
          <w:rFonts w:asciiTheme="minorHAnsi" w:hAnsiTheme="minorHAnsi" w:cstheme="minorHAnsi"/>
        </w:rPr>
        <w:t xml:space="preserve"> and the clinicians who treat them</w:t>
      </w:r>
      <w:r w:rsidR="00510BAD" w:rsidRPr="00846FCF">
        <w:rPr>
          <w:rFonts w:asciiTheme="minorHAnsi" w:hAnsiTheme="minorHAnsi" w:cstheme="minorHAnsi"/>
        </w:rPr>
        <w:t>.</w:t>
      </w:r>
      <w:r w:rsidR="008227D0">
        <w:rPr>
          <w:rFonts w:asciiTheme="minorHAnsi" w:hAnsiTheme="minorHAnsi" w:cstheme="minorHAnsi"/>
        </w:rPr>
        <w:t xml:space="preserve"> </w:t>
      </w:r>
      <w:bookmarkStart w:id="0" w:name="_Hlk80958038"/>
    </w:p>
    <w:bookmarkEnd w:id="0"/>
    <w:p w14:paraId="30CB917C" w14:textId="77777777" w:rsidR="0065435C" w:rsidRPr="001D358E" w:rsidRDefault="0065435C" w:rsidP="0065435C">
      <w:pPr>
        <w:pStyle w:val="ListParagraph"/>
        <w:spacing w:before="120" w:line="276" w:lineRule="auto"/>
        <w:ind w:left="0"/>
        <w:jc w:val="both"/>
        <w:rPr>
          <w:rFonts w:ascii="Times New Roman" w:hAnsi="Times New Roman" w:cs="Times New Roman"/>
          <w:b/>
          <w:iCs/>
          <w:sz w:val="24"/>
          <w:szCs w:val="24"/>
          <w:lang w:eastAsia="x-none"/>
        </w:rPr>
      </w:pPr>
      <w:r w:rsidRPr="001D358E">
        <w:rPr>
          <w:rFonts w:ascii="Times New Roman" w:hAnsi="Times New Roman" w:cs="Times New Roman"/>
          <w:b/>
          <w:iCs/>
          <w:sz w:val="24"/>
          <w:szCs w:val="24"/>
        </w:rPr>
        <w:t>1.4</w:t>
      </w:r>
      <w:r w:rsidRPr="001D358E">
        <w:rPr>
          <w:rFonts w:ascii="Times New Roman" w:hAnsi="Times New Roman" w:cs="Times New Roman"/>
          <w:b/>
          <w:iCs/>
          <w:sz w:val="24"/>
          <w:szCs w:val="24"/>
        </w:rPr>
        <w:tab/>
      </w:r>
      <w:r w:rsidRPr="001D358E">
        <w:rPr>
          <w:rFonts w:cstheme="minorBidi"/>
          <w:b/>
          <w:bCs/>
          <w:iCs/>
          <w:sz w:val="24"/>
          <w:szCs w:val="24"/>
        </w:rPr>
        <w:t xml:space="preserve"> In view of the Committee’s view that it would be difficult for patients to accept a stopping rule for avelumab at 2 years, despite substantial evidence to the contrary, the clinical and patient experts should have been invited to attend the second meeting of the Appraisal Committee (17th June 2021)</w:t>
      </w:r>
    </w:p>
    <w:p w14:paraId="22C275C0" w14:textId="544D8AA3" w:rsidR="00E03703" w:rsidRDefault="00E03703" w:rsidP="00E03703">
      <w:pPr>
        <w:pStyle w:val="Paragraph"/>
        <w:numPr>
          <w:ilvl w:val="0"/>
          <w:numId w:val="0"/>
        </w:numPr>
        <w:spacing w:before="120" w:after="0"/>
        <w:jc w:val="both"/>
        <w:rPr>
          <w:rFonts w:asciiTheme="minorHAnsi" w:hAnsiTheme="minorHAnsi" w:cstheme="minorHAnsi"/>
        </w:rPr>
      </w:pPr>
      <w:r>
        <w:rPr>
          <w:rFonts w:asciiTheme="minorHAnsi" w:hAnsiTheme="minorHAnsi" w:cstheme="minorHAnsi"/>
        </w:rPr>
        <w:lastRenderedPageBreak/>
        <w:t>In your preliminary assessment of this point of appeal, you express the view that there would be a requirement to invite the patient and clinical experts to attend the second meeting of the appraisal committee only if “there was something that they needed to say that they had not had the chance to say or that the committee had not properly informed itself of some relevant issue…”. You suggest that neither of these situations was applicable in the current appraisal. We do not agree.</w:t>
      </w:r>
    </w:p>
    <w:p w14:paraId="192BFECD" w14:textId="120B52BF" w:rsidR="00E03703" w:rsidRDefault="00E03703" w:rsidP="00E03703">
      <w:pPr>
        <w:pStyle w:val="Paragraph"/>
        <w:numPr>
          <w:ilvl w:val="0"/>
          <w:numId w:val="0"/>
        </w:numPr>
        <w:spacing w:before="120" w:after="0"/>
        <w:jc w:val="both"/>
        <w:rPr>
          <w:rFonts w:asciiTheme="minorHAnsi" w:hAnsiTheme="minorHAnsi" w:cstheme="minorHAnsi"/>
        </w:rPr>
      </w:pPr>
      <w:r>
        <w:rPr>
          <w:rFonts w:asciiTheme="minorHAnsi" w:hAnsiTheme="minorHAnsi" w:cstheme="minorHAnsi"/>
        </w:rPr>
        <w:t>Firstly, while you say that the ‘stopping rule/duration of treatment topic was in play at the ACD stage and the views of the patients and clinicians were known’, the stopping rule was included in the company’s base case only in response to consultation on the ACD and could not therefore be considered at the first meeting of the appraisal committee.</w:t>
      </w:r>
    </w:p>
    <w:p w14:paraId="47DAACDA" w14:textId="2AA6296E" w:rsidR="00E03703" w:rsidRPr="007175DC" w:rsidRDefault="00E03703" w:rsidP="00E03703">
      <w:pPr>
        <w:pStyle w:val="Paragraph"/>
        <w:numPr>
          <w:ilvl w:val="0"/>
          <w:numId w:val="0"/>
        </w:numPr>
        <w:spacing w:before="120" w:after="0"/>
        <w:jc w:val="both"/>
        <w:rPr>
          <w:rFonts w:asciiTheme="minorHAnsi" w:hAnsiTheme="minorHAnsi" w:cstheme="minorHAnsi"/>
        </w:rPr>
      </w:pPr>
      <w:r>
        <w:rPr>
          <w:rFonts w:asciiTheme="minorHAnsi" w:hAnsiTheme="minorHAnsi" w:cstheme="minorHAnsi"/>
        </w:rPr>
        <w:t xml:space="preserve">The potential implementation of a stopping rule was a key issue at the second meeting of the appraisal committee, but without input from the patient and clinical experts it was barely discussed during the public part of the meeting. It is the position of the Merck/Pfizer Alliance that the committee was not in a position </w:t>
      </w:r>
      <w:r w:rsidR="00430D83">
        <w:rPr>
          <w:rFonts w:asciiTheme="minorHAnsi" w:hAnsiTheme="minorHAnsi" w:cstheme="minorHAnsi"/>
        </w:rPr>
        <w:t xml:space="preserve">to </w:t>
      </w:r>
      <w:r>
        <w:rPr>
          <w:rFonts w:asciiTheme="minorHAnsi" w:hAnsiTheme="minorHAnsi" w:cstheme="minorHAnsi"/>
        </w:rPr>
        <w:t>adequately consider the implementation of a stopping rule in the context of the companies’ revised base case in the absence of appropriate patient/clinical advice and that this constituted a procedural flaw in the appraisal. For completeness</w:t>
      </w:r>
      <w:r w:rsidR="00430D83">
        <w:rPr>
          <w:rFonts w:asciiTheme="minorHAnsi" w:hAnsiTheme="minorHAnsi" w:cstheme="minorHAnsi"/>
        </w:rPr>
        <w:t>,</w:t>
      </w:r>
      <w:r>
        <w:rPr>
          <w:rFonts w:asciiTheme="minorHAnsi" w:hAnsiTheme="minorHAnsi" w:cstheme="minorHAnsi"/>
        </w:rPr>
        <w:t xml:space="preserve"> this view is supported by the lack of proper explanation for the committee’s assertion that it would be difficult for patients to accept a stopping rule disregarding contrary evidence from patient and clinical experts at the first committee meeting.</w:t>
      </w:r>
    </w:p>
    <w:p w14:paraId="13B7A5C0" w14:textId="27A6BF91" w:rsidR="0065435C" w:rsidRPr="001D358E" w:rsidRDefault="0065435C" w:rsidP="0065435C">
      <w:pPr>
        <w:pStyle w:val="Paragraph"/>
        <w:numPr>
          <w:ilvl w:val="0"/>
          <w:numId w:val="0"/>
        </w:numPr>
        <w:spacing w:before="120" w:after="0"/>
        <w:jc w:val="both"/>
        <w:rPr>
          <w:rFonts w:ascii="Calibri" w:eastAsiaTheme="minorHAnsi" w:hAnsi="Calibri" w:cstheme="minorBidi"/>
          <w:b/>
          <w:bCs/>
          <w:iCs/>
          <w:lang w:eastAsia="en-US"/>
        </w:rPr>
      </w:pPr>
      <w:r w:rsidRPr="00846F0E">
        <w:rPr>
          <w:rFonts w:ascii="Times New Roman" w:hAnsi="Times New Roman" w:cstheme="minorHAnsi"/>
          <w:b/>
        </w:rPr>
        <w:t>1.5</w:t>
      </w:r>
      <w:r w:rsidRPr="00846F0E">
        <w:rPr>
          <w:rFonts w:ascii="Times New Roman" w:hAnsi="Times New Roman" w:cstheme="minorHAnsi"/>
          <w:b/>
        </w:rPr>
        <w:tab/>
      </w:r>
      <w:r w:rsidRPr="001D358E">
        <w:rPr>
          <w:rFonts w:ascii="Calibri" w:eastAsiaTheme="minorHAnsi" w:hAnsi="Calibri" w:cstheme="minorBidi"/>
          <w:b/>
          <w:bCs/>
          <w:iCs/>
          <w:lang w:eastAsia="en-US"/>
        </w:rPr>
        <w:t>In questioning whether the evidence of clinical experts regarding life expectancy corresponded to the population eligible for maintenance treatment with avelumab despite evidence to the contrary, the clinical and patient experts should have been invited to attend the second meeting of the Appraisal Committee (17th June 2021)</w:t>
      </w:r>
    </w:p>
    <w:p w14:paraId="22329A0F" w14:textId="52A8546C" w:rsidR="00BD18A1" w:rsidRPr="007175DC" w:rsidRDefault="00BD18A1" w:rsidP="00BD18A1">
      <w:pPr>
        <w:pStyle w:val="Paragraph"/>
        <w:numPr>
          <w:ilvl w:val="0"/>
          <w:numId w:val="0"/>
        </w:numPr>
        <w:spacing w:before="120" w:after="0"/>
        <w:jc w:val="both"/>
        <w:rPr>
          <w:rFonts w:asciiTheme="minorHAnsi" w:hAnsiTheme="minorHAnsi" w:cstheme="minorHAnsi"/>
        </w:rPr>
      </w:pPr>
      <w:r>
        <w:rPr>
          <w:rFonts w:asciiTheme="minorHAnsi" w:hAnsiTheme="minorHAnsi" w:cstheme="minorHAnsi"/>
        </w:rPr>
        <w:t>We do not agree with the</w:t>
      </w:r>
      <w:r w:rsidRPr="007175DC">
        <w:rPr>
          <w:rFonts w:asciiTheme="minorHAnsi" w:hAnsiTheme="minorHAnsi" w:cstheme="minorHAnsi"/>
        </w:rPr>
        <w:t xml:space="preserve"> preliminary view </w:t>
      </w:r>
      <w:r>
        <w:rPr>
          <w:rFonts w:asciiTheme="minorHAnsi" w:hAnsiTheme="minorHAnsi" w:cstheme="minorHAnsi"/>
        </w:rPr>
        <w:t xml:space="preserve">expressed in your letter. </w:t>
      </w:r>
      <w:r w:rsidR="00E03703">
        <w:rPr>
          <w:rFonts w:asciiTheme="minorHAnsi" w:hAnsiTheme="minorHAnsi" w:cstheme="minorHAnsi"/>
        </w:rPr>
        <w:t>However,</w:t>
      </w:r>
      <w:r>
        <w:rPr>
          <w:rFonts w:asciiTheme="minorHAnsi" w:hAnsiTheme="minorHAnsi" w:cstheme="minorHAnsi"/>
        </w:rPr>
        <w:t xml:space="preserve"> we</w:t>
      </w:r>
      <w:r w:rsidRPr="007175DC">
        <w:rPr>
          <w:rFonts w:asciiTheme="minorHAnsi" w:hAnsiTheme="minorHAnsi" w:cstheme="minorHAnsi"/>
        </w:rPr>
        <w:t xml:space="preserve"> note</w:t>
      </w:r>
      <w:r>
        <w:rPr>
          <w:rFonts w:asciiTheme="minorHAnsi" w:hAnsiTheme="minorHAnsi" w:cstheme="minorHAnsi"/>
        </w:rPr>
        <w:t xml:space="preserve"> your suggestion that this issue may be considered as part of appeal point 2.1 and will proceed on that basis</w:t>
      </w:r>
      <w:r w:rsidRPr="007175DC">
        <w:rPr>
          <w:rFonts w:asciiTheme="minorHAnsi" w:hAnsiTheme="minorHAnsi" w:cstheme="minorHAnsi"/>
        </w:rPr>
        <w:t>.</w:t>
      </w:r>
    </w:p>
    <w:p w14:paraId="73C72576" w14:textId="77777777" w:rsidR="0065435C" w:rsidRPr="001D358E" w:rsidRDefault="0065435C" w:rsidP="0065435C">
      <w:pPr>
        <w:pStyle w:val="Paragraph"/>
        <w:numPr>
          <w:ilvl w:val="0"/>
          <w:numId w:val="0"/>
        </w:numPr>
        <w:spacing w:before="120" w:after="0"/>
        <w:jc w:val="both"/>
        <w:rPr>
          <w:rFonts w:ascii="Calibri" w:eastAsiaTheme="minorHAnsi" w:hAnsi="Calibri" w:cstheme="minorBidi"/>
          <w:b/>
          <w:bCs/>
          <w:iCs/>
          <w:lang w:eastAsia="en-US"/>
        </w:rPr>
      </w:pPr>
      <w:r w:rsidRPr="00846F0E">
        <w:rPr>
          <w:rFonts w:ascii="Times New Roman" w:hAnsi="Times New Roman" w:cstheme="minorBidi"/>
          <w:b/>
          <w:iCs/>
        </w:rPr>
        <w:t>1.6</w:t>
      </w:r>
      <w:r w:rsidRPr="00846F0E">
        <w:rPr>
          <w:rFonts w:ascii="Times New Roman" w:hAnsi="Times New Roman" w:cstheme="minorBidi"/>
          <w:b/>
          <w:iCs/>
        </w:rPr>
        <w:tab/>
      </w:r>
      <w:r w:rsidRPr="001D358E">
        <w:rPr>
          <w:rFonts w:ascii="Calibri" w:eastAsiaTheme="minorHAnsi" w:hAnsi="Calibri" w:cstheme="minorBidi"/>
          <w:b/>
          <w:bCs/>
          <w:iCs/>
          <w:lang w:eastAsia="en-US"/>
        </w:rPr>
        <w:t>The Committee’s conclusion that it is not appropriate to pool health-state utilities across treatment arms is inconsistent with previous appraisals for immunotherapies (IOs) in metastatic urothelial cancer (mUC).</w:t>
      </w:r>
    </w:p>
    <w:p w14:paraId="5B48DCA3" w14:textId="1EBB9C10" w:rsidR="00BD18A1" w:rsidRDefault="00BD18A1" w:rsidP="00413CA2">
      <w:pPr>
        <w:pStyle w:val="Paragraph"/>
        <w:numPr>
          <w:ilvl w:val="0"/>
          <w:numId w:val="0"/>
        </w:numPr>
        <w:spacing w:before="120" w:after="0"/>
        <w:jc w:val="both"/>
        <w:rPr>
          <w:rFonts w:asciiTheme="minorHAnsi" w:hAnsiTheme="minorHAnsi" w:cstheme="minorHAnsi"/>
        </w:rPr>
      </w:pPr>
      <w:r>
        <w:rPr>
          <w:rFonts w:asciiTheme="minorHAnsi" w:hAnsiTheme="minorHAnsi" w:cstheme="minorHAnsi"/>
        </w:rPr>
        <w:t xml:space="preserve">You express the preliminary view that the preference for pooled utilities or those from separate treatment arms is an expert judgment for a committee that can only be taken in the light of the data available in each appraisal. You suggest that there can only be a requirement for consistency in this context if the committee is dealing with the very same trial data.  </w:t>
      </w:r>
    </w:p>
    <w:p w14:paraId="1545456A" w14:textId="2EAD0E0D" w:rsidR="00BD18A1" w:rsidRPr="007175DC" w:rsidRDefault="00BD18A1" w:rsidP="00413CA2">
      <w:pPr>
        <w:pStyle w:val="Paragraph"/>
        <w:numPr>
          <w:ilvl w:val="0"/>
          <w:numId w:val="0"/>
        </w:numPr>
        <w:spacing w:before="120" w:after="0"/>
        <w:jc w:val="both"/>
        <w:rPr>
          <w:rFonts w:asciiTheme="minorHAnsi" w:hAnsiTheme="minorHAnsi" w:cstheme="minorHAnsi"/>
        </w:rPr>
      </w:pPr>
      <w:r>
        <w:rPr>
          <w:rFonts w:asciiTheme="minorHAnsi" w:hAnsiTheme="minorHAnsi" w:cstheme="minorHAnsi"/>
        </w:rPr>
        <w:t>We disagree with your preliminary view. The issue in this point of appeal is the inconsistent approach to utility benefit deriving from immunotherapies</w:t>
      </w:r>
      <w:r w:rsidR="00413CA2">
        <w:rPr>
          <w:rFonts w:asciiTheme="minorHAnsi" w:hAnsiTheme="minorHAnsi" w:cstheme="minorHAnsi"/>
        </w:rPr>
        <w:t xml:space="preserve"> after platinum-based chemotherapy</w:t>
      </w:r>
      <w:r>
        <w:rPr>
          <w:rFonts w:asciiTheme="minorHAnsi" w:hAnsiTheme="minorHAnsi" w:cstheme="minorHAnsi"/>
        </w:rPr>
        <w:t xml:space="preserve"> in the same disease</w:t>
      </w:r>
      <w:r w:rsidRPr="007175DC">
        <w:rPr>
          <w:rFonts w:asciiTheme="minorHAnsi" w:hAnsiTheme="minorHAnsi" w:cstheme="minorHAnsi"/>
        </w:rPr>
        <w:t>.</w:t>
      </w:r>
      <w:r>
        <w:rPr>
          <w:rFonts w:asciiTheme="minorHAnsi" w:hAnsiTheme="minorHAnsi" w:cstheme="minorHAnsi"/>
        </w:rPr>
        <w:t xml:space="preserve"> It is Merck/Pfizer Alliance’s position that there is no scientific basis for approaching this issue differently in the context of pembrolizumab </w:t>
      </w:r>
      <w:r w:rsidR="00B91DA2">
        <w:rPr>
          <w:rFonts w:asciiTheme="minorHAnsi" w:hAnsiTheme="minorHAnsi" w:cstheme="minorHAnsi"/>
        </w:rPr>
        <w:t xml:space="preserve">(TA692) </w:t>
      </w:r>
      <w:r>
        <w:rPr>
          <w:rFonts w:asciiTheme="minorHAnsi" w:hAnsiTheme="minorHAnsi" w:cstheme="minorHAnsi"/>
        </w:rPr>
        <w:t xml:space="preserve">and avelumab - irrespective of the trial data - and the committee provides no reason for doing so. This inconsistency is clearly unfair. </w:t>
      </w:r>
    </w:p>
    <w:p w14:paraId="560F82D8" w14:textId="77777777" w:rsidR="00413CA2" w:rsidRDefault="00413CA2" w:rsidP="00413CA2">
      <w:pPr>
        <w:pStyle w:val="Heading2"/>
        <w:spacing w:before="120" w:line="276" w:lineRule="auto"/>
        <w:ind w:left="426"/>
        <w:jc w:val="both"/>
        <w:rPr>
          <w:rFonts w:ascii="Times New Roman" w:hAnsi="Times New Roman" w:cstheme="minorHAnsi"/>
          <w:b/>
          <w:bCs/>
          <w:color w:val="auto"/>
          <w:sz w:val="24"/>
          <w:u w:val="single"/>
        </w:rPr>
      </w:pPr>
    </w:p>
    <w:p w14:paraId="723C45E2" w14:textId="5A464D47" w:rsidR="0065435C" w:rsidRPr="00A60D52" w:rsidRDefault="0065435C" w:rsidP="00DC4547">
      <w:pPr>
        <w:pStyle w:val="Heading2"/>
        <w:numPr>
          <w:ilvl w:val="0"/>
          <w:numId w:val="20"/>
        </w:numPr>
        <w:spacing w:before="120" w:line="276" w:lineRule="auto"/>
        <w:jc w:val="both"/>
        <w:rPr>
          <w:rFonts w:ascii="Times New Roman" w:hAnsi="Times New Roman" w:cstheme="minorHAnsi"/>
          <w:b/>
          <w:bCs/>
          <w:color w:val="auto"/>
          <w:sz w:val="24"/>
          <w:u w:val="single"/>
        </w:rPr>
      </w:pPr>
      <w:r w:rsidRPr="00A60D52">
        <w:rPr>
          <w:rFonts w:ascii="Times New Roman" w:hAnsi="Times New Roman" w:cstheme="minorHAnsi"/>
          <w:b/>
          <w:bCs/>
          <w:color w:val="auto"/>
          <w:sz w:val="24"/>
          <w:u w:val="single"/>
        </w:rPr>
        <w:t>Ground 2: The recommendation is unreasonable in the light of the evidence submitted to NICE</w:t>
      </w:r>
    </w:p>
    <w:p w14:paraId="7DC256F8" w14:textId="77777777" w:rsidR="006201D0" w:rsidRPr="006201D0" w:rsidRDefault="00DC4547" w:rsidP="006201D0">
      <w:pPr>
        <w:pStyle w:val="Paragraph"/>
        <w:numPr>
          <w:ilvl w:val="0"/>
          <w:numId w:val="0"/>
        </w:numPr>
        <w:spacing w:before="120"/>
        <w:jc w:val="both"/>
        <w:rPr>
          <w:rFonts w:ascii="Calibri" w:eastAsiaTheme="minorHAnsi" w:hAnsi="Calibri" w:cstheme="minorBidi"/>
          <w:b/>
          <w:bCs/>
          <w:iCs/>
          <w:lang w:eastAsia="en-US"/>
        </w:rPr>
      </w:pPr>
      <w:r w:rsidRPr="006201D0">
        <w:rPr>
          <w:rFonts w:ascii="Calibri" w:eastAsiaTheme="minorHAnsi" w:hAnsi="Calibri" w:cstheme="minorBidi"/>
          <w:b/>
          <w:bCs/>
          <w:iCs/>
          <w:lang w:eastAsia="en-US"/>
        </w:rPr>
        <w:t>2.1</w:t>
      </w:r>
      <w:r w:rsidRPr="006201D0">
        <w:rPr>
          <w:rFonts w:ascii="Calibri" w:eastAsiaTheme="minorHAnsi" w:hAnsi="Calibri" w:cstheme="minorBidi"/>
          <w:b/>
          <w:bCs/>
          <w:iCs/>
          <w:lang w:eastAsia="en-US"/>
        </w:rPr>
        <w:tab/>
      </w:r>
      <w:r w:rsidR="0065435C" w:rsidRPr="006201D0">
        <w:rPr>
          <w:rFonts w:ascii="Calibri" w:eastAsiaTheme="minorHAnsi" w:hAnsi="Calibri" w:cstheme="minorBidi"/>
          <w:b/>
          <w:bCs/>
          <w:iCs/>
          <w:lang w:eastAsia="en-US"/>
        </w:rPr>
        <w:t>In considering the application of the end of life criteria, the Committee has</w:t>
      </w:r>
      <w:r w:rsidR="000B51AD" w:rsidRPr="006201D0">
        <w:rPr>
          <w:rFonts w:ascii="Calibri" w:eastAsiaTheme="minorHAnsi" w:hAnsi="Calibri" w:cstheme="minorBidi"/>
          <w:b/>
          <w:bCs/>
          <w:iCs/>
          <w:lang w:eastAsia="en-US"/>
        </w:rPr>
        <w:t xml:space="preserve"> </w:t>
      </w:r>
      <w:r w:rsidR="0065435C" w:rsidRPr="006201D0">
        <w:rPr>
          <w:rFonts w:ascii="Calibri" w:eastAsiaTheme="minorHAnsi" w:hAnsi="Calibri" w:cstheme="minorBidi"/>
          <w:b/>
          <w:bCs/>
          <w:iCs/>
          <w:lang w:eastAsia="en-US"/>
        </w:rPr>
        <w:t>misapplied the relevant test and reached a conclusion which does not reflect the balance of</w:t>
      </w:r>
      <w:r w:rsidR="006201D0" w:rsidRPr="006201D0">
        <w:rPr>
          <w:rFonts w:ascii="Calibri" w:eastAsiaTheme="minorHAnsi" w:hAnsi="Calibri" w:cstheme="minorBidi"/>
          <w:b/>
          <w:bCs/>
          <w:iCs/>
          <w:lang w:eastAsia="en-US"/>
        </w:rPr>
        <w:t xml:space="preserve"> </w:t>
      </w:r>
      <w:r w:rsidR="0065435C" w:rsidRPr="006201D0">
        <w:rPr>
          <w:rFonts w:ascii="Calibri" w:eastAsiaTheme="minorHAnsi" w:hAnsi="Calibri" w:cstheme="minorBidi"/>
          <w:b/>
          <w:bCs/>
          <w:iCs/>
          <w:lang w:eastAsia="en-US"/>
        </w:rPr>
        <w:t>the evidence</w:t>
      </w:r>
      <w:r w:rsidR="006201D0" w:rsidRPr="006201D0">
        <w:rPr>
          <w:rFonts w:ascii="Calibri" w:eastAsiaTheme="minorHAnsi" w:hAnsi="Calibri" w:cstheme="minorBidi"/>
          <w:b/>
          <w:bCs/>
          <w:iCs/>
          <w:lang w:eastAsia="en-US"/>
        </w:rPr>
        <w:t xml:space="preserve">   </w:t>
      </w:r>
    </w:p>
    <w:p w14:paraId="6C486D9A" w14:textId="020040F0" w:rsidR="000B51AD" w:rsidRPr="007175DC" w:rsidRDefault="000B51AD" w:rsidP="006201D0">
      <w:pPr>
        <w:pStyle w:val="Paragraph"/>
        <w:numPr>
          <w:ilvl w:val="0"/>
          <w:numId w:val="0"/>
        </w:numPr>
        <w:spacing w:before="120"/>
        <w:jc w:val="both"/>
        <w:rPr>
          <w:rFonts w:asciiTheme="minorHAnsi" w:hAnsiTheme="minorHAnsi" w:cstheme="minorHAnsi"/>
        </w:rPr>
      </w:pPr>
      <w:r w:rsidRPr="007175DC">
        <w:rPr>
          <w:rFonts w:asciiTheme="minorHAnsi" w:hAnsiTheme="minorHAnsi" w:cstheme="minorHAnsi"/>
        </w:rPr>
        <w:t>Your preliminary view is noted.</w:t>
      </w:r>
    </w:p>
    <w:p w14:paraId="387E48B2" w14:textId="77777777" w:rsidR="0065435C" w:rsidRPr="001D358E" w:rsidRDefault="0065435C" w:rsidP="0065435C">
      <w:pPr>
        <w:spacing w:before="120" w:line="276" w:lineRule="auto"/>
        <w:jc w:val="both"/>
        <w:rPr>
          <w:b/>
          <w:bCs/>
          <w:sz w:val="24"/>
          <w:szCs w:val="24"/>
        </w:rPr>
      </w:pPr>
      <w:r>
        <w:rPr>
          <w:b/>
          <w:bCs/>
        </w:rPr>
        <w:t xml:space="preserve">2.2 </w:t>
      </w:r>
      <w:r>
        <w:rPr>
          <w:b/>
          <w:bCs/>
        </w:rPr>
        <w:tab/>
      </w:r>
      <w:r w:rsidRPr="001D358E">
        <w:rPr>
          <w:b/>
          <w:bCs/>
          <w:sz w:val="24"/>
          <w:szCs w:val="24"/>
        </w:rPr>
        <w:t>The Committee’s conclusion that it is not appropriate to pool health-state utilities across treatment arms may have been impacted by a misunderstanding of the impact this has on the ICER</w:t>
      </w:r>
    </w:p>
    <w:p w14:paraId="72ADFB6B" w14:textId="5265C8E2" w:rsidR="00BD18A1" w:rsidRDefault="00BD18A1" w:rsidP="00413CA2">
      <w:pPr>
        <w:pStyle w:val="Paragraph"/>
        <w:numPr>
          <w:ilvl w:val="0"/>
          <w:numId w:val="0"/>
        </w:numPr>
        <w:spacing w:before="120" w:after="0"/>
        <w:jc w:val="both"/>
        <w:rPr>
          <w:rFonts w:asciiTheme="minorHAnsi" w:hAnsiTheme="minorHAnsi" w:cstheme="minorHAnsi"/>
        </w:rPr>
      </w:pPr>
      <w:r>
        <w:rPr>
          <w:rFonts w:asciiTheme="minorHAnsi" w:hAnsiTheme="minorHAnsi" w:cstheme="minorHAnsi"/>
        </w:rPr>
        <w:t>In your letter you express the preliminary view that you are not persuaded that the inaccuracy in the FAD may amount to unreasonableness although you say it “may” be grounds for a factual correction.</w:t>
      </w:r>
    </w:p>
    <w:p w14:paraId="2C038B9C" w14:textId="06AC9DF5" w:rsidR="00413CA2" w:rsidRDefault="00BD18A1" w:rsidP="00413CA2">
      <w:pPr>
        <w:pStyle w:val="Paragraph"/>
        <w:numPr>
          <w:ilvl w:val="0"/>
          <w:numId w:val="0"/>
        </w:numPr>
        <w:spacing w:before="120" w:after="0"/>
        <w:jc w:val="both"/>
        <w:rPr>
          <w:rFonts w:asciiTheme="minorHAnsi" w:hAnsiTheme="minorHAnsi" w:cstheme="minorHAnsi"/>
        </w:rPr>
      </w:pPr>
      <w:r>
        <w:rPr>
          <w:rFonts w:asciiTheme="minorHAnsi" w:hAnsiTheme="minorHAnsi" w:cstheme="minorHAnsi"/>
        </w:rPr>
        <w:t xml:space="preserve">With respect, this cannot be right. The conclusion expressed in the FAD is incorrect. It is therefore clearly unreasonable. It is not possible to say whether this was simply an error in preparing the FAD or if it was an erroneous conclusion by the committee and, if it was the latter, what effect that had on the committee’s reasoning. </w:t>
      </w:r>
      <w:proofErr w:type="gramStart"/>
      <w:r>
        <w:rPr>
          <w:rFonts w:asciiTheme="minorHAnsi" w:hAnsiTheme="minorHAnsi" w:cstheme="minorHAnsi"/>
        </w:rPr>
        <w:t>In particular, it</w:t>
      </w:r>
      <w:proofErr w:type="gramEnd"/>
      <w:r>
        <w:rPr>
          <w:rFonts w:asciiTheme="minorHAnsi" w:hAnsiTheme="minorHAnsi" w:cstheme="minorHAnsi"/>
        </w:rPr>
        <w:t xml:space="preserve"> cannot be right to dismiss such a point at the initial scrutiny stage without giving proper consideration to these legitimate concerns.</w:t>
      </w:r>
    </w:p>
    <w:p w14:paraId="27347BB9" w14:textId="77777777" w:rsidR="000B7F06" w:rsidRDefault="000B7F06" w:rsidP="00413CA2">
      <w:pPr>
        <w:pStyle w:val="Paragraph"/>
        <w:numPr>
          <w:ilvl w:val="0"/>
          <w:numId w:val="0"/>
        </w:numPr>
        <w:spacing w:before="120" w:after="0"/>
        <w:jc w:val="both"/>
        <w:rPr>
          <w:rFonts w:asciiTheme="minorHAnsi" w:hAnsiTheme="minorHAnsi" w:cstheme="minorHAnsi"/>
        </w:rPr>
      </w:pPr>
    </w:p>
    <w:p w14:paraId="5A04F13C" w14:textId="5EC7E1D2" w:rsidR="00F2471E" w:rsidRPr="007175DC" w:rsidRDefault="00DC4547" w:rsidP="00413CA2">
      <w:pPr>
        <w:pStyle w:val="Paragraph"/>
        <w:numPr>
          <w:ilvl w:val="0"/>
          <w:numId w:val="0"/>
        </w:numPr>
        <w:spacing w:before="120" w:after="0"/>
        <w:jc w:val="both"/>
        <w:rPr>
          <w:rFonts w:asciiTheme="minorHAnsi" w:hAnsiTheme="minorHAnsi" w:cstheme="minorHAnsi"/>
        </w:rPr>
      </w:pPr>
      <w:r w:rsidRPr="007175DC">
        <w:rPr>
          <w:rFonts w:asciiTheme="minorHAnsi" w:hAnsiTheme="minorHAnsi" w:cstheme="minorHAnsi"/>
        </w:rPr>
        <w:t xml:space="preserve">Thank you for your consideration of the issues raised in this letter. </w:t>
      </w:r>
      <w:r w:rsidR="00BD18A1" w:rsidRPr="007175DC">
        <w:rPr>
          <w:rFonts w:asciiTheme="minorHAnsi" w:hAnsiTheme="minorHAnsi" w:cstheme="minorHAnsi"/>
        </w:rPr>
        <w:t xml:space="preserve">We </w:t>
      </w:r>
      <w:r w:rsidR="00BD18A1">
        <w:rPr>
          <w:rFonts w:asciiTheme="minorHAnsi" w:hAnsiTheme="minorHAnsi" w:cstheme="minorHAnsi"/>
        </w:rPr>
        <w:t xml:space="preserve">hope that the additional clarification we have provided will persuade you that our points of appeal should be permitted to proceed to a hearing and </w:t>
      </w:r>
      <w:r w:rsidR="00BD18A1" w:rsidRPr="007175DC">
        <w:rPr>
          <w:rFonts w:asciiTheme="minorHAnsi" w:hAnsiTheme="minorHAnsi" w:cstheme="minorHAnsi"/>
        </w:rPr>
        <w:t>look</w:t>
      </w:r>
      <w:r w:rsidRPr="007175DC">
        <w:rPr>
          <w:rFonts w:asciiTheme="minorHAnsi" w:hAnsiTheme="minorHAnsi" w:cstheme="minorHAnsi"/>
        </w:rPr>
        <w:t xml:space="preserve"> forward to receiving your final views </w:t>
      </w:r>
      <w:r w:rsidR="00413CA2">
        <w:rPr>
          <w:rFonts w:asciiTheme="minorHAnsi" w:hAnsiTheme="minorHAnsi" w:cstheme="minorHAnsi"/>
        </w:rPr>
        <w:t xml:space="preserve">on </w:t>
      </w:r>
      <w:r w:rsidRPr="007175DC">
        <w:rPr>
          <w:rFonts w:asciiTheme="minorHAnsi" w:hAnsiTheme="minorHAnsi" w:cstheme="minorHAnsi"/>
        </w:rPr>
        <w:t xml:space="preserve">admissibility. </w:t>
      </w:r>
    </w:p>
    <w:p w14:paraId="57BDFEC7" w14:textId="3F740E9E" w:rsidR="001D358E" w:rsidRDefault="001D358E" w:rsidP="0065435C">
      <w:pPr>
        <w:rPr>
          <w:rFonts w:asciiTheme="minorHAnsi" w:eastAsia="Times New Roman" w:hAnsiTheme="minorHAnsi" w:cstheme="minorHAnsi"/>
          <w:sz w:val="24"/>
          <w:szCs w:val="24"/>
          <w:lang w:eastAsia="en-GB"/>
        </w:rPr>
      </w:pPr>
    </w:p>
    <w:p w14:paraId="6261A2B5" w14:textId="77777777" w:rsidR="00CA570C" w:rsidRDefault="00CA570C" w:rsidP="0065435C">
      <w:pPr>
        <w:rPr>
          <w:rFonts w:asciiTheme="minorHAnsi" w:eastAsia="Times New Roman" w:hAnsiTheme="minorHAnsi" w:cstheme="minorHAnsi"/>
          <w:sz w:val="24"/>
          <w:szCs w:val="24"/>
          <w:lang w:eastAsia="en-GB"/>
        </w:rPr>
      </w:pPr>
    </w:p>
    <w:p w14:paraId="6B6C9641" w14:textId="77777777" w:rsidR="006201D0" w:rsidRPr="007175DC" w:rsidRDefault="006201D0" w:rsidP="0065435C">
      <w:pPr>
        <w:rPr>
          <w:rFonts w:asciiTheme="minorHAnsi" w:eastAsia="Times New Roman" w:hAnsiTheme="minorHAnsi" w:cstheme="minorHAnsi"/>
          <w:sz w:val="24"/>
          <w:szCs w:val="24"/>
          <w:lang w:eastAsia="en-GB"/>
        </w:rPr>
      </w:pPr>
    </w:p>
    <w:p w14:paraId="31401A92" w14:textId="77777777" w:rsidR="00F2471E" w:rsidRPr="007175DC" w:rsidRDefault="00F2471E" w:rsidP="0065435C">
      <w:pPr>
        <w:rPr>
          <w:rFonts w:asciiTheme="minorHAnsi" w:eastAsia="Times New Roman" w:hAnsiTheme="minorHAnsi" w:cstheme="minorHAnsi"/>
          <w:sz w:val="24"/>
          <w:szCs w:val="24"/>
          <w:lang w:eastAsia="en-GB"/>
        </w:rPr>
      </w:pPr>
      <w:r w:rsidRPr="007175DC">
        <w:rPr>
          <w:rFonts w:asciiTheme="minorHAnsi" w:eastAsia="Times New Roman" w:hAnsiTheme="minorHAnsi" w:cstheme="minorHAnsi"/>
          <w:sz w:val="24"/>
          <w:szCs w:val="24"/>
          <w:lang w:eastAsia="en-GB"/>
        </w:rPr>
        <w:t>Yours sincerely,</w:t>
      </w:r>
    </w:p>
    <w:p w14:paraId="2A8D5B58" w14:textId="4FB1ED35" w:rsidR="0065435C" w:rsidRPr="00413CA2" w:rsidRDefault="00F2471E" w:rsidP="00413CA2">
      <w:pPr>
        <w:rPr>
          <w:rFonts w:ascii="Times New Roman" w:eastAsia="Times New Roman" w:hAnsi="Times New Roman" w:cstheme="minorBidi"/>
          <w:sz w:val="24"/>
          <w:szCs w:val="24"/>
          <w:lang w:eastAsia="en-GB"/>
        </w:rPr>
      </w:pPr>
      <w:r w:rsidRPr="007175DC">
        <w:rPr>
          <w:rFonts w:asciiTheme="minorHAnsi" w:eastAsia="Times New Roman" w:hAnsiTheme="minorHAnsi" w:cstheme="minorHAnsi"/>
          <w:sz w:val="24"/>
          <w:szCs w:val="24"/>
          <w:lang w:eastAsia="en-GB"/>
        </w:rPr>
        <w:t>Merck/Pfizer Alliance</w:t>
      </w:r>
    </w:p>
    <w:sectPr w:rsidR="0065435C" w:rsidRPr="00413CA2">
      <w:headerReference w:type="default"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B998" w14:textId="77777777" w:rsidR="001026AD" w:rsidRDefault="001026AD" w:rsidP="00837945">
      <w:r>
        <w:separator/>
      </w:r>
    </w:p>
  </w:endnote>
  <w:endnote w:type="continuationSeparator" w:id="0">
    <w:p w14:paraId="7B21F1DB" w14:textId="77777777" w:rsidR="001026AD" w:rsidRDefault="001026AD" w:rsidP="0083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904480"/>
      <w:docPartObj>
        <w:docPartGallery w:val="Page Numbers (Bottom of Page)"/>
        <w:docPartUnique/>
      </w:docPartObj>
    </w:sdtPr>
    <w:sdtEndPr>
      <w:rPr>
        <w:noProof/>
      </w:rPr>
    </w:sdtEndPr>
    <w:sdtContent>
      <w:p w14:paraId="16BCF608" w14:textId="67B9D914" w:rsidR="00CA570C" w:rsidRDefault="00CA57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D0078" w14:textId="28A32B32" w:rsidR="0065435C" w:rsidRDefault="00654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8017" w14:textId="77777777" w:rsidR="001026AD" w:rsidRDefault="001026AD" w:rsidP="00837945">
      <w:r>
        <w:separator/>
      </w:r>
    </w:p>
  </w:footnote>
  <w:footnote w:type="continuationSeparator" w:id="0">
    <w:p w14:paraId="136B4D9D" w14:textId="77777777" w:rsidR="001026AD" w:rsidRDefault="001026AD" w:rsidP="0083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4B28" w14:textId="547C471C" w:rsidR="0065435C" w:rsidRDefault="0065435C">
    <w:pPr>
      <w:pStyle w:val="Header"/>
    </w:pPr>
    <w:r w:rsidRPr="002F6B51">
      <w:rPr>
        <w:noProof/>
      </w:rPr>
      <w:drawing>
        <wp:anchor distT="0" distB="0" distL="114300" distR="114300" simplePos="0" relativeHeight="251659264" behindDoc="1" locked="0" layoutInCell="1" allowOverlap="1" wp14:anchorId="1E0DABC9" wp14:editId="1A737721">
          <wp:simplePos x="0" y="0"/>
          <wp:positionH relativeFrom="margin">
            <wp:posOffset>3765550</wp:posOffset>
          </wp:positionH>
          <wp:positionV relativeFrom="paragraph">
            <wp:posOffset>-17780</wp:posOffset>
          </wp:positionV>
          <wp:extent cx="1212215" cy="191135"/>
          <wp:effectExtent l="0" t="0" r="6985" b="0"/>
          <wp:wrapTight wrapText="bothSides">
            <wp:wrapPolygon edited="0">
              <wp:start x="0" y="0"/>
              <wp:lineTo x="0" y="19375"/>
              <wp:lineTo x="21385" y="19375"/>
              <wp:lineTo x="213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CK_LOGO_Purp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191135"/>
                  </a:xfrm>
                  <a:prstGeom prst="rect">
                    <a:avLst/>
                  </a:prstGeom>
                </pic:spPr>
              </pic:pic>
            </a:graphicData>
          </a:graphic>
          <wp14:sizeRelH relativeFrom="page">
            <wp14:pctWidth>0</wp14:pctWidth>
          </wp14:sizeRelH>
          <wp14:sizeRelV relativeFrom="page">
            <wp14:pctHeight>0</wp14:pctHeight>
          </wp14:sizeRelV>
        </wp:anchor>
      </w:drawing>
    </w:r>
    <w:r w:rsidRPr="002F6B51">
      <w:rPr>
        <w:noProof/>
      </w:rPr>
      <w:drawing>
        <wp:anchor distT="0" distB="0" distL="114300" distR="114300" simplePos="0" relativeHeight="251660288" behindDoc="1" locked="0" layoutInCell="1" allowOverlap="1" wp14:anchorId="1E7EC113" wp14:editId="15FA3A0F">
          <wp:simplePos x="0" y="0"/>
          <wp:positionH relativeFrom="margin">
            <wp:posOffset>5204460</wp:posOffset>
          </wp:positionH>
          <wp:positionV relativeFrom="paragraph">
            <wp:posOffset>-162560</wp:posOffset>
          </wp:positionV>
          <wp:extent cx="1301750" cy="53022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1750" cy="53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0B2"/>
    <w:multiLevelType w:val="multilevel"/>
    <w:tmpl w:val="D9427086"/>
    <w:lvl w:ilvl="0">
      <w:start w:val="1"/>
      <w:numFmt w:val="decimal"/>
      <w:pStyle w:val="Numberedlevel3text"/>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02B93072"/>
    <w:multiLevelType w:val="hybridMultilevel"/>
    <w:tmpl w:val="950E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B1F77"/>
    <w:multiLevelType w:val="hybridMultilevel"/>
    <w:tmpl w:val="30E05278"/>
    <w:lvl w:ilvl="0" w:tplc="CE485F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62BBE"/>
    <w:multiLevelType w:val="hybridMultilevel"/>
    <w:tmpl w:val="951CCD68"/>
    <w:lvl w:ilvl="0" w:tplc="0809000F">
      <w:start w:val="1"/>
      <w:numFmt w:val="decimal"/>
      <w:lvlText w:val="%1."/>
      <w:lvlJc w:val="left"/>
      <w:pPr>
        <w:ind w:left="720" w:hanging="360"/>
      </w:pPr>
      <w:rPr>
        <w:rFonts w:hint="default"/>
      </w:rPr>
    </w:lvl>
    <w:lvl w:ilvl="1" w:tplc="4404B2C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110CB"/>
    <w:multiLevelType w:val="hybridMultilevel"/>
    <w:tmpl w:val="35EAC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B29DD"/>
    <w:multiLevelType w:val="hybridMultilevel"/>
    <w:tmpl w:val="9524F61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0C72A74"/>
    <w:multiLevelType w:val="hybridMultilevel"/>
    <w:tmpl w:val="98CE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43DFC"/>
    <w:multiLevelType w:val="hybridMultilevel"/>
    <w:tmpl w:val="4652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6316E"/>
    <w:multiLevelType w:val="hybridMultilevel"/>
    <w:tmpl w:val="990CC75A"/>
    <w:lvl w:ilvl="0" w:tplc="0809000F">
      <w:start w:val="1"/>
      <w:numFmt w:val="decimal"/>
      <w:lvlText w:val="%1."/>
      <w:lvlJc w:val="left"/>
      <w:pPr>
        <w:ind w:left="426" w:hanging="360"/>
      </w:pPr>
      <w:rPr>
        <w:rFonts w:hint="default"/>
      </w:rPr>
    </w:lvl>
    <w:lvl w:ilvl="1" w:tplc="4404B2CC">
      <w:start w:val="1"/>
      <w:numFmt w:val="decimal"/>
      <w:lvlText w:val="%2.1"/>
      <w:lvlJc w:val="left"/>
      <w:pPr>
        <w:ind w:left="1146" w:hanging="360"/>
      </w:pPr>
      <w:rPr>
        <w:rFonts w:hint="default"/>
      </w:rPr>
    </w:lvl>
    <w:lvl w:ilvl="2" w:tplc="0809001B">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0" w15:restartNumberingAfterBreak="0">
    <w:nsid w:val="3658084C"/>
    <w:multiLevelType w:val="multilevel"/>
    <w:tmpl w:val="FBD0E8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5F507F"/>
    <w:multiLevelType w:val="hybridMultilevel"/>
    <w:tmpl w:val="9D622176"/>
    <w:lvl w:ilvl="0" w:tplc="80A0F49A">
      <w:start w:val="2"/>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5913D2"/>
    <w:multiLevelType w:val="hybridMultilevel"/>
    <w:tmpl w:val="2D94D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84678"/>
    <w:multiLevelType w:val="multilevel"/>
    <w:tmpl w:val="61D469C8"/>
    <w:lvl w:ilvl="0">
      <w:start w:val="1"/>
      <w:numFmt w:val="decimal"/>
      <w:lvlText w:val="%1"/>
      <w:lvlJc w:val="left"/>
      <w:pPr>
        <w:ind w:left="490" w:hanging="490"/>
      </w:pPr>
      <w:rPr>
        <w:rFonts w:hint="default"/>
      </w:rPr>
    </w:lvl>
    <w:lvl w:ilvl="1">
      <w:start w:val="1"/>
      <w:numFmt w:val="decimal"/>
      <w:lvlText w:val="%1.%2"/>
      <w:lvlJc w:val="left"/>
      <w:pPr>
        <w:ind w:left="850" w:hanging="4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07820"/>
    <w:multiLevelType w:val="hybridMultilevel"/>
    <w:tmpl w:val="4662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23690C"/>
    <w:multiLevelType w:val="hybridMultilevel"/>
    <w:tmpl w:val="FD425890"/>
    <w:lvl w:ilvl="0" w:tplc="0809000F">
      <w:start w:val="1"/>
      <w:numFmt w:val="decimal"/>
      <w:lvlText w:val="%1."/>
      <w:lvlJc w:val="left"/>
      <w:pPr>
        <w:ind w:left="426" w:hanging="360"/>
      </w:pPr>
      <w:rPr>
        <w:rFonts w:hint="default"/>
      </w:rPr>
    </w:lvl>
    <w:lvl w:ilvl="1" w:tplc="4404B2CC">
      <w:start w:val="1"/>
      <w:numFmt w:val="decimal"/>
      <w:lvlText w:val="%2.1"/>
      <w:lvlJc w:val="left"/>
      <w:pPr>
        <w:ind w:left="1146" w:hanging="360"/>
      </w:pPr>
      <w:rPr>
        <w:rFonts w:hint="default"/>
      </w:rPr>
    </w:lvl>
    <w:lvl w:ilvl="2" w:tplc="0809001B">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abstractNumId w:val="13"/>
  </w:num>
  <w:num w:numId="2">
    <w:abstractNumId w:val="7"/>
  </w:num>
  <w:num w:numId="3">
    <w:abstractNumId w:val="0"/>
  </w:num>
  <w:num w:numId="4">
    <w:abstractNumId w:val="9"/>
  </w:num>
  <w:num w:numId="5">
    <w:abstractNumId w:val="5"/>
  </w:num>
  <w:num w:numId="6">
    <w:abstractNumId w:val="8"/>
  </w:num>
  <w:num w:numId="7">
    <w:abstractNumId w:val="6"/>
  </w:num>
  <w:num w:numId="8">
    <w:abstractNumId w:val="4"/>
  </w:num>
  <w:num w:numId="9">
    <w:abstractNumId w:val="3"/>
  </w:num>
  <w:num w:numId="10">
    <w:abstractNumId w:val="10"/>
  </w:num>
  <w:num w:numId="11">
    <w:abstractNumId w:val="13"/>
  </w:num>
  <w:num w:numId="12">
    <w:abstractNumId w:val="16"/>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1"/>
  </w:num>
  <w:num w:numId="21">
    <w:abstractNumId w:val="13"/>
  </w:num>
  <w:num w:numId="22">
    <w:abstractNumId w:val="13"/>
  </w:num>
  <w:num w:numId="23">
    <w:abstractNumId w:val="13"/>
  </w:num>
  <w:num w:numId="24">
    <w:abstractNumId w:val="13"/>
  </w:num>
  <w:num w:numId="25">
    <w:abstractNumId w:val="12"/>
  </w:num>
  <w:num w:numId="26">
    <w:abstractNumId w:val="1"/>
  </w:num>
  <w:num w:numId="27">
    <w:abstractNumId w:val="15"/>
  </w:num>
  <w:num w:numId="28">
    <w:abstractNumId w:val="14"/>
  </w:num>
  <w:num w:numId="29">
    <w:abstractNumId w:val="2"/>
  </w:num>
  <w:num w:numId="30">
    <w:abstractNumId w:val="13"/>
  </w:num>
  <w:num w:numId="3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NjUyNzY3tzSyMDFS0lEKTi0uzszPAykwMqgFAJv32sktAAAA"/>
  </w:docVars>
  <w:rsids>
    <w:rsidRoot w:val="00E60606"/>
    <w:rsid w:val="0000794C"/>
    <w:rsid w:val="00011512"/>
    <w:rsid w:val="000119CA"/>
    <w:rsid w:val="0001431E"/>
    <w:rsid w:val="000172E5"/>
    <w:rsid w:val="0002488B"/>
    <w:rsid w:val="000250A9"/>
    <w:rsid w:val="000337F4"/>
    <w:rsid w:val="00035310"/>
    <w:rsid w:val="00037ED0"/>
    <w:rsid w:val="00050E25"/>
    <w:rsid w:val="00052C35"/>
    <w:rsid w:val="00054ACA"/>
    <w:rsid w:val="00055072"/>
    <w:rsid w:val="0005531B"/>
    <w:rsid w:val="00055DD4"/>
    <w:rsid w:val="000606D3"/>
    <w:rsid w:val="000626BF"/>
    <w:rsid w:val="000638EB"/>
    <w:rsid w:val="00073A6D"/>
    <w:rsid w:val="00073FD7"/>
    <w:rsid w:val="00081515"/>
    <w:rsid w:val="000826B5"/>
    <w:rsid w:val="000842B4"/>
    <w:rsid w:val="0008523B"/>
    <w:rsid w:val="00085D42"/>
    <w:rsid w:val="000A234B"/>
    <w:rsid w:val="000A5545"/>
    <w:rsid w:val="000A68E6"/>
    <w:rsid w:val="000A72E0"/>
    <w:rsid w:val="000B51AD"/>
    <w:rsid w:val="000B7BD5"/>
    <w:rsid w:val="000B7F06"/>
    <w:rsid w:val="000C0283"/>
    <w:rsid w:val="000C4CD5"/>
    <w:rsid w:val="000C4F49"/>
    <w:rsid w:val="000C75C5"/>
    <w:rsid w:val="000C75FA"/>
    <w:rsid w:val="000D1269"/>
    <w:rsid w:val="000D33AD"/>
    <w:rsid w:val="000E22A5"/>
    <w:rsid w:val="000E3975"/>
    <w:rsid w:val="000E6B45"/>
    <w:rsid w:val="000F2807"/>
    <w:rsid w:val="000F291D"/>
    <w:rsid w:val="000F444D"/>
    <w:rsid w:val="001026AD"/>
    <w:rsid w:val="00103409"/>
    <w:rsid w:val="0010390C"/>
    <w:rsid w:val="001056B2"/>
    <w:rsid w:val="00122A72"/>
    <w:rsid w:val="00123AFF"/>
    <w:rsid w:val="001242C7"/>
    <w:rsid w:val="0012445B"/>
    <w:rsid w:val="00125B65"/>
    <w:rsid w:val="00133D68"/>
    <w:rsid w:val="001376D7"/>
    <w:rsid w:val="001409DE"/>
    <w:rsid w:val="00140B1F"/>
    <w:rsid w:val="00142223"/>
    <w:rsid w:val="001460E8"/>
    <w:rsid w:val="00150F1A"/>
    <w:rsid w:val="00152001"/>
    <w:rsid w:val="001527F2"/>
    <w:rsid w:val="0015469A"/>
    <w:rsid w:val="001577CD"/>
    <w:rsid w:val="001600AB"/>
    <w:rsid w:val="00160B65"/>
    <w:rsid w:val="00162857"/>
    <w:rsid w:val="00163316"/>
    <w:rsid w:val="00163E04"/>
    <w:rsid w:val="00165ED3"/>
    <w:rsid w:val="00172D39"/>
    <w:rsid w:val="001730F8"/>
    <w:rsid w:val="0017484D"/>
    <w:rsid w:val="00175DBE"/>
    <w:rsid w:val="00175E05"/>
    <w:rsid w:val="001764A8"/>
    <w:rsid w:val="00190851"/>
    <w:rsid w:val="0019121F"/>
    <w:rsid w:val="0019387E"/>
    <w:rsid w:val="00195977"/>
    <w:rsid w:val="00195A1D"/>
    <w:rsid w:val="001A21E9"/>
    <w:rsid w:val="001A4B4D"/>
    <w:rsid w:val="001A64F9"/>
    <w:rsid w:val="001B2D98"/>
    <w:rsid w:val="001B6184"/>
    <w:rsid w:val="001C0880"/>
    <w:rsid w:val="001C2419"/>
    <w:rsid w:val="001C2A91"/>
    <w:rsid w:val="001C70B4"/>
    <w:rsid w:val="001C7E38"/>
    <w:rsid w:val="001D2F0E"/>
    <w:rsid w:val="001D358E"/>
    <w:rsid w:val="001D55CA"/>
    <w:rsid w:val="001D6A10"/>
    <w:rsid w:val="001D7F7D"/>
    <w:rsid w:val="001E23D6"/>
    <w:rsid w:val="001E613B"/>
    <w:rsid w:val="001F14F9"/>
    <w:rsid w:val="001F2E35"/>
    <w:rsid w:val="00202BB1"/>
    <w:rsid w:val="0020477D"/>
    <w:rsid w:val="00205B9F"/>
    <w:rsid w:val="0022309A"/>
    <w:rsid w:val="00224E08"/>
    <w:rsid w:val="00231B7F"/>
    <w:rsid w:val="00234135"/>
    <w:rsid w:val="0024350E"/>
    <w:rsid w:val="00250078"/>
    <w:rsid w:val="00250447"/>
    <w:rsid w:val="002508D1"/>
    <w:rsid w:val="00255D7B"/>
    <w:rsid w:val="00260239"/>
    <w:rsid w:val="00262CF0"/>
    <w:rsid w:val="00267FA5"/>
    <w:rsid w:val="00270D64"/>
    <w:rsid w:val="002766AD"/>
    <w:rsid w:val="00282B8C"/>
    <w:rsid w:val="00293B05"/>
    <w:rsid w:val="00295FD4"/>
    <w:rsid w:val="002A4E18"/>
    <w:rsid w:val="002A6C0F"/>
    <w:rsid w:val="002A6CCD"/>
    <w:rsid w:val="002A7636"/>
    <w:rsid w:val="002B307E"/>
    <w:rsid w:val="002B5316"/>
    <w:rsid w:val="002B7AFC"/>
    <w:rsid w:val="002C12AA"/>
    <w:rsid w:val="002C4CA3"/>
    <w:rsid w:val="002C6BE5"/>
    <w:rsid w:val="002D0DEE"/>
    <w:rsid w:val="002D3CCE"/>
    <w:rsid w:val="002D4252"/>
    <w:rsid w:val="002D58EF"/>
    <w:rsid w:val="002D6BBE"/>
    <w:rsid w:val="002F0DF4"/>
    <w:rsid w:val="002F3641"/>
    <w:rsid w:val="002F6B51"/>
    <w:rsid w:val="00312337"/>
    <w:rsid w:val="00314153"/>
    <w:rsid w:val="00321D87"/>
    <w:rsid w:val="00322D83"/>
    <w:rsid w:val="00333D92"/>
    <w:rsid w:val="00335168"/>
    <w:rsid w:val="00340A21"/>
    <w:rsid w:val="00343643"/>
    <w:rsid w:val="003436EF"/>
    <w:rsid w:val="00344E5D"/>
    <w:rsid w:val="0035032E"/>
    <w:rsid w:val="00351BDD"/>
    <w:rsid w:val="0035449E"/>
    <w:rsid w:val="00354F19"/>
    <w:rsid w:val="00354FE9"/>
    <w:rsid w:val="00355602"/>
    <w:rsid w:val="00357B89"/>
    <w:rsid w:val="00362A21"/>
    <w:rsid w:val="00363E55"/>
    <w:rsid w:val="0036662E"/>
    <w:rsid w:val="0036673D"/>
    <w:rsid w:val="00370DB9"/>
    <w:rsid w:val="00372FD7"/>
    <w:rsid w:val="003730FA"/>
    <w:rsid w:val="0038207F"/>
    <w:rsid w:val="00382ED0"/>
    <w:rsid w:val="003849C7"/>
    <w:rsid w:val="0038773C"/>
    <w:rsid w:val="0039611D"/>
    <w:rsid w:val="003A1C0A"/>
    <w:rsid w:val="003A20BC"/>
    <w:rsid w:val="003A6B22"/>
    <w:rsid w:val="003B2E3A"/>
    <w:rsid w:val="003B5022"/>
    <w:rsid w:val="003C02D3"/>
    <w:rsid w:val="003C0CCD"/>
    <w:rsid w:val="003C1AFB"/>
    <w:rsid w:val="003C378B"/>
    <w:rsid w:val="003C60D7"/>
    <w:rsid w:val="003C64F2"/>
    <w:rsid w:val="003D3F52"/>
    <w:rsid w:val="003D46F9"/>
    <w:rsid w:val="003E051B"/>
    <w:rsid w:val="003E56FF"/>
    <w:rsid w:val="003F5224"/>
    <w:rsid w:val="003F6808"/>
    <w:rsid w:val="004038AB"/>
    <w:rsid w:val="00411C9F"/>
    <w:rsid w:val="00413CA2"/>
    <w:rsid w:val="00415823"/>
    <w:rsid w:val="004166A6"/>
    <w:rsid w:val="00420D10"/>
    <w:rsid w:val="00427349"/>
    <w:rsid w:val="00427E75"/>
    <w:rsid w:val="00430D83"/>
    <w:rsid w:val="00431E23"/>
    <w:rsid w:val="00434D68"/>
    <w:rsid w:val="00435F0B"/>
    <w:rsid w:val="00437039"/>
    <w:rsid w:val="004379A8"/>
    <w:rsid w:val="004414FA"/>
    <w:rsid w:val="00442549"/>
    <w:rsid w:val="0044530A"/>
    <w:rsid w:val="0044566F"/>
    <w:rsid w:val="00450788"/>
    <w:rsid w:val="00451BFC"/>
    <w:rsid w:val="00457141"/>
    <w:rsid w:val="00463625"/>
    <w:rsid w:val="0046436C"/>
    <w:rsid w:val="0047299C"/>
    <w:rsid w:val="004746DA"/>
    <w:rsid w:val="00477B6C"/>
    <w:rsid w:val="0048796B"/>
    <w:rsid w:val="004904BE"/>
    <w:rsid w:val="0049448C"/>
    <w:rsid w:val="00494AFC"/>
    <w:rsid w:val="004A138D"/>
    <w:rsid w:val="004A43AF"/>
    <w:rsid w:val="004A4DB6"/>
    <w:rsid w:val="004A4DCB"/>
    <w:rsid w:val="004A6331"/>
    <w:rsid w:val="004A6919"/>
    <w:rsid w:val="004B4CCF"/>
    <w:rsid w:val="004C043B"/>
    <w:rsid w:val="004C521E"/>
    <w:rsid w:val="004D34A8"/>
    <w:rsid w:val="004D756A"/>
    <w:rsid w:val="004D7D97"/>
    <w:rsid w:val="004E0B4B"/>
    <w:rsid w:val="004E0B6C"/>
    <w:rsid w:val="004E650A"/>
    <w:rsid w:val="004F387A"/>
    <w:rsid w:val="004F7C18"/>
    <w:rsid w:val="005008AA"/>
    <w:rsid w:val="00501EEB"/>
    <w:rsid w:val="005051A3"/>
    <w:rsid w:val="00510BAD"/>
    <w:rsid w:val="00514DCC"/>
    <w:rsid w:val="005163A3"/>
    <w:rsid w:val="00516678"/>
    <w:rsid w:val="00526EF6"/>
    <w:rsid w:val="00530AE6"/>
    <w:rsid w:val="005354D9"/>
    <w:rsid w:val="00537BF8"/>
    <w:rsid w:val="00543198"/>
    <w:rsid w:val="00556F00"/>
    <w:rsid w:val="00556FE4"/>
    <w:rsid w:val="00557A5C"/>
    <w:rsid w:val="00562DD8"/>
    <w:rsid w:val="00563231"/>
    <w:rsid w:val="00571DDE"/>
    <w:rsid w:val="00574B3F"/>
    <w:rsid w:val="00575914"/>
    <w:rsid w:val="005767FE"/>
    <w:rsid w:val="005924F0"/>
    <w:rsid w:val="00595009"/>
    <w:rsid w:val="00595C46"/>
    <w:rsid w:val="005A102B"/>
    <w:rsid w:val="005A2F16"/>
    <w:rsid w:val="005A3654"/>
    <w:rsid w:val="005A6ACF"/>
    <w:rsid w:val="005A6BCF"/>
    <w:rsid w:val="005A6EFF"/>
    <w:rsid w:val="005B23BC"/>
    <w:rsid w:val="005B2834"/>
    <w:rsid w:val="005B2C00"/>
    <w:rsid w:val="005B5B29"/>
    <w:rsid w:val="005C2A19"/>
    <w:rsid w:val="005C4DBB"/>
    <w:rsid w:val="005C5094"/>
    <w:rsid w:val="005C6C84"/>
    <w:rsid w:val="005C7353"/>
    <w:rsid w:val="005D082E"/>
    <w:rsid w:val="005D3A29"/>
    <w:rsid w:val="005D433D"/>
    <w:rsid w:val="005D567B"/>
    <w:rsid w:val="005D78C7"/>
    <w:rsid w:val="005D7DF3"/>
    <w:rsid w:val="005E26F0"/>
    <w:rsid w:val="005E4A32"/>
    <w:rsid w:val="005F57A7"/>
    <w:rsid w:val="006001F6"/>
    <w:rsid w:val="00600ADC"/>
    <w:rsid w:val="0060293B"/>
    <w:rsid w:val="006078B8"/>
    <w:rsid w:val="0061097B"/>
    <w:rsid w:val="00613F59"/>
    <w:rsid w:val="00614F46"/>
    <w:rsid w:val="00615BF5"/>
    <w:rsid w:val="00617067"/>
    <w:rsid w:val="006170C8"/>
    <w:rsid w:val="00617FF8"/>
    <w:rsid w:val="006201D0"/>
    <w:rsid w:val="006205A7"/>
    <w:rsid w:val="0062195F"/>
    <w:rsid w:val="00633245"/>
    <w:rsid w:val="00640910"/>
    <w:rsid w:val="00643DEF"/>
    <w:rsid w:val="00644551"/>
    <w:rsid w:val="00645D32"/>
    <w:rsid w:val="00651155"/>
    <w:rsid w:val="0065435C"/>
    <w:rsid w:val="0065666D"/>
    <w:rsid w:val="006567C2"/>
    <w:rsid w:val="00657297"/>
    <w:rsid w:val="00660EAA"/>
    <w:rsid w:val="006631F1"/>
    <w:rsid w:val="006634FD"/>
    <w:rsid w:val="00663915"/>
    <w:rsid w:val="0067519A"/>
    <w:rsid w:val="006836AA"/>
    <w:rsid w:val="00683EEF"/>
    <w:rsid w:val="0068776D"/>
    <w:rsid w:val="00690F7C"/>
    <w:rsid w:val="00695799"/>
    <w:rsid w:val="006A49F8"/>
    <w:rsid w:val="006A4BFE"/>
    <w:rsid w:val="006B10F3"/>
    <w:rsid w:val="006B1A2E"/>
    <w:rsid w:val="006B1E76"/>
    <w:rsid w:val="006B3514"/>
    <w:rsid w:val="006B5C1C"/>
    <w:rsid w:val="006C589F"/>
    <w:rsid w:val="006C5B87"/>
    <w:rsid w:val="006C61D8"/>
    <w:rsid w:val="006D0C5B"/>
    <w:rsid w:val="006E2EBE"/>
    <w:rsid w:val="006E3C70"/>
    <w:rsid w:val="006F63E9"/>
    <w:rsid w:val="006F642C"/>
    <w:rsid w:val="007021C9"/>
    <w:rsid w:val="0070288A"/>
    <w:rsid w:val="007058BB"/>
    <w:rsid w:val="00706ACD"/>
    <w:rsid w:val="00707E07"/>
    <w:rsid w:val="00711A58"/>
    <w:rsid w:val="00715810"/>
    <w:rsid w:val="007175DC"/>
    <w:rsid w:val="00717CD4"/>
    <w:rsid w:val="007221DE"/>
    <w:rsid w:val="00731CED"/>
    <w:rsid w:val="00734DFE"/>
    <w:rsid w:val="00740280"/>
    <w:rsid w:val="007454C6"/>
    <w:rsid w:val="00746A26"/>
    <w:rsid w:val="007511BA"/>
    <w:rsid w:val="0076293F"/>
    <w:rsid w:val="007721E4"/>
    <w:rsid w:val="00782232"/>
    <w:rsid w:val="007849B6"/>
    <w:rsid w:val="00784F8C"/>
    <w:rsid w:val="00790A43"/>
    <w:rsid w:val="00793787"/>
    <w:rsid w:val="007970BC"/>
    <w:rsid w:val="007A2523"/>
    <w:rsid w:val="007A387B"/>
    <w:rsid w:val="007A7149"/>
    <w:rsid w:val="007B0289"/>
    <w:rsid w:val="007B3BB0"/>
    <w:rsid w:val="007C5469"/>
    <w:rsid w:val="007C7781"/>
    <w:rsid w:val="007D2C37"/>
    <w:rsid w:val="007D330C"/>
    <w:rsid w:val="007D3EB0"/>
    <w:rsid w:val="007D7FEE"/>
    <w:rsid w:val="007E34DD"/>
    <w:rsid w:val="007E3EAF"/>
    <w:rsid w:val="007E5A97"/>
    <w:rsid w:val="008037B7"/>
    <w:rsid w:val="00810121"/>
    <w:rsid w:val="00811779"/>
    <w:rsid w:val="008208FE"/>
    <w:rsid w:val="00821079"/>
    <w:rsid w:val="00821789"/>
    <w:rsid w:val="00822011"/>
    <w:rsid w:val="008227D0"/>
    <w:rsid w:val="008235FF"/>
    <w:rsid w:val="00823B9B"/>
    <w:rsid w:val="0082454E"/>
    <w:rsid w:val="0083240B"/>
    <w:rsid w:val="00833795"/>
    <w:rsid w:val="0083581E"/>
    <w:rsid w:val="00835C0B"/>
    <w:rsid w:val="00837945"/>
    <w:rsid w:val="0084286D"/>
    <w:rsid w:val="00844074"/>
    <w:rsid w:val="008468B6"/>
    <w:rsid w:val="00846FCF"/>
    <w:rsid w:val="00851F36"/>
    <w:rsid w:val="00860E8A"/>
    <w:rsid w:val="0086565A"/>
    <w:rsid w:val="00875EDF"/>
    <w:rsid w:val="0087617B"/>
    <w:rsid w:val="008850EF"/>
    <w:rsid w:val="0089062E"/>
    <w:rsid w:val="008924D0"/>
    <w:rsid w:val="008927C8"/>
    <w:rsid w:val="00894EFD"/>
    <w:rsid w:val="008A3DB3"/>
    <w:rsid w:val="008B05DB"/>
    <w:rsid w:val="008B1B52"/>
    <w:rsid w:val="008B241D"/>
    <w:rsid w:val="008B2659"/>
    <w:rsid w:val="008B312F"/>
    <w:rsid w:val="008B6A76"/>
    <w:rsid w:val="008B6F4E"/>
    <w:rsid w:val="008C30CA"/>
    <w:rsid w:val="008C72F7"/>
    <w:rsid w:val="008C7FEF"/>
    <w:rsid w:val="008D080F"/>
    <w:rsid w:val="008D2C53"/>
    <w:rsid w:val="008D39B9"/>
    <w:rsid w:val="008E6225"/>
    <w:rsid w:val="008F25AB"/>
    <w:rsid w:val="00903291"/>
    <w:rsid w:val="009032F3"/>
    <w:rsid w:val="009055B5"/>
    <w:rsid w:val="009055BB"/>
    <w:rsid w:val="00910742"/>
    <w:rsid w:val="00911617"/>
    <w:rsid w:val="00912304"/>
    <w:rsid w:val="0091573B"/>
    <w:rsid w:val="00923981"/>
    <w:rsid w:val="00925336"/>
    <w:rsid w:val="009304C2"/>
    <w:rsid w:val="00930AE6"/>
    <w:rsid w:val="00931831"/>
    <w:rsid w:val="009326D9"/>
    <w:rsid w:val="00936E84"/>
    <w:rsid w:val="009425FB"/>
    <w:rsid w:val="00947632"/>
    <w:rsid w:val="00951030"/>
    <w:rsid w:val="009545B5"/>
    <w:rsid w:val="0095469A"/>
    <w:rsid w:val="009564C6"/>
    <w:rsid w:val="00966B91"/>
    <w:rsid w:val="00984F7A"/>
    <w:rsid w:val="00991E45"/>
    <w:rsid w:val="0099359C"/>
    <w:rsid w:val="009A5260"/>
    <w:rsid w:val="009A7932"/>
    <w:rsid w:val="009B696B"/>
    <w:rsid w:val="009B6C4B"/>
    <w:rsid w:val="009C0A1F"/>
    <w:rsid w:val="009C112F"/>
    <w:rsid w:val="009C5947"/>
    <w:rsid w:val="009D70E9"/>
    <w:rsid w:val="009D7256"/>
    <w:rsid w:val="009D77AE"/>
    <w:rsid w:val="009E244E"/>
    <w:rsid w:val="009E7662"/>
    <w:rsid w:val="009F490A"/>
    <w:rsid w:val="009F4A6F"/>
    <w:rsid w:val="009F7514"/>
    <w:rsid w:val="00A001B4"/>
    <w:rsid w:val="00A002D6"/>
    <w:rsid w:val="00A12C52"/>
    <w:rsid w:val="00A14D64"/>
    <w:rsid w:val="00A17245"/>
    <w:rsid w:val="00A24684"/>
    <w:rsid w:val="00A26888"/>
    <w:rsid w:val="00A3082B"/>
    <w:rsid w:val="00A40B1D"/>
    <w:rsid w:val="00A40BF1"/>
    <w:rsid w:val="00A411EF"/>
    <w:rsid w:val="00A51532"/>
    <w:rsid w:val="00A51A58"/>
    <w:rsid w:val="00A54044"/>
    <w:rsid w:val="00A54F2F"/>
    <w:rsid w:val="00A60D52"/>
    <w:rsid w:val="00A66589"/>
    <w:rsid w:val="00A70ADF"/>
    <w:rsid w:val="00A71137"/>
    <w:rsid w:val="00A724A6"/>
    <w:rsid w:val="00A745E4"/>
    <w:rsid w:val="00A84959"/>
    <w:rsid w:val="00A87A67"/>
    <w:rsid w:val="00A87C43"/>
    <w:rsid w:val="00A87F96"/>
    <w:rsid w:val="00A925F6"/>
    <w:rsid w:val="00A9655E"/>
    <w:rsid w:val="00AA0C12"/>
    <w:rsid w:val="00AA35FC"/>
    <w:rsid w:val="00AA4F0F"/>
    <w:rsid w:val="00AA5CAB"/>
    <w:rsid w:val="00AB3502"/>
    <w:rsid w:val="00AB4FBA"/>
    <w:rsid w:val="00AC295C"/>
    <w:rsid w:val="00AC382D"/>
    <w:rsid w:val="00AD15B4"/>
    <w:rsid w:val="00AD1DAF"/>
    <w:rsid w:val="00AD601D"/>
    <w:rsid w:val="00AD6814"/>
    <w:rsid w:val="00AF0505"/>
    <w:rsid w:val="00AF4D81"/>
    <w:rsid w:val="00B1274C"/>
    <w:rsid w:val="00B141C4"/>
    <w:rsid w:val="00B172FE"/>
    <w:rsid w:val="00B203ED"/>
    <w:rsid w:val="00B20837"/>
    <w:rsid w:val="00B2107A"/>
    <w:rsid w:val="00B226F3"/>
    <w:rsid w:val="00B23B40"/>
    <w:rsid w:val="00B278E9"/>
    <w:rsid w:val="00B30B44"/>
    <w:rsid w:val="00B36B54"/>
    <w:rsid w:val="00B43FE4"/>
    <w:rsid w:val="00B45DB0"/>
    <w:rsid w:val="00B47332"/>
    <w:rsid w:val="00B50696"/>
    <w:rsid w:val="00B52BB4"/>
    <w:rsid w:val="00B54D35"/>
    <w:rsid w:val="00B667AB"/>
    <w:rsid w:val="00B66D3C"/>
    <w:rsid w:val="00B752CD"/>
    <w:rsid w:val="00B756EE"/>
    <w:rsid w:val="00B75CCA"/>
    <w:rsid w:val="00B801B3"/>
    <w:rsid w:val="00B8218E"/>
    <w:rsid w:val="00B84364"/>
    <w:rsid w:val="00B91DA2"/>
    <w:rsid w:val="00B93AD7"/>
    <w:rsid w:val="00B971BE"/>
    <w:rsid w:val="00BA7619"/>
    <w:rsid w:val="00BB2B09"/>
    <w:rsid w:val="00BB4E40"/>
    <w:rsid w:val="00BB6F6C"/>
    <w:rsid w:val="00BB7A84"/>
    <w:rsid w:val="00BC2CB4"/>
    <w:rsid w:val="00BC723D"/>
    <w:rsid w:val="00BD18A1"/>
    <w:rsid w:val="00BD5698"/>
    <w:rsid w:val="00BE4337"/>
    <w:rsid w:val="00BE7B75"/>
    <w:rsid w:val="00C0489B"/>
    <w:rsid w:val="00C07756"/>
    <w:rsid w:val="00C20F5F"/>
    <w:rsid w:val="00C22723"/>
    <w:rsid w:val="00C2677D"/>
    <w:rsid w:val="00C27AD1"/>
    <w:rsid w:val="00C30EE0"/>
    <w:rsid w:val="00C32161"/>
    <w:rsid w:val="00C422E9"/>
    <w:rsid w:val="00C4342E"/>
    <w:rsid w:val="00C47B16"/>
    <w:rsid w:val="00C52D5B"/>
    <w:rsid w:val="00C53DC5"/>
    <w:rsid w:val="00C57C66"/>
    <w:rsid w:val="00C71FD2"/>
    <w:rsid w:val="00C74CF9"/>
    <w:rsid w:val="00C824A7"/>
    <w:rsid w:val="00C84121"/>
    <w:rsid w:val="00C92E4F"/>
    <w:rsid w:val="00CA125D"/>
    <w:rsid w:val="00CA570C"/>
    <w:rsid w:val="00CB2638"/>
    <w:rsid w:val="00CB295A"/>
    <w:rsid w:val="00CB4D56"/>
    <w:rsid w:val="00CD338F"/>
    <w:rsid w:val="00CD6AA9"/>
    <w:rsid w:val="00CE0171"/>
    <w:rsid w:val="00CE13C5"/>
    <w:rsid w:val="00CE55D6"/>
    <w:rsid w:val="00CE6CF6"/>
    <w:rsid w:val="00CF3E4C"/>
    <w:rsid w:val="00CF633E"/>
    <w:rsid w:val="00D003F3"/>
    <w:rsid w:val="00D00BC9"/>
    <w:rsid w:val="00D03490"/>
    <w:rsid w:val="00D10547"/>
    <w:rsid w:val="00D151B1"/>
    <w:rsid w:val="00D159F3"/>
    <w:rsid w:val="00D21823"/>
    <w:rsid w:val="00D22ABD"/>
    <w:rsid w:val="00D23459"/>
    <w:rsid w:val="00D26402"/>
    <w:rsid w:val="00D42637"/>
    <w:rsid w:val="00D445BB"/>
    <w:rsid w:val="00D45015"/>
    <w:rsid w:val="00D5095F"/>
    <w:rsid w:val="00D53792"/>
    <w:rsid w:val="00D54448"/>
    <w:rsid w:val="00D574A0"/>
    <w:rsid w:val="00D62770"/>
    <w:rsid w:val="00D63810"/>
    <w:rsid w:val="00D64644"/>
    <w:rsid w:val="00D7113E"/>
    <w:rsid w:val="00D75122"/>
    <w:rsid w:val="00D93250"/>
    <w:rsid w:val="00D95908"/>
    <w:rsid w:val="00DA0BF1"/>
    <w:rsid w:val="00DA46E9"/>
    <w:rsid w:val="00DA5AC4"/>
    <w:rsid w:val="00DA6BAD"/>
    <w:rsid w:val="00DA7645"/>
    <w:rsid w:val="00DB1059"/>
    <w:rsid w:val="00DB4C48"/>
    <w:rsid w:val="00DC3EA0"/>
    <w:rsid w:val="00DC428A"/>
    <w:rsid w:val="00DC4547"/>
    <w:rsid w:val="00DC56B5"/>
    <w:rsid w:val="00DC7DC2"/>
    <w:rsid w:val="00DD506D"/>
    <w:rsid w:val="00DD6DCA"/>
    <w:rsid w:val="00DE46BA"/>
    <w:rsid w:val="00DE4ECA"/>
    <w:rsid w:val="00DF2297"/>
    <w:rsid w:val="00DF2DF3"/>
    <w:rsid w:val="00DF6459"/>
    <w:rsid w:val="00E03703"/>
    <w:rsid w:val="00E075CB"/>
    <w:rsid w:val="00E10D2D"/>
    <w:rsid w:val="00E12563"/>
    <w:rsid w:val="00E12702"/>
    <w:rsid w:val="00E20C8C"/>
    <w:rsid w:val="00E24E94"/>
    <w:rsid w:val="00E2562B"/>
    <w:rsid w:val="00E27BAB"/>
    <w:rsid w:val="00E27CC5"/>
    <w:rsid w:val="00E34222"/>
    <w:rsid w:val="00E34F99"/>
    <w:rsid w:val="00E36329"/>
    <w:rsid w:val="00E36414"/>
    <w:rsid w:val="00E3790C"/>
    <w:rsid w:val="00E4082B"/>
    <w:rsid w:val="00E4664A"/>
    <w:rsid w:val="00E46B38"/>
    <w:rsid w:val="00E531FC"/>
    <w:rsid w:val="00E56362"/>
    <w:rsid w:val="00E60606"/>
    <w:rsid w:val="00E606C6"/>
    <w:rsid w:val="00E66325"/>
    <w:rsid w:val="00E666B8"/>
    <w:rsid w:val="00E72098"/>
    <w:rsid w:val="00E73DE6"/>
    <w:rsid w:val="00E762EE"/>
    <w:rsid w:val="00E76AFB"/>
    <w:rsid w:val="00E85567"/>
    <w:rsid w:val="00E92D7F"/>
    <w:rsid w:val="00E930B9"/>
    <w:rsid w:val="00E95537"/>
    <w:rsid w:val="00E95B99"/>
    <w:rsid w:val="00EA02E1"/>
    <w:rsid w:val="00EA24EF"/>
    <w:rsid w:val="00EB0441"/>
    <w:rsid w:val="00EB061B"/>
    <w:rsid w:val="00EB2502"/>
    <w:rsid w:val="00EC04CC"/>
    <w:rsid w:val="00EC1410"/>
    <w:rsid w:val="00EC503B"/>
    <w:rsid w:val="00EC5E01"/>
    <w:rsid w:val="00ED3307"/>
    <w:rsid w:val="00ED3906"/>
    <w:rsid w:val="00EE73F4"/>
    <w:rsid w:val="00EE747B"/>
    <w:rsid w:val="00EF56DB"/>
    <w:rsid w:val="00EF5999"/>
    <w:rsid w:val="00EF6F6E"/>
    <w:rsid w:val="00EF7267"/>
    <w:rsid w:val="00F0013B"/>
    <w:rsid w:val="00F01130"/>
    <w:rsid w:val="00F037EC"/>
    <w:rsid w:val="00F117E9"/>
    <w:rsid w:val="00F1385B"/>
    <w:rsid w:val="00F202C1"/>
    <w:rsid w:val="00F206E4"/>
    <w:rsid w:val="00F21865"/>
    <w:rsid w:val="00F2471E"/>
    <w:rsid w:val="00F25725"/>
    <w:rsid w:val="00F27199"/>
    <w:rsid w:val="00F32931"/>
    <w:rsid w:val="00F45933"/>
    <w:rsid w:val="00F46C9D"/>
    <w:rsid w:val="00F5483B"/>
    <w:rsid w:val="00F60204"/>
    <w:rsid w:val="00F60573"/>
    <w:rsid w:val="00F61E6D"/>
    <w:rsid w:val="00F63DD8"/>
    <w:rsid w:val="00F64BD4"/>
    <w:rsid w:val="00F6598C"/>
    <w:rsid w:val="00F729BC"/>
    <w:rsid w:val="00F73F2B"/>
    <w:rsid w:val="00F748DE"/>
    <w:rsid w:val="00F757AE"/>
    <w:rsid w:val="00F80326"/>
    <w:rsid w:val="00F819AB"/>
    <w:rsid w:val="00F81A8D"/>
    <w:rsid w:val="00F820A5"/>
    <w:rsid w:val="00F874B8"/>
    <w:rsid w:val="00F970DC"/>
    <w:rsid w:val="00F97543"/>
    <w:rsid w:val="00F97DDE"/>
    <w:rsid w:val="00FA1238"/>
    <w:rsid w:val="00FA1F2B"/>
    <w:rsid w:val="00FA7449"/>
    <w:rsid w:val="00FB22AD"/>
    <w:rsid w:val="00FB35C0"/>
    <w:rsid w:val="00FB446C"/>
    <w:rsid w:val="00FC6607"/>
    <w:rsid w:val="00FC6841"/>
    <w:rsid w:val="00FD3513"/>
    <w:rsid w:val="00FD3C15"/>
    <w:rsid w:val="00FD5A69"/>
    <w:rsid w:val="00FD6078"/>
    <w:rsid w:val="00FD612A"/>
    <w:rsid w:val="00FD7596"/>
    <w:rsid w:val="00FE64CE"/>
    <w:rsid w:val="00FF209E"/>
    <w:rsid w:val="00FF3773"/>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6ED757"/>
  <w15:docId w15:val="{9827F3C6-77C5-4471-9D47-D33E73E1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82B"/>
    <w:pPr>
      <w:spacing w:after="0" w:line="240" w:lineRule="auto"/>
    </w:pPr>
    <w:rPr>
      <w:rFonts w:ascii="Calibri" w:hAnsi="Calibri" w:cs="Calibri"/>
    </w:rPr>
  </w:style>
  <w:style w:type="paragraph" w:styleId="Heading1">
    <w:name w:val="heading 1"/>
    <w:basedOn w:val="Normal"/>
    <w:next w:val="Normal"/>
    <w:link w:val="Heading1Char"/>
    <w:uiPriority w:val="1"/>
    <w:qFormat/>
    <w:rsid w:val="001628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2"/>
    <w:unhideWhenUsed/>
    <w:qFormat/>
    <w:rsid w:val="006543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3"/>
    <w:unhideWhenUsed/>
    <w:qFormat/>
    <w:rsid w:val="0065435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65435C"/>
    <w:pPr>
      <w:keepNext/>
      <w:spacing w:before="240" w:after="60"/>
      <w:outlineLvl w:val="3"/>
    </w:pPr>
    <w:rPr>
      <w:rFonts w:ascii="Arial" w:eastAsia="Times New Roman" w:hAnsi="Arial" w:cs="Times New Roman"/>
      <w:b/>
      <w:bCs/>
      <w:i/>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28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2"/>
    <w:rsid w:val="006543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3"/>
    <w:rsid w:val="0065435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5435C"/>
    <w:rPr>
      <w:rFonts w:ascii="Arial" w:eastAsia="Times New Roman" w:hAnsi="Arial" w:cs="Times New Roman"/>
      <w:b/>
      <w:bCs/>
      <w:i/>
      <w:sz w:val="24"/>
      <w:szCs w:val="28"/>
      <w:lang w:val="x-none" w:eastAsia="x-none"/>
    </w:rPr>
  </w:style>
  <w:style w:type="paragraph" w:styleId="ListParagraph">
    <w:name w:val="List Paragraph"/>
    <w:aliases w:val="Bullets,Bullet List,FooterText,Colorful List Accent 1,Colorful List - Accent 111,Párrafo de lista,Colorful List - Accent 11,Dot pt,F5 List Paragraph,List Paragraph1,List Paragraph Char Char Char,Indicator Text,Numbered Para 1,Bullet 1,列出段"/>
    <w:basedOn w:val="Normal"/>
    <w:link w:val="ListParagraphChar"/>
    <w:uiPriority w:val="34"/>
    <w:qFormat/>
    <w:rsid w:val="00E60606"/>
    <w:pPr>
      <w:ind w:left="720"/>
    </w:pPr>
  </w:style>
  <w:style w:type="character" w:customStyle="1" w:styleId="ListParagraphChar">
    <w:name w:val="List Paragraph Char"/>
    <w:aliases w:val="Bullets Char,Bullet List Char,FooterText Char,Colorful List Accent 1 Char,Colorful List - Accent 111 Char,Párrafo de lista Char,Colorful List - Accent 11 Char,Dot pt Char,F5 List Paragraph Char,List Paragraph1 Char,Bullet 1 Char"/>
    <w:basedOn w:val="DefaultParagraphFont"/>
    <w:link w:val="ListParagraph"/>
    <w:uiPriority w:val="34"/>
    <w:locked/>
    <w:rsid w:val="00D42637"/>
    <w:rPr>
      <w:rFonts w:ascii="Calibri" w:hAnsi="Calibri" w:cs="Calibri"/>
    </w:rPr>
  </w:style>
  <w:style w:type="character" w:styleId="Hyperlink">
    <w:name w:val="Hyperlink"/>
    <w:basedOn w:val="DefaultParagraphFont"/>
    <w:uiPriority w:val="99"/>
    <w:unhideWhenUsed/>
    <w:rsid w:val="00D42637"/>
    <w:rPr>
      <w:color w:val="0000FF"/>
      <w:u w:val="single"/>
    </w:rPr>
  </w:style>
  <w:style w:type="character" w:customStyle="1" w:styleId="CommentTextChar">
    <w:name w:val="Comment Text Char"/>
    <w:aliases w:val="Annotationtext Char,Comment Text Char Char Char Char,Comment Text Char1 Char Char"/>
    <w:basedOn w:val="DefaultParagraphFont"/>
    <w:link w:val="CommentText"/>
    <w:locked/>
    <w:rsid w:val="00D42637"/>
    <w:rPr>
      <w:rFonts w:ascii="Verdana" w:hAnsi="Verdana"/>
    </w:rPr>
  </w:style>
  <w:style w:type="paragraph" w:styleId="CommentText">
    <w:name w:val="annotation text"/>
    <w:aliases w:val="Annotationtext,Comment Text Char Char Char,Comment Text Char1 Char"/>
    <w:basedOn w:val="Normal"/>
    <w:link w:val="CommentTextChar"/>
    <w:unhideWhenUsed/>
    <w:rsid w:val="00D42637"/>
    <w:pPr>
      <w:jc w:val="both"/>
    </w:pPr>
    <w:rPr>
      <w:rFonts w:ascii="Verdana" w:hAnsi="Verdana" w:cstheme="minorBidi"/>
    </w:rPr>
  </w:style>
  <w:style w:type="character" w:customStyle="1" w:styleId="CommentTextChar1">
    <w:name w:val="Comment Text Char1"/>
    <w:basedOn w:val="DefaultParagraphFont"/>
    <w:uiPriority w:val="99"/>
    <w:semiHidden/>
    <w:rsid w:val="00D42637"/>
    <w:rPr>
      <w:rFonts w:ascii="Calibri" w:hAnsi="Calibri" w:cs="Calibri"/>
      <w:sz w:val="20"/>
      <w:szCs w:val="20"/>
    </w:rPr>
  </w:style>
  <w:style w:type="paragraph" w:customStyle="1" w:styleId="Standardfett">
    <w:name w:val="Standard_fett"/>
    <w:basedOn w:val="Normal"/>
    <w:rsid w:val="00D42637"/>
    <w:pPr>
      <w:keepNext/>
      <w:spacing w:line="360" w:lineRule="exact"/>
      <w:jc w:val="both"/>
    </w:pPr>
    <w:rPr>
      <w:rFonts w:ascii="Verdana" w:hAnsi="Verdana" w:cs="Times New Roman"/>
      <w:b/>
      <w:bCs/>
      <w:sz w:val="20"/>
      <w:szCs w:val="20"/>
      <w:lang w:eastAsia="de-DE"/>
    </w:rPr>
  </w:style>
  <w:style w:type="character" w:styleId="CommentReference">
    <w:name w:val="annotation reference"/>
    <w:basedOn w:val="DefaultParagraphFont"/>
    <w:semiHidden/>
    <w:unhideWhenUsed/>
    <w:rsid w:val="00D53792"/>
    <w:rPr>
      <w:sz w:val="16"/>
      <w:szCs w:val="16"/>
    </w:rPr>
  </w:style>
  <w:style w:type="paragraph" w:styleId="CommentSubject">
    <w:name w:val="annotation subject"/>
    <w:basedOn w:val="CommentText"/>
    <w:next w:val="CommentText"/>
    <w:link w:val="CommentSubjectChar"/>
    <w:semiHidden/>
    <w:unhideWhenUsed/>
    <w:rsid w:val="00D53792"/>
    <w:pPr>
      <w:jc w:val="left"/>
    </w:pPr>
    <w:rPr>
      <w:rFonts w:ascii="Calibri" w:hAnsi="Calibri" w:cs="Calibri"/>
      <w:b/>
      <w:bCs/>
      <w:sz w:val="20"/>
      <w:szCs w:val="20"/>
    </w:rPr>
  </w:style>
  <w:style w:type="character" w:customStyle="1" w:styleId="CommentSubjectChar">
    <w:name w:val="Comment Subject Char"/>
    <w:basedOn w:val="CommentTextChar"/>
    <w:link w:val="CommentSubject"/>
    <w:uiPriority w:val="99"/>
    <w:semiHidden/>
    <w:rsid w:val="00D53792"/>
    <w:rPr>
      <w:rFonts w:ascii="Calibri" w:hAnsi="Calibri" w:cs="Calibri"/>
      <w:b/>
      <w:bCs/>
      <w:sz w:val="20"/>
      <w:szCs w:val="20"/>
    </w:rPr>
  </w:style>
  <w:style w:type="paragraph" w:styleId="BalloonText">
    <w:name w:val="Balloon Text"/>
    <w:basedOn w:val="Normal"/>
    <w:link w:val="BalloonTextChar"/>
    <w:semiHidden/>
    <w:unhideWhenUsed/>
    <w:rsid w:val="00D53792"/>
    <w:rPr>
      <w:rFonts w:ascii="Tahoma" w:hAnsi="Tahoma" w:cs="Tahoma"/>
      <w:sz w:val="16"/>
      <w:szCs w:val="16"/>
    </w:rPr>
  </w:style>
  <w:style w:type="character" w:customStyle="1" w:styleId="BalloonTextChar">
    <w:name w:val="Balloon Text Char"/>
    <w:basedOn w:val="DefaultParagraphFont"/>
    <w:link w:val="BalloonText"/>
    <w:semiHidden/>
    <w:rsid w:val="00D53792"/>
    <w:rPr>
      <w:rFonts w:ascii="Tahoma" w:hAnsi="Tahoma" w:cs="Tahoma"/>
      <w:sz w:val="16"/>
      <w:szCs w:val="16"/>
    </w:rPr>
  </w:style>
  <w:style w:type="paragraph" w:styleId="NormalWeb">
    <w:name w:val="Normal (Web)"/>
    <w:basedOn w:val="Normal"/>
    <w:uiPriority w:val="99"/>
    <w:unhideWhenUsed/>
    <w:rsid w:val="007D7FEE"/>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sid w:val="00837945"/>
    <w:rPr>
      <w:sz w:val="20"/>
      <w:szCs w:val="20"/>
    </w:rPr>
  </w:style>
  <w:style w:type="character" w:customStyle="1" w:styleId="EndnoteTextChar">
    <w:name w:val="Endnote Text Char"/>
    <w:basedOn w:val="DefaultParagraphFont"/>
    <w:link w:val="EndnoteText"/>
    <w:uiPriority w:val="99"/>
    <w:rsid w:val="00837945"/>
    <w:rPr>
      <w:rFonts w:ascii="Calibri" w:hAnsi="Calibri" w:cs="Calibri"/>
      <w:sz w:val="20"/>
      <w:szCs w:val="20"/>
    </w:rPr>
  </w:style>
  <w:style w:type="character" w:styleId="EndnoteReference">
    <w:name w:val="endnote reference"/>
    <w:basedOn w:val="DefaultParagraphFont"/>
    <w:uiPriority w:val="99"/>
    <w:unhideWhenUsed/>
    <w:rsid w:val="00837945"/>
    <w:rPr>
      <w:vertAlign w:val="superscript"/>
    </w:rPr>
  </w:style>
  <w:style w:type="paragraph" w:styleId="Footer">
    <w:name w:val="footer"/>
    <w:basedOn w:val="Normal"/>
    <w:link w:val="FooterChar"/>
    <w:uiPriority w:val="99"/>
    <w:unhideWhenUsed/>
    <w:rsid w:val="007021C9"/>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7021C9"/>
  </w:style>
  <w:style w:type="paragraph" w:styleId="NoSpacing">
    <w:name w:val="No Spacing"/>
    <w:uiPriority w:val="1"/>
    <w:qFormat/>
    <w:rsid w:val="007021C9"/>
    <w:pPr>
      <w:spacing w:after="0" w:line="240" w:lineRule="auto"/>
    </w:pPr>
    <w:rPr>
      <w:rFonts w:ascii="Calibri" w:hAnsi="Calibri" w:cs="Calibri"/>
    </w:rPr>
  </w:style>
  <w:style w:type="paragraph" w:styleId="Header">
    <w:name w:val="header"/>
    <w:basedOn w:val="Normal"/>
    <w:link w:val="HeaderChar"/>
    <w:uiPriority w:val="99"/>
    <w:unhideWhenUsed/>
    <w:rsid w:val="00835C0B"/>
    <w:pPr>
      <w:tabs>
        <w:tab w:val="center" w:pos="4513"/>
        <w:tab w:val="right" w:pos="9026"/>
      </w:tabs>
    </w:pPr>
  </w:style>
  <w:style w:type="character" w:customStyle="1" w:styleId="HeaderChar">
    <w:name w:val="Header Char"/>
    <w:basedOn w:val="DefaultParagraphFont"/>
    <w:link w:val="Header"/>
    <w:uiPriority w:val="99"/>
    <w:rsid w:val="00835C0B"/>
    <w:rPr>
      <w:rFonts w:ascii="Calibri" w:hAnsi="Calibri" w:cs="Calibri"/>
    </w:rPr>
  </w:style>
  <w:style w:type="character" w:styleId="UnresolvedMention">
    <w:name w:val="Unresolved Mention"/>
    <w:basedOn w:val="DefaultParagraphFont"/>
    <w:uiPriority w:val="99"/>
    <w:semiHidden/>
    <w:unhideWhenUsed/>
    <w:rsid w:val="0035449E"/>
    <w:rPr>
      <w:color w:val="605E5C"/>
      <w:shd w:val="clear" w:color="auto" w:fill="E1DFDD"/>
    </w:rPr>
  </w:style>
  <w:style w:type="character" w:styleId="FollowedHyperlink">
    <w:name w:val="FollowedHyperlink"/>
    <w:basedOn w:val="DefaultParagraphFont"/>
    <w:uiPriority w:val="99"/>
    <w:semiHidden/>
    <w:unhideWhenUsed/>
    <w:rsid w:val="00224E08"/>
    <w:rPr>
      <w:color w:val="954F72" w:themeColor="followedHyperlink"/>
      <w:u w:val="single"/>
    </w:rPr>
  </w:style>
  <w:style w:type="paragraph" w:customStyle="1" w:styleId="numbered-paragraph">
    <w:name w:val="numbered-paragraph"/>
    <w:basedOn w:val="Normal"/>
    <w:rsid w:val="005C4DBB"/>
    <w:pPr>
      <w:spacing w:before="100" w:beforeAutospacing="1" w:after="100" w:afterAutospacing="1"/>
    </w:pPr>
    <w:rPr>
      <w:rFonts w:eastAsia="Times New Roman"/>
      <w:lang w:eastAsia="en-GB"/>
    </w:rPr>
  </w:style>
  <w:style w:type="paragraph" w:customStyle="1" w:styleId="Default">
    <w:name w:val="Default"/>
    <w:rsid w:val="00372FD7"/>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38207F"/>
  </w:style>
  <w:style w:type="character" w:customStyle="1" w:styleId="superscript">
    <w:name w:val="superscript"/>
    <w:basedOn w:val="DefaultParagraphFont"/>
    <w:rsid w:val="0038207F"/>
  </w:style>
  <w:style w:type="character" w:customStyle="1" w:styleId="eop">
    <w:name w:val="eop"/>
    <w:basedOn w:val="DefaultParagraphFont"/>
    <w:rsid w:val="0038207F"/>
  </w:style>
  <w:style w:type="paragraph" w:customStyle="1" w:styleId="paragraph0">
    <w:name w:val="paragraph"/>
    <w:basedOn w:val="Normal"/>
    <w:rsid w:val="006E2EBE"/>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293B05"/>
    <w:pPr>
      <w:spacing w:after="0" w:line="240" w:lineRule="auto"/>
    </w:pPr>
    <w:rPr>
      <w:rFonts w:ascii="Calibri" w:hAnsi="Calibri" w:cs="Calibri"/>
    </w:rPr>
  </w:style>
  <w:style w:type="paragraph" w:customStyle="1" w:styleId="Paragraph">
    <w:name w:val="Paragraph"/>
    <w:basedOn w:val="Normal"/>
    <w:uiPriority w:val="4"/>
    <w:qFormat/>
    <w:rsid w:val="0065435C"/>
    <w:pPr>
      <w:numPr>
        <w:numId w:val="1"/>
      </w:numPr>
      <w:spacing w:before="240" w:after="240" w:line="276" w:lineRule="auto"/>
    </w:pPr>
    <w:rPr>
      <w:rFonts w:ascii="Arial" w:eastAsia="Times New Roman" w:hAnsi="Arial" w:cs="Times New Roman"/>
      <w:sz w:val="24"/>
      <w:szCs w:val="24"/>
      <w:lang w:eastAsia="en-GB"/>
    </w:rPr>
  </w:style>
  <w:style w:type="paragraph" w:styleId="Title">
    <w:name w:val="Title"/>
    <w:basedOn w:val="Normal"/>
    <w:next w:val="Heading1"/>
    <w:link w:val="TitleChar"/>
    <w:qFormat/>
    <w:rsid w:val="0065435C"/>
    <w:pPr>
      <w:spacing w:before="240" w:after="240"/>
      <w:jc w:val="center"/>
      <w:outlineLvl w:val="0"/>
    </w:pPr>
    <w:rPr>
      <w:rFonts w:ascii="Arial" w:eastAsia="Times New Roman" w:hAnsi="Arial" w:cs="Times New Roman"/>
      <w:b/>
      <w:bCs/>
      <w:kern w:val="28"/>
      <w:sz w:val="32"/>
      <w:szCs w:val="32"/>
      <w:lang w:val="x-none" w:eastAsia="x-none"/>
    </w:rPr>
  </w:style>
  <w:style w:type="character" w:customStyle="1" w:styleId="TitleChar">
    <w:name w:val="Title Char"/>
    <w:basedOn w:val="DefaultParagraphFont"/>
    <w:link w:val="Title"/>
    <w:rsid w:val="0065435C"/>
    <w:rPr>
      <w:rFonts w:ascii="Arial" w:eastAsia="Times New Roman" w:hAnsi="Arial" w:cs="Times New Roman"/>
      <w:b/>
      <w:bCs/>
      <w:kern w:val="28"/>
      <w:sz w:val="32"/>
      <w:szCs w:val="32"/>
      <w:lang w:val="x-none" w:eastAsia="x-none"/>
    </w:rPr>
  </w:style>
  <w:style w:type="paragraph" w:customStyle="1" w:styleId="Subbullets">
    <w:name w:val="Sub bullets"/>
    <w:basedOn w:val="Normal"/>
    <w:uiPriority w:val="6"/>
    <w:qFormat/>
    <w:rsid w:val="0065435C"/>
    <w:pPr>
      <w:numPr>
        <w:numId w:val="2"/>
      </w:numPr>
      <w:spacing w:line="276" w:lineRule="auto"/>
      <w:ind w:left="1418" w:hanging="284"/>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65435C"/>
    <w:pPr>
      <w:spacing w:before="240" w:after="240" w:line="276" w:lineRule="auto"/>
    </w:pPr>
    <w:rPr>
      <w:rFonts w:ascii="Arial" w:eastAsia="Times New Roman" w:hAnsi="Arial" w:cs="Times New Roman"/>
      <w:sz w:val="24"/>
      <w:szCs w:val="24"/>
      <w:lang w:eastAsia="en-GB"/>
    </w:rPr>
  </w:style>
  <w:style w:type="table" w:styleId="TableGrid">
    <w:name w:val="Table Grid"/>
    <w:basedOn w:val="TableNormal"/>
    <w:rsid w:val="0065435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65435C"/>
    <w:pPr>
      <w:spacing w:before="120"/>
    </w:pPr>
    <w:rPr>
      <w:rFonts w:ascii="Arial" w:eastAsia="Times New Roman" w:hAnsi="Arial" w:cs="Times New Roman"/>
      <w:b/>
      <w:bCs/>
      <w:sz w:val="24"/>
      <w:szCs w:val="24"/>
      <w:lang w:eastAsia="en-GB"/>
    </w:rPr>
  </w:style>
  <w:style w:type="paragraph" w:customStyle="1" w:styleId="NICEnormal">
    <w:name w:val="NICE normal"/>
    <w:link w:val="NICEnormalChar"/>
    <w:rsid w:val="0065435C"/>
    <w:pPr>
      <w:spacing w:after="240" w:line="360" w:lineRule="auto"/>
    </w:pPr>
    <w:rPr>
      <w:rFonts w:ascii="Arial" w:eastAsia="Times New Roman" w:hAnsi="Arial" w:cs="Times New Roman"/>
      <w:sz w:val="24"/>
      <w:szCs w:val="24"/>
    </w:rPr>
  </w:style>
  <w:style w:type="character" w:customStyle="1" w:styleId="NICEnormalChar">
    <w:name w:val="NICE normal Char"/>
    <w:link w:val="NICEnormal"/>
    <w:locked/>
    <w:rsid w:val="0065435C"/>
    <w:rPr>
      <w:rFonts w:ascii="Arial" w:eastAsia="Times New Roman" w:hAnsi="Arial" w:cs="Times New Roman"/>
      <w:sz w:val="24"/>
      <w:szCs w:val="24"/>
    </w:rPr>
  </w:style>
  <w:style w:type="paragraph" w:customStyle="1" w:styleId="NICEnormalindented">
    <w:name w:val="NICE normal indented"/>
    <w:basedOn w:val="NICEnormal"/>
    <w:rsid w:val="0065435C"/>
    <w:pPr>
      <w:tabs>
        <w:tab w:val="left" w:pos="1134"/>
      </w:tabs>
      <w:ind w:left="1134"/>
    </w:pPr>
  </w:style>
  <w:style w:type="paragraph" w:customStyle="1" w:styleId="Numberedheading1">
    <w:name w:val="Numbered heading 1"/>
    <w:basedOn w:val="Heading1"/>
    <w:rsid w:val="0065435C"/>
    <w:pPr>
      <w:keepLines w:val="0"/>
      <w:tabs>
        <w:tab w:val="num" w:pos="1134"/>
      </w:tabs>
      <w:spacing w:after="120" w:line="360" w:lineRule="auto"/>
      <w:ind w:left="1134" w:hanging="1134"/>
    </w:pPr>
    <w:rPr>
      <w:rFonts w:ascii="Arial" w:eastAsia="Times New Roman" w:hAnsi="Arial" w:cs="Arial"/>
      <w:b/>
      <w:bCs/>
      <w:color w:val="auto"/>
      <w:kern w:val="32"/>
      <w:szCs w:val="24"/>
      <w:lang w:val="x-none"/>
    </w:rPr>
  </w:style>
  <w:style w:type="paragraph" w:customStyle="1" w:styleId="Numberedheading2">
    <w:name w:val="Numbered heading 2"/>
    <w:basedOn w:val="Heading2"/>
    <w:next w:val="Normal"/>
    <w:rsid w:val="0065435C"/>
    <w:pPr>
      <w:keepLines w:val="0"/>
      <w:numPr>
        <w:ilvl w:val="1"/>
        <w:numId w:val="3"/>
      </w:numPr>
      <w:spacing w:before="240" w:after="60" w:line="360" w:lineRule="auto"/>
    </w:pPr>
    <w:rPr>
      <w:rFonts w:ascii="Arial" w:eastAsia="Times New Roman" w:hAnsi="Arial" w:cs="Arial"/>
      <w:b/>
      <w:bCs/>
      <w:i/>
      <w:iCs/>
      <w:color w:val="auto"/>
      <w:sz w:val="28"/>
      <w:szCs w:val="28"/>
      <w:lang w:val="x-none"/>
    </w:rPr>
  </w:style>
  <w:style w:type="paragraph" w:customStyle="1" w:styleId="Numberedheading3">
    <w:name w:val="Numbered heading 3"/>
    <w:basedOn w:val="Heading3"/>
    <w:next w:val="Normal"/>
    <w:rsid w:val="0065435C"/>
    <w:pPr>
      <w:keepLines w:val="0"/>
      <w:numPr>
        <w:ilvl w:val="2"/>
        <w:numId w:val="3"/>
      </w:numPr>
      <w:spacing w:before="240" w:after="60" w:line="360" w:lineRule="auto"/>
    </w:pPr>
    <w:rPr>
      <w:rFonts w:ascii="Arial" w:eastAsia="Times New Roman" w:hAnsi="Arial" w:cs="Arial"/>
      <w:b/>
      <w:bCs/>
      <w:color w:val="auto"/>
      <w:sz w:val="26"/>
      <w:lang w:val="x-none"/>
    </w:rPr>
  </w:style>
  <w:style w:type="paragraph" w:customStyle="1" w:styleId="Numberedlevel4text">
    <w:name w:val="Numbered level 4 text"/>
    <w:basedOn w:val="Normal"/>
    <w:next w:val="Normal"/>
    <w:rsid w:val="0065435C"/>
    <w:pPr>
      <w:numPr>
        <w:ilvl w:val="3"/>
        <w:numId w:val="3"/>
      </w:numPr>
      <w:spacing w:after="240" w:line="360" w:lineRule="auto"/>
    </w:pPr>
    <w:rPr>
      <w:rFonts w:ascii="Arial" w:eastAsia="Times New Roman" w:hAnsi="Arial" w:cs="Times New Roman"/>
      <w:sz w:val="24"/>
      <w:szCs w:val="24"/>
    </w:rPr>
  </w:style>
  <w:style w:type="paragraph" w:customStyle="1" w:styleId="Numberedlevel3text">
    <w:name w:val="Numbered level 3 text"/>
    <w:basedOn w:val="Numberedheading3"/>
    <w:qFormat/>
    <w:rsid w:val="0065435C"/>
    <w:pPr>
      <w:keepNext w:val="0"/>
      <w:spacing w:before="0" w:after="240"/>
    </w:pPr>
    <w:rPr>
      <w:b w:val="0"/>
      <w:sz w:val="24"/>
    </w:rPr>
  </w:style>
  <w:style w:type="paragraph" w:styleId="BodyText">
    <w:name w:val="Body Text"/>
    <w:basedOn w:val="Normal"/>
    <w:link w:val="BodyTextChar"/>
    <w:semiHidden/>
    <w:unhideWhenUsed/>
    <w:qFormat/>
    <w:rsid w:val="0065435C"/>
    <w:pPr>
      <w:spacing w:after="240"/>
    </w:pPr>
    <w:rPr>
      <w:rFonts w:asciiTheme="minorHAnsi" w:hAnsiTheme="minorHAnsi" w:cstheme="minorBidi"/>
      <w:sz w:val="24"/>
      <w:szCs w:val="24"/>
    </w:rPr>
  </w:style>
  <w:style w:type="character" w:customStyle="1" w:styleId="BodyTextChar">
    <w:name w:val="Body Text Char"/>
    <w:basedOn w:val="DefaultParagraphFont"/>
    <w:link w:val="BodyText"/>
    <w:semiHidden/>
    <w:rsid w:val="0065435C"/>
    <w:rPr>
      <w:sz w:val="24"/>
      <w:szCs w:val="24"/>
    </w:rPr>
  </w:style>
  <w:style w:type="character" w:customStyle="1" w:styleId="EndNoteBibliographyChar">
    <w:name w:val="EndNote Bibliography Char"/>
    <w:basedOn w:val="DefaultParagraphFont"/>
    <w:link w:val="EndNoteBibliography"/>
    <w:locked/>
    <w:rsid w:val="0065435C"/>
    <w:rPr>
      <w:rFonts w:ascii="Arial" w:hAnsi="Arial" w:cs="Arial"/>
      <w:noProof/>
      <w:szCs w:val="24"/>
      <w:lang w:val="en-US"/>
    </w:rPr>
  </w:style>
  <w:style w:type="paragraph" w:customStyle="1" w:styleId="EndNoteBibliography">
    <w:name w:val="EndNote Bibliography"/>
    <w:basedOn w:val="Normal"/>
    <w:link w:val="EndNoteBibliographyChar"/>
    <w:rsid w:val="0065435C"/>
    <w:pPr>
      <w:spacing w:after="120"/>
    </w:pPr>
    <w:rPr>
      <w:rFonts w:ascii="Arial"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25">
      <w:bodyDiv w:val="1"/>
      <w:marLeft w:val="0"/>
      <w:marRight w:val="0"/>
      <w:marTop w:val="0"/>
      <w:marBottom w:val="0"/>
      <w:divBdr>
        <w:top w:val="none" w:sz="0" w:space="0" w:color="auto"/>
        <w:left w:val="none" w:sz="0" w:space="0" w:color="auto"/>
        <w:bottom w:val="none" w:sz="0" w:space="0" w:color="auto"/>
        <w:right w:val="none" w:sz="0" w:space="0" w:color="auto"/>
      </w:divBdr>
      <w:divsChild>
        <w:div w:id="1622876826">
          <w:marLeft w:val="446"/>
          <w:marRight w:val="0"/>
          <w:marTop w:val="120"/>
          <w:marBottom w:val="0"/>
          <w:divBdr>
            <w:top w:val="none" w:sz="0" w:space="0" w:color="auto"/>
            <w:left w:val="none" w:sz="0" w:space="0" w:color="auto"/>
            <w:bottom w:val="none" w:sz="0" w:space="0" w:color="auto"/>
            <w:right w:val="none" w:sz="0" w:space="0" w:color="auto"/>
          </w:divBdr>
        </w:div>
      </w:divsChild>
    </w:div>
    <w:div w:id="202405722">
      <w:bodyDiv w:val="1"/>
      <w:marLeft w:val="0"/>
      <w:marRight w:val="0"/>
      <w:marTop w:val="0"/>
      <w:marBottom w:val="0"/>
      <w:divBdr>
        <w:top w:val="none" w:sz="0" w:space="0" w:color="auto"/>
        <w:left w:val="none" w:sz="0" w:space="0" w:color="auto"/>
        <w:bottom w:val="none" w:sz="0" w:space="0" w:color="auto"/>
        <w:right w:val="none" w:sz="0" w:space="0" w:color="auto"/>
      </w:divBdr>
    </w:div>
    <w:div w:id="205681250">
      <w:bodyDiv w:val="1"/>
      <w:marLeft w:val="0"/>
      <w:marRight w:val="0"/>
      <w:marTop w:val="0"/>
      <w:marBottom w:val="0"/>
      <w:divBdr>
        <w:top w:val="none" w:sz="0" w:space="0" w:color="auto"/>
        <w:left w:val="none" w:sz="0" w:space="0" w:color="auto"/>
        <w:bottom w:val="none" w:sz="0" w:space="0" w:color="auto"/>
        <w:right w:val="none" w:sz="0" w:space="0" w:color="auto"/>
      </w:divBdr>
      <w:divsChild>
        <w:div w:id="1998680779">
          <w:marLeft w:val="274"/>
          <w:marRight w:val="0"/>
          <w:marTop w:val="0"/>
          <w:marBottom w:val="0"/>
          <w:divBdr>
            <w:top w:val="none" w:sz="0" w:space="0" w:color="auto"/>
            <w:left w:val="none" w:sz="0" w:space="0" w:color="auto"/>
            <w:bottom w:val="none" w:sz="0" w:space="0" w:color="auto"/>
            <w:right w:val="none" w:sz="0" w:space="0" w:color="auto"/>
          </w:divBdr>
        </w:div>
      </w:divsChild>
    </w:div>
    <w:div w:id="281235066">
      <w:bodyDiv w:val="1"/>
      <w:marLeft w:val="0"/>
      <w:marRight w:val="0"/>
      <w:marTop w:val="0"/>
      <w:marBottom w:val="0"/>
      <w:divBdr>
        <w:top w:val="none" w:sz="0" w:space="0" w:color="auto"/>
        <w:left w:val="none" w:sz="0" w:space="0" w:color="auto"/>
        <w:bottom w:val="none" w:sz="0" w:space="0" w:color="auto"/>
        <w:right w:val="none" w:sz="0" w:space="0" w:color="auto"/>
      </w:divBdr>
    </w:div>
    <w:div w:id="409156231">
      <w:bodyDiv w:val="1"/>
      <w:marLeft w:val="0"/>
      <w:marRight w:val="0"/>
      <w:marTop w:val="0"/>
      <w:marBottom w:val="0"/>
      <w:divBdr>
        <w:top w:val="none" w:sz="0" w:space="0" w:color="auto"/>
        <w:left w:val="none" w:sz="0" w:space="0" w:color="auto"/>
        <w:bottom w:val="none" w:sz="0" w:space="0" w:color="auto"/>
        <w:right w:val="none" w:sz="0" w:space="0" w:color="auto"/>
      </w:divBdr>
    </w:div>
    <w:div w:id="507529128">
      <w:bodyDiv w:val="1"/>
      <w:marLeft w:val="0"/>
      <w:marRight w:val="0"/>
      <w:marTop w:val="0"/>
      <w:marBottom w:val="0"/>
      <w:divBdr>
        <w:top w:val="none" w:sz="0" w:space="0" w:color="auto"/>
        <w:left w:val="none" w:sz="0" w:space="0" w:color="auto"/>
        <w:bottom w:val="none" w:sz="0" w:space="0" w:color="auto"/>
        <w:right w:val="none" w:sz="0" w:space="0" w:color="auto"/>
      </w:divBdr>
    </w:div>
    <w:div w:id="720321409">
      <w:bodyDiv w:val="1"/>
      <w:marLeft w:val="0"/>
      <w:marRight w:val="0"/>
      <w:marTop w:val="0"/>
      <w:marBottom w:val="0"/>
      <w:divBdr>
        <w:top w:val="none" w:sz="0" w:space="0" w:color="auto"/>
        <w:left w:val="none" w:sz="0" w:space="0" w:color="auto"/>
        <w:bottom w:val="none" w:sz="0" w:space="0" w:color="auto"/>
        <w:right w:val="none" w:sz="0" w:space="0" w:color="auto"/>
      </w:divBdr>
    </w:div>
    <w:div w:id="738095058">
      <w:bodyDiv w:val="1"/>
      <w:marLeft w:val="0"/>
      <w:marRight w:val="0"/>
      <w:marTop w:val="0"/>
      <w:marBottom w:val="0"/>
      <w:divBdr>
        <w:top w:val="none" w:sz="0" w:space="0" w:color="auto"/>
        <w:left w:val="none" w:sz="0" w:space="0" w:color="auto"/>
        <w:bottom w:val="none" w:sz="0" w:space="0" w:color="auto"/>
        <w:right w:val="none" w:sz="0" w:space="0" w:color="auto"/>
      </w:divBdr>
    </w:div>
    <w:div w:id="786656524">
      <w:bodyDiv w:val="1"/>
      <w:marLeft w:val="0"/>
      <w:marRight w:val="0"/>
      <w:marTop w:val="0"/>
      <w:marBottom w:val="0"/>
      <w:divBdr>
        <w:top w:val="none" w:sz="0" w:space="0" w:color="auto"/>
        <w:left w:val="none" w:sz="0" w:space="0" w:color="auto"/>
        <w:bottom w:val="none" w:sz="0" w:space="0" w:color="auto"/>
        <w:right w:val="none" w:sz="0" w:space="0" w:color="auto"/>
      </w:divBdr>
    </w:div>
    <w:div w:id="799613667">
      <w:bodyDiv w:val="1"/>
      <w:marLeft w:val="0"/>
      <w:marRight w:val="0"/>
      <w:marTop w:val="0"/>
      <w:marBottom w:val="0"/>
      <w:divBdr>
        <w:top w:val="none" w:sz="0" w:space="0" w:color="auto"/>
        <w:left w:val="none" w:sz="0" w:space="0" w:color="auto"/>
        <w:bottom w:val="none" w:sz="0" w:space="0" w:color="auto"/>
        <w:right w:val="none" w:sz="0" w:space="0" w:color="auto"/>
      </w:divBdr>
    </w:div>
    <w:div w:id="944535547">
      <w:bodyDiv w:val="1"/>
      <w:marLeft w:val="0"/>
      <w:marRight w:val="0"/>
      <w:marTop w:val="0"/>
      <w:marBottom w:val="0"/>
      <w:divBdr>
        <w:top w:val="none" w:sz="0" w:space="0" w:color="auto"/>
        <w:left w:val="none" w:sz="0" w:space="0" w:color="auto"/>
        <w:bottom w:val="none" w:sz="0" w:space="0" w:color="auto"/>
        <w:right w:val="none" w:sz="0" w:space="0" w:color="auto"/>
      </w:divBdr>
      <w:divsChild>
        <w:div w:id="923338427">
          <w:marLeft w:val="0"/>
          <w:marRight w:val="0"/>
          <w:marTop w:val="0"/>
          <w:marBottom w:val="0"/>
          <w:divBdr>
            <w:top w:val="none" w:sz="0" w:space="0" w:color="auto"/>
            <w:left w:val="none" w:sz="0" w:space="0" w:color="auto"/>
            <w:bottom w:val="none" w:sz="0" w:space="0" w:color="auto"/>
            <w:right w:val="none" w:sz="0" w:space="0" w:color="auto"/>
          </w:divBdr>
          <w:divsChild>
            <w:div w:id="1594900876">
              <w:marLeft w:val="0"/>
              <w:marRight w:val="0"/>
              <w:marTop w:val="0"/>
              <w:marBottom w:val="0"/>
              <w:divBdr>
                <w:top w:val="none" w:sz="0" w:space="0" w:color="auto"/>
                <w:left w:val="none" w:sz="0" w:space="0" w:color="auto"/>
                <w:bottom w:val="none" w:sz="0" w:space="0" w:color="auto"/>
                <w:right w:val="none" w:sz="0" w:space="0" w:color="auto"/>
              </w:divBdr>
              <w:divsChild>
                <w:div w:id="1018892325">
                  <w:marLeft w:val="0"/>
                  <w:marRight w:val="0"/>
                  <w:marTop w:val="0"/>
                  <w:marBottom w:val="0"/>
                  <w:divBdr>
                    <w:top w:val="none" w:sz="0" w:space="0" w:color="auto"/>
                    <w:left w:val="none" w:sz="0" w:space="0" w:color="auto"/>
                    <w:bottom w:val="none" w:sz="0" w:space="0" w:color="auto"/>
                    <w:right w:val="none" w:sz="0" w:space="0" w:color="auto"/>
                  </w:divBdr>
                  <w:divsChild>
                    <w:div w:id="780421557">
                      <w:marLeft w:val="0"/>
                      <w:marRight w:val="0"/>
                      <w:marTop w:val="0"/>
                      <w:marBottom w:val="0"/>
                      <w:divBdr>
                        <w:top w:val="none" w:sz="0" w:space="0" w:color="auto"/>
                        <w:left w:val="none" w:sz="0" w:space="0" w:color="auto"/>
                        <w:bottom w:val="none" w:sz="0" w:space="0" w:color="auto"/>
                        <w:right w:val="none" w:sz="0" w:space="0" w:color="auto"/>
                      </w:divBdr>
                      <w:divsChild>
                        <w:div w:id="139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5515">
      <w:bodyDiv w:val="1"/>
      <w:marLeft w:val="0"/>
      <w:marRight w:val="0"/>
      <w:marTop w:val="0"/>
      <w:marBottom w:val="0"/>
      <w:divBdr>
        <w:top w:val="none" w:sz="0" w:space="0" w:color="auto"/>
        <w:left w:val="none" w:sz="0" w:space="0" w:color="auto"/>
        <w:bottom w:val="none" w:sz="0" w:space="0" w:color="auto"/>
        <w:right w:val="none" w:sz="0" w:space="0" w:color="auto"/>
      </w:divBdr>
    </w:div>
    <w:div w:id="1123645863">
      <w:bodyDiv w:val="1"/>
      <w:marLeft w:val="0"/>
      <w:marRight w:val="0"/>
      <w:marTop w:val="0"/>
      <w:marBottom w:val="0"/>
      <w:divBdr>
        <w:top w:val="none" w:sz="0" w:space="0" w:color="auto"/>
        <w:left w:val="none" w:sz="0" w:space="0" w:color="auto"/>
        <w:bottom w:val="none" w:sz="0" w:space="0" w:color="auto"/>
        <w:right w:val="none" w:sz="0" w:space="0" w:color="auto"/>
      </w:divBdr>
    </w:div>
    <w:div w:id="1416396275">
      <w:bodyDiv w:val="1"/>
      <w:marLeft w:val="0"/>
      <w:marRight w:val="0"/>
      <w:marTop w:val="0"/>
      <w:marBottom w:val="0"/>
      <w:divBdr>
        <w:top w:val="none" w:sz="0" w:space="0" w:color="auto"/>
        <w:left w:val="none" w:sz="0" w:space="0" w:color="auto"/>
        <w:bottom w:val="none" w:sz="0" w:space="0" w:color="auto"/>
        <w:right w:val="none" w:sz="0" w:space="0" w:color="auto"/>
      </w:divBdr>
    </w:div>
    <w:div w:id="1486782060">
      <w:bodyDiv w:val="1"/>
      <w:marLeft w:val="0"/>
      <w:marRight w:val="0"/>
      <w:marTop w:val="0"/>
      <w:marBottom w:val="0"/>
      <w:divBdr>
        <w:top w:val="none" w:sz="0" w:space="0" w:color="auto"/>
        <w:left w:val="none" w:sz="0" w:space="0" w:color="auto"/>
        <w:bottom w:val="none" w:sz="0" w:space="0" w:color="auto"/>
        <w:right w:val="none" w:sz="0" w:space="0" w:color="auto"/>
      </w:divBdr>
    </w:div>
    <w:div w:id="1519201605">
      <w:bodyDiv w:val="1"/>
      <w:marLeft w:val="0"/>
      <w:marRight w:val="0"/>
      <w:marTop w:val="0"/>
      <w:marBottom w:val="0"/>
      <w:divBdr>
        <w:top w:val="none" w:sz="0" w:space="0" w:color="auto"/>
        <w:left w:val="none" w:sz="0" w:space="0" w:color="auto"/>
        <w:bottom w:val="none" w:sz="0" w:space="0" w:color="auto"/>
        <w:right w:val="none" w:sz="0" w:space="0" w:color="auto"/>
      </w:divBdr>
      <w:divsChild>
        <w:div w:id="756946497">
          <w:marLeft w:val="0"/>
          <w:marRight w:val="0"/>
          <w:marTop w:val="0"/>
          <w:marBottom w:val="0"/>
          <w:divBdr>
            <w:top w:val="none" w:sz="0" w:space="0" w:color="auto"/>
            <w:left w:val="none" w:sz="0" w:space="0" w:color="auto"/>
            <w:bottom w:val="none" w:sz="0" w:space="0" w:color="auto"/>
            <w:right w:val="none" w:sz="0" w:space="0" w:color="auto"/>
          </w:divBdr>
        </w:div>
      </w:divsChild>
    </w:div>
    <w:div w:id="1556812023">
      <w:bodyDiv w:val="1"/>
      <w:marLeft w:val="0"/>
      <w:marRight w:val="0"/>
      <w:marTop w:val="0"/>
      <w:marBottom w:val="0"/>
      <w:divBdr>
        <w:top w:val="none" w:sz="0" w:space="0" w:color="auto"/>
        <w:left w:val="none" w:sz="0" w:space="0" w:color="auto"/>
        <w:bottom w:val="none" w:sz="0" w:space="0" w:color="auto"/>
        <w:right w:val="none" w:sz="0" w:space="0" w:color="auto"/>
      </w:divBdr>
    </w:div>
    <w:div w:id="1652370841">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sChild>
        <w:div w:id="682435289">
          <w:marLeft w:val="274"/>
          <w:marRight w:val="0"/>
          <w:marTop w:val="0"/>
          <w:marBottom w:val="0"/>
          <w:divBdr>
            <w:top w:val="none" w:sz="0" w:space="0" w:color="auto"/>
            <w:left w:val="none" w:sz="0" w:space="0" w:color="auto"/>
            <w:bottom w:val="none" w:sz="0" w:space="0" w:color="auto"/>
            <w:right w:val="none" w:sz="0" w:space="0" w:color="auto"/>
          </w:divBdr>
        </w:div>
      </w:divsChild>
    </w:div>
    <w:div w:id="1703439741">
      <w:bodyDiv w:val="1"/>
      <w:marLeft w:val="0"/>
      <w:marRight w:val="0"/>
      <w:marTop w:val="0"/>
      <w:marBottom w:val="0"/>
      <w:divBdr>
        <w:top w:val="none" w:sz="0" w:space="0" w:color="auto"/>
        <w:left w:val="none" w:sz="0" w:space="0" w:color="auto"/>
        <w:bottom w:val="none" w:sz="0" w:space="0" w:color="auto"/>
        <w:right w:val="none" w:sz="0" w:space="0" w:color="auto"/>
      </w:divBdr>
    </w:div>
    <w:div w:id="1704089568">
      <w:bodyDiv w:val="1"/>
      <w:marLeft w:val="0"/>
      <w:marRight w:val="0"/>
      <w:marTop w:val="0"/>
      <w:marBottom w:val="0"/>
      <w:divBdr>
        <w:top w:val="none" w:sz="0" w:space="0" w:color="auto"/>
        <w:left w:val="none" w:sz="0" w:space="0" w:color="auto"/>
        <w:bottom w:val="none" w:sz="0" w:space="0" w:color="auto"/>
        <w:right w:val="none" w:sz="0" w:space="0" w:color="auto"/>
      </w:divBdr>
    </w:div>
    <w:div w:id="1765151988">
      <w:bodyDiv w:val="1"/>
      <w:marLeft w:val="0"/>
      <w:marRight w:val="0"/>
      <w:marTop w:val="0"/>
      <w:marBottom w:val="0"/>
      <w:divBdr>
        <w:top w:val="none" w:sz="0" w:space="0" w:color="auto"/>
        <w:left w:val="none" w:sz="0" w:space="0" w:color="auto"/>
        <w:bottom w:val="none" w:sz="0" w:space="0" w:color="auto"/>
        <w:right w:val="none" w:sz="0" w:space="0" w:color="auto"/>
      </w:divBdr>
      <w:divsChild>
        <w:div w:id="131750464">
          <w:marLeft w:val="0"/>
          <w:marRight w:val="0"/>
          <w:marTop w:val="0"/>
          <w:marBottom w:val="0"/>
          <w:divBdr>
            <w:top w:val="none" w:sz="0" w:space="0" w:color="auto"/>
            <w:left w:val="none" w:sz="0" w:space="0" w:color="auto"/>
            <w:bottom w:val="none" w:sz="0" w:space="0" w:color="auto"/>
            <w:right w:val="none" w:sz="0" w:space="0" w:color="auto"/>
          </w:divBdr>
          <w:divsChild>
            <w:div w:id="66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2965">
      <w:bodyDiv w:val="1"/>
      <w:marLeft w:val="0"/>
      <w:marRight w:val="0"/>
      <w:marTop w:val="0"/>
      <w:marBottom w:val="0"/>
      <w:divBdr>
        <w:top w:val="none" w:sz="0" w:space="0" w:color="auto"/>
        <w:left w:val="none" w:sz="0" w:space="0" w:color="auto"/>
        <w:bottom w:val="none" w:sz="0" w:space="0" w:color="auto"/>
        <w:right w:val="none" w:sz="0" w:space="0" w:color="auto"/>
      </w:divBdr>
    </w:div>
    <w:div w:id="1937324067">
      <w:bodyDiv w:val="1"/>
      <w:marLeft w:val="0"/>
      <w:marRight w:val="0"/>
      <w:marTop w:val="0"/>
      <w:marBottom w:val="0"/>
      <w:divBdr>
        <w:top w:val="none" w:sz="0" w:space="0" w:color="auto"/>
        <w:left w:val="none" w:sz="0" w:space="0" w:color="auto"/>
        <w:bottom w:val="none" w:sz="0" w:space="0" w:color="auto"/>
        <w:right w:val="none" w:sz="0" w:space="0" w:color="auto"/>
      </w:divBdr>
    </w:div>
    <w:div w:id="1977027182">
      <w:bodyDiv w:val="1"/>
      <w:marLeft w:val="0"/>
      <w:marRight w:val="0"/>
      <w:marTop w:val="0"/>
      <w:marBottom w:val="0"/>
      <w:divBdr>
        <w:top w:val="none" w:sz="0" w:space="0" w:color="auto"/>
        <w:left w:val="none" w:sz="0" w:space="0" w:color="auto"/>
        <w:bottom w:val="none" w:sz="0" w:space="0" w:color="auto"/>
        <w:right w:val="none" w:sz="0" w:space="0" w:color="auto"/>
      </w:divBdr>
    </w:div>
    <w:div w:id="19961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BDDA-A6A7-45FA-995A-02514592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Singer</dc:creator>
  <cp:lastModifiedBy>Lucinda Evans</cp:lastModifiedBy>
  <cp:revision>2</cp:revision>
  <dcterms:created xsi:type="dcterms:W3CDTF">2021-09-21T10:09:00Z</dcterms:created>
  <dcterms:modified xsi:type="dcterms:W3CDTF">2021-09-21T10:09:00Z</dcterms:modified>
</cp:coreProperties>
</file>