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1C9F2" w14:textId="7DC53CBA" w:rsidR="009A01FD" w:rsidRPr="009A01FD" w:rsidRDefault="00453774" w:rsidP="009A01FD">
      <w:pPr>
        <w:rPr>
          <w:rFonts w:ascii="Arial" w:eastAsia="Times New Roman" w:hAnsi="Arial"/>
          <w:sz w:val="20"/>
          <w:szCs w:val="20"/>
          <w:u w:val="single"/>
        </w:rPr>
      </w:pPr>
      <w:r>
        <w:softHyphen/>
      </w:r>
      <w:r w:rsidR="009A01FD" w:rsidRPr="009A01FD">
        <w:rPr>
          <w:rFonts w:ascii="Arial" w:eastAsia="Times New Roman" w:hAnsi="Arial"/>
          <w:sz w:val="20"/>
          <w:szCs w:val="20"/>
        </w:rPr>
        <w:t xml:space="preserve">Sent by e-mail only: </w:t>
      </w:r>
      <w:hyperlink r:id="rId8" w:history="1">
        <w:r w:rsidR="00D84C51" w:rsidRPr="002D42F9">
          <w:rPr>
            <w:rStyle w:val="Hyperlink"/>
            <w:rFonts w:ascii="Arial" w:eastAsia="Times New Roman" w:hAnsi="Arial"/>
            <w:color w:val="auto"/>
            <w:sz w:val="20"/>
            <w:szCs w:val="20"/>
            <w:highlight w:val="black"/>
          </w:rPr>
          <w:t>XXXXXXXXXXXXXXXXXXXXXXXXX</w:t>
        </w:r>
      </w:hyperlink>
      <w:r w:rsidR="00D84C51" w:rsidRPr="002D42F9">
        <w:rPr>
          <w:rStyle w:val="Hyperlink"/>
          <w:rFonts w:ascii="Arial" w:eastAsia="Times New Roman" w:hAnsi="Arial"/>
          <w:color w:val="auto"/>
          <w:sz w:val="20"/>
          <w:szCs w:val="20"/>
          <w:highlight w:val="black"/>
        </w:rPr>
        <w:t>X</w:t>
      </w:r>
      <w:r w:rsidR="009A01FD">
        <w:rPr>
          <w:rFonts w:ascii="Arial" w:eastAsia="Times New Roman" w:hAnsi="Arial"/>
          <w:sz w:val="20"/>
          <w:szCs w:val="20"/>
        </w:rPr>
        <w:t xml:space="preserve"> </w:t>
      </w:r>
    </w:p>
    <w:p w14:paraId="6B7D2513" w14:textId="5615F884" w:rsidR="009A01FD" w:rsidRPr="002D42F9" w:rsidRDefault="00D84C51" w:rsidP="009A01FD">
      <w:pPr>
        <w:spacing w:after="0" w:line="240" w:lineRule="auto"/>
        <w:rPr>
          <w:rFonts w:ascii="Arial" w:eastAsia="Times New Roman" w:hAnsi="Arial"/>
          <w:sz w:val="20"/>
          <w:szCs w:val="20"/>
        </w:rPr>
      </w:pPr>
      <w:r w:rsidRPr="002D42F9">
        <w:rPr>
          <w:rFonts w:ascii="Arial" w:eastAsia="Times New Roman" w:hAnsi="Arial"/>
          <w:sz w:val="20"/>
          <w:szCs w:val="20"/>
          <w:highlight w:val="black"/>
        </w:rPr>
        <w:t>XXXXXX</w:t>
      </w:r>
      <w:r w:rsidR="009A01FD" w:rsidRPr="002D42F9">
        <w:rPr>
          <w:rFonts w:ascii="Arial" w:eastAsia="Times New Roman" w:hAnsi="Arial"/>
          <w:sz w:val="20"/>
          <w:szCs w:val="20"/>
          <w:highlight w:val="black"/>
        </w:rPr>
        <w:t xml:space="preserve"> </w:t>
      </w:r>
      <w:r w:rsidRPr="002D42F9">
        <w:rPr>
          <w:rFonts w:ascii="Arial" w:eastAsia="Times New Roman" w:hAnsi="Arial"/>
          <w:sz w:val="20"/>
          <w:szCs w:val="20"/>
          <w:highlight w:val="black"/>
        </w:rPr>
        <w:t>XXXX</w:t>
      </w:r>
    </w:p>
    <w:p w14:paraId="3B0433C7" w14:textId="5D8263EA" w:rsidR="009A01FD" w:rsidRPr="002D42F9" w:rsidRDefault="00117DCA" w:rsidP="009A01FD">
      <w:pPr>
        <w:spacing w:after="0" w:line="240" w:lineRule="auto"/>
        <w:rPr>
          <w:rFonts w:ascii="Arial" w:eastAsia="Times New Roman" w:hAnsi="Arial"/>
          <w:sz w:val="20"/>
          <w:szCs w:val="20"/>
        </w:rPr>
      </w:pPr>
      <w:r>
        <w:rPr>
          <w:rFonts w:ascii="Arial" w:eastAsia="Times New Roman" w:hAnsi="Arial"/>
          <w:sz w:val="20"/>
          <w:szCs w:val="20"/>
        </w:rPr>
        <w:t>Market Access and Pricing Director</w:t>
      </w:r>
    </w:p>
    <w:p w14:paraId="2B432619" w14:textId="77777777" w:rsidR="009A01FD" w:rsidRPr="009A01FD" w:rsidRDefault="009A01FD" w:rsidP="009A01FD">
      <w:pPr>
        <w:spacing w:after="0" w:line="240" w:lineRule="auto"/>
        <w:rPr>
          <w:rFonts w:ascii="Arial" w:eastAsia="Times New Roman" w:hAnsi="Arial"/>
          <w:sz w:val="20"/>
          <w:szCs w:val="20"/>
        </w:rPr>
      </w:pPr>
      <w:r w:rsidRPr="009A01FD">
        <w:rPr>
          <w:rFonts w:ascii="Arial" w:eastAsia="Times New Roman" w:hAnsi="Arial"/>
          <w:sz w:val="20"/>
          <w:szCs w:val="20"/>
        </w:rPr>
        <w:t>Merck Serono Limited</w:t>
      </w:r>
    </w:p>
    <w:p w14:paraId="4A194787" w14:textId="77777777" w:rsidR="009A01FD" w:rsidRPr="009A01FD" w:rsidRDefault="009A01FD" w:rsidP="009A01FD">
      <w:pPr>
        <w:spacing w:after="0" w:line="240" w:lineRule="auto"/>
        <w:rPr>
          <w:rFonts w:ascii="Arial" w:eastAsia="Times New Roman" w:hAnsi="Arial"/>
          <w:sz w:val="20"/>
          <w:szCs w:val="20"/>
        </w:rPr>
      </w:pPr>
      <w:r w:rsidRPr="009A01FD">
        <w:rPr>
          <w:rFonts w:ascii="Arial" w:eastAsia="Times New Roman" w:hAnsi="Arial"/>
          <w:sz w:val="20"/>
          <w:szCs w:val="20"/>
        </w:rPr>
        <w:t>5 New Square</w:t>
      </w:r>
    </w:p>
    <w:p w14:paraId="46D9D398" w14:textId="77777777" w:rsidR="009A01FD" w:rsidRPr="009A01FD" w:rsidRDefault="009A01FD" w:rsidP="009A01FD">
      <w:pPr>
        <w:spacing w:after="0" w:line="240" w:lineRule="auto"/>
        <w:rPr>
          <w:rFonts w:ascii="Arial" w:eastAsia="Times New Roman" w:hAnsi="Arial"/>
          <w:sz w:val="20"/>
          <w:szCs w:val="20"/>
        </w:rPr>
      </w:pPr>
      <w:r w:rsidRPr="009A01FD">
        <w:rPr>
          <w:rFonts w:ascii="Arial" w:eastAsia="Times New Roman" w:hAnsi="Arial"/>
          <w:sz w:val="20"/>
          <w:szCs w:val="20"/>
        </w:rPr>
        <w:t>Bedfont Lakes Business Park</w:t>
      </w:r>
    </w:p>
    <w:p w14:paraId="2D9747FC" w14:textId="77777777" w:rsidR="009A01FD" w:rsidRPr="009A01FD" w:rsidRDefault="009A01FD" w:rsidP="009A01FD">
      <w:pPr>
        <w:spacing w:after="0" w:line="240" w:lineRule="auto"/>
        <w:rPr>
          <w:rFonts w:ascii="Arial" w:eastAsia="Times New Roman" w:hAnsi="Arial"/>
          <w:sz w:val="20"/>
          <w:szCs w:val="20"/>
        </w:rPr>
      </w:pPr>
      <w:r w:rsidRPr="009A01FD">
        <w:rPr>
          <w:rFonts w:ascii="Arial" w:eastAsia="Times New Roman" w:hAnsi="Arial"/>
          <w:sz w:val="20"/>
          <w:szCs w:val="20"/>
        </w:rPr>
        <w:t>Feltham</w:t>
      </w:r>
    </w:p>
    <w:p w14:paraId="1FB15941" w14:textId="77777777" w:rsidR="009A01FD" w:rsidRPr="009A01FD" w:rsidRDefault="009A01FD" w:rsidP="009A01FD">
      <w:pPr>
        <w:spacing w:after="0" w:line="240" w:lineRule="auto"/>
        <w:rPr>
          <w:rFonts w:ascii="Arial" w:eastAsia="Times New Roman" w:hAnsi="Arial"/>
          <w:sz w:val="20"/>
          <w:szCs w:val="20"/>
        </w:rPr>
      </w:pPr>
      <w:r w:rsidRPr="009A01FD">
        <w:rPr>
          <w:rFonts w:ascii="Arial" w:eastAsia="Times New Roman" w:hAnsi="Arial"/>
          <w:sz w:val="20"/>
          <w:szCs w:val="20"/>
        </w:rPr>
        <w:t>Middlesex</w:t>
      </w:r>
    </w:p>
    <w:p w14:paraId="71B9C9C2" w14:textId="77777777" w:rsidR="009A01FD" w:rsidRPr="009A01FD" w:rsidRDefault="009A01FD" w:rsidP="009A01FD">
      <w:pPr>
        <w:spacing w:after="0" w:line="240" w:lineRule="auto"/>
        <w:rPr>
          <w:rFonts w:ascii="Arial" w:eastAsia="Times New Roman" w:hAnsi="Arial"/>
          <w:sz w:val="20"/>
          <w:szCs w:val="20"/>
        </w:rPr>
      </w:pPr>
      <w:r w:rsidRPr="009A01FD">
        <w:rPr>
          <w:rFonts w:ascii="Arial" w:eastAsia="Times New Roman" w:hAnsi="Arial"/>
          <w:sz w:val="20"/>
          <w:szCs w:val="20"/>
        </w:rPr>
        <w:t>TW14 8HA</w:t>
      </w:r>
    </w:p>
    <w:p w14:paraId="7F7E0BB0" w14:textId="77777777" w:rsidR="009A01FD" w:rsidRPr="009A01FD" w:rsidRDefault="009A01FD" w:rsidP="009A01FD">
      <w:pPr>
        <w:spacing w:after="0" w:line="240" w:lineRule="auto"/>
        <w:rPr>
          <w:rFonts w:ascii="Arial" w:eastAsia="Times New Roman" w:hAnsi="Arial"/>
          <w:sz w:val="20"/>
          <w:szCs w:val="20"/>
        </w:rPr>
      </w:pPr>
    </w:p>
    <w:p w14:paraId="219354A7" w14:textId="77777777" w:rsidR="009A01FD" w:rsidRPr="009A01FD" w:rsidRDefault="009A01FD" w:rsidP="009A01FD">
      <w:pPr>
        <w:spacing w:after="0" w:line="240" w:lineRule="auto"/>
        <w:rPr>
          <w:rFonts w:ascii="Arial" w:eastAsia="Times New Roman" w:hAnsi="Arial"/>
          <w:sz w:val="20"/>
          <w:szCs w:val="20"/>
        </w:rPr>
      </w:pPr>
    </w:p>
    <w:p w14:paraId="2C234BEF" w14:textId="77777777" w:rsidR="009A01FD" w:rsidRPr="009A01FD" w:rsidRDefault="009A01FD" w:rsidP="009A01FD">
      <w:pPr>
        <w:spacing w:line="288" w:lineRule="auto"/>
        <w:rPr>
          <w:rFonts w:ascii="Arial" w:eastAsia="Times New Roman" w:hAnsi="Arial"/>
          <w:sz w:val="20"/>
          <w:szCs w:val="20"/>
        </w:rPr>
      </w:pPr>
      <w:r w:rsidRPr="009A01FD">
        <w:rPr>
          <w:rFonts w:ascii="Arial" w:eastAsia="Times New Roman" w:hAnsi="Arial"/>
          <w:sz w:val="20"/>
          <w:szCs w:val="20"/>
        </w:rPr>
        <w:t>13 August 2021</w:t>
      </w:r>
      <w:bookmarkStart w:id="0" w:name="Text"/>
      <w:bookmarkEnd w:id="0"/>
    </w:p>
    <w:p w14:paraId="6124CB51" w14:textId="77777777" w:rsidR="009A01FD" w:rsidRPr="009A01FD" w:rsidRDefault="009A01FD" w:rsidP="009A01FD">
      <w:pPr>
        <w:spacing w:line="288" w:lineRule="auto"/>
        <w:rPr>
          <w:rFonts w:ascii="Arial" w:eastAsia="Times New Roman" w:hAnsi="Arial"/>
          <w:sz w:val="20"/>
          <w:szCs w:val="20"/>
          <w:u w:val="single"/>
        </w:rPr>
      </w:pPr>
    </w:p>
    <w:p w14:paraId="5B98C4CE" w14:textId="0AC54522" w:rsidR="009A01FD" w:rsidRPr="009A01FD" w:rsidRDefault="009A01FD" w:rsidP="009A01FD">
      <w:pPr>
        <w:spacing w:line="288" w:lineRule="auto"/>
        <w:jc w:val="both"/>
        <w:rPr>
          <w:rFonts w:ascii="Arial" w:eastAsia="Times New Roman" w:hAnsi="Arial" w:cs="Arial"/>
          <w:sz w:val="20"/>
          <w:szCs w:val="20"/>
        </w:rPr>
      </w:pPr>
      <w:bookmarkStart w:id="1" w:name="deartext"/>
      <w:r w:rsidRPr="009A01FD">
        <w:rPr>
          <w:rFonts w:ascii="Arial" w:eastAsia="Times New Roman" w:hAnsi="Arial" w:cs="Arial"/>
          <w:sz w:val="20"/>
          <w:szCs w:val="20"/>
        </w:rPr>
        <w:t>Dear</w:t>
      </w:r>
      <w:bookmarkEnd w:id="1"/>
      <w:r w:rsidRPr="009A01FD">
        <w:rPr>
          <w:rFonts w:ascii="Arial" w:eastAsia="Times New Roman" w:hAnsi="Arial" w:cs="Arial"/>
          <w:sz w:val="20"/>
          <w:szCs w:val="20"/>
        </w:rPr>
        <w:t xml:space="preserve"> </w:t>
      </w:r>
      <w:bookmarkStart w:id="2" w:name="Sal"/>
      <w:bookmarkEnd w:id="2"/>
      <w:r w:rsidR="00D84C51" w:rsidRPr="00D84C51">
        <w:rPr>
          <w:rFonts w:ascii="Arial" w:eastAsia="Times New Roman" w:hAnsi="Arial" w:cs="Arial"/>
          <w:sz w:val="20"/>
          <w:szCs w:val="20"/>
          <w:highlight w:val="black"/>
        </w:rPr>
        <w:t>XXXXXX</w:t>
      </w:r>
    </w:p>
    <w:bookmarkStart w:id="3" w:name="Heading"/>
    <w:bookmarkEnd w:id="3"/>
    <w:p w14:paraId="0EC2FFA3" w14:textId="77777777" w:rsidR="009A01FD" w:rsidRPr="009A01FD" w:rsidRDefault="009A01FD" w:rsidP="009A01FD">
      <w:pPr>
        <w:spacing w:line="288" w:lineRule="auto"/>
        <w:ind w:left="426" w:right="468" w:hanging="426"/>
        <w:jc w:val="both"/>
        <w:rPr>
          <w:rFonts w:ascii="Arial" w:eastAsia="Times New Roman" w:hAnsi="Arial" w:cs="Arial"/>
          <w:sz w:val="20"/>
          <w:szCs w:val="20"/>
        </w:rPr>
      </w:pPr>
      <w:r w:rsidRPr="009A01FD">
        <w:rPr>
          <w:rFonts w:ascii="Arial" w:eastAsia="Times New Roman" w:hAnsi="Arial" w:cs="Arial"/>
          <w:noProof/>
          <w:spacing w:val="-3"/>
          <w:sz w:val="20"/>
          <w:szCs w:val="20"/>
          <w:lang w:eastAsia="en-GB"/>
        </w:rPr>
        <mc:AlternateContent>
          <mc:Choice Requires="wps">
            <w:drawing>
              <wp:anchor distT="4294967294" distB="4294967294" distL="114300" distR="114300" simplePos="0" relativeHeight="251659264" behindDoc="0" locked="0" layoutInCell="1" allowOverlap="1" wp14:anchorId="0D08AB02" wp14:editId="209532D6">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2FB2D9"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0AoOm8oBAACBAwAADgAA&#10;AAAAAAAAAAAAAAAuAgAAZHJzL2Uyb0RvYy54bWxQSwECLQAUAAYACAAAACEA2X1V2eAAAAALAQAA&#10;DwAAAAAAAAAAAAAAAAAkBAAAZHJzL2Rvd25yZXYueG1sUEsFBgAAAAAEAAQA8wAAADEFAAAAAA==&#10;" strokecolor="#505050" strokeweight=".25pt">
                <o:lock v:ext="edit" shapetype="f"/>
              </v:line>
            </w:pict>
          </mc:Fallback>
        </mc:AlternateContent>
      </w:r>
      <w:r w:rsidRPr="009A01FD">
        <w:rPr>
          <w:rFonts w:ascii="Arial" w:eastAsia="Times New Roman" w:hAnsi="Arial" w:cs="Arial"/>
          <w:b/>
          <w:spacing w:val="-3"/>
          <w:sz w:val="20"/>
          <w:szCs w:val="20"/>
        </w:rPr>
        <w:t xml:space="preserve">Re: </w:t>
      </w:r>
      <w:r w:rsidRPr="009A01FD">
        <w:rPr>
          <w:rFonts w:ascii="Arial" w:eastAsia="Times New Roman" w:hAnsi="Arial" w:cs="Arial"/>
          <w:b/>
          <w:sz w:val="20"/>
          <w:szCs w:val="20"/>
        </w:rPr>
        <w:t>Final Appraisal Document –</w:t>
      </w:r>
      <w:r w:rsidRPr="009A01FD">
        <w:rPr>
          <w:rFonts w:ascii="Arial" w:eastAsia="Times New Roman" w:hAnsi="Arial"/>
          <w:sz w:val="20"/>
          <w:szCs w:val="20"/>
        </w:rPr>
        <w:t xml:space="preserve"> </w:t>
      </w:r>
      <w:r w:rsidRPr="009A01FD">
        <w:rPr>
          <w:rFonts w:ascii="Arial" w:eastAsia="Times New Roman" w:hAnsi="Arial" w:cs="Arial"/>
          <w:b/>
          <w:sz w:val="20"/>
          <w:szCs w:val="20"/>
        </w:rPr>
        <w:t>avelumab for maintenance treatment of locally advanced or metastatic urothelial cancer after platinum-based chemotherapy [ID3735]</w:t>
      </w:r>
    </w:p>
    <w:p w14:paraId="69D5B9CC" w14:textId="77777777" w:rsidR="009A01FD" w:rsidRPr="009A01FD" w:rsidRDefault="009A01FD" w:rsidP="009A01FD">
      <w:pPr>
        <w:spacing w:line="288" w:lineRule="auto"/>
        <w:jc w:val="both"/>
        <w:rPr>
          <w:rFonts w:ascii="Arial" w:eastAsia="Times New Roman" w:hAnsi="Arial" w:cs="Arial"/>
          <w:sz w:val="20"/>
          <w:szCs w:val="20"/>
        </w:rPr>
      </w:pPr>
      <w:r w:rsidRPr="009A01FD">
        <w:rPr>
          <w:rFonts w:ascii="Arial" w:eastAsia="Times New Roman" w:hAnsi="Arial" w:cs="Arial"/>
          <w:sz w:val="20"/>
          <w:szCs w:val="20"/>
        </w:rPr>
        <w:t xml:space="preserve">Thank you for your letter of 6 August 2021 addressed to Tim Irish, lodging </w:t>
      </w:r>
      <w:r w:rsidRPr="009A01FD">
        <w:rPr>
          <w:rFonts w:ascii="Arial" w:eastAsia="Times New Roman" w:hAnsi="Arial"/>
          <w:sz w:val="20"/>
          <w:szCs w:val="20"/>
        </w:rPr>
        <w:t xml:space="preserve">your </w:t>
      </w:r>
      <w:r w:rsidRPr="009A01FD">
        <w:rPr>
          <w:rFonts w:ascii="Arial" w:eastAsia="Times New Roman" w:hAnsi="Arial" w:cs="Arial"/>
          <w:sz w:val="20"/>
          <w:szCs w:val="20"/>
        </w:rPr>
        <w:t xml:space="preserve">appeal against the above Final Appraisal Document (FAD).  Mr Irish has stepped back from overseeing the NICE appeal process and I am replying as NICE’s lead </w:t>
      </w:r>
      <w:proofErr w:type="spellStart"/>
      <w:proofErr w:type="gramStart"/>
      <w:r w:rsidRPr="009A01FD">
        <w:rPr>
          <w:rFonts w:ascii="Arial" w:eastAsia="Times New Roman" w:hAnsi="Arial" w:cs="Arial"/>
          <w:sz w:val="20"/>
          <w:szCs w:val="20"/>
        </w:rPr>
        <w:t>non executive</w:t>
      </w:r>
      <w:proofErr w:type="spellEnd"/>
      <w:proofErr w:type="gramEnd"/>
      <w:r w:rsidRPr="009A01FD">
        <w:rPr>
          <w:rFonts w:ascii="Arial" w:eastAsia="Times New Roman" w:hAnsi="Arial" w:cs="Arial"/>
          <w:sz w:val="20"/>
          <w:szCs w:val="20"/>
        </w:rPr>
        <w:t xml:space="preserve"> director for appeals.</w:t>
      </w:r>
    </w:p>
    <w:p w14:paraId="4745C00B" w14:textId="77777777" w:rsidR="009A01FD" w:rsidRPr="009A01FD" w:rsidRDefault="009A01FD" w:rsidP="009A01FD">
      <w:pPr>
        <w:spacing w:line="288" w:lineRule="auto"/>
        <w:jc w:val="both"/>
        <w:rPr>
          <w:rFonts w:ascii="Arial" w:eastAsia="Times New Roman" w:hAnsi="Arial" w:cs="Arial"/>
          <w:sz w:val="20"/>
          <w:szCs w:val="20"/>
        </w:rPr>
      </w:pPr>
      <w:r w:rsidRPr="009A01FD">
        <w:rPr>
          <w:rFonts w:ascii="Arial" w:eastAsia="Times New Roman" w:hAnsi="Arial" w:cs="Arial"/>
          <w:sz w:val="20"/>
          <w:szCs w:val="20"/>
          <w:u w:val="single"/>
        </w:rPr>
        <w:t>Introduction</w:t>
      </w:r>
      <w:r w:rsidRPr="009A01FD">
        <w:rPr>
          <w:rFonts w:ascii="Arial" w:eastAsia="Times New Roman" w:hAnsi="Arial" w:cs="Arial"/>
          <w:sz w:val="20"/>
          <w:szCs w:val="20"/>
        </w:rPr>
        <w:t xml:space="preserve"> </w:t>
      </w:r>
    </w:p>
    <w:p w14:paraId="59E54647" w14:textId="77777777" w:rsidR="009A01FD" w:rsidRPr="009A01FD" w:rsidRDefault="009A01FD" w:rsidP="009A01FD">
      <w:pPr>
        <w:spacing w:line="288" w:lineRule="auto"/>
        <w:jc w:val="both"/>
        <w:rPr>
          <w:rFonts w:ascii="Arial" w:eastAsia="Times New Roman" w:hAnsi="Arial" w:cs="Arial"/>
          <w:sz w:val="20"/>
          <w:szCs w:val="20"/>
        </w:rPr>
      </w:pPr>
      <w:r w:rsidRPr="009A01FD">
        <w:rPr>
          <w:rFonts w:ascii="Arial" w:eastAsia="Times New Roman" w:hAnsi="Arial" w:cs="Arial"/>
          <w:sz w:val="20"/>
          <w:szCs w:val="20"/>
        </w:rPr>
        <w:t xml:space="preserve">The Institute's appeal procedures provide for an initial scrutiny of points that an appellant wishes to raise, to confirm that they are at least arguably within the permitted grounds of appeal ("valid"). The permitted grounds of appeal are: </w:t>
      </w:r>
    </w:p>
    <w:p w14:paraId="4BC5FB4B" w14:textId="77777777" w:rsidR="009A01FD" w:rsidRPr="009A01FD" w:rsidRDefault="009A01FD" w:rsidP="009A01FD">
      <w:pPr>
        <w:numPr>
          <w:ilvl w:val="0"/>
          <w:numId w:val="1"/>
        </w:numPr>
        <w:shd w:val="clear" w:color="auto" w:fill="FFFFFF"/>
        <w:spacing w:before="240" w:after="240" w:line="240" w:lineRule="auto"/>
        <w:jc w:val="both"/>
        <w:rPr>
          <w:rFonts w:ascii="Arial" w:eastAsia="Times New Roman" w:hAnsi="Arial" w:cs="Arial"/>
          <w:sz w:val="20"/>
          <w:szCs w:val="20"/>
        </w:rPr>
      </w:pPr>
      <w:r w:rsidRPr="009A01FD">
        <w:rPr>
          <w:rFonts w:ascii="Arial" w:eastAsia="Times New Roman" w:hAnsi="Arial" w:cs="Arial"/>
          <w:sz w:val="20"/>
          <w:szCs w:val="20"/>
        </w:rPr>
        <w:t xml:space="preserve">1(a) NICE has failed to act fairly, or </w:t>
      </w:r>
    </w:p>
    <w:p w14:paraId="05463C80" w14:textId="77777777" w:rsidR="009A01FD" w:rsidRPr="009A01FD" w:rsidRDefault="009A01FD" w:rsidP="009A01FD">
      <w:pPr>
        <w:numPr>
          <w:ilvl w:val="0"/>
          <w:numId w:val="1"/>
        </w:numPr>
        <w:shd w:val="clear" w:color="auto" w:fill="FFFFFF"/>
        <w:spacing w:before="240" w:after="240" w:line="240" w:lineRule="auto"/>
        <w:jc w:val="both"/>
        <w:rPr>
          <w:rFonts w:ascii="Arial" w:eastAsia="Times New Roman" w:hAnsi="Arial" w:cs="Arial"/>
          <w:sz w:val="20"/>
          <w:szCs w:val="20"/>
        </w:rPr>
      </w:pPr>
      <w:r w:rsidRPr="009A01FD">
        <w:rPr>
          <w:rFonts w:ascii="Arial" w:eastAsia="Times New Roman" w:hAnsi="Arial" w:cs="Arial"/>
          <w:sz w:val="20"/>
          <w:szCs w:val="20"/>
        </w:rPr>
        <w:t xml:space="preserve">1(b) NICE has exceeded </w:t>
      </w:r>
      <w:proofErr w:type="gramStart"/>
      <w:r w:rsidRPr="009A01FD">
        <w:rPr>
          <w:rFonts w:ascii="Arial" w:eastAsia="Times New Roman" w:hAnsi="Arial" w:cs="Arial"/>
          <w:sz w:val="20"/>
          <w:szCs w:val="20"/>
        </w:rPr>
        <w:t>powers;</w:t>
      </w:r>
      <w:proofErr w:type="gramEnd"/>
    </w:p>
    <w:p w14:paraId="728B9C37" w14:textId="77777777" w:rsidR="009A01FD" w:rsidRPr="009A01FD" w:rsidRDefault="009A01FD" w:rsidP="009A01FD">
      <w:pPr>
        <w:numPr>
          <w:ilvl w:val="0"/>
          <w:numId w:val="1"/>
        </w:numPr>
        <w:shd w:val="clear" w:color="auto" w:fill="FFFFFF"/>
        <w:spacing w:before="240" w:after="240" w:line="240" w:lineRule="auto"/>
        <w:jc w:val="both"/>
        <w:rPr>
          <w:rFonts w:ascii="Arial" w:eastAsia="Times New Roman" w:hAnsi="Arial" w:cs="Arial"/>
          <w:sz w:val="20"/>
          <w:szCs w:val="20"/>
        </w:rPr>
      </w:pPr>
      <w:r w:rsidRPr="009A01FD">
        <w:rPr>
          <w:rFonts w:ascii="Arial" w:eastAsia="Times New Roman" w:hAnsi="Arial" w:cs="Arial"/>
          <w:sz w:val="20"/>
          <w:szCs w:val="20"/>
        </w:rPr>
        <w:t>(2) the recommendation is unreasonable in the light of the evidence submitted to NICE</w:t>
      </w:r>
    </w:p>
    <w:p w14:paraId="70F4E024" w14:textId="77777777" w:rsidR="009A01FD" w:rsidRPr="009A01FD" w:rsidRDefault="009A01FD" w:rsidP="009A01FD">
      <w:pPr>
        <w:spacing w:line="288" w:lineRule="auto"/>
        <w:jc w:val="both"/>
        <w:rPr>
          <w:rFonts w:ascii="Arial" w:eastAsia="Times New Roman" w:hAnsi="Arial" w:cs="Arial"/>
          <w:sz w:val="20"/>
          <w:szCs w:val="20"/>
        </w:rPr>
      </w:pPr>
      <w:r w:rsidRPr="009A01FD">
        <w:rPr>
          <w:rFonts w:ascii="Arial" w:eastAsia="Times New Roman" w:hAnsi="Arial" w:cs="Arial"/>
          <w:sz w:val="20"/>
          <w:szCs w:val="20"/>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to the Appeal Panel. </w:t>
      </w:r>
    </w:p>
    <w:p w14:paraId="7D47B026" w14:textId="77777777" w:rsidR="009A01FD" w:rsidRPr="009A01FD" w:rsidRDefault="009A01FD" w:rsidP="009A01FD">
      <w:pPr>
        <w:spacing w:line="288" w:lineRule="auto"/>
        <w:jc w:val="both"/>
        <w:rPr>
          <w:rFonts w:ascii="Arial" w:eastAsia="Times New Roman" w:hAnsi="Arial" w:cs="Arial"/>
          <w:sz w:val="20"/>
          <w:szCs w:val="20"/>
        </w:rPr>
      </w:pPr>
      <w:r w:rsidRPr="009A01FD">
        <w:rPr>
          <w:rFonts w:ascii="Arial" w:eastAsia="Times New Roman" w:hAnsi="Arial" w:cs="Arial"/>
          <w:sz w:val="20"/>
          <w:szCs w:val="20"/>
        </w:rPr>
        <w:t xml:space="preserve">You </w:t>
      </w:r>
      <w:proofErr w:type="gramStart"/>
      <w:r w:rsidRPr="009A01FD">
        <w:rPr>
          <w:rFonts w:ascii="Arial" w:eastAsia="Times New Roman" w:hAnsi="Arial" w:cs="Arial"/>
          <w:sz w:val="20"/>
          <w:szCs w:val="20"/>
        </w:rPr>
        <w:t>have the opportunity to</w:t>
      </w:r>
      <w:proofErr w:type="gramEnd"/>
      <w:r w:rsidRPr="009A01FD">
        <w:rPr>
          <w:rFonts w:ascii="Arial" w:eastAsia="Times New Roman" w:hAnsi="Arial" w:cs="Arial"/>
          <w:sz w:val="20"/>
          <w:szCs w:val="20"/>
        </w:rPr>
        <w:t xml:space="preserve"> comment on this letter in order to elaborate on or clarify any of the points raised before I will make my final decision as to whether each appeal point should be referred on to the Appeal Panel. </w:t>
      </w:r>
    </w:p>
    <w:p w14:paraId="423D9160" w14:textId="77777777" w:rsidR="009A01FD" w:rsidRPr="009A01FD" w:rsidRDefault="009A01FD" w:rsidP="009A01FD">
      <w:pPr>
        <w:spacing w:line="288" w:lineRule="auto"/>
        <w:jc w:val="both"/>
        <w:rPr>
          <w:rFonts w:ascii="Arial" w:eastAsia="Times New Roman" w:hAnsi="Arial" w:cs="Arial"/>
          <w:sz w:val="20"/>
          <w:szCs w:val="20"/>
          <w:u w:val="single"/>
        </w:rPr>
      </w:pPr>
      <w:r w:rsidRPr="009A01FD">
        <w:rPr>
          <w:rFonts w:ascii="Arial" w:eastAsia="Times New Roman" w:hAnsi="Arial" w:cs="Arial"/>
          <w:sz w:val="20"/>
          <w:szCs w:val="20"/>
          <w:u w:val="single"/>
        </w:rPr>
        <w:t>Initial View</w:t>
      </w:r>
    </w:p>
    <w:p w14:paraId="4EFED52F" w14:textId="77777777" w:rsidR="009A01FD" w:rsidRPr="009A01FD" w:rsidRDefault="009A01FD" w:rsidP="009A01FD">
      <w:pPr>
        <w:spacing w:line="288" w:lineRule="auto"/>
        <w:jc w:val="both"/>
        <w:rPr>
          <w:rFonts w:ascii="Arial" w:eastAsia="Times New Roman" w:hAnsi="Arial" w:cs="Arial"/>
          <w:sz w:val="20"/>
          <w:szCs w:val="20"/>
        </w:rPr>
      </w:pPr>
      <w:r w:rsidRPr="009A01FD">
        <w:rPr>
          <w:rFonts w:ascii="Arial" w:eastAsia="Times New Roman" w:hAnsi="Arial" w:cs="Arial"/>
          <w:sz w:val="20"/>
          <w:szCs w:val="20"/>
        </w:rPr>
        <w:t xml:space="preserve">I assess each of your points in turn and then summarise the appeal points that I am presently minded </w:t>
      </w:r>
      <w:proofErr w:type="gramStart"/>
      <w:r w:rsidRPr="009A01FD">
        <w:rPr>
          <w:rFonts w:ascii="Arial" w:eastAsia="Times New Roman" w:hAnsi="Arial" w:cs="Arial"/>
          <w:sz w:val="20"/>
          <w:szCs w:val="20"/>
        </w:rPr>
        <w:t>to refer</w:t>
      </w:r>
      <w:proofErr w:type="gramEnd"/>
      <w:r w:rsidRPr="009A01FD">
        <w:rPr>
          <w:rFonts w:ascii="Arial" w:eastAsia="Times New Roman" w:hAnsi="Arial" w:cs="Arial"/>
          <w:sz w:val="20"/>
          <w:szCs w:val="20"/>
        </w:rPr>
        <w:t xml:space="preserve"> at the end of this letter. </w:t>
      </w:r>
    </w:p>
    <w:p w14:paraId="21454697" w14:textId="77777777" w:rsidR="009A01FD" w:rsidRPr="009A01FD" w:rsidRDefault="009A01FD" w:rsidP="009A01FD">
      <w:pPr>
        <w:spacing w:line="288" w:lineRule="auto"/>
        <w:jc w:val="both"/>
        <w:rPr>
          <w:rFonts w:ascii="Arial" w:eastAsia="Times New Roman" w:hAnsi="Arial" w:cs="Arial"/>
          <w:sz w:val="20"/>
          <w:szCs w:val="20"/>
        </w:rPr>
      </w:pPr>
      <w:r w:rsidRPr="009A01FD">
        <w:rPr>
          <w:rFonts w:ascii="Arial" w:eastAsia="Times New Roman" w:hAnsi="Arial" w:cs="Arial"/>
          <w:sz w:val="20"/>
          <w:szCs w:val="20"/>
        </w:rPr>
        <w:lastRenderedPageBreak/>
        <w:t xml:space="preserve">Rather than re-produce the detailed submissions in your appeal letter, which I have considered, I will refer to your appeal points as set out in bullet points at the top of your letter for convenience. </w:t>
      </w:r>
    </w:p>
    <w:p w14:paraId="79B1D283" w14:textId="77777777" w:rsidR="009A01FD" w:rsidRPr="009A01FD" w:rsidRDefault="009A01FD" w:rsidP="009A01FD">
      <w:pPr>
        <w:spacing w:before="120" w:after="0" w:line="240" w:lineRule="auto"/>
        <w:rPr>
          <w:rFonts w:ascii="Arial" w:eastAsia="Times New Roman" w:hAnsi="Arial" w:cs="Arial"/>
          <w:b/>
          <w:i/>
          <w:sz w:val="20"/>
          <w:szCs w:val="20"/>
          <w:lang w:eastAsia="en-GB"/>
        </w:rPr>
      </w:pPr>
      <w:r w:rsidRPr="009A01FD">
        <w:rPr>
          <w:rFonts w:ascii="Arial" w:eastAsia="Times New Roman" w:hAnsi="Arial" w:cs="Arial"/>
          <w:b/>
          <w:i/>
          <w:sz w:val="20"/>
          <w:szCs w:val="20"/>
          <w:lang w:eastAsia="en-GB"/>
        </w:rPr>
        <w:t>Ground 1(a): In making the assessment that preceded the recommendation, NICE has failed to act fairly</w:t>
      </w:r>
    </w:p>
    <w:p w14:paraId="35E5EC9E" w14:textId="77777777" w:rsidR="009A01FD" w:rsidRPr="009A01FD" w:rsidRDefault="009A01FD" w:rsidP="009A01FD">
      <w:pPr>
        <w:spacing w:before="120" w:after="0" w:line="240" w:lineRule="auto"/>
        <w:rPr>
          <w:rFonts w:ascii="Arial" w:eastAsia="Times New Roman" w:hAnsi="Arial" w:cs="Arial"/>
          <w:b/>
          <w:i/>
          <w:sz w:val="20"/>
          <w:szCs w:val="20"/>
          <w:lang w:eastAsia="en-GB"/>
        </w:rPr>
      </w:pPr>
    </w:p>
    <w:p w14:paraId="50B33B25" w14:textId="77777777" w:rsidR="009A01FD" w:rsidRPr="009A01FD" w:rsidRDefault="009A01FD" w:rsidP="009A01FD">
      <w:pPr>
        <w:numPr>
          <w:ilvl w:val="1"/>
          <w:numId w:val="2"/>
        </w:numPr>
        <w:spacing w:before="120" w:after="240" w:line="288" w:lineRule="auto"/>
        <w:rPr>
          <w:rFonts w:ascii="Arial" w:eastAsia="Times New Roman" w:hAnsi="Arial"/>
          <w:i/>
          <w:sz w:val="20"/>
          <w:szCs w:val="20"/>
        </w:rPr>
      </w:pPr>
      <w:r w:rsidRPr="009A01FD">
        <w:rPr>
          <w:rFonts w:ascii="Arial" w:eastAsia="Times New Roman" w:hAnsi="Arial"/>
          <w:i/>
          <w:sz w:val="20"/>
          <w:szCs w:val="20"/>
        </w:rPr>
        <w:t>The Committee’s conclusion that a stopping rule is inappropriate for avelumab is inconsistent with previous appraisals for immunotherapies (IOs) in metastatic urothelial cancer (</w:t>
      </w:r>
      <w:proofErr w:type="spellStart"/>
      <w:r w:rsidRPr="009A01FD">
        <w:rPr>
          <w:rFonts w:ascii="Arial" w:eastAsia="Times New Roman" w:hAnsi="Arial"/>
          <w:i/>
          <w:sz w:val="20"/>
          <w:szCs w:val="20"/>
        </w:rPr>
        <w:t>mUC</w:t>
      </w:r>
      <w:proofErr w:type="spellEnd"/>
      <w:r w:rsidRPr="009A01FD">
        <w:rPr>
          <w:rFonts w:ascii="Arial" w:eastAsia="Times New Roman" w:hAnsi="Arial"/>
          <w:i/>
          <w:sz w:val="20"/>
          <w:szCs w:val="20"/>
        </w:rPr>
        <w:t>).</w:t>
      </w:r>
    </w:p>
    <w:p w14:paraId="06F0DACE" w14:textId="77777777" w:rsidR="009A01FD" w:rsidRPr="009A01FD" w:rsidRDefault="009A01FD" w:rsidP="009A01FD">
      <w:pPr>
        <w:spacing w:before="120" w:after="240"/>
        <w:ind w:left="390"/>
        <w:rPr>
          <w:rFonts w:ascii="Arial" w:eastAsia="Times New Roman" w:hAnsi="Arial"/>
          <w:sz w:val="20"/>
          <w:szCs w:val="20"/>
        </w:rPr>
      </w:pPr>
      <w:r w:rsidRPr="009A01FD">
        <w:rPr>
          <w:rFonts w:ascii="Arial" w:eastAsia="Times New Roman" w:hAnsi="Arial"/>
          <w:sz w:val="20"/>
          <w:szCs w:val="20"/>
        </w:rPr>
        <w:t xml:space="preserve">As you are aware, past appeal panels have been careful not to set the requirement of consistency unrealistically high.  If two appraisals are truly sufficiently similar that an obligation of consistency arises, then the reason for any apparent inconsistency </w:t>
      </w:r>
      <w:proofErr w:type="gramStart"/>
      <w:r w:rsidRPr="009A01FD">
        <w:rPr>
          <w:rFonts w:ascii="Arial" w:eastAsia="Times New Roman" w:hAnsi="Arial"/>
          <w:sz w:val="20"/>
          <w:szCs w:val="20"/>
        </w:rPr>
        <w:t>has to</w:t>
      </w:r>
      <w:proofErr w:type="gramEnd"/>
      <w:r w:rsidRPr="009A01FD">
        <w:rPr>
          <w:rFonts w:ascii="Arial" w:eastAsia="Times New Roman" w:hAnsi="Arial"/>
          <w:sz w:val="20"/>
          <w:szCs w:val="20"/>
        </w:rPr>
        <w:t xml:space="preserve"> be stated. </w:t>
      </w:r>
    </w:p>
    <w:p w14:paraId="6106B493" w14:textId="77777777" w:rsidR="009A01FD" w:rsidRPr="009A01FD" w:rsidRDefault="009A01FD" w:rsidP="009A01FD">
      <w:pPr>
        <w:spacing w:before="120" w:after="240"/>
        <w:ind w:left="390"/>
        <w:rPr>
          <w:rFonts w:ascii="Arial" w:eastAsia="Times New Roman" w:hAnsi="Arial"/>
          <w:sz w:val="20"/>
          <w:szCs w:val="20"/>
        </w:rPr>
      </w:pPr>
      <w:r w:rsidRPr="009A01FD">
        <w:rPr>
          <w:rFonts w:ascii="Arial" w:eastAsia="Times New Roman" w:hAnsi="Arial"/>
          <w:sz w:val="20"/>
          <w:szCs w:val="20"/>
        </w:rPr>
        <w:t>Here it seems that the committee considered the question of a stopping rule in immunotherapies</w:t>
      </w:r>
      <w:r w:rsidRPr="009A01FD">
        <w:rPr>
          <w:rFonts w:ascii="Arial" w:eastAsia="Times New Roman" w:hAnsi="Arial"/>
          <w:sz w:val="24"/>
          <w:szCs w:val="24"/>
          <w:lang w:eastAsia="en-GB"/>
        </w:rPr>
        <w:t xml:space="preserve"> </w:t>
      </w:r>
      <w:r w:rsidRPr="009A01FD">
        <w:rPr>
          <w:rFonts w:ascii="Arial" w:eastAsia="Times New Roman" w:hAnsi="Arial"/>
          <w:sz w:val="20"/>
          <w:szCs w:val="20"/>
        </w:rPr>
        <w:t xml:space="preserve">after platinum-based chemotherapy in urothelial cancer as sufficiently </w:t>
      </w:r>
      <w:proofErr w:type="gramStart"/>
      <w:r w:rsidRPr="009A01FD">
        <w:rPr>
          <w:rFonts w:ascii="Arial" w:eastAsia="Times New Roman" w:hAnsi="Arial"/>
          <w:sz w:val="20"/>
          <w:szCs w:val="20"/>
        </w:rPr>
        <w:t>similar to</w:t>
      </w:r>
      <w:proofErr w:type="gramEnd"/>
      <w:r w:rsidRPr="009A01FD">
        <w:rPr>
          <w:rFonts w:ascii="Arial" w:eastAsia="Times New Roman" w:hAnsi="Arial"/>
          <w:sz w:val="20"/>
          <w:szCs w:val="20"/>
        </w:rPr>
        <w:t xml:space="preserve"> warrant consideration.  I will proceed on the basis that that is right.  They have identified that in the past a stopping rule was </w:t>
      </w:r>
      <w:proofErr w:type="gramStart"/>
      <w:r w:rsidRPr="009A01FD">
        <w:rPr>
          <w:rFonts w:ascii="Arial" w:eastAsia="Times New Roman" w:hAnsi="Arial"/>
          <w:sz w:val="20"/>
          <w:szCs w:val="20"/>
        </w:rPr>
        <w:t>implemented, and</w:t>
      </w:r>
      <w:proofErr w:type="gramEnd"/>
      <w:r w:rsidRPr="009A01FD">
        <w:rPr>
          <w:rFonts w:ascii="Arial" w:eastAsia="Times New Roman" w:hAnsi="Arial"/>
          <w:sz w:val="20"/>
          <w:szCs w:val="20"/>
        </w:rPr>
        <w:t xml:space="preserve"> have given their reasons for not doing so in this case in a substantial paragraph.  I note that the duration of treatment was discussed in the ACD and that consultation comments were received on it.   </w:t>
      </w:r>
    </w:p>
    <w:p w14:paraId="594A5DE4" w14:textId="77777777" w:rsidR="009A01FD" w:rsidRPr="009A01FD" w:rsidRDefault="009A01FD" w:rsidP="009A01FD">
      <w:pPr>
        <w:spacing w:before="120" w:after="240"/>
        <w:ind w:left="390"/>
        <w:rPr>
          <w:rFonts w:ascii="Arial" w:eastAsia="Times New Roman" w:hAnsi="Arial"/>
          <w:sz w:val="20"/>
          <w:szCs w:val="20"/>
        </w:rPr>
      </w:pPr>
      <w:r w:rsidRPr="009A01FD">
        <w:rPr>
          <w:rFonts w:ascii="Arial" w:eastAsia="Times New Roman" w:hAnsi="Arial"/>
          <w:sz w:val="20"/>
          <w:szCs w:val="20"/>
        </w:rPr>
        <w:t xml:space="preserve">The committee were clearly aware of past practice and that they were departing from </w:t>
      </w:r>
      <w:proofErr w:type="gramStart"/>
      <w:r w:rsidRPr="009A01FD">
        <w:rPr>
          <w:rFonts w:ascii="Arial" w:eastAsia="Times New Roman" w:hAnsi="Arial"/>
          <w:sz w:val="20"/>
          <w:szCs w:val="20"/>
        </w:rPr>
        <w:t>it, and</w:t>
      </w:r>
      <w:proofErr w:type="gramEnd"/>
      <w:r w:rsidRPr="009A01FD">
        <w:rPr>
          <w:rFonts w:ascii="Arial" w:eastAsia="Times New Roman" w:hAnsi="Arial"/>
          <w:sz w:val="20"/>
          <w:szCs w:val="20"/>
        </w:rPr>
        <w:t xml:space="preserve"> have given their reasons.  It seems to me that that has discharged any obligation of consistency that past appeal panels have identified.  Your letter appears to take that obligation further, in that you imply that the approach taken in atezolizumab must also be taken here but that goes too far.  Committee’s must have room to exercise their own judgement on the facts of each appraisal.</w:t>
      </w:r>
    </w:p>
    <w:p w14:paraId="1500E2A6" w14:textId="77777777" w:rsidR="009A01FD" w:rsidRPr="009A01FD" w:rsidRDefault="009A01FD" w:rsidP="009A01FD">
      <w:pPr>
        <w:spacing w:before="120" w:after="240"/>
        <w:ind w:left="390"/>
        <w:rPr>
          <w:rFonts w:ascii="Arial" w:eastAsia="Times New Roman" w:hAnsi="Arial"/>
          <w:sz w:val="20"/>
          <w:szCs w:val="20"/>
        </w:rPr>
      </w:pPr>
      <w:r w:rsidRPr="009A01FD">
        <w:rPr>
          <w:rFonts w:ascii="Arial" w:eastAsia="Times New Roman" w:hAnsi="Arial"/>
          <w:sz w:val="20"/>
          <w:szCs w:val="20"/>
        </w:rPr>
        <w:t xml:space="preserve">I would not be minded </w:t>
      </w:r>
      <w:proofErr w:type="gramStart"/>
      <w:r w:rsidRPr="009A01FD">
        <w:rPr>
          <w:rFonts w:ascii="Arial" w:eastAsia="Times New Roman" w:hAnsi="Arial"/>
          <w:sz w:val="20"/>
          <w:szCs w:val="20"/>
        </w:rPr>
        <w:t>to refer</w:t>
      </w:r>
      <w:proofErr w:type="gramEnd"/>
      <w:r w:rsidRPr="009A01FD">
        <w:rPr>
          <w:rFonts w:ascii="Arial" w:eastAsia="Times New Roman" w:hAnsi="Arial"/>
          <w:sz w:val="20"/>
          <w:szCs w:val="20"/>
        </w:rPr>
        <w:t xml:space="preserve"> this point to an appeal panel. </w:t>
      </w:r>
    </w:p>
    <w:p w14:paraId="5E03C695" w14:textId="77777777" w:rsidR="009A01FD" w:rsidRPr="009A01FD" w:rsidRDefault="009A01FD" w:rsidP="009A01FD">
      <w:pPr>
        <w:numPr>
          <w:ilvl w:val="1"/>
          <w:numId w:val="2"/>
        </w:numPr>
        <w:spacing w:before="120" w:after="240" w:line="288" w:lineRule="auto"/>
        <w:rPr>
          <w:rFonts w:ascii="Arial" w:eastAsia="Times New Roman" w:hAnsi="Arial"/>
          <w:i/>
          <w:sz w:val="20"/>
          <w:szCs w:val="20"/>
        </w:rPr>
      </w:pPr>
      <w:r w:rsidRPr="009A01FD">
        <w:rPr>
          <w:rFonts w:ascii="Arial" w:eastAsia="Times New Roman" w:hAnsi="Arial"/>
          <w:i/>
          <w:sz w:val="20"/>
          <w:szCs w:val="20"/>
        </w:rPr>
        <w:t xml:space="preserve">The Committee has relied upon irrelevant considerations in deciding that it would not implement a stopping rule for avelumab </w:t>
      </w:r>
    </w:p>
    <w:p w14:paraId="51E61885" w14:textId="77777777" w:rsidR="009A01FD" w:rsidRPr="009A01FD" w:rsidRDefault="009A01FD" w:rsidP="009A01FD">
      <w:pPr>
        <w:spacing w:before="120" w:after="240"/>
        <w:ind w:left="390"/>
        <w:rPr>
          <w:rFonts w:ascii="Arial" w:eastAsia="Times New Roman" w:hAnsi="Arial"/>
          <w:sz w:val="20"/>
          <w:szCs w:val="20"/>
        </w:rPr>
      </w:pPr>
      <w:r w:rsidRPr="009A01FD">
        <w:rPr>
          <w:rFonts w:ascii="Arial" w:eastAsia="Times New Roman" w:hAnsi="Arial"/>
          <w:sz w:val="20"/>
          <w:szCs w:val="20"/>
        </w:rPr>
        <w:t xml:space="preserve">I accept that the purpose of a stopping rule in an SmPC and in a NICE recommendation is likely to be different, as past appeal panels have observed.  But I cannot accept that the fact that a trial (and hence the SmPC) did not have a stopping rule is </w:t>
      </w:r>
      <w:r w:rsidRPr="009A01FD">
        <w:rPr>
          <w:rFonts w:ascii="Arial" w:eastAsia="Times New Roman" w:hAnsi="Arial"/>
          <w:sz w:val="20"/>
          <w:szCs w:val="20"/>
          <w:u w:val="single"/>
        </w:rPr>
        <w:t>irrelevant</w:t>
      </w:r>
      <w:r w:rsidRPr="009A01FD">
        <w:rPr>
          <w:rFonts w:ascii="Arial" w:eastAsia="Times New Roman" w:hAnsi="Arial"/>
          <w:sz w:val="20"/>
          <w:szCs w:val="20"/>
        </w:rPr>
        <w:t xml:space="preserve"> to whether a stopping rule should be proposed by NICE.  For example, if the SmPC did have a stopping rule then, unless NICE was to recommend off label use, its recommendation would also have a stopping rule.  It would also be reasonable to suppose that patient-clinician conversations about stopping treatment would be different (and perhaps easier) if treatment beyond the stopping rule was off label.  At the least the clinician would have to have a further conversation to obtain informed consent to off label use.  And the data generated in a trial with a stopping rule would be more directly relevant to a recommendation with the same stopping rule.</w:t>
      </w:r>
    </w:p>
    <w:p w14:paraId="034790B8" w14:textId="77777777" w:rsidR="009A01FD" w:rsidRPr="009A01FD" w:rsidRDefault="009A01FD" w:rsidP="009A01FD">
      <w:pPr>
        <w:spacing w:before="120" w:after="240"/>
        <w:ind w:left="390"/>
        <w:rPr>
          <w:rFonts w:ascii="Arial" w:eastAsia="Times New Roman" w:hAnsi="Arial"/>
          <w:sz w:val="20"/>
          <w:szCs w:val="20"/>
        </w:rPr>
      </w:pPr>
      <w:r w:rsidRPr="009A01FD">
        <w:rPr>
          <w:rFonts w:ascii="Arial" w:eastAsia="Times New Roman" w:hAnsi="Arial"/>
          <w:sz w:val="20"/>
          <w:szCs w:val="20"/>
        </w:rPr>
        <w:t xml:space="preserve">For these reasons I do not think it can be said that the fact that there was no stopping rule in the </w:t>
      </w:r>
      <w:proofErr w:type="gramStart"/>
      <w:r w:rsidRPr="009A01FD">
        <w:rPr>
          <w:rFonts w:ascii="Arial" w:eastAsia="Times New Roman" w:hAnsi="Arial"/>
          <w:sz w:val="20"/>
          <w:szCs w:val="20"/>
        </w:rPr>
        <w:t>SmPC</w:t>
      </w:r>
      <w:proofErr w:type="gramEnd"/>
      <w:r w:rsidRPr="009A01FD">
        <w:rPr>
          <w:rFonts w:ascii="Arial" w:eastAsia="Times New Roman" w:hAnsi="Arial"/>
          <w:sz w:val="20"/>
          <w:szCs w:val="20"/>
        </w:rPr>
        <w:t xml:space="preserve"> or clinical trial is positively something which the committee must not take into account and I would not be minded to refer this point to an appeal panel.</w:t>
      </w:r>
    </w:p>
    <w:p w14:paraId="6B87939F" w14:textId="77777777" w:rsidR="009A01FD" w:rsidRPr="009A01FD" w:rsidRDefault="009A01FD" w:rsidP="009A01FD">
      <w:pPr>
        <w:numPr>
          <w:ilvl w:val="1"/>
          <w:numId w:val="2"/>
        </w:numPr>
        <w:spacing w:before="120" w:after="240" w:line="288" w:lineRule="auto"/>
        <w:rPr>
          <w:rFonts w:ascii="Arial" w:eastAsia="Times New Roman" w:hAnsi="Arial"/>
          <w:i/>
          <w:sz w:val="20"/>
          <w:szCs w:val="20"/>
        </w:rPr>
      </w:pPr>
      <w:r w:rsidRPr="009A01FD">
        <w:rPr>
          <w:rFonts w:ascii="Arial" w:eastAsia="Times New Roman" w:hAnsi="Arial"/>
          <w:i/>
          <w:sz w:val="20"/>
          <w:szCs w:val="20"/>
        </w:rPr>
        <w:t>The Committee has provided no explanation for its concern that it would be difficult for patients to accept discontinuance of treatment after 2 years and for rejecting the evidence of the clinical and patient experts and patient organisations</w:t>
      </w:r>
    </w:p>
    <w:p w14:paraId="4B371E1E" w14:textId="77777777" w:rsidR="009A01FD" w:rsidRPr="009A01FD" w:rsidRDefault="009A01FD" w:rsidP="009A01FD">
      <w:pPr>
        <w:spacing w:before="120" w:after="240"/>
        <w:ind w:left="390"/>
        <w:rPr>
          <w:rFonts w:ascii="Arial" w:eastAsia="Times New Roman" w:hAnsi="Arial"/>
          <w:sz w:val="20"/>
          <w:szCs w:val="20"/>
        </w:rPr>
      </w:pPr>
      <w:r w:rsidRPr="009A01FD">
        <w:rPr>
          <w:rFonts w:ascii="Arial" w:eastAsia="Times New Roman" w:hAnsi="Arial"/>
          <w:sz w:val="20"/>
          <w:szCs w:val="20"/>
        </w:rPr>
        <w:t>I agree it is important that committees provide adequate reasons for their conclusions.  The conclusion here is that a stopping rule should not be included in the preferred model, and the whole of FAD 3.8 gives reasons for that.  One reason is that “</w:t>
      </w:r>
      <w:r w:rsidRPr="009A01FD">
        <w:rPr>
          <w:rFonts w:ascii="Arial" w:eastAsia="Times New Roman" w:hAnsi="Arial"/>
          <w:i/>
          <w:sz w:val="20"/>
          <w:szCs w:val="20"/>
        </w:rPr>
        <w:t xml:space="preserve">It was concerned that it would be </w:t>
      </w:r>
      <w:r w:rsidRPr="009A01FD">
        <w:rPr>
          <w:rFonts w:ascii="Arial" w:eastAsia="Times New Roman" w:hAnsi="Arial"/>
          <w:i/>
          <w:sz w:val="20"/>
          <w:szCs w:val="20"/>
        </w:rPr>
        <w:lastRenderedPageBreak/>
        <w:t>difficult for patients to accept that they would no longer be able to have treatment after 2 years if they were free from disease, and they may fear losing treatment benefit</w:t>
      </w:r>
      <w:r w:rsidRPr="009A01FD">
        <w:rPr>
          <w:rFonts w:ascii="Arial" w:eastAsia="Times New Roman" w:hAnsi="Arial"/>
          <w:sz w:val="20"/>
          <w:szCs w:val="20"/>
        </w:rPr>
        <w:t>”.  Although they do not explicitly say so it is fair to infer that they thought that the evidence to the contrary was optimistic.</w:t>
      </w:r>
    </w:p>
    <w:p w14:paraId="1C8B5046" w14:textId="77777777" w:rsidR="009A01FD" w:rsidRPr="009A01FD" w:rsidRDefault="009A01FD" w:rsidP="009A01FD">
      <w:pPr>
        <w:spacing w:before="120" w:after="240"/>
        <w:ind w:left="390"/>
        <w:rPr>
          <w:rFonts w:ascii="Arial" w:eastAsia="Times New Roman" w:hAnsi="Arial"/>
          <w:sz w:val="20"/>
          <w:szCs w:val="20"/>
        </w:rPr>
      </w:pPr>
      <w:r w:rsidRPr="009A01FD">
        <w:rPr>
          <w:rFonts w:ascii="Arial" w:eastAsia="Times New Roman" w:hAnsi="Arial"/>
          <w:sz w:val="20"/>
          <w:szCs w:val="20"/>
        </w:rPr>
        <w:t xml:space="preserve">I do not accept that an obligation to give reasons extends not only to indicating a disagreement with a certain piece of evidence, but also to giving reasons for that disagreement.  Here the committee’s judgement of what was likely was not the same as what the patients and </w:t>
      </w:r>
      <w:proofErr w:type="gramStart"/>
      <w:r w:rsidRPr="009A01FD">
        <w:rPr>
          <w:rFonts w:ascii="Arial" w:eastAsia="Times New Roman" w:hAnsi="Arial"/>
          <w:sz w:val="20"/>
          <w:szCs w:val="20"/>
        </w:rPr>
        <w:t>clinicians</w:t>
      </w:r>
      <w:proofErr w:type="gramEnd"/>
      <w:r w:rsidRPr="009A01FD">
        <w:rPr>
          <w:rFonts w:ascii="Arial" w:eastAsia="Times New Roman" w:hAnsi="Arial"/>
          <w:sz w:val="20"/>
          <w:szCs w:val="20"/>
        </w:rPr>
        <w:t xml:space="preserve"> thought was likely.  We can see what the committee thought and why they thought it, and it is hard to see what more can be said.</w:t>
      </w:r>
    </w:p>
    <w:p w14:paraId="27934C12" w14:textId="77777777" w:rsidR="009A01FD" w:rsidRPr="009A01FD" w:rsidRDefault="009A01FD" w:rsidP="009A01FD">
      <w:pPr>
        <w:spacing w:before="120" w:after="240"/>
        <w:ind w:left="390"/>
        <w:rPr>
          <w:rFonts w:ascii="Arial" w:eastAsia="Times New Roman" w:hAnsi="Arial"/>
          <w:sz w:val="20"/>
          <w:szCs w:val="20"/>
        </w:rPr>
      </w:pPr>
      <w:r w:rsidRPr="009A01FD">
        <w:rPr>
          <w:rFonts w:ascii="Arial" w:eastAsia="Times New Roman" w:hAnsi="Arial"/>
          <w:sz w:val="20"/>
          <w:szCs w:val="20"/>
        </w:rPr>
        <w:t xml:space="preserve">I would not be minded </w:t>
      </w:r>
      <w:proofErr w:type="gramStart"/>
      <w:r w:rsidRPr="009A01FD">
        <w:rPr>
          <w:rFonts w:ascii="Arial" w:eastAsia="Times New Roman" w:hAnsi="Arial"/>
          <w:sz w:val="20"/>
          <w:szCs w:val="20"/>
        </w:rPr>
        <w:t>to refer</w:t>
      </w:r>
      <w:proofErr w:type="gramEnd"/>
      <w:r w:rsidRPr="009A01FD">
        <w:rPr>
          <w:rFonts w:ascii="Arial" w:eastAsia="Times New Roman" w:hAnsi="Arial"/>
          <w:sz w:val="20"/>
          <w:szCs w:val="20"/>
        </w:rPr>
        <w:t xml:space="preserve"> this point to an appeal panel.</w:t>
      </w:r>
    </w:p>
    <w:p w14:paraId="58DA22AF" w14:textId="77777777" w:rsidR="009A01FD" w:rsidRPr="009A01FD" w:rsidRDefault="009A01FD" w:rsidP="009A01FD">
      <w:pPr>
        <w:numPr>
          <w:ilvl w:val="1"/>
          <w:numId w:val="2"/>
        </w:numPr>
        <w:spacing w:before="120" w:after="240" w:line="288" w:lineRule="auto"/>
        <w:rPr>
          <w:rFonts w:ascii="Arial" w:eastAsia="Times New Roman" w:hAnsi="Arial"/>
          <w:i/>
          <w:sz w:val="20"/>
          <w:szCs w:val="20"/>
        </w:rPr>
      </w:pPr>
      <w:r w:rsidRPr="009A01FD">
        <w:rPr>
          <w:rFonts w:ascii="Arial" w:eastAsia="Times New Roman" w:hAnsi="Arial"/>
          <w:i/>
          <w:sz w:val="20"/>
          <w:szCs w:val="20"/>
        </w:rPr>
        <w:t>In view of the Committee’s view that it would be difficult for patients to accept a stopping rule for avelumab at 2 years, despite substantial evidence to the contrary, the clinical and patient experts should have been invited to attend the second meeting of the Appraisal Committee</w:t>
      </w:r>
    </w:p>
    <w:p w14:paraId="43716CBD" w14:textId="77777777" w:rsidR="009A01FD" w:rsidRPr="009A01FD" w:rsidRDefault="009A01FD" w:rsidP="009A01FD">
      <w:pPr>
        <w:spacing w:before="120" w:after="240"/>
        <w:ind w:left="390"/>
        <w:rPr>
          <w:rFonts w:ascii="Arial" w:eastAsia="Times New Roman" w:hAnsi="Arial"/>
          <w:sz w:val="20"/>
          <w:szCs w:val="20"/>
        </w:rPr>
      </w:pPr>
      <w:r w:rsidRPr="009A01FD">
        <w:rPr>
          <w:rFonts w:ascii="Arial" w:eastAsia="Times New Roman" w:hAnsi="Arial"/>
          <w:sz w:val="20"/>
          <w:szCs w:val="20"/>
        </w:rPr>
        <w:t xml:space="preserve">This point can only be on one of two related bases; either there was something that they needed to say that they had not had the chance to say, or the committee had not properly informed itself of some relevant issue and the experts were needed at the meeting so that they could be informed. </w:t>
      </w:r>
    </w:p>
    <w:p w14:paraId="71656E57" w14:textId="77777777" w:rsidR="009A01FD" w:rsidRPr="009A01FD" w:rsidRDefault="009A01FD" w:rsidP="009A01FD">
      <w:pPr>
        <w:spacing w:before="120" w:after="240"/>
        <w:ind w:left="390"/>
        <w:rPr>
          <w:rFonts w:ascii="Arial" w:eastAsia="Times New Roman" w:hAnsi="Arial"/>
          <w:sz w:val="20"/>
          <w:szCs w:val="20"/>
        </w:rPr>
      </w:pPr>
      <w:r w:rsidRPr="009A01FD">
        <w:rPr>
          <w:rFonts w:ascii="Arial" w:eastAsia="Times New Roman" w:hAnsi="Arial"/>
          <w:sz w:val="20"/>
          <w:szCs w:val="20"/>
        </w:rPr>
        <w:t xml:space="preserve">Neither of those bases seems to apply here.  The stopping rule/duration of treatment topic was in play at the ACD </w:t>
      </w:r>
      <w:proofErr w:type="gramStart"/>
      <w:r w:rsidRPr="009A01FD">
        <w:rPr>
          <w:rFonts w:ascii="Arial" w:eastAsia="Times New Roman" w:hAnsi="Arial"/>
          <w:sz w:val="20"/>
          <w:szCs w:val="20"/>
        </w:rPr>
        <w:t>stage</w:t>
      </w:r>
      <w:proofErr w:type="gramEnd"/>
      <w:r w:rsidRPr="009A01FD">
        <w:rPr>
          <w:rFonts w:ascii="Arial" w:eastAsia="Times New Roman" w:hAnsi="Arial"/>
          <w:sz w:val="20"/>
          <w:szCs w:val="20"/>
        </w:rPr>
        <w:t xml:space="preserve"> and the views of the patients and clinicians were known.  Whilst, the committee did not agree with those views, fairness does not require that clinical or patient experts are invited to a second meeting to repeat their views to the committee.  The chance to inform and persuade arises in the first meeting and through the ACD consultation. Unless those chances have gone wrong, or some new considerations have arisen, I cannot see that a committee is required to give a further opportunity to repeat the same material at a second meeting.  (And, for the avoidance of doubt, my view would be the same even if it would not have been the same material, as any new material could have been shared at the first meeting or in consultation.)</w:t>
      </w:r>
    </w:p>
    <w:p w14:paraId="5B46FE15" w14:textId="77777777" w:rsidR="009A01FD" w:rsidRPr="009A01FD" w:rsidRDefault="009A01FD" w:rsidP="009A01FD">
      <w:pPr>
        <w:spacing w:before="120" w:after="240"/>
        <w:ind w:left="390"/>
        <w:rPr>
          <w:rFonts w:ascii="Arial" w:eastAsia="Times New Roman" w:hAnsi="Arial"/>
          <w:sz w:val="20"/>
          <w:szCs w:val="20"/>
        </w:rPr>
      </w:pPr>
      <w:r w:rsidRPr="009A01FD">
        <w:rPr>
          <w:rFonts w:ascii="Arial" w:eastAsia="Times New Roman" w:hAnsi="Arial"/>
          <w:sz w:val="20"/>
          <w:szCs w:val="20"/>
        </w:rPr>
        <w:t xml:space="preserve">I would not be minded </w:t>
      </w:r>
      <w:proofErr w:type="gramStart"/>
      <w:r w:rsidRPr="009A01FD">
        <w:rPr>
          <w:rFonts w:ascii="Arial" w:eastAsia="Times New Roman" w:hAnsi="Arial"/>
          <w:sz w:val="20"/>
          <w:szCs w:val="20"/>
        </w:rPr>
        <w:t>to refer</w:t>
      </w:r>
      <w:proofErr w:type="gramEnd"/>
      <w:r w:rsidRPr="009A01FD">
        <w:rPr>
          <w:rFonts w:ascii="Arial" w:eastAsia="Times New Roman" w:hAnsi="Arial"/>
          <w:sz w:val="20"/>
          <w:szCs w:val="20"/>
        </w:rPr>
        <w:t xml:space="preserve"> this point to an appeal panel.  </w:t>
      </w:r>
    </w:p>
    <w:p w14:paraId="4D8E5CD8" w14:textId="77777777" w:rsidR="009A01FD" w:rsidRPr="009A01FD" w:rsidRDefault="009A01FD" w:rsidP="009A01FD">
      <w:pPr>
        <w:numPr>
          <w:ilvl w:val="1"/>
          <w:numId w:val="2"/>
        </w:numPr>
        <w:spacing w:before="120" w:after="240" w:line="288" w:lineRule="auto"/>
        <w:rPr>
          <w:rFonts w:ascii="Arial" w:eastAsia="Times New Roman" w:hAnsi="Arial"/>
          <w:i/>
          <w:sz w:val="20"/>
          <w:szCs w:val="20"/>
        </w:rPr>
      </w:pPr>
      <w:r w:rsidRPr="009A01FD">
        <w:rPr>
          <w:rFonts w:ascii="Arial" w:eastAsia="Times New Roman" w:hAnsi="Arial"/>
          <w:i/>
          <w:sz w:val="20"/>
          <w:szCs w:val="20"/>
        </w:rPr>
        <w:t>In questioning whether the evidence of clinical experts regarding life expectancy corresponded to the population eligible for maintenance treatment with avelumab despite evidence to the contrary, the clinical and patient experts should have been invited to attend the second meeting of the Appraisal Committee (17th June 2021)</w:t>
      </w:r>
    </w:p>
    <w:p w14:paraId="698CB5EA" w14:textId="77777777" w:rsidR="009A01FD" w:rsidRPr="009A01FD" w:rsidRDefault="009A01FD" w:rsidP="009A01FD">
      <w:pPr>
        <w:spacing w:before="120" w:after="240"/>
        <w:ind w:left="390"/>
        <w:rPr>
          <w:rFonts w:ascii="Arial" w:eastAsia="Times New Roman" w:hAnsi="Arial"/>
          <w:sz w:val="20"/>
          <w:szCs w:val="20"/>
          <w:lang w:eastAsia="en-GB"/>
        </w:rPr>
      </w:pPr>
      <w:r w:rsidRPr="009A01FD">
        <w:rPr>
          <w:rFonts w:ascii="Arial" w:eastAsia="Times New Roman" w:hAnsi="Arial"/>
          <w:sz w:val="20"/>
          <w:szCs w:val="20"/>
          <w:lang w:eastAsia="en-GB"/>
        </w:rPr>
        <w:t>My view of this point is the same as my view of point 1.4, save that to the extent that there may be a complaint that the committee did not take the necessary steps properly to acquaint itself with the evidence, that can be considered under your related ground 2 point.</w:t>
      </w:r>
    </w:p>
    <w:p w14:paraId="562BBDFA" w14:textId="77777777" w:rsidR="009A01FD" w:rsidRPr="009A01FD" w:rsidRDefault="009A01FD" w:rsidP="009A01FD">
      <w:pPr>
        <w:spacing w:before="120" w:after="240"/>
        <w:ind w:left="390"/>
        <w:rPr>
          <w:rFonts w:ascii="Arial" w:eastAsia="Times New Roman" w:hAnsi="Arial"/>
          <w:sz w:val="20"/>
          <w:szCs w:val="20"/>
          <w:lang w:eastAsia="en-GB"/>
        </w:rPr>
      </w:pPr>
      <w:r w:rsidRPr="009A01FD">
        <w:rPr>
          <w:rFonts w:ascii="Arial" w:eastAsia="Times New Roman" w:hAnsi="Arial"/>
          <w:sz w:val="20"/>
          <w:szCs w:val="20"/>
          <w:lang w:eastAsia="en-GB"/>
        </w:rPr>
        <w:t xml:space="preserve">I would not be minded </w:t>
      </w:r>
      <w:proofErr w:type="gramStart"/>
      <w:r w:rsidRPr="009A01FD">
        <w:rPr>
          <w:rFonts w:ascii="Arial" w:eastAsia="Times New Roman" w:hAnsi="Arial"/>
          <w:sz w:val="20"/>
          <w:szCs w:val="20"/>
          <w:lang w:eastAsia="en-GB"/>
        </w:rPr>
        <w:t>to refer</w:t>
      </w:r>
      <w:proofErr w:type="gramEnd"/>
      <w:r w:rsidRPr="009A01FD">
        <w:rPr>
          <w:rFonts w:ascii="Arial" w:eastAsia="Times New Roman" w:hAnsi="Arial"/>
          <w:sz w:val="20"/>
          <w:szCs w:val="20"/>
          <w:lang w:eastAsia="en-GB"/>
        </w:rPr>
        <w:t xml:space="preserve"> this point to an appeal panel.</w:t>
      </w:r>
    </w:p>
    <w:p w14:paraId="67241634" w14:textId="77777777" w:rsidR="009A01FD" w:rsidRPr="009A01FD" w:rsidRDefault="009A01FD" w:rsidP="009A01FD">
      <w:pPr>
        <w:numPr>
          <w:ilvl w:val="1"/>
          <w:numId w:val="2"/>
        </w:numPr>
        <w:spacing w:before="120" w:after="240" w:line="288" w:lineRule="auto"/>
        <w:rPr>
          <w:rFonts w:ascii="Arial" w:eastAsia="Times New Roman" w:hAnsi="Arial"/>
          <w:i/>
          <w:sz w:val="20"/>
          <w:szCs w:val="20"/>
        </w:rPr>
      </w:pPr>
      <w:r w:rsidRPr="009A01FD">
        <w:rPr>
          <w:rFonts w:ascii="Arial" w:eastAsia="Times New Roman" w:hAnsi="Arial"/>
          <w:i/>
          <w:sz w:val="20"/>
          <w:szCs w:val="20"/>
        </w:rPr>
        <w:t>The Committee’s conclusion that it is not appropriate to pool health-state utilities across treatment arms is inconsistent with previous appraisals for immunotherapies (IOs) in metastatic urothelial cancer (</w:t>
      </w:r>
      <w:proofErr w:type="spellStart"/>
      <w:r w:rsidRPr="009A01FD">
        <w:rPr>
          <w:rFonts w:ascii="Arial" w:eastAsia="Times New Roman" w:hAnsi="Arial"/>
          <w:i/>
          <w:sz w:val="20"/>
          <w:szCs w:val="20"/>
        </w:rPr>
        <w:t>mUC</w:t>
      </w:r>
      <w:proofErr w:type="spellEnd"/>
      <w:r w:rsidRPr="009A01FD">
        <w:rPr>
          <w:rFonts w:ascii="Arial" w:eastAsia="Times New Roman" w:hAnsi="Arial"/>
          <w:i/>
          <w:sz w:val="20"/>
          <w:szCs w:val="20"/>
        </w:rPr>
        <w:t>).</w:t>
      </w:r>
    </w:p>
    <w:p w14:paraId="6E74C8CA" w14:textId="77777777" w:rsidR="009A01FD" w:rsidRPr="009A01FD" w:rsidRDefault="009A01FD" w:rsidP="008800D0">
      <w:pPr>
        <w:spacing w:before="120" w:after="240"/>
        <w:ind w:left="390"/>
        <w:rPr>
          <w:rFonts w:ascii="Arial" w:eastAsia="Times New Roman" w:hAnsi="Arial"/>
          <w:sz w:val="20"/>
          <w:szCs w:val="20"/>
        </w:rPr>
      </w:pPr>
      <w:r w:rsidRPr="009A01FD">
        <w:rPr>
          <w:rFonts w:ascii="Arial" w:eastAsia="Times New Roman" w:hAnsi="Arial"/>
          <w:sz w:val="20"/>
          <w:szCs w:val="20"/>
        </w:rPr>
        <w:t xml:space="preserve">The preference for pooled utilities or those from separate treatment arms is very much an expert judgement for a committee that can only be taken in the light of the data available in each appraisal.  There are benefits and disbenefits to each approach and a </w:t>
      </w:r>
      <w:proofErr w:type="spellStart"/>
      <w:r w:rsidRPr="009A01FD">
        <w:rPr>
          <w:rFonts w:ascii="Arial" w:eastAsia="Times New Roman" w:hAnsi="Arial"/>
          <w:sz w:val="20"/>
          <w:szCs w:val="20"/>
        </w:rPr>
        <w:t>trade off</w:t>
      </w:r>
      <w:proofErr w:type="spellEnd"/>
      <w:r w:rsidRPr="009A01FD">
        <w:rPr>
          <w:rFonts w:ascii="Arial" w:eastAsia="Times New Roman" w:hAnsi="Arial"/>
          <w:sz w:val="20"/>
          <w:szCs w:val="20"/>
        </w:rPr>
        <w:t xml:space="preserve"> to be made which will be highly fact specific.  I am very sceptical that there can be a meaningful expectation of “consistency” here, even in the same disease, unless perhaps one is dealing with the very same </w:t>
      </w:r>
      <w:r w:rsidRPr="009A01FD">
        <w:rPr>
          <w:rFonts w:ascii="Arial" w:eastAsia="Times New Roman" w:hAnsi="Arial"/>
          <w:sz w:val="20"/>
          <w:szCs w:val="20"/>
        </w:rPr>
        <w:lastRenderedPageBreak/>
        <w:t xml:space="preserve">trial data.  In any event the committee were clearly aware that a different approach was taken in a previous appraisal.  The committee’s reference to patients in the BSC arm possibly having more effective subsequent treatment seems reasonable and is referenced in the committee slides.  I note the committee’s preference differed from the </w:t>
      </w:r>
      <w:proofErr w:type="gramStart"/>
      <w:r w:rsidRPr="009A01FD">
        <w:rPr>
          <w:rFonts w:ascii="Arial" w:eastAsia="Times New Roman" w:hAnsi="Arial"/>
          <w:sz w:val="20"/>
          <w:szCs w:val="20"/>
        </w:rPr>
        <w:t>ERG</w:t>
      </w:r>
      <w:proofErr w:type="gramEnd"/>
      <w:r w:rsidRPr="009A01FD">
        <w:rPr>
          <w:rFonts w:ascii="Arial" w:eastAsia="Times New Roman" w:hAnsi="Arial"/>
          <w:sz w:val="20"/>
          <w:szCs w:val="20"/>
        </w:rPr>
        <w:t xml:space="preserve"> but I do not think that is so remarkable in this case as to call for a more detailed explanation.</w:t>
      </w:r>
    </w:p>
    <w:p w14:paraId="1147EFE9" w14:textId="77777777" w:rsidR="009A01FD" w:rsidRPr="009A01FD" w:rsidRDefault="009A01FD" w:rsidP="009A01FD">
      <w:pPr>
        <w:spacing w:before="120" w:after="240"/>
        <w:ind w:left="390"/>
        <w:rPr>
          <w:rFonts w:ascii="Arial" w:eastAsia="Times New Roman" w:hAnsi="Arial"/>
          <w:sz w:val="20"/>
          <w:szCs w:val="20"/>
        </w:rPr>
      </w:pPr>
      <w:r w:rsidRPr="009A01FD">
        <w:rPr>
          <w:rFonts w:ascii="Arial" w:eastAsia="Times New Roman" w:hAnsi="Arial"/>
          <w:sz w:val="20"/>
          <w:szCs w:val="20"/>
        </w:rPr>
        <w:t xml:space="preserve">I would not be minded </w:t>
      </w:r>
      <w:proofErr w:type="gramStart"/>
      <w:r w:rsidRPr="009A01FD">
        <w:rPr>
          <w:rFonts w:ascii="Arial" w:eastAsia="Times New Roman" w:hAnsi="Arial"/>
          <w:sz w:val="20"/>
          <w:szCs w:val="20"/>
        </w:rPr>
        <w:t>to refer</w:t>
      </w:r>
      <w:proofErr w:type="gramEnd"/>
      <w:r w:rsidRPr="009A01FD">
        <w:rPr>
          <w:rFonts w:ascii="Arial" w:eastAsia="Times New Roman" w:hAnsi="Arial"/>
          <w:sz w:val="20"/>
          <w:szCs w:val="20"/>
        </w:rPr>
        <w:t xml:space="preserve"> this point to an appeal panel. </w:t>
      </w:r>
    </w:p>
    <w:p w14:paraId="0FCB814F" w14:textId="77777777" w:rsidR="009A01FD" w:rsidRPr="009A01FD" w:rsidRDefault="009A01FD" w:rsidP="009A01FD">
      <w:pPr>
        <w:spacing w:before="240" w:after="240"/>
        <w:rPr>
          <w:rFonts w:ascii="Arial" w:eastAsia="Times New Roman" w:hAnsi="Arial"/>
          <w:i/>
          <w:vanish/>
          <w:sz w:val="20"/>
          <w:szCs w:val="20"/>
          <w:lang w:eastAsia="en-GB"/>
        </w:rPr>
      </w:pPr>
    </w:p>
    <w:p w14:paraId="0D2C6801" w14:textId="77777777" w:rsidR="009A01FD" w:rsidRPr="009A01FD" w:rsidRDefault="009A01FD" w:rsidP="009A01FD">
      <w:pPr>
        <w:spacing w:before="240" w:after="240"/>
        <w:rPr>
          <w:rFonts w:ascii="Arial" w:eastAsia="Times New Roman" w:hAnsi="Arial" w:cs="Arial"/>
          <w:b/>
          <w:i/>
          <w:sz w:val="20"/>
          <w:szCs w:val="20"/>
        </w:rPr>
      </w:pPr>
      <w:r w:rsidRPr="009A01FD">
        <w:rPr>
          <w:rFonts w:ascii="Arial" w:eastAsia="Times New Roman" w:hAnsi="Arial" w:cs="Arial"/>
          <w:b/>
          <w:i/>
          <w:sz w:val="20"/>
          <w:szCs w:val="20"/>
        </w:rPr>
        <w:t>Ground 2:</w:t>
      </w:r>
      <w:r w:rsidRPr="009A01FD">
        <w:rPr>
          <w:rFonts w:ascii="Arial" w:eastAsia="Times New Roman" w:hAnsi="Arial"/>
          <w:i/>
          <w:sz w:val="20"/>
          <w:szCs w:val="20"/>
        </w:rPr>
        <w:t xml:space="preserve"> </w:t>
      </w:r>
      <w:r w:rsidRPr="009A01FD">
        <w:rPr>
          <w:rFonts w:ascii="Arial" w:eastAsia="Times New Roman" w:hAnsi="Arial" w:cs="Arial"/>
          <w:b/>
          <w:i/>
          <w:sz w:val="20"/>
          <w:szCs w:val="20"/>
        </w:rPr>
        <w:t>the recommendation is unreasonable in the light of the evidence submitted to NICE</w:t>
      </w:r>
    </w:p>
    <w:p w14:paraId="7B9E9998" w14:textId="77777777" w:rsidR="009A01FD" w:rsidRPr="009A01FD" w:rsidRDefault="009A01FD" w:rsidP="009A01FD">
      <w:pPr>
        <w:spacing w:before="240" w:after="240"/>
        <w:rPr>
          <w:rFonts w:ascii="Arial" w:eastAsia="Times New Roman" w:hAnsi="Arial"/>
          <w:i/>
          <w:vanish/>
          <w:sz w:val="20"/>
          <w:szCs w:val="20"/>
          <w:lang w:eastAsia="en-GB"/>
        </w:rPr>
      </w:pPr>
    </w:p>
    <w:p w14:paraId="0E775502" w14:textId="77777777" w:rsidR="009A01FD" w:rsidRPr="009A01FD" w:rsidRDefault="009A01FD" w:rsidP="009A01FD">
      <w:pPr>
        <w:spacing w:before="240" w:after="240"/>
        <w:ind w:left="851"/>
        <w:rPr>
          <w:rFonts w:ascii="Arial" w:eastAsia="Times New Roman" w:hAnsi="Arial"/>
          <w:i/>
          <w:vanish/>
          <w:sz w:val="20"/>
          <w:szCs w:val="20"/>
          <w:lang w:eastAsia="en-GB"/>
        </w:rPr>
      </w:pPr>
    </w:p>
    <w:p w14:paraId="1304D9B6" w14:textId="77777777" w:rsidR="009A01FD" w:rsidRPr="009A01FD" w:rsidRDefault="009A01FD" w:rsidP="009A01FD">
      <w:pPr>
        <w:spacing w:before="240" w:after="240"/>
        <w:ind w:left="567" w:hanging="567"/>
        <w:rPr>
          <w:rFonts w:ascii="Arial" w:eastAsia="Times New Roman" w:hAnsi="Arial"/>
          <w:bCs/>
          <w:i/>
          <w:sz w:val="20"/>
          <w:szCs w:val="20"/>
          <w:lang w:eastAsia="en-GB"/>
        </w:rPr>
      </w:pPr>
      <w:r w:rsidRPr="009A01FD">
        <w:rPr>
          <w:rFonts w:ascii="Arial" w:eastAsia="Times New Roman" w:hAnsi="Arial"/>
          <w:i/>
          <w:sz w:val="20"/>
          <w:szCs w:val="20"/>
          <w:lang w:eastAsia="en-GB"/>
        </w:rPr>
        <w:t>2.1</w:t>
      </w:r>
      <w:r w:rsidRPr="009A01FD">
        <w:rPr>
          <w:rFonts w:ascii="Arial" w:eastAsia="Times New Roman" w:hAnsi="Arial"/>
          <w:i/>
          <w:sz w:val="20"/>
          <w:szCs w:val="20"/>
          <w:lang w:eastAsia="en-GB"/>
        </w:rPr>
        <w:tab/>
        <w:t xml:space="preserve"> In considering the application of the end of life criteria, the Committee has misapplied the relevant test and reached a conclusion which does not reflect the balance of the </w:t>
      </w:r>
      <w:proofErr w:type="gramStart"/>
      <w:r w:rsidRPr="009A01FD">
        <w:rPr>
          <w:rFonts w:ascii="Arial" w:eastAsia="Times New Roman" w:hAnsi="Arial"/>
          <w:i/>
          <w:sz w:val="20"/>
          <w:szCs w:val="20"/>
          <w:lang w:eastAsia="en-GB"/>
        </w:rPr>
        <w:t>evidence.</w:t>
      </w:r>
      <w:r w:rsidRPr="009A01FD">
        <w:rPr>
          <w:rFonts w:ascii="Arial" w:eastAsia="Times New Roman" w:hAnsi="Arial"/>
          <w:bCs/>
          <w:i/>
          <w:sz w:val="20"/>
          <w:szCs w:val="20"/>
          <w:lang w:eastAsia="en-GB"/>
        </w:rPr>
        <w:t>.</w:t>
      </w:r>
      <w:proofErr w:type="gramEnd"/>
      <w:r w:rsidRPr="009A01FD">
        <w:rPr>
          <w:rFonts w:ascii="Arial" w:eastAsia="Times New Roman" w:hAnsi="Arial"/>
          <w:bCs/>
          <w:i/>
          <w:sz w:val="20"/>
          <w:szCs w:val="20"/>
          <w:lang w:eastAsia="en-GB"/>
        </w:rPr>
        <w:t>”</w:t>
      </w:r>
    </w:p>
    <w:p w14:paraId="3C20E67F" w14:textId="77777777" w:rsidR="009A01FD" w:rsidRPr="009A01FD" w:rsidRDefault="009A01FD" w:rsidP="009A01FD">
      <w:pPr>
        <w:spacing w:before="120" w:after="240"/>
        <w:ind w:left="567"/>
        <w:rPr>
          <w:rFonts w:ascii="Arial" w:eastAsia="Times New Roman" w:hAnsi="Arial"/>
          <w:sz w:val="20"/>
          <w:szCs w:val="20"/>
        </w:rPr>
      </w:pPr>
      <w:r w:rsidRPr="009A01FD">
        <w:rPr>
          <w:rFonts w:ascii="Arial" w:eastAsia="Times New Roman" w:hAnsi="Arial"/>
          <w:sz w:val="20"/>
          <w:szCs w:val="20"/>
        </w:rPr>
        <w:t xml:space="preserve">A valid appeal </w:t>
      </w:r>
      <w:proofErr w:type="gramStart"/>
      <w:r w:rsidRPr="009A01FD">
        <w:rPr>
          <w:rFonts w:ascii="Arial" w:eastAsia="Times New Roman" w:hAnsi="Arial"/>
          <w:sz w:val="20"/>
          <w:szCs w:val="20"/>
        </w:rPr>
        <w:t>point</w:t>
      </w:r>
      <w:proofErr w:type="gramEnd"/>
      <w:r w:rsidRPr="009A01FD">
        <w:rPr>
          <w:rFonts w:ascii="Arial" w:eastAsia="Times New Roman" w:hAnsi="Arial"/>
          <w:sz w:val="20"/>
          <w:szCs w:val="20"/>
        </w:rPr>
        <w:t xml:space="preserve">.  </w:t>
      </w:r>
      <w:proofErr w:type="gramStart"/>
      <w:r w:rsidRPr="009A01FD">
        <w:rPr>
          <w:rFonts w:ascii="Arial" w:eastAsia="Times New Roman" w:hAnsi="Arial"/>
          <w:sz w:val="20"/>
          <w:szCs w:val="20"/>
        </w:rPr>
        <w:t>So as to</w:t>
      </w:r>
      <w:proofErr w:type="gramEnd"/>
      <w:r w:rsidRPr="009A01FD">
        <w:rPr>
          <w:rFonts w:ascii="Arial" w:eastAsia="Times New Roman" w:hAnsi="Arial"/>
          <w:sz w:val="20"/>
          <w:szCs w:val="20"/>
        </w:rPr>
        <w:t xml:space="preserve"> guide preparation for the appeal, but not to restrict the arguments you may wish to make, an appeal panel may particularly wish to consider why what appears to be a similar, but not identical, patient population was held to meet the short life expectancy criterion in TA692, but not in this appraisal.</w:t>
      </w:r>
    </w:p>
    <w:p w14:paraId="553765A2" w14:textId="77777777" w:rsidR="009A01FD" w:rsidRPr="009A01FD" w:rsidRDefault="009A01FD" w:rsidP="009A01FD">
      <w:pPr>
        <w:spacing w:before="240" w:after="240"/>
        <w:ind w:left="567" w:hanging="567"/>
        <w:rPr>
          <w:rFonts w:ascii="Arial" w:eastAsia="Times New Roman" w:hAnsi="Arial"/>
          <w:sz w:val="20"/>
          <w:szCs w:val="20"/>
        </w:rPr>
      </w:pPr>
      <w:r w:rsidRPr="009A01FD">
        <w:rPr>
          <w:rFonts w:ascii="Arial" w:eastAsia="Times New Roman" w:hAnsi="Arial"/>
          <w:sz w:val="20"/>
          <w:szCs w:val="20"/>
        </w:rPr>
        <w:t xml:space="preserve">2.2 </w:t>
      </w:r>
      <w:r w:rsidRPr="009A01FD">
        <w:rPr>
          <w:rFonts w:ascii="Arial" w:eastAsia="Times New Roman" w:hAnsi="Arial"/>
          <w:i/>
          <w:sz w:val="20"/>
          <w:szCs w:val="20"/>
        </w:rPr>
        <w:tab/>
        <w:t xml:space="preserve">The Committee’s conclusion that it is not appropriate to pool health-state utilities across treatment arms may </w:t>
      </w:r>
      <w:r w:rsidRPr="009A01FD">
        <w:rPr>
          <w:rFonts w:ascii="Arial" w:eastAsia="Times New Roman" w:hAnsi="Arial"/>
          <w:i/>
          <w:sz w:val="20"/>
          <w:szCs w:val="20"/>
          <w:lang w:eastAsia="en-GB"/>
        </w:rPr>
        <w:t>have</w:t>
      </w:r>
      <w:r w:rsidRPr="009A01FD">
        <w:rPr>
          <w:rFonts w:ascii="Arial" w:eastAsia="Times New Roman" w:hAnsi="Arial"/>
          <w:i/>
          <w:sz w:val="20"/>
          <w:szCs w:val="20"/>
        </w:rPr>
        <w:t xml:space="preserve"> been impacted by a misunderstanding of the impact this has on the ICER</w:t>
      </w:r>
    </w:p>
    <w:p w14:paraId="4942ED57" w14:textId="77777777" w:rsidR="009A01FD" w:rsidRPr="009A01FD" w:rsidRDefault="009A01FD" w:rsidP="009A01FD">
      <w:pPr>
        <w:spacing w:after="240" w:line="240" w:lineRule="auto"/>
        <w:ind w:left="567"/>
        <w:jc w:val="both"/>
        <w:rPr>
          <w:rFonts w:ascii="Arial" w:eastAsia="Times New Roman" w:hAnsi="Arial"/>
          <w:sz w:val="20"/>
          <w:szCs w:val="20"/>
        </w:rPr>
      </w:pPr>
      <w:r w:rsidRPr="009A01FD">
        <w:rPr>
          <w:rFonts w:ascii="Arial" w:eastAsia="Times New Roman" w:hAnsi="Arial"/>
          <w:sz w:val="20"/>
          <w:szCs w:val="20"/>
        </w:rPr>
        <w:t xml:space="preserve">I am not persuaded that this could amount to unreasonableness, although it may be grounds for a factual correction.  </w:t>
      </w:r>
    </w:p>
    <w:p w14:paraId="2797F541" w14:textId="77777777" w:rsidR="009A01FD" w:rsidRPr="009A01FD" w:rsidRDefault="009A01FD" w:rsidP="009A01FD">
      <w:pPr>
        <w:spacing w:after="240" w:line="240" w:lineRule="auto"/>
        <w:ind w:left="567"/>
        <w:jc w:val="both"/>
        <w:rPr>
          <w:rFonts w:ascii="Arial" w:eastAsia="Times New Roman" w:hAnsi="Arial"/>
          <w:sz w:val="20"/>
          <w:szCs w:val="20"/>
        </w:rPr>
      </w:pPr>
      <w:r w:rsidRPr="009A01FD">
        <w:rPr>
          <w:rFonts w:ascii="Arial" w:eastAsia="Times New Roman" w:hAnsi="Arial"/>
          <w:sz w:val="20"/>
          <w:szCs w:val="20"/>
        </w:rPr>
        <w:t xml:space="preserve">I would not be minded </w:t>
      </w:r>
      <w:proofErr w:type="gramStart"/>
      <w:r w:rsidRPr="009A01FD">
        <w:rPr>
          <w:rFonts w:ascii="Arial" w:eastAsia="Times New Roman" w:hAnsi="Arial"/>
          <w:sz w:val="20"/>
          <w:szCs w:val="20"/>
        </w:rPr>
        <w:t>to refer</w:t>
      </w:r>
      <w:proofErr w:type="gramEnd"/>
      <w:r w:rsidRPr="009A01FD">
        <w:rPr>
          <w:rFonts w:ascii="Arial" w:eastAsia="Times New Roman" w:hAnsi="Arial"/>
          <w:sz w:val="20"/>
          <w:szCs w:val="20"/>
        </w:rPr>
        <w:t xml:space="preserve"> this point to an appeal panel. </w:t>
      </w:r>
    </w:p>
    <w:p w14:paraId="0BA87F81" w14:textId="77777777" w:rsidR="009A01FD" w:rsidRPr="009A01FD" w:rsidRDefault="009A01FD" w:rsidP="009A01FD">
      <w:pPr>
        <w:spacing w:line="288" w:lineRule="auto"/>
        <w:jc w:val="both"/>
        <w:rPr>
          <w:rFonts w:ascii="Arial" w:eastAsia="Times New Roman" w:hAnsi="Arial"/>
          <w:sz w:val="20"/>
          <w:szCs w:val="20"/>
        </w:rPr>
      </w:pPr>
      <w:r w:rsidRPr="009A01FD">
        <w:rPr>
          <w:rFonts w:ascii="Arial" w:eastAsia="Times New Roman" w:hAnsi="Arial"/>
          <w:sz w:val="20"/>
          <w:szCs w:val="20"/>
        </w:rPr>
        <w:t xml:space="preserve">In respect of your points which I am not minded </w:t>
      </w:r>
      <w:proofErr w:type="gramStart"/>
      <w:r w:rsidRPr="009A01FD">
        <w:rPr>
          <w:rFonts w:ascii="Arial" w:eastAsia="Times New Roman" w:hAnsi="Arial"/>
          <w:sz w:val="20"/>
          <w:szCs w:val="20"/>
        </w:rPr>
        <w:t>to refer</w:t>
      </w:r>
      <w:proofErr w:type="gramEnd"/>
      <w:r w:rsidRPr="009A01FD">
        <w:rPr>
          <w:rFonts w:ascii="Arial" w:eastAsia="Times New Roman" w:hAnsi="Arial"/>
          <w:sz w:val="20"/>
          <w:szCs w:val="20"/>
        </w:rPr>
        <w:t xml:space="preserve"> or you are entitled to submit further clarification and/or evidence to me within the next 10 working days, no later than </w:t>
      </w:r>
      <w:r w:rsidRPr="009A01FD">
        <w:rPr>
          <w:rFonts w:ascii="Arial" w:eastAsia="Times New Roman" w:hAnsi="Arial"/>
          <w:b/>
          <w:bCs/>
          <w:sz w:val="20"/>
          <w:szCs w:val="20"/>
        </w:rPr>
        <w:t>5pm on</w:t>
      </w:r>
      <w:r w:rsidRPr="009A01FD">
        <w:rPr>
          <w:rFonts w:ascii="Arial" w:eastAsia="Times New Roman" w:hAnsi="Arial"/>
          <w:sz w:val="20"/>
          <w:szCs w:val="20"/>
        </w:rPr>
        <w:t xml:space="preserve"> </w:t>
      </w:r>
      <w:r w:rsidRPr="009A01FD">
        <w:rPr>
          <w:rFonts w:ascii="Arial" w:eastAsia="Times New Roman" w:hAnsi="Arial"/>
          <w:b/>
          <w:bCs/>
          <w:sz w:val="20"/>
          <w:szCs w:val="20"/>
        </w:rPr>
        <w:t>Friday 27 August 2021</w:t>
      </w:r>
      <w:r w:rsidRPr="009A01FD">
        <w:rPr>
          <w:rFonts w:ascii="Arial" w:eastAsia="Times New Roman" w:hAnsi="Arial"/>
          <w:sz w:val="20"/>
          <w:szCs w:val="20"/>
        </w:rPr>
        <w:t>, and I will then give a final decision on the points to put before an appeal panel.  For the points I am already content to refer on, an oral appeal will be held which under current circumstances is likely to be held remotely.</w:t>
      </w:r>
    </w:p>
    <w:p w14:paraId="5A3036E0" w14:textId="77777777" w:rsidR="009A01FD" w:rsidRPr="009A01FD" w:rsidRDefault="009A01FD" w:rsidP="009A01FD">
      <w:pPr>
        <w:spacing w:line="288" w:lineRule="auto"/>
        <w:jc w:val="both"/>
        <w:rPr>
          <w:rFonts w:ascii="Arial" w:eastAsia="Times New Roman" w:hAnsi="Arial"/>
          <w:sz w:val="20"/>
          <w:szCs w:val="20"/>
        </w:rPr>
      </w:pPr>
      <w:r w:rsidRPr="009A01FD">
        <w:rPr>
          <w:rFonts w:ascii="Arial" w:eastAsia="Times New Roman" w:hAnsi="Arial"/>
          <w:sz w:val="20"/>
          <w:szCs w:val="20"/>
        </w:rPr>
        <w:t>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information, please ensure you have provided a version with this information redacted by Tuesday 7 September 2021.</w:t>
      </w:r>
    </w:p>
    <w:p w14:paraId="06B6265D" w14:textId="77777777" w:rsidR="009A01FD" w:rsidRPr="009A01FD" w:rsidRDefault="009A01FD" w:rsidP="009A01FD">
      <w:pPr>
        <w:spacing w:line="288" w:lineRule="auto"/>
        <w:rPr>
          <w:rFonts w:ascii="Arial" w:eastAsia="Times New Roman" w:hAnsi="Arial"/>
          <w:sz w:val="20"/>
          <w:szCs w:val="20"/>
        </w:rPr>
      </w:pPr>
    </w:p>
    <w:p w14:paraId="14EA8259" w14:textId="77777777" w:rsidR="009A01FD" w:rsidRPr="009A01FD" w:rsidRDefault="009A01FD" w:rsidP="009A01FD">
      <w:pPr>
        <w:spacing w:line="288" w:lineRule="auto"/>
        <w:jc w:val="both"/>
        <w:rPr>
          <w:rFonts w:ascii="Arial" w:eastAsia="Times New Roman" w:hAnsi="Arial" w:cs="Arial"/>
          <w:sz w:val="20"/>
          <w:szCs w:val="20"/>
        </w:rPr>
      </w:pPr>
      <w:r w:rsidRPr="009A01FD">
        <w:rPr>
          <w:rFonts w:ascii="Arial" w:eastAsia="Times New Roman" w:hAnsi="Arial" w:cs="Arial"/>
          <w:sz w:val="20"/>
          <w:szCs w:val="20"/>
        </w:rPr>
        <w:t>Yours sincerely</w:t>
      </w:r>
    </w:p>
    <w:p w14:paraId="03974B88" w14:textId="0985837C" w:rsidR="009A01FD" w:rsidRPr="009A01FD" w:rsidRDefault="009A01FD" w:rsidP="009A01FD">
      <w:pPr>
        <w:spacing w:line="360" w:lineRule="auto"/>
        <w:rPr>
          <w:rFonts w:ascii="Arial" w:eastAsia="Times New Roman" w:hAnsi="Arial" w:cs="Arial"/>
          <w:sz w:val="20"/>
          <w:szCs w:val="20"/>
        </w:rPr>
      </w:pPr>
    </w:p>
    <w:p w14:paraId="5E39408D"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Dr Mark Chakravarty</w:t>
      </w:r>
    </w:p>
    <w:p w14:paraId="556E3823"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Lead Non-executive Director for Appeals</w:t>
      </w:r>
    </w:p>
    <w:p w14:paraId="03E7BAFA" w14:textId="35D6236A" w:rsidR="000B36E1" w:rsidRPr="00FE3296" w:rsidRDefault="009A01FD" w:rsidP="009A01FD">
      <w:pPr>
        <w:spacing w:after="0" w:line="360" w:lineRule="auto"/>
        <w:rPr>
          <w:rFonts w:ascii="Arial" w:hAnsi="Arial" w:cs="Arial"/>
          <w:sz w:val="24"/>
          <w:szCs w:val="24"/>
        </w:rPr>
      </w:pPr>
      <w:r w:rsidRPr="009A01FD">
        <w:rPr>
          <w:rFonts w:ascii="Arial" w:eastAsia="Times New Roman" w:hAnsi="Arial" w:cs="Arial"/>
          <w:sz w:val="20"/>
          <w:szCs w:val="20"/>
        </w:rPr>
        <w:t>National Institute for Health and Care Excellence</w:t>
      </w:r>
    </w:p>
    <w:sectPr w:rsidR="000B36E1" w:rsidRPr="00FE3296"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85181"/>
    <w:rsid w:val="000B352B"/>
    <w:rsid w:val="000B36E1"/>
    <w:rsid w:val="00117DCA"/>
    <w:rsid w:val="00176AA4"/>
    <w:rsid w:val="001D5BD2"/>
    <w:rsid w:val="0022689E"/>
    <w:rsid w:val="002D42F9"/>
    <w:rsid w:val="00320722"/>
    <w:rsid w:val="00321B75"/>
    <w:rsid w:val="003A3E2E"/>
    <w:rsid w:val="003A79BD"/>
    <w:rsid w:val="003D614E"/>
    <w:rsid w:val="004215D9"/>
    <w:rsid w:val="00453774"/>
    <w:rsid w:val="0048679E"/>
    <w:rsid w:val="00493D2F"/>
    <w:rsid w:val="004C2D22"/>
    <w:rsid w:val="004E4493"/>
    <w:rsid w:val="004F29D7"/>
    <w:rsid w:val="005B078B"/>
    <w:rsid w:val="005E0434"/>
    <w:rsid w:val="0069376C"/>
    <w:rsid w:val="00695469"/>
    <w:rsid w:val="006D0C62"/>
    <w:rsid w:val="006F031D"/>
    <w:rsid w:val="00732227"/>
    <w:rsid w:val="008800D0"/>
    <w:rsid w:val="009A01FD"/>
    <w:rsid w:val="009E2F15"/>
    <w:rsid w:val="00AE303D"/>
    <w:rsid w:val="00B32B71"/>
    <w:rsid w:val="00C96687"/>
    <w:rsid w:val="00D84C51"/>
    <w:rsid w:val="00E03263"/>
    <w:rsid w:val="00E622D7"/>
    <w:rsid w:val="00E67BD1"/>
    <w:rsid w:val="00EA3919"/>
    <w:rsid w:val="00EE6553"/>
    <w:rsid w:val="00F1265E"/>
    <w:rsid w:val="00F233E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styleId="UnresolvedMention">
    <w:name w:val="Unresolved Mention"/>
    <w:basedOn w:val="DefaultParagraphFont"/>
    <w:uiPriority w:val="99"/>
    <w:semiHidden/>
    <w:unhideWhenUsed/>
    <w:rsid w:val="009A0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rah.amin@merckgroup.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1</TotalTime>
  <Pages>4</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Lucinda Evans</cp:lastModifiedBy>
  <cp:revision>2</cp:revision>
  <cp:lastPrinted>2021-08-13T10:06:00Z</cp:lastPrinted>
  <dcterms:created xsi:type="dcterms:W3CDTF">2021-09-24T07:53:00Z</dcterms:created>
  <dcterms:modified xsi:type="dcterms:W3CDTF">2021-09-24T07:53:00Z</dcterms:modified>
</cp:coreProperties>
</file>