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6F15CE7A" w:rsidR="00593F3D" w:rsidRPr="00A84AF4" w:rsidRDefault="00593F3D" w:rsidP="00593F3D">
      <w:pPr>
        <w:rPr>
          <w:rStyle w:val="Hyperlink"/>
          <w:color w:val="auto"/>
          <w:u w:val="none"/>
        </w:rPr>
      </w:pPr>
      <w:r w:rsidRPr="00593F3D">
        <w:rPr>
          <w:rFonts w:ascii="Arial" w:hAnsi="Arial" w:cs="Arial"/>
          <w:sz w:val="20"/>
          <w:szCs w:val="20"/>
        </w:rPr>
        <w:t xml:space="preserve">Sent by e-mail only: </w:t>
      </w:r>
      <w:hyperlink r:id="rId8">
        <w:proofErr w:type="spellStart"/>
        <w:r w:rsidR="00DA0E91" w:rsidRPr="001A6F6D">
          <w:rPr>
            <w:highlight w:val="black"/>
          </w:rPr>
          <w:t>xxx</w:t>
        </w:r>
        <w:r w:rsidR="00DA0E91">
          <w:rPr>
            <w:highlight w:val="black"/>
          </w:rPr>
          <w:t>xxxx</w:t>
        </w:r>
        <w:r w:rsidR="00DA0E91" w:rsidRPr="001A6F6D">
          <w:rPr>
            <w:highlight w:val="black"/>
          </w:rPr>
          <w:t>xxxxxxxxxxx</w:t>
        </w:r>
        <w:proofErr w:type="spellEnd"/>
      </w:hyperlink>
    </w:p>
    <w:p w14:paraId="734812E7" w14:textId="78073AC8" w:rsidR="00E8542F" w:rsidRDefault="00E973F5" w:rsidP="00C74E03">
      <w:pPr>
        <w:spacing w:after="0" w:line="240" w:lineRule="auto"/>
        <w:jc w:val="both"/>
        <w:rPr>
          <w:rFonts w:ascii="Arial" w:hAnsi="Arial" w:cs="Arial"/>
          <w:sz w:val="20"/>
          <w:szCs w:val="20"/>
        </w:rPr>
      </w:pPr>
      <w:bookmarkStart w:id="0" w:name="Heading"/>
      <w:bookmarkEnd w:id="0"/>
      <w:proofErr w:type="spellStart"/>
      <w:r w:rsidRPr="00E973F5">
        <w:rPr>
          <w:rFonts w:ascii="Arial" w:hAnsi="Arial" w:cs="Arial"/>
          <w:sz w:val="20"/>
          <w:szCs w:val="20"/>
          <w:highlight w:val="black"/>
        </w:rPr>
        <w:t>xxxxxxxxxxxxxxxxxx</w:t>
      </w:r>
      <w:proofErr w:type="spellEnd"/>
    </w:p>
    <w:p w14:paraId="0C4B0D78" w14:textId="3A874AA9" w:rsidR="00C74E03" w:rsidRPr="00C74E03" w:rsidRDefault="00C74E03" w:rsidP="00C74E03">
      <w:pPr>
        <w:spacing w:after="0" w:line="240" w:lineRule="auto"/>
        <w:jc w:val="both"/>
        <w:rPr>
          <w:rFonts w:ascii="Arial" w:hAnsi="Arial" w:cs="Arial"/>
          <w:sz w:val="20"/>
          <w:szCs w:val="20"/>
        </w:rPr>
      </w:pPr>
      <w:proofErr w:type="spellStart"/>
      <w:r w:rsidRPr="00C74E03">
        <w:rPr>
          <w:rFonts w:ascii="Arial" w:hAnsi="Arial" w:cs="Arial"/>
          <w:sz w:val="20"/>
          <w:szCs w:val="20"/>
        </w:rPr>
        <w:t>FEmISA</w:t>
      </w:r>
      <w:proofErr w:type="spellEnd"/>
    </w:p>
    <w:p w14:paraId="36507BDA" w14:textId="77777777"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Royal Oak House</w:t>
      </w:r>
    </w:p>
    <w:p w14:paraId="48AC2A12" w14:textId="77777777" w:rsidR="00C74E03" w:rsidRPr="00C74E03" w:rsidRDefault="00C74E03" w:rsidP="00C74E03">
      <w:pPr>
        <w:spacing w:after="0" w:line="240" w:lineRule="auto"/>
        <w:jc w:val="both"/>
        <w:rPr>
          <w:rFonts w:ascii="Arial" w:hAnsi="Arial" w:cs="Arial"/>
          <w:sz w:val="20"/>
          <w:szCs w:val="20"/>
        </w:rPr>
      </w:pPr>
      <w:proofErr w:type="spellStart"/>
      <w:r w:rsidRPr="00C74E03">
        <w:rPr>
          <w:rFonts w:ascii="Arial" w:hAnsi="Arial" w:cs="Arial"/>
          <w:sz w:val="20"/>
          <w:szCs w:val="20"/>
        </w:rPr>
        <w:t>Stowood</w:t>
      </w:r>
      <w:proofErr w:type="spellEnd"/>
    </w:p>
    <w:p w14:paraId="0FD6C025" w14:textId="77777777"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Beckley</w:t>
      </w:r>
    </w:p>
    <w:p w14:paraId="3C96097C" w14:textId="77777777"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Oxford</w:t>
      </w:r>
    </w:p>
    <w:p w14:paraId="62F69CCE" w14:textId="2F7EAB81"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OX3</w:t>
      </w:r>
      <w:r w:rsidR="007136CD">
        <w:rPr>
          <w:rFonts w:ascii="Arial" w:hAnsi="Arial" w:cs="Arial"/>
          <w:sz w:val="20"/>
          <w:szCs w:val="20"/>
        </w:rPr>
        <w:t xml:space="preserve"> </w:t>
      </w:r>
      <w:r w:rsidRPr="00C74E03">
        <w:rPr>
          <w:rFonts w:ascii="Arial" w:hAnsi="Arial" w:cs="Arial"/>
          <w:sz w:val="20"/>
          <w:szCs w:val="20"/>
        </w:rPr>
        <w:t>9TY</w:t>
      </w:r>
    </w:p>
    <w:p w14:paraId="162456DD" w14:textId="77777777" w:rsidR="00C74E03" w:rsidRDefault="00C74E03" w:rsidP="00C74E03">
      <w:pPr>
        <w:jc w:val="both"/>
        <w:rPr>
          <w:rFonts w:ascii="Arial" w:hAnsi="Arial" w:cs="Arial"/>
          <w:sz w:val="20"/>
          <w:szCs w:val="20"/>
          <w:highlight w:val="yellow"/>
        </w:rPr>
      </w:pPr>
    </w:p>
    <w:p w14:paraId="24FBFAC8" w14:textId="6E0A1150" w:rsidR="00C74E03" w:rsidRPr="00C74E03" w:rsidRDefault="00C74E03" w:rsidP="00C74E03">
      <w:pPr>
        <w:jc w:val="both"/>
        <w:rPr>
          <w:rFonts w:ascii="Arial" w:hAnsi="Arial" w:cs="Arial"/>
          <w:sz w:val="20"/>
          <w:szCs w:val="20"/>
        </w:rPr>
      </w:pPr>
      <w:r w:rsidRPr="00C74E03">
        <w:rPr>
          <w:rFonts w:ascii="Arial" w:hAnsi="Arial" w:cs="Arial"/>
          <w:sz w:val="20"/>
          <w:szCs w:val="20"/>
        </w:rPr>
        <w:t>7 June 2022</w:t>
      </w:r>
      <w:bookmarkStart w:id="1" w:name="Text"/>
      <w:bookmarkEnd w:id="1"/>
    </w:p>
    <w:p w14:paraId="71D09894" w14:textId="5D9DD42D" w:rsidR="00C74E03" w:rsidRPr="00C74E03" w:rsidRDefault="00C74E03" w:rsidP="00C74E03">
      <w:pPr>
        <w:ind w:left="426" w:right="468" w:hanging="426"/>
        <w:jc w:val="both"/>
        <w:rPr>
          <w:rFonts w:ascii="Arial" w:hAnsi="Arial" w:cs="Arial"/>
          <w:noProof/>
          <w:color w:val="262626" w:themeColor="text1" w:themeTint="D9"/>
          <w:spacing w:val="-3"/>
          <w:sz w:val="20"/>
          <w:szCs w:val="20"/>
          <w:lang w:eastAsia="en-GB"/>
        </w:rPr>
      </w:pPr>
      <w:bookmarkStart w:id="2" w:name="deartext"/>
      <w:r w:rsidRPr="00C74E03">
        <w:rPr>
          <w:rFonts w:ascii="Arial" w:hAnsi="Arial" w:cs="Arial"/>
          <w:sz w:val="20"/>
          <w:szCs w:val="20"/>
        </w:rPr>
        <w:t>Dear</w:t>
      </w:r>
      <w:bookmarkEnd w:id="2"/>
      <w:r w:rsidRPr="00C74E03">
        <w:rPr>
          <w:rFonts w:ascii="Arial" w:hAnsi="Arial" w:cs="Arial"/>
          <w:sz w:val="20"/>
          <w:szCs w:val="20"/>
        </w:rPr>
        <w:t xml:space="preserve"> </w:t>
      </w:r>
      <w:bookmarkStart w:id="3" w:name="Sal"/>
      <w:bookmarkEnd w:id="3"/>
      <w:proofErr w:type="spellStart"/>
      <w:r w:rsidR="00E973F5" w:rsidRPr="00E973F5">
        <w:rPr>
          <w:rFonts w:ascii="Arial" w:hAnsi="Arial" w:cs="Arial"/>
          <w:sz w:val="20"/>
          <w:szCs w:val="20"/>
          <w:highlight w:val="black"/>
        </w:rPr>
        <w:t>xxxxxxxxxxxxxxxxxx</w:t>
      </w:r>
      <w:proofErr w:type="spellEnd"/>
    </w:p>
    <w:p w14:paraId="6A7A625E" w14:textId="77777777" w:rsidR="00C74E03" w:rsidRPr="00C74E03" w:rsidRDefault="00C74E03" w:rsidP="00C74E03">
      <w:pPr>
        <w:ind w:left="426" w:right="468" w:hanging="426"/>
        <w:jc w:val="both"/>
        <w:rPr>
          <w:rFonts w:ascii="Arial" w:hAnsi="Arial" w:cs="Arial"/>
          <w:color w:val="262626" w:themeColor="text1" w:themeTint="D9"/>
          <w:sz w:val="20"/>
          <w:szCs w:val="20"/>
        </w:rPr>
      </w:pPr>
      <w:r w:rsidRPr="00C74E03">
        <w:rPr>
          <w:rFonts w:ascii="Arial" w:hAnsi="Arial" w:cs="Arial"/>
          <w:noProof/>
          <w:color w:val="262626" w:themeColor="text1" w:themeTint="D9"/>
          <w:spacing w:val="-3"/>
          <w:sz w:val="20"/>
          <w:szCs w:val="20"/>
          <w:lang w:eastAsia="en-GB"/>
        </w:rPr>
        <mc:AlternateContent>
          <mc:Choice Requires="wps">
            <w:drawing>
              <wp:anchor distT="4294967294" distB="4294967294" distL="114300" distR="114300" simplePos="0" relativeHeight="251659264" behindDoc="0" locked="0" layoutInCell="1" allowOverlap="1" wp14:anchorId="7DFA1DC2" wp14:editId="7F54A09F">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5DF708"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C74E03">
        <w:rPr>
          <w:rFonts w:ascii="Arial" w:hAnsi="Arial" w:cs="Arial"/>
          <w:b/>
          <w:color w:val="262626" w:themeColor="text1" w:themeTint="D9"/>
          <w:spacing w:val="-3"/>
          <w:sz w:val="20"/>
          <w:szCs w:val="20"/>
        </w:rPr>
        <w:t xml:space="preserve">Re: </w:t>
      </w:r>
      <w:r w:rsidRPr="00C74E03">
        <w:rPr>
          <w:rFonts w:ascii="Arial" w:hAnsi="Arial" w:cs="Arial"/>
          <w:b/>
          <w:sz w:val="20"/>
          <w:szCs w:val="20"/>
        </w:rPr>
        <w:t xml:space="preserve">Final Appraisal Document — </w:t>
      </w:r>
      <w:proofErr w:type="spellStart"/>
      <w:r w:rsidRPr="00C74E03">
        <w:rPr>
          <w:rFonts w:ascii="Arial" w:hAnsi="Arial" w:cs="Arial"/>
          <w:b/>
          <w:sz w:val="20"/>
          <w:szCs w:val="20"/>
        </w:rPr>
        <w:t>Relugolix</w:t>
      </w:r>
      <w:proofErr w:type="spellEnd"/>
      <w:r w:rsidRPr="00C74E03">
        <w:rPr>
          <w:rFonts w:ascii="Arial" w:hAnsi="Arial" w:cs="Arial"/>
          <w:b/>
          <w:sz w:val="20"/>
          <w:szCs w:val="20"/>
        </w:rPr>
        <w:t>–</w:t>
      </w:r>
      <w:proofErr w:type="spellStart"/>
      <w:r w:rsidRPr="00C74E03">
        <w:rPr>
          <w:rFonts w:ascii="Arial" w:hAnsi="Arial" w:cs="Arial"/>
          <w:b/>
          <w:sz w:val="20"/>
          <w:szCs w:val="20"/>
        </w:rPr>
        <w:t>estradiol</w:t>
      </w:r>
      <w:proofErr w:type="spellEnd"/>
      <w:r w:rsidRPr="00C74E03">
        <w:rPr>
          <w:rFonts w:ascii="Arial" w:hAnsi="Arial" w:cs="Arial"/>
          <w:b/>
          <w:sz w:val="20"/>
          <w:szCs w:val="20"/>
        </w:rPr>
        <w:t xml:space="preserve">–norethisterone acetate for treating moderate to severe symptoms of uterine fibroids [ID3842] </w:t>
      </w:r>
    </w:p>
    <w:p w14:paraId="741CB30C" w14:textId="77777777" w:rsidR="00C74E03" w:rsidRPr="00C74E03" w:rsidRDefault="00C74E03" w:rsidP="00C74E03">
      <w:pPr>
        <w:jc w:val="both"/>
        <w:rPr>
          <w:rFonts w:ascii="Arial" w:hAnsi="Arial" w:cs="Arial"/>
          <w:color w:val="262626" w:themeColor="text1" w:themeTint="D9"/>
          <w:sz w:val="20"/>
          <w:szCs w:val="20"/>
        </w:rPr>
      </w:pPr>
      <w:r w:rsidRPr="00C74E03">
        <w:rPr>
          <w:rFonts w:ascii="Arial" w:hAnsi="Arial" w:cs="Arial"/>
          <w:color w:val="262626" w:themeColor="text1" w:themeTint="D9"/>
          <w:sz w:val="20"/>
          <w:szCs w:val="20"/>
        </w:rPr>
        <w:t xml:space="preserve">Thank you for your letter of 23 May 2022, lodging an appeal against the above Final Appraisal Document (FAD).  </w:t>
      </w:r>
      <w:r w:rsidRPr="00C74E03">
        <w:rPr>
          <w:rFonts w:ascii="Arial" w:hAnsi="Arial" w:cs="Arial"/>
          <w:sz w:val="20"/>
          <w:szCs w:val="20"/>
        </w:rPr>
        <w:t xml:space="preserve">I refer in this letter to </w:t>
      </w:r>
      <w:proofErr w:type="spellStart"/>
      <w:r w:rsidRPr="00C74E03">
        <w:rPr>
          <w:rFonts w:ascii="Arial" w:hAnsi="Arial" w:cs="Arial"/>
          <w:sz w:val="20"/>
          <w:szCs w:val="20"/>
        </w:rPr>
        <w:t>relugolix</w:t>
      </w:r>
      <w:proofErr w:type="spellEnd"/>
      <w:r w:rsidRPr="00C74E03">
        <w:rPr>
          <w:rFonts w:ascii="Arial" w:hAnsi="Arial" w:cs="Arial"/>
          <w:sz w:val="20"/>
          <w:szCs w:val="20"/>
        </w:rPr>
        <w:t>–</w:t>
      </w:r>
      <w:proofErr w:type="spellStart"/>
      <w:r w:rsidRPr="00C74E03">
        <w:rPr>
          <w:rFonts w:ascii="Arial" w:hAnsi="Arial" w:cs="Arial"/>
          <w:sz w:val="20"/>
          <w:szCs w:val="20"/>
        </w:rPr>
        <w:t>estradiol</w:t>
      </w:r>
      <w:proofErr w:type="spellEnd"/>
      <w:r w:rsidRPr="00C74E03">
        <w:rPr>
          <w:rFonts w:ascii="Arial" w:hAnsi="Arial" w:cs="Arial"/>
          <w:sz w:val="20"/>
          <w:szCs w:val="20"/>
        </w:rPr>
        <w:t>–norethisterone acetate as “</w:t>
      </w:r>
      <w:proofErr w:type="spellStart"/>
      <w:r w:rsidRPr="00C74E03">
        <w:rPr>
          <w:rFonts w:ascii="Arial" w:hAnsi="Arial" w:cs="Arial"/>
          <w:sz w:val="20"/>
          <w:szCs w:val="20"/>
        </w:rPr>
        <w:t>Relugolix</w:t>
      </w:r>
      <w:proofErr w:type="spellEnd"/>
      <w:r w:rsidRPr="00C74E03">
        <w:rPr>
          <w:rFonts w:ascii="Arial" w:hAnsi="Arial" w:cs="Arial"/>
          <w:sz w:val="20"/>
          <w:szCs w:val="20"/>
        </w:rPr>
        <w:t>”.</w:t>
      </w:r>
    </w:p>
    <w:p w14:paraId="0C0DB9B7" w14:textId="77777777" w:rsidR="00C74E03" w:rsidRPr="00C74E03" w:rsidRDefault="00C74E03" w:rsidP="00C74E03">
      <w:pPr>
        <w:jc w:val="both"/>
        <w:rPr>
          <w:rFonts w:ascii="Arial" w:hAnsi="Arial" w:cs="Arial"/>
          <w:sz w:val="20"/>
          <w:szCs w:val="20"/>
        </w:rPr>
      </w:pPr>
      <w:r w:rsidRPr="00C74E03">
        <w:rPr>
          <w:rFonts w:ascii="Arial" w:hAnsi="Arial" w:cs="Arial"/>
          <w:sz w:val="20"/>
          <w:szCs w:val="20"/>
          <w:u w:val="single"/>
        </w:rPr>
        <w:t>Introduction</w:t>
      </w:r>
      <w:r w:rsidRPr="00C74E03">
        <w:rPr>
          <w:rFonts w:ascii="Arial" w:hAnsi="Arial" w:cs="Arial"/>
          <w:sz w:val="20"/>
          <w:szCs w:val="20"/>
        </w:rPr>
        <w:t xml:space="preserve"> </w:t>
      </w:r>
    </w:p>
    <w:p w14:paraId="059A59C1" w14:textId="77777777" w:rsidR="00C74E03" w:rsidRPr="00C74E03" w:rsidRDefault="00C74E03" w:rsidP="00C74E03">
      <w:pPr>
        <w:jc w:val="both"/>
        <w:rPr>
          <w:rFonts w:ascii="Arial" w:hAnsi="Arial" w:cs="Arial"/>
          <w:sz w:val="20"/>
          <w:szCs w:val="20"/>
        </w:rPr>
      </w:pPr>
      <w:r w:rsidRPr="00C74E03">
        <w:rPr>
          <w:rFonts w:ascii="Arial" w:hAnsi="Arial" w:cs="Arial"/>
          <w:sz w:val="20"/>
          <w:szCs w:val="20"/>
        </w:rPr>
        <w:t xml:space="preserve">The Institute's appeal procedures provide for an initial scrutiny of points that an appellant wishes to raise, to confirm that they are at least arguably within the permitted grounds of appeal ("valid"). The permitted grounds of appeal are: </w:t>
      </w:r>
    </w:p>
    <w:p w14:paraId="0D720467" w14:textId="77777777" w:rsidR="00C74E03" w:rsidRPr="00C74E03" w:rsidRDefault="00C74E03" w:rsidP="00C74E03">
      <w:pPr>
        <w:numPr>
          <w:ilvl w:val="0"/>
          <w:numId w:val="1"/>
        </w:numPr>
        <w:shd w:val="clear" w:color="auto" w:fill="FFFFFF"/>
        <w:spacing w:before="240" w:after="240" w:line="240" w:lineRule="auto"/>
        <w:jc w:val="both"/>
        <w:rPr>
          <w:rFonts w:ascii="Arial" w:hAnsi="Arial" w:cs="Arial"/>
          <w:sz w:val="20"/>
          <w:szCs w:val="20"/>
        </w:rPr>
      </w:pPr>
      <w:r w:rsidRPr="00C74E03">
        <w:rPr>
          <w:rFonts w:ascii="Arial" w:hAnsi="Arial" w:cs="Arial"/>
          <w:sz w:val="20"/>
          <w:szCs w:val="20"/>
        </w:rPr>
        <w:t xml:space="preserve">1(a) NICE has failed to act fairly, or </w:t>
      </w:r>
    </w:p>
    <w:p w14:paraId="6A1F9B3D" w14:textId="77777777" w:rsidR="00C74E03" w:rsidRPr="00C74E03" w:rsidRDefault="00C74E03" w:rsidP="00C74E03">
      <w:pPr>
        <w:numPr>
          <w:ilvl w:val="0"/>
          <w:numId w:val="1"/>
        </w:numPr>
        <w:shd w:val="clear" w:color="auto" w:fill="FFFFFF"/>
        <w:spacing w:before="240" w:after="240" w:line="240" w:lineRule="auto"/>
        <w:jc w:val="both"/>
        <w:rPr>
          <w:rFonts w:ascii="Arial" w:hAnsi="Arial" w:cs="Arial"/>
          <w:sz w:val="20"/>
          <w:szCs w:val="20"/>
        </w:rPr>
      </w:pPr>
      <w:r w:rsidRPr="00C74E03">
        <w:rPr>
          <w:rFonts w:ascii="Arial" w:hAnsi="Arial" w:cs="Arial"/>
          <w:sz w:val="20"/>
          <w:szCs w:val="20"/>
        </w:rPr>
        <w:t xml:space="preserve">1(b) NICE has exceeded </w:t>
      </w:r>
      <w:proofErr w:type="gramStart"/>
      <w:r w:rsidRPr="00C74E03">
        <w:rPr>
          <w:rFonts w:ascii="Arial" w:hAnsi="Arial" w:cs="Arial"/>
          <w:sz w:val="20"/>
          <w:szCs w:val="20"/>
        </w:rPr>
        <w:t>powers;</w:t>
      </w:r>
      <w:proofErr w:type="gramEnd"/>
    </w:p>
    <w:p w14:paraId="5993595C" w14:textId="77777777" w:rsidR="00C74E03" w:rsidRPr="00C74E03" w:rsidRDefault="00C74E03" w:rsidP="00C74E03">
      <w:pPr>
        <w:numPr>
          <w:ilvl w:val="0"/>
          <w:numId w:val="1"/>
        </w:numPr>
        <w:shd w:val="clear" w:color="auto" w:fill="FFFFFF"/>
        <w:spacing w:before="240" w:after="240" w:line="240" w:lineRule="auto"/>
        <w:jc w:val="both"/>
        <w:rPr>
          <w:rFonts w:ascii="Arial" w:hAnsi="Arial" w:cs="Arial"/>
          <w:sz w:val="20"/>
          <w:szCs w:val="20"/>
        </w:rPr>
      </w:pPr>
      <w:r w:rsidRPr="00C74E03">
        <w:rPr>
          <w:rFonts w:ascii="Arial" w:hAnsi="Arial" w:cs="Arial"/>
          <w:sz w:val="20"/>
          <w:szCs w:val="20"/>
        </w:rPr>
        <w:t>(2) the recommendation is unreasonable in the light of the evidence submitted to NICE.</w:t>
      </w:r>
    </w:p>
    <w:p w14:paraId="04D81556" w14:textId="77777777" w:rsidR="00C74E03" w:rsidRPr="00C74E03" w:rsidRDefault="00C74E03" w:rsidP="00C74E03">
      <w:pPr>
        <w:jc w:val="both"/>
        <w:rPr>
          <w:rFonts w:ascii="Arial" w:hAnsi="Arial" w:cs="Arial"/>
          <w:sz w:val="20"/>
          <w:szCs w:val="20"/>
        </w:rPr>
      </w:pPr>
      <w:r w:rsidRPr="00C74E03">
        <w:rPr>
          <w:rFonts w:ascii="Arial" w:hAnsi="Arial" w:cs="Arial"/>
          <w:sz w:val="20"/>
          <w:szCs w:val="20"/>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70B741D5" w14:textId="77777777" w:rsidR="00C74E03" w:rsidRPr="00C74E03" w:rsidRDefault="00C74E03" w:rsidP="00C74E03">
      <w:pPr>
        <w:jc w:val="both"/>
        <w:rPr>
          <w:rFonts w:ascii="Arial" w:hAnsi="Arial" w:cs="Arial"/>
          <w:sz w:val="20"/>
          <w:szCs w:val="20"/>
        </w:rPr>
      </w:pPr>
      <w:r w:rsidRPr="00C74E03">
        <w:rPr>
          <w:rFonts w:ascii="Arial" w:hAnsi="Arial" w:cs="Arial"/>
          <w:sz w:val="20"/>
          <w:szCs w:val="20"/>
        </w:rPr>
        <w:t xml:space="preserve">You </w:t>
      </w:r>
      <w:proofErr w:type="gramStart"/>
      <w:r w:rsidRPr="00C74E03">
        <w:rPr>
          <w:rFonts w:ascii="Arial" w:hAnsi="Arial" w:cs="Arial"/>
          <w:sz w:val="20"/>
          <w:szCs w:val="20"/>
        </w:rPr>
        <w:t>have the opportunity to</w:t>
      </w:r>
      <w:proofErr w:type="gramEnd"/>
      <w:r w:rsidRPr="00C74E03">
        <w:rPr>
          <w:rFonts w:ascii="Arial" w:hAnsi="Arial" w:cs="Arial"/>
          <w:sz w:val="20"/>
          <w:szCs w:val="20"/>
        </w:rPr>
        <w:t xml:space="preserve"> comment on this letter in order to elaborate on or clarify any of the points raised before I will make my final decision as to whether each appeal point should be referred on to the Appeal Panel. </w:t>
      </w:r>
    </w:p>
    <w:p w14:paraId="41656E0F" w14:textId="77777777" w:rsidR="00C74E03" w:rsidRPr="00C74E03" w:rsidRDefault="00C74E03" w:rsidP="00C74E03">
      <w:pPr>
        <w:jc w:val="both"/>
        <w:rPr>
          <w:rFonts w:ascii="Arial" w:hAnsi="Arial" w:cs="Arial"/>
          <w:sz w:val="20"/>
          <w:szCs w:val="20"/>
          <w:u w:val="single"/>
        </w:rPr>
      </w:pPr>
      <w:r w:rsidRPr="00C74E03">
        <w:rPr>
          <w:rFonts w:ascii="Arial" w:hAnsi="Arial" w:cs="Arial"/>
          <w:sz w:val="20"/>
          <w:szCs w:val="20"/>
          <w:u w:val="single"/>
        </w:rPr>
        <w:t>Initial View</w:t>
      </w:r>
    </w:p>
    <w:p w14:paraId="6B3BFBA8" w14:textId="77777777" w:rsidR="00C74E03" w:rsidRPr="00C74E03" w:rsidRDefault="00C74E03" w:rsidP="00C74E03">
      <w:pPr>
        <w:jc w:val="both"/>
        <w:rPr>
          <w:rFonts w:ascii="Arial" w:hAnsi="Arial" w:cs="Arial"/>
          <w:sz w:val="20"/>
          <w:szCs w:val="20"/>
        </w:rPr>
      </w:pPr>
      <w:r w:rsidRPr="00C74E03">
        <w:rPr>
          <w:rFonts w:ascii="Arial" w:hAnsi="Arial" w:cs="Arial"/>
          <w:sz w:val="20"/>
          <w:szCs w:val="20"/>
        </w:rPr>
        <w:t xml:space="preserve">I assess each of your points in turn.  For the purposes of this letter and efficient management of the appeal I have identified and numbered what I understand to be your individual appeal points below, bearing in mind the requirements under NICE’s Guide to the technology appraisal and highly specialised technologies appeal process </w:t>
      </w:r>
      <w:hyperlink r:id="rId9" w:anchor="what-must-the-appeal-letter-contain" w:history="1">
        <w:r w:rsidRPr="00C74E03">
          <w:rPr>
            <w:rStyle w:val="Hyperlink"/>
            <w:rFonts w:ascii="Arial" w:hAnsi="Arial" w:cs="Arial"/>
            <w:sz w:val="20"/>
            <w:szCs w:val="20"/>
          </w:rPr>
          <w:t>[PMG18]</w:t>
        </w:r>
      </w:hyperlink>
      <w:r w:rsidRPr="00C74E03">
        <w:rPr>
          <w:rFonts w:ascii="Arial" w:hAnsi="Arial" w:cs="Arial"/>
          <w:sz w:val="20"/>
          <w:szCs w:val="20"/>
        </w:rPr>
        <w:t xml:space="preserve"> (the  “</w:t>
      </w:r>
      <w:r w:rsidRPr="00C74E03">
        <w:rPr>
          <w:rFonts w:ascii="Arial" w:hAnsi="Arial" w:cs="Arial"/>
          <w:b/>
          <w:sz w:val="20"/>
          <w:szCs w:val="20"/>
        </w:rPr>
        <w:t>appeals process guide</w:t>
      </w:r>
      <w:r w:rsidRPr="00C74E03">
        <w:rPr>
          <w:rFonts w:ascii="Arial" w:hAnsi="Arial" w:cs="Arial"/>
          <w:sz w:val="20"/>
          <w:szCs w:val="20"/>
        </w:rPr>
        <w:t>”) that e</w:t>
      </w:r>
      <w:r w:rsidRPr="00C74E03">
        <w:rPr>
          <w:rFonts w:ascii="Arial" w:hAnsi="Arial" w:cs="Arial"/>
          <w:sz w:val="20"/>
          <w:szCs w:val="20"/>
          <w:shd w:val="clear" w:color="auto" w:fill="FAFAFB"/>
        </w:rPr>
        <w:t>ach appeal point be numbered and a 1</w:t>
      </w:r>
      <w:r w:rsidRPr="00C74E03">
        <w:rPr>
          <w:rFonts w:ascii="Cambria Math" w:hAnsi="Cambria Math" w:cs="Cambria Math"/>
          <w:sz w:val="20"/>
          <w:szCs w:val="20"/>
          <w:shd w:val="clear" w:color="auto" w:fill="FAFAFB"/>
        </w:rPr>
        <w:t>‑</w:t>
      </w:r>
      <w:r w:rsidRPr="00C74E03">
        <w:rPr>
          <w:rFonts w:ascii="Arial" w:hAnsi="Arial" w:cs="Arial"/>
          <w:sz w:val="20"/>
          <w:szCs w:val="20"/>
          <w:shd w:val="clear" w:color="auto" w:fill="FAFAFB"/>
        </w:rPr>
        <w:t xml:space="preserve">sentence description provided. </w:t>
      </w:r>
    </w:p>
    <w:p w14:paraId="77323D6F" w14:textId="77777777" w:rsidR="00C74E03" w:rsidRPr="00C74E03" w:rsidRDefault="00C74E03" w:rsidP="00C74E03">
      <w:pPr>
        <w:jc w:val="both"/>
        <w:rPr>
          <w:rFonts w:ascii="Arial" w:hAnsi="Arial" w:cs="Arial"/>
          <w:sz w:val="20"/>
          <w:szCs w:val="20"/>
        </w:rPr>
      </w:pPr>
      <w:r w:rsidRPr="00C74E03">
        <w:rPr>
          <w:rFonts w:ascii="Arial" w:hAnsi="Arial" w:cs="Arial"/>
          <w:sz w:val="20"/>
          <w:szCs w:val="20"/>
        </w:rPr>
        <w:t xml:space="preserve">Before considering each of your appeal </w:t>
      </w:r>
      <w:proofErr w:type="gramStart"/>
      <w:r w:rsidRPr="00C74E03">
        <w:rPr>
          <w:rFonts w:ascii="Arial" w:hAnsi="Arial" w:cs="Arial"/>
          <w:sz w:val="20"/>
          <w:szCs w:val="20"/>
        </w:rPr>
        <w:t>points</w:t>
      </w:r>
      <w:proofErr w:type="gramEnd"/>
      <w:r w:rsidRPr="00C74E03">
        <w:rPr>
          <w:rFonts w:ascii="Arial" w:hAnsi="Arial" w:cs="Arial"/>
          <w:sz w:val="20"/>
          <w:szCs w:val="20"/>
        </w:rPr>
        <w:t xml:space="preserve"> I set out two preliminary matters of clarification.</w:t>
      </w:r>
    </w:p>
    <w:p w14:paraId="5D6BD09F"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lang w:eastAsia="en-US"/>
        </w:rPr>
        <w:lastRenderedPageBreak/>
        <w:t xml:space="preserve">First, the recommendation of </w:t>
      </w:r>
      <w:proofErr w:type="spellStart"/>
      <w:r w:rsidRPr="001F15C2">
        <w:rPr>
          <w:rFonts w:cs="Arial"/>
          <w:sz w:val="20"/>
          <w:szCs w:val="20"/>
        </w:rPr>
        <w:t>Relugolix</w:t>
      </w:r>
      <w:proofErr w:type="spellEnd"/>
      <w:r w:rsidRPr="001F15C2">
        <w:rPr>
          <w:rFonts w:cs="Arial"/>
          <w:sz w:val="20"/>
          <w:szCs w:val="20"/>
        </w:rPr>
        <w:t xml:space="preserve"> in the draft FAD is not a disinvestment decision in respect of any other treatment option for moderate to severe symptoms of uterine fibroids. The committee recognised that in clinical practice, treatment is determined based on factors including </w:t>
      </w:r>
      <w:r>
        <w:rPr>
          <w:rFonts w:cs="Arial"/>
          <w:sz w:val="20"/>
          <w:szCs w:val="20"/>
        </w:rPr>
        <w:t xml:space="preserve">patient </w:t>
      </w:r>
      <w:r w:rsidRPr="001F15C2">
        <w:rPr>
          <w:rFonts w:cs="Arial"/>
          <w:sz w:val="20"/>
          <w:szCs w:val="20"/>
        </w:rPr>
        <w:t>preferred treatment choice</w:t>
      </w:r>
      <w:r>
        <w:rPr>
          <w:rFonts w:cs="Arial"/>
          <w:sz w:val="20"/>
          <w:szCs w:val="20"/>
        </w:rPr>
        <w:t xml:space="preserve"> and</w:t>
      </w:r>
      <w:r w:rsidRPr="001F15C2">
        <w:rPr>
          <w:rFonts w:cs="Arial"/>
          <w:sz w:val="20"/>
          <w:szCs w:val="20"/>
        </w:rPr>
        <w:t xml:space="preserve"> noted that treatment for symptomatic uterine fibroids is generally aligned with NICE guideline </w:t>
      </w:r>
      <w:hyperlink r:id="rId10" w:history="1">
        <w:r w:rsidRPr="001F15C2">
          <w:rPr>
            <w:rStyle w:val="Hyperlink"/>
            <w:rFonts w:cs="Arial"/>
            <w:sz w:val="20"/>
            <w:szCs w:val="20"/>
          </w:rPr>
          <w:t>[NG88]</w:t>
        </w:r>
      </w:hyperlink>
      <w:r w:rsidRPr="001F15C2">
        <w:rPr>
          <w:rFonts w:cs="Arial"/>
          <w:sz w:val="20"/>
          <w:szCs w:val="20"/>
        </w:rPr>
        <w:t xml:space="preserve"> on assessment and management of heavy menstrual bleeding</w:t>
      </w:r>
      <w:r>
        <w:rPr>
          <w:rFonts w:cs="Arial"/>
          <w:sz w:val="20"/>
          <w:szCs w:val="20"/>
        </w:rPr>
        <w:t xml:space="preserve">. This guideline </w:t>
      </w:r>
      <w:r w:rsidRPr="001F15C2">
        <w:rPr>
          <w:rFonts w:cs="Arial"/>
          <w:sz w:val="20"/>
          <w:szCs w:val="20"/>
        </w:rPr>
        <w:t xml:space="preserve">is explicit about the importance of patient preference. </w:t>
      </w:r>
      <w:r>
        <w:rPr>
          <w:rFonts w:cs="Arial"/>
          <w:sz w:val="20"/>
          <w:szCs w:val="20"/>
        </w:rPr>
        <w:t>As you will know, t</w:t>
      </w:r>
      <w:r w:rsidRPr="001F15C2">
        <w:rPr>
          <w:rFonts w:cs="Arial"/>
          <w:sz w:val="20"/>
          <w:szCs w:val="20"/>
        </w:rPr>
        <w:t>he NICE guideline supports a range of surgical and non-surgical treatment</w:t>
      </w:r>
      <w:r>
        <w:rPr>
          <w:rFonts w:cs="Arial"/>
          <w:sz w:val="20"/>
          <w:szCs w:val="20"/>
        </w:rPr>
        <w:t xml:space="preserve"> options</w:t>
      </w:r>
      <w:r w:rsidRPr="001F15C2">
        <w:rPr>
          <w:rFonts w:cs="Arial"/>
          <w:sz w:val="20"/>
          <w:szCs w:val="20"/>
        </w:rPr>
        <w:t xml:space="preserve"> for patients with fibroids of 3 cm or more in diameter (who are likely to be those patients for whom th</w:t>
      </w:r>
      <w:r>
        <w:rPr>
          <w:rFonts w:cs="Arial"/>
          <w:sz w:val="20"/>
          <w:szCs w:val="20"/>
        </w:rPr>
        <w:t>is</w:t>
      </w:r>
      <w:r w:rsidRPr="001F15C2">
        <w:rPr>
          <w:rFonts w:cs="Arial"/>
          <w:sz w:val="20"/>
          <w:szCs w:val="20"/>
        </w:rPr>
        <w:t xml:space="preserve"> FAD is relevant) (see recommendations 1.5.7 to 1.5.17) and includes uterine artery </w:t>
      </w:r>
      <w:proofErr w:type="spellStart"/>
      <w:r w:rsidRPr="001F15C2">
        <w:rPr>
          <w:rFonts w:cs="Arial"/>
          <w:sz w:val="20"/>
          <w:szCs w:val="20"/>
        </w:rPr>
        <w:t>embolisation</w:t>
      </w:r>
      <w:proofErr w:type="spellEnd"/>
      <w:r w:rsidRPr="001F15C2">
        <w:rPr>
          <w:rFonts w:cs="Arial"/>
          <w:sz w:val="20"/>
          <w:szCs w:val="20"/>
        </w:rPr>
        <w:t xml:space="preserve"> (“UAE”) and surg</w:t>
      </w:r>
      <w:r>
        <w:rPr>
          <w:rFonts w:cs="Arial"/>
          <w:sz w:val="20"/>
          <w:szCs w:val="20"/>
        </w:rPr>
        <w:t>ical procedures</w:t>
      </w:r>
      <w:r w:rsidRPr="001F15C2">
        <w:rPr>
          <w:rFonts w:cs="Arial"/>
          <w:sz w:val="20"/>
          <w:szCs w:val="20"/>
        </w:rPr>
        <w:t xml:space="preserve"> as first-line treatment options</w:t>
      </w:r>
      <w:r>
        <w:rPr>
          <w:rFonts w:cs="Arial"/>
          <w:sz w:val="20"/>
          <w:szCs w:val="20"/>
        </w:rPr>
        <w:t xml:space="preserve"> (</w:t>
      </w:r>
      <w:r w:rsidRPr="001F15C2">
        <w:rPr>
          <w:rFonts w:cs="Arial"/>
          <w:sz w:val="20"/>
          <w:szCs w:val="20"/>
        </w:rPr>
        <w:t>given that “</w:t>
      </w:r>
      <w:r w:rsidRPr="001F15C2">
        <w:rPr>
          <w:rFonts w:cs="Arial"/>
          <w:i/>
          <w:sz w:val="20"/>
          <w:szCs w:val="20"/>
        </w:rPr>
        <w:t>pharmacological treatment is not always the best option for fibroids that are substantially greater than 3 cm in diameter because of their physical effect on the uterine cavity</w:t>
      </w:r>
      <w:r w:rsidRPr="001F15C2">
        <w:rPr>
          <w:rFonts w:cs="Arial"/>
          <w:sz w:val="20"/>
          <w:szCs w:val="20"/>
        </w:rPr>
        <w:t>” and “</w:t>
      </w:r>
      <w:r w:rsidRPr="001F15C2">
        <w:rPr>
          <w:rFonts w:cs="Arial"/>
          <w:i/>
          <w:sz w:val="20"/>
          <w:szCs w:val="20"/>
        </w:rPr>
        <w:t>some women may prefer not to have pharmacological treatment”</w:t>
      </w:r>
      <w:r w:rsidRPr="00C2049A">
        <w:rPr>
          <w:rFonts w:cs="Arial"/>
          <w:sz w:val="20"/>
          <w:szCs w:val="20"/>
        </w:rPr>
        <w:t>).</w:t>
      </w:r>
    </w:p>
    <w:p w14:paraId="0C2F4300" w14:textId="77777777" w:rsidR="00C74E03"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Patient preference is </w:t>
      </w:r>
      <w:r>
        <w:rPr>
          <w:rFonts w:cs="Arial"/>
          <w:sz w:val="20"/>
          <w:szCs w:val="20"/>
        </w:rPr>
        <w:t xml:space="preserve">therefore </w:t>
      </w:r>
      <w:r w:rsidRPr="001F15C2">
        <w:rPr>
          <w:rFonts w:cs="Arial"/>
          <w:sz w:val="20"/>
          <w:szCs w:val="20"/>
        </w:rPr>
        <w:t xml:space="preserve">preserved in the NICE guideline, and the draft FAD on </w:t>
      </w:r>
      <w:proofErr w:type="spellStart"/>
      <w:r w:rsidRPr="001F15C2">
        <w:rPr>
          <w:rFonts w:cs="Arial"/>
          <w:sz w:val="20"/>
          <w:szCs w:val="20"/>
        </w:rPr>
        <w:t>Relugolix</w:t>
      </w:r>
      <w:proofErr w:type="spellEnd"/>
      <w:r w:rsidRPr="001F15C2">
        <w:rPr>
          <w:rFonts w:cs="Arial"/>
          <w:sz w:val="20"/>
          <w:szCs w:val="20"/>
        </w:rPr>
        <w:t xml:space="preserve"> does not undermine this.  </w:t>
      </w:r>
    </w:p>
    <w:p w14:paraId="0C2A054F" w14:textId="77777777" w:rsidR="00C74E03" w:rsidRDefault="00C74E03" w:rsidP="00C74E03">
      <w:pPr>
        <w:pStyle w:val="Paragraph"/>
        <w:numPr>
          <w:ilvl w:val="0"/>
          <w:numId w:val="0"/>
        </w:numPr>
        <w:spacing w:before="120"/>
        <w:jc w:val="both"/>
        <w:rPr>
          <w:rFonts w:cs="Arial"/>
          <w:sz w:val="20"/>
          <w:szCs w:val="20"/>
        </w:rPr>
      </w:pPr>
      <w:r w:rsidRPr="001F15C2">
        <w:rPr>
          <w:rFonts w:cs="Arial"/>
          <w:sz w:val="20"/>
          <w:szCs w:val="20"/>
          <w:lang w:eastAsia="en-US"/>
        </w:rPr>
        <w:t xml:space="preserve">Rather, the legal effect of a recommendation for use of </w:t>
      </w:r>
      <w:proofErr w:type="spellStart"/>
      <w:r w:rsidRPr="001F15C2">
        <w:rPr>
          <w:rFonts w:cs="Arial"/>
          <w:sz w:val="20"/>
          <w:szCs w:val="20"/>
          <w:lang w:eastAsia="en-US"/>
        </w:rPr>
        <w:t>Relugolix</w:t>
      </w:r>
      <w:proofErr w:type="spellEnd"/>
      <w:r w:rsidRPr="001F15C2">
        <w:rPr>
          <w:rFonts w:cs="Arial"/>
          <w:sz w:val="20"/>
          <w:szCs w:val="20"/>
          <w:lang w:eastAsia="en-US"/>
        </w:rPr>
        <w:t xml:space="preserve"> </w:t>
      </w:r>
      <w:r w:rsidRPr="00CD0242">
        <w:rPr>
          <w:rFonts w:cs="Arial"/>
          <w:sz w:val="20"/>
          <w:szCs w:val="20"/>
          <w:lang w:eastAsia="en-US"/>
        </w:rPr>
        <w:t>‘as an option’</w:t>
      </w:r>
      <w:r>
        <w:rPr>
          <w:rFonts w:cs="Arial"/>
          <w:sz w:val="20"/>
          <w:szCs w:val="20"/>
          <w:lang w:eastAsia="en-US"/>
        </w:rPr>
        <w:t xml:space="preserve"> </w:t>
      </w:r>
      <w:r w:rsidRPr="001F15C2">
        <w:rPr>
          <w:rFonts w:cs="Arial"/>
          <w:sz w:val="20"/>
          <w:szCs w:val="20"/>
          <w:lang w:eastAsia="en-US"/>
        </w:rPr>
        <w:t>within the terms of the FAD is set out at paragraph 4.3 of the FAD</w:t>
      </w:r>
      <w:r>
        <w:rPr>
          <w:rFonts w:cs="Arial"/>
          <w:sz w:val="20"/>
          <w:szCs w:val="20"/>
          <w:lang w:eastAsia="en-US"/>
        </w:rPr>
        <w:t xml:space="preserve">. In short, there </w:t>
      </w:r>
      <w:r w:rsidRPr="001F15C2">
        <w:rPr>
          <w:rFonts w:cs="Arial"/>
          <w:sz w:val="20"/>
          <w:szCs w:val="20"/>
          <w:lang w:eastAsia="en-US"/>
        </w:rPr>
        <w:t>would be a duty on commissioners to comply with the FAD mean</w:t>
      </w:r>
      <w:r>
        <w:rPr>
          <w:rFonts w:cs="Arial"/>
          <w:sz w:val="20"/>
          <w:szCs w:val="20"/>
          <w:lang w:eastAsia="en-US"/>
        </w:rPr>
        <w:t>ing</w:t>
      </w:r>
      <w:r w:rsidRPr="001F15C2">
        <w:rPr>
          <w:rFonts w:cs="Arial"/>
          <w:sz w:val="20"/>
          <w:szCs w:val="20"/>
          <w:lang w:eastAsia="en-US"/>
        </w:rPr>
        <w:t xml:space="preserve"> that, where deemed</w:t>
      </w:r>
      <w:r w:rsidRPr="001F15C2">
        <w:rPr>
          <w:rFonts w:cs="Arial"/>
          <w:sz w:val="20"/>
          <w:szCs w:val="20"/>
        </w:rPr>
        <w:t xml:space="preserve"> appropriate by the clinician and agreed by the patient, </w:t>
      </w:r>
      <w:r w:rsidRPr="001F15C2">
        <w:rPr>
          <w:rFonts w:cs="Arial"/>
          <w:sz w:val="20"/>
          <w:szCs w:val="20"/>
          <w:lang w:eastAsia="en-US"/>
        </w:rPr>
        <w:t>treatment with</w:t>
      </w:r>
      <w:r w:rsidRPr="001F15C2">
        <w:rPr>
          <w:rFonts w:cs="Arial"/>
          <w:sz w:val="20"/>
          <w:szCs w:val="20"/>
        </w:rPr>
        <w:t xml:space="preserve"> </w:t>
      </w:r>
      <w:proofErr w:type="spellStart"/>
      <w:r w:rsidRPr="001F15C2">
        <w:rPr>
          <w:rFonts w:cs="Arial"/>
          <w:sz w:val="20"/>
          <w:szCs w:val="20"/>
        </w:rPr>
        <w:t>Relugolix</w:t>
      </w:r>
      <w:proofErr w:type="spellEnd"/>
      <w:r w:rsidRPr="001F15C2">
        <w:rPr>
          <w:rFonts w:cs="Arial"/>
          <w:sz w:val="20"/>
          <w:szCs w:val="20"/>
        </w:rPr>
        <w:t xml:space="preserve"> could not be denied solely for lack of funding. </w:t>
      </w:r>
    </w:p>
    <w:p w14:paraId="431A64EA" w14:textId="77777777" w:rsidR="00C74E03" w:rsidRPr="001F15C2" w:rsidRDefault="00C74E03" w:rsidP="00C74E03">
      <w:pPr>
        <w:pStyle w:val="Paragraph"/>
        <w:numPr>
          <w:ilvl w:val="0"/>
          <w:numId w:val="0"/>
        </w:numPr>
        <w:spacing w:before="120"/>
        <w:jc w:val="both"/>
        <w:rPr>
          <w:rFonts w:cs="Arial"/>
          <w:sz w:val="20"/>
          <w:szCs w:val="20"/>
          <w:lang w:eastAsia="en-US"/>
        </w:rPr>
      </w:pPr>
      <w:r w:rsidRPr="001F15C2">
        <w:rPr>
          <w:rFonts w:cs="Arial"/>
          <w:sz w:val="20"/>
          <w:szCs w:val="20"/>
        </w:rPr>
        <w:t xml:space="preserve">What the FAD does </w:t>
      </w:r>
      <w:r w:rsidRPr="0033740C">
        <w:rPr>
          <w:rFonts w:cs="Arial"/>
          <w:sz w:val="20"/>
          <w:szCs w:val="20"/>
          <w:u w:val="single"/>
        </w:rPr>
        <w:t>not</w:t>
      </w:r>
      <w:r w:rsidRPr="001F15C2">
        <w:rPr>
          <w:rFonts w:cs="Arial"/>
          <w:sz w:val="20"/>
          <w:szCs w:val="20"/>
        </w:rPr>
        <w:t xml:space="preserve"> mean is that commissioners should refuse funding for other effective treatments. </w:t>
      </w:r>
      <w:r w:rsidRPr="001F15C2">
        <w:rPr>
          <w:rFonts w:cs="Arial"/>
          <w:sz w:val="20"/>
          <w:szCs w:val="20"/>
          <w:lang w:eastAsia="en-US"/>
        </w:rPr>
        <w:t xml:space="preserve"> </w:t>
      </w:r>
      <w:r>
        <w:rPr>
          <w:rFonts w:cs="Arial"/>
          <w:sz w:val="20"/>
          <w:szCs w:val="20"/>
          <w:lang w:eastAsia="en-US"/>
        </w:rPr>
        <w:t>T</w:t>
      </w:r>
      <w:r w:rsidRPr="001F15C2">
        <w:rPr>
          <w:rFonts w:cs="Arial"/>
          <w:sz w:val="20"/>
          <w:szCs w:val="20"/>
          <w:lang w:eastAsia="en-US"/>
        </w:rPr>
        <w:t xml:space="preserve">he role of technology appraisal guidance (as set out in the FAD) is to make available new choices for patients and to broaden rather than narrow the range of treatment options available. </w:t>
      </w:r>
    </w:p>
    <w:p w14:paraId="669E4E35"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lang w:eastAsia="en-US"/>
        </w:rPr>
        <w:t xml:space="preserve">Secondly, I note that the </w:t>
      </w:r>
      <w:r w:rsidRPr="001F15C2">
        <w:rPr>
          <w:rFonts w:cs="Arial"/>
          <w:sz w:val="20"/>
          <w:szCs w:val="20"/>
        </w:rPr>
        <w:t xml:space="preserve">aspects of the final draft guidance you appeal against are primarily contained in the statement (at paragraphs 1 and 3.12 of the draft FAD) that “there are likely additional benefits” of </w:t>
      </w:r>
      <w:proofErr w:type="spellStart"/>
      <w:r w:rsidRPr="001F15C2">
        <w:rPr>
          <w:rFonts w:cs="Arial"/>
          <w:sz w:val="20"/>
          <w:szCs w:val="20"/>
        </w:rPr>
        <w:t>Relugolix</w:t>
      </w:r>
      <w:proofErr w:type="spellEnd"/>
      <w:r w:rsidRPr="001F15C2">
        <w:rPr>
          <w:rFonts w:cs="Arial"/>
          <w:sz w:val="20"/>
          <w:szCs w:val="20"/>
        </w:rPr>
        <w:t xml:space="preserve"> not captured in the economic model, including that it “is an effective non-surgical treatment”, “can be used long term, which could mean improved and sustained symptom relief” and “preserves the uterus and ferity”. </w:t>
      </w:r>
      <w:proofErr w:type="gramStart"/>
      <w:r>
        <w:rPr>
          <w:rFonts w:cs="Arial"/>
          <w:sz w:val="20"/>
          <w:szCs w:val="20"/>
        </w:rPr>
        <w:t>In light of</w:t>
      </w:r>
      <w:proofErr w:type="gramEnd"/>
      <w:r>
        <w:rPr>
          <w:rFonts w:cs="Arial"/>
          <w:sz w:val="20"/>
          <w:szCs w:val="20"/>
        </w:rPr>
        <w:t xml:space="preserve"> this </w:t>
      </w:r>
      <w:r w:rsidRPr="001F15C2">
        <w:rPr>
          <w:rFonts w:cs="Arial"/>
          <w:sz w:val="20"/>
          <w:szCs w:val="20"/>
        </w:rPr>
        <w:t>non-exhaustive list of “likely additional benefits” not captured in the economic model</w:t>
      </w:r>
      <w:r>
        <w:rPr>
          <w:rFonts w:cs="Arial"/>
          <w:sz w:val="20"/>
          <w:szCs w:val="20"/>
        </w:rPr>
        <w:t>,</w:t>
      </w:r>
      <w:r w:rsidRPr="001F15C2">
        <w:rPr>
          <w:rFonts w:cs="Arial"/>
          <w:sz w:val="20"/>
          <w:szCs w:val="20"/>
        </w:rPr>
        <w:t xml:space="preserve"> the committee conclude</w:t>
      </w:r>
      <w:r>
        <w:rPr>
          <w:rFonts w:cs="Arial"/>
          <w:sz w:val="20"/>
          <w:szCs w:val="20"/>
        </w:rPr>
        <w:t>d</w:t>
      </w:r>
      <w:r w:rsidRPr="001F15C2">
        <w:rPr>
          <w:rFonts w:cs="Arial"/>
          <w:sz w:val="20"/>
          <w:szCs w:val="20"/>
        </w:rPr>
        <w:t xml:space="preserve"> that the economic model likely underestimates the utility values informing the QALY gains</w:t>
      </w:r>
      <w:r>
        <w:rPr>
          <w:rFonts w:cs="Arial"/>
          <w:sz w:val="20"/>
          <w:szCs w:val="20"/>
        </w:rPr>
        <w:t xml:space="preserve">. While this </w:t>
      </w:r>
      <w:r w:rsidRPr="001F15C2">
        <w:rPr>
          <w:rFonts w:cs="Arial"/>
          <w:sz w:val="20"/>
          <w:szCs w:val="20"/>
        </w:rPr>
        <w:t xml:space="preserve">was </w:t>
      </w:r>
      <w:r>
        <w:rPr>
          <w:rFonts w:cs="Arial"/>
          <w:sz w:val="20"/>
          <w:szCs w:val="20"/>
        </w:rPr>
        <w:t>relevant</w:t>
      </w:r>
      <w:r w:rsidRPr="001F15C2">
        <w:rPr>
          <w:rFonts w:cs="Arial"/>
          <w:sz w:val="20"/>
          <w:szCs w:val="20"/>
        </w:rPr>
        <w:t xml:space="preserve"> for the committee’s recommendation</w:t>
      </w:r>
      <w:r>
        <w:rPr>
          <w:rFonts w:cs="Arial"/>
          <w:sz w:val="20"/>
          <w:szCs w:val="20"/>
        </w:rPr>
        <w:t>, i</w:t>
      </w:r>
      <w:r w:rsidRPr="001F15C2">
        <w:rPr>
          <w:rFonts w:cs="Arial"/>
          <w:sz w:val="20"/>
          <w:szCs w:val="20"/>
        </w:rPr>
        <w:t xml:space="preserve">t is important to understand that the committee’s discussion of these factors was an economic conversation regarding the limitations of the economic model and was in that sense distinct from its evaluation of the clinical trials and expert clinical </w:t>
      </w:r>
      <w:r>
        <w:rPr>
          <w:rFonts w:cs="Arial"/>
          <w:sz w:val="20"/>
          <w:szCs w:val="20"/>
        </w:rPr>
        <w:t xml:space="preserve">and patient </w:t>
      </w:r>
      <w:r w:rsidRPr="001F15C2">
        <w:rPr>
          <w:rFonts w:cs="Arial"/>
          <w:sz w:val="20"/>
          <w:szCs w:val="20"/>
        </w:rPr>
        <w:t xml:space="preserve">evidence. I have this </w:t>
      </w:r>
      <w:r>
        <w:rPr>
          <w:rFonts w:cs="Arial"/>
          <w:sz w:val="20"/>
          <w:szCs w:val="20"/>
        </w:rPr>
        <w:t xml:space="preserve">specific </w:t>
      </w:r>
      <w:r w:rsidRPr="001F15C2">
        <w:rPr>
          <w:rFonts w:cs="Arial"/>
          <w:sz w:val="20"/>
          <w:szCs w:val="20"/>
        </w:rPr>
        <w:t xml:space="preserve">context in mind when considering the validity of your appeal points. </w:t>
      </w:r>
    </w:p>
    <w:p w14:paraId="622B21FE" w14:textId="77777777" w:rsidR="00C74E03" w:rsidRPr="00575FA7" w:rsidRDefault="00C74E03" w:rsidP="00C74E03">
      <w:pPr>
        <w:spacing w:before="240" w:after="240"/>
        <w:jc w:val="both"/>
        <w:rPr>
          <w:rFonts w:ascii="Arial" w:hAnsi="Arial" w:cs="Arial"/>
          <w:i/>
          <w:vanish/>
          <w:sz w:val="20"/>
          <w:szCs w:val="20"/>
          <w:lang w:eastAsia="en-GB"/>
        </w:rPr>
      </w:pPr>
      <w:r w:rsidRPr="00575FA7">
        <w:rPr>
          <w:rFonts w:ascii="Arial" w:hAnsi="Arial" w:cs="Arial"/>
          <w:b/>
          <w:i/>
          <w:sz w:val="20"/>
          <w:szCs w:val="20"/>
        </w:rPr>
        <w:t>Ground 2:</w:t>
      </w:r>
      <w:r w:rsidRPr="00575FA7">
        <w:rPr>
          <w:rFonts w:ascii="Arial" w:hAnsi="Arial" w:cs="Arial"/>
          <w:i/>
          <w:sz w:val="20"/>
          <w:szCs w:val="20"/>
        </w:rPr>
        <w:t xml:space="preserve"> </w:t>
      </w:r>
      <w:r w:rsidRPr="00575FA7">
        <w:rPr>
          <w:rFonts w:ascii="Arial" w:hAnsi="Arial" w:cs="Arial"/>
          <w:b/>
          <w:i/>
          <w:sz w:val="20"/>
          <w:szCs w:val="20"/>
        </w:rPr>
        <w:t xml:space="preserve">the recommendation is unreasonable in the light of the evidence submitted to NICE </w:t>
      </w:r>
    </w:p>
    <w:p w14:paraId="2BC3E5D7" w14:textId="77777777" w:rsidR="00C74E03" w:rsidRPr="00575FA7" w:rsidRDefault="00C74E03" w:rsidP="00C74E03">
      <w:pPr>
        <w:pStyle w:val="Paragraph"/>
        <w:numPr>
          <w:ilvl w:val="0"/>
          <w:numId w:val="0"/>
        </w:numPr>
        <w:ind w:left="851" w:hanging="851"/>
        <w:jc w:val="both"/>
        <w:rPr>
          <w:rFonts w:cs="Arial"/>
          <w:b/>
          <w:i/>
          <w:sz w:val="20"/>
          <w:szCs w:val="20"/>
        </w:rPr>
      </w:pPr>
      <w:r w:rsidRPr="00575FA7">
        <w:rPr>
          <w:rFonts w:cs="Arial"/>
          <w:b/>
          <w:i/>
          <w:sz w:val="20"/>
          <w:szCs w:val="20"/>
        </w:rPr>
        <w:t xml:space="preserve">Appeal </w:t>
      </w:r>
      <w:proofErr w:type="gramStart"/>
      <w:r w:rsidRPr="00575FA7">
        <w:rPr>
          <w:rFonts w:cs="Arial"/>
          <w:b/>
          <w:i/>
          <w:sz w:val="20"/>
          <w:szCs w:val="20"/>
        </w:rPr>
        <w:t>point</w:t>
      </w:r>
      <w:proofErr w:type="gramEnd"/>
      <w:r w:rsidRPr="00575FA7">
        <w:rPr>
          <w:rFonts w:cs="Arial"/>
          <w:b/>
          <w:i/>
          <w:sz w:val="20"/>
          <w:szCs w:val="20"/>
        </w:rPr>
        <w:t xml:space="preserve"> 2.1: Efficacy </w:t>
      </w:r>
    </w:p>
    <w:p w14:paraId="15553769" w14:textId="77777777" w:rsidR="00C74E03" w:rsidRPr="001F15C2" w:rsidRDefault="00C74E03" w:rsidP="00C74E03">
      <w:pPr>
        <w:pStyle w:val="Paragraph"/>
        <w:numPr>
          <w:ilvl w:val="0"/>
          <w:numId w:val="0"/>
        </w:numPr>
        <w:ind w:left="851" w:hanging="851"/>
        <w:jc w:val="both"/>
        <w:rPr>
          <w:rFonts w:cs="Arial"/>
          <w:sz w:val="20"/>
          <w:szCs w:val="20"/>
        </w:rPr>
      </w:pPr>
      <w:r w:rsidRPr="001F15C2">
        <w:rPr>
          <w:rFonts w:cs="Arial"/>
          <w:sz w:val="20"/>
          <w:szCs w:val="20"/>
        </w:rPr>
        <w:t xml:space="preserve">Your appeal letter groups your points under the headings of Efficacy and Safety. </w:t>
      </w:r>
    </w:p>
    <w:p w14:paraId="013B6382" w14:textId="77777777" w:rsidR="00C74E03" w:rsidRPr="001F15C2" w:rsidRDefault="00C74E03" w:rsidP="00C74E03">
      <w:pPr>
        <w:pStyle w:val="Paragraph"/>
        <w:numPr>
          <w:ilvl w:val="0"/>
          <w:numId w:val="0"/>
        </w:numPr>
        <w:ind w:left="851" w:hanging="851"/>
        <w:jc w:val="both"/>
        <w:rPr>
          <w:rFonts w:cs="Arial"/>
          <w:sz w:val="20"/>
          <w:szCs w:val="20"/>
        </w:rPr>
      </w:pPr>
      <w:proofErr w:type="gramStart"/>
      <w:r w:rsidRPr="001F15C2">
        <w:rPr>
          <w:rFonts w:cs="Arial"/>
          <w:sz w:val="20"/>
          <w:szCs w:val="20"/>
        </w:rPr>
        <w:t>With regard to</w:t>
      </w:r>
      <w:proofErr w:type="gramEnd"/>
      <w:r w:rsidRPr="001F15C2">
        <w:rPr>
          <w:rFonts w:cs="Arial"/>
          <w:sz w:val="20"/>
          <w:szCs w:val="20"/>
        </w:rPr>
        <w:t xml:space="preserve"> Efficacy, you state as follows:</w:t>
      </w:r>
    </w:p>
    <w:p w14:paraId="5E6513B8" w14:textId="77777777" w:rsidR="00C74E03" w:rsidRPr="001F15C2" w:rsidRDefault="00C74E03" w:rsidP="00C74E03">
      <w:pPr>
        <w:pStyle w:val="Paragraph"/>
        <w:numPr>
          <w:ilvl w:val="0"/>
          <w:numId w:val="0"/>
        </w:numPr>
        <w:ind w:left="567"/>
        <w:jc w:val="both"/>
        <w:rPr>
          <w:rFonts w:cs="Arial"/>
          <w:i/>
          <w:sz w:val="20"/>
          <w:szCs w:val="20"/>
        </w:rPr>
      </w:pPr>
      <w:r w:rsidRPr="001F15C2">
        <w:rPr>
          <w:rFonts w:cs="Arial"/>
          <w:i/>
          <w:sz w:val="20"/>
          <w:szCs w:val="20"/>
        </w:rPr>
        <w:t xml:space="preserve">“2.1 Efficacy </w:t>
      </w:r>
    </w:p>
    <w:p w14:paraId="66B25B1A" w14:textId="77777777" w:rsidR="00C74E03" w:rsidRPr="001F15C2" w:rsidRDefault="00C74E03" w:rsidP="00C74E03">
      <w:pPr>
        <w:pStyle w:val="Paragraph"/>
        <w:numPr>
          <w:ilvl w:val="0"/>
          <w:numId w:val="0"/>
        </w:numPr>
        <w:ind w:left="567"/>
        <w:jc w:val="both"/>
        <w:rPr>
          <w:rFonts w:cs="Arial"/>
          <w:i/>
          <w:sz w:val="20"/>
          <w:szCs w:val="20"/>
        </w:rPr>
      </w:pPr>
      <w:r w:rsidRPr="001F15C2">
        <w:rPr>
          <w:rFonts w:cs="Arial"/>
          <w:i/>
          <w:sz w:val="20"/>
          <w:szCs w:val="20"/>
        </w:rPr>
        <w:t xml:space="preserve">The NICE appraisal document states – </w:t>
      </w:r>
      <w:proofErr w:type="spellStart"/>
      <w:r w:rsidRPr="001F15C2">
        <w:rPr>
          <w:rFonts w:cs="Arial"/>
          <w:i/>
          <w:sz w:val="20"/>
          <w:szCs w:val="20"/>
        </w:rPr>
        <w:t>Relugolix</w:t>
      </w:r>
      <w:proofErr w:type="spellEnd"/>
      <w:r w:rsidRPr="001F15C2">
        <w:rPr>
          <w:rFonts w:cs="Arial"/>
          <w:i/>
          <w:sz w:val="20"/>
          <w:szCs w:val="20"/>
        </w:rPr>
        <w:t xml:space="preserve"> “</w:t>
      </w:r>
      <w:r w:rsidRPr="001F15C2">
        <w:rPr>
          <w:rFonts w:cs="Arial"/>
          <w:sz w:val="20"/>
          <w:szCs w:val="20"/>
        </w:rPr>
        <w:t>is an effective non-surgical treatment</w:t>
      </w:r>
      <w:r w:rsidRPr="001F15C2">
        <w:rPr>
          <w:rFonts w:cs="Arial"/>
          <w:i/>
          <w:sz w:val="20"/>
          <w:szCs w:val="20"/>
        </w:rPr>
        <w:t xml:space="preserve">”. There was no evidence submitted or considered that it is as effective as hospital treatment for symptomatic fibroids </w:t>
      </w:r>
      <w:proofErr w:type="gramStart"/>
      <w:r w:rsidRPr="001F15C2">
        <w:rPr>
          <w:rFonts w:cs="Arial"/>
          <w:i/>
          <w:sz w:val="20"/>
          <w:szCs w:val="20"/>
        </w:rPr>
        <w:t>e.g.</w:t>
      </w:r>
      <w:proofErr w:type="gramEnd"/>
      <w:r w:rsidRPr="001F15C2">
        <w:rPr>
          <w:rFonts w:cs="Arial"/>
          <w:i/>
          <w:sz w:val="20"/>
          <w:szCs w:val="20"/>
        </w:rPr>
        <w:t xml:space="preserve"> uterine artery/fibroid </w:t>
      </w:r>
      <w:proofErr w:type="spellStart"/>
      <w:r w:rsidRPr="001F15C2">
        <w:rPr>
          <w:rFonts w:cs="Arial"/>
          <w:i/>
          <w:sz w:val="20"/>
          <w:szCs w:val="20"/>
        </w:rPr>
        <w:t>embolisation</w:t>
      </w:r>
      <w:proofErr w:type="spellEnd"/>
      <w:r w:rsidRPr="001F15C2">
        <w:rPr>
          <w:rFonts w:cs="Arial"/>
          <w:i/>
          <w:sz w:val="20"/>
          <w:szCs w:val="20"/>
        </w:rPr>
        <w:t xml:space="preserve"> [UAE/UFE], myomectomy, hysterectomy, MR guided focused ultrasound and endometrial ablation for fibroids &lt;3cm, which are proven long-term treatments for symptomatic fibroids. (Both hysterectomy and myomectomy have never been formally reviewed for safety or efficacy and there is a paucity of evidence on morbidity and mortality for myomectomy.)</w:t>
      </w:r>
    </w:p>
    <w:p w14:paraId="635DD0E8" w14:textId="77777777" w:rsidR="00C74E03" w:rsidRPr="001F15C2" w:rsidRDefault="00C74E03" w:rsidP="00C74E03">
      <w:pPr>
        <w:pStyle w:val="Paragraph"/>
        <w:numPr>
          <w:ilvl w:val="0"/>
          <w:numId w:val="0"/>
        </w:numPr>
        <w:ind w:left="567"/>
        <w:jc w:val="both"/>
        <w:rPr>
          <w:rFonts w:cs="Arial"/>
          <w:i/>
          <w:sz w:val="20"/>
          <w:szCs w:val="20"/>
        </w:rPr>
      </w:pPr>
      <w:r w:rsidRPr="001F15C2">
        <w:rPr>
          <w:rFonts w:cs="Arial"/>
          <w:i/>
          <w:sz w:val="20"/>
          <w:szCs w:val="20"/>
        </w:rPr>
        <w:lastRenderedPageBreak/>
        <w:t>There is serious concern that women will be denied access to these effective hospital treatments by CCGs/ICSs as this medicine is so much cheaper.</w:t>
      </w:r>
    </w:p>
    <w:p w14:paraId="212433AB" w14:textId="77777777" w:rsidR="00C74E03" w:rsidRPr="001F15C2" w:rsidRDefault="00C74E03" w:rsidP="00C74E03">
      <w:pPr>
        <w:pStyle w:val="Paragraph"/>
        <w:numPr>
          <w:ilvl w:val="0"/>
          <w:numId w:val="0"/>
        </w:numPr>
        <w:ind w:left="567"/>
        <w:jc w:val="both"/>
        <w:rPr>
          <w:rFonts w:cs="Arial"/>
          <w:i/>
          <w:sz w:val="20"/>
          <w:szCs w:val="20"/>
        </w:rPr>
      </w:pPr>
      <w:r w:rsidRPr="001F15C2">
        <w:rPr>
          <w:rFonts w:cs="Arial"/>
          <w:i/>
          <w:sz w:val="20"/>
          <w:szCs w:val="20"/>
        </w:rPr>
        <w:t>The only clinical evidence submitted was for treatment duration of 1 year, so efficacy beyond this is not established.</w:t>
      </w:r>
    </w:p>
    <w:p w14:paraId="04DEE35E" w14:textId="77777777" w:rsidR="00C74E03" w:rsidRPr="001F15C2" w:rsidRDefault="00C74E03" w:rsidP="00C74E03">
      <w:pPr>
        <w:pStyle w:val="Paragraph"/>
        <w:numPr>
          <w:ilvl w:val="0"/>
          <w:numId w:val="0"/>
        </w:numPr>
        <w:ind w:left="567"/>
        <w:jc w:val="both"/>
        <w:rPr>
          <w:rFonts w:cs="Arial"/>
          <w:i/>
          <w:sz w:val="20"/>
          <w:szCs w:val="20"/>
        </w:rPr>
      </w:pPr>
      <w:r w:rsidRPr="001F15C2">
        <w:rPr>
          <w:rFonts w:cs="Arial"/>
          <w:i/>
          <w:sz w:val="20"/>
          <w:szCs w:val="20"/>
        </w:rPr>
        <w:t xml:space="preserve">As per </w:t>
      </w:r>
      <w:proofErr w:type="spellStart"/>
      <w:r w:rsidRPr="001F15C2">
        <w:rPr>
          <w:rFonts w:cs="Arial"/>
          <w:i/>
          <w:sz w:val="20"/>
          <w:szCs w:val="20"/>
        </w:rPr>
        <w:t>FEmISA’s</w:t>
      </w:r>
      <w:proofErr w:type="spellEnd"/>
      <w:r w:rsidRPr="001F15C2">
        <w:rPr>
          <w:rFonts w:cs="Arial"/>
          <w:i/>
          <w:sz w:val="20"/>
          <w:szCs w:val="20"/>
        </w:rPr>
        <w:t xml:space="preserve"> submission, fibroids cause a large number of </w:t>
      </w:r>
      <w:proofErr w:type="gramStart"/>
      <w:r w:rsidRPr="001F15C2">
        <w:rPr>
          <w:rFonts w:cs="Arial"/>
          <w:i/>
          <w:sz w:val="20"/>
          <w:szCs w:val="20"/>
        </w:rPr>
        <w:t>symptoms</w:t>
      </w:r>
      <w:proofErr w:type="gramEnd"/>
      <w:r w:rsidRPr="001F15C2">
        <w:rPr>
          <w:rFonts w:cs="Arial"/>
          <w:i/>
          <w:sz w:val="20"/>
          <w:szCs w:val="20"/>
        </w:rPr>
        <w:t xml:space="preserve"> and the medicine has only been shown to be effective at reducing some symptoms for the maximum of 1 year.</w:t>
      </w:r>
    </w:p>
    <w:p w14:paraId="75C5421F" w14:textId="77777777" w:rsidR="00C74E03" w:rsidRPr="001F15C2" w:rsidRDefault="00C74E03" w:rsidP="00C74E03">
      <w:pPr>
        <w:pStyle w:val="Paragraph"/>
        <w:numPr>
          <w:ilvl w:val="0"/>
          <w:numId w:val="0"/>
        </w:numPr>
        <w:ind w:left="567"/>
        <w:jc w:val="both"/>
        <w:rPr>
          <w:rFonts w:cs="Arial"/>
          <w:i/>
          <w:sz w:val="20"/>
          <w:szCs w:val="20"/>
        </w:rPr>
      </w:pPr>
      <w:r w:rsidRPr="001F15C2">
        <w:rPr>
          <w:rFonts w:cs="Arial"/>
          <w:i/>
          <w:sz w:val="20"/>
          <w:szCs w:val="20"/>
        </w:rPr>
        <w:t xml:space="preserve">There were no comparative studies between </w:t>
      </w:r>
      <w:proofErr w:type="spellStart"/>
      <w:r w:rsidRPr="001F15C2">
        <w:rPr>
          <w:rFonts w:cs="Arial"/>
          <w:i/>
          <w:sz w:val="20"/>
          <w:szCs w:val="20"/>
        </w:rPr>
        <w:t>Relugolix</w:t>
      </w:r>
      <w:proofErr w:type="spellEnd"/>
      <w:r w:rsidRPr="001F15C2">
        <w:rPr>
          <w:rFonts w:cs="Arial"/>
          <w:i/>
          <w:sz w:val="20"/>
          <w:szCs w:val="20"/>
        </w:rPr>
        <w:t xml:space="preserve"> and other GNRH agonists, even though superiority was claimed that side-effects were fewer and less severe.</w:t>
      </w:r>
    </w:p>
    <w:p w14:paraId="2B868936" w14:textId="77777777" w:rsidR="00C74E03" w:rsidRPr="001F15C2" w:rsidRDefault="00C74E03" w:rsidP="00C74E03">
      <w:pPr>
        <w:pStyle w:val="Paragraph"/>
        <w:numPr>
          <w:ilvl w:val="0"/>
          <w:numId w:val="0"/>
        </w:numPr>
        <w:ind w:left="567"/>
        <w:jc w:val="both"/>
        <w:rPr>
          <w:rFonts w:cs="Arial"/>
          <w:i/>
          <w:sz w:val="20"/>
          <w:szCs w:val="20"/>
        </w:rPr>
      </w:pPr>
      <w:r w:rsidRPr="001F15C2">
        <w:rPr>
          <w:rFonts w:cs="Arial"/>
          <w:i/>
          <w:sz w:val="20"/>
          <w:szCs w:val="20"/>
        </w:rPr>
        <w:t>GNRH agonists should not be administered to women immediately before UAE/UFE, as the reduced blood supply to the fibroids compromises the outcome.”</w:t>
      </w:r>
    </w:p>
    <w:p w14:paraId="634AB076"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lang w:eastAsia="en-US"/>
        </w:rPr>
        <w:t>I refer to this appeal point relating to efficacy as point 2.1. I address your points as appeal points 2.1(a)-2.1(e) below.</w:t>
      </w:r>
    </w:p>
    <w:p w14:paraId="43608286" w14:textId="00AD1F8E" w:rsidR="00C74E03" w:rsidRPr="001F15C2" w:rsidRDefault="00C74E03" w:rsidP="00C74E03">
      <w:pPr>
        <w:pStyle w:val="Paragraph"/>
        <w:numPr>
          <w:ilvl w:val="0"/>
          <w:numId w:val="0"/>
        </w:numPr>
        <w:spacing w:before="120"/>
        <w:jc w:val="both"/>
        <w:rPr>
          <w:rFonts w:cs="Arial"/>
          <w:b/>
          <w:i/>
          <w:sz w:val="20"/>
          <w:szCs w:val="20"/>
        </w:rPr>
      </w:pPr>
      <w:r w:rsidRPr="001F15C2">
        <w:rPr>
          <w:rFonts w:cs="Arial"/>
          <w:b/>
          <w:i/>
          <w:sz w:val="20"/>
          <w:szCs w:val="20"/>
        </w:rPr>
        <w:t xml:space="preserve">2.1(a) </w:t>
      </w:r>
      <w:r w:rsidRPr="001F15C2">
        <w:rPr>
          <w:rFonts w:cs="Arial"/>
          <w:b/>
          <w:sz w:val="20"/>
          <w:szCs w:val="20"/>
        </w:rPr>
        <w:t>The recommendation is unreasonable because</w:t>
      </w:r>
      <w:r w:rsidRPr="001F15C2">
        <w:rPr>
          <w:rFonts w:cs="Arial"/>
          <w:b/>
          <w:i/>
          <w:sz w:val="20"/>
          <w:szCs w:val="20"/>
        </w:rPr>
        <w:t xml:space="preserve"> “the NICE appraisal document states </w:t>
      </w:r>
      <w:proofErr w:type="spellStart"/>
      <w:r w:rsidRPr="001F15C2">
        <w:rPr>
          <w:rFonts w:cs="Arial"/>
          <w:b/>
          <w:i/>
          <w:sz w:val="20"/>
          <w:szCs w:val="20"/>
        </w:rPr>
        <w:t>Relugolix</w:t>
      </w:r>
      <w:proofErr w:type="spellEnd"/>
      <w:r w:rsidRPr="001F15C2">
        <w:rPr>
          <w:rFonts w:cs="Arial"/>
          <w:b/>
          <w:i/>
          <w:sz w:val="20"/>
          <w:szCs w:val="20"/>
        </w:rPr>
        <w:t xml:space="preserve"> </w:t>
      </w:r>
      <w:r w:rsidR="00575FA7">
        <w:rPr>
          <w:rFonts w:cs="Arial"/>
          <w:b/>
          <w:i/>
          <w:sz w:val="20"/>
          <w:szCs w:val="20"/>
        </w:rPr>
        <w:t>‘</w:t>
      </w:r>
      <w:r w:rsidRPr="001F15C2">
        <w:rPr>
          <w:rFonts w:cs="Arial"/>
          <w:b/>
          <w:i/>
          <w:sz w:val="20"/>
          <w:szCs w:val="20"/>
        </w:rPr>
        <w:t xml:space="preserve">is an effective non-surgical treatment’ </w:t>
      </w:r>
      <w:r w:rsidRPr="001F15C2">
        <w:rPr>
          <w:rFonts w:cs="Arial"/>
          <w:b/>
          <w:sz w:val="20"/>
          <w:szCs w:val="20"/>
        </w:rPr>
        <w:t xml:space="preserve">[and] </w:t>
      </w:r>
      <w:r w:rsidRPr="001F15C2">
        <w:rPr>
          <w:rFonts w:cs="Arial"/>
          <w:b/>
          <w:i/>
          <w:sz w:val="20"/>
          <w:szCs w:val="20"/>
        </w:rPr>
        <w:t>there was no evidence submitted or considered that it is as effective as hospital treatment for symptomatic fibroids... There is serious concern that women will be denied access to these effective hospital treatments by CCGs/ICSs as this medicine is so much cheaper.”</w:t>
      </w:r>
    </w:p>
    <w:p w14:paraId="687C187B"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I do not regard this as a valid appeal point. That is because a vital aspect in any appraisal is identifying the appropriate comparator (drawing on current NHS clinical practice or management as assessed in accordance with NICE’s processes) against which the relevant technology will be assessed. The project documents available on NICE’s website show that the question of most appropriate comparator for the purposes of the appraisal was analysed and resolved in the usual way in this appraisal</w:t>
      </w:r>
      <w:r>
        <w:rPr>
          <w:rFonts w:cs="Arial"/>
          <w:sz w:val="20"/>
          <w:szCs w:val="20"/>
        </w:rPr>
        <w:t>. O</w:t>
      </w:r>
      <w:r w:rsidRPr="001F15C2">
        <w:rPr>
          <w:rFonts w:cs="Arial"/>
          <w:sz w:val="20"/>
          <w:szCs w:val="20"/>
        </w:rPr>
        <w:t xml:space="preserve">ptions </w:t>
      </w:r>
      <w:r>
        <w:rPr>
          <w:rFonts w:cs="Arial"/>
          <w:sz w:val="20"/>
          <w:szCs w:val="20"/>
        </w:rPr>
        <w:t xml:space="preserve">were </w:t>
      </w:r>
      <w:r w:rsidRPr="001F15C2">
        <w:rPr>
          <w:rFonts w:cs="Arial"/>
          <w:sz w:val="20"/>
          <w:szCs w:val="20"/>
        </w:rPr>
        <w:t>discussed in the draft scope on which NICE invited comment and on which there was opportunity to comment throughout. Neither the draft scope as consulted</w:t>
      </w:r>
      <w:r>
        <w:rPr>
          <w:rFonts w:cs="Arial"/>
          <w:sz w:val="20"/>
          <w:szCs w:val="20"/>
        </w:rPr>
        <w:t xml:space="preserve"> </w:t>
      </w:r>
      <w:proofErr w:type="gramStart"/>
      <w:r>
        <w:rPr>
          <w:rFonts w:cs="Arial"/>
          <w:sz w:val="20"/>
          <w:szCs w:val="20"/>
        </w:rPr>
        <w:t>on</w:t>
      </w:r>
      <w:proofErr w:type="gramEnd"/>
      <w:r w:rsidRPr="001F15C2">
        <w:rPr>
          <w:rFonts w:cs="Arial"/>
          <w:sz w:val="20"/>
          <w:szCs w:val="20"/>
        </w:rPr>
        <w:t xml:space="preserve"> nor the final scope included the </w:t>
      </w:r>
      <w:r>
        <w:rPr>
          <w:rFonts w:cs="Arial"/>
          <w:sz w:val="20"/>
          <w:szCs w:val="20"/>
        </w:rPr>
        <w:t>“</w:t>
      </w:r>
      <w:r w:rsidRPr="001F15C2">
        <w:rPr>
          <w:rFonts w:cs="Arial"/>
          <w:sz w:val="20"/>
          <w:szCs w:val="20"/>
        </w:rPr>
        <w:t>hospital treatments</w:t>
      </w:r>
      <w:r>
        <w:rPr>
          <w:rFonts w:cs="Arial"/>
          <w:sz w:val="20"/>
          <w:szCs w:val="20"/>
        </w:rPr>
        <w:t>”</w:t>
      </w:r>
      <w:r w:rsidRPr="001F15C2">
        <w:rPr>
          <w:rFonts w:cs="Arial"/>
          <w:sz w:val="20"/>
          <w:szCs w:val="20"/>
        </w:rPr>
        <w:t xml:space="preserve"> listed in your appeal as potential comparators. </w:t>
      </w:r>
      <w:proofErr w:type="gramStart"/>
      <w:r w:rsidRPr="001F15C2">
        <w:rPr>
          <w:rFonts w:cs="Arial"/>
          <w:sz w:val="20"/>
          <w:szCs w:val="20"/>
        </w:rPr>
        <w:t>Therefore</w:t>
      </w:r>
      <w:proofErr w:type="gramEnd"/>
      <w:r w:rsidRPr="001F15C2">
        <w:rPr>
          <w:rFonts w:cs="Arial"/>
          <w:sz w:val="20"/>
          <w:szCs w:val="20"/>
        </w:rPr>
        <w:t xml:space="preserve"> it was not for the committee to consider these treatments. </w:t>
      </w:r>
    </w:p>
    <w:p w14:paraId="7BC423A9"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Following the committee’s </w:t>
      </w:r>
      <w:r>
        <w:rPr>
          <w:rFonts w:cs="Arial"/>
          <w:sz w:val="20"/>
          <w:szCs w:val="20"/>
        </w:rPr>
        <w:t xml:space="preserve">consideration of the comparators within scope and </w:t>
      </w:r>
      <w:r w:rsidRPr="001F15C2">
        <w:rPr>
          <w:rFonts w:cs="Arial"/>
          <w:sz w:val="20"/>
          <w:szCs w:val="20"/>
        </w:rPr>
        <w:t xml:space="preserve">conclusion </w:t>
      </w:r>
      <w:r>
        <w:rPr>
          <w:rFonts w:cs="Arial"/>
          <w:sz w:val="20"/>
          <w:szCs w:val="20"/>
        </w:rPr>
        <w:t xml:space="preserve">that </w:t>
      </w:r>
      <w:r w:rsidRPr="001F15C2">
        <w:rPr>
          <w:rFonts w:cs="Arial"/>
          <w:sz w:val="20"/>
          <w:szCs w:val="20"/>
        </w:rPr>
        <w:t>GnRH agonists</w:t>
      </w:r>
      <w:r>
        <w:rPr>
          <w:rFonts w:cs="Arial"/>
          <w:sz w:val="20"/>
          <w:szCs w:val="20"/>
        </w:rPr>
        <w:t xml:space="preserve"> were the most</w:t>
      </w:r>
      <w:r w:rsidRPr="001F15C2">
        <w:rPr>
          <w:rFonts w:cs="Arial"/>
          <w:sz w:val="20"/>
          <w:szCs w:val="20"/>
        </w:rPr>
        <w:t xml:space="preserve"> appropriate comparator, it was appropriate for the committee to consider the effectiveness of </w:t>
      </w:r>
      <w:proofErr w:type="spellStart"/>
      <w:r w:rsidRPr="001F15C2">
        <w:rPr>
          <w:rFonts w:cs="Arial"/>
          <w:sz w:val="20"/>
          <w:szCs w:val="20"/>
        </w:rPr>
        <w:t>Relugolix</w:t>
      </w:r>
      <w:proofErr w:type="spellEnd"/>
      <w:r w:rsidRPr="001F15C2">
        <w:rPr>
          <w:rFonts w:cs="Arial"/>
          <w:sz w:val="20"/>
          <w:szCs w:val="20"/>
        </w:rPr>
        <w:t xml:space="preserve"> against that of GnRH agonists. There was no requirement for the committee to assess effectiveness against the hospital treatments that you list. </w:t>
      </w:r>
    </w:p>
    <w:p w14:paraId="2E9909B3" w14:textId="77777777" w:rsidR="00C74E03" w:rsidRPr="001F15C2" w:rsidRDefault="00C74E03" w:rsidP="00C74E03">
      <w:pPr>
        <w:pStyle w:val="Paragraph"/>
        <w:numPr>
          <w:ilvl w:val="0"/>
          <w:numId w:val="0"/>
        </w:numPr>
        <w:spacing w:before="120"/>
        <w:jc w:val="both"/>
        <w:rPr>
          <w:rFonts w:cs="Arial"/>
          <w:sz w:val="20"/>
          <w:szCs w:val="20"/>
          <w:lang w:eastAsia="en-US"/>
        </w:rPr>
      </w:pPr>
      <w:proofErr w:type="gramStart"/>
      <w:r w:rsidRPr="001F15C2">
        <w:rPr>
          <w:rFonts w:cs="Arial"/>
          <w:sz w:val="20"/>
          <w:szCs w:val="20"/>
        </w:rPr>
        <w:t>In light of</w:t>
      </w:r>
      <w:proofErr w:type="gramEnd"/>
      <w:r w:rsidRPr="001F15C2">
        <w:rPr>
          <w:rFonts w:cs="Arial"/>
          <w:sz w:val="20"/>
          <w:szCs w:val="20"/>
        </w:rPr>
        <w:t xml:space="preserve"> the above, I am not persuaded that the absence of evidence that </w:t>
      </w:r>
      <w:proofErr w:type="spellStart"/>
      <w:r w:rsidRPr="001F15C2">
        <w:rPr>
          <w:rFonts w:cs="Arial"/>
          <w:sz w:val="20"/>
          <w:szCs w:val="20"/>
        </w:rPr>
        <w:t>Relugolix</w:t>
      </w:r>
      <w:proofErr w:type="spellEnd"/>
      <w:r w:rsidRPr="001F15C2">
        <w:rPr>
          <w:rFonts w:cs="Arial"/>
          <w:sz w:val="20"/>
          <w:szCs w:val="20"/>
        </w:rPr>
        <w:t xml:space="preserve"> is as effective as the treatments you list could have any bearing on the committee’s conclusions or support an argument of unreasonableness. </w:t>
      </w:r>
      <w:r w:rsidRPr="001F15C2">
        <w:rPr>
          <w:rFonts w:cs="Arial"/>
          <w:sz w:val="20"/>
          <w:szCs w:val="20"/>
          <w:lang w:eastAsia="en-US"/>
        </w:rPr>
        <w:t xml:space="preserve">I am not minded </w:t>
      </w:r>
      <w:proofErr w:type="gramStart"/>
      <w:r w:rsidRPr="001F15C2">
        <w:rPr>
          <w:rFonts w:cs="Arial"/>
          <w:sz w:val="20"/>
          <w:szCs w:val="20"/>
          <w:lang w:eastAsia="en-US"/>
        </w:rPr>
        <w:t>to refer</w:t>
      </w:r>
      <w:proofErr w:type="gramEnd"/>
      <w:r w:rsidRPr="001F15C2">
        <w:rPr>
          <w:rFonts w:cs="Arial"/>
          <w:sz w:val="20"/>
          <w:szCs w:val="20"/>
          <w:lang w:eastAsia="en-US"/>
        </w:rPr>
        <w:t xml:space="preserve"> this point to an appeal panel.  </w:t>
      </w:r>
    </w:p>
    <w:p w14:paraId="4015E2E2" w14:textId="77777777" w:rsidR="00C74E03" w:rsidRPr="001F15C2" w:rsidRDefault="00C74E03" w:rsidP="00C74E03">
      <w:pPr>
        <w:pStyle w:val="Paragraph"/>
        <w:numPr>
          <w:ilvl w:val="0"/>
          <w:numId w:val="0"/>
        </w:numPr>
        <w:spacing w:before="120"/>
        <w:jc w:val="both"/>
        <w:rPr>
          <w:rFonts w:cs="Arial"/>
          <w:sz w:val="20"/>
          <w:szCs w:val="20"/>
          <w:lang w:eastAsia="en-US"/>
        </w:rPr>
      </w:pPr>
      <w:proofErr w:type="gramStart"/>
      <w:r w:rsidRPr="001F15C2">
        <w:rPr>
          <w:rFonts w:cs="Arial"/>
          <w:sz w:val="20"/>
          <w:szCs w:val="20"/>
          <w:lang w:eastAsia="en-US"/>
        </w:rPr>
        <w:t>With regard to</w:t>
      </w:r>
      <w:proofErr w:type="gramEnd"/>
      <w:r w:rsidRPr="001F15C2">
        <w:rPr>
          <w:rFonts w:cs="Arial"/>
          <w:sz w:val="20"/>
          <w:szCs w:val="20"/>
          <w:lang w:eastAsia="en-US"/>
        </w:rPr>
        <w:t xml:space="preserve"> your comment that there is serious concern that women will be denied access to these effective hospital treatments by CCGs/ICSs as </w:t>
      </w:r>
      <w:proofErr w:type="spellStart"/>
      <w:r w:rsidRPr="001F15C2">
        <w:rPr>
          <w:rFonts w:cs="Arial"/>
          <w:sz w:val="20"/>
          <w:szCs w:val="20"/>
          <w:lang w:eastAsia="en-US"/>
        </w:rPr>
        <w:t>Relugolix</w:t>
      </w:r>
      <w:proofErr w:type="spellEnd"/>
      <w:r w:rsidRPr="001F15C2">
        <w:rPr>
          <w:rFonts w:cs="Arial"/>
          <w:sz w:val="20"/>
          <w:szCs w:val="20"/>
          <w:lang w:eastAsia="en-US"/>
        </w:rPr>
        <w:t xml:space="preserve"> is so much cheaper, I refer to my preliminary points at the top of this letter which I trust clarify the legal effect and intention of the FAD in broadening (not restricting) treatment</w:t>
      </w:r>
      <w:r>
        <w:rPr>
          <w:rFonts w:cs="Arial"/>
          <w:sz w:val="20"/>
          <w:szCs w:val="20"/>
          <w:lang w:eastAsia="en-US"/>
        </w:rPr>
        <w:t xml:space="preserve"> options</w:t>
      </w:r>
      <w:r w:rsidRPr="001F15C2">
        <w:rPr>
          <w:rFonts w:cs="Arial"/>
          <w:sz w:val="20"/>
          <w:szCs w:val="20"/>
          <w:lang w:eastAsia="en-US"/>
        </w:rPr>
        <w:t xml:space="preserve"> available.</w:t>
      </w:r>
    </w:p>
    <w:p w14:paraId="22ADBD30" w14:textId="77777777" w:rsidR="00C74E03" w:rsidRPr="001F15C2" w:rsidRDefault="00C74E03" w:rsidP="00C74E03">
      <w:pPr>
        <w:pStyle w:val="Paragraph"/>
        <w:numPr>
          <w:ilvl w:val="0"/>
          <w:numId w:val="0"/>
        </w:numPr>
        <w:spacing w:before="120"/>
        <w:jc w:val="both"/>
        <w:rPr>
          <w:rFonts w:cs="Arial"/>
          <w:b/>
          <w:i/>
          <w:sz w:val="20"/>
          <w:szCs w:val="20"/>
        </w:rPr>
      </w:pPr>
      <w:r w:rsidRPr="001F15C2">
        <w:rPr>
          <w:rFonts w:cs="Arial"/>
          <w:b/>
          <w:i/>
          <w:sz w:val="20"/>
          <w:szCs w:val="20"/>
        </w:rPr>
        <w:t xml:space="preserve">2.1(b) </w:t>
      </w:r>
      <w:r w:rsidRPr="001F15C2">
        <w:rPr>
          <w:rFonts w:cs="Arial"/>
          <w:b/>
          <w:sz w:val="20"/>
          <w:szCs w:val="20"/>
        </w:rPr>
        <w:t xml:space="preserve">The recommendation is unreasonable because </w:t>
      </w:r>
      <w:r w:rsidRPr="001F15C2">
        <w:rPr>
          <w:rFonts w:cs="Arial"/>
          <w:b/>
          <w:i/>
          <w:sz w:val="20"/>
          <w:szCs w:val="20"/>
        </w:rPr>
        <w:t>“the only clinical evidence submitted was for treatment duration of 1 year”</w:t>
      </w:r>
    </w:p>
    <w:p w14:paraId="7E3FA00B"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Under this appeal point I consider </w:t>
      </w:r>
      <w:r>
        <w:rPr>
          <w:rFonts w:cs="Arial"/>
          <w:sz w:val="20"/>
          <w:szCs w:val="20"/>
        </w:rPr>
        <w:t xml:space="preserve">all of </w:t>
      </w:r>
      <w:r w:rsidRPr="001F15C2">
        <w:rPr>
          <w:rFonts w:cs="Arial"/>
          <w:sz w:val="20"/>
          <w:szCs w:val="20"/>
        </w:rPr>
        <w:t>your c</w:t>
      </w:r>
      <w:r>
        <w:rPr>
          <w:rFonts w:cs="Arial"/>
          <w:sz w:val="20"/>
          <w:szCs w:val="20"/>
        </w:rPr>
        <w:t>oncerns arising from the duration of treatment in the clinical evidence, namely: (1)</w:t>
      </w:r>
      <w:r w:rsidRPr="001F15C2">
        <w:rPr>
          <w:rFonts w:cs="Arial"/>
          <w:sz w:val="20"/>
          <w:szCs w:val="20"/>
        </w:rPr>
        <w:t xml:space="preserve"> that “the only clinical evidence submitted was for treatment duration of 1 year so efficacy beyond this is not established</w:t>
      </w:r>
      <w:r w:rsidRPr="00562D4E">
        <w:rPr>
          <w:rFonts w:cs="Arial"/>
          <w:i/>
          <w:sz w:val="20"/>
          <w:szCs w:val="20"/>
        </w:rPr>
        <w:t>”</w:t>
      </w:r>
      <w:r w:rsidRPr="00562D4E">
        <w:rPr>
          <w:rFonts w:cs="Arial"/>
          <w:sz w:val="20"/>
          <w:szCs w:val="20"/>
        </w:rPr>
        <w:t>;</w:t>
      </w:r>
      <w:r w:rsidRPr="001F15C2">
        <w:rPr>
          <w:rFonts w:cs="Arial"/>
          <w:b/>
          <w:i/>
          <w:sz w:val="20"/>
          <w:szCs w:val="20"/>
        </w:rPr>
        <w:t xml:space="preserve"> </w:t>
      </w:r>
      <w:r>
        <w:rPr>
          <w:rFonts w:cs="Arial"/>
          <w:sz w:val="20"/>
          <w:szCs w:val="20"/>
        </w:rPr>
        <w:t>(2)</w:t>
      </w:r>
      <w:r w:rsidRPr="001F15C2">
        <w:rPr>
          <w:rFonts w:cs="Arial"/>
          <w:sz w:val="20"/>
          <w:szCs w:val="20"/>
        </w:rPr>
        <w:t xml:space="preserve"> your related complaint (under your heading “Safety”) </w:t>
      </w:r>
      <w:r w:rsidRPr="001F15C2">
        <w:rPr>
          <w:rFonts w:cs="Arial"/>
          <w:sz w:val="20"/>
          <w:szCs w:val="20"/>
        </w:rPr>
        <w:lastRenderedPageBreak/>
        <w:t xml:space="preserve">against the committee’s statement that a likely additional benefit of </w:t>
      </w:r>
      <w:proofErr w:type="spellStart"/>
      <w:r w:rsidRPr="001F15C2">
        <w:rPr>
          <w:rFonts w:cs="Arial"/>
          <w:sz w:val="20"/>
          <w:szCs w:val="20"/>
        </w:rPr>
        <w:t>Relugolix</w:t>
      </w:r>
      <w:proofErr w:type="spellEnd"/>
      <w:r w:rsidRPr="001F15C2">
        <w:rPr>
          <w:rFonts w:cs="Arial"/>
          <w:sz w:val="20"/>
          <w:szCs w:val="20"/>
        </w:rPr>
        <w:t xml:space="preserve"> is that it “can be used long term, which could mean improved and sustained symptom relief”</w:t>
      </w:r>
      <w:r>
        <w:rPr>
          <w:rFonts w:cs="Arial"/>
          <w:sz w:val="20"/>
          <w:szCs w:val="20"/>
        </w:rPr>
        <w:t>;</w:t>
      </w:r>
      <w:r w:rsidRPr="001F15C2">
        <w:rPr>
          <w:rFonts w:cs="Arial"/>
          <w:sz w:val="20"/>
          <w:szCs w:val="20"/>
        </w:rPr>
        <w:t xml:space="preserve"> and</w:t>
      </w:r>
      <w:r>
        <w:rPr>
          <w:rFonts w:cs="Arial"/>
          <w:sz w:val="20"/>
          <w:szCs w:val="20"/>
        </w:rPr>
        <w:t xml:space="preserve"> (3)</w:t>
      </w:r>
      <w:r w:rsidRPr="001F15C2">
        <w:rPr>
          <w:rFonts w:cs="Arial"/>
          <w:sz w:val="20"/>
          <w:szCs w:val="20"/>
        </w:rPr>
        <w:t xml:space="preserve"> your statement that “safety beyond 12 months has not been established and other GNRH agonists can normally only be given for a maximum duration of 6 months”.</w:t>
      </w:r>
    </w:p>
    <w:p w14:paraId="69EBBC61"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On careful consideration, I do not regard these arguments as constituting a valid appeal point. </w:t>
      </w:r>
    </w:p>
    <w:p w14:paraId="13A6D525" w14:textId="77777777" w:rsidR="00C74E03"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 note the committee considered clinical trial data covering treatment periods of varying length, from relatively short treatment periods in the LIBERTY 1 and LIBERTY 2 trials to 52 weeks / 1 year in the </w:t>
      </w:r>
      <w:proofErr w:type="gramStart"/>
      <w:r w:rsidRPr="001F15C2">
        <w:rPr>
          <w:rFonts w:cs="Arial"/>
          <w:sz w:val="20"/>
          <w:szCs w:val="20"/>
        </w:rPr>
        <w:t>long term</w:t>
      </w:r>
      <w:proofErr w:type="gramEnd"/>
      <w:r w:rsidRPr="001F15C2">
        <w:rPr>
          <w:rFonts w:cs="Arial"/>
          <w:sz w:val="20"/>
          <w:szCs w:val="20"/>
        </w:rPr>
        <w:t xml:space="preserve"> extension study LIBERTY 3 and 104 weeks / 2 years in the ongoing LIBERTY withdrawal study.</w:t>
      </w:r>
    </w:p>
    <w:p w14:paraId="024BA23E"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 am satisfied from the committee papers and the FAD that the committee understood the duration of treatment relevant to the trial data presented to it and had this in mind when assessing clinical effectiveness of </w:t>
      </w:r>
      <w:proofErr w:type="spellStart"/>
      <w:r w:rsidRPr="001F15C2">
        <w:rPr>
          <w:rFonts w:cs="Arial"/>
          <w:sz w:val="20"/>
          <w:szCs w:val="20"/>
        </w:rPr>
        <w:t>Relugolix</w:t>
      </w:r>
      <w:proofErr w:type="spellEnd"/>
      <w:r w:rsidRPr="001F15C2">
        <w:rPr>
          <w:rFonts w:cs="Arial"/>
          <w:sz w:val="20"/>
          <w:szCs w:val="20"/>
        </w:rPr>
        <w:t xml:space="preserve"> and concluding that </w:t>
      </w:r>
      <w:proofErr w:type="spellStart"/>
      <w:r w:rsidRPr="001F15C2">
        <w:rPr>
          <w:rFonts w:cs="Arial"/>
          <w:sz w:val="20"/>
          <w:szCs w:val="20"/>
        </w:rPr>
        <w:t>Relugolix</w:t>
      </w:r>
      <w:proofErr w:type="spellEnd"/>
      <w:r w:rsidRPr="001F15C2">
        <w:rPr>
          <w:rFonts w:cs="Arial"/>
          <w:sz w:val="20"/>
          <w:szCs w:val="20"/>
        </w:rPr>
        <w:t xml:space="preserve"> is likely to be equally as effective as GnRH agonists. </w:t>
      </w:r>
    </w:p>
    <w:p w14:paraId="2A9BE809"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The comment that </w:t>
      </w:r>
      <w:proofErr w:type="spellStart"/>
      <w:r w:rsidRPr="001F15C2">
        <w:rPr>
          <w:rFonts w:cs="Arial"/>
          <w:sz w:val="20"/>
          <w:szCs w:val="20"/>
        </w:rPr>
        <w:t>Relugolix</w:t>
      </w:r>
      <w:proofErr w:type="spellEnd"/>
      <w:r w:rsidRPr="001F15C2">
        <w:rPr>
          <w:rFonts w:cs="Arial"/>
          <w:sz w:val="20"/>
          <w:szCs w:val="20"/>
        </w:rPr>
        <w:t xml:space="preserve"> “can be used long term” does not cast doubt on the recommendations</w:t>
      </w:r>
      <w:r>
        <w:rPr>
          <w:rFonts w:cs="Arial"/>
          <w:sz w:val="20"/>
          <w:szCs w:val="20"/>
        </w:rPr>
        <w:t xml:space="preserve">. That is because </w:t>
      </w:r>
      <w:r w:rsidRPr="001F15C2">
        <w:rPr>
          <w:rFonts w:cs="Arial"/>
          <w:sz w:val="20"/>
          <w:szCs w:val="20"/>
        </w:rPr>
        <w:t xml:space="preserve">the committee’s use of the term “long term” must be understood by reference to the clinical context and currently available treatment options in the care pathway where </w:t>
      </w:r>
      <w:proofErr w:type="spellStart"/>
      <w:r w:rsidRPr="001F15C2">
        <w:rPr>
          <w:rFonts w:cs="Arial"/>
          <w:sz w:val="20"/>
          <w:szCs w:val="20"/>
        </w:rPr>
        <w:t>Relugolix</w:t>
      </w:r>
      <w:proofErr w:type="spellEnd"/>
      <w:r w:rsidRPr="001F15C2">
        <w:rPr>
          <w:rFonts w:cs="Arial"/>
          <w:sz w:val="20"/>
          <w:szCs w:val="20"/>
        </w:rPr>
        <w:t xml:space="preserve"> is positioned. In this regard the committee discussed three classes of drug in particular: </w:t>
      </w:r>
    </w:p>
    <w:p w14:paraId="3A216E00" w14:textId="77777777" w:rsidR="00C74E03" w:rsidRPr="001F15C2" w:rsidRDefault="00C74E03" w:rsidP="00C74E03">
      <w:pPr>
        <w:pStyle w:val="Paragraph"/>
        <w:numPr>
          <w:ilvl w:val="0"/>
          <w:numId w:val="6"/>
        </w:numPr>
        <w:spacing w:before="120"/>
        <w:jc w:val="both"/>
        <w:rPr>
          <w:rFonts w:cs="Arial"/>
          <w:sz w:val="20"/>
          <w:szCs w:val="20"/>
        </w:rPr>
      </w:pPr>
      <w:r w:rsidRPr="001F15C2">
        <w:rPr>
          <w:rFonts w:cs="Arial"/>
          <w:sz w:val="20"/>
          <w:szCs w:val="20"/>
        </w:rPr>
        <w:t xml:space="preserve">GnRH </w:t>
      </w:r>
      <w:r w:rsidRPr="0007095A">
        <w:rPr>
          <w:rFonts w:cs="Arial"/>
          <w:sz w:val="20"/>
          <w:szCs w:val="20"/>
          <w:u w:val="single"/>
        </w:rPr>
        <w:t>antagonists</w:t>
      </w:r>
      <w:r w:rsidRPr="001F15C2">
        <w:rPr>
          <w:rFonts w:cs="Arial"/>
          <w:sz w:val="20"/>
          <w:szCs w:val="20"/>
        </w:rPr>
        <w:t xml:space="preserve"> (such as </w:t>
      </w:r>
      <w:proofErr w:type="spellStart"/>
      <w:r w:rsidRPr="001F15C2">
        <w:rPr>
          <w:rFonts w:cs="Arial"/>
          <w:sz w:val="20"/>
          <w:szCs w:val="20"/>
        </w:rPr>
        <w:t>Relugolix</w:t>
      </w:r>
      <w:proofErr w:type="spellEnd"/>
      <w:proofErr w:type="gramStart"/>
      <w:r w:rsidRPr="001F15C2">
        <w:rPr>
          <w:rFonts w:cs="Arial"/>
          <w:sz w:val="20"/>
          <w:szCs w:val="20"/>
        </w:rPr>
        <w:t>);</w:t>
      </w:r>
      <w:proofErr w:type="gramEnd"/>
      <w:r w:rsidRPr="001F15C2">
        <w:rPr>
          <w:rFonts w:cs="Arial"/>
          <w:sz w:val="20"/>
          <w:szCs w:val="20"/>
        </w:rPr>
        <w:t xml:space="preserve"> </w:t>
      </w:r>
    </w:p>
    <w:p w14:paraId="2F85C07B" w14:textId="77777777" w:rsidR="00C74E03" w:rsidRPr="001F15C2" w:rsidRDefault="00C74E03" w:rsidP="00C74E03">
      <w:pPr>
        <w:pStyle w:val="Paragraph"/>
        <w:numPr>
          <w:ilvl w:val="0"/>
          <w:numId w:val="6"/>
        </w:numPr>
        <w:spacing w:before="120"/>
        <w:jc w:val="both"/>
        <w:rPr>
          <w:rFonts w:cs="Arial"/>
          <w:sz w:val="20"/>
          <w:szCs w:val="20"/>
        </w:rPr>
      </w:pPr>
      <w:r w:rsidRPr="001F15C2">
        <w:rPr>
          <w:rFonts w:cs="Arial"/>
          <w:sz w:val="20"/>
          <w:szCs w:val="20"/>
        </w:rPr>
        <w:t xml:space="preserve">GnRH </w:t>
      </w:r>
      <w:r w:rsidRPr="0007095A">
        <w:rPr>
          <w:rFonts w:cs="Arial"/>
          <w:sz w:val="20"/>
          <w:szCs w:val="20"/>
          <w:u w:val="single"/>
        </w:rPr>
        <w:t>agonists</w:t>
      </w:r>
      <w:r w:rsidRPr="001F15C2">
        <w:rPr>
          <w:rFonts w:cs="Arial"/>
          <w:sz w:val="20"/>
          <w:szCs w:val="20"/>
        </w:rPr>
        <w:t xml:space="preserve"> (such as </w:t>
      </w:r>
      <w:proofErr w:type="spellStart"/>
      <w:r w:rsidRPr="00BD2637">
        <w:rPr>
          <w:rFonts w:cs="Arial"/>
          <w:sz w:val="20"/>
          <w:szCs w:val="20"/>
        </w:rPr>
        <w:t>Goserelin</w:t>
      </w:r>
      <w:proofErr w:type="spellEnd"/>
      <w:r>
        <w:rPr>
          <w:rFonts w:cs="Arial"/>
          <w:sz w:val="20"/>
          <w:szCs w:val="20"/>
        </w:rPr>
        <w:t xml:space="preserve"> acetate</w:t>
      </w:r>
      <w:r w:rsidRPr="001F15C2">
        <w:rPr>
          <w:rFonts w:cs="Arial"/>
          <w:sz w:val="20"/>
          <w:szCs w:val="20"/>
        </w:rPr>
        <w:t xml:space="preserve">); and </w:t>
      </w:r>
    </w:p>
    <w:p w14:paraId="3935F74A" w14:textId="77777777" w:rsidR="00C74E03" w:rsidRPr="001F15C2" w:rsidRDefault="00C74E03" w:rsidP="00C74E03">
      <w:pPr>
        <w:pStyle w:val="Paragraph"/>
        <w:numPr>
          <w:ilvl w:val="0"/>
          <w:numId w:val="6"/>
        </w:numPr>
        <w:spacing w:before="120"/>
        <w:jc w:val="both"/>
        <w:rPr>
          <w:rFonts w:cs="Arial"/>
          <w:sz w:val="20"/>
          <w:szCs w:val="20"/>
        </w:rPr>
      </w:pPr>
      <w:r w:rsidRPr="001F15C2">
        <w:rPr>
          <w:rFonts w:cs="Arial"/>
          <w:sz w:val="20"/>
          <w:szCs w:val="20"/>
        </w:rPr>
        <w:t>Ulipristal acetate</w:t>
      </w:r>
      <w:r>
        <w:rPr>
          <w:rFonts w:cs="Arial"/>
          <w:sz w:val="20"/>
          <w:szCs w:val="20"/>
        </w:rPr>
        <w:t xml:space="preserve">, a </w:t>
      </w:r>
      <w:r w:rsidRPr="00332149">
        <w:rPr>
          <w:rFonts w:cs="Arial"/>
          <w:sz w:val="20"/>
          <w:szCs w:val="20"/>
        </w:rPr>
        <w:t>selective progesterone receptor modulator</w:t>
      </w:r>
      <w:r w:rsidRPr="001F15C2">
        <w:rPr>
          <w:rFonts w:cs="Arial"/>
          <w:sz w:val="20"/>
          <w:szCs w:val="20"/>
        </w:rPr>
        <w:t xml:space="preserve">. </w:t>
      </w:r>
    </w:p>
    <w:p w14:paraId="665CAC18" w14:textId="77777777" w:rsidR="00C74E03" w:rsidRDefault="00C74E03" w:rsidP="00C74E03">
      <w:pPr>
        <w:pStyle w:val="Paragraph"/>
        <w:numPr>
          <w:ilvl w:val="0"/>
          <w:numId w:val="0"/>
        </w:numPr>
        <w:spacing w:before="120"/>
        <w:jc w:val="both"/>
        <w:rPr>
          <w:rFonts w:cs="Arial"/>
          <w:sz w:val="20"/>
          <w:szCs w:val="20"/>
        </w:rPr>
      </w:pPr>
      <w:r w:rsidRPr="001F15C2">
        <w:rPr>
          <w:rFonts w:cs="Arial"/>
          <w:sz w:val="20"/>
          <w:szCs w:val="20"/>
        </w:rPr>
        <w:t>As you will know, GnRH antagonists and GnRH agonists fall within the umbrella term “</w:t>
      </w:r>
      <w:proofErr w:type="spellStart"/>
      <w:r w:rsidRPr="001F15C2">
        <w:rPr>
          <w:rFonts w:cs="Arial"/>
          <w:sz w:val="20"/>
          <w:szCs w:val="20"/>
        </w:rPr>
        <w:t>GnHR</w:t>
      </w:r>
      <w:proofErr w:type="spellEnd"/>
      <w:r w:rsidRPr="001F15C2">
        <w:rPr>
          <w:rFonts w:cs="Arial"/>
          <w:sz w:val="20"/>
          <w:szCs w:val="20"/>
        </w:rPr>
        <w:t xml:space="preserve"> analogues” but work by different</w:t>
      </w:r>
      <w:r>
        <w:rPr>
          <w:rFonts w:cs="Arial"/>
          <w:sz w:val="20"/>
          <w:szCs w:val="20"/>
        </w:rPr>
        <w:t>,</w:t>
      </w:r>
      <w:r w:rsidRPr="001F15C2">
        <w:rPr>
          <w:rFonts w:cs="Arial"/>
          <w:sz w:val="20"/>
          <w:szCs w:val="20"/>
        </w:rPr>
        <w:t xml:space="preserve"> distinct mechanisms of action. As set out in the FAD, </w:t>
      </w:r>
      <w:r>
        <w:rPr>
          <w:rFonts w:cs="Arial"/>
          <w:sz w:val="20"/>
          <w:szCs w:val="20"/>
        </w:rPr>
        <w:t xml:space="preserve">the license for </w:t>
      </w:r>
      <w:r w:rsidRPr="001F15C2">
        <w:rPr>
          <w:rFonts w:cs="Arial"/>
          <w:sz w:val="20"/>
          <w:szCs w:val="20"/>
        </w:rPr>
        <w:t xml:space="preserve">GnRH </w:t>
      </w:r>
      <w:r w:rsidRPr="001F15C2">
        <w:rPr>
          <w:rFonts w:cs="Arial"/>
          <w:sz w:val="20"/>
          <w:szCs w:val="20"/>
          <w:u w:val="single"/>
        </w:rPr>
        <w:t>agonists</w:t>
      </w:r>
      <w:r w:rsidRPr="001F15C2">
        <w:rPr>
          <w:rFonts w:cs="Arial"/>
          <w:sz w:val="20"/>
          <w:szCs w:val="20"/>
        </w:rPr>
        <w:t xml:space="preserve"> </w:t>
      </w:r>
      <w:r>
        <w:rPr>
          <w:rFonts w:cs="Arial"/>
          <w:sz w:val="20"/>
          <w:szCs w:val="20"/>
        </w:rPr>
        <w:t>in the indications relevant to this appraisal is for a limited treatment duration (</w:t>
      </w:r>
      <w:r w:rsidRPr="005F6045">
        <w:rPr>
          <w:rFonts w:cs="Arial"/>
          <w:sz w:val="20"/>
          <w:szCs w:val="20"/>
          <w:u w:val="single"/>
        </w:rPr>
        <w:t>&lt;</w:t>
      </w:r>
      <w:r w:rsidRPr="001F15C2">
        <w:rPr>
          <w:rFonts w:cs="Arial"/>
          <w:sz w:val="20"/>
          <w:szCs w:val="20"/>
        </w:rPr>
        <w:t xml:space="preserve"> 6 months</w:t>
      </w:r>
      <w:r>
        <w:rPr>
          <w:rFonts w:cs="Arial"/>
          <w:sz w:val="20"/>
          <w:szCs w:val="20"/>
        </w:rPr>
        <w:t>)</w:t>
      </w:r>
      <w:r w:rsidRPr="001F15C2">
        <w:rPr>
          <w:rFonts w:cs="Arial"/>
          <w:sz w:val="20"/>
          <w:szCs w:val="20"/>
        </w:rPr>
        <w:t xml:space="preserve">. This restriction is imposed by a licensing decision relating to </w:t>
      </w:r>
      <w:r>
        <w:rPr>
          <w:rFonts w:cs="Arial"/>
          <w:sz w:val="20"/>
          <w:szCs w:val="20"/>
        </w:rPr>
        <w:t xml:space="preserve">the risk/benefit </w:t>
      </w:r>
      <w:r w:rsidRPr="001F15C2">
        <w:rPr>
          <w:rFonts w:cs="Arial"/>
          <w:sz w:val="20"/>
          <w:szCs w:val="20"/>
        </w:rPr>
        <w:t xml:space="preserve">arising from the distinct mechanism of action of </w:t>
      </w:r>
      <w:proofErr w:type="spellStart"/>
      <w:r w:rsidRPr="001F15C2">
        <w:rPr>
          <w:rFonts w:cs="Arial"/>
          <w:sz w:val="20"/>
          <w:szCs w:val="20"/>
        </w:rPr>
        <w:t>GnHR</w:t>
      </w:r>
      <w:proofErr w:type="spellEnd"/>
      <w:r w:rsidRPr="001F15C2">
        <w:rPr>
          <w:rFonts w:cs="Arial"/>
          <w:sz w:val="20"/>
          <w:szCs w:val="20"/>
        </w:rPr>
        <w:t xml:space="preserve"> agonists. Ulipristal acetate</w:t>
      </w:r>
      <w:r>
        <w:rPr>
          <w:rFonts w:cs="Arial"/>
          <w:sz w:val="20"/>
          <w:szCs w:val="20"/>
        </w:rPr>
        <w:t xml:space="preserve">, a </w:t>
      </w:r>
      <w:r w:rsidRPr="00332149">
        <w:rPr>
          <w:rFonts w:cs="Arial"/>
          <w:sz w:val="20"/>
          <w:szCs w:val="20"/>
        </w:rPr>
        <w:t>selective progesterone receptor modulator</w:t>
      </w:r>
      <w:r>
        <w:rPr>
          <w:rFonts w:cs="Arial"/>
          <w:sz w:val="20"/>
          <w:szCs w:val="20"/>
        </w:rPr>
        <w:t>,</w:t>
      </w:r>
      <w:r w:rsidRPr="001F15C2">
        <w:rPr>
          <w:rFonts w:cs="Arial"/>
          <w:sz w:val="20"/>
          <w:szCs w:val="20"/>
        </w:rPr>
        <w:t xml:space="preserve"> is a different class of drug again, which is only licensed for intermittent treatment when uterine fibroid </w:t>
      </w:r>
      <w:proofErr w:type="spellStart"/>
      <w:r w:rsidRPr="001F15C2">
        <w:rPr>
          <w:rFonts w:cs="Arial"/>
          <w:sz w:val="20"/>
          <w:szCs w:val="20"/>
        </w:rPr>
        <w:t>embolisation</w:t>
      </w:r>
      <w:proofErr w:type="spellEnd"/>
      <w:r w:rsidRPr="001F15C2">
        <w:rPr>
          <w:rFonts w:cs="Arial"/>
          <w:sz w:val="20"/>
          <w:szCs w:val="20"/>
        </w:rPr>
        <w:t xml:space="preserve"> or surgery are unsuitable or unsuccessful. It is </w:t>
      </w:r>
      <w:proofErr w:type="gramStart"/>
      <w:r w:rsidRPr="001F15C2">
        <w:rPr>
          <w:rFonts w:cs="Arial"/>
          <w:sz w:val="20"/>
          <w:szCs w:val="20"/>
        </w:rPr>
        <w:t>in light of</w:t>
      </w:r>
      <w:proofErr w:type="gramEnd"/>
      <w:r w:rsidRPr="001F15C2">
        <w:rPr>
          <w:rFonts w:cs="Arial"/>
          <w:sz w:val="20"/>
          <w:szCs w:val="20"/>
        </w:rPr>
        <w:t xml:space="preserve"> these restrictions on comparator licenses, as </w:t>
      </w:r>
      <w:r>
        <w:rPr>
          <w:rFonts w:cs="Arial"/>
          <w:sz w:val="20"/>
          <w:szCs w:val="20"/>
        </w:rPr>
        <w:t xml:space="preserve">determined </w:t>
      </w:r>
      <w:r w:rsidRPr="001F15C2">
        <w:rPr>
          <w:rFonts w:cs="Arial"/>
          <w:sz w:val="20"/>
          <w:szCs w:val="20"/>
        </w:rPr>
        <w:t xml:space="preserve">by the MHRA (not NICE) that paragraph 3.1 of the FAD notes “there are limited long-term treatment options”. </w:t>
      </w:r>
    </w:p>
    <w:p w14:paraId="0C43093C"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By contrast, the SmPC for </w:t>
      </w:r>
      <w:proofErr w:type="spellStart"/>
      <w:r w:rsidRPr="001F15C2">
        <w:rPr>
          <w:rFonts w:cs="Arial"/>
          <w:sz w:val="20"/>
          <w:szCs w:val="20"/>
        </w:rPr>
        <w:t>Relugolix</w:t>
      </w:r>
      <w:proofErr w:type="spellEnd"/>
      <w:r w:rsidRPr="001F15C2">
        <w:rPr>
          <w:rFonts w:cs="Arial"/>
          <w:sz w:val="20"/>
          <w:szCs w:val="20"/>
        </w:rPr>
        <w:t xml:space="preserve"> does not provide a maximum duration of therapy. </w:t>
      </w:r>
      <w:proofErr w:type="gramStart"/>
      <w:r>
        <w:rPr>
          <w:rFonts w:cs="Arial"/>
          <w:sz w:val="20"/>
          <w:szCs w:val="20"/>
        </w:rPr>
        <w:t>Therefore</w:t>
      </w:r>
      <w:proofErr w:type="gramEnd"/>
      <w:r w:rsidRPr="001F15C2">
        <w:rPr>
          <w:rFonts w:cs="Arial"/>
          <w:sz w:val="20"/>
          <w:szCs w:val="20"/>
        </w:rPr>
        <w:t xml:space="preserve"> it is accurate to note that </w:t>
      </w:r>
      <w:proofErr w:type="spellStart"/>
      <w:r w:rsidRPr="001F15C2">
        <w:rPr>
          <w:rFonts w:cs="Arial"/>
          <w:sz w:val="20"/>
          <w:szCs w:val="20"/>
        </w:rPr>
        <w:t>Relugolix</w:t>
      </w:r>
      <w:proofErr w:type="spellEnd"/>
      <w:r w:rsidRPr="001F15C2">
        <w:rPr>
          <w:rFonts w:cs="Arial"/>
          <w:sz w:val="20"/>
          <w:szCs w:val="20"/>
        </w:rPr>
        <w:t xml:space="preserve"> </w:t>
      </w:r>
      <w:r>
        <w:rPr>
          <w:rFonts w:cs="Arial"/>
          <w:sz w:val="20"/>
          <w:szCs w:val="20"/>
        </w:rPr>
        <w:t>“</w:t>
      </w:r>
      <w:r w:rsidRPr="001F15C2">
        <w:rPr>
          <w:rFonts w:cs="Arial"/>
          <w:sz w:val="20"/>
          <w:szCs w:val="20"/>
        </w:rPr>
        <w:t>can be used long term</w:t>
      </w:r>
      <w:r>
        <w:rPr>
          <w:rFonts w:cs="Arial"/>
          <w:sz w:val="20"/>
          <w:szCs w:val="20"/>
        </w:rPr>
        <w:t>”. I see no potential unreasonableness arising from the committee considering this was a likely additional benefit not captured in the economic model</w:t>
      </w:r>
      <w:r w:rsidRPr="001F15C2">
        <w:rPr>
          <w:rFonts w:cs="Arial"/>
          <w:sz w:val="20"/>
          <w:szCs w:val="20"/>
        </w:rPr>
        <w:t xml:space="preserve">. </w:t>
      </w:r>
    </w:p>
    <w:p w14:paraId="02C60796"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For the above reasons I am not</w:t>
      </w:r>
      <w:r w:rsidRPr="001F15C2">
        <w:rPr>
          <w:rFonts w:cs="Arial"/>
          <w:sz w:val="20"/>
          <w:szCs w:val="20"/>
          <w:lang w:eastAsia="en-US"/>
        </w:rPr>
        <w:t xml:space="preserve"> minded </w:t>
      </w:r>
      <w:proofErr w:type="gramStart"/>
      <w:r w:rsidRPr="001F15C2">
        <w:rPr>
          <w:rFonts w:cs="Arial"/>
          <w:sz w:val="20"/>
          <w:szCs w:val="20"/>
          <w:lang w:eastAsia="en-US"/>
        </w:rPr>
        <w:t>to refer</w:t>
      </w:r>
      <w:proofErr w:type="gramEnd"/>
      <w:r w:rsidRPr="001F15C2">
        <w:rPr>
          <w:rFonts w:cs="Arial"/>
          <w:sz w:val="20"/>
          <w:szCs w:val="20"/>
          <w:lang w:eastAsia="en-US"/>
        </w:rPr>
        <w:t xml:space="preserve"> this point to an appeal panel.  </w:t>
      </w:r>
    </w:p>
    <w:p w14:paraId="021DAF3B" w14:textId="77777777" w:rsidR="00C74E03" w:rsidRPr="001F15C2" w:rsidRDefault="00C74E03" w:rsidP="00C74E03">
      <w:pPr>
        <w:pStyle w:val="Paragraph"/>
        <w:numPr>
          <w:ilvl w:val="0"/>
          <w:numId w:val="0"/>
        </w:numPr>
        <w:spacing w:before="120"/>
        <w:jc w:val="both"/>
        <w:rPr>
          <w:rFonts w:cs="Arial"/>
          <w:b/>
          <w:i/>
          <w:sz w:val="20"/>
          <w:szCs w:val="20"/>
        </w:rPr>
      </w:pPr>
      <w:r w:rsidRPr="001F15C2">
        <w:rPr>
          <w:rFonts w:cs="Arial"/>
          <w:b/>
          <w:i/>
          <w:sz w:val="20"/>
          <w:szCs w:val="20"/>
        </w:rPr>
        <w:t xml:space="preserve">2.1(c) </w:t>
      </w:r>
      <w:r w:rsidRPr="001F15C2">
        <w:rPr>
          <w:rFonts w:cs="Arial"/>
          <w:b/>
          <w:sz w:val="20"/>
          <w:szCs w:val="20"/>
        </w:rPr>
        <w:t>The recommendation is unreasonable because</w:t>
      </w:r>
      <w:r w:rsidRPr="001F15C2">
        <w:rPr>
          <w:rFonts w:cs="Arial"/>
          <w:b/>
          <w:i/>
          <w:sz w:val="20"/>
          <w:szCs w:val="20"/>
        </w:rPr>
        <w:t xml:space="preserve"> “fibroids cause a large number of </w:t>
      </w:r>
      <w:proofErr w:type="gramStart"/>
      <w:r w:rsidRPr="001F15C2">
        <w:rPr>
          <w:rFonts w:cs="Arial"/>
          <w:b/>
          <w:i/>
          <w:sz w:val="20"/>
          <w:szCs w:val="20"/>
        </w:rPr>
        <w:t>symptoms</w:t>
      </w:r>
      <w:proofErr w:type="gramEnd"/>
      <w:r w:rsidRPr="001F15C2">
        <w:rPr>
          <w:rFonts w:cs="Arial"/>
          <w:b/>
          <w:i/>
          <w:sz w:val="20"/>
          <w:szCs w:val="20"/>
        </w:rPr>
        <w:t xml:space="preserve"> and the medicine has only been shown to be effective at reducing some symptoms for the maximum of 1 year”</w:t>
      </w:r>
    </w:p>
    <w:p w14:paraId="47D82495" w14:textId="026200B3"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 do not regard this as a valid appeal point. See my response above in respect of the duration of treatment. </w:t>
      </w:r>
      <w:proofErr w:type="gramStart"/>
      <w:r w:rsidRPr="001F15C2">
        <w:rPr>
          <w:rFonts w:cs="Arial"/>
          <w:sz w:val="20"/>
          <w:szCs w:val="20"/>
        </w:rPr>
        <w:t>With regard to</w:t>
      </w:r>
      <w:proofErr w:type="gramEnd"/>
      <w:r w:rsidRPr="001F15C2">
        <w:rPr>
          <w:rFonts w:cs="Arial"/>
          <w:sz w:val="20"/>
          <w:szCs w:val="20"/>
        </w:rPr>
        <w:t xml:space="preserve"> the range of symptoms, paragraph 3.1 of the FAD shows that the committee were aware that there are a range of symptoms, noting that “Symptoms are broadly classed into prolonged and heavy menstrual bleeding, pelvic pain and pressure, and reproductive dysfunction”. Similarly paragraph 3.2 notes that the aim of treatment can </w:t>
      </w:r>
      <w:proofErr w:type="gramStart"/>
      <w:r w:rsidRPr="001F15C2">
        <w:rPr>
          <w:rFonts w:cs="Arial"/>
          <w:sz w:val="20"/>
          <w:szCs w:val="20"/>
        </w:rPr>
        <w:t>vary</w:t>
      </w:r>
      <w:proofErr w:type="gramEnd"/>
      <w:r w:rsidRPr="001F15C2">
        <w:rPr>
          <w:rFonts w:cs="Arial"/>
          <w:sz w:val="20"/>
          <w:szCs w:val="20"/>
        </w:rPr>
        <w:t xml:space="preserve"> and the committee papers show that the clinical trials studied a breadth of symptoms.  (I note that while volume and percentage menstrual </w:t>
      </w:r>
      <w:r w:rsidRPr="001F15C2">
        <w:rPr>
          <w:rFonts w:cs="Arial"/>
          <w:sz w:val="20"/>
          <w:szCs w:val="20"/>
        </w:rPr>
        <w:lastRenderedPageBreak/>
        <w:t xml:space="preserve">blood loss was a primary end point, the clinical </w:t>
      </w:r>
      <w:r>
        <w:rPr>
          <w:rFonts w:cs="Arial"/>
          <w:sz w:val="20"/>
          <w:szCs w:val="20"/>
        </w:rPr>
        <w:t xml:space="preserve">trial </w:t>
      </w:r>
      <w:r w:rsidRPr="001F15C2">
        <w:rPr>
          <w:rFonts w:cs="Arial"/>
          <w:sz w:val="20"/>
          <w:szCs w:val="20"/>
        </w:rPr>
        <w:t xml:space="preserve">data </w:t>
      </w:r>
      <w:r>
        <w:rPr>
          <w:rFonts w:cs="Arial"/>
          <w:sz w:val="20"/>
          <w:szCs w:val="20"/>
        </w:rPr>
        <w:t xml:space="preserve">for </w:t>
      </w:r>
      <w:proofErr w:type="spellStart"/>
      <w:r>
        <w:rPr>
          <w:rFonts w:cs="Arial"/>
          <w:sz w:val="20"/>
          <w:szCs w:val="20"/>
        </w:rPr>
        <w:t>Relugolix</w:t>
      </w:r>
      <w:proofErr w:type="spellEnd"/>
      <w:r>
        <w:rPr>
          <w:rFonts w:cs="Arial"/>
          <w:sz w:val="20"/>
          <w:szCs w:val="20"/>
        </w:rPr>
        <w:t xml:space="preserve"> </w:t>
      </w:r>
      <w:r w:rsidRPr="001F15C2">
        <w:rPr>
          <w:rFonts w:cs="Arial"/>
          <w:sz w:val="20"/>
          <w:szCs w:val="20"/>
        </w:rPr>
        <w:t>showed benefits in a range of secondary end points including pain, distress from bleeding and pelvic discomfort and anaemia and uterine volume.)</w:t>
      </w:r>
      <w:r>
        <w:rPr>
          <w:rFonts w:cs="Arial"/>
          <w:sz w:val="20"/>
          <w:szCs w:val="20"/>
        </w:rPr>
        <w:t xml:space="preserve"> Nonetheless, p</w:t>
      </w:r>
      <w:r w:rsidRPr="001F15C2">
        <w:rPr>
          <w:rFonts w:cs="Arial"/>
          <w:sz w:val="20"/>
          <w:szCs w:val="20"/>
        </w:rPr>
        <w:t>aragraph 3.2 of the FAD notes that the clinical experts explained that control of menstrual blood loss volume is a clinically important outcome because it reduces the risk of anaemia and improves quality of life</w:t>
      </w:r>
      <w:r>
        <w:rPr>
          <w:rFonts w:cs="Arial"/>
          <w:sz w:val="20"/>
          <w:szCs w:val="20"/>
        </w:rPr>
        <w:t>. While the committee were aware of the range of symptoms</w:t>
      </w:r>
      <w:r w:rsidRPr="001F15C2">
        <w:rPr>
          <w:rFonts w:cs="Arial"/>
          <w:sz w:val="20"/>
          <w:szCs w:val="20"/>
        </w:rPr>
        <w:t>, paragraph 3.6 of the FAD sets out why the committee concluded menstrual blood loss volume is a relevant outcome measure of treatment effectiveness.</w:t>
      </w:r>
    </w:p>
    <w:p w14:paraId="4A0030CE"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In my view the FAD is well reasoned on this </w:t>
      </w:r>
      <w:proofErr w:type="gramStart"/>
      <w:r w:rsidRPr="001F15C2">
        <w:rPr>
          <w:rFonts w:cs="Arial"/>
          <w:sz w:val="20"/>
          <w:szCs w:val="20"/>
        </w:rPr>
        <w:t>point</w:t>
      </w:r>
      <w:proofErr w:type="gramEnd"/>
      <w:r w:rsidRPr="001F15C2">
        <w:rPr>
          <w:rFonts w:cs="Arial"/>
          <w:sz w:val="20"/>
          <w:szCs w:val="20"/>
        </w:rPr>
        <w:t xml:space="preserve"> and I am not persuaded that the committee’s conclusion could amount to unreasonableness. </w:t>
      </w:r>
      <w:r w:rsidRPr="001F15C2">
        <w:rPr>
          <w:rFonts w:cs="Arial"/>
          <w:sz w:val="20"/>
          <w:szCs w:val="20"/>
          <w:lang w:eastAsia="en-US"/>
        </w:rPr>
        <w:t xml:space="preserve">I am not minded </w:t>
      </w:r>
      <w:proofErr w:type="gramStart"/>
      <w:r w:rsidRPr="001F15C2">
        <w:rPr>
          <w:rFonts w:cs="Arial"/>
          <w:sz w:val="20"/>
          <w:szCs w:val="20"/>
          <w:lang w:eastAsia="en-US"/>
        </w:rPr>
        <w:t>to refer</w:t>
      </w:r>
      <w:proofErr w:type="gramEnd"/>
      <w:r w:rsidRPr="001F15C2">
        <w:rPr>
          <w:rFonts w:cs="Arial"/>
          <w:sz w:val="20"/>
          <w:szCs w:val="20"/>
          <w:lang w:eastAsia="en-US"/>
        </w:rPr>
        <w:t xml:space="preserve"> this point to an appeal panel.  </w:t>
      </w:r>
    </w:p>
    <w:p w14:paraId="045D2861" w14:textId="77777777" w:rsidR="00C74E03" w:rsidRPr="001F15C2" w:rsidRDefault="00C74E03" w:rsidP="00C74E03">
      <w:pPr>
        <w:pStyle w:val="Paragraph"/>
        <w:numPr>
          <w:ilvl w:val="0"/>
          <w:numId w:val="0"/>
        </w:numPr>
        <w:spacing w:before="120"/>
        <w:jc w:val="both"/>
        <w:rPr>
          <w:rFonts w:cs="Arial"/>
          <w:b/>
          <w:i/>
          <w:sz w:val="20"/>
          <w:szCs w:val="20"/>
        </w:rPr>
      </w:pPr>
      <w:r w:rsidRPr="001F15C2">
        <w:rPr>
          <w:rFonts w:cs="Arial"/>
          <w:b/>
          <w:i/>
          <w:sz w:val="20"/>
          <w:szCs w:val="20"/>
        </w:rPr>
        <w:t xml:space="preserve">2.1(d) </w:t>
      </w:r>
      <w:r>
        <w:rPr>
          <w:rFonts w:cs="Arial"/>
          <w:b/>
          <w:sz w:val="20"/>
          <w:szCs w:val="20"/>
        </w:rPr>
        <w:t xml:space="preserve">The recommendation is unreasonable because </w:t>
      </w:r>
      <w:r w:rsidRPr="001F15C2">
        <w:rPr>
          <w:rFonts w:cs="Arial"/>
          <w:b/>
          <w:i/>
          <w:sz w:val="20"/>
          <w:szCs w:val="20"/>
        </w:rPr>
        <w:t xml:space="preserve">“there were no comparative studies between </w:t>
      </w:r>
      <w:proofErr w:type="spellStart"/>
      <w:r w:rsidRPr="001F15C2">
        <w:rPr>
          <w:rFonts w:cs="Arial"/>
          <w:b/>
          <w:i/>
          <w:sz w:val="20"/>
          <w:szCs w:val="20"/>
        </w:rPr>
        <w:t>Relugolix</w:t>
      </w:r>
      <w:proofErr w:type="spellEnd"/>
      <w:r w:rsidRPr="001F15C2">
        <w:rPr>
          <w:rFonts w:cs="Arial"/>
          <w:b/>
          <w:i/>
          <w:sz w:val="20"/>
          <w:szCs w:val="20"/>
        </w:rPr>
        <w:t xml:space="preserve"> and other GNRH agonists, even though superiority was claimed that side-effects were fewer and less severe”</w:t>
      </w:r>
    </w:p>
    <w:p w14:paraId="04E2C70A"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 do not regard this as a valid appeal point. </w:t>
      </w:r>
    </w:p>
    <w:p w14:paraId="0AFA8E26"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First, for the avoidance of doubt, it is important to clarify that </w:t>
      </w:r>
      <w:proofErr w:type="spellStart"/>
      <w:r w:rsidRPr="001F15C2">
        <w:rPr>
          <w:rFonts w:cs="Arial"/>
          <w:sz w:val="20"/>
          <w:szCs w:val="20"/>
        </w:rPr>
        <w:t>Relugolix</w:t>
      </w:r>
      <w:proofErr w:type="spellEnd"/>
      <w:r w:rsidRPr="001F15C2">
        <w:rPr>
          <w:rFonts w:cs="Arial"/>
          <w:sz w:val="20"/>
          <w:szCs w:val="20"/>
        </w:rPr>
        <w:t xml:space="preserve"> is not a GnRH agonist as </w:t>
      </w:r>
      <w:r>
        <w:rPr>
          <w:rFonts w:cs="Arial"/>
          <w:sz w:val="20"/>
          <w:szCs w:val="20"/>
        </w:rPr>
        <w:t xml:space="preserve">potentially </w:t>
      </w:r>
      <w:r w:rsidRPr="001F15C2">
        <w:rPr>
          <w:rFonts w:cs="Arial"/>
          <w:sz w:val="20"/>
          <w:szCs w:val="20"/>
        </w:rPr>
        <w:t xml:space="preserve">suggested by your letter. It is a GnRH </w:t>
      </w:r>
      <w:r w:rsidRPr="001F15C2">
        <w:rPr>
          <w:rFonts w:cs="Arial"/>
          <w:sz w:val="20"/>
          <w:szCs w:val="20"/>
          <w:u w:val="single"/>
        </w:rPr>
        <w:t>antagonist</w:t>
      </w:r>
      <w:r w:rsidRPr="001F15C2">
        <w:rPr>
          <w:rFonts w:cs="Arial"/>
          <w:sz w:val="20"/>
          <w:szCs w:val="20"/>
        </w:rPr>
        <w:t xml:space="preserve"> and therefore acts in a different way and has a different profile of side effects from GnRH </w:t>
      </w:r>
      <w:r w:rsidRPr="001F15C2">
        <w:rPr>
          <w:rFonts w:cs="Arial"/>
          <w:sz w:val="20"/>
          <w:szCs w:val="20"/>
          <w:u w:val="single"/>
        </w:rPr>
        <w:t>agonists</w:t>
      </w:r>
      <w:r w:rsidRPr="001F15C2">
        <w:rPr>
          <w:rFonts w:cs="Arial"/>
          <w:sz w:val="20"/>
          <w:szCs w:val="20"/>
        </w:rPr>
        <w:t xml:space="preserve">.   </w:t>
      </w:r>
    </w:p>
    <w:p w14:paraId="492BEE2B" w14:textId="77777777" w:rsidR="00C74E03" w:rsidRDefault="00C74E03" w:rsidP="00C74E03">
      <w:pPr>
        <w:pStyle w:val="Paragraph"/>
        <w:numPr>
          <w:ilvl w:val="0"/>
          <w:numId w:val="0"/>
        </w:numPr>
        <w:spacing w:before="120"/>
        <w:jc w:val="both"/>
        <w:rPr>
          <w:rFonts w:cs="Arial"/>
          <w:sz w:val="20"/>
          <w:szCs w:val="20"/>
        </w:rPr>
      </w:pPr>
      <w:r>
        <w:rPr>
          <w:rFonts w:cs="Arial"/>
          <w:sz w:val="20"/>
          <w:szCs w:val="20"/>
        </w:rPr>
        <w:t xml:space="preserve">The FAD shows that </w:t>
      </w:r>
      <w:r w:rsidRPr="001F15C2">
        <w:rPr>
          <w:rFonts w:cs="Arial"/>
          <w:sz w:val="20"/>
          <w:szCs w:val="20"/>
        </w:rPr>
        <w:t xml:space="preserve">the committee understood that there was no evidence directly comparing </w:t>
      </w:r>
      <w:proofErr w:type="spellStart"/>
      <w:r w:rsidRPr="001F15C2">
        <w:rPr>
          <w:rFonts w:cs="Arial"/>
          <w:sz w:val="20"/>
          <w:szCs w:val="20"/>
        </w:rPr>
        <w:t>Relugolix</w:t>
      </w:r>
      <w:proofErr w:type="spellEnd"/>
      <w:r w:rsidRPr="001F15C2">
        <w:rPr>
          <w:rFonts w:cs="Arial"/>
          <w:sz w:val="20"/>
          <w:szCs w:val="20"/>
        </w:rPr>
        <w:t xml:space="preserve"> with the GnRH agonists</w:t>
      </w:r>
      <w:r>
        <w:rPr>
          <w:rFonts w:cs="Arial"/>
          <w:sz w:val="20"/>
          <w:szCs w:val="20"/>
        </w:rPr>
        <w:t xml:space="preserve">. </w:t>
      </w:r>
      <w:r w:rsidRPr="001F15C2">
        <w:rPr>
          <w:rFonts w:cs="Arial"/>
          <w:sz w:val="20"/>
          <w:szCs w:val="20"/>
        </w:rPr>
        <w:t xml:space="preserve">Paragraphs 3.5 and 3.7 of the </w:t>
      </w:r>
      <w:proofErr w:type="gramStart"/>
      <w:r w:rsidRPr="001F15C2">
        <w:rPr>
          <w:rFonts w:cs="Arial"/>
          <w:sz w:val="20"/>
          <w:szCs w:val="20"/>
        </w:rPr>
        <w:t>FAD</w:t>
      </w:r>
      <w:proofErr w:type="gramEnd"/>
      <w:r w:rsidRPr="001F15C2">
        <w:rPr>
          <w:rFonts w:cs="Arial"/>
          <w:sz w:val="20"/>
          <w:szCs w:val="20"/>
        </w:rPr>
        <w:t xml:space="preserve"> in particular explain how the committee compared </w:t>
      </w:r>
      <w:proofErr w:type="spellStart"/>
      <w:r w:rsidRPr="001F15C2">
        <w:rPr>
          <w:rFonts w:cs="Arial"/>
          <w:sz w:val="20"/>
          <w:szCs w:val="20"/>
        </w:rPr>
        <w:t>Relugolix</w:t>
      </w:r>
      <w:proofErr w:type="spellEnd"/>
      <w:r w:rsidRPr="001F15C2">
        <w:rPr>
          <w:rFonts w:cs="Arial"/>
          <w:sz w:val="20"/>
          <w:szCs w:val="20"/>
        </w:rPr>
        <w:t xml:space="preserve"> against GnRH agonists and the reasons why it concluded</w:t>
      </w:r>
      <w:r w:rsidRPr="001F15C2">
        <w:rPr>
          <w:rFonts w:cs="Arial"/>
          <w:sz w:val="20"/>
          <w:szCs w:val="20"/>
          <w:lang w:eastAsia="en-US"/>
        </w:rPr>
        <w:t xml:space="preserve"> </w:t>
      </w:r>
      <w:proofErr w:type="spellStart"/>
      <w:r w:rsidRPr="001F15C2">
        <w:rPr>
          <w:rFonts w:cs="Arial"/>
          <w:sz w:val="20"/>
          <w:szCs w:val="20"/>
        </w:rPr>
        <w:t>Relugolix</w:t>
      </w:r>
      <w:proofErr w:type="spellEnd"/>
      <w:r w:rsidRPr="001F15C2">
        <w:rPr>
          <w:rFonts w:cs="Arial"/>
          <w:sz w:val="20"/>
          <w:szCs w:val="20"/>
        </w:rPr>
        <w:t xml:space="preserve"> is likely to be equally as effective as GnRH agonists</w:t>
      </w:r>
      <w:r>
        <w:rPr>
          <w:rFonts w:cs="Arial"/>
          <w:sz w:val="20"/>
          <w:szCs w:val="20"/>
        </w:rPr>
        <w:t>.</w:t>
      </w:r>
    </w:p>
    <w:p w14:paraId="355CC176"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In my view the FAD is </w:t>
      </w:r>
      <w:r>
        <w:rPr>
          <w:rFonts w:cs="Arial"/>
          <w:sz w:val="20"/>
          <w:szCs w:val="20"/>
        </w:rPr>
        <w:t xml:space="preserve">again </w:t>
      </w:r>
      <w:r w:rsidRPr="001F15C2">
        <w:rPr>
          <w:rFonts w:cs="Arial"/>
          <w:sz w:val="20"/>
          <w:szCs w:val="20"/>
        </w:rPr>
        <w:t xml:space="preserve">well reasoned on this </w:t>
      </w:r>
      <w:proofErr w:type="gramStart"/>
      <w:r w:rsidRPr="001F15C2">
        <w:rPr>
          <w:rFonts w:cs="Arial"/>
          <w:sz w:val="20"/>
          <w:szCs w:val="20"/>
        </w:rPr>
        <w:t>point</w:t>
      </w:r>
      <w:proofErr w:type="gramEnd"/>
      <w:r w:rsidRPr="001F15C2">
        <w:rPr>
          <w:rFonts w:cs="Arial"/>
          <w:sz w:val="20"/>
          <w:szCs w:val="20"/>
        </w:rPr>
        <w:t xml:space="preserve"> and I am not persuaded that the committee’s conclusion could amount to unreasonableness. </w:t>
      </w:r>
      <w:r w:rsidRPr="001F15C2">
        <w:rPr>
          <w:rFonts w:cs="Arial"/>
          <w:sz w:val="20"/>
          <w:szCs w:val="20"/>
          <w:lang w:eastAsia="en-US"/>
        </w:rPr>
        <w:t xml:space="preserve">I am not minded </w:t>
      </w:r>
      <w:proofErr w:type="gramStart"/>
      <w:r w:rsidRPr="001F15C2">
        <w:rPr>
          <w:rFonts w:cs="Arial"/>
          <w:sz w:val="20"/>
          <w:szCs w:val="20"/>
          <w:lang w:eastAsia="en-US"/>
        </w:rPr>
        <w:t>to refer</w:t>
      </w:r>
      <w:proofErr w:type="gramEnd"/>
      <w:r w:rsidRPr="001F15C2">
        <w:rPr>
          <w:rFonts w:cs="Arial"/>
          <w:sz w:val="20"/>
          <w:szCs w:val="20"/>
          <w:lang w:eastAsia="en-US"/>
        </w:rPr>
        <w:t xml:space="preserve"> this point to an appeal panel.  </w:t>
      </w:r>
    </w:p>
    <w:p w14:paraId="42769D8A"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 am unsure what you mean by “superiority was claimed” or where you say it is stated that side-effects of </w:t>
      </w:r>
      <w:proofErr w:type="spellStart"/>
      <w:r w:rsidRPr="001F15C2">
        <w:rPr>
          <w:rFonts w:cs="Arial"/>
          <w:sz w:val="20"/>
          <w:szCs w:val="20"/>
        </w:rPr>
        <w:t>Relugolix</w:t>
      </w:r>
      <w:proofErr w:type="spellEnd"/>
      <w:r w:rsidRPr="001F15C2">
        <w:rPr>
          <w:rFonts w:cs="Arial"/>
          <w:sz w:val="20"/>
          <w:szCs w:val="20"/>
        </w:rPr>
        <w:t xml:space="preserve"> are fewer and less severe than those of GnRH agonists. I note the committee “cautiously accepted that the treatment effect for [</w:t>
      </w:r>
      <w:proofErr w:type="spellStart"/>
      <w:r w:rsidRPr="001F15C2">
        <w:rPr>
          <w:rFonts w:cs="Arial"/>
          <w:sz w:val="20"/>
          <w:szCs w:val="20"/>
        </w:rPr>
        <w:t>Relugolix</w:t>
      </w:r>
      <w:proofErr w:type="spellEnd"/>
      <w:r w:rsidRPr="001F15C2">
        <w:rPr>
          <w:rFonts w:cs="Arial"/>
          <w:sz w:val="20"/>
          <w:szCs w:val="20"/>
        </w:rPr>
        <w:t>] was not any worse than for GnRH agonists” and that “[</w:t>
      </w:r>
      <w:proofErr w:type="spellStart"/>
      <w:r w:rsidRPr="001F15C2">
        <w:rPr>
          <w:rFonts w:cs="Arial"/>
          <w:sz w:val="20"/>
          <w:szCs w:val="20"/>
        </w:rPr>
        <w:t>Relugolix</w:t>
      </w:r>
      <w:proofErr w:type="spellEnd"/>
      <w:r w:rsidRPr="001F15C2">
        <w:rPr>
          <w:rFonts w:cs="Arial"/>
          <w:sz w:val="20"/>
          <w:szCs w:val="20"/>
        </w:rPr>
        <w:t>] is likely to be as equally effective as GnRH agonists” (paragraph 3.7 of the FAD), so superiority was not claimed in that regard.</w:t>
      </w:r>
    </w:p>
    <w:p w14:paraId="5B869085" w14:textId="1243BCC3" w:rsidR="00C74E03" w:rsidRPr="001F15C2" w:rsidRDefault="00C74E03" w:rsidP="00C74E03">
      <w:pPr>
        <w:pStyle w:val="Paragraph"/>
        <w:numPr>
          <w:ilvl w:val="0"/>
          <w:numId w:val="0"/>
        </w:numPr>
        <w:spacing w:before="120"/>
        <w:jc w:val="both"/>
        <w:rPr>
          <w:rFonts w:cs="Arial"/>
          <w:sz w:val="20"/>
          <w:szCs w:val="20"/>
        </w:rPr>
      </w:pPr>
      <w:proofErr w:type="gramStart"/>
      <w:r w:rsidRPr="001F15C2">
        <w:rPr>
          <w:rFonts w:cs="Arial"/>
          <w:sz w:val="20"/>
          <w:szCs w:val="20"/>
        </w:rPr>
        <w:t>With regard to</w:t>
      </w:r>
      <w:proofErr w:type="gramEnd"/>
      <w:r w:rsidRPr="001F15C2">
        <w:rPr>
          <w:rFonts w:cs="Arial"/>
          <w:sz w:val="20"/>
          <w:szCs w:val="20"/>
        </w:rPr>
        <w:t xml:space="preserve"> side effects, I have identified no statement that the side effects of </w:t>
      </w:r>
      <w:proofErr w:type="spellStart"/>
      <w:r w:rsidRPr="001F15C2">
        <w:rPr>
          <w:rFonts w:cs="Arial"/>
          <w:sz w:val="20"/>
          <w:szCs w:val="20"/>
        </w:rPr>
        <w:t>Relugolix</w:t>
      </w:r>
      <w:proofErr w:type="spellEnd"/>
      <w:r w:rsidRPr="001F15C2">
        <w:rPr>
          <w:rFonts w:cs="Arial"/>
          <w:sz w:val="20"/>
          <w:szCs w:val="20"/>
        </w:rPr>
        <w:t xml:space="preserve"> are fewer and less severe. Rather there is discussion of the side effects of various treatments, including GnRH agonists, and a detailed explanation of why the committee concluded </w:t>
      </w:r>
      <w:proofErr w:type="spellStart"/>
      <w:r w:rsidRPr="001F15C2">
        <w:rPr>
          <w:rFonts w:cs="Arial"/>
          <w:sz w:val="20"/>
          <w:szCs w:val="20"/>
        </w:rPr>
        <w:t>Relugol</w:t>
      </w:r>
      <w:r>
        <w:rPr>
          <w:rFonts w:cs="Arial"/>
          <w:sz w:val="20"/>
          <w:szCs w:val="20"/>
        </w:rPr>
        <w:t>i</w:t>
      </w:r>
      <w:r w:rsidRPr="001F15C2">
        <w:rPr>
          <w:rFonts w:cs="Arial"/>
          <w:sz w:val="20"/>
          <w:szCs w:val="20"/>
        </w:rPr>
        <w:t>x</w:t>
      </w:r>
      <w:proofErr w:type="spellEnd"/>
      <w:r w:rsidRPr="001F15C2">
        <w:rPr>
          <w:rFonts w:cs="Arial"/>
          <w:sz w:val="20"/>
          <w:szCs w:val="20"/>
        </w:rPr>
        <w:t xml:space="preserve"> is generally wel</w:t>
      </w:r>
      <w:r>
        <w:rPr>
          <w:rFonts w:cs="Arial"/>
          <w:sz w:val="20"/>
          <w:szCs w:val="20"/>
        </w:rPr>
        <w:t xml:space="preserve">l tolerated at paragraph 3.9. </w:t>
      </w:r>
    </w:p>
    <w:p w14:paraId="546332E7"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In the absence of further details, I can see no basis for an argument that the recommendations in the FAD cannot reasonably be justified from the evidence presented to the committee</w:t>
      </w:r>
      <w:r w:rsidRPr="001F15C2">
        <w:rPr>
          <w:rFonts w:cs="Arial"/>
          <w:sz w:val="20"/>
          <w:szCs w:val="20"/>
          <w:lang w:eastAsia="en-US"/>
        </w:rPr>
        <w:t xml:space="preserve">.  </w:t>
      </w:r>
      <w:r w:rsidRPr="001F15C2">
        <w:rPr>
          <w:rFonts w:cs="Arial"/>
          <w:sz w:val="20"/>
          <w:szCs w:val="20"/>
        </w:rPr>
        <w:t xml:space="preserve">I am presently not minded </w:t>
      </w:r>
      <w:proofErr w:type="gramStart"/>
      <w:r w:rsidRPr="001F15C2">
        <w:rPr>
          <w:rFonts w:cs="Arial"/>
          <w:sz w:val="20"/>
          <w:szCs w:val="20"/>
        </w:rPr>
        <w:t>to refer</w:t>
      </w:r>
      <w:proofErr w:type="gramEnd"/>
      <w:r w:rsidRPr="001F15C2">
        <w:rPr>
          <w:rFonts w:cs="Arial"/>
          <w:sz w:val="20"/>
          <w:szCs w:val="20"/>
        </w:rPr>
        <w:t xml:space="preserve"> this point to an appeal panel.</w:t>
      </w:r>
      <w:r w:rsidRPr="001F15C2">
        <w:rPr>
          <w:rFonts w:cs="Arial"/>
          <w:sz w:val="20"/>
          <w:szCs w:val="20"/>
          <w:lang w:eastAsia="en-US"/>
        </w:rPr>
        <w:t xml:space="preserve"> </w:t>
      </w:r>
    </w:p>
    <w:p w14:paraId="7CA4BA08" w14:textId="77777777" w:rsidR="00C74E03" w:rsidRPr="001F15C2" w:rsidRDefault="00C74E03" w:rsidP="00C74E03">
      <w:pPr>
        <w:pStyle w:val="Paragraph"/>
        <w:numPr>
          <w:ilvl w:val="0"/>
          <w:numId w:val="0"/>
        </w:numPr>
        <w:spacing w:before="120"/>
        <w:jc w:val="both"/>
        <w:rPr>
          <w:rFonts w:cs="Arial"/>
          <w:b/>
          <w:i/>
          <w:sz w:val="20"/>
          <w:szCs w:val="20"/>
        </w:rPr>
      </w:pPr>
      <w:r w:rsidRPr="001F15C2">
        <w:rPr>
          <w:rFonts w:cs="Arial"/>
          <w:b/>
          <w:i/>
          <w:sz w:val="20"/>
          <w:szCs w:val="20"/>
        </w:rPr>
        <w:t xml:space="preserve">2.1(e) </w:t>
      </w:r>
      <w:r>
        <w:rPr>
          <w:rFonts w:cs="Arial"/>
          <w:b/>
          <w:sz w:val="20"/>
          <w:szCs w:val="20"/>
        </w:rPr>
        <w:t>The recommendation is unreasonable because</w:t>
      </w:r>
      <w:r w:rsidRPr="001F15C2">
        <w:rPr>
          <w:rFonts w:cs="Arial"/>
          <w:b/>
          <w:i/>
          <w:sz w:val="20"/>
          <w:szCs w:val="20"/>
        </w:rPr>
        <w:t xml:space="preserve"> “GNRH agonists should not be administered to women immediately before UAE/UFE, as the reduced blood supply to the fibroids compromises the outcome.”</w:t>
      </w:r>
    </w:p>
    <w:p w14:paraId="5681B73F" w14:textId="4BAD44D4" w:rsidR="00C74E03" w:rsidRPr="001F15C2" w:rsidRDefault="00C74E03" w:rsidP="00C74E03">
      <w:pPr>
        <w:pStyle w:val="Paragraph"/>
        <w:numPr>
          <w:ilvl w:val="0"/>
          <w:numId w:val="0"/>
        </w:numPr>
        <w:jc w:val="both"/>
        <w:rPr>
          <w:rFonts w:cs="Arial"/>
          <w:sz w:val="20"/>
          <w:szCs w:val="20"/>
        </w:rPr>
      </w:pPr>
      <w:r w:rsidRPr="001F15C2">
        <w:rPr>
          <w:rFonts w:cs="Arial"/>
          <w:sz w:val="20"/>
          <w:szCs w:val="20"/>
        </w:rPr>
        <w:t xml:space="preserve">I am unclear whether this is an appeal point but for the avoidance of doubt </w:t>
      </w:r>
      <w:proofErr w:type="spellStart"/>
      <w:r w:rsidRPr="001F15C2">
        <w:rPr>
          <w:rFonts w:cs="Arial"/>
          <w:sz w:val="20"/>
          <w:szCs w:val="20"/>
        </w:rPr>
        <w:t>Relugolix</w:t>
      </w:r>
      <w:proofErr w:type="spellEnd"/>
      <w:r w:rsidRPr="001F15C2">
        <w:rPr>
          <w:rFonts w:cs="Arial"/>
          <w:sz w:val="20"/>
          <w:szCs w:val="20"/>
        </w:rPr>
        <w:t xml:space="preserve"> is not a GnRH agonist. If you are referring to </w:t>
      </w:r>
      <w:proofErr w:type="spellStart"/>
      <w:r w:rsidRPr="001F15C2">
        <w:rPr>
          <w:rFonts w:cs="Arial"/>
          <w:sz w:val="20"/>
          <w:szCs w:val="20"/>
        </w:rPr>
        <w:t>Relugolix</w:t>
      </w:r>
      <w:proofErr w:type="spellEnd"/>
      <w:r w:rsidRPr="001F15C2">
        <w:rPr>
          <w:rFonts w:cs="Arial"/>
          <w:sz w:val="20"/>
          <w:szCs w:val="20"/>
        </w:rPr>
        <w:t xml:space="preserve"> then I note the above restriction is not included in the SmPC and clinical use and management in the treatment pathway would in any event be managed by clinicians.  From the information in your appeal letter I am not currently satisfied that this is a valid appeal point.</w:t>
      </w:r>
    </w:p>
    <w:p w14:paraId="495FCCEB" w14:textId="77777777" w:rsidR="00C74E03" w:rsidRPr="00DD042E" w:rsidRDefault="00C74E03" w:rsidP="00C74E03">
      <w:pPr>
        <w:autoSpaceDE w:val="0"/>
        <w:autoSpaceDN w:val="0"/>
        <w:adjustRightInd w:val="0"/>
        <w:spacing w:after="0" w:line="240" w:lineRule="auto"/>
        <w:jc w:val="both"/>
        <w:rPr>
          <w:rFonts w:ascii="Arial" w:hAnsi="Arial" w:cs="Arial"/>
          <w:b/>
          <w:bCs/>
          <w:sz w:val="20"/>
          <w:szCs w:val="20"/>
        </w:rPr>
      </w:pPr>
      <w:r w:rsidRPr="00DD042E">
        <w:rPr>
          <w:rFonts w:ascii="Arial" w:hAnsi="Arial" w:cs="Arial"/>
          <w:b/>
          <w:sz w:val="20"/>
          <w:szCs w:val="20"/>
        </w:rPr>
        <w:lastRenderedPageBreak/>
        <w:t xml:space="preserve">Appeal </w:t>
      </w:r>
      <w:proofErr w:type="gramStart"/>
      <w:r w:rsidRPr="00DD042E">
        <w:rPr>
          <w:rFonts w:ascii="Arial" w:hAnsi="Arial" w:cs="Arial"/>
          <w:b/>
          <w:sz w:val="20"/>
          <w:szCs w:val="20"/>
        </w:rPr>
        <w:t>point</w:t>
      </w:r>
      <w:proofErr w:type="gramEnd"/>
      <w:r w:rsidRPr="00DD042E">
        <w:rPr>
          <w:rFonts w:ascii="Arial" w:hAnsi="Arial" w:cs="Arial"/>
          <w:b/>
          <w:sz w:val="20"/>
          <w:szCs w:val="20"/>
        </w:rPr>
        <w:t xml:space="preserve"> </w:t>
      </w:r>
      <w:r w:rsidRPr="00DD042E">
        <w:rPr>
          <w:rFonts w:ascii="Arial" w:hAnsi="Arial" w:cs="Arial"/>
          <w:b/>
          <w:bCs/>
          <w:sz w:val="20"/>
          <w:szCs w:val="20"/>
        </w:rPr>
        <w:t xml:space="preserve">2.2: Safety </w:t>
      </w:r>
    </w:p>
    <w:p w14:paraId="7B4535D3" w14:textId="77777777" w:rsidR="00C74E03" w:rsidRPr="00DD042E" w:rsidRDefault="00C74E03" w:rsidP="00C74E03">
      <w:pPr>
        <w:autoSpaceDE w:val="0"/>
        <w:autoSpaceDN w:val="0"/>
        <w:adjustRightInd w:val="0"/>
        <w:spacing w:after="0" w:line="240" w:lineRule="auto"/>
        <w:jc w:val="both"/>
        <w:rPr>
          <w:rFonts w:ascii="Arial" w:hAnsi="Arial" w:cs="Arial"/>
          <w:b/>
          <w:bCs/>
          <w:sz w:val="20"/>
          <w:szCs w:val="20"/>
        </w:rPr>
      </w:pPr>
    </w:p>
    <w:p w14:paraId="292ED36B" w14:textId="77777777" w:rsidR="00C74E03" w:rsidRPr="00DD042E" w:rsidRDefault="00C74E03" w:rsidP="00C74E03">
      <w:pPr>
        <w:autoSpaceDE w:val="0"/>
        <w:autoSpaceDN w:val="0"/>
        <w:adjustRightInd w:val="0"/>
        <w:spacing w:after="0" w:line="240" w:lineRule="auto"/>
        <w:jc w:val="both"/>
        <w:rPr>
          <w:rFonts w:ascii="Arial" w:hAnsi="Arial" w:cs="Arial"/>
          <w:bCs/>
          <w:sz w:val="20"/>
          <w:szCs w:val="20"/>
        </w:rPr>
      </w:pPr>
      <w:proofErr w:type="gramStart"/>
      <w:r w:rsidRPr="00DD042E">
        <w:rPr>
          <w:rFonts w:ascii="Arial" w:hAnsi="Arial" w:cs="Arial"/>
          <w:bCs/>
          <w:sz w:val="20"/>
          <w:szCs w:val="20"/>
        </w:rPr>
        <w:t>With regard to</w:t>
      </w:r>
      <w:proofErr w:type="gramEnd"/>
      <w:r w:rsidRPr="00DD042E">
        <w:rPr>
          <w:rFonts w:ascii="Arial" w:hAnsi="Arial" w:cs="Arial"/>
          <w:bCs/>
          <w:sz w:val="20"/>
          <w:szCs w:val="20"/>
        </w:rPr>
        <w:t xml:space="preserve"> Safety, your appeal letter states:</w:t>
      </w:r>
    </w:p>
    <w:p w14:paraId="04717BC7" w14:textId="77777777" w:rsidR="00C74E03" w:rsidRPr="00DD042E" w:rsidRDefault="00C74E03" w:rsidP="00C74E03">
      <w:pPr>
        <w:autoSpaceDE w:val="0"/>
        <w:autoSpaceDN w:val="0"/>
        <w:adjustRightInd w:val="0"/>
        <w:spacing w:after="0" w:line="240" w:lineRule="auto"/>
        <w:jc w:val="both"/>
        <w:rPr>
          <w:rFonts w:ascii="Arial" w:hAnsi="Arial" w:cs="Arial"/>
          <w:b/>
          <w:bCs/>
          <w:sz w:val="20"/>
          <w:szCs w:val="20"/>
        </w:rPr>
      </w:pPr>
    </w:p>
    <w:p w14:paraId="10A634D9" w14:textId="77777777" w:rsidR="00C74E03" w:rsidRPr="00DD042E" w:rsidRDefault="00C74E03" w:rsidP="00C74E03">
      <w:pPr>
        <w:autoSpaceDE w:val="0"/>
        <w:autoSpaceDN w:val="0"/>
        <w:adjustRightInd w:val="0"/>
        <w:spacing w:after="0" w:line="240" w:lineRule="auto"/>
        <w:ind w:left="720"/>
        <w:jc w:val="both"/>
        <w:rPr>
          <w:rFonts w:ascii="Arial" w:hAnsi="Arial" w:cs="Arial"/>
          <w:i/>
          <w:sz w:val="20"/>
          <w:szCs w:val="20"/>
          <w:lang w:eastAsia="en-GB"/>
        </w:rPr>
      </w:pPr>
      <w:r w:rsidRPr="00DD042E">
        <w:rPr>
          <w:rFonts w:ascii="Arial" w:hAnsi="Arial" w:cs="Arial"/>
          <w:i/>
          <w:sz w:val="20"/>
          <w:szCs w:val="20"/>
        </w:rPr>
        <w:t xml:space="preserve"> </w:t>
      </w:r>
      <w:r w:rsidRPr="00DD042E">
        <w:rPr>
          <w:rFonts w:ascii="Arial" w:hAnsi="Arial" w:cs="Arial"/>
          <w:sz w:val="20"/>
          <w:szCs w:val="20"/>
        </w:rPr>
        <w:t>“</w:t>
      </w:r>
      <w:r w:rsidRPr="00DD042E">
        <w:rPr>
          <w:rFonts w:ascii="Arial" w:hAnsi="Arial" w:cs="Arial"/>
          <w:i/>
          <w:sz w:val="20"/>
          <w:szCs w:val="20"/>
        </w:rPr>
        <w:t>Safety</w:t>
      </w:r>
      <w:r w:rsidRPr="00DD042E">
        <w:rPr>
          <w:rFonts w:ascii="Arial" w:hAnsi="Arial" w:cs="Arial"/>
          <w:sz w:val="20"/>
          <w:szCs w:val="20"/>
        </w:rPr>
        <w:t xml:space="preserve"> – “</w:t>
      </w:r>
      <w:r w:rsidRPr="00DD042E">
        <w:rPr>
          <w:rFonts w:ascii="Arial" w:hAnsi="Arial" w:cs="Arial"/>
          <w:iCs/>
          <w:sz w:val="20"/>
          <w:szCs w:val="20"/>
        </w:rPr>
        <w:t>can be used long term, which could mean improved and sustained symptom relief”</w:t>
      </w:r>
      <w:r w:rsidRPr="00DD042E">
        <w:rPr>
          <w:rFonts w:ascii="Arial" w:hAnsi="Arial" w:cs="Arial"/>
          <w:i/>
          <w:iCs/>
          <w:sz w:val="20"/>
          <w:szCs w:val="20"/>
        </w:rPr>
        <w:t xml:space="preserve"> T</w:t>
      </w:r>
      <w:r w:rsidRPr="00DD042E">
        <w:rPr>
          <w:rFonts w:ascii="Arial" w:hAnsi="Arial" w:cs="Arial"/>
          <w:i/>
          <w:sz w:val="20"/>
          <w:szCs w:val="20"/>
          <w:lang w:eastAsia="en-GB"/>
        </w:rPr>
        <w:t xml:space="preserve">he only clinical evidence on </w:t>
      </w:r>
      <w:proofErr w:type="spellStart"/>
      <w:r w:rsidRPr="00DD042E">
        <w:rPr>
          <w:rFonts w:ascii="Arial" w:hAnsi="Arial" w:cs="Arial"/>
          <w:i/>
          <w:sz w:val="20"/>
          <w:szCs w:val="20"/>
          <w:lang w:eastAsia="en-GB"/>
        </w:rPr>
        <w:t>Relugolix</w:t>
      </w:r>
      <w:proofErr w:type="spellEnd"/>
      <w:r w:rsidRPr="00DD042E">
        <w:rPr>
          <w:rFonts w:ascii="Arial" w:hAnsi="Arial" w:cs="Arial"/>
          <w:i/>
          <w:sz w:val="20"/>
          <w:szCs w:val="20"/>
          <w:lang w:eastAsia="en-GB"/>
        </w:rPr>
        <w:t xml:space="preserve"> submitted had a treatment duration of 1 year. The safety beyond 12 months has not been established. Other GNRH agonists can normally only be given for a maximum duration of 6 months. </w:t>
      </w:r>
    </w:p>
    <w:p w14:paraId="53461B1C" w14:textId="77777777" w:rsidR="00C74E03" w:rsidRPr="00DD042E" w:rsidRDefault="00C74E03" w:rsidP="00C74E03">
      <w:pPr>
        <w:autoSpaceDE w:val="0"/>
        <w:autoSpaceDN w:val="0"/>
        <w:adjustRightInd w:val="0"/>
        <w:spacing w:after="0" w:line="240" w:lineRule="auto"/>
        <w:ind w:left="720"/>
        <w:jc w:val="both"/>
        <w:rPr>
          <w:rFonts w:ascii="Arial" w:hAnsi="Arial" w:cs="Arial"/>
          <w:i/>
          <w:iCs/>
          <w:sz w:val="20"/>
          <w:szCs w:val="20"/>
          <w:lang w:eastAsia="en-GB"/>
        </w:rPr>
      </w:pPr>
    </w:p>
    <w:p w14:paraId="438AD671" w14:textId="77777777" w:rsidR="00C74E03" w:rsidRPr="00DD042E" w:rsidRDefault="00C74E03" w:rsidP="00C74E03">
      <w:pPr>
        <w:autoSpaceDE w:val="0"/>
        <w:autoSpaceDN w:val="0"/>
        <w:adjustRightInd w:val="0"/>
        <w:spacing w:after="0" w:line="240" w:lineRule="auto"/>
        <w:ind w:left="720"/>
        <w:jc w:val="both"/>
        <w:rPr>
          <w:rFonts w:ascii="Arial" w:hAnsi="Arial" w:cs="Arial"/>
          <w:i/>
          <w:sz w:val="20"/>
          <w:szCs w:val="20"/>
          <w:lang w:eastAsia="en-GB"/>
        </w:rPr>
      </w:pPr>
      <w:r w:rsidRPr="00DD042E">
        <w:rPr>
          <w:rFonts w:ascii="Arial" w:hAnsi="Arial" w:cs="Arial"/>
          <w:iCs/>
          <w:sz w:val="20"/>
          <w:szCs w:val="20"/>
          <w:lang w:eastAsia="en-GB"/>
        </w:rPr>
        <w:t>“</w:t>
      </w:r>
      <w:proofErr w:type="gramStart"/>
      <w:r w:rsidRPr="00DD042E">
        <w:rPr>
          <w:rFonts w:ascii="Arial" w:hAnsi="Arial" w:cs="Arial"/>
          <w:iCs/>
          <w:sz w:val="20"/>
          <w:szCs w:val="20"/>
          <w:lang w:eastAsia="en-GB"/>
        </w:rPr>
        <w:t>preserves</w:t>
      </w:r>
      <w:proofErr w:type="gramEnd"/>
      <w:r w:rsidRPr="00DD042E">
        <w:rPr>
          <w:rFonts w:ascii="Arial" w:hAnsi="Arial" w:cs="Arial"/>
          <w:iCs/>
          <w:sz w:val="20"/>
          <w:szCs w:val="20"/>
          <w:lang w:eastAsia="en-GB"/>
        </w:rPr>
        <w:t xml:space="preserve"> the uterus and fertility” </w:t>
      </w:r>
      <w:r w:rsidRPr="00DD042E">
        <w:rPr>
          <w:rFonts w:ascii="Arial" w:hAnsi="Arial" w:cs="Arial"/>
          <w:i/>
          <w:sz w:val="20"/>
          <w:szCs w:val="20"/>
          <w:lang w:eastAsia="en-GB"/>
        </w:rPr>
        <w:t xml:space="preserve">– There was no evidence submitted on the effect of </w:t>
      </w:r>
      <w:proofErr w:type="spellStart"/>
      <w:r w:rsidRPr="00DD042E">
        <w:rPr>
          <w:rFonts w:ascii="Arial" w:hAnsi="Arial" w:cs="Arial"/>
          <w:i/>
          <w:sz w:val="20"/>
          <w:szCs w:val="20"/>
          <w:lang w:eastAsia="en-GB"/>
        </w:rPr>
        <w:t>Relugolix</w:t>
      </w:r>
      <w:proofErr w:type="spellEnd"/>
      <w:r w:rsidRPr="00DD042E">
        <w:rPr>
          <w:rFonts w:ascii="Arial" w:hAnsi="Arial" w:cs="Arial"/>
          <w:i/>
          <w:sz w:val="20"/>
          <w:szCs w:val="20"/>
          <w:lang w:eastAsia="en-GB"/>
        </w:rPr>
        <w:t xml:space="preserve"> on fertility. It is unknown. There was also no mention that Afro-Caribbean women and other women with darker skins suffer from fibroids much younger than others and will require treatment at an early age, sometimes in their 20s and 30s. The effect of </w:t>
      </w:r>
      <w:proofErr w:type="spellStart"/>
      <w:r w:rsidRPr="00DD042E">
        <w:rPr>
          <w:rFonts w:ascii="Arial" w:hAnsi="Arial" w:cs="Arial"/>
          <w:i/>
          <w:sz w:val="20"/>
          <w:szCs w:val="20"/>
          <w:lang w:eastAsia="en-GB"/>
        </w:rPr>
        <w:t>Relugolix</w:t>
      </w:r>
      <w:proofErr w:type="spellEnd"/>
      <w:r w:rsidRPr="00DD042E">
        <w:rPr>
          <w:rFonts w:ascii="Arial" w:hAnsi="Arial" w:cs="Arial"/>
          <w:i/>
          <w:sz w:val="20"/>
          <w:szCs w:val="20"/>
          <w:lang w:eastAsia="en-GB"/>
        </w:rPr>
        <w:t xml:space="preserve"> on fertility is even more important to them than older women. </w:t>
      </w:r>
    </w:p>
    <w:p w14:paraId="40517BA7" w14:textId="77777777" w:rsidR="00C74E03" w:rsidRPr="00DD042E" w:rsidRDefault="00C74E03" w:rsidP="00C74E03">
      <w:pPr>
        <w:autoSpaceDE w:val="0"/>
        <w:autoSpaceDN w:val="0"/>
        <w:adjustRightInd w:val="0"/>
        <w:spacing w:after="0" w:line="240" w:lineRule="auto"/>
        <w:ind w:left="720"/>
        <w:jc w:val="both"/>
        <w:rPr>
          <w:rFonts w:ascii="Arial" w:hAnsi="Arial" w:cs="Arial"/>
          <w:i/>
          <w:sz w:val="20"/>
          <w:szCs w:val="20"/>
          <w:lang w:eastAsia="en-GB"/>
        </w:rPr>
      </w:pPr>
    </w:p>
    <w:p w14:paraId="11017DE7" w14:textId="77777777" w:rsidR="00C74E03" w:rsidRPr="00DD042E" w:rsidRDefault="00C74E03" w:rsidP="00C74E03">
      <w:pPr>
        <w:autoSpaceDE w:val="0"/>
        <w:autoSpaceDN w:val="0"/>
        <w:adjustRightInd w:val="0"/>
        <w:spacing w:after="0" w:line="240" w:lineRule="auto"/>
        <w:ind w:left="720"/>
        <w:jc w:val="both"/>
        <w:rPr>
          <w:rFonts w:ascii="Arial" w:hAnsi="Arial" w:cs="Arial"/>
          <w:i/>
          <w:sz w:val="20"/>
          <w:szCs w:val="20"/>
          <w:lang w:eastAsia="en-GB"/>
        </w:rPr>
      </w:pPr>
      <w:r w:rsidRPr="00DD042E">
        <w:rPr>
          <w:rFonts w:ascii="Arial" w:hAnsi="Arial" w:cs="Arial"/>
          <w:i/>
          <w:sz w:val="20"/>
          <w:szCs w:val="20"/>
          <w:lang w:eastAsia="en-GB"/>
        </w:rPr>
        <w:t xml:space="preserve">3.2. </w:t>
      </w:r>
      <w:r w:rsidRPr="00DD042E">
        <w:rPr>
          <w:rFonts w:ascii="Arial" w:hAnsi="Arial" w:cs="Arial"/>
          <w:i/>
          <w:iCs/>
          <w:sz w:val="20"/>
          <w:szCs w:val="20"/>
          <w:lang w:eastAsia="en-GB"/>
        </w:rPr>
        <w:t>“</w:t>
      </w:r>
      <w:r w:rsidRPr="00DD042E">
        <w:rPr>
          <w:rFonts w:ascii="Arial" w:hAnsi="Arial" w:cs="Arial"/>
          <w:iCs/>
          <w:sz w:val="20"/>
          <w:szCs w:val="20"/>
          <w:lang w:eastAsia="en-GB"/>
        </w:rPr>
        <w:t>Treatment pathway and comparator</w:t>
      </w:r>
      <w:r w:rsidRPr="00DD042E">
        <w:rPr>
          <w:rFonts w:ascii="Arial" w:hAnsi="Arial" w:cs="Arial"/>
          <w:i/>
          <w:sz w:val="20"/>
          <w:szCs w:val="20"/>
          <w:lang w:eastAsia="en-GB"/>
        </w:rPr>
        <w:t xml:space="preserve">” – The information summary is incorrect. Women seek treatment from the symptoms of </w:t>
      </w:r>
      <w:proofErr w:type="gramStart"/>
      <w:r w:rsidRPr="00DD042E">
        <w:rPr>
          <w:rFonts w:ascii="Arial" w:hAnsi="Arial" w:cs="Arial"/>
          <w:i/>
          <w:sz w:val="20"/>
          <w:szCs w:val="20"/>
          <w:lang w:eastAsia="en-GB"/>
        </w:rPr>
        <w:t>fibroids</w:t>
      </w:r>
      <w:proofErr w:type="gramEnd"/>
      <w:r w:rsidRPr="00DD042E">
        <w:rPr>
          <w:rFonts w:ascii="Arial" w:hAnsi="Arial" w:cs="Arial"/>
          <w:i/>
          <w:sz w:val="20"/>
          <w:szCs w:val="20"/>
          <w:lang w:eastAsia="en-GB"/>
        </w:rPr>
        <w:t xml:space="preserve"> and they may also be a cause of infertility. The commonest symptom is heavy menstrual bleeding, but there are many other including severe pain. Anaemia can be the outcome of poor or inadequate management of heavy menstrual bleeding symptoms. </w:t>
      </w:r>
    </w:p>
    <w:p w14:paraId="0147BE4B" w14:textId="77777777" w:rsidR="00C74E03" w:rsidRPr="00DD042E" w:rsidRDefault="00C74E03" w:rsidP="00C74E03">
      <w:pPr>
        <w:autoSpaceDE w:val="0"/>
        <w:autoSpaceDN w:val="0"/>
        <w:adjustRightInd w:val="0"/>
        <w:spacing w:after="0" w:line="240" w:lineRule="auto"/>
        <w:ind w:left="720"/>
        <w:jc w:val="both"/>
        <w:rPr>
          <w:rFonts w:ascii="Arial" w:hAnsi="Arial" w:cs="Arial"/>
          <w:i/>
          <w:sz w:val="20"/>
          <w:szCs w:val="20"/>
          <w:lang w:eastAsia="en-GB"/>
        </w:rPr>
      </w:pPr>
    </w:p>
    <w:p w14:paraId="385BFFA4" w14:textId="77777777" w:rsidR="00C74E03" w:rsidRPr="00DD042E" w:rsidRDefault="00C74E03" w:rsidP="00C74E03">
      <w:pPr>
        <w:autoSpaceDE w:val="0"/>
        <w:autoSpaceDN w:val="0"/>
        <w:adjustRightInd w:val="0"/>
        <w:spacing w:after="0" w:line="240" w:lineRule="auto"/>
        <w:ind w:left="720"/>
        <w:jc w:val="both"/>
        <w:rPr>
          <w:rFonts w:ascii="Arial" w:hAnsi="Arial" w:cs="Arial"/>
          <w:i/>
          <w:sz w:val="20"/>
          <w:szCs w:val="20"/>
          <w:lang w:eastAsia="en-GB"/>
        </w:rPr>
      </w:pPr>
      <w:r w:rsidRPr="00DD042E">
        <w:rPr>
          <w:rFonts w:ascii="Arial" w:hAnsi="Arial" w:cs="Arial"/>
          <w:i/>
          <w:sz w:val="20"/>
          <w:szCs w:val="20"/>
          <w:lang w:eastAsia="en-GB"/>
        </w:rPr>
        <w:t xml:space="preserve">There are so many factual inaccuracies in this section that they are not all commented upon here, but this section needs rewriting. It appears that RCOG was not a stakeholder and did not have a gynaecologist on the committee reviewing the evidence. If this is the </w:t>
      </w:r>
      <w:proofErr w:type="gramStart"/>
      <w:r w:rsidRPr="00DD042E">
        <w:rPr>
          <w:rFonts w:ascii="Arial" w:hAnsi="Arial" w:cs="Arial"/>
          <w:i/>
          <w:sz w:val="20"/>
          <w:szCs w:val="20"/>
          <w:lang w:eastAsia="en-GB"/>
        </w:rPr>
        <w:t>case</w:t>
      </w:r>
      <w:proofErr w:type="gramEnd"/>
      <w:r w:rsidRPr="00DD042E">
        <w:rPr>
          <w:rFonts w:ascii="Arial" w:hAnsi="Arial" w:cs="Arial"/>
          <w:i/>
          <w:sz w:val="20"/>
          <w:szCs w:val="20"/>
          <w:lang w:eastAsia="en-GB"/>
        </w:rPr>
        <w:t xml:space="preserve"> it is a serious flaw and is possibly why the information is incorrect. RCGP also does not appear to be a stakeholder. </w:t>
      </w:r>
    </w:p>
    <w:p w14:paraId="3C6AF97E" w14:textId="77777777" w:rsidR="00C74E03" w:rsidRPr="00DD042E" w:rsidRDefault="00C74E03" w:rsidP="00C74E03">
      <w:pPr>
        <w:pStyle w:val="Paragraph"/>
        <w:numPr>
          <w:ilvl w:val="0"/>
          <w:numId w:val="0"/>
        </w:numPr>
        <w:ind w:left="720"/>
        <w:jc w:val="both"/>
        <w:rPr>
          <w:rFonts w:cs="Arial"/>
          <w:i/>
          <w:sz w:val="20"/>
          <w:szCs w:val="20"/>
        </w:rPr>
      </w:pPr>
      <w:r w:rsidRPr="00DD042E">
        <w:rPr>
          <w:rFonts w:cs="Arial"/>
          <w:i/>
          <w:iCs/>
          <w:sz w:val="20"/>
          <w:szCs w:val="20"/>
        </w:rPr>
        <w:t xml:space="preserve">“3.3. </w:t>
      </w:r>
      <w:r w:rsidRPr="00DD042E">
        <w:rPr>
          <w:rFonts w:cs="Arial"/>
          <w:iCs/>
          <w:sz w:val="20"/>
          <w:szCs w:val="20"/>
        </w:rPr>
        <w:t xml:space="preserve">GnRH agonists are the most relevant comparators for </w:t>
      </w:r>
      <w:proofErr w:type="spellStart"/>
      <w:r w:rsidRPr="00DD042E">
        <w:rPr>
          <w:rFonts w:cs="Arial"/>
          <w:iCs/>
          <w:sz w:val="20"/>
          <w:szCs w:val="20"/>
        </w:rPr>
        <w:t>relugolix</w:t>
      </w:r>
      <w:proofErr w:type="spellEnd"/>
      <w:r w:rsidRPr="00DD042E">
        <w:rPr>
          <w:rFonts w:cs="Arial"/>
          <w:iCs/>
          <w:sz w:val="20"/>
          <w:szCs w:val="20"/>
        </w:rPr>
        <w:t>–</w:t>
      </w:r>
      <w:proofErr w:type="spellStart"/>
      <w:r w:rsidRPr="00DD042E">
        <w:rPr>
          <w:rFonts w:cs="Arial"/>
          <w:iCs/>
          <w:sz w:val="20"/>
          <w:szCs w:val="20"/>
        </w:rPr>
        <w:t>estradiol</w:t>
      </w:r>
      <w:proofErr w:type="spellEnd"/>
      <w:r w:rsidRPr="00DD042E">
        <w:rPr>
          <w:rFonts w:cs="Arial"/>
          <w:iCs/>
          <w:sz w:val="20"/>
          <w:szCs w:val="20"/>
        </w:rPr>
        <w:t>–norethisterone acetate” ……… “The ERG agreed that it was justifiable to exclude GnRH antagonists as comparators.”</w:t>
      </w:r>
      <w:r w:rsidRPr="00DD042E">
        <w:rPr>
          <w:rFonts w:cs="Arial"/>
          <w:i/>
          <w:iCs/>
          <w:sz w:val="20"/>
          <w:szCs w:val="20"/>
        </w:rPr>
        <w:t xml:space="preserve"> – </w:t>
      </w:r>
      <w:r w:rsidRPr="00DD042E">
        <w:rPr>
          <w:rFonts w:cs="Arial"/>
          <w:i/>
          <w:sz w:val="20"/>
          <w:szCs w:val="20"/>
        </w:rPr>
        <w:t>It is not clear why the ERG agreed and how it can be justified.”</w:t>
      </w:r>
    </w:p>
    <w:p w14:paraId="6EF21D94"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lang w:eastAsia="en-US"/>
        </w:rPr>
        <w:t>I refer to this appeal point as point 2.2. I address your points as appeal points 2.2(a)-2.2(d) below.</w:t>
      </w:r>
    </w:p>
    <w:p w14:paraId="5965A98E" w14:textId="77777777" w:rsidR="00C74E03" w:rsidRPr="001F15C2" w:rsidRDefault="00C74E03" w:rsidP="00C74E03">
      <w:pPr>
        <w:pStyle w:val="Paragraph"/>
        <w:numPr>
          <w:ilvl w:val="0"/>
          <w:numId w:val="0"/>
        </w:numPr>
        <w:spacing w:before="120"/>
        <w:jc w:val="both"/>
        <w:rPr>
          <w:rFonts w:cs="Arial"/>
          <w:b/>
          <w:i/>
          <w:sz w:val="20"/>
          <w:szCs w:val="20"/>
          <w:lang w:eastAsia="en-US"/>
        </w:rPr>
      </w:pPr>
      <w:r w:rsidRPr="001F15C2">
        <w:rPr>
          <w:rFonts w:cs="Arial"/>
          <w:b/>
          <w:i/>
          <w:sz w:val="20"/>
          <w:szCs w:val="20"/>
          <w:lang w:eastAsia="en-US"/>
        </w:rPr>
        <w:t xml:space="preserve">2.2(a): </w:t>
      </w:r>
      <w:r>
        <w:rPr>
          <w:rFonts w:cs="Arial"/>
          <w:b/>
          <w:sz w:val="20"/>
          <w:szCs w:val="20"/>
          <w:lang w:eastAsia="en-US"/>
        </w:rPr>
        <w:t xml:space="preserve">The recommendation is unreasonable because the FAD states that </w:t>
      </w:r>
      <w:proofErr w:type="spellStart"/>
      <w:r>
        <w:rPr>
          <w:rFonts w:cs="Arial"/>
          <w:b/>
          <w:sz w:val="20"/>
          <w:szCs w:val="20"/>
          <w:lang w:eastAsia="en-US"/>
        </w:rPr>
        <w:t>Relugolix</w:t>
      </w:r>
      <w:proofErr w:type="spellEnd"/>
      <w:r>
        <w:rPr>
          <w:rFonts w:cs="Arial"/>
          <w:b/>
          <w:sz w:val="20"/>
          <w:szCs w:val="20"/>
          <w:lang w:eastAsia="en-US"/>
        </w:rPr>
        <w:t xml:space="preserve"> </w:t>
      </w:r>
      <w:r w:rsidRPr="001F15C2">
        <w:rPr>
          <w:rFonts w:cs="Arial"/>
          <w:b/>
          <w:i/>
          <w:sz w:val="20"/>
          <w:szCs w:val="20"/>
        </w:rPr>
        <w:t>“</w:t>
      </w:r>
      <w:r w:rsidRPr="001F15C2">
        <w:rPr>
          <w:rFonts w:cs="Arial"/>
          <w:b/>
          <w:i/>
          <w:iCs/>
          <w:sz w:val="20"/>
          <w:szCs w:val="20"/>
        </w:rPr>
        <w:t>can be used long term, which could mean improved and sustained symptom relief”</w:t>
      </w:r>
    </w:p>
    <w:p w14:paraId="2C2690EB" w14:textId="77777777" w:rsidR="00C74E03" w:rsidRPr="001F15C2" w:rsidRDefault="00C74E03" w:rsidP="00C74E03">
      <w:pPr>
        <w:pStyle w:val="Paragraph"/>
        <w:numPr>
          <w:ilvl w:val="0"/>
          <w:numId w:val="0"/>
        </w:numPr>
        <w:spacing w:before="120"/>
        <w:jc w:val="both"/>
        <w:rPr>
          <w:rFonts w:cs="Arial"/>
          <w:sz w:val="20"/>
          <w:szCs w:val="20"/>
          <w:lang w:eastAsia="en-US"/>
        </w:rPr>
      </w:pPr>
      <w:r w:rsidRPr="001F15C2">
        <w:rPr>
          <w:rFonts w:cs="Arial"/>
          <w:sz w:val="20"/>
          <w:szCs w:val="20"/>
          <w:lang w:eastAsia="en-US"/>
        </w:rPr>
        <w:t xml:space="preserve">I am not currently minded </w:t>
      </w:r>
      <w:proofErr w:type="gramStart"/>
      <w:r w:rsidRPr="001F15C2">
        <w:rPr>
          <w:rFonts w:cs="Arial"/>
          <w:sz w:val="20"/>
          <w:szCs w:val="20"/>
          <w:lang w:eastAsia="en-US"/>
        </w:rPr>
        <w:t>to refer</w:t>
      </w:r>
      <w:proofErr w:type="gramEnd"/>
      <w:r w:rsidRPr="001F15C2">
        <w:rPr>
          <w:rFonts w:cs="Arial"/>
          <w:sz w:val="20"/>
          <w:szCs w:val="20"/>
          <w:lang w:eastAsia="en-US"/>
        </w:rPr>
        <w:t xml:space="preserve"> this as a valid appeal point for the reasons in my response to appeal point 2.1(b) above.  </w:t>
      </w:r>
    </w:p>
    <w:p w14:paraId="5E92432A" w14:textId="77777777" w:rsidR="00C74E03" w:rsidRPr="001F15C2" w:rsidRDefault="00C74E03" w:rsidP="00C74E03">
      <w:pPr>
        <w:pStyle w:val="Paragraph"/>
        <w:numPr>
          <w:ilvl w:val="0"/>
          <w:numId w:val="0"/>
        </w:numPr>
        <w:spacing w:before="120"/>
        <w:jc w:val="both"/>
        <w:rPr>
          <w:rFonts w:cs="Arial"/>
          <w:b/>
          <w:i/>
          <w:sz w:val="20"/>
          <w:szCs w:val="20"/>
          <w:highlight w:val="green"/>
          <w:lang w:eastAsia="en-US"/>
        </w:rPr>
      </w:pPr>
      <w:r w:rsidRPr="001F15C2">
        <w:rPr>
          <w:rFonts w:cs="Arial"/>
          <w:b/>
          <w:i/>
          <w:sz w:val="20"/>
          <w:szCs w:val="20"/>
          <w:lang w:eastAsia="en-US"/>
        </w:rPr>
        <w:t xml:space="preserve">2.2(b): </w:t>
      </w:r>
      <w:r>
        <w:rPr>
          <w:rFonts w:cs="Arial"/>
          <w:b/>
          <w:sz w:val="20"/>
          <w:szCs w:val="20"/>
          <w:lang w:eastAsia="en-US"/>
        </w:rPr>
        <w:t xml:space="preserve">The recommendation is unreasonable because the FAD states that </w:t>
      </w:r>
      <w:proofErr w:type="spellStart"/>
      <w:r>
        <w:rPr>
          <w:rFonts w:cs="Arial"/>
          <w:b/>
          <w:sz w:val="20"/>
          <w:szCs w:val="20"/>
          <w:lang w:eastAsia="en-US"/>
        </w:rPr>
        <w:t>Relugolix</w:t>
      </w:r>
      <w:proofErr w:type="spellEnd"/>
      <w:r>
        <w:rPr>
          <w:rFonts w:cs="Arial"/>
          <w:b/>
          <w:sz w:val="20"/>
          <w:szCs w:val="20"/>
          <w:lang w:eastAsia="en-US"/>
        </w:rPr>
        <w:t xml:space="preserve"> </w:t>
      </w:r>
      <w:r w:rsidRPr="001F15C2">
        <w:rPr>
          <w:rFonts w:cs="Arial"/>
          <w:b/>
          <w:i/>
          <w:iCs/>
          <w:sz w:val="20"/>
          <w:szCs w:val="20"/>
        </w:rPr>
        <w:t>“preserves the uterus and fertility”</w:t>
      </w:r>
    </w:p>
    <w:p w14:paraId="2C277A26"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lang w:eastAsia="en-US"/>
        </w:rPr>
        <w:t>I understand your appeal point to be that it was unreasonable for the committee to state that</w:t>
      </w:r>
      <w:r>
        <w:rPr>
          <w:rFonts w:cs="Arial"/>
          <w:sz w:val="20"/>
          <w:szCs w:val="20"/>
          <w:lang w:eastAsia="en-US"/>
        </w:rPr>
        <w:t xml:space="preserve"> a “likely additional benefit” of</w:t>
      </w:r>
      <w:r w:rsidRPr="001F15C2">
        <w:rPr>
          <w:rFonts w:cs="Arial"/>
          <w:sz w:val="20"/>
          <w:szCs w:val="20"/>
          <w:lang w:eastAsia="en-US"/>
        </w:rPr>
        <w:t xml:space="preserve"> </w:t>
      </w:r>
      <w:proofErr w:type="spellStart"/>
      <w:r w:rsidRPr="001F15C2">
        <w:rPr>
          <w:rFonts w:cs="Arial"/>
          <w:sz w:val="20"/>
          <w:szCs w:val="20"/>
          <w:lang w:eastAsia="en-US"/>
        </w:rPr>
        <w:t>Relugolix</w:t>
      </w:r>
      <w:proofErr w:type="spellEnd"/>
      <w:r>
        <w:rPr>
          <w:rFonts w:cs="Arial"/>
          <w:sz w:val="20"/>
          <w:szCs w:val="20"/>
          <w:lang w:eastAsia="en-US"/>
        </w:rPr>
        <w:t xml:space="preserve"> not captured in the economic model is that it</w:t>
      </w:r>
      <w:r w:rsidRPr="001F15C2">
        <w:rPr>
          <w:rFonts w:cs="Arial"/>
          <w:sz w:val="20"/>
          <w:szCs w:val="20"/>
          <w:lang w:eastAsia="en-US"/>
        </w:rPr>
        <w:t xml:space="preserve"> preserves the uterus and fertility</w:t>
      </w:r>
      <w:r>
        <w:rPr>
          <w:rFonts w:cs="Arial"/>
          <w:sz w:val="20"/>
          <w:szCs w:val="20"/>
          <w:lang w:eastAsia="en-US"/>
        </w:rPr>
        <w:t>, because</w:t>
      </w:r>
      <w:r w:rsidRPr="001F15C2">
        <w:rPr>
          <w:rFonts w:cs="Arial"/>
          <w:sz w:val="20"/>
          <w:szCs w:val="20"/>
          <w:lang w:eastAsia="en-US"/>
        </w:rPr>
        <w:t xml:space="preserve"> t</w:t>
      </w:r>
      <w:r w:rsidRPr="001F15C2">
        <w:rPr>
          <w:rFonts w:cs="Arial"/>
          <w:sz w:val="20"/>
          <w:szCs w:val="20"/>
        </w:rPr>
        <w:t xml:space="preserve">here was no </w:t>
      </w:r>
      <w:r>
        <w:rPr>
          <w:rFonts w:cs="Arial"/>
          <w:sz w:val="20"/>
          <w:szCs w:val="20"/>
        </w:rPr>
        <w:t xml:space="preserve">specific </w:t>
      </w:r>
      <w:r w:rsidRPr="001F15C2">
        <w:rPr>
          <w:rFonts w:cs="Arial"/>
          <w:sz w:val="20"/>
          <w:szCs w:val="20"/>
        </w:rPr>
        <w:t xml:space="preserve">evidence submitted on the effect of </w:t>
      </w:r>
      <w:proofErr w:type="spellStart"/>
      <w:r w:rsidRPr="001F15C2">
        <w:rPr>
          <w:rFonts w:cs="Arial"/>
          <w:sz w:val="20"/>
          <w:szCs w:val="20"/>
        </w:rPr>
        <w:t>Relugolix</w:t>
      </w:r>
      <w:proofErr w:type="spellEnd"/>
      <w:r w:rsidRPr="001F15C2">
        <w:rPr>
          <w:rFonts w:cs="Arial"/>
          <w:sz w:val="20"/>
          <w:szCs w:val="20"/>
        </w:rPr>
        <w:t xml:space="preserve"> on fertility. </w:t>
      </w:r>
    </w:p>
    <w:p w14:paraId="0185E01F" w14:textId="77777777" w:rsidR="00C74E03"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 do not regard this as a valid appeal point.  That is because in reading the FAD </w:t>
      </w:r>
      <w:r>
        <w:rPr>
          <w:rFonts w:cs="Arial"/>
          <w:sz w:val="20"/>
          <w:szCs w:val="20"/>
        </w:rPr>
        <w:t xml:space="preserve">and accompanying committee papers </w:t>
      </w:r>
      <w:proofErr w:type="gramStart"/>
      <w:r w:rsidRPr="001F15C2">
        <w:rPr>
          <w:rFonts w:cs="Arial"/>
          <w:sz w:val="20"/>
          <w:szCs w:val="20"/>
        </w:rPr>
        <w:t>it is clear that the</w:t>
      </w:r>
      <w:proofErr w:type="gramEnd"/>
      <w:r w:rsidRPr="001F15C2">
        <w:rPr>
          <w:rFonts w:cs="Arial"/>
          <w:sz w:val="20"/>
          <w:szCs w:val="20"/>
        </w:rPr>
        <w:t xml:space="preserve"> conversation around uterus and fertility preservation is framed by the negative </w:t>
      </w:r>
      <w:r>
        <w:rPr>
          <w:rFonts w:cs="Arial"/>
          <w:sz w:val="20"/>
          <w:szCs w:val="20"/>
        </w:rPr>
        <w:t xml:space="preserve">and irreversible </w:t>
      </w:r>
      <w:r w:rsidRPr="001F15C2">
        <w:rPr>
          <w:rFonts w:cs="Arial"/>
          <w:sz w:val="20"/>
          <w:szCs w:val="20"/>
        </w:rPr>
        <w:t>effect on the uterus and fertility of some surgical treatments such as hysterecto</w:t>
      </w:r>
      <w:r>
        <w:rPr>
          <w:rFonts w:cs="Arial"/>
          <w:sz w:val="20"/>
          <w:szCs w:val="20"/>
        </w:rPr>
        <w:t>my</w:t>
      </w:r>
      <w:r w:rsidRPr="001F15C2">
        <w:rPr>
          <w:rFonts w:cs="Arial"/>
          <w:sz w:val="20"/>
          <w:szCs w:val="20"/>
        </w:rPr>
        <w:t xml:space="preserve">. </w:t>
      </w:r>
      <w:r>
        <w:rPr>
          <w:rFonts w:cs="Arial"/>
          <w:sz w:val="20"/>
          <w:szCs w:val="20"/>
        </w:rPr>
        <w:t xml:space="preserve">(See </w:t>
      </w:r>
      <w:proofErr w:type="gramStart"/>
      <w:r>
        <w:rPr>
          <w:rFonts w:cs="Arial"/>
          <w:sz w:val="20"/>
          <w:szCs w:val="20"/>
        </w:rPr>
        <w:t>e.g.</w:t>
      </w:r>
      <w:proofErr w:type="gramEnd"/>
      <w:r>
        <w:rPr>
          <w:rFonts w:cs="Arial"/>
          <w:sz w:val="20"/>
          <w:szCs w:val="20"/>
        </w:rPr>
        <w:t xml:space="preserve"> page 34 of Company Submission- “</w:t>
      </w:r>
      <w:r w:rsidRPr="00683585">
        <w:rPr>
          <w:rFonts w:cs="Arial"/>
          <w:sz w:val="20"/>
          <w:szCs w:val="20"/>
        </w:rPr>
        <w:t>There are many reasons</w:t>
      </w:r>
      <w:r>
        <w:rPr>
          <w:rFonts w:cs="Arial"/>
          <w:sz w:val="20"/>
          <w:szCs w:val="20"/>
        </w:rPr>
        <w:t xml:space="preserve"> </w:t>
      </w:r>
      <w:r w:rsidRPr="00683585">
        <w:rPr>
          <w:rFonts w:cs="Arial"/>
          <w:sz w:val="20"/>
          <w:szCs w:val="20"/>
        </w:rPr>
        <w:t>why women may wish to decline surgery, including the desire to preserve fertility</w:t>
      </w:r>
      <w:r>
        <w:rPr>
          <w:rFonts w:cs="Arial"/>
          <w:sz w:val="20"/>
          <w:szCs w:val="20"/>
        </w:rPr>
        <w:t>...”</w:t>
      </w:r>
      <w:r w:rsidRPr="00683585">
        <w:rPr>
          <w:rFonts w:cs="Arial"/>
          <w:sz w:val="20"/>
          <w:szCs w:val="20"/>
        </w:rPr>
        <w:t>).</w:t>
      </w:r>
      <w:r>
        <w:rPr>
          <w:rFonts w:cs="Arial"/>
          <w:sz w:val="20"/>
          <w:szCs w:val="20"/>
        </w:rPr>
        <w:t xml:space="preserve"> </w:t>
      </w:r>
      <w:r w:rsidRPr="001F15C2">
        <w:rPr>
          <w:rFonts w:cs="Arial"/>
          <w:sz w:val="20"/>
          <w:szCs w:val="20"/>
        </w:rPr>
        <w:t xml:space="preserve">Comments around pharmacological treatments “preserving fertility” </w:t>
      </w:r>
      <w:r>
        <w:rPr>
          <w:rFonts w:cs="Arial"/>
          <w:sz w:val="20"/>
          <w:szCs w:val="20"/>
        </w:rPr>
        <w:t xml:space="preserve">were clearly intended and </w:t>
      </w:r>
      <w:r w:rsidRPr="001F15C2">
        <w:rPr>
          <w:rFonts w:cs="Arial"/>
          <w:sz w:val="20"/>
          <w:szCs w:val="20"/>
        </w:rPr>
        <w:t xml:space="preserve">should be taken in the context of fertility and surgical options as </w:t>
      </w:r>
      <w:r>
        <w:rPr>
          <w:rFonts w:cs="Arial"/>
          <w:sz w:val="20"/>
          <w:szCs w:val="20"/>
        </w:rPr>
        <w:t>understood</w:t>
      </w:r>
      <w:r w:rsidRPr="001F15C2">
        <w:rPr>
          <w:rFonts w:cs="Arial"/>
          <w:sz w:val="20"/>
          <w:szCs w:val="20"/>
        </w:rPr>
        <w:t xml:space="preserve"> in the medical community. </w:t>
      </w:r>
    </w:p>
    <w:p w14:paraId="07F3B059"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Considering the committee’s comments in their context within the FAD </w:t>
      </w:r>
      <w:proofErr w:type="gramStart"/>
      <w:r w:rsidRPr="001F15C2">
        <w:rPr>
          <w:rFonts w:cs="Arial"/>
          <w:sz w:val="20"/>
          <w:szCs w:val="20"/>
        </w:rPr>
        <w:t>as a whole I</w:t>
      </w:r>
      <w:proofErr w:type="gramEnd"/>
      <w:r w:rsidRPr="001F15C2">
        <w:rPr>
          <w:rFonts w:cs="Arial"/>
          <w:sz w:val="20"/>
          <w:szCs w:val="20"/>
        </w:rPr>
        <w:t xml:space="preserve"> can see no arguable point that the recommendation is unreasonable in the light of the evidence submitted to NICE. I am not</w:t>
      </w:r>
      <w:r w:rsidRPr="001F15C2">
        <w:rPr>
          <w:rFonts w:cs="Arial"/>
          <w:sz w:val="20"/>
          <w:szCs w:val="20"/>
          <w:lang w:eastAsia="en-US"/>
        </w:rPr>
        <w:t xml:space="preserve"> presently minded </w:t>
      </w:r>
      <w:proofErr w:type="gramStart"/>
      <w:r w:rsidRPr="001F15C2">
        <w:rPr>
          <w:rFonts w:cs="Arial"/>
          <w:sz w:val="20"/>
          <w:szCs w:val="20"/>
          <w:lang w:eastAsia="en-US"/>
        </w:rPr>
        <w:t>to refer</w:t>
      </w:r>
      <w:proofErr w:type="gramEnd"/>
      <w:r w:rsidRPr="001F15C2">
        <w:rPr>
          <w:rFonts w:cs="Arial"/>
          <w:sz w:val="20"/>
          <w:szCs w:val="20"/>
          <w:lang w:eastAsia="en-US"/>
        </w:rPr>
        <w:t xml:space="preserve"> this point to an appeal panel.  </w:t>
      </w:r>
    </w:p>
    <w:p w14:paraId="2AC10AD2" w14:textId="77777777" w:rsidR="00C74E03" w:rsidRPr="00C21448" w:rsidRDefault="00C74E03" w:rsidP="00C74E03">
      <w:pPr>
        <w:autoSpaceDE w:val="0"/>
        <w:autoSpaceDN w:val="0"/>
        <w:adjustRightInd w:val="0"/>
        <w:spacing w:after="0" w:line="240" w:lineRule="auto"/>
        <w:jc w:val="both"/>
        <w:rPr>
          <w:rFonts w:ascii="Arial" w:hAnsi="Arial" w:cs="Arial"/>
          <w:sz w:val="20"/>
          <w:szCs w:val="20"/>
          <w:lang w:eastAsia="en-GB"/>
        </w:rPr>
      </w:pPr>
      <w:r w:rsidRPr="00C21448">
        <w:rPr>
          <w:rFonts w:ascii="Arial" w:hAnsi="Arial" w:cs="Arial"/>
          <w:sz w:val="20"/>
          <w:szCs w:val="20"/>
          <w:lang w:eastAsia="en-GB"/>
        </w:rPr>
        <w:lastRenderedPageBreak/>
        <w:t>Given the above I consider your criticism that the FAD does not refer to the impact of treatments that negatively impact fertility on Afro-Caribbean women and other women with darker skins who may suffer from fibroids at a younger age,</w:t>
      </w:r>
      <w:r w:rsidRPr="00C21448">
        <w:rPr>
          <w:rFonts w:ascii="Arial" w:hAnsi="Arial" w:cs="Arial"/>
          <w:sz w:val="20"/>
          <w:szCs w:val="20"/>
        </w:rPr>
        <w:t xml:space="preserve"> falls away.</w:t>
      </w:r>
      <w:r w:rsidRPr="00C21448">
        <w:rPr>
          <w:rFonts w:ascii="Arial" w:hAnsi="Arial" w:cs="Arial"/>
          <w:sz w:val="20"/>
          <w:szCs w:val="20"/>
          <w:lang w:eastAsia="en-GB"/>
        </w:rPr>
        <w:t xml:space="preserve"> </w:t>
      </w:r>
    </w:p>
    <w:p w14:paraId="4AC8DA04" w14:textId="77777777" w:rsidR="00C74E03" w:rsidRPr="00C21448" w:rsidRDefault="00C74E03" w:rsidP="00C74E03">
      <w:pPr>
        <w:autoSpaceDE w:val="0"/>
        <w:autoSpaceDN w:val="0"/>
        <w:adjustRightInd w:val="0"/>
        <w:spacing w:after="0" w:line="240" w:lineRule="auto"/>
        <w:jc w:val="both"/>
        <w:rPr>
          <w:rFonts w:ascii="Arial" w:hAnsi="Arial" w:cs="Arial"/>
          <w:sz w:val="20"/>
          <w:szCs w:val="20"/>
          <w:lang w:eastAsia="en-GB"/>
        </w:rPr>
      </w:pPr>
    </w:p>
    <w:p w14:paraId="1660A4BC" w14:textId="77777777" w:rsidR="00C74E03" w:rsidRPr="001F15C2" w:rsidRDefault="00C74E03" w:rsidP="00C74E03">
      <w:pPr>
        <w:pStyle w:val="Paragraph"/>
        <w:numPr>
          <w:ilvl w:val="0"/>
          <w:numId w:val="0"/>
        </w:numPr>
        <w:spacing w:before="120"/>
        <w:jc w:val="both"/>
        <w:rPr>
          <w:rFonts w:cs="Arial"/>
          <w:b/>
          <w:i/>
          <w:iCs/>
          <w:sz w:val="20"/>
          <w:szCs w:val="20"/>
        </w:rPr>
      </w:pPr>
      <w:r w:rsidRPr="001F15C2">
        <w:rPr>
          <w:rFonts w:cs="Arial"/>
          <w:b/>
          <w:i/>
          <w:sz w:val="20"/>
          <w:szCs w:val="20"/>
          <w:lang w:eastAsia="en-US"/>
        </w:rPr>
        <w:t>2.2(c)</w:t>
      </w:r>
      <w:r>
        <w:rPr>
          <w:rFonts w:cs="Arial"/>
          <w:b/>
          <w:i/>
          <w:sz w:val="20"/>
          <w:szCs w:val="20"/>
          <w:lang w:eastAsia="en-US"/>
        </w:rPr>
        <w:t xml:space="preserve"> </w:t>
      </w:r>
      <w:r>
        <w:rPr>
          <w:rFonts w:cs="Arial"/>
          <w:b/>
          <w:sz w:val="20"/>
          <w:szCs w:val="20"/>
          <w:lang w:eastAsia="en-US"/>
        </w:rPr>
        <w:t xml:space="preserve">The recommendation is unreasonable because </w:t>
      </w:r>
      <w:r w:rsidRPr="001F6DCA">
        <w:rPr>
          <w:rFonts w:cs="Arial"/>
          <w:b/>
          <w:i/>
          <w:sz w:val="20"/>
          <w:szCs w:val="20"/>
          <w:lang w:eastAsia="en-US"/>
        </w:rPr>
        <w:t>“</w:t>
      </w:r>
      <w:r w:rsidRPr="001F6DCA">
        <w:rPr>
          <w:rFonts w:cs="Arial"/>
          <w:b/>
          <w:i/>
          <w:sz w:val="20"/>
          <w:szCs w:val="20"/>
        </w:rPr>
        <w:t>RCOG was not a stakeholder and did not have a gynaecologist on the committee reviewing the evidence… RCGP also does not appear to be a stakeholder …  the information summary is incorrect.”</w:t>
      </w:r>
      <w:r>
        <w:rPr>
          <w:rFonts w:cs="Arial"/>
          <w:b/>
          <w:sz w:val="20"/>
          <w:szCs w:val="20"/>
          <w:lang w:eastAsia="en-US"/>
        </w:rPr>
        <w:t xml:space="preserve"> </w:t>
      </w:r>
      <w:r w:rsidRPr="001F15C2">
        <w:rPr>
          <w:rFonts w:cs="Arial"/>
          <w:b/>
          <w:i/>
          <w:sz w:val="20"/>
          <w:szCs w:val="20"/>
          <w:lang w:eastAsia="en-US"/>
        </w:rPr>
        <w:t xml:space="preserve"> </w:t>
      </w:r>
    </w:p>
    <w:p w14:paraId="149C70DA"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I do not regard your comments in respect of the above subheading as comprising a valid appeal point. That is because:</w:t>
      </w:r>
    </w:p>
    <w:p w14:paraId="50A229A5" w14:textId="77777777" w:rsidR="00C74E03" w:rsidRPr="001F15C2" w:rsidRDefault="00C74E03" w:rsidP="00C74E03">
      <w:pPr>
        <w:pStyle w:val="Paragraph"/>
        <w:numPr>
          <w:ilvl w:val="0"/>
          <w:numId w:val="7"/>
        </w:numPr>
        <w:spacing w:before="120"/>
        <w:jc w:val="both"/>
        <w:rPr>
          <w:rFonts w:cs="Arial"/>
          <w:sz w:val="20"/>
          <w:szCs w:val="20"/>
          <w:lang w:eastAsia="en-US"/>
        </w:rPr>
      </w:pPr>
      <w:r>
        <w:rPr>
          <w:rFonts w:cs="Arial"/>
          <w:sz w:val="20"/>
          <w:szCs w:val="20"/>
          <w:lang w:eastAsia="en-US"/>
        </w:rPr>
        <w:t>The</w:t>
      </w:r>
      <w:r w:rsidRPr="001F15C2">
        <w:rPr>
          <w:rFonts w:cs="Arial"/>
          <w:sz w:val="20"/>
          <w:szCs w:val="20"/>
          <w:lang w:eastAsia="en-US"/>
        </w:rPr>
        <w:t xml:space="preserve"> Royal College of Obstetricians and Gynaecologists (RCOG) and</w:t>
      </w:r>
      <w:r>
        <w:rPr>
          <w:rFonts w:cs="Arial"/>
          <w:sz w:val="20"/>
          <w:szCs w:val="20"/>
          <w:lang w:eastAsia="en-US"/>
        </w:rPr>
        <w:t xml:space="preserve"> the</w:t>
      </w:r>
      <w:r w:rsidRPr="001F15C2">
        <w:rPr>
          <w:rFonts w:cs="Arial"/>
          <w:sz w:val="20"/>
          <w:szCs w:val="20"/>
          <w:lang w:eastAsia="en-US"/>
        </w:rPr>
        <w:t xml:space="preserve"> Royal College of General Practitioners (RCGP) were </w:t>
      </w:r>
      <w:r>
        <w:rPr>
          <w:rFonts w:cs="Arial"/>
          <w:sz w:val="20"/>
          <w:szCs w:val="20"/>
          <w:lang w:eastAsia="en-US"/>
        </w:rPr>
        <w:t xml:space="preserve">both </w:t>
      </w:r>
      <w:r w:rsidRPr="001F15C2">
        <w:rPr>
          <w:rFonts w:cs="Arial"/>
          <w:sz w:val="20"/>
          <w:szCs w:val="20"/>
          <w:lang w:eastAsia="en-US"/>
        </w:rPr>
        <w:t xml:space="preserve">included as formal consultees in </w:t>
      </w:r>
      <w:r>
        <w:rPr>
          <w:rFonts w:cs="Arial"/>
          <w:sz w:val="20"/>
          <w:szCs w:val="20"/>
          <w:lang w:eastAsia="en-US"/>
        </w:rPr>
        <w:t>the</w:t>
      </w:r>
      <w:r w:rsidRPr="001F15C2">
        <w:rPr>
          <w:rFonts w:cs="Arial"/>
          <w:sz w:val="20"/>
          <w:szCs w:val="20"/>
          <w:lang w:eastAsia="en-US"/>
        </w:rPr>
        <w:t xml:space="preserve"> final stakeholder list for the appraisal. It is not within NICE’s powers to require them to </w:t>
      </w:r>
      <w:proofErr w:type="gramStart"/>
      <w:r w:rsidRPr="001F15C2">
        <w:rPr>
          <w:rFonts w:cs="Arial"/>
          <w:sz w:val="20"/>
          <w:szCs w:val="20"/>
          <w:lang w:eastAsia="en-US"/>
        </w:rPr>
        <w:t>comment;</w:t>
      </w:r>
      <w:proofErr w:type="gramEnd"/>
    </w:p>
    <w:p w14:paraId="78247F99" w14:textId="77777777" w:rsidR="00C74E03" w:rsidRPr="001F15C2" w:rsidRDefault="00C74E03" w:rsidP="00C74E03">
      <w:pPr>
        <w:pStyle w:val="Paragraph"/>
        <w:numPr>
          <w:ilvl w:val="0"/>
          <w:numId w:val="7"/>
        </w:numPr>
        <w:spacing w:before="120"/>
        <w:jc w:val="both"/>
        <w:rPr>
          <w:rFonts w:cs="Arial"/>
          <w:sz w:val="20"/>
          <w:szCs w:val="20"/>
          <w:lang w:eastAsia="en-US"/>
        </w:rPr>
      </w:pPr>
      <w:r w:rsidRPr="001F15C2">
        <w:rPr>
          <w:rFonts w:cs="Arial"/>
          <w:sz w:val="20"/>
          <w:szCs w:val="20"/>
          <w:lang w:eastAsia="en-US"/>
        </w:rPr>
        <w:t xml:space="preserve">The committee was constituted in line with NICE’s processes; and </w:t>
      </w:r>
    </w:p>
    <w:p w14:paraId="2B3FF690" w14:textId="77777777" w:rsidR="00C74E03" w:rsidRPr="001F15C2" w:rsidRDefault="00C74E03" w:rsidP="00C74E03">
      <w:pPr>
        <w:pStyle w:val="Paragraph"/>
        <w:numPr>
          <w:ilvl w:val="0"/>
          <w:numId w:val="7"/>
        </w:numPr>
        <w:spacing w:before="120"/>
        <w:jc w:val="both"/>
        <w:rPr>
          <w:rFonts w:cs="Arial"/>
          <w:sz w:val="20"/>
          <w:szCs w:val="20"/>
          <w:lang w:eastAsia="en-US"/>
        </w:rPr>
      </w:pPr>
      <w:r w:rsidRPr="001F15C2">
        <w:rPr>
          <w:rFonts w:cs="Arial"/>
          <w:sz w:val="20"/>
          <w:szCs w:val="20"/>
          <w:lang w:eastAsia="en-US"/>
        </w:rPr>
        <w:t xml:space="preserve">Comments were provided from gynaecologists (see the committee papers). </w:t>
      </w:r>
    </w:p>
    <w:p w14:paraId="4FE2AE08" w14:textId="77777777" w:rsidR="00C74E03" w:rsidRPr="001F15C2" w:rsidRDefault="00C74E03" w:rsidP="00C74E03">
      <w:pPr>
        <w:pStyle w:val="Paragraph"/>
        <w:numPr>
          <w:ilvl w:val="0"/>
          <w:numId w:val="0"/>
        </w:numPr>
        <w:spacing w:before="120"/>
        <w:jc w:val="both"/>
        <w:rPr>
          <w:rFonts w:cs="Arial"/>
          <w:i/>
          <w:sz w:val="20"/>
          <w:szCs w:val="20"/>
        </w:rPr>
      </w:pPr>
      <w:r w:rsidRPr="001F15C2">
        <w:rPr>
          <w:rFonts w:cs="Arial"/>
          <w:sz w:val="20"/>
          <w:szCs w:val="20"/>
          <w:lang w:eastAsia="en-US"/>
        </w:rPr>
        <w:t xml:space="preserve">In </w:t>
      </w:r>
      <w:proofErr w:type="gramStart"/>
      <w:r w:rsidRPr="001F15C2">
        <w:rPr>
          <w:rFonts w:cs="Arial"/>
          <w:sz w:val="20"/>
          <w:szCs w:val="20"/>
          <w:lang w:eastAsia="en-US"/>
        </w:rPr>
        <w:t>addition</w:t>
      </w:r>
      <w:proofErr w:type="gramEnd"/>
      <w:r w:rsidRPr="001F15C2">
        <w:rPr>
          <w:rFonts w:cs="Arial"/>
          <w:sz w:val="20"/>
          <w:szCs w:val="20"/>
          <w:lang w:eastAsia="en-US"/>
        </w:rPr>
        <w:t xml:space="preserve"> you allege that “</w:t>
      </w:r>
      <w:r w:rsidRPr="004D5E08">
        <w:rPr>
          <w:rFonts w:cs="Arial"/>
          <w:i/>
          <w:sz w:val="20"/>
          <w:szCs w:val="20"/>
          <w:lang w:eastAsia="en-US"/>
        </w:rPr>
        <w:t>t</w:t>
      </w:r>
      <w:r w:rsidRPr="001F15C2">
        <w:rPr>
          <w:rFonts w:cs="Arial"/>
          <w:i/>
          <w:sz w:val="20"/>
          <w:szCs w:val="20"/>
        </w:rPr>
        <w:t xml:space="preserve">he information summary is incorrect. Women seek treatment from the symptoms of </w:t>
      </w:r>
      <w:proofErr w:type="gramStart"/>
      <w:r w:rsidRPr="001F15C2">
        <w:rPr>
          <w:rFonts w:cs="Arial"/>
          <w:i/>
          <w:sz w:val="20"/>
          <w:szCs w:val="20"/>
        </w:rPr>
        <w:t>fibroids</w:t>
      </w:r>
      <w:proofErr w:type="gramEnd"/>
      <w:r w:rsidRPr="001F15C2">
        <w:rPr>
          <w:rFonts w:cs="Arial"/>
          <w:i/>
          <w:sz w:val="20"/>
          <w:szCs w:val="20"/>
        </w:rPr>
        <w:t xml:space="preserve"> and they may also be a cause of infertility. The commonest symptom is heavy menstrual bleeding, but there are many other including severe pain. Anaemia can be the outcome of poor or inadequate management of heavy menstrual bleeding symptoms. There are so many factual inaccuracies in this section that they are not all commented upon here, but this section needs rewriting.” </w:t>
      </w:r>
    </w:p>
    <w:p w14:paraId="463B39D4" w14:textId="39200EF2" w:rsidR="00C74E03" w:rsidRPr="001F15C2" w:rsidRDefault="00C74E03" w:rsidP="00C74E03">
      <w:pPr>
        <w:pStyle w:val="Paragraph"/>
        <w:numPr>
          <w:ilvl w:val="0"/>
          <w:numId w:val="0"/>
        </w:numPr>
        <w:spacing w:before="120"/>
        <w:jc w:val="both"/>
        <w:rPr>
          <w:rFonts w:cs="Arial"/>
          <w:sz w:val="20"/>
          <w:szCs w:val="20"/>
          <w:lang w:eastAsia="en-US"/>
        </w:rPr>
      </w:pPr>
      <w:r w:rsidRPr="001F15C2">
        <w:rPr>
          <w:rFonts w:cs="Arial"/>
          <w:sz w:val="20"/>
          <w:szCs w:val="20"/>
        </w:rPr>
        <w:t xml:space="preserve">I note that you have submitted your appeal letter to NICE’s programme team as being your request for factual changes, and I have provided my initial views where you have pointed to specific aspects of the FAD that you consider inaccurate. </w:t>
      </w:r>
      <w:r>
        <w:rPr>
          <w:rFonts w:cs="Arial"/>
          <w:sz w:val="20"/>
          <w:szCs w:val="20"/>
        </w:rPr>
        <w:t>I note that section 3.2 of the FAD you refer to relates to t</w:t>
      </w:r>
      <w:r w:rsidRPr="00A50D8E">
        <w:rPr>
          <w:rFonts w:cs="Arial"/>
          <w:sz w:val="20"/>
          <w:szCs w:val="20"/>
        </w:rPr>
        <w:t>reatment pathway and comparator</w:t>
      </w:r>
      <w:r>
        <w:rPr>
          <w:rFonts w:cs="Arial"/>
          <w:sz w:val="20"/>
          <w:szCs w:val="20"/>
        </w:rPr>
        <w:t>.</w:t>
      </w:r>
      <w:r w:rsidRPr="00A50D8E">
        <w:rPr>
          <w:rFonts w:cs="Arial"/>
          <w:sz w:val="20"/>
          <w:szCs w:val="20"/>
        </w:rPr>
        <w:t xml:space="preserve"> </w:t>
      </w:r>
      <w:proofErr w:type="gramStart"/>
      <w:r w:rsidRPr="001F15C2">
        <w:rPr>
          <w:rFonts w:cs="Arial"/>
          <w:sz w:val="20"/>
          <w:szCs w:val="20"/>
        </w:rPr>
        <w:t>However</w:t>
      </w:r>
      <w:proofErr w:type="gramEnd"/>
      <w:r w:rsidRPr="001F15C2">
        <w:rPr>
          <w:rFonts w:cs="Arial"/>
          <w:sz w:val="20"/>
          <w:szCs w:val="20"/>
        </w:rPr>
        <w:t xml:space="preserve"> it seems to me that you have not specified </w:t>
      </w:r>
      <w:r>
        <w:rPr>
          <w:rFonts w:cs="Arial"/>
          <w:sz w:val="20"/>
          <w:szCs w:val="20"/>
        </w:rPr>
        <w:t>any additional factual inaccuracies relating to the treatment pathway or comparator. Therefore</w:t>
      </w:r>
      <w:r w:rsidR="00C21448">
        <w:rPr>
          <w:rFonts w:cs="Arial"/>
          <w:sz w:val="20"/>
          <w:szCs w:val="20"/>
        </w:rPr>
        <w:t>,</w:t>
      </w:r>
      <w:r w:rsidRPr="001F15C2">
        <w:rPr>
          <w:rFonts w:cs="Arial"/>
          <w:sz w:val="20"/>
          <w:szCs w:val="20"/>
        </w:rPr>
        <w:t xml:space="preserve"> I cannot assess either their accuracy or whether any inaccuracies are sufficiently significant as to support an argument that they </w:t>
      </w:r>
      <w:r>
        <w:rPr>
          <w:rFonts w:cs="Arial"/>
          <w:sz w:val="20"/>
          <w:szCs w:val="20"/>
        </w:rPr>
        <w:t xml:space="preserve">render the </w:t>
      </w:r>
      <w:r w:rsidRPr="001F15C2">
        <w:rPr>
          <w:rFonts w:cs="Arial"/>
          <w:sz w:val="20"/>
          <w:szCs w:val="20"/>
        </w:rPr>
        <w:t>committee’s recommendation</w:t>
      </w:r>
      <w:r>
        <w:rPr>
          <w:rFonts w:cs="Arial"/>
          <w:sz w:val="20"/>
          <w:szCs w:val="20"/>
        </w:rPr>
        <w:t xml:space="preserve"> unreasonable</w:t>
      </w:r>
      <w:r w:rsidRPr="001F15C2">
        <w:rPr>
          <w:rFonts w:cs="Arial"/>
          <w:sz w:val="20"/>
          <w:szCs w:val="20"/>
        </w:rPr>
        <w:t>.</w:t>
      </w:r>
    </w:p>
    <w:p w14:paraId="69265A72" w14:textId="77777777" w:rsidR="00C74E03" w:rsidRPr="001F15C2" w:rsidRDefault="00C74E03" w:rsidP="00C74E03">
      <w:pPr>
        <w:pStyle w:val="Paragraph"/>
        <w:numPr>
          <w:ilvl w:val="0"/>
          <w:numId w:val="0"/>
        </w:numPr>
        <w:spacing w:before="120"/>
        <w:jc w:val="both"/>
        <w:rPr>
          <w:rFonts w:cs="Arial"/>
          <w:b/>
          <w:i/>
          <w:sz w:val="20"/>
          <w:szCs w:val="20"/>
          <w:lang w:eastAsia="en-US"/>
        </w:rPr>
      </w:pPr>
      <w:r w:rsidRPr="001F15C2">
        <w:rPr>
          <w:rFonts w:cs="Arial"/>
          <w:b/>
          <w:i/>
          <w:sz w:val="20"/>
          <w:szCs w:val="20"/>
          <w:lang w:eastAsia="en-US"/>
        </w:rPr>
        <w:t>2.2(d)</w:t>
      </w:r>
      <w:r w:rsidRPr="001F15C2">
        <w:rPr>
          <w:rFonts w:cs="Arial"/>
          <w:b/>
          <w:i/>
          <w:sz w:val="20"/>
          <w:szCs w:val="20"/>
        </w:rPr>
        <w:t xml:space="preserve"> </w:t>
      </w:r>
      <w:r>
        <w:rPr>
          <w:rFonts w:cs="Arial"/>
          <w:b/>
          <w:sz w:val="20"/>
          <w:szCs w:val="20"/>
        </w:rPr>
        <w:t xml:space="preserve">The recommendation is unreasonable because it was unreasonable to conclude that </w:t>
      </w:r>
      <w:r w:rsidRPr="001F15C2">
        <w:rPr>
          <w:rFonts w:cs="Arial"/>
          <w:b/>
          <w:i/>
          <w:sz w:val="20"/>
          <w:szCs w:val="20"/>
        </w:rPr>
        <w:t xml:space="preserve">“GnRH agonists are the most relevant comparators for </w:t>
      </w:r>
      <w:proofErr w:type="spellStart"/>
      <w:r w:rsidRPr="001F15C2">
        <w:rPr>
          <w:rFonts w:cs="Arial"/>
          <w:b/>
          <w:i/>
          <w:sz w:val="20"/>
          <w:szCs w:val="20"/>
        </w:rPr>
        <w:t>relugolix</w:t>
      </w:r>
      <w:proofErr w:type="spellEnd"/>
      <w:r w:rsidRPr="001F15C2">
        <w:rPr>
          <w:rFonts w:cs="Arial"/>
          <w:b/>
          <w:i/>
          <w:sz w:val="20"/>
          <w:szCs w:val="20"/>
        </w:rPr>
        <w:t>–</w:t>
      </w:r>
      <w:proofErr w:type="spellStart"/>
      <w:r w:rsidRPr="001F15C2">
        <w:rPr>
          <w:rFonts w:cs="Arial"/>
          <w:b/>
          <w:i/>
          <w:sz w:val="20"/>
          <w:szCs w:val="20"/>
        </w:rPr>
        <w:t>estradiol</w:t>
      </w:r>
      <w:proofErr w:type="spellEnd"/>
      <w:r w:rsidRPr="001F15C2">
        <w:rPr>
          <w:rFonts w:cs="Arial"/>
          <w:b/>
          <w:i/>
          <w:sz w:val="20"/>
          <w:szCs w:val="20"/>
        </w:rPr>
        <w:t>–norethisterone acetate...</w:t>
      </w:r>
      <w:r w:rsidRPr="001F15C2">
        <w:rPr>
          <w:rFonts w:cs="Arial"/>
          <w:b/>
          <w:i/>
          <w:sz w:val="20"/>
          <w:szCs w:val="20"/>
          <w:lang w:eastAsia="en-US"/>
        </w:rPr>
        <w:t>The ERG agreed that it was justifiable to exclude GnRH antagonists as comparators.”</w:t>
      </w:r>
    </w:p>
    <w:p w14:paraId="7F68BED9"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 understand that you consider it was unreasonable for the committee to conclude that GnRH </w:t>
      </w:r>
      <w:r w:rsidRPr="00F61308">
        <w:rPr>
          <w:rFonts w:cs="Arial"/>
          <w:sz w:val="20"/>
          <w:szCs w:val="20"/>
          <w:u w:val="single"/>
        </w:rPr>
        <w:t xml:space="preserve">agonists </w:t>
      </w:r>
      <w:r w:rsidRPr="001F15C2">
        <w:rPr>
          <w:rFonts w:cs="Arial"/>
          <w:sz w:val="20"/>
          <w:szCs w:val="20"/>
        </w:rPr>
        <w:t xml:space="preserve">are the most relevant comparators for </w:t>
      </w:r>
      <w:proofErr w:type="spellStart"/>
      <w:r w:rsidRPr="001F15C2">
        <w:rPr>
          <w:rFonts w:cs="Arial"/>
          <w:sz w:val="20"/>
          <w:szCs w:val="20"/>
        </w:rPr>
        <w:t>Relugolix</w:t>
      </w:r>
      <w:proofErr w:type="spellEnd"/>
      <w:r w:rsidRPr="001F15C2">
        <w:rPr>
          <w:rFonts w:cs="Arial"/>
          <w:sz w:val="20"/>
          <w:szCs w:val="20"/>
        </w:rPr>
        <w:t xml:space="preserve"> and that it is not clear why the ERG agreed </w:t>
      </w:r>
      <w:r w:rsidRPr="001F15C2">
        <w:rPr>
          <w:rFonts w:cs="Arial"/>
          <w:iCs/>
          <w:sz w:val="20"/>
          <w:szCs w:val="20"/>
        </w:rPr>
        <w:t xml:space="preserve">that it was justifiable to exclude GnRH </w:t>
      </w:r>
      <w:r w:rsidRPr="00F61308">
        <w:rPr>
          <w:rFonts w:cs="Arial"/>
          <w:iCs/>
          <w:sz w:val="20"/>
          <w:szCs w:val="20"/>
          <w:u w:val="single"/>
        </w:rPr>
        <w:t>antagonists</w:t>
      </w:r>
      <w:r w:rsidRPr="001F15C2">
        <w:rPr>
          <w:rFonts w:cs="Arial"/>
          <w:iCs/>
          <w:sz w:val="20"/>
          <w:szCs w:val="20"/>
        </w:rPr>
        <w:t xml:space="preserve"> as comparators</w:t>
      </w:r>
      <w:r w:rsidRPr="001F15C2">
        <w:rPr>
          <w:rFonts w:cs="Arial"/>
          <w:sz w:val="20"/>
          <w:szCs w:val="20"/>
        </w:rPr>
        <w:t xml:space="preserve"> and how it can be justified.  </w:t>
      </w:r>
    </w:p>
    <w:p w14:paraId="706E7933" w14:textId="77777777"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On careful consideration, I do not regard this as a valid appeal point. </w:t>
      </w:r>
    </w:p>
    <w:p w14:paraId="592C88CB" w14:textId="77777777" w:rsidR="00C74E03" w:rsidRDefault="00C74E03" w:rsidP="00C74E03">
      <w:pPr>
        <w:pStyle w:val="Paragraph"/>
        <w:numPr>
          <w:ilvl w:val="0"/>
          <w:numId w:val="0"/>
        </w:numPr>
        <w:spacing w:before="120"/>
        <w:jc w:val="both"/>
        <w:rPr>
          <w:rFonts w:cs="Arial"/>
          <w:sz w:val="20"/>
          <w:szCs w:val="20"/>
        </w:rPr>
      </w:pPr>
      <w:r w:rsidRPr="001F15C2">
        <w:rPr>
          <w:rFonts w:cs="Arial"/>
          <w:sz w:val="20"/>
          <w:szCs w:val="20"/>
        </w:rPr>
        <w:t xml:space="preserve">I acknowledge that the NICE final scope lists GnRH analogues as relevant comparators, which include both </w:t>
      </w:r>
      <w:r w:rsidRPr="00F61308">
        <w:rPr>
          <w:rFonts w:cs="Arial"/>
          <w:sz w:val="20"/>
          <w:szCs w:val="20"/>
          <w:u w:val="single"/>
        </w:rPr>
        <w:t>agonists</w:t>
      </w:r>
      <w:r w:rsidRPr="001F15C2">
        <w:rPr>
          <w:rFonts w:cs="Arial"/>
          <w:sz w:val="20"/>
          <w:szCs w:val="20"/>
        </w:rPr>
        <w:t xml:space="preserve"> and </w:t>
      </w:r>
      <w:r w:rsidRPr="00F61308">
        <w:rPr>
          <w:rFonts w:cs="Arial"/>
          <w:sz w:val="20"/>
          <w:szCs w:val="20"/>
          <w:u w:val="single"/>
        </w:rPr>
        <w:t>antagonists</w:t>
      </w:r>
      <w:r w:rsidRPr="001F15C2">
        <w:rPr>
          <w:rFonts w:cs="Arial"/>
          <w:sz w:val="20"/>
          <w:szCs w:val="20"/>
        </w:rPr>
        <w:t xml:space="preserve">, so it was open to the committee to include GnRH antagonists as comparators. </w:t>
      </w:r>
      <w:r>
        <w:rPr>
          <w:rFonts w:cs="Arial"/>
          <w:sz w:val="20"/>
          <w:szCs w:val="20"/>
        </w:rPr>
        <w:t>P</w:t>
      </w:r>
      <w:r w:rsidRPr="001F15C2">
        <w:rPr>
          <w:rFonts w:cs="Arial"/>
          <w:sz w:val="20"/>
          <w:szCs w:val="20"/>
        </w:rPr>
        <w:t xml:space="preserve">aragraph 3.3 of the FAD shows the committee considered the potential comparators and explains the reasons why the committee concluded that GnRH agonists are the most relevant comparators for </w:t>
      </w:r>
      <w:proofErr w:type="spellStart"/>
      <w:r w:rsidRPr="001F15C2">
        <w:rPr>
          <w:rFonts w:cs="Arial"/>
          <w:sz w:val="20"/>
          <w:szCs w:val="20"/>
        </w:rPr>
        <w:t>Relugolix</w:t>
      </w:r>
      <w:proofErr w:type="spellEnd"/>
      <w:r w:rsidRPr="001F15C2">
        <w:rPr>
          <w:rFonts w:cs="Arial"/>
          <w:sz w:val="20"/>
          <w:szCs w:val="20"/>
        </w:rPr>
        <w:t xml:space="preserve"> in detail.</w:t>
      </w:r>
    </w:p>
    <w:p w14:paraId="1C88C9E9" w14:textId="77777777" w:rsidR="00C74E03" w:rsidRDefault="00C74E03" w:rsidP="00C74E03">
      <w:pPr>
        <w:pStyle w:val="Paragraph"/>
        <w:numPr>
          <w:ilvl w:val="0"/>
          <w:numId w:val="0"/>
        </w:numPr>
        <w:spacing w:before="120"/>
        <w:jc w:val="both"/>
        <w:rPr>
          <w:rFonts w:cs="Arial"/>
          <w:sz w:val="20"/>
          <w:szCs w:val="20"/>
        </w:rPr>
      </w:pPr>
      <w:r>
        <w:rPr>
          <w:rFonts w:cs="Arial"/>
          <w:sz w:val="20"/>
          <w:szCs w:val="20"/>
        </w:rPr>
        <w:t xml:space="preserve">Within the appraisal, </w:t>
      </w:r>
      <w:proofErr w:type="spellStart"/>
      <w:r>
        <w:rPr>
          <w:rFonts w:cs="Arial"/>
          <w:sz w:val="20"/>
          <w:szCs w:val="20"/>
        </w:rPr>
        <w:t>g</w:t>
      </w:r>
      <w:r w:rsidRPr="00BD2637">
        <w:rPr>
          <w:rFonts w:cs="Arial"/>
          <w:sz w:val="20"/>
          <w:szCs w:val="20"/>
        </w:rPr>
        <w:t>oserelin</w:t>
      </w:r>
      <w:proofErr w:type="spellEnd"/>
      <w:r>
        <w:rPr>
          <w:rFonts w:cs="Arial"/>
          <w:sz w:val="20"/>
          <w:szCs w:val="20"/>
        </w:rPr>
        <w:t xml:space="preserve"> acetate (</w:t>
      </w:r>
      <w:proofErr w:type="spellStart"/>
      <w:r>
        <w:rPr>
          <w:rFonts w:cs="Arial"/>
          <w:sz w:val="20"/>
          <w:szCs w:val="20"/>
        </w:rPr>
        <w:t>Zoladex</w:t>
      </w:r>
      <w:proofErr w:type="spellEnd"/>
      <w:r>
        <w:rPr>
          <w:rFonts w:cs="Arial"/>
          <w:sz w:val="20"/>
          <w:szCs w:val="20"/>
        </w:rPr>
        <w:t xml:space="preserve">) and </w:t>
      </w:r>
      <w:r w:rsidRPr="008F677C">
        <w:rPr>
          <w:rFonts w:cs="Arial"/>
          <w:sz w:val="20"/>
          <w:szCs w:val="20"/>
        </w:rPr>
        <w:t>ulipristal acetate (</w:t>
      </w:r>
      <w:proofErr w:type="spellStart"/>
      <w:r w:rsidRPr="008F677C">
        <w:rPr>
          <w:rFonts w:cs="Arial"/>
          <w:sz w:val="20"/>
          <w:szCs w:val="20"/>
        </w:rPr>
        <w:t>Esmya</w:t>
      </w:r>
      <w:proofErr w:type="spellEnd"/>
      <w:r>
        <w:rPr>
          <w:rFonts w:cs="Arial"/>
          <w:sz w:val="20"/>
          <w:szCs w:val="20"/>
        </w:rPr>
        <w:t xml:space="preserve">) were considered as separate classes of medicine to </w:t>
      </w:r>
      <w:proofErr w:type="spellStart"/>
      <w:r>
        <w:rPr>
          <w:rFonts w:cs="Arial"/>
          <w:sz w:val="20"/>
          <w:szCs w:val="20"/>
        </w:rPr>
        <w:t>GnHR</w:t>
      </w:r>
      <w:proofErr w:type="spellEnd"/>
      <w:r>
        <w:rPr>
          <w:rFonts w:cs="Arial"/>
          <w:sz w:val="20"/>
          <w:szCs w:val="20"/>
        </w:rPr>
        <w:t xml:space="preserve"> antagonists.</w:t>
      </w:r>
    </w:p>
    <w:p w14:paraId="46B6B447" w14:textId="77777777" w:rsidR="00C74E03" w:rsidRDefault="00C74E03" w:rsidP="00C74E03">
      <w:pPr>
        <w:pStyle w:val="Paragraph"/>
        <w:numPr>
          <w:ilvl w:val="0"/>
          <w:numId w:val="0"/>
        </w:numPr>
        <w:spacing w:before="120"/>
        <w:jc w:val="both"/>
        <w:rPr>
          <w:rFonts w:cs="Arial"/>
          <w:sz w:val="20"/>
          <w:szCs w:val="20"/>
        </w:rPr>
      </w:pPr>
      <w:r w:rsidRPr="001F15C2">
        <w:rPr>
          <w:rFonts w:cs="Arial"/>
          <w:sz w:val="20"/>
          <w:szCs w:val="20"/>
        </w:rPr>
        <w:t>I note that the ERG questioned the company about this decision in the committee papers, and the company explained that “</w:t>
      </w:r>
      <w:r w:rsidRPr="001F15C2">
        <w:rPr>
          <w:rFonts w:cs="Arial"/>
          <w:i/>
          <w:sz w:val="20"/>
          <w:szCs w:val="20"/>
        </w:rPr>
        <w:t>Four GnRH antagonists have been identified as part of the SLR (</w:t>
      </w:r>
      <w:proofErr w:type="spellStart"/>
      <w:r w:rsidRPr="001F15C2">
        <w:rPr>
          <w:rFonts w:cs="Arial"/>
          <w:i/>
          <w:sz w:val="20"/>
          <w:szCs w:val="20"/>
        </w:rPr>
        <w:t>relugolix</w:t>
      </w:r>
      <w:proofErr w:type="spellEnd"/>
      <w:r w:rsidRPr="001F15C2">
        <w:rPr>
          <w:rFonts w:cs="Arial"/>
          <w:i/>
          <w:sz w:val="20"/>
          <w:szCs w:val="20"/>
        </w:rPr>
        <w:t xml:space="preserve">, </w:t>
      </w:r>
      <w:proofErr w:type="spellStart"/>
      <w:r w:rsidRPr="001F15C2">
        <w:rPr>
          <w:rFonts w:cs="Arial"/>
          <w:i/>
          <w:sz w:val="20"/>
          <w:szCs w:val="20"/>
        </w:rPr>
        <w:lastRenderedPageBreak/>
        <w:t>elagolix</w:t>
      </w:r>
      <w:proofErr w:type="spellEnd"/>
      <w:r w:rsidRPr="001F15C2">
        <w:rPr>
          <w:rFonts w:cs="Arial"/>
          <w:i/>
          <w:sz w:val="20"/>
          <w:szCs w:val="20"/>
        </w:rPr>
        <w:t xml:space="preserve">, </w:t>
      </w:r>
      <w:proofErr w:type="spellStart"/>
      <w:r w:rsidRPr="001F15C2">
        <w:rPr>
          <w:rFonts w:cs="Arial"/>
          <w:i/>
          <w:sz w:val="20"/>
          <w:szCs w:val="20"/>
        </w:rPr>
        <w:t>linzagolix</w:t>
      </w:r>
      <w:proofErr w:type="spellEnd"/>
      <w:r w:rsidRPr="001F15C2">
        <w:rPr>
          <w:rFonts w:cs="Arial"/>
          <w:i/>
          <w:sz w:val="20"/>
          <w:szCs w:val="20"/>
        </w:rPr>
        <w:t xml:space="preserve"> and </w:t>
      </w:r>
      <w:proofErr w:type="spellStart"/>
      <w:r w:rsidRPr="001F15C2">
        <w:rPr>
          <w:rFonts w:cs="Arial"/>
          <w:i/>
          <w:sz w:val="20"/>
          <w:szCs w:val="20"/>
        </w:rPr>
        <w:t>cetrorelix</w:t>
      </w:r>
      <w:proofErr w:type="spellEnd"/>
      <w:r w:rsidRPr="001F15C2">
        <w:rPr>
          <w:rFonts w:cs="Arial"/>
          <w:i/>
          <w:sz w:val="20"/>
          <w:szCs w:val="20"/>
        </w:rPr>
        <w:t xml:space="preserve">). Among these four identified compounds, </w:t>
      </w:r>
      <w:proofErr w:type="spellStart"/>
      <w:r w:rsidRPr="001F15C2">
        <w:rPr>
          <w:rFonts w:cs="Arial"/>
          <w:i/>
          <w:sz w:val="20"/>
          <w:szCs w:val="20"/>
        </w:rPr>
        <w:t>relugolix</w:t>
      </w:r>
      <w:proofErr w:type="spellEnd"/>
      <w:r w:rsidRPr="001F15C2">
        <w:rPr>
          <w:rFonts w:cs="Arial"/>
          <w:i/>
          <w:sz w:val="20"/>
          <w:szCs w:val="20"/>
        </w:rPr>
        <w:t xml:space="preserve"> is the first and only GnRH antagonist with an approved licensed indication for UF in EU/UK. </w:t>
      </w:r>
      <w:proofErr w:type="spellStart"/>
      <w:r w:rsidRPr="001F15C2">
        <w:rPr>
          <w:rFonts w:cs="Arial"/>
          <w:i/>
          <w:sz w:val="20"/>
          <w:szCs w:val="20"/>
        </w:rPr>
        <w:t>Elagolix</w:t>
      </w:r>
      <w:proofErr w:type="spellEnd"/>
      <w:r w:rsidRPr="001F15C2">
        <w:rPr>
          <w:rFonts w:cs="Arial"/>
          <w:i/>
          <w:sz w:val="20"/>
          <w:szCs w:val="20"/>
        </w:rPr>
        <w:t xml:space="preserve"> is licensed for use in the USA but does not have an approval for use within Europe. </w:t>
      </w:r>
      <w:proofErr w:type="spellStart"/>
      <w:r w:rsidRPr="001F15C2">
        <w:rPr>
          <w:rFonts w:cs="Arial"/>
          <w:i/>
          <w:sz w:val="20"/>
          <w:szCs w:val="20"/>
        </w:rPr>
        <w:t>Linzagolix</w:t>
      </w:r>
      <w:proofErr w:type="spellEnd"/>
      <w:r w:rsidRPr="001F15C2">
        <w:rPr>
          <w:rFonts w:cs="Arial"/>
          <w:i/>
          <w:sz w:val="20"/>
          <w:szCs w:val="20"/>
        </w:rPr>
        <w:t xml:space="preserve"> is currently under review by the European regulatory authorities but, as of the time of this appraisal, does not have an approval for use in Europe. </w:t>
      </w:r>
      <w:proofErr w:type="spellStart"/>
      <w:r w:rsidRPr="001F15C2">
        <w:rPr>
          <w:rFonts w:cs="Arial"/>
          <w:i/>
          <w:sz w:val="20"/>
          <w:szCs w:val="20"/>
        </w:rPr>
        <w:t>Cetrorelix</w:t>
      </w:r>
      <w:proofErr w:type="spellEnd"/>
      <w:r w:rsidRPr="001F15C2">
        <w:rPr>
          <w:rFonts w:cs="Arial"/>
          <w:i/>
          <w:sz w:val="20"/>
          <w:szCs w:val="20"/>
        </w:rPr>
        <w:t xml:space="preserve"> is indicated and used for fertility purposes only. Therefore, in Gedeon Richter’s view, no other GnRH antagonists are</w:t>
      </w:r>
      <w:r>
        <w:rPr>
          <w:rFonts w:cs="Arial"/>
          <w:i/>
          <w:sz w:val="20"/>
          <w:szCs w:val="20"/>
        </w:rPr>
        <w:t xml:space="preserve"> </w:t>
      </w:r>
      <w:r w:rsidRPr="001F15C2">
        <w:rPr>
          <w:rFonts w:cs="Arial"/>
          <w:i/>
          <w:sz w:val="20"/>
          <w:szCs w:val="20"/>
        </w:rPr>
        <w:t xml:space="preserve">relevant comparators for </w:t>
      </w:r>
      <w:proofErr w:type="spellStart"/>
      <w:r w:rsidRPr="001F15C2">
        <w:rPr>
          <w:rFonts w:cs="Arial"/>
          <w:i/>
          <w:sz w:val="20"/>
          <w:szCs w:val="20"/>
        </w:rPr>
        <w:t>relugolix</w:t>
      </w:r>
      <w:proofErr w:type="spellEnd"/>
      <w:r w:rsidRPr="001F15C2">
        <w:rPr>
          <w:rFonts w:cs="Arial"/>
          <w:i/>
          <w:sz w:val="20"/>
          <w:szCs w:val="20"/>
        </w:rPr>
        <w:t xml:space="preserve"> CT in this appraisal.”</w:t>
      </w:r>
    </w:p>
    <w:p w14:paraId="6A2EF051" w14:textId="77777777" w:rsidR="00C74E03" w:rsidRPr="001F15C2" w:rsidRDefault="00C74E03" w:rsidP="00C74E03">
      <w:pPr>
        <w:pStyle w:val="Paragraph"/>
        <w:numPr>
          <w:ilvl w:val="0"/>
          <w:numId w:val="0"/>
        </w:numPr>
        <w:spacing w:before="120"/>
        <w:jc w:val="both"/>
        <w:rPr>
          <w:rFonts w:cs="Arial"/>
          <w:sz w:val="20"/>
          <w:szCs w:val="20"/>
        </w:rPr>
      </w:pPr>
      <w:r>
        <w:rPr>
          <w:rFonts w:cs="Arial"/>
          <w:sz w:val="20"/>
          <w:szCs w:val="20"/>
        </w:rPr>
        <w:t>D</w:t>
      </w:r>
      <w:r w:rsidRPr="001F15C2">
        <w:rPr>
          <w:rFonts w:cs="Arial"/>
          <w:sz w:val="20"/>
          <w:szCs w:val="20"/>
        </w:rPr>
        <w:t>uring the appraisal and consultation on the draft FAD no comments were raised by any patient or clinical expert or other consultee or commentator to suggest that GnRH</w:t>
      </w:r>
      <w:r>
        <w:rPr>
          <w:rFonts w:cs="Arial"/>
          <w:sz w:val="20"/>
          <w:szCs w:val="20"/>
        </w:rPr>
        <w:t xml:space="preserve"> antagonists</w:t>
      </w:r>
      <w:r w:rsidRPr="001F15C2">
        <w:rPr>
          <w:rFonts w:cs="Arial"/>
          <w:sz w:val="20"/>
          <w:szCs w:val="20"/>
        </w:rPr>
        <w:t xml:space="preserve"> are a significant current therapy routinely used in the NHS or any concern regarding an omission in the comparators.</w:t>
      </w:r>
      <w:r>
        <w:rPr>
          <w:rFonts w:cs="Arial"/>
          <w:sz w:val="20"/>
          <w:szCs w:val="20"/>
        </w:rPr>
        <w:t xml:space="preserve"> </w:t>
      </w:r>
    </w:p>
    <w:p w14:paraId="25C63C2D" w14:textId="77777777" w:rsidR="00C74E03" w:rsidRPr="001F15C2" w:rsidRDefault="00C74E03" w:rsidP="00C74E03">
      <w:pPr>
        <w:pStyle w:val="Paragraph"/>
        <w:numPr>
          <w:ilvl w:val="0"/>
          <w:numId w:val="0"/>
        </w:numPr>
        <w:spacing w:before="120"/>
        <w:jc w:val="both"/>
        <w:rPr>
          <w:rFonts w:cs="Arial"/>
          <w:sz w:val="20"/>
          <w:szCs w:val="20"/>
          <w:lang w:eastAsia="en-US"/>
        </w:rPr>
      </w:pPr>
      <w:r w:rsidRPr="001F15C2">
        <w:rPr>
          <w:rFonts w:cs="Arial"/>
          <w:sz w:val="20"/>
          <w:szCs w:val="20"/>
        </w:rPr>
        <w:t xml:space="preserve">In my view the FAD is well reasoned </w:t>
      </w:r>
      <w:proofErr w:type="gramStart"/>
      <w:r w:rsidRPr="001F15C2">
        <w:rPr>
          <w:rFonts w:cs="Arial"/>
          <w:sz w:val="20"/>
          <w:szCs w:val="20"/>
        </w:rPr>
        <w:t>with regard to</w:t>
      </w:r>
      <w:proofErr w:type="gramEnd"/>
      <w:r w:rsidRPr="001F15C2">
        <w:rPr>
          <w:rFonts w:cs="Arial"/>
          <w:sz w:val="20"/>
          <w:szCs w:val="20"/>
        </w:rPr>
        <w:t xml:space="preserve"> the comparator </w:t>
      </w:r>
      <w:r>
        <w:rPr>
          <w:rFonts w:cs="Arial"/>
          <w:sz w:val="20"/>
          <w:szCs w:val="20"/>
        </w:rPr>
        <w:t>(see paragraph 2.2) there is nothing in your appeal point</w:t>
      </w:r>
      <w:r w:rsidRPr="001F15C2">
        <w:rPr>
          <w:rFonts w:cs="Arial"/>
          <w:sz w:val="20"/>
          <w:szCs w:val="20"/>
        </w:rPr>
        <w:t xml:space="preserve"> </w:t>
      </w:r>
      <w:r>
        <w:rPr>
          <w:rFonts w:cs="Arial"/>
          <w:sz w:val="20"/>
          <w:szCs w:val="20"/>
        </w:rPr>
        <w:t xml:space="preserve">that persuaded me </w:t>
      </w:r>
      <w:r w:rsidRPr="001F15C2">
        <w:rPr>
          <w:rFonts w:cs="Arial"/>
          <w:sz w:val="20"/>
          <w:szCs w:val="20"/>
        </w:rPr>
        <w:t xml:space="preserve">that the committee’s conclusion that the GnRH agonists are the most relevant comparators could amount to unreasonableness. </w:t>
      </w:r>
      <w:r w:rsidRPr="001F15C2">
        <w:rPr>
          <w:rFonts w:cs="Arial"/>
          <w:sz w:val="20"/>
          <w:szCs w:val="20"/>
          <w:lang w:eastAsia="en-US"/>
        </w:rPr>
        <w:t xml:space="preserve">I am not minded </w:t>
      </w:r>
      <w:proofErr w:type="gramStart"/>
      <w:r w:rsidRPr="001F15C2">
        <w:rPr>
          <w:rFonts w:cs="Arial"/>
          <w:sz w:val="20"/>
          <w:szCs w:val="20"/>
          <w:lang w:eastAsia="en-US"/>
        </w:rPr>
        <w:t>to refer</w:t>
      </w:r>
      <w:proofErr w:type="gramEnd"/>
      <w:r w:rsidRPr="001F15C2">
        <w:rPr>
          <w:rFonts w:cs="Arial"/>
          <w:sz w:val="20"/>
          <w:szCs w:val="20"/>
          <w:lang w:eastAsia="en-US"/>
        </w:rPr>
        <w:t xml:space="preserve"> this point to an appeal panel.  </w:t>
      </w:r>
    </w:p>
    <w:p w14:paraId="40FF61A4" w14:textId="77777777" w:rsidR="00C74E03" w:rsidRPr="00562D4E" w:rsidRDefault="00C74E03" w:rsidP="00C74E03">
      <w:pPr>
        <w:pStyle w:val="Paragraph"/>
        <w:numPr>
          <w:ilvl w:val="0"/>
          <w:numId w:val="0"/>
        </w:numPr>
        <w:spacing w:before="120"/>
        <w:jc w:val="both"/>
        <w:rPr>
          <w:rFonts w:cs="Arial"/>
          <w:sz w:val="20"/>
          <w:szCs w:val="20"/>
          <w:u w:val="single"/>
          <w:lang w:eastAsia="en-US"/>
        </w:rPr>
      </w:pPr>
      <w:r>
        <w:rPr>
          <w:rFonts w:cs="Arial"/>
          <w:sz w:val="20"/>
          <w:szCs w:val="20"/>
          <w:u w:val="single"/>
          <w:lang w:eastAsia="en-US"/>
        </w:rPr>
        <w:t xml:space="preserve">Conclusion </w:t>
      </w:r>
    </w:p>
    <w:p w14:paraId="20519B82" w14:textId="77777777" w:rsidR="00C74E03" w:rsidRDefault="00C74E03" w:rsidP="00C74E03">
      <w:pPr>
        <w:pStyle w:val="Paragraph"/>
        <w:numPr>
          <w:ilvl w:val="0"/>
          <w:numId w:val="0"/>
        </w:numPr>
        <w:spacing w:before="120"/>
        <w:jc w:val="both"/>
        <w:rPr>
          <w:rFonts w:cs="Arial"/>
          <w:sz w:val="20"/>
          <w:szCs w:val="20"/>
          <w:lang w:eastAsia="en-US"/>
        </w:rPr>
      </w:pPr>
      <w:r>
        <w:rPr>
          <w:rFonts w:cs="Arial"/>
          <w:sz w:val="20"/>
          <w:szCs w:val="20"/>
          <w:lang w:eastAsia="en-US"/>
        </w:rPr>
        <w:t xml:space="preserve">The above sets out above my initial views on </w:t>
      </w:r>
      <w:proofErr w:type="gramStart"/>
      <w:r>
        <w:rPr>
          <w:rFonts w:cs="Arial"/>
          <w:sz w:val="20"/>
          <w:szCs w:val="20"/>
          <w:lang w:eastAsia="en-US"/>
        </w:rPr>
        <w:t>all of</w:t>
      </w:r>
      <w:proofErr w:type="gramEnd"/>
      <w:r>
        <w:rPr>
          <w:rFonts w:cs="Arial"/>
          <w:sz w:val="20"/>
          <w:szCs w:val="20"/>
          <w:lang w:eastAsia="en-US"/>
        </w:rPr>
        <w:t xml:space="preserve"> your appeal points. I am not currently minded </w:t>
      </w:r>
      <w:proofErr w:type="gramStart"/>
      <w:r>
        <w:rPr>
          <w:rFonts w:cs="Arial"/>
          <w:sz w:val="20"/>
          <w:szCs w:val="20"/>
          <w:lang w:eastAsia="en-US"/>
        </w:rPr>
        <w:t>to refer</w:t>
      </w:r>
      <w:proofErr w:type="gramEnd"/>
      <w:r>
        <w:rPr>
          <w:rFonts w:cs="Arial"/>
          <w:sz w:val="20"/>
          <w:szCs w:val="20"/>
          <w:lang w:eastAsia="en-US"/>
        </w:rPr>
        <w:t xml:space="preserve"> your appeal to </w:t>
      </w:r>
      <w:r w:rsidRPr="00C2049A">
        <w:rPr>
          <w:rFonts w:cs="Arial"/>
          <w:sz w:val="20"/>
          <w:szCs w:val="20"/>
          <w:lang w:eastAsia="en-US"/>
        </w:rPr>
        <w:t>the Appeal Panel</w:t>
      </w:r>
      <w:r>
        <w:rPr>
          <w:rFonts w:cs="Arial"/>
          <w:sz w:val="20"/>
          <w:szCs w:val="20"/>
          <w:lang w:eastAsia="en-US"/>
        </w:rPr>
        <w:t>.  There are no other appellants.</w:t>
      </w:r>
    </w:p>
    <w:p w14:paraId="75C79647" w14:textId="64C0BAB1" w:rsidR="00C74E03" w:rsidRPr="001F15C2" w:rsidRDefault="00C74E03" w:rsidP="00C74E03">
      <w:pPr>
        <w:pStyle w:val="Paragraph"/>
        <w:numPr>
          <w:ilvl w:val="0"/>
          <w:numId w:val="0"/>
        </w:numPr>
        <w:spacing w:before="120"/>
        <w:jc w:val="both"/>
        <w:rPr>
          <w:rFonts w:cs="Arial"/>
          <w:sz w:val="20"/>
          <w:szCs w:val="20"/>
          <w:lang w:eastAsia="en-US"/>
        </w:rPr>
      </w:pPr>
      <w:r>
        <w:rPr>
          <w:rFonts w:cs="Arial"/>
          <w:sz w:val="20"/>
          <w:szCs w:val="20"/>
          <w:lang w:eastAsia="en-US"/>
        </w:rPr>
        <w:t>Y</w:t>
      </w:r>
      <w:r w:rsidRPr="001F15C2">
        <w:rPr>
          <w:rFonts w:cs="Arial"/>
          <w:sz w:val="20"/>
          <w:szCs w:val="20"/>
          <w:lang w:eastAsia="en-US"/>
        </w:rPr>
        <w:t xml:space="preserve">ou are entitled to submit further clarification and/or evidence to me </w:t>
      </w:r>
      <w:r>
        <w:rPr>
          <w:rFonts w:cs="Arial"/>
          <w:sz w:val="20"/>
          <w:szCs w:val="20"/>
          <w:lang w:eastAsia="en-US"/>
        </w:rPr>
        <w:t xml:space="preserve">in relation to your appeal points </w:t>
      </w:r>
      <w:r w:rsidRPr="001F15C2">
        <w:rPr>
          <w:rFonts w:cs="Arial"/>
          <w:sz w:val="20"/>
          <w:szCs w:val="20"/>
          <w:lang w:eastAsia="en-US"/>
        </w:rPr>
        <w:t xml:space="preserve">within the next 10 working days, </w:t>
      </w:r>
      <w:r w:rsidR="005752D7" w:rsidRPr="005752D7">
        <w:rPr>
          <w:rFonts w:cs="Arial"/>
          <w:b/>
          <w:bCs/>
          <w:sz w:val="20"/>
          <w:szCs w:val="20"/>
          <w:lang w:eastAsia="en-US"/>
        </w:rPr>
        <w:t>no later than 21 June 2022</w:t>
      </w:r>
      <w:r w:rsidR="005752D7">
        <w:rPr>
          <w:rFonts w:cs="Arial"/>
          <w:sz w:val="20"/>
          <w:szCs w:val="20"/>
          <w:lang w:eastAsia="en-US"/>
        </w:rPr>
        <w:t xml:space="preserve">, </w:t>
      </w:r>
      <w:r w:rsidRPr="001F15C2">
        <w:rPr>
          <w:rFonts w:cs="Arial"/>
          <w:sz w:val="20"/>
          <w:szCs w:val="20"/>
          <w:lang w:eastAsia="en-US"/>
        </w:rPr>
        <w:t xml:space="preserve">and I will then give a final decision on the points </w:t>
      </w:r>
      <w:r>
        <w:rPr>
          <w:rFonts w:cs="Arial"/>
          <w:sz w:val="20"/>
          <w:szCs w:val="20"/>
          <w:lang w:eastAsia="en-US"/>
        </w:rPr>
        <w:t xml:space="preserve">(if any) </w:t>
      </w:r>
      <w:r w:rsidRPr="001F15C2">
        <w:rPr>
          <w:rFonts w:cs="Arial"/>
          <w:sz w:val="20"/>
          <w:szCs w:val="20"/>
          <w:lang w:eastAsia="en-US"/>
        </w:rPr>
        <w:t xml:space="preserve">to put before an appeal panel.  </w:t>
      </w:r>
      <w:r>
        <w:rPr>
          <w:rFonts w:cs="Arial"/>
          <w:sz w:val="20"/>
          <w:szCs w:val="20"/>
          <w:lang w:eastAsia="en-US"/>
        </w:rPr>
        <w:t xml:space="preserve"> </w:t>
      </w:r>
    </w:p>
    <w:p w14:paraId="04DD09A6" w14:textId="23560C2B" w:rsidR="00C74E03" w:rsidRPr="001F15C2" w:rsidRDefault="00C74E03" w:rsidP="00C74E03">
      <w:pPr>
        <w:pStyle w:val="Paragraph"/>
        <w:numPr>
          <w:ilvl w:val="0"/>
          <w:numId w:val="0"/>
        </w:numPr>
        <w:spacing w:before="120"/>
        <w:jc w:val="both"/>
        <w:rPr>
          <w:rFonts w:cs="Arial"/>
          <w:sz w:val="20"/>
          <w:szCs w:val="20"/>
        </w:rPr>
      </w:pPr>
      <w:r w:rsidRPr="001F15C2">
        <w:rPr>
          <w:rFonts w:cs="Arial"/>
          <w:sz w:val="20"/>
          <w:szCs w:val="20"/>
          <w:lang w:eastAsia="en-US"/>
        </w:rPr>
        <w:t xml:space="preserve">If </w:t>
      </w:r>
      <w:r>
        <w:rPr>
          <w:rFonts w:cs="Arial"/>
          <w:sz w:val="20"/>
          <w:szCs w:val="20"/>
          <w:lang w:eastAsia="en-US"/>
        </w:rPr>
        <w:t>your</w:t>
      </w:r>
      <w:r w:rsidRPr="001F15C2">
        <w:rPr>
          <w:rFonts w:cs="Arial"/>
          <w:sz w:val="20"/>
          <w:szCs w:val="20"/>
          <w:lang w:eastAsia="en-US"/>
        </w:rPr>
        <w:t xml:space="preserve"> appeal letter and/or responses to scrutiny contain confidential </w:t>
      </w:r>
      <w:proofErr w:type="gramStart"/>
      <w:r w:rsidRPr="001F15C2">
        <w:rPr>
          <w:rFonts w:cs="Arial"/>
          <w:sz w:val="20"/>
          <w:szCs w:val="20"/>
          <w:lang w:eastAsia="en-US"/>
        </w:rPr>
        <w:t>information</w:t>
      </w:r>
      <w:proofErr w:type="gramEnd"/>
      <w:r w:rsidRPr="001F15C2">
        <w:rPr>
          <w:rFonts w:cs="Arial"/>
          <w:sz w:val="20"/>
          <w:szCs w:val="20"/>
        </w:rPr>
        <w:t xml:space="preserve"> please ensure you have provided a version with this information redacted by </w:t>
      </w:r>
      <w:r w:rsidR="005752D7">
        <w:rPr>
          <w:rFonts w:cs="Arial"/>
          <w:sz w:val="20"/>
          <w:szCs w:val="20"/>
        </w:rPr>
        <w:t>29 June 2022</w:t>
      </w:r>
      <w:r w:rsidRPr="001F15C2">
        <w:rPr>
          <w:rFonts w:cs="Arial"/>
          <w:sz w:val="20"/>
          <w:szCs w:val="20"/>
        </w:rPr>
        <w:t>.</w:t>
      </w:r>
    </w:p>
    <w:p w14:paraId="14EA8259" w14:textId="5F2F63DE" w:rsidR="009A01FD" w:rsidRPr="00A84AF4" w:rsidRDefault="009A01FD" w:rsidP="00A84AF4">
      <w:pPr>
        <w:spacing w:before="120" w:after="240"/>
        <w:jc w:val="both"/>
        <w:rPr>
          <w:rFonts w:ascii="Arial" w:eastAsia="Times New Roman" w:hAnsi="Arial"/>
          <w:color w:val="262626" w:themeColor="text1" w:themeTint="D9"/>
          <w:sz w:val="20"/>
          <w:szCs w:val="20"/>
          <w:lang w:eastAsia="en-GB"/>
        </w:rPr>
      </w:pPr>
      <w:r w:rsidRPr="009A01FD">
        <w:rPr>
          <w:rFonts w:ascii="Arial" w:eastAsia="Times New Roman" w:hAnsi="Arial" w:cs="Arial"/>
          <w:sz w:val="20"/>
          <w:szCs w:val="20"/>
        </w:rPr>
        <w:t>Yours sincerely</w:t>
      </w:r>
    </w:p>
    <w:p w14:paraId="03974B88" w14:textId="0AE1B584"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1A545E2"/>
    <w:multiLevelType w:val="hybridMultilevel"/>
    <w:tmpl w:val="9028B44C"/>
    <w:lvl w:ilvl="0" w:tplc="A69073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09481347">
    <w:abstractNumId w:val="1"/>
  </w:num>
  <w:num w:numId="2" w16cid:durableId="1316950946">
    <w:abstractNumId w:val="5"/>
  </w:num>
  <w:num w:numId="3" w16cid:durableId="2019578439">
    <w:abstractNumId w:val="2"/>
  </w:num>
  <w:num w:numId="4" w16cid:durableId="561915322">
    <w:abstractNumId w:val="6"/>
  </w:num>
  <w:num w:numId="5" w16cid:durableId="908538179">
    <w:abstractNumId w:val="0"/>
  </w:num>
  <w:num w:numId="6" w16cid:durableId="957879765">
    <w:abstractNumId w:val="4"/>
  </w:num>
  <w:num w:numId="7" w16cid:durableId="936522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176AA4"/>
    <w:rsid w:val="001D5BD2"/>
    <w:rsid w:val="0022689E"/>
    <w:rsid w:val="00320722"/>
    <w:rsid w:val="00321B75"/>
    <w:rsid w:val="003A3E2E"/>
    <w:rsid w:val="003A79BD"/>
    <w:rsid w:val="003D614E"/>
    <w:rsid w:val="004215D9"/>
    <w:rsid w:val="00453774"/>
    <w:rsid w:val="00480405"/>
    <w:rsid w:val="00492D30"/>
    <w:rsid w:val="00493D2F"/>
    <w:rsid w:val="004C2D22"/>
    <w:rsid w:val="004E4493"/>
    <w:rsid w:val="004F29D7"/>
    <w:rsid w:val="005752D7"/>
    <w:rsid w:val="00575FA7"/>
    <w:rsid w:val="00593F3D"/>
    <w:rsid w:val="005B078B"/>
    <w:rsid w:val="005E0434"/>
    <w:rsid w:val="006628FF"/>
    <w:rsid w:val="0069376C"/>
    <w:rsid w:val="006D0C62"/>
    <w:rsid w:val="006F031D"/>
    <w:rsid w:val="007136CD"/>
    <w:rsid w:val="00732227"/>
    <w:rsid w:val="00866617"/>
    <w:rsid w:val="008E4AE4"/>
    <w:rsid w:val="009A01FD"/>
    <w:rsid w:val="009E2F15"/>
    <w:rsid w:val="009F0476"/>
    <w:rsid w:val="00A84AF4"/>
    <w:rsid w:val="00AE303D"/>
    <w:rsid w:val="00B24360"/>
    <w:rsid w:val="00B32B71"/>
    <w:rsid w:val="00B737D4"/>
    <w:rsid w:val="00BC7BE7"/>
    <w:rsid w:val="00C21448"/>
    <w:rsid w:val="00C74E03"/>
    <w:rsid w:val="00C96687"/>
    <w:rsid w:val="00D22D3F"/>
    <w:rsid w:val="00D27FFE"/>
    <w:rsid w:val="00DA0E91"/>
    <w:rsid w:val="00DD042E"/>
    <w:rsid w:val="00DD43C2"/>
    <w:rsid w:val="00E03263"/>
    <w:rsid w:val="00E60FCF"/>
    <w:rsid w:val="00E622D7"/>
    <w:rsid w:val="00E67BD1"/>
    <w:rsid w:val="00E70F23"/>
    <w:rsid w:val="00E8542F"/>
    <w:rsid w:val="00E973F5"/>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misa.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NG88" TargetMode="External"/><Relationship Id="rId4" Type="http://schemas.openxmlformats.org/officeDocument/2006/relationships/settings" Target="settings.xml"/><Relationship Id="rId9" Type="http://schemas.openxmlformats.org/officeDocument/2006/relationships/hyperlink" Target="https://www.nice.org.uk/process/pmg18/chapter/making-an-appea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47</TotalTime>
  <Pages>8</Pages>
  <Words>3895</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8</cp:revision>
  <cp:lastPrinted>2017-02-13T09:51:00Z</cp:lastPrinted>
  <dcterms:created xsi:type="dcterms:W3CDTF">2022-06-07T10:02:00Z</dcterms:created>
  <dcterms:modified xsi:type="dcterms:W3CDTF">2022-08-23T10:59:00Z</dcterms:modified>
</cp:coreProperties>
</file>