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4ACD" w14:textId="669E163A" w:rsidR="00145354" w:rsidRDefault="00145354" w:rsidP="00DA538E">
      <w:pPr>
        <w:spacing w:after="0" w:line="240" w:lineRule="auto"/>
        <w:jc w:val="both"/>
        <w:rPr>
          <w:rFonts w:ascii="Arial" w:eastAsia="Times New Roman" w:hAnsi="Arial"/>
          <w:sz w:val="20"/>
          <w:szCs w:val="20"/>
        </w:rPr>
      </w:pPr>
      <w:proofErr w:type="spellStart"/>
      <w:r w:rsidRPr="00B61E32">
        <w:rPr>
          <w:rFonts w:eastAsia="Times New Roman"/>
          <w:highlight w:val="black"/>
          <w:lang w:val="en-US" w:eastAsia="en-GB"/>
        </w:rPr>
        <w:t>xxxxxx</w:t>
      </w:r>
      <w:r>
        <w:rPr>
          <w:rFonts w:eastAsia="Times New Roman"/>
          <w:highlight w:val="black"/>
          <w:lang w:val="en-US" w:eastAsia="en-GB"/>
        </w:rPr>
        <w:t>xxxxxxxxxxxxxxxxxxxxxx</w:t>
      </w:r>
      <w:r w:rsidRPr="00B61E32">
        <w:rPr>
          <w:rFonts w:eastAsia="Times New Roman"/>
          <w:highlight w:val="black"/>
          <w:lang w:val="en-US" w:eastAsia="en-GB"/>
        </w:rPr>
        <w:t>xxx</w:t>
      </w:r>
      <w:proofErr w:type="spellEnd"/>
      <w:r w:rsidRPr="00DA538E">
        <w:rPr>
          <w:rFonts w:ascii="Arial" w:eastAsia="Times New Roman" w:hAnsi="Arial"/>
          <w:sz w:val="20"/>
          <w:szCs w:val="20"/>
        </w:rPr>
        <w:t xml:space="preserve"> </w:t>
      </w:r>
    </w:p>
    <w:p w14:paraId="58AD0B85" w14:textId="71902E18" w:rsidR="00DA538E" w:rsidRP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Royal College of Psychiatrists</w:t>
      </w:r>
    </w:p>
    <w:p w14:paraId="019FC330" w14:textId="77777777" w:rsidR="00DA538E" w:rsidRP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21 Prescot Street</w:t>
      </w:r>
      <w:r w:rsidRPr="00DA538E">
        <w:rPr>
          <w:rFonts w:ascii="Arial" w:eastAsia="Times New Roman" w:hAnsi="Arial"/>
          <w:sz w:val="20"/>
          <w:szCs w:val="20"/>
        </w:rPr>
        <w:tab/>
        <w:t xml:space="preserve"> </w:t>
      </w:r>
    </w:p>
    <w:p w14:paraId="690FC20E" w14:textId="77777777" w:rsidR="00DA538E" w:rsidRP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London</w:t>
      </w:r>
      <w:r w:rsidRPr="00DA538E">
        <w:rPr>
          <w:rFonts w:ascii="Arial" w:eastAsia="Times New Roman" w:hAnsi="Arial"/>
          <w:sz w:val="20"/>
          <w:szCs w:val="20"/>
        </w:rPr>
        <w:tab/>
        <w:t xml:space="preserve"> </w:t>
      </w:r>
    </w:p>
    <w:p w14:paraId="1C948714" w14:textId="2D0FFCDD" w:rsidR="00DA538E" w:rsidRDefault="00DA538E" w:rsidP="00DA538E">
      <w:pPr>
        <w:spacing w:after="0" w:line="240" w:lineRule="auto"/>
        <w:jc w:val="both"/>
        <w:rPr>
          <w:rFonts w:ascii="Arial" w:eastAsia="Times New Roman" w:hAnsi="Arial"/>
          <w:sz w:val="20"/>
          <w:szCs w:val="20"/>
        </w:rPr>
      </w:pPr>
      <w:r w:rsidRPr="00DA538E">
        <w:rPr>
          <w:rFonts w:ascii="Arial" w:eastAsia="Times New Roman" w:hAnsi="Arial"/>
          <w:sz w:val="20"/>
          <w:szCs w:val="20"/>
        </w:rPr>
        <w:t>E1 8BB</w:t>
      </w:r>
    </w:p>
    <w:p w14:paraId="59646434" w14:textId="77777777" w:rsidR="00DA538E" w:rsidRPr="00DA538E" w:rsidRDefault="00DA538E" w:rsidP="00DA538E">
      <w:pPr>
        <w:spacing w:after="0" w:line="240" w:lineRule="auto"/>
        <w:jc w:val="both"/>
        <w:rPr>
          <w:rFonts w:ascii="Arial" w:eastAsia="Times New Roman" w:hAnsi="Arial"/>
          <w:sz w:val="20"/>
          <w:szCs w:val="20"/>
        </w:rPr>
      </w:pPr>
    </w:p>
    <w:p w14:paraId="2011B5EA" w14:textId="2BE92077" w:rsidR="00145354" w:rsidRDefault="00DA538E" w:rsidP="00C20B39">
      <w:pPr>
        <w:spacing w:line="288" w:lineRule="auto"/>
        <w:jc w:val="both"/>
        <w:rPr>
          <w:rFonts w:ascii="Arial" w:eastAsia="Times New Roman" w:hAnsi="Arial"/>
          <w:sz w:val="20"/>
          <w:szCs w:val="20"/>
        </w:rPr>
      </w:pPr>
      <w:r w:rsidRPr="00DA538E">
        <w:rPr>
          <w:rFonts w:ascii="Arial" w:eastAsia="Times New Roman" w:hAnsi="Arial" w:cs="Arial"/>
          <w:sz w:val="20"/>
          <w:szCs w:val="20"/>
        </w:rPr>
        <w:t>Sent by e-mail only:</w:t>
      </w:r>
      <w:r w:rsidR="00AB78AB">
        <w:rPr>
          <w:rFonts w:ascii="Arial" w:eastAsia="Times New Roman" w:hAnsi="Arial" w:cs="Arial"/>
          <w:sz w:val="20"/>
          <w:szCs w:val="20"/>
        </w:rPr>
        <w:t xml:space="preserve"> </w:t>
      </w:r>
      <w:proofErr w:type="spellStart"/>
      <w:r w:rsidR="00145354" w:rsidRPr="00B61E32">
        <w:rPr>
          <w:rFonts w:eastAsia="Times New Roman"/>
          <w:highlight w:val="black"/>
          <w:lang w:val="en-US" w:eastAsia="en-GB"/>
        </w:rPr>
        <w:t>xxxxxx</w:t>
      </w:r>
      <w:r w:rsidR="00145354">
        <w:rPr>
          <w:rFonts w:eastAsia="Times New Roman"/>
          <w:highlight w:val="black"/>
          <w:lang w:val="en-US" w:eastAsia="en-GB"/>
        </w:rPr>
        <w:t>xxxxxxxxxxxxxxxxxxxxxxxxxxxxxxxxxxxxxxxxxxxxxxxx</w:t>
      </w:r>
      <w:r w:rsidR="00145354" w:rsidRPr="00B61E32">
        <w:rPr>
          <w:rFonts w:eastAsia="Times New Roman"/>
          <w:highlight w:val="black"/>
          <w:lang w:val="en-US" w:eastAsia="en-GB"/>
        </w:rPr>
        <w:t>xxx</w:t>
      </w:r>
      <w:proofErr w:type="spellEnd"/>
      <w:r w:rsidR="00145354" w:rsidRPr="00DA538E">
        <w:rPr>
          <w:rFonts w:ascii="Arial" w:eastAsia="Times New Roman" w:hAnsi="Arial"/>
          <w:sz w:val="20"/>
          <w:szCs w:val="20"/>
        </w:rPr>
        <w:t xml:space="preserve"> </w:t>
      </w:r>
    </w:p>
    <w:p w14:paraId="14476D22" w14:textId="2654D8E6" w:rsidR="00C20B39" w:rsidRPr="00C20B39" w:rsidRDefault="00C20B39" w:rsidP="00C20B39">
      <w:pPr>
        <w:spacing w:line="288" w:lineRule="auto"/>
        <w:jc w:val="both"/>
        <w:rPr>
          <w:rFonts w:ascii="Arial" w:eastAsia="Times New Roman" w:hAnsi="Arial"/>
          <w:color w:val="333333"/>
          <w:sz w:val="20"/>
          <w:szCs w:val="20"/>
        </w:rPr>
      </w:pPr>
      <w:r w:rsidRPr="00C20B39">
        <w:rPr>
          <w:rFonts w:ascii="Arial" w:eastAsia="Times New Roman" w:hAnsi="Arial" w:cs="Arial"/>
          <w:sz w:val="20"/>
          <w:szCs w:val="20"/>
        </w:rPr>
        <w:t>1</w:t>
      </w:r>
      <w:r>
        <w:rPr>
          <w:rFonts w:ascii="Arial" w:eastAsia="Times New Roman" w:hAnsi="Arial" w:cs="Arial"/>
          <w:sz w:val="20"/>
          <w:szCs w:val="20"/>
        </w:rPr>
        <w:t>3</w:t>
      </w:r>
      <w:r w:rsidRPr="00C20B39">
        <w:rPr>
          <w:rFonts w:ascii="Arial" w:eastAsia="Times New Roman" w:hAnsi="Arial" w:cs="Arial"/>
          <w:sz w:val="20"/>
          <w:szCs w:val="20"/>
        </w:rPr>
        <w:t xml:space="preserve"> July 2022</w:t>
      </w:r>
      <w:bookmarkStart w:id="0" w:name="Text"/>
      <w:bookmarkEnd w:id="0"/>
    </w:p>
    <w:p w14:paraId="13327B75" w14:textId="53854455" w:rsidR="00C20B39" w:rsidRPr="00C20B39" w:rsidRDefault="00C20B39" w:rsidP="00C20B39">
      <w:pPr>
        <w:spacing w:line="288" w:lineRule="auto"/>
        <w:ind w:left="426" w:right="468" w:hanging="426"/>
        <w:jc w:val="both"/>
        <w:rPr>
          <w:rFonts w:ascii="Arial" w:eastAsia="Times New Roman" w:hAnsi="Arial" w:cs="Arial"/>
          <w:noProof/>
          <w:spacing w:val="-3"/>
          <w:sz w:val="20"/>
          <w:szCs w:val="20"/>
          <w:lang w:eastAsia="en-GB"/>
        </w:rPr>
      </w:pPr>
      <w:bookmarkStart w:id="1" w:name="deartext"/>
      <w:r w:rsidRPr="00C20B39">
        <w:rPr>
          <w:rFonts w:ascii="Arial" w:eastAsia="Times New Roman" w:hAnsi="Arial" w:cs="Arial"/>
          <w:sz w:val="20"/>
          <w:szCs w:val="20"/>
        </w:rPr>
        <w:t>Dear</w:t>
      </w:r>
      <w:bookmarkEnd w:id="1"/>
      <w:r w:rsidRPr="00C20B39">
        <w:rPr>
          <w:rFonts w:ascii="Arial" w:eastAsia="Times New Roman" w:hAnsi="Arial" w:cs="Arial"/>
          <w:sz w:val="20"/>
          <w:szCs w:val="20"/>
        </w:rPr>
        <w:t xml:space="preserve"> </w:t>
      </w:r>
      <w:bookmarkStart w:id="2" w:name="Sal"/>
      <w:bookmarkEnd w:id="2"/>
      <w:proofErr w:type="spellStart"/>
      <w:r w:rsidR="00432DBD" w:rsidRPr="00B61E32">
        <w:rPr>
          <w:rFonts w:eastAsia="Times New Roman"/>
          <w:highlight w:val="black"/>
          <w:lang w:val="en-US" w:eastAsia="en-GB"/>
        </w:rPr>
        <w:t>xxxxxx</w:t>
      </w:r>
      <w:r w:rsidR="00432DBD">
        <w:rPr>
          <w:rFonts w:eastAsia="Times New Roman"/>
          <w:highlight w:val="black"/>
          <w:lang w:val="en-US" w:eastAsia="en-GB"/>
        </w:rPr>
        <w:t>xxxxxxxxxxxxxxxxxxxxxx</w:t>
      </w:r>
      <w:r w:rsidR="00432DBD" w:rsidRPr="00B61E32">
        <w:rPr>
          <w:rFonts w:eastAsia="Times New Roman"/>
          <w:highlight w:val="black"/>
          <w:lang w:val="en-US" w:eastAsia="en-GB"/>
        </w:rPr>
        <w:t>xxx</w:t>
      </w:r>
      <w:proofErr w:type="spellEnd"/>
    </w:p>
    <w:p w14:paraId="12B703A2" w14:textId="77777777" w:rsidR="00C20B39" w:rsidRPr="00C20B39" w:rsidRDefault="00C20B39" w:rsidP="00C20B39">
      <w:pPr>
        <w:spacing w:line="288" w:lineRule="auto"/>
        <w:ind w:left="426" w:right="468" w:hanging="426"/>
        <w:jc w:val="both"/>
        <w:rPr>
          <w:rFonts w:ascii="Arial" w:eastAsia="Times New Roman" w:hAnsi="Arial" w:cs="Arial"/>
          <w:b/>
          <w:sz w:val="20"/>
          <w:szCs w:val="20"/>
        </w:rPr>
      </w:pPr>
      <w:r w:rsidRPr="00C20B39">
        <w:rPr>
          <w:rFonts w:ascii="Arial" w:eastAsia="Times New Roman" w:hAnsi="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3E8AE3F9" wp14:editId="7158AFFB">
                <wp:simplePos x="0" y="0"/>
                <wp:positionH relativeFrom="column">
                  <wp:posOffset>-805815</wp:posOffset>
                </wp:positionH>
                <wp:positionV relativeFrom="paragraph">
                  <wp:posOffset>255270</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C29D71"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C20B39">
        <w:rPr>
          <w:rFonts w:ascii="Arial" w:eastAsia="Times New Roman" w:hAnsi="Arial" w:cs="Arial"/>
          <w:b/>
          <w:spacing w:val="-3"/>
          <w:sz w:val="20"/>
          <w:szCs w:val="20"/>
        </w:rPr>
        <w:t xml:space="preserve">Re: </w:t>
      </w:r>
      <w:r w:rsidRPr="00C20B39">
        <w:rPr>
          <w:rFonts w:ascii="Arial" w:eastAsia="Times New Roman" w:hAnsi="Arial" w:cs="Arial"/>
          <w:b/>
          <w:sz w:val="20"/>
          <w:szCs w:val="20"/>
        </w:rPr>
        <w:t>Final Appraisal Document — Esketamine for treatment-resistant depression [ID1414]</w:t>
      </w:r>
    </w:p>
    <w:p w14:paraId="1213264F" w14:textId="77777777" w:rsidR="00C20B39" w:rsidRPr="00C20B39" w:rsidRDefault="00C20B39" w:rsidP="00C20B39">
      <w:pPr>
        <w:spacing w:line="288" w:lineRule="auto"/>
        <w:jc w:val="both"/>
        <w:rPr>
          <w:rFonts w:ascii="Arial" w:eastAsia="Times New Roman" w:hAnsi="Arial" w:cs="Arial"/>
          <w:color w:val="333333"/>
          <w:sz w:val="20"/>
          <w:szCs w:val="20"/>
        </w:rPr>
      </w:pPr>
      <w:r w:rsidRPr="00C20B39">
        <w:rPr>
          <w:rFonts w:ascii="Arial" w:eastAsia="Times New Roman" w:hAnsi="Arial" w:cs="Arial"/>
          <w:sz w:val="20"/>
          <w:szCs w:val="20"/>
        </w:rPr>
        <w:t xml:space="preserve">Thank you for your email of 5 July sent on behalf of the Royal College of Psychiatrists responding to </w:t>
      </w:r>
      <w:r w:rsidRPr="00C20B39">
        <w:rPr>
          <w:rFonts w:ascii="Arial" w:eastAsia="Times New Roman" w:hAnsi="Arial" w:cs="Arial"/>
          <w:color w:val="333333"/>
          <w:sz w:val="20"/>
          <w:szCs w:val="20"/>
        </w:rPr>
        <w:t xml:space="preserve">my initial scrutiny views.  This is my final decision on initial scrutiny. </w:t>
      </w:r>
    </w:p>
    <w:p w14:paraId="03B170FB" w14:textId="77777777" w:rsidR="00C20B39" w:rsidRPr="00C20B39" w:rsidRDefault="00C20B39" w:rsidP="00C20B39">
      <w:pPr>
        <w:spacing w:line="288" w:lineRule="auto"/>
        <w:jc w:val="both"/>
        <w:rPr>
          <w:rFonts w:ascii="Arial" w:eastAsia="Times New Roman" w:hAnsi="Arial" w:cs="Arial"/>
          <w:b/>
          <w:i/>
          <w:color w:val="333333"/>
          <w:sz w:val="20"/>
          <w:szCs w:val="20"/>
        </w:rPr>
      </w:pPr>
      <w:r w:rsidRPr="00C20B39">
        <w:rPr>
          <w:rFonts w:ascii="Arial" w:eastAsia="Times New Roman" w:hAnsi="Arial" w:cs="Arial"/>
          <w:b/>
          <w:i/>
          <w:color w:val="333333"/>
          <w:sz w:val="20"/>
          <w:szCs w:val="20"/>
        </w:rPr>
        <w:t>Ground 2:</w:t>
      </w:r>
      <w:r w:rsidRPr="00C20B39">
        <w:rPr>
          <w:rFonts w:ascii="Arial" w:eastAsia="Times New Roman" w:hAnsi="Arial"/>
          <w:i/>
          <w:color w:val="333333"/>
          <w:sz w:val="20"/>
          <w:szCs w:val="20"/>
        </w:rPr>
        <w:t xml:space="preserve"> </w:t>
      </w:r>
      <w:r w:rsidRPr="00C20B39">
        <w:rPr>
          <w:rFonts w:ascii="Arial" w:eastAsia="Times New Roman" w:hAnsi="Arial" w:cs="Arial"/>
          <w:b/>
          <w:i/>
          <w:color w:val="333333"/>
          <w:sz w:val="20"/>
          <w:szCs w:val="20"/>
        </w:rPr>
        <w:t>the recommendation is unreasonable in the light of the evidence submitted to NICE</w:t>
      </w:r>
    </w:p>
    <w:p w14:paraId="4947FD36" w14:textId="77777777" w:rsidR="00C20B39" w:rsidRPr="00C20B39" w:rsidRDefault="00C20B39" w:rsidP="00C20B39">
      <w:pPr>
        <w:spacing w:line="288" w:lineRule="auto"/>
        <w:jc w:val="both"/>
        <w:rPr>
          <w:rFonts w:ascii="Arial" w:eastAsia="Times New Roman" w:hAnsi="Arial"/>
          <w:b/>
          <w:sz w:val="20"/>
          <w:szCs w:val="20"/>
        </w:rPr>
      </w:pPr>
      <w:r w:rsidRPr="00C20B39">
        <w:rPr>
          <w:rFonts w:ascii="Arial" w:eastAsia="Times New Roman" w:hAnsi="Arial"/>
          <w:b/>
          <w:sz w:val="20"/>
          <w:szCs w:val="20"/>
        </w:rPr>
        <w:t>Appeal point 2.1: The recommendation is unreasonable because of the committee’s approach to “Uncertainty in long term data for modelling”</w:t>
      </w:r>
    </w:p>
    <w:p w14:paraId="69C9EB03" w14:textId="77777777" w:rsidR="00C20B39" w:rsidRPr="00C20B39" w:rsidRDefault="00C20B39" w:rsidP="00C20B39">
      <w:pPr>
        <w:spacing w:line="288" w:lineRule="auto"/>
        <w:jc w:val="both"/>
        <w:rPr>
          <w:rFonts w:ascii="Arial" w:eastAsia="Times New Roman" w:hAnsi="Arial"/>
          <w:sz w:val="20"/>
          <w:szCs w:val="20"/>
        </w:rPr>
      </w:pPr>
      <w:r w:rsidRPr="00C20B39">
        <w:rPr>
          <w:rFonts w:ascii="Arial" w:eastAsia="Times New Roman" w:hAnsi="Arial"/>
          <w:sz w:val="20"/>
          <w:szCs w:val="20"/>
        </w:rPr>
        <w:t xml:space="preserve">Already accepted as a valid appeal point limited to whether it was reasonable for the committee to conclude, based on the evidence submitted to it, that </w:t>
      </w:r>
      <w:proofErr w:type="spellStart"/>
      <w:r w:rsidRPr="00C20B39">
        <w:rPr>
          <w:rFonts w:ascii="Arial" w:eastAsia="Times New Roman" w:hAnsi="Arial"/>
          <w:sz w:val="20"/>
          <w:szCs w:val="20"/>
        </w:rPr>
        <w:t>esketamine</w:t>
      </w:r>
      <w:proofErr w:type="spellEnd"/>
      <w:r w:rsidRPr="00C20B39">
        <w:rPr>
          <w:rFonts w:ascii="Arial" w:eastAsia="Times New Roman" w:hAnsi="Arial"/>
          <w:sz w:val="20"/>
          <w:szCs w:val="20"/>
        </w:rPr>
        <w:t xml:space="preserve"> could not be recommended because the ICERs are highly uncertain (see paragraphs 3.36 and 3.41 of the FAD).</w:t>
      </w:r>
    </w:p>
    <w:p w14:paraId="0249CF99" w14:textId="77777777" w:rsidR="00C20B39" w:rsidRPr="00C20B39" w:rsidRDefault="00C20B39" w:rsidP="00C20B39">
      <w:pPr>
        <w:spacing w:before="240" w:line="288" w:lineRule="auto"/>
        <w:jc w:val="both"/>
        <w:rPr>
          <w:rFonts w:ascii="Arial" w:eastAsia="Times New Roman" w:hAnsi="Arial"/>
          <w:b/>
          <w:color w:val="333333"/>
          <w:sz w:val="20"/>
          <w:szCs w:val="20"/>
        </w:rPr>
      </w:pPr>
      <w:r w:rsidRPr="00C20B39">
        <w:rPr>
          <w:rFonts w:ascii="Arial" w:eastAsia="Times New Roman" w:hAnsi="Arial"/>
          <w:b/>
          <w:color w:val="333333"/>
          <w:sz w:val="20"/>
          <w:szCs w:val="20"/>
        </w:rPr>
        <w:t>Appeal point 2.2 The recommendation is unreasonable because of “Inconsistency between technology assessments in approach to extrapolating evidence to more resistant illness”</w:t>
      </w:r>
    </w:p>
    <w:p w14:paraId="64ADDD92" w14:textId="77777777" w:rsidR="00C20B39" w:rsidRPr="00C20B39" w:rsidRDefault="00C20B39" w:rsidP="00C20B39">
      <w:pPr>
        <w:spacing w:before="240" w:line="288" w:lineRule="auto"/>
        <w:jc w:val="both"/>
        <w:rPr>
          <w:rFonts w:ascii="Arial" w:eastAsia="Times New Roman" w:hAnsi="Arial"/>
          <w:sz w:val="20"/>
          <w:szCs w:val="20"/>
        </w:rPr>
      </w:pPr>
      <w:r w:rsidRPr="00C20B39">
        <w:rPr>
          <w:rFonts w:ascii="Arial" w:eastAsia="Times New Roman" w:hAnsi="Arial"/>
          <w:color w:val="333333"/>
          <w:sz w:val="20"/>
          <w:szCs w:val="20"/>
        </w:rPr>
        <w:t>Your a</w:t>
      </w:r>
      <w:r w:rsidRPr="00C20B39">
        <w:rPr>
          <w:rFonts w:ascii="Arial" w:eastAsia="Times New Roman" w:hAnsi="Arial"/>
          <w:sz w:val="20"/>
          <w:szCs w:val="20"/>
        </w:rPr>
        <w:t>ppeal letter stated:</w:t>
      </w:r>
    </w:p>
    <w:p w14:paraId="7D1A24B2" w14:textId="77777777" w:rsidR="00C20B39" w:rsidRPr="00C20B39" w:rsidRDefault="00C20B39" w:rsidP="00C20B39">
      <w:pPr>
        <w:spacing w:line="288" w:lineRule="auto"/>
        <w:ind w:left="709"/>
        <w:jc w:val="both"/>
        <w:rPr>
          <w:rFonts w:ascii="Arial" w:eastAsia="Times New Roman" w:hAnsi="Arial"/>
          <w:i/>
          <w:sz w:val="20"/>
          <w:szCs w:val="20"/>
        </w:rPr>
      </w:pPr>
      <w:r w:rsidRPr="00C20B39">
        <w:rPr>
          <w:rFonts w:ascii="Arial" w:eastAsia="Times New Roman" w:hAnsi="Arial"/>
          <w:sz w:val="20"/>
          <w:szCs w:val="20"/>
        </w:rPr>
        <w:tab/>
      </w:r>
      <w:r w:rsidRPr="00C20B39">
        <w:rPr>
          <w:rFonts w:ascii="Arial" w:eastAsia="Times New Roman" w:hAnsi="Arial"/>
          <w:i/>
          <w:sz w:val="20"/>
          <w:szCs w:val="20"/>
        </w:rPr>
        <w:t xml:space="preserve">“In assessing </w:t>
      </w:r>
      <w:proofErr w:type="spellStart"/>
      <w:r w:rsidRPr="00C20B39">
        <w:rPr>
          <w:rFonts w:ascii="Arial" w:eastAsia="Times New Roman" w:hAnsi="Arial"/>
          <w:i/>
          <w:sz w:val="20"/>
          <w:szCs w:val="20"/>
        </w:rPr>
        <w:t>esketamine</w:t>
      </w:r>
      <w:proofErr w:type="spellEnd"/>
      <w:r w:rsidRPr="00C20B39">
        <w:rPr>
          <w:rFonts w:ascii="Arial" w:eastAsia="Times New Roman" w:hAnsi="Arial"/>
          <w:i/>
          <w:sz w:val="20"/>
          <w:szCs w:val="20"/>
        </w:rPr>
        <w:t xml:space="preserve"> as a fourth line drug, the committee judged the evidence of clinical efficacy as being too uncertain, in large part because that evidence was generated in phase 3 trials of its use as a third line drug.   </w:t>
      </w:r>
    </w:p>
    <w:p w14:paraId="6EFEBEC4" w14:textId="77777777" w:rsidR="00C20B39" w:rsidRPr="00C20B39" w:rsidRDefault="00C20B39" w:rsidP="00C20B39">
      <w:pPr>
        <w:spacing w:line="288" w:lineRule="auto"/>
        <w:ind w:left="720" w:hanging="11"/>
        <w:jc w:val="both"/>
        <w:rPr>
          <w:rFonts w:ascii="Arial" w:eastAsia="Times New Roman" w:hAnsi="Arial"/>
          <w:i/>
          <w:sz w:val="20"/>
          <w:szCs w:val="20"/>
        </w:rPr>
      </w:pPr>
      <w:r w:rsidRPr="00C20B39">
        <w:rPr>
          <w:rFonts w:ascii="Arial" w:eastAsia="Times New Roman" w:hAnsi="Arial"/>
          <w:i/>
          <w:sz w:val="20"/>
          <w:szCs w:val="20"/>
        </w:rPr>
        <w:t>However, in assessing vortioxetine as a third line drug, the committee judged evidence generated in examining its use as a second line drug as sufficient (TA367): ‘evidence from trials in the first line population was relevant to informing the relative effectiveness of vortioxetine compared with other antidepressants for second and subsequent lines of treatment’.</w:t>
      </w:r>
    </w:p>
    <w:p w14:paraId="3DE95A04" w14:textId="77777777" w:rsidR="00C20B39" w:rsidRPr="00C20B39" w:rsidRDefault="00C20B39" w:rsidP="00C20B39">
      <w:pPr>
        <w:spacing w:line="288" w:lineRule="auto"/>
        <w:ind w:left="720" w:hanging="11"/>
        <w:jc w:val="both"/>
        <w:rPr>
          <w:rFonts w:ascii="Arial" w:eastAsia="Times New Roman" w:hAnsi="Arial"/>
          <w:i/>
          <w:sz w:val="20"/>
          <w:szCs w:val="20"/>
        </w:rPr>
      </w:pPr>
      <w:r w:rsidRPr="00C20B39">
        <w:rPr>
          <w:rFonts w:ascii="Arial" w:eastAsia="Times New Roman" w:hAnsi="Arial"/>
          <w:i/>
          <w:sz w:val="20"/>
          <w:szCs w:val="20"/>
        </w:rPr>
        <w:t xml:space="preserve">Further, extrapolations from a lesser evidence base than that used in the assessment of </w:t>
      </w:r>
      <w:proofErr w:type="spellStart"/>
      <w:r w:rsidRPr="00C20B39">
        <w:rPr>
          <w:rFonts w:ascii="Arial" w:eastAsia="Times New Roman" w:hAnsi="Arial"/>
          <w:i/>
          <w:sz w:val="20"/>
          <w:szCs w:val="20"/>
        </w:rPr>
        <w:t>esketamine</w:t>
      </w:r>
      <w:proofErr w:type="spellEnd"/>
      <w:r w:rsidRPr="00C20B39">
        <w:rPr>
          <w:rFonts w:ascii="Arial" w:eastAsia="Times New Roman" w:hAnsi="Arial"/>
          <w:i/>
          <w:sz w:val="20"/>
          <w:szCs w:val="20"/>
        </w:rPr>
        <w:t xml:space="preserve"> were made when in order to generate long term models in assessment of Vortioxetine as a third line drug for depression (TA 367).</w:t>
      </w:r>
    </w:p>
    <w:p w14:paraId="3C2F2C30" w14:textId="77777777" w:rsidR="00C20B39" w:rsidRPr="00C20B39" w:rsidRDefault="00C20B39" w:rsidP="00C20B39">
      <w:pPr>
        <w:spacing w:line="288" w:lineRule="auto"/>
        <w:ind w:left="720" w:hanging="11"/>
        <w:jc w:val="both"/>
        <w:rPr>
          <w:rFonts w:ascii="Arial" w:eastAsia="Times New Roman" w:hAnsi="Arial"/>
          <w:i/>
          <w:sz w:val="20"/>
          <w:szCs w:val="20"/>
        </w:rPr>
      </w:pPr>
      <w:r w:rsidRPr="00C20B39">
        <w:rPr>
          <w:rFonts w:ascii="Arial" w:eastAsia="Times New Roman" w:hAnsi="Arial"/>
          <w:i/>
          <w:sz w:val="20"/>
          <w:szCs w:val="20"/>
        </w:rPr>
        <w:t xml:space="preserve">The vortioxetine FAD accepted that people in stable remission would stop their antidepressant after 2 years.  This was accepted.  The </w:t>
      </w:r>
      <w:proofErr w:type="spellStart"/>
      <w:r w:rsidRPr="00C20B39">
        <w:rPr>
          <w:rFonts w:ascii="Arial" w:eastAsia="Times New Roman" w:hAnsi="Arial"/>
          <w:i/>
          <w:sz w:val="20"/>
          <w:szCs w:val="20"/>
        </w:rPr>
        <w:t>esketamine</w:t>
      </w:r>
      <w:proofErr w:type="spellEnd"/>
      <w:r w:rsidRPr="00C20B39">
        <w:rPr>
          <w:rFonts w:ascii="Arial" w:eastAsia="Times New Roman" w:hAnsi="Arial"/>
          <w:i/>
          <w:sz w:val="20"/>
          <w:szCs w:val="20"/>
        </w:rPr>
        <w:t xml:space="preserve"> submission was that 60% would stop at 2 years but was not accepted.”</w:t>
      </w:r>
    </w:p>
    <w:p w14:paraId="78BEF404" w14:textId="77777777" w:rsidR="00C20B39" w:rsidRPr="00C20B39" w:rsidRDefault="00C20B39" w:rsidP="00C20B39">
      <w:pPr>
        <w:spacing w:after="160" w:line="252" w:lineRule="auto"/>
        <w:jc w:val="both"/>
        <w:rPr>
          <w:rFonts w:ascii="Arial" w:eastAsia="Times New Roman" w:hAnsi="Arial" w:cs="Arial"/>
          <w:color w:val="333333"/>
          <w:sz w:val="20"/>
          <w:szCs w:val="20"/>
        </w:rPr>
      </w:pPr>
      <w:r w:rsidRPr="00C20B39">
        <w:rPr>
          <w:rFonts w:ascii="Arial" w:eastAsia="Times New Roman" w:hAnsi="Arial" w:cs="Arial"/>
          <w:color w:val="333333"/>
          <w:sz w:val="20"/>
          <w:szCs w:val="20"/>
        </w:rPr>
        <w:t xml:space="preserve">I dealt with this as a general point in my initial scrutiny letter and then commented on each of the three issues you raise. </w:t>
      </w:r>
    </w:p>
    <w:p w14:paraId="50A441B3" w14:textId="77777777" w:rsidR="00C20B39" w:rsidRPr="00C20B39" w:rsidRDefault="00C20B39" w:rsidP="00C20B39">
      <w:pPr>
        <w:spacing w:after="160" w:line="252" w:lineRule="auto"/>
        <w:jc w:val="both"/>
        <w:rPr>
          <w:rFonts w:ascii="Arial" w:eastAsia="Times New Roman" w:hAnsi="Arial" w:cs="Arial"/>
          <w:color w:val="333333"/>
          <w:sz w:val="20"/>
          <w:szCs w:val="20"/>
        </w:rPr>
      </w:pPr>
      <w:r w:rsidRPr="00C20B39">
        <w:rPr>
          <w:rFonts w:ascii="Arial" w:eastAsia="Times New Roman" w:hAnsi="Arial" w:cs="Arial"/>
          <w:color w:val="333333"/>
          <w:sz w:val="20"/>
          <w:szCs w:val="20"/>
        </w:rPr>
        <w:lastRenderedPageBreak/>
        <w:t xml:space="preserve">I understand from your response to initial scrutiny that you do not wish to offer further evidence on the first two issues, so for the reasons given in my initial scrutiny letter I will not be referring those to the appeal panel. </w:t>
      </w:r>
    </w:p>
    <w:p w14:paraId="487960CB" w14:textId="77777777" w:rsidR="00C20B39" w:rsidRPr="00C20B39" w:rsidRDefault="00C20B39" w:rsidP="00C20B39">
      <w:pPr>
        <w:spacing w:after="160" w:line="252" w:lineRule="auto"/>
        <w:jc w:val="both"/>
        <w:rPr>
          <w:rFonts w:ascii="Arial" w:eastAsia="Times New Roman" w:hAnsi="Arial" w:cs="Arial"/>
          <w:color w:val="333333"/>
          <w:sz w:val="20"/>
          <w:szCs w:val="20"/>
        </w:rPr>
      </w:pPr>
      <w:r w:rsidRPr="00C20B39">
        <w:rPr>
          <w:rFonts w:ascii="Arial" w:eastAsia="Times New Roman" w:hAnsi="Arial" w:cs="Arial"/>
          <w:color w:val="333333"/>
          <w:sz w:val="20"/>
          <w:szCs w:val="20"/>
        </w:rPr>
        <w:t>You have however provided more evidence on the final paragraph of the above relating to duration and stopping of maintenance treatment. Thank you for your further comments on this point.  I confirm this issue will be referred to the appeal panel.</w:t>
      </w:r>
    </w:p>
    <w:p w14:paraId="738333BE" w14:textId="77777777" w:rsidR="00C20B39" w:rsidRPr="00C20B39" w:rsidRDefault="00C20B39" w:rsidP="00C20B39">
      <w:pPr>
        <w:spacing w:after="160" w:line="252" w:lineRule="auto"/>
        <w:jc w:val="both"/>
        <w:rPr>
          <w:rFonts w:ascii="Arial" w:eastAsia="Times New Roman" w:hAnsi="Arial" w:cs="Arial"/>
          <w:color w:val="333333"/>
          <w:sz w:val="20"/>
          <w:szCs w:val="20"/>
        </w:rPr>
      </w:pPr>
      <w:r w:rsidRPr="00C20B39">
        <w:rPr>
          <w:rFonts w:ascii="Arial" w:eastAsia="Times New Roman" w:hAnsi="Arial" w:cs="Arial"/>
          <w:iCs/>
          <w:color w:val="333333"/>
          <w:sz w:val="20"/>
          <w:szCs w:val="20"/>
        </w:rPr>
        <w:t xml:space="preserve">So as to assist in preparing for this appeal, I reiterate the point I made at initial scrutiny that there </w:t>
      </w:r>
      <w:r w:rsidRPr="00C20B39">
        <w:rPr>
          <w:rFonts w:ascii="Arial" w:eastAsia="Times New Roman" w:hAnsi="Arial"/>
          <w:sz w:val="20"/>
          <w:szCs w:val="20"/>
        </w:rPr>
        <w:t xml:space="preserve">is there is no rule of precedent that a previous FAD must be followed and two different committees taking different approaches does not in itself evidence unreasonableness. I note that in the FAD for Vortioxetine section 3.51 notes that, in most cases, the conclusions about vortioxetine's cost effectiveness depends on which source of efficacy data is chosen rather than the scenario chosen (for example, primary or secondary care setting, length of maintenance treatment). This, for example, may not be the case for </w:t>
      </w:r>
      <w:proofErr w:type="spellStart"/>
      <w:r w:rsidRPr="00C20B39">
        <w:rPr>
          <w:rFonts w:ascii="Arial" w:eastAsia="Times New Roman" w:hAnsi="Arial"/>
          <w:sz w:val="20"/>
          <w:szCs w:val="20"/>
        </w:rPr>
        <w:t>esketamine</w:t>
      </w:r>
      <w:proofErr w:type="spellEnd"/>
      <w:r w:rsidRPr="00C20B39">
        <w:rPr>
          <w:rFonts w:ascii="Arial" w:eastAsia="Times New Roman" w:hAnsi="Arial"/>
          <w:sz w:val="20"/>
          <w:szCs w:val="20"/>
        </w:rPr>
        <w:t>. I therefore expect t</w:t>
      </w:r>
      <w:r w:rsidRPr="00C20B39">
        <w:rPr>
          <w:rFonts w:ascii="Arial" w:eastAsia="Times New Roman" w:hAnsi="Arial" w:cs="Arial"/>
          <w:iCs/>
          <w:color w:val="333333"/>
          <w:sz w:val="20"/>
          <w:szCs w:val="20"/>
        </w:rPr>
        <w:t xml:space="preserve">he focus of this appeal point will be on </w:t>
      </w:r>
      <w:r w:rsidRPr="00C20B39">
        <w:rPr>
          <w:rFonts w:ascii="Arial" w:eastAsia="Times New Roman" w:hAnsi="Arial" w:cs="Arial"/>
          <w:color w:val="000000"/>
          <w:sz w:val="20"/>
          <w:szCs w:val="20"/>
        </w:rPr>
        <w:t xml:space="preserve">whether there are material differences between this appraisal and the appraisal of Vortioxetine for treating major depressive episodes (TA367) that suggest a difference in approach in relation to duration and stopping of maintenance treatment and, if so, whether this was reasonable. </w:t>
      </w:r>
    </w:p>
    <w:p w14:paraId="0B6504BA" w14:textId="77777777" w:rsidR="00C20B39" w:rsidRPr="00C20B39" w:rsidRDefault="00C20B39" w:rsidP="00C20B39">
      <w:pPr>
        <w:spacing w:line="288" w:lineRule="auto"/>
        <w:jc w:val="both"/>
        <w:rPr>
          <w:rFonts w:ascii="Arial" w:eastAsia="Times New Roman" w:hAnsi="Arial"/>
          <w:sz w:val="20"/>
          <w:szCs w:val="20"/>
          <w:u w:val="single"/>
        </w:rPr>
      </w:pPr>
      <w:r w:rsidRPr="00C20B39">
        <w:rPr>
          <w:rFonts w:ascii="Arial" w:eastAsia="Times New Roman" w:hAnsi="Arial"/>
          <w:b/>
          <w:sz w:val="20"/>
          <w:szCs w:val="20"/>
        </w:rPr>
        <w:t>Appeal point 2.3 The recommendation is unreasonable because of the committee “not taking smaller size of treated group into consideration”</w:t>
      </w:r>
    </w:p>
    <w:p w14:paraId="3D72FB0F" w14:textId="77777777" w:rsidR="00C20B39" w:rsidRPr="00C20B39" w:rsidRDefault="00C20B39" w:rsidP="00C20B39">
      <w:pPr>
        <w:spacing w:after="160" w:line="252" w:lineRule="auto"/>
        <w:jc w:val="both"/>
        <w:rPr>
          <w:rFonts w:eastAsia="Times New Roman"/>
          <w:sz w:val="20"/>
          <w:szCs w:val="20"/>
        </w:rPr>
      </w:pPr>
      <w:r w:rsidRPr="00C20B39">
        <w:rPr>
          <w:rFonts w:ascii="Arial" w:eastAsia="Times New Roman" w:hAnsi="Arial" w:cs="Arial"/>
          <w:color w:val="333333"/>
          <w:sz w:val="20"/>
          <w:szCs w:val="20"/>
        </w:rPr>
        <w:t>I am grateful for your confirmation that you do not wish to offer further evidence on this point.  For the reasons given in my initial scrutiny letter I will not be referring it to the appeal panel.</w:t>
      </w:r>
    </w:p>
    <w:p w14:paraId="7F163DB8" w14:textId="77777777" w:rsidR="00C20B39" w:rsidRPr="00C20B39" w:rsidRDefault="00C20B39" w:rsidP="00C20B39">
      <w:pPr>
        <w:spacing w:line="288" w:lineRule="auto"/>
        <w:jc w:val="both"/>
        <w:rPr>
          <w:rFonts w:ascii="Arial" w:eastAsia="Times New Roman" w:hAnsi="Arial"/>
          <w:sz w:val="20"/>
          <w:szCs w:val="20"/>
          <w:u w:val="single"/>
        </w:rPr>
      </w:pPr>
      <w:r w:rsidRPr="00C20B39">
        <w:rPr>
          <w:rFonts w:ascii="Arial" w:eastAsia="Times New Roman" w:hAnsi="Arial"/>
          <w:color w:val="333333"/>
          <w:sz w:val="20"/>
          <w:szCs w:val="20"/>
          <w:u w:val="single"/>
        </w:rPr>
        <w:t>Conclusion</w:t>
      </w:r>
    </w:p>
    <w:p w14:paraId="134AC2CB" w14:textId="77777777" w:rsidR="00C20B39" w:rsidRPr="00C20B39" w:rsidRDefault="00C20B39" w:rsidP="00C20B39">
      <w:pPr>
        <w:spacing w:line="288" w:lineRule="auto"/>
        <w:jc w:val="both"/>
        <w:rPr>
          <w:rFonts w:ascii="Arial" w:eastAsia="Times New Roman" w:hAnsi="Arial"/>
          <w:color w:val="333333"/>
          <w:sz w:val="20"/>
          <w:szCs w:val="20"/>
        </w:rPr>
      </w:pPr>
      <w:r w:rsidRPr="00C20B39">
        <w:rPr>
          <w:rFonts w:ascii="Arial" w:eastAsia="Times New Roman" w:hAnsi="Arial"/>
          <w:color w:val="333333"/>
          <w:sz w:val="20"/>
          <w:szCs w:val="20"/>
        </w:rPr>
        <w:t xml:space="preserve">Therefore the valid appeal points are 2.1 as it relates to </w:t>
      </w:r>
      <w:r w:rsidRPr="00C20B39">
        <w:rPr>
          <w:rFonts w:ascii="Arial" w:eastAsia="Times New Roman" w:hAnsi="Arial"/>
          <w:sz w:val="20"/>
          <w:szCs w:val="20"/>
        </w:rPr>
        <w:t xml:space="preserve">whether it was reasonable for the committee to conclude that </w:t>
      </w:r>
      <w:proofErr w:type="spellStart"/>
      <w:r w:rsidRPr="00C20B39">
        <w:rPr>
          <w:rFonts w:ascii="Arial" w:eastAsia="Times New Roman" w:hAnsi="Arial"/>
          <w:sz w:val="20"/>
          <w:szCs w:val="20"/>
        </w:rPr>
        <w:t>esketamine</w:t>
      </w:r>
      <w:proofErr w:type="spellEnd"/>
      <w:r w:rsidRPr="00C20B39">
        <w:rPr>
          <w:rFonts w:ascii="Arial" w:eastAsia="Times New Roman" w:hAnsi="Arial"/>
          <w:sz w:val="20"/>
          <w:szCs w:val="20"/>
        </w:rPr>
        <w:t xml:space="preserve"> could not be recommended because the ICERs are highly uncertain and 2.2 as it relates to </w:t>
      </w:r>
      <w:r w:rsidRPr="00C20B39">
        <w:rPr>
          <w:rFonts w:ascii="Arial" w:eastAsia="Times New Roman" w:hAnsi="Arial" w:cs="Arial"/>
          <w:color w:val="000000"/>
          <w:sz w:val="20"/>
          <w:szCs w:val="20"/>
        </w:rPr>
        <w:t>duration and stopping of maintenance treatment</w:t>
      </w:r>
      <w:r w:rsidRPr="00C20B39">
        <w:rPr>
          <w:rFonts w:ascii="Arial" w:eastAsia="Times New Roman" w:hAnsi="Arial"/>
          <w:sz w:val="20"/>
          <w:szCs w:val="20"/>
        </w:rPr>
        <w:t>.</w:t>
      </w:r>
    </w:p>
    <w:p w14:paraId="361F9E78" w14:textId="77777777" w:rsidR="00C20B39" w:rsidRPr="00C20B39" w:rsidRDefault="00C20B39" w:rsidP="00C20B39">
      <w:pPr>
        <w:spacing w:line="288" w:lineRule="auto"/>
        <w:jc w:val="both"/>
        <w:rPr>
          <w:rFonts w:ascii="Arial" w:eastAsia="Times New Roman" w:hAnsi="Arial"/>
          <w:color w:val="333333"/>
          <w:sz w:val="20"/>
          <w:szCs w:val="20"/>
        </w:rPr>
      </w:pPr>
      <w:r w:rsidRPr="00C20B39">
        <w:rPr>
          <w:rFonts w:ascii="Arial" w:eastAsia="Times New Roman" w:hAnsi="Arial"/>
          <w:color w:val="333333"/>
          <w:sz w:val="20"/>
          <w:szCs w:val="20"/>
        </w:rPr>
        <w:t xml:space="preserve">Where there are multiple appellants, NICE shares the valid appeal grounds of each appellant with the other appellants to assist with preparation for the hearing. </w:t>
      </w:r>
    </w:p>
    <w:p w14:paraId="760F2853" w14:textId="77777777" w:rsidR="00C20B39" w:rsidRPr="00C20B39" w:rsidRDefault="00C20B39" w:rsidP="00C20B39">
      <w:pPr>
        <w:spacing w:line="288" w:lineRule="auto"/>
        <w:jc w:val="both"/>
        <w:rPr>
          <w:rFonts w:ascii="Arial" w:eastAsia="Times New Roman" w:hAnsi="Arial" w:cs="Arial"/>
          <w:sz w:val="20"/>
          <w:szCs w:val="20"/>
        </w:rPr>
      </w:pPr>
      <w:r w:rsidRPr="00C20B39">
        <w:rPr>
          <w:rFonts w:ascii="Arial" w:eastAsia="Times New Roman" w:hAnsi="Arial"/>
          <w:color w:val="333333"/>
          <w:sz w:val="20"/>
          <w:szCs w:val="20"/>
        </w:rPr>
        <w:t>NICE will be in contact with you regarding the administration of the appeal, which will be held orally.</w:t>
      </w:r>
      <w:r w:rsidRPr="00C20B39">
        <w:rPr>
          <w:rFonts w:ascii="Arial" w:eastAsia="Times New Roman" w:hAnsi="Arial" w:cs="Arial"/>
          <w:color w:val="333333"/>
          <w:sz w:val="20"/>
          <w:szCs w:val="20"/>
        </w:rPr>
        <w:t xml:space="preserve"> </w:t>
      </w:r>
    </w:p>
    <w:p w14:paraId="14EA8259" w14:textId="5F2F63DE" w:rsidR="009A01FD" w:rsidRPr="00A84AF4" w:rsidRDefault="009A01FD" w:rsidP="00A84AF4">
      <w:pPr>
        <w:spacing w:before="120" w:after="240"/>
        <w:jc w:val="both"/>
        <w:rPr>
          <w:rFonts w:ascii="Arial" w:eastAsia="Times New Roman" w:hAnsi="Arial"/>
          <w:color w:val="262626" w:themeColor="text1" w:themeTint="D9"/>
          <w:sz w:val="20"/>
          <w:szCs w:val="20"/>
          <w:lang w:eastAsia="en-GB"/>
        </w:rPr>
      </w:pPr>
      <w:r w:rsidRPr="009A01FD">
        <w:rPr>
          <w:rFonts w:ascii="Arial" w:eastAsia="Times New Roman" w:hAnsi="Arial" w:cs="Arial"/>
          <w:sz w:val="20"/>
          <w:szCs w:val="20"/>
        </w:rPr>
        <w:t>Yours sincerely</w:t>
      </w:r>
    </w:p>
    <w:p w14:paraId="03974B88" w14:textId="19B3D615"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65B10922"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E64C2E"/>
    <w:multiLevelType w:val="hybridMultilevel"/>
    <w:tmpl w:val="DB7C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F556E"/>
    <w:multiLevelType w:val="hybridMultilevel"/>
    <w:tmpl w:val="4BF0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1A545E2"/>
    <w:multiLevelType w:val="hybridMultilevel"/>
    <w:tmpl w:val="9028B44C"/>
    <w:lvl w:ilvl="0" w:tplc="A69073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F965C9"/>
    <w:multiLevelType w:val="hybridMultilevel"/>
    <w:tmpl w:val="B378B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481347">
    <w:abstractNumId w:val="2"/>
  </w:num>
  <w:num w:numId="2" w16cid:durableId="1316950946">
    <w:abstractNumId w:val="7"/>
  </w:num>
  <w:num w:numId="3" w16cid:durableId="2019578439">
    <w:abstractNumId w:val="3"/>
  </w:num>
  <w:num w:numId="4" w16cid:durableId="561915322">
    <w:abstractNumId w:val="8"/>
  </w:num>
  <w:num w:numId="5" w16cid:durableId="908538179">
    <w:abstractNumId w:val="0"/>
  </w:num>
  <w:num w:numId="6" w16cid:durableId="957879765">
    <w:abstractNumId w:val="6"/>
  </w:num>
  <w:num w:numId="7" w16cid:durableId="936522129">
    <w:abstractNumId w:val="4"/>
  </w:num>
  <w:num w:numId="8" w16cid:durableId="914241789">
    <w:abstractNumId w:val="10"/>
  </w:num>
  <w:num w:numId="9" w16cid:durableId="1756633372">
    <w:abstractNumId w:val="9"/>
  </w:num>
  <w:num w:numId="10" w16cid:durableId="2005283211">
    <w:abstractNumId w:val="1"/>
  </w:num>
  <w:num w:numId="11" w16cid:durableId="1868064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145354"/>
    <w:rsid w:val="00176AA4"/>
    <w:rsid w:val="001D5BD2"/>
    <w:rsid w:val="0022689E"/>
    <w:rsid w:val="002563CD"/>
    <w:rsid w:val="00320722"/>
    <w:rsid w:val="00321B75"/>
    <w:rsid w:val="003A3E2E"/>
    <w:rsid w:val="003A79BD"/>
    <w:rsid w:val="003D614E"/>
    <w:rsid w:val="003E3E29"/>
    <w:rsid w:val="004215D9"/>
    <w:rsid w:val="00432DBD"/>
    <w:rsid w:val="00453774"/>
    <w:rsid w:val="00480405"/>
    <w:rsid w:val="00492D30"/>
    <w:rsid w:val="00493D2F"/>
    <w:rsid w:val="004C2D22"/>
    <w:rsid w:val="004E4493"/>
    <w:rsid w:val="004F29D7"/>
    <w:rsid w:val="005752D7"/>
    <w:rsid w:val="00575FA7"/>
    <w:rsid w:val="00593F3D"/>
    <w:rsid w:val="005B078B"/>
    <w:rsid w:val="005E0434"/>
    <w:rsid w:val="006628FF"/>
    <w:rsid w:val="0069376C"/>
    <w:rsid w:val="006D0C62"/>
    <w:rsid w:val="006F031D"/>
    <w:rsid w:val="007136CD"/>
    <w:rsid w:val="00721445"/>
    <w:rsid w:val="00732227"/>
    <w:rsid w:val="00860A12"/>
    <w:rsid w:val="00866617"/>
    <w:rsid w:val="008E4AE4"/>
    <w:rsid w:val="009239F5"/>
    <w:rsid w:val="009A01FD"/>
    <w:rsid w:val="009E2F15"/>
    <w:rsid w:val="009F0476"/>
    <w:rsid w:val="00A84AF4"/>
    <w:rsid w:val="00AB78AB"/>
    <w:rsid w:val="00AE303D"/>
    <w:rsid w:val="00B24360"/>
    <w:rsid w:val="00B32B71"/>
    <w:rsid w:val="00B737D4"/>
    <w:rsid w:val="00B91BA1"/>
    <w:rsid w:val="00BC7BE7"/>
    <w:rsid w:val="00C20B39"/>
    <w:rsid w:val="00C21448"/>
    <w:rsid w:val="00C42AAA"/>
    <w:rsid w:val="00C74E03"/>
    <w:rsid w:val="00C96687"/>
    <w:rsid w:val="00C97CBC"/>
    <w:rsid w:val="00D22D3F"/>
    <w:rsid w:val="00D27FFE"/>
    <w:rsid w:val="00DA538E"/>
    <w:rsid w:val="00DD042E"/>
    <w:rsid w:val="00DD43C2"/>
    <w:rsid w:val="00E03263"/>
    <w:rsid w:val="00E27333"/>
    <w:rsid w:val="00E60FCF"/>
    <w:rsid w:val="00E622D7"/>
    <w:rsid w:val="00E67BD1"/>
    <w:rsid w:val="00E70F23"/>
    <w:rsid w:val="00E8542F"/>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1"/>
    <w:qFormat/>
    <w:rsid w:val="00B737D4"/>
    <w:pPr>
      <w:spacing w:after="0" w:line="288" w:lineRule="auto"/>
      <w:ind w:left="720"/>
      <w:contextualSpacing/>
    </w:pPr>
    <w:rPr>
      <w:rFonts w:ascii="Arial" w:eastAsia="Times New Roman" w:hAnsi="Arial"/>
      <w:sz w:val="20"/>
      <w:szCs w:val="20"/>
    </w:rPr>
  </w:style>
  <w:style w:type="paragraph" w:styleId="BodyText">
    <w:name w:val="Body Text"/>
    <w:basedOn w:val="Normal"/>
    <w:link w:val="BodyTextChar"/>
    <w:rsid w:val="00C42AAA"/>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C42AAA"/>
    <w:rPr>
      <w:rFonts w:ascii="Arial" w:eastAsia="Times New Roman" w:hAnsi="Arial"/>
      <w:color w:val="333333"/>
      <w:lang w:eastAsia="en-US"/>
    </w:rPr>
  </w:style>
  <w:style w:type="paragraph" w:styleId="FootnoteText">
    <w:name w:val="footnote text"/>
    <w:basedOn w:val="Normal"/>
    <w:link w:val="FootnoteTextChar"/>
    <w:semiHidden/>
    <w:unhideWhenUsed/>
    <w:rsid w:val="00C42AAA"/>
    <w:pPr>
      <w:spacing w:after="0" w:line="240" w:lineRule="auto"/>
    </w:pPr>
    <w:rPr>
      <w:rFonts w:ascii="Arial" w:eastAsia="Times New Roman" w:hAnsi="Arial"/>
      <w:color w:val="333333"/>
      <w:sz w:val="20"/>
      <w:szCs w:val="20"/>
    </w:rPr>
  </w:style>
  <w:style w:type="character" w:customStyle="1" w:styleId="FootnoteTextChar">
    <w:name w:val="Footnote Text Char"/>
    <w:basedOn w:val="DefaultParagraphFont"/>
    <w:link w:val="FootnoteText"/>
    <w:semiHidden/>
    <w:rsid w:val="00C42AAA"/>
    <w:rPr>
      <w:rFonts w:ascii="Arial" w:eastAsia="Times New Roman" w:hAnsi="Arial"/>
      <w:color w:val="333333"/>
      <w:lang w:eastAsia="en-US"/>
    </w:rPr>
  </w:style>
  <w:style w:type="character" w:styleId="FootnoteReference">
    <w:name w:val="footnote reference"/>
    <w:basedOn w:val="DefaultParagraphFont"/>
    <w:semiHidden/>
    <w:unhideWhenUsed/>
    <w:rsid w:val="00C42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Sandra M. Robinson</cp:lastModifiedBy>
  <cp:revision>6</cp:revision>
  <cp:lastPrinted>2017-02-13T09:51:00Z</cp:lastPrinted>
  <dcterms:created xsi:type="dcterms:W3CDTF">2022-07-12T18:46:00Z</dcterms:created>
  <dcterms:modified xsi:type="dcterms:W3CDTF">2022-07-13T15:09:00Z</dcterms:modified>
</cp:coreProperties>
</file>