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72F0" w14:textId="77777777" w:rsidR="00CA4D66" w:rsidRDefault="00CA4D66" w:rsidP="00DA538E">
      <w:pPr>
        <w:spacing w:after="0" w:line="240" w:lineRule="auto"/>
        <w:jc w:val="both"/>
        <w:rPr>
          <w:rFonts w:ascii="Arial" w:eastAsia="Times New Roman" w:hAnsi="Arial"/>
          <w:sz w:val="20"/>
          <w:szCs w:val="20"/>
        </w:rPr>
      </w:pPr>
      <w:proofErr w:type="spellStart"/>
      <w:r w:rsidRPr="00B61E32">
        <w:rPr>
          <w:rFonts w:eastAsia="Times New Roman"/>
          <w:highlight w:val="black"/>
          <w:lang w:val="en-US" w:eastAsia="en-GB"/>
        </w:rPr>
        <w:t>xxxxxx</w:t>
      </w:r>
      <w:r>
        <w:rPr>
          <w:rFonts w:eastAsia="Times New Roman"/>
          <w:highlight w:val="black"/>
          <w:lang w:val="en-US" w:eastAsia="en-GB"/>
        </w:rPr>
        <w:t>xxxxxxxxxxxxx</w:t>
      </w:r>
      <w:proofErr w:type="spellEnd"/>
      <w:r w:rsidRPr="00DA538E">
        <w:rPr>
          <w:rFonts w:ascii="Arial" w:eastAsia="Times New Roman" w:hAnsi="Arial"/>
          <w:sz w:val="20"/>
          <w:szCs w:val="20"/>
        </w:rPr>
        <w:t xml:space="preserve"> </w:t>
      </w:r>
    </w:p>
    <w:p w14:paraId="0A4D75CE" w14:textId="31DF289A"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Head of Policy and Campaigns</w:t>
      </w:r>
    </w:p>
    <w:p w14:paraId="58AD0B85" w14:textId="77777777"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Royal College of Psychiatrists</w:t>
      </w:r>
    </w:p>
    <w:p w14:paraId="019FC330" w14:textId="77777777"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21 Prescot Street</w:t>
      </w:r>
      <w:r w:rsidRPr="00DA538E">
        <w:rPr>
          <w:rFonts w:ascii="Arial" w:eastAsia="Times New Roman" w:hAnsi="Arial"/>
          <w:sz w:val="20"/>
          <w:szCs w:val="20"/>
        </w:rPr>
        <w:tab/>
        <w:t xml:space="preserve"> </w:t>
      </w:r>
    </w:p>
    <w:p w14:paraId="690FC20E" w14:textId="77777777"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London</w:t>
      </w:r>
      <w:r w:rsidRPr="00DA538E">
        <w:rPr>
          <w:rFonts w:ascii="Arial" w:eastAsia="Times New Roman" w:hAnsi="Arial"/>
          <w:sz w:val="20"/>
          <w:szCs w:val="20"/>
        </w:rPr>
        <w:tab/>
        <w:t xml:space="preserve"> </w:t>
      </w:r>
    </w:p>
    <w:p w14:paraId="1C948714" w14:textId="2D0FFCDD" w:rsid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E1 8BB</w:t>
      </w:r>
    </w:p>
    <w:p w14:paraId="59646434" w14:textId="77777777" w:rsidR="00DA538E" w:rsidRPr="00DA538E" w:rsidRDefault="00DA538E" w:rsidP="00DA538E">
      <w:pPr>
        <w:spacing w:after="0" w:line="240" w:lineRule="auto"/>
        <w:jc w:val="both"/>
        <w:rPr>
          <w:rFonts w:ascii="Arial" w:eastAsia="Times New Roman" w:hAnsi="Arial"/>
          <w:sz w:val="20"/>
          <w:szCs w:val="20"/>
        </w:rPr>
      </w:pPr>
    </w:p>
    <w:p w14:paraId="090ED01A" w14:textId="7F6E9F31"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Sent by e-mail only:</w:t>
      </w:r>
      <w:r w:rsidR="00AB78AB">
        <w:rPr>
          <w:rFonts w:ascii="Arial" w:eastAsia="Times New Roman" w:hAnsi="Arial" w:cs="Arial"/>
          <w:sz w:val="20"/>
          <w:szCs w:val="20"/>
        </w:rPr>
        <w:t xml:space="preserve"> </w:t>
      </w:r>
      <w:proofErr w:type="spellStart"/>
      <w:r w:rsidR="00CA4D66" w:rsidRPr="00B61E32">
        <w:rPr>
          <w:rFonts w:eastAsia="Times New Roman"/>
          <w:highlight w:val="black"/>
          <w:lang w:val="en-US" w:eastAsia="en-GB"/>
        </w:rPr>
        <w:t>xxxxxx</w:t>
      </w:r>
      <w:r w:rsidR="00CA4D66">
        <w:rPr>
          <w:rFonts w:eastAsia="Times New Roman"/>
          <w:highlight w:val="black"/>
          <w:lang w:val="en-US" w:eastAsia="en-GB"/>
        </w:rPr>
        <w:t>xxxxxxxxxxxxxxxxxxxxxxx</w:t>
      </w:r>
      <w:proofErr w:type="spellEnd"/>
    </w:p>
    <w:p w14:paraId="18523403"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21 June 2022</w:t>
      </w:r>
      <w:bookmarkStart w:id="0" w:name="Text"/>
      <w:bookmarkEnd w:id="0"/>
    </w:p>
    <w:p w14:paraId="6440FD77" w14:textId="17543F5B" w:rsidR="00CA4D66" w:rsidRDefault="00DA538E" w:rsidP="00CA4D66">
      <w:pPr>
        <w:spacing w:line="288" w:lineRule="auto"/>
        <w:ind w:left="426" w:right="468" w:hanging="426"/>
        <w:jc w:val="both"/>
        <w:rPr>
          <w:rFonts w:ascii="Arial" w:eastAsia="Times New Roman" w:hAnsi="Arial" w:cs="Arial"/>
          <w:noProof/>
          <w:spacing w:val="-3"/>
          <w:sz w:val="20"/>
          <w:szCs w:val="20"/>
          <w:lang w:eastAsia="en-GB"/>
        </w:rPr>
      </w:pPr>
      <w:bookmarkStart w:id="1" w:name="deartext"/>
      <w:r w:rsidRPr="00DA538E">
        <w:rPr>
          <w:rFonts w:ascii="Arial" w:eastAsia="Times New Roman" w:hAnsi="Arial" w:cs="Arial"/>
          <w:sz w:val="20"/>
          <w:szCs w:val="20"/>
        </w:rPr>
        <w:t>Dear</w:t>
      </w:r>
      <w:bookmarkEnd w:id="1"/>
      <w:r w:rsidRPr="00DA538E">
        <w:rPr>
          <w:rFonts w:ascii="Arial" w:eastAsia="Times New Roman" w:hAnsi="Arial" w:cs="Arial"/>
          <w:sz w:val="20"/>
          <w:szCs w:val="20"/>
        </w:rPr>
        <w:t xml:space="preserve"> </w:t>
      </w:r>
      <w:bookmarkStart w:id="2" w:name="Sal"/>
      <w:bookmarkEnd w:id="2"/>
      <w:proofErr w:type="spellStart"/>
      <w:r w:rsidR="00CA4D66" w:rsidRPr="00B61E32">
        <w:rPr>
          <w:rFonts w:eastAsia="Times New Roman"/>
          <w:highlight w:val="black"/>
          <w:lang w:val="en-US" w:eastAsia="en-GB"/>
        </w:rPr>
        <w:t>xxx</w:t>
      </w:r>
      <w:r w:rsidR="00CA4D66">
        <w:rPr>
          <w:rFonts w:eastAsia="Times New Roman"/>
          <w:highlight w:val="black"/>
          <w:lang w:val="en-US" w:eastAsia="en-GB"/>
        </w:rPr>
        <w:t>xxxxxxxxxxx</w:t>
      </w:r>
      <w:proofErr w:type="spellEnd"/>
      <w:r w:rsidR="00CA4D66" w:rsidRPr="00DA538E">
        <w:rPr>
          <w:rFonts w:ascii="Arial" w:eastAsia="Times New Roman" w:hAnsi="Arial" w:cs="Arial"/>
          <w:noProof/>
          <w:spacing w:val="-3"/>
          <w:sz w:val="20"/>
          <w:szCs w:val="20"/>
          <w:lang w:eastAsia="en-GB"/>
        </w:rPr>
        <w:t xml:space="preserve"> </w:t>
      </w:r>
    </w:p>
    <w:p w14:paraId="7B5621FC" w14:textId="65B4CD9D" w:rsidR="00DA538E" w:rsidRPr="00DA538E" w:rsidRDefault="00DA538E" w:rsidP="00CA4D66">
      <w:pPr>
        <w:spacing w:line="288" w:lineRule="auto"/>
        <w:ind w:left="426" w:right="468" w:hanging="426"/>
        <w:jc w:val="both"/>
        <w:rPr>
          <w:rFonts w:ascii="Arial" w:eastAsia="Times New Roman" w:hAnsi="Arial" w:cs="Arial"/>
          <w:sz w:val="20"/>
          <w:szCs w:val="20"/>
        </w:rPr>
      </w:pPr>
      <w:r w:rsidRPr="00DA538E">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2DB275F8" wp14:editId="32647B6B">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92A5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DA538E">
        <w:rPr>
          <w:rFonts w:ascii="Arial" w:eastAsia="Times New Roman" w:hAnsi="Arial" w:cs="Arial"/>
          <w:b/>
          <w:spacing w:val="-3"/>
          <w:sz w:val="20"/>
          <w:szCs w:val="20"/>
        </w:rPr>
        <w:t xml:space="preserve">Re: </w:t>
      </w:r>
      <w:r w:rsidRPr="00DA538E">
        <w:rPr>
          <w:rFonts w:ascii="Arial" w:eastAsia="Times New Roman" w:hAnsi="Arial" w:cs="Arial"/>
          <w:b/>
          <w:sz w:val="20"/>
          <w:szCs w:val="20"/>
        </w:rPr>
        <w:t>Final Appraisal Document – Esketamine nasal spray for treatment-resistant depression [ID1414]</w:t>
      </w:r>
      <w:r w:rsidRPr="00DA538E">
        <w:rPr>
          <w:rFonts w:ascii="Arial" w:eastAsia="Times New Roman" w:hAnsi="Arial"/>
          <w:sz w:val="20"/>
          <w:szCs w:val="20"/>
        </w:rPr>
        <w:t xml:space="preserve"> </w:t>
      </w:r>
      <w:r w:rsidRPr="00DA538E">
        <w:rPr>
          <w:rFonts w:ascii="Arial" w:eastAsia="Times New Roman" w:hAnsi="Arial" w:cs="Arial"/>
          <w:b/>
          <w:sz w:val="20"/>
          <w:szCs w:val="20"/>
        </w:rPr>
        <w:t>(TA 10371)</w:t>
      </w:r>
    </w:p>
    <w:p w14:paraId="3262C638" w14:textId="447952D0"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 xml:space="preserve">Thank you for your email of 14 June 2022 sent on behalf of </w:t>
      </w:r>
      <w:proofErr w:type="spellStart"/>
      <w:r w:rsidR="00CA4D66" w:rsidRPr="00B61E32">
        <w:rPr>
          <w:rFonts w:eastAsia="Times New Roman"/>
          <w:highlight w:val="black"/>
          <w:lang w:val="en-US" w:eastAsia="en-GB"/>
        </w:rPr>
        <w:t>xxxxxx</w:t>
      </w:r>
      <w:r w:rsidR="00CA4D66">
        <w:rPr>
          <w:rFonts w:eastAsia="Times New Roman"/>
          <w:highlight w:val="black"/>
          <w:lang w:val="en-US" w:eastAsia="en-GB"/>
        </w:rPr>
        <w:t>xxxxxxxxxxxxx</w:t>
      </w:r>
      <w:proofErr w:type="spellEnd"/>
      <w:r w:rsidR="00CA4D66" w:rsidRPr="00DA538E">
        <w:rPr>
          <w:rFonts w:ascii="Arial" w:eastAsia="Times New Roman" w:hAnsi="Arial"/>
          <w:sz w:val="20"/>
          <w:szCs w:val="20"/>
        </w:rPr>
        <w:t xml:space="preserve"> </w:t>
      </w:r>
      <w:r w:rsidRPr="00DA538E">
        <w:rPr>
          <w:rFonts w:ascii="Arial" w:eastAsia="Times New Roman" w:hAnsi="Arial"/>
          <w:sz w:val="20"/>
          <w:szCs w:val="20"/>
        </w:rPr>
        <w:t xml:space="preserve">(President, Royal College of Psychiatrists) </w:t>
      </w:r>
      <w:r w:rsidRPr="00DA538E">
        <w:rPr>
          <w:rFonts w:ascii="Arial" w:eastAsia="Times New Roman" w:hAnsi="Arial" w:cs="Arial"/>
          <w:sz w:val="20"/>
          <w:szCs w:val="20"/>
        </w:rPr>
        <w:t xml:space="preserve">lodging an appeal against the above Final Appraisal Document (FAD).  </w:t>
      </w:r>
    </w:p>
    <w:p w14:paraId="125B2DFC"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u w:val="single"/>
        </w:rPr>
        <w:t>Introduction</w:t>
      </w:r>
      <w:r w:rsidRPr="00DA538E">
        <w:rPr>
          <w:rFonts w:ascii="Arial" w:eastAsia="Times New Roman" w:hAnsi="Arial" w:cs="Arial"/>
          <w:sz w:val="20"/>
          <w:szCs w:val="20"/>
        </w:rPr>
        <w:t xml:space="preserve"> </w:t>
      </w:r>
    </w:p>
    <w:p w14:paraId="4EFFD5A4"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47B3DE27" w14:textId="77777777" w:rsidR="00DA538E" w:rsidRPr="00DA538E" w:rsidRDefault="00DA538E" w:rsidP="00DA538E">
      <w:pPr>
        <w:numPr>
          <w:ilvl w:val="0"/>
          <w:numId w:val="1"/>
        </w:numPr>
        <w:shd w:val="clear" w:color="auto" w:fill="FFFFFF"/>
        <w:spacing w:before="240" w:after="240" w:line="240" w:lineRule="auto"/>
        <w:jc w:val="both"/>
        <w:rPr>
          <w:rFonts w:ascii="Arial" w:eastAsia="Times New Roman" w:hAnsi="Arial" w:cs="Arial"/>
          <w:sz w:val="20"/>
          <w:szCs w:val="20"/>
        </w:rPr>
      </w:pPr>
      <w:r w:rsidRPr="00DA538E">
        <w:rPr>
          <w:rFonts w:ascii="Arial" w:eastAsia="Times New Roman" w:hAnsi="Arial" w:cs="Arial"/>
          <w:sz w:val="20"/>
          <w:szCs w:val="20"/>
        </w:rPr>
        <w:t xml:space="preserve">1(a) NICE has failed to act fairly, or </w:t>
      </w:r>
    </w:p>
    <w:p w14:paraId="5A5E5562" w14:textId="77777777" w:rsidR="00DA538E" w:rsidRPr="00DA538E" w:rsidRDefault="00DA538E" w:rsidP="00DA538E">
      <w:pPr>
        <w:numPr>
          <w:ilvl w:val="0"/>
          <w:numId w:val="1"/>
        </w:numPr>
        <w:shd w:val="clear" w:color="auto" w:fill="FFFFFF"/>
        <w:spacing w:before="240" w:after="240" w:line="240" w:lineRule="auto"/>
        <w:jc w:val="both"/>
        <w:rPr>
          <w:rFonts w:ascii="Arial" w:eastAsia="Times New Roman" w:hAnsi="Arial" w:cs="Arial"/>
          <w:sz w:val="20"/>
          <w:szCs w:val="20"/>
        </w:rPr>
      </w:pPr>
      <w:r w:rsidRPr="00DA538E">
        <w:rPr>
          <w:rFonts w:ascii="Arial" w:eastAsia="Times New Roman" w:hAnsi="Arial" w:cs="Arial"/>
          <w:sz w:val="20"/>
          <w:szCs w:val="20"/>
        </w:rPr>
        <w:t>1(b) NICE has exceeded powers;</w:t>
      </w:r>
    </w:p>
    <w:p w14:paraId="6FFE7AEC" w14:textId="77777777" w:rsidR="00DA538E" w:rsidRPr="00DA538E" w:rsidRDefault="00DA538E" w:rsidP="00DA538E">
      <w:pPr>
        <w:numPr>
          <w:ilvl w:val="0"/>
          <w:numId w:val="1"/>
        </w:numPr>
        <w:shd w:val="clear" w:color="auto" w:fill="FFFFFF"/>
        <w:spacing w:before="240" w:after="240" w:line="240" w:lineRule="auto"/>
        <w:jc w:val="both"/>
        <w:rPr>
          <w:rFonts w:ascii="Arial" w:eastAsia="Times New Roman" w:hAnsi="Arial" w:cs="Arial"/>
          <w:sz w:val="20"/>
          <w:szCs w:val="20"/>
        </w:rPr>
      </w:pPr>
      <w:r w:rsidRPr="00DA538E">
        <w:rPr>
          <w:rFonts w:ascii="Arial" w:eastAsia="Times New Roman" w:hAnsi="Arial" w:cs="Arial"/>
          <w:sz w:val="20"/>
          <w:szCs w:val="20"/>
        </w:rPr>
        <w:t>(2) the recommendation is unreasonable in the light of the evidence submitted to NICE.</w:t>
      </w:r>
    </w:p>
    <w:p w14:paraId="10BEA646"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CFD8CB0"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 xml:space="preserve">You have the opportunity to comment on this letter in order to elaborate on or clarify any of the points raised before I will make my final decision as to whether each appeal point should be referred on to the Appeal Panel. </w:t>
      </w:r>
    </w:p>
    <w:p w14:paraId="260B4429" w14:textId="77777777" w:rsidR="00DA538E" w:rsidRPr="00DA538E" w:rsidRDefault="00DA538E" w:rsidP="00DA538E">
      <w:pPr>
        <w:spacing w:line="288" w:lineRule="auto"/>
        <w:jc w:val="both"/>
        <w:rPr>
          <w:rFonts w:ascii="Arial" w:eastAsia="Times New Roman" w:hAnsi="Arial" w:cs="Arial"/>
          <w:sz w:val="20"/>
          <w:szCs w:val="20"/>
          <w:u w:val="single"/>
        </w:rPr>
      </w:pPr>
      <w:r w:rsidRPr="00DA538E">
        <w:rPr>
          <w:rFonts w:ascii="Arial" w:eastAsia="Times New Roman" w:hAnsi="Arial" w:cs="Arial"/>
          <w:sz w:val="20"/>
          <w:szCs w:val="20"/>
          <w:u w:val="single"/>
        </w:rPr>
        <w:t>Initial View</w:t>
      </w:r>
    </w:p>
    <w:p w14:paraId="19429511" w14:textId="77777777" w:rsidR="00DA538E" w:rsidRPr="00DA538E" w:rsidRDefault="00DA538E" w:rsidP="00DA538E">
      <w:pPr>
        <w:spacing w:line="288" w:lineRule="auto"/>
        <w:jc w:val="both"/>
        <w:rPr>
          <w:rFonts w:ascii="Arial" w:eastAsia="Times New Roman" w:hAnsi="Arial" w:cs="Arial"/>
          <w:sz w:val="20"/>
          <w:szCs w:val="20"/>
        </w:rPr>
      </w:pPr>
      <w:r w:rsidRPr="00DA538E">
        <w:rPr>
          <w:rFonts w:ascii="Arial" w:eastAsia="Times New Roman" w:hAnsi="Arial" w:cs="Arial"/>
          <w:sz w:val="20"/>
          <w:szCs w:val="20"/>
        </w:rPr>
        <w:t xml:space="preserve">I assess each of your points in turn.  </w:t>
      </w:r>
    </w:p>
    <w:p w14:paraId="2A5D5B2F" w14:textId="378FAFA5" w:rsidR="00DA538E" w:rsidRPr="00AB78AB" w:rsidRDefault="00DA538E" w:rsidP="00DA538E">
      <w:pPr>
        <w:spacing w:before="240" w:after="240"/>
        <w:jc w:val="both"/>
        <w:rPr>
          <w:rFonts w:ascii="Arial" w:eastAsia="Times New Roman" w:hAnsi="Arial" w:cs="Arial"/>
          <w:b/>
          <w:iCs/>
          <w:sz w:val="20"/>
          <w:szCs w:val="20"/>
        </w:rPr>
      </w:pPr>
      <w:r w:rsidRPr="00DA538E">
        <w:rPr>
          <w:rFonts w:ascii="Arial" w:eastAsia="Times New Roman" w:hAnsi="Arial" w:cs="Arial"/>
          <w:b/>
          <w:iCs/>
          <w:sz w:val="20"/>
          <w:szCs w:val="20"/>
        </w:rPr>
        <w:t>Ground 2:</w:t>
      </w:r>
      <w:r w:rsidRPr="00DA538E">
        <w:rPr>
          <w:rFonts w:ascii="Arial" w:eastAsia="Times New Roman" w:hAnsi="Arial" w:cs="Arial"/>
          <w:iCs/>
          <w:sz w:val="20"/>
          <w:szCs w:val="20"/>
        </w:rPr>
        <w:t xml:space="preserve"> </w:t>
      </w:r>
      <w:r w:rsidRPr="00DA538E">
        <w:rPr>
          <w:rFonts w:ascii="Arial" w:eastAsia="Times New Roman" w:hAnsi="Arial" w:cs="Arial"/>
          <w:b/>
          <w:iCs/>
          <w:sz w:val="20"/>
          <w:szCs w:val="20"/>
        </w:rPr>
        <w:t xml:space="preserve">the recommendation is unreasonable in the light of the evidence submitted to NICE </w:t>
      </w:r>
    </w:p>
    <w:p w14:paraId="1E522356" w14:textId="77777777" w:rsidR="00AB78AB" w:rsidRPr="00DA538E" w:rsidRDefault="00AB78AB" w:rsidP="00DA538E">
      <w:pPr>
        <w:spacing w:before="240" w:after="240"/>
        <w:jc w:val="both"/>
        <w:rPr>
          <w:rFonts w:ascii="Arial" w:eastAsia="Times New Roman" w:hAnsi="Arial" w:cs="Arial"/>
          <w:i/>
          <w:vanish/>
          <w:sz w:val="20"/>
          <w:szCs w:val="20"/>
          <w:lang w:eastAsia="en-GB"/>
        </w:rPr>
      </w:pPr>
    </w:p>
    <w:p w14:paraId="5A7FE1C8" w14:textId="77777777" w:rsidR="00DA538E" w:rsidRPr="00DA538E" w:rsidRDefault="00DA538E" w:rsidP="00DA538E">
      <w:pPr>
        <w:spacing w:line="288" w:lineRule="auto"/>
        <w:jc w:val="both"/>
        <w:rPr>
          <w:rFonts w:ascii="Arial" w:eastAsia="Times New Roman" w:hAnsi="Arial"/>
          <w:b/>
          <w:sz w:val="20"/>
          <w:szCs w:val="20"/>
        </w:rPr>
      </w:pPr>
      <w:r w:rsidRPr="00DA538E">
        <w:rPr>
          <w:rFonts w:ascii="Arial" w:eastAsia="Times New Roman" w:hAnsi="Arial"/>
          <w:b/>
          <w:sz w:val="20"/>
          <w:szCs w:val="20"/>
        </w:rPr>
        <w:t>Appeal point 2.1: The recommendation is unreasonable because of the committee’s approach to “Uncertainty in long term data for modelling”</w:t>
      </w:r>
    </w:p>
    <w:p w14:paraId="770588F9" w14:textId="77777777" w:rsidR="00DA538E" w:rsidRPr="00DA538E" w:rsidRDefault="00DA538E" w:rsidP="00DA538E">
      <w:pPr>
        <w:spacing w:line="288" w:lineRule="auto"/>
        <w:jc w:val="both"/>
        <w:rPr>
          <w:rFonts w:ascii="Arial" w:eastAsia="Times New Roman" w:hAnsi="Arial"/>
          <w:i/>
          <w:sz w:val="20"/>
          <w:szCs w:val="20"/>
        </w:rPr>
      </w:pPr>
      <w:r w:rsidRPr="00DA538E">
        <w:rPr>
          <w:rFonts w:ascii="Arial" w:eastAsia="Times New Roman" w:hAnsi="Arial"/>
          <w:sz w:val="20"/>
          <w:szCs w:val="20"/>
        </w:rPr>
        <w:t>You state</w:t>
      </w:r>
      <w:r w:rsidRPr="00DA538E">
        <w:rPr>
          <w:rFonts w:ascii="Arial" w:eastAsia="Times New Roman" w:hAnsi="Arial"/>
          <w:i/>
          <w:sz w:val="20"/>
          <w:szCs w:val="20"/>
        </w:rPr>
        <w:t xml:space="preserve">: </w:t>
      </w:r>
    </w:p>
    <w:p w14:paraId="2A64B810"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lastRenderedPageBreak/>
        <w:t>“It is unreasonable that the committee could not recommend the drug because it determined that the best available evidence on natural history were insufficiently certain to be used in modelling costs.  The available data are imperfect, but NICE routinely uses highly imperfect data in order to make extrapolations.  The committee should have been prepared to accept the degree of uncertainty and make a judgement despite this.</w:t>
      </w:r>
    </w:p>
    <w:p w14:paraId="74F5FE2C"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t>This decision sets a precedent which prevents any drug for treatment resistant depression, however efficacious, ever meeting the bar that has been set, because of uncertainty in the data available for modelling.</w:t>
      </w:r>
    </w:p>
    <w:p w14:paraId="1C24DF50"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t>We cannot see a methodology for generating the observational data required (and the committee does not specify this).  If the heterogeneity is so great that even large claims databases cannot generate the needed data, only very long-term detailed follow-up of very large populations could generate the data required.  Even if funded tomorrow, this could not yield the results needed until at least 20 years hence.</w:t>
      </w:r>
    </w:p>
    <w:p w14:paraId="4D97C752"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t xml:space="preserve">It discriminates against patients suffering from mental disorders because long-term outcomes and trajectories are particularly heterogenous. </w:t>
      </w:r>
    </w:p>
    <w:p w14:paraId="52C664A9"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t xml:space="preserve">The long-term effects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are described as uncertain (3.24).  However, the EMA had mandated a one year follow-up study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(SUSTAIN 2) so the long term data are better than for any other antidepressant.”</w:t>
      </w:r>
    </w:p>
    <w:p w14:paraId="2010995D"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t xml:space="preserve">In summary, I understand your point to be that the decision not to recommend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is unreasonable because the committee’s overall handling of the uncertainty and explanation thereof in the data means that it is either impossible or very difficult (requiring a 20 year “detailed follow-up of very large populations”) for any drug for treatment resistant depression (“</w:t>
      </w:r>
      <w:r w:rsidRPr="00DA538E">
        <w:rPr>
          <w:rFonts w:ascii="Arial" w:eastAsia="Times New Roman" w:hAnsi="Arial"/>
          <w:b/>
          <w:sz w:val="20"/>
          <w:szCs w:val="20"/>
        </w:rPr>
        <w:t>TRD</w:t>
      </w:r>
      <w:r w:rsidRPr="00DA538E">
        <w:rPr>
          <w:rFonts w:ascii="Arial" w:eastAsia="Times New Roman" w:hAnsi="Arial"/>
          <w:sz w:val="20"/>
          <w:szCs w:val="20"/>
        </w:rPr>
        <w:t xml:space="preserve">”) to be recommended. </w:t>
      </w:r>
    </w:p>
    <w:p w14:paraId="37D842D4"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t xml:space="preserve">A valid appeal point on a limited basis: so as to assist in preparing for the appeal, this appeal point 2.1 is limited to whether it was reasonable for the committee to conclude, based on the evidence submitted to it, that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could not be recommended because the ICERs are highly uncertain (see paragraphs 3.36 and 3.41 of the FAD). In particular, I expect this appeal point should explore the Committee’s rationale as to how uncertainty factored into its final decision that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could not be considered a cost-effective use of NHS resources, given that company’s revised base case after the fourth committee meeting gave an incremental cost-effectiveness ratio (ICER) range below £20,000 per QALY gained for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plus oral antidepressant compared with oral antidepressant alone in both treatment subgroups. For the avoidance of doubt, this point 2.1 covers the following</w:t>
      </w:r>
      <w:r w:rsidRPr="00DA538E">
        <w:rPr>
          <w:rFonts w:ascii="Arial" w:eastAsia="Times New Roman" w:hAnsi="Arial" w:cs="Arial"/>
          <w:sz w:val="20"/>
          <w:szCs w:val="20"/>
        </w:rPr>
        <w:t xml:space="preserve"> comment in your appeal letter:</w:t>
      </w:r>
      <w:r w:rsidRPr="00DA538E">
        <w:rPr>
          <w:rFonts w:ascii="Arial" w:eastAsia="Times New Roman" w:hAnsi="Arial"/>
          <w:sz w:val="20"/>
          <w:szCs w:val="20"/>
        </w:rPr>
        <w:t xml:space="preserve"> “</w:t>
      </w:r>
      <w:r w:rsidRPr="00DA538E">
        <w:rPr>
          <w:rFonts w:ascii="Arial" w:eastAsia="Times New Roman" w:hAnsi="Arial" w:cs="Arial"/>
          <w:i/>
          <w:sz w:val="20"/>
          <w:szCs w:val="20"/>
        </w:rPr>
        <w:t>The committee should have been prepared to accept the degree of uncertainty and make a judgement despite this</w:t>
      </w:r>
      <w:r w:rsidRPr="00DA538E">
        <w:rPr>
          <w:rFonts w:ascii="Arial" w:eastAsia="Times New Roman" w:hAnsi="Arial" w:cs="Arial"/>
          <w:sz w:val="20"/>
          <w:szCs w:val="20"/>
        </w:rPr>
        <w:t>.”</w:t>
      </w:r>
      <w:r w:rsidRPr="00DA538E">
        <w:rPr>
          <w:rFonts w:ascii="Arial" w:eastAsia="Times New Roman" w:hAnsi="Arial"/>
          <w:sz w:val="20"/>
          <w:szCs w:val="20"/>
        </w:rPr>
        <w:t xml:space="preserve"> </w:t>
      </w:r>
    </w:p>
    <w:p w14:paraId="7E8881C6"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t xml:space="preserve">Regarding the other aspects of your appeal point I am not minded to refer these. I would note: </w:t>
      </w:r>
    </w:p>
    <w:p w14:paraId="55E78310" w14:textId="77777777" w:rsidR="00DA538E" w:rsidRPr="00DA538E" w:rsidRDefault="00DA538E" w:rsidP="00DA538E">
      <w:pPr>
        <w:numPr>
          <w:ilvl w:val="0"/>
          <w:numId w:val="10"/>
        </w:numPr>
        <w:spacing w:after="0" w:line="288" w:lineRule="auto"/>
        <w:contextualSpacing/>
        <w:jc w:val="both"/>
        <w:rPr>
          <w:rFonts w:ascii="Arial" w:eastAsia="Times New Roman" w:hAnsi="Arial"/>
          <w:sz w:val="20"/>
          <w:szCs w:val="20"/>
        </w:rPr>
      </w:pPr>
      <w:r w:rsidRPr="00DA538E">
        <w:rPr>
          <w:rFonts w:ascii="Arial" w:eastAsia="Times New Roman" w:hAnsi="Arial"/>
          <w:sz w:val="20"/>
          <w:szCs w:val="20"/>
        </w:rPr>
        <w:t>Regarding your first sentence of your first paragraph above, I invite you to clarify whether your core concern relates to the time horizon of the modelling and/or to the costs informed by natural history in the best supportive care section of the model. At present I am not persuaded of an arguable appeal point here.</w:t>
      </w:r>
    </w:p>
    <w:p w14:paraId="2D9BD9A6" w14:textId="77777777" w:rsidR="00DA538E" w:rsidRPr="00DA538E" w:rsidRDefault="00DA538E" w:rsidP="00DA538E">
      <w:pPr>
        <w:numPr>
          <w:ilvl w:val="0"/>
          <w:numId w:val="10"/>
        </w:numPr>
        <w:spacing w:after="0" w:line="288" w:lineRule="auto"/>
        <w:contextualSpacing/>
        <w:jc w:val="both"/>
        <w:rPr>
          <w:rFonts w:ascii="Arial" w:eastAsia="Times New Roman" w:hAnsi="Arial"/>
          <w:sz w:val="20"/>
          <w:szCs w:val="20"/>
        </w:rPr>
      </w:pPr>
      <w:r w:rsidRPr="00DA538E">
        <w:rPr>
          <w:rFonts w:ascii="Arial" w:eastAsia="Times New Roman" w:hAnsi="Arial"/>
          <w:sz w:val="20"/>
          <w:szCs w:val="20"/>
        </w:rPr>
        <w:t xml:space="preserve">Regarding your second paragraph, there is no rule of precedent that a FAD must be followed. </w:t>
      </w:r>
    </w:p>
    <w:p w14:paraId="4EF9912B" w14:textId="77777777" w:rsidR="00DA538E" w:rsidRPr="00DA538E" w:rsidRDefault="00DA538E" w:rsidP="00DA538E">
      <w:pPr>
        <w:numPr>
          <w:ilvl w:val="0"/>
          <w:numId w:val="11"/>
        </w:numPr>
        <w:spacing w:after="0" w:line="288" w:lineRule="auto"/>
        <w:contextualSpacing/>
        <w:jc w:val="both"/>
        <w:rPr>
          <w:rFonts w:ascii="Arial" w:eastAsia="Times New Roman" w:hAnsi="Arial"/>
          <w:b/>
          <w:sz w:val="20"/>
          <w:szCs w:val="20"/>
        </w:rPr>
      </w:pPr>
      <w:r w:rsidRPr="00DA538E">
        <w:rPr>
          <w:rFonts w:ascii="Arial" w:eastAsia="Times New Roman" w:hAnsi="Arial"/>
          <w:sz w:val="20"/>
          <w:szCs w:val="20"/>
        </w:rPr>
        <w:t xml:space="preserve">Regarding your third paragraph, to the extent you are arguing that the recommendation is unreasonable because the committee does not specify a methodology for generating the observational data required, I do not consider this arguable as the committee can and must only comment on the data actually provided to it. It has no obligation to specify such methodology. In any event I note that para 3.17 of the FAD (where the committee recognised </w:t>
      </w:r>
      <w:r w:rsidRPr="00DA538E">
        <w:rPr>
          <w:rFonts w:ascii="Arial" w:eastAsia="Times New Roman" w:hAnsi="Arial"/>
          <w:sz w:val="20"/>
          <w:szCs w:val="20"/>
        </w:rPr>
        <w:lastRenderedPageBreak/>
        <w:t xml:space="preserve">the difficulty of designing, recruiting and interpreting results from clinical trials in this disease area, and that the evidence requirements of health technology assessment may be different than the licensing requirements captured through regulatory endpoints), the committee also acknowledged that there is ongoing research and investment in this disease area by the company that could potentially address some of the uncertainties. For example, it was aware of an ongoing phase 3 clinical trial (ESCAPE-TRD), which it considered would be in a population more aligned with who would likely have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in the NHS.</w:t>
      </w:r>
    </w:p>
    <w:p w14:paraId="5742EC9F" w14:textId="77777777" w:rsidR="00DA538E" w:rsidRPr="00DA538E" w:rsidRDefault="00DA538E" w:rsidP="00DA538E">
      <w:pPr>
        <w:numPr>
          <w:ilvl w:val="0"/>
          <w:numId w:val="11"/>
        </w:numPr>
        <w:spacing w:after="0" w:line="288" w:lineRule="auto"/>
        <w:contextualSpacing/>
        <w:jc w:val="both"/>
        <w:rPr>
          <w:rFonts w:ascii="Arial" w:eastAsia="Times New Roman" w:hAnsi="Arial"/>
          <w:b/>
          <w:sz w:val="20"/>
          <w:szCs w:val="20"/>
        </w:rPr>
      </w:pPr>
      <w:r w:rsidRPr="00DA538E">
        <w:rPr>
          <w:rFonts w:ascii="Arial" w:eastAsia="Times New Roman" w:hAnsi="Arial"/>
          <w:sz w:val="20"/>
          <w:szCs w:val="20"/>
        </w:rPr>
        <w:t xml:space="preserve">Regarding your fourth paragraph I am not persuaded from your appeal letter that it is arguable that there is any such discrimination or that this renders the FAD unreasonable within ground 2. Should you wish to particularise this aspect of your appeal further I would anticipate that such a point would fall under ground 1(b).  </w:t>
      </w:r>
    </w:p>
    <w:p w14:paraId="3D7C6CF9" w14:textId="77777777" w:rsidR="00DA538E" w:rsidRPr="00DA538E" w:rsidRDefault="00DA538E" w:rsidP="00DA538E">
      <w:pPr>
        <w:numPr>
          <w:ilvl w:val="0"/>
          <w:numId w:val="11"/>
        </w:numPr>
        <w:spacing w:after="0" w:line="288" w:lineRule="auto"/>
        <w:contextualSpacing/>
        <w:jc w:val="both"/>
        <w:rPr>
          <w:rFonts w:ascii="Arial" w:eastAsia="Times New Roman" w:hAnsi="Arial"/>
          <w:sz w:val="20"/>
          <w:szCs w:val="20"/>
        </w:rPr>
      </w:pPr>
      <w:r w:rsidRPr="00DA538E">
        <w:rPr>
          <w:rFonts w:ascii="Arial" w:eastAsia="Times New Roman" w:hAnsi="Arial"/>
          <w:sz w:val="20"/>
          <w:szCs w:val="20"/>
        </w:rPr>
        <w:t>Regarding your fifth paragraph, I see no arguable unlawfulness arising from the fact</w:t>
      </w:r>
      <w:r w:rsidRPr="00DA538E">
        <w:rPr>
          <w:rFonts w:ascii="Arial" w:eastAsia="Times New Roman" w:hAnsi="Arial"/>
          <w:i/>
          <w:sz w:val="20"/>
          <w:szCs w:val="20"/>
        </w:rPr>
        <w:t xml:space="preserve"> “the EMA had mandated a one year follow-up study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(SUSTAIN 2) so the long term data are better than for any other antidepressant.” </w:t>
      </w:r>
      <w:r w:rsidRPr="00DA538E">
        <w:rPr>
          <w:rFonts w:ascii="Arial" w:eastAsia="Times New Roman" w:hAnsi="Arial"/>
          <w:sz w:val="20"/>
          <w:szCs w:val="20"/>
        </w:rPr>
        <w:t xml:space="preserve">Each appraisal is decided on its own facts and the committee is not required to consider the data sufficiently certain solely because it is “better” than the data for other similar treatments. </w:t>
      </w:r>
    </w:p>
    <w:p w14:paraId="696D64CC" w14:textId="4F6ADACE" w:rsidR="00DA538E" w:rsidRPr="00DA538E" w:rsidRDefault="00DA538E" w:rsidP="00DA538E">
      <w:pPr>
        <w:spacing w:before="240" w:line="288" w:lineRule="auto"/>
        <w:jc w:val="both"/>
        <w:rPr>
          <w:rFonts w:ascii="Arial" w:eastAsia="Times New Roman" w:hAnsi="Arial"/>
          <w:sz w:val="20"/>
          <w:szCs w:val="20"/>
          <w:u w:val="single"/>
        </w:rPr>
      </w:pPr>
      <w:r w:rsidRPr="00DA538E">
        <w:rPr>
          <w:rFonts w:ascii="Arial" w:eastAsia="Times New Roman" w:hAnsi="Arial"/>
          <w:b/>
          <w:sz w:val="20"/>
          <w:szCs w:val="20"/>
        </w:rPr>
        <w:t>Appeal point 2.2</w:t>
      </w:r>
      <w:r w:rsidR="00AB78AB">
        <w:rPr>
          <w:rFonts w:ascii="Arial" w:eastAsia="Times New Roman" w:hAnsi="Arial"/>
          <w:b/>
          <w:sz w:val="20"/>
          <w:szCs w:val="20"/>
        </w:rPr>
        <w:t>:</w:t>
      </w:r>
      <w:r w:rsidRPr="00DA538E">
        <w:rPr>
          <w:rFonts w:ascii="Arial" w:eastAsia="Times New Roman" w:hAnsi="Arial"/>
          <w:b/>
          <w:sz w:val="20"/>
          <w:szCs w:val="20"/>
        </w:rPr>
        <w:t xml:space="preserve"> The recommendation is unreasonable because of “Inconsistency between technology assessments in approach to extrapolating evidence to more resistant illness”</w:t>
      </w:r>
    </w:p>
    <w:p w14:paraId="24C0C5DF" w14:textId="77777777" w:rsidR="00DA538E" w:rsidRPr="00DA538E" w:rsidRDefault="00DA538E" w:rsidP="00DA538E">
      <w:pPr>
        <w:spacing w:line="288" w:lineRule="auto"/>
        <w:jc w:val="both"/>
        <w:rPr>
          <w:rFonts w:ascii="Arial" w:eastAsia="Times New Roman" w:hAnsi="Arial"/>
          <w:i/>
          <w:sz w:val="20"/>
          <w:szCs w:val="20"/>
        </w:rPr>
      </w:pPr>
      <w:r w:rsidRPr="00DA538E">
        <w:rPr>
          <w:rFonts w:ascii="Arial" w:eastAsia="Times New Roman" w:hAnsi="Arial"/>
          <w:sz w:val="20"/>
          <w:szCs w:val="20"/>
        </w:rPr>
        <w:t>You state</w:t>
      </w:r>
      <w:r w:rsidRPr="00DA538E">
        <w:rPr>
          <w:rFonts w:ascii="Arial" w:eastAsia="Times New Roman" w:hAnsi="Arial"/>
          <w:i/>
          <w:sz w:val="20"/>
          <w:szCs w:val="20"/>
        </w:rPr>
        <w:t xml:space="preserve">: </w:t>
      </w:r>
    </w:p>
    <w:p w14:paraId="1273B4BC" w14:textId="77777777" w:rsidR="00DA538E" w:rsidRPr="00DA538E" w:rsidRDefault="00DA538E" w:rsidP="00DA538E">
      <w:pPr>
        <w:spacing w:line="288" w:lineRule="auto"/>
        <w:ind w:left="720" w:hanging="11"/>
        <w:jc w:val="both"/>
        <w:rPr>
          <w:rFonts w:ascii="Arial" w:eastAsia="Times New Roman" w:hAnsi="Arial"/>
          <w:i/>
          <w:sz w:val="20"/>
          <w:szCs w:val="20"/>
        </w:rPr>
      </w:pPr>
      <w:r w:rsidRPr="00DA538E">
        <w:rPr>
          <w:rFonts w:ascii="Arial" w:eastAsia="Times New Roman" w:hAnsi="Arial"/>
          <w:i/>
          <w:sz w:val="20"/>
          <w:szCs w:val="20"/>
        </w:rPr>
        <w:t xml:space="preserve">“In assessing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as a fourth line drug, the committee judged the evidence of clinical efficacy as being too uncertain, in large part because that evidence was generated in phase 3 trials of its use as a third line drug.   </w:t>
      </w:r>
    </w:p>
    <w:p w14:paraId="7BE95707" w14:textId="77777777" w:rsidR="00DA538E" w:rsidRPr="00DA538E" w:rsidRDefault="00DA538E" w:rsidP="00DA538E">
      <w:pPr>
        <w:spacing w:line="288" w:lineRule="auto"/>
        <w:ind w:left="720" w:hanging="11"/>
        <w:jc w:val="both"/>
        <w:rPr>
          <w:rFonts w:ascii="Arial" w:eastAsia="Times New Roman" w:hAnsi="Arial"/>
          <w:i/>
          <w:sz w:val="20"/>
          <w:szCs w:val="20"/>
        </w:rPr>
      </w:pPr>
      <w:r w:rsidRPr="00DA538E">
        <w:rPr>
          <w:rFonts w:ascii="Arial" w:eastAsia="Times New Roman" w:hAnsi="Arial"/>
          <w:i/>
          <w:sz w:val="20"/>
          <w:szCs w:val="20"/>
        </w:rPr>
        <w:t>However, in assessing vortioxetine as a third line drug, the committee judged evidence generated in examining its use as a second line drug as sufficient (TA367): ‘evidence from trials in the first line population was relevant to informing the relative effectiveness of vortioxetine compared with other antidepressants for second and subsequent lines of treatment’.</w:t>
      </w:r>
    </w:p>
    <w:p w14:paraId="41BC935D" w14:textId="77777777" w:rsidR="00DA538E" w:rsidRPr="00DA538E" w:rsidRDefault="00DA538E" w:rsidP="00DA538E">
      <w:pPr>
        <w:spacing w:line="288" w:lineRule="auto"/>
        <w:ind w:left="720" w:hanging="11"/>
        <w:jc w:val="both"/>
        <w:rPr>
          <w:rFonts w:ascii="Arial" w:eastAsia="Times New Roman" w:hAnsi="Arial"/>
          <w:i/>
          <w:sz w:val="20"/>
          <w:szCs w:val="20"/>
        </w:rPr>
      </w:pPr>
      <w:r w:rsidRPr="00DA538E">
        <w:rPr>
          <w:rFonts w:ascii="Arial" w:eastAsia="Times New Roman" w:hAnsi="Arial"/>
          <w:i/>
          <w:sz w:val="20"/>
          <w:szCs w:val="20"/>
        </w:rPr>
        <w:t xml:space="preserve">Further, extrapolations from a lesser evidence base than that used in the assessment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were made when in order to generate long term models in assessment of Vortioxetine as a third line drug for depression (TA 367).</w:t>
      </w:r>
    </w:p>
    <w:p w14:paraId="7A6E3F4F" w14:textId="77777777" w:rsidR="00DA538E" w:rsidRPr="00DA538E" w:rsidRDefault="00DA538E" w:rsidP="00DA538E">
      <w:pPr>
        <w:spacing w:line="288" w:lineRule="auto"/>
        <w:ind w:left="720" w:hanging="11"/>
        <w:jc w:val="both"/>
        <w:rPr>
          <w:rFonts w:ascii="Arial" w:eastAsia="Times New Roman" w:hAnsi="Arial"/>
          <w:sz w:val="20"/>
          <w:szCs w:val="20"/>
        </w:rPr>
      </w:pPr>
      <w:r w:rsidRPr="00DA538E">
        <w:rPr>
          <w:rFonts w:ascii="Arial" w:eastAsia="Times New Roman" w:hAnsi="Arial"/>
          <w:i/>
          <w:sz w:val="20"/>
          <w:szCs w:val="20"/>
        </w:rPr>
        <w:t xml:space="preserve">The vortioxetine FAD accepted that people in stable remission would stop their antidepressant after 2 years.  This was accepted.  The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submission was that 60% would stop at 2 years but was not accepted.</w:t>
      </w:r>
    </w:p>
    <w:p w14:paraId="727FA272"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t xml:space="preserve">I understand the point that you are making and in particular that the committee appraising vortioxetine took a different approach in some respects. </w:t>
      </w:r>
    </w:p>
    <w:p w14:paraId="2587ED38"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t>On careful consideration, I do not regard this as a valid appeal point. That is because two different committees taking different approaches does not in itself evidence unreasonableness, as (while I accept that where two committees are considering analogous facts, it is likely that, acting reasonably, they will come to analogous decisions) there is there is no rule of precedent that a previous FAD must be followed. Rather NICE must exercise discretion in its decision making, with each decision being taken on its own facts. The committee were evidently well aware of the FAD on vortioxetine</w:t>
      </w:r>
      <w:r w:rsidRPr="00DA538E">
        <w:rPr>
          <w:rFonts w:ascii="Arial" w:eastAsia="Times New Roman" w:hAnsi="Arial"/>
          <w:sz w:val="20"/>
          <w:szCs w:val="20"/>
          <w:vertAlign w:val="superscript"/>
        </w:rPr>
        <w:footnoteReference w:id="1"/>
      </w:r>
      <w:r w:rsidRPr="00DA538E">
        <w:rPr>
          <w:rFonts w:ascii="Arial" w:eastAsia="Times New Roman" w:hAnsi="Arial"/>
          <w:sz w:val="20"/>
          <w:szCs w:val="20"/>
        </w:rPr>
        <w:t>, which is referenced four times in the current FAD.</w:t>
      </w:r>
    </w:p>
    <w:p w14:paraId="6AA45648" w14:textId="77777777" w:rsidR="00DA538E" w:rsidRPr="00DA538E" w:rsidRDefault="00DA538E" w:rsidP="00DA538E">
      <w:pPr>
        <w:spacing w:line="288" w:lineRule="auto"/>
        <w:jc w:val="both"/>
        <w:rPr>
          <w:rFonts w:ascii="Arial" w:eastAsia="Times New Roman" w:hAnsi="Arial"/>
          <w:sz w:val="20"/>
          <w:szCs w:val="20"/>
        </w:rPr>
      </w:pPr>
      <w:r w:rsidRPr="00DA538E">
        <w:rPr>
          <w:rFonts w:ascii="Arial" w:eastAsia="Times New Roman" w:hAnsi="Arial"/>
          <w:sz w:val="20"/>
          <w:szCs w:val="20"/>
        </w:rPr>
        <w:lastRenderedPageBreak/>
        <w:t>I have considered the three issues you raise:</w:t>
      </w:r>
    </w:p>
    <w:p w14:paraId="3D8EF94C" w14:textId="77777777" w:rsidR="00DA538E" w:rsidRPr="00DA538E" w:rsidRDefault="00DA538E" w:rsidP="00DA538E">
      <w:pPr>
        <w:numPr>
          <w:ilvl w:val="0"/>
          <w:numId w:val="9"/>
        </w:numPr>
        <w:spacing w:after="0" w:line="288" w:lineRule="auto"/>
        <w:contextualSpacing/>
        <w:jc w:val="both"/>
        <w:rPr>
          <w:rFonts w:ascii="Arial" w:eastAsia="Times New Roman" w:hAnsi="Arial"/>
          <w:sz w:val="20"/>
          <w:szCs w:val="20"/>
        </w:rPr>
      </w:pPr>
      <w:r w:rsidRPr="00DA538E">
        <w:rPr>
          <w:rFonts w:ascii="Arial" w:eastAsia="Times New Roman" w:hAnsi="Arial"/>
          <w:sz w:val="20"/>
          <w:szCs w:val="20"/>
        </w:rPr>
        <w:t xml:space="preserve">I understand the first aspect of your appeal point to be that the recommendation is unreasonable because the committee did not consider evidence generated in examining </w:t>
      </w:r>
      <w:proofErr w:type="spellStart"/>
      <w:r w:rsidRPr="00DA538E">
        <w:rPr>
          <w:rFonts w:ascii="Arial" w:eastAsia="Times New Roman" w:hAnsi="Arial"/>
          <w:sz w:val="20"/>
          <w:szCs w:val="20"/>
        </w:rPr>
        <w:t>esketamine’s</w:t>
      </w:r>
      <w:proofErr w:type="spellEnd"/>
      <w:r w:rsidRPr="00DA538E">
        <w:rPr>
          <w:rFonts w:ascii="Arial" w:eastAsia="Times New Roman" w:hAnsi="Arial"/>
          <w:sz w:val="20"/>
          <w:szCs w:val="20"/>
        </w:rPr>
        <w:t xml:space="preserve"> use as a third line drug as relevant to informing the relative effectiveness of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for fourth line treatment. I do not consider the FAD on vortioxetine is sufficient in itself to support any arguable unreasonableness, given the committee was considering a different drug at a different point in the pathway.</w:t>
      </w:r>
    </w:p>
    <w:p w14:paraId="30FEBD17" w14:textId="77777777" w:rsidR="00DA538E" w:rsidRPr="00DA538E" w:rsidRDefault="00DA538E" w:rsidP="00DA538E">
      <w:pPr>
        <w:spacing w:after="0" w:line="288" w:lineRule="auto"/>
        <w:ind w:left="1440"/>
        <w:contextualSpacing/>
        <w:jc w:val="both"/>
        <w:rPr>
          <w:rFonts w:ascii="Arial" w:eastAsia="Times New Roman" w:hAnsi="Arial"/>
          <w:sz w:val="20"/>
          <w:szCs w:val="20"/>
        </w:rPr>
      </w:pPr>
    </w:p>
    <w:p w14:paraId="37A8E516" w14:textId="77777777" w:rsidR="00DA538E" w:rsidRPr="00DA538E" w:rsidRDefault="00DA538E" w:rsidP="00DA538E">
      <w:pPr>
        <w:numPr>
          <w:ilvl w:val="0"/>
          <w:numId w:val="9"/>
        </w:numPr>
        <w:spacing w:after="0" w:line="288" w:lineRule="auto"/>
        <w:contextualSpacing/>
        <w:jc w:val="both"/>
        <w:rPr>
          <w:rFonts w:ascii="Arial" w:eastAsia="Times New Roman" w:hAnsi="Arial"/>
          <w:sz w:val="20"/>
          <w:szCs w:val="20"/>
        </w:rPr>
      </w:pPr>
      <w:r w:rsidRPr="00DA538E">
        <w:rPr>
          <w:rFonts w:ascii="Arial" w:eastAsia="Times New Roman" w:hAnsi="Arial"/>
          <w:sz w:val="20"/>
          <w:szCs w:val="20"/>
        </w:rPr>
        <w:t>I understand the second aspect of your point to be that the recommendation is unreasonable because “</w:t>
      </w:r>
      <w:r w:rsidRPr="00DA538E">
        <w:rPr>
          <w:rFonts w:ascii="Arial" w:eastAsia="Times New Roman" w:hAnsi="Arial"/>
          <w:i/>
          <w:sz w:val="20"/>
          <w:szCs w:val="20"/>
        </w:rPr>
        <w:t xml:space="preserve">extrapolations from a lesser evidence base than that used in the assessment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were made in order to generate long term models in assessment of Vortioxetine as a third line drug for depression (TA 367).” </w:t>
      </w:r>
      <w:r w:rsidRPr="00DA538E">
        <w:rPr>
          <w:rFonts w:ascii="Arial" w:eastAsia="Times New Roman" w:hAnsi="Arial"/>
          <w:sz w:val="20"/>
          <w:szCs w:val="20"/>
        </w:rPr>
        <w:t xml:space="preserve">Again you have not explained why the approach taken to appraisal of vortioxetine is sufficient in itself (bearing in mind the committee was considering a different drug at a different point in the pathway) to demonstrate unreasonableness in the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appraisal. </w:t>
      </w:r>
    </w:p>
    <w:p w14:paraId="65694CA4" w14:textId="77777777" w:rsidR="00DA538E" w:rsidRPr="00DA538E" w:rsidRDefault="00DA538E" w:rsidP="00DA538E">
      <w:pPr>
        <w:spacing w:after="0" w:line="288" w:lineRule="auto"/>
        <w:ind w:left="720"/>
        <w:contextualSpacing/>
        <w:rPr>
          <w:rFonts w:ascii="Arial" w:eastAsia="Times New Roman" w:hAnsi="Arial"/>
          <w:sz w:val="20"/>
          <w:szCs w:val="20"/>
        </w:rPr>
      </w:pPr>
    </w:p>
    <w:p w14:paraId="13AE0CA4" w14:textId="77777777" w:rsidR="00DA538E" w:rsidRPr="00DA538E" w:rsidRDefault="00DA538E" w:rsidP="00DA538E">
      <w:pPr>
        <w:numPr>
          <w:ilvl w:val="0"/>
          <w:numId w:val="9"/>
        </w:numPr>
        <w:spacing w:after="0" w:line="288" w:lineRule="auto"/>
        <w:contextualSpacing/>
        <w:jc w:val="both"/>
        <w:rPr>
          <w:rFonts w:ascii="Arial" w:eastAsia="Times New Roman" w:hAnsi="Arial"/>
          <w:sz w:val="20"/>
          <w:szCs w:val="20"/>
          <w:u w:val="single"/>
        </w:rPr>
      </w:pPr>
      <w:r w:rsidRPr="00DA538E">
        <w:rPr>
          <w:rFonts w:ascii="Arial" w:eastAsia="Times New Roman" w:hAnsi="Arial"/>
          <w:sz w:val="20"/>
          <w:szCs w:val="20"/>
        </w:rPr>
        <w:t>I understand the third aspect of your point to be that the recommendation is unreasonable because while the “</w:t>
      </w:r>
      <w:r w:rsidRPr="00DA538E">
        <w:rPr>
          <w:rFonts w:ascii="Arial" w:eastAsia="Times New Roman" w:hAnsi="Arial"/>
          <w:i/>
          <w:sz w:val="20"/>
          <w:szCs w:val="20"/>
        </w:rPr>
        <w:t xml:space="preserve">vortioxetine FAD accepted that people in stable remission would stop their antidepressant after 2 years”, </w:t>
      </w:r>
      <w:r w:rsidRPr="00DA538E">
        <w:rPr>
          <w:rFonts w:ascii="Arial" w:eastAsia="Times New Roman" w:hAnsi="Arial"/>
          <w:sz w:val="20"/>
          <w:szCs w:val="20"/>
        </w:rPr>
        <w:t xml:space="preserve">the committee did not accept the company’s submission that 60% of people whose depression was in stable remission would immediately stop treatment after 2 years. I understand the point that you are making and in particular that the Royal College of Psychiatrists’ view is that this in itself points to unreasonableness. However, paragraphs 3.29-3.30 of the FAD explain the committee’s conclusions on stopping. Paragraph 3.29 explains why the committee considered there is limited evidence on the effect of stopping </w:t>
      </w:r>
      <w:proofErr w:type="spellStart"/>
      <w:r w:rsidRPr="00DA538E">
        <w:rPr>
          <w:rFonts w:ascii="Arial" w:eastAsia="Times New Roman" w:hAnsi="Arial"/>
          <w:sz w:val="20"/>
          <w:szCs w:val="20"/>
        </w:rPr>
        <w:t>esketamine</w:t>
      </w:r>
      <w:proofErr w:type="spellEnd"/>
      <w:r w:rsidRPr="00DA538E">
        <w:rPr>
          <w:rFonts w:ascii="Arial" w:eastAsia="Times New Roman" w:hAnsi="Arial"/>
          <w:sz w:val="20"/>
          <w:szCs w:val="20"/>
        </w:rPr>
        <w:t xml:space="preserve"> for reasons other than lack of efficacy and more data for stopping treatment for reasons other than lack of efficacy was needed to justify modelling the additional stopping guidance provided by the company. Paragraph 3.30 explains why the committee concluded that in clinical practice stopping treatment may not be guided by the company criteria and could include ongoing repeated or prolonged treatment based on symptom severity, particularly for the expected population in NHS clinical practice and the 3 or more treatments subgroup. In my view the FAD is well reasoned on this point and I am not persuaded that the committee’s conclusion could amount to unreasonableness. </w:t>
      </w:r>
    </w:p>
    <w:p w14:paraId="1727B9FC" w14:textId="77777777" w:rsidR="00DA538E" w:rsidRPr="00DA538E" w:rsidRDefault="00DA538E" w:rsidP="00DA538E">
      <w:pPr>
        <w:spacing w:after="0" w:line="288" w:lineRule="auto"/>
        <w:ind w:left="720"/>
        <w:contextualSpacing/>
        <w:jc w:val="both"/>
        <w:rPr>
          <w:rFonts w:ascii="Arial" w:eastAsia="Times New Roman" w:hAnsi="Arial"/>
          <w:sz w:val="20"/>
          <w:szCs w:val="20"/>
          <w:u w:val="single"/>
        </w:rPr>
      </w:pPr>
    </w:p>
    <w:p w14:paraId="6A16BA2F" w14:textId="77777777" w:rsidR="00DA538E" w:rsidRPr="00DA538E" w:rsidRDefault="00DA538E" w:rsidP="00DA538E">
      <w:pPr>
        <w:spacing w:line="288" w:lineRule="auto"/>
        <w:jc w:val="both"/>
        <w:rPr>
          <w:rFonts w:ascii="Arial" w:eastAsia="Times New Roman" w:hAnsi="Arial"/>
          <w:sz w:val="20"/>
          <w:szCs w:val="20"/>
          <w:highlight w:val="yellow"/>
          <w:u w:val="single"/>
        </w:rPr>
      </w:pPr>
      <w:r w:rsidRPr="00DA538E">
        <w:rPr>
          <w:rFonts w:ascii="Arial" w:eastAsia="Times New Roman" w:hAnsi="Arial"/>
          <w:sz w:val="20"/>
          <w:szCs w:val="20"/>
        </w:rPr>
        <w:t>For the above reasons I am not minded to refer this point to an appeal panel.</w:t>
      </w:r>
      <w:r w:rsidRPr="00DA538E">
        <w:rPr>
          <w:rFonts w:ascii="Arial" w:eastAsia="Times New Roman" w:hAnsi="Arial"/>
          <w:sz w:val="20"/>
          <w:szCs w:val="20"/>
          <w:highlight w:val="yellow"/>
          <w:u w:val="single"/>
        </w:rPr>
        <w:t xml:space="preserve"> </w:t>
      </w:r>
    </w:p>
    <w:p w14:paraId="04F17B6A" w14:textId="1FF697B9" w:rsidR="00DA538E" w:rsidRPr="00DA538E" w:rsidRDefault="00DA538E" w:rsidP="00DA538E">
      <w:pPr>
        <w:spacing w:line="288" w:lineRule="auto"/>
        <w:jc w:val="both"/>
        <w:rPr>
          <w:rFonts w:ascii="Arial" w:eastAsia="Times New Roman" w:hAnsi="Arial"/>
          <w:sz w:val="20"/>
          <w:szCs w:val="20"/>
          <w:u w:val="single"/>
        </w:rPr>
      </w:pPr>
      <w:r w:rsidRPr="00DA538E">
        <w:rPr>
          <w:rFonts w:ascii="Arial" w:eastAsia="Times New Roman" w:hAnsi="Arial"/>
          <w:b/>
          <w:sz w:val="20"/>
          <w:szCs w:val="20"/>
        </w:rPr>
        <w:t>Appeal point 2.3</w:t>
      </w:r>
      <w:r w:rsidR="009239F5">
        <w:rPr>
          <w:rFonts w:ascii="Arial" w:eastAsia="Times New Roman" w:hAnsi="Arial"/>
          <w:b/>
          <w:sz w:val="20"/>
          <w:szCs w:val="20"/>
        </w:rPr>
        <w:t>:</w:t>
      </w:r>
      <w:r w:rsidRPr="00DA538E">
        <w:rPr>
          <w:rFonts w:ascii="Arial" w:eastAsia="Times New Roman" w:hAnsi="Arial"/>
          <w:b/>
          <w:sz w:val="20"/>
          <w:szCs w:val="20"/>
        </w:rPr>
        <w:t xml:space="preserve"> The recommendation is unreasonable because of the committee “not taking smaller size of treated group into consideration”</w:t>
      </w:r>
    </w:p>
    <w:p w14:paraId="3F1838EC" w14:textId="77777777" w:rsidR="00DA538E" w:rsidRPr="00DA538E" w:rsidRDefault="00DA538E" w:rsidP="00DA538E">
      <w:pPr>
        <w:spacing w:line="288" w:lineRule="auto"/>
        <w:jc w:val="both"/>
        <w:rPr>
          <w:rFonts w:ascii="Arial" w:eastAsia="Times New Roman" w:hAnsi="Arial"/>
          <w:i/>
          <w:sz w:val="20"/>
          <w:szCs w:val="20"/>
        </w:rPr>
      </w:pPr>
      <w:r w:rsidRPr="00DA538E">
        <w:rPr>
          <w:rFonts w:ascii="Arial" w:eastAsia="Times New Roman" w:hAnsi="Arial"/>
          <w:sz w:val="20"/>
          <w:szCs w:val="20"/>
        </w:rPr>
        <w:t>You state</w:t>
      </w:r>
      <w:r w:rsidRPr="00DA538E">
        <w:rPr>
          <w:rFonts w:ascii="Arial" w:eastAsia="Times New Roman" w:hAnsi="Arial"/>
          <w:i/>
          <w:sz w:val="20"/>
          <w:szCs w:val="20"/>
        </w:rPr>
        <w:t xml:space="preserve">: </w:t>
      </w:r>
    </w:p>
    <w:p w14:paraId="1F4C7E0B" w14:textId="77777777" w:rsidR="00DA538E" w:rsidRPr="00DA538E" w:rsidRDefault="00DA538E" w:rsidP="00DA538E">
      <w:pPr>
        <w:spacing w:line="288" w:lineRule="auto"/>
        <w:ind w:left="720"/>
        <w:jc w:val="both"/>
        <w:rPr>
          <w:rFonts w:ascii="Arial" w:eastAsia="Times New Roman" w:hAnsi="Arial"/>
          <w:i/>
          <w:sz w:val="20"/>
          <w:szCs w:val="20"/>
        </w:rPr>
      </w:pPr>
      <w:r w:rsidRPr="00DA538E">
        <w:rPr>
          <w:rFonts w:ascii="Arial" w:eastAsia="Times New Roman" w:hAnsi="Arial"/>
          <w:i/>
          <w:sz w:val="20"/>
          <w:szCs w:val="20"/>
        </w:rPr>
        <w:t xml:space="preserve">“The effect size of </w:t>
      </w:r>
      <w:proofErr w:type="spellStart"/>
      <w:r w:rsidRPr="00DA538E">
        <w:rPr>
          <w:rFonts w:ascii="Arial" w:eastAsia="Times New Roman" w:hAnsi="Arial"/>
          <w:i/>
          <w:sz w:val="20"/>
          <w:szCs w:val="20"/>
        </w:rPr>
        <w:t>esketamine</w:t>
      </w:r>
      <w:proofErr w:type="spellEnd"/>
      <w:r w:rsidRPr="00DA538E">
        <w:rPr>
          <w:rFonts w:ascii="Arial" w:eastAsia="Times New Roman" w:hAnsi="Arial"/>
          <w:i/>
          <w:sz w:val="20"/>
          <w:szCs w:val="20"/>
        </w:rPr>
        <w:t xml:space="preserve"> as a fourth line therapy, (</w:t>
      </w:r>
      <w:proofErr w:type="spellStart"/>
      <w:r w:rsidRPr="00DA538E">
        <w:rPr>
          <w:rFonts w:ascii="Arial" w:eastAsia="Times New Roman" w:hAnsi="Arial"/>
          <w:i/>
          <w:sz w:val="20"/>
          <w:szCs w:val="20"/>
        </w:rPr>
        <w:t>ie</w:t>
      </w:r>
      <w:proofErr w:type="spellEnd"/>
      <w:r w:rsidRPr="00DA538E">
        <w:rPr>
          <w:rFonts w:ascii="Arial" w:eastAsia="Times New Roman" w:hAnsi="Arial"/>
          <w:i/>
          <w:sz w:val="20"/>
          <w:szCs w:val="20"/>
        </w:rPr>
        <w:t xml:space="preserve"> after augmentation), is the same as it is as a third line therapy.  We accept that, by restricting the analysis to those who received the drug after 3 or more failures, the sample size was smaller and failed to reach statistical significance and was therefore more uncertain.  We also understand that the requirement that the degree of certainty needs to be higher when the total NHS spend on treatment is high.  However, the size of the group that would be treated with fourth line therapy is much smaller than that originally proposed for third line use.  We do not see that the committee took the maintained effect size and the smaller group requiring treatment into consideration.”</w:t>
      </w:r>
    </w:p>
    <w:p w14:paraId="548C2A56" w14:textId="77777777" w:rsidR="00DA538E" w:rsidRPr="00DA538E" w:rsidRDefault="00DA538E" w:rsidP="00DA538E">
      <w:pPr>
        <w:spacing w:before="120" w:after="240"/>
        <w:jc w:val="both"/>
        <w:rPr>
          <w:rFonts w:ascii="Arial" w:eastAsia="Times New Roman" w:hAnsi="Arial"/>
          <w:sz w:val="20"/>
          <w:szCs w:val="20"/>
          <w:lang w:eastAsia="en-GB"/>
        </w:rPr>
      </w:pPr>
      <w:r w:rsidRPr="00DA538E">
        <w:rPr>
          <w:rFonts w:ascii="Arial" w:eastAsia="Times New Roman" w:hAnsi="Arial"/>
          <w:sz w:val="20"/>
          <w:szCs w:val="20"/>
          <w:lang w:eastAsia="en-GB"/>
        </w:rPr>
        <w:lastRenderedPageBreak/>
        <w:t xml:space="preserve">I understand the point that you are making is that the Royal College consider it unreasonable for the committee not to have taken into account the lesser impact on NHS budget associated with a smaller population group in respect of </w:t>
      </w:r>
      <w:proofErr w:type="spellStart"/>
      <w:r w:rsidRPr="00DA538E">
        <w:rPr>
          <w:rFonts w:ascii="Arial" w:eastAsia="Times New Roman" w:hAnsi="Arial"/>
          <w:sz w:val="20"/>
          <w:szCs w:val="20"/>
          <w:lang w:eastAsia="en-GB"/>
        </w:rPr>
        <w:t>esketamine</w:t>
      </w:r>
      <w:proofErr w:type="spellEnd"/>
      <w:r w:rsidRPr="00DA538E">
        <w:rPr>
          <w:rFonts w:ascii="Arial" w:eastAsia="Times New Roman" w:hAnsi="Arial"/>
          <w:sz w:val="20"/>
          <w:szCs w:val="20"/>
          <w:lang w:eastAsia="en-GB"/>
        </w:rPr>
        <w:t xml:space="preserve"> as a fourth line therapy. </w:t>
      </w:r>
    </w:p>
    <w:p w14:paraId="204103E1" w14:textId="77777777" w:rsidR="00DA538E" w:rsidRPr="00DA538E" w:rsidRDefault="00DA538E" w:rsidP="00DA538E">
      <w:pPr>
        <w:spacing w:before="120" w:after="240"/>
        <w:jc w:val="both"/>
        <w:rPr>
          <w:rFonts w:ascii="Arial" w:eastAsia="Times New Roman" w:hAnsi="Arial"/>
          <w:sz w:val="20"/>
          <w:szCs w:val="20"/>
          <w:lang w:eastAsia="en-GB"/>
        </w:rPr>
      </w:pPr>
      <w:r w:rsidRPr="00DA538E">
        <w:rPr>
          <w:rFonts w:ascii="Arial" w:eastAsia="Times New Roman" w:hAnsi="Arial"/>
          <w:sz w:val="20"/>
          <w:szCs w:val="20"/>
          <w:lang w:eastAsia="en-GB"/>
        </w:rPr>
        <w:t xml:space="preserve">I note paragraph 6.2.1.4 of NICE’s Guide to the methods of technology appraisal 2013, which states: </w:t>
      </w:r>
    </w:p>
    <w:p w14:paraId="793E9205" w14:textId="77777777" w:rsidR="00DA538E" w:rsidRPr="00DA538E" w:rsidRDefault="00DA538E" w:rsidP="00DA538E">
      <w:pPr>
        <w:spacing w:before="120" w:after="240"/>
        <w:ind w:left="720"/>
        <w:jc w:val="both"/>
        <w:rPr>
          <w:rFonts w:ascii="Arial" w:eastAsia="Times New Roman" w:hAnsi="Arial"/>
          <w:i/>
          <w:sz w:val="20"/>
          <w:szCs w:val="20"/>
          <w:lang w:eastAsia="en-GB"/>
        </w:rPr>
      </w:pPr>
      <w:r w:rsidRPr="00DA538E">
        <w:rPr>
          <w:rFonts w:ascii="Arial" w:eastAsia="Times New Roman" w:hAnsi="Arial"/>
          <w:i/>
          <w:sz w:val="20"/>
          <w:szCs w:val="20"/>
          <w:lang w:eastAsia="en-GB"/>
        </w:rPr>
        <w:t>“The potential budget impact of the adoption of a new technology does not determine the Appraisal Committee's decision. The Committee does take account of how its advice may enable the more efficient use of available healthcare resources. In general, the Committee will want to be increasingly certain of the cost effectiveness of a technology as the impact of the adoption of the technology on NHS resources increases. Therefore, the Committee may require more robust evidence on the effectiveness and cost effectiveness of technologies that are expected to have a large impact on NHS resources.”</w:t>
      </w:r>
    </w:p>
    <w:p w14:paraId="7074CE5D" w14:textId="77777777" w:rsidR="00DA538E" w:rsidRPr="00DA538E" w:rsidRDefault="00DA538E" w:rsidP="00DA538E">
      <w:pPr>
        <w:spacing w:before="120" w:after="240"/>
        <w:jc w:val="both"/>
        <w:rPr>
          <w:rFonts w:ascii="Arial" w:eastAsia="Times New Roman" w:hAnsi="Arial"/>
          <w:sz w:val="20"/>
          <w:szCs w:val="20"/>
          <w:lang w:eastAsia="en-GB"/>
        </w:rPr>
      </w:pPr>
      <w:r w:rsidRPr="00DA538E">
        <w:rPr>
          <w:rFonts w:ascii="Arial" w:eastAsia="Times New Roman" w:hAnsi="Arial"/>
          <w:sz w:val="20"/>
          <w:szCs w:val="20"/>
          <w:lang w:eastAsia="en-GB"/>
        </w:rPr>
        <w:t>In my view this does not require the Committee to reach any particular single “reasonable” conclusion or take any particular single reasonable approach where the population group decreases in size during the course of an appraisal, and I can therefore see no arguable unreasonableness here. Therefore I am not minded to refer appeal point 2.3 as a valid appeal point.</w:t>
      </w:r>
    </w:p>
    <w:p w14:paraId="4C1DAC10" w14:textId="77777777" w:rsidR="00DA538E" w:rsidRPr="00DA538E" w:rsidRDefault="00DA538E" w:rsidP="00DA538E">
      <w:pPr>
        <w:spacing w:before="120" w:after="240"/>
        <w:jc w:val="both"/>
        <w:rPr>
          <w:rFonts w:ascii="Arial" w:eastAsia="Times New Roman" w:hAnsi="Arial" w:cs="Arial"/>
          <w:sz w:val="20"/>
          <w:szCs w:val="20"/>
          <w:highlight w:val="yellow"/>
          <w:lang w:eastAsia="en-GB"/>
        </w:rPr>
      </w:pPr>
      <w:r w:rsidRPr="00DA538E">
        <w:rPr>
          <w:rFonts w:ascii="Arial" w:eastAsia="Times New Roman" w:hAnsi="Arial"/>
          <w:sz w:val="20"/>
          <w:szCs w:val="20"/>
          <w:lang w:eastAsia="en-GB"/>
        </w:rPr>
        <w:t xml:space="preserve">However, the committee’s approach to uncertainty in the data can be explored under appeal point 2.1. </w:t>
      </w:r>
    </w:p>
    <w:p w14:paraId="295EB968" w14:textId="77777777" w:rsidR="00DA538E" w:rsidRPr="00DA538E" w:rsidRDefault="00DA538E" w:rsidP="00DA538E">
      <w:pPr>
        <w:spacing w:before="120" w:after="240"/>
        <w:jc w:val="both"/>
        <w:rPr>
          <w:rFonts w:ascii="Arial" w:eastAsia="Times New Roman" w:hAnsi="Arial" w:cs="Arial"/>
          <w:sz w:val="20"/>
          <w:szCs w:val="20"/>
          <w:u w:val="single"/>
        </w:rPr>
      </w:pPr>
      <w:r w:rsidRPr="00DA538E">
        <w:rPr>
          <w:rFonts w:ascii="Arial" w:eastAsia="Times New Roman" w:hAnsi="Arial" w:cs="Arial"/>
          <w:sz w:val="20"/>
          <w:szCs w:val="20"/>
          <w:u w:val="single"/>
        </w:rPr>
        <w:t xml:space="preserve">Conclusion </w:t>
      </w:r>
    </w:p>
    <w:p w14:paraId="31FB8B39" w14:textId="77777777" w:rsidR="00DA538E" w:rsidRPr="00DA538E" w:rsidRDefault="00DA538E" w:rsidP="00DA538E">
      <w:pPr>
        <w:spacing w:before="120" w:after="240"/>
        <w:jc w:val="both"/>
        <w:rPr>
          <w:rFonts w:ascii="Arial" w:eastAsia="Times New Roman" w:hAnsi="Arial" w:cs="Arial"/>
          <w:sz w:val="20"/>
          <w:szCs w:val="20"/>
        </w:rPr>
      </w:pPr>
      <w:r w:rsidRPr="00DA538E">
        <w:rPr>
          <w:rFonts w:ascii="Arial" w:eastAsia="Times New Roman" w:hAnsi="Arial" w:cs="Arial"/>
          <w:sz w:val="20"/>
          <w:szCs w:val="20"/>
        </w:rPr>
        <w:t xml:space="preserve">The above sets out above my initial views on all of your appeal points. </w:t>
      </w:r>
    </w:p>
    <w:p w14:paraId="1A18C547" w14:textId="67DD7027" w:rsidR="00DA538E" w:rsidRPr="00DA538E" w:rsidRDefault="00DA538E" w:rsidP="00DA538E">
      <w:pPr>
        <w:spacing w:line="288" w:lineRule="auto"/>
        <w:rPr>
          <w:rFonts w:ascii="Arial" w:eastAsia="Times New Roman" w:hAnsi="Arial"/>
          <w:sz w:val="20"/>
          <w:szCs w:val="20"/>
        </w:rPr>
      </w:pPr>
      <w:r w:rsidRPr="00DA538E">
        <w:rPr>
          <w:rFonts w:ascii="Arial" w:eastAsia="Times New Roman" w:hAnsi="Arial"/>
          <w:sz w:val="20"/>
          <w:szCs w:val="20"/>
        </w:rPr>
        <w:t xml:space="preserve">In respect of the points that I am not yet minded to refer you are entitled to submit further clarification and/or evidence to me within the next 10 working days, </w:t>
      </w:r>
      <w:r w:rsidRPr="00DA538E">
        <w:rPr>
          <w:rFonts w:ascii="Arial" w:eastAsia="Times New Roman" w:hAnsi="Arial"/>
          <w:b/>
          <w:bCs/>
          <w:sz w:val="20"/>
          <w:szCs w:val="20"/>
        </w:rPr>
        <w:t>no later than 5 July 2022</w:t>
      </w:r>
      <w:r>
        <w:rPr>
          <w:rFonts w:ascii="Arial" w:eastAsia="Times New Roman" w:hAnsi="Arial"/>
          <w:sz w:val="20"/>
          <w:szCs w:val="20"/>
        </w:rPr>
        <w:t xml:space="preserve">, </w:t>
      </w:r>
      <w:r w:rsidRPr="00DA538E">
        <w:rPr>
          <w:rFonts w:ascii="Arial" w:eastAsia="Times New Roman" w:hAnsi="Arial"/>
          <w:sz w:val="20"/>
          <w:szCs w:val="20"/>
        </w:rPr>
        <w:t xml:space="preserve">and I will then give a final decision on the points to put before an appeal panel.  For the points I am already content to refer on, an oral appeal will be held, </w:t>
      </w:r>
      <w:r w:rsidR="009239F5">
        <w:rPr>
          <w:rFonts w:ascii="Arial" w:eastAsia="Times New Roman" w:hAnsi="Arial"/>
          <w:sz w:val="20"/>
          <w:szCs w:val="20"/>
        </w:rPr>
        <w:t>which</w:t>
      </w:r>
      <w:r w:rsidRPr="00DA538E">
        <w:rPr>
          <w:rFonts w:ascii="Arial" w:eastAsia="Times New Roman" w:hAnsi="Arial"/>
          <w:sz w:val="20"/>
          <w:szCs w:val="20"/>
        </w:rPr>
        <w:t xml:space="preserve"> is likely to be held remotely.</w:t>
      </w:r>
    </w:p>
    <w:p w14:paraId="4354F7C7" w14:textId="38EE67BE" w:rsidR="00DA538E" w:rsidRPr="00DA538E" w:rsidRDefault="00DA538E" w:rsidP="00DA538E">
      <w:pPr>
        <w:spacing w:before="120" w:after="240"/>
        <w:jc w:val="both"/>
        <w:rPr>
          <w:rFonts w:ascii="Arial" w:eastAsia="Times New Roman" w:hAnsi="Arial"/>
          <w:sz w:val="20"/>
          <w:szCs w:val="20"/>
          <w:lang w:eastAsia="en-GB"/>
        </w:rPr>
      </w:pPr>
      <w:r w:rsidRPr="00DA538E">
        <w:rPr>
          <w:rFonts w:ascii="Arial" w:eastAsia="Times New Roman" w:hAnsi="Arial"/>
          <w:sz w:val="20"/>
          <w:szCs w:val="20"/>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DA538E">
        <w:rPr>
          <w:rFonts w:ascii="Arial" w:eastAsia="Times New Roman" w:hAnsi="Arial"/>
          <w:sz w:val="24"/>
          <w:szCs w:val="24"/>
          <w:lang w:eastAsia="en-GB"/>
        </w:rPr>
        <w:t xml:space="preserve"> </w:t>
      </w:r>
      <w:r w:rsidRPr="00DA538E">
        <w:rPr>
          <w:rFonts w:ascii="Arial" w:eastAsia="Times New Roman" w:hAnsi="Arial"/>
          <w:sz w:val="20"/>
          <w:szCs w:val="20"/>
          <w:lang w:eastAsia="en-GB"/>
        </w:rPr>
        <w:t xml:space="preserve">please ensure you have provided a version with this information redacted by </w:t>
      </w:r>
      <w:r w:rsidRPr="009239F5">
        <w:rPr>
          <w:rFonts w:ascii="Arial" w:eastAsia="Times New Roman" w:hAnsi="Arial"/>
          <w:sz w:val="20"/>
          <w:szCs w:val="20"/>
          <w:lang w:eastAsia="en-GB"/>
        </w:rPr>
        <w:t>13 July 2022</w:t>
      </w:r>
      <w:r w:rsidRPr="00DA538E">
        <w:rPr>
          <w:rFonts w:ascii="Arial" w:eastAsia="Times New Roman" w:hAnsi="Arial"/>
          <w:sz w:val="20"/>
          <w:szCs w:val="20"/>
          <w:lang w:eastAsia="en-GB"/>
        </w:rPr>
        <w:t>.</w:t>
      </w:r>
    </w:p>
    <w:p w14:paraId="14EA8259" w14:textId="5F2F63DE" w:rsidR="009A01FD" w:rsidRPr="00A84AF4" w:rsidRDefault="009A01FD" w:rsidP="00A84AF4">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03974B88" w14:textId="271A18D1"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65B10922"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 w:id="1">
    <w:p w14:paraId="53DF86EB" w14:textId="77777777" w:rsidR="00DA538E" w:rsidRDefault="00DA538E" w:rsidP="00DA538E">
      <w:pPr>
        <w:pStyle w:val="FootnoteText"/>
      </w:pPr>
      <w:r>
        <w:rPr>
          <w:rStyle w:val="FootnoteReference"/>
        </w:rPr>
        <w:footnoteRef/>
      </w:r>
      <w:r>
        <w:t xml:space="preserve"> </w:t>
      </w:r>
      <w:hyperlink r:id="rId1" w:history="1">
        <w:r w:rsidRPr="00BA2C6B">
          <w:rPr>
            <w:rStyle w:val="Hyperlink"/>
          </w:rPr>
          <w:t>https://www.nice.org.uk/guidance/ta367/resources/vortioxetine-for-treating-major-depressive-episodes-pdf-82602733813189</w:t>
        </w:r>
      </w:hyperlink>
      <w:r>
        <w:rPr>
          <w:u w:val="single"/>
        </w:rPr>
        <w:t xml:space="preserve"> (published 25 November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E64C2E"/>
    <w:multiLevelType w:val="hybridMultilevel"/>
    <w:tmpl w:val="DB7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F556E"/>
    <w:multiLevelType w:val="hybridMultilevel"/>
    <w:tmpl w:val="4BF0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F965C9"/>
    <w:multiLevelType w:val="hybridMultilevel"/>
    <w:tmpl w:val="B378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81347">
    <w:abstractNumId w:val="2"/>
  </w:num>
  <w:num w:numId="2" w16cid:durableId="1316950946">
    <w:abstractNumId w:val="7"/>
  </w:num>
  <w:num w:numId="3" w16cid:durableId="2019578439">
    <w:abstractNumId w:val="3"/>
  </w:num>
  <w:num w:numId="4" w16cid:durableId="561915322">
    <w:abstractNumId w:val="8"/>
  </w:num>
  <w:num w:numId="5" w16cid:durableId="908538179">
    <w:abstractNumId w:val="0"/>
  </w:num>
  <w:num w:numId="6" w16cid:durableId="957879765">
    <w:abstractNumId w:val="6"/>
  </w:num>
  <w:num w:numId="7" w16cid:durableId="936522129">
    <w:abstractNumId w:val="4"/>
  </w:num>
  <w:num w:numId="8" w16cid:durableId="914241789">
    <w:abstractNumId w:val="10"/>
  </w:num>
  <w:num w:numId="9" w16cid:durableId="1756633372">
    <w:abstractNumId w:val="9"/>
  </w:num>
  <w:num w:numId="10" w16cid:durableId="2005283211">
    <w:abstractNumId w:val="1"/>
  </w:num>
  <w:num w:numId="11" w16cid:durableId="186806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D5BD2"/>
    <w:rsid w:val="0022689E"/>
    <w:rsid w:val="00320722"/>
    <w:rsid w:val="00321B75"/>
    <w:rsid w:val="003A3E2E"/>
    <w:rsid w:val="003A79BD"/>
    <w:rsid w:val="003D614E"/>
    <w:rsid w:val="003E3E29"/>
    <w:rsid w:val="004215D9"/>
    <w:rsid w:val="00453774"/>
    <w:rsid w:val="00480405"/>
    <w:rsid w:val="00492D30"/>
    <w:rsid w:val="00493D2F"/>
    <w:rsid w:val="004C2D22"/>
    <w:rsid w:val="004E4493"/>
    <w:rsid w:val="004F29D7"/>
    <w:rsid w:val="005752D7"/>
    <w:rsid w:val="00575FA7"/>
    <w:rsid w:val="00593F3D"/>
    <w:rsid w:val="005B078B"/>
    <w:rsid w:val="005E0434"/>
    <w:rsid w:val="005E3FED"/>
    <w:rsid w:val="006628FF"/>
    <w:rsid w:val="0069376C"/>
    <w:rsid w:val="006D0C62"/>
    <w:rsid w:val="006F031D"/>
    <w:rsid w:val="007136CD"/>
    <w:rsid w:val="00732227"/>
    <w:rsid w:val="00860A12"/>
    <w:rsid w:val="00866617"/>
    <w:rsid w:val="008E4AE4"/>
    <w:rsid w:val="009239F5"/>
    <w:rsid w:val="009A01FD"/>
    <w:rsid w:val="009E2F15"/>
    <w:rsid w:val="009F0476"/>
    <w:rsid w:val="00A84AF4"/>
    <w:rsid w:val="00AB78AB"/>
    <w:rsid w:val="00AE303D"/>
    <w:rsid w:val="00B24360"/>
    <w:rsid w:val="00B32B71"/>
    <w:rsid w:val="00B737D4"/>
    <w:rsid w:val="00B91BA1"/>
    <w:rsid w:val="00BC7BE7"/>
    <w:rsid w:val="00C21448"/>
    <w:rsid w:val="00C42AAA"/>
    <w:rsid w:val="00C74E03"/>
    <w:rsid w:val="00C96687"/>
    <w:rsid w:val="00C97CBC"/>
    <w:rsid w:val="00CA4D66"/>
    <w:rsid w:val="00D22D3F"/>
    <w:rsid w:val="00D27FFE"/>
    <w:rsid w:val="00DA538E"/>
    <w:rsid w:val="00DD042E"/>
    <w:rsid w:val="00DD43C2"/>
    <w:rsid w:val="00E03263"/>
    <w:rsid w:val="00E27333"/>
    <w:rsid w:val="00E60FCF"/>
    <w:rsid w:val="00E622D7"/>
    <w:rsid w:val="00E67BD1"/>
    <w:rsid w:val="00E70F23"/>
    <w:rsid w:val="00E8542F"/>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1"/>
    <w:qFormat/>
    <w:rsid w:val="00B737D4"/>
    <w:pPr>
      <w:spacing w:after="0" w:line="288" w:lineRule="auto"/>
      <w:ind w:left="720"/>
      <w:contextualSpacing/>
    </w:pPr>
    <w:rPr>
      <w:rFonts w:ascii="Arial" w:eastAsia="Times New Roman" w:hAnsi="Arial"/>
      <w:sz w:val="20"/>
      <w:szCs w:val="20"/>
    </w:rPr>
  </w:style>
  <w:style w:type="paragraph" w:styleId="BodyText">
    <w:name w:val="Body Text"/>
    <w:basedOn w:val="Normal"/>
    <w:link w:val="BodyTextChar"/>
    <w:rsid w:val="00C42AAA"/>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C42AAA"/>
    <w:rPr>
      <w:rFonts w:ascii="Arial" w:eastAsia="Times New Roman" w:hAnsi="Arial"/>
      <w:color w:val="333333"/>
      <w:lang w:eastAsia="en-US"/>
    </w:rPr>
  </w:style>
  <w:style w:type="paragraph" w:styleId="FootnoteText">
    <w:name w:val="footnote text"/>
    <w:basedOn w:val="Normal"/>
    <w:link w:val="FootnoteTextChar"/>
    <w:semiHidden/>
    <w:unhideWhenUsed/>
    <w:rsid w:val="00C42AAA"/>
    <w:pPr>
      <w:spacing w:after="0" w:line="240" w:lineRule="auto"/>
    </w:pPr>
    <w:rPr>
      <w:rFonts w:ascii="Arial" w:eastAsia="Times New Roman" w:hAnsi="Arial"/>
      <w:color w:val="333333"/>
      <w:sz w:val="20"/>
      <w:szCs w:val="20"/>
    </w:rPr>
  </w:style>
  <w:style w:type="character" w:customStyle="1" w:styleId="FootnoteTextChar">
    <w:name w:val="Footnote Text Char"/>
    <w:basedOn w:val="DefaultParagraphFont"/>
    <w:link w:val="FootnoteText"/>
    <w:semiHidden/>
    <w:rsid w:val="00C42AAA"/>
    <w:rPr>
      <w:rFonts w:ascii="Arial" w:eastAsia="Times New Roman" w:hAnsi="Arial"/>
      <w:color w:val="333333"/>
      <w:lang w:eastAsia="en-US"/>
    </w:rPr>
  </w:style>
  <w:style w:type="character" w:styleId="FootnoteReference">
    <w:name w:val="footnote reference"/>
    <w:basedOn w:val="DefaultParagraphFont"/>
    <w:semiHidden/>
    <w:unhideWhenUsed/>
    <w:rsid w:val="00C42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367/resources/vortioxetine-for-treating-major-depressive-episodes-pdf-826027338131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5</TotalTime>
  <Pages>5</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4</cp:revision>
  <cp:lastPrinted>2017-02-13T09:51:00Z</cp:lastPrinted>
  <dcterms:created xsi:type="dcterms:W3CDTF">2022-06-21T16:31:00Z</dcterms:created>
  <dcterms:modified xsi:type="dcterms:W3CDTF">2022-07-13T15:10:00Z</dcterms:modified>
</cp:coreProperties>
</file>