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022B" w:rsidR="0004302C" w:rsidP="0004302C" w:rsidRDefault="0004302C" w14:paraId="5F36C1A4" w14:textId="2E503C24">
      <w:pPr>
        <w:rPr>
          <w:rStyle w:val="Hyperlink"/>
          <w:rFonts w:cs="Arial"/>
          <w:color w:val="auto"/>
        </w:rPr>
      </w:pPr>
      <w:r w:rsidRPr="589E6EEE" w:rsidR="0004302C">
        <w:rPr>
          <w:rFonts w:cs="Arial"/>
        </w:rPr>
        <w:t>Sent by e-mail only:</w:t>
      </w:r>
      <w:r w:rsidRPr="589E6EEE" w:rsidR="0004302C">
        <w:rPr>
          <w:rFonts w:cs="Arial"/>
          <w:color w:val="000000" w:themeColor="text1" w:themeTint="FF" w:themeShade="FF"/>
        </w:rPr>
        <w:t xml:space="preserve"> </w:t>
      </w:r>
      <w:r w:rsidRPr="589E6EEE" w:rsidR="50767649">
        <w:rPr>
          <w:rFonts w:cs="Arial"/>
          <w:color w:val="000000" w:themeColor="text1" w:themeTint="FF" w:themeShade="FF"/>
          <w:highlight w:val="black"/>
        </w:rPr>
        <w:t>xxxxxxxxxxxxxxxxxxxxxxxxxx</w:t>
      </w:r>
      <w:r w:rsidRPr="589E6EEE" w:rsidR="00BC7EA6">
        <w:rPr>
          <w:color w:val="000000" w:themeColor="text1" w:themeTint="FF" w:themeShade="FF"/>
        </w:rPr>
        <w:t xml:space="preserve"> </w:t>
      </w:r>
      <w:r w:rsidRPr="589E6EEE" w:rsidR="0004302C">
        <w:rPr>
          <w:rFonts w:cs="Arial"/>
          <w:color w:val="000000" w:themeColor="text1" w:themeTint="FF" w:themeShade="FF"/>
        </w:rPr>
        <w:t xml:space="preserve">  </w:t>
      </w:r>
      <w:r w:rsidRPr="589E6EEE" w:rsidR="0004302C">
        <w:rPr>
          <w:rFonts w:cs="Arial"/>
        </w:rPr>
        <w:t xml:space="preserve">  </w:t>
      </w:r>
    </w:p>
    <w:p w:rsidR="0004302C" w:rsidP="0004302C" w:rsidRDefault="0004302C" w14:paraId="52AF9A60" w14:textId="38155126">
      <w:pPr>
        <w:spacing w:after="0" w:line="240" w:lineRule="auto"/>
        <w:jc w:val="both"/>
        <w:rPr>
          <w:rFonts w:cs="Arial"/>
        </w:rPr>
      </w:pPr>
      <w:r w:rsidRPr="589E6EEE" w:rsidR="0004302C">
        <w:rPr>
          <w:rFonts w:cs="Arial"/>
        </w:rPr>
        <w:t xml:space="preserve">FAO </w:t>
      </w:r>
      <w:r w:rsidRPr="589E6EEE" w:rsidR="6EF5B2A5">
        <w:rPr>
          <w:rFonts w:cs="Arial"/>
          <w:color w:val="000000" w:themeColor="text1" w:themeTint="FF" w:themeShade="FF"/>
          <w:highlight w:val="black"/>
        </w:rPr>
        <w:t>xxxxxxxxxxxxxxxxxxxxxxxxxx</w:t>
      </w:r>
    </w:p>
    <w:p w:rsidRPr="0043022B" w:rsidR="00521160" w:rsidP="0004302C" w:rsidRDefault="00521160" w14:paraId="0EDFC1AD" w14:textId="61250422">
      <w:pPr>
        <w:spacing w:after="0" w:line="240" w:lineRule="auto"/>
        <w:jc w:val="both"/>
        <w:rPr>
          <w:rFonts w:cs="Arial"/>
        </w:rPr>
      </w:pPr>
      <w:r>
        <w:rPr>
          <w:rFonts w:cs="Arial"/>
        </w:rPr>
        <w:t>Cardiothoracic Transplant Patient Group</w:t>
      </w:r>
    </w:p>
    <w:p w:rsidRPr="0043022B" w:rsidR="0004302C" w:rsidP="0004302C" w:rsidRDefault="00521160" w14:paraId="78445498" w14:textId="736D4ED5">
      <w:pPr>
        <w:rPr>
          <w:rFonts w:cs="Arial"/>
        </w:rPr>
      </w:pPr>
      <w:r>
        <w:rPr>
          <w:rFonts w:cs="Arial"/>
        </w:rPr>
        <w:t>NHS Blood and Transplant</w:t>
      </w:r>
    </w:p>
    <w:p w:rsidRPr="0043022B" w:rsidR="0004302C" w:rsidP="0004302C" w:rsidRDefault="0004302C" w14:paraId="706E42E0" w14:textId="77777777">
      <w:pPr>
        <w:rPr>
          <w:rFonts w:cs="Arial"/>
        </w:rPr>
      </w:pPr>
    </w:p>
    <w:p w:rsidRPr="0043022B" w:rsidR="0004302C" w:rsidP="0004302C" w:rsidRDefault="00BB0E11" w14:paraId="51088EB9" w14:textId="7DF1E7B8">
      <w:pPr>
        <w:rPr>
          <w:rFonts w:cs="Arial"/>
        </w:rPr>
      </w:pPr>
      <w:r>
        <w:rPr>
          <w:rFonts w:cs="Arial"/>
        </w:rPr>
        <w:t>1 February 2024</w:t>
      </w:r>
    </w:p>
    <w:p w:rsidRPr="0043022B" w:rsidR="0004302C" w:rsidP="589E6EEE" w:rsidRDefault="0004302C" w14:paraId="0DC6D4ED" w14:textId="473C9BC4">
      <w:pPr>
        <w:ind w:left="426" w:right="468" w:hanging="426"/>
        <w:jc w:val="both"/>
        <w:rPr>
          <w:rFonts w:cs="Arial"/>
          <w:color w:val="000000" w:themeColor="text1" w:themeTint="FF" w:themeShade="FF"/>
        </w:rPr>
      </w:pPr>
      <w:bookmarkStart w:name="deartext" w:id="0"/>
      <w:r w:rsidRPr="589E6EEE" w:rsidR="0004302C">
        <w:rPr>
          <w:rFonts w:cs="Arial"/>
        </w:rPr>
        <w:t>Dear</w:t>
      </w:r>
      <w:bookmarkEnd w:id="0"/>
      <w:r w:rsidRPr="589E6EEE" w:rsidR="0004302C">
        <w:rPr>
          <w:rFonts w:cs="Arial"/>
        </w:rPr>
        <w:t xml:space="preserve"> </w:t>
      </w:r>
      <w:r w:rsidRPr="589E6EEE" w:rsidR="7B290086">
        <w:rPr>
          <w:rFonts w:cs="Arial"/>
          <w:color w:val="000000" w:themeColor="text1" w:themeTint="FF" w:themeShade="FF"/>
          <w:highlight w:val="black"/>
        </w:rPr>
        <w:t>xxxxxxxxx</w:t>
      </w:r>
      <w:bookmarkStart w:name="Sal" w:id="1"/>
      <w:bookmarkEnd w:id="1"/>
      <w:r w:rsidRPr="589E6EEE" w:rsidR="00521160">
        <w:rPr>
          <w:rFonts w:cs="Arial"/>
        </w:rPr>
        <w:t xml:space="preserve"> and</w:t>
      </w:r>
      <w:r w:rsidRPr="589E6EEE" w:rsidR="005E14E7">
        <w:rPr>
          <w:rFonts w:cs="Arial"/>
        </w:rPr>
        <w:t xml:space="preserve"> </w:t>
      </w:r>
      <w:r w:rsidRPr="589E6EEE" w:rsidR="005E14E7">
        <w:rPr>
          <w:rFonts w:cs="Arial"/>
          <w:color w:val="000000" w:themeColor="text1" w:themeTint="FF" w:themeShade="FF"/>
          <w:highlight w:val="black"/>
        </w:rPr>
        <w:t>xxxxxxxxxx</w:t>
      </w:r>
    </w:p>
    <w:p w:rsidRPr="0043022B" w:rsidR="0004302C" w:rsidP="589E6EEE" w:rsidRDefault="0004302C" w14:paraId="0C2B27E7" w14:textId="14EA1F4F">
      <w:pPr>
        <w:ind w:left="426" w:right="468" w:hanging="426"/>
        <w:jc w:val="both"/>
        <w:rPr>
          <w:rFonts w:cs="Arial"/>
          <w:b w:val="1"/>
          <w:bCs w:val="1"/>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1CAD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Pr="589E6EEE" w:rsidR="0004302C">
        <w:rPr>
          <w:rFonts w:cs="Arial"/>
          <w:b w:val="1"/>
          <w:bCs w:val="1"/>
          <w:spacing w:val="-3"/>
        </w:rPr>
        <w:t xml:space="preserve">Re: </w:t>
      </w:r>
      <w:r w:rsidRPr="589E6EEE" w:rsidR="0004302C">
        <w:rPr>
          <w:rFonts w:cs="Arial"/>
          <w:b w:val="1"/>
          <w:bCs w:val="1"/>
        </w:rPr>
        <w:t xml:space="preserve">Final </w:t>
      </w:r>
      <w:r w:rsidRPr="589E6EEE" w:rsidR="00521160">
        <w:rPr>
          <w:rFonts w:cs="Arial"/>
          <w:b w:val="1"/>
          <w:bCs w:val="1"/>
        </w:rPr>
        <w:t xml:space="preserve">Draft Guidance 2 </w:t>
      </w:r>
      <w:r w:rsidRPr="589E6EEE" w:rsidR="0004302C">
        <w:rPr>
          <w:rFonts w:cs="Arial"/>
          <w:b w:val="1"/>
          <w:bCs w:val="1"/>
        </w:rPr>
        <w:t xml:space="preserve">— </w:t>
      </w:r>
      <w:r w:rsidRPr="005825D8" w:rsidR="00521160">
        <w:rPr>
          <w:rFonts w:cs="Arial"/>
          <w:b w:val="1"/>
          <w:bCs w:val="1"/>
          <w:lang w:eastAsia="en-GB"/>
        </w:rPr>
        <w:t>Nirmatrelvir plus ritonavir for treating COVID-19 (Partial Rapid Review of TA878) [ID6262]</w:t>
      </w:r>
    </w:p>
    <w:p w:rsidRPr="00DD7697" w:rsidR="00003026" w:rsidP="00413F89" w:rsidRDefault="000223BD" w14:paraId="7414DC3E" w14:textId="140FB14D">
      <w:pPr>
        <w:jc w:val="both"/>
        <w:rPr>
          <w:rFonts w:cs="Arial"/>
          <w:color w:val="auto"/>
        </w:rPr>
      </w:pPr>
      <w:r w:rsidRPr="00DD7697">
        <w:rPr>
          <w:rFonts w:cs="Arial"/>
          <w:color w:val="auto"/>
        </w:rPr>
        <w:t xml:space="preserve">Thank you for your letter of </w:t>
      </w:r>
      <w:r w:rsidR="00521160">
        <w:rPr>
          <w:rFonts w:cs="Arial"/>
          <w:color w:val="auto"/>
        </w:rPr>
        <w:t>24</w:t>
      </w:r>
      <w:r w:rsidR="007A7F07">
        <w:rPr>
          <w:rFonts w:cs="Arial"/>
          <w:color w:val="auto"/>
        </w:rPr>
        <w:t xml:space="preserve"> </w:t>
      </w:r>
      <w:r w:rsidR="00521160">
        <w:rPr>
          <w:rFonts w:cs="Arial"/>
          <w:color w:val="auto"/>
        </w:rPr>
        <w:t xml:space="preserve">January </w:t>
      </w:r>
      <w:r w:rsidR="007A7F07">
        <w:rPr>
          <w:rFonts w:cs="Arial"/>
          <w:color w:val="auto"/>
        </w:rPr>
        <w:t>202</w:t>
      </w:r>
      <w:r w:rsidR="00521160">
        <w:rPr>
          <w:rFonts w:cs="Arial"/>
          <w:color w:val="auto"/>
        </w:rPr>
        <w:t>4</w:t>
      </w:r>
      <w:r w:rsidRPr="00DD7697">
        <w:rPr>
          <w:rFonts w:cs="Arial"/>
          <w:color w:val="auto"/>
        </w:rPr>
        <w:t xml:space="preserve">, lodging </w:t>
      </w:r>
      <w:r w:rsidRPr="00DD7697" w:rsidR="00F4296D">
        <w:rPr>
          <w:rFonts w:cs="Arial"/>
          <w:color w:val="auto"/>
        </w:rPr>
        <w:t>an</w:t>
      </w:r>
      <w:r w:rsidRPr="00DD7697">
        <w:rPr>
          <w:rFonts w:cs="Arial"/>
          <w:color w:val="auto"/>
        </w:rPr>
        <w:t xml:space="preserve"> appeal against the above Final </w:t>
      </w:r>
      <w:r w:rsidR="00521160">
        <w:rPr>
          <w:rFonts w:cs="Arial"/>
          <w:color w:val="auto"/>
        </w:rPr>
        <w:t>Draft Guidance</w:t>
      </w:r>
      <w:r w:rsidRPr="00DD7697">
        <w:rPr>
          <w:rFonts w:cs="Arial"/>
          <w:color w:val="auto"/>
        </w:rPr>
        <w:t xml:space="preserve"> (F</w:t>
      </w:r>
      <w:r w:rsidR="00521160">
        <w:rPr>
          <w:rFonts w:cs="Arial"/>
          <w:color w:val="auto"/>
        </w:rPr>
        <w:t>DG</w:t>
      </w:r>
      <w:r w:rsidRPr="00DD7697">
        <w:rPr>
          <w:rFonts w:cs="Arial"/>
          <w:color w:val="auto"/>
        </w:rPr>
        <w:t xml:space="preserve">). </w:t>
      </w:r>
      <w:r w:rsidRPr="00DD7697" w:rsidR="00262058">
        <w:rPr>
          <w:rFonts w:cs="Arial"/>
          <w:color w:val="auto"/>
        </w:rPr>
        <w:t xml:space="preserve"> </w:t>
      </w:r>
    </w:p>
    <w:p w:rsidRPr="00DD7697" w:rsidR="00C70019" w:rsidP="00413F89" w:rsidRDefault="00C70019" w14:paraId="5F523C58" w14:textId="77777777">
      <w:pPr>
        <w:jc w:val="both"/>
        <w:rPr>
          <w:rFonts w:cs="Arial"/>
          <w:color w:val="auto"/>
        </w:rPr>
      </w:pPr>
      <w:r w:rsidRPr="00DD7697">
        <w:rPr>
          <w:rFonts w:cs="Arial"/>
          <w:color w:val="auto"/>
          <w:u w:val="single"/>
        </w:rPr>
        <w:t>Introduction</w:t>
      </w:r>
      <w:r w:rsidRPr="00DD7697">
        <w:rPr>
          <w:rFonts w:cs="Arial"/>
          <w:color w:val="auto"/>
        </w:rPr>
        <w:t xml:space="preserve"> </w:t>
      </w:r>
    </w:p>
    <w:p w:rsidRPr="00DD7697" w:rsidR="00C70019" w:rsidP="00413F89" w:rsidRDefault="00C70019" w14:paraId="70E1E5B1" w14:textId="2DBAE3FD">
      <w:pPr>
        <w:jc w:val="both"/>
        <w:rPr>
          <w:rFonts w:cs="Arial"/>
          <w:color w:val="auto"/>
        </w:rPr>
      </w:pPr>
      <w:r w:rsidRPr="00DD7697">
        <w:rPr>
          <w:rFonts w:cs="Arial"/>
          <w:color w:val="auto"/>
        </w:rPr>
        <w:t xml:space="preserve">The Institute's appeal procedures provide for an initial scrutiny of points that an appellant wishes to raise, to </w:t>
      </w:r>
      <w:r w:rsidRPr="00DD7697" w:rsidR="006B6C22">
        <w:rPr>
          <w:rFonts w:cs="Arial"/>
          <w:color w:val="auto"/>
        </w:rPr>
        <w:t>provide an initial view on whether</w:t>
      </w:r>
      <w:r w:rsidRPr="00DD7697">
        <w:rPr>
          <w:rFonts w:cs="Arial"/>
          <w:color w:val="auto"/>
        </w:rPr>
        <w:t xml:space="preserve"> they are within the permitted grounds of appeal ("valid")</w:t>
      </w:r>
      <w:r w:rsidRPr="00DD7697" w:rsidR="006B6C22">
        <w:rPr>
          <w:rFonts w:cs="Arial"/>
          <w:color w:val="auto"/>
        </w:rPr>
        <w:t xml:space="preserve"> and are at least arguable</w:t>
      </w:r>
      <w:r w:rsidRPr="00DD7697">
        <w:rPr>
          <w:rFonts w:cs="Arial"/>
          <w:color w:val="auto"/>
        </w:rPr>
        <w:t xml:space="preserve">. The permitted grounds of appeal are: </w:t>
      </w:r>
    </w:p>
    <w:p w:rsidRPr="00DD7697"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1(a) NICE has failed to act fairly, or </w:t>
      </w:r>
    </w:p>
    <w:p w:rsidRPr="00DD7697"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1(b) NICE has exceeded powers;</w:t>
      </w:r>
    </w:p>
    <w:p w:rsidRPr="00DD7697"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(2) the recommendation is unreasonable in the light of the evidence submitted to NICE</w:t>
      </w:r>
      <w:r w:rsidRPr="00DD7697" w:rsidR="006347AD">
        <w:rPr>
          <w:rFonts w:cs="Arial"/>
          <w:color w:val="auto"/>
        </w:rPr>
        <w:t>.</w:t>
      </w:r>
    </w:p>
    <w:p w:rsidRPr="00DD7697" w:rsidR="00C70019" w:rsidP="00413F89" w:rsidRDefault="00C70019" w14:paraId="08D953B5" w14:textId="25297E74">
      <w:pPr>
        <w:jc w:val="both"/>
        <w:rPr>
          <w:rFonts w:cs="Arial"/>
          <w:color w:val="auto"/>
        </w:rPr>
      </w:pPr>
      <w:r w:rsidRPr="00DD7697">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DD7697" w:rsidR="00F41597">
        <w:rPr>
          <w:rFonts w:cs="Arial"/>
          <w:color w:val="auto"/>
        </w:rPr>
        <w:t>, are arguable, and</w:t>
      </w:r>
      <w:r w:rsidRPr="00DD7697">
        <w:rPr>
          <w:rFonts w:cs="Arial"/>
          <w:color w:val="auto"/>
        </w:rPr>
        <w:t xml:space="preserve"> fall within any one of the grounds will your appeal be referred to the Appeal Panel. </w:t>
      </w:r>
    </w:p>
    <w:p w:rsidR="00C70019" w:rsidP="00413F89" w:rsidRDefault="00C70019" w14:paraId="146CF237" w14:textId="77777777">
      <w:pPr>
        <w:jc w:val="both"/>
        <w:rPr>
          <w:rFonts w:cs="Arial"/>
          <w:color w:val="auto"/>
        </w:rPr>
      </w:pPr>
      <w:r w:rsidRPr="00DD7697">
        <w:rPr>
          <w:rFonts w:cs="Arial"/>
          <w:color w:val="auto"/>
        </w:rPr>
        <w:t xml:space="preserve">You have the opportunity to comment on this letter in order to elaborate on or clarify any of the points raised before I will make my final decision as to whether each appeal point should be referred on to the Appeal Panel. </w:t>
      </w:r>
    </w:p>
    <w:p w:rsidRPr="00DE3E38" w:rsidR="00DE3E38" w:rsidP="00413F89" w:rsidRDefault="00DE3E38" w14:paraId="1F63D155" w14:textId="77777777">
      <w:pPr>
        <w:jc w:val="both"/>
        <w:rPr>
          <w:rFonts w:cs="Arial"/>
          <w:color w:val="auto"/>
          <w:u w:val="single"/>
        </w:rPr>
      </w:pPr>
      <w:r w:rsidRPr="00DE3E38">
        <w:rPr>
          <w:rFonts w:cs="Arial"/>
          <w:color w:val="auto"/>
          <w:u w:val="single"/>
        </w:rPr>
        <w:t>Preliminary points</w:t>
      </w:r>
    </w:p>
    <w:p w:rsidR="00DE3E38" w:rsidP="00413F89" w:rsidRDefault="00DE3E38" w14:paraId="52430A71" w14:textId="77777777">
      <w:pPr>
        <w:jc w:val="both"/>
        <w:rPr>
          <w:rFonts w:cs="Arial"/>
          <w:color w:val="auto"/>
        </w:rPr>
      </w:pPr>
      <w:r>
        <w:rPr>
          <w:rFonts w:cs="Arial"/>
          <w:color w:val="auto"/>
        </w:rPr>
        <w:t>I make two</w:t>
      </w:r>
      <w:r w:rsidR="00383355">
        <w:rPr>
          <w:rFonts w:cs="Arial"/>
          <w:color w:val="auto"/>
        </w:rPr>
        <w:t xml:space="preserve"> preliminary point</w:t>
      </w:r>
      <w:r>
        <w:rPr>
          <w:rFonts w:cs="Arial"/>
          <w:color w:val="auto"/>
        </w:rPr>
        <w:t>s.</w:t>
      </w:r>
    </w:p>
    <w:p w:rsidR="00DE3E38" w:rsidP="00413F89" w:rsidRDefault="00D51F10" w14:paraId="6BBE1E1C" w14:textId="77ED1684">
      <w:pPr>
        <w:jc w:val="both"/>
        <w:rPr>
          <w:rFonts w:cs="Arial"/>
          <w:color w:val="auto"/>
        </w:rPr>
      </w:pPr>
      <w:r>
        <w:rPr>
          <w:rFonts w:cs="Arial"/>
          <w:color w:val="auto"/>
        </w:rPr>
        <w:t>First, your appeal letter states that you do not wi</w:t>
      </w:r>
      <w:r w:rsidR="00B60F57">
        <w:rPr>
          <w:rFonts w:cs="Arial"/>
          <w:color w:val="auto"/>
        </w:rPr>
        <w:t>s</w:t>
      </w:r>
      <w:r>
        <w:rPr>
          <w:rFonts w:cs="Arial"/>
          <w:color w:val="auto"/>
        </w:rPr>
        <w:t>h to delay the implementation for any of the patient groups identified for the initial roll out.</w:t>
      </w:r>
      <w:r w:rsidR="00E11945">
        <w:rPr>
          <w:rFonts w:cs="Arial"/>
          <w:color w:val="auto"/>
        </w:rPr>
        <w:t xml:space="preserve"> </w:t>
      </w:r>
      <w:r w:rsidRPr="007C6048" w:rsidR="007C6048">
        <w:rPr>
          <w:rFonts w:cs="Arial"/>
          <w:color w:val="auto"/>
        </w:rPr>
        <w:t xml:space="preserve">NICE does not issue final guidance to the NHS until </w:t>
      </w:r>
      <w:r w:rsidRPr="00D9367D" w:rsidR="007C6048">
        <w:rPr>
          <w:rFonts w:cs="Arial"/>
          <w:color w:val="auto"/>
        </w:rPr>
        <w:t>after</w:t>
      </w:r>
      <w:r w:rsidRPr="007C6048" w:rsidR="007C6048">
        <w:rPr>
          <w:rFonts w:cs="Arial"/>
          <w:color w:val="auto"/>
        </w:rPr>
        <w:t xml:space="preserve"> the resolution of </w:t>
      </w:r>
      <w:r w:rsidR="00E11945">
        <w:rPr>
          <w:rFonts w:cs="Arial"/>
          <w:color w:val="auto"/>
        </w:rPr>
        <w:t>any</w:t>
      </w:r>
      <w:r w:rsidRPr="007C6048" w:rsidR="007C6048">
        <w:rPr>
          <w:rFonts w:cs="Arial"/>
          <w:color w:val="auto"/>
        </w:rPr>
        <w:t xml:space="preserve"> appeal.</w:t>
      </w:r>
      <w:r w:rsidR="00E11945">
        <w:rPr>
          <w:rFonts w:cs="Arial"/>
          <w:color w:val="auto"/>
        </w:rPr>
        <w:t xml:space="preserve"> This means that if I refer </w:t>
      </w:r>
      <w:r w:rsidR="00A24744">
        <w:rPr>
          <w:rFonts w:cs="Arial"/>
          <w:color w:val="auto"/>
        </w:rPr>
        <w:t xml:space="preserve">your appeal </w:t>
      </w:r>
      <w:r w:rsidR="00E11945">
        <w:rPr>
          <w:rFonts w:cs="Arial"/>
          <w:color w:val="auto"/>
        </w:rPr>
        <w:t xml:space="preserve">to </w:t>
      </w:r>
      <w:r w:rsidR="00A24744">
        <w:rPr>
          <w:rFonts w:cs="Arial"/>
          <w:color w:val="auto"/>
        </w:rPr>
        <w:t>the appeal</w:t>
      </w:r>
      <w:r w:rsidR="00E11945">
        <w:rPr>
          <w:rFonts w:cs="Arial"/>
          <w:color w:val="auto"/>
        </w:rPr>
        <w:t xml:space="preserve"> panel there will be a relatively short period of delay before final guidance is published in order for </w:t>
      </w:r>
      <w:r w:rsidR="000A5FD1">
        <w:rPr>
          <w:rFonts w:cs="Arial"/>
          <w:color w:val="auto"/>
        </w:rPr>
        <w:t>the appeal</w:t>
      </w:r>
      <w:r w:rsidR="00E11945">
        <w:rPr>
          <w:rFonts w:cs="Arial"/>
          <w:color w:val="auto"/>
        </w:rPr>
        <w:t xml:space="preserve"> to be determined.  </w:t>
      </w:r>
      <w:r w:rsidR="00AE353E">
        <w:rPr>
          <w:rFonts w:cs="Arial"/>
          <w:color w:val="auto"/>
        </w:rPr>
        <w:lastRenderedPageBreak/>
        <w:t xml:space="preserve">Your appeal will not otherwise impact the position in respect of the groups already identified at 4.2 of the FDG.  </w:t>
      </w:r>
    </w:p>
    <w:p w:rsidR="00A45DAE" w:rsidP="00413F89" w:rsidRDefault="00DE3E38" w14:paraId="1792889C" w14:textId="786E994C">
      <w:pPr>
        <w:jc w:val="both"/>
        <w:rPr>
          <w:rFonts w:cs="Arial"/>
          <w:color w:val="auto"/>
        </w:rPr>
      </w:pPr>
      <w:r>
        <w:rPr>
          <w:rFonts w:cs="Arial"/>
          <w:color w:val="auto"/>
        </w:rPr>
        <w:t>Secondly</w:t>
      </w:r>
      <w:r w:rsidR="00383355">
        <w:rPr>
          <w:rFonts w:cs="Arial"/>
          <w:color w:val="auto"/>
        </w:rPr>
        <w:t xml:space="preserve">, </w:t>
      </w:r>
      <w:r w:rsidR="008A3FB1">
        <w:rPr>
          <w:rFonts w:cs="Arial"/>
          <w:color w:val="auto"/>
        </w:rPr>
        <w:t xml:space="preserve">I note that </w:t>
      </w:r>
      <w:r w:rsidR="001812E0">
        <w:rPr>
          <w:rFonts w:cs="Arial"/>
          <w:color w:val="auto"/>
        </w:rPr>
        <w:t>your appeal relates exclusively to NICE's decision to grant an extension of the funding variation period</w:t>
      </w:r>
      <w:r w:rsidR="00D73E60">
        <w:rPr>
          <w:rFonts w:cs="Arial"/>
          <w:color w:val="auto"/>
        </w:rPr>
        <w:t xml:space="preserve"> for the wider heart failure population (i.e. those </w:t>
      </w:r>
      <w:r w:rsidR="00BA4D04">
        <w:rPr>
          <w:rFonts w:cs="Arial"/>
          <w:color w:val="auto"/>
        </w:rPr>
        <w:t>eligible under paragraph 1.1 of the FDG but are</w:t>
      </w:r>
      <w:r w:rsidR="008A3FB1">
        <w:rPr>
          <w:rFonts w:cs="Arial"/>
          <w:color w:val="auto"/>
        </w:rPr>
        <w:t xml:space="preserve"> </w:t>
      </w:r>
      <w:r w:rsidRPr="000A5FD1" w:rsidR="008A3FB1">
        <w:rPr>
          <w:rFonts w:cs="Arial"/>
          <w:color w:val="auto"/>
        </w:rPr>
        <w:t>not</w:t>
      </w:r>
      <w:r w:rsidR="008A3FB1">
        <w:rPr>
          <w:rFonts w:cs="Arial"/>
          <w:color w:val="auto"/>
        </w:rPr>
        <w:t xml:space="preserve"> resident in a care home or hospitalised, per</w:t>
      </w:r>
      <w:r w:rsidR="00D73E60">
        <w:rPr>
          <w:rFonts w:cs="Arial"/>
          <w:color w:val="auto"/>
        </w:rPr>
        <w:t xml:space="preserve"> paragraph </w:t>
      </w:r>
      <w:r w:rsidR="008A3FB1">
        <w:rPr>
          <w:rFonts w:cs="Arial"/>
          <w:color w:val="auto"/>
        </w:rPr>
        <w:t>4.2</w:t>
      </w:r>
      <w:r w:rsidR="00D73E60">
        <w:rPr>
          <w:rFonts w:cs="Arial"/>
          <w:color w:val="auto"/>
        </w:rPr>
        <w:t xml:space="preserve"> of the FDG). </w:t>
      </w:r>
    </w:p>
    <w:p w:rsidR="006E387C" w:rsidP="00413F89" w:rsidRDefault="00E11945" w14:paraId="4AA4B08B" w14:textId="611415C2">
      <w:pPr>
        <w:jc w:val="both"/>
        <w:rPr>
          <w:rFonts w:cs="Arial"/>
          <w:color w:val="auto"/>
        </w:rPr>
      </w:pPr>
      <w:r>
        <w:rPr>
          <w:rFonts w:cs="Arial"/>
          <w:color w:val="auto"/>
        </w:rPr>
        <w:t xml:space="preserve">I therefore hope it assists to note that </w:t>
      </w:r>
      <w:r w:rsidR="006E387C">
        <w:rPr>
          <w:rFonts w:cs="Arial"/>
          <w:color w:val="auto"/>
        </w:rPr>
        <w:t>NICE is required by law</w:t>
      </w:r>
      <w:r w:rsidR="006743BD">
        <w:rPr>
          <w:rFonts w:cs="Arial"/>
          <w:color w:val="auto"/>
        </w:rPr>
        <w:t xml:space="preserve"> to specify in </w:t>
      </w:r>
      <w:r w:rsidR="00D22AE6">
        <w:rPr>
          <w:rFonts w:cs="Arial"/>
          <w:color w:val="auto"/>
        </w:rPr>
        <w:t>the FDG</w:t>
      </w:r>
      <w:r w:rsidR="006743BD">
        <w:rPr>
          <w:rFonts w:cs="Arial"/>
          <w:color w:val="auto"/>
        </w:rPr>
        <w:t xml:space="preserve"> </w:t>
      </w:r>
      <w:r w:rsidR="00BC58D0">
        <w:rPr>
          <w:rFonts w:cs="Arial"/>
          <w:color w:val="auto"/>
        </w:rPr>
        <w:t xml:space="preserve">that </w:t>
      </w:r>
      <w:r w:rsidR="00D22AE6">
        <w:rPr>
          <w:rFonts w:cs="Arial"/>
          <w:color w:val="auto"/>
        </w:rPr>
        <w:t>its recommendation</w:t>
      </w:r>
      <w:r w:rsidR="00BC58D0">
        <w:rPr>
          <w:rFonts w:cs="Arial"/>
          <w:color w:val="auto"/>
        </w:rPr>
        <w:t xml:space="preserve"> must be complied with within 3 months</w:t>
      </w:r>
      <w:r w:rsidR="0087231D">
        <w:rPr>
          <w:rFonts w:cs="Arial"/>
          <w:color w:val="auto"/>
        </w:rPr>
        <w:t xml:space="preserve"> from the date of publication</w:t>
      </w:r>
      <w:r w:rsidR="00BA4D04">
        <w:rPr>
          <w:rFonts w:cs="Arial"/>
          <w:color w:val="auto"/>
        </w:rPr>
        <w:t>, save that</w:t>
      </w:r>
      <w:r w:rsidR="001C62DB">
        <w:rPr>
          <w:rFonts w:cs="Arial"/>
          <w:color w:val="auto"/>
        </w:rPr>
        <w:t xml:space="preserve"> NICE must, if it considers it appropriate, specify a longer period for compliance if:</w:t>
      </w:r>
    </w:p>
    <w:p w:rsidRPr="00C42992" w:rsidR="00122CC5" w:rsidP="00122CC5" w:rsidRDefault="00BA4D04" w14:paraId="4AF540C4" w14:textId="074F54CA">
      <w:pPr>
        <w:pStyle w:val="legclearfix"/>
        <w:shd w:val="clear" w:color="auto" w:fill="FFFFFF"/>
        <w:spacing w:before="0" w:beforeAutospacing="0" w:after="120" w:afterAutospacing="0" w:line="360" w:lineRule="atLeast"/>
        <w:ind w:firstLine="720"/>
        <w:rPr>
          <w:rFonts w:ascii="Arial" w:hAnsi="Arial" w:cs="Arial"/>
          <w:i/>
          <w:iCs/>
          <w:sz w:val="20"/>
          <w:szCs w:val="20"/>
          <w:lang w:eastAsia="en-US"/>
        </w:rPr>
      </w:pPr>
      <w:r>
        <w:rPr>
          <w:rFonts w:ascii="Arial" w:hAnsi="Arial" w:cs="Arial"/>
          <w:i/>
          <w:iCs/>
          <w:sz w:val="20"/>
          <w:szCs w:val="20"/>
          <w:lang w:eastAsia="en-US"/>
        </w:rPr>
        <w:t>"</w:t>
      </w:r>
      <w:r w:rsidRPr="00C42992" w:rsidR="00122CC5">
        <w:rPr>
          <w:rFonts w:ascii="Arial" w:hAnsi="Arial" w:cs="Arial"/>
          <w:i/>
          <w:iCs/>
          <w:sz w:val="20"/>
          <w:szCs w:val="20"/>
          <w:lang w:eastAsia="en-US"/>
        </w:rPr>
        <w:t>(a)the health technology cannot be appropriately administered until—</w:t>
      </w:r>
    </w:p>
    <w:p w:rsidRPr="00C42992" w:rsidR="00122CC5" w:rsidP="00122CC5" w:rsidRDefault="00122CC5" w14:paraId="3DC28508" w14:textId="7F5CCBFE">
      <w:pPr>
        <w:pStyle w:val="legclearfix"/>
        <w:shd w:val="clear" w:color="auto" w:fill="FFFFFF"/>
        <w:spacing w:before="0" w:beforeAutospacing="0" w:after="120" w:afterAutospacing="0" w:line="360" w:lineRule="atLeast"/>
        <w:ind w:left="720" w:firstLine="720"/>
        <w:rPr>
          <w:rFonts w:ascii="Arial" w:hAnsi="Arial" w:cs="Arial"/>
          <w:i/>
          <w:iCs/>
          <w:sz w:val="20"/>
          <w:szCs w:val="20"/>
          <w:lang w:eastAsia="en-US"/>
        </w:rPr>
      </w:pPr>
      <w:r w:rsidRPr="00C42992">
        <w:rPr>
          <w:rFonts w:ascii="Arial" w:hAnsi="Arial" w:cs="Arial"/>
          <w:i/>
          <w:iCs/>
          <w:sz w:val="20"/>
          <w:szCs w:val="20"/>
          <w:lang w:eastAsia="en-US"/>
        </w:rPr>
        <w:t>(i)</w:t>
      </w:r>
      <w:r>
        <w:rPr>
          <w:rFonts w:ascii="Arial" w:hAnsi="Arial" w:cs="Arial"/>
          <w:i/>
          <w:iCs/>
          <w:sz w:val="20"/>
          <w:szCs w:val="20"/>
          <w:lang w:eastAsia="en-US"/>
        </w:rPr>
        <w:t xml:space="preserve"> </w:t>
      </w:r>
      <w:r w:rsidRPr="00C42992">
        <w:rPr>
          <w:rFonts w:ascii="Arial" w:hAnsi="Arial" w:cs="Arial"/>
          <w:i/>
          <w:iCs/>
          <w:sz w:val="20"/>
          <w:szCs w:val="20"/>
          <w:lang w:eastAsia="en-US"/>
        </w:rPr>
        <w:t>training is,</w:t>
      </w:r>
    </w:p>
    <w:p w:rsidRPr="00C42992" w:rsidR="00122CC5" w:rsidP="00122CC5" w:rsidRDefault="00122CC5" w14:paraId="6A7657F9" w14:textId="208A9402">
      <w:pPr>
        <w:pStyle w:val="legclearfix"/>
        <w:shd w:val="clear" w:color="auto" w:fill="FFFFFF"/>
        <w:spacing w:before="0" w:beforeAutospacing="0" w:after="120" w:afterAutospacing="0" w:line="360" w:lineRule="atLeast"/>
        <w:ind w:left="1440"/>
        <w:rPr>
          <w:rFonts w:ascii="Arial" w:hAnsi="Arial" w:cs="Arial"/>
          <w:i/>
          <w:iCs/>
          <w:sz w:val="20"/>
          <w:szCs w:val="20"/>
          <w:lang w:eastAsia="en-US"/>
        </w:rPr>
      </w:pPr>
      <w:r w:rsidRPr="00C42992">
        <w:rPr>
          <w:rFonts w:ascii="Arial" w:hAnsi="Arial" w:cs="Arial"/>
          <w:i/>
          <w:iCs/>
          <w:sz w:val="20"/>
          <w:szCs w:val="20"/>
          <w:lang w:eastAsia="en-US"/>
        </w:rPr>
        <w:t>(ii)</w:t>
      </w:r>
      <w:r>
        <w:rPr>
          <w:rFonts w:ascii="Arial" w:hAnsi="Arial" w:cs="Arial"/>
          <w:i/>
          <w:iCs/>
          <w:sz w:val="20"/>
          <w:szCs w:val="20"/>
          <w:lang w:eastAsia="en-US"/>
        </w:rPr>
        <w:t xml:space="preserve"> </w:t>
      </w:r>
      <w:r w:rsidRPr="00C42992">
        <w:rPr>
          <w:rFonts w:ascii="Arial" w:hAnsi="Arial" w:cs="Arial"/>
          <w:i/>
          <w:iCs/>
          <w:sz w:val="20"/>
          <w:szCs w:val="20"/>
          <w:lang w:eastAsia="en-US"/>
        </w:rPr>
        <w:t>certain health service infrastructure requirements including goods, materials or other facilities are, or</w:t>
      </w:r>
    </w:p>
    <w:p w:rsidRPr="00C42992" w:rsidR="00122CC5" w:rsidP="00122CC5" w:rsidRDefault="00122CC5" w14:paraId="5919E404" w14:textId="260AC31D">
      <w:pPr>
        <w:pStyle w:val="legclearfix"/>
        <w:shd w:val="clear" w:color="auto" w:fill="FFFFFF"/>
        <w:spacing w:before="0" w:beforeAutospacing="0" w:after="120" w:afterAutospacing="0" w:line="360" w:lineRule="atLeast"/>
        <w:ind w:left="720" w:firstLine="720"/>
        <w:rPr>
          <w:rFonts w:ascii="Arial" w:hAnsi="Arial" w:cs="Arial"/>
          <w:i/>
          <w:iCs/>
          <w:sz w:val="20"/>
          <w:szCs w:val="20"/>
          <w:lang w:eastAsia="en-US"/>
        </w:rPr>
      </w:pPr>
      <w:r w:rsidRPr="00C42992">
        <w:rPr>
          <w:rFonts w:ascii="Arial" w:hAnsi="Arial" w:cs="Arial"/>
          <w:i/>
          <w:iCs/>
          <w:sz w:val="20"/>
          <w:szCs w:val="20"/>
          <w:lang w:eastAsia="en-US"/>
        </w:rPr>
        <w:t>(iii)</w:t>
      </w:r>
      <w:r>
        <w:rPr>
          <w:rFonts w:ascii="Arial" w:hAnsi="Arial" w:cs="Arial"/>
          <w:i/>
          <w:iCs/>
          <w:sz w:val="20"/>
          <w:szCs w:val="20"/>
          <w:lang w:eastAsia="en-US"/>
        </w:rPr>
        <w:t xml:space="preserve"> </w:t>
      </w:r>
      <w:r w:rsidRPr="00C42992">
        <w:rPr>
          <w:rFonts w:ascii="Arial" w:hAnsi="Arial" w:cs="Arial"/>
          <w:i/>
          <w:iCs/>
          <w:sz w:val="20"/>
          <w:szCs w:val="20"/>
          <w:lang w:eastAsia="en-US"/>
        </w:rPr>
        <w:t>other appropriate health services resources, including staff, are,</w:t>
      </w:r>
    </w:p>
    <w:p w:rsidRPr="00C42992" w:rsidR="00122CC5" w:rsidP="00122CC5" w:rsidRDefault="00122CC5" w14:paraId="514D5142" w14:textId="77777777">
      <w:pPr>
        <w:pStyle w:val="legclearfix"/>
        <w:shd w:val="clear" w:color="auto" w:fill="FFFFFF"/>
        <w:spacing w:before="0" w:beforeAutospacing="0" w:after="120" w:afterAutospacing="0" w:line="360" w:lineRule="atLeast"/>
        <w:ind w:left="720" w:firstLine="720"/>
        <w:rPr>
          <w:rFonts w:ascii="Arial" w:hAnsi="Arial" w:cs="Arial"/>
          <w:i/>
          <w:iCs/>
          <w:sz w:val="20"/>
          <w:szCs w:val="20"/>
          <w:lang w:eastAsia="en-US"/>
        </w:rPr>
      </w:pPr>
      <w:r w:rsidRPr="00C42992">
        <w:rPr>
          <w:rFonts w:ascii="Arial" w:hAnsi="Arial" w:cs="Arial"/>
          <w:i/>
          <w:iCs/>
          <w:sz w:val="20"/>
          <w:szCs w:val="20"/>
          <w:lang w:eastAsia="en-US"/>
        </w:rPr>
        <w:t>in place; or</w:t>
      </w:r>
    </w:p>
    <w:p w:rsidR="00122CC5" w:rsidP="00122CC5" w:rsidRDefault="00122CC5" w14:paraId="1E3328B8" w14:textId="776F63A9">
      <w:pPr>
        <w:pStyle w:val="legclearfix"/>
        <w:shd w:val="clear" w:color="auto" w:fill="FFFFFF"/>
        <w:spacing w:before="0" w:beforeAutospacing="0" w:after="120" w:afterAutospacing="0" w:line="360" w:lineRule="atLeast"/>
        <w:ind w:firstLine="720"/>
        <w:rPr>
          <w:rFonts w:ascii="Arial" w:hAnsi="Arial" w:cs="Arial"/>
          <w:i/>
          <w:iCs/>
          <w:sz w:val="20"/>
          <w:szCs w:val="20"/>
          <w:lang w:eastAsia="en-US"/>
        </w:rPr>
      </w:pPr>
      <w:r w:rsidRPr="00C42992">
        <w:rPr>
          <w:rFonts w:ascii="Arial" w:hAnsi="Arial" w:cs="Arial"/>
          <w:i/>
          <w:iCs/>
          <w:sz w:val="20"/>
          <w:szCs w:val="20"/>
          <w:lang w:eastAsia="en-US"/>
        </w:rPr>
        <w:t>(b)</w:t>
      </w:r>
      <w:r>
        <w:rPr>
          <w:rFonts w:ascii="Arial" w:hAnsi="Arial" w:cs="Arial"/>
          <w:i/>
          <w:iCs/>
          <w:sz w:val="20"/>
          <w:szCs w:val="20"/>
          <w:lang w:eastAsia="en-US"/>
        </w:rPr>
        <w:t xml:space="preserve"> </w:t>
      </w:r>
      <w:r w:rsidRPr="00C42992">
        <w:rPr>
          <w:rFonts w:ascii="Arial" w:hAnsi="Arial" w:cs="Arial"/>
          <w:i/>
          <w:iCs/>
          <w:sz w:val="20"/>
          <w:szCs w:val="20"/>
          <w:lang w:eastAsia="en-US"/>
        </w:rPr>
        <w:t>the health technology is not yet available in England.</w:t>
      </w:r>
      <w:r w:rsidR="00BA4D04">
        <w:rPr>
          <w:rFonts w:ascii="Arial" w:hAnsi="Arial" w:cs="Arial"/>
          <w:i/>
          <w:iCs/>
          <w:sz w:val="20"/>
          <w:szCs w:val="20"/>
          <w:lang w:eastAsia="en-US"/>
        </w:rPr>
        <w:t>"</w:t>
      </w:r>
      <w:r w:rsidRPr="00BA4D04" w:rsidR="00BA4D04">
        <w:rPr>
          <w:rStyle w:val="FootnoteReference"/>
          <w:rFonts w:cs="Arial"/>
        </w:rPr>
        <w:t xml:space="preserve"> </w:t>
      </w:r>
      <w:r w:rsidR="00BA4D04">
        <w:rPr>
          <w:rStyle w:val="FootnoteReference"/>
          <w:rFonts w:cs="Arial"/>
        </w:rPr>
        <w:footnoteReference w:id="1"/>
      </w:r>
    </w:p>
    <w:p w:rsidR="00122CC5" w:rsidP="005E39BD" w:rsidRDefault="00BA4D04" w14:paraId="65CF97D2" w14:textId="78C2F019">
      <w:pPr>
        <w:pStyle w:val="BodyText"/>
        <w:spacing w:before="240"/>
        <w:jc w:val="both"/>
        <w:rPr>
          <w:rFonts w:cs="Arial"/>
          <w:i/>
          <w:iCs/>
          <w:color w:val="auto"/>
        </w:rPr>
      </w:pPr>
      <w:r>
        <w:rPr>
          <w:rFonts w:cs="Arial"/>
          <w:color w:val="auto"/>
        </w:rPr>
        <w:t>Where NICE specifies a longer period this is described as "varying the funding requirement". NICE's Manual provides more detail on when and how NICE may vary the funding requirement.</w:t>
      </w:r>
      <w:r>
        <w:rPr>
          <w:rStyle w:val="FootnoteReference"/>
          <w:rFonts w:cs="Arial"/>
          <w:color w:val="auto"/>
        </w:rPr>
        <w:footnoteReference w:id="2"/>
      </w:r>
      <w:r>
        <w:rPr>
          <w:rFonts w:cs="Arial"/>
          <w:color w:val="auto"/>
        </w:rPr>
        <w:t xml:space="preserve"> </w:t>
      </w:r>
    </w:p>
    <w:p w:rsidR="00E10D65" w:rsidP="00413F89" w:rsidRDefault="00016F63" w14:paraId="6E611F2F" w14:textId="20804E1D">
      <w:pPr>
        <w:jc w:val="both"/>
        <w:rPr>
          <w:rFonts w:cs="Arial"/>
          <w:color w:val="auto"/>
        </w:rPr>
      </w:pPr>
      <w:r>
        <w:rPr>
          <w:rFonts w:cs="Arial"/>
          <w:color w:val="auto"/>
        </w:rPr>
        <w:t>I</w:t>
      </w:r>
      <w:r w:rsidR="008A3FB1">
        <w:rPr>
          <w:rFonts w:cs="Arial"/>
          <w:color w:val="auto"/>
        </w:rPr>
        <w:t xml:space="preserve"> consider</w:t>
      </w:r>
      <w:r w:rsidR="0071381D">
        <w:rPr>
          <w:rFonts w:cs="Arial"/>
          <w:color w:val="auto"/>
        </w:rPr>
        <w:t xml:space="preserve"> </w:t>
      </w:r>
      <w:r w:rsidR="00FB6C4D">
        <w:rPr>
          <w:rFonts w:cs="Arial"/>
          <w:color w:val="auto"/>
        </w:rPr>
        <w:t>the</w:t>
      </w:r>
      <w:r w:rsidR="0071381D">
        <w:rPr>
          <w:rFonts w:cs="Arial"/>
          <w:color w:val="auto"/>
        </w:rPr>
        <w:t xml:space="preserve"> decision</w:t>
      </w:r>
      <w:r w:rsidR="00603F4B">
        <w:rPr>
          <w:rFonts w:cs="Arial"/>
          <w:color w:val="auto"/>
        </w:rPr>
        <w:t xml:space="preserve"> to vary the funding requirement</w:t>
      </w:r>
      <w:r w:rsidR="008A3FB1">
        <w:rPr>
          <w:rFonts w:cs="Arial"/>
          <w:color w:val="auto"/>
        </w:rPr>
        <w:t xml:space="preserve"> </w:t>
      </w:r>
      <w:r w:rsidR="002C31EC">
        <w:rPr>
          <w:rFonts w:cs="Arial"/>
          <w:color w:val="auto"/>
        </w:rPr>
        <w:t xml:space="preserve">(as set out in section 4 of the FDG) </w:t>
      </w:r>
      <w:r w:rsidR="008A3FB1">
        <w:rPr>
          <w:rFonts w:cs="Arial"/>
          <w:color w:val="auto"/>
        </w:rPr>
        <w:t xml:space="preserve">forms part of NICE's recommendation </w:t>
      </w:r>
      <w:r w:rsidR="00300AAF">
        <w:rPr>
          <w:rFonts w:cs="Arial"/>
          <w:color w:val="auto"/>
        </w:rPr>
        <w:t xml:space="preserve">so </w:t>
      </w:r>
      <w:r w:rsidR="008A3FB1">
        <w:rPr>
          <w:rFonts w:cs="Arial"/>
          <w:color w:val="auto"/>
        </w:rPr>
        <w:t>falls within the scope of NICE's appeals process.</w:t>
      </w:r>
      <w:r w:rsidR="008A3FB1">
        <w:rPr>
          <w:rStyle w:val="FootnoteReference"/>
          <w:rFonts w:cs="Arial"/>
          <w:color w:val="auto"/>
        </w:rPr>
        <w:footnoteReference w:id="3"/>
      </w:r>
      <w:r w:rsidR="001C1BF3">
        <w:rPr>
          <w:rFonts w:cs="Arial"/>
          <w:color w:val="auto"/>
        </w:rPr>
        <w:t xml:space="preserve"> </w:t>
      </w:r>
    </w:p>
    <w:p w:rsidRPr="00DE3E38" w:rsidR="00DE3E38" w:rsidP="00413F89" w:rsidRDefault="00DE3E38" w14:paraId="03BB64EA" w14:textId="60324523">
      <w:pPr>
        <w:jc w:val="both"/>
        <w:rPr>
          <w:rFonts w:cs="Arial"/>
          <w:color w:val="auto"/>
          <w:u w:val="single"/>
        </w:rPr>
      </w:pPr>
      <w:r w:rsidRPr="00DD7697">
        <w:rPr>
          <w:rFonts w:cs="Arial"/>
          <w:color w:val="auto"/>
          <w:u w:val="single"/>
        </w:rPr>
        <w:t>Initial View</w:t>
      </w:r>
    </w:p>
    <w:p w:rsidR="009A17EA" w:rsidP="00413F89" w:rsidRDefault="009A17EA" w14:paraId="7EEC3900" w14:textId="56065ABE">
      <w:pPr>
        <w:jc w:val="both"/>
        <w:rPr>
          <w:rFonts w:cs="Arial"/>
          <w:color w:val="auto"/>
        </w:rPr>
      </w:pPr>
      <w:r w:rsidRPr="00DD7697">
        <w:rPr>
          <w:rFonts w:cs="Arial"/>
          <w:color w:val="auto"/>
        </w:rPr>
        <w:t xml:space="preserve">I assess each of your points in turn. </w:t>
      </w:r>
    </w:p>
    <w:p w:rsidRPr="007A7F07" w:rsidR="00B62869" w:rsidP="00B62869" w:rsidRDefault="007A7F07" w14:paraId="25FB955A" w14:textId="14AF0E39">
      <w:pPr>
        <w:spacing w:before="240" w:after="240" w:line="276" w:lineRule="auto"/>
        <w:jc w:val="both"/>
        <w:rPr>
          <w:rFonts w:cs="Arial"/>
          <w:b/>
          <w:i/>
          <w:color w:val="auto"/>
        </w:rPr>
      </w:pPr>
      <w:r>
        <w:rPr>
          <w:rFonts w:cs="Arial"/>
          <w:b/>
          <w:i/>
          <w:color w:val="auto"/>
        </w:rPr>
        <w:t>G</w:t>
      </w:r>
      <w:r w:rsidRPr="00E87F1E" w:rsidR="00491045">
        <w:rPr>
          <w:rFonts w:cs="Arial"/>
          <w:b/>
          <w:i/>
          <w:color w:val="auto"/>
        </w:rPr>
        <w:t xml:space="preserve">round 2: </w:t>
      </w:r>
      <w:r w:rsidRPr="00E87F1E" w:rsidR="00B62869">
        <w:rPr>
          <w:rFonts w:cs="Arial"/>
          <w:b/>
          <w:i/>
          <w:color w:val="auto"/>
        </w:rPr>
        <w:t>the recommendation is unreasonable in the light of the evidence submitted to NIC</w:t>
      </w:r>
      <w:r w:rsidR="00773D2A">
        <w:rPr>
          <w:rFonts w:cs="Arial"/>
          <w:b/>
          <w:i/>
          <w:color w:val="auto"/>
        </w:rPr>
        <w:t>E</w:t>
      </w:r>
    </w:p>
    <w:p w:rsidRPr="007A7F07" w:rsidR="00491045" w:rsidP="007A7F07" w:rsidRDefault="00B62869" w14:paraId="41564A14" w14:textId="61ADC8DC">
      <w:pPr>
        <w:pStyle w:val="Paragraph"/>
        <w:numPr>
          <w:ilvl w:val="0"/>
          <w:numId w:val="0"/>
        </w:numPr>
        <w:jc w:val="both"/>
        <w:rPr>
          <w:rFonts w:cs="Arial"/>
          <w:b/>
          <w:u w:val="single"/>
        </w:rPr>
      </w:pPr>
      <w:r w:rsidRPr="007A7F07">
        <w:rPr>
          <w:rFonts w:cs="Arial"/>
          <w:b/>
          <w:sz w:val="20"/>
          <w:szCs w:val="20"/>
          <w:u w:val="single"/>
        </w:rPr>
        <w:t>Appeal point 2.1:</w:t>
      </w:r>
      <w:r w:rsidR="001777B2">
        <w:rPr>
          <w:rFonts w:cs="Arial"/>
          <w:b/>
          <w:sz w:val="20"/>
          <w:szCs w:val="20"/>
          <w:u w:val="single"/>
        </w:rPr>
        <w:t xml:space="preserve"> "</w:t>
      </w:r>
      <w:r w:rsidRPr="00521160" w:rsidR="00521160">
        <w:rPr>
          <w:rFonts w:cs="Arial"/>
          <w:b/>
          <w:sz w:val="20"/>
          <w:szCs w:val="20"/>
          <w:u w:val="single"/>
        </w:rPr>
        <w:t>Expanded the cohort of patients who would benefit from Nirmatrelvir plus ritonavir for treating COVID-19 was entirely predictable and should have been appropriately planned for.</w:t>
      </w:r>
      <w:r w:rsidR="001777B2">
        <w:rPr>
          <w:rFonts w:cs="Arial"/>
          <w:b/>
          <w:sz w:val="20"/>
          <w:szCs w:val="20"/>
          <w:u w:val="single"/>
        </w:rPr>
        <w:t>"</w:t>
      </w:r>
    </w:p>
    <w:p w:rsidRPr="000F7FD4" w:rsidR="000F7FD4" w:rsidP="000F7FD4" w:rsidRDefault="000F7FD4" w14:paraId="4FD963B5" w14:textId="77777777">
      <w:pPr>
        <w:pStyle w:val="BodyText"/>
        <w:jc w:val="both"/>
        <w:rPr>
          <w:rFonts w:cs="Arial"/>
          <w:color w:val="auto"/>
        </w:rPr>
      </w:pPr>
      <w:r w:rsidRPr="000F7FD4">
        <w:rPr>
          <w:rFonts w:cs="Arial"/>
          <w:color w:val="auto"/>
        </w:rPr>
        <w:t xml:space="preserve">I am not minded to refer this appeal point to the Appeal Panel.  </w:t>
      </w:r>
    </w:p>
    <w:p w:rsidR="00B2370A" w:rsidP="000F7FD4" w:rsidRDefault="000F7FD4" w14:paraId="7888E951" w14:textId="16E2590E">
      <w:pPr>
        <w:pStyle w:val="BodyText"/>
        <w:jc w:val="both"/>
        <w:rPr>
          <w:rFonts w:cs="Arial"/>
          <w:color w:val="auto"/>
        </w:rPr>
      </w:pPr>
      <w:r w:rsidRPr="000F7FD4">
        <w:rPr>
          <w:rFonts w:cs="Arial"/>
          <w:color w:val="auto"/>
        </w:rPr>
        <w:t xml:space="preserve">I understand that this appeal point is made on the basis that there was evidence available, including Hippisley-Cox et al, Agrawal et al and </w:t>
      </w:r>
      <w:r w:rsidR="001C7C2D">
        <w:rPr>
          <w:rFonts w:cs="Arial"/>
          <w:color w:val="auto"/>
        </w:rPr>
        <w:t xml:space="preserve">the </w:t>
      </w:r>
      <w:r w:rsidRPr="000F7FD4">
        <w:rPr>
          <w:rFonts w:cs="Arial"/>
          <w:color w:val="auto"/>
        </w:rPr>
        <w:t>Edmunds report</w:t>
      </w:r>
      <w:r w:rsidR="001C7C2D">
        <w:rPr>
          <w:rFonts w:cs="Arial"/>
          <w:color w:val="auto"/>
        </w:rPr>
        <w:t xml:space="preserve"> cited in your appeal letter</w:t>
      </w:r>
      <w:r w:rsidRPr="000F7FD4">
        <w:rPr>
          <w:rFonts w:cs="Arial"/>
          <w:color w:val="auto"/>
        </w:rPr>
        <w:t>, which</w:t>
      </w:r>
      <w:r w:rsidR="001C22AD">
        <w:rPr>
          <w:rFonts w:cs="Arial"/>
          <w:color w:val="auto"/>
        </w:rPr>
        <w:t xml:space="preserve"> </w:t>
      </w:r>
      <w:r w:rsidR="00CB5418">
        <w:rPr>
          <w:rFonts w:cs="Arial"/>
          <w:color w:val="auto"/>
        </w:rPr>
        <w:t xml:space="preserve">should have led </w:t>
      </w:r>
      <w:r w:rsidRPr="00B2370A" w:rsidR="00B2370A">
        <w:rPr>
          <w:rFonts w:cs="Arial"/>
          <w:color w:val="auto"/>
        </w:rPr>
        <w:t>NHS England, Integrated Care Boards</w:t>
      </w:r>
      <w:r w:rsidR="00B2370A">
        <w:rPr>
          <w:rFonts w:cs="Arial"/>
          <w:color w:val="auto"/>
        </w:rPr>
        <w:t xml:space="preserve"> (ICBs)</w:t>
      </w:r>
      <w:r w:rsidRPr="00B2370A" w:rsidR="00B2370A">
        <w:rPr>
          <w:rFonts w:cs="Arial"/>
          <w:color w:val="auto"/>
        </w:rPr>
        <w:t xml:space="preserve">, and other NHS organisations </w:t>
      </w:r>
      <w:r w:rsidR="00B2370A">
        <w:rPr>
          <w:rFonts w:cs="Arial"/>
          <w:color w:val="auto"/>
        </w:rPr>
        <w:t>to</w:t>
      </w:r>
      <w:r w:rsidRPr="00B2370A" w:rsidR="00B2370A">
        <w:rPr>
          <w:rFonts w:cs="Arial"/>
          <w:color w:val="auto"/>
        </w:rPr>
        <w:t xml:space="preserve"> have been planning for a wider roll out of Nirmatrelvir plus ritonavir for treating COVID-19 for at least the last 12-18 months</w:t>
      </w:r>
      <w:r w:rsidR="00CB5418">
        <w:rPr>
          <w:rFonts w:cs="Arial"/>
          <w:color w:val="auto"/>
        </w:rPr>
        <w:t>.</w:t>
      </w:r>
      <w:r w:rsidR="002012F5">
        <w:rPr>
          <w:rFonts w:cs="Arial"/>
          <w:color w:val="auto"/>
        </w:rPr>
        <w:t xml:space="preserve"> </w:t>
      </w:r>
      <w:r w:rsidR="002012F5">
        <w:rPr>
          <w:rFonts w:cs="Arial"/>
          <w:color w:val="auto"/>
        </w:rPr>
        <w:lastRenderedPageBreak/>
        <w:t>I</w:t>
      </w:r>
      <w:r w:rsidR="00B2370A">
        <w:rPr>
          <w:rFonts w:cs="Arial"/>
          <w:color w:val="auto"/>
        </w:rPr>
        <w:t xml:space="preserve">n light of this evidence, you </w:t>
      </w:r>
      <w:r w:rsidRPr="00B2370A" w:rsidR="00B2370A">
        <w:rPr>
          <w:rFonts w:cs="Arial"/>
          <w:color w:val="auto"/>
        </w:rPr>
        <w:t xml:space="preserve">consider that </w:t>
      </w:r>
      <w:r w:rsidRPr="00EE30FB" w:rsidR="00B2370A">
        <w:rPr>
          <w:rFonts w:cs="Arial"/>
          <w:color w:val="auto"/>
        </w:rPr>
        <w:t>NICE’s</w:t>
      </w:r>
      <w:r w:rsidRPr="00B2370A" w:rsidR="00B2370A">
        <w:rPr>
          <w:rFonts w:cs="Arial"/>
          <w:color w:val="auto"/>
        </w:rPr>
        <w:t xml:space="preserve"> </w:t>
      </w:r>
      <w:r w:rsidR="00EE30FB">
        <w:rPr>
          <w:rFonts w:cs="Arial"/>
          <w:color w:val="auto"/>
        </w:rPr>
        <w:t>decision</w:t>
      </w:r>
      <w:r w:rsidRPr="00B2370A" w:rsidR="00B2370A">
        <w:rPr>
          <w:rFonts w:cs="Arial"/>
          <w:color w:val="auto"/>
        </w:rPr>
        <w:t xml:space="preserve"> to delay rollout until June 2025 for </w:t>
      </w:r>
      <w:r w:rsidR="002012F5">
        <w:rPr>
          <w:rFonts w:cs="Arial"/>
          <w:color w:val="auto"/>
        </w:rPr>
        <w:t xml:space="preserve">wider </w:t>
      </w:r>
      <w:r w:rsidRPr="00B2370A" w:rsidR="00B2370A">
        <w:rPr>
          <w:rFonts w:cs="Arial"/>
          <w:color w:val="auto"/>
        </w:rPr>
        <w:t xml:space="preserve">heart failure patients to be unreasonable. </w:t>
      </w:r>
    </w:p>
    <w:p w:rsidR="00E66BA0" w:rsidP="000F7FD4" w:rsidRDefault="00B2370A" w14:paraId="407BBE3E" w14:textId="52F0FB46">
      <w:pPr>
        <w:pStyle w:val="BodyText"/>
        <w:jc w:val="both"/>
        <w:rPr>
          <w:rFonts w:cs="Arial"/>
          <w:color w:val="auto"/>
        </w:rPr>
      </w:pPr>
      <w:r>
        <w:rPr>
          <w:rFonts w:cs="Arial"/>
          <w:color w:val="auto"/>
        </w:rPr>
        <w:t>I do not consider this to be an arguable appeal point. That is because it</w:t>
      </w:r>
      <w:r w:rsidR="00CB5418">
        <w:rPr>
          <w:rFonts w:cs="Arial"/>
          <w:color w:val="auto"/>
        </w:rPr>
        <w:t xml:space="preserve"> </w:t>
      </w:r>
      <w:r>
        <w:rPr>
          <w:rFonts w:cs="Arial"/>
          <w:color w:val="auto"/>
        </w:rPr>
        <w:t>appears to be</w:t>
      </w:r>
      <w:r w:rsidR="00CB5418">
        <w:rPr>
          <w:rFonts w:cs="Arial"/>
          <w:color w:val="auto"/>
        </w:rPr>
        <w:t xml:space="preserve"> based on whether </w:t>
      </w:r>
      <w:r>
        <w:rPr>
          <w:rFonts w:cs="Arial"/>
          <w:color w:val="auto"/>
        </w:rPr>
        <w:t>other</w:t>
      </w:r>
      <w:r w:rsidR="00CB5418">
        <w:rPr>
          <w:rFonts w:cs="Arial"/>
          <w:color w:val="auto"/>
        </w:rPr>
        <w:t xml:space="preserve"> NHS organisations </w:t>
      </w:r>
      <w:r>
        <w:rPr>
          <w:rFonts w:cs="Arial"/>
          <w:color w:val="auto"/>
        </w:rPr>
        <w:t xml:space="preserve">(not NICE itself) </w:t>
      </w:r>
      <w:r w:rsidR="00CB5418">
        <w:rPr>
          <w:rFonts w:cs="Arial"/>
          <w:color w:val="auto"/>
        </w:rPr>
        <w:t>should have predict</w:t>
      </w:r>
      <w:r>
        <w:rPr>
          <w:rFonts w:cs="Arial"/>
          <w:color w:val="auto"/>
        </w:rPr>
        <w:t>ed a</w:t>
      </w:r>
      <w:r w:rsidR="00CB5418">
        <w:rPr>
          <w:rFonts w:cs="Arial"/>
          <w:color w:val="auto"/>
        </w:rPr>
        <w:t xml:space="preserve"> wider roll</w:t>
      </w:r>
      <w:r>
        <w:rPr>
          <w:rFonts w:cs="Arial"/>
          <w:color w:val="auto"/>
        </w:rPr>
        <w:t xml:space="preserve"> out and prepared accordingly</w:t>
      </w:r>
      <w:r w:rsidR="00D66A03">
        <w:rPr>
          <w:rFonts w:cs="Arial"/>
          <w:color w:val="auto"/>
        </w:rPr>
        <w:t>. This</w:t>
      </w:r>
      <w:r>
        <w:rPr>
          <w:rFonts w:cs="Arial"/>
          <w:color w:val="auto"/>
        </w:rPr>
        <w:t xml:space="preserve"> is not a matter for NICE </w:t>
      </w:r>
      <w:r w:rsidR="00E63188">
        <w:rPr>
          <w:rFonts w:cs="Arial"/>
          <w:color w:val="auto"/>
        </w:rPr>
        <w:t>when considering funding variation</w:t>
      </w:r>
      <w:r w:rsidR="000236D2">
        <w:rPr>
          <w:rFonts w:cs="Arial"/>
          <w:color w:val="auto"/>
        </w:rPr>
        <w:t xml:space="preserve"> request</w:t>
      </w:r>
      <w:r w:rsidR="00E63188">
        <w:rPr>
          <w:rFonts w:cs="Arial"/>
          <w:color w:val="auto"/>
        </w:rPr>
        <w:t xml:space="preserve">s </w:t>
      </w:r>
      <w:r w:rsidR="005B4C9A">
        <w:rPr>
          <w:rFonts w:cs="Arial"/>
          <w:color w:val="auto"/>
        </w:rPr>
        <w:t xml:space="preserve">in accordance with the law and guidance I've explained above. </w:t>
      </w:r>
      <w:r w:rsidR="00FF4D85">
        <w:rPr>
          <w:rFonts w:cs="Arial"/>
          <w:color w:val="auto"/>
        </w:rPr>
        <w:t xml:space="preserve">In my view it would be unreasonable for </w:t>
      </w:r>
      <w:r>
        <w:rPr>
          <w:rFonts w:cs="Arial"/>
          <w:color w:val="auto"/>
        </w:rPr>
        <w:t>NICE</w:t>
      </w:r>
      <w:r w:rsidR="00E66BA0">
        <w:rPr>
          <w:rFonts w:cs="Arial"/>
          <w:color w:val="auto"/>
        </w:rPr>
        <w:t xml:space="preserve"> </w:t>
      </w:r>
      <w:r w:rsidR="00FF4D85">
        <w:rPr>
          <w:rFonts w:cs="Arial"/>
          <w:color w:val="auto"/>
        </w:rPr>
        <w:t>to</w:t>
      </w:r>
      <w:r w:rsidR="00E66BA0">
        <w:rPr>
          <w:rFonts w:cs="Arial"/>
          <w:color w:val="auto"/>
        </w:rPr>
        <w:t xml:space="preserve"> make a decision based on what the position would </w:t>
      </w:r>
      <w:r>
        <w:rPr>
          <w:rFonts w:cs="Arial"/>
          <w:color w:val="auto"/>
        </w:rPr>
        <w:t xml:space="preserve">or might </w:t>
      </w:r>
      <w:r w:rsidR="00E66BA0">
        <w:rPr>
          <w:rFonts w:cs="Arial"/>
          <w:color w:val="auto"/>
        </w:rPr>
        <w:t>have been had another NHS organisation taken alternative action</w:t>
      </w:r>
      <w:r w:rsidR="00FF4D85">
        <w:rPr>
          <w:rFonts w:cs="Arial"/>
          <w:color w:val="auto"/>
        </w:rPr>
        <w:t xml:space="preserve">, rather than based on </w:t>
      </w:r>
      <w:r>
        <w:rPr>
          <w:rFonts w:cs="Arial"/>
          <w:color w:val="auto"/>
        </w:rPr>
        <w:t xml:space="preserve">the position of the NHS </w:t>
      </w:r>
      <w:r w:rsidR="00DF74AA">
        <w:rPr>
          <w:rFonts w:cs="Arial"/>
          <w:color w:val="auto"/>
        </w:rPr>
        <w:t>as it finds it</w:t>
      </w:r>
      <w:r w:rsidR="00E66BA0">
        <w:rPr>
          <w:rFonts w:cs="Arial"/>
          <w:color w:val="auto"/>
        </w:rPr>
        <w:t>.   On this basis I consider t</w:t>
      </w:r>
      <w:r>
        <w:rPr>
          <w:rFonts w:cs="Arial"/>
          <w:color w:val="auto"/>
        </w:rPr>
        <w:t xml:space="preserve">hat the evidence you cite relating to heart failure patients </w:t>
      </w:r>
      <w:r w:rsidR="00DF74AA">
        <w:rPr>
          <w:rFonts w:cs="Arial"/>
          <w:color w:val="auto"/>
        </w:rPr>
        <w:t xml:space="preserve">and the state of preparedness in other parts of the NHS system </w:t>
      </w:r>
      <w:r>
        <w:rPr>
          <w:rFonts w:cs="Arial"/>
          <w:color w:val="auto"/>
        </w:rPr>
        <w:t xml:space="preserve">cannot arguably </w:t>
      </w:r>
      <w:r w:rsidR="00DF74AA">
        <w:rPr>
          <w:rFonts w:cs="Arial"/>
          <w:color w:val="auto"/>
        </w:rPr>
        <w:t>support</w:t>
      </w:r>
      <w:r>
        <w:rPr>
          <w:rFonts w:cs="Arial"/>
          <w:color w:val="auto"/>
        </w:rPr>
        <w:t xml:space="preserve"> </w:t>
      </w:r>
      <w:r w:rsidR="00344487">
        <w:rPr>
          <w:rFonts w:cs="Arial"/>
          <w:color w:val="auto"/>
        </w:rPr>
        <w:t xml:space="preserve">a valid appeal point that </w:t>
      </w:r>
      <w:r>
        <w:rPr>
          <w:rFonts w:cs="Arial"/>
          <w:color w:val="auto"/>
        </w:rPr>
        <w:t xml:space="preserve">NICE's decision to vary the funding period </w:t>
      </w:r>
      <w:r w:rsidR="001A5D0E">
        <w:rPr>
          <w:rFonts w:cs="Arial"/>
          <w:color w:val="auto"/>
        </w:rPr>
        <w:t>was unreasonable</w:t>
      </w:r>
      <w:r>
        <w:rPr>
          <w:rFonts w:cs="Arial"/>
          <w:color w:val="auto"/>
        </w:rPr>
        <w:t xml:space="preserve">. </w:t>
      </w:r>
    </w:p>
    <w:p w:rsidRPr="00B84019" w:rsidR="00521160" w:rsidP="00521160" w:rsidRDefault="00521160" w14:paraId="518D3114" w14:textId="0D12F64D">
      <w:pPr>
        <w:pStyle w:val="Paragraph"/>
        <w:numPr>
          <w:ilvl w:val="0"/>
          <w:numId w:val="0"/>
        </w:numPr>
        <w:jc w:val="both"/>
        <w:rPr>
          <w:rFonts w:cs="Arial"/>
          <w:b/>
          <w:u w:val="single"/>
        </w:rPr>
      </w:pPr>
      <w:r w:rsidRPr="00B84019">
        <w:rPr>
          <w:rFonts w:cs="Arial"/>
          <w:b/>
          <w:sz w:val="20"/>
          <w:szCs w:val="20"/>
          <w:u w:val="single"/>
        </w:rPr>
        <w:t>Appeal point 2.2:</w:t>
      </w:r>
      <w:r w:rsidRPr="00B84019" w:rsidR="002D6055">
        <w:rPr>
          <w:rFonts w:cs="Arial"/>
          <w:b/>
          <w:sz w:val="20"/>
          <w:szCs w:val="20"/>
          <w:u w:val="single"/>
        </w:rPr>
        <w:t xml:space="preserve"> </w:t>
      </w:r>
      <w:r w:rsidR="00EC4613">
        <w:rPr>
          <w:rFonts w:cs="Arial"/>
          <w:b/>
          <w:sz w:val="20"/>
          <w:szCs w:val="20"/>
          <w:u w:val="single"/>
        </w:rPr>
        <w:t>"</w:t>
      </w:r>
      <w:r w:rsidRPr="00B84019" w:rsidR="002D6055">
        <w:rPr>
          <w:rFonts w:cs="Arial"/>
          <w:b/>
          <w:sz w:val="20"/>
          <w:szCs w:val="20"/>
          <w:u w:val="single"/>
        </w:rPr>
        <w:t>Delaying the rollout will lead to considerable waste of expired doses of Nirmatrelvir plus ritonavir</w:t>
      </w:r>
      <w:r w:rsidR="00EC4613">
        <w:rPr>
          <w:rFonts w:cs="Arial"/>
          <w:b/>
          <w:sz w:val="20"/>
          <w:szCs w:val="20"/>
          <w:u w:val="single"/>
        </w:rPr>
        <w:t>"</w:t>
      </w:r>
    </w:p>
    <w:p w:rsidR="000F7FD4" w:rsidP="000F7FD4" w:rsidRDefault="000F7FD4" w14:paraId="2CBF7815" w14:textId="77777777">
      <w:pPr>
        <w:pStyle w:val="BodyText"/>
        <w:jc w:val="both"/>
        <w:rPr>
          <w:rFonts w:cs="Arial"/>
          <w:color w:val="auto"/>
        </w:rPr>
      </w:pPr>
      <w:r w:rsidRPr="000F7FD4">
        <w:rPr>
          <w:rFonts w:cs="Arial"/>
          <w:color w:val="auto"/>
        </w:rPr>
        <w:t xml:space="preserve">I am not minded to refer this appeal point to the Appeal Panel.   </w:t>
      </w:r>
    </w:p>
    <w:p w:rsidR="002D35C5" w:rsidP="00F87E49" w:rsidRDefault="008C5615" w14:paraId="6B0B89DA" w14:textId="163246D0">
      <w:pPr>
        <w:pStyle w:val="BodyText"/>
        <w:jc w:val="both"/>
        <w:rPr>
          <w:rFonts w:cs="Arial"/>
          <w:color w:val="auto"/>
        </w:rPr>
      </w:pPr>
      <w:r>
        <w:rPr>
          <w:rFonts w:cs="Arial"/>
          <w:color w:val="auto"/>
        </w:rPr>
        <w:t xml:space="preserve">I understand this appeal point to be on the basis that </w:t>
      </w:r>
      <w:r w:rsidR="007B6555">
        <w:rPr>
          <w:rFonts w:cs="Arial"/>
          <w:color w:val="auto"/>
        </w:rPr>
        <w:t>NICE</w:t>
      </w:r>
      <w:r w:rsidR="00022EB1">
        <w:rPr>
          <w:rFonts w:cs="Arial"/>
          <w:color w:val="auto"/>
        </w:rPr>
        <w:t xml:space="preserve"> </w:t>
      </w:r>
      <w:r>
        <w:rPr>
          <w:rFonts w:cs="Arial"/>
          <w:color w:val="auto"/>
        </w:rPr>
        <w:t xml:space="preserve">failed to </w:t>
      </w:r>
      <w:r w:rsidR="00C96642">
        <w:rPr>
          <w:rFonts w:cs="Arial"/>
          <w:color w:val="auto"/>
        </w:rPr>
        <w:t xml:space="preserve">give appropriate weight to the </w:t>
      </w:r>
      <w:r w:rsidR="003F7A15">
        <w:rPr>
          <w:rFonts w:cs="Arial"/>
          <w:color w:val="auto"/>
        </w:rPr>
        <w:t>fact</w:t>
      </w:r>
      <w:r w:rsidR="00C96642">
        <w:rPr>
          <w:rFonts w:cs="Arial"/>
          <w:color w:val="auto"/>
        </w:rPr>
        <w:t xml:space="preserve"> </w:t>
      </w:r>
      <w:r w:rsidR="00243E48">
        <w:rPr>
          <w:rFonts w:cs="Arial"/>
          <w:color w:val="auto"/>
        </w:rPr>
        <w:t xml:space="preserve">that delaying </w:t>
      </w:r>
      <w:r w:rsidR="00CF3B10">
        <w:rPr>
          <w:rFonts w:cs="Arial"/>
          <w:color w:val="auto"/>
        </w:rPr>
        <w:t>the time for compliance will lead to considerable waste of</w:t>
      </w:r>
      <w:r w:rsidR="00C96642">
        <w:rPr>
          <w:rFonts w:cs="Arial"/>
          <w:color w:val="auto"/>
        </w:rPr>
        <w:t xml:space="preserve"> </w:t>
      </w:r>
      <w:r w:rsidR="006A1FA2">
        <w:rPr>
          <w:rFonts w:cs="Arial"/>
          <w:color w:val="auto"/>
        </w:rPr>
        <w:t xml:space="preserve">expired </w:t>
      </w:r>
      <w:r>
        <w:rPr>
          <w:rFonts w:cs="Arial"/>
          <w:color w:val="auto"/>
        </w:rPr>
        <w:t xml:space="preserve">doses </w:t>
      </w:r>
      <w:r w:rsidR="00CF3B10">
        <w:rPr>
          <w:rFonts w:cs="Arial"/>
          <w:color w:val="auto"/>
        </w:rPr>
        <w:t>of</w:t>
      </w:r>
      <w:r w:rsidRPr="006A1FA2" w:rsidR="006A1FA2">
        <w:t xml:space="preserve"> </w:t>
      </w:r>
      <w:r w:rsidRPr="006A1FA2" w:rsidR="006A1FA2">
        <w:rPr>
          <w:rFonts w:cs="Arial"/>
          <w:color w:val="auto"/>
        </w:rPr>
        <w:t>Nirmatrelvir plus ritonavir</w:t>
      </w:r>
      <w:r w:rsidR="006A1FA2">
        <w:rPr>
          <w:rFonts w:cs="Arial"/>
          <w:color w:val="auto"/>
        </w:rPr>
        <w:t xml:space="preserve"> that</w:t>
      </w:r>
      <w:r w:rsidR="00CF3B10">
        <w:rPr>
          <w:rFonts w:cs="Arial"/>
          <w:color w:val="auto"/>
        </w:rPr>
        <w:t xml:space="preserve"> </w:t>
      </w:r>
      <w:r w:rsidR="00C96642">
        <w:rPr>
          <w:rFonts w:cs="Arial"/>
          <w:color w:val="auto"/>
        </w:rPr>
        <w:t>hav</w:t>
      </w:r>
      <w:r w:rsidR="006A1FA2">
        <w:rPr>
          <w:rFonts w:cs="Arial"/>
          <w:color w:val="auto"/>
        </w:rPr>
        <w:t>e</w:t>
      </w:r>
      <w:r>
        <w:rPr>
          <w:rFonts w:cs="Arial"/>
          <w:color w:val="auto"/>
        </w:rPr>
        <w:t xml:space="preserve"> already been </w:t>
      </w:r>
      <w:r w:rsidR="006A1FA2">
        <w:rPr>
          <w:rFonts w:cs="Arial"/>
          <w:color w:val="auto"/>
        </w:rPr>
        <w:t>purchased by the NHS</w:t>
      </w:r>
      <w:r w:rsidR="00F87E49">
        <w:rPr>
          <w:rFonts w:cs="Arial"/>
          <w:color w:val="auto"/>
        </w:rPr>
        <w:t xml:space="preserve">, as </w:t>
      </w:r>
      <w:r w:rsidR="008966B9">
        <w:rPr>
          <w:rFonts w:cs="Arial"/>
          <w:color w:val="auto"/>
        </w:rPr>
        <w:t>raised by the company in</w:t>
      </w:r>
      <w:r w:rsidR="00C42992">
        <w:rPr>
          <w:rFonts w:cs="Arial"/>
          <w:color w:val="auto"/>
        </w:rPr>
        <w:t xml:space="preserve"> </w:t>
      </w:r>
      <w:r>
        <w:rPr>
          <w:rFonts w:cs="Arial"/>
          <w:color w:val="auto"/>
        </w:rPr>
        <w:t>consulta</w:t>
      </w:r>
      <w:r w:rsidR="00022EB1">
        <w:rPr>
          <w:rFonts w:cs="Arial"/>
          <w:color w:val="auto"/>
        </w:rPr>
        <w:t>tion</w:t>
      </w:r>
      <w:r>
        <w:rPr>
          <w:rFonts w:cs="Arial"/>
          <w:color w:val="auto"/>
        </w:rPr>
        <w:t xml:space="preserve"> (see pages </w:t>
      </w:r>
      <w:r w:rsidR="008C3AB1">
        <w:rPr>
          <w:rFonts w:cs="Arial"/>
          <w:color w:val="auto"/>
        </w:rPr>
        <w:t xml:space="preserve">25 and 32 of the </w:t>
      </w:r>
      <w:hyperlink w:history="1" r:id="rId8">
        <w:r w:rsidRPr="008C3AB1" w:rsidR="008C3AB1">
          <w:rPr>
            <w:rStyle w:val="Hyperlink"/>
            <w:rFonts w:cs="Arial"/>
          </w:rPr>
          <w:t>Committee Papers</w:t>
        </w:r>
      </w:hyperlink>
      <w:r>
        <w:rPr>
          <w:rFonts w:cs="Arial"/>
          <w:color w:val="auto"/>
        </w:rPr>
        <w:t>)</w:t>
      </w:r>
      <w:r w:rsidR="00C005F8">
        <w:rPr>
          <w:rFonts w:cs="Arial"/>
          <w:color w:val="auto"/>
        </w:rPr>
        <w:t>.</w:t>
      </w:r>
      <w:r>
        <w:rPr>
          <w:rFonts w:cs="Arial"/>
          <w:color w:val="auto"/>
        </w:rPr>
        <w:t xml:space="preserve"> </w:t>
      </w:r>
    </w:p>
    <w:p w:rsidR="00EE30FB" w:rsidP="00B22228" w:rsidRDefault="00F9540A" w14:paraId="2428EEDA" w14:textId="78A0E238">
      <w:pPr>
        <w:pStyle w:val="BodyText"/>
        <w:jc w:val="both"/>
        <w:rPr>
          <w:rFonts w:cs="Arial"/>
          <w:color w:val="auto"/>
        </w:rPr>
      </w:pPr>
      <w:r>
        <w:rPr>
          <w:rFonts w:cs="Arial"/>
          <w:color w:val="auto"/>
        </w:rPr>
        <w:t xml:space="preserve">I note </w:t>
      </w:r>
      <w:r w:rsidR="000023E5">
        <w:rPr>
          <w:rFonts w:cs="Arial"/>
          <w:color w:val="auto"/>
        </w:rPr>
        <w:t xml:space="preserve">NICE's appeal process guide explains (at section 4.3) that </w:t>
      </w:r>
      <w:r w:rsidRPr="000023E5" w:rsidR="000023E5">
        <w:rPr>
          <w:rFonts w:cs="Arial"/>
          <w:color w:val="auto"/>
        </w:rPr>
        <w:t>a</w:t>
      </w:r>
      <w:r w:rsidR="00A26322">
        <w:rPr>
          <w:rFonts w:cs="Arial"/>
          <w:color w:val="auto"/>
        </w:rPr>
        <w:t xml:space="preserve">n appellant may appeal </w:t>
      </w:r>
      <w:r w:rsidR="00EE30FB">
        <w:rPr>
          <w:rFonts w:cs="Arial"/>
          <w:color w:val="auto"/>
        </w:rPr>
        <w:t xml:space="preserve">under ground 2 </w:t>
      </w:r>
      <w:r w:rsidRPr="000023E5" w:rsidR="000023E5">
        <w:rPr>
          <w:rFonts w:cs="Arial"/>
          <w:color w:val="auto"/>
        </w:rPr>
        <w:t xml:space="preserve">if </w:t>
      </w:r>
      <w:r w:rsidR="00A26322">
        <w:rPr>
          <w:rFonts w:cs="Arial"/>
          <w:color w:val="auto"/>
        </w:rPr>
        <w:t>they</w:t>
      </w:r>
      <w:r w:rsidRPr="000023E5" w:rsidR="000023E5">
        <w:rPr>
          <w:rFonts w:cs="Arial"/>
          <w:color w:val="auto"/>
        </w:rPr>
        <w:t xml:space="preserve"> consider that the recommendations in the final draft guidance cannot reasonably be justified from the evidence</w:t>
      </w:r>
      <w:r w:rsidR="00577A3D">
        <w:rPr>
          <w:rFonts w:cs="Arial"/>
          <w:color w:val="auto"/>
        </w:rPr>
        <w:t xml:space="preserve">, </w:t>
      </w:r>
      <w:r w:rsidR="00A82652">
        <w:rPr>
          <w:rFonts w:cs="Arial"/>
          <w:color w:val="auto"/>
        </w:rPr>
        <w:t xml:space="preserve">such that </w:t>
      </w:r>
      <w:r w:rsidRPr="000023E5" w:rsidR="000023E5">
        <w:rPr>
          <w:rFonts w:cs="Arial"/>
          <w:color w:val="auto"/>
        </w:rPr>
        <w:t>the guidance is obviously and unarguably wrong, illogical, or 'does not add up</w:t>
      </w:r>
      <w:r w:rsidR="00493143">
        <w:rPr>
          <w:rFonts w:cs="Arial"/>
          <w:color w:val="auto"/>
        </w:rPr>
        <w:t>'</w:t>
      </w:r>
      <w:r w:rsidR="00577A3D">
        <w:rPr>
          <w:rFonts w:cs="Arial"/>
          <w:color w:val="auto"/>
        </w:rPr>
        <w:t>.</w:t>
      </w:r>
      <w:r w:rsidRPr="00990AEB" w:rsidR="00990AEB">
        <w:rPr>
          <w:rFonts w:cs="Arial"/>
          <w:color w:val="auto"/>
        </w:rPr>
        <w:t xml:space="preserve"> </w:t>
      </w:r>
    </w:p>
    <w:p w:rsidR="00F9540A" w:rsidP="00B22228" w:rsidRDefault="00F9540A" w14:paraId="477B0129" w14:textId="1F71DD1B">
      <w:pPr>
        <w:pStyle w:val="BodyText"/>
        <w:jc w:val="both"/>
        <w:rPr>
          <w:rFonts w:cs="Arial"/>
          <w:color w:val="auto"/>
        </w:rPr>
      </w:pPr>
      <w:r>
        <w:rPr>
          <w:rFonts w:cs="Arial"/>
          <w:color w:val="auto"/>
        </w:rPr>
        <w:t xml:space="preserve">The FDG at section 4 explains why NICE considered the criteria for granting a funding request (as set out above) were met. </w:t>
      </w:r>
    </w:p>
    <w:p w:rsidR="0080603C" w:rsidP="00B22228" w:rsidRDefault="00990AEB" w14:paraId="1E74E459" w14:textId="77777777">
      <w:pPr>
        <w:pStyle w:val="BodyText"/>
        <w:jc w:val="both"/>
        <w:rPr>
          <w:rFonts w:cs="Arial"/>
          <w:color w:val="auto"/>
        </w:rPr>
      </w:pPr>
      <w:r>
        <w:rPr>
          <w:rFonts w:cs="Arial"/>
          <w:color w:val="auto"/>
        </w:rPr>
        <w:t>Your appeal letter does not explain how you consider NICE ought to have considered the issue of wasted dosages</w:t>
      </w:r>
      <w:r w:rsidR="00105D5C">
        <w:rPr>
          <w:rFonts w:cs="Arial"/>
          <w:color w:val="auto"/>
        </w:rPr>
        <w:t xml:space="preserve"> when applying the criteria to vary the funding requirement</w:t>
      </w:r>
      <w:r>
        <w:rPr>
          <w:rFonts w:cs="Arial"/>
          <w:color w:val="auto"/>
        </w:rPr>
        <w:t xml:space="preserve"> or why</w:t>
      </w:r>
      <w:r w:rsidR="00CB3A18">
        <w:rPr>
          <w:rFonts w:cs="Arial"/>
          <w:color w:val="auto"/>
        </w:rPr>
        <w:t xml:space="preserve"> the evidence on wasted dosage</w:t>
      </w:r>
      <w:r>
        <w:rPr>
          <w:rFonts w:cs="Arial"/>
          <w:color w:val="auto"/>
        </w:rPr>
        <w:t xml:space="preserve"> </w:t>
      </w:r>
      <w:r w:rsidR="00CB3A18">
        <w:rPr>
          <w:rFonts w:cs="Arial"/>
          <w:color w:val="auto"/>
        </w:rPr>
        <w:t xml:space="preserve">renders </w:t>
      </w:r>
      <w:r w:rsidR="007C2756">
        <w:rPr>
          <w:rFonts w:cs="Arial"/>
          <w:color w:val="auto"/>
        </w:rPr>
        <w:t>that decision</w:t>
      </w:r>
      <w:r w:rsidR="003D2428">
        <w:rPr>
          <w:rFonts w:cs="Arial"/>
          <w:color w:val="auto"/>
        </w:rPr>
        <w:t xml:space="preserve"> </w:t>
      </w:r>
      <w:r>
        <w:rPr>
          <w:rFonts w:cs="Arial"/>
          <w:color w:val="auto"/>
        </w:rPr>
        <w:t xml:space="preserve">unreasonable. </w:t>
      </w:r>
      <w:r w:rsidR="00264089">
        <w:rPr>
          <w:rFonts w:cs="Arial"/>
          <w:color w:val="auto"/>
        </w:rPr>
        <w:t>I</w:t>
      </w:r>
      <w:r w:rsidR="004C4582">
        <w:rPr>
          <w:rFonts w:cs="Arial"/>
          <w:color w:val="auto"/>
        </w:rPr>
        <w:t xml:space="preserve"> </w:t>
      </w:r>
      <w:r w:rsidR="00B700BD">
        <w:rPr>
          <w:rFonts w:cs="Arial"/>
          <w:color w:val="auto"/>
        </w:rPr>
        <w:t xml:space="preserve">therefore </w:t>
      </w:r>
      <w:r w:rsidR="00C005F8">
        <w:rPr>
          <w:rFonts w:cs="Arial"/>
          <w:color w:val="auto"/>
        </w:rPr>
        <w:t>see no arguable</w:t>
      </w:r>
      <w:r w:rsidR="00B700BD">
        <w:rPr>
          <w:rFonts w:cs="Arial"/>
          <w:color w:val="auto"/>
        </w:rPr>
        <w:t xml:space="preserve"> appeal</w:t>
      </w:r>
      <w:r w:rsidR="00C005F8">
        <w:rPr>
          <w:rFonts w:cs="Arial"/>
          <w:color w:val="auto"/>
        </w:rPr>
        <w:t xml:space="preserve"> point </w:t>
      </w:r>
      <w:r w:rsidR="00B700BD">
        <w:rPr>
          <w:rFonts w:cs="Arial"/>
          <w:color w:val="auto"/>
        </w:rPr>
        <w:t>under ground 2</w:t>
      </w:r>
      <w:r w:rsidR="00E109AE">
        <w:rPr>
          <w:rFonts w:cs="Arial"/>
          <w:color w:val="auto"/>
        </w:rPr>
        <w:t>.</w:t>
      </w:r>
      <w:r w:rsidR="00B22228">
        <w:rPr>
          <w:rFonts w:cs="Arial"/>
          <w:color w:val="auto"/>
        </w:rPr>
        <w:t xml:space="preserve"> </w:t>
      </w:r>
    </w:p>
    <w:p w:rsidRPr="00B84019" w:rsidR="002D6055" w:rsidP="002D6055" w:rsidRDefault="002D6055" w14:paraId="4AC9A5FB" w14:textId="2DD0A895">
      <w:pPr>
        <w:pStyle w:val="Paragraph"/>
        <w:numPr>
          <w:ilvl w:val="0"/>
          <w:numId w:val="0"/>
        </w:numPr>
        <w:jc w:val="both"/>
        <w:rPr>
          <w:rFonts w:cs="Arial"/>
          <w:b/>
          <w:u w:val="single"/>
        </w:rPr>
      </w:pPr>
      <w:r w:rsidRPr="00B84019">
        <w:rPr>
          <w:rFonts w:cs="Arial"/>
          <w:b/>
          <w:sz w:val="20"/>
          <w:szCs w:val="20"/>
          <w:u w:val="single"/>
        </w:rPr>
        <w:t xml:space="preserve">Appeal point 2.3: </w:t>
      </w:r>
      <w:r w:rsidR="00EC4613">
        <w:rPr>
          <w:rFonts w:cs="Arial"/>
          <w:b/>
          <w:sz w:val="20"/>
          <w:szCs w:val="20"/>
          <w:u w:val="single"/>
        </w:rPr>
        <w:t>"</w:t>
      </w:r>
      <w:r w:rsidRPr="00B84019" w:rsidR="00847BF3">
        <w:rPr>
          <w:rFonts w:cs="Arial"/>
          <w:b/>
          <w:sz w:val="20"/>
          <w:szCs w:val="20"/>
          <w:u w:val="single"/>
        </w:rPr>
        <w:t>NHSE estimate on the number of patients requesting test kits, reporting positive tests, and requiring treatment is likely to be an extreme overestimate</w:t>
      </w:r>
      <w:r w:rsidR="00EC4613">
        <w:rPr>
          <w:rFonts w:cs="Arial"/>
          <w:b/>
          <w:sz w:val="20"/>
          <w:szCs w:val="20"/>
          <w:u w:val="single"/>
        </w:rPr>
        <w:t>"</w:t>
      </w:r>
      <w:r w:rsidRPr="00B84019" w:rsidR="00847BF3">
        <w:rPr>
          <w:rFonts w:cs="Arial"/>
          <w:b/>
          <w:sz w:val="20"/>
          <w:szCs w:val="20"/>
          <w:u w:val="single"/>
        </w:rPr>
        <w:t>.</w:t>
      </w:r>
    </w:p>
    <w:p w:rsidR="002D6055" w:rsidP="002D6055" w:rsidRDefault="002D6055" w14:paraId="34F176EF" w14:textId="14C28030">
      <w:pPr>
        <w:pStyle w:val="BodyText"/>
        <w:jc w:val="both"/>
        <w:rPr>
          <w:rFonts w:cs="Arial"/>
          <w:color w:val="auto"/>
        </w:rPr>
      </w:pPr>
      <w:r w:rsidRPr="00B84019">
        <w:rPr>
          <w:rFonts w:cs="Arial"/>
          <w:color w:val="auto"/>
        </w:rPr>
        <w:t xml:space="preserve">I am not minded to refer this appeal point to the Appeal Panel.   </w:t>
      </w:r>
    </w:p>
    <w:p w:rsidR="006F0DDE" w:rsidP="002D6055" w:rsidRDefault="00554052" w14:paraId="17C6BBBC" w14:textId="422326B3">
      <w:pPr>
        <w:pStyle w:val="BodyText"/>
        <w:jc w:val="both"/>
        <w:rPr>
          <w:rFonts w:cs="Arial"/>
          <w:color w:val="auto"/>
        </w:rPr>
      </w:pPr>
      <w:r w:rsidRPr="00E109AE">
        <w:rPr>
          <w:rFonts w:cs="Arial"/>
          <w:color w:val="auto"/>
        </w:rPr>
        <w:t>I understand this appeal point to be on the basis that</w:t>
      </w:r>
      <w:r w:rsidR="00140112">
        <w:rPr>
          <w:rFonts w:cs="Arial"/>
          <w:color w:val="auto"/>
        </w:rPr>
        <w:t xml:space="preserve"> </w:t>
      </w:r>
      <w:r w:rsidRPr="00E109AE">
        <w:rPr>
          <w:rFonts w:cs="Arial"/>
          <w:color w:val="auto"/>
        </w:rPr>
        <w:t>the funding variation submission from NHS England overestimates the demand for test kits, treatment assessment and treatment delivery</w:t>
      </w:r>
      <w:r w:rsidR="00140112">
        <w:rPr>
          <w:rFonts w:cs="Arial"/>
          <w:color w:val="auto"/>
        </w:rPr>
        <w:t xml:space="preserve"> as it r</w:t>
      </w:r>
      <w:r w:rsidRPr="00E109AE">
        <w:rPr>
          <w:rFonts w:cs="Arial"/>
          <w:color w:val="auto"/>
        </w:rPr>
        <w:t>elies on historical data from the highest risk patient groups.</w:t>
      </w:r>
      <w:r w:rsidR="00966C76">
        <w:rPr>
          <w:rFonts w:cs="Arial"/>
          <w:color w:val="auto"/>
        </w:rPr>
        <w:t xml:space="preserve"> I note y</w:t>
      </w:r>
      <w:r w:rsidR="006F0DDE">
        <w:rPr>
          <w:rFonts w:cs="Arial"/>
          <w:color w:val="auto"/>
        </w:rPr>
        <w:t>ou</w:t>
      </w:r>
      <w:r w:rsidRPr="006F0DDE" w:rsidR="006F0DDE">
        <w:rPr>
          <w:rFonts w:cs="Arial"/>
          <w:color w:val="auto"/>
        </w:rPr>
        <w:t xml:space="preserve"> </w:t>
      </w:r>
      <w:r w:rsidR="00E90A3D">
        <w:rPr>
          <w:rFonts w:cs="Arial"/>
          <w:color w:val="auto"/>
        </w:rPr>
        <w:t>consider</w:t>
      </w:r>
      <w:r w:rsidRPr="006F0DDE" w:rsidR="006F0DDE">
        <w:rPr>
          <w:rFonts w:cs="Arial"/>
          <w:color w:val="auto"/>
        </w:rPr>
        <w:t xml:space="preserve"> </w:t>
      </w:r>
      <w:r w:rsidR="00636BE4">
        <w:rPr>
          <w:rFonts w:cs="Arial"/>
          <w:color w:val="auto"/>
        </w:rPr>
        <w:t>"</w:t>
      </w:r>
      <w:r w:rsidRPr="006F0DDE" w:rsidR="006F0DDE">
        <w:rPr>
          <w:rFonts w:cs="Arial"/>
          <w:color w:val="auto"/>
        </w:rPr>
        <w:t>evidence exists and could be obtained</w:t>
      </w:r>
      <w:r w:rsidR="00636BE4">
        <w:rPr>
          <w:rFonts w:cs="Arial"/>
          <w:color w:val="auto"/>
        </w:rPr>
        <w:t xml:space="preserve">" </w:t>
      </w:r>
      <w:r w:rsidRPr="006F0DDE" w:rsidR="006F0DDE">
        <w:rPr>
          <w:rFonts w:cs="Arial"/>
          <w:color w:val="auto"/>
        </w:rPr>
        <w:t>which would show a much lower level of demand</w:t>
      </w:r>
      <w:r w:rsidR="006F0DDE">
        <w:rPr>
          <w:rFonts w:cs="Arial"/>
          <w:color w:val="auto"/>
        </w:rPr>
        <w:t xml:space="preserve"> and</w:t>
      </w:r>
      <w:r w:rsidR="00FC0D19">
        <w:rPr>
          <w:rFonts w:cs="Arial"/>
          <w:color w:val="auto"/>
        </w:rPr>
        <w:t xml:space="preserve"> </w:t>
      </w:r>
      <w:r w:rsidR="00E90A3D">
        <w:rPr>
          <w:rFonts w:cs="Arial"/>
          <w:color w:val="auto"/>
        </w:rPr>
        <w:t xml:space="preserve">that </w:t>
      </w:r>
      <w:r w:rsidR="00FC0D19">
        <w:rPr>
          <w:rFonts w:cs="Arial"/>
          <w:color w:val="auto"/>
        </w:rPr>
        <w:t xml:space="preserve">this is indicated by </w:t>
      </w:r>
      <w:r w:rsidR="00811B2A">
        <w:rPr>
          <w:rFonts w:cs="Arial"/>
          <w:color w:val="auto"/>
        </w:rPr>
        <w:t>"</w:t>
      </w:r>
      <w:r w:rsidR="00FC0D19">
        <w:rPr>
          <w:rFonts w:cs="Arial"/>
          <w:color w:val="auto"/>
        </w:rPr>
        <w:t>trial and anecdotal evidence</w:t>
      </w:r>
      <w:r w:rsidR="00811B2A">
        <w:rPr>
          <w:rFonts w:cs="Arial"/>
          <w:color w:val="auto"/>
        </w:rPr>
        <w:t>"</w:t>
      </w:r>
      <w:r w:rsidR="00FC0D19">
        <w:rPr>
          <w:rFonts w:cs="Arial"/>
          <w:color w:val="auto"/>
        </w:rPr>
        <w:t>, citing the Panoramic trial</w:t>
      </w:r>
      <w:r w:rsidR="007E40D2">
        <w:rPr>
          <w:rFonts w:cs="Arial"/>
          <w:color w:val="auto"/>
        </w:rPr>
        <w:t>, such that it is "</w:t>
      </w:r>
      <w:r w:rsidRPr="00357A64" w:rsidR="00357A64">
        <w:rPr>
          <w:rFonts w:cs="Arial"/>
          <w:color w:val="auto"/>
        </w:rPr>
        <w:t>unreasonable that NICE have not requested, and NHSE have not provided, contemporary demand figures</w:t>
      </w:r>
      <w:r w:rsidR="007E40D2">
        <w:rPr>
          <w:rFonts w:cs="Arial"/>
          <w:color w:val="auto"/>
        </w:rPr>
        <w:t>."</w:t>
      </w:r>
    </w:p>
    <w:p w:rsidR="00BD06F3" w:rsidP="00BC64FA" w:rsidRDefault="00BD06F3" w14:paraId="2335A339" w14:textId="77777777">
      <w:pPr>
        <w:pStyle w:val="BodyText"/>
        <w:jc w:val="both"/>
        <w:rPr>
          <w:rFonts w:cs="Arial"/>
          <w:color w:val="auto"/>
        </w:rPr>
      </w:pPr>
      <w:r>
        <w:rPr>
          <w:rFonts w:cs="Arial"/>
          <w:color w:val="auto"/>
        </w:rPr>
        <w:t>I accept that c</w:t>
      </w:r>
      <w:r w:rsidR="00EF22EE">
        <w:rPr>
          <w:rFonts w:cs="Arial"/>
          <w:color w:val="auto"/>
        </w:rPr>
        <w:t xml:space="preserve">apacity of the system to copy with demand </w:t>
      </w:r>
      <w:r w:rsidR="007F5B94">
        <w:rPr>
          <w:rFonts w:cs="Arial"/>
          <w:color w:val="auto"/>
        </w:rPr>
        <w:t xml:space="preserve">is </w:t>
      </w:r>
      <w:r w:rsidR="00413AE5">
        <w:rPr>
          <w:rFonts w:cs="Arial"/>
          <w:color w:val="auto"/>
        </w:rPr>
        <w:t>central to</w:t>
      </w:r>
      <w:r w:rsidR="004016F2">
        <w:rPr>
          <w:rFonts w:cs="Arial"/>
          <w:color w:val="auto"/>
        </w:rPr>
        <w:t xml:space="preserve"> NHS England's submission and</w:t>
      </w:r>
      <w:r w:rsidR="00413AE5">
        <w:rPr>
          <w:rFonts w:cs="Arial"/>
          <w:color w:val="auto"/>
        </w:rPr>
        <w:t xml:space="preserve"> the decision to vary the funding requirement</w:t>
      </w:r>
      <w:r w:rsidR="004016F2">
        <w:rPr>
          <w:rFonts w:cs="Arial"/>
          <w:color w:val="auto"/>
        </w:rPr>
        <w:t xml:space="preserve">, as recognised at </w:t>
      </w:r>
      <w:r w:rsidR="004D206D">
        <w:rPr>
          <w:rFonts w:cs="Arial"/>
          <w:color w:val="auto"/>
        </w:rPr>
        <w:t>4.1 of the FDG</w:t>
      </w:r>
      <w:r w:rsidR="00413AE5">
        <w:rPr>
          <w:rFonts w:cs="Arial"/>
          <w:color w:val="auto"/>
        </w:rPr>
        <w:t xml:space="preserve">. </w:t>
      </w:r>
    </w:p>
    <w:p w:rsidR="00B60F57" w:rsidP="00BC64FA" w:rsidRDefault="00BD06F3" w14:paraId="3B14EF61" w14:textId="04BA8175">
      <w:pPr>
        <w:pStyle w:val="BodyText"/>
        <w:jc w:val="both"/>
        <w:rPr>
          <w:rFonts w:cs="Arial"/>
          <w:color w:val="auto"/>
        </w:rPr>
      </w:pPr>
      <w:r>
        <w:rPr>
          <w:rFonts w:cs="Arial"/>
          <w:color w:val="auto"/>
        </w:rPr>
        <w:lastRenderedPageBreak/>
        <w:t xml:space="preserve">I note </w:t>
      </w:r>
      <w:r w:rsidRPr="00E109AE" w:rsidR="00DA55B8">
        <w:rPr>
          <w:rFonts w:cs="Arial"/>
          <w:color w:val="auto"/>
        </w:rPr>
        <w:t>NHS England's submission</w:t>
      </w:r>
      <w:r w:rsidR="002934CC">
        <w:rPr>
          <w:rFonts w:cs="Arial"/>
          <w:color w:val="auto"/>
        </w:rPr>
        <w:t xml:space="preserve"> and response to consultation</w:t>
      </w:r>
      <w:r w:rsidRPr="00E109AE" w:rsidR="00DA55B8">
        <w:rPr>
          <w:rFonts w:cs="Arial"/>
          <w:color w:val="auto"/>
        </w:rPr>
        <w:t xml:space="preserve"> </w:t>
      </w:r>
      <w:r w:rsidR="00413AE5">
        <w:rPr>
          <w:rFonts w:cs="Arial"/>
          <w:color w:val="auto"/>
        </w:rPr>
        <w:t>explains the estimates</w:t>
      </w:r>
      <w:r w:rsidR="005C4F92">
        <w:rPr>
          <w:rFonts w:cs="Arial"/>
          <w:color w:val="auto"/>
        </w:rPr>
        <w:t xml:space="preserve"> it has made </w:t>
      </w:r>
      <w:r w:rsidR="00637D4B">
        <w:rPr>
          <w:rFonts w:cs="Arial"/>
          <w:color w:val="auto"/>
        </w:rPr>
        <w:t>and</w:t>
      </w:r>
      <w:r w:rsidRPr="00E109AE" w:rsidR="00DA55B8">
        <w:rPr>
          <w:rFonts w:cs="Arial"/>
          <w:color w:val="auto"/>
        </w:rPr>
        <w:t xml:space="preserve"> </w:t>
      </w:r>
      <w:r w:rsidR="00BC64FA">
        <w:rPr>
          <w:rFonts w:cs="Arial"/>
          <w:color w:val="auto"/>
        </w:rPr>
        <w:t>acknowledges</w:t>
      </w:r>
      <w:r w:rsidRPr="00E109AE" w:rsidR="00BC64FA">
        <w:rPr>
          <w:rFonts w:cs="Arial"/>
          <w:color w:val="auto"/>
        </w:rPr>
        <w:t xml:space="preserve"> uncertainty</w:t>
      </w:r>
      <w:r w:rsidR="00281C73">
        <w:rPr>
          <w:rFonts w:cs="Arial"/>
          <w:color w:val="auto"/>
        </w:rPr>
        <w:t xml:space="preserve"> around, </w:t>
      </w:r>
      <w:r w:rsidR="004D206D">
        <w:rPr>
          <w:rFonts w:cs="Arial"/>
          <w:color w:val="auto"/>
        </w:rPr>
        <w:t>in particular</w:t>
      </w:r>
      <w:r w:rsidR="00281C73">
        <w:rPr>
          <w:rFonts w:cs="Arial"/>
          <w:color w:val="auto"/>
        </w:rPr>
        <w:t xml:space="preserve">, the number of tests needed </w:t>
      </w:r>
      <w:r w:rsidR="00B0293C">
        <w:rPr>
          <w:rFonts w:cs="Arial"/>
          <w:color w:val="auto"/>
        </w:rPr>
        <w:t xml:space="preserve">and associated costs, </w:t>
      </w:r>
      <w:r w:rsidRPr="00E109AE" w:rsidR="00BC64FA">
        <w:rPr>
          <w:rFonts w:cs="Arial"/>
          <w:color w:val="auto"/>
        </w:rPr>
        <w:t xml:space="preserve">and </w:t>
      </w:r>
      <w:r w:rsidR="00AC6DD8">
        <w:rPr>
          <w:rFonts w:cs="Arial"/>
          <w:color w:val="auto"/>
        </w:rPr>
        <w:t>the need to keep this</w:t>
      </w:r>
      <w:r w:rsidRPr="00E109AE" w:rsidR="00BC64FA">
        <w:rPr>
          <w:rFonts w:cs="Arial"/>
          <w:color w:val="auto"/>
        </w:rPr>
        <w:t xml:space="preserve"> under review</w:t>
      </w:r>
      <w:r w:rsidR="00B0293C">
        <w:rPr>
          <w:rFonts w:cs="Arial"/>
          <w:color w:val="auto"/>
        </w:rPr>
        <w:t xml:space="preserve"> (see page</w:t>
      </w:r>
      <w:r w:rsidR="000E79F2">
        <w:rPr>
          <w:rFonts w:cs="Arial"/>
          <w:color w:val="auto"/>
        </w:rPr>
        <w:t>s 17-</w:t>
      </w:r>
      <w:r w:rsidR="00B0293C">
        <w:rPr>
          <w:rFonts w:cs="Arial"/>
          <w:color w:val="auto"/>
        </w:rPr>
        <w:t>20 of the Committee papers)</w:t>
      </w:r>
      <w:r w:rsidRPr="00E109AE" w:rsidR="00BC64FA">
        <w:rPr>
          <w:rFonts w:cs="Arial"/>
          <w:color w:val="auto"/>
        </w:rPr>
        <w:t xml:space="preserve">.  </w:t>
      </w:r>
    </w:p>
    <w:p w:rsidR="00BC64FA" w:rsidP="00BC64FA" w:rsidRDefault="00B41964" w14:paraId="32900499" w14:textId="33E50EB5">
      <w:pPr>
        <w:pStyle w:val="BodyText"/>
        <w:jc w:val="both"/>
        <w:rPr>
          <w:rFonts w:cs="Arial"/>
          <w:color w:val="auto"/>
        </w:rPr>
      </w:pPr>
      <w:r>
        <w:rPr>
          <w:rFonts w:cs="Arial"/>
          <w:color w:val="auto"/>
        </w:rPr>
        <w:t xml:space="preserve">The consultation afforded stakeholders an opportunity to </w:t>
      </w:r>
      <w:r w:rsidR="00BD06F3">
        <w:rPr>
          <w:rFonts w:cs="Arial"/>
          <w:color w:val="auto"/>
        </w:rPr>
        <w:t>comment on this</w:t>
      </w:r>
      <w:r w:rsidR="00EC4D7B">
        <w:rPr>
          <w:rFonts w:cs="Arial"/>
          <w:color w:val="auto"/>
        </w:rPr>
        <w:t xml:space="preserve"> issue</w:t>
      </w:r>
      <w:r w:rsidR="00FE38AA">
        <w:rPr>
          <w:rFonts w:cs="Arial"/>
          <w:color w:val="auto"/>
        </w:rPr>
        <w:t xml:space="preserve">; I note the </w:t>
      </w:r>
      <w:r w:rsidR="008E24FA">
        <w:rPr>
          <w:rFonts w:cs="Arial"/>
          <w:color w:val="auto"/>
        </w:rPr>
        <w:t xml:space="preserve">company </w:t>
      </w:r>
      <w:r w:rsidR="004B64EE">
        <w:rPr>
          <w:rFonts w:cs="Arial"/>
          <w:color w:val="auto"/>
        </w:rPr>
        <w:t>did so</w:t>
      </w:r>
      <w:r w:rsidR="00357163">
        <w:rPr>
          <w:rFonts w:cs="Arial"/>
          <w:color w:val="auto"/>
        </w:rPr>
        <w:t xml:space="preserve"> but C</w:t>
      </w:r>
      <w:r w:rsidR="004E7AB6">
        <w:rPr>
          <w:rFonts w:cs="Arial"/>
          <w:color w:val="auto"/>
        </w:rPr>
        <w:t>TPG did not</w:t>
      </w:r>
      <w:r w:rsidR="00691B06">
        <w:rPr>
          <w:rFonts w:cs="Arial"/>
          <w:color w:val="auto"/>
        </w:rPr>
        <w:t xml:space="preserve">. </w:t>
      </w:r>
      <w:r w:rsidR="004D206D">
        <w:rPr>
          <w:rFonts w:cs="Arial"/>
          <w:color w:val="auto"/>
        </w:rPr>
        <w:t xml:space="preserve"> </w:t>
      </w:r>
    </w:p>
    <w:p w:rsidRPr="00E109AE" w:rsidR="00895365" w:rsidP="00BA1D1F" w:rsidRDefault="00BA1D1F" w14:paraId="35AA2CAB" w14:textId="080587E3">
      <w:pPr>
        <w:pStyle w:val="BodyText"/>
        <w:jc w:val="both"/>
        <w:rPr>
          <w:color w:val="auto"/>
        </w:rPr>
      </w:pPr>
      <w:r>
        <w:rPr>
          <w:rFonts w:cs="Arial"/>
          <w:color w:val="auto"/>
        </w:rPr>
        <w:t>NICE</w:t>
      </w:r>
      <w:r w:rsidR="00FE38AA">
        <w:rPr>
          <w:rFonts w:cs="Arial"/>
          <w:color w:val="auto"/>
        </w:rPr>
        <w:t xml:space="preserve"> </w:t>
      </w:r>
      <w:r>
        <w:rPr>
          <w:rFonts w:cs="Arial"/>
          <w:color w:val="auto"/>
        </w:rPr>
        <w:t>explains its approach to th</w:t>
      </w:r>
      <w:r w:rsidR="00691B06">
        <w:rPr>
          <w:rFonts w:cs="Arial"/>
          <w:color w:val="auto"/>
        </w:rPr>
        <w:t>e</w:t>
      </w:r>
      <w:r w:rsidR="001755E5">
        <w:rPr>
          <w:rFonts w:cs="Arial"/>
          <w:color w:val="auto"/>
        </w:rPr>
        <w:t xml:space="preserve"> company and NHS England's</w:t>
      </w:r>
      <w:r>
        <w:rPr>
          <w:rFonts w:cs="Arial"/>
          <w:color w:val="auto"/>
        </w:rPr>
        <w:t xml:space="preserve"> evidence at 4.4</w:t>
      </w:r>
      <w:r w:rsidR="0070244C">
        <w:rPr>
          <w:rFonts w:cs="Arial"/>
          <w:color w:val="auto"/>
        </w:rPr>
        <w:t>-4.5</w:t>
      </w:r>
      <w:r>
        <w:rPr>
          <w:rFonts w:cs="Arial"/>
          <w:color w:val="auto"/>
        </w:rPr>
        <w:t xml:space="preserve"> of the FDG. </w:t>
      </w:r>
    </w:p>
    <w:p w:rsidR="006F0DDE" w:rsidP="009B75D9" w:rsidRDefault="00771885" w14:paraId="5C67BE3C" w14:textId="20911B0B">
      <w:pPr>
        <w:pStyle w:val="BodyText"/>
        <w:jc w:val="both"/>
        <w:rPr>
          <w:rFonts w:cs="Arial"/>
          <w:color w:val="auto"/>
        </w:rPr>
      </w:pPr>
      <w:r>
        <w:rPr>
          <w:rFonts w:cs="Arial"/>
          <w:color w:val="auto"/>
        </w:rPr>
        <w:t>Whilst</w:t>
      </w:r>
      <w:r w:rsidR="00C12EBB">
        <w:rPr>
          <w:rFonts w:cs="Arial"/>
          <w:color w:val="auto"/>
        </w:rPr>
        <w:t xml:space="preserve"> I accept</w:t>
      </w:r>
      <w:r>
        <w:rPr>
          <w:rFonts w:cs="Arial"/>
          <w:color w:val="auto"/>
        </w:rPr>
        <w:t xml:space="preserve"> it may be possible that NHS England overestimated demand, y</w:t>
      </w:r>
      <w:r w:rsidR="008F4304">
        <w:rPr>
          <w:rFonts w:cs="Arial"/>
          <w:color w:val="auto"/>
        </w:rPr>
        <w:t>our appeal</w:t>
      </w:r>
      <w:r w:rsidRPr="00E109AE" w:rsidR="00835C81">
        <w:rPr>
          <w:rFonts w:cs="Arial"/>
          <w:color w:val="auto"/>
        </w:rPr>
        <w:t xml:space="preserve"> does not appear to </w:t>
      </w:r>
      <w:r w:rsidR="00AA2C35">
        <w:rPr>
          <w:rFonts w:cs="Arial"/>
          <w:color w:val="auto"/>
        </w:rPr>
        <w:t>arg</w:t>
      </w:r>
      <w:r w:rsidR="006F6F0C">
        <w:rPr>
          <w:rFonts w:cs="Arial"/>
          <w:color w:val="auto"/>
        </w:rPr>
        <w:t>ue that</w:t>
      </w:r>
      <w:r w:rsidR="004E7AB6">
        <w:rPr>
          <w:rFonts w:cs="Arial"/>
          <w:color w:val="auto"/>
        </w:rPr>
        <w:t xml:space="preserve"> NICE's </w:t>
      </w:r>
      <w:r w:rsidR="004248F3">
        <w:rPr>
          <w:rFonts w:cs="Arial"/>
          <w:color w:val="auto"/>
        </w:rPr>
        <w:t xml:space="preserve">approach </w:t>
      </w:r>
      <w:r>
        <w:rPr>
          <w:rFonts w:cs="Arial"/>
          <w:color w:val="auto"/>
        </w:rPr>
        <w:t xml:space="preserve">or its decision </w:t>
      </w:r>
      <w:r w:rsidR="00820B45">
        <w:rPr>
          <w:rFonts w:cs="Arial"/>
          <w:color w:val="auto"/>
        </w:rPr>
        <w:t>as set out in the FDG</w:t>
      </w:r>
      <w:r w:rsidR="004E7AB6">
        <w:rPr>
          <w:rFonts w:cs="Arial"/>
          <w:color w:val="auto"/>
        </w:rPr>
        <w:t xml:space="preserve"> was unreasonable in light of </w:t>
      </w:r>
      <w:r w:rsidR="00D75D9F">
        <w:rPr>
          <w:rFonts w:cs="Arial"/>
          <w:color w:val="auto"/>
        </w:rPr>
        <w:t>the totality of the</w:t>
      </w:r>
      <w:r w:rsidR="00AA2C35">
        <w:rPr>
          <w:rFonts w:cs="Arial"/>
          <w:color w:val="auto"/>
        </w:rPr>
        <w:t xml:space="preserve"> evidence </w:t>
      </w:r>
      <w:r w:rsidR="004E7AB6">
        <w:rPr>
          <w:rFonts w:cs="Arial"/>
          <w:color w:val="auto"/>
        </w:rPr>
        <w:t>put to</w:t>
      </w:r>
      <w:r w:rsidR="00AA2C35">
        <w:rPr>
          <w:rFonts w:cs="Arial"/>
          <w:color w:val="auto"/>
        </w:rPr>
        <w:t xml:space="preserve"> NICE</w:t>
      </w:r>
      <w:r w:rsidR="00771C10">
        <w:rPr>
          <w:rFonts w:cs="Arial"/>
          <w:color w:val="auto"/>
        </w:rPr>
        <w:t xml:space="preserve">. </w:t>
      </w:r>
      <w:r w:rsidR="00D44767">
        <w:rPr>
          <w:rFonts w:cs="Arial"/>
          <w:color w:val="auto"/>
        </w:rPr>
        <w:t xml:space="preserve">I can therefore see no arguable </w:t>
      </w:r>
      <w:r w:rsidR="00C11897">
        <w:rPr>
          <w:rFonts w:cs="Arial"/>
          <w:color w:val="auto"/>
        </w:rPr>
        <w:t>ground 2 appeal point here</w:t>
      </w:r>
      <w:r w:rsidR="00D44767">
        <w:rPr>
          <w:rFonts w:cs="Arial"/>
          <w:color w:val="auto"/>
        </w:rPr>
        <w:t>.</w:t>
      </w:r>
    </w:p>
    <w:p w:rsidRPr="00CA051F" w:rsidR="002D6055" w:rsidP="002D6055" w:rsidRDefault="002D6055" w14:paraId="2C9D18F0" w14:textId="3CE7FE58">
      <w:pPr>
        <w:pStyle w:val="Paragraph"/>
        <w:numPr>
          <w:ilvl w:val="0"/>
          <w:numId w:val="0"/>
        </w:numPr>
        <w:jc w:val="both"/>
        <w:rPr>
          <w:rFonts w:cs="Arial"/>
          <w:b/>
          <w:u w:val="single"/>
        </w:rPr>
      </w:pPr>
      <w:r w:rsidRPr="009B75D9">
        <w:rPr>
          <w:rFonts w:cs="Arial"/>
          <w:b/>
          <w:sz w:val="20"/>
          <w:szCs w:val="20"/>
          <w:u w:val="single"/>
        </w:rPr>
        <w:t xml:space="preserve">Appeal point 2.4: </w:t>
      </w:r>
      <w:r w:rsidRPr="009B75D9" w:rsidR="0038639F">
        <w:rPr>
          <w:rFonts w:cs="Arial"/>
          <w:b/>
          <w:sz w:val="20"/>
          <w:szCs w:val="20"/>
          <w:u w:val="single"/>
        </w:rPr>
        <w:t xml:space="preserve">Failure of NICE and NHSE to compare the overall NHS resource implications </w:t>
      </w:r>
      <w:r w:rsidRPr="00CA051F" w:rsidR="0038639F">
        <w:rPr>
          <w:rFonts w:cs="Arial"/>
          <w:b/>
          <w:sz w:val="20"/>
          <w:szCs w:val="20"/>
          <w:u w:val="single"/>
        </w:rPr>
        <w:t>of delaying the roll out of Nirmatrelvir plus ritonavir for the heart failure population</w:t>
      </w:r>
    </w:p>
    <w:p w:rsidRPr="002A1BBE" w:rsidR="002B49D6" w:rsidP="002D6055" w:rsidRDefault="002D6055" w14:paraId="71F612D3" w14:textId="5A42AC67">
      <w:pPr>
        <w:pStyle w:val="BodyText"/>
        <w:jc w:val="both"/>
        <w:rPr>
          <w:rFonts w:cs="Arial"/>
          <w:color w:val="auto"/>
        </w:rPr>
      </w:pPr>
      <w:r w:rsidRPr="00CA051F">
        <w:rPr>
          <w:rFonts w:cs="Arial"/>
          <w:color w:val="auto"/>
        </w:rPr>
        <w:t>I am</w:t>
      </w:r>
      <w:r w:rsidRPr="00CA051F" w:rsidR="00CA051F">
        <w:rPr>
          <w:rFonts w:cs="Arial"/>
          <w:color w:val="auto"/>
        </w:rPr>
        <w:t xml:space="preserve"> not</w:t>
      </w:r>
      <w:r w:rsidRPr="00CA051F">
        <w:rPr>
          <w:rFonts w:cs="Arial"/>
          <w:color w:val="auto"/>
        </w:rPr>
        <w:t xml:space="preserve"> minded to refer this appeal point to the Appeal Panel.</w:t>
      </w:r>
      <w:r w:rsidR="00CA051F">
        <w:rPr>
          <w:rFonts w:cs="Arial"/>
          <w:color w:val="auto"/>
        </w:rPr>
        <w:t xml:space="preserve"> </w:t>
      </w:r>
    </w:p>
    <w:p w:rsidRPr="002A1BBE" w:rsidR="00CA051F" w:rsidP="002D6055" w:rsidRDefault="00CA051F" w14:paraId="5485F24F" w14:textId="030D0545">
      <w:pPr>
        <w:pStyle w:val="BodyText"/>
        <w:jc w:val="both"/>
        <w:rPr>
          <w:rFonts w:cs="Arial"/>
          <w:color w:val="auto"/>
        </w:rPr>
      </w:pPr>
      <w:r w:rsidRPr="002A1BBE">
        <w:rPr>
          <w:rFonts w:cs="Arial"/>
          <w:color w:val="auto"/>
        </w:rPr>
        <w:t>I note you "consider it unreasonable that NHSE have not modelled the risk / benefit analysis and overall resource implications of delaying access to Nirmatrelvir plus ritonavir for the heart failure population"</w:t>
      </w:r>
      <w:r w:rsidRPr="002A1BBE" w:rsidR="00752278">
        <w:rPr>
          <w:rFonts w:cs="Arial"/>
          <w:color w:val="auto"/>
        </w:rPr>
        <w:t xml:space="preserve"> and you "</w:t>
      </w:r>
      <w:r w:rsidRPr="002A1BBE">
        <w:rPr>
          <w:rFonts w:cs="Arial"/>
          <w:color w:val="auto"/>
        </w:rPr>
        <w:t>believe that NICE should request this information from NHSE and appraise it before approving a 12-month delay for heart failure patients to access this treatment for Covid 19</w:t>
      </w:r>
      <w:r w:rsidRPr="002A1BBE" w:rsidR="00752278">
        <w:rPr>
          <w:rFonts w:cs="Arial"/>
          <w:color w:val="auto"/>
        </w:rPr>
        <w:t>".</w:t>
      </w:r>
    </w:p>
    <w:p w:rsidR="00BC0C5B" w:rsidP="002D6055" w:rsidRDefault="00AD28ED" w14:paraId="01F92F37" w14:textId="0D668E66">
      <w:pPr>
        <w:pStyle w:val="BodyText"/>
        <w:jc w:val="both"/>
        <w:rPr>
          <w:rFonts w:cs="Arial"/>
          <w:color w:val="auto"/>
        </w:rPr>
      </w:pPr>
      <w:r w:rsidRPr="002A1BBE">
        <w:rPr>
          <w:rFonts w:cs="Arial"/>
          <w:color w:val="auto"/>
        </w:rPr>
        <w:t xml:space="preserve">I understand </w:t>
      </w:r>
      <w:r w:rsidRPr="002A1BBE" w:rsidR="00752278">
        <w:rPr>
          <w:rFonts w:cs="Arial"/>
          <w:color w:val="auto"/>
        </w:rPr>
        <w:t>your point to be</w:t>
      </w:r>
      <w:r w:rsidRPr="002A1BBE" w:rsidR="001F2469">
        <w:rPr>
          <w:rFonts w:cs="Arial"/>
          <w:color w:val="auto"/>
        </w:rPr>
        <w:t xml:space="preserve"> that </w:t>
      </w:r>
      <w:r w:rsidRPr="002A1BBE">
        <w:rPr>
          <w:rFonts w:cs="Arial"/>
          <w:color w:val="auto"/>
        </w:rPr>
        <w:t>the decision to</w:t>
      </w:r>
      <w:r w:rsidRPr="002A1BBE" w:rsidR="001F2469">
        <w:rPr>
          <w:rFonts w:cs="Arial"/>
          <w:color w:val="auto"/>
        </w:rPr>
        <w:t xml:space="preserve"> delay</w:t>
      </w:r>
      <w:r w:rsidRPr="002A1BBE">
        <w:rPr>
          <w:rFonts w:cs="Arial"/>
          <w:color w:val="auto"/>
        </w:rPr>
        <w:t xml:space="preserve"> </w:t>
      </w:r>
      <w:r w:rsidRPr="002A1BBE" w:rsidR="00401A31">
        <w:rPr>
          <w:rFonts w:cs="Arial"/>
          <w:color w:val="auto"/>
        </w:rPr>
        <w:t xml:space="preserve">roll out to the wider </w:t>
      </w:r>
      <w:r w:rsidRPr="002A1BBE" w:rsidR="001F2469">
        <w:rPr>
          <w:rFonts w:cs="Arial"/>
          <w:color w:val="auto"/>
        </w:rPr>
        <w:t xml:space="preserve">heart failure population is unreasonable </w:t>
      </w:r>
      <w:r w:rsidRPr="002A1BBE" w:rsidR="00752278">
        <w:rPr>
          <w:rFonts w:cs="Arial"/>
          <w:color w:val="auto"/>
        </w:rPr>
        <w:t>because</w:t>
      </w:r>
      <w:r w:rsidRPr="002A1BBE" w:rsidR="001F2469">
        <w:rPr>
          <w:rFonts w:cs="Arial"/>
          <w:color w:val="auto"/>
        </w:rPr>
        <w:t xml:space="preserve"> NICE did not </w:t>
      </w:r>
      <w:r w:rsidR="00511067">
        <w:rPr>
          <w:rFonts w:cs="Arial"/>
          <w:color w:val="auto"/>
        </w:rPr>
        <w:t>go behind NHS England's submission</w:t>
      </w:r>
      <w:r w:rsidR="00610AC7">
        <w:rPr>
          <w:rFonts w:cs="Arial"/>
          <w:color w:val="auto"/>
        </w:rPr>
        <w:t xml:space="preserve"> that </w:t>
      </w:r>
      <w:r w:rsidRPr="002A1BBE" w:rsidR="00610AC7">
        <w:rPr>
          <w:rFonts w:cs="Arial"/>
          <w:color w:val="auto"/>
        </w:rPr>
        <w:t xml:space="preserve">Nirmatrelvir plus ritonavir </w:t>
      </w:r>
      <w:r w:rsidR="00610AC7">
        <w:rPr>
          <w:rFonts w:cs="Arial"/>
          <w:color w:val="auto"/>
        </w:rPr>
        <w:t xml:space="preserve">cannot be appropriately administered until resources are in place (and the groups to which access can be expanded sooner) </w:t>
      </w:r>
      <w:r w:rsidR="00511067">
        <w:rPr>
          <w:rFonts w:cs="Arial"/>
          <w:color w:val="auto"/>
        </w:rPr>
        <w:t xml:space="preserve">and carry out its own costs resource modelling </w:t>
      </w:r>
      <w:r w:rsidR="00C804AD">
        <w:rPr>
          <w:rFonts w:cs="Arial"/>
          <w:color w:val="auto"/>
        </w:rPr>
        <w:t xml:space="preserve">and sensitivity analysis </w:t>
      </w:r>
      <w:r w:rsidR="00511067">
        <w:rPr>
          <w:rFonts w:cs="Arial"/>
          <w:color w:val="auto"/>
        </w:rPr>
        <w:t>for each eligible patient group (per 1.1 of the FDG)</w:t>
      </w:r>
      <w:r w:rsidR="00BD58AA">
        <w:rPr>
          <w:rFonts w:cs="Arial"/>
          <w:color w:val="auto"/>
        </w:rPr>
        <w:t xml:space="preserve">. </w:t>
      </w:r>
    </w:p>
    <w:p w:rsidR="00636BB3" w:rsidP="002D6055" w:rsidRDefault="00EE3BD6" w14:paraId="3427240C" w14:textId="40DF6DC5">
      <w:pPr>
        <w:pStyle w:val="BodyText"/>
        <w:jc w:val="both"/>
        <w:rPr>
          <w:rFonts w:cs="Arial"/>
          <w:color w:val="auto"/>
        </w:rPr>
      </w:pPr>
      <w:r>
        <w:rPr>
          <w:rFonts w:cs="Arial"/>
          <w:color w:val="auto"/>
        </w:rPr>
        <w:t xml:space="preserve">I note </w:t>
      </w:r>
      <w:r w:rsidR="00E76B35">
        <w:rPr>
          <w:rFonts w:cs="Arial"/>
          <w:color w:val="auto"/>
        </w:rPr>
        <w:t>that cost savings were</w:t>
      </w:r>
      <w:r>
        <w:rPr>
          <w:rFonts w:cs="Arial"/>
          <w:color w:val="auto"/>
        </w:rPr>
        <w:t xml:space="preserve"> raised by the company in consultation (page 21 of the Committee papers)</w:t>
      </w:r>
      <w:r w:rsidR="00ED4AB4">
        <w:rPr>
          <w:rFonts w:cs="Arial"/>
          <w:color w:val="auto"/>
        </w:rPr>
        <w:t>. However</w:t>
      </w:r>
      <w:r w:rsidR="00E76B35">
        <w:rPr>
          <w:rFonts w:cs="Arial"/>
          <w:color w:val="auto"/>
        </w:rPr>
        <w:t xml:space="preserve"> </w:t>
      </w:r>
      <w:r w:rsidR="003B27BA">
        <w:rPr>
          <w:rFonts w:cs="Arial"/>
          <w:color w:val="auto"/>
        </w:rPr>
        <w:t xml:space="preserve">no evidence appears to have been submitted by any consultee regarding heart failure patients. </w:t>
      </w:r>
      <w:r w:rsidR="00CF3994">
        <w:rPr>
          <w:rFonts w:cs="Arial"/>
          <w:color w:val="auto"/>
        </w:rPr>
        <w:t>As yo</w:t>
      </w:r>
      <w:r w:rsidR="00443200">
        <w:rPr>
          <w:rFonts w:cs="Arial"/>
          <w:color w:val="auto"/>
        </w:rPr>
        <w:t>ur</w:t>
      </w:r>
      <w:r w:rsidR="004E163C">
        <w:rPr>
          <w:rFonts w:cs="Arial"/>
          <w:color w:val="auto"/>
        </w:rPr>
        <w:t xml:space="preserve"> appeal </w:t>
      </w:r>
      <w:r w:rsidR="00E536FF">
        <w:rPr>
          <w:rFonts w:cs="Arial"/>
          <w:color w:val="auto"/>
        </w:rPr>
        <w:t>identifies</w:t>
      </w:r>
      <w:r w:rsidR="00E739FB">
        <w:rPr>
          <w:rFonts w:cs="Arial"/>
          <w:color w:val="auto"/>
        </w:rPr>
        <w:t xml:space="preserve"> no </w:t>
      </w:r>
      <w:r w:rsidR="00CF59A7">
        <w:rPr>
          <w:rFonts w:cs="Arial"/>
          <w:color w:val="auto"/>
        </w:rPr>
        <w:t>evidence</w:t>
      </w:r>
      <w:r w:rsidR="00E026FB">
        <w:rPr>
          <w:rFonts w:cs="Arial"/>
          <w:color w:val="auto"/>
        </w:rPr>
        <w:t xml:space="preserve"> that was</w:t>
      </w:r>
      <w:r w:rsidR="00CF59A7">
        <w:rPr>
          <w:rFonts w:cs="Arial"/>
          <w:color w:val="auto"/>
        </w:rPr>
        <w:t xml:space="preserve"> put to NICE </w:t>
      </w:r>
      <w:r w:rsidR="00E026FB">
        <w:rPr>
          <w:rFonts w:cs="Arial"/>
          <w:color w:val="auto"/>
        </w:rPr>
        <w:t xml:space="preserve">that arguably renders </w:t>
      </w:r>
      <w:r w:rsidR="00285343">
        <w:rPr>
          <w:rFonts w:cs="Arial"/>
          <w:color w:val="auto"/>
        </w:rPr>
        <w:t>NICE's</w:t>
      </w:r>
      <w:r w:rsidR="00E026FB">
        <w:rPr>
          <w:rFonts w:cs="Arial"/>
          <w:color w:val="auto"/>
        </w:rPr>
        <w:t xml:space="preserve"> </w:t>
      </w:r>
      <w:r w:rsidR="00F82F70">
        <w:rPr>
          <w:rFonts w:cs="Arial"/>
          <w:color w:val="auto"/>
        </w:rPr>
        <w:t xml:space="preserve">reliance on </w:t>
      </w:r>
      <w:r w:rsidR="00E026FB">
        <w:rPr>
          <w:rFonts w:cs="Arial"/>
          <w:color w:val="auto"/>
        </w:rPr>
        <w:t>NHS England</w:t>
      </w:r>
      <w:r w:rsidR="004E163C">
        <w:rPr>
          <w:rFonts w:cs="Arial"/>
          <w:color w:val="auto"/>
        </w:rPr>
        <w:t>'s submissions unreasonable</w:t>
      </w:r>
      <w:r w:rsidR="00CF3994">
        <w:rPr>
          <w:rFonts w:cs="Arial"/>
          <w:color w:val="auto"/>
        </w:rPr>
        <w:t>,</w:t>
      </w:r>
      <w:r w:rsidR="0091693A">
        <w:rPr>
          <w:rFonts w:cs="Arial"/>
          <w:color w:val="auto"/>
        </w:rPr>
        <w:t xml:space="preserve"> </w:t>
      </w:r>
      <w:r w:rsidR="004E163C">
        <w:rPr>
          <w:rFonts w:cs="Arial"/>
          <w:color w:val="auto"/>
        </w:rPr>
        <w:t xml:space="preserve">I see no arguable </w:t>
      </w:r>
      <w:r w:rsidR="0091693A">
        <w:rPr>
          <w:rFonts w:cs="Arial"/>
          <w:color w:val="auto"/>
        </w:rPr>
        <w:t xml:space="preserve">ground 2 </w:t>
      </w:r>
      <w:r w:rsidR="004E163C">
        <w:rPr>
          <w:rFonts w:cs="Arial"/>
          <w:color w:val="auto"/>
        </w:rPr>
        <w:t xml:space="preserve">appeal point here.  </w:t>
      </w:r>
      <w:r w:rsidR="00CF59A7">
        <w:rPr>
          <w:rFonts w:cs="Arial"/>
          <w:color w:val="auto"/>
        </w:rPr>
        <w:t xml:space="preserve"> </w:t>
      </w:r>
    </w:p>
    <w:p w:rsidRPr="00B84019" w:rsidR="002D6055" w:rsidP="00F02A5F" w:rsidRDefault="002D6055" w14:paraId="2C03E57E" w14:textId="32E5EE95">
      <w:pPr>
        <w:pStyle w:val="BodyText"/>
        <w:jc w:val="both"/>
        <w:rPr>
          <w:rFonts w:cs="Arial"/>
          <w:b/>
          <w:u w:val="single"/>
        </w:rPr>
      </w:pPr>
      <w:r w:rsidRPr="00B84019">
        <w:rPr>
          <w:rFonts w:cs="Arial"/>
          <w:b/>
          <w:u w:val="single"/>
        </w:rPr>
        <w:t xml:space="preserve">Appeal point 2.5: </w:t>
      </w:r>
      <w:r w:rsidRPr="00B84019" w:rsidR="00424E81">
        <w:rPr>
          <w:rFonts w:cs="Arial"/>
          <w:b/>
          <w:u w:val="single"/>
        </w:rPr>
        <w:t>Lack of consideration by NICE and NHSE for alter</w:t>
      </w:r>
      <w:r w:rsidR="00AE353E">
        <w:rPr>
          <w:rFonts w:cs="Arial"/>
          <w:b/>
          <w:u w:val="single"/>
        </w:rPr>
        <w:t>n</w:t>
      </w:r>
      <w:r w:rsidRPr="00B84019" w:rsidR="00424E81">
        <w:rPr>
          <w:rFonts w:cs="Arial"/>
          <w:b/>
          <w:u w:val="single"/>
        </w:rPr>
        <w:t>ative variation period phasing</w:t>
      </w:r>
    </w:p>
    <w:p w:rsidR="006E5CD5" w:rsidP="006E5CD5" w:rsidRDefault="000F7FD4" w14:paraId="71862438" w14:textId="760E9CC1">
      <w:pPr>
        <w:pStyle w:val="BodyText"/>
        <w:jc w:val="both"/>
        <w:rPr>
          <w:rFonts w:cs="Arial"/>
          <w:color w:val="auto"/>
        </w:rPr>
      </w:pPr>
      <w:r w:rsidRPr="000F7FD4">
        <w:rPr>
          <w:rFonts w:cs="Arial"/>
          <w:color w:val="auto"/>
        </w:rPr>
        <w:t>I am not minded to refer this appeal point to the Appeal Panel</w:t>
      </w:r>
      <w:r w:rsidR="00BF0E19">
        <w:rPr>
          <w:rFonts w:cs="Arial"/>
          <w:color w:val="auto"/>
        </w:rPr>
        <w:t xml:space="preserve">. </w:t>
      </w:r>
    </w:p>
    <w:p w:rsidR="000A0AD6" w:rsidP="000F7FD4" w:rsidRDefault="00373682" w14:paraId="1742B970" w14:textId="51CD890C">
      <w:pPr>
        <w:pStyle w:val="BodyText"/>
        <w:jc w:val="both"/>
        <w:rPr>
          <w:rFonts w:cs="Arial"/>
          <w:color w:val="auto"/>
        </w:rPr>
      </w:pPr>
      <w:r>
        <w:rPr>
          <w:rFonts w:cs="Arial"/>
          <w:color w:val="auto"/>
        </w:rPr>
        <w:t xml:space="preserve">I </w:t>
      </w:r>
      <w:r w:rsidR="00BF0E19">
        <w:rPr>
          <w:rFonts w:cs="Arial"/>
          <w:color w:val="auto"/>
        </w:rPr>
        <w:t>understand</w:t>
      </w:r>
      <w:r>
        <w:rPr>
          <w:rFonts w:cs="Arial"/>
          <w:color w:val="auto"/>
        </w:rPr>
        <w:t xml:space="preserve"> you consider</w:t>
      </w:r>
      <w:r w:rsidRPr="00373682">
        <w:rPr>
          <w:rFonts w:cs="Arial"/>
          <w:color w:val="auto"/>
        </w:rPr>
        <w:t xml:space="preserve"> it </w:t>
      </w:r>
      <w:r>
        <w:rPr>
          <w:rFonts w:cs="Arial"/>
          <w:color w:val="auto"/>
        </w:rPr>
        <w:t>"u</w:t>
      </w:r>
      <w:r w:rsidRPr="00373682">
        <w:rPr>
          <w:rFonts w:cs="Arial"/>
          <w:color w:val="auto"/>
        </w:rPr>
        <w:t xml:space="preserve">nreasonable that NHSE have not proposed, and NICE have not requested a </w:t>
      </w:r>
      <w:r w:rsidRPr="00142CCD">
        <w:rPr>
          <w:rFonts w:cs="Arial"/>
          <w:color w:val="auto"/>
        </w:rPr>
        <w:t xml:space="preserve">more refined phased approach". </w:t>
      </w:r>
    </w:p>
    <w:p w:rsidR="00D75D9F" w:rsidP="00D75D9F" w:rsidRDefault="00BF0E19" w14:paraId="0817AFA4" w14:textId="22EC2B6F">
      <w:pPr>
        <w:pStyle w:val="BodyText"/>
        <w:jc w:val="both"/>
        <w:rPr>
          <w:rFonts w:cs="Arial"/>
          <w:color w:val="auto"/>
        </w:rPr>
      </w:pPr>
      <w:r>
        <w:rPr>
          <w:rFonts w:cs="Arial"/>
          <w:color w:val="auto"/>
        </w:rPr>
        <w:t xml:space="preserve">I'm mindful that </w:t>
      </w:r>
      <w:r w:rsidR="00D75D9F">
        <w:rPr>
          <w:rFonts w:cs="Arial"/>
          <w:color w:val="auto"/>
        </w:rPr>
        <w:t>NICE's Manual states that w</w:t>
      </w:r>
      <w:r w:rsidRPr="00D75D9F" w:rsidR="00D75D9F">
        <w:rPr>
          <w:rFonts w:cs="Arial"/>
          <w:color w:val="auto"/>
        </w:rPr>
        <w:t>hen requesting a variation to the funding requirement, NHS England should provide</w:t>
      </w:r>
      <w:r w:rsidR="00D75D9F">
        <w:rPr>
          <w:rFonts w:cs="Arial"/>
          <w:color w:val="auto"/>
        </w:rPr>
        <w:t xml:space="preserve"> </w:t>
      </w:r>
      <w:r w:rsidRPr="00D75D9F" w:rsidR="00D75D9F">
        <w:rPr>
          <w:rFonts w:cs="Arial"/>
          <w:color w:val="auto"/>
        </w:rPr>
        <w:t>the duration of, and the justification for, the proposed variation</w:t>
      </w:r>
      <w:r>
        <w:rPr>
          <w:rFonts w:cs="Arial"/>
          <w:color w:val="auto"/>
        </w:rPr>
        <w:t>, and that i</w:t>
      </w:r>
      <w:r w:rsidR="00D75D9F">
        <w:rPr>
          <w:rFonts w:cs="Arial"/>
          <w:color w:val="auto"/>
        </w:rPr>
        <w:t>t did so at section 5 of its request (page 3 of the Committee papers).</w:t>
      </w:r>
      <w:r>
        <w:rPr>
          <w:rFonts w:cs="Arial"/>
          <w:color w:val="auto"/>
        </w:rPr>
        <w:t xml:space="preserve"> Further, applications </w:t>
      </w:r>
      <w:r w:rsidRPr="00BF0E19">
        <w:rPr>
          <w:rFonts w:cs="Arial"/>
          <w:color w:val="auto"/>
        </w:rPr>
        <w:t>need to contain proposals for a phased allocation of funding</w:t>
      </w:r>
      <w:r>
        <w:rPr>
          <w:rFonts w:cs="Arial"/>
          <w:color w:val="auto"/>
        </w:rPr>
        <w:t xml:space="preserve">, which NHS England addressed at section 9 of its request and in its further submission to NICE (from page 39 of the Committee papers). </w:t>
      </w:r>
    </w:p>
    <w:p w:rsidR="00BF0E19" w:rsidP="000F7FD4" w:rsidRDefault="001E4DFA" w14:paraId="62BCB6AE" w14:textId="6FD9680A">
      <w:pPr>
        <w:pStyle w:val="BodyText"/>
        <w:jc w:val="both"/>
        <w:rPr>
          <w:rFonts w:cs="Arial"/>
          <w:color w:val="auto"/>
        </w:rPr>
      </w:pPr>
      <w:r w:rsidRPr="00142CCD">
        <w:rPr>
          <w:rFonts w:cs="Arial"/>
          <w:color w:val="auto"/>
        </w:rPr>
        <w:t xml:space="preserve">I note that </w:t>
      </w:r>
      <w:r w:rsidRPr="00142CCD" w:rsidR="00A2109E">
        <w:rPr>
          <w:rFonts w:cs="Arial"/>
          <w:color w:val="auto"/>
        </w:rPr>
        <w:t xml:space="preserve">the company </w:t>
      </w:r>
      <w:r w:rsidR="00BF0E19">
        <w:rPr>
          <w:rFonts w:cs="Arial"/>
          <w:color w:val="auto"/>
        </w:rPr>
        <w:t xml:space="preserve">commented on NHS England's position in consultation and </w:t>
      </w:r>
      <w:r w:rsidR="00CA6E61">
        <w:rPr>
          <w:rFonts w:cs="Arial"/>
          <w:color w:val="auto"/>
        </w:rPr>
        <w:t>raised</w:t>
      </w:r>
      <w:r w:rsidR="00FD37DC">
        <w:rPr>
          <w:rFonts w:cs="Arial"/>
          <w:color w:val="auto"/>
        </w:rPr>
        <w:t xml:space="preserve"> </w:t>
      </w:r>
      <w:r w:rsidR="00BF0E19">
        <w:rPr>
          <w:rFonts w:cs="Arial"/>
          <w:color w:val="auto"/>
        </w:rPr>
        <w:t xml:space="preserve">the issue of </w:t>
      </w:r>
      <w:r w:rsidR="00FD37DC">
        <w:rPr>
          <w:rFonts w:cs="Arial"/>
          <w:color w:val="auto"/>
        </w:rPr>
        <w:t>scalability (page 19 of the Committee papers)</w:t>
      </w:r>
      <w:r w:rsidR="00BF0E19">
        <w:rPr>
          <w:rFonts w:cs="Arial"/>
          <w:color w:val="auto"/>
        </w:rPr>
        <w:t xml:space="preserve">. </w:t>
      </w:r>
    </w:p>
    <w:p w:rsidRPr="00142CCD" w:rsidR="00142CCD" w:rsidP="000F7FD4" w:rsidRDefault="00E05B2B" w14:paraId="0201D9E7" w14:textId="0962EBAA">
      <w:pPr>
        <w:pStyle w:val="BodyText"/>
        <w:jc w:val="both"/>
        <w:rPr>
          <w:rFonts w:cs="Arial"/>
          <w:color w:val="auto"/>
        </w:rPr>
      </w:pPr>
      <w:r>
        <w:rPr>
          <w:rFonts w:cs="Arial"/>
          <w:color w:val="auto"/>
        </w:rPr>
        <w:lastRenderedPageBreak/>
        <w:t xml:space="preserve">Following consultation, NICE accepted NHS England's explanation that </w:t>
      </w:r>
      <w:r w:rsidRPr="00AF2B1B">
        <w:rPr>
          <w:rFonts w:cs="Arial"/>
          <w:color w:val="auto"/>
        </w:rPr>
        <w:t xml:space="preserve">Nirmatrelvir plus ritonavir </w:t>
      </w:r>
      <w:r>
        <w:rPr>
          <w:rFonts w:cs="Arial"/>
          <w:color w:val="auto"/>
        </w:rPr>
        <w:t>could not be appropriately administered under a more refined phased approach. Its</w:t>
      </w:r>
      <w:r w:rsidRPr="00142CCD" w:rsidR="00A2109E">
        <w:rPr>
          <w:rFonts w:cs="Arial"/>
          <w:color w:val="auto"/>
        </w:rPr>
        <w:t xml:space="preserve"> decision making </w:t>
      </w:r>
      <w:r>
        <w:rPr>
          <w:rFonts w:cs="Arial"/>
          <w:color w:val="auto"/>
        </w:rPr>
        <w:t xml:space="preserve">is explained </w:t>
      </w:r>
      <w:r w:rsidRPr="00142CCD" w:rsidR="00A2109E">
        <w:rPr>
          <w:rFonts w:cs="Arial"/>
          <w:color w:val="auto"/>
        </w:rPr>
        <w:t>at 4.5 of the FDG</w:t>
      </w:r>
      <w:r w:rsidRPr="00142CCD" w:rsidR="00142CCD">
        <w:rPr>
          <w:rFonts w:cs="Arial"/>
          <w:color w:val="auto"/>
        </w:rPr>
        <w:t>:</w:t>
      </w:r>
    </w:p>
    <w:p w:rsidRPr="00142CCD" w:rsidR="00142CCD" w:rsidP="00142CCD" w:rsidRDefault="00142CCD" w14:paraId="56AA9D01" w14:textId="1C4EC061">
      <w:pPr>
        <w:pStyle w:val="BodyText"/>
        <w:ind w:left="720"/>
        <w:jc w:val="both"/>
        <w:rPr>
          <w:rFonts w:cs="Arial"/>
          <w:color w:val="auto"/>
        </w:rPr>
      </w:pPr>
      <w:r w:rsidRPr="00142CCD">
        <w:rPr>
          <w:rFonts w:cs="Arial"/>
          <w:color w:val="auto"/>
        </w:rPr>
        <w:t>"</w:t>
      </w:r>
      <w:r w:rsidRPr="00142CCD">
        <w:rPr>
          <w:i/>
          <w:iCs/>
          <w:color w:val="auto"/>
        </w:rPr>
        <w:t>NICE put to NHS England the question raised in consultation of whether ICBs that did consider they could implement the full recommendations sooner than the end of the funding variation period would be able to do so. NHS England responded that it did not consider that an approach during the variation, which sees some areas providing access sooner than others, is equitable or practicable. Such an approach would mean access was based on where someone lives. This could lead to confusion for patients and clinicians and would likely lead to an avoidable increase in pressure on services. In addition, access to testing would not be available. In the short term, NHS England is extending the arrangements already in place for the highest risk cohort, but will need to introduce new models to allow access for the full population. This will take the time requested in the funding variation and cannot be done in a phased way. NICE accepts these explanations."</w:t>
      </w:r>
    </w:p>
    <w:p w:rsidRPr="00142CCD" w:rsidR="00BF0E19" w:rsidP="00BF0E19" w:rsidRDefault="00BF0E19" w14:paraId="7E131DDD" w14:textId="5D13B3BE">
      <w:pPr>
        <w:pStyle w:val="BodyText"/>
        <w:jc w:val="both"/>
        <w:rPr>
          <w:rFonts w:cs="Arial"/>
          <w:color w:val="auto"/>
        </w:rPr>
      </w:pPr>
      <w:r>
        <w:rPr>
          <w:rFonts w:cs="Arial"/>
          <w:color w:val="auto"/>
        </w:rPr>
        <w:t xml:space="preserve">As </w:t>
      </w:r>
      <w:r w:rsidR="00E05B2B">
        <w:rPr>
          <w:rFonts w:cs="Arial"/>
          <w:color w:val="auto"/>
        </w:rPr>
        <w:t xml:space="preserve">I </w:t>
      </w:r>
      <w:r>
        <w:rPr>
          <w:rFonts w:cs="Arial"/>
          <w:color w:val="auto"/>
        </w:rPr>
        <w:t>explained above,</w:t>
      </w:r>
      <w:r w:rsidRPr="00142CCD">
        <w:rPr>
          <w:rFonts w:cs="Arial"/>
          <w:color w:val="auto"/>
        </w:rPr>
        <w:t xml:space="preserve"> ground 2 allows appellants to argue that NICE's recommendations are unreasonable in light of the evidence. </w:t>
      </w:r>
    </w:p>
    <w:p w:rsidR="00602E47" w:rsidP="000F7FD4" w:rsidRDefault="00E05B2B" w14:paraId="54DA0AF6" w14:textId="6821B050">
      <w:pPr>
        <w:pStyle w:val="BodyText"/>
        <w:jc w:val="both"/>
        <w:rPr>
          <w:rFonts w:cs="Arial"/>
          <w:color w:val="auto"/>
        </w:rPr>
      </w:pPr>
      <w:r>
        <w:rPr>
          <w:rFonts w:cs="Arial"/>
          <w:color w:val="auto"/>
        </w:rPr>
        <w:t>It seems to me that your</w:t>
      </w:r>
      <w:r w:rsidR="00192A37">
        <w:rPr>
          <w:rFonts w:cs="Arial"/>
          <w:color w:val="auto"/>
        </w:rPr>
        <w:t xml:space="preserve"> appeal </w:t>
      </w:r>
      <w:r>
        <w:rPr>
          <w:rFonts w:cs="Arial"/>
          <w:color w:val="auto"/>
        </w:rPr>
        <w:t>does not identify</w:t>
      </w:r>
      <w:r w:rsidR="00192A37">
        <w:rPr>
          <w:rFonts w:cs="Arial"/>
          <w:color w:val="auto"/>
        </w:rPr>
        <w:t xml:space="preserve"> evidence that was put to NICE during consultation that </w:t>
      </w:r>
      <w:r w:rsidR="00D63B4F">
        <w:rPr>
          <w:rFonts w:cs="Arial"/>
          <w:color w:val="auto"/>
        </w:rPr>
        <w:t>might</w:t>
      </w:r>
      <w:r w:rsidR="00192A37">
        <w:rPr>
          <w:rFonts w:cs="Arial"/>
          <w:color w:val="auto"/>
        </w:rPr>
        <w:t xml:space="preserve"> </w:t>
      </w:r>
      <w:r>
        <w:rPr>
          <w:rFonts w:cs="Arial"/>
          <w:color w:val="auto"/>
        </w:rPr>
        <w:t xml:space="preserve">arguably </w:t>
      </w:r>
      <w:r w:rsidR="00192A37">
        <w:rPr>
          <w:rFonts w:cs="Arial"/>
          <w:color w:val="auto"/>
        </w:rPr>
        <w:t xml:space="preserve">render </w:t>
      </w:r>
      <w:r>
        <w:rPr>
          <w:rFonts w:cs="Arial"/>
          <w:color w:val="auto"/>
        </w:rPr>
        <w:t xml:space="preserve">its decision </w:t>
      </w:r>
      <w:r w:rsidR="00192A37">
        <w:rPr>
          <w:rFonts w:cs="Arial"/>
          <w:color w:val="auto"/>
        </w:rPr>
        <w:t>unreasonable</w:t>
      </w:r>
      <w:r w:rsidR="00D75D9F">
        <w:rPr>
          <w:rFonts w:cs="Arial"/>
          <w:color w:val="auto"/>
        </w:rPr>
        <w:t xml:space="preserve"> </w:t>
      </w:r>
      <w:r>
        <w:rPr>
          <w:rFonts w:cs="Arial"/>
          <w:color w:val="auto"/>
        </w:rPr>
        <w:t>or</w:t>
      </w:r>
      <w:r w:rsidR="00D75D9F">
        <w:rPr>
          <w:rFonts w:cs="Arial"/>
          <w:color w:val="auto"/>
        </w:rPr>
        <w:t xml:space="preserve"> elaborate on why in light of the evidence you consider it was unreasonable to support the proposed funding variation</w:t>
      </w:r>
      <w:r>
        <w:rPr>
          <w:rFonts w:cs="Arial"/>
          <w:color w:val="auto"/>
        </w:rPr>
        <w:t>.</w:t>
      </w:r>
      <w:r w:rsidR="00D63B4F">
        <w:rPr>
          <w:rFonts w:cs="Arial"/>
          <w:color w:val="auto"/>
        </w:rPr>
        <w:t xml:space="preserve"> </w:t>
      </w:r>
      <w:r>
        <w:rPr>
          <w:rFonts w:cs="Arial"/>
          <w:color w:val="auto"/>
        </w:rPr>
        <w:t xml:space="preserve">Therefore </w:t>
      </w:r>
      <w:r w:rsidR="00D63B4F">
        <w:rPr>
          <w:rFonts w:cs="Arial"/>
          <w:color w:val="auto"/>
        </w:rPr>
        <w:t>I</w:t>
      </w:r>
      <w:r w:rsidR="00D75D9F">
        <w:rPr>
          <w:rFonts w:cs="Arial"/>
          <w:color w:val="auto"/>
        </w:rPr>
        <w:t xml:space="preserve"> currently</w:t>
      </w:r>
      <w:r w:rsidR="00D63B4F">
        <w:rPr>
          <w:rFonts w:cs="Arial"/>
          <w:color w:val="auto"/>
        </w:rPr>
        <w:t xml:space="preserve"> </w:t>
      </w:r>
      <w:r w:rsidR="0063263F">
        <w:rPr>
          <w:rFonts w:cs="Arial"/>
          <w:color w:val="auto"/>
        </w:rPr>
        <w:t xml:space="preserve">see no arguable </w:t>
      </w:r>
      <w:r w:rsidR="002D18A5">
        <w:rPr>
          <w:rFonts w:cs="Arial"/>
          <w:color w:val="auto"/>
        </w:rPr>
        <w:t xml:space="preserve">ground 2 </w:t>
      </w:r>
      <w:r w:rsidR="0063263F">
        <w:rPr>
          <w:rFonts w:cs="Arial"/>
          <w:color w:val="auto"/>
        </w:rPr>
        <w:t>appeal point</w:t>
      </w:r>
      <w:r w:rsidR="00D63B4F">
        <w:rPr>
          <w:rFonts w:cs="Arial"/>
          <w:color w:val="auto"/>
        </w:rPr>
        <w:t xml:space="preserve"> here</w:t>
      </w:r>
      <w:r w:rsidR="00192A37">
        <w:rPr>
          <w:rFonts w:cs="Arial"/>
          <w:color w:val="auto"/>
        </w:rPr>
        <w:t xml:space="preserve">. </w:t>
      </w:r>
    </w:p>
    <w:p w:rsidRPr="00F4292A" w:rsidR="002D6055" w:rsidP="002D6055" w:rsidRDefault="002D6055" w14:paraId="1CFBE2BB" w14:textId="62F418A5">
      <w:pPr>
        <w:pStyle w:val="Paragraph"/>
        <w:numPr>
          <w:ilvl w:val="0"/>
          <w:numId w:val="0"/>
        </w:numPr>
        <w:jc w:val="both"/>
        <w:rPr>
          <w:rFonts w:cs="Arial"/>
          <w:b/>
          <w:u w:val="single"/>
        </w:rPr>
      </w:pPr>
      <w:r w:rsidRPr="00B84019">
        <w:rPr>
          <w:rFonts w:cs="Arial"/>
          <w:b/>
          <w:sz w:val="20"/>
          <w:szCs w:val="20"/>
          <w:u w:val="single"/>
        </w:rPr>
        <w:t xml:space="preserve">Appeal point 2.6: </w:t>
      </w:r>
      <w:r w:rsidRPr="00B84019" w:rsidR="00B84019">
        <w:rPr>
          <w:rFonts w:cs="Arial"/>
          <w:b/>
          <w:sz w:val="20"/>
          <w:szCs w:val="20"/>
          <w:u w:val="single"/>
        </w:rPr>
        <w:t xml:space="preserve">NICE and NHSE may not have considered all the evidence from professional </w:t>
      </w:r>
      <w:r w:rsidRPr="00F4292A" w:rsidR="00B84019">
        <w:rPr>
          <w:rFonts w:cs="Arial"/>
          <w:b/>
          <w:sz w:val="20"/>
          <w:szCs w:val="20"/>
          <w:u w:val="single"/>
        </w:rPr>
        <w:t>groups</w:t>
      </w:r>
    </w:p>
    <w:p w:rsidRPr="00F4292A" w:rsidR="000F7FD4" w:rsidP="000F7FD4" w:rsidRDefault="000F7FD4" w14:paraId="1DAF5FEF" w14:textId="5508B092">
      <w:pPr>
        <w:pStyle w:val="BodyText"/>
        <w:jc w:val="both"/>
        <w:rPr>
          <w:rFonts w:cs="Arial"/>
          <w:color w:val="auto"/>
        </w:rPr>
      </w:pPr>
      <w:r w:rsidRPr="00F4292A">
        <w:rPr>
          <w:rFonts w:cs="Arial"/>
          <w:color w:val="auto"/>
        </w:rPr>
        <w:t xml:space="preserve">I am not minded to refer this appeal point to the Appeal Panel. </w:t>
      </w:r>
    </w:p>
    <w:p w:rsidRPr="000F7FD4" w:rsidR="00B22228" w:rsidP="000F7FD4" w:rsidRDefault="001E0DB0" w14:paraId="411C4D9B" w14:textId="28A61B8D">
      <w:pPr>
        <w:pStyle w:val="BodyText"/>
        <w:jc w:val="both"/>
        <w:rPr>
          <w:rFonts w:cs="Arial"/>
          <w:color w:val="auto"/>
        </w:rPr>
      </w:pPr>
      <w:r>
        <w:rPr>
          <w:rFonts w:cs="Arial"/>
          <w:color w:val="auto"/>
        </w:rPr>
        <w:t xml:space="preserve">The British </w:t>
      </w:r>
      <w:r w:rsidRPr="004A5799" w:rsidR="004A5799">
        <w:rPr>
          <w:rFonts w:cs="Arial"/>
          <w:color w:val="auto"/>
        </w:rPr>
        <w:t>Society for Heart Failure</w:t>
      </w:r>
      <w:r w:rsidR="004A5799">
        <w:rPr>
          <w:rFonts w:cs="Arial"/>
          <w:color w:val="auto"/>
        </w:rPr>
        <w:t xml:space="preserve"> (BSHF) was a consultee and was given the opportunity to comment in NICE's consultation  on the funding variation decision. </w:t>
      </w:r>
      <w:r w:rsidR="00EE2DE9">
        <w:rPr>
          <w:rFonts w:cs="Arial"/>
          <w:color w:val="auto"/>
        </w:rPr>
        <w:t>I understand that it</w:t>
      </w:r>
      <w:r w:rsidR="00396221">
        <w:rPr>
          <w:rFonts w:cs="Arial"/>
          <w:color w:val="auto"/>
        </w:rPr>
        <w:t xml:space="preserve"> </w:t>
      </w:r>
      <w:r w:rsidR="00EE2DE9">
        <w:rPr>
          <w:rFonts w:cs="Arial"/>
          <w:color w:val="auto"/>
        </w:rPr>
        <w:t>sought to do so but did not successfully provide its comments to NICE within the consultation period.</w:t>
      </w:r>
      <w:r w:rsidR="00396221">
        <w:rPr>
          <w:rFonts w:cs="Arial"/>
          <w:color w:val="auto"/>
        </w:rPr>
        <w:t xml:space="preserve"> </w:t>
      </w:r>
      <w:r w:rsidR="00903819">
        <w:rPr>
          <w:rFonts w:cs="Arial"/>
          <w:color w:val="auto"/>
        </w:rPr>
        <w:t xml:space="preserve">I </w:t>
      </w:r>
      <w:r w:rsidR="00A9467A">
        <w:rPr>
          <w:rFonts w:cs="Arial"/>
          <w:color w:val="auto"/>
        </w:rPr>
        <w:t xml:space="preserve">do not consider it arguable that </w:t>
      </w:r>
      <w:r w:rsidR="00F4292A">
        <w:rPr>
          <w:rFonts w:cs="Arial"/>
          <w:color w:val="auto"/>
        </w:rPr>
        <w:t xml:space="preserve">proceeding in the absence of comments from BHSF in these circumstances could </w:t>
      </w:r>
      <w:r w:rsidR="00AF1D27">
        <w:rPr>
          <w:rFonts w:cs="Arial"/>
          <w:color w:val="auto"/>
        </w:rPr>
        <w:t xml:space="preserve">arguably </w:t>
      </w:r>
      <w:r w:rsidR="00F4292A">
        <w:rPr>
          <w:rFonts w:cs="Arial"/>
          <w:color w:val="auto"/>
        </w:rPr>
        <w:t>render NICE's decision unreasonable</w:t>
      </w:r>
      <w:r w:rsidR="00AF1D27">
        <w:rPr>
          <w:rFonts w:cs="Arial"/>
          <w:color w:val="auto"/>
        </w:rPr>
        <w:t xml:space="preserve"> under appeal ground 2</w:t>
      </w:r>
      <w:r w:rsidR="00F4292A">
        <w:rPr>
          <w:rFonts w:cs="Arial"/>
          <w:color w:val="auto"/>
        </w:rPr>
        <w:t xml:space="preserve"> </w:t>
      </w:r>
      <w:r w:rsidR="00AF1D27">
        <w:rPr>
          <w:rFonts w:cs="Arial"/>
          <w:color w:val="auto"/>
        </w:rPr>
        <w:t>(</w:t>
      </w:r>
      <w:r w:rsidR="00F4292A">
        <w:rPr>
          <w:rFonts w:cs="Arial"/>
          <w:color w:val="auto"/>
        </w:rPr>
        <w:t>or indeed procedurally unfair</w:t>
      </w:r>
      <w:r w:rsidR="00AF1D27">
        <w:rPr>
          <w:rFonts w:cs="Arial"/>
          <w:color w:val="auto"/>
        </w:rPr>
        <w:t xml:space="preserve"> under ground 1(a))</w:t>
      </w:r>
      <w:r w:rsidR="00F4292A">
        <w:rPr>
          <w:rFonts w:cs="Arial"/>
          <w:color w:val="auto"/>
        </w:rPr>
        <w:t xml:space="preserve">. </w:t>
      </w:r>
    </w:p>
    <w:p w:rsidRPr="00DD7697" w:rsidR="007E4EDC" w:rsidP="00623213" w:rsidRDefault="007E4EDC" w14:paraId="4AE6A487" w14:textId="6BDD7B15">
      <w:pPr>
        <w:pStyle w:val="Paragraph"/>
        <w:numPr>
          <w:ilvl w:val="0"/>
          <w:numId w:val="0"/>
        </w:numPr>
        <w:jc w:val="both"/>
        <w:rPr>
          <w:rFonts w:cs="Arial"/>
          <w:sz w:val="20"/>
          <w:szCs w:val="20"/>
          <w:u w:val="single"/>
          <w:lang w:eastAsia="en-US"/>
        </w:rPr>
      </w:pPr>
      <w:r w:rsidRPr="00DD7697">
        <w:rPr>
          <w:rFonts w:cs="Arial"/>
          <w:sz w:val="20"/>
          <w:szCs w:val="20"/>
          <w:u w:val="single"/>
          <w:lang w:eastAsia="en-US"/>
        </w:rPr>
        <w:t xml:space="preserve">Conclusion </w:t>
      </w:r>
    </w:p>
    <w:p w:rsidRPr="00DD7697" w:rsidR="009B75D9" w:rsidP="009B75D9" w:rsidRDefault="009B75D9" w14:paraId="25BA0B98" w14:textId="77777777">
      <w:pPr>
        <w:pStyle w:val="Paragraph"/>
        <w:numPr>
          <w:ilvl w:val="0"/>
          <w:numId w:val="0"/>
        </w:numPr>
        <w:spacing w:before="120"/>
        <w:jc w:val="both"/>
        <w:rPr>
          <w:rFonts w:cs="Arial"/>
          <w:sz w:val="20"/>
          <w:szCs w:val="20"/>
          <w:lang w:eastAsia="en-US"/>
        </w:rPr>
      </w:pPr>
      <w:r w:rsidRPr="00DD7697">
        <w:rPr>
          <w:rFonts w:cs="Arial"/>
          <w:sz w:val="20"/>
          <w:szCs w:val="20"/>
          <w:lang w:eastAsia="en-US"/>
        </w:rPr>
        <w:t>The above sets out above my initial views on all of your appeal points.</w:t>
      </w:r>
    </w:p>
    <w:p w:rsidRPr="00DD7697" w:rsidR="009B75D9" w:rsidP="009B75D9" w:rsidRDefault="009B75D9" w14:paraId="6D5B85E8" w14:textId="6F75D74F">
      <w:pPr>
        <w:pStyle w:val="Paragraph"/>
        <w:numPr>
          <w:ilvl w:val="0"/>
          <w:numId w:val="0"/>
        </w:numPr>
        <w:spacing w:before="120"/>
        <w:jc w:val="both"/>
        <w:rPr>
          <w:rFonts w:cs="Arial"/>
          <w:sz w:val="20"/>
          <w:szCs w:val="20"/>
          <w:lang w:eastAsia="en-US"/>
        </w:rPr>
      </w:pPr>
      <w:r w:rsidRPr="00DD7697">
        <w:rPr>
          <w:rFonts w:cs="Arial"/>
          <w:sz w:val="20"/>
          <w:szCs w:val="20"/>
          <w:lang w:eastAsia="en-US"/>
        </w:rPr>
        <w:t xml:space="preserve">In respect of your points which I am not minded to refer on you are entitled to submit further clarification and/or evidence to me within the next 10 working days, and I will then give a final decision on the points to put before an appeal panel.  </w:t>
      </w:r>
    </w:p>
    <w:p w:rsidRPr="00DD7697" w:rsidR="009B75D9" w:rsidP="009B75D9" w:rsidRDefault="009B75D9" w14:paraId="6B2CFE41" w14:textId="127F4AF6">
      <w:pPr>
        <w:pStyle w:val="Paragraph"/>
        <w:numPr>
          <w:ilvl w:val="0"/>
          <w:numId w:val="0"/>
        </w:numPr>
        <w:spacing w:before="120"/>
        <w:jc w:val="both"/>
        <w:rPr>
          <w:rFonts w:cs="Arial"/>
          <w:sz w:val="20"/>
          <w:szCs w:val="20"/>
        </w:rPr>
      </w:pPr>
      <w:r w:rsidRPr="00DD7697">
        <w:rPr>
          <w:rFonts w:cs="Arial"/>
          <w:sz w:val="20"/>
          <w:szCs w:val="20"/>
          <w:lang w:eastAsia="en-US"/>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w:t>
      </w:r>
      <w:r w:rsidRPr="00DD7697">
        <w:rPr>
          <w:rFonts w:cs="Arial"/>
          <w:sz w:val="20"/>
          <w:szCs w:val="20"/>
        </w:rPr>
        <w:t xml:space="preserve"> please ensure you have provided a version with this information redacted by </w:t>
      </w:r>
      <w:r w:rsidR="00BC7EA6">
        <w:rPr>
          <w:rFonts w:cs="Arial"/>
          <w:sz w:val="20"/>
          <w:szCs w:val="20"/>
        </w:rPr>
        <w:t>22 February 2024</w:t>
      </w:r>
      <w:r w:rsidRPr="00DD7697">
        <w:rPr>
          <w:rFonts w:cs="Arial"/>
          <w:sz w:val="20"/>
          <w:szCs w:val="20"/>
        </w:rPr>
        <w:t>.</w:t>
      </w:r>
    </w:p>
    <w:p w:rsidRPr="00DD7697" w:rsidR="009B75D9" w:rsidP="009B75D9" w:rsidRDefault="009B75D9" w14:paraId="3822EFE3" w14:textId="124026B2">
      <w:pPr>
        <w:pStyle w:val="Paragraph"/>
        <w:numPr>
          <w:ilvl w:val="0"/>
          <w:numId w:val="0"/>
        </w:numPr>
        <w:spacing w:before="120"/>
        <w:jc w:val="both"/>
        <w:rPr>
          <w:rFonts w:cs="Arial"/>
          <w:sz w:val="20"/>
          <w:szCs w:val="20"/>
        </w:rPr>
      </w:pPr>
      <w:r w:rsidRPr="00DD7697">
        <w:rPr>
          <w:rFonts w:cs="Arial"/>
          <w:sz w:val="20"/>
          <w:szCs w:val="20"/>
        </w:rPr>
        <w:t xml:space="preserve">Ordinarily appeals are conducted on the basis of the appellants’ written appeal letters, and the material generated during the appraisal process.  Use of additional written material is discouraged, and the panel </w:t>
      </w:r>
      <w:r w:rsidRPr="00DD7697">
        <w:rPr>
          <w:rFonts w:cs="Arial"/>
          <w:sz w:val="20"/>
          <w:szCs w:val="20"/>
        </w:rPr>
        <w:lastRenderedPageBreak/>
        <w:t>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w:t>
      </w:r>
      <w:r w:rsidR="00BC7EA6">
        <w:rPr>
          <w:rFonts w:cs="Arial"/>
          <w:sz w:val="20"/>
          <w:szCs w:val="20"/>
        </w:rPr>
        <w:t xml:space="preserve"> 16 February 2024</w:t>
      </w:r>
      <w:r w:rsidRPr="00DD7697">
        <w:rPr>
          <w:rFonts w:cs="Arial"/>
          <w:sz w:val="20"/>
          <w:szCs w:val="20"/>
        </w:rPr>
        <w:t>.  Please note that the appeal panel cannot accept papers that are tabled late or ad hoc, as this affects the preparation of the panel and other parties for the appeal.</w:t>
      </w:r>
    </w:p>
    <w:p w:rsidR="00C70019" w:rsidP="00413F89" w:rsidRDefault="00C70019" w14:paraId="6427A69D" w14:textId="21C02660">
      <w:pPr>
        <w:jc w:val="both"/>
        <w:rPr>
          <w:rFonts w:cs="Arial"/>
          <w:color w:val="auto"/>
        </w:rPr>
      </w:pPr>
      <w:r w:rsidRPr="57F1E20C" w:rsidR="00C70019">
        <w:rPr>
          <w:rFonts w:cs="Arial"/>
          <w:color w:val="auto"/>
        </w:rPr>
        <w:t>Yours sincerely</w:t>
      </w:r>
    </w:p>
    <w:p w:rsidRPr="00670D04" w:rsidR="00BC7EA6" w:rsidP="00BC7EA6" w:rsidRDefault="00BC7EA6" w14:paraId="7466CE2D" w14:textId="77777777">
      <w:pPr>
        <w:spacing w:before="120" w:after="240"/>
        <w:jc w:val="both"/>
        <w:rPr>
          <w:rFonts w:cs="Arial"/>
          <w:color w:val="0D0D0D" w:themeColor="text1" w:themeTint="F2"/>
        </w:rPr>
      </w:pPr>
      <w:r w:rsidRPr="00670D04">
        <w:rPr>
          <w:rFonts w:cs="Arial"/>
          <w:color w:val="0D0D0D" w:themeColor="text1" w:themeTint="F2"/>
        </w:rPr>
        <w:t>Dr Mark Chakravarty</w:t>
      </w:r>
    </w:p>
    <w:p w:rsidRPr="00670D04" w:rsidR="00BC7EA6" w:rsidP="00BC7EA6" w:rsidRDefault="00BC7EA6" w14:paraId="270080EC" w14:textId="77777777">
      <w:pPr>
        <w:spacing w:before="120" w:after="240"/>
        <w:jc w:val="both"/>
        <w:rPr>
          <w:rFonts w:cs="Arial"/>
          <w:color w:val="0D0D0D" w:themeColor="text1" w:themeTint="F2"/>
        </w:rPr>
      </w:pPr>
      <w:r w:rsidRPr="00670D04">
        <w:rPr>
          <w:rFonts w:cs="Arial"/>
          <w:color w:val="0D0D0D" w:themeColor="text1" w:themeTint="F2"/>
        </w:rPr>
        <w:t>Lead Non-Executive Director for Appeals &amp; Vice Chairman</w:t>
      </w:r>
    </w:p>
    <w:p w:rsidRPr="00670D04" w:rsidR="00BC7EA6" w:rsidP="00BC7EA6" w:rsidRDefault="00BC7EA6" w14:paraId="595E98DA" w14:textId="77777777">
      <w:pPr>
        <w:spacing w:before="120" w:after="240"/>
        <w:jc w:val="both"/>
        <w:rPr>
          <w:rFonts w:cs="Arial"/>
          <w:color w:val="0D0D0D" w:themeColor="text1" w:themeTint="F2"/>
        </w:rPr>
      </w:pPr>
      <w:r w:rsidRPr="00670D04">
        <w:rPr>
          <w:rFonts w:cs="Arial"/>
          <w:color w:val="0D0D0D" w:themeColor="text1" w:themeTint="F2"/>
        </w:rPr>
        <w:t>National Institute for Health and Care Excellence</w:t>
      </w:r>
    </w:p>
    <w:p w:rsidR="004A76D5" w:rsidP="00413F89" w:rsidRDefault="004A76D5" w14:paraId="72284BFF" w14:textId="22D2CF28">
      <w:pPr>
        <w:jc w:val="both"/>
        <w:rPr>
          <w:rFonts w:cs="Arial"/>
          <w:color w:val="auto"/>
        </w:rPr>
      </w:pPr>
    </w:p>
    <w:p w:rsidRPr="00DD7697" w:rsidR="002B21D4" w:rsidP="00413F89" w:rsidRDefault="002B21D4" w14:paraId="0C61E456" w14:textId="77777777">
      <w:pPr>
        <w:jc w:val="both"/>
        <w:rPr>
          <w:rFonts w:cs="Arial"/>
          <w:color w:val="auto"/>
        </w:rPr>
      </w:pPr>
    </w:p>
    <w:sectPr w:rsidRPr="00DD7697" w:rsidR="002B21D4" w:rsidSect="005D6702">
      <w:footerReference w:type="default" r:id="rId10"/>
      <w:headerReference w:type="first" r:id="rId11"/>
      <w:footerReference w:type="first" r:id="rId12"/>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6702" w:rsidRDefault="005D6702" w14:paraId="5A8480CC" w14:textId="77777777">
      <w:r>
        <w:separator/>
      </w:r>
    </w:p>
  </w:endnote>
  <w:endnote w:type="continuationSeparator" w:id="0">
    <w:p w:rsidR="005D6702" w:rsidRDefault="005D6702" w14:paraId="54808B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6702" w:rsidRDefault="005D6702" w14:paraId="07761353" w14:textId="77777777">
      <w:r>
        <w:separator/>
      </w:r>
    </w:p>
  </w:footnote>
  <w:footnote w:type="continuationSeparator" w:id="0">
    <w:p w:rsidR="005D6702" w:rsidRDefault="005D6702" w14:paraId="60FE4DA3" w14:textId="77777777">
      <w:r>
        <w:continuationSeparator/>
      </w:r>
    </w:p>
  </w:footnote>
  <w:footnote w:id="1">
    <w:p w:rsidRPr="00061006" w:rsidR="00BA4D04" w:rsidP="00BA4D04" w:rsidRDefault="00BA4D04" w14:paraId="2DDFA2A5" w14:textId="77777777">
      <w:pPr>
        <w:pStyle w:val="FootnoteText"/>
        <w:rPr>
          <w:color w:val="auto"/>
          <w:sz w:val="16"/>
          <w:szCs w:val="16"/>
        </w:rPr>
      </w:pPr>
      <w:r w:rsidRPr="00061006">
        <w:rPr>
          <w:rStyle w:val="FootnoteReference"/>
          <w:sz w:val="16"/>
          <w:szCs w:val="16"/>
        </w:rPr>
        <w:footnoteRef/>
      </w:r>
      <w:r w:rsidRPr="00061006">
        <w:rPr>
          <w:sz w:val="16"/>
          <w:szCs w:val="16"/>
        </w:rPr>
        <w:t xml:space="preserve"> </w:t>
      </w:r>
      <w:r w:rsidRPr="00061006">
        <w:rPr>
          <w:rFonts w:cs="Arial"/>
          <w:color w:val="auto"/>
          <w:sz w:val="16"/>
          <w:szCs w:val="16"/>
        </w:rPr>
        <w:t xml:space="preserve">Regulation 7(2)-(5) of the </w:t>
      </w:r>
      <w:hyperlink w:history="1" r:id="rId1">
        <w:r w:rsidRPr="00061006">
          <w:rPr>
            <w:rStyle w:val="Hyperlink"/>
            <w:rFonts w:cs="Arial"/>
            <w:color w:val="auto"/>
            <w:sz w:val="16"/>
            <w:szCs w:val="16"/>
          </w:rPr>
          <w:t>National Institute for Health and Care Excellence (Constitution and Functions) and the Health and Social Care Information Centre (Functions) Regulations 2013</w:t>
        </w:r>
      </w:hyperlink>
      <w:r w:rsidRPr="00061006">
        <w:rPr>
          <w:rFonts w:cs="Arial"/>
          <w:color w:val="auto"/>
          <w:sz w:val="16"/>
          <w:szCs w:val="16"/>
        </w:rPr>
        <w:t xml:space="preserve"> (the ‘2013 Regulations’)</w:t>
      </w:r>
    </w:p>
  </w:footnote>
  <w:footnote w:id="2">
    <w:p w:rsidRPr="00061006" w:rsidR="00BA4D04" w:rsidRDefault="00BA4D04" w14:paraId="4C9AA8D8" w14:textId="3AB86CFA">
      <w:pPr>
        <w:pStyle w:val="FootnoteText"/>
        <w:rPr>
          <w:color w:val="auto"/>
          <w:sz w:val="16"/>
          <w:szCs w:val="16"/>
        </w:rPr>
      </w:pPr>
      <w:r w:rsidRPr="00061006">
        <w:rPr>
          <w:rStyle w:val="FootnoteReference"/>
          <w:color w:val="auto"/>
          <w:sz w:val="16"/>
          <w:szCs w:val="16"/>
        </w:rPr>
        <w:footnoteRef/>
      </w:r>
      <w:r w:rsidRPr="00061006">
        <w:rPr>
          <w:color w:val="auto"/>
          <w:sz w:val="16"/>
          <w:szCs w:val="16"/>
        </w:rPr>
        <w:t xml:space="preserve"> </w:t>
      </w:r>
      <w:hyperlink w:history="1" w:anchor="varying-the-funding-requirement-to-take-account-of-net-budget-impact-technology-appraisals-and" r:id="rId2">
        <w:r w:rsidRPr="00061006">
          <w:rPr>
            <w:rStyle w:val="Hyperlink"/>
            <w:color w:val="auto"/>
            <w:sz w:val="16"/>
            <w:szCs w:val="16"/>
          </w:rPr>
          <w:t>https://www.nice.org.uk/process/pmg36/chapter/developing-the-guidance#varying-the-funding-requirement-to-take-account-of-net-budget-impact-technology-appraisals-and</w:t>
        </w:r>
      </w:hyperlink>
      <w:r w:rsidRPr="00061006">
        <w:rPr>
          <w:color w:val="auto"/>
          <w:sz w:val="16"/>
          <w:szCs w:val="16"/>
        </w:rPr>
        <w:t xml:space="preserve">  See p</w:t>
      </w:r>
      <w:r w:rsidRPr="00061006">
        <w:rPr>
          <w:rFonts w:cs="Arial"/>
          <w:color w:val="auto"/>
          <w:sz w:val="16"/>
          <w:szCs w:val="16"/>
        </w:rPr>
        <w:t xml:space="preserve">aragraph 5.10 and in particular </w:t>
      </w:r>
      <w:r w:rsidR="00A6580D">
        <w:rPr>
          <w:rFonts w:cs="Arial"/>
          <w:color w:val="auto"/>
          <w:sz w:val="16"/>
          <w:szCs w:val="16"/>
        </w:rPr>
        <w:t xml:space="preserve">5.10.2 and </w:t>
      </w:r>
      <w:r w:rsidRPr="00061006">
        <w:rPr>
          <w:rFonts w:cs="Arial"/>
          <w:color w:val="auto"/>
          <w:sz w:val="16"/>
          <w:szCs w:val="16"/>
        </w:rPr>
        <w:t xml:space="preserve">5.10.25-5.10.34 on how NICE handles requests for a funding variation. </w:t>
      </w:r>
    </w:p>
  </w:footnote>
  <w:footnote w:id="3">
    <w:p w:rsidRPr="00061006" w:rsidR="008A3FB1" w:rsidRDefault="008A3FB1" w14:paraId="0BD2FD05" w14:textId="5C653B37">
      <w:pPr>
        <w:pStyle w:val="FootnoteText"/>
        <w:rPr>
          <w:sz w:val="16"/>
          <w:szCs w:val="16"/>
        </w:rPr>
      </w:pPr>
      <w:r w:rsidRPr="00061006">
        <w:rPr>
          <w:rStyle w:val="FootnoteReference"/>
          <w:color w:val="auto"/>
          <w:sz w:val="16"/>
          <w:szCs w:val="16"/>
        </w:rPr>
        <w:footnoteRef/>
      </w:r>
      <w:r w:rsidRPr="00061006">
        <w:rPr>
          <w:color w:val="auto"/>
          <w:sz w:val="16"/>
          <w:szCs w:val="16"/>
        </w:rPr>
        <w:t xml:space="preserve"> </w:t>
      </w:r>
      <w:hyperlink w:history="1" r:id="rId3">
        <w:r w:rsidRPr="00061006">
          <w:rPr>
            <w:rStyle w:val="Hyperlink"/>
            <w:color w:val="auto"/>
            <w:sz w:val="16"/>
            <w:szCs w:val="16"/>
          </w:rPr>
          <w:t>https://www.nice.org.uk/process/pmg41/chapter/making-an-appeal</w:t>
        </w:r>
      </w:hyperlink>
      <w:r w:rsidRPr="00061006">
        <w:rPr>
          <w:color w:val="auto"/>
          <w:sz w:val="16"/>
          <w:szCs w:val="16"/>
        </w:rPr>
        <w:t xml:space="preserve"> </w:t>
      </w:r>
      <w:r w:rsidRPr="00061006" w:rsidR="00061006">
        <w:rPr>
          <w:color w:val="auto"/>
          <w:sz w:val="16"/>
          <w:szCs w:val="16"/>
        </w:rPr>
        <w:t xml:space="preserve">See </w:t>
      </w:r>
      <w:r w:rsidRPr="00061006" w:rsidR="00061006">
        <w:rPr>
          <w:rFonts w:cs="Arial"/>
          <w:color w:val="auto"/>
          <w:sz w:val="16"/>
          <w:szCs w:val="16"/>
        </w:rPr>
        <w:t xml:space="preserve">paragraph 4.2 </w:t>
      </w:r>
      <w:r w:rsidR="00061006">
        <w:rPr>
          <w:rFonts w:cs="Arial"/>
          <w:color w:val="auto"/>
          <w:sz w:val="16"/>
          <w:szCs w:val="16"/>
        </w:rPr>
        <w:t>(scope).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0C0D0529"/>
    <w:multiLevelType w:val="hybridMultilevel"/>
    <w:tmpl w:val="6FD263B4"/>
    <w:lvl w:ilvl="0" w:tplc="976A51C0">
      <w:numFmt w:val="bullet"/>
      <w:lvlText w:val="•"/>
      <w:lvlJc w:val="left"/>
      <w:pPr>
        <w:ind w:left="2160" w:hanging="72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16E67CA"/>
    <w:multiLevelType w:val="multilevel"/>
    <w:tmpl w:val="0E0648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6C27A3"/>
    <w:multiLevelType w:val="hybridMultilevel"/>
    <w:tmpl w:val="AB542EA8"/>
    <w:lvl w:ilvl="0" w:tplc="976A51C0">
      <w:numFmt w:val="bullet"/>
      <w:lvlText w:val="•"/>
      <w:lvlJc w:val="left"/>
      <w:pPr>
        <w:ind w:left="1440" w:hanging="72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E735B"/>
    <w:multiLevelType w:val="hybridMultilevel"/>
    <w:tmpl w:val="92D22ED6"/>
    <w:lvl w:ilvl="0" w:tplc="976A51C0">
      <w:numFmt w:val="bullet"/>
      <w:lvlText w:val="•"/>
      <w:lvlJc w:val="left"/>
      <w:pPr>
        <w:ind w:left="144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6"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D8107B"/>
    <w:multiLevelType w:val="hybridMultilevel"/>
    <w:tmpl w:val="E87A24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21"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5"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9B05DC7"/>
    <w:multiLevelType w:val="hybridMultilevel"/>
    <w:tmpl w:val="AD066818"/>
    <w:lvl w:ilvl="0" w:tplc="976A51C0">
      <w:numFmt w:val="bullet"/>
      <w:lvlText w:val="•"/>
      <w:lvlJc w:val="left"/>
      <w:pPr>
        <w:ind w:left="144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7A625F35"/>
    <w:multiLevelType w:val="hybridMultilevel"/>
    <w:tmpl w:val="890404C4"/>
    <w:lvl w:ilvl="0" w:tplc="08090001">
      <w:start w:val="1"/>
      <w:numFmt w:val="bullet"/>
      <w:lvlText w:val=""/>
      <w:lvlJc w:val="left"/>
      <w:pPr>
        <w:ind w:left="1440" w:hanging="72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B15CC2"/>
    <w:multiLevelType w:val="hybridMultilevel"/>
    <w:tmpl w:val="7BD4E7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7"/>
  </w:num>
  <w:num w:numId="3" w16cid:durableId="735858711">
    <w:abstractNumId w:val="23"/>
  </w:num>
  <w:num w:numId="4" w16cid:durableId="791437817">
    <w:abstractNumId w:val="23"/>
  </w:num>
  <w:num w:numId="5" w16cid:durableId="589656231">
    <w:abstractNumId w:val="24"/>
  </w:num>
  <w:num w:numId="6" w16cid:durableId="1033071542">
    <w:abstractNumId w:val="0"/>
  </w:num>
  <w:num w:numId="7" w16cid:durableId="692002320">
    <w:abstractNumId w:val="23"/>
  </w:num>
  <w:num w:numId="8" w16cid:durableId="893390988">
    <w:abstractNumId w:val="23"/>
  </w:num>
  <w:num w:numId="9" w16cid:durableId="1036344506">
    <w:abstractNumId w:val="23"/>
  </w:num>
  <w:num w:numId="10" w16cid:durableId="1081758715">
    <w:abstractNumId w:val="17"/>
  </w:num>
  <w:num w:numId="11" w16cid:durableId="1324700156">
    <w:abstractNumId w:val="5"/>
  </w:num>
  <w:num w:numId="12" w16cid:durableId="297996532">
    <w:abstractNumId w:val="16"/>
  </w:num>
  <w:num w:numId="13" w16cid:durableId="1315715874">
    <w:abstractNumId w:val="19"/>
  </w:num>
  <w:num w:numId="14" w16cid:durableId="1234002226">
    <w:abstractNumId w:val="22"/>
  </w:num>
  <w:num w:numId="15" w16cid:durableId="682052213">
    <w:abstractNumId w:val="13"/>
  </w:num>
  <w:num w:numId="16" w16cid:durableId="1741825062">
    <w:abstractNumId w:val="21"/>
  </w:num>
  <w:num w:numId="17" w16cid:durableId="1644236023">
    <w:abstractNumId w:val="28"/>
  </w:num>
  <w:num w:numId="18" w16cid:durableId="530655038">
    <w:abstractNumId w:val="6"/>
  </w:num>
  <w:num w:numId="19" w16cid:durableId="2126733805">
    <w:abstractNumId w:val="25"/>
  </w:num>
  <w:num w:numId="20" w16cid:durableId="621762274">
    <w:abstractNumId w:val="15"/>
  </w:num>
  <w:num w:numId="21" w16cid:durableId="170607788">
    <w:abstractNumId w:val="8"/>
  </w:num>
  <w:num w:numId="22" w16cid:durableId="460727966">
    <w:abstractNumId w:val="30"/>
  </w:num>
  <w:num w:numId="23" w16cid:durableId="2105420001">
    <w:abstractNumId w:val="1"/>
  </w:num>
  <w:num w:numId="24" w16cid:durableId="2048407580">
    <w:abstractNumId w:val="20"/>
  </w:num>
  <w:num w:numId="25" w16cid:durableId="1798986414">
    <w:abstractNumId w:val="10"/>
  </w:num>
  <w:num w:numId="26" w16cid:durableId="1415205502">
    <w:abstractNumId w:val="27"/>
  </w:num>
  <w:num w:numId="27" w16cid:durableId="368603691">
    <w:abstractNumId w:val="9"/>
  </w:num>
  <w:num w:numId="28" w16cid:durableId="217009139">
    <w:abstractNumId w:val="23"/>
  </w:num>
  <w:num w:numId="29" w16cid:durableId="1991011021">
    <w:abstractNumId w:val="23"/>
  </w:num>
  <w:num w:numId="30" w16cid:durableId="840006877">
    <w:abstractNumId w:val="11"/>
  </w:num>
  <w:num w:numId="31" w16cid:durableId="324751170">
    <w:abstractNumId w:val="23"/>
  </w:num>
  <w:num w:numId="32" w16cid:durableId="1909340188">
    <w:abstractNumId w:val="23"/>
  </w:num>
  <w:num w:numId="33" w16cid:durableId="334496126">
    <w:abstractNumId w:val="32"/>
  </w:num>
  <w:num w:numId="34" w16cid:durableId="96291849">
    <w:abstractNumId w:val="18"/>
  </w:num>
  <w:num w:numId="35" w16cid:durableId="658727453">
    <w:abstractNumId w:val="12"/>
  </w:num>
  <w:num w:numId="36" w16cid:durableId="1939868608">
    <w:abstractNumId w:val="26"/>
  </w:num>
  <w:num w:numId="37" w16cid:durableId="1808861694">
    <w:abstractNumId w:val="3"/>
  </w:num>
  <w:num w:numId="38" w16cid:durableId="1781802404">
    <w:abstractNumId w:val="14"/>
  </w:num>
  <w:num w:numId="39" w16cid:durableId="1357073771">
    <w:abstractNumId w:val="29"/>
  </w:num>
  <w:num w:numId="40" w16cid:durableId="1776711834">
    <w:abstractNumId w:val="31"/>
  </w:num>
  <w:num w:numId="41" w16cid:durableId="1879387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23E5"/>
    <w:rsid w:val="00003026"/>
    <w:rsid w:val="00010318"/>
    <w:rsid w:val="000111DB"/>
    <w:rsid w:val="00012382"/>
    <w:rsid w:val="0001311E"/>
    <w:rsid w:val="00014675"/>
    <w:rsid w:val="00016061"/>
    <w:rsid w:val="00016F63"/>
    <w:rsid w:val="0002043D"/>
    <w:rsid w:val="000218C9"/>
    <w:rsid w:val="000223BD"/>
    <w:rsid w:val="00022EB1"/>
    <w:rsid w:val="000236D2"/>
    <w:rsid w:val="00024DA5"/>
    <w:rsid w:val="00025D77"/>
    <w:rsid w:val="00030AD9"/>
    <w:rsid w:val="000329FE"/>
    <w:rsid w:val="0004302C"/>
    <w:rsid w:val="00047383"/>
    <w:rsid w:val="00052894"/>
    <w:rsid w:val="000532DA"/>
    <w:rsid w:val="00056CD2"/>
    <w:rsid w:val="00061006"/>
    <w:rsid w:val="0006785D"/>
    <w:rsid w:val="0007095A"/>
    <w:rsid w:val="000709E5"/>
    <w:rsid w:val="000721F6"/>
    <w:rsid w:val="0007377D"/>
    <w:rsid w:val="00080FCA"/>
    <w:rsid w:val="00082FAB"/>
    <w:rsid w:val="00083604"/>
    <w:rsid w:val="00084FD0"/>
    <w:rsid w:val="000853F6"/>
    <w:rsid w:val="00085837"/>
    <w:rsid w:val="00087222"/>
    <w:rsid w:val="000878D5"/>
    <w:rsid w:val="000928C5"/>
    <w:rsid w:val="00096EBF"/>
    <w:rsid w:val="000977EB"/>
    <w:rsid w:val="000A0AD6"/>
    <w:rsid w:val="000A490C"/>
    <w:rsid w:val="000A4DFC"/>
    <w:rsid w:val="000A5FD1"/>
    <w:rsid w:val="000A60E7"/>
    <w:rsid w:val="000B1D36"/>
    <w:rsid w:val="000B3420"/>
    <w:rsid w:val="000B3C21"/>
    <w:rsid w:val="000B5760"/>
    <w:rsid w:val="000B73F9"/>
    <w:rsid w:val="000D1E58"/>
    <w:rsid w:val="000D22BE"/>
    <w:rsid w:val="000D2CE5"/>
    <w:rsid w:val="000E020F"/>
    <w:rsid w:val="000E16D3"/>
    <w:rsid w:val="000E2010"/>
    <w:rsid w:val="000E40C4"/>
    <w:rsid w:val="000E79F2"/>
    <w:rsid w:val="000F014D"/>
    <w:rsid w:val="000F3523"/>
    <w:rsid w:val="000F6BB5"/>
    <w:rsid w:val="000F7FD4"/>
    <w:rsid w:val="00102F59"/>
    <w:rsid w:val="00105D5C"/>
    <w:rsid w:val="00106505"/>
    <w:rsid w:val="00107520"/>
    <w:rsid w:val="00111749"/>
    <w:rsid w:val="00116523"/>
    <w:rsid w:val="00120071"/>
    <w:rsid w:val="00120FFA"/>
    <w:rsid w:val="00122CC5"/>
    <w:rsid w:val="001232BE"/>
    <w:rsid w:val="00123922"/>
    <w:rsid w:val="00123B83"/>
    <w:rsid w:val="00131602"/>
    <w:rsid w:val="001319CF"/>
    <w:rsid w:val="00132DDC"/>
    <w:rsid w:val="00136C94"/>
    <w:rsid w:val="00140112"/>
    <w:rsid w:val="00142CCD"/>
    <w:rsid w:val="00145246"/>
    <w:rsid w:val="001465BD"/>
    <w:rsid w:val="0014692A"/>
    <w:rsid w:val="001470EF"/>
    <w:rsid w:val="00150421"/>
    <w:rsid w:val="00151269"/>
    <w:rsid w:val="00153B63"/>
    <w:rsid w:val="001558B3"/>
    <w:rsid w:val="00156C49"/>
    <w:rsid w:val="00160A2A"/>
    <w:rsid w:val="00163C9B"/>
    <w:rsid w:val="00170F86"/>
    <w:rsid w:val="001755E5"/>
    <w:rsid w:val="001760DF"/>
    <w:rsid w:val="0017732F"/>
    <w:rsid w:val="001777B2"/>
    <w:rsid w:val="001812E0"/>
    <w:rsid w:val="00182BDA"/>
    <w:rsid w:val="00184EE2"/>
    <w:rsid w:val="00190698"/>
    <w:rsid w:val="00190763"/>
    <w:rsid w:val="001908C4"/>
    <w:rsid w:val="00192A37"/>
    <w:rsid w:val="001945C8"/>
    <w:rsid w:val="00194EE4"/>
    <w:rsid w:val="001969C2"/>
    <w:rsid w:val="001A0143"/>
    <w:rsid w:val="001A18CA"/>
    <w:rsid w:val="001A5D0E"/>
    <w:rsid w:val="001B0102"/>
    <w:rsid w:val="001B23C6"/>
    <w:rsid w:val="001B71EA"/>
    <w:rsid w:val="001C1BF3"/>
    <w:rsid w:val="001C22AD"/>
    <w:rsid w:val="001C23DA"/>
    <w:rsid w:val="001C62DB"/>
    <w:rsid w:val="001C655B"/>
    <w:rsid w:val="001C7C2D"/>
    <w:rsid w:val="001D26C0"/>
    <w:rsid w:val="001D734C"/>
    <w:rsid w:val="001D736F"/>
    <w:rsid w:val="001E0293"/>
    <w:rsid w:val="001E0DB0"/>
    <w:rsid w:val="001E26BF"/>
    <w:rsid w:val="001E4DFA"/>
    <w:rsid w:val="001E615E"/>
    <w:rsid w:val="001F15B2"/>
    <w:rsid w:val="001F15C2"/>
    <w:rsid w:val="001F1CF7"/>
    <w:rsid w:val="001F1DD1"/>
    <w:rsid w:val="001F2364"/>
    <w:rsid w:val="001F2469"/>
    <w:rsid w:val="001F35D3"/>
    <w:rsid w:val="001F4B8B"/>
    <w:rsid w:val="001F5030"/>
    <w:rsid w:val="001F649E"/>
    <w:rsid w:val="001F6DCA"/>
    <w:rsid w:val="001F7A9F"/>
    <w:rsid w:val="00200442"/>
    <w:rsid w:val="002012F5"/>
    <w:rsid w:val="0020398C"/>
    <w:rsid w:val="00203EE8"/>
    <w:rsid w:val="00205000"/>
    <w:rsid w:val="002064F0"/>
    <w:rsid w:val="00206A41"/>
    <w:rsid w:val="00211AE9"/>
    <w:rsid w:val="00211FE0"/>
    <w:rsid w:val="002129C1"/>
    <w:rsid w:val="00217D5F"/>
    <w:rsid w:val="00220DE8"/>
    <w:rsid w:val="002216BB"/>
    <w:rsid w:val="00223EBE"/>
    <w:rsid w:val="002303AF"/>
    <w:rsid w:val="00230BBB"/>
    <w:rsid w:val="00232FF4"/>
    <w:rsid w:val="0023747F"/>
    <w:rsid w:val="00237C6C"/>
    <w:rsid w:val="0024377B"/>
    <w:rsid w:val="00243E48"/>
    <w:rsid w:val="0025046D"/>
    <w:rsid w:val="00254235"/>
    <w:rsid w:val="00254708"/>
    <w:rsid w:val="00255C8A"/>
    <w:rsid w:val="00256BF4"/>
    <w:rsid w:val="00262058"/>
    <w:rsid w:val="00264089"/>
    <w:rsid w:val="00271E0A"/>
    <w:rsid w:val="00274609"/>
    <w:rsid w:val="00275528"/>
    <w:rsid w:val="00281C73"/>
    <w:rsid w:val="00283C5A"/>
    <w:rsid w:val="00283D6E"/>
    <w:rsid w:val="00284917"/>
    <w:rsid w:val="00284CBA"/>
    <w:rsid w:val="00285343"/>
    <w:rsid w:val="0028620E"/>
    <w:rsid w:val="002915A7"/>
    <w:rsid w:val="002934CC"/>
    <w:rsid w:val="00294EB1"/>
    <w:rsid w:val="002A1BBE"/>
    <w:rsid w:val="002A254E"/>
    <w:rsid w:val="002A4E90"/>
    <w:rsid w:val="002B21D4"/>
    <w:rsid w:val="002B49D6"/>
    <w:rsid w:val="002B6FB4"/>
    <w:rsid w:val="002C14B2"/>
    <w:rsid w:val="002C31EC"/>
    <w:rsid w:val="002C3E42"/>
    <w:rsid w:val="002C4202"/>
    <w:rsid w:val="002C5356"/>
    <w:rsid w:val="002D18A5"/>
    <w:rsid w:val="002D2F52"/>
    <w:rsid w:val="002D35C5"/>
    <w:rsid w:val="002D412A"/>
    <w:rsid w:val="002D4715"/>
    <w:rsid w:val="002D6055"/>
    <w:rsid w:val="002E4D13"/>
    <w:rsid w:val="002E6A1E"/>
    <w:rsid w:val="002E7FE1"/>
    <w:rsid w:val="002F25FC"/>
    <w:rsid w:val="002F35E5"/>
    <w:rsid w:val="002F374D"/>
    <w:rsid w:val="002F6526"/>
    <w:rsid w:val="00300AAF"/>
    <w:rsid w:val="003027BC"/>
    <w:rsid w:val="003052C4"/>
    <w:rsid w:val="00310279"/>
    <w:rsid w:val="00314589"/>
    <w:rsid w:val="00316D28"/>
    <w:rsid w:val="00317646"/>
    <w:rsid w:val="00321A60"/>
    <w:rsid w:val="00323185"/>
    <w:rsid w:val="00326AFE"/>
    <w:rsid w:val="00326E72"/>
    <w:rsid w:val="003308CE"/>
    <w:rsid w:val="00332149"/>
    <w:rsid w:val="00332C05"/>
    <w:rsid w:val="0033740C"/>
    <w:rsid w:val="00343CE3"/>
    <w:rsid w:val="00344487"/>
    <w:rsid w:val="00345918"/>
    <w:rsid w:val="003478F6"/>
    <w:rsid w:val="00351496"/>
    <w:rsid w:val="00357163"/>
    <w:rsid w:val="00357A64"/>
    <w:rsid w:val="003602EE"/>
    <w:rsid w:val="00361039"/>
    <w:rsid w:val="003627D7"/>
    <w:rsid w:val="0036323C"/>
    <w:rsid w:val="003708CE"/>
    <w:rsid w:val="00371C6B"/>
    <w:rsid w:val="00373682"/>
    <w:rsid w:val="00381E46"/>
    <w:rsid w:val="00382D01"/>
    <w:rsid w:val="00383355"/>
    <w:rsid w:val="00383DDC"/>
    <w:rsid w:val="0038454F"/>
    <w:rsid w:val="0038639F"/>
    <w:rsid w:val="00391C17"/>
    <w:rsid w:val="00393619"/>
    <w:rsid w:val="00395196"/>
    <w:rsid w:val="0039570A"/>
    <w:rsid w:val="00396221"/>
    <w:rsid w:val="00396B85"/>
    <w:rsid w:val="003A146B"/>
    <w:rsid w:val="003A74FD"/>
    <w:rsid w:val="003A78CC"/>
    <w:rsid w:val="003A7A38"/>
    <w:rsid w:val="003B056B"/>
    <w:rsid w:val="003B0952"/>
    <w:rsid w:val="003B27BA"/>
    <w:rsid w:val="003B29ED"/>
    <w:rsid w:val="003B4C07"/>
    <w:rsid w:val="003B5308"/>
    <w:rsid w:val="003C4D96"/>
    <w:rsid w:val="003C5792"/>
    <w:rsid w:val="003C7489"/>
    <w:rsid w:val="003D1A18"/>
    <w:rsid w:val="003D2428"/>
    <w:rsid w:val="003D2B50"/>
    <w:rsid w:val="003D3448"/>
    <w:rsid w:val="003D7A61"/>
    <w:rsid w:val="003E09ED"/>
    <w:rsid w:val="003E2CBA"/>
    <w:rsid w:val="003E5293"/>
    <w:rsid w:val="003E64E4"/>
    <w:rsid w:val="003E67E7"/>
    <w:rsid w:val="003F0380"/>
    <w:rsid w:val="003F7A15"/>
    <w:rsid w:val="00400420"/>
    <w:rsid w:val="0040061D"/>
    <w:rsid w:val="004016F2"/>
    <w:rsid w:val="00401A31"/>
    <w:rsid w:val="00406D54"/>
    <w:rsid w:val="00413AE5"/>
    <w:rsid w:val="00413F89"/>
    <w:rsid w:val="00414D6F"/>
    <w:rsid w:val="00417F57"/>
    <w:rsid w:val="004248F3"/>
    <w:rsid w:val="00424E76"/>
    <w:rsid w:val="00424E81"/>
    <w:rsid w:val="00427232"/>
    <w:rsid w:val="004309B6"/>
    <w:rsid w:val="00431B23"/>
    <w:rsid w:val="00434670"/>
    <w:rsid w:val="00436264"/>
    <w:rsid w:val="00443200"/>
    <w:rsid w:val="0044322F"/>
    <w:rsid w:val="00444494"/>
    <w:rsid w:val="004445BE"/>
    <w:rsid w:val="00446AEB"/>
    <w:rsid w:val="00447AED"/>
    <w:rsid w:val="00453E92"/>
    <w:rsid w:val="0045574A"/>
    <w:rsid w:val="00456D3B"/>
    <w:rsid w:val="0046045A"/>
    <w:rsid w:val="00465F46"/>
    <w:rsid w:val="004768DE"/>
    <w:rsid w:val="00476A37"/>
    <w:rsid w:val="00481D88"/>
    <w:rsid w:val="00491045"/>
    <w:rsid w:val="00491673"/>
    <w:rsid w:val="00491E3A"/>
    <w:rsid w:val="00493143"/>
    <w:rsid w:val="0049446F"/>
    <w:rsid w:val="0049578D"/>
    <w:rsid w:val="004A5799"/>
    <w:rsid w:val="004A65E4"/>
    <w:rsid w:val="004A76D5"/>
    <w:rsid w:val="004B1B7E"/>
    <w:rsid w:val="004B3E6C"/>
    <w:rsid w:val="004B64EE"/>
    <w:rsid w:val="004C4582"/>
    <w:rsid w:val="004C4AED"/>
    <w:rsid w:val="004D0511"/>
    <w:rsid w:val="004D1394"/>
    <w:rsid w:val="004D206D"/>
    <w:rsid w:val="004D24D5"/>
    <w:rsid w:val="004D284F"/>
    <w:rsid w:val="004D2CE5"/>
    <w:rsid w:val="004D3D80"/>
    <w:rsid w:val="004D44D5"/>
    <w:rsid w:val="004D4E54"/>
    <w:rsid w:val="004D5E08"/>
    <w:rsid w:val="004D6F91"/>
    <w:rsid w:val="004D7840"/>
    <w:rsid w:val="004E04E6"/>
    <w:rsid w:val="004E163C"/>
    <w:rsid w:val="004E5E43"/>
    <w:rsid w:val="004E7AB6"/>
    <w:rsid w:val="004F1061"/>
    <w:rsid w:val="004F44BE"/>
    <w:rsid w:val="004F531C"/>
    <w:rsid w:val="004F63AD"/>
    <w:rsid w:val="00500AEB"/>
    <w:rsid w:val="0051022D"/>
    <w:rsid w:val="00510BE0"/>
    <w:rsid w:val="00511067"/>
    <w:rsid w:val="005114F9"/>
    <w:rsid w:val="00512A63"/>
    <w:rsid w:val="00513648"/>
    <w:rsid w:val="00515176"/>
    <w:rsid w:val="00515BA2"/>
    <w:rsid w:val="005203AB"/>
    <w:rsid w:val="00521160"/>
    <w:rsid w:val="00526F8A"/>
    <w:rsid w:val="005302B1"/>
    <w:rsid w:val="005308AC"/>
    <w:rsid w:val="005310C8"/>
    <w:rsid w:val="00532E15"/>
    <w:rsid w:val="00533F44"/>
    <w:rsid w:val="00534486"/>
    <w:rsid w:val="00535B05"/>
    <w:rsid w:val="00535B14"/>
    <w:rsid w:val="0054085B"/>
    <w:rsid w:val="00540EBC"/>
    <w:rsid w:val="005467C7"/>
    <w:rsid w:val="00554052"/>
    <w:rsid w:val="0055476A"/>
    <w:rsid w:val="00554B22"/>
    <w:rsid w:val="00556358"/>
    <w:rsid w:val="00562D4E"/>
    <w:rsid w:val="00562E65"/>
    <w:rsid w:val="005631ED"/>
    <w:rsid w:val="005632AA"/>
    <w:rsid w:val="0056409C"/>
    <w:rsid w:val="005641A8"/>
    <w:rsid w:val="00564E8F"/>
    <w:rsid w:val="00570E77"/>
    <w:rsid w:val="00572CCC"/>
    <w:rsid w:val="00573C72"/>
    <w:rsid w:val="00574C95"/>
    <w:rsid w:val="00574FB3"/>
    <w:rsid w:val="0057769F"/>
    <w:rsid w:val="00577A3D"/>
    <w:rsid w:val="00581540"/>
    <w:rsid w:val="00581C7E"/>
    <w:rsid w:val="00582449"/>
    <w:rsid w:val="00582FC4"/>
    <w:rsid w:val="00583F62"/>
    <w:rsid w:val="00584E26"/>
    <w:rsid w:val="00587762"/>
    <w:rsid w:val="00597A7F"/>
    <w:rsid w:val="005A0B8C"/>
    <w:rsid w:val="005B066D"/>
    <w:rsid w:val="005B0EA5"/>
    <w:rsid w:val="005B117C"/>
    <w:rsid w:val="005B2FEC"/>
    <w:rsid w:val="005B4C9A"/>
    <w:rsid w:val="005B7585"/>
    <w:rsid w:val="005B775D"/>
    <w:rsid w:val="005C25D7"/>
    <w:rsid w:val="005C4A08"/>
    <w:rsid w:val="005C4A8E"/>
    <w:rsid w:val="005C4F92"/>
    <w:rsid w:val="005D0CB2"/>
    <w:rsid w:val="005D2833"/>
    <w:rsid w:val="005D6702"/>
    <w:rsid w:val="005E0186"/>
    <w:rsid w:val="005E14E7"/>
    <w:rsid w:val="005E20D0"/>
    <w:rsid w:val="005E339C"/>
    <w:rsid w:val="005E3528"/>
    <w:rsid w:val="005E39BD"/>
    <w:rsid w:val="005E70E7"/>
    <w:rsid w:val="005E7923"/>
    <w:rsid w:val="005E7DAF"/>
    <w:rsid w:val="005F3A6F"/>
    <w:rsid w:val="005F6045"/>
    <w:rsid w:val="005F75A8"/>
    <w:rsid w:val="005F7C6F"/>
    <w:rsid w:val="0060170A"/>
    <w:rsid w:val="00602E47"/>
    <w:rsid w:val="0060349F"/>
    <w:rsid w:val="00603F4B"/>
    <w:rsid w:val="006053B6"/>
    <w:rsid w:val="00605766"/>
    <w:rsid w:val="00610AC7"/>
    <w:rsid w:val="00620070"/>
    <w:rsid w:val="00621C42"/>
    <w:rsid w:val="00623213"/>
    <w:rsid w:val="006273E6"/>
    <w:rsid w:val="00627B61"/>
    <w:rsid w:val="00627E80"/>
    <w:rsid w:val="0063072C"/>
    <w:rsid w:val="00631165"/>
    <w:rsid w:val="0063263F"/>
    <w:rsid w:val="006339CA"/>
    <w:rsid w:val="006347AD"/>
    <w:rsid w:val="006347EE"/>
    <w:rsid w:val="0063542C"/>
    <w:rsid w:val="00636BB3"/>
    <w:rsid w:val="00636BE4"/>
    <w:rsid w:val="00637D4B"/>
    <w:rsid w:val="006404AD"/>
    <w:rsid w:val="00641577"/>
    <w:rsid w:val="00642D59"/>
    <w:rsid w:val="00643777"/>
    <w:rsid w:val="00652104"/>
    <w:rsid w:val="00654046"/>
    <w:rsid w:val="006574D6"/>
    <w:rsid w:val="00664690"/>
    <w:rsid w:val="00664C74"/>
    <w:rsid w:val="00665D1E"/>
    <w:rsid w:val="00666041"/>
    <w:rsid w:val="00671AC5"/>
    <w:rsid w:val="00671DEA"/>
    <w:rsid w:val="0067289D"/>
    <w:rsid w:val="006743BD"/>
    <w:rsid w:val="00683436"/>
    <w:rsid w:val="00683585"/>
    <w:rsid w:val="006845FA"/>
    <w:rsid w:val="006863D5"/>
    <w:rsid w:val="006869AE"/>
    <w:rsid w:val="00691B06"/>
    <w:rsid w:val="006941C5"/>
    <w:rsid w:val="00694D09"/>
    <w:rsid w:val="00697B78"/>
    <w:rsid w:val="006A1FA2"/>
    <w:rsid w:val="006A7179"/>
    <w:rsid w:val="006A7356"/>
    <w:rsid w:val="006B04FF"/>
    <w:rsid w:val="006B1F0D"/>
    <w:rsid w:val="006B5A98"/>
    <w:rsid w:val="006B66E3"/>
    <w:rsid w:val="006B67E4"/>
    <w:rsid w:val="006B6C22"/>
    <w:rsid w:val="006C00DF"/>
    <w:rsid w:val="006C10B9"/>
    <w:rsid w:val="006C2992"/>
    <w:rsid w:val="006C3215"/>
    <w:rsid w:val="006C4724"/>
    <w:rsid w:val="006C5225"/>
    <w:rsid w:val="006C7DD0"/>
    <w:rsid w:val="006D0BE6"/>
    <w:rsid w:val="006D1B66"/>
    <w:rsid w:val="006D2130"/>
    <w:rsid w:val="006D2A19"/>
    <w:rsid w:val="006D3EE0"/>
    <w:rsid w:val="006D5A72"/>
    <w:rsid w:val="006D629B"/>
    <w:rsid w:val="006E1BA8"/>
    <w:rsid w:val="006E387C"/>
    <w:rsid w:val="006E5424"/>
    <w:rsid w:val="006E5BFE"/>
    <w:rsid w:val="006E5CD5"/>
    <w:rsid w:val="006E73D2"/>
    <w:rsid w:val="006F031B"/>
    <w:rsid w:val="006F0B11"/>
    <w:rsid w:val="006F0DDE"/>
    <w:rsid w:val="006F417A"/>
    <w:rsid w:val="006F4507"/>
    <w:rsid w:val="006F57FC"/>
    <w:rsid w:val="006F64A0"/>
    <w:rsid w:val="006F6F0C"/>
    <w:rsid w:val="007016D8"/>
    <w:rsid w:val="0070244C"/>
    <w:rsid w:val="00704DBF"/>
    <w:rsid w:val="007050BA"/>
    <w:rsid w:val="007060CA"/>
    <w:rsid w:val="0071381D"/>
    <w:rsid w:val="00717A94"/>
    <w:rsid w:val="007232A5"/>
    <w:rsid w:val="0072474B"/>
    <w:rsid w:val="00726B3B"/>
    <w:rsid w:val="00726F5A"/>
    <w:rsid w:val="00730789"/>
    <w:rsid w:val="00732580"/>
    <w:rsid w:val="00732B6F"/>
    <w:rsid w:val="00732C0C"/>
    <w:rsid w:val="007353F9"/>
    <w:rsid w:val="007405AA"/>
    <w:rsid w:val="00743499"/>
    <w:rsid w:val="00750A27"/>
    <w:rsid w:val="00750BB6"/>
    <w:rsid w:val="00752278"/>
    <w:rsid w:val="0075253A"/>
    <w:rsid w:val="00752A34"/>
    <w:rsid w:val="00754E19"/>
    <w:rsid w:val="00755AA9"/>
    <w:rsid w:val="00763715"/>
    <w:rsid w:val="00771885"/>
    <w:rsid w:val="00771C10"/>
    <w:rsid w:val="00773D2A"/>
    <w:rsid w:val="00774A6D"/>
    <w:rsid w:val="007778CF"/>
    <w:rsid w:val="00777DAC"/>
    <w:rsid w:val="00780FBA"/>
    <w:rsid w:val="0078157F"/>
    <w:rsid w:val="007822FB"/>
    <w:rsid w:val="007833CB"/>
    <w:rsid w:val="00784CF9"/>
    <w:rsid w:val="0079112A"/>
    <w:rsid w:val="007A0E5C"/>
    <w:rsid w:val="007A1D39"/>
    <w:rsid w:val="007A7F07"/>
    <w:rsid w:val="007B275D"/>
    <w:rsid w:val="007B303B"/>
    <w:rsid w:val="007B3B1C"/>
    <w:rsid w:val="007B5AA3"/>
    <w:rsid w:val="007B6555"/>
    <w:rsid w:val="007B73B7"/>
    <w:rsid w:val="007C0D4C"/>
    <w:rsid w:val="007C2756"/>
    <w:rsid w:val="007C36D2"/>
    <w:rsid w:val="007C57A8"/>
    <w:rsid w:val="007C6048"/>
    <w:rsid w:val="007D2528"/>
    <w:rsid w:val="007D58A2"/>
    <w:rsid w:val="007D7791"/>
    <w:rsid w:val="007D7C74"/>
    <w:rsid w:val="007E32CB"/>
    <w:rsid w:val="007E40D2"/>
    <w:rsid w:val="007E48AD"/>
    <w:rsid w:val="007E4EDC"/>
    <w:rsid w:val="007E7499"/>
    <w:rsid w:val="007F1C02"/>
    <w:rsid w:val="007F2E45"/>
    <w:rsid w:val="007F2F71"/>
    <w:rsid w:val="007F31DE"/>
    <w:rsid w:val="007F4051"/>
    <w:rsid w:val="007F426B"/>
    <w:rsid w:val="007F4A9D"/>
    <w:rsid w:val="007F5B94"/>
    <w:rsid w:val="008033ED"/>
    <w:rsid w:val="00804B80"/>
    <w:rsid w:val="0080603C"/>
    <w:rsid w:val="008077F7"/>
    <w:rsid w:val="00810794"/>
    <w:rsid w:val="00811421"/>
    <w:rsid w:val="008116A7"/>
    <w:rsid w:val="00811B2A"/>
    <w:rsid w:val="00812477"/>
    <w:rsid w:val="00813221"/>
    <w:rsid w:val="00814189"/>
    <w:rsid w:val="00814DEB"/>
    <w:rsid w:val="00815A94"/>
    <w:rsid w:val="008161FC"/>
    <w:rsid w:val="008208A7"/>
    <w:rsid w:val="00820B45"/>
    <w:rsid w:val="00820EF8"/>
    <w:rsid w:val="00824CB2"/>
    <w:rsid w:val="008268F9"/>
    <w:rsid w:val="008273FA"/>
    <w:rsid w:val="00827688"/>
    <w:rsid w:val="00832D34"/>
    <w:rsid w:val="008330F5"/>
    <w:rsid w:val="008333D8"/>
    <w:rsid w:val="008349BD"/>
    <w:rsid w:val="00835C81"/>
    <w:rsid w:val="00836768"/>
    <w:rsid w:val="00836849"/>
    <w:rsid w:val="00837773"/>
    <w:rsid w:val="00841DE5"/>
    <w:rsid w:val="00842D0D"/>
    <w:rsid w:val="00844BE5"/>
    <w:rsid w:val="0084519D"/>
    <w:rsid w:val="00847BF3"/>
    <w:rsid w:val="00855278"/>
    <w:rsid w:val="0085596F"/>
    <w:rsid w:val="008576D4"/>
    <w:rsid w:val="00861527"/>
    <w:rsid w:val="00862B47"/>
    <w:rsid w:val="00862C1A"/>
    <w:rsid w:val="008630DF"/>
    <w:rsid w:val="008651F9"/>
    <w:rsid w:val="00866999"/>
    <w:rsid w:val="00870284"/>
    <w:rsid w:val="0087231D"/>
    <w:rsid w:val="0087462B"/>
    <w:rsid w:val="008763B3"/>
    <w:rsid w:val="008765DE"/>
    <w:rsid w:val="008847CD"/>
    <w:rsid w:val="00891B24"/>
    <w:rsid w:val="00895365"/>
    <w:rsid w:val="008966B9"/>
    <w:rsid w:val="008A302A"/>
    <w:rsid w:val="008A3EEE"/>
    <w:rsid w:val="008A3FB1"/>
    <w:rsid w:val="008A4B4F"/>
    <w:rsid w:val="008A51D9"/>
    <w:rsid w:val="008A708E"/>
    <w:rsid w:val="008A77E3"/>
    <w:rsid w:val="008B17F4"/>
    <w:rsid w:val="008B29A5"/>
    <w:rsid w:val="008B3C53"/>
    <w:rsid w:val="008B3D16"/>
    <w:rsid w:val="008B7B77"/>
    <w:rsid w:val="008C114C"/>
    <w:rsid w:val="008C25E1"/>
    <w:rsid w:val="008C27DA"/>
    <w:rsid w:val="008C3AB1"/>
    <w:rsid w:val="008C522A"/>
    <w:rsid w:val="008C5615"/>
    <w:rsid w:val="008D3115"/>
    <w:rsid w:val="008D6691"/>
    <w:rsid w:val="008D799D"/>
    <w:rsid w:val="008E0DF1"/>
    <w:rsid w:val="008E24FA"/>
    <w:rsid w:val="008E3142"/>
    <w:rsid w:val="008E5DA7"/>
    <w:rsid w:val="008E6AF9"/>
    <w:rsid w:val="008E6F0D"/>
    <w:rsid w:val="008E722E"/>
    <w:rsid w:val="008F2130"/>
    <w:rsid w:val="008F4304"/>
    <w:rsid w:val="008F4CCF"/>
    <w:rsid w:val="00900450"/>
    <w:rsid w:val="009018C6"/>
    <w:rsid w:val="00903256"/>
    <w:rsid w:val="00903819"/>
    <w:rsid w:val="0090619B"/>
    <w:rsid w:val="00906CBF"/>
    <w:rsid w:val="009110D1"/>
    <w:rsid w:val="00913200"/>
    <w:rsid w:val="00915F8D"/>
    <w:rsid w:val="0091693A"/>
    <w:rsid w:val="00917ADE"/>
    <w:rsid w:val="00917DBD"/>
    <w:rsid w:val="009230E2"/>
    <w:rsid w:val="009275A6"/>
    <w:rsid w:val="00930029"/>
    <w:rsid w:val="00930425"/>
    <w:rsid w:val="0093112A"/>
    <w:rsid w:val="009324E9"/>
    <w:rsid w:val="00933199"/>
    <w:rsid w:val="00936354"/>
    <w:rsid w:val="009376A0"/>
    <w:rsid w:val="00940811"/>
    <w:rsid w:val="00942F13"/>
    <w:rsid w:val="0094600E"/>
    <w:rsid w:val="00947F8A"/>
    <w:rsid w:val="00951D67"/>
    <w:rsid w:val="00955D02"/>
    <w:rsid w:val="00965082"/>
    <w:rsid w:val="00965702"/>
    <w:rsid w:val="00966C76"/>
    <w:rsid w:val="0097177C"/>
    <w:rsid w:val="00973C62"/>
    <w:rsid w:val="009742BF"/>
    <w:rsid w:val="00976F99"/>
    <w:rsid w:val="0098532A"/>
    <w:rsid w:val="00986A5A"/>
    <w:rsid w:val="00990AEB"/>
    <w:rsid w:val="00990C9A"/>
    <w:rsid w:val="00992581"/>
    <w:rsid w:val="00993784"/>
    <w:rsid w:val="00993EDE"/>
    <w:rsid w:val="009949CD"/>
    <w:rsid w:val="009955EE"/>
    <w:rsid w:val="00995ABD"/>
    <w:rsid w:val="00996EAC"/>
    <w:rsid w:val="009971A0"/>
    <w:rsid w:val="009A17EA"/>
    <w:rsid w:val="009A1A7D"/>
    <w:rsid w:val="009A2347"/>
    <w:rsid w:val="009A23B7"/>
    <w:rsid w:val="009A27F0"/>
    <w:rsid w:val="009A7C87"/>
    <w:rsid w:val="009B2917"/>
    <w:rsid w:val="009B299F"/>
    <w:rsid w:val="009B75D9"/>
    <w:rsid w:val="009C2A6F"/>
    <w:rsid w:val="009C40F0"/>
    <w:rsid w:val="009D1532"/>
    <w:rsid w:val="009D4D95"/>
    <w:rsid w:val="009E1606"/>
    <w:rsid w:val="009E1E8C"/>
    <w:rsid w:val="009E22E6"/>
    <w:rsid w:val="009E28B2"/>
    <w:rsid w:val="009E314A"/>
    <w:rsid w:val="009E63ED"/>
    <w:rsid w:val="009E67A1"/>
    <w:rsid w:val="009E7DFB"/>
    <w:rsid w:val="009F0F43"/>
    <w:rsid w:val="009F4511"/>
    <w:rsid w:val="00A03ABC"/>
    <w:rsid w:val="00A0770B"/>
    <w:rsid w:val="00A078BF"/>
    <w:rsid w:val="00A1278D"/>
    <w:rsid w:val="00A15BDC"/>
    <w:rsid w:val="00A15DB5"/>
    <w:rsid w:val="00A201EF"/>
    <w:rsid w:val="00A2109E"/>
    <w:rsid w:val="00A215F6"/>
    <w:rsid w:val="00A23060"/>
    <w:rsid w:val="00A236B3"/>
    <w:rsid w:val="00A24744"/>
    <w:rsid w:val="00A25FCD"/>
    <w:rsid w:val="00A26322"/>
    <w:rsid w:val="00A3076B"/>
    <w:rsid w:val="00A33CDF"/>
    <w:rsid w:val="00A34D95"/>
    <w:rsid w:val="00A35519"/>
    <w:rsid w:val="00A361B2"/>
    <w:rsid w:val="00A40E7A"/>
    <w:rsid w:val="00A41C42"/>
    <w:rsid w:val="00A42AAB"/>
    <w:rsid w:val="00A43E73"/>
    <w:rsid w:val="00A44626"/>
    <w:rsid w:val="00A45DAE"/>
    <w:rsid w:val="00A460E2"/>
    <w:rsid w:val="00A46840"/>
    <w:rsid w:val="00A47EFE"/>
    <w:rsid w:val="00A50D8E"/>
    <w:rsid w:val="00A52E7E"/>
    <w:rsid w:val="00A5794D"/>
    <w:rsid w:val="00A618B0"/>
    <w:rsid w:val="00A6580D"/>
    <w:rsid w:val="00A71685"/>
    <w:rsid w:val="00A72CD7"/>
    <w:rsid w:val="00A74244"/>
    <w:rsid w:val="00A74DFC"/>
    <w:rsid w:val="00A750E9"/>
    <w:rsid w:val="00A760B9"/>
    <w:rsid w:val="00A80603"/>
    <w:rsid w:val="00A82652"/>
    <w:rsid w:val="00A831F9"/>
    <w:rsid w:val="00A87143"/>
    <w:rsid w:val="00A879C0"/>
    <w:rsid w:val="00A87CC1"/>
    <w:rsid w:val="00A9467A"/>
    <w:rsid w:val="00A95771"/>
    <w:rsid w:val="00A96044"/>
    <w:rsid w:val="00A9699F"/>
    <w:rsid w:val="00A9793D"/>
    <w:rsid w:val="00AA07E3"/>
    <w:rsid w:val="00AA0FC2"/>
    <w:rsid w:val="00AA12CA"/>
    <w:rsid w:val="00AA2694"/>
    <w:rsid w:val="00AA2C35"/>
    <w:rsid w:val="00AB16DA"/>
    <w:rsid w:val="00AB36CF"/>
    <w:rsid w:val="00AC320B"/>
    <w:rsid w:val="00AC3CAE"/>
    <w:rsid w:val="00AC505A"/>
    <w:rsid w:val="00AC61E2"/>
    <w:rsid w:val="00AC67D3"/>
    <w:rsid w:val="00AC6A97"/>
    <w:rsid w:val="00AC6DD8"/>
    <w:rsid w:val="00AD1760"/>
    <w:rsid w:val="00AD210E"/>
    <w:rsid w:val="00AD28ED"/>
    <w:rsid w:val="00AD7649"/>
    <w:rsid w:val="00AD7ADD"/>
    <w:rsid w:val="00AE090B"/>
    <w:rsid w:val="00AE0C2D"/>
    <w:rsid w:val="00AE3388"/>
    <w:rsid w:val="00AE353E"/>
    <w:rsid w:val="00AE51B1"/>
    <w:rsid w:val="00AF0B86"/>
    <w:rsid w:val="00AF1A26"/>
    <w:rsid w:val="00AF1D27"/>
    <w:rsid w:val="00AF26DD"/>
    <w:rsid w:val="00AF2B1B"/>
    <w:rsid w:val="00AF2C0F"/>
    <w:rsid w:val="00AF35E5"/>
    <w:rsid w:val="00AF4D25"/>
    <w:rsid w:val="00B01601"/>
    <w:rsid w:val="00B0180D"/>
    <w:rsid w:val="00B0293C"/>
    <w:rsid w:val="00B11119"/>
    <w:rsid w:val="00B15DE3"/>
    <w:rsid w:val="00B22228"/>
    <w:rsid w:val="00B2370A"/>
    <w:rsid w:val="00B24385"/>
    <w:rsid w:val="00B2538A"/>
    <w:rsid w:val="00B32249"/>
    <w:rsid w:val="00B36320"/>
    <w:rsid w:val="00B37654"/>
    <w:rsid w:val="00B4071E"/>
    <w:rsid w:val="00B40DA1"/>
    <w:rsid w:val="00B4148B"/>
    <w:rsid w:val="00B41964"/>
    <w:rsid w:val="00B46004"/>
    <w:rsid w:val="00B4629A"/>
    <w:rsid w:val="00B51ABF"/>
    <w:rsid w:val="00B60AF4"/>
    <w:rsid w:val="00B60F57"/>
    <w:rsid w:val="00B62757"/>
    <w:rsid w:val="00B62869"/>
    <w:rsid w:val="00B65B79"/>
    <w:rsid w:val="00B67A28"/>
    <w:rsid w:val="00B700BD"/>
    <w:rsid w:val="00B7076F"/>
    <w:rsid w:val="00B71887"/>
    <w:rsid w:val="00B7333D"/>
    <w:rsid w:val="00B817B1"/>
    <w:rsid w:val="00B81EA3"/>
    <w:rsid w:val="00B84019"/>
    <w:rsid w:val="00B86BDD"/>
    <w:rsid w:val="00B86C44"/>
    <w:rsid w:val="00B86D18"/>
    <w:rsid w:val="00B90347"/>
    <w:rsid w:val="00B91B1E"/>
    <w:rsid w:val="00B925D2"/>
    <w:rsid w:val="00B94A47"/>
    <w:rsid w:val="00B97C79"/>
    <w:rsid w:val="00BA0CC8"/>
    <w:rsid w:val="00BA120E"/>
    <w:rsid w:val="00BA170C"/>
    <w:rsid w:val="00BA1D1F"/>
    <w:rsid w:val="00BA1E44"/>
    <w:rsid w:val="00BA3214"/>
    <w:rsid w:val="00BA41B5"/>
    <w:rsid w:val="00BA498D"/>
    <w:rsid w:val="00BA4D04"/>
    <w:rsid w:val="00BA6AB4"/>
    <w:rsid w:val="00BA74CA"/>
    <w:rsid w:val="00BB0E11"/>
    <w:rsid w:val="00BB43EC"/>
    <w:rsid w:val="00BB67B2"/>
    <w:rsid w:val="00BC0C5B"/>
    <w:rsid w:val="00BC1B80"/>
    <w:rsid w:val="00BC2CBC"/>
    <w:rsid w:val="00BC3B5C"/>
    <w:rsid w:val="00BC53D9"/>
    <w:rsid w:val="00BC58D0"/>
    <w:rsid w:val="00BC64FA"/>
    <w:rsid w:val="00BC6861"/>
    <w:rsid w:val="00BC7EA6"/>
    <w:rsid w:val="00BD05D1"/>
    <w:rsid w:val="00BD06F3"/>
    <w:rsid w:val="00BD0B0E"/>
    <w:rsid w:val="00BD2637"/>
    <w:rsid w:val="00BD2C9A"/>
    <w:rsid w:val="00BD2E0D"/>
    <w:rsid w:val="00BD4BF4"/>
    <w:rsid w:val="00BD54FF"/>
    <w:rsid w:val="00BD58AA"/>
    <w:rsid w:val="00BD5A2B"/>
    <w:rsid w:val="00BE2210"/>
    <w:rsid w:val="00BE323B"/>
    <w:rsid w:val="00BE3A86"/>
    <w:rsid w:val="00BE3D27"/>
    <w:rsid w:val="00BE3F08"/>
    <w:rsid w:val="00BF06BF"/>
    <w:rsid w:val="00BF0E19"/>
    <w:rsid w:val="00BF15F6"/>
    <w:rsid w:val="00BF4FF8"/>
    <w:rsid w:val="00BF5EBB"/>
    <w:rsid w:val="00BF6B5B"/>
    <w:rsid w:val="00BF6BA1"/>
    <w:rsid w:val="00C005F8"/>
    <w:rsid w:val="00C00668"/>
    <w:rsid w:val="00C020FA"/>
    <w:rsid w:val="00C03935"/>
    <w:rsid w:val="00C1087A"/>
    <w:rsid w:val="00C11255"/>
    <w:rsid w:val="00C11897"/>
    <w:rsid w:val="00C11C1D"/>
    <w:rsid w:val="00C12EBB"/>
    <w:rsid w:val="00C2049A"/>
    <w:rsid w:val="00C204DE"/>
    <w:rsid w:val="00C214C1"/>
    <w:rsid w:val="00C26381"/>
    <w:rsid w:val="00C32256"/>
    <w:rsid w:val="00C34C6E"/>
    <w:rsid w:val="00C36918"/>
    <w:rsid w:val="00C37918"/>
    <w:rsid w:val="00C42992"/>
    <w:rsid w:val="00C46B59"/>
    <w:rsid w:val="00C47D95"/>
    <w:rsid w:val="00C5006F"/>
    <w:rsid w:val="00C511EF"/>
    <w:rsid w:val="00C53573"/>
    <w:rsid w:val="00C54ED3"/>
    <w:rsid w:val="00C57BB4"/>
    <w:rsid w:val="00C60B7F"/>
    <w:rsid w:val="00C610C3"/>
    <w:rsid w:val="00C638BF"/>
    <w:rsid w:val="00C70019"/>
    <w:rsid w:val="00C74328"/>
    <w:rsid w:val="00C743C2"/>
    <w:rsid w:val="00C74693"/>
    <w:rsid w:val="00C74C78"/>
    <w:rsid w:val="00C804AD"/>
    <w:rsid w:val="00C821E5"/>
    <w:rsid w:val="00C878BC"/>
    <w:rsid w:val="00C9104F"/>
    <w:rsid w:val="00C92F2A"/>
    <w:rsid w:val="00C9408E"/>
    <w:rsid w:val="00C96642"/>
    <w:rsid w:val="00C96D0A"/>
    <w:rsid w:val="00CA051F"/>
    <w:rsid w:val="00CA270F"/>
    <w:rsid w:val="00CA554E"/>
    <w:rsid w:val="00CA6E61"/>
    <w:rsid w:val="00CB3A18"/>
    <w:rsid w:val="00CB4BB7"/>
    <w:rsid w:val="00CB4C80"/>
    <w:rsid w:val="00CB5418"/>
    <w:rsid w:val="00CB7FD7"/>
    <w:rsid w:val="00CC2B62"/>
    <w:rsid w:val="00CC4BC2"/>
    <w:rsid w:val="00CC5A2C"/>
    <w:rsid w:val="00CD0242"/>
    <w:rsid w:val="00CD1D19"/>
    <w:rsid w:val="00CD2F35"/>
    <w:rsid w:val="00CD6C88"/>
    <w:rsid w:val="00CE0909"/>
    <w:rsid w:val="00CE450F"/>
    <w:rsid w:val="00CF1FD6"/>
    <w:rsid w:val="00CF2EA0"/>
    <w:rsid w:val="00CF2FAD"/>
    <w:rsid w:val="00CF301D"/>
    <w:rsid w:val="00CF3994"/>
    <w:rsid w:val="00CF3B10"/>
    <w:rsid w:val="00CF3E8E"/>
    <w:rsid w:val="00CF4345"/>
    <w:rsid w:val="00CF442B"/>
    <w:rsid w:val="00CF59A7"/>
    <w:rsid w:val="00CF6F1B"/>
    <w:rsid w:val="00D12B83"/>
    <w:rsid w:val="00D131CC"/>
    <w:rsid w:val="00D13C31"/>
    <w:rsid w:val="00D1448F"/>
    <w:rsid w:val="00D15103"/>
    <w:rsid w:val="00D159BE"/>
    <w:rsid w:val="00D22AE6"/>
    <w:rsid w:val="00D22D12"/>
    <w:rsid w:val="00D235CC"/>
    <w:rsid w:val="00D2633B"/>
    <w:rsid w:val="00D300B6"/>
    <w:rsid w:val="00D325D1"/>
    <w:rsid w:val="00D32D4E"/>
    <w:rsid w:val="00D336E0"/>
    <w:rsid w:val="00D44767"/>
    <w:rsid w:val="00D50626"/>
    <w:rsid w:val="00D51F10"/>
    <w:rsid w:val="00D60DCA"/>
    <w:rsid w:val="00D622DA"/>
    <w:rsid w:val="00D63B4F"/>
    <w:rsid w:val="00D66A03"/>
    <w:rsid w:val="00D70D75"/>
    <w:rsid w:val="00D7181B"/>
    <w:rsid w:val="00D72C12"/>
    <w:rsid w:val="00D73E60"/>
    <w:rsid w:val="00D751F7"/>
    <w:rsid w:val="00D759C6"/>
    <w:rsid w:val="00D75D9F"/>
    <w:rsid w:val="00D800C5"/>
    <w:rsid w:val="00D81B09"/>
    <w:rsid w:val="00D83A27"/>
    <w:rsid w:val="00D84024"/>
    <w:rsid w:val="00D840B9"/>
    <w:rsid w:val="00D9367D"/>
    <w:rsid w:val="00D95A0F"/>
    <w:rsid w:val="00DA1941"/>
    <w:rsid w:val="00DA35E1"/>
    <w:rsid w:val="00DA55B8"/>
    <w:rsid w:val="00DA623F"/>
    <w:rsid w:val="00DB0B80"/>
    <w:rsid w:val="00DB1A00"/>
    <w:rsid w:val="00DC0168"/>
    <w:rsid w:val="00DC03BB"/>
    <w:rsid w:val="00DC2134"/>
    <w:rsid w:val="00DC3C9A"/>
    <w:rsid w:val="00DC669A"/>
    <w:rsid w:val="00DD0E60"/>
    <w:rsid w:val="00DD5E1F"/>
    <w:rsid w:val="00DD73C1"/>
    <w:rsid w:val="00DD7697"/>
    <w:rsid w:val="00DE1FEB"/>
    <w:rsid w:val="00DE3E38"/>
    <w:rsid w:val="00DE4223"/>
    <w:rsid w:val="00DE52A4"/>
    <w:rsid w:val="00DE6C6C"/>
    <w:rsid w:val="00DF24F5"/>
    <w:rsid w:val="00DF654A"/>
    <w:rsid w:val="00DF74AA"/>
    <w:rsid w:val="00DF782D"/>
    <w:rsid w:val="00DF79CC"/>
    <w:rsid w:val="00E026FB"/>
    <w:rsid w:val="00E05B2B"/>
    <w:rsid w:val="00E10345"/>
    <w:rsid w:val="00E10819"/>
    <w:rsid w:val="00E109AE"/>
    <w:rsid w:val="00E10C0E"/>
    <w:rsid w:val="00E10D65"/>
    <w:rsid w:val="00E11762"/>
    <w:rsid w:val="00E11945"/>
    <w:rsid w:val="00E122F2"/>
    <w:rsid w:val="00E140BF"/>
    <w:rsid w:val="00E15CAE"/>
    <w:rsid w:val="00E16BC6"/>
    <w:rsid w:val="00E1774B"/>
    <w:rsid w:val="00E20DF8"/>
    <w:rsid w:val="00E27656"/>
    <w:rsid w:val="00E308B8"/>
    <w:rsid w:val="00E4124D"/>
    <w:rsid w:val="00E44353"/>
    <w:rsid w:val="00E45413"/>
    <w:rsid w:val="00E52A48"/>
    <w:rsid w:val="00E536FF"/>
    <w:rsid w:val="00E54810"/>
    <w:rsid w:val="00E6109D"/>
    <w:rsid w:val="00E613A5"/>
    <w:rsid w:val="00E63188"/>
    <w:rsid w:val="00E63295"/>
    <w:rsid w:val="00E63550"/>
    <w:rsid w:val="00E64324"/>
    <w:rsid w:val="00E66927"/>
    <w:rsid w:val="00E66BA0"/>
    <w:rsid w:val="00E671C3"/>
    <w:rsid w:val="00E71E47"/>
    <w:rsid w:val="00E739FB"/>
    <w:rsid w:val="00E7553E"/>
    <w:rsid w:val="00E76B35"/>
    <w:rsid w:val="00E76DAD"/>
    <w:rsid w:val="00E76ECF"/>
    <w:rsid w:val="00E80CA5"/>
    <w:rsid w:val="00E83B14"/>
    <w:rsid w:val="00E855E3"/>
    <w:rsid w:val="00E8776B"/>
    <w:rsid w:val="00E877ED"/>
    <w:rsid w:val="00E87F1E"/>
    <w:rsid w:val="00E90A3D"/>
    <w:rsid w:val="00E91831"/>
    <w:rsid w:val="00E93CB4"/>
    <w:rsid w:val="00E97358"/>
    <w:rsid w:val="00EA155E"/>
    <w:rsid w:val="00EA1D7B"/>
    <w:rsid w:val="00EA440D"/>
    <w:rsid w:val="00EA725B"/>
    <w:rsid w:val="00EB1318"/>
    <w:rsid w:val="00EB4615"/>
    <w:rsid w:val="00EB7F04"/>
    <w:rsid w:val="00EC1824"/>
    <w:rsid w:val="00EC2D3C"/>
    <w:rsid w:val="00EC4613"/>
    <w:rsid w:val="00EC4D7B"/>
    <w:rsid w:val="00EC73B3"/>
    <w:rsid w:val="00ED0C09"/>
    <w:rsid w:val="00ED4AB4"/>
    <w:rsid w:val="00ED66BC"/>
    <w:rsid w:val="00EE03EE"/>
    <w:rsid w:val="00EE2DE9"/>
    <w:rsid w:val="00EE30FB"/>
    <w:rsid w:val="00EE3BD6"/>
    <w:rsid w:val="00EE42AF"/>
    <w:rsid w:val="00EE5403"/>
    <w:rsid w:val="00EE5D52"/>
    <w:rsid w:val="00EF043B"/>
    <w:rsid w:val="00EF22EE"/>
    <w:rsid w:val="00EF237E"/>
    <w:rsid w:val="00EF23DF"/>
    <w:rsid w:val="00EF2575"/>
    <w:rsid w:val="00EF571E"/>
    <w:rsid w:val="00F02A5F"/>
    <w:rsid w:val="00F0780D"/>
    <w:rsid w:val="00F120EE"/>
    <w:rsid w:val="00F16D65"/>
    <w:rsid w:val="00F17B83"/>
    <w:rsid w:val="00F20790"/>
    <w:rsid w:val="00F2351B"/>
    <w:rsid w:val="00F31043"/>
    <w:rsid w:val="00F32B29"/>
    <w:rsid w:val="00F32C46"/>
    <w:rsid w:val="00F41597"/>
    <w:rsid w:val="00F4292A"/>
    <w:rsid w:val="00F4296D"/>
    <w:rsid w:val="00F46396"/>
    <w:rsid w:val="00F53B8A"/>
    <w:rsid w:val="00F53FDC"/>
    <w:rsid w:val="00F55118"/>
    <w:rsid w:val="00F551AD"/>
    <w:rsid w:val="00F56E8C"/>
    <w:rsid w:val="00F61308"/>
    <w:rsid w:val="00F61547"/>
    <w:rsid w:val="00F619F6"/>
    <w:rsid w:val="00F625A9"/>
    <w:rsid w:val="00F673F0"/>
    <w:rsid w:val="00F7163B"/>
    <w:rsid w:val="00F721F0"/>
    <w:rsid w:val="00F7476C"/>
    <w:rsid w:val="00F758FF"/>
    <w:rsid w:val="00F76D5B"/>
    <w:rsid w:val="00F82F70"/>
    <w:rsid w:val="00F83300"/>
    <w:rsid w:val="00F868B9"/>
    <w:rsid w:val="00F8796D"/>
    <w:rsid w:val="00F87E49"/>
    <w:rsid w:val="00F912B1"/>
    <w:rsid w:val="00F91942"/>
    <w:rsid w:val="00F92F97"/>
    <w:rsid w:val="00F93B0E"/>
    <w:rsid w:val="00F93BEE"/>
    <w:rsid w:val="00F948D4"/>
    <w:rsid w:val="00F94A49"/>
    <w:rsid w:val="00F9540A"/>
    <w:rsid w:val="00F95673"/>
    <w:rsid w:val="00F96904"/>
    <w:rsid w:val="00F97147"/>
    <w:rsid w:val="00FA0AF2"/>
    <w:rsid w:val="00FA6626"/>
    <w:rsid w:val="00FB033D"/>
    <w:rsid w:val="00FB0DAB"/>
    <w:rsid w:val="00FB3AE9"/>
    <w:rsid w:val="00FB6C4D"/>
    <w:rsid w:val="00FB79C9"/>
    <w:rsid w:val="00FC0076"/>
    <w:rsid w:val="00FC0D19"/>
    <w:rsid w:val="00FC1156"/>
    <w:rsid w:val="00FC342C"/>
    <w:rsid w:val="00FC6AAC"/>
    <w:rsid w:val="00FD13E3"/>
    <w:rsid w:val="00FD37DC"/>
    <w:rsid w:val="00FD5516"/>
    <w:rsid w:val="00FD6D44"/>
    <w:rsid w:val="00FD72D9"/>
    <w:rsid w:val="00FD7366"/>
    <w:rsid w:val="00FE38AA"/>
    <w:rsid w:val="00FE7C65"/>
    <w:rsid w:val="00FF2267"/>
    <w:rsid w:val="00FF4009"/>
    <w:rsid w:val="00FF49EB"/>
    <w:rsid w:val="00FF4D85"/>
    <w:rsid w:val="031E2D70"/>
    <w:rsid w:val="07CE2AD5"/>
    <w:rsid w:val="0D08E893"/>
    <w:rsid w:val="0E49647A"/>
    <w:rsid w:val="23963B67"/>
    <w:rsid w:val="320E30F0"/>
    <w:rsid w:val="50767649"/>
    <w:rsid w:val="57F1E20C"/>
    <w:rsid w:val="589E6EEE"/>
    <w:rsid w:val="597577A7"/>
    <w:rsid w:val="6EF5B2A5"/>
    <w:rsid w:val="7B029554"/>
    <w:rsid w:val="7B290086"/>
    <w:rsid w:val="7BF77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34"/>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 w:type="paragraph" w:styleId="legp2paratext" w:customStyle="1">
    <w:name w:val="legp2paratext"/>
    <w:basedOn w:val="Normal"/>
    <w:rsid w:val="00D15103"/>
    <w:pPr>
      <w:spacing w:before="100" w:beforeAutospacing="1" w:after="100" w:afterAutospacing="1" w:line="240" w:lineRule="auto"/>
    </w:pPr>
    <w:rPr>
      <w:rFonts w:ascii="Times New Roman" w:hAnsi="Times New Roman"/>
      <w:color w:val="auto"/>
      <w:sz w:val="24"/>
      <w:szCs w:val="24"/>
      <w:lang w:eastAsia="en-GB"/>
    </w:rPr>
  </w:style>
  <w:style w:type="paragraph" w:styleId="legclearfix" w:customStyle="1">
    <w:name w:val="legclearfix"/>
    <w:basedOn w:val="Normal"/>
    <w:rsid w:val="00D15103"/>
    <w:pPr>
      <w:spacing w:before="100" w:beforeAutospacing="1" w:after="100" w:afterAutospacing="1" w:line="240" w:lineRule="auto"/>
    </w:pPr>
    <w:rPr>
      <w:rFonts w:ascii="Times New Roman" w:hAnsi="Times New Roman"/>
      <w:color w:val="auto"/>
      <w:sz w:val="24"/>
      <w:szCs w:val="24"/>
      <w:lang w:eastAsia="en-GB"/>
    </w:rPr>
  </w:style>
  <w:style w:type="character" w:styleId="legds" w:customStyle="1">
    <w:name w:val="legds"/>
    <w:basedOn w:val="DefaultParagraphFont"/>
    <w:rsid w:val="00D15103"/>
  </w:style>
  <w:style w:type="paragraph" w:styleId="legrhs" w:customStyle="1">
    <w:name w:val="legrhs"/>
    <w:basedOn w:val="Normal"/>
    <w:rsid w:val="00D15103"/>
    <w:pPr>
      <w:spacing w:before="100" w:beforeAutospacing="1" w:after="100" w:afterAutospacing="1" w:line="240" w:lineRule="auto"/>
    </w:pPr>
    <w:rPr>
      <w:rFonts w:ascii="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176891676">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40476432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424573787">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558661258">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gid-ta11324/documents/committee-papers-3"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process/pmg41/chapter/making-an-appeal" TargetMode="External"/><Relationship Id="rId2" Type="http://schemas.openxmlformats.org/officeDocument/2006/relationships/hyperlink" Target="https://www.nice.org.uk/process/pmg36/chapter/developing-the-guidance" TargetMode="External"/><Relationship Id="rId1" Type="http://schemas.openxmlformats.org/officeDocument/2006/relationships/hyperlink" Target="https://www.legislation.gov.uk/uksi/2013/259/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customXml/itemProps2.xml><?xml version="1.0" encoding="utf-8"?>
<ds:datastoreItem xmlns:ds="http://schemas.openxmlformats.org/officeDocument/2006/customXml" ds:itemID="{4FB02529-F7C5-4C4A-83C5-839FC87DD185}"/>
</file>

<file path=customXml/itemProps3.xml><?xml version="1.0" encoding="utf-8"?>
<ds:datastoreItem xmlns:ds="http://schemas.openxmlformats.org/officeDocument/2006/customXml" ds:itemID="{35D45B47-879C-4F8A-A233-3C294C78B760}"/>
</file>

<file path=customXml/itemProps4.xml><?xml version="1.0" encoding="utf-8"?>
<ds:datastoreItem xmlns:ds="http://schemas.openxmlformats.org/officeDocument/2006/customXml" ds:itemID="{013E20E6-6C61-4A84-BC8A-E76FB0D68C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Lynn Woodward</lastModifiedBy>
  <revision>6</revision>
  <dcterms:created xsi:type="dcterms:W3CDTF">2024-02-01T13:37:00.0000000Z</dcterms:created>
  <dcterms:modified xsi:type="dcterms:W3CDTF">2024-03-11T15:59:04.5139204Z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2024-02-01T15:29:12Z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5ed6a29e-fe14-4a12-93a2-9192f8be123f</vt:lpwstr>
  </property>
  <property fmtid="{D5CDD505-2E9C-101B-9397-08002B2CF9AE}" pid="8" name="MSIP_Label_c69d85d5-6d9e-4305-a294-1f636ec0f2d6_ContentBits">
    <vt:lpwstr>0</vt:lpwstr>
  </property>
  <property fmtid="{D5CDD505-2E9C-101B-9397-08002B2CF9AE}" pid="9" name="ContentTypeId">
    <vt:lpwstr>0x0101003300E5E64B980D458C754FFE05DEE26D</vt:lpwstr>
  </property>
  <property fmtid="{D5CDD505-2E9C-101B-9397-08002B2CF9AE}" pid="10" name="Order">
    <vt:r8>100</vt:r8>
  </property>
</Properties>
</file>