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E0686" w14:textId="77777777" w:rsidR="00E964CF" w:rsidRDefault="0022157B">
      <w:pPr>
        <w:spacing w:after="0" w:line="259" w:lineRule="auto"/>
        <w:ind w:left="-6369" w:right="791"/>
        <w:jc w:val="right"/>
      </w:pPr>
      <w:r>
        <w:rPr>
          <w:noProof/>
        </w:rPr>
        <w:drawing>
          <wp:anchor distT="0" distB="0" distL="114300" distR="114300" simplePos="0" relativeHeight="251658240" behindDoc="0" locked="0" layoutInCell="1" allowOverlap="0" wp14:anchorId="025EBF9A" wp14:editId="07E924F4">
            <wp:simplePos x="0" y="0"/>
            <wp:positionH relativeFrom="column">
              <wp:posOffset>-165098</wp:posOffset>
            </wp:positionH>
            <wp:positionV relativeFrom="paragraph">
              <wp:posOffset>-171535</wp:posOffset>
            </wp:positionV>
            <wp:extent cx="1485900" cy="104140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1485900" cy="1041400"/>
                    </a:xfrm>
                    <a:prstGeom prst="rect">
                      <a:avLst/>
                    </a:prstGeom>
                  </pic:spPr>
                </pic:pic>
              </a:graphicData>
            </a:graphic>
          </wp:anchor>
        </w:drawing>
      </w:r>
      <w:r>
        <w:rPr>
          <w:color w:val="0000C2"/>
          <w:sz w:val="16"/>
        </w:rPr>
        <w:t xml:space="preserve">Incyte Biosciences UK Ltd </w:t>
      </w:r>
    </w:p>
    <w:p w14:paraId="6CED4D5F" w14:textId="77777777" w:rsidR="00E964CF" w:rsidRDefault="0022157B">
      <w:pPr>
        <w:tabs>
          <w:tab w:val="center" w:pos="5813"/>
          <w:tab w:val="center" w:pos="6892"/>
        </w:tabs>
        <w:spacing w:after="2" w:line="259" w:lineRule="auto"/>
        <w:ind w:left="0" w:firstLine="0"/>
      </w:pPr>
      <w:r>
        <w:rPr>
          <w:rFonts w:ascii="Calibri" w:eastAsia="Calibri" w:hAnsi="Calibri" w:cs="Calibri"/>
          <w:sz w:val="22"/>
        </w:rPr>
        <w:tab/>
      </w:r>
      <w:r>
        <w:rPr>
          <w:color w:val="0000C2"/>
          <w:sz w:val="16"/>
        </w:rPr>
        <w:t xml:space="preserve"> </w:t>
      </w:r>
      <w:r>
        <w:rPr>
          <w:color w:val="0000C2"/>
          <w:sz w:val="16"/>
        </w:rPr>
        <w:tab/>
        <w:t xml:space="preserve">First Floor, Q1 </w:t>
      </w:r>
    </w:p>
    <w:p w14:paraId="66BE17BE" w14:textId="77777777" w:rsidR="00E964CF" w:rsidRDefault="0022157B">
      <w:pPr>
        <w:spacing w:after="0" w:line="259" w:lineRule="auto"/>
        <w:ind w:left="-6369" w:right="679"/>
        <w:jc w:val="right"/>
      </w:pPr>
      <w:r>
        <w:rPr>
          <w:color w:val="0000C2"/>
          <w:sz w:val="16"/>
        </w:rPr>
        <w:t xml:space="preserve">The Square, </w:t>
      </w:r>
      <w:proofErr w:type="spellStart"/>
      <w:r>
        <w:rPr>
          <w:color w:val="0000C2"/>
          <w:sz w:val="16"/>
        </w:rPr>
        <w:t>Randalls</w:t>
      </w:r>
      <w:proofErr w:type="spellEnd"/>
      <w:r>
        <w:rPr>
          <w:color w:val="0000C2"/>
          <w:sz w:val="16"/>
        </w:rPr>
        <w:t xml:space="preserve"> Way, </w:t>
      </w:r>
    </w:p>
    <w:p w14:paraId="25A1B2F6" w14:textId="77777777" w:rsidR="00E964CF" w:rsidRDefault="0022157B">
      <w:pPr>
        <w:spacing w:after="0" w:line="259" w:lineRule="auto"/>
        <w:ind w:left="-6369" w:right="945"/>
        <w:jc w:val="right"/>
      </w:pPr>
      <w:r>
        <w:rPr>
          <w:color w:val="0000C2"/>
          <w:sz w:val="16"/>
        </w:rPr>
        <w:t xml:space="preserve">Leatherhead KT22 7TW </w:t>
      </w:r>
    </w:p>
    <w:p w14:paraId="475B402A" w14:textId="77777777" w:rsidR="00E964CF" w:rsidRDefault="0022157B">
      <w:pPr>
        <w:tabs>
          <w:tab w:val="center" w:pos="5924"/>
          <w:tab w:val="center" w:pos="6913"/>
        </w:tabs>
        <w:spacing w:after="2" w:line="259" w:lineRule="auto"/>
        <w:ind w:left="0" w:firstLine="0"/>
      </w:pPr>
      <w:r>
        <w:rPr>
          <w:rFonts w:ascii="Calibri" w:eastAsia="Calibri" w:hAnsi="Calibri" w:cs="Calibri"/>
          <w:sz w:val="22"/>
        </w:rPr>
        <w:tab/>
      </w:r>
      <w:r>
        <w:rPr>
          <w:color w:val="0000C2"/>
          <w:sz w:val="16"/>
        </w:rPr>
        <w:t xml:space="preserve">Tel </w:t>
      </w:r>
      <w:r>
        <w:rPr>
          <w:color w:val="0000C2"/>
          <w:sz w:val="16"/>
        </w:rPr>
        <w:tab/>
        <w:t xml:space="preserve">0800 783 3711 </w:t>
      </w:r>
    </w:p>
    <w:p w14:paraId="12B958F6" w14:textId="77777777" w:rsidR="00E964CF" w:rsidRDefault="0022157B">
      <w:pPr>
        <w:tabs>
          <w:tab w:val="center" w:pos="5978"/>
          <w:tab w:val="center" w:pos="6957"/>
        </w:tabs>
        <w:spacing w:after="0" w:line="259" w:lineRule="auto"/>
        <w:ind w:left="0" w:firstLine="0"/>
      </w:pPr>
      <w:r>
        <w:rPr>
          <w:rFonts w:ascii="Calibri" w:eastAsia="Calibri" w:hAnsi="Calibri" w:cs="Calibri"/>
          <w:sz w:val="22"/>
        </w:rPr>
        <w:tab/>
      </w:r>
      <w:r>
        <w:rPr>
          <w:color w:val="0000C2"/>
          <w:sz w:val="16"/>
        </w:rPr>
        <w:t xml:space="preserve">Web </w:t>
      </w:r>
      <w:r>
        <w:rPr>
          <w:color w:val="0000C2"/>
          <w:sz w:val="16"/>
        </w:rPr>
        <w:tab/>
      </w:r>
      <w:r>
        <w:rPr>
          <w:color w:val="0000CA"/>
          <w:sz w:val="16"/>
          <w:u w:val="single" w:color="0000CA"/>
        </w:rPr>
        <w:t>www.incyte.com</w:t>
      </w:r>
      <w:r>
        <w:rPr>
          <w:color w:val="0000CA"/>
          <w:sz w:val="16"/>
        </w:rPr>
        <w:t xml:space="preserve"> </w:t>
      </w:r>
    </w:p>
    <w:p w14:paraId="6B9696B4" w14:textId="77777777" w:rsidR="00E964CF" w:rsidRDefault="0022157B">
      <w:pPr>
        <w:spacing w:after="0" w:line="259" w:lineRule="auto"/>
        <w:ind w:left="2640" w:firstLine="0"/>
        <w:jc w:val="center"/>
      </w:pPr>
      <w:r>
        <w:rPr>
          <w:color w:val="0000CA"/>
          <w:sz w:val="16"/>
        </w:rPr>
        <w:t xml:space="preserve"> </w:t>
      </w:r>
    </w:p>
    <w:p w14:paraId="0B206038" w14:textId="77777777" w:rsidR="00E964CF" w:rsidRDefault="0022157B">
      <w:pPr>
        <w:spacing w:after="64" w:line="259" w:lineRule="auto"/>
      </w:pPr>
      <w:r>
        <w:rPr>
          <w:color w:val="0000CA"/>
          <w:sz w:val="16"/>
          <w:u w:val="single" w:color="0000CA"/>
        </w:rPr>
        <w:t>Company Registration No. 08247692</w:t>
      </w:r>
      <w:r>
        <w:rPr>
          <w:color w:val="0000CA"/>
          <w:sz w:val="16"/>
        </w:rPr>
        <w:t xml:space="preserve"> </w:t>
      </w:r>
    </w:p>
    <w:p w14:paraId="7417FC50" w14:textId="77777777" w:rsidR="00E964CF" w:rsidRDefault="0022157B">
      <w:pPr>
        <w:spacing w:after="0" w:line="259" w:lineRule="auto"/>
        <w:ind w:left="0" w:firstLine="0"/>
      </w:pPr>
      <w:r>
        <w:rPr>
          <w:rFonts w:ascii="Calibri" w:eastAsia="Calibri" w:hAnsi="Calibri" w:cs="Calibri"/>
        </w:rPr>
        <w:t xml:space="preserve"> </w:t>
      </w:r>
    </w:p>
    <w:p w14:paraId="57377D33" w14:textId="77777777" w:rsidR="00E964CF" w:rsidRDefault="0022157B">
      <w:pPr>
        <w:spacing w:after="0" w:line="259" w:lineRule="auto"/>
        <w:ind w:left="0" w:firstLine="0"/>
      </w:pPr>
      <w:r>
        <w:t xml:space="preserve"> </w:t>
      </w:r>
    </w:p>
    <w:p w14:paraId="06CAFC5A" w14:textId="77777777" w:rsidR="00E964CF" w:rsidRDefault="0022157B">
      <w:pPr>
        <w:spacing w:after="0" w:line="259" w:lineRule="auto"/>
        <w:ind w:left="0" w:firstLine="0"/>
      </w:pPr>
      <w:r>
        <w:t xml:space="preserve"> </w:t>
      </w:r>
    </w:p>
    <w:p w14:paraId="343FAE9C" w14:textId="77777777" w:rsidR="00E964CF" w:rsidRDefault="0022157B">
      <w:pPr>
        <w:spacing w:after="140"/>
        <w:ind w:left="-5"/>
      </w:pPr>
      <w:r>
        <w:t>16</w:t>
      </w:r>
      <w:r>
        <w:rPr>
          <w:vertAlign w:val="superscript"/>
        </w:rPr>
        <w:t>th</w:t>
      </w:r>
      <w:r>
        <w:t xml:space="preserve"> September 2022 </w:t>
      </w:r>
    </w:p>
    <w:p w14:paraId="0A1A6D11" w14:textId="77777777" w:rsidR="00E964CF" w:rsidRDefault="0022157B">
      <w:pPr>
        <w:spacing w:after="19" w:line="259" w:lineRule="auto"/>
        <w:ind w:left="0" w:firstLine="0"/>
      </w:pPr>
      <w:r>
        <w:t xml:space="preserve"> </w:t>
      </w:r>
    </w:p>
    <w:p w14:paraId="32D6E936" w14:textId="77777777" w:rsidR="00E964CF" w:rsidRDefault="0022157B">
      <w:pPr>
        <w:ind w:left="-5"/>
      </w:pPr>
      <w:r>
        <w:t xml:space="preserve">Dr Mark Chakravarty </w:t>
      </w:r>
    </w:p>
    <w:p w14:paraId="79BD93C1" w14:textId="77777777" w:rsidR="00E964CF" w:rsidRDefault="0022157B">
      <w:pPr>
        <w:spacing w:after="31"/>
        <w:ind w:left="-5"/>
      </w:pPr>
      <w:r>
        <w:t xml:space="preserve">Lead Non-Executive Director for Appeals </w:t>
      </w:r>
    </w:p>
    <w:p w14:paraId="78DA5CD4" w14:textId="77777777" w:rsidR="00E964CF" w:rsidRDefault="0022157B">
      <w:pPr>
        <w:ind w:left="-5"/>
      </w:pPr>
      <w:r>
        <w:t xml:space="preserve">National Institute for Health and Care Excellence </w:t>
      </w:r>
    </w:p>
    <w:p w14:paraId="6C282BD2" w14:textId="77777777" w:rsidR="00E964CF" w:rsidRDefault="0022157B">
      <w:pPr>
        <w:ind w:left="-5"/>
      </w:pPr>
      <w:r>
        <w:t xml:space="preserve">2nd Floor </w:t>
      </w:r>
    </w:p>
    <w:p w14:paraId="5C260C67" w14:textId="77777777" w:rsidR="00E964CF" w:rsidRDefault="0022157B">
      <w:pPr>
        <w:ind w:left="-5"/>
      </w:pPr>
      <w:r>
        <w:t xml:space="preserve">2 Redman Place </w:t>
      </w:r>
    </w:p>
    <w:p w14:paraId="3AB6A1A9" w14:textId="77777777" w:rsidR="00E964CF" w:rsidRDefault="0022157B">
      <w:pPr>
        <w:spacing w:after="151"/>
        <w:ind w:left="-5"/>
      </w:pPr>
      <w:r>
        <w:t xml:space="preserve">London, E20 1JQ </w:t>
      </w:r>
    </w:p>
    <w:p w14:paraId="0B64ACDC" w14:textId="77777777" w:rsidR="00E964CF" w:rsidRDefault="0022157B">
      <w:pPr>
        <w:spacing w:after="259" w:line="259" w:lineRule="auto"/>
        <w:ind w:left="0" w:firstLine="0"/>
      </w:pPr>
      <w:r>
        <w:t xml:space="preserve"> </w:t>
      </w:r>
    </w:p>
    <w:p w14:paraId="30482CF2" w14:textId="77777777" w:rsidR="00E964CF" w:rsidRDefault="0022157B">
      <w:pPr>
        <w:spacing w:after="297"/>
        <w:ind w:left="-5"/>
      </w:pPr>
      <w:r>
        <w:t xml:space="preserve">Dear Dr Chakravarty, </w:t>
      </w:r>
    </w:p>
    <w:p w14:paraId="5BF0FC28" w14:textId="77777777" w:rsidR="00E964CF" w:rsidRDefault="0022157B">
      <w:pPr>
        <w:spacing w:after="248" w:line="268" w:lineRule="auto"/>
        <w:ind w:left="-5"/>
        <w:jc w:val="both"/>
      </w:pPr>
      <w:r>
        <w:rPr>
          <w:b/>
        </w:rPr>
        <w:t>APPEAL AGAINST THE FINAL APPRAISAL DOCUMENT FOR TAFASITAMAB WITH LENALIDOMIDE FOR TREATING RELAP</w:t>
      </w:r>
      <w:r>
        <w:rPr>
          <w:b/>
        </w:rPr>
        <w:t xml:space="preserve">SED OR REFRACTORY DIFFUSE LARGE B-CELL LYMPHOMA [ID3795].  </w:t>
      </w:r>
    </w:p>
    <w:p w14:paraId="470665DE" w14:textId="77777777" w:rsidR="00E964CF" w:rsidRDefault="0022157B">
      <w:pPr>
        <w:pStyle w:val="Heading1"/>
        <w:spacing w:after="39" w:line="267" w:lineRule="auto"/>
        <w:ind w:left="-5" w:right="0" w:hanging="10"/>
        <w:jc w:val="left"/>
      </w:pPr>
      <w:r>
        <w:rPr>
          <w:sz w:val="24"/>
          <w:u w:val="single" w:color="000000"/>
        </w:rPr>
        <w:t>Executive Summary</w:t>
      </w:r>
      <w:r>
        <w:rPr>
          <w:sz w:val="24"/>
        </w:rPr>
        <w:t xml:space="preserve"> </w:t>
      </w:r>
    </w:p>
    <w:p w14:paraId="5B7EDF98" w14:textId="77777777" w:rsidR="00E964CF" w:rsidRDefault="0022157B">
      <w:pPr>
        <w:spacing w:line="301" w:lineRule="auto"/>
        <w:ind w:left="-5"/>
      </w:pPr>
      <w:r>
        <w:t xml:space="preserve">Incyte Biosciences UK Ltd (“Incyte”), wish to appeal the above Final Appraisal Document (“FAD”) and the Committee’s conclusion that </w:t>
      </w:r>
      <w:proofErr w:type="spellStart"/>
      <w:r>
        <w:t>tafasitamab</w:t>
      </w:r>
      <w:proofErr w:type="spellEnd"/>
      <w:r>
        <w:t xml:space="preserve"> should not be recommended for rou</w:t>
      </w:r>
      <w:r>
        <w:t xml:space="preserve">tine funding.  </w:t>
      </w:r>
    </w:p>
    <w:p w14:paraId="2D54C447" w14:textId="77777777" w:rsidR="00E964CF" w:rsidRDefault="0022157B">
      <w:pPr>
        <w:spacing w:after="48" w:line="259" w:lineRule="auto"/>
        <w:ind w:left="0" w:firstLine="0"/>
      </w:pPr>
      <w:r>
        <w:t xml:space="preserve"> </w:t>
      </w:r>
    </w:p>
    <w:p w14:paraId="27FAAD83" w14:textId="77777777" w:rsidR="00E964CF" w:rsidRDefault="0022157B">
      <w:pPr>
        <w:spacing w:after="177"/>
        <w:ind w:left="-5"/>
      </w:pPr>
      <w:r>
        <w:t xml:space="preserve">Incyte’s appeal is based on the following grounds: </w:t>
      </w:r>
    </w:p>
    <w:p w14:paraId="56DF4CA3" w14:textId="77777777" w:rsidR="00E964CF" w:rsidRDefault="0022157B">
      <w:pPr>
        <w:spacing w:after="129" w:line="268" w:lineRule="auto"/>
        <w:ind w:left="-5"/>
        <w:jc w:val="both"/>
      </w:pPr>
      <w:r>
        <w:rPr>
          <w:b/>
        </w:rPr>
        <w:t xml:space="preserve">Ground 1a </w:t>
      </w:r>
    </w:p>
    <w:p w14:paraId="4F8BDF15" w14:textId="77777777" w:rsidR="00E964CF" w:rsidRDefault="0022157B">
      <w:pPr>
        <w:spacing w:after="146"/>
        <w:ind w:left="-5"/>
      </w:pPr>
      <w:r>
        <w:t xml:space="preserve">1a.1 The Committee has not taken loss of lenalidomide exclusivity and the associated impact on lenalidomide costs into account in the context of this appraisal </w:t>
      </w:r>
    </w:p>
    <w:p w14:paraId="43FA089D" w14:textId="77777777" w:rsidR="00E964CF" w:rsidRDefault="0022157B">
      <w:pPr>
        <w:spacing w:after="126"/>
        <w:ind w:left="-5"/>
      </w:pPr>
      <w:r>
        <w:t xml:space="preserve">1a.2 The Committee’s conclusions regarding the cost-effectiveness of </w:t>
      </w:r>
      <w:proofErr w:type="spellStart"/>
      <w:r>
        <w:t>tafasitamab</w:t>
      </w:r>
      <w:proofErr w:type="spellEnd"/>
      <w:r>
        <w:t xml:space="preserve"> and lenalidomi</w:t>
      </w:r>
      <w:r>
        <w:t>de lack transparency and are therefore unfair</w:t>
      </w:r>
      <w:r>
        <w:rPr>
          <w:color w:val="002251"/>
          <w:sz w:val="26"/>
        </w:rPr>
        <w:t xml:space="preserve"> </w:t>
      </w:r>
    </w:p>
    <w:p w14:paraId="6A293CA9" w14:textId="77777777" w:rsidR="00E964CF" w:rsidRDefault="0022157B">
      <w:pPr>
        <w:spacing w:after="122" w:line="276" w:lineRule="auto"/>
        <w:ind w:left="-5" w:right="-13"/>
        <w:jc w:val="both"/>
      </w:pPr>
      <w:r>
        <w:t xml:space="preserve">1a.3 The Committee’s decision that </w:t>
      </w:r>
      <w:proofErr w:type="spellStart"/>
      <w:r>
        <w:t>tafasitamab</w:t>
      </w:r>
      <w:proofErr w:type="spellEnd"/>
      <w:r>
        <w:t xml:space="preserve"> and lenalidomide should not be recommended for use through the Cancer Drugs Fund in view of the lack of comparative evidence is procedurally unfair </w:t>
      </w:r>
    </w:p>
    <w:p w14:paraId="4B090020" w14:textId="77777777" w:rsidR="00E964CF" w:rsidRDefault="0022157B">
      <w:pPr>
        <w:spacing w:after="0" w:line="259" w:lineRule="auto"/>
        <w:ind w:left="0" w:firstLine="0"/>
      </w:pPr>
      <w:r>
        <w:t xml:space="preserve"> </w:t>
      </w:r>
    </w:p>
    <w:p w14:paraId="3356B892" w14:textId="77777777" w:rsidR="00E964CF" w:rsidRDefault="0022157B">
      <w:pPr>
        <w:spacing w:after="129" w:line="268" w:lineRule="auto"/>
        <w:ind w:left="-5"/>
        <w:jc w:val="both"/>
      </w:pPr>
      <w:r>
        <w:rPr>
          <w:b/>
        </w:rPr>
        <w:t xml:space="preserve">Ground 2 </w:t>
      </w:r>
    </w:p>
    <w:p w14:paraId="20F396ED" w14:textId="77777777" w:rsidR="00E964CF" w:rsidRDefault="0022157B">
      <w:pPr>
        <w:spacing w:after="1" w:line="276" w:lineRule="auto"/>
        <w:ind w:left="-5" w:right="-13"/>
        <w:jc w:val="both"/>
      </w:pPr>
      <w:r>
        <w:t>2.1 The Committee’s conclusion that patients eli</w:t>
      </w:r>
      <w:r>
        <w:t xml:space="preserve">gible for treatment with </w:t>
      </w:r>
      <w:proofErr w:type="spellStart"/>
      <w:r>
        <w:t>tafasitamab</w:t>
      </w:r>
      <w:proofErr w:type="spellEnd"/>
      <w:r>
        <w:t xml:space="preserve"> and lenalidomide do not meet the </w:t>
      </w:r>
      <w:proofErr w:type="gramStart"/>
      <w:r>
        <w:t>end of life</w:t>
      </w:r>
      <w:proofErr w:type="gramEnd"/>
      <w:r>
        <w:t xml:space="preserve"> criteria does not reflect the balance of the available evidence </w:t>
      </w:r>
    </w:p>
    <w:p w14:paraId="3BF1CC6D" w14:textId="77777777" w:rsidR="00E964CF" w:rsidRDefault="0022157B">
      <w:pPr>
        <w:spacing w:after="98" w:line="259" w:lineRule="auto"/>
        <w:ind w:left="0" w:firstLine="0"/>
      </w:pPr>
      <w:r>
        <w:lastRenderedPageBreak/>
        <w:t xml:space="preserve"> </w:t>
      </w:r>
    </w:p>
    <w:p w14:paraId="463C52A1" w14:textId="77777777" w:rsidR="00E964CF" w:rsidRDefault="0022157B">
      <w:pPr>
        <w:spacing w:after="1" w:line="276" w:lineRule="auto"/>
        <w:ind w:left="-5" w:right="-13"/>
        <w:jc w:val="both"/>
      </w:pPr>
      <w:r>
        <w:t>2.2 The Committee’s conclusion that the company’s base case ICERs were not plausible because the model surv</w:t>
      </w:r>
      <w:r>
        <w:t xml:space="preserve">ival outputs were not consistent with TA 649 disregards the evidence generated since that appraisal   </w:t>
      </w:r>
    </w:p>
    <w:p w14:paraId="133ACCF2" w14:textId="77777777" w:rsidR="00E964CF" w:rsidRDefault="0022157B">
      <w:pPr>
        <w:spacing w:after="0" w:line="259" w:lineRule="auto"/>
        <w:ind w:left="0" w:firstLine="0"/>
      </w:pPr>
      <w:r>
        <w:t xml:space="preserve"> </w:t>
      </w:r>
    </w:p>
    <w:p w14:paraId="51D52D50" w14:textId="77777777" w:rsidR="00E964CF" w:rsidRDefault="0022157B">
      <w:pPr>
        <w:spacing w:after="230"/>
        <w:ind w:left="-5"/>
      </w:pPr>
      <w:r>
        <w:t xml:space="preserve">2.3 </w:t>
      </w:r>
      <w:r>
        <w:tab/>
        <w:t xml:space="preserve">The Committee’s conclusion that the evidence presented did not demonstrate that </w:t>
      </w:r>
      <w:proofErr w:type="spellStart"/>
      <w:r>
        <w:t>tafasitamab</w:t>
      </w:r>
      <w:proofErr w:type="spellEnd"/>
      <w:r>
        <w:t xml:space="preserve"> is innovative is inconsistent with the Promising Innov</w:t>
      </w:r>
      <w:r>
        <w:t xml:space="preserve">ative Medicine (PIM) designation by MHRA and the Committee’s own conclusions elsewhere in the FAD  </w:t>
      </w:r>
    </w:p>
    <w:p w14:paraId="7A384840" w14:textId="77777777" w:rsidR="00E964CF" w:rsidRDefault="0022157B">
      <w:pPr>
        <w:pStyle w:val="Heading1"/>
        <w:spacing w:after="277" w:line="267" w:lineRule="auto"/>
        <w:ind w:left="-5" w:right="0" w:hanging="10"/>
        <w:jc w:val="left"/>
      </w:pPr>
      <w:r>
        <w:rPr>
          <w:sz w:val="24"/>
          <w:u w:val="single" w:color="000000"/>
        </w:rPr>
        <w:t>Introduction</w:t>
      </w:r>
      <w:r>
        <w:rPr>
          <w:sz w:val="24"/>
        </w:rPr>
        <w:t xml:space="preserve"> </w:t>
      </w:r>
    </w:p>
    <w:p w14:paraId="5C38B88F" w14:textId="77777777" w:rsidR="00E964CF" w:rsidRDefault="0022157B">
      <w:pPr>
        <w:spacing w:after="238" w:line="301" w:lineRule="auto"/>
        <w:ind w:left="-5"/>
      </w:pPr>
      <w:r>
        <w:t xml:space="preserve">We provide below background information in relation to diffuse B-cell lymphoma (DLBCL) and </w:t>
      </w:r>
      <w:proofErr w:type="spellStart"/>
      <w:r>
        <w:t>tafasitamab</w:t>
      </w:r>
      <w:proofErr w:type="spellEnd"/>
      <w:r>
        <w:t xml:space="preserve"> in order to assist the Appeal Panel. This information does not however replace the more detailed information supplied to NICE in the original submission </w:t>
      </w:r>
      <w:r>
        <w:t xml:space="preserve">from Incyte, to which we refer for the purposes of this appeal. </w:t>
      </w:r>
    </w:p>
    <w:p w14:paraId="070D22CA" w14:textId="77777777" w:rsidR="00E964CF" w:rsidRDefault="0022157B">
      <w:pPr>
        <w:pStyle w:val="Heading2"/>
        <w:ind w:left="-5"/>
      </w:pPr>
      <w:r>
        <w:t>Diffuse large B-cell lymphoma (DLBCL)</w:t>
      </w:r>
      <w:r>
        <w:rPr>
          <w:u w:val="none"/>
        </w:rPr>
        <w:t xml:space="preserve">  </w:t>
      </w:r>
    </w:p>
    <w:p w14:paraId="1DFC54E2" w14:textId="77777777" w:rsidR="00E964CF" w:rsidRDefault="0022157B">
      <w:pPr>
        <w:spacing w:after="238" w:line="300" w:lineRule="auto"/>
        <w:ind w:left="-5"/>
      </w:pPr>
      <w:r>
        <w:t>Diffuse large B-cell lymphoma (DLBCL) is a rare form of lymphoma affecting just under 5,000 individuals in the UK, and therefore meeting orphan disease</w:t>
      </w:r>
      <w:r>
        <w:t xml:space="preserve"> criteria. DLBCL is a high-grade, aggressive subtype of B-cell non-Hodgkin’s lymphoma (NHL) and comprises large neoplastic B lymphoid cells that express pan B-cell antigens, including CD19 and CD20. The disease and its treatment produces material detriment</w:t>
      </w:r>
      <w:r>
        <w:t xml:space="preserve">al effects on the quality of life of affected patients </w:t>
      </w:r>
      <w:proofErr w:type="gramStart"/>
      <w:r>
        <w:t>and  substantially</w:t>
      </w:r>
      <w:proofErr w:type="gramEnd"/>
      <w:r>
        <w:t xml:space="preserve"> impacts the lives of patients, their families and caregivers  </w:t>
      </w:r>
    </w:p>
    <w:p w14:paraId="74513019" w14:textId="77777777" w:rsidR="00E964CF" w:rsidRDefault="0022157B">
      <w:pPr>
        <w:pStyle w:val="Heading2"/>
        <w:ind w:left="-5"/>
      </w:pPr>
      <w:r>
        <w:t>DLBCL treatment pathway</w:t>
      </w:r>
      <w:r>
        <w:rPr>
          <w:u w:val="none"/>
        </w:rPr>
        <w:t xml:space="preserve"> </w:t>
      </w:r>
    </w:p>
    <w:p w14:paraId="69AF32A7" w14:textId="77777777" w:rsidR="00E964CF" w:rsidRDefault="0022157B">
      <w:pPr>
        <w:spacing w:after="50"/>
        <w:ind w:left="-5"/>
      </w:pPr>
      <w:r>
        <w:t>First-line (1L) treatment for DLBCL is chemoimmunotherapy with rituximab, cyclophosphamide, do</w:t>
      </w:r>
      <w:r>
        <w:t>xorubicin hydrochloride (hydroxydaunorubicin), vincristine sulphate and prednisone (R-CHOP). While 1L treatment initially results in good outcomes, 10-20% of patients are refractory to 1L R-CHOP and an additional ~40% of patients relapse following an initi</w:t>
      </w:r>
      <w:r>
        <w:t>al complete response (CR) to R-CHOP. For patients with relapsed or refractory (R/R) DLBCL, prognosis is poor, with median overall survival (OS) estimates ranging from 5.0 to 22.2 months across 11 of 20 studies identified in a systematic literature review (</w:t>
      </w:r>
      <w:r>
        <w:t xml:space="preserve">SLR; June 2019; </w:t>
      </w:r>
      <w:proofErr w:type="spellStart"/>
      <w:r>
        <w:t>Thuresson</w:t>
      </w:r>
      <w:proofErr w:type="spellEnd"/>
      <w:r>
        <w:t xml:space="preserve"> P-O </w:t>
      </w:r>
      <w:r>
        <w:rPr>
          <w:i/>
        </w:rPr>
        <w:t>et al.</w:t>
      </w:r>
      <w:r>
        <w:t xml:space="preserve"> </w:t>
      </w:r>
      <w:r>
        <w:rPr>
          <w:i/>
        </w:rPr>
        <w:t xml:space="preserve">Adv </w:t>
      </w:r>
      <w:proofErr w:type="spellStart"/>
      <w:r>
        <w:rPr>
          <w:i/>
        </w:rPr>
        <w:t>Ther</w:t>
      </w:r>
      <w:proofErr w:type="spellEnd"/>
      <w:r>
        <w:rPr>
          <w:i/>
        </w:rPr>
        <w:t>.</w:t>
      </w:r>
      <w:r>
        <w:t xml:space="preserve"> 2020;37(12):4877-4893).  </w:t>
      </w:r>
    </w:p>
    <w:p w14:paraId="01372F60" w14:textId="77777777" w:rsidR="00E964CF" w:rsidRDefault="0022157B">
      <w:pPr>
        <w:spacing w:after="291"/>
        <w:ind w:left="-5"/>
      </w:pPr>
      <w:r>
        <w:t>Potentially curative options for R/R DLBCL include high-dose chemotherapy (HDCT) followed by autologous stem cell transplant (ASCT), and chimeric antigen receptor T-cell therapy (CAR-</w:t>
      </w:r>
      <w:r>
        <w:t>T; currently available only through the Cancer Drugs Fund (“CDF”) as third line treatment). However, these treatment options are intensive, and about 50% of patients are not eligible for ASCT at relapse due to older age or comorbidities. A further proporti</w:t>
      </w:r>
      <w:r>
        <w:t xml:space="preserve">on of patients do not respond to HDCT or relapse after ASCT (or CAR-T); therefore, most patients with R/R DLBCL may ultimately become ineligible for ASCT  </w:t>
      </w:r>
    </w:p>
    <w:p w14:paraId="3D212F45" w14:textId="77777777" w:rsidR="00E964CF" w:rsidRDefault="0022157B">
      <w:pPr>
        <w:spacing w:after="238" w:line="300" w:lineRule="auto"/>
        <w:ind w:left="-5"/>
      </w:pPr>
      <w:r>
        <w:lastRenderedPageBreak/>
        <w:t>For patients with R/R DLBCL who are ineligible for ASCT, there are limited treatment options. Follow</w:t>
      </w:r>
      <w:r>
        <w:t xml:space="preserve">ing NICE TA649, in September 2020 standard of care (SoC) with </w:t>
      </w:r>
      <w:proofErr w:type="spellStart"/>
      <w:r>
        <w:t>polatuzumab</w:t>
      </w:r>
      <w:proofErr w:type="spellEnd"/>
      <w:r>
        <w:t xml:space="preserve"> </w:t>
      </w:r>
      <w:proofErr w:type="spellStart"/>
      <w:r>
        <w:t>vedotin</w:t>
      </w:r>
      <w:proofErr w:type="spellEnd"/>
      <w:r>
        <w:t xml:space="preserve"> with </w:t>
      </w:r>
      <w:proofErr w:type="spellStart"/>
      <w:r>
        <w:t>bendamustine</w:t>
      </w:r>
      <w:proofErr w:type="spellEnd"/>
      <w:r>
        <w:t xml:space="preserve"> and rituximab (POLA+BR) has been </w:t>
      </w:r>
      <w:proofErr w:type="gramStart"/>
      <w:r>
        <w:t>established.(</w:t>
      </w:r>
      <w:proofErr w:type="gramEnd"/>
      <w:r>
        <w:t>1) However, for a substantial proportion of patients, there remains a considerable unmet need for effective an</w:t>
      </w:r>
      <w:r>
        <w:t xml:space="preserve">d well tolerated therapies to manage this aggressive and difficult-to-treat disease. </w:t>
      </w:r>
    </w:p>
    <w:p w14:paraId="3D1F4927" w14:textId="77777777" w:rsidR="00E964CF" w:rsidRDefault="0022157B">
      <w:pPr>
        <w:pStyle w:val="Heading2"/>
        <w:ind w:left="-5"/>
      </w:pPr>
      <w:proofErr w:type="spellStart"/>
      <w:r>
        <w:t>Tafasitamab</w:t>
      </w:r>
      <w:proofErr w:type="spellEnd"/>
      <w:r>
        <w:t xml:space="preserve"> in combination with lenalidomide</w:t>
      </w:r>
      <w:r>
        <w:rPr>
          <w:u w:val="none"/>
        </w:rPr>
        <w:t xml:space="preserve"> </w:t>
      </w:r>
    </w:p>
    <w:p w14:paraId="74462F5D" w14:textId="77777777" w:rsidR="00E964CF" w:rsidRDefault="0022157B">
      <w:pPr>
        <w:spacing w:after="240" w:line="300" w:lineRule="auto"/>
        <w:ind w:left="-5"/>
      </w:pPr>
      <w:proofErr w:type="spellStart"/>
      <w:r>
        <w:t>Tafasitamab</w:t>
      </w:r>
      <w:proofErr w:type="spellEnd"/>
      <w:r>
        <w:t xml:space="preserve"> with lenalidomide followed by </w:t>
      </w:r>
      <w:proofErr w:type="spellStart"/>
      <w:r>
        <w:t>tafasitamab</w:t>
      </w:r>
      <w:proofErr w:type="spellEnd"/>
      <w:r>
        <w:t xml:space="preserve"> monotherapy (</w:t>
      </w:r>
      <w:proofErr w:type="spellStart"/>
      <w:r>
        <w:t>tafasitamab</w:t>
      </w:r>
      <w:proofErr w:type="spellEnd"/>
      <w:r>
        <w:t xml:space="preserve"> and lenalidomide) is a novel immunological, c</w:t>
      </w:r>
      <w:r>
        <w:t xml:space="preserve">hemotherapy-free combination indicated for patients with R/R DLBCL who are not eligible for ASCT. The pivotal study supporting the submission for </w:t>
      </w:r>
      <w:proofErr w:type="spellStart"/>
      <w:r>
        <w:t>tafasitamab</w:t>
      </w:r>
      <w:proofErr w:type="spellEnd"/>
      <w:r>
        <w:t xml:space="preserve"> and lenalidomide in R/R DLBCL is L-MIND, a phase II, single-arm open-label international clinical </w:t>
      </w:r>
      <w:r>
        <w:t xml:space="preserve">trial which enrolled 81 patients with R/R DLBCL who were ineligible for ASCT.  </w:t>
      </w:r>
    </w:p>
    <w:p w14:paraId="4393E697" w14:textId="77777777" w:rsidR="00E964CF" w:rsidRDefault="0022157B">
      <w:pPr>
        <w:spacing w:after="55"/>
        <w:ind w:left="-5"/>
      </w:pPr>
      <w:r>
        <w:t xml:space="preserve">Based on the promising results of L-MIND, </w:t>
      </w:r>
      <w:proofErr w:type="spellStart"/>
      <w:r>
        <w:t>tafasitamab</w:t>
      </w:r>
      <w:proofErr w:type="spellEnd"/>
      <w:r>
        <w:t xml:space="preserve"> was granted a Promising </w:t>
      </w:r>
    </w:p>
    <w:p w14:paraId="1C020699" w14:textId="77777777" w:rsidR="00E964CF" w:rsidRDefault="0022157B">
      <w:pPr>
        <w:spacing w:line="301" w:lineRule="auto"/>
        <w:ind w:left="-5"/>
      </w:pPr>
      <w:r>
        <w:t>Innovative Medicines (PIM) designation by the Medicines and Healthcare products Regulatory Agency</w:t>
      </w:r>
      <w:r>
        <w:t xml:space="preserve"> (MHRA) in the UK (January 2020 – PIM 2019/0012) and accelerated approval from the US Food and Drug Administration (FDA; 1 July 2020). </w:t>
      </w:r>
    </w:p>
    <w:p w14:paraId="14C3E9F6" w14:textId="77777777" w:rsidR="00E964CF" w:rsidRDefault="0022157B">
      <w:pPr>
        <w:spacing w:line="300" w:lineRule="auto"/>
        <w:ind w:left="-5"/>
      </w:pPr>
      <w:r>
        <w:t xml:space="preserve">A conditional marketing authorisation was granted for </w:t>
      </w:r>
      <w:proofErr w:type="spellStart"/>
      <w:r>
        <w:t>tafasitamab</w:t>
      </w:r>
      <w:proofErr w:type="spellEnd"/>
      <w:r>
        <w:t xml:space="preserve"> by the European Commission in August 2021 and by the M</w:t>
      </w:r>
      <w:r>
        <w:t>HRA in October 2021; conditional marketing authorisations are granted where comprehensive clinical data are not yet complete but the benefit of immediate availability of the medicine outweighs the risk inherent in the fact that additional data are still re</w:t>
      </w:r>
      <w:r>
        <w:t xml:space="preserve">quired.  Orphan designation for </w:t>
      </w:r>
      <w:proofErr w:type="spellStart"/>
      <w:r>
        <w:t>tafasitamab</w:t>
      </w:r>
      <w:proofErr w:type="spellEnd"/>
      <w:r>
        <w:t xml:space="preserve"> was maintained/granted in 2021 after the EMA and MHRA concluded that duration of response could be clinically relevant and supportive of a significant benefit over POLA+BR (based on matching adjusted indirect com</w:t>
      </w:r>
      <w:r>
        <w:t xml:space="preserve">parison [MAIC] analysis).  </w:t>
      </w:r>
    </w:p>
    <w:p w14:paraId="3AF335B2" w14:textId="77777777" w:rsidR="00E964CF" w:rsidRDefault="0022157B">
      <w:pPr>
        <w:pStyle w:val="Heading2"/>
        <w:ind w:left="-5"/>
      </w:pPr>
      <w:r>
        <w:t>Comparative effectiveness assessment</w:t>
      </w:r>
      <w:r>
        <w:rPr>
          <w:u w:val="none"/>
        </w:rPr>
        <w:t xml:space="preserve"> </w:t>
      </w:r>
    </w:p>
    <w:p w14:paraId="1F5FB167" w14:textId="77777777" w:rsidR="00E964CF" w:rsidRDefault="0022157B">
      <w:pPr>
        <w:spacing w:after="238" w:line="300" w:lineRule="auto"/>
        <w:ind w:left="-5"/>
      </w:pPr>
      <w:r>
        <w:t xml:space="preserve">Comparators for the submission were rituximab-based </w:t>
      </w:r>
      <w:proofErr w:type="spellStart"/>
      <w:r>
        <w:t>chemoimmunotherapies</w:t>
      </w:r>
      <w:proofErr w:type="spellEnd"/>
      <w:r>
        <w:t xml:space="preserve">. The Committee agreed that the key comparator was POLA+BR; </w:t>
      </w:r>
      <w:proofErr w:type="spellStart"/>
      <w:r>
        <w:t>bendamustine</w:t>
      </w:r>
      <w:proofErr w:type="spellEnd"/>
      <w:r>
        <w:t xml:space="preserve"> with rituximab (BR) and rituximab with gemcit</w:t>
      </w:r>
      <w:r>
        <w:t>abine and oxaliplatin (R-</w:t>
      </w:r>
      <w:proofErr w:type="spellStart"/>
      <w:r>
        <w:t>GemOx</w:t>
      </w:r>
      <w:proofErr w:type="spellEnd"/>
      <w:r>
        <w:t>) were also considered relevant comparators: BR was the comparator for POLA+BR in NICE TA649; while R-</w:t>
      </w:r>
      <w:proofErr w:type="spellStart"/>
      <w:r>
        <w:t>GemOx</w:t>
      </w:r>
      <w:proofErr w:type="spellEnd"/>
      <w:r>
        <w:t xml:space="preserve"> is a chemoimmunotherapy commonly used as a comparator in clinical trials and in UK clinical practice prior to introduc</w:t>
      </w:r>
      <w:r>
        <w:t xml:space="preserve">tion of POLA+BR.  </w:t>
      </w:r>
    </w:p>
    <w:p w14:paraId="352577B0" w14:textId="77777777" w:rsidR="00E964CF" w:rsidRDefault="0022157B">
      <w:pPr>
        <w:spacing w:after="241" w:line="300" w:lineRule="auto"/>
        <w:ind w:left="-5"/>
      </w:pPr>
      <w:r>
        <w:t xml:space="preserve">As the submission was based on the single-arm L-MIND study, comparative efficacy was assessed via indirect treatment comparisons: a MAIC of published evidence for TAFA+LEN versus </w:t>
      </w:r>
      <w:proofErr w:type="gramStart"/>
      <w:r>
        <w:t>comparators,(</w:t>
      </w:r>
      <w:proofErr w:type="gramEnd"/>
      <w:r>
        <w:t>2) and the RE-MIND2 study, which used 1:1 mat</w:t>
      </w:r>
      <w:r>
        <w:t xml:space="preserve">ching of patients in L-MIND to patients in a retrospective cohort receiving NCCN guideline-recommended treatments.  </w:t>
      </w:r>
    </w:p>
    <w:p w14:paraId="796D6869" w14:textId="77777777" w:rsidR="00E964CF" w:rsidRDefault="0022157B">
      <w:pPr>
        <w:pStyle w:val="Heading1"/>
        <w:spacing w:after="39" w:line="267" w:lineRule="auto"/>
        <w:ind w:left="-5" w:right="0" w:hanging="10"/>
        <w:jc w:val="left"/>
      </w:pPr>
      <w:r>
        <w:rPr>
          <w:sz w:val="24"/>
          <w:u w:val="single" w:color="000000"/>
        </w:rPr>
        <w:lastRenderedPageBreak/>
        <w:t>Procedural history of the appraisal</w:t>
      </w:r>
      <w:r>
        <w:rPr>
          <w:sz w:val="24"/>
        </w:rPr>
        <w:t xml:space="preserve"> </w:t>
      </w:r>
    </w:p>
    <w:p w14:paraId="754B7D4D" w14:textId="77777777" w:rsidR="00E964CF" w:rsidRDefault="0022157B">
      <w:pPr>
        <w:spacing w:after="0" w:line="259" w:lineRule="auto"/>
        <w:ind w:left="0" w:firstLine="0"/>
      </w:pPr>
      <w:r>
        <w:t xml:space="preserve"> </w:t>
      </w:r>
    </w:p>
    <w:tbl>
      <w:tblPr>
        <w:tblStyle w:val="TableGrid"/>
        <w:tblW w:w="9017" w:type="dxa"/>
        <w:tblInd w:w="5" w:type="dxa"/>
        <w:tblCellMar>
          <w:top w:w="53" w:type="dxa"/>
          <w:left w:w="108" w:type="dxa"/>
          <w:bottom w:w="0" w:type="dxa"/>
          <w:right w:w="44" w:type="dxa"/>
        </w:tblCellMar>
        <w:tblLook w:val="04A0" w:firstRow="1" w:lastRow="0" w:firstColumn="1" w:lastColumn="0" w:noHBand="0" w:noVBand="1"/>
      </w:tblPr>
      <w:tblGrid>
        <w:gridCol w:w="2767"/>
        <w:gridCol w:w="6250"/>
      </w:tblGrid>
      <w:tr w:rsidR="00E964CF" w14:paraId="19AB301E" w14:textId="77777777">
        <w:trPr>
          <w:trHeight w:val="286"/>
        </w:trPr>
        <w:tc>
          <w:tcPr>
            <w:tcW w:w="2767" w:type="dxa"/>
            <w:tcBorders>
              <w:top w:val="single" w:sz="4" w:space="0" w:color="000000"/>
              <w:left w:val="single" w:sz="4" w:space="0" w:color="000000"/>
              <w:bottom w:val="single" w:sz="4" w:space="0" w:color="000000"/>
              <w:right w:val="single" w:sz="4" w:space="0" w:color="000000"/>
            </w:tcBorders>
          </w:tcPr>
          <w:p w14:paraId="6C12E83C" w14:textId="77777777" w:rsidR="00E964CF" w:rsidRDefault="0022157B">
            <w:pPr>
              <w:spacing w:after="0" w:line="259" w:lineRule="auto"/>
              <w:ind w:left="0" w:firstLine="0"/>
            </w:pPr>
            <w:r>
              <w:rPr>
                <w:b/>
              </w:rPr>
              <w:t xml:space="preserve">Date </w:t>
            </w:r>
          </w:p>
        </w:tc>
        <w:tc>
          <w:tcPr>
            <w:tcW w:w="6250" w:type="dxa"/>
            <w:tcBorders>
              <w:top w:val="single" w:sz="4" w:space="0" w:color="000000"/>
              <w:left w:val="single" w:sz="4" w:space="0" w:color="000000"/>
              <w:bottom w:val="single" w:sz="4" w:space="0" w:color="000000"/>
              <w:right w:val="single" w:sz="4" w:space="0" w:color="000000"/>
            </w:tcBorders>
          </w:tcPr>
          <w:p w14:paraId="2C6429FA" w14:textId="77777777" w:rsidR="00E964CF" w:rsidRDefault="0022157B">
            <w:pPr>
              <w:spacing w:after="0" w:line="259" w:lineRule="auto"/>
              <w:ind w:left="0" w:firstLine="0"/>
            </w:pPr>
            <w:r>
              <w:rPr>
                <w:b/>
              </w:rPr>
              <w:t xml:space="preserve">Event </w:t>
            </w:r>
          </w:p>
        </w:tc>
      </w:tr>
      <w:tr w:rsidR="00E964CF" w14:paraId="4AAD20E5" w14:textId="77777777">
        <w:trPr>
          <w:trHeight w:val="365"/>
        </w:trPr>
        <w:tc>
          <w:tcPr>
            <w:tcW w:w="2767" w:type="dxa"/>
            <w:tcBorders>
              <w:top w:val="single" w:sz="4" w:space="0" w:color="000000"/>
              <w:left w:val="single" w:sz="4" w:space="0" w:color="000000"/>
              <w:bottom w:val="single" w:sz="4" w:space="0" w:color="000000"/>
              <w:right w:val="single" w:sz="4" w:space="0" w:color="000000"/>
            </w:tcBorders>
          </w:tcPr>
          <w:p w14:paraId="5761AFA3" w14:textId="77777777" w:rsidR="00E964CF" w:rsidRDefault="0022157B">
            <w:pPr>
              <w:spacing w:after="0" w:line="259" w:lineRule="auto"/>
              <w:ind w:left="0" w:firstLine="0"/>
            </w:pPr>
            <w:r>
              <w:t xml:space="preserve">05 January 2021 </w:t>
            </w:r>
          </w:p>
        </w:tc>
        <w:tc>
          <w:tcPr>
            <w:tcW w:w="6250" w:type="dxa"/>
            <w:tcBorders>
              <w:top w:val="single" w:sz="4" w:space="0" w:color="000000"/>
              <w:left w:val="single" w:sz="4" w:space="0" w:color="000000"/>
              <w:bottom w:val="single" w:sz="4" w:space="0" w:color="000000"/>
              <w:right w:val="single" w:sz="4" w:space="0" w:color="000000"/>
            </w:tcBorders>
          </w:tcPr>
          <w:p w14:paraId="599BD7A8" w14:textId="77777777" w:rsidR="00E964CF" w:rsidRDefault="0022157B">
            <w:pPr>
              <w:spacing w:after="0" w:line="259" w:lineRule="auto"/>
              <w:ind w:left="0" w:firstLine="0"/>
            </w:pPr>
            <w:r>
              <w:t xml:space="preserve">Referral to NICE </w:t>
            </w:r>
          </w:p>
        </w:tc>
      </w:tr>
      <w:tr w:rsidR="00E964CF" w14:paraId="41F20A52" w14:textId="77777777">
        <w:trPr>
          <w:trHeight w:val="367"/>
        </w:trPr>
        <w:tc>
          <w:tcPr>
            <w:tcW w:w="2767" w:type="dxa"/>
            <w:tcBorders>
              <w:top w:val="single" w:sz="4" w:space="0" w:color="000000"/>
              <w:left w:val="single" w:sz="4" w:space="0" w:color="000000"/>
              <w:bottom w:val="single" w:sz="4" w:space="0" w:color="000000"/>
              <w:right w:val="single" w:sz="4" w:space="0" w:color="000000"/>
            </w:tcBorders>
          </w:tcPr>
          <w:p w14:paraId="6ED3DB5D" w14:textId="77777777" w:rsidR="00E964CF" w:rsidRDefault="0022157B">
            <w:pPr>
              <w:spacing w:after="0" w:line="259" w:lineRule="auto"/>
              <w:ind w:left="0" w:firstLine="0"/>
            </w:pPr>
            <w:r>
              <w:t xml:space="preserve">21 September 2021  </w:t>
            </w:r>
          </w:p>
        </w:tc>
        <w:tc>
          <w:tcPr>
            <w:tcW w:w="6250" w:type="dxa"/>
            <w:tcBorders>
              <w:top w:val="single" w:sz="4" w:space="0" w:color="000000"/>
              <w:left w:val="single" w:sz="4" w:space="0" w:color="000000"/>
              <w:bottom w:val="single" w:sz="4" w:space="0" w:color="000000"/>
              <w:right w:val="single" w:sz="4" w:space="0" w:color="000000"/>
            </w:tcBorders>
          </w:tcPr>
          <w:p w14:paraId="50936762" w14:textId="77777777" w:rsidR="00E964CF" w:rsidRDefault="0022157B">
            <w:pPr>
              <w:spacing w:after="0" w:line="259" w:lineRule="auto"/>
              <w:ind w:left="0" w:firstLine="0"/>
            </w:pPr>
            <w:r>
              <w:t xml:space="preserve">Final scope for appraisal </w:t>
            </w:r>
          </w:p>
        </w:tc>
      </w:tr>
      <w:tr w:rsidR="00E964CF" w14:paraId="2F0DC517" w14:textId="77777777">
        <w:trPr>
          <w:trHeight w:val="365"/>
        </w:trPr>
        <w:tc>
          <w:tcPr>
            <w:tcW w:w="2767" w:type="dxa"/>
            <w:tcBorders>
              <w:top w:val="single" w:sz="4" w:space="0" w:color="000000"/>
              <w:left w:val="single" w:sz="4" w:space="0" w:color="000000"/>
              <w:bottom w:val="single" w:sz="4" w:space="0" w:color="000000"/>
              <w:right w:val="single" w:sz="4" w:space="0" w:color="000000"/>
            </w:tcBorders>
          </w:tcPr>
          <w:p w14:paraId="7D82BEF5" w14:textId="77777777" w:rsidR="00E964CF" w:rsidRDefault="0022157B">
            <w:pPr>
              <w:spacing w:after="0" w:line="259" w:lineRule="auto"/>
              <w:ind w:left="0" w:firstLine="0"/>
            </w:pPr>
            <w:r>
              <w:t xml:space="preserve">23 November 2021 </w:t>
            </w:r>
          </w:p>
        </w:tc>
        <w:tc>
          <w:tcPr>
            <w:tcW w:w="6250" w:type="dxa"/>
            <w:tcBorders>
              <w:top w:val="single" w:sz="4" w:space="0" w:color="000000"/>
              <w:left w:val="single" w:sz="4" w:space="0" w:color="000000"/>
              <w:bottom w:val="single" w:sz="4" w:space="0" w:color="000000"/>
              <w:right w:val="single" w:sz="4" w:space="0" w:color="000000"/>
            </w:tcBorders>
          </w:tcPr>
          <w:p w14:paraId="1BE4AEAC" w14:textId="77777777" w:rsidR="00E964CF" w:rsidRDefault="0022157B">
            <w:pPr>
              <w:spacing w:after="0" w:line="259" w:lineRule="auto"/>
              <w:ind w:left="0" w:firstLine="0"/>
            </w:pPr>
            <w:r>
              <w:t xml:space="preserve">Incyte submission to NICE </w:t>
            </w:r>
          </w:p>
        </w:tc>
      </w:tr>
      <w:tr w:rsidR="00E964CF" w14:paraId="24BC3496" w14:textId="77777777">
        <w:trPr>
          <w:trHeight w:val="643"/>
        </w:trPr>
        <w:tc>
          <w:tcPr>
            <w:tcW w:w="2767" w:type="dxa"/>
            <w:tcBorders>
              <w:top w:val="single" w:sz="4" w:space="0" w:color="000000"/>
              <w:left w:val="single" w:sz="4" w:space="0" w:color="000000"/>
              <w:bottom w:val="single" w:sz="4" w:space="0" w:color="000000"/>
              <w:right w:val="single" w:sz="4" w:space="0" w:color="000000"/>
            </w:tcBorders>
          </w:tcPr>
          <w:p w14:paraId="3E4EDD92" w14:textId="77777777" w:rsidR="00E964CF" w:rsidRDefault="0022157B">
            <w:pPr>
              <w:spacing w:after="0" w:line="259" w:lineRule="auto"/>
              <w:ind w:left="0" w:firstLine="0"/>
            </w:pPr>
            <w:r>
              <w:t xml:space="preserve">December 2021 – January 2022 </w:t>
            </w:r>
          </w:p>
        </w:tc>
        <w:tc>
          <w:tcPr>
            <w:tcW w:w="6250" w:type="dxa"/>
            <w:tcBorders>
              <w:top w:val="single" w:sz="4" w:space="0" w:color="000000"/>
              <w:left w:val="single" w:sz="4" w:space="0" w:color="000000"/>
              <w:bottom w:val="single" w:sz="4" w:space="0" w:color="000000"/>
              <w:right w:val="single" w:sz="4" w:space="0" w:color="000000"/>
            </w:tcBorders>
          </w:tcPr>
          <w:p w14:paraId="7296F830" w14:textId="77777777" w:rsidR="00E964CF" w:rsidRDefault="0022157B">
            <w:pPr>
              <w:spacing w:after="0" w:line="259" w:lineRule="auto"/>
              <w:ind w:left="0" w:firstLine="0"/>
            </w:pPr>
            <w:r>
              <w:t xml:space="preserve">Clarifications </w:t>
            </w:r>
          </w:p>
        </w:tc>
      </w:tr>
      <w:tr w:rsidR="00E964CF" w14:paraId="4757969B" w14:textId="77777777">
        <w:trPr>
          <w:trHeight w:val="365"/>
        </w:trPr>
        <w:tc>
          <w:tcPr>
            <w:tcW w:w="2767" w:type="dxa"/>
            <w:tcBorders>
              <w:top w:val="single" w:sz="4" w:space="0" w:color="000000"/>
              <w:left w:val="single" w:sz="4" w:space="0" w:color="000000"/>
              <w:bottom w:val="single" w:sz="4" w:space="0" w:color="000000"/>
              <w:right w:val="single" w:sz="4" w:space="0" w:color="000000"/>
            </w:tcBorders>
          </w:tcPr>
          <w:p w14:paraId="633A2EBD" w14:textId="77777777" w:rsidR="00E964CF" w:rsidRDefault="0022157B">
            <w:pPr>
              <w:spacing w:after="0" w:line="259" w:lineRule="auto"/>
              <w:ind w:left="0" w:firstLine="0"/>
            </w:pPr>
            <w:r>
              <w:t xml:space="preserve">10 March – May 2022 </w:t>
            </w:r>
          </w:p>
        </w:tc>
        <w:tc>
          <w:tcPr>
            <w:tcW w:w="6250" w:type="dxa"/>
            <w:tcBorders>
              <w:top w:val="single" w:sz="4" w:space="0" w:color="000000"/>
              <w:left w:val="single" w:sz="4" w:space="0" w:color="000000"/>
              <w:bottom w:val="single" w:sz="4" w:space="0" w:color="000000"/>
              <w:right w:val="single" w:sz="4" w:space="0" w:color="000000"/>
            </w:tcBorders>
          </w:tcPr>
          <w:p w14:paraId="4A1FF71B" w14:textId="77777777" w:rsidR="00E964CF" w:rsidRDefault="0022157B">
            <w:pPr>
              <w:spacing w:after="0" w:line="259" w:lineRule="auto"/>
              <w:ind w:left="0" w:firstLine="0"/>
            </w:pPr>
            <w:r>
              <w:t xml:space="preserve">Technical engagement </w:t>
            </w:r>
          </w:p>
        </w:tc>
      </w:tr>
      <w:tr w:rsidR="00E964CF" w14:paraId="274513AC" w14:textId="77777777">
        <w:trPr>
          <w:trHeight w:val="367"/>
        </w:trPr>
        <w:tc>
          <w:tcPr>
            <w:tcW w:w="2767" w:type="dxa"/>
            <w:tcBorders>
              <w:top w:val="single" w:sz="4" w:space="0" w:color="000000"/>
              <w:left w:val="single" w:sz="4" w:space="0" w:color="000000"/>
              <w:bottom w:val="single" w:sz="4" w:space="0" w:color="000000"/>
              <w:right w:val="single" w:sz="4" w:space="0" w:color="000000"/>
            </w:tcBorders>
          </w:tcPr>
          <w:p w14:paraId="0639A34F" w14:textId="77777777" w:rsidR="00E964CF" w:rsidRDefault="0022157B">
            <w:pPr>
              <w:spacing w:after="0" w:line="259" w:lineRule="auto"/>
              <w:ind w:left="0" w:firstLine="0"/>
            </w:pPr>
            <w:r>
              <w:t xml:space="preserve">01 June 2022 </w:t>
            </w:r>
          </w:p>
        </w:tc>
        <w:tc>
          <w:tcPr>
            <w:tcW w:w="6250" w:type="dxa"/>
            <w:tcBorders>
              <w:top w:val="single" w:sz="4" w:space="0" w:color="000000"/>
              <w:left w:val="single" w:sz="4" w:space="0" w:color="000000"/>
              <w:bottom w:val="single" w:sz="4" w:space="0" w:color="000000"/>
              <w:right w:val="single" w:sz="4" w:space="0" w:color="000000"/>
            </w:tcBorders>
          </w:tcPr>
          <w:p w14:paraId="6C3ACFDC" w14:textId="77777777" w:rsidR="00E964CF" w:rsidRDefault="0022157B">
            <w:pPr>
              <w:spacing w:after="0" w:line="259" w:lineRule="auto"/>
              <w:ind w:left="0" w:firstLine="0"/>
            </w:pPr>
            <w:r>
              <w:t xml:space="preserve">Committee meeting 1 </w:t>
            </w:r>
          </w:p>
        </w:tc>
      </w:tr>
      <w:tr w:rsidR="00E964CF" w14:paraId="6417B1BB" w14:textId="77777777">
        <w:trPr>
          <w:trHeight w:val="1510"/>
        </w:trPr>
        <w:tc>
          <w:tcPr>
            <w:tcW w:w="2767" w:type="dxa"/>
            <w:tcBorders>
              <w:top w:val="single" w:sz="4" w:space="0" w:color="000000"/>
              <w:left w:val="single" w:sz="4" w:space="0" w:color="000000"/>
              <w:bottom w:val="single" w:sz="4" w:space="0" w:color="000000"/>
              <w:right w:val="single" w:sz="4" w:space="0" w:color="000000"/>
            </w:tcBorders>
          </w:tcPr>
          <w:p w14:paraId="201084EE" w14:textId="77777777" w:rsidR="00E964CF" w:rsidRDefault="0022157B">
            <w:pPr>
              <w:spacing w:after="0" w:line="259" w:lineRule="auto"/>
              <w:ind w:left="0" w:firstLine="0"/>
            </w:pPr>
            <w:r>
              <w:t xml:space="preserve">23 June 2022 </w:t>
            </w:r>
          </w:p>
        </w:tc>
        <w:tc>
          <w:tcPr>
            <w:tcW w:w="6250" w:type="dxa"/>
            <w:tcBorders>
              <w:top w:val="single" w:sz="4" w:space="0" w:color="000000"/>
              <w:left w:val="single" w:sz="4" w:space="0" w:color="000000"/>
              <w:bottom w:val="single" w:sz="4" w:space="0" w:color="000000"/>
              <w:right w:val="single" w:sz="4" w:space="0" w:color="000000"/>
            </w:tcBorders>
          </w:tcPr>
          <w:p w14:paraId="34C850F7" w14:textId="77777777" w:rsidR="00E964CF" w:rsidRDefault="0022157B">
            <w:pPr>
              <w:spacing w:after="19" w:line="259" w:lineRule="auto"/>
              <w:ind w:left="0" w:firstLine="0"/>
            </w:pPr>
            <w:r>
              <w:t xml:space="preserve">Appraisal Consultation Document issued: </w:t>
            </w:r>
          </w:p>
          <w:p w14:paraId="03D6D78B" w14:textId="77777777" w:rsidR="00E964CF" w:rsidRDefault="0022157B">
            <w:pPr>
              <w:spacing w:after="0" w:line="259" w:lineRule="auto"/>
              <w:ind w:left="0" w:firstLine="0"/>
            </w:pPr>
            <w:r>
              <w:t>“</w:t>
            </w:r>
            <w:proofErr w:type="spellStart"/>
            <w:r>
              <w:t>Tafasitamab</w:t>
            </w:r>
            <w:proofErr w:type="spellEnd"/>
            <w:r>
              <w:t xml:space="preserve"> with lenalidomide is not recommended, within its marketing authorisation, for treating relapsed or refractory diffuse large B-cell lymphoma in adults who cannot have an autologous stem cell transplant.”</w:t>
            </w:r>
            <w:r>
              <w:t xml:space="preserve"> </w:t>
            </w:r>
          </w:p>
        </w:tc>
      </w:tr>
      <w:tr w:rsidR="00E964CF" w14:paraId="4AEAAA8F" w14:textId="77777777">
        <w:trPr>
          <w:trHeight w:val="367"/>
        </w:trPr>
        <w:tc>
          <w:tcPr>
            <w:tcW w:w="2767" w:type="dxa"/>
            <w:tcBorders>
              <w:top w:val="single" w:sz="4" w:space="0" w:color="000000"/>
              <w:left w:val="single" w:sz="4" w:space="0" w:color="000000"/>
              <w:bottom w:val="single" w:sz="4" w:space="0" w:color="000000"/>
              <w:right w:val="single" w:sz="4" w:space="0" w:color="000000"/>
            </w:tcBorders>
          </w:tcPr>
          <w:p w14:paraId="7C0A42A6" w14:textId="77777777" w:rsidR="00E964CF" w:rsidRDefault="0022157B">
            <w:pPr>
              <w:spacing w:after="0" w:line="259" w:lineRule="auto"/>
              <w:ind w:left="0" w:firstLine="0"/>
            </w:pPr>
            <w:r>
              <w:t xml:space="preserve">14 July 2022 </w:t>
            </w:r>
          </w:p>
        </w:tc>
        <w:tc>
          <w:tcPr>
            <w:tcW w:w="6250" w:type="dxa"/>
            <w:tcBorders>
              <w:top w:val="single" w:sz="4" w:space="0" w:color="000000"/>
              <w:left w:val="single" w:sz="4" w:space="0" w:color="000000"/>
              <w:bottom w:val="single" w:sz="4" w:space="0" w:color="000000"/>
              <w:right w:val="single" w:sz="4" w:space="0" w:color="000000"/>
            </w:tcBorders>
          </w:tcPr>
          <w:p w14:paraId="30ABD3D7" w14:textId="77777777" w:rsidR="00E964CF" w:rsidRDefault="0022157B">
            <w:pPr>
              <w:spacing w:after="0" w:line="259" w:lineRule="auto"/>
              <w:ind w:left="0" w:firstLine="0"/>
            </w:pPr>
            <w:r>
              <w:t xml:space="preserve">Incyte submits response to consultation on ACD </w:t>
            </w:r>
          </w:p>
        </w:tc>
      </w:tr>
      <w:tr w:rsidR="00E964CF" w14:paraId="7B79C164" w14:textId="77777777">
        <w:trPr>
          <w:trHeight w:val="365"/>
        </w:trPr>
        <w:tc>
          <w:tcPr>
            <w:tcW w:w="2767" w:type="dxa"/>
            <w:tcBorders>
              <w:top w:val="single" w:sz="4" w:space="0" w:color="000000"/>
              <w:left w:val="single" w:sz="4" w:space="0" w:color="000000"/>
              <w:bottom w:val="single" w:sz="4" w:space="0" w:color="000000"/>
              <w:right w:val="single" w:sz="4" w:space="0" w:color="000000"/>
            </w:tcBorders>
          </w:tcPr>
          <w:p w14:paraId="279E066B" w14:textId="77777777" w:rsidR="00E964CF" w:rsidRDefault="0022157B">
            <w:pPr>
              <w:spacing w:after="0" w:line="259" w:lineRule="auto"/>
              <w:ind w:left="0" w:firstLine="0"/>
            </w:pPr>
            <w:r>
              <w:t xml:space="preserve">02 August 2022 </w:t>
            </w:r>
          </w:p>
        </w:tc>
        <w:tc>
          <w:tcPr>
            <w:tcW w:w="6250" w:type="dxa"/>
            <w:tcBorders>
              <w:top w:val="single" w:sz="4" w:space="0" w:color="000000"/>
              <w:left w:val="single" w:sz="4" w:space="0" w:color="000000"/>
              <w:bottom w:val="single" w:sz="4" w:space="0" w:color="000000"/>
              <w:right w:val="single" w:sz="4" w:space="0" w:color="000000"/>
            </w:tcBorders>
          </w:tcPr>
          <w:p w14:paraId="746901DF" w14:textId="77777777" w:rsidR="00E964CF" w:rsidRDefault="0022157B">
            <w:pPr>
              <w:spacing w:after="0" w:line="259" w:lineRule="auto"/>
              <w:ind w:left="0" w:firstLine="0"/>
            </w:pPr>
            <w:r>
              <w:t xml:space="preserve">Committee meeting 2 </w:t>
            </w:r>
          </w:p>
        </w:tc>
      </w:tr>
      <w:tr w:rsidR="00E964CF" w14:paraId="4BC8C010" w14:textId="77777777">
        <w:trPr>
          <w:trHeight w:val="682"/>
        </w:trPr>
        <w:tc>
          <w:tcPr>
            <w:tcW w:w="2767" w:type="dxa"/>
            <w:tcBorders>
              <w:top w:val="single" w:sz="4" w:space="0" w:color="000000"/>
              <w:left w:val="single" w:sz="4" w:space="0" w:color="000000"/>
              <w:bottom w:val="single" w:sz="4" w:space="0" w:color="000000"/>
              <w:right w:val="single" w:sz="4" w:space="0" w:color="000000"/>
            </w:tcBorders>
          </w:tcPr>
          <w:p w14:paraId="08FD236D" w14:textId="77777777" w:rsidR="00E964CF" w:rsidRDefault="0022157B">
            <w:pPr>
              <w:spacing w:after="0" w:line="259" w:lineRule="auto"/>
              <w:ind w:left="0" w:firstLine="0"/>
            </w:pPr>
            <w:r>
              <w:t xml:space="preserve">02 September 2022 </w:t>
            </w:r>
          </w:p>
        </w:tc>
        <w:tc>
          <w:tcPr>
            <w:tcW w:w="6250" w:type="dxa"/>
            <w:tcBorders>
              <w:top w:val="single" w:sz="4" w:space="0" w:color="000000"/>
              <w:left w:val="single" w:sz="4" w:space="0" w:color="000000"/>
              <w:bottom w:val="single" w:sz="4" w:space="0" w:color="000000"/>
              <w:right w:val="single" w:sz="4" w:space="0" w:color="000000"/>
            </w:tcBorders>
          </w:tcPr>
          <w:p w14:paraId="7244B714" w14:textId="77777777" w:rsidR="00E964CF" w:rsidRDefault="0022157B">
            <w:pPr>
              <w:spacing w:after="21" w:line="259" w:lineRule="auto"/>
              <w:ind w:left="0" w:firstLine="0"/>
            </w:pPr>
            <w:r>
              <w:t xml:space="preserve">Final appraisal document issued: </w:t>
            </w:r>
          </w:p>
          <w:p w14:paraId="51307A18" w14:textId="77777777" w:rsidR="00E964CF" w:rsidRDefault="0022157B">
            <w:pPr>
              <w:spacing w:after="0" w:line="259" w:lineRule="auto"/>
              <w:ind w:left="0" w:firstLine="0"/>
            </w:pPr>
            <w:r>
              <w:t xml:space="preserve">proposed recommendations unchanged from ACD </w:t>
            </w:r>
          </w:p>
        </w:tc>
      </w:tr>
    </w:tbl>
    <w:p w14:paraId="6F7CFB61" w14:textId="77777777" w:rsidR="00E964CF" w:rsidRDefault="0022157B">
      <w:pPr>
        <w:spacing w:after="0" w:line="259" w:lineRule="auto"/>
        <w:ind w:left="0" w:firstLine="0"/>
      </w:pPr>
      <w:r>
        <w:t xml:space="preserve"> </w:t>
      </w:r>
    </w:p>
    <w:p w14:paraId="28C4A2B7" w14:textId="77777777" w:rsidR="00E964CF" w:rsidRDefault="0022157B">
      <w:pPr>
        <w:pStyle w:val="Heading1"/>
        <w:spacing w:after="131" w:line="267" w:lineRule="auto"/>
        <w:ind w:left="-5" w:right="0" w:hanging="10"/>
        <w:jc w:val="left"/>
      </w:pPr>
      <w:r>
        <w:rPr>
          <w:sz w:val="24"/>
          <w:u w:val="single" w:color="000000"/>
        </w:rPr>
        <w:t>Grounds of appeal</w:t>
      </w:r>
      <w:r>
        <w:rPr>
          <w:i/>
          <w:sz w:val="24"/>
        </w:rPr>
        <w:t xml:space="preserve"> </w:t>
      </w:r>
    </w:p>
    <w:p w14:paraId="1AA2FE4E" w14:textId="77777777" w:rsidR="00E964CF" w:rsidRDefault="0022157B">
      <w:pPr>
        <w:spacing w:after="147" w:line="267" w:lineRule="auto"/>
        <w:ind w:left="345" w:hanging="360"/>
      </w:pPr>
      <w:r>
        <w:rPr>
          <w:b/>
        </w:rPr>
        <w:t xml:space="preserve">1. </w:t>
      </w:r>
      <w:r>
        <w:rPr>
          <w:b/>
          <w:u w:val="single" w:color="000000"/>
        </w:rPr>
        <w:t>Ground 1: In making the assessment that preceded the recommendation,</w:t>
      </w:r>
      <w:r>
        <w:rPr>
          <w:b/>
        </w:rPr>
        <w:t xml:space="preserve"> </w:t>
      </w:r>
      <w:r>
        <w:rPr>
          <w:b/>
          <w:u w:val="single" w:color="000000"/>
        </w:rPr>
        <w:t>NICE has a) failed to act fairly or b) exceeded its powers</w:t>
      </w:r>
      <w:r>
        <w:rPr>
          <w:b/>
        </w:rPr>
        <w:t xml:space="preserve"> </w:t>
      </w:r>
    </w:p>
    <w:p w14:paraId="7A02B62C" w14:textId="77777777" w:rsidR="00E964CF" w:rsidRDefault="0022157B">
      <w:pPr>
        <w:pStyle w:val="Heading1"/>
        <w:spacing w:after="122"/>
        <w:ind w:left="787" w:right="-11"/>
      </w:pPr>
      <w:r>
        <w:t xml:space="preserve">1.1. The Committee has not taken loss of lenalidomide exclusivity and the associated impact on lenalidomide costs into account </w:t>
      </w:r>
      <w:r>
        <w:t xml:space="preserve">in the context of this appraisal  </w:t>
      </w:r>
    </w:p>
    <w:p w14:paraId="5513ACE5" w14:textId="77777777" w:rsidR="00E964CF" w:rsidRDefault="0022157B">
      <w:pPr>
        <w:spacing w:after="130" w:line="268" w:lineRule="auto"/>
        <w:ind w:left="-5"/>
        <w:jc w:val="both"/>
      </w:pPr>
      <w:r>
        <w:rPr>
          <w:sz w:val="26"/>
        </w:rPr>
        <w:t xml:space="preserve">The assessment of cost effectiveness of </w:t>
      </w:r>
      <w:proofErr w:type="spellStart"/>
      <w:r>
        <w:rPr>
          <w:sz w:val="26"/>
        </w:rPr>
        <w:t>tafasitamab</w:t>
      </w:r>
      <w:proofErr w:type="spellEnd"/>
      <w:r>
        <w:rPr>
          <w:sz w:val="26"/>
        </w:rPr>
        <w:t xml:space="preserve"> and lenalidomide uses drug costs as set out at paragraphs 2.3 and 2.4 of the </w:t>
      </w:r>
      <w:proofErr w:type="gramStart"/>
      <w:r>
        <w:rPr>
          <w:sz w:val="26"/>
        </w:rPr>
        <w:t>FAD</w:t>
      </w:r>
      <w:proofErr w:type="gramEnd"/>
      <w:r>
        <w:rPr>
          <w:sz w:val="26"/>
        </w:rPr>
        <w:t>.  For lenalidomide, paragraph 2.3 refers to costs taken from the BNF online, accessed in</w:t>
      </w:r>
      <w:r>
        <w:rPr>
          <w:sz w:val="26"/>
        </w:rPr>
        <w:t xml:space="preserve"> August 2022, with prices for a </w:t>
      </w:r>
      <w:proofErr w:type="gramStart"/>
      <w:r>
        <w:rPr>
          <w:sz w:val="26"/>
        </w:rPr>
        <w:t>21 capsule</w:t>
      </w:r>
      <w:proofErr w:type="gramEnd"/>
      <w:r>
        <w:rPr>
          <w:sz w:val="26"/>
        </w:rPr>
        <w:t xml:space="preserve"> pack of branded Revlimid varying between £3,426.00 and £4,168.50 depending on capsule size. </w:t>
      </w:r>
    </w:p>
    <w:p w14:paraId="6EDCB138" w14:textId="77777777" w:rsidR="00E964CF" w:rsidRDefault="0022157B">
      <w:pPr>
        <w:spacing w:after="130" w:line="268" w:lineRule="auto"/>
        <w:ind w:left="-5"/>
        <w:jc w:val="both"/>
      </w:pPr>
      <w:r>
        <w:rPr>
          <w:sz w:val="26"/>
        </w:rPr>
        <w:t xml:space="preserve">However, Revlimid has now lost data exclusivity with the result that </w:t>
      </w:r>
      <w:proofErr w:type="gramStart"/>
      <w:r>
        <w:rPr>
          <w:sz w:val="26"/>
        </w:rPr>
        <w:t>a number of</w:t>
      </w:r>
      <w:proofErr w:type="gramEnd"/>
      <w:r>
        <w:rPr>
          <w:sz w:val="26"/>
        </w:rPr>
        <w:t xml:space="preserve"> generic versions of lenalidomide have b</w:t>
      </w:r>
      <w:r>
        <w:rPr>
          <w:sz w:val="26"/>
        </w:rPr>
        <w:t>een launched on the UK market during the course of 2022 (six generic products are currently listed in the BNF, as well as Revlimid).   In these circumstances, the price charged to the NHS for lenalidomide will inevitably have fallen dramatically, consisten</w:t>
      </w:r>
      <w:r>
        <w:rPr>
          <w:sz w:val="26"/>
        </w:rPr>
        <w:t>t with the effect of generic product entering the market across Europe [</w:t>
      </w:r>
      <w:proofErr w:type="spellStart"/>
      <w:r>
        <w:rPr>
          <w:sz w:val="26"/>
        </w:rPr>
        <w:t>publically</w:t>
      </w:r>
      <w:proofErr w:type="spellEnd"/>
      <w:r>
        <w:rPr>
          <w:sz w:val="26"/>
        </w:rPr>
        <w:t xml:space="preserve"> available information confirms generic prices for lenalidomide in Italy and Germany have now dropped by 96 to 98% of Revlimid list price; similar price erosion has also been</w:t>
      </w:r>
      <w:r>
        <w:rPr>
          <w:sz w:val="26"/>
        </w:rPr>
        <w:t xml:space="preserve"> reported in other EU countries]. The costs for lenalidomide stated in </w:t>
      </w:r>
      <w:r>
        <w:rPr>
          <w:sz w:val="26"/>
        </w:rPr>
        <w:lastRenderedPageBreak/>
        <w:t xml:space="preserve">paragraphs 2.3 and 2.4 of the </w:t>
      </w:r>
      <w:proofErr w:type="gramStart"/>
      <w:r>
        <w:rPr>
          <w:sz w:val="26"/>
        </w:rPr>
        <w:t>FAD</w:t>
      </w:r>
      <w:proofErr w:type="gramEnd"/>
      <w:r>
        <w:rPr>
          <w:sz w:val="26"/>
        </w:rPr>
        <w:t xml:space="preserve"> (the Revlimid list price) bear no relationship to actual costs incurred by the NHS, the cost-effectiveness calculations are incorrect and the proposed </w:t>
      </w:r>
      <w:r>
        <w:rPr>
          <w:sz w:val="26"/>
        </w:rPr>
        <w:t xml:space="preserve">guidance for </w:t>
      </w:r>
      <w:proofErr w:type="spellStart"/>
      <w:r>
        <w:rPr>
          <w:sz w:val="26"/>
        </w:rPr>
        <w:t>tafasitamab</w:t>
      </w:r>
      <w:proofErr w:type="spellEnd"/>
      <w:r>
        <w:rPr>
          <w:sz w:val="26"/>
        </w:rPr>
        <w:t xml:space="preserve"> and lenalidomide is outdated even before it has been published. </w:t>
      </w:r>
    </w:p>
    <w:p w14:paraId="23879DFE" w14:textId="77777777" w:rsidR="00E964CF" w:rsidRDefault="0022157B">
      <w:pPr>
        <w:numPr>
          <w:ilvl w:val="0"/>
          <w:numId w:val="1"/>
        </w:numPr>
        <w:spacing w:after="130" w:line="268" w:lineRule="auto"/>
        <w:jc w:val="both"/>
      </w:pPr>
      <w:r>
        <w:rPr>
          <w:sz w:val="26"/>
        </w:rPr>
        <w:t xml:space="preserve">This situation was notified to NICE by Incyte in its original dossier submitted on 23 November 2021 at Section B.3.5.1:  </w:t>
      </w:r>
    </w:p>
    <w:p w14:paraId="24C4DB70" w14:textId="77777777" w:rsidR="00E964CF" w:rsidRDefault="0022157B">
      <w:pPr>
        <w:spacing w:after="141" w:line="259" w:lineRule="auto"/>
        <w:ind w:left="0" w:firstLine="0"/>
      </w:pPr>
      <w:r>
        <w:rPr>
          <w:sz w:val="26"/>
        </w:rPr>
        <w:t xml:space="preserve"> </w:t>
      </w:r>
    </w:p>
    <w:p w14:paraId="2F231A13" w14:textId="77777777" w:rsidR="00E964CF" w:rsidRDefault="0022157B">
      <w:pPr>
        <w:spacing w:after="130" w:line="268" w:lineRule="auto"/>
        <w:ind w:left="730"/>
        <w:jc w:val="both"/>
      </w:pPr>
      <w:r>
        <w:rPr>
          <w:sz w:val="26"/>
        </w:rPr>
        <w:t>“In the base case, price discounts were on</w:t>
      </w:r>
      <w:r>
        <w:rPr>
          <w:sz w:val="26"/>
        </w:rPr>
        <w:t>ly considered for lenalidomide. As generic lenalidomide options are expected to soon be available on the UK market, it was anticipated that the price of lenalidomide would experience a considerable reduction. Comparisons of branded lenalidomide prices prio</w:t>
      </w:r>
      <w:r>
        <w:rPr>
          <w:sz w:val="26"/>
        </w:rPr>
        <w:t>r to genetic entry against generic lenalidomide prices in Canada indicates generic lenalidomide to have a ~75% discount relative the price of branded lenalidomide. As price discounts for generics are expected to be more substantial in the UK market and pri</w:t>
      </w:r>
      <w:r>
        <w:rPr>
          <w:sz w:val="26"/>
        </w:rPr>
        <w:t xml:space="preserve">ce erosion faster, a discount of 90% was assumed in the base case analysis”. </w:t>
      </w:r>
    </w:p>
    <w:p w14:paraId="70AC2231" w14:textId="77777777" w:rsidR="00E964CF" w:rsidRDefault="0022157B">
      <w:pPr>
        <w:spacing w:after="0" w:line="259" w:lineRule="auto"/>
        <w:ind w:left="0" w:firstLine="0"/>
      </w:pPr>
      <w:r>
        <w:rPr>
          <w:sz w:val="26"/>
        </w:rPr>
        <w:t xml:space="preserve"> </w:t>
      </w:r>
    </w:p>
    <w:p w14:paraId="16A8A318" w14:textId="77777777" w:rsidR="00E964CF" w:rsidRDefault="0022157B">
      <w:pPr>
        <w:numPr>
          <w:ilvl w:val="0"/>
          <w:numId w:val="1"/>
        </w:numPr>
        <w:spacing w:after="130" w:line="268" w:lineRule="auto"/>
        <w:jc w:val="both"/>
      </w:pPr>
      <w:r>
        <w:rPr>
          <w:sz w:val="26"/>
        </w:rPr>
        <w:t xml:space="preserve">The issue was also drawn to the attention of NICE by Incyte in its response to the ACD dated 14 July 2022  </w:t>
      </w:r>
    </w:p>
    <w:p w14:paraId="5E859BC5" w14:textId="77777777" w:rsidR="00E964CF" w:rsidRDefault="0022157B">
      <w:pPr>
        <w:spacing w:after="141" w:line="259" w:lineRule="auto"/>
        <w:ind w:left="0" w:firstLine="0"/>
      </w:pPr>
      <w:r>
        <w:rPr>
          <w:sz w:val="26"/>
        </w:rPr>
        <w:t xml:space="preserve"> </w:t>
      </w:r>
    </w:p>
    <w:p w14:paraId="46B5BC6B" w14:textId="77777777" w:rsidR="00E964CF" w:rsidRDefault="0022157B">
      <w:pPr>
        <w:spacing w:after="130" w:line="268" w:lineRule="auto"/>
        <w:ind w:left="730"/>
        <w:jc w:val="both"/>
      </w:pPr>
      <w:r>
        <w:rPr>
          <w:sz w:val="26"/>
        </w:rPr>
        <w:t>“Incyte are aware that generic lenalidomide is now being used acro</w:t>
      </w:r>
      <w:r>
        <w:rPr>
          <w:sz w:val="26"/>
        </w:rPr>
        <w:t xml:space="preserve">ss several NHS trusts in England, with the tender process expected to be completed soon, and as such believe that it is appropriate to consider the impact of discounts for lenalidomide relative to the current list price”. </w:t>
      </w:r>
    </w:p>
    <w:p w14:paraId="450A2545" w14:textId="77777777" w:rsidR="00E964CF" w:rsidRDefault="0022157B">
      <w:pPr>
        <w:spacing w:after="130" w:line="268" w:lineRule="auto"/>
        <w:ind w:left="-5"/>
        <w:jc w:val="both"/>
      </w:pPr>
      <w:r>
        <w:rPr>
          <w:sz w:val="26"/>
        </w:rPr>
        <w:t xml:space="preserve">.  </w:t>
      </w:r>
    </w:p>
    <w:p w14:paraId="31449E16" w14:textId="77777777" w:rsidR="00E964CF" w:rsidRDefault="0022157B">
      <w:pPr>
        <w:spacing w:after="130" w:line="268" w:lineRule="auto"/>
        <w:ind w:left="-5"/>
        <w:jc w:val="both"/>
      </w:pPr>
      <w:r>
        <w:rPr>
          <w:sz w:val="26"/>
        </w:rPr>
        <w:t>NICE’s Guide to the Methods o</w:t>
      </w:r>
      <w:r>
        <w:rPr>
          <w:sz w:val="26"/>
        </w:rPr>
        <w:t xml:space="preserve">f Technology Appraisal, as applicable to this appraisal, states at section 5.5.2:  </w:t>
      </w:r>
    </w:p>
    <w:p w14:paraId="3071798D" w14:textId="77777777" w:rsidR="00E964CF" w:rsidRDefault="0022157B">
      <w:pPr>
        <w:spacing w:after="242" w:line="276" w:lineRule="auto"/>
        <w:ind w:left="730" w:right="-13"/>
        <w:jc w:val="both"/>
      </w:pPr>
      <w:r>
        <w:t>“When there are nationally available price reductions, for example for medicines procured for use in secondary care through contracts negotiated by the NHS Commercial Medicines Unit, then the reduced price should be used in the reference-case analysis to b</w:t>
      </w:r>
      <w:r>
        <w:t xml:space="preserve">est reflect the price relevant to the NHS”. </w:t>
      </w:r>
    </w:p>
    <w:p w14:paraId="0C50DB9C" w14:textId="77777777" w:rsidR="00E964CF" w:rsidRDefault="0022157B">
      <w:pPr>
        <w:spacing w:after="291"/>
        <w:ind w:left="-5"/>
      </w:pPr>
      <w:r>
        <w:t xml:space="preserve">The NICE Commercial Liaison Team </w:t>
      </w:r>
      <w:proofErr w:type="gramStart"/>
      <w:r>
        <w:t>is able to</w:t>
      </w:r>
      <w:proofErr w:type="gramEnd"/>
      <w:r>
        <w:t xml:space="preserve"> liaise between the CMU and the Appraisal Committee in order to obtain these prices for the purposes of NICE appraisals.    </w:t>
      </w:r>
    </w:p>
    <w:p w14:paraId="1505AACB" w14:textId="77777777" w:rsidR="00E964CF" w:rsidRDefault="0022157B">
      <w:pPr>
        <w:spacing w:after="291"/>
        <w:ind w:left="-5"/>
      </w:pPr>
      <w:r>
        <w:t xml:space="preserve">Reflecting this situation, in its response </w:t>
      </w:r>
      <w:r>
        <w:t xml:space="preserve">to the ACD, Incyte submitted pricing scenario analyses for </w:t>
      </w:r>
      <w:proofErr w:type="spellStart"/>
      <w:r>
        <w:t>tafasitamab</w:t>
      </w:r>
      <w:proofErr w:type="spellEnd"/>
      <w:r>
        <w:t xml:space="preserve"> and lenalidomide incorporating an updated PAS discount for </w:t>
      </w:r>
      <w:proofErr w:type="spellStart"/>
      <w:r>
        <w:t>tafasitamab</w:t>
      </w:r>
      <w:proofErr w:type="spellEnd"/>
      <w:r>
        <w:t xml:space="preserve"> and exploring variations in the price of lenalidomide, which could reflect pricing of generics.  (Incyte has no vi</w:t>
      </w:r>
      <w:r>
        <w:t xml:space="preserve">sibility of lenalidomide pricing and was therefore unable to include actual prices charged by generics companies nationally to the NHS in its modelling.) </w:t>
      </w:r>
    </w:p>
    <w:p w14:paraId="1575ED4A" w14:textId="77777777" w:rsidR="00E964CF" w:rsidRDefault="0022157B">
      <w:pPr>
        <w:spacing w:after="277" w:line="301" w:lineRule="auto"/>
        <w:ind w:left="-5"/>
      </w:pPr>
      <w:r>
        <w:lastRenderedPageBreak/>
        <w:t>In the above circumstances, the failure by the Committee to take account of loss of exclusivity for l</w:t>
      </w:r>
      <w:r>
        <w:t>enalidomide with the resulting impact on costs is both unfair and inconsistent with NICE’s own published procedures.</w:t>
      </w:r>
      <w:r>
        <w:rPr>
          <w:b/>
        </w:rPr>
        <w:t xml:space="preserve"> </w:t>
      </w:r>
    </w:p>
    <w:p w14:paraId="681CE48E" w14:textId="77777777" w:rsidR="00E964CF" w:rsidRDefault="0022157B">
      <w:pPr>
        <w:tabs>
          <w:tab w:val="center" w:pos="576"/>
          <w:tab w:val="center" w:pos="1671"/>
          <w:tab w:val="center" w:pos="3048"/>
          <w:tab w:val="center" w:pos="4955"/>
          <w:tab w:val="center" w:pos="6678"/>
          <w:tab w:val="center" w:pos="7841"/>
          <w:tab w:val="right" w:pos="9030"/>
        </w:tabs>
        <w:spacing w:after="32" w:line="259" w:lineRule="auto"/>
        <w:ind w:left="0" w:firstLine="0"/>
      </w:pPr>
      <w:r>
        <w:rPr>
          <w:rFonts w:ascii="Calibri" w:eastAsia="Calibri" w:hAnsi="Calibri" w:cs="Calibri"/>
          <w:sz w:val="22"/>
        </w:rPr>
        <w:tab/>
      </w:r>
      <w:r>
        <w:rPr>
          <w:b/>
          <w:sz w:val="26"/>
        </w:rPr>
        <w:t xml:space="preserve">1.2. </w:t>
      </w:r>
      <w:r>
        <w:rPr>
          <w:b/>
          <w:sz w:val="26"/>
        </w:rPr>
        <w:tab/>
        <w:t xml:space="preserve">The </w:t>
      </w:r>
      <w:r>
        <w:rPr>
          <w:b/>
          <w:sz w:val="26"/>
        </w:rPr>
        <w:tab/>
        <w:t xml:space="preserve">Committee’s </w:t>
      </w:r>
      <w:r>
        <w:rPr>
          <w:b/>
          <w:sz w:val="26"/>
        </w:rPr>
        <w:tab/>
        <w:t xml:space="preserve">conclusions </w:t>
      </w:r>
      <w:r>
        <w:rPr>
          <w:b/>
          <w:sz w:val="26"/>
        </w:rPr>
        <w:tab/>
        <w:t xml:space="preserve">regarding </w:t>
      </w:r>
      <w:r>
        <w:rPr>
          <w:b/>
          <w:sz w:val="26"/>
        </w:rPr>
        <w:tab/>
        <w:t xml:space="preserve">the </w:t>
      </w:r>
      <w:r>
        <w:rPr>
          <w:b/>
          <w:sz w:val="26"/>
        </w:rPr>
        <w:tab/>
        <w:t>cost-</w:t>
      </w:r>
    </w:p>
    <w:p w14:paraId="37791006" w14:textId="77777777" w:rsidR="00E964CF" w:rsidRDefault="0022157B">
      <w:pPr>
        <w:pStyle w:val="Heading1"/>
        <w:ind w:left="792" w:right="-11" w:firstLine="0"/>
      </w:pPr>
      <w:r>
        <w:t xml:space="preserve">effectiveness of </w:t>
      </w:r>
      <w:proofErr w:type="spellStart"/>
      <w:r>
        <w:t>tafasitamab</w:t>
      </w:r>
      <w:proofErr w:type="spellEnd"/>
      <w:r>
        <w:t xml:space="preserve"> and lenalidomide lack transparency and are therefore unfair </w:t>
      </w:r>
    </w:p>
    <w:p w14:paraId="3A689A5C" w14:textId="77777777" w:rsidR="00E964CF" w:rsidRDefault="0022157B">
      <w:pPr>
        <w:spacing w:after="240" w:line="301" w:lineRule="auto"/>
        <w:ind w:left="-5"/>
      </w:pPr>
      <w:r>
        <w:t xml:space="preserve">The Committee’s conclusions regarding the cost effectiveness of </w:t>
      </w:r>
      <w:proofErr w:type="spellStart"/>
      <w:r>
        <w:t>tafasitamab</w:t>
      </w:r>
      <w:proofErr w:type="spellEnd"/>
      <w:r>
        <w:t xml:space="preserve"> and lenalidomide are set out at paragraph 3.9 of the FAD.  The Committee states: </w:t>
      </w:r>
    </w:p>
    <w:p w14:paraId="59F68FA4" w14:textId="77777777" w:rsidR="00E964CF" w:rsidRDefault="0022157B">
      <w:pPr>
        <w:ind w:left="370"/>
      </w:pPr>
      <w:r>
        <w:t>“The Com</w:t>
      </w:r>
      <w:r>
        <w:t>mittee concluded that the most plausible ICER was likely between the company’s and ERG’s base-case estimates, noting that the ERG’s base case ICER was considerably higher than the company’s and considerably higher than the level usually considered to be co</w:t>
      </w:r>
      <w:r>
        <w:t xml:space="preserve">st-effective”.  </w:t>
      </w:r>
    </w:p>
    <w:p w14:paraId="62F166B6" w14:textId="77777777" w:rsidR="00E964CF" w:rsidRDefault="0022157B">
      <w:pPr>
        <w:spacing w:after="291"/>
        <w:ind w:left="-5"/>
      </w:pPr>
      <w:r>
        <w:t>The Committee’s conclusions regarding the most plausible ICER are therefore unclear and it is uncertain whether the Committee’s most plausible ICER is close to the company’s estimate or the ERG’s and if so where it lies.  Incyte recognises</w:t>
      </w:r>
      <w:r>
        <w:t xml:space="preserve"> that some of the net prices for medicinal products in this appraisal are confidential and that actual ICER values may not therefore be disclosed.  </w:t>
      </w:r>
      <w:proofErr w:type="gramStart"/>
      <w:r>
        <w:t>However</w:t>
      </w:r>
      <w:proofErr w:type="gramEnd"/>
      <w:r>
        <w:t xml:space="preserve"> for this appraisal to be comprehensible and the recommendations of the Committee understood, it is e</w:t>
      </w:r>
      <w:r>
        <w:t xml:space="preserve">ssential that ICER ranges, providing an indication of the Committee’s conclusions are disclosed. </w:t>
      </w:r>
    </w:p>
    <w:p w14:paraId="61FE2FAE" w14:textId="77777777" w:rsidR="00E964CF" w:rsidRDefault="0022157B">
      <w:pPr>
        <w:spacing w:after="241" w:line="300" w:lineRule="auto"/>
        <w:ind w:left="-5"/>
      </w:pPr>
      <w:r>
        <w:t xml:space="preserve">Transparency is required in order to demonstrate rigorous decision making </w:t>
      </w:r>
      <w:proofErr w:type="gramStart"/>
      <w:r>
        <w:t>and also</w:t>
      </w:r>
      <w:proofErr w:type="gramEnd"/>
      <w:r>
        <w:t xml:space="preserve"> as a central component of procedural fairness.  Its particular importance i</w:t>
      </w:r>
      <w:r>
        <w:t xml:space="preserve">n the context of NICE’s appraisals is recognised in NICE’s procedures, including at paragraphs 6.1.9 and 6.1.10 of NICE’s Guide to the Methods of Technology Appraisal 2013.   Paragraph 6.1.9 provides: </w:t>
      </w:r>
    </w:p>
    <w:p w14:paraId="6F77FEB3" w14:textId="77777777" w:rsidR="00E964CF" w:rsidRDefault="0022157B">
      <w:pPr>
        <w:spacing w:after="291"/>
        <w:ind w:left="730"/>
      </w:pPr>
      <w:r>
        <w:t>“The credibility of the guidance produced by the Insti</w:t>
      </w:r>
      <w:r>
        <w:t>tute is dependent on the transparency of the Appraisal Committee's decision-making process. It is crucial that the Appraisal Committee's decisions are explained clearly with reference to all the available evidence, and that the contributions of clinical sp</w:t>
      </w:r>
      <w:r>
        <w:t xml:space="preserve">ecialists, commissioning experts, patient experts and the views of people who responded to consultation during the appraisal are considered. The reasoning for the Committee's decision will be explained, with reference to the factors that have been </w:t>
      </w:r>
      <w:proofErr w:type="gramStart"/>
      <w:r>
        <w:t>taken in</w:t>
      </w:r>
      <w:r>
        <w:t>to account</w:t>
      </w:r>
      <w:proofErr w:type="gramEnd"/>
      <w:r>
        <w:t xml:space="preserve">, in the 'Considerations' section of the guidance”. </w:t>
      </w:r>
    </w:p>
    <w:p w14:paraId="697306B8" w14:textId="77777777" w:rsidR="00E964CF" w:rsidRDefault="0022157B">
      <w:pPr>
        <w:spacing w:after="297"/>
        <w:ind w:left="-5"/>
      </w:pPr>
      <w:r>
        <w:t xml:space="preserve">Paragraph 5.4.2 of NICE’s Health Technology Evaluations: </w:t>
      </w:r>
      <w:proofErr w:type="gramStart"/>
      <w:r>
        <w:t>the</w:t>
      </w:r>
      <w:proofErr w:type="gramEnd"/>
      <w:r>
        <w:t xml:space="preserve"> Manual states: </w:t>
      </w:r>
    </w:p>
    <w:p w14:paraId="7CD5BE0C" w14:textId="77777777" w:rsidR="00E964CF" w:rsidRDefault="0022157B">
      <w:pPr>
        <w:spacing w:after="291"/>
        <w:ind w:left="730"/>
      </w:pPr>
      <w:r>
        <w:t>“NICE aims to publish an ICER range within the draft or final draft guidance document that informs the recommendatio</w:t>
      </w:r>
      <w:r>
        <w:t xml:space="preserve">ns, after taking into account the exact level of the discount provided in the commercial arrangements”. </w:t>
      </w:r>
    </w:p>
    <w:p w14:paraId="2EE8C035" w14:textId="77777777" w:rsidR="00E964CF" w:rsidRDefault="0022157B">
      <w:pPr>
        <w:spacing w:after="254" w:line="300" w:lineRule="auto"/>
        <w:ind w:left="-5"/>
      </w:pPr>
      <w:r>
        <w:t>In this case however, Incyte has been provided with no information about the Committee’s preferred ICER and no range of values has been disclosed. We h</w:t>
      </w:r>
      <w:r>
        <w:t xml:space="preserve">ave </w:t>
      </w:r>
      <w:r>
        <w:lastRenderedPageBreak/>
        <w:t xml:space="preserve">been informed verbally that the ICER range exceeds the threshold of cost effectiveness that NICE would typically view as a </w:t>
      </w:r>
      <w:proofErr w:type="gramStart"/>
      <w:r>
        <w:t>cost effective</w:t>
      </w:r>
      <w:proofErr w:type="gramEnd"/>
      <w:r>
        <w:t xml:space="preserve"> use of NICE resources and therefore there is no requirement to provide the details.  We disagree. Based on the cur</w:t>
      </w:r>
      <w:r>
        <w:t>rent information, it is impossible for Incyte to understand whether the Committee’s conclusions in relation to the most plausible ICER are soundly based or whether they are unreasonable and should be the subject of appeal.  Further, Incyte cannot know what</w:t>
      </w:r>
      <w:r>
        <w:t xml:space="preserve"> (in the Committee’s view) it needs to do in order to achieve a positive recommendation in this appraisal.  This situation is a clear breach of fundamental standards of procedural fairness and NICE’s own procedures.  It is particularly unacceptable, given </w:t>
      </w:r>
      <w:r>
        <w:t xml:space="preserve">the innovative nature of the product and the Committee’s recognition of the clinical need of patients eligible for treatment.   </w:t>
      </w:r>
    </w:p>
    <w:p w14:paraId="32226FD2" w14:textId="77777777" w:rsidR="00E964CF" w:rsidRDefault="0022157B">
      <w:pPr>
        <w:pStyle w:val="Heading1"/>
        <w:ind w:left="787" w:right="-11"/>
      </w:pPr>
      <w:r>
        <w:t xml:space="preserve">1.3. </w:t>
      </w:r>
      <w:r>
        <w:rPr>
          <w:b w:val="0"/>
          <w:color w:val="002251"/>
        </w:rPr>
        <w:t xml:space="preserve"> </w:t>
      </w:r>
      <w:r>
        <w:t xml:space="preserve">The Committee’s decision that </w:t>
      </w:r>
      <w:proofErr w:type="spellStart"/>
      <w:r>
        <w:t>tafasitamab</w:t>
      </w:r>
      <w:proofErr w:type="spellEnd"/>
      <w:r>
        <w:t xml:space="preserve"> and lenalidomide should not be recommended for use through the Cancer Drugs Fund in view of the lack of comparative evidence is procedurally unfair </w:t>
      </w:r>
    </w:p>
    <w:p w14:paraId="6E289876" w14:textId="77777777" w:rsidR="00E964CF" w:rsidRDefault="0022157B">
      <w:pPr>
        <w:spacing w:after="289"/>
        <w:ind w:left="-5"/>
      </w:pPr>
      <w:r>
        <w:t xml:space="preserve">The Committee’s decision regarding use of </w:t>
      </w:r>
      <w:proofErr w:type="spellStart"/>
      <w:r>
        <w:t>tafasitamab</w:t>
      </w:r>
      <w:proofErr w:type="spellEnd"/>
      <w:r>
        <w:t xml:space="preserve"> and lenalid</w:t>
      </w:r>
      <w:r>
        <w:t>omide through the CDF is set out at paragraph 3.10 of the FAD.  While the Committee recognised the high unmet clinical need of patients with R/R DLBCL, the Committee declined to recommend CDF usage on the basis (a) that no additional comparative evidence w</w:t>
      </w:r>
      <w:r>
        <w:t xml:space="preserve">ould be produced and (b) because the Committee stated that it had been presented with no analysis showing that </w:t>
      </w:r>
      <w:proofErr w:type="spellStart"/>
      <w:r>
        <w:t>tafasitamab</w:t>
      </w:r>
      <w:proofErr w:type="spellEnd"/>
      <w:r>
        <w:t xml:space="preserve"> and lenalidomide at the potential to be cost-effective at the proposed price.  Reason (b) is addressed through other points of Incyte</w:t>
      </w:r>
      <w:r>
        <w:t xml:space="preserve">’s appeal and here we explain why reason (a) is unfair. </w:t>
      </w:r>
    </w:p>
    <w:p w14:paraId="266DEA85" w14:textId="77777777" w:rsidR="00E964CF" w:rsidRDefault="0022157B">
      <w:pPr>
        <w:spacing w:after="50"/>
        <w:ind w:left="-5"/>
      </w:pPr>
      <w:r>
        <w:t xml:space="preserve">Throughout this appraisal, the Committee has criticised </w:t>
      </w:r>
      <w:proofErr w:type="spellStart"/>
      <w:r>
        <w:t>tafasitamab</w:t>
      </w:r>
      <w:proofErr w:type="spellEnd"/>
      <w:r>
        <w:t xml:space="preserve"> and lenalidomide on the basis that the clinical data comprise the single arm L-MIND study, rather than a randomised controlled tria</w:t>
      </w:r>
      <w:r>
        <w:t xml:space="preserve">l, involving a direct comparison with an alternative treatment (see for example paragraph 3.3 of the FAD). </w:t>
      </w:r>
      <w:proofErr w:type="gramStart"/>
      <w:r>
        <w:t>However  L</w:t>
      </w:r>
      <w:proofErr w:type="gramEnd"/>
      <w:r>
        <w:t xml:space="preserve">-MIND was not originally intended to be the basis for registration of </w:t>
      </w:r>
      <w:proofErr w:type="spellStart"/>
      <w:r>
        <w:t>tafasitamab</w:t>
      </w:r>
      <w:proofErr w:type="spellEnd"/>
      <w:r>
        <w:t xml:space="preserve"> and only became so as a result of the positive outcome of</w:t>
      </w:r>
      <w:r>
        <w:t xml:space="preserve"> the study and the resulting decision by the European Medicines Agency (EMA) and the MHRA to recommend grant of marketing authorisations on the basis of that study on the basis that the benefit of immediate availability of the medicine outweighed the risk </w:t>
      </w:r>
      <w:r>
        <w:t xml:space="preserve">inherent in the fact that additional clinical data were still required.    Based on the results from L-MIND and the decisions of the Licensing Authorities in EU and UK there was no basis for the conduct of randomised controlled trials of </w:t>
      </w:r>
      <w:proofErr w:type="spellStart"/>
      <w:r>
        <w:t>tafasitamab</w:t>
      </w:r>
      <w:proofErr w:type="spellEnd"/>
      <w:r>
        <w:t xml:space="preserve"> and le</w:t>
      </w:r>
      <w:r>
        <w:t>nalidomide with other licensed treatments in the population of patients under consideration in this appraisal.  In these circumstances and in view of the high unmet clinical need it is unfair to reject usage through the CDF on the basis of lack of a direct</w:t>
      </w:r>
      <w:r>
        <w:t xml:space="preserve"> treatment comparison, particularly given the fact that a CDF recommendation would allow particular uncertainties identified by the Committee (specifically in relation to overall and progression free survival (paragraph 3.7 of the FAD) and the additional b</w:t>
      </w:r>
      <w:r>
        <w:t xml:space="preserve">enefits of </w:t>
      </w:r>
      <w:proofErr w:type="spellStart"/>
      <w:r>
        <w:t>tafasitamab</w:t>
      </w:r>
      <w:proofErr w:type="spellEnd"/>
      <w:r>
        <w:t xml:space="preserve"> and lenalidomide not currently captured by the QALY calculation (paragraph 3.11) to be addressed. </w:t>
      </w:r>
    </w:p>
    <w:p w14:paraId="61CAA956" w14:textId="77777777" w:rsidR="00E964CF" w:rsidRDefault="0022157B">
      <w:pPr>
        <w:spacing w:after="145" w:line="267" w:lineRule="auto"/>
        <w:ind w:left="345" w:hanging="360"/>
      </w:pPr>
      <w:r>
        <w:rPr>
          <w:b/>
        </w:rPr>
        <w:lastRenderedPageBreak/>
        <w:t xml:space="preserve">2. </w:t>
      </w:r>
      <w:r>
        <w:rPr>
          <w:b/>
          <w:u w:val="single" w:color="000000"/>
        </w:rPr>
        <w:t>Ground 2: The recommendation is unreasonable in the light of the evidence</w:t>
      </w:r>
      <w:r>
        <w:rPr>
          <w:b/>
        </w:rPr>
        <w:t xml:space="preserve"> </w:t>
      </w:r>
      <w:r>
        <w:rPr>
          <w:b/>
          <w:u w:val="single" w:color="000000"/>
        </w:rPr>
        <w:t>submitted to NICE</w:t>
      </w:r>
      <w:r>
        <w:rPr>
          <w:b/>
        </w:rPr>
        <w:t xml:space="preserve"> </w:t>
      </w:r>
    </w:p>
    <w:p w14:paraId="36CF2AD9" w14:textId="77777777" w:rsidR="00E964CF" w:rsidRDefault="0022157B">
      <w:pPr>
        <w:pStyle w:val="Heading1"/>
        <w:ind w:left="787" w:right="-11"/>
      </w:pPr>
      <w:r>
        <w:rPr>
          <w:b w:val="0"/>
        </w:rPr>
        <w:t xml:space="preserve">2.1. </w:t>
      </w:r>
      <w:r>
        <w:t>The Committee’s conclusion that p</w:t>
      </w:r>
      <w:r>
        <w:t xml:space="preserve">atients eligible for treatment with </w:t>
      </w:r>
      <w:proofErr w:type="spellStart"/>
      <w:r>
        <w:t>tafasitamab</w:t>
      </w:r>
      <w:proofErr w:type="spellEnd"/>
      <w:r>
        <w:t xml:space="preserve"> and lenalidomide do not meet the </w:t>
      </w:r>
      <w:proofErr w:type="gramStart"/>
      <w:r>
        <w:t>end of life</w:t>
      </w:r>
      <w:proofErr w:type="gramEnd"/>
      <w:r>
        <w:t xml:space="preserve"> criteria does not reflect the balance of the available evidence</w:t>
      </w:r>
      <w:r>
        <w:rPr>
          <w:b w:val="0"/>
        </w:rPr>
        <w:t xml:space="preserve"> </w:t>
      </w:r>
    </w:p>
    <w:p w14:paraId="44ABA22B" w14:textId="77777777" w:rsidR="00E964CF" w:rsidRDefault="0022157B">
      <w:pPr>
        <w:spacing w:after="241" w:line="300" w:lineRule="auto"/>
        <w:ind w:left="-5"/>
      </w:pPr>
      <w:r>
        <w:t xml:space="preserve">At paragraph 3.8 of the FAD, </w:t>
      </w:r>
      <w:proofErr w:type="gramStart"/>
      <w:r>
        <w:t>the  Committee</w:t>
      </w:r>
      <w:proofErr w:type="gramEnd"/>
      <w:r>
        <w:t xml:space="preserve"> considered the application of the end of life criteria</w:t>
      </w:r>
      <w:r>
        <w:t xml:space="preserve"> and concluded that, while the second criterion (extension to life of at least 3 months) was met, the first criterion (short life expectancy, normally less  than 24 months) was not.  The reasons for the Committee’s conclusions in relation to the first crit</w:t>
      </w:r>
      <w:r>
        <w:t xml:space="preserve">erion were as follows: </w:t>
      </w:r>
    </w:p>
    <w:p w14:paraId="07793593" w14:textId="77777777" w:rsidR="00E964CF" w:rsidRDefault="0022157B">
      <w:pPr>
        <w:spacing w:after="238" w:line="300" w:lineRule="auto"/>
        <w:ind w:left="730"/>
      </w:pPr>
      <w:r>
        <w:t xml:space="preserve">“The committee was concerned at the considerable divergence between the estimates of survival from the literature and those from the guidance on </w:t>
      </w:r>
      <w:proofErr w:type="spellStart"/>
      <w:r>
        <w:t>polatuzumab</w:t>
      </w:r>
      <w:proofErr w:type="spellEnd"/>
      <w:r>
        <w:t xml:space="preserve"> </w:t>
      </w:r>
      <w:proofErr w:type="spellStart"/>
      <w:r>
        <w:t>vedotin</w:t>
      </w:r>
      <w:proofErr w:type="spellEnd"/>
      <w:r>
        <w:t>. It was aware that measuring survival using means and medians often</w:t>
      </w:r>
      <w:r>
        <w:t xml:space="preserve"> give different values, but the appeal panel in the avelumab appraisal agreed that all the evidence should be considered in making the decision. The committee acknowledged that the estimates from the guidance on </w:t>
      </w:r>
      <w:proofErr w:type="spellStart"/>
      <w:r>
        <w:t>polatuzumab</w:t>
      </w:r>
      <w:proofErr w:type="spellEnd"/>
      <w:r>
        <w:t xml:space="preserve"> </w:t>
      </w:r>
      <w:proofErr w:type="spellStart"/>
      <w:r>
        <w:t>vedotin</w:t>
      </w:r>
      <w:proofErr w:type="spellEnd"/>
      <w:r>
        <w:t xml:space="preserve"> may be too optimistic. B</w:t>
      </w:r>
      <w:r>
        <w:t xml:space="preserve">ut it did not consider that these would be such overestimates as to conclude that people who have </w:t>
      </w:r>
      <w:proofErr w:type="spellStart"/>
      <w:r>
        <w:t>polatuzumab</w:t>
      </w:r>
      <w:proofErr w:type="spellEnd"/>
      <w:r>
        <w:t xml:space="preserve"> </w:t>
      </w:r>
      <w:proofErr w:type="spellStart"/>
      <w:r>
        <w:t>vedotin</w:t>
      </w:r>
      <w:proofErr w:type="spellEnd"/>
      <w:r>
        <w:t xml:space="preserve"> in the NHS would have a life expectancy of less than 24 months.”  </w:t>
      </w:r>
    </w:p>
    <w:p w14:paraId="5008F5BC" w14:textId="77777777" w:rsidR="00E964CF" w:rsidRDefault="0022157B">
      <w:pPr>
        <w:spacing w:line="301" w:lineRule="auto"/>
        <w:ind w:left="-5"/>
      </w:pPr>
      <w:r>
        <w:t xml:space="preserve">Incyte firmly believes that the Committee’s conclusions do not reflect </w:t>
      </w:r>
      <w:r>
        <w:t xml:space="preserve">the balance of the evidence for the life expectancy of patients eligible for treatment with </w:t>
      </w:r>
      <w:proofErr w:type="spellStart"/>
      <w:r>
        <w:t>tafasitamab</w:t>
      </w:r>
      <w:proofErr w:type="spellEnd"/>
      <w:r>
        <w:t xml:space="preserve"> and lenalidomide and are therefore unreasonable.   Such evidence is summarised in Table 1 below. </w:t>
      </w:r>
    </w:p>
    <w:p w14:paraId="02C80305" w14:textId="77777777" w:rsidR="00E964CF" w:rsidRDefault="00E964CF">
      <w:pPr>
        <w:sectPr w:rsidR="00E964CF">
          <w:pgSz w:w="11906" w:h="16838"/>
          <w:pgMar w:top="778" w:right="1436" w:bottom="1504" w:left="1440" w:header="720" w:footer="720" w:gutter="0"/>
          <w:cols w:space="720"/>
        </w:sectPr>
      </w:pPr>
    </w:p>
    <w:p w14:paraId="4E288280" w14:textId="77777777" w:rsidR="00E964CF" w:rsidRDefault="0022157B">
      <w:pPr>
        <w:spacing w:after="2" w:line="259" w:lineRule="auto"/>
        <w:ind w:left="1547" w:right="-1537"/>
        <w:jc w:val="center"/>
      </w:pPr>
      <w:r>
        <w:rPr>
          <w:noProof/>
        </w:rPr>
        <w:lastRenderedPageBreak/>
        <w:drawing>
          <wp:anchor distT="0" distB="0" distL="114300" distR="114300" simplePos="0" relativeHeight="251659264" behindDoc="0" locked="0" layoutInCell="1" allowOverlap="0" wp14:anchorId="163B6C5A" wp14:editId="00B87CA6">
            <wp:simplePos x="0" y="0"/>
            <wp:positionH relativeFrom="column">
              <wp:posOffset>-165099</wp:posOffset>
            </wp:positionH>
            <wp:positionV relativeFrom="paragraph">
              <wp:posOffset>-171535</wp:posOffset>
            </wp:positionV>
            <wp:extent cx="1485900" cy="1041400"/>
            <wp:effectExtent l="0" t="0" r="0" b="0"/>
            <wp:wrapSquare wrapText="bothSides"/>
            <wp:docPr id="587" name="Picture 587"/>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5"/>
                    <a:stretch>
                      <a:fillRect/>
                    </a:stretch>
                  </pic:blipFill>
                  <pic:spPr>
                    <a:xfrm>
                      <a:off x="0" y="0"/>
                      <a:ext cx="1485900" cy="1041400"/>
                    </a:xfrm>
                    <a:prstGeom prst="rect">
                      <a:avLst/>
                    </a:prstGeom>
                  </pic:spPr>
                </pic:pic>
              </a:graphicData>
            </a:graphic>
          </wp:anchor>
        </w:drawing>
      </w:r>
      <w:r>
        <w:rPr>
          <w:color w:val="0000C2"/>
          <w:sz w:val="16"/>
        </w:rPr>
        <w:t xml:space="preserve">Incyte Biosciences UK Ltd </w:t>
      </w:r>
    </w:p>
    <w:p w14:paraId="03233E60" w14:textId="77777777" w:rsidR="00E964CF" w:rsidRDefault="0022157B">
      <w:pPr>
        <w:tabs>
          <w:tab w:val="center" w:pos="5813"/>
          <w:tab w:val="center" w:pos="6892"/>
        </w:tabs>
        <w:spacing w:after="2" w:line="259" w:lineRule="auto"/>
        <w:ind w:left="0" w:right="-135" w:firstLine="0"/>
      </w:pPr>
      <w:r>
        <w:rPr>
          <w:rFonts w:ascii="Calibri" w:eastAsia="Calibri" w:hAnsi="Calibri" w:cs="Calibri"/>
          <w:sz w:val="22"/>
        </w:rPr>
        <w:tab/>
      </w:r>
      <w:r>
        <w:rPr>
          <w:color w:val="0000C2"/>
          <w:sz w:val="16"/>
        </w:rPr>
        <w:t xml:space="preserve"> </w:t>
      </w:r>
      <w:r>
        <w:rPr>
          <w:color w:val="0000C2"/>
          <w:sz w:val="16"/>
        </w:rPr>
        <w:tab/>
        <w:t>First Floor</w:t>
      </w:r>
      <w:r>
        <w:rPr>
          <w:color w:val="0000C2"/>
          <w:sz w:val="16"/>
        </w:rPr>
        <w:t xml:space="preserve">, Q1 </w:t>
      </w:r>
    </w:p>
    <w:p w14:paraId="7A1C9322" w14:textId="77777777" w:rsidR="00E964CF" w:rsidRDefault="0022157B">
      <w:pPr>
        <w:spacing w:after="0" w:line="259" w:lineRule="auto"/>
        <w:ind w:left="-6369" w:right="1459"/>
        <w:jc w:val="right"/>
      </w:pPr>
      <w:r>
        <w:rPr>
          <w:color w:val="0000C2"/>
          <w:sz w:val="16"/>
        </w:rPr>
        <w:t xml:space="preserve">The Square, </w:t>
      </w:r>
      <w:proofErr w:type="spellStart"/>
      <w:r>
        <w:rPr>
          <w:color w:val="0000C2"/>
          <w:sz w:val="16"/>
        </w:rPr>
        <w:t>Randalls</w:t>
      </w:r>
      <w:proofErr w:type="spellEnd"/>
      <w:r>
        <w:rPr>
          <w:color w:val="0000C2"/>
          <w:sz w:val="16"/>
        </w:rPr>
        <w:t xml:space="preserve"> Way, Leatherhead KT22 7TW </w:t>
      </w:r>
    </w:p>
    <w:p w14:paraId="35456A47" w14:textId="77777777" w:rsidR="00E964CF" w:rsidRDefault="0022157B">
      <w:pPr>
        <w:tabs>
          <w:tab w:val="center" w:pos="5924"/>
          <w:tab w:val="center" w:pos="6913"/>
        </w:tabs>
        <w:spacing w:after="2" w:line="259" w:lineRule="auto"/>
        <w:ind w:left="0" w:right="-178" w:firstLine="0"/>
      </w:pPr>
      <w:r>
        <w:rPr>
          <w:rFonts w:ascii="Calibri" w:eastAsia="Calibri" w:hAnsi="Calibri" w:cs="Calibri"/>
          <w:sz w:val="22"/>
        </w:rPr>
        <w:tab/>
      </w:r>
      <w:r>
        <w:rPr>
          <w:color w:val="0000C2"/>
          <w:sz w:val="16"/>
        </w:rPr>
        <w:t xml:space="preserve">Tel </w:t>
      </w:r>
      <w:r>
        <w:rPr>
          <w:color w:val="0000C2"/>
          <w:sz w:val="16"/>
        </w:rPr>
        <w:tab/>
        <w:t xml:space="preserve">0800 783 3711 </w:t>
      </w:r>
    </w:p>
    <w:p w14:paraId="430AF7FD" w14:textId="77777777" w:rsidR="00E964CF" w:rsidRDefault="0022157B">
      <w:pPr>
        <w:tabs>
          <w:tab w:val="center" w:pos="5978"/>
          <w:tab w:val="center" w:pos="6957"/>
        </w:tabs>
        <w:spacing w:after="0" w:line="259" w:lineRule="auto"/>
        <w:ind w:left="0" w:right="-446" w:firstLine="0"/>
      </w:pPr>
      <w:r>
        <w:rPr>
          <w:rFonts w:ascii="Calibri" w:eastAsia="Calibri" w:hAnsi="Calibri" w:cs="Calibri"/>
          <w:sz w:val="22"/>
        </w:rPr>
        <w:tab/>
      </w:r>
      <w:r>
        <w:rPr>
          <w:color w:val="0000C2"/>
          <w:sz w:val="16"/>
        </w:rPr>
        <w:t xml:space="preserve">Web </w:t>
      </w:r>
      <w:r>
        <w:rPr>
          <w:color w:val="0000C2"/>
          <w:sz w:val="16"/>
        </w:rPr>
        <w:tab/>
      </w:r>
      <w:r>
        <w:rPr>
          <w:color w:val="0000CA"/>
          <w:sz w:val="16"/>
          <w:u w:val="single" w:color="0000CA"/>
        </w:rPr>
        <w:t>www.incyte.com</w:t>
      </w:r>
      <w:r>
        <w:rPr>
          <w:color w:val="0000CA"/>
          <w:sz w:val="16"/>
        </w:rPr>
        <w:t xml:space="preserve"> </w:t>
      </w:r>
    </w:p>
    <w:p w14:paraId="16D888B8" w14:textId="77777777" w:rsidR="00E964CF" w:rsidRDefault="0022157B">
      <w:pPr>
        <w:spacing w:after="0" w:line="259" w:lineRule="auto"/>
        <w:ind w:left="124" w:firstLine="0"/>
        <w:jc w:val="center"/>
      </w:pPr>
      <w:r>
        <w:rPr>
          <w:color w:val="0000CA"/>
          <w:sz w:val="16"/>
        </w:rPr>
        <w:t xml:space="preserve"> </w:t>
      </w:r>
    </w:p>
    <w:p w14:paraId="0C01AC3A" w14:textId="77777777" w:rsidR="00E964CF" w:rsidRDefault="0022157B">
      <w:pPr>
        <w:spacing w:after="64" w:line="259" w:lineRule="auto"/>
        <w:ind w:left="1366" w:right="-1356"/>
        <w:jc w:val="center"/>
      </w:pPr>
      <w:r>
        <w:rPr>
          <w:color w:val="0000CA"/>
          <w:sz w:val="16"/>
          <w:u w:val="single" w:color="0000CA"/>
        </w:rPr>
        <w:t>Company Registration No. 08247692</w:t>
      </w:r>
      <w:r>
        <w:rPr>
          <w:color w:val="0000CA"/>
          <w:sz w:val="16"/>
        </w:rPr>
        <w:t xml:space="preserve"> </w:t>
      </w:r>
    </w:p>
    <w:p w14:paraId="3738D515" w14:textId="77777777" w:rsidR="00E964CF" w:rsidRDefault="0022157B">
      <w:pPr>
        <w:spacing w:after="0" w:line="259" w:lineRule="auto"/>
        <w:ind w:left="0" w:firstLine="0"/>
      </w:pPr>
      <w:r>
        <w:rPr>
          <w:rFonts w:ascii="Calibri" w:eastAsia="Calibri" w:hAnsi="Calibri" w:cs="Calibri"/>
        </w:rPr>
        <w:t xml:space="preserve"> </w:t>
      </w:r>
    </w:p>
    <w:p w14:paraId="1A536052" w14:textId="77777777" w:rsidR="00E964CF" w:rsidRDefault="0022157B">
      <w:pPr>
        <w:spacing w:after="0" w:line="259" w:lineRule="auto"/>
        <w:ind w:left="0" w:firstLine="0"/>
      </w:pPr>
      <w:r>
        <w:rPr>
          <w:b/>
        </w:rPr>
        <w:t xml:space="preserve"> </w:t>
      </w:r>
    </w:p>
    <w:p w14:paraId="0BA2ED87" w14:textId="77777777" w:rsidR="00E964CF" w:rsidRDefault="0022157B">
      <w:pPr>
        <w:spacing w:after="0" w:line="259" w:lineRule="auto"/>
        <w:ind w:left="0" w:firstLine="0"/>
      </w:pPr>
      <w:r>
        <w:rPr>
          <w:b/>
        </w:rPr>
        <w:t xml:space="preserve"> </w:t>
      </w:r>
    </w:p>
    <w:p w14:paraId="047F0F51" w14:textId="77777777" w:rsidR="00E964CF" w:rsidRDefault="0022157B">
      <w:pPr>
        <w:spacing w:after="0" w:line="268" w:lineRule="auto"/>
        <w:ind w:left="-5"/>
        <w:jc w:val="both"/>
      </w:pPr>
      <w:r>
        <w:rPr>
          <w:b/>
        </w:rPr>
        <w:t>Table 1</w:t>
      </w:r>
      <w:r>
        <w:t>.</w:t>
      </w:r>
      <w:r>
        <w:rPr>
          <w:b/>
        </w:rPr>
        <w:t xml:space="preserve"> Life expectancy in patients with R/R DLBCL eligible for </w:t>
      </w:r>
      <w:proofErr w:type="spellStart"/>
      <w:r>
        <w:rPr>
          <w:b/>
        </w:rPr>
        <w:t>tafasitamab</w:t>
      </w:r>
      <w:proofErr w:type="spellEnd"/>
      <w:r>
        <w:rPr>
          <w:b/>
        </w:rPr>
        <w:t xml:space="preserve"> with lenalidomide.  </w:t>
      </w:r>
    </w:p>
    <w:tbl>
      <w:tblPr>
        <w:tblStyle w:val="TableGrid"/>
        <w:tblW w:w="13946" w:type="dxa"/>
        <w:tblInd w:w="6" w:type="dxa"/>
        <w:tblCellMar>
          <w:top w:w="44" w:type="dxa"/>
          <w:left w:w="107" w:type="dxa"/>
          <w:bottom w:w="10" w:type="dxa"/>
          <w:right w:w="47" w:type="dxa"/>
        </w:tblCellMar>
        <w:tblLook w:val="04A0" w:firstRow="1" w:lastRow="0" w:firstColumn="1" w:lastColumn="0" w:noHBand="0" w:noVBand="1"/>
      </w:tblPr>
      <w:tblGrid>
        <w:gridCol w:w="3252"/>
        <w:gridCol w:w="2616"/>
        <w:gridCol w:w="2467"/>
        <w:gridCol w:w="1010"/>
        <w:gridCol w:w="2562"/>
        <w:gridCol w:w="2039"/>
      </w:tblGrid>
      <w:tr w:rsidR="00E964CF" w14:paraId="67D28035" w14:textId="77777777">
        <w:trPr>
          <w:trHeight w:val="888"/>
        </w:trPr>
        <w:tc>
          <w:tcPr>
            <w:tcW w:w="3253"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197B3D8B" w14:textId="77777777" w:rsidR="00E964CF" w:rsidRDefault="0022157B">
            <w:pPr>
              <w:spacing w:after="0" w:line="259" w:lineRule="auto"/>
              <w:ind w:left="0" w:firstLine="0"/>
            </w:pPr>
            <w:r>
              <w:rPr>
                <w:b/>
                <w:sz w:val="22"/>
              </w:rPr>
              <w:t xml:space="preserve">Source </w:t>
            </w:r>
          </w:p>
        </w:tc>
        <w:tc>
          <w:tcPr>
            <w:tcW w:w="2616"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27F4A9EE" w14:textId="77777777" w:rsidR="00E964CF" w:rsidRDefault="0022157B">
            <w:pPr>
              <w:spacing w:after="0" w:line="259" w:lineRule="auto"/>
              <w:ind w:left="1" w:firstLine="0"/>
            </w:pPr>
            <w:r>
              <w:rPr>
                <w:b/>
                <w:sz w:val="22"/>
              </w:rPr>
              <w:t xml:space="preserve">Population </w:t>
            </w:r>
          </w:p>
        </w:tc>
        <w:tc>
          <w:tcPr>
            <w:tcW w:w="2467"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7027DE48" w14:textId="77777777" w:rsidR="00E964CF" w:rsidRDefault="0022157B">
            <w:pPr>
              <w:spacing w:after="0" w:line="259" w:lineRule="auto"/>
              <w:ind w:left="1" w:firstLine="0"/>
            </w:pPr>
            <w:r>
              <w:rPr>
                <w:b/>
                <w:sz w:val="22"/>
              </w:rPr>
              <w:t xml:space="preserve">Life Expectancy (months)  </w:t>
            </w:r>
          </w:p>
        </w:tc>
        <w:tc>
          <w:tcPr>
            <w:tcW w:w="1010"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448773A8" w14:textId="77777777" w:rsidR="00E964CF" w:rsidRDefault="0022157B">
            <w:pPr>
              <w:spacing w:after="0" w:line="259" w:lineRule="auto"/>
              <w:ind w:left="1" w:firstLine="0"/>
            </w:pPr>
            <w:r>
              <w:rPr>
                <w:b/>
                <w:sz w:val="22"/>
              </w:rPr>
              <w:t xml:space="preserve">OS at 12 months </w:t>
            </w:r>
          </w:p>
        </w:tc>
        <w:tc>
          <w:tcPr>
            <w:tcW w:w="2561"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1B6CC57B" w14:textId="77777777" w:rsidR="00E964CF" w:rsidRDefault="0022157B">
            <w:pPr>
              <w:spacing w:after="0" w:line="259" w:lineRule="auto"/>
              <w:ind w:left="1" w:firstLine="0"/>
            </w:pPr>
            <w:r>
              <w:rPr>
                <w:b/>
                <w:sz w:val="22"/>
              </w:rPr>
              <w:t xml:space="preserve">OS at 24 months </w:t>
            </w:r>
          </w:p>
        </w:tc>
        <w:tc>
          <w:tcPr>
            <w:tcW w:w="2039"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36E0C42B" w14:textId="77777777" w:rsidR="00E964CF" w:rsidRDefault="0022157B">
            <w:pPr>
              <w:spacing w:after="0" w:line="259" w:lineRule="auto"/>
              <w:ind w:left="1" w:firstLine="0"/>
            </w:pPr>
            <w:r>
              <w:rPr>
                <w:b/>
                <w:sz w:val="22"/>
              </w:rPr>
              <w:t xml:space="preserve">Notes </w:t>
            </w:r>
          </w:p>
        </w:tc>
      </w:tr>
      <w:tr w:rsidR="00E964CF" w14:paraId="19CF8DC1" w14:textId="77777777">
        <w:trPr>
          <w:trHeight w:val="1506"/>
        </w:trPr>
        <w:tc>
          <w:tcPr>
            <w:tcW w:w="3253" w:type="dxa"/>
            <w:tcBorders>
              <w:top w:val="single" w:sz="4" w:space="0" w:color="000000"/>
              <w:left w:val="single" w:sz="4" w:space="0" w:color="000000"/>
              <w:bottom w:val="single" w:sz="4" w:space="0" w:color="000000"/>
              <w:right w:val="single" w:sz="4" w:space="0" w:color="000000"/>
            </w:tcBorders>
            <w:vAlign w:val="bottom"/>
          </w:tcPr>
          <w:p w14:paraId="118D6240" w14:textId="77777777" w:rsidR="00E964CF" w:rsidRDefault="0022157B">
            <w:pPr>
              <w:spacing w:after="0" w:line="259" w:lineRule="auto"/>
              <w:ind w:left="0" w:firstLine="0"/>
            </w:pPr>
            <w:r>
              <w:rPr>
                <w:sz w:val="22"/>
              </w:rPr>
              <w:t xml:space="preserve">MAIC - time-varying HR (Company base-case) </w:t>
            </w:r>
          </w:p>
        </w:tc>
        <w:tc>
          <w:tcPr>
            <w:tcW w:w="2616" w:type="dxa"/>
            <w:tcBorders>
              <w:top w:val="single" w:sz="4" w:space="0" w:color="000000"/>
              <w:left w:val="single" w:sz="4" w:space="0" w:color="000000"/>
              <w:bottom w:val="single" w:sz="4" w:space="0" w:color="000000"/>
              <w:right w:val="single" w:sz="4" w:space="0" w:color="000000"/>
            </w:tcBorders>
            <w:vAlign w:val="bottom"/>
          </w:tcPr>
          <w:p w14:paraId="77FEE16D" w14:textId="77777777" w:rsidR="00E964CF" w:rsidRDefault="0022157B">
            <w:pPr>
              <w:spacing w:after="0" w:line="259" w:lineRule="auto"/>
              <w:ind w:left="1" w:right="2" w:firstLine="0"/>
            </w:pPr>
            <w:r>
              <w:rPr>
                <w:sz w:val="22"/>
              </w:rPr>
              <w:t xml:space="preserve">Patients with R/R DLBCL not eligible for stem-cell transplant receiving POLA+BR  </w:t>
            </w:r>
          </w:p>
        </w:tc>
        <w:tc>
          <w:tcPr>
            <w:tcW w:w="2467" w:type="dxa"/>
            <w:tcBorders>
              <w:top w:val="single" w:sz="4" w:space="0" w:color="000000"/>
              <w:left w:val="single" w:sz="4" w:space="0" w:color="000000"/>
              <w:bottom w:val="single" w:sz="4" w:space="0" w:color="000000"/>
              <w:right w:val="single" w:sz="4" w:space="0" w:color="000000"/>
            </w:tcBorders>
            <w:vAlign w:val="bottom"/>
          </w:tcPr>
          <w:p w14:paraId="081B0AF0" w14:textId="77777777" w:rsidR="00E964CF" w:rsidRDefault="0022157B">
            <w:pPr>
              <w:spacing w:after="100" w:line="259" w:lineRule="auto"/>
              <w:ind w:left="1" w:firstLine="0"/>
            </w:pPr>
            <w:r>
              <w:rPr>
                <w:sz w:val="22"/>
              </w:rPr>
              <w:t xml:space="preserve">Median = 14.8  </w:t>
            </w:r>
          </w:p>
          <w:p w14:paraId="107F41E0" w14:textId="77777777" w:rsidR="00E964CF" w:rsidRDefault="0022157B">
            <w:pPr>
              <w:spacing w:after="0" w:line="259" w:lineRule="auto"/>
              <w:ind w:left="1" w:firstLine="0"/>
            </w:pPr>
            <w:r>
              <w:rPr>
                <w:sz w:val="22"/>
              </w:rPr>
              <w:t xml:space="preserve">Modelled mean </w:t>
            </w:r>
          </w:p>
          <w:p w14:paraId="7D0EFA0D" w14:textId="77777777" w:rsidR="00E964CF" w:rsidRDefault="0022157B">
            <w:pPr>
              <w:spacing w:after="0" w:line="259" w:lineRule="auto"/>
              <w:ind w:left="1" w:firstLine="0"/>
            </w:pPr>
            <w:r>
              <w:rPr>
                <w:sz w:val="22"/>
              </w:rPr>
              <w:t xml:space="preserve">(undiscounted) = 29  </w:t>
            </w:r>
          </w:p>
        </w:tc>
        <w:tc>
          <w:tcPr>
            <w:tcW w:w="1010" w:type="dxa"/>
            <w:tcBorders>
              <w:top w:val="single" w:sz="4" w:space="0" w:color="000000"/>
              <w:left w:val="single" w:sz="4" w:space="0" w:color="000000"/>
              <w:bottom w:val="single" w:sz="4" w:space="0" w:color="000000"/>
              <w:right w:val="single" w:sz="4" w:space="0" w:color="000000"/>
            </w:tcBorders>
            <w:vAlign w:val="bottom"/>
          </w:tcPr>
          <w:p w14:paraId="429BB018" w14:textId="77777777" w:rsidR="00E964CF" w:rsidRDefault="0022157B">
            <w:pPr>
              <w:spacing w:after="0" w:line="259" w:lineRule="auto"/>
              <w:ind w:left="1" w:firstLine="0"/>
            </w:pPr>
            <w:r>
              <w:rPr>
                <w:sz w:val="22"/>
              </w:rPr>
              <w:t xml:space="preserve">58% </w:t>
            </w:r>
          </w:p>
        </w:tc>
        <w:tc>
          <w:tcPr>
            <w:tcW w:w="2561" w:type="dxa"/>
            <w:tcBorders>
              <w:top w:val="single" w:sz="4" w:space="0" w:color="000000"/>
              <w:left w:val="single" w:sz="4" w:space="0" w:color="000000"/>
              <w:bottom w:val="single" w:sz="4" w:space="0" w:color="000000"/>
              <w:right w:val="single" w:sz="4" w:space="0" w:color="000000"/>
            </w:tcBorders>
            <w:vAlign w:val="bottom"/>
          </w:tcPr>
          <w:p w14:paraId="69BF6DCB" w14:textId="77777777" w:rsidR="00E964CF" w:rsidRDefault="0022157B">
            <w:pPr>
              <w:spacing w:after="0" w:line="259" w:lineRule="auto"/>
              <w:ind w:left="1" w:firstLine="0"/>
            </w:pPr>
            <w:r>
              <w:rPr>
                <w:sz w:val="22"/>
              </w:rPr>
              <w:t xml:space="preserve">34% </w:t>
            </w:r>
          </w:p>
        </w:tc>
        <w:tc>
          <w:tcPr>
            <w:tcW w:w="2039" w:type="dxa"/>
            <w:tcBorders>
              <w:top w:val="single" w:sz="4" w:space="0" w:color="000000"/>
              <w:left w:val="single" w:sz="4" w:space="0" w:color="000000"/>
              <w:bottom w:val="single" w:sz="4" w:space="0" w:color="000000"/>
              <w:right w:val="single" w:sz="4" w:space="0" w:color="000000"/>
            </w:tcBorders>
            <w:vAlign w:val="bottom"/>
          </w:tcPr>
          <w:p w14:paraId="6FE40638" w14:textId="77777777" w:rsidR="00E964CF" w:rsidRDefault="0022157B">
            <w:pPr>
              <w:spacing w:after="0" w:line="259" w:lineRule="auto"/>
              <w:ind w:left="1" w:firstLine="0"/>
            </w:pPr>
            <w:r>
              <w:rPr>
                <w:sz w:val="22"/>
              </w:rPr>
              <w:t xml:space="preserve"> </w:t>
            </w:r>
          </w:p>
        </w:tc>
      </w:tr>
      <w:tr w:rsidR="00E964CF" w14:paraId="09E9CA69" w14:textId="77777777">
        <w:trPr>
          <w:trHeight w:val="1507"/>
        </w:trPr>
        <w:tc>
          <w:tcPr>
            <w:tcW w:w="3253" w:type="dxa"/>
            <w:tcBorders>
              <w:top w:val="single" w:sz="4" w:space="0" w:color="000000"/>
              <w:left w:val="single" w:sz="4" w:space="0" w:color="000000"/>
              <w:bottom w:val="single" w:sz="4" w:space="0" w:color="000000"/>
              <w:right w:val="single" w:sz="4" w:space="0" w:color="000000"/>
            </w:tcBorders>
            <w:vAlign w:val="bottom"/>
          </w:tcPr>
          <w:p w14:paraId="4A7DDEE2" w14:textId="77777777" w:rsidR="00E964CF" w:rsidRDefault="0022157B">
            <w:pPr>
              <w:spacing w:after="0" w:line="259" w:lineRule="auto"/>
              <w:ind w:left="0" w:firstLine="0"/>
            </w:pPr>
            <w:r>
              <w:rPr>
                <w:sz w:val="22"/>
              </w:rPr>
              <w:t xml:space="preserve">MAIC - constant HR (ERG base-case) </w:t>
            </w:r>
          </w:p>
        </w:tc>
        <w:tc>
          <w:tcPr>
            <w:tcW w:w="2616" w:type="dxa"/>
            <w:tcBorders>
              <w:top w:val="single" w:sz="4" w:space="0" w:color="000000"/>
              <w:left w:val="single" w:sz="4" w:space="0" w:color="000000"/>
              <w:bottom w:val="single" w:sz="4" w:space="0" w:color="000000"/>
              <w:right w:val="single" w:sz="4" w:space="0" w:color="000000"/>
            </w:tcBorders>
            <w:vAlign w:val="bottom"/>
          </w:tcPr>
          <w:p w14:paraId="59DC5FAA" w14:textId="77777777" w:rsidR="00E964CF" w:rsidRDefault="0022157B">
            <w:pPr>
              <w:spacing w:after="0" w:line="259" w:lineRule="auto"/>
              <w:ind w:left="1" w:right="2" w:firstLine="0"/>
            </w:pPr>
            <w:r>
              <w:rPr>
                <w:sz w:val="22"/>
              </w:rPr>
              <w:t xml:space="preserve">Patients with R/R DLBCL not eligible for stem-cell transplant receiving POLA+BR </w:t>
            </w:r>
          </w:p>
        </w:tc>
        <w:tc>
          <w:tcPr>
            <w:tcW w:w="2467" w:type="dxa"/>
            <w:tcBorders>
              <w:top w:val="single" w:sz="4" w:space="0" w:color="000000"/>
              <w:left w:val="single" w:sz="4" w:space="0" w:color="000000"/>
              <w:bottom w:val="single" w:sz="4" w:space="0" w:color="000000"/>
              <w:right w:val="single" w:sz="4" w:space="0" w:color="000000"/>
            </w:tcBorders>
            <w:vAlign w:val="bottom"/>
          </w:tcPr>
          <w:p w14:paraId="764ED53F" w14:textId="77777777" w:rsidR="00E964CF" w:rsidRDefault="0022157B">
            <w:pPr>
              <w:spacing w:after="98" w:line="259" w:lineRule="auto"/>
              <w:ind w:left="1" w:firstLine="0"/>
            </w:pPr>
            <w:r>
              <w:rPr>
                <w:sz w:val="22"/>
              </w:rPr>
              <w:t xml:space="preserve">Median = 18.7  </w:t>
            </w:r>
          </w:p>
          <w:p w14:paraId="4957BF95" w14:textId="77777777" w:rsidR="00E964CF" w:rsidRDefault="0022157B">
            <w:pPr>
              <w:spacing w:after="0" w:line="259" w:lineRule="auto"/>
              <w:ind w:left="1" w:firstLine="0"/>
            </w:pPr>
            <w:r>
              <w:rPr>
                <w:sz w:val="22"/>
              </w:rPr>
              <w:t xml:space="preserve">Modelled mean </w:t>
            </w:r>
          </w:p>
          <w:p w14:paraId="465D8DF9" w14:textId="77777777" w:rsidR="00E964CF" w:rsidRDefault="0022157B">
            <w:pPr>
              <w:spacing w:after="0" w:line="259" w:lineRule="auto"/>
              <w:ind w:left="1" w:firstLine="0"/>
            </w:pPr>
            <w:r>
              <w:rPr>
                <w:sz w:val="22"/>
              </w:rPr>
              <w:t xml:space="preserve">(undiscounted) = 48 </w:t>
            </w:r>
          </w:p>
        </w:tc>
        <w:tc>
          <w:tcPr>
            <w:tcW w:w="1010" w:type="dxa"/>
            <w:tcBorders>
              <w:top w:val="single" w:sz="4" w:space="0" w:color="000000"/>
              <w:left w:val="single" w:sz="4" w:space="0" w:color="000000"/>
              <w:bottom w:val="single" w:sz="4" w:space="0" w:color="000000"/>
              <w:right w:val="single" w:sz="4" w:space="0" w:color="000000"/>
            </w:tcBorders>
            <w:vAlign w:val="bottom"/>
          </w:tcPr>
          <w:p w14:paraId="0E1C50F1" w14:textId="77777777" w:rsidR="00E964CF" w:rsidRDefault="0022157B">
            <w:pPr>
              <w:spacing w:after="0" w:line="259" w:lineRule="auto"/>
              <w:ind w:left="1" w:firstLine="0"/>
            </w:pPr>
            <w:r>
              <w:rPr>
                <w:sz w:val="22"/>
              </w:rPr>
              <w:t xml:space="preserve">61% </w:t>
            </w:r>
          </w:p>
        </w:tc>
        <w:tc>
          <w:tcPr>
            <w:tcW w:w="2561" w:type="dxa"/>
            <w:tcBorders>
              <w:top w:val="single" w:sz="4" w:space="0" w:color="000000"/>
              <w:left w:val="single" w:sz="4" w:space="0" w:color="000000"/>
              <w:bottom w:val="single" w:sz="4" w:space="0" w:color="000000"/>
              <w:right w:val="single" w:sz="4" w:space="0" w:color="000000"/>
            </w:tcBorders>
            <w:vAlign w:val="bottom"/>
          </w:tcPr>
          <w:p w14:paraId="6F59EBF7" w14:textId="77777777" w:rsidR="00E964CF" w:rsidRDefault="0022157B">
            <w:pPr>
              <w:spacing w:after="0" w:line="259" w:lineRule="auto"/>
              <w:ind w:left="1" w:firstLine="0"/>
            </w:pPr>
            <w:r>
              <w:rPr>
                <w:sz w:val="22"/>
              </w:rPr>
              <w:t xml:space="preserve">44% </w:t>
            </w:r>
          </w:p>
        </w:tc>
        <w:tc>
          <w:tcPr>
            <w:tcW w:w="2039" w:type="dxa"/>
            <w:tcBorders>
              <w:top w:val="single" w:sz="4" w:space="0" w:color="000000"/>
              <w:left w:val="single" w:sz="4" w:space="0" w:color="000000"/>
              <w:bottom w:val="single" w:sz="4" w:space="0" w:color="000000"/>
              <w:right w:val="single" w:sz="4" w:space="0" w:color="000000"/>
            </w:tcBorders>
            <w:vAlign w:val="bottom"/>
          </w:tcPr>
          <w:p w14:paraId="67BE4855" w14:textId="77777777" w:rsidR="00E964CF" w:rsidRDefault="0022157B">
            <w:pPr>
              <w:spacing w:after="0" w:line="259" w:lineRule="auto"/>
              <w:ind w:left="1" w:firstLine="0"/>
            </w:pPr>
            <w:r>
              <w:rPr>
                <w:sz w:val="22"/>
              </w:rPr>
              <w:t xml:space="preserve"> </w:t>
            </w:r>
          </w:p>
        </w:tc>
      </w:tr>
      <w:tr w:rsidR="00E964CF" w14:paraId="54D74ECE" w14:textId="77777777">
        <w:trPr>
          <w:trHeight w:val="2329"/>
        </w:trPr>
        <w:tc>
          <w:tcPr>
            <w:tcW w:w="3253" w:type="dxa"/>
            <w:tcBorders>
              <w:top w:val="single" w:sz="4" w:space="0" w:color="000000"/>
              <w:left w:val="single" w:sz="4" w:space="0" w:color="000000"/>
              <w:bottom w:val="single" w:sz="4" w:space="0" w:color="000000"/>
              <w:right w:val="single" w:sz="4" w:space="0" w:color="000000"/>
            </w:tcBorders>
            <w:vAlign w:val="bottom"/>
          </w:tcPr>
          <w:p w14:paraId="6906D657" w14:textId="77777777" w:rsidR="00E964CF" w:rsidRDefault="0022157B">
            <w:pPr>
              <w:spacing w:after="0" w:line="259" w:lineRule="auto"/>
              <w:ind w:left="0" w:right="29" w:firstLine="0"/>
            </w:pPr>
            <w:r>
              <w:rPr>
                <w:sz w:val="22"/>
              </w:rPr>
              <w:t xml:space="preserve">NICE Appraisal of </w:t>
            </w:r>
            <w:proofErr w:type="spellStart"/>
            <w:r>
              <w:rPr>
                <w:sz w:val="22"/>
              </w:rPr>
              <w:t>polatuzumab</w:t>
            </w:r>
            <w:proofErr w:type="spellEnd"/>
            <w:r>
              <w:rPr>
                <w:sz w:val="22"/>
              </w:rPr>
              <w:t xml:space="preserve"> </w:t>
            </w:r>
            <w:proofErr w:type="spellStart"/>
            <w:r>
              <w:rPr>
                <w:sz w:val="22"/>
              </w:rPr>
              <w:t>vedotin</w:t>
            </w:r>
            <w:proofErr w:type="spellEnd"/>
            <w:r>
              <w:rPr>
                <w:sz w:val="22"/>
              </w:rPr>
              <w:t xml:space="preserve"> [TA649] </w:t>
            </w:r>
          </w:p>
        </w:tc>
        <w:tc>
          <w:tcPr>
            <w:tcW w:w="2616" w:type="dxa"/>
            <w:tcBorders>
              <w:top w:val="single" w:sz="4" w:space="0" w:color="000000"/>
              <w:left w:val="single" w:sz="4" w:space="0" w:color="000000"/>
              <w:bottom w:val="single" w:sz="4" w:space="0" w:color="000000"/>
              <w:right w:val="single" w:sz="4" w:space="0" w:color="000000"/>
            </w:tcBorders>
            <w:vAlign w:val="bottom"/>
          </w:tcPr>
          <w:p w14:paraId="4659AA49" w14:textId="77777777" w:rsidR="00E964CF" w:rsidRDefault="0022157B">
            <w:pPr>
              <w:spacing w:after="0" w:line="259" w:lineRule="auto"/>
              <w:ind w:left="1" w:right="3" w:firstLine="0"/>
            </w:pPr>
            <w:r>
              <w:rPr>
                <w:sz w:val="22"/>
              </w:rPr>
              <w:t xml:space="preserve">Patients with R/R DLBCL not eligible for stem-cell transplant treated with </w:t>
            </w:r>
            <w:proofErr w:type="spellStart"/>
            <w:r>
              <w:rPr>
                <w:sz w:val="22"/>
              </w:rPr>
              <w:t>polatuzumab</w:t>
            </w:r>
            <w:proofErr w:type="spellEnd"/>
            <w:r>
              <w:rPr>
                <w:sz w:val="22"/>
              </w:rPr>
              <w:t xml:space="preserve"> </w:t>
            </w:r>
            <w:proofErr w:type="spellStart"/>
            <w:r>
              <w:rPr>
                <w:sz w:val="22"/>
              </w:rPr>
              <w:t>vedotin</w:t>
            </w:r>
            <w:proofErr w:type="spellEnd"/>
            <w:r>
              <w:rPr>
                <w:sz w:val="22"/>
              </w:rPr>
              <w:t xml:space="preserve"> with rituximab and </w:t>
            </w:r>
            <w:proofErr w:type="spellStart"/>
            <w:r>
              <w:rPr>
                <w:sz w:val="22"/>
              </w:rPr>
              <w:t>bendamustine</w:t>
            </w:r>
            <w:proofErr w:type="spellEnd"/>
            <w:r>
              <w:rPr>
                <w:sz w:val="22"/>
              </w:rPr>
              <w:t xml:space="preserve"> </w:t>
            </w:r>
          </w:p>
        </w:tc>
        <w:tc>
          <w:tcPr>
            <w:tcW w:w="2467" w:type="dxa"/>
            <w:tcBorders>
              <w:top w:val="single" w:sz="4" w:space="0" w:color="000000"/>
              <w:left w:val="single" w:sz="4" w:space="0" w:color="000000"/>
              <w:bottom w:val="single" w:sz="4" w:space="0" w:color="000000"/>
              <w:right w:val="single" w:sz="4" w:space="0" w:color="000000"/>
            </w:tcBorders>
            <w:vAlign w:val="bottom"/>
          </w:tcPr>
          <w:p w14:paraId="78E694D3" w14:textId="77777777" w:rsidR="00E964CF" w:rsidRDefault="0022157B">
            <w:pPr>
              <w:spacing w:after="100" w:line="259" w:lineRule="auto"/>
              <w:ind w:left="1" w:firstLine="0"/>
            </w:pPr>
            <w:r>
              <w:rPr>
                <w:sz w:val="22"/>
              </w:rPr>
              <w:t xml:space="preserve">Median = 12.4 </w:t>
            </w:r>
          </w:p>
          <w:p w14:paraId="40E8487B" w14:textId="77777777" w:rsidR="00E964CF" w:rsidRDefault="0022157B">
            <w:pPr>
              <w:spacing w:after="0" w:line="259" w:lineRule="auto"/>
              <w:ind w:left="1" w:firstLine="0"/>
            </w:pPr>
            <w:r>
              <w:rPr>
                <w:sz w:val="22"/>
              </w:rPr>
              <w:t xml:space="preserve">Modelled mean (discounted) = 37 months </w:t>
            </w:r>
          </w:p>
        </w:tc>
        <w:tc>
          <w:tcPr>
            <w:tcW w:w="1010" w:type="dxa"/>
            <w:tcBorders>
              <w:top w:val="single" w:sz="4" w:space="0" w:color="000000"/>
              <w:left w:val="single" w:sz="4" w:space="0" w:color="000000"/>
              <w:bottom w:val="single" w:sz="4" w:space="0" w:color="000000"/>
              <w:right w:val="single" w:sz="4" w:space="0" w:color="000000"/>
            </w:tcBorders>
            <w:vAlign w:val="bottom"/>
          </w:tcPr>
          <w:p w14:paraId="2A316AD4" w14:textId="77777777" w:rsidR="00E964CF" w:rsidRDefault="0022157B">
            <w:pPr>
              <w:spacing w:after="0" w:line="259" w:lineRule="auto"/>
              <w:ind w:left="1" w:firstLine="0"/>
            </w:pPr>
            <w:r>
              <w:rPr>
                <w:sz w:val="22"/>
              </w:rPr>
              <w:t xml:space="preserve">NA </w:t>
            </w:r>
          </w:p>
        </w:tc>
        <w:tc>
          <w:tcPr>
            <w:tcW w:w="2561" w:type="dxa"/>
            <w:tcBorders>
              <w:top w:val="single" w:sz="4" w:space="0" w:color="000000"/>
              <w:left w:val="single" w:sz="4" w:space="0" w:color="000000"/>
              <w:bottom w:val="single" w:sz="4" w:space="0" w:color="000000"/>
              <w:right w:val="single" w:sz="4" w:space="0" w:color="000000"/>
            </w:tcBorders>
            <w:vAlign w:val="bottom"/>
          </w:tcPr>
          <w:p w14:paraId="44DC202E" w14:textId="77777777" w:rsidR="00E964CF" w:rsidRDefault="0022157B">
            <w:pPr>
              <w:spacing w:after="0" w:line="259" w:lineRule="auto"/>
              <w:ind w:left="1" w:firstLine="0"/>
            </w:pPr>
            <w:r>
              <w:rPr>
                <w:sz w:val="22"/>
              </w:rPr>
              <w:t xml:space="preserve">NA </w:t>
            </w:r>
          </w:p>
        </w:tc>
        <w:tc>
          <w:tcPr>
            <w:tcW w:w="2039" w:type="dxa"/>
            <w:tcBorders>
              <w:top w:val="single" w:sz="4" w:space="0" w:color="000000"/>
              <w:left w:val="single" w:sz="4" w:space="0" w:color="000000"/>
              <w:bottom w:val="single" w:sz="4" w:space="0" w:color="000000"/>
              <w:right w:val="single" w:sz="4" w:space="0" w:color="000000"/>
            </w:tcBorders>
            <w:vAlign w:val="bottom"/>
          </w:tcPr>
          <w:p w14:paraId="4BCB6465" w14:textId="77777777" w:rsidR="00E964CF" w:rsidRDefault="0022157B">
            <w:pPr>
              <w:spacing w:after="0" w:line="259" w:lineRule="auto"/>
              <w:ind w:left="1" w:firstLine="0"/>
            </w:pPr>
            <w:r>
              <w:rPr>
                <w:sz w:val="22"/>
              </w:rPr>
              <w:t xml:space="preserve"> </w:t>
            </w:r>
          </w:p>
        </w:tc>
      </w:tr>
      <w:tr w:rsidR="00E964CF" w14:paraId="2988D998" w14:textId="77777777">
        <w:trPr>
          <w:trHeight w:val="300"/>
        </w:trPr>
        <w:tc>
          <w:tcPr>
            <w:tcW w:w="11908" w:type="dxa"/>
            <w:gridSpan w:val="5"/>
            <w:tcBorders>
              <w:top w:val="single" w:sz="4" w:space="0" w:color="000000"/>
              <w:left w:val="single" w:sz="4" w:space="0" w:color="000000"/>
              <w:bottom w:val="single" w:sz="4" w:space="0" w:color="000000"/>
              <w:right w:val="nil"/>
            </w:tcBorders>
            <w:shd w:val="clear" w:color="auto" w:fill="D9D9D9"/>
          </w:tcPr>
          <w:p w14:paraId="62F7260D" w14:textId="77777777" w:rsidR="00E964CF" w:rsidRDefault="0022157B">
            <w:pPr>
              <w:spacing w:after="0" w:line="259" w:lineRule="auto"/>
              <w:ind w:left="0" w:firstLine="0"/>
            </w:pPr>
            <w:r>
              <w:rPr>
                <w:b/>
                <w:sz w:val="22"/>
              </w:rPr>
              <w:lastRenderedPageBreak/>
              <w:t xml:space="preserve">Published literature in patients with R/R DLBCL not eligible for transplant receiving POLA+BR </w:t>
            </w:r>
          </w:p>
        </w:tc>
        <w:tc>
          <w:tcPr>
            <w:tcW w:w="2039" w:type="dxa"/>
            <w:tcBorders>
              <w:top w:val="single" w:sz="4" w:space="0" w:color="000000"/>
              <w:left w:val="nil"/>
              <w:bottom w:val="single" w:sz="4" w:space="0" w:color="000000"/>
              <w:right w:val="single" w:sz="4" w:space="0" w:color="000000"/>
            </w:tcBorders>
            <w:shd w:val="clear" w:color="auto" w:fill="D9D9D9"/>
          </w:tcPr>
          <w:p w14:paraId="3E7BAC2C" w14:textId="77777777" w:rsidR="00E964CF" w:rsidRDefault="00E964CF">
            <w:pPr>
              <w:spacing w:after="160" w:line="259" w:lineRule="auto"/>
              <w:ind w:left="0" w:firstLine="0"/>
            </w:pPr>
          </w:p>
        </w:tc>
      </w:tr>
    </w:tbl>
    <w:p w14:paraId="02106C3F" w14:textId="77777777" w:rsidR="00E964CF" w:rsidRDefault="00E964CF">
      <w:pPr>
        <w:spacing w:after="0" w:line="259" w:lineRule="auto"/>
        <w:ind w:left="-1440" w:right="12986" w:firstLine="0"/>
      </w:pPr>
    </w:p>
    <w:tbl>
      <w:tblPr>
        <w:tblStyle w:val="TableGrid"/>
        <w:tblW w:w="13946" w:type="dxa"/>
        <w:tblInd w:w="6" w:type="dxa"/>
        <w:tblCellMar>
          <w:top w:w="6" w:type="dxa"/>
          <w:left w:w="107" w:type="dxa"/>
          <w:bottom w:w="0" w:type="dxa"/>
          <w:right w:w="0" w:type="dxa"/>
        </w:tblCellMar>
        <w:tblLook w:val="04A0" w:firstRow="1" w:lastRow="0" w:firstColumn="1" w:lastColumn="0" w:noHBand="0" w:noVBand="1"/>
      </w:tblPr>
      <w:tblGrid>
        <w:gridCol w:w="3253"/>
        <w:gridCol w:w="1679"/>
        <w:gridCol w:w="937"/>
        <w:gridCol w:w="2467"/>
        <w:gridCol w:w="1010"/>
        <w:gridCol w:w="2561"/>
        <w:gridCol w:w="2039"/>
      </w:tblGrid>
      <w:tr w:rsidR="00E964CF" w14:paraId="121546FF" w14:textId="77777777">
        <w:trPr>
          <w:trHeight w:val="888"/>
        </w:trPr>
        <w:tc>
          <w:tcPr>
            <w:tcW w:w="3253"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4B156010" w14:textId="77777777" w:rsidR="00E964CF" w:rsidRDefault="0022157B">
            <w:pPr>
              <w:spacing w:after="0" w:line="259" w:lineRule="auto"/>
              <w:ind w:left="0" w:firstLine="0"/>
            </w:pPr>
            <w:r>
              <w:rPr>
                <w:b/>
                <w:sz w:val="22"/>
              </w:rPr>
              <w:t xml:space="preserve">Source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DFDFDF"/>
            <w:vAlign w:val="bottom"/>
          </w:tcPr>
          <w:p w14:paraId="0E1321FB" w14:textId="77777777" w:rsidR="00E964CF" w:rsidRDefault="0022157B">
            <w:pPr>
              <w:spacing w:after="0" w:line="259" w:lineRule="auto"/>
              <w:ind w:left="1" w:firstLine="0"/>
            </w:pPr>
            <w:r>
              <w:rPr>
                <w:b/>
                <w:sz w:val="22"/>
              </w:rPr>
              <w:t xml:space="preserve">Population </w:t>
            </w:r>
          </w:p>
        </w:tc>
        <w:tc>
          <w:tcPr>
            <w:tcW w:w="2467"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0F0B4E56" w14:textId="77777777" w:rsidR="00E964CF" w:rsidRDefault="0022157B">
            <w:pPr>
              <w:spacing w:after="0" w:line="259" w:lineRule="auto"/>
              <w:ind w:left="1" w:firstLine="0"/>
            </w:pPr>
            <w:r>
              <w:rPr>
                <w:b/>
                <w:sz w:val="22"/>
              </w:rPr>
              <w:t xml:space="preserve">Life Expectancy (months)  </w:t>
            </w:r>
          </w:p>
        </w:tc>
        <w:tc>
          <w:tcPr>
            <w:tcW w:w="1010"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3FC8FCE7" w14:textId="77777777" w:rsidR="00E964CF" w:rsidRDefault="0022157B">
            <w:pPr>
              <w:spacing w:after="0" w:line="259" w:lineRule="auto"/>
              <w:ind w:left="1" w:right="20" w:firstLine="0"/>
            </w:pPr>
            <w:r>
              <w:rPr>
                <w:b/>
                <w:sz w:val="22"/>
              </w:rPr>
              <w:t xml:space="preserve">OS at 12 months </w:t>
            </w:r>
          </w:p>
        </w:tc>
        <w:tc>
          <w:tcPr>
            <w:tcW w:w="2561"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1C9B0495" w14:textId="77777777" w:rsidR="00E964CF" w:rsidRDefault="0022157B">
            <w:pPr>
              <w:spacing w:after="0" w:line="259" w:lineRule="auto"/>
              <w:ind w:left="1" w:firstLine="0"/>
            </w:pPr>
            <w:r>
              <w:rPr>
                <w:b/>
                <w:sz w:val="22"/>
              </w:rPr>
              <w:t xml:space="preserve">OS at 24 months </w:t>
            </w:r>
          </w:p>
        </w:tc>
        <w:tc>
          <w:tcPr>
            <w:tcW w:w="2039"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020B99BB" w14:textId="77777777" w:rsidR="00E964CF" w:rsidRDefault="0022157B">
            <w:pPr>
              <w:spacing w:after="0" w:line="259" w:lineRule="auto"/>
              <w:ind w:left="1" w:firstLine="0"/>
            </w:pPr>
            <w:r>
              <w:rPr>
                <w:b/>
                <w:sz w:val="22"/>
              </w:rPr>
              <w:t xml:space="preserve">Notes </w:t>
            </w:r>
          </w:p>
        </w:tc>
      </w:tr>
      <w:tr w:rsidR="00E964CF" w14:paraId="4B9D11AD" w14:textId="77777777">
        <w:trPr>
          <w:trHeight w:val="1021"/>
        </w:trPr>
        <w:tc>
          <w:tcPr>
            <w:tcW w:w="325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551509F" w14:textId="77777777" w:rsidR="00E964CF" w:rsidRDefault="0022157B">
            <w:pPr>
              <w:spacing w:after="0" w:line="259" w:lineRule="auto"/>
              <w:ind w:left="0" w:firstLine="0"/>
            </w:pPr>
            <w:r>
              <w:rPr>
                <w:b/>
                <w:sz w:val="22"/>
              </w:rPr>
              <w:t xml:space="preserve">Study </w:t>
            </w:r>
          </w:p>
        </w:tc>
        <w:tc>
          <w:tcPr>
            <w:tcW w:w="167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B8EC625" w14:textId="77777777" w:rsidR="00E964CF" w:rsidRDefault="0022157B">
            <w:pPr>
              <w:spacing w:after="0" w:line="259" w:lineRule="auto"/>
              <w:ind w:left="1" w:right="40" w:firstLine="0"/>
            </w:pPr>
            <w:r>
              <w:rPr>
                <w:b/>
                <w:sz w:val="22"/>
              </w:rPr>
              <w:t xml:space="preserve">No. of patients </w:t>
            </w:r>
          </w:p>
        </w:tc>
        <w:tc>
          <w:tcPr>
            <w:tcW w:w="937" w:type="dxa"/>
            <w:tcBorders>
              <w:top w:val="single" w:sz="4" w:space="0" w:color="000000"/>
              <w:left w:val="single" w:sz="4" w:space="0" w:color="000000"/>
              <w:bottom w:val="single" w:sz="4" w:space="0" w:color="000000"/>
              <w:right w:val="single" w:sz="4" w:space="0" w:color="000000"/>
            </w:tcBorders>
            <w:shd w:val="clear" w:color="auto" w:fill="F2F2F2"/>
          </w:tcPr>
          <w:p w14:paraId="1F543FE0" w14:textId="77777777" w:rsidR="00E964CF" w:rsidRDefault="0022157B">
            <w:pPr>
              <w:spacing w:after="0" w:line="259" w:lineRule="auto"/>
              <w:ind w:left="0" w:right="58" w:firstLine="0"/>
            </w:pPr>
            <w:r>
              <w:rPr>
                <w:b/>
                <w:sz w:val="22"/>
              </w:rPr>
              <w:t xml:space="preserve">Prior </w:t>
            </w:r>
            <w:proofErr w:type="spellStart"/>
            <w:r>
              <w:rPr>
                <w:b/>
                <w:sz w:val="22"/>
              </w:rPr>
              <w:t>tx</w:t>
            </w:r>
            <w:proofErr w:type="spellEnd"/>
            <w:r>
              <w:rPr>
                <w:b/>
                <w:sz w:val="22"/>
              </w:rPr>
              <w:t xml:space="preserve"> lines, </w:t>
            </w:r>
            <w:r>
              <w:rPr>
                <w:sz w:val="22"/>
              </w:rPr>
              <w:t>median (range)</w:t>
            </w:r>
            <w:r>
              <w:rPr>
                <w:b/>
                <w:sz w:val="22"/>
              </w:rPr>
              <w:t xml:space="preserve">  </w:t>
            </w:r>
          </w:p>
        </w:tc>
        <w:tc>
          <w:tcPr>
            <w:tcW w:w="2467"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E234452" w14:textId="77777777" w:rsidR="00E964CF" w:rsidRDefault="0022157B">
            <w:pPr>
              <w:spacing w:after="0" w:line="259" w:lineRule="auto"/>
              <w:ind w:left="1" w:firstLine="0"/>
            </w:pPr>
            <w:r>
              <w:rPr>
                <w:b/>
                <w:sz w:val="22"/>
              </w:rPr>
              <w:t xml:space="preserve">OS, median (95% CI), </w:t>
            </w:r>
            <w:r>
              <w:rPr>
                <w:sz w:val="22"/>
              </w:rPr>
              <w:t>months</w:t>
            </w:r>
            <w:r>
              <w:rPr>
                <w:b/>
                <w:sz w:val="22"/>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A00F6BA" w14:textId="77777777" w:rsidR="00E964CF" w:rsidRDefault="0022157B">
            <w:pPr>
              <w:spacing w:after="0" w:line="259" w:lineRule="auto"/>
              <w:ind w:left="1" w:right="20" w:firstLine="0"/>
            </w:pPr>
            <w:r>
              <w:rPr>
                <w:b/>
                <w:sz w:val="22"/>
              </w:rPr>
              <w:t xml:space="preserve">OS at 12 months </w:t>
            </w:r>
          </w:p>
        </w:tc>
        <w:tc>
          <w:tcPr>
            <w:tcW w:w="256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205F7A5" w14:textId="77777777" w:rsidR="00E964CF" w:rsidRDefault="0022157B">
            <w:pPr>
              <w:spacing w:after="0" w:line="259" w:lineRule="auto"/>
              <w:ind w:left="1" w:firstLine="0"/>
            </w:pPr>
            <w:r>
              <w:rPr>
                <w:b/>
                <w:sz w:val="22"/>
              </w:rPr>
              <w:t xml:space="preserve">OS at 24 months </w:t>
            </w:r>
          </w:p>
        </w:tc>
        <w:tc>
          <w:tcPr>
            <w:tcW w:w="203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9FA1FA7" w14:textId="77777777" w:rsidR="00E964CF" w:rsidRDefault="0022157B">
            <w:pPr>
              <w:spacing w:after="0" w:line="259" w:lineRule="auto"/>
              <w:ind w:left="1" w:firstLine="0"/>
            </w:pPr>
            <w:r>
              <w:rPr>
                <w:b/>
                <w:sz w:val="22"/>
              </w:rPr>
              <w:t xml:space="preserve">Notes </w:t>
            </w:r>
          </w:p>
        </w:tc>
      </w:tr>
      <w:tr w:rsidR="00E964CF" w14:paraId="3D666E44" w14:textId="77777777">
        <w:trPr>
          <w:trHeight w:val="428"/>
        </w:trPr>
        <w:tc>
          <w:tcPr>
            <w:tcW w:w="13946" w:type="dxa"/>
            <w:gridSpan w:val="7"/>
            <w:tcBorders>
              <w:top w:val="single" w:sz="4" w:space="0" w:color="000000"/>
              <w:left w:val="single" w:sz="4" w:space="0" w:color="000000"/>
              <w:bottom w:val="single" w:sz="4" w:space="0" w:color="000000"/>
              <w:right w:val="single" w:sz="4" w:space="0" w:color="000000"/>
            </w:tcBorders>
            <w:shd w:val="clear" w:color="auto" w:fill="E7E7E8"/>
            <w:vAlign w:val="bottom"/>
          </w:tcPr>
          <w:p w14:paraId="63BBF9AE" w14:textId="77777777" w:rsidR="00E964CF" w:rsidRDefault="0022157B">
            <w:pPr>
              <w:spacing w:after="0" w:line="259" w:lineRule="auto"/>
              <w:ind w:left="0" w:firstLine="0"/>
            </w:pPr>
            <w:r>
              <w:rPr>
                <w:b/>
                <w:sz w:val="22"/>
              </w:rPr>
              <w:t xml:space="preserve">Studies referenced by Incyte in its written submissions </w:t>
            </w:r>
          </w:p>
        </w:tc>
      </w:tr>
      <w:tr w:rsidR="00E964CF" w14:paraId="6D961E83" w14:textId="77777777">
        <w:trPr>
          <w:trHeight w:val="760"/>
        </w:trPr>
        <w:tc>
          <w:tcPr>
            <w:tcW w:w="3253" w:type="dxa"/>
            <w:tcBorders>
              <w:top w:val="single" w:sz="4" w:space="0" w:color="000000"/>
              <w:left w:val="single" w:sz="4" w:space="0" w:color="000000"/>
              <w:bottom w:val="single" w:sz="4" w:space="0" w:color="000000"/>
              <w:right w:val="single" w:sz="4" w:space="0" w:color="000000"/>
            </w:tcBorders>
            <w:vAlign w:val="bottom"/>
          </w:tcPr>
          <w:p w14:paraId="1DA0E951" w14:textId="77777777" w:rsidR="00E964CF" w:rsidRDefault="0022157B">
            <w:pPr>
              <w:spacing w:after="0" w:line="259" w:lineRule="auto"/>
              <w:ind w:left="0" w:firstLine="0"/>
            </w:pPr>
            <w:proofErr w:type="spellStart"/>
            <w:r>
              <w:rPr>
                <w:sz w:val="22"/>
              </w:rPr>
              <w:t>Sehn</w:t>
            </w:r>
            <w:proofErr w:type="spellEnd"/>
            <w:r>
              <w:rPr>
                <w:sz w:val="22"/>
              </w:rPr>
              <w:t xml:space="preserve"> 2022 (GO29365 </w:t>
            </w:r>
            <w:proofErr w:type="gramStart"/>
            <w:r>
              <w:rPr>
                <w:sz w:val="22"/>
              </w:rPr>
              <w:t>trial)(</w:t>
            </w:r>
            <w:proofErr w:type="gramEnd"/>
            <w:r>
              <w:rPr>
                <w:sz w:val="22"/>
              </w:rPr>
              <w:t xml:space="preserve">3) </w:t>
            </w:r>
          </w:p>
        </w:tc>
        <w:tc>
          <w:tcPr>
            <w:tcW w:w="1679" w:type="dxa"/>
            <w:tcBorders>
              <w:top w:val="single" w:sz="4" w:space="0" w:color="000000"/>
              <w:left w:val="single" w:sz="4" w:space="0" w:color="000000"/>
              <w:bottom w:val="single" w:sz="4" w:space="0" w:color="000000"/>
              <w:right w:val="single" w:sz="4" w:space="0" w:color="000000"/>
            </w:tcBorders>
            <w:vAlign w:val="bottom"/>
          </w:tcPr>
          <w:p w14:paraId="41238E42" w14:textId="77777777" w:rsidR="00E964CF" w:rsidRDefault="0022157B">
            <w:pPr>
              <w:spacing w:after="0" w:line="259" w:lineRule="auto"/>
              <w:ind w:left="1" w:firstLine="0"/>
            </w:pPr>
            <w:r>
              <w:rPr>
                <w:sz w:val="22"/>
              </w:rPr>
              <w:t xml:space="preserve">40 </w:t>
            </w:r>
          </w:p>
        </w:tc>
        <w:tc>
          <w:tcPr>
            <w:tcW w:w="937" w:type="dxa"/>
            <w:tcBorders>
              <w:top w:val="single" w:sz="4" w:space="0" w:color="000000"/>
              <w:left w:val="single" w:sz="4" w:space="0" w:color="000000"/>
              <w:bottom w:val="single" w:sz="4" w:space="0" w:color="000000"/>
              <w:right w:val="single" w:sz="4" w:space="0" w:color="000000"/>
            </w:tcBorders>
            <w:vAlign w:val="bottom"/>
          </w:tcPr>
          <w:p w14:paraId="0C155EE9" w14:textId="77777777" w:rsidR="00E964CF" w:rsidRDefault="0022157B">
            <w:pPr>
              <w:spacing w:after="0" w:line="259" w:lineRule="auto"/>
              <w:ind w:left="0" w:firstLine="0"/>
            </w:pPr>
            <w:r>
              <w:rPr>
                <w:sz w:val="22"/>
              </w:rPr>
              <w:t xml:space="preserve">2 (1-7) </w:t>
            </w:r>
          </w:p>
        </w:tc>
        <w:tc>
          <w:tcPr>
            <w:tcW w:w="2467" w:type="dxa"/>
            <w:tcBorders>
              <w:top w:val="single" w:sz="4" w:space="0" w:color="000000"/>
              <w:left w:val="single" w:sz="4" w:space="0" w:color="000000"/>
              <w:bottom w:val="single" w:sz="4" w:space="0" w:color="000000"/>
              <w:right w:val="single" w:sz="4" w:space="0" w:color="000000"/>
            </w:tcBorders>
            <w:vAlign w:val="bottom"/>
          </w:tcPr>
          <w:p w14:paraId="2AE6B776" w14:textId="77777777" w:rsidR="00E964CF" w:rsidRDefault="0022157B">
            <w:pPr>
              <w:spacing w:after="16" w:line="259" w:lineRule="auto"/>
              <w:ind w:left="1" w:firstLine="0"/>
            </w:pPr>
            <w:r>
              <w:rPr>
                <w:sz w:val="22"/>
              </w:rPr>
              <w:t xml:space="preserve">Median (95% CI) = </w:t>
            </w:r>
          </w:p>
          <w:p w14:paraId="7018E0C9" w14:textId="77777777" w:rsidR="00E964CF" w:rsidRDefault="0022157B">
            <w:pPr>
              <w:spacing w:after="0" w:line="259" w:lineRule="auto"/>
              <w:ind w:left="1" w:firstLine="0"/>
            </w:pPr>
            <w:r>
              <w:rPr>
                <w:sz w:val="22"/>
              </w:rPr>
              <w:t xml:space="preserve">12.4 (9.0-32.0) </w:t>
            </w:r>
          </w:p>
        </w:tc>
        <w:tc>
          <w:tcPr>
            <w:tcW w:w="1010" w:type="dxa"/>
            <w:tcBorders>
              <w:top w:val="single" w:sz="4" w:space="0" w:color="000000"/>
              <w:left w:val="single" w:sz="4" w:space="0" w:color="000000"/>
              <w:bottom w:val="single" w:sz="4" w:space="0" w:color="000000"/>
              <w:right w:val="single" w:sz="4" w:space="0" w:color="000000"/>
            </w:tcBorders>
            <w:vAlign w:val="bottom"/>
          </w:tcPr>
          <w:p w14:paraId="057484B2" w14:textId="77777777" w:rsidR="00E964CF" w:rsidRDefault="0022157B">
            <w:pPr>
              <w:spacing w:after="0" w:line="259" w:lineRule="auto"/>
              <w:ind w:left="1" w:firstLine="0"/>
            </w:pPr>
            <w:r>
              <w:rPr>
                <w:sz w:val="22"/>
              </w:rPr>
              <w:t xml:space="preserve">~54% </w:t>
            </w:r>
          </w:p>
        </w:tc>
        <w:tc>
          <w:tcPr>
            <w:tcW w:w="2561" w:type="dxa"/>
            <w:tcBorders>
              <w:top w:val="single" w:sz="4" w:space="0" w:color="000000"/>
              <w:left w:val="single" w:sz="4" w:space="0" w:color="000000"/>
              <w:bottom w:val="single" w:sz="4" w:space="0" w:color="000000"/>
              <w:right w:val="single" w:sz="4" w:space="0" w:color="000000"/>
            </w:tcBorders>
            <w:vAlign w:val="bottom"/>
          </w:tcPr>
          <w:p w14:paraId="621355F0" w14:textId="77777777" w:rsidR="00E964CF" w:rsidRDefault="0022157B">
            <w:pPr>
              <w:spacing w:after="0" w:line="259" w:lineRule="auto"/>
              <w:ind w:left="1" w:firstLine="0"/>
            </w:pPr>
            <w:r>
              <w:rPr>
                <w:sz w:val="22"/>
              </w:rPr>
              <w:t xml:space="preserve">38% </w:t>
            </w:r>
          </w:p>
        </w:tc>
        <w:tc>
          <w:tcPr>
            <w:tcW w:w="2039" w:type="dxa"/>
            <w:tcBorders>
              <w:top w:val="single" w:sz="4" w:space="0" w:color="000000"/>
              <w:left w:val="single" w:sz="4" w:space="0" w:color="000000"/>
              <w:bottom w:val="single" w:sz="4" w:space="0" w:color="000000"/>
              <w:right w:val="single" w:sz="4" w:space="0" w:color="000000"/>
            </w:tcBorders>
          </w:tcPr>
          <w:p w14:paraId="1AD4B7A6" w14:textId="77777777" w:rsidR="00E964CF" w:rsidRDefault="0022157B">
            <w:pPr>
              <w:spacing w:after="0" w:line="259" w:lineRule="auto"/>
              <w:ind w:left="1" w:firstLine="0"/>
            </w:pPr>
            <w:r>
              <w:rPr>
                <w:sz w:val="22"/>
              </w:rPr>
              <w:t xml:space="preserve"> </w:t>
            </w:r>
          </w:p>
        </w:tc>
      </w:tr>
      <w:tr w:rsidR="00E964CF" w14:paraId="7AB0DF89" w14:textId="77777777">
        <w:trPr>
          <w:trHeight w:val="758"/>
        </w:trPr>
        <w:tc>
          <w:tcPr>
            <w:tcW w:w="3253" w:type="dxa"/>
            <w:tcBorders>
              <w:top w:val="single" w:sz="4" w:space="0" w:color="000000"/>
              <w:left w:val="single" w:sz="4" w:space="0" w:color="000000"/>
              <w:bottom w:val="single" w:sz="4" w:space="0" w:color="000000"/>
              <w:right w:val="single" w:sz="4" w:space="0" w:color="000000"/>
            </w:tcBorders>
            <w:vAlign w:val="bottom"/>
          </w:tcPr>
          <w:p w14:paraId="331D852C" w14:textId="77777777" w:rsidR="00E964CF" w:rsidRDefault="0022157B">
            <w:pPr>
              <w:spacing w:after="0" w:line="259" w:lineRule="auto"/>
              <w:ind w:left="0" w:firstLine="0"/>
            </w:pPr>
            <w:proofErr w:type="spellStart"/>
            <w:r>
              <w:rPr>
                <w:sz w:val="22"/>
              </w:rPr>
              <w:t>Sehn</w:t>
            </w:r>
            <w:proofErr w:type="spellEnd"/>
            <w:r>
              <w:rPr>
                <w:sz w:val="22"/>
              </w:rPr>
              <w:t xml:space="preserve"> 2022 (GO29365 trial) – extension </w:t>
            </w:r>
            <w:proofErr w:type="gramStart"/>
            <w:r>
              <w:rPr>
                <w:sz w:val="22"/>
              </w:rPr>
              <w:t>cohort(</w:t>
            </w:r>
            <w:proofErr w:type="gramEnd"/>
            <w:r>
              <w:rPr>
                <w:sz w:val="22"/>
              </w:rPr>
              <w:t xml:space="preserve">3) </w:t>
            </w:r>
          </w:p>
        </w:tc>
        <w:tc>
          <w:tcPr>
            <w:tcW w:w="1679" w:type="dxa"/>
            <w:tcBorders>
              <w:top w:val="single" w:sz="4" w:space="0" w:color="000000"/>
              <w:left w:val="single" w:sz="4" w:space="0" w:color="000000"/>
              <w:bottom w:val="single" w:sz="4" w:space="0" w:color="000000"/>
              <w:right w:val="single" w:sz="4" w:space="0" w:color="000000"/>
            </w:tcBorders>
            <w:vAlign w:val="bottom"/>
          </w:tcPr>
          <w:p w14:paraId="0E8AACF3" w14:textId="77777777" w:rsidR="00E964CF" w:rsidRDefault="0022157B">
            <w:pPr>
              <w:spacing w:after="0" w:line="259" w:lineRule="auto"/>
              <w:ind w:left="1" w:firstLine="0"/>
            </w:pPr>
            <w:r>
              <w:rPr>
                <w:sz w:val="22"/>
              </w:rPr>
              <w:t xml:space="preserve">106 </w:t>
            </w:r>
          </w:p>
        </w:tc>
        <w:tc>
          <w:tcPr>
            <w:tcW w:w="937" w:type="dxa"/>
            <w:tcBorders>
              <w:top w:val="single" w:sz="4" w:space="0" w:color="000000"/>
              <w:left w:val="single" w:sz="4" w:space="0" w:color="000000"/>
              <w:bottom w:val="single" w:sz="4" w:space="0" w:color="000000"/>
              <w:right w:val="single" w:sz="4" w:space="0" w:color="000000"/>
            </w:tcBorders>
            <w:vAlign w:val="bottom"/>
          </w:tcPr>
          <w:p w14:paraId="79199016" w14:textId="77777777" w:rsidR="00E964CF" w:rsidRDefault="0022157B">
            <w:pPr>
              <w:spacing w:after="0" w:line="259" w:lineRule="auto"/>
              <w:ind w:left="0" w:firstLine="0"/>
            </w:pPr>
            <w:r>
              <w:rPr>
                <w:sz w:val="22"/>
              </w:rPr>
              <w:t xml:space="preserve">2 (1-7) </w:t>
            </w:r>
          </w:p>
        </w:tc>
        <w:tc>
          <w:tcPr>
            <w:tcW w:w="2467" w:type="dxa"/>
            <w:tcBorders>
              <w:top w:val="single" w:sz="4" w:space="0" w:color="000000"/>
              <w:left w:val="single" w:sz="4" w:space="0" w:color="000000"/>
              <w:bottom w:val="single" w:sz="4" w:space="0" w:color="000000"/>
              <w:right w:val="single" w:sz="4" w:space="0" w:color="000000"/>
            </w:tcBorders>
            <w:vAlign w:val="bottom"/>
          </w:tcPr>
          <w:p w14:paraId="64B98377" w14:textId="77777777" w:rsidR="00E964CF" w:rsidRDefault="0022157B">
            <w:pPr>
              <w:spacing w:after="16" w:line="259" w:lineRule="auto"/>
              <w:ind w:left="1" w:firstLine="0"/>
            </w:pPr>
            <w:r>
              <w:rPr>
                <w:sz w:val="22"/>
              </w:rPr>
              <w:t xml:space="preserve">Median (95% CI) = </w:t>
            </w:r>
          </w:p>
          <w:p w14:paraId="3BF56697" w14:textId="77777777" w:rsidR="00E964CF" w:rsidRDefault="0022157B">
            <w:pPr>
              <w:spacing w:after="0" w:line="259" w:lineRule="auto"/>
              <w:ind w:left="1" w:firstLine="0"/>
            </w:pPr>
            <w:r>
              <w:rPr>
                <w:sz w:val="22"/>
              </w:rPr>
              <w:t xml:space="preserve">12.5 (8.2-23.1) </w:t>
            </w:r>
          </w:p>
        </w:tc>
        <w:tc>
          <w:tcPr>
            <w:tcW w:w="1010" w:type="dxa"/>
            <w:tcBorders>
              <w:top w:val="single" w:sz="4" w:space="0" w:color="000000"/>
              <w:left w:val="single" w:sz="4" w:space="0" w:color="000000"/>
              <w:bottom w:val="single" w:sz="4" w:space="0" w:color="000000"/>
              <w:right w:val="single" w:sz="4" w:space="0" w:color="000000"/>
            </w:tcBorders>
            <w:vAlign w:val="bottom"/>
          </w:tcPr>
          <w:p w14:paraId="506D7A15" w14:textId="77777777" w:rsidR="00E964CF" w:rsidRDefault="0022157B">
            <w:pPr>
              <w:spacing w:after="0" w:line="259" w:lineRule="auto"/>
              <w:ind w:left="1" w:firstLine="0"/>
            </w:pPr>
            <w:r>
              <w:rPr>
                <w:sz w:val="22"/>
              </w:rPr>
              <w:t xml:space="preserve">50% </w:t>
            </w:r>
          </w:p>
        </w:tc>
        <w:tc>
          <w:tcPr>
            <w:tcW w:w="2561" w:type="dxa"/>
            <w:tcBorders>
              <w:top w:val="single" w:sz="4" w:space="0" w:color="000000"/>
              <w:left w:val="single" w:sz="4" w:space="0" w:color="000000"/>
              <w:bottom w:val="single" w:sz="4" w:space="0" w:color="000000"/>
              <w:right w:val="single" w:sz="4" w:space="0" w:color="000000"/>
            </w:tcBorders>
            <w:vAlign w:val="bottom"/>
          </w:tcPr>
          <w:p w14:paraId="12F15F8F" w14:textId="77777777" w:rsidR="00E964CF" w:rsidRDefault="0022157B">
            <w:pPr>
              <w:spacing w:after="0" w:line="259" w:lineRule="auto"/>
              <w:ind w:left="1" w:firstLine="0"/>
            </w:pPr>
            <w:r>
              <w:rPr>
                <w:sz w:val="22"/>
              </w:rPr>
              <w:t xml:space="preserve">~35% </w:t>
            </w:r>
          </w:p>
        </w:tc>
        <w:tc>
          <w:tcPr>
            <w:tcW w:w="2039" w:type="dxa"/>
            <w:tcBorders>
              <w:top w:val="single" w:sz="4" w:space="0" w:color="000000"/>
              <w:left w:val="single" w:sz="4" w:space="0" w:color="000000"/>
              <w:bottom w:val="single" w:sz="4" w:space="0" w:color="000000"/>
              <w:right w:val="single" w:sz="4" w:space="0" w:color="000000"/>
            </w:tcBorders>
          </w:tcPr>
          <w:p w14:paraId="50EBA1F4" w14:textId="77777777" w:rsidR="00E964CF" w:rsidRDefault="0022157B">
            <w:pPr>
              <w:spacing w:after="0" w:line="259" w:lineRule="auto"/>
              <w:ind w:left="1" w:firstLine="0"/>
            </w:pPr>
            <w:r>
              <w:rPr>
                <w:sz w:val="22"/>
              </w:rPr>
              <w:t xml:space="preserve"> </w:t>
            </w:r>
          </w:p>
        </w:tc>
      </w:tr>
      <w:tr w:rsidR="00E964CF" w14:paraId="36D7C9B3" w14:textId="77777777">
        <w:trPr>
          <w:trHeight w:val="667"/>
        </w:trPr>
        <w:tc>
          <w:tcPr>
            <w:tcW w:w="3253" w:type="dxa"/>
            <w:tcBorders>
              <w:top w:val="single" w:sz="4" w:space="0" w:color="000000"/>
              <w:left w:val="single" w:sz="4" w:space="0" w:color="000000"/>
              <w:bottom w:val="single" w:sz="4" w:space="0" w:color="000000"/>
              <w:right w:val="single" w:sz="4" w:space="0" w:color="000000"/>
            </w:tcBorders>
            <w:vAlign w:val="bottom"/>
          </w:tcPr>
          <w:p w14:paraId="6E7C7910" w14:textId="77777777" w:rsidR="00E964CF" w:rsidRDefault="0022157B">
            <w:pPr>
              <w:spacing w:after="0" w:line="259" w:lineRule="auto"/>
              <w:ind w:left="0" w:firstLine="0"/>
              <w:jc w:val="both"/>
            </w:pPr>
            <w:proofErr w:type="spellStart"/>
            <w:r>
              <w:rPr>
                <w:sz w:val="22"/>
              </w:rPr>
              <w:t>Northend</w:t>
            </w:r>
            <w:proofErr w:type="spellEnd"/>
            <w:r>
              <w:rPr>
                <w:sz w:val="22"/>
              </w:rPr>
              <w:t xml:space="preserve"> 2022 – standalone treatment </w:t>
            </w:r>
            <w:proofErr w:type="gramStart"/>
            <w:r>
              <w:rPr>
                <w:sz w:val="22"/>
              </w:rPr>
              <w:t>patients(</w:t>
            </w:r>
            <w:proofErr w:type="gramEnd"/>
            <w:r>
              <w:rPr>
                <w:sz w:val="22"/>
              </w:rPr>
              <w:t xml:space="preserve">4) </w:t>
            </w:r>
          </w:p>
        </w:tc>
        <w:tc>
          <w:tcPr>
            <w:tcW w:w="1679" w:type="dxa"/>
            <w:tcBorders>
              <w:top w:val="single" w:sz="4" w:space="0" w:color="000000"/>
              <w:left w:val="single" w:sz="4" w:space="0" w:color="000000"/>
              <w:bottom w:val="single" w:sz="4" w:space="0" w:color="000000"/>
              <w:right w:val="single" w:sz="4" w:space="0" w:color="000000"/>
            </w:tcBorders>
            <w:vAlign w:val="bottom"/>
          </w:tcPr>
          <w:p w14:paraId="383D430A" w14:textId="77777777" w:rsidR="00E964CF" w:rsidRDefault="0022157B">
            <w:pPr>
              <w:spacing w:after="0" w:line="259" w:lineRule="auto"/>
              <w:ind w:left="1" w:firstLine="0"/>
            </w:pPr>
            <w:r>
              <w:rPr>
                <w:sz w:val="22"/>
              </w:rPr>
              <w:t xml:space="preserve">78 </w:t>
            </w:r>
          </w:p>
        </w:tc>
        <w:tc>
          <w:tcPr>
            <w:tcW w:w="937" w:type="dxa"/>
            <w:tcBorders>
              <w:top w:val="single" w:sz="4" w:space="0" w:color="000000"/>
              <w:left w:val="single" w:sz="4" w:space="0" w:color="000000"/>
              <w:bottom w:val="single" w:sz="4" w:space="0" w:color="000000"/>
              <w:right w:val="single" w:sz="4" w:space="0" w:color="000000"/>
            </w:tcBorders>
            <w:vAlign w:val="bottom"/>
          </w:tcPr>
          <w:p w14:paraId="2141A396" w14:textId="77777777" w:rsidR="00E964CF" w:rsidRDefault="0022157B">
            <w:pPr>
              <w:spacing w:after="0" w:line="259" w:lineRule="auto"/>
              <w:ind w:left="0" w:firstLine="0"/>
            </w:pPr>
            <w:r>
              <w:rPr>
                <w:sz w:val="22"/>
              </w:rPr>
              <w:t xml:space="preserve">1 (1-6) </w:t>
            </w:r>
          </w:p>
        </w:tc>
        <w:tc>
          <w:tcPr>
            <w:tcW w:w="2467" w:type="dxa"/>
            <w:tcBorders>
              <w:top w:val="single" w:sz="4" w:space="0" w:color="000000"/>
              <w:left w:val="single" w:sz="4" w:space="0" w:color="000000"/>
              <w:bottom w:val="single" w:sz="4" w:space="0" w:color="000000"/>
              <w:right w:val="single" w:sz="4" w:space="0" w:color="000000"/>
            </w:tcBorders>
            <w:vAlign w:val="bottom"/>
          </w:tcPr>
          <w:p w14:paraId="6E2D79DF" w14:textId="77777777" w:rsidR="00E964CF" w:rsidRDefault="0022157B">
            <w:pPr>
              <w:spacing w:after="0" w:line="259" w:lineRule="auto"/>
              <w:ind w:left="1" w:firstLine="0"/>
            </w:pPr>
            <w:r>
              <w:rPr>
                <w:sz w:val="22"/>
              </w:rPr>
              <w:t xml:space="preserve">Median (95% CI) = </w:t>
            </w:r>
          </w:p>
          <w:p w14:paraId="61A94BAF" w14:textId="77777777" w:rsidR="00E964CF" w:rsidRDefault="0022157B">
            <w:pPr>
              <w:spacing w:after="0" w:line="259" w:lineRule="auto"/>
              <w:ind w:left="1" w:firstLine="0"/>
            </w:pPr>
            <w:r>
              <w:rPr>
                <w:sz w:val="22"/>
              </w:rPr>
              <w:t xml:space="preserve">10.2 (5.2-14.3) </w:t>
            </w:r>
          </w:p>
        </w:tc>
        <w:tc>
          <w:tcPr>
            <w:tcW w:w="1010" w:type="dxa"/>
            <w:tcBorders>
              <w:top w:val="single" w:sz="4" w:space="0" w:color="000000"/>
              <w:left w:val="single" w:sz="4" w:space="0" w:color="000000"/>
              <w:bottom w:val="single" w:sz="4" w:space="0" w:color="000000"/>
              <w:right w:val="single" w:sz="4" w:space="0" w:color="000000"/>
            </w:tcBorders>
            <w:vAlign w:val="bottom"/>
          </w:tcPr>
          <w:p w14:paraId="36C9532A" w14:textId="77777777" w:rsidR="00E964CF" w:rsidRDefault="0022157B">
            <w:pPr>
              <w:spacing w:after="0" w:line="259" w:lineRule="auto"/>
              <w:ind w:left="1" w:firstLine="0"/>
            </w:pPr>
            <w:r>
              <w:rPr>
                <w:sz w:val="22"/>
              </w:rPr>
              <w:t xml:space="preserve">NA </w:t>
            </w:r>
          </w:p>
        </w:tc>
        <w:tc>
          <w:tcPr>
            <w:tcW w:w="2561" w:type="dxa"/>
            <w:tcBorders>
              <w:top w:val="single" w:sz="4" w:space="0" w:color="000000"/>
              <w:left w:val="single" w:sz="4" w:space="0" w:color="000000"/>
              <w:bottom w:val="single" w:sz="4" w:space="0" w:color="000000"/>
              <w:right w:val="single" w:sz="4" w:space="0" w:color="000000"/>
            </w:tcBorders>
            <w:vAlign w:val="bottom"/>
          </w:tcPr>
          <w:p w14:paraId="64883CE2" w14:textId="77777777" w:rsidR="00E964CF" w:rsidRDefault="0022157B">
            <w:pPr>
              <w:spacing w:after="0" w:line="259" w:lineRule="auto"/>
              <w:ind w:left="1" w:firstLine="0"/>
            </w:pPr>
            <w:r>
              <w:rPr>
                <w:sz w:val="22"/>
              </w:rPr>
              <w:t xml:space="preserve">NA </w:t>
            </w:r>
          </w:p>
        </w:tc>
        <w:tc>
          <w:tcPr>
            <w:tcW w:w="2039" w:type="dxa"/>
            <w:tcBorders>
              <w:top w:val="single" w:sz="4" w:space="0" w:color="000000"/>
              <w:left w:val="single" w:sz="4" w:space="0" w:color="000000"/>
              <w:bottom w:val="single" w:sz="4" w:space="0" w:color="000000"/>
              <w:right w:val="single" w:sz="4" w:space="0" w:color="000000"/>
            </w:tcBorders>
          </w:tcPr>
          <w:p w14:paraId="5994A701" w14:textId="77777777" w:rsidR="00E964CF" w:rsidRDefault="0022157B">
            <w:pPr>
              <w:spacing w:after="0" w:line="259" w:lineRule="auto"/>
              <w:ind w:left="1" w:firstLine="0"/>
            </w:pPr>
            <w:r>
              <w:rPr>
                <w:sz w:val="22"/>
              </w:rPr>
              <w:t xml:space="preserve"> </w:t>
            </w:r>
          </w:p>
        </w:tc>
      </w:tr>
      <w:tr w:rsidR="00E964CF" w14:paraId="70E6A7D7" w14:textId="77777777">
        <w:trPr>
          <w:trHeight w:val="684"/>
        </w:trPr>
        <w:tc>
          <w:tcPr>
            <w:tcW w:w="3253" w:type="dxa"/>
            <w:tcBorders>
              <w:top w:val="single" w:sz="4" w:space="0" w:color="000000"/>
              <w:left w:val="single" w:sz="4" w:space="0" w:color="000000"/>
              <w:bottom w:val="single" w:sz="4" w:space="0" w:color="000000"/>
              <w:right w:val="single" w:sz="4" w:space="0" w:color="000000"/>
            </w:tcBorders>
            <w:vAlign w:val="bottom"/>
          </w:tcPr>
          <w:p w14:paraId="0F61A6EE" w14:textId="77777777" w:rsidR="00E964CF" w:rsidRDefault="0022157B">
            <w:pPr>
              <w:spacing w:after="0" w:line="259" w:lineRule="auto"/>
              <w:ind w:left="0" w:firstLine="0"/>
            </w:pPr>
            <w:proofErr w:type="spellStart"/>
            <w:r>
              <w:rPr>
                <w:sz w:val="22"/>
              </w:rPr>
              <w:t>Northend</w:t>
            </w:r>
            <w:proofErr w:type="spellEnd"/>
            <w:r>
              <w:rPr>
                <w:sz w:val="22"/>
              </w:rPr>
              <w:t xml:space="preserve"> 2022 - all </w:t>
            </w:r>
            <w:proofErr w:type="gramStart"/>
            <w:r>
              <w:rPr>
                <w:sz w:val="22"/>
              </w:rPr>
              <w:t>patients(</w:t>
            </w:r>
            <w:proofErr w:type="gramEnd"/>
            <w:r>
              <w:rPr>
                <w:sz w:val="22"/>
              </w:rPr>
              <w:t xml:space="preserve">4) </w:t>
            </w:r>
          </w:p>
        </w:tc>
        <w:tc>
          <w:tcPr>
            <w:tcW w:w="1679" w:type="dxa"/>
            <w:tcBorders>
              <w:top w:val="single" w:sz="4" w:space="0" w:color="000000"/>
              <w:left w:val="single" w:sz="4" w:space="0" w:color="000000"/>
              <w:bottom w:val="single" w:sz="4" w:space="0" w:color="000000"/>
              <w:right w:val="single" w:sz="4" w:space="0" w:color="000000"/>
            </w:tcBorders>
            <w:vAlign w:val="bottom"/>
          </w:tcPr>
          <w:p w14:paraId="304DB634" w14:textId="77777777" w:rsidR="00E964CF" w:rsidRDefault="0022157B">
            <w:pPr>
              <w:spacing w:after="0" w:line="259" w:lineRule="auto"/>
              <w:ind w:left="2" w:firstLine="0"/>
            </w:pPr>
            <w:r>
              <w:rPr>
                <w:sz w:val="22"/>
              </w:rPr>
              <w:t xml:space="preserve">133 </w:t>
            </w:r>
          </w:p>
        </w:tc>
        <w:tc>
          <w:tcPr>
            <w:tcW w:w="937" w:type="dxa"/>
            <w:tcBorders>
              <w:top w:val="single" w:sz="4" w:space="0" w:color="000000"/>
              <w:left w:val="single" w:sz="4" w:space="0" w:color="000000"/>
              <w:bottom w:val="single" w:sz="4" w:space="0" w:color="000000"/>
              <w:right w:val="single" w:sz="4" w:space="0" w:color="000000"/>
            </w:tcBorders>
            <w:vAlign w:val="bottom"/>
          </w:tcPr>
          <w:p w14:paraId="3053B625" w14:textId="77777777" w:rsidR="00E964CF" w:rsidRDefault="0022157B">
            <w:pPr>
              <w:spacing w:after="0" w:line="259" w:lineRule="auto"/>
              <w:ind w:left="0" w:firstLine="0"/>
            </w:pPr>
            <w:r>
              <w:rPr>
                <w:sz w:val="22"/>
              </w:rPr>
              <w:t xml:space="preserve">2 (1-6) </w:t>
            </w:r>
          </w:p>
        </w:tc>
        <w:tc>
          <w:tcPr>
            <w:tcW w:w="2467" w:type="dxa"/>
            <w:tcBorders>
              <w:top w:val="single" w:sz="4" w:space="0" w:color="000000"/>
              <w:left w:val="single" w:sz="4" w:space="0" w:color="000000"/>
              <w:bottom w:val="single" w:sz="4" w:space="0" w:color="000000"/>
              <w:right w:val="single" w:sz="4" w:space="0" w:color="000000"/>
            </w:tcBorders>
            <w:vAlign w:val="bottom"/>
          </w:tcPr>
          <w:p w14:paraId="167F6756" w14:textId="77777777" w:rsidR="00E964CF" w:rsidRDefault="0022157B">
            <w:pPr>
              <w:spacing w:after="0" w:line="259" w:lineRule="auto"/>
              <w:ind w:left="1" w:firstLine="0"/>
            </w:pPr>
            <w:r>
              <w:rPr>
                <w:sz w:val="22"/>
              </w:rPr>
              <w:t xml:space="preserve">Median (95% CI) = 8.2 (5.9-14.3) </w:t>
            </w:r>
          </w:p>
        </w:tc>
        <w:tc>
          <w:tcPr>
            <w:tcW w:w="1010" w:type="dxa"/>
            <w:tcBorders>
              <w:top w:val="single" w:sz="4" w:space="0" w:color="000000"/>
              <w:left w:val="single" w:sz="4" w:space="0" w:color="000000"/>
              <w:bottom w:val="single" w:sz="4" w:space="0" w:color="000000"/>
              <w:right w:val="single" w:sz="4" w:space="0" w:color="000000"/>
            </w:tcBorders>
            <w:vAlign w:val="bottom"/>
          </w:tcPr>
          <w:p w14:paraId="30AC0311" w14:textId="77777777" w:rsidR="00E964CF" w:rsidRDefault="0022157B">
            <w:pPr>
              <w:spacing w:after="0" w:line="259" w:lineRule="auto"/>
              <w:ind w:left="1" w:firstLine="0"/>
            </w:pPr>
            <w:r>
              <w:rPr>
                <w:sz w:val="22"/>
              </w:rPr>
              <w:t xml:space="preserve">~43% </w:t>
            </w:r>
          </w:p>
        </w:tc>
        <w:tc>
          <w:tcPr>
            <w:tcW w:w="2561" w:type="dxa"/>
            <w:tcBorders>
              <w:top w:val="single" w:sz="4" w:space="0" w:color="000000"/>
              <w:left w:val="single" w:sz="4" w:space="0" w:color="000000"/>
              <w:bottom w:val="single" w:sz="4" w:space="0" w:color="000000"/>
              <w:right w:val="single" w:sz="4" w:space="0" w:color="000000"/>
            </w:tcBorders>
            <w:vAlign w:val="bottom"/>
          </w:tcPr>
          <w:p w14:paraId="51FE7F30" w14:textId="77777777" w:rsidR="00E964CF" w:rsidRDefault="0022157B">
            <w:pPr>
              <w:spacing w:after="0" w:line="259" w:lineRule="auto"/>
              <w:ind w:left="1" w:firstLine="0"/>
            </w:pPr>
            <w:r>
              <w:rPr>
                <w:sz w:val="22"/>
              </w:rPr>
              <w:t xml:space="preserve">NA </w:t>
            </w:r>
          </w:p>
        </w:tc>
        <w:tc>
          <w:tcPr>
            <w:tcW w:w="2039" w:type="dxa"/>
            <w:tcBorders>
              <w:top w:val="single" w:sz="4" w:space="0" w:color="000000"/>
              <w:left w:val="single" w:sz="4" w:space="0" w:color="000000"/>
              <w:bottom w:val="single" w:sz="4" w:space="0" w:color="000000"/>
              <w:right w:val="single" w:sz="4" w:space="0" w:color="000000"/>
            </w:tcBorders>
          </w:tcPr>
          <w:p w14:paraId="2B623060" w14:textId="77777777" w:rsidR="00E964CF" w:rsidRDefault="0022157B">
            <w:pPr>
              <w:spacing w:after="0" w:line="259" w:lineRule="auto"/>
              <w:ind w:left="1" w:firstLine="0"/>
            </w:pPr>
            <w:r>
              <w:rPr>
                <w:sz w:val="22"/>
              </w:rPr>
              <w:t xml:space="preserve"> </w:t>
            </w:r>
          </w:p>
        </w:tc>
      </w:tr>
      <w:tr w:rsidR="00E964CF" w14:paraId="6D8206BD" w14:textId="77777777">
        <w:trPr>
          <w:trHeight w:val="667"/>
        </w:trPr>
        <w:tc>
          <w:tcPr>
            <w:tcW w:w="3253" w:type="dxa"/>
            <w:tcBorders>
              <w:top w:val="single" w:sz="4" w:space="0" w:color="000000"/>
              <w:left w:val="single" w:sz="4" w:space="0" w:color="000000"/>
              <w:bottom w:val="single" w:sz="4" w:space="0" w:color="000000"/>
              <w:right w:val="single" w:sz="4" w:space="0" w:color="000000"/>
            </w:tcBorders>
            <w:vAlign w:val="bottom"/>
          </w:tcPr>
          <w:p w14:paraId="5BC1E28F" w14:textId="77777777" w:rsidR="00E964CF" w:rsidRDefault="0022157B">
            <w:pPr>
              <w:spacing w:after="0" w:line="259" w:lineRule="auto"/>
              <w:ind w:left="0" w:firstLine="0"/>
            </w:pPr>
            <w:r>
              <w:rPr>
                <w:sz w:val="22"/>
              </w:rPr>
              <w:t xml:space="preserve">Terui 2022(5) </w:t>
            </w:r>
          </w:p>
        </w:tc>
        <w:tc>
          <w:tcPr>
            <w:tcW w:w="1679" w:type="dxa"/>
            <w:tcBorders>
              <w:top w:val="single" w:sz="4" w:space="0" w:color="000000"/>
              <w:left w:val="single" w:sz="4" w:space="0" w:color="000000"/>
              <w:bottom w:val="single" w:sz="4" w:space="0" w:color="000000"/>
              <w:right w:val="single" w:sz="4" w:space="0" w:color="000000"/>
            </w:tcBorders>
            <w:vAlign w:val="bottom"/>
          </w:tcPr>
          <w:p w14:paraId="381D60BD" w14:textId="77777777" w:rsidR="00E964CF" w:rsidRDefault="0022157B">
            <w:pPr>
              <w:spacing w:after="0" w:line="259" w:lineRule="auto"/>
              <w:ind w:left="1" w:firstLine="0"/>
            </w:pPr>
            <w:r>
              <w:rPr>
                <w:sz w:val="22"/>
              </w:rPr>
              <w:t xml:space="preserve">35 </w:t>
            </w:r>
          </w:p>
        </w:tc>
        <w:tc>
          <w:tcPr>
            <w:tcW w:w="937" w:type="dxa"/>
            <w:tcBorders>
              <w:top w:val="single" w:sz="4" w:space="0" w:color="000000"/>
              <w:left w:val="single" w:sz="4" w:space="0" w:color="000000"/>
              <w:bottom w:val="single" w:sz="4" w:space="0" w:color="000000"/>
              <w:right w:val="single" w:sz="4" w:space="0" w:color="000000"/>
            </w:tcBorders>
            <w:vAlign w:val="bottom"/>
          </w:tcPr>
          <w:p w14:paraId="5A1515DD" w14:textId="77777777" w:rsidR="00E964CF" w:rsidRDefault="0022157B">
            <w:pPr>
              <w:spacing w:after="0" w:line="259" w:lineRule="auto"/>
              <w:ind w:left="0" w:firstLine="0"/>
            </w:pPr>
            <w:r>
              <w:rPr>
                <w:sz w:val="22"/>
              </w:rPr>
              <w:t xml:space="preserve">2 (1-7) </w:t>
            </w:r>
          </w:p>
        </w:tc>
        <w:tc>
          <w:tcPr>
            <w:tcW w:w="2467" w:type="dxa"/>
            <w:tcBorders>
              <w:top w:val="single" w:sz="4" w:space="0" w:color="000000"/>
              <w:left w:val="single" w:sz="4" w:space="0" w:color="000000"/>
              <w:bottom w:val="single" w:sz="4" w:space="0" w:color="000000"/>
              <w:right w:val="single" w:sz="4" w:space="0" w:color="000000"/>
            </w:tcBorders>
            <w:vAlign w:val="bottom"/>
          </w:tcPr>
          <w:p w14:paraId="75F4AC01" w14:textId="77777777" w:rsidR="00E964CF" w:rsidRDefault="0022157B">
            <w:pPr>
              <w:spacing w:after="0" w:line="259" w:lineRule="auto"/>
              <w:ind w:left="1" w:firstLine="0"/>
            </w:pPr>
            <w:r>
              <w:rPr>
                <w:sz w:val="22"/>
              </w:rPr>
              <w:t xml:space="preserve">Median (95% CI) = NR (8.4-NE) </w:t>
            </w:r>
          </w:p>
        </w:tc>
        <w:tc>
          <w:tcPr>
            <w:tcW w:w="1010" w:type="dxa"/>
            <w:tcBorders>
              <w:top w:val="single" w:sz="4" w:space="0" w:color="000000"/>
              <w:left w:val="single" w:sz="4" w:space="0" w:color="000000"/>
              <w:bottom w:val="single" w:sz="4" w:space="0" w:color="000000"/>
              <w:right w:val="single" w:sz="4" w:space="0" w:color="000000"/>
            </w:tcBorders>
            <w:vAlign w:val="bottom"/>
          </w:tcPr>
          <w:p w14:paraId="467791B5" w14:textId="77777777" w:rsidR="00E964CF" w:rsidRDefault="0022157B">
            <w:pPr>
              <w:spacing w:after="0" w:line="259" w:lineRule="auto"/>
              <w:ind w:left="1" w:firstLine="0"/>
            </w:pPr>
            <w:r>
              <w:rPr>
                <w:sz w:val="22"/>
              </w:rPr>
              <w:t xml:space="preserve">~59% </w:t>
            </w:r>
          </w:p>
        </w:tc>
        <w:tc>
          <w:tcPr>
            <w:tcW w:w="2561" w:type="dxa"/>
            <w:tcBorders>
              <w:top w:val="single" w:sz="4" w:space="0" w:color="000000"/>
              <w:left w:val="single" w:sz="4" w:space="0" w:color="000000"/>
              <w:bottom w:val="single" w:sz="4" w:space="0" w:color="000000"/>
              <w:right w:val="single" w:sz="4" w:space="0" w:color="000000"/>
            </w:tcBorders>
            <w:vAlign w:val="bottom"/>
          </w:tcPr>
          <w:p w14:paraId="741DA398" w14:textId="77777777" w:rsidR="00E964CF" w:rsidRDefault="0022157B">
            <w:pPr>
              <w:spacing w:after="0" w:line="259" w:lineRule="auto"/>
              <w:ind w:left="1" w:firstLine="0"/>
            </w:pPr>
            <w:r>
              <w:rPr>
                <w:sz w:val="22"/>
              </w:rPr>
              <w:t xml:space="preserve">NA </w:t>
            </w:r>
          </w:p>
        </w:tc>
        <w:tc>
          <w:tcPr>
            <w:tcW w:w="2039" w:type="dxa"/>
            <w:tcBorders>
              <w:top w:val="single" w:sz="4" w:space="0" w:color="000000"/>
              <w:left w:val="single" w:sz="4" w:space="0" w:color="000000"/>
              <w:bottom w:val="single" w:sz="4" w:space="0" w:color="000000"/>
              <w:right w:val="single" w:sz="4" w:space="0" w:color="000000"/>
            </w:tcBorders>
          </w:tcPr>
          <w:p w14:paraId="3019EC11" w14:textId="77777777" w:rsidR="00E964CF" w:rsidRDefault="0022157B">
            <w:pPr>
              <w:spacing w:after="0" w:line="259" w:lineRule="auto"/>
              <w:ind w:left="1" w:firstLine="0"/>
            </w:pPr>
            <w:r>
              <w:rPr>
                <w:sz w:val="22"/>
              </w:rPr>
              <w:t xml:space="preserve"> </w:t>
            </w:r>
          </w:p>
        </w:tc>
      </w:tr>
      <w:tr w:rsidR="00E964CF" w14:paraId="7D9D5D1D" w14:textId="77777777">
        <w:trPr>
          <w:trHeight w:val="1394"/>
        </w:trPr>
        <w:tc>
          <w:tcPr>
            <w:tcW w:w="3253" w:type="dxa"/>
            <w:tcBorders>
              <w:top w:val="single" w:sz="4" w:space="0" w:color="000000"/>
              <w:left w:val="single" w:sz="4" w:space="0" w:color="000000"/>
              <w:bottom w:val="single" w:sz="4" w:space="0" w:color="000000"/>
              <w:right w:val="single" w:sz="4" w:space="0" w:color="000000"/>
            </w:tcBorders>
            <w:vAlign w:val="bottom"/>
          </w:tcPr>
          <w:p w14:paraId="30497433" w14:textId="77777777" w:rsidR="00E964CF" w:rsidRDefault="0022157B">
            <w:pPr>
              <w:spacing w:after="0" w:line="259" w:lineRule="auto"/>
              <w:ind w:left="0" w:firstLine="0"/>
            </w:pPr>
            <w:proofErr w:type="spellStart"/>
            <w:r>
              <w:rPr>
                <w:sz w:val="22"/>
              </w:rPr>
              <w:t>Liebers</w:t>
            </w:r>
            <w:proofErr w:type="spellEnd"/>
            <w:r>
              <w:rPr>
                <w:sz w:val="22"/>
              </w:rPr>
              <w:t xml:space="preserve"> 2021 (salvage cohort) </w:t>
            </w:r>
          </w:p>
          <w:p w14:paraId="0CFBA5F7" w14:textId="77777777" w:rsidR="00E964CF" w:rsidRDefault="0022157B">
            <w:pPr>
              <w:spacing w:after="0" w:line="259" w:lineRule="auto"/>
              <w:ind w:left="0" w:firstLine="0"/>
            </w:pPr>
            <w:r>
              <w:rPr>
                <w:sz w:val="22"/>
              </w:rPr>
              <w:t xml:space="preserve">(6) </w:t>
            </w:r>
          </w:p>
        </w:tc>
        <w:tc>
          <w:tcPr>
            <w:tcW w:w="1679" w:type="dxa"/>
            <w:tcBorders>
              <w:top w:val="single" w:sz="4" w:space="0" w:color="000000"/>
              <w:left w:val="single" w:sz="4" w:space="0" w:color="000000"/>
              <w:bottom w:val="single" w:sz="4" w:space="0" w:color="000000"/>
              <w:right w:val="single" w:sz="4" w:space="0" w:color="000000"/>
            </w:tcBorders>
            <w:vAlign w:val="bottom"/>
          </w:tcPr>
          <w:p w14:paraId="2D1ABB9D" w14:textId="77777777" w:rsidR="00E964CF" w:rsidRDefault="0022157B">
            <w:pPr>
              <w:spacing w:after="0" w:line="259" w:lineRule="auto"/>
              <w:ind w:left="1" w:firstLine="0"/>
            </w:pPr>
            <w:r>
              <w:rPr>
                <w:sz w:val="22"/>
              </w:rPr>
              <w:t xml:space="preserve">54 </w:t>
            </w:r>
          </w:p>
        </w:tc>
        <w:tc>
          <w:tcPr>
            <w:tcW w:w="937" w:type="dxa"/>
            <w:tcBorders>
              <w:top w:val="single" w:sz="4" w:space="0" w:color="000000"/>
              <w:left w:val="single" w:sz="4" w:space="0" w:color="000000"/>
              <w:bottom w:val="single" w:sz="4" w:space="0" w:color="000000"/>
              <w:right w:val="single" w:sz="4" w:space="0" w:color="000000"/>
            </w:tcBorders>
            <w:vAlign w:val="bottom"/>
          </w:tcPr>
          <w:p w14:paraId="759C496D" w14:textId="77777777" w:rsidR="00E964CF" w:rsidRDefault="0022157B">
            <w:pPr>
              <w:spacing w:after="0" w:line="259" w:lineRule="auto"/>
              <w:ind w:left="0" w:firstLine="0"/>
            </w:pPr>
            <w:r>
              <w:rPr>
                <w:sz w:val="22"/>
              </w:rPr>
              <w:t xml:space="preserve">3 (2-8) </w:t>
            </w:r>
          </w:p>
        </w:tc>
        <w:tc>
          <w:tcPr>
            <w:tcW w:w="2467" w:type="dxa"/>
            <w:tcBorders>
              <w:top w:val="single" w:sz="4" w:space="0" w:color="000000"/>
              <w:left w:val="single" w:sz="4" w:space="0" w:color="000000"/>
              <w:bottom w:val="single" w:sz="4" w:space="0" w:color="000000"/>
              <w:right w:val="single" w:sz="4" w:space="0" w:color="000000"/>
            </w:tcBorders>
            <w:vAlign w:val="bottom"/>
          </w:tcPr>
          <w:p w14:paraId="07B9E12C" w14:textId="77777777" w:rsidR="00E964CF" w:rsidRDefault="0022157B">
            <w:pPr>
              <w:spacing w:after="0" w:line="259" w:lineRule="auto"/>
              <w:ind w:left="1" w:firstLine="0"/>
            </w:pPr>
            <w:r>
              <w:rPr>
                <w:sz w:val="22"/>
              </w:rPr>
              <w:t xml:space="preserve">5.4 </w:t>
            </w:r>
          </w:p>
        </w:tc>
        <w:tc>
          <w:tcPr>
            <w:tcW w:w="1010" w:type="dxa"/>
            <w:tcBorders>
              <w:top w:val="single" w:sz="4" w:space="0" w:color="000000"/>
              <w:left w:val="single" w:sz="4" w:space="0" w:color="000000"/>
              <w:bottom w:val="single" w:sz="4" w:space="0" w:color="000000"/>
              <w:right w:val="single" w:sz="4" w:space="0" w:color="000000"/>
            </w:tcBorders>
            <w:vAlign w:val="bottom"/>
          </w:tcPr>
          <w:p w14:paraId="01001128" w14:textId="77777777" w:rsidR="00E964CF" w:rsidRDefault="0022157B">
            <w:pPr>
              <w:spacing w:after="0" w:line="259" w:lineRule="auto"/>
              <w:ind w:left="1" w:firstLine="0"/>
            </w:pPr>
            <w:r>
              <w:rPr>
                <w:sz w:val="22"/>
              </w:rPr>
              <w:t xml:space="preserve">28% </w:t>
            </w:r>
          </w:p>
        </w:tc>
        <w:tc>
          <w:tcPr>
            <w:tcW w:w="2561" w:type="dxa"/>
            <w:tcBorders>
              <w:top w:val="single" w:sz="4" w:space="0" w:color="000000"/>
              <w:left w:val="single" w:sz="4" w:space="0" w:color="000000"/>
              <w:bottom w:val="single" w:sz="4" w:space="0" w:color="000000"/>
              <w:right w:val="single" w:sz="4" w:space="0" w:color="000000"/>
            </w:tcBorders>
            <w:vAlign w:val="bottom"/>
          </w:tcPr>
          <w:p w14:paraId="7A9ED989" w14:textId="77777777" w:rsidR="00E964CF" w:rsidRDefault="0022157B">
            <w:pPr>
              <w:spacing w:after="0" w:line="259" w:lineRule="auto"/>
              <w:ind w:left="1" w:firstLine="0"/>
            </w:pPr>
            <w:r>
              <w:rPr>
                <w:sz w:val="22"/>
              </w:rPr>
              <w:t xml:space="preserve">NA </w:t>
            </w:r>
          </w:p>
        </w:tc>
        <w:tc>
          <w:tcPr>
            <w:tcW w:w="2039" w:type="dxa"/>
            <w:tcBorders>
              <w:top w:val="single" w:sz="4" w:space="0" w:color="000000"/>
              <w:left w:val="single" w:sz="4" w:space="0" w:color="000000"/>
              <w:bottom w:val="single" w:sz="4" w:space="0" w:color="000000"/>
              <w:right w:val="single" w:sz="4" w:space="0" w:color="000000"/>
            </w:tcBorders>
            <w:vAlign w:val="bottom"/>
          </w:tcPr>
          <w:p w14:paraId="3B0C4AD7" w14:textId="77777777" w:rsidR="00E964CF" w:rsidRDefault="0022157B">
            <w:pPr>
              <w:spacing w:after="0" w:line="259" w:lineRule="auto"/>
              <w:ind w:left="1" w:firstLine="0"/>
            </w:pPr>
            <w:r>
              <w:rPr>
                <w:sz w:val="22"/>
              </w:rPr>
              <w:t xml:space="preserve">22/54 patients </w:t>
            </w:r>
          </w:p>
          <w:p w14:paraId="619FF90A" w14:textId="77777777" w:rsidR="00E964CF" w:rsidRDefault="0022157B">
            <w:pPr>
              <w:spacing w:after="0" w:line="259" w:lineRule="auto"/>
              <w:ind w:left="1" w:firstLine="0"/>
            </w:pPr>
            <w:r>
              <w:rPr>
                <w:sz w:val="22"/>
              </w:rPr>
              <w:t xml:space="preserve">received other </w:t>
            </w:r>
          </w:p>
          <w:p w14:paraId="5121D3CB" w14:textId="77777777" w:rsidR="00E964CF" w:rsidRDefault="0022157B">
            <w:pPr>
              <w:spacing w:after="0" w:line="259" w:lineRule="auto"/>
              <w:ind w:left="1" w:firstLine="0"/>
            </w:pPr>
            <w:r>
              <w:rPr>
                <w:sz w:val="22"/>
              </w:rPr>
              <w:t xml:space="preserve">POLA </w:t>
            </w:r>
          </w:p>
          <w:p w14:paraId="19C6E073" w14:textId="77777777" w:rsidR="00E964CF" w:rsidRDefault="0022157B">
            <w:pPr>
              <w:spacing w:after="0" w:line="259" w:lineRule="auto"/>
              <w:ind w:left="1" w:firstLine="0"/>
            </w:pPr>
            <w:r>
              <w:rPr>
                <w:sz w:val="22"/>
              </w:rPr>
              <w:t xml:space="preserve">combination regimens </w:t>
            </w:r>
          </w:p>
        </w:tc>
      </w:tr>
      <w:tr w:rsidR="00E964CF" w14:paraId="780EE7A7" w14:textId="77777777">
        <w:trPr>
          <w:trHeight w:val="636"/>
        </w:trPr>
        <w:tc>
          <w:tcPr>
            <w:tcW w:w="3253" w:type="dxa"/>
            <w:tcBorders>
              <w:top w:val="single" w:sz="4" w:space="0" w:color="000000"/>
              <w:left w:val="single" w:sz="4" w:space="0" w:color="000000"/>
              <w:bottom w:val="single" w:sz="4" w:space="0" w:color="000000"/>
              <w:right w:val="single" w:sz="4" w:space="0" w:color="000000"/>
            </w:tcBorders>
            <w:vAlign w:val="bottom"/>
          </w:tcPr>
          <w:p w14:paraId="190A0A5D" w14:textId="77777777" w:rsidR="00E964CF" w:rsidRDefault="0022157B">
            <w:pPr>
              <w:spacing w:after="0" w:line="259" w:lineRule="auto"/>
              <w:ind w:left="0" w:firstLine="0"/>
            </w:pPr>
            <w:proofErr w:type="spellStart"/>
            <w:r>
              <w:rPr>
                <w:sz w:val="22"/>
              </w:rPr>
              <w:t>Liebers</w:t>
            </w:r>
            <w:proofErr w:type="spellEnd"/>
            <w:r>
              <w:rPr>
                <w:sz w:val="22"/>
              </w:rPr>
              <w:t xml:space="preserve"> 2021 (bridging cohort) </w:t>
            </w:r>
          </w:p>
          <w:p w14:paraId="313C49C2" w14:textId="77777777" w:rsidR="00E964CF" w:rsidRDefault="0022157B">
            <w:pPr>
              <w:spacing w:after="0" w:line="259" w:lineRule="auto"/>
              <w:ind w:left="0" w:firstLine="0"/>
            </w:pPr>
            <w:r>
              <w:rPr>
                <w:sz w:val="22"/>
              </w:rPr>
              <w:t xml:space="preserve">(6) </w:t>
            </w:r>
          </w:p>
        </w:tc>
        <w:tc>
          <w:tcPr>
            <w:tcW w:w="1679" w:type="dxa"/>
            <w:tcBorders>
              <w:top w:val="single" w:sz="4" w:space="0" w:color="000000"/>
              <w:left w:val="single" w:sz="4" w:space="0" w:color="000000"/>
              <w:bottom w:val="single" w:sz="4" w:space="0" w:color="000000"/>
              <w:right w:val="single" w:sz="4" w:space="0" w:color="000000"/>
            </w:tcBorders>
            <w:vAlign w:val="bottom"/>
          </w:tcPr>
          <w:p w14:paraId="70E66540" w14:textId="77777777" w:rsidR="00E964CF" w:rsidRDefault="0022157B">
            <w:pPr>
              <w:spacing w:after="0" w:line="259" w:lineRule="auto"/>
              <w:ind w:left="1" w:firstLine="0"/>
            </w:pPr>
            <w:r>
              <w:rPr>
                <w:sz w:val="22"/>
              </w:rPr>
              <w:t xml:space="preserve">51 </w:t>
            </w:r>
          </w:p>
        </w:tc>
        <w:tc>
          <w:tcPr>
            <w:tcW w:w="937" w:type="dxa"/>
            <w:tcBorders>
              <w:top w:val="single" w:sz="4" w:space="0" w:color="000000"/>
              <w:left w:val="single" w:sz="4" w:space="0" w:color="000000"/>
              <w:bottom w:val="single" w:sz="4" w:space="0" w:color="000000"/>
              <w:right w:val="single" w:sz="4" w:space="0" w:color="000000"/>
            </w:tcBorders>
            <w:vAlign w:val="bottom"/>
          </w:tcPr>
          <w:p w14:paraId="51C736EB" w14:textId="77777777" w:rsidR="00E964CF" w:rsidRDefault="0022157B">
            <w:pPr>
              <w:spacing w:after="0" w:line="259" w:lineRule="auto"/>
              <w:ind w:left="0" w:firstLine="0"/>
            </w:pPr>
            <w:r>
              <w:rPr>
                <w:sz w:val="22"/>
              </w:rPr>
              <w:t xml:space="preserve">3 (2-6) </w:t>
            </w:r>
          </w:p>
        </w:tc>
        <w:tc>
          <w:tcPr>
            <w:tcW w:w="2467" w:type="dxa"/>
            <w:tcBorders>
              <w:top w:val="single" w:sz="4" w:space="0" w:color="000000"/>
              <w:left w:val="single" w:sz="4" w:space="0" w:color="000000"/>
              <w:bottom w:val="single" w:sz="4" w:space="0" w:color="000000"/>
              <w:right w:val="single" w:sz="4" w:space="0" w:color="000000"/>
            </w:tcBorders>
            <w:vAlign w:val="bottom"/>
          </w:tcPr>
          <w:p w14:paraId="6292BA26" w14:textId="77777777" w:rsidR="00E964CF" w:rsidRDefault="0022157B">
            <w:pPr>
              <w:spacing w:after="0" w:line="259" w:lineRule="auto"/>
              <w:ind w:left="1" w:firstLine="0"/>
            </w:pPr>
            <w:r>
              <w:rPr>
                <w:sz w:val="22"/>
              </w:rPr>
              <w:t xml:space="preserve">8.1 </w:t>
            </w:r>
          </w:p>
        </w:tc>
        <w:tc>
          <w:tcPr>
            <w:tcW w:w="1010" w:type="dxa"/>
            <w:tcBorders>
              <w:top w:val="single" w:sz="4" w:space="0" w:color="000000"/>
              <w:left w:val="single" w:sz="4" w:space="0" w:color="000000"/>
              <w:bottom w:val="single" w:sz="4" w:space="0" w:color="000000"/>
              <w:right w:val="single" w:sz="4" w:space="0" w:color="000000"/>
            </w:tcBorders>
            <w:vAlign w:val="bottom"/>
          </w:tcPr>
          <w:p w14:paraId="31FC2969" w14:textId="77777777" w:rsidR="00E964CF" w:rsidRDefault="0022157B">
            <w:pPr>
              <w:spacing w:after="0" w:line="259" w:lineRule="auto"/>
              <w:ind w:left="1" w:firstLine="0"/>
            </w:pPr>
            <w:r>
              <w:rPr>
                <w:sz w:val="22"/>
              </w:rPr>
              <w:t xml:space="preserve">59% </w:t>
            </w:r>
          </w:p>
        </w:tc>
        <w:tc>
          <w:tcPr>
            <w:tcW w:w="2561" w:type="dxa"/>
            <w:tcBorders>
              <w:top w:val="single" w:sz="4" w:space="0" w:color="000000"/>
              <w:left w:val="single" w:sz="4" w:space="0" w:color="000000"/>
              <w:bottom w:val="single" w:sz="4" w:space="0" w:color="000000"/>
              <w:right w:val="single" w:sz="4" w:space="0" w:color="000000"/>
            </w:tcBorders>
            <w:vAlign w:val="bottom"/>
          </w:tcPr>
          <w:p w14:paraId="31CD604F" w14:textId="77777777" w:rsidR="00E964CF" w:rsidRDefault="0022157B">
            <w:pPr>
              <w:spacing w:after="0" w:line="259" w:lineRule="auto"/>
              <w:ind w:left="1" w:firstLine="0"/>
            </w:pPr>
            <w:r>
              <w:rPr>
                <w:sz w:val="22"/>
              </w:rPr>
              <w:t xml:space="preserve">NA </w:t>
            </w:r>
          </w:p>
        </w:tc>
        <w:tc>
          <w:tcPr>
            <w:tcW w:w="2039" w:type="dxa"/>
            <w:tcBorders>
              <w:top w:val="single" w:sz="4" w:space="0" w:color="000000"/>
              <w:left w:val="single" w:sz="4" w:space="0" w:color="000000"/>
              <w:bottom w:val="single" w:sz="4" w:space="0" w:color="000000"/>
              <w:right w:val="single" w:sz="4" w:space="0" w:color="000000"/>
            </w:tcBorders>
            <w:vAlign w:val="center"/>
          </w:tcPr>
          <w:p w14:paraId="2EF49543" w14:textId="77777777" w:rsidR="00E964CF" w:rsidRDefault="0022157B">
            <w:pPr>
              <w:spacing w:after="0" w:line="259" w:lineRule="auto"/>
              <w:ind w:left="1" w:firstLine="0"/>
            </w:pPr>
            <w:r>
              <w:rPr>
                <w:sz w:val="22"/>
              </w:rPr>
              <w:t xml:space="preserve"> </w:t>
            </w:r>
          </w:p>
        </w:tc>
      </w:tr>
      <w:tr w:rsidR="00E964CF" w14:paraId="44466CEA" w14:textId="77777777">
        <w:trPr>
          <w:trHeight w:val="416"/>
        </w:trPr>
        <w:tc>
          <w:tcPr>
            <w:tcW w:w="3253" w:type="dxa"/>
            <w:tcBorders>
              <w:top w:val="single" w:sz="4" w:space="0" w:color="000000"/>
              <w:left w:val="single" w:sz="4" w:space="0" w:color="000000"/>
              <w:bottom w:val="single" w:sz="4" w:space="0" w:color="000000"/>
              <w:right w:val="single" w:sz="4" w:space="0" w:color="000000"/>
            </w:tcBorders>
            <w:vAlign w:val="bottom"/>
          </w:tcPr>
          <w:p w14:paraId="6ED9FA56" w14:textId="77777777" w:rsidR="00E964CF" w:rsidRDefault="0022157B">
            <w:pPr>
              <w:spacing w:after="0" w:line="259" w:lineRule="auto"/>
              <w:ind w:left="0" w:firstLine="0"/>
            </w:pPr>
            <w:proofErr w:type="spellStart"/>
            <w:r>
              <w:rPr>
                <w:sz w:val="22"/>
              </w:rPr>
              <w:lastRenderedPageBreak/>
              <w:t>Dujmovic</w:t>
            </w:r>
            <w:proofErr w:type="spellEnd"/>
            <w:r>
              <w:rPr>
                <w:sz w:val="22"/>
              </w:rPr>
              <w:t xml:space="preserve"> 2020(7)</w:t>
            </w:r>
            <w:r>
              <w:rPr>
                <w:sz w:val="22"/>
                <w:vertAlign w:val="superscript"/>
              </w:rPr>
              <w:t xml:space="preserve"> </w:t>
            </w:r>
          </w:p>
        </w:tc>
        <w:tc>
          <w:tcPr>
            <w:tcW w:w="1679" w:type="dxa"/>
            <w:tcBorders>
              <w:top w:val="single" w:sz="4" w:space="0" w:color="000000"/>
              <w:left w:val="single" w:sz="4" w:space="0" w:color="000000"/>
              <w:bottom w:val="single" w:sz="4" w:space="0" w:color="000000"/>
              <w:right w:val="single" w:sz="4" w:space="0" w:color="000000"/>
            </w:tcBorders>
            <w:vAlign w:val="bottom"/>
          </w:tcPr>
          <w:p w14:paraId="3B659B12" w14:textId="77777777" w:rsidR="00E964CF" w:rsidRDefault="0022157B">
            <w:pPr>
              <w:spacing w:after="0" w:line="259" w:lineRule="auto"/>
              <w:ind w:left="1" w:firstLine="0"/>
            </w:pPr>
            <w:r>
              <w:rPr>
                <w:sz w:val="22"/>
              </w:rPr>
              <w:t xml:space="preserve">23 </w:t>
            </w:r>
          </w:p>
        </w:tc>
        <w:tc>
          <w:tcPr>
            <w:tcW w:w="937" w:type="dxa"/>
            <w:tcBorders>
              <w:top w:val="single" w:sz="4" w:space="0" w:color="000000"/>
              <w:left w:val="single" w:sz="4" w:space="0" w:color="000000"/>
              <w:bottom w:val="single" w:sz="4" w:space="0" w:color="000000"/>
              <w:right w:val="single" w:sz="4" w:space="0" w:color="000000"/>
            </w:tcBorders>
            <w:vAlign w:val="bottom"/>
          </w:tcPr>
          <w:p w14:paraId="43FAD5AF" w14:textId="77777777" w:rsidR="00E964CF" w:rsidRDefault="0022157B">
            <w:pPr>
              <w:spacing w:after="0" w:line="259" w:lineRule="auto"/>
              <w:ind w:left="0" w:firstLine="0"/>
            </w:pPr>
            <w:r>
              <w:rPr>
                <w:sz w:val="22"/>
              </w:rPr>
              <w:t xml:space="preserve">3 (1-5) </w:t>
            </w:r>
          </w:p>
        </w:tc>
        <w:tc>
          <w:tcPr>
            <w:tcW w:w="2467" w:type="dxa"/>
            <w:tcBorders>
              <w:top w:val="single" w:sz="4" w:space="0" w:color="000000"/>
              <w:left w:val="single" w:sz="4" w:space="0" w:color="000000"/>
              <w:bottom w:val="single" w:sz="4" w:space="0" w:color="000000"/>
              <w:right w:val="single" w:sz="4" w:space="0" w:color="000000"/>
            </w:tcBorders>
            <w:vAlign w:val="bottom"/>
          </w:tcPr>
          <w:p w14:paraId="08E473BE" w14:textId="77777777" w:rsidR="00E964CF" w:rsidRDefault="0022157B">
            <w:pPr>
              <w:spacing w:after="0" w:line="259" w:lineRule="auto"/>
              <w:ind w:left="1" w:firstLine="0"/>
            </w:pPr>
            <w:r>
              <w:rPr>
                <w:sz w:val="22"/>
              </w:rPr>
              <w:t xml:space="preserve">Median = 9.0 </w:t>
            </w:r>
          </w:p>
        </w:tc>
        <w:tc>
          <w:tcPr>
            <w:tcW w:w="1010" w:type="dxa"/>
            <w:tcBorders>
              <w:top w:val="single" w:sz="4" w:space="0" w:color="000000"/>
              <w:left w:val="single" w:sz="4" w:space="0" w:color="000000"/>
              <w:bottom w:val="single" w:sz="4" w:space="0" w:color="000000"/>
              <w:right w:val="single" w:sz="4" w:space="0" w:color="000000"/>
            </w:tcBorders>
            <w:vAlign w:val="bottom"/>
          </w:tcPr>
          <w:p w14:paraId="3F38F958" w14:textId="77777777" w:rsidR="00E964CF" w:rsidRDefault="0022157B">
            <w:pPr>
              <w:spacing w:after="0" w:line="259" w:lineRule="auto"/>
              <w:ind w:left="1" w:firstLine="0"/>
            </w:pPr>
            <w:r>
              <w:rPr>
                <w:sz w:val="22"/>
              </w:rPr>
              <w:t xml:space="preserve">~41% </w:t>
            </w:r>
          </w:p>
        </w:tc>
        <w:tc>
          <w:tcPr>
            <w:tcW w:w="2561" w:type="dxa"/>
            <w:tcBorders>
              <w:top w:val="single" w:sz="4" w:space="0" w:color="000000"/>
              <w:left w:val="single" w:sz="4" w:space="0" w:color="000000"/>
              <w:bottom w:val="single" w:sz="4" w:space="0" w:color="000000"/>
              <w:right w:val="single" w:sz="4" w:space="0" w:color="000000"/>
            </w:tcBorders>
            <w:vAlign w:val="bottom"/>
          </w:tcPr>
          <w:p w14:paraId="07C27D17" w14:textId="77777777" w:rsidR="00E964CF" w:rsidRDefault="0022157B">
            <w:pPr>
              <w:spacing w:after="0" w:line="259" w:lineRule="auto"/>
              <w:ind w:left="1" w:firstLine="0"/>
            </w:pPr>
            <w:r>
              <w:rPr>
                <w:sz w:val="22"/>
              </w:rPr>
              <w:t xml:space="preserve">NA </w:t>
            </w:r>
          </w:p>
        </w:tc>
        <w:tc>
          <w:tcPr>
            <w:tcW w:w="2039" w:type="dxa"/>
            <w:tcBorders>
              <w:top w:val="single" w:sz="4" w:space="0" w:color="000000"/>
              <w:left w:val="single" w:sz="4" w:space="0" w:color="000000"/>
              <w:bottom w:val="single" w:sz="4" w:space="0" w:color="000000"/>
              <w:right w:val="single" w:sz="4" w:space="0" w:color="000000"/>
            </w:tcBorders>
            <w:vAlign w:val="bottom"/>
          </w:tcPr>
          <w:p w14:paraId="4B457FD8" w14:textId="77777777" w:rsidR="00E964CF" w:rsidRDefault="0022157B">
            <w:pPr>
              <w:spacing w:after="0" w:line="259" w:lineRule="auto"/>
              <w:ind w:left="1" w:firstLine="0"/>
            </w:pPr>
            <w:r>
              <w:rPr>
                <w:sz w:val="22"/>
              </w:rPr>
              <w:t xml:space="preserve"> </w:t>
            </w:r>
          </w:p>
        </w:tc>
      </w:tr>
      <w:tr w:rsidR="00E964CF" w14:paraId="480FC535" w14:textId="77777777">
        <w:trPr>
          <w:trHeight w:val="396"/>
        </w:trPr>
        <w:tc>
          <w:tcPr>
            <w:tcW w:w="13946" w:type="dxa"/>
            <w:gridSpan w:val="7"/>
            <w:tcBorders>
              <w:top w:val="single" w:sz="4" w:space="0" w:color="000000"/>
              <w:left w:val="single" w:sz="4" w:space="0" w:color="000000"/>
              <w:bottom w:val="single" w:sz="4" w:space="0" w:color="000000"/>
              <w:right w:val="single" w:sz="4" w:space="0" w:color="000000"/>
            </w:tcBorders>
            <w:shd w:val="clear" w:color="auto" w:fill="E7E7E8"/>
            <w:vAlign w:val="bottom"/>
          </w:tcPr>
          <w:p w14:paraId="5CCD38FA" w14:textId="77777777" w:rsidR="00E964CF" w:rsidRDefault="0022157B">
            <w:pPr>
              <w:spacing w:after="0" w:line="259" w:lineRule="auto"/>
              <w:ind w:left="0" w:firstLine="0"/>
            </w:pPr>
            <w:r>
              <w:rPr>
                <w:b/>
                <w:sz w:val="22"/>
              </w:rPr>
              <w:t xml:space="preserve">Additional studies referenced by Clinical Experts in their written submissions  </w:t>
            </w:r>
          </w:p>
        </w:tc>
      </w:tr>
    </w:tbl>
    <w:p w14:paraId="200D5BCC" w14:textId="77777777" w:rsidR="00E964CF" w:rsidRDefault="00E964CF">
      <w:pPr>
        <w:spacing w:after="0" w:line="259" w:lineRule="auto"/>
        <w:ind w:left="-1440" w:right="12986" w:firstLine="0"/>
      </w:pPr>
    </w:p>
    <w:tbl>
      <w:tblPr>
        <w:tblStyle w:val="TableGrid"/>
        <w:tblW w:w="13946" w:type="dxa"/>
        <w:tblInd w:w="6" w:type="dxa"/>
        <w:tblCellMar>
          <w:top w:w="0" w:type="dxa"/>
          <w:left w:w="105" w:type="dxa"/>
          <w:bottom w:w="7" w:type="dxa"/>
          <w:right w:w="47" w:type="dxa"/>
        </w:tblCellMar>
        <w:tblLook w:val="04A0" w:firstRow="1" w:lastRow="0" w:firstColumn="1" w:lastColumn="0" w:noHBand="0" w:noVBand="1"/>
      </w:tblPr>
      <w:tblGrid>
        <w:gridCol w:w="3253"/>
        <w:gridCol w:w="1680"/>
        <w:gridCol w:w="936"/>
        <w:gridCol w:w="2467"/>
        <w:gridCol w:w="1010"/>
        <w:gridCol w:w="2561"/>
        <w:gridCol w:w="2039"/>
      </w:tblGrid>
      <w:tr w:rsidR="00E964CF" w14:paraId="52356FAE" w14:textId="77777777">
        <w:trPr>
          <w:trHeight w:val="886"/>
        </w:trPr>
        <w:tc>
          <w:tcPr>
            <w:tcW w:w="3253"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3B8756E9" w14:textId="77777777" w:rsidR="00E964CF" w:rsidRDefault="0022157B">
            <w:pPr>
              <w:spacing w:after="0" w:line="259" w:lineRule="auto"/>
              <w:ind w:left="1" w:firstLine="0"/>
            </w:pPr>
            <w:r>
              <w:rPr>
                <w:b/>
                <w:sz w:val="22"/>
              </w:rPr>
              <w:t xml:space="preserve">Source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DFDFDF"/>
            <w:vAlign w:val="bottom"/>
          </w:tcPr>
          <w:p w14:paraId="521DEC27" w14:textId="77777777" w:rsidR="00E964CF" w:rsidRDefault="0022157B">
            <w:pPr>
              <w:spacing w:after="0" w:line="259" w:lineRule="auto"/>
              <w:ind w:left="3" w:firstLine="0"/>
            </w:pPr>
            <w:r>
              <w:rPr>
                <w:b/>
                <w:sz w:val="22"/>
              </w:rPr>
              <w:t xml:space="preserve">Population </w:t>
            </w:r>
          </w:p>
        </w:tc>
        <w:tc>
          <w:tcPr>
            <w:tcW w:w="2467"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60F98742" w14:textId="77777777" w:rsidR="00E964CF" w:rsidRDefault="0022157B">
            <w:pPr>
              <w:spacing w:after="0" w:line="259" w:lineRule="auto"/>
              <w:ind w:left="3" w:firstLine="0"/>
            </w:pPr>
            <w:r>
              <w:rPr>
                <w:b/>
                <w:sz w:val="22"/>
              </w:rPr>
              <w:t xml:space="preserve">Life Expectancy (months)  </w:t>
            </w:r>
          </w:p>
        </w:tc>
        <w:tc>
          <w:tcPr>
            <w:tcW w:w="1010"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5FC6C8D0" w14:textId="77777777" w:rsidR="00E964CF" w:rsidRDefault="0022157B">
            <w:pPr>
              <w:spacing w:after="0" w:line="259" w:lineRule="auto"/>
              <w:ind w:left="3" w:firstLine="0"/>
            </w:pPr>
            <w:r>
              <w:rPr>
                <w:b/>
                <w:sz w:val="22"/>
              </w:rPr>
              <w:t xml:space="preserve">OS at 12 months </w:t>
            </w:r>
          </w:p>
        </w:tc>
        <w:tc>
          <w:tcPr>
            <w:tcW w:w="2561"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6812CB98" w14:textId="77777777" w:rsidR="00E964CF" w:rsidRDefault="0022157B">
            <w:pPr>
              <w:spacing w:after="0" w:line="259" w:lineRule="auto"/>
              <w:ind w:left="3" w:firstLine="0"/>
            </w:pPr>
            <w:r>
              <w:rPr>
                <w:b/>
                <w:sz w:val="22"/>
              </w:rPr>
              <w:t xml:space="preserve">OS at 24 months </w:t>
            </w:r>
          </w:p>
        </w:tc>
        <w:tc>
          <w:tcPr>
            <w:tcW w:w="2039"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341985F9" w14:textId="77777777" w:rsidR="00E964CF" w:rsidRDefault="0022157B">
            <w:pPr>
              <w:spacing w:after="0" w:line="259" w:lineRule="auto"/>
              <w:ind w:left="3" w:firstLine="0"/>
            </w:pPr>
            <w:r>
              <w:rPr>
                <w:b/>
                <w:sz w:val="22"/>
              </w:rPr>
              <w:t xml:space="preserve">Notes </w:t>
            </w:r>
          </w:p>
        </w:tc>
      </w:tr>
      <w:tr w:rsidR="00E964CF" w14:paraId="0128CD75" w14:textId="77777777">
        <w:trPr>
          <w:trHeight w:val="671"/>
        </w:trPr>
        <w:tc>
          <w:tcPr>
            <w:tcW w:w="3253" w:type="dxa"/>
            <w:tcBorders>
              <w:top w:val="single" w:sz="4" w:space="0" w:color="000000"/>
              <w:left w:val="single" w:sz="4" w:space="0" w:color="000000"/>
              <w:bottom w:val="single" w:sz="4" w:space="0" w:color="000000"/>
              <w:right w:val="single" w:sz="4" w:space="0" w:color="000000"/>
            </w:tcBorders>
            <w:vAlign w:val="bottom"/>
          </w:tcPr>
          <w:p w14:paraId="670A5853" w14:textId="77777777" w:rsidR="00E964CF" w:rsidRDefault="0022157B">
            <w:pPr>
              <w:spacing w:after="0" w:line="259" w:lineRule="auto"/>
              <w:ind w:left="1" w:firstLine="0"/>
            </w:pPr>
            <w:proofErr w:type="spellStart"/>
            <w:r>
              <w:rPr>
                <w:sz w:val="22"/>
              </w:rPr>
              <w:t>Dimou</w:t>
            </w:r>
            <w:proofErr w:type="spellEnd"/>
            <w:r>
              <w:rPr>
                <w:sz w:val="22"/>
              </w:rPr>
              <w:t xml:space="preserve"> 2022(8) </w:t>
            </w:r>
          </w:p>
        </w:tc>
        <w:tc>
          <w:tcPr>
            <w:tcW w:w="1680" w:type="dxa"/>
            <w:tcBorders>
              <w:top w:val="single" w:sz="4" w:space="0" w:color="000000"/>
              <w:left w:val="single" w:sz="4" w:space="0" w:color="000000"/>
              <w:bottom w:val="single" w:sz="4" w:space="0" w:color="000000"/>
              <w:right w:val="single" w:sz="4" w:space="0" w:color="000000"/>
            </w:tcBorders>
            <w:vAlign w:val="bottom"/>
          </w:tcPr>
          <w:p w14:paraId="12EB5A7F" w14:textId="77777777" w:rsidR="00E964CF" w:rsidRDefault="0022157B">
            <w:pPr>
              <w:spacing w:after="0" w:line="259" w:lineRule="auto"/>
              <w:ind w:left="2" w:firstLine="0"/>
            </w:pPr>
            <w:r>
              <w:rPr>
                <w:sz w:val="22"/>
              </w:rPr>
              <w:t xml:space="preserve">49 </w:t>
            </w:r>
          </w:p>
        </w:tc>
        <w:tc>
          <w:tcPr>
            <w:tcW w:w="936" w:type="dxa"/>
            <w:tcBorders>
              <w:top w:val="single" w:sz="4" w:space="0" w:color="000000"/>
              <w:left w:val="single" w:sz="4" w:space="0" w:color="000000"/>
              <w:bottom w:val="single" w:sz="4" w:space="0" w:color="000000"/>
              <w:right w:val="single" w:sz="4" w:space="0" w:color="000000"/>
            </w:tcBorders>
            <w:vAlign w:val="bottom"/>
          </w:tcPr>
          <w:p w14:paraId="69FB74A7" w14:textId="77777777" w:rsidR="00E964CF" w:rsidRDefault="0022157B">
            <w:pPr>
              <w:spacing w:after="0" w:line="259" w:lineRule="auto"/>
              <w:ind w:left="0" w:firstLine="0"/>
            </w:pPr>
            <w:r>
              <w:rPr>
                <w:sz w:val="22"/>
              </w:rPr>
              <w:t xml:space="preserve">2 (1-9) </w:t>
            </w:r>
          </w:p>
        </w:tc>
        <w:tc>
          <w:tcPr>
            <w:tcW w:w="2467" w:type="dxa"/>
            <w:tcBorders>
              <w:top w:val="single" w:sz="4" w:space="0" w:color="000000"/>
              <w:left w:val="single" w:sz="4" w:space="0" w:color="000000"/>
              <w:bottom w:val="single" w:sz="4" w:space="0" w:color="000000"/>
              <w:right w:val="single" w:sz="4" w:space="0" w:color="000000"/>
            </w:tcBorders>
            <w:vAlign w:val="bottom"/>
          </w:tcPr>
          <w:p w14:paraId="6EB7258C" w14:textId="77777777" w:rsidR="00E964CF" w:rsidRDefault="0022157B">
            <w:pPr>
              <w:spacing w:after="0" w:line="259" w:lineRule="auto"/>
              <w:ind w:left="3" w:firstLine="0"/>
            </w:pPr>
            <w:r>
              <w:rPr>
                <w:sz w:val="22"/>
              </w:rPr>
              <w:t xml:space="preserve">Median (95% CI) = 8.5 (3.1-13.8) </w:t>
            </w:r>
          </w:p>
        </w:tc>
        <w:tc>
          <w:tcPr>
            <w:tcW w:w="1010" w:type="dxa"/>
            <w:tcBorders>
              <w:top w:val="single" w:sz="4" w:space="0" w:color="000000"/>
              <w:left w:val="single" w:sz="4" w:space="0" w:color="000000"/>
              <w:bottom w:val="single" w:sz="4" w:space="0" w:color="000000"/>
              <w:right w:val="single" w:sz="4" w:space="0" w:color="000000"/>
            </w:tcBorders>
            <w:vAlign w:val="bottom"/>
          </w:tcPr>
          <w:p w14:paraId="032867DF" w14:textId="77777777" w:rsidR="00E964CF" w:rsidRDefault="0022157B">
            <w:pPr>
              <w:spacing w:after="0" w:line="259" w:lineRule="auto"/>
              <w:ind w:left="3" w:firstLine="0"/>
            </w:pPr>
            <w:r>
              <w:rPr>
                <w:sz w:val="22"/>
              </w:rPr>
              <w:t xml:space="preserve">45% </w:t>
            </w:r>
          </w:p>
        </w:tc>
        <w:tc>
          <w:tcPr>
            <w:tcW w:w="2561" w:type="dxa"/>
            <w:tcBorders>
              <w:top w:val="single" w:sz="4" w:space="0" w:color="000000"/>
              <w:left w:val="single" w:sz="4" w:space="0" w:color="000000"/>
              <w:bottom w:val="single" w:sz="4" w:space="0" w:color="000000"/>
              <w:right w:val="single" w:sz="4" w:space="0" w:color="000000"/>
            </w:tcBorders>
            <w:vAlign w:val="bottom"/>
          </w:tcPr>
          <w:p w14:paraId="40257ACD" w14:textId="77777777" w:rsidR="00E964CF" w:rsidRDefault="0022157B">
            <w:pPr>
              <w:spacing w:after="0" w:line="259" w:lineRule="auto"/>
              <w:ind w:left="3" w:firstLine="0"/>
            </w:pPr>
            <w:r>
              <w:rPr>
                <w:sz w:val="22"/>
              </w:rPr>
              <w:t xml:space="preserve">NA </w:t>
            </w:r>
          </w:p>
        </w:tc>
        <w:tc>
          <w:tcPr>
            <w:tcW w:w="2039" w:type="dxa"/>
            <w:tcBorders>
              <w:top w:val="single" w:sz="4" w:space="0" w:color="000000"/>
              <w:left w:val="single" w:sz="4" w:space="0" w:color="000000"/>
              <w:bottom w:val="single" w:sz="4" w:space="0" w:color="000000"/>
              <w:right w:val="single" w:sz="4" w:space="0" w:color="000000"/>
            </w:tcBorders>
            <w:vAlign w:val="bottom"/>
          </w:tcPr>
          <w:p w14:paraId="78E4EB6E" w14:textId="77777777" w:rsidR="00E964CF" w:rsidRDefault="0022157B">
            <w:pPr>
              <w:spacing w:after="0" w:line="259" w:lineRule="auto"/>
              <w:ind w:left="2" w:firstLine="0"/>
            </w:pPr>
            <w:r>
              <w:rPr>
                <w:sz w:val="22"/>
              </w:rPr>
              <w:t xml:space="preserve"> </w:t>
            </w:r>
          </w:p>
        </w:tc>
      </w:tr>
      <w:tr w:rsidR="00E964CF" w14:paraId="51124A47" w14:textId="77777777">
        <w:trPr>
          <w:trHeight w:val="1649"/>
        </w:trPr>
        <w:tc>
          <w:tcPr>
            <w:tcW w:w="3253" w:type="dxa"/>
            <w:tcBorders>
              <w:top w:val="single" w:sz="4" w:space="0" w:color="000000"/>
              <w:left w:val="single" w:sz="4" w:space="0" w:color="000000"/>
              <w:bottom w:val="single" w:sz="4" w:space="0" w:color="000000"/>
              <w:right w:val="single" w:sz="4" w:space="0" w:color="000000"/>
            </w:tcBorders>
            <w:vAlign w:val="bottom"/>
          </w:tcPr>
          <w:p w14:paraId="155EA399" w14:textId="77777777" w:rsidR="00E964CF" w:rsidRDefault="0022157B">
            <w:pPr>
              <w:spacing w:after="0" w:line="259" w:lineRule="auto"/>
              <w:ind w:left="1" w:firstLine="0"/>
            </w:pPr>
            <w:r>
              <w:rPr>
                <w:sz w:val="22"/>
              </w:rPr>
              <w:t>Wang 2022(9)</w:t>
            </w:r>
            <w:r>
              <w:rPr>
                <w:sz w:val="22"/>
                <w:vertAlign w:val="superscript"/>
              </w:rPr>
              <w:t xml:space="preserve"> </w:t>
            </w:r>
          </w:p>
        </w:tc>
        <w:tc>
          <w:tcPr>
            <w:tcW w:w="1680" w:type="dxa"/>
            <w:tcBorders>
              <w:top w:val="single" w:sz="4" w:space="0" w:color="000000"/>
              <w:left w:val="single" w:sz="4" w:space="0" w:color="000000"/>
              <w:bottom w:val="single" w:sz="4" w:space="0" w:color="000000"/>
              <w:right w:val="single" w:sz="4" w:space="0" w:color="000000"/>
            </w:tcBorders>
            <w:vAlign w:val="bottom"/>
          </w:tcPr>
          <w:p w14:paraId="6AB6F0DC" w14:textId="77777777" w:rsidR="00E964CF" w:rsidRDefault="0022157B">
            <w:pPr>
              <w:spacing w:after="0" w:line="259" w:lineRule="auto"/>
              <w:ind w:left="3" w:firstLine="0"/>
            </w:pPr>
            <w:r>
              <w:rPr>
                <w:sz w:val="22"/>
              </w:rPr>
              <w:t xml:space="preserve">40 </w:t>
            </w:r>
          </w:p>
        </w:tc>
        <w:tc>
          <w:tcPr>
            <w:tcW w:w="936" w:type="dxa"/>
            <w:tcBorders>
              <w:top w:val="single" w:sz="4" w:space="0" w:color="000000"/>
              <w:left w:val="single" w:sz="4" w:space="0" w:color="000000"/>
              <w:bottom w:val="single" w:sz="4" w:space="0" w:color="000000"/>
              <w:right w:val="single" w:sz="4" w:space="0" w:color="000000"/>
            </w:tcBorders>
            <w:vAlign w:val="bottom"/>
          </w:tcPr>
          <w:p w14:paraId="074309D2" w14:textId="77777777" w:rsidR="00E964CF" w:rsidRDefault="0022157B">
            <w:pPr>
              <w:spacing w:after="0" w:line="259" w:lineRule="auto"/>
              <w:ind w:left="0" w:firstLine="0"/>
            </w:pPr>
            <w:r>
              <w:rPr>
                <w:sz w:val="22"/>
              </w:rPr>
              <w:t>4 (2-</w:t>
            </w:r>
          </w:p>
          <w:p w14:paraId="31DC69A6" w14:textId="77777777" w:rsidR="00E964CF" w:rsidRDefault="0022157B">
            <w:pPr>
              <w:spacing w:after="0" w:line="259" w:lineRule="auto"/>
              <w:ind w:left="0" w:firstLine="0"/>
            </w:pPr>
            <w:r>
              <w:rPr>
                <w:sz w:val="22"/>
              </w:rPr>
              <w:t xml:space="preserve">11) </w:t>
            </w:r>
          </w:p>
        </w:tc>
        <w:tc>
          <w:tcPr>
            <w:tcW w:w="2467" w:type="dxa"/>
            <w:tcBorders>
              <w:top w:val="single" w:sz="4" w:space="0" w:color="000000"/>
              <w:left w:val="single" w:sz="4" w:space="0" w:color="000000"/>
              <w:bottom w:val="single" w:sz="4" w:space="0" w:color="000000"/>
              <w:right w:val="single" w:sz="4" w:space="0" w:color="000000"/>
            </w:tcBorders>
            <w:vAlign w:val="bottom"/>
          </w:tcPr>
          <w:p w14:paraId="6FCDCD29" w14:textId="77777777" w:rsidR="00E964CF" w:rsidRDefault="0022157B">
            <w:pPr>
              <w:spacing w:after="0" w:line="259" w:lineRule="auto"/>
              <w:ind w:left="3" w:firstLine="0"/>
            </w:pPr>
            <w:r>
              <w:rPr>
                <w:sz w:val="22"/>
              </w:rPr>
              <w:t xml:space="preserve">8.5 (range: 0.3-30.2) </w:t>
            </w:r>
          </w:p>
        </w:tc>
        <w:tc>
          <w:tcPr>
            <w:tcW w:w="1010" w:type="dxa"/>
            <w:tcBorders>
              <w:top w:val="single" w:sz="4" w:space="0" w:color="000000"/>
              <w:left w:val="single" w:sz="4" w:space="0" w:color="000000"/>
              <w:bottom w:val="single" w:sz="4" w:space="0" w:color="000000"/>
              <w:right w:val="single" w:sz="4" w:space="0" w:color="000000"/>
            </w:tcBorders>
            <w:vAlign w:val="bottom"/>
          </w:tcPr>
          <w:p w14:paraId="45447F27" w14:textId="77777777" w:rsidR="00E964CF" w:rsidRDefault="0022157B">
            <w:pPr>
              <w:spacing w:after="0" w:line="259" w:lineRule="auto"/>
              <w:ind w:left="3" w:firstLine="0"/>
            </w:pPr>
            <w:r>
              <w:rPr>
                <w:sz w:val="22"/>
              </w:rPr>
              <w:t xml:space="preserve">36% </w:t>
            </w:r>
          </w:p>
        </w:tc>
        <w:tc>
          <w:tcPr>
            <w:tcW w:w="2561" w:type="dxa"/>
            <w:tcBorders>
              <w:top w:val="single" w:sz="4" w:space="0" w:color="000000"/>
              <w:left w:val="single" w:sz="4" w:space="0" w:color="000000"/>
              <w:bottom w:val="single" w:sz="4" w:space="0" w:color="000000"/>
              <w:right w:val="single" w:sz="4" w:space="0" w:color="000000"/>
            </w:tcBorders>
            <w:vAlign w:val="bottom"/>
          </w:tcPr>
          <w:p w14:paraId="6FCECC50" w14:textId="77777777" w:rsidR="00E964CF" w:rsidRDefault="0022157B">
            <w:pPr>
              <w:spacing w:after="0" w:line="259" w:lineRule="auto"/>
              <w:ind w:left="3" w:firstLine="0"/>
            </w:pPr>
            <w:r>
              <w:rPr>
                <w:sz w:val="22"/>
              </w:rPr>
              <w:t xml:space="preserve">~26% </w:t>
            </w:r>
          </w:p>
        </w:tc>
        <w:tc>
          <w:tcPr>
            <w:tcW w:w="2039" w:type="dxa"/>
            <w:tcBorders>
              <w:top w:val="single" w:sz="4" w:space="0" w:color="000000"/>
              <w:left w:val="single" w:sz="4" w:space="0" w:color="000000"/>
              <w:bottom w:val="single" w:sz="4" w:space="0" w:color="000000"/>
              <w:right w:val="single" w:sz="4" w:space="0" w:color="000000"/>
            </w:tcBorders>
            <w:vAlign w:val="bottom"/>
          </w:tcPr>
          <w:p w14:paraId="6B810E66" w14:textId="77777777" w:rsidR="00E964CF" w:rsidRDefault="0022157B">
            <w:pPr>
              <w:spacing w:after="0" w:line="259" w:lineRule="auto"/>
              <w:ind w:left="3" w:firstLine="0"/>
            </w:pPr>
            <w:r>
              <w:rPr>
                <w:sz w:val="22"/>
              </w:rPr>
              <w:t xml:space="preserve">19/40 patients received POLA monotherapy or other POLA combination regimens </w:t>
            </w:r>
          </w:p>
        </w:tc>
      </w:tr>
      <w:tr w:rsidR="00E964CF" w14:paraId="4CD2202E" w14:textId="77777777">
        <w:trPr>
          <w:trHeight w:val="397"/>
        </w:trPr>
        <w:tc>
          <w:tcPr>
            <w:tcW w:w="13946" w:type="dxa"/>
            <w:gridSpan w:val="7"/>
            <w:tcBorders>
              <w:top w:val="single" w:sz="4" w:space="0" w:color="000000"/>
              <w:left w:val="single" w:sz="4" w:space="0" w:color="000000"/>
              <w:bottom w:val="single" w:sz="4" w:space="0" w:color="000000"/>
              <w:right w:val="single" w:sz="4" w:space="0" w:color="000000"/>
            </w:tcBorders>
            <w:shd w:val="clear" w:color="auto" w:fill="E7E7E8"/>
            <w:vAlign w:val="bottom"/>
          </w:tcPr>
          <w:p w14:paraId="45B85CEF" w14:textId="77777777" w:rsidR="00E964CF" w:rsidRDefault="0022157B">
            <w:pPr>
              <w:spacing w:after="0" w:line="259" w:lineRule="auto"/>
              <w:ind w:left="1" w:firstLine="0"/>
            </w:pPr>
            <w:r>
              <w:rPr>
                <w:b/>
                <w:sz w:val="22"/>
              </w:rPr>
              <w:t xml:space="preserve">RE-MIND2 study - </w:t>
            </w:r>
            <w:r>
              <w:rPr>
                <w:b/>
                <w:sz w:val="22"/>
              </w:rPr>
              <w:t xml:space="preserve">systemic therapies pooled cohort (patients receiving NCCN guideline-recommended treatments) </w:t>
            </w:r>
          </w:p>
        </w:tc>
      </w:tr>
      <w:tr w:rsidR="00E964CF" w14:paraId="203B2F37" w14:textId="77777777">
        <w:trPr>
          <w:trHeight w:val="1397"/>
        </w:trPr>
        <w:tc>
          <w:tcPr>
            <w:tcW w:w="3253" w:type="dxa"/>
            <w:tcBorders>
              <w:top w:val="single" w:sz="4" w:space="0" w:color="000000"/>
              <w:left w:val="single" w:sz="4" w:space="0" w:color="000000"/>
              <w:bottom w:val="single" w:sz="4" w:space="0" w:color="000000"/>
              <w:right w:val="single" w:sz="4" w:space="0" w:color="000000"/>
            </w:tcBorders>
            <w:vAlign w:val="bottom"/>
          </w:tcPr>
          <w:p w14:paraId="34295902" w14:textId="77777777" w:rsidR="00E964CF" w:rsidRDefault="0022157B">
            <w:pPr>
              <w:spacing w:after="0" w:line="259" w:lineRule="auto"/>
              <w:ind w:left="1" w:firstLine="0"/>
            </w:pPr>
            <w:r>
              <w:rPr>
                <w:sz w:val="22"/>
              </w:rPr>
              <w:t xml:space="preserve">RE-MIND2 - Systemic pooled therapies cohort matched to LMIND (MAS) (10) </w:t>
            </w:r>
          </w:p>
        </w:tc>
        <w:tc>
          <w:tcPr>
            <w:tcW w:w="1680" w:type="dxa"/>
            <w:tcBorders>
              <w:top w:val="single" w:sz="4" w:space="0" w:color="000000"/>
              <w:left w:val="single" w:sz="4" w:space="0" w:color="000000"/>
              <w:bottom w:val="single" w:sz="4" w:space="0" w:color="000000"/>
              <w:right w:val="single" w:sz="4" w:space="0" w:color="000000"/>
            </w:tcBorders>
            <w:vAlign w:val="bottom"/>
          </w:tcPr>
          <w:p w14:paraId="31486277" w14:textId="77777777" w:rsidR="00E964CF" w:rsidRDefault="0022157B">
            <w:pPr>
              <w:spacing w:after="0" w:line="259" w:lineRule="auto"/>
              <w:ind w:left="3" w:firstLine="0"/>
            </w:pPr>
            <w:r>
              <w:rPr>
                <w:sz w:val="22"/>
              </w:rPr>
              <w:t xml:space="preserve">76 </w:t>
            </w:r>
          </w:p>
        </w:tc>
        <w:tc>
          <w:tcPr>
            <w:tcW w:w="936" w:type="dxa"/>
            <w:tcBorders>
              <w:top w:val="single" w:sz="4" w:space="0" w:color="000000"/>
              <w:left w:val="single" w:sz="4" w:space="0" w:color="000000"/>
              <w:bottom w:val="single" w:sz="4" w:space="0" w:color="000000"/>
              <w:right w:val="single" w:sz="4" w:space="0" w:color="000000"/>
            </w:tcBorders>
            <w:vAlign w:val="bottom"/>
          </w:tcPr>
          <w:p w14:paraId="40F646AC" w14:textId="77777777" w:rsidR="00E964CF" w:rsidRDefault="0022157B">
            <w:pPr>
              <w:spacing w:after="0" w:line="259" w:lineRule="auto"/>
              <w:ind w:left="0" w:firstLine="0"/>
            </w:pPr>
            <w:r>
              <w:rPr>
                <w:sz w:val="22"/>
              </w:rPr>
              <w:t xml:space="preserve">1 (1-3) </w:t>
            </w:r>
          </w:p>
        </w:tc>
        <w:tc>
          <w:tcPr>
            <w:tcW w:w="2467" w:type="dxa"/>
            <w:tcBorders>
              <w:top w:val="single" w:sz="4" w:space="0" w:color="000000"/>
              <w:left w:val="single" w:sz="4" w:space="0" w:color="000000"/>
              <w:bottom w:val="single" w:sz="4" w:space="0" w:color="000000"/>
              <w:right w:val="single" w:sz="4" w:space="0" w:color="000000"/>
            </w:tcBorders>
            <w:vAlign w:val="bottom"/>
          </w:tcPr>
          <w:p w14:paraId="43020D59" w14:textId="77777777" w:rsidR="00E964CF" w:rsidRDefault="0022157B">
            <w:pPr>
              <w:spacing w:after="0" w:line="259" w:lineRule="auto"/>
              <w:ind w:left="2" w:firstLine="0"/>
            </w:pPr>
            <w:r>
              <w:rPr>
                <w:sz w:val="22"/>
              </w:rPr>
              <w:t xml:space="preserve">Median (95% CI) = </w:t>
            </w:r>
          </w:p>
          <w:p w14:paraId="40C6F981" w14:textId="77777777" w:rsidR="00E964CF" w:rsidRDefault="0022157B">
            <w:pPr>
              <w:spacing w:after="0" w:line="259" w:lineRule="auto"/>
              <w:ind w:left="2" w:firstLine="0"/>
            </w:pPr>
            <w:r>
              <w:rPr>
                <w:sz w:val="22"/>
              </w:rPr>
              <w:t xml:space="preserve">11.6 (8.8-16.1) </w:t>
            </w:r>
          </w:p>
        </w:tc>
        <w:tc>
          <w:tcPr>
            <w:tcW w:w="1010" w:type="dxa"/>
            <w:tcBorders>
              <w:top w:val="single" w:sz="4" w:space="0" w:color="000000"/>
              <w:left w:val="single" w:sz="4" w:space="0" w:color="000000"/>
              <w:bottom w:val="single" w:sz="4" w:space="0" w:color="000000"/>
              <w:right w:val="single" w:sz="4" w:space="0" w:color="000000"/>
            </w:tcBorders>
            <w:vAlign w:val="bottom"/>
          </w:tcPr>
          <w:p w14:paraId="2C5EB277" w14:textId="77777777" w:rsidR="00E964CF" w:rsidRDefault="0022157B">
            <w:pPr>
              <w:spacing w:after="0" w:line="259" w:lineRule="auto"/>
              <w:ind w:left="2" w:firstLine="0"/>
            </w:pPr>
            <w:r>
              <w:rPr>
                <w:sz w:val="22"/>
              </w:rPr>
              <w:t xml:space="preserve">48% </w:t>
            </w:r>
          </w:p>
        </w:tc>
        <w:tc>
          <w:tcPr>
            <w:tcW w:w="2561" w:type="dxa"/>
            <w:tcBorders>
              <w:top w:val="single" w:sz="4" w:space="0" w:color="000000"/>
              <w:left w:val="single" w:sz="4" w:space="0" w:color="000000"/>
              <w:bottom w:val="single" w:sz="4" w:space="0" w:color="000000"/>
              <w:right w:val="single" w:sz="4" w:space="0" w:color="000000"/>
            </w:tcBorders>
            <w:vAlign w:val="bottom"/>
          </w:tcPr>
          <w:p w14:paraId="47F14896" w14:textId="77777777" w:rsidR="00E964CF" w:rsidRDefault="0022157B">
            <w:pPr>
              <w:spacing w:after="0" w:line="259" w:lineRule="auto"/>
              <w:ind w:left="2" w:firstLine="0"/>
            </w:pPr>
            <w:r>
              <w:rPr>
                <w:sz w:val="22"/>
              </w:rPr>
              <w:t xml:space="preserve">36% </w:t>
            </w:r>
          </w:p>
        </w:tc>
        <w:tc>
          <w:tcPr>
            <w:tcW w:w="2039" w:type="dxa"/>
            <w:tcBorders>
              <w:top w:val="single" w:sz="4" w:space="0" w:color="000000"/>
              <w:left w:val="single" w:sz="4" w:space="0" w:color="000000"/>
              <w:bottom w:val="single" w:sz="4" w:space="0" w:color="000000"/>
              <w:right w:val="single" w:sz="4" w:space="0" w:color="000000"/>
            </w:tcBorders>
            <w:vAlign w:val="bottom"/>
          </w:tcPr>
          <w:p w14:paraId="0E7A75AA" w14:textId="77777777" w:rsidR="00E964CF" w:rsidRDefault="0022157B">
            <w:pPr>
              <w:spacing w:after="2" w:line="238" w:lineRule="auto"/>
              <w:ind w:left="3" w:firstLine="0"/>
            </w:pPr>
            <w:r>
              <w:rPr>
                <w:sz w:val="22"/>
              </w:rPr>
              <w:t xml:space="preserve">3/76 patients received </w:t>
            </w:r>
          </w:p>
          <w:p w14:paraId="0B00C610" w14:textId="77777777" w:rsidR="00E964CF" w:rsidRDefault="0022157B">
            <w:pPr>
              <w:spacing w:after="0" w:line="259" w:lineRule="auto"/>
              <w:ind w:left="3" w:firstLine="0"/>
            </w:pPr>
            <w:r>
              <w:rPr>
                <w:sz w:val="22"/>
              </w:rPr>
              <w:t xml:space="preserve">POLA+BR and </w:t>
            </w:r>
          </w:p>
          <w:p w14:paraId="37BB1C58" w14:textId="77777777" w:rsidR="00E964CF" w:rsidRDefault="0022157B">
            <w:pPr>
              <w:spacing w:after="0" w:line="259" w:lineRule="auto"/>
              <w:ind w:left="3" w:firstLine="0"/>
            </w:pPr>
            <w:r>
              <w:rPr>
                <w:sz w:val="22"/>
              </w:rPr>
              <w:t xml:space="preserve">1/76 patient received POLA+R </w:t>
            </w:r>
          </w:p>
        </w:tc>
      </w:tr>
      <w:tr w:rsidR="00E964CF" w14:paraId="23483906" w14:textId="77777777">
        <w:trPr>
          <w:trHeight w:val="382"/>
        </w:trPr>
        <w:tc>
          <w:tcPr>
            <w:tcW w:w="13946" w:type="dxa"/>
            <w:gridSpan w:val="7"/>
            <w:tcBorders>
              <w:top w:val="single" w:sz="4" w:space="0" w:color="000000"/>
              <w:left w:val="single" w:sz="4" w:space="0" w:color="000000"/>
              <w:bottom w:val="single" w:sz="4" w:space="0" w:color="000000"/>
              <w:right w:val="single" w:sz="4" w:space="0" w:color="000000"/>
            </w:tcBorders>
            <w:shd w:val="clear" w:color="auto" w:fill="E7E7E8"/>
            <w:vAlign w:val="bottom"/>
          </w:tcPr>
          <w:p w14:paraId="198F2341" w14:textId="77777777" w:rsidR="00E964CF" w:rsidRDefault="0022157B">
            <w:pPr>
              <w:spacing w:after="0" w:line="259" w:lineRule="auto"/>
              <w:ind w:left="1" w:firstLine="0"/>
            </w:pPr>
            <w:r>
              <w:rPr>
                <w:b/>
                <w:sz w:val="22"/>
              </w:rPr>
              <w:t xml:space="preserve">Additional studies in patients receiving POLA+BR </w:t>
            </w:r>
          </w:p>
        </w:tc>
      </w:tr>
      <w:tr w:rsidR="00E964CF" w14:paraId="75B2274E" w14:textId="77777777">
        <w:trPr>
          <w:trHeight w:val="1144"/>
        </w:trPr>
        <w:tc>
          <w:tcPr>
            <w:tcW w:w="3253" w:type="dxa"/>
            <w:tcBorders>
              <w:top w:val="single" w:sz="4" w:space="0" w:color="000000"/>
              <w:left w:val="single" w:sz="4" w:space="0" w:color="000000"/>
              <w:bottom w:val="single" w:sz="4" w:space="0" w:color="000000"/>
              <w:right w:val="single" w:sz="4" w:space="0" w:color="000000"/>
            </w:tcBorders>
            <w:vAlign w:val="bottom"/>
          </w:tcPr>
          <w:p w14:paraId="24C06ECD" w14:textId="77777777" w:rsidR="00E964CF" w:rsidRDefault="0022157B">
            <w:pPr>
              <w:spacing w:after="0" w:line="259" w:lineRule="auto"/>
              <w:ind w:left="1" w:firstLine="0"/>
            </w:pPr>
            <w:proofErr w:type="spellStart"/>
            <w:r>
              <w:rPr>
                <w:sz w:val="22"/>
              </w:rPr>
              <w:t>Avivi</w:t>
            </w:r>
            <w:proofErr w:type="spellEnd"/>
            <w:r>
              <w:rPr>
                <w:sz w:val="22"/>
              </w:rPr>
              <w:t xml:space="preserve"> 2022(11)</w:t>
            </w:r>
            <w:r>
              <w:rPr>
                <w:sz w:val="22"/>
                <w:vertAlign w:val="superscript"/>
              </w:rPr>
              <w:t xml:space="preserve"> </w:t>
            </w:r>
          </w:p>
        </w:tc>
        <w:tc>
          <w:tcPr>
            <w:tcW w:w="1680" w:type="dxa"/>
            <w:tcBorders>
              <w:top w:val="single" w:sz="4" w:space="0" w:color="000000"/>
              <w:left w:val="single" w:sz="4" w:space="0" w:color="000000"/>
              <w:bottom w:val="single" w:sz="4" w:space="0" w:color="000000"/>
              <w:right w:val="single" w:sz="4" w:space="0" w:color="000000"/>
            </w:tcBorders>
            <w:vAlign w:val="bottom"/>
          </w:tcPr>
          <w:p w14:paraId="05677D3A" w14:textId="77777777" w:rsidR="00E964CF" w:rsidRDefault="0022157B">
            <w:pPr>
              <w:spacing w:after="0" w:line="259" w:lineRule="auto"/>
              <w:ind w:left="3" w:firstLine="0"/>
            </w:pPr>
            <w:r>
              <w:rPr>
                <w:sz w:val="22"/>
              </w:rPr>
              <w:t xml:space="preserve">41 </w:t>
            </w:r>
          </w:p>
        </w:tc>
        <w:tc>
          <w:tcPr>
            <w:tcW w:w="936" w:type="dxa"/>
            <w:tcBorders>
              <w:top w:val="single" w:sz="4" w:space="0" w:color="000000"/>
              <w:left w:val="single" w:sz="4" w:space="0" w:color="000000"/>
              <w:bottom w:val="single" w:sz="4" w:space="0" w:color="000000"/>
              <w:right w:val="single" w:sz="4" w:space="0" w:color="000000"/>
            </w:tcBorders>
            <w:vAlign w:val="bottom"/>
          </w:tcPr>
          <w:p w14:paraId="6E3BC9DF" w14:textId="77777777" w:rsidR="00E964CF" w:rsidRDefault="0022157B">
            <w:pPr>
              <w:spacing w:after="2" w:line="238" w:lineRule="auto"/>
              <w:ind w:left="0" w:right="54" w:firstLine="0"/>
            </w:pPr>
            <w:r>
              <w:rPr>
                <w:sz w:val="22"/>
              </w:rPr>
              <w:t xml:space="preserve">Mean ± SD: </w:t>
            </w:r>
          </w:p>
          <w:p w14:paraId="06BC6BDF" w14:textId="77777777" w:rsidR="00E964CF" w:rsidRDefault="0022157B">
            <w:pPr>
              <w:spacing w:after="0" w:line="259" w:lineRule="auto"/>
              <w:ind w:left="0" w:firstLine="0"/>
            </w:pPr>
            <w:r>
              <w:rPr>
                <w:sz w:val="22"/>
              </w:rPr>
              <w:t xml:space="preserve">3.2 (± </w:t>
            </w:r>
          </w:p>
          <w:p w14:paraId="0583073B" w14:textId="77777777" w:rsidR="00E964CF" w:rsidRDefault="0022157B">
            <w:pPr>
              <w:spacing w:after="0" w:line="259" w:lineRule="auto"/>
              <w:ind w:left="0" w:firstLine="0"/>
            </w:pPr>
            <w:r>
              <w:rPr>
                <w:sz w:val="22"/>
              </w:rPr>
              <w:t xml:space="preserve">1.2) </w:t>
            </w:r>
          </w:p>
        </w:tc>
        <w:tc>
          <w:tcPr>
            <w:tcW w:w="2467" w:type="dxa"/>
            <w:tcBorders>
              <w:top w:val="single" w:sz="4" w:space="0" w:color="000000"/>
              <w:left w:val="single" w:sz="4" w:space="0" w:color="000000"/>
              <w:bottom w:val="single" w:sz="4" w:space="0" w:color="000000"/>
              <w:right w:val="single" w:sz="4" w:space="0" w:color="000000"/>
            </w:tcBorders>
            <w:vAlign w:val="bottom"/>
          </w:tcPr>
          <w:p w14:paraId="0EB92546" w14:textId="77777777" w:rsidR="00E964CF" w:rsidRDefault="0022157B">
            <w:pPr>
              <w:spacing w:after="0" w:line="259" w:lineRule="auto"/>
              <w:ind w:left="3" w:firstLine="0"/>
            </w:pPr>
            <w:r>
              <w:rPr>
                <w:sz w:val="22"/>
              </w:rPr>
              <w:t xml:space="preserve">10.8 (2.2-19.4) </w:t>
            </w:r>
          </w:p>
        </w:tc>
        <w:tc>
          <w:tcPr>
            <w:tcW w:w="1010" w:type="dxa"/>
            <w:tcBorders>
              <w:top w:val="single" w:sz="4" w:space="0" w:color="000000"/>
              <w:left w:val="single" w:sz="4" w:space="0" w:color="000000"/>
              <w:bottom w:val="single" w:sz="4" w:space="0" w:color="000000"/>
              <w:right w:val="single" w:sz="4" w:space="0" w:color="000000"/>
            </w:tcBorders>
            <w:vAlign w:val="bottom"/>
          </w:tcPr>
          <w:p w14:paraId="6FD7A2CD" w14:textId="77777777" w:rsidR="00E964CF" w:rsidRDefault="0022157B">
            <w:pPr>
              <w:spacing w:after="0" w:line="259" w:lineRule="auto"/>
              <w:ind w:left="3" w:firstLine="0"/>
            </w:pPr>
            <w:r>
              <w:rPr>
                <w:sz w:val="22"/>
              </w:rPr>
              <w:t xml:space="preserve">~50% </w:t>
            </w:r>
          </w:p>
        </w:tc>
        <w:tc>
          <w:tcPr>
            <w:tcW w:w="2561" w:type="dxa"/>
            <w:tcBorders>
              <w:top w:val="single" w:sz="4" w:space="0" w:color="000000"/>
              <w:left w:val="single" w:sz="4" w:space="0" w:color="000000"/>
              <w:bottom w:val="single" w:sz="4" w:space="0" w:color="000000"/>
              <w:right w:val="single" w:sz="4" w:space="0" w:color="000000"/>
            </w:tcBorders>
            <w:vAlign w:val="bottom"/>
          </w:tcPr>
          <w:p w14:paraId="3E8D9167" w14:textId="77777777" w:rsidR="00E964CF" w:rsidRDefault="0022157B">
            <w:pPr>
              <w:spacing w:after="0" w:line="259" w:lineRule="auto"/>
              <w:ind w:left="3" w:firstLine="0"/>
            </w:pPr>
            <w:r>
              <w:rPr>
                <w:sz w:val="22"/>
              </w:rPr>
              <w:t xml:space="preserve">~32% </w:t>
            </w:r>
          </w:p>
        </w:tc>
        <w:tc>
          <w:tcPr>
            <w:tcW w:w="2039" w:type="dxa"/>
            <w:tcBorders>
              <w:top w:val="single" w:sz="4" w:space="0" w:color="000000"/>
              <w:left w:val="single" w:sz="4" w:space="0" w:color="000000"/>
              <w:bottom w:val="single" w:sz="4" w:space="0" w:color="000000"/>
              <w:right w:val="single" w:sz="4" w:space="0" w:color="000000"/>
            </w:tcBorders>
            <w:vAlign w:val="bottom"/>
          </w:tcPr>
          <w:p w14:paraId="580FEADE" w14:textId="77777777" w:rsidR="00E964CF" w:rsidRDefault="0022157B">
            <w:pPr>
              <w:spacing w:after="0" w:line="259" w:lineRule="auto"/>
              <w:ind w:left="3" w:firstLine="0"/>
            </w:pPr>
            <w:r>
              <w:rPr>
                <w:sz w:val="22"/>
              </w:rPr>
              <w:t xml:space="preserve">10/41 patients were treated with POLA+R rather than POLA+BR </w:t>
            </w:r>
          </w:p>
        </w:tc>
      </w:tr>
      <w:tr w:rsidR="00E964CF" w14:paraId="510A1ACB" w14:textId="77777777">
        <w:trPr>
          <w:trHeight w:val="398"/>
        </w:trPr>
        <w:tc>
          <w:tcPr>
            <w:tcW w:w="3253" w:type="dxa"/>
            <w:tcBorders>
              <w:top w:val="single" w:sz="4" w:space="0" w:color="000000"/>
              <w:left w:val="single" w:sz="4" w:space="0" w:color="000000"/>
              <w:bottom w:val="single" w:sz="4" w:space="0" w:color="000000"/>
              <w:right w:val="single" w:sz="4" w:space="0" w:color="000000"/>
            </w:tcBorders>
            <w:vAlign w:val="bottom"/>
          </w:tcPr>
          <w:p w14:paraId="4E9AC150" w14:textId="77777777" w:rsidR="00E964CF" w:rsidRDefault="0022157B">
            <w:pPr>
              <w:spacing w:after="0" w:line="259" w:lineRule="auto"/>
              <w:ind w:left="1" w:firstLine="0"/>
            </w:pPr>
            <w:r>
              <w:rPr>
                <w:sz w:val="22"/>
              </w:rPr>
              <w:t xml:space="preserve">Dal 2022(12) </w:t>
            </w:r>
          </w:p>
        </w:tc>
        <w:tc>
          <w:tcPr>
            <w:tcW w:w="1680" w:type="dxa"/>
            <w:tcBorders>
              <w:top w:val="single" w:sz="4" w:space="0" w:color="000000"/>
              <w:left w:val="single" w:sz="4" w:space="0" w:color="000000"/>
              <w:bottom w:val="single" w:sz="4" w:space="0" w:color="000000"/>
              <w:right w:val="single" w:sz="4" w:space="0" w:color="000000"/>
            </w:tcBorders>
            <w:vAlign w:val="bottom"/>
          </w:tcPr>
          <w:p w14:paraId="21F6FC25" w14:textId="77777777" w:rsidR="00E964CF" w:rsidRDefault="0022157B">
            <w:pPr>
              <w:spacing w:after="0" w:line="259" w:lineRule="auto"/>
              <w:ind w:left="3" w:firstLine="0"/>
            </w:pPr>
            <w:r>
              <w:rPr>
                <w:sz w:val="22"/>
              </w:rPr>
              <w:t xml:space="preserve">71 </w:t>
            </w:r>
          </w:p>
        </w:tc>
        <w:tc>
          <w:tcPr>
            <w:tcW w:w="936" w:type="dxa"/>
            <w:tcBorders>
              <w:top w:val="single" w:sz="4" w:space="0" w:color="000000"/>
              <w:left w:val="single" w:sz="4" w:space="0" w:color="000000"/>
              <w:bottom w:val="single" w:sz="4" w:space="0" w:color="000000"/>
              <w:right w:val="single" w:sz="4" w:space="0" w:color="000000"/>
            </w:tcBorders>
            <w:vAlign w:val="bottom"/>
          </w:tcPr>
          <w:p w14:paraId="1B33E85E" w14:textId="77777777" w:rsidR="00E964CF" w:rsidRDefault="0022157B">
            <w:pPr>
              <w:spacing w:after="0" w:line="259" w:lineRule="auto"/>
              <w:ind w:left="0" w:firstLine="0"/>
            </w:pPr>
            <w:r>
              <w:rPr>
                <w:sz w:val="22"/>
              </w:rPr>
              <w:t xml:space="preserve">3 (2-5) </w:t>
            </w:r>
          </w:p>
        </w:tc>
        <w:tc>
          <w:tcPr>
            <w:tcW w:w="2467" w:type="dxa"/>
            <w:tcBorders>
              <w:top w:val="single" w:sz="4" w:space="0" w:color="000000"/>
              <w:left w:val="single" w:sz="4" w:space="0" w:color="000000"/>
              <w:bottom w:val="single" w:sz="4" w:space="0" w:color="000000"/>
              <w:right w:val="single" w:sz="4" w:space="0" w:color="000000"/>
            </w:tcBorders>
            <w:vAlign w:val="bottom"/>
          </w:tcPr>
          <w:p w14:paraId="31661838" w14:textId="77777777" w:rsidR="00E964CF" w:rsidRDefault="0022157B">
            <w:pPr>
              <w:spacing w:after="0" w:line="259" w:lineRule="auto"/>
              <w:ind w:left="3" w:firstLine="0"/>
            </w:pPr>
            <w:r>
              <w:rPr>
                <w:sz w:val="22"/>
              </w:rPr>
              <w:t xml:space="preserve">Median = 5.0 </w:t>
            </w:r>
          </w:p>
        </w:tc>
        <w:tc>
          <w:tcPr>
            <w:tcW w:w="1010" w:type="dxa"/>
            <w:tcBorders>
              <w:top w:val="single" w:sz="4" w:space="0" w:color="000000"/>
              <w:left w:val="single" w:sz="4" w:space="0" w:color="000000"/>
              <w:bottom w:val="single" w:sz="4" w:space="0" w:color="000000"/>
              <w:right w:val="single" w:sz="4" w:space="0" w:color="000000"/>
            </w:tcBorders>
            <w:vAlign w:val="bottom"/>
          </w:tcPr>
          <w:p w14:paraId="34BBED6B" w14:textId="77777777" w:rsidR="00E964CF" w:rsidRDefault="0022157B">
            <w:pPr>
              <w:spacing w:after="0" w:line="259" w:lineRule="auto"/>
              <w:ind w:left="3" w:firstLine="0"/>
            </w:pPr>
            <w:r>
              <w:rPr>
                <w:sz w:val="22"/>
              </w:rPr>
              <w:t xml:space="preserve">NA </w:t>
            </w:r>
          </w:p>
        </w:tc>
        <w:tc>
          <w:tcPr>
            <w:tcW w:w="2561" w:type="dxa"/>
            <w:tcBorders>
              <w:top w:val="single" w:sz="4" w:space="0" w:color="000000"/>
              <w:left w:val="single" w:sz="4" w:space="0" w:color="000000"/>
              <w:bottom w:val="single" w:sz="4" w:space="0" w:color="000000"/>
              <w:right w:val="single" w:sz="4" w:space="0" w:color="000000"/>
            </w:tcBorders>
            <w:vAlign w:val="bottom"/>
          </w:tcPr>
          <w:p w14:paraId="288FE9E1" w14:textId="77777777" w:rsidR="00E964CF" w:rsidRDefault="0022157B">
            <w:pPr>
              <w:spacing w:after="0" w:line="259" w:lineRule="auto"/>
              <w:ind w:left="3" w:firstLine="0"/>
            </w:pPr>
            <w:r>
              <w:rPr>
                <w:sz w:val="22"/>
              </w:rPr>
              <w:t xml:space="preserve">NA </w:t>
            </w:r>
          </w:p>
        </w:tc>
        <w:tc>
          <w:tcPr>
            <w:tcW w:w="2039" w:type="dxa"/>
            <w:tcBorders>
              <w:top w:val="single" w:sz="4" w:space="0" w:color="000000"/>
              <w:left w:val="single" w:sz="4" w:space="0" w:color="000000"/>
              <w:bottom w:val="single" w:sz="4" w:space="0" w:color="000000"/>
              <w:right w:val="single" w:sz="4" w:space="0" w:color="000000"/>
            </w:tcBorders>
            <w:vAlign w:val="bottom"/>
          </w:tcPr>
          <w:p w14:paraId="340C2592" w14:textId="77777777" w:rsidR="00E964CF" w:rsidRDefault="0022157B">
            <w:pPr>
              <w:spacing w:after="0" w:line="259" w:lineRule="auto"/>
              <w:ind w:left="3" w:firstLine="0"/>
            </w:pPr>
            <w:r>
              <w:rPr>
                <w:sz w:val="22"/>
              </w:rPr>
              <w:t xml:space="preserve"> </w:t>
            </w:r>
          </w:p>
        </w:tc>
      </w:tr>
      <w:tr w:rsidR="00E964CF" w14:paraId="247F5ECE" w14:textId="77777777">
        <w:trPr>
          <w:trHeight w:val="667"/>
        </w:trPr>
        <w:tc>
          <w:tcPr>
            <w:tcW w:w="3253" w:type="dxa"/>
            <w:tcBorders>
              <w:top w:val="single" w:sz="4" w:space="0" w:color="000000"/>
              <w:left w:val="single" w:sz="4" w:space="0" w:color="000000"/>
              <w:bottom w:val="single" w:sz="4" w:space="0" w:color="000000"/>
              <w:right w:val="single" w:sz="4" w:space="0" w:color="000000"/>
            </w:tcBorders>
            <w:vAlign w:val="bottom"/>
          </w:tcPr>
          <w:p w14:paraId="0BB2C5E6" w14:textId="77777777" w:rsidR="00E964CF" w:rsidRDefault="0022157B">
            <w:pPr>
              <w:spacing w:after="0" w:line="259" w:lineRule="auto"/>
              <w:ind w:left="1" w:firstLine="0"/>
            </w:pPr>
            <w:proofErr w:type="spellStart"/>
            <w:r>
              <w:rPr>
                <w:sz w:val="22"/>
              </w:rPr>
              <w:t>Vodicka</w:t>
            </w:r>
            <w:proofErr w:type="spellEnd"/>
            <w:r>
              <w:rPr>
                <w:sz w:val="22"/>
              </w:rPr>
              <w:t xml:space="preserve"> 2022(13) </w:t>
            </w:r>
          </w:p>
        </w:tc>
        <w:tc>
          <w:tcPr>
            <w:tcW w:w="1680" w:type="dxa"/>
            <w:tcBorders>
              <w:top w:val="single" w:sz="4" w:space="0" w:color="000000"/>
              <w:left w:val="single" w:sz="4" w:space="0" w:color="000000"/>
              <w:bottom w:val="single" w:sz="4" w:space="0" w:color="000000"/>
              <w:right w:val="single" w:sz="4" w:space="0" w:color="000000"/>
            </w:tcBorders>
            <w:vAlign w:val="bottom"/>
          </w:tcPr>
          <w:p w14:paraId="645ECE76" w14:textId="77777777" w:rsidR="00E964CF" w:rsidRDefault="0022157B">
            <w:pPr>
              <w:spacing w:after="0" w:line="259" w:lineRule="auto"/>
              <w:ind w:left="3" w:firstLine="0"/>
            </w:pPr>
            <w:r>
              <w:rPr>
                <w:sz w:val="22"/>
              </w:rPr>
              <w:t xml:space="preserve">21 </w:t>
            </w:r>
          </w:p>
        </w:tc>
        <w:tc>
          <w:tcPr>
            <w:tcW w:w="936" w:type="dxa"/>
            <w:tcBorders>
              <w:top w:val="single" w:sz="4" w:space="0" w:color="000000"/>
              <w:left w:val="single" w:sz="4" w:space="0" w:color="000000"/>
              <w:bottom w:val="single" w:sz="4" w:space="0" w:color="000000"/>
              <w:right w:val="single" w:sz="4" w:space="0" w:color="000000"/>
            </w:tcBorders>
            <w:vAlign w:val="bottom"/>
          </w:tcPr>
          <w:p w14:paraId="242370C4" w14:textId="77777777" w:rsidR="00E964CF" w:rsidRDefault="0022157B">
            <w:pPr>
              <w:spacing w:after="0" w:line="259" w:lineRule="auto"/>
              <w:ind w:left="0" w:firstLine="0"/>
            </w:pPr>
            <w:r>
              <w:rPr>
                <w:sz w:val="22"/>
              </w:rPr>
              <w:t xml:space="preserve">3 (2-7) </w:t>
            </w:r>
          </w:p>
        </w:tc>
        <w:tc>
          <w:tcPr>
            <w:tcW w:w="2467" w:type="dxa"/>
            <w:tcBorders>
              <w:top w:val="single" w:sz="4" w:space="0" w:color="000000"/>
              <w:left w:val="single" w:sz="4" w:space="0" w:color="000000"/>
              <w:bottom w:val="single" w:sz="4" w:space="0" w:color="000000"/>
              <w:right w:val="single" w:sz="4" w:space="0" w:color="000000"/>
            </w:tcBorders>
            <w:vAlign w:val="bottom"/>
          </w:tcPr>
          <w:p w14:paraId="7EA9D841" w14:textId="77777777" w:rsidR="00E964CF" w:rsidRDefault="0022157B">
            <w:pPr>
              <w:spacing w:after="0" w:line="259" w:lineRule="auto"/>
              <w:ind w:left="3" w:firstLine="0"/>
            </w:pPr>
            <w:r>
              <w:rPr>
                <w:sz w:val="22"/>
              </w:rPr>
              <w:t xml:space="preserve">Median (range) = 8.7 (0.7-9.5) </w:t>
            </w:r>
          </w:p>
        </w:tc>
        <w:tc>
          <w:tcPr>
            <w:tcW w:w="1010" w:type="dxa"/>
            <w:tcBorders>
              <w:top w:val="single" w:sz="4" w:space="0" w:color="000000"/>
              <w:left w:val="single" w:sz="4" w:space="0" w:color="000000"/>
              <w:bottom w:val="single" w:sz="4" w:space="0" w:color="000000"/>
              <w:right w:val="single" w:sz="4" w:space="0" w:color="000000"/>
            </w:tcBorders>
            <w:vAlign w:val="bottom"/>
          </w:tcPr>
          <w:p w14:paraId="54DA39A3" w14:textId="77777777" w:rsidR="00E964CF" w:rsidRDefault="0022157B">
            <w:pPr>
              <w:spacing w:after="0" w:line="259" w:lineRule="auto"/>
              <w:ind w:left="3" w:firstLine="0"/>
            </w:pPr>
            <w:r>
              <w:rPr>
                <w:sz w:val="22"/>
              </w:rPr>
              <w:t xml:space="preserve">NA </w:t>
            </w:r>
          </w:p>
        </w:tc>
        <w:tc>
          <w:tcPr>
            <w:tcW w:w="2561" w:type="dxa"/>
            <w:tcBorders>
              <w:top w:val="single" w:sz="4" w:space="0" w:color="000000"/>
              <w:left w:val="single" w:sz="4" w:space="0" w:color="000000"/>
              <w:bottom w:val="single" w:sz="4" w:space="0" w:color="000000"/>
              <w:right w:val="single" w:sz="4" w:space="0" w:color="000000"/>
            </w:tcBorders>
            <w:vAlign w:val="bottom"/>
          </w:tcPr>
          <w:p w14:paraId="52E1FE27" w14:textId="77777777" w:rsidR="00E964CF" w:rsidRDefault="0022157B">
            <w:pPr>
              <w:spacing w:after="0" w:line="259" w:lineRule="auto"/>
              <w:ind w:left="3" w:firstLine="0"/>
            </w:pPr>
            <w:r>
              <w:rPr>
                <w:sz w:val="22"/>
              </w:rPr>
              <w:t xml:space="preserve">NA </w:t>
            </w:r>
          </w:p>
        </w:tc>
        <w:tc>
          <w:tcPr>
            <w:tcW w:w="2039" w:type="dxa"/>
            <w:tcBorders>
              <w:top w:val="single" w:sz="4" w:space="0" w:color="000000"/>
              <w:left w:val="single" w:sz="4" w:space="0" w:color="000000"/>
              <w:bottom w:val="single" w:sz="4" w:space="0" w:color="000000"/>
              <w:right w:val="single" w:sz="4" w:space="0" w:color="000000"/>
            </w:tcBorders>
          </w:tcPr>
          <w:p w14:paraId="42DFF323" w14:textId="77777777" w:rsidR="00E964CF" w:rsidRDefault="0022157B">
            <w:pPr>
              <w:spacing w:after="0" w:line="259" w:lineRule="auto"/>
              <w:ind w:left="2" w:firstLine="0"/>
            </w:pPr>
            <w:r>
              <w:rPr>
                <w:sz w:val="22"/>
              </w:rPr>
              <w:t xml:space="preserve"> </w:t>
            </w:r>
          </w:p>
        </w:tc>
      </w:tr>
      <w:tr w:rsidR="00E964CF" w14:paraId="5182B2C0" w14:textId="77777777">
        <w:trPr>
          <w:trHeight w:val="398"/>
        </w:trPr>
        <w:tc>
          <w:tcPr>
            <w:tcW w:w="3253" w:type="dxa"/>
            <w:tcBorders>
              <w:top w:val="single" w:sz="4" w:space="0" w:color="000000"/>
              <w:left w:val="single" w:sz="4" w:space="0" w:color="000000"/>
              <w:bottom w:val="single" w:sz="4" w:space="0" w:color="000000"/>
              <w:right w:val="single" w:sz="4" w:space="0" w:color="000000"/>
            </w:tcBorders>
            <w:vAlign w:val="bottom"/>
          </w:tcPr>
          <w:p w14:paraId="4564DD8D" w14:textId="77777777" w:rsidR="00E964CF" w:rsidRDefault="0022157B">
            <w:pPr>
              <w:spacing w:after="0" w:line="259" w:lineRule="auto"/>
              <w:ind w:left="1" w:firstLine="0"/>
            </w:pPr>
            <w:r>
              <w:rPr>
                <w:sz w:val="22"/>
              </w:rPr>
              <w:t xml:space="preserve">Smith 2021(14) </w:t>
            </w:r>
          </w:p>
        </w:tc>
        <w:tc>
          <w:tcPr>
            <w:tcW w:w="1680" w:type="dxa"/>
            <w:tcBorders>
              <w:top w:val="single" w:sz="4" w:space="0" w:color="000000"/>
              <w:left w:val="single" w:sz="4" w:space="0" w:color="000000"/>
              <w:bottom w:val="single" w:sz="4" w:space="0" w:color="000000"/>
              <w:right w:val="single" w:sz="4" w:space="0" w:color="000000"/>
            </w:tcBorders>
            <w:vAlign w:val="bottom"/>
          </w:tcPr>
          <w:p w14:paraId="49944676" w14:textId="77777777" w:rsidR="00E964CF" w:rsidRDefault="0022157B">
            <w:pPr>
              <w:spacing w:after="0" w:line="259" w:lineRule="auto"/>
              <w:ind w:left="3" w:firstLine="0"/>
            </w:pPr>
            <w:r>
              <w:rPr>
                <w:sz w:val="22"/>
              </w:rPr>
              <w:t xml:space="preserve">69 </w:t>
            </w:r>
          </w:p>
        </w:tc>
        <w:tc>
          <w:tcPr>
            <w:tcW w:w="936" w:type="dxa"/>
            <w:tcBorders>
              <w:top w:val="single" w:sz="4" w:space="0" w:color="000000"/>
              <w:left w:val="single" w:sz="4" w:space="0" w:color="000000"/>
              <w:bottom w:val="single" w:sz="4" w:space="0" w:color="000000"/>
              <w:right w:val="single" w:sz="4" w:space="0" w:color="000000"/>
            </w:tcBorders>
            <w:vAlign w:val="bottom"/>
          </w:tcPr>
          <w:p w14:paraId="585FE758" w14:textId="77777777" w:rsidR="00E964CF" w:rsidRDefault="0022157B">
            <w:pPr>
              <w:spacing w:after="0" w:line="259" w:lineRule="auto"/>
              <w:ind w:left="0" w:firstLine="0"/>
            </w:pPr>
            <w:r>
              <w:rPr>
                <w:sz w:val="22"/>
              </w:rPr>
              <w:t xml:space="preserve">3 (1-9) </w:t>
            </w:r>
          </w:p>
        </w:tc>
        <w:tc>
          <w:tcPr>
            <w:tcW w:w="2467" w:type="dxa"/>
            <w:tcBorders>
              <w:top w:val="single" w:sz="4" w:space="0" w:color="000000"/>
              <w:left w:val="single" w:sz="4" w:space="0" w:color="000000"/>
              <w:bottom w:val="single" w:sz="4" w:space="0" w:color="000000"/>
              <w:right w:val="single" w:sz="4" w:space="0" w:color="000000"/>
            </w:tcBorders>
            <w:vAlign w:val="bottom"/>
          </w:tcPr>
          <w:p w14:paraId="723B09EF" w14:textId="77777777" w:rsidR="00E964CF" w:rsidRDefault="0022157B">
            <w:pPr>
              <w:spacing w:after="0" w:line="259" w:lineRule="auto"/>
              <w:ind w:left="3" w:firstLine="0"/>
            </w:pPr>
            <w:r>
              <w:rPr>
                <w:sz w:val="22"/>
              </w:rPr>
              <w:t xml:space="preserve">5.3 </w:t>
            </w:r>
          </w:p>
        </w:tc>
        <w:tc>
          <w:tcPr>
            <w:tcW w:w="1010" w:type="dxa"/>
            <w:tcBorders>
              <w:top w:val="single" w:sz="4" w:space="0" w:color="000000"/>
              <w:left w:val="single" w:sz="4" w:space="0" w:color="000000"/>
              <w:bottom w:val="single" w:sz="4" w:space="0" w:color="000000"/>
              <w:right w:val="single" w:sz="4" w:space="0" w:color="000000"/>
            </w:tcBorders>
            <w:vAlign w:val="bottom"/>
          </w:tcPr>
          <w:p w14:paraId="5DF91666" w14:textId="77777777" w:rsidR="00E964CF" w:rsidRDefault="0022157B">
            <w:pPr>
              <w:spacing w:after="0" w:line="259" w:lineRule="auto"/>
              <w:ind w:left="3" w:firstLine="0"/>
            </w:pPr>
            <w:r>
              <w:rPr>
                <w:sz w:val="22"/>
              </w:rPr>
              <w:t xml:space="preserve">NA </w:t>
            </w:r>
          </w:p>
        </w:tc>
        <w:tc>
          <w:tcPr>
            <w:tcW w:w="2561" w:type="dxa"/>
            <w:tcBorders>
              <w:top w:val="single" w:sz="4" w:space="0" w:color="000000"/>
              <w:left w:val="single" w:sz="4" w:space="0" w:color="000000"/>
              <w:bottom w:val="single" w:sz="4" w:space="0" w:color="000000"/>
              <w:right w:val="single" w:sz="4" w:space="0" w:color="000000"/>
            </w:tcBorders>
            <w:vAlign w:val="bottom"/>
          </w:tcPr>
          <w:p w14:paraId="37DD3B92" w14:textId="77777777" w:rsidR="00E964CF" w:rsidRDefault="0022157B">
            <w:pPr>
              <w:spacing w:after="0" w:line="259" w:lineRule="auto"/>
              <w:ind w:left="3" w:firstLine="0"/>
            </w:pPr>
            <w:r>
              <w:rPr>
                <w:sz w:val="22"/>
              </w:rPr>
              <w:t xml:space="preserve">NA </w:t>
            </w:r>
          </w:p>
        </w:tc>
        <w:tc>
          <w:tcPr>
            <w:tcW w:w="2039" w:type="dxa"/>
            <w:tcBorders>
              <w:top w:val="single" w:sz="4" w:space="0" w:color="000000"/>
              <w:left w:val="single" w:sz="4" w:space="0" w:color="000000"/>
              <w:bottom w:val="single" w:sz="4" w:space="0" w:color="000000"/>
              <w:right w:val="single" w:sz="4" w:space="0" w:color="000000"/>
            </w:tcBorders>
            <w:vAlign w:val="bottom"/>
          </w:tcPr>
          <w:p w14:paraId="3D4314D3" w14:textId="77777777" w:rsidR="00E964CF" w:rsidRDefault="0022157B">
            <w:pPr>
              <w:spacing w:after="0" w:line="259" w:lineRule="auto"/>
              <w:ind w:left="3" w:firstLine="0"/>
            </w:pPr>
            <w:r>
              <w:rPr>
                <w:sz w:val="22"/>
              </w:rPr>
              <w:t xml:space="preserve"> </w:t>
            </w:r>
          </w:p>
        </w:tc>
      </w:tr>
      <w:tr w:rsidR="00E964CF" w14:paraId="7BF7DE35" w14:textId="77777777">
        <w:trPr>
          <w:trHeight w:val="638"/>
        </w:trPr>
        <w:tc>
          <w:tcPr>
            <w:tcW w:w="3253" w:type="dxa"/>
            <w:tcBorders>
              <w:top w:val="single" w:sz="4" w:space="0" w:color="000000"/>
              <w:left w:val="single" w:sz="4" w:space="0" w:color="000000"/>
              <w:bottom w:val="single" w:sz="4" w:space="0" w:color="000000"/>
              <w:right w:val="single" w:sz="4" w:space="0" w:color="000000"/>
            </w:tcBorders>
            <w:vAlign w:val="bottom"/>
          </w:tcPr>
          <w:p w14:paraId="1E105043" w14:textId="77777777" w:rsidR="00E964CF" w:rsidRDefault="0022157B">
            <w:pPr>
              <w:spacing w:after="0" w:line="259" w:lineRule="auto"/>
              <w:ind w:left="1" w:firstLine="0"/>
            </w:pPr>
            <w:proofErr w:type="spellStart"/>
            <w:r>
              <w:rPr>
                <w:sz w:val="22"/>
              </w:rPr>
              <w:lastRenderedPageBreak/>
              <w:t>Segman</w:t>
            </w:r>
            <w:proofErr w:type="spellEnd"/>
            <w:r>
              <w:rPr>
                <w:sz w:val="22"/>
              </w:rPr>
              <w:t xml:space="preserve"> 2021 (overall cohort) </w:t>
            </w:r>
          </w:p>
          <w:p w14:paraId="72E3CC04" w14:textId="77777777" w:rsidR="00E964CF" w:rsidRDefault="0022157B">
            <w:pPr>
              <w:spacing w:after="0" w:line="259" w:lineRule="auto"/>
              <w:ind w:left="1" w:firstLine="0"/>
            </w:pPr>
            <w:r>
              <w:rPr>
                <w:sz w:val="22"/>
              </w:rPr>
              <w:t xml:space="preserve">(15) </w:t>
            </w:r>
          </w:p>
        </w:tc>
        <w:tc>
          <w:tcPr>
            <w:tcW w:w="1680" w:type="dxa"/>
            <w:tcBorders>
              <w:top w:val="single" w:sz="4" w:space="0" w:color="000000"/>
              <w:left w:val="single" w:sz="4" w:space="0" w:color="000000"/>
              <w:bottom w:val="single" w:sz="4" w:space="0" w:color="000000"/>
              <w:right w:val="single" w:sz="4" w:space="0" w:color="000000"/>
            </w:tcBorders>
            <w:vAlign w:val="bottom"/>
          </w:tcPr>
          <w:p w14:paraId="28169FB4" w14:textId="77777777" w:rsidR="00E964CF" w:rsidRDefault="0022157B">
            <w:pPr>
              <w:spacing w:after="0" w:line="259" w:lineRule="auto"/>
              <w:ind w:left="3" w:firstLine="0"/>
            </w:pPr>
            <w:r>
              <w:rPr>
                <w:sz w:val="22"/>
              </w:rPr>
              <w:t xml:space="preserve">47 </w:t>
            </w:r>
          </w:p>
        </w:tc>
        <w:tc>
          <w:tcPr>
            <w:tcW w:w="936" w:type="dxa"/>
            <w:tcBorders>
              <w:top w:val="single" w:sz="4" w:space="0" w:color="000000"/>
              <w:left w:val="single" w:sz="4" w:space="0" w:color="000000"/>
              <w:bottom w:val="single" w:sz="4" w:space="0" w:color="000000"/>
              <w:right w:val="single" w:sz="4" w:space="0" w:color="000000"/>
            </w:tcBorders>
            <w:vAlign w:val="bottom"/>
          </w:tcPr>
          <w:p w14:paraId="06F985C0" w14:textId="77777777" w:rsidR="00E964CF" w:rsidRDefault="0022157B">
            <w:pPr>
              <w:spacing w:after="0" w:line="259" w:lineRule="auto"/>
              <w:ind w:left="0" w:firstLine="0"/>
            </w:pPr>
            <w:r>
              <w:rPr>
                <w:sz w:val="22"/>
              </w:rPr>
              <w:t xml:space="preserve">3 (2-4) </w:t>
            </w:r>
          </w:p>
        </w:tc>
        <w:tc>
          <w:tcPr>
            <w:tcW w:w="2467" w:type="dxa"/>
            <w:tcBorders>
              <w:top w:val="single" w:sz="4" w:space="0" w:color="000000"/>
              <w:left w:val="single" w:sz="4" w:space="0" w:color="000000"/>
              <w:bottom w:val="single" w:sz="4" w:space="0" w:color="000000"/>
              <w:right w:val="single" w:sz="4" w:space="0" w:color="000000"/>
            </w:tcBorders>
            <w:vAlign w:val="bottom"/>
          </w:tcPr>
          <w:p w14:paraId="2D8CC38F" w14:textId="77777777" w:rsidR="00E964CF" w:rsidRDefault="0022157B">
            <w:pPr>
              <w:spacing w:after="0" w:line="259" w:lineRule="auto"/>
              <w:ind w:left="2" w:firstLine="0"/>
            </w:pPr>
            <w:r>
              <w:rPr>
                <w:sz w:val="22"/>
              </w:rPr>
              <w:t xml:space="preserve">8.3 (IQR: 5.03-14.80) </w:t>
            </w:r>
          </w:p>
        </w:tc>
        <w:tc>
          <w:tcPr>
            <w:tcW w:w="1010" w:type="dxa"/>
            <w:tcBorders>
              <w:top w:val="single" w:sz="4" w:space="0" w:color="000000"/>
              <w:left w:val="single" w:sz="4" w:space="0" w:color="000000"/>
              <w:bottom w:val="single" w:sz="4" w:space="0" w:color="000000"/>
              <w:right w:val="single" w:sz="4" w:space="0" w:color="000000"/>
            </w:tcBorders>
            <w:vAlign w:val="bottom"/>
          </w:tcPr>
          <w:p w14:paraId="0C371041" w14:textId="77777777" w:rsidR="00E964CF" w:rsidRDefault="0022157B">
            <w:pPr>
              <w:spacing w:after="0" w:line="259" w:lineRule="auto"/>
              <w:ind w:left="2" w:firstLine="0"/>
            </w:pPr>
            <w:r>
              <w:rPr>
                <w:sz w:val="22"/>
              </w:rPr>
              <w:t xml:space="preserve">~47% </w:t>
            </w:r>
          </w:p>
        </w:tc>
        <w:tc>
          <w:tcPr>
            <w:tcW w:w="2561" w:type="dxa"/>
            <w:tcBorders>
              <w:top w:val="single" w:sz="4" w:space="0" w:color="000000"/>
              <w:left w:val="single" w:sz="4" w:space="0" w:color="000000"/>
              <w:bottom w:val="single" w:sz="4" w:space="0" w:color="000000"/>
              <w:right w:val="single" w:sz="4" w:space="0" w:color="000000"/>
            </w:tcBorders>
            <w:vAlign w:val="bottom"/>
          </w:tcPr>
          <w:p w14:paraId="37775625" w14:textId="77777777" w:rsidR="00E964CF" w:rsidRDefault="0022157B">
            <w:pPr>
              <w:spacing w:after="0" w:line="259" w:lineRule="auto"/>
              <w:ind w:left="2" w:firstLine="0"/>
            </w:pPr>
            <w:r>
              <w:rPr>
                <w:sz w:val="22"/>
              </w:rPr>
              <w:t xml:space="preserve">NA </w:t>
            </w:r>
          </w:p>
        </w:tc>
        <w:tc>
          <w:tcPr>
            <w:tcW w:w="2039" w:type="dxa"/>
            <w:tcBorders>
              <w:top w:val="single" w:sz="4" w:space="0" w:color="000000"/>
              <w:left w:val="single" w:sz="4" w:space="0" w:color="000000"/>
              <w:bottom w:val="single" w:sz="4" w:space="0" w:color="000000"/>
              <w:right w:val="single" w:sz="4" w:space="0" w:color="000000"/>
            </w:tcBorders>
            <w:vAlign w:val="bottom"/>
          </w:tcPr>
          <w:p w14:paraId="78309CAF" w14:textId="77777777" w:rsidR="00E964CF" w:rsidRDefault="0022157B">
            <w:pPr>
              <w:spacing w:after="0" w:line="259" w:lineRule="auto"/>
              <w:ind w:left="3" w:firstLine="0"/>
            </w:pPr>
            <w:r>
              <w:rPr>
                <w:sz w:val="22"/>
              </w:rPr>
              <w:t xml:space="preserve">15/47 patients received POLA+R </w:t>
            </w:r>
          </w:p>
        </w:tc>
      </w:tr>
      <w:tr w:rsidR="00E964CF" w14:paraId="01358919" w14:textId="77777777">
        <w:trPr>
          <w:trHeight w:val="886"/>
        </w:trPr>
        <w:tc>
          <w:tcPr>
            <w:tcW w:w="3253"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6F14822D" w14:textId="77777777" w:rsidR="00E964CF" w:rsidRDefault="0022157B">
            <w:pPr>
              <w:spacing w:after="0" w:line="259" w:lineRule="auto"/>
              <w:ind w:left="1" w:firstLine="0"/>
            </w:pPr>
            <w:r>
              <w:rPr>
                <w:b/>
                <w:sz w:val="22"/>
              </w:rPr>
              <w:t xml:space="preserve">Source </w:t>
            </w:r>
          </w:p>
        </w:tc>
        <w:tc>
          <w:tcPr>
            <w:tcW w:w="1680" w:type="dxa"/>
            <w:tcBorders>
              <w:top w:val="single" w:sz="4" w:space="0" w:color="000000"/>
              <w:left w:val="single" w:sz="4" w:space="0" w:color="000000"/>
              <w:bottom w:val="single" w:sz="4" w:space="0" w:color="000000"/>
              <w:right w:val="nil"/>
            </w:tcBorders>
            <w:shd w:val="clear" w:color="auto" w:fill="DFDFDF"/>
            <w:vAlign w:val="bottom"/>
          </w:tcPr>
          <w:p w14:paraId="00D2D9FC" w14:textId="77777777" w:rsidR="00E964CF" w:rsidRDefault="0022157B">
            <w:pPr>
              <w:spacing w:after="0" w:line="259" w:lineRule="auto"/>
              <w:ind w:left="3" w:firstLine="0"/>
            </w:pPr>
            <w:r>
              <w:rPr>
                <w:b/>
                <w:sz w:val="22"/>
              </w:rPr>
              <w:t xml:space="preserve">Population </w:t>
            </w:r>
          </w:p>
        </w:tc>
        <w:tc>
          <w:tcPr>
            <w:tcW w:w="936" w:type="dxa"/>
            <w:tcBorders>
              <w:top w:val="single" w:sz="4" w:space="0" w:color="000000"/>
              <w:left w:val="nil"/>
              <w:bottom w:val="single" w:sz="4" w:space="0" w:color="000000"/>
              <w:right w:val="single" w:sz="4" w:space="0" w:color="000000"/>
            </w:tcBorders>
            <w:shd w:val="clear" w:color="auto" w:fill="DFDFDF"/>
          </w:tcPr>
          <w:p w14:paraId="34013FBC" w14:textId="77777777" w:rsidR="00E964CF" w:rsidRDefault="00E964CF">
            <w:pPr>
              <w:spacing w:after="160" w:line="259" w:lineRule="auto"/>
              <w:ind w:left="0" w:firstLine="0"/>
            </w:pPr>
          </w:p>
        </w:tc>
        <w:tc>
          <w:tcPr>
            <w:tcW w:w="2467"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2EF6E910" w14:textId="77777777" w:rsidR="00E964CF" w:rsidRDefault="0022157B">
            <w:pPr>
              <w:spacing w:after="0" w:line="259" w:lineRule="auto"/>
              <w:ind w:left="3" w:firstLine="0"/>
            </w:pPr>
            <w:r>
              <w:rPr>
                <w:b/>
                <w:sz w:val="22"/>
              </w:rPr>
              <w:t xml:space="preserve">Life Expectancy (months)  </w:t>
            </w:r>
          </w:p>
        </w:tc>
        <w:tc>
          <w:tcPr>
            <w:tcW w:w="1010"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5157E104" w14:textId="77777777" w:rsidR="00E964CF" w:rsidRDefault="0022157B">
            <w:pPr>
              <w:spacing w:after="0" w:line="259" w:lineRule="auto"/>
              <w:ind w:left="3" w:firstLine="0"/>
            </w:pPr>
            <w:r>
              <w:rPr>
                <w:b/>
                <w:sz w:val="22"/>
              </w:rPr>
              <w:t xml:space="preserve">OS at 12 months </w:t>
            </w:r>
          </w:p>
        </w:tc>
        <w:tc>
          <w:tcPr>
            <w:tcW w:w="2561"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3360429D" w14:textId="77777777" w:rsidR="00E964CF" w:rsidRDefault="0022157B">
            <w:pPr>
              <w:spacing w:after="0" w:line="259" w:lineRule="auto"/>
              <w:ind w:left="3" w:firstLine="0"/>
            </w:pPr>
            <w:r>
              <w:rPr>
                <w:b/>
                <w:sz w:val="22"/>
              </w:rPr>
              <w:t xml:space="preserve">OS at 24 months </w:t>
            </w:r>
          </w:p>
        </w:tc>
        <w:tc>
          <w:tcPr>
            <w:tcW w:w="2039"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0EE84F43" w14:textId="77777777" w:rsidR="00E964CF" w:rsidRDefault="0022157B">
            <w:pPr>
              <w:spacing w:after="0" w:line="259" w:lineRule="auto"/>
              <w:ind w:left="3" w:firstLine="0"/>
            </w:pPr>
            <w:r>
              <w:rPr>
                <w:b/>
                <w:sz w:val="22"/>
              </w:rPr>
              <w:t xml:space="preserve">Notes </w:t>
            </w:r>
          </w:p>
        </w:tc>
      </w:tr>
      <w:tr w:rsidR="00E964CF" w14:paraId="5F31BBE7" w14:textId="77777777">
        <w:trPr>
          <w:trHeight w:val="1398"/>
        </w:trPr>
        <w:tc>
          <w:tcPr>
            <w:tcW w:w="3253" w:type="dxa"/>
            <w:tcBorders>
              <w:top w:val="single" w:sz="4" w:space="0" w:color="000000"/>
              <w:left w:val="single" w:sz="4" w:space="0" w:color="000000"/>
              <w:bottom w:val="single" w:sz="4" w:space="0" w:color="000000"/>
              <w:right w:val="single" w:sz="4" w:space="0" w:color="000000"/>
            </w:tcBorders>
            <w:vAlign w:val="bottom"/>
          </w:tcPr>
          <w:p w14:paraId="7DD929B1" w14:textId="77777777" w:rsidR="00E964CF" w:rsidRDefault="0022157B">
            <w:pPr>
              <w:spacing w:after="0" w:line="259" w:lineRule="auto"/>
              <w:ind w:left="1" w:firstLine="0"/>
            </w:pPr>
            <w:r>
              <w:rPr>
                <w:sz w:val="22"/>
              </w:rPr>
              <w:t xml:space="preserve">Tsai 2020(16) </w:t>
            </w:r>
          </w:p>
        </w:tc>
        <w:tc>
          <w:tcPr>
            <w:tcW w:w="1680" w:type="dxa"/>
            <w:tcBorders>
              <w:top w:val="single" w:sz="4" w:space="0" w:color="000000"/>
              <w:left w:val="single" w:sz="4" w:space="0" w:color="000000"/>
              <w:bottom w:val="single" w:sz="4" w:space="0" w:color="000000"/>
              <w:right w:val="single" w:sz="4" w:space="0" w:color="000000"/>
            </w:tcBorders>
            <w:vAlign w:val="bottom"/>
          </w:tcPr>
          <w:p w14:paraId="0F21728D" w14:textId="77777777" w:rsidR="00E964CF" w:rsidRDefault="0022157B">
            <w:pPr>
              <w:spacing w:after="0" w:line="259" w:lineRule="auto"/>
              <w:ind w:left="3" w:firstLine="0"/>
            </w:pPr>
            <w:r>
              <w:rPr>
                <w:sz w:val="22"/>
              </w:rPr>
              <w:t xml:space="preserve">32 </w:t>
            </w:r>
          </w:p>
        </w:tc>
        <w:tc>
          <w:tcPr>
            <w:tcW w:w="936" w:type="dxa"/>
            <w:tcBorders>
              <w:top w:val="single" w:sz="4" w:space="0" w:color="000000"/>
              <w:left w:val="single" w:sz="4" w:space="0" w:color="000000"/>
              <w:bottom w:val="single" w:sz="4" w:space="0" w:color="000000"/>
              <w:right w:val="single" w:sz="4" w:space="0" w:color="000000"/>
            </w:tcBorders>
            <w:vAlign w:val="bottom"/>
          </w:tcPr>
          <w:p w14:paraId="113444FF" w14:textId="77777777" w:rsidR="00E964CF" w:rsidRDefault="0022157B">
            <w:pPr>
              <w:spacing w:after="0" w:line="259" w:lineRule="auto"/>
              <w:ind w:left="0" w:firstLine="0"/>
            </w:pPr>
            <w:r>
              <w:rPr>
                <w:sz w:val="22"/>
              </w:rPr>
              <w:t>4 (2-</w:t>
            </w:r>
          </w:p>
          <w:p w14:paraId="1D479FD7" w14:textId="77777777" w:rsidR="00E964CF" w:rsidRDefault="0022157B">
            <w:pPr>
              <w:spacing w:after="0" w:line="259" w:lineRule="auto"/>
              <w:ind w:left="0" w:firstLine="0"/>
            </w:pPr>
            <w:r>
              <w:rPr>
                <w:sz w:val="22"/>
              </w:rPr>
              <w:t xml:space="preserve">11) </w:t>
            </w:r>
          </w:p>
        </w:tc>
        <w:tc>
          <w:tcPr>
            <w:tcW w:w="2467" w:type="dxa"/>
            <w:tcBorders>
              <w:top w:val="single" w:sz="4" w:space="0" w:color="000000"/>
              <w:left w:val="single" w:sz="4" w:space="0" w:color="000000"/>
              <w:bottom w:val="single" w:sz="4" w:space="0" w:color="000000"/>
              <w:right w:val="single" w:sz="4" w:space="0" w:color="000000"/>
            </w:tcBorders>
            <w:vAlign w:val="bottom"/>
          </w:tcPr>
          <w:p w14:paraId="5FCBAD3B" w14:textId="77777777" w:rsidR="00E964CF" w:rsidRDefault="0022157B">
            <w:pPr>
              <w:spacing w:after="0" w:line="259" w:lineRule="auto"/>
              <w:ind w:left="2" w:firstLine="0"/>
            </w:pPr>
            <w:r>
              <w:rPr>
                <w:sz w:val="22"/>
              </w:rPr>
              <w:t xml:space="preserve">8.9 (6.2-NE) </w:t>
            </w:r>
          </w:p>
        </w:tc>
        <w:tc>
          <w:tcPr>
            <w:tcW w:w="1010" w:type="dxa"/>
            <w:tcBorders>
              <w:top w:val="single" w:sz="4" w:space="0" w:color="000000"/>
              <w:left w:val="single" w:sz="4" w:space="0" w:color="000000"/>
              <w:bottom w:val="single" w:sz="4" w:space="0" w:color="000000"/>
              <w:right w:val="single" w:sz="4" w:space="0" w:color="000000"/>
            </w:tcBorders>
            <w:vAlign w:val="bottom"/>
          </w:tcPr>
          <w:p w14:paraId="23C19E21" w14:textId="77777777" w:rsidR="00E964CF" w:rsidRDefault="0022157B">
            <w:pPr>
              <w:spacing w:after="0" w:line="259" w:lineRule="auto"/>
              <w:ind w:left="2" w:firstLine="0"/>
            </w:pPr>
            <w:r>
              <w:rPr>
                <w:sz w:val="22"/>
              </w:rPr>
              <w:t xml:space="preserve">NA </w:t>
            </w:r>
          </w:p>
        </w:tc>
        <w:tc>
          <w:tcPr>
            <w:tcW w:w="2561" w:type="dxa"/>
            <w:tcBorders>
              <w:top w:val="single" w:sz="4" w:space="0" w:color="000000"/>
              <w:left w:val="single" w:sz="4" w:space="0" w:color="000000"/>
              <w:bottom w:val="single" w:sz="4" w:space="0" w:color="000000"/>
              <w:right w:val="single" w:sz="4" w:space="0" w:color="000000"/>
            </w:tcBorders>
            <w:vAlign w:val="bottom"/>
          </w:tcPr>
          <w:p w14:paraId="55DC2ED4" w14:textId="77777777" w:rsidR="00E964CF" w:rsidRDefault="0022157B">
            <w:pPr>
              <w:spacing w:after="0" w:line="259" w:lineRule="auto"/>
              <w:ind w:left="2" w:firstLine="0"/>
            </w:pPr>
            <w:r>
              <w:rPr>
                <w:sz w:val="22"/>
              </w:rPr>
              <w:t xml:space="preserve">NA </w:t>
            </w:r>
          </w:p>
        </w:tc>
        <w:tc>
          <w:tcPr>
            <w:tcW w:w="2039" w:type="dxa"/>
            <w:tcBorders>
              <w:top w:val="single" w:sz="4" w:space="0" w:color="000000"/>
              <w:left w:val="single" w:sz="4" w:space="0" w:color="000000"/>
              <w:bottom w:val="single" w:sz="4" w:space="0" w:color="000000"/>
              <w:right w:val="single" w:sz="4" w:space="0" w:color="000000"/>
            </w:tcBorders>
            <w:vAlign w:val="bottom"/>
          </w:tcPr>
          <w:p w14:paraId="7AFD68DB" w14:textId="77777777" w:rsidR="00E964CF" w:rsidRDefault="0022157B">
            <w:pPr>
              <w:spacing w:after="0" w:line="259" w:lineRule="auto"/>
              <w:ind w:left="3" w:firstLine="0"/>
            </w:pPr>
            <w:r>
              <w:rPr>
                <w:sz w:val="22"/>
              </w:rPr>
              <w:t xml:space="preserve">12/32 patients </w:t>
            </w:r>
          </w:p>
          <w:p w14:paraId="66ACA4B3" w14:textId="77777777" w:rsidR="00E964CF" w:rsidRDefault="0022157B">
            <w:pPr>
              <w:spacing w:after="0" w:line="259" w:lineRule="auto"/>
              <w:ind w:left="3" w:firstLine="0"/>
            </w:pPr>
            <w:r>
              <w:rPr>
                <w:sz w:val="22"/>
              </w:rPr>
              <w:t xml:space="preserve">received other </w:t>
            </w:r>
          </w:p>
          <w:p w14:paraId="08374CB5" w14:textId="77777777" w:rsidR="00E964CF" w:rsidRDefault="0022157B">
            <w:pPr>
              <w:spacing w:after="0" w:line="259" w:lineRule="auto"/>
              <w:ind w:left="3" w:firstLine="0"/>
            </w:pPr>
            <w:r>
              <w:rPr>
                <w:sz w:val="22"/>
              </w:rPr>
              <w:t xml:space="preserve">POLA </w:t>
            </w:r>
          </w:p>
          <w:p w14:paraId="4C8681E3" w14:textId="77777777" w:rsidR="00E964CF" w:rsidRDefault="0022157B">
            <w:pPr>
              <w:spacing w:after="0" w:line="259" w:lineRule="auto"/>
              <w:ind w:left="3" w:firstLine="0"/>
            </w:pPr>
            <w:r>
              <w:rPr>
                <w:sz w:val="22"/>
              </w:rPr>
              <w:t xml:space="preserve">combination regimens </w:t>
            </w:r>
          </w:p>
        </w:tc>
      </w:tr>
    </w:tbl>
    <w:p w14:paraId="12026FFA" w14:textId="77777777" w:rsidR="00E964CF" w:rsidRDefault="0022157B">
      <w:pPr>
        <w:ind w:left="-5"/>
      </w:pPr>
      <w:r>
        <w:t xml:space="preserve">Note: “~” indicates digitised estimates from available Kaplan-Meier survival plots rather than reported figures. </w:t>
      </w:r>
    </w:p>
    <w:p w14:paraId="028E823F" w14:textId="77777777" w:rsidR="00E964CF" w:rsidRDefault="0022157B">
      <w:pPr>
        <w:spacing w:after="0" w:line="259" w:lineRule="auto"/>
        <w:ind w:left="0" w:firstLine="0"/>
      </w:pPr>
      <w:r>
        <w:t xml:space="preserve"> </w:t>
      </w:r>
    </w:p>
    <w:p w14:paraId="302755BF" w14:textId="77777777" w:rsidR="00E964CF" w:rsidRDefault="00E964CF">
      <w:pPr>
        <w:sectPr w:rsidR="00E964CF">
          <w:pgSz w:w="16838" w:h="11906" w:orient="landscape"/>
          <w:pgMar w:top="778" w:right="3852" w:bottom="1744" w:left="1440" w:header="720" w:footer="720" w:gutter="0"/>
          <w:cols w:space="720"/>
        </w:sectPr>
      </w:pPr>
    </w:p>
    <w:p w14:paraId="70115654" w14:textId="77777777" w:rsidR="00E964CF" w:rsidRDefault="0022157B">
      <w:pPr>
        <w:spacing w:after="0" w:line="259" w:lineRule="auto"/>
        <w:ind w:left="-6369" w:right="790"/>
        <w:jc w:val="right"/>
      </w:pPr>
      <w:r>
        <w:rPr>
          <w:noProof/>
        </w:rPr>
        <w:lastRenderedPageBreak/>
        <w:drawing>
          <wp:anchor distT="0" distB="0" distL="114300" distR="114300" simplePos="0" relativeHeight="251660288" behindDoc="0" locked="0" layoutInCell="1" allowOverlap="0" wp14:anchorId="4092AD3B" wp14:editId="560C861D">
            <wp:simplePos x="0" y="0"/>
            <wp:positionH relativeFrom="column">
              <wp:posOffset>-164934</wp:posOffset>
            </wp:positionH>
            <wp:positionV relativeFrom="paragraph">
              <wp:posOffset>-171535</wp:posOffset>
            </wp:positionV>
            <wp:extent cx="1485900" cy="1041400"/>
            <wp:effectExtent l="0" t="0" r="0" b="0"/>
            <wp:wrapSquare wrapText="bothSides"/>
            <wp:docPr id="1930" name="Picture 1930"/>
            <wp:cNvGraphicFramePr/>
            <a:graphic xmlns:a="http://schemas.openxmlformats.org/drawingml/2006/main">
              <a:graphicData uri="http://schemas.openxmlformats.org/drawingml/2006/picture">
                <pic:pic xmlns:pic="http://schemas.openxmlformats.org/drawingml/2006/picture">
                  <pic:nvPicPr>
                    <pic:cNvPr id="1930" name="Picture 1930"/>
                    <pic:cNvPicPr/>
                  </pic:nvPicPr>
                  <pic:blipFill>
                    <a:blip r:embed="rId5"/>
                    <a:stretch>
                      <a:fillRect/>
                    </a:stretch>
                  </pic:blipFill>
                  <pic:spPr>
                    <a:xfrm>
                      <a:off x="0" y="0"/>
                      <a:ext cx="1485900" cy="1041400"/>
                    </a:xfrm>
                    <a:prstGeom prst="rect">
                      <a:avLst/>
                    </a:prstGeom>
                  </pic:spPr>
                </pic:pic>
              </a:graphicData>
            </a:graphic>
          </wp:anchor>
        </w:drawing>
      </w:r>
      <w:r>
        <w:rPr>
          <w:color w:val="0000C2"/>
          <w:sz w:val="16"/>
        </w:rPr>
        <w:t xml:space="preserve">Incyte Biosciences UK Ltd </w:t>
      </w:r>
    </w:p>
    <w:p w14:paraId="6429D278" w14:textId="77777777" w:rsidR="00E964CF" w:rsidRDefault="0022157B">
      <w:pPr>
        <w:tabs>
          <w:tab w:val="center" w:pos="5813"/>
          <w:tab w:val="center" w:pos="6892"/>
        </w:tabs>
        <w:spacing w:after="2" w:line="259" w:lineRule="auto"/>
        <w:ind w:left="0" w:firstLine="0"/>
      </w:pPr>
      <w:r>
        <w:rPr>
          <w:rFonts w:ascii="Calibri" w:eastAsia="Calibri" w:hAnsi="Calibri" w:cs="Calibri"/>
          <w:sz w:val="22"/>
        </w:rPr>
        <w:tab/>
      </w:r>
      <w:r>
        <w:rPr>
          <w:color w:val="0000C2"/>
          <w:sz w:val="16"/>
        </w:rPr>
        <w:t xml:space="preserve"> </w:t>
      </w:r>
      <w:r>
        <w:rPr>
          <w:color w:val="0000C2"/>
          <w:sz w:val="16"/>
        </w:rPr>
        <w:tab/>
        <w:t xml:space="preserve">First Floor, Q1 </w:t>
      </w:r>
    </w:p>
    <w:p w14:paraId="337C2C79" w14:textId="77777777" w:rsidR="00E964CF" w:rsidRDefault="0022157B">
      <w:pPr>
        <w:spacing w:after="0" w:line="259" w:lineRule="auto"/>
        <w:ind w:left="-6369" w:right="679"/>
        <w:jc w:val="right"/>
      </w:pPr>
      <w:r>
        <w:rPr>
          <w:color w:val="0000C2"/>
          <w:sz w:val="16"/>
        </w:rPr>
        <w:t xml:space="preserve">The Square, </w:t>
      </w:r>
      <w:proofErr w:type="spellStart"/>
      <w:r>
        <w:rPr>
          <w:color w:val="0000C2"/>
          <w:sz w:val="16"/>
        </w:rPr>
        <w:t>Randalls</w:t>
      </w:r>
      <w:proofErr w:type="spellEnd"/>
      <w:r>
        <w:rPr>
          <w:color w:val="0000C2"/>
          <w:sz w:val="16"/>
        </w:rPr>
        <w:t xml:space="preserve"> Way, </w:t>
      </w:r>
    </w:p>
    <w:p w14:paraId="3DC2E07E" w14:textId="77777777" w:rsidR="00E964CF" w:rsidRDefault="0022157B">
      <w:pPr>
        <w:spacing w:after="0" w:line="259" w:lineRule="auto"/>
        <w:ind w:left="-6369" w:right="945"/>
        <w:jc w:val="right"/>
      </w:pPr>
      <w:r>
        <w:rPr>
          <w:color w:val="0000C2"/>
          <w:sz w:val="16"/>
        </w:rPr>
        <w:t xml:space="preserve">Leatherhead KT22 7TW </w:t>
      </w:r>
    </w:p>
    <w:p w14:paraId="782B2700" w14:textId="77777777" w:rsidR="00E964CF" w:rsidRDefault="0022157B">
      <w:pPr>
        <w:tabs>
          <w:tab w:val="center" w:pos="5924"/>
          <w:tab w:val="center" w:pos="6913"/>
        </w:tabs>
        <w:spacing w:after="2" w:line="259" w:lineRule="auto"/>
        <w:ind w:left="0" w:firstLine="0"/>
      </w:pPr>
      <w:r>
        <w:rPr>
          <w:rFonts w:ascii="Calibri" w:eastAsia="Calibri" w:hAnsi="Calibri" w:cs="Calibri"/>
          <w:sz w:val="22"/>
        </w:rPr>
        <w:tab/>
      </w:r>
      <w:r>
        <w:rPr>
          <w:color w:val="0000C2"/>
          <w:sz w:val="16"/>
        </w:rPr>
        <w:t xml:space="preserve">Tel </w:t>
      </w:r>
      <w:r>
        <w:rPr>
          <w:color w:val="0000C2"/>
          <w:sz w:val="16"/>
        </w:rPr>
        <w:tab/>
        <w:t xml:space="preserve">0800 783 3711 </w:t>
      </w:r>
    </w:p>
    <w:p w14:paraId="2A84140D" w14:textId="77777777" w:rsidR="00E964CF" w:rsidRDefault="0022157B">
      <w:pPr>
        <w:tabs>
          <w:tab w:val="center" w:pos="5979"/>
          <w:tab w:val="center" w:pos="6957"/>
        </w:tabs>
        <w:spacing w:after="0" w:line="259" w:lineRule="auto"/>
        <w:ind w:left="0" w:firstLine="0"/>
      </w:pPr>
      <w:r>
        <w:rPr>
          <w:rFonts w:ascii="Calibri" w:eastAsia="Calibri" w:hAnsi="Calibri" w:cs="Calibri"/>
          <w:sz w:val="22"/>
        </w:rPr>
        <w:tab/>
      </w:r>
      <w:r>
        <w:rPr>
          <w:color w:val="0000C2"/>
          <w:sz w:val="16"/>
        </w:rPr>
        <w:t xml:space="preserve">Web </w:t>
      </w:r>
      <w:r>
        <w:rPr>
          <w:color w:val="0000C2"/>
          <w:sz w:val="16"/>
        </w:rPr>
        <w:tab/>
      </w:r>
      <w:r>
        <w:rPr>
          <w:color w:val="0000CA"/>
          <w:sz w:val="16"/>
          <w:u w:val="single" w:color="0000CA"/>
        </w:rPr>
        <w:t>www.incyte.com</w:t>
      </w:r>
      <w:r>
        <w:rPr>
          <w:color w:val="0000CA"/>
          <w:sz w:val="16"/>
        </w:rPr>
        <w:t xml:space="preserve"> </w:t>
      </w:r>
    </w:p>
    <w:p w14:paraId="280203AD" w14:textId="77777777" w:rsidR="00E964CF" w:rsidRDefault="0022157B">
      <w:pPr>
        <w:spacing w:after="0" w:line="259" w:lineRule="auto"/>
        <w:ind w:left="2640" w:firstLine="0"/>
        <w:jc w:val="center"/>
      </w:pPr>
      <w:r>
        <w:rPr>
          <w:color w:val="0000CA"/>
          <w:sz w:val="16"/>
        </w:rPr>
        <w:t xml:space="preserve"> </w:t>
      </w:r>
    </w:p>
    <w:p w14:paraId="7053CC3A" w14:textId="77777777" w:rsidR="00E964CF" w:rsidRDefault="0022157B">
      <w:pPr>
        <w:spacing w:after="64" w:line="259" w:lineRule="auto"/>
      </w:pPr>
      <w:r>
        <w:rPr>
          <w:color w:val="0000CA"/>
          <w:sz w:val="16"/>
          <w:u w:val="single" w:color="0000CA"/>
        </w:rPr>
        <w:t>Company Registration No. 08247692</w:t>
      </w:r>
      <w:r>
        <w:rPr>
          <w:color w:val="0000CA"/>
          <w:sz w:val="16"/>
        </w:rPr>
        <w:t xml:space="preserve"> </w:t>
      </w:r>
    </w:p>
    <w:p w14:paraId="59CEB8BE" w14:textId="77777777" w:rsidR="00E964CF" w:rsidRDefault="0022157B">
      <w:pPr>
        <w:spacing w:after="0" w:line="259" w:lineRule="auto"/>
        <w:ind w:left="0" w:firstLine="0"/>
      </w:pPr>
      <w:r>
        <w:rPr>
          <w:rFonts w:ascii="Calibri" w:eastAsia="Calibri" w:hAnsi="Calibri" w:cs="Calibri"/>
        </w:rPr>
        <w:t xml:space="preserve"> </w:t>
      </w:r>
    </w:p>
    <w:tbl>
      <w:tblPr>
        <w:tblStyle w:val="TableGrid"/>
        <w:tblW w:w="9012" w:type="dxa"/>
        <w:tblInd w:w="6" w:type="dxa"/>
        <w:tblCellMar>
          <w:top w:w="47" w:type="dxa"/>
          <w:left w:w="101" w:type="dxa"/>
          <w:bottom w:w="6" w:type="dxa"/>
          <w:right w:w="55" w:type="dxa"/>
        </w:tblCellMar>
        <w:tblLook w:val="04A0" w:firstRow="1" w:lastRow="0" w:firstColumn="1" w:lastColumn="0" w:noHBand="0" w:noVBand="1"/>
      </w:tblPr>
      <w:tblGrid>
        <w:gridCol w:w="1967"/>
        <w:gridCol w:w="1951"/>
        <w:gridCol w:w="5094"/>
      </w:tblGrid>
      <w:tr w:rsidR="00E964CF" w14:paraId="049FF0AB" w14:textId="77777777">
        <w:trPr>
          <w:trHeight w:val="424"/>
        </w:trPr>
        <w:tc>
          <w:tcPr>
            <w:tcW w:w="9012" w:type="dxa"/>
            <w:gridSpan w:val="3"/>
            <w:tcBorders>
              <w:top w:val="single" w:sz="4" w:space="0" w:color="000000"/>
              <w:left w:val="single" w:sz="4" w:space="0" w:color="000000"/>
              <w:bottom w:val="single" w:sz="4" w:space="0" w:color="000000"/>
              <w:right w:val="single" w:sz="4" w:space="0" w:color="000000"/>
            </w:tcBorders>
            <w:shd w:val="clear" w:color="auto" w:fill="002F6D"/>
            <w:vAlign w:val="center"/>
          </w:tcPr>
          <w:p w14:paraId="6A922B9C" w14:textId="77777777" w:rsidR="00E964CF" w:rsidRDefault="0022157B">
            <w:pPr>
              <w:spacing w:after="0" w:line="259" w:lineRule="auto"/>
              <w:ind w:left="6" w:firstLine="0"/>
            </w:pPr>
            <w:r>
              <w:rPr>
                <w:b/>
                <w:color w:val="FFFFFF"/>
                <w:sz w:val="20"/>
              </w:rPr>
              <w:t xml:space="preserve">Clinical experts and patient group feedback and estimates </w:t>
            </w:r>
          </w:p>
        </w:tc>
      </w:tr>
      <w:tr w:rsidR="00E964CF" w14:paraId="715C8CBD" w14:textId="77777777">
        <w:trPr>
          <w:trHeight w:val="359"/>
        </w:trPr>
        <w:tc>
          <w:tcPr>
            <w:tcW w:w="1967" w:type="dxa"/>
            <w:tcBorders>
              <w:top w:val="single" w:sz="4" w:space="0" w:color="000000"/>
              <w:left w:val="single" w:sz="4" w:space="0" w:color="000000"/>
              <w:bottom w:val="single" w:sz="4" w:space="0" w:color="000000"/>
              <w:right w:val="single" w:sz="4" w:space="0" w:color="000000"/>
            </w:tcBorders>
            <w:shd w:val="clear" w:color="auto" w:fill="AED1FF"/>
            <w:vAlign w:val="bottom"/>
          </w:tcPr>
          <w:p w14:paraId="06E0804E" w14:textId="77777777" w:rsidR="00E964CF" w:rsidRDefault="0022157B">
            <w:pPr>
              <w:spacing w:after="0" w:line="259" w:lineRule="auto"/>
              <w:ind w:left="6" w:firstLine="0"/>
            </w:pPr>
            <w:r>
              <w:rPr>
                <w:b/>
                <w:sz w:val="20"/>
              </w:rPr>
              <w:t xml:space="preserve">Respondent </w:t>
            </w:r>
          </w:p>
        </w:tc>
        <w:tc>
          <w:tcPr>
            <w:tcW w:w="1951" w:type="dxa"/>
            <w:tcBorders>
              <w:top w:val="single" w:sz="4" w:space="0" w:color="000000"/>
              <w:left w:val="single" w:sz="4" w:space="0" w:color="000000"/>
              <w:bottom w:val="single" w:sz="4" w:space="0" w:color="000000"/>
              <w:right w:val="single" w:sz="8" w:space="0" w:color="000000"/>
            </w:tcBorders>
            <w:shd w:val="clear" w:color="auto" w:fill="AED1FF"/>
            <w:vAlign w:val="bottom"/>
          </w:tcPr>
          <w:p w14:paraId="6DA6DBF1" w14:textId="77777777" w:rsidR="00E964CF" w:rsidRDefault="0022157B">
            <w:pPr>
              <w:spacing w:after="0" w:line="259" w:lineRule="auto"/>
              <w:ind w:left="7" w:firstLine="0"/>
            </w:pPr>
            <w:r>
              <w:rPr>
                <w:b/>
                <w:sz w:val="20"/>
              </w:rPr>
              <w:t xml:space="preserve">Source </w:t>
            </w:r>
          </w:p>
        </w:tc>
        <w:tc>
          <w:tcPr>
            <w:tcW w:w="5094" w:type="dxa"/>
            <w:tcBorders>
              <w:top w:val="single" w:sz="4" w:space="0" w:color="000000"/>
              <w:left w:val="single" w:sz="8" w:space="0" w:color="000000"/>
              <w:bottom w:val="single" w:sz="4" w:space="0" w:color="000000"/>
              <w:right w:val="single" w:sz="4" w:space="0" w:color="000000"/>
            </w:tcBorders>
            <w:shd w:val="clear" w:color="auto" w:fill="AED1FF"/>
            <w:vAlign w:val="bottom"/>
          </w:tcPr>
          <w:p w14:paraId="3550A1D1" w14:textId="77777777" w:rsidR="00E964CF" w:rsidRDefault="0022157B">
            <w:pPr>
              <w:spacing w:after="0" w:line="259" w:lineRule="auto"/>
              <w:ind w:firstLine="0"/>
            </w:pPr>
            <w:r>
              <w:rPr>
                <w:b/>
                <w:sz w:val="20"/>
              </w:rPr>
              <w:t xml:space="preserve">Comments on life expectancy </w:t>
            </w:r>
          </w:p>
        </w:tc>
      </w:tr>
      <w:tr w:rsidR="00E964CF" w14:paraId="0FE66374" w14:textId="77777777">
        <w:trPr>
          <w:trHeight w:val="1050"/>
        </w:trPr>
        <w:tc>
          <w:tcPr>
            <w:tcW w:w="1967" w:type="dxa"/>
            <w:tcBorders>
              <w:top w:val="single" w:sz="4" w:space="0" w:color="000000"/>
              <w:left w:val="single" w:sz="4" w:space="0" w:color="000000"/>
              <w:bottom w:val="single" w:sz="4" w:space="0" w:color="000000"/>
              <w:right w:val="single" w:sz="4" w:space="0" w:color="000000"/>
            </w:tcBorders>
            <w:vAlign w:val="bottom"/>
          </w:tcPr>
          <w:p w14:paraId="0690293F" w14:textId="77777777" w:rsidR="00E964CF" w:rsidRDefault="0022157B">
            <w:pPr>
              <w:spacing w:after="0" w:line="259" w:lineRule="auto"/>
              <w:ind w:left="6" w:right="41" w:firstLine="0"/>
            </w:pPr>
            <w:r>
              <w:rPr>
                <w:sz w:val="20"/>
              </w:rPr>
              <w:t xml:space="preserve">Patient organisation submission from Lymphoma Action </w:t>
            </w:r>
          </w:p>
        </w:tc>
        <w:tc>
          <w:tcPr>
            <w:tcW w:w="1951" w:type="dxa"/>
            <w:tcBorders>
              <w:top w:val="single" w:sz="4" w:space="0" w:color="000000"/>
              <w:left w:val="single" w:sz="4" w:space="0" w:color="000000"/>
              <w:bottom w:val="single" w:sz="4" w:space="0" w:color="000000"/>
              <w:right w:val="single" w:sz="8" w:space="0" w:color="000000"/>
            </w:tcBorders>
            <w:vAlign w:val="bottom"/>
          </w:tcPr>
          <w:p w14:paraId="638B0FA8" w14:textId="77777777" w:rsidR="00E964CF" w:rsidRDefault="0022157B">
            <w:pPr>
              <w:spacing w:after="0" w:line="259" w:lineRule="auto"/>
              <w:ind w:left="7" w:firstLine="0"/>
            </w:pPr>
            <w:r>
              <w:rPr>
                <w:sz w:val="20"/>
              </w:rPr>
              <w:t xml:space="preserve">Patient and caregiver survey data  </w:t>
            </w:r>
          </w:p>
        </w:tc>
        <w:tc>
          <w:tcPr>
            <w:tcW w:w="5094" w:type="dxa"/>
            <w:tcBorders>
              <w:top w:val="single" w:sz="4" w:space="0" w:color="000000"/>
              <w:left w:val="single" w:sz="8" w:space="0" w:color="000000"/>
              <w:bottom w:val="single" w:sz="4" w:space="0" w:color="000000"/>
              <w:right w:val="single" w:sz="4" w:space="0" w:color="000000"/>
            </w:tcBorders>
            <w:vAlign w:val="bottom"/>
          </w:tcPr>
          <w:p w14:paraId="68E47B97" w14:textId="77777777" w:rsidR="00E964CF" w:rsidRDefault="0022157B">
            <w:pPr>
              <w:spacing w:after="0" w:line="259" w:lineRule="auto"/>
              <w:ind w:firstLine="0"/>
            </w:pPr>
            <w:r>
              <w:rPr>
                <w:i/>
                <w:sz w:val="20"/>
              </w:rPr>
              <w:t xml:space="preserve">“The prognosis for patients with relapsed or refractory </w:t>
            </w:r>
          </w:p>
          <w:p w14:paraId="20664EB6" w14:textId="77777777" w:rsidR="00E964CF" w:rsidRDefault="0022157B">
            <w:pPr>
              <w:spacing w:after="0" w:line="259" w:lineRule="auto"/>
              <w:ind w:firstLine="0"/>
            </w:pPr>
            <w:r>
              <w:rPr>
                <w:i/>
                <w:sz w:val="20"/>
              </w:rPr>
              <w:t xml:space="preserve">DLBCL is poor, with median survival of around a year.” </w:t>
            </w:r>
          </w:p>
        </w:tc>
      </w:tr>
      <w:tr w:rsidR="00E964CF" w14:paraId="3C6F3705" w14:textId="77777777">
        <w:trPr>
          <w:trHeight w:val="3130"/>
        </w:trPr>
        <w:tc>
          <w:tcPr>
            <w:tcW w:w="1967" w:type="dxa"/>
            <w:tcBorders>
              <w:top w:val="single" w:sz="4" w:space="0" w:color="000000"/>
              <w:left w:val="single" w:sz="4" w:space="0" w:color="000000"/>
              <w:bottom w:val="single" w:sz="4" w:space="0" w:color="000000"/>
              <w:right w:val="single" w:sz="4" w:space="0" w:color="000000"/>
            </w:tcBorders>
            <w:vAlign w:val="bottom"/>
          </w:tcPr>
          <w:p w14:paraId="1482099F" w14:textId="77777777" w:rsidR="00E964CF" w:rsidRDefault="0022157B">
            <w:pPr>
              <w:spacing w:after="0" w:line="259" w:lineRule="auto"/>
              <w:ind w:left="6" w:firstLine="0"/>
            </w:pPr>
            <w:r>
              <w:rPr>
                <w:sz w:val="20"/>
              </w:rPr>
              <w:t xml:space="preserve">Clinical Expert response to technical engagement (Committee Papers for ACM1) </w:t>
            </w:r>
          </w:p>
        </w:tc>
        <w:tc>
          <w:tcPr>
            <w:tcW w:w="1951" w:type="dxa"/>
            <w:tcBorders>
              <w:top w:val="single" w:sz="4" w:space="0" w:color="000000"/>
              <w:left w:val="single" w:sz="4" w:space="0" w:color="000000"/>
              <w:bottom w:val="single" w:sz="4" w:space="0" w:color="000000"/>
              <w:right w:val="single" w:sz="8" w:space="0" w:color="000000"/>
            </w:tcBorders>
            <w:vAlign w:val="bottom"/>
          </w:tcPr>
          <w:p w14:paraId="5BB7E03E" w14:textId="77777777" w:rsidR="00E964CF" w:rsidRDefault="0022157B">
            <w:pPr>
              <w:spacing w:after="0" w:line="259" w:lineRule="auto"/>
              <w:ind w:left="7" w:firstLine="0"/>
            </w:pPr>
            <w:r>
              <w:rPr>
                <w:sz w:val="20"/>
              </w:rPr>
              <w:t xml:space="preserve">Clinical expert opinion and interpretation of the literature  </w:t>
            </w:r>
          </w:p>
        </w:tc>
        <w:tc>
          <w:tcPr>
            <w:tcW w:w="5094" w:type="dxa"/>
            <w:tcBorders>
              <w:top w:val="single" w:sz="4" w:space="0" w:color="000000"/>
              <w:left w:val="single" w:sz="8" w:space="0" w:color="000000"/>
              <w:bottom w:val="single" w:sz="4" w:space="0" w:color="000000"/>
              <w:right w:val="single" w:sz="4" w:space="0" w:color="000000"/>
            </w:tcBorders>
            <w:vAlign w:val="bottom"/>
          </w:tcPr>
          <w:p w14:paraId="38228F4E" w14:textId="77777777" w:rsidR="00E964CF" w:rsidRDefault="0022157B">
            <w:pPr>
              <w:spacing w:after="118" w:line="241" w:lineRule="auto"/>
              <w:ind w:firstLine="0"/>
            </w:pPr>
            <w:r>
              <w:rPr>
                <w:i/>
                <w:sz w:val="20"/>
              </w:rPr>
              <w:t>“The efficacy of therapies for people with relapsed or refractory DLBCL are disappointing, even for those treated w</w:t>
            </w:r>
            <w:r>
              <w:rPr>
                <w:i/>
                <w:sz w:val="20"/>
              </w:rPr>
              <w:t>ith intensive therapies and with curative intent</w:t>
            </w:r>
            <w:proofErr w:type="gramStart"/>
            <w:r>
              <w:rPr>
                <w:i/>
                <w:sz w:val="20"/>
              </w:rPr>
              <w:t>.”…</w:t>
            </w:r>
            <w:proofErr w:type="gramEnd"/>
            <w:r>
              <w:rPr>
                <w:i/>
                <w:sz w:val="20"/>
              </w:rPr>
              <w:t xml:space="preserve"> </w:t>
            </w:r>
          </w:p>
          <w:p w14:paraId="20E06294" w14:textId="77777777" w:rsidR="00E964CF" w:rsidRDefault="0022157B">
            <w:pPr>
              <w:spacing w:after="119" w:line="241" w:lineRule="auto"/>
              <w:ind w:firstLine="0"/>
            </w:pPr>
            <w:r>
              <w:rPr>
                <w:i/>
                <w:sz w:val="20"/>
              </w:rPr>
              <w:t>“Longer follow-up of the POLA+BR data would indicate that the Company [model] estimates are more appropriate [i.e. mean 2.20 LYG in the company base case vs. mean 3.36 LYG in the ERG base case]</w:t>
            </w:r>
            <w:proofErr w:type="gramStart"/>
            <w:r>
              <w:rPr>
                <w:i/>
                <w:sz w:val="20"/>
              </w:rPr>
              <w:t>.”…</w:t>
            </w:r>
            <w:proofErr w:type="gramEnd"/>
            <w:r>
              <w:rPr>
                <w:i/>
                <w:sz w:val="20"/>
              </w:rPr>
              <w:t xml:space="preserve"> </w:t>
            </w:r>
          </w:p>
          <w:p w14:paraId="5B3286EE" w14:textId="77777777" w:rsidR="00E964CF" w:rsidRDefault="0022157B">
            <w:pPr>
              <w:spacing w:after="0" w:line="259" w:lineRule="auto"/>
              <w:ind w:firstLine="0"/>
            </w:pPr>
            <w:r>
              <w:rPr>
                <w:i/>
                <w:sz w:val="20"/>
              </w:rPr>
              <w:t xml:space="preserve">“Yes, they [the end-of-life criteria] are met as the standard of care is palliative. This therapy is for transplant ineligible patients and that situation will not change.”  </w:t>
            </w:r>
          </w:p>
        </w:tc>
      </w:tr>
      <w:tr w:rsidR="00E964CF" w14:paraId="7F525600" w14:textId="77777777">
        <w:trPr>
          <w:trHeight w:val="2311"/>
        </w:trPr>
        <w:tc>
          <w:tcPr>
            <w:tcW w:w="1967" w:type="dxa"/>
            <w:tcBorders>
              <w:top w:val="single" w:sz="4" w:space="0" w:color="000000"/>
              <w:left w:val="single" w:sz="4" w:space="0" w:color="000000"/>
              <w:bottom w:val="single" w:sz="4" w:space="0" w:color="000000"/>
              <w:right w:val="single" w:sz="4" w:space="0" w:color="000000"/>
            </w:tcBorders>
            <w:vAlign w:val="bottom"/>
          </w:tcPr>
          <w:p w14:paraId="119E9D80" w14:textId="77777777" w:rsidR="00E964CF" w:rsidRDefault="0022157B">
            <w:pPr>
              <w:spacing w:after="2" w:line="239" w:lineRule="auto"/>
              <w:ind w:left="6" w:firstLine="0"/>
              <w:jc w:val="both"/>
            </w:pPr>
            <w:r>
              <w:rPr>
                <w:sz w:val="20"/>
              </w:rPr>
              <w:t xml:space="preserve">Clinician estimates from ACM1 (ACM1 </w:t>
            </w:r>
          </w:p>
          <w:p w14:paraId="0D0CF372" w14:textId="77777777" w:rsidR="00E964CF" w:rsidRDefault="0022157B">
            <w:pPr>
              <w:spacing w:after="0" w:line="259" w:lineRule="auto"/>
              <w:ind w:left="6" w:firstLine="0"/>
            </w:pPr>
            <w:r>
              <w:rPr>
                <w:sz w:val="20"/>
              </w:rPr>
              <w:t xml:space="preserve">minutes) </w:t>
            </w:r>
          </w:p>
        </w:tc>
        <w:tc>
          <w:tcPr>
            <w:tcW w:w="1951" w:type="dxa"/>
            <w:tcBorders>
              <w:top w:val="single" w:sz="4" w:space="0" w:color="000000"/>
              <w:left w:val="single" w:sz="4" w:space="0" w:color="000000"/>
              <w:bottom w:val="single" w:sz="4" w:space="0" w:color="000000"/>
              <w:right w:val="single" w:sz="8" w:space="0" w:color="000000"/>
            </w:tcBorders>
            <w:vAlign w:val="bottom"/>
          </w:tcPr>
          <w:p w14:paraId="44E41BE1" w14:textId="77777777" w:rsidR="00E964CF" w:rsidRDefault="0022157B">
            <w:pPr>
              <w:spacing w:after="0" w:line="259" w:lineRule="auto"/>
              <w:ind w:left="7" w:firstLine="0"/>
            </w:pPr>
            <w:r>
              <w:rPr>
                <w:sz w:val="20"/>
              </w:rPr>
              <w:t xml:space="preserve">Clinical expert opinion </w:t>
            </w:r>
          </w:p>
        </w:tc>
        <w:tc>
          <w:tcPr>
            <w:tcW w:w="5094" w:type="dxa"/>
            <w:tcBorders>
              <w:top w:val="single" w:sz="4" w:space="0" w:color="000000"/>
              <w:left w:val="single" w:sz="8" w:space="0" w:color="000000"/>
              <w:bottom w:val="single" w:sz="4" w:space="0" w:color="000000"/>
              <w:right w:val="single" w:sz="4" w:space="0" w:color="000000"/>
            </w:tcBorders>
          </w:tcPr>
          <w:p w14:paraId="7E0E5ACE" w14:textId="77777777" w:rsidR="00E964CF" w:rsidRDefault="0022157B">
            <w:pPr>
              <w:spacing w:after="0" w:line="241" w:lineRule="auto"/>
              <w:ind w:firstLine="0"/>
            </w:pPr>
            <w:r>
              <w:rPr>
                <w:sz w:val="20"/>
              </w:rPr>
              <w:t xml:space="preserve">Clinician 1 stated that expectations for survival among non-transplant eligible R/R DLBCL patients is less than </w:t>
            </w:r>
          </w:p>
          <w:p w14:paraId="07BE8966" w14:textId="77777777" w:rsidR="00E964CF" w:rsidRDefault="0022157B">
            <w:pPr>
              <w:spacing w:after="0" w:line="241" w:lineRule="auto"/>
              <w:ind w:firstLine="0"/>
            </w:pPr>
            <w:r>
              <w:rPr>
                <w:sz w:val="20"/>
              </w:rPr>
              <w:t>24 months, which is supported by the available literature. While a stepwise improvement for POLA+BR was shown over previous treatments, surviva</w:t>
            </w:r>
            <w:r>
              <w:rPr>
                <w:sz w:val="20"/>
              </w:rPr>
              <w:t xml:space="preserve">l is still expected to be less than 24 months. </w:t>
            </w:r>
          </w:p>
          <w:p w14:paraId="33A9CB92" w14:textId="77777777" w:rsidR="00E964CF" w:rsidRDefault="0022157B">
            <w:pPr>
              <w:spacing w:after="0" w:line="259" w:lineRule="auto"/>
              <w:ind w:firstLine="0"/>
            </w:pPr>
            <w:r>
              <w:rPr>
                <w:sz w:val="20"/>
              </w:rPr>
              <w:t xml:space="preserve"> </w:t>
            </w:r>
          </w:p>
          <w:p w14:paraId="13F37EC0" w14:textId="77777777" w:rsidR="00E964CF" w:rsidRDefault="0022157B">
            <w:pPr>
              <w:spacing w:after="0" w:line="259" w:lineRule="auto"/>
              <w:ind w:right="54" w:firstLine="0"/>
            </w:pPr>
            <w:r>
              <w:rPr>
                <w:sz w:val="20"/>
              </w:rPr>
              <w:t xml:space="preserve">Clinician 2 agreed with clinician 1 and noted that while they would like to be more optimistic, the expectation is that survival would be less than 24 months. </w:t>
            </w:r>
          </w:p>
        </w:tc>
      </w:tr>
      <w:tr w:rsidR="00E964CF" w14:paraId="4BC1DAC0" w14:textId="77777777">
        <w:trPr>
          <w:trHeight w:val="3710"/>
        </w:trPr>
        <w:tc>
          <w:tcPr>
            <w:tcW w:w="1967" w:type="dxa"/>
            <w:tcBorders>
              <w:top w:val="single" w:sz="4" w:space="0" w:color="000000"/>
              <w:left w:val="single" w:sz="4" w:space="0" w:color="000000"/>
              <w:bottom w:val="single" w:sz="4" w:space="0" w:color="000000"/>
              <w:right w:val="single" w:sz="4" w:space="0" w:color="000000"/>
            </w:tcBorders>
            <w:vAlign w:val="bottom"/>
          </w:tcPr>
          <w:p w14:paraId="14BA3E6E" w14:textId="77777777" w:rsidR="00E964CF" w:rsidRDefault="0022157B">
            <w:pPr>
              <w:spacing w:after="0" w:line="259" w:lineRule="auto"/>
              <w:ind w:left="6" w:firstLine="0"/>
            </w:pPr>
            <w:r>
              <w:rPr>
                <w:sz w:val="20"/>
              </w:rPr>
              <w:t>Clinical Expert response to ACD (Committee pa</w:t>
            </w:r>
            <w:r>
              <w:rPr>
                <w:sz w:val="20"/>
              </w:rPr>
              <w:t xml:space="preserve">pers for ACM2) </w:t>
            </w:r>
          </w:p>
        </w:tc>
        <w:tc>
          <w:tcPr>
            <w:tcW w:w="1951" w:type="dxa"/>
            <w:tcBorders>
              <w:top w:val="single" w:sz="4" w:space="0" w:color="000000"/>
              <w:left w:val="single" w:sz="4" w:space="0" w:color="000000"/>
              <w:bottom w:val="single" w:sz="4" w:space="0" w:color="000000"/>
              <w:right w:val="single" w:sz="8" w:space="0" w:color="000000"/>
            </w:tcBorders>
            <w:vAlign w:val="bottom"/>
          </w:tcPr>
          <w:p w14:paraId="47F9C253" w14:textId="77777777" w:rsidR="00E964CF" w:rsidRDefault="0022157B">
            <w:pPr>
              <w:spacing w:after="1" w:line="240" w:lineRule="auto"/>
              <w:ind w:left="7" w:firstLine="0"/>
            </w:pPr>
            <w:r>
              <w:rPr>
                <w:sz w:val="20"/>
              </w:rPr>
              <w:t xml:space="preserve">Clinical expert opinion and interpretation of the </w:t>
            </w:r>
          </w:p>
          <w:p w14:paraId="53A0C51D" w14:textId="77777777" w:rsidR="00E964CF" w:rsidRDefault="0022157B">
            <w:pPr>
              <w:spacing w:after="0" w:line="259" w:lineRule="auto"/>
              <w:ind w:left="7" w:firstLine="0"/>
            </w:pPr>
            <w:r>
              <w:rPr>
                <w:sz w:val="20"/>
              </w:rPr>
              <w:t xml:space="preserve">literature </w:t>
            </w:r>
          </w:p>
        </w:tc>
        <w:tc>
          <w:tcPr>
            <w:tcW w:w="5094" w:type="dxa"/>
            <w:tcBorders>
              <w:top w:val="single" w:sz="4" w:space="0" w:color="000000"/>
              <w:left w:val="single" w:sz="8" w:space="0" w:color="000000"/>
              <w:bottom w:val="single" w:sz="4" w:space="0" w:color="000000"/>
              <w:right w:val="single" w:sz="4" w:space="0" w:color="000000"/>
            </w:tcBorders>
            <w:vAlign w:val="bottom"/>
          </w:tcPr>
          <w:p w14:paraId="59B6D701" w14:textId="77777777" w:rsidR="00E964CF" w:rsidRDefault="0022157B">
            <w:pPr>
              <w:spacing w:after="122" w:line="239" w:lineRule="auto"/>
              <w:ind w:left="0" w:right="46" w:firstLine="0"/>
              <w:jc w:val="both"/>
            </w:pPr>
            <w:r>
              <w:rPr>
                <w:sz w:val="20"/>
              </w:rPr>
              <w:t>“</w:t>
            </w:r>
            <w:r>
              <w:rPr>
                <w:i/>
                <w:sz w:val="20"/>
              </w:rPr>
              <w:t xml:space="preserve">Average OS of &gt;24 months is not something we see in clinical practice with Pola BR in R/R DLBCL setting.” </w:t>
            </w:r>
          </w:p>
          <w:p w14:paraId="566329AA" w14:textId="77777777" w:rsidR="00E964CF" w:rsidRDefault="0022157B">
            <w:pPr>
              <w:spacing w:after="120" w:line="241" w:lineRule="auto"/>
              <w:ind w:left="0" w:firstLine="0"/>
            </w:pPr>
            <w:r>
              <w:rPr>
                <w:i/>
                <w:sz w:val="20"/>
              </w:rPr>
              <w:t xml:space="preserve">“Neither the trial data nor subsequent data from extended cohort analysis or UK RWE would suggest average OS of 24 months with this regimen.”   </w:t>
            </w:r>
          </w:p>
          <w:p w14:paraId="3542329B" w14:textId="77777777" w:rsidR="00E964CF" w:rsidRDefault="0022157B">
            <w:pPr>
              <w:spacing w:after="120" w:line="241" w:lineRule="auto"/>
              <w:ind w:left="0" w:right="31" w:firstLine="0"/>
            </w:pPr>
            <w:r>
              <w:rPr>
                <w:i/>
                <w:sz w:val="20"/>
              </w:rPr>
              <w:t>“Whe</w:t>
            </w:r>
            <w:r>
              <w:rPr>
                <w:i/>
                <w:sz w:val="20"/>
              </w:rPr>
              <w:t xml:space="preserve">n I speak with patients about </w:t>
            </w:r>
            <w:proofErr w:type="spellStart"/>
            <w:r>
              <w:rPr>
                <w:i/>
                <w:sz w:val="20"/>
              </w:rPr>
              <w:t>Pola+BR</w:t>
            </w:r>
            <w:proofErr w:type="spellEnd"/>
            <w:r>
              <w:rPr>
                <w:i/>
                <w:sz w:val="20"/>
              </w:rPr>
              <w:t xml:space="preserve"> I would typically say: 'this regimen is not curative and at best may give you 6 months remission. When the lymphoma comes back your life expectancy is measured in months not years'.” </w:t>
            </w:r>
          </w:p>
          <w:p w14:paraId="479C219A" w14:textId="77777777" w:rsidR="00E964CF" w:rsidRDefault="0022157B">
            <w:pPr>
              <w:spacing w:after="0" w:line="259" w:lineRule="auto"/>
              <w:ind w:left="0" w:firstLine="0"/>
            </w:pPr>
            <w:r>
              <w:rPr>
                <w:i/>
                <w:sz w:val="20"/>
              </w:rPr>
              <w:t>“In my clinical practice I would d</w:t>
            </w:r>
            <w:r>
              <w:rPr>
                <w:i/>
                <w:sz w:val="20"/>
              </w:rPr>
              <w:t xml:space="preserve">iscuss with patients who have RR DLBCL (and not eligible for auto) that unfortunately their survival is most likely months and unlikely to be more than a year.” </w:t>
            </w:r>
          </w:p>
        </w:tc>
      </w:tr>
    </w:tbl>
    <w:p w14:paraId="66F1CE5D" w14:textId="77777777" w:rsidR="00E964CF" w:rsidRDefault="0022157B">
      <w:pPr>
        <w:spacing w:after="51"/>
        <w:ind w:left="-5"/>
      </w:pPr>
      <w:r>
        <w:t xml:space="preserve">At the time of the second Appraisal Committee meeting, the Committee had been provided with data obtained from 7 published scientific papers reporting on actual </w:t>
      </w:r>
      <w:r>
        <w:lastRenderedPageBreak/>
        <w:t xml:space="preserve">outcomes in a total of 450 patients receiving </w:t>
      </w:r>
      <w:proofErr w:type="spellStart"/>
      <w:r>
        <w:t>polatuzumab</w:t>
      </w:r>
      <w:proofErr w:type="spellEnd"/>
      <w:r>
        <w:t xml:space="preserve"> (listed in Table 1), indicating that </w:t>
      </w:r>
      <w:r>
        <w:t xml:space="preserve">median survival in patients with R/R DLBCL not eligible for stem cell transplant who receive treatment with </w:t>
      </w:r>
      <w:proofErr w:type="spellStart"/>
      <w:r>
        <w:t>polatuzumab</w:t>
      </w:r>
      <w:proofErr w:type="spellEnd"/>
      <w:r>
        <w:t xml:space="preserve"> </w:t>
      </w:r>
      <w:proofErr w:type="spellStart"/>
      <w:r>
        <w:t>vedotin</w:t>
      </w:r>
      <w:proofErr w:type="spellEnd"/>
      <w:r>
        <w:t xml:space="preserve"> with rituximab and </w:t>
      </w:r>
      <w:proofErr w:type="spellStart"/>
      <w:r>
        <w:t>bendamustine</w:t>
      </w:r>
      <w:proofErr w:type="spellEnd"/>
      <w:r>
        <w:t xml:space="preserve"> is between 5.3 and 12.5 months.  Mean data on overall survival are not reported. One year after </w:t>
      </w:r>
      <w:r>
        <w:t xml:space="preserve">commencement of treatment with </w:t>
      </w:r>
      <w:proofErr w:type="spellStart"/>
      <w:r>
        <w:t>polatuzumab</w:t>
      </w:r>
      <w:proofErr w:type="spellEnd"/>
      <w:r>
        <w:t xml:space="preserve"> </w:t>
      </w:r>
      <w:proofErr w:type="spellStart"/>
      <w:r>
        <w:t>vedotin</w:t>
      </w:r>
      <w:proofErr w:type="spellEnd"/>
      <w:r>
        <w:t xml:space="preserve"> with rituximab and </w:t>
      </w:r>
      <w:proofErr w:type="spellStart"/>
      <w:r>
        <w:t>bendamustine</w:t>
      </w:r>
      <w:proofErr w:type="spellEnd"/>
      <w:r>
        <w:t xml:space="preserve"> approximately 41 - 72% of patients had died and after two years, approximately 62 - 74% of patients had died.  These data are consistent with the views of the clinical exper</w:t>
      </w:r>
      <w:r>
        <w:t>ts referenced in Table 1 (</w:t>
      </w:r>
      <w:proofErr w:type="gramStart"/>
      <w:r>
        <w:t>and also</w:t>
      </w:r>
      <w:proofErr w:type="gramEnd"/>
      <w:r>
        <w:t xml:space="preserve"> multiple responses to consultation on the ACD received through the website) and with those of Lymphoma Action consulted during this appraisal.   </w:t>
      </w:r>
    </w:p>
    <w:p w14:paraId="6586C516" w14:textId="77777777" w:rsidR="00E964CF" w:rsidRDefault="0022157B">
      <w:pPr>
        <w:spacing w:after="0" w:line="259" w:lineRule="auto"/>
        <w:ind w:left="0" w:firstLine="0"/>
      </w:pPr>
      <w:r>
        <w:t xml:space="preserve"> </w:t>
      </w:r>
    </w:p>
    <w:p w14:paraId="7E43CE21" w14:textId="77777777" w:rsidR="00E964CF" w:rsidRDefault="0022157B">
      <w:pPr>
        <w:spacing w:after="291"/>
        <w:ind w:left="-5"/>
      </w:pPr>
      <w:r>
        <w:t>For completeness, the Appeal Panel should be aware that, in addition to t</w:t>
      </w:r>
      <w:r>
        <w:t>he published scientific papers considered by the Committee, a further 6 published studies are available (also listed in Table 1).  Taken together with the studies considered by the Committee this provides data on outcomes in a total of 737 patients receivi</w:t>
      </w:r>
      <w:r>
        <w:t xml:space="preserve">ng </w:t>
      </w:r>
      <w:proofErr w:type="spellStart"/>
      <w:r>
        <w:t>polatuzumab</w:t>
      </w:r>
      <w:proofErr w:type="spellEnd"/>
      <w:r>
        <w:t xml:space="preserve">.  The survival estimates including these data are consistent with those reported in the published scientific literature referenced in the previous paragraph.  </w:t>
      </w:r>
    </w:p>
    <w:p w14:paraId="0A47D2D6" w14:textId="77777777" w:rsidR="00E964CF" w:rsidRDefault="0022157B">
      <w:pPr>
        <w:spacing w:after="48"/>
        <w:ind w:left="-5"/>
      </w:pPr>
      <w:r>
        <w:t>The Appraisal Committee expressed concern that the data from the published litera</w:t>
      </w:r>
      <w:r>
        <w:t xml:space="preserve">ture was different to the estimates relied upon for the purposes of NICE’s guidance for </w:t>
      </w:r>
      <w:proofErr w:type="spellStart"/>
      <w:r>
        <w:t>polatuzumab</w:t>
      </w:r>
      <w:proofErr w:type="spellEnd"/>
      <w:r>
        <w:t xml:space="preserve"> </w:t>
      </w:r>
      <w:proofErr w:type="spellStart"/>
      <w:r>
        <w:t>vedotin</w:t>
      </w:r>
      <w:proofErr w:type="spellEnd"/>
      <w:r>
        <w:t xml:space="preserve"> with rituximab and </w:t>
      </w:r>
      <w:proofErr w:type="spellStart"/>
      <w:r>
        <w:t>bendamustine</w:t>
      </w:r>
      <w:proofErr w:type="spellEnd"/>
      <w:r>
        <w:t xml:space="preserve"> [TA 649].  The recommendations in TA649 were based on GO29365, a single open label trial, in which 40 patients recei</w:t>
      </w:r>
      <w:r>
        <w:t xml:space="preserve">ved </w:t>
      </w:r>
      <w:proofErr w:type="spellStart"/>
      <w:r>
        <w:t>polatuzumab</w:t>
      </w:r>
      <w:proofErr w:type="spellEnd"/>
      <w:r>
        <w:t xml:space="preserve"> </w:t>
      </w:r>
      <w:proofErr w:type="spellStart"/>
      <w:r>
        <w:t>vedotin</w:t>
      </w:r>
      <w:proofErr w:type="spellEnd"/>
      <w:r>
        <w:t xml:space="preserve"> with rituximab and </w:t>
      </w:r>
      <w:proofErr w:type="spellStart"/>
      <w:r>
        <w:t>bendamustine</w:t>
      </w:r>
      <w:proofErr w:type="spellEnd"/>
      <w:r>
        <w:t xml:space="preserve"> resulting in a median overall survival of 12.4 months (</w:t>
      </w:r>
      <w:proofErr w:type="spellStart"/>
      <w:r>
        <w:t>Sehn</w:t>
      </w:r>
      <w:proofErr w:type="spellEnd"/>
      <w:r>
        <w:t xml:space="preserve"> 2020).  Overall survival data were immature (and were viewed as confidential) and the Committee’s recommendations were therefore based on es</w:t>
      </w:r>
      <w:r>
        <w:t xml:space="preserve">timates calculated using standard independent parametric survival modelling (also confidential).  This was the only way to proceed at the time of the appraisal of </w:t>
      </w:r>
      <w:proofErr w:type="spellStart"/>
      <w:r>
        <w:t>polatuzumab</w:t>
      </w:r>
      <w:proofErr w:type="spellEnd"/>
      <w:r>
        <w:t xml:space="preserve"> </w:t>
      </w:r>
      <w:proofErr w:type="spellStart"/>
      <w:r>
        <w:t>vedotin</w:t>
      </w:r>
      <w:proofErr w:type="spellEnd"/>
      <w:r>
        <w:t xml:space="preserve"> with rituximab and </w:t>
      </w:r>
      <w:proofErr w:type="spellStart"/>
      <w:r>
        <w:t>bendamustine</w:t>
      </w:r>
      <w:proofErr w:type="spellEnd"/>
      <w:r>
        <w:t xml:space="preserve"> in 2020.  </w:t>
      </w:r>
      <w:proofErr w:type="gramStart"/>
      <w:r>
        <w:t>However</w:t>
      </w:r>
      <w:proofErr w:type="gramEnd"/>
      <w:r>
        <w:t xml:space="preserve"> since that time substan</w:t>
      </w:r>
      <w:r>
        <w:t xml:space="preserve">tial additional experience of </w:t>
      </w:r>
      <w:proofErr w:type="spellStart"/>
      <w:r>
        <w:t>polatuzumab</w:t>
      </w:r>
      <w:proofErr w:type="spellEnd"/>
      <w:r>
        <w:t xml:space="preserve"> </w:t>
      </w:r>
      <w:proofErr w:type="spellStart"/>
      <w:r>
        <w:t>vedotin</w:t>
      </w:r>
      <w:proofErr w:type="spellEnd"/>
      <w:r>
        <w:t xml:space="preserve"> with rituximab and </w:t>
      </w:r>
      <w:proofErr w:type="spellStart"/>
      <w:r>
        <w:t>bendamustine</w:t>
      </w:r>
      <w:proofErr w:type="spellEnd"/>
      <w:r>
        <w:t xml:space="preserve"> has been obtained and it is unreasonable to rely on the modelled estimates from TA 649, over real-world outcomes from clinical experience in the NHS.  It is relevant in this </w:t>
      </w:r>
      <w:r>
        <w:t xml:space="preserve">context that the ERG who considered this appraisal stated that “the survival estimates in TA649 for </w:t>
      </w:r>
      <w:proofErr w:type="spellStart"/>
      <w:r>
        <w:t>pola</w:t>
      </w:r>
      <w:proofErr w:type="spellEnd"/>
      <w:r>
        <w:t xml:space="preserve">-BR seem to be invalid” (Addendum – ERG critique of the Company’s ACD </w:t>
      </w:r>
      <w:proofErr w:type="gramStart"/>
      <w:r>
        <w:t>Response :</w:t>
      </w:r>
      <w:proofErr w:type="gramEnd"/>
      <w:r>
        <w:t xml:space="preserve"> sections 2.3, 3.4 and 4.5).</w:t>
      </w:r>
      <w:r>
        <w:rPr>
          <w:color w:val="002251"/>
          <w:sz w:val="32"/>
        </w:rPr>
        <w:t xml:space="preserve"> </w:t>
      </w:r>
    </w:p>
    <w:p w14:paraId="006FFF30" w14:textId="77777777" w:rsidR="00E964CF" w:rsidRDefault="0022157B">
      <w:pPr>
        <w:spacing w:after="0" w:line="259" w:lineRule="auto"/>
        <w:ind w:left="720" w:firstLine="0"/>
      </w:pPr>
      <w:r>
        <w:t xml:space="preserve"> </w:t>
      </w:r>
    </w:p>
    <w:p w14:paraId="639D84B1" w14:textId="77777777" w:rsidR="00E964CF" w:rsidRDefault="0022157B">
      <w:pPr>
        <w:spacing w:after="291"/>
        <w:ind w:left="-5"/>
      </w:pPr>
      <w:r>
        <w:t xml:space="preserve"> The Committee stated that while the estimates from the appraisal of </w:t>
      </w:r>
      <w:proofErr w:type="spellStart"/>
      <w:r>
        <w:t>polatuzumab</w:t>
      </w:r>
      <w:proofErr w:type="spellEnd"/>
      <w:r>
        <w:t xml:space="preserve"> </w:t>
      </w:r>
      <w:proofErr w:type="spellStart"/>
      <w:r>
        <w:t>vedotin</w:t>
      </w:r>
      <w:proofErr w:type="spellEnd"/>
      <w:r>
        <w:t xml:space="preserve"> with rituximab and </w:t>
      </w:r>
      <w:proofErr w:type="spellStart"/>
      <w:r>
        <w:t>bendamustine</w:t>
      </w:r>
      <w:proofErr w:type="spellEnd"/>
      <w:r>
        <w:t xml:space="preserve"> might be too optimistic, it did not believe they would be such overestimates as to conclude that people who have </w:t>
      </w:r>
      <w:proofErr w:type="spellStart"/>
      <w:r>
        <w:t>polatuzumab</w:t>
      </w:r>
      <w:proofErr w:type="spellEnd"/>
      <w:r>
        <w:t xml:space="preserve"> </w:t>
      </w:r>
      <w:proofErr w:type="spellStart"/>
      <w:r>
        <w:t>vedotin</w:t>
      </w:r>
      <w:proofErr w:type="spellEnd"/>
      <w:r>
        <w:t xml:space="preserve"> in</w:t>
      </w:r>
      <w:r>
        <w:t xml:space="preserve"> the NHS would have a life expectancy of less than 24 months.  No reasons for the Committee’s view </w:t>
      </w:r>
      <w:proofErr w:type="gramStart"/>
      <w:r>
        <w:t>is</w:t>
      </w:r>
      <w:proofErr w:type="gramEnd"/>
      <w:r>
        <w:t xml:space="preserve"> provided, despite the strength of the opposing view from the published scientific literature since the date of that appraisal and the view of the ERG that</w:t>
      </w:r>
      <w:r>
        <w:t xml:space="preserve"> the survival estimates from TA649 are “invalid”.  </w:t>
      </w:r>
    </w:p>
    <w:p w14:paraId="2CF8533E" w14:textId="77777777" w:rsidR="00E964CF" w:rsidRDefault="0022157B">
      <w:pPr>
        <w:spacing w:line="300" w:lineRule="auto"/>
        <w:ind w:left="-5"/>
      </w:pPr>
      <w:r>
        <w:t xml:space="preserve">The application of the </w:t>
      </w:r>
      <w:proofErr w:type="gramStart"/>
      <w:r>
        <w:t>end of life</w:t>
      </w:r>
      <w:proofErr w:type="gramEnd"/>
      <w:r>
        <w:t xml:space="preserve"> criteria and specifically the interpretation of the short life expectancy criterion was considered carefully by the Appeal Panel who heard the appeal against the FAD for</w:t>
      </w:r>
      <w:r>
        <w:t xml:space="preserve"> avelumab for maintenance treatment of locally advanced </w:t>
      </w:r>
      <w:r>
        <w:lastRenderedPageBreak/>
        <w:t xml:space="preserve">or metastatic urothelial cancer after platinum-based chemotherapy.  They made the following points: </w:t>
      </w:r>
    </w:p>
    <w:p w14:paraId="4D9E47C4" w14:textId="77777777" w:rsidR="00E964CF" w:rsidRDefault="0022157B">
      <w:pPr>
        <w:numPr>
          <w:ilvl w:val="0"/>
          <w:numId w:val="2"/>
        </w:numPr>
        <w:ind w:hanging="360"/>
      </w:pPr>
      <w:r>
        <w:t>In interpreting the short life expectancy criterion “the paramount consideration should be what the key stakeholders of NICE: the general public, patients, clinicians, policy makers and industry would consider a reasonable interpretation of the word “norma</w:t>
      </w:r>
      <w:r>
        <w:t xml:space="preserve">lly”. </w:t>
      </w:r>
    </w:p>
    <w:p w14:paraId="4C3406AA" w14:textId="77777777" w:rsidR="00E964CF" w:rsidRDefault="0022157B">
      <w:pPr>
        <w:numPr>
          <w:ilvl w:val="0"/>
          <w:numId w:val="2"/>
        </w:numPr>
        <w:ind w:hanging="360"/>
      </w:pPr>
      <w:r>
        <w:t xml:space="preserve">They stated that “the </w:t>
      </w:r>
      <w:proofErr w:type="gramStart"/>
      <w:r>
        <w:t>end of life</w:t>
      </w:r>
      <w:proofErr w:type="gramEnd"/>
      <w:r>
        <w:t xml:space="preserve"> criteria are a standalone test that have to be considered on their own terms” and did not agree that “the mean survival of 24 months must be used as the threshold for application of end of life criteria to maintain </w:t>
      </w:r>
      <w:r>
        <w:t xml:space="preserve">consistency with the methodology used to calculate the incremental cost-effectiveness ratio”. </w:t>
      </w:r>
    </w:p>
    <w:p w14:paraId="02F08725" w14:textId="77777777" w:rsidR="00E964CF" w:rsidRDefault="0022157B">
      <w:pPr>
        <w:numPr>
          <w:ilvl w:val="0"/>
          <w:numId w:val="2"/>
        </w:numPr>
        <w:ind w:hanging="360"/>
      </w:pPr>
      <w:r>
        <w:t>“The key stakeholders of NICE would consider it unreasonable to state that life-expectancy was not “normally less than 24 months”, even if the mean life expectan</w:t>
      </w:r>
      <w:r>
        <w:t xml:space="preserve">cy was greater than 24 months, if 65% of patients, the significant majority, in the modelled cohort had died prior to 24 months”. </w:t>
      </w:r>
    </w:p>
    <w:p w14:paraId="607D52AF" w14:textId="77777777" w:rsidR="00E964CF" w:rsidRDefault="0022157B">
      <w:pPr>
        <w:numPr>
          <w:ilvl w:val="0"/>
          <w:numId w:val="2"/>
        </w:numPr>
        <w:spacing w:after="230"/>
        <w:ind w:hanging="360"/>
      </w:pPr>
      <w:r>
        <w:t>The Panel did not suggest “there is a general rule that median is preferable to mean or vice versa</w:t>
      </w:r>
      <w:proofErr w:type="gramStart"/>
      <w:r>
        <w:t>”, but</w:t>
      </w:r>
      <w:proofErr w:type="gramEnd"/>
      <w:r>
        <w:t xml:space="preserve"> said that “the quest</w:t>
      </w:r>
      <w:r>
        <w:t xml:space="preserve">ion is it reasonable to conclude that life expectancy is below 24 months” and all the data, including the mean, median and clinical opinion, are relevant to that judgment.  </w:t>
      </w:r>
    </w:p>
    <w:p w14:paraId="42D9DEEA" w14:textId="77777777" w:rsidR="00E964CF" w:rsidRDefault="0022157B">
      <w:pPr>
        <w:spacing w:after="51"/>
        <w:ind w:left="-5"/>
      </w:pPr>
      <w:r>
        <w:t xml:space="preserve"> Applying the conclusions of the Appeal Panel that heard the avelumab appeal to th</w:t>
      </w:r>
      <w:r>
        <w:t xml:space="preserve">e current appraisal of </w:t>
      </w:r>
      <w:proofErr w:type="spellStart"/>
      <w:r>
        <w:t>tafasitamab</w:t>
      </w:r>
      <w:proofErr w:type="spellEnd"/>
      <w:r>
        <w:t xml:space="preserve"> and lenalidomide, the position is very similar.  In particular: </w:t>
      </w:r>
    </w:p>
    <w:p w14:paraId="3B499199" w14:textId="77777777" w:rsidR="00E964CF" w:rsidRDefault="0022157B">
      <w:pPr>
        <w:numPr>
          <w:ilvl w:val="0"/>
          <w:numId w:val="3"/>
        </w:numPr>
        <w:ind w:hanging="360"/>
      </w:pPr>
      <w:proofErr w:type="gramStart"/>
      <w:r>
        <w:t>All of</w:t>
      </w:r>
      <w:proofErr w:type="gramEnd"/>
      <w:r>
        <w:t xml:space="preserve"> the median overall survival estimates for patients eligible to be treated with </w:t>
      </w:r>
      <w:proofErr w:type="spellStart"/>
      <w:r>
        <w:t>tafasitamab</w:t>
      </w:r>
      <w:proofErr w:type="spellEnd"/>
      <w:r>
        <w:t xml:space="preserve"> and lenalidomide are well below 24 months. </w:t>
      </w:r>
    </w:p>
    <w:p w14:paraId="10636537" w14:textId="77777777" w:rsidR="00E964CF" w:rsidRDefault="0022157B">
      <w:pPr>
        <w:numPr>
          <w:ilvl w:val="0"/>
          <w:numId w:val="3"/>
        </w:numPr>
        <w:ind w:hanging="360"/>
      </w:pPr>
      <w:r>
        <w:t>The data sugge</w:t>
      </w:r>
      <w:r>
        <w:t xml:space="preserve">st that around 65% of patients treated with </w:t>
      </w:r>
      <w:proofErr w:type="spellStart"/>
      <w:r>
        <w:t>polatuzumab</w:t>
      </w:r>
      <w:proofErr w:type="spellEnd"/>
      <w:r>
        <w:t xml:space="preserve"> </w:t>
      </w:r>
      <w:proofErr w:type="spellStart"/>
      <w:r>
        <w:t>vedotin</w:t>
      </w:r>
      <w:proofErr w:type="spellEnd"/>
      <w:r>
        <w:t xml:space="preserve"> with rituximab and </w:t>
      </w:r>
      <w:proofErr w:type="spellStart"/>
      <w:r>
        <w:t>bendamustine</w:t>
      </w:r>
      <w:proofErr w:type="spellEnd"/>
      <w:r>
        <w:t xml:space="preserve"> have died by 24 months.  (There are two outlier figures included in Table 1, one of which (the ERG’s modelled estimate) suggests that 56% have died and one of w</w:t>
      </w:r>
      <w:r>
        <w:t xml:space="preserve">hich (Wang (2022) suggests that 74% have died by that time.) </w:t>
      </w:r>
    </w:p>
    <w:p w14:paraId="502E9F29" w14:textId="77777777" w:rsidR="00E964CF" w:rsidRDefault="0022157B">
      <w:pPr>
        <w:numPr>
          <w:ilvl w:val="0"/>
          <w:numId w:val="3"/>
        </w:numPr>
        <w:ind w:hanging="360"/>
      </w:pPr>
      <w:r>
        <w:t xml:space="preserve">If </w:t>
      </w:r>
      <w:proofErr w:type="gramStart"/>
      <w:r>
        <w:t>all of</w:t>
      </w:r>
      <w:proofErr w:type="gramEnd"/>
      <w:r>
        <w:t xml:space="preserve"> the data are taken into consideration, the balance of the evidence is overwhelmingly in favour of a life expectancy of normally less than 24 months for patients eligible for treatment </w:t>
      </w:r>
      <w:r>
        <w:t xml:space="preserve">with </w:t>
      </w:r>
      <w:proofErr w:type="spellStart"/>
      <w:r>
        <w:t>tafasitamab</w:t>
      </w:r>
      <w:proofErr w:type="spellEnd"/>
      <w:r>
        <w:t xml:space="preserve"> and lenalidomide.  </w:t>
      </w:r>
    </w:p>
    <w:p w14:paraId="279CB9DE" w14:textId="77777777" w:rsidR="00E964CF" w:rsidRDefault="0022157B">
      <w:pPr>
        <w:spacing w:after="0" w:line="259" w:lineRule="auto"/>
        <w:ind w:left="0" w:firstLine="0"/>
      </w:pPr>
      <w:r>
        <w:t xml:space="preserve"> </w:t>
      </w:r>
    </w:p>
    <w:p w14:paraId="4293488C" w14:textId="77777777" w:rsidR="00E964CF" w:rsidRDefault="0022157B">
      <w:pPr>
        <w:spacing w:line="300" w:lineRule="auto"/>
        <w:ind w:left="-5"/>
      </w:pPr>
      <w:r>
        <w:t xml:space="preserve">In summary, the balance of the available evidence confirms that the “normal” life expectancy for patients eligible for treatment with </w:t>
      </w:r>
      <w:proofErr w:type="spellStart"/>
      <w:r>
        <w:t>tafasitamab</w:t>
      </w:r>
      <w:proofErr w:type="spellEnd"/>
      <w:r>
        <w:t xml:space="preserve"> and lenalidomide is less than 24 months.  Given this material, consiste</w:t>
      </w:r>
      <w:r>
        <w:t>nt with the view of the Appeal Panel that heard the appeal against the FAD for avelumab, Incyte considers that it would not be possible to explain to patients or clinicians why the Committee concluded that these patients would have a life expectancy in exc</w:t>
      </w:r>
      <w:r>
        <w:t xml:space="preserve">ess of 24 months.  </w:t>
      </w:r>
    </w:p>
    <w:p w14:paraId="275306F7" w14:textId="77777777" w:rsidR="00E964CF" w:rsidRDefault="0022157B">
      <w:pPr>
        <w:spacing w:after="177"/>
        <w:ind w:left="-5"/>
      </w:pPr>
      <w:r>
        <w:t xml:space="preserve">For these reasons, the conclusions of the Committee were unreasonable. </w:t>
      </w:r>
    </w:p>
    <w:p w14:paraId="373EFEFB" w14:textId="77777777" w:rsidR="00E964CF" w:rsidRDefault="0022157B">
      <w:pPr>
        <w:spacing w:after="129" w:line="268" w:lineRule="auto"/>
        <w:ind w:left="792" w:hanging="432"/>
        <w:jc w:val="both"/>
      </w:pPr>
      <w:r>
        <w:rPr>
          <w:b/>
        </w:rPr>
        <w:t xml:space="preserve">2.2. </w:t>
      </w:r>
      <w:r>
        <w:t xml:space="preserve">  </w:t>
      </w:r>
      <w:r>
        <w:rPr>
          <w:b/>
        </w:rPr>
        <w:t xml:space="preserve"> The Committee’s conclusion that the company’s base case ICERs were not plausible because the model survival outputs were not consistent with TA 649 disregar</w:t>
      </w:r>
      <w:r>
        <w:rPr>
          <w:b/>
        </w:rPr>
        <w:t xml:space="preserve">ds the evidence generated since that appraisal   </w:t>
      </w:r>
    </w:p>
    <w:p w14:paraId="06C8C771" w14:textId="77777777" w:rsidR="00E964CF" w:rsidRDefault="0022157B">
      <w:pPr>
        <w:spacing w:after="146"/>
        <w:ind w:left="-5"/>
      </w:pPr>
      <w:r>
        <w:t xml:space="preserve">At paragraph 3.9 of the FAD, the Committee provides its reasons for rejecting the ICERs submitted by Incyte: </w:t>
      </w:r>
    </w:p>
    <w:p w14:paraId="5F97EEE0" w14:textId="77777777" w:rsidR="00E964CF" w:rsidRDefault="0022157B">
      <w:pPr>
        <w:spacing w:after="1" w:line="276" w:lineRule="auto"/>
        <w:ind w:left="730" w:right="-13"/>
        <w:jc w:val="both"/>
      </w:pPr>
      <w:r>
        <w:rPr>
          <w:b/>
        </w:rPr>
        <w:lastRenderedPageBreak/>
        <w:t xml:space="preserve">  </w:t>
      </w:r>
      <w:r>
        <w:t xml:space="preserve"> “The committee considered that the company’s base case ICERs were not plausible because the m</w:t>
      </w:r>
      <w:r>
        <w:t xml:space="preserve">odel survival outputs were not consistent with NICE’s technology appraisal guidance on </w:t>
      </w:r>
      <w:proofErr w:type="spellStart"/>
      <w:r>
        <w:t>polatuzumab</w:t>
      </w:r>
      <w:proofErr w:type="spellEnd"/>
      <w:r>
        <w:t xml:space="preserve"> </w:t>
      </w:r>
      <w:proofErr w:type="spellStart"/>
      <w:r>
        <w:t>vedotin</w:t>
      </w:r>
      <w:proofErr w:type="spellEnd"/>
      <w:r>
        <w:t xml:space="preserve">”. </w:t>
      </w:r>
    </w:p>
    <w:p w14:paraId="62B3E363" w14:textId="77777777" w:rsidR="00E964CF" w:rsidRDefault="0022157B">
      <w:pPr>
        <w:spacing w:after="98" w:line="259" w:lineRule="auto"/>
        <w:ind w:left="0" w:firstLine="0"/>
      </w:pPr>
      <w:r>
        <w:t xml:space="preserve"> </w:t>
      </w:r>
    </w:p>
    <w:p w14:paraId="2A2728E7" w14:textId="77777777" w:rsidR="00E964CF" w:rsidRDefault="0022157B">
      <w:pPr>
        <w:spacing w:after="1" w:line="276" w:lineRule="auto"/>
        <w:ind w:left="-5" w:right="-13"/>
        <w:jc w:val="both"/>
      </w:pPr>
      <w:r>
        <w:t xml:space="preserve">As explained in Incyte’s appeal at point 2.1 above, NICE’s guidance on </w:t>
      </w:r>
      <w:proofErr w:type="spellStart"/>
      <w:r>
        <w:t>polatuzumab</w:t>
      </w:r>
      <w:proofErr w:type="spellEnd"/>
      <w:r>
        <w:t xml:space="preserve"> </w:t>
      </w:r>
      <w:proofErr w:type="spellStart"/>
      <w:r>
        <w:t>vedotin</w:t>
      </w:r>
      <w:proofErr w:type="spellEnd"/>
      <w:r>
        <w:t xml:space="preserve"> relied on estimates produced through modelling of data from a single clinical trial, in which 40 patients received treatment with </w:t>
      </w:r>
      <w:proofErr w:type="spellStart"/>
      <w:r>
        <w:t>polatuzumab</w:t>
      </w:r>
      <w:proofErr w:type="spellEnd"/>
      <w:r>
        <w:t xml:space="preserve"> </w:t>
      </w:r>
      <w:proofErr w:type="spellStart"/>
      <w:r>
        <w:t>vedotin</w:t>
      </w:r>
      <w:proofErr w:type="spellEnd"/>
      <w:r>
        <w:t xml:space="preserve">.  That was all </w:t>
      </w:r>
      <w:r>
        <w:t xml:space="preserve">the data available to the Committee which considered that appraisal at that time.  Since then however, substantial further experience with </w:t>
      </w:r>
      <w:proofErr w:type="spellStart"/>
      <w:r>
        <w:t>polatuzumab</w:t>
      </w:r>
      <w:proofErr w:type="spellEnd"/>
      <w:r>
        <w:t xml:space="preserve"> </w:t>
      </w:r>
      <w:proofErr w:type="spellStart"/>
      <w:r>
        <w:t>vedotin</w:t>
      </w:r>
      <w:proofErr w:type="spellEnd"/>
      <w:r>
        <w:t xml:space="preserve"> has been obtained (see Table 1 above) from </w:t>
      </w:r>
      <w:proofErr w:type="gramStart"/>
      <w:r>
        <w:t>over  700</w:t>
      </w:r>
      <w:proofErr w:type="gramEnd"/>
      <w:r>
        <w:t xml:space="preserve"> patients (data from over 500 patients were a</w:t>
      </w:r>
      <w:r>
        <w:t xml:space="preserve">vailable to the Committee at the second Committee meeting), which indicates consistently that the estimates from TA649 were optimistic. Incyte’s model survival outputs reflect those data, taken from published literature. </w:t>
      </w:r>
    </w:p>
    <w:p w14:paraId="3B58FAE3" w14:textId="77777777" w:rsidR="00E964CF" w:rsidRDefault="0022157B">
      <w:pPr>
        <w:spacing w:after="117" w:line="259" w:lineRule="auto"/>
        <w:ind w:left="0" w:firstLine="0"/>
      </w:pPr>
      <w:r>
        <w:t xml:space="preserve"> </w:t>
      </w:r>
    </w:p>
    <w:p w14:paraId="5F9DAF8E" w14:textId="77777777" w:rsidR="00E964CF" w:rsidRDefault="0022157B">
      <w:pPr>
        <w:spacing w:after="9" w:line="268" w:lineRule="auto"/>
        <w:ind w:left="-5"/>
        <w:jc w:val="both"/>
      </w:pPr>
      <w:r>
        <w:rPr>
          <w:sz w:val="26"/>
        </w:rPr>
        <w:t xml:space="preserve">While NICE may wish to maintain </w:t>
      </w:r>
      <w:r>
        <w:rPr>
          <w:sz w:val="26"/>
        </w:rPr>
        <w:t>consistency between conclusions reached in different appraisals, it is unreasonable to insist on consistency in circumstances where additional data have become available which suggest that the modelled estimates relied upon in TA649 were more favourable th</w:t>
      </w:r>
      <w:r>
        <w:rPr>
          <w:sz w:val="26"/>
        </w:rPr>
        <w:t xml:space="preserve">an indicated by subsequent data.  </w:t>
      </w:r>
      <w:proofErr w:type="gramStart"/>
      <w:r>
        <w:rPr>
          <w:sz w:val="26"/>
        </w:rPr>
        <w:t>In particular, it</w:t>
      </w:r>
      <w:proofErr w:type="gramEnd"/>
      <w:r>
        <w:rPr>
          <w:sz w:val="26"/>
        </w:rPr>
        <w:t xml:space="preserve"> is not reasonable to base decisions on modelled estimates from 40 patients rather than actual outcomes from over 400 patients, without a sound justification for such an approach.    </w:t>
      </w:r>
    </w:p>
    <w:p w14:paraId="3F64B34D" w14:textId="77777777" w:rsidR="00E964CF" w:rsidRDefault="0022157B">
      <w:pPr>
        <w:spacing w:after="115" w:line="259" w:lineRule="auto"/>
        <w:ind w:left="0" w:firstLine="0"/>
      </w:pPr>
      <w:r>
        <w:t xml:space="preserve"> </w:t>
      </w:r>
    </w:p>
    <w:p w14:paraId="153F6D36" w14:textId="77777777" w:rsidR="00E964CF" w:rsidRDefault="0022157B">
      <w:pPr>
        <w:pStyle w:val="Heading1"/>
        <w:spacing w:after="0"/>
        <w:ind w:left="787" w:right="-11"/>
      </w:pPr>
      <w:r>
        <w:t xml:space="preserve">2.3. </w:t>
      </w:r>
      <w:r>
        <w:rPr>
          <w:b w:val="0"/>
        </w:rPr>
        <w:t xml:space="preserve">  </w:t>
      </w:r>
      <w:r>
        <w:t>The Committe</w:t>
      </w:r>
      <w:r>
        <w:t xml:space="preserve">e’s conclusion that the evidence presented did not demonstrate that </w:t>
      </w:r>
      <w:proofErr w:type="spellStart"/>
      <w:r>
        <w:t>tafasitamab</w:t>
      </w:r>
      <w:proofErr w:type="spellEnd"/>
      <w:r>
        <w:t xml:space="preserve"> is innovative is inconsistent with the Promising Innovative Medicine (PIM) designation by MHRA and the Committee’s own conclusions elsewhere in the FAD  </w:t>
      </w:r>
    </w:p>
    <w:p w14:paraId="3D4D7B19" w14:textId="77777777" w:rsidR="00E964CF" w:rsidRDefault="0022157B">
      <w:pPr>
        <w:spacing w:after="0" w:line="259" w:lineRule="auto"/>
        <w:ind w:left="0" w:firstLine="0"/>
      </w:pPr>
      <w:r>
        <w:t xml:space="preserve"> </w:t>
      </w:r>
    </w:p>
    <w:p w14:paraId="607836B0" w14:textId="77777777" w:rsidR="00E964CF" w:rsidRDefault="0022157B">
      <w:pPr>
        <w:spacing w:after="1" w:line="276" w:lineRule="auto"/>
        <w:ind w:left="-5" w:right="-13"/>
        <w:jc w:val="both"/>
      </w:pPr>
      <w:r>
        <w:t>At paragraph 3.11 of</w:t>
      </w:r>
      <w:r>
        <w:t xml:space="preserve"> the FAD, the Committee states that the evidence submitted for </w:t>
      </w:r>
      <w:proofErr w:type="spellStart"/>
      <w:r>
        <w:t>tafasitamab</w:t>
      </w:r>
      <w:proofErr w:type="spellEnd"/>
      <w:r>
        <w:t xml:space="preserve"> did not demonstrate that the product added ““demonstrable and distinctive benefits of a substantial nature which may not have been adequately captured in the reference case QALY mea</w:t>
      </w:r>
      <w:r>
        <w:t xml:space="preserve">sure”. </w:t>
      </w:r>
    </w:p>
    <w:p w14:paraId="7ED6D826" w14:textId="77777777" w:rsidR="00E964CF" w:rsidRDefault="0022157B">
      <w:pPr>
        <w:spacing w:after="98" w:line="259" w:lineRule="auto"/>
        <w:ind w:left="0" w:firstLine="0"/>
      </w:pPr>
      <w:r>
        <w:t xml:space="preserve"> </w:t>
      </w:r>
    </w:p>
    <w:p w14:paraId="132F1E52" w14:textId="77777777" w:rsidR="00E964CF" w:rsidRDefault="0022157B">
      <w:pPr>
        <w:spacing w:after="1" w:line="276" w:lineRule="auto"/>
        <w:ind w:left="-5" w:right="-13"/>
        <w:jc w:val="both"/>
      </w:pPr>
      <w:r>
        <w:t xml:space="preserve">This conclusion is however inconsistent with the conclusions of the MHRA, </w:t>
      </w:r>
      <w:proofErr w:type="gramStart"/>
      <w:r>
        <w:t>who  granted</w:t>
      </w:r>
      <w:proofErr w:type="gramEnd"/>
      <w:r>
        <w:t xml:space="preserve"> the treatment “Promising Innovative Medicine” designation and the US Food and Drug Administration, who awarded it “Breakthrough Therapy” designation and there </w:t>
      </w:r>
      <w:r>
        <w:t xml:space="preserve">is no indication that the Committee considered the conclusions of these other bodies in reaching its own decision that the evidence presented did not demonstrate that </w:t>
      </w:r>
      <w:proofErr w:type="spellStart"/>
      <w:r>
        <w:t>tafasitamab</w:t>
      </w:r>
      <w:proofErr w:type="spellEnd"/>
      <w:r>
        <w:t xml:space="preserve"> is innovative. </w:t>
      </w:r>
    </w:p>
    <w:p w14:paraId="11AAF4A7" w14:textId="77777777" w:rsidR="00E964CF" w:rsidRDefault="0022157B">
      <w:pPr>
        <w:spacing w:after="98" w:line="259" w:lineRule="auto"/>
        <w:ind w:left="0" w:firstLine="0"/>
      </w:pPr>
      <w:r>
        <w:t xml:space="preserve"> </w:t>
      </w:r>
    </w:p>
    <w:p w14:paraId="66785B5F" w14:textId="77777777" w:rsidR="00E964CF" w:rsidRDefault="0022157B">
      <w:pPr>
        <w:spacing w:after="139" w:line="276" w:lineRule="auto"/>
        <w:ind w:left="-5" w:right="-13"/>
        <w:jc w:val="both"/>
      </w:pPr>
      <w:r>
        <w:t>In addition, at paragraph 3.1 of the FAD, the Committee its</w:t>
      </w:r>
      <w:r>
        <w:t xml:space="preserve">elf recognised the enormous psychosocial, social and economic impact of R/R DLBL on patients and their </w:t>
      </w:r>
      <w:proofErr w:type="spellStart"/>
      <w:r>
        <w:t>carers</w:t>
      </w:r>
      <w:proofErr w:type="spellEnd"/>
      <w:r>
        <w:t xml:space="preserve"> and observed “any treatment delivered in an outpatient setting would have a </w:t>
      </w:r>
      <w:r>
        <w:lastRenderedPageBreak/>
        <w:t>significant, positive effect on the quality of life of patients and th</w:t>
      </w:r>
      <w:r>
        <w:t xml:space="preserve">eir families”, before concluding that “people with the condition have a high unmet need for effective treatments with manageable side effects”.  At paragraph 3.11 the Committee notes the company’s submissions that uncaptured benefits include the advantage </w:t>
      </w:r>
      <w:r>
        <w:t xml:space="preserve">of administration in an outpatient setting and more acceptable toxicity, but despite the data supporting </w:t>
      </w:r>
      <w:proofErr w:type="gramStart"/>
      <w:r>
        <w:t>both of these</w:t>
      </w:r>
      <w:proofErr w:type="gramEnd"/>
      <w:r>
        <w:t xml:space="preserve"> elements concluded that </w:t>
      </w:r>
      <w:proofErr w:type="spellStart"/>
      <w:r>
        <w:t>tafasitamab</w:t>
      </w:r>
      <w:proofErr w:type="spellEnd"/>
      <w:r>
        <w:t xml:space="preserve"> did not qualify as innovative.   </w:t>
      </w:r>
    </w:p>
    <w:p w14:paraId="325627E6" w14:textId="77777777" w:rsidR="00E964CF" w:rsidRDefault="0022157B">
      <w:pPr>
        <w:spacing w:after="9" w:line="268" w:lineRule="auto"/>
        <w:ind w:left="-5"/>
        <w:jc w:val="both"/>
      </w:pPr>
      <w:proofErr w:type="gramStart"/>
      <w:r>
        <w:rPr>
          <w:sz w:val="26"/>
        </w:rPr>
        <w:t>Overall</w:t>
      </w:r>
      <w:proofErr w:type="gramEnd"/>
      <w:r>
        <w:rPr>
          <w:sz w:val="26"/>
        </w:rPr>
        <w:t xml:space="preserve"> therefore, the Committee’s conclusions regarding the innova</w:t>
      </w:r>
      <w:r>
        <w:rPr>
          <w:sz w:val="26"/>
        </w:rPr>
        <w:t xml:space="preserve">tive nature of </w:t>
      </w:r>
      <w:proofErr w:type="spellStart"/>
      <w:r>
        <w:rPr>
          <w:sz w:val="26"/>
        </w:rPr>
        <w:t>tafasitamab</w:t>
      </w:r>
      <w:proofErr w:type="spellEnd"/>
      <w:r>
        <w:rPr>
          <w:sz w:val="26"/>
        </w:rPr>
        <w:t xml:space="preserve"> are inconsistent with the determinations of both the MHRA and FDA, even though the Committee has failed to recognise these determinations and no reasons have been given for diverging from the assessments of those bodies.  </w:t>
      </w:r>
      <w:proofErr w:type="gramStart"/>
      <w:r>
        <w:rPr>
          <w:sz w:val="26"/>
        </w:rPr>
        <w:t>Further</w:t>
      </w:r>
      <w:r>
        <w:rPr>
          <w:sz w:val="26"/>
        </w:rPr>
        <w:t>more</w:t>
      </w:r>
      <w:proofErr w:type="gramEnd"/>
      <w:r>
        <w:rPr>
          <w:sz w:val="26"/>
        </w:rPr>
        <w:t xml:space="preserve"> the Committee’s own recognition of the importance of outpatient treatment and improved toxicity profile at paragraph 3.1 is inconsistent with its unexplained conclusion at paragraph 3.11 that, despite the benefits of </w:t>
      </w:r>
      <w:proofErr w:type="spellStart"/>
      <w:r>
        <w:rPr>
          <w:sz w:val="26"/>
        </w:rPr>
        <w:t>tafasitamab</w:t>
      </w:r>
      <w:proofErr w:type="spellEnd"/>
      <w:r>
        <w:rPr>
          <w:sz w:val="26"/>
        </w:rPr>
        <w:t xml:space="preserve"> on those parameters, i</w:t>
      </w:r>
      <w:r>
        <w:rPr>
          <w:sz w:val="26"/>
        </w:rPr>
        <w:t xml:space="preserve">t is nevertheless not innovative.    </w:t>
      </w:r>
    </w:p>
    <w:p w14:paraId="2E457AF9" w14:textId="77777777" w:rsidR="00E964CF" w:rsidRDefault="0022157B">
      <w:pPr>
        <w:spacing w:after="0" w:line="259" w:lineRule="auto"/>
        <w:ind w:left="0" w:firstLine="0"/>
      </w:pPr>
      <w:r>
        <w:t xml:space="preserve"> </w:t>
      </w:r>
    </w:p>
    <w:p w14:paraId="3A8B62D2" w14:textId="77777777" w:rsidR="00E964CF" w:rsidRDefault="0022157B">
      <w:pPr>
        <w:pStyle w:val="Heading2"/>
        <w:spacing w:after="0" w:line="267" w:lineRule="auto"/>
        <w:ind w:left="-5"/>
      </w:pPr>
      <w:r>
        <w:rPr>
          <w:b/>
        </w:rPr>
        <w:t>Requested outcome following appeal</w:t>
      </w:r>
      <w:r>
        <w:rPr>
          <w:b/>
          <w:u w:val="none"/>
        </w:rPr>
        <w:t xml:space="preserve"> </w:t>
      </w:r>
    </w:p>
    <w:p w14:paraId="105AED41" w14:textId="77777777" w:rsidR="00E964CF" w:rsidRDefault="0022157B">
      <w:pPr>
        <w:spacing w:after="117" w:line="259" w:lineRule="auto"/>
        <w:ind w:left="0" w:firstLine="0"/>
      </w:pPr>
      <w:r>
        <w:rPr>
          <w:b/>
        </w:rPr>
        <w:t xml:space="preserve"> </w:t>
      </w:r>
    </w:p>
    <w:p w14:paraId="0B4C9DB9" w14:textId="77777777" w:rsidR="00E964CF" w:rsidRDefault="0022157B">
      <w:pPr>
        <w:spacing w:after="9" w:line="268" w:lineRule="auto"/>
        <w:ind w:left="-5"/>
        <w:jc w:val="both"/>
      </w:pPr>
      <w:r>
        <w:rPr>
          <w:sz w:val="26"/>
        </w:rPr>
        <w:t xml:space="preserve">The Appeal Panel is respectfully requested to return this appraisal for further consideration by the Appraisal Committee with the following directions: </w:t>
      </w:r>
    </w:p>
    <w:p w14:paraId="154B8426" w14:textId="77777777" w:rsidR="00E964CF" w:rsidRDefault="0022157B">
      <w:pPr>
        <w:numPr>
          <w:ilvl w:val="0"/>
          <w:numId w:val="4"/>
        </w:numPr>
        <w:ind w:hanging="360"/>
      </w:pPr>
      <w:proofErr w:type="spellStart"/>
      <w:r>
        <w:t>Tafasitamab</w:t>
      </w:r>
      <w:proofErr w:type="spellEnd"/>
      <w:r>
        <w:t xml:space="preserve"> and lenalidomide satisfies the requirements for the </w:t>
      </w:r>
      <w:proofErr w:type="gramStart"/>
      <w:r>
        <w:t>end of life</w:t>
      </w:r>
      <w:proofErr w:type="gramEnd"/>
      <w:r>
        <w:t xml:space="preserve"> criteria; </w:t>
      </w:r>
    </w:p>
    <w:p w14:paraId="0D19534A" w14:textId="77777777" w:rsidR="00E964CF" w:rsidRDefault="0022157B">
      <w:pPr>
        <w:numPr>
          <w:ilvl w:val="0"/>
          <w:numId w:val="4"/>
        </w:numPr>
        <w:ind w:hanging="360"/>
      </w:pPr>
      <w:r>
        <w:t>The impact of lo</w:t>
      </w:r>
      <w:r>
        <w:t xml:space="preserve">ss of Revlimid data exclusivity, with resulting generic entry, on the cost of lenalidomide to the NHS should be taken into account when considering the cost-effectiveness of </w:t>
      </w:r>
      <w:proofErr w:type="spellStart"/>
      <w:r>
        <w:t>tafasitamab</w:t>
      </w:r>
      <w:proofErr w:type="spellEnd"/>
      <w:r>
        <w:t xml:space="preserve"> and lenalidomide in this </w:t>
      </w:r>
      <w:proofErr w:type="gramStart"/>
      <w:r>
        <w:t>appraisal;</w:t>
      </w:r>
      <w:proofErr w:type="gramEnd"/>
      <w:r>
        <w:t xml:space="preserve"> </w:t>
      </w:r>
    </w:p>
    <w:p w14:paraId="1F9CFB2D" w14:textId="77777777" w:rsidR="00E964CF" w:rsidRDefault="0022157B">
      <w:pPr>
        <w:numPr>
          <w:ilvl w:val="0"/>
          <w:numId w:val="4"/>
        </w:numPr>
        <w:ind w:hanging="360"/>
      </w:pPr>
      <w:r>
        <w:t xml:space="preserve">That caution should be exercised </w:t>
      </w:r>
      <w:r>
        <w:t xml:space="preserve">when considering the conclusions reached in TA649 in view of the substantial weight of conflicting evidence generated since that </w:t>
      </w:r>
      <w:proofErr w:type="gramStart"/>
      <w:r>
        <w:t>appraisal;</w:t>
      </w:r>
      <w:proofErr w:type="gramEnd"/>
      <w:r>
        <w:t xml:space="preserve"> </w:t>
      </w:r>
    </w:p>
    <w:p w14:paraId="645CB726" w14:textId="77777777" w:rsidR="00E964CF" w:rsidRDefault="0022157B">
      <w:pPr>
        <w:numPr>
          <w:ilvl w:val="0"/>
          <w:numId w:val="4"/>
        </w:numPr>
        <w:ind w:hanging="360"/>
      </w:pPr>
      <w:r>
        <w:t xml:space="preserve">The Committee should provide greater transparency in relation to its assessment of cost-effectiveness; and  </w:t>
      </w:r>
    </w:p>
    <w:p w14:paraId="53EB29C9" w14:textId="77777777" w:rsidR="00E964CF" w:rsidRDefault="0022157B">
      <w:pPr>
        <w:numPr>
          <w:ilvl w:val="0"/>
          <w:numId w:val="4"/>
        </w:numPr>
        <w:spacing w:after="230"/>
        <w:ind w:hanging="360"/>
      </w:pPr>
      <w:r>
        <w:t xml:space="preserve">The Committee should reconsider the innovative nature of </w:t>
      </w:r>
      <w:proofErr w:type="spellStart"/>
      <w:r>
        <w:t>tafasitamab</w:t>
      </w:r>
      <w:proofErr w:type="spellEnd"/>
      <w:r>
        <w:t xml:space="preserve"> and lenalidomide in the context of the conclusions of MHRA and FDA and its ben</w:t>
      </w:r>
      <w:r>
        <w:t xml:space="preserve">efits in terms of outpatient treatment and reduced toxicity relative to other treatments.  </w:t>
      </w:r>
    </w:p>
    <w:p w14:paraId="7FAEDCF5" w14:textId="77777777" w:rsidR="00E964CF" w:rsidRDefault="0022157B">
      <w:pPr>
        <w:pStyle w:val="Heading2"/>
        <w:spacing w:after="279" w:line="267" w:lineRule="auto"/>
        <w:ind w:left="-5"/>
      </w:pPr>
      <w:r>
        <w:rPr>
          <w:b/>
        </w:rPr>
        <w:t>Conclusion</w:t>
      </w:r>
      <w:r>
        <w:rPr>
          <w:b/>
          <w:i/>
          <w:u w:val="none"/>
        </w:rPr>
        <w:t xml:space="preserve"> </w:t>
      </w:r>
    </w:p>
    <w:p w14:paraId="725F9425" w14:textId="77777777" w:rsidR="00E964CF" w:rsidRDefault="0022157B">
      <w:pPr>
        <w:spacing w:after="238" w:line="301" w:lineRule="auto"/>
        <w:ind w:left="-5"/>
      </w:pPr>
      <w:r>
        <w:t xml:space="preserve">Incyte Biosciences UK requests that this appeal should be determined at an oral hearing.  </w:t>
      </w:r>
    </w:p>
    <w:p w14:paraId="57C33412" w14:textId="77777777" w:rsidR="00E964CF" w:rsidRDefault="0022157B">
      <w:pPr>
        <w:spacing w:after="240" w:line="301" w:lineRule="auto"/>
        <w:ind w:left="-5"/>
      </w:pPr>
      <w:r>
        <w:t>We thank you in advance for considering the company’s submiss</w:t>
      </w:r>
      <w:r>
        <w:t xml:space="preserve">ions in this appeal. We are available to answer any questions you may have or provide further clarifications. </w:t>
      </w:r>
    </w:p>
    <w:p w14:paraId="76B16E47" w14:textId="77777777" w:rsidR="00E964CF" w:rsidRDefault="0022157B">
      <w:pPr>
        <w:spacing w:after="295"/>
        <w:ind w:left="-5"/>
      </w:pPr>
      <w:r>
        <w:lastRenderedPageBreak/>
        <w:t xml:space="preserve">Yours sincerely, </w:t>
      </w:r>
    </w:p>
    <w:p w14:paraId="0FE08E89" w14:textId="77777777" w:rsidR="00E964CF" w:rsidRDefault="0022157B">
      <w:pPr>
        <w:spacing w:after="318"/>
        <w:ind w:left="-5"/>
      </w:pPr>
      <w:r>
        <w:t xml:space="preserve">Incyte Biosciences UK Ltd </w:t>
      </w:r>
    </w:p>
    <w:p w14:paraId="34C8D13F" w14:textId="77777777" w:rsidR="00E964CF" w:rsidRDefault="0022157B">
      <w:pPr>
        <w:spacing w:after="0" w:line="259" w:lineRule="auto"/>
        <w:ind w:left="0" w:firstLine="0"/>
      </w:pPr>
      <w:r>
        <w:t xml:space="preserve"> </w:t>
      </w:r>
      <w:r>
        <w:tab/>
        <w:t xml:space="preserve"> </w:t>
      </w:r>
    </w:p>
    <w:p w14:paraId="17102F90" w14:textId="77777777" w:rsidR="00E964CF" w:rsidRDefault="0022157B">
      <w:pPr>
        <w:spacing w:after="31" w:line="268" w:lineRule="auto"/>
        <w:ind w:left="-5"/>
        <w:jc w:val="both"/>
      </w:pPr>
      <w:r>
        <w:rPr>
          <w:b/>
        </w:rPr>
        <w:t xml:space="preserve">References </w:t>
      </w:r>
    </w:p>
    <w:p w14:paraId="62FD5A56" w14:textId="77777777" w:rsidR="00E964CF" w:rsidRDefault="0022157B">
      <w:pPr>
        <w:numPr>
          <w:ilvl w:val="0"/>
          <w:numId w:val="5"/>
        </w:numPr>
        <w:ind w:hanging="720"/>
      </w:pPr>
      <w:r>
        <w:t xml:space="preserve">National Institute for Health and Care Excellence. </w:t>
      </w:r>
      <w:proofErr w:type="spellStart"/>
      <w:r>
        <w:t>Polatuzumab</w:t>
      </w:r>
      <w:proofErr w:type="spellEnd"/>
      <w:r>
        <w:t xml:space="preserve"> </w:t>
      </w:r>
      <w:proofErr w:type="spellStart"/>
      <w:r>
        <w:t>vedotin</w:t>
      </w:r>
      <w:proofErr w:type="spellEnd"/>
      <w:r>
        <w:t xml:space="preserve"> with rituximab and </w:t>
      </w:r>
      <w:proofErr w:type="spellStart"/>
      <w:r>
        <w:t>bendamustine</w:t>
      </w:r>
      <w:proofErr w:type="spellEnd"/>
      <w:r>
        <w:t xml:space="preserve"> for treating relapsed or refractory diffuse large B-cell lymphoma: TA649. 2020. p. 1–18. </w:t>
      </w:r>
    </w:p>
    <w:p w14:paraId="2C7F89D5" w14:textId="77777777" w:rsidR="00E964CF" w:rsidRDefault="0022157B">
      <w:pPr>
        <w:numPr>
          <w:ilvl w:val="0"/>
          <w:numId w:val="5"/>
        </w:numPr>
        <w:ind w:hanging="720"/>
      </w:pPr>
      <w:r>
        <w:t xml:space="preserve">Cordoba R, </w:t>
      </w:r>
      <w:proofErr w:type="spellStart"/>
      <w:r>
        <w:t>Prawitz</w:t>
      </w:r>
      <w:proofErr w:type="spellEnd"/>
      <w:r>
        <w:t xml:space="preserve"> T, Westley T, Sharma A, </w:t>
      </w:r>
      <w:proofErr w:type="spellStart"/>
      <w:r>
        <w:t>Ambarkhane</w:t>
      </w:r>
      <w:proofErr w:type="spellEnd"/>
      <w:r>
        <w:t xml:space="preserve"> S, </w:t>
      </w:r>
      <w:proofErr w:type="spellStart"/>
      <w:r>
        <w:t>Kapeta</w:t>
      </w:r>
      <w:r>
        <w:t>nakis</w:t>
      </w:r>
      <w:proofErr w:type="spellEnd"/>
      <w:r>
        <w:t xml:space="preserve"> V, et al. </w:t>
      </w:r>
      <w:proofErr w:type="spellStart"/>
      <w:r>
        <w:t>Tafasitamab</w:t>
      </w:r>
      <w:proofErr w:type="spellEnd"/>
      <w:r>
        <w:t xml:space="preserve"> Plus Lenalidomide Versus 3 Rituximab-Based Treatments for Non-Transplant Eligible Relapsed/Refractory Diffuse Large B-Cell Lymphoma: A Matching-Adjusted Indirect Comparison. Adv </w:t>
      </w:r>
      <w:proofErr w:type="spellStart"/>
      <w:r>
        <w:t>Ther</w:t>
      </w:r>
      <w:proofErr w:type="spellEnd"/>
      <w:r>
        <w:t xml:space="preserve">. 2022;39(6):2668-87. </w:t>
      </w:r>
    </w:p>
    <w:p w14:paraId="33D77C22" w14:textId="77777777" w:rsidR="00E964CF" w:rsidRDefault="0022157B">
      <w:pPr>
        <w:numPr>
          <w:ilvl w:val="0"/>
          <w:numId w:val="5"/>
        </w:numPr>
        <w:ind w:hanging="720"/>
      </w:pPr>
      <w:proofErr w:type="spellStart"/>
      <w:r>
        <w:t>Sehn</w:t>
      </w:r>
      <w:proofErr w:type="spellEnd"/>
      <w:r>
        <w:t xml:space="preserve"> LH, Hertzberg M, </w:t>
      </w:r>
      <w:proofErr w:type="spellStart"/>
      <w:r>
        <w:t>O</w:t>
      </w:r>
      <w:r>
        <w:t>pat</w:t>
      </w:r>
      <w:proofErr w:type="spellEnd"/>
      <w:r>
        <w:t xml:space="preserve"> S, Herrera AF, </w:t>
      </w:r>
      <w:proofErr w:type="spellStart"/>
      <w:r>
        <w:t>Assouline</w:t>
      </w:r>
      <w:proofErr w:type="spellEnd"/>
      <w:r>
        <w:t xml:space="preserve"> S, Flowers CR, et al. </w:t>
      </w:r>
    </w:p>
    <w:p w14:paraId="6CC1F054" w14:textId="77777777" w:rsidR="00E964CF" w:rsidRDefault="0022157B">
      <w:pPr>
        <w:ind w:left="-5"/>
      </w:pPr>
      <w:proofErr w:type="spellStart"/>
      <w:r>
        <w:t>Polatuzumab</w:t>
      </w:r>
      <w:proofErr w:type="spellEnd"/>
      <w:r>
        <w:t xml:space="preserve"> </w:t>
      </w:r>
      <w:proofErr w:type="spellStart"/>
      <w:r>
        <w:t>vedotin</w:t>
      </w:r>
      <w:proofErr w:type="spellEnd"/>
      <w:r>
        <w:t xml:space="preserve"> plus </w:t>
      </w:r>
      <w:proofErr w:type="spellStart"/>
      <w:r>
        <w:t>bendamustine</w:t>
      </w:r>
      <w:proofErr w:type="spellEnd"/>
      <w:r>
        <w:t xml:space="preserve"> and rituximab in relapsed/refractory DLBCL: survival update and new extension cohort data. Blood Adv. 2022;6(2):53343. </w:t>
      </w:r>
    </w:p>
    <w:p w14:paraId="672DA765" w14:textId="77777777" w:rsidR="00E964CF" w:rsidRDefault="0022157B">
      <w:pPr>
        <w:numPr>
          <w:ilvl w:val="0"/>
          <w:numId w:val="5"/>
        </w:numPr>
        <w:ind w:hanging="720"/>
      </w:pPr>
      <w:proofErr w:type="spellStart"/>
      <w:r>
        <w:t>Northend</w:t>
      </w:r>
      <w:proofErr w:type="spellEnd"/>
      <w:r>
        <w:t xml:space="preserve"> M, Wilson W, Osborne W, Fox CP, Davie</w:t>
      </w:r>
      <w:r>
        <w:t>s AJ, El-</w:t>
      </w:r>
      <w:proofErr w:type="spellStart"/>
      <w:r>
        <w:t>Sharkawi</w:t>
      </w:r>
      <w:proofErr w:type="spellEnd"/>
      <w:r>
        <w:t xml:space="preserve"> D, et al. </w:t>
      </w:r>
    </w:p>
    <w:p w14:paraId="5D7BC8A6" w14:textId="77777777" w:rsidR="00E964CF" w:rsidRDefault="0022157B">
      <w:pPr>
        <w:ind w:left="-5"/>
      </w:pPr>
      <w:r>
        <w:t xml:space="preserve">POLATUZUMAB VEDOTIN WITH BENDAMUSTINE AND RITUXIMAB FOR RELAPSED/REFRACTORY HIGH-GRADE B-CELL LYMPHOMA: THE UK EXPERIENCE. </w:t>
      </w:r>
      <w:proofErr w:type="spellStart"/>
      <w:r>
        <w:t>Hematological</w:t>
      </w:r>
      <w:proofErr w:type="spellEnd"/>
      <w:r>
        <w:t xml:space="preserve"> Oncology. 2021;39(S2). </w:t>
      </w:r>
    </w:p>
    <w:p w14:paraId="70CD64EA" w14:textId="77777777" w:rsidR="00E964CF" w:rsidRDefault="0022157B">
      <w:pPr>
        <w:numPr>
          <w:ilvl w:val="0"/>
          <w:numId w:val="5"/>
        </w:numPr>
        <w:ind w:hanging="720"/>
      </w:pPr>
      <w:r>
        <w:t xml:space="preserve">Terui Y, Rai S, </w:t>
      </w:r>
      <w:proofErr w:type="spellStart"/>
      <w:r>
        <w:t>Izutsu</w:t>
      </w:r>
      <w:proofErr w:type="spellEnd"/>
      <w:r>
        <w:t xml:space="preserve"> K, Yamaguchi M, Takizawa J, Kuroda J, et al</w:t>
      </w:r>
      <w:r>
        <w:t xml:space="preserve">. A phase 2 study of </w:t>
      </w:r>
      <w:proofErr w:type="spellStart"/>
      <w:r>
        <w:t>polatuzumab</w:t>
      </w:r>
      <w:proofErr w:type="spellEnd"/>
      <w:r>
        <w:t xml:space="preserve"> </w:t>
      </w:r>
      <w:proofErr w:type="spellStart"/>
      <w:r>
        <w:t>vedotin</w:t>
      </w:r>
      <w:proofErr w:type="spellEnd"/>
      <w:r>
        <w:t xml:space="preserve"> + </w:t>
      </w:r>
      <w:proofErr w:type="spellStart"/>
      <w:r>
        <w:t>bendamustine</w:t>
      </w:r>
      <w:proofErr w:type="spellEnd"/>
      <w:r>
        <w:t xml:space="preserve"> + rituximab in relapsed/refractory diffuse large B-cell lymphoma. Cancer Sci. 2021;112(7):2845-54. </w:t>
      </w:r>
    </w:p>
    <w:p w14:paraId="12A55255" w14:textId="77777777" w:rsidR="00E964CF" w:rsidRDefault="0022157B">
      <w:pPr>
        <w:numPr>
          <w:ilvl w:val="0"/>
          <w:numId w:val="5"/>
        </w:numPr>
        <w:ind w:hanging="720"/>
      </w:pPr>
      <w:proofErr w:type="spellStart"/>
      <w:r>
        <w:t>Liebers</w:t>
      </w:r>
      <w:proofErr w:type="spellEnd"/>
      <w:r>
        <w:t xml:space="preserve"> N, </w:t>
      </w:r>
      <w:proofErr w:type="spellStart"/>
      <w:r>
        <w:t>Duell</w:t>
      </w:r>
      <w:proofErr w:type="spellEnd"/>
      <w:r>
        <w:t xml:space="preserve"> J, Fitzgerald D, </w:t>
      </w:r>
      <w:proofErr w:type="spellStart"/>
      <w:r>
        <w:t>Kerkhoff</w:t>
      </w:r>
      <w:proofErr w:type="spellEnd"/>
      <w:r>
        <w:t xml:space="preserve"> A, </w:t>
      </w:r>
      <w:proofErr w:type="spellStart"/>
      <w:r>
        <w:t>Noerenberg</w:t>
      </w:r>
      <w:proofErr w:type="spellEnd"/>
      <w:r>
        <w:t xml:space="preserve"> D, </w:t>
      </w:r>
      <w:proofErr w:type="spellStart"/>
      <w:r>
        <w:t>Kaebisch</w:t>
      </w:r>
      <w:proofErr w:type="spellEnd"/>
      <w:r>
        <w:t xml:space="preserve"> E, et al. </w:t>
      </w:r>
      <w:proofErr w:type="spellStart"/>
      <w:r>
        <w:t>Polatuzumab</w:t>
      </w:r>
      <w:proofErr w:type="spellEnd"/>
      <w:r>
        <w:t xml:space="preserve"> </w:t>
      </w:r>
      <w:proofErr w:type="spellStart"/>
      <w:r>
        <w:t>vedotin</w:t>
      </w:r>
      <w:proofErr w:type="spellEnd"/>
      <w:r>
        <w:t xml:space="preserve"> a</w:t>
      </w:r>
      <w:r>
        <w:t xml:space="preserve">s a salvage and bridging treatment in relapsed or refractory large B-cell lymphomas. Blood Adv. 2021;5(13):2707-16. </w:t>
      </w:r>
    </w:p>
    <w:p w14:paraId="6B543AF4" w14:textId="77777777" w:rsidR="00E964CF" w:rsidRDefault="0022157B">
      <w:pPr>
        <w:numPr>
          <w:ilvl w:val="0"/>
          <w:numId w:val="5"/>
        </w:numPr>
        <w:ind w:hanging="720"/>
      </w:pPr>
      <w:proofErr w:type="spellStart"/>
      <w:r>
        <w:t>Dujmovic</w:t>
      </w:r>
      <w:proofErr w:type="spellEnd"/>
      <w:r>
        <w:t xml:space="preserve"> </w:t>
      </w:r>
      <w:proofErr w:type="spellStart"/>
      <w:r>
        <w:t>ea</w:t>
      </w:r>
      <w:proofErr w:type="spellEnd"/>
      <w:r>
        <w:t xml:space="preserve">, editor </w:t>
      </w:r>
      <w:proofErr w:type="spellStart"/>
      <w:r>
        <w:t>Polatuzumab-vedotin</w:t>
      </w:r>
      <w:proofErr w:type="spellEnd"/>
      <w:r>
        <w:t xml:space="preserve"> combined with immunochemotherapy in R/R patients with DLBCL: a retrospective, noninterventional, re</w:t>
      </w:r>
      <w:r>
        <w:t xml:space="preserve">al-life study of </w:t>
      </w:r>
      <w:proofErr w:type="spellStart"/>
      <w:r>
        <w:t>Krohem</w:t>
      </w:r>
      <w:proofErr w:type="spellEnd"/>
      <w:r>
        <w:t xml:space="preserve">, the Croatian Cooperative Group for Hematologic Disease. EHA Congress; 2020. </w:t>
      </w:r>
    </w:p>
    <w:p w14:paraId="196685B3" w14:textId="77777777" w:rsidR="00E964CF" w:rsidRDefault="0022157B">
      <w:pPr>
        <w:numPr>
          <w:ilvl w:val="0"/>
          <w:numId w:val="5"/>
        </w:numPr>
        <w:ind w:hanging="720"/>
      </w:pPr>
      <w:proofErr w:type="spellStart"/>
      <w:r>
        <w:t>Dimou</w:t>
      </w:r>
      <w:proofErr w:type="spellEnd"/>
      <w:r>
        <w:t xml:space="preserve"> M, </w:t>
      </w:r>
      <w:proofErr w:type="spellStart"/>
      <w:r>
        <w:t>Papageorgiou</w:t>
      </w:r>
      <w:proofErr w:type="spellEnd"/>
      <w:r>
        <w:t xml:space="preserve"> SG, </w:t>
      </w:r>
      <w:proofErr w:type="spellStart"/>
      <w:r>
        <w:t>Stavroyianni</w:t>
      </w:r>
      <w:proofErr w:type="spellEnd"/>
      <w:r>
        <w:t xml:space="preserve"> N, </w:t>
      </w:r>
      <w:proofErr w:type="spellStart"/>
      <w:r>
        <w:t>Katodritou</w:t>
      </w:r>
      <w:proofErr w:type="spellEnd"/>
      <w:r>
        <w:t xml:space="preserve"> E, </w:t>
      </w:r>
      <w:proofErr w:type="spellStart"/>
      <w:r>
        <w:t>Tsirogianni</w:t>
      </w:r>
      <w:proofErr w:type="spellEnd"/>
      <w:r>
        <w:t xml:space="preserve"> M, </w:t>
      </w:r>
      <w:proofErr w:type="spellStart"/>
      <w:r>
        <w:t>Kalpadakis</w:t>
      </w:r>
      <w:proofErr w:type="spellEnd"/>
      <w:r>
        <w:t xml:space="preserve"> C, et al. Real-life experience with the combination of </w:t>
      </w:r>
      <w:proofErr w:type="spellStart"/>
      <w:r>
        <w:t>polatuzumab</w:t>
      </w:r>
      <w:proofErr w:type="spellEnd"/>
      <w:r>
        <w:t xml:space="preserve"> </w:t>
      </w:r>
      <w:proofErr w:type="spellStart"/>
      <w:r>
        <w:t>vedot</w:t>
      </w:r>
      <w:r>
        <w:t>in</w:t>
      </w:r>
      <w:proofErr w:type="spellEnd"/>
      <w:r>
        <w:t xml:space="preserve">, rituximab, and </w:t>
      </w:r>
      <w:proofErr w:type="spellStart"/>
      <w:r>
        <w:t>bendamustine</w:t>
      </w:r>
      <w:proofErr w:type="spellEnd"/>
      <w:r>
        <w:t xml:space="preserve"> in aggressive B-cell lymphomas. </w:t>
      </w:r>
      <w:proofErr w:type="spellStart"/>
      <w:r>
        <w:t>Hematol</w:t>
      </w:r>
      <w:proofErr w:type="spellEnd"/>
      <w:r>
        <w:t xml:space="preserve"> Oncol. 2021;39(3):336-48. </w:t>
      </w:r>
    </w:p>
    <w:p w14:paraId="0D23DC9A" w14:textId="77777777" w:rsidR="00E964CF" w:rsidRDefault="0022157B">
      <w:pPr>
        <w:numPr>
          <w:ilvl w:val="0"/>
          <w:numId w:val="5"/>
        </w:numPr>
        <w:ind w:hanging="720"/>
      </w:pPr>
      <w:r>
        <w:t xml:space="preserve">Wang YW, Tsai XC, Hou HA, Tien FM, Liu JH, Chou WC, et al. </w:t>
      </w:r>
      <w:proofErr w:type="spellStart"/>
      <w:r>
        <w:t>Polatuzumab</w:t>
      </w:r>
      <w:proofErr w:type="spellEnd"/>
      <w:r>
        <w:t xml:space="preserve"> </w:t>
      </w:r>
      <w:proofErr w:type="spellStart"/>
      <w:r>
        <w:t>vedotin</w:t>
      </w:r>
      <w:proofErr w:type="spellEnd"/>
      <w:r>
        <w:t>-based salvage immunochemotherapy as third-line or beyond treatment for patient</w:t>
      </w:r>
      <w:r>
        <w:t xml:space="preserve">s with diffuse large B-cell lymphoma: a real-world experience. Ann </w:t>
      </w:r>
      <w:proofErr w:type="spellStart"/>
      <w:r>
        <w:t>Hematol</w:t>
      </w:r>
      <w:proofErr w:type="spellEnd"/>
      <w:r>
        <w:t xml:space="preserve">. </w:t>
      </w:r>
    </w:p>
    <w:p w14:paraId="33D2B8BE" w14:textId="77777777" w:rsidR="00E964CF" w:rsidRDefault="0022157B">
      <w:pPr>
        <w:ind w:left="-5"/>
      </w:pPr>
      <w:r>
        <w:t xml:space="preserve">2022;101(2):349-58. </w:t>
      </w:r>
    </w:p>
    <w:p w14:paraId="36061EBA" w14:textId="77777777" w:rsidR="00E964CF" w:rsidRDefault="0022157B">
      <w:pPr>
        <w:numPr>
          <w:ilvl w:val="0"/>
          <w:numId w:val="5"/>
        </w:numPr>
        <w:ind w:hanging="720"/>
      </w:pPr>
      <w:r>
        <w:t xml:space="preserve">Nowakowski GS, Yoon DH, Peters A, </w:t>
      </w:r>
      <w:proofErr w:type="spellStart"/>
      <w:r>
        <w:t>Mondello</w:t>
      </w:r>
      <w:proofErr w:type="spellEnd"/>
      <w:r>
        <w:t xml:space="preserve"> P, Joffe E, Fleury I, et al. </w:t>
      </w:r>
    </w:p>
    <w:p w14:paraId="23D586E9" w14:textId="77777777" w:rsidR="00E964CF" w:rsidRDefault="0022157B">
      <w:pPr>
        <w:ind w:left="-5"/>
      </w:pPr>
      <w:r>
        <w:t xml:space="preserve">Improved Efficacy of </w:t>
      </w:r>
      <w:proofErr w:type="spellStart"/>
      <w:r>
        <w:t>Tafasitamab</w:t>
      </w:r>
      <w:proofErr w:type="spellEnd"/>
      <w:r>
        <w:t xml:space="preserve"> plus Lenalidomide versus Systemic Therapies for Rela</w:t>
      </w:r>
      <w:r>
        <w:t xml:space="preserve">psed/Refractory DLBCL: RE-MIND2, an Observational Retrospective Matched Cohort Study. Clin Cancer Res. </w:t>
      </w:r>
      <w:proofErr w:type="gramStart"/>
      <w:r>
        <w:t>2022:Of</w:t>
      </w:r>
      <w:proofErr w:type="gramEnd"/>
      <w:r>
        <w:t xml:space="preserve">1-of15. </w:t>
      </w:r>
    </w:p>
    <w:p w14:paraId="51A55B1B" w14:textId="77777777" w:rsidR="00E964CF" w:rsidRDefault="0022157B">
      <w:pPr>
        <w:numPr>
          <w:ilvl w:val="0"/>
          <w:numId w:val="5"/>
        </w:numPr>
        <w:ind w:hanging="720"/>
      </w:pPr>
      <w:proofErr w:type="spellStart"/>
      <w:r>
        <w:lastRenderedPageBreak/>
        <w:t>Avivi</w:t>
      </w:r>
      <w:proofErr w:type="spellEnd"/>
      <w:r>
        <w:t xml:space="preserve"> I, Perry C, </w:t>
      </w:r>
      <w:proofErr w:type="spellStart"/>
      <w:r>
        <w:t>Segman</w:t>
      </w:r>
      <w:proofErr w:type="spellEnd"/>
      <w:r>
        <w:t xml:space="preserve"> Y, Amit O, Bar-On Y, Katz OB, et al. </w:t>
      </w:r>
      <w:proofErr w:type="spellStart"/>
      <w:r>
        <w:t>Polatuzumabbased</w:t>
      </w:r>
      <w:proofErr w:type="spellEnd"/>
      <w:r>
        <w:t xml:space="preserve"> regimen or CAR T cell for patients with refractory/relapse</w:t>
      </w:r>
      <w:r>
        <w:t xml:space="preserve">d DLBCL-a matched cohort analysis. Ann </w:t>
      </w:r>
      <w:proofErr w:type="spellStart"/>
      <w:r>
        <w:t>Hematol</w:t>
      </w:r>
      <w:proofErr w:type="spellEnd"/>
      <w:r>
        <w:t xml:space="preserve">. 2022;101(4):755-62. </w:t>
      </w:r>
    </w:p>
    <w:p w14:paraId="4FA4F911" w14:textId="77777777" w:rsidR="00E964CF" w:rsidRDefault="0022157B">
      <w:pPr>
        <w:numPr>
          <w:ilvl w:val="0"/>
          <w:numId w:val="5"/>
        </w:numPr>
        <w:ind w:hanging="720"/>
      </w:pPr>
      <w:r>
        <w:t xml:space="preserve">Dal MS, </w:t>
      </w:r>
      <w:proofErr w:type="spellStart"/>
      <w:r>
        <w:t>Uncu</w:t>
      </w:r>
      <w:proofErr w:type="spellEnd"/>
      <w:r>
        <w:t xml:space="preserve"> Ulu B, </w:t>
      </w:r>
      <w:proofErr w:type="spellStart"/>
      <w:r>
        <w:t>Uzay</w:t>
      </w:r>
      <w:proofErr w:type="spellEnd"/>
      <w:r>
        <w:t xml:space="preserve"> A, </w:t>
      </w:r>
      <w:proofErr w:type="spellStart"/>
      <w:r>
        <w:t>Akay</w:t>
      </w:r>
      <w:proofErr w:type="spellEnd"/>
      <w:r>
        <w:t xml:space="preserve"> OM, </w:t>
      </w:r>
      <w:proofErr w:type="spellStart"/>
      <w:r>
        <w:t>Besisik</w:t>
      </w:r>
      <w:proofErr w:type="spellEnd"/>
      <w:r>
        <w:t xml:space="preserve"> S, </w:t>
      </w:r>
      <w:proofErr w:type="spellStart"/>
      <w:r>
        <w:t>Yenerel</w:t>
      </w:r>
      <w:proofErr w:type="spellEnd"/>
      <w:r>
        <w:t xml:space="preserve"> MN, et al. P1227: </w:t>
      </w:r>
      <w:proofErr w:type="spellStart"/>
      <w:r>
        <w:t>Polatuzumab</w:t>
      </w:r>
      <w:proofErr w:type="spellEnd"/>
      <w:r>
        <w:t xml:space="preserve"> </w:t>
      </w:r>
      <w:proofErr w:type="spellStart"/>
      <w:r>
        <w:t>vedotin</w:t>
      </w:r>
      <w:proofErr w:type="spellEnd"/>
      <w:r>
        <w:t xml:space="preserve">, rituximab, and </w:t>
      </w:r>
      <w:proofErr w:type="spellStart"/>
      <w:r>
        <w:t>bendamustine</w:t>
      </w:r>
      <w:proofErr w:type="spellEnd"/>
      <w:r>
        <w:t xml:space="preserve"> combination in relapsed or refractory diffuse large b-cell lymph</w:t>
      </w:r>
      <w:r>
        <w:t xml:space="preserve">oma: A real-world data from turkey. </w:t>
      </w:r>
    </w:p>
    <w:p w14:paraId="06F3EE5A" w14:textId="77777777" w:rsidR="00E964CF" w:rsidRDefault="0022157B">
      <w:pPr>
        <w:ind w:left="-5"/>
      </w:pPr>
      <w:proofErr w:type="spellStart"/>
      <w:r>
        <w:t>HemaSphere</w:t>
      </w:r>
      <w:proofErr w:type="spellEnd"/>
      <w:r>
        <w:t xml:space="preserve">. 2022;6. </w:t>
      </w:r>
    </w:p>
    <w:p w14:paraId="570B98C2" w14:textId="77777777" w:rsidR="00E964CF" w:rsidRDefault="0022157B">
      <w:pPr>
        <w:numPr>
          <w:ilvl w:val="0"/>
          <w:numId w:val="5"/>
        </w:numPr>
        <w:ind w:hanging="720"/>
      </w:pPr>
      <w:proofErr w:type="spellStart"/>
      <w:r>
        <w:t>Vodicka</w:t>
      </w:r>
      <w:proofErr w:type="spellEnd"/>
      <w:r>
        <w:t xml:space="preserve"> P, </w:t>
      </w:r>
      <w:proofErr w:type="spellStart"/>
      <w:r>
        <w:t>Benesova</w:t>
      </w:r>
      <w:proofErr w:type="spellEnd"/>
      <w:r>
        <w:t xml:space="preserve"> K, </w:t>
      </w:r>
      <w:proofErr w:type="spellStart"/>
      <w:r>
        <w:t>Janikova</w:t>
      </w:r>
      <w:proofErr w:type="spellEnd"/>
      <w:r>
        <w:t xml:space="preserve"> A, </w:t>
      </w:r>
      <w:proofErr w:type="spellStart"/>
      <w:r>
        <w:t>Prochazka</w:t>
      </w:r>
      <w:proofErr w:type="spellEnd"/>
      <w:r>
        <w:t xml:space="preserve"> V, </w:t>
      </w:r>
      <w:proofErr w:type="spellStart"/>
      <w:r>
        <w:t>Belada</w:t>
      </w:r>
      <w:proofErr w:type="spellEnd"/>
      <w:r>
        <w:t xml:space="preserve"> D, </w:t>
      </w:r>
      <w:proofErr w:type="spellStart"/>
      <w:r>
        <w:t>Mocikova</w:t>
      </w:r>
      <w:proofErr w:type="spellEnd"/>
      <w:r>
        <w:t xml:space="preserve"> H, et al. </w:t>
      </w:r>
      <w:proofErr w:type="spellStart"/>
      <w:r>
        <w:t>Polatuzumab</w:t>
      </w:r>
      <w:proofErr w:type="spellEnd"/>
      <w:r>
        <w:t xml:space="preserve"> </w:t>
      </w:r>
      <w:proofErr w:type="spellStart"/>
      <w:r>
        <w:t>vedotin</w:t>
      </w:r>
      <w:proofErr w:type="spellEnd"/>
      <w:r>
        <w:t xml:space="preserve"> plus </w:t>
      </w:r>
      <w:proofErr w:type="spellStart"/>
      <w:r>
        <w:t>bendamustine</w:t>
      </w:r>
      <w:proofErr w:type="spellEnd"/>
      <w:r>
        <w:t xml:space="preserve"> and rituximab in patients with relapsed/refractory diffuse large B-cell lymphoma in</w:t>
      </w:r>
      <w:r>
        <w:t xml:space="preserve"> the real world. </w:t>
      </w:r>
      <w:proofErr w:type="spellStart"/>
      <w:r>
        <w:t>Eur</w:t>
      </w:r>
      <w:proofErr w:type="spellEnd"/>
      <w:r>
        <w:t xml:space="preserve"> J </w:t>
      </w:r>
      <w:proofErr w:type="spellStart"/>
      <w:r>
        <w:t>Haematol</w:t>
      </w:r>
      <w:proofErr w:type="spellEnd"/>
      <w:r>
        <w:t xml:space="preserve">. 2022;109(2):162-5. </w:t>
      </w:r>
    </w:p>
    <w:p w14:paraId="72F02ECE" w14:textId="77777777" w:rsidR="00E964CF" w:rsidRDefault="0022157B">
      <w:pPr>
        <w:numPr>
          <w:ilvl w:val="0"/>
          <w:numId w:val="5"/>
        </w:numPr>
        <w:ind w:hanging="720"/>
      </w:pPr>
      <w:r>
        <w:t xml:space="preserve">Smith SD, </w:t>
      </w:r>
      <w:proofErr w:type="spellStart"/>
      <w:r>
        <w:t>Lopedote</w:t>
      </w:r>
      <w:proofErr w:type="spellEnd"/>
      <w:r>
        <w:t xml:space="preserve"> P, Samara Y, Mei M, Herrera AF, Winter AM, et al. </w:t>
      </w:r>
      <w:proofErr w:type="spellStart"/>
      <w:r>
        <w:t>Polatuzumab</w:t>
      </w:r>
      <w:proofErr w:type="spellEnd"/>
      <w:r>
        <w:t xml:space="preserve"> </w:t>
      </w:r>
      <w:proofErr w:type="spellStart"/>
      <w:r>
        <w:t>Vedotin</w:t>
      </w:r>
      <w:proofErr w:type="spellEnd"/>
      <w:r>
        <w:t xml:space="preserve"> for Relapsed/Refractory Aggressive B-cell Lymphoma: A </w:t>
      </w:r>
      <w:proofErr w:type="spellStart"/>
      <w:r>
        <w:t>Multicenter</w:t>
      </w:r>
      <w:proofErr w:type="spellEnd"/>
      <w:r>
        <w:t xml:space="preserve"> Post-</w:t>
      </w:r>
      <w:proofErr w:type="gramStart"/>
      <w:r>
        <w:t>marketing</w:t>
      </w:r>
      <w:proofErr w:type="gramEnd"/>
      <w:r>
        <w:t xml:space="preserve"> Analysis. Clin Lymphoma Myeloma L</w:t>
      </w:r>
      <w:r>
        <w:t xml:space="preserve">euk. </w:t>
      </w:r>
    </w:p>
    <w:p w14:paraId="034076FF" w14:textId="77777777" w:rsidR="00E964CF" w:rsidRDefault="0022157B">
      <w:pPr>
        <w:ind w:left="-5"/>
      </w:pPr>
      <w:r>
        <w:t xml:space="preserve">2021;21(3):170-5. </w:t>
      </w:r>
    </w:p>
    <w:p w14:paraId="5B21C650" w14:textId="77777777" w:rsidR="00E964CF" w:rsidRDefault="0022157B">
      <w:pPr>
        <w:numPr>
          <w:ilvl w:val="0"/>
          <w:numId w:val="5"/>
        </w:numPr>
        <w:ind w:hanging="720"/>
      </w:pPr>
      <w:proofErr w:type="spellStart"/>
      <w:r>
        <w:t>Segman</w:t>
      </w:r>
      <w:proofErr w:type="spellEnd"/>
      <w:r>
        <w:t xml:space="preserve"> Y, </w:t>
      </w:r>
      <w:proofErr w:type="spellStart"/>
      <w:r>
        <w:t>Ribakovsky</w:t>
      </w:r>
      <w:proofErr w:type="spellEnd"/>
      <w:r>
        <w:t xml:space="preserve"> E, Avigdor A, </w:t>
      </w:r>
      <w:proofErr w:type="spellStart"/>
      <w:r>
        <w:t>Goldhecht</w:t>
      </w:r>
      <w:proofErr w:type="spellEnd"/>
      <w:r>
        <w:t xml:space="preserve"> Y, </w:t>
      </w:r>
      <w:proofErr w:type="spellStart"/>
      <w:r>
        <w:t>Vainstein</w:t>
      </w:r>
      <w:proofErr w:type="spellEnd"/>
      <w:r>
        <w:t xml:space="preserve"> V, Goldschmidt N, et al. Outcome of relapsed/refractory diffuse large B-cell lymphoma patients treated with </w:t>
      </w:r>
      <w:proofErr w:type="spellStart"/>
      <w:r>
        <w:t>polatuzumab</w:t>
      </w:r>
      <w:proofErr w:type="spellEnd"/>
      <w:r>
        <w:t xml:space="preserve"> </w:t>
      </w:r>
      <w:proofErr w:type="spellStart"/>
      <w:r>
        <w:t>vedotin</w:t>
      </w:r>
      <w:proofErr w:type="spellEnd"/>
      <w:r>
        <w:t>-based therapy: real-life experience. Leuk Lym</w:t>
      </w:r>
      <w:r>
        <w:t xml:space="preserve">phoma. 2021;62(1):118-24. </w:t>
      </w:r>
    </w:p>
    <w:p w14:paraId="39C1D550" w14:textId="77777777" w:rsidR="00E964CF" w:rsidRDefault="0022157B">
      <w:pPr>
        <w:numPr>
          <w:ilvl w:val="0"/>
          <w:numId w:val="5"/>
        </w:numPr>
        <w:spacing w:after="110"/>
        <w:ind w:hanging="720"/>
      </w:pPr>
      <w:r>
        <w:t xml:space="preserve">Tsai C-H, Tien FM, Hou H-A, Liu J-H, Wu S-J, Wang Y-W, et al. </w:t>
      </w:r>
      <w:proofErr w:type="spellStart"/>
      <w:r>
        <w:t>Polatuzumab</w:t>
      </w:r>
      <w:proofErr w:type="spellEnd"/>
      <w:r>
        <w:t xml:space="preserve"> </w:t>
      </w:r>
      <w:proofErr w:type="spellStart"/>
      <w:r>
        <w:t>Vedotin</w:t>
      </w:r>
      <w:proofErr w:type="spellEnd"/>
      <w:r>
        <w:t xml:space="preserve">-Based Salvage Chemotherapy in the Third-Line or Above Treatment for Diffuse Large B-Cell Lymphoma. Blood. </w:t>
      </w:r>
      <w:proofErr w:type="gramStart"/>
      <w:r>
        <w:t>2020;136:12</w:t>
      </w:r>
      <w:proofErr w:type="gramEnd"/>
      <w:r>
        <w:t xml:space="preserve">. </w:t>
      </w:r>
    </w:p>
    <w:p w14:paraId="5C213E45" w14:textId="77777777" w:rsidR="00E964CF" w:rsidRDefault="0022157B">
      <w:pPr>
        <w:spacing w:after="0" w:line="259" w:lineRule="auto"/>
        <w:ind w:left="0" w:firstLine="0"/>
      </w:pPr>
      <w:r>
        <w:rPr>
          <w:b/>
        </w:rPr>
        <w:t xml:space="preserve"> </w:t>
      </w:r>
    </w:p>
    <w:sectPr w:rsidR="00E964CF">
      <w:pgSz w:w="11906" w:h="16838"/>
      <w:pgMar w:top="778" w:right="1436" w:bottom="18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96F"/>
    <w:multiLevelType w:val="hybridMultilevel"/>
    <w:tmpl w:val="D0D40AEE"/>
    <w:lvl w:ilvl="0" w:tplc="9334D2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7EBF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9A63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BA6C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6D7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AE26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2EC5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EA28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80B1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0C56D2"/>
    <w:multiLevelType w:val="hybridMultilevel"/>
    <w:tmpl w:val="0DA26172"/>
    <w:lvl w:ilvl="0" w:tplc="B91E2F5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F46D5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C875F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788D4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F06DF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B8216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0AB99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BE19D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AA22D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0B7EA8"/>
    <w:multiLevelType w:val="hybridMultilevel"/>
    <w:tmpl w:val="98929F4C"/>
    <w:lvl w:ilvl="0" w:tplc="B7AE05D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BEE0B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FEEEC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2C61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E8D7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F8EE0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FC7A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A61A9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B8ED7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0B190F"/>
    <w:multiLevelType w:val="hybridMultilevel"/>
    <w:tmpl w:val="1C10FB62"/>
    <w:lvl w:ilvl="0" w:tplc="7A64EB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78B7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82E9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BEDF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EE81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D211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B8F4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08CC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72A8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9A6643"/>
    <w:multiLevelType w:val="hybridMultilevel"/>
    <w:tmpl w:val="F07206D6"/>
    <w:lvl w:ilvl="0" w:tplc="865CE2A2">
      <w:start w:val="1"/>
      <w:numFmt w:val="bullet"/>
      <w:lvlText w:val="•"/>
      <w:lvlJc w:val="left"/>
      <w:pPr>
        <w:ind w:left="1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69A989A">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26BA00">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0A107E44">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02C8E72">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46B4C0F0">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718CAB08">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DB835D6">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4E8D102">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16cid:durableId="775716124">
    <w:abstractNumId w:val="4"/>
  </w:num>
  <w:num w:numId="2" w16cid:durableId="1221862842">
    <w:abstractNumId w:val="3"/>
  </w:num>
  <w:num w:numId="3" w16cid:durableId="677924007">
    <w:abstractNumId w:val="1"/>
  </w:num>
  <w:num w:numId="4" w16cid:durableId="613756072">
    <w:abstractNumId w:val="0"/>
  </w:num>
  <w:num w:numId="5" w16cid:durableId="398600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CF"/>
    <w:rsid w:val="0022157B"/>
    <w:rsid w:val="00E96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130D"/>
  <w15:docId w15:val="{5E60E32F-CBED-4DA1-AB2B-C58F30DE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224" w:line="277" w:lineRule="auto"/>
      <w:ind w:left="802" w:right="1" w:hanging="442"/>
      <w:jc w:val="both"/>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218"/>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6148</Words>
  <Characters>35047</Characters>
  <Application>Microsoft Office Word</Application>
  <DocSecurity>0</DocSecurity>
  <Lines>292</Lines>
  <Paragraphs>82</Paragraphs>
  <ScaleCrop>false</ScaleCrop>
  <Company/>
  <LinksUpToDate>false</LinksUpToDate>
  <CharactersWithSpaces>41113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Shevani Naidoo</dc:creator>
  <cp:keywords/>
  <cp:lastModifiedBy>Stephen Kurtianyk</cp:lastModifiedBy>
  <cp:revision>2</cp:revision>
  <dcterms:created xsi:type="dcterms:W3CDTF">2022-10-24T14:28:00Z</dcterms:created>
  <dcterms:modified xsi:type="dcterms:W3CDTF">2022-10-24T14:28:00Z</dcterms:modified>
</cp:coreProperties>
</file>