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7D24" w14:textId="1E4DE1FB" w:rsidR="00593F3D" w:rsidRPr="00AB7FC9" w:rsidRDefault="00593F3D" w:rsidP="00593F3D">
      <w:pPr>
        <w:rPr>
          <w:rStyle w:val="Hyperlink"/>
          <w:rFonts w:ascii="Arial" w:hAnsi="Arial" w:cs="Arial"/>
          <w:color w:val="auto"/>
          <w:sz w:val="20"/>
          <w:szCs w:val="20"/>
          <w:u w:val="none"/>
        </w:rPr>
      </w:pPr>
      <w:r w:rsidRPr="00AB7FC9">
        <w:rPr>
          <w:rFonts w:ascii="Arial" w:hAnsi="Arial" w:cs="Arial"/>
          <w:sz w:val="20"/>
          <w:szCs w:val="20"/>
        </w:rPr>
        <w:t xml:space="preserve">Sent by e-mail only: </w:t>
      </w:r>
      <w:r w:rsidR="001A4615" w:rsidRPr="001A4615">
        <w:rPr>
          <w:rFonts w:ascii="Arial" w:hAnsi="Arial" w:cs="Arial"/>
          <w:sz w:val="20"/>
          <w:szCs w:val="20"/>
          <w:highlight w:val="black"/>
        </w:rPr>
        <w:t>XXXXXXXXXX</w:t>
      </w:r>
    </w:p>
    <w:p w14:paraId="6112A4F3" w14:textId="714FBF78" w:rsidR="00AB7FC9" w:rsidRPr="00AB7FC9" w:rsidRDefault="00AB7FC9" w:rsidP="00AB7FC9">
      <w:pPr>
        <w:spacing w:after="0" w:line="240" w:lineRule="auto"/>
        <w:jc w:val="both"/>
        <w:rPr>
          <w:rFonts w:ascii="Arial" w:hAnsi="Arial" w:cs="Arial"/>
          <w:color w:val="0D0D0D" w:themeColor="text1" w:themeTint="F2"/>
          <w:sz w:val="20"/>
          <w:szCs w:val="20"/>
        </w:rPr>
      </w:pPr>
      <w:r w:rsidRPr="00AB7FC9">
        <w:rPr>
          <w:rFonts w:ascii="Arial" w:hAnsi="Arial" w:cs="Arial"/>
          <w:color w:val="0D0D0D" w:themeColor="text1" w:themeTint="F2"/>
          <w:sz w:val="20"/>
          <w:szCs w:val="20"/>
        </w:rPr>
        <w:t xml:space="preserve">FAO </w:t>
      </w:r>
      <w:r w:rsidR="001A4615" w:rsidRPr="001A4615">
        <w:rPr>
          <w:rFonts w:ascii="Arial" w:hAnsi="Arial" w:cs="Arial"/>
          <w:color w:val="0D0D0D" w:themeColor="text1" w:themeTint="F2"/>
          <w:sz w:val="20"/>
          <w:szCs w:val="20"/>
          <w:highlight w:val="black"/>
        </w:rPr>
        <w:t>XXXXXXXXXX</w:t>
      </w:r>
    </w:p>
    <w:p w14:paraId="234EDEF0" w14:textId="1F04BBF8" w:rsidR="00AB7FC9" w:rsidRPr="00AB7FC9" w:rsidRDefault="001A4615" w:rsidP="00AB7FC9">
      <w:pPr>
        <w:spacing w:after="0" w:line="240" w:lineRule="auto"/>
        <w:jc w:val="both"/>
        <w:rPr>
          <w:rFonts w:ascii="Arial" w:hAnsi="Arial" w:cs="Arial"/>
          <w:color w:val="0D0D0D" w:themeColor="text1" w:themeTint="F2"/>
          <w:sz w:val="20"/>
          <w:szCs w:val="20"/>
        </w:rPr>
      </w:pPr>
      <w:r w:rsidRPr="001A4615">
        <w:rPr>
          <w:rFonts w:ascii="Arial" w:hAnsi="Arial" w:cs="Arial"/>
          <w:color w:val="0D0D0D" w:themeColor="text1" w:themeTint="F2"/>
          <w:sz w:val="20"/>
          <w:szCs w:val="20"/>
          <w:highlight w:val="black"/>
        </w:rPr>
        <w:t>XXXXXXXXXXXX</w:t>
      </w:r>
      <w:r w:rsidR="00AB7FC9" w:rsidRPr="00AB7FC9">
        <w:rPr>
          <w:rFonts w:ascii="Arial" w:hAnsi="Arial" w:cs="Arial"/>
          <w:color w:val="0D0D0D" w:themeColor="text1" w:themeTint="F2"/>
          <w:sz w:val="20"/>
          <w:szCs w:val="20"/>
        </w:rPr>
        <w:t>, UK and Ireland</w:t>
      </w:r>
    </w:p>
    <w:p w14:paraId="23CB5CCE" w14:textId="77777777" w:rsidR="00AB7FC9" w:rsidRPr="00AB7FC9" w:rsidRDefault="00AB7FC9" w:rsidP="00AB7FC9">
      <w:pPr>
        <w:spacing w:after="0" w:line="240" w:lineRule="auto"/>
        <w:jc w:val="both"/>
        <w:rPr>
          <w:rFonts w:ascii="Arial" w:hAnsi="Arial" w:cs="Arial"/>
          <w:color w:val="0D0D0D" w:themeColor="text1" w:themeTint="F2"/>
          <w:sz w:val="20"/>
          <w:szCs w:val="20"/>
        </w:rPr>
      </w:pPr>
      <w:r w:rsidRPr="00AB7FC9">
        <w:rPr>
          <w:rFonts w:ascii="Arial" w:hAnsi="Arial" w:cs="Arial"/>
          <w:color w:val="0D0D0D" w:themeColor="text1" w:themeTint="F2"/>
          <w:sz w:val="20"/>
          <w:szCs w:val="20"/>
        </w:rPr>
        <w:t>Ipsen Limited</w:t>
      </w:r>
    </w:p>
    <w:p w14:paraId="799D8680" w14:textId="77777777" w:rsidR="00F24B1D" w:rsidRPr="0043022B" w:rsidRDefault="00F24B1D">
      <w:pPr>
        <w:rPr>
          <w:rFonts w:ascii="Arial" w:hAnsi="Arial" w:cs="Arial"/>
          <w:sz w:val="20"/>
          <w:szCs w:val="20"/>
        </w:rPr>
      </w:pPr>
    </w:p>
    <w:p w14:paraId="1F256B99" w14:textId="77777777" w:rsidR="00F24B1D" w:rsidRPr="0043022B" w:rsidRDefault="00F24B1D">
      <w:pPr>
        <w:rPr>
          <w:rFonts w:ascii="Arial" w:hAnsi="Arial" w:cs="Arial"/>
          <w:sz w:val="20"/>
          <w:szCs w:val="20"/>
        </w:rPr>
      </w:pPr>
    </w:p>
    <w:p w14:paraId="04E6623B" w14:textId="00804C40" w:rsidR="00B737D4" w:rsidRPr="0043022B" w:rsidRDefault="00DC1AEC" w:rsidP="00B737D4">
      <w:pPr>
        <w:rPr>
          <w:rFonts w:ascii="Arial" w:hAnsi="Arial" w:cs="Arial"/>
          <w:sz w:val="20"/>
          <w:szCs w:val="20"/>
        </w:rPr>
      </w:pPr>
      <w:r>
        <w:rPr>
          <w:rFonts w:ascii="Arial" w:hAnsi="Arial" w:cs="Arial"/>
          <w:sz w:val="20"/>
          <w:szCs w:val="20"/>
        </w:rPr>
        <w:t>27</w:t>
      </w:r>
      <w:r w:rsidR="00A02546">
        <w:rPr>
          <w:rFonts w:ascii="Arial" w:hAnsi="Arial" w:cs="Arial"/>
          <w:sz w:val="20"/>
          <w:szCs w:val="20"/>
        </w:rPr>
        <w:t xml:space="preserve"> July 2023</w:t>
      </w:r>
    </w:p>
    <w:p w14:paraId="7FC6013D" w14:textId="63E9D11D" w:rsidR="00A02546" w:rsidRPr="00A02546" w:rsidRDefault="00A02546" w:rsidP="00A02546">
      <w:pPr>
        <w:spacing w:before="240" w:after="240"/>
        <w:jc w:val="both"/>
        <w:rPr>
          <w:rFonts w:ascii="Arial" w:hAnsi="Arial" w:cs="Arial"/>
          <w:sz w:val="20"/>
          <w:szCs w:val="20"/>
        </w:rPr>
      </w:pPr>
      <w:r>
        <w:rPr>
          <w:rFonts w:ascii="Arial" w:hAnsi="Arial" w:cs="Arial"/>
          <w:sz w:val="20"/>
          <w:szCs w:val="20"/>
        </w:rPr>
        <w:t xml:space="preserve">Dear </w:t>
      </w:r>
      <w:r w:rsidR="001A4615" w:rsidRPr="001A4615">
        <w:rPr>
          <w:rFonts w:ascii="Arial" w:hAnsi="Arial" w:cs="Arial"/>
          <w:sz w:val="20"/>
          <w:szCs w:val="20"/>
          <w:highlight w:val="black"/>
        </w:rPr>
        <w:t>XXXXXXXXXX</w:t>
      </w:r>
      <w:r w:rsidRPr="00A02546">
        <w:rPr>
          <w:rFonts w:ascii="Arial" w:hAnsi="Arial" w:cs="Arial"/>
          <w:sz w:val="20"/>
          <w:szCs w:val="20"/>
        </w:rPr>
        <w:t xml:space="preserve"> </w:t>
      </w:r>
    </w:p>
    <w:p w14:paraId="2F0407B1" w14:textId="77777777" w:rsidR="00A02546" w:rsidRPr="00A02546" w:rsidRDefault="00A02546" w:rsidP="00A02546">
      <w:pPr>
        <w:spacing w:before="240" w:after="240"/>
        <w:jc w:val="both"/>
        <w:rPr>
          <w:rFonts w:ascii="Arial" w:hAnsi="Arial" w:cs="Arial"/>
          <w:b/>
          <w:bCs/>
          <w:sz w:val="20"/>
          <w:szCs w:val="20"/>
        </w:rPr>
      </w:pPr>
      <w:r w:rsidRPr="00A02546">
        <w:rPr>
          <w:rFonts w:ascii="Arial" w:hAnsi="Arial" w:cs="Arial"/>
          <w:b/>
          <w:bCs/>
          <w:sz w:val="20"/>
          <w:szCs w:val="20"/>
        </w:rPr>
        <w:t>Re: Final Draft Guidance Document – Cabozantinib for previously treated differentiated thyroid cancer unsuitable for or refractory to radioactive iodine [ID4046]</w:t>
      </w:r>
    </w:p>
    <w:p w14:paraId="645F333C" w14:textId="398C23A0" w:rsidR="00DB178D" w:rsidRPr="00DB178D" w:rsidRDefault="00DB178D" w:rsidP="00A02546">
      <w:pPr>
        <w:spacing w:before="240" w:after="240"/>
        <w:jc w:val="both"/>
        <w:rPr>
          <w:rFonts w:ascii="Arial" w:eastAsia="Times New Roman" w:hAnsi="Arial" w:cs="Arial"/>
          <w:sz w:val="20"/>
          <w:szCs w:val="20"/>
        </w:rPr>
      </w:pPr>
      <w:r w:rsidRPr="00DB178D">
        <w:rPr>
          <w:rFonts w:ascii="Arial" w:eastAsia="Times New Roman" w:hAnsi="Arial" w:cs="Arial"/>
          <w:sz w:val="20"/>
          <w:szCs w:val="20"/>
        </w:rPr>
        <w:t xml:space="preserve">Thank you for your letter of </w:t>
      </w:r>
      <w:r w:rsidR="00A02546">
        <w:rPr>
          <w:rFonts w:ascii="Arial" w:eastAsia="Times New Roman" w:hAnsi="Arial" w:cs="Arial"/>
          <w:sz w:val="20"/>
          <w:szCs w:val="20"/>
        </w:rPr>
        <w:t>20 July</w:t>
      </w:r>
      <w:r w:rsidRPr="00DB178D">
        <w:rPr>
          <w:rFonts w:ascii="Arial" w:eastAsia="Times New Roman" w:hAnsi="Arial" w:cs="Arial"/>
          <w:sz w:val="20"/>
          <w:szCs w:val="20"/>
        </w:rPr>
        <w:t xml:space="preserve"> responding to my initial scrutiny views.  This is my final decision on initial scrutiny.</w:t>
      </w:r>
    </w:p>
    <w:p w14:paraId="22CEAC36" w14:textId="2717FF81" w:rsidR="008D619F" w:rsidRDefault="008D619F" w:rsidP="00DB178D">
      <w:pPr>
        <w:spacing w:before="240" w:after="240"/>
        <w:jc w:val="both"/>
        <w:rPr>
          <w:rFonts w:ascii="Arial" w:eastAsia="Times New Roman" w:hAnsi="Arial" w:cs="Arial"/>
          <w:sz w:val="20"/>
          <w:szCs w:val="20"/>
        </w:rPr>
      </w:pPr>
      <w:r>
        <w:rPr>
          <w:rFonts w:ascii="Arial" w:eastAsia="Times New Roman" w:hAnsi="Arial" w:cs="Arial"/>
          <w:sz w:val="20"/>
          <w:szCs w:val="20"/>
        </w:rPr>
        <w:t xml:space="preserve">I note your comments in respect of the appeal points that I was minded </w:t>
      </w:r>
      <w:proofErr w:type="gramStart"/>
      <w:r>
        <w:rPr>
          <w:rFonts w:ascii="Arial" w:eastAsia="Times New Roman" w:hAnsi="Arial" w:cs="Arial"/>
          <w:sz w:val="20"/>
          <w:szCs w:val="20"/>
        </w:rPr>
        <w:t>to refer</w:t>
      </w:r>
      <w:proofErr w:type="gramEnd"/>
      <w:r>
        <w:rPr>
          <w:rFonts w:ascii="Arial" w:eastAsia="Times New Roman" w:hAnsi="Arial" w:cs="Arial"/>
          <w:sz w:val="20"/>
          <w:szCs w:val="20"/>
        </w:rPr>
        <w:t xml:space="preserve"> to the appeal panel for the reasons explained in my initial scrutiny letter. I confirm those points will be referred to the appeal panel. Thank you for confirming that you accept my reasoning in that regard, save as relates to your appeal point 2.3. I consider your further submissions on point 2.3 below. </w:t>
      </w:r>
    </w:p>
    <w:p w14:paraId="4710A553" w14:textId="308FE8CA" w:rsidR="00DB178D" w:rsidRPr="00243EF5" w:rsidRDefault="00DB178D" w:rsidP="00DB178D">
      <w:pPr>
        <w:pStyle w:val="Paragraph"/>
        <w:numPr>
          <w:ilvl w:val="0"/>
          <w:numId w:val="0"/>
        </w:numPr>
        <w:spacing w:before="120"/>
        <w:jc w:val="both"/>
        <w:rPr>
          <w:rFonts w:cs="Arial"/>
          <w:b/>
          <w:i/>
          <w:sz w:val="20"/>
          <w:szCs w:val="20"/>
        </w:rPr>
      </w:pPr>
      <w:r w:rsidRPr="00243EF5">
        <w:rPr>
          <w:rFonts w:cs="Arial"/>
          <w:b/>
          <w:i/>
          <w:sz w:val="20"/>
          <w:szCs w:val="20"/>
        </w:rPr>
        <w:t>Ground 2:</w:t>
      </w:r>
      <w:r w:rsidRPr="00243EF5">
        <w:rPr>
          <w:rFonts w:cs="Arial"/>
          <w:i/>
          <w:sz w:val="20"/>
          <w:szCs w:val="20"/>
        </w:rPr>
        <w:t xml:space="preserve"> </w:t>
      </w:r>
      <w:r w:rsidRPr="00243EF5">
        <w:rPr>
          <w:rFonts w:cs="Arial"/>
          <w:b/>
          <w:i/>
          <w:sz w:val="20"/>
          <w:szCs w:val="20"/>
        </w:rPr>
        <w:t xml:space="preserve">the recommendation is unreasonable in the light of the evidence submitted to </w:t>
      </w:r>
      <w:proofErr w:type="gramStart"/>
      <w:r w:rsidRPr="00243EF5">
        <w:rPr>
          <w:rFonts w:cs="Arial"/>
          <w:b/>
          <w:i/>
          <w:sz w:val="20"/>
          <w:szCs w:val="20"/>
        </w:rPr>
        <w:t>NICE</w:t>
      </w:r>
      <w:proofErr w:type="gramEnd"/>
    </w:p>
    <w:p w14:paraId="5268D53A" w14:textId="6ED99316" w:rsidR="00671EF3" w:rsidRPr="0043022B" w:rsidRDefault="00671EF3" w:rsidP="00671EF3">
      <w:pPr>
        <w:spacing w:before="240" w:after="240"/>
        <w:jc w:val="both"/>
        <w:rPr>
          <w:rFonts w:ascii="Arial" w:hAnsi="Arial" w:cs="Arial"/>
          <w:b/>
          <w:sz w:val="20"/>
          <w:szCs w:val="20"/>
          <w:u w:val="single"/>
        </w:rPr>
      </w:pPr>
      <w:r w:rsidRPr="0043022B">
        <w:rPr>
          <w:rFonts w:ascii="Arial" w:hAnsi="Arial" w:cs="Arial"/>
          <w:b/>
          <w:sz w:val="20"/>
          <w:szCs w:val="20"/>
          <w:u w:val="single"/>
        </w:rPr>
        <w:t xml:space="preserve">Appeal </w:t>
      </w:r>
      <w:proofErr w:type="gramStart"/>
      <w:r w:rsidRPr="0043022B">
        <w:rPr>
          <w:rFonts w:ascii="Arial" w:hAnsi="Arial" w:cs="Arial"/>
          <w:b/>
          <w:sz w:val="20"/>
          <w:szCs w:val="20"/>
          <w:u w:val="single"/>
        </w:rPr>
        <w:t>point</w:t>
      </w:r>
      <w:proofErr w:type="gramEnd"/>
      <w:r w:rsidRPr="0043022B">
        <w:rPr>
          <w:rFonts w:ascii="Arial" w:hAnsi="Arial" w:cs="Arial"/>
          <w:b/>
          <w:sz w:val="20"/>
          <w:szCs w:val="20"/>
          <w:u w:val="single"/>
        </w:rPr>
        <w:t xml:space="preserve"> 2</w:t>
      </w:r>
      <w:r w:rsidR="008D619F">
        <w:rPr>
          <w:rFonts w:ascii="Arial" w:hAnsi="Arial" w:cs="Arial"/>
          <w:b/>
          <w:sz w:val="20"/>
          <w:szCs w:val="20"/>
          <w:u w:val="single"/>
        </w:rPr>
        <w:t xml:space="preserve">.3: </w:t>
      </w:r>
      <w:r w:rsidR="008D619F" w:rsidRPr="008D619F">
        <w:rPr>
          <w:rFonts w:ascii="Arial" w:hAnsi="Arial" w:cs="Arial"/>
          <w:b/>
          <w:sz w:val="20"/>
          <w:szCs w:val="20"/>
          <w:u w:val="single"/>
        </w:rPr>
        <w:t xml:space="preserve">"The committee’s decision that dose intensity should not be used instead of compliance despite precedence set in TA535 for </w:t>
      </w:r>
      <w:proofErr w:type="spellStart"/>
      <w:r w:rsidR="008D619F" w:rsidRPr="008D619F">
        <w:rPr>
          <w:rFonts w:ascii="Arial" w:hAnsi="Arial" w:cs="Arial"/>
          <w:b/>
          <w:sz w:val="20"/>
          <w:szCs w:val="20"/>
          <w:u w:val="single"/>
        </w:rPr>
        <w:t>lenvatinib</w:t>
      </w:r>
      <w:proofErr w:type="spellEnd"/>
      <w:r w:rsidR="008D619F" w:rsidRPr="008D619F">
        <w:rPr>
          <w:rFonts w:ascii="Arial" w:hAnsi="Arial" w:cs="Arial"/>
          <w:b/>
          <w:sz w:val="20"/>
          <w:szCs w:val="20"/>
          <w:u w:val="single"/>
        </w:rPr>
        <w:t xml:space="preserve"> because </w:t>
      </w:r>
      <w:proofErr w:type="spellStart"/>
      <w:r w:rsidR="008D619F" w:rsidRPr="008D619F">
        <w:rPr>
          <w:rFonts w:ascii="Arial" w:hAnsi="Arial" w:cs="Arial"/>
          <w:b/>
          <w:sz w:val="20"/>
          <w:szCs w:val="20"/>
          <w:u w:val="single"/>
        </w:rPr>
        <w:t>cabozantinib</w:t>
      </w:r>
      <w:proofErr w:type="spellEnd"/>
      <w:r w:rsidR="008D619F" w:rsidRPr="008D619F">
        <w:rPr>
          <w:rFonts w:ascii="Arial" w:hAnsi="Arial" w:cs="Arial"/>
          <w:b/>
          <w:sz w:val="20"/>
          <w:szCs w:val="20"/>
          <w:u w:val="single"/>
        </w:rPr>
        <w:t xml:space="preserve"> is flat priced is inconsistent with the previous DTC appraisal (TA535) and unreasonable."</w:t>
      </w:r>
    </w:p>
    <w:p w14:paraId="0C060C2D" w14:textId="77777777" w:rsidR="00D155F2" w:rsidRPr="009C648F" w:rsidRDefault="00D770E0" w:rsidP="00D770E0">
      <w:pPr>
        <w:spacing w:before="120" w:after="240"/>
        <w:rPr>
          <w:rFonts w:ascii="Arial" w:hAnsi="Arial" w:cs="Arial"/>
          <w:color w:val="0D0D0D" w:themeColor="text1" w:themeTint="F2"/>
          <w:sz w:val="20"/>
          <w:szCs w:val="20"/>
          <w:lang w:eastAsia="en-GB"/>
        </w:rPr>
      </w:pPr>
      <w:r w:rsidRPr="009C648F">
        <w:rPr>
          <w:rFonts w:ascii="Arial" w:hAnsi="Arial" w:cs="Arial"/>
          <w:color w:val="0D0D0D" w:themeColor="text1" w:themeTint="F2"/>
          <w:sz w:val="20"/>
          <w:szCs w:val="20"/>
          <w:lang w:eastAsia="en-GB"/>
        </w:rPr>
        <w:t xml:space="preserve">I remain of the view that this appeal point </w:t>
      </w:r>
      <w:r w:rsidR="00D155F2" w:rsidRPr="009C648F">
        <w:rPr>
          <w:rFonts w:ascii="Arial" w:hAnsi="Arial" w:cs="Arial"/>
          <w:color w:val="0D0D0D" w:themeColor="text1" w:themeTint="F2"/>
          <w:sz w:val="20"/>
          <w:szCs w:val="20"/>
          <w:lang w:eastAsia="en-GB"/>
        </w:rPr>
        <w:t xml:space="preserve">is not arguable and </w:t>
      </w:r>
      <w:r w:rsidRPr="009C648F">
        <w:rPr>
          <w:rFonts w:ascii="Arial" w:hAnsi="Arial" w:cs="Arial"/>
          <w:color w:val="0D0D0D" w:themeColor="text1" w:themeTint="F2"/>
          <w:sz w:val="20"/>
          <w:szCs w:val="20"/>
          <w:lang w:eastAsia="en-GB"/>
        </w:rPr>
        <w:t xml:space="preserve">should not proceed to an oral hearing. </w:t>
      </w:r>
    </w:p>
    <w:p w14:paraId="1E8D7134" w14:textId="040E90EE" w:rsidR="00FE27C0" w:rsidRDefault="009B4E90" w:rsidP="00FE27C0">
      <w:pPr>
        <w:spacing w:before="120" w:after="240"/>
        <w:rPr>
          <w:rFonts w:ascii="Arial" w:hAnsi="Arial" w:cs="Arial"/>
          <w:color w:val="0D0D0D" w:themeColor="text1" w:themeTint="F2"/>
          <w:sz w:val="20"/>
          <w:szCs w:val="20"/>
          <w:lang w:eastAsia="en-GB"/>
        </w:rPr>
      </w:pPr>
      <w:r>
        <w:rPr>
          <w:rFonts w:ascii="Arial" w:hAnsi="Arial" w:cs="Arial"/>
          <w:color w:val="0D0D0D" w:themeColor="text1" w:themeTint="F2"/>
          <w:sz w:val="20"/>
          <w:szCs w:val="20"/>
          <w:lang w:eastAsia="en-GB"/>
        </w:rPr>
        <w:t>I appreciate Ipsen's frustration that a different approach to calculating costs was taken in previous appraisals that was potentially more advantageous to the company. However, the</w:t>
      </w:r>
      <w:r w:rsidR="00FE27C0">
        <w:rPr>
          <w:rFonts w:ascii="Arial" w:hAnsi="Arial" w:cs="Arial"/>
          <w:color w:val="0D0D0D" w:themeColor="text1" w:themeTint="F2"/>
          <w:sz w:val="20"/>
          <w:szCs w:val="20"/>
          <w:lang w:eastAsia="en-GB"/>
        </w:rPr>
        <w:t xml:space="preserve"> Committee was </w:t>
      </w:r>
      <w:r>
        <w:rPr>
          <w:rFonts w:ascii="Arial" w:hAnsi="Arial" w:cs="Arial"/>
          <w:color w:val="0D0D0D" w:themeColor="text1" w:themeTint="F2"/>
          <w:sz w:val="20"/>
          <w:szCs w:val="20"/>
          <w:lang w:eastAsia="en-GB"/>
        </w:rPr>
        <w:t>entitled</w:t>
      </w:r>
      <w:r w:rsidR="00FE27C0">
        <w:rPr>
          <w:rFonts w:ascii="Arial" w:hAnsi="Arial" w:cs="Arial"/>
          <w:color w:val="0D0D0D" w:themeColor="text1" w:themeTint="F2"/>
          <w:sz w:val="20"/>
          <w:szCs w:val="20"/>
          <w:lang w:eastAsia="en-GB"/>
        </w:rPr>
        <w:t xml:space="preserve"> to depart from </w:t>
      </w:r>
      <w:r>
        <w:rPr>
          <w:rFonts w:ascii="Arial" w:hAnsi="Arial" w:cs="Arial"/>
          <w:color w:val="0D0D0D" w:themeColor="text1" w:themeTint="F2"/>
          <w:sz w:val="20"/>
          <w:szCs w:val="20"/>
          <w:lang w:eastAsia="en-GB"/>
        </w:rPr>
        <w:t>that previous approach</w:t>
      </w:r>
      <w:r w:rsidR="00FE27C0">
        <w:rPr>
          <w:rFonts w:ascii="Arial" w:hAnsi="Arial" w:cs="Arial"/>
          <w:color w:val="0D0D0D" w:themeColor="text1" w:themeTint="F2"/>
          <w:sz w:val="20"/>
          <w:szCs w:val="20"/>
          <w:lang w:eastAsia="en-GB"/>
        </w:rPr>
        <w:t xml:space="preserve">, provided it did so </w:t>
      </w:r>
      <w:r w:rsidR="00FE27C0" w:rsidRPr="00FE27C0">
        <w:rPr>
          <w:rFonts w:ascii="Arial" w:hAnsi="Arial" w:cs="Arial"/>
          <w:b/>
          <w:bCs/>
          <w:color w:val="0D0D0D" w:themeColor="text1" w:themeTint="F2"/>
          <w:sz w:val="20"/>
          <w:szCs w:val="20"/>
          <w:lang w:eastAsia="en-GB"/>
        </w:rPr>
        <w:t>fairly</w:t>
      </w:r>
      <w:r w:rsidR="00FE27C0">
        <w:rPr>
          <w:rFonts w:ascii="Arial" w:hAnsi="Arial" w:cs="Arial"/>
          <w:color w:val="0D0D0D" w:themeColor="text1" w:themeTint="F2"/>
          <w:sz w:val="20"/>
          <w:szCs w:val="20"/>
          <w:lang w:eastAsia="en-GB"/>
        </w:rPr>
        <w:t xml:space="preserve"> (</w:t>
      </w:r>
      <w:proofErr w:type="gramStart"/>
      <w:r w:rsidR="00FE27C0">
        <w:rPr>
          <w:rFonts w:ascii="Arial" w:hAnsi="Arial" w:cs="Arial"/>
          <w:color w:val="0D0D0D" w:themeColor="text1" w:themeTint="F2"/>
          <w:sz w:val="20"/>
          <w:szCs w:val="20"/>
          <w:lang w:eastAsia="en-GB"/>
        </w:rPr>
        <w:t>i.e.</w:t>
      </w:r>
      <w:proofErr w:type="gramEnd"/>
      <w:r w:rsidR="00FE27C0">
        <w:rPr>
          <w:rFonts w:ascii="Arial" w:hAnsi="Arial" w:cs="Arial"/>
          <w:color w:val="0D0D0D" w:themeColor="text1" w:themeTint="F2"/>
          <w:sz w:val="20"/>
          <w:szCs w:val="20"/>
          <w:lang w:eastAsia="en-GB"/>
        </w:rPr>
        <w:t xml:space="preserve"> by complying with NICE's processes, giving Ipsen fair warning of its favoured approach and explaining its reasons) and </w:t>
      </w:r>
      <w:r w:rsidR="00FE27C0" w:rsidRPr="00FE27C0">
        <w:rPr>
          <w:rFonts w:ascii="Arial" w:hAnsi="Arial" w:cs="Arial"/>
          <w:b/>
          <w:bCs/>
          <w:color w:val="0D0D0D" w:themeColor="text1" w:themeTint="F2"/>
          <w:sz w:val="20"/>
          <w:szCs w:val="20"/>
          <w:lang w:eastAsia="en-GB"/>
        </w:rPr>
        <w:t>reasonably</w:t>
      </w:r>
      <w:r w:rsidR="00FE27C0">
        <w:rPr>
          <w:rFonts w:ascii="Arial" w:hAnsi="Arial" w:cs="Arial"/>
          <w:color w:val="0D0D0D" w:themeColor="text1" w:themeTint="F2"/>
          <w:sz w:val="20"/>
          <w:szCs w:val="20"/>
          <w:lang w:eastAsia="en-GB"/>
        </w:rPr>
        <w:t xml:space="preserve"> (i.e. by adopting an approach that makes sense or "adds up" on the evidence that was available to it). </w:t>
      </w:r>
    </w:p>
    <w:p w14:paraId="3494BE20" w14:textId="77777777" w:rsidR="00FE27C0" w:rsidRDefault="00FE27C0" w:rsidP="00D770E0">
      <w:pPr>
        <w:spacing w:before="120" w:after="240"/>
        <w:rPr>
          <w:rFonts w:ascii="Arial" w:hAnsi="Arial" w:cs="Arial"/>
          <w:color w:val="0D0D0D" w:themeColor="text1" w:themeTint="F2"/>
          <w:sz w:val="20"/>
          <w:szCs w:val="20"/>
          <w:lang w:eastAsia="en-GB"/>
        </w:rPr>
      </w:pPr>
      <w:r>
        <w:rPr>
          <w:rFonts w:ascii="Arial" w:hAnsi="Arial" w:cs="Arial"/>
          <w:color w:val="0D0D0D" w:themeColor="text1" w:themeTint="F2"/>
          <w:sz w:val="20"/>
          <w:szCs w:val="20"/>
          <w:lang w:eastAsia="en-GB"/>
        </w:rPr>
        <w:t xml:space="preserve">I have considered your arguments under both grounds 1(a) and 2. </w:t>
      </w:r>
    </w:p>
    <w:p w14:paraId="7303434D" w14:textId="5E0AEF48" w:rsidR="009C648F" w:rsidRDefault="009C648F" w:rsidP="00D770E0">
      <w:pPr>
        <w:spacing w:before="120" w:after="240"/>
        <w:rPr>
          <w:rFonts w:ascii="Arial" w:hAnsi="Arial" w:cs="Arial"/>
          <w:color w:val="0D0D0D" w:themeColor="text1" w:themeTint="F2"/>
          <w:sz w:val="20"/>
          <w:szCs w:val="20"/>
          <w:lang w:eastAsia="en-GB"/>
        </w:rPr>
      </w:pPr>
      <w:r>
        <w:rPr>
          <w:rFonts w:ascii="Arial" w:hAnsi="Arial" w:cs="Arial"/>
          <w:color w:val="0D0D0D" w:themeColor="text1" w:themeTint="F2"/>
          <w:sz w:val="20"/>
          <w:szCs w:val="20"/>
          <w:lang w:eastAsia="en-GB"/>
        </w:rPr>
        <w:t xml:space="preserve">I can see no arguable </w:t>
      </w:r>
      <w:r w:rsidRPr="009C648F">
        <w:rPr>
          <w:rFonts w:ascii="Arial" w:hAnsi="Arial" w:cs="Arial"/>
          <w:b/>
          <w:bCs/>
          <w:color w:val="0D0D0D" w:themeColor="text1" w:themeTint="F2"/>
          <w:sz w:val="20"/>
          <w:szCs w:val="20"/>
          <w:lang w:eastAsia="en-GB"/>
        </w:rPr>
        <w:t>unfairness</w:t>
      </w:r>
      <w:r>
        <w:rPr>
          <w:rFonts w:ascii="Arial" w:hAnsi="Arial" w:cs="Arial"/>
          <w:color w:val="0D0D0D" w:themeColor="text1" w:themeTint="F2"/>
          <w:sz w:val="20"/>
          <w:szCs w:val="20"/>
          <w:lang w:eastAsia="en-GB"/>
        </w:rPr>
        <w:t xml:space="preserve"> here under ground 1(a).</w:t>
      </w:r>
      <w:r w:rsidR="004B4EC7">
        <w:rPr>
          <w:rFonts w:ascii="Arial" w:hAnsi="Arial" w:cs="Arial"/>
          <w:color w:val="0D0D0D" w:themeColor="text1" w:themeTint="F2"/>
          <w:sz w:val="20"/>
          <w:szCs w:val="20"/>
          <w:lang w:eastAsia="en-GB"/>
        </w:rPr>
        <w:t xml:space="preserve"> While departing from the approach taken in previous similar appraisals, </w:t>
      </w:r>
      <w:r w:rsidRPr="00D155F2">
        <w:rPr>
          <w:rFonts w:ascii="Arial" w:hAnsi="Arial" w:cs="Arial"/>
          <w:color w:val="0D0D0D" w:themeColor="text1" w:themeTint="F2"/>
          <w:sz w:val="20"/>
          <w:szCs w:val="20"/>
          <w:lang w:eastAsia="en-GB"/>
        </w:rPr>
        <w:t xml:space="preserve">the Committee </w:t>
      </w:r>
      <w:r w:rsidR="004B4EC7">
        <w:rPr>
          <w:rFonts w:ascii="Arial" w:hAnsi="Arial" w:cs="Arial"/>
          <w:color w:val="0D0D0D" w:themeColor="text1" w:themeTint="F2"/>
          <w:sz w:val="20"/>
          <w:szCs w:val="20"/>
          <w:lang w:eastAsia="en-GB"/>
        </w:rPr>
        <w:t>noted this expressly in para 3.11 of the FDG (quoted in your letter of 20 July) and explained</w:t>
      </w:r>
      <w:r w:rsidR="004B4EC7" w:rsidRPr="004B4EC7">
        <w:t xml:space="preserve"> </w:t>
      </w:r>
      <w:r w:rsidR="004B4EC7" w:rsidRPr="004B4EC7">
        <w:rPr>
          <w:rFonts w:ascii="Arial" w:hAnsi="Arial" w:cs="Arial"/>
          <w:color w:val="0D0D0D" w:themeColor="text1" w:themeTint="F2"/>
          <w:sz w:val="20"/>
          <w:szCs w:val="20"/>
          <w:lang w:eastAsia="en-GB"/>
        </w:rPr>
        <w:t>why it ha</w:t>
      </w:r>
      <w:r w:rsidR="004B4EC7">
        <w:rPr>
          <w:rFonts w:ascii="Arial" w:hAnsi="Arial" w:cs="Arial"/>
          <w:color w:val="0D0D0D" w:themeColor="text1" w:themeTint="F2"/>
          <w:sz w:val="20"/>
          <w:szCs w:val="20"/>
          <w:lang w:eastAsia="en-GB"/>
        </w:rPr>
        <w:t>d</w:t>
      </w:r>
      <w:r w:rsidR="004B4EC7" w:rsidRPr="004B4EC7">
        <w:rPr>
          <w:rFonts w:ascii="Arial" w:hAnsi="Arial" w:cs="Arial"/>
          <w:color w:val="0D0D0D" w:themeColor="text1" w:themeTint="F2"/>
          <w:sz w:val="20"/>
          <w:szCs w:val="20"/>
          <w:lang w:eastAsia="en-GB"/>
        </w:rPr>
        <w:t xml:space="preserve"> reached </w:t>
      </w:r>
      <w:r w:rsidR="004B4EC7">
        <w:rPr>
          <w:rFonts w:ascii="Arial" w:hAnsi="Arial" w:cs="Arial"/>
          <w:color w:val="0D0D0D" w:themeColor="text1" w:themeTint="F2"/>
          <w:sz w:val="20"/>
          <w:szCs w:val="20"/>
          <w:lang w:eastAsia="en-GB"/>
        </w:rPr>
        <w:t>a</w:t>
      </w:r>
      <w:r w:rsidR="004B4EC7" w:rsidRPr="004B4EC7">
        <w:rPr>
          <w:rFonts w:ascii="Arial" w:hAnsi="Arial" w:cs="Arial"/>
          <w:color w:val="0D0D0D" w:themeColor="text1" w:themeTint="F2"/>
          <w:sz w:val="20"/>
          <w:szCs w:val="20"/>
          <w:lang w:eastAsia="en-GB"/>
        </w:rPr>
        <w:t xml:space="preserve"> different view.</w:t>
      </w:r>
      <w:r w:rsidR="004B4EC7">
        <w:rPr>
          <w:rFonts w:ascii="Arial" w:hAnsi="Arial" w:cs="Arial"/>
          <w:color w:val="0D0D0D" w:themeColor="text1" w:themeTint="F2"/>
          <w:sz w:val="20"/>
          <w:szCs w:val="20"/>
          <w:lang w:eastAsia="en-GB"/>
        </w:rPr>
        <w:t xml:space="preserve"> </w:t>
      </w:r>
      <w:proofErr w:type="gramStart"/>
      <w:r w:rsidR="00876065">
        <w:rPr>
          <w:rFonts w:ascii="Arial" w:hAnsi="Arial" w:cs="Arial"/>
          <w:color w:val="0D0D0D" w:themeColor="text1" w:themeTint="F2"/>
          <w:sz w:val="20"/>
          <w:szCs w:val="20"/>
          <w:lang w:eastAsia="en-GB"/>
        </w:rPr>
        <w:t>Therefore</w:t>
      </w:r>
      <w:proofErr w:type="gramEnd"/>
      <w:r w:rsidR="00876065">
        <w:rPr>
          <w:rFonts w:ascii="Arial" w:hAnsi="Arial" w:cs="Arial"/>
          <w:color w:val="0D0D0D" w:themeColor="text1" w:themeTint="F2"/>
          <w:sz w:val="20"/>
          <w:szCs w:val="20"/>
          <w:lang w:eastAsia="en-GB"/>
        </w:rPr>
        <w:t xml:space="preserve"> I disagree with the suggestion in your letter of 20 July that the Committee in this appraisal showed a "failure to take account of precedents". </w:t>
      </w:r>
      <w:r w:rsidR="004B4EC7">
        <w:rPr>
          <w:rFonts w:ascii="Arial" w:hAnsi="Arial" w:cs="Arial"/>
          <w:color w:val="0D0D0D" w:themeColor="text1" w:themeTint="F2"/>
          <w:sz w:val="20"/>
          <w:szCs w:val="20"/>
          <w:lang w:eastAsia="en-GB"/>
        </w:rPr>
        <w:t xml:space="preserve">Further, the Committee </w:t>
      </w:r>
      <w:r w:rsidRPr="00D155F2">
        <w:rPr>
          <w:rFonts w:ascii="Arial" w:hAnsi="Arial" w:cs="Arial"/>
          <w:color w:val="0D0D0D" w:themeColor="text1" w:themeTint="F2"/>
          <w:sz w:val="20"/>
          <w:szCs w:val="20"/>
          <w:lang w:eastAsia="en-GB"/>
        </w:rPr>
        <w:t xml:space="preserve">told </w:t>
      </w:r>
      <w:r>
        <w:rPr>
          <w:rFonts w:ascii="Arial" w:hAnsi="Arial" w:cs="Arial"/>
          <w:color w:val="0D0D0D" w:themeColor="text1" w:themeTint="F2"/>
          <w:sz w:val="20"/>
          <w:szCs w:val="20"/>
          <w:lang w:eastAsia="en-GB"/>
        </w:rPr>
        <w:t>Ipsen</w:t>
      </w:r>
      <w:r w:rsidR="004B4EC7">
        <w:rPr>
          <w:rFonts w:ascii="Arial" w:hAnsi="Arial" w:cs="Arial"/>
          <w:color w:val="0D0D0D" w:themeColor="text1" w:themeTint="F2"/>
          <w:sz w:val="20"/>
          <w:szCs w:val="20"/>
          <w:lang w:eastAsia="en-GB"/>
        </w:rPr>
        <w:t xml:space="preserve"> in advance that</w:t>
      </w:r>
      <w:r>
        <w:rPr>
          <w:rFonts w:ascii="Arial" w:hAnsi="Arial" w:cs="Arial"/>
          <w:color w:val="0D0D0D" w:themeColor="text1" w:themeTint="F2"/>
          <w:sz w:val="20"/>
          <w:szCs w:val="20"/>
          <w:lang w:eastAsia="en-GB"/>
        </w:rPr>
        <w:t xml:space="preserve"> </w:t>
      </w:r>
      <w:r w:rsidR="004B4EC7">
        <w:rPr>
          <w:rFonts w:ascii="Arial" w:hAnsi="Arial" w:cs="Arial"/>
          <w:color w:val="0D0D0D" w:themeColor="text1" w:themeTint="F2"/>
          <w:sz w:val="20"/>
          <w:szCs w:val="20"/>
          <w:lang w:eastAsia="en-GB"/>
        </w:rPr>
        <w:t xml:space="preserve">the Committee was </w:t>
      </w:r>
      <w:r>
        <w:rPr>
          <w:rFonts w:ascii="Arial" w:hAnsi="Arial" w:cs="Arial"/>
          <w:color w:val="0D0D0D" w:themeColor="text1" w:themeTint="F2"/>
          <w:sz w:val="20"/>
          <w:szCs w:val="20"/>
          <w:lang w:eastAsia="en-GB"/>
        </w:rPr>
        <w:t xml:space="preserve">minded </w:t>
      </w:r>
      <w:proofErr w:type="gramStart"/>
      <w:r>
        <w:rPr>
          <w:rFonts w:ascii="Arial" w:hAnsi="Arial" w:cs="Arial"/>
          <w:color w:val="0D0D0D" w:themeColor="text1" w:themeTint="F2"/>
          <w:sz w:val="20"/>
          <w:szCs w:val="20"/>
          <w:lang w:eastAsia="en-GB"/>
        </w:rPr>
        <w:t>to take</w:t>
      </w:r>
      <w:proofErr w:type="gramEnd"/>
      <w:r>
        <w:rPr>
          <w:rFonts w:ascii="Arial" w:hAnsi="Arial" w:cs="Arial"/>
          <w:color w:val="0D0D0D" w:themeColor="text1" w:themeTint="F2"/>
          <w:sz w:val="20"/>
          <w:szCs w:val="20"/>
          <w:lang w:eastAsia="en-GB"/>
        </w:rPr>
        <w:t xml:space="preserve"> this approach </w:t>
      </w:r>
      <w:r w:rsidRPr="00D155F2">
        <w:rPr>
          <w:rFonts w:ascii="Arial" w:hAnsi="Arial" w:cs="Arial"/>
          <w:color w:val="0D0D0D" w:themeColor="text1" w:themeTint="F2"/>
          <w:sz w:val="20"/>
          <w:szCs w:val="20"/>
          <w:lang w:eastAsia="en-GB"/>
        </w:rPr>
        <w:t xml:space="preserve">and </w:t>
      </w:r>
      <w:r>
        <w:rPr>
          <w:rFonts w:ascii="Arial" w:hAnsi="Arial" w:cs="Arial"/>
          <w:color w:val="0D0D0D" w:themeColor="text1" w:themeTint="F2"/>
          <w:sz w:val="20"/>
          <w:szCs w:val="20"/>
          <w:lang w:eastAsia="en-GB"/>
        </w:rPr>
        <w:t>so Ipsen</w:t>
      </w:r>
      <w:r w:rsidRPr="00D155F2">
        <w:rPr>
          <w:rFonts w:ascii="Arial" w:hAnsi="Arial" w:cs="Arial"/>
          <w:color w:val="0D0D0D" w:themeColor="text1" w:themeTint="F2"/>
          <w:sz w:val="20"/>
          <w:szCs w:val="20"/>
          <w:lang w:eastAsia="en-GB"/>
        </w:rPr>
        <w:t xml:space="preserve"> had an </w:t>
      </w:r>
      <w:r w:rsidR="004B4EC7">
        <w:rPr>
          <w:rFonts w:ascii="Arial" w:hAnsi="Arial" w:cs="Arial"/>
          <w:color w:val="0D0D0D" w:themeColor="text1" w:themeTint="F2"/>
          <w:sz w:val="20"/>
          <w:szCs w:val="20"/>
          <w:lang w:eastAsia="en-GB"/>
        </w:rPr>
        <w:t>o</w:t>
      </w:r>
      <w:r w:rsidRPr="00D155F2">
        <w:rPr>
          <w:rFonts w:ascii="Arial" w:hAnsi="Arial" w:cs="Arial"/>
          <w:color w:val="0D0D0D" w:themeColor="text1" w:themeTint="F2"/>
          <w:sz w:val="20"/>
          <w:szCs w:val="20"/>
          <w:lang w:eastAsia="en-GB"/>
        </w:rPr>
        <w:t>pportunity to make rep</w:t>
      </w:r>
      <w:r>
        <w:rPr>
          <w:rFonts w:ascii="Arial" w:hAnsi="Arial" w:cs="Arial"/>
          <w:color w:val="0D0D0D" w:themeColor="text1" w:themeTint="F2"/>
          <w:sz w:val="20"/>
          <w:szCs w:val="20"/>
          <w:lang w:eastAsia="en-GB"/>
        </w:rPr>
        <w:t>resentations</w:t>
      </w:r>
      <w:r w:rsidR="004B4EC7">
        <w:rPr>
          <w:rFonts w:ascii="Arial" w:hAnsi="Arial" w:cs="Arial"/>
          <w:color w:val="0D0D0D" w:themeColor="text1" w:themeTint="F2"/>
          <w:sz w:val="20"/>
          <w:szCs w:val="20"/>
          <w:lang w:eastAsia="en-GB"/>
        </w:rPr>
        <w:t>. Ipsen did so in the consultation on Draft Guidance, to which the EAG and Committee responded with reasons for the approach adopted (see page 8 of the</w:t>
      </w:r>
      <w:r w:rsidR="00F9134D">
        <w:rPr>
          <w:rFonts w:ascii="Arial" w:hAnsi="Arial" w:cs="Arial"/>
          <w:color w:val="0D0D0D" w:themeColor="text1" w:themeTint="F2"/>
          <w:sz w:val="20"/>
          <w:szCs w:val="20"/>
          <w:lang w:eastAsia="en-GB"/>
        </w:rPr>
        <w:t xml:space="preserve"> second</w:t>
      </w:r>
      <w:r w:rsidR="004B4EC7">
        <w:rPr>
          <w:rFonts w:ascii="Arial" w:hAnsi="Arial" w:cs="Arial"/>
          <w:color w:val="0D0D0D" w:themeColor="text1" w:themeTint="F2"/>
          <w:sz w:val="20"/>
          <w:szCs w:val="20"/>
          <w:lang w:eastAsia="en-GB"/>
        </w:rPr>
        <w:t xml:space="preserve"> </w:t>
      </w:r>
      <w:hyperlink r:id="rId8" w:history="1">
        <w:r w:rsidR="00F9134D">
          <w:rPr>
            <w:rStyle w:val="Hyperlink"/>
            <w:rFonts w:ascii="Arial" w:hAnsi="Arial" w:cs="Arial"/>
            <w:sz w:val="20"/>
            <w:szCs w:val="20"/>
            <w:lang w:eastAsia="en-GB"/>
          </w:rPr>
          <w:t>Committee</w:t>
        </w:r>
        <w:r w:rsidR="004B4EC7" w:rsidRPr="004B4EC7">
          <w:rPr>
            <w:rStyle w:val="Hyperlink"/>
            <w:rFonts w:ascii="Arial" w:hAnsi="Arial" w:cs="Arial"/>
            <w:sz w:val="20"/>
            <w:szCs w:val="20"/>
            <w:lang w:eastAsia="en-GB"/>
          </w:rPr>
          <w:t xml:space="preserve"> papers</w:t>
        </w:r>
      </w:hyperlink>
      <w:r w:rsidR="004B4EC7">
        <w:rPr>
          <w:rFonts w:ascii="Arial" w:hAnsi="Arial" w:cs="Arial"/>
          <w:color w:val="0D0D0D" w:themeColor="text1" w:themeTint="F2"/>
          <w:sz w:val="20"/>
          <w:szCs w:val="20"/>
          <w:lang w:eastAsia="en-GB"/>
        </w:rPr>
        <w:t xml:space="preserve">). </w:t>
      </w:r>
      <w:r w:rsidR="000216FB">
        <w:rPr>
          <w:rFonts w:ascii="Arial" w:hAnsi="Arial" w:cs="Arial"/>
          <w:color w:val="0D0D0D" w:themeColor="text1" w:themeTint="F2"/>
          <w:sz w:val="20"/>
          <w:szCs w:val="20"/>
          <w:lang w:eastAsia="en-GB"/>
        </w:rPr>
        <w:t xml:space="preserve">There can therefore be no </w:t>
      </w:r>
      <w:r w:rsidR="000216FB">
        <w:rPr>
          <w:rFonts w:ascii="Arial" w:hAnsi="Arial" w:cs="Arial"/>
          <w:color w:val="0D0D0D" w:themeColor="text1" w:themeTint="F2"/>
          <w:sz w:val="20"/>
          <w:szCs w:val="20"/>
          <w:lang w:eastAsia="en-GB"/>
        </w:rPr>
        <w:lastRenderedPageBreak/>
        <w:t xml:space="preserve">procedural unfairness argument that the Committee failed to give adequate reasons for, or fair warning of, the change in approach. </w:t>
      </w:r>
    </w:p>
    <w:p w14:paraId="5909E9F0" w14:textId="5700851C" w:rsidR="00FE27C0" w:rsidRDefault="009C648F" w:rsidP="000216FB">
      <w:pPr>
        <w:spacing w:before="120" w:after="240"/>
        <w:rPr>
          <w:rFonts w:ascii="Arial" w:hAnsi="Arial" w:cs="Arial"/>
          <w:color w:val="0D0D0D" w:themeColor="text1" w:themeTint="F2"/>
          <w:sz w:val="20"/>
          <w:szCs w:val="20"/>
          <w:lang w:eastAsia="en-GB"/>
        </w:rPr>
      </w:pPr>
      <w:r>
        <w:rPr>
          <w:rFonts w:ascii="Arial" w:hAnsi="Arial" w:cs="Arial"/>
          <w:color w:val="0D0D0D" w:themeColor="text1" w:themeTint="F2"/>
          <w:sz w:val="20"/>
          <w:szCs w:val="20"/>
          <w:lang w:eastAsia="en-GB"/>
        </w:rPr>
        <w:t xml:space="preserve">As to ground 2, </w:t>
      </w:r>
      <w:r w:rsidR="00D155F2" w:rsidRPr="009C648F">
        <w:rPr>
          <w:rFonts w:ascii="Arial" w:hAnsi="Arial" w:cs="Arial"/>
          <w:color w:val="0D0D0D" w:themeColor="text1" w:themeTint="F2"/>
          <w:sz w:val="20"/>
          <w:szCs w:val="20"/>
          <w:lang w:eastAsia="en-GB"/>
        </w:rPr>
        <w:t xml:space="preserve">I can see no arguable </w:t>
      </w:r>
      <w:r w:rsidR="00D155F2" w:rsidRPr="009C648F">
        <w:rPr>
          <w:rFonts w:ascii="Arial" w:hAnsi="Arial" w:cs="Arial"/>
          <w:b/>
          <w:bCs/>
          <w:color w:val="0D0D0D" w:themeColor="text1" w:themeTint="F2"/>
          <w:sz w:val="20"/>
          <w:szCs w:val="20"/>
          <w:lang w:eastAsia="en-GB"/>
        </w:rPr>
        <w:t>unreasonableness</w:t>
      </w:r>
      <w:r w:rsidR="00D155F2" w:rsidRPr="009C648F">
        <w:rPr>
          <w:rFonts w:ascii="Arial" w:hAnsi="Arial" w:cs="Arial"/>
          <w:color w:val="0D0D0D" w:themeColor="text1" w:themeTint="F2"/>
          <w:sz w:val="20"/>
          <w:szCs w:val="20"/>
          <w:lang w:eastAsia="en-GB"/>
        </w:rPr>
        <w:t xml:space="preserve"> </w:t>
      </w:r>
      <w:r>
        <w:rPr>
          <w:rFonts w:ascii="Arial" w:hAnsi="Arial" w:cs="Arial"/>
          <w:color w:val="0D0D0D" w:themeColor="text1" w:themeTint="F2"/>
          <w:sz w:val="20"/>
          <w:szCs w:val="20"/>
          <w:lang w:eastAsia="en-GB"/>
        </w:rPr>
        <w:t>here</w:t>
      </w:r>
      <w:r w:rsidR="000216FB">
        <w:rPr>
          <w:rFonts w:ascii="Arial" w:hAnsi="Arial" w:cs="Arial"/>
          <w:color w:val="0D0D0D" w:themeColor="text1" w:themeTint="F2"/>
          <w:sz w:val="20"/>
          <w:szCs w:val="20"/>
          <w:lang w:eastAsia="en-GB"/>
        </w:rPr>
        <w:t xml:space="preserve">. </w:t>
      </w:r>
      <w:r w:rsidR="00876065">
        <w:rPr>
          <w:rFonts w:ascii="Arial" w:hAnsi="Arial" w:cs="Arial"/>
          <w:color w:val="0D0D0D" w:themeColor="text1" w:themeTint="F2"/>
          <w:sz w:val="20"/>
          <w:szCs w:val="20"/>
          <w:lang w:eastAsia="en-GB"/>
        </w:rPr>
        <w:t>I note you</w:t>
      </w:r>
      <w:r w:rsidR="009B4E90">
        <w:rPr>
          <w:rFonts w:ascii="Arial" w:hAnsi="Arial" w:cs="Arial"/>
          <w:color w:val="0D0D0D" w:themeColor="text1" w:themeTint="F2"/>
          <w:sz w:val="20"/>
          <w:szCs w:val="20"/>
          <w:lang w:eastAsia="en-GB"/>
        </w:rPr>
        <w:t xml:space="preserve"> disagree with my comment in initial scrutiny that the previous Committee's approach to calculating costs "</w:t>
      </w:r>
      <w:r w:rsidR="009B4E90" w:rsidRPr="000216FB">
        <w:rPr>
          <w:rFonts w:ascii="Arial" w:hAnsi="Arial" w:cs="Arial"/>
          <w:color w:val="0D0D0D" w:themeColor="text1" w:themeTint="F2"/>
          <w:sz w:val="20"/>
          <w:szCs w:val="20"/>
          <w:lang w:eastAsia="en-GB"/>
        </w:rPr>
        <w:t>does not set a precedent or bind the Committee in this case</w:t>
      </w:r>
      <w:proofErr w:type="gramStart"/>
      <w:r w:rsidR="009B4E90">
        <w:rPr>
          <w:rFonts w:ascii="Arial" w:hAnsi="Arial" w:cs="Arial"/>
          <w:color w:val="0D0D0D" w:themeColor="text1" w:themeTint="F2"/>
          <w:sz w:val="20"/>
          <w:szCs w:val="20"/>
          <w:lang w:eastAsia="en-GB"/>
        </w:rPr>
        <w:t xml:space="preserve">" </w:t>
      </w:r>
      <w:r w:rsidR="00876065">
        <w:rPr>
          <w:rFonts w:ascii="Arial" w:hAnsi="Arial" w:cs="Arial"/>
          <w:color w:val="0D0D0D" w:themeColor="text1" w:themeTint="F2"/>
          <w:sz w:val="20"/>
          <w:szCs w:val="20"/>
          <w:lang w:eastAsia="en-GB"/>
        </w:rPr>
        <w:t>.</w:t>
      </w:r>
      <w:proofErr w:type="gramEnd"/>
      <w:r w:rsidR="00876065">
        <w:rPr>
          <w:rFonts w:ascii="Arial" w:hAnsi="Arial" w:cs="Arial"/>
          <w:color w:val="0D0D0D" w:themeColor="text1" w:themeTint="F2"/>
          <w:sz w:val="20"/>
          <w:szCs w:val="20"/>
          <w:lang w:eastAsia="en-GB"/>
        </w:rPr>
        <w:t xml:space="preserve"> You consider this lack of binding precedent is unreasonable as it creates inconsistency and "</w:t>
      </w:r>
      <w:r w:rsidR="00876065" w:rsidRPr="00876065">
        <w:rPr>
          <w:rFonts w:ascii="Arial" w:hAnsi="Arial" w:cs="Arial"/>
          <w:i/>
          <w:iCs/>
          <w:color w:val="0D0D0D" w:themeColor="text1" w:themeTint="F2"/>
          <w:sz w:val="20"/>
          <w:szCs w:val="20"/>
          <w:lang w:eastAsia="en-GB"/>
        </w:rPr>
        <w:t>the goalposts can seemingly be moved at will by a NICE Committee</w:t>
      </w:r>
      <w:r w:rsidR="00876065">
        <w:rPr>
          <w:rFonts w:ascii="Arial" w:hAnsi="Arial" w:cs="Arial"/>
          <w:color w:val="0D0D0D" w:themeColor="text1" w:themeTint="F2"/>
          <w:sz w:val="20"/>
          <w:szCs w:val="20"/>
          <w:lang w:eastAsia="en-GB"/>
        </w:rPr>
        <w:t>"</w:t>
      </w:r>
      <w:r w:rsidR="009B4E90">
        <w:rPr>
          <w:rFonts w:ascii="Arial" w:hAnsi="Arial" w:cs="Arial"/>
          <w:color w:val="0D0D0D" w:themeColor="text1" w:themeTint="F2"/>
          <w:sz w:val="20"/>
          <w:szCs w:val="20"/>
          <w:lang w:eastAsia="en-GB"/>
        </w:rPr>
        <w:t xml:space="preserve">. </w:t>
      </w:r>
      <w:r w:rsidR="00FE27C0">
        <w:rPr>
          <w:rFonts w:ascii="Arial" w:hAnsi="Arial" w:cs="Arial"/>
          <w:color w:val="0D0D0D" w:themeColor="text1" w:themeTint="F2"/>
          <w:sz w:val="20"/>
          <w:szCs w:val="20"/>
          <w:lang w:eastAsia="en-GB"/>
        </w:rPr>
        <w:t xml:space="preserve">I am not persuaded by this argument for the </w:t>
      </w:r>
      <w:r w:rsidR="000216FB" w:rsidRPr="009C648F">
        <w:rPr>
          <w:rFonts w:ascii="Arial" w:hAnsi="Arial" w:cs="Arial"/>
          <w:color w:val="0D0D0D" w:themeColor="text1" w:themeTint="F2"/>
          <w:sz w:val="20"/>
          <w:szCs w:val="20"/>
          <w:lang w:eastAsia="en-GB"/>
        </w:rPr>
        <w:t>reasons set out in my initial scrutiny letter</w:t>
      </w:r>
      <w:r w:rsidR="00876065">
        <w:rPr>
          <w:rFonts w:ascii="Arial" w:hAnsi="Arial" w:cs="Arial"/>
          <w:color w:val="0D0D0D" w:themeColor="text1" w:themeTint="F2"/>
          <w:sz w:val="20"/>
          <w:szCs w:val="20"/>
          <w:lang w:eastAsia="en-GB"/>
        </w:rPr>
        <w:t>: a</w:t>
      </w:r>
      <w:r w:rsidR="00FE27C0">
        <w:rPr>
          <w:rFonts w:ascii="Arial" w:hAnsi="Arial" w:cs="Arial"/>
          <w:color w:val="0D0D0D" w:themeColor="text1" w:themeTint="F2"/>
          <w:sz w:val="20"/>
          <w:szCs w:val="20"/>
          <w:lang w:eastAsia="en-GB"/>
        </w:rPr>
        <w:t xml:space="preserve"> lack of consistency in itself (i.e. without some additional feature calling into question the validity of the different approach taken by the Committee) </w:t>
      </w:r>
      <w:r w:rsidR="00876065">
        <w:rPr>
          <w:rFonts w:ascii="Arial" w:hAnsi="Arial" w:cs="Arial"/>
          <w:color w:val="0D0D0D" w:themeColor="text1" w:themeTint="F2"/>
          <w:sz w:val="20"/>
          <w:szCs w:val="20"/>
          <w:lang w:eastAsia="en-GB"/>
        </w:rPr>
        <w:t>is not enough to show arguable</w:t>
      </w:r>
      <w:r w:rsidR="00FE27C0">
        <w:rPr>
          <w:rFonts w:ascii="Arial" w:hAnsi="Arial" w:cs="Arial"/>
          <w:color w:val="0D0D0D" w:themeColor="text1" w:themeTint="F2"/>
          <w:sz w:val="20"/>
          <w:szCs w:val="20"/>
          <w:lang w:eastAsia="en-GB"/>
        </w:rPr>
        <w:t xml:space="preserve"> unreasonableness (as that term is to be understood in the context of a NICE appeal and any public law argument made by way of judicial review).</w:t>
      </w:r>
    </w:p>
    <w:p w14:paraId="55F4A2C9" w14:textId="679E0852" w:rsidR="00BD2D2B" w:rsidRDefault="00876065" w:rsidP="00D770E0">
      <w:pPr>
        <w:spacing w:before="120" w:after="240"/>
        <w:rPr>
          <w:rFonts w:ascii="Arial" w:hAnsi="Arial" w:cs="Arial"/>
          <w:color w:val="0D0D0D" w:themeColor="text1" w:themeTint="F2"/>
          <w:sz w:val="20"/>
          <w:szCs w:val="20"/>
          <w:lang w:eastAsia="en-GB"/>
        </w:rPr>
      </w:pPr>
      <w:r>
        <w:rPr>
          <w:rFonts w:ascii="Arial" w:hAnsi="Arial" w:cs="Arial"/>
          <w:color w:val="0D0D0D" w:themeColor="text1" w:themeTint="F2"/>
          <w:sz w:val="20"/>
          <w:szCs w:val="20"/>
          <w:lang w:eastAsia="en-GB"/>
        </w:rPr>
        <w:t xml:space="preserve">I therefore </w:t>
      </w:r>
      <w:r w:rsidR="00BD2D2B">
        <w:rPr>
          <w:rFonts w:ascii="Arial" w:hAnsi="Arial" w:cs="Arial"/>
          <w:color w:val="0D0D0D" w:themeColor="text1" w:themeTint="F2"/>
          <w:sz w:val="20"/>
          <w:szCs w:val="20"/>
          <w:lang w:eastAsia="en-GB"/>
        </w:rPr>
        <w:t>considered</w:t>
      </w:r>
      <w:r>
        <w:rPr>
          <w:rFonts w:ascii="Arial" w:hAnsi="Arial" w:cs="Arial"/>
          <w:color w:val="0D0D0D" w:themeColor="text1" w:themeTint="F2"/>
          <w:sz w:val="20"/>
          <w:szCs w:val="20"/>
          <w:lang w:eastAsia="en-GB"/>
        </w:rPr>
        <w:t xml:space="preserve"> whether there is</w:t>
      </w:r>
      <w:r w:rsidRPr="00876065">
        <w:rPr>
          <w:rFonts w:ascii="Arial" w:hAnsi="Arial" w:cs="Arial"/>
          <w:color w:val="0D0D0D" w:themeColor="text1" w:themeTint="F2"/>
          <w:sz w:val="20"/>
          <w:szCs w:val="20"/>
          <w:lang w:eastAsia="en-GB"/>
        </w:rPr>
        <w:t xml:space="preserve"> </w:t>
      </w:r>
      <w:r>
        <w:rPr>
          <w:rFonts w:ascii="Arial" w:hAnsi="Arial" w:cs="Arial"/>
          <w:color w:val="0D0D0D" w:themeColor="text1" w:themeTint="F2"/>
          <w:sz w:val="20"/>
          <w:szCs w:val="20"/>
          <w:lang w:eastAsia="en-GB"/>
        </w:rPr>
        <w:t xml:space="preserve">any additional argumentation in your appeal submissions that </w:t>
      </w:r>
      <w:r w:rsidR="00BD2D2B">
        <w:rPr>
          <w:rFonts w:ascii="Arial" w:hAnsi="Arial" w:cs="Arial"/>
          <w:color w:val="0D0D0D" w:themeColor="text1" w:themeTint="F2"/>
          <w:sz w:val="20"/>
          <w:szCs w:val="20"/>
          <w:lang w:eastAsia="en-GB"/>
        </w:rPr>
        <w:t>arguably calls i</w:t>
      </w:r>
      <w:r>
        <w:rPr>
          <w:rFonts w:ascii="Arial" w:hAnsi="Arial" w:cs="Arial"/>
          <w:color w:val="0D0D0D" w:themeColor="text1" w:themeTint="F2"/>
          <w:sz w:val="20"/>
          <w:szCs w:val="20"/>
          <w:lang w:eastAsia="en-GB"/>
        </w:rPr>
        <w:t>nto question the validity of the approach taken by the Committee.</w:t>
      </w:r>
      <w:r w:rsidR="00BD2D2B">
        <w:rPr>
          <w:rFonts w:ascii="Arial" w:hAnsi="Arial" w:cs="Arial"/>
          <w:color w:val="0D0D0D" w:themeColor="text1" w:themeTint="F2"/>
          <w:sz w:val="20"/>
          <w:szCs w:val="20"/>
          <w:lang w:eastAsia="en-GB"/>
        </w:rPr>
        <w:t xml:space="preserve"> I assume for this purpose that </w:t>
      </w:r>
      <w:r w:rsidR="000216FB">
        <w:rPr>
          <w:rFonts w:ascii="Arial" w:hAnsi="Arial" w:cs="Arial"/>
          <w:color w:val="0D0D0D" w:themeColor="text1" w:themeTint="F2"/>
          <w:sz w:val="20"/>
          <w:szCs w:val="20"/>
          <w:lang w:eastAsia="en-GB"/>
        </w:rPr>
        <w:t xml:space="preserve">you may </w:t>
      </w:r>
      <w:r w:rsidR="00BD2D2B">
        <w:rPr>
          <w:rFonts w:ascii="Arial" w:hAnsi="Arial" w:cs="Arial"/>
          <w:color w:val="0D0D0D" w:themeColor="text1" w:themeTint="F2"/>
          <w:sz w:val="20"/>
          <w:szCs w:val="20"/>
          <w:lang w:eastAsia="en-GB"/>
        </w:rPr>
        <w:t xml:space="preserve">indeed </w:t>
      </w:r>
      <w:r w:rsidR="000216FB">
        <w:rPr>
          <w:rFonts w:ascii="Arial" w:hAnsi="Arial" w:cs="Arial"/>
          <w:color w:val="0D0D0D" w:themeColor="text1" w:themeTint="F2"/>
          <w:sz w:val="20"/>
          <w:szCs w:val="20"/>
          <w:lang w:eastAsia="en-GB"/>
        </w:rPr>
        <w:t xml:space="preserve">be </w:t>
      </w:r>
      <w:r w:rsidR="000216FB" w:rsidRPr="000216FB">
        <w:rPr>
          <w:rFonts w:ascii="Arial" w:hAnsi="Arial" w:cs="Arial"/>
          <w:color w:val="0D0D0D" w:themeColor="text1" w:themeTint="F2"/>
          <w:sz w:val="20"/>
          <w:szCs w:val="20"/>
          <w:lang w:eastAsia="en-GB"/>
        </w:rPr>
        <w:t xml:space="preserve">disputing that the method adopted by the Committee is a </w:t>
      </w:r>
      <w:r w:rsidR="009A76C8">
        <w:rPr>
          <w:rFonts w:ascii="Arial" w:hAnsi="Arial" w:cs="Arial"/>
          <w:color w:val="0D0D0D" w:themeColor="text1" w:themeTint="F2"/>
          <w:sz w:val="20"/>
          <w:szCs w:val="20"/>
          <w:lang w:eastAsia="en-GB"/>
        </w:rPr>
        <w:t>reasonable</w:t>
      </w:r>
      <w:r w:rsidR="000216FB" w:rsidRPr="000216FB">
        <w:rPr>
          <w:rFonts w:ascii="Arial" w:hAnsi="Arial" w:cs="Arial"/>
          <w:color w:val="0D0D0D" w:themeColor="text1" w:themeTint="F2"/>
          <w:sz w:val="20"/>
          <w:szCs w:val="20"/>
          <w:lang w:eastAsia="en-GB"/>
        </w:rPr>
        <w:t xml:space="preserve"> </w:t>
      </w:r>
      <w:r w:rsidR="009A76C8">
        <w:rPr>
          <w:rFonts w:ascii="Arial" w:hAnsi="Arial" w:cs="Arial"/>
          <w:color w:val="0D0D0D" w:themeColor="text1" w:themeTint="F2"/>
          <w:sz w:val="20"/>
          <w:szCs w:val="20"/>
          <w:lang w:eastAsia="en-GB"/>
        </w:rPr>
        <w:t>approach to</w:t>
      </w:r>
      <w:r w:rsidR="000216FB" w:rsidRPr="000216FB">
        <w:rPr>
          <w:rFonts w:ascii="Arial" w:hAnsi="Arial" w:cs="Arial"/>
          <w:color w:val="0D0D0D" w:themeColor="text1" w:themeTint="F2"/>
          <w:sz w:val="20"/>
          <w:szCs w:val="20"/>
          <w:lang w:eastAsia="en-GB"/>
        </w:rPr>
        <w:t xml:space="preserve"> calculating the drug acquisition cost to the NHS</w:t>
      </w:r>
      <w:r w:rsidR="009A76C8">
        <w:rPr>
          <w:rFonts w:ascii="Arial" w:hAnsi="Arial" w:cs="Arial"/>
          <w:color w:val="0D0D0D" w:themeColor="text1" w:themeTint="F2"/>
          <w:sz w:val="20"/>
          <w:szCs w:val="20"/>
          <w:lang w:eastAsia="en-GB"/>
        </w:rPr>
        <w:t>.</w:t>
      </w:r>
      <w:r w:rsidR="00BD2D2B">
        <w:rPr>
          <w:rFonts w:ascii="Arial" w:hAnsi="Arial" w:cs="Arial"/>
          <w:color w:val="0D0D0D" w:themeColor="text1" w:themeTint="F2"/>
          <w:sz w:val="20"/>
          <w:szCs w:val="20"/>
          <w:lang w:eastAsia="en-GB"/>
        </w:rPr>
        <w:t xml:space="preserve"> I note that w</w:t>
      </w:r>
      <w:r>
        <w:rPr>
          <w:rFonts w:ascii="Arial" w:hAnsi="Arial" w:cs="Arial"/>
          <w:color w:val="0D0D0D" w:themeColor="text1" w:themeTint="F2"/>
          <w:sz w:val="20"/>
          <w:szCs w:val="20"/>
          <w:lang w:eastAsia="en-GB"/>
        </w:rPr>
        <w:t>hile your appeal submissions</w:t>
      </w:r>
      <w:r w:rsidR="00BD2D2B">
        <w:rPr>
          <w:rFonts w:ascii="Arial" w:hAnsi="Arial" w:cs="Arial"/>
          <w:color w:val="0D0D0D" w:themeColor="text1" w:themeTint="F2"/>
          <w:sz w:val="20"/>
          <w:szCs w:val="20"/>
          <w:lang w:eastAsia="en-GB"/>
        </w:rPr>
        <w:t xml:space="preserve"> are focused on the inconsistency point that I have addressed above</w:t>
      </w:r>
      <w:r>
        <w:rPr>
          <w:rFonts w:ascii="Arial" w:hAnsi="Arial" w:cs="Arial"/>
          <w:color w:val="0D0D0D" w:themeColor="text1" w:themeTint="F2"/>
          <w:sz w:val="20"/>
          <w:szCs w:val="20"/>
          <w:lang w:eastAsia="en-GB"/>
        </w:rPr>
        <w:t xml:space="preserve">, </w:t>
      </w:r>
      <w:r w:rsidR="00BD2D2B">
        <w:rPr>
          <w:rFonts w:ascii="Arial" w:hAnsi="Arial" w:cs="Arial"/>
          <w:color w:val="0D0D0D" w:themeColor="text1" w:themeTint="F2"/>
          <w:sz w:val="20"/>
          <w:szCs w:val="20"/>
          <w:lang w:eastAsia="en-GB"/>
        </w:rPr>
        <w:t>you also state that "</w:t>
      </w:r>
      <w:r w:rsidR="00BD2D2B" w:rsidRPr="00BD2D2B">
        <w:rPr>
          <w:rFonts w:ascii="Arial" w:hAnsi="Arial" w:cs="Arial"/>
          <w:i/>
          <w:iCs/>
          <w:color w:val="0D0D0D" w:themeColor="text1" w:themeTint="F2"/>
          <w:sz w:val="20"/>
          <w:szCs w:val="20"/>
          <w:lang w:eastAsia="en-GB"/>
        </w:rPr>
        <w:t>the company used RDI because it believed it was the most appropriate way of deriving the true cost per cycle of cabozantinib</w:t>
      </w:r>
      <w:r w:rsidR="00BD2D2B">
        <w:rPr>
          <w:rFonts w:ascii="Arial" w:hAnsi="Arial" w:cs="Arial"/>
          <w:color w:val="0D0D0D" w:themeColor="text1" w:themeTint="F2"/>
          <w:sz w:val="20"/>
          <w:szCs w:val="20"/>
          <w:lang w:eastAsia="en-GB"/>
        </w:rPr>
        <w:t>".</w:t>
      </w:r>
      <w:r>
        <w:rPr>
          <w:rFonts w:ascii="Arial" w:hAnsi="Arial" w:cs="Arial"/>
          <w:color w:val="0D0D0D" w:themeColor="text1" w:themeTint="F2"/>
          <w:sz w:val="20"/>
          <w:szCs w:val="20"/>
          <w:lang w:eastAsia="en-GB"/>
        </w:rPr>
        <w:t xml:space="preserve"> </w:t>
      </w:r>
      <w:r w:rsidR="00BD2D2B">
        <w:rPr>
          <w:rFonts w:ascii="Arial" w:hAnsi="Arial" w:cs="Arial"/>
          <w:color w:val="0D0D0D" w:themeColor="text1" w:themeTint="F2"/>
          <w:sz w:val="20"/>
          <w:szCs w:val="20"/>
          <w:lang w:eastAsia="en-GB"/>
        </w:rPr>
        <w:t xml:space="preserve">I </w:t>
      </w:r>
      <w:r>
        <w:rPr>
          <w:rFonts w:ascii="Arial" w:hAnsi="Arial" w:cs="Arial"/>
          <w:color w:val="0D0D0D" w:themeColor="text1" w:themeTint="F2"/>
          <w:sz w:val="20"/>
          <w:szCs w:val="20"/>
          <w:lang w:eastAsia="en-GB"/>
        </w:rPr>
        <w:t>have considered th</w:t>
      </w:r>
      <w:r w:rsidR="00BD2D2B">
        <w:rPr>
          <w:rFonts w:ascii="Arial" w:hAnsi="Arial" w:cs="Arial"/>
          <w:color w:val="0D0D0D" w:themeColor="text1" w:themeTint="F2"/>
          <w:sz w:val="20"/>
          <w:szCs w:val="20"/>
          <w:lang w:eastAsia="en-GB"/>
        </w:rPr>
        <w:t>at argument alongside the</w:t>
      </w:r>
      <w:r>
        <w:rPr>
          <w:rFonts w:ascii="Arial" w:hAnsi="Arial" w:cs="Arial"/>
          <w:color w:val="0D0D0D" w:themeColor="text1" w:themeTint="F2"/>
          <w:sz w:val="20"/>
          <w:szCs w:val="20"/>
          <w:lang w:eastAsia="en-GB"/>
        </w:rPr>
        <w:t xml:space="preserve"> submissions made by Ipsen during the appraisal process and the responses to those submissions, in particular at page 8 of the </w:t>
      </w:r>
      <w:r w:rsidR="00DB637A">
        <w:rPr>
          <w:rFonts w:ascii="Arial" w:hAnsi="Arial" w:cs="Arial"/>
          <w:color w:val="0D0D0D" w:themeColor="text1" w:themeTint="F2"/>
          <w:sz w:val="20"/>
          <w:szCs w:val="20"/>
          <w:lang w:eastAsia="en-GB"/>
        </w:rPr>
        <w:t xml:space="preserve">second </w:t>
      </w:r>
      <w:hyperlink r:id="rId9" w:history="1">
        <w:r w:rsidR="00DB637A">
          <w:rPr>
            <w:rStyle w:val="Hyperlink"/>
            <w:rFonts w:ascii="Arial" w:hAnsi="Arial" w:cs="Arial"/>
            <w:sz w:val="20"/>
            <w:szCs w:val="20"/>
            <w:lang w:eastAsia="en-GB"/>
          </w:rPr>
          <w:t>Committee</w:t>
        </w:r>
        <w:r w:rsidR="00DB637A" w:rsidRPr="004B4EC7">
          <w:rPr>
            <w:rStyle w:val="Hyperlink"/>
            <w:rFonts w:ascii="Arial" w:hAnsi="Arial" w:cs="Arial"/>
            <w:sz w:val="20"/>
            <w:szCs w:val="20"/>
            <w:lang w:eastAsia="en-GB"/>
          </w:rPr>
          <w:t xml:space="preserve"> papers</w:t>
        </w:r>
      </w:hyperlink>
      <w:r w:rsidR="00DB637A">
        <w:rPr>
          <w:rStyle w:val="Hyperlink"/>
          <w:rFonts w:ascii="Arial" w:hAnsi="Arial" w:cs="Arial"/>
          <w:sz w:val="20"/>
          <w:szCs w:val="20"/>
          <w:lang w:eastAsia="en-GB"/>
        </w:rPr>
        <w:t xml:space="preserve"> </w:t>
      </w:r>
      <w:r w:rsidR="00BD2D2B">
        <w:rPr>
          <w:rFonts w:ascii="Arial" w:hAnsi="Arial" w:cs="Arial"/>
          <w:color w:val="0D0D0D" w:themeColor="text1" w:themeTint="F2"/>
          <w:sz w:val="20"/>
          <w:szCs w:val="20"/>
          <w:lang w:eastAsia="en-GB"/>
        </w:rPr>
        <w:t xml:space="preserve">and </w:t>
      </w:r>
      <w:r>
        <w:rPr>
          <w:rFonts w:ascii="Arial" w:hAnsi="Arial" w:cs="Arial"/>
          <w:color w:val="0D0D0D" w:themeColor="text1" w:themeTint="F2"/>
          <w:sz w:val="20"/>
          <w:szCs w:val="20"/>
          <w:lang w:eastAsia="en-GB"/>
        </w:rPr>
        <w:t>pag</w:t>
      </w:r>
      <w:r w:rsidR="00BD2D2B">
        <w:rPr>
          <w:rFonts w:ascii="Arial" w:hAnsi="Arial" w:cs="Arial"/>
          <w:color w:val="0D0D0D" w:themeColor="text1" w:themeTint="F2"/>
          <w:sz w:val="20"/>
          <w:szCs w:val="20"/>
          <w:lang w:eastAsia="en-GB"/>
        </w:rPr>
        <w:t>es</w:t>
      </w:r>
      <w:r>
        <w:rPr>
          <w:rFonts w:ascii="Arial" w:hAnsi="Arial" w:cs="Arial"/>
          <w:color w:val="0D0D0D" w:themeColor="text1" w:themeTint="F2"/>
          <w:sz w:val="20"/>
          <w:szCs w:val="20"/>
          <w:lang w:eastAsia="en-GB"/>
        </w:rPr>
        <w:t xml:space="preserve"> 250</w:t>
      </w:r>
      <w:r w:rsidR="00BD2D2B">
        <w:rPr>
          <w:rFonts w:ascii="Arial" w:hAnsi="Arial" w:cs="Arial"/>
          <w:color w:val="0D0D0D" w:themeColor="text1" w:themeTint="F2"/>
          <w:sz w:val="20"/>
          <w:szCs w:val="20"/>
          <w:lang w:eastAsia="en-GB"/>
        </w:rPr>
        <w:t xml:space="preserve">, </w:t>
      </w:r>
      <w:r>
        <w:rPr>
          <w:rFonts w:ascii="Arial" w:hAnsi="Arial" w:cs="Arial"/>
          <w:color w:val="0D0D0D" w:themeColor="text1" w:themeTint="F2"/>
          <w:sz w:val="20"/>
          <w:szCs w:val="20"/>
          <w:lang w:eastAsia="en-GB"/>
        </w:rPr>
        <w:t>414, 416 and 595</w:t>
      </w:r>
      <w:r w:rsidR="00BD2D2B">
        <w:rPr>
          <w:rFonts w:ascii="Arial" w:hAnsi="Arial" w:cs="Arial"/>
          <w:color w:val="0D0D0D" w:themeColor="text1" w:themeTint="F2"/>
          <w:sz w:val="20"/>
          <w:szCs w:val="20"/>
          <w:lang w:eastAsia="en-GB"/>
        </w:rPr>
        <w:t xml:space="preserve"> of the first </w:t>
      </w:r>
      <w:hyperlink r:id="rId10" w:history="1">
        <w:r w:rsidR="00BD2D2B" w:rsidRPr="00BD2D2B">
          <w:rPr>
            <w:rStyle w:val="Hyperlink"/>
            <w:rFonts w:ascii="Arial" w:hAnsi="Arial" w:cs="Arial"/>
            <w:sz w:val="20"/>
            <w:szCs w:val="20"/>
            <w:lang w:eastAsia="en-GB"/>
          </w:rPr>
          <w:t>Committee papers</w:t>
        </w:r>
      </w:hyperlink>
      <w:r w:rsidR="00BD2D2B">
        <w:rPr>
          <w:rFonts w:ascii="Arial" w:hAnsi="Arial" w:cs="Arial"/>
          <w:color w:val="0D0D0D" w:themeColor="text1" w:themeTint="F2"/>
          <w:sz w:val="20"/>
          <w:szCs w:val="20"/>
          <w:lang w:eastAsia="en-GB"/>
        </w:rPr>
        <w:t xml:space="preserve">. Having done so, I remain of the view that there is no arguable case that the Committee's approach was unreasonable on the evidence available.  That is </w:t>
      </w:r>
      <w:proofErr w:type="gramStart"/>
      <w:r w:rsidR="00BD2D2B">
        <w:rPr>
          <w:rFonts w:ascii="Arial" w:hAnsi="Arial" w:cs="Arial"/>
          <w:color w:val="0D0D0D" w:themeColor="text1" w:themeTint="F2"/>
          <w:sz w:val="20"/>
          <w:szCs w:val="20"/>
          <w:lang w:eastAsia="en-GB"/>
        </w:rPr>
        <w:t>in particular in</w:t>
      </w:r>
      <w:proofErr w:type="gramEnd"/>
      <w:r w:rsidR="00BD2D2B">
        <w:rPr>
          <w:rFonts w:ascii="Arial" w:hAnsi="Arial" w:cs="Arial"/>
          <w:color w:val="0D0D0D" w:themeColor="text1" w:themeTint="F2"/>
          <w:sz w:val="20"/>
          <w:szCs w:val="20"/>
          <w:lang w:eastAsia="en-GB"/>
        </w:rPr>
        <w:t xml:space="preserve"> light of </w:t>
      </w:r>
      <w:r w:rsidR="00E74443">
        <w:rPr>
          <w:rFonts w:ascii="Arial" w:hAnsi="Arial" w:cs="Arial"/>
          <w:color w:val="0D0D0D" w:themeColor="text1" w:themeTint="F2"/>
          <w:sz w:val="20"/>
          <w:szCs w:val="20"/>
          <w:lang w:eastAsia="en-GB"/>
        </w:rPr>
        <w:t xml:space="preserve">the </w:t>
      </w:r>
      <w:r w:rsidR="00BD2D2B">
        <w:rPr>
          <w:rFonts w:ascii="Arial" w:hAnsi="Arial" w:cs="Arial"/>
          <w:color w:val="0D0D0D" w:themeColor="text1" w:themeTint="F2"/>
          <w:sz w:val="20"/>
          <w:szCs w:val="20"/>
          <w:lang w:eastAsia="en-GB"/>
        </w:rPr>
        <w:t xml:space="preserve">detailed </w:t>
      </w:r>
      <w:r w:rsidR="00E74443">
        <w:rPr>
          <w:rFonts w:ascii="Arial" w:hAnsi="Arial" w:cs="Arial"/>
          <w:color w:val="0D0D0D" w:themeColor="text1" w:themeTint="F2"/>
          <w:sz w:val="20"/>
          <w:szCs w:val="20"/>
          <w:lang w:eastAsia="en-GB"/>
        </w:rPr>
        <w:t>consideration</w:t>
      </w:r>
      <w:r w:rsidR="00BD2D2B">
        <w:rPr>
          <w:rFonts w:ascii="Arial" w:hAnsi="Arial" w:cs="Arial"/>
          <w:color w:val="0D0D0D" w:themeColor="text1" w:themeTint="F2"/>
          <w:sz w:val="20"/>
          <w:szCs w:val="20"/>
          <w:lang w:eastAsia="en-GB"/>
        </w:rPr>
        <w:t xml:space="preserve"> </w:t>
      </w:r>
      <w:r w:rsidR="00E74443">
        <w:rPr>
          <w:rFonts w:ascii="Arial" w:hAnsi="Arial" w:cs="Arial"/>
          <w:color w:val="0D0D0D" w:themeColor="text1" w:themeTint="F2"/>
          <w:sz w:val="20"/>
          <w:szCs w:val="20"/>
          <w:lang w:eastAsia="en-GB"/>
        </w:rPr>
        <w:t>of the point by the EAG</w:t>
      </w:r>
      <w:r w:rsidR="00DB637A">
        <w:rPr>
          <w:rFonts w:ascii="Arial" w:hAnsi="Arial" w:cs="Arial"/>
          <w:color w:val="0D0D0D" w:themeColor="text1" w:themeTint="F2"/>
          <w:sz w:val="20"/>
          <w:szCs w:val="20"/>
          <w:lang w:eastAsia="en-GB"/>
        </w:rPr>
        <w:t xml:space="preserve"> </w:t>
      </w:r>
      <w:r w:rsidR="00BD2D2B" w:rsidRPr="00E40232">
        <w:rPr>
          <w:rFonts w:ascii="Arial" w:hAnsi="Arial" w:cs="Arial"/>
          <w:color w:val="0D0D0D" w:themeColor="text1" w:themeTint="F2"/>
          <w:sz w:val="20"/>
          <w:szCs w:val="20"/>
          <w:lang w:eastAsia="en-GB"/>
        </w:rPr>
        <w:t>(at</w:t>
      </w:r>
      <w:r w:rsidR="00BD2D2B" w:rsidRPr="00BD2D2B">
        <w:t xml:space="preserve"> </w:t>
      </w:r>
      <w:r w:rsidR="00BD2D2B">
        <w:rPr>
          <w:rFonts w:ascii="Arial" w:hAnsi="Arial" w:cs="Arial"/>
          <w:color w:val="0D0D0D" w:themeColor="text1" w:themeTint="F2"/>
          <w:sz w:val="20"/>
          <w:szCs w:val="20"/>
          <w:lang w:eastAsia="en-GB"/>
        </w:rPr>
        <w:t xml:space="preserve">page </w:t>
      </w:r>
      <w:r w:rsidR="00BD2D2B" w:rsidRPr="00BD2D2B">
        <w:rPr>
          <w:rFonts w:ascii="Arial" w:hAnsi="Arial" w:cs="Arial"/>
          <w:color w:val="0D0D0D" w:themeColor="text1" w:themeTint="F2"/>
          <w:sz w:val="20"/>
          <w:szCs w:val="20"/>
          <w:lang w:eastAsia="en-GB"/>
        </w:rPr>
        <w:t>595</w:t>
      </w:r>
      <w:r w:rsidR="00E40232" w:rsidRPr="00E40232">
        <w:t xml:space="preserve"> </w:t>
      </w:r>
      <w:r w:rsidR="00E40232" w:rsidRPr="00E40232">
        <w:rPr>
          <w:rFonts w:ascii="Arial" w:hAnsi="Arial" w:cs="Arial"/>
          <w:color w:val="0D0D0D" w:themeColor="text1" w:themeTint="F2"/>
          <w:sz w:val="20"/>
          <w:szCs w:val="20"/>
          <w:lang w:eastAsia="en-GB"/>
        </w:rPr>
        <w:t>of the first Committee papers</w:t>
      </w:r>
      <w:r w:rsidR="00BD2D2B">
        <w:rPr>
          <w:rFonts w:ascii="Arial" w:hAnsi="Arial" w:cs="Arial"/>
          <w:color w:val="0D0D0D" w:themeColor="text1" w:themeTint="F2"/>
          <w:sz w:val="20"/>
          <w:szCs w:val="20"/>
          <w:lang w:eastAsia="en-GB"/>
        </w:rPr>
        <w:t>):</w:t>
      </w:r>
    </w:p>
    <w:p w14:paraId="2A81F036" w14:textId="1FF6B118" w:rsidR="00BD2D2B" w:rsidRDefault="00BD2D2B" w:rsidP="00BD2D2B">
      <w:pPr>
        <w:spacing w:before="120" w:after="240"/>
        <w:ind w:left="720"/>
        <w:rPr>
          <w:rFonts w:ascii="Arial" w:hAnsi="Arial" w:cs="Arial"/>
          <w:color w:val="0D0D0D" w:themeColor="text1" w:themeTint="F2"/>
          <w:sz w:val="20"/>
          <w:szCs w:val="20"/>
          <w:lang w:eastAsia="en-GB"/>
        </w:rPr>
      </w:pPr>
      <w:r w:rsidRPr="00BD2D2B">
        <w:rPr>
          <w:rFonts w:ascii="Arial" w:hAnsi="Arial" w:cs="Arial"/>
          <w:color w:val="0D0D0D" w:themeColor="text1" w:themeTint="F2"/>
          <w:sz w:val="20"/>
          <w:szCs w:val="20"/>
          <w:lang w:eastAsia="en-GB"/>
        </w:rPr>
        <w:t>“</w:t>
      </w:r>
      <w:r w:rsidRPr="00BD2D2B">
        <w:rPr>
          <w:rFonts w:ascii="Arial" w:hAnsi="Arial" w:cs="Arial"/>
          <w:i/>
          <w:iCs/>
          <w:color w:val="0D0D0D" w:themeColor="text1" w:themeTint="F2"/>
          <w:sz w:val="20"/>
          <w:szCs w:val="20"/>
          <w:lang w:eastAsia="en-GB"/>
        </w:rPr>
        <w:t>The EAG believes that given the flat pricing structure for cabozantinib, it is more appropriate to adjust cabozantinib costs according to the proportion of days on which patients received treatment (compliance), rather than the average amount of the planned dose received (RDI). For example, if a patient received treatment with 60mg cabozantinib for 15 days followed by treatment with a lower dose of 20mg cabozantinib for 15 days, there would be no cost savings to the NHS. The compliance-adjusted cost would appropriately reflect this scenario, whereas adjusting drug costs by RDI would erroneously suggest a cost saving of 33%. Regardless of precedents in previous NICE appraisals, the EAG believes that using compliance is more appropriate in this case.”</w:t>
      </w:r>
    </w:p>
    <w:p w14:paraId="2752D2CC" w14:textId="020E8290" w:rsidR="009C648F" w:rsidRDefault="00B475AF" w:rsidP="00D770E0">
      <w:pPr>
        <w:spacing w:before="120" w:after="240"/>
        <w:rPr>
          <w:rFonts w:ascii="Arial" w:hAnsi="Arial" w:cs="Arial"/>
          <w:color w:val="0D0D0D" w:themeColor="text1" w:themeTint="F2"/>
          <w:sz w:val="20"/>
          <w:szCs w:val="20"/>
          <w:lang w:eastAsia="en-GB"/>
        </w:rPr>
      </w:pPr>
      <w:r>
        <w:rPr>
          <w:rFonts w:ascii="Arial" w:hAnsi="Arial" w:cs="Arial"/>
          <w:color w:val="0D0D0D" w:themeColor="text1" w:themeTint="F2"/>
          <w:sz w:val="20"/>
          <w:szCs w:val="20"/>
          <w:lang w:eastAsia="en-GB"/>
        </w:rPr>
        <w:t>The Committee explains why it agrees with this approach at 3.11 of the FDG. I can see no argument in the company's submissions in the appraisal or appeal that the chosen approach</w:t>
      </w:r>
      <w:r w:rsidR="009A76C8">
        <w:rPr>
          <w:rFonts w:ascii="Arial" w:hAnsi="Arial" w:cs="Arial"/>
          <w:color w:val="0D0D0D" w:themeColor="text1" w:themeTint="F2"/>
          <w:sz w:val="20"/>
          <w:szCs w:val="20"/>
          <w:lang w:eastAsia="en-GB"/>
        </w:rPr>
        <w:t>, whilst different from the company’s preferred approach,</w:t>
      </w:r>
      <w:r>
        <w:rPr>
          <w:rFonts w:ascii="Arial" w:hAnsi="Arial" w:cs="Arial"/>
          <w:color w:val="0D0D0D" w:themeColor="text1" w:themeTint="F2"/>
          <w:sz w:val="20"/>
          <w:szCs w:val="20"/>
          <w:lang w:eastAsia="en-GB"/>
        </w:rPr>
        <w:t xml:space="preserve"> does not make sense or "add up" as an appropriate method of calculating cost. </w:t>
      </w:r>
      <w:proofErr w:type="gramStart"/>
      <w:r>
        <w:rPr>
          <w:rFonts w:ascii="Arial" w:hAnsi="Arial" w:cs="Arial"/>
          <w:color w:val="0D0D0D" w:themeColor="text1" w:themeTint="F2"/>
          <w:sz w:val="20"/>
          <w:szCs w:val="20"/>
          <w:lang w:eastAsia="en-GB"/>
        </w:rPr>
        <w:t>Therefore</w:t>
      </w:r>
      <w:proofErr w:type="gramEnd"/>
      <w:r>
        <w:rPr>
          <w:rFonts w:ascii="Arial" w:hAnsi="Arial" w:cs="Arial"/>
          <w:color w:val="0D0D0D" w:themeColor="text1" w:themeTint="F2"/>
          <w:sz w:val="20"/>
          <w:szCs w:val="20"/>
          <w:lang w:eastAsia="en-GB"/>
        </w:rPr>
        <w:t xml:space="preserve"> I will not refer this point to an appeal panel. </w:t>
      </w:r>
    </w:p>
    <w:p w14:paraId="2AADAF28" w14:textId="77777777" w:rsidR="005A7A7D" w:rsidRPr="00771051" w:rsidRDefault="005A7A7D" w:rsidP="005A7A7D">
      <w:pPr>
        <w:spacing w:before="120" w:after="240"/>
        <w:jc w:val="both"/>
        <w:rPr>
          <w:rFonts w:ascii="Arial" w:eastAsia="Times New Roman" w:hAnsi="Arial" w:cs="Arial"/>
          <w:sz w:val="20"/>
          <w:szCs w:val="20"/>
          <w:u w:val="single"/>
        </w:rPr>
      </w:pPr>
      <w:r w:rsidRPr="00771051">
        <w:rPr>
          <w:rFonts w:ascii="Arial" w:eastAsia="Times New Roman" w:hAnsi="Arial" w:cs="Arial"/>
          <w:sz w:val="20"/>
          <w:szCs w:val="20"/>
          <w:u w:val="single"/>
        </w:rPr>
        <w:t>Conclusion</w:t>
      </w:r>
    </w:p>
    <w:p w14:paraId="64256DC4" w14:textId="77777777" w:rsidR="005A7A7D" w:rsidRPr="008D619F" w:rsidRDefault="005A7A7D" w:rsidP="005A7A7D">
      <w:pPr>
        <w:spacing w:before="120" w:after="240"/>
        <w:jc w:val="both"/>
        <w:rPr>
          <w:rFonts w:ascii="Arial" w:eastAsia="Times New Roman" w:hAnsi="Arial" w:cs="Arial"/>
          <w:sz w:val="20"/>
          <w:szCs w:val="20"/>
        </w:rPr>
      </w:pPr>
      <w:proofErr w:type="gramStart"/>
      <w:r w:rsidRPr="008D619F">
        <w:rPr>
          <w:rFonts w:ascii="Arial" w:eastAsia="Times New Roman" w:hAnsi="Arial" w:cs="Arial"/>
          <w:sz w:val="20"/>
          <w:szCs w:val="20"/>
        </w:rPr>
        <w:t>Therefore</w:t>
      </w:r>
      <w:proofErr w:type="gramEnd"/>
      <w:r w:rsidRPr="008D619F">
        <w:rPr>
          <w:rFonts w:ascii="Arial" w:eastAsia="Times New Roman" w:hAnsi="Arial" w:cs="Arial"/>
          <w:sz w:val="20"/>
          <w:szCs w:val="20"/>
        </w:rPr>
        <w:t xml:space="preserve"> the valid appeal points are:</w:t>
      </w:r>
    </w:p>
    <w:p w14:paraId="5D5621CD" w14:textId="63383486" w:rsidR="008D619F" w:rsidRPr="008D619F" w:rsidRDefault="008D619F" w:rsidP="00A02546">
      <w:pPr>
        <w:pStyle w:val="ListParagraph"/>
        <w:numPr>
          <w:ilvl w:val="0"/>
          <w:numId w:val="11"/>
        </w:numPr>
        <w:spacing w:before="120" w:after="240"/>
        <w:jc w:val="both"/>
        <w:rPr>
          <w:rFonts w:cs="Arial"/>
        </w:rPr>
      </w:pPr>
      <w:r w:rsidRPr="008D619F">
        <w:rPr>
          <w:rFonts w:cs="Arial"/>
        </w:rPr>
        <w:t>2.1 "</w:t>
      </w:r>
      <w:r w:rsidRPr="008D619F">
        <w:rPr>
          <w:rFonts w:cs="Arial"/>
          <w:b/>
          <w:bCs/>
        </w:rPr>
        <w:t>The committee has failed to take a balanced view of the strengths and weaknesses of the survival extrapolation methodologies in the modelled population and that of expert opinion alongside it</w:t>
      </w:r>
      <w:r w:rsidRPr="008D619F">
        <w:rPr>
          <w:rFonts w:cs="Arial"/>
        </w:rPr>
        <w:t>."</w:t>
      </w:r>
    </w:p>
    <w:p w14:paraId="7B1047DC" w14:textId="77777777" w:rsidR="008D619F" w:rsidRPr="008D619F" w:rsidRDefault="008D619F" w:rsidP="008D619F">
      <w:pPr>
        <w:pStyle w:val="ListParagraph"/>
        <w:spacing w:before="120" w:after="240"/>
        <w:ind w:left="1080"/>
        <w:jc w:val="both"/>
        <w:rPr>
          <w:rFonts w:cs="Arial"/>
        </w:rPr>
      </w:pPr>
    </w:p>
    <w:p w14:paraId="423BE191" w14:textId="676CD15F" w:rsidR="00A02546" w:rsidRPr="001E7DF4" w:rsidRDefault="008D619F" w:rsidP="00674A03">
      <w:pPr>
        <w:pStyle w:val="ListParagraph"/>
        <w:numPr>
          <w:ilvl w:val="0"/>
          <w:numId w:val="11"/>
        </w:numPr>
        <w:spacing w:before="120" w:after="240"/>
        <w:jc w:val="both"/>
        <w:rPr>
          <w:rFonts w:cs="Arial"/>
        </w:rPr>
      </w:pPr>
      <w:r w:rsidRPr="001E7DF4">
        <w:rPr>
          <w:rFonts w:cs="Arial"/>
        </w:rPr>
        <w:t>2.2 (originally 1(a).1 and 2.2): "</w:t>
      </w:r>
      <w:r w:rsidRPr="001E7DF4">
        <w:rPr>
          <w:rFonts w:cs="Arial"/>
          <w:b/>
          <w:bCs/>
        </w:rPr>
        <w:t>The committee’s decision to selectively use utility values from two different sources for the PFS and PD health states was unreasonable as it is arbitrary, biased, flawed and inconsistent with the NICE Process and Methods Manual (PMG36)</w:t>
      </w:r>
      <w:r w:rsidR="00A02546" w:rsidRPr="001E7DF4">
        <w:rPr>
          <w:rFonts w:cs="Arial"/>
        </w:rPr>
        <w:t xml:space="preserve">", as it relates to the argument that the </w:t>
      </w:r>
      <w:r w:rsidR="00A02546" w:rsidRPr="001E7DF4">
        <w:rPr>
          <w:rFonts w:cs="Arial"/>
        </w:rPr>
        <w:lastRenderedPageBreak/>
        <w:t xml:space="preserve">Committee's approach of using a </w:t>
      </w:r>
      <w:r w:rsidR="00A02546" w:rsidRPr="001E7DF4">
        <w:rPr>
          <w:rFonts w:cs="Arial"/>
          <w:color w:val="0D0D0D" w:themeColor="text1" w:themeTint="F2"/>
        </w:rPr>
        <w:t>utility value from the COSMIC-311 trial for progression-free survival (PFS) and a utility value from a vignette study for the progressed disease (PD) health state was unreasonable because it: (i) is illogical and</w:t>
      </w:r>
      <w:r w:rsidR="00A02546" w:rsidRPr="001E7DF4">
        <w:rPr>
          <w:rFonts w:cs="Arial"/>
        </w:rPr>
        <w:t xml:space="preserve"> (ii) lacks scientific rationale.</w:t>
      </w:r>
    </w:p>
    <w:p w14:paraId="3F6D3000" w14:textId="77777777" w:rsidR="00A02546" w:rsidRPr="001E7DF4" w:rsidRDefault="00A02546" w:rsidP="00A02546">
      <w:pPr>
        <w:pStyle w:val="ListParagraph"/>
        <w:rPr>
          <w:rFonts w:cs="Arial"/>
          <w:u w:val="single"/>
        </w:rPr>
      </w:pPr>
    </w:p>
    <w:p w14:paraId="403FAD87" w14:textId="5650E7AE" w:rsidR="008D619F" w:rsidRPr="001E7DF4" w:rsidRDefault="008D619F" w:rsidP="00A02546">
      <w:pPr>
        <w:pStyle w:val="ListParagraph"/>
        <w:numPr>
          <w:ilvl w:val="0"/>
          <w:numId w:val="11"/>
        </w:numPr>
        <w:spacing w:before="120" w:after="240"/>
        <w:jc w:val="both"/>
        <w:rPr>
          <w:rFonts w:cs="Arial"/>
          <w:b/>
          <w:bCs/>
        </w:rPr>
      </w:pPr>
      <w:r w:rsidRPr="001E7DF4">
        <w:rPr>
          <w:rFonts w:cs="Arial"/>
        </w:rPr>
        <w:t xml:space="preserve">2.6 </w:t>
      </w:r>
      <w:r w:rsidR="001E7DF4" w:rsidRPr="001E7DF4">
        <w:rPr>
          <w:rFonts w:cs="Arial"/>
          <w:b/>
          <w:bCs/>
        </w:rPr>
        <w:t>"The committee’s conclusions regarding the appropriate ICER threshold for this appraisal do not assess uncertainty in a balanced way nor do they take into account the likelihood of decision error and its consequences in accordance with NICE’s Methods Guide."</w:t>
      </w:r>
    </w:p>
    <w:p w14:paraId="65F0EE2E" w14:textId="77777777" w:rsidR="008D619F" w:rsidRPr="001E7DF4" w:rsidRDefault="008D619F" w:rsidP="008D619F">
      <w:pPr>
        <w:pStyle w:val="ListParagraph"/>
        <w:rPr>
          <w:rFonts w:cs="Arial"/>
        </w:rPr>
      </w:pPr>
    </w:p>
    <w:p w14:paraId="35347CF6" w14:textId="17173A5D" w:rsidR="005A7A7D" w:rsidRPr="001E7DF4" w:rsidRDefault="001E7DF4" w:rsidP="00A02546">
      <w:pPr>
        <w:pStyle w:val="ListParagraph"/>
        <w:numPr>
          <w:ilvl w:val="0"/>
          <w:numId w:val="11"/>
        </w:numPr>
        <w:spacing w:before="120" w:after="240"/>
        <w:jc w:val="both"/>
        <w:rPr>
          <w:rFonts w:cs="Arial"/>
          <w:b/>
          <w:bCs/>
        </w:rPr>
      </w:pPr>
      <w:r w:rsidRPr="001E7DF4">
        <w:rPr>
          <w:rFonts w:cs="Arial"/>
        </w:rPr>
        <w:t>2.7</w:t>
      </w:r>
      <w:r w:rsidRPr="001E7DF4">
        <w:rPr>
          <w:rFonts w:cs="Arial"/>
          <w:b/>
          <w:bCs/>
        </w:rPr>
        <w:t xml:space="preserve"> "The committee’s conclusions regarding the plausible ICER and maximum acceptable ICER thresholds is unreasonable as it is arbitrary and mired in obfuscation."</w:t>
      </w:r>
    </w:p>
    <w:p w14:paraId="04459207" w14:textId="2DFB1578" w:rsidR="001E7DF4" w:rsidRDefault="005A7A7D" w:rsidP="001E7DF4">
      <w:pPr>
        <w:spacing w:before="240" w:after="240"/>
        <w:jc w:val="both"/>
        <w:rPr>
          <w:rFonts w:ascii="Arial" w:eastAsia="Times New Roman" w:hAnsi="Arial" w:cs="Arial"/>
          <w:sz w:val="20"/>
          <w:szCs w:val="20"/>
        </w:rPr>
      </w:pPr>
      <w:r w:rsidRPr="00771051">
        <w:rPr>
          <w:rFonts w:ascii="Arial" w:eastAsia="Times New Roman" w:hAnsi="Arial" w:cs="Arial"/>
          <w:sz w:val="20"/>
          <w:szCs w:val="20"/>
        </w:rPr>
        <w:t xml:space="preserve">NICE shares the valid appeal grounds of each appellant with the other appellants to assist with preparation for the hearing. </w:t>
      </w:r>
      <w:r w:rsidR="001E7DF4">
        <w:rPr>
          <w:rFonts w:ascii="Arial" w:eastAsia="Times New Roman" w:hAnsi="Arial" w:cs="Arial"/>
          <w:sz w:val="20"/>
          <w:szCs w:val="20"/>
        </w:rPr>
        <w:t>In this case you</w:t>
      </w:r>
      <w:r w:rsidR="009A76C8">
        <w:rPr>
          <w:rFonts w:ascii="Arial" w:eastAsia="Times New Roman" w:hAnsi="Arial" w:cs="Arial"/>
          <w:sz w:val="20"/>
          <w:szCs w:val="20"/>
        </w:rPr>
        <w:t>,</w:t>
      </w:r>
      <w:r w:rsidR="001E7DF4">
        <w:rPr>
          <w:rFonts w:ascii="Arial" w:eastAsia="Times New Roman" w:hAnsi="Arial" w:cs="Arial"/>
          <w:sz w:val="20"/>
          <w:szCs w:val="20"/>
        </w:rPr>
        <w:t xml:space="preserve"> </w:t>
      </w:r>
      <w:r w:rsidR="009A76C8">
        <w:rPr>
          <w:rFonts w:ascii="Arial" w:eastAsia="Times New Roman" w:hAnsi="Arial" w:cs="Arial"/>
          <w:sz w:val="20"/>
          <w:szCs w:val="20"/>
        </w:rPr>
        <w:t>Ipsen,</w:t>
      </w:r>
      <w:r w:rsidR="00DB637A">
        <w:rPr>
          <w:rFonts w:ascii="Arial" w:eastAsia="Times New Roman" w:hAnsi="Arial" w:cs="Arial"/>
          <w:sz w:val="20"/>
          <w:szCs w:val="20"/>
        </w:rPr>
        <w:t xml:space="preserve"> are</w:t>
      </w:r>
      <w:r w:rsidR="001E7DF4">
        <w:rPr>
          <w:rFonts w:ascii="Arial" w:eastAsia="Times New Roman" w:hAnsi="Arial" w:cs="Arial"/>
          <w:sz w:val="20"/>
          <w:szCs w:val="20"/>
        </w:rPr>
        <w:t xml:space="preserve"> the only appellant. </w:t>
      </w:r>
    </w:p>
    <w:p w14:paraId="0BB46870" w14:textId="5F522E02" w:rsidR="00D4016C" w:rsidRPr="003D0266" w:rsidRDefault="001E7DF4" w:rsidP="001E7DF4">
      <w:pPr>
        <w:spacing w:before="240" w:after="240"/>
        <w:jc w:val="both"/>
        <w:rPr>
          <w:rFonts w:ascii="Arial" w:eastAsia="Times New Roman" w:hAnsi="Arial" w:cs="Arial"/>
          <w:sz w:val="20"/>
          <w:szCs w:val="20"/>
        </w:rPr>
      </w:pPr>
      <w:r w:rsidRPr="003D0266">
        <w:rPr>
          <w:rFonts w:ascii="Arial" w:eastAsia="Times New Roman" w:hAnsi="Arial" w:cs="Arial"/>
          <w:sz w:val="20"/>
          <w:szCs w:val="20"/>
        </w:rPr>
        <w:t>I note your comment that Ip</w:t>
      </w:r>
      <w:r w:rsidR="009A76C8">
        <w:rPr>
          <w:rFonts w:ascii="Arial" w:eastAsia="Times New Roman" w:hAnsi="Arial" w:cs="Arial"/>
          <w:sz w:val="20"/>
          <w:szCs w:val="20"/>
        </w:rPr>
        <w:t>s</w:t>
      </w:r>
      <w:r w:rsidRPr="003D0266">
        <w:rPr>
          <w:rFonts w:ascii="Arial" w:eastAsia="Times New Roman" w:hAnsi="Arial" w:cs="Arial"/>
          <w:sz w:val="20"/>
          <w:szCs w:val="20"/>
        </w:rPr>
        <w:t>en wish to</w:t>
      </w:r>
      <w:r w:rsidR="00D4016C" w:rsidRPr="003D0266">
        <w:rPr>
          <w:rFonts w:ascii="Arial" w:eastAsia="Times New Roman" w:hAnsi="Arial" w:cs="Arial"/>
          <w:sz w:val="20"/>
          <w:szCs w:val="20"/>
        </w:rPr>
        <w:t xml:space="preserve"> put on record that you consider there is an issue with patient organisation engagement in appraisals that NICE needs to investigate and address to ensure it remains as inclusive as possible in its decision making. I</w:t>
      </w:r>
      <w:r w:rsidR="003D0266">
        <w:rPr>
          <w:rFonts w:ascii="Arial" w:eastAsia="Times New Roman" w:hAnsi="Arial" w:cs="Arial"/>
          <w:sz w:val="20"/>
          <w:szCs w:val="20"/>
        </w:rPr>
        <w:t xml:space="preserve"> </w:t>
      </w:r>
      <w:r w:rsidR="00D4016C" w:rsidRPr="003D0266">
        <w:rPr>
          <w:rFonts w:ascii="Arial" w:eastAsia="Times New Roman" w:hAnsi="Arial" w:cs="Arial"/>
          <w:sz w:val="20"/>
          <w:szCs w:val="20"/>
        </w:rPr>
        <w:t xml:space="preserve">agree that it is enormously valuable to hear from patients in the appeal process. In addition to the comments in my initial scrutiny letter regarding how NICE sought to include the patient perspective in this appraisal, </w:t>
      </w:r>
      <w:r w:rsidR="003D0266">
        <w:rPr>
          <w:rFonts w:ascii="Arial" w:eastAsia="Times New Roman" w:hAnsi="Arial" w:cs="Arial"/>
          <w:sz w:val="20"/>
          <w:szCs w:val="20"/>
        </w:rPr>
        <w:t xml:space="preserve">I would note that </w:t>
      </w:r>
      <w:r w:rsidR="00D4016C" w:rsidRPr="003D0266">
        <w:rPr>
          <w:rFonts w:ascii="Arial" w:eastAsia="Times New Roman" w:hAnsi="Arial" w:cs="Arial"/>
          <w:sz w:val="20"/>
          <w:szCs w:val="20"/>
        </w:rPr>
        <w:t xml:space="preserve">NICE has taken steps to accommodate the perspective of a patient organisation, the British Thyroid Foundation, that contacted NICE following publication of the FDG. While the British Thyroid </w:t>
      </w:r>
      <w:r w:rsidR="00E631E1">
        <w:rPr>
          <w:rFonts w:ascii="Arial" w:eastAsia="Times New Roman" w:hAnsi="Arial" w:cs="Arial"/>
          <w:sz w:val="20"/>
          <w:szCs w:val="20"/>
        </w:rPr>
        <w:t>Foundation</w:t>
      </w:r>
      <w:r w:rsidR="00E631E1" w:rsidRPr="003D0266">
        <w:rPr>
          <w:rFonts w:ascii="Arial" w:eastAsia="Times New Roman" w:hAnsi="Arial" w:cs="Arial"/>
          <w:sz w:val="20"/>
          <w:szCs w:val="20"/>
        </w:rPr>
        <w:t xml:space="preserve"> </w:t>
      </w:r>
      <w:r w:rsidR="00D4016C" w:rsidRPr="003D0266">
        <w:rPr>
          <w:rFonts w:ascii="Arial" w:eastAsia="Times New Roman" w:hAnsi="Arial" w:cs="Arial"/>
          <w:sz w:val="20"/>
          <w:szCs w:val="20"/>
        </w:rPr>
        <w:t xml:space="preserve">cannot </w:t>
      </w:r>
      <w:r w:rsidR="003D0266">
        <w:rPr>
          <w:rFonts w:ascii="Arial" w:eastAsia="Times New Roman" w:hAnsi="Arial" w:cs="Arial"/>
          <w:sz w:val="20"/>
          <w:szCs w:val="20"/>
        </w:rPr>
        <w:t>appeal the FDG</w:t>
      </w:r>
      <w:r w:rsidR="00D4016C" w:rsidRPr="003D0266">
        <w:rPr>
          <w:rFonts w:ascii="Arial" w:eastAsia="Times New Roman" w:hAnsi="Arial" w:cs="Arial"/>
          <w:sz w:val="20"/>
          <w:szCs w:val="20"/>
        </w:rPr>
        <w:t xml:space="preserve">, </w:t>
      </w:r>
      <w:r w:rsidR="00D4016C" w:rsidRPr="003D0266">
        <w:rPr>
          <w:rFonts w:ascii="Arial" w:hAnsi="Arial" w:cs="Arial"/>
          <w:sz w:val="20"/>
          <w:szCs w:val="20"/>
        </w:rPr>
        <w:t xml:space="preserve">having chosen not to participate in the </w:t>
      </w:r>
      <w:proofErr w:type="gramStart"/>
      <w:r w:rsidR="00D4016C" w:rsidRPr="003D0266">
        <w:rPr>
          <w:rFonts w:ascii="Arial" w:hAnsi="Arial" w:cs="Arial"/>
          <w:sz w:val="20"/>
          <w:szCs w:val="20"/>
        </w:rPr>
        <w:t>appraisal,</w:t>
      </w:r>
      <w:r w:rsidR="00D4016C" w:rsidRPr="003D0266">
        <w:rPr>
          <w:rFonts w:ascii="Arial" w:eastAsia="Times New Roman" w:hAnsi="Arial" w:cs="Arial"/>
          <w:sz w:val="20"/>
          <w:szCs w:val="20"/>
        </w:rPr>
        <w:t xml:space="preserve">  </w:t>
      </w:r>
      <w:r w:rsidR="009A76C8">
        <w:rPr>
          <w:rFonts w:ascii="Arial" w:eastAsia="Times New Roman" w:hAnsi="Arial" w:cs="Arial"/>
          <w:sz w:val="20"/>
          <w:szCs w:val="20"/>
        </w:rPr>
        <w:t>I</w:t>
      </w:r>
      <w:proofErr w:type="gramEnd"/>
      <w:r w:rsidR="009A76C8">
        <w:rPr>
          <w:rFonts w:ascii="Arial" w:eastAsia="Times New Roman" w:hAnsi="Arial" w:cs="Arial"/>
          <w:sz w:val="20"/>
          <w:szCs w:val="20"/>
        </w:rPr>
        <w:t xml:space="preserve"> have</w:t>
      </w:r>
      <w:r w:rsidR="00D4016C" w:rsidRPr="003D0266">
        <w:rPr>
          <w:rFonts w:ascii="Arial" w:eastAsia="Times New Roman" w:hAnsi="Arial" w:cs="Arial"/>
          <w:sz w:val="20"/>
          <w:szCs w:val="20"/>
        </w:rPr>
        <w:t xml:space="preserve"> invited them to attend and read out a statement at the beginning of the appeal hearing and hope this flexible approach will nevertheless enable the patient voice to be heard.  </w:t>
      </w:r>
      <w:r w:rsidR="009A76C8">
        <w:rPr>
          <w:rFonts w:ascii="Arial" w:eastAsia="Times New Roman" w:hAnsi="Arial" w:cs="Arial"/>
          <w:sz w:val="20"/>
          <w:szCs w:val="20"/>
        </w:rPr>
        <w:t xml:space="preserve">I have also noted and passed on your concerns about </w:t>
      </w:r>
      <w:r w:rsidR="009A76C8" w:rsidRPr="009A76C8">
        <w:rPr>
          <w:rFonts w:ascii="Arial" w:eastAsia="Times New Roman" w:hAnsi="Arial" w:cs="Arial"/>
          <w:sz w:val="20"/>
          <w:szCs w:val="20"/>
        </w:rPr>
        <w:t xml:space="preserve">patient organisation engagement in appraisals </w:t>
      </w:r>
      <w:r w:rsidR="009A76C8">
        <w:rPr>
          <w:rFonts w:ascii="Arial" w:eastAsia="Times New Roman" w:hAnsi="Arial" w:cs="Arial"/>
          <w:sz w:val="20"/>
          <w:szCs w:val="20"/>
        </w:rPr>
        <w:t xml:space="preserve">to </w:t>
      </w:r>
      <w:r w:rsidR="009A76C8" w:rsidRPr="009A76C8">
        <w:rPr>
          <w:rFonts w:ascii="Arial" w:eastAsia="Times New Roman" w:hAnsi="Arial" w:cs="Arial"/>
          <w:sz w:val="20"/>
          <w:szCs w:val="20"/>
        </w:rPr>
        <w:t>NICE</w:t>
      </w:r>
      <w:r w:rsidR="009A76C8">
        <w:rPr>
          <w:rFonts w:ascii="Arial" w:eastAsia="Times New Roman" w:hAnsi="Arial" w:cs="Arial"/>
          <w:sz w:val="20"/>
          <w:szCs w:val="20"/>
        </w:rPr>
        <w:t>’s Director of Medicines Evaluation</w:t>
      </w:r>
      <w:r w:rsidR="009A76C8" w:rsidRPr="009A76C8">
        <w:rPr>
          <w:rFonts w:ascii="Arial" w:eastAsia="Times New Roman" w:hAnsi="Arial" w:cs="Arial"/>
          <w:sz w:val="20"/>
          <w:szCs w:val="20"/>
        </w:rPr>
        <w:t>.</w:t>
      </w:r>
      <w:r w:rsidR="00D4016C" w:rsidRPr="003D0266">
        <w:rPr>
          <w:rFonts w:ascii="Arial" w:eastAsia="Times New Roman" w:hAnsi="Arial" w:cs="Arial"/>
          <w:sz w:val="20"/>
          <w:szCs w:val="20"/>
        </w:rPr>
        <w:t xml:space="preserve">   </w:t>
      </w:r>
    </w:p>
    <w:p w14:paraId="5CCF2CB3" w14:textId="77777777" w:rsidR="005A7A7D" w:rsidRPr="00771051" w:rsidRDefault="005A7A7D" w:rsidP="005A7A7D">
      <w:pPr>
        <w:spacing w:before="120" w:after="240"/>
        <w:jc w:val="both"/>
        <w:rPr>
          <w:rFonts w:ascii="Arial" w:eastAsia="Times New Roman" w:hAnsi="Arial" w:cs="Arial"/>
          <w:sz w:val="20"/>
          <w:szCs w:val="20"/>
        </w:rPr>
      </w:pPr>
      <w:r w:rsidRPr="00771051">
        <w:rPr>
          <w:rFonts w:ascii="Arial" w:eastAsia="Times New Roman" w:hAnsi="Arial" w:cs="Arial"/>
          <w:sz w:val="20"/>
          <w:szCs w:val="20"/>
        </w:rPr>
        <w:t xml:space="preserve">NICE will be in contact with you regarding the administration of the appeal, which will be held orally. </w:t>
      </w:r>
    </w:p>
    <w:p w14:paraId="04BAA200" w14:textId="77777777" w:rsidR="005A7A7D" w:rsidRDefault="005A7A7D" w:rsidP="005A7A7D">
      <w:pPr>
        <w:spacing w:before="120" w:after="240"/>
        <w:jc w:val="both"/>
        <w:rPr>
          <w:rFonts w:ascii="Arial" w:eastAsia="Times New Roman" w:hAnsi="Arial" w:cs="Arial"/>
          <w:sz w:val="20"/>
          <w:szCs w:val="20"/>
        </w:rPr>
      </w:pPr>
      <w:r w:rsidRPr="00771051">
        <w:rPr>
          <w:rFonts w:ascii="Arial" w:eastAsia="Times New Roman" w:hAnsi="Arial" w:cs="Arial"/>
          <w:sz w:val="20"/>
          <w:szCs w:val="20"/>
        </w:rPr>
        <w:t>Yours sincerely</w:t>
      </w:r>
    </w:p>
    <w:p w14:paraId="4B776D9A" w14:textId="4FDB3CCD" w:rsidR="00DC1AEC" w:rsidRPr="00771051" w:rsidRDefault="001A4615" w:rsidP="005A7A7D">
      <w:pPr>
        <w:spacing w:before="120" w:after="240"/>
        <w:jc w:val="both"/>
        <w:rPr>
          <w:rFonts w:ascii="Arial" w:eastAsia="Times New Roman" w:hAnsi="Arial" w:cs="Arial"/>
          <w:sz w:val="20"/>
          <w:szCs w:val="20"/>
        </w:rPr>
      </w:pPr>
      <w:r w:rsidRPr="001A4615">
        <w:rPr>
          <w:rFonts w:cs="Arial"/>
          <w:noProof/>
          <w:highlight w:val="black"/>
        </w:rPr>
        <w:t>XXXXXXXXXXXXXX</w:t>
      </w:r>
    </w:p>
    <w:p w14:paraId="06E59F3D" w14:textId="77777777" w:rsidR="005A7A7D" w:rsidRPr="00771051" w:rsidRDefault="005A7A7D" w:rsidP="005A7A7D">
      <w:pPr>
        <w:spacing w:before="120" w:after="240"/>
        <w:jc w:val="both"/>
        <w:rPr>
          <w:rFonts w:ascii="Arial" w:eastAsia="Times New Roman" w:hAnsi="Arial" w:cs="Arial"/>
          <w:sz w:val="20"/>
          <w:szCs w:val="20"/>
        </w:rPr>
      </w:pPr>
      <w:r w:rsidRPr="00771051">
        <w:rPr>
          <w:rFonts w:ascii="Arial" w:eastAsia="Times New Roman" w:hAnsi="Arial" w:cs="Arial"/>
          <w:sz w:val="20"/>
          <w:szCs w:val="20"/>
        </w:rPr>
        <w:t>Dr Mark Chakravarty</w:t>
      </w:r>
    </w:p>
    <w:p w14:paraId="321A9458" w14:textId="77777777" w:rsidR="005A7A7D" w:rsidRPr="00771051" w:rsidRDefault="005A7A7D" w:rsidP="005A7A7D">
      <w:pPr>
        <w:spacing w:before="120" w:after="240"/>
        <w:jc w:val="both"/>
        <w:rPr>
          <w:rFonts w:ascii="Arial" w:eastAsia="Times New Roman" w:hAnsi="Arial" w:cs="Arial"/>
          <w:sz w:val="20"/>
          <w:szCs w:val="20"/>
        </w:rPr>
      </w:pPr>
      <w:r w:rsidRPr="00771051">
        <w:rPr>
          <w:rFonts w:ascii="Arial" w:eastAsia="Times New Roman" w:hAnsi="Arial" w:cs="Arial"/>
          <w:sz w:val="20"/>
          <w:szCs w:val="20"/>
        </w:rPr>
        <w:t>Lead Non-Executive Director for Appeals &amp; Vice Chairman</w:t>
      </w:r>
    </w:p>
    <w:p w14:paraId="03E7BAFA" w14:textId="5FB268B0" w:rsidR="000B36E1" w:rsidRPr="0043022B" w:rsidRDefault="005A7A7D" w:rsidP="00E40232">
      <w:pPr>
        <w:spacing w:before="120" w:after="240"/>
        <w:jc w:val="both"/>
        <w:rPr>
          <w:rFonts w:ascii="Arial" w:hAnsi="Arial" w:cs="Arial"/>
          <w:sz w:val="20"/>
          <w:szCs w:val="20"/>
        </w:rPr>
      </w:pPr>
      <w:r w:rsidRPr="00771051">
        <w:rPr>
          <w:rFonts w:ascii="Arial" w:eastAsia="Times New Roman" w:hAnsi="Arial" w:cs="Arial"/>
          <w:sz w:val="20"/>
          <w:szCs w:val="20"/>
        </w:rPr>
        <w:t>National Institute for Health and Care Excellence</w:t>
      </w:r>
    </w:p>
    <w:sectPr w:rsidR="000B36E1" w:rsidRPr="0043022B" w:rsidSect="000B36E1">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6352C" w14:textId="77777777" w:rsidR="00DB54D1" w:rsidRDefault="00DB54D1" w:rsidP="000B352B">
      <w:pPr>
        <w:spacing w:after="0" w:line="240" w:lineRule="auto"/>
      </w:pPr>
      <w:r>
        <w:separator/>
      </w:r>
    </w:p>
  </w:endnote>
  <w:endnote w:type="continuationSeparator" w:id="0">
    <w:p w14:paraId="2B6BA522" w14:textId="77777777" w:rsidR="00DB54D1" w:rsidRDefault="00DB54D1"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Segoe UI"/>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CEBF2EA"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2B6A0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A7403" w14:textId="77777777" w:rsidR="00DB54D1" w:rsidRDefault="00DB54D1" w:rsidP="000B352B">
      <w:pPr>
        <w:spacing w:after="0" w:line="240" w:lineRule="auto"/>
      </w:pPr>
      <w:r>
        <w:separator/>
      </w:r>
    </w:p>
  </w:footnote>
  <w:footnote w:type="continuationSeparator" w:id="0">
    <w:p w14:paraId="1C055AA3" w14:textId="77777777" w:rsidR="00DB54D1" w:rsidRDefault="00DB54D1"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5D75B2"/>
    <w:multiLevelType w:val="hybridMultilevel"/>
    <w:tmpl w:val="FBA6B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4" w15:restartNumberingAfterBreak="0">
    <w:nsid w:val="342F1D0C"/>
    <w:multiLevelType w:val="hybridMultilevel"/>
    <w:tmpl w:val="79C26A16"/>
    <w:lvl w:ilvl="0" w:tplc="B0DA35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5E11A23"/>
    <w:multiLevelType w:val="hybridMultilevel"/>
    <w:tmpl w:val="E98091AE"/>
    <w:lvl w:ilvl="0" w:tplc="DA40655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E42DB3"/>
    <w:multiLevelType w:val="hybridMultilevel"/>
    <w:tmpl w:val="4538C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1A545E2"/>
    <w:multiLevelType w:val="hybridMultilevel"/>
    <w:tmpl w:val="9028B44C"/>
    <w:lvl w:ilvl="0" w:tplc="A6907310">
      <w:start w:val="1"/>
      <w:numFmt w:val="lowerRoman"/>
      <w:lvlText w:val="(%1)"/>
      <w:lvlJc w:val="left"/>
      <w:pPr>
        <w:ind w:left="330" w:hanging="720"/>
      </w:pPr>
      <w:rPr>
        <w:rFonts w:hint="default"/>
      </w:rPr>
    </w:lvl>
    <w:lvl w:ilvl="1" w:tplc="08090019" w:tentative="1">
      <w:start w:val="1"/>
      <w:numFmt w:val="lowerLetter"/>
      <w:lvlText w:val="%2."/>
      <w:lvlJc w:val="left"/>
      <w:pPr>
        <w:ind w:left="690" w:hanging="360"/>
      </w:pPr>
    </w:lvl>
    <w:lvl w:ilvl="2" w:tplc="0809001B" w:tentative="1">
      <w:start w:val="1"/>
      <w:numFmt w:val="lowerRoman"/>
      <w:lvlText w:val="%3."/>
      <w:lvlJc w:val="right"/>
      <w:pPr>
        <w:ind w:left="1410" w:hanging="180"/>
      </w:pPr>
    </w:lvl>
    <w:lvl w:ilvl="3" w:tplc="0809000F" w:tentative="1">
      <w:start w:val="1"/>
      <w:numFmt w:val="decimal"/>
      <w:lvlText w:val="%4."/>
      <w:lvlJc w:val="left"/>
      <w:pPr>
        <w:ind w:left="2130" w:hanging="360"/>
      </w:pPr>
    </w:lvl>
    <w:lvl w:ilvl="4" w:tplc="08090019" w:tentative="1">
      <w:start w:val="1"/>
      <w:numFmt w:val="lowerLetter"/>
      <w:lvlText w:val="%5."/>
      <w:lvlJc w:val="left"/>
      <w:pPr>
        <w:ind w:left="2850" w:hanging="360"/>
      </w:pPr>
    </w:lvl>
    <w:lvl w:ilvl="5" w:tplc="0809001B" w:tentative="1">
      <w:start w:val="1"/>
      <w:numFmt w:val="lowerRoman"/>
      <w:lvlText w:val="%6."/>
      <w:lvlJc w:val="right"/>
      <w:pPr>
        <w:ind w:left="3570" w:hanging="180"/>
      </w:pPr>
    </w:lvl>
    <w:lvl w:ilvl="6" w:tplc="0809000F" w:tentative="1">
      <w:start w:val="1"/>
      <w:numFmt w:val="decimal"/>
      <w:lvlText w:val="%7."/>
      <w:lvlJc w:val="left"/>
      <w:pPr>
        <w:ind w:left="4290" w:hanging="360"/>
      </w:pPr>
    </w:lvl>
    <w:lvl w:ilvl="7" w:tplc="08090019" w:tentative="1">
      <w:start w:val="1"/>
      <w:numFmt w:val="lowerLetter"/>
      <w:lvlText w:val="%8."/>
      <w:lvlJc w:val="left"/>
      <w:pPr>
        <w:ind w:left="5010" w:hanging="360"/>
      </w:pPr>
    </w:lvl>
    <w:lvl w:ilvl="8" w:tplc="0809001B" w:tentative="1">
      <w:start w:val="1"/>
      <w:numFmt w:val="lowerRoman"/>
      <w:lvlText w:val="%9."/>
      <w:lvlJc w:val="right"/>
      <w:pPr>
        <w:ind w:left="5730" w:hanging="180"/>
      </w:pPr>
    </w:lvl>
  </w:abstractNum>
  <w:abstractNum w:abstractNumId="9" w15:restartNumberingAfterBreak="0">
    <w:nsid w:val="742D3DD1"/>
    <w:multiLevelType w:val="hybridMultilevel"/>
    <w:tmpl w:val="896A2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4081330">
    <w:abstractNumId w:val="2"/>
  </w:num>
  <w:num w:numId="2" w16cid:durableId="1239897750">
    <w:abstractNumId w:val="7"/>
  </w:num>
  <w:num w:numId="3" w16cid:durableId="724110161">
    <w:abstractNumId w:val="3"/>
  </w:num>
  <w:num w:numId="4" w16cid:durableId="99180155">
    <w:abstractNumId w:val="8"/>
  </w:num>
  <w:num w:numId="5" w16cid:durableId="1481845086">
    <w:abstractNumId w:val="0"/>
  </w:num>
  <w:num w:numId="6" w16cid:durableId="423919277">
    <w:abstractNumId w:val="4"/>
  </w:num>
  <w:num w:numId="7" w16cid:durableId="20083576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738768">
    <w:abstractNumId w:val="6"/>
  </w:num>
  <w:num w:numId="9" w16cid:durableId="1504122631">
    <w:abstractNumId w:val="9"/>
  </w:num>
  <w:num w:numId="10" w16cid:durableId="545685229">
    <w:abstractNumId w:val="1"/>
  </w:num>
  <w:num w:numId="11" w16cid:durableId="121655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216FB"/>
    <w:rsid w:val="0003729F"/>
    <w:rsid w:val="000468DC"/>
    <w:rsid w:val="000641E7"/>
    <w:rsid w:val="00085181"/>
    <w:rsid w:val="000B104A"/>
    <w:rsid w:val="000B352B"/>
    <w:rsid w:val="000B36E1"/>
    <w:rsid w:val="00144F73"/>
    <w:rsid w:val="0014732A"/>
    <w:rsid w:val="00176AA4"/>
    <w:rsid w:val="001A4615"/>
    <w:rsid w:val="001D5BD2"/>
    <w:rsid w:val="001E0317"/>
    <w:rsid w:val="001E7DF4"/>
    <w:rsid w:val="001F3962"/>
    <w:rsid w:val="0022689E"/>
    <w:rsid w:val="002B6A0D"/>
    <w:rsid w:val="00320722"/>
    <w:rsid w:val="00321B75"/>
    <w:rsid w:val="00371B99"/>
    <w:rsid w:val="003936B7"/>
    <w:rsid w:val="003A3E2E"/>
    <w:rsid w:val="003A79BD"/>
    <w:rsid w:val="003B2535"/>
    <w:rsid w:val="003D0266"/>
    <w:rsid w:val="003D614E"/>
    <w:rsid w:val="003F3836"/>
    <w:rsid w:val="0040409D"/>
    <w:rsid w:val="004215D9"/>
    <w:rsid w:val="0043022B"/>
    <w:rsid w:val="00453738"/>
    <w:rsid w:val="00453774"/>
    <w:rsid w:val="00480405"/>
    <w:rsid w:val="00493D2F"/>
    <w:rsid w:val="004B4EC7"/>
    <w:rsid w:val="004C2D22"/>
    <w:rsid w:val="004E4493"/>
    <w:rsid w:val="004F29D7"/>
    <w:rsid w:val="004F39B0"/>
    <w:rsid w:val="00593F3D"/>
    <w:rsid w:val="005A42E5"/>
    <w:rsid w:val="005A7A7D"/>
    <w:rsid w:val="005B078B"/>
    <w:rsid w:val="005C388B"/>
    <w:rsid w:val="005C7480"/>
    <w:rsid w:val="005E0434"/>
    <w:rsid w:val="005E2A58"/>
    <w:rsid w:val="00641CEB"/>
    <w:rsid w:val="006628FF"/>
    <w:rsid w:val="00671EF3"/>
    <w:rsid w:val="0069376C"/>
    <w:rsid w:val="006D0C62"/>
    <w:rsid w:val="006F031D"/>
    <w:rsid w:val="0072577F"/>
    <w:rsid w:val="00732227"/>
    <w:rsid w:val="0079326E"/>
    <w:rsid w:val="007B36FA"/>
    <w:rsid w:val="007C64C6"/>
    <w:rsid w:val="007D4914"/>
    <w:rsid w:val="00866617"/>
    <w:rsid w:val="00876065"/>
    <w:rsid w:val="008C081A"/>
    <w:rsid w:val="008C76EE"/>
    <w:rsid w:val="008D619F"/>
    <w:rsid w:val="008E4AE4"/>
    <w:rsid w:val="00961369"/>
    <w:rsid w:val="009A01FD"/>
    <w:rsid w:val="009A76C8"/>
    <w:rsid w:val="009B4E90"/>
    <w:rsid w:val="009C648F"/>
    <w:rsid w:val="009E2F15"/>
    <w:rsid w:val="009E5151"/>
    <w:rsid w:val="009F0476"/>
    <w:rsid w:val="00A0226C"/>
    <w:rsid w:val="00A02546"/>
    <w:rsid w:val="00A84AF4"/>
    <w:rsid w:val="00AB7FC9"/>
    <w:rsid w:val="00AE303D"/>
    <w:rsid w:val="00B24360"/>
    <w:rsid w:val="00B32B71"/>
    <w:rsid w:val="00B475AF"/>
    <w:rsid w:val="00B737D4"/>
    <w:rsid w:val="00BC7BE7"/>
    <w:rsid w:val="00BD2D2B"/>
    <w:rsid w:val="00C85906"/>
    <w:rsid w:val="00C96687"/>
    <w:rsid w:val="00CB4563"/>
    <w:rsid w:val="00CD5484"/>
    <w:rsid w:val="00CE085C"/>
    <w:rsid w:val="00D155F2"/>
    <w:rsid w:val="00D22D3F"/>
    <w:rsid w:val="00D37DEC"/>
    <w:rsid w:val="00D4016C"/>
    <w:rsid w:val="00D43C5C"/>
    <w:rsid w:val="00D755E3"/>
    <w:rsid w:val="00D770E0"/>
    <w:rsid w:val="00DB178D"/>
    <w:rsid w:val="00DB54D1"/>
    <w:rsid w:val="00DB637A"/>
    <w:rsid w:val="00DC1AEC"/>
    <w:rsid w:val="00DD43C2"/>
    <w:rsid w:val="00E03263"/>
    <w:rsid w:val="00E40232"/>
    <w:rsid w:val="00E467E2"/>
    <w:rsid w:val="00E60FCF"/>
    <w:rsid w:val="00E622D7"/>
    <w:rsid w:val="00E631E1"/>
    <w:rsid w:val="00E67BD1"/>
    <w:rsid w:val="00E70F23"/>
    <w:rsid w:val="00E74443"/>
    <w:rsid w:val="00E7772A"/>
    <w:rsid w:val="00EA3919"/>
    <w:rsid w:val="00EE6553"/>
    <w:rsid w:val="00F04994"/>
    <w:rsid w:val="00F1265E"/>
    <w:rsid w:val="00F233EA"/>
    <w:rsid w:val="00F24B1D"/>
    <w:rsid w:val="00F47A04"/>
    <w:rsid w:val="00F70A40"/>
    <w:rsid w:val="00F9134D"/>
    <w:rsid w:val="00FB225B"/>
    <w:rsid w:val="00FE27C0"/>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customStyle="1" w:styleId="UnresolvedMention1">
    <w:name w:val="Unresolved Mention1"/>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eastAsia="Times New Roman" w:hAnsi="Arial"/>
      <w:sz w:val="20"/>
      <w:szCs w:val="20"/>
    </w:rPr>
  </w:style>
  <w:style w:type="character" w:styleId="CommentReference">
    <w:name w:val="annotation reference"/>
    <w:basedOn w:val="DefaultParagraphFont"/>
    <w:uiPriority w:val="99"/>
    <w:semiHidden/>
    <w:unhideWhenUsed/>
    <w:rsid w:val="00E467E2"/>
    <w:rPr>
      <w:sz w:val="16"/>
      <w:szCs w:val="16"/>
    </w:rPr>
  </w:style>
  <w:style w:type="paragraph" w:styleId="CommentText">
    <w:name w:val="annotation text"/>
    <w:basedOn w:val="Normal"/>
    <w:link w:val="CommentTextChar"/>
    <w:uiPriority w:val="99"/>
    <w:semiHidden/>
    <w:unhideWhenUsed/>
    <w:rsid w:val="00E467E2"/>
    <w:pPr>
      <w:spacing w:line="240" w:lineRule="auto"/>
    </w:pPr>
    <w:rPr>
      <w:sz w:val="20"/>
      <w:szCs w:val="20"/>
    </w:rPr>
  </w:style>
  <w:style w:type="character" w:customStyle="1" w:styleId="CommentTextChar">
    <w:name w:val="Comment Text Char"/>
    <w:basedOn w:val="DefaultParagraphFont"/>
    <w:link w:val="CommentText"/>
    <w:uiPriority w:val="99"/>
    <w:semiHidden/>
    <w:rsid w:val="00E467E2"/>
    <w:rPr>
      <w:lang w:eastAsia="en-US"/>
    </w:rPr>
  </w:style>
  <w:style w:type="paragraph" w:styleId="CommentSubject">
    <w:name w:val="annotation subject"/>
    <w:basedOn w:val="CommentText"/>
    <w:next w:val="CommentText"/>
    <w:link w:val="CommentSubjectChar"/>
    <w:uiPriority w:val="99"/>
    <w:semiHidden/>
    <w:unhideWhenUsed/>
    <w:rsid w:val="00E467E2"/>
    <w:rPr>
      <w:b/>
      <w:bCs/>
    </w:rPr>
  </w:style>
  <w:style w:type="character" w:customStyle="1" w:styleId="CommentSubjectChar">
    <w:name w:val="Comment Subject Char"/>
    <w:basedOn w:val="CommentTextChar"/>
    <w:link w:val="CommentSubject"/>
    <w:uiPriority w:val="99"/>
    <w:semiHidden/>
    <w:rsid w:val="00E467E2"/>
    <w:rPr>
      <w:b/>
      <w:bCs/>
      <w:lang w:eastAsia="en-US"/>
    </w:rPr>
  </w:style>
  <w:style w:type="paragraph" w:styleId="Revision">
    <w:name w:val="Revision"/>
    <w:hidden/>
    <w:uiPriority w:val="99"/>
    <w:semiHidden/>
    <w:rsid w:val="00F70A40"/>
    <w:rPr>
      <w:sz w:val="22"/>
      <w:szCs w:val="22"/>
      <w:lang w:eastAsia="en-US"/>
    </w:rPr>
  </w:style>
  <w:style w:type="paragraph" w:styleId="BodyText">
    <w:name w:val="Body Text"/>
    <w:basedOn w:val="Normal"/>
    <w:link w:val="BodyTextChar"/>
    <w:rsid w:val="00671EF3"/>
    <w:pPr>
      <w:spacing w:line="288" w:lineRule="auto"/>
    </w:pPr>
    <w:rPr>
      <w:rFonts w:ascii="Arial" w:eastAsia="Times New Roman" w:hAnsi="Arial"/>
      <w:color w:val="333333"/>
      <w:sz w:val="20"/>
      <w:szCs w:val="20"/>
    </w:rPr>
  </w:style>
  <w:style w:type="character" w:customStyle="1" w:styleId="BodyTextChar">
    <w:name w:val="Body Text Char"/>
    <w:basedOn w:val="DefaultParagraphFont"/>
    <w:link w:val="BodyText"/>
    <w:rsid w:val="00671EF3"/>
    <w:rPr>
      <w:rFonts w:ascii="Arial" w:eastAsia="Times New Roman" w:hAnsi="Arial"/>
      <w:color w:val="333333"/>
      <w:lang w:eastAsia="en-US"/>
    </w:rPr>
  </w:style>
  <w:style w:type="character" w:styleId="UnresolvedMention">
    <w:name w:val="Unresolved Mention"/>
    <w:basedOn w:val="DefaultParagraphFont"/>
    <w:uiPriority w:val="99"/>
    <w:semiHidden/>
    <w:unhideWhenUsed/>
    <w:rsid w:val="009C648F"/>
    <w:rPr>
      <w:color w:val="605E5C"/>
      <w:shd w:val="clear" w:color="auto" w:fill="E1DFDD"/>
    </w:rPr>
  </w:style>
  <w:style w:type="character" w:styleId="FollowedHyperlink">
    <w:name w:val="FollowedHyperlink"/>
    <w:basedOn w:val="DefaultParagraphFont"/>
    <w:uiPriority w:val="99"/>
    <w:semiHidden/>
    <w:unhideWhenUsed/>
    <w:rsid w:val="00F913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7571">
      <w:bodyDiv w:val="1"/>
      <w:marLeft w:val="0"/>
      <w:marRight w:val="0"/>
      <w:marTop w:val="0"/>
      <w:marBottom w:val="0"/>
      <w:divBdr>
        <w:top w:val="none" w:sz="0" w:space="0" w:color="auto"/>
        <w:left w:val="none" w:sz="0" w:space="0" w:color="auto"/>
        <w:bottom w:val="none" w:sz="0" w:space="0" w:color="auto"/>
        <w:right w:val="none" w:sz="0" w:space="0" w:color="auto"/>
      </w:divBdr>
    </w:div>
    <w:div w:id="429393891">
      <w:bodyDiv w:val="1"/>
      <w:marLeft w:val="0"/>
      <w:marRight w:val="0"/>
      <w:marTop w:val="0"/>
      <w:marBottom w:val="0"/>
      <w:divBdr>
        <w:top w:val="none" w:sz="0" w:space="0" w:color="auto"/>
        <w:left w:val="none" w:sz="0" w:space="0" w:color="auto"/>
        <w:bottom w:val="none" w:sz="0" w:space="0" w:color="auto"/>
        <w:right w:val="none" w:sz="0" w:space="0" w:color="auto"/>
      </w:divBdr>
    </w:div>
    <w:div w:id="862284590">
      <w:bodyDiv w:val="1"/>
      <w:marLeft w:val="0"/>
      <w:marRight w:val="0"/>
      <w:marTop w:val="0"/>
      <w:marBottom w:val="0"/>
      <w:divBdr>
        <w:top w:val="none" w:sz="0" w:space="0" w:color="auto"/>
        <w:left w:val="none" w:sz="0" w:space="0" w:color="auto"/>
        <w:bottom w:val="none" w:sz="0" w:space="0" w:color="auto"/>
        <w:right w:val="none" w:sz="0" w:space="0" w:color="auto"/>
      </w:divBdr>
    </w:div>
    <w:div w:id="1069428360">
      <w:bodyDiv w:val="1"/>
      <w:marLeft w:val="0"/>
      <w:marRight w:val="0"/>
      <w:marTop w:val="0"/>
      <w:marBottom w:val="0"/>
      <w:divBdr>
        <w:top w:val="none" w:sz="0" w:space="0" w:color="auto"/>
        <w:left w:val="none" w:sz="0" w:space="0" w:color="auto"/>
        <w:bottom w:val="none" w:sz="0" w:space="0" w:color="auto"/>
        <w:right w:val="none" w:sz="0" w:space="0" w:color="auto"/>
      </w:divBdr>
    </w:div>
    <w:div w:id="1076708101">
      <w:bodyDiv w:val="1"/>
      <w:marLeft w:val="0"/>
      <w:marRight w:val="0"/>
      <w:marTop w:val="0"/>
      <w:marBottom w:val="0"/>
      <w:divBdr>
        <w:top w:val="none" w:sz="0" w:space="0" w:color="auto"/>
        <w:left w:val="none" w:sz="0" w:space="0" w:color="auto"/>
        <w:bottom w:val="none" w:sz="0" w:space="0" w:color="auto"/>
        <w:right w:val="none" w:sz="0" w:space="0" w:color="auto"/>
      </w:divBdr>
    </w:div>
    <w:div w:id="1169326003">
      <w:bodyDiv w:val="1"/>
      <w:marLeft w:val="0"/>
      <w:marRight w:val="0"/>
      <w:marTop w:val="0"/>
      <w:marBottom w:val="0"/>
      <w:divBdr>
        <w:top w:val="none" w:sz="0" w:space="0" w:color="auto"/>
        <w:left w:val="none" w:sz="0" w:space="0" w:color="auto"/>
        <w:bottom w:val="none" w:sz="0" w:space="0" w:color="auto"/>
        <w:right w:val="none" w:sz="0" w:space="0" w:color="auto"/>
      </w:divBdr>
    </w:div>
    <w:div w:id="1740320705">
      <w:bodyDiv w:val="1"/>
      <w:marLeft w:val="0"/>
      <w:marRight w:val="0"/>
      <w:marTop w:val="0"/>
      <w:marBottom w:val="0"/>
      <w:divBdr>
        <w:top w:val="none" w:sz="0" w:space="0" w:color="auto"/>
        <w:left w:val="none" w:sz="0" w:space="0" w:color="auto"/>
        <w:bottom w:val="none" w:sz="0" w:space="0" w:color="auto"/>
        <w:right w:val="none" w:sz="0" w:space="0" w:color="auto"/>
      </w:divBdr>
    </w:div>
    <w:div w:id="21305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gid-ta10932/documents/committee-papers-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ce.org.uk/guidance/gid-ta10932/documents/committee-papers-2" TargetMode="External"/><Relationship Id="rId4" Type="http://schemas.openxmlformats.org/officeDocument/2006/relationships/settings" Target="settings.xml"/><Relationship Id="rId9" Type="http://schemas.openxmlformats.org/officeDocument/2006/relationships/hyperlink" Target="https://www.nice.org.uk/guidance/gid-ta10932/documents/committee-papers-2"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261F5-7443-4011-BEFD-A56A57456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38</TotalTime>
  <Pages>3</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Lyn Davies</cp:lastModifiedBy>
  <cp:revision>5</cp:revision>
  <dcterms:created xsi:type="dcterms:W3CDTF">2023-07-26T15:27:00Z</dcterms:created>
  <dcterms:modified xsi:type="dcterms:W3CDTF">2023-08-29T13:11:00Z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2023-07-27T08:25:25Z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4173d57c-3f96-4ff0-b453-50cd4ed35bf4</vt:lpwstr>
  </property>
  <property fmtid="{D5CDD505-2E9C-101B-9397-08002B2CF9AE}" pid="8" name="MSIP_Label_c69d85d5-6d9e-4305-a294-1f636ec0f2d6_ContentBits">
    <vt:lpwstr>0</vt:lpwstr>
  </property>
</Properties>
</file>