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53627" w14:textId="5679A603" w:rsidR="0019459D" w:rsidRDefault="00F41597" w:rsidP="00413F89">
      <w:pPr>
        <w:spacing w:after="0" w:line="240" w:lineRule="auto"/>
        <w:jc w:val="both"/>
        <w:rPr>
          <w:rFonts w:cs="Arial"/>
          <w:color w:val="0D0D0D" w:themeColor="text1" w:themeTint="F2"/>
        </w:rPr>
      </w:pPr>
      <w:r w:rsidRPr="009C5872">
        <w:rPr>
          <w:rFonts w:cs="Arial"/>
          <w:color w:val="0D0D0D" w:themeColor="text1" w:themeTint="F2"/>
        </w:rPr>
        <w:t xml:space="preserve">FAO </w:t>
      </w:r>
      <w:r w:rsidR="00660864" w:rsidRPr="00660864">
        <w:rPr>
          <w:rFonts w:cs="Arial"/>
          <w:color w:val="0D0D0D" w:themeColor="text1" w:themeTint="F2"/>
          <w:highlight w:val="black"/>
        </w:rPr>
        <w:t>XXXXXXXXX</w:t>
      </w:r>
    </w:p>
    <w:p w14:paraId="42E33BED" w14:textId="642328EB" w:rsidR="0019459D" w:rsidRDefault="00660864" w:rsidP="00413F89">
      <w:pPr>
        <w:spacing w:after="0" w:line="240" w:lineRule="auto"/>
        <w:jc w:val="both"/>
        <w:rPr>
          <w:rFonts w:cs="Arial"/>
          <w:color w:val="0D0D0D" w:themeColor="text1" w:themeTint="F2"/>
        </w:rPr>
      </w:pPr>
      <w:r w:rsidRPr="00660864">
        <w:rPr>
          <w:rFonts w:cs="Arial"/>
          <w:color w:val="0D0D0D" w:themeColor="text1" w:themeTint="F2"/>
          <w:highlight w:val="black"/>
        </w:rPr>
        <w:t>XXXXXXXXXX</w:t>
      </w:r>
      <w:r w:rsidR="0019459D">
        <w:rPr>
          <w:rFonts w:cs="Arial"/>
          <w:color w:val="0D0D0D" w:themeColor="text1" w:themeTint="F2"/>
        </w:rPr>
        <w:t>, UK and Ireland</w:t>
      </w:r>
    </w:p>
    <w:p w14:paraId="3467EB37" w14:textId="3F7DF585" w:rsidR="0019459D" w:rsidRDefault="0019459D" w:rsidP="00413F89">
      <w:pPr>
        <w:spacing w:after="0" w:line="240" w:lineRule="auto"/>
        <w:jc w:val="both"/>
        <w:rPr>
          <w:rFonts w:cs="Arial"/>
          <w:color w:val="0D0D0D" w:themeColor="text1" w:themeTint="F2"/>
        </w:rPr>
      </w:pPr>
      <w:r>
        <w:rPr>
          <w:rFonts w:cs="Arial"/>
          <w:color w:val="0D0D0D" w:themeColor="text1" w:themeTint="F2"/>
        </w:rPr>
        <w:t>Ipsen Limited</w:t>
      </w:r>
    </w:p>
    <w:p w14:paraId="59A7D602" w14:textId="5E40C449" w:rsidR="007A7F07" w:rsidRPr="009C5872" w:rsidRDefault="007710A0" w:rsidP="00413F89">
      <w:pPr>
        <w:spacing w:after="0" w:line="240" w:lineRule="auto"/>
        <w:jc w:val="both"/>
        <w:rPr>
          <w:rFonts w:cs="Arial"/>
          <w:color w:val="0D0D0D" w:themeColor="text1" w:themeTint="F2"/>
        </w:rPr>
      </w:pPr>
      <w:r>
        <w:rPr>
          <w:rFonts w:cs="Arial"/>
          <w:color w:val="0D0D0D" w:themeColor="text1" w:themeTint="F2"/>
        </w:rPr>
        <w:t xml:space="preserve"> </w:t>
      </w:r>
    </w:p>
    <w:p w14:paraId="5BCC1306" w14:textId="22036D84" w:rsidR="00C70019" w:rsidRPr="009C5872" w:rsidRDefault="00C70019" w:rsidP="00413F89">
      <w:pPr>
        <w:jc w:val="both"/>
        <w:rPr>
          <w:rStyle w:val="Hyperlink"/>
          <w:rFonts w:cs="Arial"/>
          <w:color w:val="0D0D0D" w:themeColor="text1" w:themeTint="F2"/>
        </w:rPr>
      </w:pPr>
      <w:r w:rsidRPr="009C5872">
        <w:rPr>
          <w:rFonts w:cs="Arial"/>
          <w:color w:val="0D0D0D" w:themeColor="text1" w:themeTint="F2"/>
        </w:rPr>
        <w:t xml:space="preserve">Sent by e-mail only: </w:t>
      </w:r>
      <w:r w:rsidR="00DE423E" w:rsidRPr="00DE423E">
        <w:rPr>
          <w:rFonts w:cs="Arial"/>
          <w:color w:val="0D0D0D" w:themeColor="text1" w:themeTint="F2"/>
          <w:highlight w:val="black"/>
        </w:rPr>
        <w:t>XXXXXXXXXXXX</w:t>
      </w:r>
    </w:p>
    <w:p w14:paraId="3F02C0B8" w14:textId="77278FA7" w:rsidR="00C70019" w:rsidRPr="009C5872" w:rsidRDefault="002167C1" w:rsidP="00413F89">
      <w:pPr>
        <w:jc w:val="both"/>
        <w:rPr>
          <w:rFonts w:cs="Arial"/>
          <w:color w:val="0D0D0D" w:themeColor="text1" w:themeTint="F2"/>
        </w:rPr>
      </w:pPr>
      <w:r>
        <w:rPr>
          <w:rFonts w:cs="Arial"/>
          <w:color w:val="0D0D0D" w:themeColor="text1" w:themeTint="F2"/>
        </w:rPr>
        <w:t>6</w:t>
      </w:r>
      <w:r w:rsidR="007710A0">
        <w:rPr>
          <w:rFonts w:cs="Arial"/>
          <w:color w:val="0D0D0D" w:themeColor="text1" w:themeTint="F2"/>
        </w:rPr>
        <w:t xml:space="preserve"> Ju</w:t>
      </w:r>
      <w:r w:rsidR="0019459D">
        <w:rPr>
          <w:rFonts w:cs="Arial"/>
          <w:color w:val="0D0D0D" w:themeColor="text1" w:themeTint="F2"/>
        </w:rPr>
        <w:t>ly</w:t>
      </w:r>
      <w:r w:rsidR="007A7F07" w:rsidRPr="009C5872">
        <w:rPr>
          <w:rFonts w:cs="Arial"/>
          <w:color w:val="0D0D0D" w:themeColor="text1" w:themeTint="F2"/>
        </w:rPr>
        <w:t xml:space="preserve"> 2023</w:t>
      </w:r>
    </w:p>
    <w:p w14:paraId="67A83021" w14:textId="62437353" w:rsidR="00C70019" w:rsidRPr="009C5872" w:rsidRDefault="00C70019" w:rsidP="00413F89">
      <w:pPr>
        <w:ind w:left="426" w:right="468" w:hanging="426"/>
        <w:jc w:val="both"/>
        <w:rPr>
          <w:rFonts w:cs="Arial"/>
          <w:noProof/>
          <w:color w:val="0D0D0D" w:themeColor="text1" w:themeTint="F2"/>
          <w:spacing w:val="-3"/>
          <w:lang w:eastAsia="en-GB"/>
        </w:rPr>
      </w:pPr>
      <w:bookmarkStart w:id="0" w:name="deartext"/>
      <w:r w:rsidRPr="009C5872">
        <w:rPr>
          <w:rFonts w:cs="Arial"/>
          <w:color w:val="0D0D0D" w:themeColor="text1" w:themeTint="F2"/>
        </w:rPr>
        <w:t>Dear</w:t>
      </w:r>
      <w:bookmarkEnd w:id="0"/>
      <w:r w:rsidRPr="009C5872">
        <w:rPr>
          <w:rFonts w:cs="Arial"/>
          <w:color w:val="0D0D0D" w:themeColor="text1" w:themeTint="F2"/>
        </w:rPr>
        <w:t xml:space="preserve"> </w:t>
      </w:r>
      <w:bookmarkStart w:id="1" w:name="Sal"/>
      <w:bookmarkEnd w:id="1"/>
      <w:r w:rsidR="00660864" w:rsidRPr="00660864">
        <w:rPr>
          <w:rFonts w:cs="Arial"/>
          <w:color w:val="0D0D0D" w:themeColor="text1" w:themeTint="F2"/>
          <w:highlight w:val="black"/>
        </w:rPr>
        <w:t>XXXXXXXXXX</w:t>
      </w:r>
      <w:r w:rsidR="007710A0">
        <w:rPr>
          <w:rFonts w:cs="Arial"/>
          <w:color w:val="0D0D0D" w:themeColor="text1" w:themeTint="F2"/>
        </w:rPr>
        <w:t xml:space="preserve"> </w:t>
      </w:r>
    </w:p>
    <w:p w14:paraId="3A4B414C" w14:textId="189599DE" w:rsidR="00003026" w:rsidRPr="009C5872" w:rsidRDefault="004A76D5" w:rsidP="00413F89">
      <w:pPr>
        <w:ind w:left="426" w:right="468" w:hanging="426"/>
        <w:jc w:val="both"/>
        <w:rPr>
          <w:rFonts w:cs="Arial"/>
          <w:b/>
          <w:color w:val="0D0D0D" w:themeColor="text1" w:themeTint="F2"/>
        </w:rPr>
      </w:pPr>
      <w:r w:rsidRPr="009C5872">
        <w:rPr>
          <w:rFonts w:cs="Arial"/>
          <w:noProof/>
          <w:color w:val="0D0D0D" w:themeColor="text1" w:themeTint="F2"/>
          <w:spacing w:val="-3"/>
          <w:lang w:eastAsia="en-GB"/>
        </w:rPr>
        <mc:AlternateContent>
          <mc:Choice Requires="wps">
            <w:drawing>
              <wp:anchor distT="4294967294" distB="4294967294" distL="114300" distR="114300" simplePos="0" relativeHeight="251659264" behindDoc="0" locked="0" layoutInCell="1" allowOverlap="1" wp14:anchorId="0EF87D43" wp14:editId="6DEA1E1F">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1589E326"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strokecolor="#505050" strokeweight=".25pt">
                <o:lock v:ext="edit" shapetype="f"/>
              </v:line>
            </w:pict>
          </mc:Fallback>
        </mc:AlternateContent>
      </w:r>
      <w:r w:rsidRPr="009C5872">
        <w:rPr>
          <w:rFonts w:cs="Arial"/>
          <w:b/>
          <w:color w:val="0D0D0D" w:themeColor="text1" w:themeTint="F2"/>
          <w:spacing w:val="-3"/>
        </w:rPr>
        <w:t xml:space="preserve">Re: </w:t>
      </w:r>
      <w:r w:rsidR="0019459D" w:rsidRPr="0019459D">
        <w:rPr>
          <w:rFonts w:cs="Arial"/>
          <w:b/>
          <w:bCs/>
          <w:color w:val="0D0D0D" w:themeColor="text1" w:themeTint="F2"/>
          <w:lang w:val="x-none"/>
        </w:rPr>
        <w:t xml:space="preserve">Final </w:t>
      </w:r>
      <w:r w:rsidR="0019459D" w:rsidRPr="0019459D">
        <w:rPr>
          <w:rFonts w:cs="Arial"/>
          <w:b/>
          <w:bCs/>
          <w:color w:val="0D0D0D" w:themeColor="text1" w:themeTint="F2"/>
        </w:rPr>
        <w:t>Draft Guidance Doc</w:t>
      </w:r>
      <w:r w:rsidR="0019459D" w:rsidRPr="0019459D">
        <w:rPr>
          <w:rFonts w:cs="Arial"/>
          <w:b/>
          <w:bCs/>
          <w:color w:val="0D0D0D" w:themeColor="text1" w:themeTint="F2"/>
          <w:lang w:val="x-none"/>
        </w:rPr>
        <w:t xml:space="preserve">ument – </w:t>
      </w:r>
      <w:bookmarkStart w:id="2" w:name="_Hlk139281441"/>
      <w:r w:rsidR="0019459D" w:rsidRPr="0019459D">
        <w:rPr>
          <w:rFonts w:cs="Arial"/>
          <w:b/>
          <w:bCs/>
          <w:color w:val="0D0D0D" w:themeColor="text1" w:themeTint="F2"/>
          <w:lang w:val="x-none"/>
        </w:rPr>
        <w:t>Cabozantinib for previously treated differentiated thyroid cancer unsuitable for or refractory to radioactive iodine [ID4046]</w:t>
      </w:r>
      <w:bookmarkEnd w:id="2"/>
    </w:p>
    <w:p w14:paraId="7414DC3E" w14:textId="0007E4F3" w:rsidR="00003026" w:rsidRPr="009C5872" w:rsidRDefault="000223BD" w:rsidP="00413F89">
      <w:pPr>
        <w:jc w:val="both"/>
        <w:rPr>
          <w:rFonts w:cs="Arial"/>
          <w:color w:val="0D0D0D" w:themeColor="text1" w:themeTint="F2"/>
        </w:rPr>
      </w:pPr>
      <w:r w:rsidRPr="009C5872">
        <w:rPr>
          <w:rFonts w:cs="Arial"/>
          <w:color w:val="0D0D0D" w:themeColor="text1" w:themeTint="F2"/>
        </w:rPr>
        <w:t xml:space="preserve">Thank you for your letter of </w:t>
      </w:r>
      <w:r w:rsidR="0019459D">
        <w:rPr>
          <w:rFonts w:cs="Arial"/>
          <w:color w:val="0D0D0D" w:themeColor="text1" w:themeTint="F2"/>
        </w:rPr>
        <w:t>29 June 2023</w:t>
      </w:r>
      <w:r w:rsidRPr="009C5872">
        <w:rPr>
          <w:rFonts w:cs="Arial"/>
          <w:color w:val="0D0D0D" w:themeColor="text1" w:themeTint="F2"/>
        </w:rPr>
        <w:t xml:space="preserve">, lodging </w:t>
      </w:r>
      <w:r w:rsidR="00F4296D" w:rsidRPr="009C5872">
        <w:rPr>
          <w:rFonts w:cs="Arial"/>
          <w:color w:val="0D0D0D" w:themeColor="text1" w:themeTint="F2"/>
        </w:rPr>
        <w:t>an</w:t>
      </w:r>
      <w:r w:rsidRPr="009C5872">
        <w:rPr>
          <w:rFonts w:cs="Arial"/>
          <w:color w:val="0D0D0D" w:themeColor="text1" w:themeTint="F2"/>
        </w:rPr>
        <w:t xml:space="preserve"> appeal against the above Final </w:t>
      </w:r>
      <w:r w:rsidR="0019459D">
        <w:rPr>
          <w:rFonts w:cs="Arial"/>
          <w:color w:val="0D0D0D" w:themeColor="text1" w:themeTint="F2"/>
        </w:rPr>
        <w:t>Draft Guidance</w:t>
      </w:r>
      <w:r w:rsidRPr="009C5872">
        <w:rPr>
          <w:rFonts w:cs="Arial"/>
          <w:color w:val="0D0D0D" w:themeColor="text1" w:themeTint="F2"/>
        </w:rPr>
        <w:t xml:space="preserve"> Document (FD</w:t>
      </w:r>
      <w:r w:rsidR="0019459D">
        <w:rPr>
          <w:rFonts w:cs="Arial"/>
          <w:color w:val="0D0D0D" w:themeColor="text1" w:themeTint="F2"/>
        </w:rPr>
        <w:t>G</w:t>
      </w:r>
      <w:r w:rsidRPr="009C5872">
        <w:rPr>
          <w:rFonts w:cs="Arial"/>
          <w:color w:val="0D0D0D" w:themeColor="text1" w:themeTint="F2"/>
        </w:rPr>
        <w:t xml:space="preserve">). </w:t>
      </w:r>
      <w:r w:rsidR="00262058" w:rsidRPr="009C5872">
        <w:rPr>
          <w:rFonts w:cs="Arial"/>
          <w:color w:val="0D0D0D" w:themeColor="text1" w:themeTint="F2"/>
        </w:rPr>
        <w:t xml:space="preserve"> </w:t>
      </w:r>
    </w:p>
    <w:p w14:paraId="5F523C58" w14:textId="77777777" w:rsidR="00C70019" w:rsidRPr="009C5872" w:rsidRDefault="00C70019" w:rsidP="00413F89">
      <w:pPr>
        <w:jc w:val="both"/>
        <w:rPr>
          <w:rFonts w:cs="Arial"/>
          <w:color w:val="0D0D0D" w:themeColor="text1" w:themeTint="F2"/>
        </w:rPr>
      </w:pPr>
      <w:r w:rsidRPr="009C5872">
        <w:rPr>
          <w:rFonts w:cs="Arial"/>
          <w:color w:val="0D0D0D" w:themeColor="text1" w:themeTint="F2"/>
          <w:u w:val="single"/>
        </w:rPr>
        <w:t>Introduction</w:t>
      </w:r>
      <w:r w:rsidRPr="009C5872">
        <w:rPr>
          <w:rFonts w:cs="Arial"/>
          <w:color w:val="0D0D0D" w:themeColor="text1" w:themeTint="F2"/>
        </w:rPr>
        <w:t xml:space="preserve"> </w:t>
      </w:r>
    </w:p>
    <w:p w14:paraId="70E1E5B1" w14:textId="2DBAE3FD" w:rsidR="00C70019" w:rsidRPr="009C5872" w:rsidRDefault="00C70019" w:rsidP="00413F89">
      <w:pPr>
        <w:jc w:val="both"/>
        <w:rPr>
          <w:rFonts w:cs="Arial"/>
          <w:color w:val="0D0D0D" w:themeColor="text1" w:themeTint="F2"/>
        </w:rPr>
      </w:pPr>
      <w:r w:rsidRPr="009C5872">
        <w:rPr>
          <w:rFonts w:cs="Arial"/>
          <w:color w:val="0D0D0D" w:themeColor="text1" w:themeTint="F2"/>
        </w:rPr>
        <w:t xml:space="preserve">The Institute's appeal procedures provide for an initial scrutiny of points that an appellant wishes to raise, to </w:t>
      </w:r>
      <w:r w:rsidR="006B6C22" w:rsidRPr="009C5872">
        <w:rPr>
          <w:rFonts w:cs="Arial"/>
          <w:color w:val="0D0D0D" w:themeColor="text1" w:themeTint="F2"/>
        </w:rPr>
        <w:t>provide an initial view on whether</w:t>
      </w:r>
      <w:r w:rsidRPr="009C5872">
        <w:rPr>
          <w:rFonts w:cs="Arial"/>
          <w:color w:val="0D0D0D" w:themeColor="text1" w:themeTint="F2"/>
        </w:rPr>
        <w:t xml:space="preserve"> they are within the permitted grounds of appeal ("valid")</w:t>
      </w:r>
      <w:r w:rsidR="006B6C22" w:rsidRPr="009C5872">
        <w:rPr>
          <w:rFonts w:cs="Arial"/>
          <w:color w:val="0D0D0D" w:themeColor="text1" w:themeTint="F2"/>
        </w:rPr>
        <w:t xml:space="preserve"> and are at least arguable</w:t>
      </w:r>
      <w:r w:rsidRPr="009C5872">
        <w:rPr>
          <w:rFonts w:cs="Arial"/>
          <w:color w:val="0D0D0D" w:themeColor="text1" w:themeTint="F2"/>
        </w:rPr>
        <w:t xml:space="preserve">. The permitted grounds of appeal are: </w:t>
      </w:r>
    </w:p>
    <w:p w14:paraId="25359C75" w14:textId="77777777" w:rsidR="00C70019" w:rsidRPr="009C5872" w:rsidRDefault="00C70019" w:rsidP="00413F89">
      <w:pPr>
        <w:numPr>
          <w:ilvl w:val="0"/>
          <w:numId w:val="2"/>
        </w:numPr>
        <w:shd w:val="clear" w:color="auto" w:fill="FFFFFF"/>
        <w:spacing w:before="240" w:after="240" w:line="240" w:lineRule="auto"/>
        <w:jc w:val="both"/>
        <w:rPr>
          <w:rFonts w:cs="Arial"/>
          <w:color w:val="0D0D0D" w:themeColor="text1" w:themeTint="F2"/>
        </w:rPr>
      </w:pPr>
      <w:r w:rsidRPr="009C5872">
        <w:rPr>
          <w:rFonts w:cs="Arial"/>
          <w:color w:val="0D0D0D" w:themeColor="text1" w:themeTint="F2"/>
        </w:rPr>
        <w:t xml:space="preserve">1(a) NICE has failed to act fairly, or </w:t>
      </w:r>
    </w:p>
    <w:p w14:paraId="14BFF060" w14:textId="77777777" w:rsidR="00C70019" w:rsidRPr="009C5872" w:rsidRDefault="00C70019" w:rsidP="00413F89">
      <w:pPr>
        <w:numPr>
          <w:ilvl w:val="0"/>
          <w:numId w:val="2"/>
        </w:numPr>
        <w:shd w:val="clear" w:color="auto" w:fill="FFFFFF"/>
        <w:spacing w:before="240" w:after="240" w:line="240" w:lineRule="auto"/>
        <w:jc w:val="both"/>
        <w:rPr>
          <w:rFonts w:cs="Arial"/>
          <w:color w:val="0D0D0D" w:themeColor="text1" w:themeTint="F2"/>
        </w:rPr>
      </w:pPr>
      <w:r w:rsidRPr="009C5872">
        <w:rPr>
          <w:rFonts w:cs="Arial"/>
          <w:color w:val="0D0D0D" w:themeColor="text1" w:themeTint="F2"/>
        </w:rPr>
        <w:t xml:space="preserve">1(b) NICE has exceeded </w:t>
      </w:r>
      <w:proofErr w:type="gramStart"/>
      <w:r w:rsidRPr="009C5872">
        <w:rPr>
          <w:rFonts w:cs="Arial"/>
          <w:color w:val="0D0D0D" w:themeColor="text1" w:themeTint="F2"/>
        </w:rPr>
        <w:t>powers;</w:t>
      </w:r>
      <w:proofErr w:type="gramEnd"/>
    </w:p>
    <w:p w14:paraId="22754B60" w14:textId="77777777" w:rsidR="00C70019" w:rsidRPr="009C5872" w:rsidRDefault="00C70019" w:rsidP="00413F89">
      <w:pPr>
        <w:numPr>
          <w:ilvl w:val="0"/>
          <w:numId w:val="2"/>
        </w:numPr>
        <w:shd w:val="clear" w:color="auto" w:fill="FFFFFF"/>
        <w:spacing w:before="240" w:after="240" w:line="240" w:lineRule="auto"/>
        <w:jc w:val="both"/>
        <w:rPr>
          <w:rFonts w:cs="Arial"/>
          <w:color w:val="0D0D0D" w:themeColor="text1" w:themeTint="F2"/>
        </w:rPr>
      </w:pPr>
      <w:r w:rsidRPr="009C5872">
        <w:rPr>
          <w:rFonts w:cs="Arial"/>
          <w:color w:val="0D0D0D" w:themeColor="text1" w:themeTint="F2"/>
        </w:rPr>
        <w:t>(2) the recommendation is unreasonable in the light of the evidence submitted to NICE</w:t>
      </w:r>
      <w:r w:rsidR="006347AD" w:rsidRPr="009C5872">
        <w:rPr>
          <w:rFonts w:cs="Arial"/>
          <w:color w:val="0D0D0D" w:themeColor="text1" w:themeTint="F2"/>
        </w:rPr>
        <w:t>.</w:t>
      </w:r>
    </w:p>
    <w:p w14:paraId="08D953B5" w14:textId="25297E74" w:rsidR="00C70019" w:rsidRPr="009C5872" w:rsidRDefault="00C70019" w:rsidP="00413F89">
      <w:pPr>
        <w:jc w:val="both"/>
        <w:rPr>
          <w:rFonts w:cs="Arial"/>
          <w:color w:val="0D0D0D" w:themeColor="text1" w:themeTint="F2"/>
        </w:rPr>
      </w:pPr>
      <w:r w:rsidRPr="009C5872">
        <w:rPr>
          <w:rFonts w:cs="Arial"/>
          <w:color w:val="0D0D0D" w:themeColor="text1" w:themeTint="F2"/>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00F41597" w:rsidRPr="009C5872">
        <w:rPr>
          <w:rFonts w:cs="Arial"/>
          <w:color w:val="0D0D0D" w:themeColor="text1" w:themeTint="F2"/>
        </w:rPr>
        <w:t>, are arguable, and</w:t>
      </w:r>
      <w:r w:rsidRPr="009C5872">
        <w:rPr>
          <w:rFonts w:cs="Arial"/>
          <w:color w:val="0D0D0D" w:themeColor="text1" w:themeTint="F2"/>
        </w:rPr>
        <w:t xml:space="preserve"> fall within any one of the grounds will your appeal be referred to the Appeal Panel. </w:t>
      </w:r>
    </w:p>
    <w:p w14:paraId="146CF237" w14:textId="77777777" w:rsidR="00C70019" w:rsidRPr="009C5872" w:rsidRDefault="00C70019" w:rsidP="00413F89">
      <w:pPr>
        <w:jc w:val="both"/>
        <w:rPr>
          <w:rFonts w:cs="Arial"/>
          <w:color w:val="0D0D0D" w:themeColor="text1" w:themeTint="F2"/>
        </w:rPr>
      </w:pPr>
      <w:r w:rsidRPr="009C5872">
        <w:rPr>
          <w:rFonts w:cs="Arial"/>
          <w:color w:val="0D0D0D" w:themeColor="text1" w:themeTint="F2"/>
        </w:rPr>
        <w:t xml:space="preserve">You </w:t>
      </w:r>
      <w:proofErr w:type="gramStart"/>
      <w:r w:rsidRPr="009C5872">
        <w:rPr>
          <w:rFonts w:cs="Arial"/>
          <w:color w:val="0D0D0D" w:themeColor="text1" w:themeTint="F2"/>
        </w:rPr>
        <w:t>have the opportunity to</w:t>
      </w:r>
      <w:proofErr w:type="gramEnd"/>
      <w:r w:rsidRPr="009C5872">
        <w:rPr>
          <w:rFonts w:cs="Arial"/>
          <w:color w:val="0D0D0D" w:themeColor="text1" w:themeTint="F2"/>
        </w:rPr>
        <w:t xml:space="preserve"> comment on this letter in order to elaborate on or clarify any of the points raised before I will make my final decision as to whether each appeal point should be referred on to the Appeal Panel. </w:t>
      </w:r>
    </w:p>
    <w:p w14:paraId="3294E8F2" w14:textId="77777777" w:rsidR="00C70019" w:rsidRPr="009C5872" w:rsidRDefault="00C70019" w:rsidP="00413F89">
      <w:pPr>
        <w:jc w:val="both"/>
        <w:rPr>
          <w:rFonts w:cs="Arial"/>
          <w:color w:val="0D0D0D" w:themeColor="text1" w:themeTint="F2"/>
          <w:u w:val="single"/>
        </w:rPr>
      </w:pPr>
      <w:r w:rsidRPr="009C5872">
        <w:rPr>
          <w:rFonts w:cs="Arial"/>
          <w:color w:val="0D0D0D" w:themeColor="text1" w:themeTint="F2"/>
          <w:u w:val="single"/>
        </w:rPr>
        <w:t>Initial View</w:t>
      </w:r>
    </w:p>
    <w:p w14:paraId="15B951E6" w14:textId="4A8D7BE4" w:rsidR="00262058" w:rsidRPr="009C5872" w:rsidRDefault="00BB43EC" w:rsidP="00413F89">
      <w:pPr>
        <w:jc w:val="both"/>
        <w:rPr>
          <w:rFonts w:cs="Arial"/>
          <w:color w:val="0D0D0D" w:themeColor="text1" w:themeTint="F2"/>
        </w:rPr>
      </w:pPr>
      <w:r w:rsidRPr="009C5872">
        <w:rPr>
          <w:rFonts w:cs="Arial"/>
          <w:color w:val="0D0D0D" w:themeColor="text1" w:themeTint="F2"/>
        </w:rPr>
        <w:t>I</w:t>
      </w:r>
      <w:r w:rsidR="00C70019" w:rsidRPr="009C5872">
        <w:rPr>
          <w:rFonts w:cs="Arial"/>
          <w:color w:val="0D0D0D" w:themeColor="text1" w:themeTint="F2"/>
        </w:rPr>
        <w:t xml:space="preserve"> assess each of your </w:t>
      </w:r>
      <w:r w:rsidR="00B36320" w:rsidRPr="009C5872">
        <w:rPr>
          <w:rFonts w:cs="Arial"/>
          <w:color w:val="0D0D0D" w:themeColor="text1" w:themeTint="F2"/>
        </w:rPr>
        <w:t xml:space="preserve">points </w:t>
      </w:r>
      <w:r w:rsidR="00C70019" w:rsidRPr="009C5872">
        <w:rPr>
          <w:rFonts w:cs="Arial"/>
          <w:color w:val="0D0D0D" w:themeColor="text1" w:themeTint="F2"/>
        </w:rPr>
        <w:t xml:space="preserve">in turn.  </w:t>
      </w:r>
    </w:p>
    <w:p w14:paraId="7ADCDE98" w14:textId="77777777" w:rsidR="00E87F1E" w:rsidRPr="009C5872" w:rsidRDefault="00E87F1E" w:rsidP="00E87F1E">
      <w:pPr>
        <w:spacing w:before="120" w:after="0" w:line="240" w:lineRule="auto"/>
        <w:rPr>
          <w:rFonts w:cs="Arial"/>
          <w:b/>
          <w:i/>
          <w:color w:val="0D0D0D" w:themeColor="text1" w:themeTint="F2"/>
          <w:lang w:eastAsia="en-GB"/>
        </w:rPr>
      </w:pPr>
      <w:r w:rsidRPr="009C5872">
        <w:rPr>
          <w:rFonts w:cs="Arial"/>
          <w:b/>
          <w:i/>
          <w:color w:val="0D0D0D" w:themeColor="text1" w:themeTint="F2"/>
          <w:lang w:eastAsia="en-GB"/>
        </w:rPr>
        <w:t xml:space="preserve">Ground 1(a): In making the assessment that preceded the recommendation, NICE has failed to act </w:t>
      </w:r>
      <w:proofErr w:type="gramStart"/>
      <w:r w:rsidRPr="009C5872">
        <w:rPr>
          <w:rFonts w:cs="Arial"/>
          <w:b/>
          <w:i/>
          <w:color w:val="0D0D0D" w:themeColor="text1" w:themeTint="F2"/>
          <w:lang w:eastAsia="en-GB"/>
        </w:rPr>
        <w:t>fairly</w:t>
      </w:r>
      <w:proofErr w:type="gramEnd"/>
    </w:p>
    <w:p w14:paraId="4DA05162" w14:textId="6B622777" w:rsidR="00B11119" w:rsidRPr="009C5872" w:rsidRDefault="00B62869" w:rsidP="007A7F07">
      <w:pPr>
        <w:spacing w:before="240" w:after="240" w:line="276" w:lineRule="auto"/>
        <w:jc w:val="both"/>
        <w:rPr>
          <w:rFonts w:cs="Arial"/>
          <w:b/>
          <w:color w:val="0D0D0D" w:themeColor="text1" w:themeTint="F2"/>
          <w:u w:val="single"/>
        </w:rPr>
      </w:pPr>
      <w:r w:rsidRPr="009C5872">
        <w:rPr>
          <w:rFonts w:cs="Arial"/>
          <w:b/>
          <w:color w:val="0D0D0D" w:themeColor="text1" w:themeTint="F2"/>
          <w:u w:val="single"/>
        </w:rPr>
        <w:t>Appeal point 1a.1</w:t>
      </w:r>
      <w:r w:rsidR="007A7F07" w:rsidRPr="009C5872">
        <w:rPr>
          <w:rFonts w:cs="Arial"/>
          <w:b/>
          <w:color w:val="0D0D0D" w:themeColor="text1" w:themeTint="F2"/>
          <w:u w:val="single"/>
        </w:rPr>
        <w:t xml:space="preserve">: </w:t>
      </w:r>
      <w:r w:rsidR="0019459D">
        <w:rPr>
          <w:rFonts w:cs="Arial"/>
          <w:b/>
          <w:color w:val="0D0D0D" w:themeColor="text1" w:themeTint="F2"/>
          <w:u w:val="single"/>
        </w:rPr>
        <w:t>"</w:t>
      </w:r>
      <w:r w:rsidR="0019459D" w:rsidRPr="0019459D">
        <w:rPr>
          <w:rFonts w:cs="Arial"/>
          <w:b/>
          <w:color w:val="0D0D0D" w:themeColor="text1" w:themeTint="F2"/>
          <w:u w:val="single"/>
          <w:lang w:val="en-US"/>
        </w:rPr>
        <w:t xml:space="preserve">The </w:t>
      </w:r>
      <w:r w:rsidR="00577167" w:rsidRPr="0019459D">
        <w:rPr>
          <w:rFonts w:cs="Arial"/>
          <w:b/>
          <w:color w:val="0D0D0D" w:themeColor="text1" w:themeTint="F2"/>
          <w:u w:val="single"/>
          <w:lang w:val="en-US"/>
        </w:rPr>
        <w:t>committee's</w:t>
      </w:r>
      <w:r w:rsidR="0019459D" w:rsidRPr="0019459D">
        <w:rPr>
          <w:rFonts w:cs="Arial"/>
          <w:b/>
          <w:color w:val="0D0D0D" w:themeColor="text1" w:themeTint="F2"/>
          <w:u w:val="single"/>
          <w:lang w:val="en-US"/>
        </w:rPr>
        <w:t xml:space="preserve"> decision to selectively use utility values from two different sources for the PFS and PD health states is arbitrary, biased, flawed and inconsistent with the NICE Methods Manual.</w:t>
      </w:r>
      <w:r w:rsidR="0019459D">
        <w:rPr>
          <w:rFonts w:cs="Arial"/>
          <w:b/>
          <w:color w:val="0D0D0D" w:themeColor="text1" w:themeTint="F2"/>
          <w:u w:val="single"/>
          <w:lang w:val="en-US"/>
        </w:rPr>
        <w:t>"</w:t>
      </w:r>
    </w:p>
    <w:p w14:paraId="6D66B4A5" w14:textId="07181950" w:rsidR="004A4BB2" w:rsidRDefault="004A4BB2" w:rsidP="0019459D">
      <w:pPr>
        <w:pStyle w:val="BodyText"/>
        <w:jc w:val="both"/>
        <w:rPr>
          <w:rFonts w:cs="Arial"/>
          <w:color w:val="0D0D0D" w:themeColor="text1" w:themeTint="F2"/>
        </w:rPr>
      </w:pPr>
      <w:r>
        <w:rPr>
          <w:rFonts w:cs="Arial"/>
          <w:color w:val="0D0D0D" w:themeColor="text1" w:themeTint="F2"/>
        </w:rPr>
        <w:lastRenderedPageBreak/>
        <w:t>I understand your argument under this ground 1(a).1 to be that the Committee has acted unfairly by using a utility value from the COSMIC-311 trial for progression-free survival (PFS) and a utility value from a vignette study</w:t>
      </w:r>
      <w:r w:rsidR="000E5FFD">
        <w:rPr>
          <w:rFonts w:cs="Arial"/>
          <w:color w:val="0D0D0D" w:themeColor="text1" w:themeTint="F2"/>
        </w:rPr>
        <w:t xml:space="preserve"> for the progressed disease (PD) health state</w:t>
      </w:r>
      <w:r>
        <w:rPr>
          <w:rFonts w:cs="Arial"/>
          <w:color w:val="0D0D0D" w:themeColor="text1" w:themeTint="F2"/>
        </w:rPr>
        <w:t>.  Your position is that this approach is (1) illogical' (2) lacks scientific rationale; and (3) "it is not stated that this inconsistent approach is allowed in Section 3.9 of the NICE Processes and Methods Manual".</w:t>
      </w:r>
    </w:p>
    <w:p w14:paraId="12BBEBE5" w14:textId="74326A9A" w:rsidR="00B527AA" w:rsidRDefault="004A4BB2" w:rsidP="0019459D">
      <w:pPr>
        <w:pStyle w:val="BodyText"/>
        <w:jc w:val="both"/>
        <w:rPr>
          <w:rFonts w:cs="Arial"/>
          <w:color w:val="0D0D0D" w:themeColor="text1" w:themeTint="F2"/>
        </w:rPr>
      </w:pPr>
      <w:r>
        <w:rPr>
          <w:rFonts w:cs="Arial"/>
          <w:color w:val="0D0D0D" w:themeColor="text1" w:themeTint="F2"/>
        </w:rPr>
        <w:t xml:space="preserve">Your first two arguments would form the basis of a Ground 2 appeal point, rather than a Ground 1 appeal point.  I have therefore considered them below, under </w:t>
      </w:r>
      <w:proofErr w:type="gramStart"/>
      <w:r>
        <w:rPr>
          <w:rFonts w:cs="Arial"/>
          <w:color w:val="0D0D0D" w:themeColor="text1" w:themeTint="F2"/>
        </w:rPr>
        <w:t>Appeal</w:t>
      </w:r>
      <w:proofErr w:type="gramEnd"/>
      <w:r>
        <w:rPr>
          <w:rFonts w:cs="Arial"/>
          <w:color w:val="0D0D0D" w:themeColor="text1" w:themeTint="F2"/>
        </w:rPr>
        <w:t xml:space="preserve"> point 2.2</w:t>
      </w:r>
      <w:r w:rsidR="004251A4">
        <w:rPr>
          <w:rFonts w:cs="Arial"/>
          <w:color w:val="0D0D0D" w:themeColor="text1" w:themeTint="F2"/>
        </w:rPr>
        <w:t xml:space="preserve"> (which I am minded to refer to the Appeal Panel as a valid appeal point)</w:t>
      </w:r>
      <w:r>
        <w:rPr>
          <w:rFonts w:cs="Arial"/>
          <w:color w:val="0D0D0D" w:themeColor="text1" w:themeTint="F2"/>
        </w:rPr>
        <w:t>.</w:t>
      </w:r>
    </w:p>
    <w:p w14:paraId="24163578" w14:textId="41CD3C42" w:rsidR="004A4BB2" w:rsidRDefault="004A4BB2" w:rsidP="0019459D">
      <w:pPr>
        <w:pStyle w:val="BodyText"/>
        <w:jc w:val="both"/>
        <w:rPr>
          <w:rFonts w:cs="Arial"/>
          <w:color w:val="0D0D0D" w:themeColor="text1" w:themeTint="F2"/>
        </w:rPr>
      </w:pPr>
      <w:r>
        <w:rPr>
          <w:rFonts w:cs="Arial"/>
          <w:color w:val="0D0D0D" w:themeColor="text1" w:themeTint="F2"/>
        </w:rPr>
        <w:t xml:space="preserve">As to your third argument, I have considered </w:t>
      </w:r>
      <w:r w:rsidR="004251A4">
        <w:rPr>
          <w:rFonts w:cs="Arial"/>
          <w:color w:val="0D0D0D" w:themeColor="text1" w:themeTint="F2"/>
        </w:rPr>
        <w:t>the Committee's explanation, in paragraph 3.9 of the FDG, of the bases on which it decided to use utility values from different sources. I also note th</w:t>
      </w:r>
      <w:r w:rsidR="002354BF">
        <w:rPr>
          <w:rFonts w:cs="Arial"/>
          <w:color w:val="0D0D0D" w:themeColor="text1" w:themeTint="F2"/>
        </w:rPr>
        <w:t>at</w:t>
      </w:r>
      <w:r w:rsidR="004251A4">
        <w:rPr>
          <w:rFonts w:cs="Arial"/>
          <w:color w:val="0D0D0D" w:themeColor="text1" w:themeTint="F2"/>
        </w:rPr>
        <w:t xml:space="preserve"> paragraph 4.3.8 of NICE's </w:t>
      </w:r>
      <w:r w:rsidR="002354BF">
        <w:rPr>
          <w:rFonts w:cs="Arial"/>
          <w:color w:val="0D0D0D" w:themeColor="text1" w:themeTint="F2"/>
        </w:rPr>
        <w:t xml:space="preserve">Health Technology Evaluations </w:t>
      </w:r>
      <w:r w:rsidR="004251A4">
        <w:rPr>
          <w:rFonts w:cs="Arial"/>
          <w:color w:val="0D0D0D" w:themeColor="text1" w:themeTint="F2"/>
        </w:rPr>
        <w:t xml:space="preserve">Manual </w:t>
      </w:r>
      <w:r w:rsidR="002354BF">
        <w:rPr>
          <w:rFonts w:cs="Arial"/>
          <w:color w:val="0D0D0D" w:themeColor="text1" w:themeTint="F2"/>
        </w:rPr>
        <w:t>does envisage the use of different EQ-5D utility values, as follows:</w:t>
      </w:r>
    </w:p>
    <w:p w14:paraId="798D7608" w14:textId="02C952D3" w:rsidR="002354BF" w:rsidRDefault="002354BF" w:rsidP="002354BF">
      <w:pPr>
        <w:pStyle w:val="BodyText"/>
        <w:ind w:left="720"/>
        <w:jc w:val="both"/>
        <w:rPr>
          <w:rFonts w:cs="Arial"/>
          <w:color w:val="0D0D0D" w:themeColor="text1" w:themeTint="F2"/>
        </w:rPr>
      </w:pPr>
      <w:r>
        <w:rPr>
          <w:rFonts w:cs="Arial"/>
          <w:i/>
          <w:iCs/>
          <w:color w:val="0D0D0D" w:themeColor="text1" w:themeTint="F2"/>
        </w:rPr>
        <w:t>Clearly explain the justification for choosing a particular data set. When more than 1 plausible set of EQ-5D data is available, sensitivity analyses should be done to show the effect of the alternative utility values.</w:t>
      </w:r>
    </w:p>
    <w:p w14:paraId="007B117E" w14:textId="6C745623" w:rsidR="002354BF" w:rsidRDefault="002354BF" w:rsidP="002354BF">
      <w:pPr>
        <w:pStyle w:val="BodyText"/>
        <w:jc w:val="both"/>
        <w:rPr>
          <w:rFonts w:cs="Arial"/>
          <w:color w:val="0D0D0D" w:themeColor="text1" w:themeTint="F2"/>
        </w:rPr>
      </w:pPr>
      <w:proofErr w:type="gramStart"/>
      <w:r>
        <w:rPr>
          <w:rFonts w:cs="Arial"/>
          <w:color w:val="0D0D0D" w:themeColor="text1" w:themeTint="F2"/>
        </w:rPr>
        <w:t>In light of</w:t>
      </w:r>
      <w:proofErr w:type="gramEnd"/>
      <w:r>
        <w:rPr>
          <w:rFonts w:cs="Arial"/>
          <w:color w:val="0D0D0D" w:themeColor="text1" w:themeTint="F2"/>
        </w:rPr>
        <w:t xml:space="preserve"> this provision, I do not consider it arguable that the Committee has acted </w:t>
      </w:r>
      <w:r>
        <w:rPr>
          <w:rFonts w:cs="Arial"/>
          <w:i/>
          <w:iCs/>
          <w:color w:val="0D0D0D" w:themeColor="text1" w:themeTint="F2"/>
        </w:rPr>
        <w:t>unfairly</w:t>
      </w:r>
      <w:r>
        <w:rPr>
          <w:rFonts w:cs="Arial"/>
          <w:color w:val="0D0D0D" w:themeColor="text1" w:themeTint="F2"/>
        </w:rPr>
        <w:t xml:space="preserve"> in adopting the different utility values.  Such an approach is expressly anticipated by the Manual, in appropriate circumstances.  Whether or not the approach was reasonable, is for consideration under Ground 2.</w:t>
      </w:r>
    </w:p>
    <w:p w14:paraId="1CE4CFD8" w14:textId="3E9C9876" w:rsidR="002354BF" w:rsidRPr="002354BF" w:rsidRDefault="002354BF" w:rsidP="002354BF">
      <w:pPr>
        <w:pStyle w:val="BodyText"/>
        <w:jc w:val="both"/>
        <w:rPr>
          <w:rFonts w:cs="Arial"/>
          <w:color w:val="0D0D0D" w:themeColor="text1" w:themeTint="F2"/>
        </w:rPr>
      </w:pPr>
      <w:r>
        <w:rPr>
          <w:rFonts w:cs="Arial"/>
          <w:color w:val="0D0D0D" w:themeColor="text1" w:themeTint="F2"/>
        </w:rPr>
        <w:t xml:space="preserve">I am therefore not minded </w:t>
      </w:r>
      <w:proofErr w:type="gramStart"/>
      <w:r>
        <w:rPr>
          <w:rFonts w:cs="Arial"/>
          <w:color w:val="0D0D0D" w:themeColor="text1" w:themeTint="F2"/>
        </w:rPr>
        <w:t>to refer</w:t>
      </w:r>
      <w:proofErr w:type="gramEnd"/>
      <w:r>
        <w:rPr>
          <w:rFonts w:cs="Arial"/>
          <w:color w:val="0D0D0D" w:themeColor="text1" w:themeTint="F2"/>
        </w:rPr>
        <w:t xml:space="preserve"> this appeal point 1(a).1 to the Appeal Panel.</w:t>
      </w:r>
    </w:p>
    <w:p w14:paraId="25FB955A" w14:textId="7DEF79E1" w:rsidR="00B62869" w:rsidRPr="009C5872" w:rsidRDefault="007A7F07" w:rsidP="00B62869">
      <w:pPr>
        <w:spacing w:before="240" w:after="240" w:line="276" w:lineRule="auto"/>
        <w:jc w:val="both"/>
        <w:rPr>
          <w:rFonts w:cs="Arial"/>
          <w:b/>
          <w:i/>
          <w:color w:val="0D0D0D" w:themeColor="text1" w:themeTint="F2"/>
        </w:rPr>
      </w:pPr>
      <w:r w:rsidRPr="009C5872">
        <w:rPr>
          <w:rFonts w:cs="Arial"/>
          <w:b/>
          <w:i/>
          <w:color w:val="0D0D0D" w:themeColor="text1" w:themeTint="F2"/>
        </w:rPr>
        <w:t>G</w:t>
      </w:r>
      <w:r w:rsidR="00491045" w:rsidRPr="009C5872">
        <w:rPr>
          <w:rFonts w:cs="Arial"/>
          <w:b/>
          <w:i/>
          <w:color w:val="0D0D0D" w:themeColor="text1" w:themeTint="F2"/>
        </w:rPr>
        <w:t xml:space="preserve">round 2: </w:t>
      </w:r>
      <w:r w:rsidR="00B62869" w:rsidRPr="009C5872">
        <w:rPr>
          <w:rFonts w:cs="Arial"/>
          <w:b/>
          <w:i/>
          <w:color w:val="0D0D0D" w:themeColor="text1" w:themeTint="F2"/>
        </w:rPr>
        <w:t xml:space="preserve">the recommendation is unreasonable in the light of the evidence submitted to </w:t>
      </w:r>
      <w:proofErr w:type="gramStart"/>
      <w:r w:rsidR="00B62869" w:rsidRPr="009C5872">
        <w:rPr>
          <w:rFonts w:cs="Arial"/>
          <w:b/>
          <w:i/>
          <w:color w:val="0D0D0D" w:themeColor="text1" w:themeTint="F2"/>
        </w:rPr>
        <w:t>NIC</w:t>
      </w:r>
      <w:r w:rsidR="00F141E5">
        <w:rPr>
          <w:rFonts w:cs="Arial"/>
          <w:b/>
          <w:i/>
          <w:color w:val="0D0D0D" w:themeColor="text1" w:themeTint="F2"/>
        </w:rPr>
        <w:t>E</w:t>
      </w:r>
      <w:proofErr w:type="gramEnd"/>
    </w:p>
    <w:p w14:paraId="41564A14" w14:textId="60A3DDEC" w:rsidR="00491045" w:rsidRPr="0019459D" w:rsidRDefault="00B62869" w:rsidP="007A7F07">
      <w:pPr>
        <w:pStyle w:val="Paragraph"/>
        <w:numPr>
          <w:ilvl w:val="0"/>
          <w:numId w:val="0"/>
        </w:numPr>
        <w:jc w:val="both"/>
        <w:rPr>
          <w:rFonts w:cs="Arial"/>
          <w:b/>
          <w:color w:val="0D0D0D" w:themeColor="text1" w:themeTint="F2"/>
          <w:sz w:val="20"/>
          <w:szCs w:val="20"/>
          <w:u w:val="single"/>
        </w:rPr>
      </w:pPr>
      <w:r w:rsidRPr="009C5872">
        <w:rPr>
          <w:rFonts w:cs="Arial"/>
          <w:b/>
          <w:color w:val="0D0D0D" w:themeColor="text1" w:themeTint="F2"/>
          <w:sz w:val="20"/>
          <w:szCs w:val="20"/>
          <w:u w:val="single"/>
        </w:rPr>
        <w:t xml:space="preserve">Appeal </w:t>
      </w:r>
      <w:proofErr w:type="gramStart"/>
      <w:r w:rsidRPr="009C5872">
        <w:rPr>
          <w:rFonts w:cs="Arial"/>
          <w:b/>
          <w:color w:val="0D0D0D" w:themeColor="text1" w:themeTint="F2"/>
          <w:sz w:val="20"/>
          <w:szCs w:val="20"/>
          <w:u w:val="single"/>
        </w:rPr>
        <w:t>point</w:t>
      </w:r>
      <w:proofErr w:type="gramEnd"/>
      <w:r w:rsidRPr="009C5872">
        <w:rPr>
          <w:rFonts w:cs="Arial"/>
          <w:b/>
          <w:color w:val="0D0D0D" w:themeColor="text1" w:themeTint="F2"/>
          <w:sz w:val="20"/>
          <w:szCs w:val="20"/>
          <w:u w:val="single"/>
        </w:rPr>
        <w:t xml:space="preserve"> 2.1: </w:t>
      </w:r>
      <w:r w:rsidR="0019459D">
        <w:rPr>
          <w:rFonts w:cs="Arial"/>
          <w:b/>
          <w:color w:val="0D0D0D" w:themeColor="text1" w:themeTint="F2"/>
          <w:sz w:val="20"/>
          <w:szCs w:val="20"/>
          <w:u w:val="single"/>
        </w:rPr>
        <w:t>"</w:t>
      </w:r>
      <w:r w:rsidR="0019459D" w:rsidRPr="0019459D">
        <w:rPr>
          <w:rFonts w:cs="Arial"/>
          <w:b/>
          <w:color w:val="0D0D0D" w:themeColor="text1" w:themeTint="F2"/>
          <w:sz w:val="20"/>
          <w:szCs w:val="20"/>
          <w:u w:val="single"/>
        </w:rPr>
        <w:t>The committee has failed to take a balanced view of the strengths and weaknesses of the survival extrapolation methodologies in the modelled population and that of expert opinion alongside it.</w:t>
      </w:r>
      <w:r w:rsidR="0019459D">
        <w:rPr>
          <w:rFonts w:cs="Arial"/>
          <w:b/>
          <w:color w:val="0D0D0D" w:themeColor="text1" w:themeTint="F2"/>
          <w:sz w:val="20"/>
          <w:szCs w:val="20"/>
          <w:u w:val="single"/>
        </w:rPr>
        <w:t>"</w:t>
      </w:r>
    </w:p>
    <w:p w14:paraId="566F1C76" w14:textId="77777777" w:rsidR="009A300F" w:rsidRDefault="003865CD" w:rsidP="0019459D">
      <w:pPr>
        <w:pStyle w:val="BodyText"/>
        <w:jc w:val="both"/>
        <w:rPr>
          <w:rFonts w:cs="Arial"/>
          <w:color w:val="0D0D0D" w:themeColor="text1" w:themeTint="F2"/>
        </w:rPr>
      </w:pPr>
      <w:r>
        <w:rPr>
          <w:rFonts w:cs="Arial"/>
          <w:color w:val="0D0D0D" w:themeColor="text1" w:themeTint="F2"/>
        </w:rPr>
        <w:t xml:space="preserve">I </w:t>
      </w:r>
      <w:r w:rsidR="008A3A14">
        <w:rPr>
          <w:rFonts w:cs="Arial"/>
          <w:color w:val="0D0D0D" w:themeColor="text1" w:themeTint="F2"/>
        </w:rPr>
        <w:t>understand your</w:t>
      </w:r>
      <w:r>
        <w:rPr>
          <w:rFonts w:cs="Arial"/>
          <w:color w:val="0D0D0D" w:themeColor="text1" w:themeTint="F2"/>
        </w:rPr>
        <w:t xml:space="preserve"> argument under point 2.1 </w:t>
      </w:r>
      <w:r w:rsidR="008A3A14">
        <w:rPr>
          <w:rFonts w:cs="Arial"/>
          <w:color w:val="0D0D0D" w:themeColor="text1" w:themeTint="F2"/>
        </w:rPr>
        <w:t xml:space="preserve">to be </w:t>
      </w:r>
      <w:r w:rsidR="009A300F">
        <w:rPr>
          <w:rFonts w:cs="Arial"/>
          <w:color w:val="0D0D0D" w:themeColor="text1" w:themeTint="F2"/>
        </w:rPr>
        <w:t xml:space="preserve">essentially </w:t>
      </w:r>
      <w:r w:rsidR="008A3A14">
        <w:rPr>
          <w:rFonts w:cs="Arial"/>
          <w:color w:val="0D0D0D" w:themeColor="text1" w:themeTint="F2"/>
        </w:rPr>
        <w:t>that</w:t>
      </w:r>
      <w:r w:rsidR="009A300F">
        <w:rPr>
          <w:rFonts w:cs="Arial"/>
          <w:color w:val="0D0D0D" w:themeColor="text1" w:themeTint="F2"/>
        </w:rPr>
        <w:t>, having acknowledged the uncertainty around the Overall Survival models produced by both the EAG and the Company, it was unreasonable for the Committee to then adopt the EAG model, having rejected the Company's blended survival analysis.</w:t>
      </w:r>
    </w:p>
    <w:p w14:paraId="21990033" w14:textId="204E7920" w:rsidR="0019459D" w:rsidRDefault="009A300F" w:rsidP="0019459D">
      <w:pPr>
        <w:pStyle w:val="BodyText"/>
        <w:jc w:val="both"/>
        <w:rPr>
          <w:rFonts w:cs="Arial"/>
          <w:color w:val="0D0D0D" w:themeColor="text1" w:themeTint="F2"/>
        </w:rPr>
      </w:pPr>
      <w:proofErr w:type="gramStart"/>
      <w:r>
        <w:rPr>
          <w:rFonts w:cs="Arial"/>
          <w:color w:val="0D0D0D" w:themeColor="text1" w:themeTint="F2"/>
        </w:rPr>
        <w:t>I</w:t>
      </w:r>
      <w:r w:rsidR="00AB7E4B">
        <w:rPr>
          <w:rFonts w:cs="Arial"/>
          <w:color w:val="0D0D0D" w:themeColor="text1" w:themeTint="F2"/>
        </w:rPr>
        <w:t>n particular, I</w:t>
      </w:r>
      <w:proofErr w:type="gramEnd"/>
      <w:r w:rsidR="00AB7E4B">
        <w:rPr>
          <w:rFonts w:cs="Arial"/>
          <w:color w:val="0D0D0D" w:themeColor="text1" w:themeTint="F2"/>
        </w:rPr>
        <w:t xml:space="preserve"> note the Committee's reasoning in paragraph 3.7 of the FDG, in which it states:</w:t>
      </w:r>
    </w:p>
    <w:p w14:paraId="7D89772B" w14:textId="43AC01CB" w:rsidR="00AB7E4B" w:rsidRPr="0046702E" w:rsidRDefault="00AB7E4B" w:rsidP="00AB7E4B">
      <w:pPr>
        <w:pStyle w:val="BodyText"/>
        <w:ind w:left="720"/>
        <w:jc w:val="both"/>
        <w:rPr>
          <w:rFonts w:cs="Arial"/>
          <w:color w:val="0D0D0D" w:themeColor="text1" w:themeTint="F2"/>
        </w:rPr>
      </w:pPr>
      <w:r w:rsidRPr="00AB7E4B">
        <w:rPr>
          <w:rFonts w:cs="Arial"/>
          <w:i/>
          <w:iCs/>
          <w:color w:val="0D0D0D" w:themeColor="text1" w:themeTint="F2"/>
        </w:rPr>
        <w:t>The committee noted the lack of transparency around the</w:t>
      </w:r>
      <w:r w:rsidR="000E5FFD">
        <w:rPr>
          <w:rFonts w:cs="Arial"/>
          <w:i/>
          <w:iCs/>
          <w:color w:val="0D0D0D" w:themeColor="text1" w:themeTint="F2"/>
        </w:rPr>
        <w:t xml:space="preserve"> </w:t>
      </w:r>
      <w:r w:rsidR="000E5FFD" w:rsidRPr="000E5FFD">
        <w:rPr>
          <w:rFonts w:cs="Arial"/>
          <w:color w:val="0D0D0D" w:themeColor="text1" w:themeTint="F2"/>
        </w:rPr>
        <w:t>[Company's]</w:t>
      </w:r>
      <w:r w:rsidRPr="00AB7E4B">
        <w:rPr>
          <w:rFonts w:cs="Arial"/>
          <w:i/>
          <w:iCs/>
          <w:color w:val="0D0D0D" w:themeColor="text1" w:themeTint="F2"/>
        </w:rPr>
        <w:t xml:space="preserve"> blended survival analysis.  </w:t>
      </w:r>
      <w:r w:rsidRPr="00AB7E4B">
        <w:rPr>
          <w:rFonts w:cs="Arial"/>
          <w:i/>
          <w:iCs/>
          <w:color w:val="0D0D0D" w:themeColor="text1" w:themeTint="F2"/>
          <w:u w:val="single"/>
        </w:rPr>
        <w:t>Because of this</w:t>
      </w:r>
      <w:r w:rsidRPr="00AB7E4B">
        <w:rPr>
          <w:rFonts w:cs="Arial"/>
          <w:i/>
          <w:iCs/>
          <w:color w:val="0D0D0D" w:themeColor="text1" w:themeTint="F2"/>
        </w:rPr>
        <w:t xml:space="preserve"> the committee concluded that the exponential function used by the EAG for modelling OS in both treatment arms was preferable for its decision-making." </w:t>
      </w:r>
      <w:r w:rsidRPr="0046702E">
        <w:rPr>
          <w:rFonts w:cs="Arial"/>
          <w:color w:val="0D0D0D" w:themeColor="text1" w:themeTint="F2"/>
        </w:rPr>
        <w:t>(</w:t>
      </w:r>
      <w:proofErr w:type="gramStart"/>
      <w:r w:rsidRPr="0046702E">
        <w:rPr>
          <w:rFonts w:cs="Arial"/>
          <w:color w:val="0D0D0D" w:themeColor="text1" w:themeTint="F2"/>
        </w:rPr>
        <w:t>emphasis</w:t>
      </w:r>
      <w:proofErr w:type="gramEnd"/>
      <w:r w:rsidRPr="0046702E">
        <w:rPr>
          <w:rFonts w:cs="Arial"/>
          <w:color w:val="0D0D0D" w:themeColor="text1" w:themeTint="F2"/>
        </w:rPr>
        <w:t xml:space="preserve"> added)</w:t>
      </w:r>
    </w:p>
    <w:p w14:paraId="250CDC5C" w14:textId="2707AEBF" w:rsidR="00AB7E4B" w:rsidRDefault="00AB7E4B" w:rsidP="0019459D">
      <w:pPr>
        <w:pStyle w:val="BodyText"/>
        <w:jc w:val="both"/>
        <w:rPr>
          <w:rFonts w:cs="Arial"/>
          <w:color w:val="0D0D0D" w:themeColor="text1" w:themeTint="F2"/>
        </w:rPr>
      </w:pPr>
      <w:r>
        <w:rPr>
          <w:rFonts w:cs="Arial"/>
          <w:color w:val="0D0D0D" w:themeColor="text1" w:themeTint="F2"/>
        </w:rPr>
        <w:t xml:space="preserve">I agree that having noted the uncertainty around the EAG model, it is arguably unreasonable for the Committee to conclude that it should nevertheless use the EAG model, because of its concerns about the transparency of the Company's blended survival analysis.  </w:t>
      </w:r>
    </w:p>
    <w:p w14:paraId="6CC79753" w14:textId="5B972DB8" w:rsidR="00AB7E4B" w:rsidRDefault="00AB7E4B" w:rsidP="0019459D">
      <w:pPr>
        <w:pStyle w:val="BodyText"/>
        <w:jc w:val="both"/>
        <w:rPr>
          <w:rFonts w:cs="Arial"/>
          <w:color w:val="0D0D0D" w:themeColor="text1" w:themeTint="F2"/>
        </w:rPr>
      </w:pPr>
      <w:r>
        <w:rPr>
          <w:rFonts w:cs="Arial"/>
          <w:color w:val="0D0D0D" w:themeColor="text1" w:themeTint="F2"/>
        </w:rPr>
        <w:t xml:space="preserve">I am therefore minded </w:t>
      </w:r>
      <w:proofErr w:type="gramStart"/>
      <w:r>
        <w:rPr>
          <w:rFonts w:cs="Arial"/>
          <w:color w:val="0D0D0D" w:themeColor="text1" w:themeTint="F2"/>
        </w:rPr>
        <w:t>to refer</w:t>
      </w:r>
      <w:proofErr w:type="gramEnd"/>
      <w:r>
        <w:rPr>
          <w:rFonts w:cs="Arial"/>
          <w:color w:val="0D0D0D" w:themeColor="text1" w:themeTint="F2"/>
        </w:rPr>
        <w:t xml:space="preserve"> this Appeal Point to the Appeal Panel.</w:t>
      </w:r>
    </w:p>
    <w:p w14:paraId="022AA14D" w14:textId="2E763CEE" w:rsidR="00AB7E4B" w:rsidRPr="00AB7E4B" w:rsidRDefault="00AB7E4B" w:rsidP="0019459D">
      <w:pPr>
        <w:pStyle w:val="BodyText"/>
        <w:jc w:val="both"/>
        <w:rPr>
          <w:rFonts w:cs="Arial"/>
          <w:color w:val="auto"/>
        </w:rPr>
      </w:pPr>
      <w:r>
        <w:rPr>
          <w:rFonts w:cs="Arial"/>
          <w:color w:val="0D0D0D" w:themeColor="text1" w:themeTint="F2"/>
        </w:rPr>
        <w:t xml:space="preserve">I also note your acknowledgement that the Company was unable to answer certain questions from the Committee about the blended sensitivity analysis </w:t>
      </w:r>
      <w:r w:rsidR="0046702E">
        <w:rPr>
          <w:rFonts w:cs="Arial"/>
          <w:color w:val="0D0D0D" w:themeColor="text1" w:themeTint="F2"/>
        </w:rPr>
        <w:t>during</w:t>
      </w:r>
      <w:r>
        <w:rPr>
          <w:rFonts w:cs="Arial"/>
          <w:color w:val="0D0D0D" w:themeColor="text1" w:themeTint="F2"/>
        </w:rPr>
        <w:t xml:space="preserve"> the second committee meeting, and </w:t>
      </w:r>
      <w:r w:rsidR="0046702E">
        <w:rPr>
          <w:rFonts w:cs="Arial"/>
          <w:color w:val="0D0D0D" w:themeColor="text1" w:themeTint="F2"/>
        </w:rPr>
        <w:t>that the Company "</w:t>
      </w:r>
      <w:r w:rsidR="0046702E" w:rsidRPr="0046702E">
        <w:rPr>
          <w:rFonts w:cs="Arial"/>
          <w:i/>
          <w:iCs/>
          <w:color w:val="0D0D0D" w:themeColor="text1" w:themeTint="F2"/>
        </w:rPr>
        <w:t xml:space="preserve">would have been happy to provide these answers afterwards but the NICE appraisal does </w:t>
      </w:r>
      <w:r w:rsidR="0046702E" w:rsidRPr="0046702E">
        <w:rPr>
          <w:rFonts w:cs="Arial"/>
          <w:i/>
          <w:iCs/>
          <w:color w:val="0D0D0D" w:themeColor="text1" w:themeTint="F2"/>
        </w:rPr>
        <w:lastRenderedPageBreak/>
        <w:t>not allow this in our experience and the chair wanted the answer in the meeting that day</w:t>
      </w:r>
      <w:r w:rsidR="0046702E">
        <w:rPr>
          <w:rFonts w:cs="Arial"/>
          <w:color w:val="0D0D0D" w:themeColor="text1" w:themeTint="F2"/>
        </w:rPr>
        <w:t>".  I anticipate this may be an area that the Panel will wish to explore during the hearing.</w:t>
      </w:r>
    </w:p>
    <w:p w14:paraId="5A742CE8" w14:textId="0D6B87D3" w:rsidR="00C97C2A" w:rsidRPr="00577167" w:rsidRDefault="0019459D" w:rsidP="00577167">
      <w:pPr>
        <w:pStyle w:val="Paragraph"/>
        <w:numPr>
          <w:ilvl w:val="0"/>
          <w:numId w:val="0"/>
        </w:numPr>
        <w:jc w:val="both"/>
        <w:rPr>
          <w:rFonts w:cs="Arial"/>
          <w:b/>
          <w:color w:val="0D0D0D" w:themeColor="text1" w:themeTint="F2"/>
          <w:sz w:val="20"/>
          <w:szCs w:val="20"/>
          <w:u w:val="single"/>
        </w:rPr>
      </w:pPr>
      <w:r w:rsidRPr="00577167">
        <w:rPr>
          <w:rFonts w:cs="Arial"/>
          <w:b/>
          <w:color w:val="0D0D0D" w:themeColor="text1" w:themeTint="F2"/>
          <w:sz w:val="20"/>
          <w:szCs w:val="20"/>
          <w:u w:val="single"/>
        </w:rPr>
        <w:t xml:space="preserve">Appeal </w:t>
      </w:r>
      <w:proofErr w:type="gramStart"/>
      <w:r w:rsidRPr="00577167">
        <w:rPr>
          <w:rFonts w:cs="Arial"/>
          <w:b/>
          <w:color w:val="0D0D0D" w:themeColor="text1" w:themeTint="F2"/>
          <w:sz w:val="20"/>
          <w:szCs w:val="20"/>
          <w:u w:val="single"/>
        </w:rPr>
        <w:t>point</w:t>
      </w:r>
      <w:proofErr w:type="gramEnd"/>
      <w:r w:rsidRPr="00577167">
        <w:rPr>
          <w:rFonts w:cs="Arial"/>
          <w:b/>
          <w:color w:val="0D0D0D" w:themeColor="text1" w:themeTint="F2"/>
          <w:sz w:val="20"/>
          <w:szCs w:val="20"/>
          <w:u w:val="single"/>
        </w:rPr>
        <w:t xml:space="preserve"> 2.2: "The committee’s decision to selectively use utility values from two different sources for the PFS and PD health states unreasonable as it is arbitrary, biased, flawed and inconsistent with the NICE Process and Methods Manual (PMG36)."</w:t>
      </w:r>
    </w:p>
    <w:p w14:paraId="3B95A3B9" w14:textId="57F4407D" w:rsidR="0019459D" w:rsidRDefault="0046702E" w:rsidP="0019459D">
      <w:pPr>
        <w:pStyle w:val="BodyText"/>
        <w:jc w:val="both"/>
      </w:pPr>
      <w:r>
        <w:t>As noted in my response above to appeal point 1(a).1, I understand your argument here to be that it was unreasonable for the Committee to adopt utility values from different sources for PFD and PD health states.</w:t>
      </w:r>
    </w:p>
    <w:p w14:paraId="12540F5D" w14:textId="38CD90C1" w:rsidR="0019459D" w:rsidRDefault="0046702E" w:rsidP="0019459D">
      <w:pPr>
        <w:pStyle w:val="BodyText"/>
        <w:jc w:val="both"/>
      </w:pPr>
      <w:r>
        <w:t xml:space="preserve">I </w:t>
      </w:r>
      <w:r w:rsidR="009F4230">
        <w:t xml:space="preserve">note the Committee's detailed explanation of its reasons for doing so in paragraph 3.9 of the FDG.  Nevertheless, I </w:t>
      </w:r>
      <w:r>
        <w:t xml:space="preserve">agree that this is arguably unreasonable and am minded </w:t>
      </w:r>
      <w:proofErr w:type="gramStart"/>
      <w:r>
        <w:t>to refer</w:t>
      </w:r>
      <w:proofErr w:type="gramEnd"/>
      <w:r>
        <w:t xml:space="preserve"> this appeal point to the Appeal Panel.</w:t>
      </w:r>
    </w:p>
    <w:p w14:paraId="1752E030" w14:textId="0032647F" w:rsidR="0019459D" w:rsidRPr="00577167" w:rsidRDefault="0019459D" w:rsidP="00577167">
      <w:pPr>
        <w:pStyle w:val="Paragraph"/>
        <w:numPr>
          <w:ilvl w:val="0"/>
          <w:numId w:val="0"/>
        </w:numPr>
        <w:jc w:val="both"/>
        <w:rPr>
          <w:rFonts w:cs="Arial"/>
          <w:b/>
          <w:color w:val="0D0D0D" w:themeColor="text1" w:themeTint="F2"/>
          <w:sz w:val="20"/>
          <w:szCs w:val="20"/>
          <w:u w:val="single"/>
        </w:rPr>
      </w:pPr>
      <w:r w:rsidRPr="00577167">
        <w:rPr>
          <w:rFonts w:cs="Arial"/>
          <w:b/>
          <w:color w:val="0D0D0D" w:themeColor="text1" w:themeTint="F2"/>
          <w:sz w:val="20"/>
          <w:szCs w:val="20"/>
          <w:u w:val="single"/>
        </w:rPr>
        <w:t xml:space="preserve">Appeal </w:t>
      </w:r>
      <w:proofErr w:type="gramStart"/>
      <w:r w:rsidRPr="00577167">
        <w:rPr>
          <w:rFonts w:cs="Arial"/>
          <w:b/>
          <w:color w:val="0D0D0D" w:themeColor="text1" w:themeTint="F2"/>
          <w:sz w:val="20"/>
          <w:szCs w:val="20"/>
          <w:u w:val="single"/>
        </w:rPr>
        <w:t>point</w:t>
      </w:r>
      <w:proofErr w:type="gramEnd"/>
      <w:r w:rsidRPr="00577167">
        <w:rPr>
          <w:rFonts w:cs="Arial"/>
          <w:b/>
          <w:color w:val="0D0D0D" w:themeColor="text1" w:themeTint="F2"/>
          <w:sz w:val="20"/>
          <w:szCs w:val="20"/>
          <w:u w:val="single"/>
        </w:rPr>
        <w:t xml:space="preserve"> 2.3: " The committee’s decision that dose intensity should not be used instead of compliance despite precedence set in TA535 for </w:t>
      </w:r>
      <w:proofErr w:type="spellStart"/>
      <w:r w:rsidRPr="00577167">
        <w:rPr>
          <w:rFonts w:cs="Arial"/>
          <w:b/>
          <w:color w:val="0D0D0D" w:themeColor="text1" w:themeTint="F2"/>
          <w:sz w:val="20"/>
          <w:szCs w:val="20"/>
          <w:u w:val="single"/>
        </w:rPr>
        <w:t>lenvatinib</w:t>
      </w:r>
      <w:proofErr w:type="spellEnd"/>
      <w:r w:rsidRPr="00577167">
        <w:rPr>
          <w:rFonts w:cs="Arial"/>
          <w:b/>
          <w:color w:val="0D0D0D" w:themeColor="text1" w:themeTint="F2"/>
          <w:sz w:val="20"/>
          <w:szCs w:val="20"/>
          <w:u w:val="single"/>
        </w:rPr>
        <w:t xml:space="preserve"> because </w:t>
      </w:r>
      <w:proofErr w:type="spellStart"/>
      <w:r w:rsidRPr="00577167">
        <w:rPr>
          <w:rFonts w:cs="Arial"/>
          <w:b/>
          <w:color w:val="0D0D0D" w:themeColor="text1" w:themeTint="F2"/>
          <w:sz w:val="20"/>
          <w:szCs w:val="20"/>
          <w:u w:val="single"/>
        </w:rPr>
        <w:t>cabozantinib</w:t>
      </w:r>
      <w:proofErr w:type="spellEnd"/>
      <w:r w:rsidRPr="00577167">
        <w:rPr>
          <w:rFonts w:cs="Arial"/>
          <w:b/>
          <w:color w:val="0D0D0D" w:themeColor="text1" w:themeTint="F2"/>
          <w:sz w:val="20"/>
          <w:szCs w:val="20"/>
          <w:u w:val="single"/>
        </w:rPr>
        <w:t xml:space="preserve"> is flat priced is inconsistent with the previous DTC appraisal (TA535) and unreasonable."</w:t>
      </w:r>
    </w:p>
    <w:p w14:paraId="284615D5" w14:textId="659CCC31" w:rsidR="0019459D" w:rsidRDefault="0046702E" w:rsidP="0019459D">
      <w:pPr>
        <w:pStyle w:val="BodyText"/>
        <w:jc w:val="both"/>
      </w:pPr>
      <w:r w:rsidRPr="006162D5">
        <w:t>I understand your argument here to be that</w:t>
      </w:r>
      <w:r w:rsidR="006162D5">
        <w:t xml:space="preserve"> it was unreasonable for</w:t>
      </w:r>
      <w:r w:rsidRPr="006162D5">
        <w:t xml:space="preserve"> </w:t>
      </w:r>
      <w:r w:rsidR="006162D5">
        <w:t>the Committee not to adopt a 'relative dose intensity approach' to calculating the drug acquisition cost for the NHS, because appraisal</w:t>
      </w:r>
      <w:r w:rsidR="000E5FFD">
        <w:t xml:space="preserve"> TA535</w:t>
      </w:r>
      <w:r w:rsidR="006162D5">
        <w:t xml:space="preserve"> had used the relative dose intensity approach in similar circumstances.</w:t>
      </w:r>
    </w:p>
    <w:p w14:paraId="1238C1B7" w14:textId="2DD7ACFA" w:rsidR="006162D5" w:rsidRDefault="006162D5" w:rsidP="0019459D">
      <w:pPr>
        <w:pStyle w:val="BodyText"/>
        <w:jc w:val="both"/>
      </w:pPr>
      <w:r>
        <w:t xml:space="preserve">The Committee's explanation for not adopting the relative dose intensity approach is that it would not reflect the true drug acquisition cost, in circumstances where </w:t>
      </w:r>
      <w:proofErr w:type="spellStart"/>
      <w:r>
        <w:t>cabozantinib</w:t>
      </w:r>
      <w:proofErr w:type="spellEnd"/>
      <w:r>
        <w:t xml:space="preserve"> is 'flat-priced' which I understand to mean that each tablet/capsule is the same price, regardless of its strength.</w:t>
      </w:r>
    </w:p>
    <w:p w14:paraId="4613C996" w14:textId="2302C399" w:rsidR="006162D5" w:rsidRDefault="006162D5" w:rsidP="0019459D">
      <w:pPr>
        <w:pStyle w:val="BodyText"/>
        <w:jc w:val="both"/>
      </w:pPr>
      <w:r>
        <w:t>I do not currently understand you to be disputing that the method adopted by the Committee is a more accurate way of calculating the drug acquisition cost to the NHS.  In those circumstances, I do not consider it arguably unreasonable</w:t>
      </w:r>
      <w:r w:rsidR="00F91C7B">
        <w:t xml:space="preserve"> for the Committee to have adopted that approach.  Although a previous Committee did adopt the relative dose intensity approach in similar circumstances, that does not set a precedent or bind the Committee in this case.  Two committees may reasonably reach different conclusions when faced with the same question.  </w:t>
      </w:r>
      <w:r w:rsidR="00381210">
        <w:t xml:space="preserve">I note that in this case the Committee has explained why it has reached that different </w:t>
      </w:r>
      <w:proofErr w:type="gramStart"/>
      <w:r w:rsidR="00381210">
        <w:t>view;</w:t>
      </w:r>
      <w:proofErr w:type="gramEnd"/>
      <w:r w:rsidR="00381210">
        <w:t xml:space="preserve"> i.e. that in the circumstances of this </w:t>
      </w:r>
      <w:r w:rsidR="009E4F86">
        <w:t>evaluation</w:t>
      </w:r>
      <w:r w:rsidR="00381210">
        <w:t xml:space="preserve">, the relative dose intensity approach would not properly reflect the drug acquisition cost to the NHS. </w:t>
      </w:r>
    </w:p>
    <w:p w14:paraId="2046F23F" w14:textId="4B5253DC" w:rsidR="0019459D" w:rsidRPr="000E5FFD" w:rsidRDefault="00381210" w:rsidP="0019459D">
      <w:pPr>
        <w:pStyle w:val="BodyText"/>
        <w:jc w:val="both"/>
      </w:pPr>
      <w:r>
        <w:t xml:space="preserve">I am therefore not minded </w:t>
      </w:r>
      <w:proofErr w:type="gramStart"/>
      <w:r>
        <w:t>to refer</w:t>
      </w:r>
      <w:proofErr w:type="gramEnd"/>
      <w:r>
        <w:t xml:space="preserve"> this Appeal Point to the Appeal Panel.</w:t>
      </w:r>
    </w:p>
    <w:p w14:paraId="5DBBEDEC" w14:textId="498E5D71" w:rsidR="0019459D" w:rsidRPr="00577167" w:rsidRDefault="0019459D" w:rsidP="00577167">
      <w:pPr>
        <w:pStyle w:val="Paragraph"/>
        <w:numPr>
          <w:ilvl w:val="0"/>
          <w:numId w:val="0"/>
        </w:numPr>
        <w:jc w:val="both"/>
        <w:rPr>
          <w:rFonts w:cs="Arial"/>
          <w:b/>
          <w:color w:val="0D0D0D" w:themeColor="text1" w:themeTint="F2"/>
          <w:sz w:val="20"/>
          <w:szCs w:val="20"/>
          <w:u w:val="single"/>
        </w:rPr>
      </w:pPr>
      <w:r w:rsidRPr="00577167">
        <w:rPr>
          <w:rFonts w:cs="Arial"/>
          <w:b/>
          <w:color w:val="0D0D0D" w:themeColor="text1" w:themeTint="F2"/>
          <w:sz w:val="20"/>
          <w:szCs w:val="20"/>
          <w:u w:val="single"/>
        </w:rPr>
        <w:t xml:space="preserve">Appeal </w:t>
      </w:r>
      <w:proofErr w:type="gramStart"/>
      <w:r w:rsidRPr="00577167">
        <w:rPr>
          <w:rFonts w:cs="Arial"/>
          <w:b/>
          <w:color w:val="0D0D0D" w:themeColor="text1" w:themeTint="F2"/>
          <w:sz w:val="20"/>
          <w:szCs w:val="20"/>
          <w:u w:val="single"/>
        </w:rPr>
        <w:t>point</w:t>
      </w:r>
      <w:proofErr w:type="gramEnd"/>
      <w:r w:rsidRPr="00577167">
        <w:rPr>
          <w:rFonts w:cs="Arial"/>
          <w:b/>
          <w:color w:val="0D0D0D" w:themeColor="text1" w:themeTint="F2"/>
          <w:sz w:val="20"/>
          <w:szCs w:val="20"/>
          <w:u w:val="single"/>
        </w:rPr>
        <w:t xml:space="preserve"> 2.4: " The committee has failed to consider the challenges in generating data for a rare disease in line with Section 6.2.34 of NICE Process and Methods Manual (PMG36)."</w:t>
      </w:r>
    </w:p>
    <w:p w14:paraId="0CA1E28B" w14:textId="325DE142" w:rsidR="0019459D" w:rsidRDefault="009F4230" w:rsidP="0019459D">
      <w:pPr>
        <w:pStyle w:val="BodyText"/>
        <w:jc w:val="both"/>
        <w:rPr>
          <w:rFonts w:cs="Arial"/>
          <w:color w:val="auto"/>
        </w:rPr>
      </w:pPr>
      <w:r>
        <w:rPr>
          <w:rFonts w:cs="Arial"/>
          <w:color w:val="auto"/>
        </w:rPr>
        <w:t>I understand your argument here to be that the Committee's conclusion was unreasonable because it did not expressly consider the difficulties in generating data for a rare disease, given the small (c.80 patients) population in question.</w:t>
      </w:r>
    </w:p>
    <w:p w14:paraId="56975DE4" w14:textId="41F19CAD" w:rsidR="009F4230" w:rsidRDefault="009F4230" w:rsidP="0019459D">
      <w:pPr>
        <w:pStyle w:val="BodyText"/>
        <w:jc w:val="both"/>
        <w:rPr>
          <w:rFonts w:cs="Arial"/>
          <w:color w:val="auto"/>
        </w:rPr>
      </w:pPr>
      <w:r>
        <w:rPr>
          <w:rFonts w:cs="Arial"/>
          <w:color w:val="auto"/>
        </w:rPr>
        <w:t>I note, however, that at paragraph 3.13 of the FDG, the Committee does set out its thinking on this issue:</w:t>
      </w:r>
    </w:p>
    <w:p w14:paraId="60129FF7" w14:textId="77777777" w:rsidR="009F4230" w:rsidRDefault="009F4230" w:rsidP="009F4230">
      <w:pPr>
        <w:pStyle w:val="Default"/>
      </w:pPr>
      <w:r>
        <w:rPr>
          <w:color w:val="auto"/>
        </w:rPr>
        <w:tab/>
      </w:r>
    </w:p>
    <w:p w14:paraId="770946DD" w14:textId="3672D227" w:rsidR="009F4230" w:rsidRPr="009F4230" w:rsidRDefault="009F4230" w:rsidP="009F4230">
      <w:pPr>
        <w:pStyle w:val="Default"/>
        <w:ind w:left="720"/>
        <w:rPr>
          <w:i/>
          <w:iCs/>
          <w:color w:val="auto"/>
          <w:sz w:val="23"/>
          <w:szCs w:val="23"/>
        </w:rPr>
      </w:pPr>
      <w:r w:rsidRPr="009F4230">
        <w:rPr>
          <w:i/>
          <w:iCs/>
          <w:sz w:val="23"/>
          <w:szCs w:val="23"/>
        </w:rPr>
        <w:t xml:space="preserve">The committee noted that the size of the population estimated to have treatment for this indication per year was small (see section 3.1). Even so, the committee understood that enrolment of people to the COSMIC-311 trial was sufficient to generate an analysis population. The company also confirmed in response to </w:t>
      </w:r>
      <w:r w:rsidRPr="009F4230">
        <w:rPr>
          <w:i/>
          <w:iCs/>
          <w:sz w:val="23"/>
          <w:szCs w:val="23"/>
        </w:rPr>
        <w:lastRenderedPageBreak/>
        <w:t xml:space="preserve">consultation that the second-line population represented the majority (approximately 76%; see section 3.3) </w:t>
      </w:r>
      <w:r w:rsidRPr="009F4230">
        <w:rPr>
          <w:i/>
          <w:iCs/>
          <w:color w:val="auto"/>
          <w:sz w:val="23"/>
          <w:szCs w:val="23"/>
        </w:rPr>
        <w:t xml:space="preserve">of the ITT population in the COSMIC-311 trial. It also confirmed that the trial was powered to detect a difference in PFS for the second-line patient population. The committee understood that evidence generation did not appear to have been particularly difficult </w:t>
      </w:r>
      <w:proofErr w:type="gramStart"/>
      <w:r w:rsidRPr="009F4230">
        <w:rPr>
          <w:i/>
          <w:iCs/>
          <w:color w:val="auto"/>
          <w:sz w:val="23"/>
          <w:szCs w:val="23"/>
        </w:rPr>
        <w:t>as a result of</w:t>
      </w:r>
      <w:proofErr w:type="gramEnd"/>
      <w:r w:rsidRPr="009F4230">
        <w:rPr>
          <w:i/>
          <w:iCs/>
          <w:color w:val="auto"/>
          <w:sz w:val="23"/>
          <w:szCs w:val="23"/>
        </w:rPr>
        <w:t xml:space="preserve"> a small population size. </w:t>
      </w:r>
    </w:p>
    <w:p w14:paraId="39F096E7" w14:textId="77777777" w:rsidR="009F4230" w:rsidRDefault="009F4230" w:rsidP="009F4230">
      <w:pPr>
        <w:pStyle w:val="Default"/>
        <w:rPr>
          <w:color w:val="auto"/>
          <w:sz w:val="23"/>
          <w:szCs w:val="23"/>
        </w:rPr>
      </w:pPr>
    </w:p>
    <w:p w14:paraId="6D1477A1" w14:textId="5C1982BE" w:rsidR="009F4230" w:rsidRDefault="009F4230" w:rsidP="0019459D">
      <w:pPr>
        <w:pStyle w:val="BodyText"/>
        <w:jc w:val="both"/>
        <w:rPr>
          <w:rFonts w:cs="Arial"/>
          <w:color w:val="auto"/>
        </w:rPr>
      </w:pPr>
      <w:r>
        <w:rPr>
          <w:rFonts w:cs="Arial"/>
          <w:color w:val="auto"/>
        </w:rPr>
        <w:t xml:space="preserve">That being the case, it seems clear that the Committee did pay careful attention to the challenges of generating evidence for this disease specifically.  I also note that you have not argued for any </w:t>
      </w:r>
      <w:proofErr w:type="gramStart"/>
      <w:r>
        <w:rPr>
          <w:rFonts w:cs="Arial"/>
          <w:color w:val="auto"/>
        </w:rPr>
        <w:t>particular additional</w:t>
      </w:r>
      <w:proofErr w:type="gramEnd"/>
      <w:r>
        <w:rPr>
          <w:rFonts w:cs="Arial"/>
          <w:color w:val="auto"/>
        </w:rPr>
        <w:t xml:space="preserve"> steps that in your view the Committee should have taken, or any particular difficulties arising from particular characteristics shared by the patient population in question.</w:t>
      </w:r>
      <w:r w:rsidR="000C590F">
        <w:rPr>
          <w:rFonts w:cs="Arial"/>
          <w:color w:val="auto"/>
        </w:rPr>
        <w:t xml:space="preserve">  </w:t>
      </w:r>
    </w:p>
    <w:p w14:paraId="605663D2" w14:textId="77777777" w:rsidR="000C590F" w:rsidRDefault="009F4230" w:rsidP="0019459D">
      <w:pPr>
        <w:pStyle w:val="BodyText"/>
        <w:jc w:val="both"/>
        <w:rPr>
          <w:rFonts w:cs="Arial"/>
          <w:color w:val="auto"/>
        </w:rPr>
      </w:pPr>
      <w:r>
        <w:rPr>
          <w:rFonts w:cs="Arial"/>
          <w:color w:val="auto"/>
        </w:rPr>
        <w:t xml:space="preserve">In light of the above, I am not minded </w:t>
      </w:r>
      <w:proofErr w:type="gramStart"/>
      <w:r>
        <w:rPr>
          <w:rFonts w:cs="Arial"/>
          <w:color w:val="auto"/>
        </w:rPr>
        <w:t>to refer</w:t>
      </w:r>
      <w:proofErr w:type="gramEnd"/>
      <w:r>
        <w:rPr>
          <w:rFonts w:cs="Arial"/>
          <w:color w:val="auto"/>
        </w:rPr>
        <w:t xml:space="preserve"> this Appeal Point to the Appeal Panel.</w:t>
      </w:r>
      <w:r w:rsidR="000C590F">
        <w:rPr>
          <w:rFonts w:cs="Arial"/>
          <w:color w:val="auto"/>
        </w:rPr>
        <w:t xml:space="preserve">  </w:t>
      </w:r>
    </w:p>
    <w:p w14:paraId="3FAAAB7F" w14:textId="2E35C86A" w:rsidR="0019459D" w:rsidRDefault="000C590F" w:rsidP="0019459D">
      <w:pPr>
        <w:pStyle w:val="BodyText"/>
        <w:jc w:val="both"/>
        <w:rPr>
          <w:rFonts w:cs="Arial"/>
          <w:color w:val="auto"/>
        </w:rPr>
      </w:pPr>
      <w:r>
        <w:rPr>
          <w:rFonts w:cs="Arial"/>
          <w:color w:val="auto"/>
        </w:rPr>
        <w:t>I note that a related point as to the likelihood of decision error and its consequences, which is affected by the small population size, is covered separately in Appeal Point 2.6 below.</w:t>
      </w:r>
    </w:p>
    <w:p w14:paraId="5EEB121B" w14:textId="35778103" w:rsidR="0019459D" w:rsidRPr="00577167" w:rsidRDefault="0019459D" w:rsidP="00577167">
      <w:pPr>
        <w:pStyle w:val="Paragraph"/>
        <w:numPr>
          <w:ilvl w:val="0"/>
          <w:numId w:val="0"/>
        </w:numPr>
        <w:jc w:val="both"/>
        <w:rPr>
          <w:rFonts w:cs="Arial"/>
          <w:b/>
          <w:color w:val="0D0D0D" w:themeColor="text1" w:themeTint="F2"/>
          <w:sz w:val="20"/>
          <w:szCs w:val="20"/>
          <w:u w:val="single"/>
        </w:rPr>
      </w:pPr>
      <w:r w:rsidRPr="00577167">
        <w:rPr>
          <w:rFonts w:cs="Arial"/>
          <w:b/>
          <w:color w:val="0D0D0D" w:themeColor="text1" w:themeTint="F2"/>
          <w:sz w:val="20"/>
          <w:szCs w:val="20"/>
          <w:u w:val="single"/>
        </w:rPr>
        <w:t xml:space="preserve">Appeal </w:t>
      </w:r>
      <w:proofErr w:type="gramStart"/>
      <w:r w:rsidRPr="00577167">
        <w:rPr>
          <w:rFonts w:cs="Arial"/>
          <w:b/>
          <w:color w:val="0D0D0D" w:themeColor="text1" w:themeTint="F2"/>
          <w:sz w:val="20"/>
          <w:szCs w:val="20"/>
          <w:u w:val="single"/>
        </w:rPr>
        <w:t>point</w:t>
      </w:r>
      <w:proofErr w:type="gramEnd"/>
      <w:r w:rsidRPr="00577167">
        <w:rPr>
          <w:rFonts w:cs="Arial"/>
          <w:b/>
          <w:color w:val="0D0D0D" w:themeColor="text1" w:themeTint="F2"/>
          <w:sz w:val="20"/>
          <w:szCs w:val="20"/>
          <w:u w:val="single"/>
        </w:rPr>
        <w:t xml:space="preserve"> 2.5: "The committee’s conclusions and decision making regarding the ICER threshold for this appraisal do not take into account all the factors identified in NICE’s Methods Guide."</w:t>
      </w:r>
    </w:p>
    <w:p w14:paraId="34C96743" w14:textId="50759A04" w:rsidR="0019459D" w:rsidRPr="00906C92" w:rsidRDefault="00906C92" w:rsidP="0019459D">
      <w:pPr>
        <w:pStyle w:val="BodyText"/>
        <w:jc w:val="both"/>
        <w:rPr>
          <w:rFonts w:cs="Arial"/>
          <w:color w:val="auto"/>
        </w:rPr>
      </w:pPr>
      <w:r w:rsidRPr="00906C92">
        <w:rPr>
          <w:rFonts w:cs="Arial"/>
          <w:color w:val="auto"/>
        </w:rPr>
        <w:t>I understand your argument here to be that the Committee's conclusions were unreasonable because they did not take (and could not have taken) account of submissions from patient organisations or patient experts, because no such submissions were made, and no patient organisations or patient experts attended either Committee meeting.</w:t>
      </w:r>
    </w:p>
    <w:p w14:paraId="667025F9" w14:textId="1A820F1E" w:rsidR="0019459D" w:rsidRDefault="00906C92" w:rsidP="0019459D">
      <w:pPr>
        <w:pStyle w:val="BodyText"/>
        <w:jc w:val="both"/>
        <w:rPr>
          <w:b/>
        </w:rPr>
      </w:pPr>
      <w:r w:rsidRPr="00906C92">
        <w:rPr>
          <w:rFonts w:cs="Arial"/>
          <w:color w:val="auto"/>
        </w:rPr>
        <w:t xml:space="preserve">I </w:t>
      </w:r>
      <w:r>
        <w:rPr>
          <w:rFonts w:cs="Arial"/>
          <w:color w:val="auto"/>
        </w:rPr>
        <w:t xml:space="preserve">note that the final stakeholder list identifies 19 patient groups as stakeholders, </w:t>
      </w:r>
      <w:r w:rsidR="00C25872">
        <w:rPr>
          <w:rFonts w:cs="Arial"/>
          <w:color w:val="auto"/>
        </w:rPr>
        <w:t xml:space="preserve">who will all have been invited to participate throughout.  It does therefore </w:t>
      </w:r>
      <w:r>
        <w:rPr>
          <w:rFonts w:cs="Arial"/>
          <w:color w:val="auto"/>
        </w:rPr>
        <w:t>seem clear that NICE sought to include the patient perspective</w:t>
      </w:r>
      <w:r w:rsidR="00C25872">
        <w:rPr>
          <w:rFonts w:cs="Arial"/>
          <w:color w:val="auto"/>
        </w:rPr>
        <w:t xml:space="preserve"> and so met its obligations under the Manual</w:t>
      </w:r>
      <w:r>
        <w:rPr>
          <w:rFonts w:cs="Arial"/>
          <w:color w:val="auto"/>
        </w:rPr>
        <w:t>.  I</w:t>
      </w:r>
      <w:r w:rsidR="00C25872">
        <w:rPr>
          <w:rFonts w:cs="Arial"/>
          <w:color w:val="auto"/>
        </w:rPr>
        <w:t>n the circumstances it is not clear what further steps the Committee could or should have taken</w:t>
      </w:r>
      <w:r w:rsidR="000E5FFD">
        <w:rPr>
          <w:rFonts w:cs="Arial"/>
          <w:color w:val="auto"/>
        </w:rPr>
        <w:t xml:space="preserve">.  </w:t>
      </w:r>
      <w:r w:rsidR="00C25872">
        <w:rPr>
          <w:rFonts w:cs="Arial"/>
          <w:color w:val="auto"/>
        </w:rPr>
        <w:t>I</w:t>
      </w:r>
      <w:r w:rsidR="000E5FFD">
        <w:rPr>
          <w:rFonts w:cs="Arial"/>
          <w:color w:val="auto"/>
        </w:rPr>
        <w:t>n light of the above, I</w:t>
      </w:r>
      <w:r w:rsidR="00C25872">
        <w:rPr>
          <w:rFonts w:cs="Arial"/>
          <w:color w:val="auto"/>
        </w:rPr>
        <w:t xml:space="preserve"> am not minded </w:t>
      </w:r>
      <w:proofErr w:type="gramStart"/>
      <w:r w:rsidR="00C25872">
        <w:rPr>
          <w:rFonts w:cs="Arial"/>
          <w:color w:val="auto"/>
        </w:rPr>
        <w:t>to refer</w:t>
      </w:r>
      <w:proofErr w:type="gramEnd"/>
      <w:r w:rsidR="00C25872">
        <w:rPr>
          <w:rFonts w:cs="Arial"/>
          <w:color w:val="auto"/>
        </w:rPr>
        <w:t xml:space="preserve"> this Appeal Point to the Appeal Panel.</w:t>
      </w:r>
    </w:p>
    <w:p w14:paraId="11136713" w14:textId="0A8ABCAE" w:rsidR="0019459D" w:rsidRPr="00577167" w:rsidRDefault="0019459D" w:rsidP="00577167">
      <w:pPr>
        <w:pStyle w:val="Paragraph"/>
        <w:numPr>
          <w:ilvl w:val="0"/>
          <w:numId w:val="0"/>
        </w:numPr>
        <w:jc w:val="both"/>
        <w:rPr>
          <w:rFonts w:cs="Arial"/>
          <w:b/>
          <w:color w:val="0D0D0D" w:themeColor="text1" w:themeTint="F2"/>
          <w:sz w:val="20"/>
          <w:szCs w:val="20"/>
          <w:u w:val="single"/>
        </w:rPr>
      </w:pPr>
      <w:r w:rsidRPr="00577167">
        <w:rPr>
          <w:rFonts w:cs="Arial"/>
          <w:b/>
          <w:color w:val="0D0D0D" w:themeColor="text1" w:themeTint="F2"/>
          <w:sz w:val="20"/>
          <w:szCs w:val="20"/>
          <w:u w:val="single"/>
        </w:rPr>
        <w:t xml:space="preserve">Appeal </w:t>
      </w:r>
      <w:proofErr w:type="gramStart"/>
      <w:r w:rsidRPr="00577167">
        <w:rPr>
          <w:rFonts w:cs="Arial"/>
          <w:b/>
          <w:color w:val="0D0D0D" w:themeColor="text1" w:themeTint="F2"/>
          <w:sz w:val="20"/>
          <w:szCs w:val="20"/>
          <w:u w:val="single"/>
        </w:rPr>
        <w:t>point</w:t>
      </w:r>
      <w:proofErr w:type="gramEnd"/>
      <w:r w:rsidRPr="00577167">
        <w:rPr>
          <w:rFonts w:cs="Arial"/>
          <w:b/>
          <w:color w:val="0D0D0D" w:themeColor="text1" w:themeTint="F2"/>
          <w:sz w:val="20"/>
          <w:szCs w:val="20"/>
          <w:u w:val="single"/>
        </w:rPr>
        <w:t xml:space="preserve"> 2.6: "The committee’s conclusions regarding the appropriate ICER threshold for this appraisal do not assess uncertainty in a balanced way nor do they take into account the likelihood of decision error and its consequences in accordance with NICE’s Methods Guide."</w:t>
      </w:r>
    </w:p>
    <w:p w14:paraId="66218D1A" w14:textId="36AD77B2" w:rsidR="0019459D" w:rsidRDefault="00C25872" w:rsidP="0019459D">
      <w:pPr>
        <w:pStyle w:val="BodyText"/>
        <w:jc w:val="both"/>
        <w:rPr>
          <w:rFonts w:cs="Arial"/>
          <w:color w:val="auto"/>
        </w:rPr>
      </w:pPr>
      <w:r w:rsidRPr="00C25872">
        <w:rPr>
          <w:rFonts w:cs="Arial"/>
          <w:color w:val="auto"/>
        </w:rPr>
        <w:t xml:space="preserve">I understand </w:t>
      </w:r>
      <w:r>
        <w:rPr>
          <w:rFonts w:cs="Arial"/>
          <w:color w:val="auto"/>
        </w:rPr>
        <w:t xml:space="preserve">your argument here to be that the Committee's conclusion is </w:t>
      </w:r>
      <w:proofErr w:type="gramStart"/>
      <w:r>
        <w:rPr>
          <w:rFonts w:cs="Arial"/>
          <w:color w:val="auto"/>
        </w:rPr>
        <w:t>unreasonable, because</w:t>
      </w:r>
      <w:proofErr w:type="gramEnd"/>
      <w:r>
        <w:rPr>
          <w:rFonts w:cs="Arial"/>
          <w:color w:val="auto"/>
        </w:rPr>
        <w:t xml:space="preserve"> it does not properly take into account the "likelihood of decision error and its consequences".  In particular, you argue that the likelihood of decision error is low, and that the negative impact (</w:t>
      </w:r>
      <w:proofErr w:type="gramStart"/>
      <w:r>
        <w:rPr>
          <w:rFonts w:cs="Arial"/>
          <w:color w:val="auto"/>
        </w:rPr>
        <w:t>i.e.</w:t>
      </w:r>
      <w:proofErr w:type="gramEnd"/>
      <w:r>
        <w:rPr>
          <w:rFonts w:cs="Arial"/>
          <w:color w:val="auto"/>
        </w:rPr>
        <w:t xml:space="preserve"> consequence) of decision error would be small, given the small population size.</w:t>
      </w:r>
    </w:p>
    <w:p w14:paraId="1F5796B7" w14:textId="5251AB74" w:rsidR="0019459D" w:rsidRPr="00C25872" w:rsidRDefault="00C25872" w:rsidP="0019459D">
      <w:pPr>
        <w:pStyle w:val="BodyText"/>
        <w:jc w:val="both"/>
        <w:rPr>
          <w:rFonts w:cs="Arial"/>
          <w:color w:val="auto"/>
        </w:rPr>
      </w:pPr>
      <w:r>
        <w:rPr>
          <w:rFonts w:cs="Arial"/>
          <w:color w:val="auto"/>
        </w:rPr>
        <w:t xml:space="preserve">Noting </w:t>
      </w:r>
      <w:proofErr w:type="gramStart"/>
      <w:r>
        <w:rPr>
          <w:rFonts w:cs="Arial"/>
          <w:color w:val="auto"/>
        </w:rPr>
        <w:t>the  small</w:t>
      </w:r>
      <w:proofErr w:type="gramEnd"/>
      <w:r>
        <w:rPr>
          <w:rFonts w:cs="Arial"/>
          <w:color w:val="auto"/>
        </w:rPr>
        <w:t xml:space="preserve"> population size and relatively narrow range of potential ICERs in play, </w:t>
      </w:r>
      <w:r w:rsidR="000C590F">
        <w:rPr>
          <w:rFonts w:cs="Arial"/>
          <w:color w:val="auto"/>
        </w:rPr>
        <w:t xml:space="preserve">and the absence of specific consideration of this issue in the FDG, </w:t>
      </w:r>
      <w:r>
        <w:rPr>
          <w:rFonts w:cs="Arial"/>
          <w:color w:val="auto"/>
        </w:rPr>
        <w:t xml:space="preserve">I agree that this is arguably unreasonable, and am minded to refer this Appeal Point to the Appeal Panel. </w:t>
      </w:r>
    </w:p>
    <w:p w14:paraId="7947EE5C" w14:textId="07751D55" w:rsidR="0019459D" w:rsidRPr="00577167" w:rsidRDefault="0019459D" w:rsidP="00577167">
      <w:pPr>
        <w:pStyle w:val="Paragraph"/>
        <w:numPr>
          <w:ilvl w:val="0"/>
          <w:numId w:val="0"/>
        </w:numPr>
        <w:jc w:val="both"/>
        <w:rPr>
          <w:rFonts w:cs="Arial"/>
          <w:b/>
          <w:color w:val="0D0D0D" w:themeColor="text1" w:themeTint="F2"/>
          <w:sz w:val="20"/>
          <w:szCs w:val="20"/>
          <w:u w:val="single"/>
        </w:rPr>
      </w:pPr>
      <w:r w:rsidRPr="00577167">
        <w:rPr>
          <w:rFonts w:cs="Arial"/>
          <w:b/>
          <w:color w:val="0D0D0D" w:themeColor="text1" w:themeTint="F2"/>
          <w:sz w:val="20"/>
          <w:szCs w:val="20"/>
          <w:u w:val="single"/>
        </w:rPr>
        <w:t xml:space="preserve">Appeal </w:t>
      </w:r>
      <w:proofErr w:type="gramStart"/>
      <w:r w:rsidRPr="00577167">
        <w:rPr>
          <w:rFonts w:cs="Arial"/>
          <w:b/>
          <w:color w:val="0D0D0D" w:themeColor="text1" w:themeTint="F2"/>
          <w:sz w:val="20"/>
          <w:szCs w:val="20"/>
          <w:u w:val="single"/>
        </w:rPr>
        <w:t>point</w:t>
      </w:r>
      <w:proofErr w:type="gramEnd"/>
      <w:r w:rsidRPr="00577167">
        <w:rPr>
          <w:rFonts w:cs="Arial"/>
          <w:b/>
          <w:color w:val="0D0D0D" w:themeColor="text1" w:themeTint="F2"/>
          <w:sz w:val="20"/>
          <w:szCs w:val="20"/>
          <w:u w:val="single"/>
        </w:rPr>
        <w:t xml:space="preserve"> 2.</w:t>
      </w:r>
      <w:r w:rsidR="000C590F">
        <w:rPr>
          <w:rFonts w:cs="Arial"/>
          <w:b/>
          <w:color w:val="0D0D0D" w:themeColor="text1" w:themeTint="F2"/>
          <w:sz w:val="20"/>
          <w:szCs w:val="20"/>
          <w:u w:val="single"/>
        </w:rPr>
        <w:t>7</w:t>
      </w:r>
      <w:r w:rsidRPr="00577167">
        <w:rPr>
          <w:rFonts w:cs="Arial"/>
          <w:b/>
          <w:color w:val="0D0D0D" w:themeColor="text1" w:themeTint="F2"/>
          <w:sz w:val="20"/>
          <w:szCs w:val="20"/>
          <w:u w:val="single"/>
        </w:rPr>
        <w:t>: "The committee’s conclusions regarding the plausible ICER and maximum acceptable ICER thresholds is unreasonable as it is arbitrary and mired in obfuscation."</w:t>
      </w:r>
    </w:p>
    <w:p w14:paraId="3CA5653B" w14:textId="2957E46A" w:rsidR="0019459D" w:rsidRDefault="000C590F" w:rsidP="0019459D">
      <w:pPr>
        <w:pStyle w:val="BodyText"/>
        <w:jc w:val="both"/>
        <w:rPr>
          <w:rFonts w:cs="Arial"/>
          <w:color w:val="auto"/>
        </w:rPr>
      </w:pPr>
      <w:r>
        <w:rPr>
          <w:rFonts w:cs="Arial"/>
          <w:color w:val="auto"/>
        </w:rPr>
        <w:t xml:space="preserve">I understand your argument here to be that </w:t>
      </w:r>
      <w:r w:rsidR="00A155C9">
        <w:rPr>
          <w:rFonts w:cs="Arial"/>
          <w:color w:val="auto"/>
        </w:rPr>
        <w:t>the Committee</w:t>
      </w:r>
      <w:r w:rsidR="000E5FFD">
        <w:rPr>
          <w:rFonts w:cs="Arial"/>
          <w:color w:val="auto"/>
        </w:rPr>
        <w:t xml:space="preserve"> appears to have changed its views on </w:t>
      </w:r>
      <w:r w:rsidR="00A155C9">
        <w:rPr>
          <w:rFonts w:cs="Arial"/>
          <w:color w:val="auto"/>
        </w:rPr>
        <w:t>the appropriate ICER threshold</w:t>
      </w:r>
      <w:r w:rsidR="000E5FFD">
        <w:rPr>
          <w:rFonts w:cs="Arial"/>
          <w:color w:val="auto"/>
        </w:rPr>
        <w:t xml:space="preserve"> </w:t>
      </w:r>
      <w:proofErr w:type="gramStart"/>
      <w:r w:rsidR="000E5FFD">
        <w:rPr>
          <w:rFonts w:cs="Arial"/>
          <w:color w:val="auto"/>
        </w:rPr>
        <w:t>during the course of</w:t>
      </w:r>
      <w:proofErr w:type="gramEnd"/>
      <w:r w:rsidR="000E5FFD">
        <w:rPr>
          <w:rFonts w:cs="Arial"/>
          <w:color w:val="auto"/>
        </w:rPr>
        <w:t xml:space="preserve"> the appraisal but that the reasons for those changes </w:t>
      </w:r>
      <w:r w:rsidR="000E5FFD">
        <w:rPr>
          <w:rFonts w:cs="Arial"/>
          <w:color w:val="auto"/>
        </w:rPr>
        <w:lastRenderedPageBreak/>
        <w:t>and for the Committee's conclusions</w:t>
      </w:r>
      <w:r w:rsidR="00A155C9">
        <w:rPr>
          <w:rFonts w:cs="Arial"/>
          <w:color w:val="auto"/>
        </w:rPr>
        <w:t xml:space="preserve"> are unclear and th</w:t>
      </w:r>
      <w:r w:rsidR="000E5FFD">
        <w:rPr>
          <w:rFonts w:cs="Arial"/>
          <w:color w:val="auto"/>
        </w:rPr>
        <w:t xml:space="preserve">at without clear explanation, </w:t>
      </w:r>
      <w:r w:rsidR="00A155C9">
        <w:rPr>
          <w:rFonts w:cs="Arial"/>
          <w:color w:val="auto"/>
        </w:rPr>
        <w:t xml:space="preserve">that conclusion is unreasonable.  </w:t>
      </w:r>
    </w:p>
    <w:p w14:paraId="1CC5E5F9" w14:textId="1C69375C" w:rsidR="00A155C9" w:rsidRDefault="00A155C9" w:rsidP="0019459D">
      <w:pPr>
        <w:pStyle w:val="BodyText"/>
        <w:jc w:val="both"/>
        <w:rPr>
          <w:rFonts w:cs="Arial"/>
          <w:color w:val="auto"/>
        </w:rPr>
      </w:pPr>
      <w:r>
        <w:rPr>
          <w:rFonts w:cs="Arial"/>
          <w:color w:val="auto"/>
        </w:rPr>
        <w:t xml:space="preserve">I note that </w:t>
      </w:r>
      <w:r w:rsidR="000E5FFD">
        <w:rPr>
          <w:rFonts w:cs="Arial"/>
          <w:color w:val="auto"/>
        </w:rPr>
        <w:t xml:space="preserve">the </w:t>
      </w:r>
      <w:r>
        <w:rPr>
          <w:rFonts w:cs="Arial"/>
          <w:color w:val="auto"/>
        </w:rPr>
        <w:t xml:space="preserve">Committee's view as to the appropriate threshold </w:t>
      </w:r>
      <w:r w:rsidR="000E5FFD">
        <w:rPr>
          <w:rFonts w:cs="Arial"/>
          <w:color w:val="auto"/>
        </w:rPr>
        <w:t xml:space="preserve">did </w:t>
      </w:r>
      <w:r>
        <w:rPr>
          <w:rFonts w:cs="Arial"/>
          <w:color w:val="auto"/>
        </w:rPr>
        <w:t>change as the appraisal progressed, as follows:</w:t>
      </w:r>
    </w:p>
    <w:p w14:paraId="2E4E7602" w14:textId="77777777" w:rsidR="00A155C9" w:rsidRDefault="00A155C9" w:rsidP="00A155C9">
      <w:pPr>
        <w:pStyle w:val="BodyText"/>
        <w:numPr>
          <w:ilvl w:val="0"/>
          <w:numId w:val="2"/>
        </w:numPr>
        <w:jc w:val="both"/>
        <w:rPr>
          <w:rFonts w:cs="Arial"/>
          <w:color w:val="auto"/>
        </w:rPr>
      </w:pPr>
      <w:r>
        <w:rPr>
          <w:rFonts w:cs="Arial"/>
          <w:color w:val="auto"/>
        </w:rPr>
        <w:t>"</w:t>
      </w:r>
      <w:proofErr w:type="gramStart"/>
      <w:r>
        <w:rPr>
          <w:rFonts w:cs="Arial"/>
          <w:color w:val="auto"/>
        </w:rPr>
        <w:t>the</w:t>
      </w:r>
      <w:proofErr w:type="gramEnd"/>
      <w:r>
        <w:rPr>
          <w:rFonts w:cs="Arial"/>
          <w:color w:val="auto"/>
        </w:rPr>
        <w:t xml:space="preserve"> low £20,000's per QALY gained" on 20 March 2023,</w:t>
      </w:r>
    </w:p>
    <w:p w14:paraId="3A826C4D" w14:textId="77777777" w:rsidR="00A155C9" w:rsidRDefault="00A155C9" w:rsidP="00A155C9">
      <w:pPr>
        <w:pStyle w:val="BodyText"/>
        <w:numPr>
          <w:ilvl w:val="0"/>
          <w:numId w:val="2"/>
        </w:numPr>
        <w:jc w:val="both"/>
        <w:rPr>
          <w:rFonts w:cs="Arial"/>
          <w:color w:val="auto"/>
        </w:rPr>
      </w:pPr>
      <w:r>
        <w:rPr>
          <w:rFonts w:cs="Arial"/>
          <w:color w:val="auto"/>
        </w:rPr>
        <w:t xml:space="preserve">the "lower end" of the £20,000 to £30,000 range on 4 April 2023, </w:t>
      </w:r>
    </w:p>
    <w:p w14:paraId="015CC945" w14:textId="77777777" w:rsidR="00A155C9" w:rsidRDefault="00A155C9" w:rsidP="00A155C9">
      <w:pPr>
        <w:pStyle w:val="BodyText"/>
        <w:numPr>
          <w:ilvl w:val="0"/>
          <w:numId w:val="2"/>
        </w:numPr>
        <w:jc w:val="both"/>
        <w:rPr>
          <w:rFonts w:cs="Arial"/>
          <w:color w:val="auto"/>
        </w:rPr>
      </w:pPr>
      <w:r>
        <w:rPr>
          <w:rFonts w:cs="Arial"/>
          <w:color w:val="auto"/>
        </w:rPr>
        <w:t>"</w:t>
      </w:r>
      <w:proofErr w:type="gramStart"/>
      <w:r>
        <w:rPr>
          <w:rFonts w:cs="Arial"/>
          <w:color w:val="auto"/>
        </w:rPr>
        <w:t>the</w:t>
      </w:r>
      <w:proofErr w:type="gramEnd"/>
      <w:r>
        <w:rPr>
          <w:rFonts w:cs="Arial"/>
          <w:color w:val="auto"/>
        </w:rPr>
        <w:t xml:space="preserve"> middle" of that range on 15 May 2023, and </w:t>
      </w:r>
    </w:p>
    <w:p w14:paraId="248862B3" w14:textId="6561F9D0" w:rsidR="00A155C9" w:rsidRDefault="00A155C9" w:rsidP="00A155C9">
      <w:pPr>
        <w:pStyle w:val="BodyText"/>
        <w:numPr>
          <w:ilvl w:val="0"/>
          <w:numId w:val="2"/>
        </w:numPr>
        <w:jc w:val="both"/>
        <w:rPr>
          <w:rFonts w:cs="Arial"/>
          <w:color w:val="auto"/>
        </w:rPr>
      </w:pPr>
      <w:r>
        <w:rPr>
          <w:rFonts w:cs="Arial"/>
          <w:color w:val="auto"/>
        </w:rPr>
        <w:t>"</w:t>
      </w:r>
      <w:proofErr w:type="gramStart"/>
      <w:r>
        <w:rPr>
          <w:rFonts w:cs="Arial"/>
          <w:color w:val="auto"/>
        </w:rPr>
        <w:t>the</w:t>
      </w:r>
      <w:proofErr w:type="gramEnd"/>
      <w:r>
        <w:rPr>
          <w:rFonts w:cs="Arial"/>
          <w:color w:val="auto"/>
        </w:rPr>
        <w:t xml:space="preserve"> lower half" of that range on 15 June 2023 in the FDG.</w:t>
      </w:r>
    </w:p>
    <w:p w14:paraId="0C4F31F5" w14:textId="77777777" w:rsidR="00A155C9" w:rsidRDefault="00A155C9" w:rsidP="00A155C9">
      <w:pPr>
        <w:pStyle w:val="BodyText"/>
        <w:jc w:val="both"/>
        <w:rPr>
          <w:rFonts w:cs="Arial"/>
          <w:color w:val="auto"/>
        </w:rPr>
      </w:pPr>
      <w:r>
        <w:rPr>
          <w:rFonts w:cs="Arial"/>
          <w:color w:val="auto"/>
        </w:rPr>
        <w:t xml:space="preserve">You note that the Committee did not change any of its preferred assumptions during that period.  It seems plausible to me that the Committee may not have changed any of its preferred assumptions over that period but did change its view of other elements such as uncertainty.  </w:t>
      </w:r>
      <w:proofErr w:type="gramStart"/>
      <w:r>
        <w:rPr>
          <w:rFonts w:cs="Arial"/>
          <w:color w:val="auto"/>
        </w:rPr>
        <w:t>However</w:t>
      </w:r>
      <w:proofErr w:type="gramEnd"/>
      <w:r>
        <w:rPr>
          <w:rFonts w:cs="Arial"/>
          <w:color w:val="auto"/>
        </w:rPr>
        <w:t xml:space="preserve"> I cannot see that explained in the FDG.  </w:t>
      </w:r>
    </w:p>
    <w:p w14:paraId="7AB98E08" w14:textId="79494E56" w:rsidR="00A155C9" w:rsidRPr="00C25872" w:rsidRDefault="00A155C9" w:rsidP="00A155C9">
      <w:pPr>
        <w:pStyle w:val="BodyText"/>
        <w:jc w:val="both"/>
        <w:rPr>
          <w:rFonts w:cs="Arial"/>
          <w:color w:val="auto"/>
        </w:rPr>
      </w:pPr>
      <w:r>
        <w:rPr>
          <w:rFonts w:cs="Arial"/>
          <w:color w:val="auto"/>
        </w:rPr>
        <w:t xml:space="preserve">Accordingly, I am minded </w:t>
      </w:r>
      <w:proofErr w:type="gramStart"/>
      <w:r>
        <w:rPr>
          <w:rFonts w:cs="Arial"/>
          <w:color w:val="auto"/>
        </w:rPr>
        <w:t>to refer</w:t>
      </w:r>
      <w:proofErr w:type="gramEnd"/>
      <w:r>
        <w:rPr>
          <w:rFonts w:cs="Arial"/>
          <w:color w:val="auto"/>
        </w:rPr>
        <w:t xml:space="preserve"> this Appeal Point to the Appeal Panel.</w:t>
      </w:r>
    </w:p>
    <w:p w14:paraId="4AE6A487" w14:textId="6BDD7B15" w:rsidR="007E4EDC" w:rsidRPr="009C5872" w:rsidRDefault="007E4EDC" w:rsidP="00623213">
      <w:pPr>
        <w:pStyle w:val="Paragraph"/>
        <w:numPr>
          <w:ilvl w:val="0"/>
          <w:numId w:val="0"/>
        </w:numPr>
        <w:jc w:val="both"/>
        <w:rPr>
          <w:rFonts w:cs="Arial"/>
          <w:color w:val="0D0D0D" w:themeColor="text1" w:themeTint="F2"/>
          <w:sz w:val="20"/>
          <w:szCs w:val="20"/>
          <w:u w:val="single"/>
          <w:lang w:eastAsia="en-US"/>
        </w:rPr>
      </w:pPr>
      <w:r w:rsidRPr="009C5872">
        <w:rPr>
          <w:rFonts w:cs="Arial"/>
          <w:color w:val="0D0D0D" w:themeColor="text1" w:themeTint="F2"/>
          <w:sz w:val="20"/>
          <w:szCs w:val="20"/>
          <w:u w:val="single"/>
          <w:lang w:eastAsia="en-US"/>
        </w:rPr>
        <w:t xml:space="preserve">Conclusion </w:t>
      </w:r>
    </w:p>
    <w:p w14:paraId="0D42AE48" w14:textId="77777777" w:rsidR="00C2049A" w:rsidRPr="009C5872" w:rsidRDefault="00AA2694" w:rsidP="00413F89">
      <w:pPr>
        <w:pStyle w:val="Paragraph"/>
        <w:numPr>
          <w:ilvl w:val="0"/>
          <w:numId w:val="0"/>
        </w:numPr>
        <w:spacing w:before="120"/>
        <w:jc w:val="both"/>
        <w:rPr>
          <w:rFonts w:cs="Arial"/>
          <w:color w:val="0D0D0D" w:themeColor="text1" w:themeTint="F2"/>
          <w:sz w:val="20"/>
          <w:szCs w:val="20"/>
          <w:lang w:eastAsia="en-US"/>
        </w:rPr>
      </w:pPr>
      <w:r w:rsidRPr="009C5872">
        <w:rPr>
          <w:rFonts w:cs="Arial"/>
          <w:color w:val="0D0D0D" w:themeColor="text1" w:themeTint="F2"/>
          <w:sz w:val="20"/>
          <w:szCs w:val="20"/>
          <w:lang w:eastAsia="en-US"/>
        </w:rPr>
        <w:t>The above sets</w:t>
      </w:r>
      <w:r w:rsidR="00C2049A" w:rsidRPr="009C5872">
        <w:rPr>
          <w:rFonts w:cs="Arial"/>
          <w:color w:val="0D0D0D" w:themeColor="text1" w:themeTint="F2"/>
          <w:sz w:val="20"/>
          <w:szCs w:val="20"/>
          <w:lang w:eastAsia="en-US"/>
        </w:rPr>
        <w:t xml:space="preserve"> out above my initial views on </w:t>
      </w:r>
      <w:proofErr w:type="gramStart"/>
      <w:r w:rsidR="00C2049A" w:rsidRPr="009C5872">
        <w:rPr>
          <w:rFonts w:cs="Arial"/>
          <w:color w:val="0D0D0D" w:themeColor="text1" w:themeTint="F2"/>
          <w:sz w:val="20"/>
          <w:szCs w:val="20"/>
          <w:lang w:eastAsia="en-US"/>
        </w:rPr>
        <w:t>all of</w:t>
      </w:r>
      <w:proofErr w:type="gramEnd"/>
      <w:r w:rsidR="00C2049A" w:rsidRPr="009C5872">
        <w:rPr>
          <w:rFonts w:cs="Arial"/>
          <w:color w:val="0D0D0D" w:themeColor="text1" w:themeTint="F2"/>
          <w:sz w:val="20"/>
          <w:szCs w:val="20"/>
          <w:lang w:eastAsia="en-US"/>
        </w:rPr>
        <w:t xml:space="preserve"> your appeal points.</w:t>
      </w:r>
    </w:p>
    <w:p w14:paraId="5224AE76" w14:textId="5F12110C" w:rsidR="003B056B" w:rsidRPr="009C5872" w:rsidRDefault="003B056B" w:rsidP="00413F89">
      <w:pPr>
        <w:pStyle w:val="Paragraph"/>
        <w:numPr>
          <w:ilvl w:val="0"/>
          <w:numId w:val="0"/>
        </w:numPr>
        <w:spacing w:before="120"/>
        <w:jc w:val="both"/>
        <w:rPr>
          <w:rFonts w:cs="Arial"/>
          <w:color w:val="0D0D0D" w:themeColor="text1" w:themeTint="F2"/>
          <w:sz w:val="20"/>
          <w:szCs w:val="20"/>
          <w:lang w:eastAsia="en-US"/>
        </w:rPr>
      </w:pPr>
      <w:r w:rsidRPr="009C5872">
        <w:rPr>
          <w:rFonts w:cs="Arial"/>
          <w:color w:val="0D0D0D" w:themeColor="text1" w:themeTint="F2"/>
          <w:sz w:val="20"/>
          <w:szCs w:val="20"/>
          <w:lang w:eastAsia="en-US"/>
        </w:rPr>
        <w:t xml:space="preserve">In respect of your points which I am not minded </w:t>
      </w:r>
      <w:proofErr w:type="gramStart"/>
      <w:r w:rsidRPr="009C5872">
        <w:rPr>
          <w:rFonts w:cs="Arial"/>
          <w:color w:val="0D0D0D" w:themeColor="text1" w:themeTint="F2"/>
          <w:sz w:val="20"/>
          <w:szCs w:val="20"/>
          <w:lang w:eastAsia="en-US"/>
        </w:rPr>
        <w:t>to refer</w:t>
      </w:r>
      <w:proofErr w:type="gramEnd"/>
      <w:r w:rsidRPr="009C5872">
        <w:rPr>
          <w:rFonts w:cs="Arial"/>
          <w:color w:val="0D0D0D" w:themeColor="text1" w:themeTint="F2"/>
          <w:sz w:val="20"/>
          <w:szCs w:val="20"/>
          <w:lang w:eastAsia="en-US"/>
        </w:rPr>
        <w:t xml:space="preserve"> on you are entitled to submit further clarification and/or evidence to me within the next 10 working days, and I will then give a final decision on the points t</w:t>
      </w:r>
      <w:r w:rsidR="00726F5A" w:rsidRPr="009C5872">
        <w:rPr>
          <w:rFonts w:cs="Arial"/>
          <w:color w:val="0D0D0D" w:themeColor="text1" w:themeTint="F2"/>
          <w:sz w:val="20"/>
          <w:szCs w:val="20"/>
          <w:lang w:eastAsia="en-US"/>
        </w:rPr>
        <w:t xml:space="preserve">o put before an appeal panel.  </w:t>
      </w:r>
      <w:r w:rsidRPr="009C5872">
        <w:rPr>
          <w:rFonts w:cs="Arial"/>
          <w:color w:val="0D0D0D" w:themeColor="text1" w:themeTint="F2"/>
          <w:sz w:val="20"/>
          <w:szCs w:val="20"/>
          <w:lang w:eastAsia="en-US"/>
        </w:rPr>
        <w:t xml:space="preserve">For the points I am already content to refer on, an oral appeal will be held </w:t>
      </w:r>
      <w:r w:rsidR="00140DBA">
        <w:rPr>
          <w:rFonts w:cs="Arial"/>
          <w:color w:val="0D0D0D" w:themeColor="text1" w:themeTint="F2"/>
          <w:sz w:val="20"/>
          <w:szCs w:val="20"/>
          <w:lang w:eastAsia="en-US"/>
        </w:rPr>
        <w:t xml:space="preserve">remotely. </w:t>
      </w:r>
    </w:p>
    <w:p w14:paraId="6445C872" w14:textId="6CCB23A2" w:rsidR="003B056B" w:rsidRPr="009C5872" w:rsidRDefault="003B056B" w:rsidP="00413F89">
      <w:pPr>
        <w:pStyle w:val="Paragraph"/>
        <w:numPr>
          <w:ilvl w:val="0"/>
          <w:numId w:val="0"/>
        </w:numPr>
        <w:spacing w:before="120"/>
        <w:jc w:val="both"/>
        <w:rPr>
          <w:rFonts w:cs="Arial"/>
          <w:color w:val="0D0D0D" w:themeColor="text1" w:themeTint="F2"/>
          <w:sz w:val="20"/>
          <w:szCs w:val="20"/>
        </w:rPr>
      </w:pPr>
      <w:r w:rsidRPr="009C5872">
        <w:rPr>
          <w:rFonts w:cs="Arial"/>
          <w:color w:val="0D0D0D" w:themeColor="text1" w:themeTint="F2"/>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w:t>
      </w:r>
      <w:proofErr w:type="gramStart"/>
      <w:r w:rsidRPr="009C5872">
        <w:rPr>
          <w:rFonts w:cs="Arial"/>
          <w:color w:val="0D0D0D" w:themeColor="text1" w:themeTint="F2"/>
          <w:sz w:val="20"/>
          <w:szCs w:val="20"/>
          <w:lang w:eastAsia="en-US"/>
        </w:rPr>
        <w:t>information</w:t>
      </w:r>
      <w:proofErr w:type="gramEnd"/>
      <w:r w:rsidRPr="009C5872">
        <w:rPr>
          <w:rFonts w:cs="Arial"/>
          <w:color w:val="0D0D0D" w:themeColor="text1" w:themeTint="F2"/>
          <w:sz w:val="20"/>
          <w:szCs w:val="20"/>
        </w:rPr>
        <w:t xml:space="preserve"> please ensure you have provided a version with this information redacted by</w:t>
      </w:r>
      <w:r w:rsidR="00140DBA">
        <w:rPr>
          <w:rFonts w:cs="Arial"/>
          <w:color w:val="0D0D0D" w:themeColor="text1" w:themeTint="F2"/>
          <w:sz w:val="20"/>
          <w:szCs w:val="20"/>
        </w:rPr>
        <w:t xml:space="preserve"> 27 July 2023</w:t>
      </w:r>
      <w:r w:rsidRPr="009C5872">
        <w:rPr>
          <w:rFonts w:cs="Arial"/>
          <w:color w:val="0D0D0D" w:themeColor="text1" w:themeTint="F2"/>
          <w:sz w:val="20"/>
          <w:szCs w:val="20"/>
        </w:rPr>
        <w:t>.</w:t>
      </w:r>
    </w:p>
    <w:p w14:paraId="0ED764D7" w14:textId="6016B374" w:rsidR="00010318" w:rsidRDefault="00010318" w:rsidP="00413F89">
      <w:pPr>
        <w:pStyle w:val="Paragraph"/>
        <w:numPr>
          <w:ilvl w:val="0"/>
          <w:numId w:val="0"/>
        </w:numPr>
        <w:spacing w:before="120"/>
        <w:jc w:val="both"/>
        <w:rPr>
          <w:rFonts w:cs="Arial"/>
          <w:color w:val="0D0D0D" w:themeColor="text1" w:themeTint="F2"/>
          <w:sz w:val="20"/>
          <w:szCs w:val="20"/>
        </w:rPr>
      </w:pPr>
      <w:r w:rsidRPr="009C5872">
        <w:rPr>
          <w:rFonts w:cs="Arial"/>
          <w:color w:val="0D0D0D" w:themeColor="text1" w:themeTint="F2"/>
          <w:sz w:val="20"/>
          <w:szCs w:val="20"/>
        </w:rPr>
        <w:t xml:space="preserve">Ordinarily appeals are conducted </w:t>
      </w:r>
      <w:proofErr w:type="gramStart"/>
      <w:r w:rsidRPr="009C5872">
        <w:rPr>
          <w:rFonts w:cs="Arial"/>
          <w:color w:val="0D0D0D" w:themeColor="text1" w:themeTint="F2"/>
          <w:sz w:val="20"/>
          <w:szCs w:val="20"/>
        </w:rPr>
        <w:t>on the basis of</w:t>
      </w:r>
      <w:proofErr w:type="gramEnd"/>
      <w:r w:rsidRPr="009C5872">
        <w:rPr>
          <w:rFonts w:cs="Arial"/>
          <w:color w:val="0D0D0D" w:themeColor="text1" w:themeTint="F2"/>
          <w:sz w:val="20"/>
          <w:szCs w:val="20"/>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w:t>
      </w:r>
      <w:r w:rsidR="00140DBA">
        <w:rPr>
          <w:rFonts w:cs="Arial"/>
          <w:color w:val="0D0D0D" w:themeColor="text1" w:themeTint="F2"/>
          <w:sz w:val="20"/>
          <w:szCs w:val="20"/>
        </w:rPr>
        <w:t>n 21 July 2023</w:t>
      </w:r>
      <w:r w:rsidRPr="009C5872">
        <w:rPr>
          <w:rFonts w:cs="Arial"/>
          <w:color w:val="0D0D0D" w:themeColor="text1" w:themeTint="F2"/>
          <w:sz w:val="20"/>
          <w:szCs w:val="20"/>
        </w:rPr>
        <w:t>.  Please note that the appeal panel cannot accept papers that are tabled late or ad hoc, as this affects the preparation of the panel and other parties for the appeal.</w:t>
      </w:r>
    </w:p>
    <w:p w14:paraId="4F9843D0" w14:textId="480578A1" w:rsidR="00140DBA" w:rsidRDefault="00140DBA" w:rsidP="00413F89">
      <w:pPr>
        <w:pStyle w:val="Paragraph"/>
        <w:numPr>
          <w:ilvl w:val="0"/>
          <w:numId w:val="0"/>
        </w:numPr>
        <w:spacing w:before="120"/>
        <w:jc w:val="both"/>
        <w:rPr>
          <w:rFonts w:cs="Arial"/>
          <w:color w:val="0D0D0D" w:themeColor="text1" w:themeTint="F2"/>
          <w:sz w:val="20"/>
          <w:szCs w:val="20"/>
        </w:rPr>
      </w:pPr>
      <w:r>
        <w:rPr>
          <w:rFonts w:cs="Arial"/>
          <w:color w:val="0D0D0D" w:themeColor="text1" w:themeTint="F2"/>
          <w:sz w:val="20"/>
          <w:szCs w:val="20"/>
        </w:rPr>
        <w:t>If you wish to respond to any of the points in the letter</w:t>
      </w:r>
      <w:r w:rsidR="00045FD8">
        <w:rPr>
          <w:rFonts w:cs="Arial"/>
          <w:color w:val="0D0D0D" w:themeColor="text1" w:themeTint="F2"/>
          <w:sz w:val="20"/>
          <w:szCs w:val="20"/>
        </w:rPr>
        <w:t>,</w:t>
      </w:r>
      <w:r>
        <w:rPr>
          <w:rFonts w:cs="Arial"/>
          <w:color w:val="0D0D0D" w:themeColor="text1" w:themeTint="F2"/>
          <w:sz w:val="20"/>
          <w:szCs w:val="20"/>
        </w:rPr>
        <w:t xml:space="preserve"> please send your response to </w:t>
      </w:r>
      <w:hyperlink r:id="rId8" w:history="1">
        <w:r w:rsidRPr="00B926A3">
          <w:rPr>
            <w:rStyle w:val="Hyperlink"/>
            <w:rFonts w:cs="Arial"/>
            <w:sz w:val="20"/>
            <w:szCs w:val="20"/>
          </w:rPr>
          <w:t>appeals@nice.org.uk</w:t>
        </w:r>
      </w:hyperlink>
      <w:r w:rsidR="002167C1" w:rsidRPr="002167C1">
        <w:rPr>
          <w:rFonts w:cs="Arial"/>
          <w:color w:val="0D0D0D" w:themeColor="text1" w:themeTint="F2"/>
          <w:sz w:val="20"/>
          <w:szCs w:val="20"/>
        </w:rPr>
        <w:t xml:space="preserve"> </w:t>
      </w:r>
      <w:r w:rsidR="002167C1">
        <w:rPr>
          <w:rFonts w:cs="Arial"/>
          <w:color w:val="0D0D0D" w:themeColor="text1" w:themeTint="F2"/>
          <w:sz w:val="20"/>
          <w:szCs w:val="20"/>
        </w:rPr>
        <w:t>by no later than 5pm on 20 July</w:t>
      </w:r>
      <w:r w:rsidR="00F9660B">
        <w:rPr>
          <w:rFonts w:cs="Arial"/>
          <w:color w:val="0D0D0D" w:themeColor="text1" w:themeTint="F2"/>
          <w:sz w:val="20"/>
          <w:szCs w:val="20"/>
        </w:rPr>
        <w:t>.</w:t>
      </w:r>
      <w:r>
        <w:rPr>
          <w:rFonts w:cs="Arial"/>
          <w:color w:val="0D0D0D" w:themeColor="text1" w:themeTint="F2"/>
          <w:sz w:val="20"/>
          <w:szCs w:val="20"/>
        </w:rPr>
        <w:t xml:space="preserve"> </w:t>
      </w:r>
      <w:r w:rsidR="002167C1">
        <w:rPr>
          <w:rFonts w:cs="Arial"/>
          <w:color w:val="0D0D0D" w:themeColor="text1" w:themeTint="F2"/>
          <w:sz w:val="20"/>
          <w:szCs w:val="20"/>
        </w:rPr>
        <w:t>I</w:t>
      </w:r>
      <w:r>
        <w:rPr>
          <w:rFonts w:cs="Arial"/>
          <w:color w:val="0D0D0D" w:themeColor="text1" w:themeTint="F2"/>
          <w:sz w:val="20"/>
          <w:szCs w:val="20"/>
        </w:rPr>
        <w:t xml:space="preserve">f you do not intend to submit a </w:t>
      </w:r>
      <w:proofErr w:type="gramStart"/>
      <w:r>
        <w:rPr>
          <w:rFonts w:cs="Arial"/>
          <w:color w:val="0D0D0D" w:themeColor="text1" w:themeTint="F2"/>
          <w:sz w:val="20"/>
          <w:szCs w:val="20"/>
        </w:rPr>
        <w:t>response</w:t>
      </w:r>
      <w:proofErr w:type="gramEnd"/>
      <w:r>
        <w:rPr>
          <w:rFonts w:cs="Arial"/>
          <w:color w:val="0D0D0D" w:themeColor="text1" w:themeTint="F2"/>
          <w:sz w:val="20"/>
          <w:szCs w:val="20"/>
        </w:rPr>
        <w:t xml:space="preserve"> please confirm this by email to</w:t>
      </w:r>
      <w:r w:rsidR="00045FD8">
        <w:rPr>
          <w:rFonts w:cs="Arial"/>
          <w:color w:val="0D0D0D" w:themeColor="text1" w:themeTint="F2"/>
          <w:sz w:val="20"/>
          <w:szCs w:val="20"/>
        </w:rPr>
        <w:t xml:space="preserve"> </w:t>
      </w:r>
      <w:hyperlink r:id="rId9" w:history="1">
        <w:r w:rsidR="00045FD8" w:rsidRPr="00B926A3">
          <w:rPr>
            <w:rStyle w:val="Hyperlink"/>
            <w:rFonts w:cs="Arial"/>
            <w:sz w:val="20"/>
            <w:szCs w:val="20"/>
          </w:rPr>
          <w:t>appeals@nice.org.uk</w:t>
        </w:r>
      </w:hyperlink>
      <w:r w:rsidR="00045FD8">
        <w:rPr>
          <w:rFonts w:cs="Arial"/>
          <w:color w:val="0D0D0D" w:themeColor="text1" w:themeTint="F2"/>
          <w:sz w:val="20"/>
          <w:szCs w:val="20"/>
        </w:rPr>
        <w:t xml:space="preserve"> by the same deadline.</w:t>
      </w:r>
      <w:r>
        <w:rPr>
          <w:rFonts w:cs="Arial"/>
          <w:color w:val="0D0D0D" w:themeColor="text1" w:themeTint="F2"/>
          <w:sz w:val="20"/>
          <w:szCs w:val="20"/>
        </w:rPr>
        <w:t xml:space="preserve"> </w:t>
      </w:r>
    </w:p>
    <w:p w14:paraId="6427A69D" w14:textId="21C02660" w:rsidR="00C70019" w:rsidRPr="009C5872" w:rsidRDefault="00C70019" w:rsidP="00413F89">
      <w:pPr>
        <w:jc w:val="both"/>
        <w:rPr>
          <w:rFonts w:cs="Arial"/>
          <w:color w:val="0D0D0D" w:themeColor="text1" w:themeTint="F2"/>
        </w:rPr>
      </w:pPr>
      <w:r w:rsidRPr="009C5872">
        <w:rPr>
          <w:rFonts w:cs="Arial"/>
          <w:color w:val="0D0D0D" w:themeColor="text1" w:themeTint="F2"/>
        </w:rPr>
        <w:t>Yours sincerely</w:t>
      </w:r>
    </w:p>
    <w:p w14:paraId="638CFD9A" w14:textId="77777777" w:rsidR="002B21D4" w:rsidRPr="009C5872" w:rsidRDefault="002B21D4" w:rsidP="00413F89">
      <w:pPr>
        <w:jc w:val="both"/>
        <w:rPr>
          <w:rFonts w:cs="Arial"/>
          <w:color w:val="0D0D0D" w:themeColor="text1" w:themeTint="F2"/>
        </w:rPr>
      </w:pPr>
    </w:p>
    <w:p w14:paraId="55C5A1D8" w14:textId="46EBF9C5" w:rsidR="00045FD8" w:rsidRPr="00182043" w:rsidRDefault="00660864" w:rsidP="00045FD8">
      <w:pPr>
        <w:jc w:val="both"/>
        <w:rPr>
          <w:rFonts w:cs="Arial"/>
        </w:rPr>
      </w:pPr>
      <w:r w:rsidRPr="00660864">
        <w:rPr>
          <w:rFonts w:cs="Arial"/>
          <w:noProof/>
          <w:highlight w:val="black"/>
        </w:rPr>
        <w:t>XXXXXXXXXXXXXXX</w:t>
      </w:r>
    </w:p>
    <w:p w14:paraId="19DEAF3E" w14:textId="77777777" w:rsidR="00045FD8" w:rsidRPr="00182043" w:rsidRDefault="00045FD8" w:rsidP="00045FD8">
      <w:pPr>
        <w:spacing w:line="360" w:lineRule="auto"/>
        <w:jc w:val="both"/>
        <w:rPr>
          <w:rFonts w:cs="Arial"/>
        </w:rPr>
      </w:pPr>
      <w:r w:rsidRPr="00182043">
        <w:rPr>
          <w:rFonts w:cs="Arial"/>
        </w:rPr>
        <w:lastRenderedPageBreak/>
        <w:t>Dr Mark Chakravarty</w:t>
      </w:r>
    </w:p>
    <w:p w14:paraId="0EF593DA" w14:textId="77777777" w:rsidR="00045FD8" w:rsidRPr="00182043" w:rsidRDefault="00045FD8" w:rsidP="00045FD8">
      <w:pPr>
        <w:spacing w:line="360" w:lineRule="auto"/>
        <w:jc w:val="both"/>
        <w:rPr>
          <w:rFonts w:cs="Arial"/>
        </w:rPr>
      </w:pPr>
      <w:r w:rsidRPr="00182043">
        <w:rPr>
          <w:rFonts w:cs="Arial"/>
        </w:rPr>
        <w:t>Lead Non-Executive Director for Appeals &amp; Vice Chairman</w:t>
      </w:r>
    </w:p>
    <w:p w14:paraId="7E35B9C1" w14:textId="77777777" w:rsidR="00045FD8" w:rsidRPr="00182043" w:rsidRDefault="00045FD8" w:rsidP="00045FD8">
      <w:pPr>
        <w:spacing w:line="360" w:lineRule="auto"/>
        <w:jc w:val="both"/>
        <w:rPr>
          <w:rFonts w:cs="Arial"/>
        </w:rPr>
      </w:pPr>
      <w:r w:rsidRPr="00182043">
        <w:rPr>
          <w:rFonts w:cs="Arial"/>
        </w:rPr>
        <w:t>National Institute for Health and Care Excellence</w:t>
      </w:r>
    </w:p>
    <w:p w14:paraId="72284BFF" w14:textId="22D2CF28" w:rsidR="004A76D5" w:rsidRPr="009C5872" w:rsidRDefault="004A76D5" w:rsidP="00413F89">
      <w:pPr>
        <w:jc w:val="both"/>
        <w:rPr>
          <w:rFonts w:cs="Arial"/>
          <w:color w:val="0D0D0D" w:themeColor="text1" w:themeTint="F2"/>
        </w:rPr>
      </w:pPr>
    </w:p>
    <w:p w14:paraId="0C61E456" w14:textId="77777777" w:rsidR="002B21D4" w:rsidRPr="009C5872" w:rsidRDefault="002B21D4" w:rsidP="00413F89">
      <w:pPr>
        <w:jc w:val="both"/>
        <w:rPr>
          <w:rFonts w:cs="Arial"/>
          <w:color w:val="0D0D0D" w:themeColor="text1" w:themeTint="F2"/>
        </w:rPr>
      </w:pPr>
    </w:p>
    <w:sectPr w:rsidR="002B21D4" w:rsidRPr="009C5872" w:rsidSect="00DC03BB">
      <w:footerReference w:type="default" r:id="rId10"/>
      <w:headerReference w:type="first" r:id="rId11"/>
      <w:footerReference w:type="first" r:id="rId12"/>
      <w:pgSz w:w="11907" w:h="16840"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FB0BF" w14:textId="77777777" w:rsidR="00AD5E69" w:rsidRDefault="00AD5E69">
      <w:r>
        <w:separator/>
      </w:r>
    </w:p>
  </w:endnote>
  <w:endnote w:type="continuationSeparator" w:id="0">
    <w:p w14:paraId="5C70DEA2" w14:textId="77777777" w:rsidR="00AD5E69" w:rsidRDefault="00AD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A69C" w14:textId="3A8305C2" w:rsidR="00E308B8" w:rsidRPr="00E10C0E" w:rsidRDefault="00E308B8" w:rsidP="00832D34">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00811421" w:rsidRPr="00811421">
      <w:rPr>
        <w:rStyle w:val="PageNumber"/>
        <w:noProof/>
        <w:color w:val="808080"/>
        <w:szCs w:val="18"/>
      </w:rPr>
      <w:t>2</w:t>
    </w:r>
    <w:r w:rsidRPr="00E10C0E">
      <w:rPr>
        <w:rStyle w:val="PageNumber"/>
        <w:b/>
        <w:color w:val="80808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9013B" w14:textId="71318A96" w:rsidR="00E308B8" w:rsidRPr="00832D34" w:rsidRDefault="00811421" w:rsidP="00EF043B">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00E308B8" w:rsidRPr="00832D34">
      <w:rPr>
        <w:color w:val="808080"/>
        <w:sz w:val="18"/>
        <w:szCs w:val="18"/>
      </w:rPr>
      <w:fldChar w:fldCharType="begin"/>
    </w:r>
    <w:r w:rsidR="00E308B8" w:rsidRPr="00832D34">
      <w:rPr>
        <w:color w:val="808080"/>
        <w:sz w:val="18"/>
        <w:szCs w:val="18"/>
      </w:rPr>
      <w:instrText xml:space="preserve"> FILENAME \* Upper </w:instrText>
    </w:r>
    <w:r w:rsidR="00E308B8" w:rsidRPr="00832D34">
      <w:rPr>
        <w:color w:val="808080"/>
        <w:sz w:val="18"/>
        <w:szCs w:val="18"/>
      </w:rPr>
      <w:fldChar w:fldCharType="separate"/>
    </w:r>
    <w:r w:rsidR="00050292">
      <w:rPr>
        <w:noProof/>
        <w:color w:val="808080"/>
        <w:sz w:val="18"/>
        <w:szCs w:val="18"/>
      </w:rPr>
      <w:t>INITIAL SCRUTINY - IPSEN</w:t>
    </w:r>
    <w:r w:rsidR="00E308B8" w:rsidRPr="00832D34">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00E308B8" w:rsidRPr="00EF043B">
      <w:rPr>
        <w:snapToGrid w:val="0"/>
        <w:color w:val="808080"/>
        <w:sz w:val="18"/>
        <w:szCs w:val="18"/>
      </w:rPr>
      <w:t xml:space="preserve">Page </w:t>
    </w:r>
    <w:r w:rsidR="00E308B8" w:rsidRPr="00EF043B">
      <w:rPr>
        <w:snapToGrid w:val="0"/>
        <w:color w:val="808080"/>
        <w:sz w:val="18"/>
        <w:szCs w:val="18"/>
      </w:rPr>
      <w:fldChar w:fldCharType="begin"/>
    </w:r>
    <w:r w:rsidR="00E308B8" w:rsidRPr="00EF043B">
      <w:rPr>
        <w:snapToGrid w:val="0"/>
        <w:color w:val="808080"/>
        <w:sz w:val="18"/>
        <w:szCs w:val="18"/>
      </w:rPr>
      <w:instrText xml:space="preserve"> PAGE </w:instrText>
    </w:r>
    <w:r w:rsidR="00E308B8" w:rsidRPr="00EF043B">
      <w:rPr>
        <w:snapToGrid w:val="0"/>
        <w:color w:val="808080"/>
        <w:sz w:val="18"/>
        <w:szCs w:val="18"/>
      </w:rPr>
      <w:fldChar w:fldCharType="separate"/>
    </w:r>
    <w:r>
      <w:rPr>
        <w:noProof/>
        <w:snapToGrid w:val="0"/>
        <w:color w:val="808080"/>
        <w:sz w:val="18"/>
        <w:szCs w:val="18"/>
      </w:rPr>
      <w:t>1</w:t>
    </w:r>
    <w:r w:rsidR="00E308B8" w:rsidRPr="00EF043B">
      <w:rPr>
        <w:snapToGrid w:val="0"/>
        <w:color w:val="808080"/>
        <w:sz w:val="18"/>
        <w:szCs w:val="18"/>
      </w:rPr>
      <w:fldChar w:fldCharType="end"/>
    </w:r>
    <w:r w:rsidR="00E308B8" w:rsidRPr="00EF043B">
      <w:rPr>
        <w:snapToGrid w:val="0"/>
        <w:color w:val="808080"/>
        <w:sz w:val="18"/>
        <w:szCs w:val="18"/>
      </w:rPr>
      <w:t xml:space="preserve"> of </w:t>
    </w:r>
    <w:r w:rsidR="00E308B8" w:rsidRPr="00EF043B">
      <w:rPr>
        <w:snapToGrid w:val="0"/>
        <w:color w:val="808080"/>
        <w:sz w:val="18"/>
        <w:szCs w:val="18"/>
      </w:rPr>
      <w:fldChar w:fldCharType="begin"/>
    </w:r>
    <w:r w:rsidR="00E308B8" w:rsidRPr="00EF043B">
      <w:rPr>
        <w:snapToGrid w:val="0"/>
        <w:color w:val="808080"/>
        <w:sz w:val="18"/>
        <w:szCs w:val="18"/>
      </w:rPr>
      <w:instrText xml:space="preserve"> NUMPAGES </w:instrText>
    </w:r>
    <w:r w:rsidR="00E308B8" w:rsidRPr="00EF043B">
      <w:rPr>
        <w:snapToGrid w:val="0"/>
        <w:color w:val="808080"/>
        <w:sz w:val="18"/>
        <w:szCs w:val="18"/>
      </w:rPr>
      <w:fldChar w:fldCharType="separate"/>
    </w:r>
    <w:r>
      <w:rPr>
        <w:noProof/>
        <w:snapToGrid w:val="0"/>
        <w:color w:val="808080"/>
        <w:sz w:val="18"/>
        <w:szCs w:val="18"/>
      </w:rPr>
      <w:t>2</w:t>
    </w:r>
    <w:r w:rsidR="00E308B8" w:rsidRPr="00EF043B">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9B9D91" w14:textId="77777777" w:rsidR="00AD5E69" w:rsidRDefault="00AD5E69">
      <w:r>
        <w:separator/>
      </w:r>
    </w:p>
  </w:footnote>
  <w:footnote w:type="continuationSeparator" w:id="0">
    <w:p w14:paraId="7F2D603D" w14:textId="77777777" w:rsidR="00AD5E69" w:rsidRDefault="00AD5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13CC1" w14:textId="77777777" w:rsidR="00491045" w:rsidRDefault="00491045" w:rsidP="00491045">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14:paraId="2DD48BCF"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2 Redman Place</w:t>
    </w:r>
  </w:p>
  <w:p w14:paraId="4E0459EB"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softHyphen/>
      <w:t>London</w:t>
    </w:r>
  </w:p>
  <w:p w14:paraId="17FA5E6C"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E20 1JQ</w:t>
    </w:r>
  </w:p>
  <w:p w14:paraId="7B0504BC"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t>United Kingdom</w:t>
    </w:r>
  </w:p>
  <w:p w14:paraId="0A93A6A6" w14:textId="77777777" w:rsidR="00491045" w:rsidRPr="005E0434" w:rsidRDefault="00491045" w:rsidP="00491045">
    <w:pPr>
      <w:pStyle w:val="Header"/>
      <w:tabs>
        <w:tab w:val="right" w:pos="10065"/>
      </w:tabs>
      <w:spacing w:after="0"/>
      <w:ind w:right="-1039"/>
      <w:jc w:val="right"/>
      <w:rPr>
        <w:rFonts w:cs="Arial"/>
        <w:color w:val="0E0E0E"/>
      </w:rPr>
    </w:pPr>
  </w:p>
  <w:p w14:paraId="5D6CD5A4" w14:textId="77777777" w:rsidR="00491045" w:rsidRPr="003A3E2E" w:rsidRDefault="00491045" w:rsidP="00491045">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14:paraId="1C9776DF" w14:textId="21D4BFDB" w:rsidR="00E308B8" w:rsidRPr="00491045" w:rsidRDefault="00E308B8" w:rsidP="0049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ascii="Symbol" w:hAnsi="Symbol" w:hint="default"/>
      </w:rPr>
    </w:lvl>
    <w:lvl w:ilvl="7">
      <w:start w:val="1"/>
      <w:numFmt w:val="none"/>
      <w:pStyle w:val="Heading8"/>
      <w:lvlText w:val=""/>
      <w:legacy w:legacy="1" w:legacySpace="0" w:legacyIndent="708"/>
      <w:lvlJc w:val="left"/>
      <w:pPr>
        <w:ind w:left="6447" w:hanging="708"/>
      </w:pPr>
      <w:rPr>
        <w:rFonts w:ascii="Symbol" w:hAnsi="Symbol" w:hint="default"/>
      </w:rPr>
    </w:lvl>
    <w:lvl w:ilvl="8">
      <w:start w:val="1"/>
      <w:numFmt w:val="none"/>
      <w:pStyle w:val="Heading9"/>
      <w:lvlText w:val=""/>
      <w:legacy w:legacy="1" w:legacySpace="0" w:legacyIndent="708"/>
      <w:lvlJc w:val="left"/>
      <w:pPr>
        <w:ind w:left="7155" w:hanging="708"/>
      </w:pPr>
      <w:rPr>
        <w:rFonts w:ascii="Symbol" w:hAnsi="Symbol" w:hint="default"/>
      </w:rPr>
    </w:lvl>
  </w:abstractNum>
  <w:abstractNum w:abstractNumId="3" w15:restartNumberingAfterBreak="0">
    <w:nsid w:val="19DF3CAE"/>
    <w:multiLevelType w:val="hybridMultilevel"/>
    <w:tmpl w:val="32A2F77E"/>
    <w:lvl w:ilvl="0" w:tplc="A5FC299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159CD"/>
    <w:multiLevelType w:val="hybridMultilevel"/>
    <w:tmpl w:val="343EBF1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A90BB6"/>
    <w:multiLevelType w:val="hybridMultilevel"/>
    <w:tmpl w:val="0F766B3A"/>
    <w:lvl w:ilvl="0" w:tplc="678AA1F2">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562A9"/>
    <w:multiLevelType w:val="hybridMultilevel"/>
    <w:tmpl w:val="8B828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246CA6"/>
    <w:multiLevelType w:val="hybridMultilevel"/>
    <w:tmpl w:val="E894F6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3"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C8632C"/>
    <w:multiLevelType w:val="hybridMultilevel"/>
    <w:tmpl w:val="26E460D6"/>
    <w:lvl w:ilvl="0" w:tplc="A5FC299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0189A"/>
    <w:multiLevelType w:val="hybridMultilevel"/>
    <w:tmpl w:val="E2E64854"/>
    <w:lvl w:ilvl="0" w:tplc="510A83D8">
      <w:numFmt w:val="bullet"/>
      <w:lvlText w:val=""/>
      <w:lvlJc w:val="left"/>
      <w:pPr>
        <w:ind w:left="502" w:hanging="285"/>
      </w:pPr>
      <w:rPr>
        <w:rFonts w:ascii="Symbol" w:eastAsia="Symbol" w:hAnsi="Symbol" w:cs="Symbol" w:hint="default"/>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7"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1" w15:restartNumberingAfterBreak="0">
    <w:nsid w:val="6614533C"/>
    <w:multiLevelType w:val="hybridMultilevel"/>
    <w:tmpl w:val="C8E8253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5055A4"/>
    <w:multiLevelType w:val="hybridMultilevel"/>
    <w:tmpl w:val="96104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885777"/>
    <w:multiLevelType w:val="hybridMultilevel"/>
    <w:tmpl w:val="6E1C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1440061">
    <w:abstractNumId w:val="2"/>
  </w:num>
  <w:num w:numId="2" w16cid:durableId="1940479412">
    <w:abstractNumId w:val="5"/>
  </w:num>
  <w:num w:numId="3" w16cid:durableId="735858711">
    <w:abstractNumId w:val="19"/>
  </w:num>
  <w:num w:numId="4" w16cid:durableId="791437817">
    <w:abstractNumId w:val="19"/>
  </w:num>
  <w:num w:numId="5" w16cid:durableId="589656231">
    <w:abstractNumId w:val="20"/>
  </w:num>
  <w:num w:numId="6" w16cid:durableId="1033071542">
    <w:abstractNumId w:val="0"/>
  </w:num>
  <w:num w:numId="7" w16cid:durableId="692002320">
    <w:abstractNumId w:val="19"/>
  </w:num>
  <w:num w:numId="8" w16cid:durableId="893390988">
    <w:abstractNumId w:val="19"/>
  </w:num>
  <w:num w:numId="9" w16cid:durableId="1036344506">
    <w:abstractNumId w:val="19"/>
  </w:num>
  <w:num w:numId="10" w16cid:durableId="1081758715">
    <w:abstractNumId w:val="14"/>
  </w:num>
  <w:num w:numId="11" w16cid:durableId="1324700156">
    <w:abstractNumId w:val="3"/>
  </w:num>
  <w:num w:numId="12" w16cid:durableId="297996532">
    <w:abstractNumId w:val="13"/>
  </w:num>
  <w:num w:numId="13" w16cid:durableId="1315715874">
    <w:abstractNumId w:val="15"/>
  </w:num>
  <w:num w:numId="14" w16cid:durableId="1234002226">
    <w:abstractNumId w:val="18"/>
  </w:num>
  <w:num w:numId="15" w16cid:durableId="682052213">
    <w:abstractNumId w:val="11"/>
  </w:num>
  <w:num w:numId="16" w16cid:durableId="1741825062">
    <w:abstractNumId w:val="17"/>
  </w:num>
  <w:num w:numId="17" w16cid:durableId="1644236023">
    <w:abstractNumId w:val="23"/>
  </w:num>
  <w:num w:numId="18" w16cid:durableId="530655038">
    <w:abstractNumId w:val="4"/>
  </w:num>
  <w:num w:numId="19" w16cid:durableId="2126733805">
    <w:abstractNumId w:val="21"/>
  </w:num>
  <w:num w:numId="20" w16cid:durableId="621762274">
    <w:abstractNumId w:val="12"/>
  </w:num>
  <w:num w:numId="21" w16cid:durableId="170607788">
    <w:abstractNumId w:val="6"/>
  </w:num>
  <w:num w:numId="22" w16cid:durableId="460727966">
    <w:abstractNumId w:val="24"/>
  </w:num>
  <w:num w:numId="23" w16cid:durableId="2105420001">
    <w:abstractNumId w:val="1"/>
  </w:num>
  <w:num w:numId="24" w16cid:durableId="2048407580">
    <w:abstractNumId w:val="16"/>
  </w:num>
  <w:num w:numId="25" w16cid:durableId="1798986414">
    <w:abstractNumId w:val="8"/>
  </w:num>
  <w:num w:numId="26" w16cid:durableId="1415205502">
    <w:abstractNumId w:val="22"/>
  </w:num>
  <w:num w:numId="27" w16cid:durableId="368603691">
    <w:abstractNumId w:val="7"/>
  </w:num>
  <w:num w:numId="28" w16cid:durableId="217009139">
    <w:abstractNumId w:val="19"/>
  </w:num>
  <w:num w:numId="29" w16cid:durableId="1991011021">
    <w:abstractNumId w:val="19"/>
  </w:num>
  <w:num w:numId="30" w16cid:durableId="840006877">
    <w:abstractNumId w:val="10"/>
  </w:num>
  <w:num w:numId="31" w16cid:durableId="324751170">
    <w:abstractNumId w:val="19"/>
  </w:num>
  <w:num w:numId="32" w16cid:durableId="1909340188">
    <w:abstractNumId w:val="19"/>
  </w:num>
  <w:num w:numId="33" w16cid:durableId="334496126">
    <w:abstractNumId w:val="25"/>
  </w:num>
  <w:num w:numId="34" w16cid:durableId="189339905">
    <w:abstractNumId w:val="26"/>
  </w:num>
  <w:num w:numId="35" w16cid:durableId="1334600798">
    <w:abstractNumId w:val="9"/>
  </w:num>
  <w:num w:numId="36" w16cid:durableId="271547986">
    <w:abstractNumId w:val="19"/>
  </w:num>
  <w:num w:numId="37" w16cid:durableId="1971864408">
    <w:abstractNumId w:val="19"/>
  </w:num>
  <w:num w:numId="38" w16cid:durableId="609430545">
    <w:abstractNumId w:val="19"/>
  </w:num>
  <w:num w:numId="39" w16cid:durableId="1617449573">
    <w:abstractNumId w:val="19"/>
  </w:num>
  <w:num w:numId="40" w16cid:durableId="586890027">
    <w:abstractNumId w:val="19"/>
  </w:num>
  <w:num w:numId="41" w16cid:durableId="1322467585">
    <w:abstractNumId w:val="19"/>
  </w:num>
  <w:num w:numId="42" w16cid:durableId="698239657">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2043D"/>
    <w:rsid w:val="000218C9"/>
    <w:rsid w:val="000223BD"/>
    <w:rsid w:val="00024DA5"/>
    <w:rsid w:val="00025D77"/>
    <w:rsid w:val="000329FE"/>
    <w:rsid w:val="0003496D"/>
    <w:rsid w:val="00045FD8"/>
    <w:rsid w:val="00047383"/>
    <w:rsid w:val="00050292"/>
    <w:rsid w:val="00052894"/>
    <w:rsid w:val="000532DA"/>
    <w:rsid w:val="00054C3D"/>
    <w:rsid w:val="00056CD2"/>
    <w:rsid w:val="0006785D"/>
    <w:rsid w:val="0007095A"/>
    <w:rsid w:val="000709E5"/>
    <w:rsid w:val="000735A8"/>
    <w:rsid w:val="0007749C"/>
    <w:rsid w:val="00080B20"/>
    <w:rsid w:val="00080FCA"/>
    <w:rsid w:val="00082FAB"/>
    <w:rsid w:val="00083604"/>
    <w:rsid w:val="00084FD0"/>
    <w:rsid w:val="000853F6"/>
    <w:rsid w:val="00085837"/>
    <w:rsid w:val="00087222"/>
    <w:rsid w:val="000878D5"/>
    <w:rsid w:val="000928C5"/>
    <w:rsid w:val="00096EBF"/>
    <w:rsid w:val="000977EB"/>
    <w:rsid w:val="000A490C"/>
    <w:rsid w:val="000A4DFC"/>
    <w:rsid w:val="000B1D36"/>
    <w:rsid w:val="000B3C21"/>
    <w:rsid w:val="000B54D2"/>
    <w:rsid w:val="000B5760"/>
    <w:rsid w:val="000B73F9"/>
    <w:rsid w:val="000C590F"/>
    <w:rsid w:val="000D1E58"/>
    <w:rsid w:val="000D5A32"/>
    <w:rsid w:val="000E020F"/>
    <w:rsid w:val="000E16D3"/>
    <w:rsid w:val="000E40C4"/>
    <w:rsid w:val="000E5FFD"/>
    <w:rsid w:val="000F014D"/>
    <w:rsid w:val="000F3523"/>
    <w:rsid w:val="000F6538"/>
    <w:rsid w:val="000F6BB5"/>
    <w:rsid w:val="00102F59"/>
    <w:rsid w:val="00106505"/>
    <w:rsid w:val="00107520"/>
    <w:rsid w:val="00111749"/>
    <w:rsid w:val="00116523"/>
    <w:rsid w:val="00120071"/>
    <w:rsid w:val="00120FFA"/>
    <w:rsid w:val="001232BE"/>
    <w:rsid w:val="00123922"/>
    <w:rsid w:val="00123B83"/>
    <w:rsid w:val="00131602"/>
    <w:rsid w:val="001319CF"/>
    <w:rsid w:val="00131AE3"/>
    <w:rsid w:val="00132DDC"/>
    <w:rsid w:val="00136C94"/>
    <w:rsid w:val="00140DBA"/>
    <w:rsid w:val="00145246"/>
    <w:rsid w:val="001465BD"/>
    <w:rsid w:val="0014692A"/>
    <w:rsid w:val="001470EF"/>
    <w:rsid w:val="00150421"/>
    <w:rsid w:val="00151269"/>
    <w:rsid w:val="00156C49"/>
    <w:rsid w:val="00160A2A"/>
    <w:rsid w:val="00163C9B"/>
    <w:rsid w:val="00170F86"/>
    <w:rsid w:val="001760DF"/>
    <w:rsid w:val="0017732F"/>
    <w:rsid w:val="00182BDA"/>
    <w:rsid w:val="00184EE2"/>
    <w:rsid w:val="001878E5"/>
    <w:rsid w:val="00190698"/>
    <w:rsid w:val="00190763"/>
    <w:rsid w:val="001908C4"/>
    <w:rsid w:val="0019459D"/>
    <w:rsid w:val="001945C8"/>
    <w:rsid w:val="00194EE4"/>
    <w:rsid w:val="001969C2"/>
    <w:rsid w:val="001A0143"/>
    <w:rsid w:val="001A18CA"/>
    <w:rsid w:val="001A26B0"/>
    <w:rsid w:val="001B0102"/>
    <w:rsid w:val="001B23C6"/>
    <w:rsid w:val="001B71EA"/>
    <w:rsid w:val="001C655B"/>
    <w:rsid w:val="001D26C0"/>
    <w:rsid w:val="001D736F"/>
    <w:rsid w:val="001E0293"/>
    <w:rsid w:val="001E615E"/>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1AE9"/>
    <w:rsid w:val="00211FE0"/>
    <w:rsid w:val="002129C1"/>
    <w:rsid w:val="002167C1"/>
    <w:rsid w:val="00217D5F"/>
    <w:rsid w:val="00220DE8"/>
    <w:rsid w:val="002216BB"/>
    <w:rsid w:val="00223EBE"/>
    <w:rsid w:val="00232FF4"/>
    <w:rsid w:val="002354BF"/>
    <w:rsid w:val="0023747F"/>
    <w:rsid w:val="00237C6C"/>
    <w:rsid w:val="0024377B"/>
    <w:rsid w:val="002502FA"/>
    <w:rsid w:val="0025046D"/>
    <w:rsid w:val="00254235"/>
    <w:rsid w:val="00254708"/>
    <w:rsid w:val="00255C8A"/>
    <w:rsid w:val="00256BF4"/>
    <w:rsid w:val="00262058"/>
    <w:rsid w:val="00271E0A"/>
    <w:rsid w:val="00274609"/>
    <w:rsid w:val="00275528"/>
    <w:rsid w:val="00283C5A"/>
    <w:rsid w:val="00283D6E"/>
    <w:rsid w:val="00284917"/>
    <w:rsid w:val="00284CBA"/>
    <w:rsid w:val="0028620E"/>
    <w:rsid w:val="00294EB1"/>
    <w:rsid w:val="002A14F3"/>
    <w:rsid w:val="002A254E"/>
    <w:rsid w:val="002A4E90"/>
    <w:rsid w:val="002B21D4"/>
    <w:rsid w:val="002C14B2"/>
    <w:rsid w:val="002C3E42"/>
    <w:rsid w:val="002C4202"/>
    <w:rsid w:val="002C5356"/>
    <w:rsid w:val="002D3CA9"/>
    <w:rsid w:val="002D412A"/>
    <w:rsid w:val="002D4715"/>
    <w:rsid w:val="002E4D13"/>
    <w:rsid w:val="002E6A1E"/>
    <w:rsid w:val="002E7FE1"/>
    <w:rsid w:val="002F25FC"/>
    <w:rsid w:val="002F374D"/>
    <w:rsid w:val="002F6526"/>
    <w:rsid w:val="002F7D8C"/>
    <w:rsid w:val="003027BC"/>
    <w:rsid w:val="00310279"/>
    <w:rsid w:val="003127F5"/>
    <w:rsid w:val="00314589"/>
    <w:rsid w:val="00316D28"/>
    <w:rsid w:val="00317646"/>
    <w:rsid w:val="00321A60"/>
    <w:rsid w:val="00323185"/>
    <w:rsid w:val="0032672D"/>
    <w:rsid w:val="00326AFE"/>
    <w:rsid w:val="00326E72"/>
    <w:rsid w:val="003308CE"/>
    <w:rsid w:val="00332149"/>
    <w:rsid w:val="003329A9"/>
    <w:rsid w:val="00332C05"/>
    <w:rsid w:val="0033740C"/>
    <w:rsid w:val="00343CE3"/>
    <w:rsid w:val="00343FDD"/>
    <w:rsid w:val="00345918"/>
    <w:rsid w:val="003478F6"/>
    <w:rsid w:val="00350B84"/>
    <w:rsid w:val="00351496"/>
    <w:rsid w:val="003627D7"/>
    <w:rsid w:val="0036323C"/>
    <w:rsid w:val="00371C6B"/>
    <w:rsid w:val="00381210"/>
    <w:rsid w:val="00381E46"/>
    <w:rsid w:val="00382D01"/>
    <w:rsid w:val="00383DDC"/>
    <w:rsid w:val="0038454F"/>
    <w:rsid w:val="003865CD"/>
    <w:rsid w:val="00393619"/>
    <w:rsid w:val="00395196"/>
    <w:rsid w:val="0039570A"/>
    <w:rsid w:val="00396B85"/>
    <w:rsid w:val="003A74FD"/>
    <w:rsid w:val="003A78CC"/>
    <w:rsid w:val="003A7A38"/>
    <w:rsid w:val="003B056B"/>
    <w:rsid w:val="003B0952"/>
    <w:rsid w:val="003B29ED"/>
    <w:rsid w:val="003B5308"/>
    <w:rsid w:val="003C4D96"/>
    <w:rsid w:val="003C5792"/>
    <w:rsid w:val="003C7489"/>
    <w:rsid w:val="003D1A18"/>
    <w:rsid w:val="003D2B50"/>
    <w:rsid w:val="003D3448"/>
    <w:rsid w:val="003E09ED"/>
    <w:rsid w:val="003E2CBA"/>
    <w:rsid w:val="003E5293"/>
    <w:rsid w:val="003E64E4"/>
    <w:rsid w:val="003E67E7"/>
    <w:rsid w:val="003F0380"/>
    <w:rsid w:val="0040061D"/>
    <w:rsid w:val="00406D54"/>
    <w:rsid w:val="00413F89"/>
    <w:rsid w:val="00414D6F"/>
    <w:rsid w:val="00417F57"/>
    <w:rsid w:val="004239BB"/>
    <w:rsid w:val="00424E76"/>
    <w:rsid w:val="004251A4"/>
    <w:rsid w:val="004309B6"/>
    <w:rsid w:val="00431B23"/>
    <w:rsid w:val="00434670"/>
    <w:rsid w:val="00436264"/>
    <w:rsid w:val="00444494"/>
    <w:rsid w:val="004445BE"/>
    <w:rsid w:val="004448D5"/>
    <w:rsid w:val="00445518"/>
    <w:rsid w:val="00453E92"/>
    <w:rsid w:val="0045574A"/>
    <w:rsid w:val="00456D3B"/>
    <w:rsid w:val="00461114"/>
    <w:rsid w:val="00464401"/>
    <w:rsid w:val="00465F46"/>
    <w:rsid w:val="0046702E"/>
    <w:rsid w:val="00474004"/>
    <w:rsid w:val="004768DE"/>
    <w:rsid w:val="00476A37"/>
    <w:rsid w:val="00481D88"/>
    <w:rsid w:val="00491045"/>
    <w:rsid w:val="00491E3A"/>
    <w:rsid w:val="0049446F"/>
    <w:rsid w:val="0049578D"/>
    <w:rsid w:val="004A4BB2"/>
    <w:rsid w:val="004A65E4"/>
    <w:rsid w:val="004A76D5"/>
    <w:rsid w:val="004B3E6C"/>
    <w:rsid w:val="004C4AED"/>
    <w:rsid w:val="004D0511"/>
    <w:rsid w:val="004D1394"/>
    <w:rsid w:val="004D24D5"/>
    <w:rsid w:val="004D284F"/>
    <w:rsid w:val="004D2CE5"/>
    <w:rsid w:val="004D3D80"/>
    <w:rsid w:val="004D44D5"/>
    <w:rsid w:val="004D4E54"/>
    <w:rsid w:val="004D5E08"/>
    <w:rsid w:val="004D6F91"/>
    <w:rsid w:val="004D7840"/>
    <w:rsid w:val="004E1EDB"/>
    <w:rsid w:val="004E5E43"/>
    <w:rsid w:val="004F1061"/>
    <w:rsid w:val="004F44BE"/>
    <w:rsid w:val="004F531C"/>
    <w:rsid w:val="00500AEB"/>
    <w:rsid w:val="0051022D"/>
    <w:rsid w:val="00510BE0"/>
    <w:rsid w:val="00512A63"/>
    <w:rsid w:val="00513648"/>
    <w:rsid w:val="00515176"/>
    <w:rsid w:val="005203AB"/>
    <w:rsid w:val="00526F8A"/>
    <w:rsid w:val="005302B1"/>
    <w:rsid w:val="005308AC"/>
    <w:rsid w:val="005310C8"/>
    <w:rsid w:val="00532E15"/>
    <w:rsid w:val="00533F44"/>
    <w:rsid w:val="00534486"/>
    <w:rsid w:val="00535B05"/>
    <w:rsid w:val="00535B14"/>
    <w:rsid w:val="0054085B"/>
    <w:rsid w:val="005467C7"/>
    <w:rsid w:val="0055476A"/>
    <w:rsid w:val="00554B22"/>
    <w:rsid w:val="00556358"/>
    <w:rsid w:val="00562D4E"/>
    <w:rsid w:val="00562E65"/>
    <w:rsid w:val="005631ED"/>
    <w:rsid w:val="005632AA"/>
    <w:rsid w:val="0056409C"/>
    <w:rsid w:val="005641A8"/>
    <w:rsid w:val="00564E8F"/>
    <w:rsid w:val="00565116"/>
    <w:rsid w:val="00566DA8"/>
    <w:rsid w:val="00570E77"/>
    <w:rsid w:val="00573C72"/>
    <w:rsid w:val="00574C95"/>
    <w:rsid w:val="00574FB3"/>
    <w:rsid w:val="00577167"/>
    <w:rsid w:val="00581C7E"/>
    <w:rsid w:val="00582449"/>
    <w:rsid w:val="00582FC4"/>
    <w:rsid w:val="00583F62"/>
    <w:rsid w:val="00584E26"/>
    <w:rsid w:val="00587762"/>
    <w:rsid w:val="00597A7F"/>
    <w:rsid w:val="005A0B8C"/>
    <w:rsid w:val="005B066D"/>
    <w:rsid w:val="005B0EA5"/>
    <w:rsid w:val="005B2FEC"/>
    <w:rsid w:val="005B7585"/>
    <w:rsid w:val="005B775D"/>
    <w:rsid w:val="005C4A8E"/>
    <w:rsid w:val="005D2833"/>
    <w:rsid w:val="005D6E8B"/>
    <w:rsid w:val="005E0186"/>
    <w:rsid w:val="005E20D0"/>
    <w:rsid w:val="005E339C"/>
    <w:rsid w:val="005E70E7"/>
    <w:rsid w:val="005E7923"/>
    <w:rsid w:val="005E7DAF"/>
    <w:rsid w:val="005F6045"/>
    <w:rsid w:val="005F75A8"/>
    <w:rsid w:val="005F7C6F"/>
    <w:rsid w:val="0060170A"/>
    <w:rsid w:val="0060349F"/>
    <w:rsid w:val="006053B6"/>
    <w:rsid w:val="00605766"/>
    <w:rsid w:val="006162D5"/>
    <w:rsid w:val="00620070"/>
    <w:rsid w:val="00620CBF"/>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4046"/>
    <w:rsid w:val="006574D6"/>
    <w:rsid w:val="00660864"/>
    <w:rsid w:val="00664690"/>
    <w:rsid w:val="00664C74"/>
    <w:rsid w:val="00666041"/>
    <w:rsid w:val="00671AC5"/>
    <w:rsid w:val="00671DEA"/>
    <w:rsid w:val="0067289D"/>
    <w:rsid w:val="00683436"/>
    <w:rsid w:val="00683585"/>
    <w:rsid w:val="006845FA"/>
    <w:rsid w:val="006863D5"/>
    <w:rsid w:val="006869AE"/>
    <w:rsid w:val="006941C5"/>
    <w:rsid w:val="00694D09"/>
    <w:rsid w:val="00697B78"/>
    <w:rsid w:val="006A7179"/>
    <w:rsid w:val="006B04FF"/>
    <w:rsid w:val="006B1F0D"/>
    <w:rsid w:val="006B5A98"/>
    <w:rsid w:val="006B66E3"/>
    <w:rsid w:val="006B6C22"/>
    <w:rsid w:val="006C2992"/>
    <w:rsid w:val="006C3215"/>
    <w:rsid w:val="006C4724"/>
    <w:rsid w:val="006C5225"/>
    <w:rsid w:val="006C7DD0"/>
    <w:rsid w:val="006D0BE6"/>
    <w:rsid w:val="006D2130"/>
    <w:rsid w:val="006D2A19"/>
    <w:rsid w:val="006D3EE0"/>
    <w:rsid w:val="006D5A72"/>
    <w:rsid w:val="006D629B"/>
    <w:rsid w:val="006E1BA8"/>
    <w:rsid w:val="006E5424"/>
    <w:rsid w:val="006E5BFE"/>
    <w:rsid w:val="006E73D2"/>
    <w:rsid w:val="006F031B"/>
    <w:rsid w:val="006F0B11"/>
    <w:rsid w:val="006F395D"/>
    <w:rsid w:val="006F417A"/>
    <w:rsid w:val="006F4507"/>
    <w:rsid w:val="006F57FC"/>
    <w:rsid w:val="006F64A0"/>
    <w:rsid w:val="007016D8"/>
    <w:rsid w:val="00704DBF"/>
    <w:rsid w:val="007050BA"/>
    <w:rsid w:val="0071393C"/>
    <w:rsid w:val="00717A94"/>
    <w:rsid w:val="007232A5"/>
    <w:rsid w:val="0072474B"/>
    <w:rsid w:val="00726B3B"/>
    <w:rsid w:val="00726F5A"/>
    <w:rsid w:val="00730789"/>
    <w:rsid w:val="00732580"/>
    <w:rsid w:val="00732B6F"/>
    <w:rsid w:val="00732C0C"/>
    <w:rsid w:val="007353F9"/>
    <w:rsid w:val="00735ECC"/>
    <w:rsid w:val="007405AA"/>
    <w:rsid w:val="00743499"/>
    <w:rsid w:val="00744A11"/>
    <w:rsid w:val="0074513A"/>
    <w:rsid w:val="00750A27"/>
    <w:rsid w:val="00750BB6"/>
    <w:rsid w:val="0075253A"/>
    <w:rsid w:val="00754E19"/>
    <w:rsid w:val="00755AA9"/>
    <w:rsid w:val="007634CB"/>
    <w:rsid w:val="00763715"/>
    <w:rsid w:val="007710A0"/>
    <w:rsid w:val="007778CF"/>
    <w:rsid w:val="00777DAC"/>
    <w:rsid w:val="0078076A"/>
    <w:rsid w:val="00780FBA"/>
    <w:rsid w:val="0078157F"/>
    <w:rsid w:val="007822FB"/>
    <w:rsid w:val="007833CB"/>
    <w:rsid w:val="00784CF9"/>
    <w:rsid w:val="007A0E5C"/>
    <w:rsid w:val="007A1D39"/>
    <w:rsid w:val="007A7F07"/>
    <w:rsid w:val="007B275D"/>
    <w:rsid w:val="007B303B"/>
    <w:rsid w:val="007B3B1C"/>
    <w:rsid w:val="007B5AA3"/>
    <w:rsid w:val="007C0D4C"/>
    <w:rsid w:val="007C57A8"/>
    <w:rsid w:val="007D0CA3"/>
    <w:rsid w:val="007D2528"/>
    <w:rsid w:val="007D7791"/>
    <w:rsid w:val="007D7C74"/>
    <w:rsid w:val="007E32CB"/>
    <w:rsid w:val="007E48AD"/>
    <w:rsid w:val="007E4EDC"/>
    <w:rsid w:val="007E7499"/>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61FC"/>
    <w:rsid w:val="008208A7"/>
    <w:rsid w:val="00824CB2"/>
    <w:rsid w:val="008268F9"/>
    <w:rsid w:val="008273FA"/>
    <w:rsid w:val="00832D34"/>
    <w:rsid w:val="008330F5"/>
    <w:rsid w:val="008333D8"/>
    <w:rsid w:val="008349BD"/>
    <w:rsid w:val="00836768"/>
    <w:rsid w:val="00836849"/>
    <w:rsid w:val="008376F8"/>
    <w:rsid w:val="00841DE5"/>
    <w:rsid w:val="00842D0D"/>
    <w:rsid w:val="00842EEE"/>
    <w:rsid w:val="00844BE5"/>
    <w:rsid w:val="0084519D"/>
    <w:rsid w:val="00855278"/>
    <w:rsid w:val="008576D4"/>
    <w:rsid w:val="00857B78"/>
    <w:rsid w:val="00861527"/>
    <w:rsid w:val="00862B47"/>
    <w:rsid w:val="00862C1A"/>
    <w:rsid w:val="008630DF"/>
    <w:rsid w:val="008651F9"/>
    <w:rsid w:val="00870284"/>
    <w:rsid w:val="0087462B"/>
    <w:rsid w:val="008763B3"/>
    <w:rsid w:val="008765DE"/>
    <w:rsid w:val="008842E7"/>
    <w:rsid w:val="008847CD"/>
    <w:rsid w:val="00891B24"/>
    <w:rsid w:val="008A0AE3"/>
    <w:rsid w:val="008A302A"/>
    <w:rsid w:val="008A3A14"/>
    <w:rsid w:val="008A3EEE"/>
    <w:rsid w:val="008A51D9"/>
    <w:rsid w:val="008A708E"/>
    <w:rsid w:val="008A77E3"/>
    <w:rsid w:val="008B17F4"/>
    <w:rsid w:val="008B29A5"/>
    <w:rsid w:val="008B3C53"/>
    <w:rsid w:val="008B3D16"/>
    <w:rsid w:val="008C114C"/>
    <w:rsid w:val="008C2075"/>
    <w:rsid w:val="008C27DA"/>
    <w:rsid w:val="008C522A"/>
    <w:rsid w:val="008D3115"/>
    <w:rsid w:val="008D6691"/>
    <w:rsid w:val="008D799D"/>
    <w:rsid w:val="008E0DF1"/>
    <w:rsid w:val="008E3142"/>
    <w:rsid w:val="008E4B79"/>
    <w:rsid w:val="008E5DA7"/>
    <w:rsid w:val="008E6AF9"/>
    <w:rsid w:val="008E722E"/>
    <w:rsid w:val="008F2130"/>
    <w:rsid w:val="008F4CCF"/>
    <w:rsid w:val="00900450"/>
    <w:rsid w:val="00903256"/>
    <w:rsid w:val="0090619B"/>
    <w:rsid w:val="00906C92"/>
    <w:rsid w:val="00906CBF"/>
    <w:rsid w:val="009110D1"/>
    <w:rsid w:val="00913200"/>
    <w:rsid w:val="00915F8D"/>
    <w:rsid w:val="00915FB0"/>
    <w:rsid w:val="00917ADE"/>
    <w:rsid w:val="00917DBD"/>
    <w:rsid w:val="009230E2"/>
    <w:rsid w:val="00930029"/>
    <w:rsid w:val="00930425"/>
    <w:rsid w:val="0093112A"/>
    <w:rsid w:val="009324E9"/>
    <w:rsid w:val="00933199"/>
    <w:rsid w:val="00936354"/>
    <w:rsid w:val="009376A0"/>
    <w:rsid w:val="00940811"/>
    <w:rsid w:val="00942F13"/>
    <w:rsid w:val="0094600E"/>
    <w:rsid w:val="00951D67"/>
    <w:rsid w:val="009603C1"/>
    <w:rsid w:val="00965082"/>
    <w:rsid w:val="00973C62"/>
    <w:rsid w:val="009742BF"/>
    <w:rsid w:val="00976F99"/>
    <w:rsid w:val="0098532A"/>
    <w:rsid w:val="00986A5A"/>
    <w:rsid w:val="00990C9A"/>
    <w:rsid w:val="00993784"/>
    <w:rsid w:val="00993EDE"/>
    <w:rsid w:val="009949CD"/>
    <w:rsid w:val="009955EE"/>
    <w:rsid w:val="00995ABD"/>
    <w:rsid w:val="00996EAC"/>
    <w:rsid w:val="009971A0"/>
    <w:rsid w:val="009A1A7D"/>
    <w:rsid w:val="009A23B7"/>
    <w:rsid w:val="009A300F"/>
    <w:rsid w:val="009A3AD8"/>
    <w:rsid w:val="009A7C87"/>
    <w:rsid w:val="009B2917"/>
    <w:rsid w:val="009B299F"/>
    <w:rsid w:val="009C2A6F"/>
    <w:rsid w:val="009C40F0"/>
    <w:rsid w:val="009C5872"/>
    <w:rsid w:val="009D1532"/>
    <w:rsid w:val="009D4D95"/>
    <w:rsid w:val="009E1606"/>
    <w:rsid w:val="009E1E8C"/>
    <w:rsid w:val="009E22E6"/>
    <w:rsid w:val="009E28B2"/>
    <w:rsid w:val="009E314A"/>
    <w:rsid w:val="009E4F86"/>
    <w:rsid w:val="009E63ED"/>
    <w:rsid w:val="009E67A1"/>
    <w:rsid w:val="009E7DFB"/>
    <w:rsid w:val="009F0F43"/>
    <w:rsid w:val="009F4230"/>
    <w:rsid w:val="00A03ABC"/>
    <w:rsid w:val="00A0770B"/>
    <w:rsid w:val="00A078BF"/>
    <w:rsid w:val="00A155C9"/>
    <w:rsid w:val="00A201EF"/>
    <w:rsid w:val="00A215F6"/>
    <w:rsid w:val="00A23060"/>
    <w:rsid w:val="00A236B3"/>
    <w:rsid w:val="00A25FCD"/>
    <w:rsid w:val="00A34D95"/>
    <w:rsid w:val="00A35519"/>
    <w:rsid w:val="00A361B2"/>
    <w:rsid w:val="00A40E7A"/>
    <w:rsid w:val="00A42AAB"/>
    <w:rsid w:val="00A43E73"/>
    <w:rsid w:val="00A44626"/>
    <w:rsid w:val="00A460E2"/>
    <w:rsid w:val="00A46840"/>
    <w:rsid w:val="00A47EFE"/>
    <w:rsid w:val="00A50D8E"/>
    <w:rsid w:val="00A52E7E"/>
    <w:rsid w:val="00A5794D"/>
    <w:rsid w:val="00A618B0"/>
    <w:rsid w:val="00A66FD5"/>
    <w:rsid w:val="00A676A3"/>
    <w:rsid w:val="00A71685"/>
    <w:rsid w:val="00A74DFC"/>
    <w:rsid w:val="00A750E9"/>
    <w:rsid w:val="00A760B9"/>
    <w:rsid w:val="00A80603"/>
    <w:rsid w:val="00A87143"/>
    <w:rsid w:val="00A879C0"/>
    <w:rsid w:val="00A87CC1"/>
    <w:rsid w:val="00A95771"/>
    <w:rsid w:val="00A96044"/>
    <w:rsid w:val="00A9793D"/>
    <w:rsid w:val="00AA07E3"/>
    <w:rsid w:val="00AA0FC2"/>
    <w:rsid w:val="00AA12CA"/>
    <w:rsid w:val="00AA2694"/>
    <w:rsid w:val="00AB16DA"/>
    <w:rsid w:val="00AB36CF"/>
    <w:rsid w:val="00AB7E4B"/>
    <w:rsid w:val="00AC320B"/>
    <w:rsid w:val="00AC3CAE"/>
    <w:rsid w:val="00AC61E2"/>
    <w:rsid w:val="00AC67D3"/>
    <w:rsid w:val="00AC6A97"/>
    <w:rsid w:val="00AD1760"/>
    <w:rsid w:val="00AD210E"/>
    <w:rsid w:val="00AD5E69"/>
    <w:rsid w:val="00AD7649"/>
    <w:rsid w:val="00AD7ADD"/>
    <w:rsid w:val="00AE090B"/>
    <w:rsid w:val="00AE0C2D"/>
    <w:rsid w:val="00AE3388"/>
    <w:rsid w:val="00AE51B1"/>
    <w:rsid w:val="00AF1A26"/>
    <w:rsid w:val="00AF26DD"/>
    <w:rsid w:val="00AF2C0F"/>
    <w:rsid w:val="00AF35E5"/>
    <w:rsid w:val="00AF4D25"/>
    <w:rsid w:val="00B01601"/>
    <w:rsid w:val="00B0180D"/>
    <w:rsid w:val="00B07ED9"/>
    <w:rsid w:val="00B11119"/>
    <w:rsid w:val="00B15DE3"/>
    <w:rsid w:val="00B2538A"/>
    <w:rsid w:val="00B32249"/>
    <w:rsid w:val="00B36320"/>
    <w:rsid w:val="00B37654"/>
    <w:rsid w:val="00B40DA1"/>
    <w:rsid w:val="00B46004"/>
    <w:rsid w:val="00B4629A"/>
    <w:rsid w:val="00B527AA"/>
    <w:rsid w:val="00B53737"/>
    <w:rsid w:val="00B60AF4"/>
    <w:rsid w:val="00B62757"/>
    <w:rsid w:val="00B62869"/>
    <w:rsid w:val="00B65B79"/>
    <w:rsid w:val="00B67A28"/>
    <w:rsid w:val="00B7076F"/>
    <w:rsid w:val="00B71887"/>
    <w:rsid w:val="00B7333D"/>
    <w:rsid w:val="00B73C0B"/>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6609"/>
    <w:rsid w:val="00BA74CA"/>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D675D"/>
    <w:rsid w:val="00BE0280"/>
    <w:rsid w:val="00BE2210"/>
    <w:rsid w:val="00BE323B"/>
    <w:rsid w:val="00BE3A86"/>
    <w:rsid w:val="00BE3D27"/>
    <w:rsid w:val="00BE3F08"/>
    <w:rsid w:val="00BF15F6"/>
    <w:rsid w:val="00BF4FF8"/>
    <w:rsid w:val="00BF5EBB"/>
    <w:rsid w:val="00BF6B5B"/>
    <w:rsid w:val="00BF6BA1"/>
    <w:rsid w:val="00C00668"/>
    <w:rsid w:val="00C020FA"/>
    <w:rsid w:val="00C03935"/>
    <w:rsid w:val="00C11255"/>
    <w:rsid w:val="00C17894"/>
    <w:rsid w:val="00C2049A"/>
    <w:rsid w:val="00C204DE"/>
    <w:rsid w:val="00C214C1"/>
    <w:rsid w:val="00C25872"/>
    <w:rsid w:val="00C26381"/>
    <w:rsid w:val="00C32256"/>
    <w:rsid w:val="00C34C6E"/>
    <w:rsid w:val="00C37918"/>
    <w:rsid w:val="00C44C0D"/>
    <w:rsid w:val="00C46B59"/>
    <w:rsid w:val="00C47D95"/>
    <w:rsid w:val="00C5006F"/>
    <w:rsid w:val="00C511EF"/>
    <w:rsid w:val="00C53573"/>
    <w:rsid w:val="00C54ED3"/>
    <w:rsid w:val="00C60B7F"/>
    <w:rsid w:val="00C610C3"/>
    <w:rsid w:val="00C70019"/>
    <w:rsid w:val="00C74328"/>
    <w:rsid w:val="00C743C2"/>
    <w:rsid w:val="00C74693"/>
    <w:rsid w:val="00C74C78"/>
    <w:rsid w:val="00C80959"/>
    <w:rsid w:val="00C821E5"/>
    <w:rsid w:val="00C87A37"/>
    <w:rsid w:val="00C9104F"/>
    <w:rsid w:val="00C92BDA"/>
    <w:rsid w:val="00C92F2A"/>
    <w:rsid w:val="00C9408E"/>
    <w:rsid w:val="00C97C2A"/>
    <w:rsid w:val="00CA270F"/>
    <w:rsid w:val="00CA554E"/>
    <w:rsid w:val="00CB4BB7"/>
    <w:rsid w:val="00CB4C80"/>
    <w:rsid w:val="00CB7FD7"/>
    <w:rsid w:val="00CC2B62"/>
    <w:rsid w:val="00CC4BC2"/>
    <w:rsid w:val="00CC5A2C"/>
    <w:rsid w:val="00CD0242"/>
    <w:rsid w:val="00CD1D19"/>
    <w:rsid w:val="00CD2F35"/>
    <w:rsid w:val="00CD6C88"/>
    <w:rsid w:val="00CE450F"/>
    <w:rsid w:val="00CF1FD6"/>
    <w:rsid w:val="00CF2EA0"/>
    <w:rsid w:val="00CF2FAD"/>
    <w:rsid w:val="00CF4345"/>
    <w:rsid w:val="00CF6F1B"/>
    <w:rsid w:val="00D131CC"/>
    <w:rsid w:val="00D13C31"/>
    <w:rsid w:val="00D1448F"/>
    <w:rsid w:val="00D159BE"/>
    <w:rsid w:val="00D22D12"/>
    <w:rsid w:val="00D235CC"/>
    <w:rsid w:val="00D2633B"/>
    <w:rsid w:val="00D325D1"/>
    <w:rsid w:val="00D32D4E"/>
    <w:rsid w:val="00D336E0"/>
    <w:rsid w:val="00D37D7C"/>
    <w:rsid w:val="00D50626"/>
    <w:rsid w:val="00D60DCA"/>
    <w:rsid w:val="00D622DA"/>
    <w:rsid w:val="00D70D75"/>
    <w:rsid w:val="00D7181B"/>
    <w:rsid w:val="00D72C12"/>
    <w:rsid w:val="00D751F7"/>
    <w:rsid w:val="00D759C6"/>
    <w:rsid w:val="00D800C5"/>
    <w:rsid w:val="00D81B09"/>
    <w:rsid w:val="00D83A27"/>
    <w:rsid w:val="00D84024"/>
    <w:rsid w:val="00D95A0F"/>
    <w:rsid w:val="00DA35E1"/>
    <w:rsid w:val="00DA623F"/>
    <w:rsid w:val="00DC0168"/>
    <w:rsid w:val="00DC03BB"/>
    <w:rsid w:val="00DC3C9A"/>
    <w:rsid w:val="00DC669A"/>
    <w:rsid w:val="00DD5E1F"/>
    <w:rsid w:val="00DD73C1"/>
    <w:rsid w:val="00DD7697"/>
    <w:rsid w:val="00DE1FEB"/>
    <w:rsid w:val="00DE4223"/>
    <w:rsid w:val="00DE423E"/>
    <w:rsid w:val="00DE52A4"/>
    <w:rsid w:val="00DF654A"/>
    <w:rsid w:val="00DF782D"/>
    <w:rsid w:val="00DF79CC"/>
    <w:rsid w:val="00E10345"/>
    <w:rsid w:val="00E10819"/>
    <w:rsid w:val="00E10C0E"/>
    <w:rsid w:val="00E11762"/>
    <w:rsid w:val="00E13EDD"/>
    <w:rsid w:val="00E140BF"/>
    <w:rsid w:val="00E15CAE"/>
    <w:rsid w:val="00E16BC6"/>
    <w:rsid w:val="00E1774B"/>
    <w:rsid w:val="00E20DF8"/>
    <w:rsid w:val="00E27656"/>
    <w:rsid w:val="00E308B8"/>
    <w:rsid w:val="00E4124D"/>
    <w:rsid w:val="00E44353"/>
    <w:rsid w:val="00E45413"/>
    <w:rsid w:val="00E52A48"/>
    <w:rsid w:val="00E613A5"/>
    <w:rsid w:val="00E624CB"/>
    <w:rsid w:val="00E63295"/>
    <w:rsid w:val="00E64324"/>
    <w:rsid w:val="00E66927"/>
    <w:rsid w:val="00E671C3"/>
    <w:rsid w:val="00E71E47"/>
    <w:rsid w:val="00E7553E"/>
    <w:rsid w:val="00E76DAD"/>
    <w:rsid w:val="00E76ECF"/>
    <w:rsid w:val="00E80CA5"/>
    <w:rsid w:val="00E83B14"/>
    <w:rsid w:val="00E8481C"/>
    <w:rsid w:val="00E855E3"/>
    <w:rsid w:val="00E8776B"/>
    <w:rsid w:val="00E877ED"/>
    <w:rsid w:val="00E87F1E"/>
    <w:rsid w:val="00E91831"/>
    <w:rsid w:val="00E93CB4"/>
    <w:rsid w:val="00EA155E"/>
    <w:rsid w:val="00EA1D7B"/>
    <w:rsid w:val="00EA440D"/>
    <w:rsid w:val="00EA725B"/>
    <w:rsid w:val="00EB4615"/>
    <w:rsid w:val="00EB74A6"/>
    <w:rsid w:val="00EB7F04"/>
    <w:rsid w:val="00EC1824"/>
    <w:rsid w:val="00EC2D3C"/>
    <w:rsid w:val="00EC73B3"/>
    <w:rsid w:val="00ED0C09"/>
    <w:rsid w:val="00ED66BC"/>
    <w:rsid w:val="00EE03EE"/>
    <w:rsid w:val="00EE42AF"/>
    <w:rsid w:val="00EE5403"/>
    <w:rsid w:val="00EE5D52"/>
    <w:rsid w:val="00EF043B"/>
    <w:rsid w:val="00EF237E"/>
    <w:rsid w:val="00EF23DF"/>
    <w:rsid w:val="00EF2575"/>
    <w:rsid w:val="00F0780D"/>
    <w:rsid w:val="00F141E5"/>
    <w:rsid w:val="00F16D65"/>
    <w:rsid w:val="00F17B83"/>
    <w:rsid w:val="00F20790"/>
    <w:rsid w:val="00F2351B"/>
    <w:rsid w:val="00F32B29"/>
    <w:rsid w:val="00F37956"/>
    <w:rsid w:val="00F41597"/>
    <w:rsid w:val="00F4296D"/>
    <w:rsid w:val="00F46396"/>
    <w:rsid w:val="00F53B8A"/>
    <w:rsid w:val="00F53FDC"/>
    <w:rsid w:val="00F55118"/>
    <w:rsid w:val="00F551AD"/>
    <w:rsid w:val="00F56E8C"/>
    <w:rsid w:val="00F5768E"/>
    <w:rsid w:val="00F61308"/>
    <w:rsid w:val="00F61547"/>
    <w:rsid w:val="00F619F6"/>
    <w:rsid w:val="00F625A9"/>
    <w:rsid w:val="00F673F0"/>
    <w:rsid w:val="00F7163B"/>
    <w:rsid w:val="00F721F0"/>
    <w:rsid w:val="00F7476C"/>
    <w:rsid w:val="00F76D5B"/>
    <w:rsid w:val="00F83300"/>
    <w:rsid w:val="00F868B9"/>
    <w:rsid w:val="00F8796D"/>
    <w:rsid w:val="00F912B1"/>
    <w:rsid w:val="00F91942"/>
    <w:rsid w:val="00F91C7B"/>
    <w:rsid w:val="00F93B0E"/>
    <w:rsid w:val="00F93BEE"/>
    <w:rsid w:val="00F948D4"/>
    <w:rsid w:val="00F94A49"/>
    <w:rsid w:val="00F96305"/>
    <w:rsid w:val="00F9660B"/>
    <w:rsid w:val="00F97147"/>
    <w:rsid w:val="00FA0AF2"/>
    <w:rsid w:val="00FA6626"/>
    <w:rsid w:val="00FB033D"/>
    <w:rsid w:val="00FB0DAB"/>
    <w:rsid w:val="00FB3AE9"/>
    <w:rsid w:val="00FB79C9"/>
    <w:rsid w:val="00FC0076"/>
    <w:rsid w:val="00FC1156"/>
    <w:rsid w:val="00FC342C"/>
    <w:rsid w:val="00FD072F"/>
    <w:rsid w:val="00FD13E3"/>
    <w:rsid w:val="00FD5516"/>
    <w:rsid w:val="00FD6D44"/>
    <w:rsid w:val="00FD72D9"/>
    <w:rsid w:val="00FD7366"/>
    <w:rsid w:val="00FE7C65"/>
    <w:rsid w:val="00FF2267"/>
    <w:rsid w:val="00FF4009"/>
    <w:rsid w:val="00FF49EB"/>
    <w:rsid w:val="00FF4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customStyle="1" w:styleId="Body1">
    <w:name w:val="Body1"/>
    <w:basedOn w:val="Normal"/>
    <w:rsid w:val="00C11255"/>
    <w:pPr>
      <w:ind w:left="720"/>
    </w:pPr>
  </w:style>
  <w:style w:type="paragraph" w:customStyle="1" w:styleId="Body2">
    <w:name w:val="Body2"/>
    <w:basedOn w:val="Normal"/>
    <w:rsid w:val="00C11255"/>
    <w:pPr>
      <w:ind w:left="1440"/>
    </w:pPr>
  </w:style>
  <w:style w:type="paragraph" w:customStyle="1" w:styleId="Body3">
    <w:name w:val="Body3"/>
    <w:basedOn w:val="Normal"/>
    <w:rsid w:val="00C11255"/>
    <w:pPr>
      <w:ind w:left="2404"/>
    </w:pPr>
  </w:style>
  <w:style w:type="paragraph" w:customStyle="1" w:styleId="Body4">
    <w:name w:val="Body4"/>
    <w:basedOn w:val="Normal"/>
    <w:rsid w:val="00C11255"/>
    <w:pPr>
      <w:ind w:left="3617"/>
    </w:pPr>
  </w:style>
  <w:style w:type="paragraph" w:customStyle="1" w:styleId="Body5">
    <w:name w:val="Body5"/>
    <w:basedOn w:val="Normal"/>
    <w:rsid w:val="00C11255"/>
    <w:pPr>
      <w:ind w:left="4349"/>
    </w:pPr>
  </w:style>
  <w:style w:type="paragraph" w:styleId="BodyTextIndent">
    <w:name w:val="Body Text Indent"/>
    <w:basedOn w:val="Normal"/>
    <w:rsid w:val="00C11255"/>
    <w:pPr>
      <w:ind w:left="709"/>
    </w:pPr>
  </w:style>
  <w:style w:type="paragraph" w:customStyle="1" w:styleId="Body6">
    <w:name w:val="Body6"/>
    <w:basedOn w:val="Normal"/>
    <w:rsid w:val="00C11255"/>
    <w:pPr>
      <w:ind w:left="5058"/>
    </w:pPr>
  </w:style>
  <w:style w:type="paragraph" w:customStyle="1" w:styleId="Body7">
    <w:name w:val="Body7"/>
    <w:basedOn w:val="Normal"/>
    <w:rsid w:val="00C11255"/>
    <w:pPr>
      <w:ind w:left="5761"/>
    </w:pPr>
  </w:style>
  <w:style w:type="paragraph" w:customStyle="1" w:styleId="Body8">
    <w:name w:val="Body8"/>
    <w:basedOn w:val="Normal"/>
    <w:rsid w:val="00C11255"/>
    <w:pPr>
      <w:ind w:left="6447"/>
    </w:pPr>
  </w:style>
  <w:style w:type="paragraph" w:customStyle="1" w:styleId="Body9">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customStyle="1" w:styleId="DocSpace">
    <w:name w:val="DocSpace"/>
    <w:basedOn w:val="Normal"/>
    <w:rsid w:val="00C11255"/>
  </w:style>
  <w:style w:type="paragraph" w:customStyle="1" w:styleId="SchTitle">
    <w:name w:val="Sch Title"/>
    <w:next w:val="Normal"/>
    <w:rsid w:val="00C11255"/>
    <w:pPr>
      <w:keepNext/>
      <w:spacing w:before="240" w:after="60"/>
      <w:jc w:val="center"/>
    </w:pPr>
    <w:rPr>
      <w:rFonts w:ascii="Arial" w:hAnsi="Arial"/>
      <w:b/>
      <w:noProof/>
      <w:lang w:eastAsia="en-US"/>
    </w:rPr>
  </w:style>
  <w:style w:type="paragraph" w:customStyle="1" w:styleId="SchedClauses">
    <w:name w:val="Sched Clauses"/>
    <w:basedOn w:val="Normal"/>
    <w:rsid w:val="00C11255"/>
  </w:style>
  <w:style w:type="paragraph" w:customStyle="1" w:styleId="STBody">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customStyle="1" w:styleId="SingleSpace">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customStyle="1" w:styleId="Default">
    <w:name w:val="Default"/>
    <w:rsid w:val="005E70E7"/>
    <w:pPr>
      <w:autoSpaceDE w:val="0"/>
      <w:autoSpaceDN w:val="0"/>
      <w:adjustRightInd w:val="0"/>
    </w:pPr>
    <w:rPr>
      <w:rFonts w:ascii="Arial" w:hAnsi="Arial" w:cs="Arial"/>
      <w:color w:val="000000"/>
      <w:sz w:val="24"/>
      <w:szCs w:val="24"/>
    </w:rPr>
  </w:style>
  <w:style w:type="paragraph" w:customStyle="1" w:styleId="Paragraph">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uiPriority w:val="99"/>
    <w:semiHidden/>
    <w:unhideWhenUsed/>
    <w:rsid w:val="000329FE"/>
    <w:rPr>
      <w:sz w:val="16"/>
      <w:szCs w:val="16"/>
    </w:rPr>
  </w:style>
  <w:style w:type="paragraph" w:styleId="CommentText">
    <w:name w:val="annotation text"/>
    <w:basedOn w:val="Normal"/>
    <w:link w:val="CommentTextChar"/>
    <w:unhideWhenUsed/>
    <w:qFormat/>
    <w:rsid w:val="000329FE"/>
    <w:pPr>
      <w:spacing w:line="240" w:lineRule="auto"/>
    </w:pPr>
  </w:style>
  <w:style w:type="character" w:customStyle="1" w:styleId="CommentTextChar">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customStyle="1" w:styleId="CommentSubjectChar">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customStyle="1" w:styleId="FootnoteTextChar">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customStyle="1" w:styleId="NICEnormalChar">
    <w:name w:val="NICE normal Char"/>
    <w:basedOn w:val="DefaultParagraphFont"/>
    <w:link w:val="NICEnormal"/>
    <w:locked/>
    <w:rsid w:val="00B94A47"/>
    <w:rPr>
      <w:rFonts w:ascii="Arial" w:hAnsi="Arial" w:cs="Arial"/>
      <w:lang w:eastAsia="en-US"/>
    </w:rPr>
  </w:style>
  <w:style w:type="paragraph" w:customStyle="1" w:styleId="NICEnormal">
    <w:name w:val="NICE normal"/>
    <w:basedOn w:val="Normal"/>
    <w:link w:val="NICEnormalChar"/>
    <w:rsid w:val="00B94A47"/>
    <w:pPr>
      <w:spacing w:after="240" w:line="360" w:lineRule="auto"/>
    </w:pPr>
    <w:rPr>
      <w:rFonts w:cs="Arial"/>
      <w:color w:val="auto"/>
    </w:rPr>
  </w:style>
  <w:style w:type="character" w:customStyle="1" w:styleId="HeaderChar">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527671173">
      <w:bodyDiv w:val="1"/>
      <w:marLeft w:val="0"/>
      <w:marRight w:val="0"/>
      <w:marTop w:val="0"/>
      <w:marBottom w:val="0"/>
      <w:divBdr>
        <w:top w:val="none" w:sz="0" w:space="0" w:color="auto"/>
        <w:left w:val="none" w:sz="0" w:space="0" w:color="auto"/>
        <w:bottom w:val="none" w:sz="0" w:space="0" w:color="auto"/>
        <w:right w:val="none" w:sz="0" w:space="0" w:color="auto"/>
      </w:divBdr>
      <w:divsChild>
        <w:div w:id="1381368354">
          <w:marLeft w:val="0"/>
          <w:marRight w:val="0"/>
          <w:marTop w:val="0"/>
          <w:marBottom w:val="0"/>
          <w:divBdr>
            <w:top w:val="none" w:sz="0" w:space="0" w:color="auto"/>
            <w:left w:val="none" w:sz="0" w:space="0" w:color="auto"/>
            <w:bottom w:val="none" w:sz="0" w:space="0" w:color="auto"/>
            <w:right w:val="none" w:sz="0" w:space="0" w:color="auto"/>
          </w:divBdr>
          <w:divsChild>
            <w:div w:id="1115905469">
              <w:marLeft w:val="0"/>
              <w:marRight w:val="0"/>
              <w:marTop w:val="0"/>
              <w:marBottom w:val="0"/>
              <w:divBdr>
                <w:top w:val="none" w:sz="0" w:space="0" w:color="auto"/>
                <w:left w:val="none" w:sz="0" w:space="0" w:color="auto"/>
                <w:bottom w:val="none" w:sz="0" w:space="0" w:color="auto"/>
                <w:right w:val="none" w:sz="0" w:space="0" w:color="auto"/>
              </w:divBdr>
              <w:divsChild>
                <w:div w:id="18667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08946877">
      <w:bodyDiv w:val="1"/>
      <w:marLeft w:val="0"/>
      <w:marRight w:val="0"/>
      <w:marTop w:val="0"/>
      <w:marBottom w:val="0"/>
      <w:divBdr>
        <w:top w:val="none" w:sz="0" w:space="0" w:color="auto"/>
        <w:left w:val="none" w:sz="0" w:space="0" w:color="auto"/>
        <w:bottom w:val="none" w:sz="0" w:space="0" w:color="auto"/>
        <w:right w:val="none" w:sz="0" w:space="0" w:color="auto"/>
      </w:divBdr>
      <w:divsChild>
        <w:div w:id="1873225784">
          <w:marLeft w:val="0"/>
          <w:marRight w:val="0"/>
          <w:marTop w:val="0"/>
          <w:marBottom w:val="0"/>
          <w:divBdr>
            <w:top w:val="none" w:sz="0" w:space="0" w:color="auto"/>
            <w:left w:val="none" w:sz="0" w:space="0" w:color="auto"/>
            <w:bottom w:val="none" w:sz="0" w:space="0" w:color="auto"/>
            <w:right w:val="none" w:sz="0" w:space="0" w:color="auto"/>
          </w:divBdr>
          <w:divsChild>
            <w:div w:id="995767176">
              <w:marLeft w:val="0"/>
              <w:marRight w:val="0"/>
              <w:marTop w:val="0"/>
              <w:marBottom w:val="0"/>
              <w:divBdr>
                <w:top w:val="none" w:sz="0" w:space="0" w:color="auto"/>
                <w:left w:val="none" w:sz="0" w:space="0" w:color="auto"/>
                <w:bottom w:val="none" w:sz="0" w:space="0" w:color="auto"/>
                <w:right w:val="none" w:sz="0" w:space="0" w:color="auto"/>
              </w:divBdr>
              <w:divsChild>
                <w:div w:id="76981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peals@nic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peals@nice.org.uk"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B5916-520C-4605-8C23-F8A8B92BA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2412</Words>
  <Characters>12457</Characters>
  <Application>Microsoft Office Word</Application>
  <DocSecurity>0</DocSecurity>
  <Lines>103</Lines>
  <Paragraphs>29</Paragraphs>
  <ScaleCrop>false</ScaleCrop>
  <Company/>
  <LinksUpToDate>false</LinksUpToDate>
  <CharactersWithSpaces>14840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Coombs</dc:creator>
  <cp:lastModifiedBy>Lyn Davies</cp:lastModifiedBy>
  <cp:revision>9</cp:revision>
  <cp:lastPrinted>2023-07-06T14:26:00Z</cp:lastPrinted>
  <dcterms:created xsi:type="dcterms:W3CDTF">2023-07-06T14:07:00Z</dcterms:created>
  <dcterms:modified xsi:type="dcterms:W3CDTF">2023-08-30T15:29:00Z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2023-07-06T11:08:56Z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de91138c-cd1f-433a-aff3-5a5a6a7b2bd0</vt:lpwstr>
  </property>
  <property fmtid="{D5CDD505-2E9C-101B-9397-08002B2CF9AE}" pid="8" name="MSIP_Label_c69d85d5-6d9e-4305-a294-1f636ec0f2d6_ContentBits">
    <vt:lpwstr>0</vt:lpwstr>
  </property>
</Properties>
</file>