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2ED4" w14:textId="77777777"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6FEB5514" w14:textId="38E971B6" w:rsidR="00443081" w:rsidRDefault="00D1140F" w:rsidP="00D71447">
      <w:pPr>
        <w:pStyle w:val="Title"/>
        <w:tabs>
          <w:tab w:val="center" w:pos="4513"/>
          <w:tab w:val="left" w:pos="7350"/>
        </w:tabs>
      </w:pPr>
      <w:r w:rsidRPr="00D1140F">
        <w:t>Ravulizumab for treating AQP4 antibody-positive neuromyelitis optica [ID 5105]</w:t>
      </w:r>
    </w:p>
    <w:p w14:paraId="322BC6D8" w14:textId="77777777" w:rsidR="0053717B" w:rsidRDefault="0053717B" w:rsidP="00F90BB8">
      <w:pPr>
        <w:rPr>
          <w:rFonts w:ascii="Arial" w:hAnsi="Arial" w:cs="Arial"/>
          <w:b/>
          <w:bCs/>
        </w:rPr>
      </w:pPr>
    </w:p>
    <w:p w14:paraId="54781992" w14:textId="77777777" w:rsidR="00E74106" w:rsidRPr="00E74106" w:rsidRDefault="00995EEA" w:rsidP="00F90BB8">
      <w:pPr>
        <w:rPr>
          <w:rFonts w:ascii="Arial" w:hAnsi="Arial" w:cs="Arial"/>
        </w:rPr>
      </w:pPr>
      <w:r w:rsidRPr="00E74106">
        <w:rPr>
          <w:rFonts w:ascii="Arial" w:hAnsi="Arial" w:cs="Arial"/>
          <w:b/>
          <w:bCs/>
        </w:rPr>
        <w:t>Introduction:</w:t>
      </w:r>
      <w:r w:rsidRPr="00E74106">
        <w:rPr>
          <w:rFonts w:ascii="Arial" w:hAnsi="Arial" w:cs="Arial"/>
        </w:rPr>
        <w:t xml:space="preserve"> </w:t>
      </w:r>
      <w:r w:rsidR="00D96736" w:rsidRPr="00E74106">
        <w:rPr>
          <w:rFonts w:ascii="Arial" w:hAnsi="Arial" w:cs="Arial"/>
        </w:rPr>
        <w:t>The NICE HST</w:t>
      </w:r>
      <w:r w:rsidR="00C209B6" w:rsidRPr="00E74106">
        <w:rPr>
          <w:rFonts w:ascii="Arial" w:hAnsi="Arial" w:cs="Arial"/>
        </w:rPr>
        <w:t xml:space="preserve"> criteria</w:t>
      </w:r>
      <w:r w:rsidR="00D96736"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00D96736"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00D96736" w:rsidRPr="00E74106">
        <w:rPr>
          <w:rFonts w:ascii="Arial" w:hAnsi="Arial" w:cs="Arial"/>
        </w:rPr>
        <w:t xml:space="preserve"> has been identified as suitable.</w:t>
      </w:r>
    </w:p>
    <w:p w14:paraId="1E79CC5C" w14:textId="77777777" w:rsidR="00857CBD" w:rsidRDefault="00E74106" w:rsidP="00F90BB8">
      <w:pPr>
        <w:rPr>
          <w:rFonts w:ascii="Arial" w:hAnsi="Arial" w:cs="Arial"/>
          <w:b/>
          <w:bCs/>
        </w:rPr>
      </w:pPr>
      <w:r>
        <w:rPr>
          <w:rFonts w:ascii="Arial" w:hAnsi="Arial" w:cs="Arial"/>
          <w:b/>
          <w:bCs/>
        </w:rPr>
        <w:t xml:space="preserve"> </w:t>
      </w:r>
    </w:p>
    <w:tbl>
      <w:tblPr>
        <w:tblStyle w:val="TableGrid"/>
        <w:tblW w:w="0" w:type="auto"/>
        <w:tblLook w:val="04A0" w:firstRow="1" w:lastRow="0" w:firstColumn="1" w:lastColumn="0" w:noHBand="0" w:noVBand="1"/>
      </w:tblPr>
      <w:tblGrid>
        <w:gridCol w:w="1023"/>
        <w:gridCol w:w="1666"/>
        <w:gridCol w:w="1984"/>
        <w:gridCol w:w="4343"/>
      </w:tblGrid>
      <w:tr w:rsidR="00C9475C" w:rsidRPr="00C9475C" w14:paraId="29F53B93" w14:textId="77777777" w:rsidTr="00C9475C">
        <w:tc>
          <w:tcPr>
            <w:tcW w:w="1023" w:type="dxa"/>
            <w:shd w:val="clear" w:color="auto" w:fill="F2F2F2" w:themeFill="background1" w:themeFillShade="F2"/>
          </w:tcPr>
          <w:p w14:paraId="41A1A27D" w14:textId="77777777" w:rsidR="00C9475C" w:rsidRPr="00C9475C" w:rsidRDefault="00C9475C" w:rsidP="00F90BB8">
            <w:pPr>
              <w:rPr>
                <w:rFonts w:ascii="Arial" w:hAnsi="Arial" w:cs="Arial"/>
                <w:b/>
                <w:bCs/>
              </w:rPr>
            </w:pPr>
            <w:r w:rsidRPr="00C9475C">
              <w:rPr>
                <w:rFonts w:ascii="Arial" w:hAnsi="Arial" w:cs="Arial"/>
                <w:b/>
                <w:bCs/>
              </w:rPr>
              <w:t>Version no:</w:t>
            </w:r>
          </w:p>
        </w:tc>
        <w:tc>
          <w:tcPr>
            <w:tcW w:w="1666" w:type="dxa"/>
            <w:shd w:val="clear" w:color="auto" w:fill="F2F2F2" w:themeFill="background1" w:themeFillShade="F2"/>
          </w:tcPr>
          <w:p w14:paraId="70E370AC" w14:textId="77777777" w:rsidR="00C9475C" w:rsidRPr="00C9475C" w:rsidRDefault="00C9475C" w:rsidP="00F90BB8">
            <w:pPr>
              <w:rPr>
                <w:rFonts w:ascii="Arial" w:hAnsi="Arial" w:cs="Arial"/>
                <w:b/>
                <w:bCs/>
              </w:rPr>
            </w:pPr>
            <w:r w:rsidRPr="00C9475C">
              <w:rPr>
                <w:rFonts w:ascii="Arial" w:hAnsi="Arial" w:cs="Arial"/>
                <w:b/>
                <w:bCs/>
              </w:rPr>
              <w:t>Revision date</w:t>
            </w:r>
          </w:p>
        </w:tc>
        <w:tc>
          <w:tcPr>
            <w:tcW w:w="1984" w:type="dxa"/>
            <w:shd w:val="clear" w:color="auto" w:fill="F2F2F2" w:themeFill="background1" w:themeFillShade="F2"/>
          </w:tcPr>
          <w:p w14:paraId="60665977" w14:textId="77777777" w:rsidR="00C9475C" w:rsidRPr="00C9475C" w:rsidRDefault="00C9475C" w:rsidP="00F90BB8">
            <w:pPr>
              <w:rPr>
                <w:rFonts w:ascii="Arial" w:hAnsi="Arial" w:cs="Arial"/>
                <w:b/>
                <w:bCs/>
              </w:rPr>
            </w:pPr>
            <w:r w:rsidRPr="00C9475C">
              <w:rPr>
                <w:rFonts w:ascii="Arial" w:hAnsi="Arial" w:cs="Arial"/>
                <w:b/>
                <w:bCs/>
              </w:rPr>
              <w:t>Changes made by</w:t>
            </w:r>
          </w:p>
        </w:tc>
        <w:tc>
          <w:tcPr>
            <w:tcW w:w="4343" w:type="dxa"/>
            <w:shd w:val="clear" w:color="auto" w:fill="F2F2F2" w:themeFill="background1" w:themeFillShade="F2"/>
          </w:tcPr>
          <w:p w14:paraId="5183021F" w14:textId="77777777" w:rsidR="00C9475C" w:rsidRPr="00C9475C" w:rsidRDefault="00C9475C" w:rsidP="00F90BB8">
            <w:pPr>
              <w:rPr>
                <w:rFonts w:ascii="Arial" w:hAnsi="Arial" w:cs="Arial"/>
                <w:b/>
                <w:bCs/>
              </w:rPr>
            </w:pPr>
            <w:r w:rsidRPr="00C9475C">
              <w:rPr>
                <w:rFonts w:ascii="Arial" w:hAnsi="Arial" w:cs="Arial"/>
                <w:b/>
                <w:bCs/>
              </w:rPr>
              <w:t>Summary of change</w:t>
            </w:r>
          </w:p>
        </w:tc>
      </w:tr>
      <w:tr w:rsidR="00C9475C" w:rsidRPr="00C9475C" w14:paraId="0A2B89FE" w14:textId="77777777" w:rsidTr="00C9475C">
        <w:tc>
          <w:tcPr>
            <w:tcW w:w="1023" w:type="dxa"/>
          </w:tcPr>
          <w:p w14:paraId="3FFB47DA" w14:textId="5F2FE3FE" w:rsidR="00C9475C" w:rsidRPr="00C9475C" w:rsidRDefault="00DE7F80" w:rsidP="00F90BB8">
            <w:pPr>
              <w:rPr>
                <w:rFonts w:ascii="Arial" w:hAnsi="Arial" w:cs="Arial"/>
                <w:b/>
                <w:bCs/>
              </w:rPr>
            </w:pPr>
            <w:r>
              <w:rPr>
                <w:rFonts w:ascii="Arial" w:hAnsi="Arial" w:cs="Arial"/>
                <w:b/>
                <w:bCs/>
              </w:rPr>
              <w:t>1.0</w:t>
            </w:r>
          </w:p>
        </w:tc>
        <w:tc>
          <w:tcPr>
            <w:tcW w:w="1666" w:type="dxa"/>
          </w:tcPr>
          <w:p w14:paraId="26003AAF" w14:textId="2D4643AF" w:rsidR="00C9475C" w:rsidRPr="00C9475C" w:rsidRDefault="00D1140F" w:rsidP="00F90BB8">
            <w:pPr>
              <w:rPr>
                <w:rFonts w:ascii="Arial" w:hAnsi="Arial" w:cs="Arial"/>
                <w:b/>
                <w:bCs/>
              </w:rPr>
            </w:pPr>
            <w:r>
              <w:rPr>
                <w:rFonts w:ascii="Arial" w:hAnsi="Arial" w:cs="Arial"/>
                <w:b/>
                <w:bCs/>
              </w:rPr>
              <w:t>7 Sept</w:t>
            </w:r>
          </w:p>
        </w:tc>
        <w:tc>
          <w:tcPr>
            <w:tcW w:w="1984" w:type="dxa"/>
          </w:tcPr>
          <w:p w14:paraId="71D7FFCC" w14:textId="6926D2AC" w:rsidR="00C9475C" w:rsidRPr="00C9475C" w:rsidRDefault="00D1140F" w:rsidP="00F90BB8">
            <w:pPr>
              <w:rPr>
                <w:rFonts w:ascii="Arial" w:hAnsi="Arial" w:cs="Arial"/>
                <w:b/>
                <w:bCs/>
              </w:rPr>
            </w:pPr>
            <w:r>
              <w:rPr>
                <w:rFonts w:ascii="Arial" w:hAnsi="Arial" w:cs="Arial"/>
                <w:b/>
                <w:bCs/>
              </w:rPr>
              <w:t>AS</w:t>
            </w:r>
          </w:p>
        </w:tc>
        <w:tc>
          <w:tcPr>
            <w:tcW w:w="4343" w:type="dxa"/>
          </w:tcPr>
          <w:p w14:paraId="067D261B" w14:textId="77777777" w:rsidR="00C9475C" w:rsidRPr="00C9475C" w:rsidRDefault="00C9475C" w:rsidP="00F90BB8">
            <w:pPr>
              <w:rPr>
                <w:rFonts w:ascii="Arial" w:hAnsi="Arial" w:cs="Arial"/>
                <w:b/>
                <w:bCs/>
              </w:rPr>
            </w:pPr>
          </w:p>
        </w:tc>
      </w:tr>
      <w:tr w:rsidR="008E39B6" w:rsidRPr="00C9475C" w14:paraId="64943BDB" w14:textId="77777777" w:rsidTr="00C9475C">
        <w:tc>
          <w:tcPr>
            <w:tcW w:w="1023" w:type="dxa"/>
          </w:tcPr>
          <w:p w14:paraId="59106095" w14:textId="2B2A0556" w:rsidR="008E39B6" w:rsidRDefault="00DE7F80" w:rsidP="00F90BB8">
            <w:pPr>
              <w:rPr>
                <w:rFonts w:ascii="Arial" w:hAnsi="Arial" w:cs="Arial"/>
                <w:b/>
                <w:bCs/>
              </w:rPr>
            </w:pPr>
            <w:r>
              <w:rPr>
                <w:rFonts w:ascii="Arial" w:hAnsi="Arial" w:cs="Arial"/>
                <w:b/>
                <w:bCs/>
              </w:rPr>
              <w:t>2.0</w:t>
            </w:r>
          </w:p>
        </w:tc>
        <w:tc>
          <w:tcPr>
            <w:tcW w:w="1666" w:type="dxa"/>
          </w:tcPr>
          <w:p w14:paraId="64562977" w14:textId="39AB91EC" w:rsidR="008E39B6" w:rsidRDefault="008E39B6" w:rsidP="00F90BB8">
            <w:pPr>
              <w:rPr>
                <w:rFonts w:ascii="Arial" w:hAnsi="Arial" w:cs="Arial"/>
                <w:b/>
                <w:bCs/>
              </w:rPr>
            </w:pPr>
            <w:r>
              <w:rPr>
                <w:rFonts w:ascii="Arial" w:hAnsi="Arial" w:cs="Arial"/>
                <w:b/>
                <w:bCs/>
              </w:rPr>
              <w:t>14 Sept</w:t>
            </w:r>
          </w:p>
        </w:tc>
        <w:tc>
          <w:tcPr>
            <w:tcW w:w="1984" w:type="dxa"/>
          </w:tcPr>
          <w:p w14:paraId="5881A54D" w14:textId="100C2A51" w:rsidR="008E39B6" w:rsidRDefault="008E39B6" w:rsidP="00F90BB8">
            <w:pPr>
              <w:rPr>
                <w:rFonts w:ascii="Arial" w:hAnsi="Arial" w:cs="Arial"/>
                <w:b/>
                <w:bCs/>
              </w:rPr>
            </w:pPr>
            <w:r>
              <w:rPr>
                <w:rFonts w:ascii="Arial" w:hAnsi="Arial" w:cs="Arial"/>
                <w:b/>
                <w:bCs/>
              </w:rPr>
              <w:t>SD</w:t>
            </w:r>
          </w:p>
        </w:tc>
        <w:tc>
          <w:tcPr>
            <w:tcW w:w="4343" w:type="dxa"/>
          </w:tcPr>
          <w:p w14:paraId="00AF6A78" w14:textId="452F82ED" w:rsidR="008E39B6" w:rsidRPr="00C9475C" w:rsidRDefault="008E39B6" w:rsidP="00F90BB8">
            <w:pPr>
              <w:rPr>
                <w:rFonts w:ascii="Arial" w:hAnsi="Arial" w:cs="Arial"/>
                <w:b/>
                <w:bCs/>
              </w:rPr>
            </w:pPr>
            <w:r>
              <w:rPr>
                <w:rFonts w:ascii="Arial" w:hAnsi="Arial" w:cs="Arial"/>
                <w:b/>
                <w:bCs/>
              </w:rPr>
              <w:t>Adviser review</w:t>
            </w:r>
          </w:p>
        </w:tc>
      </w:tr>
      <w:tr w:rsidR="00DE7F80" w:rsidRPr="00C9475C" w14:paraId="525B6746" w14:textId="77777777" w:rsidTr="00C9475C">
        <w:tc>
          <w:tcPr>
            <w:tcW w:w="1023" w:type="dxa"/>
          </w:tcPr>
          <w:p w14:paraId="6AC40E76" w14:textId="5CB1FCEF" w:rsidR="00DE7F80" w:rsidRDefault="00DE7F80" w:rsidP="00F90BB8">
            <w:pPr>
              <w:rPr>
                <w:rFonts w:ascii="Arial" w:hAnsi="Arial" w:cs="Arial"/>
                <w:b/>
                <w:bCs/>
              </w:rPr>
            </w:pPr>
            <w:r>
              <w:rPr>
                <w:rFonts w:ascii="Arial" w:hAnsi="Arial" w:cs="Arial"/>
                <w:b/>
                <w:bCs/>
              </w:rPr>
              <w:t>3.0</w:t>
            </w:r>
          </w:p>
        </w:tc>
        <w:tc>
          <w:tcPr>
            <w:tcW w:w="1666" w:type="dxa"/>
          </w:tcPr>
          <w:p w14:paraId="7E6BA273" w14:textId="39B088EA" w:rsidR="00DE7F80" w:rsidRDefault="00DE7F80" w:rsidP="00F90BB8">
            <w:pPr>
              <w:rPr>
                <w:rFonts w:ascii="Arial" w:hAnsi="Arial" w:cs="Arial"/>
                <w:b/>
                <w:bCs/>
              </w:rPr>
            </w:pPr>
            <w:r>
              <w:rPr>
                <w:rFonts w:ascii="Arial" w:hAnsi="Arial" w:cs="Arial"/>
                <w:b/>
                <w:bCs/>
              </w:rPr>
              <w:t>23 Nov</w:t>
            </w:r>
          </w:p>
        </w:tc>
        <w:tc>
          <w:tcPr>
            <w:tcW w:w="1984" w:type="dxa"/>
          </w:tcPr>
          <w:p w14:paraId="024410F7" w14:textId="5990C1D0" w:rsidR="00DE7F80" w:rsidRDefault="00DE7F80" w:rsidP="00F90BB8">
            <w:pPr>
              <w:rPr>
                <w:rFonts w:ascii="Arial" w:hAnsi="Arial" w:cs="Arial"/>
                <w:b/>
                <w:bCs/>
              </w:rPr>
            </w:pPr>
            <w:r>
              <w:rPr>
                <w:rFonts w:ascii="Arial" w:hAnsi="Arial" w:cs="Arial"/>
                <w:b/>
                <w:bCs/>
              </w:rPr>
              <w:t>AS</w:t>
            </w:r>
          </w:p>
        </w:tc>
        <w:tc>
          <w:tcPr>
            <w:tcW w:w="4343" w:type="dxa"/>
          </w:tcPr>
          <w:p w14:paraId="084B7886" w14:textId="2C8965D2" w:rsidR="00DE7F80" w:rsidRDefault="00DE7F80" w:rsidP="00F90BB8">
            <w:pPr>
              <w:rPr>
                <w:rFonts w:ascii="Arial" w:hAnsi="Arial" w:cs="Arial"/>
                <w:b/>
                <w:bCs/>
              </w:rPr>
            </w:pPr>
            <w:r>
              <w:rPr>
                <w:rFonts w:ascii="Arial" w:hAnsi="Arial" w:cs="Arial"/>
                <w:b/>
                <w:bCs/>
              </w:rPr>
              <w:t>AD review</w:t>
            </w:r>
          </w:p>
        </w:tc>
      </w:tr>
      <w:tr w:rsidR="00DE7F80" w:rsidRPr="00C9475C" w14:paraId="551F859F" w14:textId="77777777" w:rsidTr="00C9475C">
        <w:tc>
          <w:tcPr>
            <w:tcW w:w="1023" w:type="dxa"/>
          </w:tcPr>
          <w:p w14:paraId="388B7B2D" w14:textId="632F39A6" w:rsidR="00DE7F80" w:rsidRDefault="00DE7F80" w:rsidP="00F90BB8">
            <w:pPr>
              <w:rPr>
                <w:rFonts w:ascii="Arial" w:hAnsi="Arial" w:cs="Arial"/>
                <w:b/>
                <w:bCs/>
              </w:rPr>
            </w:pPr>
            <w:r>
              <w:rPr>
                <w:rFonts w:ascii="Arial" w:hAnsi="Arial" w:cs="Arial"/>
                <w:b/>
                <w:bCs/>
              </w:rPr>
              <w:t>4.0</w:t>
            </w:r>
          </w:p>
        </w:tc>
        <w:tc>
          <w:tcPr>
            <w:tcW w:w="1666" w:type="dxa"/>
          </w:tcPr>
          <w:p w14:paraId="5A0131C2" w14:textId="29332AB0" w:rsidR="00DE7F80" w:rsidRDefault="00DE7F80" w:rsidP="00F90BB8">
            <w:pPr>
              <w:rPr>
                <w:rFonts w:ascii="Arial" w:hAnsi="Arial" w:cs="Arial"/>
                <w:b/>
                <w:bCs/>
              </w:rPr>
            </w:pPr>
            <w:r>
              <w:rPr>
                <w:rFonts w:ascii="Arial" w:hAnsi="Arial" w:cs="Arial"/>
                <w:b/>
                <w:bCs/>
              </w:rPr>
              <w:t>1 Feb</w:t>
            </w:r>
          </w:p>
        </w:tc>
        <w:tc>
          <w:tcPr>
            <w:tcW w:w="1984" w:type="dxa"/>
          </w:tcPr>
          <w:p w14:paraId="7ADEB318" w14:textId="28D01F7F" w:rsidR="00DE7F80" w:rsidRDefault="00DE7F80" w:rsidP="00F90BB8">
            <w:pPr>
              <w:rPr>
                <w:rFonts w:ascii="Arial" w:hAnsi="Arial" w:cs="Arial"/>
                <w:b/>
                <w:bCs/>
              </w:rPr>
            </w:pPr>
            <w:r>
              <w:rPr>
                <w:rFonts w:ascii="Arial" w:hAnsi="Arial" w:cs="Arial"/>
                <w:b/>
                <w:bCs/>
              </w:rPr>
              <w:t>AS</w:t>
            </w:r>
          </w:p>
        </w:tc>
        <w:tc>
          <w:tcPr>
            <w:tcW w:w="4343" w:type="dxa"/>
          </w:tcPr>
          <w:p w14:paraId="4C8994D5" w14:textId="09C5BB8A" w:rsidR="00DE7F80" w:rsidRDefault="00DE7F80" w:rsidP="00F90BB8">
            <w:pPr>
              <w:rPr>
                <w:rFonts w:ascii="Arial" w:hAnsi="Arial" w:cs="Arial"/>
                <w:b/>
                <w:bCs/>
              </w:rPr>
            </w:pPr>
            <w:r>
              <w:rPr>
                <w:rFonts w:ascii="Arial" w:hAnsi="Arial" w:cs="Arial"/>
                <w:b/>
                <w:bCs/>
              </w:rPr>
              <w:t>Following TSOP</w:t>
            </w:r>
          </w:p>
        </w:tc>
      </w:tr>
    </w:tbl>
    <w:p w14:paraId="435980E2" w14:textId="77777777" w:rsidR="00C9475C" w:rsidRDefault="00C9475C" w:rsidP="00F90BB8">
      <w:pPr>
        <w:rPr>
          <w:rFonts w:ascii="Arial" w:hAnsi="Arial" w:cs="Arial"/>
          <w:b/>
          <w:bCs/>
        </w:rPr>
      </w:pPr>
    </w:p>
    <w:p w14:paraId="5BB22D00" w14:textId="77777777" w:rsidR="00E74106" w:rsidRPr="00715265" w:rsidRDefault="00715265" w:rsidP="00CA055B">
      <w:pPr>
        <w:pStyle w:val="Heading3"/>
      </w:pPr>
      <w:r>
        <w:t xml:space="preserve">Key – does the technology meet the criteria? Please </w:t>
      </w:r>
      <w:r w:rsidR="00BC66C6">
        <w:t xml:space="preserve">use the </w:t>
      </w:r>
      <w:r>
        <w:t xml:space="preserve">colour </w:t>
      </w:r>
      <w:r w:rsidR="00BC66C6">
        <w:t>key</w:t>
      </w:r>
      <w:r>
        <w:t xml:space="preserve"> </w:t>
      </w:r>
      <w:r w:rsidR="00BC66C6">
        <w:t xml:space="preserve">to advise if the technology meets the </w:t>
      </w:r>
      <w:proofErr w:type="gramStart"/>
      <w:r w:rsidR="00BC66C6">
        <w:t>criteria</w:t>
      </w:r>
      <w:proofErr w:type="gramEnd"/>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6279DDB4" w14:textId="77777777" w:rsidTr="00D71447">
        <w:trPr>
          <w:trHeight w:val="280"/>
        </w:trPr>
        <w:tc>
          <w:tcPr>
            <w:tcW w:w="975" w:type="dxa"/>
            <w:shd w:val="clear" w:color="auto" w:fill="92D050"/>
          </w:tcPr>
          <w:p w14:paraId="5D753D1A"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75B6020F" w14:textId="77777777"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this criterion</w:t>
            </w:r>
            <w:r>
              <w:rPr>
                <w:rFonts w:ascii="Arial" w:eastAsia="Times New Roman" w:hAnsi="Arial"/>
                <w:lang w:eastAsia="en-GB"/>
              </w:rPr>
              <w:t xml:space="preserve"> is met</w:t>
            </w:r>
          </w:p>
        </w:tc>
      </w:tr>
      <w:tr w:rsidR="00E74106" w:rsidRPr="006D6093" w14:paraId="349A8C2A" w14:textId="77777777" w:rsidTr="00D71447">
        <w:trPr>
          <w:trHeight w:val="280"/>
        </w:trPr>
        <w:tc>
          <w:tcPr>
            <w:tcW w:w="975" w:type="dxa"/>
            <w:shd w:val="clear" w:color="auto" w:fill="FFC000"/>
          </w:tcPr>
          <w:p w14:paraId="783B1DBA"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Unclear</w:t>
            </w:r>
          </w:p>
        </w:tc>
        <w:tc>
          <w:tcPr>
            <w:tcW w:w="8097" w:type="dxa"/>
          </w:tcPr>
          <w:p w14:paraId="0EF05286" w14:textId="77777777"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some </w:t>
            </w:r>
            <w:r w:rsidR="00D71447">
              <w:rPr>
                <w:rFonts w:ascii="Arial" w:eastAsia="Times New Roman" w:hAnsi="Arial"/>
                <w:lang w:eastAsia="en-GB"/>
              </w:rPr>
              <w:t>evidence,</w:t>
            </w:r>
            <w:r>
              <w:rPr>
                <w:rFonts w:ascii="Arial" w:eastAsia="Times New Roman" w:hAnsi="Arial"/>
                <w:lang w:eastAsia="en-GB"/>
              </w:rPr>
              <w:t xml:space="preserve"> or the evidence</w:t>
            </w:r>
            <w:r w:rsidR="00D71447">
              <w:rPr>
                <w:rFonts w:ascii="Arial" w:eastAsia="Times New Roman" w:hAnsi="Arial"/>
                <w:lang w:eastAsia="en-GB"/>
              </w:rPr>
              <w:t xml:space="preserve"> available</w:t>
            </w:r>
            <w:r>
              <w:rPr>
                <w:rFonts w:ascii="Arial" w:eastAsia="Times New Roman" w:hAnsi="Arial"/>
                <w:lang w:eastAsia="en-GB"/>
              </w:rPr>
              <w:t xml:space="preserve"> is unclear</w:t>
            </w:r>
            <w:r w:rsidR="00D71447">
              <w:rPr>
                <w:rFonts w:ascii="Arial" w:eastAsia="Times New Roman" w:hAnsi="Arial"/>
                <w:lang w:eastAsia="en-GB"/>
              </w:rPr>
              <w:t>.</w:t>
            </w:r>
          </w:p>
        </w:tc>
      </w:tr>
      <w:tr w:rsidR="00E74106" w:rsidRPr="006D6093" w14:paraId="6E804628" w14:textId="77777777" w:rsidTr="00D71447">
        <w:trPr>
          <w:trHeight w:val="343"/>
        </w:trPr>
        <w:tc>
          <w:tcPr>
            <w:tcW w:w="975" w:type="dxa"/>
            <w:shd w:val="clear" w:color="auto" w:fill="FF0000"/>
          </w:tcPr>
          <w:p w14:paraId="27FFE48D"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1EEFBF08" w14:textId="77777777" w:rsidR="00E74106" w:rsidRPr="00E74106" w:rsidRDefault="00D71447" w:rsidP="00742AF3">
            <w:pPr>
              <w:spacing w:after="240" w:line="276" w:lineRule="auto"/>
              <w:rPr>
                <w:rFonts w:ascii="Arial" w:eastAsia="Times New Roman" w:hAnsi="Arial"/>
                <w:lang w:eastAsia="en-GB"/>
              </w:rPr>
            </w:pPr>
            <w:r>
              <w:rPr>
                <w:rFonts w:ascii="Arial" w:eastAsia="Times New Roman" w:hAnsi="Arial"/>
                <w:lang w:eastAsia="en-GB"/>
              </w:rPr>
              <w:t xml:space="preserve">There is no evidence or limited evidence that the criterion is met.  </w:t>
            </w:r>
          </w:p>
        </w:tc>
      </w:tr>
    </w:tbl>
    <w:p w14:paraId="4A106BD6" w14:textId="77777777" w:rsidR="00E74106" w:rsidRDefault="00E74106" w:rsidP="00E74106">
      <w:pPr>
        <w:rPr>
          <w:rFonts w:ascii="Arial" w:hAnsi="Arial" w:cs="Arial"/>
          <w:b/>
          <w:bCs/>
        </w:rPr>
      </w:pPr>
    </w:p>
    <w:p w14:paraId="7305BB98" w14:textId="77777777" w:rsidR="00E74106" w:rsidRPr="00C9475C" w:rsidRDefault="00E74106" w:rsidP="00F90BB8">
      <w:pPr>
        <w:rPr>
          <w:rFonts w:ascii="Arial" w:hAnsi="Arial" w:cs="Arial"/>
          <w:b/>
          <w:bCs/>
        </w:rPr>
      </w:pPr>
    </w:p>
    <w:p w14:paraId="3DFAA1AB" w14:textId="22BD1765" w:rsidR="00C9475C" w:rsidRDefault="00C9475C" w:rsidP="00CA055B">
      <w:pPr>
        <w:pStyle w:val="Heading3"/>
      </w:pPr>
      <w:r w:rsidRPr="00C9475C">
        <w:t xml:space="preserve">MA wording: </w:t>
      </w:r>
      <w:r w:rsidR="00D25083" w:rsidRPr="00D25083">
        <w:rPr>
          <w:rFonts w:cs="Arial"/>
          <w:szCs w:val="22"/>
          <w:highlight w:val="black"/>
          <w:u w:val="single"/>
        </w:rPr>
        <w:t>*******************************</w:t>
      </w:r>
      <w:r w:rsidR="00D25083" w:rsidRPr="00D25083">
        <w:rPr>
          <w:rFonts w:cs="Arial"/>
          <w:szCs w:val="22"/>
          <w:highlight w:val="black"/>
          <w:u w:val="single"/>
          <w:lang w:val="en-US"/>
        </w:rPr>
        <w:t>************************</w:t>
      </w:r>
      <w:r w:rsidR="00D25083">
        <w:rPr>
          <w:rFonts w:cs="Arial"/>
          <w:szCs w:val="22"/>
          <w:highlight w:val="black"/>
          <w:u w:val="single"/>
          <w:lang w:val="en-US"/>
        </w:rPr>
        <w:t xml:space="preserve"> </w:t>
      </w:r>
      <w:r w:rsidR="00D25083" w:rsidRPr="00D25083">
        <w:rPr>
          <w:rFonts w:cs="Arial"/>
          <w:szCs w:val="22"/>
          <w:highlight w:val="black"/>
          <w:u w:val="single"/>
          <w:lang w:val="en-US"/>
        </w:rPr>
        <w:t>**************************************************</w:t>
      </w:r>
      <w:r w:rsidR="00D25083">
        <w:rPr>
          <w:rFonts w:cs="Arial"/>
          <w:szCs w:val="22"/>
          <w:highlight w:val="black"/>
          <w:u w:val="single"/>
          <w:lang w:val="en-US"/>
        </w:rPr>
        <w:t xml:space="preserve"> </w:t>
      </w:r>
      <w:r w:rsidR="00D25083" w:rsidRPr="00D25083">
        <w:rPr>
          <w:rFonts w:cs="Arial"/>
          <w:szCs w:val="22"/>
          <w:highlight w:val="black"/>
          <w:u w:val="single"/>
          <w:lang w:val="en-US"/>
        </w:rPr>
        <w:t>**********************</w:t>
      </w:r>
      <w:r w:rsidR="00D25083">
        <w:rPr>
          <w:rFonts w:cs="Arial"/>
          <w:szCs w:val="22"/>
          <w:highlight w:val="black"/>
          <w:u w:val="single"/>
          <w:lang w:val="en-US"/>
        </w:rPr>
        <w:t xml:space="preserve"> </w:t>
      </w:r>
      <w:r w:rsidR="00D25083" w:rsidRPr="00D25083">
        <w:rPr>
          <w:rFonts w:cs="Arial"/>
          <w:szCs w:val="22"/>
          <w:highlight w:val="black"/>
          <w:u w:val="single"/>
          <w:lang w:val="en-US"/>
        </w:rPr>
        <w:t>*************************</w:t>
      </w:r>
      <w:r w:rsidR="00D25083">
        <w:rPr>
          <w:rFonts w:cs="Arial"/>
          <w:szCs w:val="22"/>
          <w:highlight w:val="black"/>
          <w:u w:val="single"/>
          <w:lang w:val="en-US"/>
        </w:rPr>
        <w:t xml:space="preserve"> </w:t>
      </w:r>
      <w:r w:rsidR="00D25083" w:rsidRPr="00D25083">
        <w:rPr>
          <w:rFonts w:cs="Arial"/>
          <w:szCs w:val="22"/>
          <w:highlight w:val="black"/>
          <w:u w:val="single"/>
          <w:lang w:val="en-US"/>
        </w:rPr>
        <w:t>***********</w:t>
      </w:r>
    </w:p>
    <w:p w14:paraId="5318E2E1" w14:textId="77777777" w:rsidR="000D3405"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1123"/>
        <w:gridCol w:w="3563"/>
        <w:gridCol w:w="7496"/>
        <w:gridCol w:w="1756"/>
      </w:tblGrid>
      <w:tr w:rsidR="000D3405" w:rsidRPr="00C9475C" w14:paraId="1C0FC01E" w14:textId="77777777" w:rsidTr="00E74106">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C4AFB2" w14:textId="77777777" w:rsidR="000D3405" w:rsidRPr="00C9475C" w:rsidRDefault="000D3405" w:rsidP="00E74106">
            <w:pPr>
              <w:ind w:firstLine="128"/>
              <w:rPr>
                <w:rFonts w:ascii="Arial" w:hAnsi="Arial" w:cs="Arial"/>
                <w:b/>
                <w:bCs/>
              </w:rPr>
            </w:pPr>
            <w:r>
              <w:rPr>
                <w:rFonts w:ascii="Arial" w:hAnsi="Arial" w:cs="Arial"/>
                <w:b/>
                <w:bCs/>
              </w:rPr>
              <w:lastRenderedPageBreak/>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0953754" w14:textId="77777777" w:rsidR="000D3405" w:rsidRDefault="000D3405" w:rsidP="00E74106">
            <w:pPr>
              <w:ind w:firstLine="175"/>
              <w:rPr>
                <w:rFonts w:ascii="Arial" w:hAnsi="Arial" w:cs="Arial"/>
                <w:b/>
                <w:bCs/>
              </w:rPr>
            </w:pPr>
            <w:r w:rsidRPr="00C9475C">
              <w:rPr>
                <w:rFonts w:ascii="Arial" w:hAnsi="Arial" w:cs="Arial"/>
                <w:b/>
                <w:bCs/>
              </w:rPr>
              <w:t>Criterion</w:t>
            </w:r>
          </w:p>
          <w:p w14:paraId="17784824" w14:textId="77777777" w:rsidR="000D3405" w:rsidRPr="00C9475C" w:rsidRDefault="000D3405" w:rsidP="00742AF3">
            <w:pPr>
              <w:rPr>
                <w:rFonts w:ascii="Arial" w:hAnsi="Arial" w:cs="Arial"/>
                <w:b/>
                <w:bCs/>
              </w:rPr>
            </w:pP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745083"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w:t>
            </w:r>
            <w:proofErr w:type="gramStart"/>
            <w:r w:rsidRPr="000D3405">
              <w:rPr>
                <w:rFonts w:ascii="Arial" w:hAnsi="Arial" w:cs="Arial"/>
                <w:b/>
                <w:bCs/>
              </w:rPr>
              <w:t>criteria</w:t>
            </w:r>
            <w:proofErr w:type="gramEnd"/>
            <w:r w:rsidRPr="000D3405">
              <w:rPr>
                <w:rFonts w:ascii="Arial" w:hAnsi="Arial" w:cs="Arial"/>
                <w:b/>
                <w:bCs/>
              </w:rPr>
              <w:t xml:space="preserve"> </w:t>
            </w:r>
          </w:p>
          <w:p w14:paraId="15419DB7" w14:textId="77777777" w:rsidR="000D3405" w:rsidRPr="00C9475C" w:rsidRDefault="000D3405" w:rsidP="00742AF3">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14C2D28" w14:textId="77777777" w:rsidR="00E74106" w:rsidRDefault="00D71447" w:rsidP="00D71447">
            <w:pPr>
              <w:ind w:left="288" w:right="188"/>
              <w:rPr>
                <w:rFonts w:ascii="Arial" w:hAnsi="Arial" w:cs="Arial"/>
                <w:b/>
                <w:bCs/>
              </w:rPr>
            </w:pPr>
            <w:r>
              <w:rPr>
                <w:rFonts w:ascii="Arial" w:hAnsi="Arial" w:cs="Arial"/>
                <w:b/>
                <w:bCs/>
              </w:rPr>
              <w:t>Does the technology meet the criteria?</w:t>
            </w:r>
          </w:p>
          <w:p w14:paraId="326D096F" w14:textId="77777777" w:rsidR="000D3405" w:rsidRPr="00D71447" w:rsidRDefault="000D3405" w:rsidP="00D71447">
            <w:pPr>
              <w:ind w:right="188"/>
              <w:rPr>
                <w:rFonts w:ascii="Arial" w:hAnsi="Arial" w:cs="Arial"/>
              </w:rPr>
            </w:pPr>
          </w:p>
        </w:tc>
      </w:tr>
      <w:tr w:rsidR="000D3405" w:rsidRPr="00C9475C" w14:paraId="15F1EFE3" w14:textId="77777777" w:rsidTr="00086ADD">
        <w:tc>
          <w:tcPr>
            <w:tcW w:w="403" w:type="pct"/>
            <w:tcBorders>
              <w:top w:val="nil"/>
              <w:left w:val="single" w:sz="8" w:space="0" w:color="auto"/>
              <w:bottom w:val="single" w:sz="8" w:space="0" w:color="auto"/>
              <w:right w:val="single" w:sz="8" w:space="0" w:color="auto"/>
            </w:tcBorders>
          </w:tcPr>
          <w:p w14:paraId="2349FBBE" w14:textId="77777777" w:rsidR="000D3405" w:rsidRPr="00D71447" w:rsidRDefault="000D3405" w:rsidP="000D3405">
            <w:pPr>
              <w:pStyle w:val="ListParagraph"/>
              <w:numPr>
                <w:ilvl w:val="0"/>
                <w:numId w:val="30"/>
              </w:numPr>
              <w:rPr>
                <w:rFonts w:ascii="Arial" w:hAnsi="Arial" w:cs="Arial"/>
              </w:rPr>
            </w:pPr>
            <w:bookmarkStart w:id="0" w:name="_Ref113452768"/>
          </w:p>
        </w:tc>
        <w:bookmarkEnd w:id="0"/>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B6E61" w14:textId="77777777" w:rsidR="000D3405" w:rsidRPr="008A2405" w:rsidRDefault="000D3405" w:rsidP="00742AF3">
            <w:pPr>
              <w:rPr>
                <w:rFonts w:ascii="Arial" w:hAnsi="Arial" w:cs="Arial"/>
              </w:rPr>
            </w:pPr>
            <w:r w:rsidRPr="008A2405">
              <w:rPr>
                <w:rFonts w:ascii="Arial" w:hAnsi="Arial" w:cs="Arial"/>
              </w:rPr>
              <w:t xml:space="preserve">The condition is very rare defined by 1:50,000 in </w:t>
            </w:r>
            <w:proofErr w:type="gramStart"/>
            <w:r w:rsidRPr="008A2405">
              <w:rPr>
                <w:rFonts w:ascii="Arial" w:hAnsi="Arial" w:cs="Arial"/>
              </w:rPr>
              <w:t>England</w:t>
            </w:r>
            <w:proofErr w:type="gramEnd"/>
            <w:r w:rsidRPr="008A2405">
              <w:rPr>
                <w:rFonts w:ascii="Arial" w:hAnsi="Arial" w:cs="Arial"/>
              </w:rPr>
              <w:t xml:space="preserve"> </w:t>
            </w:r>
          </w:p>
          <w:p w14:paraId="30D66E95" w14:textId="77777777" w:rsidR="000D3405" w:rsidRPr="008A2405" w:rsidRDefault="000D3405" w:rsidP="00742AF3">
            <w:pPr>
              <w:rPr>
                <w:rFonts w:ascii="Arial" w:hAnsi="Arial" w:cs="Arial"/>
              </w:rPr>
            </w:pPr>
          </w:p>
          <w:p w14:paraId="2D5D20D3" w14:textId="77777777" w:rsidR="000D3405" w:rsidRPr="008A2405"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6CED20A9" w14:textId="5A889815" w:rsidR="00191B1B" w:rsidRPr="008A2405" w:rsidRDefault="00191B1B" w:rsidP="00294573">
            <w:pPr>
              <w:pStyle w:val="ListParagraph"/>
              <w:numPr>
                <w:ilvl w:val="0"/>
                <w:numId w:val="35"/>
              </w:numPr>
              <w:spacing w:before="120"/>
              <w:ind w:left="714" w:hanging="357"/>
              <w:contextualSpacing w:val="0"/>
              <w:rPr>
                <w:rFonts w:ascii="Arial" w:hAnsi="Arial" w:cs="Arial"/>
              </w:rPr>
            </w:pPr>
            <w:r w:rsidRPr="008A2405">
              <w:rPr>
                <w:rFonts w:ascii="Arial" w:hAnsi="Arial" w:cs="Arial"/>
              </w:rPr>
              <w:t>Prevalence estimates for NMOSD vary between studies. This is partly due to variations in prevalence among different geographic areas and ethnicities. Differences in study design, study population, and quality of data may also be a factor.</w:t>
            </w:r>
            <w:r w:rsidR="00095E07" w:rsidRPr="008A2405">
              <w:rPr>
                <w:rStyle w:val="EndnoteReference"/>
                <w:rFonts w:ascii="Arial" w:hAnsi="Arial" w:cs="Arial"/>
              </w:rPr>
              <w:endnoteReference w:id="1"/>
            </w:r>
          </w:p>
          <w:p w14:paraId="1A1FA095" w14:textId="270E50D7" w:rsidR="00191B1B" w:rsidRPr="008A2405" w:rsidRDefault="00191B1B" w:rsidP="00294573">
            <w:pPr>
              <w:pStyle w:val="ListParagraph"/>
              <w:numPr>
                <w:ilvl w:val="0"/>
                <w:numId w:val="35"/>
              </w:numPr>
              <w:spacing w:before="120"/>
              <w:ind w:left="714" w:hanging="357"/>
              <w:contextualSpacing w:val="0"/>
              <w:rPr>
                <w:rFonts w:ascii="Arial" w:hAnsi="Arial" w:cs="Arial"/>
              </w:rPr>
            </w:pPr>
            <w:r w:rsidRPr="008A2405">
              <w:rPr>
                <w:rFonts w:ascii="Arial" w:hAnsi="Arial" w:cs="Arial"/>
              </w:rPr>
              <w:t xml:space="preserve">Using NHS England data on </w:t>
            </w:r>
            <w:r w:rsidR="00095E07" w:rsidRPr="008A2405">
              <w:rPr>
                <w:rFonts w:ascii="Arial" w:hAnsi="Arial" w:cs="Arial"/>
              </w:rPr>
              <w:t>population size</w:t>
            </w:r>
            <w:r w:rsidRPr="008A2405">
              <w:rPr>
                <w:rFonts w:ascii="Arial" w:hAnsi="Arial" w:cs="Arial"/>
              </w:rPr>
              <w:t xml:space="preserve"> would give a prevalence of 0.88 per 50,000 people</w:t>
            </w:r>
            <w:r w:rsidR="00EE3AD8" w:rsidRPr="008A2405">
              <w:rPr>
                <w:rFonts w:ascii="Arial" w:hAnsi="Arial" w:cs="Arial"/>
              </w:rPr>
              <w:t>.</w:t>
            </w:r>
          </w:p>
          <w:p w14:paraId="18491D18" w14:textId="2D74C6CF" w:rsidR="00DF1952" w:rsidRPr="008A2405" w:rsidRDefault="00191B1B" w:rsidP="00294573">
            <w:pPr>
              <w:pStyle w:val="ListParagraph"/>
              <w:numPr>
                <w:ilvl w:val="0"/>
                <w:numId w:val="35"/>
              </w:numPr>
              <w:spacing w:before="120"/>
              <w:ind w:left="714" w:hanging="357"/>
              <w:contextualSpacing w:val="0"/>
              <w:rPr>
                <w:rFonts w:ascii="Arial" w:hAnsi="Arial" w:cs="Arial"/>
              </w:rPr>
            </w:pPr>
            <w:r w:rsidRPr="008A2405">
              <w:rPr>
                <w:rFonts w:ascii="Arial" w:hAnsi="Arial" w:cs="Arial"/>
              </w:rPr>
              <w:t xml:space="preserve">Other estimates from England </w:t>
            </w:r>
            <w:r w:rsidR="00DF1952" w:rsidRPr="008A2405">
              <w:rPr>
                <w:rFonts w:ascii="Arial" w:hAnsi="Arial" w:cs="Arial"/>
              </w:rPr>
              <w:t>range from</w:t>
            </w:r>
            <w:r w:rsidR="00086ADD" w:rsidRPr="008A2405">
              <w:rPr>
                <w:rFonts w:ascii="Arial" w:hAnsi="Arial" w:cs="Arial"/>
              </w:rPr>
              <w:t xml:space="preserve"> 0.36</w:t>
            </w:r>
            <w:r w:rsidR="00DF1952" w:rsidRPr="008A2405">
              <w:rPr>
                <w:rFonts w:ascii="Arial" w:hAnsi="Arial" w:cs="Arial"/>
              </w:rPr>
              <w:t>-0.8</w:t>
            </w:r>
            <w:r w:rsidR="00086ADD" w:rsidRPr="008A2405">
              <w:rPr>
                <w:rFonts w:ascii="Arial" w:hAnsi="Arial" w:cs="Arial"/>
              </w:rPr>
              <w:t xml:space="preserve"> per 50,000 adults</w:t>
            </w:r>
            <w:r w:rsidR="00EE3AD8" w:rsidRPr="008A2405">
              <w:rPr>
                <w:rFonts w:ascii="Arial" w:hAnsi="Arial" w:cs="Arial"/>
              </w:rPr>
              <w:t>.</w:t>
            </w:r>
            <w:r w:rsidR="00CB0275" w:rsidRPr="008A2405">
              <w:rPr>
                <w:rStyle w:val="EndnoteReference"/>
                <w:rFonts w:ascii="Arial" w:hAnsi="Arial" w:cs="Arial"/>
              </w:rPr>
              <w:endnoteReference w:id="2"/>
            </w:r>
            <w:r w:rsidR="00EE3AD8" w:rsidRPr="008A2405">
              <w:rPr>
                <w:rFonts w:ascii="Arial" w:hAnsi="Arial" w:cs="Arial"/>
                <w:vertAlign w:val="superscript"/>
              </w:rPr>
              <w:t>,</w:t>
            </w:r>
            <w:r w:rsidR="00CB0275" w:rsidRPr="008A2405">
              <w:rPr>
                <w:rStyle w:val="EndnoteReference"/>
                <w:rFonts w:ascii="Arial" w:hAnsi="Arial" w:cs="Arial"/>
              </w:rPr>
              <w:endnoteReference w:id="3"/>
            </w:r>
          </w:p>
          <w:p w14:paraId="44087AE9" w14:textId="78B8876B" w:rsidR="000D3405" w:rsidRDefault="00095E07" w:rsidP="00294573">
            <w:pPr>
              <w:pStyle w:val="ListParagraph"/>
              <w:numPr>
                <w:ilvl w:val="0"/>
                <w:numId w:val="35"/>
              </w:numPr>
              <w:spacing w:before="120"/>
              <w:ind w:left="714" w:hanging="357"/>
              <w:contextualSpacing w:val="0"/>
              <w:rPr>
                <w:rFonts w:ascii="Arial" w:hAnsi="Arial" w:cs="Arial"/>
              </w:rPr>
            </w:pPr>
            <w:r w:rsidRPr="008A2405">
              <w:rPr>
                <w:rFonts w:ascii="Arial" w:hAnsi="Arial" w:cs="Arial"/>
              </w:rPr>
              <w:t xml:space="preserve">These estimates include both those with and without </w:t>
            </w:r>
            <w:r w:rsidR="00086ADD" w:rsidRPr="008A2405">
              <w:rPr>
                <w:rFonts w:ascii="Arial" w:hAnsi="Arial" w:cs="Arial"/>
              </w:rPr>
              <w:t>aquaporin-4 (AQP4) antibodies</w:t>
            </w:r>
            <w:r w:rsidRPr="008A2405">
              <w:rPr>
                <w:rFonts w:ascii="Arial" w:hAnsi="Arial" w:cs="Arial"/>
              </w:rPr>
              <w:t xml:space="preserve">. </w:t>
            </w:r>
            <w:proofErr w:type="gramStart"/>
            <w:r w:rsidRPr="008A2405">
              <w:rPr>
                <w:rFonts w:ascii="Arial" w:hAnsi="Arial" w:cs="Arial"/>
              </w:rPr>
              <w:t>Therefore</w:t>
            </w:r>
            <w:proofErr w:type="gramEnd"/>
            <w:r w:rsidRPr="008A2405">
              <w:rPr>
                <w:rFonts w:ascii="Arial" w:hAnsi="Arial" w:cs="Arial"/>
              </w:rPr>
              <w:t xml:space="preserve"> the prevalence of </w:t>
            </w:r>
            <w:r w:rsidR="00CB0275" w:rsidRPr="008A2405">
              <w:rPr>
                <w:rFonts w:ascii="Arial" w:hAnsi="Arial" w:cs="Arial"/>
              </w:rPr>
              <w:t xml:space="preserve">aquaporin-4-positive NMOSD would be lower than these figures. </w:t>
            </w:r>
          </w:p>
          <w:p w14:paraId="37FB86EE" w14:textId="5F167CC6" w:rsidR="00372CAC" w:rsidRPr="008A2405" w:rsidRDefault="00372CAC" w:rsidP="00294573">
            <w:pPr>
              <w:pStyle w:val="ListParagraph"/>
              <w:numPr>
                <w:ilvl w:val="0"/>
                <w:numId w:val="35"/>
              </w:numPr>
              <w:spacing w:before="120"/>
              <w:ind w:left="714" w:hanging="357"/>
              <w:contextualSpacing w:val="0"/>
              <w:rPr>
                <w:rFonts w:ascii="Arial" w:hAnsi="Arial" w:cs="Arial"/>
              </w:rPr>
            </w:pPr>
            <w:r>
              <w:rPr>
                <w:rFonts w:ascii="Arial" w:hAnsi="Arial" w:cs="Arial"/>
              </w:rPr>
              <w:t>A meta-analysis of worldwide</w:t>
            </w:r>
            <w:r w:rsidR="00221B27">
              <w:rPr>
                <w:rFonts w:ascii="Arial" w:hAnsi="Arial" w:cs="Arial"/>
              </w:rPr>
              <w:t xml:space="preserve"> </w:t>
            </w:r>
            <w:r>
              <w:rPr>
                <w:rFonts w:ascii="Arial" w:hAnsi="Arial" w:cs="Arial"/>
              </w:rPr>
              <w:t xml:space="preserve">prevalence of NMOSD revealed </w:t>
            </w:r>
            <w:r w:rsidR="00221B27">
              <w:rPr>
                <w:rFonts w:ascii="Arial" w:hAnsi="Arial" w:cs="Arial"/>
              </w:rPr>
              <w:t>that the highest prevalence was found in</w:t>
            </w:r>
            <w:r>
              <w:rPr>
                <w:rFonts w:ascii="Arial" w:hAnsi="Arial" w:cs="Arial"/>
              </w:rPr>
              <w:t xml:space="preserve"> A</w:t>
            </w:r>
            <w:r w:rsidRPr="00372CAC">
              <w:rPr>
                <w:rFonts w:ascii="Arial" w:hAnsi="Arial" w:cs="Arial"/>
              </w:rPr>
              <w:t xml:space="preserve">frican </w:t>
            </w:r>
            <w:r w:rsidR="00221B27">
              <w:rPr>
                <w:rFonts w:ascii="Arial" w:hAnsi="Arial" w:cs="Arial"/>
              </w:rPr>
              <w:t>populations and the lowest was in predominantly White populations.</w:t>
            </w:r>
            <w:r w:rsidR="00E92287" w:rsidRPr="00E92287">
              <w:rPr>
                <w:rFonts w:ascii="Arial" w:hAnsi="Arial" w:cs="Arial"/>
                <w:vertAlign w:val="superscript"/>
              </w:rPr>
              <w:fldChar w:fldCharType="begin"/>
            </w:r>
            <w:r w:rsidR="00E92287" w:rsidRPr="00E92287">
              <w:rPr>
                <w:rFonts w:ascii="Arial" w:hAnsi="Arial" w:cs="Arial"/>
                <w:vertAlign w:val="superscript"/>
              </w:rPr>
              <w:instrText xml:space="preserve"> REF _Ref113452768 \r \h </w:instrText>
            </w:r>
            <w:r w:rsidR="00E92287">
              <w:rPr>
                <w:rFonts w:ascii="Arial" w:hAnsi="Arial" w:cs="Arial"/>
                <w:vertAlign w:val="superscript"/>
              </w:rPr>
              <w:instrText xml:space="preserve"> \* MERGEFORMAT </w:instrText>
            </w:r>
            <w:r w:rsidR="00E92287" w:rsidRPr="00E92287">
              <w:rPr>
                <w:rFonts w:ascii="Arial" w:hAnsi="Arial" w:cs="Arial"/>
                <w:vertAlign w:val="superscript"/>
              </w:rPr>
            </w:r>
            <w:r w:rsidR="00E92287" w:rsidRPr="00E92287">
              <w:rPr>
                <w:rFonts w:ascii="Arial" w:hAnsi="Arial" w:cs="Arial"/>
                <w:vertAlign w:val="superscript"/>
              </w:rPr>
              <w:fldChar w:fldCharType="separate"/>
            </w:r>
            <w:r w:rsidR="00E92287" w:rsidRPr="00E92287">
              <w:rPr>
                <w:rFonts w:ascii="Arial" w:hAnsi="Arial" w:cs="Arial"/>
                <w:vertAlign w:val="superscript"/>
              </w:rPr>
              <w:t>1</w:t>
            </w:r>
            <w:r w:rsidR="00E92287" w:rsidRPr="00E92287">
              <w:rPr>
                <w:rFonts w:ascii="Arial" w:hAnsi="Arial" w:cs="Arial"/>
                <w:vertAlign w:val="superscript"/>
              </w:rPr>
              <w:fldChar w:fldCharType="end"/>
            </w:r>
          </w:p>
        </w:tc>
        <w:tc>
          <w:tcPr>
            <w:tcW w:w="630" w:type="pct"/>
            <w:tcBorders>
              <w:top w:val="nil"/>
              <w:left w:val="single" w:sz="8" w:space="0" w:color="auto"/>
              <w:bottom w:val="single" w:sz="8" w:space="0" w:color="auto"/>
              <w:right w:val="single" w:sz="8" w:space="0" w:color="auto"/>
            </w:tcBorders>
            <w:shd w:val="clear" w:color="auto" w:fill="92D050"/>
          </w:tcPr>
          <w:p w14:paraId="4CC96787" w14:textId="4867DDF3" w:rsidR="00E74106" w:rsidRPr="00D71447" w:rsidRDefault="00086ADD" w:rsidP="00D71447">
            <w:pPr>
              <w:ind w:left="288" w:right="188"/>
              <w:rPr>
                <w:rFonts w:ascii="Arial" w:hAnsi="Arial" w:cs="Arial"/>
              </w:rPr>
            </w:pPr>
            <w:r>
              <w:rPr>
                <w:rFonts w:ascii="Arial" w:hAnsi="Arial" w:cs="Arial"/>
              </w:rPr>
              <w:t>Met</w:t>
            </w:r>
          </w:p>
          <w:p w14:paraId="341B49FB" w14:textId="77777777" w:rsidR="00D71447" w:rsidRPr="00EF3DC0" w:rsidRDefault="00D71447" w:rsidP="00191B1B">
            <w:pPr>
              <w:ind w:left="288" w:right="188"/>
              <w:rPr>
                <w:rFonts w:ascii="Arial" w:hAnsi="Arial" w:cs="Arial"/>
                <w:b/>
                <w:bCs/>
              </w:rPr>
            </w:pPr>
          </w:p>
        </w:tc>
      </w:tr>
      <w:tr w:rsidR="000D3405" w:rsidRPr="00C9475C" w14:paraId="75BB429E" w14:textId="77777777" w:rsidTr="00A27C26">
        <w:tc>
          <w:tcPr>
            <w:tcW w:w="403" w:type="pct"/>
            <w:tcBorders>
              <w:top w:val="nil"/>
              <w:left w:val="single" w:sz="8" w:space="0" w:color="auto"/>
              <w:bottom w:val="single" w:sz="8" w:space="0" w:color="auto"/>
              <w:right w:val="single" w:sz="8" w:space="0" w:color="auto"/>
            </w:tcBorders>
          </w:tcPr>
          <w:p w14:paraId="7D8C98CD"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CED94D" w14:textId="77777777" w:rsidR="000D3405" w:rsidRPr="008A2405" w:rsidRDefault="000D3405" w:rsidP="000D3405">
            <w:pPr>
              <w:rPr>
                <w:rFonts w:ascii="Arial" w:hAnsi="Arial" w:cs="Arial"/>
              </w:rPr>
            </w:pPr>
            <w:r w:rsidRPr="008A2405">
              <w:rPr>
                <w:rFonts w:ascii="Arial" w:hAnsi="Arial" w:cs="Arial"/>
              </w:rPr>
              <w:t xml:space="preserve">Normally no more than 300 people in England are eligible for the technology in its licensed indication and no more than 500 across all its </w:t>
            </w:r>
            <w:proofErr w:type="gramStart"/>
            <w:r w:rsidRPr="008A2405">
              <w:rPr>
                <w:rFonts w:ascii="Arial" w:hAnsi="Arial" w:cs="Arial"/>
              </w:rPr>
              <w:t>indications</w:t>
            </w:r>
            <w:proofErr w:type="gramEnd"/>
            <w:r w:rsidRPr="008A2405">
              <w:rPr>
                <w:rFonts w:ascii="Arial" w:hAnsi="Arial" w:cs="Arial"/>
              </w:rPr>
              <w:t xml:space="preserve"> </w:t>
            </w:r>
          </w:p>
          <w:p w14:paraId="3B7316F2" w14:textId="77777777" w:rsidR="00D71447" w:rsidRPr="008A2405" w:rsidRDefault="00D71447" w:rsidP="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54932071" w14:textId="3C6739EF" w:rsidR="005A40F3" w:rsidRPr="004208EA" w:rsidRDefault="00A27C26" w:rsidP="00150C0E">
            <w:pPr>
              <w:pStyle w:val="ListParagraph"/>
              <w:numPr>
                <w:ilvl w:val="0"/>
                <w:numId w:val="36"/>
              </w:numPr>
              <w:spacing w:before="120"/>
              <w:ind w:left="714" w:hanging="357"/>
              <w:contextualSpacing w:val="0"/>
              <w:rPr>
                <w:rFonts w:ascii="Arial" w:eastAsia="Times New Roman" w:hAnsi="Arial" w:cs="Arial"/>
                <w:lang w:eastAsia="en-GB"/>
              </w:rPr>
            </w:pPr>
            <w:r w:rsidRPr="00150C0E">
              <w:rPr>
                <w:rFonts w:ascii="Arial" w:hAnsi="Arial" w:cs="Arial"/>
              </w:rPr>
              <w:t>NHS England states that about 1,000 people in England have NMOSD</w:t>
            </w:r>
            <w:r w:rsidR="008A2405" w:rsidRPr="00150C0E">
              <w:rPr>
                <w:rFonts w:ascii="Arial" w:hAnsi="Arial" w:cs="Arial"/>
              </w:rPr>
              <w:t>.</w:t>
            </w:r>
            <w:r w:rsidRPr="008A2405">
              <w:rPr>
                <w:rStyle w:val="EndnoteReference"/>
                <w:rFonts w:ascii="Arial" w:hAnsi="Arial" w:cs="Arial"/>
              </w:rPr>
              <w:endnoteReference w:id="4"/>
            </w:r>
            <w:r w:rsidRPr="00150C0E">
              <w:rPr>
                <w:rFonts w:ascii="Arial" w:hAnsi="Arial" w:cs="Arial"/>
              </w:rPr>
              <w:t xml:space="preserve"> Approximately 73% to 90% of these people have aquaporin-4 (AQP4) antibodies.</w:t>
            </w:r>
            <w:r w:rsidRPr="008A2405">
              <w:rPr>
                <w:rStyle w:val="EndnoteReference"/>
                <w:rFonts w:ascii="Arial" w:hAnsi="Arial" w:cs="Arial"/>
              </w:rPr>
              <w:endnoteReference w:id="5"/>
            </w:r>
            <w:r w:rsidRPr="00150C0E">
              <w:rPr>
                <w:rFonts w:ascii="Arial" w:hAnsi="Arial" w:cs="Arial"/>
                <w:vertAlign w:val="superscript"/>
              </w:rPr>
              <w:t>,</w:t>
            </w:r>
            <w:r w:rsidRPr="008A2405">
              <w:rPr>
                <w:rStyle w:val="EndnoteReference"/>
                <w:rFonts w:ascii="Arial" w:hAnsi="Arial" w:cs="Arial"/>
              </w:rPr>
              <w:endnoteReference w:id="6"/>
            </w:r>
            <w:r w:rsidRPr="00150C0E">
              <w:rPr>
                <w:rFonts w:ascii="Arial" w:hAnsi="Arial" w:cs="Arial"/>
              </w:rPr>
              <w:t xml:space="preserve"> Therefore the population eligible for the technology in its licensed indication is 730-900 people</w:t>
            </w:r>
            <w:r w:rsidR="005A40F3" w:rsidRPr="00150C0E">
              <w:rPr>
                <w:rFonts w:ascii="Arial" w:hAnsi="Arial" w:cs="Arial"/>
              </w:rPr>
              <w:t>.</w:t>
            </w:r>
          </w:p>
          <w:p w14:paraId="7C4773D5" w14:textId="41E82B10" w:rsidR="002C4368" w:rsidRDefault="002C4368" w:rsidP="002C4368">
            <w:pPr>
              <w:pStyle w:val="ListParagraph"/>
              <w:numPr>
                <w:ilvl w:val="0"/>
                <w:numId w:val="36"/>
              </w:numPr>
              <w:spacing w:before="120"/>
              <w:ind w:left="714" w:hanging="357"/>
              <w:contextualSpacing w:val="0"/>
              <w:rPr>
                <w:rFonts w:ascii="Arial" w:hAnsi="Arial" w:cs="Arial"/>
              </w:rPr>
            </w:pPr>
            <w:r w:rsidRPr="002C4368">
              <w:rPr>
                <w:rFonts w:ascii="Arial" w:hAnsi="Arial" w:cs="Arial"/>
              </w:rPr>
              <w:t>Clinical expert said there are 672 patients in England with AQP4 NMOSD</w:t>
            </w:r>
            <w:r>
              <w:rPr>
                <w:rFonts w:ascii="Arial" w:hAnsi="Arial" w:cs="Arial"/>
              </w:rPr>
              <w:t xml:space="preserve"> in England, based on Oxfordshire prevalence study.</w:t>
            </w:r>
            <w:r>
              <w:rPr>
                <w:rStyle w:val="EndnoteReference"/>
                <w:rFonts w:ascii="Arial" w:hAnsi="Arial" w:cs="Arial"/>
              </w:rPr>
              <w:endnoteReference w:id="7"/>
            </w:r>
          </w:p>
          <w:p w14:paraId="02C8E4F3" w14:textId="0DA8C957" w:rsidR="00150C0E" w:rsidRPr="006A15B5" w:rsidRDefault="00F85485" w:rsidP="006A15B5">
            <w:pPr>
              <w:pStyle w:val="ListParagraph"/>
              <w:numPr>
                <w:ilvl w:val="0"/>
                <w:numId w:val="36"/>
              </w:numPr>
              <w:spacing w:before="120"/>
              <w:ind w:left="714" w:hanging="357"/>
              <w:contextualSpacing w:val="0"/>
              <w:rPr>
                <w:rFonts w:ascii="Arial" w:hAnsi="Arial" w:cs="Arial"/>
              </w:rPr>
            </w:pPr>
            <w:r w:rsidRPr="006A15B5">
              <w:rPr>
                <w:rFonts w:ascii="Arial" w:hAnsi="Arial" w:cs="Arial"/>
              </w:rPr>
              <w:t xml:space="preserve">The </w:t>
            </w:r>
            <w:r w:rsidR="006A15B5" w:rsidRPr="006A15B5">
              <w:rPr>
                <w:rFonts w:ascii="Arial" w:hAnsi="Arial" w:cs="Arial"/>
              </w:rPr>
              <w:t>number of people in England who are eligible for the technology in its full licensed indication (672</w:t>
            </w:r>
            <w:r w:rsidR="006A15B5">
              <w:rPr>
                <w:rFonts w:ascii="Arial" w:hAnsi="Arial" w:cs="Arial"/>
              </w:rPr>
              <w:t>-900</w:t>
            </w:r>
            <w:r w:rsidR="006A15B5" w:rsidRPr="006A15B5">
              <w:rPr>
                <w:rFonts w:ascii="Arial" w:hAnsi="Arial" w:cs="Arial"/>
              </w:rPr>
              <w:t>) is therefore &gt;300.</w:t>
            </w:r>
            <w:r w:rsidR="006A15B5">
              <w:rPr>
                <w:rFonts w:ascii="Arial" w:hAnsi="Arial" w:cs="Arial"/>
              </w:rPr>
              <w:t xml:space="preserve"> While the c</w:t>
            </w:r>
            <w:r w:rsidR="00150C0E" w:rsidRPr="006A15B5">
              <w:rPr>
                <w:rFonts w:ascii="Arial" w:hAnsi="Arial" w:cs="Arial"/>
              </w:rPr>
              <w:t xml:space="preserve">ompany and clinical experts have advised that expected UK clinical practice would </w:t>
            </w:r>
            <w:r w:rsidR="000E213E" w:rsidRPr="006A15B5">
              <w:rPr>
                <w:rFonts w:ascii="Arial" w:hAnsi="Arial" w:cs="Arial"/>
              </w:rPr>
              <w:t xml:space="preserve">use ravulizumab </w:t>
            </w:r>
            <w:r w:rsidR="000E213E" w:rsidRPr="00D25083">
              <w:rPr>
                <w:rFonts w:ascii="Arial" w:hAnsi="Arial" w:cs="Arial"/>
              </w:rPr>
              <w:t>as</w:t>
            </w:r>
            <w:r w:rsidR="00150C0E" w:rsidRPr="00D25083">
              <w:rPr>
                <w:rFonts w:ascii="Arial" w:hAnsi="Arial" w:cs="Arial"/>
              </w:rPr>
              <w:t xml:space="preserve"> </w:t>
            </w:r>
            <w:r w:rsidR="00D25083" w:rsidRPr="00D25083">
              <w:rPr>
                <w:rFonts w:ascii="Arial" w:hAnsi="Arial" w:cs="Arial"/>
                <w:highlight w:val="black"/>
                <w:u w:val="single"/>
              </w:rPr>
              <w:t>*</w:t>
            </w:r>
            <w:r w:rsidR="00D25083" w:rsidRPr="00D25083">
              <w:rPr>
                <w:rFonts w:ascii="Arial" w:hAnsi="Arial" w:cs="Arial"/>
                <w:highlight w:val="black"/>
                <w:u w:val="single"/>
                <w:vertAlign w:val="superscript"/>
              </w:rPr>
              <w:t>**</w:t>
            </w:r>
            <w:r w:rsidR="00D25083" w:rsidRPr="00D25083">
              <w:rPr>
                <w:rFonts w:ascii="Arial" w:hAnsi="Arial" w:cs="Arial"/>
                <w:highlight w:val="black"/>
                <w:u w:val="single"/>
              </w:rPr>
              <w:t>******************************</w:t>
            </w:r>
            <w:r w:rsidR="00D25083">
              <w:rPr>
                <w:rFonts w:ascii="Arial" w:hAnsi="Arial" w:cs="Arial"/>
                <w:highlight w:val="black"/>
                <w:u w:val="single"/>
              </w:rPr>
              <w:t xml:space="preserve"> </w:t>
            </w:r>
            <w:r w:rsidR="00D25083" w:rsidRPr="00D25083">
              <w:rPr>
                <w:rFonts w:ascii="Arial" w:hAnsi="Arial" w:cs="Arial"/>
                <w:highlight w:val="black"/>
                <w:u w:val="single"/>
              </w:rPr>
              <w:t>*******************</w:t>
            </w:r>
            <w:r w:rsidR="00D25083">
              <w:rPr>
                <w:rFonts w:ascii="Arial" w:hAnsi="Arial" w:cs="Arial"/>
                <w:highlight w:val="black"/>
                <w:u w:val="single"/>
              </w:rPr>
              <w:t xml:space="preserve"> </w:t>
            </w:r>
            <w:r w:rsidR="00D25083" w:rsidRPr="00D25083">
              <w:rPr>
                <w:rFonts w:ascii="Arial" w:hAnsi="Arial" w:cs="Arial"/>
                <w:highlight w:val="black"/>
                <w:u w:val="single"/>
              </w:rPr>
              <w:t>****************</w:t>
            </w:r>
            <w:r w:rsidR="00D25083">
              <w:rPr>
                <w:rFonts w:ascii="Arial" w:hAnsi="Arial" w:cs="Arial"/>
                <w:highlight w:val="black"/>
                <w:u w:val="single"/>
              </w:rPr>
              <w:t xml:space="preserve"> </w:t>
            </w:r>
            <w:r w:rsidR="00D25083" w:rsidRPr="00D25083">
              <w:rPr>
                <w:rFonts w:ascii="Arial" w:hAnsi="Arial" w:cs="Arial"/>
                <w:highlight w:val="black"/>
                <w:u w:val="single"/>
              </w:rPr>
              <w:t>****************</w:t>
            </w:r>
            <w:r w:rsidR="00D25083">
              <w:rPr>
                <w:rFonts w:ascii="Arial" w:hAnsi="Arial" w:cs="Arial"/>
                <w:highlight w:val="black"/>
                <w:u w:val="single"/>
              </w:rPr>
              <w:t xml:space="preserve"> </w:t>
            </w:r>
            <w:r w:rsidR="00D25083" w:rsidRPr="00D25083">
              <w:rPr>
                <w:rFonts w:ascii="Arial" w:hAnsi="Arial" w:cs="Arial"/>
                <w:highlight w:val="black"/>
                <w:u w:val="single"/>
              </w:rPr>
              <w:t>****************</w:t>
            </w:r>
            <w:r w:rsidR="00D25083">
              <w:rPr>
                <w:rFonts w:ascii="Arial" w:hAnsi="Arial" w:cs="Arial"/>
                <w:highlight w:val="black"/>
                <w:u w:val="single"/>
              </w:rPr>
              <w:t xml:space="preserve"> </w:t>
            </w:r>
            <w:r w:rsidR="00D25083" w:rsidRPr="00D25083">
              <w:rPr>
                <w:rFonts w:ascii="Arial" w:hAnsi="Arial" w:cs="Arial"/>
                <w:highlight w:val="black"/>
                <w:u w:val="single"/>
              </w:rPr>
              <w:lastRenderedPageBreak/>
              <w:t>*************************</w:t>
            </w:r>
            <w:r w:rsidR="006A15B5">
              <w:rPr>
                <w:rFonts w:ascii="Arial" w:hAnsi="Arial" w:cs="Arial"/>
              </w:rPr>
              <w:t xml:space="preserve"> It is the licensed indication which is relevant for HST routing.</w:t>
            </w:r>
            <w:r w:rsidR="00150C0E" w:rsidRPr="006A15B5">
              <w:rPr>
                <w:rFonts w:ascii="Arial" w:hAnsi="Arial" w:cs="Arial"/>
              </w:rPr>
              <w:t xml:space="preserve"> </w:t>
            </w:r>
          </w:p>
          <w:p w14:paraId="2965980B" w14:textId="0299C5D6" w:rsidR="005A40F3" w:rsidRPr="004208EA" w:rsidRDefault="005A40F3" w:rsidP="003A107A">
            <w:pPr>
              <w:pStyle w:val="ListParagraph"/>
              <w:numPr>
                <w:ilvl w:val="0"/>
                <w:numId w:val="36"/>
              </w:numPr>
              <w:spacing w:before="120"/>
              <w:ind w:left="714" w:hanging="357"/>
              <w:contextualSpacing w:val="0"/>
              <w:rPr>
                <w:rFonts w:ascii="Arial" w:eastAsia="Times New Roman" w:hAnsi="Arial" w:cs="Arial"/>
                <w:lang w:eastAsia="en-GB"/>
              </w:rPr>
            </w:pPr>
            <w:r>
              <w:rPr>
                <w:rFonts w:ascii="Arial" w:hAnsi="Arial" w:cs="Arial"/>
              </w:rPr>
              <w:t xml:space="preserve">Ravulizumab is also licensed for </w:t>
            </w:r>
            <w:r w:rsidRPr="00BE2279">
              <w:rPr>
                <w:rFonts w:ascii="Arial" w:hAnsi="Arial" w:cs="Arial"/>
              </w:rPr>
              <w:t>paroxysmal nocturnal haemoglobinuria</w:t>
            </w:r>
            <w:r>
              <w:rPr>
                <w:rFonts w:ascii="Arial" w:hAnsi="Arial" w:cs="Arial"/>
              </w:rPr>
              <w:t xml:space="preserve"> (PNH)</w:t>
            </w:r>
            <w:r w:rsidR="00150C0E">
              <w:rPr>
                <w:rFonts w:ascii="Arial" w:hAnsi="Arial" w:cs="Arial"/>
              </w:rPr>
              <w:t xml:space="preserve">, </w:t>
            </w:r>
            <w:r w:rsidRPr="00BE2279">
              <w:rPr>
                <w:rFonts w:ascii="Arial" w:hAnsi="Arial" w:cs="Arial"/>
              </w:rPr>
              <w:t>atypical haemolytic uraemic syndrome</w:t>
            </w:r>
            <w:r>
              <w:rPr>
                <w:rFonts w:ascii="Arial" w:hAnsi="Arial" w:cs="Arial"/>
              </w:rPr>
              <w:t xml:space="preserve"> (</w:t>
            </w:r>
            <w:proofErr w:type="spellStart"/>
            <w:r>
              <w:rPr>
                <w:rFonts w:ascii="Arial" w:hAnsi="Arial" w:cs="Arial"/>
              </w:rPr>
              <w:t>aHUS</w:t>
            </w:r>
            <w:proofErr w:type="spellEnd"/>
            <w:r w:rsidR="00150C0E">
              <w:rPr>
                <w:rFonts w:ascii="Arial" w:hAnsi="Arial" w:cs="Arial"/>
              </w:rPr>
              <w:t>) and</w:t>
            </w:r>
            <w:r w:rsidR="003A107A">
              <w:rPr>
                <w:rFonts w:ascii="Arial" w:hAnsi="Arial" w:cs="Arial"/>
              </w:rPr>
              <w:t xml:space="preserve"> </w:t>
            </w:r>
            <w:r w:rsidR="003A107A" w:rsidRPr="004208EA">
              <w:rPr>
                <w:rFonts w:ascii="Arial" w:hAnsi="Arial" w:cs="Arial"/>
              </w:rPr>
              <w:t xml:space="preserve">generalized Myasthenia Gravis. The eligible patient populations for these indications </w:t>
            </w:r>
            <w:r w:rsidR="00F016D5">
              <w:rPr>
                <w:rFonts w:ascii="Arial" w:hAnsi="Arial" w:cs="Arial"/>
              </w:rPr>
              <w:t xml:space="preserve">in England </w:t>
            </w:r>
            <w:r w:rsidR="003A107A" w:rsidRPr="004208EA">
              <w:rPr>
                <w:rFonts w:ascii="Arial" w:hAnsi="Arial" w:cs="Arial"/>
              </w:rPr>
              <w:t>are as follows:</w:t>
            </w:r>
          </w:p>
          <w:p w14:paraId="004BC5FA" w14:textId="6EC417E0" w:rsidR="003A107A" w:rsidRDefault="003A107A" w:rsidP="003A107A">
            <w:pPr>
              <w:pStyle w:val="ListParagraph"/>
              <w:numPr>
                <w:ilvl w:val="1"/>
                <w:numId w:val="36"/>
              </w:numPr>
              <w:spacing w:before="120"/>
              <w:contextualSpacing w:val="0"/>
              <w:rPr>
                <w:rFonts w:ascii="Arial" w:eastAsia="Times New Roman" w:hAnsi="Arial" w:cs="Arial"/>
                <w:lang w:eastAsia="en-GB"/>
              </w:rPr>
            </w:pPr>
            <w:r>
              <w:rPr>
                <w:rFonts w:ascii="Arial" w:eastAsia="Times New Roman" w:hAnsi="Arial" w:cs="Arial"/>
                <w:lang w:eastAsia="en-GB"/>
              </w:rPr>
              <w:t xml:space="preserve">PNH: </w:t>
            </w:r>
            <w:r w:rsidR="00150C0E">
              <w:rPr>
                <w:rFonts w:ascii="Arial" w:eastAsia="Times New Roman" w:hAnsi="Arial" w:cs="Arial"/>
                <w:lang w:eastAsia="en-GB"/>
              </w:rPr>
              <w:t>~</w:t>
            </w:r>
            <w:r w:rsidR="00F016D5">
              <w:rPr>
                <w:rFonts w:ascii="Arial" w:eastAsia="Times New Roman" w:hAnsi="Arial" w:cs="Arial"/>
                <w:lang w:eastAsia="en-GB"/>
              </w:rPr>
              <w:t>200-</w:t>
            </w:r>
            <w:proofErr w:type="gramStart"/>
            <w:r w:rsidR="00F016D5">
              <w:rPr>
                <w:rFonts w:ascii="Arial" w:eastAsia="Times New Roman" w:hAnsi="Arial" w:cs="Arial"/>
                <w:lang w:eastAsia="en-GB"/>
              </w:rPr>
              <w:t>333</w:t>
            </w:r>
            <w:r>
              <w:rPr>
                <w:rFonts w:ascii="Arial" w:eastAsia="Times New Roman" w:hAnsi="Arial" w:cs="Arial"/>
                <w:lang w:eastAsia="en-GB"/>
              </w:rPr>
              <w:t xml:space="preserve"> </w:t>
            </w:r>
            <w:r w:rsidR="00115C46">
              <w:rPr>
                <w:rFonts w:ascii="Arial" w:eastAsia="Times New Roman" w:hAnsi="Arial" w:cs="Arial"/>
                <w:lang w:eastAsia="en-GB"/>
              </w:rPr>
              <w:t xml:space="preserve"> (</w:t>
            </w:r>
            <w:proofErr w:type="gramEnd"/>
            <w:r w:rsidR="00115C46">
              <w:rPr>
                <w:rFonts w:ascii="Arial" w:eastAsia="Times New Roman" w:hAnsi="Arial" w:cs="Arial"/>
                <w:lang w:eastAsia="en-GB"/>
              </w:rPr>
              <w:t>UK figure x 0.84 for England number)</w:t>
            </w:r>
          </w:p>
          <w:p w14:paraId="6BC15CE4" w14:textId="20776FBA" w:rsidR="003A107A" w:rsidRDefault="003A107A" w:rsidP="003A107A">
            <w:pPr>
              <w:pStyle w:val="ListParagraph"/>
              <w:numPr>
                <w:ilvl w:val="1"/>
                <w:numId w:val="36"/>
              </w:numPr>
              <w:spacing w:before="120"/>
              <w:contextualSpacing w:val="0"/>
              <w:rPr>
                <w:rFonts w:ascii="Arial" w:eastAsia="Times New Roman" w:hAnsi="Arial" w:cs="Arial"/>
                <w:lang w:eastAsia="en-GB"/>
              </w:rPr>
            </w:pPr>
            <w:proofErr w:type="spellStart"/>
            <w:r>
              <w:rPr>
                <w:rFonts w:ascii="Arial" w:eastAsia="Times New Roman" w:hAnsi="Arial" w:cs="Arial"/>
                <w:lang w:eastAsia="en-GB"/>
              </w:rPr>
              <w:t>aHUS</w:t>
            </w:r>
            <w:proofErr w:type="spellEnd"/>
            <w:r>
              <w:rPr>
                <w:rFonts w:ascii="Arial" w:eastAsia="Times New Roman" w:hAnsi="Arial" w:cs="Arial"/>
                <w:lang w:eastAsia="en-GB"/>
              </w:rPr>
              <w:t xml:space="preserve">: </w:t>
            </w:r>
            <w:r w:rsidR="007B2254">
              <w:rPr>
                <w:rFonts w:ascii="Arial" w:eastAsia="Times New Roman" w:hAnsi="Arial" w:cs="Arial"/>
                <w:lang w:eastAsia="en-GB"/>
              </w:rPr>
              <w:t>~</w:t>
            </w:r>
            <w:r>
              <w:rPr>
                <w:rFonts w:ascii="Arial" w:eastAsia="Times New Roman" w:hAnsi="Arial" w:cs="Arial"/>
                <w:lang w:eastAsia="en-GB"/>
              </w:rPr>
              <w:t>140-</w:t>
            </w:r>
            <w:r w:rsidR="00F016D5">
              <w:rPr>
                <w:rFonts w:ascii="Arial" w:eastAsia="Times New Roman" w:hAnsi="Arial" w:cs="Arial"/>
                <w:lang w:eastAsia="en-GB"/>
              </w:rPr>
              <w:t>224</w:t>
            </w:r>
          </w:p>
          <w:p w14:paraId="2D24313C" w14:textId="77777777" w:rsidR="00115C46" w:rsidRDefault="003A107A" w:rsidP="003A107A">
            <w:pPr>
              <w:pStyle w:val="ListParagraph"/>
              <w:numPr>
                <w:ilvl w:val="1"/>
                <w:numId w:val="36"/>
              </w:numPr>
              <w:spacing w:before="120"/>
              <w:contextualSpacing w:val="0"/>
              <w:rPr>
                <w:rFonts w:ascii="Arial" w:eastAsia="Times New Roman" w:hAnsi="Arial" w:cs="Arial"/>
                <w:lang w:eastAsia="en-GB"/>
              </w:rPr>
            </w:pPr>
            <w:r w:rsidRPr="003A107A">
              <w:rPr>
                <w:rFonts w:ascii="Arial" w:eastAsia="Times New Roman" w:hAnsi="Arial" w:cs="Arial"/>
                <w:lang w:eastAsia="en-GB"/>
              </w:rPr>
              <w:t xml:space="preserve">Refractory </w:t>
            </w:r>
            <w:proofErr w:type="spellStart"/>
            <w:r w:rsidRPr="003A107A">
              <w:rPr>
                <w:rFonts w:ascii="Arial" w:eastAsia="Times New Roman" w:hAnsi="Arial" w:cs="Arial"/>
                <w:lang w:eastAsia="en-GB"/>
              </w:rPr>
              <w:t>AChR</w:t>
            </w:r>
            <w:proofErr w:type="spellEnd"/>
            <w:r w:rsidRPr="003A107A">
              <w:rPr>
                <w:rFonts w:ascii="Arial" w:eastAsia="Times New Roman" w:hAnsi="Arial" w:cs="Arial"/>
                <w:lang w:eastAsia="en-GB"/>
              </w:rPr>
              <w:t xml:space="preserve">-antibody-positive </w:t>
            </w:r>
            <w:proofErr w:type="spellStart"/>
            <w:r w:rsidRPr="004208EA">
              <w:rPr>
                <w:rFonts w:ascii="Arial" w:eastAsia="Times New Roman" w:hAnsi="Arial" w:cs="Arial"/>
                <w:lang w:eastAsia="en-GB"/>
              </w:rPr>
              <w:t>gMG</w:t>
            </w:r>
            <w:proofErr w:type="spellEnd"/>
            <w:r w:rsidRPr="003A107A">
              <w:rPr>
                <w:rFonts w:ascii="Arial" w:eastAsia="Times New Roman" w:hAnsi="Arial" w:cs="Arial"/>
                <w:lang w:eastAsia="en-GB"/>
              </w:rPr>
              <w:t xml:space="preserve">: </w:t>
            </w:r>
            <w:r w:rsidR="007B2254">
              <w:rPr>
                <w:rFonts w:ascii="Arial" w:eastAsia="Times New Roman" w:hAnsi="Arial" w:cs="Arial"/>
                <w:lang w:eastAsia="en-GB"/>
              </w:rPr>
              <w:t>~</w:t>
            </w:r>
            <w:r w:rsidRPr="003A107A">
              <w:rPr>
                <w:rFonts w:ascii="Arial" w:eastAsia="Times New Roman" w:hAnsi="Arial" w:cs="Arial"/>
                <w:lang w:eastAsia="en-GB"/>
              </w:rPr>
              <w:t>163-1,222</w:t>
            </w:r>
            <w:r w:rsidR="00115C46">
              <w:rPr>
                <w:rFonts w:ascii="Arial" w:eastAsia="Times New Roman" w:hAnsi="Arial" w:cs="Arial"/>
                <w:lang w:eastAsia="en-GB"/>
              </w:rPr>
              <w:t xml:space="preserve"> </w:t>
            </w:r>
          </w:p>
          <w:p w14:paraId="73514BD2" w14:textId="47B95CA6" w:rsidR="003A107A" w:rsidRDefault="00115C46" w:rsidP="00115C46">
            <w:pPr>
              <w:pStyle w:val="ListParagraph"/>
              <w:ind w:left="1440"/>
              <w:contextualSpacing w:val="0"/>
              <w:rPr>
                <w:rFonts w:ascii="Arial" w:eastAsia="Times New Roman" w:hAnsi="Arial" w:cs="Arial"/>
                <w:lang w:eastAsia="en-GB"/>
              </w:rPr>
            </w:pPr>
            <w:r>
              <w:rPr>
                <w:rFonts w:ascii="Arial" w:eastAsia="Times New Roman" w:hAnsi="Arial" w:cs="Arial"/>
                <w:lang w:eastAsia="en-GB"/>
              </w:rPr>
              <w:t>(</w:t>
            </w:r>
            <w:r w:rsidRPr="00115C46">
              <w:rPr>
                <w:rFonts w:ascii="Arial" w:eastAsia="Times New Roman" w:hAnsi="Arial" w:cs="Arial"/>
                <w:lang w:eastAsia="en-GB"/>
              </w:rPr>
              <w:t xml:space="preserve">MA is for all </w:t>
            </w:r>
            <w:proofErr w:type="spellStart"/>
            <w:r w:rsidRPr="00115C46">
              <w:rPr>
                <w:rFonts w:ascii="Arial" w:eastAsia="Times New Roman" w:hAnsi="Arial" w:cs="Arial"/>
                <w:lang w:eastAsia="en-GB"/>
              </w:rPr>
              <w:t>AChR</w:t>
            </w:r>
            <w:proofErr w:type="spellEnd"/>
            <w:r w:rsidRPr="00115C46">
              <w:rPr>
                <w:rFonts w:ascii="Arial" w:eastAsia="Times New Roman" w:hAnsi="Arial" w:cs="Arial"/>
                <w:lang w:eastAsia="en-GB"/>
              </w:rPr>
              <w:t xml:space="preserve">-antibody-positive </w:t>
            </w:r>
            <w:proofErr w:type="spellStart"/>
            <w:r w:rsidRPr="00115C46">
              <w:rPr>
                <w:rFonts w:ascii="Arial" w:eastAsia="Times New Roman" w:hAnsi="Arial" w:cs="Arial"/>
                <w:lang w:eastAsia="en-GB"/>
              </w:rPr>
              <w:t>gMG</w:t>
            </w:r>
            <w:proofErr w:type="spellEnd"/>
            <w:r>
              <w:rPr>
                <w:rFonts w:ascii="Arial" w:eastAsia="Times New Roman" w:hAnsi="Arial" w:cs="Arial"/>
                <w:lang w:eastAsia="en-GB"/>
              </w:rPr>
              <w:t xml:space="preserve">. </w:t>
            </w:r>
            <w:r w:rsidRPr="00115C46">
              <w:rPr>
                <w:rFonts w:ascii="Arial" w:eastAsia="Times New Roman" w:hAnsi="Arial" w:cs="Arial"/>
                <w:lang w:eastAsia="en-GB"/>
              </w:rPr>
              <w:t>UK clinical use expected to be refractory only</w:t>
            </w:r>
            <w:r>
              <w:rPr>
                <w:rFonts w:ascii="Arial" w:eastAsia="Times New Roman" w:hAnsi="Arial" w:cs="Arial"/>
                <w:lang w:eastAsia="en-GB"/>
              </w:rPr>
              <w:t>).</w:t>
            </w:r>
          </w:p>
          <w:p w14:paraId="44823C03" w14:textId="66139269" w:rsidR="000D3405" w:rsidRPr="008A2405" w:rsidRDefault="005A40F3" w:rsidP="005A40F3">
            <w:pPr>
              <w:pStyle w:val="ListParagraph"/>
              <w:numPr>
                <w:ilvl w:val="0"/>
                <w:numId w:val="36"/>
              </w:numPr>
              <w:spacing w:before="120"/>
              <w:ind w:left="714" w:hanging="357"/>
              <w:contextualSpacing w:val="0"/>
              <w:rPr>
                <w:rFonts w:ascii="Arial" w:eastAsia="Times New Roman" w:hAnsi="Arial" w:cs="Arial"/>
                <w:lang w:eastAsia="en-GB"/>
              </w:rPr>
            </w:pPr>
            <w:r>
              <w:rPr>
                <w:rFonts w:ascii="Arial" w:hAnsi="Arial" w:cs="Arial"/>
              </w:rPr>
              <w:t>The</w:t>
            </w:r>
            <w:r w:rsidR="001672D1">
              <w:rPr>
                <w:rFonts w:ascii="Arial" w:hAnsi="Arial" w:cs="Arial"/>
              </w:rPr>
              <w:t>refore</w:t>
            </w:r>
            <w:r w:rsidR="00150C0E">
              <w:rPr>
                <w:rFonts w:ascii="Arial" w:hAnsi="Arial" w:cs="Arial"/>
              </w:rPr>
              <w:t xml:space="preserve">, the estimated </w:t>
            </w:r>
            <w:r>
              <w:rPr>
                <w:rFonts w:ascii="Arial" w:hAnsi="Arial" w:cs="Arial"/>
              </w:rPr>
              <w:t>total population across all indications</w:t>
            </w:r>
            <w:r w:rsidR="00150C0E">
              <w:rPr>
                <w:rFonts w:ascii="Arial" w:hAnsi="Arial" w:cs="Arial"/>
              </w:rPr>
              <w:t xml:space="preserve"> (inc. NMOSD)</w:t>
            </w:r>
            <w:r>
              <w:rPr>
                <w:rFonts w:ascii="Arial" w:hAnsi="Arial" w:cs="Arial"/>
              </w:rPr>
              <w:t xml:space="preserve"> </w:t>
            </w:r>
            <w:r w:rsidR="00150C0E">
              <w:rPr>
                <w:rFonts w:ascii="Arial" w:hAnsi="Arial" w:cs="Arial"/>
              </w:rPr>
              <w:t>ranges from 609-</w:t>
            </w:r>
            <w:r w:rsidR="001A01D1">
              <w:rPr>
                <w:rFonts w:ascii="Arial" w:hAnsi="Arial" w:cs="Arial"/>
              </w:rPr>
              <w:t>2,451</w:t>
            </w:r>
            <w:r w:rsidR="00150C0E">
              <w:rPr>
                <w:rFonts w:ascii="Arial" w:hAnsi="Arial" w:cs="Arial"/>
              </w:rPr>
              <w:t xml:space="preserve">, </w:t>
            </w:r>
            <w:r w:rsidR="00A27C26" w:rsidRPr="008A2405">
              <w:rPr>
                <w:rFonts w:ascii="Arial" w:hAnsi="Arial" w:cs="Arial"/>
              </w:rPr>
              <w:t>exceed</w:t>
            </w:r>
            <w:r w:rsidR="00150C0E">
              <w:rPr>
                <w:rFonts w:ascii="Arial" w:hAnsi="Arial" w:cs="Arial"/>
              </w:rPr>
              <w:t>ing</w:t>
            </w:r>
            <w:r w:rsidR="00A27C26" w:rsidRPr="008A2405">
              <w:rPr>
                <w:rFonts w:ascii="Arial" w:hAnsi="Arial" w:cs="Arial"/>
              </w:rPr>
              <w:t xml:space="preserve"> the </w:t>
            </w:r>
            <w:r w:rsidR="003A107A">
              <w:rPr>
                <w:rFonts w:ascii="Arial" w:hAnsi="Arial" w:cs="Arial"/>
              </w:rPr>
              <w:t>5</w:t>
            </w:r>
            <w:r w:rsidR="00A27C26" w:rsidRPr="008A2405">
              <w:rPr>
                <w:rFonts w:ascii="Arial" w:hAnsi="Arial" w:cs="Arial"/>
              </w:rPr>
              <w:t xml:space="preserve">00 cited in the criterion. </w:t>
            </w:r>
          </w:p>
        </w:tc>
        <w:tc>
          <w:tcPr>
            <w:tcW w:w="630" w:type="pct"/>
            <w:tcBorders>
              <w:top w:val="nil"/>
              <w:left w:val="single" w:sz="8" w:space="0" w:color="auto"/>
              <w:bottom w:val="single" w:sz="8" w:space="0" w:color="auto"/>
              <w:right w:val="single" w:sz="8" w:space="0" w:color="auto"/>
            </w:tcBorders>
            <w:shd w:val="clear" w:color="auto" w:fill="FF0000"/>
          </w:tcPr>
          <w:p w14:paraId="0BA94EBF" w14:textId="77777777" w:rsidR="00D71447" w:rsidRDefault="00D71447" w:rsidP="00D71447">
            <w:pPr>
              <w:ind w:left="288" w:right="188"/>
              <w:rPr>
                <w:rFonts w:ascii="Arial" w:hAnsi="Arial" w:cs="Arial"/>
              </w:rPr>
            </w:pPr>
            <w:r w:rsidRPr="00D71447">
              <w:rPr>
                <w:rFonts w:ascii="Arial" w:hAnsi="Arial" w:cs="Arial"/>
              </w:rPr>
              <w:lastRenderedPageBreak/>
              <w:t>Not met</w:t>
            </w:r>
          </w:p>
          <w:p w14:paraId="793EB539" w14:textId="77777777" w:rsidR="000D3405" w:rsidRPr="00EF3DC0" w:rsidRDefault="000D3405" w:rsidP="00D71447">
            <w:pPr>
              <w:ind w:left="288" w:right="188"/>
              <w:rPr>
                <w:rFonts w:ascii="Arial" w:hAnsi="Arial" w:cs="Arial"/>
                <w:b/>
                <w:bCs/>
              </w:rPr>
            </w:pPr>
          </w:p>
        </w:tc>
      </w:tr>
      <w:tr w:rsidR="000D3405" w:rsidRPr="00C9475C" w14:paraId="1175B310" w14:textId="77777777" w:rsidTr="00D1140F">
        <w:tc>
          <w:tcPr>
            <w:tcW w:w="403" w:type="pct"/>
            <w:tcBorders>
              <w:top w:val="nil"/>
              <w:left w:val="single" w:sz="8" w:space="0" w:color="auto"/>
              <w:bottom w:val="single" w:sz="8" w:space="0" w:color="auto"/>
              <w:right w:val="single" w:sz="8" w:space="0" w:color="auto"/>
            </w:tcBorders>
          </w:tcPr>
          <w:p w14:paraId="2BF78B6E"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2ACC151" w14:textId="77777777" w:rsidR="000D3405" w:rsidRPr="008A2405" w:rsidRDefault="000D3405" w:rsidP="00742AF3">
            <w:pPr>
              <w:rPr>
                <w:rFonts w:ascii="Arial" w:hAnsi="Arial" w:cs="Arial"/>
              </w:rPr>
            </w:pPr>
            <w:r w:rsidRPr="008A2405">
              <w:rPr>
                <w:rFonts w:ascii="Arial" w:hAnsi="Arial" w:cs="Arial"/>
              </w:rPr>
              <w:t xml:space="preserve">The very rare condition significantly shortens life or severely impairs its </w:t>
            </w:r>
            <w:proofErr w:type="gramStart"/>
            <w:r w:rsidRPr="008A2405">
              <w:rPr>
                <w:rFonts w:ascii="Arial" w:hAnsi="Arial" w:cs="Arial"/>
              </w:rPr>
              <w:t>quality</w:t>
            </w:r>
            <w:proofErr w:type="gramEnd"/>
            <w:r w:rsidRPr="008A2405">
              <w:rPr>
                <w:rFonts w:ascii="Arial" w:hAnsi="Arial" w:cs="Arial"/>
              </w:rPr>
              <w:t xml:space="preserve"> </w:t>
            </w:r>
          </w:p>
          <w:p w14:paraId="48812FC5" w14:textId="77777777" w:rsidR="000D3405" w:rsidRPr="008A2405"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197502C6" w14:textId="2E577D09" w:rsidR="008A2405" w:rsidRDefault="008A2405" w:rsidP="00294573">
            <w:pPr>
              <w:pStyle w:val="ListParagraph"/>
              <w:numPr>
                <w:ilvl w:val="0"/>
                <w:numId w:val="35"/>
              </w:numPr>
              <w:spacing w:before="120"/>
              <w:ind w:left="714" w:hanging="357"/>
              <w:contextualSpacing w:val="0"/>
              <w:rPr>
                <w:rFonts w:ascii="Arial" w:hAnsi="Arial" w:cs="Arial"/>
              </w:rPr>
            </w:pPr>
            <w:r w:rsidRPr="008A2405">
              <w:rPr>
                <w:rFonts w:ascii="Arial" w:hAnsi="Arial" w:cs="Arial"/>
              </w:rPr>
              <w:t>The symptoms of NMOSD can range from mild to severe</w:t>
            </w:r>
            <w:r>
              <w:rPr>
                <w:rFonts w:ascii="Arial" w:hAnsi="Arial" w:cs="Arial"/>
              </w:rPr>
              <w:t xml:space="preserve"> and vary from person to person</w:t>
            </w:r>
            <w:r w:rsidRPr="008A2405">
              <w:rPr>
                <w:rFonts w:ascii="Arial" w:hAnsi="Arial" w:cs="Arial"/>
              </w:rPr>
              <w:t>.</w:t>
            </w:r>
            <w:r w:rsidR="00372CAC">
              <w:rPr>
                <w:rFonts w:ascii="Arial" w:hAnsi="Arial" w:cs="Arial"/>
              </w:rPr>
              <w:t xml:space="preserve"> The disease attacks the </w:t>
            </w:r>
            <w:r w:rsidR="00372CAC" w:rsidRPr="00372CAC">
              <w:rPr>
                <w:rFonts w:ascii="Arial" w:hAnsi="Arial" w:cs="Arial"/>
              </w:rPr>
              <w:t>optical nerves, spinal cord, and occasionally the brain.</w:t>
            </w:r>
          </w:p>
          <w:p w14:paraId="64A4ABE6" w14:textId="0F51A6F5" w:rsidR="00152110" w:rsidRDefault="008A2405" w:rsidP="00294573">
            <w:pPr>
              <w:pStyle w:val="ListParagraph"/>
              <w:numPr>
                <w:ilvl w:val="0"/>
                <w:numId w:val="35"/>
              </w:numPr>
              <w:spacing w:before="120"/>
              <w:ind w:left="714" w:hanging="357"/>
              <w:contextualSpacing w:val="0"/>
              <w:rPr>
                <w:rFonts w:ascii="Arial" w:hAnsi="Arial" w:cs="Arial"/>
              </w:rPr>
            </w:pPr>
            <w:r w:rsidRPr="008A2405">
              <w:rPr>
                <w:rFonts w:ascii="Arial" w:hAnsi="Arial" w:cs="Arial"/>
              </w:rPr>
              <w:t xml:space="preserve">In some cases, </w:t>
            </w:r>
            <w:r>
              <w:rPr>
                <w:rFonts w:ascii="Arial" w:hAnsi="Arial" w:cs="Arial"/>
              </w:rPr>
              <w:t>people may have a</w:t>
            </w:r>
            <w:r w:rsidRPr="008A2405">
              <w:rPr>
                <w:rFonts w:ascii="Arial" w:hAnsi="Arial" w:cs="Arial"/>
              </w:rPr>
              <w:t xml:space="preserve"> good recover</w:t>
            </w:r>
            <w:r>
              <w:rPr>
                <w:rFonts w:ascii="Arial" w:hAnsi="Arial" w:cs="Arial"/>
              </w:rPr>
              <w:t>y</w:t>
            </w:r>
            <w:r w:rsidRPr="008A2405">
              <w:rPr>
                <w:rFonts w:ascii="Arial" w:hAnsi="Arial" w:cs="Arial"/>
              </w:rPr>
              <w:t xml:space="preserve"> and no further relapses for a long time.  However, in severe cases, there can be </w:t>
            </w:r>
            <w:proofErr w:type="gramStart"/>
            <w:r w:rsidRPr="008A2405">
              <w:rPr>
                <w:rFonts w:ascii="Arial" w:hAnsi="Arial" w:cs="Arial"/>
              </w:rPr>
              <w:t>a</w:t>
            </w:r>
            <w:r w:rsidR="00E92287">
              <w:rPr>
                <w:rFonts w:ascii="Arial" w:hAnsi="Arial" w:cs="Arial"/>
              </w:rPr>
              <w:t xml:space="preserve"> </w:t>
            </w:r>
            <w:r w:rsidRPr="008A2405">
              <w:rPr>
                <w:rFonts w:ascii="Arial" w:hAnsi="Arial" w:cs="Arial"/>
              </w:rPr>
              <w:t>number of</w:t>
            </w:r>
            <w:proofErr w:type="gramEnd"/>
            <w:r w:rsidRPr="008A2405">
              <w:rPr>
                <w:rFonts w:ascii="Arial" w:hAnsi="Arial" w:cs="Arial"/>
              </w:rPr>
              <w:t xml:space="preserve"> attacks which lead to </w:t>
            </w:r>
            <w:r>
              <w:rPr>
                <w:rFonts w:ascii="Arial" w:hAnsi="Arial" w:cs="Arial"/>
              </w:rPr>
              <w:t xml:space="preserve">irreversible </w:t>
            </w:r>
            <w:r w:rsidRPr="008A2405">
              <w:rPr>
                <w:rFonts w:ascii="Arial" w:hAnsi="Arial" w:cs="Arial"/>
              </w:rPr>
              <w:t>disability.</w:t>
            </w:r>
          </w:p>
          <w:p w14:paraId="427602D5" w14:textId="77777777" w:rsidR="00E92287" w:rsidRDefault="00152110" w:rsidP="00294573">
            <w:pPr>
              <w:pStyle w:val="ListParagraph"/>
              <w:numPr>
                <w:ilvl w:val="0"/>
                <w:numId w:val="35"/>
              </w:numPr>
              <w:spacing w:before="120"/>
              <w:ind w:left="714" w:hanging="357"/>
              <w:contextualSpacing w:val="0"/>
              <w:rPr>
                <w:rFonts w:ascii="Arial" w:hAnsi="Arial" w:cs="Arial"/>
              </w:rPr>
            </w:pPr>
            <w:r w:rsidRPr="00152110">
              <w:rPr>
                <w:rFonts w:ascii="Arial" w:hAnsi="Arial" w:cs="Arial"/>
              </w:rPr>
              <w:t xml:space="preserve">The disabilities which can accumulate with each acute attack include </w:t>
            </w:r>
            <w:r w:rsidR="00E92287">
              <w:rPr>
                <w:rFonts w:ascii="Arial" w:hAnsi="Arial" w:cs="Arial"/>
              </w:rPr>
              <w:t>vision loss</w:t>
            </w:r>
            <w:r w:rsidRPr="00152110">
              <w:rPr>
                <w:rFonts w:ascii="Arial" w:hAnsi="Arial" w:cs="Arial"/>
              </w:rPr>
              <w:t xml:space="preserve"> and/or paralysis of limbs.</w:t>
            </w:r>
            <w:r>
              <w:rPr>
                <w:rFonts w:ascii="Arial" w:hAnsi="Arial" w:cs="Arial"/>
                <w:color w:val="444444"/>
                <w:sz w:val="18"/>
                <w:szCs w:val="18"/>
                <w:shd w:val="clear" w:color="auto" w:fill="FFFFFF"/>
              </w:rPr>
              <w:t> </w:t>
            </w:r>
            <w:r w:rsidR="008A2405" w:rsidRPr="008A2405">
              <w:rPr>
                <w:rFonts w:ascii="Arial" w:hAnsi="Arial" w:cs="Arial"/>
              </w:rPr>
              <w:t xml:space="preserve">  </w:t>
            </w:r>
          </w:p>
          <w:p w14:paraId="563530A2" w14:textId="77777777" w:rsidR="003925F1" w:rsidRPr="003925F1" w:rsidRDefault="003925F1" w:rsidP="00294573">
            <w:pPr>
              <w:pStyle w:val="ListParagraph"/>
              <w:numPr>
                <w:ilvl w:val="0"/>
                <w:numId w:val="35"/>
              </w:numPr>
              <w:spacing w:before="120"/>
              <w:ind w:left="714" w:hanging="357"/>
              <w:contextualSpacing w:val="0"/>
              <w:rPr>
                <w:rFonts w:ascii="Arial" w:hAnsi="Arial" w:cs="Arial"/>
              </w:rPr>
            </w:pPr>
            <w:r>
              <w:rPr>
                <w:rFonts w:ascii="Arial" w:hAnsi="Arial" w:cs="Arial"/>
              </w:rPr>
              <w:t xml:space="preserve">Untreated, approximately 50% of people with NMOSD </w:t>
            </w:r>
            <w:r>
              <w:rPr>
                <w:rFonts w:ascii="Helvetica" w:hAnsi="Helvetica" w:cs="Helvetica"/>
                <w:color w:val="333333"/>
                <w:shd w:val="clear" w:color="auto" w:fill="FFFFFF"/>
              </w:rPr>
              <w:t>will be wheelchair users and blind, and a third will have died within 5 years of their first attack.</w:t>
            </w:r>
            <w:r>
              <w:rPr>
                <w:rStyle w:val="EndnoteReference"/>
                <w:rFonts w:ascii="Arial" w:hAnsi="Arial" w:cs="Arial"/>
              </w:rPr>
              <w:endnoteReference w:id="8"/>
            </w:r>
          </w:p>
          <w:p w14:paraId="25D1C920" w14:textId="5508ECEE" w:rsidR="00E92287" w:rsidRPr="00DE7F80" w:rsidRDefault="00E92287" w:rsidP="00DE7F80">
            <w:pPr>
              <w:pStyle w:val="ListParagraph"/>
              <w:numPr>
                <w:ilvl w:val="0"/>
                <w:numId w:val="35"/>
              </w:numPr>
              <w:spacing w:before="120"/>
              <w:ind w:left="714" w:hanging="357"/>
              <w:contextualSpacing w:val="0"/>
              <w:rPr>
                <w:rFonts w:ascii="Arial" w:hAnsi="Arial" w:cs="Arial"/>
              </w:rPr>
            </w:pPr>
            <w:r>
              <w:rPr>
                <w:rFonts w:ascii="Arial" w:hAnsi="Arial" w:cs="Arial"/>
              </w:rPr>
              <w:lastRenderedPageBreak/>
              <w:t xml:space="preserve">With prompt diagnosis and treatment, outcomes are improved. </w:t>
            </w:r>
            <w:r w:rsidRPr="00E92287">
              <w:rPr>
                <w:rFonts w:ascii="Arial" w:hAnsi="Arial" w:cs="Arial"/>
              </w:rPr>
              <w:t>When treated, the 5-year survival rate for monophasic (single attack) NMO is 90 percent</w:t>
            </w:r>
            <w:r w:rsidR="003925F1">
              <w:rPr>
                <w:rFonts w:ascii="Arial" w:hAnsi="Arial" w:cs="Arial"/>
              </w:rPr>
              <w:t xml:space="preserve"> and for</w:t>
            </w:r>
            <w:r w:rsidRPr="00E92287">
              <w:rPr>
                <w:rFonts w:ascii="Arial" w:hAnsi="Arial" w:cs="Arial"/>
              </w:rPr>
              <w:t xml:space="preserve"> relapsing NMO (more than 1 attack) is </w:t>
            </w:r>
            <w:r w:rsidR="003925F1">
              <w:rPr>
                <w:rFonts w:ascii="Arial" w:hAnsi="Arial" w:cs="Arial"/>
              </w:rPr>
              <w:t>68 percent</w:t>
            </w:r>
            <w:r w:rsidRPr="00E92287">
              <w:rPr>
                <w:rFonts w:ascii="Arial" w:hAnsi="Arial" w:cs="Arial"/>
              </w:rPr>
              <w:t>.</w:t>
            </w:r>
            <w:r>
              <w:rPr>
                <w:rStyle w:val="EndnoteReference"/>
                <w:rFonts w:ascii="Arial" w:hAnsi="Arial" w:cs="Arial"/>
              </w:rPr>
              <w:endnoteReference w:id="9"/>
            </w:r>
            <w:r w:rsidR="003925F1">
              <w:rPr>
                <w:rFonts w:ascii="Arial" w:hAnsi="Arial" w:cs="Arial"/>
              </w:rPr>
              <w:t xml:space="preserve"> </w:t>
            </w:r>
          </w:p>
        </w:tc>
        <w:tc>
          <w:tcPr>
            <w:tcW w:w="630" w:type="pct"/>
            <w:tcBorders>
              <w:top w:val="nil"/>
              <w:left w:val="single" w:sz="8" w:space="0" w:color="auto"/>
              <w:bottom w:val="single" w:sz="8" w:space="0" w:color="auto"/>
              <w:right w:val="single" w:sz="8" w:space="0" w:color="auto"/>
            </w:tcBorders>
            <w:shd w:val="clear" w:color="auto" w:fill="92D050"/>
          </w:tcPr>
          <w:p w14:paraId="7C1D8F1D" w14:textId="7AFAE89B" w:rsidR="00D71447" w:rsidRPr="00D71447" w:rsidRDefault="00D1140F" w:rsidP="00D71447">
            <w:pPr>
              <w:ind w:left="288" w:right="188"/>
              <w:rPr>
                <w:rFonts w:ascii="Arial" w:hAnsi="Arial" w:cs="Arial"/>
              </w:rPr>
            </w:pPr>
            <w:r>
              <w:rPr>
                <w:rFonts w:ascii="Arial" w:hAnsi="Arial" w:cs="Arial"/>
              </w:rPr>
              <w:lastRenderedPageBreak/>
              <w:t xml:space="preserve">Met </w:t>
            </w:r>
          </w:p>
          <w:p w14:paraId="50380DC9" w14:textId="77777777" w:rsidR="000D3405" w:rsidRPr="00EF3DC0" w:rsidRDefault="000D3405" w:rsidP="00CE5D4F">
            <w:pPr>
              <w:ind w:left="288" w:right="188"/>
              <w:rPr>
                <w:rFonts w:ascii="Arial" w:hAnsi="Arial" w:cs="Arial"/>
                <w:b/>
                <w:bCs/>
              </w:rPr>
            </w:pPr>
          </w:p>
        </w:tc>
      </w:tr>
      <w:tr w:rsidR="000D3405" w:rsidRPr="00C9475C" w14:paraId="478632B2" w14:textId="77777777" w:rsidTr="0005519C">
        <w:tc>
          <w:tcPr>
            <w:tcW w:w="403" w:type="pct"/>
            <w:tcBorders>
              <w:top w:val="nil"/>
              <w:left w:val="single" w:sz="8" w:space="0" w:color="auto"/>
              <w:bottom w:val="single" w:sz="8" w:space="0" w:color="auto"/>
              <w:right w:val="single" w:sz="8" w:space="0" w:color="auto"/>
            </w:tcBorders>
          </w:tcPr>
          <w:p w14:paraId="6B631486"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73CDC" w14:textId="77777777" w:rsidR="000D3405" w:rsidRPr="008A2405" w:rsidRDefault="000D3405" w:rsidP="00742AF3">
            <w:pPr>
              <w:rPr>
                <w:rFonts w:ascii="Arial" w:hAnsi="Arial" w:cs="Arial"/>
              </w:rPr>
            </w:pPr>
            <w:r w:rsidRPr="008A2405">
              <w:rPr>
                <w:rFonts w:ascii="Arial" w:hAnsi="Arial" w:cs="Arial"/>
              </w:rPr>
              <w:t>There are no other satisfactory treatment options, or the technology is likely to offer significant additional benefit over existing treatment options.</w:t>
            </w:r>
          </w:p>
          <w:p w14:paraId="3D869837" w14:textId="77777777" w:rsidR="00D71447" w:rsidRPr="008A2405" w:rsidRDefault="00D71447" w:rsidP="00742AF3">
            <w:pPr>
              <w:rPr>
                <w:rFonts w:ascii="Arial" w:hAnsi="Arial" w:cs="Arial"/>
              </w:rPr>
            </w:pPr>
          </w:p>
          <w:p w14:paraId="6F8A5D14" w14:textId="77777777" w:rsidR="000D3405" w:rsidRPr="008A2405"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264710A0" w14:textId="1DE0899B" w:rsidR="000D3405" w:rsidRPr="009E74C6" w:rsidRDefault="009E74C6" w:rsidP="00D6276C">
            <w:pPr>
              <w:pStyle w:val="ListParagraph"/>
              <w:numPr>
                <w:ilvl w:val="0"/>
                <w:numId w:val="37"/>
              </w:numPr>
              <w:rPr>
                <w:rFonts w:ascii="Arial" w:hAnsi="Arial" w:cs="Arial"/>
              </w:rPr>
            </w:pPr>
            <w:r w:rsidRPr="009E74C6">
              <w:rPr>
                <w:rFonts w:ascii="Arial" w:hAnsi="Arial" w:cs="Arial"/>
              </w:rPr>
              <w:t xml:space="preserve">There is no cure for </w:t>
            </w:r>
            <w:proofErr w:type="gramStart"/>
            <w:r w:rsidRPr="009E74C6">
              <w:rPr>
                <w:rFonts w:ascii="Arial" w:hAnsi="Arial" w:cs="Arial"/>
              </w:rPr>
              <w:t>NMOSD</w:t>
            </w:r>
            <w:proofErr w:type="gramEnd"/>
            <w:r w:rsidRPr="009E74C6">
              <w:rPr>
                <w:rFonts w:ascii="Arial" w:hAnsi="Arial" w:cs="Arial"/>
              </w:rPr>
              <w:t xml:space="preserve"> but e</w:t>
            </w:r>
            <w:r w:rsidR="00A66AF6" w:rsidRPr="009E74C6">
              <w:rPr>
                <w:rFonts w:ascii="Arial" w:hAnsi="Arial" w:cs="Arial"/>
              </w:rPr>
              <w:t>ffective treatment is available</w:t>
            </w:r>
            <w:r w:rsidRPr="009E74C6">
              <w:rPr>
                <w:rFonts w:ascii="Arial" w:hAnsi="Arial" w:cs="Arial"/>
              </w:rPr>
              <w:t xml:space="preserve">. </w:t>
            </w:r>
          </w:p>
          <w:p w14:paraId="1E064CAF" w14:textId="37819A1C" w:rsidR="009E74C6" w:rsidRPr="009E74C6" w:rsidRDefault="00BE1B90" w:rsidP="004208EA">
            <w:pPr>
              <w:pStyle w:val="ListParagraph"/>
              <w:numPr>
                <w:ilvl w:val="1"/>
                <w:numId w:val="37"/>
              </w:numPr>
              <w:spacing w:before="120"/>
              <w:contextualSpacing w:val="0"/>
              <w:rPr>
                <w:rFonts w:ascii="Arial" w:hAnsi="Arial" w:cs="Arial"/>
              </w:rPr>
            </w:pPr>
            <w:r>
              <w:rPr>
                <w:rFonts w:ascii="Arial" w:hAnsi="Arial" w:cs="Arial"/>
              </w:rPr>
              <w:t>H</w:t>
            </w:r>
            <w:r w:rsidR="009E74C6" w:rsidRPr="009E74C6">
              <w:rPr>
                <w:rFonts w:ascii="Arial" w:hAnsi="Arial" w:cs="Arial"/>
              </w:rPr>
              <w:t>igh dose steroids</w:t>
            </w:r>
            <w:r>
              <w:rPr>
                <w:rFonts w:ascii="Arial" w:hAnsi="Arial" w:cs="Arial"/>
              </w:rPr>
              <w:t xml:space="preserve"> are used to treat acute NMOSD attacks</w:t>
            </w:r>
            <w:r w:rsidR="009E74C6" w:rsidRPr="009E74C6">
              <w:rPr>
                <w:rFonts w:ascii="Arial" w:hAnsi="Arial" w:cs="Arial"/>
              </w:rPr>
              <w:t>. Plasma Exchange or Intravenous Immunoglobulins may be given</w:t>
            </w:r>
            <w:r w:rsidR="00013078">
              <w:rPr>
                <w:rFonts w:ascii="Arial" w:hAnsi="Arial" w:cs="Arial"/>
              </w:rPr>
              <w:t xml:space="preserve"> if </w:t>
            </w:r>
            <w:r w:rsidR="00013078" w:rsidRPr="009E74C6">
              <w:rPr>
                <w:rFonts w:ascii="Arial" w:hAnsi="Arial" w:cs="Arial"/>
              </w:rPr>
              <w:t>attacks progress or do not respond to corticosteroid treatment</w:t>
            </w:r>
            <w:r w:rsidR="009E74C6" w:rsidRPr="009E74C6">
              <w:rPr>
                <w:rFonts w:ascii="Arial" w:hAnsi="Arial" w:cs="Arial"/>
              </w:rPr>
              <w:t>.</w:t>
            </w:r>
          </w:p>
          <w:p w14:paraId="2E49ECE7" w14:textId="5E3A6E8C" w:rsidR="00D6276C" w:rsidRDefault="005C59BD" w:rsidP="00D6276C">
            <w:pPr>
              <w:pStyle w:val="ListParagraph"/>
              <w:numPr>
                <w:ilvl w:val="1"/>
                <w:numId w:val="37"/>
              </w:numPr>
              <w:spacing w:before="120"/>
              <w:contextualSpacing w:val="0"/>
              <w:rPr>
                <w:rFonts w:ascii="Arial" w:hAnsi="Arial" w:cs="Arial"/>
              </w:rPr>
            </w:pPr>
            <w:r w:rsidRPr="009E74C6">
              <w:rPr>
                <w:rFonts w:ascii="Arial" w:hAnsi="Arial" w:cs="Arial"/>
              </w:rPr>
              <w:t>Immunosuppressants</w:t>
            </w:r>
            <w:r w:rsidR="009E74C6" w:rsidRPr="009E74C6">
              <w:rPr>
                <w:rFonts w:ascii="Arial" w:hAnsi="Arial" w:cs="Arial"/>
              </w:rPr>
              <w:t xml:space="preserve"> are then used </w:t>
            </w:r>
            <w:r w:rsidR="00013078">
              <w:rPr>
                <w:rFonts w:ascii="Arial" w:hAnsi="Arial" w:cs="Arial"/>
              </w:rPr>
              <w:t xml:space="preserve">long-term </w:t>
            </w:r>
            <w:r w:rsidR="009E74C6" w:rsidRPr="009E74C6">
              <w:rPr>
                <w:rFonts w:ascii="Arial" w:hAnsi="Arial" w:cs="Arial"/>
              </w:rPr>
              <w:t xml:space="preserve">to prevent relapses. </w:t>
            </w:r>
          </w:p>
          <w:p w14:paraId="4BE115A6" w14:textId="0D7D5C32" w:rsidR="004208EA" w:rsidRPr="0005519C" w:rsidRDefault="00D6276C" w:rsidP="0005519C">
            <w:pPr>
              <w:pStyle w:val="ListParagraph"/>
              <w:numPr>
                <w:ilvl w:val="0"/>
                <w:numId w:val="37"/>
              </w:numPr>
              <w:spacing w:before="120"/>
              <w:contextualSpacing w:val="0"/>
              <w:rPr>
                <w:rFonts w:ascii="Arial" w:hAnsi="Arial" w:cs="Arial"/>
              </w:rPr>
            </w:pPr>
            <w:r>
              <w:rPr>
                <w:rFonts w:ascii="Arial" w:hAnsi="Arial" w:cs="Arial"/>
              </w:rPr>
              <w:t xml:space="preserve">However, </w:t>
            </w:r>
            <w:r w:rsidR="004208EA">
              <w:rPr>
                <w:rFonts w:ascii="Arial" w:hAnsi="Arial" w:cs="Arial"/>
              </w:rPr>
              <w:t>some</w:t>
            </w:r>
            <w:r>
              <w:rPr>
                <w:rFonts w:ascii="Arial" w:hAnsi="Arial" w:cs="Arial"/>
              </w:rPr>
              <w:t xml:space="preserve"> people are refractory to current treatments.</w:t>
            </w:r>
            <w:r w:rsidR="0005519C">
              <w:rPr>
                <w:rFonts w:ascii="Arial" w:hAnsi="Arial" w:cs="Arial"/>
              </w:rPr>
              <w:t xml:space="preserve"> </w:t>
            </w:r>
            <w:r w:rsidRPr="0005519C">
              <w:rPr>
                <w:rFonts w:ascii="Arial" w:hAnsi="Arial" w:cs="Arial"/>
              </w:rPr>
              <w:t xml:space="preserve">Clinical expert stated that 50% relapse on 1st line immunosuppressant treatment in 2 </w:t>
            </w:r>
            <w:proofErr w:type="spellStart"/>
            <w:r w:rsidRPr="0005519C">
              <w:rPr>
                <w:rFonts w:ascii="Arial" w:hAnsi="Arial" w:cs="Arial"/>
              </w:rPr>
              <w:t>yrs</w:t>
            </w:r>
            <w:proofErr w:type="spellEnd"/>
            <w:r w:rsidRPr="0005519C">
              <w:rPr>
                <w:rFonts w:ascii="Arial" w:hAnsi="Arial" w:cs="Arial"/>
              </w:rPr>
              <w:t xml:space="preserve">, and 48% </w:t>
            </w:r>
            <w:r w:rsidR="004208EA" w:rsidRPr="0005519C">
              <w:rPr>
                <w:rFonts w:ascii="Arial" w:hAnsi="Arial" w:cs="Arial"/>
              </w:rPr>
              <w:t>relapse on</w:t>
            </w:r>
            <w:r w:rsidRPr="0005519C">
              <w:rPr>
                <w:rFonts w:ascii="Arial" w:hAnsi="Arial" w:cs="Arial"/>
              </w:rPr>
              <w:t xml:space="preserve"> rituximab as 2nd/3rd line. </w:t>
            </w:r>
          </w:p>
          <w:p w14:paraId="15085108" w14:textId="77777777" w:rsidR="004208EA" w:rsidRPr="004208EA" w:rsidRDefault="004208EA" w:rsidP="004208EA">
            <w:pPr>
              <w:pStyle w:val="ListParagraph"/>
              <w:rPr>
                <w:rFonts w:ascii="Arial" w:hAnsi="Arial" w:cs="Arial"/>
              </w:rPr>
            </w:pPr>
          </w:p>
          <w:p w14:paraId="66FF0A9F" w14:textId="07B89481" w:rsidR="00D6276C" w:rsidRPr="004208EA" w:rsidRDefault="00FB10AB" w:rsidP="004A20B2">
            <w:pPr>
              <w:pStyle w:val="ListParagraph"/>
              <w:numPr>
                <w:ilvl w:val="0"/>
                <w:numId w:val="37"/>
              </w:numPr>
              <w:rPr>
                <w:rFonts w:ascii="Arial" w:hAnsi="Arial" w:cs="Arial"/>
              </w:rPr>
            </w:pPr>
            <w:r>
              <w:rPr>
                <w:rFonts w:ascii="Arial" w:hAnsi="Arial" w:cs="Arial"/>
              </w:rPr>
              <w:t xml:space="preserve">Clinical experts said ravulizumab </w:t>
            </w:r>
            <w:r w:rsidR="00D6276C" w:rsidRPr="004208EA">
              <w:rPr>
                <w:rFonts w:ascii="Arial" w:hAnsi="Arial" w:cs="Arial"/>
              </w:rPr>
              <w:t xml:space="preserve">would be most valuable for those who relapse </w:t>
            </w:r>
            <w:r>
              <w:rPr>
                <w:rFonts w:ascii="Arial" w:hAnsi="Arial" w:cs="Arial"/>
              </w:rPr>
              <w:t>despite current treatments</w:t>
            </w:r>
            <w:r w:rsidR="004208EA" w:rsidRPr="004208EA">
              <w:rPr>
                <w:rFonts w:ascii="Arial" w:hAnsi="Arial" w:cs="Arial"/>
              </w:rPr>
              <w:t xml:space="preserve"> (~10-24% of total </w:t>
            </w:r>
            <w:r w:rsidR="004208EA" w:rsidRPr="00F016D5">
              <w:rPr>
                <w:rFonts w:ascii="Arial" w:hAnsi="Arial" w:cs="Arial"/>
              </w:rPr>
              <w:t>AQP4 Ab+ NMOSD</w:t>
            </w:r>
            <w:r w:rsidR="004208EA">
              <w:rPr>
                <w:rFonts w:ascii="Arial" w:hAnsi="Arial" w:cs="Arial"/>
              </w:rPr>
              <w:t xml:space="preserve"> population</w:t>
            </w:r>
            <w:r w:rsidR="004208EA" w:rsidRPr="004208EA">
              <w:rPr>
                <w:rFonts w:ascii="Arial" w:hAnsi="Arial" w:cs="Arial"/>
              </w:rPr>
              <w:t>)</w:t>
            </w:r>
            <w:r w:rsidR="00D6276C" w:rsidRPr="004208EA">
              <w:rPr>
                <w:rFonts w:ascii="Arial" w:hAnsi="Arial" w:cs="Arial"/>
              </w:rPr>
              <w:t>.</w:t>
            </w:r>
          </w:p>
          <w:p w14:paraId="3DD2FB29" w14:textId="77777777" w:rsidR="00D6276C" w:rsidRPr="004208EA" w:rsidRDefault="00D6276C" w:rsidP="004208EA">
            <w:pPr>
              <w:rPr>
                <w:rFonts w:ascii="Arial" w:hAnsi="Arial" w:cs="Arial"/>
              </w:rPr>
            </w:pPr>
          </w:p>
          <w:p w14:paraId="7C192E75" w14:textId="1A8D3676" w:rsidR="007B2254" w:rsidRPr="00DE7F80" w:rsidRDefault="00FB10AB" w:rsidP="00DE7F80">
            <w:pPr>
              <w:pStyle w:val="ListParagraph"/>
              <w:numPr>
                <w:ilvl w:val="0"/>
                <w:numId w:val="37"/>
              </w:numPr>
              <w:contextualSpacing w:val="0"/>
              <w:rPr>
                <w:rFonts w:ascii="Arial" w:hAnsi="Arial" w:cs="Arial"/>
              </w:rPr>
            </w:pPr>
            <w:r>
              <w:rPr>
                <w:rFonts w:ascii="Arial" w:hAnsi="Arial" w:cs="Arial"/>
              </w:rPr>
              <w:t>Results from the</w:t>
            </w:r>
            <w:r w:rsidR="008B4A2B">
              <w:rPr>
                <w:rFonts w:ascii="Arial" w:hAnsi="Arial" w:cs="Arial"/>
              </w:rPr>
              <w:t xml:space="preserve"> </w:t>
            </w:r>
            <w:r w:rsidR="008B4A2B" w:rsidRPr="008B4A2B">
              <w:rPr>
                <w:rFonts w:ascii="Arial" w:hAnsi="Arial" w:cs="Arial"/>
              </w:rPr>
              <w:t>CHAMPION-NMOSD trial (NCT04201262)</w:t>
            </w:r>
            <w:r>
              <w:rPr>
                <w:rFonts w:ascii="Arial" w:hAnsi="Arial" w:cs="Arial"/>
              </w:rPr>
              <w:t xml:space="preserve"> showed that </w:t>
            </w:r>
            <w:r w:rsidR="00F016D5" w:rsidRPr="00F016D5">
              <w:rPr>
                <w:rFonts w:ascii="Arial" w:hAnsi="Arial" w:cs="Arial"/>
              </w:rPr>
              <w:t xml:space="preserve">ravulizumab reduced the risk of relapse in AQP4 Ab+ NMOSD by 98.6% compared to </w:t>
            </w:r>
            <w:r w:rsidR="00D6276C">
              <w:rPr>
                <w:rFonts w:ascii="Arial" w:hAnsi="Arial" w:cs="Arial"/>
              </w:rPr>
              <w:t xml:space="preserve">an external </w:t>
            </w:r>
            <w:r w:rsidR="00F016D5" w:rsidRPr="00F016D5">
              <w:rPr>
                <w:rFonts w:ascii="Arial" w:hAnsi="Arial" w:cs="Arial"/>
              </w:rPr>
              <w:t xml:space="preserve">placebo. </w:t>
            </w:r>
            <w:r w:rsidR="00D6276C">
              <w:rPr>
                <w:rFonts w:ascii="Arial" w:hAnsi="Arial" w:cs="Arial"/>
              </w:rPr>
              <w:t xml:space="preserve">There were zero relapses in the ravulizumab group, </w:t>
            </w:r>
            <w:r w:rsidR="00D6276C" w:rsidRPr="00D6276C">
              <w:rPr>
                <w:rFonts w:ascii="Arial" w:hAnsi="Arial" w:cs="Arial"/>
              </w:rPr>
              <w:t>with a median treatment duration of 73 weeks</w:t>
            </w:r>
            <w:r w:rsidR="00D6276C">
              <w:rPr>
                <w:rFonts w:ascii="Arial" w:hAnsi="Arial" w:cs="Arial"/>
              </w:rPr>
              <w:t xml:space="preserve">. </w:t>
            </w:r>
            <w:r w:rsidR="00F016D5" w:rsidRPr="00F016D5">
              <w:rPr>
                <w:rFonts w:ascii="Arial" w:hAnsi="Arial" w:cs="Arial"/>
              </w:rPr>
              <w:t>All participants had experienced at least 1 attack or relapse in the 12 months before entering the trial</w:t>
            </w:r>
            <w:r w:rsidR="00F85485">
              <w:rPr>
                <w:rFonts w:ascii="Arial" w:hAnsi="Arial" w:cs="Arial"/>
              </w:rPr>
              <w:t xml:space="preserve">, </w:t>
            </w:r>
            <w:r w:rsidR="00F85485" w:rsidRPr="00F85485">
              <w:rPr>
                <w:rFonts w:ascii="Arial" w:hAnsi="Arial" w:cs="Arial"/>
              </w:rPr>
              <w:t>despite current treatment</w:t>
            </w:r>
            <w:r w:rsidR="00D64977">
              <w:rPr>
                <w:rFonts w:ascii="Arial" w:hAnsi="Arial" w:cs="Arial"/>
              </w:rPr>
              <w:t xml:space="preserve">. ~35% of the participants had </w:t>
            </w:r>
            <w:r w:rsidR="00D6276C">
              <w:rPr>
                <w:rFonts w:ascii="Arial" w:hAnsi="Arial" w:cs="Arial"/>
              </w:rPr>
              <w:t>been treated with rituximab</w:t>
            </w:r>
            <w:r w:rsidR="00D64977">
              <w:rPr>
                <w:rFonts w:ascii="Arial" w:hAnsi="Arial" w:cs="Arial"/>
              </w:rPr>
              <w:t xml:space="preserve"> in the past year</w:t>
            </w:r>
            <w:r w:rsidR="00013078">
              <w:rPr>
                <w:rFonts w:ascii="Arial" w:hAnsi="Arial" w:cs="Arial"/>
              </w:rPr>
              <w:t>.</w:t>
            </w:r>
            <w:r w:rsidR="00315264">
              <w:rPr>
                <w:rStyle w:val="EndnoteReference"/>
                <w:rFonts w:ascii="Arial" w:hAnsi="Arial" w:cs="Arial"/>
              </w:rPr>
              <w:endnoteReference w:id="10"/>
            </w:r>
            <w:r w:rsidR="00013078">
              <w:rPr>
                <w:rFonts w:ascii="Arial" w:hAnsi="Arial" w:cs="Arial"/>
              </w:rPr>
              <w:t xml:space="preserve"> </w:t>
            </w:r>
          </w:p>
        </w:tc>
        <w:tc>
          <w:tcPr>
            <w:tcW w:w="630" w:type="pct"/>
            <w:tcBorders>
              <w:top w:val="nil"/>
              <w:left w:val="single" w:sz="8" w:space="0" w:color="auto"/>
              <w:bottom w:val="single" w:sz="8" w:space="0" w:color="auto"/>
              <w:right w:val="single" w:sz="8" w:space="0" w:color="auto"/>
            </w:tcBorders>
            <w:shd w:val="clear" w:color="auto" w:fill="FF0000"/>
          </w:tcPr>
          <w:p w14:paraId="57C864E0" w14:textId="28DD53B4" w:rsidR="00D71447" w:rsidRPr="00D71447" w:rsidRDefault="0005519C" w:rsidP="00D71447">
            <w:pPr>
              <w:ind w:left="288" w:right="188"/>
              <w:rPr>
                <w:rFonts w:ascii="Arial" w:hAnsi="Arial" w:cs="Arial"/>
              </w:rPr>
            </w:pPr>
            <w:r>
              <w:rPr>
                <w:rFonts w:ascii="Arial" w:hAnsi="Arial" w:cs="Arial"/>
              </w:rPr>
              <w:t>Not met</w:t>
            </w:r>
          </w:p>
          <w:p w14:paraId="5D094418" w14:textId="77777777" w:rsidR="000D3405" w:rsidRPr="00EF3DC0" w:rsidRDefault="000D3405" w:rsidP="00DE7F80">
            <w:pPr>
              <w:ind w:right="188"/>
              <w:rPr>
                <w:rFonts w:ascii="Arial" w:hAnsi="Arial" w:cs="Arial"/>
                <w:b/>
                <w:bCs/>
              </w:rPr>
            </w:pPr>
          </w:p>
        </w:tc>
      </w:tr>
    </w:tbl>
    <w:p w14:paraId="0253B8AD" w14:textId="77777777" w:rsidR="000D3405" w:rsidRDefault="000D3405" w:rsidP="00F90BB8">
      <w:pPr>
        <w:rPr>
          <w:rFonts w:ascii="Arial" w:hAnsi="Arial" w:cs="Arial"/>
          <w:b/>
          <w:bCs/>
        </w:rPr>
      </w:pPr>
    </w:p>
    <w:p w14:paraId="60E06870" w14:textId="77777777" w:rsidR="00715265" w:rsidRPr="00BE5619" w:rsidRDefault="00715265" w:rsidP="00715265">
      <w:pPr>
        <w:pStyle w:val="Heading3boardreport"/>
      </w:pPr>
      <w:bookmarkStart w:id="1" w:name="_Hlk92705422"/>
      <w:r w:rsidRPr="00BE5619">
        <w:lastRenderedPageBreak/>
        <w:t>H</w:t>
      </w:r>
      <w:r>
        <w:t>ighly specialised technologies</w:t>
      </w:r>
      <w:bookmarkEnd w:id="1"/>
      <w:r w:rsidRPr="00BE5619">
        <w:t xml:space="preserve"> </w:t>
      </w:r>
      <w:r>
        <w:t>v</w:t>
      </w:r>
      <w:r w:rsidRPr="00BE5619">
        <w:t xml:space="preserve">ision </w:t>
      </w:r>
      <w:r>
        <w:t>and routing criteria</w:t>
      </w:r>
    </w:p>
    <w:p w14:paraId="1C13753F" w14:textId="77777777" w:rsidR="00EC53AC" w:rsidRDefault="00EC53AC" w:rsidP="00EC53AC">
      <w:pPr>
        <w:pStyle w:val="Numberedlevel3text"/>
        <w:keepNext w:val="0"/>
      </w:pPr>
      <w:r w:rsidRPr="00861650">
        <w:t xml:space="preserve">The </w:t>
      </w:r>
      <w:r>
        <w:t>Highly Specialised Technologies</w:t>
      </w:r>
      <w:r w:rsidRPr="00861650">
        <w:t xml:space="preserve"> </w:t>
      </w:r>
      <w:r>
        <w:t>P</w:t>
      </w:r>
      <w:r w:rsidRPr="00861650">
        <w:t>rogramme is designed to be used in exceptional circumstances. Its purpose is to evaluate technologies for very rare diseases</w:t>
      </w:r>
      <w:r>
        <w:t xml:space="preserve"> that have:</w:t>
      </w:r>
    </w:p>
    <w:p w14:paraId="3185B33A" w14:textId="77777777" w:rsidR="00EC53AC" w:rsidRDefault="00EC53AC" w:rsidP="00EC53AC">
      <w:pPr>
        <w:pStyle w:val="Bulletindent1"/>
        <w:numPr>
          <w:ilvl w:val="0"/>
          <w:numId w:val="33"/>
        </w:numPr>
      </w:pPr>
      <w:r w:rsidRPr="00861650">
        <w:t>small</w:t>
      </w:r>
      <w:r>
        <w:t xml:space="preserve"> numbers of patients</w:t>
      </w:r>
    </w:p>
    <w:p w14:paraId="71397A87" w14:textId="77777777" w:rsidR="00EC53AC" w:rsidRDefault="00EC53AC" w:rsidP="00EC53AC">
      <w:pPr>
        <w:pStyle w:val="Bulletindent1"/>
        <w:numPr>
          <w:ilvl w:val="0"/>
          <w:numId w:val="33"/>
        </w:numPr>
      </w:pPr>
      <w:r w:rsidRPr="00861650">
        <w:t xml:space="preserve">limited or no treatment </w:t>
      </w:r>
      <w:proofErr w:type="gramStart"/>
      <w:r w:rsidRPr="00861650">
        <w:t>options</w:t>
      </w:r>
      <w:proofErr w:type="gramEnd"/>
    </w:p>
    <w:p w14:paraId="451E91AB" w14:textId="77777777" w:rsidR="00EC53AC" w:rsidRPr="00861650" w:rsidRDefault="00EC53AC" w:rsidP="00EC53AC">
      <w:pPr>
        <w:pStyle w:val="Bulletindent1last"/>
        <w:tabs>
          <w:tab w:val="clear" w:pos="851"/>
          <w:tab w:val="num" w:pos="1418"/>
        </w:tabs>
        <w:ind w:left="1418" w:hanging="284"/>
      </w:pPr>
      <w:r w:rsidRPr="00861650">
        <w:t xml:space="preserve">challenges for research and difficulties with </w:t>
      </w:r>
      <w:r>
        <w:t xml:space="preserve">collecting </w:t>
      </w:r>
      <w:r w:rsidRPr="00861650">
        <w:t>evidence</w:t>
      </w:r>
      <w:r>
        <w:t>, because of the uniqueness of the disease</w:t>
      </w:r>
      <w:r w:rsidRPr="00861650">
        <w:t>.</w:t>
      </w:r>
    </w:p>
    <w:p w14:paraId="40C71414" w14:textId="77777777" w:rsidR="00EC53AC" w:rsidRPr="00861650" w:rsidRDefault="00EC53AC" w:rsidP="00EC53AC">
      <w:pPr>
        <w:pStyle w:val="Numberedlevel3text"/>
        <w:keepNext w:val="0"/>
      </w:pPr>
      <w:r w:rsidRPr="00861650">
        <w:t xml:space="preserve">The </w:t>
      </w:r>
      <w:r>
        <w:t>Highly Specialised Technologies</w:t>
      </w:r>
      <w:r w:rsidRPr="00861650">
        <w:t xml:space="preserve"> </w:t>
      </w:r>
      <w:r>
        <w:t>P</w:t>
      </w:r>
      <w:r w:rsidRPr="00861650">
        <w:t>rogramme aims to:</w:t>
      </w:r>
    </w:p>
    <w:p w14:paraId="305A1DA1" w14:textId="77777777" w:rsidR="00EC53AC" w:rsidRPr="00CC773C" w:rsidRDefault="00EC53AC" w:rsidP="00EC53AC">
      <w:pPr>
        <w:pStyle w:val="Bulletindent1"/>
        <w:numPr>
          <w:ilvl w:val="0"/>
          <w:numId w:val="33"/>
        </w:numPr>
      </w:pPr>
      <w:r>
        <w:t>e</w:t>
      </w:r>
      <w:r w:rsidRPr="00CC773C">
        <w:t>ncourage research</w:t>
      </w:r>
      <w:r>
        <w:t xml:space="preserve"> on,</w:t>
      </w:r>
      <w:r w:rsidRPr="00CC773C">
        <w:t xml:space="preserve"> and innovation </w:t>
      </w:r>
      <w:r>
        <w:t>for,</w:t>
      </w:r>
      <w:r w:rsidRPr="00CC773C">
        <w:t xml:space="preserve"> very</w:t>
      </w:r>
      <w:r>
        <w:t xml:space="preserve"> </w:t>
      </w:r>
      <w:r w:rsidRPr="00CC773C">
        <w:t xml:space="preserve">rare </w:t>
      </w:r>
      <w:r>
        <w:t>conditions</w:t>
      </w:r>
      <w:r w:rsidRPr="00CC773C">
        <w:t xml:space="preserve"> whe</w:t>
      </w:r>
      <w:r>
        <w:t>n</w:t>
      </w:r>
      <w:r w:rsidRPr="00CC773C">
        <w:t xml:space="preserve"> there are challenges in generating </w:t>
      </w:r>
      <w:r>
        <w:t xml:space="preserve">an </w:t>
      </w:r>
      <w:r w:rsidRPr="00CC773C">
        <w:t>evidence base</w:t>
      </w:r>
      <w:r>
        <w:t xml:space="preserve"> that is</w:t>
      </w:r>
      <w:r w:rsidRPr="00CC773C">
        <w:t xml:space="preserve"> robust enough to bring </w:t>
      </w:r>
      <w:r>
        <w:t>the product</w:t>
      </w:r>
      <w:r w:rsidRPr="00CC773C">
        <w:t xml:space="preserve"> to </w:t>
      </w:r>
      <w:proofErr w:type="gramStart"/>
      <w:r w:rsidRPr="00CC773C">
        <w:t>market</w:t>
      </w:r>
      <w:proofErr w:type="gramEnd"/>
    </w:p>
    <w:p w14:paraId="0C2F8594" w14:textId="77777777" w:rsidR="00EC53AC" w:rsidRPr="00CC773C" w:rsidRDefault="00EC53AC" w:rsidP="00EC53AC">
      <w:pPr>
        <w:pStyle w:val="Bulletindent1"/>
        <w:numPr>
          <w:ilvl w:val="0"/>
          <w:numId w:val="33"/>
        </w:numPr>
      </w:pPr>
      <w:r>
        <w:t>s</w:t>
      </w:r>
      <w:r w:rsidRPr="00CC773C">
        <w:t>ecure fairer and more equitable treatment access for very small populations with very rare</w:t>
      </w:r>
      <w:r>
        <w:t xml:space="preserve"> </w:t>
      </w:r>
      <w:r w:rsidRPr="00CC773C">
        <w:t xml:space="preserve">diseases </w:t>
      </w:r>
    </w:p>
    <w:p w14:paraId="16243B50" w14:textId="77777777" w:rsidR="00EC53AC" w:rsidRPr="00CC773C" w:rsidRDefault="00EC53AC" w:rsidP="00EC53AC">
      <w:pPr>
        <w:pStyle w:val="Bulletindent1last"/>
        <w:tabs>
          <w:tab w:val="clear" w:pos="851"/>
          <w:tab w:val="num" w:pos="1418"/>
        </w:tabs>
        <w:ind w:left="1418" w:hanging="284"/>
      </w:pPr>
      <w:r>
        <w:t>r</w:t>
      </w:r>
      <w:r w:rsidRPr="00CC773C">
        <w:t xml:space="preserve">ecognise that </w:t>
      </w:r>
      <w:r>
        <w:t xml:space="preserve">an approach that </w:t>
      </w:r>
      <w:r w:rsidRPr="00CC773C">
        <w:t>maximis</w:t>
      </w:r>
      <w:r>
        <w:t>es</w:t>
      </w:r>
      <w:r w:rsidRPr="00CC773C">
        <w:t xml:space="preserve"> health gain for the NHS may not always be acceptable</w:t>
      </w:r>
      <w:r>
        <w:t xml:space="preserve">: </w:t>
      </w:r>
      <w:r w:rsidRPr="00CC773C">
        <w:t>it could deliver results that are not equitable.</w:t>
      </w:r>
    </w:p>
    <w:p w14:paraId="0704168D" w14:textId="77777777" w:rsidR="00EC53AC" w:rsidRDefault="00EC53AC" w:rsidP="00EC53AC">
      <w:pPr>
        <w:pStyle w:val="Numberedlevel3text"/>
        <w:keepNext w:val="0"/>
      </w:pPr>
      <w:r w:rsidRPr="00861650">
        <w:t xml:space="preserve">The </w:t>
      </w:r>
      <w:r>
        <w:t>Highly Specialised Technologies</w:t>
      </w:r>
      <w:r w:rsidRPr="00861650">
        <w:t xml:space="preserve"> </w:t>
      </w:r>
      <w:r>
        <w:t>P</w:t>
      </w:r>
      <w:r w:rsidRPr="00861650">
        <w:t>rogramme acknowledges</w:t>
      </w:r>
      <w:r>
        <w:t xml:space="preserve"> that:</w:t>
      </w:r>
    </w:p>
    <w:p w14:paraId="42E1D253" w14:textId="77777777" w:rsidR="00EC53AC" w:rsidRDefault="00EC53AC" w:rsidP="00EC53AC">
      <w:pPr>
        <w:pStyle w:val="Bulletindent1"/>
        <w:numPr>
          <w:ilvl w:val="0"/>
          <w:numId w:val="33"/>
        </w:numPr>
      </w:pPr>
      <w:r>
        <w:t>It is</w:t>
      </w:r>
      <w:r w:rsidRPr="00CC773C">
        <w:t xml:space="preserve"> importan</w:t>
      </w:r>
      <w:r>
        <w:t>t for</w:t>
      </w:r>
      <w:r w:rsidRPr="00CC773C">
        <w:t xml:space="preserve"> NICE</w:t>
      </w:r>
      <w:r>
        <w:t xml:space="preserve"> to</w:t>
      </w:r>
      <w:r w:rsidRPr="00CC773C">
        <w:t xml:space="preserve"> apply appropriate limits on the</w:t>
      </w:r>
      <w:r>
        <w:t xml:space="preserve"> </w:t>
      </w:r>
      <w:r w:rsidRPr="00CC773C">
        <w:t xml:space="preserve">very rare </w:t>
      </w:r>
      <w:r>
        <w:t>populations</w:t>
      </w:r>
      <w:r w:rsidRPr="00CC773C">
        <w:t xml:space="preserve"> that can potentially</w:t>
      </w:r>
      <w:r>
        <w:t xml:space="preserve"> be</w:t>
      </w:r>
      <w:r w:rsidRPr="00CC773C">
        <w:t xml:space="preserve"> routed to the program</w:t>
      </w:r>
      <w:r>
        <w:t>me</w:t>
      </w:r>
      <w:r w:rsidRPr="00CC773C">
        <w:t xml:space="preserve">. This is because the </w:t>
      </w:r>
      <w:r>
        <w:t>Highly Specialised Technologies</w:t>
      </w:r>
      <w:r w:rsidRPr="00CC773C">
        <w:t xml:space="preserve"> </w:t>
      </w:r>
      <w:r>
        <w:t>P</w:t>
      </w:r>
      <w:r w:rsidRPr="00CC773C">
        <w:t xml:space="preserve">rogramme is a deliberate departure from the standard </w:t>
      </w:r>
      <w:r>
        <w:t>technology appraisal</w:t>
      </w:r>
      <w:r w:rsidRPr="00CC773C">
        <w:t xml:space="preserve"> process</w:t>
      </w:r>
      <w:r>
        <w:t xml:space="preserve"> (v</w:t>
      </w:r>
      <w:r w:rsidRPr="00CC773C">
        <w:t>alu</w:t>
      </w:r>
      <w:r>
        <w:t>ing</w:t>
      </w:r>
      <w:r w:rsidRPr="00CC773C">
        <w:t xml:space="preserve"> the benefits </w:t>
      </w:r>
      <w:r>
        <w:t xml:space="preserve">from these </w:t>
      </w:r>
      <w:r w:rsidRPr="00CC773C">
        <w:t xml:space="preserve">technologies more highly by having a much higher </w:t>
      </w:r>
      <w:hyperlink r:id="rId8" w:history="1">
        <w:r w:rsidRPr="00D837D5">
          <w:rPr>
            <w:rStyle w:val="Hyperlink"/>
          </w:rPr>
          <w:t>incremental cost-effectiveness ratio [ICER]</w:t>
        </w:r>
      </w:hyperlink>
      <w:r w:rsidRPr="00CC773C">
        <w:t xml:space="preserve"> threshold</w:t>
      </w:r>
      <w:r>
        <w:t>) for the reasons outlined above.</w:t>
      </w:r>
    </w:p>
    <w:p w14:paraId="6C4E8F58" w14:textId="77777777" w:rsidR="00EC53AC" w:rsidRDefault="00EC53AC" w:rsidP="00EC53AC">
      <w:pPr>
        <w:pStyle w:val="Bulletindent1"/>
        <w:numPr>
          <w:ilvl w:val="0"/>
          <w:numId w:val="33"/>
        </w:numPr>
      </w:pPr>
      <w:r>
        <w:lastRenderedPageBreak/>
        <w:t>Each time</w:t>
      </w:r>
      <w:r w:rsidRPr="00CC773C">
        <w:t xml:space="preserve"> NICE routes a topic to </w:t>
      </w:r>
      <w:r>
        <w:t>the Highly Specialised Technologies Programme</w:t>
      </w:r>
      <w:r w:rsidRPr="00CC773C">
        <w:t xml:space="preserve"> it is deciding that, if the technology is recommended, the NHS must commit to allocat</w:t>
      </w:r>
      <w:r>
        <w:t>e</w:t>
      </w:r>
      <w:r w:rsidRPr="00CC773C">
        <w:t xml:space="preserve"> resources that would </w:t>
      </w:r>
      <w:r>
        <w:t xml:space="preserve">have </w:t>
      </w:r>
      <w:r w:rsidRPr="00CC773C">
        <w:t xml:space="preserve">otherwise been used on activities </w:t>
      </w:r>
      <w:r>
        <w:t xml:space="preserve">that would be </w:t>
      </w:r>
      <w:r w:rsidRPr="00CC773C">
        <w:t>expected to generate greater health benefits.</w:t>
      </w:r>
    </w:p>
    <w:p w14:paraId="1CDE10F7" w14:textId="77777777" w:rsidR="00EC53AC" w:rsidRDefault="00EC53AC" w:rsidP="00EC53AC">
      <w:pPr>
        <w:pStyle w:val="Bulletindent1"/>
        <w:numPr>
          <w:ilvl w:val="0"/>
          <w:numId w:val="33"/>
        </w:numPr>
      </w:pPr>
      <w:r w:rsidRPr="00CC773C">
        <w:t>NICE has sought to</w:t>
      </w:r>
      <w:r>
        <w:t xml:space="preserve"> strike a</w:t>
      </w:r>
      <w:r w:rsidRPr="00CC773C">
        <w:t xml:space="preserve"> balance </w:t>
      </w:r>
      <w:r>
        <w:t xml:space="preserve">between </w:t>
      </w:r>
      <w:r w:rsidRPr="00CC773C">
        <w:t>the desir</w:t>
      </w:r>
      <w:r>
        <w:t xml:space="preserve">ability of </w:t>
      </w:r>
      <w:r w:rsidRPr="00CC773C">
        <w:t>support</w:t>
      </w:r>
      <w:r>
        <w:t>ing</w:t>
      </w:r>
      <w:r w:rsidRPr="00CC773C">
        <w:t xml:space="preserve"> </w:t>
      </w:r>
      <w:r>
        <w:t>access to treatments for</w:t>
      </w:r>
      <w:r w:rsidRPr="00CC773C">
        <w:t xml:space="preserve"> </w:t>
      </w:r>
      <w:r>
        <w:t xml:space="preserve">very rare diseases </w:t>
      </w:r>
      <w:r w:rsidRPr="00CC773C">
        <w:t xml:space="preserve">against the inevitable reduction in overall health gain across the NHS that this will cause. Both considerations are valid and </w:t>
      </w:r>
      <w:r w:rsidRPr="00861650">
        <w:t>important,</w:t>
      </w:r>
      <w:r w:rsidRPr="00CC773C">
        <w:t xml:space="preserve"> and neither can be given absolute priority over the other. </w:t>
      </w:r>
      <w:r w:rsidRPr="00861650">
        <w:t>Therefore,</w:t>
      </w:r>
      <w:r w:rsidRPr="00CC773C">
        <w:t xml:space="preserve"> the </w:t>
      </w:r>
      <w:r>
        <w:t>Highly Specialised Technologies</w:t>
      </w:r>
      <w:r w:rsidRPr="00CC773C">
        <w:t xml:space="preserve"> </w:t>
      </w:r>
      <w:r>
        <w:t xml:space="preserve">Programme </w:t>
      </w:r>
      <w:r w:rsidRPr="00CC773C">
        <w:t xml:space="preserve">criteria and their anticipated application </w:t>
      </w:r>
      <w:r>
        <w:t>intentionally do not seek</w:t>
      </w:r>
      <w:r w:rsidRPr="00CC773C">
        <w:t xml:space="preserve"> to capture every </w:t>
      </w:r>
      <w:r>
        <w:t>case when</w:t>
      </w:r>
      <w:r w:rsidRPr="00CC773C">
        <w:t xml:space="preserve"> there are challenges in generating an evidence base or</w:t>
      </w:r>
      <w:r>
        <w:t xml:space="preserve"> when there is</w:t>
      </w:r>
      <w:r w:rsidRPr="00CC773C">
        <w:t xml:space="preserve"> a small population with a rare disease. </w:t>
      </w:r>
    </w:p>
    <w:p w14:paraId="0E3DA016" w14:textId="77777777" w:rsidR="00EC53AC" w:rsidRPr="00CC773C" w:rsidRDefault="00EC53AC" w:rsidP="00EC53AC">
      <w:pPr>
        <w:pStyle w:val="Bulletindent1last"/>
        <w:tabs>
          <w:tab w:val="clear" w:pos="851"/>
          <w:tab w:val="num" w:pos="1418"/>
        </w:tabs>
        <w:ind w:left="1418" w:hanging="284"/>
      </w:pPr>
      <w:r w:rsidRPr="00CC773C">
        <w:t>This approach ensures th</w:t>
      </w:r>
      <w:r>
        <w:t>at</w:t>
      </w:r>
      <w:r w:rsidRPr="00CC773C">
        <w:t xml:space="preserve"> technologies routed </w:t>
      </w:r>
      <w:r>
        <w:t>to the</w:t>
      </w:r>
      <w:r w:rsidRPr="00CC773C">
        <w:t xml:space="preserve"> </w:t>
      </w:r>
      <w:r>
        <w:t>Highly Specialised Technologies</w:t>
      </w:r>
      <w:r w:rsidRPr="00CC773C">
        <w:t xml:space="preserve"> </w:t>
      </w:r>
      <w:r>
        <w:t xml:space="preserve">Programme </w:t>
      </w:r>
      <w:r w:rsidRPr="00CC773C">
        <w:t>fulfil the vision of the programme and manage</w:t>
      </w:r>
      <w:r>
        <w:t>s</w:t>
      </w:r>
      <w:r w:rsidRPr="00CC773C">
        <w:t xml:space="preserve"> the displacement in the wider NHS. </w:t>
      </w:r>
    </w:p>
    <w:p w14:paraId="6D3322FD" w14:textId="77777777" w:rsidR="00EC53AC" w:rsidRPr="00365C11" w:rsidRDefault="00EC53AC" w:rsidP="00EC53AC">
      <w:pPr>
        <w:pStyle w:val="Numberedlevel3text"/>
        <w:keepNext w:val="0"/>
      </w:pPr>
      <w:bookmarkStart w:id="2" w:name="_Hlk78194163"/>
      <w:r w:rsidRPr="00D244AE">
        <w:t xml:space="preserve">However, it can be difficult to identify the exceptional circumstances when the highly specialised technologies methods and processes should be used because of the difficulty in getting the information needed. Proxy information is often relied on and used to make subjective judgements. </w:t>
      </w:r>
      <w:r>
        <w:t xml:space="preserve">The </w:t>
      </w:r>
      <w:bookmarkEnd w:id="2"/>
      <w:r>
        <w:t>r</w:t>
      </w:r>
      <w:r w:rsidRPr="00D244AE">
        <w:t xml:space="preserve">outing criteria identify which technologies should be routed for highly specialised technologies guidance. These criteria help make subjective judgements as informed, justifiable, </w:t>
      </w:r>
      <w:proofErr w:type="gramStart"/>
      <w:r w:rsidRPr="00D244AE">
        <w:t>consistent</w:t>
      </w:r>
      <w:proofErr w:type="gramEnd"/>
      <w:r w:rsidRPr="00D244AE">
        <w:t xml:space="preserve"> and predictable as possible. NICE’s capacity to develop highly specialised technologies guidance can react to need</w:t>
      </w:r>
      <w:r>
        <w:t xml:space="preserve"> and</w:t>
      </w:r>
      <w:r w:rsidRPr="00D244AE">
        <w:t xml:space="preserve"> there is no limit on the number of technologies that can be routed. </w:t>
      </w:r>
    </w:p>
    <w:p w14:paraId="5DD22A30" w14:textId="77777777" w:rsidR="00EC53AC" w:rsidRPr="00BE5619" w:rsidRDefault="00EC53AC" w:rsidP="00EC53AC">
      <w:pPr>
        <w:pStyle w:val="NICEnormalnumbered"/>
        <w:numPr>
          <w:ilvl w:val="0"/>
          <w:numId w:val="0"/>
        </w:numPr>
        <w:ind w:left="425" w:hanging="425"/>
      </w:pPr>
      <w:r w:rsidRPr="00BE5619">
        <w:t xml:space="preserve">The final routing criteria for the </w:t>
      </w:r>
      <w:r>
        <w:t>Highly Specialised Technologies Programme</w:t>
      </w:r>
      <w:r w:rsidRPr="00584734" w:rsidDel="00F92EB7">
        <w:t xml:space="preserve"> </w:t>
      </w:r>
      <w:r w:rsidRPr="00BE5619">
        <w:t>are:</w:t>
      </w:r>
    </w:p>
    <w:p w14:paraId="62A94B07" w14:textId="77777777" w:rsidR="00EC53AC" w:rsidRDefault="00EC53AC" w:rsidP="00EC53AC">
      <w:pPr>
        <w:pStyle w:val="Bulletindent1"/>
        <w:numPr>
          <w:ilvl w:val="0"/>
          <w:numId w:val="32"/>
        </w:numPr>
        <w:tabs>
          <w:tab w:val="clear" w:pos="1418"/>
        </w:tabs>
        <w:ind w:left="851" w:hanging="425"/>
      </w:pPr>
      <w:r w:rsidRPr="00EA768C">
        <w:t>The disease is very rare</w:t>
      </w:r>
      <w:r>
        <w:t xml:space="preserve"> – defined as 1:50,000 population in England.</w:t>
      </w:r>
    </w:p>
    <w:p w14:paraId="13B03259" w14:textId="77777777" w:rsidR="00EC53AC" w:rsidRDefault="00EC53AC" w:rsidP="00EC53AC">
      <w:pPr>
        <w:pStyle w:val="Bulletindent1"/>
        <w:numPr>
          <w:ilvl w:val="0"/>
          <w:numId w:val="32"/>
        </w:numPr>
        <w:tabs>
          <w:tab w:val="clear" w:pos="1418"/>
        </w:tabs>
        <w:ind w:left="851" w:hanging="425"/>
      </w:pPr>
      <w:r w:rsidRPr="00EA768C">
        <w:t>Normally no more than 300 people in England are eligible for the technology in its licensed indication and no more than 500 across all its indications</w:t>
      </w:r>
      <w:r>
        <w:t>.</w:t>
      </w:r>
    </w:p>
    <w:p w14:paraId="69883BE6" w14:textId="77777777" w:rsidR="00EC53AC" w:rsidRDefault="00EC53AC" w:rsidP="00EC53AC">
      <w:pPr>
        <w:pStyle w:val="Bulletindent1"/>
        <w:numPr>
          <w:ilvl w:val="0"/>
          <w:numId w:val="32"/>
        </w:numPr>
        <w:tabs>
          <w:tab w:val="clear" w:pos="1418"/>
        </w:tabs>
        <w:ind w:left="851" w:hanging="425"/>
      </w:pPr>
      <w:r w:rsidRPr="00EA768C">
        <w:lastRenderedPageBreak/>
        <w:t xml:space="preserve">The very rare disease </w:t>
      </w:r>
      <w:r>
        <w:t xml:space="preserve">for which </w:t>
      </w:r>
      <w:r w:rsidRPr="00EA768C">
        <w:t>the technology is indicated significantly shortens life or severely impairs quality of life</w:t>
      </w:r>
      <w:r>
        <w:t>.</w:t>
      </w:r>
    </w:p>
    <w:p w14:paraId="782AB997" w14:textId="64152EFD" w:rsidR="00715265" w:rsidRPr="004208EA" w:rsidRDefault="00EC53AC" w:rsidP="00034566">
      <w:pPr>
        <w:pStyle w:val="Bulletindent1last"/>
        <w:rPr>
          <w:rFonts w:cs="Arial"/>
          <w:b/>
          <w:bCs/>
        </w:rPr>
      </w:pPr>
      <w:r w:rsidRPr="00EA768C">
        <w:t xml:space="preserve">There are no other satisfactory treatment options, or the technology is likely to </w:t>
      </w:r>
      <w:r>
        <w:t xml:space="preserve">offer </w:t>
      </w:r>
      <w:r w:rsidRPr="00EA768C">
        <w:t xml:space="preserve">significant additional benefit </w:t>
      </w:r>
      <w:r>
        <w:t>over</w:t>
      </w:r>
      <w:r w:rsidRPr="00EA768C">
        <w:t xml:space="preserve"> existing treatment options</w:t>
      </w:r>
      <w:r>
        <w:t>.</w:t>
      </w:r>
    </w:p>
    <w:sectPr w:rsidR="00715265" w:rsidRPr="004208EA" w:rsidSect="000D3405">
      <w:headerReference w:type="default" r:id="rId9"/>
      <w:footerReference w:type="default" r:id="rId10"/>
      <w:endnotePr>
        <w:numFmt w:val="decimal"/>
      </w:endnotePr>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64215" w14:textId="77777777" w:rsidR="00A27C26" w:rsidRDefault="00A27C26" w:rsidP="00446BEE">
      <w:r>
        <w:separator/>
      </w:r>
    </w:p>
  </w:endnote>
  <w:endnote w:type="continuationSeparator" w:id="0">
    <w:p w14:paraId="6141CC18" w14:textId="77777777" w:rsidR="00A27C26" w:rsidRDefault="00A27C26" w:rsidP="00446BEE">
      <w:r>
        <w:continuationSeparator/>
      </w:r>
    </w:p>
  </w:endnote>
  <w:endnote w:id="1">
    <w:p w14:paraId="453F3ED0" w14:textId="00749FE5" w:rsidR="00095E07" w:rsidRPr="00CB0275" w:rsidRDefault="00095E07">
      <w:pPr>
        <w:pStyle w:val="EndnoteText"/>
        <w:rPr>
          <w:sz w:val="22"/>
          <w:szCs w:val="22"/>
        </w:rPr>
      </w:pPr>
      <w:r w:rsidRPr="00CB0275">
        <w:rPr>
          <w:rStyle w:val="EndnoteReference"/>
          <w:sz w:val="22"/>
          <w:szCs w:val="22"/>
          <w:vertAlign w:val="baseline"/>
        </w:rPr>
        <w:endnoteRef/>
      </w:r>
      <w:r w:rsidRPr="00CB0275">
        <w:rPr>
          <w:sz w:val="22"/>
          <w:szCs w:val="22"/>
        </w:rPr>
        <w:t xml:space="preserve"> Papp, V. et al. Z. (2021). Worldwide incidence and prevalence of neuromyelitis optica: a systematic review. Neurology, 96(2), 59-77.</w:t>
      </w:r>
    </w:p>
    <w:p w14:paraId="6EA866CF" w14:textId="77777777" w:rsidR="00095E07" w:rsidRPr="00CB0275" w:rsidRDefault="00095E07">
      <w:pPr>
        <w:pStyle w:val="EndnoteText"/>
        <w:rPr>
          <w:sz w:val="22"/>
          <w:szCs w:val="22"/>
        </w:rPr>
      </w:pPr>
    </w:p>
  </w:endnote>
  <w:endnote w:id="2">
    <w:p w14:paraId="7538230F" w14:textId="199DAA4B" w:rsidR="00CB0275" w:rsidRPr="00CB0275" w:rsidRDefault="00CB0275">
      <w:pPr>
        <w:pStyle w:val="EndnoteText"/>
        <w:rPr>
          <w:sz w:val="22"/>
          <w:szCs w:val="22"/>
        </w:rPr>
      </w:pPr>
      <w:r w:rsidRPr="00CB0275">
        <w:rPr>
          <w:rStyle w:val="EndnoteReference"/>
          <w:sz w:val="22"/>
          <w:szCs w:val="22"/>
          <w:vertAlign w:val="baseline"/>
        </w:rPr>
        <w:endnoteRef/>
      </w:r>
      <w:r w:rsidRPr="00CB0275">
        <w:rPr>
          <w:sz w:val="22"/>
          <w:szCs w:val="22"/>
        </w:rPr>
        <w:t xml:space="preserve"> O'Connell, K., </w:t>
      </w:r>
      <w:r>
        <w:rPr>
          <w:sz w:val="22"/>
          <w:szCs w:val="22"/>
        </w:rPr>
        <w:t>et al</w:t>
      </w:r>
      <w:r w:rsidRPr="00CB0275">
        <w:rPr>
          <w:sz w:val="22"/>
          <w:szCs w:val="22"/>
        </w:rPr>
        <w:t>. (2020). Prevalence and incidence of neuromyelitis optica spectrum disorder, aquaporin-4 antibody-positive NMOSD and MOG antibody-positive disease in Oxfordshire, UK. Journal of Neurology, Neurosurgery &amp; Psychiatry, 91(10), 1126-1128.</w:t>
      </w:r>
    </w:p>
    <w:p w14:paraId="01F34CC3" w14:textId="77777777" w:rsidR="00CB0275" w:rsidRPr="00CB0275" w:rsidRDefault="00CB0275">
      <w:pPr>
        <w:pStyle w:val="EndnoteText"/>
        <w:rPr>
          <w:sz w:val="22"/>
          <w:szCs w:val="22"/>
        </w:rPr>
      </w:pPr>
    </w:p>
  </w:endnote>
  <w:endnote w:id="3">
    <w:p w14:paraId="0E0856E5" w14:textId="1500F0D1" w:rsidR="00CB0275" w:rsidRPr="00CB0275" w:rsidRDefault="00CB0275">
      <w:pPr>
        <w:pStyle w:val="EndnoteText"/>
        <w:rPr>
          <w:sz w:val="22"/>
          <w:szCs w:val="22"/>
        </w:rPr>
      </w:pPr>
      <w:r w:rsidRPr="00CB0275">
        <w:rPr>
          <w:rStyle w:val="EndnoteReference"/>
          <w:sz w:val="22"/>
          <w:szCs w:val="22"/>
          <w:vertAlign w:val="baseline"/>
        </w:rPr>
        <w:endnoteRef/>
      </w:r>
      <w:r w:rsidRPr="00CB0275">
        <w:rPr>
          <w:sz w:val="22"/>
          <w:szCs w:val="22"/>
        </w:rPr>
        <w:t xml:space="preserve"> Jacob, A., et al. (2013). The epidemiology of neuromyelitis optica amongst adults in the Merseyside county of United Kingdom. Journal of neurology, 260(8), 2134-2137.</w:t>
      </w:r>
    </w:p>
    <w:p w14:paraId="29C12DE7" w14:textId="77777777" w:rsidR="00CB0275" w:rsidRDefault="00CB0275">
      <w:pPr>
        <w:pStyle w:val="EndnoteText"/>
      </w:pPr>
    </w:p>
  </w:endnote>
  <w:endnote w:id="4">
    <w:p w14:paraId="484296D1" w14:textId="52713AFC" w:rsidR="00A27C26" w:rsidRPr="00A27C26" w:rsidRDefault="00A27C26" w:rsidP="00A27C26">
      <w:pPr>
        <w:pStyle w:val="EndnoteText"/>
        <w:tabs>
          <w:tab w:val="left" w:pos="2127"/>
        </w:tabs>
        <w:rPr>
          <w:sz w:val="22"/>
          <w:szCs w:val="22"/>
        </w:rPr>
      </w:pPr>
      <w:r w:rsidRPr="00A27C26">
        <w:rPr>
          <w:rStyle w:val="EndnoteReference"/>
          <w:sz w:val="22"/>
          <w:szCs w:val="22"/>
          <w:vertAlign w:val="baseline"/>
        </w:rPr>
        <w:endnoteRef/>
      </w:r>
      <w:r w:rsidRPr="00A27C26">
        <w:rPr>
          <w:sz w:val="22"/>
          <w:szCs w:val="22"/>
        </w:rPr>
        <w:t xml:space="preserve"> NHS England (2018). Neuromyelitis optica service (adults and adolescents) Manual for Prescribed Specialised Services 2018/19. </w:t>
      </w:r>
      <w:hyperlink r:id="rId1" w:history="1">
        <w:r w:rsidRPr="00A27C26">
          <w:rPr>
            <w:rStyle w:val="Hyperlink"/>
            <w:sz w:val="22"/>
            <w:szCs w:val="22"/>
          </w:rPr>
          <w:t>https://www.england.nhs.uk/wp-content/uploads/2017/10/prescribed-specialised-services-manual.pdf</w:t>
        </w:r>
      </w:hyperlink>
      <w:r w:rsidRPr="00A27C26">
        <w:rPr>
          <w:sz w:val="22"/>
          <w:szCs w:val="22"/>
        </w:rPr>
        <w:t xml:space="preserve"> Accessed August 2022</w:t>
      </w:r>
    </w:p>
    <w:p w14:paraId="3DA0B9E0" w14:textId="77777777" w:rsidR="00A27C26" w:rsidRPr="00A27C26" w:rsidRDefault="00A27C26" w:rsidP="00A27C26">
      <w:pPr>
        <w:pStyle w:val="EndnoteText"/>
        <w:tabs>
          <w:tab w:val="left" w:pos="2127"/>
        </w:tabs>
        <w:rPr>
          <w:sz w:val="22"/>
          <w:szCs w:val="22"/>
        </w:rPr>
      </w:pPr>
    </w:p>
  </w:endnote>
  <w:endnote w:id="5">
    <w:p w14:paraId="70AE7A41" w14:textId="0BAD61A4" w:rsidR="00A27C26" w:rsidRDefault="00A27C26" w:rsidP="00A27C26">
      <w:pPr>
        <w:pStyle w:val="EndnoteText"/>
        <w:tabs>
          <w:tab w:val="left" w:pos="2127"/>
        </w:tabs>
        <w:rPr>
          <w:sz w:val="22"/>
          <w:szCs w:val="22"/>
        </w:rPr>
      </w:pPr>
      <w:r w:rsidRPr="00A27C26">
        <w:rPr>
          <w:rStyle w:val="EndnoteReference"/>
          <w:sz w:val="22"/>
          <w:szCs w:val="22"/>
          <w:vertAlign w:val="baseline"/>
        </w:rPr>
        <w:endnoteRef/>
      </w:r>
      <w:r w:rsidRPr="00A27C26">
        <w:rPr>
          <w:sz w:val="22"/>
          <w:szCs w:val="22"/>
        </w:rPr>
        <w:t xml:space="preserve"> </w:t>
      </w:r>
      <w:r w:rsidR="00D35464" w:rsidRPr="00D35464">
        <w:rPr>
          <w:sz w:val="22"/>
          <w:szCs w:val="22"/>
        </w:rPr>
        <w:t>Hamid, S. H.</w:t>
      </w:r>
      <w:r w:rsidR="00D35464">
        <w:rPr>
          <w:sz w:val="22"/>
          <w:szCs w:val="22"/>
        </w:rPr>
        <w:t xml:space="preserve"> et al</w:t>
      </w:r>
      <w:r w:rsidR="00D35464" w:rsidRPr="00D35464">
        <w:rPr>
          <w:sz w:val="22"/>
          <w:szCs w:val="22"/>
        </w:rPr>
        <w:t>. (2017). The impact of 2015 neuromyelitis optica spectrum disorders criteria on diagnostic rates. Multiple Sclerosis Journal, 23(2), 228-233.</w:t>
      </w:r>
    </w:p>
    <w:p w14:paraId="1F1F06C3" w14:textId="77777777" w:rsidR="00D35464" w:rsidRPr="006A0993" w:rsidRDefault="00D35464" w:rsidP="00A27C26">
      <w:pPr>
        <w:pStyle w:val="EndnoteText"/>
        <w:tabs>
          <w:tab w:val="left" w:pos="2127"/>
        </w:tabs>
        <w:rPr>
          <w:sz w:val="22"/>
          <w:szCs w:val="22"/>
        </w:rPr>
      </w:pPr>
    </w:p>
  </w:endnote>
  <w:endnote w:id="6">
    <w:p w14:paraId="70950805" w14:textId="37C20B8A" w:rsidR="00A27C26" w:rsidRPr="006A0993" w:rsidRDefault="00A27C26" w:rsidP="00A27C26">
      <w:pPr>
        <w:pStyle w:val="EndnoteText"/>
        <w:tabs>
          <w:tab w:val="left" w:pos="2127"/>
        </w:tabs>
        <w:rPr>
          <w:sz w:val="22"/>
          <w:szCs w:val="22"/>
        </w:rPr>
      </w:pPr>
      <w:r w:rsidRPr="006A0993">
        <w:rPr>
          <w:rStyle w:val="EndnoteReference"/>
          <w:sz w:val="22"/>
          <w:szCs w:val="22"/>
          <w:vertAlign w:val="baseline"/>
        </w:rPr>
        <w:endnoteRef/>
      </w:r>
      <w:r w:rsidRPr="006A0993">
        <w:rPr>
          <w:sz w:val="22"/>
          <w:szCs w:val="22"/>
        </w:rPr>
        <w:t xml:space="preserve"> </w:t>
      </w:r>
      <w:r w:rsidR="00D35464" w:rsidRPr="00D35464">
        <w:rPr>
          <w:sz w:val="22"/>
          <w:szCs w:val="22"/>
        </w:rPr>
        <w:t>Hyun, J. W.</w:t>
      </w:r>
      <w:r w:rsidR="00D35464">
        <w:rPr>
          <w:sz w:val="22"/>
          <w:szCs w:val="22"/>
        </w:rPr>
        <w:t xml:space="preserve"> et al. </w:t>
      </w:r>
      <w:r w:rsidR="00D35464" w:rsidRPr="00D35464">
        <w:rPr>
          <w:sz w:val="22"/>
          <w:szCs w:val="22"/>
        </w:rPr>
        <w:t>(2016). Evaluation of the 2015 diagnostic criteria for neuromyelitis optica spectrum disorder. Neurology, 86(19), 1772-1779.</w:t>
      </w:r>
    </w:p>
    <w:p w14:paraId="2061A420" w14:textId="77777777" w:rsidR="00A27C26" w:rsidRPr="006A0993" w:rsidRDefault="00A27C26" w:rsidP="00A27C26">
      <w:pPr>
        <w:pStyle w:val="EndnoteText"/>
        <w:tabs>
          <w:tab w:val="left" w:pos="2127"/>
        </w:tabs>
        <w:rPr>
          <w:sz w:val="22"/>
          <w:szCs w:val="22"/>
        </w:rPr>
      </w:pPr>
    </w:p>
  </w:endnote>
  <w:endnote w:id="7">
    <w:p w14:paraId="33EC480F" w14:textId="07703AD8" w:rsidR="002C4368" w:rsidRDefault="002C4368">
      <w:pPr>
        <w:pStyle w:val="EndnoteText"/>
      </w:pPr>
      <w:r w:rsidRPr="004208EA">
        <w:rPr>
          <w:rStyle w:val="EndnoteReference"/>
          <w:vertAlign w:val="baseline"/>
        </w:rPr>
        <w:endnoteRef/>
      </w:r>
      <w:r w:rsidRPr="002C4368">
        <w:t xml:space="preserve"> </w:t>
      </w:r>
      <w:r w:rsidRPr="004208EA">
        <w:rPr>
          <w:sz w:val="22"/>
          <w:szCs w:val="22"/>
        </w:rPr>
        <w:t>Prevalence and incidence of neuromyelitis optica spectrum disorder, aquaporin-4 antibody-positive NMOSD and MOG antibody-positive disease in Oxfordshire, UK</w:t>
      </w:r>
      <w:r>
        <w:t xml:space="preserve"> </w:t>
      </w:r>
    </w:p>
    <w:p w14:paraId="778E3327" w14:textId="77777777" w:rsidR="002C4368" w:rsidRDefault="002C4368">
      <w:pPr>
        <w:pStyle w:val="EndnoteText"/>
      </w:pPr>
    </w:p>
  </w:endnote>
  <w:endnote w:id="8">
    <w:p w14:paraId="053A6A4E" w14:textId="07660F92" w:rsidR="00315264" w:rsidRDefault="003925F1" w:rsidP="003925F1">
      <w:pPr>
        <w:pStyle w:val="EndnoteText"/>
        <w:rPr>
          <w:sz w:val="22"/>
          <w:szCs w:val="22"/>
        </w:rPr>
      </w:pPr>
      <w:r w:rsidRPr="006A0993">
        <w:rPr>
          <w:rStyle w:val="EndnoteReference"/>
          <w:sz w:val="22"/>
          <w:szCs w:val="22"/>
          <w:vertAlign w:val="baseline"/>
        </w:rPr>
        <w:endnoteRef/>
      </w:r>
      <w:r w:rsidRPr="006A0993">
        <w:rPr>
          <w:sz w:val="22"/>
          <w:szCs w:val="22"/>
        </w:rPr>
        <w:t xml:space="preserve"> </w:t>
      </w:r>
      <w:r w:rsidR="00D35464" w:rsidRPr="00D35464">
        <w:rPr>
          <w:sz w:val="22"/>
          <w:szCs w:val="22"/>
        </w:rPr>
        <w:t>Huda, S.</w:t>
      </w:r>
      <w:r w:rsidR="00D35464">
        <w:rPr>
          <w:sz w:val="22"/>
          <w:szCs w:val="22"/>
        </w:rPr>
        <w:t xml:space="preserve"> et al.</w:t>
      </w:r>
      <w:r w:rsidR="00D35464" w:rsidRPr="00D35464">
        <w:rPr>
          <w:sz w:val="22"/>
          <w:szCs w:val="22"/>
        </w:rPr>
        <w:t xml:space="preserve"> (2019). Neuromyelitis optica spectrum disorders. Clinical Medicine, 19(2), 169.</w:t>
      </w:r>
    </w:p>
    <w:p w14:paraId="3B71D7A0" w14:textId="77777777" w:rsidR="00D35464" w:rsidRPr="006A0993" w:rsidRDefault="00D35464" w:rsidP="003925F1">
      <w:pPr>
        <w:pStyle w:val="EndnoteText"/>
        <w:rPr>
          <w:sz w:val="22"/>
          <w:szCs w:val="22"/>
        </w:rPr>
      </w:pPr>
    </w:p>
  </w:endnote>
  <w:endnote w:id="9">
    <w:p w14:paraId="6034DB19" w14:textId="03F66B87" w:rsidR="00E92287" w:rsidRPr="006A0993" w:rsidRDefault="00E92287">
      <w:pPr>
        <w:pStyle w:val="EndnoteText"/>
        <w:rPr>
          <w:sz w:val="22"/>
          <w:szCs w:val="22"/>
        </w:rPr>
      </w:pPr>
      <w:r w:rsidRPr="006A0993">
        <w:rPr>
          <w:rStyle w:val="EndnoteReference"/>
          <w:sz w:val="22"/>
          <w:szCs w:val="22"/>
          <w:vertAlign w:val="baseline"/>
        </w:rPr>
        <w:endnoteRef/>
      </w:r>
      <w:r w:rsidRPr="006A0993">
        <w:rPr>
          <w:sz w:val="22"/>
          <w:szCs w:val="22"/>
        </w:rPr>
        <w:t xml:space="preserve"> </w:t>
      </w:r>
      <w:r w:rsidR="00D35464" w:rsidRPr="00D35464">
        <w:rPr>
          <w:sz w:val="22"/>
          <w:szCs w:val="22"/>
        </w:rPr>
        <w:t>Jasiak-Zatonska, M.</w:t>
      </w:r>
      <w:r w:rsidR="00D35464">
        <w:rPr>
          <w:sz w:val="22"/>
          <w:szCs w:val="22"/>
        </w:rPr>
        <w:t xml:space="preserve"> et al.</w:t>
      </w:r>
      <w:r w:rsidR="00D35464" w:rsidRPr="00D35464">
        <w:rPr>
          <w:sz w:val="22"/>
          <w:szCs w:val="22"/>
        </w:rPr>
        <w:t xml:space="preserve"> (2016). The immunology of neuromyelitis optica—current knowledge, clinical implications, controversies and future perspectives. International journal of molecular sciences, 17(3), 273.</w:t>
      </w:r>
    </w:p>
    <w:p w14:paraId="2B21623F" w14:textId="77777777" w:rsidR="00E92287" w:rsidRPr="006A0993" w:rsidRDefault="00E92287">
      <w:pPr>
        <w:pStyle w:val="EndnoteText"/>
        <w:rPr>
          <w:sz w:val="22"/>
          <w:szCs w:val="22"/>
        </w:rPr>
      </w:pPr>
    </w:p>
  </w:endnote>
  <w:endnote w:id="10">
    <w:p w14:paraId="2602DD4F" w14:textId="3EEC1E57" w:rsidR="00315264" w:rsidRDefault="00315264" w:rsidP="006A0993">
      <w:pPr>
        <w:pStyle w:val="EndnoteText"/>
      </w:pPr>
      <w:r w:rsidRPr="006A0993">
        <w:rPr>
          <w:rStyle w:val="EndnoteReference"/>
          <w:sz w:val="22"/>
          <w:szCs w:val="22"/>
          <w:vertAlign w:val="baseline"/>
        </w:rPr>
        <w:endnoteRef/>
      </w:r>
      <w:r w:rsidRPr="006A0993">
        <w:rPr>
          <w:sz w:val="22"/>
          <w:szCs w:val="22"/>
        </w:rPr>
        <w:t xml:space="preserve"> </w:t>
      </w:r>
      <w:r w:rsidR="006A0993" w:rsidRPr="006A0993">
        <w:rPr>
          <w:sz w:val="22"/>
          <w:szCs w:val="22"/>
        </w:rPr>
        <w:t xml:space="preserve">Alexion. </w:t>
      </w:r>
      <w:r w:rsidR="007E0F83">
        <w:rPr>
          <w:sz w:val="22"/>
          <w:szCs w:val="22"/>
        </w:rPr>
        <w:t>(</w:t>
      </w:r>
      <w:r w:rsidR="00F016D5">
        <w:rPr>
          <w:sz w:val="22"/>
          <w:szCs w:val="22"/>
        </w:rPr>
        <w:t>27</w:t>
      </w:r>
      <w:r w:rsidR="00F016D5" w:rsidRPr="004208EA">
        <w:rPr>
          <w:sz w:val="22"/>
          <w:szCs w:val="22"/>
          <w:vertAlign w:val="superscript"/>
        </w:rPr>
        <w:t>th</w:t>
      </w:r>
      <w:r w:rsidR="00F016D5">
        <w:rPr>
          <w:sz w:val="22"/>
          <w:szCs w:val="22"/>
        </w:rPr>
        <w:t xml:space="preserve"> October </w:t>
      </w:r>
      <w:r w:rsidR="006A0993" w:rsidRPr="006A0993">
        <w:rPr>
          <w:sz w:val="22"/>
          <w:szCs w:val="22"/>
        </w:rPr>
        <w:t>2022</w:t>
      </w:r>
      <w:r w:rsidR="007E0F83">
        <w:rPr>
          <w:sz w:val="22"/>
          <w:szCs w:val="22"/>
        </w:rPr>
        <w:t>)</w:t>
      </w:r>
      <w:r w:rsidR="006A0993" w:rsidRPr="006A0993">
        <w:rPr>
          <w:sz w:val="22"/>
          <w:szCs w:val="22"/>
        </w:rPr>
        <w:t xml:space="preserve">. </w:t>
      </w:r>
      <w:r w:rsidR="00F016D5" w:rsidRPr="00F016D5">
        <w:t xml:space="preserve"> </w:t>
      </w:r>
      <w:r w:rsidR="00F016D5" w:rsidRPr="00F016D5">
        <w:rPr>
          <w:sz w:val="22"/>
          <w:szCs w:val="22"/>
        </w:rPr>
        <w:t>Ultomiris showed zero relapses in adults with neuromyelitis optica spectrum disorder (NMOSD) with median treatment duration of 73 weeks</w:t>
      </w:r>
      <w:r w:rsidR="006A0993" w:rsidRPr="00F016D5">
        <w:rPr>
          <w:sz w:val="22"/>
          <w:szCs w:val="22"/>
        </w:rPr>
        <w:t xml:space="preserve"> [press release]. </w:t>
      </w:r>
      <w:hyperlink r:id="rId2" w:history="1">
        <w:r w:rsidR="00F016D5" w:rsidRPr="001A1D5C">
          <w:rPr>
            <w:rStyle w:val="Hyperlink"/>
            <w:sz w:val="22"/>
            <w:szCs w:val="22"/>
          </w:rPr>
          <w:t>https://www.astrazeneca.com/media-centre/press-releases/2022/ultomiris-showed-zero-relapses-in-adults-with-neuromyelitis-optica-spectrum-disorder-nmosd-with-median-treatment-duration-of-73-weeks.html</w:t>
        </w:r>
      </w:hyperlink>
      <w:r w:rsidR="00F016D5">
        <w:rPr>
          <w:sz w:val="22"/>
          <w:szCs w:val="22"/>
        </w:rPr>
        <w:t xml:space="preserve"> </w:t>
      </w:r>
      <w:r w:rsidR="007E0F83" w:rsidRPr="00F016D5">
        <w:rPr>
          <w:sz w:val="22"/>
          <w:szCs w:val="22"/>
        </w:rPr>
        <w:t>Accessed</w:t>
      </w:r>
      <w:r w:rsidR="007E0F83">
        <w:rPr>
          <w:sz w:val="22"/>
          <w:szCs w:val="22"/>
        </w:rPr>
        <w:t xml:space="preserve"> </w:t>
      </w:r>
      <w:r w:rsidR="00F016D5">
        <w:rPr>
          <w:sz w:val="22"/>
          <w:szCs w:val="22"/>
        </w:rPr>
        <w:t xml:space="preserve">November </w:t>
      </w:r>
      <w:r w:rsidR="007E0F83">
        <w:rPr>
          <w:sz w:val="22"/>
          <w:szCs w:val="22"/>
        </w:rPr>
        <w:t>2022.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37E82C36" w14:textId="77777777"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F4D939" w14:textId="5EA178EF" w:rsidR="00696A5C" w:rsidRDefault="00EC53AC">
    <w:pPr>
      <w:pStyle w:val="Footer"/>
    </w:pPr>
    <w:r>
      <w:t>January 202</w:t>
    </w:r>
    <w:r w:rsidR="001A52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CC8B" w14:textId="77777777" w:rsidR="00A27C26" w:rsidRDefault="00A27C26" w:rsidP="00446BEE">
      <w:r>
        <w:separator/>
      </w:r>
    </w:p>
  </w:footnote>
  <w:footnote w:type="continuationSeparator" w:id="0">
    <w:p w14:paraId="67562989" w14:textId="77777777" w:rsidR="00A27C26" w:rsidRDefault="00A27C26"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0B8A" w14:textId="77777777" w:rsidR="002C5E6A" w:rsidRDefault="00696A5C" w:rsidP="00200E38">
    <w:pPr>
      <w:pStyle w:val="Header"/>
      <w:ind w:left="-567"/>
      <w:rPr>
        <w:noProof/>
      </w:rPr>
    </w:pPr>
    <w:r>
      <w:rPr>
        <w:noProof/>
        <w:lang w:eastAsia="en-GB"/>
      </w:rPr>
      <w:drawing>
        <wp:inline distT="0" distB="0" distL="0" distR="0" wp14:anchorId="4D6BB023" wp14:editId="375118BD">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ED7820"/>
    <w:multiLevelType w:val="hybridMultilevel"/>
    <w:tmpl w:val="54B89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0710B0"/>
    <w:multiLevelType w:val="hybridMultilevel"/>
    <w:tmpl w:val="DFCC13B2"/>
    <w:lvl w:ilvl="0" w:tplc="12ACB5D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9F400D"/>
    <w:multiLevelType w:val="hybridMultilevel"/>
    <w:tmpl w:val="F0B03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872259">
    <w:abstractNumId w:val="23"/>
  </w:num>
  <w:num w:numId="2" w16cid:durableId="1670055157">
    <w:abstractNumId w:val="26"/>
  </w:num>
  <w:num w:numId="3" w16cid:durableId="1960909273">
    <w:abstractNumId w:val="26"/>
    <w:lvlOverride w:ilvl="0">
      <w:startOverride w:val="1"/>
    </w:lvlOverride>
  </w:num>
  <w:num w:numId="4" w16cid:durableId="1704164967">
    <w:abstractNumId w:val="26"/>
    <w:lvlOverride w:ilvl="0">
      <w:startOverride w:val="1"/>
    </w:lvlOverride>
  </w:num>
  <w:num w:numId="5" w16cid:durableId="593707578">
    <w:abstractNumId w:val="26"/>
    <w:lvlOverride w:ilvl="0">
      <w:startOverride w:val="1"/>
    </w:lvlOverride>
  </w:num>
  <w:num w:numId="6" w16cid:durableId="1429962273">
    <w:abstractNumId w:val="26"/>
    <w:lvlOverride w:ilvl="0">
      <w:startOverride w:val="1"/>
    </w:lvlOverride>
  </w:num>
  <w:num w:numId="7" w16cid:durableId="1507011168">
    <w:abstractNumId w:val="26"/>
    <w:lvlOverride w:ilvl="0">
      <w:startOverride w:val="1"/>
    </w:lvlOverride>
  </w:num>
  <w:num w:numId="8" w16cid:durableId="1909657321">
    <w:abstractNumId w:val="9"/>
  </w:num>
  <w:num w:numId="9" w16cid:durableId="754017384">
    <w:abstractNumId w:val="7"/>
  </w:num>
  <w:num w:numId="10" w16cid:durableId="882210144">
    <w:abstractNumId w:val="6"/>
  </w:num>
  <w:num w:numId="11" w16cid:durableId="991367146">
    <w:abstractNumId w:val="5"/>
  </w:num>
  <w:num w:numId="12" w16cid:durableId="389161311">
    <w:abstractNumId w:val="4"/>
  </w:num>
  <w:num w:numId="13" w16cid:durableId="1853181106">
    <w:abstractNumId w:val="8"/>
  </w:num>
  <w:num w:numId="14" w16cid:durableId="1056511802">
    <w:abstractNumId w:val="3"/>
  </w:num>
  <w:num w:numId="15" w16cid:durableId="1099056997">
    <w:abstractNumId w:val="2"/>
  </w:num>
  <w:num w:numId="16" w16cid:durableId="1064255988">
    <w:abstractNumId w:val="1"/>
  </w:num>
  <w:num w:numId="17" w16cid:durableId="1242638661">
    <w:abstractNumId w:val="0"/>
  </w:num>
  <w:num w:numId="18" w16cid:durableId="1042903434">
    <w:abstractNumId w:val="14"/>
  </w:num>
  <w:num w:numId="19" w16cid:durableId="304355857">
    <w:abstractNumId w:val="14"/>
    <w:lvlOverride w:ilvl="0">
      <w:startOverride w:val="1"/>
    </w:lvlOverride>
  </w:num>
  <w:num w:numId="20" w16cid:durableId="1815952288">
    <w:abstractNumId w:val="11"/>
  </w:num>
  <w:num w:numId="21" w16cid:durableId="1094519675">
    <w:abstractNumId w:val="28"/>
  </w:num>
  <w:num w:numId="22" w16cid:durableId="2060472788">
    <w:abstractNumId w:val="22"/>
  </w:num>
  <w:num w:numId="23" w16cid:durableId="48848409">
    <w:abstractNumId w:val="27"/>
  </w:num>
  <w:num w:numId="24" w16cid:durableId="838082672">
    <w:abstractNumId w:val="24"/>
  </w:num>
  <w:num w:numId="25" w16cid:durableId="414784933">
    <w:abstractNumId w:val="19"/>
  </w:num>
  <w:num w:numId="26" w16cid:durableId="531191009">
    <w:abstractNumId w:val="17"/>
  </w:num>
  <w:num w:numId="27" w16cid:durableId="1059934356">
    <w:abstractNumId w:val="15"/>
  </w:num>
  <w:num w:numId="28" w16cid:durableId="1750737715">
    <w:abstractNumId w:val="12"/>
  </w:num>
  <w:num w:numId="29" w16cid:durableId="1486239951">
    <w:abstractNumId w:val="18"/>
  </w:num>
  <w:num w:numId="30" w16cid:durableId="906181794">
    <w:abstractNumId w:val="30"/>
  </w:num>
  <w:num w:numId="31" w16cid:durableId="438109527">
    <w:abstractNumId w:val="13"/>
  </w:num>
  <w:num w:numId="32" w16cid:durableId="1425540501">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2953780">
    <w:abstractNumId w:val="10"/>
  </w:num>
  <w:num w:numId="34" w16cid:durableId="632096134">
    <w:abstractNumId w:val="16"/>
  </w:num>
  <w:num w:numId="35" w16cid:durableId="1977221899">
    <w:abstractNumId w:val="21"/>
  </w:num>
  <w:num w:numId="36" w16cid:durableId="2051756486">
    <w:abstractNumId w:val="25"/>
  </w:num>
  <w:num w:numId="37" w16cid:durableId="1395929793">
    <w:abstractNumId w:val="20"/>
  </w:num>
  <w:num w:numId="38" w16cid:durableId="9054527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26"/>
    <w:rsid w:val="000053F8"/>
    <w:rsid w:val="00006FAF"/>
    <w:rsid w:val="00013078"/>
    <w:rsid w:val="00024D0A"/>
    <w:rsid w:val="000472DC"/>
    <w:rsid w:val="0005519C"/>
    <w:rsid w:val="000567FF"/>
    <w:rsid w:val="00070065"/>
    <w:rsid w:val="00086ADD"/>
    <w:rsid w:val="00095E07"/>
    <w:rsid w:val="000A4FEE"/>
    <w:rsid w:val="000B5939"/>
    <w:rsid w:val="000D3405"/>
    <w:rsid w:val="000D7777"/>
    <w:rsid w:val="000E213E"/>
    <w:rsid w:val="000E39C5"/>
    <w:rsid w:val="00111CCE"/>
    <w:rsid w:val="001134E7"/>
    <w:rsid w:val="00115C46"/>
    <w:rsid w:val="00150C0E"/>
    <w:rsid w:val="00152110"/>
    <w:rsid w:val="001672D1"/>
    <w:rsid w:val="0017149E"/>
    <w:rsid w:val="0017169E"/>
    <w:rsid w:val="00181A4A"/>
    <w:rsid w:val="00191B1B"/>
    <w:rsid w:val="0019231F"/>
    <w:rsid w:val="00195C4E"/>
    <w:rsid w:val="001A01D1"/>
    <w:rsid w:val="001A525C"/>
    <w:rsid w:val="001B0EE9"/>
    <w:rsid w:val="001B65B3"/>
    <w:rsid w:val="001C023C"/>
    <w:rsid w:val="00200E38"/>
    <w:rsid w:val="002029A6"/>
    <w:rsid w:val="0021266E"/>
    <w:rsid w:val="00221B27"/>
    <w:rsid w:val="002408EA"/>
    <w:rsid w:val="002819D7"/>
    <w:rsid w:val="00291A17"/>
    <w:rsid w:val="00294573"/>
    <w:rsid w:val="002C1A7E"/>
    <w:rsid w:val="002C4368"/>
    <w:rsid w:val="002C5E6A"/>
    <w:rsid w:val="002D3376"/>
    <w:rsid w:val="00311ED0"/>
    <w:rsid w:val="00315264"/>
    <w:rsid w:val="003648C5"/>
    <w:rsid w:val="003722FA"/>
    <w:rsid w:val="00372CAC"/>
    <w:rsid w:val="003925F1"/>
    <w:rsid w:val="003A0F66"/>
    <w:rsid w:val="003A107A"/>
    <w:rsid w:val="003C7AAF"/>
    <w:rsid w:val="003F41C3"/>
    <w:rsid w:val="004075B6"/>
    <w:rsid w:val="0041504E"/>
    <w:rsid w:val="004208EA"/>
    <w:rsid w:val="00420952"/>
    <w:rsid w:val="00433EFF"/>
    <w:rsid w:val="00443081"/>
    <w:rsid w:val="00446BEE"/>
    <w:rsid w:val="00482716"/>
    <w:rsid w:val="004E20CB"/>
    <w:rsid w:val="005025A1"/>
    <w:rsid w:val="0053717B"/>
    <w:rsid w:val="005461CB"/>
    <w:rsid w:val="00566E2A"/>
    <w:rsid w:val="005A40F3"/>
    <w:rsid w:val="005C59BD"/>
    <w:rsid w:val="005E342A"/>
    <w:rsid w:val="006921E1"/>
    <w:rsid w:val="00696A5C"/>
    <w:rsid w:val="006A0993"/>
    <w:rsid w:val="006A15B5"/>
    <w:rsid w:val="006D6093"/>
    <w:rsid w:val="006F4B25"/>
    <w:rsid w:val="006F6496"/>
    <w:rsid w:val="00715265"/>
    <w:rsid w:val="00736348"/>
    <w:rsid w:val="00760908"/>
    <w:rsid w:val="007955CD"/>
    <w:rsid w:val="007B2254"/>
    <w:rsid w:val="007E0F83"/>
    <w:rsid w:val="007F09A1"/>
    <w:rsid w:val="007F238D"/>
    <w:rsid w:val="00835AD7"/>
    <w:rsid w:val="00857CBD"/>
    <w:rsid w:val="00860835"/>
    <w:rsid w:val="00861B92"/>
    <w:rsid w:val="008814FB"/>
    <w:rsid w:val="008A2405"/>
    <w:rsid w:val="008B4A2B"/>
    <w:rsid w:val="008E39B6"/>
    <w:rsid w:val="008F5E30"/>
    <w:rsid w:val="00912761"/>
    <w:rsid w:val="00914D7F"/>
    <w:rsid w:val="00962555"/>
    <w:rsid w:val="00987DBC"/>
    <w:rsid w:val="009930B5"/>
    <w:rsid w:val="00995EEA"/>
    <w:rsid w:val="009A60B4"/>
    <w:rsid w:val="009E680B"/>
    <w:rsid w:val="009E74C6"/>
    <w:rsid w:val="00A15A1F"/>
    <w:rsid w:val="00A27C26"/>
    <w:rsid w:val="00A3325A"/>
    <w:rsid w:val="00A43013"/>
    <w:rsid w:val="00A53AD4"/>
    <w:rsid w:val="00A66AF6"/>
    <w:rsid w:val="00AA0377"/>
    <w:rsid w:val="00AF108A"/>
    <w:rsid w:val="00B02E55"/>
    <w:rsid w:val="00B036C1"/>
    <w:rsid w:val="00B46ABD"/>
    <w:rsid w:val="00B5431F"/>
    <w:rsid w:val="00BC66C6"/>
    <w:rsid w:val="00BE1B90"/>
    <w:rsid w:val="00BE2279"/>
    <w:rsid w:val="00BF629E"/>
    <w:rsid w:val="00BF7FE0"/>
    <w:rsid w:val="00C209B6"/>
    <w:rsid w:val="00C35CD0"/>
    <w:rsid w:val="00C670DD"/>
    <w:rsid w:val="00C81104"/>
    <w:rsid w:val="00C9475C"/>
    <w:rsid w:val="00C96411"/>
    <w:rsid w:val="00CA055B"/>
    <w:rsid w:val="00CA41A8"/>
    <w:rsid w:val="00CA78AA"/>
    <w:rsid w:val="00CB0275"/>
    <w:rsid w:val="00CB5671"/>
    <w:rsid w:val="00CD3014"/>
    <w:rsid w:val="00CE5D4F"/>
    <w:rsid w:val="00CF58B7"/>
    <w:rsid w:val="00D1140F"/>
    <w:rsid w:val="00D22C5F"/>
    <w:rsid w:val="00D25083"/>
    <w:rsid w:val="00D351C1"/>
    <w:rsid w:val="00D35464"/>
    <w:rsid w:val="00D35EFB"/>
    <w:rsid w:val="00D44C15"/>
    <w:rsid w:val="00D504B3"/>
    <w:rsid w:val="00D6276C"/>
    <w:rsid w:val="00D64977"/>
    <w:rsid w:val="00D71447"/>
    <w:rsid w:val="00D86AC1"/>
    <w:rsid w:val="00D86BF0"/>
    <w:rsid w:val="00D93F96"/>
    <w:rsid w:val="00D96736"/>
    <w:rsid w:val="00DC3B22"/>
    <w:rsid w:val="00DE4DE9"/>
    <w:rsid w:val="00DE7F80"/>
    <w:rsid w:val="00DF1952"/>
    <w:rsid w:val="00E15E80"/>
    <w:rsid w:val="00E51920"/>
    <w:rsid w:val="00E64120"/>
    <w:rsid w:val="00E660A1"/>
    <w:rsid w:val="00E72062"/>
    <w:rsid w:val="00E74106"/>
    <w:rsid w:val="00E92287"/>
    <w:rsid w:val="00EA3CCF"/>
    <w:rsid w:val="00EC53AC"/>
    <w:rsid w:val="00EE3AD8"/>
    <w:rsid w:val="00EF3DC0"/>
    <w:rsid w:val="00F00624"/>
    <w:rsid w:val="00F016D5"/>
    <w:rsid w:val="00F055F1"/>
    <w:rsid w:val="00F32CDA"/>
    <w:rsid w:val="00F610AF"/>
    <w:rsid w:val="00F85485"/>
    <w:rsid w:val="00F90BB8"/>
    <w:rsid w:val="00FA2C5A"/>
    <w:rsid w:val="00FB10AB"/>
    <w:rsid w:val="00FC2D11"/>
    <w:rsid w:val="00FC6230"/>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072C0"/>
  <w15:chartTrackingRefBased/>
  <w15:docId w15:val="{55411B72-3757-4AD8-91DB-078FAB0C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paragraph" w:styleId="EndnoteText">
    <w:name w:val="endnote text"/>
    <w:basedOn w:val="Normal"/>
    <w:link w:val="EndnoteTextChar"/>
    <w:semiHidden/>
    <w:unhideWhenUsed/>
    <w:rsid w:val="00A27C26"/>
    <w:rPr>
      <w:rFonts w:ascii="Arial" w:eastAsia="Times New Roman" w:hAnsi="Arial" w:cs="Courier New"/>
      <w:sz w:val="20"/>
      <w:szCs w:val="20"/>
    </w:rPr>
  </w:style>
  <w:style w:type="character" w:customStyle="1" w:styleId="EndnoteTextChar">
    <w:name w:val="Endnote Text Char"/>
    <w:basedOn w:val="DefaultParagraphFont"/>
    <w:link w:val="EndnoteText"/>
    <w:semiHidden/>
    <w:rsid w:val="00A27C26"/>
    <w:rPr>
      <w:rFonts w:ascii="Arial" w:hAnsi="Arial" w:cs="Courier New"/>
      <w:lang w:eastAsia="en-US"/>
    </w:rPr>
  </w:style>
  <w:style w:type="character" w:styleId="EndnoteReference">
    <w:name w:val="endnote reference"/>
    <w:semiHidden/>
    <w:unhideWhenUsed/>
    <w:rsid w:val="00A27C26"/>
    <w:rPr>
      <w:vertAlign w:val="superscript"/>
    </w:rPr>
  </w:style>
  <w:style w:type="character" w:styleId="FollowedHyperlink">
    <w:name w:val="FollowedHyperlink"/>
    <w:basedOn w:val="DefaultParagraphFont"/>
    <w:semiHidden/>
    <w:unhideWhenUsed/>
    <w:rsid w:val="00A27C26"/>
    <w:rPr>
      <w:color w:val="800080" w:themeColor="followedHyperlink"/>
      <w:u w:val="single"/>
    </w:rPr>
  </w:style>
  <w:style w:type="character" w:styleId="UnresolvedMention">
    <w:name w:val="Unresolved Mention"/>
    <w:basedOn w:val="DefaultParagraphFont"/>
    <w:uiPriority w:val="99"/>
    <w:semiHidden/>
    <w:unhideWhenUsed/>
    <w:rsid w:val="00315264"/>
    <w:rPr>
      <w:color w:val="605E5C"/>
      <w:shd w:val="clear" w:color="auto" w:fill="E1DFDD"/>
    </w:rPr>
  </w:style>
  <w:style w:type="paragraph" w:styleId="Revision">
    <w:name w:val="Revision"/>
    <w:hidden/>
    <w:uiPriority w:val="99"/>
    <w:semiHidden/>
    <w:rsid w:val="00BE227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858552">
      <w:bodyDiv w:val="1"/>
      <w:marLeft w:val="0"/>
      <w:marRight w:val="0"/>
      <w:marTop w:val="0"/>
      <w:marBottom w:val="0"/>
      <w:divBdr>
        <w:top w:val="none" w:sz="0" w:space="0" w:color="auto"/>
        <w:left w:val="none" w:sz="0" w:space="0" w:color="auto"/>
        <w:bottom w:val="none" w:sz="0" w:space="0" w:color="auto"/>
        <w:right w:val="none" w:sz="0" w:space="0" w:color="auto"/>
      </w:divBdr>
    </w:div>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688822194">
      <w:bodyDiv w:val="1"/>
      <w:marLeft w:val="0"/>
      <w:marRight w:val="0"/>
      <w:marTop w:val="0"/>
      <w:marBottom w:val="0"/>
      <w:divBdr>
        <w:top w:val="none" w:sz="0" w:space="0" w:color="auto"/>
        <w:left w:val="none" w:sz="0" w:space="0" w:color="auto"/>
        <w:bottom w:val="none" w:sz="0" w:space="0" w:color="auto"/>
        <w:right w:val="none" w:sz="0" w:space="0" w:color="auto"/>
      </w:divBdr>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lossary/incremental-cost-effectiveness-rat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astrazeneca.com/media-centre/press-releases/2022/ultomiris-showed-zero-relapses-in-adults-with-neuromyelitis-optica-spectrum-disorder-nmosd-with-median-treatment-duration-of-73-weeks.html" TargetMode="External"/><Relationship Id="rId1" Type="http://schemas.openxmlformats.org/officeDocument/2006/relationships/hyperlink" Target="https://www.england.nhs.uk/wp-content/uploads/2017/10/prescribed-specialised-services-manu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Templates\Scoping\3.%20Tech%20team%20templates%20updated%20March%2022\TEMPLATE%20-%20HST%20criteria%20checklist%20-%20for%20NICE%20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0A9F3-4F33-4A73-8606-D7C8F6FC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HST criteria checklist - for NICE use.dotx</Template>
  <TotalTime>1</TotalTime>
  <Pages>7</Pages>
  <Words>1419</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Sampson</dc:creator>
  <cp:keywords/>
  <dc:description/>
  <cp:lastModifiedBy>Alexandra Sampson</cp:lastModifiedBy>
  <cp:revision>2</cp:revision>
  <cp:lastPrinted>2020-02-04T14:39:00Z</cp:lastPrinted>
  <dcterms:created xsi:type="dcterms:W3CDTF">2023-02-01T14:02:00Z</dcterms:created>
  <dcterms:modified xsi:type="dcterms:W3CDTF">2023-02-01T14:02:00Z</dcterms:modified>
</cp:coreProperties>
</file>