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CAE7" w14:textId="7F2C38ED" w:rsidR="00D0780E" w:rsidRDefault="00DC4499" w:rsidP="00D0780E">
      <w:pPr>
        <w:spacing w:after="0" w:line="240" w:lineRule="auto"/>
        <w:jc w:val="both"/>
        <w:rPr>
          <w:rFonts w:ascii="Arial" w:hAnsi="Arial" w:cs="Arial"/>
        </w:rPr>
      </w:pPr>
      <w:proofErr w:type="spellStart"/>
      <w:r w:rsidRPr="00DC4499">
        <w:rPr>
          <w:rFonts w:ascii="Arial" w:hAnsi="Arial" w:cs="Arial"/>
          <w:highlight w:val="black"/>
        </w:rPr>
        <w:t>xxxxxxxxxxxxxxxx</w:t>
      </w:r>
      <w:proofErr w:type="spellEnd"/>
    </w:p>
    <w:p w14:paraId="5812D9D5" w14:textId="77777777" w:rsidR="00D0780E" w:rsidRDefault="00D0780E" w:rsidP="00D0780E">
      <w:pPr>
        <w:spacing w:after="0" w:line="240" w:lineRule="auto"/>
        <w:jc w:val="both"/>
        <w:rPr>
          <w:rFonts w:ascii="Arial" w:hAnsi="Arial" w:cs="Arial"/>
        </w:rPr>
      </w:pPr>
      <w:r>
        <w:rPr>
          <w:rFonts w:ascii="Arial" w:hAnsi="Arial" w:cs="Arial"/>
        </w:rPr>
        <w:t>Senior Director, Patient Access</w:t>
      </w:r>
    </w:p>
    <w:p w14:paraId="663BA767" w14:textId="77777777" w:rsidR="00D0780E" w:rsidRDefault="00D0780E" w:rsidP="00D0780E">
      <w:pPr>
        <w:spacing w:after="0" w:line="240" w:lineRule="auto"/>
        <w:jc w:val="both"/>
        <w:rPr>
          <w:rFonts w:ascii="Arial" w:hAnsi="Arial" w:cs="Arial"/>
        </w:rPr>
      </w:pPr>
      <w:r>
        <w:rPr>
          <w:rFonts w:ascii="Arial" w:hAnsi="Arial" w:cs="Arial"/>
        </w:rPr>
        <w:t>Janssen-</w:t>
      </w:r>
      <w:proofErr w:type="spellStart"/>
      <w:r>
        <w:rPr>
          <w:rFonts w:ascii="Arial" w:hAnsi="Arial" w:cs="Arial"/>
        </w:rPr>
        <w:t>Cilag</w:t>
      </w:r>
      <w:proofErr w:type="spellEnd"/>
      <w:r>
        <w:rPr>
          <w:rFonts w:ascii="Arial" w:hAnsi="Arial" w:cs="Arial"/>
        </w:rPr>
        <w:t xml:space="preserve"> Ltd</w:t>
      </w:r>
    </w:p>
    <w:p w14:paraId="19921142" w14:textId="77777777" w:rsidR="00D0780E" w:rsidRDefault="00D0780E" w:rsidP="00D0780E">
      <w:pPr>
        <w:spacing w:after="0" w:line="240" w:lineRule="auto"/>
        <w:jc w:val="both"/>
        <w:rPr>
          <w:rFonts w:ascii="Arial" w:hAnsi="Arial" w:cs="Arial"/>
        </w:rPr>
      </w:pPr>
      <w:r>
        <w:rPr>
          <w:rFonts w:ascii="Arial" w:hAnsi="Arial" w:cs="Arial"/>
        </w:rPr>
        <w:t xml:space="preserve">50-100 </w:t>
      </w:r>
      <w:proofErr w:type="spellStart"/>
      <w:r>
        <w:rPr>
          <w:rFonts w:ascii="Arial" w:hAnsi="Arial" w:cs="Arial"/>
        </w:rPr>
        <w:t>Holmers</w:t>
      </w:r>
      <w:proofErr w:type="spellEnd"/>
      <w:r>
        <w:rPr>
          <w:rFonts w:ascii="Arial" w:hAnsi="Arial" w:cs="Arial"/>
        </w:rPr>
        <w:t xml:space="preserve"> Farm Way</w:t>
      </w:r>
    </w:p>
    <w:p w14:paraId="13ACC79A" w14:textId="77777777" w:rsidR="00D0780E" w:rsidRDefault="00D0780E" w:rsidP="00D0780E">
      <w:pPr>
        <w:spacing w:after="0" w:line="240" w:lineRule="auto"/>
        <w:jc w:val="both"/>
        <w:rPr>
          <w:rFonts w:ascii="Arial" w:hAnsi="Arial" w:cs="Arial"/>
        </w:rPr>
      </w:pPr>
      <w:r>
        <w:rPr>
          <w:rFonts w:ascii="Arial" w:hAnsi="Arial" w:cs="Arial"/>
        </w:rPr>
        <w:t>High Wycombe</w:t>
      </w:r>
    </w:p>
    <w:p w14:paraId="4753866F" w14:textId="77777777" w:rsidR="00F77C37" w:rsidRDefault="00D0780E" w:rsidP="00D0780E">
      <w:pPr>
        <w:spacing w:after="0" w:line="240" w:lineRule="auto"/>
        <w:jc w:val="both"/>
        <w:rPr>
          <w:rFonts w:ascii="Arial" w:hAnsi="Arial" w:cs="Arial"/>
        </w:rPr>
      </w:pPr>
      <w:r>
        <w:rPr>
          <w:rFonts w:ascii="Arial" w:hAnsi="Arial" w:cs="Arial"/>
        </w:rPr>
        <w:t xml:space="preserve">Buckinghamshire </w:t>
      </w:r>
    </w:p>
    <w:p w14:paraId="66722261" w14:textId="0A53AE54" w:rsidR="00D0780E" w:rsidRDefault="00D0780E" w:rsidP="00D0780E">
      <w:pPr>
        <w:spacing w:after="0" w:line="240" w:lineRule="auto"/>
        <w:jc w:val="both"/>
        <w:rPr>
          <w:rFonts w:ascii="Arial" w:hAnsi="Arial" w:cs="Arial"/>
        </w:rPr>
      </w:pPr>
      <w:r>
        <w:rPr>
          <w:rFonts w:ascii="Arial" w:hAnsi="Arial" w:cs="Arial"/>
        </w:rPr>
        <w:t>HP12 4EG</w:t>
      </w:r>
    </w:p>
    <w:p w14:paraId="439DCF5C" w14:textId="77777777" w:rsidR="00D0780E" w:rsidRPr="00182043" w:rsidRDefault="00D0780E" w:rsidP="00D0780E">
      <w:pPr>
        <w:spacing w:after="0" w:line="240" w:lineRule="auto"/>
        <w:jc w:val="both"/>
        <w:rPr>
          <w:rFonts w:ascii="Arial" w:hAnsi="Arial" w:cs="Arial"/>
        </w:rPr>
      </w:pPr>
    </w:p>
    <w:p w14:paraId="1828DA62" w14:textId="77777777" w:rsidR="00D0780E" w:rsidRPr="00182043" w:rsidRDefault="00D0780E" w:rsidP="00D0780E">
      <w:pPr>
        <w:spacing w:after="0" w:line="240" w:lineRule="auto"/>
        <w:jc w:val="both"/>
        <w:rPr>
          <w:rFonts w:ascii="Arial" w:hAnsi="Arial" w:cs="Arial"/>
        </w:rPr>
      </w:pPr>
    </w:p>
    <w:p w14:paraId="724EB2E5" w14:textId="44977038" w:rsidR="00D0780E" w:rsidRPr="000E6B73" w:rsidRDefault="00D0780E" w:rsidP="00D0780E">
      <w:pPr>
        <w:jc w:val="both"/>
        <w:rPr>
          <w:rStyle w:val="Hyperlink"/>
          <w:color w:val="auto"/>
        </w:rPr>
      </w:pPr>
      <w:r w:rsidRPr="00182043">
        <w:rPr>
          <w:rFonts w:ascii="Arial" w:hAnsi="Arial" w:cs="Arial"/>
        </w:rPr>
        <w:t xml:space="preserve">Sent by e-mail only: </w:t>
      </w:r>
      <w:proofErr w:type="spellStart"/>
      <w:r w:rsidR="00DC4499" w:rsidRPr="00DC4499">
        <w:rPr>
          <w:rFonts w:ascii="Arial" w:hAnsi="Arial" w:cs="Arial"/>
          <w:highlight w:val="black"/>
        </w:rPr>
        <w:t>xxxxxxxxxxxxxxxx</w:t>
      </w:r>
      <w:proofErr w:type="spellEnd"/>
    </w:p>
    <w:p w14:paraId="04E6623B" w14:textId="0917111A" w:rsidR="00B737D4" w:rsidRPr="00D0780E" w:rsidRDefault="00771051" w:rsidP="00B737D4">
      <w:pPr>
        <w:rPr>
          <w:rFonts w:ascii="Arial" w:hAnsi="Arial" w:cs="Arial"/>
        </w:rPr>
      </w:pPr>
      <w:r w:rsidRPr="00D0780E">
        <w:rPr>
          <w:rFonts w:ascii="Arial" w:hAnsi="Arial" w:cs="Arial"/>
        </w:rPr>
        <w:t>24 January 2023</w:t>
      </w:r>
    </w:p>
    <w:p w14:paraId="6E14DB58" w14:textId="5659C2EE" w:rsidR="00771051" w:rsidRPr="00D0780E" w:rsidRDefault="00771051" w:rsidP="00771051">
      <w:pPr>
        <w:spacing w:line="288" w:lineRule="auto"/>
        <w:jc w:val="both"/>
        <w:rPr>
          <w:rFonts w:ascii="Arial" w:hAnsi="Arial" w:cs="Arial"/>
        </w:rPr>
      </w:pPr>
      <w:r w:rsidRPr="00D0780E">
        <w:rPr>
          <w:rFonts w:ascii="Arial" w:hAnsi="Arial" w:cs="Arial"/>
        </w:rPr>
        <w:t xml:space="preserve">Dear </w:t>
      </w:r>
      <w:proofErr w:type="spellStart"/>
      <w:r w:rsidR="00DC4499" w:rsidRPr="00DC4499">
        <w:rPr>
          <w:rFonts w:ascii="Arial" w:hAnsi="Arial" w:cs="Arial"/>
          <w:highlight w:val="black"/>
        </w:rPr>
        <w:t>xxxxxx</w:t>
      </w:r>
      <w:proofErr w:type="spellEnd"/>
      <w:r w:rsidRPr="00D0780E">
        <w:rPr>
          <w:rFonts w:ascii="Arial" w:hAnsi="Arial" w:cs="Arial"/>
        </w:rPr>
        <w:t xml:space="preserve"> </w:t>
      </w:r>
    </w:p>
    <w:p w14:paraId="0303E010" w14:textId="77777777" w:rsidR="00771051" w:rsidRPr="00D0780E" w:rsidRDefault="00771051" w:rsidP="00771051">
      <w:pPr>
        <w:spacing w:line="288" w:lineRule="auto"/>
        <w:jc w:val="both"/>
        <w:rPr>
          <w:rFonts w:ascii="Arial" w:hAnsi="Arial" w:cs="Arial"/>
          <w:b/>
          <w:bCs/>
        </w:rPr>
      </w:pPr>
      <w:r w:rsidRPr="00D0780E">
        <w:rPr>
          <w:rFonts w:ascii="Arial" w:hAnsi="Arial" w:cs="Arial"/>
          <w:b/>
          <w:bCs/>
        </w:rPr>
        <w:t>Re: Final Appraisal Document — Daratumumab in combination for untreated systemic amyloid light-chain amyloidosis [ID3748]</w:t>
      </w:r>
    </w:p>
    <w:p w14:paraId="5695D1C2" w14:textId="51D22FFE" w:rsidR="005C388B" w:rsidRPr="00D0780E" w:rsidRDefault="005C388B" w:rsidP="00771051">
      <w:pPr>
        <w:spacing w:line="288" w:lineRule="auto"/>
        <w:jc w:val="both"/>
        <w:rPr>
          <w:rFonts w:ascii="Arial" w:eastAsia="Times New Roman" w:hAnsi="Arial" w:cs="Arial"/>
        </w:rPr>
      </w:pPr>
      <w:r w:rsidRPr="00D0780E">
        <w:rPr>
          <w:rFonts w:ascii="Arial" w:eastAsia="Times New Roman" w:hAnsi="Arial" w:cs="Arial"/>
        </w:rPr>
        <w:t xml:space="preserve">Thank you for your letter of </w:t>
      </w:r>
      <w:r w:rsidR="00771051" w:rsidRPr="00D0780E">
        <w:rPr>
          <w:rFonts w:ascii="Arial" w:eastAsia="Times New Roman" w:hAnsi="Arial" w:cs="Arial"/>
        </w:rPr>
        <w:t>17 January 2023</w:t>
      </w:r>
      <w:r w:rsidR="00F72BA0" w:rsidRPr="00D0780E">
        <w:rPr>
          <w:rFonts w:ascii="Arial" w:hAnsi="Arial" w:cs="Arial"/>
        </w:rPr>
        <w:t xml:space="preserve"> </w:t>
      </w:r>
      <w:r w:rsidR="00F72BA0" w:rsidRPr="00D0780E">
        <w:rPr>
          <w:rFonts w:ascii="Arial" w:eastAsia="Times New Roman" w:hAnsi="Arial" w:cs="Arial"/>
        </w:rPr>
        <w:t>responding to my initial scrutiny views.  This is my final decision on initial scrutiny.</w:t>
      </w:r>
    </w:p>
    <w:p w14:paraId="6DCE4CD5" w14:textId="77777777" w:rsidR="00F72BA0" w:rsidRPr="00D0780E" w:rsidRDefault="00F72BA0" w:rsidP="00F72BA0">
      <w:pPr>
        <w:spacing w:before="240" w:after="240"/>
        <w:jc w:val="both"/>
        <w:rPr>
          <w:rFonts w:ascii="Arial" w:eastAsia="Times New Roman" w:hAnsi="Arial" w:cs="Arial"/>
        </w:rPr>
      </w:pPr>
      <w:r w:rsidRPr="00D0780E">
        <w:rPr>
          <w:rFonts w:ascii="Arial" w:eastAsia="Times New Roman" w:hAnsi="Arial" w:cs="Arial"/>
        </w:rPr>
        <w:t>I consider the ground 1(a) points followed by the grounds 1(b) and then the ground 2 points.</w:t>
      </w:r>
    </w:p>
    <w:p w14:paraId="1E6674ED" w14:textId="77777777" w:rsidR="00F72BA0" w:rsidRPr="00D0780E" w:rsidRDefault="00F72BA0" w:rsidP="00F72BA0">
      <w:pPr>
        <w:spacing w:before="240" w:after="240"/>
        <w:jc w:val="both"/>
        <w:rPr>
          <w:rFonts w:ascii="Arial" w:hAnsi="Arial" w:cs="Arial"/>
          <w:b/>
          <w:i/>
        </w:rPr>
      </w:pPr>
      <w:r w:rsidRPr="00D0780E">
        <w:rPr>
          <w:rFonts w:ascii="Arial" w:eastAsia="Times New Roman" w:hAnsi="Arial" w:cs="Arial"/>
          <w:b/>
          <w:bCs/>
          <w:i/>
          <w:iCs/>
        </w:rPr>
        <w:t xml:space="preserve">Ground 1(a): In making the assessment that preceded the recommendation, NICE has failed to act </w:t>
      </w:r>
      <w:proofErr w:type="gramStart"/>
      <w:r w:rsidRPr="00D0780E">
        <w:rPr>
          <w:rFonts w:ascii="Arial" w:eastAsia="Times New Roman" w:hAnsi="Arial" w:cs="Arial"/>
          <w:b/>
          <w:bCs/>
          <w:i/>
          <w:iCs/>
        </w:rPr>
        <w:t>fairly</w:t>
      </w:r>
      <w:proofErr w:type="gramEnd"/>
    </w:p>
    <w:p w14:paraId="3E0BCE40" w14:textId="5FF330FB" w:rsidR="00771051" w:rsidRPr="00D0780E" w:rsidRDefault="00771051" w:rsidP="00771051">
      <w:pPr>
        <w:pStyle w:val="Paragraph"/>
        <w:numPr>
          <w:ilvl w:val="0"/>
          <w:numId w:val="0"/>
        </w:numPr>
        <w:jc w:val="both"/>
        <w:rPr>
          <w:rFonts w:eastAsia="Calibri" w:cs="Arial"/>
          <w:b/>
          <w:sz w:val="22"/>
          <w:szCs w:val="22"/>
          <w:u w:val="single"/>
          <w:lang w:eastAsia="en-US"/>
        </w:rPr>
      </w:pPr>
      <w:r w:rsidRPr="00D0780E">
        <w:rPr>
          <w:rFonts w:eastAsia="Calibri" w:cs="Arial"/>
          <w:b/>
          <w:sz w:val="22"/>
          <w:szCs w:val="22"/>
          <w:u w:val="single"/>
          <w:lang w:eastAsia="en-US"/>
        </w:rPr>
        <w:t xml:space="preserve">Appeal </w:t>
      </w:r>
      <w:proofErr w:type="gramStart"/>
      <w:r w:rsidRPr="00D0780E">
        <w:rPr>
          <w:rFonts w:eastAsia="Calibri" w:cs="Arial"/>
          <w:b/>
          <w:sz w:val="22"/>
          <w:szCs w:val="22"/>
          <w:u w:val="single"/>
          <w:lang w:eastAsia="en-US"/>
        </w:rPr>
        <w:t>point</w:t>
      </w:r>
      <w:proofErr w:type="gramEnd"/>
      <w:r w:rsidRPr="00D0780E">
        <w:rPr>
          <w:rFonts w:eastAsia="Calibri" w:cs="Arial"/>
          <w:b/>
          <w:sz w:val="22"/>
          <w:szCs w:val="22"/>
          <w:u w:val="single"/>
          <w:lang w:eastAsia="en-US"/>
        </w:rPr>
        <w:t xml:space="preserve"> 1(a).2 </w:t>
      </w:r>
      <w:r w:rsidRPr="00D0780E">
        <w:rPr>
          <w:rFonts w:eastAsia="Calibri" w:cs="Arial"/>
          <w:b/>
          <w:sz w:val="22"/>
          <w:szCs w:val="22"/>
          <w:u w:val="single"/>
          <w:lang w:eastAsia="en-US"/>
        </w:rPr>
        <w:tab/>
        <w:t>The Appraisal Committee’s conclusion that “it had not been shown if daratumumab in combination improves overall survival” disregards substantial evidence submitted by Janssen in support of complete haematological response as a surrogate endpoint for overall survival</w:t>
      </w:r>
    </w:p>
    <w:p w14:paraId="30D69F79" w14:textId="335E56EA" w:rsidR="00D842CF" w:rsidRPr="00D0780E" w:rsidRDefault="00D842CF" w:rsidP="00D842CF">
      <w:pPr>
        <w:pStyle w:val="Paragraph"/>
        <w:numPr>
          <w:ilvl w:val="0"/>
          <w:numId w:val="0"/>
        </w:numPr>
        <w:jc w:val="both"/>
        <w:rPr>
          <w:rFonts w:eastAsia="Calibri" w:cs="Arial"/>
          <w:bCs/>
          <w:i/>
          <w:iCs/>
          <w:sz w:val="22"/>
          <w:szCs w:val="22"/>
          <w:lang w:eastAsia="en-US"/>
        </w:rPr>
      </w:pPr>
      <w:r w:rsidRPr="00D0780E">
        <w:rPr>
          <w:rFonts w:cs="Arial"/>
          <w:sz w:val="22"/>
          <w:szCs w:val="22"/>
        </w:rPr>
        <w:t>I explained in my initial scrutiny letter that I was n</w:t>
      </w:r>
      <w:r w:rsidRPr="00D0780E">
        <w:rPr>
          <w:rFonts w:eastAsia="Calibri" w:cs="Arial"/>
          <w:bCs/>
          <w:sz w:val="22"/>
          <w:szCs w:val="22"/>
          <w:lang w:eastAsia="en-US"/>
        </w:rPr>
        <w:t xml:space="preserve">ot minded </w:t>
      </w:r>
      <w:proofErr w:type="gramStart"/>
      <w:r w:rsidRPr="00D0780E">
        <w:rPr>
          <w:rFonts w:eastAsia="Calibri" w:cs="Arial"/>
          <w:bCs/>
          <w:sz w:val="22"/>
          <w:szCs w:val="22"/>
          <w:lang w:eastAsia="en-US"/>
        </w:rPr>
        <w:t>to refer</w:t>
      </w:r>
      <w:proofErr w:type="gramEnd"/>
      <w:r w:rsidRPr="00D0780E">
        <w:rPr>
          <w:rFonts w:eastAsia="Calibri" w:cs="Arial"/>
          <w:bCs/>
          <w:sz w:val="22"/>
          <w:szCs w:val="22"/>
          <w:lang w:eastAsia="en-US"/>
        </w:rPr>
        <w:t xml:space="preserve"> this appeal point to the Appeal Panel because</w:t>
      </w:r>
      <w:r w:rsidRPr="00D0780E">
        <w:rPr>
          <w:rFonts w:eastAsia="Calibri" w:cs="Arial"/>
          <w:bCs/>
          <w:i/>
          <w:iCs/>
          <w:sz w:val="22"/>
          <w:szCs w:val="22"/>
          <w:lang w:eastAsia="en-US"/>
        </w:rPr>
        <w:t xml:space="preserve"> “There was no direct evidence in respect of overall survival.  The committee was invited to consider complete haematological response as a surrogate endpoint and </w:t>
      </w:r>
      <w:proofErr w:type="gramStart"/>
      <w:r w:rsidRPr="00D0780E">
        <w:rPr>
          <w:rFonts w:eastAsia="Calibri" w:cs="Arial"/>
          <w:bCs/>
          <w:i/>
          <w:iCs/>
          <w:sz w:val="22"/>
          <w:szCs w:val="22"/>
          <w:lang w:eastAsia="en-US"/>
        </w:rPr>
        <w:t>gave detailed consideration to</w:t>
      </w:r>
      <w:proofErr w:type="gramEnd"/>
      <w:r w:rsidRPr="00D0780E">
        <w:rPr>
          <w:rFonts w:eastAsia="Calibri" w:cs="Arial"/>
          <w:bCs/>
          <w:i/>
          <w:iCs/>
          <w:sz w:val="22"/>
          <w:szCs w:val="22"/>
          <w:lang w:eastAsia="en-US"/>
        </w:rPr>
        <w:t xml:space="preserve"> this submission</w:t>
      </w:r>
      <w:r w:rsidR="004E098A" w:rsidRPr="00D0780E">
        <w:rPr>
          <w:rFonts w:eastAsia="Calibri" w:cs="Arial"/>
          <w:bCs/>
          <w:i/>
          <w:iCs/>
          <w:sz w:val="22"/>
          <w:szCs w:val="22"/>
          <w:lang w:eastAsia="en-US"/>
        </w:rPr>
        <w:t>..</w:t>
      </w:r>
      <w:r w:rsidRPr="00D0780E">
        <w:rPr>
          <w:rFonts w:eastAsia="Calibri" w:cs="Arial"/>
          <w:bCs/>
          <w:i/>
          <w:iCs/>
          <w:sz w:val="22"/>
          <w:szCs w:val="22"/>
          <w:lang w:eastAsia="en-US"/>
        </w:rPr>
        <w:t>.”</w:t>
      </w:r>
      <w:r w:rsidR="008C5BFB" w:rsidRPr="00D0780E">
        <w:rPr>
          <w:rFonts w:eastAsia="Calibri" w:cs="Arial"/>
          <w:bCs/>
          <w:i/>
          <w:iCs/>
          <w:sz w:val="22"/>
          <w:szCs w:val="22"/>
          <w:lang w:eastAsia="en-US"/>
        </w:rPr>
        <w:t xml:space="preserve">. </w:t>
      </w:r>
    </w:p>
    <w:p w14:paraId="71595CE0" w14:textId="0526C2C6" w:rsidR="00D842CF" w:rsidRPr="00D0780E" w:rsidRDefault="00D842CF" w:rsidP="00671EF3">
      <w:pPr>
        <w:spacing w:before="240" w:after="240"/>
        <w:jc w:val="both"/>
        <w:rPr>
          <w:rFonts w:ascii="Arial" w:hAnsi="Arial" w:cs="Arial"/>
        </w:rPr>
      </w:pPr>
      <w:r w:rsidRPr="00D0780E">
        <w:rPr>
          <w:rFonts w:ascii="Arial" w:hAnsi="Arial" w:cs="Arial"/>
        </w:rPr>
        <w:t xml:space="preserve">I understand from your response that your appeal point is (in essence) that the Committee’s consideration </w:t>
      </w:r>
      <w:r w:rsidR="00A41BFF" w:rsidRPr="00D0780E">
        <w:rPr>
          <w:rFonts w:ascii="Arial" w:hAnsi="Arial" w:cs="Arial"/>
        </w:rPr>
        <w:t xml:space="preserve">of </w:t>
      </w:r>
      <w:r w:rsidR="002B2DA1" w:rsidRPr="00D0780E">
        <w:rPr>
          <w:rFonts w:ascii="Arial" w:hAnsi="Arial" w:cs="Arial"/>
        </w:rPr>
        <w:t xml:space="preserve">haematological response as a surrogate endpoint - and in particular </w:t>
      </w:r>
      <w:r w:rsidR="00A41BFF" w:rsidRPr="00D0780E">
        <w:rPr>
          <w:rFonts w:ascii="Arial" w:hAnsi="Arial" w:cs="Arial"/>
        </w:rPr>
        <w:t xml:space="preserve">its conclusion </w:t>
      </w:r>
      <w:r w:rsidR="00803E32" w:rsidRPr="00D0780E">
        <w:rPr>
          <w:rFonts w:ascii="Arial" w:hAnsi="Arial" w:cs="Arial"/>
        </w:rPr>
        <w:t xml:space="preserve">at para 3.7 of the FAD </w:t>
      </w:r>
      <w:r w:rsidR="00A41BFF" w:rsidRPr="00D0780E">
        <w:rPr>
          <w:rFonts w:ascii="Arial" w:hAnsi="Arial" w:cs="Arial"/>
        </w:rPr>
        <w:t>that “it had not been shown if daratumumab in combination improves overall survival”</w:t>
      </w:r>
      <w:r w:rsidR="002B2DA1" w:rsidRPr="00D0780E">
        <w:rPr>
          <w:rFonts w:ascii="Arial" w:hAnsi="Arial" w:cs="Arial"/>
        </w:rPr>
        <w:t xml:space="preserve"> -</w:t>
      </w:r>
      <w:r w:rsidR="004E098A" w:rsidRPr="00D0780E">
        <w:rPr>
          <w:rFonts w:ascii="Arial" w:hAnsi="Arial" w:cs="Arial"/>
        </w:rPr>
        <w:t xml:space="preserve"> was</w:t>
      </w:r>
      <w:r w:rsidRPr="00D0780E">
        <w:rPr>
          <w:rFonts w:ascii="Arial" w:hAnsi="Arial" w:cs="Arial"/>
        </w:rPr>
        <w:t xml:space="preserve"> </w:t>
      </w:r>
      <w:r w:rsidRPr="00D0780E">
        <w:rPr>
          <w:rFonts w:ascii="Arial" w:hAnsi="Arial" w:cs="Arial"/>
          <w:u w:val="single"/>
        </w:rPr>
        <w:t xml:space="preserve">procedurally </w:t>
      </w:r>
      <w:r w:rsidR="008C5BFB" w:rsidRPr="00D0780E">
        <w:rPr>
          <w:rFonts w:ascii="Arial" w:hAnsi="Arial" w:cs="Arial"/>
          <w:u w:val="single"/>
        </w:rPr>
        <w:t xml:space="preserve">flawed / </w:t>
      </w:r>
      <w:r w:rsidR="002B2DA1" w:rsidRPr="00D0780E">
        <w:rPr>
          <w:rFonts w:ascii="Arial" w:hAnsi="Arial" w:cs="Arial"/>
          <w:u w:val="single"/>
        </w:rPr>
        <w:t>unfair</w:t>
      </w:r>
      <w:r w:rsidRPr="00D0780E">
        <w:rPr>
          <w:rFonts w:ascii="Arial" w:hAnsi="Arial" w:cs="Arial"/>
        </w:rPr>
        <w:t xml:space="preserve"> </w:t>
      </w:r>
      <w:r w:rsidR="00A41BFF" w:rsidRPr="00D0780E">
        <w:rPr>
          <w:rFonts w:ascii="Arial" w:hAnsi="Arial" w:cs="Arial"/>
        </w:rPr>
        <w:t xml:space="preserve">because </w:t>
      </w:r>
      <w:r w:rsidR="00803E32" w:rsidRPr="00D0780E">
        <w:rPr>
          <w:rFonts w:ascii="Arial" w:hAnsi="Arial" w:cs="Arial"/>
        </w:rPr>
        <w:t>the Committee failed “</w:t>
      </w:r>
      <w:r w:rsidR="00A41BFF" w:rsidRPr="00D0780E">
        <w:rPr>
          <w:rFonts w:ascii="Arial" w:hAnsi="Arial" w:cs="Arial"/>
        </w:rPr>
        <w:t>to take into account relevant evidence or to explain why important evidence has not been relied upon (lack of transparency)</w:t>
      </w:r>
      <w:r w:rsidRPr="00D0780E">
        <w:rPr>
          <w:rFonts w:ascii="Arial" w:hAnsi="Arial" w:cs="Arial"/>
        </w:rPr>
        <w:t xml:space="preserve">”. </w:t>
      </w:r>
      <w:r w:rsidR="002B2DA1" w:rsidRPr="00D0780E">
        <w:rPr>
          <w:rFonts w:ascii="Arial" w:hAnsi="Arial" w:cs="Arial"/>
        </w:rPr>
        <w:t>I</w:t>
      </w:r>
      <w:r w:rsidRPr="00D0780E">
        <w:rPr>
          <w:rFonts w:ascii="Arial" w:hAnsi="Arial" w:cs="Arial"/>
        </w:rPr>
        <w:t>n particular you say the</w:t>
      </w:r>
      <w:r w:rsidR="00A41BFF" w:rsidRPr="00D0780E">
        <w:rPr>
          <w:rFonts w:ascii="Arial" w:hAnsi="Arial" w:cs="Arial"/>
        </w:rPr>
        <w:t>re is no evidence in the FAD that the</w:t>
      </w:r>
      <w:r w:rsidRPr="00D0780E">
        <w:rPr>
          <w:rFonts w:ascii="Arial" w:hAnsi="Arial" w:cs="Arial"/>
        </w:rPr>
        <w:t xml:space="preserve"> Committee </w:t>
      </w:r>
      <w:r w:rsidR="00A41BFF" w:rsidRPr="00D0780E">
        <w:rPr>
          <w:rFonts w:ascii="Arial" w:hAnsi="Arial" w:cs="Arial"/>
        </w:rPr>
        <w:t>took into account that</w:t>
      </w:r>
      <w:r w:rsidRPr="00D0780E">
        <w:rPr>
          <w:rFonts w:ascii="Arial" w:hAnsi="Arial" w:cs="Arial"/>
        </w:rPr>
        <w:t xml:space="preserve">: </w:t>
      </w:r>
    </w:p>
    <w:p w14:paraId="1649E3A3" w14:textId="4179031E" w:rsidR="00D842CF" w:rsidRPr="00D0780E" w:rsidRDefault="00D842CF" w:rsidP="00C551C7">
      <w:pPr>
        <w:pStyle w:val="ListParagraph"/>
        <w:numPr>
          <w:ilvl w:val="0"/>
          <w:numId w:val="14"/>
        </w:numPr>
        <w:spacing w:before="240" w:after="240"/>
        <w:jc w:val="both"/>
        <w:rPr>
          <w:rFonts w:cs="Arial"/>
          <w:sz w:val="22"/>
          <w:szCs w:val="22"/>
        </w:rPr>
      </w:pPr>
      <w:r w:rsidRPr="00D0780E">
        <w:rPr>
          <w:rFonts w:cs="Arial"/>
          <w:sz w:val="22"/>
          <w:szCs w:val="22"/>
        </w:rPr>
        <w:t>substantial delay in major organ deterioration is an endpoint closely linked to survival</w:t>
      </w:r>
      <w:r w:rsidR="00A41BFF" w:rsidRPr="00D0780E">
        <w:rPr>
          <w:rFonts w:cs="Arial"/>
          <w:sz w:val="22"/>
          <w:szCs w:val="22"/>
        </w:rPr>
        <w:t>;</w:t>
      </w:r>
      <w:r w:rsidRPr="00D0780E">
        <w:rPr>
          <w:rFonts w:cs="Arial"/>
          <w:sz w:val="22"/>
          <w:szCs w:val="22"/>
        </w:rPr>
        <w:t xml:space="preserve"> and</w:t>
      </w:r>
    </w:p>
    <w:p w14:paraId="5B96DD5B" w14:textId="77777777" w:rsidR="00803E32" w:rsidRPr="00D0780E" w:rsidRDefault="00803E32" w:rsidP="00803E32">
      <w:pPr>
        <w:pStyle w:val="ListParagraph"/>
        <w:spacing w:before="240" w:after="240"/>
        <w:jc w:val="both"/>
        <w:rPr>
          <w:rFonts w:cs="Arial"/>
          <w:sz w:val="22"/>
          <w:szCs w:val="22"/>
        </w:rPr>
      </w:pPr>
    </w:p>
    <w:p w14:paraId="2A6EDA9D" w14:textId="6B102DE2" w:rsidR="00D842CF" w:rsidRPr="00D0780E" w:rsidRDefault="00A41BFF" w:rsidP="00D842CF">
      <w:pPr>
        <w:pStyle w:val="ListParagraph"/>
        <w:numPr>
          <w:ilvl w:val="0"/>
          <w:numId w:val="14"/>
        </w:numPr>
        <w:spacing w:before="240" w:after="240"/>
        <w:jc w:val="both"/>
        <w:rPr>
          <w:rFonts w:cs="Arial"/>
          <w:sz w:val="22"/>
          <w:szCs w:val="22"/>
        </w:rPr>
      </w:pPr>
      <w:r w:rsidRPr="00D0780E">
        <w:rPr>
          <w:rFonts w:cs="Arial"/>
          <w:sz w:val="22"/>
          <w:szCs w:val="22"/>
        </w:rPr>
        <w:lastRenderedPageBreak/>
        <w:t>t</w:t>
      </w:r>
      <w:r w:rsidR="00D842CF" w:rsidRPr="00D0780E">
        <w:rPr>
          <w:rFonts w:cs="Arial"/>
          <w:sz w:val="22"/>
          <w:szCs w:val="22"/>
        </w:rPr>
        <w:t>he additional survival results from the ANDROMEDA safety data at a median follow up of 20.3 months</w:t>
      </w:r>
      <w:r w:rsidRPr="00D0780E">
        <w:rPr>
          <w:rFonts w:cs="Arial"/>
          <w:sz w:val="22"/>
          <w:szCs w:val="22"/>
        </w:rPr>
        <w:t xml:space="preserve"> (which</w:t>
      </w:r>
      <w:r w:rsidR="00D842CF" w:rsidRPr="00D0780E">
        <w:rPr>
          <w:rFonts w:cs="Arial"/>
          <w:sz w:val="22"/>
          <w:szCs w:val="22"/>
        </w:rPr>
        <w:t xml:space="preserve"> were used to update the economic model and submitted in response to the ACD, with the agreement of NICE</w:t>
      </w:r>
      <w:r w:rsidRPr="00D0780E">
        <w:rPr>
          <w:rFonts w:cs="Arial"/>
          <w:sz w:val="22"/>
          <w:szCs w:val="22"/>
        </w:rPr>
        <w:t xml:space="preserve">), </w:t>
      </w:r>
      <w:r w:rsidR="00D842CF" w:rsidRPr="00D0780E">
        <w:rPr>
          <w:rFonts w:cs="Arial"/>
          <w:sz w:val="22"/>
          <w:szCs w:val="22"/>
        </w:rPr>
        <w:t xml:space="preserve">while immature, provide directional (direct) evidence of a survival advantage in patients receiving daratumumab in combination (a 6.6% higher survival at 20.3 months median follow-up in patients treated with </w:t>
      </w:r>
      <w:proofErr w:type="spellStart"/>
      <w:r w:rsidR="00D842CF" w:rsidRPr="00D0780E">
        <w:rPr>
          <w:rFonts w:cs="Arial"/>
          <w:sz w:val="22"/>
          <w:szCs w:val="22"/>
        </w:rPr>
        <w:t>DBCd</w:t>
      </w:r>
      <w:proofErr w:type="spellEnd"/>
      <w:r w:rsidR="00D842CF" w:rsidRPr="00D0780E">
        <w:rPr>
          <w:rFonts w:cs="Arial"/>
          <w:sz w:val="22"/>
          <w:szCs w:val="22"/>
        </w:rPr>
        <w:t xml:space="preserve"> as compared with patients on </w:t>
      </w:r>
      <w:proofErr w:type="spellStart"/>
      <w:r w:rsidR="00D842CF" w:rsidRPr="00D0780E">
        <w:rPr>
          <w:rFonts w:cs="Arial"/>
          <w:sz w:val="22"/>
          <w:szCs w:val="22"/>
        </w:rPr>
        <w:t>BCd</w:t>
      </w:r>
      <w:proofErr w:type="spellEnd"/>
      <w:r w:rsidR="00D842CF" w:rsidRPr="00D0780E">
        <w:rPr>
          <w:rFonts w:cs="Arial"/>
          <w:sz w:val="22"/>
          <w:szCs w:val="22"/>
        </w:rPr>
        <w:t xml:space="preserve"> only</w:t>
      </w:r>
      <w:r w:rsidRPr="00D0780E">
        <w:rPr>
          <w:rFonts w:cs="Arial"/>
          <w:sz w:val="22"/>
          <w:szCs w:val="22"/>
        </w:rPr>
        <w:t xml:space="preserve"> (</w:t>
      </w:r>
      <w:r w:rsidR="00D842CF" w:rsidRPr="00D0780E">
        <w:rPr>
          <w:rFonts w:cs="Arial"/>
          <w:sz w:val="22"/>
          <w:szCs w:val="22"/>
        </w:rPr>
        <w:t>point 4 Janssen response to ACD</w:t>
      </w:r>
      <w:r w:rsidRPr="00D0780E">
        <w:rPr>
          <w:rFonts w:cs="Arial"/>
          <w:sz w:val="22"/>
          <w:szCs w:val="22"/>
        </w:rPr>
        <w:t>).</w:t>
      </w:r>
      <w:r w:rsidR="00D842CF" w:rsidRPr="00D0780E">
        <w:rPr>
          <w:rFonts w:cs="Arial"/>
          <w:sz w:val="22"/>
          <w:szCs w:val="22"/>
        </w:rPr>
        <w:t xml:space="preserve"> </w:t>
      </w:r>
    </w:p>
    <w:p w14:paraId="3182A33E" w14:textId="2804840C" w:rsidR="001B76A7" w:rsidRPr="00D0780E" w:rsidRDefault="00803E32" w:rsidP="001B76A7">
      <w:pPr>
        <w:pStyle w:val="Paragraph"/>
        <w:numPr>
          <w:ilvl w:val="0"/>
          <w:numId w:val="0"/>
        </w:numPr>
        <w:jc w:val="both"/>
        <w:rPr>
          <w:rFonts w:eastAsia="Calibri" w:cs="Arial"/>
          <w:bCs/>
          <w:sz w:val="22"/>
          <w:szCs w:val="22"/>
          <w:lang w:eastAsia="en-US"/>
        </w:rPr>
      </w:pPr>
      <w:r w:rsidRPr="00D0780E">
        <w:rPr>
          <w:rFonts w:eastAsia="Calibri" w:cs="Arial"/>
          <w:bCs/>
          <w:sz w:val="22"/>
          <w:szCs w:val="22"/>
          <w:lang w:eastAsia="en-US"/>
        </w:rPr>
        <w:t>I remain of the view that it is unarguable that the Committee</w:t>
      </w:r>
      <w:r w:rsidR="002B2DA1" w:rsidRPr="00D0780E">
        <w:rPr>
          <w:rFonts w:eastAsia="Calibri" w:cs="Arial"/>
          <w:bCs/>
          <w:sz w:val="22"/>
          <w:szCs w:val="22"/>
          <w:lang w:eastAsia="en-US"/>
        </w:rPr>
        <w:t xml:space="preserve"> unfairly</w:t>
      </w:r>
      <w:r w:rsidRPr="00D0780E">
        <w:rPr>
          <w:rFonts w:eastAsia="Calibri" w:cs="Arial"/>
          <w:bCs/>
          <w:sz w:val="22"/>
          <w:szCs w:val="22"/>
          <w:lang w:eastAsia="en-US"/>
        </w:rPr>
        <w:t xml:space="preserve"> failed</w:t>
      </w:r>
      <w:r w:rsidR="00A745AB" w:rsidRPr="00D0780E">
        <w:rPr>
          <w:rFonts w:eastAsia="Calibri" w:cs="Arial"/>
          <w:bCs/>
          <w:sz w:val="22"/>
          <w:szCs w:val="22"/>
          <w:lang w:eastAsia="en-US"/>
        </w:rPr>
        <w:t xml:space="preserve"> to take into account </w:t>
      </w:r>
      <w:r w:rsidR="001B76A7" w:rsidRPr="00D0780E">
        <w:rPr>
          <w:rFonts w:eastAsia="Calibri" w:cs="Arial"/>
          <w:bCs/>
          <w:sz w:val="22"/>
          <w:szCs w:val="22"/>
          <w:lang w:eastAsia="en-US"/>
        </w:rPr>
        <w:t>important relevant</w:t>
      </w:r>
      <w:r w:rsidR="00A745AB" w:rsidRPr="00D0780E">
        <w:rPr>
          <w:rFonts w:eastAsia="Calibri" w:cs="Arial"/>
          <w:bCs/>
          <w:sz w:val="22"/>
          <w:szCs w:val="22"/>
          <w:lang w:eastAsia="en-US"/>
        </w:rPr>
        <w:t xml:space="preserve"> information</w:t>
      </w:r>
      <w:r w:rsidR="001B76A7" w:rsidRPr="00D0780E">
        <w:rPr>
          <w:rFonts w:eastAsia="Calibri" w:cs="Arial"/>
          <w:bCs/>
          <w:sz w:val="22"/>
          <w:szCs w:val="22"/>
          <w:lang w:eastAsia="en-US"/>
        </w:rPr>
        <w:t xml:space="preserve">. </w:t>
      </w:r>
      <w:r w:rsidR="002B2DA1" w:rsidRPr="00D0780E">
        <w:rPr>
          <w:rFonts w:eastAsia="Calibri" w:cs="Arial"/>
          <w:bCs/>
          <w:sz w:val="22"/>
          <w:szCs w:val="22"/>
          <w:lang w:eastAsia="en-US"/>
        </w:rPr>
        <w:t>I note that</w:t>
      </w:r>
      <w:r w:rsidR="001B76A7" w:rsidRPr="00D0780E">
        <w:rPr>
          <w:rFonts w:eastAsia="Calibri" w:cs="Arial"/>
          <w:bCs/>
          <w:sz w:val="22"/>
          <w:szCs w:val="22"/>
          <w:lang w:eastAsia="en-US"/>
        </w:rPr>
        <w:t>:</w:t>
      </w:r>
    </w:p>
    <w:p w14:paraId="5BD92B88" w14:textId="5AC59A44" w:rsidR="001B76A7" w:rsidRPr="00D0780E" w:rsidRDefault="00BE11EB" w:rsidP="00D740E4">
      <w:pPr>
        <w:pStyle w:val="Paragraph"/>
        <w:numPr>
          <w:ilvl w:val="3"/>
          <w:numId w:val="16"/>
        </w:numPr>
        <w:ind w:left="709" w:hanging="283"/>
        <w:jc w:val="both"/>
        <w:rPr>
          <w:rFonts w:eastAsia="Calibri" w:cs="Arial"/>
          <w:bCs/>
          <w:sz w:val="22"/>
          <w:szCs w:val="22"/>
          <w:lang w:eastAsia="en-US"/>
        </w:rPr>
      </w:pPr>
      <w:r w:rsidRPr="00D0780E">
        <w:rPr>
          <w:rFonts w:eastAsia="Calibri" w:cs="Arial"/>
          <w:bCs/>
          <w:sz w:val="22"/>
          <w:szCs w:val="22"/>
          <w:lang w:eastAsia="en-US"/>
        </w:rPr>
        <w:t>T</w:t>
      </w:r>
      <w:r w:rsidR="001B76A7" w:rsidRPr="00D0780E">
        <w:rPr>
          <w:rFonts w:eastAsia="Calibri" w:cs="Arial"/>
          <w:bCs/>
          <w:sz w:val="22"/>
          <w:szCs w:val="22"/>
          <w:lang w:eastAsia="en-US"/>
        </w:rPr>
        <w:t xml:space="preserve">he Committee </w:t>
      </w:r>
      <w:r w:rsidR="002B2DA1" w:rsidRPr="00D0780E">
        <w:rPr>
          <w:rFonts w:eastAsia="Calibri" w:cs="Arial"/>
          <w:bCs/>
          <w:sz w:val="22"/>
          <w:szCs w:val="22"/>
          <w:lang w:eastAsia="en-US"/>
        </w:rPr>
        <w:t>was clearly aware of the evidence on</w:t>
      </w:r>
      <w:r w:rsidR="001B76A7" w:rsidRPr="00D0780E">
        <w:rPr>
          <w:rFonts w:eastAsia="Calibri" w:cs="Arial"/>
          <w:bCs/>
          <w:sz w:val="22"/>
          <w:szCs w:val="22"/>
          <w:lang w:eastAsia="en-US"/>
        </w:rPr>
        <w:t xml:space="preserve"> major organ deterioration and haematological response</w:t>
      </w:r>
      <w:r w:rsidR="002B2DA1" w:rsidRPr="00D0780E">
        <w:rPr>
          <w:rFonts w:eastAsia="Calibri" w:cs="Arial"/>
          <w:bCs/>
          <w:sz w:val="22"/>
          <w:szCs w:val="22"/>
          <w:lang w:eastAsia="en-US"/>
        </w:rPr>
        <w:t>, as t</w:t>
      </w:r>
      <w:r w:rsidR="001B76A7" w:rsidRPr="00D0780E">
        <w:rPr>
          <w:rFonts w:eastAsia="Calibri" w:cs="Arial"/>
          <w:bCs/>
          <w:sz w:val="22"/>
          <w:szCs w:val="22"/>
          <w:lang w:eastAsia="en-US"/>
        </w:rPr>
        <w:t>he FAD (under “clinical evidence”) states that “daratumumab in combination is an effective treatment for improving haematological response and reducing major organ deterioration”.</w:t>
      </w:r>
      <w:r w:rsidR="002B2DA1" w:rsidRPr="00D0780E">
        <w:rPr>
          <w:rFonts w:eastAsia="Calibri" w:cs="Arial"/>
          <w:bCs/>
          <w:sz w:val="22"/>
          <w:szCs w:val="22"/>
          <w:lang w:eastAsia="en-US"/>
        </w:rPr>
        <w:t xml:space="preserve"> It was also aware that the company used </w:t>
      </w:r>
      <w:r w:rsidR="00FC0C10" w:rsidRPr="00D0780E">
        <w:rPr>
          <w:rFonts w:eastAsia="Calibri" w:cs="Arial"/>
          <w:bCs/>
          <w:sz w:val="22"/>
          <w:szCs w:val="22"/>
          <w:lang w:eastAsia="en-US"/>
        </w:rPr>
        <w:t xml:space="preserve">haematological response </w:t>
      </w:r>
      <w:r w:rsidR="002B2DA1" w:rsidRPr="00D0780E">
        <w:rPr>
          <w:rFonts w:eastAsia="Calibri" w:cs="Arial"/>
          <w:bCs/>
          <w:sz w:val="22"/>
          <w:szCs w:val="22"/>
          <w:lang w:eastAsia="en-US"/>
        </w:rPr>
        <w:t xml:space="preserve">as a surrogate </w:t>
      </w:r>
      <w:r w:rsidR="00FC0C10" w:rsidRPr="00D0780E">
        <w:rPr>
          <w:rFonts w:eastAsia="Calibri" w:cs="Arial"/>
          <w:bCs/>
          <w:sz w:val="22"/>
          <w:szCs w:val="22"/>
          <w:lang w:eastAsia="en-US"/>
        </w:rPr>
        <w:t>end point for overall survival</w:t>
      </w:r>
      <w:r w:rsidR="001B76A7" w:rsidRPr="00D0780E">
        <w:rPr>
          <w:rFonts w:eastAsia="Calibri" w:cs="Arial"/>
          <w:bCs/>
          <w:sz w:val="22"/>
          <w:szCs w:val="22"/>
          <w:lang w:eastAsia="en-US"/>
        </w:rPr>
        <w:t xml:space="preserve"> </w:t>
      </w:r>
      <w:r w:rsidR="00FC0C10" w:rsidRPr="00D0780E">
        <w:rPr>
          <w:rFonts w:eastAsia="Calibri" w:cs="Arial"/>
          <w:bCs/>
          <w:sz w:val="22"/>
          <w:szCs w:val="22"/>
          <w:lang w:eastAsia="en-US"/>
        </w:rPr>
        <w:t>(FAD para 3.6</w:t>
      </w:r>
      <w:r w:rsidR="00472041" w:rsidRPr="00D0780E">
        <w:rPr>
          <w:rFonts w:eastAsia="Calibri" w:cs="Arial"/>
          <w:bCs/>
          <w:sz w:val="22"/>
          <w:szCs w:val="22"/>
          <w:lang w:eastAsia="en-US"/>
        </w:rPr>
        <w:t xml:space="preserve"> and 3.9</w:t>
      </w:r>
      <w:r w:rsidR="00FC0C10" w:rsidRPr="00D0780E">
        <w:rPr>
          <w:rFonts w:eastAsia="Calibri" w:cs="Arial"/>
          <w:bCs/>
          <w:sz w:val="22"/>
          <w:szCs w:val="22"/>
          <w:lang w:eastAsia="en-US"/>
        </w:rPr>
        <w:t xml:space="preserve">). </w:t>
      </w:r>
      <w:r w:rsidR="001B76A7" w:rsidRPr="00D0780E">
        <w:rPr>
          <w:rFonts w:eastAsia="Calibri" w:cs="Arial"/>
          <w:bCs/>
          <w:sz w:val="22"/>
          <w:szCs w:val="22"/>
          <w:lang w:eastAsia="en-US"/>
        </w:rPr>
        <w:t xml:space="preserve">I see no arguable case that </w:t>
      </w:r>
      <w:r w:rsidR="00472041" w:rsidRPr="00D0780E">
        <w:rPr>
          <w:rFonts w:eastAsia="Calibri" w:cs="Arial"/>
          <w:bCs/>
          <w:sz w:val="22"/>
          <w:szCs w:val="22"/>
          <w:lang w:eastAsia="en-US"/>
        </w:rPr>
        <w:t xml:space="preserve">there </w:t>
      </w:r>
      <w:r w:rsidR="00BD29C3" w:rsidRPr="00D0780E">
        <w:rPr>
          <w:rFonts w:eastAsia="Calibri" w:cs="Arial"/>
          <w:bCs/>
          <w:sz w:val="22"/>
          <w:szCs w:val="22"/>
          <w:lang w:eastAsia="en-US"/>
        </w:rPr>
        <w:t>that the Committee has failed to consider these matters</w:t>
      </w:r>
      <w:r w:rsidR="00472041" w:rsidRPr="00D0780E">
        <w:rPr>
          <w:rFonts w:eastAsia="Calibri" w:cs="Arial"/>
          <w:bCs/>
          <w:sz w:val="22"/>
          <w:szCs w:val="22"/>
          <w:lang w:eastAsia="en-US"/>
        </w:rPr>
        <w:t>. There is evidence that the Committee considered the company’s position on surrogate end points.</w:t>
      </w:r>
      <w:r w:rsidR="001B76A7" w:rsidRPr="00D0780E">
        <w:rPr>
          <w:rFonts w:eastAsia="Calibri" w:cs="Arial"/>
          <w:bCs/>
          <w:i/>
          <w:iCs/>
          <w:sz w:val="22"/>
          <w:szCs w:val="22"/>
          <w:lang w:eastAsia="en-US"/>
        </w:rPr>
        <w:t xml:space="preserve"> </w:t>
      </w:r>
      <w:r w:rsidR="001B76A7" w:rsidRPr="00D0780E">
        <w:rPr>
          <w:rFonts w:eastAsia="Calibri" w:cs="Arial"/>
          <w:bCs/>
          <w:sz w:val="22"/>
          <w:szCs w:val="22"/>
          <w:lang w:eastAsia="en-US"/>
        </w:rPr>
        <w:t>Whether th</w:t>
      </w:r>
      <w:r w:rsidR="00472041" w:rsidRPr="00D0780E">
        <w:rPr>
          <w:rFonts w:eastAsia="Calibri" w:cs="Arial"/>
          <w:bCs/>
          <w:sz w:val="22"/>
          <w:szCs w:val="22"/>
          <w:lang w:eastAsia="en-US"/>
        </w:rPr>
        <w:t>e Committee’s conclusion</w:t>
      </w:r>
      <w:r w:rsidR="00BD29C3" w:rsidRPr="00D0780E">
        <w:rPr>
          <w:rFonts w:eastAsia="Calibri" w:cs="Arial"/>
          <w:bCs/>
          <w:sz w:val="22"/>
          <w:szCs w:val="22"/>
          <w:lang w:eastAsia="en-US"/>
        </w:rPr>
        <w:t>, having considered the evidence,</w:t>
      </w:r>
      <w:r w:rsidR="001B76A7" w:rsidRPr="00D0780E">
        <w:rPr>
          <w:rFonts w:eastAsia="Calibri" w:cs="Arial"/>
          <w:bCs/>
          <w:sz w:val="22"/>
          <w:szCs w:val="22"/>
          <w:lang w:eastAsia="en-US"/>
        </w:rPr>
        <w:t xml:space="preserve"> </w:t>
      </w:r>
      <w:r w:rsidR="00D24B0E" w:rsidRPr="00D0780E">
        <w:rPr>
          <w:rFonts w:eastAsia="Calibri" w:cs="Arial"/>
          <w:bCs/>
          <w:sz w:val="22"/>
          <w:szCs w:val="22"/>
          <w:lang w:eastAsia="en-US"/>
        </w:rPr>
        <w:t xml:space="preserve">that “it had not been shown if daratumumab in combination improves overall survival” </w:t>
      </w:r>
      <w:r w:rsidR="001B76A7" w:rsidRPr="00D0780E">
        <w:rPr>
          <w:rFonts w:eastAsia="Calibri" w:cs="Arial"/>
          <w:bCs/>
          <w:sz w:val="22"/>
          <w:szCs w:val="22"/>
          <w:lang w:eastAsia="en-US"/>
        </w:rPr>
        <w:t xml:space="preserve">may be </w:t>
      </w:r>
      <w:r w:rsidR="001B76A7" w:rsidRPr="00D0780E">
        <w:rPr>
          <w:rFonts w:eastAsia="Calibri" w:cs="Arial"/>
          <w:bCs/>
          <w:sz w:val="22"/>
          <w:szCs w:val="22"/>
          <w:u w:val="single"/>
          <w:lang w:eastAsia="en-US"/>
        </w:rPr>
        <w:t>unreasonable</w:t>
      </w:r>
      <w:r w:rsidR="001B76A7" w:rsidRPr="00D0780E">
        <w:rPr>
          <w:rFonts w:eastAsia="Calibri" w:cs="Arial"/>
          <w:bCs/>
          <w:sz w:val="22"/>
          <w:szCs w:val="22"/>
          <w:lang w:eastAsia="en-US"/>
        </w:rPr>
        <w:t xml:space="preserve"> is a different appeal point: see point 2.2 below. </w:t>
      </w:r>
    </w:p>
    <w:p w14:paraId="68A4C1EB" w14:textId="1C00A932" w:rsidR="00F4666B" w:rsidRPr="00D0780E" w:rsidRDefault="00F4666B" w:rsidP="00F4666B">
      <w:pPr>
        <w:pStyle w:val="Paragraph"/>
        <w:numPr>
          <w:ilvl w:val="0"/>
          <w:numId w:val="16"/>
        </w:numPr>
        <w:jc w:val="both"/>
        <w:rPr>
          <w:rFonts w:eastAsia="Calibri" w:cs="Arial"/>
          <w:bCs/>
          <w:sz w:val="22"/>
          <w:szCs w:val="22"/>
          <w:lang w:eastAsia="en-US"/>
        </w:rPr>
      </w:pPr>
      <w:r w:rsidRPr="00D0780E">
        <w:rPr>
          <w:rFonts w:eastAsia="Calibri" w:cs="Arial"/>
          <w:bCs/>
          <w:sz w:val="22"/>
          <w:szCs w:val="22"/>
          <w:lang w:eastAsia="en-US"/>
        </w:rPr>
        <w:t xml:space="preserve">The ANDROMEDA </w:t>
      </w:r>
      <w:r w:rsidRPr="00D0780E">
        <w:rPr>
          <w:rFonts w:cs="Arial"/>
          <w:sz w:val="22"/>
          <w:szCs w:val="22"/>
        </w:rPr>
        <w:t xml:space="preserve">additional survival results you reference (showing a 6.6% higher survival at 20.3 months median follow-up in patients treated with </w:t>
      </w:r>
      <w:proofErr w:type="spellStart"/>
      <w:r w:rsidRPr="00D0780E">
        <w:rPr>
          <w:rFonts w:cs="Arial"/>
          <w:sz w:val="22"/>
          <w:szCs w:val="22"/>
        </w:rPr>
        <w:t>DBCd</w:t>
      </w:r>
      <w:proofErr w:type="spellEnd"/>
      <w:r w:rsidRPr="00D0780E">
        <w:rPr>
          <w:rFonts w:cs="Arial"/>
          <w:sz w:val="22"/>
          <w:szCs w:val="22"/>
        </w:rPr>
        <w:t xml:space="preserve"> as compared with patients on </w:t>
      </w:r>
      <w:proofErr w:type="spellStart"/>
      <w:r w:rsidRPr="00D0780E">
        <w:rPr>
          <w:rFonts w:cs="Arial"/>
          <w:sz w:val="22"/>
          <w:szCs w:val="22"/>
        </w:rPr>
        <w:t>BCd</w:t>
      </w:r>
      <w:proofErr w:type="spellEnd"/>
      <w:r w:rsidRPr="00D0780E">
        <w:rPr>
          <w:rFonts w:cs="Arial"/>
          <w:sz w:val="22"/>
          <w:szCs w:val="22"/>
        </w:rPr>
        <w:t xml:space="preserve"> only), w</w:t>
      </w:r>
      <w:r w:rsidR="00D24B0E" w:rsidRPr="00D0780E">
        <w:rPr>
          <w:rFonts w:cs="Arial"/>
          <w:sz w:val="22"/>
          <w:szCs w:val="22"/>
        </w:rPr>
        <w:t>ere</w:t>
      </w:r>
      <w:r w:rsidRPr="00D0780E">
        <w:rPr>
          <w:rFonts w:cs="Arial"/>
          <w:sz w:val="22"/>
          <w:szCs w:val="22"/>
        </w:rPr>
        <w:t xml:space="preserve"> expressly considered by the ERG stating (p75 of the committee papers):</w:t>
      </w:r>
    </w:p>
    <w:p w14:paraId="13B03987" w14:textId="77777777" w:rsidR="00F4666B" w:rsidRPr="00D0780E" w:rsidRDefault="00F4666B" w:rsidP="00F4666B">
      <w:pPr>
        <w:pStyle w:val="Paragraph"/>
        <w:numPr>
          <w:ilvl w:val="0"/>
          <w:numId w:val="0"/>
        </w:numPr>
        <w:ind w:left="1440"/>
        <w:jc w:val="both"/>
        <w:rPr>
          <w:rFonts w:eastAsia="Calibri" w:cs="Arial"/>
          <w:bCs/>
          <w:i/>
          <w:iCs/>
          <w:sz w:val="22"/>
          <w:szCs w:val="22"/>
          <w:lang w:eastAsia="en-US"/>
        </w:rPr>
      </w:pPr>
      <w:r w:rsidRPr="00D0780E">
        <w:rPr>
          <w:rFonts w:eastAsia="Calibri" w:cs="Arial"/>
          <w:bCs/>
          <w:i/>
          <w:iCs/>
          <w:sz w:val="22"/>
          <w:szCs w:val="22"/>
          <w:lang w:eastAsia="en-US"/>
        </w:rPr>
        <w:t xml:space="preserve">“The observed ratio of surviving patients in ANDROMEDA at a median follow-up of 20.3 months was 1.066 for </w:t>
      </w:r>
      <w:proofErr w:type="spellStart"/>
      <w:r w:rsidRPr="00D0780E">
        <w:rPr>
          <w:rFonts w:eastAsia="Calibri" w:cs="Arial"/>
          <w:bCs/>
          <w:i/>
          <w:iCs/>
          <w:sz w:val="22"/>
          <w:szCs w:val="22"/>
          <w:lang w:eastAsia="en-US"/>
        </w:rPr>
        <w:t>DBCd</w:t>
      </w:r>
      <w:proofErr w:type="spellEnd"/>
      <w:r w:rsidRPr="00D0780E">
        <w:rPr>
          <w:rFonts w:eastAsia="Calibri" w:cs="Arial"/>
          <w:bCs/>
          <w:i/>
          <w:iCs/>
          <w:sz w:val="22"/>
          <w:szCs w:val="22"/>
          <w:lang w:eastAsia="en-US"/>
        </w:rPr>
        <w:t xml:space="preserve"> versus </w:t>
      </w:r>
      <w:proofErr w:type="spellStart"/>
      <w:r w:rsidRPr="00D0780E">
        <w:rPr>
          <w:rFonts w:eastAsia="Calibri" w:cs="Arial"/>
          <w:bCs/>
          <w:i/>
          <w:iCs/>
          <w:sz w:val="22"/>
          <w:szCs w:val="22"/>
          <w:lang w:eastAsia="en-US"/>
        </w:rPr>
        <w:t>BCd</w:t>
      </w:r>
      <w:proofErr w:type="spellEnd"/>
      <w:r w:rsidRPr="00D0780E">
        <w:rPr>
          <w:rFonts w:eastAsia="Calibri" w:cs="Arial"/>
          <w:bCs/>
          <w:i/>
          <w:iCs/>
          <w:sz w:val="22"/>
          <w:szCs w:val="22"/>
          <w:lang w:eastAsia="en-US"/>
        </w:rPr>
        <w:t xml:space="preserve">, while the equivalent ratio between treatment arms in the model (based on the re-categorised EMN23 UK cohort data) was 1.021. Consequently, the company uplifted the per-cycle survival probabilities for all response categories in the </w:t>
      </w:r>
      <w:proofErr w:type="spellStart"/>
      <w:r w:rsidRPr="00D0780E">
        <w:rPr>
          <w:rFonts w:eastAsia="Calibri" w:cs="Arial"/>
          <w:bCs/>
          <w:i/>
          <w:iCs/>
          <w:sz w:val="22"/>
          <w:szCs w:val="22"/>
          <w:lang w:eastAsia="en-US"/>
        </w:rPr>
        <w:t>DBCd</w:t>
      </w:r>
      <w:proofErr w:type="spellEnd"/>
      <w:r w:rsidRPr="00D0780E">
        <w:rPr>
          <w:rFonts w:eastAsia="Calibri" w:cs="Arial"/>
          <w:bCs/>
          <w:i/>
          <w:iCs/>
          <w:sz w:val="22"/>
          <w:szCs w:val="22"/>
          <w:lang w:eastAsia="en-US"/>
        </w:rPr>
        <w:t xml:space="preserve"> treatment arm from cycle 7 onwards by a factor of 1.044, indicating a 4.4% higher survival in patients treated with </w:t>
      </w:r>
      <w:proofErr w:type="spellStart"/>
      <w:r w:rsidRPr="00D0780E">
        <w:rPr>
          <w:rFonts w:eastAsia="Calibri" w:cs="Arial"/>
          <w:bCs/>
          <w:i/>
          <w:iCs/>
          <w:sz w:val="22"/>
          <w:szCs w:val="22"/>
          <w:lang w:eastAsia="en-US"/>
        </w:rPr>
        <w:t>DBCd</w:t>
      </w:r>
      <w:proofErr w:type="spellEnd"/>
      <w:r w:rsidRPr="00D0780E">
        <w:rPr>
          <w:rFonts w:eastAsia="Calibri" w:cs="Arial"/>
          <w:bCs/>
          <w:i/>
          <w:iCs/>
          <w:sz w:val="22"/>
          <w:szCs w:val="22"/>
          <w:lang w:eastAsia="en-US"/>
        </w:rPr>
        <w:t xml:space="preserve"> as compared with patients on </w:t>
      </w:r>
      <w:proofErr w:type="spellStart"/>
      <w:r w:rsidRPr="00D0780E">
        <w:rPr>
          <w:rFonts w:eastAsia="Calibri" w:cs="Arial"/>
          <w:bCs/>
          <w:i/>
          <w:iCs/>
          <w:sz w:val="22"/>
          <w:szCs w:val="22"/>
          <w:lang w:eastAsia="en-US"/>
        </w:rPr>
        <w:t>BCd</w:t>
      </w:r>
      <w:proofErr w:type="spellEnd"/>
      <w:r w:rsidRPr="00D0780E">
        <w:rPr>
          <w:rFonts w:eastAsia="Calibri" w:cs="Arial"/>
          <w:bCs/>
          <w:i/>
          <w:iCs/>
          <w:sz w:val="22"/>
          <w:szCs w:val="22"/>
          <w:lang w:eastAsia="en-US"/>
        </w:rPr>
        <w:t xml:space="preserve"> only. The implications for the cost-effectiveness results are shown in Section 3.2. In the absence of mature OS data from ANDROMEDA, the ERG considers the company’s general approach to be acceptable but there remains uncertainty surrounding the predicted treatment-specific OS over time.”</w:t>
      </w:r>
    </w:p>
    <w:p w14:paraId="0BC30DCE" w14:textId="69BC07DB" w:rsidR="00BE11EB" w:rsidRPr="00D0780E" w:rsidRDefault="00F4666B" w:rsidP="00F4666B">
      <w:pPr>
        <w:pStyle w:val="Paragraph"/>
        <w:numPr>
          <w:ilvl w:val="0"/>
          <w:numId w:val="16"/>
        </w:numPr>
        <w:jc w:val="both"/>
        <w:rPr>
          <w:rFonts w:eastAsia="Calibri" w:cs="Arial"/>
          <w:bCs/>
          <w:sz w:val="22"/>
          <w:szCs w:val="22"/>
          <w:lang w:eastAsia="en-US"/>
        </w:rPr>
      </w:pPr>
      <w:r w:rsidRPr="00D0780E">
        <w:rPr>
          <w:rFonts w:eastAsia="Calibri" w:cs="Arial"/>
          <w:bCs/>
          <w:sz w:val="22"/>
          <w:szCs w:val="22"/>
          <w:lang w:eastAsia="en-US"/>
        </w:rPr>
        <w:t xml:space="preserve">The Committee itself was aware of </w:t>
      </w:r>
      <w:r w:rsidR="00BE11EB" w:rsidRPr="00D0780E">
        <w:rPr>
          <w:rFonts w:eastAsia="Calibri" w:cs="Arial"/>
          <w:bCs/>
          <w:sz w:val="22"/>
          <w:szCs w:val="22"/>
          <w:lang w:eastAsia="en-US"/>
        </w:rPr>
        <w:t xml:space="preserve">and considered </w:t>
      </w:r>
      <w:r w:rsidRPr="00D0780E">
        <w:rPr>
          <w:rFonts w:eastAsia="Calibri" w:cs="Arial"/>
          <w:bCs/>
          <w:sz w:val="22"/>
          <w:szCs w:val="22"/>
          <w:lang w:eastAsia="en-US"/>
        </w:rPr>
        <w:t xml:space="preserve">the ANDROMEDA </w:t>
      </w:r>
      <w:r w:rsidRPr="00D0780E">
        <w:rPr>
          <w:rFonts w:cs="Arial"/>
          <w:sz w:val="22"/>
          <w:szCs w:val="22"/>
        </w:rPr>
        <w:t>results</w:t>
      </w:r>
      <w:r w:rsidR="00BE11EB" w:rsidRPr="00D0780E">
        <w:rPr>
          <w:rFonts w:cs="Arial"/>
          <w:sz w:val="22"/>
          <w:szCs w:val="22"/>
        </w:rPr>
        <w:t xml:space="preserve"> </w:t>
      </w:r>
      <w:r w:rsidR="00500322" w:rsidRPr="00D0780E">
        <w:rPr>
          <w:rFonts w:cs="Arial"/>
          <w:sz w:val="22"/>
          <w:szCs w:val="22"/>
        </w:rPr>
        <w:t xml:space="preserve">in detail. </w:t>
      </w:r>
      <w:r w:rsidR="00BE11EB" w:rsidRPr="00D0780E">
        <w:rPr>
          <w:rFonts w:cs="Arial"/>
          <w:sz w:val="22"/>
          <w:szCs w:val="22"/>
        </w:rPr>
        <w:t>In particular:</w:t>
      </w:r>
    </w:p>
    <w:p w14:paraId="722801DA" w14:textId="4C248EDC" w:rsidR="00BE11EB" w:rsidRPr="00D0780E" w:rsidRDefault="00BE11EB" w:rsidP="00BE11EB">
      <w:pPr>
        <w:pStyle w:val="Paragraph"/>
        <w:numPr>
          <w:ilvl w:val="1"/>
          <w:numId w:val="26"/>
        </w:numPr>
        <w:jc w:val="both"/>
        <w:rPr>
          <w:rFonts w:eastAsia="Calibri" w:cs="Arial"/>
          <w:bCs/>
          <w:sz w:val="22"/>
          <w:szCs w:val="22"/>
          <w:lang w:eastAsia="en-US"/>
        </w:rPr>
      </w:pPr>
      <w:r w:rsidRPr="00D0780E">
        <w:rPr>
          <w:rFonts w:eastAsia="Calibri" w:cs="Arial"/>
          <w:bCs/>
          <w:sz w:val="22"/>
          <w:szCs w:val="22"/>
          <w:lang w:eastAsia="en-US"/>
        </w:rPr>
        <w:lastRenderedPageBreak/>
        <w:t>slide 23 from the FAD slide deck shows that the committee considered the Andromeda data and specifically the 6.6% increase in overall survival and the inclusion of that in the company’s economic model</w:t>
      </w:r>
      <w:r w:rsidRPr="00D0780E">
        <w:rPr>
          <w:rStyle w:val="FootnoteReference"/>
          <w:rFonts w:eastAsia="Calibri" w:cs="Arial"/>
          <w:bCs/>
          <w:sz w:val="22"/>
          <w:szCs w:val="22"/>
          <w:lang w:eastAsia="en-US"/>
        </w:rPr>
        <w:footnoteReference w:id="1"/>
      </w:r>
      <w:r w:rsidRPr="00D0780E">
        <w:rPr>
          <w:rFonts w:eastAsia="Calibri" w:cs="Arial"/>
          <w:bCs/>
          <w:sz w:val="22"/>
          <w:szCs w:val="22"/>
          <w:lang w:eastAsia="en-US"/>
        </w:rPr>
        <w:t xml:space="preserve">; </w:t>
      </w:r>
    </w:p>
    <w:p w14:paraId="097658D4" w14:textId="292C8A2A" w:rsidR="00BE11EB" w:rsidRPr="00D0780E" w:rsidRDefault="00F4666B" w:rsidP="00BE11EB">
      <w:pPr>
        <w:pStyle w:val="Paragraph"/>
        <w:numPr>
          <w:ilvl w:val="1"/>
          <w:numId w:val="26"/>
        </w:numPr>
        <w:jc w:val="both"/>
        <w:rPr>
          <w:rFonts w:eastAsia="Calibri" w:cs="Arial"/>
          <w:bCs/>
          <w:sz w:val="22"/>
          <w:szCs w:val="22"/>
          <w:lang w:eastAsia="en-US"/>
        </w:rPr>
      </w:pPr>
      <w:r w:rsidRPr="00D0780E">
        <w:rPr>
          <w:rFonts w:cs="Arial"/>
          <w:sz w:val="22"/>
          <w:szCs w:val="22"/>
        </w:rPr>
        <w:t>p</w:t>
      </w:r>
      <w:r w:rsidR="00650C05" w:rsidRPr="00D0780E">
        <w:rPr>
          <w:rFonts w:eastAsia="Calibri" w:cs="Arial"/>
          <w:bCs/>
          <w:sz w:val="22"/>
          <w:szCs w:val="22"/>
          <w:lang w:eastAsia="en-US"/>
        </w:rPr>
        <w:t xml:space="preserve">ara 3.7 of the FAD </w:t>
      </w:r>
      <w:r w:rsidR="00EF0C3B" w:rsidRPr="00D0780E">
        <w:rPr>
          <w:rFonts w:eastAsia="Calibri" w:cs="Arial"/>
          <w:bCs/>
          <w:sz w:val="22"/>
          <w:szCs w:val="22"/>
          <w:lang w:eastAsia="en-US"/>
        </w:rPr>
        <w:t>explains the Committee’s conclusions</w:t>
      </w:r>
      <w:r w:rsidR="00D740E4" w:rsidRPr="00D0780E">
        <w:rPr>
          <w:rFonts w:eastAsia="Calibri" w:cs="Arial"/>
          <w:bCs/>
          <w:sz w:val="22"/>
          <w:szCs w:val="22"/>
          <w:lang w:eastAsia="en-US"/>
        </w:rPr>
        <w:t xml:space="preserve"> relating to</w:t>
      </w:r>
      <w:r w:rsidR="00D740E4" w:rsidRPr="00D0780E">
        <w:rPr>
          <w:rFonts w:cs="Arial"/>
          <w:sz w:val="22"/>
          <w:szCs w:val="22"/>
        </w:rPr>
        <w:t xml:space="preserve"> the </w:t>
      </w:r>
      <w:r w:rsidR="00D740E4" w:rsidRPr="00D0780E">
        <w:rPr>
          <w:rFonts w:eastAsia="Calibri" w:cs="Arial"/>
          <w:bCs/>
          <w:sz w:val="22"/>
          <w:szCs w:val="22"/>
          <w:lang w:eastAsia="en-US"/>
        </w:rPr>
        <w:t>ANDROMEDA data</w:t>
      </w:r>
      <w:r w:rsidR="00650C05" w:rsidRPr="00D0780E">
        <w:rPr>
          <w:rFonts w:eastAsia="Calibri" w:cs="Arial"/>
          <w:bCs/>
          <w:sz w:val="22"/>
          <w:szCs w:val="22"/>
          <w:lang w:eastAsia="en-US"/>
        </w:rPr>
        <w:t>, stating: “</w:t>
      </w:r>
      <w:r w:rsidR="00650C05" w:rsidRPr="00D0780E">
        <w:rPr>
          <w:rFonts w:eastAsia="Calibri" w:cs="Arial"/>
          <w:bCs/>
          <w:i/>
          <w:iCs/>
          <w:sz w:val="22"/>
          <w:szCs w:val="22"/>
          <w:lang w:eastAsia="en-US"/>
        </w:rPr>
        <w:t>T</w:t>
      </w:r>
      <w:r w:rsidR="002E78E3" w:rsidRPr="00D0780E">
        <w:rPr>
          <w:rFonts w:eastAsia="Calibri" w:cs="Arial"/>
          <w:bCs/>
          <w:i/>
          <w:iCs/>
          <w:sz w:val="22"/>
          <w:szCs w:val="22"/>
          <w:lang w:eastAsia="en-US"/>
        </w:rPr>
        <w:t>he committee noted that ANDROMEDA is an ongoing t</w:t>
      </w:r>
      <w:r w:rsidR="00803E32" w:rsidRPr="00D0780E">
        <w:rPr>
          <w:rFonts w:eastAsia="Calibri" w:cs="Arial"/>
          <w:bCs/>
          <w:i/>
          <w:iCs/>
          <w:sz w:val="22"/>
          <w:szCs w:val="22"/>
          <w:lang w:eastAsia="en-US"/>
        </w:rPr>
        <w:t>r</w:t>
      </w:r>
      <w:r w:rsidR="002E78E3" w:rsidRPr="00D0780E">
        <w:rPr>
          <w:rFonts w:eastAsia="Calibri" w:cs="Arial"/>
          <w:bCs/>
          <w:i/>
          <w:iCs/>
          <w:sz w:val="22"/>
          <w:szCs w:val="22"/>
          <w:lang w:eastAsia="en-US"/>
        </w:rPr>
        <w:t>ial and that the data on overall survival presented by the company, a secondary outcome in the trial, is immature at the planned interim and 12- month landmark analyses, and only data on haematological response was available at the 18-month landmark analysis</w:t>
      </w:r>
      <w:r w:rsidR="00A745AB" w:rsidRPr="00D0780E">
        <w:rPr>
          <w:rFonts w:eastAsia="Calibri" w:cs="Arial"/>
          <w:bCs/>
          <w:i/>
          <w:iCs/>
          <w:sz w:val="22"/>
          <w:szCs w:val="22"/>
          <w:lang w:eastAsia="en-US"/>
        </w:rPr>
        <w:t>”.</w:t>
      </w:r>
    </w:p>
    <w:p w14:paraId="4F8F56B2" w14:textId="39FB883E" w:rsidR="00F4666B" w:rsidRPr="00D0780E" w:rsidRDefault="00BE11EB" w:rsidP="00500322">
      <w:pPr>
        <w:pStyle w:val="Paragraph"/>
        <w:numPr>
          <w:ilvl w:val="0"/>
          <w:numId w:val="27"/>
        </w:numPr>
        <w:jc w:val="both"/>
        <w:rPr>
          <w:rFonts w:eastAsia="Calibri" w:cs="Arial"/>
          <w:bCs/>
          <w:sz w:val="22"/>
          <w:szCs w:val="22"/>
          <w:lang w:eastAsia="en-US"/>
        </w:rPr>
      </w:pPr>
      <w:r w:rsidRPr="00D0780E">
        <w:rPr>
          <w:rFonts w:eastAsia="Calibri" w:cs="Arial"/>
          <w:bCs/>
          <w:sz w:val="22"/>
          <w:szCs w:val="22"/>
          <w:lang w:eastAsia="en-US"/>
        </w:rPr>
        <w:t>I</w:t>
      </w:r>
      <w:r w:rsidR="00F4666B" w:rsidRPr="00D0780E">
        <w:rPr>
          <w:rFonts w:eastAsia="Calibri" w:cs="Arial"/>
          <w:bCs/>
          <w:sz w:val="22"/>
          <w:szCs w:val="22"/>
          <w:lang w:eastAsia="en-US"/>
        </w:rPr>
        <w:t xml:space="preserve"> see no arguable </w:t>
      </w:r>
      <w:r w:rsidR="00D64259" w:rsidRPr="00D0780E">
        <w:rPr>
          <w:rFonts w:eastAsia="Calibri" w:cs="Arial"/>
          <w:bCs/>
          <w:sz w:val="22"/>
          <w:szCs w:val="22"/>
          <w:lang w:eastAsia="en-US"/>
        </w:rPr>
        <w:t>case</w:t>
      </w:r>
      <w:r w:rsidR="00BD29C3" w:rsidRPr="00D0780E">
        <w:rPr>
          <w:rFonts w:eastAsia="Calibri" w:cs="Arial"/>
          <w:bCs/>
          <w:sz w:val="22"/>
          <w:szCs w:val="22"/>
          <w:lang w:eastAsia="en-US"/>
        </w:rPr>
        <w:t xml:space="preserve"> that the Committee has failed to consider these matters</w:t>
      </w:r>
      <w:r w:rsidR="00F4666B" w:rsidRPr="00D0780E">
        <w:rPr>
          <w:rFonts w:eastAsia="Calibri" w:cs="Arial"/>
          <w:bCs/>
          <w:sz w:val="22"/>
          <w:szCs w:val="22"/>
          <w:lang w:eastAsia="en-US"/>
        </w:rPr>
        <w:t xml:space="preserve">. Whether </w:t>
      </w:r>
      <w:r w:rsidR="00BD29C3" w:rsidRPr="00D0780E">
        <w:rPr>
          <w:rFonts w:eastAsia="Calibri" w:cs="Arial"/>
          <w:bCs/>
          <w:sz w:val="22"/>
          <w:szCs w:val="22"/>
          <w:lang w:eastAsia="en-US"/>
        </w:rPr>
        <w:t xml:space="preserve">the Committee’s conclusion, having considered the evidence, that “it had not been shown if daratumumab in combination improves overall survival” </w:t>
      </w:r>
      <w:r w:rsidR="00F4666B" w:rsidRPr="00D0780E">
        <w:rPr>
          <w:rFonts w:eastAsia="Calibri" w:cs="Arial"/>
          <w:bCs/>
          <w:sz w:val="22"/>
          <w:szCs w:val="22"/>
          <w:lang w:eastAsia="en-US"/>
        </w:rPr>
        <w:t xml:space="preserve"> may be arguably </w:t>
      </w:r>
      <w:r w:rsidR="00F4666B" w:rsidRPr="00D0780E">
        <w:rPr>
          <w:rFonts w:eastAsia="Calibri" w:cs="Arial"/>
          <w:bCs/>
          <w:sz w:val="22"/>
          <w:szCs w:val="22"/>
          <w:u w:val="single"/>
          <w:lang w:eastAsia="en-US"/>
        </w:rPr>
        <w:t>unreasonable</w:t>
      </w:r>
      <w:r w:rsidR="00F4666B" w:rsidRPr="00D0780E">
        <w:rPr>
          <w:rFonts w:eastAsia="Calibri" w:cs="Arial"/>
          <w:bCs/>
          <w:sz w:val="22"/>
          <w:szCs w:val="22"/>
          <w:lang w:eastAsia="en-US"/>
        </w:rPr>
        <w:t xml:space="preserve"> is a different appeal point: see point 2.2 below. </w:t>
      </w:r>
    </w:p>
    <w:p w14:paraId="51FF6C6F" w14:textId="79EF7168" w:rsidR="00FA4372" w:rsidRPr="00D0780E" w:rsidRDefault="00ED5420" w:rsidP="00F4666B">
      <w:pPr>
        <w:pStyle w:val="Paragraph"/>
        <w:numPr>
          <w:ilvl w:val="0"/>
          <w:numId w:val="0"/>
        </w:numPr>
        <w:jc w:val="both"/>
        <w:rPr>
          <w:rFonts w:eastAsia="Calibri" w:cs="Arial"/>
          <w:bCs/>
          <w:sz w:val="22"/>
          <w:szCs w:val="22"/>
          <w:lang w:eastAsia="en-US"/>
        </w:rPr>
      </w:pPr>
      <w:r w:rsidRPr="00D0780E">
        <w:rPr>
          <w:rFonts w:eastAsia="Calibri" w:cs="Arial"/>
          <w:bCs/>
          <w:sz w:val="22"/>
          <w:szCs w:val="22"/>
          <w:lang w:eastAsia="en-US"/>
        </w:rPr>
        <w:t>You appear to raise an additional argument in your response letter that t</w:t>
      </w:r>
      <w:r w:rsidR="00FA4372" w:rsidRPr="00D0780E">
        <w:rPr>
          <w:rFonts w:eastAsia="Calibri" w:cs="Arial"/>
          <w:bCs/>
          <w:sz w:val="22"/>
          <w:szCs w:val="22"/>
          <w:lang w:eastAsia="en-US"/>
        </w:rPr>
        <w:t xml:space="preserve">he FAD </w:t>
      </w:r>
      <w:r w:rsidRPr="00D0780E">
        <w:rPr>
          <w:rFonts w:eastAsia="Calibri" w:cs="Arial"/>
          <w:bCs/>
          <w:sz w:val="22"/>
          <w:szCs w:val="22"/>
          <w:lang w:eastAsia="en-US"/>
        </w:rPr>
        <w:t xml:space="preserve">unfairly </w:t>
      </w:r>
      <w:r w:rsidR="00FA4372" w:rsidRPr="00D0780E">
        <w:rPr>
          <w:rFonts w:eastAsia="Calibri" w:cs="Arial"/>
          <w:bCs/>
          <w:sz w:val="22"/>
          <w:szCs w:val="22"/>
          <w:lang w:eastAsia="en-US"/>
        </w:rPr>
        <w:t xml:space="preserve">fails to </w:t>
      </w:r>
      <w:r w:rsidRPr="00D0780E">
        <w:rPr>
          <w:rFonts w:eastAsia="Calibri" w:cs="Arial"/>
          <w:bCs/>
          <w:sz w:val="22"/>
          <w:szCs w:val="22"/>
          <w:lang w:eastAsia="en-US"/>
        </w:rPr>
        <w:t>“</w:t>
      </w:r>
      <w:r w:rsidRPr="00D0780E">
        <w:rPr>
          <w:rFonts w:cs="Arial"/>
          <w:sz w:val="22"/>
          <w:szCs w:val="22"/>
        </w:rPr>
        <w:t xml:space="preserve">explain why </w:t>
      </w:r>
      <w:r w:rsidR="00FA4372" w:rsidRPr="00D0780E">
        <w:rPr>
          <w:rFonts w:cs="Arial"/>
          <w:sz w:val="22"/>
          <w:szCs w:val="22"/>
        </w:rPr>
        <w:t xml:space="preserve">important evidence </w:t>
      </w:r>
      <w:r w:rsidR="00F4666B" w:rsidRPr="00D0780E">
        <w:rPr>
          <w:rFonts w:cs="Arial"/>
          <w:sz w:val="22"/>
          <w:szCs w:val="22"/>
        </w:rPr>
        <w:t>was not</w:t>
      </w:r>
      <w:r w:rsidR="00FA4372" w:rsidRPr="00D0780E">
        <w:rPr>
          <w:rFonts w:cs="Arial"/>
          <w:sz w:val="22"/>
          <w:szCs w:val="22"/>
        </w:rPr>
        <w:t xml:space="preserve"> relied upon</w:t>
      </w:r>
      <w:r w:rsidRPr="00D0780E">
        <w:rPr>
          <w:rFonts w:cs="Arial"/>
          <w:sz w:val="22"/>
          <w:szCs w:val="22"/>
        </w:rPr>
        <w:t xml:space="preserve"> (transparency)”.</w:t>
      </w:r>
      <w:r w:rsidR="00BD29C3" w:rsidRPr="00D0780E">
        <w:rPr>
          <w:rFonts w:cs="Arial"/>
          <w:sz w:val="22"/>
          <w:szCs w:val="22"/>
        </w:rPr>
        <w:t xml:space="preserve"> While I think it is clear that the evidence you raise was taken into account,</w:t>
      </w:r>
      <w:r w:rsidRPr="00D0780E">
        <w:rPr>
          <w:rFonts w:cs="Arial"/>
          <w:sz w:val="22"/>
          <w:szCs w:val="22"/>
        </w:rPr>
        <w:t xml:space="preserve"> I</w:t>
      </w:r>
      <w:r w:rsidR="00BC7409" w:rsidRPr="00D0780E">
        <w:rPr>
          <w:rFonts w:cs="Arial"/>
          <w:sz w:val="22"/>
          <w:szCs w:val="22"/>
        </w:rPr>
        <w:t xml:space="preserve"> </w:t>
      </w:r>
      <w:r w:rsidR="00BD29C3" w:rsidRPr="00D0780E">
        <w:rPr>
          <w:rFonts w:cs="Arial"/>
          <w:sz w:val="22"/>
          <w:szCs w:val="22"/>
        </w:rPr>
        <w:t xml:space="preserve">accept there is an arguable point about whether the weight given to the evidence was appropriate (i.e. whether the conclusion that “it had not been shown if daratumumab in combination improves overall survival” was reasonable – see appeal point 2.2 below) and whether </w:t>
      </w:r>
      <w:r w:rsidR="00390E57" w:rsidRPr="00D0780E">
        <w:rPr>
          <w:rFonts w:cs="Arial"/>
          <w:sz w:val="22"/>
          <w:szCs w:val="22"/>
        </w:rPr>
        <w:t>that</w:t>
      </w:r>
      <w:r w:rsidR="00BD29C3" w:rsidRPr="00D0780E">
        <w:rPr>
          <w:rFonts w:cs="Arial"/>
          <w:sz w:val="22"/>
          <w:szCs w:val="22"/>
        </w:rPr>
        <w:t xml:space="preserve"> has been adequately explained in the decision.</w:t>
      </w:r>
      <w:r w:rsidR="005027CD" w:rsidRPr="00D0780E">
        <w:rPr>
          <w:rFonts w:cs="Arial"/>
          <w:sz w:val="22"/>
          <w:szCs w:val="22"/>
        </w:rPr>
        <w:t xml:space="preserve"> I will refer this aspect of your point to the Appeal Panel.</w:t>
      </w:r>
      <w:r w:rsidR="00BC7409" w:rsidRPr="00D0780E">
        <w:rPr>
          <w:rFonts w:cs="Arial"/>
          <w:sz w:val="22"/>
          <w:szCs w:val="22"/>
        </w:rPr>
        <w:t xml:space="preserve">  </w:t>
      </w:r>
      <w:r w:rsidRPr="00D0780E">
        <w:rPr>
          <w:rFonts w:cs="Arial"/>
          <w:sz w:val="22"/>
          <w:szCs w:val="22"/>
        </w:rPr>
        <w:t xml:space="preserve"> </w:t>
      </w:r>
    </w:p>
    <w:p w14:paraId="6FFC7453" w14:textId="378002AC" w:rsidR="00771051" w:rsidRPr="00D0780E" w:rsidRDefault="00771051" w:rsidP="00771051">
      <w:pPr>
        <w:spacing w:before="240" w:after="240"/>
        <w:jc w:val="both"/>
        <w:rPr>
          <w:rFonts w:ascii="Arial" w:hAnsi="Arial" w:cs="Arial"/>
          <w:b/>
          <w:i/>
        </w:rPr>
      </w:pPr>
      <w:r w:rsidRPr="00D0780E">
        <w:rPr>
          <w:rFonts w:ascii="Arial" w:hAnsi="Arial" w:cs="Arial"/>
          <w:b/>
          <w:i/>
        </w:rPr>
        <w:t xml:space="preserve">Appeal </w:t>
      </w:r>
      <w:proofErr w:type="gramStart"/>
      <w:r w:rsidRPr="00D0780E">
        <w:rPr>
          <w:rFonts w:ascii="Arial" w:hAnsi="Arial" w:cs="Arial"/>
          <w:b/>
          <w:i/>
        </w:rPr>
        <w:t>point</w:t>
      </w:r>
      <w:proofErr w:type="gramEnd"/>
      <w:r w:rsidRPr="00D0780E">
        <w:rPr>
          <w:rFonts w:ascii="Arial" w:hAnsi="Arial" w:cs="Arial"/>
          <w:b/>
          <w:i/>
        </w:rPr>
        <w:t xml:space="preserve"> 2.1 The Appraisal Committee’s conclusions that “both </w:t>
      </w:r>
      <w:r w:rsidR="002E2B83" w:rsidRPr="00D0780E">
        <w:rPr>
          <w:rFonts w:ascii="Arial" w:hAnsi="Arial" w:cs="Arial"/>
          <w:b/>
          <w:i/>
        </w:rPr>
        <w:t xml:space="preserve">ALchemy </w:t>
      </w:r>
      <w:r w:rsidRPr="00D0780E">
        <w:rPr>
          <w:rFonts w:ascii="Arial" w:hAnsi="Arial" w:cs="Arial"/>
          <w:b/>
          <w:i/>
        </w:rPr>
        <w:t>and EMN23-UK may be representative of UK clinical practice” are unreasonable</w:t>
      </w:r>
    </w:p>
    <w:p w14:paraId="478A65DC" w14:textId="77777777" w:rsidR="002A77B9" w:rsidRPr="00D0780E" w:rsidRDefault="002A77B9" w:rsidP="00AC5B5B">
      <w:pPr>
        <w:spacing w:before="240"/>
        <w:jc w:val="both"/>
        <w:rPr>
          <w:rFonts w:ascii="Arial" w:hAnsi="Arial" w:cs="Arial"/>
        </w:rPr>
      </w:pPr>
      <w:r w:rsidRPr="00D0780E">
        <w:rPr>
          <w:rFonts w:ascii="Arial" w:hAnsi="Arial" w:cs="Arial"/>
        </w:rPr>
        <w:t>I explained in my letter of 22 December 2022 that I was not minded to refer this appeal point to the Appeal Panel because I considered the appeal documents show the committee had a sufficient basis on which to conclude that both Alchemy and EMN23-UK may be representative of UK practice. I highlighted that the ERG Report states that the ALchemy patients are “likely to be the cohort that most closely reflects the current UK clinical population and treatment context” and that ALchemy reports response at 1 month, an increasingly common point at which treatment decisions are made.</w:t>
      </w:r>
    </w:p>
    <w:p w14:paraId="14FA6616" w14:textId="77777777" w:rsidR="00992FDA" w:rsidRPr="00D0780E" w:rsidRDefault="002A77B9" w:rsidP="00AC5B5B">
      <w:pPr>
        <w:spacing w:before="240"/>
        <w:jc w:val="both"/>
        <w:rPr>
          <w:rFonts w:ascii="Arial" w:hAnsi="Arial" w:cs="Arial"/>
        </w:rPr>
      </w:pPr>
      <w:r w:rsidRPr="00D0780E">
        <w:rPr>
          <w:rFonts w:ascii="Arial" w:hAnsi="Arial" w:cs="Arial"/>
        </w:rPr>
        <w:t xml:space="preserve">I note you say that the ERG Report is not relevant because it considered only the EMN23 data rather than EMN23-UK. I disagree that this undermines my previous reasoning as regards to whether the Committee had a sufficient basis to conclude that </w:t>
      </w:r>
      <w:r w:rsidRPr="00D0780E">
        <w:rPr>
          <w:rFonts w:ascii="Arial" w:hAnsi="Arial" w:cs="Arial"/>
          <w:u w:val="single"/>
        </w:rPr>
        <w:t>ALchemy</w:t>
      </w:r>
      <w:r w:rsidRPr="00D0780E">
        <w:rPr>
          <w:rFonts w:ascii="Arial" w:hAnsi="Arial" w:cs="Arial"/>
        </w:rPr>
        <w:t xml:space="preserve"> may be reflective of UK clinical practice</w:t>
      </w:r>
      <w:r w:rsidR="00992FDA" w:rsidRPr="00D0780E">
        <w:rPr>
          <w:rFonts w:ascii="Arial" w:hAnsi="Arial" w:cs="Arial"/>
        </w:rPr>
        <w:t xml:space="preserve"> per se, rather than being relatively more reflective in comparison to EMN23 (or indeed EMN23-UK).</w:t>
      </w:r>
      <w:r w:rsidRPr="00D0780E">
        <w:rPr>
          <w:rFonts w:ascii="Arial" w:hAnsi="Arial" w:cs="Arial"/>
        </w:rPr>
        <w:t xml:space="preserve">  </w:t>
      </w:r>
    </w:p>
    <w:p w14:paraId="0F41C16A" w14:textId="41E9F4A8" w:rsidR="00FC0C10" w:rsidRPr="00D0780E" w:rsidRDefault="002A77B9" w:rsidP="00AC5B5B">
      <w:pPr>
        <w:spacing w:before="240" w:after="240"/>
        <w:jc w:val="both"/>
        <w:rPr>
          <w:rFonts w:ascii="Arial" w:hAnsi="Arial" w:cs="Arial"/>
          <w:bCs/>
          <w:iCs/>
        </w:rPr>
      </w:pPr>
      <w:r w:rsidRPr="00D0780E">
        <w:rPr>
          <w:rFonts w:ascii="Arial" w:hAnsi="Arial" w:cs="Arial"/>
          <w:bCs/>
          <w:iCs/>
        </w:rPr>
        <w:t xml:space="preserve">I have nonetheless considered your more detailed arguments set out in your response letter. You explain that </w:t>
      </w:r>
      <w:r w:rsidR="00A82D3C" w:rsidRPr="00D0780E">
        <w:rPr>
          <w:rFonts w:ascii="Arial" w:hAnsi="Arial" w:cs="Arial"/>
          <w:bCs/>
          <w:iCs/>
        </w:rPr>
        <w:t>appeal point 2.1 is</w:t>
      </w:r>
      <w:r w:rsidR="00FC0C10" w:rsidRPr="00D0780E">
        <w:rPr>
          <w:rFonts w:ascii="Arial" w:hAnsi="Arial" w:cs="Arial"/>
          <w:bCs/>
          <w:iCs/>
        </w:rPr>
        <w:t>, in summary</w:t>
      </w:r>
      <w:r w:rsidR="00A82D3C" w:rsidRPr="00D0780E">
        <w:rPr>
          <w:rFonts w:ascii="Arial" w:hAnsi="Arial" w:cs="Arial"/>
          <w:bCs/>
          <w:iCs/>
        </w:rPr>
        <w:t>, that</w:t>
      </w:r>
      <w:r w:rsidR="00FC0C10" w:rsidRPr="00D0780E">
        <w:rPr>
          <w:rFonts w:ascii="Arial" w:hAnsi="Arial" w:cs="Arial"/>
          <w:bCs/>
          <w:iCs/>
        </w:rPr>
        <w:t>:</w:t>
      </w:r>
    </w:p>
    <w:p w14:paraId="1AFC8576" w14:textId="457E19B2" w:rsidR="00F43419" w:rsidRPr="00D0780E" w:rsidRDefault="00F43419" w:rsidP="00FC0C10">
      <w:pPr>
        <w:spacing w:before="240" w:after="240"/>
        <w:ind w:left="720"/>
        <w:jc w:val="both"/>
        <w:rPr>
          <w:rFonts w:ascii="Arial" w:hAnsi="Arial" w:cs="Arial"/>
          <w:i/>
        </w:rPr>
      </w:pPr>
      <w:r w:rsidRPr="00D0780E">
        <w:rPr>
          <w:rFonts w:ascii="Arial" w:hAnsi="Arial" w:cs="Arial"/>
          <w:bCs/>
          <w:i/>
        </w:rPr>
        <w:t>“</w:t>
      </w:r>
      <w:r w:rsidRPr="00D0780E">
        <w:rPr>
          <w:rFonts w:ascii="Arial" w:hAnsi="Arial" w:cs="Arial"/>
          <w:i/>
        </w:rPr>
        <w:t xml:space="preserve">the unbalanced reference to the views of the clinical experts together with the failure to consider the implausible Kaplan Meier curves from </w:t>
      </w:r>
      <w:r w:rsidR="002E2B83" w:rsidRPr="00D0780E">
        <w:rPr>
          <w:rFonts w:ascii="Arial" w:hAnsi="Arial" w:cs="Arial"/>
          <w:i/>
        </w:rPr>
        <w:t>ALchemy</w:t>
      </w:r>
      <w:r w:rsidRPr="00D0780E">
        <w:rPr>
          <w:rFonts w:ascii="Arial" w:hAnsi="Arial" w:cs="Arial"/>
          <w:i/>
        </w:rPr>
        <w:t xml:space="preserve">, the inconsistency between the haematologic response criteria used by </w:t>
      </w:r>
      <w:r w:rsidR="002E2B83" w:rsidRPr="00D0780E">
        <w:rPr>
          <w:rFonts w:ascii="Arial" w:hAnsi="Arial" w:cs="Arial"/>
          <w:i/>
        </w:rPr>
        <w:t xml:space="preserve">ALchemy  </w:t>
      </w:r>
      <w:r w:rsidRPr="00D0780E">
        <w:rPr>
          <w:rFonts w:ascii="Arial" w:hAnsi="Arial" w:cs="Arial"/>
          <w:i/>
        </w:rPr>
        <w:t xml:space="preserve">and in ANDROMEDA </w:t>
      </w:r>
      <w:r w:rsidRPr="00D0780E">
        <w:rPr>
          <w:rFonts w:ascii="Arial" w:hAnsi="Arial" w:cs="Arial"/>
          <w:i/>
        </w:rPr>
        <w:lastRenderedPageBreak/>
        <w:t xml:space="preserve">and the lack of access to patient level data from </w:t>
      </w:r>
      <w:r w:rsidR="002E2B83" w:rsidRPr="00D0780E">
        <w:rPr>
          <w:rFonts w:ascii="Arial" w:hAnsi="Arial" w:cs="Arial"/>
          <w:i/>
        </w:rPr>
        <w:t xml:space="preserve">ALchemy </w:t>
      </w:r>
      <w:r w:rsidRPr="00D0780E">
        <w:rPr>
          <w:rFonts w:ascii="Arial" w:hAnsi="Arial" w:cs="Arial"/>
          <w:i/>
        </w:rPr>
        <w:t xml:space="preserve">indicate that the approach of the Committee in concluding that both </w:t>
      </w:r>
      <w:r w:rsidR="002E2B83" w:rsidRPr="00D0780E">
        <w:rPr>
          <w:rFonts w:ascii="Arial" w:hAnsi="Arial" w:cs="Arial"/>
          <w:i/>
        </w:rPr>
        <w:t>ALchemy</w:t>
      </w:r>
      <w:r w:rsidR="00FC0C10" w:rsidRPr="00D0780E">
        <w:rPr>
          <w:rFonts w:ascii="Arial" w:hAnsi="Arial" w:cs="Arial"/>
          <w:i/>
        </w:rPr>
        <w:t xml:space="preserve"> </w:t>
      </w:r>
      <w:r w:rsidRPr="00D0780E">
        <w:rPr>
          <w:rFonts w:ascii="Arial" w:hAnsi="Arial" w:cs="Arial"/>
          <w:i/>
        </w:rPr>
        <w:t>and EMN23-UK may be representative of UK clinical practice, is unreasonable</w:t>
      </w:r>
      <w:r w:rsidR="00A82D3C" w:rsidRPr="00D0780E">
        <w:rPr>
          <w:rFonts w:ascii="Arial" w:hAnsi="Arial" w:cs="Arial"/>
          <w:i/>
        </w:rPr>
        <w:t>.</w:t>
      </w:r>
      <w:r w:rsidRPr="00D0780E">
        <w:rPr>
          <w:rFonts w:ascii="Arial" w:hAnsi="Arial" w:cs="Arial"/>
          <w:i/>
        </w:rPr>
        <w:t>”</w:t>
      </w:r>
    </w:p>
    <w:p w14:paraId="751A0C03" w14:textId="28CE6D61" w:rsidR="006C66CE" w:rsidRPr="00D0780E" w:rsidRDefault="00F43419" w:rsidP="006C66CE">
      <w:pPr>
        <w:spacing w:before="240" w:after="240"/>
        <w:jc w:val="both"/>
        <w:rPr>
          <w:rFonts w:ascii="Arial" w:hAnsi="Arial" w:cs="Arial"/>
          <w:bCs/>
          <w:iCs/>
        </w:rPr>
      </w:pPr>
      <w:r w:rsidRPr="00D0780E">
        <w:rPr>
          <w:rFonts w:ascii="Arial" w:hAnsi="Arial" w:cs="Arial"/>
        </w:rPr>
        <w:t>More specifically</w:t>
      </w:r>
      <w:r w:rsidR="00FC0C10" w:rsidRPr="00D0780E">
        <w:rPr>
          <w:rFonts w:ascii="Arial" w:hAnsi="Arial" w:cs="Arial"/>
        </w:rPr>
        <w:t xml:space="preserve"> you say</w:t>
      </w:r>
      <w:r w:rsidR="006C66CE" w:rsidRPr="00D0780E">
        <w:rPr>
          <w:rFonts w:ascii="Arial" w:hAnsi="Arial" w:cs="Arial"/>
          <w:bCs/>
          <w:iCs/>
        </w:rPr>
        <w:t>:</w:t>
      </w:r>
    </w:p>
    <w:p w14:paraId="5C38111C" w14:textId="77777777" w:rsidR="00A82D3C" w:rsidRPr="00D0780E" w:rsidRDefault="00D97D19" w:rsidP="009040E1">
      <w:pPr>
        <w:pStyle w:val="ListParagraph"/>
        <w:numPr>
          <w:ilvl w:val="0"/>
          <w:numId w:val="16"/>
        </w:numPr>
        <w:spacing w:before="240" w:after="240"/>
        <w:jc w:val="both"/>
        <w:rPr>
          <w:rFonts w:cs="Arial"/>
          <w:bCs/>
          <w:iCs/>
          <w:sz w:val="22"/>
          <w:szCs w:val="22"/>
        </w:rPr>
      </w:pPr>
      <w:r w:rsidRPr="00D0780E">
        <w:rPr>
          <w:rFonts w:cs="Arial"/>
          <w:sz w:val="22"/>
          <w:szCs w:val="22"/>
        </w:rPr>
        <w:t>P</w:t>
      </w:r>
      <w:r w:rsidR="006C66CE" w:rsidRPr="00D0780E">
        <w:rPr>
          <w:rFonts w:cs="Arial"/>
          <w:sz w:val="22"/>
          <w:szCs w:val="22"/>
        </w:rPr>
        <w:t>aragraph 3.10 of the FAD</w:t>
      </w:r>
      <w:r w:rsidRPr="00D0780E">
        <w:rPr>
          <w:rFonts w:cs="Arial"/>
          <w:sz w:val="22"/>
          <w:szCs w:val="22"/>
        </w:rPr>
        <w:t xml:space="preserve"> is “unbalanced and misleading”, as</w:t>
      </w:r>
      <w:r w:rsidR="00A82D3C" w:rsidRPr="00D0780E">
        <w:rPr>
          <w:rFonts w:cs="Arial"/>
          <w:sz w:val="22"/>
          <w:szCs w:val="22"/>
        </w:rPr>
        <w:t>:</w:t>
      </w:r>
    </w:p>
    <w:p w14:paraId="0858E890" w14:textId="3D8FB0FE" w:rsidR="00A82D3C" w:rsidRPr="00D0780E" w:rsidRDefault="00D97D19" w:rsidP="00A82D3C">
      <w:pPr>
        <w:pStyle w:val="ListParagraph"/>
        <w:numPr>
          <w:ilvl w:val="1"/>
          <w:numId w:val="16"/>
        </w:numPr>
        <w:spacing w:before="240" w:after="240"/>
        <w:jc w:val="both"/>
        <w:rPr>
          <w:rFonts w:cs="Arial"/>
          <w:bCs/>
          <w:iCs/>
          <w:sz w:val="22"/>
          <w:szCs w:val="22"/>
        </w:rPr>
      </w:pPr>
      <w:r w:rsidRPr="00D0780E">
        <w:rPr>
          <w:rFonts w:cs="Arial"/>
          <w:sz w:val="22"/>
          <w:szCs w:val="22"/>
        </w:rPr>
        <w:t>the statement that “the clinical experts agreed with the ERG that ALchemy better reflects NHS practice” relates to the experts’ consideration of EMN23 only and is factually inaccurate so far as the experts’ comments on EMN23-UK is concerned</w:t>
      </w:r>
      <w:r w:rsidR="002A77B9" w:rsidRPr="00D0780E">
        <w:rPr>
          <w:rFonts w:cs="Arial"/>
          <w:sz w:val="22"/>
          <w:szCs w:val="22"/>
        </w:rPr>
        <w:t xml:space="preserve">; </w:t>
      </w:r>
      <w:r w:rsidRPr="00D0780E">
        <w:rPr>
          <w:rFonts w:cs="Arial"/>
          <w:sz w:val="22"/>
          <w:szCs w:val="22"/>
        </w:rPr>
        <w:t xml:space="preserve">and </w:t>
      </w:r>
    </w:p>
    <w:p w14:paraId="0B4D9838" w14:textId="57E98084" w:rsidR="006C66CE" w:rsidRPr="00D0780E" w:rsidRDefault="00D97D19" w:rsidP="00A82D3C">
      <w:pPr>
        <w:pStyle w:val="ListParagraph"/>
        <w:numPr>
          <w:ilvl w:val="1"/>
          <w:numId w:val="16"/>
        </w:numPr>
        <w:spacing w:before="240" w:after="240"/>
        <w:jc w:val="both"/>
        <w:rPr>
          <w:rFonts w:cs="Arial"/>
          <w:bCs/>
          <w:iCs/>
          <w:sz w:val="22"/>
          <w:szCs w:val="22"/>
        </w:rPr>
      </w:pPr>
      <w:r w:rsidRPr="00D0780E">
        <w:rPr>
          <w:rFonts w:cs="Arial"/>
          <w:sz w:val="22"/>
          <w:szCs w:val="22"/>
        </w:rPr>
        <w:t>para</w:t>
      </w:r>
      <w:r w:rsidR="00A82D3C" w:rsidRPr="00D0780E">
        <w:rPr>
          <w:rFonts w:cs="Arial"/>
          <w:sz w:val="22"/>
          <w:szCs w:val="22"/>
        </w:rPr>
        <w:t>graph</w:t>
      </w:r>
      <w:r w:rsidRPr="00D0780E">
        <w:rPr>
          <w:rFonts w:cs="Arial"/>
          <w:sz w:val="22"/>
          <w:szCs w:val="22"/>
        </w:rPr>
        <w:t xml:space="preserve"> 3.10 does not reflect concerns expressed by experts</w:t>
      </w:r>
      <w:r w:rsidR="00A82D3C" w:rsidRPr="00D0780E">
        <w:rPr>
          <w:rFonts w:cs="Arial"/>
          <w:sz w:val="22"/>
          <w:szCs w:val="22"/>
        </w:rPr>
        <w:t xml:space="preserve"> at the second Committee meeting</w:t>
      </w:r>
      <w:r w:rsidRPr="00D0780E">
        <w:rPr>
          <w:rFonts w:cs="Arial"/>
          <w:sz w:val="22"/>
          <w:szCs w:val="22"/>
        </w:rPr>
        <w:t xml:space="preserve"> regarding the data from ALchemy</w:t>
      </w:r>
      <w:r w:rsidR="002A77B9" w:rsidRPr="00D0780E">
        <w:rPr>
          <w:rFonts w:cs="Arial"/>
          <w:sz w:val="22"/>
          <w:szCs w:val="22"/>
        </w:rPr>
        <w:t>;</w:t>
      </w:r>
    </w:p>
    <w:p w14:paraId="29C53E25" w14:textId="77777777" w:rsidR="002A77B9" w:rsidRPr="00D0780E" w:rsidRDefault="002A77B9" w:rsidP="002A77B9">
      <w:pPr>
        <w:pStyle w:val="ListParagraph"/>
        <w:spacing w:before="240" w:after="240"/>
        <w:ind w:left="1440"/>
        <w:jc w:val="both"/>
        <w:rPr>
          <w:rFonts w:cs="Arial"/>
          <w:bCs/>
          <w:iCs/>
          <w:sz w:val="22"/>
          <w:szCs w:val="22"/>
        </w:rPr>
      </w:pPr>
    </w:p>
    <w:p w14:paraId="646A76B1" w14:textId="3396583F" w:rsidR="00F43419" w:rsidRPr="00D0780E" w:rsidRDefault="00D97D19" w:rsidP="009A3CBF">
      <w:pPr>
        <w:pStyle w:val="ListParagraph"/>
        <w:numPr>
          <w:ilvl w:val="0"/>
          <w:numId w:val="16"/>
        </w:numPr>
        <w:spacing w:before="240"/>
        <w:jc w:val="both"/>
        <w:rPr>
          <w:rFonts w:cs="Arial"/>
          <w:sz w:val="22"/>
          <w:szCs w:val="22"/>
        </w:rPr>
      </w:pPr>
      <w:r w:rsidRPr="00D0780E">
        <w:rPr>
          <w:rFonts w:cs="Arial"/>
          <w:sz w:val="22"/>
          <w:szCs w:val="22"/>
        </w:rPr>
        <w:t>The</w:t>
      </w:r>
      <w:r w:rsidR="00F43419" w:rsidRPr="00D0780E">
        <w:rPr>
          <w:rFonts w:cs="Arial"/>
          <w:sz w:val="22"/>
          <w:szCs w:val="22"/>
        </w:rPr>
        <w:t xml:space="preserve"> Committee disregarded the fact, drawn to its attention by Janssen (Point 2, Janssen ACD Response) and also noted by the ERG’s expert, that the haematologic response criteria from </w:t>
      </w:r>
      <w:r w:rsidR="002E2B83" w:rsidRPr="00D0780E">
        <w:rPr>
          <w:rFonts w:cs="Arial"/>
          <w:sz w:val="22"/>
          <w:szCs w:val="22"/>
        </w:rPr>
        <w:t xml:space="preserve">ALchemy </w:t>
      </w:r>
      <w:r w:rsidR="00F43419" w:rsidRPr="00D0780E">
        <w:rPr>
          <w:rFonts w:cs="Arial"/>
          <w:sz w:val="22"/>
          <w:szCs w:val="22"/>
        </w:rPr>
        <w:t xml:space="preserve">were not aligned with the response criteria used in ANDROMEDA. Specifically, the ERG’s clinical advisor stated that </w:t>
      </w:r>
      <w:r w:rsidR="00F43419" w:rsidRPr="00D0780E">
        <w:rPr>
          <w:rFonts w:cs="Arial"/>
          <w:i/>
          <w:iCs/>
          <w:sz w:val="22"/>
          <w:szCs w:val="22"/>
        </w:rPr>
        <w:t xml:space="preserve">“the reclassification of response is important as the older criteria used in the analysis of </w:t>
      </w:r>
      <w:r w:rsidR="002E2B83" w:rsidRPr="00D0780E">
        <w:rPr>
          <w:rFonts w:cs="Arial"/>
          <w:i/>
          <w:iCs/>
          <w:sz w:val="22"/>
          <w:szCs w:val="22"/>
        </w:rPr>
        <w:t xml:space="preserve">ALchemy </w:t>
      </w:r>
      <w:r w:rsidR="00F43419" w:rsidRPr="00D0780E">
        <w:rPr>
          <w:rFonts w:cs="Arial"/>
          <w:i/>
          <w:iCs/>
          <w:sz w:val="22"/>
          <w:szCs w:val="22"/>
        </w:rPr>
        <w:t xml:space="preserve">were problematic” </w:t>
      </w:r>
      <w:r w:rsidR="00F43419" w:rsidRPr="00D0780E">
        <w:rPr>
          <w:rFonts w:cs="Arial"/>
          <w:sz w:val="22"/>
          <w:szCs w:val="22"/>
        </w:rPr>
        <w:t>(Page 8, Evidence Review Group’s Critique of the Company’s Response to the ACD</w:t>
      </w:r>
      <w:proofErr w:type="gramStart"/>
      <w:r w:rsidR="00F43419" w:rsidRPr="00D0780E">
        <w:rPr>
          <w:rFonts w:cs="Arial"/>
          <w:sz w:val="22"/>
          <w:szCs w:val="22"/>
        </w:rPr>
        <w:t>)</w:t>
      </w:r>
      <w:r w:rsidR="002A77B9" w:rsidRPr="00D0780E">
        <w:rPr>
          <w:rFonts w:cs="Arial"/>
          <w:sz w:val="22"/>
          <w:szCs w:val="22"/>
        </w:rPr>
        <w:t>;</w:t>
      </w:r>
      <w:proofErr w:type="gramEnd"/>
      <w:r w:rsidR="002A77B9" w:rsidRPr="00D0780E">
        <w:rPr>
          <w:rFonts w:cs="Arial"/>
          <w:sz w:val="22"/>
          <w:szCs w:val="22"/>
        </w:rPr>
        <w:t xml:space="preserve"> </w:t>
      </w:r>
    </w:p>
    <w:p w14:paraId="54E05AAD" w14:textId="77777777" w:rsidR="00A82D3C" w:rsidRPr="00D0780E" w:rsidRDefault="00A82D3C" w:rsidP="009A3CBF">
      <w:pPr>
        <w:pStyle w:val="ListParagraph"/>
        <w:spacing w:before="240"/>
        <w:jc w:val="both"/>
        <w:rPr>
          <w:rFonts w:cs="Arial"/>
          <w:sz w:val="22"/>
          <w:szCs w:val="22"/>
        </w:rPr>
      </w:pPr>
    </w:p>
    <w:p w14:paraId="635856F1" w14:textId="2C4DD1EA" w:rsidR="00F43419" w:rsidRPr="00D0780E" w:rsidRDefault="00F43419" w:rsidP="009A3CBF">
      <w:pPr>
        <w:pStyle w:val="ListParagraph"/>
        <w:numPr>
          <w:ilvl w:val="0"/>
          <w:numId w:val="16"/>
        </w:numPr>
        <w:spacing w:before="240"/>
        <w:jc w:val="both"/>
        <w:rPr>
          <w:rFonts w:cs="Arial"/>
          <w:sz w:val="22"/>
          <w:szCs w:val="22"/>
        </w:rPr>
      </w:pPr>
      <w:r w:rsidRPr="00D0780E">
        <w:rPr>
          <w:rFonts w:cs="Arial"/>
          <w:sz w:val="22"/>
          <w:szCs w:val="22"/>
        </w:rPr>
        <w:t xml:space="preserve">A further issue with </w:t>
      </w:r>
      <w:r w:rsidR="002E2B83" w:rsidRPr="00D0780E">
        <w:rPr>
          <w:rFonts w:cs="Arial"/>
          <w:sz w:val="22"/>
          <w:szCs w:val="22"/>
        </w:rPr>
        <w:t xml:space="preserve">ALchemy </w:t>
      </w:r>
      <w:r w:rsidRPr="00D0780E">
        <w:rPr>
          <w:rFonts w:cs="Arial"/>
          <w:sz w:val="22"/>
          <w:szCs w:val="22"/>
        </w:rPr>
        <w:t>was the potential risk of confounding due to treatment switching. This was discussed in the first appraisal committee meeting and referred to in Section 3.11 of the ACD</w:t>
      </w:r>
      <w:r w:rsidR="00ED1ABD" w:rsidRPr="00D0780E">
        <w:rPr>
          <w:rFonts w:cs="Arial"/>
          <w:sz w:val="22"/>
          <w:szCs w:val="22"/>
        </w:rPr>
        <w:t xml:space="preserve">: </w:t>
      </w:r>
      <w:r w:rsidRPr="00D0780E">
        <w:rPr>
          <w:rFonts w:cs="Arial"/>
          <w:i/>
          <w:iCs/>
          <w:sz w:val="22"/>
          <w:szCs w:val="22"/>
        </w:rPr>
        <w:t xml:space="preserve">“However, in </w:t>
      </w:r>
      <w:proofErr w:type="gramStart"/>
      <w:r w:rsidR="002E2B83" w:rsidRPr="00D0780E">
        <w:rPr>
          <w:rFonts w:cs="Arial"/>
          <w:i/>
          <w:iCs/>
          <w:sz w:val="22"/>
          <w:szCs w:val="22"/>
        </w:rPr>
        <w:t xml:space="preserve">ALCHEMY  </w:t>
      </w:r>
      <w:r w:rsidRPr="00D0780E">
        <w:rPr>
          <w:rFonts w:cs="Arial"/>
          <w:i/>
          <w:iCs/>
          <w:sz w:val="22"/>
          <w:szCs w:val="22"/>
        </w:rPr>
        <w:t>,</w:t>
      </w:r>
      <w:proofErr w:type="gramEnd"/>
      <w:r w:rsidRPr="00D0780E">
        <w:rPr>
          <w:rFonts w:cs="Arial"/>
          <w:i/>
          <w:iCs/>
          <w:sz w:val="22"/>
          <w:szCs w:val="22"/>
        </w:rPr>
        <w:t xml:space="preserve"> response status at 6 months was reported irrespective of previous treatment changes – for instance, a person who switched treatments after 3 months and whose condition subsequently responded would be reported as having a response. This suggests that the response categorisation at 6 months in ANDROMEDA does not match the response categorisation from </w:t>
      </w:r>
      <w:proofErr w:type="gramStart"/>
      <w:r w:rsidR="002E2B83" w:rsidRPr="00D0780E">
        <w:rPr>
          <w:rFonts w:cs="Arial"/>
          <w:i/>
          <w:iCs/>
          <w:sz w:val="22"/>
          <w:szCs w:val="22"/>
        </w:rPr>
        <w:t>ALCHEM</w:t>
      </w:r>
      <w:r w:rsidR="00ED1ABD" w:rsidRPr="00D0780E">
        <w:rPr>
          <w:rFonts w:cs="Arial"/>
          <w:i/>
          <w:iCs/>
          <w:sz w:val="22"/>
          <w:szCs w:val="22"/>
        </w:rPr>
        <w:t>Y.</w:t>
      </w:r>
      <w:r w:rsidRPr="00D0780E">
        <w:rPr>
          <w:rFonts w:cs="Arial"/>
          <w:i/>
          <w:iCs/>
          <w:sz w:val="22"/>
          <w:szCs w:val="22"/>
        </w:rPr>
        <w:t>.</w:t>
      </w:r>
      <w:proofErr w:type="gramEnd"/>
      <w:r w:rsidRPr="00D0780E">
        <w:rPr>
          <w:rFonts w:cs="Arial"/>
          <w:i/>
          <w:iCs/>
          <w:sz w:val="22"/>
          <w:szCs w:val="22"/>
        </w:rPr>
        <w:t>”</w:t>
      </w:r>
      <w:r w:rsidR="002A77B9" w:rsidRPr="00D0780E">
        <w:rPr>
          <w:rFonts w:cs="Arial"/>
          <w:i/>
          <w:iCs/>
          <w:sz w:val="22"/>
          <w:szCs w:val="22"/>
        </w:rPr>
        <w:t xml:space="preserve">; </w:t>
      </w:r>
      <w:r w:rsidR="002A77B9" w:rsidRPr="00D0780E">
        <w:rPr>
          <w:rFonts w:cs="Arial"/>
          <w:sz w:val="22"/>
          <w:szCs w:val="22"/>
        </w:rPr>
        <w:t>and</w:t>
      </w:r>
    </w:p>
    <w:p w14:paraId="78296D28" w14:textId="77777777" w:rsidR="00A82D3C" w:rsidRPr="00D0780E" w:rsidRDefault="00A82D3C" w:rsidP="009A3CBF">
      <w:pPr>
        <w:pStyle w:val="ListParagraph"/>
        <w:jc w:val="both"/>
        <w:rPr>
          <w:rFonts w:cs="Arial"/>
          <w:sz w:val="22"/>
          <w:szCs w:val="22"/>
        </w:rPr>
      </w:pPr>
    </w:p>
    <w:p w14:paraId="07B0B331" w14:textId="6A3A0C51" w:rsidR="00A82D3C" w:rsidRPr="00D0780E" w:rsidRDefault="00A82D3C" w:rsidP="009A3CBF">
      <w:pPr>
        <w:pStyle w:val="ListParagraph"/>
        <w:numPr>
          <w:ilvl w:val="0"/>
          <w:numId w:val="16"/>
        </w:numPr>
        <w:spacing w:before="240"/>
        <w:jc w:val="both"/>
        <w:rPr>
          <w:rFonts w:cs="Arial"/>
          <w:sz w:val="22"/>
          <w:szCs w:val="22"/>
        </w:rPr>
      </w:pPr>
      <w:r w:rsidRPr="00D0780E">
        <w:rPr>
          <w:rFonts w:cs="Arial"/>
          <w:sz w:val="22"/>
          <w:szCs w:val="22"/>
        </w:rPr>
        <w:t>P</w:t>
      </w:r>
      <w:r w:rsidR="00F43419" w:rsidRPr="00D0780E">
        <w:rPr>
          <w:rFonts w:cs="Arial"/>
          <w:sz w:val="22"/>
          <w:szCs w:val="22"/>
        </w:rPr>
        <w:t xml:space="preserve">atient level data from </w:t>
      </w:r>
      <w:r w:rsidR="002E2B83" w:rsidRPr="00D0780E">
        <w:rPr>
          <w:rFonts w:cs="Arial"/>
          <w:sz w:val="22"/>
          <w:szCs w:val="22"/>
        </w:rPr>
        <w:t xml:space="preserve">ALchemy </w:t>
      </w:r>
      <w:r w:rsidRPr="00D0780E">
        <w:rPr>
          <w:rFonts w:cs="Arial"/>
          <w:sz w:val="22"/>
          <w:szCs w:val="22"/>
        </w:rPr>
        <w:t>were not available to you so</w:t>
      </w:r>
      <w:r w:rsidR="00F43419" w:rsidRPr="00D0780E">
        <w:rPr>
          <w:rFonts w:cs="Arial"/>
          <w:sz w:val="22"/>
          <w:szCs w:val="22"/>
        </w:rPr>
        <w:t xml:space="preserve"> the inconsistencies identified above could not be corrected</w:t>
      </w:r>
      <w:r w:rsidRPr="00D0780E">
        <w:rPr>
          <w:rFonts w:cs="Arial"/>
          <w:sz w:val="22"/>
          <w:szCs w:val="22"/>
        </w:rPr>
        <w:t>. You say this “</w:t>
      </w:r>
      <w:r w:rsidR="00F43419" w:rsidRPr="00D0780E">
        <w:rPr>
          <w:rFonts w:cs="Arial"/>
          <w:sz w:val="22"/>
          <w:szCs w:val="22"/>
        </w:rPr>
        <w:t>provides a clear reason why EMN23-UK should have been preferred.</w:t>
      </w:r>
      <w:r w:rsidRPr="00D0780E">
        <w:rPr>
          <w:rFonts w:cs="Arial"/>
          <w:sz w:val="22"/>
          <w:szCs w:val="22"/>
        </w:rPr>
        <w:t>”</w:t>
      </w:r>
    </w:p>
    <w:p w14:paraId="45BEB9E2" w14:textId="0A9BC9AE" w:rsidR="00431662" w:rsidRPr="00D0780E" w:rsidRDefault="009A3CBF" w:rsidP="00431662">
      <w:pPr>
        <w:spacing w:before="240"/>
        <w:jc w:val="both"/>
        <w:rPr>
          <w:rFonts w:ascii="Arial" w:hAnsi="Arial" w:cs="Arial"/>
          <w:bCs/>
        </w:rPr>
      </w:pPr>
      <w:bookmarkStart w:id="0" w:name="_Hlk125125906"/>
      <w:r w:rsidRPr="00D0780E">
        <w:rPr>
          <w:rFonts w:ascii="Arial" w:hAnsi="Arial" w:cs="Arial"/>
        </w:rPr>
        <w:t>Having considered these arguments</w:t>
      </w:r>
      <w:r w:rsidR="00431662" w:rsidRPr="00D0780E">
        <w:rPr>
          <w:rFonts w:ascii="Arial" w:hAnsi="Arial" w:cs="Arial"/>
        </w:rPr>
        <w:t xml:space="preserve">, </w:t>
      </w:r>
      <w:r w:rsidR="00BF4794" w:rsidRPr="00D0780E">
        <w:rPr>
          <w:rFonts w:ascii="Arial" w:hAnsi="Arial" w:cs="Arial"/>
          <w:bCs/>
        </w:rPr>
        <w:t>it appears that</w:t>
      </w:r>
      <w:r w:rsidR="00431662" w:rsidRPr="00D0780E">
        <w:rPr>
          <w:rFonts w:ascii="Arial" w:hAnsi="Arial" w:cs="Arial"/>
          <w:bCs/>
        </w:rPr>
        <w:t xml:space="preserve"> </w:t>
      </w:r>
      <w:r w:rsidR="00FA3BA5" w:rsidRPr="00D0780E">
        <w:rPr>
          <w:rFonts w:ascii="Arial" w:hAnsi="Arial" w:cs="Arial"/>
          <w:bCs/>
        </w:rPr>
        <w:t>your</w:t>
      </w:r>
      <w:r w:rsidR="00BF4794" w:rsidRPr="00D0780E">
        <w:rPr>
          <w:rFonts w:ascii="Arial" w:hAnsi="Arial" w:cs="Arial"/>
          <w:bCs/>
        </w:rPr>
        <w:t xml:space="preserve"> </w:t>
      </w:r>
      <w:r w:rsidR="00FA3BA5" w:rsidRPr="00D0780E">
        <w:rPr>
          <w:rFonts w:ascii="Arial" w:hAnsi="Arial" w:cs="Arial"/>
          <w:bCs/>
        </w:rPr>
        <w:t>appeal point is that it was unreasonable for the Committee to conclude that ALchemy “may be representative of UK clinical practice”. That is because you consider the ALchemy data cannot be representative and should either be completely discounted or given little weight. I’m mindful that</w:t>
      </w:r>
      <w:r w:rsidR="00BF4794" w:rsidRPr="00D0780E">
        <w:rPr>
          <w:rFonts w:ascii="Arial" w:hAnsi="Arial" w:cs="Arial"/>
          <w:bCs/>
        </w:rPr>
        <w:t xml:space="preserve"> </w:t>
      </w:r>
      <w:bookmarkStart w:id="1" w:name="_Hlk125125718"/>
      <w:r w:rsidR="00FA3BA5" w:rsidRPr="00D0780E">
        <w:rPr>
          <w:rFonts w:ascii="Arial" w:hAnsi="Arial" w:cs="Arial"/>
          <w:bCs/>
        </w:rPr>
        <w:t>t</w:t>
      </w:r>
      <w:r w:rsidR="007B4CF1" w:rsidRPr="00D0780E">
        <w:rPr>
          <w:rFonts w:ascii="Arial" w:hAnsi="Arial" w:cs="Arial"/>
          <w:bCs/>
        </w:rPr>
        <w:t>he Committee has put it no higher than the ALchemy data “may be” representative</w:t>
      </w:r>
      <w:r w:rsidR="00FA3BA5" w:rsidRPr="00D0780E">
        <w:rPr>
          <w:rFonts w:ascii="Arial" w:hAnsi="Arial" w:cs="Arial"/>
          <w:bCs/>
        </w:rPr>
        <w:t xml:space="preserve"> and t</w:t>
      </w:r>
      <w:r w:rsidRPr="00D0780E">
        <w:rPr>
          <w:rFonts w:ascii="Arial" w:hAnsi="Arial" w:cs="Arial"/>
          <w:bCs/>
        </w:rPr>
        <w:t xml:space="preserve">he actual </w:t>
      </w:r>
      <w:r w:rsidR="00431662" w:rsidRPr="00D0780E">
        <w:rPr>
          <w:rFonts w:ascii="Arial" w:hAnsi="Arial" w:cs="Arial"/>
          <w:bCs/>
        </w:rPr>
        <w:t>weight given to ALchemy by the Committee with regard to modelling haematological response and survival is detailed in the following paragraphs of the FAD. The Committee note weaknesses in the ALchemy data, concluding that the choice of data set (that is, EMN23-UK or Alchemy) is uncertain when assessing haematological repsonse (FAD para 3.11) and that</w:t>
      </w:r>
      <w:r w:rsidR="00431662" w:rsidRPr="00D0780E">
        <w:rPr>
          <w:rFonts w:ascii="Arial" w:hAnsi="Arial" w:cs="Arial"/>
        </w:rPr>
        <w:t xml:space="preserve"> </w:t>
      </w:r>
      <w:r w:rsidR="00431662" w:rsidRPr="00D0780E">
        <w:rPr>
          <w:rFonts w:ascii="Arial" w:hAnsi="Arial" w:cs="Arial"/>
          <w:bCs/>
        </w:rPr>
        <w:t xml:space="preserve">there is high uncertainty in extrapolations for overall survival in the longer term using </w:t>
      </w:r>
      <w:r w:rsidR="00431662" w:rsidRPr="00D0780E">
        <w:rPr>
          <w:rFonts w:ascii="Arial" w:hAnsi="Arial" w:cs="Arial"/>
          <w:b/>
        </w:rPr>
        <w:t>either</w:t>
      </w:r>
      <w:r w:rsidR="00431662" w:rsidRPr="00D0780E">
        <w:rPr>
          <w:rFonts w:ascii="Arial" w:hAnsi="Arial" w:cs="Arial"/>
          <w:bCs/>
        </w:rPr>
        <w:t xml:space="preserve"> the re-categorised EMN23-UK or ALchemy datasets (FAD para 3.13). This is reflected in the Committee’s preferred assumptions (at para 3.21) that both the distribution of haematological </w:t>
      </w:r>
      <w:r w:rsidR="00431662" w:rsidRPr="00D0780E">
        <w:rPr>
          <w:rFonts w:ascii="Arial" w:hAnsi="Arial" w:cs="Arial"/>
          <w:bCs/>
        </w:rPr>
        <w:lastRenderedPageBreak/>
        <w:t>response for standard care and the extrapolated overall survival “may lie between the Alchemy data and the censored and re-categorised EMN23-UK data”</w:t>
      </w:r>
      <w:r w:rsidR="00AC5B5B" w:rsidRPr="00D0780E">
        <w:rPr>
          <w:rFonts w:ascii="Arial" w:hAnsi="Arial" w:cs="Arial"/>
          <w:bCs/>
        </w:rPr>
        <w:t>.</w:t>
      </w:r>
      <w:r w:rsidR="00431662" w:rsidRPr="00D0780E">
        <w:rPr>
          <w:rFonts w:ascii="Arial" w:hAnsi="Arial" w:cs="Arial"/>
          <w:bCs/>
        </w:rPr>
        <w:t xml:space="preserve"> </w:t>
      </w:r>
      <w:r w:rsidR="00FA3BA5" w:rsidRPr="00D0780E">
        <w:rPr>
          <w:rFonts w:ascii="Arial" w:hAnsi="Arial" w:cs="Arial"/>
          <w:bCs/>
        </w:rPr>
        <w:t>I am also mindful that, i</w:t>
      </w:r>
      <w:r w:rsidR="00431662" w:rsidRPr="00D0780E">
        <w:rPr>
          <w:rFonts w:ascii="Arial" w:hAnsi="Arial" w:cs="Arial"/>
          <w:bCs/>
        </w:rPr>
        <w:t xml:space="preserve">n any event, the company's own ICERs were above the range NICE considers an acceptable use of NHS resources. </w:t>
      </w:r>
      <w:bookmarkEnd w:id="1"/>
      <w:r w:rsidR="00FA3BA5" w:rsidRPr="00D0780E">
        <w:rPr>
          <w:rFonts w:ascii="Arial" w:hAnsi="Arial" w:cs="Arial"/>
          <w:bCs/>
        </w:rPr>
        <w:t>Nonetheless, I will refer this point the Appeal Panel to consider if the Committee could reasonably conclude that ALchemy “may be representative of  UK clinical practice”, such that ALchemy could be taken into account along with other evidence such as EMN23-UK.</w:t>
      </w:r>
    </w:p>
    <w:bookmarkEnd w:id="0"/>
    <w:p w14:paraId="04F9BD68" w14:textId="61E26A8E" w:rsidR="00CE085C" w:rsidRPr="00D0780E" w:rsidRDefault="00771051" w:rsidP="00A84AF4">
      <w:pPr>
        <w:spacing w:before="120" w:after="240"/>
        <w:jc w:val="both"/>
        <w:rPr>
          <w:rFonts w:ascii="Arial" w:eastAsia="Times New Roman" w:hAnsi="Arial" w:cs="Arial"/>
          <w:b/>
          <w:bCs/>
          <w:i/>
          <w:iCs/>
        </w:rPr>
      </w:pPr>
      <w:r w:rsidRPr="00D0780E">
        <w:rPr>
          <w:rFonts w:ascii="Arial" w:eastAsia="Times New Roman" w:hAnsi="Arial" w:cs="Arial"/>
          <w:b/>
          <w:bCs/>
          <w:i/>
          <w:iCs/>
        </w:rPr>
        <w:t>Appeal point 2.2 The Committee’s conclusion that “it had not been shown if daratumumab in combination improves overall survival” conflicts with the balance of the available evidence</w:t>
      </w:r>
    </w:p>
    <w:p w14:paraId="21202690" w14:textId="1399A8B1" w:rsidR="00E60FE1" w:rsidRPr="00D0780E" w:rsidRDefault="00E60FE1" w:rsidP="00E60FE1">
      <w:pPr>
        <w:pStyle w:val="Paragraph"/>
        <w:numPr>
          <w:ilvl w:val="0"/>
          <w:numId w:val="0"/>
        </w:numPr>
        <w:jc w:val="both"/>
        <w:rPr>
          <w:rFonts w:cs="Arial"/>
          <w:sz w:val="22"/>
          <w:szCs w:val="22"/>
        </w:rPr>
      </w:pPr>
      <w:r w:rsidRPr="00D0780E">
        <w:rPr>
          <w:rFonts w:cs="Arial"/>
          <w:sz w:val="22"/>
          <w:szCs w:val="22"/>
        </w:rPr>
        <w:t xml:space="preserve">Having considered the additional arguments made in your letter of </w:t>
      </w:r>
      <w:r w:rsidR="00431662" w:rsidRPr="00D0780E">
        <w:rPr>
          <w:rFonts w:cs="Arial"/>
          <w:sz w:val="22"/>
          <w:szCs w:val="22"/>
        </w:rPr>
        <w:t>17 January 2023</w:t>
      </w:r>
      <w:r w:rsidRPr="00D0780E">
        <w:rPr>
          <w:rFonts w:cs="Arial"/>
          <w:sz w:val="22"/>
          <w:szCs w:val="22"/>
        </w:rPr>
        <w:t xml:space="preserve"> I agree that this is a valid appeal point.</w:t>
      </w:r>
    </w:p>
    <w:p w14:paraId="73BBE25A" w14:textId="1B145348" w:rsidR="00771051" w:rsidRPr="00D0780E" w:rsidRDefault="00907FF3" w:rsidP="00771051">
      <w:pPr>
        <w:spacing w:before="120" w:after="240"/>
        <w:jc w:val="both"/>
        <w:rPr>
          <w:rFonts w:ascii="Arial" w:eastAsia="Times New Roman" w:hAnsi="Arial" w:cs="Arial"/>
          <w:u w:val="single"/>
        </w:rPr>
      </w:pPr>
      <w:r w:rsidRPr="00D0780E">
        <w:rPr>
          <w:rFonts w:ascii="Arial" w:eastAsia="Times New Roman" w:hAnsi="Arial" w:cs="Arial"/>
          <w:u w:val="single"/>
        </w:rPr>
        <w:t>C</w:t>
      </w:r>
      <w:r w:rsidR="00771051" w:rsidRPr="00D0780E">
        <w:rPr>
          <w:rFonts w:ascii="Arial" w:eastAsia="Times New Roman" w:hAnsi="Arial" w:cs="Arial"/>
          <w:u w:val="single"/>
        </w:rPr>
        <w:t>onclusion</w:t>
      </w:r>
    </w:p>
    <w:p w14:paraId="36948224" w14:textId="77777777" w:rsidR="00771051" w:rsidRPr="00D0780E" w:rsidRDefault="00771051" w:rsidP="00771051">
      <w:pPr>
        <w:spacing w:before="120" w:after="240"/>
        <w:jc w:val="both"/>
        <w:rPr>
          <w:rFonts w:ascii="Arial" w:eastAsia="Times New Roman" w:hAnsi="Arial" w:cs="Arial"/>
        </w:rPr>
      </w:pPr>
      <w:proofErr w:type="gramStart"/>
      <w:r w:rsidRPr="00D0780E">
        <w:rPr>
          <w:rFonts w:ascii="Arial" w:eastAsia="Times New Roman" w:hAnsi="Arial" w:cs="Arial"/>
        </w:rPr>
        <w:t>Therefore</w:t>
      </w:r>
      <w:proofErr w:type="gramEnd"/>
      <w:r w:rsidRPr="00D0780E">
        <w:rPr>
          <w:rFonts w:ascii="Arial" w:eastAsia="Times New Roman" w:hAnsi="Arial" w:cs="Arial"/>
        </w:rPr>
        <w:t xml:space="preserve"> the valid appeal points are:</w:t>
      </w:r>
    </w:p>
    <w:p w14:paraId="4428ED13" w14:textId="2205173A" w:rsidR="00771051" w:rsidRPr="00D0780E" w:rsidRDefault="00771051" w:rsidP="00F72BA0">
      <w:pPr>
        <w:pStyle w:val="ListParagraph"/>
        <w:numPr>
          <w:ilvl w:val="0"/>
          <w:numId w:val="12"/>
        </w:numPr>
        <w:spacing w:before="120" w:after="240"/>
        <w:jc w:val="both"/>
        <w:rPr>
          <w:rFonts w:cs="Arial"/>
          <w:sz w:val="22"/>
          <w:szCs w:val="22"/>
        </w:rPr>
      </w:pPr>
      <w:r w:rsidRPr="00D0780E">
        <w:rPr>
          <w:rFonts w:cs="Arial"/>
          <w:sz w:val="22"/>
          <w:szCs w:val="22"/>
        </w:rPr>
        <w:t>1(a).1 (</w:t>
      </w:r>
      <w:r w:rsidR="00F72BA0" w:rsidRPr="00D0780E">
        <w:rPr>
          <w:rFonts w:cs="Arial"/>
          <w:sz w:val="22"/>
          <w:szCs w:val="22"/>
        </w:rPr>
        <w:t>The Appraisal Committee has failed to take into account factors other than uncertainty when defining the ICER threshold for this appraisal</w:t>
      </w:r>
      <w:r w:rsidRPr="00D0780E">
        <w:rPr>
          <w:rFonts w:cs="Arial"/>
          <w:sz w:val="22"/>
          <w:szCs w:val="22"/>
        </w:rPr>
        <w:t>);</w:t>
      </w:r>
    </w:p>
    <w:p w14:paraId="72901A01" w14:textId="2F75036C" w:rsidR="00F72BA0" w:rsidRPr="00D0780E" w:rsidRDefault="00F72BA0" w:rsidP="00F72BA0">
      <w:pPr>
        <w:pStyle w:val="ListParagraph"/>
        <w:numPr>
          <w:ilvl w:val="0"/>
          <w:numId w:val="12"/>
        </w:numPr>
        <w:spacing w:before="120" w:after="240"/>
        <w:jc w:val="both"/>
        <w:rPr>
          <w:rFonts w:cs="Arial"/>
          <w:sz w:val="22"/>
          <w:szCs w:val="22"/>
        </w:rPr>
      </w:pPr>
      <w:r w:rsidRPr="00D0780E">
        <w:rPr>
          <w:rFonts w:cs="Arial"/>
          <w:sz w:val="22"/>
          <w:szCs w:val="22"/>
        </w:rPr>
        <w:t>1(a).2 (The Appraisal Committee’s conclusion that “it had not been shown if daratumumab in combination improves overall survival” disregards substantial evidence submitted by Janssen in support of complete haematological response as a surrogate endpoint for overall survival)</w:t>
      </w:r>
      <w:r w:rsidR="005027CD" w:rsidRPr="00D0780E">
        <w:rPr>
          <w:rFonts w:cs="Arial"/>
          <w:sz w:val="22"/>
          <w:szCs w:val="22"/>
        </w:rPr>
        <w:t xml:space="preserve"> </w:t>
      </w:r>
      <w:r w:rsidR="00390E57" w:rsidRPr="00D0780E">
        <w:rPr>
          <w:rFonts w:cs="Arial"/>
          <w:sz w:val="22"/>
          <w:szCs w:val="22"/>
        </w:rPr>
        <w:t xml:space="preserve">only </w:t>
      </w:r>
      <w:r w:rsidR="005027CD" w:rsidRPr="00D0780E">
        <w:rPr>
          <w:rFonts w:cs="Arial"/>
          <w:sz w:val="22"/>
          <w:szCs w:val="22"/>
        </w:rPr>
        <w:t xml:space="preserve">so far as this relates to whether the </w:t>
      </w:r>
      <w:r w:rsidR="00390E57" w:rsidRPr="00D0780E">
        <w:rPr>
          <w:rFonts w:cs="Arial"/>
          <w:sz w:val="22"/>
          <w:szCs w:val="22"/>
        </w:rPr>
        <w:t>FAD provides</w:t>
      </w:r>
      <w:r w:rsidR="005027CD" w:rsidRPr="00D0780E">
        <w:rPr>
          <w:rFonts w:cs="Arial"/>
          <w:sz w:val="22"/>
          <w:szCs w:val="22"/>
        </w:rPr>
        <w:t xml:space="preserve"> adequate reasons</w:t>
      </w:r>
      <w:r w:rsidRPr="00D0780E">
        <w:rPr>
          <w:rFonts w:cs="Arial"/>
          <w:sz w:val="22"/>
          <w:szCs w:val="22"/>
        </w:rPr>
        <w:t>;</w:t>
      </w:r>
    </w:p>
    <w:p w14:paraId="711BD0C2" w14:textId="1B0A7703" w:rsidR="00771051" w:rsidRPr="00D0780E" w:rsidRDefault="00771051" w:rsidP="00F72BA0">
      <w:pPr>
        <w:pStyle w:val="ListParagraph"/>
        <w:numPr>
          <w:ilvl w:val="0"/>
          <w:numId w:val="12"/>
        </w:numPr>
        <w:spacing w:before="120" w:after="240"/>
        <w:jc w:val="both"/>
        <w:rPr>
          <w:rFonts w:cs="Arial"/>
          <w:sz w:val="22"/>
          <w:szCs w:val="22"/>
        </w:rPr>
      </w:pPr>
      <w:r w:rsidRPr="00D0780E">
        <w:rPr>
          <w:rFonts w:cs="Arial"/>
          <w:sz w:val="22"/>
          <w:szCs w:val="22"/>
        </w:rPr>
        <w:t>1(</w:t>
      </w:r>
      <w:r w:rsidR="00F72BA0" w:rsidRPr="00D0780E">
        <w:rPr>
          <w:rFonts w:cs="Arial"/>
          <w:sz w:val="22"/>
          <w:szCs w:val="22"/>
        </w:rPr>
        <w:t>a</w:t>
      </w:r>
      <w:r w:rsidRPr="00D0780E">
        <w:rPr>
          <w:rFonts w:cs="Arial"/>
          <w:sz w:val="22"/>
          <w:szCs w:val="22"/>
        </w:rPr>
        <w:t>).</w:t>
      </w:r>
      <w:r w:rsidR="00F72BA0" w:rsidRPr="00D0780E">
        <w:rPr>
          <w:rFonts w:cs="Arial"/>
          <w:sz w:val="22"/>
          <w:szCs w:val="22"/>
        </w:rPr>
        <w:t>3</w:t>
      </w:r>
      <w:r w:rsidRPr="00D0780E">
        <w:rPr>
          <w:rFonts w:cs="Arial"/>
          <w:sz w:val="22"/>
          <w:szCs w:val="22"/>
        </w:rPr>
        <w:t xml:space="preserve"> (</w:t>
      </w:r>
      <w:r w:rsidR="00F72BA0" w:rsidRPr="00D0780E">
        <w:rPr>
          <w:rFonts w:cs="Arial"/>
          <w:sz w:val="22"/>
          <w:szCs w:val="22"/>
        </w:rPr>
        <w:t>The fact that an expert haematologist was not invited to the first meeting of the Committee was not adequately corrected by inviting such an expert to the second meeting because issues such as the significance of complete haematologic response were not discussed</w:t>
      </w:r>
      <w:r w:rsidRPr="00D0780E">
        <w:rPr>
          <w:rFonts w:cs="Arial"/>
          <w:sz w:val="22"/>
          <w:szCs w:val="22"/>
        </w:rPr>
        <w:t>);</w:t>
      </w:r>
    </w:p>
    <w:p w14:paraId="57190A58" w14:textId="22395CD9" w:rsidR="00BF4794" w:rsidRPr="00D0780E" w:rsidRDefault="00F72BA0" w:rsidP="00BF4794">
      <w:pPr>
        <w:pStyle w:val="ListParagraph"/>
        <w:numPr>
          <w:ilvl w:val="0"/>
          <w:numId w:val="28"/>
        </w:numPr>
        <w:spacing w:before="120" w:after="240"/>
        <w:jc w:val="both"/>
        <w:rPr>
          <w:rFonts w:cs="Arial"/>
          <w:sz w:val="22"/>
          <w:szCs w:val="22"/>
        </w:rPr>
      </w:pPr>
      <w:r w:rsidRPr="00D0780E">
        <w:rPr>
          <w:rFonts w:cs="Arial"/>
          <w:sz w:val="22"/>
          <w:szCs w:val="22"/>
        </w:rPr>
        <w:t xml:space="preserve">2.1 </w:t>
      </w:r>
      <w:r w:rsidR="00BF4794" w:rsidRPr="00D0780E">
        <w:rPr>
          <w:rFonts w:cs="Arial"/>
          <w:sz w:val="22"/>
          <w:szCs w:val="22"/>
        </w:rPr>
        <w:t>(</w:t>
      </w:r>
      <w:bookmarkStart w:id="2" w:name="_Hlk125125995"/>
      <w:r w:rsidR="00BF4794" w:rsidRPr="00D0780E">
        <w:rPr>
          <w:rFonts w:cs="Arial"/>
          <w:sz w:val="22"/>
          <w:szCs w:val="22"/>
        </w:rPr>
        <w:t>The Appraisal Committee’s conclusion that “both ALchemy and EMN23-UK may be representative of UK clinical practice” is unreasonable in light of the evidence submitted)</w:t>
      </w:r>
      <w:bookmarkEnd w:id="2"/>
      <w:r w:rsidR="00BF4794" w:rsidRPr="00D0780E">
        <w:rPr>
          <w:rFonts w:cs="Arial"/>
          <w:sz w:val="22"/>
          <w:szCs w:val="22"/>
        </w:rPr>
        <w:t xml:space="preserve"> as far as this relates to ALchemy only</w:t>
      </w:r>
      <w:r w:rsidR="007F7344" w:rsidRPr="00D0780E">
        <w:rPr>
          <w:rFonts w:cs="Arial"/>
          <w:sz w:val="22"/>
          <w:szCs w:val="22"/>
        </w:rPr>
        <w:t>; and</w:t>
      </w:r>
    </w:p>
    <w:p w14:paraId="3F4281CE" w14:textId="6A6E5666" w:rsidR="00771051" w:rsidRPr="00D0780E" w:rsidRDefault="00F72BA0" w:rsidP="00034FC9">
      <w:pPr>
        <w:pStyle w:val="ListParagraph"/>
        <w:numPr>
          <w:ilvl w:val="0"/>
          <w:numId w:val="12"/>
        </w:numPr>
        <w:spacing w:before="120" w:after="240"/>
        <w:jc w:val="both"/>
        <w:rPr>
          <w:rFonts w:cs="Arial"/>
          <w:b/>
          <w:bCs/>
          <w:i/>
          <w:iCs/>
          <w:sz w:val="22"/>
          <w:szCs w:val="22"/>
        </w:rPr>
      </w:pPr>
      <w:r w:rsidRPr="00D0780E">
        <w:rPr>
          <w:rFonts w:cs="Arial"/>
          <w:sz w:val="22"/>
          <w:szCs w:val="22"/>
        </w:rPr>
        <w:t xml:space="preserve">2.2 </w:t>
      </w:r>
      <w:r w:rsidR="00771051" w:rsidRPr="00D0780E">
        <w:rPr>
          <w:rFonts w:cs="Arial"/>
          <w:sz w:val="22"/>
          <w:szCs w:val="22"/>
        </w:rPr>
        <w:t>(</w:t>
      </w:r>
      <w:r w:rsidR="002A77B9" w:rsidRPr="00D0780E">
        <w:rPr>
          <w:rFonts w:cs="Arial"/>
          <w:sz w:val="22"/>
          <w:szCs w:val="22"/>
        </w:rPr>
        <w:t xml:space="preserve">The Appraisal </w:t>
      </w:r>
      <w:r w:rsidRPr="00D0780E">
        <w:rPr>
          <w:rFonts w:cs="Arial"/>
          <w:sz w:val="22"/>
          <w:szCs w:val="22"/>
        </w:rPr>
        <w:t>Committee’s conclusion that “it had not been shown if daratumumab in combination improves overall survival” conflicts with the balance of the available evidence</w:t>
      </w:r>
      <w:r w:rsidR="00771051" w:rsidRPr="00D0780E">
        <w:rPr>
          <w:rFonts w:cs="Arial"/>
          <w:sz w:val="22"/>
          <w:szCs w:val="22"/>
        </w:rPr>
        <w:t>)</w:t>
      </w:r>
      <w:r w:rsidR="002A77B9" w:rsidRPr="00D0780E">
        <w:rPr>
          <w:rFonts w:cs="Arial"/>
          <w:sz w:val="22"/>
          <w:szCs w:val="22"/>
        </w:rPr>
        <w:t>.</w:t>
      </w:r>
    </w:p>
    <w:p w14:paraId="4BDC4F77" w14:textId="052F48AB" w:rsidR="00771051" w:rsidRPr="00D0780E" w:rsidRDefault="00771051" w:rsidP="00771051">
      <w:pPr>
        <w:spacing w:before="120" w:after="240"/>
        <w:jc w:val="both"/>
        <w:rPr>
          <w:rFonts w:ascii="Arial" w:eastAsia="Times New Roman" w:hAnsi="Arial" w:cs="Arial"/>
        </w:rPr>
      </w:pPr>
      <w:r w:rsidRPr="00D0780E">
        <w:rPr>
          <w:rFonts w:ascii="Arial" w:eastAsia="Times New Roman" w:hAnsi="Arial" w:cs="Arial"/>
        </w:rPr>
        <w:t xml:space="preserve">NICE shares the valid appeal grounds of each appellant with the other appellants to assist with preparation for the hearing.  </w:t>
      </w:r>
      <w:r w:rsidR="00607BFF">
        <w:rPr>
          <w:rFonts w:ascii="Arial" w:eastAsia="Times New Roman" w:hAnsi="Arial" w:cs="Arial"/>
        </w:rPr>
        <w:t xml:space="preserve">These will be included in the appeal papers when they are circulated. </w:t>
      </w:r>
    </w:p>
    <w:p w14:paraId="5DE15482" w14:textId="77777777" w:rsidR="00771051" w:rsidRPr="00D0780E" w:rsidRDefault="00771051" w:rsidP="00771051">
      <w:pPr>
        <w:spacing w:before="120" w:after="240"/>
        <w:jc w:val="both"/>
        <w:rPr>
          <w:rFonts w:ascii="Arial" w:eastAsia="Times New Roman" w:hAnsi="Arial" w:cs="Arial"/>
        </w:rPr>
      </w:pPr>
      <w:r w:rsidRPr="00D0780E">
        <w:rPr>
          <w:rFonts w:ascii="Arial" w:eastAsia="Times New Roman" w:hAnsi="Arial" w:cs="Arial"/>
        </w:rPr>
        <w:t xml:space="preserve">NICE will be in contact with you regarding the administration of the appeal, which will be held orally. </w:t>
      </w:r>
    </w:p>
    <w:p w14:paraId="2873D59F" w14:textId="298DA8F8" w:rsidR="00771051" w:rsidRDefault="00771051" w:rsidP="00771051">
      <w:pPr>
        <w:spacing w:before="120" w:after="240"/>
        <w:jc w:val="both"/>
        <w:rPr>
          <w:rFonts w:ascii="Arial" w:eastAsia="Times New Roman" w:hAnsi="Arial" w:cs="Arial"/>
          <w:noProof/>
          <w:color w:val="333333"/>
          <w:sz w:val="20"/>
          <w:szCs w:val="20"/>
        </w:rPr>
      </w:pPr>
    </w:p>
    <w:p w14:paraId="3A97FB86" w14:textId="7C2C9302" w:rsidR="00DC4499" w:rsidRDefault="00DC4499" w:rsidP="00771051">
      <w:pPr>
        <w:spacing w:before="120" w:after="240"/>
        <w:jc w:val="both"/>
        <w:rPr>
          <w:rFonts w:ascii="Arial" w:eastAsia="Times New Roman" w:hAnsi="Arial" w:cs="Arial"/>
          <w:noProof/>
          <w:color w:val="333333"/>
          <w:sz w:val="20"/>
          <w:szCs w:val="20"/>
        </w:rPr>
      </w:pPr>
    </w:p>
    <w:p w14:paraId="5510B7C0" w14:textId="77777777" w:rsidR="00DC4499" w:rsidRPr="00D0780E" w:rsidRDefault="00DC4499" w:rsidP="00771051">
      <w:pPr>
        <w:spacing w:before="120" w:after="240"/>
        <w:jc w:val="both"/>
        <w:rPr>
          <w:rFonts w:ascii="Arial" w:eastAsia="Times New Roman" w:hAnsi="Arial" w:cs="Arial"/>
          <w:u w:val="single"/>
        </w:rPr>
      </w:pPr>
    </w:p>
    <w:p w14:paraId="7ED6F8CB" w14:textId="77777777" w:rsidR="00771051" w:rsidRPr="00D0780E" w:rsidRDefault="00771051" w:rsidP="00771051">
      <w:pPr>
        <w:spacing w:before="120" w:after="240"/>
        <w:jc w:val="both"/>
        <w:rPr>
          <w:rFonts w:ascii="Arial" w:eastAsia="Times New Roman" w:hAnsi="Arial" w:cs="Arial"/>
        </w:rPr>
      </w:pPr>
      <w:r w:rsidRPr="00D0780E">
        <w:rPr>
          <w:rFonts w:ascii="Arial" w:eastAsia="Times New Roman" w:hAnsi="Arial" w:cs="Arial"/>
        </w:rPr>
        <w:lastRenderedPageBreak/>
        <w:t>Yours sincerely</w:t>
      </w:r>
    </w:p>
    <w:p w14:paraId="18138141" w14:textId="77777777" w:rsidR="00771051" w:rsidRPr="00D0780E" w:rsidRDefault="00771051" w:rsidP="00771051">
      <w:pPr>
        <w:spacing w:before="120" w:after="240"/>
        <w:jc w:val="both"/>
        <w:rPr>
          <w:rFonts w:ascii="Arial" w:eastAsia="Times New Roman" w:hAnsi="Arial" w:cs="Arial"/>
        </w:rPr>
      </w:pPr>
      <w:r w:rsidRPr="00D0780E">
        <w:rPr>
          <w:rFonts w:ascii="Arial" w:eastAsia="Times New Roman" w:hAnsi="Arial" w:cs="Arial"/>
        </w:rPr>
        <w:t>Dr Mark Chakravarty</w:t>
      </w:r>
    </w:p>
    <w:p w14:paraId="3F5257AE" w14:textId="77777777" w:rsidR="00771051" w:rsidRPr="00D0780E" w:rsidRDefault="00771051" w:rsidP="00771051">
      <w:pPr>
        <w:spacing w:before="120" w:after="240"/>
        <w:jc w:val="both"/>
        <w:rPr>
          <w:rFonts w:ascii="Arial" w:eastAsia="Times New Roman" w:hAnsi="Arial" w:cs="Arial"/>
        </w:rPr>
      </w:pPr>
      <w:r w:rsidRPr="00D0780E">
        <w:rPr>
          <w:rFonts w:ascii="Arial" w:eastAsia="Times New Roman" w:hAnsi="Arial" w:cs="Arial"/>
        </w:rPr>
        <w:t>Lead Non-Executive Director for Appeals &amp; Vice Chairman</w:t>
      </w:r>
    </w:p>
    <w:p w14:paraId="1C5EE0D2" w14:textId="54FA8979" w:rsidR="00771051" w:rsidRPr="00D0780E" w:rsidRDefault="00771051" w:rsidP="00771051">
      <w:pPr>
        <w:spacing w:before="120" w:after="240"/>
        <w:jc w:val="both"/>
        <w:rPr>
          <w:rFonts w:ascii="Arial" w:eastAsia="Times New Roman" w:hAnsi="Arial" w:cs="Arial"/>
        </w:rPr>
      </w:pPr>
      <w:r w:rsidRPr="00D0780E">
        <w:rPr>
          <w:rFonts w:ascii="Arial" w:eastAsia="Times New Roman" w:hAnsi="Arial" w:cs="Arial"/>
        </w:rPr>
        <w:t>National Institute for Health and Care Excellence</w:t>
      </w:r>
    </w:p>
    <w:p w14:paraId="1698A091" w14:textId="77777777" w:rsidR="00771051" w:rsidRPr="00D0780E" w:rsidRDefault="00771051" w:rsidP="002B6A0D">
      <w:pPr>
        <w:spacing w:line="360" w:lineRule="auto"/>
        <w:rPr>
          <w:rFonts w:ascii="Arial" w:hAnsi="Arial" w:cs="Arial"/>
        </w:rPr>
      </w:pPr>
    </w:p>
    <w:sectPr w:rsidR="00771051" w:rsidRPr="00D0780E" w:rsidSect="000B36E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54C3" w14:textId="77777777" w:rsidR="00E1443B" w:rsidRDefault="00E1443B" w:rsidP="000B352B">
      <w:pPr>
        <w:spacing w:after="0" w:line="240" w:lineRule="auto"/>
      </w:pPr>
      <w:r>
        <w:separator/>
      </w:r>
    </w:p>
  </w:endnote>
  <w:endnote w:type="continuationSeparator" w:id="0">
    <w:p w14:paraId="77253BA4" w14:textId="77777777" w:rsidR="00E1443B" w:rsidRDefault="00E1443B"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5866" w14:textId="77777777" w:rsidR="003B26F7" w:rsidRDefault="003B2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E41B" w14:textId="77777777" w:rsidR="00E1443B" w:rsidRDefault="00E1443B" w:rsidP="000B352B">
      <w:pPr>
        <w:spacing w:after="0" w:line="240" w:lineRule="auto"/>
      </w:pPr>
      <w:r>
        <w:separator/>
      </w:r>
    </w:p>
  </w:footnote>
  <w:footnote w:type="continuationSeparator" w:id="0">
    <w:p w14:paraId="53BD6149" w14:textId="77777777" w:rsidR="00E1443B" w:rsidRDefault="00E1443B" w:rsidP="000B352B">
      <w:pPr>
        <w:spacing w:after="0" w:line="240" w:lineRule="auto"/>
      </w:pPr>
      <w:r>
        <w:continuationSeparator/>
      </w:r>
    </w:p>
  </w:footnote>
  <w:footnote w:id="1">
    <w:p w14:paraId="2C22CBC7" w14:textId="5B0416DD" w:rsidR="00BE11EB" w:rsidRDefault="00BE11EB">
      <w:pPr>
        <w:pStyle w:val="FootnoteText"/>
      </w:pPr>
      <w:r>
        <w:rPr>
          <w:rStyle w:val="FootnoteReference"/>
        </w:rPr>
        <w:footnoteRef/>
      </w:r>
      <w:r>
        <w:t xml:space="preserve"> </w:t>
      </w:r>
      <w:hyperlink r:id="rId1" w:history="1">
        <w:r w:rsidRPr="00D024E5">
          <w:rPr>
            <w:rStyle w:val="Hyperlink"/>
          </w:rPr>
          <w:t>https://www.nice.org.uk/guidance/gid-ta10656/documents/1-2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28D4" w14:textId="77777777" w:rsidR="003B26F7" w:rsidRDefault="003B2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26CA2"/>
    <w:multiLevelType w:val="hybridMultilevel"/>
    <w:tmpl w:val="A5729EBA"/>
    <w:lvl w:ilvl="0" w:tplc="E83603BC">
      <w:start w:val="1"/>
      <w:numFmt w:val="bullet"/>
      <w:lvlText w:val=""/>
      <w:lvlJc w:val="left"/>
      <w:pPr>
        <w:ind w:left="720" w:hanging="360"/>
      </w:pPr>
      <w:rPr>
        <w:rFonts w:ascii="Symbol" w:hAnsi="Symbol"/>
      </w:rPr>
    </w:lvl>
    <w:lvl w:ilvl="1" w:tplc="8D58FB00">
      <w:start w:val="1"/>
      <w:numFmt w:val="bullet"/>
      <w:lvlText w:val=""/>
      <w:lvlJc w:val="left"/>
      <w:pPr>
        <w:ind w:left="720" w:hanging="360"/>
      </w:pPr>
      <w:rPr>
        <w:rFonts w:ascii="Symbol" w:hAnsi="Symbol"/>
      </w:rPr>
    </w:lvl>
    <w:lvl w:ilvl="2" w:tplc="B7DADD1E">
      <w:start w:val="1"/>
      <w:numFmt w:val="bullet"/>
      <w:lvlText w:val=""/>
      <w:lvlJc w:val="left"/>
      <w:pPr>
        <w:ind w:left="720" w:hanging="360"/>
      </w:pPr>
      <w:rPr>
        <w:rFonts w:ascii="Symbol" w:hAnsi="Symbol"/>
      </w:rPr>
    </w:lvl>
    <w:lvl w:ilvl="3" w:tplc="65608B3A">
      <w:start w:val="1"/>
      <w:numFmt w:val="bullet"/>
      <w:lvlText w:val=""/>
      <w:lvlJc w:val="left"/>
      <w:pPr>
        <w:ind w:left="720" w:hanging="360"/>
      </w:pPr>
      <w:rPr>
        <w:rFonts w:ascii="Symbol" w:hAnsi="Symbol"/>
      </w:rPr>
    </w:lvl>
    <w:lvl w:ilvl="4" w:tplc="AB4062F2">
      <w:start w:val="1"/>
      <w:numFmt w:val="bullet"/>
      <w:lvlText w:val=""/>
      <w:lvlJc w:val="left"/>
      <w:pPr>
        <w:ind w:left="720" w:hanging="360"/>
      </w:pPr>
      <w:rPr>
        <w:rFonts w:ascii="Symbol" w:hAnsi="Symbol"/>
      </w:rPr>
    </w:lvl>
    <w:lvl w:ilvl="5" w:tplc="793C4D7C">
      <w:start w:val="1"/>
      <w:numFmt w:val="bullet"/>
      <w:lvlText w:val=""/>
      <w:lvlJc w:val="left"/>
      <w:pPr>
        <w:ind w:left="720" w:hanging="360"/>
      </w:pPr>
      <w:rPr>
        <w:rFonts w:ascii="Symbol" w:hAnsi="Symbol"/>
      </w:rPr>
    </w:lvl>
    <w:lvl w:ilvl="6" w:tplc="1DDE1794">
      <w:start w:val="1"/>
      <w:numFmt w:val="bullet"/>
      <w:lvlText w:val=""/>
      <w:lvlJc w:val="left"/>
      <w:pPr>
        <w:ind w:left="720" w:hanging="360"/>
      </w:pPr>
      <w:rPr>
        <w:rFonts w:ascii="Symbol" w:hAnsi="Symbol"/>
      </w:rPr>
    </w:lvl>
    <w:lvl w:ilvl="7" w:tplc="08A29512">
      <w:start w:val="1"/>
      <w:numFmt w:val="bullet"/>
      <w:lvlText w:val=""/>
      <w:lvlJc w:val="left"/>
      <w:pPr>
        <w:ind w:left="720" w:hanging="360"/>
      </w:pPr>
      <w:rPr>
        <w:rFonts w:ascii="Symbol" w:hAnsi="Symbol"/>
      </w:rPr>
    </w:lvl>
    <w:lvl w:ilvl="8" w:tplc="81225350">
      <w:start w:val="1"/>
      <w:numFmt w:val="bullet"/>
      <w:lvlText w:val=""/>
      <w:lvlJc w:val="left"/>
      <w:pPr>
        <w:ind w:left="720" w:hanging="360"/>
      </w:pPr>
      <w:rPr>
        <w:rFonts w:ascii="Symbol" w:hAnsi="Symbol"/>
      </w:rPr>
    </w:lvl>
  </w:abstractNum>
  <w:abstractNum w:abstractNumId="2" w15:restartNumberingAfterBreak="0">
    <w:nsid w:val="0B573A71"/>
    <w:multiLevelType w:val="hybridMultilevel"/>
    <w:tmpl w:val="62D85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54901"/>
    <w:multiLevelType w:val="hybridMultilevel"/>
    <w:tmpl w:val="CA70AC22"/>
    <w:lvl w:ilvl="0" w:tplc="0B30AC2C">
      <w:start w:val="1"/>
      <w:numFmt w:val="decimal"/>
      <w:lvlText w:val="%1."/>
      <w:lvlJc w:val="left"/>
      <w:pPr>
        <w:ind w:left="720" w:hanging="360"/>
      </w:pPr>
    </w:lvl>
    <w:lvl w:ilvl="1" w:tplc="AFAAB858">
      <w:start w:val="1"/>
      <w:numFmt w:val="decimal"/>
      <w:lvlText w:val="%2."/>
      <w:lvlJc w:val="left"/>
      <w:pPr>
        <w:ind w:left="720" w:hanging="360"/>
      </w:pPr>
    </w:lvl>
    <w:lvl w:ilvl="2" w:tplc="9A6C923C">
      <w:start w:val="1"/>
      <w:numFmt w:val="decimal"/>
      <w:lvlText w:val="%3."/>
      <w:lvlJc w:val="left"/>
      <w:pPr>
        <w:ind w:left="720" w:hanging="360"/>
      </w:pPr>
    </w:lvl>
    <w:lvl w:ilvl="3" w:tplc="71787266">
      <w:start w:val="1"/>
      <w:numFmt w:val="decimal"/>
      <w:lvlText w:val="%4."/>
      <w:lvlJc w:val="left"/>
      <w:pPr>
        <w:ind w:left="720" w:hanging="360"/>
      </w:pPr>
    </w:lvl>
    <w:lvl w:ilvl="4" w:tplc="4B520CF4">
      <w:start w:val="1"/>
      <w:numFmt w:val="decimal"/>
      <w:lvlText w:val="%5."/>
      <w:lvlJc w:val="left"/>
      <w:pPr>
        <w:ind w:left="720" w:hanging="360"/>
      </w:pPr>
    </w:lvl>
    <w:lvl w:ilvl="5" w:tplc="50D2DF74">
      <w:start w:val="1"/>
      <w:numFmt w:val="decimal"/>
      <w:lvlText w:val="%6."/>
      <w:lvlJc w:val="left"/>
      <w:pPr>
        <w:ind w:left="720" w:hanging="360"/>
      </w:pPr>
    </w:lvl>
    <w:lvl w:ilvl="6" w:tplc="13F85936">
      <w:start w:val="1"/>
      <w:numFmt w:val="decimal"/>
      <w:lvlText w:val="%7."/>
      <w:lvlJc w:val="left"/>
      <w:pPr>
        <w:ind w:left="720" w:hanging="360"/>
      </w:pPr>
    </w:lvl>
    <w:lvl w:ilvl="7" w:tplc="DE5055FA">
      <w:start w:val="1"/>
      <w:numFmt w:val="decimal"/>
      <w:lvlText w:val="%8."/>
      <w:lvlJc w:val="left"/>
      <w:pPr>
        <w:ind w:left="720" w:hanging="360"/>
      </w:pPr>
    </w:lvl>
    <w:lvl w:ilvl="8" w:tplc="DD885908">
      <w:start w:val="1"/>
      <w:numFmt w:val="decimal"/>
      <w:lvlText w:val="%9."/>
      <w:lvlJc w:val="left"/>
      <w:pPr>
        <w:ind w:left="720" w:hanging="360"/>
      </w:pPr>
    </w:lvl>
  </w:abstractNum>
  <w:abstractNum w:abstractNumId="4" w15:restartNumberingAfterBreak="0">
    <w:nsid w:val="0F5024E7"/>
    <w:multiLevelType w:val="hybridMultilevel"/>
    <w:tmpl w:val="0142A74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9B4246"/>
    <w:multiLevelType w:val="hybridMultilevel"/>
    <w:tmpl w:val="8C506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87C79"/>
    <w:multiLevelType w:val="hybridMultilevel"/>
    <w:tmpl w:val="E042E8D0"/>
    <w:lvl w:ilvl="0" w:tplc="D2B898E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9" w15:restartNumberingAfterBreak="0">
    <w:nsid w:val="2CF15AD8"/>
    <w:multiLevelType w:val="hybridMultilevel"/>
    <w:tmpl w:val="28FE0552"/>
    <w:lvl w:ilvl="0" w:tplc="2AE289F0">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693CCE"/>
    <w:multiLevelType w:val="hybridMultilevel"/>
    <w:tmpl w:val="E4AC3AAC"/>
    <w:lvl w:ilvl="0" w:tplc="5B5AEF80">
      <w:start w:val="1"/>
      <w:numFmt w:val="decimal"/>
      <w:lvlText w:val="%1."/>
      <w:lvlJc w:val="left"/>
      <w:pPr>
        <w:ind w:left="720" w:hanging="360"/>
      </w:pPr>
    </w:lvl>
    <w:lvl w:ilvl="1" w:tplc="A732B7DC">
      <w:start w:val="1"/>
      <w:numFmt w:val="decimal"/>
      <w:lvlText w:val="%2."/>
      <w:lvlJc w:val="left"/>
      <w:pPr>
        <w:ind w:left="720" w:hanging="360"/>
      </w:pPr>
    </w:lvl>
    <w:lvl w:ilvl="2" w:tplc="E2CAF766">
      <w:start w:val="1"/>
      <w:numFmt w:val="decimal"/>
      <w:lvlText w:val="%3."/>
      <w:lvlJc w:val="left"/>
      <w:pPr>
        <w:ind w:left="720" w:hanging="360"/>
      </w:pPr>
    </w:lvl>
    <w:lvl w:ilvl="3" w:tplc="C262B7DE">
      <w:start w:val="1"/>
      <w:numFmt w:val="decimal"/>
      <w:lvlText w:val="%4."/>
      <w:lvlJc w:val="left"/>
      <w:pPr>
        <w:ind w:left="720" w:hanging="360"/>
      </w:pPr>
    </w:lvl>
    <w:lvl w:ilvl="4" w:tplc="64F207E2">
      <w:start w:val="1"/>
      <w:numFmt w:val="decimal"/>
      <w:lvlText w:val="%5."/>
      <w:lvlJc w:val="left"/>
      <w:pPr>
        <w:ind w:left="720" w:hanging="360"/>
      </w:pPr>
    </w:lvl>
    <w:lvl w:ilvl="5" w:tplc="B9A68A5C">
      <w:start w:val="1"/>
      <w:numFmt w:val="decimal"/>
      <w:lvlText w:val="%6."/>
      <w:lvlJc w:val="left"/>
      <w:pPr>
        <w:ind w:left="720" w:hanging="360"/>
      </w:pPr>
    </w:lvl>
    <w:lvl w:ilvl="6" w:tplc="4DD41E00">
      <w:start w:val="1"/>
      <w:numFmt w:val="decimal"/>
      <w:lvlText w:val="%7."/>
      <w:lvlJc w:val="left"/>
      <w:pPr>
        <w:ind w:left="720" w:hanging="360"/>
      </w:pPr>
    </w:lvl>
    <w:lvl w:ilvl="7" w:tplc="299E150E">
      <w:start w:val="1"/>
      <w:numFmt w:val="decimal"/>
      <w:lvlText w:val="%8."/>
      <w:lvlJc w:val="left"/>
      <w:pPr>
        <w:ind w:left="720" w:hanging="360"/>
      </w:pPr>
    </w:lvl>
    <w:lvl w:ilvl="8" w:tplc="06BA6FFC">
      <w:start w:val="1"/>
      <w:numFmt w:val="decimal"/>
      <w:lvlText w:val="%9."/>
      <w:lvlJc w:val="left"/>
      <w:pPr>
        <w:ind w:left="720" w:hanging="360"/>
      </w:pPr>
    </w:lvl>
  </w:abstractNum>
  <w:abstractNum w:abstractNumId="12" w15:restartNumberingAfterBreak="0">
    <w:nsid w:val="493F477F"/>
    <w:multiLevelType w:val="hybridMultilevel"/>
    <w:tmpl w:val="2206A1F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09C364F"/>
    <w:multiLevelType w:val="hybridMultilevel"/>
    <w:tmpl w:val="2AE2ADA4"/>
    <w:lvl w:ilvl="0" w:tplc="3AE6D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B46749"/>
    <w:multiLevelType w:val="hybridMultilevel"/>
    <w:tmpl w:val="265E2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B72B4E"/>
    <w:multiLevelType w:val="hybridMultilevel"/>
    <w:tmpl w:val="0FEC4C2A"/>
    <w:lvl w:ilvl="0" w:tplc="5A2CB0FA">
      <w:start w:val="1"/>
      <w:numFmt w:val="decimal"/>
      <w:lvlText w:val="%1."/>
      <w:lvlJc w:val="left"/>
      <w:pPr>
        <w:ind w:left="720" w:hanging="360"/>
      </w:pPr>
    </w:lvl>
    <w:lvl w:ilvl="1" w:tplc="05ACFBD2">
      <w:start w:val="1"/>
      <w:numFmt w:val="decimal"/>
      <w:lvlText w:val="%2."/>
      <w:lvlJc w:val="left"/>
      <w:pPr>
        <w:ind w:left="720" w:hanging="360"/>
      </w:pPr>
    </w:lvl>
    <w:lvl w:ilvl="2" w:tplc="37BA3836">
      <w:start w:val="1"/>
      <w:numFmt w:val="decimal"/>
      <w:lvlText w:val="%3."/>
      <w:lvlJc w:val="left"/>
      <w:pPr>
        <w:ind w:left="720" w:hanging="360"/>
      </w:pPr>
    </w:lvl>
    <w:lvl w:ilvl="3" w:tplc="D60041EC">
      <w:start w:val="1"/>
      <w:numFmt w:val="decimal"/>
      <w:lvlText w:val="%4."/>
      <w:lvlJc w:val="left"/>
      <w:pPr>
        <w:ind w:left="720" w:hanging="360"/>
      </w:pPr>
    </w:lvl>
    <w:lvl w:ilvl="4" w:tplc="5DCE0164">
      <w:start w:val="1"/>
      <w:numFmt w:val="decimal"/>
      <w:lvlText w:val="%5."/>
      <w:lvlJc w:val="left"/>
      <w:pPr>
        <w:ind w:left="720" w:hanging="360"/>
      </w:pPr>
    </w:lvl>
    <w:lvl w:ilvl="5" w:tplc="DB165B70">
      <w:start w:val="1"/>
      <w:numFmt w:val="decimal"/>
      <w:lvlText w:val="%6."/>
      <w:lvlJc w:val="left"/>
      <w:pPr>
        <w:ind w:left="720" w:hanging="360"/>
      </w:pPr>
    </w:lvl>
    <w:lvl w:ilvl="6" w:tplc="66261A40">
      <w:start w:val="1"/>
      <w:numFmt w:val="decimal"/>
      <w:lvlText w:val="%7."/>
      <w:lvlJc w:val="left"/>
      <w:pPr>
        <w:ind w:left="720" w:hanging="360"/>
      </w:pPr>
    </w:lvl>
    <w:lvl w:ilvl="7" w:tplc="8EFE452C">
      <w:start w:val="1"/>
      <w:numFmt w:val="decimal"/>
      <w:lvlText w:val="%8."/>
      <w:lvlJc w:val="left"/>
      <w:pPr>
        <w:ind w:left="720" w:hanging="360"/>
      </w:pPr>
    </w:lvl>
    <w:lvl w:ilvl="8" w:tplc="024EE8E2">
      <w:start w:val="1"/>
      <w:numFmt w:val="decimal"/>
      <w:lvlText w:val="%9."/>
      <w:lvlJc w:val="left"/>
      <w:pPr>
        <w:ind w:left="720" w:hanging="360"/>
      </w:pPr>
    </w:lvl>
  </w:abstractNum>
  <w:abstractNum w:abstractNumId="17"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B8E218A"/>
    <w:multiLevelType w:val="hybridMultilevel"/>
    <w:tmpl w:val="CE70478C"/>
    <w:lvl w:ilvl="0" w:tplc="5540D190">
      <w:start w:val="1"/>
      <w:numFmt w:val="decimal"/>
      <w:lvlText w:val="%1."/>
      <w:lvlJc w:val="left"/>
      <w:pPr>
        <w:ind w:left="720" w:hanging="360"/>
      </w:pPr>
    </w:lvl>
    <w:lvl w:ilvl="1" w:tplc="079AFB40">
      <w:start w:val="1"/>
      <w:numFmt w:val="decimal"/>
      <w:lvlText w:val="%2."/>
      <w:lvlJc w:val="left"/>
      <w:pPr>
        <w:ind w:left="720" w:hanging="360"/>
      </w:pPr>
    </w:lvl>
    <w:lvl w:ilvl="2" w:tplc="7060B346">
      <w:start w:val="1"/>
      <w:numFmt w:val="decimal"/>
      <w:lvlText w:val="%3."/>
      <w:lvlJc w:val="left"/>
      <w:pPr>
        <w:ind w:left="720" w:hanging="360"/>
      </w:pPr>
    </w:lvl>
    <w:lvl w:ilvl="3" w:tplc="3490F93C">
      <w:start w:val="1"/>
      <w:numFmt w:val="decimal"/>
      <w:lvlText w:val="%4."/>
      <w:lvlJc w:val="left"/>
      <w:pPr>
        <w:ind w:left="720" w:hanging="360"/>
      </w:pPr>
    </w:lvl>
    <w:lvl w:ilvl="4" w:tplc="1C928874">
      <w:start w:val="1"/>
      <w:numFmt w:val="decimal"/>
      <w:lvlText w:val="%5."/>
      <w:lvlJc w:val="left"/>
      <w:pPr>
        <w:ind w:left="720" w:hanging="360"/>
      </w:pPr>
    </w:lvl>
    <w:lvl w:ilvl="5" w:tplc="67300D58">
      <w:start w:val="1"/>
      <w:numFmt w:val="decimal"/>
      <w:lvlText w:val="%6."/>
      <w:lvlJc w:val="left"/>
      <w:pPr>
        <w:ind w:left="720" w:hanging="360"/>
      </w:pPr>
    </w:lvl>
    <w:lvl w:ilvl="6" w:tplc="69D8E8AC">
      <w:start w:val="1"/>
      <w:numFmt w:val="decimal"/>
      <w:lvlText w:val="%7."/>
      <w:lvlJc w:val="left"/>
      <w:pPr>
        <w:ind w:left="720" w:hanging="360"/>
      </w:pPr>
    </w:lvl>
    <w:lvl w:ilvl="7" w:tplc="8BB4FA38">
      <w:start w:val="1"/>
      <w:numFmt w:val="decimal"/>
      <w:lvlText w:val="%8."/>
      <w:lvlJc w:val="left"/>
      <w:pPr>
        <w:ind w:left="720" w:hanging="360"/>
      </w:pPr>
    </w:lvl>
    <w:lvl w:ilvl="8" w:tplc="F67CBD96">
      <w:start w:val="1"/>
      <w:numFmt w:val="decimal"/>
      <w:lvlText w:val="%9."/>
      <w:lvlJc w:val="left"/>
      <w:pPr>
        <w:ind w:left="720" w:hanging="360"/>
      </w:pPr>
    </w:lvl>
  </w:abstractNum>
  <w:abstractNum w:abstractNumId="19"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20" w15:restartNumberingAfterBreak="0">
    <w:nsid w:val="66C739F0"/>
    <w:multiLevelType w:val="hybridMultilevel"/>
    <w:tmpl w:val="B6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34C65"/>
    <w:multiLevelType w:val="hybridMultilevel"/>
    <w:tmpl w:val="167E2E5C"/>
    <w:lvl w:ilvl="0" w:tplc="DDAC9750">
      <w:start w:val="1"/>
      <w:numFmt w:val="decimal"/>
      <w:lvlText w:val="%1."/>
      <w:lvlJc w:val="left"/>
      <w:pPr>
        <w:ind w:left="720" w:hanging="360"/>
      </w:pPr>
    </w:lvl>
    <w:lvl w:ilvl="1" w:tplc="3ED6E178">
      <w:start w:val="1"/>
      <w:numFmt w:val="decimal"/>
      <w:lvlText w:val="%2."/>
      <w:lvlJc w:val="left"/>
      <w:pPr>
        <w:ind w:left="720" w:hanging="360"/>
      </w:pPr>
    </w:lvl>
    <w:lvl w:ilvl="2" w:tplc="72AE054A">
      <w:start w:val="1"/>
      <w:numFmt w:val="decimal"/>
      <w:lvlText w:val="%3."/>
      <w:lvlJc w:val="left"/>
      <w:pPr>
        <w:ind w:left="720" w:hanging="360"/>
      </w:pPr>
    </w:lvl>
    <w:lvl w:ilvl="3" w:tplc="222413E6">
      <w:start w:val="1"/>
      <w:numFmt w:val="decimal"/>
      <w:lvlText w:val="%4."/>
      <w:lvlJc w:val="left"/>
      <w:pPr>
        <w:ind w:left="720" w:hanging="360"/>
      </w:pPr>
    </w:lvl>
    <w:lvl w:ilvl="4" w:tplc="E6865ED6">
      <w:start w:val="1"/>
      <w:numFmt w:val="decimal"/>
      <w:lvlText w:val="%5."/>
      <w:lvlJc w:val="left"/>
      <w:pPr>
        <w:ind w:left="720" w:hanging="360"/>
      </w:pPr>
    </w:lvl>
    <w:lvl w:ilvl="5" w:tplc="9F1CA054">
      <w:start w:val="1"/>
      <w:numFmt w:val="decimal"/>
      <w:lvlText w:val="%6."/>
      <w:lvlJc w:val="left"/>
      <w:pPr>
        <w:ind w:left="720" w:hanging="360"/>
      </w:pPr>
    </w:lvl>
    <w:lvl w:ilvl="6" w:tplc="546C27DA">
      <w:start w:val="1"/>
      <w:numFmt w:val="decimal"/>
      <w:lvlText w:val="%7."/>
      <w:lvlJc w:val="left"/>
      <w:pPr>
        <w:ind w:left="720" w:hanging="360"/>
      </w:pPr>
    </w:lvl>
    <w:lvl w:ilvl="7" w:tplc="1852757A">
      <w:start w:val="1"/>
      <w:numFmt w:val="decimal"/>
      <w:lvlText w:val="%8."/>
      <w:lvlJc w:val="left"/>
      <w:pPr>
        <w:ind w:left="720" w:hanging="360"/>
      </w:pPr>
    </w:lvl>
    <w:lvl w:ilvl="8" w:tplc="460CA0A2">
      <w:start w:val="1"/>
      <w:numFmt w:val="decimal"/>
      <w:lvlText w:val="%9."/>
      <w:lvlJc w:val="left"/>
      <w:pPr>
        <w:ind w:left="720" w:hanging="360"/>
      </w:pPr>
    </w:lvl>
  </w:abstractNum>
  <w:abstractNum w:abstractNumId="22" w15:restartNumberingAfterBreak="0">
    <w:nsid w:val="6F834A93"/>
    <w:multiLevelType w:val="hybridMultilevel"/>
    <w:tmpl w:val="0FB4EBC4"/>
    <w:lvl w:ilvl="0" w:tplc="08090001">
      <w:start w:val="1"/>
      <w:numFmt w:val="bullet"/>
      <w:lvlText w:val=""/>
      <w:lvlJc w:val="left"/>
      <w:pPr>
        <w:ind w:left="720" w:hanging="360"/>
      </w:pPr>
      <w:rPr>
        <w:rFonts w:ascii="Symbol" w:hAnsi="Symbol" w:hint="default"/>
      </w:rPr>
    </w:lvl>
    <w:lvl w:ilvl="1" w:tplc="3AE6D378">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201FF2"/>
    <w:multiLevelType w:val="hybridMultilevel"/>
    <w:tmpl w:val="8A509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8273E5E"/>
    <w:multiLevelType w:val="hybridMultilevel"/>
    <w:tmpl w:val="35A68396"/>
    <w:lvl w:ilvl="0" w:tplc="972E3E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245527">
    <w:abstractNumId w:val="6"/>
  </w:num>
  <w:num w:numId="2" w16cid:durableId="88234266">
    <w:abstractNumId w:val="17"/>
  </w:num>
  <w:num w:numId="3" w16cid:durableId="1283730794">
    <w:abstractNumId w:val="8"/>
  </w:num>
  <w:num w:numId="4" w16cid:durableId="1646200750">
    <w:abstractNumId w:val="19"/>
  </w:num>
  <w:num w:numId="5" w16cid:durableId="1585070291">
    <w:abstractNumId w:val="0"/>
  </w:num>
  <w:num w:numId="6" w16cid:durableId="384566811">
    <w:abstractNumId w:val="10"/>
  </w:num>
  <w:num w:numId="7" w16cid:durableId="414010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090698">
    <w:abstractNumId w:val="14"/>
  </w:num>
  <w:num w:numId="9" w16cid:durableId="909344728">
    <w:abstractNumId w:val="23"/>
  </w:num>
  <w:num w:numId="10" w16cid:durableId="1727988558">
    <w:abstractNumId w:val="15"/>
  </w:num>
  <w:num w:numId="11" w16cid:durableId="271521666">
    <w:abstractNumId w:val="15"/>
  </w:num>
  <w:num w:numId="12" w16cid:durableId="1090929376">
    <w:abstractNumId w:val="7"/>
  </w:num>
  <w:num w:numId="13" w16cid:durableId="1539198674">
    <w:abstractNumId w:val="5"/>
  </w:num>
  <w:num w:numId="14" w16cid:durableId="14771533">
    <w:abstractNumId w:val="25"/>
  </w:num>
  <w:num w:numId="15" w16cid:durableId="1999190704">
    <w:abstractNumId w:val="13"/>
  </w:num>
  <w:num w:numId="16" w16cid:durableId="1199396962">
    <w:abstractNumId w:val="22"/>
  </w:num>
  <w:num w:numId="17" w16cid:durableId="1322123817">
    <w:abstractNumId w:val="24"/>
  </w:num>
  <w:num w:numId="18" w16cid:durableId="1870022569">
    <w:abstractNumId w:val="12"/>
  </w:num>
  <w:num w:numId="19" w16cid:durableId="1489639244">
    <w:abstractNumId w:val="2"/>
  </w:num>
  <w:num w:numId="20" w16cid:durableId="1984649853">
    <w:abstractNumId w:val="21"/>
  </w:num>
  <w:num w:numId="21" w16cid:durableId="1859729291">
    <w:abstractNumId w:val="18"/>
  </w:num>
  <w:num w:numId="22" w16cid:durableId="1857187020">
    <w:abstractNumId w:val="1"/>
  </w:num>
  <w:num w:numId="23" w16cid:durableId="581380011">
    <w:abstractNumId w:val="11"/>
  </w:num>
  <w:num w:numId="24" w16cid:durableId="968705185">
    <w:abstractNumId w:val="3"/>
  </w:num>
  <w:num w:numId="25" w16cid:durableId="1917393432">
    <w:abstractNumId w:val="16"/>
  </w:num>
  <w:num w:numId="26" w16cid:durableId="1971663875">
    <w:abstractNumId w:val="4"/>
  </w:num>
  <w:num w:numId="27" w16cid:durableId="744843829">
    <w:abstractNumId w:val="20"/>
  </w:num>
  <w:num w:numId="28" w16cid:durableId="165341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30FF"/>
    <w:rsid w:val="0003729F"/>
    <w:rsid w:val="000468DC"/>
    <w:rsid w:val="00056745"/>
    <w:rsid w:val="000641E7"/>
    <w:rsid w:val="00085181"/>
    <w:rsid w:val="000A4A87"/>
    <w:rsid w:val="000B104A"/>
    <w:rsid w:val="000B352B"/>
    <w:rsid w:val="000B36E1"/>
    <w:rsid w:val="00144F73"/>
    <w:rsid w:val="0014732A"/>
    <w:rsid w:val="001700B2"/>
    <w:rsid w:val="00170320"/>
    <w:rsid w:val="001756BF"/>
    <w:rsid w:val="00176AA4"/>
    <w:rsid w:val="001B76A7"/>
    <w:rsid w:val="001D5BD2"/>
    <w:rsid w:val="001E0317"/>
    <w:rsid w:val="001F3962"/>
    <w:rsid w:val="0022689E"/>
    <w:rsid w:val="002355FA"/>
    <w:rsid w:val="002A77B9"/>
    <w:rsid w:val="002B2DA1"/>
    <w:rsid w:val="002B6A0D"/>
    <w:rsid w:val="002B6C69"/>
    <w:rsid w:val="002E2B83"/>
    <w:rsid w:val="002E78E3"/>
    <w:rsid w:val="00320722"/>
    <w:rsid w:val="00321B75"/>
    <w:rsid w:val="0033442C"/>
    <w:rsid w:val="003575F5"/>
    <w:rsid w:val="00371B99"/>
    <w:rsid w:val="00390E57"/>
    <w:rsid w:val="003936B7"/>
    <w:rsid w:val="003A3E2E"/>
    <w:rsid w:val="003A79BD"/>
    <w:rsid w:val="003B2535"/>
    <w:rsid w:val="003B26F7"/>
    <w:rsid w:val="003D614E"/>
    <w:rsid w:val="003E371F"/>
    <w:rsid w:val="003F36B9"/>
    <w:rsid w:val="0040409D"/>
    <w:rsid w:val="004215D9"/>
    <w:rsid w:val="0043022B"/>
    <w:rsid w:val="00431662"/>
    <w:rsid w:val="00453738"/>
    <w:rsid w:val="00453774"/>
    <w:rsid w:val="00472041"/>
    <w:rsid w:val="004757B8"/>
    <w:rsid w:val="00480405"/>
    <w:rsid w:val="00493D2F"/>
    <w:rsid w:val="004C2601"/>
    <w:rsid w:val="004C2D22"/>
    <w:rsid w:val="004E098A"/>
    <w:rsid w:val="004E4493"/>
    <w:rsid w:val="004F29D7"/>
    <w:rsid w:val="004F39B0"/>
    <w:rsid w:val="00500322"/>
    <w:rsid w:val="005027CD"/>
    <w:rsid w:val="005141B0"/>
    <w:rsid w:val="00593F3D"/>
    <w:rsid w:val="005A3F95"/>
    <w:rsid w:val="005A42E5"/>
    <w:rsid w:val="005B078B"/>
    <w:rsid w:val="005C388B"/>
    <w:rsid w:val="005C7480"/>
    <w:rsid w:val="005E0434"/>
    <w:rsid w:val="005E2A58"/>
    <w:rsid w:val="00607BFF"/>
    <w:rsid w:val="00641CEB"/>
    <w:rsid w:val="00650C05"/>
    <w:rsid w:val="006628FF"/>
    <w:rsid w:val="0066480E"/>
    <w:rsid w:val="00671EF3"/>
    <w:rsid w:val="0069376C"/>
    <w:rsid w:val="006948A9"/>
    <w:rsid w:val="006A5C8A"/>
    <w:rsid w:val="006C66CE"/>
    <w:rsid w:val="006D0C62"/>
    <w:rsid w:val="006F031D"/>
    <w:rsid w:val="0072577F"/>
    <w:rsid w:val="00732227"/>
    <w:rsid w:val="00771051"/>
    <w:rsid w:val="0079326E"/>
    <w:rsid w:val="007B36FA"/>
    <w:rsid w:val="007B4CF1"/>
    <w:rsid w:val="007C64C6"/>
    <w:rsid w:val="007D4914"/>
    <w:rsid w:val="007F7344"/>
    <w:rsid w:val="00803E32"/>
    <w:rsid w:val="00866617"/>
    <w:rsid w:val="008C081A"/>
    <w:rsid w:val="008C5BFB"/>
    <w:rsid w:val="008E4AE4"/>
    <w:rsid w:val="00907FF3"/>
    <w:rsid w:val="00961369"/>
    <w:rsid w:val="0097020D"/>
    <w:rsid w:val="00992FDA"/>
    <w:rsid w:val="009A01FD"/>
    <w:rsid w:val="009A3CBF"/>
    <w:rsid w:val="009E2F15"/>
    <w:rsid w:val="009E5151"/>
    <w:rsid w:val="009F0476"/>
    <w:rsid w:val="00A00734"/>
    <w:rsid w:val="00A0226C"/>
    <w:rsid w:val="00A41BFF"/>
    <w:rsid w:val="00A745AB"/>
    <w:rsid w:val="00A82D3C"/>
    <w:rsid w:val="00A84AF4"/>
    <w:rsid w:val="00AC5B5B"/>
    <w:rsid w:val="00AD55F0"/>
    <w:rsid w:val="00AE303D"/>
    <w:rsid w:val="00B179D2"/>
    <w:rsid w:val="00B21174"/>
    <w:rsid w:val="00B24360"/>
    <w:rsid w:val="00B27D28"/>
    <w:rsid w:val="00B32B71"/>
    <w:rsid w:val="00B54956"/>
    <w:rsid w:val="00B737D4"/>
    <w:rsid w:val="00BC7409"/>
    <w:rsid w:val="00BC7BE7"/>
    <w:rsid w:val="00BD29C3"/>
    <w:rsid w:val="00BE11EB"/>
    <w:rsid w:val="00BF4794"/>
    <w:rsid w:val="00C3098F"/>
    <w:rsid w:val="00C42DCC"/>
    <w:rsid w:val="00C85906"/>
    <w:rsid w:val="00C947B5"/>
    <w:rsid w:val="00C96687"/>
    <w:rsid w:val="00CB4563"/>
    <w:rsid w:val="00CE085C"/>
    <w:rsid w:val="00CF710E"/>
    <w:rsid w:val="00D0780E"/>
    <w:rsid w:val="00D22D3F"/>
    <w:rsid w:val="00D24B0E"/>
    <w:rsid w:val="00D37DEC"/>
    <w:rsid w:val="00D43C5C"/>
    <w:rsid w:val="00D64259"/>
    <w:rsid w:val="00D740E4"/>
    <w:rsid w:val="00D755E3"/>
    <w:rsid w:val="00D842CF"/>
    <w:rsid w:val="00D97D19"/>
    <w:rsid w:val="00DC4499"/>
    <w:rsid w:val="00DD43C2"/>
    <w:rsid w:val="00E03263"/>
    <w:rsid w:val="00E1443B"/>
    <w:rsid w:val="00E36618"/>
    <w:rsid w:val="00E467E2"/>
    <w:rsid w:val="00E54D33"/>
    <w:rsid w:val="00E60FCF"/>
    <w:rsid w:val="00E60FE1"/>
    <w:rsid w:val="00E622D7"/>
    <w:rsid w:val="00E67BD1"/>
    <w:rsid w:val="00E70F23"/>
    <w:rsid w:val="00E7772A"/>
    <w:rsid w:val="00E90275"/>
    <w:rsid w:val="00EA3919"/>
    <w:rsid w:val="00ED1ABD"/>
    <w:rsid w:val="00ED5420"/>
    <w:rsid w:val="00EE5D09"/>
    <w:rsid w:val="00EE6553"/>
    <w:rsid w:val="00EF0C3B"/>
    <w:rsid w:val="00F04994"/>
    <w:rsid w:val="00F1265E"/>
    <w:rsid w:val="00F233EA"/>
    <w:rsid w:val="00F24B1D"/>
    <w:rsid w:val="00F43419"/>
    <w:rsid w:val="00F4666B"/>
    <w:rsid w:val="00F47A04"/>
    <w:rsid w:val="00F70A40"/>
    <w:rsid w:val="00F72BA0"/>
    <w:rsid w:val="00F77C37"/>
    <w:rsid w:val="00F84707"/>
    <w:rsid w:val="00FA3BA5"/>
    <w:rsid w:val="00FA4372"/>
    <w:rsid w:val="00FB1D9C"/>
    <w:rsid w:val="00FB225B"/>
    <w:rsid w:val="00FC0C10"/>
    <w:rsid w:val="00FC2F40"/>
    <w:rsid w:val="00FD4536"/>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paragraph" w:styleId="FootnoteText">
    <w:name w:val="footnote text"/>
    <w:basedOn w:val="Normal"/>
    <w:link w:val="FootnoteTextChar"/>
    <w:uiPriority w:val="99"/>
    <w:semiHidden/>
    <w:unhideWhenUsed/>
    <w:rsid w:val="00BE1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1EB"/>
    <w:rPr>
      <w:lang w:eastAsia="en-US"/>
    </w:rPr>
  </w:style>
  <w:style w:type="character" w:styleId="FootnoteReference">
    <w:name w:val="footnote reference"/>
    <w:basedOn w:val="DefaultParagraphFont"/>
    <w:uiPriority w:val="99"/>
    <w:semiHidden/>
    <w:unhideWhenUsed/>
    <w:rsid w:val="00BE11EB"/>
    <w:rPr>
      <w:vertAlign w:val="superscript"/>
    </w:rPr>
  </w:style>
  <w:style w:type="character" w:styleId="UnresolvedMention">
    <w:name w:val="Unresolved Mention"/>
    <w:basedOn w:val="DefaultParagraphFont"/>
    <w:uiPriority w:val="99"/>
    <w:semiHidden/>
    <w:unhideWhenUsed/>
    <w:rsid w:val="00BE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480271098">
      <w:bodyDiv w:val="1"/>
      <w:marLeft w:val="0"/>
      <w:marRight w:val="0"/>
      <w:marTop w:val="0"/>
      <w:marBottom w:val="0"/>
      <w:divBdr>
        <w:top w:val="none" w:sz="0" w:space="0" w:color="auto"/>
        <w:left w:val="none" w:sz="0" w:space="0" w:color="auto"/>
        <w:bottom w:val="none" w:sz="0" w:space="0" w:color="auto"/>
        <w:right w:val="none" w:sz="0" w:space="0" w:color="auto"/>
      </w:divBdr>
    </w:div>
    <w:div w:id="663046326">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3876195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463309099">
      <w:bodyDiv w:val="1"/>
      <w:marLeft w:val="0"/>
      <w:marRight w:val="0"/>
      <w:marTop w:val="0"/>
      <w:marBottom w:val="0"/>
      <w:divBdr>
        <w:top w:val="none" w:sz="0" w:space="0" w:color="auto"/>
        <w:left w:val="none" w:sz="0" w:space="0" w:color="auto"/>
        <w:bottom w:val="none" w:sz="0" w:space="0" w:color="auto"/>
        <w:right w:val="none" w:sz="0" w:space="0" w:color="auto"/>
      </w:divBdr>
    </w:div>
    <w:div w:id="1663193288">
      <w:bodyDiv w:val="1"/>
      <w:marLeft w:val="0"/>
      <w:marRight w:val="0"/>
      <w:marTop w:val="0"/>
      <w:marBottom w:val="0"/>
      <w:divBdr>
        <w:top w:val="none" w:sz="0" w:space="0" w:color="auto"/>
        <w:left w:val="none" w:sz="0" w:space="0" w:color="auto"/>
        <w:bottom w:val="none" w:sz="0" w:space="0" w:color="auto"/>
        <w:right w:val="none" w:sz="0" w:space="0" w:color="auto"/>
      </w:divBdr>
    </w:div>
    <w:div w:id="1708942501">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1959483772">
      <w:bodyDiv w:val="1"/>
      <w:marLeft w:val="0"/>
      <w:marRight w:val="0"/>
      <w:marTop w:val="0"/>
      <w:marBottom w:val="0"/>
      <w:divBdr>
        <w:top w:val="none" w:sz="0" w:space="0" w:color="auto"/>
        <w:left w:val="none" w:sz="0" w:space="0" w:color="auto"/>
        <w:bottom w:val="none" w:sz="0" w:space="0" w:color="auto"/>
        <w:right w:val="none" w:sz="0" w:space="0" w:color="auto"/>
      </w:divBdr>
    </w:div>
    <w:div w:id="2006590520">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gid-ta10656/documents/1-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 A c t i v e 1 ! 1 4 8 8 2 6 4 2 4 . 1 < / d o c u m e n t i d >  
     < s e n d e r i d > A X Y S < / s e n d e r i d >  
     < s e n d e r e m a i l > A X S M I T H @ D A C B E A C H C R O F T . C O M < / s e n d e r e m a i l >  
     < l a s t m o d i f i e d > 2 0 2 3 - 0 1 - 2 4 T 1 4 : 2 3 : 0 0 . 0 0 0 0 0 0 0 + 0 0 : 0 0 < / l a s t m o d i f i e d >  
     < d a t a b a s e > A c t i v e 1 < / d a t a b a s e >  
 < / p r o p e r t i e s > 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customXml/itemProps2.xml><?xml version="1.0" encoding="utf-8"?>
<ds:datastoreItem xmlns:ds="http://schemas.openxmlformats.org/officeDocument/2006/customXml" ds:itemID="{79E7804C-A306-4636-B61E-F919B63E824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26</TotalTime>
  <Pages>6</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7</cp:revision>
  <cp:lastPrinted>2017-02-13T09:51:00Z</cp:lastPrinted>
  <dcterms:created xsi:type="dcterms:W3CDTF">2023-01-24T14:03:00Z</dcterms:created>
  <dcterms:modified xsi:type="dcterms:W3CDTF">2023-02-23T14:02:00Z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2023-02-23T14:02:31Z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7604ed2a-eb0e-4b4d-bb1d-f0d88845b5a4</vt:lpwstr>
  </property>
  <property fmtid="{D5CDD505-2E9C-101B-9397-08002B2CF9AE}" pid="8" name="MSIP_Label_c69d85d5-6d9e-4305-a294-1f636ec0f2d6_ContentBits">
    <vt:lpwstr>0</vt:lpwstr>
  </property>
</Properties>
</file>