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6584" w14:textId="77777777" w:rsidR="00F84B9E" w:rsidRPr="00E8115B" w:rsidRDefault="00F84B9E" w:rsidP="00F84B9E">
      <w:pPr>
        <w:pStyle w:val="Paragraph"/>
        <w:numPr>
          <w:ilvl w:val="0"/>
          <w:numId w:val="0"/>
        </w:numPr>
        <w:spacing w:before="0" w:after="0"/>
        <w:jc w:val="both"/>
        <w:rPr>
          <w:rFonts w:ascii="Times New Roman" w:hAnsi="Times New Roman" w:cstheme="minorHAnsi"/>
        </w:rPr>
      </w:pPr>
      <w:r w:rsidRPr="00E8115B">
        <w:rPr>
          <w:rFonts w:ascii="Times New Roman" w:hAnsi="Times New Roman" w:cstheme="minorHAnsi"/>
        </w:rPr>
        <w:t>Dr Mark Chakravarty</w:t>
      </w:r>
    </w:p>
    <w:p w14:paraId="05823AE5" w14:textId="77777777" w:rsidR="00F84B9E" w:rsidRPr="00E8115B" w:rsidRDefault="00F84B9E" w:rsidP="00F84B9E">
      <w:pPr>
        <w:pStyle w:val="Paragraph"/>
        <w:numPr>
          <w:ilvl w:val="0"/>
          <w:numId w:val="0"/>
        </w:numPr>
        <w:spacing w:before="0" w:after="0"/>
        <w:jc w:val="both"/>
        <w:rPr>
          <w:rFonts w:ascii="Times New Roman" w:hAnsi="Times New Roman" w:cstheme="minorHAnsi"/>
        </w:rPr>
      </w:pPr>
      <w:r w:rsidRPr="00E8115B">
        <w:rPr>
          <w:rFonts w:ascii="Times New Roman" w:hAnsi="Times New Roman" w:cstheme="minorHAnsi"/>
        </w:rPr>
        <w:t>Lead Non-Executive Director for Appeals</w:t>
      </w:r>
    </w:p>
    <w:p w14:paraId="701A10AC" w14:textId="77777777" w:rsidR="00F84B9E" w:rsidRPr="00E8115B" w:rsidRDefault="00F84B9E" w:rsidP="00F84B9E">
      <w:pPr>
        <w:pStyle w:val="Paragraph"/>
        <w:numPr>
          <w:ilvl w:val="0"/>
          <w:numId w:val="0"/>
        </w:numPr>
        <w:spacing w:before="0" w:after="0"/>
        <w:jc w:val="both"/>
        <w:rPr>
          <w:rFonts w:ascii="Times New Roman" w:hAnsi="Times New Roman" w:cstheme="minorHAnsi"/>
        </w:rPr>
      </w:pPr>
      <w:r w:rsidRPr="00E8115B">
        <w:rPr>
          <w:rFonts w:ascii="Times New Roman" w:hAnsi="Times New Roman" w:cstheme="minorHAnsi"/>
        </w:rPr>
        <w:t>National Institute for Health and Care Excellence</w:t>
      </w:r>
    </w:p>
    <w:p w14:paraId="32FE7A24" w14:textId="77777777" w:rsidR="00F84B9E" w:rsidRPr="00E8115B" w:rsidRDefault="00F84B9E" w:rsidP="00F84B9E">
      <w:pPr>
        <w:pStyle w:val="Paragraph"/>
        <w:numPr>
          <w:ilvl w:val="0"/>
          <w:numId w:val="0"/>
        </w:numPr>
        <w:spacing w:before="0" w:after="0"/>
        <w:jc w:val="both"/>
        <w:rPr>
          <w:rFonts w:ascii="Times New Roman" w:hAnsi="Times New Roman" w:cstheme="minorHAnsi"/>
        </w:rPr>
      </w:pPr>
      <w:r w:rsidRPr="00E8115B">
        <w:rPr>
          <w:rFonts w:ascii="Times New Roman" w:hAnsi="Times New Roman" w:cstheme="minorHAnsi"/>
        </w:rPr>
        <w:t>2</w:t>
      </w:r>
      <w:r w:rsidRPr="00E8115B">
        <w:rPr>
          <w:rFonts w:ascii="Times New Roman" w:hAnsi="Times New Roman" w:cstheme="minorHAnsi"/>
          <w:vertAlign w:val="superscript"/>
        </w:rPr>
        <w:t>nd</w:t>
      </w:r>
      <w:r w:rsidRPr="00E8115B">
        <w:rPr>
          <w:rFonts w:ascii="Times New Roman" w:hAnsi="Times New Roman" w:cstheme="minorHAnsi"/>
        </w:rPr>
        <w:t xml:space="preserve"> Floor</w:t>
      </w:r>
    </w:p>
    <w:p w14:paraId="67A08108" w14:textId="77777777" w:rsidR="00F84B9E" w:rsidRPr="00E8115B" w:rsidRDefault="00F84B9E" w:rsidP="00F84B9E">
      <w:pPr>
        <w:pStyle w:val="Paragraph"/>
        <w:numPr>
          <w:ilvl w:val="0"/>
          <w:numId w:val="0"/>
        </w:numPr>
        <w:spacing w:before="0" w:after="0"/>
        <w:jc w:val="both"/>
        <w:rPr>
          <w:rFonts w:ascii="Times New Roman" w:hAnsi="Times New Roman" w:cstheme="minorHAnsi"/>
        </w:rPr>
      </w:pPr>
      <w:r w:rsidRPr="00E8115B">
        <w:rPr>
          <w:rFonts w:ascii="Times New Roman" w:hAnsi="Times New Roman" w:cstheme="minorHAnsi"/>
        </w:rPr>
        <w:t>2 Redman Place</w:t>
      </w:r>
    </w:p>
    <w:p w14:paraId="1382F477" w14:textId="77777777" w:rsidR="00F84B9E" w:rsidRDefault="00F84B9E" w:rsidP="00F84B9E">
      <w:pPr>
        <w:pStyle w:val="Paragraph"/>
        <w:numPr>
          <w:ilvl w:val="0"/>
          <w:numId w:val="0"/>
        </w:numPr>
        <w:spacing w:before="0" w:after="0"/>
        <w:jc w:val="both"/>
        <w:rPr>
          <w:rFonts w:ascii="Times New Roman" w:hAnsi="Times New Roman" w:cstheme="minorHAnsi"/>
        </w:rPr>
      </w:pPr>
      <w:r w:rsidRPr="00E8115B">
        <w:rPr>
          <w:rFonts w:ascii="Times New Roman" w:hAnsi="Times New Roman" w:cstheme="minorHAnsi"/>
        </w:rPr>
        <w:t>London E20 1JQ</w:t>
      </w:r>
    </w:p>
    <w:p w14:paraId="21E92391" w14:textId="77777777" w:rsidR="00F84B9E" w:rsidRDefault="00F84B9E" w:rsidP="00F84B9E">
      <w:pPr>
        <w:pStyle w:val="Paragraph"/>
        <w:numPr>
          <w:ilvl w:val="0"/>
          <w:numId w:val="0"/>
        </w:numPr>
        <w:spacing w:before="0" w:after="0"/>
        <w:jc w:val="both"/>
        <w:rPr>
          <w:rFonts w:ascii="Times New Roman" w:hAnsi="Times New Roman" w:cstheme="minorHAnsi"/>
        </w:rPr>
      </w:pPr>
    </w:p>
    <w:p w14:paraId="08063D35" w14:textId="2F092E89" w:rsidR="00F84B9E" w:rsidRPr="00E8115B" w:rsidRDefault="00BA79A8" w:rsidP="00F84B9E">
      <w:pPr>
        <w:pStyle w:val="Paragraph"/>
        <w:numPr>
          <w:ilvl w:val="0"/>
          <w:numId w:val="0"/>
        </w:numPr>
        <w:spacing w:before="0" w:after="0"/>
        <w:jc w:val="both"/>
        <w:rPr>
          <w:rFonts w:ascii="Times New Roman" w:hAnsi="Times New Roman" w:cstheme="minorHAnsi"/>
        </w:rPr>
      </w:pPr>
      <w:r>
        <w:rPr>
          <w:rFonts w:ascii="Times New Roman" w:hAnsi="Times New Roman" w:cstheme="minorHAnsi"/>
        </w:rPr>
        <w:t>1</w:t>
      </w:r>
      <w:r w:rsidR="00775D27">
        <w:rPr>
          <w:rFonts w:ascii="Times New Roman" w:hAnsi="Times New Roman" w:cstheme="minorHAnsi"/>
        </w:rPr>
        <w:t>7</w:t>
      </w:r>
      <w:r w:rsidR="00F84B9E">
        <w:rPr>
          <w:rFonts w:ascii="Times New Roman" w:hAnsi="Times New Roman" w:cstheme="minorHAnsi"/>
        </w:rPr>
        <w:t xml:space="preserve"> </w:t>
      </w:r>
      <w:r>
        <w:rPr>
          <w:rFonts w:ascii="Times New Roman" w:hAnsi="Times New Roman" w:cstheme="minorHAnsi"/>
        </w:rPr>
        <w:t>January</w:t>
      </w:r>
      <w:r w:rsidR="00F84B9E">
        <w:rPr>
          <w:rFonts w:ascii="Times New Roman" w:hAnsi="Times New Roman" w:cstheme="minorHAnsi"/>
        </w:rPr>
        <w:t xml:space="preserve"> 202</w:t>
      </w:r>
      <w:r>
        <w:rPr>
          <w:rFonts w:ascii="Times New Roman" w:hAnsi="Times New Roman" w:cstheme="minorHAnsi"/>
        </w:rPr>
        <w:t>3</w:t>
      </w:r>
    </w:p>
    <w:p w14:paraId="7266D153" w14:textId="77777777" w:rsidR="00F84B9E" w:rsidRPr="00E8115B" w:rsidRDefault="00F84B9E" w:rsidP="00F84B9E">
      <w:pPr>
        <w:pStyle w:val="Paragraph"/>
        <w:numPr>
          <w:ilvl w:val="0"/>
          <w:numId w:val="0"/>
        </w:numPr>
        <w:spacing w:before="120" w:after="0"/>
        <w:jc w:val="both"/>
        <w:rPr>
          <w:rFonts w:ascii="Times New Roman" w:hAnsi="Times New Roman" w:cstheme="minorHAnsi"/>
        </w:rPr>
      </w:pPr>
    </w:p>
    <w:p w14:paraId="6D794A65" w14:textId="77777777" w:rsidR="00F84B9E" w:rsidRPr="00E8115B" w:rsidRDefault="00F84B9E" w:rsidP="00F84B9E">
      <w:pPr>
        <w:pStyle w:val="Paragraph"/>
        <w:numPr>
          <w:ilvl w:val="0"/>
          <w:numId w:val="0"/>
        </w:numPr>
        <w:spacing w:before="120" w:after="0"/>
        <w:jc w:val="both"/>
        <w:rPr>
          <w:rFonts w:ascii="Times New Roman" w:hAnsi="Times New Roman" w:cstheme="minorHAnsi"/>
        </w:rPr>
      </w:pPr>
      <w:r w:rsidRPr="00E8115B">
        <w:rPr>
          <w:rFonts w:ascii="Times New Roman" w:hAnsi="Times New Roman" w:cstheme="minorHAnsi"/>
        </w:rPr>
        <w:t>Dear Dr Chakravarty,</w:t>
      </w:r>
    </w:p>
    <w:p w14:paraId="2D19ECB8" w14:textId="77777777" w:rsidR="00775D27" w:rsidRPr="004F747B" w:rsidRDefault="00775D27" w:rsidP="00775D27">
      <w:pPr>
        <w:pStyle w:val="Default"/>
        <w:rPr>
          <w:rFonts w:ascii="Times New Roman" w:hAnsi="Times New Roman"/>
          <w:b/>
          <w:bCs/>
          <w:szCs w:val="22"/>
        </w:rPr>
      </w:pPr>
      <w:r w:rsidRPr="004F747B">
        <w:rPr>
          <w:rFonts w:ascii="Times New Roman" w:hAnsi="Times New Roman"/>
          <w:b/>
          <w:bCs/>
        </w:rPr>
        <w:t xml:space="preserve">Appeal against the Final Appraisal Document </w:t>
      </w:r>
      <w:proofErr w:type="gramStart"/>
      <w:r w:rsidRPr="004F747B">
        <w:rPr>
          <w:rFonts w:ascii="Times New Roman" w:hAnsi="Times New Roman"/>
          <w:b/>
          <w:bCs/>
        </w:rPr>
        <w:t xml:space="preserve">for </w:t>
      </w:r>
      <w:r w:rsidRPr="004F747B">
        <w:rPr>
          <w:rFonts w:ascii="Times New Roman" w:hAnsi="Times New Roman"/>
        </w:rPr>
        <w:t xml:space="preserve"> </w:t>
      </w:r>
      <w:r w:rsidRPr="004F747B">
        <w:rPr>
          <w:rFonts w:ascii="Times New Roman" w:hAnsi="Times New Roman"/>
          <w:b/>
          <w:bCs/>
          <w:szCs w:val="22"/>
        </w:rPr>
        <w:t>Daratumumab</w:t>
      </w:r>
      <w:proofErr w:type="gramEnd"/>
      <w:r w:rsidRPr="004F747B">
        <w:rPr>
          <w:rFonts w:ascii="Times New Roman" w:hAnsi="Times New Roman"/>
          <w:b/>
          <w:bCs/>
          <w:szCs w:val="22"/>
        </w:rPr>
        <w:t xml:space="preserve"> in combination for the treatment of adult patients with Light-Chain (AL) amyloidosis </w:t>
      </w:r>
    </w:p>
    <w:p w14:paraId="569B18F2" w14:textId="77777777" w:rsidR="00775D27" w:rsidRPr="004F747B" w:rsidRDefault="00775D27" w:rsidP="00775D27">
      <w:pPr>
        <w:pStyle w:val="Default"/>
        <w:rPr>
          <w:rFonts w:ascii="Times New Roman" w:hAnsi="Times New Roman"/>
          <w:b/>
          <w:bCs/>
          <w:szCs w:val="22"/>
        </w:rPr>
      </w:pPr>
    </w:p>
    <w:p w14:paraId="1718EE68" w14:textId="77777777" w:rsidR="00775D27" w:rsidRDefault="00775D27" w:rsidP="00775D27">
      <w:pPr>
        <w:pStyle w:val="Default"/>
        <w:rPr>
          <w:rFonts w:ascii="Times New Roman" w:hAnsi="Times New Roman"/>
        </w:rPr>
      </w:pPr>
      <w:r w:rsidRPr="00CD43A1">
        <w:rPr>
          <w:rFonts w:ascii="Times New Roman" w:hAnsi="Times New Roman"/>
        </w:rPr>
        <w:t>Thank you for your letter dated 2</w:t>
      </w:r>
      <w:r>
        <w:rPr>
          <w:rFonts w:ascii="Times New Roman" w:hAnsi="Times New Roman"/>
        </w:rPr>
        <w:t>2</w:t>
      </w:r>
      <w:r w:rsidRPr="00CD43A1">
        <w:rPr>
          <w:rFonts w:ascii="Times New Roman" w:hAnsi="Times New Roman"/>
        </w:rPr>
        <w:t xml:space="preserve"> </w:t>
      </w:r>
      <w:r>
        <w:rPr>
          <w:rFonts w:ascii="Times New Roman" w:hAnsi="Times New Roman"/>
        </w:rPr>
        <w:t>Dec</w:t>
      </w:r>
      <w:r w:rsidRPr="00CD43A1">
        <w:rPr>
          <w:rFonts w:ascii="Times New Roman" w:hAnsi="Times New Roman"/>
        </w:rPr>
        <w:t xml:space="preserve">ember 2022, in which you </w:t>
      </w:r>
      <w:r>
        <w:rPr>
          <w:rFonts w:ascii="Times New Roman" w:hAnsi="Times New Roman"/>
        </w:rPr>
        <w:t xml:space="preserve">set out </w:t>
      </w:r>
      <w:r w:rsidRPr="00CD43A1">
        <w:rPr>
          <w:rFonts w:ascii="Times New Roman" w:hAnsi="Times New Roman"/>
        </w:rPr>
        <w:t>your preliminary view</w:t>
      </w:r>
      <w:r>
        <w:rPr>
          <w:rFonts w:ascii="Times New Roman" w:hAnsi="Times New Roman"/>
        </w:rPr>
        <w:t xml:space="preserve">s in relation to </w:t>
      </w:r>
      <w:r w:rsidRPr="00CD43A1">
        <w:rPr>
          <w:rFonts w:ascii="Times New Roman" w:hAnsi="Times New Roman"/>
        </w:rPr>
        <w:t xml:space="preserve">the admissibility of the points of appeal in </w:t>
      </w:r>
      <w:r>
        <w:rPr>
          <w:rFonts w:ascii="Times New Roman" w:hAnsi="Times New Roman"/>
        </w:rPr>
        <w:t>our</w:t>
      </w:r>
      <w:r w:rsidRPr="00CD43A1">
        <w:rPr>
          <w:rFonts w:ascii="Times New Roman" w:hAnsi="Times New Roman"/>
        </w:rPr>
        <w:t xml:space="preserve"> letter of appeal dated 16 </w:t>
      </w:r>
      <w:r>
        <w:rPr>
          <w:rFonts w:ascii="Times New Roman" w:hAnsi="Times New Roman"/>
        </w:rPr>
        <w:t>Dec</w:t>
      </w:r>
      <w:r w:rsidRPr="00CD43A1">
        <w:rPr>
          <w:rFonts w:ascii="Times New Roman" w:hAnsi="Times New Roman"/>
        </w:rPr>
        <w:t xml:space="preserve">ember 2022. </w:t>
      </w:r>
    </w:p>
    <w:p w14:paraId="327ED43D" w14:textId="77777777" w:rsidR="00775D27" w:rsidRPr="00CD43A1" w:rsidRDefault="00775D27" w:rsidP="00775D27">
      <w:pPr>
        <w:pStyle w:val="Default"/>
        <w:rPr>
          <w:rFonts w:ascii="Times New Roman" w:hAnsi="Times New Roman"/>
        </w:rPr>
      </w:pPr>
    </w:p>
    <w:p w14:paraId="46A0F470" w14:textId="77777777" w:rsidR="00775D27" w:rsidRPr="00CD43A1" w:rsidRDefault="00775D27" w:rsidP="00775D27">
      <w:pPr>
        <w:rPr>
          <w:rFonts w:ascii="Times New Roman" w:hAnsi="Times New Roman"/>
          <w:sz w:val="24"/>
        </w:rPr>
      </w:pPr>
      <w:r w:rsidRPr="00CD43A1">
        <w:rPr>
          <w:rFonts w:ascii="Times New Roman" w:hAnsi="Times New Roman"/>
          <w:sz w:val="24"/>
        </w:rPr>
        <w:t xml:space="preserve">We </w:t>
      </w:r>
      <w:r>
        <w:rPr>
          <w:rFonts w:ascii="Times New Roman" w:hAnsi="Times New Roman"/>
          <w:sz w:val="24"/>
        </w:rPr>
        <w:t xml:space="preserve">now </w:t>
      </w:r>
      <w:r w:rsidRPr="00CD43A1">
        <w:rPr>
          <w:rFonts w:ascii="Times New Roman" w:hAnsi="Times New Roman"/>
          <w:sz w:val="24"/>
        </w:rPr>
        <w:t>provide, as you suggested in your letter, additional detail to elaborate, comment on or clarify those points of appeal (listed below) where your preliminary view was that these should not be referred to the appeal panel.</w:t>
      </w:r>
    </w:p>
    <w:p w14:paraId="27CE4315" w14:textId="77777777" w:rsidR="00775D27" w:rsidRPr="004F747B" w:rsidRDefault="00775D27" w:rsidP="00775D27">
      <w:pPr>
        <w:pStyle w:val="Numberedlevel3text"/>
        <w:numPr>
          <w:ilvl w:val="2"/>
          <w:numId w:val="0"/>
        </w:numPr>
        <w:spacing w:before="120" w:after="0" w:line="276" w:lineRule="auto"/>
        <w:ind w:left="1134" w:hanging="1134"/>
        <w:jc w:val="both"/>
        <w:rPr>
          <w:rStyle w:val="Strong"/>
          <w:rFonts w:ascii="Times New Roman" w:hAnsi="Times New Roman"/>
        </w:rPr>
      </w:pPr>
      <w:r w:rsidRPr="004F747B">
        <w:rPr>
          <w:rStyle w:val="Strong"/>
          <w:rFonts w:ascii="Times New Roman" w:hAnsi="Times New Roman"/>
        </w:rPr>
        <w:t>Ground 1</w:t>
      </w:r>
    </w:p>
    <w:p w14:paraId="2EF040AA" w14:textId="77777777" w:rsidR="00775D27" w:rsidRPr="004F747B" w:rsidRDefault="00775D27" w:rsidP="00775D27">
      <w:pPr>
        <w:pStyle w:val="Numberedlevel3text"/>
        <w:numPr>
          <w:ilvl w:val="0"/>
          <w:numId w:val="0"/>
        </w:numPr>
        <w:spacing w:before="120" w:after="0" w:line="276" w:lineRule="auto"/>
        <w:jc w:val="both"/>
        <w:rPr>
          <w:rFonts w:ascii="Times New Roman" w:hAnsi="Times New Roman" w:cstheme="minorBidi"/>
          <w:u w:val="single"/>
          <w:lang w:eastAsia="x-none"/>
        </w:rPr>
      </w:pPr>
      <w:r w:rsidRPr="004F747B">
        <w:rPr>
          <w:rFonts w:ascii="Times New Roman" w:hAnsi="Times New Roman"/>
          <w:b/>
          <w:bCs w:val="0"/>
          <w:szCs w:val="22"/>
        </w:rPr>
        <w:t>Appeal point 1(a).1 The Appraisal Committee has failed to take into account factors other than uncertainty when defining the ICER threshold for this appraisal</w:t>
      </w:r>
    </w:p>
    <w:p w14:paraId="51ED90E6" w14:textId="77777777" w:rsidR="00775D27" w:rsidRPr="004F747B" w:rsidRDefault="00775D27" w:rsidP="00775D27">
      <w:pPr>
        <w:spacing w:before="240"/>
        <w:rPr>
          <w:rFonts w:ascii="Times New Roman" w:hAnsi="Times New Roman"/>
          <w:sz w:val="24"/>
        </w:rPr>
      </w:pPr>
      <w:r w:rsidRPr="004F747B">
        <w:rPr>
          <w:rFonts w:ascii="Times New Roman" w:hAnsi="Times New Roman"/>
          <w:sz w:val="24"/>
        </w:rPr>
        <w:t>Thank you for confirming that this point of appeal is admissible.</w:t>
      </w:r>
    </w:p>
    <w:p w14:paraId="21DCAAE9" w14:textId="77777777" w:rsidR="00775D27" w:rsidRPr="004F747B" w:rsidRDefault="00775D27" w:rsidP="00775D27">
      <w:pPr>
        <w:spacing w:before="240"/>
        <w:rPr>
          <w:rFonts w:ascii="Times New Roman" w:hAnsi="Times New Roman"/>
          <w:b/>
          <w:bCs/>
          <w:sz w:val="24"/>
        </w:rPr>
      </w:pPr>
      <w:r w:rsidRPr="004F747B">
        <w:rPr>
          <w:rFonts w:ascii="Times New Roman" w:hAnsi="Times New Roman"/>
          <w:b/>
          <w:bCs/>
          <w:sz w:val="24"/>
        </w:rPr>
        <w:t xml:space="preserve">Appeal </w:t>
      </w:r>
      <w:proofErr w:type="gramStart"/>
      <w:r w:rsidRPr="004F747B">
        <w:rPr>
          <w:rFonts w:ascii="Times New Roman" w:hAnsi="Times New Roman"/>
          <w:b/>
          <w:bCs/>
          <w:sz w:val="24"/>
        </w:rPr>
        <w:t>point</w:t>
      </w:r>
      <w:proofErr w:type="gramEnd"/>
      <w:r w:rsidRPr="004F747B">
        <w:rPr>
          <w:rFonts w:ascii="Times New Roman" w:hAnsi="Times New Roman"/>
          <w:b/>
          <w:bCs/>
          <w:sz w:val="24"/>
        </w:rPr>
        <w:t xml:space="preserve"> 1(a).2 The Appraisal Committee’s conclusion that “it had not been shown if daratumumab in combination improves overall survival” disregards substantial evidence submitted by Janssen in support of complete haematological response as a surrogate endpoint for overall survival. </w:t>
      </w:r>
    </w:p>
    <w:p w14:paraId="299580F1" w14:textId="77777777" w:rsidR="00775D27" w:rsidRDefault="00775D27" w:rsidP="00775D27">
      <w:pPr>
        <w:spacing w:before="240"/>
        <w:rPr>
          <w:rFonts w:ascii="Times New Roman" w:hAnsi="Times New Roman"/>
          <w:sz w:val="24"/>
        </w:rPr>
      </w:pPr>
      <w:r w:rsidRPr="004F747B">
        <w:rPr>
          <w:rFonts w:ascii="Times New Roman" w:hAnsi="Times New Roman"/>
          <w:sz w:val="24"/>
        </w:rPr>
        <w:t>You express the preliminary view that this point of appeal should not be permitted to proceed to an oral hearing on the basis</w:t>
      </w:r>
      <w:r>
        <w:rPr>
          <w:rFonts w:ascii="Times New Roman" w:hAnsi="Times New Roman"/>
          <w:sz w:val="24"/>
        </w:rPr>
        <w:t xml:space="preserve"> that there is no direct evidence in relation to overall survival (OS) and, you say, the Committee gave detailed consideration to use of complete haematological response as a surrogate endpoint. </w:t>
      </w:r>
    </w:p>
    <w:p w14:paraId="67805E49" w14:textId="77777777" w:rsidR="00775D27" w:rsidRDefault="00775D27" w:rsidP="00775D27">
      <w:pPr>
        <w:spacing w:before="240"/>
        <w:rPr>
          <w:rFonts w:ascii="Times New Roman" w:hAnsi="Times New Roman"/>
          <w:sz w:val="24"/>
        </w:rPr>
      </w:pPr>
      <w:r>
        <w:rPr>
          <w:rFonts w:ascii="Times New Roman" w:hAnsi="Times New Roman"/>
          <w:sz w:val="24"/>
        </w:rPr>
        <w:t>However, the focus of this point of appeal is a procedural one.  In summary, this is the fact that, despite the consideration given by the Committee to the use of complete haematological response as a surrogate endpoint for OS, the Committee failed to take into account important parts of the evidence.  These are listed in our appeal letter and include:</w:t>
      </w:r>
    </w:p>
    <w:p w14:paraId="42AE1453" w14:textId="77777777" w:rsidR="00775D27" w:rsidRDefault="00775D27" w:rsidP="00775D27">
      <w:pPr>
        <w:pStyle w:val="ListParagraph"/>
        <w:numPr>
          <w:ilvl w:val="0"/>
          <w:numId w:val="12"/>
        </w:numPr>
        <w:spacing w:before="240" w:after="0" w:line="240" w:lineRule="auto"/>
        <w:contextualSpacing w:val="0"/>
        <w:rPr>
          <w:rFonts w:ascii="Times New Roman" w:hAnsi="Times New Roman"/>
          <w:sz w:val="24"/>
        </w:rPr>
      </w:pPr>
      <w:r>
        <w:rPr>
          <w:rFonts w:ascii="Times New Roman" w:hAnsi="Times New Roman"/>
          <w:sz w:val="24"/>
        </w:rPr>
        <w:t>The absence of any recognition that substantial delay in major organ deterioration (an endpoint evidenced in the data for</w:t>
      </w:r>
      <w:r w:rsidRPr="00710F4A">
        <w:t xml:space="preserve"> </w:t>
      </w:r>
      <w:r w:rsidRPr="00710F4A">
        <w:rPr>
          <w:rFonts w:ascii="Times New Roman" w:hAnsi="Times New Roman"/>
          <w:sz w:val="24"/>
        </w:rPr>
        <w:t>daratumumab in combination</w:t>
      </w:r>
      <w:r>
        <w:rPr>
          <w:rFonts w:ascii="Times New Roman" w:hAnsi="Times New Roman"/>
          <w:sz w:val="24"/>
        </w:rPr>
        <w:t xml:space="preserve"> relative to standard care)</w:t>
      </w:r>
      <w:r w:rsidRPr="00710F4A">
        <w:rPr>
          <w:rFonts w:ascii="Times New Roman" w:hAnsi="Times New Roman"/>
          <w:sz w:val="24"/>
        </w:rPr>
        <w:t xml:space="preserve"> </w:t>
      </w:r>
      <w:r>
        <w:rPr>
          <w:rFonts w:ascii="Times New Roman" w:hAnsi="Times New Roman"/>
          <w:sz w:val="24"/>
        </w:rPr>
        <w:t xml:space="preserve">is an endpoint closely linked to survival, a factor which supports the use of complete haematological response as a surrogate for OS. </w:t>
      </w:r>
    </w:p>
    <w:p w14:paraId="2B4E8D05" w14:textId="77777777" w:rsidR="00775D27" w:rsidRPr="002876E3" w:rsidRDefault="00775D27" w:rsidP="00775D27">
      <w:pPr>
        <w:pStyle w:val="ListParagraph"/>
        <w:numPr>
          <w:ilvl w:val="0"/>
          <w:numId w:val="12"/>
        </w:numPr>
        <w:spacing w:before="240" w:after="0" w:line="240" w:lineRule="auto"/>
        <w:contextualSpacing w:val="0"/>
        <w:rPr>
          <w:rFonts w:ascii="Times New Roman" w:hAnsi="Times New Roman"/>
          <w:sz w:val="24"/>
        </w:rPr>
      </w:pPr>
      <w:r w:rsidRPr="002876E3">
        <w:rPr>
          <w:rFonts w:ascii="Times New Roman" w:hAnsi="Times New Roman"/>
          <w:sz w:val="24"/>
        </w:rPr>
        <w:lastRenderedPageBreak/>
        <w:t xml:space="preserve">The additional survival results from the ANDROMEDA </w:t>
      </w:r>
      <w:r>
        <w:rPr>
          <w:rFonts w:ascii="Times New Roman" w:hAnsi="Times New Roman"/>
          <w:sz w:val="24"/>
        </w:rPr>
        <w:t xml:space="preserve">safety data </w:t>
      </w:r>
      <w:r w:rsidRPr="002876E3">
        <w:rPr>
          <w:rFonts w:ascii="Times New Roman" w:hAnsi="Times New Roman"/>
          <w:sz w:val="24"/>
        </w:rPr>
        <w:t>at a median follow up of 20.3 months were used to update the economic model</w:t>
      </w:r>
      <w:r w:rsidRPr="0020038B">
        <w:rPr>
          <w:rFonts w:ascii="Times New Roman" w:hAnsi="Times New Roman"/>
          <w:sz w:val="24"/>
        </w:rPr>
        <w:t xml:space="preserve"> </w:t>
      </w:r>
      <w:r w:rsidRPr="002876E3">
        <w:rPr>
          <w:rFonts w:ascii="Times New Roman" w:hAnsi="Times New Roman"/>
          <w:sz w:val="24"/>
        </w:rPr>
        <w:t xml:space="preserve">and submitted in response to the ACD, with the agreement of NICE; these data, while immature, </w:t>
      </w:r>
      <w:r>
        <w:rPr>
          <w:rFonts w:ascii="Times New Roman" w:hAnsi="Times New Roman"/>
          <w:sz w:val="24"/>
        </w:rPr>
        <w:t>provide directional (direct) evidence of a</w:t>
      </w:r>
      <w:r w:rsidRPr="002876E3">
        <w:rPr>
          <w:rFonts w:ascii="Times New Roman" w:hAnsi="Times New Roman"/>
          <w:sz w:val="24"/>
        </w:rPr>
        <w:t xml:space="preserve"> survival advantage in patients receiving daratumumab in combination</w:t>
      </w:r>
      <w:r>
        <w:rPr>
          <w:rFonts w:ascii="Times New Roman" w:hAnsi="Times New Roman"/>
          <w:sz w:val="24"/>
        </w:rPr>
        <w:t xml:space="preserve"> (</w:t>
      </w:r>
      <w:r w:rsidRPr="00472603">
        <w:rPr>
          <w:rFonts w:ascii="Times New Roman" w:hAnsi="Times New Roman"/>
          <w:sz w:val="24"/>
        </w:rPr>
        <w:t xml:space="preserve">a 6.6% higher survival </w:t>
      </w:r>
      <w:r>
        <w:rPr>
          <w:rFonts w:ascii="Times New Roman" w:hAnsi="Times New Roman"/>
          <w:sz w:val="24"/>
        </w:rPr>
        <w:t xml:space="preserve">at 20.3 months median follow-up </w:t>
      </w:r>
      <w:r w:rsidRPr="00472603">
        <w:rPr>
          <w:rFonts w:ascii="Times New Roman" w:hAnsi="Times New Roman"/>
          <w:sz w:val="24"/>
        </w:rPr>
        <w:t xml:space="preserve">in patients treated with </w:t>
      </w:r>
      <w:proofErr w:type="spellStart"/>
      <w:r w:rsidRPr="00472603">
        <w:rPr>
          <w:rFonts w:ascii="Times New Roman" w:hAnsi="Times New Roman"/>
          <w:sz w:val="24"/>
        </w:rPr>
        <w:t>DBCd</w:t>
      </w:r>
      <w:proofErr w:type="spellEnd"/>
      <w:r w:rsidRPr="00472603">
        <w:rPr>
          <w:rFonts w:ascii="Times New Roman" w:hAnsi="Times New Roman"/>
          <w:sz w:val="24"/>
        </w:rPr>
        <w:t xml:space="preserve"> as compared with patients on </w:t>
      </w:r>
      <w:proofErr w:type="spellStart"/>
      <w:r w:rsidRPr="00472603">
        <w:rPr>
          <w:rFonts w:ascii="Times New Roman" w:hAnsi="Times New Roman"/>
          <w:sz w:val="24"/>
        </w:rPr>
        <w:t>BCd</w:t>
      </w:r>
      <w:proofErr w:type="spellEnd"/>
      <w:r w:rsidRPr="00472603">
        <w:rPr>
          <w:rFonts w:ascii="Times New Roman" w:hAnsi="Times New Roman"/>
          <w:sz w:val="24"/>
        </w:rPr>
        <w:t xml:space="preserve"> only</w:t>
      </w:r>
      <w:r>
        <w:rPr>
          <w:rFonts w:ascii="Times New Roman" w:hAnsi="Times New Roman"/>
          <w:sz w:val="24"/>
        </w:rPr>
        <w:t>, point 4 Janssen response to ACD)</w:t>
      </w:r>
      <w:r w:rsidRPr="002876E3">
        <w:rPr>
          <w:rFonts w:ascii="Times New Roman" w:hAnsi="Times New Roman"/>
          <w:sz w:val="24"/>
        </w:rPr>
        <w:t xml:space="preserve">, but this is not recognised in the FAD. </w:t>
      </w:r>
    </w:p>
    <w:p w14:paraId="7F84BC9F" w14:textId="77777777" w:rsidR="00775D27" w:rsidRDefault="00775D27" w:rsidP="00775D27">
      <w:pPr>
        <w:spacing w:before="240"/>
        <w:rPr>
          <w:rFonts w:ascii="Times New Roman" w:hAnsi="Times New Roman"/>
          <w:sz w:val="24"/>
        </w:rPr>
      </w:pPr>
      <w:r>
        <w:rPr>
          <w:rFonts w:ascii="Times New Roman" w:hAnsi="Times New Roman"/>
          <w:sz w:val="24"/>
        </w:rPr>
        <w:t>The FAD gives no indication that the evidence listed in Janssen’s appeal letter was taken into account by the Appraisal Committee when reaching its conclusion that it had not been shown that use of daratumumab in combination improves OS and the failure to take into account relevant evidence or to explain why important evidence has not been relied upon (lack of transparency) is a strong marker for procedural unfairness.</w:t>
      </w:r>
    </w:p>
    <w:p w14:paraId="22452EBA" w14:textId="77777777" w:rsidR="00775D27" w:rsidRDefault="00775D27" w:rsidP="00775D27">
      <w:pPr>
        <w:spacing w:before="240"/>
        <w:rPr>
          <w:rFonts w:ascii="Times New Roman" w:hAnsi="Times New Roman"/>
          <w:sz w:val="24"/>
        </w:rPr>
      </w:pPr>
      <w:r>
        <w:rPr>
          <w:rFonts w:ascii="Times New Roman" w:hAnsi="Times New Roman"/>
          <w:sz w:val="24"/>
        </w:rPr>
        <w:t xml:space="preserve">In these circumstances, while you say that the Committee </w:t>
      </w:r>
      <w:r w:rsidRPr="00FD7EAC">
        <w:rPr>
          <w:rFonts w:ascii="Times New Roman" w:hAnsi="Times New Roman"/>
          <w:sz w:val="24"/>
        </w:rPr>
        <w:t>gave detailed consideration</w:t>
      </w:r>
      <w:r>
        <w:rPr>
          <w:rFonts w:ascii="Times New Roman" w:hAnsi="Times New Roman"/>
          <w:sz w:val="24"/>
        </w:rPr>
        <w:t xml:space="preserve"> to the question of whether complete haematological response should be viewed as a surrogate for OS, this is limited to paragraph 3.7 of the FAD and does not answer the point that such consideration was inadequate because it did not take account of important relevant evidence.</w:t>
      </w:r>
    </w:p>
    <w:p w14:paraId="531E5EED" w14:textId="77777777" w:rsidR="00775D27" w:rsidRDefault="00775D27" w:rsidP="00775D27">
      <w:pPr>
        <w:spacing w:before="240"/>
        <w:rPr>
          <w:rFonts w:ascii="Times New Roman" w:hAnsi="Times New Roman"/>
          <w:sz w:val="24"/>
        </w:rPr>
      </w:pPr>
      <w:proofErr w:type="gramStart"/>
      <w:r>
        <w:rPr>
          <w:rFonts w:ascii="Times New Roman" w:hAnsi="Times New Roman"/>
          <w:sz w:val="24"/>
        </w:rPr>
        <w:t>Finally</w:t>
      </w:r>
      <w:proofErr w:type="gramEnd"/>
      <w:r>
        <w:rPr>
          <w:rFonts w:ascii="Times New Roman" w:hAnsi="Times New Roman"/>
          <w:sz w:val="24"/>
        </w:rPr>
        <w:t xml:space="preserve"> and for completeness, when considering appeal point 1(a)(2) you refer to your preliminary views on appeal point 2.2, in which you reference Janssen’s original submission and the ERG’s initial report dated September 2021.  However, these documents do not address the procedural point made in this point of appeal:</w:t>
      </w:r>
    </w:p>
    <w:p w14:paraId="4F2C7D44" w14:textId="77777777" w:rsidR="00775D27" w:rsidRDefault="00775D27" w:rsidP="00775D27">
      <w:pPr>
        <w:pStyle w:val="ListParagraph"/>
        <w:numPr>
          <w:ilvl w:val="0"/>
          <w:numId w:val="13"/>
        </w:numPr>
        <w:spacing w:before="240" w:after="0" w:line="240" w:lineRule="auto"/>
        <w:contextualSpacing w:val="0"/>
        <w:rPr>
          <w:rFonts w:ascii="Times New Roman" w:hAnsi="Times New Roman"/>
          <w:sz w:val="24"/>
        </w:rPr>
      </w:pPr>
      <w:r w:rsidRPr="00597173">
        <w:rPr>
          <w:rFonts w:ascii="Times New Roman" w:hAnsi="Times New Roman"/>
          <w:sz w:val="24"/>
        </w:rPr>
        <w:t xml:space="preserve">both of the documents </w:t>
      </w:r>
      <w:r>
        <w:rPr>
          <w:rFonts w:ascii="Times New Roman" w:hAnsi="Times New Roman"/>
          <w:sz w:val="24"/>
        </w:rPr>
        <w:t xml:space="preserve">referenced in your preliminary consideration of appeal point 2.2 </w:t>
      </w:r>
      <w:r w:rsidRPr="00597173">
        <w:rPr>
          <w:rFonts w:ascii="Times New Roman" w:hAnsi="Times New Roman"/>
          <w:sz w:val="24"/>
        </w:rPr>
        <w:t>predate certain evidence which was supplied after and in response to the ERG’s initial report.  This additional evidence was disregarded by the Committee.</w:t>
      </w:r>
    </w:p>
    <w:p w14:paraId="78CE8B5E" w14:textId="4D10CCDD" w:rsidR="00775D27" w:rsidRDefault="00775D27" w:rsidP="00775D27">
      <w:pPr>
        <w:pStyle w:val="ListParagraph"/>
        <w:numPr>
          <w:ilvl w:val="0"/>
          <w:numId w:val="13"/>
        </w:numPr>
        <w:spacing w:before="240" w:after="0" w:line="240" w:lineRule="auto"/>
        <w:contextualSpacing w:val="0"/>
        <w:rPr>
          <w:rFonts w:ascii="Times New Roman" w:hAnsi="Times New Roman"/>
          <w:sz w:val="24"/>
        </w:rPr>
      </w:pPr>
      <w:r w:rsidRPr="00597173">
        <w:rPr>
          <w:rFonts w:ascii="Times New Roman" w:hAnsi="Times New Roman"/>
          <w:sz w:val="24"/>
        </w:rPr>
        <w:t xml:space="preserve">Furthermore, in circumstances where the Committee and not the ERG is the decision-maker, the conclusions of the ERG do not determine the ultimate view of the Committee in relation to the evidence relied upon or explain why the Committee seemingly rejected certain evidence submitted by Janssen.  </w:t>
      </w:r>
    </w:p>
    <w:p w14:paraId="26C5840B" w14:textId="77777777" w:rsidR="00775D27" w:rsidRPr="00597173" w:rsidRDefault="00775D27" w:rsidP="00775D27">
      <w:pPr>
        <w:spacing w:before="240"/>
        <w:ind w:left="60"/>
        <w:rPr>
          <w:rFonts w:ascii="Times New Roman" w:hAnsi="Times New Roman"/>
          <w:sz w:val="24"/>
        </w:rPr>
      </w:pPr>
      <w:r w:rsidRPr="00597173">
        <w:rPr>
          <w:rFonts w:ascii="Times New Roman" w:hAnsi="Times New Roman"/>
          <w:sz w:val="24"/>
        </w:rPr>
        <w:t>We also refer to our response in relation to appeal point 2.2</w:t>
      </w:r>
      <w:r>
        <w:rPr>
          <w:rFonts w:ascii="Times New Roman" w:hAnsi="Times New Roman"/>
          <w:sz w:val="24"/>
        </w:rPr>
        <w:t xml:space="preserve"> below</w:t>
      </w:r>
      <w:r w:rsidRPr="00597173">
        <w:rPr>
          <w:rFonts w:ascii="Times New Roman" w:hAnsi="Times New Roman"/>
          <w:sz w:val="24"/>
        </w:rPr>
        <w:t xml:space="preserve">.  </w:t>
      </w:r>
    </w:p>
    <w:p w14:paraId="02676D3F" w14:textId="77777777" w:rsidR="00775D27" w:rsidRPr="004F747B" w:rsidRDefault="00775D27" w:rsidP="00775D27">
      <w:pPr>
        <w:pStyle w:val="Heading2"/>
        <w:spacing w:before="120" w:line="276" w:lineRule="auto"/>
        <w:jc w:val="both"/>
        <w:rPr>
          <w:rFonts w:ascii="Times New Roman" w:hAnsi="Times New Roman" w:cstheme="minorBidi"/>
          <w:bCs w:val="0"/>
          <w:sz w:val="24"/>
          <w:u w:val="single"/>
        </w:rPr>
      </w:pPr>
      <w:r w:rsidRPr="004F747B">
        <w:rPr>
          <w:rFonts w:ascii="Times New Roman" w:hAnsi="Times New Roman"/>
          <w:sz w:val="24"/>
          <w:szCs w:val="22"/>
        </w:rPr>
        <w:t xml:space="preserve">Appeal point 1(a).3 The fact that an expert haematologist was not invited to the first meeting of the Committee was not adequately corrected by inviting such an expert to the second meeting because issues such as the significance of complete haematologic response were not discussed </w:t>
      </w:r>
    </w:p>
    <w:p w14:paraId="54D6B5CB" w14:textId="77777777" w:rsidR="00775D27" w:rsidRPr="004F747B" w:rsidRDefault="00775D27" w:rsidP="00775D27">
      <w:pPr>
        <w:spacing w:before="240"/>
        <w:rPr>
          <w:rFonts w:ascii="Times New Roman" w:hAnsi="Times New Roman"/>
          <w:sz w:val="24"/>
        </w:rPr>
      </w:pPr>
      <w:r w:rsidRPr="004F747B">
        <w:rPr>
          <w:rFonts w:ascii="Times New Roman" w:hAnsi="Times New Roman"/>
          <w:sz w:val="24"/>
        </w:rPr>
        <w:t>Thank you for confirming that this point of appeal is admissible.</w:t>
      </w:r>
    </w:p>
    <w:p w14:paraId="4C091785" w14:textId="77777777" w:rsidR="00775D27" w:rsidRPr="004F747B" w:rsidRDefault="00775D27" w:rsidP="00775D27">
      <w:pPr>
        <w:spacing w:before="240"/>
        <w:rPr>
          <w:rFonts w:ascii="Times New Roman" w:hAnsi="Times New Roman"/>
          <w:b/>
          <w:bCs/>
          <w:sz w:val="24"/>
        </w:rPr>
      </w:pPr>
      <w:r w:rsidRPr="004F747B">
        <w:rPr>
          <w:rFonts w:ascii="Times New Roman" w:hAnsi="Times New Roman"/>
          <w:b/>
          <w:bCs/>
          <w:sz w:val="24"/>
        </w:rPr>
        <w:t>Ground 2</w:t>
      </w:r>
    </w:p>
    <w:p w14:paraId="13D833F1" w14:textId="77777777" w:rsidR="00775D27" w:rsidRPr="004F747B" w:rsidRDefault="00775D27" w:rsidP="00775D27">
      <w:pPr>
        <w:spacing w:before="240"/>
        <w:rPr>
          <w:rFonts w:ascii="Times New Roman" w:hAnsi="Times New Roman"/>
          <w:b/>
          <w:bCs/>
          <w:sz w:val="24"/>
        </w:rPr>
      </w:pPr>
      <w:r w:rsidRPr="004F747B">
        <w:rPr>
          <w:rFonts w:ascii="Times New Roman" w:hAnsi="Times New Roman"/>
          <w:b/>
          <w:bCs/>
          <w:sz w:val="24"/>
        </w:rPr>
        <w:t xml:space="preserve">Appeal point 2.1 The Appraisal Committee’s conclusions that “both </w:t>
      </w:r>
      <w:proofErr w:type="spellStart"/>
      <w:r w:rsidRPr="004F747B">
        <w:rPr>
          <w:rFonts w:ascii="Times New Roman" w:hAnsi="Times New Roman"/>
          <w:b/>
          <w:bCs/>
          <w:sz w:val="24"/>
        </w:rPr>
        <w:t>ALchemy</w:t>
      </w:r>
      <w:proofErr w:type="spellEnd"/>
      <w:r w:rsidRPr="004F747B">
        <w:rPr>
          <w:rFonts w:ascii="Times New Roman" w:hAnsi="Times New Roman"/>
          <w:b/>
          <w:bCs/>
          <w:sz w:val="24"/>
        </w:rPr>
        <w:t xml:space="preserve"> and EMN23-UK may be representative of UK clinical practice” are unreasonable</w:t>
      </w:r>
    </w:p>
    <w:p w14:paraId="684D6A3B" w14:textId="77777777" w:rsidR="00775D27" w:rsidRDefault="00775D27" w:rsidP="00775D27">
      <w:pPr>
        <w:spacing w:before="240"/>
        <w:rPr>
          <w:rFonts w:ascii="Times New Roman" w:hAnsi="Times New Roman"/>
          <w:sz w:val="24"/>
        </w:rPr>
      </w:pPr>
      <w:r w:rsidRPr="004F747B">
        <w:rPr>
          <w:rFonts w:ascii="Times New Roman" w:hAnsi="Times New Roman"/>
          <w:sz w:val="24"/>
        </w:rPr>
        <w:t>You express the preliminary view that this point of appeal should not be permitted to proceed to an oral hearing on the basis</w:t>
      </w:r>
      <w:r>
        <w:rPr>
          <w:rFonts w:ascii="Times New Roman" w:hAnsi="Times New Roman"/>
          <w:sz w:val="24"/>
        </w:rPr>
        <w:t xml:space="preserve"> that you say you consider the Committee had sufficient basis to conclude that both </w:t>
      </w:r>
      <w:proofErr w:type="spellStart"/>
      <w:r>
        <w:rPr>
          <w:rFonts w:ascii="Times New Roman" w:hAnsi="Times New Roman"/>
          <w:sz w:val="24"/>
        </w:rPr>
        <w:t>ALchemy</w:t>
      </w:r>
      <w:proofErr w:type="spellEnd"/>
      <w:r>
        <w:rPr>
          <w:rFonts w:ascii="Times New Roman" w:hAnsi="Times New Roman"/>
          <w:sz w:val="24"/>
        </w:rPr>
        <w:t xml:space="preserve"> and EMN23-UK may be representative of UK practice.  You </w:t>
      </w:r>
      <w:r>
        <w:rPr>
          <w:rFonts w:ascii="Times New Roman" w:hAnsi="Times New Roman"/>
          <w:sz w:val="24"/>
        </w:rPr>
        <w:lastRenderedPageBreak/>
        <w:t>refer principally on an extract from the initial ERG report and additionally on the reasoning provided by the Committee at paragraph 3.10 of the FAD.</w:t>
      </w:r>
    </w:p>
    <w:p w14:paraId="7CF156C9" w14:textId="77777777" w:rsidR="00775D27" w:rsidRDefault="00775D27" w:rsidP="00775D27">
      <w:pPr>
        <w:spacing w:before="240"/>
        <w:rPr>
          <w:rFonts w:ascii="Times New Roman" w:hAnsi="Times New Roman"/>
          <w:sz w:val="24"/>
        </w:rPr>
      </w:pPr>
      <w:r>
        <w:rPr>
          <w:rFonts w:ascii="Times New Roman" w:hAnsi="Times New Roman"/>
          <w:sz w:val="24"/>
        </w:rPr>
        <w:t xml:space="preserve">However, the initial ERG report considered only the EMN23 data rather than EMN23-UK, which was submitted by Janssen in response to the ACD, and the extract quoted in your letter preferring </w:t>
      </w:r>
      <w:proofErr w:type="spellStart"/>
      <w:r>
        <w:rPr>
          <w:rFonts w:ascii="Times New Roman" w:hAnsi="Times New Roman"/>
          <w:sz w:val="24"/>
        </w:rPr>
        <w:t>ALchemy</w:t>
      </w:r>
      <w:proofErr w:type="spellEnd"/>
      <w:r>
        <w:rPr>
          <w:rFonts w:ascii="Times New Roman" w:hAnsi="Times New Roman"/>
          <w:sz w:val="24"/>
        </w:rPr>
        <w:t xml:space="preserve"> is not therefore relevant to the conclusions of the Committee (that </w:t>
      </w:r>
      <w:r w:rsidRPr="00636F89">
        <w:rPr>
          <w:rFonts w:ascii="Times New Roman" w:hAnsi="Times New Roman"/>
          <w:i/>
          <w:iCs/>
          <w:sz w:val="24"/>
        </w:rPr>
        <w:t>“</w:t>
      </w:r>
      <w:proofErr w:type="spellStart"/>
      <w:r w:rsidRPr="00636F89">
        <w:rPr>
          <w:rFonts w:ascii="Times New Roman" w:hAnsi="Times New Roman"/>
          <w:i/>
          <w:iCs/>
          <w:sz w:val="24"/>
        </w:rPr>
        <w:t>ALchemy</w:t>
      </w:r>
      <w:proofErr w:type="spellEnd"/>
      <w:r w:rsidRPr="00636F89">
        <w:rPr>
          <w:rFonts w:ascii="Times New Roman" w:hAnsi="Times New Roman"/>
          <w:i/>
          <w:iCs/>
          <w:sz w:val="24"/>
        </w:rPr>
        <w:t xml:space="preserve"> and EMN23-UK may be representative of UK clinical practice”</w:t>
      </w:r>
      <w:r>
        <w:rPr>
          <w:rFonts w:ascii="Times New Roman" w:hAnsi="Times New Roman"/>
          <w:sz w:val="24"/>
        </w:rPr>
        <w:t>)</w:t>
      </w:r>
      <w:r w:rsidRPr="008F7382">
        <w:rPr>
          <w:rFonts w:ascii="Times New Roman" w:hAnsi="Times New Roman"/>
          <w:sz w:val="24"/>
        </w:rPr>
        <w:t xml:space="preserve"> </w:t>
      </w:r>
      <w:r>
        <w:rPr>
          <w:rFonts w:ascii="Times New Roman" w:hAnsi="Times New Roman"/>
          <w:sz w:val="24"/>
        </w:rPr>
        <w:t xml:space="preserve">as set out in the FAD.  Similarly, paragraph 3.10 of the FAD principally considers EMN23 versus </w:t>
      </w:r>
      <w:proofErr w:type="spellStart"/>
      <w:r>
        <w:rPr>
          <w:rFonts w:ascii="Times New Roman" w:hAnsi="Times New Roman"/>
          <w:sz w:val="24"/>
        </w:rPr>
        <w:t>ALchemy</w:t>
      </w:r>
      <w:proofErr w:type="spellEnd"/>
      <w:r>
        <w:rPr>
          <w:rFonts w:ascii="Times New Roman" w:hAnsi="Times New Roman"/>
          <w:sz w:val="24"/>
        </w:rPr>
        <w:t xml:space="preserve"> and only briefly addresses EMN23-UK at the conclusion of the paragraph.  This may explain some of the confusion.</w:t>
      </w:r>
    </w:p>
    <w:p w14:paraId="519B58CD" w14:textId="77777777" w:rsidR="00775D27" w:rsidRDefault="00775D27" w:rsidP="00775D27">
      <w:pPr>
        <w:spacing w:before="240"/>
        <w:rPr>
          <w:rFonts w:ascii="Times New Roman" w:hAnsi="Times New Roman"/>
          <w:sz w:val="24"/>
        </w:rPr>
      </w:pPr>
      <w:r w:rsidRPr="00995F04">
        <w:rPr>
          <w:rFonts w:ascii="Times New Roman" w:hAnsi="Times New Roman"/>
          <w:sz w:val="24"/>
        </w:rPr>
        <w:t xml:space="preserve">Appeal </w:t>
      </w:r>
      <w:proofErr w:type="gramStart"/>
      <w:r w:rsidRPr="00995F04">
        <w:rPr>
          <w:rFonts w:ascii="Times New Roman" w:hAnsi="Times New Roman"/>
          <w:sz w:val="24"/>
        </w:rPr>
        <w:t>point</w:t>
      </w:r>
      <w:proofErr w:type="gramEnd"/>
      <w:r w:rsidRPr="00995F04">
        <w:rPr>
          <w:rFonts w:ascii="Times New Roman" w:hAnsi="Times New Roman"/>
          <w:sz w:val="24"/>
        </w:rPr>
        <w:t xml:space="preserve"> 2.1 raises the fact that, at paragraph 3.10 of the FAD, the text states “</w:t>
      </w:r>
      <w:r w:rsidRPr="00995F04">
        <w:rPr>
          <w:rFonts w:ascii="Times New Roman" w:hAnsi="Times New Roman"/>
          <w:i/>
          <w:iCs/>
          <w:sz w:val="24"/>
        </w:rPr>
        <w:t xml:space="preserve">the clinical experts agreed with the ERG that </w:t>
      </w:r>
      <w:proofErr w:type="spellStart"/>
      <w:r w:rsidRPr="00995F04">
        <w:rPr>
          <w:rFonts w:ascii="Times New Roman" w:hAnsi="Times New Roman"/>
          <w:i/>
          <w:iCs/>
          <w:sz w:val="24"/>
        </w:rPr>
        <w:t>ALchemy</w:t>
      </w:r>
      <w:proofErr w:type="spellEnd"/>
      <w:r w:rsidRPr="00995F04">
        <w:rPr>
          <w:rFonts w:ascii="Times New Roman" w:hAnsi="Times New Roman"/>
          <w:i/>
          <w:iCs/>
          <w:sz w:val="24"/>
        </w:rPr>
        <w:t xml:space="preserve"> better reflects NHS practice</w:t>
      </w:r>
      <w:r w:rsidRPr="00995F04">
        <w:rPr>
          <w:rFonts w:ascii="Times New Roman" w:hAnsi="Times New Roman"/>
          <w:sz w:val="24"/>
        </w:rPr>
        <w:t xml:space="preserve">”, a statement which relates to the experts’ consideration of EMN23 but is factually inaccurate so far as the experts’ comments on EMN23-UK is concerned.  The fact that paragraph 3.10 of the FAD includes comments of the experts in relation to EMN23 (the first meeting of the Appraisal Committee) but not EMN23-UK, which formed the basis for discussion at the second Appraisal Committee meeting, is unbalanced and misleading.  Importantly, the haematology expert attended only the second meeting of the Appraisal Committee, so the statement quoted at paragraph 3.10 of the FAD cannot reflect their opinion.  In fact, </w:t>
      </w:r>
      <w:r>
        <w:rPr>
          <w:rFonts w:ascii="Times New Roman" w:hAnsi="Times New Roman"/>
          <w:sz w:val="24"/>
        </w:rPr>
        <w:t xml:space="preserve">when the experts discussed </w:t>
      </w:r>
      <w:r w:rsidRPr="00995F04">
        <w:rPr>
          <w:rFonts w:ascii="Times New Roman" w:hAnsi="Times New Roman"/>
          <w:sz w:val="24"/>
        </w:rPr>
        <w:t xml:space="preserve">EMN23-UK and </w:t>
      </w:r>
      <w:proofErr w:type="spellStart"/>
      <w:r w:rsidRPr="00995F04">
        <w:rPr>
          <w:rFonts w:ascii="Times New Roman" w:hAnsi="Times New Roman"/>
          <w:sz w:val="24"/>
        </w:rPr>
        <w:t>ALchemy</w:t>
      </w:r>
      <w:proofErr w:type="spellEnd"/>
      <w:r>
        <w:rPr>
          <w:rFonts w:ascii="Times New Roman" w:hAnsi="Times New Roman"/>
          <w:sz w:val="24"/>
        </w:rPr>
        <w:t xml:space="preserve"> at the second Committee meeting, they </w:t>
      </w:r>
      <w:proofErr w:type="gramStart"/>
      <w:r>
        <w:rPr>
          <w:rFonts w:ascii="Times New Roman" w:hAnsi="Times New Roman"/>
          <w:sz w:val="24"/>
        </w:rPr>
        <w:t xml:space="preserve">expressed </w:t>
      </w:r>
      <w:r w:rsidRPr="00995F04">
        <w:rPr>
          <w:rFonts w:ascii="Times New Roman" w:hAnsi="Times New Roman"/>
          <w:sz w:val="24"/>
        </w:rPr>
        <w:t xml:space="preserve"> concerns</w:t>
      </w:r>
      <w:proofErr w:type="gramEnd"/>
      <w:r w:rsidRPr="00995F04">
        <w:rPr>
          <w:rFonts w:ascii="Times New Roman" w:hAnsi="Times New Roman"/>
          <w:sz w:val="24"/>
        </w:rPr>
        <w:t xml:space="preserve"> regarding the data from </w:t>
      </w:r>
      <w:proofErr w:type="spellStart"/>
      <w:r w:rsidRPr="00995F04">
        <w:rPr>
          <w:rFonts w:ascii="Times New Roman" w:hAnsi="Times New Roman"/>
          <w:sz w:val="24"/>
        </w:rPr>
        <w:t>ALchemy</w:t>
      </w:r>
      <w:proofErr w:type="spellEnd"/>
      <w:r w:rsidRPr="00995F04">
        <w:rPr>
          <w:rFonts w:ascii="Times New Roman" w:hAnsi="Times New Roman"/>
          <w:sz w:val="24"/>
        </w:rPr>
        <w:t xml:space="preserve"> including the observation of the haematology expert that the Kaplan Meier curves from </w:t>
      </w:r>
      <w:proofErr w:type="spellStart"/>
      <w:r w:rsidRPr="00995F04">
        <w:rPr>
          <w:rFonts w:ascii="Times New Roman" w:hAnsi="Times New Roman"/>
          <w:sz w:val="24"/>
        </w:rPr>
        <w:t>ALchemy</w:t>
      </w:r>
      <w:proofErr w:type="spellEnd"/>
      <w:r w:rsidRPr="00995F04">
        <w:rPr>
          <w:rFonts w:ascii="Times New Roman" w:hAnsi="Times New Roman"/>
          <w:sz w:val="24"/>
        </w:rPr>
        <w:t xml:space="preserve"> are implausible</w:t>
      </w:r>
      <w:r>
        <w:rPr>
          <w:rFonts w:ascii="Times New Roman" w:hAnsi="Times New Roman"/>
          <w:sz w:val="24"/>
        </w:rPr>
        <w:t>.  These concerns, which conflict with the statement regarding the position of the experts are not reflected in the FAD, further confirming that the content of paragraph 3.10 is inaccurate and misleading</w:t>
      </w:r>
    </w:p>
    <w:p w14:paraId="4FAA8D02" w14:textId="77777777" w:rsidR="00775D27" w:rsidRDefault="00775D27" w:rsidP="00775D27">
      <w:pPr>
        <w:spacing w:before="240"/>
        <w:rPr>
          <w:rFonts w:ascii="Times New Roman" w:hAnsi="Times New Roman"/>
          <w:sz w:val="24"/>
        </w:rPr>
      </w:pPr>
      <w:r>
        <w:rPr>
          <w:rFonts w:ascii="Times New Roman" w:hAnsi="Times New Roman"/>
          <w:sz w:val="24"/>
        </w:rPr>
        <w:t xml:space="preserve">In addition, the Committee has disregarded the fact, drawn to its attention by Janssen (Point 2, Janssen ACD Response) </w:t>
      </w:r>
      <w:proofErr w:type="gramStart"/>
      <w:r>
        <w:rPr>
          <w:rFonts w:ascii="Times New Roman" w:hAnsi="Times New Roman"/>
          <w:sz w:val="24"/>
        </w:rPr>
        <w:t>and also</w:t>
      </w:r>
      <w:proofErr w:type="gramEnd"/>
      <w:r>
        <w:rPr>
          <w:rFonts w:ascii="Times New Roman" w:hAnsi="Times New Roman"/>
          <w:sz w:val="24"/>
        </w:rPr>
        <w:t xml:space="preserve"> noted by the ERG’s expert, that the haematologic response criteria from </w:t>
      </w:r>
      <w:proofErr w:type="spellStart"/>
      <w:r>
        <w:rPr>
          <w:rFonts w:ascii="Times New Roman" w:hAnsi="Times New Roman"/>
          <w:sz w:val="24"/>
        </w:rPr>
        <w:t>ALchemy</w:t>
      </w:r>
      <w:proofErr w:type="spellEnd"/>
      <w:r>
        <w:rPr>
          <w:rFonts w:ascii="Times New Roman" w:hAnsi="Times New Roman"/>
          <w:sz w:val="24"/>
        </w:rPr>
        <w:t xml:space="preserve"> were not aligned with the response criteria used in ANDROMEDA. Specifically, the ERG’s clinical advisor stated that </w:t>
      </w:r>
      <w:r w:rsidRPr="00636F89">
        <w:rPr>
          <w:rFonts w:ascii="Times New Roman" w:hAnsi="Times New Roman"/>
          <w:i/>
          <w:iCs/>
          <w:sz w:val="24"/>
        </w:rPr>
        <w:t xml:space="preserve">“the reclassification of response is important as the older criteria used in the analysis of </w:t>
      </w:r>
      <w:proofErr w:type="spellStart"/>
      <w:r w:rsidRPr="00636F89">
        <w:rPr>
          <w:rFonts w:ascii="Times New Roman" w:hAnsi="Times New Roman"/>
          <w:i/>
          <w:iCs/>
          <w:sz w:val="24"/>
        </w:rPr>
        <w:t>ALchemy</w:t>
      </w:r>
      <w:proofErr w:type="spellEnd"/>
      <w:r w:rsidRPr="00636F89">
        <w:rPr>
          <w:rFonts w:ascii="Times New Roman" w:hAnsi="Times New Roman"/>
          <w:i/>
          <w:iCs/>
          <w:sz w:val="24"/>
        </w:rPr>
        <w:t xml:space="preserve"> were problematic”</w:t>
      </w:r>
      <w:r>
        <w:rPr>
          <w:rFonts w:ascii="Times New Roman" w:hAnsi="Times New Roman"/>
          <w:i/>
          <w:iCs/>
          <w:sz w:val="24"/>
        </w:rPr>
        <w:t xml:space="preserve"> </w:t>
      </w:r>
      <w:r>
        <w:rPr>
          <w:rFonts w:ascii="Times New Roman" w:hAnsi="Times New Roman"/>
          <w:sz w:val="24"/>
        </w:rPr>
        <w:t xml:space="preserve">(Page 8, </w:t>
      </w:r>
      <w:r w:rsidRPr="00D71381">
        <w:rPr>
          <w:rFonts w:ascii="Times New Roman" w:hAnsi="Times New Roman"/>
          <w:sz w:val="24"/>
        </w:rPr>
        <w:t>Evidence Review Group’s Critique of the Company’s Response to the A</w:t>
      </w:r>
      <w:r>
        <w:rPr>
          <w:rFonts w:ascii="Times New Roman" w:hAnsi="Times New Roman"/>
          <w:sz w:val="24"/>
        </w:rPr>
        <w:t>CD</w:t>
      </w:r>
      <w:r w:rsidRPr="00D71381">
        <w:rPr>
          <w:rFonts w:ascii="Times New Roman" w:hAnsi="Times New Roman"/>
          <w:sz w:val="24"/>
        </w:rPr>
        <w:t>)</w:t>
      </w:r>
      <w:r>
        <w:rPr>
          <w:rFonts w:ascii="Times New Roman" w:hAnsi="Times New Roman"/>
          <w:sz w:val="24"/>
        </w:rPr>
        <w:t>.</w:t>
      </w:r>
    </w:p>
    <w:p w14:paraId="0E6F19C1" w14:textId="18900BF6" w:rsidR="00775D27" w:rsidRDefault="00775D27" w:rsidP="00775D27">
      <w:pPr>
        <w:spacing w:before="240"/>
        <w:rPr>
          <w:rFonts w:ascii="Times New Roman" w:hAnsi="Times New Roman"/>
          <w:sz w:val="24"/>
        </w:rPr>
      </w:pPr>
      <w:r>
        <w:rPr>
          <w:rFonts w:ascii="Times New Roman" w:hAnsi="Times New Roman"/>
          <w:sz w:val="24"/>
        </w:rPr>
        <w:t xml:space="preserve">A further issue with </w:t>
      </w:r>
      <w:proofErr w:type="spellStart"/>
      <w:r>
        <w:rPr>
          <w:rFonts w:ascii="Times New Roman" w:hAnsi="Times New Roman"/>
          <w:sz w:val="24"/>
        </w:rPr>
        <w:t>ALchemy</w:t>
      </w:r>
      <w:proofErr w:type="spellEnd"/>
      <w:r>
        <w:rPr>
          <w:rFonts w:ascii="Times New Roman" w:hAnsi="Times New Roman"/>
          <w:sz w:val="24"/>
        </w:rPr>
        <w:t xml:space="preserve"> was the potential risk of confounding due to treatment switching. This was discussed in the first appraisal committee meeting and referred to in Section 3.11 of the ACD, </w:t>
      </w:r>
      <w:r w:rsidRPr="00282972">
        <w:rPr>
          <w:rFonts w:ascii="Times New Roman" w:hAnsi="Times New Roman"/>
          <w:i/>
          <w:iCs/>
          <w:sz w:val="24"/>
        </w:rPr>
        <w:t>“However, in ALCHEMY, response status at 6 months was reported irrespective of previous treatment changes – for instance, a person who switched treatments after 3 months and whose condition subsequently responded would be reported as having a response. This suggests t</w:t>
      </w:r>
      <w:r>
        <w:rPr>
          <w:rFonts w:ascii="Times New Roman" w:hAnsi="Times New Roman"/>
          <w:i/>
          <w:iCs/>
          <w:sz w:val="24"/>
        </w:rPr>
        <w:t>h</w:t>
      </w:r>
      <w:r w:rsidRPr="00282972">
        <w:rPr>
          <w:rFonts w:ascii="Times New Roman" w:hAnsi="Times New Roman"/>
          <w:i/>
          <w:iCs/>
          <w:sz w:val="24"/>
        </w:rPr>
        <w:t>at the response categorisation at 6 months in ANDROMEDA does not match the response categorisation from ALCHEMY.”</w:t>
      </w:r>
    </w:p>
    <w:p w14:paraId="6791E99A" w14:textId="77777777" w:rsidR="00775D27" w:rsidRDefault="00775D27" w:rsidP="00775D27">
      <w:pPr>
        <w:spacing w:before="240"/>
        <w:rPr>
          <w:rFonts w:ascii="Times New Roman" w:hAnsi="Times New Roman"/>
          <w:sz w:val="24"/>
        </w:rPr>
      </w:pPr>
      <w:r>
        <w:rPr>
          <w:rFonts w:ascii="Times New Roman" w:hAnsi="Times New Roman"/>
          <w:sz w:val="24"/>
        </w:rPr>
        <w:t xml:space="preserve">Finally, the fact that patient level data were not available from </w:t>
      </w:r>
      <w:proofErr w:type="spellStart"/>
      <w:r>
        <w:rPr>
          <w:rFonts w:ascii="Times New Roman" w:hAnsi="Times New Roman"/>
          <w:sz w:val="24"/>
        </w:rPr>
        <w:t>ALchemy</w:t>
      </w:r>
      <w:proofErr w:type="spellEnd"/>
      <w:r>
        <w:rPr>
          <w:rFonts w:ascii="Times New Roman" w:hAnsi="Times New Roman"/>
          <w:sz w:val="24"/>
        </w:rPr>
        <w:t xml:space="preserve"> with the result that the inconsistencies identified above could not be corrected, provides a clear reason why EMN23-UK should have been preferred.</w:t>
      </w:r>
    </w:p>
    <w:p w14:paraId="573BB676" w14:textId="77777777" w:rsidR="00775D27" w:rsidRPr="00995F04" w:rsidRDefault="00775D27" w:rsidP="00775D27">
      <w:pPr>
        <w:spacing w:before="240"/>
        <w:rPr>
          <w:rFonts w:ascii="Times New Roman" w:hAnsi="Times New Roman"/>
          <w:sz w:val="24"/>
        </w:rPr>
      </w:pPr>
      <w:r>
        <w:rPr>
          <w:rFonts w:ascii="Times New Roman" w:hAnsi="Times New Roman"/>
          <w:sz w:val="24"/>
        </w:rPr>
        <w:t xml:space="preserve">In summary therefore, the unbalanced reference to the views of the clinical experts together with the failure to consider the implausible Kaplan Meier curves from </w:t>
      </w:r>
      <w:proofErr w:type="spellStart"/>
      <w:r>
        <w:rPr>
          <w:rFonts w:ascii="Times New Roman" w:hAnsi="Times New Roman"/>
          <w:sz w:val="24"/>
        </w:rPr>
        <w:t>ALchemy</w:t>
      </w:r>
      <w:proofErr w:type="spellEnd"/>
      <w:r>
        <w:rPr>
          <w:rFonts w:ascii="Times New Roman" w:hAnsi="Times New Roman"/>
          <w:sz w:val="24"/>
        </w:rPr>
        <w:t xml:space="preserve">, the </w:t>
      </w:r>
      <w:r>
        <w:rPr>
          <w:rFonts w:ascii="Times New Roman" w:hAnsi="Times New Roman"/>
          <w:sz w:val="24"/>
        </w:rPr>
        <w:lastRenderedPageBreak/>
        <w:t xml:space="preserve">inconsistency between the haematologic response criteria used by </w:t>
      </w:r>
      <w:proofErr w:type="spellStart"/>
      <w:r>
        <w:rPr>
          <w:rFonts w:ascii="Times New Roman" w:hAnsi="Times New Roman"/>
          <w:sz w:val="24"/>
        </w:rPr>
        <w:t>ALchemy</w:t>
      </w:r>
      <w:proofErr w:type="spellEnd"/>
      <w:r>
        <w:rPr>
          <w:rFonts w:ascii="Times New Roman" w:hAnsi="Times New Roman"/>
          <w:sz w:val="24"/>
        </w:rPr>
        <w:t xml:space="preserve"> and in ANDROMEDA and the lack of access to patient level data from </w:t>
      </w:r>
      <w:proofErr w:type="spellStart"/>
      <w:r>
        <w:rPr>
          <w:rFonts w:ascii="Times New Roman" w:hAnsi="Times New Roman"/>
          <w:sz w:val="24"/>
        </w:rPr>
        <w:t>ALchemy</w:t>
      </w:r>
      <w:proofErr w:type="spellEnd"/>
      <w:r>
        <w:rPr>
          <w:rFonts w:ascii="Times New Roman" w:hAnsi="Times New Roman"/>
          <w:sz w:val="24"/>
        </w:rPr>
        <w:t xml:space="preserve"> indicate that the approach of the Committee in concluding that both </w:t>
      </w:r>
      <w:proofErr w:type="spellStart"/>
      <w:r>
        <w:rPr>
          <w:rFonts w:ascii="Times New Roman" w:hAnsi="Times New Roman"/>
          <w:sz w:val="24"/>
        </w:rPr>
        <w:t>ALchemy</w:t>
      </w:r>
      <w:proofErr w:type="spellEnd"/>
      <w:r>
        <w:rPr>
          <w:rFonts w:ascii="Times New Roman" w:hAnsi="Times New Roman"/>
          <w:sz w:val="24"/>
        </w:rPr>
        <w:t xml:space="preserve"> and EMN23-UK may be representative of UK clinical practice, is unreasonable.    </w:t>
      </w:r>
      <w:r w:rsidRPr="00995F04">
        <w:rPr>
          <w:rFonts w:ascii="Times New Roman" w:hAnsi="Times New Roman"/>
          <w:sz w:val="24"/>
        </w:rPr>
        <w:t xml:space="preserve">    </w:t>
      </w:r>
    </w:p>
    <w:p w14:paraId="28D3B34C" w14:textId="77777777" w:rsidR="00775D27" w:rsidRPr="004F747B" w:rsidRDefault="00775D27" w:rsidP="00775D27">
      <w:pPr>
        <w:pStyle w:val="Heading2"/>
        <w:spacing w:before="120" w:line="276" w:lineRule="auto"/>
        <w:jc w:val="both"/>
        <w:rPr>
          <w:rFonts w:ascii="Times New Roman" w:hAnsi="Times New Roman"/>
          <w:sz w:val="24"/>
        </w:rPr>
      </w:pPr>
      <w:r w:rsidRPr="004F747B">
        <w:rPr>
          <w:rFonts w:ascii="Times New Roman" w:hAnsi="Times New Roman"/>
          <w:sz w:val="24"/>
          <w:szCs w:val="22"/>
        </w:rPr>
        <w:t xml:space="preserve">Appeal </w:t>
      </w:r>
      <w:proofErr w:type="gramStart"/>
      <w:r w:rsidRPr="004F747B">
        <w:rPr>
          <w:rFonts w:ascii="Times New Roman" w:hAnsi="Times New Roman"/>
          <w:sz w:val="24"/>
          <w:szCs w:val="22"/>
        </w:rPr>
        <w:t>point</w:t>
      </w:r>
      <w:proofErr w:type="gramEnd"/>
      <w:r w:rsidRPr="004F747B">
        <w:rPr>
          <w:rFonts w:ascii="Times New Roman" w:hAnsi="Times New Roman"/>
          <w:sz w:val="24"/>
          <w:szCs w:val="22"/>
        </w:rPr>
        <w:t xml:space="preserve"> 2.2 The Committee’s conclusion that “it had not been shown if daratumumab in combination improves overall survival” conflicts with the balance of the available evidence. </w:t>
      </w:r>
    </w:p>
    <w:p w14:paraId="5C9229B3" w14:textId="77777777" w:rsidR="00775D27" w:rsidRDefault="00775D27" w:rsidP="00775D27">
      <w:pPr>
        <w:spacing w:before="240"/>
        <w:rPr>
          <w:rFonts w:ascii="Times New Roman" w:hAnsi="Times New Roman"/>
          <w:sz w:val="24"/>
        </w:rPr>
      </w:pPr>
      <w:r w:rsidRPr="004F747B">
        <w:rPr>
          <w:rFonts w:ascii="Times New Roman" w:hAnsi="Times New Roman"/>
          <w:sz w:val="24"/>
        </w:rPr>
        <w:t>You express the preliminary view that this point of appeal should not be permitted to proceed to an oral hearing on the basis</w:t>
      </w:r>
      <w:r>
        <w:rPr>
          <w:rFonts w:ascii="Times New Roman" w:hAnsi="Times New Roman"/>
          <w:sz w:val="24"/>
        </w:rPr>
        <w:t xml:space="preserve"> that there was no direct evidence in relation to OS and, while the committee was invited to consider complete haematological response as a surrogate endpoint, “a clear basis for the committee’s concern in respect of overall survival data is apparent from the evidence submitted to it”. As indicated in our response to your preliminary view in relation to appeal point 1(a).2 above, you refer to Janssen’s original submission and the ERG’s initial report dated September 2021.</w:t>
      </w:r>
    </w:p>
    <w:p w14:paraId="6E568F9E" w14:textId="77777777" w:rsidR="00775D27" w:rsidRDefault="00775D27" w:rsidP="00775D27">
      <w:pPr>
        <w:spacing w:before="240"/>
        <w:rPr>
          <w:rFonts w:ascii="Times New Roman" w:hAnsi="Times New Roman"/>
          <w:sz w:val="24"/>
        </w:rPr>
      </w:pPr>
      <w:r>
        <w:rPr>
          <w:rFonts w:ascii="Times New Roman" w:hAnsi="Times New Roman"/>
          <w:sz w:val="24"/>
        </w:rPr>
        <w:t xml:space="preserve">This point of appeal is based on Janssen’s case that the Committee’s conclusions are unreasonable </w:t>
      </w:r>
      <w:proofErr w:type="gramStart"/>
      <w:r>
        <w:rPr>
          <w:rFonts w:ascii="Times New Roman" w:hAnsi="Times New Roman"/>
          <w:sz w:val="24"/>
        </w:rPr>
        <w:t>in light of</w:t>
      </w:r>
      <w:proofErr w:type="gramEnd"/>
      <w:r>
        <w:rPr>
          <w:rFonts w:ascii="Times New Roman" w:hAnsi="Times New Roman"/>
          <w:sz w:val="24"/>
        </w:rPr>
        <w:t xml:space="preserve"> the evidence submitted.  The matters raised in our response to your preliminary views on appeal point 1(a).2 above (a procedural point </w:t>
      </w:r>
      <w:proofErr w:type="gramStart"/>
      <w:r>
        <w:rPr>
          <w:rFonts w:ascii="Times New Roman" w:hAnsi="Times New Roman"/>
          <w:sz w:val="24"/>
        </w:rPr>
        <w:t>based on the fact that</w:t>
      </w:r>
      <w:proofErr w:type="gramEnd"/>
      <w:r>
        <w:rPr>
          <w:rFonts w:ascii="Times New Roman" w:hAnsi="Times New Roman"/>
          <w:sz w:val="24"/>
        </w:rPr>
        <w:t xml:space="preserve"> the Committee seemingly disregarded important relevant evidence when reaching its conclusions) are also relevant to our response to this point of appeal. </w:t>
      </w:r>
    </w:p>
    <w:p w14:paraId="09D08734" w14:textId="77777777" w:rsidR="00775D27" w:rsidRDefault="00775D27" w:rsidP="00775D27">
      <w:pPr>
        <w:spacing w:before="240"/>
        <w:rPr>
          <w:rFonts w:ascii="Times New Roman" w:hAnsi="Times New Roman"/>
          <w:sz w:val="24"/>
        </w:rPr>
      </w:pPr>
      <w:r>
        <w:rPr>
          <w:rFonts w:ascii="Times New Roman" w:hAnsi="Times New Roman"/>
          <w:sz w:val="24"/>
        </w:rPr>
        <w:t>In particular, while you refer to evidence as submitted to NICE in September 2021, at the commencement of this appraisal by Janssen and the ERG, as supporting the Committee’s conclusion that “</w:t>
      </w:r>
      <w:r w:rsidRPr="00815A70">
        <w:rPr>
          <w:rFonts w:ascii="Times New Roman" w:hAnsi="Times New Roman"/>
          <w:i/>
          <w:iCs/>
          <w:sz w:val="24"/>
        </w:rPr>
        <w:t>it had not been shown if daratumumab in combination improves overall survival</w:t>
      </w:r>
      <w:r>
        <w:rPr>
          <w:rFonts w:ascii="Times New Roman" w:hAnsi="Times New Roman"/>
          <w:sz w:val="24"/>
        </w:rPr>
        <w:t>”, it is Janssen’s case: (a) that even at that stage the balance of the evidence indicated that daratumumab in combination is associated with benefit in terms of overall survival; and (b) the material to which you refer disregards all evidence submitted to NICE since September 2021, including the updated analyses from ANDROMEDA based on the 12 months landmark analysis of safety data (with median follow up of 20.3 months), provided in response to the ACD, which demonstrate a 6.6% survival advantage at a median follow-up of 20.3 months (12.4 months landmark analysis) in patients treated with daratumumab in combination.</w:t>
      </w:r>
    </w:p>
    <w:p w14:paraId="1FDF9176" w14:textId="77777777" w:rsidR="00775D27" w:rsidRDefault="00775D27" w:rsidP="00775D27">
      <w:pPr>
        <w:spacing w:before="240"/>
        <w:rPr>
          <w:rFonts w:ascii="Times New Roman" w:hAnsi="Times New Roman"/>
          <w:sz w:val="24"/>
        </w:rPr>
      </w:pPr>
      <w:r>
        <w:rPr>
          <w:rFonts w:ascii="Times New Roman" w:hAnsi="Times New Roman"/>
          <w:sz w:val="24"/>
        </w:rPr>
        <w:t xml:space="preserve">In particular, the Committee has disregarded the implications of the data demonstrating a delay in major organ deterioration (an endpoint closely linked with OS) in patients treated with daratumumab in combination, when considering the evidence for an OS benefit.  It has also failed to take account of the </w:t>
      </w:r>
      <w:r w:rsidRPr="00DE781F">
        <w:rPr>
          <w:rFonts w:ascii="Times New Roman" w:hAnsi="Times New Roman"/>
          <w:sz w:val="24"/>
        </w:rPr>
        <w:t>additional survival results from the ANDROMEDA safety data</w:t>
      </w:r>
      <w:r>
        <w:rPr>
          <w:rFonts w:ascii="Times New Roman" w:hAnsi="Times New Roman"/>
          <w:sz w:val="24"/>
        </w:rPr>
        <w:t>,</w:t>
      </w:r>
      <w:r w:rsidRPr="00DE781F">
        <w:rPr>
          <w:rFonts w:ascii="Times New Roman" w:hAnsi="Times New Roman"/>
          <w:sz w:val="24"/>
        </w:rPr>
        <w:t xml:space="preserve"> set at a median follow up of 20.3 months</w:t>
      </w:r>
      <w:r>
        <w:rPr>
          <w:rFonts w:ascii="Times New Roman" w:hAnsi="Times New Roman"/>
          <w:sz w:val="24"/>
        </w:rPr>
        <w:t xml:space="preserve"> and submitted in response to the ACD which provide direct evidence of an improvement in OS in patients on daratumumab in combination.</w:t>
      </w:r>
    </w:p>
    <w:p w14:paraId="5EDC1EDA" w14:textId="77777777" w:rsidR="00775D27" w:rsidRPr="004F747B" w:rsidRDefault="00775D27" w:rsidP="00775D27">
      <w:pPr>
        <w:spacing w:before="240"/>
        <w:rPr>
          <w:rFonts w:ascii="Times New Roman" w:hAnsi="Times New Roman"/>
          <w:sz w:val="24"/>
        </w:rPr>
      </w:pPr>
      <w:r>
        <w:rPr>
          <w:rFonts w:ascii="Times New Roman" w:hAnsi="Times New Roman"/>
          <w:sz w:val="24"/>
        </w:rPr>
        <w:t>Taken together the balance of this evidence supports a survival benefit in patients who receive treatment with daratumumab in combination and the Committee’s conclusion to the contrary is unreasonable.</w:t>
      </w:r>
    </w:p>
    <w:p w14:paraId="3D9879DF" w14:textId="77777777" w:rsidR="00775D27" w:rsidRPr="004F747B" w:rsidRDefault="00775D27" w:rsidP="00775D27">
      <w:pPr>
        <w:rPr>
          <w:rFonts w:ascii="Times New Roman" w:hAnsi="Times New Roman"/>
          <w:sz w:val="24"/>
        </w:rPr>
      </w:pPr>
      <w:r w:rsidRPr="004F747B">
        <w:rPr>
          <w:rFonts w:ascii="Times New Roman" w:hAnsi="Times New Roman"/>
          <w:sz w:val="24"/>
        </w:rPr>
        <w:lastRenderedPageBreak/>
        <w:t>We hope that the matters set out in this letter have clarified our appeal and that you now agree that all points may proceed to a full hearing.</w:t>
      </w:r>
    </w:p>
    <w:p w14:paraId="1D883056" w14:textId="77777777" w:rsidR="00775D27" w:rsidRPr="004F747B" w:rsidRDefault="00775D27" w:rsidP="00775D27">
      <w:pPr>
        <w:rPr>
          <w:rFonts w:ascii="Times New Roman" w:hAnsi="Times New Roman"/>
          <w:sz w:val="24"/>
        </w:rPr>
      </w:pPr>
      <w:r w:rsidRPr="004F747B">
        <w:rPr>
          <w:rFonts w:ascii="Times New Roman" w:hAnsi="Times New Roman"/>
          <w:sz w:val="24"/>
        </w:rPr>
        <w:t xml:space="preserve">Yours sincerely </w:t>
      </w:r>
    </w:p>
    <w:p w14:paraId="0CB3224C" w14:textId="77777777" w:rsidR="00775D27" w:rsidRPr="004F747B" w:rsidRDefault="00775D27" w:rsidP="00775D27">
      <w:pPr>
        <w:rPr>
          <w:rFonts w:ascii="Times New Roman" w:hAnsi="Times New Roman"/>
          <w:sz w:val="24"/>
        </w:rPr>
      </w:pPr>
      <w:r w:rsidRPr="004F747B">
        <w:rPr>
          <w:rFonts w:ascii="Times New Roman" w:hAnsi="Times New Roman"/>
          <w:sz w:val="24"/>
        </w:rPr>
        <w:t xml:space="preserve"> </w:t>
      </w:r>
    </w:p>
    <w:p w14:paraId="34A5F4DF" w14:textId="57B08497" w:rsidR="00F84B9E" w:rsidRPr="00191DBA" w:rsidRDefault="00BC6946" w:rsidP="00F84B9E">
      <w:pPr>
        <w:autoSpaceDE w:val="0"/>
        <w:autoSpaceDN w:val="0"/>
        <w:rPr>
          <w:rFonts w:ascii="Times New Roman" w:eastAsia="Times New Roman" w:hAnsi="Times New Roman" w:cs="Times New Roman"/>
          <w:bCs/>
          <w:sz w:val="24"/>
          <w:szCs w:val="24"/>
        </w:rPr>
      </w:pPr>
      <w:proofErr w:type="spellStart"/>
      <w:r w:rsidRPr="00BC6946">
        <w:rPr>
          <w:rFonts w:ascii="Times New Roman" w:eastAsia="Times New Roman" w:hAnsi="Times New Roman" w:cs="Times New Roman"/>
          <w:bCs/>
          <w:sz w:val="24"/>
          <w:szCs w:val="24"/>
          <w:highlight w:val="black"/>
        </w:rPr>
        <w:t>xxxxxxxxxxxxxx</w:t>
      </w:r>
      <w:proofErr w:type="spellEnd"/>
    </w:p>
    <w:p w14:paraId="5DAFCEC6" w14:textId="77777777" w:rsidR="00F84B9E" w:rsidRDefault="00F84B9E" w:rsidP="00F84B9E">
      <w:pPr>
        <w:autoSpaceDE w:val="0"/>
        <w:autoSpaceDN w:val="0"/>
        <w:rPr>
          <w:rFonts w:ascii="Times New Roman" w:eastAsia="Times New Roman" w:hAnsi="Times New Roman" w:cs="Times New Roman"/>
          <w:bCs/>
          <w:sz w:val="20"/>
          <w:szCs w:val="20"/>
        </w:rPr>
      </w:pPr>
      <w:r w:rsidRPr="00191DBA">
        <w:rPr>
          <w:rFonts w:ascii="Times New Roman" w:eastAsia="Times New Roman" w:hAnsi="Times New Roman" w:cs="Times New Roman"/>
          <w:bCs/>
          <w:sz w:val="20"/>
          <w:szCs w:val="20"/>
        </w:rPr>
        <w:t>Senior Director, Patient Access</w:t>
      </w:r>
      <w:r>
        <w:rPr>
          <w:rFonts w:ascii="Times New Roman" w:eastAsia="Times New Roman" w:hAnsi="Times New Roman" w:cs="Times New Roman"/>
          <w:bCs/>
          <w:sz w:val="20"/>
          <w:szCs w:val="20"/>
        </w:rPr>
        <w:t>, Janssen-Cilag Ltd</w:t>
      </w:r>
      <w:r w:rsidRPr="00191DBA">
        <w:rPr>
          <w:rFonts w:ascii="Times New Roman" w:eastAsia="Times New Roman" w:hAnsi="Times New Roman" w:cs="Times New Roman"/>
          <w:bCs/>
          <w:sz w:val="20"/>
          <w:szCs w:val="20"/>
        </w:rPr>
        <w:t xml:space="preserve"> </w:t>
      </w:r>
    </w:p>
    <w:p w14:paraId="3C9C71E0" w14:textId="77777777" w:rsidR="00F84B9E" w:rsidRPr="00191DBA" w:rsidRDefault="00F84B9E" w:rsidP="00F84B9E">
      <w:pPr>
        <w:autoSpaceDE w:val="0"/>
        <w:autoSpaceDN w:val="0"/>
        <w:rPr>
          <w:rFonts w:ascii="Times New Roman" w:eastAsia="Times New Roman" w:hAnsi="Times New Roman" w:cs="Times New Roman"/>
          <w:bCs/>
          <w:sz w:val="24"/>
          <w:szCs w:val="24"/>
        </w:rPr>
      </w:pPr>
      <w:r w:rsidRPr="00191DBA">
        <w:rPr>
          <w:rFonts w:ascii="Times New Roman" w:eastAsia="Times New Roman" w:hAnsi="Times New Roman" w:cs="Times New Roman"/>
          <w:bCs/>
          <w:noProof/>
          <w:sz w:val="24"/>
          <w:szCs w:val="24"/>
        </w:rPr>
        <w:drawing>
          <wp:inline distT="0" distB="0" distL="0" distR="0" wp14:anchorId="58C96016" wp14:editId="4078114C">
            <wp:extent cx="1722120" cy="54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2120" cy="548640"/>
                    </a:xfrm>
                    <a:prstGeom prst="rect">
                      <a:avLst/>
                    </a:prstGeom>
                    <a:noFill/>
                    <a:ln>
                      <a:noFill/>
                    </a:ln>
                  </pic:spPr>
                </pic:pic>
              </a:graphicData>
            </a:graphic>
          </wp:inline>
        </w:drawing>
      </w:r>
    </w:p>
    <w:p w14:paraId="7607B7A4" w14:textId="77777777" w:rsidR="0058166D" w:rsidRPr="0058166D" w:rsidRDefault="0058166D" w:rsidP="0058166D">
      <w:pPr>
        <w:spacing w:before="100" w:beforeAutospacing="1" w:after="60" w:line="240" w:lineRule="auto"/>
        <w:jc w:val="both"/>
        <w:rPr>
          <w:rFonts w:ascii="Calibri" w:hAnsi="Calibri"/>
        </w:rPr>
      </w:pPr>
    </w:p>
    <w:p w14:paraId="211D04F8" w14:textId="77777777" w:rsidR="0058166D" w:rsidRPr="0058166D" w:rsidRDefault="0058166D" w:rsidP="0058166D">
      <w:pPr>
        <w:jc w:val="both"/>
      </w:pPr>
      <w:r>
        <w:t xml:space="preserve"> </w:t>
      </w:r>
    </w:p>
    <w:sectPr w:rsidR="0058166D" w:rsidRPr="0058166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7EC48" w14:textId="77777777" w:rsidR="005040A1" w:rsidRDefault="005040A1" w:rsidP="0058166D">
      <w:pPr>
        <w:spacing w:after="0" w:line="240" w:lineRule="auto"/>
      </w:pPr>
      <w:r>
        <w:separator/>
      </w:r>
    </w:p>
  </w:endnote>
  <w:endnote w:type="continuationSeparator" w:id="0">
    <w:p w14:paraId="68963DA8" w14:textId="77777777" w:rsidR="005040A1" w:rsidRDefault="005040A1" w:rsidP="0058166D">
      <w:pPr>
        <w:spacing w:after="0" w:line="240" w:lineRule="auto"/>
      </w:pPr>
      <w:r>
        <w:continuationSeparator/>
      </w:r>
    </w:p>
  </w:endnote>
  <w:endnote w:type="continuationNotice" w:id="1">
    <w:p w14:paraId="2945EB29" w14:textId="77777777" w:rsidR="005040A1" w:rsidRDefault="00504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2735" w14:textId="77777777" w:rsidR="0058166D" w:rsidRDefault="0058166D">
    <w:pPr>
      <w:pStyle w:val="Footer"/>
    </w:pPr>
    <w:r>
      <w:rPr>
        <w:noProof/>
      </w:rPr>
      <w:drawing>
        <wp:anchor distT="0" distB="0" distL="114300" distR="114300" simplePos="0" relativeHeight="251659264" behindDoc="1" locked="0" layoutInCell="1" allowOverlap="1" wp14:anchorId="54ABC9E1" wp14:editId="5D6C9647">
          <wp:simplePos x="0" y="0"/>
          <wp:positionH relativeFrom="page">
            <wp:posOffset>703580</wp:posOffset>
          </wp:positionH>
          <wp:positionV relativeFrom="page">
            <wp:posOffset>8239125</wp:posOffset>
          </wp:positionV>
          <wp:extent cx="6738620" cy="2505075"/>
          <wp:effectExtent l="0" t="0" r="508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8620" cy="25050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0B583" w14:textId="77777777" w:rsidR="005040A1" w:rsidRDefault="005040A1" w:rsidP="0058166D">
      <w:pPr>
        <w:spacing w:after="0" w:line="240" w:lineRule="auto"/>
      </w:pPr>
      <w:r>
        <w:separator/>
      </w:r>
    </w:p>
  </w:footnote>
  <w:footnote w:type="continuationSeparator" w:id="0">
    <w:p w14:paraId="3DBCCAD5" w14:textId="77777777" w:rsidR="005040A1" w:rsidRDefault="005040A1" w:rsidP="0058166D">
      <w:pPr>
        <w:spacing w:after="0" w:line="240" w:lineRule="auto"/>
      </w:pPr>
      <w:r>
        <w:continuationSeparator/>
      </w:r>
    </w:p>
  </w:footnote>
  <w:footnote w:type="continuationNotice" w:id="1">
    <w:p w14:paraId="3188AEC8" w14:textId="77777777" w:rsidR="005040A1" w:rsidRDefault="005040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61BB" w14:textId="77777777" w:rsidR="0058166D" w:rsidRDefault="0058166D">
    <w:pPr>
      <w:pStyle w:val="Header"/>
    </w:pPr>
    <w:r>
      <w:rPr>
        <w:noProof/>
      </w:rPr>
      <w:drawing>
        <wp:anchor distT="0" distB="0" distL="114300" distR="114300" simplePos="0" relativeHeight="251658240" behindDoc="1" locked="0" layoutInCell="1" allowOverlap="1" wp14:anchorId="3BCB3237" wp14:editId="7D522D96">
          <wp:simplePos x="0" y="0"/>
          <wp:positionH relativeFrom="page">
            <wp:posOffset>5575935</wp:posOffset>
          </wp:positionH>
          <wp:positionV relativeFrom="page">
            <wp:posOffset>130175</wp:posOffset>
          </wp:positionV>
          <wp:extent cx="1391920" cy="6902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920" cy="6902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0B2"/>
    <w:multiLevelType w:val="multilevel"/>
    <w:tmpl w:val="D9427086"/>
    <w:lvl w:ilvl="0">
      <w:start w:val="1"/>
      <w:numFmt w:val="decimal"/>
      <w:pStyle w:val="Numberedlevel3text"/>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b w:val="0"/>
        <w:i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 w15:restartNumberingAfterBreak="0">
    <w:nsid w:val="17025E1E"/>
    <w:multiLevelType w:val="hybridMultilevel"/>
    <w:tmpl w:val="26222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E0E41"/>
    <w:multiLevelType w:val="multilevel"/>
    <w:tmpl w:val="F08E040A"/>
    <w:styleLink w:val="NICEnumberedheadings"/>
    <w:lvl w:ilvl="0">
      <w:start w:val="1"/>
      <w:numFmt w:val="decimal"/>
      <w:pStyle w:val="Heading1"/>
      <w:lvlText w:val="A.%1"/>
      <w:lvlJc w:val="left"/>
      <w:pPr>
        <w:ind w:left="1134" w:hanging="1134"/>
      </w:pPr>
      <w:rPr>
        <w:rFonts w:hint="default"/>
      </w:rPr>
    </w:lvl>
    <w:lvl w:ilvl="1">
      <w:start w:val="1"/>
      <w:numFmt w:val="decimal"/>
      <w:pStyle w:val="Heading2"/>
      <w:lvlText w:val="A.%1.%2"/>
      <w:lvlJc w:val="left"/>
      <w:pPr>
        <w:ind w:left="1134" w:hanging="1134"/>
      </w:pPr>
      <w:rPr>
        <w:rFonts w:hint="default"/>
      </w:rPr>
    </w:lvl>
    <w:lvl w:ilvl="2">
      <w:start w:val="1"/>
      <w:numFmt w:val="decimal"/>
      <w:pStyle w:val="Heading3"/>
      <w:lvlText w:val="A.%1.%2.%3"/>
      <w:lvlJc w:val="left"/>
      <w:pPr>
        <w:ind w:left="1134" w:hanging="1134"/>
      </w:pPr>
      <w:rPr>
        <w:rFonts w:hint="default"/>
      </w:rPr>
    </w:lvl>
    <w:lvl w:ilvl="3">
      <w:start w:val="1"/>
      <w:numFmt w:val="decimal"/>
      <w:pStyle w:val="Heading4"/>
      <w:lvlText w:val="A.%1.%2.%3.%4"/>
      <w:lvlJc w:val="left"/>
      <w:pPr>
        <w:ind w:left="1134" w:hanging="1134"/>
      </w:pPr>
      <w:rPr>
        <w:rFonts w:hint="default"/>
      </w:rPr>
    </w:lvl>
    <w:lvl w:ilvl="4">
      <w:start w:val="1"/>
      <w:numFmt w:val="decimal"/>
      <w:pStyle w:val="Heading5"/>
      <w:lvlText w:val="A.%1.%2.%3.%4.%5"/>
      <w:lvlJc w:val="left"/>
      <w:pPr>
        <w:ind w:left="1418" w:hanging="1418"/>
      </w:pPr>
      <w:rPr>
        <w:rFonts w:hint="default"/>
      </w:rPr>
    </w:lvl>
    <w:lvl w:ilvl="5">
      <w:start w:val="1"/>
      <w:numFmt w:val="none"/>
      <w:pStyle w:val="Heading6"/>
      <w:lvlText w:val=""/>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A111C4"/>
    <w:multiLevelType w:val="hybridMultilevel"/>
    <w:tmpl w:val="D2E06F94"/>
    <w:lvl w:ilvl="0" w:tplc="9426DD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51665"/>
    <w:multiLevelType w:val="hybridMultilevel"/>
    <w:tmpl w:val="AD5E66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4F2E34"/>
    <w:multiLevelType w:val="hybridMultilevel"/>
    <w:tmpl w:val="7F2A10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4F4442F"/>
    <w:multiLevelType w:val="multilevel"/>
    <w:tmpl w:val="F08E040A"/>
    <w:numStyleLink w:val="NICEnumberedheadings"/>
  </w:abstractNum>
  <w:abstractNum w:abstractNumId="7" w15:restartNumberingAfterBreak="0">
    <w:nsid w:val="40331E27"/>
    <w:multiLevelType w:val="hybridMultilevel"/>
    <w:tmpl w:val="E67A7234"/>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594162CB"/>
    <w:multiLevelType w:val="hybridMultilevel"/>
    <w:tmpl w:val="B26454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023C16"/>
    <w:multiLevelType w:val="hybridMultilevel"/>
    <w:tmpl w:val="BEBA83E4"/>
    <w:lvl w:ilvl="0" w:tplc="2BF4B3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5D0568"/>
    <w:multiLevelType w:val="hybridMultilevel"/>
    <w:tmpl w:val="3B80292A"/>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num w:numId="1" w16cid:durableId="956524629">
    <w:abstractNumId w:val="10"/>
  </w:num>
  <w:num w:numId="2" w16cid:durableId="2016878582">
    <w:abstractNumId w:val="12"/>
  </w:num>
  <w:num w:numId="3" w16cid:durableId="496119552">
    <w:abstractNumId w:val="11"/>
  </w:num>
  <w:num w:numId="4" w16cid:durableId="149562917">
    <w:abstractNumId w:val="2"/>
  </w:num>
  <w:num w:numId="5" w16cid:durableId="135071243">
    <w:abstractNumId w:val="6"/>
  </w:num>
  <w:num w:numId="6" w16cid:durableId="1840074925">
    <w:abstractNumId w:val="8"/>
  </w:num>
  <w:num w:numId="7" w16cid:durableId="294875216">
    <w:abstractNumId w:val="5"/>
  </w:num>
  <w:num w:numId="8" w16cid:durableId="242833922">
    <w:abstractNumId w:val="4"/>
  </w:num>
  <w:num w:numId="9" w16cid:durableId="192572954">
    <w:abstractNumId w:val="3"/>
  </w:num>
  <w:num w:numId="10" w16cid:durableId="1240093358">
    <w:abstractNumId w:val="1"/>
  </w:num>
  <w:num w:numId="11" w16cid:durableId="516120887">
    <w:abstractNumId w:val="0"/>
  </w:num>
  <w:num w:numId="12" w16cid:durableId="1206912119">
    <w:abstractNumId w:val="9"/>
  </w:num>
  <w:num w:numId="13" w16cid:durableId="1944221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6D"/>
    <w:rsid w:val="00000FBB"/>
    <w:rsid w:val="00002FBF"/>
    <w:rsid w:val="00005931"/>
    <w:rsid w:val="00007154"/>
    <w:rsid w:val="0001216F"/>
    <w:rsid w:val="000142C3"/>
    <w:rsid w:val="00023ED0"/>
    <w:rsid w:val="000273DD"/>
    <w:rsid w:val="00027FB0"/>
    <w:rsid w:val="000315B2"/>
    <w:rsid w:val="00031852"/>
    <w:rsid w:val="00040297"/>
    <w:rsid w:val="00042EA3"/>
    <w:rsid w:val="00045DEF"/>
    <w:rsid w:val="00046340"/>
    <w:rsid w:val="00046F93"/>
    <w:rsid w:val="00051676"/>
    <w:rsid w:val="00054AE8"/>
    <w:rsid w:val="00055721"/>
    <w:rsid w:val="00055EF1"/>
    <w:rsid w:val="00060B84"/>
    <w:rsid w:val="000620D9"/>
    <w:rsid w:val="000668F2"/>
    <w:rsid w:val="000753E4"/>
    <w:rsid w:val="00075F02"/>
    <w:rsid w:val="000762EF"/>
    <w:rsid w:val="000827FF"/>
    <w:rsid w:val="000842CE"/>
    <w:rsid w:val="000850EE"/>
    <w:rsid w:val="00091CAB"/>
    <w:rsid w:val="000925D8"/>
    <w:rsid w:val="00094370"/>
    <w:rsid w:val="000A580F"/>
    <w:rsid w:val="000B0AF3"/>
    <w:rsid w:val="000B1A27"/>
    <w:rsid w:val="000B25AE"/>
    <w:rsid w:val="000B3849"/>
    <w:rsid w:val="000B7838"/>
    <w:rsid w:val="000C3544"/>
    <w:rsid w:val="000C3BF6"/>
    <w:rsid w:val="000C4C45"/>
    <w:rsid w:val="000C5335"/>
    <w:rsid w:val="000C5B38"/>
    <w:rsid w:val="000C6ABB"/>
    <w:rsid w:val="000D0C68"/>
    <w:rsid w:val="000D3840"/>
    <w:rsid w:val="000D781A"/>
    <w:rsid w:val="000E1FDA"/>
    <w:rsid w:val="000E329C"/>
    <w:rsid w:val="000F342D"/>
    <w:rsid w:val="000F432D"/>
    <w:rsid w:val="000F5964"/>
    <w:rsid w:val="000F7B0D"/>
    <w:rsid w:val="00101081"/>
    <w:rsid w:val="0010358A"/>
    <w:rsid w:val="00103F81"/>
    <w:rsid w:val="00107D6F"/>
    <w:rsid w:val="00114A30"/>
    <w:rsid w:val="00117FC5"/>
    <w:rsid w:val="0012086B"/>
    <w:rsid w:val="00120A5C"/>
    <w:rsid w:val="001212A3"/>
    <w:rsid w:val="001323CE"/>
    <w:rsid w:val="00132598"/>
    <w:rsid w:val="00134510"/>
    <w:rsid w:val="00136C38"/>
    <w:rsid w:val="00136D1F"/>
    <w:rsid w:val="0013790C"/>
    <w:rsid w:val="001442EE"/>
    <w:rsid w:val="0014786A"/>
    <w:rsid w:val="00153788"/>
    <w:rsid w:val="00156278"/>
    <w:rsid w:val="00163B57"/>
    <w:rsid w:val="001652CD"/>
    <w:rsid w:val="00165DD2"/>
    <w:rsid w:val="00174A7D"/>
    <w:rsid w:val="00175F37"/>
    <w:rsid w:val="00176601"/>
    <w:rsid w:val="001771DF"/>
    <w:rsid w:val="00180FC8"/>
    <w:rsid w:val="001838B3"/>
    <w:rsid w:val="00186708"/>
    <w:rsid w:val="0018734B"/>
    <w:rsid w:val="00187AD7"/>
    <w:rsid w:val="001933F2"/>
    <w:rsid w:val="0019746A"/>
    <w:rsid w:val="001A387D"/>
    <w:rsid w:val="001C317D"/>
    <w:rsid w:val="001C35BA"/>
    <w:rsid w:val="001C47BB"/>
    <w:rsid w:val="001D006D"/>
    <w:rsid w:val="001D23BD"/>
    <w:rsid w:val="001D3EBF"/>
    <w:rsid w:val="001D417D"/>
    <w:rsid w:val="001D746C"/>
    <w:rsid w:val="001D7762"/>
    <w:rsid w:val="001E04D7"/>
    <w:rsid w:val="001E281D"/>
    <w:rsid w:val="001E6285"/>
    <w:rsid w:val="001E6B79"/>
    <w:rsid w:val="001E78EF"/>
    <w:rsid w:val="001F2E69"/>
    <w:rsid w:val="001F7ACA"/>
    <w:rsid w:val="002019DA"/>
    <w:rsid w:val="00201FEE"/>
    <w:rsid w:val="00205FAD"/>
    <w:rsid w:val="0020657E"/>
    <w:rsid w:val="002111D5"/>
    <w:rsid w:val="00211C6F"/>
    <w:rsid w:val="00213C06"/>
    <w:rsid w:val="00217D74"/>
    <w:rsid w:val="00224589"/>
    <w:rsid w:val="00233196"/>
    <w:rsid w:val="002338CD"/>
    <w:rsid w:val="002360CD"/>
    <w:rsid w:val="00236616"/>
    <w:rsid w:val="002367C8"/>
    <w:rsid w:val="00237B51"/>
    <w:rsid w:val="00242A5E"/>
    <w:rsid w:val="00247456"/>
    <w:rsid w:val="00256B57"/>
    <w:rsid w:val="00256BAB"/>
    <w:rsid w:val="002601A6"/>
    <w:rsid w:val="00260874"/>
    <w:rsid w:val="00260DB6"/>
    <w:rsid w:val="00266B2E"/>
    <w:rsid w:val="00267208"/>
    <w:rsid w:val="0027337E"/>
    <w:rsid w:val="00273BB3"/>
    <w:rsid w:val="002742C0"/>
    <w:rsid w:val="00281E8D"/>
    <w:rsid w:val="002845EC"/>
    <w:rsid w:val="00287023"/>
    <w:rsid w:val="00291372"/>
    <w:rsid w:val="002945F4"/>
    <w:rsid w:val="00295BBA"/>
    <w:rsid w:val="002A10EF"/>
    <w:rsid w:val="002A204F"/>
    <w:rsid w:val="002A2DD6"/>
    <w:rsid w:val="002A4B2B"/>
    <w:rsid w:val="002A5FBD"/>
    <w:rsid w:val="002A6A34"/>
    <w:rsid w:val="002B0829"/>
    <w:rsid w:val="002B16CA"/>
    <w:rsid w:val="002B3283"/>
    <w:rsid w:val="002B3867"/>
    <w:rsid w:val="002B4AAB"/>
    <w:rsid w:val="002C092C"/>
    <w:rsid w:val="002C2930"/>
    <w:rsid w:val="002D34F7"/>
    <w:rsid w:val="002E1C16"/>
    <w:rsid w:val="002E2392"/>
    <w:rsid w:val="002E2B91"/>
    <w:rsid w:val="002E4717"/>
    <w:rsid w:val="002E7ED1"/>
    <w:rsid w:val="002F0AAF"/>
    <w:rsid w:val="002F3E7A"/>
    <w:rsid w:val="002F3F6B"/>
    <w:rsid w:val="002F7E83"/>
    <w:rsid w:val="00300F3F"/>
    <w:rsid w:val="00304F11"/>
    <w:rsid w:val="00306E51"/>
    <w:rsid w:val="00314824"/>
    <w:rsid w:val="003253FB"/>
    <w:rsid w:val="003264A1"/>
    <w:rsid w:val="00326945"/>
    <w:rsid w:val="00326BC5"/>
    <w:rsid w:val="00330927"/>
    <w:rsid w:val="00335178"/>
    <w:rsid w:val="0033556B"/>
    <w:rsid w:val="003355C5"/>
    <w:rsid w:val="00335A1C"/>
    <w:rsid w:val="00337AAE"/>
    <w:rsid w:val="00340ADA"/>
    <w:rsid w:val="003433D9"/>
    <w:rsid w:val="00345D49"/>
    <w:rsid w:val="00353BE1"/>
    <w:rsid w:val="00354D04"/>
    <w:rsid w:val="00366E2B"/>
    <w:rsid w:val="00367600"/>
    <w:rsid w:val="00367AEA"/>
    <w:rsid w:val="003773C2"/>
    <w:rsid w:val="00387EE6"/>
    <w:rsid w:val="00392688"/>
    <w:rsid w:val="00394D3E"/>
    <w:rsid w:val="00395322"/>
    <w:rsid w:val="00396DE5"/>
    <w:rsid w:val="003A0B86"/>
    <w:rsid w:val="003A4279"/>
    <w:rsid w:val="003B33AF"/>
    <w:rsid w:val="003B3891"/>
    <w:rsid w:val="003B43B2"/>
    <w:rsid w:val="003B483B"/>
    <w:rsid w:val="003C33EB"/>
    <w:rsid w:val="003C34E4"/>
    <w:rsid w:val="003C4D05"/>
    <w:rsid w:val="003C772E"/>
    <w:rsid w:val="003D02B4"/>
    <w:rsid w:val="003D2AE9"/>
    <w:rsid w:val="003D2D92"/>
    <w:rsid w:val="003D61F7"/>
    <w:rsid w:val="003E1AB6"/>
    <w:rsid w:val="003E41C3"/>
    <w:rsid w:val="003E6E58"/>
    <w:rsid w:val="003F5FAB"/>
    <w:rsid w:val="003F7F21"/>
    <w:rsid w:val="00402650"/>
    <w:rsid w:val="00404C4C"/>
    <w:rsid w:val="004066C3"/>
    <w:rsid w:val="004122B7"/>
    <w:rsid w:val="00416C78"/>
    <w:rsid w:val="004205C6"/>
    <w:rsid w:val="0042069C"/>
    <w:rsid w:val="00420BA7"/>
    <w:rsid w:val="00422EA5"/>
    <w:rsid w:val="00436731"/>
    <w:rsid w:val="00437A7B"/>
    <w:rsid w:val="0044055D"/>
    <w:rsid w:val="004515A2"/>
    <w:rsid w:val="004573DB"/>
    <w:rsid w:val="00462080"/>
    <w:rsid w:val="004702BC"/>
    <w:rsid w:val="004708D5"/>
    <w:rsid w:val="00471CE7"/>
    <w:rsid w:val="004739F3"/>
    <w:rsid w:val="00477048"/>
    <w:rsid w:val="00477305"/>
    <w:rsid w:val="004806F7"/>
    <w:rsid w:val="00485B8C"/>
    <w:rsid w:val="0048693B"/>
    <w:rsid w:val="00496199"/>
    <w:rsid w:val="00497746"/>
    <w:rsid w:val="00497D10"/>
    <w:rsid w:val="004A04C3"/>
    <w:rsid w:val="004A471C"/>
    <w:rsid w:val="004A6269"/>
    <w:rsid w:val="004B376B"/>
    <w:rsid w:val="004B514E"/>
    <w:rsid w:val="004C1150"/>
    <w:rsid w:val="004C4663"/>
    <w:rsid w:val="004C57E8"/>
    <w:rsid w:val="004D290F"/>
    <w:rsid w:val="004E069A"/>
    <w:rsid w:val="004E3248"/>
    <w:rsid w:val="004F60DF"/>
    <w:rsid w:val="004F7510"/>
    <w:rsid w:val="005021FC"/>
    <w:rsid w:val="0050302B"/>
    <w:rsid w:val="00503BAC"/>
    <w:rsid w:val="005040A1"/>
    <w:rsid w:val="00505D49"/>
    <w:rsid w:val="00506F66"/>
    <w:rsid w:val="00506F82"/>
    <w:rsid w:val="00514028"/>
    <w:rsid w:val="00515B17"/>
    <w:rsid w:val="00516B21"/>
    <w:rsid w:val="00516E5B"/>
    <w:rsid w:val="00520595"/>
    <w:rsid w:val="00520B72"/>
    <w:rsid w:val="00523914"/>
    <w:rsid w:val="005264CF"/>
    <w:rsid w:val="00527AB8"/>
    <w:rsid w:val="00532823"/>
    <w:rsid w:val="00533E82"/>
    <w:rsid w:val="00534B3B"/>
    <w:rsid w:val="00535944"/>
    <w:rsid w:val="00541B94"/>
    <w:rsid w:val="005533F5"/>
    <w:rsid w:val="005551A3"/>
    <w:rsid w:val="00556F55"/>
    <w:rsid w:val="00560365"/>
    <w:rsid w:val="00570B9A"/>
    <w:rsid w:val="00571722"/>
    <w:rsid w:val="00576AF3"/>
    <w:rsid w:val="00580012"/>
    <w:rsid w:val="0058166D"/>
    <w:rsid w:val="005858C6"/>
    <w:rsid w:val="0059037F"/>
    <w:rsid w:val="00593C39"/>
    <w:rsid w:val="00595F2C"/>
    <w:rsid w:val="00596F7A"/>
    <w:rsid w:val="005A0C0B"/>
    <w:rsid w:val="005A23F5"/>
    <w:rsid w:val="005A32D5"/>
    <w:rsid w:val="005A5EB3"/>
    <w:rsid w:val="005B41D0"/>
    <w:rsid w:val="005B44AE"/>
    <w:rsid w:val="005B50DC"/>
    <w:rsid w:val="005B7697"/>
    <w:rsid w:val="005C2787"/>
    <w:rsid w:val="005C7701"/>
    <w:rsid w:val="005D36E4"/>
    <w:rsid w:val="005E2AC8"/>
    <w:rsid w:val="005E382C"/>
    <w:rsid w:val="005F1417"/>
    <w:rsid w:val="005F2BEE"/>
    <w:rsid w:val="005F2FBB"/>
    <w:rsid w:val="005F499E"/>
    <w:rsid w:val="005F5311"/>
    <w:rsid w:val="0060137F"/>
    <w:rsid w:val="006032E7"/>
    <w:rsid w:val="00603429"/>
    <w:rsid w:val="006041CF"/>
    <w:rsid w:val="0060584F"/>
    <w:rsid w:val="0060750F"/>
    <w:rsid w:val="00613A8D"/>
    <w:rsid w:val="006176A6"/>
    <w:rsid w:val="00617DC1"/>
    <w:rsid w:val="006206A1"/>
    <w:rsid w:val="0062262E"/>
    <w:rsid w:val="006268E9"/>
    <w:rsid w:val="0062696A"/>
    <w:rsid w:val="00630B82"/>
    <w:rsid w:val="00631ACF"/>
    <w:rsid w:val="0063200D"/>
    <w:rsid w:val="0063540E"/>
    <w:rsid w:val="00640B75"/>
    <w:rsid w:val="00641089"/>
    <w:rsid w:val="006435AD"/>
    <w:rsid w:val="0064616E"/>
    <w:rsid w:val="00651E31"/>
    <w:rsid w:val="0065208B"/>
    <w:rsid w:val="00653C0A"/>
    <w:rsid w:val="00654254"/>
    <w:rsid w:val="00660983"/>
    <w:rsid w:val="00660D7E"/>
    <w:rsid w:val="006616C2"/>
    <w:rsid w:val="00663E05"/>
    <w:rsid w:val="00671DFB"/>
    <w:rsid w:val="006821B9"/>
    <w:rsid w:val="00683595"/>
    <w:rsid w:val="0068636C"/>
    <w:rsid w:val="00687DEE"/>
    <w:rsid w:val="006956EE"/>
    <w:rsid w:val="0069753A"/>
    <w:rsid w:val="006A582F"/>
    <w:rsid w:val="006B0191"/>
    <w:rsid w:val="006B5B4A"/>
    <w:rsid w:val="006B709F"/>
    <w:rsid w:val="006C5538"/>
    <w:rsid w:val="006D0A2F"/>
    <w:rsid w:val="006D3DC2"/>
    <w:rsid w:val="006D4155"/>
    <w:rsid w:val="006D6508"/>
    <w:rsid w:val="006D70BF"/>
    <w:rsid w:val="006D78D3"/>
    <w:rsid w:val="006E08F0"/>
    <w:rsid w:val="006E1548"/>
    <w:rsid w:val="006E38B6"/>
    <w:rsid w:val="006E3A08"/>
    <w:rsid w:val="006E6106"/>
    <w:rsid w:val="006E72F8"/>
    <w:rsid w:val="006E75C4"/>
    <w:rsid w:val="006F10DA"/>
    <w:rsid w:val="006F1B68"/>
    <w:rsid w:val="006F20FE"/>
    <w:rsid w:val="006F4A7D"/>
    <w:rsid w:val="00703062"/>
    <w:rsid w:val="00704E95"/>
    <w:rsid w:val="00706259"/>
    <w:rsid w:val="00715FF5"/>
    <w:rsid w:val="00716E43"/>
    <w:rsid w:val="00726DAC"/>
    <w:rsid w:val="007308CE"/>
    <w:rsid w:val="00730DD1"/>
    <w:rsid w:val="00735275"/>
    <w:rsid w:val="00742254"/>
    <w:rsid w:val="00742D56"/>
    <w:rsid w:val="00743E6E"/>
    <w:rsid w:val="00745A19"/>
    <w:rsid w:val="00754CD0"/>
    <w:rsid w:val="00756650"/>
    <w:rsid w:val="007602BD"/>
    <w:rsid w:val="0076476B"/>
    <w:rsid w:val="0077089A"/>
    <w:rsid w:val="00770C81"/>
    <w:rsid w:val="0077100A"/>
    <w:rsid w:val="00771EB6"/>
    <w:rsid w:val="00775288"/>
    <w:rsid w:val="00775D27"/>
    <w:rsid w:val="0078072A"/>
    <w:rsid w:val="00783E20"/>
    <w:rsid w:val="007873AD"/>
    <w:rsid w:val="00787457"/>
    <w:rsid w:val="007943F7"/>
    <w:rsid w:val="007958CC"/>
    <w:rsid w:val="00797DBF"/>
    <w:rsid w:val="007A0229"/>
    <w:rsid w:val="007A07D7"/>
    <w:rsid w:val="007A382B"/>
    <w:rsid w:val="007A5B1A"/>
    <w:rsid w:val="007B6972"/>
    <w:rsid w:val="007C1478"/>
    <w:rsid w:val="007C597C"/>
    <w:rsid w:val="007C6BC1"/>
    <w:rsid w:val="007D05EE"/>
    <w:rsid w:val="007D2038"/>
    <w:rsid w:val="007E0EB0"/>
    <w:rsid w:val="007E626D"/>
    <w:rsid w:val="007E6CCB"/>
    <w:rsid w:val="007F0622"/>
    <w:rsid w:val="007F0B90"/>
    <w:rsid w:val="007F10E3"/>
    <w:rsid w:val="007F2D9F"/>
    <w:rsid w:val="007F5B13"/>
    <w:rsid w:val="00801DEF"/>
    <w:rsid w:val="00802EC1"/>
    <w:rsid w:val="00803161"/>
    <w:rsid w:val="00815553"/>
    <w:rsid w:val="008177F5"/>
    <w:rsid w:val="00821A97"/>
    <w:rsid w:val="008226A4"/>
    <w:rsid w:val="00824434"/>
    <w:rsid w:val="00831E08"/>
    <w:rsid w:val="008358DD"/>
    <w:rsid w:val="00837E76"/>
    <w:rsid w:val="00846809"/>
    <w:rsid w:val="008557F3"/>
    <w:rsid w:val="0085606C"/>
    <w:rsid w:val="00857482"/>
    <w:rsid w:val="00857C62"/>
    <w:rsid w:val="0086104A"/>
    <w:rsid w:val="0086337A"/>
    <w:rsid w:val="00865F3B"/>
    <w:rsid w:val="00870E2A"/>
    <w:rsid w:val="0087203E"/>
    <w:rsid w:val="008760CF"/>
    <w:rsid w:val="00880F54"/>
    <w:rsid w:val="008815BB"/>
    <w:rsid w:val="008827E5"/>
    <w:rsid w:val="008828A5"/>
    <w:rsid w:val="0088742B"/>
    <w:rsid w:val="00890F91"/>
    <w:rsid w:val="008946A4"/>
    <w:rsid w:val="00894785"/>
    <w:rsid w:val="008973BE"/>
    <w:rsid w:val="008A00C5"/>
    <w:rsid w:val="008A294C"/>
    <w:rsid w:val="008A2CD5"/>
    <w:rsid w:val="008A5F03"/>
    <w:rsid w:val="008B0CC2"/>
    <w:rsid w:val="008B1A9D"/>
    <w:rsid w:val="008B4E1B"/>
    <w:rsid w:val="008B5C4A"/>
    <w:rsid w:val="008C28C0"/>
    <w:rsid w:val="008C6C29"/>
    <w:rsid w:val="008C7D47"/>
    <w:rsid w:val="008D10C2"/>
    <w:rsid w:val="008D1809"/>
    <w:rsid w:val="008D3DAA"/>
    <w:rsid w:val="008E0619"/>
    <w:rsid w:val="008E2E72"/>
    <w:rsid w:val="008E4BDF"/>
    <w:rsid w:val="008F58A1"/>
    <w:rsid w:val="009002E9"/>
    <w:rsid w:val="00901B2C"/>
    <w:rsid w:val="00902F6F"/>
    <w:rsid w:val="00906D10"/>
    <w:rsid w:val="009137F2"/>
    <w:rsid w:val="00914CCC"/>
    <w:rsid w:val="00915C29"/>
    <w:rsid w:val="00915C7D"/>
    <w:rsid w:val="00917717"/>
    <w:rsid w:val="00917DC3"/>
    <w:rsid w:val="00923BD2"/>
    <w:rsid w:val="00930513"/>
    <w:rsid w:val="00936605"/>
    <w:rsid w:val="0093674F"/>
    <w:rsid w:val="0094212A"/>
    <w:rsid w:val="00953624"/>
    <w:rsid w:val="00957D15"/>
    <w:rsid w:val="0096356E"/>
    <w:rsid w:val="00964B62"/>
    <w:rsid w:val="00966528"/>
    <w:rsid w:val="009716BD"/>
    <w:rsid w:val="0097202F"/>
    <w:rsid w:val="009818F1"/>
    <w:rsid w:val="00981CFE"/>
    <w:rsid w:val="009903AE"/>
    <w:rsid w:val="0099069F"/>
    <w:rsid w:val="0099348D"/>
    <w:rsid w:val="00993552"/>
    <w:rsid w:val="009948BF"/>
    <w:rsid w:val="00996342"/>
    <w:rsid w:val="009A179A"/>
    <w:rsid w:val="009A2CA9"/>
    <w:rsid w:val="009A309C"/>
    <w:rsid w:val="009A525E"/>
    <w:rsid w:val="009B0AF2"/>
    <w:rsid w:val="009B1FC4"/>
    <w:rsid w:val="009B4EDE"/>
    <w:rsid w:val="009B5A13"/>
    <w:rsid w:val="009C12AD"/>
    <w:rsid w:val="009C3738"/>
    <w:rsid w:val="009D0391"/>
    <w:rsid w:val="009D16C7"/>
    <w:rsid w:val="009E1E91"/>
    <w:rsid w:val="009E25D5"/>
    <w:rsid w:val="009E5E03"/>
    <w:rsid w:val="009E7E78"/>
    <w:rsid w:val="009F03AF"/>
    <w:rsid w:val="009F1AA2"/>
    <w:rsid w:val="009F3138"/>
    <w:rsid w:val="00A00AD7"/>
    <w:rsid w:val="00A00EF9"/>
    <w:rsid w:val="00A05291"/>
    <w:rsid w:val="00A060A8"/>
    <w:rsid w:val="00A06E8F"/>
    <w:rsid w:val="00A10C39"/>
    <w:rsid w:val="00A14317"/>
    <w:rsid w:val="00A232FC"/>
    <w:rsid w:val="00A23F36"/>
    <w:rsid w:val="00A24B2E"/>
    <w:rsid w:val="00A314AA"/>
    <w:rsid w:val="00A33945"/>
    <w:rsid w:val="00A3656C"/>
    <w:rsid w:val="00A46A98"/>
    <w:rsid w:val="00A4754B"/>
    <w:rsid w:val="00A54B51"/>
    <w:rsid w:val="00A60FE2"/>
    <w:rsid w:val="00A6207B"/>
    <w:rsid w:val="00A638E5"/>
    <w:rsid w:val="00A66305"/>
    <w:rsid w:val="00A67253"/>
    <w:rsid w:val="00A7474F"/>
    <w:rsid w:val="00A803BC"/>
    <w:rsid w:val="00A83C42"/>
    <w:rsid w:val="00A869ED"/>
    <w:rsid w:val="00A91293"/>
    <w:rsid w:val="00AA0BD4"/>
    <w:rsid w:val="00AA273C"/>
    <w:rsid w:val="00AA41D6"/>
    <w:rsid w:val="00AA6557"/>
    <w:rsid w:val="00AB3180"/>
    <w:rsid w:val="00AC41D1"/>
    <w:rsid w:val="00AD100B"/>
    <w:rsid w:val="00AD1A23"/>
    <w:rsid w:val="00AD41E5"/>
    <w:rsid w:val="00AE01C2"/>
    <w:rsid w:val="00AE3DD8"/>
    <w:rsid w:val="00AE5B21"/>
    <w:rsid w:val="00AF1690"/>
    <w:rsid w:val="00AF2C90"/>
    <w:rsid w:val="00AF7B0F"/>
    <w:rsid w:val="00B12457"/>
    <w:rsid w:val="00B17EBC"/>
    <w:rsid w:val="00B30DC9"/>
    <w:rsid w:val="00B37477"/>
    <w:rsid w:val="00B46FCE"/>
    <w:rsid w:val="00B53E52"/>
    <w:rsid w:val="00B559A1"/>
    <w:rsid w:val="00B5620B"/>
    <w:rsid w:val="00B76859"/>
    <w:rsid w:val="00B834AA"/>
    <w:rsid w:val="00B86513"/>
    <w:rsid w:val="00B9043E"/>
    <w:rsid w:val="00B92488"/>
    <w:rsid w:val="00B92F54"/>
    <w:rsid w:val="00BA0A67"/>
    <w:rsid w:val="00BA1D94"/>
    <w:rsid w:val="00BA6196"/>
    <w:rsid w:val="00BA7773"/>
    <w:rsid w:val="00BA79A8"/>
    <w:rsid w:val="00BB2911"/>
    <w:rsid w:val="00BB32C8"/>
    <w:rsid w:val="00BC0815"/>
    <w:rsid w:val="00BC19FF"/>
    <w:rsid w:val="00BC2A91"/>
    <w:rsid w:val="00BC6946"/>
    <w:rsid w:val="00BD5F98"/>
    <w:rsid w:val="00BE325C"/>
    <w:rsid w:val="00BE3B87"/>
    <w:rsid w:val="00BE6F90"/>
    <w:rsid w:val="00BF2B7C"/>
    <w:rsid w:val="00C018A6"/>
    <w:rsid w:val="00C01AA4"/>
    <w:rsid w:val="00C023BF"/>
    <w:rsid w:val="00C05833"/>
    <w:rsid w:val="00C16DBF"/>
    <w:rsid w:val="00C17FDF"/>
    <w:rsid w:val="00C21397"/>
    <w:rsid w:val="00C22B61"/>
    <w:rsid w:val="00C22E45"/>
    <w:rsid w:val="00C2440C"/>
    <w:rsid w:val="00C25701"/>
    <w:rsid w:val="00C25BA9"/>
    <w:rsid w:val="00C2653B"/>
    <w:rsid w:val="00C27DF2"/>
    <w:rsid w:val="00C32046"/>
    <w:rsid w:val="00C367FE"/>
    <w:rsid w:val="00C379EA"/>
    <w:rsid w:val="00C45901"/>
    <w:rsid w:val="00C50A3B"/>
    <w:rsid w:val="00C53173"/>
    <w:rsid w:val="00C66F8F"/>
    <w:rsid w:val="00C67197"/>
    <w:rsid w:val="00C71E63"/>
    <w:rsid w:val="00C7550D"/>
    <w:rsid w:val="00C7596D"/>
    <w:rsid w:val="00C77626"/>
    <w:rsid w:val="00C84791"/>
    <w:rsid w:val="00C94406"/>
    <w:rsid w:val="00C96635"/>
    <w:rsid w:val="00C97063"/>
    <w:rsid w:val="00CA0C64"/>
    <w:rsid w:val="00CA3456"/>
    <w:rsid w:val="00CB0158"/>
    <w:rsid w:val="00CB189E"/>
    <w:rsid w:val="00CB2B33"/>
    <w:rsid w:val="00CB44B8"/>
    <w:rsid w:val="00CC0C79"/>
    <w:rsid w:val="00CC4B78"/>
    <w:rsid w:val="00CD0083"/>
    <w:rsid w:val="00CD4DB2"/>
    <w:rsid w:val="00CD60B6"/>
    <w:rsid w:val="00CD7AD9"/>
    <w:rsid w:val="00CE2D50"/>
    <w:rsid w:val="00CE2FE1"/>
    <w:rsid w:val="00CE3EDE"/>
    <w:rsid w:val="00CE61BD"/>
    <w:rsid w:val="00CE7A78"/>
    <w:rsid w:val="00CF2C5D"/>
    <w:rsid w:val="00CF2D48"/>
    <w:rsid w:val="00CF7115"/>
    <w:rsid w:val="00D00867"/>
    <w:rsid w:val="00D0326A"/>
    <w:rsid w:val="00D05D7C"/>
    <w:rsid w:val="00D1082A"/>
    <w:rsid w:val="00D11974"/>
    <w:rsid w:val="00D21EA7"/>
    <w:rsid w:val="00D2232B"/>
    <w:rsid w:val="00D27A43"/>
    <w:rsid w:val="00D3054A"/>
    <w:rsid w:val="00D327EC"/>
    <w:rsid w:val="00D33C8A"/>
    <w:rsid w:val="00D33EBF"/>
    <w:rsid w:val="00D373CD"/>
    <w:rsid w:val="00D37E3B"/>
    <w:rsid w:val="00D4722E"/>
    <w:rsid w:val="00D47FE1"/>
    <w:rsid w:val="00D524C9"/>
    <w:rsid w:val="00D54B37"/>
    <w:rsid w:val="00D55A79"/>
    <w:rsid w:val="00D55E6F"/>
    <w:rsid w:val="00D604F4"/>
    <w:rsid w:val="00D6332E"/>
    <w:rsid w:val="00D63564"/>
    <w:rsid w:val="00D6420A"/>
    <w:rsid w:val="00D65457"/>
    <w:rsid w:val="00D67757"/>
    <w:rsid w:val="00D70EF9"/>
    <w:rsid w:val="00D73B23"/>
    <w:rsid w:val="00D74965"/>
    <w:rsid w:val="00D76073"/>
    <w:rsid w:val="00D76B23"/>
    <w:rsid w:val="00D778CE"/>
    <w:rsid w:val="00D82420"/>
    <w:rsid w:val="00D856D9"/>
    <w:rsid w:val="00D87562"/>
    <w:rsid w:val="00D92652"/>
    <w:rsid w:val="00DA170B"/>
    <w:rsid w:val="00DA2837"/>
    <w:rsid w:val="00DA2F7A"/>
    <w:rsid w:val="00DA4E45"/>
    <w:rsid w:val="00DA574D"/>
    <w:rsid w:val="00DA790D"/>
    <w:rsid w:val="00DB1D7D"/>
    <w:rsid w:val="00DB38AC"/>
    <w:rsid w:val="00DB58A1"/>
    <w:rsid w:val="00DC27BF"/>
    <w:rsid w:val="00DC3AAB"/>
    <w:rsid w:val="00DC6B3E"/>
    <w:rsid w:val="00DE02D3"/>
    <w:rsid w:val="00DE27B9"/>
    <w:rsid w:val="00DE5C4B"/>
    <w:rsid w:val="00E02C83"/>
    <w:rsid w:val="00E030E8"/>
    <w:rsid w:val="00E17320"/>
    <w:rsid w:val="00E22B5D"/>
    <w:rsid w:val="00E22DE1"/>
    <w:rsid w:val="00E23677"/>
    <w:rsid w:val="00E311EE"/>
    <w:rsid w:val="00E31707"/>
    <w:rsid w:val="00E32B57"/>
    <w:rsid w:val="00E32EA2"/>
    <w:rsid w:val="00E33B3C"/>
    <w:rsid w:val="00E43309"/>
    <w:rsid w:val="00E46FFB"/>
    <w:rsid w:val="00E472E9"/>
    <w:rsid w:val="00E50828"/>
    <w:rsid w:val="00E54873"/>
    <w:rsid w:val="00E56B1D"/>
    <w:rsid w:val="00E56E22"/>
    <w:rsid w:val="00E57321"/>
    <w:rsid w:val="00E67328"/>
    <w:rsid w:val="00E70E9D"/>
    <w:rsid w:val="00E70FAE"/>
    <w:rsid w:val="00E72BED"/>
    <w:rsid w:val="00E74B48"/>
    <w:rsid w:val="00E76141"/>
    <w:rsid w:val="00E763EB"/>
    <w:rsid w:val="00E76605"/>
    <w:rsid w:val="00E802F5"/>
    <w:rsid w:val="00E8577C"/>
    <w:rsid w:val="00E860A4"/>
    <w:rsid w:val="00E87BD4"/>
    <w:rsid w:val="00E95E7B"/>
    <w:rsid w:val="00EA27CC"/>
    <w:rsid w:val="00EB0842"/>
    <w:rsid w:val="00EB2B3E"/>
    <w:rsid w:val="00EB3A6F"/>
    <w:rsid w:val="00EC2FC9"/>
    <w:rsid w:val="00EC3942"/>
    <w:rsid w:val="00ED3FAF"/>
    <w:rsid w:val="00ED4CDD"/>
    <w:rsid w:val="00ED5C52"/>
    <w:rsid w:val="00EE0126"/>
    <w:rsid w:val="00EE45C5"/>
    <w:rsid w:val="00EE4D85"/>
    <w:rsid w:val="00EF0CC8"/>
    <w:rsid w:val="00EF17DA"/>
    <w:rsid w:val="00EF28AE"/>
    <w:rsid w:val="00EF2D7B"/>
    <w:rsid w:val="00EF644A"/>
    <w:rsid w:val="00EF7CCE"/>
    <w:rsid w:val="00F01EEB"/>
    <w:rsid w:val="00F04FB1"/>
    <w:rsid w:val="00F10E6C"/>
    <w:rsid w:val="00F1717B"/>
    <w:rsid w:val="00F21EB5"/>
    <w:rsid w:val="00F23DF3"/>
    <w:rsid w:val="00F318C2"/>
    <w:rsid w:val="00F46486"/>
    <w:rsid w:val="00F47FB0"/>
    <w:rsid w:val="00F5216D"/>
    <w:rsid w:val="00F54360"/>
    <w:rsid w:val="00F560EB"/>
    <w:rsid w:val="00F6142D"/>
    <w:rsid w:val="00F6161E"/>
    <w:rsid w:val="00F63F5A"/>
    <w:rsid w:val="00F65319"/>
    <w:rsid w:val="00F665ED"/>
    <w:rsid w:val="00F66F4F"/>
    <w:rsid w:val="00F6764A"/>
    <w:rsid w:val="00F715B9"/>
    <w:rsid w:val="00F72901"/>
    <w:rsid w:val="00F72EC8"/>
    <w:rsid w:val="00F73B94"/>
    <w:rsid w:val="00F77535"/>
    <w:rsid w:val="00F80829"/>
    <w:rsid w:val="00F8342C"/>
    <w:rsid w:val="00F83FD1"/>
    <w:rsid w:val="00F84B9E"/>
    <w:rsid w:val="00F85961"/>
    <w:rsid w:val="00F952E9"/>
    <w:rsid w:val="00F96436"/>
    <w:rsid w:val="00FA2A3D"/>
    <w:rsid w:val="00FA45D4"/>
    <w:rsid w:val="00FA641B"/>
    <w:rsid w:val="00FA6E33"/>
    <w:rsid w:val="00FB0BEB"/>
    <w:rsid w:val="00FB146E"/>
    <w:rsid w:val="00FB2405"/>
    <w:rsid w:val="00FB2EAC"/>
    <w:rsid w:val="00FC0C10"/>
    <w:rsid w:val="00FC4764"/>
    <w:rsid w:val="00FD2D3C"/>
    <w:rsid w:val="00FD49C9"/>
    <w:rsid w:val="00FE1758"/>
    <w:rsid w:val="00FE2B94"/>
    <w:rsid w:val="00FE6F1B"/>
    <w:rsid w:val="00FF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946383"/>
  <w15:chartTrackingRefBased/>
  <w15:docId w15:val="{AD97EE68-DDC8-445A-AC28-07EF19FD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B9E"/>
  </w:style>
  <w:style w:type="paragraph" w:styleId="Heading1">
    <w:name w:val="heading 1"/>
    <w:basedOn w:val="Normal"/>
    <w:next w:val="NICEnormal"/>
    <w:link w:val="Heading1Char"/>
    <w:qFormat/>
    <w:rsid w:val="001D006D"/>
    <w:pPr>
      <w:keepNext/>
      <w:numPr>
        <w:numId w:val="5"/>
      </w:numPr>
      <w:spacing w:before="240" w:after="120" w:line="360" w:lineRule="auto"/>
      <w:outlineLvl w:val="0"/>
    </w:pPr>
    <w:rPr>
      <w:rFonts w:ascii="Arial" w:eastAsia="Times New Roman" w:hAnsi="Arial" w:cs="Arial"/>
      <w:b/>
      <w:bCs/>
      <w:kern w:val="32"/>
      <w:sz w:val="32"/>
      <w:szCs w:val="32"/>
      <w:lang w:val="en-US"/>
    </w:rPr>
  </w:style>
  <w:style w:type="paragraph" w:styleId="Heading2">
    <w:name w:val="heading 2"/>
    <w:basedOn w:val="Normal"/>
    <w:next w:val="NICEnormal"/>
    <w:link w:val="Heading2Char"/>
    <w:qFormat/>
    <w:rsid w:val="001D006D"/>
    <w:pPr>
      <w:keepNext/>
      <w:numPr>
        <w:ilvl w:val="1"/>
        <w:numId w:val="5"/>
      </w:numPr>
      <w:tabs>
        <w:tab w:val="left" w:pos="1134"/>
      </w:tabs>
      <w:spacing w:before="240" w:after="60" w:line="360" w:lineRule="auto"/>
      <w:outlineLvl w:val="1"/>
    </w:pPr>
    <w:rPr>
      <w:rFonts w:ascii="Arial" w:eastAsia="Times New Roman" w:hAnsi="Arial" w:cs="Arial"/>
      <w:b/>
      <w:bCs/>
      <w:i/>
      <w:iCs/>
      <w:sz w:val="28"/>
      <w:szCs w:val="28"/>
    </w:rPr>
  </w:style>
  <w:style w:type="paragraph" w:styleId="Heading3">
    <w:name w:val="heading 3"/>
    <w:basedOn w:val="Normal"/>
    <w:next w:val="NICEnormal"/>
    <w:link w:val="Heading3Char"/>
    <w:qFormat/>
    <w:rsid w:val="001D006D"/>
    <w:pPr>
      <w:keepNext/>
      <w:numPr>
        <w:ilvl w:val="2"/>
        <w:numId w:val="5"/>
      </w:numPr>
      <w:spacing w:before="240" w:after="60" w:line="360" w:lineRule="auto"/>
      <w:outlineLvl w:val="2"/>
    </w:pPr>
    <w:rPr>
      <w:rFonts w:ascii="Arial" w:eastAsia="Times New Roman" w:hAnsi="Arial" w:cs="Arial"/>
      <w:b/>
      <w:bCs/>
      <w:sz w:val="24"/>
      <w:szCs w:val="24"/>
    </w:rPr>
  </w:style>
  <w:style w:type="paragraph" w:styleId="Heading4">
    <w:name w:val="heading 4"/>
    <w:basedOn w:val="Normal"/>
    <w:next w:val="NICEnormal"/>
    <w:link w:val="Heading4Char"/>
    <w:qFormat/>
    <w:rsid w:val="001D006D"/>
    <w:pPr>
      <w:keepNext/>
      <w:numPr>
        <w:ilvl w:val="3"/>
        <w:numId w:val="5"/>
      </w:numPr>
      <w:spacing w:before="240" w:after="60" w:line="360" w:lineRule="auto"/>
      <w:outlineLvl w:val="3"/>
    </w:pPr>
    <w:rPr>
      <w:rFonts w:ascii="Arial" w:eastAsia="Times New Roman" w:hAnsi="Arial" w:cs="Times New Roman"/>
      <w:b/>
      <w:bCs/>
      <w:i/>
      <w:sz w:val="24"/>
      <w:szCs w:val="28"/>
    </w:rPr>
  </w:style>
  <w:style w:type="paragraph" w:styleId="Heading5">
    <w:name w:val="heading 5"/>
    <w:basedOn w:val="Normal"/>
    <w:next w:val="NICEnormal"/>
    <w:link w:val="Heading5Char"/>
    <w:qFormat/>
    <w:rsid w:val="001D006D"/>
    <w:pPr>
      <w:keepNext/>
      <w:keepLines/>
      <w:numPr>
        <w:ilvl w:val="4"/>
        <w:numId w:val="5"/>
      </w:numPr>
      <w:spacing w:before="40" w:after="0" w:line="240" w:lineRule="auto"/>
      <w:outlineLvl w:val="4"/>
    </w:pPr>
    <w:rPr>
      <w:rFonts w:ascii="Arial" w:eastAsiaTheme="majorEastAsia" w:hAnsi="Arial" w:cstheme="majorBidi"/>
      <w:b/>
      <w:sz w:val="24"/>
      <w:szCs w:val="24"/>
    </w:rPr>
  </w:style>
  <w:style w:type="paragraph" w:styleId="Heading6">
    <w:name w:val="heading 6"/>
    <w:basedOn w:val="Normal"/>
    <w:next w:val="Normal"/>
    <w:link w:val="Heading6Char"/>
    <w:qFormat/>
    <w:rsid w:val="001D006D"/>
    <w:pPr>
      <w:keepNext/>
      <w:keepLines/>
      <w:numPr>
        <w:ilvl w:val="5"/>
        <w:numId w:val="5"/>
      </w:numPr>
      <w:spacing w:before="120" w:after="120" w:line="360" w:lineRule="auto"/>
      <w:outlineLvl w:val="5"/>
    </w:pPr>
    <w:rPr>
      <w:rFonts w:ascii="Arial" w:eastAsiaTheme="majorEastAsia" w:hAnsi="Arial"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66D"/>
  </w:style>
  <w:style w:type="paragraph" w:styleId="Footer">
    <w:name w:val="footer"/>
    <w:basedOn w:val="Normal"/>
    <w:link w:val="FooterChar"/>
    <w:uiPriority w:val="99"/>
    <w:unhideWhenUsed/>
    <w:rsid w:val="00581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66D"/>
  </w:style>
  <w:style w:type="paragraph" w:customStyle="1" w:styleId="Paragraph">
    <w:name w:val="Paragraph"/>
    <w:basedOn w:val="Normal"/>
    <w:uiPriority w:val="4"/>
    <w:qFormat/>
    <w:rsid w:val="00F84B9E"/>
    <w:pPr>
      <w:numPr>
        <w:numId w:val="1"/>
      </w:numPr>
      <w:spacing w:before="240" w:after="240" w:line="276" w:lineRule="auto"/>
    </w:pPr>
    <w:rPr>
      <w:rFonts w:ascii="Arial" w:eastAsia="Times New Roman" w:hAnsi="Arial" w:cs="Times New Roman"/>
      <w:sz w:val="24"/>
      <w:szCs w:val="24"/>
      <w:lang w:eastAsia="en-GB"/>
    </w:rPr>
  </w:style>
  <w:style w:type="paragraph" w:styleId="BodyText">
    <w:name w:val="Body Text"/>
    <w:basedOn w:val="Normal"/>
    <w:link w:val="BodyTextChar"/>
    <w:qFormat/>
    <w:rsid w:val="00F84B9E"/>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4B9E"/>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4B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87562"/>
    <w:rPr>
      <w:sz w:val="16"/>
      <w:szCs w:val="16"/>
    </w:rPr>
  </w:style>
  <w:style w:type="paragraph" w:styleId="CommentText">
    <w:name w:val="annotation text"/>
    <w:basedOn w:val="Normal"/>
    <w:link w:val="CommentTextChar"/>
    <w:uiPriority w:val="99"/>
    <w:unhideWhenUsed/>
    <w:rsid w:val="00046340"/>
    <w:pPr>
      <w:spacing w:line="240" w:lineRule="auto"/>
    </w:pPr>
    <w:rPr>
      <w:sz w:val="20"/>
      <w:szCs w:val="20"/>
    </w:rPr>
  </w:style>
  <w:style w:type="character" w:customStyle="1" w:styleId="CommentTextChar">
    <w:name w:val="Comment Text Char"/>
    <w:basedOn w:val="DefaultParagraphFont"/>
    <w:link w:val="CommentText"/>
    <w:uiPriority w:val="99"/>
    <w:rsid w:val="00D87562"/>
    <w:rPr>
      <w:sz w:val="20"/>
      <w:szCs w:val="20"/>
    </w:rPr>
  </w:style>
  <w:style w:type="paragraph" w:styleId="CommentSubject">
    <w:name w:val="annotation subject"/>
    <w:basedOn w:val="CommentText"/>
    <w:next w:val="CommentText"/>
    <w:link w:val="CommentSubjectChar"/>
    <w:uiPriority w:val="99"/>
    <w:semiHidden/>
    <w:unhideWhenUsed/>
    <w:rsid w:val="00D87562"/>
    <w:rPr>
      <w:b/>
      <w:bCs/>
    </w:rPr>
  </w:style>
  <w:style w:type="character" w:customStyle="1" w:styleId="CommentSubjectChar">
    <w:name w:val="Comment Subject Char"/>
    <w:basedOn w:val="CommentTextChar"/>
    <w:link w:val="CommentSubject"/>
    <w:uiPriority w:val="99"/>
    <w:semiHidden/>
    <w:rsid w:val="00D87562"/>
    <w:rPr>
      <w:b/>
      <w:bCs/>
      <w:sz w:val="20"/>
      <w:szCs w:val="20"/>
    </w:rPr>
  </w:style>
  <w:style w:type="paragraph" w:styleId="ListParagraph">
    <w:name w:val="List Paragraph"/>
    <w:basedOn w:val="Normal"/>
    <w:uiPriority w:val="34"/>
    <w:qFormat/>
    <w:rsid w:val="00260874"/>
    <w:pPr>
      <w:ind w:left="720"/>
      <w:contextualSpacing/>
    </w:pPr>
  </w:style>
  <w:style w:type="character" w:styleId="Hyperlink">
    <w:name w:val="Hyperlink"/>
    <w:basedOn w:val="DefaultParagraphFont"/>
    <w:uiPriority w:val="99"/>
    <w:unhideWhenUsed/>
    <w:rsid w:val="001F7ACA"/>
    <w:rPr>
      <w:color w:val="0563C1" w:themeColor="hyperlink"/>
      <w:u w:val="single"/>
    </w:rPr>
  </w:style>
  <w:style w:type="character" w:styleId="UnresolvedMention">
    <w:name w:val="Unresolved Mention"/>
    <w:basedOn w:val="DefaultParagraphFont"/>
    <w:uiPriority w:val="99"/>
    <w:semiHidden/>
    <w:unhideWhenUsed/>
    <w:rsid w:val="001F7ACA"/>
    <w:rPr>
      <w:color w:val="605E5C"/>
      <w:shd w:val="clear" w:color="auto" w:fill="E1DFDD"/>
    </w:rPr>
  </w:style>
  <w:style w:type="character" w:customStyle="1" w:styleId="Heading1Char">
    <w:name w:val="Heading 1 Char"/>
    <w:basedOn w:val="DefaultParagraphFont"/>
    <w:link w:val="Heading1"/>
    <w:rsid w:val="001D006D"/>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1D006D"/>
    <w:rPr>
      <w:rFonts w:ascii="Arial" w:eastAsia="Times New Roman" w:hAnsi="Arial" w:cs="Arial"/>
      <w:b/>
      <w:bCs/>
      <w:i/>
      <w:iCs/>
      <w:sz w:val="28"/>
      <w:szCs w:val="28"/>
    </w:rPr>
  </w:style>
  <w:style w:type="character" w:customStyle="1" w:styleId="Heading3Char">
    <w:name w:val="Heading 3 Char"/>
    <w:basedOn w:val="DefaultParagraphFont"/>
    <w:link w:val="Heading3"/>
    <w:rsid w:val="001D006D"/>
    <w:rPr>
      <w:rFonts w:ascii="Arial" w:eastAsia="Times New Roman" w:hAnsi="Arial" w:cs="Arial"/>
      <w:b/>
      <w:bCs/>
      <w:sz w:val="24"/>
      <w:szCs w:val="24"/>
    </w:rPr>
  </w:style>
  <w:style w:type="character" w:customStyle="1" w:styleId="Heading4Char">
    <w:name w:val="Heading 4 Char"/>
    <w:basedOn w:val="DefaultParagraphFont"/>
    <w:link w:val="Heading4"/>
    <w:rsid w:val="001D006D"/>
    <w:rPr>
      <w:rFonts w:ascii="Arial" w:eastAsia="Times New Roman" w:hAnsi="Arial" w:cs="Times New Roman"/>
      <w:b/>
      <w:bCs/>
      <w:i/>
      <w:sz w:val="24"/>
      <w:szCs w:val="28"/>
    </w:rPr>
  </w:style>
  <w:style w:type="character" w:customStyle="1" w:styleId="Heading5Char">
    <w:name w:val="Heading 5 Char"/>
    <w:basedOn w:val="DefaultParagraphFont"/>
    <w:link w:val="Heading5"/>
    <w:rsid w:val="001D006D"/>
    <w:rPr>
      <w:rFonts w:ascii="Arial" w:eastAsiaTheme="majorEastAsia" w:hAnsi="Arial" w:cstheme="majorBidi"/>
      <w:b/>
      <w:sz w:val="24"/>
      <w:szCs w:val="24"/>
    </w:rPr>
  </w:style>
  <w:style w:type="character" w:customStyle="1" w:styleId="Heading6Char">
    <w:name w:val="Heading 6 Char"/>
    <w:basedOn w:val="DefaultParagraphFont"/>
    <w:link w:val="Heading6"/>
    <w:rsid w:val="001D006D"/>
    <w:rPr>
      <w:rFonts w:ascii="Arial" w:eastAsiaTheme="majorEastAsia" w:hAnsi="Arial" w:cstheme="majorBidi"/>
      <w:b/>
      <w:i/>
      <w:sz w:val="24"/>
      <w:szCs w:val="24"/>
    </w:rPr>
  </w:style>
  <w:style w:type="paragraph" w:customStyle="1" w:styleId="NICEnormal">
    <w:name w:val="NICE normal"/>
    <w:link w:val="NICEnormalChar"/>
    <w:qFormat/>
    <w:rsid w:val="001D006D"/>
    <w:pPr>
      <w:spacing w:after="240" w:line="360" w:lineRule="auto"/>
    </w:pPr>
    <w:rPr>
      <w:rFonts w:ascii="Arial" w:eastAsia="Times New Roman" w:hAnsi="Arial" w:cs="Times New Roman"/>
      <w:sz w:val="24"/>
      <w:szCs w:val="24"/>
    </w:rPr>
  </w:style>
  <w:style w:type="character" w:customStyle="1" w:styleId="NICEnormalChar">
    <w:name w:val="NICE normal Char"/>
    <w:link w:val="NICEnormal"/>
    <w:rsid w:val="001D006D"/>
    <w:rPr>
      <w:rFonts w:ascii="Arial" w:eastAsia="Times New Roman" w:hAnsi="Arial" w:cs="Times New Roman"/>
      <w:sz w:val="24"/>
      <w:szCs w:val="24"/>
    </w:rPr>
  </w:style>
  <w:style w:type="numbering" w:customStyle="1" w:styleId="NICEnumberedheadings">
    <w:name w:val="NICE numbered headings"/>
    <w:uiPriority w:val="99"/>
    <w:rsid w:val="001D006D"/>
    <w:pPr>
      <w:numPr>
        <w:numId w:val="4"/>
      </w:numPr>
    </w:pPr>
  </w:style>
  <w:style w:type="paragraph" w:customStyle="1" w:styleId="Bulletindent2">
    <w:name w:val="Bullet indent 2"/>
    <w:basedOn w:val="NICEnormal"/>
    <w:rsid w:val="00770C81"/>
    <w:pPr>
      <w:numPr>
        <w:ilvl w:val="1"/>
        <w:numId w:val="6"/>
      </w:numPr>
      <w:spacing w:after="0"/>
      <w:ind w:left="1702" w:hanging="284"/>
    </w:pPr>
  </w:style>
  <w:style w:type="paragraph" w:styleId="Caption">
    <w:name w:val="caption"/>
    <w:aliases w:val="NICE Caption,Char1,c,AW Caption,fig cadre,Caption Char Char,Caption Char Char Char Char,fig cadre Char2,Caption Char2,fig cadre Char Char,Char,SMC Caption,IB Caption,Medical Caption,NICE main title,Bayer Caption,B Caption,Caption2,- H17"/>
    <w:basedOn w:val="Normal"/>
    <w:next w:val="Normal"/>
    <w:link w:val="CaptionChar"/>
    <w:unhideWhenUsed/>
    <w:qFormat/>
    <w:rsid w:val="00770C81"/>
    <w:pPr>
      <w:keepNext/>
      <w:spacing w:after="0" w:line="240" w:lineRule="auto"/>
    </w:pPr>
    <w:rPr>
      <w:rFonts w:ascii="Arial" w:eastAsia="Times New Roman" w:hAnsi="Arial" w:cs="Times New Roman"/>
      <w:b/>
      <w:iCs/>
      <w:sz w:val="24"/>
      <w:szCs w:val="18"/>
      <w:lang w:eastAsia="en-GB"/>
    </w:rPr>
  </w:style>
  <w:style w:type="character" w:customStyle="1" w:styleId="CaptionChar">
    <w:name w:val="Caption Char"/>
    <w:aliases w:val="NICE Caption Char,Char1 Char,c Char,AW Caption Char,fig cadre Char,Caption Char Char Char,Caption Char Char Char Char Char,fig cadre Char2 Char,Caption Char2 Char,fig cadre Char Char Char,Char Char,SMC Caption Char,IB Caption Char"/>
    <w:basedOn w:val="DefaultParagraphFont"/>
    <w:link w:val="Caption"/>
    <w:rsid w:val="00770C81"/>
    <w:rPr>
      <w:rFonts w:ascii="Arial" w:eastAsia="Times New Roman" w:hAnsi="Arial" w:cs="Times New Roman"/>
      <w:b/>
      <w:iCs/>
      <w:sz w:val="24"/>
      <w:szCs w:val="18"/>
      <w:lang w:eastAsia="en-GB"/>
    </w:rPr>
  </w:style>
  <w:style w:type="table" w:styleId="PlainTable1">
    <w:name w:val="Plain Table 1"/>
    <w:basedOn w:val="TableNormal"/>
    <w:uiPriority w:val="41"/>
    <w:rsid w:val="00770C81"/>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70C81"/>
    <w:pPr>
      <w:spacing w:after="0" w:line="240" w:lineRule="auto"/>
    </w:pPr>
  </w:style>
  <w:style w:type="character" w:styleId="FollowedHyperlink">
    <w:name w:val="FollowedHyperlink"/>
    <w:basedOn w:val="DefaultParagraphFont"/>
    <w:uiPriority w:val="99"/>
    <w:semiHidden/>
    <w:unhideWhenUsed/>
    <w:rsid w:val="00E31707"/>
    <w:rPr>
      <w:color w:val="954F72" w:themeColor="followedHyperlink"/>
      <w:u w:val="single"/>
    </w:rPr>
  </w:style>
  <w:style w:type="paragraph" w:customStyle="1" w:styleId="Numberedheading2">
    <w:name w:val="Numbered heading 2"/>
    <w:basedOn w:val="Heading2"/>
    <w:next w:val="Normal"/>
    <w:rsid w:val="00775D27"/>
    <w:pPr>
      <w:numPr>
        <w:numId w:val="11"/>
      </w:numPr>
    </w:pPr>
    <w:rPr>
      <w:lang w:val="x-none"/>
    </w:rPr>
  </w:style>
  <w:style w:type="paragraph" w:customStyle="1" w:styleId="Numberedheading3">
    <w:name w:val="Numbered heading 3"/>
    <w:basedOn w:val="Heading3"/>
    <w:next w:val="Normal"/>
    <w:rsid w:val="00775D27"/>
    <w:pPr>
      <w:numPr>
        <w:numId w:val="11"/>
      </w:numPr>
      <w:tabs>
        <w:tab w:val="clear" w:pos="1134"/>
        <w:tab w:val="num" w:pos="360"/>
      </w:tabs>
      <w:ind w:left="0" w:firstLine="0"/>
    </w:pPr>
    <w:rPr>
      <w:sz w:val="26"/>
      <w:lang w:val="x-none"/>
    </w:rPr>
  </w:style>
  <w:style w:type="paragraph" w:customStyle="1" w:styleId="Numberedlevel4text">
    <w:name w:val="Numbered level 4 text"/>
    <w:basedOn w:val="Normal"/>
    <w:next w:val="Normal"/>
    <w:rsid w:val="00775D27"/>
    <w:pPr>
      <w:numPr>
        <w:ilvl w:val="3"/>
        <w:numId w:val="11"/>
      </w:numPr>
      <w:spacing w:after="240" w:line="360" w:lineRule="auto"/>
    </w:pPr>
    <w:rPr>
      <w:rFonts w:ascii="Arial" w:eastAsia="Times New Roman" w:hAnsi="Arial" w:cs="Times New Roman"/>
      <w:sz w:val="24"/>
      <w:szCs w:val="24"/>
    </w:rPr>
  </w:style>
  <w:style w:type="paragraph" w:customStyle="1" w:styleId="Numberedlevel3text">
    <w:name w:val="Numbered level 3 text"/>
    <w:basedOn w:val="Numberedheading3"/>
    <w:qFormat/>
    <w:rsid w:val="00775D27"/>
    <w:pPr>
      <w:keepNext w:val="0"/>
      <w:numPr>
        <w:ilvl w:val="0"/>
      </w:numPr>
      <w:spacing w:before="0" w:after="240"/>
    </w:pPr>
    <w:rPr>
      <w:b w:val="0"/>
      <w:sz w:val="24"/>
    </w:rPr>
  </w:style>
  <w:style w:type="character" w:styleId="Strong">
    <w:name w:val="Strong"/>
    <w:basedOn w:val="DefaultParagraphFont"/>
    <w:uiPriority w:val="22"/>
    <w:qFormat/>
    <w:rsid w:val="00775D27"/>
    <w:rPr>
      <w:b/>
      <w:bCs/>
    </w:rPr>
  </w:style>
  <w:style w:type="paragraph" w:customStyle="1" w:styleId="Default">
    <w:name w:val="Default"/>
    <w:rsid w:val="00775D2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402027">
      <w:bodyDiv w:val="1"/>
      <w:marLeft w:val="0"/>
      <w:marRight w:val="0"/>
      <w:marTop w:val="0"/>
      <w:marBottom w:val="0"/>
      <w:divBdr>
        <w:top w:val="none" w:sz="0" w:space="0" w:color="auto"/>
        <w:left w:val="none" w:sz="0" w:space="0" w:color="auto"/>
        <w:bottom w:val="none" w:sz="0" w:space="0" w:color="auto"/>
        <w:right w:val="none" w:sz="0" w:space="0" w:color="auto"/>
      </w:divBdr>
    </w:div>
    <w:div w:id="1476802239">
      <w:bodyDiv w:val="1"/>
      <w:marLeft w:val="0"/>
      <w:marRight w:val="0"/>
      <w:marTop w:val="0"/>
      <w:marBottom w:val="0"/>
      <w:divBdr>
        <w:top w:val="none" w:sz="0" w:space="0" w:color="auto"/>
        <w:left w:val="none" w:sz="0" w:space="0" w:color="auto"/>
        <w:bottom w:val="none" w:sz="0" w:space="0" w:color="auto"/>
        <w:right w:val="none" w:sz="0" w:space="0" w:color="auto"/>
      </w:divBdr>
    </w:div>
    <w:div w:id="1589536599">
      <w:bodyDiv w:val="1"/>
      <w:marLeft w:val="0"/>
      <w:marRight w:val="0"/>
      <w:marTop w:val="0"/>
      <w:marBottom w:val="0"/>
      <w:divBdr>
        <w:top w:val="none" w:sz="0" w:space="0" w:color="auto"/>
        <w:left w:val="none" w:sz="0" w:space="0" w:color="auto"/>
        <w:bottom w:val="none" w:sz="0" w:space="0" w:color="auto"/>
        <w:right w:val="none" w:sz="0" w:space="0" w:color="auto"/>
      </w:divBdr>
    </w:div>
    <w:div w:id="188254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Cunnington, Amanda [JACGB]</dc:creator>
  <cp:lastModifiedBy>Emma Gordon</cp:lastModifiedBy>
  <cp:revision>3</cp:revision>
  <dcterms:created xsi:type="dcterms:W3CDTF">2023-01-17T14:44:00Z</dcterms:created>
  <dcterms:modified xsi:type="dcterms:W3CDTF">2023-02-24T17:06:00Z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2023-02-24T17:06:09Z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04f4a005-da1f-44c2-98ae-2aa8948b42ff</vt:lpwstr>
  </property>
  <property fmtid="{D5CDD505-2E9C-101B-9397-08002B2CF9AE}" pid="8" name="MSIP_Label_c69d85d5-6d9e-4305-a294-1f636ec0f2d6_ContentBits">
    <vt:lpwstr>0</vt:lpwstr>
  </property>
</Properties>
</file>