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25B9" w14:textId="77777777" w:rsidR="003B57E0" w:rsidRDefault="003B57E0"/>
    <w:p w14:paraId="3E65029F" w14:textId="77777777" w:rsidR="00885AEC" w:rsidRDefault="00885AEC"/>
    <w:p w14:paraId="4422747D" w14:textId="77777777" w:rsidR="00437CF7" w:rsidRDefault="00885AEC" w:rsidP="00437CF7">
      <w:r>
        <w:rPr>
          <w:noProof/>
          <w:lang w:eastAsia="en-GB"/>
        </w:rPr>
        <w:drawing>
          <wp:inline distT="0" distB="0" distL="0" distR="0" wp14:anchorId="67073963" wp14:editId="1B318374">
            <wp:extent cx="3257550" cy="304800"/>
            <wp:effectExtent l="0" t="0" r="0" b="0"/>
            <wp:docPr id="4" name="Picture 4" descr="logo-large-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304800"/>
                    </a:xfrm>
                    <a:prstGeom prst="rect">
                      <a:avLst/>
                    </a:prstGeom>
                    <a:noFill/>
                    <a:ln>
                      <a:noFill/>
                    </a:ln>
                  </pic:spPr>
                </pic:pic>
              </a:graphicData>
            </a:graphic>
          </wp:inline>
        </w:drawing>
      </w:r>
    </w:p>
    <w:p w14:paraId="78DBBA5F" w14:textId="77777777" w:rsidR="00437CF7" w:rsidRDefault="00437CF7" w:rsidP="00437CF7"/>
    <w:p w14:paraId="2089BBFC" w14:textId="77777777" w:rsidR="00437CF7" w:rsidRPr="00533C95" w:rsidRDefault="00437CF7" w:rsidP="00437CF7"/>
    <w:p w14:paraId="5EFD748F" w14:textId="354763D0" w:rsidR="00437CF7" w:rsidRDefault="005B283A" w:rsidP="00437CF7">
      <w:pPr>
        <w:rPr>
          <w:rFonts w:ascii="Segoe UI" w:hAnsi="Segoe UI" w:cs="Segoe UI"/>
          <w:b/>
          <w:bCs/>
          <w:color w:val="000000"/>
          <w:kern w:val="28"/>
          <w:sz w:val="62"/>
          <w:szCs w:val="62"/>
        </w:rPr>
      </w:pPr>
      <w:r>
        <w:rPr>
          <w:noProof/>
        </w:rPr>
        <mc:AlternateContent>
          <mc:Choice Requires="wps">
            <w:drawing>
              <wp:anchor distT="0" distB="0" distL="114300" distR="114300" simplePos="0" relativeHeight="251658240" behindDoc="0" locked="0" layoutInCell="1" allowOverlap="1" wp14:anchorId="595405CF" wp14:editId="37222DE4">
                <wp:simplePos x="0" y="0"/>
                <wp:positionH relativeFrom="column">
                  <wp:posOffset>19050</wp:posOffset>
                </wp:positionH>
                <wp:positionV relativeFrom="paragraph">
                  <wp:posOffset>92710</wp:posOffset>
                </wp:positionV>
                <wp:extent cx="5943600" cy="717550"/>
                <wp:effectExtent l="0" t="0" r="0" b="25400"/>
                <wp:wrapThrough wrapText="bothSides">
                  <wp:wrapPolygon edited="0">
                    <wp:start x="0" y="0"/>
                    <wp:lineTo x="0" y="22365"/>
                    <wp:lineTo x="21531" y="22365"/>
                    <wp:lineTo x="21531"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17550"/>
                        </a:xfrm>
                        <a:prstGeom prst="rect">
                          <a:avLst/>
                        </a:prstGeom>
                        <a:solidFill>
                          <a:srgbClr val="004650"/>
                        </a:solidFill>
                        <a:ln>
                          <a:noFill/>
                        </a:ln>
                        <a:effectLst>
                          <a:outerShdw dist="23000" dir="5400000" rotWithShape="0">
                            <a:srgbClr val="000000">
                              <a:alpha val="34999"/>
                            </a:srgbClr>
                          </a:outerShdw>
                        </a:effectLst>
                      </wps:spPr>
                      <wps:txbx>
                        <w:txbxContent>
                          <w:p w14:paraId="1450BD9C" w14:textId="77777777" w:rsidR="00CB4C88" w:rsidRPr="003E50EF" w:rsidRDefault="00CB4C88" w:rsidP="00437CF7">
                            <w:pPr>
                              <w:spacing w:before="240"/>
                              <w:rPr>
                                <w:rFonts w:ascii="Arial" w:hAnsi="Arial" w:cs="Arial"/>
                                <w:color w:val="FFFFFF"/>
                                <w:sz w:val="50"/>
                                <w:szCs w:val="50"/>
                              </w:rPr>
                            </w:pPr>
                            <w:r w:rsidRPr="003E50EF">
                              <w:rPr>
                                <w:rFonts w:ascii="Arial" w:hAnsi="Arial" w:cs="Arial"/>
                                <w:color w:val="FFFFFF"/>
                                <w:sz w:val="50"/>
                                <w:szCs w:val="50"/>
                              </w:rPr>
                              <w:t>Putting NICE guidance into practice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5405CF" id="Rectangle 5" o:spid="_x0000_s1026" style="position:absolute;margin-left:1.5pt;margin-top:7.3pt;width:468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" fillcolor="#004650" stroked="f">
                <v:shadow on="t" color="black" opacity="22936f" origin=",.5" offset="0,.63889mm"/>
                <v:textbox>
                  <w:txbxContent>
                    <w:p w14:paraId="1450BD9C" w14:textId="77777777" w:rsidR="00CB4C88" w:rsidRPr="003E50EF" w:rsidRDefault="00CB4C88" w:rsidP="00437CF7">
                      <w:pPr>
                        <w:spacing w:before="240"/>
                        <w:rPr>
                          <w:rFonts w:ascii="Arial" w:hAnsi="Arial" w:cs="Arial"/>
                          <w:color w:val="FFFFFF"/>
                          <w:sz w:val="50"/>
                          <w:szCs w:val="50"/>
                        </w:rPr>
                      </w:pPr>
                      <w:r w:rsidRPr="003E50EF">
                        <w:rPr>
                          <w:rFonts w:ascii="Arial" w:hAnsi="Arial" w:cs="Arial"/>
                          <w:color w:val="FFFFFF"/>
                          <w:sz w:val="50"/>
                          <w:szCs w:val="50"/>
                        </w:rPr>
                        <w:t>Putting NICE guidance into practice</w:t>
                      </w:r>
                    </w:p>
                  </w:txbxContent>
                </v:textbox>
                <w10:wrap type="through"/>
              </v:rect>
            </w:pict>
          </mc:Fallback>
        </mc:AlternateContent>
      </w:r>
    </w:p>
    <w:p w14:paraId="3C6D6CC3" w14:textId="77777777" w:rsidR="00437CF7" w:rsidRPr="00C04750" w:rsidRDefault="00437CF7" w:rsidP="00437CF7">
      <w:pPr>
        <w:rPr>
          <w:rFonts w:ascii="Segoe UI" w:hAnsi="Segoe UI" w:cs="Segoe UI"/>
          <w:b/>
          <w:bCs/>
          <w:color w:val="000000"/>
          <w:kern w:val="28"/>
          <w:sz w:val="62"/>
          <w:szCs w:val="62"/>
        </w:rPr>
      </w:pPr>
    </w:p>
    <w:p w14:paraId="4CF2545F" w14:textId="77777777" w:rsidR="00437CF7" w:rsidRPr="00A336F2" w:rsidRDefault="00ED1870" w:rsidP="00437CF7">
      <w:pPr>
        <w:rPr>
          <w:rFonts w:ascii="Arial" w:hAnsi="Arial" w:cs="Arial"/>
          <w:b/>
          <w:bCs/>
          <w:color w:val="000000"/>
          <w:kern w:val="28"/>
          <w:sz w:val="40"/>
          <w:szCs w:val="40"/>
        </w:rPr>
      </w:pPr>
      <w:r w:rsidRPr="00A336F2">
        <w:rPr>
          <w:rFonts w:ascii="Arial" w:hAnsi="Arial" w:cs="Arial"/>
          <w:b/>
          <w:bCs/>
          <w:color w:val="000000"/>
          <w:kern w:val="28"/>
          <w:sz w:val="48"/>
          <w:szCs w:val="48"/>
        </w:rPr>
        <w:t>Resource impact</w:t>
      </w:r>
      <w:r w:rsidR="003A26D8" w:rsidRPr="00A336F2">
        <w:rPr>
          <w:rFonts w:ascii="Arial" w:hAnsi="Arial" w:cs="Arial"/>
          <w:b/>
          <w:bCs/>
          <w:color w:val="000000"/>
          <w:kern w:val="28"/>
          <w:sz w:val="48"/>
          <w:szCs w:val="48"/>
        </w:rPr>
        <w:t xml:space="preserve"> </w:t>
      </w:r>
      <w:r w:rsidR="00397FB2" w:rsidRPr="00A336F2">
        <w:rPr>
          <w:rFonts w:ascii="Arial" w:hAnsi="Arial" w:cs="Arial"/>
          <w:b/>
          <w:bCs/>
          <w:color w:val="000000"/>
          <w:kern w:val="28"/>
          <w:sz w:val="48"/>
          <w:szCs w:val="48"/>
        </w:rPr>
        <w:t>report</w:t>
      </w:r>
      <w:r w:rsidR="00437CF7" w:rsidRPr="00A336F2">
        <w:rPr>
          <w:rFonts w:ascii="Arial" w:hAnsi="Arial" w:cs="Arial"/>
          <w:b/>
          <w:bCs/>
          <w:color w:val="000000"/>
          <w:kern w:val="28"/>
          <w:sz w:val="48"/>
          <w:szCs w:val="48"/>
        </w:rPr>
        <w:t>:</w:t>
      </w:r>
    </w:p>
    <w:p w14:paraId="1B0A7C69" w14:textId="4060D063" w:rsidR="00CB75E3" w:rsidRPr="00A336F2" w:rsidRDefault="00031B01" w:rsidP="00CB75E3">
      <w:pPr>
        <w:rPr>
          <w:rFonts w:ascii="Arial" w:hAnsi="Arial" w:cs="Arial"/>
          <w:b/>
          <w:bCs/>
          <w:color w:val="000000"/>
          <w:kern w:val="28"/>
          <w:sz w:val="40"/>
          <w:szCs w:val="40"/>
        </w:rPr>
      </w:pPr>
      <w:r w:rsidRPr="00031B01">
        <w:rPr>
          <w:rFonts w:ascii="Arial" w:hAnsi="Arial" w:cs="Arial"/>
          <w:b/>
          <w:bCs/>
          <w:color w:val="000000"/>
          <w:kern w:val="28"/>
          <w:sz w:val="40"/>
          <w:szCs w:val="40"/>
        </w:rPr>
        <w:t xml:space="preserve">Daratumumab in combination for treating newly diagnosed systemic amyloid light-chain amyloidosis </w:t>
      </w:r>
      <w:r w:rsidR="00CB75E3">
        <w:rPr>
          <w:rFonts w:ascii="Arial" w:hAnsi="Arial" w:cs="Arial"/>
          <w:b/>
          <w:bCs/>
          <w:color w:val="000000"/>
          <w:kern w:val="28"/>
          <w:sz w:val="40"/>
          <w:szCs w:val="40"/>
        </w:rPr>
        <w:t>(TA</w:t>
      </w:r>
      <w:r w:rsidR="00B524C9">
        <w:rPr>
          <w:rFonts w:ascii="Arial" w:hAnsi="Arial" w:cs="Arial"/>
          <w:b/>
          <w:bCs/>
          <w:color w:val="000000"/>
          <w:kern w:val="28"/>
          <w:sz w:val="40"/>
          <w:szCs w:val="40"/>
        </w:rPr>
        <w:t>959</w:t>
      </w:r>
      <w:r w:rsidR="00CB75E3" w:rsidRPr="00A336F2">
        <w:rPr>
          <w:rFonts w:ascii="Arial" w:hAnsi="Arial" w:cs="Arial"/>
          <w:b/>
          <w:bCs/>
          <w:color w:val="000000"/>
          <w:kern w:val="28"/>
          <w:sz w:val="40"/>
          <w:szCs w:val="40"/>
        </w:rPr>
        <w:t>)</w:t>
      </w:r>
    </w:p>
    <w:p w14:paraId="7AE4392E" w14:textId="77777777" w:rsidR="00437CF7" w:rsidRPr="00A336F2" w:rsidRDefault="00437CF7" w:rsidP="00437CF7">
      <w:pPr>
        <w:rPr>
          <w:rFonts w:ascii="Arial" w:hAnsi="Arial" w:cs="Arial"/>
          <w:b/>
          <w:bCs/>
          <w:color w:val="000000"/>
          <w:kern w:val="28"/>
          <w:sz w:val="44"/>
          <w:szCs w:val="44"/>
        </w:rPr>
      </w:pPr>
    </w:p>
    <w:p w14:paraId="20728469" w14:textId="77777777" w:rsidR="006758E9" w:rsidRPr="00A336F2" w:rsidRDefault="006758E9" w:rsidP="00437CF7">
      <w:pPr>
        <w:rPr>
          <w:rFonts w:ascii="Arial" w:hAnsi="Arial" w:cs="Arial"/>
          <w:b/>
          <w:bCs/>
          <w:color w:val="000000"/>
          <w:kern w:val="28"/>
          <w:sz w:val="44"/>
          <w:szCs w:val="44"/>
        </w:rPr>
      </w:pPr>
    </w:p>
    <w:p w14:paraId="644E7CCB" w14:textId="77777777" w:rsidR="00365974" w:rsidRPr="00A336F2" w:rsidRDefault="00365974" w:rsidP="00437CF7">
      <w:pPr>
        <w:rPr>
          <w:rFonts w:ascii="Arial" w:hAnsi="Arial" w:cs="Arial"/>
          <w:b/>
          <w:bCs/>
          <w:color w:val="000000"/>
          <w:kern w:val="28"/>
          <w:sz w:val="44"/>
          <w:szCs w:val="44"/>
        </w:rPr>
      </w:pPr>
    </w:p>
    <w:p w14:paraId="321670FB" w14:textId="77545264" w:rsidR="00437CF7" w:rsidRDefault="00437CF7" w:rsidP="00E449A2">
      <w:pPr>
        <w:pStyle w:val="NICEnormalsinglespacing"/>
        <w:rPr>
          <w:rFonts w:cs="Arial"/>
          <w:color w:val="7F7F7F"/>
          <w:sz w:val="36"/>
          <w:szCs w:val="36"/>
        </w:rPr>
      </w:pPr>
      <w:r w:rsidRPr="00A336F2">
        <w:rPr>
          <w:rFonts w:cs="Arial"/>
          <w:color w:val="7F7F7F"/>
          <w:sz w:val="36"/>
          <w:szCs w:val="36"/>
        </w:rPr>
        <w:t xml:space="preserve">Published: </w:t>
      </w:r>
      <w:r w:rsidR="003D335E">
        <w:rPr>
          <w:rFonts w:cs="Arial"/>
          <w:color w:val="7F7F7F"/>
          <w:sz w:val="36"/>
          <w:szCs w:val="36"/>
        </w:rPr>
        <w:t>March</w:t>
      </w:r>
      <w:r w:rsidR="00B02618">
        <w:rPr>
          <w:rFonts w:cs="Arial"/>
          <w:color w:val="7F7F7F"/>
          <w:sz w:val="36"/>
          <w:szCs w:val="36"/>
        </w:rPr>
        <w:t xml:space="preserve"> </w:t>
      </w:r>
      <w:r w:rsidR="00D57F11">
        <w:rPr>
          <w:rFonts w:cs="Arial"/>
          <w:color w:val="7F7F7F"/>
          <w:sz w:val="36"/>
          <w:szCs w:val="36"/>
        </w:rPr>
        <w:t>2024</w:t>
      </w:r>
      <w:r w:rsidR="00017367" w:rsidRPr="00A336F2">
        <w:rPr>
          <w:rFonts w:cs="Arial"/>
          <w:color w:val="7F7F7F"/>
          <w:sz w:val="36"/>
          <w:szCs w:val="36"/>
        </w:rPr>
        <w:t xml:space="preserve"> </w:t>
      </w:r>
    </w:p>
    <w:p w14:paraId="6DBFA9D5" w14:textId="77777777" w:rsidR="00D36CE6" w:rsidRPr="004471BE" w:rsidRDefault="00D36CE6" w:rsidP="00D36CE6">
      <w:pPr>
        <w:rPr>
          <w:rFonts w:ascii="Segoe UI" w:hAnsi="Segoe UI" w:cs="Segoe UI"/>
          <w:b/>
          <w:bCs/>
          <w:color w:val="000000"/>
          <w:kern w:val="28"/>
          <w:sz w:val="44"/>
          <w:szCs w:val="44"/>
        </w:rPr>
      </w:pPr>
    </w:p>
    <w:p w14:paraId="6CE3487D" w14:textId="77777777" w:rsidR="00365974" w:rsidRDefault="00365974" w:rsidP="00D36CE6">
      <w:pPr>
        <w:rPr>
          <w:rFonts w:ascii="Segoe UI" w:hAnsi="Segoe UI" w:cs="Segoe UI"/>
          <w:b/>
          <w:bCs/>
          <w:color w:val="000000"/>
          <w:kern w:val="28"/>
          <w:sz w:val="44"/>
          <w:szCs w:val="44"/>
        </w:rPr>
      </w:pPr>
    </w:p>
    <w:p w14:paraId="6660C3D7" w14:textId="77777777" w:rsidR="00C45FF1" w:rsidRDefault="00C45FF1" w:rsidP="00E449A2">
      <w:pPr>
        <w:pStyle w:val="Heading1"/>
      </w:pPr>
    </w:p>
    <w:p w14:paraId="2946069E" w14:textId="77777777" w:rsidR="004B1875" w:rsidRDefault="004B1875" w:rsidP="004B1875">
      <w:pPr>
        <w:pStyle w:val="NICEnormal"/>
        <w:rPr>
          <w:lang w:val="en-GB"/>
        </w:rPr>
      </w:pPr>
    </w:p>
    <w:p w14:paraId="7E78AA5F" w14:textId="77777777" w:rsidR="00933040" w:rsidRDefault="00933040">
      <w:pPr>
        <w:rPr>
          <w:rFonts w:ascii="Arial" w:hAnsi="Arial"/>
        </w:rPr>
      </w:pPr>
      <w:r>
        <w:br w:type="page"/>
      </w:r>
    </w:p>
    <w:p w14:paraId="1C561145" w14:textId="613CE6C1" w:rsidR="00CB75E3" w:rsidRPr="00CB75E3" w:rsidRDefault="005B283A" w:rsidP="00CB75E3">
      <w:pPr>
        <w:pStyle w:val="Heading1"/>
      </w:pPr>
      <w:r>
        <w:rPr>
          <w:noProof/>
        </w:rPr>
        <w:lastRenderedPageBreak/>
        <mc:AlternateContent>
          <mc:Choice Requires="wps">
            <w:drawing>
              <wp:anchor distT="0" distB="0" distL="114300" distR="114300" simplePos="0" relativeHeight="251658241" behindDoc="1" locked="0" layoutInCell="1" allowOverlap="1" wp14:anchorId="64B16E62" wp14:editId="4947C427">
                <wp:simplePos x="0" y="0"/>
                <wp:positionH relativeFrom="margin">
                  <wp:posOffset>-385445</wp:posOffset>
                </wp:positionH>
                <wp:positionV relativeFrom="paragraph">
                  <wp:posOffset>-285750</wp:posOffset>
                </wp:positionV>
                <wp:extent cx="6048375" cy="93980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9398000"/>
                        </a:xfrm>
                        <a:prstGeom prst="rect">
                          <a:avLst/>
                        </a:prstGeom>
                        <a:noFill/>
                        <a:ln w="25400" cap="flat" cmpd="sng" algn="ctr">
                          <a:solidFill>
                            <a:srgbClr val="0046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arto="http://schemas.microsoft.com/office/word/2006/arto">
            <w:pict w14:anchorId="511B74EF">
              <v:rect id="Rectangle 1" style="position:absolute;margin-left:-30.35pt;margin-top:-22.5pt;width:476.25pt;height:740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04650" strokeweight="2pt" w14:anchorId="204FE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">
                <v:path arrowok="t"/>
                <w10:wrap anchorx="margin"/>
              </v:rect>
            </w:pict>
          </mc:Fallback>
        </mc:AlternateContent>
      </w:r>
      <w:r w:rsidR="00CB75E3" w:rsidRPr="00CB75E3">
        <w:t>Summary</w:t>
      </w:r>
    </w:p>
    <w:p w14:paraId="27D1CBFE" w14:textId="4C143065" w:rsidR="00147D9A" w:rsidRPr="00147D9A" w:rsidRDefault="00CB75E3" w:rsidP="00147D9A">
      <w:pPr>
        <w:spacing w:after="240" w:line="360" w:lineRule="auto"/>
        <w:rPr>
          <w:rFonts w:ascii="Arial" w:hAnsi="Arial"/>
          <w:lang w:val="en-US"/>
        </w:rPr>
      </w:pPr>
      <w:r w:rsidRPr="00CB75E3">
        <w:rPr>
          <w:rFonts w:ascii="Arial" w:hAnsi="Arial"/>
          <w:lang w:val="en-US"/>
        </w:rPr>
        <w:t>NICE has recommended</w:t>
      </w:r>
      <w:r w:rsidR="00BA345F">
        <w:rPr>
          <w:rFonts w:ascii="Arial" w:hAnsi="Arial"/>
          <w:lang w:val="en-US"/>
        </w:rPr>
        <w:t xml:space="preserve"> </w:t>
      </w:r>
      <w:r w:rsidR="00147D9A">
        <w:rPr>
          <w:rFonts w:ascii="Arial" w:hAnsi="Arial"/>
          <w:lang w:val="en-US"/>
        </w:rPr>
        <w:t>d</w:t>
      </w:r>
      <w:r w:rsidR="00147D9A" w:rsidRPr="00147D9A">
        <w:rPr>
          <w:rFonts w:ascii="Arial" w:hAnsi="Arial"/>
          <w:lang w:val="en-US"/>
        </w:rPr>
        <w:t>aratumumab plus bortezomib, cyclophosphamide and dexamethasone as an option for treating newly diagnosed systemic amyloid light-chain (AL) amyloidosis in adults. It is recommended only if:</w:t>
      </w:r>
    </w:p>
    <w:p w14:paraId="368B994E" w14:textId="24175040" w:rsidR="00147D9A" w:rsidRPr="00147D9A" w:rsidRDefault="00147D9A" w:rsidP="00933EC9">
      <w:pPr>
        <w:numPr>
          <w:ilvl w:val="0"/>
          <w:numId w:val="6"/>
        </w:numPr>
        <w:spacing w:line="360" w:lineRule="auto"/>
        <w:rPr>
          <w:rFonts w:ascii="Arial" w:hAnsi="Arial"/>
          <w:lang w:val="en-US"/>
        </w:rPr>
      </w:pPr>
      <w:r w:rsidRPr="00147D9A">
        <w:rPr>
          <w:rFonts w:ascii="Arial" w:hAnsi="Arial"/>
          <w:lang w:val="en-US"/>
        </w:rPr>
        <w:t>daratumumab is stopped after 24 cycles of treatment, or earlier if the condition progresses, and</w:t>
      </w:r>
    </w:p>
    <w:p w14:paraId="3BDC92A8" w14:textId="0121FAA3" w:rsidR="00D46A46" w:rsidRPr="00D46A46" w:rsidRDefault="00147D9A" w:rsidP="00933EC9">
      <w:pPr>
        <w:numPr>
          <w:ilvl w:val="0"/>
          <w:numId w:val="6"/>
        </w:numPr>
        <w:spacing w:after="240" w:line="360" w:lineRule="auto"/>
        <w:rPr>
          <w:rFonts w:ascii="Arial" w:hAnsi="Arial"/>
          <w:lang w:val="en-US"/>
        </w:rPr>
      </w:pPr>
      <w:r w:rsidRPr="00147D9A">
        <w:rPr>
          <w:rFonts w:ascii="Arial" w:hAnsi="Arial"/>
          <w:lang w:val="en-US"/>
        </w:rPr>
        <w:t>the company provides daratumumab according to the commercial arrangement</w:t>
      </w:r>
      <w:r>
        <w:rPr>
          <w:rFonts w:ascii="Arial" w:hAnsi="Arial"/>
          <w:lang w:val="en-US"/>
        </w:rPr>
        <w:t>.</w:t>
      </w:r>
    </w:p>
    <w:p w14:paraId="01AB1A8B" w14:textId="792D24D5" w:rsidR="00CB75E3" w:rsidRPr="00CB75E3" w:rsidRDefault="00CB75E3" w:rsidP="00CB75E3">
      <w:pPr>
        <w:spacing w:after="240" w:line="360" w:lineRule="auto"/>
        <w:rPr>
          <w:rFonts w:ascii="Arial" w:hAnsi="Arial"/>
          <w:lang w:val="en-US"/>
        </w:rPr>
      </w:pPr>
      <w:r w:rsidRPr="00CB75E3">
        <w:rPr>
          <w:rFonts w:ascii="Arial" w:hAnsi="Arial"/>
          <w:lang w:val="en-US"/>
        </w:rPr>
        <w:t>We estimate</w:t>
      </w:r>
      <w:r w:rsidR="00E74B02">
        <w:rPr>
          <w:rFonts w:ascii="Arial" w:hAnsi="Arial"/>
          <w:lang w:val="en-US"/>
        </w:rPr>
        <w:t>, based on the incident population,</w:t>
      </w:r>
      <w:r w:rsidRPr="00CB75E3">
        <w:rPr>
          <w:rFonts w:ascii="Arial" w:hAnsi="Arial"/>
          <w:lang w:val="en-US"/>
        </w:rPr>
        <w:t xml:space="preserve"> that</w:t>
      </w:r>
      <w:r w:rsidR="00746A97">
        <w:rPr>
          <w:rFonts w:ascii="Arial" w:hAnsi="Arial"/>
          <w:lang w:val="en-US"/>
        </w:rPr>
        <w:t xml:space="preserve"> around</w:t>
      </w:r>
      <w:r w:rsidRPr="00CB75E3">
        <w:rPr>
          <w:rFonts w:ascii="Arial" w:hAnsi="Arial"/>
          <w:lang w:val="en-US"/>
        </w:rPr>
        <w:t>:</w:t>
      </w:r>
    </w:p>
    <w:p w14:paraId="1C260284" w14:textId="41C91D8F" w:rsidR="00CB75E3" w:rsidRPr="00CB75E3" w:rsidRDefault="00147D9A" w:rsidP="00CB75E3">
      <w:pPr>
        <w:numPr>
          <w:ilvl w:val="0"/>
          <w:numId w:val="6"/>
        </w:numPr>
        <w:spacing w:line="360" w:lineRule="auto"/>
        <w:rPr>
          <w:rFonts w:ascii="Arial" w:hAnsi="Arial"/>
          <w:lang w:val="en-US"/>
        </w:rPr>
      </w:pPr>
      <w:bookmarkStart w:id="0" w:name="_Hlk129943690"/>
      <w:bookmarkStart w:id="1" w:name="_Hlk146023532"/>
      <w:r>
        <w:rPr>
          <w:rFonts w:ascii="Arial" w:hAnsi="Arial"/>
          <w:lang w:val="en-US"/>
        </w:rPr>
        <w:t>4</w:t>
      </w:r>
      <w:r w:rsidR="00F95E5E">
        <w:rPr>
          <w:rFonts w:ascii="Arial" w:hAnsi="Arial"/>
          <w:lang w:val="en-US"/>
        </w:rPr>
        <w:t>33</w:t>
      </w:r>
      <w:r w:rsidR="007D66D2">
        <w:rPr>
          <w:rFonts w:ascii="Arial" w:hAnsi="Arial"/>
          <w:lang w:val="en-US"/>
        </w:rPr>
        <w:t xml:space="preserve"> </w:t>
      </w:r>
      <w:r w:rsidR="00CB75E3" w:rsidRPr="00CB75E3">
        <w:rPr>
          <w:rFonts w:ascii="Arial" w:hAnsi="Arial"/>
          <w:lang w:val="en-US"/>
        </w:rPr>
        <w:t xml:space="preserve">adults with </w:t>
      </w:r>
      <w:r w:rsidRPr="00147D9A">
        <w:rPr>
          <w:rFonts w:ascii="Arial" w:hAnsi="Arial"/>
          <w:lang w:val="en-US"/>
        </w:rPr>
        <w:t xml:space="preserve">amyloid light-chain amyloidosis </w:t>
      </w:r>
      <w:r w:rsidR="00CB75E3" w:rsidRPr="00CB75E3">
        <w:rPr>
          <w:rFonts w:ascii="Arial" w:hAnsi="Arial"/>
          <w:lang w:val="en-US"/>
        </w:rPr>
        <w:t xml:space="preserve">are eligible for treatment with </w:t>
      </w:r>
      <w:r w:rsidR="00365CDB">
        <w:rPr>
          <w:rFonts w:ascii="Arial" w:hAnsi="Arial"/>
          <w:lang w:val="en-US"/>
        </w:rPr>
        <w:t>d</w:t>
      </w:r>
      <w:r w:rsidR="00365CDB" w:rsidRPr="00365CDB">
        <w:rPr>
          <w:rFonts w:ascii="Arial" w:hAnsi="Arial"/>
          <w:lang w:val="en-US"/>
        </w:rPr>
        <w:t xml:space="preserve">aratumumab in combination </w:t>
      </w:r>
      <w:r w:rsidR="00E74B02">
        <w:rPr>
          <w:rFonts w:ascii="Arial" w:hAnsi="Arial"/>
          <w:lang w:val="en-US"/>
        </w:rPr>
        <w:t>by 202</w:t>
      </w:r>
      <w:r w:rsidR="00267573">
        <w:rPr>
          <w:rFonts w:ascii="Arial" w:hAnsi="Arial"/>
          <w:lang w:val="en-US"/>
        </w:rPr>
        <w:t>8</w:t>
      </w:r>
      <w:r w:rsidR="00E74B02">
        <w:rPr>
          <w:rFonts w:ascii="Arial" w:hAnsi="Arial"/>
          <w:lang w:val="en-US"/>
        </w:rPr>
        <w:t>/2</w:t>
      </w:r>
      <w:r w:rsidR="00267573">
        <w:rPr>
          <w:rFonts w:ascii="Arial" w:hAnsi="Arial"/>
          <w:lang w:val="en-US"/>
        </w:rPr>
        <w:t>9</w:t>
      </w:r>
      <w:r w:rsidR="00E74B02">
        <w:rPr>
          <w:rFonts w:ascii="Arial" w:hAnsi="Arial"/>
          <w:lang w:val="en-US"/>
        </w:rPr>
        <w:t xml:space="preserve">, </w:t>
      </w:r>
      <w:r w:rsidR="00FA6D35">
        <w:rPr>
          <w:rFonts w:ascii="Arial" w:hAnsi="Arial"/>
          <w:lang w:val="en-US"/>
        </w:rPr>
        <w:t>based on expected population growth</w:t>
      </w:r>
      <w:r w:rsidR="00224577">
        <w:rPr>
          <w:rFonts w:ascii="Arial" w:hAnsi="Arial"/>
          <w:lang w:val="en-US"/>
        </w:rPr>
        <w:t>.</w:t>
      </w:r>
    </w:p>
    <w:p w14:paraId="793B4863" w14:textId="3E9266CE" w:rsidR="00CB75E3" w:rsidRPr="00CB75E3" w:rsidRDefault="004E69E9" w:rsidP="00CB75E3">
      <w:pPr>
        <w:numPr>
          <w:ilvl w:val="0"/>
          <w:numId w:val="8"/>
        </w:numPr>
        <w:spacing w:after="240" w:line="360" w:lineRule="auto"/>
        <w:rPr>
          <w:rFonts w:ascii="Arial" w:hAnsi="Arial" w:cs="Arial"/>
          <w:lang w:val="en-US"/>
        </w:rPr>
      </w:pPr>
      <w:r>
        <w:rPr>
          <w:rFonts w:ascii="Arial" w:hAnsi="Arial" w:cs="Arial"/>
          <w:lang w:val="en-US"/>
        </w:rPr>
        <w:t>411</w:t>
      </w:r>
      <w:r w:rsidRPr="37F15970">
        <w:rPr>
          <w:rFonts w:ascii="Arial" w:hAnsi="Arial" w:cs="Arial"/>
          <w:lang w:val="en-US"/>
        </w:rPr>
        <w:t xml:space="preserve"> </w:t>
      </w:r>
      <w:r w:rsidR="00CB75E3" w:rsidRPr="37F15970">
        <w:rPr>
          <w:rFonts w:ascii="Arial" w:hAnsi="Arial" w:cs="Arial"/>
          <w:lang w:val="en-US"/>
        </w:rPr>
        <w:t xml:space="preserve">adults will </w:t>
      </w:r>
      <w:r w:rsidR="00DA6F3E" w:rsidRPr="37F15970">
        <w:rPr>
          <w:rFonts w:ascii="Arial" w:hAnsi="Arial" w:cs="Arial"/>
          <w:lang w:val="en-US"/>
        </w:rPr>
        <w:t>start treatment with</w:t>
      </w:r>
      <w:r w:rsidR="00CB75E3" w:rsidRPr="37F15970">
        <w:rPr>
          <w:rFonts w:ascii="Arial" w:hAnsi="Arial" w:cs="Arial"/>
          <w:lang w:val="en-US"/>
        </w:rPr>
        <w:t xml:space="preserve"> </w:t>
      </w:r>
      <w:r w:rsidR="00365CDB" w:rsidRPr="00365CDB">
        <w:rPr>
          <w:rFonts w:ascii="Arial" w:hAnsi="Arial" w:cs="Arial"/>
          <w:lang w:val="en-US"/>
        </w:rPr>
        <w:t xml:space="preserve">daratumumab in combination </w:t>
      </w:r>
      <w:r w:rsidR="7187426D" w:rsidRPr="37F15970">
        <w:rPr>
          <w:rFonts w:ascii="Arial" w:hAnsi="Arial" w:cs="Arial"/>
          <w:lang w:val="en-US"/>
        </w:rPr>
        <w:t xml:space="preserve">each year </w:t>
      </w:r>
      <w:r w:rsidR="00224577" w:rsidRPr="37F15970">
        <w:rPr>
          <w:rFonts w:ascii="Arial" w:hAnsi="Arial" w:cs="Arial"/>
          <w:lang w:val="en-US"/>
        </w:rPr>
        <w:t>by</w:t>
      </w:r>
      <w:r w:rsidR="00CB75E3" w:rsidRPr="37F15970">
        <w:rPr>
          <w:rFonts w:ascii="Arial" w:hAnsi="Arial" w:cs="Arial"/>
          <w:lang w:val="en-US"/>
        </w:rPr>
        <w:t xml:space="preserve"> 202</w:t>
      </w:r>
      <w:r w:rsidR="00424B26">
        <w:rPr>
          <w:rFonts w:ascii="Arial" w:hAnsi="Arial" w:cs="Arial"/>
          <w:lang w:val="en-US"/>
        </w:rPr>
        <w:t>8</w:t>
      </w:r>
      <w:r w:rsidR="00CB75E3" w:rsidRPr="37F15970">
        <w:rPr>
          <w:rFonts w:ascii="Arial" w:hAnsi="Arial" w:cs="Arial"/>
          <w:lang w:val="en-US"/>
        </w:rPr>
        <w:t>/</w:t>
      </w:r>
      <w:r w:rsidR="00EA6874" w:rsidRPr="37F15970">
        <w:rPr>
          <w:rFonts w:ascii="Arial" w:hAnsi="Arial" w:cs="Arial"/>
          <w:lang w:val="en-US"/>
        </w:rPr>
        <w:t>2</w:t>
      </w:r>
      <w:r w:rsidR="00424B26">
        <w:rPr>
          <w:rFonts w:ascii="Arial" w:hAnsi="Arial" w:cs="Arial"/>
          <w:lang w:val="en-US"/>
        </w:rPr>
        <w:t>9</w:t>
      </w:r>
      <w:r w:rsidR="00FA6D35" w:rsidRPr="37F15970">
        <w:rPr>
          <w:rFonts w:ascii="Arial" w:hAnsi="Arial" w:cs="Arial"/>
          <w:lang w:val="en-US"/>
        </w:rPr>
        <w:t xml:space="preserve"> </w:t>
      </w:r>
      <w:r w:rsidR="00F604DE" w:rsidRPr="37F15970">
        <w:rPr>
          <w:rFonts w:ascii="Arial" w:hAnsi="Arial" w:cs="Arial"/>
          <w:lang w:val="en-US"/>
        </w:rPr>
        <w:t xml:space="preserve">after </w:t>
      </w:r>
      <w:r w:rsidR="00FA6D35" w:rsidRPr="37F15970">
        <w:rPr>
          <w:rFonts w:ascii="Arial" w:hAnsi="Arial" w:cs="Arial"/>
          <w:lang w:val="en-US"/>
        </w:rPr>
        <w:t>adjust</w:t>
      </w:r>
      <w:r w:rsidR="00F604DE" w:rsidRPr="37F15970">
        <w:rPr>
          <w:rFonts w:ascii="Arial" w:hAnsi="Arial" w:cs="Arial"/>
          <w:lang w:val="en-US"/>
        </w:rPr>
        <w:t>ing</w:t>
      </w:r>
      <w:r w:rsidR="00FA6D35" w:rsidRPr="37F15970">
        <w:rPr>
          <w:rFonts w:ascii="Arial" w:hAnsi="Arial" w:cs="Arial"/>
          <w:lang w:val="en-US"/>
        </w:rPr>
        <w:t xml:space="preserve"> for expected population growth</w:t>
      </w:r>
      <w:r w:rsidR="00DA6F3E" w:rsidRPr="37F15970">
        <w:rPr>
          <w:rFonts w:ascii="Arial" w:hAnsi="Arial" w:cs="Arial"/>
          <w:lang w:val="en-US"/>
        </w:rPr>
        <w:t>. This is</w:t>
      </w:r>
      <w:r w:rsidR="00EA6874" w:rsidRPr="37F15970">
        <w:rPr>
          <w:rFonts w:ascii="Arial" w:hAnsi="Arial" w:cs="Arial"/>
          <w:lang w:val="en-US"/>
        </w:rPr>
        <w:t xml:space="preserve"> based on </w:t>
      </w:r>
      <w:r w:rsidR="00D85833" w:rsidRPr="37F15970">
        <w:rPr>
          <w:rFonts w:ascii="Arial" w:hAnsi="Arial" w:cs="Arial"/>
          <w:lang w:val="en-US"/>
        </w:rPr>
        <w:t xml:space="preserve">consultant </w:t>
      </w:r>
      <w:proofErr w:type="spellStart"/>
      <w:r w:rsidR="00D46A46">
        <w:rPr>
          <w:rFonts w:ascii="Arial" w:hAnsi="Arial" w:cs="Arial"/>
          <w:lang w:val="en-US"/>
        </w:rPr>
        <w:t>haematologist</w:t>
      </w:r>
      <w:proofErr w:type="spellEnd"/>
      <w:r w:rsidR="00D85833" w:rsidRPr="37F15970">
        <w:rPr>
          <w:rFonts w:ascii="Arial" w:hAnsi="Arial" w:cs="Arial"/>
          <w:lang w:val="en-US"/>
        </w:rPr>
        <w:t xml:space="preserve"> </w:t>
      </w:r>
      <w:r w:rsidR="00BA345F" w:rsidRPr="37F15970">
        <w:rPr>
          <w:rFonts w:ascii="Arial" w:hAnsi="Arial" w:cs="Arial"/>
          <w:lang w:val="en-US"/>
        </w:rPr>
        <w:t>opinion</w:t>
      </w:r>
      <w:r w:rsidR="74345DD9" w:rsidRPr="37F15970">
        <w:rPr>
          <w:rFonts w:ascii="Arial" w:hAnsi="Arial" w:cs="Arial"/>
          <w:lang w:val="en-US"/>
        </w:rPr>
        <w:t>.</w:t>
      </w:r>
    </w:p>
    <w:bookmarkEnd w:id="0"/>
    <w:p w14:paraId="7254E4EA" w14:textId="33CE6CF3" w:rsidR="00CB75E3" w:rsidRPr="00CB75E3" w:rsidRDefault="00CB75E3" w:rsidP="00CB75E3">
      <w:pPr>
        <w:keepNext/>
        <w:spacing w:before="240" w:after="60" w:line="360" w:lineRule="auto"/>
        <w:outlineLvl w:val="2"/>
        <w:rPr>
          <w:rFonts w:ascii="Arial" w:hAnsi="Arial" w:cs="Arial"/>
          <w:b/>
          <w:bCs/>
        </w:rPr>
      </w:pPr>
      <w:r w:rsidRPr="00CB75E3">
        <w:rPr>
          <w:rFonts w:ascii="Arial" w:hAnsi="Arial" w:cs="Arial"/>
          <w:b/>
          <w:bCs/>
        </w:rPr>
        <w:t xml:space="preserve">Table 1 Estimated number of people in England </w:t>
      </w:r>
      <w:r w:rsidR="00DA6F3E">
        <w:rPr>
          <w:rFonts w:ascii="Arial" w:hAnsi="Arial" w:cs="Arial"/>
          <w:b/>
          <w:bCs/>
        </w:rPr>
        <w:t>starting treatment with</w:t>
      </w:r>
      <w:r w:rsidRPr="00CB75E3">
        <w:rPr>
          <w:rFonts w:ascii="Arial" w:hAnsi="Arial" w:cs="Arial"/>
          <w:b/>
          <w:bCs/>
        </w:rPr>
        <w:t xml:space="preserve"> </w:t>
      </w:r>
      <w:r w:rsidR="00365CDB" w:rsidRPr="00365CDB">
        <w:rPr>
          <w:rFonts w:ascii="Arial" w:hAnsi="Arial" w:cs="Arial"/>
          <w:b/>
          <w:bCs/>
        </w:rPr>
        <w:t xml:space="preserve">daratumumab in combination </w:t>
      </w:r>
      <w:r w:rsidR="00DA6F3E">
        <w:rPr>
          <w:rFonts w:ascii="Arial" w:hAnsi="Arial" w:cs="Arial"/>
          <w:b/>
          <w:bCs/>
        </w:rPr>
        <w:t xml:space="preserve">each </w:t>
      </w:r>
      <w:proofErr w:type="gramStart"/>
      <w:r w:rsidR="00DA6F3E">
        <w:rPr>
          <w:rFonts w:ascii="Arial" w:hAnsi="Arial" w:cs="Arial"/>
          <w:b/>
          <w:bCs/>
        </w:rPr>
        <w:t>year</w:t>
      </w:r>
      <w:proofErr w:type="gramEnd"/>
    </w:p>
    <w:tbl>
      <w:tblPr>
        <w:tblW w:w="85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134"/>
        <w:gridCol w:w="1134"/>
        <w:gridCol w:w="1191"/>
      </w:tblGrid>
      <w:tr w:rsidR="00424B26" w:rsidRPr="00CB75E3" w14:paraId="4B0BD5F4" w14:textId="77777777" w:rsidTr="600914F5">
        <w:tc>
          <w:tcPr>
            <w:tcW w:w="2836" w:type="dxa"/>
            <w:shd w:val="clear" w:color="auto" w:fill="auto"/>
          </w:tcPr>
          <w:p w14:paraId="3DDED507" w14:textId="77777777" w:rsidR="00424B26" w:rsidRPr="00CB75E3" w:rsidRDefault="00424B26" w:rsidP="00424B26">
            <w:pPr>
              <w:tabs>
                <w:tab w:val="left" w:pos="1134"/>
              </w:tabs>
              <w:spacing w:after="240" w:line="360" w:lineRule="auto"/>
              <w:rPr>
                <w:rFonts w:ascii="Arial" w:hAnsi="Arial"/>
                <w:b/>
                <w:sz w:val="22"/>
                <w:szCs w:val="22"/>
                <w:lang w:val="en-US"/>
              </w:rPr>
            </w:pPr>
            <w:bookmarkStart w:id="2" w:name="_Hlk146025073"/>
          </w:p>
        </w:tc>
        <w:tc>
          <w:tcPr>
            <w:tcW w:w="1134" w:type="dxa"/>
            <w:shd w:val="clear" w:color="auto" w:fill="auto"/>
          </w:tcPr>
          <w:p w14:paraId="289F364D" w14:textId="37DE9F72" w:rsidR="00424B26" w:rsidRPr="00CB75E3" w:rsidRDefault="00424B26" w:rsidP="00424B26">
            <w:pPr>
              <w:keepNext/>
              <w:spacing w:after="60"/>
              <w:jc w:val="right"/>
              <w:rPr>
                <w:rFonts w:ascii="Arial" w:hAnsi="Arial"/>
                <w:b/>
                <w:bCs/>
                <w:sz w:val="22"/>
                <w:lang w:val="en-US"/>
              </w:rPr>
            </w:pPr>
            <w:r w:rsidRPr="00224577">
              <w:rPr>
                <w:rFonts w:ascii="Arial" w:hAnsi="Arial"/>
                <w:b/>
                <w:bCs/>
                <w:sz w:val="22"/>
                <w:lang w:val="en-US"/>
              </w:rPr>
              <w:t>202</w:t>
            </w:r>
            <w:r>
              <w:rPr>
                <w:rFonts w:ascii="Arial" w:hAnsi="Arial"/>
                <w:b/>
                <w:bCs/>
                <w:sz w:val="22"/>
                <w:lang w:val="en-US"/>
              </w:rPr>
              <w:t>4</w:t>
            </w:r>
            <w:r w:rsidRPr="00224577">
              <w:rPr>
                <w:rFonts w:ascii="Arial" w:hAnsi="Arial"/>
                <w:b/>
                <w:bCs/>
                <w:sz w:val="22"/>
                <w:lang w:val="en-US"/>
              </w:rPr>
              <w:t>/2</w:t>
            </w:r>
            <w:r>
              <w:rPr>
                <w:rFonts w:ascii="Arial" w:hAnsi="Arial"/>
                <w:b/>
                <w:bCs/>
                <w:sz w:val="22"/>
                <w:lang w:val="en-US"/>
              </w:rPr>
              <w:t>5</w:t>
            </w:r>
          </w:p>
        </w:tc>
        <w:tc>
          <w:tcPr>
            <w:tcW w:w="1134" w:type="dxa"/>
            <w:shd w:val="clear" w:color="auto" w:fill="auto"/>
          </w:tcPr>
          <w:p w14:paraId="7EF2E9C2" w14:textId="7E2C45CD" w:rsidR="00424B26" w:rsidRPr="00CB75E3" w:rsidRDefault="00424B26" w:rsidP="00424B26">
            <w:pPr>
              <w:keepNext/>
              <w:spacing w:after="60"/>
              <w:jc w:val="right"/>
              <w:rPr>
                <w:rFonts w:ascii="Arial" w:hAnsi="Arial"/>
                <w:b/>
                <w:bCs/>
                <w:sz w:val="22"/>
                <w:lang w:val="en-US"/>
              </w:rPr>
            </w:pPr>
            <w:r w:rsidRPr="00224577">
              <w:rPr>
                <w:rFonts w:ascii="Arial" w:hAnsi="Arial"/>
                <w:b/>
                <w:bCs/>
                <w:sz w:val="22"/>
                <w:lang w:val="en-US"/>
              </w:rPr>
              <w:t>2025/26</w:t>
            </w:r>
          </w:p>
        </w:tc>
        <w:tc>
          <w:tcPr>
            <w:tcW w:w="1134" w:type="dxa"/>
            <w:shd w:val="clear" w:color="auto" w:fill="auto"/>
          </w:tcPr>
          <w:p w14:paraId="47FEA3BF" w14:textId="187C8162" w:rsidR="00424B26" w:rsidRPr="00CB75E3" w:rsidRDefault="00424B26" w:rsidP="00424B26">
            <w:pPr>
              <w:keepNext/>
              <w:spacing w:after="60"/>
              <w:jc w:val="right"/>
              <w:rPr>
                <w:rFonts w:ascii="Arial" w:hAnsi="Arial"/>
                <w:b/>
                <w:bCs/>
                <w:sz w:val="22"/>
                <w:lang w:val="en-US"/>
              </w:rPr>
            </w:pPr>
            <w:r w:rsidRPr="00224577">
              <w:rPr>
                <w:rFonts w:ascii="Arial" w:hAnsi="Arial"/>
                <w:b/>
                <w:bCs/>
                <w:sz w:val="22"/>
                <w:lang w:val="en-US"/>
              </w:rPr>
              <w:t>2026/27</w:t>
            </w:r>
          </w:p>
        </w:tc>
        <w:tc>
          <w:tcPr>
            <w:tcW w:w="1134" w:type="dxa"/>
            <w:shd w:val="clear" w:color="auto" w:fill="auto"/>
          </w:tcPr>
          <w:p w14:paraId="0EDCC25D" w14:textId="5FAD5AAD" w:rsidR="00424B26" w:rsidRPr="00CB75E3" w:rsidRDefault="00424B26" w:rsidP="00424B26">
            <w:pPr>
              <w:keepNext/>
              <w:spacing w:after="60"/>
              <w:jc w:val="right"/>
              <w:rPr>
                <w:rFonts w:ascii="Arial" w:hAnsi="Arial"/>
                <w:b/>
                <w:bCs/>
                <w:sz w:val="22"/>
                <w:lang w:val="en-US"/>
              </w:rPr>
            </w:pPr>
            <w:r w:rsidRPr="00CB75E3">
              <w:rPr>
                <w:rFonts w:ascii="Arial" w:hAnsi="Arial"/>
                <w:b/>
                <w:bCs/>
                <w:sz w:val="22"/>
                <w:lang w:val="en-US"/>
              </w:rPr>
              <w:t>202</w:t>
            </w:r>
            <w:r>
              <w:rPr>
                <w:rFonts w:ascii="Arial" w:hAnsi="Arial"/>
                <w:b/>
                <w:bCs/>
                <w:sz w:val="22"/>
                <w:lang w:val="en-US"/>
              </w:rPr>
              <w:t>7</w:t>
            </w:r>
            <w:r w:rsidRPr="00CB75E3">
              <w:rPr>
                <w:rFonts w:ascii="Arial" w:hAnsi="Arial"/>
                <w:b/>
                <w:bCs/>
                <w:sz w:val="22"/>
                <w:lang w:val="en-US"/>
              </w:rPr>
              <w:t>/2</w:t>
            </w:r>
            <w:r>
              <w:rPr>
                <w:rFonts w:ascii="Arial" w:hAnsi="Arial"/>
                <w:b/>
                <w:bCs/>
                <w:sz w:val="22"/>
                <w:lang w:val="en-US"/>
              </w:rPr>
              <w:t>8</w:t>
            </w:r>
          </w:p>
        </w:tc>
        <w:tc>
          <w:tcPr>
            <w:tcW w:w="1191" w:type="dxa"/>
            <w:shd w:val="clear" w:color="auto" w:fill="auto"/>
          </w:tcPr>
          <w:p w14:paraId="46191372" w14:textId="41623A3D" w:rsidR="00424B26" w:rsidRPr="00CB75E3" w:rsidRDefault="00424B26" w:rsidP="00424B26">
            <w:pPr>
              <w:keepNext/>
              <w:spacing w:after="60"/>
              <w:jc w:val="right"/>
              <w:rPr>
                <w:rFonts w:ascii="Arial" w:hAnsi="Arial"/>
                <w:b/>
                <w:bCs/>
                <w:sz w:val="22"/>
                <w:lang w:val="en-US"/>
              </w:rPr>
            </w:pPr>
            <w:r w:rsidRPr="00CB75E3">
              <w:rPr>
                <w:rFonts w:ascii="Arial" w:hAnsi="Arial"/>
                <w:b/>
                <w:bCs/>
                <w:sz w:val="22"/>
                <w:lang w:val="en-US"/>
              </w:rPr>
              <w:t>202</w:t>
            </w:r>
            <w:r>
              <w:rPr>
                <w:rFonts w:ascii="Arial" w:hAnsi="Arial"/>
                <w:b/>
                <w:bCs/>
                <w:sz w:val="22"/>
                <w:lang w:val="en-US"/>
              </w:rPr>
              <w:t>8</w:t>
            </w:r>
            <w:r w:rsidRPr="00CB75E3">
              <w:rPr>
                <w:rFonts w:ascii="Arial" w:hAnsi="Arial"/>
                <w:b/>
                <w:bCs/>
                <w:sz w:val="22"/>
                <w:lang w:val="en-US"/>
              </w:rPr>
              <w:t>/2</w:t>
            </w:r>
            <w:r>
              <w:rPr>
                <w:rFonts w:ascii="Arial" w:hAnsi="Arial"/>
                <w:b/>
                <w:bCs/>
                <w:sz w:val="22"/>
                <w:lang w:val="en-US"/>
              </w:rPr>
              <w:t>9</w:t>
            </w:r>
          </w:p>
        </w:tc>
      </w:tr>
      <w:tr w:rsidR="00147D9A" w:rsidRPr="00CB75E3" w14:paraId="06481C0D" w14:textId="77777777" w:rsidTr="600914F5">
        <w:tc>
          <w:tcPr>
            <w:tcW w:w="2836" w:type="dxa"/>
            <w:shd w:val="clear" w:color="auto" w:fill="auto"/>
          </w:tcPr>
          <w:p w14:paraId="201BCDCE" w14:textId="77777777" w:rsidR="00147D9A" w:rsidRPr="00CB75E3" w:rsidRDefault="00147D9A" w:rsidP="00147D9A">
            <w:pPr>
              <w:keepNext/>
              <w:spacing w:after="60"/>
              <w:rPr>
                <w:rFonts w:ascii="Arial" w:hAnsi="Arial"/>
                <w:sz w:val="22"/>
                <w:szCs w:val="22"/>
                <w:lang w:val="en-US"/>
              </w:rPr>
            </w:pPr>
            <w:r w:rsidRPr="00CB75E3">
              <w:rPr>
                <w:rFonts w:ascii="Arial" w:hAnsi="Arial"/>
                <w:sz w:val="22"/>
                <w:szCs w:val="22"/>
                <w:lang w:val="en-US"/>
              </w:rPr>
              <w:t>Uptake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5B31B58" w14:textId="06B6D429" w:rsidR="00147D9A" w:rsidRPr="00147D9A" w:rsidRDefault="004E69E9" w:rsidP="00147D9A">
            <w:pPr>
              <w:keepNext/>
              <w:spacing w:after="60"/>
              <w:jc w:val="right"/>
              <w:rPr>
                <w:rFonts w:ascii="Arial" w:hAnsi="Arial" w:cs="Arial"/>
                <w:sz w:val="22"/>
                <w:szCs w:val="22"/>
                <w:lang w:val="en-US"/>
              </w:rPr>
            </w:pPr>
            <w:r>
              <w:rPr>
                <w:rFonts w:ascii="Arial" w:hAnsi="Arial" w:cs="Arial"/>
                <w:color w:val="000000" w:themeColor="text1"/>
                <w:sz w:val="22"/>
                <w:szCs w:val="22"/>
              </w:rPr>
              <w:t>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2CF210" w14:textId="2A2A36D2" w:rsidR="00147D9A" w:rsidRPr="00147D9A" w:rsidRDefault="004E69E9" w:rsidP="00147D9A">
            <w:pPr>
              <w:keepNext/>
              <w:spacing w:after="60"/>
              <w:jc w:val="right"/>
              <w:rPr>
                <w:rFonts w:ascii="Arial" w:hAnsi="Arial" w:cs="Arial"/>
                <w:sz w:val="22"/>
                <w:szCs w:val="22"/>
                <w:lang w:val="en-US"/>
              </w:rPr>
            </w:pPr>
            <w:r>
              <w:rPr>
                <w:rFonts w:ascii="Arial" w:hAnsi="Arial" w:cs="Arial"/>
                <w:color w:val="000000"/>
                <w:sz w:val="22"/>
                <w:szCs w:val="22"/>
              </w:rPr>
              <w:t>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4F034B" w14:textId="17E5F9F0" w:rsidR="00147D9A" w:rsidRPr="00147D9A" w:rsidRDefault="004E69E9" w:rsidP="00147D9A">
            <w:pPr>
              <w:keepNext/>
              <w:spacing w:after="60"/>
              <w:jc w:val="right"/>
              <w:rPr>
                <w:rFonts w:ascii="Arial" w:hAnsi="Arial" w:cs="Arial"/>
                <w:sz w:val="22"/>
                <w:szCs w:val="22"/>
                <w:lang w:val="en-US"/>
              </w:rPr>
            </w:pPr>
            <w:r>
              <w:rPr>
                <w:rFonts w:ascii="Arial" w:hAnsi="Arial" w:cs="Arial"/>
                <w:color w:val="000000"/>
                <w:sz w:val="22"/>
                <w:szCs w:val="22"/>
              </w:rPr>
              <w:t>95</w:t>
            </w:r>
          </w:p>
        </w:tc>
        <w:tc>
          <w:tcPr>
            <w:tcW w:w="1134" w:type="dxa"/>
            <w:tcBorders>
              <w:top w:val="single" w:sz="4" w:space="0" w:color="auto"/>
              <w:left w:val="nil"/>
              <w:bottom w:val="single" w:sz="4" w:space="0" w:color="auto"/>
              <w:right w:val="single" w:sz="4" w:space="0" w:color="auto"/>
            </w:tcBorders>
            <w:shd w:val="clear" w:color="auto" w:fill="auto"/>
            <w:vAlign w:val="bottom"/>
          </w:tcPr>
          <w:p w14:paraId="083DFF8F" w14:textId="24779A56" w:rsidR="00147D9A" w:rsidRPr="00147D9A" w:rsidRDefault="00F26B3E" w:rsidP="00147D9A">
            <w:pPr>
              <w:keepNext/>
              <w:spacing w:after="60"/>
              <w:jc w:val="right"/>
              <w:rPr>
                <w:rFonts w:ascii="Arial" w:hAnsi="Arial" w:cs="Arial"/>
                <w:sz w:val="22"/>
                <w:szCs w:val="22"/>
                <w:lang w:val="en-US"/>
              </w:rPr>
            </w:pPr>
            <w:r>
              <w:rPr>
                <w:rFonts w:ascii="Arial" w:hAnsi="Arial" w:cs="Arial"/>
                <w:color w:val="000000"/>
                <w:sz w:val="22"/>
                <w:szCs w:val="22"/>
              </w:rPr>
              <w:t>95</w:t>
            </w:r>
          </w:p>
        </w:tc>
        <w:tc>
          <w:tcPr>
            <w:tcW w:w="1191" w:type="dxa"/>
            <w:tcBorders>
              <w:top w:val="single" w:sz="4" w:space="0" w:color="auto"/>
              <w:left w:val="nil"/>
              <w:bottom w:val="single" w:sz="4" w:space="0" w:color="auto"/>
              <w:right w:val="single" w:sz="4" w:space="0" w:color="auto"/>
            </w:tcBorders>
            <w:shd w:val="clear" w:color="auto" w:fill="auto"/>
            <w:vAlign w:val="bottom"/>
          </w:tcPr>
          <w:p w14:paraId="4D81C3FA" w14:textId="18AA6157" w:rsidR="00147D9A" w:rsidRPr="00FE364B" w:rsidRDefault="00F26B3E" w:rsidP="00FE364B">
            <w:pPr>
              <w:keepNext/>
              <w:spacing w:after="60"/>
              <w:jc w:val="right"/>
              <w:rPr>
                <w:rFonts w:ascii="Arial" w:hAnsi="Arial" w:cs="Arial"/>
                <w:color w:val="000000"/>
                <w:sz w:val="22"/>
                <w:szCs w:val="22"/>
              </w:rPr>
            </w:pPr>
            <w:r>
              <w:rPr>
                <w:rFonts w:ascii="Arial" w:hAnsi="Arial" w:cs="Arial"/>
                <w:color w:val="000000"/>
                <w:sz w:val="22"/>
                <w:szCs w:val="22"/>
              </w:rPr>
              <w:t>95</w:t>
            </w:r>
          </w:p>
        </w:tc>
      </w:tr>
      <w:tr w:rsidR="00F26B3E" w:rsidRPr="00CB75E3" w14:paraId="151AE231" w14:textId="77777777" w:rsidTr="001E0560">
        <w:tc>
          <w:tcPr>
            <w:tcW w:w="2836" w:type="dxa"/>
            <w:shd w:val="clear" w:color="auto" w:fill="auto"/>
          </w:tcPr>
          <w:p w14:paraId="1768C41D" w14:textId="698D4428" w:rsidR="00F26B3E" w:rsidRPr="00CB75E3" w:rsidRDefault="00F26B3E" w:rsidP="00F26B3E">
            <w:pPr>
              <w:keepNext/>
              <w:spacing w:after="60"/>
              <w:rPr>
                <w:rFonts w:ascii="Arial" w:hAnsi="Arial"/>
                <w:sz w:val="22"/>
                <w:szCs w:val="22"/>
                <w:lang w:val="en-US"/>
              </w:rPr>
            </w:pPr>
            <w:r w:rsidRPr="00CB75E3">
              <w:rPr>
                <w:rFonts w:ascii="Arial" w:hAnsi="Arial"/>
                <w:sz w:val="22"/>
                <w:szCs w:val="22"/>
                <w:lang w:val="en-US"/>
              </w:rPr>
              <w:t xml:space="preserve">People </w:t>
            </w:r>
            <w:r>
              <w:rPr>
                <w:rFonts w:ascii="Arial" w:hAnsi="Arial"/>
                <w:sz w:val="22"/>
                <w:szCs w:val="22"/>
                <w:lang w:val="en-US"/>
              </w:rPr>
              <w:t>starting treatment with</w:t>
            </w:r>
            <w:r w:rsidRPr="00CB75E3">
              <w:rPr>
                <w:rFonts w:ascii="Arial" w:hAnsi="Arial"/>
                <w:sz w:val="22"/>
                <w:szCs w:val="22"/>
                <w:lang w:val="en-US"/>
              </w:rPr>
              <w:t xml:space="preserve"> </w:t>
            </w:r>
            <w:r w:rsidRPr="00365CDB">
              <w:rPr>
                <w:rFonts w:ascii="Arial" w:hAnsi="Arial"/>
                <w:sz w:val="22"/>
                <w:szCs w:val="22"/>
                <w:lang w:val="en-US"/>
              </w:rPr>
              <w:t xml:space="preserve">daratumumab in combination </w:t>
            </w:r>
            <w:r>
              <w:rPr>
                <w:rFonts w:ascii="Arial" w:hAnsi="Arial"/>
                <w:sz w:val="22"/>
                <w:szCs w:val="22"/>
                <w:lang w:val="en-US"/>
              </w:rPr>
              <w:t>after adjusting for population growth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385884" w14:textId="14035646" w:rsidR="00F26B3E" w:rsidRPr="00F26B3E" w:rsidRDefault="00F26B3E" w:rsidP="00F26B3E">
            <w:pPr>
              <w:keepNext/>
              <w:spacing w:after="60"/>
              <w:jc w:val="right"/>
              <w:rPr>
                <w:rFonts w:ascii="Arial" w:hAnsi="Arial" w:cs="Arial"/>
                <w:sz w:val="22"/>
                <w:szCs w:val="22"/>
                <w:lang w:val="en-US"/>
              </w:rPr>
            </w:pPr>
            <w:r w:rsidRPr="00F26B3E">
              <w:rPr>
                <w:rFonts w:ascii="Arial" w:hAnsi="Arial" w:cs="Arial"/>
                <w:color w:val="000000"/>
                <w:sz w:val="22"/>
                <w:szCs w:val="22"/>
              </w:rPr>
              <w:t>398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A87A78" w14:textId="3DD8096C" w:rsidR="00F26B3E" w:rsidRPr="00F26B3E" w:rsidRDefault="00F26B3E" w:rsidP="00F26B3E">
            <w:pPr>
              <w:keepNext/>
              <w:spacing w:after="60"/>
              <w:jc w:val="right"/>
              <w:rPr>
                <w:rFonts w:ascii="Arial" w:hAnsi="Arial" w:cs="Arial"/>
                <w:sz w:val="22"/>
                <w:szCs w:val="22"/>
                <w:lang w:val="en-US"/>
              </w:rPr>
            </w:pPr>
            <w:r w:rsidRPr="00F26B3E">
              <w:rPr>
                <w:rFonts w:ascii="Arial" w:hAnsi="Arial" w:cs="Arial"/>
                <w:color w:val="000000"/>
                <w:sz w:val="22"/>
                <w:szCs w:val="22"/>
              </w:rPr>
              <w:t>402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6F4879" w14:textId="09F94C46" w:rsidR="00F26B3E" w:rsidRPr="00F26B3E" w:rsidRDefault="00F26B3E" w:rsidP="00F26B3E">
            <w:pPr>
              <w:keepNext/>
              <w:spacing w:after="60"/>
              <w:jc w:val="right"/>
              <w:rPr>
                <w:rFonts w:ascii="Arial" w:hAnsi="Arial" w:cs="Arial"/>
                <w:sz w:val="22"/>
                <w:szCs w:val="22"/>
                <w:lang w:val="en-US"/>
              </w:rPr>
            </w:pPr>
            <w:r w:rsidRPr="00F26B3E">
              <w:rPr>
                <w:rFonts w:ascii="Arial" w:hAnsi="Arial" w:cs="Arial"/>
                <w:color w:val="000000"/>
                <w:sz w:val="22"/>
                <w:szCs w:val="22"/>
              </w:rPr>
              <w:t>405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33C45F7" w14:textId="7A49C9CD" w:rsidR="00F26B3E" w:rsidRPr="00F26B3E" w:rsidRDefault="00F26B3E" w:rsidP="00F26B3E">
            <w:pPr>
              <w:keepNext/>
              <w:spacing w:after="60"/>
              <w:jc w:val="right"/>
              <w:rPr>
                <w:rFonts w:ascii="Arial" w:hAnsi="Arial" w:cs="Arial"/>
                <w:sz w:val="22"/>
                <w:szCs w:val="22"/>
                <w:lang w:val="en-US"/>
              </w:rPr>
            </w:pPr>
            <w:r w:rsidRPr="00F26B3E">
              <w:rPr>
                <w:rFonts w:ascii="Arial" w:hAnsi="Arial" w:cs="Arial"/>
                <w:color w:val="000000"/>
                <w:sz w:val="22"/>
                <w:szCs w:val="22"/>
              </w:rPr>
              <w:t>408</w:t>
            </w:r>
          </w:p>
        </w:tc>
        <w:tc>
          <w:tcPr>
            <w:tcW w:w="1191" w:type="dxa"/>
            <w:tcBorders>
              <w:top w:val="single" w:sz="4" w:space="0" w:color="auto"/>
              <w:left w:val="nil"/>
              <w:bottom w:val="single" w:sz="4" w:space="0" w:color="auto"/>
              <w:right w:val="single" w:sz="4" w:space="0" w:color="auto"/>
            </w:tcBorders>
            <w:shd w:val="clear" w:color="auto" w:fill="auto"/>
            <w:vAlign w:val="bottom"/>
          </w:tcPr>
          <w:p w14:paraId="2A54DFCF" w14:textId="6CF138E7" w:rsidR="00F26B3E" w:rsidRPr="00F26B3E" w:rsidRDefault="00F26B3E" w:rsidP="00F26B3E">
            <w:pPr>
              <w:keepNext/>
              <w:spacing w:after="60"/>
              <w:jc w:val="right"/>
              <w:rPr>
                <w:rFonts w:ascii="Arial" w:hAnsi="Arial" w:cs="Arial"/>
                <w:sz w:val="22"/>
                <w:szCs w:val="22"/>
                <w:lang w:val="en-US"/>
              </w:rPr>
            </w:pPr>
            <w:r w:rsidRPr="00F26B3E">
              <w:rPr>
                <w:rFonts w:ascii="Arial" w:hAnsi="Arial" w:cs="Arial"/>
                <w:color w:val="000000"/>
                <w:sz w:val="22"/>
                <w:szCs w:val="22"/>
              </w:rPr>
              <w:t>411</w:t>
            </w:r>
          </w:p>
        </w:tc>
      </w:tr>
      <w:tr w:rsidR="00F26B3E" w:rsidRPr="00CB75E3" w14:paraId="1CA38839" w14:textId="77777777" w:rsidTr="001E0560">
        <w:tc>
          <w:tcPr>
            <w:tcW w:w="2836" w:type="dxa"/>
            <w:shd w:val="clear" w:color="auto" w:fill="auto"/>
          </w:tcPr>
          <w:p w14:paraId="43642B0C" w14:textId="77777777" w:rsidR="00F26B3E" w:rsidRPr="00D46A46" w:rsidRDefault="00F26B3E" w:rsidP="00F26B3E">
            <w:pPr>
              <w:keepNext/>
              <w:spacing w:after="60"/>
              <w:rPr>
                <w:rFonts w:ascii="Arial" w:hAnsi="Arial" w:cs="Arial"/>
                <w:b/>
                <w:bCs/>
                <w:sz w:val="22"/>
                <w:szCs w:val="22"/>
                <w:lang w:val="en-US"/>
              </w:rPr>
            </w:pPr>
            <w:r w:rsidRPr="00D46A46">
              <w:rPr>
                <w:rFonts w:ascii="Arial" w:hAnsi="Arial" w:cs="Arial"/>
                <w:b/>
                <w:bCs/>
                <w:sz w:val="22"/>
                <w:szCs w:val="22"/>
                <w:lang w:val="en-US"/>
              </w:rPr>
              <w:t>Total number of people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D43C81" w14:textId="687787EE" w:rsidR="00F26B3E" w:rsidRPr="00F26B3E" w:rsidRDefault="00F26B3E" w:rsidP="00F26B3E">
            <w:pPr>
              <w:keepNext/>
              <w:spacing w:after="60"/>
              <w:jc w:val="right"/>
              <w:rPr>
                <w:rFonts w:ascii="Arial" w:hAnsi="Arial" w:cs="Arial"/>
                <w:b/>
                <w:bCs/>
                <w:sz w:val="22"/>
                <w:szCs w:val="22"/>
                <w:lang w:val="en-US"/>
              </w:rPr>
            </w:pPr>
            <w:r w:rsidRPr="00F26B3E">
              <w:rPr>
                <w:rFonts w:ascii="Arial" w:hAnsi="Arial" w:cs="Arial"/>
                <w:b/>
                <w:bCs/>
                <w:color w:val="000000"/>
                <w:sz w:val="22"/>
                <w:szCs w:val="22"/>
              </w:rPr>
              <w:t>398</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221634" w14:textId="3018C903" w:rsidR="00F26B3E" w:rsidRPr="00F26B3E" w:rsidRDefault="00F26B3E" w:rsidP="00F26B3E">
            <w:pPr>
              <w:keepNext/>
              <w:spacing w:after="60"/>
              <w:jc w:val="right"/>
              <w:rPr>
                <w:rFonts w:ascii="Arial" w:hAnsi="Arial" w:cs="Arial"/>
                <w:b/>
                <w:bCs/>
                <w:sz w:val="22"/>
                <w:szCs w:val="22"/>
                <w:lang w:val="en-US"/>
              </w:rPr>
            </w:pPr>
            <w:r w:rsidRPr="00F26B3E">
              <w:rPr>
                <w:rFonts w:ascii="Arial" w:hAnsi="Arial" w:cs="Arial"/>
                <w:b/>
                <w:bCs/>
                <w:color w:val="000000"/>
                <w:sz w:val="22"/>
                <w:szCs w:val="22"/>
              </w:rPr>
              <w:t>402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BA8DBF" w14:textId="6D985B1B" w:rsidR="00F26B3E" w:rsidRPr="00F26B3E" w:rsidRDefault="00F26B3E" w:rsidP="00F26B3E">
            <w:pPr>
              <w:keepNext/>
              <w:spacing w:after="60"/>
              <w:jc w:val="right"/>
              <w:rPr>
                <w:rFonts w:ascii="Arial" w:hAnsi="Arial" w:cs="Arial"/>
                <w:b/>
                <w:bCs/>
                <w:color w:val="000000"/>
                <w:sz w:val="22"/>
                <w:szCs w:val="22"/>
              </w:rPr>
            </w:pPr>
            <w:r w:rsidRPr="00F26B3E">
              <w:rPr>
                <w:rFonts w:ascii="Arial" w:hAnsi="Arial" w:cs="Arial"/>
                <w:b/>
                <w:bCs/>
                <w:color w:val="000000"/>
                <w:sz w:val="22"/>
                <w:szCs w:val="22"/>
              </w:rPr>
              <w:t>405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DCD5D1" w14:textId="645F3936" w:rsidR="00F26B3E" w:rsidRPr="00F26B3E" w:rsidRDefault="00F26B3E" w:rsidP="00F26B3E">
            <w:pPr>
              <w:keepNext/>
              <w:spacing w:after="60"/>
              <w:jc w:val="right"/>
              <w:rPr>
                <w:rFonts w:ascii="Arial" w:hAnsi="Arial" w:cs="Arial"/>
                <w:b/>
                <w:bCs/>
                <w:color w:val="000000"/>
                <w:sz w:val="22"/>
                <w:szCs w:val="22"/>
              </w:rPr>
            </w:pPr>
            <w:r w:rsidRPr="00F26B3E">
              <w:rPr>
                <w:rFonts w:ascii="Arial" w:hAnsi="Arial" w:cs="Arial"/>
                <w:b/>
                <w:bCs/>
                <w:color w:val="000000"/>
                <w:sz w:val="22"/>
                <w:szCs w:val="22"/>
              </w:rPr>
              <w:t>408</w:t>
            </w:r>
          </w:p>
        </w:tc>
        <w:tc>
          <w:tcPr>
            <w:tcW w:w="1191" w:type="dxa"/>
            <w:tcBorders>
              <w:top w:val="single" w:sz="4" w:space="0" w:color="auto"/>
              <w:left w:val="nil"/>
              <w:bottom w:val="single" w:sz="4" w:space="0" w:color="auto"/>
              <w:right w:val="single" w:sz="4" w:space="0" w:color="auto"/>
            </w:tcBorders>
            <w:shd w:val="clear" w:color="auto" w:fill="auto"/>
            <w:vAlign w:val="bottom"/>
          </w:tcPr>
          <w:p w14:paraId="4D038F76" w14:textId="34B11621" w:rsidR="00F26B3E" w:rsidRPr="00F26B3E" w:rsidRDefault="00F26B3E" w:rsidP="00F26B3E">
            <w:pPr>
              <w:keepNext/>
              <w:spacing w:after="60"/>
              <w:jc w:val="right"/>
              <w:rPr>
                <w:rFonts w:ascii="Arial" w:hAnsi="Arial" w:cs="Arial"/>
                <w:b/>
                <w:bCs/>
                <w:sz w:val="22"/>
                <w:szCs w:val="22"/>
                <w:lang w:val="en-US"/>
              </w:rPr>
            </w:pPr>
            <w:r w:rsidRPr="00F26B3E">
              <w:rPr>
                <w:rFonts w:ascii="Arial" w:hAnsi="Arial" w:cs="Arial"/>
                <w:b/>
                <w:bCs/>
                <w:color w:val="000000"/>
                <w:sz w:val="22"/>
                <w:szCs w:val="22"/>
              </w:rPr>
              <w:t>411</w:t>
            </w:r>
          </w:p>
        </w:tc>
      </w:tr>
      <w:tr w:rsidR="00DD2CBA" w:rsidRPr="00CB75E3" w14:paraId="6D6A4477" w14:textId="77777777" w:rsidTr="600914F5">
        <w:tc>
          <w:tcPr>
            <w:tcW w:w="8563" w:type="dxa"/>
            <w:gridSpan w:val="6"/>
            <w:shd w:val="clear" w:color="auto" w:fill="auto"/>
          </w:tcPr>
          <w:p w14:paraId="31C854CF" w14:textId="5834DE1D" w:rsidR="00EC367A" w:rsidRPr="00CB75E3" w:rsidRDefault="00DD2CBA" w:rsidP="001D7824">
            <w:pPr>
              <w:tabs>
                <w:tab w:val="left" w:pos="1134"/>
              </w:tabs>
              <w:rPr>
                <w:rFonts w:ascii="Arial" w:hAnsi="Arial"/>
                <w:b/>
                <w:bCs/>
                <w:lang w:val="en-US"/>
              </w:rPr>
            </w:pPr>
            <w:r w:rsidRPr="00DD2CBA">
              <w:rPr>
                <w:rFonts w:ascii="Arial" w:hAnsi="Arial"/>
                <w:sz w:val="20"/>
                <w:szCs w:val="20"/>
                <w:lang w:val="en-US"/>
              </w:rPr>
              <w:t xml:space="preserve">It is anticipated </w:t>
            </w:r>
            <w:r w:rsidR="00933EC9" w:rsidRPr="00DD2CBA">
              <w:rPr>
                <w:rFonts w:ascii="Arial" w:hAnsi="Arial"/>
                <w:sz w:val="20"/>
                <w:szCs w:val="20"/>
                <w:lang w:val="en-US"/>
              </w:rPr>
              <w:t>that</w:t>
            </w:r>
            <w:r w:rsidRPr="00DD2CBA">
              <w:rPr>
                <w:rFonts w:ascii="Arial" w:hAnsi="Arial"/>
                <w:sz w:val="20"/>
                <w:szCs w:val="20"/>
                <w:lang w:val="en-US"/>
              </w:rPr>
              <w:t xml:space="preserve"> people continue treatment for </w:t>
            </w:r>
            <w:r w:rsidR="00ED356C">
              <w:rPr>
                <w:rFonts w:ascii="Arial" w:hAnsi="Arial"/>
                <w:sz w:val="20"/>
                <w:szCs w:val="20"/>
                <w:lang w:val="en-US"/>
              </w:rPr>
              <w:t>15</w:t>
            </w:r>
            <w:r w:rsidR="007D66D2">
              <w:rPr>
                <w:rFonts w:ascii="Arial" w:hAnsi="Arial"/>
                <w:sz w:val="20"/>
                <w:szCs w:val="20"/>
                <w:lang w:val="en-US"/>
              </w:rPr>
              <w:t xml:space="preserve"> months</w:t>
            </w:r>
            <w:r w:rsidRPr="00DD2CBA">
              <w:rPr>
                <w:rFonts w:ascii="Arial" w:hAnsi="Arial"/>
                <w:sz w:val="20"/>
                <w:szCs w:val="20"/>
                <w:lang w:val="en-US"/>
              </w:rPr>
              <w:t xml:space="preserve"> on average</w:t>
            </w:r>
            <w:r w:rsidR="001D7824">
              <w:rPr>
                <w:rFonts w:ascii="Arial" w:hAnsi="Arial"/>
                <w:sz w:val="20"/>
                <w:szCs w:val="20"/>
                <w:lang w:val="en-US"/>
              </w:rPr>
              <w:t xml:space="preserve"> </w:t>
            </w:r>
            <w:r w:rsidR="001D7824" w:rsidRPr="001D7824">
              <w:rPr>
                <w:rFonts w:ascii="Arial" w:hAnsi="Arial"/>
                <w:sz w:val="20"/>
                <w:szCs w:val="20"/>
                <w:lang w:val="en-US"/>
              </w:rPr>
              <w:t>and therefore there will also be people receiving treatment who started treatment in previous years.</w:t>
            </w:r>
          </w:p>
        </w:tc>
      </w:tr>
      <w:bookmarkEnd w:id="1"/>
      <w:bookmarkEnd w:id="2"/>
    </w:tbl>
    <w:p w14:paraId="3700CEE6" w14:textId="77777777" w:rsidR="004F7CFE" w:rsidRPr="00DD2CBA" w:rsidRDefault="004F7CFE" w:rsidP="00DD2CBA">
      <w:pPr>
        <w:rPr>
          <w:rFonts w:ascii="Arial" w:hAnsi="Arial"/>
          <w:sz w:val="20"/>
          <w:szCs w:val="20"/>
          <w:lang w:val="en-US"/>
        </w:rPr>
      </w:pPr>
    </w:p>
    <w:p w14:paraId="046048F6" w14:textId="11367F5F" w:rsidR="00762A52" w:rsidRDefault="27DAF303" w:rsidP="00CB75E3">
      <w:pPr>
        <w:spacing w:after="240" w:line="360" w:lineRule="auto"/>
        <w:rPr>
          <w:rFonts w:ascii="Arial" w:hAnsi="Arial"/>
          <w:lang w:val="en-US"/>
        </w:rPr>
      </w:pPr>
      <w:r w:rsidRPr="7793E275">
        <w:rPr>
          <w:rFonts w:ascii="Arial" w:hAnsi="Arial"/>
          <w:lang w:val="en-US"/>
        </w:rPr>
        <w:t>This report is supported by a local resource impact template</w:t>
      </w:r>
      <w:r w:rsidR="0ED026B8" w:rsidRPr="7793E275">
        <w:rPr>
          <w:rFonts w:ascii="Arial" w:hAnsi="Arial"/>
          <w:lang w:val="en-US"/>
        </w:rPr>
        <w:t xml:space="preserve">. This is because </w:t>
      </w:r>
      <w:r w:rsidR="3803B258" w:rsidRPr="7793E275">
        <w:rPr>
          <w:rFonts w:ascii="Arial" w:hAnsi="Arial"/>
          <w:lang w:val="en-US"/>
        </w:rPr>
        <w:t xml:space="preserve">the company has a commercial arrangement. This makes </w:t>
      </w:r>
      <w:r w:rsidR="00147D9A" w:rsidRPr="00147D9A">
        <w:rPr>
          <w:rFonts w:ascii="Arial" w:hAnsi="Arial"/>
          <w:lang w:val="en-US"/>
        </w:rPr>
        <w:t>daratumumab</w:t>
      </w:r>
      <w:r w:rsidR="009314D9" w:rsidRPr="009314D9">
        <w:rPr>
          <w:rFonts w:ascii="Arial" w:hAnsi="Arial"/>
          <w:lang w:val="en-US"/>
        </w:rPr>
        <w:t xml:space="preserve"> </w:t>
      </w:r>
      <w:r w:rsidR="3803B258" w:rsidRPr="7793E275">
        <w:rPr>
          <w:rFonts w:ascii="Arial" w:hAnsi="Arial"/>
          <w:lang w:val="en-US"/>
        </w:rPr>
        <w:t xml:space="preserve">available to the NHS with a discount. The size of the discount is commercial in confidence. It is the company’s responsibility to let relevant NHS </w:t>
      </w:r>
      <w:proofErr w:type="spellStart"/>
      <w:r w:rsidR="3803B258" w:rsidRPr="7793E275">
        <w:rPr>
          <w:rFonts w:ascii="Arial" w:hAnsi="Arial"/>
          <w:lang w:val="en-US"/>
        </w:rPr>
        <w:t>organisations</w:t>
      </w:r>
      <w:proofErr w:type="spellEnd"/>
      <w:r w:rsidR="3803B258" w:rsidRPr="7793E275">
        <w:rPr>
          <w:rFonts w:ascii="Arial" w:hAnsi="Arial"/>
          <w:lang w:val="en-US"/>
        </w:rPr>
        <w:t xml:space="preserve"> know details of the discount.</w:t>
      </w:r>
    </w:p>
    <w:p w14:paraId="49682450" w14:textId="313C4AA5" w:rsidR="00343E53" w:rsidRPr="004B1875" w:rsidRDefault="006B3B39" w:rsidP="00493418">
      <w:pPr>
        <w:spacing w:after="240" w:line="360" w:lineRule="auto"/>
        <w:sectPr w:rsidR="00343E53" w:rsidRPr="004B1875" w:rsidSect="003E1C1E">
          <w:type w:val="continuous"/>
          <w:pgSz w:w="11907" w:h="16840" w:code="9"/>
          <w:pgMar w:top="1440" w:right="1797" w:bottom="1440" w:left="1797" w:header="709" w:footer="709" w:gutter="0"/>
          <w:cols w:space="708"/>
          <w:docGrid w:linePitch="360"/>
        </w:sectPr>
      </w:pPr>
      <w:r>
        <w:rPr>
          <w:noProof/>
        </w:rPr>
        <w:lastRenderedPageBreak/>
        <mc:AlternateContent>
          <mc:Choice Requires="wps">
            <w:drawing>
              <wp:anchor distT="0" distB="0" distL="114300" distR="114300" simplePos="0" relativeHeight="251658242" behindDoc="1" locked="0" layoutInCell="1" allowOverlap="1" wp14:anchorId="67546429" wp14:editId="6ACD2831">
                <wp:simplePos x="0" y="0"/>
                <wp:positionH relativeFrom="margin">
                  <wp:align>center</wp:align>
                </wp:positionH>
                <wp:positionV relativeFrom="paragraph">
                  <wp:posOffset>-366802</wp:posOffset>
                </wp:positionV>
                <wp:extent cx="6048375" cy="1581845"/>
                <wp:effectExtent l="0" t="0" r="28575" b="18415"/>
                <wp:wrapNone/>
                <wp:docPr id="1606325577" name="Rectangle 1606325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581845"/>
                        </a:xfrm>
                        <a:prstGeom prst="rect">
                          <a:avLst/>
                        </a:prstGeom>
                        <a:noFill/>
                        <a:ln w="25400" cap="flat" cmpd="sng" algn="ctr">
                          <a:solidFill>
                            <a:srgbClr val="0046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arto="http://schemas.microsoft.com/office/word/2006/arto">
            <w:pict w14:anchorId="33E4F192">
              <v:rect id="Rectangle 1606325577" style="position:absolute;margin-left:0;margin-top:-28.9pt;width:476.25pt;height:124.55pt;z-index:-2516561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004650" strokeweight="2pt" w14:anchorId="4CCC3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">
                <v:path arrowok="t"/>
                <w10:wrap anchorx="margin"/>
              </v:rect>
            </w:pict>
          </mc:Fallback>
        </mc:AlternateContent>
      </w:r>
      <w:r w:rsidR="00CB75E3" w:rsidRPr="00CB75E3">
        <w:rPr>
          <w:rFonts w:ascii="Arial" w:hAnsi="Arial"/>
          <w:lang w:val="en-US"/>
        </w:rPr>
        <w:t>This technology is commissioned by NHS England. Providers are NHS hospital trusts.</w:t>
      </w:r>
    </w:p>
    <w:p w14:paraId="11C8E9C9" w14:textId="396D1905" w:rsidR="00CB75E3" w:rsidRPr="00CB75E3" w:rsidRDefault="00147D9A" w:rsidP="00CB75E3">
      <w:pPr>
        <w:pStyle w:val="Numberedheading1"/>
      </w:pPr>
      <w:r>
        <w:lastRenderedPageBreak/>
        <w:t>D</w:t>
      </w:r>
      <w:r w:rsidRPr="00147D9A">
        <w:t xml:space="preserve">aratumumab </w:t>
      </w:r>
      <w:r w:rsidR="006B3B39" w:rsidRPr="006B3B39">
        <w:t>in combination</w:t>
      </w:r>
    </w:p>
    <w:p w14:paraId="4FA12AC9" w14:textId="77777777" w:rsidR="008E16BA" w:rsidRDefault="008E16BA" w:rsidP="001E0560">
      <w:pPr>
        <w:pStyle w:val="Numberedlevel2text"/>
      </w:pPr>
      <w:r w:rsidRPr="008E16BA">
        <w:t>Amyloidosis happens when amyloid, an abnormal protein, builds up in the organs affecting normal function. Systemic amyloid light-chain (AL) amyloidosis is the most severe form of amyloidosis. It is rare and incurable.</w:t>
      </w:r>
    </w:p>
    <w:p w14:paraId="51DD7417" w14:textId="225B0E20" w:rsidR="008E16BA" w:rsidRPr="008E16BA" w:rsidRDefault="008E16BA" w:rsidP="001E0560">
      <w:pPr>
        <w:pStyle w:val="Numberedlevel2text"/>
      </w:pPr>
      <w:r w:rsidRPr="008E16BA">
        <w:t xml:space="preserve">Systemic AL amyloidosis is usually treated with medicines that are licensed for multiple myeloma. These include bortezomib plus cyclophosphamide and dexamethasone. </w:t>
      </w:r>
      <w:r w:rsidR="006B3B39">
        <w:t>D</w:t>
      </w:r>
      <w:r w:rsidR="006B3B39" w:rsidRPr="006B3B39">
        <w:t xml:space="preserve">aratumumab in combination </w:t>
      </w:r>
      <w:r w:rsidRPr="008E16BA">
        <w:t>is the first treatment licensed for AL amyloidosis. If the condition responds to daratumumab in combination after 6 cycles, daratumumab alone is offered</w:t>
      </w:r>
      <w:r w:rsidR="002A06A8">
        <w:t xml:space="preserve"> for up to 18 cycles</w:t>
      </w:r>
      <w:r w:rsidRPr="008E16BA">
        <w:t>.</w:t>
      </w:r>
    </w:p>
    <w:p w14:paraId="366023A6" w14:textId="647383E8" w:rsidR="007D5027" w:rsidRDefault="00147D9A" w:rsidP="00760B3E">
      <w:pPr>
        <w:pStyle w:val="Numberedlevel2text"/>
      </w:pPr>
      <w:r w:rsidRPr="00147D9A">
        <w:t>Clinical evidence suggests that daratumumab in combination increases the time until systemic AL amyloidosis gets worse compared with bortezomib plus cyclophosphamide and dexamethasone. People whose condition responds to daratumumab in combination may live longer</w:t>
      </w:r>
      <w:r w:rsidR="008E16BA">
        <w:t>.</w:t>
      </w:r>
    </w:p>
    <w:p w14:paraId="1FD9ABF1" w14:textId="059EA4BD" w:rsidR="00301650" w:rsidRDefault="009314D9" w:rsidP="00301650">
      <w:pPr>
        <w:pStyle w:val="Numberedlevel2text"/>
      </w:pPr>
      <w:r w:rsidRPr="009314D9">
        <w:t xml:space="preserve">The clinical experts </w:t>
      </w:r>
      <w:r w:rsidR="00A96472" w:rsidRPr="00A96472">
        <w:t xml:space="preserve">explained that people with AL amyloidosis need care in the NHS in multidisciplinary </w:t>
      </w:r>
      <w:r w:rsidR="00B02618" w:rsidRPr="00A96472">
        <w:t>clinics and</w:t>
      </w:r>
      <w:r w:rsidR="00B02618" w:rsidRPr="00B02618">
        <w:t xml:space="preserve"> are primarily treated by haematologists. They may also have input from nephrology and cardiology specialties</w:t>
      </w:r>
      <w:r w:rsidR="00A96472" w:rsidRPr="00A96472">
        <w:t>. The most severe forms of systemic AL amyloidosis present with heart failure and renal failure.</w:t>
      </w:r>
    </w:p>
    <w:p w14:paraId="55FBB897" w14:textId="7B7BC363" w:rsidR="009314D9" w:rsidRPr="009314D9" w:rsidRDefault="00A96472" w:rsidP="009314D9">
      <w:pPr>
        <w:pStyle w:val="Numberedlevel2text"/>
      </w:pPr>
      <w:r w:rsidRPr="00A96472">
        <w:t>The clinical experts explained that there are currently no licensed treatment options for systemic AL amyloidosis in the NHS. They and the Cancer Drugs Fund lead explained that clinicians instead offer treatments for multiple myeloma and that the treatment pathways are similar. For newly diagnosed AL amyloidosis, first-line treatment is usually bortezomib plus cyclophosphamide and dexamethasone</w:t>
      </w:r>
      <w:r>
        <w:t xml:space="preserve">. </w:t>
      </w:r>
    </w:p>
    <w:p w14:paraId="283352A1" w14:textId="77777777" w:rsidR="00CE0C87" w:rsidRDefault="00CE0C87" w:rsidP="00CE0C87">
      <w:pPr>
        <w:pStyle w:val="Numberedheading1"/>
      </w:pPr>
      <w:r>
        <w:lastRenderedPageBreak/>
        <w:t>Resource impact of the guidance</w:t>
      </w:r>
    </w:p>
    <w:p w14:paraId="716C70FC" w14:textId="114DEE39" w:rsidR="00B3024A" w:rsidRDefault="00B3024A" w:rsidP="00432620">
      <w:pPr>
        <w:pStyle w:val="Numberedlevel2text"/>
      </w:pPr>
      <w:r>
        <w:t>The</w:t>
      </w:r>
      <w:r w:rsidRPr="00B3024A">
        <w:t xml:space="preserve"> </w:t>
      </w:r>
      <w:r w:rsidRPr="00C951CC">
        <w:t>current treatment</w:t>
      </w:r>
      <w:r w:rsidR="00F230EB">
        <w:t xml:space="preserve"> </w:t>
      </w:r>
      <w:r w:rsidR="00630973">
        <w:t>and</w:t>
      </w:r>
      <w:r w:rsidR="00FC752A">
        <w:t xml:space="preserve"> </w:t>
      </w:r>
      <w:r w:rsidR="00630973">
        <w:t>f</w:t>
      </w:r>
      <w:r w:rsidRPr="00C951CC">
        <w:t xml:space="preserve">uture uptake figure assumptions are based on </w:t>
      </w:r>
      <w:r>
        <w:t xml:space="preserve">estimates </w:t>
      </w:r>
      <w:r w:rsidR="00524B68">
        <w:t xml:space="preserve">provided </w:t>
      </w:r>
      <w:r w:rsidR="002B42B1">
        <w:t>by</w:t>
      </w:r>
      <w:r w:rsidRPr="00C951CC">
        <w:t xml:space="preserve"> </w:t>
      </w:r>
      <w:r w:rsidR="00F16F65">
        <w:t xml:space="preserve">consultant </w:t>
      </w:r>
      <w:r w:rsidR="00630973">
        <w:t>haematologists</w:t>
      </w:r>
      <w:r w:rsidRPr="00C951CC">
        <w:t xml:space="preserve"> </w:t>
      </w:r>
      <w:r w:rsidR="00630973">
        <w:t xml:space="preserve">and </w:t>
      </w:r>
      <w:r w:rsidRPr="00C951CC">
        <w:t xml:space="preserve">are shown in the resource impact template. </w:t>
      </w:r>
    </w:p>
    <w:p w14:paraId="3B914C96" w14:textId="653A4AD8" w:rsidR="00B3024A" w:rsidRDefault="00B3024A" w:rsidP="00432620">
      <w:pPr>
        <w:pStyle w:val="Numberedlevel2text"/>
      </w:pPr>
      <w:r>
        <w:t xml:space="preserve">This </w:t>
      </w:r>
      <w:r w:rsidRPr="00B3024A">
        <w:t xml:space="preserve">report is supported by a local resource impact template. This is because the company has a commercial arrangement which makes </w:t>
      </w:r>
      <w:r w:rsidR="00A96472">
        <w:t>daratumumab</w:t>
      </w:r>
      <w:r w:rsidRPr="00B3024A">
        <w:t xml:space="preserve"> available to the NHS with a discount. The size of the discount is commercial in confidence. It is the company’s responsibility to let relevant NHS organisations know details of the discount.</w:t>
      </w:r>
    </w:p>
    <w:p w14:paraId="4AFEA057" w14:textId="70A92A45" w:rsidR="00C60ABC" w:rsidRDefault="00C60ABC" w:rsidP="00C60ABC">
      <w:pPr>
        <w:pStyle w:val="Heading2"/>
      </w:pPr>
      <w:bookmarkStart w:id="3" w:name="_Toc286916851"/>
      <w:r>
        <w:t xml:space="preserve">Savings and </w:t>
      </w:r>
      <w:r w:rsidRPr="00FA450C">
        <w:t>benefits</w:t>
      </w:r>
      <w:r>
        <w:t xml:space="preserve"> </w:t>
      </w:r>
    </w:p>
    <w:p w14:paraId="70CD5189" w14:textId="159D777E" w:rsidR="00202B25" w:rsidRPr="00202B25" w:rsidRDefault="00A96472" w:rsidP="00202B25">
      <w:pPr>
        <w:pStyle w:val="Numberedlevel2text"/>
      </w:pPr>
      <w:r>
        <w:t>Daratumumab in combination</w:t>
      </w:r>
      <w:r w:rsidRPr="00A96472">
        <w:t xml:space="preserve"> would represent the first treatment licensed in the UK specifically for the management of patients with newly diagnosed AL amyloidosis.</w:t>
      </w:r>
    </w:p>
    <w:p w14:paraId="24086911" w14:textId="6E893C98" w:rsidR="00F16F65" w:rsidRDefault="00A96472" w:rsidP="00F16F65">
      <w:pPr>
        <w:pStyle w:val="Numberedlevel2text"/>
      </w:pPr>
      <w:r w:rsidRPr="00A96472">
        <w:t>Clinical evidence suggests that daratumumab in combination increases the time until systemic AL amyloidosis gets worse compared with bortezomib plus cyclophosphamide and dexamethasone.</w:t>
      </w:r>
    </w:p>
    <w:p w14:paraId="5511565D" w14:textId="3CD19E18" w:rsidR="000250E2" w:rsidRPr="000250E2" w:rsidRDefault="000250E2" w:rsidP="000250E2">
      <w:pPr>
        <w:pStyle w:val="Numberedheading1"/>
      </w:pPr>
      <w:r w:rsidRPr="000250E2">
        <w:t>Implications for commissioners and providers</w:t>
      </w:r>
    </w:p>
    <w:p w14:paraId="2242FC7B" w14:textId="2E9E3D61" w:rsidR="00491D53" w:rsidRDefault="00A96472" w:rsidP="00AD4C99">
      <w:pPr>
        <w:pStyle w:val="Numberedlevel2text"/>
      </w:pPr>
      <w:r w:rsidRPr="00A96472">
        <w:t xml:space="preserve">Daratumumab in combination </w:t>
      </w:r>
      <w:r w:rsidR="00491D53" w:rsidRPr="00491D53">
        <w:t>is commissioned by NHS England. Providers are NHS hospital trusts</w:t>
      </w:r>
      <w:r w:rsidR="00760B3E">
        <w:t>.</w:t>
      </w:r>
    </w:p>
    <w:p w14:paraId="0BBE4604" w14:textId="150693B2" w:rsidR="00AD4C99" w:rsidRDefault="00A96472">
      <w:pPr>
        <w:pStyle w:val="Numberedlevel2text"/>
      </w:pPr>
      <w:r w:rsidRPr="00A96472">
        <w:t xml:space="preserve">Daratumumab in combination </w:t>
      </w:r>
      <w:r w:rsidR="00D43384" w:rsidRPr="00262377">
        <w:t>falls</w:t>
      </w:r>
      <w:r w:rsidR="00262377" w:rsidRPr="00262377">
        <w:t xml:space="preserve"> within th</w:t>
      </w:r>
      <w:r w:rsidR="00262377">
        <w:t xml:space="preserve">e </w:t>
      </w:r>
      <w:r w:rsidR="00533AEE" w:rsidRPr="00533AEE">
        <w:t xml:space="preserve">programme </w:t>
      </w:r>
      <w:r w:rsidR="00FB592F">
        <w:t>budgeting category</w:t>
      </w:r>
      <w:r>
        <w:t xml:space="preserve"> </w:t>
      </w:r>
      <w:r w:rsidR="009F77BE">
        <w:t>16</w:t>
      </w:r>
      <w:r>
        <w:t>X -</w:t>
      </w:r>
      <w:r w:rsidR="00FB592F">
        <w:t xml:space="preserve"> </w:t>
      </w:r>
      <w:r w:rsidR="009F77BE" w:rsidRPr="009F77BE">
        <w:t>Specialist immunology services for adults with deficient immune systems</w:t>
      </w:r>
      <w:r w:rsidR="00FB592F">
        <w:t>.</w:t>
      </w:r>
    </w:p>
    <w:p w14:paraId="70D539E0" w14:textId="5781D7AE" w:rsidR="00E463DA" w:rsidRDefault="00202B25">
      <w:pPr>
        <w:pStyle w:val="Numberedlevel2text"/>
      </w:pPr>
      <w:r>
        <w:t xml:space="preserve">The average treatment duration for </w:t>
      </w:r>
      <w:r w:rsidR="00A96472">
        <w:t>d</w:t>
      </w:r>
      <w:r w:rsidR="00A96472" w:rsidRPr="00A96472">
        <w:t xml:space="preserve">aratumumab in combination </w:t>
      </w:r>
      <w:r>
        <w:t xml:space="preserve">and </w:t>
      </w:r>
      <w:r w:rsidR="00630973">
        <w:t>its</w:t>
      </w:r>
      <w:r w:rsidRPr="00202B25">
        <w:t xml:space="preserve"> </w:t>
      </w:r>
      <w:r>
        <w:t xml:space="preserve">comparator </w:t>
      </w:r>
      <w:r w:rsidR="00630973">
        <w:t>are</w:t>
      </w:r>
      <w:r>
        <w:t xml:space="preserve"> </w:t>
      </w:r>
      <w:r w:rsidR="00630973">
        <w:t>uncertain</w:t>
      </w:r>
      <w:r w:rsidR="00E463DA">
        <w:t>. The resource impact template allows commissioners to assess the resource impact of any additional attendances required at provider services.</w:t>
      </w:r>
    </w:p>
    <w:p w14:paraId="3304E268" w14:textId="645112D8" w:rsidR="000250E2" w:rsidRPr="000250E2" w:rsidRDefault="001D02D8">
      <w:pPr>
        <w:pStyle w:val="Numberedheading1"/>
      </w:pPr>
      <w:r>
        <w:lastRenderedPageBreak/>
        <w:t xml:space="preserve">How we estimated the </w:t>
      </w:r>
      <w:r w:rsidR="00356827">
        <w:t xml:space="preserve">resource </w:t>
      </w:r>
      <w:r>
        <w:t>impact</w:t>
      </w:r>
    </w:p>
    <w:p w14:paraId="573FED06" w14:textId="77777777" w:rsidR="008048F9" w:rsidRPr="00ED7225" w:rsidRDefault="00526504" w:rsidP="00412BA6">
      <w:pPr>
        <w:pStyle w:val="Heading2"/>
        <w:rPr>
          <w:lang w:val="en"/>
        </w:rPr>
      </w:pPr>
      <w:r>
        <w:t>The population</w:t>
      </w:r>
      <w:bookmarkEnd w:id="3"/>
    </w:p>
    <w:p w14:paraId="1764EFCE" w14:textId="77777777" w:rsidR="00E175AC" w:rsidRPr="0085749C" w:rsidRDefault="007B6983" w:rsidP="00084B70">
      <w:pPr>
        <w:pStyle w:val="Numberedlevel2text"/>
      </w:pPr>
      <w:hyperlink r:id="rId9" w:history="1">
        <w:r w:rsidR="00365CDB">
          <w:rPr>
            <w:bCs w:val="0"/>
            <w:iCs w:val="0"/>
            <w:color w:val="0000FF"/>
            <w:szCs w:val="24"/>
            <w:u w:val="single"/>
          </w:rPr>
          <w:t>Myeloma UK - AL amyloidosis</w:t>
        </w:r>
      </w:hyperlink>
      <w:r w:rsidR="00365CDB">
        <w:rPr>
          <w:bCs w:val="0"/>
          <w:iCs w:val="0"/>
          <w:szCs w:val="24"/>
        </w:rPr>
        <w:t xml:space="preserve"> estimates there are between 500-600 people </w:t>
      </w:r>
      <w:r w:rsidR="00365CDB" w:rsidRPr="00365CDB">
        <w:rPr>
          <w:bCs w:val="0"/>
          <w:iCs w:val="0"/>
          <w:szCs w:val="24"/>
        </w:rPr>
        <w:t>diagnosed</w:t>
      </w:r>
      <w:r w:rsidR="00365CDB">
        <w:rPr>
          <w:bCs w:val="0"/>
          <w:iCs w:val="0"/>
          <w:szCs w:val="24"/>
        </w:rPr>
        <w:t xml:space="preserve"> with AL amyloidosis</w:t>
      </w:r>
      <w:r w:rsidR="00365CDB" w:rsidRPr="00365CDB">
        <w:rPr>
          <w:bCs w:val="0"/>
          <w:iCs w:val="0"/>
          <w:szCs w:val="24"/>
        </w:rPr>
        <w:t xml:space="preserve"> each year in UK (assumed all are adults).</w:t>
      </w:r>
      <w:r w:rsidR="00365CDB">
        <w:rPr>
          <w:bCs w:val="0"/>
          <w:iCs w:val="0"/>
          <w:szCs w:val="24"/>
        </w:rPr>
        <w:t xml:space="preserve"> Using a m</w:t>
      </w:r>
      <w:r w:rsidR="00365CDB" w:rsidRPr="00365CDB">
        <w:rPr>
          <w:bCs w:val="0"/>
          <w:iCs w:val="0"/>
          <w:szCs w:val="24"/>
        </w:rPr>
        <w:t>idpoint of 550</w:t>
      </w:r>
      <w:r w:rsidR="00365CDB">
        <w:rPr>
          <w:bCs w:val="0"/>
          <w:iCs w:val="0"/>
          <w:szCs w:val="24"/>
        </w:rPr>
        <w:t xml:space="preserve"> and assuming</w:t>
      </w:r>
      <w:r w:rsidR="00365CDB" w:rsidRPr="00365CDB">
        <w:rPr>
          <w:bCs w:val="0"/>
          <w:iCs w:val="0"/>
          <w:szCs w:val="24"/>
        </w:rPr>
        <w:t xml:space="preserve"> 84% </w:t>
      </w:r>
      <w:r w:rsidR="00365CDB">
        <w:rPr>
          <w:bCs w:val="0"/>
          <w:iCs w:val="0"/>
          <w:szCs w:val="24"/>
        </w:rPr>
        <w:t>relates to the English population</w:t>
      </w:r>
      <w:r w:rsidR="00365CDB" w:rsidRPr="00365CDB">
        <w:rPr>
          <w:bCs w:val="0"/>
          <w:iCs w:val="0"/>
          <w:szCs w:val="24"/>
        </w:rPr>
        <w:t xml:space="preserve"> </w:t>
      </w:r>
      <w:r w:rsidR="00365CDB">
        <w:rPr>
          <w:bCs w:val="0"/>
          <w:iCs w:val="0"/>
          <w:szCs w:val="24"/>
        </w:rPr>
        <w:t>gives 462 adults.</w:t>
      </w:r>
    </w:p>
    <w:p w14:paraId="11B951D1" w14:textId="50B794C9" w:rsidR="0085749C" w:rsidRPr="00C1212A" w:rsidRDefault="0085749C" w:rsidP="00084B70">
      <w:pPr>
        <w:pStyle w:val="Numberedlevel2text"/>
      </w:pPr>
      <w:r w:rsidRPr="0085749C">
        <w:t>Consultant haematologists estimated 90% would be well enough or choose treatment giving 416 adults eligible for treatment. Applying population growth gives around 433 adults in England that are expected</w:t>
      </w:r>
      <w:r w:rsidR="003B5486">
        <w:t xml:space="preserve"> to be</w:t>
      </w:r>
      <w:r w:rsidRPr="0085749C">
        <w:t xml:space="preserve"> </w:t>
      </w:r>
      <w:r w:rsidR="007E34A9">
        <w:t xml:space="preserve">eligible for treatment for </w:t>
      </w:r>
      <w:r w:rsidRPr="0085749C">
        <w:t>amyloid light-chain amyloidosis in 2028/29.</w:t>
      </w:r>
    </w:p>
    <w:p w14:paraId="4A74EBC0" w14:textId="11776189" w:rsidR="0045017F" w:rsidRDefault="00947482" w:rsidP="00947482">
      <w:pPr>
        <w:pStyle w:val="Numberedlevel2text"/>
      </w:pPr>
      <w:r w:rsidRPr="00947482">
        <w:t xml:space="preserve">Table </w:t>
      </w:r>
      <w:r w:rsidR="00CB3D72">
        <w:t>2</w:t>
      </w:r>
      <w:r w:rsidRPr="00947482">
        <w:t xml:space="preserve"> shows the number of people eligible for treatment with</w:t>
      </w:r>
      <w:r w:rsidR="00B3024A">
        <w:t xml:space="preserve"> </w:t>
      </w:r>
      <w:r w:rsidR="00A96472">
        <w:t>d</w:t>
      </w:r>
      <w:r w:rsidR="00A96472" w:rsidRPr="00A96472">
        <w:t>aratumumab in combination</w:t>
      </w:r>
      <w:r w:rsidRPr="00947482">
        <w:t>.</w:t>
      </w:r>
    </w:p>
    <w:p w14:paraId="444A0B77" w14:textId="10880EB3" w:rsidR="00155DBF" w:rsidRDefault="00155DBF" w:rsidP="00E426BC">
      <w:pPr>
        <w:pStyle w:val="Heading3"/>
        <w:rPr>
          <w:rFonts w:eastAsia="SimSun"/>
        </w:rPr>
      </w:pPr>
      <w:r w:rsidRPr="00155DBF">
        <w:rPr>
          <w:rFonts w:eastAsia="SimSun"/>
        </w:rPr>
        <w:t>Table </w:t>
      </w:r>
      <w:r w:rsidR="00CB3D72">
        <w:rPr>
          <w:rFonts w:eastAsia="SimSun"/>
        </w:rPr>
        <w:t>2</w:t>
      </w:r>
      <w:r w:rsidRPr="00155DBF">
        <w:rPr>
          <w:rFonts w:eastAsia="SimSun"/>
        </w:rPr>
        <w:t xml:space="preserve"> Number of people eligible for treatment </w:t>
      </w:r>
      <w:r>
        <w:rPr>
          <w:rFonts w:eastAsia="SimSun"/>
        </w:rPr>
        <w:t>in England</w:t>
      </w:r>
    </w:p>
    <w:tbl>
      <w:tblPr>
        <w:tblW w:w="7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1752"/>
        <w:gridCol w:w="2044"/>
      </w:tblGrid>
      <w:tr w:rsidR="00947482" w:rsidRPr="00E426BC" w14:paraId="244FC3FE" w14:textId="77777777" w:rsidTr="37F15970">
        <w:tc>
          <w:tcPr>
            <w:tcW w:w="4199" w:type="dxa"/>
            <w:shd w:val="clear" w:color="auto" w:fill="auto"/>
            <w:noWrap/>
            <w:vAlign w:val="center"/>
            <w:hideMark/>
          </w:tcPr>
          <w:p w14:paraId="3E81643C" w14:textId="77777777" w:rsidR="00947482" w:rsidRPr="00E426BC" w:rsidRDefault="00947482" w:rsidP="00622A3D">
            <w:pPr>
              <w:pStyle w:val="Tabletext"/>
              <w:rPr>
                <w:rFonts w:eastAsia="SimSun"/>
                <w:b/>
              </w:rPr>
            </w:pPr>
            <w:r w:rsidRPr="00E426BC">
              <w:rPr>
                <w:rFonts w:eastAsia="SimSun"/>
                <w:b/>
              </w:rPr>
              <w:t>Population</w:t>
            </w:r>
          </w:p>
        </w:tc>
        <w:tc>
          <w:tcPr>
            <w:tcW w:w="1752" w:type="dxa"/>
            <w:shd w:val="clear" w:color="auto" w:fill="auto"/>
            <w:noWrap/>
            <w:vAlign w:val="center"/>
            <w:hideMark/>
          </w:tcPr>
          <w:p w14:paraId="04EF1E87" w14:textId="77777777" w:rsidR="00947482" w:rsidRPr="00E426BC" w:rsidRDefault="00947482" w:rsidP="00622A3D">
            <w:pPr>
              <w:pStyle w:val="Tabletext"/>
              <w:jc w:val="right"/>
              <w:rPr>
                <w:rFonts w:eastAsia="SimSun"/>
                <w:b/>
              </w:rPr>
            </w:pPr>
            <w:r w:rsidRPr="00E426BC">
              <w:rPr>
                <w:rFonts w:eastAsia="SimSun"/>
                <w:b/>
              </w:rPr>
              <w:t>Proportion</w:t>
            </w:r>
            <w:r>
              <w:rPr>
                <w:rFonts w:eastAsia="SimSun"/>
                <w:b/>
              </w:rPr>
              <w:t xml:space="preserve"> of previous row (%)</w:t>
            </w:r>
          </w:p>
        </w:tc>
        <w:tc>
          <w:tcPr>
            <w:tcW w:w="2044" w:type="dxa"/>
            <w:shd w:val="clear" w:color="auto" w:fill="auto"/>
            <w:vAlign w:val="center"/>
            <w:hideMark/>
          </w:tcPr>
          <w:p w14:paraId="6472D484" w14:textId="77777777" w:rsidR="00947482" w:rsidRPr="00E426BC" w:rsidRDefault="00947482" w:rsidP="00622A3D">
            <w:pPr>
              <w:pStyle w:val="Tabletext"/>
              <w:jc w:val="right"/>
              <w:rPr>
                <w:rFonts w:eastAsia="SimSun"/>
                <w:b/>
              </w:rPr>
            </w:pPr>
            <w:r w:rsidRPr="00E426BC">
              <w:rPr>
                <w:rFonts w:eastAsia="SimSun"/>
                <w:b/>
              </w:rPr>
              <w:t>Number of people</w:t>
            </w:r>
          </w:p>
        </w:tc>
      </w:tr>
      <w:tr w:rsidR="003C1A64" w:rsidRPr="00A11248" w14:paraId="67226022" w14:textId="77777777" w:rsidTr="37F15970">
        <w:tc>
          <w:tcPr>
            <w:tcW w:w="4199" w:type="dxa"/>
            <w:tcBorders>
              <w:bottom w:val="single" w:sz="4" w:space="0" w:color="auto"/>
            </w:tcBorders>
            <w:shd w:val="clear" w:color="auto" w:fill="auto"/>
          </w:tcPr>
          <w:p w14:paraId="231E9A4D" w14:textId="506E2ABC" w:rsidR="003C1A64" w:rsidRPr="00356827" w:rsidRDefault="003C1A64" w:rsidP="003C1A64">
            <w:pPr>
              <w:pStyle w:val="Tabletext"/>
              <w:rPr>
                <w:rFonts w:eastAsia="SimSun"/>
              </w:rPr>
            </w:pPr>
            <w:r w:rsidRPr="002F3D95">
              <w:t xml:space="preserve">Adult population forecast </w:t>
            </w:r>
            <w:proofErr w:type="gramStart"/>
            <w:r w:rsidRPr="002F3D95">
              <w:t>at</w:t>
            </w:r>
            <w:proofErr w:type="gramEnd"/>
            <w:r w:rsidRPr="002F3D95">
              <w:t xml:space="preserve"> 20</w:t>
            </w:r>
            <w:r w:rsidR="00933EC9">
              <w:t>28/29</w:t>
            </w:r>
          </w:p>
        </w:tc>
        <w:tc>
          <w:tcPr>
            <w:tcW w:w="1752" w:type="dxa"/>
            <w:shd w:val="clear" w:color="auto" w:fill="auto"/>
            <w:noWrap/>
          </w:tcPr>
          <w:p w14:paraId="68124A32" w14:textId="77777777" w:rsidR="003C1A64" w:rsidRPr="00DB65B0" w:rsidRDefault="003C1A64" w:rsidP="00CB3D72">
            <w:pPr>
              <w:pStyle w:val="Tabletext"/>
              <w:jc w:val="right"/>
              <w:rPr>
                <w:rFonts w:eastAsia="SimSun"/>
                <w:highlight w:val="darkGray"/>
              </w:rPr>
            </w:pPr>
          </w:p>
        </w:tc>
        <w:tc>
          <w:tcPr>
            <w:tcW w:w="2044" w:type="dxa"/>
            <w:tcBorders>
              <w:bottom w:val="single" w:sz="4" w:space="0" w:color="auto"/>
            </w:tcBorders>
            <w:shd w:val="clear" w:color="auto" w:fill="auto"/>
            <w:noWrap/>
            <w:vAlign w:val="center"/>
          </w:tcPr>
          <w:p w14:paraId="20B55248" w14:textId="3AE431BC" w:rsidR="003C1A64" w:rsidRPr="00155DBF" w:rsidRDefault="008A003B" w:rsidP="00CB3D72">
            <w:pPr>
              <w:pStyle w:val="Tabletext"/>
              <w:jc w:val="right"/>
              <w:rPr>
                <w:rFonts w:eastAsia="SimSun"/>
              </w:rPr>
            </w:pPr>
            <w:r w:rsidRPr="008A003B">
              <w:rPr>
                <w:rFonts w:eastAsia="SimSun"/>
              </w:rPr>
              <w:t>46,263,200</w:t>
            </w:r>
          </w:p>
        </w:tc>
      </w:tr>
      <w:tr w:rsidR="00D6692E" w:rsidRPr="00A11248" w14:paraId="0AD6119F" w14:textId="77777777" w:rsidTr="00365CDB">
        <w:trPr>
          <w:trHeight w:val="243"/>
        </w:trPr>
        <w:tc>
          <w:tcPr>
            <w:tcW w:w="41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ED93C" w14:textId="0C0E5DE2" w:rsidR="00D6692E" w:rsidRPr="00CB3D72" w:rsidRDefault="00D6692E" w:rsidP="00D6692E">
            <w:pPr>
              <w:pStyle w:val="Tabletext"/>
              <w:rPr>
                <w:vertAlign w:val="superscript"/>
              </w:rPr>
            </w:pPr>
            <w:r w:rsidRPr="00CB3D72">
              <w:t xml:space="preserve">Incidence of </w:t>
            </w:r>
            <w:r w:rsidR="00365CDB" w:rsidRPr="00365CDB">
              <w:t>AL amyloidosis</w:t>
            </w:r>
            <w:r w:rsidRPr="00D6692E">
              <w:rPr>
                <w:vertAlign w:val="superscript"/>
              </w:rPr>
              <w:t>1</w:t>
            </w:r>
          </w:p>
        </w:tc>
        <w:tc>
          <w:tcPr>
            <w:tcW w:w="1752" w:type="dxa"/>
            <w:tcBorders>
              <w:top w:val="nil"/>
              <w:left w:val="single" w:sz="4" w:space="0" w:color="auto"/>
              <w:bottom w:val="single" w:sz="4" w:space="0" w:color="auto"/>
              <w:right w:val="single" w:sz="4" w:space="0" w:color="auto"/>
            </w:tcBorders>
            <w:shd w:val="clear" w:color="auto" w:fill="auto"/>
            <w:noWrap/>
            <w:hideMark/>
          </w:tcPr>
          <w:p w14:paraId="1670A752" w14:textId="67176289" w:rsidR="00D6692E" w:rsidRPr="004627C5" w:rsidRDefault="00D6692E" w:rsidP="00365CDB">
            <w:pPr>
              <w:pStyle w:val="Tabletext"/>
              <w:jc w:val="right"/>
              <w:rPr>
                <w:rFonts w:eastAsia="SimSun"/>
              </w:rPr>
            </w:pPr>
            <w:r>
              <w:t xml:space="preserve">              </w:t>
            </w:r>
            <w:r w:rsidR="00365CDB">
              <w:t xml:space="preserve">  </w:t>
            </w:r>
            <w:r w:rsidRPr="00532E85">
              <w:t>0.0</w:t>
            </w:r>
            <w:r w:rsidR="00365CDB">
              <w:t>0</w:t>
            </w:r>
            <w:r w:rsidRPr="00532E85">
              <w:t>1%</w:t>
            </w:r>
          </w:p>
        </w:tc>
        <w:tc>
          <w:tcPr>
            <w:tcW w:w="2044" w:type="dxa"/>
            <w:tcBorders>
              <w:top w:val="single" w:sz="4" w:space="0" w:color="auto"/>
              <w:left w:val="single" w:sz="4" w:space="0" w:color="auto"/>
              <w:bottom w:val="single" w:sz="4" w:space="0" w:color="auto"/>
              <w:right w:val="single" w:sz="4" w:space="0" w:color="auto"/>
            </w:tcBorders>
            <w:shd w:val="clear" w:color="auto" w:fill="auto"/>
            <w:noWrap/>
            <w:hideMark/>
          </w:tcPr>
          <w:p w14:paraId="41CA0E85" w14:textId="77777777" w:rsidR="00365CDB" w:rsidRDefault="00365CDB" w:rsidP="00D6692E">
            <w:pPr>
              <w:pStyle w:val="Tabletext"/>
              <w:jc w:val="right"/>
            </w:pPr>
          </w:p>
          <w:p w14:paraId="7ACFA411" w14:textId="072C190F" w:rsidR="00D6692E" w:rsidRPr="00CB3D72" w:rsidRDefault="00365CDB" w:rsidP="00D6692E">
            <w:pPr>
              <w:pStyle w:val="Tabletext"/>
              <w:jc w:val="right"/>
            </w:pPr>
            <w:r>
              <w:t>481</w:t>
            </w:r>
          </w:p>
        </w:tc>
      </w:tr>
      <w:tr w:rsidR="00C25626" w:rsidRPr="00A11248" w14:paraId="3100E1C3" w14:textId="77777777" w:rsidTr="00365CDB">
        <w:trPr>
          <w:trHeight w:val="243"/>
        </w:trPr>
        <w:tc>
          <w:tcPr>
            <w:tcW w:w="4199" w:type="dxa"/>
            <w:tcBorders>
              <w:top w:val="single" w:sz="4" w:space="0" w:color="auto"/>
              <w:left w:val="single" w:sz="4" w:space="0" w:color="auto"/>
              <w:bottom w:val="single" w:sz="4" w:space="0" w:color="auto"/>
              <w:right w:val="single" w:sz="4" w:space="0" w:color="auto"/>
            </w:tcBorders>
            <w:shd w:val="clear" w:color="auto" w:fill="auto"/>
            <w:vAlign w:val="bottom"/>
          </w:tcPr>
          <w:p w14:paraId="55A43175" w14:textId="2EF2A65C" w:rsidR="00C25626" w:rsidRPr="003826EF" w:rsidRDefault="003826EF" w:rsidP="00D6692E">
            <w:pPr>
              <w:pStyle w:val="Tabletext"/>
              <w:rPr>
                <w:vertAlign w:val="superscript"/>
              </w:rPr>
            </w:pPr>
            <w:r w:rsidRPr="003826EF">
              <w:t>Proportion well enough</w:t>
            </w:r>
            <w:r w:rsidR="003B5486">
              <w:t xml:space="preserve"> and eligible</w:t>
            </w:r>
            <w:r w:rsidRPr="003826EF">
              <w:t xml:space="preserve"> for treatment with daratumumab with cyclophosphamide, bortezomib and dexamethasone</w:t>
            </w:r>
            <w:r>
              <w:rPr>
                <w:vertAlign w:val="superscript"/>
              </w:rPr>
              <w:t>2</w:t>
            </w:r>
          </w:p>
        </w:tc>
        <w:tc>
          <w:tcPr>
            <w:tcW w:w="1752" w:type="dxa"/>
            <w:tcBorders>
              <w:top w:val="nil"/>
              <w:left w:val="single" w:sz="4" w:space="0" w:color="auto"/>
              <w:bottom w:val="single" w:sz="4" w:space="0" w:color="auto"/>
              <w:right w:val="single" w:sz="4" w:space="0" w:color="auto"/>
            </w:tcBorders>
            <w:shd w:val="clear" w:color="auto" w:fill="auto"/>
            <w:noWrap/>
          </w:tcPr>
          <w:p w14:paraId="16F9D503" w14:textId="77777777" w:rsidR="003826EF" w:rsidRDefault="003826EF" w:rsidP="00365CDB">
            <w:pPr>
              <w:pStyle w:val="Tabletext"/>
              <w:jc w:val="right"/>
            </w:pPr>
          </w:p>
          <w:p w14:paraId="4E21075E" w14:textId="77777777" w:rsidR="003826EF" w:rsidRDefault="003826EF" w:rsidP="00365CDB">
            <w:pPr>
              <w:pStyle w:val="Tabletext"/>
              <w:jc w:val="right"/>
            </w:pPr>
          </w:p>
          <w:p w14:paraId="170A4779" w14:textId="096DA35E" w:rsidR="00C25626" w:rsidRDefault="003826EF" w:rsidP="00365CDB">
            <w:pPr>
              <w:pStyle w:val="Tabletext"/>
              <w:jc w:val="right"/>
            </w:pPr>
            <w:r>
              <w:t>90%</w:t>
            </w:r>
          </w:p>
        </w:tc>
        <w:tc>
          <w:tcPr>
            <w:tcW w:w="2044" w:type="dxa"/>
            <w:tcBorders>
              <w:top w:val="single" w:sz="4" w:space="0" w:color="auto"/>
              <w:left w:val="single" w:sz="4" w:space="0" w:color="auto"/>
              <w:bottom w:val="single" w:sz="4" w:space="0" w:color="auto"/>
              <w:right w:val="single" w:sz="4" w:space="0" w:color="auto"/>
            </w:tcBorders>
            <w:shd w:val="clear" w:color="auto" w:fill="auto"/>
            <w:noWrap/>
          </w:tcPr>
          <w:p w14:paraId="675564A8" w14:textId="77777777" w:rsidR="00C25626" w:rsidRDefault="00C25626" w:rsidP="00D6692E">
            <w:pPr>
              <w:pStyle w:val="Tabletext"/>
              <w:jc w:val="right"/>
            </w:pPr>
          </w:p>
          <w:p w14:paraId="6911E888" w14:textId="77777777" w:rsidR="003826EF" w:rsidRDefault="003826EF" w:rsidP="00D6692E">
            <w:pPr>
              <w:pStyle w:val="Tabletext"/>
              <w:jc w:val="right"/>
            </w:pPr>
          </w:p>
          <w:p w14:paraId="0064AB00" w14:textId="455965AF" w:rsidR="003826EF" w:rsidRDefault="003826EF" w:rsidP="00D6692E">
            <w:pPr>
              <w:pStyle w:val="Tabletext"/>
              <w:jc w:val="right"/>
            </w:pPr>
            <w:r>
              <w:t>433</w:t>
            </w:r>
          </w:p>
        </w:tc>
      </w:tr>
      <w:tr w:rsidR="003C1A64" w:rsidRPr="00A11248" w14:paraId="19B3F55E" w14:textId="77777777" w:rsidTr="00365CDB">
        <w:trPr>
          <w:trHeight w:val="323"/>
        </w:trPr>
        <w:tc>
          <w:tcPr>
            <w:tcW w:w="7995" w:type="dxa"/>
            <w:gridSpan w:val="3"/>
            <w:tcBorders>
              <w:right w:val="single" w:sz="4" w:space="0" w:color="auto"/>
            </w:tcBorders>
            <w:shd w:val="clear" w:color="auto" w:fill="auto"/>
            <w:vAlign w:val="center"/>
          </w:tcPr>
          <w:p w14:paraId="65CD7722" w14:textId="771A1541" w:rsidR="003C1A64" w:rsidRDefault="003C1A64" w:rsidP="00622A3D">
            <w:pPr>
              <w:pStyle w:val="Tabletext"/>
              <w:rPr>
                <w:rFonts w:eastAsia="SimSun"/>
              </w:rPr>
            </w:pPr>
            <w:r w:rsidRPr="00412BA6">
              <w:rPr>
                <w:rFonts w:eastAsia="SimSun"/>
                <w:vertAlign w:val="superscript"/>
              </w:rPr>
              <w:t>1</w:t>
            </w:r>
            <w:r>
              <w:rPr>
                <w:rFonts w:eastAsia="SimSun"/>
              </w:rPr>
              <w:t xml:space="preserve"> </w:t>
            </w:r>
            <w:hyperlink r:id="rId10" w:history="1">
              <w:r w:rsidR="00365CDB">
                <w:rPr>
                  <w:bCs/>
                  <w:iCs/>
                  <w:color w:val="0000FF"/>
                  <w:u w:val="single"/>
                </w:rPr>
                <w:t>Myeloma UK - AL amyloidosis</w:t>
              </w:r>
            </w:hyperlink>
          </w:p>
          <w:p w14:paraId="51E001DA" w14:textId="06E2C46F" w:rsidR="003C1A64" w:rsidRPr="003826EF" w:rsidRDefault="003826EF" w:rsidP="003826EF">
            <w:pPr>
              <w:pStyle w:val="Tabletext"/>
              <w:rPr>
                <w:rFonts w:eastAsia="SimSun"/>
                <w:vertAlign w:val="superscript"/>
              </w:rPr>
            </w:pPr>
            <w:r>
              <w:rPr>
                <w:rFonts w:eastAsia="SimSun"/>
                <w:vertAlign w:val="superscript"/>
              </w:rPr>
              <w:t xml:space="preserve">2 </w:t>
            </w:r>
            <w:r>
              <w:rPr>
                <w:bCs/>
                <w:iCs/>
              </w:rPr>
              <w:t xml:space="preserve">Consultant </w:t>
            </w:r>
            <w:proofErr w:type="spellStart"/>
            <w:r>
              <w:rPr>
                <w:bCs/>
                <w:iCs/>
              </w:rPr>
              <w:t>haematologists</w:t>
            </w:r>
            <w:proofErr w:type="spellEnd"/>
            <w:r>
              <w:rPr>
                <w:rFonts w:eastAsia="SimSun"/>
                <w:vertAlign w:val="superscript"/>
              </w:rPr>
              <w:t xml:space="preserve">   </w:t>
            </w:r>
          </w:p>
        </w:tc>
      </w:tr>
    </w:tbl>
    <w:p w14:paraId="0FA6E07D" w14:textId="77777777" w:rsidR="00CB345C" w:rsidRDefault="00CB345C" w:rsidP="00412BA6">
      <w:pPr>
        <w:pStyle w:val="Numberedlevel2text"/>
        <w:numPr>
          <w:ilvl w:val="0"/>
          <w:numId w:val="0"/>
        </w:numPr>
        <w:ind w:left="1134"/>
      </w:pPr>
    </w:p>
    <w:p w14:paraId="0925D609" w14:textId="77777777" w:rsidR="003826EF" w:rsidRDefault="003826EF" w:rsidP="00412BA6">
      <w:pPr>
        <w:pStyle w:val="Numberedlevel2text"/>
        <w:numPr>
          <w:ilvl w:val="0"/>
          <w:numId w:val="0"/>
        </w:numPr>
        <w:ind w:left="1134"/>
      </w:pPr>
    </w:p>
    <w:p w14:paraId="4C34D944" w14:textId="77777777" w:rsidR="003826EF" w:rsidRDefault="003826EF" w:rsidP="00412BA6">
      <w:pPr>
        <w:pStyle w:val="Numberedlevel2text"/>
        <w:numPr>
          <w:ilvl w:val="0"/>
          <w:numId w:val="0"/>
        </w:numPr>
        <w:ind w:left="1134"/>
      </w:pPr>
    </w:p>
    <w:p w14:paraId="1F845F9A" w14:textId="77777777" w:rsidR="003826EF" w:rsidRDefault="003826EF" w:rsidP="00412BA6">
      <w:pPr>
        <w:pStyle w:val="Numberedlevel2text"/>
        <w:numPr>
          <w:ilvl w:val="0"/>
          <w:numId w:val="0"/>
        </w:numPr>
        <w:ind w:left="1134"/>
      </w:pPr>
    </w:p>
    <w:p w14:paraId="1A3E327F" w14:textId="77777777" w:rsidR="00D43719" w:rsidRDefault="00D43719" w:rsidP="00412BA6">
      <w:pPr>
        <w:pStyle w:val="Numberedlevel2text"/>
        <w:numPr>
          <w:ilvl w:val="0"/>
          <w:numId w:val="0"/>
        </w:numPr>
        <w:ind w:left="1134"/>
      </w:pPr>
    </w:p>
    <w:p w14:paraId="7DC1B5B9" w14:textId="4E6C4772" w:rsidR="00C00F82" w:rsidRDefault="001C48FA" w:rsidP="00C00F82">
      <w:pPr>
        <w:pStyle w:val="Heading2"/>
      </w:pPr>
      <w:r>
        <w:lastRenderedPageBreak/>
        <w:t xml:space="preserve">Assumptions </w:t>
      </w:r>
    </w:p>
    <w:p w14:paraId="7CB07997" w14:textId="0FFED2DC" w:rsidR="00965418" w:rsidRDefault="00965418" w:rsidP="00965418">
      <w:pPr>
        <w:pStyle w:val="Numberedlevel2text"/>
      </w:pPr>
      <w:r w:rsidRPr="00C070D9">
        <w:t xml:space="preserve">The </w:t>
      </w:r>
      <w:r>
        <w:t>resource impact template</w:t>
      </w:r>
      <w:r w:rsidRPr="00C070D9">
        <w:t xml:space="preserve"> </w:t>
      </w:r>
      <w:r>
        <w:t>assumes that</w:t>
      </w:r>
      <w:r w:rsidRPr="00F70CCE">
        <w:t>:</w:t>
      </w:r>
    </w:p>
    <w:p w14:paraId="18AD75AA" w14:textId="14E98708" w:rsidR="009314D9" w:rsidRDefault="006B3B39" w:rsidP="001E0560">
      <w:pPr>
        <w:pStyle w:val="Bulletindent1"/>
      </w:pPr>
      <w:r w:rsidRPr="006B3B39">
        <w:t xml:space="preserve">For newly diagnosed AL amyloidosis, first-line treatment is usually bortezomib plus cyclophosphamide and </w:t>
      </w:r>
      <w:proofErr w:type="gramStart"/>
      <w:r w:rsidRPr="006B3B39">
        <w:t>dexamethasone</w:t>
      </w:r>
      <w:proofErr w:type="gramEnd"/>
    </w:p>
    <w:p w14:paraId="4EC9E0A6" w14:textId="33ECA61D" w:rsidR="00A63B30" w:rsidRDefault="00A63B30" w:rsidP="001E0560">
      <w:pPr>
        <w:pStyle w:val="Bulletindent1"/>
      </w:pPr>
      <w:r w:rsidRPr="00A63B30">
        <w:t>No additional infrastructure is expected to be required to deliver this treatment</w:t>
      </w:r>
      <w:r w:rsidR="00CB3D72">
        <w:t>.</w:t>
      </w:r>
    </w:p>
    <w:p w14:paraId="29D8D788" w14:textId="4E301ACB" w:rsidR="006B3B39" w:rsidRDefault="006B3B39" w:rsidP="001E0560">
      <w:pPr>
        <w:pStyle w:val="Bulletindent1"/>
      </w:pPr>
      <w:r>
        <w:t>It</w:t>
      </w:r>
      <w:r w:rsidRPr="006B3B39">
        <w:t xml:space="preserve"> </w:t>
      </w:r>
      <w:r>
        <w:t>is</w:t>
      </w:r>
      <w:r w:rsidRPr="006B3B39">
        <w:t xml:space="preserve"> assumed 50% of patients would receive subsequent therapy in each arm</w:t>
      </w:r>
      <w:r>
        <w:t>.</w:t>
      </w:r>
    </w:p>
    <w:p w14:paraId="3468B7A5" w14:textId="3E96134A" w:rsidR="006B3B39" w:rsidRDefault="006B3B39" w:rsidP="006B3B39">
      <w:pPr>
        <w:pStyle w:val="Bulletindent1"/>
      </w:pPr>
      <w:r>
        <w:t>The resource impact identifies the costs of subsequent treatment</w:t>
      </w:r>
      <w:r w:rsidR="00F00E52">
        <w:t xml:space="preserve"> in the comparator arm but assumes any subsequent costs in the</w:t>
      </w:r>
      <w:r>
        <w:t xml:space="preserve"> </w:t>
      </w:r>
      <w:r w:rsidR="1098D394">
        <w:t>daratumumab</w:t>
      </w:r>
      <w:r w:rsidR="00F00E52">
        <w:t xml:space="preserve"> in combination arm falls </w:t>
      </w:r>
      <w:r w:rsidR="00F00E52" w:rsidRPr="00F00E52">
        <w:t xml:space="preserve">outside the 5-year model </w:t>
      </w:r>
      <w:r w:rsidR="00F00E52">
        <w:t>period.</w:t>
      </w:r>
    </w:p>
    <w:p w14:paraId="5CC2A82E" w14:textId="32A67DCC" w:rsidR="00F00E52" w:rsidRPr="00F00E52" w:rsidRDefault="00C052CF" w:rsidP="00F00E52">
      <w:pPr>
        <w:pStyle w:val="Bulletindent1"/>
      </w:pPr>
      <w:r>
        <w:t>The recommended dose</w:t>
      </w:r>
      <w:r w:rsidR="002F1C9B">
        <w:t xml:space="preserve"> of </w:t>
      </w:r>
      <w:r w:rsidR="00F00E52">
        <w:t>daratumumab is a fixed dose (1800mg/15ml) subcutaneously. Daratumumab is given weekly, weeks 1 to 8, then every 2 weeks for weeks 9 to 24 and every 4 weeks until disease progression.</w:t>
      </w:r>
      <w:r w:rsidR="00F00E52" w:rsidRPr="00F00E52">
        <w:t xml:space="preserve"> </w:t>
      </w:r>
      <w:r w:rsidR="00F00E52">
        <w:t>B</w:t>
      </w:r>
      <w:r w:rsidR="00F00E52" w:rsidRPr="00F00E52">
        <w:t xml:space="preserve">ortezomib, cyclophosphamide and dexamethasone </w:t>
      </w:r>
      <w:r w:rsidR="05BDB6A4">
        <w:t>are</w:t>
      </w:r>
      <w:r w:rsidR="00F00E52" w:rsidRPr="00F00E52">
        <w:t xml:space="preserve"> given weekly with doses on days 1, 8, 15 and 22 for six 28-day cycles. Cyclophosphamide is given at a dose of 300 mg/m</w:t>
      </w:r>
      <w:r w:rsidR="12510392">
        <w:t>²</w:t>
      </w:r>
      <w:r w:rsidR="00F00E52" w:rsidRPr="00F00E52">
        <w:t xml:space="preserve"> orally</w:t>
      </w:r>
      <w:r w:rsidR="00F00E52">
        <w:t xml:space="preserve">. </w:t>
      </w:r>
      <w:r w:rsidR="00F00E52" w:rsidRPr="00F00E52">
        <w:t xml:space="preserve">Bortezomib is given at a dose of 1.3 mg/m² by </w:t>
      </w:r>
      <w:r w:rsidR="412CC7E1">
        <w:t>subcutaneous</w:t>
      </w:r>
      <w:r w:rsidR="00F00E52" w:rsidRPr="00F00E52">
        <w:t xml:space="preserve"> injection and dexamethasone 40 mg is given orally.</w:t>
      </w:r>
    </w:p>
    <w:p w14:paraId="50C03B6C" w14:textId="2E5A3E68" w:rsidR="00F76D7D" w:rsidRDefault="002F1C9B">
      <w:pPr>
        <w:pStyle w:val="Bulletindent1"/>
      </w:pPr>
      <w:r w:rsidRPr="002F1C9B">
        <w:t xml:space="preserve">The </w:t>
      </w:r>
      <w:r w:rsidR="00F00E52">
        <w:t xml:space="preserve">mean treatment duration is assumed to be </w:t>
      </w:r>
      <w:r w:rsidR="00ED356C">
        <w:t>15</w:t>
      </w:r>
      <w:r w:rsidR="00F00E52">
        <w:t xml:space="preserve"> months</w:t>
      </w:r>
      <w:r w:rsidR="00ED356C">
        <w:t xml:space="preserve"> from the</w:t>
      </w:r>
      <w:r w:rsidR="00ED356C" w:rsidRPr="00ED356C">
        <w:t xml:space="preserve"> ANDROMEDA 12-month landmark analysis</w:t>
      </w:r>
      <w:r w:rsidR="00F00E52">
        <w:t>.</w:t>
      </w:r>
    </w:p>
    <w:p w14:paraId="18F2DA5B" w14:textId="6024D50F" w:rsidR="00873852" w:rsidRPr="00441FE2" w:rsidRDefault="0019052F" w:rsidP="00873852">
      <w:pPr>
        <w:pStyle w:val="Bulletindent1"/>
        <w:rPr>
          <w:lang w:val="en-GB"/>
        </w:rPr>
      </w:pPr>
      <w:r>
        <w:t>Administration costs in clinic are based on</w:t>
      </w:r>
      <w:r w:rsidR="00873852">
        <w:t xml:space="preserve"> the</w:t>
      </w:r>
      <w:r>
        <w:t xml:space="preserve"> </w:t>
      </w:r>
      <w:hyperlink r:id="rId11">
        <w:r w:rsidR="00873852" w:rsidRPr="37F15970">
          <w:rPr>
            <w:rStyle w:val="Hyperlink"/>
            <w:lang w:val="en-GB"/>
          </w:rPr>
          <w:t>2023-25 NHS Payment Scheme, 2023/24 prices workbook</w:t>
        </w:r>
      </w:hyperlink>
      <w:r w:rsidR="00873852">
        <w:t>.</w:t>
      </w:r>
    </w:p>
    <w:p w14:paraId="06AB98CC" w14:textId="77777777" w:rsidR="00D6692E" w:rsidRPr="0012216C" w:rsidRDefault="00D6692E" w:rsidP="0012216C">
      <w:pPr>
        <w:pStyle w:val="NICEnormal"/>
        <w:rPr>
          <w:lang w:val="en-GB"/>
        </w:rPr>
      </w:pPr>
    </w:p>
    <w:p w14:paraId="3CDBE6FA" w14:textId="77777777" w:rsidR="00113BE7" w:rsidRDefault="00113BE7" w:rsidP="004B4440">
      <w:pPr>
        <w:pStyle w:val="Heading1"/>
      </w:pPr>
    </w:p>
    <w:p w14:paraId="03F3FB81" w14:textId="77777777" w:rsidR="0080362F" w:rsidRDefault="0080362F" w:rsidP="0080362F">
      <w:pPr>
        <w:pStyle w:val="NICEnormal"/>
        <w:rPr>
          <w:lang w:val="en-GB"/>
        </w:rPr>
      </w:pPr>
    </w:p>
    <w:p w14:paraId="392A5AFE" w14:textId="77777777" w:rsidR="0080362F" w:rsidRPr="0080362F" w:rsidRDefault="0080362F" w:rsidP="0080362F">
      <w:pPr>
        <w:pStyle w:val="NICEnormal"/>
        <w:rPr>
          <w:lang w:val="en-GB"/>
        </w:rPr>
      </w:pPr>
    </w:p>
    <w:p w14:paraId="289CC632" w14:textId="352B24CF" w:rsidR="004B4440" w:rsidRDefault="004B4440" w:rsidP="004B4440">
      <w:pPr>
        <w:pStyle w:val="Heading1"/>
      </w:pPr>
      <w:r>
        <w:lastRenderedPageBreak/>
        <w:t xml:space="preserve">About this resource impact </w:t>
      </w:r>
      <w:r w:rsidRPr="006C4C02">
        <w:t>report</w:t>
      </w:r>
    </w:p>
    <w:p w14:paraId="2DF52DE1" w14:textId="1CD320C5" w:rsidR="00370A18" w:rsidRPr="000122B5" w:rsidRDefault="00370A18" w:rsidP="00370A18">
      <w:pPr>
        <w:pStyle w:val="NICEnormalsinglespacing"/>
      </w:pPr>
      <w:r>
        <w:t>This resource impact</w:t>
      </w:r>
      <w:r w:rsidRPr="000122B5">
        <w:t xml:space="preserve"> </w:t>
      </w:r>
      <w:r>
        <w:t>report accompanies the NICE guidance</w:t>
      </w:r>
      <w:r w:rsidRPr="000122B5">
        <w:t xml:space="preserve"> on </w:t>
      </w:r>
      <w:hyperlink r:id="rId12" w:history="1">
        <w:r w:rsidR="006B3B39" w:rsidRPr="006B3B39">
          <w:t xml:space="preserve"> </w:t>
        </w:r>
        <w:r w:rsidR="006B3B39" w:rsidRPr="006B3B39">
          <w:rPr>
            <w:rStyle w:val="Hyperlink"/>
          </w:rPr>
          <w:t>Daratumumab in combination for untreated systemic amyloid light-chain amyloidosis</w:t>
        </w:r>
      </w:hyperlink>
      <w:r>
        <w:t xml:space="preserve"> </w:t>
      </w:r>
      <w:r w:rsidRPr="000122B5">
        <w:t xml:space="preserve">and should be read with it. See </w:t>
      </w:r>
      <w:hyperlink r:id="rId13" w:history="1">
        <w:r w:rsidRPr="000122B5">
          <w:rPr>
            <w:rStyle w:val="Hyperlink"/>
          </w:rPr>
          <w:t>terms and conditions</w:t>
        </w:r>
      </w:hyperlink>
      <w:r w:rsidRPr="000122B5">
        <w:t xml:space="preserve"> on the NICE website.</w:t>
      </w:r>
    </w:p>
    <w:p w14:paraId="31EDE15D" w14:textId="5E53570F" w:rsidR="00370A18" w:rsidRPr="00D459D6" w:rsidRDefault="00370A18" w:rsidP="00370A18">
      <w:pPr>
        <w:pStyle w:val="NICEnormalsinglespacing"/>
      </w:pPr>
      <w:r w:rsidRPr="000122B5">
        <w:t xml:space="preserve">© </w:t>
      </w:r>
      <w:r>
        <w:t>NICE 202</w:t>
      </w:r>
      <w:r w:rsidR="00F04496">
        <w:t>4</w:t>
      </w:r>
      <w:r w:rsidRPr="000122B5">
        <w:t xml:space="preserve">. All rights reserved. </w:t>
      </w:r>
      <w:r>
        <w:t xml:space="preserve">See </w:t>
      </w:r>
      <w:hyperlink r:id="rId14" w:history="1">
        <w:r w:rsidRPr="00574D9D">
          <w:rPr>
            <w:rStyle w:val="Hyperlink"/>
          </w:rPr>
          <w:t>Notice of rights</w:t>
        </w:r>
      </w:hyperlink>
      <w:r>
        <w:t>.</w:t>
      </w:r>
    </w:p>
    <w:p w14:paraId="4E6DD813" w14:textId="5763E280" w:rsidR="00B64B0F" w:rsidRPr="00D459D6" w:rsidRDefault="00B64B0F" w:rsidP="00370A18">
      <w:pPr>
        <w:pStyle w:val="NICEnormalsinglespacing"/>
      </w:pPr>
    </w:p>
    <w:sectPr w:rsidR="00B64B0F" w:rsidRPr="00D459D6" w:rsidSect="003E1C1E">
      <w:footerReference w:type="default" r:id="rId1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094F" w14:textId="77777777" w:rsidR="003E1C1E" w:rsidRDefault="003E1C1E">
      <w:r>
        <w:separator/>
      </w:r>
    </w:p>
  </w:endnote>
  <w:endnote w:type="continuationSeparator" w:id="0">
    <w:p w14:paraId="73D24B14" w14:textId="77777777" w:rsidR="003E1C1E" w:rsidRDefault="003E1C1E">
      <w:r>
        <w:continuationSeparator/>
      </w:r>
    </w:p>
  </w:endnote>
  <w:endnote w:type="continuationNotice" w:id="1">
    <w:p w14:paraId="734A95AF" w14:textId="77777777" w:rsidR="003E1C1E" w:rsidRDefault="003E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868A" w14:textId="77361456" w:rsidR="00CB4C88" w:rsidRDefault="00CB4C88">
    <w:pPr>
      <w:pStyle w:val="Footer"/>
    </w:pPr>
    <w:r>
      <w:t xml:space="preserve">Resource impact report: </w:t>
    </w:r>
    <w:r w:rsidR="006B3B39" w:rsidRPr="006B3B39">
      <w:t xml:space="preserve">Daratumumab in combination for untreated systemic amyloid light-chain amyloidosis </w:t>
    </w:r>
    <w:r w:rsidR="00DE3051">
      <w:t>(</w:t>
    </w:r>
    <w:r w:rsidR="00C97EE8">
      <w:t>March</w:t>
    </w:r>
    <w:r w:rsidR="00B02618">
      <w:t xml:space="preserve"> </w:t>
    </w:r>
    <w:r w:rsidR="00DE3051">
      <w:t>20</w:t>
    </w:r>
    <w:r w:rsidR="00370A18">
      <w:t>2</w:t>
    </w:r>
    <w:r w:rsidR="001F2645">
      <w:t>4</w:t>
    </w:r>
    <w:r w:rsidR="00DE3051">
      <w:t>)</w:t>
    </w:r>
    <w:r>
      <w:t xml:space="preserve"> </w:t>
    </w:r>
    <w:r>
      <w:tab/>
    </w:r>
    <w:r>
      <w:tab/>
    </w:r>
    <w:r>
      <w:rPr>
        <w:rStyle w:val="PageNumber"/>
      </w:rPr>
      <w:fldChar w:fldCharType="begin"/>
    </w:r>
    <w:r>
      <w:rPr>
        <w:rStyle w:val="PageNumber"/>
      </w:rPr>
      <w:instrText xml:space="preserve"> PAGE </w:instrText>
    </w:r>
    <w:r>
      <w:rPr>
        <w:rStyle w:val="PageNumber"/>
      </w:rPr>
      <w:fldChar w:fldCharType="separate"/>
    </w:r>
    <w:r w:rsidR="008E4E71">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4E7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AA54" w14:textId="77777777" w:rsidR="003E1C1E" w:rsidRDefault="003E1C1E">
      <w:r>
        <w:separator/>
      </w:r>
    </w:p>
  </w:footnote>
  <w:footnote w:type="continuationSeparator" w:id="0">
    <w:p w14:paraId="1CD67559" w14:textId="77777777" w:rsidR="003E1C1E" w:rsidRDefault="003E1C1E">
      <w:r>
        <w:continuationSeparator/>
      </w:r>
    </w:p>
  </w:footnote>
  <w:footnote w:type="continuationNotice" w:id="1">
    <w:p w14:paraId="18409044" w14:textId="77777777" w:rsidR="003E1C1E" w:rsidRDefault="003E1C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6F5"/>
    <w:multiLevelType w:val="hybridMultilevel"/>
    <w:tmpl w:val="691E3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6F5148"/>
    <w:multiLevelType w:val="hybridMultilevel"/>
    <w:tmpl w:val="0BA89CB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C750E6EE"/>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6448A65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276"/>
        </w:tabs>
        <w:ind w:left="1276" w:hanging="1134"/>
      </w:pPr>
      <w:rPr>
        <w:rFonts w:hint="default"/>
        <w:b w:val="0"/>
        <w:i w:val="0"/>
      </w:rPr>
    </w:lvl>
    <w:lvl w:ilvl="2">
      <w:start w:val="1"/>
      <w:numFmt w:val="decimal"/>
      <w:pStyle w:val="Numberedlevel3text"/>
      <w:lvlText w:val="%1.%2.%3"/>
      <w:lvlJc w:val="left"/>
      <w:pPr>
        <w:tabs>
          <w:tab w:val="num" w:pos="1134"/>
        </w:tabs>
        <w:ind w:left="1134" w:hanging="1134"/>
      </w:pPr>
      <w:rPr>
        <w:rFonts w:hint="default"/>
        <w:b w:val="0"/>
        <w:i w:val="0"/>
        <w:sz w:val="24"/>
        <w:szCs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D357AC"/>
    <w:multiLevelType w:val="hybridMultilevel"/>
    <w:tmpl w:val="B7AE1288"/>
    <w:lvl w:ilvl="0" w:tplc="4394D868">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904F6"/>
    <w:multiLevelType w:val="hybridMultilevel"/>
    <w:tmpl w:val="F6B063DA"/>
    <w:lvl w:ilvl="0" w:tplc="08090001">
      <w:start w:val="1"/>
      <w:numFmt w:val="bullet"/>
      <w:lvlText w:val=""/>
      <w:lvlJc w:val="left"/>
      <w:pPr>
        <w:ind w:left="1440" w:hanging="360"/>
      </w:pPr>
      <w:rPr>
        <w:rFonts w:ascii="Symbol" w:hAnsi="Symbol" w:hint="default"/>
      </w:rPr>
    </w:lvl>
    <w:lvl w:ilvl="1" w:tplc="0F0EE3A8">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D3926"/>
    <w:multiLevelType w:val="hybridMultilevel"/>
    <w:tmpl w:val="B52A8A74"/>
    <w:lvl w:ilvl="0" w:tplc="A5B0CF92">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557834">
    <w:abstractNumId w:val="2"/>
  </w:num>
  <w:num w:numId="2" w16cid:durableId="1005742015">
    <w:abstractNumId w:val="24"/>
  </w:num>
  <w:num w:numId="3" w16cid:durableId="1775977208">
    <w:abstractNumId w:val="16"/>
  </w:num>
  <w:num w:numId="4" w16cid:durableId="707535609">
    <w:abstractNumId w:val="17"/>
  </w:num>
  <w:num w:numId="5" w16cid:durableId="1681395567">
    <w:abstractNumId w:val="1"/>
  </w:num>
  <w:num w:numId="6" w16cid:durableId="897783447">
    <w:abstractNumId w:val="4"/>
  </w:num>
  <w:num w:numId="7" w16cid:durableId="125785322">
    <w:abstractNumId w:val="10"/>
  </w:num>
  <w:num w:numId="8" w16cid:durableId="192428478">
    <w:abstractNumId w:val="6"/>
  </w:num>
  <w:num w:numId="9" w16cid:durableId="1279605300">
    <w:abstractNumId w:val="8"/>
  </w:num>
  <w:num w:numId="10" w16cid:durableId="692003546">
    <w:abstractNumId w:val="12"/>
  </w:num>
  <w:num w:numId="11" w16cid:durableId="1985232683">
    <w:abstractNumId w:val="11"/>
  </w:num>
  <w:num w:numId="12" w16cid:durableId="1078016734">
    <w:abstractNumId w:val="13"/>
  </w:num>
  <w:num w:numId="13" w16cid:durableId="468132921">
    <w:abstractNumId w:val="20"/>
  </w:num>
  <w:num w:numId="14" w16cid:durableId="1173838249">
    <w:abstractNumId w:val="5"/>
  </w:num>
  <w:num w:numId="15" w16cid:durableId="317657456">
    <w:abstractNumId w:val="23"/>
  </w:num>
  <w:num w:numId="16" w16cid:durableId="541944369">
    <w:abstractNumId w:val="9"/>
  </w:num>
  <w:num w:numId="17" w16cid:durableId="2065331529">
    <w:abstractNumId w:val="18"/>
  </w:num>
  <w:num w:numId="18" w16cid:durableId="1620648385">
    <w:abstractNumId w:val="22"/>
  </w:num>
  <w:num w:numId="19" w16cid:durableId="201555022">
    <w:abstractNumId w:val="7"/>
  </w:num>
  <w:num w:numId="20" w16cid:durableId="501819864">
    <w:abstractNumId w:val="25"/>
  </w:num>
  <w:num w:numId="21" w16cid:durableId="2103986923">
    <w:abstractNumId w:val="10"/>
  </w:num>
  <w:num w:numId="22" w16cid:durableId="1592858040">
    <w:abstractNumId w:val="10"/>
  </w:num>
  <w:num w:numId="23" w16cid:durableId="1430547396">
    <w:abstractNumId w:val="10"/>
  </w:num>
  <w:num w:numId="24" w16cid:durableId="465977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909606">
    <w:abstractNumId w:val="26"/>
  </w:num>
  <w:num w:numId="26" w16cid:durableId="1589341025">
    <w:abstractNumId w:val="10"/>
  </w:num>
  <w:num w:numId="27" w16cid:durableId="944266528">
    <w:abstractNumId w:val="10"/>
  </w:num>
  <w:num w:numId="28" w16cid:durableId="1514416170">
    <w:abstractNumId w:val="0"/>
  </w:num>
  <w:num w:numId="29" w16cid:durableId="250050265">
    <w:abstractNumId w:val="10"/>
  </w:num>
  <w:num w:numId="30" w16cid:durableId="1537697424">
    <w:abstractNumId w:val="10"/>
  </w:num>
  <w:num w:numId="31" w16cid:durableId="1602300790">
    <w:abstractNumId w:val="10"/>
  </w:num>
  <w:num w:numId="32" w16cid:durableId="1588071879">
    <w:abstractNumId w:val="10"/>
  </w:num>
  <w:num w:numId="33" w16cid:durableId="629635105">
    <w:abstractNumId w:val="10"/>
  </w:num>
  <w:num w:numId="34" w16cid:durableId="1611357881">
    <w:abstractNumId w:val="10"/>
  </w:num>
  <w:num w:numId="35" w16cid:durableId="2041777930">
    <w:abstractNumId w:val="10"/>
  </w:num>
  <w:num w:numId="36" w16cid:durableId="1725254297">
    <w:abstractNumId w:val="19"/>
  </w:num>
  <w:num w:numId="37" w16cid:durableId="1637489524">
    <w:abstractNumId w:val="10"/>
  </w:num>
  <w:num w:numId="38" w16cid:durableId="975529405">
    <w:abstractNumId w:val="10"/>
  </w:num>
  <w:num w:numId="39" w16cid:durableId="1461529685">
    <w:abstractNumId w:val="3"/>
  </w:num>
  <w:num w:numId="40" w16cid:durableId="1005405083">
    <w:abstractNumId w:val="14"/>
  </w:num>
  <w:num w:numId="41" w16cid:durableId="965963257">
    <w:abstractNumId w:val="15"/>
  </w:num>
  <w:num w:numId="42" w16cid:durableId="1531187001">
    <w:abstractNumId w:val="10"/>
  </w:num>
  <w:num w:numId="43" w16cid:durableId="167734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0"/>
    <w:rsid w:val="0000011F"/>
    <w:rsid w:val="000006D3"/>
    <w:rsid w:val="00000C29"/>
    <w:rsid w:val="000054E0"/>
    <w:rsid w:val="0000592A"/>
    <w:rsid w:val="00007D37"/>
    <w:rsid w:val="000119FB"/>
    <w:rsid w:val="00013DC0"/>
    <w:rsid w:val="00014EE4"/>
    <w:rsid w:val="00016175"/>
    <w:rsid w:val="0001632B"/>
    <w:rsid w:val="00016583"/>
    <w:rsid w:val="00017367"/>
    <w:rsid w:val="000229AA"/>
    <w:rsid w:val="000250E2"/>
    <w:rsid w:val="0002525A"/>
    <w:rsid w:val="00031B01"/>
    <w:rsid w:val="00031B1A"/>
    <w:rsid w:val="00042423"/>
    <w:rsid w:val="00042772"/>
    <w:rsid w:val="0004442F"/>
    <w:rsid w:val="00044C79"/>
    <w:rsid w:val="00050AD5"/>
    <w:rsid w:val="000512B2"/>
    <w:rsid w:val="000522FA"/>
    <w:rsid w:val="000544F9"/>
    <w:rsid w:val="00057014"/>
    <w:rsid w:val="000611F2"/>
    <w:rsid w:val="00065994"/>
    <w:rsid w:val="00073186"/>
    <w:rsid w:val="0007349D"/>
    <w:rsid w:val="000741EE"/>
    <w:rsid w:val="0007449C"/>
    <w:rsid w:val="00076F8D"/>
    <w:rsid w:val="00081B94"/>
    <w:rsid w:val="0008226E"/>
    <w:rsid w:val="00082505"/>
    <w:rsid w:val="00084B70"/>
    <w:rsid w:val="0008656C"/>
    <w:rsid w:val="0008679D"/>
    <w:rsid w:val="000869E8"/>
    <w:rsid w:val="000915DF"/>
    <w:rsid w:val="000946AA"/>
    <w:rsid w:val="000959DB"/>
    <w:rsid w:val="00096EBB"/>
    <w:rsid w:val="00097512"/>
    <w:rsid w:val="000A127E"/>
    <w:rsid w:val="000A1A89"/>
    <w:rsid w:val="000A2A1E"/>
    <w:rsid w:val="000A3220"/>
    <w:rsid w:val="000A6126"/>
    <w:rsid w:val="000A7E1D"/>
    <w:rsid w:val="000B0A6F"/>
    <w:rsid w:val="000B13A8"/>
    <w:rsid w:val="000B3A22"/>
    <w:rsid w:val="000B5B7B"/>
    <w:rsid w:val="000B773E"/>
    <w:rsid w:val="000C0D6A"/>
    <w:rsid w:val="000C11FA"/>
    <w:rsid w:val="000C1792"/>
    <w:rsid w:val="000C1BB0"/>
    <w:rsid w:val="000D00FF"/>
    <w:rsid w:val="000D0ED6"/>
    <w:rsid w:val="000D1037"/>
    <w:rsid w:val="000D3B9D"/>
    <w:rsid w:val="000D3C21"/>
    <w:rsid w:val="000D7D5F"/>
    <w:rsid w:val="000E2B39"/>
    <w:rsid w:val="000E344D"/>
    <w:rsid w:val="000E4242"/>
    <w:rsid w:val="000E53C1"/>
    <w:rsid w:val="000F24C6"/>
    <w:rsid w:val="000F44F0"/>
    <w:rsid w:val="0010094B"/>
    <w:rsid w:val="00101F34"/>
    <w:rsid w:val="00102B3E"/>
    <w:rsid w:val="0011038E"/>
    <w:rsid w:val="001107C9"/>
    <w:rsid w:val="001135B7"/>
    <w:rsid w:val="00113BE7"/>
    <w:rsid w:val="0011479E"/>
    <w:rsid w:val="00117403"/>
    <w:rsid w:val="00121777"/>
    <w:rsid w:val="0012216C"/>
    <w:rsid w:val="0012374F"/>
    <w:rsid w:val="00127262"/>
    <w:rsid w:val="00130D71"/>
    <w:rsid w:val="00140A3F"/>
    <w:rsid w:val="00143BCE"/>
    <w:rsid w:val="00147D9A"/>
    <w:rsid w:val="00147DF8"/>
    <w:rsid w:val="001535C0"/>
    <w:rsid w:val="00154341"/>
    <w:rsid w:val="0015443E"/>
    <w:rsid w:val="00155DBF"/>
    <w:rsid w:val="00156E2B"/>
    <w:rsid w:val="00161AA0"/>
    <w:rsid w:val="00162AD3"/>
    <w:rsid w:val="00164685"/>
    <w:rsid w:val="001676B3"/>
    <w:rsid w:val="00176F83"/>
    <w:rsid w:val="0019052F"/>
    <w:rsid w:val="00192B6D"/>
    <w:rsid w:val="001933DF"/>
    <w:rsid w:val="00195058"/>
    <w:rsid w:val="001956FC"/>
    <w:rsid w:val="001A4811"/>
    <w:rsid w:val="001A4E33"/>
    <w:rsid w:val="001A5CC4"/>
    <w:rsid w:val="001B0672"/>
    <w:rsid w:val="001B0DBB"/>
    <w:rsid w:val="001B1A00"/>
    <w:rsid w:val="001B1B31"/>
    <w:rsid w:val="001B20E8"/>
    <w:rsid w:val="001C1F33"/>
    <w:rsid w:val="001C3154"/>
    <w:rsid w:val="001C3761"/>
    <w:rsid w:val="001C3AFF"/>
    <w:rsid w:val="001C48FA"/>
    <w:rsid w:val="001C73A8"/>
    <w:rsid w:val="001D02D8"/>
    <w:rsid w:val="001D1BEC"/>
    <w:rsid w:val="001D3C74"/>
    <w:rsid w:val="001D7824"/>
    <w:rsid w:val="001E0560"/>
    <w:rsid w:val="001E3FB6"/>
    <w:rsid w:val="001F0284"/>
    <w:rsid w:val="001F0DDE"/>
    <w:rsid w:val="001F1074"/>
    <w:rsid w:val="001F2645"/>
    <w:rsid w:val="001F277A"/>
    <w:rsid w:val="001F2FA5"/>
    <w:rsid w:val="00200430"/>
    <w:rsid w:val="00200748"/>
    <w:rsid w:val="0020088F"/>
    <w:rsid w:val="00202A54"/>
    <w:rsid w:val="00202B25"/>
    <w:rsid w:val="00203341"/>
    <w:rsid w:val="0020395C"/>
    <w:rsid w:val="00205150"/>
    <w:rsid w:val="00205D95"/>
    <w:rsid w:val="002066EC"/>
    <w:rsid w:val="00211383"/>
    <w:rsid w:val="0021227E"/>
    <w:rsid w:val="00212788"/>
    <w:rsid w:val="00216814"/>
    <w:rsid w:val="002216AC"/>
    <w:rsid w:val="00222480"/>
    <w:rsid w:val="00223B9C"/>
    <w:rsid w:val="00223CE5"/>
    <w:rsid w:val="00224577"/>
    <w:rsid w:val="00230026"/>
    <w:rsid w:val="00233D60"/>
    <w:rsid w:val="0023472E"/>
    <w:rsid w:val="00234D65"/>
    <w:rsid w:val="00234FC2"/>
    <w:rsid w:val="002351A5"/>
    <w:rsid w:val="002353D8"/>
    <w:rsid w:val="002355FA"/>
    <w:rsid w:val="00235C36"/>
    <w:rsid w:val="00235CAB"/>
    <w:rsid w:val="00237E82"/>
    <w:rsid w:val="00240515"/>
    <w:rsid w:val="002436B6"/>
    <w:rsid w:val="00244E6E"/>
    <w:rsid w:val="00246F53"/>
    <w:rsid w:val="00250E47"/>
    <w:rsid w:val="002531F7"/>
    <w:rsid w:val="00253A6C"/>
    <w:rsid w:val="0025534E"/>
    <w:rsid w:val="00257B8A"/>
    <w:rsid w:val="002614B9"/>
    <w:rsid w:val="00262377"/>
    <w:rsid w:val="00262BA0"/>
    <w:rsid w:val="00264AFD"/>
    <w:rsid w:val="00264B14"/>
    <w:rsid w:val="002655C0"/>
    <w:rsid w:val="00267573"/>
    <w:rsid w:val="00271563"/>
    <w:rsid w:val="00271C3B"/>
    <w:rsid w:val="00272195"/>
    <w:rsid w:val="002724E1"/>
    <w:rsid w:val="00272C4F"/>
    <w:rsid w:val="00275DF1"/>
    <w:rsid w:val="00275EFC"/>
    <w:rsid w:val="00277963"/>
    <w:rsid w:val="00284530"/>
    <w:rsid w:val="00290B1A"/>
    <w:rsid w:val="002923F2"/>
    <w:rsid w:val="00295300"/>
    <w:rsid w:val="0029745A"/>
    <w:rsid w:val="002A06A8"/>
    <w:rsid w:val="002B42B1"/>
    <w:rsid w:val="002B7685"/>
    <w:rsid w:val="002D090C"/>
    <w:rsid w:val="002D21C8"/>
    <w:rsid w:val="002D2318"/>
    <w:rsid w:val="002D2F33"/>
    <w:rsid w:val="002D3675"/>
    <w:rsid w:val="002D3A52"/>
    <w:rsid w:val="002D3B2B"/>
    <w:rsid w:val="002D5880"/>
    <w:rsid w:val="002D692F"/>
    <w:rsid w:val="002E0D73"/>
    <w:rsid w:val="002E0DA7"/>
    <w:rsid w:val="002E30B8"/>
    <w:rsid w:val="002E4E87"/>
    <w:rsid w:val="002E63A2"/>
    <w:rsid w:val="002F037B"/>
    <w:rsid w:val="002F1C9B"/>
    <w:rsid w:val="002F279A"/>
    <w:rsid w:val="002F7C62"/>
    <w:rsid w:val="003006C6"/>
    <w:rsid w:val="00301650"/>
    <w:rsid w:val="00301C0E"/>
    <w:rsid w:val="003023CE"/>
    <w:rsid w:val="003050A1"/>
    <w:rsid w:val="003052E2"/>
    <w:rsid w:val="00311281"/>
    <w:rsid w:val="00311FAA"/>
    <w:rsid w:val="0031362B"/>
    <w:rsid w:val="0031664C"/>
    <w:rsid w:val="00321C6F"/>
    <w:rsid w:val="003232E6"/>
    <w:rsid w:val="00324CAD"/>
    <w:rsid w:val="00325B14"/>
    <w:rsid w:val="003268CE"/>
    <w:rsid w:val="00327206"/>
    <w:rsid w:val="00327A17"/>
    <w:rsid w:val="00332616"/>
    <w:rsid w:val="003330E6"/>
    <w:rsid w:val="003333BE"/>
    <w:rsid w:val="003339F6"/>
    <w:rsid w:val="003341CA"/>
    <w:rsid w:val="00337A5C"/>
    <w:rsid w:val="00337BE1"/>
    <w:rsid w:val="0034060C"/>
    <w:rsid w:val="00340887"/>
    <w:rsid w:val="00340F43"/>
    <w:rsid w:val="00343915"/>
    <w:rsid w:val="00343E53"/>
    <w:rsid w:val="003507AB"/>
    <w:rsid w:val="00352392"/>
    <w:rsid w:val="00352621"/>
    <w:rsid w:val="00353669"/>
    <w:rsid w:val="00353DE5"/>
    <w:rsid w:val="00355955"/>
    <w:rsid w:val="003565A6"/>
    <w:rsid w:val="00356827"/>
    <w:rsid w:val="00356EB4"/>
    <w:rsid w:val="003601D9"/>
    <w:rsid w:val="00364195"/>
    <w:rsid w:val="0036596C"/>
    <w:rsid w:val="00365974"/>
    <w:rsid w:val="00365CDB"/>
    <w:rsid w:val="0036621F"/>
    <w:rsid w:val="00370A18"/>
    <w:rsid w:val="00377AC7"/>
    <w:rsid w:val="00380332"/>
    <w:rsid w:val="00380637"/>
    <w:rsid w:val="00380AC8"/>
    <w:rsid w:val="00381083"/>
    <w:rsid w:val="00381A1B"/>
    <w:rsid w:val="003826EF"/>
    <w:rsid w:val="003828E3"/>
    <w:rsid w:val="00383F93"/>
    <w:rsid w:val="0038481F"/>
    <w:rsid w:val="00385FAB"/>
    <w:rsid w:val="00387C51"/>
    <w:rsid w:val="00387E3F"/>
    <w:rsid w:val="00390D67"/>
    <w:rsid w:val="00391E85"/>
    <w:rsid w:val="00392046"/>
    <w:rsid w:val="00392693"/>
    <w:rsid w:val="0039672B"/>
    <w:rsid w:val="00396F31"/>
    <w:rsid w:val="00397364"/>
    <w:rsid w:val="00397FB2"/>
    <w:rsid w:val="003A26D8"/>
    <w:rsid w:val="003A3974"/>
    <w:rsid w:val="003A3BCF"/>
    <w:rsid w:val="003A46D6"/>
    <w:rsid w:val="003B0665"/>
    <w:rsid w:val="003B12A4"/>
    <w:rsid w:val="003B5486"/>
    <w:rsid w:val="003B57E0"/>
    <w:rsid w:val="003B58DB"/>
    <w:rsid w:val="003B639F"/>
    <w:rsid w:val="003C1A64"/>
    <w:rsid w:val="003C209B"/>
    <w:rsid w:val="003C22D1"/>
    <w:rsid w:val="003C305D"/>
    <w:rsid w:val="003C36AC"/>
    <w:rsid w:val="003C426E"/>
    <w:rsid w:val="003C4376"/>
    <w:rsid w:val="003C5D2A"/>
    <w:rsid w:val="003D335E"/>
    <w:rsid w:val="003D7BE0"/>
    <w:rsid w:val="003E1C1E"/>
    <w:rsid w:val="003E1C5E"/>
    <w:rsid w:val="003E305E"/>
    <w:rsid w:val="003E50EF"/>
    <w:rsid w:val="003E6326"/>
    <w:rsid w:val="003E6C53"/>
    <w:rsid w:val="003F1CAA"/>
    <w:rsid w:val="003F32B2"/>
    <w:rsid w:val="003F54C2"/>
    <w:rsid w:val="003F63A7"/>
    <w:rsid w:val="003F77BD"/>
    <w:rsid w:val="003F7DA3"/>
    <w:rsid w:val="004000D6"/>
    <w:rsid w:val="004038E5"/>
    <w:rsid w:val="00406C5D"/>
    <w:rsid w:val="00411283"/>
    <w:rsid w:val="00411440"/>
    <w:rsid w:val="00412BA6"/>
    <w:rsid w:val="00416C96"/>
    <w:rsid w:val="004243E4"/>
    <w:rsid w:val="00424B26"/>
    <w:rsid w:val="00425D26"/>
    <w:rsid w:val="00432620"/>
    <w:rsid w:val="00434C01"/>
    <w:rsid w:val="00435DEE"/>
    <w:rsid w:val="00436638"/>
    <w:rsid w:val="00437CF7"/>
    <w:rsid w:val="00437F21"/>
    <w:rsid w:val="004400E2"/>
    <w:rsid w:val="004402BF"/>
    <w:rsid w:val="00441035"/>
    <w:rsid w:val="004416A0"/>
    <w:rsid w:val="00441A0E"/>
    <w:rsid w:val="00441FE2"/>
    <w:rsid w:val="00442F04"/>
    <w:rsid w:val="0044320C"/>
    <w:rsid w:val="00444CCD"/>
    <w:rsid w:val="00446E03"/>
    <w:rsid w:val="004471BE"/>
    <w:rsid w:val="0045017F"/>
    <w:rsid w:val="00452B61"/>
    <w:rsid w:val="00453F87"/>
    <w:rsid w:val="00454A86"/>
    <w:rsid w:val="004566BF"/>
    <w:rsid w:val="00457294"/>
    <w:rsid w:val="004600F8"/>
    <w:rsid w:val="004613CA"/>
    <w:rsid w:val="004627C5"/>
    <w:rsid w:val="00463B22"/>
    <w:rsid w:val="00464D59"/>
    <w:rsid w:val="00465954"/>
    <w:rsid w:val="00466791"/>
    <w:rsid w:val="00467F06"/>
    <w:rsid w:val="00471D64"/>
    <w:rsid w:val="0047440A"/>
    <w:rsid w:val="00477916"/>
    <w:rsid w:val="004820E9"/>
    <w:rsid w:val="0048361F"/>
    <w:rsid w:val="0048596E"/>
    <w:rsid w:val="00490274"/>
    <w:rsid w:val="00491A3E"/>
    <w:rsid w:val="00491D53"/>
    <w:rsid w:val="00492EF0"/>
    <w:rsid w:val="00493301"/>
    <w:rsid w:val="00493418"/>
    <w:rsid w:val="00494159"/>
    <w:rsid w:val="00496E22"/>
    <w:rsid w:val="00497BC9"/>
    <w:rsid w:val="004A26EC"/>
    <w:rsid w:val="004A28B7"/>
    <w:rsid w:val="004A291D"/>
    <w:rsid w:val="004A4E41"/>
    <w:rsid w:val="004A5017"/>
    <w:rsid w:val="004A5757"/>
    <w:rsid w:val="004A5E21"/>
    <w:rsid w:val="004A7A1E"/>
    <w:rsid w:val="004B05CA"/>
    <w:rsid w:val="004B0605"/>
    <w:rsid w:val="004B1875"/>
    <w:rsid w:val="004B4440"/>
    <w:rsid w:val="004B514C"/>
    <w:rsid w:val="004B5C4C"/>
    <w:rsid w:val="004B77CE"/>
    <w:rsid w:val="004C16BA"/>
    <w:rsid w:val="004C7F2B"/>
    <w:rsid w:val="004D1B61"/>
    <w:rsid w:val="004D6761"/>
    <w:rsid w:val="004E5848"/>
    <w:rsid w:val="004E69E9"/>
    <w:rsid w:val="004F0EE5"/>
    <w:rsid w:val="004F104C"/>
    <w:rsid w:val="004F1962"/>
    <w:rsid w:val="004F3372"/>
    <w:rsid w:val="004F3757"/>
    <w:rsid w:val="004F38C3"/>
    <w:rsid w:val="004F4F80"/>
    <w:rsid w:val="004F76A6"/>
    <w:rsid w:val="004F7CFE"/>
    <w:rsid w:val="004F7D02"/>
    <w:rsid w:val="0050051D"/>
    <w:rsid w:val="005030E1"/>
    <w:rsid w:val="0050350C"/>
    <w:rsid w:val="00506D55"/>
    <w:rsid w:val="00507003"/>
    <w:rsid w:val="00510D32"/>
    <w:rsid w:val="005113B3"/>
    <w:rsid w:val="0051176C"/>
    <w:rsid w:val="00511CDE"/>
    <w:rsid w:val="005170EA"/>
    <w:rsid w:val="0052025E"/>
    <w:rsid w:val="00521940"/>
    <w:rsid w:val="00524B68"/>
    <w:rsid w:val="005254A6"/>
    <w:rsid w:val="00526504"/>
    <w:rsid w:val="00526C07"/>
    <w:rsid w:val="0052797A"/>
    <w:rsid w:val="00527E41"/>
    <w:rsid w:val="00530D37"/>
    <w:rsid w:val="00530E29"/>
    <w:rsid w:val="0053387C"/>
    <w:rsid w:val="00533AEE"/>
    <w:rsid w:val="005368BA"/>
    <w:rsid w:val="0054168C"/>
    <w:rsid w:val="00543EB3"/>
    <w:rsid w:val="00546165"/>
    <w:rsid w:val="00546F40"/>
    <w:rsid w:val="00546FDA"/>
    <w:rsid w:val="005510EE"/>
    <w:rsid w:val="0055177F"/>
    <w:rsid w:val="005566E5"/>
    <w:rsid w:val="00556C98"/>
    <w:rsid w:val="005600D9"/>
    <w:rsid w:val="00561346"/>
    <w:rsid w:val="00561E27"/>
    <w:rsid w:val="005635A8"/>
    <w:rsid w:val="00563E03"/>
    <w:rsid w:val="00572AEB"/>
    <w:rsid w:val="00574D9D"/>
    <w:rsid w:val="00575014"/>
    <w:rsid w:val="00575590"/>
    <w:rsid w:val="00577F59"/>
    <w:rsid w:val="00582497"/>
    <w:rsid w:val="005830E2"/>
    <w:rsid w:val="0058374F"/>
    <w:rsid w:val="00585BD7"/>
    <w:rsid w:val="00586F8C"/>
    <w:rsid w:val="0059009B"/>
    <w:rsid w:val="00597B8F"/>
    <w:rsid w:val="005A1933"/>
    <w:rsid w:val="005A2664"/>
    <w:rsid w:val="005A3702"/>
    <w:rsid w:val="005A5354"/>
    <w:rsid w:val="005A62AE"/>
    <w:rsid w:val="005A76B8"/>
    <w:rsid w:val="005B283A"/>
    <w:rsid w:val="005B2D57"/>
    <w:rsid w:val="005B5AE1"/>
    <w:rsid w:val="005C051F"/>
    <w:rsid w:val="005C4707"/>
    <w:rsid w:val="005C54C1"/>
    <w:rsid w:val="005C762E"/>
    <w:rsid w:val="005D098C"/>
    <w:rsid w:val="005D2697"/>
    <w:rsid w:val="005D271B"/>
    <w:rsid w:val="005D362B"/>
    <w:rsid w:val="005D45C5"/>
    <w:rsid w:val="005D5B9E"/>
    <w:rsid w:val="005E1599"/>
    <w:rsid w:val="005E522E"/>
    <w:rsid w:val="005E60FC"/>
    <w:rsid w:val="005E73C1"/>
    <w:rsid w:val="005F1CAF"/>
    <w:rsid w:val="005F2EAB"/>
    <w:rsid w:val="005F4274"/>
    <w:rsid w:val="005F5D48"/>
    <w:rsid w:val="005F5EC0"/>
    <w:rsid w:val="005F5F07"/>
    <w:rsid w:val="005F75DF"/>
    <w:rsid w:val="00600EE3"/>
    <w:rsid w:val="00601AE7"/>
    <w:rsid w:val="006045D6"/>
    <w:rsid w:val="0060536A"/>
    <w:rsid w:val="00605F33"/>
    <w:rsid w:val="0060662A"/>
    <w:rsid w:val="00606AE3"/>
    <w:rsid w:val="00612789"/>
    <w:rsid w:val="00613C4F"/>
    <w:rsid w:val="00614BDA"/>
    <w:rsid w:val="00615F78"/>
    <w:rsid w:val="006166A2"/>
    <w:rsid w:val="00616924"/>
    <w:rsid w:val="006203CB"/>
    <w:rsid w:val="0062266D"/>
    <w:rsid w:val="00622A3D"/>
    <w:rsid w:val="00624868"/>
    <w:rsid w:val="00627AAB"/>
    <w:rsid w:val="00627D3C"/>
    <w:rsid w:val="006305C8"/>
    <w:rsid w:val="00630973"/>
    <w:rsid w:val="006331B4"/>
    <w:rsid w:val="006343F3"/>
    <w:rsid w:val="00636427"/>
    <w:rsid w:val="00642906"/>
    <w:rsid w:val="006457EF"/>
    <w:rsid w:val="00646BB4"/>
    <w:rsid w:val="006518A0"/>
    <w:rsid w:val="00651E35"/>
    <w:rsid w:val="0065300D"/>
    <w:rsid w:val="0065315C"/>
    <w:rsid w:val="006547A1"/>
    <w:rsid w:val="00655070"/>
    <w:rsid w:val="00661C45"/>
    <w:rsid w:val="00663A55"/>
    <w:rsid w:val="00663EC3"/>
    <w:rsid w:val="00665C16"/>
    <w:rsid w:val="00665FBB"/>
    <w:rsid w:val="006662D2"/>
    <w:rsid w:val="0066780E"/>
    <w:rsid w:val="00667AE5"/>
    <w:rsid w:val="006757DF"/>
    <w:rsid w:val="006758E9"/>
    <w:rsid w:val="00677F9F"/>
    <w:rsid w:val="006803CA"/>
    <w:rsid w:val="00680CB2"/>
    <w:rsid w:val="00682B75"/>
    <w:rsid w:val="006866A6"/>
    <w:rsid w:val="006901C1"/>
    <w:rsid w:val="0069038C"/>
    <w:rsid w:val="00690C94"/>
    <w:rsid w:val="006938DA"/>
    <w:rsid w:val="00695071"/>
    <w:rsid w:val="006956CB"/>
    <w:rsid w:val="0069613E"/>
    <w:rsid w:val="006A104E"/>
    <w:rsid w:val="006A2A9F"/>
    <w:rsid w:val="006A318D"/>
    <w:rsid w:val="006A3860"/>
    <w:rsid w:val="006A455C"/>
    <w:rsid w:val="006A5FCD"/>
    <w:rsid w:val="006A721F"/>
    <w:rsid w:val="006B080F"/>
    <w:rsid w:val="006B0B8B"/>
    <w:rsid w:val="006B3B39"/>
    <w:rsid w:val="006B49F3"/>
    <w:rsid w:val="006B4CA3"/>
    <w:rsid w:val="006B63FE"/>
    <w:rsid w:val="006C38E8"/>
    <w:rsid w:val="006C4EF6"/>
    <w:rsid w:val="006C6403"/>
    <w:rsid w:val="006C6499"/>
    <w:rsid w:val="006C649D"/>
    <w:rsid w:val="006D0F06"/>
    <w:rsid w:val="006D1E94"/>
    <w:rsid w:val="006D426F"/>
    <w:rsid w:val="006D4650"/>
    <w:rsid w:val="006D4C06"/>
    <w:rsid w:val="006D73F1"/>
    <w:rsid w:val="006E26CC"/>
    <w:rsid w:val="006E375E"/>
    <w:rsid w:val="006E6C13"/>
    <w:rsid w:val="006F35B9"/>
    <w:rsid w:val="006F5015"/>
    <w:rsid w:val="006F7F24"/>
    <w:rsid w:val="00704C13"/>
    <w:rsid w:val="0070591E"/>
    <w:rsid w:val="007063D6"/>
    <w:rsid w:val="007072C8"/>
    <w:rsid w:val="00707467"/>
    <w:rsid w:val="00707F1F"/>
    <w:rsid w:val="00710C91"/>
    <w:rsid w:val="00710EE5"/>
    <w:rsid w:val="00712627"/>
    <w:rsid w:val="0071473B"/>
    <w:rsid w:val="00714B16"/>
    <w:rsid w:val="00717604"/>
    <w:rsid w:val="007177B2"/>
    <w:rsid w:val="00722E41"/>
    <w:rsid w:val="00723ACF"/>
    <w:rsid w:val="0072456D"/>
    <w:rsid w:val="00724694"/>
    <w:rsid w:val="007255DF"/>
    <w:rsid w:val="007309F7"/>
    <w:rsid w:val="00732519"/>
    <w:rsid w:val="00733CE2"/>
    <w:rsid w:val="00741A75"/>
    <w:rsid w:val="0074474C"/>
    <w:rsid w:val="00746A97"/>
    <w:rsid w:val="0074744A"/>
    <w:rsid w:val="00750478"/>
    <w:rsid w:val="00751936"/>
    <w:rsid w:val="00751AE1"/>
    <w:rsid w:val="00752FE8"/>
    <w:rsid w:val="0075321A"/>
    <w:rsid w:val="00753574"/>
    <w:rsid w:val="00756196"/>
    <w:rsid w:val="00760A66"/>
    <w:rsid w:val="00760B3E"/>
    <w:rsid w:val="00761733"/>
    <w:rsid w:val="00761D4F"/>
    <w:rsid w:val="00762A52"/>
    <w:rsid w:val="00762D19"/>
    <w:rsid w:val="00765F7E"/>
    <w:rsid w:val="00773895"/>
    <w:rsid w:val="00773C77"/>
    <w:rsid w:val="00774579"/>
    <w:rsid w:val="007754E1"/>
    <w:rsid w:val="007801C5"/>
    <w:rsid w:val="0078041C"/>
    <w:rsid w:val="0078697C"/>
    <w:rsid w:val="0079012E"/>
    <w:rsid w:val="00792D52"/>
    <w:rsid w:val="00797DDA"/>
    <w:rsid w:val="007A15E2"/>
    <w:rsid w:val="007A1DA8"/>
    <w:rsid w:val="007A2A8B"/>
    <w:rsid w:val="007A2BA5"/>
    <w:rsid w:val="007A2BF7"/>
    <w:rsid w:val="007A37BC"/>
    <w:rsid w:val="007A4EEE"/>
    <w:rsid w:val="007B11E7"/>
    <w:rsid w:val="007B36FF"/>
    <w:rsid w:val="007B6983"/>
    <w:rsid w:val="007B6DB1"/>
    <w:rsid w:val="007B6E16"/>
    <w:rsid w:val="007B7F7D"/>
    <w:rsid w:val="007C24C6"/>
    <w:rsid w:val="007C2855"/>
    <w:rsid w:val="007C3DAB"/>
    <w:rsid w:val="007C4A9F"/>
    <w:rsid w:val="007C6719"/>
    <w:rsid w:val="007C6E88"/>
    <w:rsid w:val="007D5027"/>
    <w:rsid w:val="007D559F"/>
    <w:rsid w:val="007D66D2"/>
    <w:rsid w:val="007E34A9"/>
    <w:rsid w:val="007F0099"/>
    <w:rsid w:val="007F3B4C"/>
    <w:rsid w:val="007F4DE1"/>
    <w:rsid w:val="008002E1"/>
    <w:rsid w:val="008005AC"/>
    <w:rsid w:val="00802323"/>
    <w:rsid w:val="00802BA4"/>
    <w:rsid w:val="0080362F"/>
    <w:rsid w:val="00803709"/>
    <w:rsid w:val="00804624"/>
    <w:rsid w:val="008048F9"/>
    <w:rsid w:val="008065F5"/>
    <w:rsid w:val="008068B3"/>
    <w:rsid w:val="00806F9C"/>
    <w:rsid w:val="00812FCF"/>
    <w:rsid w:val="0081319C"/>
    <w:rsid w:val="00813323"/>
    <w:rsid w:val="00815E69"/>
    <w:rsid w:val="00817C4A"/>
    <w:rsid w:val="00820B4E"/>
    <w:rsid w:val="00820DCC"/>
    <w:rsid w:val="0082139D"/>
    <w:rsid w:val="00825EAA"/>
    <w:rsid w:val="0083507D"/>
    <w:rsid w:val="00837A76"/>
    <w:rsid w:val="0084216C"/>
    <w:rsid w:val="00843F0B"/>
    <w:rsid w:val="008475B9"/>
    <w:rsid w:val="008505C3"/>
    <w:rsid w:val="00852344"/>
    <w:rsid w:val="008535C2"/>
    <w:rsid w:val="0085431A"/>
    <w:rsid w:val="00854CB0"/>
    <w:rsid w:val="00854FDB"/>
    <w:rsid w:val="00855792"/>
    <w:rsid w:val="008573D3"/>
    <w:rsid w:val="0085749C"/>
    <w:rsid w:val="0086106B"/>
    <w:rsid w:val="0086147D"/>
    <w:rsid w:val="008617AE"/>
    <w:rsid w:val="0086406E"/>
    <w:rsid w:val="0086472B"/>
    <w:rsid w:val="00864E3E"/>
    <w:rsid w:val="00865EAB"/>
    <w:rsid w:val="00866211"/>
    <w:rsid w:val="00870B7D"/>
    <w:rsid w:val="00870DFE"/>
    <w:rsid w:val="00873852"/>
    <w:rsid w:val="00873B34"/>
    <w:rsid w:val="008761B5"/>
    <w:rsid w:val="00876B2C"/>
    <w:rsid w:val="00877774"/>
    <w:rsid w:val="00877C35"/>
    <w:rsid w:val="00882469"/>
    <w:rsid w:val="00885AEC"/>
    <w:rsid w:val="0088739A"/>
    <w:rsid w:val="00887462"/>
    <w:rsid w:val="00890F2B"/>
    <w:rsid w:val="0089345E"/>
    <w:rsid w:val="008977A6"/>
    <w:rsid w:val="008A003B"/>
    <w:rsid w:val="008A1AF1"/>
    <w:rsid w:val="008A1E14"/>
    <w:rsid w:val="008A4A29"/>
    <w:rsid w:val="008B34E5"/>
    <w:rsid w:val="008B4B8E"/>
    <w:rsid w:val="008B4F85"/>
    <w:rsid w:val="008B6694"/>
    <w:rsid w:val="008B6FE2"/>
    <w:rsid w:val="008C16CB"/>
    <w:rsid w:val="008C38D1"/>
    <w:rsid w:val="008C5D51"/>
    <w:rsid w:val="008C640A"/>
    <w:rsid w:val="008D1C30"/>
    <w:rsid w:val="008D1DD1"/>
    <w:rsid w:val="008D4AD8"/>
    <w:rsid w:val="008D75A4"/>
    <w:rsid w:val="008E16BA"/>
    <w:rsid w:val="008E2EF8"/>
    <w:rsid w:val="008E4648"/>
    <w:rsid w:val="008E4E71"/>
    <w:rsid w:val="008E5BCC"/>
    <w:rsid w:val="008E629A"/>
    <w:rsid w:val="008E7585"/>
    <w:rsid w:val="008F07EB"/>
    <w:rsid w:val="008F21CF"/>
    <w:rsid w:val="008F44D8"/>
    <w:rsid w:val="00901E23"/>
    <w:rsid w:val="009039B5"/>
    <w:rsid w:val="0090508A"/>
    <w:rsid w:val="00905C43"/>
    <w:rsid w:val="00911D41"/>
    <w:rsid w:val="00911F0A"/>
    <w:rsid w:val="0091438E"/>
    <w:rsid w:val="00916A00"/>
    <w:rsid w:val="00923AEF"/>
    <w:rsid w:val="0092657D"/>
    <w:rsid w:val="009273A7"/>
    <w:rsid w:val="009314D9"/>
    <w:rsid w:val="0093179B"/>
    <w:rsid w:val="009327E2"/>
    <w:rsid w:val="00933040"/>
    <w:rsid w:val="00933EC9"/>
    <w:rsid w:val="00934122"/>
    <w:rsid w:val="00935AB2"/>
    <w:rsid w:val="009403B5"/>
    <w:rsid w:val="009406FE"/>
    <w:rsid w:val="00942391"/>
    <w:rsid w:val="009427F1"/>
    <w:rsid w:val="0094366C"/>
    <w:rsid w:val="0094626E"/>
    <w:rsid w:val="00947482"/>
    <w:rsid w:val="00950421"/>
    <w:rsid w:val="00953ADF"/>
    <w:rsid w:val="0096147C"/>
    <w:rsid w:val="009621C2"/>
    <w:rsid w:val="009631D9"/>
    <w:rsid w:val="00963C81"/>
    <w:rsid w:val="00965418"/>
    <w:rsid w:val="00966487"/>
    <w:rsid w:val="00970226"/>
    <w:rsid w:val="00975C7B"/>
    <w:rsid w:val="00976345"/>
    <w:rsid w:val="009766B9"/>
    <w:rsid w:val="00976738"/>
    <w:rsid w:val="00976D57"/>
    <w:rsid w:val="00981BAD"/>
    <w:rsid w:val="00982190"/>
    <w:rsid w:val="009842CB"/>
    <w:rsid w:val="009848D6"/>
    <w:rsid w:val="00986C4C"/>
    <w:rsid w:val="0099044D"/>
    <w:rsid w:val="009920E1"/>
    <w:rsid w:val="00994B70"/>
    <w:rsid w:val="00997755"/>
    <w:rsid w:val="009A063A"/>
    <w:rsid w:val="009A0F7E"/>
    <w:rsid w:val="009A2C85"/>
    <w:rsid w:val="009A5974"/>
    <w:rsid w:val="009B054B"/>
    <w:rsid w:val="009B39A1"/>
    <w:rsid w:val="009B3A6B"/>
    <w:rsid w:val="009B3F68"/>
    <w:rsid w:val="009B4544"/>
    <w:rsid w:val="009B621A"/>
    <w:rsid w:val="009B670C"/>
    <w:rsid w:val="009C0A56"/>
    <w:rsid w:val="009C1B03"/>
    <w:rsid w:val="009C215B"/>
    <w:rsid w:val="009C45D9"/>
    <w:rsid w:val="009C5E88"/>
    <w:rsid w:val="009C6F32"/>
    <w:rsid w:val="009D0609"/>
    <w:rsid w:val="009E22C4"/>
    <w:rsid w:val="009E2D6D"/>
    <w:rsid w:val="009E2EAD"/>
    <w:rsid w:val="009E3CF1"/>
    <w:rsid w:val="009E4389"/>
    <w:rsid w:val="009E52D0"/>
    <w:rsid w:val="009E5829"/>
    <w:rsid w:val="009E5F47"/>
    <w:rsid w:val="009E6782"/>
    <w:rsid w:val="009E68C4"/>
    <w:rsid w:val="009F081F"/>
    <w:rsid w:val="009F2F4C"/>
    <w:rsid w:val="009F2FE5"/>
    <w:rsid w:val="009F3E54"/>
    <w:rsid w:val="009F62EB"/>
    <w:rsid w:val="009F77BE"/>
    <w:rsid w:val="00A01C5D"/>
    <w:rsid w:val="00A02D88"/>
    <w:rsid w:val="00A05035"/>
    <w:rsid w:val="00A06657"/>
    <w:rsid w:val="00A1111B"/>
    <w:rsid w:val="00A11248"/>
    <w:rsid w:val="00A134A1"/>
    <w:rsid w:val="00A1438B"/>
    <w:rsid w:val="00A15FA8"/>
    <w:rsid w:val="00A30B9B"/>
    <w:rsid w:val="00A336F2"/>
    <w:rsid w:val="00A33C63"/>
    <w:rsid w:val="00A37BF9"/>
    <w:rsid w:val="00A45B49"/>
    <w:rsid w:val="00A46206"/>
    <w:rsid w:val="00A61A95"/>
    <w:rsid w:val="00A63B30"/>
    <w:rsid w:val="00A64360"/>
    <w:rsid w:val="00A6449E"/>
    <w:rsid w:val="00A644BF"/>
    <w:rsid w:val="00A65070"/>
    <w:rsid w:val="00A65903"/>
    <w:rsid w:val="00A661C6"/>
    <w:rsid w:val="00A67DA3"/>
    <w:rsid w:val="00A711A7"/>
    <w:rsid w:val="00A71410"/>
    <w:rsid w:val="00A748B2"/>
    <w:rsid w:val="00A7549D"/>
    <w:rsid w:val="00A82F77"/>
    <w:rsid w:val="00A837FC"/>
    <w:rsid w:val="00A84F6D"/>
    <w:rsid w:val="00A86D3D"/>
    <w:rsid w:val="00A92CA7"/>
    <w:rsid w:val="00A9493F"/>
    <w:rsid w:val="00A96472"/>
    <w:rsid w:val="00AA1219"/>
    <w:rsid w:val="00AA1809"/>
    <w:rsid w:val="00AA268C"/>
    <w:rsid w:val="00AA28AA"/>
    <w:rsid w:val="00AA4CB2"/>
    <w:rsid w:val="00AA7656"/>
    <w:rsid w:val="00AA7C6D"/>
    <w:rsid w:val="00AB26C3"/>
    <w:rsid w:val="00AB2948"/>
    <w:rsid w:val="00AB39FA"/>
    <w:rsid w:val="00AB6043"/>
    <w:rsid w:val="00AB7EA3"/>
    <w:rsid w:val="00AC21C1"/>
    <w:rsid w:val="00AC2DB6"/>
    <w:rsid w:val="00AC57FC"/>
    <w:rsid w:val="00AC5C23"/>
    <w:rsid w:val="00AD0AAB"/>
    <w:rsid w:val="00AD10DD"/>
    <w:rsid w:val="00AD1498"/>
    <w:rsid w:val="00AD1E9E"/>
    <w:rsid w:val="00AD3957"/>
    <w:rsid w:val="00AD4C99"/>
    <w:rsid w:val="00AD6933"/>
    <w:rsid w:val="00AD6B7B"/>
    <w:rsid w:val="00AD706E"/>
    <w:rsid w:val="00AE0545"/>
    <w:rsid w:val="00AE1E74"/>
    <w:rsid w:val="00AE5E7C"/>
    <w:rsid w:val="00AE6345"/>
    <w:rsid w:val="00AF251E"/>
    <w:rsid w:val="00AF384D"/>
    <w:rsid w:val="00AF3DB5"/>
    <w:rsid w:val="00AF67FE"/>
    <w:rsid w:val="00B01589"/>
    <w:rsid w:val="00B02618"/>
    <w:rsid w:val="00B0368B"/>
    <w:rsid w:val="00B0454E"/>
    <w:rsid w:val="00B0742D"/>
    <w:rsid w:val="00B111C3"/>
    <w:rsid w:val="00B14B9B"/>
    <w:rsid w:val="00B1706E"/>
    <w:rsid w:val="00B20A28"/>
    <w:rsid w:val="00B21AC8"/>
    <w:rsid w:val="00B21EB6"/>
    <w:rsid w:val="00B22BA0"/>
    <w:rsid w:val="00B265DA"/>
    <w:rsid w:val="00B3024A"/>
    <w:rsid w:val="00B32A62"/>
    <w:rsid w:val="00B3619D"/>
    <w:rsid w:val="00B37D57"/>
    <w:rsid w:val="00B40295"/>
    <w:rsid w:val="00B40B93"/>
    <w:rsid w:val="00B41156"/>
    <w:rsid w:val="00B427B1"/>
    <w:rsid w:val="00B42EA4"/>
    <w:rsid w:val="00B524C9"/>
    <w:rsid w:val="00B64310"/>
    <w:rsid w:val="00B64B0F"/>
    <w:rsid w:val="00B66350"/>
    <w:rsid w:val="00B66A36"/>
    <w:rsid w:val="00B70071"/>
    <w:rsid w:val="00B71248"/>
    <w:rsid w:val="00B75E23"/>
    <w:rsid w:val="00B75EE8"/>
    <w:rsid w:val="00B765CF"/>
    <w:rsid w:val="00B8105F"/>
    <w:rsid w:val="00B81A46"/>
    <w:rsid w:val="00B84C19"/>
    <w:rsid w:val="00B871EB"/>
    <w:rsid w:val="00B91037"/>
    <w:rsid w:val="00B91EB2"/>
    <w:rsid w:val="00B94DA1"/>
    <w:rsid w:val="00B95170"/>
    <w:rsid w:val="00B95B11"/>
    <w:rsid w:val="00B9680C"/>
    <w:rsid w:val="00B97436"/>
    <w:rsid w:val="00BA345F"/>
    <w:rsid w:val="00BA4B98"/>
    <w:rsid w:val="00BA5150"/>
    <w:rsid w:val="00BB047B"/>
    <w:rsid w:val="00BB1C9D"/>
    <w:rsid w:val="00BB230A"/>
    <w:rsid w:val="00BB6398"/>
    <w:rsid w:val="00BC3CD9"/>
    <w:rsid w:val="00BC4C4F"/>
    <w:rsid w:val="00BC5D92"/>
    <w:rsid w:val="00BD0372"/>
    <w:rsid w:val="00BD1671"/>
    <w:rsid w:val="00BD1AC3"/>
    <w:rsid w:val="00BD6978"/>
    <w:rsid w:val="00BD70DF"/>
    <w:rsid w:val="00BD7DDE"/>
    <w:rsid w:val="00BE209C"/>
    <w:rsid w:val="00BE61B1"/>
    <w:rsid w:val="00BE66F1"/>
    <w:rsid w:val="00BF027C"/>
    <w:rsid w:val="00BF02A7"/>
    <w:rsid w:val="00BF15DC"/>
    <w:rsid w:val="00BF40B3"/>
    <w:rsid w:val="00BF4862"/>
    <w:rsid w:val="00BF5808"/>
    <w:rsid w:val="00BF5F18"/>
    <w:rsid w:val="00C00216"/>
    <w:rsid w:val="00C00F82"/>
    <w:rsid w:val="00C01490"/>
    <w:rsid w:val="00C016D5"/>
    <w:rsid w:val="00C04D5C"/>
    <w:rsid w:val="00C052CF"/>
    <w:rsid w:val="00C070D9"/>
    <w:rsid w:val="00C072F7"/>
    <w:rsid w:val="00C11292"/>
    <w:rsid w:val="00C1212A"/>
    <w:rsid w:val="00C12467"/>
    <w:rsid w:val="00C139CA"/>
    <w:rsid w:val="00C151ED"/>
    <w:rsid w:val="00C17EE0"/>
    <w:rsid w:val="00C2004D"/>
    <w:rsid w:val="00C20D91"/>
    <w:rsid w:val="00C22A58"/>
    <w:rsid w:val="00C24051"/>
    <w:rsid w:val="00C25626"/>
    <w:rsid w:val="00C2725A"/>
    <w:rsid w:val="00C3210D"/>
    <w:rsid w:val="00C3444F"/>
    <w:rsid w:val="00C35118"/>
    <w:rsid w:val="00C36B38"/>
    <w:rsid w:val="00C4211C"/>
    <w:rsid w:val="00C4509A"/>
    <w:rsid w:val="00C459A0"/>
    <w:rsid w:val="00C45FF1"/>
    <w:rsid w:val="00C47C48"/>
    <w:rsid w:val="00C51429"/>
    <w:rsid w:val="00C5484E"/>
    <w:rsid w:val="00C558F8"/>
    <w:rsid w:val="00C56A69"/>
    <w:rsid w:val="00C600CE"/>
    <w:rsid w:val="00C60ABC"/>
    <w:rsid w:val="00C60AEF"/>
    <w:rsid w:val="00C62416"/>
    <w:rsid w:val="00C62632"/>
    <w:rsid w:val="00C65B98"/>
    <w:rsid w:val="00C66455"/>
    <w:rsid w:val="00C66661"/>
    <w:rsid w:val="00C677B3"/>
    <w:rsid w:val="00C70309"/>
    <w:rsid w:val="00C71885"/>
    <w:rsid w:val="00C71B45"/>
    <w:rsid w:val="00C74E50"/>
    <w:rsid w:val="00C75A6A"/>
    <w:rsid w:val="00C7623A"/>
    <w:rsid w:val="00C76DAE"/>
    <w:rsid w:val="00C804FC"/>
    <w:rsid w:val="00C84D04"/>
    <w:rsid w:val="00C856E1"/>
    <w:rsid w:val="00C863E4"/>
    <w:rsid w:val="00C864DB"/>
    <w:rsid w:val="00C86783"/>
    <w:rsid w:val="00C87525"/>
    <w:rsid w:val="00C875E7"/>
    <w:rsid w:val="00C875EF"/>
    <w:rsid w:val="00C87F99"/>
    <w:rsid w:val="00C92E78"/>
    <w:rsid w:val="00C943AC"/>
    <w:rsid w:val="00C951CC"/>
    <w:rsid w:val="00C97AA2"/>
    <w:rsid w:val="00C97EE8"/>
    <w:rsid w:val="00CA0A8C"/>
    <w:rsid w:val="00CA1B17"/>
    <w:rsid w:val="00CA3911"/>
    <w:rsid w:val="00CB01AC"/>
    <w:rsid w:val="00CB1856"/>
    <w:rsid w:val="00CB345C"/>
    <w:rsid w:val="00CB3D72"/>
    <w:rsid w:val="00CB3E78"/>
    <w:rsid w:val="00CB4C88"/>
    <w:rsid w:val="00CB67D5"/>
    <w:rsid w:val="00CB75E3"/>
    <w:rsid w:val="00CC19E9"/>
    <w:rsid w:val="00CC60BE"/>
    <w:rsid w:val="00CC73C5"/>
    <w:rsid w:val="00CC748E"/>
    <w:rsid w:val="00CC74B4"/>
    <w:rsid w:val="00CD0550"/>
    <w:rsid w:val="00CD09C4"/>
    <w:rsid w:val="00CD5DDD"/>
    <w:rsid w:val="00CD623C"/>
    <w:rsid w:val="00CD7303"/>
    <w:rsid w:val="00CD7BD3"/>
    <w:rsid w:val="00CE0C87"/>
    <w:rsid w:val="00CE1C47"/>
    <w:rsid w:val="00CE67AF"/>
    <w:rsid w:val="00CF2523"/>
    <w:rsid w:val="00CF30A3"/>
    <w:rsid w:val="00CF4A6C"/>
    <w:rsid w:val="00CF51A7"/>
    <w:rsid w:val="00CF5D71"/>
    <w:rsid w:val="00CF6920"/>
    <w:rsid w:val="00CF7937"/>
    <w:rsid w:val="00D0064A"/>
    <w:rsid w:val="00D01BEB"/>
    <w:rsid w:val="00D01E35"/>
    <w:rsid w:val="00D03C09"/>
    <w:rsid w:val="00D07577"/>
    <w:rsid w:val="00D07991"/>
    <w:rsid w:val="00D104BE"/>
    <w:rsid w:val="00D109B1"/>
    <w:rsid w:val="00D11742"/>
    <w:rsid w:val="00D14664"/>
    <w:rsid w:val="00D20F5D"/>
    <w:rsid w:val="00D246E3"/>
    <w:rsid w:val="00D27C81"/>
    <w:rsid w:val="00D34A24"/>
    <w:rsid w:val="00D34A3A"/>
    <w:rsid w:val="00D3612A"/>
    <w:rsid w:val="00D36C75"/>
    <w:rsid w:val="00D36CE6"/>
    <w:rsid w:val="00D37703"/>
    <w:rsid w:val="00D37874"/>
    <w:rsid w:val="00D37C98"/>
    <w:rsid w:val="00D37F25"/>
    <w:rsid w:val="00D40D18"/>
    <w:rsid w:val="00D40E6E"/>
    <w:rsid w:val="00D4239B"/>
    <w:rsid w:val="00D43384"/>
    <w:rsid w:val="00D43719"/>
    <w:rsid w:val="00D43AEA"/>
    <w:rsid w:val="00D459D6"/>
    <w:rsid w:val="00D465C6"/>
    <w:rsid w:val="00D46A46"/>
    <w:rsid w:val="00D47B30"/>
    <w:rsid w:val="00D47CC4"/>
    <w:rsid w:val="00D53518"/>
    <w:rsid w:val="00D54F19"/>
    <w:rsid w:val="00D56184"/>
    <w:rsid w:val="00D5746F"/>
    <w:rsid w:val="00D57F11"/>
    <w:rsid w:val="00D617CA"/>
    <w:rsid w:val="00D6240F"/>
    <w:rsid w:val="00D62A61"/>
    <w:rsid w:val="00D65060"/>
    <w:rsid w:val="00D6560E"/>
    <w:rsid w:val="00D6692E"/>
    <w:rsid w:val="00D72926"/>
    <w:rsid w:val="00D73D65"/>
    <w:rsid w:val="00D74F4E"/>
    <w:rsid w:val="00D815A2"/>
    <w:rsid w:val="00D83C28"/>
    <w:rsid w:val="00D84F74"/>
    <w:rsid w:val="00D8526A"/>
    <w:rsid w:val="00D85833"/>
    <w:rsid w:val="00D8675E"/>
    <w:rsid w:val="00D96AA3"/>
    <w:rsid w:val="00DA0D5B"/>
    <w:rsid w:val="00DA1B33"/>
    <w:rsid w:val="00DA57A2"/>
    <w:rsid w:val="00DA5E1E"/>
    <w:rsid w:val="00DA6F3E"/>
    <w:rsid w:val="00DB046D"/>
    <w:rsid w:val="00DB1875"/>
    <w:rsid w:val="00DB31FC"/>
    <w:rsid w:val="00DB4696"/>
    <w:rsid w:val="00DB65B0"/>
    <w:rsid w:val="00DC0A1F"/>
    <w:rsid w:val="00DC5D2D"/>
    <w:rsid w:val="00DD2CBA"/>
    <w:rsid w:val="00DD6CA2"/>
    <w:rsid w:val="00DD7831"/>
    <w:rsid w:val="00DD7FC4"/>
    <w:rsid w:val="00DE01CA"/>
    <w:rsid w:val="00DE2422"/>
    <w:rsid w:val="00DE3051"/>
    <w:rsid w:val="00DE408E"/>
    <w:rsid w:val="00DE566E"/>
    <w:rsid w:val="00DE5E4C"/>
    <w:rsid w:val="00DE643F"/>
    <w:rsid w:val="00DE7D7C"/>
    <w:rsid w:val="00DF060D"/>
    <w:rsid w:val="00DF154A"/>
    <w:rsid w:val="00DF180C"/>
    <w:rsid w:val="00DF476D"/>
    <w:rsid w:val="00DF5662"/>
    <w:rsid w:val="00DF7363"/>
    <w:rsid w:val="00E00AE5"/>
    <w:rsid w:val="00E01CE3"/>
    <w:rsid w:val="00E03121"/>
    <w:rsid w:val="00E04898"/>
    <w:rsid w:val="00E050E6"/>
    <w:rsid w:val="00E06274"/>
    <w:rsid w:val="00E06827"/>
    <w:rsid w:val="00E0748A"/>
    <w:rsid w:val="00E110B6"/>
    <w:rsid w:val="00E11987"/>
    <w:rsid w:val="00E13ACD"/>
    <w:rsid w:val="00E13FFB"/>
    <w:rsid w:val="00E15572"/>
    <w:rsid w:val="00E165AE"/>
    <w:rsid w:val="00E16B8F"/>
    <w:rsid w:val="00E175AC"/>
    <w:rsid w:val="00E20D81"/>
    <w:rsid w:val="00E227EC"/>
    <w:rsid w:val="00E2406B"/>
    <w:rsid w:val="00E25F64"/>
    <w:rsid w:val="00E308C4"/>
    <w:rsid w:val="00E31426"/>
    <w:rsid w:val="00E320DC"/>
    <w:rsid w:val="00E3366F"/>
    <w:rsid w:val="00E426BC"/>
    <w:rsid w:val="00E42BD2"/>
    <w:rsid w:val="00E449A2"/>
    <w:rsid w:val="00E4622C"/>
    <w:rsid w:val="00E463DA"/>
    <w:rsid w:val="00E47072"/>
    <w:rsid w:val="00E51FFB"/>
    <w:rsid w:val="00E532CF"/>
    <w:rsid w:val="00E536E8"/>
    <w:rsid w:val="00E551F7"/>
    <w:rsid w:val="00E573C0"/>
    <w:rsid w:val="00E57666"/>
    <w:rsid w:val="00E57C04"/>
    <w:rsid w:val="00E604D5"/>
    <w:rsid w:val="00E611D2"/>
    <w:rsid w:val="00E616F8"/>
    <w:rsid w:val="00E62BE3"/>
    <w:rsid w:val="00E63036"/>
    <w:rsid w:val="00E644A3"/>
    <w:rsid w:val="00E64586"/>
    <w:rsid w:val="00E64B5D"/>
    <w:rsid w:val="00E64BF1"/>
    <w:rsid w:val="00E6556E"/>
    <w:rsid w:val="00E6785E"/>
    <w:rsid w:val="00E679E5"/>
    <w:rsid w:val="00E70520"/>
    <w:rsid w:val="00E70DF5"/>
    <w:rsid w:val="00E71488"/>
    <w:rsid w:val="00E71EDC"/>
    <w:rsid w:val="00E72557"/>
    <w:rsid w:val="00E72F21"/>
    <w:rsid w:val="00E73CE5"/>
    <w:rsid w:val="00E73E3B"/>
    <w:rsid w:val="00E74B02"/>
    <w:rsid w:val="00E77A31"/>
    <w:rsid w:val="00E77C26"/>
    <w:rsid w:val="00E8073D"/>
    <w:rsid w:val="00E81771"/>
    <w:rsid w:val="00E847F3"/>
    <w:rsid w:val="00E87CD1"/>
    <w:rsid w:val="00E90F08"/>
    <w:rsid w:val="00E96F24"/>
    <w:rsid w:val="00EA1E01"/>
    <w:rsid w:val="00EA6196"/>
    <w:rsid w:val="00EA6874"/>
    <w:rsid w:val="00EA7168"/>
    <w:rsid w:val="00EB1674"/>
    <w:rsid w:val="00EB3301"/>
    <w:rsid w:val="00EB4D26"/>
    <w:rsid w:val="00EB540E"/>
    <w:rsid w:val="00EB6110"/>
    <w:rsid w:val="00EC367A"/>
    <w:rsid w:val="00EC4169"/>
    <w:rsid w:val="00EC5DC0"/>
    <w:rsid w:val="00EC649D"/>
    <w:rsid w:val="00EC74E7"/>
    <w:rsid w:val="00EC7697"/>
    <w:rsid w:val="00ED0855"/>
    <w:rsid w:val="00ED12AB"/>
    <w:rsid w:val="00ED1870"/>
    <w:rsid w:val="00ED1FA4"/>
    <w:rsid w:val="00ED3292"/>
    <w:rsid w:val="00ED356C"/>
    <w:rsid w:val="00ED4E8E"/>
    <w:rsid w:val="00ED6284"/>
    <w:rsid w:val="00ED7225"/>
    <w:rsid w:val="00EE498C"/>
    <w:rsid w:val="00EE620D"/>
    <w:rsid w:val="00EE70CD"/>
    <w:rsid w:val="00EF04C1"/>
    <w:rsid w:val="00EF12A4"/>
    <w:rsid w:val="00EF21FC"/>
    <w:rsid w:val="00EF273C"/>
    <w:rsid w:val="00EF4204"/>
    <w:rsid w:val="00EF5DFB"/>
    <w:rsid w:val="00EF66F0"/>
    <w:rsid w:val="00EF78E9"/>
    <w:rsid w:val="00F00E52"/>
    <w:rsid w:val="00F02587"/>
    <w:rsid w:val="00F02FD9"/>
    <w:rsid w:val="00F04192"/>
    <w:rsid w:val="00F04496"/>
    <w:rsid w:val="00F04BCC"/>
    <w:rsid w:val="00F10454"/>
    <w:rsid w:val="00F107BA"/>
    <w:rsid w:val="00F12B2F"/>
    <w:rsid w:val="00F133E3"/>
    <w:rsid w:val="00F13C84"/>
    <w:rsid w:val="00F140F5"/>
    <w:rsid w:val="00F14621"/>
    <w:rsid w:val="00F16F65"/>
    <w:rsid w:val="00F230EB"/>
    <w:rsid w:val="00F25AB0"/>
    <w:rsid w:val="00F268BA"/>
    <w:rsid w:val="00F26A9F"/>
    <w:rsid w:val="00F26B3E"/>
    <w:rsid w:val="00F34C74"/>
    <w:rsid w:val="00F40C75"/>
    <w:rsid w:val="00F45E60"/>
    <w:rsid w:val="00F45F0D"/>
    <w:rsid w:val="00F468A5"/>
    <w:rsid w:val="00F538CC"/>
    <w:rsid w:val="00F57A15"/>
    <w:rsid w:val="00F604DE"/>
    <w:rsid w:val="00F6762E"/>
    <w:rsid w:val="00F713C3"/>
    <w:rsid w:val="00F71CF1"/>
    <w:rsid w:val="00F76D7D"/>
    <w:rsid w:val="00F815B0"/>
    <w:rsid w:val="00F85470"/>
    <w:rsid w:val="00F85D3B"/>
    <w:rsid w:val="00F8679D"/>
    <w:rsid w:val="00F87F4F"/>
    <w:rsid w:val="00F93D45"/>
    <w:rsid w:val="00F95D45"/>
    <w:rsid w:val="00F95E5E"/>
    <w:rsid w:val="00F95FB3"/>
    <w:rsid w:val="00F979CE"/>
    <w:rsid w:val="00FA18CA"/>
    <w:rsid w:val="00FA1B68"/>
    <w:rsid w:val="00FA450C"/>
    <w:rsid w:val="00FA5EED"/>
    <w:rsid w:val="00FA6931"/>
    <w:rsid w:val="00FA6D35"/>
    <w:rsid w:val="00FB27B0"/>
    <w:rsid w:val="00FB4B52"/>
    <w:rsid w:val="00FB540A"/>
    <w:rsid w:val="00FB592F"/>
    <w:rsid w:val="00FB5AFE"/>
    <w:rsid w:val="00FB5D7B"/>
    <w:rsid w:val="00FB5DAC"/>
    <w:rsid w:val="00FB6AFA"/>
    <w:rsid w:val="00FB781E"/>
    <w:rsid w:val="00FC2AD8"/>
    <w:rsid w:val="00FC4118"/>
    <w:rsid w:val="00FC752A"/>
    <w:rsid w:val="00FD075E"/>
    <w:rsid w:val="00FD2DE9"/>
    <w:rsid w:val="00FD4AF0"/>
    <w:rsid w:val="00FD507D"/>
    <w:rsid w:val="00FD71A0"/>
    <w:rsid w:val="00FE2418"/>
    <w:rsid w:val="00FE3319"/>
    <w:rsid w:val="00FE364B"/>
    <w:rsid w:val="00FE5F35"/>
    <w:rsid w:val="00FE69A6"/>
    <w:rsid w:val="00FF19CB"/>
    <w:rsid w:val="00FF2F1C"/>
    <w:rsid w:val="00FF4A3D"/>
    <w:rsid w:val="00FF5831"/>
    <w:rsid w:val="0330CE5D"/>
    <w:rsid w:val="05BDB6A4"/>
    <w:rsid w:val="0ED026B8"/>
    <w:rsid w:val="1098D394"/>
    <w:rsid w:val="12510392"/>
    <w:rsid w:val="15E11E65"/>
    <w:rsid w:val="27DAF303"/>
    <w:rsid w:val="2B041939"/>
    <w:rsid w:val="2E5F1698"/>
    <w:rsid w:val="369E7C24"/>
    <w:rsid w:val="37F15970"/>
    <w:rsid w:val="3803B258"/>
    <w:rsid w:val="396A08E1"/>
    <w:rsid w:val="3A8A5374"/>
    <w:rsid w:val="412CC7E1"/>
    <w:rsid w:val="46ACAC10"/>
    <w:rsid w:val="5BEF94BB"/>
    <w:rsid w:val="600914F5"/>
    <w:rsid w:val="64558B74"/>
    <w:rsid w:val="69FE056E"/>
    <w:rsid w:val="6A6AE443"/>
    <w:rsid w:val="6D2CA018"/>
    <w:rsid w:val="704FF854"/>
    <w:rsid w:val="705B8F48"/>
    <w:rsid w:val="7187426D"/>
    <w:rsid w:val="72B1212B"/>
    <w:rsid w:val="74345DD9"/>
    <w:rsid w:val="7793E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962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1C2"/>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94366C"/>
    <w:pPr>
      <w:spacing w:after="240" w:line="360" w:lineRule="auto"/>
    </w:pPr>
    <w:rPr>
      <w:rFonts w:ascii="Arial" w:hAnsi="Arial"/>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level3text">
    <w:name w:val="Numbered level 3 text"/>
    <w:basedOn w:val="Normal"/>
    <w:rsid w:val="00FA450C"/>
    <w:pPr>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rsid w:val="00FA450C"/>
    <w:pPr>
      <w:numPr>
        <w:ilvl w:val="1"/>
        <w:numId w:val="7"/>
      </w:numPr>
      <w:spacing w:after="240" w:line="360" w:lineRule="auto"/>
      <w:outlineLvl w:val="1"/>
    </w:pPr>
    <w:rPr>
      <w:rFonts w:ascii="Arial" w:hAnsi="Arial" w:cs="Arial"/>
      <w:bCs/>
      <w:iCs/>
      <w:szCs w:val="28"/>
    </w:rPr>
  </w:style>
  <w:style w:type="paragraph" w:customStyle="1" w:styleId="Bulletleft1last">
    <w:name w:val="Bullet left 1 last"/>
    <w:basedOn w:val="NICEnormal"/>
    <w:rsid w:val="00953ADF"/>
    <w:pPr>
      <w:numPr>
        <w:numId w:val="8"/>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table" w:styleId="TableGrid">
    <w:name w:val="Table Grid"/>
    <w:basedOn w:val="TableNormal"/>
    <w:locked/>
    <w:rsid w:val="009F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0DCC"/>
    <w:rPr>
      <w:color w:val="0000FF"/>
      <w:u w:val="single"/>
    </w:rPr>
  </w:style>
  <w:style w:type="paragraph" w:styleId="TOC1">
    <w:name w:val="toc 1"/>
    <w:basedOn w:val="Normal"/>
    <w:next w:val="Normal"/>
    <w:autoRedefine/>
    <w:uiPriority w:val="39"/>
    <w:rsid w:val="00820DCC"/>
    <w:pPr>
      <w:spacing w:line="360" w:lineRule="auto"/>
    </w:pPr>
    <w:rPr>
      <w:rFonts w:ascii="Arial" w:hAnsi="Arial"/>
    </w:rPr>
  </w:style>
  <w:style w:type="paragraph" w:styleId="TOC2">
    <w:name w:val="toc 2"/>
    <w:basedOn w:val="Normal"/>
    <w:next w:val="Normal"/>
    <w:autoRedefine/>
    <w:uiPriority w:val="39"/>
    <w:rsid w:val="00820DCC"/>
    <w:pPr>
      <w:spacing w:line="360" w:lineRule="auto"/>
      <w:ind w:left="567"/>
    </w:pPr>
    <w:rPr>
      <w:rFonts w:ascii="Arial" w:hAnsi="Arial"/>
      <w:i/>
    </w:rPr>
  </w:style>
  <w:style w:type="character" w:styleId="CommentReference">
    <w:name w:val="annotation reference"/>
    <w:locked/>
    <w:rsid w:val="00DA5E1E"/>
    <w:rPr>
      <w:sz w:val="16"/>
      <w:szCs w:val="16"/>
    </w:rPr>
  </w:style>
  <w:style w:type="paragraph" w:styleId="CommentText">
    <w:name w:val="annotation text"/>
    <w:basedOn w:val="Normal"/>
    <w:link w:val="CommentTextChar"/>
    <w:rsid w:val="00DA5E1E"/>
    <w:rPr>
      <w:sz w:val="20"/>
      <w:szCs w:val="20"/>
    </w:rPr>
  </w:style>
  <w:style w:type="paragraph" w:styleId="CommentSubject">
    <w:name w:val="annotation subject"/>
    <w:basedOn w:val="CommentText"/>
    <w:next w:val="CommentText"/>
    <w:semiHidden/>
    <w:locked/>
    <w:rsid w:val="00DA5E1E"/>
    <w:rPr>
      <w:b/>
      <w:bCs/>
    </w:rPr>
  </w:style>
  <w:style w:type="paragraph" w:styleId="BalloonText">
    <w:name w:val="Balloon Text"/>
    <w:basedOn w:val="Normal"/>
    <w:semiHidden/>
    <w:rsid w:val="00DA5E1E"/>
    <w:rPr>
      <w:rFonts w:ascii="Tahoma" w:hAnsi="Tahoma" w:cs="Tahoma"/>
      <w:sz w:val="16"/>
      <w:szCs w:val="16"/>
    </w:rPr>
  </w:style>
  <w:style w:type="paragraph" w:customStyle="1" w:styleId="Frontpagetitle">
    <w:name w:val="Front page title"/>
    <w:basedOn w:val="NICEnormalsinglespacing"/>
    <w:rsid w:val="00EF04C1"/>
    <w:pPr>
      <w:jc w:val="center"/>
    </w:pPr>
    <w:rPr>
      <w:rFonts w:cs="Arial"/>
      <w:sz w:val="48"/>
      <w:szCs w:val="48"/>
    </w:rPr>
  </w:style>
  <w:style w:type="paragraph" w:customStyle="1" w:styleId="Frontpagedate">
    <w:name w:val="Front page date"/>
    <w:basedOn w:val="NICEnormalsinglespacing"/>
    <w:rsid w:val="00EF04C1"/>
    <w:rPr>
      <w:rFonts w:cs="Arial"/>
      <w:sz w:val="32"/>
      <w:szCs w:val="32"/>
    </w:rPr>
  </w:style>
  <w:style w:type="paragraph" w:customStyle="1" w:styleId="Frontpageguidelinenumber">
    <w:name w:val="Front page guideline number"/>
    <w:basedOn w:val="NICEnormalsinglespacing"/>
    <w:rsid w:val="00EF04C1"/>
    <w:rPr>
      <w:rFonts w:cs="Arial"/>
      <w:color w:val="FFFFFF"/>
      <w:sz w:val="32"/>
      <w:szCs w:val="32"/>
    </w:rPr>
  </w:style>
  <w:style w:type="character" w:customStyle="1" w:styleId="NICEnormalChar">
    <w:name w:val="NICE normal Char"/>
    <w:link w:val="NICEnormal"/>
    <w:rsid w:val="0021227E"/>
    <w:rPr>
      <w:rFonts w:ascii="Arial" w:hAnsi="Arial"/>
      <w:sz w:val="24"/>
      <w:szCs w:val="24"/>
      <w:lang w:val="en-US" w:eastAsia="en-US" w:bidi="ar-SA"/>
    </w:rPr>
  </w:style>
  <w:style w:type="paragraph" w:styleId="FootnoteText">
    <w:name w:val="footnote text"/>
    <w:basedOn w:val="Normal"/>
    <w:link w:val="FootnoteTextChar"/>
    <w:rsid w:val="0069613E"/>
    <w:rPr>
      <w:sz w:val="20"/>
      <w:szCs w:val="20"/>
    </w:rPr>
  </w:style>
  <w:style w:type="character" w:customStyle="1" w:styleId="FootnoteTextChar">
    <w:name w:val="Footnote Text Char"/>
    <w:link w:val="FootnoteText"/>
    <w:rsid w:val="0069613E"/>
    <w:rPr>
      <w:lang w:eastAsia="en-US"/>
    </w:rPr>
  </w:style>
  <w:style w:type="character" w:styleId="FootnoteReference">
    <w:name w:val="footnote reference"/>
    <w:locked/>
    <w:rsid w:val="0069613E"/>
    <w:rPr>
      <w:vertAlign w:val="superscript"/>
    </w:rPr>
  </w:style>
  <w:style w:type="character" w:styleId="FollowedHyperlink">
    <w:name w:val="FollowedHyperlink"/>
    <w:rsid w:val="006A5FCD"/>
    <w:rPr>
      <w:color w:val="800080"/>
      <w:u w:val="single"/>
    </w:rPr>
  </w:style>
  <w:style w:type="character" w:customStyle="1" w:styleId="Numberedlevel2textChar">
    <w:name w:val="Numbered level 2 text Char"/>
    <w:link w:val="Numberedlevel2text"/>
    <w:rsid w:val="009621C2"/>
    <w:rPr>
      <w:rFonts w:ascii="Arial" w:hAnsi="Arial" w:cs="Arial"/>
      <w:bCs/>
      <w:iCs/>
      <w:sz w:val="24"/>
      <w:szCs w:val="28"/>
      <w:lang w:eastAsia="en-US"/>
    </w:rPr>
  </w:style>
  <w:style w:type="character" w:customStyle="1" w:styleId="CommentTextChar">
    <w:name w:val="Comment Text Char"/>
    <w:link w:val="CommentText"/>
    <w:rsid w:val="009621C2"/>
    <w:rPr>
      <w:lang w:eastAsia="en-US"/>
    </w:rPr>
  </w:style>
  <w:style w:type="table" w:customStyle="1" w:styleId="TableGrid1">
    <w:name w:val="Table Grid1"/>
    <w:basedOn w:val="TableNormal"/>
    <w:next w:val="TableGrid"/>
    <w:rsid w:val="00155D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11E7"/>
    <w:rPr>
      <w:sz w:val="24"/>
      <w:szCs w:val="24"/>
      <w:lang w:eastAsia="en-US"/>
    </w:rPr>
  </w:style>
  <w:style w:type="paragraph" w:customStyle="1" w:styleId="Tabletitle">
    <w:name w:val="Table title"/>
    <w:basedOn w:val="NICEnormal"/>
    <w:next w:val="NICEnormal"/>
    <w:rsid w:val="00885AEC"/>
    <w:pPr>
      <w:keepNext/>
      <w:spacing w:after="60" w:line="240" w:lineRule="auto"/>
    </w:pPr>
    <w:rPr>
      <w:b/>
    </w:rPr>
  </w:style>
  <w:style w:type="paragraph" w:customStyle="1" w:styleId="Proofingtabletext">
    <w:name w:val="Proofing table text"/>
    <w:basedOn w:val="Normal"/>
    <w:rsid w:val="00885AEC"/>
    <w:pPr>
      <w:framePr w:hSpace="180" w:wrap="around" w:vAnchor="text" w:hAnchor="margin" w:y="-52"/>
      <w:spacing w:before="60" w:after="60" w:line="288" w:lineRule="auto"/>
    </w:pPr>
    <w:rPr>
      <w:rFonts w:ascii="Arial" w:hAnsi="Arial"/>
      <w:sz w:val="18"/>
      <w:szCs w:val="20"/>
      <w:lang w:eastAsia="en-GB"/>
    </w:rPr>
  </w:style>
  <w:style w:type="paragraph" w:customStyle="1" w:styleId="Instructionstext">
    <w:name w:val="Instructions text"/>
    <w:basedOn w:val="Normal"/>
    <w:rsid w:val="00885AEC"/>
    <w:pPr>
      <w:pBdr>
        <w:top w:val="single" w:sz="4" w:space="1" w:color="auto"/>
        <w:left w:val="single" w:sz="4" w:space="4" w:color="auto"/>
        <w:bottom w:val="single" w:sz="4" w:space="1"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885AEC"/>
    <w:pPr>
      <w:pBdr>
        <w:top w:val="single" w:sz="4" w:space="1" w:color="auto"/>
        <w:left w:val="single" w:sz="4" w:space="4" w:color="auto"/>
        <w:bottom w:val="single" w:sz="4" w:space="1" w:color="auto"/>
        <w:right w:val="single" w:sz="4" w:space="4" w:color="auto"/>
      </w:pBdr>
      <w:shd w:val="clear" w:color="auto" w:fill="FDE9D9"/>
      <w:spacing w:before="240" w:after="120" w:line="288" w:lineRule="auto"/>
      <w:outlineLvl w:val="1"/>
    </w:pPr>
    <w:rPr>
      <w:rFonts w:ascii="Arial" w:hAnsi="Arial"/>
      <w:i/>
      <w:iCs/>
      <w:color w:val="0070C0"/>
      <w:kern w:val="32"/>
      <w:szCs w:val="20"/>
    </w:rPr>
  </w:style>
  <w:style w:type="character" w:styleId="UnresolvedMention">
    <w:name w:val="Unresolved Mention"/>
    <w:basedOn w:val="DefaultParagraphFont"/>
    <w:uiPriority w:val="99"/>
    <w:semiHidden/>
    <w:unhideWhenUsed/>
    <w:rsid w:val="00965418"/>
    <w:rPr>
      <w:color w:val="605E5C"/>
      <w:shd w:val="clear" w:color="auto" w:fill="E1DFDD"/>
    </w:rPr>
  </w:style>
  <w:style w:type="paragraph" w:styleId="ListParagraph">
    <w:name w:val="List Paragraph"/>
    <w:basedOn w:val="Normal"/>
    <w:uiPriority w:val="34"/>
    <w:qFormat/>
    <w:rsid w:val="009403B5"/>
    <w:pPr>
      <w:ind w:left="720"/>
      <w:contextualSpacing/>
    </w:pPr>
  </w:style>
  <w:style w:type="table" w:styleId="TableGridLight">
    <w:name w:val="Grid Table Light"/>
    <w:basedOn w:val="TableNormal"/>
    <w:uiPriority w:val="40"/>
    <w:rsid w:val="00F16F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1011">
      <w:bodyDiv w:val="1"/>
      <w:marLeft w:val="0"/>
      <w:marRight w:val="0"/>
      <w:marTop w:val="0"/>
      <w:marBottom w:val="0"/>
      <w:divBdr>
        <w:top w:val="none" w:sz="0" w:space="0" w:color="auto"/>
        <w:left w:val="none" w:sz="0" w:space="0" w:color="auto"/>
        <w:bottom w:val="none" w:sz="0" w:space="0" w:color="auto"/>
        <w:right w:val="none" w:sz="0" w:space="0" w:color="auto"/>
      </w:divBdr>
    </w:div>
    <w:div w:id="392656195">
      <w:bodyDiv w:val="1"/>
      <w:marLeft w:val="0"/>
      <w:marRight w:val="0"/>
      <w:marTop w:val="0"/>
      <w:marBottom w:val="0"/>
      <w:divBdr>
        <w:top w:val="none" w:sz="0" w:space="0" w:color="auto"/>
        <w:left w:val="none" w:sz="0" w:space="0" w:color="auto"/>
        <w:bottom w:val="none" w:sz="0" w:space="0" w:color="auto"/>
        <w:right w:val="none" w:sz="0" w:space="0" w:color="auto"/>
      </w:divBdr>
    </w:div>
    <w:div w:id="455681908">
      <w:bodyDiv w:val="1"/>
      <w:marLeft w:val="0"/>
      <w:marRight w:val="0"/>
      <w:marTop w:val="0"/>
      <w:marBottom w:val="0"/>
      <w:divBdr>
        <w:top w:val="none" w:sz="0" w:space="0" w:color="auto"/>
        <w:left w:val="none" w:sz="0" w:space="0" w:color="auto"/>
        <w:bottom w:val="none" w:sz="0" w:space="0" w:color="auto"/>
        <w:right w:val="none" w:sz="0" w:space="0" w:color="auto"/>
      </w:divBdr>
    </w:div>
    <w:div w:id="494078288">
      <w:bodyDiv w:val="1"/>
      <w:marLeft w:val="0"/>
      <w:marRight w:val="0"/>
      <w:marTop w:val="0"/>
      <w:marBottom w:val="0"/>
      <w:divBdr>
        <w:top w:val="none" w:sz="0" w:space="0" w:color="auto"/>
        <w:left w:val="none" w:sz="0" w:space="0" w:color="auto"/>
        <w:bottom w:val="none" w:sz="0" w:space="0" w:color="auto"/>
        <w:right w:val="none" w:sz="0" w:space="0" w:color="auto"/>
      </w:divBdr>
    </w:div>
    <w:div w:id="594754002">
      <w:bodyDiv w:val="1"/>
      <w:marLeft w:val="0"/>
      <w:marRight w:val="0"/>
      <w:marTop w:val="0"/>
      <w:marBottom w:val="0"/>
      <w:divBdr>
        <w:top w:val="none" w:sz="0" w:space="0" w:color="auto"/>
        <w:left w:val="none" w:sz="0" w:space="0" w:color="auto"/>
        <w:bottom w:val="none" w:sz="0" w:space="0" w:color="auto"/>
        <w:right w:val="none" w:sz="0" w:space="0" w:color="auto"/>
      </w:divBdr>
    </w:div>
    <w:div w:id="704716663">
      <w:bodyDiv w:val="1"/>
      <w:marLeft w:val="0"/>
      <w:marRight w:val="0"/>
      <w:marTop w:val="0"/>
      <w:marBottom w:val="0"/>
      <w:divBdr>
        <w:top w:val="none" w:sz="0" w:space="0" w:color="auto"/>
        <w:left w:val="none" w:sz="0" w:space="0" w:color="auto"/>
        <w:bottom w:val="none" w:sz="0" w:space="0" w:color="auto"/>
        <w:right w:val="none" w:sz="0" w:space="0" w:color="auto"/>
      </w:divBdr>
    </w:div>
    <w:div w:id="798258205">
      <w:bodyDiv w:val="1"/>
      <w:marLeft w:val="0"/>
      <w:marRight w:val="0"/>
      <w:marTop w:val="0"/>
      <w:marBottom w:val="0"/>
      <w:divBdr>
        <w:top w:val="none" w:sz="0" w:space="0" w:color="auto"/>
        <w:left w:val="none" w:sz="0" w:space="0" w:color="auto"/>
        <w:bottom w:val="none" w:sz="0" w:space="0" w:color="auto"/>
        <w:right w:val="none" w:sz="0" w:space="0" w:color="auto"/>
      </w:divBdr>
    </w:div>
    <w:div w:id="834995268">
      <w:bodyDiv w:val="1"/>
      <w:marLeft w:val="0"/>
      <w:marRight w:val="0"/>
      <w:marTop w:val="0"/>
      <w:marBottom w:val="0"/>
      <w:divBdr>
        <w:top w:val="none" w:sz="0" w:space="0" w:color="auto"/>
        <w:left w:val="none" w:sz="0" w:space="0" w:color="auto"/>
        <w:bottom w:val="none" w:sz="0" w:space="0" w:color="auto"/>
        <w:right w:val="none" w:sz="0" w:space="0" w:color="auto"/>
      </w:divBdr>
    </w:div>
    <w:div w:id="1005548995">
      <w:bodyDiv w:val="1"/>
      <w:marLeft w:val="0"/>
      <w:marRight w:val="0"/>
      <w:marTop w:val="0"/>
      <w:marBottom w:val="0"/>
      <w:divBdr>
        <w:top w:val="none" w:sz="0" w:space="0" w:color="auto"/>
        <w:left w:val="none" w:sz="0" w:space="0" w:color="auto"/>
        <w:bottom w:val="none" w:sz="0" w:space="0" w:color="auto"/>
        <w:right w:val="none" w:sz="0" w:space="0" w:color="auto"/>
      </w:divBdr>
    </w:div>
    <w:div w:id="1172917377">
      <w:bodyDiv w:val="1"/>
      <w:marLeft w:val="0"/>
      <w:marRight w:val="0"/>
      <w:marTop w:val="0"/>
      <w:marBottom w:val="0"/>
      <w:divBdr>
        <w:top w:val="none" w:sz="0" w:space="0" w:color="auto"/>
        <w:left w:val="none" w:sz="0" w:space="0" w:color="auto"/>
        <w:bottom w:val="none" w:sz="0" w:space="0" w:color="auto"/>
        <w:right w:val="none" w:sz="0" w:space="0" w:color="auto"/>
      </w:divBdr>
    </w:div>
    <w:div w:id="1207986846">
      <w:bodyDiv w:val="1"/>
      <w:marLeft w:val="0"/>
      <w:marRight w:val="0"/>
      <w:marTop w:val="0"/>
      <w:marBottom w:val="0"/>
      <w:divBdr>
        <w:top w:val="none" w:sz="0" w:space="0" w:color="auto"/>
        <w:left w:val="none" w:sz="0" w:space="0" w:color="auto"/>
        <w:bottom w:val="none" w:sz="0" w:space="0" w:color="auto"/>
        <w:right w:val="none" w:sz="0" w:space="0" w:color="auto"/>
      </w:divBdr>
    </w:div>
    <w:div w:id="1336301149">
      <w:bodyDiv w:val="1"/>
      <w:marLeft w:val="0"/>
      <w:marRight w:val="0"/>
      <w:marTop w:val="0"/>
      <w:marBottom w:val="0"/>
      <w:divBdr>
        <w:top w:val="none" w:sz="0" w:space="0" w:color="auto"/>
        <w:left w:val="none" w:sz="0" w:space="0" w:color="auto"/>
        <w:bottom w:val="none" w:sz="0" w:space="0" w:color="auto"/>
        <w:right w:val="none" w:sz="0" w:space="0" w:color="auto"/>
      </w:divBdr>
    </w:div>
    <w:div w:id="1387221591">
      <w:bodyDiv w:val="1"/>
      <w:marLeft w:val="0"/>
      <w:marRight w:val="0"/>
      <w:marTop w:val="0"/>
      <w:marBottom w:val="0"/>
      <w:divBdr>
        <w:top w:val="none" w:sz="0" w:space="0" w:color="auto"/>
        <w:left w:val="none" w:sz="0" w:space="0" w:color="auto"/>
        <w:bottom w:val="none" w:sz="0" w:space="0" w:color="auto"/>
        <w:right w:val="none" w:sz="0" w:space="0" w:color="auto"/>
      </w:divBdr>
    </w:div>
    <w:div w:id="1774789705">
      <w:bodyDiv w:val="1"/>
      <w:marLeft w:val="0"/>
      <w:marRight w:val="0"/>
      <w:marTop w:val="0"/>
      <w:marBottom w:val="0"/>
      <w:divBdr>
        <w:top w:val="none" w:sz="0" w:space="0" w:color="auto"/>
        <w:left w:val="none" w:sz="0" w:space="0" w:color="auto"/>
        <w:bottom w:val="none" w:sz="0" w:space="0" w:color="auto"/>
        <w:right w:val="none" w:sz="0" w:space="0" w:color="auto"/>
      </w:divBdr>
    </w:div>
    <w:div w:id="1855919015">
      <w:bodyDiv w:val="1"/>
      <w:marLeft w:val="0"/>
      <w:marRight w:val="0"/>
      <w:marTop w:val="0"/>
      <w:marBottom w:val="0"/>
      <w:divBdr>
        <w:top w:val="none" w:sz="0" w:space="0" w:color="auto"/>
        <w:left w:val="none" w:sz="0" w:space="0" w:color="auto"/>
        <w:bottom w:val="none" w:sz="0" w:space="0" w:color="auto"/>
        <w:right w:val="none" w:sz="0" w:space="0" w:color="auto"/>
      </w:divBdr>
    </w:div>
    <w:div w:id="2041004496">
      <w:bodyDiv w:val="1"/>
      <w:marLeft w:val="0"/>
      <w:marRight w:val="0"/>
      <w:marTop w:val="0"/>
      <w:marBottom w:val="0"/>
      <w:divBdr>
        <w:top w:val="none" w:sz="0" w:space="0" w:color="auto"/>
        <w:left w:val="none" w:sz="0" w:space="0" w:color="auto"/>
        <w:bottom w:val="none" w:sz="0" w:space="0" w:color="auto"/>
        <w:right w:val="none" w:sz="0" w:space="0" w:color="auto"/>
      </w:divBdr>
    </w:div>
    <w:div w:id="208224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9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ublication/2023-25-nhs-payment-sche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yeloma.org.uk/understanding-myeloma/related-conditions/al-amyloidosis/" TargetMode="External"/><Relationship Id="rId4" Type="http://schemas.openxmlformats.org/officeDocument/2006/relationships/settings" Target="settings.xml"/><Relationship Id="rId9" Type="http://schemas.openxmlformats.org/officeDocument/2006/relationships/hyperlink" Target="https://www.myeloma.org.uk/understanding-myeloma/related-conditions/al-amyloidosis/" TargetMode="External"/><Relationship Id="rId14"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D8E7-FF9C-4E94-B63F-DA42CFD7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Links>
    <vt:vector size="36" baseType="variant">
      <vt:variant>
        <vt:i4>1245255</vt:i4>
      </vt:variant>
      <vt:variant>
        <vt:i4>15</vt:i4>
      </vt:variant>
      <vt:variant>
        <vt:i4>0</vt:i4>
      </vt:variant>
      <vt:variant>
        <vt:i4>5</vt:i4>
      </vt:variant>
      <vt:variant>
        <vt:lpwstr>https://www.nice.org.uk/terms-and-conditions</vt:lpwstr>
      </vt:variant>
      <vt:variant>
        <vt:lpwstr/>
      </vt:variant>
      <vt:variant>
        <vt:i4>2883704</vt:i4>
      </vt:variant>
      <vt:variant>
        <vt:i4>12</vt:i4>
      </vt:variant>
      <vt:variant>
        <vt:i4>0</vt:i4>
      </vt:variant>
      <vt:variant>
        <vt:i4>5</vt:i4>
      </vt:variant>
      <vt:variant>
        <vt:lpwstr>http://www.nice.org.uk/terms-and-conditions</vt:lpwstr>
      </vt:variant>
      <vt:variant>
        <vt:lpwstr/>
      </vt:variant>
      <vt:variant>
        <vt:i4>3932282</vt:i4>
      </vt:variant>
      <vt:variant>
        <vt:i4>9</vt:i4>
      </vt:variant>
      <vt:variant>
        <vt:i4>0</vt:i4>
      </vt:variant>
      <vt:variant>
        <vt:i4>5</vt:i4>
      </vt:variant>
      <vt:variant>
        <vt:lpwstr>https://www.nice.org.uk/guidance/indevelopment/gid-ta10656</vt:lpwstr>
      </vt:variant>
      <vt:variant>
        <vt:lpwstr/>
      </vt:variant>
      <vt:variant>
        <vt:i4>8257595</vt:i4>
      </vt:variant>
      <vt:variant>
        <vt:i4>6</vt:i4>
      </vt:variant>
      <vt:variant>
        <vt:i4>0</vt:i4>
      </vt:variant>
      <vt:variant>
        <vt:i4>5</vt:i4>
      </vt:variant>
      <vt:variant>
        <vt:lpwstr>https://www.england.nhs.uk/publication/2023-25-nhs-payment-scheme/</vt:lpwstr>
      </vt:variant>
      <vt:variant>
        <vt:lpwstr/>
      </vt:variant>
      <vt:variant>
        <vt:i4>6619248</vt:i4>
      </vt:variant>
      <vt:variant>
        <vt:i4>3</vt:i4>
      </vt:variant>
      <vt:variant>
        <vt:i4>0</vt:i4>
      </vt:variant>
      <vt:variant>
        <vt:i4>5</vt:i4>
      </vt:variant>
      <vt:variant>
        <vt:lpwstr>https://www.myeloma.org.uk/understanding-myeloma/related-conditions/al-amyloidosis/</vt:lpwstr>
      </vt:variant>
      <vt:variant>
        <vt:lpwstr/>
      </vt:variant>
      <vt:variant>
        <vt:i4>6619248</vt:i4>
      </vt:variant>
      <vt:variant>
        <vt:i4>0</vt:i4>
      </vt:variant>
      <vt:variant>
        <vt:i4>0</vt:i4>
      </vt:variant>
      <vt:variant>
        <vt:i4>5</vt:i4>
      </vt:variant>
      <vt:variant>
        <vt:lpwstr>https://www.myeloma.org.uk/understanding-myeloma/related-conditions/al-amyloidosis/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TA959 Daratumumab in combination for treating newly diagnosed systemic amyloid light-chain amyloidosis: resource impact report 27/03/2024</dc:title>
  <dc:subject/>
  <dc:creator/>
  <cp:keywords/>
  <dc:description/>
  <cp:lastModifiedBy/>
  <cp:revision>1</cp:revision>
  <dcterms:created xsi:type="dcterms:W3CDTF">2024-03-27T11:04:00Z</dcterms:created>
  <dcterms:modified xsi:type="dcterms:W3CDTF">2024-03-27T11:05:00Z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2024-03-27T11:05:53Z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86d3d6cd-bccc-4222-8eef-446c7f28803d</vt:lpwstr>
  </property>
  <property fmtid="{D5CDD505-2E9C-101B-9397-08002B2CF9AE}" pid="8" name="MSIP_Label_c69d85d5-6d9e-4305-a294-1f636ec0f2d6_ContentBits">
    <vt:lpwstr>0</vt:lpwstr>
  </property>
</Properties>
</file>